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DA99D" w14:textId="77777777" w:rsidR="00FE3214" w:rsidRPr="00870D59" w:rsidRDefault="00FE3214" w:rsidP="00DB201D">
      <w:pPr>
        <w:pStyle w:val="zzCover"/>
        <w:rPr>
          <w:noProof/>
          <w:color w:val="auto"/>
        </w:rPr>
      </w:pPr>
    </w:p>
    <w:p w14:paraId="0DAA4A05" w14:textId="4EEEF158" w:rsidR="00DB201D" w:rsidRPr="00870D59" w:rsidRDefault="00DB201D" w:rsidP="00DB201D">
      <w:pPr>
        <w:pStyle w:val="zzCover"/>
        <w:rPr>
          <w:noProof/>
          <w:color w:val="auto"/>
          <w:sz w:val="54"/>
        </w:rPr>
      </w:pPr>
      <w:r w:rsidRPr="00870D59">
        <w:rPr>
          <w:noProof/>
          <w:color w:val="auto"/>
        </w:rPr>
        <w:t>CEN/TC </w:t>
      </w:r>
      <w:r w:rsidR="00120006" w:rsidRPr="00870D59">
        <w:rPr>
          <w:noProof/>
          <w:color w:val="auto"/>
        </w:rPr>
        <w:t>250</w:t>
      </w:r>
    </w:p>
    <w:p w14:paraId="58E669F9" w14:textId="7667875A" w:rsidR="00DB201D" w:rsidRPr="00870D59" w:rsidRDefault="00DB201D" w:rsidP="00DB201D">
      <w:pPr>
        <w:pStyle w:val="zzCover"/>
        <w:rPr>
          <w:b w:val="0"/>
          <w:noProof/>
          <w:color w:val="auto"/>
          <w:sz w:val="22"/>
        </w:rPr>
      </w:pPr>
      <w:r w:rsidRPr="00870D59">
        <w:rPr>
          <w:b w:val="0"/>
          <w:noProof/>
          <w:color w:val="auto"/>
          <w:sz w:val="22"/>
        </w:rPr>
        <w:t>Date:  20</w:t>
      </w:r>
      <w:r w:rsidR="00120006" w:rsidRPr="00870D59">
        <w:rPr>
          <w:b w:val="0"/>
          <w:noProof/>
          <w:color w:val="auto"/>
          <w:sz w:val="22"/>
        </w:rPr>
        <w:t>2</w:t>
      </w:r>
      <w:r w:rsidR="00F16BE9">
        <w:rPr>
          <w:b w:val="0"/>
          <w:noProof/>
          <w:color w:val="auto"/>
          <w:sz w:val="22"/>
        </w:rPr>
        <w:t>3</w:t>
      </w:r>
      <w:r w:rsidRPr="00870D59">
        <w:rPr>
          <w:b w:val="0"/>
          <w:noProof/>
          <w:color w:val="auto"/>
          <w:sz w:val="22"/>
        </w:rPr>
        <w:t>-</w:t>
      </w:r>
      <w:r w:rsidR="00F16BE9">
        <w:rPr>
          <w:b w:val="0"/>
          <w:noProof/>
          <w:color w:val="auto"/>
          <w:sz w:val="22"/>
        </w:rPr>
        <w:t>0</w:t>
      </w:r>
      <w:r w:rsidR="0002635A">
        <w:rPr>
          <w:b w:val="0"/>
          <w:noProof/>
          <w:color w:val="auto"/>
          <w:sz w:val="22"/>
        </w:rPr>
        <w:t>3</w:t>
      </w:r>
      <w:r w:rsidR="00101846">
        <w:rPr>
          <w:b w:val="0"/>
          <w:noProof/>
          <w:color w:val="auto"/>
          <w:sz w:val="22"/>
        </w:rPr>
        <w:t>-21</w:t>
      </w:r>
    </w:p>
    <w:p w14:paraId="1A7C4C3A" w14:textId="60F7DE96" w:rsidR="00DB201D" w:rsidRPr="00870D59" w:rsidRDefault="00DB201D" w:rsidP="00DB201D">
      <w:pPr>
        <w:pStyle w:val="zzCover"/>
        <w:spacing w:before="220"/>
        <w:rPr>
          <w:color w:val="auto"/>
        </w:rPr>
      </w:pPr>
      <w:r w:rsidRPr="00870D59">
        <w:rPr>
          <w:color w:val="auto"/>
        </w:rPr>
        <w:t xml:space="preserve">prEN </w:t>
      </w:r>
      <w:r w:rsidR="00120006" w:rsidRPr="00870D59">
        <w:rPr>
          <w:color w:val="auto"/>
        </w:rPr>
        <w:t>1998-</w:t>
      </w:r>
      <w:r w:rsidR="00870D59" w:rsidRPr="00870D59">
        <w:rPr>
          <w:color w:val="auto"/>
        </w:rPr>
        <w:t>1-</w:t>
      </w:r>
      <w:r w:rsidR="00317675" w:rsidRPr="00870D59">
        <w:rPr>
          <w:color w:val="auto"/>
        </w:rPr>
        <w:t>2</w:t>
      </w:r>
      <w:r w:rsidRPr="00870D59">
        <w:rPr>
          <w:color w:val="auto"/>
        </w:rPr>
        <w:t>:</w:t>
      </w:r>
      <w:r w:rsidR="00120006" w:rsidRPr="00870D59">
        <w:rPr>
          <w:color w:val="auto"/>
        </w:rPr>
        <w:t>202</w:t>
      </w:r>
      <w:r w:rsidR="0002635A">
        <w:rPr>
          <w:color w:val="auto"/>
        </w:rPr>
        <w:t>3</w:t>
      </w:r>
    </w:p>
    <w:p w14:paraId="2D850D96" w14:textId="5F8A8DE3" w:rsidR="00DB201D" w:rsidRPr="00870D59" w:rsidRDefault="00DB201D" w:rsidP="00DB201D">
      <w:pPr>
        <w:pStyle w:val="zzCover"/>
        <w:spacing w:after="2000"/>
        <w:rPr>
          <w:b w:val="0"/>
          <w:noProof/>
          <w:color w:val="auto"/>
        </w:rPr>
      </w:pPr>
      <w:r w:rsidRPr="00870D59">
        <w:rPr>
          <w:b w:val="0"/>
          <w:noProof/>
          <w:color w:val="auto"/>
          <w:sz w:val="22"/>
        </w:rPr>
        <w:t>Secretariat: </w:t>
      </w:r>
      <w:r w:rsidR="00120006" w:rsidRPr="00870D59">
        <w:rPr>
          <w:b w:val="0"/>
          <w:noProof/>
          <w:color w:val="auto"/>
          <w:sz w:val="22"/>
        </w:rPr>
        <w:t>BSI</w:t>
      </w:r>
    </w:p>
    <w:p w14:paraId="6466F607" w14:textId="71103010" w:rsidR="00DB201D" w:rsidRPr="00870D59" w:rsidRDefault="000267B8" w:rsidP="00DB201D">
      <w:pPr>
        <w:pStyle w:val="zzCover"/>
        <w:rPr>
          <w:b w:val="0"/>
          <w:color w:val="auto"/>
        </w:rPr>
      </w:pPr>
      <w:r w:rsidRPr="00870D59">
        <w:rPr>
          <w:color w:val="auto"/>
          <w:sz w:val="30"/>
        </w:rPr>
        <w:t>Eurocode 8</w:t>
      </w:r>
      <w:r w:rsidR="00DB201D" w:rsidRPr="00870D59">
        <w:rPr>
          <w:color w:val="auto"/>
          <w:sz w:val="30"/>
        </w:rPr>
        <w:t xml:space="preserve"> — </w:t>
      </w:r>
      <w:r w:rsidRPr="00870D59">
        <w:rPr>
          <w:color w:val="auto"/>
          <w:sz w:val="30"/>
        </w:rPr>
        <w:t>Design of structures for earthquake resistance</w:t>
      </w:r>
      <w:r w:rsidR="00DB201D" w:rsidRPr="00870D59">
        <w:rPr>
          <w:color w:val="auto"/>
          <w:sz w:val="30"/>
        </w:rPr>
        <w:t xml:space="preserve"> — </w:t>
      </w:r>
      <w:r w:rsidR="00CD6C05" w:rsidRPr="00870D59">
        <w:rPr>
          <w:color w:val="auto"/>
          <w:sz w:val="30"/>
        </w:rPr>
        <w:br/>
      </w:r>
      <w:r w:rsidRPr="00870D59">
        <w:rPr>
          <w:color w:val="auto"/>
          <w:sz w:val="30"/>
        </w:rPr>
        <w:t xml:space="preserve">Part </w:t>
      </w:r>
      <w:r w:rsidR="00870D59" w:rsidRPr="00870D59">
        <w:rPr>
          <w:color w:val="auto"/>
          <w:sz w:val="30"/>
        </w:rPr>
        <w:t>1-</w:t>
      </w:r>
      <w:r w:rsidR="00317675" w:rsidRPr="00870D59">
        <w:rPr>
          <w:color w:val="auto"/>
          <w:sz w:val="30"/>
        </w:rPr>
        <w:t>2</w:t>
      </w:r>
      <w:r w:rsidRPr="00870D59">
        <w:rPr>
          <w:color w:val="auto"/>
          <w:sz w:val="30"/>
        </w:rPr>
        <w:t xml:space="preserve">: </w:t>
      </w:r>
      <w:r w:rsidR="00870D59" w:rsidRPr="00870D59">
        <w:rPr>
          <w:color w:val="auto"/>
          <w:sz w:val="30"/>
        </w:rPr>
        <w:t>Buildings</w:t>
      </w:r>
    </w:p>
    <w:p w14:paraId="0048F418" w14:textId="77777777" w:rsidR="00F439C8" w:rsidRPr="00862BDF" w:rsidRDefault="00F439C8" w:rsidP="00DB201D">
      <w:pPr>
        <w:pStyle w:val="zzCover"/>
        <w:rPr>
          <w:color w:val="auto"/>
          <w:lang w:val="de-DE"/>
        </w:rPr>
      </w:pPr>
      <w:r w:rsidRPr="00862BDF">
        <w:rPr>
          <w:color w:val="auto"/>
          <w:lang w:val="de-DE"/>
        </w:rPr>
        <w:t>Eurocode 8 – Auslegung von Bauwerken gegen Erdbeben – Teil 1-2: Hochbauten</w:t>
      </w:r>
    </w:p>
    <w:p w14:paraId="45F47733" w14:textId="44A16FC0" w:rsidR="00DB201D" w:rsidRPr="00AB5DFB" w:rsidRDefault="00A9731A" w:rsidP="00DB201D">
      <w:pPr>
        <w:pStyle w:val="zzCover"/>
        <w:rPr>
          <w:lang w:val="fr-FR"/>
        </w:rPr>
      </w:pPr>
      <w:r w:rsidRPr="00A9731A">
        <w:rPr>
          <w:color w:val="auto"/>
          <w:lang w:val="fr-FR"/>
        </w:rPr>
        <w:t>Eurocode 8 – Calcul des structures pour leur résistance au séisme – Part 1-2: Bâtiments</w:t>
      </w:r>
    </w:p>
    <w:p w14:paraId="4E8DC056" w14:textId="77777777" w:rsidR="00DB201D" w:rsidRPr="00870D59" w:rsidRDefault="00DB201D" w:rsidP="00DB201D">
      <w:pPr>
        <w:pStyle w:val="zzCover"/>
      </w:pPr>
      <w:r w:rsidRPr="00870D59">
        <w:t>ICS: </w:t>
      </w:r>
    </w:p>
    <w:p w14:paraId="2F1870CB" w14:textId="77777777" w:rsidR="00DB201D" w:rsidRPr="00870D59" w:rsidRDefault="00DB201D" w:rsidP="00DB201D">
      <w:pPr>
        <w:pStyle w:val="zzCover"/>
      </w:pPr>
    </w:p>
    <w:p w14:paraId="57ABF582" w14:textId="77777777" w:rsidR="00DB201D" w:rsidRPr="00870D59" w:rsidRDefault="00DB201D" w:rsidP="00DB201D">
      <w:pPr>
        <w:pStyle w:val="zzCover"/>
      </w:pPr>
    </w:p>
    <w:p w14:paraId="7AF66D4A" w14:textId="77777777" w:rsidR="00DB201D" w:rsidRPr="00870D59" w:rsidRDefault="00DB201D" w:rsidP="00DB201D">
      <w:pPr>
        <w:pStyle w:val="zzCover"/>
      </w:pPr>
    </w:p>
    <w:p w14:paraId="5ACBB3C1" w14:textId="77777777" w:rsidR="00DB201D" w:rsidRPr="00870D59" w:rsidRDefault="00DB201D" w:rsidP="002A179A">
      <w:pPr>
        <w:pStyle w:val="zzCover"/>
        <w:jc w:val="center"/>
      </w:pPr>
    </w:p>
    <w:p w14:paraId="53BBE754" w14:textId="77777777" w:rsidR="00DB201D" w:rsidRPr="00870D59" w:rsidRDefault="00DB201D" w:rsidP="00DB201D">
      <w:pPr>
        <w:pStyle w:val="zzCover"/>
      </w:pPr>
    </w:p>
    <w:p w14:paraId="170123BE" w14:textId="77777777" w:rsidR="00DB201D" w:rsidRPr="00870D59" w:rsidRDefault="00DB201D" w:rsidP="00DB201D">
      <w:pPr>
        <w:pStyle w:val="zzCover"/>
        <w:jc w:val="center"/>
      </w:pPr>
    </w:p>
    <w:p w14:paraId="21C4EFCA" w14:textId="77777777" w:rsidR="00DB201D" w:rsidRPr="00870D59" w:rsidRDefault="00DB201D" w:rsidP="00DB201D">
      <w:pPr>
        <w:pStyle w:val="zzCover"/>
        <w:sectPr w:rsidR="00DB201D" w:rsidRPr="00870D59" w:rsidSect="00B732D2">
          <w:headerReference w:type="even" r:id="rId11"/>
          <w:footerReference w:type="even" r:id="rId12"/>
          <w:footerReference w:type="default" r:id="rId13"/>
          <w:headerReference w:type="first" r:id="rId14"/>
          <w:footerReference w:type="first" r:id="rId15"/>
          <w:pgSz w:w="11906" w:h="16838"/>
          <w:pgMar w:top="851" w:right="737" w:bottom="567" w:left="397" w:header="709" w:footer="567" w:gutter="567"/>
          <w:cols w:space="708"/>
          <w:docGrid w:linePitch="360"/>
        </w:sectPr>
      </w:pPr>
    </w:p>
    <w:p w14:paraId="1B2FE1F7" w14:textId="77777777" w:rsidR="00DB201D" w:rsidRPr="00870D59" w:rsidRDefault="00DB201D" w:rsidP="008618F2">
      <w:pPr>
        <w:pStyle w:val="zzContents"/>
        <w:tabs>
          <w:tab w:val="right" w:pos="9214"/>
        </w:tabs>
      </w:pPr>
      <w:r w:rsidRPr="00870D59">
        <w:rPr>
          <w:sz w:val="28"/>
          <w:szCs w:val="28"/>
        </w:rPr>
        <w:lastRenderedPageBreak/>
        <w:t>Contents</w:t>
      </w:r>
      <w:r w:rsidRPr="00870D59">
        <w:tab/>
      </w:r>
      <w:r w:rsidRPr="00870D59">
        <w:rPr>
          <w:b w:val="0"/>
          <w:sz w:val="22"/>
          <w:szCs w:val="22"/>
        </w:rPr>
        <w:t>Page</w:t>
      </w:r>
    </w:p>
    <w:p w14:paraId="40F61632" w14:textId="0BDA462A" w:rsidR="008618F2" w:rsidRDefault="005930D5" w:rsidP="008618F2">
      <w:pPr>
        <w:pStyle w:val="TOC1"/>
        <w:jc w:val="left"/>
        <w:rPr>
          <w:rFonts w:asciiTheme="minorHAnsi" w:eastAsiaTheme="minorEastAsia" w:hAnsiTheme="minorHAnsi" w:cstheme="minorBidi"/>
          <w:b w:val="0"/>
          <w:noProof/>
          <w:szCs w:val="22"/>
          <w:lang w:eastAsia="en-GB"/>
        </w:rPr>
      </w:pPr>
      <w:r w:rsidRPr="00870D59">
        <w:fldChar w:fldCharType="begin"/>
      </w:r>
      <w:r w:rsidRPr="00870D59">
        <w:instrText xml:space="preserve"> TOC \o "1-3" \h \z \u </w:instrText>
      </w:r>
      <w:r w:rsidRPr="00870D59">
        <w:fldChar w:fldCharType="separate"/>
      </w:r>
      <w:hyperlink w:anchor="_Toc134197739" w:history="1">
        <w:r w:rsidR="008618F2" w:rsidRPr="00DC3933">
          <w:rPr>
            <w:rStyle w:val="Hyperlink"/>
            <w:noProof/>
          </w:rPr>
          <w:t>European foreword</w:t>
        </w:r>
        <w:r w:rsidR="008618F2">
          <w:rPr>
            <w:noProof/>
            <w:webHidden/>
          </w:rPr>
          <w:tab/>
        </w:r>
        <w:r w:rsidR="008618F2">
          <w:rPr>
            <w:noProof/>
            <w:webHidden/>
          </w:rPr>
          <w:fldChar w:fldCharType="begin"/>
        </w:r>
        <w:r w:rsidR="008618F2">
          <w:rPr>
            <w:noProof/>
            <w:webHidden/>
          </w:rPr>
          <w:instrText xml:space="preserve"> PAGEREF _Toc134197739 \h </w:instrText>
        </w:r>
        <w:r w:rsidR="008618F2">
          <w:rPr>
            <w:noProof/>
            <w:webHidden/>
          </w:rPr>
        </w:r>
        <w:r w:rsidR="008618F2">
          <w:rPr>
            <w:noProof/>
            <w:webHidden/>
          </w:rPr>
          <w:fldChar w:fldCharType="separate"/>
        </w:r>
        <w:r w:rsidR="000720CB">
          <w:rPr>
            <w:noProof/>
            <w:webHidden/>
          </w:rPr>
          <w:t>13</w:t>
        </w:r>
        <w:r w:rsidR="008618F2">
          <w:rPr>
            <w:noProof/>
            <w:webHidden/>
          </w:rPr>
          <w:fldChar w:fldCharType="end"/>
        </w:r>
      </w:hyperlink>
    </w:p>
    <w:p w14:paraId="3BBE5002" w14:textId="52D660C0" w:rsidR="008618F2" w:rsidRDefault="009B5CEC" w:rsidP="008618F2">
      <w:pPr>
        <w:pStyle w:val="TOC1"/>
        <w:jc w:val="left"/>
        <w:rPr>
          <w:rFonts w:asciiTheme="minorHAnsi" w:eastAsiaTheme="minorEastAsia" w:hAnsiTheme="minorHAnsi" w:cstheme="minorBidi"/>
          <w:b w:val="0"/>
          <w:noProof/>
          <w:szCs w:val="22"/>
          <w:lang w:eastAsia="en-GB"/>
        </w:rPr>
      </w:pPr>
      <w:hyperlink w:anchor="_Toc134197740" w:history="1">
        <w:r w:rsidR="008618F2" w:rsidRPr="00DC3933">
          <w:rPr>
            <w:rStyle w:val="Hyperlink"/>
            <w:noProof/>
          </w:rPr>
          <w:t>0</w:t>
        </w:r>
        <w:r w:rsidR="008618F2">
          <w:rPr>
            <w:rFonts w:asciiTheme="minorHAnsi" w:eastAsiaTheme="minorEastAsia" w:hAnsiTheme="minorHAnsi" w:cstheme="minorBidi"/>
            <w:b w:val="0"/>
            <w:noProof/>
            <w:szCs w:val="22"/>
            <w:lang w:eastAsia="en-GB"/>
          </w:rPr>
          <w:tab/>
        </w:r>
        <w:r w:rsidR="008618F2" w:rsidRPr="00DC3933">
          <w:rPr>
            <w:rStyle w:val="Hyperlink"/>
            <w:noProof/>
          </w:rPr>
          <w:t>Introduction</w:t>
        </w:r>
        <w:r w:rsidR="008618F2">
          <w:rPr>
            <w:noProof/>
            <w:webHidden/>
          </w:rPr>
          <w:tab/>
        </w:r>
        <w:r w:rsidR="008618F2">
          <w:rPr>
            <w:noProof/>
            <w:webHidden/>
          </w:rPr>
          <w:fldChar w:fldCharType="begin"/>
        </w:r>
        <w:r w:rsidR="008618F2">
          <w:rPr>
            <w:noProof/>
            <w:webHidden/>
          </w:rPr>
          <w:instrText xml:space="preserve"> PAGEREF _Toc134197740 \h </w:instrText>
        </w:r>
        <w:r w:rsidR="008618F2">
          <w:rPr>
            <w:noProof/>
            <w:webHidden/>
          </w:rPr>
        </w:r>
        <w:r w:rsidR="008618F2">
          <w:rPr>
            <w:noProof/>
            <w:webHidden/>
          </w:rPr>
          <w:fldChar w:fldCharType="separate"/>
        </w:r>
        <w:r w:rsidR="000720CB">
          <w:rPr>
            <w:noProof/>
            <w:webHidden/>
          </w:rPr>
          <w:t>14</w:t>
        </w:r>
        <w:r w:rsidR="008618F2">
          <w:rPr>
            <w:noProof/>
            <w:webHidden/>
          </w:rPr>
          <w:fldChar w:fldCharType="end"/>
        </w:r>
      </w:hyperlink>
    </w:p>
    <w:p w14:paraId="0F104062" w14:textId="19BF4AFB" w:rsidR="008618F2" w:rsidRDefault="009B5CEC" w:rsidP="008618F2">
      <w:pPr>
        <w:pStyle w:val="TOC1"/>
        <w:jc w:val="left"/>
        <w:rPr>
          <w:rFonts w:asciiTheme="minorHAnsi" w:eastAsiaTheme="minorEastAsia" w:hAnsiTheme="minorHAnsi" w:cstheme="minorBidi"/>
          <w:b w:val="0"/>
          <w:noProof/>
          <w:szCs w:val="22"/>
          <w:lang w:eastAsia="en-GB"/>
        </w:rPr>
      </w:pPr>
      <w:hyperlink w:anchor="_Toc134197741" w:history="1">
        <w:r w:rsidR="008618F2" w:rsidRPr="00DC3933">
          <w:rPr>
            <w:rStyle w:val="Hyperlink"/>
            <w:noProof/>
          </w:rPr>
          <w:t>1</w:t>
        </w:r>
        <w:r w:rsidR="008618F2">
          <w:rPr>
            <w:rFonts w:asciiTheme="minorHAnsi" w:eastAsiaTheme="minorEastAsia" w:hAnsiTheme="minorHAnsi" w:cstheme="minorBidi"/>
            <w:b w:val="0"/>
            <w:noProof/>
            <w:szCs w:val="22"/>
            <w:lang w:eastAsia="en-GB"/>
          </w:rPr>
          <w:tab/>
        </w:r>
        <w:r w:rsidR="008618F2" w:rsidRPr="00DC3933">
          <w:rPr>
            <w:rStyle w:val="Hyperlink"/>
            <w:noProof/>
          </w:rPr>
          <w:t>Scope</w:t>
        </w:r>
        <w:r w:rsidR="008618F2">
          <w:rPr>
            <w:noProof/>
            <w:webHidden/>
          </w:rPr>
          <w:tab/>
        </w:r>
        <w:r w:rsidR="008618F2">
          <w:rPr>
            <w:noProof/>
            <w:webHidden/>
          </w:rPr>
          <w:fldChar w:fldCharType="begin"/>
        </w:r>
        <w:r w:rsidR="008618F2">
          <w:rPr>
            <w:noProof/>
            <w:webHidden/>
          </w:rPr>
          <w:instrText xml:space="preserve"> PAGEREF _Toc134197741 \h </w:instrText>
        </w:r>
        <w:r w:rsidR="008618F2">
          <w:rPr>
            <w:noProof/>
            <w:webHidden/>
          </w:rPr>
        </w:r>
        <w:r w:rsidR="008618F2">
          <w:rPr>
            <w:noProof/>
            <w:webHidden/>
          </w:rPr>
          <w:fldChar w:fldCharType="separate"/>
        </w:r>
        <w:r w:rsidR="000720CB">
          <w:rPr>
            <w:noProof/>
            <w:webHidden/>
          </w:rPr>
          <w:t>17</w:t>
        </w:r>
        <w:r w:rsidR="008618F2">
          <w:rPr>
            <w:noProof/>
            <w:webHidden/>
          </w:rPr>
          <w:fldChar w:fldCharType="end"/>
        </w:r>
      </w:hyperlink>
    </w:p>
    <w:p w14:paraId="7D82B967" w14:textId="1ED7C443" w:rsidR="008618F2" w:rsidRDefault="009B5CEC" w:rsidP="008618F2">
      <w:pPr>
        <w:pStyle w:val="TOC2"/>
        <w:jc w:val="left"/>
        <w:rPr>
          <w:rFonts w:asciiTheme="minorHAnsi" w:eastAsiaTheme="minorEastAsia" w:hAnsiTheme="minorHAnsi" w:cstheme="minorBidi"/>
          <w:b w:val="0"/>
          <w:noProof/>
          <w:szCs w:val="22"/>
          <w:lang w:eastAsia="en-GB"/>
        </w:rPr>
      </w:pPr>
      <w:hyperlink w:anchor="_Toc134197742" w:history="1">
        <w:r w:rsidR="008618F2" w:rsidRPr="00DC3933">
          <w:rPr>
            <w:rStyle w:val="Hyperlink"/>
            <w:noProof/>
          </w:rPr>
          <w:t>1.1</w:t>
        </w:r>
        <w:r w:rsidR="008618F2">
          <w:rPr>
            <w:rFonts w:asciiTheme="minorHAnsi" w:eastAsiaTheme="minorEastAsia" w:hAnsiTheme="minorHAnsi" w:cstheme="minorBidi"/>
            <w:b w:val="0"/>
            <w:noProof/>
            <w:szCs w:val="22"/>
            <w:lang w:eastAsia="en-GB"/>
          </w:rPr>
          <w:tab/>
        </w:r>
        <w:r w:rsidR="008618F2" w:rsidRPr="00DC3933">
          <w:rPr>
            <w:rStyle w:val="Hyperlink"/>
            <w:noProof/>
          </w:rPr>
          <w:t>Scope of prEN 1998-1-2</w:t>
        </w:r>
        <w:r w:rsidR="008618F2">
          <w:rPr>
            <w:noProof/>
            <w:webHidden/>
          </w:rPr>
          <w:tab/>
        </w:r>
        <w:r w:rsidR="008618F2">
          <w:rPr>
            <w:noProof/>
            <w:webHidden/>
          </w:rPr>
          <w:fldChar w:fldCharType="begin"/>
        </w:r>
        <w:r w:rsidR="008618F2">
          <w:rPr>
            <w:noProof/>
            <w:webHidden/>
          </w:rPr>
          <w:instrText xml:space="preserve"> PAGEREF _Toc134197742 \h </w:instrText>
        </w:r>
        <w:r w:rsidR="008618F2">
          <w:rPr>
            <w:noProof/>
            <w:webHidden/>
          </w:rPr>
        </w:r>
        <w:r w:rsidR="008618F2">
          <w:rPr>
            <w:noProof/>
            <w:webHidden/>
          </w:rPr>
          <w:fldChar w:fldCharType="separate"/>
        </w:r>
        <w:r w:rsidR="000720CB">
          <w:rPr>
            <w:noProof/>
            <w:webHidden/>
          </w:rPr>
          <w:t>17</w:t>
        </w:r>
        <w:r w:rsidR="008618F2">
          <w:rPr>
            <w:noProof/>
            <w:webHidden/>
          </w:rPr>
          <w:fldChar w:fldCharType="end"/>
        </w:r>
      </w:hyperlink>
    </w:p>
    <w:p w14:paraId="1B0FA167" w14:textId="1414F405" w:rsidR="008618F2" w:rsidRDefault="009B5CEC" w:rsidP="008618F2">
      <w:pPr>
        <w:pStyle w:val="TOC2"/>
        <w:jc w:val="left"/>
        <w:rPr>
          <w:rFonts w:asciiTheme="minorHAnsi" w:eastAsiaTheme="minorEastAsia" w:hAnsiTheme="minorHAnsi" w:cstheme="minorBidi"/>
          <w:b w:val="0"/>
          <w:noProof/>
          <w:szCs w:val="22"/>
          <w:lang w:eastAsia="en-GB"/>
        </w:rPr>
      </w:pPr>
      <w:hyperlink w:anchor="_Toc134197743" w:history="1">
        <w:r w:rsidR="008618F2" w:rsidRPr="00DC3933">
          <w:rPr>
            <w:rStyle w:val="Hyperlink"/>
            <w:noProof/>
          </w:rPr>
          <w:t>1.2</w:t>
        </w:r>
        <w:r w:rsidR="008618F2">
          <w:rPr>
            <w:rFonts w:asciiTheme="minorHAnsi" w:eastAsiaTheme="minorEastAsia" w:hAnsiTheme="minorHAnsi" w:cstheme="minorBidi"/>
            <w:b w:val="0"/>
            <w:noProof/>
            <w:szCs w:val="22"/>
            <w:lang w:eastAsia="en-GB"/>
          </w:rPr>
          <w:tab/>
        </w:r>
        <w:r w:rsidR="008618F2" w:rsidRPr="00DC3933">
          <w:rPr>
            <w:rStyle w:val="Hyperlink"/>
            <w:noProof/>
          </w:rPr>
          <w:t>Assumptions</w:t>
        </w:r>
        <w:r w:rsidR="008618F2">
          <w:rPr>
            <w:noProof/>
            <w:webHidden/>
          </w:rPr>
          <w:tab/>
        </w:r>
        <w:r w:rsidR="008618F2">
          <w:rPr>
            <w:noProof/>
            <w:webHidden/>
          </w:rPr>
          <w:fldChar w:fldCharType="begin"/>
        </w:r>
        <w:r w:rsidR="008618F2">
          <w:rPr>
            <w:noProof/>
            <w:webHidden/>
          </w:rPr>
          <w:instrText xml:space="preserve"> PAGEREF _Toc134197743 \h </w:instrText>
        </w:r>
        <w:r w:rsidR="008618F2">
          <w:rPr>
            <w:noProof/>
            <w:webHidden/>
          </w:rPr>
        </w:r>
        <w:r w:rsidR="008618F2">
          <w:rPr>
            <w:noProof/>
            <w:webHidden/>
          </w:rPr>
          <w:fldChar w:fldCharType="separate"/>
        </w:r>
        <w:r w:rsidR="000720CB">
          <w:rPr>
            <w:noProof/>
            <w:webHidden/>
          </w:rPr>
          <w:t>17</w:t>
        </w:r>
        <w:r w:rsidR="008618F2">
          <w:rPr>
            <w:noProof/>
            <w:webHidden/>
          </w:rPr>
          <w:fldChar w:fldCharType="end"/>
        </w:r>
      </w:hyperlink>
    </w:p>
    <w:p w14:paraId="41AF9EFF" w14:textId="3811797F" w:rsidR="008618F2" w:rsidRDefault="009B5CEC" w:rsidP="008618F2">
      <w:pPr>
        <w:pStyle w:val="TOC1"/>
        <w:jc w:val="left"/>
        <w:rPr>
          <w:rFonts w:asciiTheme="minorHAnsi" w:eastAsiaTheme="minorEastAsia" w:hAnsiTheme="minorHAnsi" w:cstheme="minorBidi"/>
          <w:b w:val="0"/>
          <w:noProof/>
          <w:szCs w:val="22"/>
          <w:lang w:eastAsia="en-GB"/>
        </w:rPr>
      </w:pPr>
      <w:hyperlink w:anchor="_Toc134197744" w:history="1">
        <w:r w:rsidR="008618F2" w:rsidRPr="00DC3933">
          <w:rPr>
            <w:rStyle w:val="Hyperlink"/>
            <w:noProof/>
          </w:rPr>
          <w:t>2</w:t>
        </w:r>
        <w:r w:rsidR="008618F2">
          <w:rPr>
            <w:rFonts w:asciiTheme="minorHAnsi" w:eastAsiaTheme="minorEastAsia" w:hAnsiTheme="minorHAnsi" w:cstheme="minorBidi"/>
            <w:b w:val="0"/>
            <w:noProof/>
            <w:szCs w:val="22"/>
            <w:lang w:eastAsia="en-GB"/>
          </w:rPr>
          <w:tab/>
        </w:r>
        <w:r w:rsidR="008618F2" w:rsidRPr="00DC3933">
          <w:rPr>
            <w:rStyle w:val="Hyperlink"/>
            <w:noProof/>
          </w:rPr>
          <w:t>Normative references</w:t>
        </w:r>
        <w:r w:rsidR="008618F2">
          <w:rPr>
            <w:noProof/>
            <w:webHidden/>
          </w:rPr>
          <w:tab/>
        </w:r>
        <w:r w:rsidR="008618F2">
          <w:rPr>
            <w:noProof/>
            <w:webHidden/>
          </w:rPr>
          <w:fldChar w:fldCharType="begin"/>
        </w:r>
        <w:r w:rsidR="008618F2">
          <w:rPr>
            <w:noProof/>
            <w:webHidden/>
          </w:rPr>
          <w:instrText xml:space="preserve"> PAGEREF _Toc134197744 \h </w:instrText>
        </w:r>
        <w:r w:rsidR="008618F2">
          <w:rPr>
            <w:noProof/>
            <w:webHidden/>
          </w:rPr>
        </w:r>
        <w:r w:rsidR="008618F2">
          <w:rPr>
            <w:noProof/>
            <w:webHidden/>
          </w:rPr>
          <w:fldChar w:fldCharType="separate"/>
        </w:r>
        <w:r w:rsidR="000720CB">
          <w:rPr>
            <w:noProof/>
            <w:webHidden/>
          </w:rPr>
          <w:t>17</w:t>
        </w:r>
        <w:r w:rsidR="008618F2">
          <w:rPr>
            <w:noProof/>
            <w:webHidden/>
          </w:rPr>
          <w:fldChar w:fldCharType="end"/>
        </w:r>
      </w:hyperlink>
    </w:p>
    <w:p w14:paraId="0973676B" w14:textId="607728D1" w:rsidR="008618F2" w:rsidRDefault="009B5CEC" w:rsidP="008618F2">
      <w:pPr>
        <w:pStyle w:val="TOC1"/>
        <w:jc w:val="left"/>
        <w:rPr>
          <w:rFonts w:asciiTheme="minorHAnsi" w:eastAsiaTheme="minorEastAsia" w:hAnsiTheme="minorHAnsi" w:cstheme="minorBidi"/>
          <w:b w:val="0"/>
          <w:noProof/>
          <w:szCs w:val="22"/>
          <w:lang w:eastAsia="en-GB"/>
        </w:rPr>
      </w:pPr>
      <w:hyperlink w:anchor="_Toc134197745" w:history="1">
        <w:r w:rsidR="008618F2" w:rsidRPr="00DC3933">
          <w:rPr>
            <w:rStyle w:val="Hyperlink"/>
            <w:noProof/>
          </w:rPr>
          <w:t>3</w:t>
        </w:r>
        <w:r w:rsidR="008618F2">
          <w:rPr>
            <w:rFonts w:asciiTheme="minorHAnsi" w:eastAsiaTheme="minorEastAsia" w:hAnsiTheme="minorHAnsi" w:cstheme="minorBidi"/>
            <w:b w:val="0"/>
            <w:noProof/>
            <w:szCs w:val="22"/>
            <w:lang w:eastAsia="en-GB"/>
          </w:rPr>
          <w:tab/>
        </w:r>
        <w:r w:rsidR="008618F2" w:rsidRPr="00DC3933">
          <w:rPr>
            <w:rStyle w:val="Hyperlink"/>
            <w:noProof/>
          </w:rPr>
          <w:t>Terms, definitions and symbols</w:t>
        </w:r>
        <w:r w:rsidR="008618F2">
          <w:rPr>
            <w:noProof/>
            <w:webHidden/>
          </w:rPr>
          <w:tab/>
        </w:r>
        <w:r w:rsidR="008618F2">
          <w:rPr>
            <w:noProof/>
            <w:webHidden/>
          </w:rPr>
          <w:fldChar w:fldCharType="begin"/>
        </w:r>
        <w:r w:rsidR="008618F2">
          <w:rPr>
            <w:noProof/>
            <w:webHidden/>
          </w:rPr>
          <w:instrText xml:space="preserve"> PAGEREF _Toc134197745 \h </w:instrText>
        </w:r>
        <w:r w:rsidR="008618F2">
          <w:rPr>
            <w:noProof/>
            <w:webHidden/>
          </w:rPr>
        </w:r>
        <w:r w:rsidR="008618F2">
          <w:rPr>
            <w:noProof/>
            <w:webHidden/>
          </w:rPr>
          <w:fldChar w:fldCharType="separate"/>
        </w:r>
        <w:r w:rsidR="000720CB">
          <w:rPr>
            <w:noProof/>
            <w:webHidden/>
          </w:rPr>
          <w:t>17</w:t>
        </w:r>
        <w:r w:rsidR="008618F2">
          <w:rPr>
            <w:noProof/>
            <w:webHidden/>
          </w:rPr>
          <w:fldChar w:fldCharType="end"/>
        </w:r>
      </w:hyperlink>
    </w:p>
    <w:p w14:paraId="2B5331FD" w14:textId="1AECC6FE" w:rsidR="008618F2" w:rsidRDefault="009B5CEC" w:rsidP="008618F2">
      <w:pPr>
        <w:pStyle w:val="TOC2"/>
        <w:jc w:val="left"/>
        <w:rPr>
          <w:rFonts w:asciiTheme="minorHAnsi" w:eastAsiaTheme="minorEastAsia" w:hAnsiTheme="minorHAnsi" w:cstheme="minorBidi"/>
          <w:b w:val="0"/>
          <w:noProof/>
          <w:szCs w:val="22"/>
          <w:lang w:eastAsia="en-GB"/>
        </w:rPr>
      </w:pPr>
      <w:hyperlink w:anchor="_Toc134197746" w:history="1">
        <w:r w:rsidR="008618F2" w:rsidRPr="00DC3933">
          <w:rPr>
            <w:rStyle w:val="Hyperlink"/>
            <w:noProof/>
          </w:rPr>
          <w:t>3.1</w:t>
        </w:r>
        <w:r w:rsidR="008618F2">
          <w:rPr>
            <w:rFonts w:asciiTheme="minorHAnsi" w:eastAsiaTheme="minorEastAsia" w:hAnsiTheme="minorHAnsi" w:cstheme="minorBidi"/>
            <w:b w:val="0"/>
            <w:noProof/>
            <w:szCs w:val="22"/>
            <w:lang w:eastAsia="en-GB"/>
          </w:rPr>
          <w:tab/>
        </w:r>
        <w:r w:rsidR="008618F2" w:rsidRPr="00DC3933">
          <w:rPr>
            <w:rStyle w:val="Hyperlink"/>
            <w:noProof/>
          </w:rPr>
          <w:t>Terms and definitions</w:t>
        </w:r>
        <w:r w:rsidR="008618F2">
          <w:rPr>
            <w:noProof/>
            <w:webHidden/>
          </w:rPr>
          <w:tab/>
        </w:r>
        <w:r w:rsidR="008618F2">
          <w:rPr>
            <w:noProof/>
            <w:webHidden/>
          </w:rPr>
          <w:fldChar w:fldCharType="begin"/>
        </w:r>
        <w:r w:rsidR="008618F2">
          <w:rPr>
            <w:noProof/>
            <w:webHidden/>
          </w:rPr>
          <w:instrText xml:space="preserve"> PAGEREF _Toc134197746 \h </w:instrText>
        </w:r>
        <w:r w:rsidR="008618F2">
          <w:rPr>
            <w:noProof/>
            <w:webHidden/>
          </w:rPr>
        </w:r>
        <w:r w:rsidR="008618F2">
          <w:rPr>
            <w:noProof/>
            <w:webHidden/>
          </w:rPr>
          <w:fldChar w:fldCharType="separate"/>
        </w:r>
        <w:r w:rsidR="000720CB">
          <w:rPr>
            <w:noProof/>
            <w:webHidden/>
          </w:rPr>
          <w:t>17</w:t>
        </w:r>
        <w:r w:rsidR="008618F2">
          <w:rPr>
            <w:noProof/>
            <w:webHidden/>
          </w:rPr>
          <w:fldChar w:fldCharType="end"/>
        </w:r>
      </w:hyperlink>
    </w:p>
    <w:p w14:paraId="4E1A9142" w14:textId="33D54B13" w:rsidR="008618F2" w:rsidRDefault="009B5CEC" w:rsidP="008618F2">
      <w:pPr>
        <w:pStyle w:val="TOC2"/>
        <w:jc w:val="left"/>
        <w:rPr>
          <w:rFonts w:asciiTheme="minorHAnsi" w:eastAsiaTheme="minorEastAsia" w:hAnsiTheme="minorHAnsi" w:cstheme="minorBidi"/>
          <w:b w:val="0"/>
          <w:noProof/>
          <w:szCs w:val="22"/>
          <w:lang w:eastAsia="en-GB"/>
        </w:rPr>
      </w:pPr>
      <w:hyperlink w:anchor="_Toc134197783" w:history="1">
        <w:r w:rsidR="008618F2" w:rsidRPr="00DC3933">
          <w:rPr>
            <w:rStyle w:val="Hyperlink"/>
            <w:noProof/>
          </w:rPr>
          <w:t>3.2</w:t>
        </w:r>
        <w:r w:rsidR="008618F2">
          <w:rPr>
            <w:rFonts w:asciiTheme="minorHAnsi" w:eastAsiaTheme="minorEastAsia" w:hAnsiTheme="minorHAnsi" w:cstheme="minorBidi"/>
            <w:b w:val="0"/>
            <w:noProof/>
            <w:szCs w:val="22"/>
            <w:lang w:eastAsia="en-GB"/>
          </w:rPr>
          <w:tab/>
        </w:r>
        <w:r w:rsidR="008618F2" w:rsidRPr="00DC3933">
          <w:rPr>
            <w:rStyle w:val="Hyperlink"/>
            <w:noProof/>
          </w:rPr>
          <w:t>Symbols and abbreviations</w:t>
        </w:r>
        <w:r w:rsidR="008618F2">
          <w:rPr>
            <w:noProof/>
            <w:webHidden/>
          </w:rPr>
          <w:tab/>
        </w:r>
        <w:r w:rsidR="008618F2">
          <w:rPr>
            <w:noProof/>
            <w:webHidden/>
          </w:rPr>
          <w:fldChar w:fldCharType="begin"/>
        </w:r>
        <w:r w:rsidR="008618F2">
          <w:rPr>
            <w:noProof/>
            <w:webHidden/>
          </w:rPr>
          <w:instrText xml:space="preserve"> PAGEREF _Toc134197783 \h </w:instrText>
        </w:r>
        <w:r w:rsidR="008618F2">
          <w:rPr>
            <w:noProof/>
            <w:webHidden/>
          </w:rPr>
        </w:r>
        <w:r w:rsidR="008618F2">
          <w:rPr>
            <w:noProof/>
            <w:webHidden/>
          </w:rPr>
          <w:fldChar w:fldCharType="separate"/>
        </w:r>
        <w:r w:rsidR="000720CB">
          <w:rPr>
            <w:noProof/>
            <w:webHidden/>
          </w:rPr>
          <w:t>21</w:t>
        </w:r>
        <w:r w:rsidR="008618F2">
          <w:rPr>
            <w:noProof/>
            <w:webHidden/>
          </w:rPr>
          <w:fldChar w:fldCharType="end"/>
        </w:r>
      </w:hyperlink>
    </w:p>
    <w:p w14:paraId="6C436BA3" w14:textId="63BE1C17" w:rsidR="008618F2" w:rsidRDefault="009B5CEC" w:rsidP="008618F2">
      <w:pPr>
        <w:pStyle w:val="TOC3"/>
        <w:jc w:val="left"/>
        <w:rPr>
          <w:rFonts w:asciiTheme="minorHAnsi" w:eastAsiaTheme="minorEastAsia" w:hAnsiTheme="minorHAnsi" w:cstheme="minorBidi"/>
          <w:b w:val="0"/>
          <w:noProof/>
          <w:szCs w:val="22"/>
          <w:lang w:eastAsia="en-GB"/>
        </w:rPr>
      </w:pPr>
      <w:hyperlink w:anchor="_Toc134197784" w:history="1">
        <w:r w:rsidR="008618F2" w:rsidRPr="00DC3933">
          <w:rPr>
            <w:rStyle w:val="Hyperlink"/>
            <w:noProof/>
          </w:rPr>
          <w:t>3.2.1</w:t>
        </w:r>
        <w:r w:rsidR="008618F2">
          <w:rPr>
            <w:rFonts w:asciiTheme="minorHAnsi" w:eastAsiaTheme="minorEastAsia" w:hAnsiTheme="minorHAnsi" w:cstheme="minorBidi"/>
            <w:b w:val="0"/>
            <w:noProof/>
            <w:szCs w:val="22"/>
            <w:lang w:eastAsia="en-GB"/>
          </w:rPr>
          <w:tab/>
        </w:r>
        <w:r w:rsidR="008618F2" w:rsidRPr="00DC3933">
          <w:rPr>
            <w:rStyle w:val="Hyperlink"/>
            <w:noProof/>
          </w:rPr>
          <w:t>Symbols</w:t>
        </w:r>
        <w:r w:rsidR="008618F2">
          <w:rPr>
            <w:noProof/>
            <w:webHidden/>
          </w:rPr>
          <w:tab/>
        </w:r>
        <w:r w:rsidR="008618F2">
          <w:rPr>
            <w:noProof/>
            <w:webHidden/>
          </w:rPr>
          <w:fldChar w:fldCharType="begin"/>
        </w:r>
        <w:r w:rsidR="008618F2">
          <w:rPr>
            <w:noProof/>
            <w:webHidden/>
          </w:rPr>
          <w:instrText xml:space="preserve"> PAGEREF _Toc134197784 \h </w:instrText>
        </w:r>
        <w:r w:rsidR="008618F2">
          <w:rPr>
            <w:noProof/>
            <w:webHidden/>
          </w:rPr>
        </w:r>
        <w:r w:rsidR="008618F2">
          <w:rPr>
            <w:noProof/>
            <w:webHidden/>
          </w:rPr>
          <w:fldChar w:fldCharType="separate"/>
        </w:r>
        <w:r w:rsidR="000720CB">
          <w:rPr>
            <w:noProof/>
            <w:webHidden/>
          </w:rPr>
          <w:t>22</w:t>
        </w:r>
        <w:r w:rsidR="008618F2">
          <w:rPr>
            <w:noProof/>
            <w:webHidden/>
          </w:rPr>
          <w:fldChar w:fldCharType="end"/>
        </w:r>
      </w:hyperlink>
    </w:p>
    <w:p w14:paraId="7185442C" w14:textId="6DE6BD6A" w:rsidR="008618F2" w:rsidRDefault="009B5CEC" w:rsidP="008618F2">
      <w:pPr>
        <w:pStyle w:val="TOC3"/>
        <w:jc w:val="left"/>
        <w:rPr>
          <w:rFonts w:asciiTheme="minorHAnsi" w:eastAsiaTheme="minorEastAsia" w:hAnsiTheme="minorHAnsi" w:cstheme="minorBidi"/>
          <w:b w:val="0"/>
          <w:noProof/>
          <w:szCs w:val="22"/>
          <w:lang w:eastAsia="en-GB"/>
        </w:rPr>
      </w:pPr>
      <w:hyperlink w:anchor="_Toc134197785" w:history="1">
        <w:r w:rsidR="008618F2" w:rsidRPr="00DC3933">
          <w:rPr>
            <w:rStyle w:val="Hyperlink"/>
            <w:noProof/>
          </w:rPr>
          <w:t>3.2.2</w:t>
        </w:r>
        <w:r w:rsidR="008618F2">
          <w:rPr>
            <w:rFonts w:asciiTheme="minorHAnsi" w:eastAsiaTheme="minorEastAsia" w:hAnsiTheme="minorHAnsi" w:cstheme="minorBidi"/>
            <w:b w:val="0"/>
            <w:noProof/>
            <w:szCs w:val="22"/>
            <w:lang w:eastAsia="en-GB"/>
          </w:rPr>
          <w:tab/>
        </w:r>
        <w:r w:rsidR="008618F2" w:rsidRPr="00DC3933">
          <w:rPr>
            <w:rStyle w:val="Hyperlink"/>
            <w:noProof/>
          </w:rPr>
          <w:t>Abbreviations</w:t>
        </w:r>
        <w:r w:rsidR="008618F2">
          <w:rPr>
            <w:noProof/>
            <w:webHidden/>
          </w:rPr>
          <w:tab/>
        </w:r>
        <w:r w:rsidR="008618F2">
          <w:rPr>
            <w:noProof/>
            <w:webHidden/>
          </w:rPr>
          <w:fldChar w:fldCharType="begin"/>
        </w:r>
        <w:r w:rsidR="008618F2">
          <w:rPr>
            <w:noProof/>
            <w:webHidden/>
          </w:rPr>
          <w:instrText xml:space="preserve"> PAGEREF _Toc134197785 \h </w:instrText>
        </w:r>
        <w:r w:rsidR="008618F2">
          <w:rPr>
            <w:noProof/>
            <w:webHidden/>
          </w:rPr>
        </w:r>
        <w:r w:rsidR="008618F2">
          <w:rPr>
            <w:noProof/>
            <w:webHidden/>
          </w:rPr>
          <w:fldChar w:fldCharType="separate"/>
        </w:r>
        <w:r w:rsidR="000720CB">
          <w:rPr>
            <w:noProof/>
            <w:webHidden/>
          </w:rPr>
          <w:t>40</w:t>
        </w:r>
        <w:r w:rsidR="008618F2">
          <w:rPr>
            <w:noProof/>
            <w:webHidden/>
          </w:rPr>
          <w:fldChar w:fldCharType="end"/>
        </w:r>
      </w:hyperlink>
    </w:p>
    <w:p w14:paraId="209544D9" w14:textId="637B6728" w:rsidR="008618F2" w:rsidRDefault="009B5CEC" w:rsidP="008618F2">
      <w:pPr>
        <w:pStyle w:val="TOC2"/>
        <w:jc w:val="left"/>
        <w:rPr>
          <w:rFonts w:asciiTheme="minorHAnsi" w:eastAsiaTheme="minorEastAsia" w:hAnsiTheme="minorHAnsi" w:cstheme="minorBidi"/>
          <w:b w:val="0"/>
          <w:noProof/>
          <w:szCs w:val="22"/>
          <w:lang w:eastAsia="en-GB"/>
        </w:rPr>
      </w:pPr>
      <w:hyperlink w:anchor="_Toc134197786" w:history="1">
        <w:r w:rsidR="008618F2" w:rsidRPr="00DC3933">
          <w:rPr>
            <w:rStyle w:val="Hyperlink"/>
            <w:noProof/>
          </w:rPr>
          <w:t>3.3</w:t>
        </w:r>
        <w:r w:rsidR="008618F2">
          <w:rPr>
            <w:rFonts w:asciiTheme="minorHAnsi" w:eastAsiaTheme="minorEastAsia" w:hAnsiTheme="minorHAnsi" w:cstheme="minorBidi"/>
            <w:b w:val="0"/>
            <w:noProof/>
            <w:szCs w:val="22"/>
            <w:lang w:eastAsia="en-GB"/>
          </w:rPr>
          <w:tab/>
        </w:r>
        <w:r w:rsidR="008618F2" w:rsidRPr="00DC3933">
          <w:rPr>
            <w:rStyle w:val="Hyperlink"/>
            <w:noProof/>
          </w:rPr>
          <w:t>S.I. Units</w:t>
        </w:r>
        <w:r w:rsidR="008618F2">
          <w:rPr>
            <w:noProof/>
            <w:webHidden/>
          </w:rPr>
          <w:tab/>
        </w:r>
        <w:r w:rsidR="008618F2">
          <w:rPr>
            <w:noProof/>
            <w:webHidden/>
          </w:rPr>
          <w:fldChar w:fldCharType="begin"/>
        </w:r>
        <w:r w:rsidR="008618F2">
          <w:rPr>
            <w:noProof/>
            <w:webHidden/>
          </w:rPr>
          <w:instrText xml:space="preserve"> PAGEREF _Toc134197786 \h </w:instrText>
        </w:r>
        <w:r w:rsidR="008618F2">
          <w:rPr>
            <w:noProof/>
            <w:webHidden/>
          </w:rPr>
        </w:r>
        <w:r w:rsidR="008618F2">
          <w:rPr>
            <w:noProof/>
            <w:webHidden/>
          </w:rPr>
          <w:fldChar w:fldCharType="separate"/>
        </w:r>
        <w:r w:rsidR="000720CB">
          <w:rPr>
            <w:noProof/>
            <w:webHidden/>
          </w:rPr>
          <w:t>40</w:t>
        </w:r>
        <w:r w:rsidR="008618F2">
          <w:rPr>
            <w:noProof/>
            <w:webHidden/>
          </w:rPr>
          <w:fldChar w:fldCharType="end"/>
        </w:r>
      </w:hyperlink>
    </w:p>
    <w:p w14:paraId="197EEBDC" w14:textId="5100167F" w:rsidR="008618F2" w:rsidRDefault="009B5CEC" w:rsidP="008618F2">
      <w:pPr>
        <w:pStyle w:val="TOC1"/>
        <w:jc w:val="left"/>
        <w:rPr>
          <w:rFonts w:asciiTheme="minorHAnsi" w:eastAsiaTheme="minorEastAsia" w:hAnsiTheme="minorHAnsi" w:cstheme="minorBidi"/>
          <w:b w:val="0"/>
          <w:noProof/>
          <w:szCs w:val="22"/>
          <w:lang w:eastAsia="en-GB"/>
        </w:rPr>
      </w:pPr>
      <w:hyperlink w:anchor="_Toc134197787" w:history="1">
        <w:r w:rsidR="008618F2" w:rsidRPr="00DC3933">
          <w:rPr>
            <w:rStyle w:val="Hyperlink"/>
            <w:noProof/>
          </w:rPr>
          <w:t>4</w:t>
        </w:r>
        <w:r w:rsidR="008618F2">
          <w:rPr>
            <w:rFonts w:asciiTheme="minorHAnsi" w:eastAsiaTheme="minorEastAsia" w:hAnsiTheme="minorHAnsi" w:cstheme="minorBidi"/>
            <w:b w:val="0"/>
            <w:noProof/>
            <w:szCs w:val="22"/>
            <w:lang w:eastAsia="en-GB"/>
          </w:rPr>
          <w:tab/>
        </w:r>
        <w:r w:rsidR="008618F2" w:rsidRPr="00DC3933">
          <w:rPr>
            <w:rStyle w:val="Hyperlink"/>
            <w:noProof/>
          </w:rPr>
          <w:t>Basis of design</w:t>
        </w:r>
        <w:r w:rsidR="008618F2">
          <w:rPr>
            <w:noProof/>
            <w:webHidden/>
          </w:rPr>
          <w:tab/>
        </w:r>
        <w:r w:rsidR="008618F2">
          <w:rPr>
            <w:noProof/>
            <w:webHidden/>
          </w:rPr>
          <w:fldChar w:fldCharType="begin"/>
        </w:r>
        <w:r w:rsidR="008618F2">
          <w:rPr>
            <w:noProof/>
            <w:webHidden/>
          </w:rPr>
          <w:instrText xml:space="preserve"> PAGEREF _Toc134197787 \h </w:instrText>
        </w:r>
        <w:r w:rsidR="008618F2">
          <w:rPr>
            <w:noProof/>
            <w:webHidden/>
          </w:rPr>
        </w:r>
        <w:r w:rsidR="008618F2">
          <w:rPr>
            <w:noProof/>
            <w:webHidden/>
          </w:rPr>
          <w:fldChar w:fldCharType="separate"/>
        </w:r>
        <w:r w:rsidR="000720CB">
          <w:rPr>
            <w:noProof/>
            <w:webHidden/>
          </w:rPr>
          <w:t>42</w:t>
        </w:r>
        <w:r w:rsidR="008618F2">
          <w:rPr>
            <w:noProof/>
            <w:webHidden/>
          </w:rPr>
          <w:fldChar w:fldCharType="end"/>
        </w:r>
      </w:hyperlink>
    </w:p>
    <w:p w14:paraId="352B2526" w14:textId="45AFDDA7" w:rsidR="008618F2" w:rsidRDefault="009B5CEC" w:rsidP="008618F2">
      <w:pPr>
        <w:pStyle w:val="TOC2"/>
        <w:jc w:val="left"/>
        <w:rPr>
          <w:rFonts w:asciiTheme="minorHAnsi" w:eastAsiaTheme="minorEastAsia" w:hAnsiTheme="minorHAnsi" w:cstheme="minorBidi"/>
          <w:b w:val="0"/>
          <w:noProof/>
          <w:szCs w:val="22"/>
          <w:lang w:eastAsia="en-GB"/>
        </w:rPr>
      </w:pPr>
      <w:hyperlink w:anchor="_Toc134197788" w:history="1">
        <w:r w:rsidR="008618F2" w:rsidRPr="00DC3933">
          <w:rPr>
            <w:rStyle w:val="Hyperlink"/>
            <w:noProof/>
          </w:rPr>
          <w:t>4.1</w:t>
        </w:r>
        <w:r w:rsidR="008618F2">
          <w:rPr>
            <w:rFonts w:asciiTheme="minorHAnsi" w:eastAsiaTheme="minorEastAsia" w:hAnsiTheme="minorHAnsi" w:cstheme="minorBidi"/>
            <w:b w:val="0"/>
            <w:noProof/>
            <w:szCs w:val="22"/>
            <w:lang w:eastAsia="en-GB"/>
          </w:rPr>
          <w:tab/>
        </w:r>
        <w:r w:rsidR="008618F2" w:rsidRPr="00DC3933">
          <w:rPr>
            <w:rStyle w:val="Hyperlink"/>
            <w:noProof/>
          </w:rPr>
          <w:t>Performance requirements</w:t>
        </w:r>
        <w:r w:rsidR="008618F2">
          <w:rPr>
            <w:noProof/>
            <w:webHidden/>
          </w:rPr>
          <w:tab/>
        </w:r>
        <w:r w:rsidR="008618F2">
          <w:rPr>
            <w:noProof/>
            <w:webHidden/>
          </w:rPr>
          <w:fldChar w:fldCharType="begin"/>
        </w:r>
        <w:r w:rsidR="008618F2">
          <w:rPr>
            <w:noProof/>
            <w:webHidden/>
          </w:rPr>
          <w:instrText xml:space="preserve"> PAGEREF _Toc134197788 \h </w:instrText>
        </w:r>
        <w:r w:rsidR="008618F2">
          <w:rPr>
            <w:noProof/>
            <w:webHidden/>
          </w:rPr>
        </w:r>
        <w:r w:rsidR="008618F2">
          <w:rPr>
            <w:noProof/>
            <w:webHidden/>
          </w:rPr>
          <w:fldChar w:fldCharType="separate"/>
        </w:r>
        <w:r w:rsidR="000720CB">
          <w:rPr>
            <w:noProof/>
            <w:webHidden/>
          </w:rPr>
          <w:t>42</w:t>
        </w:r>
        <w:r w:rsidR="008618F2">
          <w:rPr>
            <w:noProof/>
            <w:webHidden/>
          </w:rPr>
          <w:fldChar w:fldCharType="end"/>
        </w:r>
      </w:hyperlink>
    </w:p>
    <w:p w14:paraId="533CEE8E" w14:textId="0A37712F" w:rsidR="008618F2" w:rsidRDefault="009B5CEC" w:rsidP="008618F2">
      <w:pPr>
        <w:pStyle w:val="TOC2"/>
        <w:jc w:val="left"/>
        <w:rPr>
          <w:rFonts w:asciiTheme="minorHAnsi" w:eastAsiaTheme="minorEastAsia" w:hAnsiTheme="minorHAnsi" w:cstheme="minorBidi"/>
          <w:b w:val="0"/>
          <w:noProof/>
          <w:szCs w:val="22"/>
          <w:lang w:eastAsia="en-GB"/>
        </w:rPr>
      </w:pPr>
      <w:hyperlink w:anchor="_Toc134197789" w:history="1">
        <w:r w:rsidR="008618F2" w:rsidRPr="00DC3933">
          <w:rPr>
            <w:rStyle w:val="Hyperlink"/>
            <w:noProof/>
          </w:rPr>
          <w:t>4.2</w:t>
        </w:r>
        <w:r w:rsidR="008618F2">
          <w:rPr>
            <w:rFonts w:asciiTheme="minorHAnsi" w:eastAsiaTheme="minorEastAsia" w:hAnsiTheme="minorHAnsi" w:cstheme="minorBidi"/>
            <w:b w:val="0"/>
            <w:noProof/>
            <w:szCs w:val="22"/>
            <w:lang w:eastAsia="en-GB"/>
          </w:rPr>
          <w:tab/>
        </w:r>
        <w:r w:rsidR="008618F2" w:rsidRPr="00DC3933">
          <w:rPr>
            <w:rStyle w:val="Hyperlink"/>
            <w:noProof/>
          </w:rPr>
          <w:t>Seismic actions</w:t>
        </w:r>
        <w:r w:rsidR="008618F2">
          <w:rPr>
            <w:noProof/>
            <w:webHidden/>
          </w:rPr>
          <w:tab/>
        </w:r>
        <w:r w:rsidR="008618F2">
          <w:rPr>
            <w:noProof/>
            <w:webHidden/>
          </w:rPr>
          <w:fldChar w:fldCharType="begin"/>
        </w:r>
        <w:r w:rsidR="008618F2">
          <w:rPr>
            <w:noProof/>
            <w:webHidden/>
          </w:rPr>
          <w:instrText xml:space="preserve"> PAGEREF _Toc134197789 \h </w:instrText>
        </w:r>
        <w:r w:rsidR="008618F2">
          <w:rPr>
            <w:noProof/>
            <w:webHidden/>
          </w:rPr>
        </w:r>
        <w:r w:rsidR="008618F2">
          <w:rPr>
            <w:noProof/>
            <w:webHidden/>
          </w:rPr>
          <w:fldChar w:fldCharType="separate"/>
        </w:r>
        <w:r w:rsidR="000720CB">
          <w:rPr>
            <w:noProof/>
            <w:webHidden/>
          </w:rPr>
          <w:t>42</w:t>
        </w:r>
        <w:r w:rsidR="008618F2">
          <w:rPr>
            <w:noProof/>
            <w:webHidden/>
          </w:rPr>
          <w:fldChar w:fldCharType="end"/>
        </w:r>
      </w:hyperlink>
    </w:p>
    <w:p w14:paraId="6398AFED" w14:textId="215FDE71" w:rsidR="008618F2" w:rsidRDefault="009B5CEC" w:rsidP="008618F2">
      <w:pPr>
        <w:pStyle w:val="TOC2"/>
        <w:jc w:val="left"/>
        <w:rPr>
          <w:rFonts w:asciiTheme="minorHAnsi" w:eastAsiaTheme="minorEastAsia" w:hAnsiTheme="minorHAnsi" w:cstheme="minorBidi"/>
          <w:b w:val="0"/>
          <w:noProof/>
          <w:szCs w:val="22"/>
          <w:lang w:eastAsia="en-GB"/>
        </w:rPr>
      </w:pPr>
      <w:hyperlink w:anchor="_Toc134197790" w:history="1">
        <w:r w:rsidR="008618F2" w:rsidRPr="00DC3933">
          <w:rPr>
            <w:rStyle w:val="Hyperlink"/>
            <w:noProof/>
          </w:rPr>
          <w:t>4.3</w:t>
        </w:r>
        <w:r w:rsidR="008618F2">
          <w:rPr>
            <w:rFonts w:asciiTheme="minorHAnsi" w:eastAsiaTheme="minorEastAsia" w:hAnsiTheme="minorHAnsi" w:cstheme="minorBidi"/>
            <w:b w:val="0"/>
            <w:noProof/>
            <w:szCs w:val="22"/>
            <w:lang w:eastAsia="en-GB"/>
          </w:rPr>
          <w:tab/>
        </w:r>
        <w:r w:rsidR="008618F2" w:rsidRPr="00DC3933">
          <w:rPr>
            <w:rStyle w:val="Hyperlink"/>
            <w:noProof/>
          </w:rPr>
          <w:t>Compliance criteria</w:t>
        </w:r>
        <w:r w:rsidR="008618F2">
          <w:rPr>
            <w:noProof/>
            <w:webHidden/>
          </w:rPr>
          <w:tab/>
        </w:r>
        <w:r w:rsidR="008618F2">
          <w:rPr>
            <w:noProof/>
            <w:webHidden/>
          </w:rPr>
          <w:fldChar w:fldCharType="begin"/>
        </w:r>
        <w:r w:rsidR="008618F2">
          <w:rPr>
            <w:noProof/>
            <w:webHidden/>
          </w:rPr>
          <w:instrText xml:space="preserve"> PAGEREF _Toc134197790 \h </w:instrText>
        </w:r>
        <w:r w:rsidR="008618F2">
          <w:rPr>
            <w:noProof/>
            <w:webHidden/>
          </w:rPr>
        </w:r>
        <w:r w:rsidR="008618F2">
          <w:rPr>
            <w:noProof/>
            <w:webHidden/>
          </w:rPr>
          <w:fldChar w:fldCharType="separate"/>
        </w:r>
        <w:r w:rsidR="000720CB">
          <w:rPr>
            <w:noProof/>
            <w:webHidden/>
          </w:rPr>
          <w:t>43</w:t>
        </w:r>
        <w:r w:rsidR="008618F2">
          <w:rPr>
            <w:noProof/>
            <w:webHidden/>
          </w:rPr>
          <w:fldChar w:fldCharType="end"/>
        </w:r>
      </w:hyperlink>
    </w:p>
    <w:p w14:paraId="73A1F7FA" w14:textId="7A74F9AF" w:rsidR="008618F2" w:rsidRDefault="009B5CEC" w:rsidP="008618F2">
      <w:pPr>
        <w:pStyle w:val="TOC2"/>
        <w:jc w:val="left"/>
        <w:rPr>
          <w:rFonts w:asciiTheme="minorHAnsi" w:eastAsiaTheme="minorEastAsia" w:hAnsiTheme="minorHAnsi" w:cstheme="minorBidi"/>
          <w:b w:val="0"/>
          <w:noProof/>
          <w:szCs w:val="22"/>
          <w:lang w:eastAsia="en-GB"/>
        </w:rPr>
      </w:pPr>
      <w:hyperlink w:anchor="_Toc134197791" w:history="1">
        <w:r w:rsidR="008618F2" w:rsidRPr="00DC3933">
          <w:rPr>
            <w:rStyle w:val="Hyperlink"/>
            <w:noProof/>
          </w:rPr>
          <w:t>4.4</w:t>
        </w:r>
        <w:r w:rsidR="008618F2">
          <w:rPr>
            <w:rFonts w:asciiTheme="minorHAnsi" w:eastAsiaTheme="minorEastAsia" w:hAnsiTheme="minorHAnsi" w:cstheme="minorBidi"/>
            <w:b w:val="0"/>
            <w:noProof/>
            <w:szCs w:val="22"/>
            <w:lang w:eastAsia="en-GB"/>
          </w:rPr>
          <w:tab/>
        </w:r>
        <w:r w:rsidR="008618F2" w:rsidRPr="00DC3933">
          <w:rPr>
            <w:rStyle w:val="Hyperlink"/>
            <w:noProof/>
          </w:rPr>
          <w:t>Characteristics of earthquake resistant buildings</w:t>
        </w:r>
        <w:r w:rsidR="008618F2">
          <w:rPr>
            <w:noProof/>
            <w:webHidden/>
          </w:rPr>
          <w:tab/>
        </w:r>
        <w:r w:rsidR="008618F2">
          <w:rPr>
            <w:noProof/>
            <w:webHidden/>
          </w:rPr>
          <w:fldChar w:fldCharType="begin"/>
        </w:r>
        <w:r w:rsidR="008618F2">
          <w:rPr>
            <w:noProof/>
            <w:webHidden/>
          </w:rPr>
          <w:instrText xml:space="preserve"> PAGEREF _Toc134197791 \h </w:instrText>
        </w:r>
        <w:r w:rsidR="008618F2">
          <w:rPr>
            <w:noProof/>
            <w:webHidden/>
          </w:rPr>
        </w:r>
        <w:r w:rsidR="008618F2">
          <w:rPr>
            <w:noProof/>
            <w:webHidden/>
          </w:rPr>
          <w:fldChar w:fldCharType="separate"/>
        </w:r>
        <w:r w:rsidR="000720CB">
          <w:rPr>
            <w:noProof/>
            <w:webHidden/>
          </w:rPr>
          <w:t>43</w:t>
        </w:r>
        <w:r w:rsidR="008618F2">
          <w:rPr>
            <w:noProof/>
            <w:webHidden/>
          </w:rPr>
          <w:fldChar w:fldCharType="end"/>
        </w:r>
      </w:hyperlink>
    </w:p>
    <w:p w14:paraId="27B32CB4" w14:textId="10E67890" w:rsidR="008618F2" w:rsidRDefault="009B5CEC" w:rsidP="008618F2">
      <w:pPr>
        <w:pStyle w:val="TOC3"/>
        <w:jc w:val="left"/>
        <w:rPr>
          <w:rFonts w:asciiTheme="minorHAnsi" w:eastAsiaTheme="minorEastAsia" w:hAnsiTheme="minorHAnsi" w:cstheme="minorBidi"/>
          <w:b w:val="0"/>
          <w:noProof/>
          <w:szCs w:val="22"/>
          <w:lang w:eastAsia="en-GB"/>
        </w:rPr>
      </w:pPr>
      <w:hyperlink w:anchor="_Toc134197792" w:history="1">
        <w:r w:rsidR="008618F2" w:rsidRPr="00DC3933">
          <w:rPr>
            <w:rStyle w:val="Hyperlink"/>
            <w:noProof/>
          </w:rPr>
          <w:t>4.4.1</w:t>
        </w:r>
        <w:r w:rsidR="008618F2">
          <w:rPr>
            <w:rFonts w:asciiTheme="minorHAnsi" w:eastAsiaTheme="minorEastAsia" w:hAnsiTheme="minorHAnsi" w:cstheme="minorBidi"/>
            <w:b w:val="0"/>
            <w:noProof/>
            <w:szCs w:val="22"/>
            <w:lang w:eastAsia="en-GB"/>
          </w:rPr>
          <w:tab/>
        </w:r>
        <w:r w:rsidR="008618F2" w:rsidRPr="00DC3933">
          <w:rPr>
            <w:rStyle w:val="Hyperlink"/>
            <w:noProof/>
          </w:rPr>
          <w:t>Conceptual design</w:t>
        </w:r>
        <w:r w:rsidR="008618F2">
          <w:rPr>
            <w:noProof/>
            <w:webHidden/>
          </w:rPr>
          <w:tab/>
        </w:r>
        <w:r w:rsidR="008618F2">
          <w:rPr>
            <w:noProof/>
            <w:webHidden/>
          </w:rPr>
          <w:fldChar w:fldCharType="begin"/>
        </w:r>
        <w:r w:rsidR="008618F2">
          <w:rPr>
            <w:noProof/>
            <w:webHidden/>
          </w:rPr>
          <w:instrText xml:space="preserve"> PAGEREF _Toc134197792 \h </w:instrText>
        </w:r>
        <w:r w:rsidR="008618F2">
          <w:rPr>
            <w:noProof/>
            <w:webHidden/>
          </w:rPr>
        </w:r>
        <w:r w:rsidR="008618F2">
          <w:rPr>
            <w:noProof/>
            <w:webHidden/>
          </w:rPr>
          <w:fldChar w:fldCharType="separate"/>
        </w:r>
        <w:r w:rsidR="000720CB">
          <w:rPr>
            <w:noProof/>
            <w:webHidden/>
          </w:rPr>
          <w:t>43</w:t>
        </w:r>
        <w:r w:rsidR="008618F2">
          <w:rPr>
            <w:noProof/>
            <w:webHidden/>
          </w:rPr>
          <w:fldChar w:fldCharType="end"/>
        </w:r>
      </w:hyperlink>
    </w:p>
    <w:p w14:paraId="1FC6CB09" w14:textId="03B77766" w:rsidR="008618F2" w:rsidRDefault="009B5CEC" w:rsidP="008618F2">
      <w:pPr>
        <w:pStyle w:val="TOC3"/>
        <w:jc w:val="left"/>
        <w:rPr>
          <w:rFonts w:asciiTheme="minorHAnsi" w:eastAsiaTheme="minorEastAsia" w:hAnsiTheme="minorHAnsi" w:cstheme="minorBidi"/>
          <w:b w:val="0"/>
          <w:noProof/>
          <w:szCs w:val="22"/>
          <w:lang w:eastAsia="en-GB"/>
        </w:rPr>
      </w:pPr>
      <w:hyperlink w:anchor="_Toc134197793" w:history="1">
        <w:r w:rsidR="008618F2" w:rsidRPr="00DC3933">
          <w:rPr>
            <w:rStyle w:val="Hyperlink"/>
            <w:noProof/>
          </w:rPr>
          <w:t>4.4.2</w:t>
        </w:r>
        <w:r w:rsidR="008618F2">
          <w:rPr>
            <w:rFonts w:asciiTheme="minorHAnsi" w:eastAsiaTheme="minorEastAsia" w:hAnsiTheme="minorHAnsi" w:cstheme="minorBidi"/>
            <w:b w:val="0"/>
            <w:noProof/>
            <w:szCs w:val="22"/>
            <w:lang w:eastAsia="en-GB"/>
          </w:rPr>
          <w:tab/>
        </w:r>
        <w:r w:rsidR="008618F2" w:rsidRPr="00DC3933">
          <w:rPr>
            <w:rStyle w:val="Hyperlink"/>
            <w:noProof/>
          </w:rPr>
          <w:t>Primary and secondary seismic members</w:t>
        </w:r>
        <w:r w:rsidR="008618F2">
          <w:rPr>
            <w:noProof/>
            <w:webHidden/>
          </w:rPr>
          <w:tab/>
        </w:r>
        <w:r w:rsidR="008618F2">
          <w:rPr>
            <w:noProof/>
            <w:webHidden/>
          </w:rPr>
          <w:fldChar w:fldCharType="begin"/>
        </w:r>
        <w:r w:rsidR="008618F2">
          <w:rPr>
            <w:noProof/>
            <w:webHidden/>
          </w:rPr>
          <w:instrText xml:space="preserve"> PAGEREF _Toc134197793 \h </w:instrText>
        </w:r>
        <w:r w:rsidR="008618F2">
          <w:rPr>
            <w:noProof/>
            <w:webHidden/>
          </w:rPr>
        </w:r>
        <w:r w:rsidR="008618F2">
          <w:rPr>
            <w:noProof/>
            <w:webHidden/>
          </w:rPr>
          <w:fldChar w:fldCharType="separate"/>
        </w:r>
        <w:r w:rsidR="000720CB">
          <w:rPr>
            <w:noProof/>
            <w:webHidden/>
          </w:rPr>
          <w:t>44</w:t>
        </w:r>
        <w:r w:rsidR="008618F2">
          <w:rPr>
            <w:noProof/>
            <w:webHidden/>
          </w:rPr>
          <w:fldChar w:fldCharType="end"/>
        </w:r>
      </w:hyperlink>
    </w:p>
    <w:p w14:paraId="2867E359" w14:textId="43C620A1" w:rsidR="008618F2" w:rsidRDefault="009B5CEC" w:rsidP="008618F2">
      <w:pPr>
        <w:pStyle w:val="TOC3"/>
        <w:jc w:val="left"/>
        <w:rPr>
          <w:rFonts w:asciiTheme="minorHAnsi" w:eastAsiaTheme="minorEastAsia" w:hAnsiTheme="minorHAnsi" w:cstheme="minorBidi"/>
          <w:b w:val="0"/>
          <w:noProof/>
          <w:szCs w:val="22"/>
          <w:lang w:eastAsia="en-GB"/>
        </w:rPr>
      </w:pPr>
      <w:hyperlink w:anchor="_Toc134197794" w:history="1">
        <w:r w:rsidR="008618F2" w:rsidRPr="00DC3933">
          <w:rPr>
            <w:rStyle w:val="Hyperlink"/>
            <w:noProof/>
          </w:rPr>
          <w:t>4.4.3</w:t>
        </w:r>
        <w:r w:rsidR="008618F2">
          <w:rPr>
            <w:rFonts w:asciiTheme="minorHAnsi" w:eastAsiaTheme="minorEastAsia" w:hAnsiTheme="minorHAnsi" w:cstheme="minorBidi"/>
            <w:b w:val="0"/>
            <w:noProof/>
            <w:szCs w:val="22"/>
            <w:lang w:eastAsia="en-GB"/>
          </w:rPr>
          <w:tab/>
        </w:r>
        <w:r w:rsidR="008618F2" w:rsidRPr="00DC3933">
          <w:rPr>
            <w:rStyle w:val="Hyperlink"/>
            <w:noProof/>
          </w:rPr>
          <w:t>Torsionally flexible buildings</w:t>
        </w:r>
        <w:r w:rsidR="008618F2">
          <w:rPr>
            <w:noProof/>
            <w:webHidden/>
          </w:rPr>
          <w:tab/>
        </w:r>
        <w:r w:rsidR="008618F2">
          <w:rPr>
            <w:noProof/>
            <w:webHidden/>
          </w:rPr>
          <w:fldChar w:fldCharType="begin"/>
        </w:r>
        <w:r w:rsidR="008618F2">
          <w:rPr>
            <w:noProof/>
            <w:webHidden/>
          </w:rPr>
          <w:instrText xml:space="preserve"> PAGEREF _Toc134197794 \h </w:instrText>
        </w:r>
        <w:r w:rsidR="008618F2">
          <w:rPr>
            <w:noProof/>
            <w:webHidden/>
          </w:rPr>
        </w:r>
        <w:r w:rsidR="008618F2">
          <w:rPr>
            <w:noProof/>
            <w:webHidden/>
          </w:rPr>
          <w:fldChar w:fldCharType="separate"/>
        </w:r>
        <w:r w:rsidR="000720CB">
          <w:rPr>
            <w:noProof/>
            <w:webHidden/>
          </w:rPr>
          <w:t>45</w:t>
        </w:r>
        <w:r w:rsidR="008618F2">
          <w:rPr>
            <w:noProof/>
            <w:webHidden/>
          </w:rPr>
          <w:fldChar w:fldCharType="end"/>
        </w:r>
      </w:hyperlink>
    </w:p>
    <w:p w14:paraId="3489A752" w14:textId="4FC52658" w:rsidR="008618F2" w:rsidRDefault="009B5CEC" w:rsidP="008618F2">
      <w:pPr>
        <w:pStyle w:val="TOC3"/>
        <w:jc w:val="left"/>
        <w:rPr>
          <w:rFonts w:asciiTheme="minorHAnsi" w:eastAsiaTheme="minorEastAsia" w:hAnsiTheme="minorHAnsi" w:cstheme="minorBidi"/>
          <w:b w:val="0"/>
          <w:noProof/>
          <w:szCs w:val="22"/>
          <w:lang w:eastAsia="en-GB"/>
        </w:rPr>
      </w:pPr>
      <w:hyperlink w:anchor="_Toc134197795" w:history="1">
        <w:r w:rsidR="008618F2" w:rsidRPr="00DC3933">
          <w:rPr>
            <w:rStyle w:val="Hyperlink"/>
            <w:noProof/>
          </w:rPr>
          <w:t>4.4.4</w:t>
        </w:r>
        <w:r w:rsidR="008618F2">
          <w:rPr>
            <w:rFonts w:asciiTheme="minorHAnsi" w:eastAsiaTheme="minorEastAsia" w:hAnsiTheme="minorHAnsi" w:cstheme="minorBidi"/>
            <w:b w:val="0"/>
            <w:noProof/>
            <w:szCs w:val="22"/>
            <w:lang w:eastAsia="en-GB"/>
          </w:rPr>
          <w:tab/>
        </w:r>
        <w:r w:rsidR="008618F2" w:rsidRPr="00DC3933">
          <w:rPr>
            <w:rStyle w:val="Hyperlink"/>
            <w:noProof/>
          </w:rPr>
          <w:t>Structural regularity</w:t>
        </w:r>
        <w:r w:rsidR="008618F2">
          <w:rPr>
            <w:noProof/>
            <w:webHidden/>
          </w:rPr>
          <w:tab/>
        </w:r>
        <w:r w:rsidR="008618F2">
          <w:rPr>
            <w:noProof/>
            <w:webHidden/>
          </w:rPr>
          <w:fldChar w:fldCharType="begin"/>
        </w:r>
        <w:r w:rsidR="008618F2">
          <w:rPr>
            <w:noProof/>
            <w:webHidden/>
          </w:rPr>
          <w:instrText xml:space="preserve"> PAGEREF _Toc134197795 \h </w:instrText>
        </w:r>
        <w:r w:rsidR="008618F2">
          <w:rPr>
            <w:noProof/>
            <w:webHidden/>
          </w:rPr>
        </w:r>
        <w:r w:rsidR="008618F2">
          <w:rPr>
            <w:noProof/>
            <w:webHidden/>
          </w:rPr>
          <w:fldChar w:fldCharType="separate"/>
        </w:r>
        <w:r w:rsidR="000720CB">
          <w:rPr>
            <w:noProof/>
            <w:webHidden/>
          </w:rPr>
          <w:t>46</w:t>
        </w:r>
        <w:r w:rsidR="008618F2">
          <w:rPr>
            <w:noProof/>
            <w:webHidden/>
          </w:rPr>
          <w:fldChar w:fldCharType="end"/>
        </w:r>
      </w:hyperlink>
    </w:p>
    <w:p w14:paraId="1FE4D466" w14:textId="5A4E6C2E" w:rsidR="008618F2" w:rsidRDefault="009B5CEC" w:rsidP="008618F2">
      <w:pPr>
        <w:pStyle w:val="TOC1"/>
        <w:jc w:val="left"/>
        <w:rPr>
          <w:rFonts w:asciiTheme="minorHAnsi" w:eastAsiaTheme="minorEastAsia" w:hAnsiTheme="minorHAnsi" w:cstheme="minorBidi"/>
          <w:b w:val="0"/>
          <w:noProof/>
          <w:szCs w:val="22"/>
          <w:lang w:eastAsia="en-GB"/>
        </w:rPr>
      </w:pPr>
      <w:hyperlink w:anchor="_Toc134197796" w:history="1">
        <w:r w:rsidR="008618F2" w:rsidRPr="00DC3933">
          <w:rPr>
            <w:rStyle w:val="Hyperlink"/>
            <w:noProof/>
          </w:rPr>
          <w:t>5</w:t>
        </w:r>
        <w:r w:rsidR="008618F2">
          <w:rPr>
            <w:rFonts w:asciiTheme="minorHAnsi" w:eastAsiaTheme="minorEastAsia" w:hAnsiTheme="minorHAnsi" w:cstheme="minorBidi"/>
            <w:b w:val="0"/>
            <w:noProof/>
            <w:szCs w:val="22"/>
            <w:lang w:eastAsia="en-GB"/>
          </w:rPr>
          <w:tab/>
        </w:r>
        <w:r w:rsidR="008618F2" w:rsidRPr="00DC3933">
          <w:rPr>
            <w:rStyle w:val="Hyperlink"/>
            <w:noProof/>
          </w:rPr>
          <w:t>Modelling and structural analysis</w:t>
        </w:r>
        <w:r w:rsidR="008618F2">
          <w:rPr>
            <w:noProof/>
            <w:webHidden/>
          </w:rPr>
          <w:tab/>
        </w:r>
        <w:r w:rsidR="008618F2">
          <w:rPr>
            <w:noProof/>
            <w:webHidden/>
          </w:rPr>
          <w:fldChar w:fldCharType="begin"/>
        </w:r>
        <w:r w:rsidR="008618F2">
          <w:rPr>
            <w:noProof/>
            <w:webHidden/>
          </w:rPr>
          <w:instrText xml:space="preserve"> PAGEREF _Toc134197796 \h </w:instrText>
        </w:r>
        <w:r w:rsidR="008618F2">
          <w:rPr>
            <w:noProof/>
            <w:webHidden/>
          </w:rPr>
        </w:r>
        <w:r w:rsidR="008618F2">
          <w:rPr>
            <w:noProof/>
            <w:webHidden/>
          </w:rPr>
          <w:fldChar w:fldCharType="separate"/>
        </w:r>
        <w:r w:rsidR="000720CB">
          <w:rPr>
            <w:noProof/>
            <w:webHidden/>
          </w:rPr>
          <w:t>47</w:t>
        </w:r>
        <w:r w:rsidR="008618F2">
          <w:rPr>
            <w:noProof/>
            <w:webHidden/>
          </w:rPr>
          <w:fldChar w:fldCharType="end"/>
        </w:r>
      </w:hyperlink>
    </w:p>
    <w:p w14:paraId="28B51E34" w14:textId="4251F391" w:rsidR="008618F2" w:rsidRDefault="009B5CEC" w:rsidP="008618F2">
      <w:pPr>
        <w:pStyle w:val="TOC2"/>
        <w:jc w:val="left"/>
        <w:rPr>
          <w:rFonts w:asciiTheme="minorHAnsi" w:eastAsiaTheme="minorEastAsia" w:hAnsiTheme="minorHAnsi" w:cstheme="minorBidi"/>
          <w:b w:val="0"/>
          <w:noProof/>
          <w:szCs w:val="22"/>
          <w:lang w:eastAsia="en-GB"/>
        </w:rPr>
      </w:pPr>
      <w:hyperlink w:anchor="_Toc134197797" w:history="1">
        <w:r w:rsidR="008618F2" w:rsidRPr="00DC3933">
          <w:rPr>
            <w:rStyle w:val="Hyperlink"/>
            <w:noProof/>
          </w:rPr>
          <w:t>5.1</w:t>
        </w:r>
        <w:r w:rsidR="008618F2">
          <w:rPr>
            <w:rFonts w:asciiTheme="minorHAnsi" w:eastAsiaTheme="minorEastAsia" w:hAnsiTheme="minorHAnsi" w:cstheme="minorBidi"/>
            <w:b w:val="0"/>
            <w:noProof/>
            <w:szCs w:val="22"/>
            <w:lang w:eastAsia="en-GB"/>
          </w:rPr>
          <w:tab/>
        </w:r>
        <w:r w:rsidR="008618F2" w:rsidRPr="00DC3933">
          <w:rPr>
            <w:rStyle w:val="Hyperlink"/>
            <w:noProof/>
          </w:rPr>
          <w:t>Modelling</w:t>
        </w:r>
        <w:r w:rsidR="008618F2">
          <w:rPr>
            <w:noProof/>
            <w:webHidden/>
          </w:rPr>
          <w:tab/>
        </w:r>
        <w:r w:rsidR="008618F2">
          <w:rPr>
            <w:noProof/>
            <w:webHidden/>
          </w:rPr>
          <w:fldChar w:fldCharType="begin"/>
        </w:r>
        <w:r w:rsidR="008618F2">
          <w:rPr>
            <w:noProof/>
            <w:webHidden/>
          </w:rPr>
          <w:instrText xml:space="preserve"> PAGEREF _Toc134197797 \h </w:instrText>
        </w:r>
        <w:r w:rsidR="008618F2">
          <w:rPr>
            <w:noProof/>
            <w:webHidden/>
          </w:rPr>
        </w:r>
        <w:r w:rsidR="008618F2">
          <w:rPr>
            <w:noProof/>
            <w:webHidden/>
          </w:rPr>
          <w:fldChar w:fldCharType="separate"/>
        </w:r>
        <w:r w:rsidR="000720CB">
          <w:rPr>
            <w:noProof/>
            <w:webHidden/>
          </w:rPr>
          <w:t>47</w:t>
        </w:r>
        <w:r w:rsidR="008618F2">
          <w:rPr>
            <w:noProof/>
            <w:webHidden/>
          </w:rPr>
          <w:fldChar w:fldCharType="end"/>
        </w:r>
      </w:hyperlink>
    </w:p>
    <w:p w14:paraId="47547FDD" w14:textId="76114386" w:rsidR="008618F2" w:rsidRDefault="009B5CEC" w:rsidP="008618F2">
      <w:pPr>
        <w:pStyle w:val="TOC3"/>
        <w:jc w:val="left"/>
        <w:rPr>
          <w:rFonts w:asciiTheme="minorHAnsi" w:eastAsiaTheme="minorEastAsia" w:hAnsiTheme="minorHAnsi" w:cstheme="minorBidi"/>
          <w:b w:val="0"/>
          <w:noProof/>
          <w:szCs w:val="22"/>
          <w:lang w:eastAsia="en-GB"/>
        </w:rPr>
      </w:pPr>
      <w:hyperlink w:anchor="_Toc134197798" w:history="1">
        <w:r w:rsidR="008618F2" w:rsidRPr="00DC3933">
          <w:rPr>
            <w:rStyle w:val="Hyperlink"/>
            <w:noProof/>
          </w:rPr>
          <w:t>5.1.1</w:t>
        </w:r>
        <w:r w:rsidR="008618F2">
          <w:rPr>
            <w:rFonts w:asciiTheme="minorHAnsi" w:eastAsiaTheme="minorEastAsia" w:hAnsiTheme="minorHAnsi" w:cstheme="minorBidi"/>
            <w:b w:val="0"/>
            <w:noProof/>
            <w:szCs w:val="22"/>
            <w:lang w:eastAsia="en-GB"/>
          </w:rPr>
          <w:tab/>
        </w:r>
        <w:r w:rsidR="008618F2" w:rsidRPr="00DC3933">
          <w:rPr>
            <w:rStyle w:val="Hyperlink"/>
            <w:noProof/>
          </w:rPr>
          <w:t>General</w:t>
        </w:r>
        <w:r w:rsidR="008618F2">
          <w:rPr>
            <w:noProof/>
            <w:webHidden/>
          </w:rPr>
          <w:tab/>
        </w:r>
        <w:r w:rsidR="008618F2">
          <w:rPr>
            <w:noProof/>
            <w:webHidden/>
          </w:rPr>
          <w:fldChar w:fldCharType="begin"/>
        </w:r>
        <w:r w:rsidR="008618F2">
          <w:rPr>
            <w:noProof/>
            <w:webHidden/>
          </w:rPr>
          <w:instrText xml:space="preserve"> PAGEREF _Toc134197798 \h </w:instrText>
        </w:r>
        <w:r w:rsidR="008618F2">
          <w:rPr>
            <w:noProof/>
            <w:webHidden/>
          </w:rPr>
        </w:r>
        <w:r w:rsidR="008618F2">
          <w:rPr>
            <w:noProof/>
            <w:webHidden/>
          </w:rPr>
          <w:fldChar w:fldCharType="separate"/>
        </w:r>
        <w:r w:rsidR="000720CB">
          <w:rPr>
            <w:noProof/>
            <w:webHidden/>
          </w:rPr>
          <w:t>47</w:t>
        </w:r>
        <w:r w:rsidR="008618F2">
          <w:rPr>
            <w:noProof/>
            <w:webHidden/>
          </w:rPr>
          <w:fldChar w:fldCharType="end"/>
        </w:r>
      </w:hyperlink>
    </w:p>
    <w:p w14:paraId="0FBA2C5C" w14:textId="4A587B14" w:rsidR="008618F2" w:rsidRDefault="009B5CEC" w:rsidP="008618F2">
      <w:pPr>
        <w:pStyle w:val="TOC3"/>
        <w:jc w:val="left"/>
        <w:rPr>
          <w:rFonts w:asciiTheme="minorHAnsi" w:eastAsiaTheme="minorEastAsia" w:hAnsiTheme="minorHAnsi" w:cstheme="minorBidi"/>
          <w:b w:val="0"/>
          <w:noProof/>
          <w:szCs w:val="22"/>
          <w:lang w:eastAsia="en-GB"/>
        </w:rPr>
      </w:pPr>
      <w:hyperlink w:anchor="_Toc134197799" w:history="1">
        <w:r w:rsidR="008618F2" w:rsidRPr="00DC3933">
          <w:rPr>
            <w:rStyle w:val="Hyperlink"/>
            <w:noProof/>
          </w:rPr>
          <w:t>5.1.2</w:t>
        </w:r>
        <w:r w:rsidR="008618F2">
          <w:rPr>
            <w:rFonts w:asciiTheme="minorHAnsi" w:eastAsiaTheme="minorEastAsia" w:hAnsiTheme="minorHAnsi" w:cstheme="minorBidi"/>
            <w:b w:val="0"/>
            <w:noProof/>
            <w:szCs w:val="22"/>
            <w:lang w:eastAsia="en-GB"/>
          </w:rPr>
          <w:tab/>
        </w:r>
        <w:r w:rsidR="008618F2" w:rsidRPr="00DC3933">
          <w:rPr>
            <w:rStyle w:val="Hyperlink"/>
            <w:noProof/>
          </w:rPr>
          <w:t>Masses</w:t>
        </w:r>
        <w:r w:rsidR="008618F2">
          <w:rPr>
            <w:noProof/>
            <w:webHidden/>
          </w:rPr>
          <w:tab/>
        </w:r>
        <w:r w:rsidR="008618F2">
          <w:rPr>
            <w:noProof/>
            <w:webHidden/>
          </w:rPr>
          <w:fldChar w:fldCharType="begin"/>
        </w:r>
        <w:r w:rsidR="008618F2">
          <w:rPr>
            <w:noProof/>
            <w:webHidden/>
          </w:rPr>
          <w:instrText xml:space="preserve"> PAGEREF _Toc134197799 \h </w:instrText>
        </w:r>
        <w:r w:rsidR="008618F2">
          <w:rPr>
            <w:noProof/>
            <w:webHidden/>
          </w:rPr>
        </w:r>
        <w:r w:rsidR="008618F2">
          <w:rPr>
            <w:noProof/>
            <w:webHidden/>
          </w:rPr>
          <w:fldChar w:fldCharType="separate"/>
        </w:r>
        <w:r w:rsidR="000720CB">
          <w:rPr>
            <w:noProof/>
            <w:webHidden/>
          </w:rPr>
          <w:t>47</w:t>
        </w:r>
        <w:r w:rsidR="008618F2">
          <w:rPr>
            <w:noProof/>
            <w:webHidden/>
          </w:rPr>
          <w:fldChar w:fldCharType="end"/>
        </w:r>
      </w:hyperlink>
    </w:p>
    <w:p w14:paraId="74448E8D" w14:textId="40C92B8F" w:rsidR="008618F2" w:rsidRDefault="009B5CEC" w:rsidP="008618F2">
      <w:pPr>
        <w:pStyle w:val="TOC3"/>
        <w:jc w:val="left"/>
        <w:rPr>
          <w:rFonts w:asciiTheme="minorHAnsi" w:eastAsiaTheme="minorEastAsia" w:hAnsiTheme="minorHAnsi" w:cstheme="minorBidi"/>
          <w:b w:val="0"/>
          <w:noProof/>
          <w:szCs w:val="22"/>
          <w:lang w:eastAsia="en-GB"/>
        </w:rPr>
      </w:pPr>
      <w:hyperlink w:anchor="_Toc134197800" w:history="1">
        <w:r w:rsidR="008618F2" w:rsidRPr="00DC3933">
          <w:rPr>
            <w:rStyle w:val="Hyperlink"/>
            <w:noProof/>
          </w:rPr>
          <w:t>5.1.3</w:t>
        </w:r>
        <w:r w:rsidR="008618F2">
          <w:rPr>
            <w:rFonts w:asciiTheme="minorHAnsi" w:eastAsiaTheme="minorEastAsia" w:hAnsiTheme="minorHAnsi" w:cstheme="minorBidi"/>
            <w:b w:val="0"/>
            <w:noProof/>
            <w:szCs w:val="22"/>
            <w:lang w:eastAsia="en-GB"/>
          </w:rPr>
          <w:tab/>
        </w:r>
        <w:r w:rsidR="008618F2" w:rsidRPr="00DC3933">
          <w:rPr>
            <w:rStyle w:val="Hyperlink"/>
            <w:noProof/>
          </w:rPr>
          <w:t>Stiffness</w:t>
        </w:r>
        <w:r w:rsidR="008618F2">
          <w:rPr>
            <w:noProof/>
            <w:webHidden/>
          </w:rPr>
          <w:tab/>
        </w:r>
        <w:r w:rsidR="008618F2">
          <w:rPr>
            <w:noProof/>
            <w:webHidden/>
          </w:rPr>
          <w:fldChar w:fldCharType="begin"/>
        </w:r>
        <w:r w:rsidR="008618F2">
          <w:rPr>
            <w:noProof/>
            <w:webHidden/>
          </w:rPr>
          <w:instrText xml:space="preserve"> PAGEREF _Toc134197800 \h </w:instrText>
        </w:r>
        <w:r w:rsidR="008618F2">
          <w:rPr>
            <w:noProof/>
            <w:webHidden/>
          </w:rPr>
        </w:r>
        <w:r w:rsidR="008618F2">
          <w:rPr>
            <w:noProof/>
            <w:webHidden/>
          </w:rPr>
          <w:fldChar w:fldCharType="separate"/>
        </w:r>
        <w:r w:rsidR="000720CB">
          <w:rPr>
            <w:noProof/>
            <w:webHidden/>
          </w:rPr>
          <w:t>47</w:t>
        </w:r>
        <w:r w:rsidR="008618F2">
          <w:rPr>
            <w:noProof/>
            <w:webHidden/>
          </w:rPr>
          <w:fldChar w:fldCharType="end"/>
        </w:r>
      </w:hyperlink>
    </w:p>
    <w:p w14:paraId="051D9BDB" w14:textId="0511429A" w:rsidR="008618F2" w:rsidRDefault="009B5CEC" w:rsidP="008618F2">
      <w:pPr>
        <w:pStyle w:val="TOC2"/>
        <w:jc w:val="left"/>
        <w:rPr>
          <w:rFonts w:asciiTheme="minorHAnsi" w:eastAsiaTheme="minorEastAsia" w:hAnsiTheme="minorHAnsi" w:cstheme="minorBidi"/>
          <w:b w:val="0"/>
          <w:noProof/>
          <w:szCs w:val="22"/>
          <w:lang w:eastAsia="en-GB"/>
        </w:rPr>
      </w:pPr>
      <w:hyperlink w:anchor="_Toc134197801" w:history="1">
        <w:r w:rsidR="008618F2" w:rsidRPr="00DC3933">
          <w:rPr>
            <w:rStyle w:val="Hyperlink"/>
            <w:noProof/>
          </w:rPr>
          <w:t>5.2</w:t>
        </w:r>
        <w:r w:rsidR="008618F2">
          <w:rPr>
            <w:rFonts w:asciiTheme="minorHAnsi" w:eastAsiaTheme="minorEastAsia" w:hAnsiTheme="minorHAnsi" w:cstheme="minorBidi"/>
            <w:b w:val="0"/>
            <w:noProof/>
            <w:szCs w:val="22"/>
            <w:lang w:eastAsia="en-GB"/>
          </w:rPr>
          <w:tab/>
        </w:r>
        <w:r w:rsidR="008618F2" w:rsidRPr="00DC3933">
          <w:rPr>
            <w:rStyle w:val="Hyperlink"/>
            <w:noProof/>
          </w:rPr>
          <w:t>Minimum design eccentricity in buildings</w:t>
        </w:r>
        <w:r w:rsidR="008618F2">
          <w:rPr>
            <w:noProof/>
            <w:webHidden/>
          </w:rPr>
          <w:tab/>
        </w:r>
        <w:r w:rsidR="008618F2">
          <w:rPr>
            <w:noProof/>
            <w:webHidden/>
          </w:rPr>
          <w:fldChar w:fldCharType="begin"/>
        </w:r>
        <w:r w:rsidR="008618F2">
          <w:rPr>
            <w:noProof/>
            <w:webHidden/>
          </w:rPr>
          <w:instrText xml:space="preserve"> PAGEREF _Toc134197801 \h </w:instrText>
        </w:r>
        <w:r w:rsidR="008618F2">
          <w:rPr>
            <w:noProof/>
            <w:webHidden/>
          </w:rPr>
        </w:r>
        <w:r w:rsidR="008618F2">
          <w:rPr>
            <w:noProof/>
            <w:webHidden/>
          </w:rPr>
          <w:fldChar w:fldCharType="separate"/>
        </w:r>
        <w:r w:rsidR="000720CB">
          <w:rPr>
            <w:noProof/>
            <w:webHidden/>
          </w:rPr>
          <w:t>48</w:t>
        </w:r>
        <w:r w:rsidR="008618F2">
          <w:rPr>
            <w:noProof/>
            <w:webHidden/>
          </w:rPr>
          <w:fldChar w:fldCharType="end"/>
        </w:r>
      </w:hyperlink>
    </w:p>
    <w:p w14:paraId="5BF0D1EF" w14:textId="3C9F8CE5" w:rsidR="008618F2" w:rsidRDefault="009B5CEC" w:rsidP="008618F2">
      <w:pPr>
        <w:pStyle w:val="TOC2"/>
        <w:jc w:val="left"/>
        <w:rPr>
          <w:rFonts w:asciiTheme="minorHAnsi" w:eastAsiaTheme="minorEastAsia" w:hAnsiTheme="minorHAnsi" w:cstheme="minorBidi"/>
          <w:b w:val="0"/>
          <w:noProof/>
          <w:szCs w:val="22"/>
          <w:lang w:eastAsia="en-GB"/>
        </w:rPr>
      </w:pPr>
      <w:hyperlink w:anchor="_Toc134197802" w:history="1">
        <w:r w:rsidR="008618F2" w:rsidRPr="00DC3933">
          <w:rPr>
            <w:rStyle w:val="Hyperlink"/>
            <w:noProof/>
          </w:rPr>
          <w:t>5.3</w:t>
        </w:r>
        <w:r w:rsidR="008618F2">
          <w:rPr>
            <w:rFonts w:asciiTheme="minorHAnsi" w:eastAsiaTheme="minorEastAsia" w:hAnsiTheme="minorHAnsi" w:cstheme="minorBidi"/>
            <w:b w:val="0"/>
            <w:noProof/>
            <w:szCs w:val="22"/>
            <w:lang w:eastAsia="en-GB"/>
          </w:rPr>
          <w:tab/>
        </w:r>
        <w:r w:rsidR="008618F2" w:rsidRPr="00DC3933">
          <w:rPr>
            <w:rStyle w:val="Hyperlink"/>
            <w:noProof/>
          </w:rPr>
          <w:t>Methods of analysis</w:t>
        </w:r>
        <w:r w:rsidR="008618F2">
          <w:rPr>
            <w:noProof/>
            <w:webHidden/>
          </w:rPr>
          <w:tab/>
        </w:r>
        <w:r w:rsidR="008618F2">
          <w:rPr>
            <w:noProof/>
            <w:webHidden/>
          </w:rPr>
          <w:fldChar w:fldCharType="begin"/>
        </w:r>
        <w:r w:rsidR="008618F2">
          <w:rPr>
            <w:noProof/>
            <w:webHidden/>
          </w:rPr>
          <w:instrText xml:space="preserve"> PAGEREF _Toc134197802 \h </w:instrText>
        </w:r>
        <w:r w:rsidR="008618F2">
          <w:rPr>
            <w:noProof/>
            <w:webHidden/>
          </w:rPr>
        </w:r>
        <w:r w:rsidR="008618F2">
          <w:rPr>
            <w:noProof/>
            <w:webHidden/>
          </w:rPr>
          <w:fldChar w:fldCharType="separate"/>
        </w:r>
        <w:r w:rsidR="000720CB">
          <w:rPr>
            <w:noProof/>
            <w:webHidden/>
          </w:rPr>
          <w:t>49</w:t>
        </w:r>
        <w:r w:rsidR="008618F2">
          <w:rPr>
            <w:noProof/>
            <w:webHidden/>
          </w:rPr>
          <w:fldChar w:fldCharType="end"/>
        </w:r>
      </w:hyperlink>
    </w:p>
    <w:p w14:paraId="40B2B290" w14:textId="539D1BD7" w:rsidR="008618F2" w:rsidRDefault="009B5CEC" w:rsidP="008618F2">
      <w:pPr>
        <w:pStyle w:val="TOC3"/>
        <w:jc w:val="left"/>
        <w:rPr>
          <w:rFonts w:asciiTheme="minorHAnsi" w:eastAsiaTheme="minorEastAsia" w:hAnsiTheme="minorHAnsi" w:cstheme="minorBidi"/>
          <w:b w:val="0"/>
          <w:noProof/>
          <w:szCs w:val="22"/>
          <w:lang w:eastAsia="en-GB"/>
        </w:rPr>
      </w:pPr>
      <w:hyperlink w:anchor="_Toc134197803" w:history="1">
        <w:r w:rsidR="008618F2" w:rsidRPr="00DC3933">
          <w:rPr>
            <w:rStyle w:val="Hyperlink"/>
            <w:noProof/>
          </w:rPr>
          <w:t>5.3.1</w:t>
        </w:r>
        <w:r w:rsidR="008618F2">
          <w:rPr>
            <w:rFonts w:asciiTheme="minorHAnsi" w:eastAsiaTheme="minorEastAsia" w:hAnsiTheme="minorHAnsi" w:cstheme="minorBidi"/>
            <w:b w:val="0"/>
            <w:noProof/>
            <w:szCs w:val="22"/>
            <w:lang w:eastAsia="en-GB"/>
          </w:rPr>
          <w:tab/>
        </w:r>
        <w:r w:rsidR="008618F2" w:rsidRPr="00DC3933">
          <w:rPr>
            <w:rStyle w:val="Hyperlink"/>
            <w:noProof/>
          </w:rPr>
          <w:t>General</w:t>
        </w:r>
        <w:r w:rsidR="008618F2">
          <w:rPr>
            <w:noProof/>
            <w:webHidden/>
          </w:rPr>
          <w:tab/>
        </w:r>
        <w:r w:rsidR="008618F2">
          <w:rPr>
            <w:noProof/>
            <w:webHidden/>
          </w:rPr>
          <w:fldChar w:fldCharType="begin"/>
        </w:r>
        <w:r w:rsidR="008618F2">
          <w:rPr>
            <w:noProof/>
            <w:webHidden/>
          </w:rPr>
          <w:instrText xml:space="preserve"> PAGEREF _Toc134197803 \h </w:instrText>
        </w:r>
        <w:r w:rsidR="008618F2">
          <w:rPr>
            <w:noProof/>
            <w:webHidden/>
          </w:rPr>
        </w:r>
        <w:r w:rsidR="008618F2">
          <w:rPr>
            <w:noProof/>
            <w:webHidden/>
          </w:rPr>
          <w:fldChar w:fldCharType="separate"/>
        </w:r>
        <w:r w:rsidR="000720CB">
          <w:rPr>
            <w:noProof/>
            <w:webHidden/>
          </w:rPr>
          <w:t>49</w:t>
        </w:r>
        <w:r w:rsidR="008618F2">
          <w:rPr>
            <w:noProof/>
            <w:webHidden/>
          </w:rPr>
          <w:fldChar w:fldCharType="end"/>
        </w:r>
      </w:hyperlink>
    </w:p>
    <w:p w14:paraId="22791801" w14:textId="7539C03F" w:rsidR="008618F2" w:rsidRDefault="009B5CEC" w:rsidP="008618F2">
      <w:pPr>
        <w:pStyle w:val="TOC3"/>
        <w:jc w:val="left"/>
        <w:rPr>
          <w:rFonts w:asciiTheme="minorHAnsi" w:eastAsiaTheme="minorEastAsia" w:hAnsiTheme="minorHAnsi" w:cstheme="minorBidi"/>
          <w:b w:val="0"/>
          <w:noProof/>
          <w:szCs w:val="22"/>
          <w:lang w:eastAsia="en-GB"/>
        </w:rPr>
      </w:pPr>
      <w:hyperlink w:anchor="_Toc134197804" w:history="1">
        <w:r w:rsidR="008618F2" w:rsidRPr="00DC3933">
          <w:rPr>
            <w:rStyle w:val="Hyperlink"/>
            <w:noProof/>
          </w:rPr>
          <w:t>5.3.2</w:t>
        </w:r>
        <w:r w:rsidR="008618F2">
          <w:rPr>
            <w:rFonts w:asciiTheme="minorHAnsi" w:eastAsiaTheme="minorEastAsia" w:hAnsiTheme="minorHAnsi" w:cstheme="minorBidi"/>
            <w:b w:val="0"/>
            <w:noProof/>
            <w:szCs w:val="22"/>
            <w:lang w:eastAsia="en-GB"/>
          </w:rPr>
          <w:tab/>
        </w:r>
        <w:r w:rsidR="008618F2" w:rsidRPr="00DC3933">
          <w:rPr>
            <w:rStyle w:val="Hyperlink"/>
            <w:noProof/>
          </w:rPr>
          <w:t>Force-based approach</w:t>
        </w:r>
        <w:r w:rsidR="008618F2">
          <w:rPr>
            <w:noProof/>
            <w:webHidden/>
          </w:rPr>
          <w:tab/>
        </w:r>
        <w:r w:rsidR="008618F2">
          <w:rPr>
            <w:noProof/>
            <w:webHidden/>
          </w:rPr>
          <w:fldChar w:fldCharType="begin"/>
        </w:r>
        <w:r w:rsidR="008618F2">
          <w:rPr>
            <w:noProof/>
            <w:webHidden/>
          </w:rPr>
          <w:instrText xml:space="preserve"> PAGEREF _Toc134197804 \h </w:instrText>
        </w:r>
        <w:r w:rsidR="008618F2">
          <w:rPr>
            <w:noProof/>
            <w:webHidden/>
          </w:rPr>
        </w:r>
        <w:r w:rsidR="008618F2">
          <w:rPr>
            <w:noProof/>
            <w:webHidden/>
          </w:rPr>
          <w:fldChar w:fldCharType="separate"/>
        </w:r>
        <w:r w:rsidR="000720CB">
          <w:rPr>
            <w:noProof/>
            <w:webHidden/>
          </w:rPr>
          <w:t>49</w:t>
        </w:r>
        <w:r w:rsidR="008618F2">
          <w:rPr>
            <w:noProof/>
            <w:webHidden/>
          </w:rPr>
          <w:fldChar w:fldCharType="end"/>
        </w:r>
      </w:hyperlink>
    </w:p>
    <w:p w14:paraId="1A9AA21A" w14:textId="2FD961EF" w:rsidR="008618F2" w:rsidRDefault="009B5CEC" w:rsidP="008618F2">
      <w:pPr>
        <w:pStyle w:val="TOC3"/>
        <w:jc w:val="left"/>
        <w:rPr>
          <w:rFonts w:asciiTheme="minorHAnsi" w:eastAsiaTheme="minorEastAsia" w:hAnsiTheme="minorHAnsi" w:cstheme="minorBidi"/>
          <w:b w:val="0"/>
          <w:noProof/>
          <w:szCs w:val="22"/>
          <w:lang w:eastAsia="en-GB"/>
        </w:rPr>
      </w:pPr>
      <w:hyperlink w:anchor="_Toc134197805" w:history="1">
        <w:r w:rsidR="008618F2" w:rsidRPr="00DC3933">
          <w:rPr>
            <w:rStyle w:val="Hyperlink"/>
            <w:noProof/>
          </w:rPr>
          <w:t>5.3.3</w:t>
        </w:r>
        <w:r w:rsidR="008618F2">
          <w:rPr>
            <w:rFonts w:asciiTheme="minorHAnsi" w:eastAsiaTheme="minorEastAsia" w:hAnsiTheme="minorHAnsi" w:cstheme="minorBidi"/>
            <w:b w:val="0"/>
            <w:noProof/>
            <w:szCs w:val="22"/>
            <w:lang w:eastAsia="en-GB"/>
          </w:rPr>
          <w:tab/>
        </w:r>
        <w:r w:rsidR="008618F2" w:rsidRPr="00DC3933">
          <w:rPr>
            <w:rStyle w:val="Hyperlink"/>
            <w:noProof/>
          </w:rPr>
          <w:t>Lateral forces method of analysis</w:t>
        </w:r>
        <w:r w:rsidR="008618F2">
          <w:rPr>
            <w:noProof/>
            <w:webHidden/>
          </w:rPr>
          <w:tab/>
        </w:r>
        <w:r w:rsidR="008618F2">
          <w:rPr>
            <w:noProof/>
            <w:webHidden/>
          </w:rPr>
          <w:fldChar w:fldCharType="begin"/>
        </w:r>
        <w:r w:rsidR="008618F2">
          <w:rPr>
            <w:noProof/>
            <w:webHidden/>
          </w:rPr>
          <w:instrText xml:space="preserve"> PAGEREF _Toc134197805 \h </w:instrText>
        </w:r>
        <w:r w:rsidR="008618F2">
          <w:rPr>
            <w:noProof/>
            <w:webHidden/>
          </w:rPr>
        </w:r>
        <w:r w:rsidR="008618F2">
          <w:rPr>
            <w:noProof/>
            <w:webHidden/>
          </w:rPr>
          <w:fldChar w:fldCharType="separate"/>
        </w:r>
        <w:r w:rsidR="000720CB">
          <w:rPr>
            <w:noProof/>
            <w:webHidden/>
          </w:rPr>
          <w:t>50</w:t>
        </w:r>
        <w:r w:rsidR="008618F2">
          <w:rPr>
            <w:noProof/>
            <w:webHidden/>
          </w:rPr>
          <w:fldChar w:fldCharType="end"/>
        </w:r>
      </w:hyperlink>
    </w:p>
    <w:p w14:paraId="39497AB7" w14:textId="217CE064" w:rsidR="008618F2" w:rsidRDefault="009B5CEC" w:rsidP="008618F2">
      <w:pPr>
        <w:pStyle w:val="TOC3"/>
        <w:jc w:val="left"/>
        <w:rPr>
          <w:rFonts w:asciiTheme="minorHAnsi" w:eastAsiaTheme="minorEastAsia" w:hAnsiTheme="minorHAnsi" w:cstheme="minorBidi"/>
          <w:b w:val="0"/>
          <w:noProof/>
          <w:szCs w:val="22"/>
          <w:lang w:eastAsia="en-GB"/>
        </w:rPr>
      </w:pPr>
      <w:hyperlink w:anchor="_Toc134197806" w:history="1">
        <w:r w:rsidR="008618F2" w:rsidRPr="00DC3933">
          <w:rPr>
            <w:rStyle w:val="Hyperlink"/>
            <w:noProof/>
          </w:rPr>
          <w:t>5.3.4</w:t>
        </w:r>
        <w:r w:rsidR="008618F2">
          <w:rPr>
            <w:rFonts w:asciiTheme="minorHAnsi" w:eastAsiaTheme="minorEastAsia" w:hAnsiTheme="minorHAnsi" w:cstheme="minorBidi"/>
            <w:b w:val="0"/>
            <w:noProof/>
            <w:szCs w:val="22"/>
            <w:lang w:eastAsia="en-GB"/>
          </w:rPr>
          <w:tab/>
        </w:r>
        <w:r w:rsidR="008618F2" w:rsidRPr="00DC3933">
          <w:rPr>
            <w:rStyle w:val="Hyperlink"/>
            <w:noProof/>
          </w:rPr>
          <w:t>Response spectrum analysis</w:t>
        </w:r>
        <w:r w:rsidR="008618F2">
          <w:rPr>
            <w:noProof/>
            <w:webHidden/>
          </w:rPr>
          <w:tab/>
        </w:r>
        <w:r w:rsidR="008618F2">
          <w:rPr>
            <w:noProof/>
            <w:webHidden/>
          </w:rPr>
          <w:fldChar w:fldCharType="begin"/>
        </w:r>
        <w:r w:rsidR="008618F2">
          <w:rPr>
            <w:noProof/>
            <w:webHidden/>
          </w:rPr>
          <w:instrText xml:space="preserve"> PAGEREF _Toc134197806 \h </w:instrText>
        </w:r>
        <w:r w:rsidR="008618F2">
          <w:rPr>
            <w:noProof/>
            <w:webHidden/>
          </w:rPr>
        </w:r>
        <w:r w:rsidR="008618F2">
          <w:rPr>
            <w:noProof/>
            <w:webHidden/>
          </w:rPr>
          <w:fldChar w:fldCharType="separate"/>
        </w:r>
        <w:r w:rsidR="000720CB">
          <w:rPr>
            <w:noProof/>
            <w:webHidden/>
          </w:rPr>
          <w:t>50</w:t>
        </w:r>
        <w:r w:rsidR="008618F2">
          <w:rPr>
            <w:noProof/>
            <w:webHidden/>
          </w:rPr>
          <w:fldChar w:fldCharType="end"/>
        </w:r>
      </w:hyperlink>
    </w:p>
    <w:p w14:paraId="52F58BF5" w14:textId="2E1E724F" w:rsidR="008618F2" w:rsidRDefault="009B5CEC" w:rsidP="008618F2">
      <w:pPr>
        <w:pStyle w:val="TOC3"/>
        <w:jc w:val="left"/>
        <w:rPr>
          <w:rFonts w:asciiTheme="minorHAnsi" w:eastAsiaTheme="minorEastAsia" w:hAnsiTheme="minorHAnsi" w:cstheme="minorBidi"/>
          <w:b w:val="0"/>
          <w:noProof/>
          <w:szCs w:val="22"/>
          <w:lang w:eastAsia="en-GB"/>
        </w:rPr>
      </w:pPr>
      <w:hyperlink w:anchor="_Toc134197807" w:history="1">
        <w:r w:rsidR="008618F2" w:rsidRPr="00DC3933">
          <w:rPr>
            <w:rStyle w:val="Hyperlink"/>
            <w:noProof/>
          </w:rPr>
          <w:t>5.3.5</w:t>
        </w:r>
        <w:r w:rsidR="008618F2">
          <w:rPr>
            <w:rFonts w:asciiTheme="minorHAnsi" w:eastAsiaTheme="minorEastAsia" w:hAnsiTheme="minorHAnsi" w:cstheme="minorBidi"/>
            <w:b w:val="0"/>
            <w:noProof/>
            <w:szCs w:val="22"/>
            <w:lang w:eastAsia="en-GB"/>
          </w:rPr>
          <w:tab/>
        </w:r>
        <w:r w:rsidR="008618F2" w:rsidRPr="00DC3933">
          <w:rPr>
            <w:rStyle w:val="Hyperlink"/>
            <w:noProof/>
          </w:rPr>
          <w:t>Non-linear static analysis</w:t>
        </w:r>
        <w:r w:rsidR="008618F2">
          <w:rPr>
            <w:noProof/>
            <w:webHidden/>
          </w:rPr>
          <w:tab/>
        </w:r>
        <w:r w:rsidR="008618F2">
          <w:rPr>
            <w:noProof/>
            <w:webHidden/>
          </w:rPr>
          <w:fldChar w:fldCharType="begin"/>
        </w:r>
        <w:r w:rsidR="008618F2">
          <w:rPr>
            <w:noProof/>
            <w:webHidden/>
          </w:rPr>
          <w:instrText xml:space="preserve"> PAGEREF _Toc134197807 \h </w:instrText>
        </w:r>
        <w:r w:rsidR="008618F2">
          <w:rPr>
            <w:noProof/>
            <w:webHidden/>
          </w:rPr>
        </w:r>
        <w:r w:rsidR="008618F2">
          <w:rPr>
            <w:noProof/>
            <w:webHidden/>
          </w:rPr>
          <w:fldChar w:fldCharType="separate"/>
        </w:r>
        <w:r w:rsidR="000720CB">
          <w:rPr>
            <w:noProof/>
            <w:webHidden/>
          </w:rPr>
          <w:t>51</w:t>
        </w:r>
        <w:r w:rsidR="008618F2">
          <w:rPr>
            <w:noProof/>
            <w:webHidden/>
          </w:rPr>
          <w:fldChar w:fldCharType="end"/>
        </w:r>
      </w:hyperlink>
    </w:p>
    <w:p w14:paraId="310708CD" w14:textId="59932597" w:rsidR="008618F2" w:rsidRDefault="009B5CEC" w:rsidP="008618F2">
      <w:pPr>
        <w:pStyle w:val="TOC3"/>
        <w:jc w:val="left"/>
        <w:rPr>
          <w:rFonts w:asciiTheme="minorHAnsi" w:eastAsiaTheme="minorEastAsia" w:hAnsiTheme="minorHAnsi" w:cstheme="minorBidi"/>
          <w:b w:val="0"/>
          <w:noProof/>
          <w:szCs w:val="22"/>
          <w:lang w:eastAsia="en-GB"/>
        </w:rPr>
      </w:pPr>
      <w:hyperlink w:anchor="_Toc134197808" w:history="1">
        <w:r w:rsidR="008618F2" w:rsidRPr="00DC3933">
          <w:rPr>
            <w:rStyle w:val="Hyperlink"/>
            <w:noProof/>
          </w:rPr>
          <w:t>5.3.6</w:t>
        </w:r>
        <w:r w:rsidR="008618F2">
          <w:rPr>
            <w:rFonts w:asciiTheme="minorHAnsi" w:eastAsiaTheme="minorEastAsia" w:hAnsiTheme="minorHAnsi" w:cstheme="minorBidi"/>
            <w:b w:val="0"/>
            <w:noProof/>
            <w:szCs w:val="22"/>
            <w:lang w:eastAsia="en-GB"/>
          </w:rPr>
          <w:tab/>
        </w:r>
        <w:r w:rsidR="008618F2" w:rsidRPr="00DC3933">
          <w:rPr>
            <w:rStyle w:val="Hyperlink"/>
            <w:noProof/>
          </w:rPr>
          <w:t>Response-history analysis</w:t>
        </w:r>
        <w:r w:rsidR="008618F2">
          <w:rPr>
            <w:noProof/>
            <w:webHidden/>
          </w:rPr>
          <w:tab/>
        </w:r>
        <w:r w:rsidR="008618F2">
          <w:rPr>
            <w:noProof/>
            <w:webHidden/>
          </w:rPr>
          <w:fldChar w:fldCharType="begin"/>
        </w:r>
        <w:r w:rsidR="008618F2">
          <w:rPr>
            <w:noProof/>
            <w:webHidden/>
          </w:rPr>
          <w:instrText xml:space="preserve"> PAGEREF _Toc134197808 \h </w:instrText>
        </w:r>
        <w:r w:rsidR="008618F2">
          <w:rPr>
            <w:noProof/>
            <w:webHidden/>
          </w:rPr>
        </w:r>
        <w:r w:rsidR="008618F2">
          <w:rPr>
            <w:noProof/>
            <w:webHidden/>
          </w:rPr>
          <w:fldChar w:fldCharType="separate"/>
        </w:r>
        <w:r w:rsidR="000720CB">
          <w:rPr>
            <w:noProof/>
            <w:webHidden/>
          </w:rPr>
          <w:t>53</w:t>
        </w:r>
        <w:r w:rsidR="008618F2">
          <w:rPr>
            <w:noProof/>
            <w:webHidden/>
          </w:rPr>
          <w:fldChar w:fldCharType="end"/>
        </w:r>
      </w:hyperlink>
    </w:p>
    <w:p w14:paraId="75E96F4B" w14:textId="4F6FA146" w:rsidR="008618F2" w:rsidRDefault="009B5CEC" w:rsidP="008618F2">
      <w:pPr>
        <w:pStyle w:val="TOC1"/>
        <w:jc w:val="left"/>
        <w:rPr>
          <w:rFonts w:asciiTheme="minorHAnsi" w:eastAsiaTheme="minorEastAsia" w:hAnsiTheme="minorHAnsi" w:cstheme="minorBidi"/>
          <w:b w:val="0"/>
          <w:noProof/>
          <w:szCs w:val="22"/>
          <w:lang w:eastAsia="en-GB"/>
        </w:rPr>
      </w:pPr>
      <w:hyperlink w:anchor="_Toc134197809" w:history="1">
        <w:r w:rsidR="008618F2" w:rsidRPr="00DC3933">
          <w:rPr>
            <w:rStyle w:val="Hyperlink"/>
            <w:noProof/>
          </w:rPr>
          <w:t>6</w:t>
        </w:r>
        <w:r w:rsidR="008618F2">
          <w:rPr>
            <w:rFonts w:asciiTheme="minorHAnsi" w:eastAsiaTheme="minorEastAsia" w:hAnsiTheme="minorHAnsi" w:cstheme="minorBidi"/>
            <w:b w:val="0"/>
            <w:noProof/>
            <w:szCs w:val="22"/>
            <w:lang w:eastAsia="en-GB"/>
          </w:rPr>
          <w:tab/>
        </w:r>
        <w:r w:rsidR="008618F2" w:rsidRPr="00DC3933">
          <w:rPr>
            <w:rStyle w:val="Hyperlink"/>
            <w:noProof/>
          </w:rPr>
          <w:t>Verifications of structural members to limit states</w:t>
        </w:r>
        <w:r w:rsidR="008618F2">
          <w:rPr>
            <w:noProof/>
            <w:webHidden/>
          </w:rPr>
          <w:tab/>
        </w:r>
        <w:r w:rsidR="008618F2">
          <w:rPr>
            <w:noProof/>
            <w:webHidden/>
          </w:rPr>
          <w:fldChar w:fldCharType="begin"/>
        </w:r>
        <w:r w:rsidR="008618F2">
          <w:rPr>
            <w:noProof/>
            <w:webHidden/>
          </w:rPr>
          <w:instrText xml:space="preserve"> PAGEREF _Toc134197809 \h </w:instrText>
        </w:r>
        <w:r w:rsidR="008618F2">
          <w:rPr>
            <w:noProof/>
            <w:webHidden/>
          </w:rPr>
        </w:r>
        <w:r w:rsidR="008618F2">
          <w:rPr>
            <w:noProof/>
            <w:webHidden/>
          </w:rPr>
          <w:fldChar w:fldCharType="separate"/>
        </w:r>
        <w:r w:rsidR="000720CB">
          <w:rPr>
            <w:noProof/>
            <w:webHidden/>
          </w:rPr>
          <w:t>53</w:t>
        </w:r>
        <w:r w:rsidR="008618F2">
          <w:rPr>
            <w:noProof/>
            <w:webHidden/>
          </w:rPr>
          <w:fldChar w:fldCharType="end"/>
        </w:r>
      </w:hyperlink>
    </w:p>
    <w:p w14:paraId="175F93C0" w14:textId="4F26C1F2" w:rsidR="008618F2" w:rsidRDefault="009B5CEC" w:rsidP="008618F2">
      <w:pPr>
        <w:pStyle w:val="TOC2"/>
        <w:jc w:val="left"/>
        <w:rPr>
          <w:rFonts w:asciiTheme="minorHAnsi" w:eastAsiaTheme="minorEastAsia" w:hAnsiTheme="minorHAnsi" w:cstheme="minorBidi"/>
          <w:b w:val="0"/>
          <w:noProof/>
          <w:szCs w:val="22"/>
          <w:lang w:eastAsia="en-GB"/>
        </w:rPr>
      </w:pPr>
      <w:hyperlink w:anchor="_Toc134197810" w:history="1">
        <w:r w:rsidR="008618F2" w:rsidRPr="00DC3933">
          <w:rPr>
            <w:rStyle w:val="Hyperlink"/>
            <w:noProof/>
          </w:rPr>
          <w:t>6.1</w:t>
        </w:r>
        <w:r w:rsidR="008618F2">
          <w:rPr>
            <w:rFonts w:asciiTheme="minorHAnsi" w:eastAsiaTheme="minorEastAsia" w:hAnsiTheme="minorHAnsi" w:cstheme="minorBidi"/>
            <w:b w:val="0"/>
            <w:noProof/>
            <w:szCs w:val="22"/>
            <w:lang w:eastAsia="en-GB"/>
          </w:rPr>
          <w:tab/>
        </w:r>
        <w:r w:rsidR="008618F2" w:rsidRPr="00DC3933">
          <w:rPr>
            <w:rStyle w:val="Hyperlink"/>
            <w:noProof/>
          </w:rPr>
          <w:t>General</w:t>
        </w:r>
        <w:r w:rsidR="008618F2">
          <w:rPr>
            <w:noProof/>
            <w:webHidden/>
          </w:rPr>
          <w:tab/>
        </w:r>
        <w:r w:rsidR="008618F2">
          <w:rPr>
            <w:noProof/>
            <w:webHidden/>
          </w:rPr>
          <w:fldChar w:fldCharType="begin"/>
        </w:r>
        <w:r w:rsidR="008618F2">
          <w:rPr>
            <w:noProof/>
            <w:webHidden/>
          </w:rPr>
          <w:instrText xml:space="preserve"> PAGEREF _Toc134197810 \h </w:instrText>
        </w:r>
        <w:r w:rsidR="008618F2">
          <w:rPr>
            <w:noProof/>
            <w:webHidden/>
          </w:rPr>
        </w:r>
        <w:r w:rsidR="008618F2">
          <w:rPr>
            <w:noProof/>
            <w:webHidden/>
          </w:rPr>
          <w:fldChar w:fldCharType="separate"/>
        </w:r>
        <w:r w:rsidR="000720CB">
          <w:rPr>
            <w:noProof/>
            <w:webHidden/>
          </w:rPr>
          <w:t>53</w:t>
        </w:r>
        <w:r w:rsidR="008618F2">
          <w:rPr>
            <w:noProof/>
            <w:webHidden/>
          </w:rPr>
          <w:fldChar w:fldCharType="end"/>
        </w:r>
      </w:hyperlink>
    </w:p>
    <w:p w14:paraId="48B3D7D5" w14:textId="0AB4E7B3" w:rsidR="008618F2" w:rsidRDefault="009B5CEC" w:rsidP="008618F2">
      <w:pPr>
        <w:pStyle w:val="TOC2"/>
        <w:jc w:val="left"/>
        <w:rPr>
          <w:rFonts w:asciiTheme="minorHAnsi" w:eastAsiaTheme="minorEastAsia" w:hAnsiTheme="minorHAnsi" w:cstheme="minorBidi"/>
          <w:b w:val="0"/>
          <w:noProof/>
          <w:szCs w:val="22"/>
          <w:lang w:eastAsia="en-GB"/>
        </w:rPr>
      </w:pPr>
      <w:hyperlink w:anchor="_Toc134197811" w:history="1">
        <w:r w:rsidR="008618F2" w:rsidRPr="00DC3933">
          <w:rPr>
            <w:rStyle w:val="Hyperlink"/>
            <w:noProof/>
          </w:rPr>
          <w:t>6.2</w:t>
        </w:r>
        <w:r w:rsidR="008618F2">
          <w:rPr>
            <w:rFonts w:asciiTheme="minorHAnsi" w:eastAsiaTheme="minorEastAsia" w:hAnsiTheme="minorHAnsi" w:cstheme="minorBidi"/>
            <w:b w:val="0"/>
            <w:noProof/>
            <w:szCs w:val="22"/>
            <w:lang w:eastAsia="en-GB"/>
          </w:rPr>
          <w:tab/>
        </w:r>
        <w:r w:rsidR="008618F2" w:rsidRPr="00DC3933">
          <w:rPr>
            <w:rStyle w:val="Hyperlink"/>
            <w:noProof/>
          </w:rPr>
          <w:t>Verification of Significant Damage (SD) limit state</w:t>
        </w:r>
        <w:r w:rsidR="008618F2">
          <w:rPr>
            <w:noProof/>
            <w:webHidden/>
          </w:rPr>
          <w:tab/>
        </w:r>
        <w:r w:rsidR="008618F2">
          <w:rPr>
            <w:noProof/>
            <w:webHidden/>
          </w:rPr>
          <w:fldChar w:fldCharType="begin"/>
        </w:r>
        <w:r w:rsidR="008618F2">
          <w:rPr>
            <w:noProof/>
            <w:webHidden/>
          </w:rPr>
          <w:instrText xml:space="preserve"> PAGEREF _Toc134197811 \h </w:instrText>
        </w:r>
        <w:r w:rsidR="008618F2">
          <w:rPr>
            <w:noProof/>
            <w:webHidden/>
          </w:rPr>
        </w:r>
        <w:r w:rsidR="008618F2">
          <w:rPr>
            <w:noProof/>
            <w:webHidden/>
          </w:rPr>
          <w:fldChar w:fldCharType="separate"/>
        </w:r>
        <w:r w:rsidR="000720CB">
          <w:rPr>
            <w:noProof/>
            <w:webHidden/>
          </w:rPr>
          <w:t>54</w:t>
        </w:r>
        <w:r w:rsidR="008618F2">
          <w:rPr>
            <w:noProof/>
            <w:webHidden/>
          </w:rPr>
          <w:fldChar w:fldCharType="end"/>
        </w:r>
      </w:hyperlink>
    </w:p>
    <w:p w14:paraId="366BF13A" w14:textId="2428483B" w:rsidR="008618F2" w:rsidRDefault="009B5CEC" w:rsidP="008618F2">
      <w:pPr>
        <w:pStyle w:val="TOC3"/>
        <w:jc w:val="left"/>
        <w:rPr>
          <w:rFonts w:asciiTheme="minorHAnsi" w:eastAsiaTheme="minorEastAsia" w:hAnsiTheme="minorHAnsi" w:cstheme="minorBidi"/>
          <w:b w:val="0"/>
          <w:noProof/>
          <w:szCs w:val="22"/>
          <w:lang w:eastAsia="en-GB"/>
        </w:rPr>
      </w:pPr>
      <w:hyperlink w:anchor="_Toc134197812" w:history="1">
        <w:r w:rsidR="008618F2" w:rsidRPr="00DC3933">
          <w:rPr>
            <w:rStyle w:val="Hyperlink"/>
            <w:noProof/>
          </w:rPr>
          <w:t>6.2.1</w:t>
        </w:r>
        <w:r w:rsidR="008618F2">
          <w:rPr>
            <w:rFonts w:asciiTheme="minorHAnsi" w:eastAsiaTheme="minorEastAsia" w:hAnsiTheme="minorHAnsi" w:cstheme="minorBidi"/>
            <w:b w:val="0"/>
            <w:noProof/>
            <w:szCs w:val="22"/>
            <w:lang w:eastAsia="en-GB"/>
          </w:rPr>
          <w:tab/>
        </w:r>
        <w:r w:rsidR="008618F2" w:rsidRPr="00DC3933">
          <w:rPr>
            <w:rStyle w:val="Hyperlink"/>
            <w:noProof/>
          </w:rPr>
          <w:t>General</w:t>
        </w:r>
        <w:r w:rsidR="008618F2">
          <w:rPr>
            <w:noProof/>
            <w:webHidden/>
          </w:rPr>
          <w:tab/>
        </w:r>
        <w:r w:rsidR="008618F2">
          <w:rPr>
            <w:noProof/>
            <w:webHidden/>
          </w:rPr>
          <w:fldChar w:fldCharType="begin"/>
        </w:r>
        <w:r w:rsidR="008618F2">
          <w:rPr>
            <w:noProof/>
            <w:webHidden/>
          </w:rPr>
          <w:instrText xml:space="preserve"> PAGEREF _Toc134197812 \h </w:instrText>
        </w:r>
        <w:r w:rsidR="008618F2">
          <w:rPr>
            <w:noProof/>
            <w:webHidden/>
          </w:rPr>
        </w:r>
        <w:r w:rsidR="008618F2">
          <w:rPr>
            <w:noProof/>
            <w:webHidden/>
          </w:rPr>
          <w:fldChar w:fldCharType="separate"/>
        </w:r>
        <w:r w:rsidR="000720CB">
          <w:rPr>
            <w:noProof/>
            <w:webHidden/>
          </w:rPr>
          <w:t>54</w:t>
        </w:r>
        <w:r w:rsidR="008618F2">
          <w:rPr>
            <w:noProof/>
            <w:webHidden/>
          </w:rPr>
          <w:fldChar w:fldCharType="end"/>
        </w:r>
      </w:hyperlink>
    </w:p>
    <w:p w14:paraId="661218A8" w14:textId="7E4A1AAC" w:rsidR="008618F2" w:rsidRDefault="009B5CEC" w:rsidP="008618F2">
      <w:pPr>
        <w:pStyle w:val="TOC3"/>
        <w:jc w:val="left"/>
        <w:rPr>
          <w:rFonts w:asciiTheme="minorHAnsi" w:eastAsiaTheme="minorEastAsia" w:hAnsiTheme="minorHAnsi" w:cstheme="minorBidi"/>
          <w:b w:val="0"/>
          <w:noProof/>
          <w:szCs w:val="22"/>
          <w:lang w:eastAsia="en-GB"/>
        </w:rPr>
      </w:pPr>
      <w:hyperlink w:anchor="_Toc134197813" w:history="1">
        <w:r w:rsidR="008618F2" w:rsidRPr="00DC3933">
          <w:rPr>
            <w:rStyle w:val="Hyperlink"/>
            <w:noProof/>
          </w:rPr>
          <w:t>6.2.2</w:t>
        </w:r>
        <w:r w:rsidR="008618F2">
          <w:rPr>
            <w:rFonts w:asciiTheme="minorHAnsi" w:eastAsiaTheme="minorEastAsia" w:hAnsiTheme="minorHAnsi" w:cstheme="minorBidi"/>
            <w:b w:val="0"/>
            <w:noProof/>
            <w:szCs w:val="22"/>
            <w:lang w:eastAsia="en-GB"/>
          </w:rPr>
          <w:tab/>
        </w:r>
        <w:r w:rsidR="008618F2" w:rsidRPr="00DC3933">
          <w:rPr>
            <w:rStyle w:val="Hyperlink"/>
            <w:noProof/>
          </w:rPr>
          <w:t>Equilibrium condition</w:t>
        </w:r>
        <w:r w:rsidR="008618F2">
          <w:rPr>
            <w:noProof/>
            <w:webHidden/>
          </w:rPr>
          <w:tab/>
        </w:r>
        <w:r w:rsidR="008618F2">
          <w:rPr>
            <w:noProof/>
            <w:webHidden/>
          </w:rPr>
          <w:fldChar w:fldCharType="begin"/>
        </w:r>
        <w:r w:rsidR="008618F2">
          <w:rPr>
            <w:noProof/>
            <w:webHidden/>
          </w:rPr>
          <w:instrText xml:space="preserve"> PAGEREF _Toc134197813 \h </w:instrText>
        </w:r>
        <w:r w:rsidR="008618F2">
          <w:rPr>
            <w:noProof/>
            <w:webHidden/>
          </w:rPr>
        </w:r>
        <w:r w:rsidR="008618F2">
          <w:rPr>
            <w:noProof/>
            <w:webHidden/>
          </w:rPr>
          <w:fldChar w:fldCharType="separate"/>
        </w:r>
        <w:r w:rsidR="000720CB">
          <w:rPr>
            <w:noProof/>
            <w:webHidden/>
          </w:rPr>
          <w:t>54</w:t>
        </w:r>
        <w:r w:rsidR="008618F2">
          <w:rPr>
            <w:noProof/>
            <w:webHidden/>
          </w:rPr>
          <w:fldChar w:fldCharType="end"/>
        </w:r>
      </w:hyperlink>
    </w:p>
    <w:p w14:paraId="5F48D606" w14:textId="7ED8F479" w:rsidR="008618F2" w:rsidRDefault="009B5CEC" w:rsidP="008618F2">
      <w:pPr>
        <w:pStyle w:val="TOC3"/>
        <w:jc w:val="left"/>
        <w:rPr>
          <w:rFonts w:asciiTheme="minorHAnsi" w:eastAsiaTheme="minorEastAsia" w:hAnsiTheme="minorHAnsi" w:cstheme="minorBidi"/>
          <w:b w:val="0"/>
          <w:noProof/>
          <w:szCs w:val="22"/>
          <w:lang w:eastAsia="en-GB"/>
        </w:rPr>
      </w:pPr>
      <w:hyperlink w:anchor="_Toc134197814" w:history="1">
        <w:r w:rsidR="008618F2" w:rsidRPr="00DC3933">
          <w:rPr>
            <w:rStyle w:val="Hyperlink"/>
            <w:noProof/>
          </w:rPr>
          <w:t>6.2.3</w:t>
        </w:r>
        <w:r w:rsidR="008618F2">
          <w:rPr>
            <w:rFonts w:asciiTheme="minorHAnsi" w:eastAsiaTheme="minorEastAsia" w:hAnsiTheme="minorHAnsi" w:cstheme="minorBidi"/>
            <w:b w:val="0"/>
            <w:noProof/>
            <w:szCs w:val="22"/>
            <w:lang w:eastAsia="en-GB"/>
          </w:rPr>
          <w:tab/>
        </w:r>
        <w:r w:rsidR="008618F2" w:rsidRPr="00DC3933">
          <w:rPr>
            <w:rStyle w:val="Hyperlink"/>
            <w:noProof/>
          </w:rPr>
          <w:t>Resistance conditions</w:t>
        </w:r>
        <w:r w:rsidR="008618F2">
          <w:rPr>
            <w:noProof/>
            <w:webHidden/>
          </w:rPr>
          <w:tab/>
        </w:r>
        <w:r w:rsidR="008618F2">
          <w:rPr>
            <w:noProof/>
            <w:webHidden/>
          </w:rPr>
          <w:fldChar w:fldCharType="begin"/>
        </w:r>
        <w:r w:rsidR="008618F2">
          <w:rPr>
            <w:noProof/>
            <w:webHidden/>
          </w:rPr>
          <w:instrText xml:space="preserve"> PAGEREF _Toc134197814 \h </w:instrText>
        </w:r>
        <w:r w:rsidR="008618F2">
          <w:rPr>
            <w:noProof/>
            <w:webHidden/>
          </w:rPr>
        </w:r>
        <w:r w:rsidR="008618F2">
          <w:rPr>
            <w:noProof/>
            <w:webHidden/>
          </w:rPr>
          <w:fldChar w:fldCharType="separate"/>
        </w:r>
        <w:r w:rsidR="000720CB">
          <w:rPr>
            <w:noProof/>
            <w:webHidden/>
          </w:rPr>
          <w:t>54</w:t>
        </w:r>
        <w:r w:rsidR="008618F2">
          <w:rPr>
            <w:noProof/>
            <w:webHidden/>
          </w:rPr>
          <w:fldChar w:fldCharType="end"/>
        </w:r>
      </w:hyperlink>
    </w:p>
    <w:p w14:paraId="08477ABA" w14:textId="625A8220" w:rsidR="008618F2" w:rsidRDefault="009B5CEC" w:rsidP="008618F2">
      <w:pPr>
        <w:pStyle w:val="TOC3"/>
        <w:jc w:val="left"/>
        <w:rPr>
          <w:rFonts w:asciiTheme="minorHAnsi" w:eastAsiaTheme="minorEastAsia" w:hAnsiTheme="minorHAnsi" w:cstheme="minorBidi"/>
          <w:b w:val="0"/>
          <w:noProof/>
          <w:szCs w:val="22"/>
          <w:lang w:eastAsia="en-GB"/>
        </w:rPr>
      </w:pPr>
      <w:hyperlink w:anchor="_Toc134197815" w:history="1">
        <w:r w:rsidR="008618F2" w:rsidRPr="00DC3933">
          <w:rPr>
            <w:rStyle w:val="Hyperlink"/>
            <w:noProof/>
          </w:rPr>
          <w:t>6.2.4</w:t>
        </w:r>
        <w:r w:rsidR="008618F2">
          <w:rPr>
            <w:rFonts w:asciiTheme="minorHAnsi" w:eastAsiaTheme="minorEastAsia" w:hAnsiTheme="minorHAnsi" w:cstheme="minorBidi"/>
            <w:b w:val="0"/>
            <w:noProof/>
            <w:szCs w:val="22"/>
            <w:lang w:eastAsia="en-GB"/>
          </w:rPr>
          <w:tab/>
        </w:r>
        <w:r w:rsidR="008618F2" w:rsidRPr="00DC3933">
          <w:rPr>
            <w:rStyle w:val="Hyperlink"/>
            <w:noProof/>
          </w:rPr>
          <w:t>Control of second-order effects</w:t>
        </w:r>
        <w:r w:rsidR="008618F2">
          <w:rPr>
            <w:noProof/>
            <w:webHidden/>
          </w:rPr>
          <w:tab/>
        </w:r>
        <w:r w:rsidR="008618F2">
          <w:rPr>
            <w:noProof/>
            <w:webHidden/>
          </w:rPr>
          <w:fldChar w:fldCharType="begin"/>
        </w:r>
        <w:r w:rsidR="008618F2">
          <w:rPr>
            <w:noProof/>
            <w:webHidden/>
          </w:rPr>
          <w:instrText xml:space="preserve"> PAGEREF _Toc134197815 \h </w:instrText>
        </w:r>
        <w:r w:rsidR="008618F2">
          <w:rPr>
            <w:noProof/>
            <w:webHidden/>
          </w:rPr>
        </w:r>
        <w:r w:rsidR="008618F2">
          <w:rPr>
            <w:noProof/>
            <w:webHidden/>
          </w:rPr>
          <w:fldChar w:fldCharType="separate"/>
        </w:r>
        <w:r w:rsidR="000720CB">
          <w:rPr>
            <w:noProof/>
            <w:webHidden/>
          </w:rPr>
          <w:t>55</w:t>
        </w:r>
        <w:r w:rsidR="008618F2">
          <w:rPr>
            <w:noProof/>
            <w:webHidden/>
          </w:rPr>
          <w:fldChar w:fldCharType="end"/>
        </w:r>
      </w:hyperlink>
    </w:p>
    <w:p w14:paraId="393BDD2E" w14:textId="1BDE1E10" w:rsidR="008618F2" w:rsidRDefault="009B5CEC" w:rsidP="008618F2">
      <w:pPr>
        <w:pStyle w:val="TOC3"/>
        <w:jc w:val="left"/>
        <w:rPr>
          <w:rFonts w:asciiTheme="minorHAnsi" w:eastAsiaTheme="minorEastAsia" w:hAnsiTheme="minorHAnsi" w:cstheme="minorBidi"/>
          <w:b w:val="0"/>
          <w:noProof/>
          <w:szCs w:val="22"/>
          <w:lang w:eastAsia="en-GB"/>
        </w:rPr>
      </w:pPr>
      <w:hyperlink w:anchor="_Toc134197816" w:history="1">
        <w:r w:rsidR="008618F2" w:rsidRPr="00DC3933">
          <w:rPr>
            <w:rStyle w:val="Hyperlink"/>
            <w:noProof/>
          </w:rPr>
          <w:t>6.2.5</w:t>
        </w:r>
        <w:r w:rsidR="008618F2">
          <w:rPr>
            <w:rFonts w:asciiTheme="minorHAnsi" w:eastAsiaTheme="minorEastAsia" w:hAnsiTheme="minorHAnsi" w:cstheme="minorBidi"/>
            <w:b w:val="0"/>
            <w:noProof/>
            <w:szCs w:val="22"/>
            <w:lang w:eastAsia="en-GB"/>
          </w:rPr>
          <w:tab/>
        </w:r>
        <w:r w:rsidR="008618F2" w:rsidRPr="00DC3933">
          <w:rPr>
            <w:rStyle w:val="Hyperlink"/>
            <w:noProof/>
          </w:rPr>
          <w:t>Limitation of interstorey drift</w:t>
        </w:r>
        <w:r w:rsidR="008618F2">
          <w:rPr>
            <w:noProof/>
            <w:webHidden/>
          </w:rPr>
          <w:tab/>
        </w:r>
        <w:r w:rsidR="008618F2">
          <w:rPr>
            <w:noProof/>
            <w:webHidden/>
          </w:rPr>
          <w:fldChar w:fldCharType="begin"/>
        </w:r>
        <w:r w:rsidR="008618F2">
          <w:rPr>
            <w:noProof/>
            <w:webHidden/>
          </w:rPr>
          <w:instrText xml:space="preserve"> PAGEREF _Toc134197816 \h </w:instrText>
        </w:r>
        <w:r w:rsidR="008618F2">
          <w:rPr>
            <w:noProof/>
            <w:webHidden/>
          </w:rPr>
        </w:r>
        <w:r w:rsidR="008618F2">
          <w:rPr>
            <w:noProof/>
            <w:webHidden/>
          </w:rPr>
          <w:fldChar w:fldCharType="separate"/>
        </w:r>
        <w:r w:rsidR="000720CB">
          <w:rPr>
            <w:noProof/>
            <w:webHidden/>
          </w:rPr>
          <w:t>55</w:t>
        </w:r>
        <w:r w:rsidR="008618F2">
          <w:rPr>
            <w:noProof/>
            <w:webHidden/>
          </w:rPr>
          <w:fldChar w:fldCharType="end"/>
        </w:r>
      </w:hyperlink>
    </w:p>
    <w:p w14:paraId="48A0FC9C" w14:textId="701FC5A9" w:rsidR="008618F2" w:rsidRDefault="009B5CEC" w:rsidP="008618F2">
      <w:pPr>
        <w:pStyle w:val="TOC3"/>
        <w:jc w:val="left"/>
        <w:rPr>
          <w:rFonts w:asciiTheme="minorHAnsi" w:eastAsiaTheme="minorEastAsia" w:hAnsiTheme="minorHAnsi" w:cstheme="minorBidi"/>
          <w:b w:val="0"/>
          <w:noProof/>
          <w:szCs w:val="22"/>
          <w:lang w:eastAsia="en-GB"/>
        </w:rPr>
      </w:pPr>
      <w:hyperlink w:anchor="_Toc134197817" w:history="1">
        <w:r w:rsidR="008618F2" w:rsidRPr="00DC3933">
          <w:rPr>
            <w:rStyle w:val="Hyperlink"/>
            <w:noProof/>
          </w:rPr>
          <w:t>6.2.6</w:t>
        </w:r>
        <w:r w:rsidR="008618F2">
          <w:rPr>
            <w:rFonts w:asciiTheme="minorHAnsi" w:eastAsiaTheme="minorEastAsia" w:hAnsiTheme="minorHAnsi" w:cstheme="minorBidi"/>
            <w:b w:val="0"/>
            <w:noProof/>
            <w:szCs w:val="22"/>
            <w:lang w:eastAsia="en-GB"/>
          </w:rPr>
          <w:tab/>
        </w:r>
        <w:r w:rsidR="008618F2" w:rsidRPr="00DC3933">
          <w:rPr>
            <w:rStyle w:val="Hyperlink"/>
            <w:noProof/>
          </w:rPr>
          <w:t>Capacity design in DC2</w:t>
        </w:r>
        <w:r w:rsidR="008618F2">
          <w:rPr>
            <w:noProof/>
            <w:webHidden/>
          </w:rPr>
          <w:tab/>
        </w:r>
        <w:r w:rsidR="008618F2">
          <w:rPr>
            <w:noProof/>
            <w:webHidden/>
          </w:rPr>
          <w:fldChar w:fldCharType="begin"/>
        </w:r>
        <w:r w:rsidR="008618F2">
          <w:rPr>
            <w:noProof/>
            <w:webHidden/>
          </w:rPr>
          <w:instrText xml:space="preserve"> PAGEREF _Toc134197817 \h </w:instrText>
        </w:r>
        <w:r w:rsidR="008618F2">
          <w:rPr>
            <w:noProof/>
            <w:webHidden/>
          </w:rPr>
        </w:r>
        <w:r w:rsidR="008618F2">
          <w:rPr>
            <w:noProof/>
            <w:webHidden/>
          </w:rPr>
          <w:fldChar w:fldCharType="separate"/>
        </w:r>
        <w:r w:rsidR="000720CB">
          <w:rPr>
            <w:noProof/>
            <w:webHidden/>
          </w:rPr>
          <w:t>56</w:t>
        </w:r>
        <w:r w:rsidR="008618F2">
          <w:rPr>
            <w:noProof/>
            <w:webHidden/>
          </w:rPr>
          <w:fldChar w:fldCharType="end"/>
        </w:r>
      </w:hyperlink>
    </w:p>
    <w:p w14:paraId="6307D0C6" w14:textId="1DF8D39C" w:rsidR="008618F2" w:rsidRDefault="009B5CEC" w:rsidP="008618F2">
      <w:pPr>
        <w:pStyle w:val="TOC3"/>
        <w:jc w:val="left"/>
        <w:rPr>
          <w:rFonts w:asciiTheme="minorHAnsi" w:eastAsiaTheme="minorEastAsia" w:hAnsiTheme="minorHAnsi" w:cstheme="minorBidi"/>
          <w:b w:val="0"/>
          <w:noProof/>
          <w:szCs w:val="22"/>
          <w:lang w:eastAsia="en-GB"/>
        </w:rPr>
      </w:pPr>
      <w:hyperlink w:anchor="_Toc134197818" w:history="1">
        <w:r w:rsidR="008618F2" w:rsidRPr="00DC3933">
          <w:rPr>
            <w:rStyle w:val="Hyperlink"/>
            <w:noProof/>
          </w:rPr>
          <w:t>6.2.7</w:t>
        </w:r>
        <w:r w:rsidR="008618F2">
          <w:rPr>
            <w:rFonts w:asciiTheme="minorHAnsi" w:eastAsiaTheme="minorEastAsia" w:hAnsiTheme="minorHAnsi" w:cstheme="minorBidi"/>
            <w:b w:val="0"/>
            <w:noProof/>
            <w:szCs w:val="22"/>
            <w:lang w:eastAsia="en-GB"/>
          </w:rPr>
          <w:tab/>
        </w:r>
        <w:r w:rsidR="008618F2" w:rsidRPr="00DC3933">
          <w:rPr>
            <w:rStyle w:val="Hyperlink"/>
            <w:noProof/>
          </w:rPr>
          <w:t>Capacity design in DC3</w:t>
        </w:r>
        <w:r w:rsidR="008618F2">
          <w:rPr>
            <w:noProof/>
            <w:webHidden/>
          </w:rPr>
          <w:tab/>
        </w:r>
        <w:r w:rsidR="008618F2">
          <w:rPr>
            <w:noProof/>
            <w:webHidden/>
          </w:rPr>
          <w:fldChar w:fldCharType="begin"/>
        </w:r>
        <w:r w:rsidR="008618F2">
          <w:rPr>
            <w:noProof/>
            <w:webHidden/>
          </w:rPr>
          <w:instrText xml:space="preserve"> PAGEREF _Toc134197818 \h </w:instrText>
        </w:r>
        <w:r w:rsidR="008618F2">
          <w:rPr>
            <w:noProof/>
            <w:webHidden/>
          </w:rPr>
        </w:r>
        <w:r w:rsidR="008618F2">
          <w:rPr>
            <w:noProof/>
            <w:webHidden/>
          </w:rPr>
          <w:fldChar w:fldCharType="separate"/>
        </w:r>
        <w:r w:rsidR="000720CB">
          <w:rPr>
            <w:noProof/>
            <w:webHidden/>
          </w:rPr>
          <w:t>57</w:t>
        </w:r>
        <w:r w:rsidR="008618F2">
          <w:rPr>
            <w:noProof/>
            <w:webHidden/>
          </w:rPr>
          <w:fldChar w:fldCharType="end"/>
        </w:r>
      </w:hyperlink>
    </w:p>
    <w:p w14:paraId="3DE12F8B" w14:textId="7BDD0BE1" w:rsidR="008618F2" w:rsidRDefault="009B5CEC" w:rsidP="008618F2">
      <w:pPr>
        <w:pStyle w:val="TOC3"/>
        <w:jc w:val="left"/>
        <w:rPr>
          <w:rFonts w:asciiTheme="minorHAnsi" w:eastAsiaTheme="minorEastAsia" w:hAnsiTheme="minorHAnsi" w:cstheme="minorBidi"/>
          <w:b w:val="0"/>
          <w:noProof/>
          <w:szCs w:val="22"/>
          <w:lang w:eastAsia="en-GB"/>
        </w:rPr>
      </w:pPr>
      <w:hyperlink w:anchor="_Toc134197819" w:history="1">
        <w:r w:rsidR="008618F2" w:rsidRPr="00DC3933">
          <w:rPr>
            <w:rStyle w:val="Hyperlink"/>
            <w:noProof/>
          </w:rPr>
          <w:t>6.2.8</w:t>
        </w:r>
        <w:r w:rsidR="008618F2">
          <w:rPr>
            <w:rFonts w:asciiTheme="minorHAnsi" w:eastAsiaTheme="minorEastAsia" w:hAnsiTheme="minorHAnsi" w:cstheme="minorBidi"/>
            <w:b w:val="0"/>
            <w:noProof/>
            <w:szCs w:val="22"/>
            <w:lang w:eastAsia="en-GB"/>
          </w:rPr>
          <w:tab/>
        </w:r>
        <w:r w:rsidR="008618F2" w:rsidRPr="00DC3933">
          <w:rPr>
            <w:rStyle w:val="Hyperlink"/>
            <w:noProof/>
          </w:rPr>
          <w:t>Resistance of horizontal diaphragms and bracings</w:t>
        </w:r>
        <w:r w:rsidR="008618F2">
          <w:rPr>
            <w:noProof/>
            <w:webHidden/>
          </w:rPr>
          <w:tab/>
        </w:r>
        <w:r w:rsidR="008618F2">
          <w:rPr>
            <w:noProof/>
            <w:webHidden/>
          </w:rPr>
          <w:fldChar w:fldCharType="begin"/>
        </w:r>
        <w:r w:rsidR="008618F2">
          <w:rPr>
            <w:noProof/>
            <w:webHidden/>
          </w:rPr>
          <w:instrText xml:space="preserve"> PAGEREF _Toc134197819 \h </w:instrText>
        </w:r>
        <w:r w:rsidR="008618F2">
          <w:rPr>
            <w:noProof/>
            <w:webHidden/>
          </w:rPr>
        </w:r>
        <w:r w:rsidR="008618F2">
          <w:rPr>
            <w:noProof/>
            <w:webHidden/>
          </w:rPr>
          <w:fldChar w:fldCharType="separate"/>
        </w:r>
        <w:r w:rsidR="000720CB">
          <w:rPr>
            <w:noProof/>
            <w:webHidden/>
          </w:rPr>
          <w:t>57</w:t>
        </w:r>
        <w:r w:rsidR="008618F2">
          <w:rPr>
            <w:noProof/>
            <w:webHidden/>
          </w:rPr>
          <w:fldChar w:fldCharType="end"/>
        </w:r>
      </w:hyperlink>
    </w:p>
    <w:p w14:paraId="02E9CBC1" w14:textId="0E316DA2" w:rsidR="008618F2" w:rsidRDefault="009B5CEC" w:rsidP="008618F2">
      <w:pPr>
        <w:pStyle w:val="TOC3"/>
        <w:jc w:val="left"/>
        <w:rPr>
          <w:rFonts w:asciiTheme="minorHAnsi" w:eastAsiaTheme="minorEastAsia" w:hAnsiTheme="minorHAnsi" w:cstheme="minorBidi"/>
          <w:b w:val="0"/>
          <w:noProof/>
          <w:szCs w:val="22"/>
          <w:lang w:eastAsia="en-GB"/>
        </w:rPr>
      </w:pPr>
      <w:hyperlink w:anchor="_Toc134197820" w:history="1">
        <w:r w:rsidR="008618F2" w:rsidRPr="00DC3933">
          <w:rPr>
            <w:rStyle w:val="Hyperlink"/>
            <w:noProof/>
          </w:rPr>
          <w:t>6.2.9</w:t>
        </w:r>
        <w:r w:rsidR="008618F2">
          <w:rPr>
            <w:rFonts w:asciiTheme="minorHAnsi" w:eastAsiaTheme="minorEastAsia" w:hAnsiTheme="minorHAnsi" w:cstheme="minorBidi"/>
            <w:b w:val="0"/>
            <w:noProof/>
            <w:szCs w:val="22"/>
            <w:lang w:eastAsia="en-GB"/>
          </w:rPr>
          <w:tab/>
        </w:r>
        <w:r w:rsidR="008618F2" w:rsidRPr="00DC3933">
          <w:rPr>
            <w:rStyle w:val="Hyperlink"/>
            <w:noProof/>
          </w:rPr>
          <w:t>Resistance of foundations</w:t>
        </w:r>
        <w:r w:rsidR="008618F2">
          <w:rPr>
            <w:noProof/>
            <w:webHidden/>
          </w:rPr>
          <w:tab/>
        </w:r>
        <w:r w:rsidR="008618F2">
          <w:rPr>
            <w:noProof/>
            <w:webHidden/>
          </w:rPr>
          <w:fldChar w:fldCharType="begin"/>
        </w:r>
        <w:r w:rsidR="008618F2">
          <w:rPr>
            <w:noProof/>
            <w:webHidden/>
          </w:rPr>
          <w:instrText xml:space="preserve"> PAGEREF _Toc134197820 \h </w:instrText>
        </w:r>
        <w:r w:rsidR="008618F2">
          <w:rPr>
            <w:noProof/>
            <w:webHidden/>
          </w:rPr>
        </w:r>
        <w:r w:rsidR="008618F2">
          <w:rPr>
            <w:noProof/>
            <w:webHidden/>
          </w:rPr>
          <w:fldChar w:fldCharType="separate"/>
        </w:r>
        <w:r w:rsidR="000720CB">
          <w:rPr>
            <w:noProof/>
            <w:webHidden/>
          </w:rPr>
          <w:t>58</w:t>
        </w:r>
        <w:r w:rsidR="008618F2">
          <w:rPr>
            <w:noProof/>
            <w:webHidden/>
          </w:rPr>
          <w:fldChar w:fldCharType="end"/>
        </w:r>
      </w:hyperlink>
    </w:p>
    <w:p w14:paraId="5E3A5FF0" w14:textId="6A112D81" w:rsidR="008618F2" w:rsidRDefault="009B5CEC" w:rsidP="008618F2">
      <w:pPr>
        <w:pStyle w:val="TOC3"/>
        <w:jc w:val="left"/>
        <w:rPr>
          <w:rFonts w:asciiTheme="minorHAnsi" w:eastAsiaTheme="minorEastAsia" w:hAnsiTheme="minorHAnsi" w:cstheme="minorBidi"/>
          <w:b w:val="0"/>
          <w:noProof/>
          <w:szCs w:val="22"/>
          <w:lang w:eastAsia="en-GB"/>
        </w:rPr>
      </w:pPr>
      <w:hyperlink w:anchor="_Toc134197821" w:history="1">
        <w:r w:rsidR="008618F2" w:rsidRPr="00DC3933">
          <w:rPr>
            <w:rStyle w:val="Hyperlink"/>
            <w:noProof/>
          </w:rPr>
          <w:t>6.2.10</w:t>
        </w:r>
        <w:r w:rsidR="008618F2">
          <w:rPr>
            <w:rFonts w:asciiTheme="minorHAnsi" w:eastAsiaTheme="minorEastAsia" w:hAnsiTheme="minorHAnsi" w:cstheme="minorBidi"/>
            <w:b w:val="0"/>
            <w:noProof/>
            <w:szCs w:val="22"/>
            <w:lang w:eastAsia="en-GB"/>
          </w:rPr>
          <w:tab/>
        </w:r>
        <w:r w:rsidR="008618F2" w:rsidRPr="00DC3933">
          <w:rPr>
            <w:rStyle w:val="Hyperlink"/>
            <w:noProof/>
          </w:rPr>
          <w:t>Seismic joint condition</w:t>
        </w:r>
        <w:r w:rsidR="008618F2">
          <w:rPr>
            <w:noProof/>
            <w:webHidden/>
          </w:rPr>
          <w:tab/>
        </w:r>
        <w:r w:rsidR="008618F2">
          <w:rPr>
            <w:noProof/>
            <w:webHidden/>
          </w:rPr>
          <w:fldChar w:fldCharType="begin"/>
        </w:r>
        <w:r w:rsidR="008618F2">
          <w:rPr>
            <w:noProof/>
            <w:webHidden/>
          </w:rPr>
          <w:instrText xml:space="preserve"> PAGEREF _Toc134197821 \h </w:instrText>
        </w:r>
        <w:r w:rsidR="008618F2">
          <w:rPr>
            <w:noProof/>
            <w:webHidden/>
          </w:rPr>
        </w:r>
        <w:r w:rsidR="008618F2">
          <w:rPr>
            <w:noProof/>
            <w:webHidden/>
          </w:rPr>
          <w:fldChar w:fldCharType="separate"/>
        </w:r>
        <w:r w:rsidR="000720CB">
          <w:rPr>
            <w:noProof/>
            <w:webHidden/>
          </w:rPr>
          <w:t>58</w:t>
        </w:r>
        <w:r w:rsidR="008618F2">
          <w:rPr>
            <w:noProof/>
            <w:webHidden/>
          </w:rPr>
          <w:fldChar w:fldCharType="end"/>
        </w:r>
      </w:hyperlink>
    </w:p>
    <w:p w14:paraId="007F5635" w14:textId="48C8CEE0" w:rsidR="008618F2" w:rsidRDefault="009B5CEC" w:rsidP="008618F2">
      <w:pPr>
        <w:pStyle w:val="TOC3"/>
        <w:jc w:val="left"/>
        <w:rPr>
          <w:rFonts w:asciiTheme="minorHAnsi" w:eastAsiaTheme="minorEastAsia" w:hAnsiTheme="minorHAnsi" w:cstheme="minorBidi"/>
          <w:b w:val="0"/>
          <w:noProof/>
          <w:szCs w:val="22"/>
          <w:lang w:eastAsia="en-GB"/>
        </w:rPr>
      </w:pPr>
      <w:hyperlink w:anchor="_Toc134197822" w:history="1">
        <w:r w:rsidR="008618F2" w:rsidRPr="00DC3933">
          <w:rPr>
            <w:rStyle w:val="Hyperlink"/>
            <w:noProof/>
          </w:rPr>
          <w:t>6.2.11</w:t>
        </w:r>
        <w:r w:rsidR="008618F2">
          <w:rPr>
            <w:rFonts w:asciiTheme="minorHAnsi" w:eastAsiaTheme="minorEastAsia" w:hAnsiTheme="minorHAnsi" w:cstheme="minorBidi"/>
            <w:b w:val="0"/>
            <w:noProof/>
            <w:szCs w:val="22"/>
            <w:lang w:eastAsia="en-GB"/>
          </w:rPr>
          <w:tab/>
        </w:r>
        <w:r w:rsidR="008618F2" w:rsidRPr="00DC3933">
          <w:rPr>
            <w:rStyle w:val="Hyperlink"/>
            <w:noProof/>
          </w:rPr>
          <w:t>Verification of transfer zones in DC2 and DC3</w:t>
        </w:r>
        <w:r w:rsidR="008618F2">
          <w:rPr>
            <w:noProof/>
            <w:webHidden/>
          </w:rPr>
          <w:tab/>
        </w:r>
        <w:r w:rsidR="008618F2">
          <w:rPr>
            <w:noProof/>
            <w:webHidden/>
          </w:rPr>
          <w:fldChar w:fldCharType="begin"/>
        </w:r>
        <w:r w:rsidR="008618F2">
          <w:rPr>
            <w:noProof/>
            <w:webHidden/>
          </w:rPr>
          <w:instrText xml:space="preserve"> PAGEREF _Toc134197822 \h </w:instrText>
        </w:r>
        <w:r w:rsidR="008618F2">
          <w:rPr>
            <w:noProof/>
            <w:webHidden/>
          </w:rPr>
        </w:r>
        <w:r w:rsidR="008618F2">
          <w:rPr>
            <w:noProof/>
            <w:webHidden/>
          </w:rPr>
          <w:fldChar w:fldCharType="separate"/>
        </w:r>
        <w:r w:rsidR="000720CB">
          <w:rPr>
            <w:noProof/>
            <w:webHidden/>
          </w:rPr>
          <w:t>58</w:t>
        </w:r>
        <w:r w:rsidR="008618F2">
          <w:rPr>
            <w:noProof/>
            <w:webHidden/>
          </w:rPr>
          <w:fldChar w:fldCharType="end"/>
        </w:r>
      </w:hyperlink>
    </w:p>
    <w:p w14:paraId="301AD578" w14:textId="791A6F8D" w:rsidR="008618F2" w:rsidRDefault="009B5CEC" w:rsidP="008618F2">
      <w:pPr>
        <w:pStyle w:val="TOC3"/>
        <w:jc w:val="left"/>
        <w:rPr>
          <w:rFonts w:asciiTheme="minorHAnsi" w:eastAsiaTheme="minorEastAsia" w:hAnsiTheme="minorHAnsi" w:cstheme="minorBidi"/>
          <w:b w:val="0"/>
          <w:noProof/>
          <w:szCs w:val="22"/>
          <w:lang w:eastAsia="en-GB"/>
        </w:rPr>
      </w:pPr>
      <w:hyperlink w:anchor="_Toc134197823" w:history="1">
        <w:r w:rsidR="008618F2" w:rsidRPr="00DC3933">
          <w:rPr>
            <w:rStyle w:val="Hyperlink"/>
            <w:noProof/>
          </w:rPr>
          <w:t>6.2.12</w:t>
        </w:r>
        <w:r w:rsidR="008618F2">
          <w:rPr>
            <w:rFonts w:asciiTheme="minorHAnsi" w:eastAsiaTheme="minorEastAsia" w:hAnsiTheme="minorHAnsi" w:cstheme="minorBidi"/>
            <w:b w:val="0"/>
            <w:noProof/>
            <w:szCs w:val="22"/>
            <w:lang w:eastAsia="en-GB"/>
          </w:rPr>
          <w:tab/>
        </w:r>
        <w:r w:rsidR="008618F2" w:rsidRPr="00DC3933">
          <w:rPr>
            <w:rStyle w:val="Hyperlink"/>
            <w:noProof/>
          </w:rPr>
          <w:t>Verification of underground basements</w:t>
        </w:r>
        <w:r w:rsidR="008618F2">
          <w:rPr>
            <w:noProof/>
            <w:webHidden/>
          </w:rPr>
          <w:tab/>
        </w:r>
        <w:r w:rsidR="008618F2">
          <w:rPr>
            <w:noProof/>
            <w:webHidden/>
          </w:rPr>
          <w:fldChar w:fldCharType="begin"/>
        </w:r>
        <w:r w:rsidR="008618F2">
          <w:rPr>
            <w:noProof/>
            <w:webHidden/>
          </w:rPr>
          <w:instrText xml:space="preserve"> PAGEREF _Toc134197823 \h </w:instrText>
        </w:r>
        <w:r w:rsidR="008618F2">
          <w:rPr>
            <w:noProof/>
            <w:webHidden/>
          </w:rPr>
        </w:r>
        <w:r w:rsidR="008618F2">
          <w:rPr>
            <w:noProof/>
            <w:webHidden/>
          </w:rPr>
          <w:fldChar w:fldCharType="separate"/>
        </w:r>
        <w:r w:rsidR="000720CB">
          <w:rPr>
            <w:noProof/>
            <w:webHidden/>
          </w:rPr>
          <w:t>59</w:t>
        </w:r>
        <w:r w:rsidR="008618F2">
          <w:rPr>
            <w:noProof/>
            <w:webHidden/>
          </w:rPr>
          <w:fldChar w:fldCharType="end"/>
        </w:r>
      </w:hyperlink>
    </w:p>
    <w:p w14:paraId="107C2880" w14:textId="7111F772" w:rsidR="008618F2" w:rsidRDefault="009B5CEC" w:rsidP="008618F2">
      <w:pPr>
        <w:pStyle w:val="TOC2"/>
        <w:jc w:val="left"/>
        <w:rPr>
          <w:rFonts w:asciiTheme="minorHAnsi" w:eastAsiaTheme="minorEastAsia" w:hAnsiTheme="minorHAnsi" w:cstheme="minorBidi"/>
          <w:b w:val="0"/>
          <w:noProof/>
          <w:szCs w:val="22"/>
          <w:lang w:eastAsia="en-GB"/>
        </w:rPr>
      </w:pPr>
      <w:hyperlink w:anchor="_Toc134197824" w:history="1">
        <w:r w:rsidR="008618F2" w:rsidRPr="00DC3933">
          <w:rPr>
            <w:rStyle w:val="Hyperlink"/>
            <w:noProof/>
          </w:rPr>
          <w:t>6.3</w:t>
        </w:r>
        <w:r w:rsidR="008618F2">
          <w:rPr>
            <w:rFonts w:asciiTheme="minorHAnsi" w:eastAsiaTheme="minorEastAsia" w:hAnsiTheme="minorHAnsi" w:cstheme="minorBidi"/>
            <w:b w:val="0"/>
            <w:noProof/>
            <w:szCs w:val="22"/>
            <w:lang w:eastAsia="en-GB"/>
          </w:rPr>
          <w:tab/>
        </w:r>
        <w:r w:rsidR="008618F2" w:rsidRPr="00DC3933">
          <w:rPr>
            <w:rStyle w:val="Hyperlink"/>
            <w:noProof/>
          </w:rPr>
          <w:t>Verification to other limit states</w:t>
        </w:r>
        <w:r w:rsidR="008618F2">
          <w:rPr>
            <w:noProof/>
            <w:webHidden/>
          </w:rPr>
          <w:tab/>
        </w:r>
        <w:r w:rsidR="008618F2">
          <w:rPr>
            <w:noProof/>
            <w:webHidden/>
          </w:rPr>
          <w:fldChar w:fldCharType="begin"/>
        </w:r>
        <w:r w:rsidR="008618F2">
          <w:rPr>
            <w:noProof/>
            <w:webHidden/>
          </w:rPr>
          <w:instrText xml:space="preserve"> PAGEREF _Toc134197824 \h </w:instrText>
        </w:r>
        <w:r w:rsidR="008618F2">
          <w:rPr>
            <w:noProof/>
            <w:webHidden/>
          </w:rPr>
        </w:r>
        <w:r w:rsidR="008618F2">
          <w:rPr>
            <w:noProof/>
            <w:webHidden/>
          </w:rPr>
          <w:fldChar w:fldCharType="separate"/>
        </w:r>
        <w:r w:rsidR="000720CB">
          <w:rPr>
            <w:noProof/>
            <w:webHidden/>
          </w:rPr>
          <w:t>60</w:t>
        </w:r>
        <w:r w:rsidR="008618F2">
          <w:rPr>
            <w:noProof/>
            <w:webHidden/>
          </w:rPr>
          <w:fldChar w:fldCharType="end"/>
        </w:r>
      </w:hyperlink>
    </w:p>
    <w:p w14:paraId="062A758E" w14:textId="3BDD5ACE" w:rsidR="008618F2" w:rsidRDefault="009B5CEC" w:rsidP="008618F2">
      <w:pPr>
        <w:pStyle w:val="TOC3"/>
        <w:jc w:val="left"/>
        <w:rPr>
          <w:rFonts w:asciiTheme="minorHAnsi" w:eastAsiaTheme="minorEastAsia" w:hAnsiTheme="minorHAnsi" w:cstheme="minorBidi"/>
          <w:b w:val="0"/>
          <w:noProof/>
          <w:szCs w:val="22"/>
          <w:lang w:eastAsia="en-GB"/>
        </w:rPr>
      </w:pPr>
      <w:hyperlink w:anchor="_Toc134197825" w:history="1">
        <w:r w:rsidR="008618F2" w:rsidRPr="00DC3933">
          <w:rPr>
            <w:rStyle w:val="Hyperlink"/>
            <w:noProof/>
          </w:rPr>
          <w:t>6.3.1</w:t>
        </w:r>
        <w:r w:rsidR="008618F2">
          <w:rPr>
            <w:rFonts w:asciiTheme="minorHAnsi" w:eastAsiaTheme="minorEastAsia" w:hAnsiTheme="minorHAnsi" w:cstheme="minorBidi"/>
            <w:b w:val="0"/>
            <w:noProof/>
            <w:szCs w:val="22"/>
            <w:lang w:eastAsia="en-GB"/>
          </w:rPr>
          <w:tab/>
        </w:r>
        <w:r w:rsidR="008618F2" w:rsidRPr="00DC3933">
          <w:rPr>
            <w:rStyle w:val="Hyperlink"/>
            <w:noProof/>
          </w:rPr>
          <w:t>Verification to Near Collapse (NC) limit state</w:t>
        </w:r>
        <w:r w:rsidR="008618F2">
          <w:rPr>
            <w:noProof/>
            <w:webHidden/>
          </w:rPr>
          <w:tab/>
        </w:r>
        <w:r w:rsidR="008618F2">
          <w:rPr>
            <w:noProof/>
            <w:webHidden/>
          </w:rPr>
          <w:fldChar w:fldCharType="begin"/>
        </w:r>
        <w:r w:rsidR="008618F2">
          <w:rPr>
            <w:noProof/>
            <w:webHidden/>
          </w:rPr>
          <w:instrText xml:space="preserve"> PAGEREF _Toc134197825 \h </w:instrText>
        </w:r>
        <w:r w:rsidR="008618F2">
          <w:rPr>
            <w:noProof/>
            <w:webHidden/>
          </w:rPr>
        </w:r>
        <w:r w:rsidR="008618F2">
          <w:rPr>
            <w:noProof/>
            <w:webHidden/>
          </w:rPr>
          <w:fldChar w:fldCharType="separate"/>
        </w:r>
        <w:r w:rsidR="000720CB">
          <w:rPr>
            <w:noProof/>
            <w:webHidden/>
          </w:rPr>
          <w:t>60</w:t>
        </w:r>
        <w:r w:rsidR="008618F2">
          <w:rPr>
            <w:noProof/>
            <w:webHidden/>
          </w:rPr>
          <w:fldChar w:fldCharType="end"/>
        </w:r>
      </w:hyperlink>
    </w:p>
    <w:p w14:paraId="25EC8983" w14:textId="0703FE24" w:rsidR="008618F2" w:rsidRDefault="009B5CEC" w:rsidP="008618F2">
      <w:pPr>
        <w:pStyle w:val="TOC3"/>
        <w:jc w:val="left"/>
        <w:rPr>
          <w:rFonts w:asciiTheme="minorHAnsi" w:eastAsiaTheme="minorEastAsia" w:hAnsiTheme="minorHAnsi" w:cstheme="minorBidi"/>
          <w:b w:val="0"/>
          <w:noProof/>
          <w:szCs w:val="22"/>
          <w:lang w:eastAsia="en-GB"/>
        </w:rPr>
      </w:pPr>
      <w:hyperlink w:anchor="_Toc134197826" w:history="1">
        <w:r w:rsidR="008618F2" w:rsidRPr="00DC3933">
          <w:rPr>
            <w:rStyle w:val="Hyperlink"/>
            <w:noProof/>
          </w:rPr>
          <w:t>6.3.2</w:t>
        </w:r>
        <w:r w:rsidR="008618F2">
          <w:rPr>
            <w:rFonts w:asciiTheme="minorHAnsi" w:eastAsiaTheme="minorEastAsia" w:hAnsiTheme="minorHAnsi" w:cstheme="minorBidi"/>
            <w:b w:val="0"/>
            <w:noProof/>
            <w:szCs w:val="22"/>
            <w:lang w:eastAsia="en-GB"/>
          </w:rPr>
          <w:tab/>
        </w:r>
        <w:r w:rsidR="008618F2" w:rsidRPr="00DC3933">
          <w:rPr>
            <w:rStyle w:val="Hyperlink"/>
            <w:noProof/>
          </w:rPr>
          <w:t>Verification of Damage Limitation (DL) limit state</w:t>
        </w:r>
        <w:r w:rsidR="008618F2">
          <w:rPr>
            <w:noProof/>
            <w:webHidden/>
          </w:rPr>
          <w:tab/>
        </w:r>
        <w:r w:rsidR="008618F2">
          <w:rPr>
            <w:noProof/>
            <w:webHidden/>
          </w:rPr>
          <w:fldChar w:fldCharType="begin"/>
        </w:r>
        <w:r w:rsidR="008618F2">
          <w:rPr>
            <w:noProof/>
            <w:webHidden/>
          </w:rPr>
          <w:instrText xml:space="preserve"> PAGEREF _Toc134197826 \h </w:instrText>
        </w:r>
        <w:r w:rsidR="008618F2">
          <w:rPr>
            <w:noProof/>
            <w:webHidden/>
          </w:rPr>
        </w:r>
        <w:r w:rsidR="008618F2">
          <w:rPr>
            <w:noProof/>
            <w:webHidden/>
          </w:rPr>
          <w:fldChar w:fldCharType="separate"/>
        </w:r>
        <w:r w:rsidR="000720CB">
          <w:rPr>
            <w:noProof/>
            <w:webHidden/>
          </w:rPr>
          <w:t>60</w:t>
        </w:r>
        <w:r w:rsidR="008618F2">
          <w:rPr>
            <w:noProof/>
            <w:webHidden/>
          </w:rPr>
          <w:fldChar w:fldCharType="end"/>
        </w:r>
      </w:hyperlink>
    </w:p>
    <w:p w14:paraId="7E643C44" w14:textId="148EBA8C" w:rsidR="008618F2" w:rsidRDefault="009B5CEC" w:rsidP="008618F2">
      <w:pPr>
        <w:pStyle w:val="TOC3"/>
        <w:jc w:val="left"/>
        <w:rPr>
          <w:rFonts w:asciiTheme="minorHAnsi" w:eastAsiaTheme="minorEastAsia" w:hAnsiTheme="minorHAnsi" w:cstheme="minorBidi"/>
          <w:b w:val="0"/>
          <w:noProof/>
          <w:szCs w:val="22"/>
          <w:lang w:eastAsia="en-GB"/>
        </w:rPr>
      </w:pPr>
      <w:hyperlink w:anchor="_Toc134197827" w:history="1">
        <w:r w:rsidR="008618F2" w:rsidRPr="00DC3933">
          <w:rPr>
            <w:rStyle w:val="Hyperlink"/>
            <w:noProof/>
          </w:rPr>
          <w:t>6.3.3</w:t>
        </w:r>
        <w:r w:rsidR="008618F2">
          <w:rPr>
            <w:rFonts w:asciiTheme="minorHAnsi" w:eastAsiaTheme="minorEastAsia" w:hAnsiTheme="minorHAnsi" w:cstheme="minorBidi"/>
            <w:b w:val="0"/>
            <w:noProof/>
            <w:szCs w:val="22"/>
            <w:lang w:eastAsia="en-GB"/>
          </w:rPr>
          <w:tab/>
        </w:r>
        <w:r w:rsidR="008618F2" w:rsidRPr="00DC3933">
          <w:rPr>
            <w:rStyle w:val="Hyperlink"/>
            <w:noProof/>
          </w:rPr>
          <w:t>Verification of fully Operational (OP) limit state</w:t>
        </w:r>
        <w:r w:rsidR="008618F2">
          <w:rPr>
            <w:noProof/>
            <w:webHidden/>
          </w:rPr>
          <w:tab/>
        </w:r>
        <w:r w:rsidR="008618F2">
          <w:rPr>
            <w:noProof/>
            <w:webHidden/>
          </w:rPr>
          <w:fldChar w:fldCharType="begin"/>
        </w:r>
        <w:r w:rsidR="008618F2">
          <w:rPr>
            <w:noProof/>
            <w:webHidden/>
          </w:rPr>
          <w:instrText xml:space="preserve"> PAGEREF _Toc134197827 \h </w:instrText>
        </w:r>
        <w:r w:rsidR="008618F2">
          <w:rPr>
            <w:noProof/>
            <w:webHidden/>
          </w:rPr>
        </w:r>
        <w:r w:rsidR="008618F2">
          <w:rPr>
            <w:noProof/>
            <w:webHidden/>
          </w:rPr>
          <w:fldChar w:fldCharType="separate"/>
        </w:r>
        <w:r w:rsidR="000720CB">
          <w:rPr>
            <w:noProof/>
            <w:webHidden/>
          </w:rPr>
          <w:t>61</w:t>
        </w:r>
        <w:r w:rsidR="008618F2">
          <w:rPr>
            <w:noProof/>
            <w:webHidden/>
          </w:rPr>
          <w:fldChar w:fldCharType="end"/>
        </w:r>
      </w:hyperlink>
    </w:p>
    <w:p w14:paraId="666904CF" w14:textId="434EE997" w:rsidR="008618F2" w:rsidRDefault="009B5CEC" w:rsidP="008618F2">
      <w:pPr>
        <w:pStyle w:val="TOC1"/>
        <w:jc w:val="left"/>
        <w:rPr>
          <w:rFonts w:asciiTheme="minorHAnsi" w:eastAsiaTheme="minorEastAsia" w:hAnsiTheme="minorHAnsi" w:cstheme="minorBidi"/>
          <w:b w:val="0"/>
          <w:noProof/>
          <w:szCs w:val="22"/>
          <w:lang w:eastAsia="en-GB"/>
        </w:rPr>
      </w:pPr>
      <w:hyperlink w:anchor="_Toc134197828" w:history="1">
        <w:r w:rsidR="008618F2" w:rsidRPr="00DC3933">
          <w:rPr>
            <w:rStyle w:val="Hyperlink"/>
            <w:noProof/>
          </w:rPr>
          <w:t>7</w:t>
        </w:r>
        <w:r w:rsidR="008618F2">
          <w:rPr>
            <w:rFonts w:asciiTheme="minorHAnsi" w:eastAsiaTheme="minorEastAsia" w:hAnsiTheme="minorHAnsi" w:cstheme="minorBidi"/>
            <w:b w:val="0"/>
            <w:noProof/>
            <w:szCs w:val="22"/>
            <w:lang w:eastAsia="en-GB"/>
          </w:rPr>
          <w:tab/>
        </w:r>
        <w:r w:rsidR="008618F2" w:rsidRPr="00DC3933">
          <w:rPr>
            <w:rStyle w:val="Hyperlink"/>
            <w:noProof/>
          </w:rPr>
          <w:t>Ancillary elements</w:t>
        </w:r>
        <w:r w:rsidR="008618F2">
          <w:rPr>
            <w:noProof/>
            <w:webHidden/>
          </w:rPr>
          <w:tab/>
        </w:r>
        <w:r w:rsidR="008618F2">
          <w:rPr>
            <w:noProof/>
            <w:webHidden/>
          </w:rPr>
          <w:fldChar w:fldCharType="begin"/>
        </w:r>
        <w:r w:rsidR="008618F2">
          <w:rPr>
            <w:noProof/>
            <w:webHidden/>
          </w:rPr>
          <w:instrText xml:space="preserve"> PAGEREF _Toc134197828 \h </w:instrText>
        </w:r>
        <w:r w:rsidR="008618F2">
          <w:rPr>
            <w:noProof/>
            <w:webHidden/>
          </w:rPr>
        </w:r>
        <w:r w:rsidR="008618F2">
          <w:rPr>
            <w:noProof/>
            <w:webHidden/>
          </w:rPr>
          <w:fldChar w:fldCharType="separate"/>
        </w:r>
        <w:r w:rsidR="000720CB">
          <w:rPr>
            <w:noProof/>
            <w:webHidden/>
          </w:rPr>
          <w:t>61</w:t>
        </w:r>
        <w:r w:rsidR="008618F2">
          <w:rPr>
            <w:noProof/>
            <w:webHidden/>
          </w:rPr>
          <w:fldChar w:fldCharType="end"/>
        </w:r>
      </w:hyperlink>
    </w:p>
    <w:p w14:paraId="65EA646B" w14:textId="2D23A135" w:rsidR="008618F2" w:rsidRDefault="009B5CEC" w:rsidP="008618F2">
      <w:pPr>
        <w:pStyle w:val="TOC2"/>
        <w:jc w:val="left"/>
        <w:rPr>
          <w:rFonts w:asciiTheme="minorHAnsi" w:eastAsiaTheme="minorEastAsia" w:hAnsiTheme="minorHAnsi" w:cstheme="minorBidi"/>
          <w:b w:val="0"/>
          <w:noProof/>
          <w:szCs w:val="22"/>
          <w:lang w:eastAsia="en-GB"/>
        </w:rPr>
      </w:pPr>
      <w:hyperlink w:anchor="_Toc134197829" w:history="1">
        <w:r w:rsidR="008618F2" w:rsidRPr="00DC3933">
          <w:rPr>
            <w:rStyle w:val="Hyperlink"/>
            <w:noProof/>
          </w:rPr>
          <w:t>7.1</w:t>
        </w:r>
        <w:r w:rsidR="008618F2">
          <w:rPr>
            <w:rFonts w:asciiTheme="minorHAnsi" w:eastAsiaTheme="minorEastAsia" w:hAnsiTheme="minorHAnsi" w:cstheme="minorBidi"/>
            <w:b w:val="0"/>
            <w:noProof/>
            <w:szCs w:val="22"/>
            <w:lang w:eastAsia="en-GB"/>
          </w:rPr>
          <w:tab/>
        </w:r>
        <w:r w:rsidR="008618F2" w:rsidRPr="00DC3933">
          <w:rPr>
            <w:rStyle w:val="Hyperlink"/>
            <w:noProof/>
          </w:rPr>
          <w:t>General</w:t>
        </w:r>
        <w:r w:rsidR="008618F2">
          <w:rPr>
            <w:noProof/>
            <w:webHidden/>
          </w:rPr>
          <w:tab/>
        </w:r>
        <w:r w:rsidR="008618F2">
          <w:rPr>
            <w:noProof/>
            <w:webHidden/>
          </w:rPr>
          <w:fldChar w:fldCharType="begin"/>
        </w:r>
        <w:r w:rsidR="008618F2">
          <w:rPr>
            <w:noProof/>
            <w:webHidden/>
          </w:rPr>
          <w:instrText xml:space="preserve"> PAGEREF _Toc134197829 \h </w:instrText>
        </w:r>
        <w:r w:rsidR="008618F2">
          <w:rPr>
            <w:noProof/>
            <w:webHidden/>
          </w:rPr>
        </w:r>
        <w:r w:rsidR="008618F2">
          <w:rPr>
            <w:noProof/>
            <w:webHidden/>
          </w:rPr>
          <w:fldChar w:fldCharType="separate"/>
        </w:r>
        <w:r w:rsidR="000720CB">
          <w:rPr>
            <w:noProof/>
            <w:webHidden/>
          </w:rPr>
          <w:t>61</w:t>
        </w:r>
        <w:r w:rsidR="008618F2">
          <w:rPr>
            <w:noProof/>
            <w:webHidden/>
          </w:rPr>
          <w:fldChar w:fldCharType="end"/>
        </w:r>
      </w:hyperlink>
    </w:p>
    <w:p w14:paraId="6C1B5A4C" w14:textId="64E73A47" w:rsidR="008618F2" w:rsidRDefault="009B5CEC" w:rsidP="008618F2">
      <w:pPr>
        <w:pStyle w:val="TOC2"/>
        <w:jc w:val="left"/>
        <w:rPr>
          <w:rFonts w:asciiTheme="minorHAnsi" w:eastAsiaTheme="minorEastAsia" w:hAnsiTheme="minorHAnsi" w:cstheme="minorBidi"/>
          <w:b w:val="0"/>
          <w:noProof/>
          <w:szCs w:val="22"/>
          <w:lang w:eastAsia="en-GB"/>
        </w:rPr>
      </w:pPr>
      <w:hyperlink w:anchor="_Toc134197830" w:history="1">
        <w:r w:rsidR="008618F2" w:rsidRPr="00DC3933">
          <w:rPr>
            <w:rStyle w:val="Hyperlink"/>
            <w:noProof/>
          </w:rPr>
          <w:t>7.2</w:t>
        </w:r>
        <w:r w:rsidR="008618F2">
          <w:rPr>
            <w:rFonts w:asciiTheme="minorHAnsi" w:eastAsiaTheme="minorEastAsia" w:hAnsiTheme="minorHAnsi" w:cstheme="minorBidi"/>
            <w:b w:val="0"/>
            <w:noProof/>
            <w:szCs w:val="22"/>
            <w:lang w:eastAsia="en-GB"/>
          </w:rPr>
          <w:tab/>
        </w:r>
        <w:r w:rsidR="008618F2" w:rsidRPr="00DC3933">
          <w:rPr>
            <w:rStyle w:val="Hyperlink"/>
            <w:noProof/>
          </w:rPr>
          <w:t>Verification at Significant Damage (SD) limit state</w:t>
        </w:r>
        <w:r w:rsidR="008618F2">
          <w:rPr>
            <w:noProof/>
            <w:webHidden/>
          </w:rPr>
          <w:tab/>
        </w:r>
        <w:r w:rsidR="008618F2">
          <w:rPr>
            <w:noProof/>
            <w:webHidden/>
          </w:rPr>
          <w:fldChar w:fldCharType="begin"/>
        </w:r>
        <w:r w:rsidR="008618F2">
          <w:rPr>
            <w:noProof/>
            <w:webHidden/>
          </w:rPr>
          <w:instrText xml:space="preserve"> PAGEREF _Toc134197830 \h </w:instrText>
        </w:r>
        <w:r w:rsidR="008618F2">
          <w:rPr>
            <w:noProof/>
            <w:webHidden/>
          </w:rPr>
        </w:r>
        <w:r w:rsidR="008618F2">
          <w:rPr>
            <w:noProof/>
            <w:webHidden/>
          </w:rPr>
          <w:fldChar w:fldCharType="separate"/>
        </w:r>
        <w:r w:rsidR="000720CB">
          <w:rPr>
            <w:noProof/>
            <w:webHidden/>
          </w:rPr>
          <w:t>61</w:t>
        </w:r>
        <w:r w:rsidR="008618F2">
          <w:rPr>
            <w:noProof/>
            <w:webHidden/>
          </w:rPr>
          <w:fldChar w:fldCharType="end"/>
        </w:r>
      </w:hyperlink>
    </w:p>
    <w:p w14:paraId="7064185B" w14:textId="27B647B4" w:rsidR="008618F2" w:rsidRDefault="009B5CEC" w:rsidP="008618F2">
      <w:pPr>
        <w:pStyle w:val="TOC3"/>
        <w:jc w:val="left"/>
        <w:rPr>
          <w:rFonts w:asciiTheme="minorHAnsi" w:eastAsiaTheme="minorEastAsia" w:hAnsiTheme="minorHAnsi" w:cstheme="minorBidi"/>
          <w:b w:val="0"/>
          <w:noProof/>
          <w:szCs w:val="22"/>
          <w:lang w:eastAsia="en-GB"/>
        </w:rPr>
      </w:pPr>
      <w:hyperlink w:anchor="_Toc134197831" w:history="1">
        <w:r w:rsidR="008618F2" w:rsidRPr="00DC3933">
          <w:rPr>
            <w:rStyle w:val="Hyperlink"/>
            <w:noProof/>
          </w:rPr>
          <w:t>7.2.1</w:t>
        </w:r>
        <w:r w:rsidR="008618F2">
          <w:rPr>
            <w:rFonts w:asciiTheme="minorHAnsi" w:eastAsiaTheme="minorEastAsia" w:hAnsiTheme="minorHAnsi" w:cstheme="minorBidi"/>
            <w:b w:val="0"/>
            <w:noProof/>
            <w:szCs w:val="22"/>
            <w:lang w:eastAsia="en-GB"/>
          </w:rPr>
          <w:tab/>
        </w:r>
        <w:r w:rsidR="008618F2" w:rsidRPr="00DC3933">
          <w:rPr>
            <w:rStyle w:val="Hyperlink"/>
            <w:noProof/>
          </w:rPr>
          <w:t>Seismic action effects</w:t>
        </w:r>
        <w:r w:rsidR="008618F2">
          <w:rPr>
            <w:noProof/>
            <w:webHidden/>
          </w:rPr>
          <w:tab/>
        </w:r>
        <w:r w:rsidR="008618F2">
          <w:rPr>
            <w:noProof/>
            <w:webHidden/>
          </w:rPr>
          <w:fldChar w:fldCharType="begin"/>
        </w:r>
        <w:r w:rsidR="008618F2">
          <w:rPr>
            <w:noProof/>
            <w:webHidden/>
          </w:rPr>
          <w:instrText xml:space="preserve"> PAGEREF _Toc134197831 \h </w:instrText>
        </w:r>
        <w:r w:rsidR="008618F2">
          <w:rPr>
            <w:noProof/>
            <w:webHidden/>
          </w:rPr>
        </w:r>
        <w:r w:rsidR="008618F2">
          <w:rPr>
            <w:noProof/>
            <w:webHidden/>
          </w:rPr>
          <w:fldChar w:fldCharType="separate"/>
        </w:r>
        <w:r w:rsidR="000720CB">
          <w:rPr>
            <w:noProof/>
            <w:webHidden/>
          </w:rPr>
          <w:t>61</w:t>
        </w:r>
        <w:r w:rsidR="008618F2">
          <w:rPr>
            <w:noProof/>
            <w:webHidden/>
          </w:rPr>
          <w:fldChar w:fldCharType="end"/>
        </w:r>
      </w:hyperlink>
    </w:p>
    <w:p w14:paraId="4B0759E9" w14:textId="16FE61EF" w:rsidR="008618F2" w:rsidRDefault="009B5CEC" w:rsidP="008618F2">
      <w:pPr>
        <w:pStyle w:val="TOC3"/>
        <w:jc w:val="left"/>
        <w:rPr>
          <w:rFonts w:asciiTheme="minorHAnsi" w:eastAsiaTheme="minorEastAsia" w:hAnsiTheme="minorHAnsi" w:cstheme="minorBidi"/>
          <w:b w:val="0"/>
          <w:noProof/>
          <w:szCs w:val="22"/>
          <w:lang w:eastAsia="en-GB"/>
        </w:rPr>
      </w:pPr>
      <w:hyperlink w:anchor="_Toc134197832" w:history="1">
        <w:r w:rsidR="008618F2" w:rsidRPr="00DC3933">
          <w:rPr>
            <w:rStyle w:val="Hyperlink"/>
            <w:noProof/>
          </w:rPr>
          <w:t>7.2.2</w:t>
        </w:r>
        <w:r w:rsidR="008618F2">
          <w:rPr>
            <w:rFonts w:asciiTheme="minorHAnsi" w:eastAsiaTheme="minorEastAsia" w:hAnsiTheme="minorHAnsi" w:cstheme="minorBidi"/>
            <w:b w:val="0"/>
            <w:noProof/>
            <w:szCs w:val="22"/>
            <w:lang w:eastAsia="en-GB"/>
          </w:rPr>
          <w:tab/>
        </w:r>
        <w:r w:rsidR="008618F2" w:rsidRPr="00DC3933">
          <w:rPr>
            <w:rStyle w:val="Hyperlink"/>
            <w:noProof/>
          </w:rPr>
          <w:t>Performance factors</w:t>
        </w:r>
        <w:r w:rsidR="008618F2">
          <w:rPr>
            <w:noProof/>
            <w:webHidden/>
          </w:rPr>
          <w:tab/>
        </w:r>
        <w:r w:rsidR="008618F2">
          <w:rPr>
            <w:noProof/>
            <w:webHidden/>
          </w:rPr>
          <w:fldChar w:fldCharType="begin"/>
        </w:r>
        <w:r w:rsidR="008618F2">
          <w:rPr>
            <w:noProof/>
            <w:webHidden/>
          </w:rPr>
          <w:instrText xml:space="preserve"> PAGEREF _Toc134197832 \h </w:instrText>
        </w:r>
        <w:r w:rsidR="008618F2">
          <w:rPr>
            <w:noProof/>
            <w:webHidden/>
          </w:rPr>
        </w:r>
        <w:r w:rsidR="008618F2">
          <w:rPr>
            <w:noProof/>
            <w:webHidden/>
          </w:rPr>
          <w:fldChar w:fldCharType="separate"/>
        </w:r>
        <w:r w:rsidR="000720CB">
          <w:rPr>
            <w:noProof/>
            <w:webHidden/>
          </w:rPr>
          <w:t>63</w:t>
        </w:r>
        <w:r w:rsidR="008618F2">
          <w:rPr>
            <w:noProof/>
            <w:webHidden/>
          </w:rPr>
          <w:fldChar w:fldCharType="end"/>
        </w:r>
      </w:hyperlink>
    </w:p>
    <w:p w14:paraId="74112D69" w14:textId="6AD54B10" w:rsidR="008618F2" w:rsidRDefault="009B5CEC" w:rsidP="008618F2">
      <w:pPr>
        <w:pStyle w:val="TOC2"/>
        <w:jc w:val="left"/>
        <w:rPr>
          <w:rFonts w:asciiTheme="minorHAnsi" w:eastAsiaTheme="minorEastAsia" w:hAnsiTheme="minorHAnsi" w:cstheme="minorBidi"/>
          <w:b w:val="0"/>
          <w:noProof/>
          <w:szCs w:val="22"/>
          <w:lang w:eastAsia="en-GB"/>
        </w:rPr>
      </w:pPr>
      <w:hyperlink w:anchor="_Toc134197833" w:history="1">
        <w:r w:rsidR="008618F2" w:rsidRPr="00DC3933">
          <w:rPr>
            <w:rStyle w:val="Hyperlink"/>
            <w:noProof/>
          </w:rPr>
          <w:t>7.3</w:t>
        </w:r>
        <w:r w:rsidR="008618F2">
          <w:rPr>
            <w:rFonts w:asciiTheme="minorHAnsi" w:eastAsiaTheme="minorEastAsia" w:hAnsiTheme="minorHAnsi" w:cstheme="minorBidi"/>
            <w:b w:val="0"/>
            <w:noProof/>
            <w:szCs w:val="22"/>
            <w:lang w:eastAsia="en-GB"/>
          </w:rPr>
          <w:tab/>
        </w:r>
        <w:r w:rsidR="008618F2" w:rsidRPr="00DC3933">
          <w:rPr>
            <w:rStyle w:val="Hyperlink"/>
            <w:noProof/>
          </w:rPr>
          <w:t>Verification at Near Collapse (NC) limit state</w:t>
        </w:r>
        <w:r w:rsidR="008618F2">
          <w:rPr>
            <w:noProof/>
            <w:webHidden/>
          </w:rPr>
          <w:tab/>
        </w:r>
        <w:r w:rsidR="008618F2">
          <w:rPr>
            <w:noProof/>
            <w:webHidden/>
          </w:rPr>
          <w:fldChar w:fldCharType="begin"/>
        </w:r>
        <w:r w:rsidR="008618F2">
          <w:rPr>
            <w:noProof/>
            <w:webHidden/>
          </w:rPr>
          <w:instrText xml:space="preserve"> PAGEREF _Toc134197833 \h </w:instrText>
        </w:r>
        <w:r w:rsidR="008618F2">
          <w:rPr>
            <w:noProof/>
            <w:webHidden/>
          </w:rPr>
        </w:r>
        <w:r w:rsidR="008618F2">
          <w:rPr>
            <w:noProof/>
            <w:webHidden/>
          </w:rPr>
          <w:fldChar w:fldCharType="separate"/>
        </w:r>
        <w:r w:rsidR="000720CB">
          <w:rPr>
            <w:noProof/>
            <w:webHidden/>
          </w:rPr>
          <w:t>63</w:t>
        </w:r>
        <w:r w:rsidR="008618F2">
          <w:rPr>
            <w:noProof/>
            <w:webHidden/>
          </w:rPr>
          <w:fldChar w:fldCharType="end"/>
        </w:r>
      </w:hyperlink>
    </w:p>
    <w:p w14:paraId="52081951" w14:textId="05F40F8C" w:rsidR="008618F2" w:rsidRDefault="009B5CEC" w:rsidP="008618F2">
      <w:pPr>
        <w:pStyle w:val="TOC2"/>
        <w:jc w:val="left"/>
        <w:rPr>
          <w:rFonts w:asciiTheme="minorHAnsi" w:eastAsiaTheme="minorEastAsia" w:hAnsiTheme="minorHAnsi" w:cstheme="minorBidi"/>
          <w:b w:val="0"/>
          <w:noProof/>
          <w:szCs w:val="22"/>
          <w:lang w:eastAsia="en-GB"/>
        </w:rPr>
      </w:pPr>
      <w:hyperlink w:anchor="_Toc134197834" w:history="1">
        <w:r w:rsidR="008618F2" w:rsidRPr="00DC3933">
          <w:rPr>
            <w:rStyle w:val="Hyperlink"/>
            <w:noProof/>
          </w:rPr>
          <w:t>7.4</w:t>
        </w:r>
        <w:r w:rsidR="008618F2">
          <w:rPr>
            <w:rFonts w:asciiTheme="minorHAnsi" w:eastAsiaTheme="minorEastAsia" w:hAnsiTheme="minorHAnsi" w:cstheme="minorBidi"/>
            <w:b w:val="0"/>
            <w:noProof/>
            <w:szCs w:val="22"/>
            <w:lang w:eastAsia="en-GB"/>
          </w:rPr>
          <w:tab/>
        </w:r>
        <w:r w:rsidR="008618F2" w:rsidRPr="00DC3933">
          <w:rPr>
            <w:rStyle w:val="Hyperlink"/>
            <w:noProof/>
          </w:rPr>
          <w:t>Masonry infilled frames</w:t>
        </w:r>
        <w:r w:rsidR="008618F2">
          <w:rPr>
            <w:noProof/>
            <w:webHidden/>
          </w:rPr>
          <w:tab/>
        </w:r>
        <w:r w:rsidR="008618F2">
          <w:rPr>
            <w:noProof/>
            <w:webHidden/>
          </w:rPr>
          <w:fldChar w:fldCharType="begin"/>
        </w:r>
        <w:r w:rsidR="008618F2">
          <w:rPr>
            <w:noProof/>
            <w:webHidden/>
          </w:rPr>
          <w:instrText xml:space="preserve"> PAGEREF _Toc134197834 \h </w:instrText>
        </w:r>
        <w:r w:rsidR="008618F2">
          <w:rPr>
            <w:noProof/>
            <w:webHidden/>
          </w:rPr>
        </w:r>
        <w:r w:rsidR="008618F2">
          <w:rPr>
            <w:noProof/>
            <w:webHidden/>
          </w:rPr>
          <w:fldChar w:fldCharType="separate"/>
        </w:r>
        <w:r w:rsidR="000720CB">
          <w:rPr>
            <w:noProof/>
            <w:webHidden/>
          </w:rPr>
          <w:t>63</w:t>
        </w:r>
        <w:r w:rsidR="008618F2">
          <w:rPr>
            <w:noProof/>
            <w:webHidden/>
          </w:rPr>
          <w:fldChar w:fldCharType="end"/>
        </w:r>
      </w:hyperlink>
    </w:p>
    <w:p w14:paraId="1BC02227" w14:textId="04EABA40" w:rsidR="008618F2" w:rsidRDefault="009B5CEC" w:rsidP="008618F2">
      <w:pPr>
        <w:pStyle w:val="TOC3"/>
        <w:jc w:val="left"/>
        <w:rPr>
          <w:rFonts w:asciiTheme="minorHAnsi" w:eastAsiaTheme="minorEastAsia" w:hAnsiTheme="minorHAnsi" w:cstheme="minorBidi"/>
          <w:b w:val="0"/>
          <w:noProof/>
          <w:szCs w:val="22"/>
          <w:lang w:eastAsia="en-GB"/>
        </w:rPr>
      </w:pPr>
      <w:hyperlink w:anchor="_Toc134197835" w:history="1">
        <w:r w:rsidR="008618F2" w:rsidRPr="00DC3933">
          <w:rPr>
            <w:rStyle w:val="Hyperlink"/>
            <w:noProof/>
          </w:rPr>
          <w:t>7.4.1</w:t>
        </w:r>
        <w:r w:rsidR="008618F2">
          <w:rPr>
            <w:rFonts w:asciiTheme="minorHAnsi" w:eastAsiaTheme="minorEastAsia" w:hAnsiTheme="minorHAnsi" w:cstheme="minorBidi"/>
            <w:b w:val="0"/>
            <w:noProof/>
            <w:szCs w:val="22"/>
            <w:lang w:eastAsia="en-GB"/>
          </w:rPr>
          <w:tab/>
        </w:r>
        <w:r w:rsidR="008618F2" w:rsidRPr="00DC3933">
          <w:rPr>
            <w:rStyle w:val="Hyperlink"/>
            <w:noProof/>
          </w:rPr>
          <w:t>General</w:t>
        </w:r>
        <w:r w:rsidR="008618F2">
          <w:rPr>
            <w:noProof/>
            <w:webHidden/>
          </w:rPr>
          <w:tab/>
        </w:r>
        <w:r w:rsidR="008618F2">
          <w:rPr>
            <w:noProof/>
            <w:webHidden/>
          </w:rPr>
          <w:fldChar w:fldCharType="begin"/>
        </w:r>
        <w:r w:rsidR="008618F2">
          <w:rPr>
            <w:noProof/>
            <w:webHidden/>
          </w:rPr>
          <w:instrText xml:space="preserve"> PAGEREF _Toc134197835 \h </w:instrText>
        </w:r>
        <w:r w:rsidR="008618F2">
          <w:rPr>
            <w:noProof/>
            <w:webHidden/>
          </w:rPr>
        </w:r>
        <w:r w:rsidR="008618F2">
          <w:rPr>
            <w:noProof/>
            <w:webHidden/>
          </w:rPr>
          <w:fldChar w:fldCharType="separate"/>
        </w:r>
        <w:r w:rsidR="000720CB">
          <w:rPr>
            <w:noProof/>
            <w:webHidden/>
          </w:rPr>
          <w:t>63</w:t>
        </w:r>
        <w:r w:rsidR="008618F2">
          <w:rPr>
            <w:noProof/>
            <w:webHidden/>
          </w:rPr>
          <w:fldChar w:fldCharType="end"/>
        </w:r>
      </w:hyperlink>
    </w:p>
    <w:p w14:paraId="34EAF0F5" w14:textId="30C44742" w:rsidR="008618F2" w:rsidRDefault="009B5CEC" w:rsidP="008618F2">
      <w:pPr>
        <w:pStyle w:val="TOC3"/>
        <w:jc w:val="left"/>
        <w:rPr>
          <w:rFonts w:asciiTheme="minorHAnsi" w:eastAsiaTheme="minorEastAsia" w:hAnsiTheme="minorHAnsi" w:cstheme="minorBidi"/>
          <w:b w:val="0"/>
          <w:noProof/>
          <w:szCs w:val="22"/>
          <w:lang w:eastAsia="en-GB"/>
        </w:rPr>
      </w:pPr>
      <w:hyperlink w:anchor="_Toc134197836" w:history="1">
        <w:r w:rsidR="008618F2" w:rsidRPr="00DC3933">
          <w:rPr>
            <w:rStyle w:val="Hyperlink"/>
            <w:noProof/>
          </w:rPr>
          <w:t>7.4.2</w:t>
        </w:r>
        <w:r w:rsidR="008618F2">
          <w:rPr>
            <w:rFonts w:asciiTheme="minorHAnsi" w:eastAsiaTheme="minorEastAsia" w:hAnsiTheme="minorHAnsi" w:cstheme="minorBidi"/>
            <w:b w:val="0"/>
            <w:noProof/>
            <w:szCs w:val="22"/>
            <w:lang w:eastAsia="en-GB"/>
          </w:rPr>
          <w:tab/>
        </w:r>
        <w:r w:rsidR="008618F2" w:rsidRPr="00DC3933">
          <w:rPr>
            <w:rStyle w:val="Hyperlink"/>
            <w:noProof/>
          </w:rPr>
          <w:t>Design of frames with interacting infills</w:t>
        </w:r>
        <w:r w:rsidR="008618F2">
          <w:rPr>
            <w:noProof/>
            <w:webHidden/>
          </w:rPr>
          <w:tab/>
        </w:r>
        <w:r w:rsidR="008618F2">
          <w:rPr>
            <w:noProof/>
            <w:webHidden/>
          </w:rPr>
          <w:fldChar w:fldCharType="begin"/>
        </w:r>
        <w:r w:rsidR="008618F2">
          <w:rPr>
            <w:noProof/>
            <w:webHidden/>
          </w:rPr>
          <w:instrText xml:space="preserve"> PAGEREF _Toc134197836 \h </w:instrText>
        </w:r>
        <w:r w:rsidR="008618F2">
          <w:rPr>
            <w:noProof/>
            <w:webHidden/>
          </w:rPr>
        </w:r>
        <w:r w:rsidR="008618F2">
          <w:rPr>
            <w:noProof/>
            <w:webHidden/>
          </w:rPr>
          <w:fldChar w:fldCharType="separate"/>
        </w:r>
        <w:r w:rsidR="000720CB">
          <w:rPr>
            <w:noProof/>
            <w:webHidden/>
          </w:rPr>
          <w:t>64</w:t>
        </w:r>
        <w:r w:rsidR="008618F2">
          <w:rPr>
            <w:noProof/>
            <w:webHidden/>
          </w:rPr>
          <w:fldChar w:fldCharType="end"/>
        </w:r>
      </w:hyperlink>
    </w:p>
    <w:p w14:paraId="342AC916" w14:textId="7C711DB3" w:rsidR="008618F2" w:rsidRDefault="009B5CEC" w:rsidP="008618F2">
      <w:pPr>
        <w:pStyle w:val="TOC3"/>
        <w:jc w:val="left"/>
        <w:rPr>
          <w:rFonts w:asciiTheme="minorHAnsi" w:eastAsiaTheme="minorEastAsia" w:hAnsiTheme="minorHAnsi" w:cstheme="minorBidi"/>
          <w:b w:val="0"/>
          <w:noProof/>
          <w:szCs w:val="22"/>
          <w:lang w:eastAsia="en-GB"/>
        </w:rPr>
      </w:pPr>
      <w:hyperlink w:anchor="_Toc134197837" w:history="1">
        <w:r w:rsidR="008618F2" w:rsidRPr="00DC3933">
          <w:rPr>
            <w:rStyle w:val="Hyperlink"/>
            <w:noProof/>
          </w:rPr>
          <w:t>7.4.3</w:t>
        </w:r>
        <w:r w:rsidR="008618F2">
          <w:rPr>
            <w:rFonts w:asciiTheme="minorHAnsi" w:eastAsiaTheme="minorEastAsia" w:hAnsiTheme="minorHAnsi" w:cstheme="minorBidi"/>
            <w:b w:val="0"/>
            <w:noProof/>
            <w:szCs w:val="22"/>
            <w:lang w:eastAsia="en-GB"/>
          </w:rPr>
          <w:tab/>
        </w:r>
        <w:r w:rsidR="008618F2" w:rsidRPr="00DC3933">
          <w:rPr>
            <w:rStyle w:val="Hyperlink"/>
            <w:noProof/>
          </w:rPr>
          <w:t>Design of frames with non-interacting infills</w:t>
        </w:r>
        <w:r w:rsidR="008618F2">
          <w:rPr>
            <w:noProof/>
            <w:webHidden/>
          </w:rPr>
          <w:tab/>
        </w:r>
        <w:r w:rsidR="008618F2">
          <w:rPr>
            <w:noProof/>
            <w:webHidden/>
          </w:rPr>
          <w:fldChar w:fldCharType="begin"/>
        </w:r>
        <w:r w:rsidR="008618F2">
          <w:rPr>
            <w:noProof/>
            <w:webHidden/>
          </w:rPr>
          <w:instrText xml:space="preserve"> PAGEREF _Toc134197837 \h </w:instrText>
        </w:r>
        <w:r w:rsidR="008618F2">
          <w:rPr>
            <w:noProof/>
            <w:webHidden/>
          </w:rPr>
        </w:r>
        <w:r w:rsidR="008618F2">
          <w:rPr>
            <w:noProof/>
            <w:webHidden/>
          </w:rPr>
          <w:fldChar w:fldCharType="separate"/>
        </w:r>
        <w:r w:rsidR="000720CB">
          <w:rPr>
            <w:noProof/>
            <w:webHidden/>
          </w:rPr>
          <w:t>71</w:t>
        </w:r>
        <w:r w:rsidR="008618F2">
          <w:rPr>
            <w:noProof/>
            <w:webHidden/>
          </w:rPr>
          <w:fldChar w:fldCharType="end"/>
        </w:r>
      </w:hyperlink>
    </w:p>
    <w:p w14:paraId="687121EA" w14:textId="3C46131D" w:rsidR="008618F2" w:rsidRDefault="009B5CEC" w:rsidP="008618F2">
      <w:pPr>
        <w:pStyle w:val="TOC2"/>
        <w:jc w:val="left"/>
        <w:rPr>
          <w:rFonts w:asciiTheme="minorHAnsi" w:eastAsiaTheme="minorEastAsia" w:hAnsiTheme="minorHAnsi" w:cstheme="minorBidi"/>
          <w:b w:val="0"/>
          <w:noProof/>
          <w:szCs w:val="22"/>
          <w:lang w:eastAsia="en-GB"/>
        </w:rPr>
      </w:pPr>
      <w:hyperlink w:anchor="_Toc134197838" w:history="1">
        <w:r w:rsidR="008618F2" w:rsidRPr="00DC3933">
          <w:rPr>
            <w:rStyle w:val="Hyperlink"/>
            <w:noProof/>
          </w:rPr>
          <w:t>7.5</w:t>
        </w:r>
        <w:r w:rsidR="008618F2">
          <w:rPr>
            <w:rFonts w:asciiTheme="minorHAnsi" w:eastAsiaTheme="minorEastAsia" w:hAnsiTheme="minorHAnsi" w:cstheme="minorBidi"/>
            <w:b w:val="0"/>
            <w:noProof/>
            <w:szCs w:val="22"/>
            <w:lang w:eastAsia="en-GB"/>
          </w:rPr>
          <w:tab/>
        </w:r>
        <w:r w:rsidR="008618F2" w:rsidRPr="00DC3933">
          <w:rPr>
            <w:rStyle w:val="Hyperlink"/>
            <w:noProof/>
          </w:rPr>
          <w:t>Structures with claddings</w:t>
        </w:r>
        <w:r w:rsidR="008618F2">
          <w:rPr>
            <w:noProof/>
            <w:webHidden/>
          </w:rPr>
          <w:tab/>
        </w:r>
        <w:r w:rsidR="008618F2">
          <w:rPr>
            <w:noProof/>
            <w:webHidden/>
          </w:rPr>
          <w:fldChar w:fldCharType="begin"/>
        </w:r>
        <w:r w:rsidR="008618F2">
          <w:rPr>
            <w:noProof/>
            <w:webHidden/>
          </w:rPr>
          <w:instrText xml:space="preserve"> PAGEREF _Toc134197838 \h </w:instrText>
        </w:r>
        <w:r w:rsidR="008618F2">
          <w:rPr>
            <w:noProof/>
            <w:webHidden/>
          </w:rPr>
        </w:r>
        <w:r w:rsidR="008618F2">
          <w:rPr>
            <w:noProof/>
            <w:webHidden/>
          </w:rPr>
          <w:fldChar w:fldCharType="separate"/>
        </w:r>
        <w:r w:rsidR="000720CB">
          <w:rPr>
            <w:noProof/>
            <w:webHidden/>
          </w:rPr>
          <w:t>71</w:t>
        </w:r>
        <w:r w:rsidR="008618F2">
          <w:rPr>
            <w:noProof/>
            <w:webHidden/>
          </w:rPr>
          <w:fldChar w:fldCharType="end"/>
        </w:r>
      </w:hyperlink>
    </w:p>
    <w:p w14:paraId="572EEE70" w14:textId="36AA8DE3" w:rsidR="008618F2" w:rsidRDefault="009B5CEC" w:rsidP="008618F2">
      <w:pPr>
        <w:pStyle w:val="TOC3"/>
        <w:jc w:val="left"/>
        <w:rPr>
          <w:rFonts w:asciiTheme="minorHAnsi" w:eastAsiaTheme="minorEastAsia" w:hAnsiTheme="minorHAnsi" w:cstheme="minorBidi"/>
          <w:b w:val="0"/>
          <w:noProof/>
          <w:szCs w:val="22"/>
          <w:lang w:eastAsia="en-GB"/>
        </w:rPr>
      </w:pPr>
      <w:hyperlink w:anchor="_Toc134197839" w:history="1">
        <w:r w:rsidR="008618F2" w:rsidRPr="00DC3933">
          <w:rPr>
            <w:rStyle w:val="Hyperlink"/>
            <w:noProof/>
          </w:rPr>
          <w:t>7.5.1</w:t>
        </w:r>
        <w:r w:rsidR="008618F2">
          <w:rPr>
            <w:rFonts w:asciiTheme="minorHAnsi" w:eastAsiaTheme="minorEastAsia" w:hAnsiTheme="minorHAnsi" w:cstheme="minorBidi"/>
            <w:b w:val="0"/>
            <w:noProof/>
            <w:szCs w:val="22"/>
            <w:lang w:eastAsia="en-GB"/>
          </w:rPr>
          <w:tab/>
        </w:r>
        <w:r w:rsidR="008618F2" w:rsidRPr="00DC3933">
          <w:rPr>
            <w:rStyle w:val="Hyperlink"/>
            <w:noProof/>
          </w:rPr>
          <w:t>Basis of design</w:t>
        </w:r>
        <w:r w:rsidR="008618F2">
          <w:rPr>
            <w:noProof/>
            <w:webHidden/>
          </w:rPr>
          <w:tab/>
        </w:r>
        <w:r w:rsidR="008618F2">
          <w:rPr>
            <w:noProof/>
            <w:webHidden/>
          </w:rPr>
          <w:fldChar w:fldCharType="begin"/>
        </w:r>
        <w:r w:rsidR="008618F2">
          <w:rPr>
            <w:noProof/>
            <w:webHidden/>
          </w:rPr>
          <w:instrText xml:space="preserve"> PAGEREF _Toc134197839 \h </w:instrText>
        </w:r>
        <w:r w:rsidR="008618F2">
          <w:rPr>
            <w:noProof/>
            <w:webHidden/>
          </w:rPr>
        </w:r>
        <w:r w:rsidR="008618F2">
          <w:rPr>
            <w:noProof/>
            <w:webHidden/>
          </w:rPr>
          <w:fldChar w:fldCharType="separate"/>
        </w:r>
        <w:r w:rsidR="000720CB">
          <w:rPr>
            <w:noProof/>
            <w:webHidden/>
          </w:rPr>
          <w:t>71</w:t>
        </w:r>
        <w:r w:rsidR="008618F2">
          <w:rPr>
            <w:noProof/>
            <w:webHidden/>
          </w:rPr>
          <w:fldChar w:fldCharType="end"/>
        </w:r>
      </w:hyperlink>
    </w:p>
    <w:p w14:paraId="3E7E3620" w14:textId="7A14B17F" w:rsidR="008618F2" w:rsidRDefault="009B5CEC" w:rsidP="008618F2">
      <w:pPr>
        <w:pStyle w:val="TOC3"/>
        <w:jc w:val="left"/>
        <w:rPr>
          <w:rFonts w:asciiTheme="minorHAnsi" w:eastAsiaTheme="minorEastAsia" w:hAnsiTheme="minorHAnsi" w:cstheme="minorBidi"/>
          <w:b w:val="0"/>
          <w:noProof/>
          <w:szCs w:val="22"/>
          <w:lang w:eastAsia="en-GB"/>
        </w:rPr>
      </w:pPr>
      <w:hyperlink w:anchor="_Toc134197840" w:history="1">
        <w:r w:rsidR="008618F2" w:rsidRPr="00DC3933">
          <w:rPr>
            <w:rStyle w:val="Hyperlink"/>
            <w:noProof/>
          </w:rPr>
          <w:t>7.5.2</w:t>
        </w:r>
        <w:r w:rsidR="008618F2">
          <w:rPr>
            <w:rFonts w:asciiTheme="minorHAnsi" w:eastAsiaTheme="minorEastAsia" w:hAnsiTheme="minorHAnsi" w:cstheme="minorBidi"/>
            <w:b w:val="0"/>
            <w:noProof/>
            <w:szCs w:val="22"/>
            <w:lang w:eastAsia="en-GB"/>
          </w:rPr>
          <w:tab/>
        </w:r>
        <w:r w:rsidR="008618F2" w:rsidRPr="00DC3933">
          <w:rPr>
            <w:rStyle w:val="Hyperlink"/>
            <w:noProof/>
          </w:rPr>
          <w:t>Analysis</w:t>
        </w:r>
        <w:r w:rsidR="008618F2">
          <w:rPr>
            <w:noProof/>
            <w:webHidden/>
          </w:rPr>
          <w:tab/>
        </w:r>
        <w:r w:rsidR="008618F2">
          <w:rPr>
            <w:noProof/>
            <w:webHidden/>
          </w:rPr>
          <w:fldChar w:fldCharType="begin"/>
        </w:r>
        <w:r w:rsidR="008618F2">
          <w:rPr>
            <w:noProof/>
            <w:webHidden/>
          </w:rPr>
          <w:instrText xml:space="preserve"> PAGEREF _Toc134197840 \h </w:instrText>
        </w:r>
        <w:r w:rsidR="008618F2">
          <w:rPr>
            <w:noProof/>
            <w:webHidden/>
          </w:rPr>
        </w:r>
        <w:r w:rsidR="008618F2">
          <w:rPr>
            <w:noProof/>
            <w:webHidden/>
          </w:rPr>
          <w:fldChar w:fldCharType="separate"/>
        </w:r>
        <w:r w:rsidR="000720CB">
          <w:rPr>
            <w:noProof/>
            <w:webHidden/>
          </w:rPr>
          <w:t>72</w:t>
        </w:r>
        <w:r w:rsidR="008618F2">
          <w:rPr>
            <w:noProof/>
            <w:webHidden/>
          </w:rPr>
          <w:fldChar w:fldCharType="end"/>
        </w:r>
      </w:hyperlink>
    </w:p>
    <w:p w14:paraId="0AEF31A2" w14:textId="638E8251" w:rsidR="008618F2" w:rsidRDefault="009B5CEC" w:rsidP="008618F2">
      <w:pPr>
        <w:pStyle w:val="TOC3"/>
        <w:jc w:val="left"/>
        <w:rPr>
          <w:rFonts w:asciiTheme="minorHAnsi" w:eastAsiaTheme="minorEastAsia" w:hAnsiTheme="minorHAnsi" w:cstheme="minorBidi"/>
          <w:b w:val="0"/>
          <w:noProof/>
          <w:szCs w:val="22"/>
          <w:lang w:eastAsia="en-GB"/>
        </w:rPr>
      </w:pPr>
      <w:hyperlink w:anchor="_Toc134197841" w:history="1">
        <w:r w:rsidR="008618F2" w:rsidRPr="00DC3933">
          <w:rPr>
            <w:rStyle w:val="Hyperlink"/>
            <w:noProof/>
          </w:rPr>
          <w:t>7.5.3</w:t>
        </w:r>
        <w:r w:rsidR="008618F2">
          <w:rPr>
            <w:rFonts w:asciiTheme="minorHAnsi" w:eastAsiaTheme="minorEastAsia" w:hAnsiTheme="minorHAnsi" w:cstheme="minorBidi"/>
            <w:b w:val="0"/>
            <w:noProof/>
            <w:szCs w:val="22"/>
            <w:lang w:eastAsia="en-GB"/>
          </w:rPr>
          <w:tab/>
        </w:r>
        <w:r w:rsidR="008618F2" w:rsidRPr="00DC3933">
          <w:rPr>
            <w:rStyle w:val="Hyperlink"/>
            <w:noProof/>
          </w:rPr>
          <w:t>Cladding panels</w:t>
        </w:r>
        <w:r w:rsidR="008618F2">
          <w:rPr>
            <w:noProof/>
            <w:webHidden/>
          </w:rPr>
          <w:tab/>
        </w:r>
        <w:r w:rsidR="008618F2">
          <w:rPr>
            <w:noProof/>
            <w:webHidden/>
          </w:rPr>
          <w:fldChar w:fldCharType="begin"/>
        </w:r>
        <w:r w:rsidR="008618F2">
          <w:rPr>
            <w:noProof/>
            <w:webHidden/>
          </w:rPr>
          <w:instrText xml:space="preserve"> PAGEREF _Toc134197841 \h </w:instrText>
        </w:r>
        <w:r w:rsidR="008618F2">
          <w:rPr>
            <w:noProof/>
            <w:webHidden/>
          </w:rPr>
        </w:r>
        <w:r w:rsidR="008618F2">
          <w:rPr>
            <w:noProof/>
            <w:webHidden/>
          </w:rPr>
          <w:fldChar w:fldCharType="separate"/>
        </w:r>
        <w:r w:rsidR="000720CB">
          <w:rPr>
            <w:noProof/>
            <w:webHidden/>
          </w:rPr>
          <w:t>72</w:t>
        </w:r>
        <w:r w:rsidR="008618F2">
          <w:rPr>
            <w:noProof/>
            <w:webHidden/>
          </w:rPr>
          <w:fldChar w:fldCharType="end"/>
        </w:r>
      </w:hyperlink>
    </w:p>
    <w:p w14:paraId="154FDCAF" w14:textId="0C56E6AC" w:rsidR="008618F2" w:rsidRDefault="009B5CEC" w:rsidP="008618F2">
      <w:pPr>
        <w:pStyle w:val="TOC2"/>
        <w:jc w:val="left"/>
        <w:rPr>
          <w:rFonts w:asciiTheme="minorHAnsi" w:eastAsiaTheme="minorEastAsia" w:hAnsiTheme="minorHAnsi" w:cstheme="minorBidi"/>
          <w:b w:val="0"/>
          <w:noProof/>
          <w:szCs w:val="22"/>
          <w:lang w:eastAsia="en-GB"/>
        </w:rPr>
      </w:pPr>
      <w:hyperlink w:anchor="_Toc134197842" w:history="1">
        <w:r w:rsidR="008618F2" w:rsidRPr="00DC3933">
          <w:rPr>
            <w:rStyle w:val="Hyperlink"/>
            <w:noProof/>
          </w:rPr>
          <w:t>7.6</w:t>
        </w:r>
        <w:r w:rsidR="008618F2">
          <w:rPr>
            <w:rFonts w:asciiTheme="minorHAnsi" w:eastAsiaTheme="minorEastAsia" w:hAnsiTheme="minorHAnsi" w:cstheme="minorBidi"/>
            <w:b w:val="0"/>
            <w:noProof/>
            <w:szCs w:val="22"/>
            <w:lang w:eastAsia="en-GB"/>
          </w:rPr>
          <w:tab/>
        </w:r>
        <w:r w:rsidR="008618F2" w:rsidRPr="00DC3933">
          <w:rPr>
            <w:rStyle w:val="Hyperlink"/>
            <w:noProof/>
          </w:rPr>
          <w:t>Partitions</w:t>
        </w:r>
        <w:r w:rsidR="008618F2">
          <w:rPr>
            <w:noProof/>
            <w:webHidden/>
          </w:rPr>
          <w:tab/>
        </w:r>
        <w:r w:rsidR="008618F2">
          <w:rPr>
            <w:noProof/>
            <w:webHidden/>
          </w:rPr>
          <w:fldChar w:fldCharType="begin"/>
        </w:r>
        <w:r w:rsidR="008618F2">
          <w:rPr>
            <w:noProof/>
            <w:webHidden/>
          </w:rPr>
          <w:instrText xml:space="preserve"> PAGEREF _Toc134197842 \h </w:instrText>
        </w:r>
        <w:r w:rsidR="008618F2">
          <w:rPr>
            <w:noProof/>
            <w:webHidden/>
          </w:rPr>
        </w:r>
        <w:r w:rsidR="008618F2">
          <w:rPr>
            <w:noProof/>
            <w:webHidden/>
          </w:rPr>
          <w:fldChar w:fldCharType="separate"/>
        </w:r>
        <w:r w:rsidR="000720CB">
          <w:rPr>
            <w:noProof/>
            <w:webHidden/>
          </w:rPr>
          <w:t>74</w:t>
        </w:r>
        <w:r w:rsidR="008618F2">
          <w:rPr>
            <w:noProof/>
            <w:webHidden/>
          </w:rPr>
          <w:fldChar w:fldCharType="end"/>
        </w:r>
      </w:hyperlink>
    </w:p>
    <w:p w14:paraId="33D1EE55" w14:textId="2354D592" w:rsidR="008618F2" w:rsidRDefault="009B5CEC" w:rsidP="008618F2">
      <w:pPr>
        <w:pStyle w:val="TOC3"/>
        <w:jc w:val="left"/>
        <w:rPr>
          <w:rFonts w:asciiTheme="minorHAnsi" w:eastAsiaTheme="minorEastAsia" w:hAnsiTheme="minorHAnsi" w:cstheme="minorBidi"/>
          <w:b w:val="0"/>
          <w:noProof/>
          <w:szCs w:val="22"/>
          <w:lang w:eastAsia="en-GB"/>
        </w:rPr>
      </w:pPr>
      <w:hyperlink w:anchor="_Toc134197843" w:history="1">
        <w:r w:rsidR="008618F2" w:rsidRPr="00DC3933">
          <w:rPr>
            <w:rStyle w:val="Hyperlink"/>
            <w:noProof/>
          </w:rPr>
          <w:t>7.6.1</w:t>
        </w:r>
        <w:r w:rsidR="008618F2">
          <w:rPr>
            <w:rFonts w:asciiTheme="minorHAnsi" w:eastAsiaTheme="minorEastAsia" w:hAnsiTheme="minorHAnsi" w:cstheme="minorBidi"/>
            <w:b w:val="0"/>
            <w:noProof/>
            <w:szCs w:val="22"/>
            <w:lang w:eastAsia="en-GB"/>
          </w:rPr>
          <w:tab/>
        </w:r>
        <w:r w:rsidR="008618F2" w:rsidRPr="00DC3933">
          <w:rPr>
            <w:rStyle w:val="Hyperlink"/>
            <w:noProof/>
          </w:rPr>
          <w:t>Basis of design</w:t>
        </w:r>
        <w:r w:rsidR="008618F2">
          <w:rPr>
            <w:noProof/>
            <w:webHidden/>
          </w:rPr>
          <w:tab/>
        </w:r>
        <w:r w:rsidR="008618F2">
          <w:rPr>
            <w:noProof/>
            <w:webHidden/>
          </w:rPr>
          <w:fldChar w:fldCharType="begin"/>
        </w:r>
        <w:r w:rsidR="008618F2">
          <w:rPr>
            <w:noProof/>
            <w:webHidden/>
          </w:rPr>
          <w:instrText xml:space="preserve"> PAGEREF _Toc134197843 \h </w:instrText>
        </w:r>
        <w:r w:rsidR="008618F2">
          <w:rPr>
            <w:noProof/>
            <w:webHidden/>
          </w:rPr>
        </w:r>
        <w:r w:rsidR="008618F2">
          <w:rPr>
            <w:noProof/>
            <w:webHidden/>
          </w:rPr>
          <w:fldChar w:fldCharType="separate"/>
        </w:r>
        <w:r w:rsidR="000720CB">
          <w:rPr>
            <w:noProof/>
            <w:webHidden/>
          </w:rPr>
          <w:t>74</w:t>
        </w:r>
        <w:r w:rsidR="008618F2">
          <w:rPr>
            <w:noProof/>
            <w:webHidden/>
          </w:rPr>
          <w:fldChar w:fldCharType="end"/>
        </w:r>
      </w:hyperlink>
    </w:p>
    <w:p w14:paraId="17B0F4AB" w14:textId="6683EC95" w:rsidR="008618F2" w:rsidRDefault="009B5CEC" w:rsidP="008618F2">
      <w:pPr>
        <w:pStyle w:val="TOC3"/>
        <w:jc w:val="left"/>
        <w:rPr>
          <w:rFonts w:asciiTheme="minorHAnsi" w:eastAsiaTheme="minorEastAsia" w:hAnsiTheme="minorHAnsi" w:cstheme="minorBidi"/>
          <w:b w:val="0"/>
          <w:noProof/>
          <w:szCs w:val="22"/>
          <w:lang w:eastAsia="en-GB"/>
        </w:rPr>
      </w:pPr>
      <w:hyperlink w:anchor="_Toc134197844" w:history="1">
        <w:r w:rsidR="008618F2" w:rsidRPr="00DC3933">
          <w:rPr>
            <w:rStyle w:val="Hyperlink"/>
            <w:noProof/>
          </w:rPr>
          <w:t>7.6.2</w:t>
        </w:r>
        <w:r w:rsidR="008618F2">
          <w:rPr>
            <w:rFonts w:asciiTheme="minorHAnsi" w:eastAsiaTheme="minorEastAsia" w:hAnsiTheme="minorHAnsi" w:cstheme="minorBidi"/>
            <w:b w:val="0"/>
            <w:noProof/>
            <w:szCs w:val="22"/>
            <w:lang w:eastAsia="en-GB"/>
          </w:rPr>
          <w:tab/>
        </w:r>
        <w:r w:rsidR="008618F2" w:rsidRPr="00DC3933">
          <w:rPr>
            <w:rStyle w:val="Hyperlink"/>
            <w:noProof/>
          </w:rPr>
          <w:t>Verification of partitions</w:t>
        </w:r>
        <w:r w:rsidR="008618F2">
          <w:rPr>
            <w:noProof/>
            <w:webHidden/>
          </w:rPr>
          <w:tab/>
        </w:r>
        <w:r w:rsidR="008618F2">
          <w:rPr>
            <w:noProof/>
            <w:webHidden/>
          </w:rPr>
          <w:fldChar w:fldCharType="begin"/>
        </w:r>
        <w:r w:rsidR="008618F2">
          <w:rPr>
            <w:noProof/>
            <w:webHidden/>
          </w:rPr>
          <w:instrText xml:space="preserve"> PAGEREF _Toc134197844 \h </w:instrText>
        </w:r>
        <w:r w:rsidR="008618F2">
          <w:rPr>
            <w:noProof/>
            <w:webHidden/>
          </w:rPr>
        </w:r>
        <w:r w:rsidR="008618F2">
          <w:rPr>
            <w:noProof/>
            <w:webHidden/>
          </w:rPr>
          <w:fldChar w:fldCharType="separate"/>
        </w:r>
        <w:r w:rsidR="000720CB">
          <w:rPr>
            <w:noProof/>
            <w:webHidden/>
          </w:rPr>
          <w:t>74</w:t>
        </w:r>
        <w:r w:rsidR="008618F2">
          <w:rPr>
            <w:noProof/>
            <w:webHidden/>
          </w:rPr>
          <w:fldChar w:fldCharType="end"/>
        </w:r>
      </w:hyperlink>
    </w:p>
    <w:p w14:paraId="7AA70A07" w14:textId="2AC1AF5D" w:rsidR="008618F2" w:rsidRDefault="009B5CEC" w:rsidP="008618F2">
      <w:pPr>
        <w:pStyle w:val="TOC1"/>
        <w:jc w:val="left"/>
        <w:rPr>
          <w:rFonts w:asciiTheme="minorHAnsi" w:eastAsiaTheme="minorEastAsia" w:hAnsiTheme="minorHAnsi" w:cstheme="minorBidi"/>
          <w:b w:val="0"/>
          <w:noProof/>
          <w:szCs w:val="22"/>
          <w:lang w:eastAsia="en-GB"/>
        </w:rPr>
      </w:pPr>
      <w:hyperlink w:anchor="_Toc134197845" w:history="1">
        <w:r w:rsidR="008618F2" w:rsidRPr="00DC3933">
          <w:rPr>
            <w:rStyle w:val="Hyperlink"/>
            <w:noProof/>
          </w:rPr>
          <w:t>8</w:t>
        </w:r>
        <w:r w:rsidR="008618F2">
          <w:rPr>
            <w:rFonts w:asciiTheme="minorHAnsi" w:eastAsiaTheme="minorEastAsia" w:hAnsiTheme="minorHAnsi" w:cstheme="minorBidi"/>
            <w:b w:val="0"/>
            <w:noProof/>
            <w:szCs w:val="22"/>
            <w:lang w:eastAsia="en-GB"/>
          </w:rPr>
          <w:tab/>
        </w:r>
        <w:r w:rsidR="008618F2" w:rsidRPr="00DC3933">
          <w:rPr>
            <w:rStyle w:val="Hyperlink"/>
            <w:noProof/>
          </w:rPr>
          <w:t>Base isolated buildings</w:t>
        </w:r>
        <w:r w:rsidR="008618F2">
          <w:rPr>
            <w:noProof/>
            <w:webHidden/>
          </w:rPr>
          <w:tab/>
        </w:r>
        <w:r w:rsidR="008618F2">
          <w:rPr>
            <w:noProof/>
            <w:webHidden/>
          </w:rPr>
          <w:fldChar w:fldCharType="begin"/>
        </w:r>
        <w:r w:rsidR="008618F2">
          <w:rPr>
            <w:noProof/>
            <w:webHidden/>
          </w:rPr>
          <w:instrText xml:space="preserve"> PAGEREF _Toc134197845 \h </w:instrText>
        </w:r>
        <w:r w:rsidR="008618F2">
          <w:rPr>
            <w:noProof/>
            <w:webHidden/>
          </w:rPr>
        </w:r>
        <w:r w:rsidR="008618F2">
          <w:rPr>
            <w:noProof/>
            <w:webHidden/>
          </w:rPr>
          <w:fldChar w:fldCharType="separate"/>
        </w:r>
        <w:r w:rsidR="000720CB">
          <w:rPr>
            <w:noProof/>
            <w:webHidden/>
          </w:rPr>
          <w:t>74</w:t>
        </w:r>
        <w:r w:rsidR="008618F2">
          <w:rPr>
            <w:noProof/>
            <w:webHidden/>
          </w:rPr>
          <w:fldChar w:fldCharType="end"/>
        </w:r>
      </w:hyperlink>
    </w:p>
    <w:p w14:paraId="75389A70" w14:textId="0EB63AE7" w:rsidR="008618F2" w:rsidRDefault="009B5CEC" w:rsidP="008618F2">
      <w:pPr>
        <w:pStyle w:val="TOC2"/>
        <w:jc w:val="left"/>
        <w:rPr>
          <w:rFonts w:asciiTheme="minorHAnsi" w:eastAsiaTheme="minorEastAsia" w:hAnsiTheme="minorHAnsi" w:cstheme="minorBidi"/>
          <w:b w:val="0"/>
          <w:noProof/>
          <w:szCs w:val="22"/>
          <w:lang w:eastAsia="en-GB"/>
        </w:rPr>
      </w:pPr>
      <w:hyperlink w:anchor="_Toc134197846" w:history="1">
        <w:r w:rsidR="008618F2" w:rsidRPr="00DC3933">
          <w:rPr>
            <w:rStyle w:val="Hyperlink"/>
            <w:noProof/>
          </w:rPr>
          <w:t>8.1</w:t>
        </w:r>
        <w:r w:rsidR="008618F2">
          <w:rPr>
            <w:rFonts w:asciiTheme="minorHAnsi" w:eastAsiaTheme="minorEastAsia" w:hAnsiTheme="minorHAnsi" w:cstheme="minorBidi"/>
            <w:b w:val="0"/>
            <w:noProof/>
            <w:szCs w:val="22"/>
            <w:lang w:eastAsia="en-GB"/>
          </w:rPr>
          <w:tab/>
        </w:r>
        <w:r w:rsidR="008618F2" w:rsidRPr="00DC3933">
          <w:rPr>
            <w:rStyle w:val="Hyperlink"/>
            <w:noProof/>
          </w:rPr>
          <w:t>Field of application</w:t>
        </w:r>
        <w:r w:rsidR="008618F2">
          <w:rPr>
            <w:noProof/>
            <w:webHidden/>
          </w:rPr>
          <w:tab/>
        </w:r>
        <w:r w:rsidR="008618F2">
          <w:rPr>
            <w:noProof/>
            <w:webHidden/>
          </w:rPr>
          <w:fldChar w:fldCharType="begin"/>
        </w:r>
        <w:r w:rsidR="008618F2">
          <w:rPr>
            <w:noProof/>
            <w:webHidden/>
          </w:rPr>
          <w:instrText xml:space="preserve"> PAGEREF _Toc134197846 \h </w:instrText>
        </w:r>
        <w:r w:rsidR="008618F2">
          <w:rPr>
            <w:noProof/>
            <w:webHidden/>
          </w:rPr>
        </w:r>
        <w:r w:rsidR="008618F2">
          <w:rPr>
            <w:noProof/>
            <w:webHidden/>
          </w:rPr>
          <w:fldChar w:fldCharType="separate"/>
        </w:r>
        <w:r w:rsidR="000720CB">
          <w:rPr>
            <w:noProof/>
            <w:webHidden/>
          </w:rPr>
          <w:t>74</w:t>
        </w:r>
        <w:r w:rsidR="008618F2">
          <w:rPr>
            <w:noProof/>
            <w:webHidden/>
          </w:rPr>
          <w:fldChar w:fldCharType="end"/>
        </w:r>
      </w:hyperlink>
    </w:p>
    <w:p w14:paraId="1789AA1C" w14:textId="607985DB" w:rsidR="008618F2" w:rsidRDefault="009B5CEC" w:rsidP="008618F2">
      <w:pPr>
        <w:pStyle w:val="TOC2"/>
        <w:jc w:val="left"/>
        <w:rPr>
          <w:rFonts w:asciiTheme="minorHAnsi" w:eastAsiaTheme="minorEastAsia" w:hAnsiTheme="minorHAnsi" w:cstheme="minorBidi"/>
          <w:b w:val="0"/>
          <w:noProof/>
          <w:szCs w:val="22"/>
          <w:lang w:eastAsia="en-GB"/>
        </w:rPr>
      </w:pPr>
      <w:hyperlink w:anchor="_Toc134197847" w:history="1">
        <w:r w:rsidR="008618F2" w:rsidRPr="00DC3933">
          <w:rPr>
            <w:rStyle w:val="Hyperlink"/>
            <w:noProof/>
          </w:rPr>
          <w:t>8.2</w:t>
        </w:r>
        <w:r w:rsidR="008618F2">
          <w:rPr>
            <w:rFonts w:asciiTheme="minorHAnsi" w:eastAsiaTheme="minorEastAsia" w:hAnsiTheme="minorHAnsi" w:cstheme="minorBidi"/>
            <w:b w:val="0"/>
            <w:noProof/>
            <w:szCs w:val="22"/>
            <w:lang w:eastAsia="en-GB"/>
          </w:rPr>
          <w:tab/>
        </w:r>
        <w:r w:rsidR="008618F2" w:rsidRPr="00DC3933">
          <w:rPr>
            <w:rStyle w:val="Hyperlink"/>
            <w:noProof/>
          </w:rPr>
          <w:t>Basis of design</w:t>
        </w:r>
        <w:r w:rsidR="008618F2">
          <w:rPr>
            <w:noProof/>
            <w:webHidden/>
          </w:rPr>
          <w:tab/>
        </w:r>
        <w:r w:rsidR="008618F2">
          <w:rPr>
            <w:noProof/>
            <w:webHidden/>
          </w:rPr>
          <w:fldChar w:fldCharType="begin"/>
        </w:r>
        <w:r w:rsidR="008618F2">
          <w:rPr>
            <w:noProof/>
            <w:webHidden/>
          </w:rPr>
          <w:instrText xml:space="preserve"> PAGEREF _Toc134197847 \h </w:instrText>
        </w:r>
        <w:r w:rsidR="008618F2">
          <w:rPr>
            <w:noProof/>
            <w:webHidden/>
          </w:rPr>
        </w:r>
        <w:r w:rsidR="008618F2">
          <w:rPr>
            <w:noProof/>
            <w:webHidden/>
          </w:rPr>
          <w:fldChar w:fldCharType="separate"/>
        </w:r>
        <w:r w:rsidR="000720CB">
          <w:rPr>
            <w:noProof/>
            <w:webHidden/>
          </w:rPr>
          <w:t>74</w:t>
        </w:r>
        <w:r w:rsidR="008618F2">
          <w:rPr>
            <w:noProof/>
            <w:webHidden/>
          </w:rPr>
          <w:fldChar w:fldCharType="end"/>
        </w:r>
      </w:hyperlink>
    </w:p>
    <w:p w14:paraId="174FAB8C" w14:textId="787DEF5F" w:rsidR="008618F2" w:rsidRDefault="009B5CEC" w:rsidP="008618F2">
      <w:pPr>
        <w:pStyle w:val="TOC3"/>
        <w:jc w:val="left"/>
        <w:rPr>
          <w:rFonts w:asciiTheme="minorHAnsi" w:eastAsiaTheme="minorEastAsia" w:hAnsiTheme="minorHAnsi" w:cstheme="minorBidi"/>
          <w:b w:val="0"/>
          <w:noProof/>
          <w:szCs w:val="22"/>
          <w:lang w:eastAsia="en-GB"/>
        </w:rPr>
      </w:pPr>
      <w:hyperlink w:anchor="_Toc134197848" w:history="1">
        <w:r w:rsidR="008618F2" w:rsidRPr="00DC3933">
          <w:rPr>
            <w:rStyle w:val="Hyperlink"/>
            <w:noProof/>
          </w:rPr>
          <w:t>8.2.1</w:t>
        </w:r>
        <w:r w:rsidR="008618F2">
          <w:rPr>
            <w:rFonts w:asciiTheme="minorHAnsi" w:eastAsiaTheme="minorEastAsia" w:hAnsiTheme="minorHAnsi" w:cstheme="minorBidi"/>
            <w:b w:val="0"/>
            <w:noProof/>
            <w:szCs w:val="22"/>
            <w:lang w:eastAsia="en-GB"/>
          </w:rPr>
          <w:tab/>
        </w:r>
        <w:r w:rsidR="008618F2" w:rsidRPr="00DC3933">
          <w:rPr>
            <w:rStyle w:val="Hyperlink"/>
            <w:noProof/>
          </w:rPr>
          <w:t>Compliance criteria</w:t>
        </w:r>
        <w:r w:rsidR="008618F2">
          <w:rPr>
            <w:noProof/>
            <w:webHidden/>
          </w:rPr>
          <w:tab/>
        </w:r>
        <w:r w:rsidR="008618F2">
          <w:rPr>
            <w:noProof/>
            <w:webHidden/>
          </w:rPr>
          <w:fldChar w:fldCharType="begin"/>
        </w:r>
        <w:r w:rsidR="008618F2">
          <w:rPr>
            <w:noProof/>
            <w:webHidden/>
          </w:rPr>
          <w:instrText xml:space="preserve"> PAGEREF _Toc134197848 \h </w:instrText>
        </w:r>
        <w:r w:rsidR="008618F2">
          <w:rPr>
            <w:noProof/>
            <w:webHidden/>
          </w:rPr>
        </w:r>
        <w:r w:rsidR="008618F2">
          <w:rPr>
            <w:noProof/>
            <w:webHidden/>
          </w:rPr>
          <w:fldChar w:fldCharType="separate"/>
        </w:r>
        <w:r w:rsidR="000720CB">
          <w:rPr>
            <w:noProof/>
            <w:webHidden/>
          </w:rPr>
          <w:t>74</w:t>
        </w:r>
        <w:r w:rsidR="008618F2">
          <w:rPr>
            <w:noProof/>
            <w:webHidden/>
          </w:rPr>
          <w:fldChar w:fldCharType="end"/>
        </w:r>
      </w:hyperlink>
    </w:p>
    <w:p w14:paraId="6674D640" w14:textId="6459F073" w:rsidR="008618F2" w:rsidRDefault="009B5CEC" w:rsidP="008618F2">
      <w:pPr>
        <w:pStyle w:val="TOC3"/>
        <w:jc w:val="left"/>
        <w:rPr>
          <w:rFonts w:asciiTheme="minorHAnsi" w:eastAsiaTheme="minorEastAsia" w:hAnsiTheme="minorHAnsi" w:cstheme="minorBidi"/>
          <w:b w:val="0"/>
          <w:noProof/>
          <w:szCs w:val="22"/>
          <w:lang w:eastAsia="en-GB"/>
        </w:rPr>
      </w:pPr>
      <w:hyperlink w:anchor="_Toc134197849" w:history="1">
        <w:r w:rsidR="008618F2" w:rsidRPr="00DC3933">
          <w:rPr>
            <w:rStyle w:val="Hyperlink"/>
            <w:noProof/>
          </w:rPr>
          <w:t>8.2.2</w:t>
        </w:r>
        <w:r w:rsidR="008618F2">
          <w:rPr>
            <w:rFonts w:asciiTheme="minorHAnsi" w:eastAsiaTheme="minorEastAsia" w:hAnsiTheme="minorHAnsi" w:cstheme="minorBidi"/>
            <w:b w:val="0"/>
            <w:noProof/>
            <w:szCs w:val="22"/>
            <w:lang w:eastAsia="en-GB"/>
          </w:rPr>
          <w:tab/>
        </w:r>
        <w:r w:rsidR="008618F2" w:rsidRPr="00DC3933">
          <w:rPr>
            <w:rStyle w:val="Hyperlink"/>
            <w:noProof/>
          </w:rPr>
          <w:t>Control of undesirable movements</w:t>
        </w:r>
        <w:r w:rsidR="008618F2">
          <w:rPr>
            <w:noProof/>
            <w:webHidden/>
          </w:rPr>
          <w:tab/>
        </w:r>
        <w:r w:rsidR="008618F2">
          <w:rPr>
            <w:noProof/>
            <w:webHidden/>
          </w:rPr>
          <w:fldChar w:fldCharType="begin"/>
        </w:r>
        <w:r w:rsidR="008618F2">
          <w:rPr>
            <w:noProof/>
            <w:webHidden/>
          </w:rPr>
          <w:instrText xml:space="preserve"> PAGEREF _Toc134197849 \h </w:instrText>
        </w:r>
        <w:r w:rsidR="008618F2">
          <w:rPr>
            <w:noProof/>
            <w:webHidden/>
          </w:rPr>
        </w:r>
        <w:r w:rsidR="008618F2">
          <w:rPr>
            <w:noProof/>
            <w:webHidden/>
          </w:rPr>
          <w:fldChar w:fldCharType="separate"/>
        </w:r>
        <w:r w:rsidR="000720CB">
          <w:rPr>
            <w:noProof/>
            <w:webHidden/>
          </w:rPr>
          <w:t>74</w:t>
        </w:r>
        <w:r w:rsidR="008618F2">
          <w:rPr>
            <w:noProof/>
            <w:webHidden/>
          </w:rPr>
          <w:fldChar w:fldCharType="end"/>
        </w:r>
      </w:hyperlink>
    </w:p>
    <w:p w14:paraId="2B4C3E87" w14:textId="3002CD48" w:rsidR="008618F2" w:rsidRDefault="009B5CEC" w:rsidP="008618F2">
      <w:pPr>
        <w:pStyle w:val="TOC3"/>
        <w:jc w:val="left"/>
        <w:rPr>
          <w:rFonts w:asciiTheme="minorHAnsi" w:eastAsiaTheme="minorEastAsia" w:hAnsiTheme="minorHAnsi" w:cstheme="minorBidi"/>
          <w:b w:val="0"/>
          <w:noProof/>
          <w:szCs w:val="22"/>
          <w:lang w:eastAsia="en-GB"/>
        </w:rPr>
      </w:pPr>
      <w:hyperlink w:anchor="_Toc134197850" w:history="1">
        <w:r w:rsidR="008618F2" w:rsidRPr="00DC3933">
          <w:rPr>
            <w:rStyle w:val="Hyperlink"/>
            <w:noProof/>
          </w:rPr>
          <w:t>8.2.3</w:t>
        </w:r>
        <w:r w:rsidR="008618F2">
          <w:rPr>
            <w:rFonts w:asciiTheme="minorHAnsi" w:eastAsiaTheme="minorEastAsia" w:hAnsiTheme="minorHAnsi" w:cstheme="minorBidi"/>
            <w:b w:val="0"/>
            <w:noProof/>
            <w:szCs w:val="22"/>
            <w:lang w:eastAsia="en-GB"/>
          </w:rPr>
          <w:tab/>
        </w:r>
        <w:r w:rsidR="008618F2" w:rsidRPr="00DC3933">
          <w:rPr>
            <w:rStyle w:val="Hyperlink"/>
            <w:noProof/>
          </w:rPr>
          <w:t>Control of differential seismic ground motions</w:t>
        </w:r>
        <w:r w:rsidR="008618F2">
          <w:rPr>
            <w:noProof/>
            <w:webHidden/>
          </w:rPr>
          <w:tab/>
        </w:r>
        <w:r w:rsidR="008618F2">
          <w:rPr>
            <w:noProof/>
            <w:webHidden/>
          </w:rPr>
          <w:fldChar w:fldCharType="begin"/>
        </w:r>
        <w:r w:rsidR="008618F2">
          <w:rPr>
            <w:noProof/>
            <w:webHidden/>
          </w:rPr>
          <w:instrText xml:space="preserve"> PAGEREF _Toc134197850 \h </w:instrText>
        </w:r>
        <w:r w:rsidR="008618F2">
          <w:rPr>
            <w:noProof/>
            <w:webHidden/>
          </w:rPr>
        </w:r>
        <w:r w:rsidR="008618F2">
          <w:rPr>
            <w:noProof/>
            <w:webHidden/>
          </w:rPr>
          <w:fldChar w:fldCharType="separate"/>
        </w:r>
        <w:r w:rsidR="000720CB">
          <w:rPr>
            <w:noProof/>
            <w:webHidden/>
          </w:rPr>
          <w:t>75</w:t>
        </w:r>
        <w:r w:rsidR="008618F2">
          <w:rPr>
            <w:noProof/>
            <w:webHidden/>
          </w:rPr>
          <w:fldChar w:fldCharType="end"/>
        </w:r>
      </w:hyperlink>
    </w:p>
    <w:p w14:paraId="27077C63" w14:textId="2C0E4E3B" w:rsidR="008618F2" w:rsidRDefault="009B5CEC" w:rsidP="008618F2">
      <w:pPr>
        <w:pStyle w:val="TOC3"/>
        <w:jc w:val="left"/>
        <w:rPr>
          <w:rFonts w:asciiTheme="minorHAnsi" w:eastAsiaTheme="minorEastAsia" w:hAnsiTheme="minorHAnsi" w:cstheme="minorBidi"/>
          <w:b w:val="0"/>
          <w:noProof/>
          <w:szCs w:val="22"/>
          <w:lang w:eastAsia="en-GB"/>
        </w:rPr>
      </w:pPr>
      <w:hyperlink w:anchor="_Toc134197851" w:history="1">
        <w:r w:rsidR="008618F2" w:rsidRPr="00DC3933">
          <w:rPr>
            <w:rStyle w:val="Hyperlink"/>
            <w:noProof/>
          </w:rPr>
          <w:t>8.2.4</w:t>
        </w:r>
        <w:r w:rsidR="008618F2">
          <w:rPr>
            <w:rFonts w:asciiTheme="minorHAnsi" w:eastAsiaTheme="minorEastAsia" w:hAnsiTheme="minorHAnsi" w:cstheme="minorBidi"/>
            <w:b w:val="0"/>
            <w:noProof/>
            <w:szCs w:val="22"/>
            <w:lang w:eastAsia="en-GB"/>
          </w:rPr>
          <w:tab/>
        </w:r>
        <w:r w:rsidR="008618F2" w:rsidRPr="00DC3933">
          <w:rPr>
            <w:rStyle w:val="Hyperlink"/>
            <w:noProof/>
          </w:rPr>
          <w:t>Control of displacements relative to surrounding ground and constructions</w:t>
        </w:r>
        <w:r w:rsidR="008618F2">
          <w:rPr>
            <w:noProof/>
            <w:webHidden/>
          </w:rPr>
          <w:tab/>
        </w:r>
        <w:r w:rsidR="008618F2">
          <w:rPr>
            <w:noProof/>
            <w:webHidden/>
          </w:rPr>
          <w:fldChar w:fldCharType="begin"/>
        </w:r>
        <w:r w:rsidR="008618F2">
          <w:rPr>
            <w:noProof/>
            <w:webHidden/>
          </w:rPr>
          <w:instrText xml:space="preserve"> PAGEREF _Toc134197851 \h </w:instrText>
        </w:r>
        <w:r w:rsidR="008618F2">
          <w:rPr>
            <w:noProof/>
            <w:webHidden/>
          </w:rPr>
        </w:r>
        <w:r w:rsidR="008618F2">
          <w:rPr>
            <w:noProof/>
            <w:webHidden/>
          </w:rPr>
          <w:fldChar w:fldCharType="separate"/>
        </w:r>
        <w:r w:rsidR="000720CB">
          <w:rPr>
            <w:noProof/>
            <w:webHidden/>
          </w:rPr>
          <w:t>75</w:t>
        </w:r>
        <w:r w:rsidR="008618F2">
          <w:rPr>
            <w:noProof/>
            <w:webHidden/>
          </w:rPr>
          <w:fldChar w:fldCharType="end"/>
        </w:r>
      </w:hyperlink>
    </w:p>
    <w:p w14:paraId="653BB668" w14:textId="02B99DFC" w:rsidR="008618F2" w:rsidRDefault="009B5CEC" w:rsidP="008618F2">
      <w:pPr>
        <w:pStyle w:val="TOC2"/>
        <w:jc w:val="left"/>
        <w:rPr>
          <w:rFonts w:asciiTheme="minorHAnsi" w:eastAsiaTheme="minorEastAsia" w:hAnsiTheme="minorHAnsi" w:cstheme="minorBidi"/>
          <w:b w:val="0"/>
          <w:noProof/>
          <w:szCs w:val="22"/>
          <w:lang w:eastAsia="en-GB"/>
        </w:rPr>
      </w:pPr>
      <w:hyperlink w:anchor="_Toc134197852" w:history="1">
        <w:r w:rsidR="008618F2" w:rsidRPr="00DC3933">
          <w:rPr>
            <w:rStyle w:val="Hyperlink"/>
            <w:noProof/>
          </w:rPr>
          <w:t>8.3</w:t>
        </w:r>
        <w:r w:rsidR="008618F2">
          <w:rPr>
            <w:rFonts w:asciiTheme="minorHAnsi" w:eastAsiaTheme="minorEastAsia" w:hAnsiTheme="minorHAnsi" w:cstheme="minorBidi"/>
            <w:b w:val="0"/>
            <w:noProof/>
            <w:szCs w:val="22"/>
            <w:lang w:eastAsia="en-GB"/>
          </w:rPr>
          <w:tab/>
        </w:r>
        <w:r w:rsidR="008618F2" w:rsidRPr="00DC3933">
          <w:rPr>
            <w:rStyle w:val="Hyperlink"/>
            <w:noProof/>
          </w:rPr>
          <w:t>Structural analysis</w:t>
        </w:r>
        <w:r w:rsidR="008618F2">
          <w:rPr>
            <w:noProof/>
            <w:webHidden/>
          </w:rPr>
          <w:tab/>
        </w:r>
        <w:r w:rsidR="008618F2">
          <w:rPr>
            <w:noProof/>
            <w:webHidden/>
          </w:rPr>
          <w:fldChar w:fldCharType="begin"/>
        </w:r>
        <w:r w:rsidR="008618F2">
          <w:rPr>
            <w:noProof/>
            <w:webHidden/>
          </w:rPr>
          <w:instrText xml:space="preserve"> PAGEREF _Toc134197852 \h </w:instrText>
        </w:r>
        <w:r w:rsidR="008618F2">
          <w:rPr>
            <w:noProof/>
            <w:webHidden/>
          </w:rPr>
        </w:r>
        <w:r w:rsidR="008618F2">
          <w:rPr>
            <w:noProof/>
            <w:webHidden/>
          </w:rPr>
          <w:fldChar w:fldCharType="separate"/>
        </w:r>
        <w:r w:rsidR="000720CB">
          <w:rPr>
            <w:noProof/>
            <w:webHidden/>
          </w:rPr>
          <w:t>75</w:t>
        </w:r>
        <w:r w:rsidR="008618F2">
          <w:rPr>
            <w:noProof/>
            <w:webHidden/>
          </w:rPr>
          <w:fldChar w:fldCharType="end"/>
        </w:r>
      </w:hyperlink>
    </w:p>
    <w:p w14:paraId="3ED1A8D2" w14:textId="4AE8A9E3" w:rsidR="008618F2" w:rsidRDefault="009B5CEC" w:rsidP="008618F2">
      <w:pPr>
        <w:pStyle w:val="TOC3"/>
        <w:jc w:val="left"/>
        <w:rPr>
          <w:rFonts w:asciiTheme="minorHAnsi" w:eastAsiaTheme="minorEastAsia" w:hAnsiTheme="minorHAnsi" w:cstheme="minorBidi"/>
          <w:b w:val="0"/>
          <w:noProof/>
          <w:szCs w:val="22"/>
          <w:lang w:eastAsia="en-GB"/>
        </w:rPr>
      </w:pPr>
      <w:hyperlink w:anchor="_Toc134197853" w:history="1">
        <w:r w:rsidR="008618F2" w:rsidRPr="00DC3933">
          <w:rPr>
            <w:rStyle w:val="Hyperlink"/>
            <w:noProof/>
          </w:rPr>
          <w:t>8.3.1</w:t>
        </w:r>
        <w:r w:rsidR="008618F2">
          <w:rPr>
            <w:rFonts w:asciiTheme="minorHAnsi" w:eastAsiaTheme="minorEastAsia" w:hAnsiTheme="minorHAnsi" w:cstheme="minorBidi"/>
            <w:b w:val="0"/>
            <w:noProof/>
            <w:szCs w:val="22"/>
            <w:lang w:eastAsia="en-GB"/>
          </w:rPr>
          <w:tab/>
        </w:r>
        <w:r w:rsidR="008618F2" w:rsidRPr="00DC3933">
          <w:rPr>
            <w:rStyle w:val="Hyperlink"/>
            <w:noProof/>
          </w:rPr>
          <w:t>General</w:t>
        </w:r>
        <w:r w:rsidR="008618F2">
          <w:rPr>
            <w:noProof/>
            <w:webHidden/>
          </w:rPr>
          <w:tab/>
        </w:r>
        <w:r w:rsidR="008618F2">
          <w:rPr>
            <w:noProof/>
            <w:webHidden/>
          </w:rPr>
          <w:fldChar w:fldCharType="begin"/>
        </w:r>
        <w:r w:rsidR="008618F2">
          <w:rPr>
            <w:noProof/>
            <w:webHidden/>
          </w:rPr>
          <w:instrText xml:space="preserve"> PAGEREF _Toc134197853 \h </w:instrText>
        </w:r>
        <w:r w:rsidR="008618F2">
          <w:rPr>
            <w:noProof/>
            <w:webHidden/>
          </w:rPr>
        </w:r>
        <w:r w:rsidR="008618F2">
          <w:rPr>
            <w:noProof/>
            <w:webHidden/>
          </w:rPr>
          <w:fldChar w:fldCharType="separate"/>
        </w:r>
        <w:r w:rsidR="000720CB">
          <w:rPr>
            <w:noProof/>
            <w:webHidden/>
          </w:rPr>
          <w:t>75</w:t>
        </w:r>
        <w:r w:rsidR="008618F2">
          <w:rPr>
            <w:noProof/>
            <w:webHidden/>
          </w:rPr>
          <w:fldChar w:fldCharType="end"/>
        </w:r>
      </w:hyperlink>
    </w:p>
    <w:p w14:paraId="0C464F7E" w14:textId="1C70B9EA" w:rsidR="008618F2" w:rsidRDefault="009B5CEC" w:rsidP="008618F2">
      <w:pPr>
        <w:pStyle w:val="TOC3"/>
        <w:jc w:val="left"/>
        <w:rPr>
          <w:rFonts w:asciiTheme="minorHAnsi" w:eastAsiaTheme="minorEastAsia" w:hAnsiTheme="minorHAnsi" w:cstheme="minorBidi"/>
          <w:b w:val="0"/>
          <w:noProof/>
          <w:szCs w:val="22"/>
          <w:lang w:eastAsia="en-GB"/>
        </w:rPr>
      </w:pPr>
      <w:hyperlink w:anchor="_Toc134197854" w:history="1">
        <w:r w:rsidR="008618F2" w:rsidRPr="00DC3933">
          <w:rPr>
            <w:rStyle w:val="Hyperlink"/>
            <w:noProof/>
          </w:rPr>
          <w:t>8.3.2</w:t>
        </w:r>
        <w:r w:rsidR="008618F2">
          <w:rPr>
            <w:rFonts w:asciiTheme="minorHAnsi" w:eastAsiaTheme="minorEastAsia" w:hAnsiTheme="minorHAnsi" w:cstheme="minorBidi"/>
            <w:b w:val="0"/>
            <w:noProof/>
            <w:szCs w:val="22"/>
            <w:lang w:eastAsia="en-GB"/>
          </w:rPr>
          <w:tab/>
        </w:r>
        <w:r w:rsidR="008618F2" w:rsidRPr="00DC3933">
          <w:rPr>
            <w:rStyle w:val="Hyperlink"/>
            <w:noProof/>
          </w:rPr>
          <w:t>Fundamental-mode equivalent linear response-spectrum analysis</w:t>
        </w:r>
        <w:r w:rsidR="008618F2">
          <w:rPr>
            <w:noProof/>
            <w:webHidden/>
          </w:rPr>
          <w:tab/>
        </w:r>
        <w:r w:rsidR="008618F2">
          <w:rPr>
            <w:noProof/>
            <w:webHidden/>
          </w:rPr>
          <w:fldChar w:fldCharType="begin"/>
        </w:r>
        <w:r w:rsidR="008618F2">
          <w:rPr>
            <w:noProof/>
            <w:webHidden/>
          </w:rPr>
          <w:instrText xml:space="preserve"> PAGEREF _Toc134197854 \h </w:instrText>
        </w:r>
        <w:r w:rsidR="008618F2">
          <w:rPr>
            <w:noProof/>
            <w:webHidden/>
          </w:rPr>
        </w:r>
        <w:r w:rsidR="008618F2">
          <w:rPr>
            <w:noProof/>
            <w:webHidden/>
          </w:rPr>
          <w:fldChar w:fldCharType="separate"/>
        </w:r>
        <w:r w:rsidR="000720CB">
          <w:rPr>
            <w:noProof/>
            <w:webHidden/>
          </w:rPr>
          <w:t>75</w:t>
        </w:r>
        <w:r w:rsidR="008618F2">
          <w:rPr>
            <w:noProof/>
            <w:webHidden/>
          </w:rPr>
          <w:fldChar w:fldCharType="end"/>
        </w:r>
      </w:hyperlink>
    </w:p>
    <w:p w14:paraId="00644807" w14:textId="2AE94AB5" w:rsidR="008618F2" w:rsidRDefault="009B5CEC" w:rsidP="008618F2">
      <w:pPr>
        <w:pStyle w:val="TOC2"/>
        <w:jc w:val="left"/>
        <w:rPr>
          <w:rFonts w:asciiTheme="minorHAnsi" w:eastAsiaTheme="minorEastAsia" w:hAnsiTheme="minorHAnsi" w:cstheme="minorBidi"/>
          <w:b w:val="0"/>
          <w:noProof/>
          <w:szCs w:val="22"/>
          <w:lang w:eastAsia="en-GB"/>
        </w:rPr>
      </w:pPr>
      <w:hyperlink w:anchor="_Toc134197855" w:history="1">
        <w:r w:rsidR="008618F2" w:rsidRPr="00DC3933">
          <w:rPr>
            <w:rStyle w:val="Hyperlink"/>
            <w:noProof/>
          </w:rPr>
          <w:t>8.4</w:t>
        </w:r>
        <w:r w:rsidR="008618F2">
          <w:rPr>
            <w:rFonts w:asciiTheme="minorHAnsi" w:eastAsiaTheme="minorEastAsia" w:hAnsiTheme="minorHAnsi" w:cstheme="minorBidi"/>
            <w:b w:val="0"/>
            <w:noProof/>
            <w:szCs w:val="22"/>
            <w:lang w:eastAsia="en-GB"/>
          </w:rPr>
          <w:tab/>
        </w:r>
        <w:r w:rsidR="008618F2" w:rsidRPr="00DC3933">
          <w:rPr>
            <w:rStyle w:val="Hyperlink"/>
            <w:noProof/>
          </w:rPr>
          <w:t>Verification of Significant Damage Limit State</w:t>
        </w:r>
        <w:r w:rsidR="008618F2">
          <w:rPr>
            <w:noProof/>
            <w:webHidden/>
          </w:rPr>
          <w:tab/>
        </w:r>
        <w:r w:rsidR="008618F2">
          <w:rPr>
            <w:noProof/>
            <w:webHidden/>
          </w:rPr>
          <w:fldChar w:fldCharType="begin"/>
        </w:r>
        <w:r w:rsidR="008618F2">
          <w:rPr>
            <w:noProof/>
            <w:webHidden/>
          </w:rPr>
          <w:instrText xml:space="preserve"> PAGEREF _Toc134197855 \h </w:instrText>
        </w:r>
        <w:r w:rsidR="008618F2">
          <w:rPr>
            <w:noProof/>
            <w:webHidden/>
          </w:rPr>
        </w:r>
        <w:r w:rsidR="008618F2">
          <w:rPr>
            <w:noProof/>
            <w:webHidden/>
          </w:rPr>
          <w:fldChar w:fldCharType="separate"/>
        </w:r>
        <w:r w:rsidR="000720CB">
          <w:rPr>
            <w:noProof/>
            <w:webHidden/>
          </w:rPr>
          <w:t>76</w:t>
        </w:r>
        <w:r w:rsidR="008618F2">
          <w:rPr>
            <w:noProof/>
            <w:webHidden/>
          </w:rPr>
          <w:fldChar w:fldCharType="end"/>
        </w:r>
      </w:hyperlink>
    </w:p>
    <w:p w14:paraId="222BF150" w14:textId="0641B7E0" w:rsidR="008618F2" w:rsidRDefault="009B5CEC" w:rsidP="008618F2">
      <w:pPr>
        <w:pStyle w:val="TOC1"/>
        <w:jc w:val="left"/>
        <w:rPr>
          <w:rFonts w:asciiTheme="minorHAnsi" w:eastAsiaTheme="minorEastAsia" w:hAnsiTheme="minorHAnsi" w:cstheme="minorBidi"/>
          <w:b w:val="0"/>
          <w:noProof/>
          <w:szCs w:val="22"/>
          <w:lang w:eastAsia="en-GB"/>
        </w:rPr>
      </w:pPr>
      <w:hyperlink w:anchor="_Toc134197856" w:history="1">
        <w:r w:rsidR="008618F2" w:rsidRPr="00DC3933">
          <w:rPr>
            <w:rStyle w:val="Hyperlink"/>
            <w:noProof/>
          </w:rPr>
          <w:t>9</w:t>
        </w:r>
        <w:r w:rsidR="008618F2">
          <w:rPr>
            <w:rFonts w:asciiTheme="minorHAnsi" w:eastAsiaTheme="minorEastAsia" w:hAnsiTheme="minorHAnsi" w:cstheme="minorBidi"/>
            <w:b w:val="0"/>
            <w:noProof/>
            <w:szCs w:val="22"/>
            <w:lang w:eastAsia="en-GB"/>
          </w:rPr>
          <w:tab/>
        </w:r>
        <w:r w:rsidR="008618F2" w:rsidRPr="00DC3933">
          <w:rPr>
            <w:rStyle w:val="Hyperlink"/>
            <w:noProof/>
          </w:rPr>
          <w:t>Buildings with energy dissipation systems</w:t>
        </w:r>
        <w:r w:rsidR="008618F2">
          <w:rPr>
            <w:noProof/>
            <w:webHidden/>
          </w:rPr>
          <w:tab/>
        </w:r>
        <w:r w:rsidR="008618F2">
          <w:rPr>
            <w:noProof/>
            <w:webHidden/>
          </w:rPr>
          <w:fldChar w:fldCharType="begin"/>
        </w:r>
        <w:r w:rsidR="008618F2">
          <w:rPr>
            <w:noProof/>
            <w:webHidden/>
          </w:rPr>
          <w:instrText xml:space="preserve"> PAGEREF _Toc134197856 \h </w:instrText>
        </w:r>
        <w:r w:rsidR="008618F2">
          <w:rPr>
            <w:noProof/>
            <w:webHidden/>
          </w:rPr>
        </w:r>
        <w:r w:rsidR="008618F2">
          <w:rPr>
            <w:noProof/>
            <w:webHidden/>
          </w:rPr>
          <w:fldChar w:fldCharType="separate"/>
        </w:r>
        <w:r w:rsidR="000720CB">
          <w:rPr>
            <w:noProof/>
            <w:webHidden/>
          </w:rPr>
          <w:t>77</w:t>
        </w:r>
        <w:r w:rsidR="008618F2">
          <w:rPr>
            <w:noProof/>
            <w:webHidden/>
          </w:rPr>
          <w:fldChar w:fldCharType="end"/>
        </w:r>
      </w:hyperlink>
    </w:p>
    <w:p w14:paraId="0AD54975" w14:textId="4EDF0A58" w:rsidR="008618F2" w:rsidRDefault="009B5CEC" w:rsidP="008618F2">
      <w:pPr>
        <w:pStyle w:val="TOC2"/>
        <w:jc w:val="left"/>
        <w:rPr>
          <w:rFonts w:asciiTheme="minorHAnsi" w:eastAsiaTheme="minorEastAsia" w:hAnsiTheme="minorHAnsi" w:cstheme="minorBidi"/>
          <w:b w:val="0"/>
          <w:noProof/>
          <w:szCs w:val="22"/>
          <w:lang w:eastAsia="en-GB"/>
        </w:rPr>
      </w:pPr>
      <w:hyperlink w:anchor="_Toc134197857" w:history="1">
        <w:r w:rsidR="008618F2" w:rsidRPr="00DC3933">
          <w:rPr>
            <w:rStyle w:val="Hyperlink"/>
            <w:noProof/>
          </w:rPr>
          <w:t>9.1</w:t>
        </w:r>
        <w:r w:rsidR="008618F2">
          <w:rPr>
            <w:rFonts w:asciiTheme="minorHAnsi" w:eastAsiaTheme="minorEastAsia" w:hAnsiTheme="minorHAnsi" w:cstheme="minorBidi"/>
            <w:b w:val="0"/>
            <w:noProof/>
            <w:szCs w:val="22"/>
            <w:lang w:eastAsia="en-GB"/>
          </w:rPr>
          <w:tab/>
        </w:r>
        <w:r w:rsidR="008618F2" w:rsidRPr="00DC3933">
          <w:rPr>
            <w:rStyle w:val="Hyperlink"/>
            <w:noProof/>
          </w:rPr>
          <w:t>General</w:t>
        </w:r>
        <w:r w:rsidR="008618F2">
          <w:rPr>
            <w:noProof/>
            <w:webHidden/>
          </w:rPr>
          <w:tab/>
        </w:r>
        <w:r w:rsidR="008618F2">
          <w:rPr>
            <w:noProof/>
            <w:webHidden/>
          </w:rPr>
          <w:fldChar w:fldCharType="begin"/>
        </w:r>
        <w:r w:rsidR="008618F2">
          <w:rPr>
            <w:noProof/>
            <w:webHidden/>
          </w:rPr>
          <w:instrText xml:space="preserve"> PAGEREF _Toc134197857 \h </w:instrText>
        </w:r>
        <w:r w:rsidR="008618F2">
          <w:rPr>
            <w:noProof/>
            <w:webHidden/>
          </w:rPr>
        </w:r>
        <w:r w:rsidR="008618F2">
          <w:rPr>
            <w:noProof/>
            <w:webHidden/>
          </w:rPr>
          <w:fldChar w:fldCharType="separate"/>
        </w:r>
        <w:r w:rsidR="000720CB">
          <w:rPr>
            <w:noProof/>
            <w:webHidden/>
          </w:rPr>
          <w:t>77</w:t>
        </w:r>
        <w:r w:rsidR="008618F2">
          <w:rPr>
            <w:noProof/>
            <w:webHidden/>
          </w:rPr>
          <w:fldChar w:fldCharType="end"/>
        </w:r>
      </w:hyperlink>
    </w:p>
    <w:p w14:paraId="336FC2A1" w14:textId="5CAEEA6F" w:rsidR="008618F2" w:rsidRDefault="009B5CEC" w:rsidP="008618F2">
      <w:pPr>
        <w:pStyle w:val="TOC2"/>
        <w:jc w:val="left"/>
        <w:rPr>
          <w:rFonts w:asciiTheme="minorHAnsi" w:eastAsiaTheme="minorEastAsia" w:hAnsiTheme="minorHAnsi" w:cstheme="minorBidi"/>
          <w:b w:val="0"/>
          <w:noProof/>
          <w:szCs w:val="22"/>
          <w:lang w:eastAsia="en-GB"/>
        </w:rPr>
      </w:pPr>
      <w:hyperlink w:anchor="_Toc134197858" w:history="1">
        <w:r w:rsidR="008618F2" w:rsidRPr="00DC3933">
          <w:rPr>
            <w:rStyle w:val="Hyperlink"/>
            <w:noProof/>
          </w:rPr>
          <w:t>9.2</w:t>
        </w:r>
        <w:r w:rsidR="008618F2">
          <w:rPr>
            <w:rFonts w:asciiTheme="minorHAnsi" w:eastAsiaTheme="minorEastAsia" w:hAnsiTheme="minorHAnsi" w:cstheme="minorBidi"/>
            <w:b w:val="0"/>
            <w:noProof/>
            <w:szCs w:val="22"/>
            <w:lang w:eastAsia="en-GB"/>
          </w:rPr>
          <w:tab/>
        </w:r>
        <w:r w:rsidR="008618F2" w:rsidRPr="00DC3933">
          <w:rPr>
            <w:rStyle w:val="Hyperlink"/>
            <w:noProof/>
          </w:rPr>
          <w:t>Basis of design</w:t>
        </w:r>
        <w:r w:rsidR="008618F2">
          <w:rPr>
            <w:noProof/>
            <w:webHidden/>
          </w:rPr>
          <w:tab/>
        </w:r>
        <w:r w:rsidR="008618F2">
          <w:rPr>
            <w:noProof/>
            <w:webHidden/>
          </w:rPr>
          <w:fldChar w:fldCharType="begin"/>
        </w:r>
        <w:r w:rsidR="008618F2">
          <w:rPr>
            <w:noProof/>
            <w:webHidden/>
          </w:rPr>
          <w:instrText xml:space="preserve"> PAGEREF _Toc134197858 \h </w:instrText>
        </w:r>
        <w:r w:rsidR="008618F2">
          <w:rPr>
            <w:noProof/>
            <w:webHidden/>
          </w:rPr>
        </w:r>
        <w:r w:rsidR="008618F2">
          <w:rPr>
            <w:noProof/>
            <w:webHidden/>
          </w:rPr>
          <w:fldChar w:fldCharType="separate"/>
        </w:r>
        <w:r w:rsidR="000720CB">
          <w:rPr>
            <w:noProof/>
            <w:webHidden/>
          </w:rPr>
          <w:t>77</w:t>
        </w:r>
        <w:r w:rsidR="008618F2">
          <w:rPr>
            <w:noProof/>
            <w:webHidden/>
          </w:rPr>
          <w:fldChar w:fldCharType="end"/>
        </w:r>
      </w:hyperlink>
    </w:p>
    <w:p w14:paraId="618A6C02" w14:textId="53AD7E67" w:rsidR="008618F2" w:rsidRDefault="009B5CEC" w:rsidP="008618F2">
      <w:pPr>
        <w:pStyle w:val="TOC3"/>
        <w:jc w:val="left"/>
        <w:rPr>
          <w:rFonts w:asciiTheme="minorHAnsi" w:eastAsiaTheme="minorEastAsia" w:hAnsiTheme="minorHAnsi" w:cstheme="minorBidi"/>
          <w:b w:val="0"/>
          <w:noProof/>
          <w:szCs w:val="22"/>
          <w:lang w:eastAsia="en-GB"/>
        </w:rPr>
      </w:pPr>
      <w:hyperlink w:anchor="_Toc134197859" w:history="1">
        <w:r w:rsidR="008618F2" w:rsidRPr="00DC3933">
          <w:rPr>
            <w:rStyle w:val="Hyperlink"/>
            <w:noProof/>
          </w:rPr>
          <w:t>9.2.1</w:t>
        </w:r>
        <w:r w:rsidR="008618F2">
          <w:rPr>
            <w:rFonts w:asciiTheme="minorHAnsi" w:eastAsiaTheme="minorEastAsia" w:hAnsiTheme="minorHAnsi" w:cstheme="minorBidi"/>
            <w:b w:val="0"/>
            <w:noProof/>
            <w:szCs w:val="22"/>
            <w:lang w:eastAsia="en-GB"/>
          </w:rPr>
          <w:tab/>
        </w:r>
        <w:r w:rsidR="008618F2" w:rsidRPr="00DC3933">
          <w:rPr>
            <w:rStyle w:val="Hyperlink"/>
            <w:noProof/>
          </w:rPr>
          <w:t>Compliance criteria</w:t>
        </w:r>
        <w:r w:rsidR="008618F2">
          <w:rPr>
            <w:noProof/>
            <w:webHidden/>
          </w:rPr>
          <w:tab/>
        </w:r>
        <w:r w:rsidR="008618F2">
          <w:rPr>
            <w:noProof/>
            <w:webHidden/>
          </w:rPr>
          <w:fldChar w:fldCharType="begin"/>
        </w:r>
        <w:r w:rsidR="008618F2">
          <w:rPr>
            <w:noProof/>
            <w:webHidden/>
          </w:rPr>
          <w:instrText xml:space="preserve"> PAGEREF _Toc134197859 \h </w:instrText>
        </w:r>
        <w:r w:rsidR="008618F2">
          <w:rPr>
            <w:noProof/>
            <w:webHidden/>
          </w:rPr>
        </w:r>
        <w:r w:rsidR="008618F2">
          <w:rPr>
            <w:noProof/>
            <w:webHidden/>
          </w:rPr>
          <w:fldChar w:fldCharType="separate"/>
        </w:r>
        <w:r w:rsidR="000720CB">
          <w:rPr>
            <w:noProof/>
            <w:webHidden/>
          </w:rPr>
          <w:t>77</w:t>
        </w:r>
        <w:r w:rsidR="008618F2">
          <w:rPr>
            <w:noProof/>
            <w:webHidden/>
          </w:rPr>
          <w:fldChar w:fldCharType="end"/>
        </w:r>
      </w:hyperlink>
    </w:p>
    <w:p w14:paraId="165E7A8C" w14:textId="73C17984" w:rsidR="008618F2" w:rsidRDefault="009B5CEC" w:rsidP="008618F2">
      <w:pPr>
        <w:pStyle w:val="TOC3"/>
        <w:jc w:val="left"/>
        <w:rPr>
          <w:rFonts w:asciiTheme="minorHAnsi" w:eastAsiaTheme="minorEastAsia" w:hAnsiTheme="minorHAnsi" w:cstheme="minorBidi"/>
          <w:b w:val="0"/>
          <w:noProof/>
          <w:szCs w:val="22"/>
          <w:lang w:eastAsia="en-GB"/>
        </w:rPr>
      </w:pPr>
      <w:hyperlink w:anchor="_Toc134197860" w:history="1">
        <w:r w:rsidR="008618F2" w:rsidRPr="00DC3933">
          <w:rPr>
            <w:rStyle w:val="Hyperlink"/>
            <w:noProof/>
          </w:rPr>
          <w:t>9.2.2</w:t>
        </w:r>
        <w:r w:rsidR="008618F2">
          <w:rPr>
            <w:rFonts w:asciiTheme="minorHAnsi" w:eastAsiaTheme="minorEastAsia" w:hAnsiTheme="minorHAnsi" w:cstheme="minorBidi"/>
            <w:b w:val="0"/>
            <w:noProof/>
            <w:szCs w:val="22"/>
            <w:lang w:eastAsia="en-GB"/>
          </w:rPr>
          <w:tab/>
        </w:r>
        <w:r w:rsidR="008618F2" w:rsidRPr="00DC3933">
          <w:rPr>
            <w:rStyle w:val="Hyperlink"/>
            <w:noProof/>
          </w:rPr>
          <w:t>Main structural system</w:t>
        </w:r>
        <w:r w:rsidR="008618F2">
          <w:rPr>
            <w:noProof/>
            <w:webHidden/>
          </w:rPr>
          <w:tab/>
        </w:r>
        <w:r w:rsidR="008618F2">
          <w:rPr>
            <w:noProof/>
            <w:webHidden/>
          </w:rPr>
          <w:fldChar w:fldCharType="begin"/>
        </w:r>
        <w:r w:rsidR="008618F2">
          <w:rPr>
            <w:noProof/>
            <w:webHidden/>
          </w:rPr>
          <w:instrText xml:space="preserve"> PAGEREF _Toc134197860 \h </w:instrText>
        </w:r>
        <w:r w:rsidR="008618F2">
          <w:rPr>
            <w:noProof/>
            <w:webHidden/>
          </w:rPr>
        </w:r>
        <w:r w:rsidR="008618F2">
          <w:rPr>
            <w:noProof/>
            <w:webHidden/>
          </w:rPr>
          <w:fldChar w:fldCharType="separate"/>
        </w:r>
        <w:r w:rsidR="000720CB">
          <w:rPr>
            <w:noProof/>
            <w:webHidden/>
          </w:rPr>
          <w:t>77</w:t>
        </w:r>
        <w:r w:rsidR="008618F2">
          <w:rPr>
            <w:noProof/>
            <w:webHidden/>
          </w:rPr>
          <w:fldChar w:fldCharType="end"/>
        </w:r>
      </w:hyperlink>
    </w:p>
    <w:p w14:paraId="418FFCF7" w14:textId="5092BFC3" w:rsidR="008618F2" w:rsidRDefault="009B5CEC" w:rsidP="008618F2">
      <w:pPr>
        <w:pStyle w:val="TOC3"/>
        <w:jc w:val="left"/>
        <w:rPr>
          <w:rFonts w:asciiTheme="minorHAnsi" w:eastAsiaTheme="minorEastAsia" w:hAnsiTheme="minorHAnsi" w:cstheme="minorBidi"/>
          <w:b w:val="0"/>
          <w:noProof/>
          <w:szCs w:val="22"/>
          <w:lang w:eastAsia="en-GB"/>
        </w:rPr>
      </w:pPr>
      <w:hyperlink w:anchor="_Toc134197861" w:history="1">
        <w:r w:rsidR="008618F2" w:rsidRPr="00DC3933">
          <w:rPr>
            <w:rStyle w:val="Hyperlink"/>
            <w:noProof/>
          </w:rPr>
          <w:t>9.2.3</w:t>
        </w:r>
        <w:r w:rsidR="008618F2">
          <w:rPr>
            <w:rFonts w:asciiTheme="minorHAnsi" w:eastAsiaTheme="minorEastAsia" w:hAnsiTheme="minorHAnsi" w:cstheme="minorBidi"/>
            <w:b w:val="0"/>
            <w:noProof/>
            <w:szCs w:val="22"/>
            <w:lang w:eastAsia="en-GB"/>
          </w:rPr>
          <w:tab/>
        </w:r>
        <w:r w:rsidR="008618F2" w:rsidRPr="00DC3933">
          <w:rPr>
            <w:rStyle w:val="Hyperlink"/>
            <w:noProof/>
          </w:rPr>
          <w:t>Energy dissipation system</w:t>
        </w:r>
        <w:r w:rsidR="008618F2">
          <w:rPr>
            <w:noProof/>
            <w:webHidden/>
          </w:rPr>
          <w:tab/>
        </w:r>
        <w:r w:rsidR="008618F2">
          <w:rPr>
            <w:noProof/>
            <w:webHidden/>
          </w:rPr>
          <w:fldChar w:fldCharType="begin"/>
        </w:r>
        <w:r w:rsidR="008618F2">
          <w:rPr>
            <w:noProof/>
            <w:webHidden/>
          </w:rPr>
          <w:instrText xml:space="preserve"> PAGEREF _Toc134197861 \h </w:instrText>
        </w:r>
        <w:r w:rsidR="008618F2">
          <w:rPr>
            <w:noProof/>
            <w:webHidden/>
          </w:rPr>
        </w:r>
        <w:r w:rsidR="008618F2">
          <w:rPr>
            <w:noProof/>
            <w:webHidden/>
          </w:rPr>
          <w:fldChar w:fldCharType="separate"/>
        </w:r>
        <w:r w:rsidR="000720CB">
          <w:rPr>
            <w:noProof/>
            <w:webHidden/>
          </w:rPr>
          <w:t>78</w:t>
        </w:r>
        <w:r w:rsidR="008618F2">
          <w:rPr>
            <w:noProof/>
            <w:webHidden/>
          </w:rPr>
          <w:fldChar w:fldCharType="end"/>
        </w:r>
      </w:hyperlink>
    </w:p>
    <w:p w14:paraId="4BE85ABC" w14:textId="54CEF4F1" w:rsidR="008618F2" w:rsidRDefault="009B5CEC" w:rsidP="008618F2">
      <w:pPr>
        <w:pStyle w:val="TOC3"/>
        <w:jc w:val="left"/>
        <w:rPr>
          <w:rFonts w:asciiTheme="minorHAnsi" w:eastAsiaTheme="minorEastAsia" w:hAnsiTheme="minorHAnsi" w:cstheme="minorBidi"/>
          <w:b w:val="0"/>
          <w:noProof/>
          <w:szCs w:val="22"/>
          <w:lang w:eastAsia="en-GB"/>
        </w:rPr>
      </w:pPr>
      <w:hyperlink w:anchor="_Toc134197862" w:history="1">
        <w:r w:rsidR="008618F2" w:rsidRPr="00DC3933">
          <w:rPr>
            <w:rStyle w:val="Hyperlink"/>
            <w:noProof/>
          </w:rPr>
          <w:t>9.2.4</w:t>
        </w:r>
        <w:r w:rsidR="008618F2">
          <w:rPr>
            <w:rFonts w:asciiTheme="minorHAnsi" w:eastAsiaTheme="minorEastAsia" w:hAnsiTheme="minorHAnsi" w:cstheme="minorBidi"/>
            <w:b w:val="0"/>
            <w:noProof/>
            <w:szCs w:val="22"/>
            <w:lang w:eastAsia="en-GB"/>
          </w:rPr>
          <w:tab/>
        </w:r>
        <w:r w:rsidR="008618F2" w:rsidRPr="00DC3933">
          <w:rPr>
            <w:rStyle w:val="Hyperlink"/>
            <w:noProof/>
          </w:rPr>
          <w:t>Control of torsional effects</w:t>
        </w:r>
        <w:r w:rsidR="008618F2">
          <w:rPr>
            <w:noProof/>
            <w:webHidden/>
          </w:rPr>
          <w:tab/>
        </w:r>
        <w:r w:rsidR="008618F2">
          <w:rPr>
            <w:noProof/>
            <w:webHidden/>
          </w:rPr>
          <w:fldChar w:fldCharType="begin"/>
        </w:r>
        <w:r w:rsidR="008618F2">
          <w:rPr>
            <w:noProof/>
            <w:webHidden/>
          </w:rPr>
          <w:instrText xml:space="preserve"> PAGEREF _Toc134197862 \h </w:instrText>
        </w:r>
        <w:r w:rsidR="008618F2">
          <w:rPr>
            <w:noProof/>
            <w:webHidden/>
          </w:rPr>
        </w:r>
        <w:r w:rsidR="008618F2">
          <w:rPr>
            <w:noProof/>
            <w:webHidden/>
          </w:rPr>
          <w:fldChar w:fldCharType="separate"/>
        </w:r>
        <w:r w:rsidR="000720CB">
          <w:rPr>
            <w:noProof/>
            <w:webHidden/>
          </w:rPr>
          <w:t>78</w:t>
        </w:r>
        <w:r w:rsidR="008618F2">
          <w:rPr>
            <w:noProof/>
            <w:webHidden/>
          </w:rPr>
          <w:fldChar w:fldCharType="end"/>
        </w:r>
      </w:hyperlink>
    </w:p>
    <w:p w14:paraId="2BEDB152" w14:textId="2CB58290" w:rsidR="008618F2" w:rsidRDefault="009B5CEC" w:rsidP="008618F2">
      <w:pPr>
        <w:pStyle w:val="TOC2"/>
        <w:jc w:val="left"/>
        <w:rPr>
          <w:rFonts w:asciiTheme="minorHAnsi" w:eastAsiaTheme="minorEastAsia" w:hAnsiTheme="minorHAnsi" w:cstheme="minorBidi"/>
          <w:b w:val="0"/>
          <w:noProof/>
          <w:szCs w:val="22"/>
          <w:lang w:eastAsia="en-GB"/>
        </w:rPr>
      </w:pPr>
      <w:hyperlink w:anchor="_Toc134197863" w:history="1">
        <w:r w:rsidR="008618F2" w:rsidRPr="00DC3933">
          <w:rPr>
            <w:rStyle w:val="Hyperlink"/>
            <w:noProof/>
          </w:rPr>
          <w:t>9.3</w:t>
        </w:r>
        <w:r w:rsidR="008618F2">
          <w:rPr>
            <w:rFonts w:asciiTheme="minorHAnsi" w:eastAsiaTheme="minorEastAsia" w:hAnsiTheme="minorHAnsi" w:cstheme="minorBidi"/>
            <w:b w:val="0"/>
            <w:noProof/>
            <w:szCs w:val="22"/>
            <w:lang w:eastAsia="en-GB"/>
          </w:rPr>
          <w:tab/>
        </w:r>
        <w:r w:rsidR="008618F2" w:rsidRPr="00DC3933">
          <w:rPr>
            <w:rStyle w:val="Hyperlink"/>
            <w:noProof/>
          </w:rPr>
          <w:t>Structural analysis</w:t>
        </w:r>
        <w:r w:rsidR="008618F2">
          <w:rPr>
            <w:noProof/>
            <w:webHidden/>
          </w:rPr>
          <w:tab/>
        </w:r>
        <w:r w:rsidR="008618F2">
          <w:rPr>
            <w:noProof/>
            <w:webHidden/>
          </w:rPr>
          <w:fldChar w:fldCharType="begin"/>
        </w:r>
        <w:r w:rsidR="008618F2">
          <w:rPr>
            <w:noProof/>
            <w:webHidden/>
          </w:rPr>
          <w:instrText xml:space="preserve"> PAGEREF _Toc134197863 \h </w:instrText>
        </w:r>
        <w:r w:rsidR="008618F2">
          <w:rPr>
            <w:noProof/>
            <w:webHidden/>
          </w:rPr>
        </w:r>
        <w:r w:rsidR="008618F2">
          <w:rPr>
            <w:noProof/>
            <w:webHidden/>
          </w:rPr>
          <w:fldChar w:fldCharType="separate"/>
        </w:r>
        <w:r w:rsidR="000720CB">
          <w:rPr>
            <w:noProof/>
            <w:webHidden/>
          </w:rPr>
          <w:t>78</w:t>
        </w:r>
        <w:r w:rsidR="008618F2">
          <w:rPr>
            <w:noProof/>
            <w:webHidden/>
          </w:rPr>
          <w:fldChar w:fldCharType="end"/>
        </w:r>
      </w:hyperlink>
    </w:p>
    <w:p w14:paraId="58B85427" w14:textId="2A23EBD6" w:rsidR="008618F2" w:rsidRDefault="009B5CEC" w:rsidP="008618F2">
      <w:pPr>
        <w:pStyle w:val="TOC3"/>
        <w:jc w:val="left"/>
        <w:rPr>
          <w:rFonts w:asciiTheme="minorHAnsi" w:eastAsiaTheme="minorEastAsia" w:hAnsiTheme="minorHAnsi" w:cstheme="minorBidi"/>
          <w:b w:val="0"/>
          <w:noProof/>
          <w:szCs w:val="22"/>
          <w:lang w:eastAsia="en-GB"/>
        </w:rPr>
      </w:pPr>
      <w:hyperlink w:anchor="_Toc134197864" w:history="1">
        <w:r w:rsidR="008618F2" w:rsidRPr="00DC3933">
          <w:rPr>
            <w:rStyle w:val="Hyperlink"/>
            <w:noProof/>
          </w:rPr>
          <w:t>9.3.1</w:t>
        </w:r>
        <w:r w:rsidR="008618F2">
          <w:rPr>
            <w:rFonts w:asciiTheme="minorHAnsi" w:eastAsiaTheme="minorEastAsia" w:hAnsiTheme="minorHAnsi" w:cstheme="minorBidi"/>
            <w:b w:val="0"/>
            <w:noProof/>
            <w:szCs w:val="22"/>
            <w:lang w:eastAsia="en-GB"/>
          </w:rPr>
          <w:tab/>
        </w:r>
        <w:r w:rsidR="008618F2" w:rsidRPr="00DC3933">
          <w:rPr>
            <w:rStyle w:val="Hyperlink"/>
            <w:noProof/>
          </w:rPr>
          <w:t>General</w:t>
        </w:r>
        <w:r w:rsidR="008618F2">
          <w:rPr>
            <w:noProof/>
            <w:webHidden/>
          </w:rPr>
          <w:tab/>
        </w:r>
        <w:r w:rsidR="008618F2">
          <w:rPr>
            <w:noProof/>
            <w:webHidden/>
          </w:rPr>
          <w:fldChar w:fldCharType="begin"/>
        </w:r>
        <w:r w:rsidR="008618F2">
          <w:rPr>
            <w:noProof/>
            <w:webHidden/>
          </w:rPr>
          <w:instrText xml:space="preserve"> PAGEREF _Toc134197864 \h </w:instrText>
        </w:r>
        <w:r w:rsidR="008618F2">
          <w:rPr>
            <w:noProof/>
            <w:webHidden/>
          </w:rPr>
        </w:r>
        <w:r w:rsidR="008618F2">
          <w:rPr>
            <w:noProof/>
            <w:webHidden/>
          </w:rPr>
          <w:fldChar w:fldCharType="separate"/>
        </w:r>
        <w:r w:rsidR="000720CB">
          <w:rPr>
            <w:noProof/>
            <w:webHidden/>
          </w:rPr>
          <w:t>78</w:t>
        </w:r>
        <w:r w:rsidR="008618F2">
          <w:rPr>
            <w:noProof/>
            <w:webHidden/>
          </w:rPr>
          <w:fldChar w:fldCharType="end"/>
        </w:r>
      </w:hyperlink>
    </w:p>
    <w:p w14:paraId="3281534E" w14:textId="129F039C" w:rsidR="008618F2" w:rsidRDefault="009B5CEC" w:rsidP="008618F2">
      <w:pPr>
        <w:pStyle w:val="TOC3"/>
        <w:jc w:val="left"/>
        <w:rPr>
          <w:rFonts w:asciiTheme="minorHAnsi" w:eastAsiaTheme="minorEastAsia" w:hAnsiTheme="minorHAnsi" w:cstheme="minorBidi"/>
          <w:b w:val="0"/>
          <w:noProof/>
          <w:szCs w:val="22"/>
          <w:lang w:eastAsia="en-GB"/>
        </w:rPr>
      </w:pPr>
      <w:hyperlink w:anchor="_Toc134197865" w:history="1">
        <w:r w:rsidR="008618F2" w:rsidRPr="00DC3933">
          <w:rPr>
            <w:rStyle w:val="Hyperlink"/>
            <w:noProof/>
          </w:rPr>
          <w:t>9.3.2</w:t>
        </w:r>
        <w:r w:rsidR="008618F2">
          <w:rPr>
            <w:rFonts w:asciiTheme="minorHAnsi" w:eastAsiaTheme="minorEastAsia" w:hAnsiTheme="minorHAnsi" w:cstheme="minorBidi"/>
            <w:b w:val="0"/>
            <w:noProof/>
            <w:szCs w:val="22"/>
            <w:lang w:eastAsia="en-GB"/>
          </w:rPr>
          <w:tab/>
        </w:r>
        <w:r w:rsidR="008618F2" w:rsidRPr="00DC3933">
          <w:rPr>
            <w:rStyle w:val="Hyperlink"/>
            <w:noProof/>
          </w:rPr>
          <w:t>Non-linear response spectrum analysis</w:t>
        </w:r>
        <w:r w:rsidR="008618F2">
          <w:rPr>
            <w:noProof/>
            <w:webHidden/>
          </w:rPr>
          <w:tab/>
        </w:r>
        <w:r w:rsidR="008618F2">
          <w:rPr>
            <w:noProof/>
            <w:webHidden/>
          </w:rPr>
          <w:fldChar w:fldCharType="begin"/>
        </w:r>
        <w:r w:rsidR="008618F2">
          <w:rPr>
            <w:noProof/>
            <w:webHidden/>
          </w:rPr>
          <w:instrText xml:space="preserve"> PAGEREF _Toc134197865 \h </w:instrText>
        </w:r>
        <w:r w:rsidR="008618F2">
          <w:rPr>
            <w:noProof/>
            <w:webHidden/>
          </w:rPr>
        </w:r>
        <w:r w:rsidR="008618F2">
          <w:rPr>
            <w:noProof/>
            <w:webHidden/>
          </w:rPr>
          <w:fldChar w:fldCharType="separate"/>
        </w:r>
        <w:r w:rsidR="000720CB">
          <w:rPr>
            <w:noProof/>
            <w:webHidden/>
          </w:rPr>
          <w:t>78</w:t>
        </w:r>
        <w:r w:rsidR="008618F2">
          <w:rPr>
            <w:noProof/>
            <w:webHidden/>
          </w:rPr>
          <w:fldChar w:fldCharType="end"/>
        </w:r>
      </w:hyperlink>
    </w:p>
    <w:p w14:paraId="2665A9D5" w14:textId="13B1BCEB" w:rsidR="008618F2" w:rsidRDefault="009B5CEC" w:rsidP="008618F2">
      <w:pPr>
        <w:pStyle w:val="TOC3"/>
        <w:jc w:val="left"/>
        <w:rPr>
          <w:rFonts w:asciiTheme="minorHAnsi" w:eastAsiaTheme="minorEastAsia" w:hAnsiTheme="minorHAnsi" w:cstheme="minorBidi"/>
          <w:b w:val="0"/>
          <w:noProof/>
          <w:szCs w:val="22"/>
          <w:lang w:eastAsia="en-GB"/>
        </w:rPr>
      </w:pPr>
      <w:hyperlink w:anchor="_Toc134197866" w:history="1">
        <w:r w:rsidR="008618F2" w:rsidRPr="00DC3933">
          <w:rPr>
            <w:rStyle w:val="Hyperlink"/>
            <w:noProof/>
          </w:rPr>
          <w:t>9.3.3</w:t>
        </w:r>
        <w:r w:rsidR="008618F2">
          <w:rPr>
            <w:rFonts w:asciiTheme="minorHAnsi" w:eastAsiaTheme="minorEastAsia" w:hAnsiTheme="minorHAnsi" w:cstheme="minorBidi"/>
            <w:b w:val="0"/>
            <w:noProof/>
            <w:szCs w:val="22"/>
            <w:lang w:eastAsia="en-GB"/>
          </w:rPr>
          <w:tab/>
        </w:r>
        <w:r w:rsidR="008618F2" w:rsidRPr="00DC3933">
          <w:rPr>
            <w:rStyle w:val="Hyperlink"/>
            <w:noProof/>
          </w:rPr>
          <w:t>Energy-balance based analysis</w:t>
        </w:r>
        <w:r w:rsidR="008618F2">
          <w:rPr>
            <w:noProof/>
            <w:webHidden/>
          </w:rPr>
          <w:tab/>
        </w:r>
        <w:r w:rsidR="008618F2">
          <w:rPr>
            <w:noProof/>
            <w:webHidden/>
          </w:rPr>
          <w:fldChar w:fldCharType="begin"/>
        </w:r>
        <w:r w:rsidR="008618F2">
          <w:rPr>
            <w:noProof/>
            <w:webHidden/>
          </w:rPr>
          <w:instrText xml:space="preserve"> PAGEREF _Toc134197866 \h </w:instrText>
        </w:r>
        <w:r w:rsidR="008618F2">
          <w:rPr>
            <w:noProof/>
            <w:webHidden/>
          </w:rPr>
        </w:r>
        <w:r w:rsidR="008618F2">
          <w:rPr>
            <w:noProof/>
            <w:webHidden/>
          </w:rPr>
          <w:fldChar w:fldCharType="separate"/>
        </w:r>
        <w:r w:rsidR="000720CB">
          <w:rPr>
            <w:noProof/>
            <w:webHidden/>
          </w:rPr>
          <w:t>87</w:t>
        </w:r>
        <w:r w:rsidR="008618F2">
          <w:rPr>
            <w:noProof/>
            <w:webHidden/>
          </w:rPr>
          <w:fldChar w:fldCharType="end"/>
        </w:r>
      </w:hyperlink>
    </w:p>
    <w:p w14:paraId="253129B2" w14:textId="0CCC1BEF" w:rsidR="008618F2" w:rsidRDefault="009B5CEC" w:rsidP="008618F2">
      <w:pPr>
        <w:pStyle w:val="TOC3"/>
        <w:jc w:val="left"/>
        <w:rPr>
          <w:rFonts w:asciiTheme="minorHAnsi" w:eastAsiaTheme="minorEastAsia" w:hAnsiTheme="minorHAnsi" w:cstheme="minorBidi"/>
          <w:b w:val="0"/>
          <w:noProof/>
          <w:szCs w:val="22"/>
          <w:lang w:eastAsia="en-GB"/>
        </w:rPr>
      </w:pPr>
      <w:hyperlink w:anchor="_Toc134197867" w:history="1">
        <w:r w:rsidR="008618F2" w:rsidRPr="00DC3933">
          <w:rPr>
            <w:rStyle w:val="Hyperlink"/>
            <w:noProof/>
          </w:rPr>
          <w:t>9.3.4</w:t>
        </w:r>
        <w:r w:rsidR="008618F2">
          <w:rPr>
            <w:rFonts w:asciiTheme="minorHAnsi" w:eastAsiaTheme="minorEastAsia" w:hAnsiTheme="minorHAnsi" w:cstheme="minorBidi"/>
            <w:b w:val="0"/>
            <w:noProof/>
            <w:szCs w:val="22"/>
            <w:lang w:eastAsia="en-GB"/>
          </w:rPr>
          <w:tab/>
        </w:r>
        <w:r w:rsidR="008618F2" w:rsidRPr="00DC3933">
          <w:rPr>
            <w:rStyle w:val="Hyperlink"/>
            <w:noProof/>
          </w:rPr>
          <w:t>Non-linear response history analysis</w:t>
        </w:r>
        <w:r w:rsidR="008618F2">
          <w:rPr>
            <w:noProof/>
            <w:webHidden/>
          </w:rPr>
          <w:tab/>
        </w:r>
        <w:r w:rsidR="008618F2">
          <w:rPr>
            <w:noProof/>
            <w:webHidden/>
          </w:rPr>
          <w:fldChar w:fldCharType="begin"/>
        </w:r>
        <w:r w:rsidR="008618F2">
          <w:rPr>
            <w:noProof/>
            <w:webHidden/>
          </w:rPr>
          <w:instrText xml:space="preserve"> PAGEREF _Toc134197867 \h </w:instrText>
        </w:r>
        <w:r w:rsidR="008618F2">
          <w:rPr>
            <w:noProof/>
            <w:webHidden/>
          </w:rPr>
        </w:r>
        <w:r w:rsidR="008618F2">
          <w:rPr>
            <w:noProof/>
            <w:webHidden/>
          </w:rPr>
          <w:fldChar w:fldCharType="separate"/>
        </w:r>
        <w:r w:rsidR="000720CB">
          <w:rPr>
            <w:noProof/>
            <w:webHidden/>
          </w:rPr>
          <w:t>92</w:t>
        </w:r>
        <w:r w:rsidR="008618F2">
          <w:rPr>
            <w:noProof/>
            <w:webHidden/>
          </w:rPr>
          <w:fldChar w:fldCharType="end"/>
        </w:r>
      </w:hyperlink>
    </w:p>
    <w:p w14:paraId="6A1958EB" w14:textId="13D35C5E" w:rsidR="008618F2" w:rsidRDefault="009B5CEC" w:rsidP="008618F2">
      <w:pPr>
        <w:pStyle w:val="TOC3"/>
        <w:jc w:val="left"/>
        <w:rPr>
          <w:rFonts w:asciiTheme="minorHAnsi" w:eastAsiaTheme="minorEastAsia" w:hAnsiTheme="minorHAnsi" w:cstheme="minorBidi"/>
          <w:b w:val="0"/>
          <w:noProof/>
          <w:szCs w:val="22"/>
          <w:lang w:eastAsia="en-GB"/>
        </w:rPr>
      </w:pPr>
      <w:hyperlink w:anchor="_Toc134197868" w:history="1">
        <w:r w:rsidR="008618F2" w:rsidRPr="00DC3933">
          <w:rPr>
            <w:rStyle w:val="Hyperlink"/>
            <w:noProof/>
          </w:rPr>
          <w:t>9.3.5</w:t>
        </w:r>
        <w:r w:rsidR="008618F2">
          <w:rPr>
            <w:rFonts w:asciiTheme="minorHAnsi" w:eastAsiaTheme="minorEastAsia" w:hAnsiTheme="minorHAnsi" w:cstheme="minorBidi"/>
            <w:b w:val="0"/>
            <w:noProof/>
            <w:szCs w:val="22"/>
            <w:lang w:eastAsia="en-GB"/>
          </w:rPr>
          <w:tab/>
        </w:r>
        <w:r w:rsidR="008618F2" w:rsidRPr="00DC3933">
          <w:rPr>
            <w:rStyle w:val="Hyperlink"/>
            <w:noProof/>
          </w:rPr>
          <w:t>Combination of the effects of the components of seismic action</w:t>
        </w:r>
        <w:r w:rsidR="008618F2">
          <w:rPr>
            <w:noProof/>
            <w:webHidden/>
          </w:rPr>
          <w:tab/>
        </w:r>
        <w:r w:rsidR="008618F2">
          <w:rPr>
            <w:noProof/>
            <w:webHidden/>
          </w:rPr>
          <w:fldChar w:fldCharType="begin"/>
        </w:r>
        <w:r w:rsidR="008618F2">
          <w:rPr>
            <w:noProof/>
            <w:webHidden/>
          </w:rPr>
          <w:instrText xml:space="preserve"> PAGEREF _Toc134197868 \h </w:instrText>
        </w:r>
        <w:r w:rsidR="008618F2">
          <w:rPr>
            <w:noProof/>
            <w:webHidden/>
          </w:rPr>
        </w:r>
        <w:r w:rsidR="008618F2">
          <w:rPr>
            <w:noProof/>
            <w:webHidden/>
          </w:rPr>
          <w:fldChar w:fldCharType="separate"/>
        </w:r>
        <w:r w:rsidR="000720CB">
          <w:rPr>
            <w:noProof/>
            <w:webHidden/>
          </w:rPr>
          <w:t>92</w:t>
        </w:r>
        <w:r w:rsidR="008618F2">
          <w:rPr>
            <w:noProof/>
            <w:webHidden/>
          </w:rPr>
          <w:fldChar w:fldCharType="end"/>
        </w:r>
      </w:hyperlink>
    </w:p>
    <w:p w14:paraId="6975259B" w14:textId="2EAEC020" w:rsidR="008618F2" w:rsidRDefault="009B5CEC" w:rsidP="008618F2">
      <w:pPr>
        <w:pStyle w:val="TOC2"/>
        <w:jc w:val="left"/>
        <w:rPr>
          <w:rFonts w:asciiTheme="minorHAnsi" w:eastAsiaTheme="minorEastAsia" w:hAnsiTheme="minorHAnsi" w:cstheme="minorBidi"/>
          <w:b w:val="0"/>
          <w:noProof/>
          <w:szCs w:val="22"/>
          <w:lang w:eastAsia="en-GB"/>
        </w:rPr>
      </w:pPr>
      <w:hyperlink w:anchor="_Toc134197869" w:history="1">
        <w:r w:rsidR="008618F2" w:rsidRPr="00DC3933">
          <w:rPr>
            <w:rStyle w:val="Hyperlink"/>
            <w:noProof/>
          </w:rPr>
          <w:t>9.4</w:t>
        </w:r>
        <w:r w:rsidR="008618F2">
          <w:rPr>
            <w:rFonts w:asciiTheme="minorHAnsi" w:eastAsiaTheme="minorEastAsia" w:hAnsiTheme="minorHAnsi" w:cstheme="minorBidi"/>
            <w:b w:val="0"/>
            <w:noProof/>
            <w:szCs w:val="22"/>
            <w:lang w:eastAsia="en-GB"/>
          </w:rPr>
          <w:tab/>
        </w:r>
        <w:r w:rsidR="008618F2" w:rsidRPr="00DC3933">
          <w:rPr>
            <w:rStyle w:val="Hyperlink"/>
            <w:noProof/>
          </w:rPr>
          <w:t>Verification to Limit States</w:t>
        </w:r>
        <w:r w:rsidR="008618F2">
          <w:rPr>
            <w:noProof/>
            <w:webHidden/>
          </w:rPr>
          <w:tab/>
        </w:r>
        <w:r w:rsidR="008618F2">
          <w:rPr>
            <w:noProof/>
            <w:webHidden/>
          </w:rPr>
          <w:fldChar w:fldCharType="begin"/>
        </w:r>
        <w:r w:rsidR="008618F2">
          <w:rPr>
            <w:noProof/>
            <w:webHidden/>
          </w:rPr>
          <w:instrText xml:space="preserve"> PAGEREF _Toc134197869 \h </w:instrText>
        </w:r>
        <w:r w:rsidR="008618F2">
          <w:rPr>
            <w:noProof/>
            <w:webHidden/>
          </w:rPr>
        </w:r>
        <w:r w:rsidR="008618F2">
          <w:rPr>
            <w:noProof/>
            <w:webHidden/>
          </w:rPr>
          <w:fldChar w:fldCharType="separate"/>
        </w:r>
        <w:r w:rsidR="000720CB">
          <w:rPr>
            <w:noProof/>
            <w:webHidden/>
          </w:rPr>
          <w:t>92</w:t>
        </w:r>
        <w:r w:rsidR="008618F2">
          <w:rPr>
            <w:noProof/>
            <w:webHidden/>
          </w:rPr>
          <w:fldChar w:fldCharType="end"/>
        </w:r>
      </w:hyperlink>
    </w:p>
    <w:p w14:paraId="4E309D46" w14:textId="76E0FB98" w:rsidR="008618F2" w:rsidRDefault="009B5CEC" w:rsidP="008618F2">
      <w:pPr>
        <w:pStyle w:val="TOC3"/>
        <w:jc w:val="left"/>
        <w:rPr>
          <w:rFonts w:asciiTheme="minorHAnsi" w:eastAsiaTheme="minorEastAsia" w:hAnsiTheme="minorHAnsi" w:cstheme="minorBidi"/>
          <w:b w:val="0"/>
          <w:noProof/>
          <w:szCs w:val="22"/>
          <w:lang w:eastAsia="en-GB"/>
        </w:rPr>
      </w:pPr>
      <w:hyperlink w:anchor="_Toc134197870" w:history="1">
        <w:r w:rsidR="008618F2" w:rsidRPr="00DC3933">
          <w:rPr>
            <w:rStyle w:val="Hyperlink"/>
            <w:noProof/>
          </w:rPr>
          <w:t>9.4.1</w:t>
        </w:r>
        <w:r w:rsidR="008618F2">
          <w:rPr>
            <w:rFonts w:asciiTheme="minorHAnsi" w:eastAsiaTheme="minorEastAsia" w:hAnsiTheme="minorHAnsi" w:cstheme="minorBidi"/>
            <w:b w:val="0"/>
            <w:noProof/>
            <w:szCs w:val="22"/>
            <w:lang w:eastAsia="en-GB"/>
          </w:rPr>
          <w:tab/>
        </w:r>
        <w:r w:rsidR="008618F2" w:rsidRPr="00DC3933">
          <w:rPr>
            <w:rStyle w:val="Hyperlink"/>
            <w:noProof/>
          </w:rPr>
          <w:t>General</w:t>
        </w:r>
        <w:r w:rsidR="008618F2">
          <w:rPr>
            <w:noProof/>
            <w:webHidden/>
          </w:rPr>
          <w:tab/>
        </w:r>
        <w:r w:rsidR="008618F2">
          <w:rPr>
            <w:noProof/>
            <w:webHidden/>
          </w:rPr>
          <w:fldChar w:fldCharType="begin"/>
        </w:r>
        <w:r w:rsidR="008618F2">
          <w:rPr>
            <w:noProof/>
            <w:webHidden/>
          </w:rPr>
          <w:instrText xml:space="preserve"> PAGEREF _Toc134197870 \h </w:instrText>
        </w:r>
        <w:r w:rsidR="008618F2">
          <w:rPr>
            <w:noProof/>
            <w:webHidden/>
          </w:rPr>
        </w:r>
        <w:r w:rsidR="008618F2">
          <w:rPr>
            <w:noProof/>
            <w:webHidden/>
          </w:rPr>
          <w:fldChar w:fldCharType="separate"/>
        </w:r>
        <w:r w:rsidR="000720CB">
          <w:rPr>
            <w:noProof/>
            <w:webHidden/>
          </w:rPr>
          <w:t>92</w:t>
        </w:r>
        <w:r w:rsidR="008618F2">
          <w:rPr>
            <w:noProof/>
            <w:webHidden/>
          </w:rPr>
          <w:fldChar w:fldCharType="end"/>
        </w:r>
      </w:hyperlink>
    </w:p>
    <w:p w14:paraId="3A0E6AD6" w14:textId="7983C292" w:rsidR="008618F2" w:rsidRDefault="009B5CEC" w:rsidP="008618F2">
      <w:pPr>
        <w:pStyle w:val="TOC3"/>
        <w:jc w:val="left"/>
        <w:rPr>
          <w:rFonts w:asciiTheme="minorHAnsi" w:eastAsiaTheme="minorEastAsia" w:hAnsiTheme="minorHAnsi" w:cstheme="minorBidi"/>
          <w:b w:val="0"/>
          <w:noProof/>
          <w:szCs w:val="22"/>
          <w:lang w:eastAsia="en-GB"/>
        </w:rPr>
      </w:pPr>
      <w:hyperlink w:anchor="_Toc134197871" w:history="1">
        <w:r w:rsidR="008618F2" w:rsidRPr="00DC3933">
          <w:rPr>
            <w:rStyle w:val="Hyperlink"/>
            <w:noProof/>
          </w:rPr>
          <w:t>9.4.2</w:t>
        </w:r>
        <w:r w:rsidR="008618F2">
          <w:rPr>
            <w:rFonts w:asciiTheme="minorHAnsi" w:eastAsiaTheme="minorEastAsia" w:hAnsiTheme="minorHAnsi" w:cstheme="minorBidi"/>
            <w:b w:val="0"/>
            <w:noProof/>
            <w:szCs w:val="22"/>
            <w:lang w:eastAsia="en-GB"/>
          </w:rPr>
          <w:tab/>
        </w:r>
        <w:r w:rsidR="008618F2" w:rsidRPr="00DC3933">
          <w:rPr>
            <w:rStyle w:val="Hyperlink"/>
            <w:noProof/>
          </w:rPr>
          <w:t>Verification to Significant Damage (SD) limit state</w:t>
        </w:r>
        <w:r w:rsidR="008618F2">
          <w:rPr>
            <w:noProof/>
            <w:webHidden/>
          </w:rPr>
          <w:tab/>
        </w:r>
        <w:r w:rsidR="008618F2">
          <w:rPr>
            <w:noProof/>
            <w:webHidden/>
          </w:rPr>
          <w:fldChar w:fldCharType="begin"/>
        </w:r>
        <w:r w:rsidR="008618F2">
          <w:rPr>
            <w:noProof/>
            <w:webHidden/>
          </w:rPr>
          <w:instrText xml:space="preserve"> PAGEREF _Toc134197871 \h </w:instrText>
        </w:r>
        <w:r w:rsidR="008618F2">
          <w:rPr>
            <w:noProof/>
            <w:webHidden/>
          </w:rPr>
        </w:r>
        <w:r w:rsidR="008618F2">
          <w:rPr>
            <w:noProof/>
            <w:webHidden/>
          </w:rPr>
          <w:fldChar w:fldCharType="separate"/>
        </w:r>
        <w:r w:rsidR="000720CB">
          <w:rPr>
            <w:noProof/>
            <w:webHidden/>
          </w:rPr>
          <w:t>92</w:t>
        </w:r>
        <w:r w:rsidR="008618F2">
          <w:rPr>
            <w:noProof/>
            <w:webHidden/>
          </w:rPr>
          <w:fldChar w:fldCharType="end"/>
        </w:r>
      </w:hyperlink>
    </w:p>
    <w:p w14:paraId="56255681" w14:textId="118A4333" w:rsidR="008618F2" w:rsidRDefault="009B5CEC" w:rsidP="008618F2">
      <w:pPr>
        <w:pStyle w:val="TOC3"/>
        <w:jc w:val="left"/>
        <w:rPr>
          <w:rFonts w:asciiTheme="minorHAnsi" w:eastAsiaTheme="minorEastAsia" w:hAnsiTheme="minorHAnsi" w:cstheme="minorBidi"/>
          <w:b w:val="0"/>
          <w:noProof/>
          <w:szCs w:val="22"/>
          <w:lang w:eastAsia="en-GB"/>
        </w:rPr>
      </w:pPr>
      <w:hyperlink w:anchor="_Toc134197872" w:history="1">
        <w:r w:rsidR="008618F2" w:rsidRPr="00DC3933">
          <w:rPr>
            <w:rStyle w:val="Hyperlink"/>
            <w:noProof/>
          </w:rPr>
          <w:t>9.4.3</w:t>
        </w:r>
        <w:r w:rsidR="008618F2">
          <w:rPr>
            <w:rFonts w:asciiTheme="minorHAnsi" w:eastAsiaTheme="minorEastAsia" w:hAnsiTheme="minorHAnsi" w:cstheme="minorBidi"/>
            <w:b w:val="0"/>
            <w:noProof/>
            <w:szCs w:val="22"/>
            <w:lang w:eastAsia="en-GB"/>
          </w:rPr>
          <w:tab/>
        </w:r>
        <w:r w:rsidR="008618F2" w:rsidRPr="00DC3933">
          <w:rPr>
            <w:rStyle w:val="Hyperlink"/>
            <w:noProof/>
          </w:rPr>
          <w:t>Verification to Near Collapse (NC) limit state</w:t>
        </w:r>
        <w:r w:rsidR="008618F2">
          <w:rPr>
            <w:noProof/>
            <w:webHidden/>
          </w:rPr>
          <w:tab/>
        </w:r>
        <w:r w:rsidR="008618F2">
          <w:rPr>
            <w:noProof/>
            <w:webHidden/>
          </w:rPr>
          <w:fldChar w:fldCharType="begin"/>
        </w:r>
        <w:r w:rsidR="008618F2">
          <w:rPr>
            <w:noProof/>
            <w:webHidden/>
          </w:rPr>
          <w:instrText xml:space="preserve"> PAGEREF _Toc134197872 \h </w:instrText>
        </w:r>
        <w:r w:rsidR="008618F2">
          <w:rPr>
            <w:noProof/>
            <w:webHidden/>
          </w:rPr>
        </w:r>
        <w:r w:rsidR="008618F2">
          <w:rPr>
            <w:noProof/>
            <w:webHidden/>
          </w:rPr>
          <w:fldChar w:fldCharType="separate"/>
        </w:r>
        <w:r w:rsidR="000720CB">
          <w:rPr>
            <w:noProof/>
            <w:webHidden/>
          </w:rPr>
          <w:t>92</w:t>
        </w:r>
        <w:r w:rsidR="008618F2">
          <w:rPr>
            <w:noProof/>
            <w:webHidden/>
          </w:rPr>
          <w:fldChar w:fldCharType="end"/>
        </w:r>
      </w:hyperlink>
    </w:p>
    <w:p w14:paraId="717466A1" w14:textId="4FE2045E" w:rsidR="008618F2" w:rsidRDefault="009B5CEC" w:rsidP="008618F2">
      <w:pPr>
        <w:pStyle w:val="TOC3"/>
        <w:jc w:val="left"/>
        <w:rPr>
          <w:rFonts w:asciiTheme="minorHAnsi" w:eastAsiaTheme="minorEastAsia" w:hAnsiTheme="minorHAnsi" w:cstheme="minorBidi"/>
          <w:b w:val="0"/>
          <w:noProof/>
          <w:szCs w:val="22"/>
          <w:lang w:eastAsia="en-GB"/>
        </w:rPr>
      </w:pPr>
      <w:hyperlink w:anchor="_Toc134197873" w:history="1">
        <w:r w:rsidR="008618F2" w:rsidRPr="00DC3933">
          <w:rPr>
            <w:rStyle w:val="Hyperlink"/>
            <w:noProof/>
          </w:rPr>
          <w:t>9.4.4</w:t>
        </w:r>
        <w:r w:rsidR="008618F2">
          <w:rPr>
            <w:rFonts w:asciiTheme="minorHAnsi" w:eastAsiaTheme="minorEastAsia" w:hAnsiTheme="minorHAnsi" w:cstheme="minorBidi"/>
            <w:b w:val="0"/>
            <w:noProof/>
            <w:szCs w:val="22"/>
            <w:lang w:eastAsia="en-GB"/>
          </w:rPr>
          <w:tab/>
        </w:r>
        <w:r w:rsidR="008618F2" w:rsidRPr="00DC3933">
          <w:rPr>
            <w:rStyle w:val="Hyperlink"/>
            <w:noProof/>
          </w:rPr>
          <w:t>Verification to Damage Limitation (DL) limit state</w:t>
        </w:r>
        <w:r w:rsidR="008618F2">
          <w:rPr>
            <w:noProof/>
            <w:webHidden/>
          </w:rPr>
          <w:tab/>
        </w:r>
        <w:r w:rsidR="008618F2">
          <w:rPr>
            <w:noProof/>
            <w:webHidden/>
          </w:rPr>
          <w:fldChar w:fldCharType="begin"/>
        </w:r>
        <w:r w:rsidR="008618F2">
          <w:rPr>
            <w:noProof/>
            <w:webHidden/>
          </w:rPr>
          <w:instrText xml:space="preserve"> PAGEREF _Toc134197873 \h </w:instrText>
        </w:r>
        <w:r w:rsidR="008618F2">
          <w:rPr>
            <w:noProof/>
            <w:webHidden/>
          </w:rPr>
        </w:r>
        <w:r w:rsidR="008618F2">
          <w:rPr>
            <w:noProof/>
            <w:webHidden/>
          </w:rPr>
          <w:fldChar w:fldCharType="separate"/>
        </w:r>
        <w:r w:rsidR="000720CB">
          <w:rPr>
            <w:noProof/>
            <w:webHidden/>
          </w:rPr>
          <w:t>93</w:t>
        </w:r>
        <w:r w:rsidR="008618F2">
          <w:rPr>
            <w:noProof/>
            <w:webHidden/>
          </w:rPr>
          <w:fldChar w:fldCharType="end"/>
        </w:r>
      </w:hyperlink>
    </w:p>
    <w:p w14:paraId="1992318A" w14:textId="041E29A3" w:rsidR="008618F2" w:rsidRDefault="009B5CEC" w:rsidP="008618F2">
      <w:pPr>
        <w:pStyle w:val="TOC3"/>
        <w:jc w:val="left"/>
        <w:rPr>
          <w:rFonts w:asciiTheme="minorHAnsi" w:eastAsiaTheme="minorEastAsia" w:hAnsiTheme="minorHAnsi" w:cstheme="minorBidi"/>
          <w:b w:val="0"/>
          <w:noProof/>
          <w:szCs w:val="22"/>
          <w:lang w:eastAsia="en-GB"/>
        </w:rPr>
      </w:pPr>
      <w:hyperlink w:anchor="_Toc134197874" w:history="1">
        <w:r w:rsidR="008618F2" w:rsidRPr="00DC3933">
          <w:rPr>
            <w:rStyle w:val="Hyperlink"/>
            <w:noProof/>
          </w:rPr>
          <w:t>9.4.5</w:t>
        </w:r>
        <w:r w:rsidR="008618F2">
          <w:rPr>
            <w:rFonts w:asciiTheme="minorHAnsi" w:eastAsiaTheme="minorEastAsia" w:hAnsiTheme="minorHAnsi" w:cstheme="minorBidi"/>
            <w:b w:val="0"/>
            <w:noProof/>
            <w:szCs w:val="22"/>
            <w:lang w:eastAsia="en-GB"/>
          </w:rPr>
          <w:tab/>
        </w:r>
        <w:r w:rsidR="008618F2" w:rsidRPr="00DC3933">
          <w:rPr>
            <w:rStyle w:val="Hyperlink"/>
            <w:noProof/>
          </w:rPr>
          <w:t>Verification of fully Operational (OP) limit state</w:t>
        </w:r>
        <w:r w:rsidR="008618F2">
          <w:rPr>
            <w:noProof/>
            <w:webHidden/>
          </w:rPr>
          <w:tab/>
        </w:r>
        <w:r w:rsidR="008618F2">
          <w:rPr>
            <w:noProof/>
            <w:webHidden/>
          </w:rPr>
          <w:fldChar w:fldCharType="begin"/>
        </w:r>
        <w:r w:rsidR="008618F2">
          <w:rPr>
            <w:noProof/>
            <w:webHidden/>
          </w:rPr>
          <w:instrText xml:space="preserve"> PAGEREF _Toc134197874 \h </w:instrText>
        </w:r>
        <w:r w:rsidR="008618F2">
          <w:rPr>
            <w:noProof/>
            <w:webHidden/>
          </w:rPr>
        </w:r>
        <w:r w:rsidR="008618F2">
          <w:rPr>
            <w:noProof/>
            <w:webHidden/>
          </w:rPr>
          <w:fldChar w:fldCharType="separate"/>
        </w:r>
        <w:r w:rsidR="000720CB">
          <w:rPr>
            <w:noProof/>
            <w:webHidden/>
          </w:rPr>
          <w:t>93</w:t>
        </w:r>
        <w:r w:rsidR="008618F2">
          <w:rPr>
            <w:noProof/>
            <w:webHidden/>
          </w:rPr>
          <w:fldChar w:fldCharType="end"/>
        </w:r>
      </w:hyperlink>
    </w:p>
    <w:p w14:paraId="18834923" w14:textId="11B044F7" w:rsidR="008618F2" w:rsidRDefault="009B5CEC" w:rsidP="008618F2">
      <w:pPr>
        <w:pStyle w:val="TOC1"/>
        <w:jc w:val="left"/>
        <w:rPr>
          <w:rFonts w:asciiTheme="minorHAnsi" w:eastAsiaTheme="minorEastAsia" w:hAnsiTheme="minorHAnsi" w:cstheme="minorBidi"/>
          <w:b w:val="0"/>
          <w:noProof/>
          <w:szCs w:val="22"/>
          <w:lang w:eastAsia="en-GB"/>
        </w:rPr>
      </w:pPr>
      <w:hyperlink w:anchor="_Toc134197875" w:history="1">
        <w:r w:rsidR="008618F2" w:rsidRPr="00DC3933">
          <w:rPr>
            <w:rStyle w:val="Hyperlink"/>
            <w:noProof/>
          </w:rPr>
          <w:t>10</w:t>
        </w:r>
        <w:r w:rsidR="008618F2">
          <w:rPr>
            <w:rFonts w:asciiTheme="minorHAnsi" w:eastAsiaTheme="minorEastAsia" w:hAnsiTheme="minorHAnsi" w:cstheme="minorBidi"/>
            <w:b w:val="0"/>
            <w:noProof/>
            <w:szCs w:val="22"/>
            <w:lang w:eastAsia="en-GB"/>
          </w:rPr>
          <w:tab/>
        </w:r>
        <w:r w:rsidR="008618F2" w:rsidRPr="00DC3933">
          <w:rPr>
            <w:rStyle w:val="Hyperlink"/>
            <w:noProof/>
          </w:rPr>
          <w:t>Specific rules for concrete buildings</w:t>
        </w:r>
        <w:r w:rsidR="008618F2">
          <w:rPr>
            <w:noProof/>
            <w:webHidden/>
          </w:rPr>
          <w:tab/>
        </w:r>
        <w:r w:rsidR="008618F2">
          <w:rPr>
            <w:noProof/>
            <w:webHidden/>
          </w:rPr>
          <w:fldChar w:fldCharType="begin"/>
        </w:r>
        <w:r w:rsidR="008618F2">
          <w:rPr>
            <w:noProof/>
            <w:webHidden/>
          </w:rPr>
          <w:instrText xml:space="preserve"> PAGEREF _Toc134197875 \h </w:instrText>
        </w:r>
        <w:r w:rsidR="008618F2">
          <w:rPr>
            <w:noProof/>
            <w:webHidden/>
          </w:rPr>
        </w:r>
        <w:r w:rsidR="008618F2">
          <w:rPr>
            <w:noProof/>
            <w:webHidden/>
          </w:rPr>
          <w:fldChar w:fldCharType="separate"/>
        </w:r>
        <w:r w:rsidR="000720CB">
          <w:rPr>
            <w:noProof/>
            <w:webHidden/>
          </w:rPr>
          <w:t>93</w:t>
        </w:r>
        <w:r w:rsidR="008618F2">
          <w:rPr>
            <w:noProof/>
            <w:webHidden/>
          </w:rPr>
          <w:fldChar w:fldCharType="end"/>
        </w:r>
      </w:hyperlink>
    </w:p>
    <w:p w14:paraId="7F997A8F" w14:textId="22B05658" w:rsidR="008618F2" w:rsidRDefault="009B5CEC" w:rsidP="008618F2">
      <w:pPr>
        <w:pStyle w:val="TOC2"/>
        <w:jc w:val="left"/>
        <w:rPr>
          <w:rFonts w:asciiTheme="minorHAnsi" w:eastAsiaTheme="minorEastAsia" w:hAnsiTheme="minorHAnsi" w:cstheme="minorBidi"/>
          <w:b w:val="0"/>
          <w:noProof/>
          <w:szCs w:val="22"/>
          <w:lang w:eastAsia="en-GB"/>
        </w:rPr>
      </w:pPr>
      <w:hyperlink w:anchor="_Toc134197876" w:history="1">
        <w:r w:rsidR="008618F2" w:rsidRPr="00DC3933">
          <w:rPr>
            <w:rStyle w:val="Hyperlink"/>
            <w:noProof/>
          </w:rPr>
          <w:t>10.1</w:t>
        </w:r>
        <w:r w:rsidR="008618F2">
          <w:rPr>
            <w:rFonts w:asciiTheme="minorHAnsi" w:eastAsiaTheme="minorEastAsia" w:hAnsiTheme="minorHAnsi" w:cstheme="minorBidi"/>
            <w:b w:val="0"/>
            <w:noProof/>
            <w:szCs w:val="22"/>
            <w:lang w:eastAsia="en-GB"/>
          </w:rPr>
          <w:tab/>
        </w:r>
        <w:r w:rsidR="008618F2" w:rsidRPr="00DC3933">
          <w:rPr>
            <w:rStyle w:val="Hyperlink"/>
            <w:noProof/>
          </w:rPr>
          <w:t>General</w:t>
        </w:r>
        <w:r w:rsidR="008618F2">
          <w:rPr>
            <w:noProof/>
            <w:webHidden/>
          </w:rPr>
          <w:tab/>
        </w:r>
        <w:r w:rsidR="008618F2">
          <w:rPr>
            <w:noProof/>
            <w:webHidden/>
          </w:rPr>
          <w:fldChar w:fldCharType="begin"/>
        </w:r>
        <w:r w:rsidR="008618F2">
          <w:rPr>
            <w:noProof/>
            <w:webHidden/>
          </w:rPr>
          <w:instrText xml:space="preserve"> PAGEREF _Toc134197876 \h </w:instrText>
        </w:r>
        <w:r w:rsidR="008618F2">
          <w:rPr>
            <w:noProof/>
            <w:webHidden/>
          </w:rPr>
        </w:r>
        <w:r w:rsidR="008618F2">
          <w:rPr>
            <w:noProof/>
            <w:webHidden/>
          </w:rPr>
          <w:fldChar w:fldCharType="separate"/>
        </w:r>
        <w:r w:rsidR="000720CB">
          <w:rPr>
            <w:noProof/>
            <w:webHidden/>
          </w:rPr>
          <w:t>93</w:t>
        </w:r>
        <w:r w:rsidR="008618F2">
          <w:rPr>
            <w:noProof/>
            <w:webHidden/>
          </w:rPr>
          <w:fldChar w:fldCharType="end"/>
        </w:r>
      </w:hyperlink>
    </w:p>
    <w:p w14:paraId="3DFFBEA7" w14:textId="65AF4FF7" w:rsidR="008618F2" w:rsidRDefault="009B5CEC" w:rsidP="008618F2">
      <w:pPr>
        <w:pStyle w:val="TOC2"/>
        <w:jc w:val="left"/>
        <w:rPr>
          <w:rFonts w:asciiTheme="minorHAnsi" w:eastAsiaTheme="minorEastAsia" w:hAnsiTheme="minorHAnsi" w:cstheme="minorBidi"/>
          <w:b w:val="0"/>
          <w:noProof/>
          <w:szCs w:val="22"/>
          <w:lang w:eastAsia="en-GB"/>
        </w:rPr>
      </w:pPr>
      <w:hyperlink w:anchor="_Toc134197877" w:history="1">
        <w:r w:rsidR="008618F2" w:rsidRPr="00DC3933">
          <w:rPr>
            <w:rStyle w:val="Hyperlink"/>
            <w:noProof/>
          </w:rPr>
          <w:t>10.2</w:t>
        </w:r>
        <w:r w:rsidR="008618F2">
          <w:rPr>
            <w:rFonts w:asciiTheme="minorHAnsi" w:eastAsiaTheme="minorEastAsia" w:hAnsiTheme="minorHAnsi" w:cstheme="minorBidi"/>
            <w:b w:val="0"/>
            <w:noProof/>
            <w:szCs w:val="22"/>
            <w:lang w:eastAsia="en-GB"/>
          </w:rPr>
          <w:tab/>
        </w:r>
        <w:r w:rsidR="008618F2" w:rsidRPr="00DC3933">
          <w:rPr>
            <w:rStyle w:val="Hyperlink"/>
            <w:noProof/>
          </w:rPr>
          <w:t>Basis of design and design criteria</w:t>
        </w:r>
        <w:r w:rsidR="008618F2">
          <w:rPr>
            <w:noProof/>
            <w:webHidden/>
          </w:rPr>
          <w:tab/>
        </w:r>
        <w:r w:rsidR="008618F2">
          <w:rPr>
            <w:noProof/>
            <w:webHidden/>
          </w:rPr>
          <w:fldChar w:fldCharType="begin"/>
        </w:r>
        <w:r w:rsidR="008618F2">
          <w:rPr>
            <w:noProof/>
            <w:webHidden/>
          </w:rPr>
          <w:instrText xml:space="preserve"> PAGEREF _Toc134197877 \h </w:instrText>
        </w:r>
        <w:r w:rsidR="008618F2">
          <w:rPr>
            <w:noProof/>
            <w:webHidden/>
          </w:rPr>
        </w:r>
        <w:r w:rsidR="008618F2">
          <w:rPr>
            <w:noProof/>
            <w:webHidden/>
          </w:rPr>
          <w:fldChar w:fldCharType="separate"/>
        </w:r>
        <w:r w:rsidR="000720CB">
          <w:rPr>
            <w:noProof/>
            <w:webHidden/>
          </w:rPr>
          <w:t>93</w:t>
        </w:r>
        <w:r w:rsidR="008618F2">
          <w:rPr>
            <w:noProof/>
            <w:webHidden/>
          </w:rPr>
          <w:fldChar w:fldCharType="end"/>
        </w:r>
      </w:hyperlink>
    </w:p>
    <w:p w14:paraId="1741EC81" w14:textId="1C08348B" w:rsidR="008618F2" w:rsidRDefault="009B5CEC" w:rsidP="008618F2">
      <w:pPr>
        <w:pStyle w:val="TOC3"/>
        <w:jc w:val="left"/>
        <w:rPr>
          <w:rFonts w:asciiTheme="minorHAnsi" w:eastAsiaTheme="minorEastAsia" w:hAnsiTheme="minorHAnsi" w:cstheme="minorBidi"/>
          <w:b w:val="0"/>
          <w:noProof/>
          <w:szCs w:val="22"/>
          <w:lang w:eastAsia="en-GB"/>
        </w:rPr>
      </w:pPr>
      <w:hyperlink w:anchor="_Toc134197878" w:history="1">
        <w:r w:rsidR="008618F2" w:rsidRPr="00DC3933">
          <w:rPr>
            <w:rStyle w:val="Hyperlink"/>
            <w:noProof/>
          </w:rPr>
          <w:t>10.2.1</w:t>
        </w:r>
        <w:r w:rsidR="008618F2">
          <w:rPr>
            <w:rFonts w:asciiTheme="minorHAnsi" w:eastAsiaTheme="minorEastAsia" w:hAnsiTheme="minorHAnsi" w:cstheme="minorBidi"/>
            <w:b w:val="0"/>
            <w:noProof/>
            <w:szCs w:val="22"/>
            <w:lang w:eastAsia="en-GB"/>
          </w:rPr>
          <w:tab/>
        </w:r>
        <w:r w:rsidR="008618F2" w:rsidRPr="00DC3933">
          <w:rPr>
            <w:rStyle w:val="Hyperlink"/>
            <w:noProof/>
          </w:rPr>
          <w:t>General rules on design action effects</w:t>
        </w:r>
        <w:r w:rsidR="008618F2">
          <w:rPr>
            <w:noProof/>
            <w:webHidden/>
          </w:rPr>
          <w:tab/>
        </w:r>
        <w:r w:rsidR="008618F2">
          <w:rPr>
            <w:noProof/>
            <w:webHidden/>
          </w:rPr>
          <w:fldChar w:fldCharType="begin"/>
        </w:r>
        <w:r w:rsidR="008618F2">
          <w:rPr>
            <w:noProof/>
            <w:webHidden/>
          </w:rPr>
          <w:instrText xml:space="preserve"> PAGEREF _Toc134197878 \h </w:instrText>
        </w:r>
        <w:r w:rsidR="008618F2">
          <w:rPr>
            <w:noProof/>
            <w:webHidden/>
          </w:rPr>
        </w:r>
        <w:r w:rsidR="008618F2">
          <w:rPr>
            <w:noProof/>
            <w:webHidden/>
          </w:rPr>
          <w:fldChar w:fldCharType="separate"/>
        </w:r>
        <w:r w:rsidR="000720CB">
          <w:rPr>
            <w:noProof/>
            <w:webHidden/>
          </w:rPr>
          <w:t>93</w:t>
        </w:r>
        <w:r w:rsidR="008618F2">
          <w:rPr>
            <w:noProof/>
            <w:webHidden/>
          </w:rPr>
          <w:fldChar w:fldCharType="end"/>
        </w:r>
      </w:hyperlink>
    </w:p>
    <w:p w14:paraId="571AD08D" w14:textId="50EAF6D7" w:rsidR="008618F2" w:rsidRDefault="009B5CEC" w:rsidP="008618F2">
      <w:pPr>
        <w:pStyle w:val="TOC3"/>
        <w:jc w:val="left"/>
        <w:rPr>
          <w:rFonts w:asciiTheme="minorHAnsi" w:eastAsiaTheme="minorEastAsia" w:hAnsiTheme="minorHAnsi" w:cstheme="minorBidi"/>
          <w:b w:val="0"/>
          <w:noProof/>
          <w:szCs w:val="22"/>
          <w:lang w:eastAsia="en-GB"/>
        </w:rPr>
      </w:pPr>
      <w:hyperlink w:anchor="_Toc134197879" w:history="1">
        <w:r w:rsidR="008618F2" w:rsidRPr="00DC3933">
          <w:rPr>
            <w:rStyle w:val="Hyperlink"/>
            <w:noProof/>
          </w:rPr>
          <w:t>10.2.2</w:t>
        </w:r>
        <w:r w:rsidR="008618F2">
          <w:rPr>
            <w:rFonts w:asciiTheme="minorHAnsi" w:eastAsiaTheme="minorEastAsia" w:hAnsiTheme="minorHAnsi" w:cstheme="minorBidi"/>
            <w:b w:val="0"/>
            <w:noProof/>
            <w:szCs w:val="22"/>
            <w:lang w:eastAsia="en-GB"/>
          </w:rPr>
          <w:tab/>
        </w:r>
        <w:r w:rsidR="008618F2" w:rsidRPr="00DC3933">
          <w:rPr>
            <w:rStyle w:val="Hyperlink"/>
            <w:noProof/>
          </w:rPr>
          <w:t>Local resistance condition</w:t>
        </w:r>
        <w:r w:rsidR="008618F2">
          <w:rPr>
            <w:noProof/>
            <w:webHidden/>
          </w:rPr>
          <w:tab/>
        </w:r>
        <w:r w:rsidR="008618F2">
          <w:rPr>
            <w:noProof/>
            <w:webHidden/>
          </w:rPr>
          <w:fldChar w:fldCharType="begin"/>
        </w:r>
        <w:r w:rsidR="008618F2">
          <w:rPr>
            <w:noProof/>
            <w:webHidden/>
          </w:rPr>
          <w:instrText xml:space="preserve"> PAGEREF _Toc134197879 \h </w:instrText>
        </w:r>
        <w:r w:rsidR="008618F2">
          <w:rPr>
            <w:noProof/>
            <w:webHidden/>
          </w:rPr>
        </w:r>
        <w:r w:rsidR="008618F2">
          <w:rPr>
            <w:noProof/>
            <w:webHidden/>
          </w:rPr>
          <w:fldChar w:fldCharType="separate"/>
        </w:r>
        <w:r w:rsidR="000720CB">
          <w:rPr>
            <w:noProof/>
            <w:webHidden/>
          </w:rPr>
          <w:t>94</w:t>
        </w:r>
        <w:r w:rsidR="008618F2">
          <w:rPr>
            <w:noProof/>
            <w:webHidden/>
          </w:rPr>
          <w:fldChar w:fldCharType="end"/>
        </w:r>
      </w:hyperlink>
    </w:p>
    <w:p w14:paraId="3ABF9A33" w14:textId="346368C6" w:rsidR="008618F2" w:rsidRDefault="009B5CEC" w:rsidP="008618F2">
      <w:pPr>
        <w:pStyle w:val="TOC3"/>
        <w:jc w:val="left"/>
        <w:rPr>
          <w:rFonts w:asciiTheme="minorHAnsi" w:eastAsiaTheme="minorEastAsia" w:hAnsiTheme="minorHAnsi" w:cstheme="minorBidi"/>
          <w:b w:val="0"/>
          <w:noProof/>
          <w:szCs w:val="22"/>
          <w:lang w:eastAsia="en-GB"/>
        </w:rPr>
      </w:pPr>
      <w:hyperlink w:anchor="_Toc134197880" w:history="1">
        <w:r w:rsidR="008618F2" w:rsidRPr="00DC3933">
          <w:rPr>
            <w:rStyle w:val="Hyperlink"/>
            <w:noProof/>
          </w:rPr>
          <w:t>10.2.3</w:t>
        </w:r>
        <w:r w:rsidR="008618F2">
          <w:rPr>
            <w:rFonts w:asciiTheme="minorHAnsi" w:eastAsiaTheme="minorEastAsia" w:hAnsiTheme="minorHAnsi" w:cstheme="minorBidi"/>
            <w:b w:val="0"/>
            <w:noProof/>
            <w:szCs w:val="22"/>
            <w:lang w:eastAsia="en-GB"/>
          </w:rPr>
          <w:tab/>
        </w:r>
        <w:r w:rsidR="008618F2" w:rsidRPr="00DC3933">
          <w:rPr>
            <w:rStyle w:val="Hyperlink"/>
            <w:noProof/>
          </w:rPr>
          <w:t>Local ductility condition</w:t>
        </w:r>
        <w:r w:rsidR="008618F2">
          <w:rPr>
            <w:noProof/>
            <w:webHidden/>
          </w:rPr>
          <w:tab/>
        </w:r>
        <w:r w:rsidR="008618F2">
          <w:rPr>
            <w:noProof/>
            <w:webHidden/>
          </w:rPr>
          <w:fldChar w:fldCharType="begin"/>
        </w:r>
        <w:r w:rsidR="008618F2">
          <w:rPr>
            <w:noProof/>
            <w:webHidden/>
          </w:rPr>
          <w:instrText xml:space="preserve"> PAGEREF _Toc134197880 \h </w:instrText>
        </w:r>
        <w:r w:rsidR="008618F2">
          <w:rPr>
            <w:noProof/>
            <w:webHidden/>
          </w:rPr>
        </w:r>
        <w:r w:rsidR="008618F2">
          <w:rPr>
            <w:noProof/>
            <w:webHidden/>
          </w:rPr>
          <w:fldChar w:fldCharType="separate"/>
        </w:r>
        <w:r w:rsidR="000720CB">
          <w:rPr>
            <w:noProof/>
            <w:webHidden/>
          </w:rPr>
          <w:t>94</w:t>
        </w:r>
        <w:r w:rsidR="008618F2">
          <w:rPr>
            <w:noProof/>
            <w:webHidden/>
          </w:rPr>
          <w:fldChar w:fldCharType="end"/>
        </w:r>
      </w:hyperlink>
    </w:p>
    <w:p w14:paraId="638B5C5C" w14:textId="639D395D" w:rsidR="008618F2" w:rsidRDefault="009B5CEC" w:rsidP="008618F2">
      <w:pPr>
        <w:pStyle w:val="TOC3"/>
        <w:jc w:val="left"/>
        <w:rPr>
          <w:rFonts w:asciiTheme="minorHAnsi" w:eastAsiaTheme="minorEastAsia" w:hAnsiTheme="minorHAnsi" w:cstheme="minorBidi"/>
          <w:b w:val="0"/>
          <w:noProof/>
          <w:szCs w:val="22"/>
          <w:lang w:eastAsia="en-GB"/>
        </w:rPr>
      </w:pPr>
      <w:hyperlink w:anchor="_Toc134197881" w:history="1">
        <w:r w:rsidR="008618F2" w:rsidRPr="00DC3933">
          <w:rPr>
            <w:rStyle w:val="Hyperlink"/>
            <w:noProof/>
          </w:rPr>
          <w:t>10.2.4</w:t>
        </w:r>
        <w:r w:rsidR="008618F2">
          <w:rPr>
            <w:rFonts w:asciiTheme="minorHAnsi" w:eastAsiaTheme="minorEastAsia" w:hAnsiTheme="minorHAnsi" w:cstheme="minorBidi"/>
            <w:b w:val="0"/>
            <w:noProof/>
            <w:szCs w:val="22"/>
            <w:lang w:eastAsia="en-GB"/>
          </w:rPr>
          <w:tab/>
        </w:r>
        <w:r w:rsidR="008618F2" w:rsidRPr="00DC3933">
          <w:rPr>
            <w:rStyle w:val="Hyperlink"/>
            <w:noProof/>
          </w:rPr>
          <w:t>Capacity design rule for moment resisting frames</w:t>
        </w:r>
        <w:r w:rsidR="008618F2">
          <w:rPr>
            <w:noProof/>
            <w:webHidden/>
          </w:rPr>
          <w:tab/>
        </w:r>
        <w:r w:rsidR="008618F2">
          <w:rPr>
            <w:noProof/>
            <w:webHidden/>
          </w:rPr>
          <w:fldChar w:fldCharType="begin"/>
        </w:r>
        <w:r w:rsidR="008618F2">
          <w:rPr>
            <w:noProof/>
            <w:webHidden/>
          </w:rPr>
          <w:instrText xml:space="preserve"> PAGEREF _Toc134197881 \h </w:instrText>
        </w:r>
        <w:r w:rsidR="008618F2">
          <w:rPr>
            <w:noProof/>
            <w:webHidden/>
          </w:rPr>
        </w:r>
        <w:r w:rsidR="008618F2">
          <w:rPr>
            <w:noProof/>
            <w:webHidden/>
          </w:rPr>
          <w:fldChar w:fldCharType="separate"/>
        </w:r>
        <w:r w:rsidR="000720CB">
          <w:rPr>
            <w:noProof/>
            <w:webHidden/>
          </w:rPr>
          <w:t>94</w:t>
        </w:r>
        <w:r w:rsidR="008618F2">
          <w:rPr>
            <w:noProof/>
            <w:webHidden/>
          </w:rPr>
          <w:fldChar w:fldCharType="end"/>
        </w:r>
      </w:hyperlink>
    </w:p>
    <w:p w14:paraId="74631A59" w14:textId="3F1707F8" w:rsidR="008618F2" w:rsidRDefault="009B5CEC" w:rsidP="008618F2">
      <w:pPr>
        <w:pStyle w:val="TOC2"/>
        <w:jc w:val="left"/>
        <w:rPr>
          <w:rFonts w:asciiTheme="minorHAnsi" w:eastAsiaTheme="minorEastAsia" w:hAnsiTheme="minorHAnsi" w:cstheme="minorBidi"/>
          <w:b w:val="0"/>
          <w:noProof/>
          <w:szCs w:val="22"/>
          <w:lang w:eastAsia="en-GB"/>
        </w:rPr>
      </w:pPr>
      <w:hyperlink w:anchor="_Toc134197882" w:history="1">
        <w:r w:rsidR="008618F2" w:rsidRPr="00DC3933">
          <w:rPr>
            <w:rStyle w:val="Hyperlink"/>
            <w:noProof/>
          </w:rPr>
          <w:t>10.3</w:t>
        </w:r>
        <w:r w:rsidR="008618F2">
          <w:rPr>
            <w:rFonts w:asciiTheme="minorHAnsi" w:eastAsiaTheme="minorEastAsia" w:hAnsiTheme="minorHAnsi" w:cstheme="minorBidi"/>
            <w:b w:val="0"/>
            <w:noProof/>
            <w:szCs w:val="22"/>
            <w:lang w:eastAsia="en-GB"/>
          </w:rPr>
          <w:tab/>
        </w:r>
        <w:r w:rsidR="008618F2" w:rsidRPr="00DC3933">
          <w:rPr>
            <w:rStyle w:val="Hyperlink"/>
            <w:noProof/>
          </w:rPr>
          <w:t>Materials requirements</w:t>
        </w:r>
        <w:r w:rsidR="008618F2">
          <w:rPr>
            <w:noProof/>
            <w:webHidden/>
          </w:rPr>
          <w:tab/>
        </w:r>
        <w:r w:rsidR="008618F2">
          <w:rPr>
            <w:noProof/>
            <w:webHidden/>
          </w:rPr>
          <w:fldChar w:fldCharType="begin"/>
        </w:r>
        <w:r w:rsidR="008618F2">
          <w:rPr>
            <w:noProof/>
            <w:webHidden/>
          </w:rPr>
          <w:instrText xml:space="preserve"> PAGEREF _Toc134197882 \h </w:instrText>
        </w:r>
        <w:r w:rsidR="008618F2">
          <w:rPr>
            <w:noProof/>
            <w:webHidden/>
          </w:rPr>
        </w:r>
        <w:r w:rsidR="008618F2">
          <w:rPr>
            <w:noProof/>
            <w:webHidden/>
          </w:rPr>
          <w:fldChar w:fldCharType="separate"/>
        </w:r>
        <w:r w:rsidR="000720CB">
          <w:rPr>
            <w:noProof/>
            <w:webHidden/>
          </w:rPr>
          <w:t>95</w:t>
        </w:r>
        <w:r w:rsidR="008618F2">
          <w:rPr>
            <w:noProof/>
            <w:webHidden/>
          </w:rPr>
          <w:fldChar w:fldCharType="end"/>
        </w:r>
      </w:hyperlink>
    </w:p>
    <w:p w14:paraId="18F6BBE0" w14:textId="2A0A8423" w:rsidR="008618F2" w:rsidRDefault="009B5CEC" w:rsidP="008618F2">
      <w:pPr>
        <w:pStyle w:val="TOC3"/>
        <w:jc w:val="left"/>
        <w:rPr>
          <w:rFonts w:asciiTheme="minorHAnsi" w:eastAsiaTheme="minorEastAsia" w:hAnsiTheme="minorHAnsi" w:cstheme="minorBidi"/>
          <w:b w:val="0"/>
          <w:noProof/>
          <w:szCs w:val="22"/>
          <w:lang w:eastAsia="en-GB"/>
        </w:rPr>
      </w:pPr>
      <w:hyperlink w:anchor="_Toc134197883" w:history="1">
        <w:r w:rsidR="008618F2" w:rsidRPr="00DC3933">
          <w:rPr>
            <w:rStyle w:val="Hyperlink"/>
            <w:noProof/>
          </w:rPr>
          <w:t>10.3.1</w:t>
        </w:r>
        <w:r w:rsidR="008618F2">
          <w:rPr>
            <w:rFonts w:asciiTheme="minorHAnsi" w:eastAsiaTheme="minorEastAsia" w:hAnsiTheme="minorHAnsi" w:cstheme="minorBidi"/>
            <w:b w:val="0"/>
            <w:noProof/>
            <w:szCs w:val="22"/>
            <w:lang w:eastAsia="en-GB"/>
          </w:rPr>
          <w:tab/>
        </w:r>
        <w:r w:rsidR="008618F2" w:rsidRPr="00DC3933">
          <w:rPr>
            <w:rStyle w:val="Hyperlink"/>
            <w:noProof/>
          </w:rPr>
          <w:t>General</w:t>
        </w:r>
        <w:r w:rsidR="008618F2">
          <w:rPr>
            <w:noProof/>
            <w:webHidden/>
          </w:rPr>
          <w:tab/>
        </w:r>
        <w:r w:rsidR="008618F2">
          <w:rPr>
            <w:noProof/>
            <w:webHidden/>
          </w:rPr>
          <w:fldChar w:fldCharType="begin"/>
        </w:r>
        <w:r w:rsidR="008618F2">
          <w:rPr>
            <w:noProof/>
            <w:webHidden/>
          </w:rPr>
          <w:instrText xml:space="preserve"> PAGEREF _Toc134197883 \h </w:instrText>
        </w:r>
        <w:r w:rsidR="008618F2">
          <w:rPr>
            <w:noProof/>
            <w:webHidden/>
          </w:rPr>
        </w:r>
        <w:r w:rsidR="008618F2">
          <w:rPr>
            <w:noProof/>
            <w:webHidden/>
          </w:rPr>
          <w:fldChar w:fldCharType="separate"/>
        </w:r>
        <w:r w:rsidR="000720CB">
          <w:rPr>
            <w:noProof/>
            <w:webHidden/>
          </w:rPr>
          <w:t>95</w:t>
        </w:r>
        <w:r w:rsidR="008618F2">
          <w:rPr>
            <w:noProof/>
            <w:webHidden/>
          </w:rPr>
          <w:fldChar w:fldCharType="end"/>
        </w:r>
      </w:hyperlink>
    </w:p>
    <w:p w14:paraId="4C923772" w14:textId="60008C04" w:rsidR="008618F2" w:rsidRDefault="009B5CEC" w:rsidP="008618F2">
      <w:pPr>
        <w:pStyle w:val="TOC3"/>
        <w:jc w:val="left"/>
        <w:rPr>
          <w:rFonts w:asciiTheme="minorHAnsi" w:eastAsiaTheme="minorEastAsia" w:hAnsiTheme="minorHAnsi" w:cstheme="minorBidi"/>
          <w:b w:val="0"/>
          <w:noProof/>
          <w:szCs w:val="22"/>
          <w:lang w:eastAsia="en-GB"/>
        </w:rPr>
      </w:pPr>
      <w:hyperlink w:anchor="_Toc134197884" w:history="1">
        <w:r w:rsidR="008618F2" w:rsidRPr="00DC3933">
          <w:rPr>
            <w:rStyle w:val="Hyperlink"/>
            <w:noProof/>
          </w:rPr>
          <w:t>10.3.2</w:t>
        </w:r>
        <w:r w:rsidR="008618F2">
          <w:rPr>
            <w:rFonts w:asciiTheme="minorHAnsi" w:eastAsiaTheme="minorEastAsia" w:hAnsiTheme="minorHAnsi" w:cstheme="minorBidi"/>
            <w:b w:val="0"/>
            <w:noProof/>
            <w:szCs w:val="22"/>
            <w:lang w:eastAsia="en-GB"/>
          </w:rPr>
          <w:tab/>
        </w:r>
        <w:r w:rsidR="008618F2" w:rsidRPr="00DC3933">
          <w:rPr>
            <w:rStyle w:val="Hyperlink"/>
            <w:noProof/>
          </w:rPr>
          <w:t>Design for DC1</w:t>
        </w:r>
        <w:r w:rsidR="008618F2">
          <w:rPr>
            <w:noProof/>
            <w:webHidden/>
          </w:rPr>
          <w:tab/>
        </w:r>
        <w:r w:rsidR="008618F2">
          <w:rPr>
            <w:noProof/>
            <w:webHidden/>
          </w:rPr>
          <w:fldChar w:fldCharType="begin"/>
        </w:r>
        <w:r w:rsidR="008618F2">
          <w:rPr>
            <w:noProof/>
            <w:webHidden/>
          </w:rPr>
          <w:instrText xml:space="preserve"> PAGEREF _Toc134197884 \h </w:instrText>
        </w:r>
        <w:r w:rsidR="008618F2">
          <w:rPr>
            <w:noProof/>
            <w:webHidden/>
          </w:rPr>
        </w:r>
        <w:r w:rsidR="008618F2">
          <w:rPr>
            <w:noProof/>
            <w:webHidden/>
          </w:rPr>
          <w:fldChar w:fldCharType="separate"/>
        </w:r>
        <w:r w:rsidR="000720CB">
          <w:rPr>
            <w:noProof/>
            <w:webHidden/>
          </w:rPr>
          <w:t>95</w:t>
        </w:r>
        <w:r w:rsidR="008618F2">
          <w:rPr>
            <w:noProof/>
            <w:webHidden/>
          </w:rPr>
          <w:fldChar w:fldCharType="end"/>
        </w:r>
      </w:hyperlink>
    </w:p>
    <w:p w14:paraId="2065FDA9" w14:textId="2F01066E" w:rsidR="008618F2" w:rsidRDefault="009B5CEC" w:rsidP="008618F2">
      <w:pPr>
        <w:pStyle w:val="TOC3"/>
        <w:jc w:val="left"/>
        <w:rPr>
          <w:rFonts w:asciiTheme="minorHAnsi" w:eastAsiaTheme="minorEastAsia" w:hAnsiTheme="minorHAnsi" w:cstheme="minorBidi"/>
          <w:b w:val="0"/>
          <w:noProof/>
          <w:szCs w:val="22"/>
          <w:lang w:eastAsia="en-GB"/>
        </w:rPr>
      </w:pPr>
      <w:hyperlink w:anchor="_Toc134197885" w:history="1">
        <w:r w:rsidR="008618F2" w:rsidRPr="00DC3933">
          <w:rPr>
            <w:rStyle w:val="Hyperlink"/>
            <w:noProof/>
          </w:rPr>
          <w:t>10.3.3</w:t>
        </w:r>
        <w:r w:rsidR="008618F2">
          <w:rPr>
            <w:rFonts w:asciiTheme="minorHAnsi" w:eastAsiaTheme="minorEastAsia" w:hAnsiTheme="minorHAnsi" w:cstheme="minorBidi"/>
            <w:b w:val="0"/>
            <w:noProof/>
            <w:szCs w:val="22"/>
            <w:lang w:eastAsia="en-GB"/>
          </w:rPr>
          <w:tab/>
        </w:r>
        <w:r w:rsidR="008618F2" w:rsidRPr="00DC3933">
          <w:rPr>
            <w:rStyle w:val="Hyperlink"/>
            <w:noProof/>
          </w:rPr>
          <w:t>Design for DC2 and DC3</w:t>
        </w:r>
        <w:r w:rsidR="008618F2">
          <w:rPr>
            <w:noProof/>
            <w:webHidden/>
          </w:rPr>
          <w:tab/>
        </w:r>
        <w:r w:rsidR="008618F2">
          <w:rPr>
            <w:noProof/>
            <w:webHidden/>
          </w:rPr>
          <w:fldChar w:fldCharType="begin"/>
        </w:r>
        <w:r w:rsidR="008618F2">
          <w:rPr>
            <w:noProof/>
            <w:webHidden/>
          </w:rPr>
          <w:instrText xml:space="preserve"> PAGEREF _Toc134197885 \h </w:instrText>
        </w:r>
        <w:r w:rsidR="008618F2">
          <w:rPr>
            <w:noProof/>
            <w:webHidden/>
          </w:rPr>
        </w:r>
        <w:r w:rsidR="008618F2">
          <w:rPr>
            <w:noProof/>
            <w:webHidden/>
          </w:rPr>
          <w:fldChar w:fldCharType="separate"/>
        </w:r>
        <w:r w:rsidR="000720CB">
          <w:rPr>
            <w:noProof/>
            <w:webHidden/>
          </w:rPr>
          <w:t>95</w:t>
        </w:r>
        <w:r w:rsidR="008618F2">
          <w:rPr>
            <w:noProof/>
            <w:webHidden/>
          </w:rPr>
          <w:fldChar w:fldCharType="end"/>
        </w:r>
      </w:hyperlink>
    </w:p>
    <w:p w14:paraId="03C10FCB" w14:textId="703A7D56" w:rsidR="008618F2" w:rsidRDefault="009B5CEC" w:rsidP="008618F2">
      <w:pPr>
        <w:pStyle w:val="TOC3"/>
        <w:jc w:val="left"/>
        <w:rPr>
          <w:rFonts w:asciiTheme="minorHAnsi" w:eastAsiaTheme="minorEastAsia" w:hAnsiTheme="minorHAnsi" w:cstheme="minorBidi"/>
          <w:b w:val="0"/>
          <w:noProof/>
          <w:szCs w:val="22"/>
          <w:lang w:eastAsia="en-GB"/>
        </w:rPr>
      </w:pPr>
      <w:hyperlink w:anchor="_Toc134197886" w:history="1">
        <w:r w:rsidR="008618F2" w:rsidRPr="00DC3933">
          <w:rPr>
            <w:rStyle w:val="Hyperlink"/>
            <w:noProof/>
          </w:rPr>
          <w:t>10.3.4</w:t>
        </w:r>
        <w:r w:rsidR="008618F2">
          <w:rPr>
            <w:rFonts w:asciiTheme="minorHAnsi" w:eastAsiaTheme="minorEastAsia" w:hAnsiTheme="minorHAnsi" w:cstheme="minorBidi"/>
            <w:b w:val="0"/>
            <w:noProof/>
            <w:szCs w:val="22"/>
            <w:lang w:eastAsia="en-GB"/>
          </w:rPr>
          <w:tab/>
        </w:r>
        <w:r w:rsidR="008618F2" w:rsidRPr="00DC3933">
          <w:rPr>
            <w:rStyle w:val="Hyperlink"/>
            <w:noProof/>
          </w:rPr>
          <w:t>Safety verifications</w:t>
        </w:r>
        <w:r w:rsidR="008618F2">
          <w:rPr>
            <w:noProof/>
            <w:webHidden/>
          </w:rPr>
          <w:tab/>
        </w:r>
        <w:r w:rsidR="008618F2">
          <w:rPr>
            <w:noProof/>
            <w:webHidden/>
          </w:rPr>
          <w:fldChar w:fldCharType="begin"/>
        </w:r>
        <w:r w:rsidR="008618F2">
          <w:rPr>
            <w:noProof/>
            <w:webHidden/>
          </w:rPr>
          <w:instrText xml:space="preserve"> PAGEREF _Toc134197886 \h </w:instrText>
        </w:r>
        <w:r w:rsidR="008618F2">
          <w:rPr>
            <w:noProof/>
            <w:webHidden/>
          </w:rPr>
        </w:r>
        <w:r w:rsidR="008618F2">
          <w:rPr>
            <w:noProof/>
            <w:webHidden/>
          </w:rPr>
          <w:fldChar w:fldCharType="separate"/>
        </w:r>
        <w:r w:rsidR="000720CB">
          <w:rPr>
            <w:noProof/>
            <w:webHidden/>
          </w:rPr>
          <w:t>95</w:t>
        </w:r>
        <w:r w:rsidR="008618F2">
          <w:rPr>
            <w:noProof/>
            <w:webHidden/>
          </w:rPr>
          <w:fldChar w:fldCharType="end"/>
        </w:r>
      </w:hyperlink>
    </w:p>
    <w:p w14:paraId="20879898" w14:textId="5702AA7A" w:rsidR="008618F2" w:rsidRDefault="009B5CEC" w:rsidP="008618F2">
      <w:pPr>
        <w:pStyle w:val="TOC2"/>
        <w:jc w:val="left"/>
        <w:rPr>
          <w:rFonts w:asciiTheme="minorHAnsi" w:eastAsiaTheme="minorEastAsia" w:hAnsiTheme="minorHAnsi" w:cstheme="minorBidi"/>
          <w:b w:val="0"/>
          <w:noProof/>
          <w:szCs w:val="22"/>
          <w:lang w:eastAsia="en-GB"/>
        </w:rPr>
      </w:pPr>
      <w:hyperlink w:anchor="_Toc134197887" w:history="1">
        <w:r w:rsidR="008618F2" w:rsidRPr="00DC3933">
          <w:rPr>
            <w:rStyle w:val="Hyperlink"/>
            <w:noProof/>
          </w:rPr>
          <w:t>10.4</w:t>
        </w:r>
        <w:r w:rsidR="008618F2">
          <w:rPr>
            <w:rFonts w:asciiTheme="minorHAnsi" w:eastAsiaTheme="minorEastAsia" w:hAnsiTheme="minorHAnsi" w:cstheme="minorBidi"/>
            <w:b w:val="0"/>
            <w:noProof/>
            <w:szCs w:val="22"/>
            <w:lang w:eastAsia="en-GB"/>
          </w:rPr>
          <w:tab/>
        </w:r>
        <w:r w:rsidR="008618F2" w:rsidRPr="00DC3933">
          <w:rPr>
            <w:rStyle w:val="Hyperlink"/>
            <w:noProof/>
          </w:rPr>
          <w:t>Structural types, behaviour factors, limits of seismic action, limits of drift and partial factors for the displacement-based approach</w:t>
        </w:r>
        <w:r w:rsidR="008618F2">
          <w:rPr>
            <w:noProof/>
            <w:webHidden/>
          </w:rPr>
          <w:tab/>
        </w:r>
        <w:r w:rsidR="008618F2">
          <w:rPr>
            <w:noProof/>
            <w:webHidden/>
          </w:rPr>
          <w:fldChar w:fldCharType="begin"/>
        </w:r>
        <w:r w:rsidR="008618F2">
          <w:rPr>
            <w:noProof/>
            <w:webHidden/>
          </w:rPr>
          <w:instrText xml:space="preserve"> PAGEREF _Toc134197887 \h </w:instrText>
        </w:r>
        <w:r w:rsidR="008618F2">
          <w:rPr>
            <w:noProof/>
            <w:webHidden/>
          </w:rPr>
        </w:r>
        <w:r w:rsidR="008618F2">
          <w:rPr>
            <w:noProof/>
            <w:webHidden/>
          </w:rPr>
          <w:fldChar w:fldCharType="separate"/>
        </w:r>
        <w:r w:rsidR="000720CB">
          <w:rPr>
            <w:noProof/>
            <w:webHidden/>
          </w:rPr>
          <w:t>95</w:t>
        </w:r>
        <w:r w:rsidR="008618F2">
          <w:rPr>
            <w:noProof/>
            <w:webHidden/>
          </w:rPr>
          <w:fldChar w:fldCharType="end"/>
        </w:r>
      </w:hyperlink>
    </w:p>
    <w:p w14:paraId="0CF5BB64" w14:textId="3207F614" w:rsidR="008618F2" w:rsidRDefault="009B5CEC" w:rsidP="008618F2">
      <w:pPr>
        <w:pStyle w:val="TOC3"/>
        <w:jc w:val="left"/>
        <w:rPr>
          <w:rFonts w:asciiTheme="minorHAnsi" w:eastAsiaTheme="minorEastAsia" w:hAnsiTheme="minorHAnsi" w:cstheme="minorBidi"/>
          <w:b w:val="0"/>
          <w:noProof/>
          <w:szCs w:val="22"/>
          <w:lang w:eastAsia="en-GB"/>
        </w:rPr>
      </w:pPr>
      <w:hyperlink w:anchor="_Toc134197888" w:history="1">
        <w:r w:rsidR="008618F2" w:rsidRPr="00DC3933">
          <w:rPr>
            <w:rStyle w:val="Hyperlink"/>
            <w:noProof/>
          </w:rPr>
          <w:t>10.4.1</w:t>
        </w:r>
        <w:r w:rsidR="008618F2">
          <w:rPr>
            <w:rFonts w:asciiTheme="minorHAnsi" w:eastAsiaTheme="minorEastAsia" w:hAnsiTheme="minorHAnsi" w:cstheme="minorBidi"/>
            <w:b w:val="0"/>
            <w:noProof/>
            <w:szCs w:val="22"/>
            <w:lang w:eastAsia="en-GB"/>
          </w:rPr>
          <w:tab/>
        </w:r>
        <w:r w:rsidR="008618F2" w:rsidRPr="00DC3933">
          <w:rPr>
            <w:rStyle w:val="Hyperlink"/>
            <w:noProof/>
          </w:rPr>
          <w:t>Structural types</w:t>
        </w:r>
        <w:r w:rsidR="008618F2">
          <w:rPr>
            <w:noProof/>
            <w:webHidden/>
          </w:rPr>
          <w:tab/>
        </w:r>
        <w:r w:rsidR="008618F2">
          <w:rPr>
            <w:noProof/>
            <w:webHidden/>
          </w:rPr>
          <w:fldChar w:fldCharType="begin"/>
        </w:r>
        <w:r w:rsidR="008618F2">
          <w:rPr>
            <w:noProof/>
            <w:webHidden/>
          </w:rPr>
          <w:instrText xml:space="preserve"> PAGEREF _Toc134197888 \h </w:instrText>
        </w:r>
        <w:r w:rsidR="008618F2">
          <w:rPr>
            <w:noProof/>
            <w:webHidden/>
          </w:rPr>
        </w:r>
        <w:r w:rsidR="008618F2">
          <w:rPr>
            <w:noProof/>
            <w:webHidden/>
          </w:rPr>
          <w:fldChar w:fldCharType="separate"/>
        </w:r>
        <w:r w:rsidR="000720CB">
          <w:rPr>
            <w:noProof/>
            <w:webHidden/>
          </w:rPr>
          <w:t>95</w:t>
        </w:r>
        <w:r w:rsidR="008618F2">
          <w:rPr>
            <w:noProof/>
            <w:webHidden/>
          </w:rPr>
          <w:fldChar w:fldCharType="end"/>
        </w:r>
      </w:hyperlink>
    </w:p>
    <w:p w14:paraId="4A229955" w14:textId="7A4ED65A" w:rsidR="008618F2" w:rsidRDefault="009B5CEC" w:rsidP="008618F2">
      <w:pPr>
        <w:pStyle w:val="TOC3"/>
        <w:jc w:val="left"/>
        <w:rPr>
          <w:rFonts w:asciiTheme="minorHAnsi" w:eastAsiaTheme="minorEastAsia" w:hAnsiTheme="minorHAnsi" w:cstheme="minorBidi"/>
          <w:b w:val="0"/>
          <w:noProof/>
          <w:szCs w:val="22"/>
          <w:lang w:eastAsia="en-GB"/>
        </w:rPr>
      </w:pPr>
      <w:hyperlink w:anchor="_Toc134197889" w:history="1">
        <w:r w:rsidR="008618F2" w:rsidRPr="00DC3933">
          <w:rPr>
            <w:rStyle w:val="Hyperlink"/>
            <w:noProof/>
          </w:rPr>
          <w:t>10.4.2</w:t>
        </w:r>
        <w:r w:rsidR="008618F2">
          <w:rPr>
            <w:rFonts w:asciiTheme="minorHAnsi" w:eastAsiaTheme="minorEastAsia" w:hAnsiTheme="minorHAnsi" w:cstheme="minorBidi"/>
            <w:b w:val="0"/>
            <w:noProof/>
            <w:szCs w:val="22"/>
            <w:lang w:eastAsia="en-GB"/>
          </w:rPr>
          <w:tab/>
        </w:r>
        <w:r w:rsidR="008618F2" w:rsidRPr="00DC3933">
          <w:rPr>
            <w:rStyle w:val="Hyperlink"/>
            <w:noProof/>
          </w:rPr>
          <w:t>Behaviour factor for horizontal components of the seismic action in force-based analysis</w:t>
        </w:r>
        <w:r w:rsidR="008618F2">
          <w:rPr>
            <w:noProof/>
            <w:webHidden/>
          </w:rPr>
          <w:tab/>
        </w:r>
        <w:r w:rsidR="008618F2">
          <w:rPr>
            <w:noProof/>
            <w:webHidden/>
          </w:rPr>
          <w:fldChar w:fldCharType="begin"/>
        </w:r>
        <w:r w:rsidR="008618F2">
          <w:rPr>
            <w:noProof/>
            <w:webHidden/>
          </w:rPr>
          <w:instrText xml:space="preserve"> PAGEREF _Toc134197889 \h </w:instrText>
        </w:r>
        <w:r w:rsidR="008618F2">
          <w:rPr>
            <w:noProof/>
            <w:webHidden/>
          </w:rPr>
        </w:r>
        <w:r w:rsidR="008618F2">
          <w:rPr>
            <w:noProof/>
            <w:webHidden/>
          </w:rPr>
          <w:fldChar w:fldCharType="separate"/>
        </w:r>
        <w:r w:rsidR="000720CB">
          <w:rPr>
            <w:noProof/>
            <w:webHidden/>
          </w:rPr>
          <w:t>97</w:t>
        </w:r>
        <w:r w:rsidR="008618F2">
          <w:rPr>
            <w:noProof/>
            <w:webHidden/>
          </w:rPr>
          <w:fldChar w:fldCharType="end"/>
        </w:r>
      </w:hyperlink>
    </w:p>
    <w:p w14:paraId="2C613FF3" w14:textId="46FAE83C" w:rsidR="008618F2" w:rsidRDefault="009B5CEC" w:rsidP="008618F2">
      <w:pPr>
        <w:pStyle w:val="TOC3"/>
        <w:jc w:val="left"/>
        <w:rPr>
          <w:rFonts w:asciiTheme="minorHAnsi" w:eastAsiaTheme="minorEastAsia" w:hAnsiTheme="minorHAnsi" w:cstheme="minorBidi"/>
          <w:b w:val="0"/>
          <w:noProof/>
          <w:szCs w:val="22"/>
          <w:lang w:eastAsia="en-GB"/>
        </w:rPr>
      </w:pPr>
      <w:hyperlink w:anchor="_Toc134197890" w:history="1">
        <w:r w:rsidR="008618F2" w:rsidRPr="00DC3933">
          <w:rPr>
            <w:rStyle w:val="Hyperlink"/>
            <w:noProof/>
          </w:rPr>
          <w:t>10.4.3</w:t>
        </w:r>
        <w:r w:rsidR="008618F2">
          <w:rPr>
            <w:rFonts w:asciiTheme="minorHAnsi" w:eastAsiaTheme="minorEastAsia" w:hAnsiTheme="minorHAnsi" w:cstheme="minorBidi"/>
            <w:b w:val="0"/>
            <w:noProof/>
            <w:szCs w:val="22"/>
            <w:lang w:eastAsia="en-GB"/>
          </w:rPr>
          <w:tab/>
        </w:r>
        <w:r w:rsidR="008618F2" w:rsidRPr="00DC3933">
          <w:rPr>
            <w:rStyle w:val="Hyperlink"/>
            <w:noProof/>
          </w:rPr>
          <w:t>Limits of seismic action for design to DC1, DC2 and DC3</w:t>
        </w:r>
        <w:r w:rsidR="008618F2">
          <w:rPr>
            <w:noProof/>
            <w:webHidden/>
          </w:rPr>
          <w:tab/>
        </w:r>
        <w:r w:rsidR="008618F2">
          <w:rPr>
            <w:noProof/>
            <w:webHidden/>
          </w:rPr>
          <w:fldChar w:fldCharType="begin"/>
        </w:r>
        <w:r w:rsidR="008618F2">
          <w:rPr>
            <w:noProof/>
            <w:webHidden/>
          </w:rPr>
          <w:instrText xml:space="preserve"> PAGEREF _Toc134197890 \h </w:instrText>
        </w:r>
        <w:r w:rsidR="008618F2">
          <w:rPr>
            <w:noProof/>
            <w:webHidden/>
          </w:rPr>
        </w:r>
        <w:r w:rsidR="008618F2">
          <w:rPr>
            <w:noProof/>
            <w:webHidden/>
          </w:rPr>
          <w:fldChar w:fldCharType="separate"/>
        </w:r>
        <w:r w:rsidR="000720CB">
          <w:rPr>
            <w:noProof/>
            <w:webHidden/>
          </w:rPr>
          <w:t>98</w:t>
        </w:r>
        <w:r w:rsidR="008618F2">
          <w:rPr>
            <w:noProof/>
            <w:webHidden/>
          </w:rPr>
          <w:fldChar w:fldCharType="end"/>
        </w:r>
      </w:hyperlink>
    </w:p>
    <w:p w14:paraId="29DF2099" w14:textId="3FC527B5" w:rsidR="008618F2" w:rsidRDefault="009B5CEC" w:rsidP="008618F2">
      <w:pPr>
        <w:pStyle w:val="TOC3"/>
        <w:jc w:val="left"/>
        <w:rPr>
          <w:rFonts w:asciiTheme="minorHAnsi" w:eastAsiaTheme="minorEastAsia" w:hAnsiTheme="minorHAnsi" w:cstheme="minorBidi"/>
          <w:b w:val="0"/>
          <w:noProof/>
          <w:szCs w:val="22"/>
          <w:lang w:eastAsia="en-GB"/>
        </w:rPr>
      </w:pPr>
      <w:hyperlink w:anchor="_Toc134197891" w:history="1">
        <w:r w:rsidR="008618F2" w:rsidRPr="00DC3933">
          <w:rPr>
            <w:rStyle w:val="Hyperlink"/>
            <w:noProof/>
          </w:rPr>
          <w:t>10.4.4</w:t>
        </w:r>
        <w:r w:rsidR="008618F2">
          <w:rPr>
            <w:rFonts w:asciiTheme="minorHAnsi" w:eastAsiaTheme="minorEastAsia" w:hAnsiTheme="minorHAnsi" w:cstheme="minorBidi"/>
            <w:b w:val="0"/>
            <w:noProof/>
            <w:szCs w:val="22"/>
            <w:lang w:eastAsia="en-GB"/>
          </w:rPr>
          <w:tab/>
        </w:r>
        <w:r w:rsidR="008618F2" w:rsidRPr="00DC3933">
          <w:rPr>
            <w:rStyle w:val="Hyperlink"/>
            <w:noProof/>
          </w:rPr>
          <w:t>Limits of drift</w:t>
        </w:r>
        <w:r w:rsidR="008618F2">
          <w:rPr>
            <w:noProof/>
            <w:webHidden/>
          </w:rPr>
          <w:tab/>
        </w:r>
        <w:r w:rsidR="008618F2">
          <w:rPr>
            <w:noProof/>
            <w:webHidden/>
          </w:rPr>
          <w:fldChar w:fldCharType="begin"/>
        </w:r>
        <w:r w:rsidR="008618F2">
          <w:rPr>
            <w:noProof/>
            <w:webHidden/>
          </w:rPr>
          <w:instrText xml:space="preserve"> PAGEREF _Toc134197891 \h </w:instrText>
        </w:r>
        <w:r w:rsidR="008618F2">
          <w:rPr>
            <w:noProof/>
            <w:webHidden/>
          </w:rPr>
        </w:r>
        <w:r w:rsidR="008618F2">
          <w:rPr>
            <w:noProof/>
            <w:webHidden/>
          </w:rPr>
          <w:fldChar w:fldCharType="separate"/>
        </w:r>
        <w:r w:rsidR="000720CB">
          <w:rPr>
            <w:noProof/>
            <w:webHidden/>
          </w:rPr>
          <w:t>98</w:t>
        </w:r>
        <w:r w:rsidR="008618F2">
          <w:rPr>
            <w:noProof/>
            <w:webHidden/>
          </w:rPr>
          <w:fldChar w:fldCharType="end"/>
        </w:r>
      </w:hyperlink>
    </w:p>
    <w:p w14:paraId="6FF266D2" w14:textId="1F3018A9" w:rsidR="008618F2" w:rsidRDefault="009B5CEC" w:rsidP="008618F2">
      <w:pPr>
        <w:pStyle w:val="TOC3"/>
        <w:jc w:val="left"/>
        <w:rPr>
          <w:rFonts w:asciiTheme="minorHAnsi" w:eastAsiaTheme="minorEastAsia" w:hAnsiTheme="minorHAnsi" w:cstheme="minorBidi"/>
          <w:b w:val="0"/>
          <w:noProof/>
          <w:szCs w:val="22"/>
          <w:lang w:eastAsia="en-GB"/>
        </w:rPr>
      </w:pPr>
      <w:hyperlink w:anchor="_Toc134197892" w:history="1">
        <w:r w:rsidR="008618F2" w:rsidRPr="00DC3933">
          <w:rPr>
            <w:rStyle w:val="Hyperlink"/>
            <w:noProof/>
          </w:rPr>
          <w:t>10.4.5</w:t>
        </w:r>
        <w:r w:rsidR="008618F2">
          <w:rPr>
            <w:rFonts w:asciiTheme="minorHAnsi" w:eastAsiaTheme="minorEastAsia" w:hAnsiTheme="minorHAnsi" w:cstheme="minorBidi"/>
            <w:b w:val="0"/>
            <w:noProof/>
            <w:szCs w:val="22"/>
            <w:lang w:eastAsia="en-GB"/>
          </w:rPr>
          <w:tab/>
        </w:r>
        <w:r w:rsidR="008618F2" w:rsidRPr="00DC3933">
          <w:rPr>
            <w:rStyle w:val="Hyperlink"/>
            <w:noProof/>
          </w:rPr>
          <w:t>Partial factors on resistances for the displacement-based approach</w:t>
        </w:r>
        <w:r w:rsidR="008618F2">
          <w:rPr>
            <w:noProof/>
            <w:webHidden/>
          </w:rPr>
          <w:tab/>
        </w:r>
        <w:r w:rsidR="008618F2">
          <w:rPr>
            <w:noProof/>
            <w:webHidden/>
          </w:rPr>
          <w:fldChar w:fldCharType="begin"/>
        </w:r>
        <w:r w:rsidR="008618F2">
          <w:rPr>
            <w:noProof/>
            <w:webHidden/>
          </w:rPr>
          <w:instrText xml:space="preserve"> PAGEREF _Toc134197892 \h </w:instrText>
        </w:r>
        <w:r w:rsidR="008618F2">
          <w:rPr>
            <w:noProof/>
            <w:webHidden/>
          </w:rPr>
        </w:r>
        <w:r w:rsidR="008618F2">
          <w:rPr>
            <w:noProof/>
            <w:webHidden/>
          </w:rPr>
          <w:fldChar w:fldCharType="separate"/>
        </w:r>
        <w:r w:rsidR="000720CB">
          <w:rPr>
            <w:noProof/>
            <w:webHidden/>
          </w:rPr>
          <w:t>98</w:t>
        </w:r>
        <w:r w:rsidR="008618F2">
          <w:rPr>
            <w:noProof/>
            <w:webHidden/>
          </w:rPr>
          <w:fldChar w:fldCharType="end"/>
        </w:r>
      </w:hyperlink>
    </w:p>
    <w:p w14:paraId="415F6CF1" w14:textId="07C1301F" w:rsidR="008618F2" w:rsidRDefault="009B5CEC" w:rsidP="008618F2">
      <w:pPr>
        <w:pStyle w:val="TOC2"/>
        <w:jc w:val="left"/>
        <w:rPr>
          <w:rFonts w:asciiTheme="minorHAnsi" w:eastAsiaTheme="minorEastAsia" w:hAnsiTheme="minorHAnsi" w:cstheme="minorBidi"/>
          <w:b w:val="0"/>
          <w:noProof/>
          <w:szCs w:val="22"/>
          <w:lang w:eastAsia="en-GB"/>
        </w:rPr>
      </w:pPr>
      <w:hyperlink w:anchor="_Toc134197893" w:history="1">
        <w:r w:rsidR="008618F2" w:rsidRPr="00DC3933">
          <w:rPr>
            <w:rStyle w:val="Hyperlink"/>
            <w:noProof/>
          </w:rPr>
          <w:t>10.5</w:t>
        </w:r>
        <w:r w:rsidR="008618F2">
          <w:rPr>
            <w:rFonts w:asciiTheme="minorHAnsi" w:eastAsiaTheme="minorEastAsia" w:hAnsiTheme="minorHAnsi" w:cstheme="minorBidi"/>
            <w:b w:val="0"/>
            <w:noProof/>
            <w:szCs w:val="22"/>
            <w:lang w:eastAsia="en-GB"/>
          </w:rPr>
          <w:tab/>
        </w:r>
        <w:r w:rsidR="008618F2" w:rsidRPr="00DC3933">
          <w:rPr>
            <w:rStyle w:val="Hyperlink"/>
            <w:noProof/>
          </w:rPr>
          <w:t>Beams</w:t>
        </w:r>
        <w:r w:rsidR="008618F2">
          <w:rPr>
            <w:noProof/>
            <w:webHidden/>
          </w:rPr>
          <w:tab/>
        </w:r>
        <w:r w:rsidR="008618F2">
          <w:rPr>
            <w:noProof/>
            <w:webHidden/>
          </w:rPr>
          <w:fldChar w:fldCharType="begin"/>
        </w:r>
        <w:r w:rsidR="008618F2">
          <w:rPr>
            <w:noProof/>
            <w:webHidden/>
          </w:rPr>
          <w:instrText xml:space="preserve"> PAGEREF _Toc134197893 \h </w:instrText>
        </w:r>
        <w:r w:rsidR="008618F2">
          <w:rPr>
            <w:noProof/>
            <w:webHidden/>
          </w:rPr>
        </w:r>
        <w:r w:rsidR="008618F2">
          <w:rPr>
            <w:noProof/>
            <w:webHidden/>
          </w:rPr>
          <w:fldChar w:fldCharType="separate"/>
        </w:r>
        <w:r w:rsidR="000720CB">
          <w:rPr>
            <w:noProof/>
            <w:webHidden/>
          </w:rPr>
          <w:t>99</w:t>
        </w:r>
        <w:r w:rsidR="008618F2">
          <w:rPr>
            <w:noProof/>
            <w:webHidden/>
          </w:rPr>
          <w:fldChar w:fldCharType="end"/>
        </w:r>
      </w:hyperlink>
    </w:p>
    <w:p w14:paraId="04E32DB3" w14:textId="0A90AD3E" w:rsidR="008618F2" w:rsidRDefault="009B5CEC" w:rsidP="008618F2">
      <w:pPr>
        <w:pStyle w:val="TOC3"/>
        <w:jc w:val="left"/>
        <w:rPr>
          <w:rFonts w:asciiTheme="minorHAnsi" w:eastAsiaTheme="minorEastAsia" w:hAnsiTheme="minorHAnsi" w:cstheme="minorBidi"/>
          <w:b w:val="0"/>
          <w:noProof/>
          <w:szCs w:val="22"/>
          <w:lang w:eastAsia="en-GB"/>
        </w:rPr>
      </w:pPr>
      <w:hyperlink w:anchor="_Toc134197894" w:history="1">
        <w:r w:rsidR="008618F2" w:rsidRPr="00DC3933">
          <w:rPr>
            <w:rStyle w:val="Hyperlink"/>
            <w:noProof/>
          </w:rPr>
          <w:t>10.5.1</w:t>
        </w:r>
        <w:r w:rsidR="008618F2">
          <w:rPr>
            <w:rFonts w:asciiTheme="minorHAnsi" w:eastAsiaTheme="minorEastAsia" w:hAnsiTheme="minorHAnsi" w:cstheme="minorBidi"/>
            <w:b w:val="0"/>
            <w:noProof/>
            <w:szCs w:val="22"/>
            <w:lang w:eastAsia="en-GB"/>
          </w:rPr>
          <w:tab/>
        </w:r>
        <w:r w:rsidR="008618F2" w:rsidRPr="00DC3933">
          <w:rPr>
            <w:rStyle w:val="Hyperlink"/>
            <w:noProof/>
          </w:rPr>
          <w:t>Geometrical and other provisions</w:t>
        </w:r>
        <w:r w:rsidR="008618F2">
          <w:rPr>
            <w:noProof/>
            <w:webHidden/>
          </w:rPr>
          <w:tab/>
        </w:r>
        <w:r w:rsidR="008618F2">
          <w:rPr>
            <w:noProof/>
            <w:webHidden/>
          </w:rPr>
          <w:fldChar w:fldCharType="begin"/>
        </w:r>
        <w:r w:rsidR="008618F2">
          <w:rPr>
            <w:noProof/>
            <w:webHidden/>
          </w:rPr>
          <w:instrText xml:space="preserve"> PAGEREF _Toc134197894 \h </w:instrText>
        </w:r>
        <w:r w:rsidR="008618F2">
          <w:rPr>
            <w:noProof/>
            <w:webHidden/>
          </w:rPr>
        </w:r>
        <w:r w:rsidR="008618F2">
          <w:rPr>
            <w:noProof/>
            <w:webHidden/>
          </w:rPr>
          <w:fldChar w:fldCharType="separate"/>
        </w:r>
        <w:r w:rsidR="000720CB">
          <w:rPr>
            <w:noProof/>
            <w:webHidden/>
          </w:rPr>
          <w:t>99</w:t>
        </w:r>
        <w:r w:rsidR="008618F2">
          <w:rPr>
            <w:noProof/>
            <w:webHidden/>
          </w:rPr>
          <w:fldChar w:fldCharType="end"/>
        </w:r>
      </w:hyperlink>
    </w:p>
    <w:p w14:paraId="1A5CDED5" w14:textId="62909DDF" w:rsidR="008618F2" w:rsidRDefault="009B5CEC" w:rsidP="008618F2">
      <w:pPr>
        <w:pStyle w:val="TOC3"/>
        <w:jc w:val="left"/>
        <w:rPr>
          <w:rFonts w:asciiTheme="minorHAnsi" w:eastAsiaTheme="minorEastAsia" w:hAnsiTheme="minorHAnsi" w:cstheme="minorBidi"/>
          <w:b w:val="0"/>
          <w:noProof/>
          <w:szCs w:val="22"/>
          <w:lang w:eastAsia="en-GB"/>
        </w:rPr>
      </w:pPr>
      <w:hyperlink w:anchor="_Toc134197895" w:history="1">
        <w:r w:rsidR="008618F2" w:rsidRPr="00DC3933">
          <w:rPr>
            <w:rStyle w:val="Hyperlink"/>
            <w:noProof/>
          </w:rPr>
          <w:t>10.5.2</w:t>
        </w:r>
        <w:r w:rsidR="008618F2">
          <w:rPr>
            <w:rFonts w:asciiTheme="minorHAnsi" w:eastAsiaTheme="minorEastAsia" w:hAnsiTheme="minorHAnsi" w:cstheme="minorBidi"/>
            <w:b w:val="0"/>
            <w:noProof/>
            <w:szCs w:val="22"/>
            <w:lang w:eastAsia="en-GB"/>
          </w:rPr>
          <w:tab/>
        </w:r>
        <w:r w:rsidR="008618F2" w:rsidRPr="00DC3933">
          <w:rPr>
            <w:rStyle w:val="Hyperlink"/>
            <w:noProof/>
          </w:rPr>
          <w:t>Specific rules for beams supporting discontinued vertical members</w:t>
        </w:r>
        <w:r w:rsidR="008618F2">
          <w:rPr>
            <w:noProof/>
            <w:webHidden/>
          </w:rPr>
          <w:tab/>
        </w:r>
        <w:r w:rsidR="008618F2">
          <w:rPr>
            <w:noProof/>
            <w:webHidden/>
          </w:rPr>
          <w:fldChar w:fldCharType="begin"/>
        </w:r>
        <w:r w:rsidR="008618F2">
          <w:rPr>
            <w:noProof/>
            <w:webHidden/>
          </w:rPr>
          <w:instrText xml:space="preserve"> PAGEREF _Toc134197895 \h </w:instrText>
        </w:r>
        <w:r w:rsidR="008618F2">
          <w:rPr>
            <w:noProof/>
            <w:webHidden/>
          </w:rPr>
        </w:r>
        <w:r w:rsidR="008618F2">
          <w:rPr>
            <w:noProof/>
            <w:webHidden/>
          </w:rPr>
          <w:fldChar w:fldCharType="separate"/>
        </w:r>
        <w:r w:rsidR="000720CB">
          <w:rPr>
            <w:noProof/>
            <w:webHidden/>
          </w:rPr>
          <w:t>99</w:t>
        </w:r>
        <w:r w:rsidR="008618F2">
          <w:rPr>
            <w:noProof/>
            <w:webHidden/>
          </w:rPr>
          <w:fldChar w:fldCharType="end"/>
        </w:r>
      </w:hyperlink>
    </w:p>
    <w:p w14:paraId="77DD4AB2" w14:textId="2520A381" w:rsidR="008618F2" w:rsidRDefault="009B5CEC" w:rsidP="008618F2">
      <w:pPr>
        <w:pStyle w:val="TOC3"/>
        <w:jc w:val="left"/>
        <w:rPr>
          <w:rFonts w:asciiTheme="minorHAnsi" w:eastAsiaTheme="minorEastAsia" w:hAnsiTheme="minorHAnsi" w:cstheme="minorBidi"/>
          <w:b w:val="0"/>
          <w:noProof/>
          <w:szCs w:val="22"/>
          <w:lang w:eastAsia="en-GB"/>
        </w:rPr>
      </w:pPr>
      <w:hyperlink w:anchor="_Toc134197896" w:history="1">
        <w:r w:rsidR="008618F2" w:rsidRPr="00DC3933">
          <w:rPr>
            <w:rStyle w:val="Hyperlink"/>
            <w:noProof/>
          </w:rPr>
          <w:t>10.5.3</w:t>
        </w:r>
        <w:r w:rsidR="008618F2">
          <w:rPr>
            <w:rFonts w:asciiTheme="minorHAnsi" w:eastAsiaTheme="minorEastAsia" w:hAnsiTheme="minorHAnsi" w:cstheme="minorBidi"/>
            <w:b w:val="0"/>
            <w:noProof/>
            <w:szCs w:val="22"/>
            <w:lang w:eastAsia="en-GB"/>
          </w:rPr>
          <w:tab/>
        </w:r>
        <w:r w:rsidR="008618F2" w:rsidRPr="00DC3933">
          <w:rPr>
            <w:rStyle w:val="Hyperlink"/>
            <w:noProof/>
          </w:rPr>
          <w:t>Design action effects</w:t>
        </w:r>
        <w:r w:rsidR="008618F2">
          <w:rPr>
            <w:noProof/>
            <w:webHidden/>
          </w:rPr>
          <w:tab/>
        </w:r>
        <w:r w:rsidR="008618F2">
          <w:rPr>
            <w:noProof/>
            <w:webHidden/>
          </w:rPr>
          <w:fldChar w:fldCharType="begin"/>
        </w:r>
        <w:r w:rsidR="008618F2">
          <w:rPr>
            <w:noProof/>
            <w:webHidden/>
          </w:rPr>
          <w:instrText xml:space="preserve"> PAGEREF _Toc134197896 \h </w:instrText>
        </w:r>
        <w:r w:rsidR="008618F2">
          <w:rPr>
            <w:noProof/>
            <w:webHidden/>
          </w:rPr>
        </w:r>
        <w:r w:rsidR="008618F2">
          <w:rPr>
            <w:noProof/>
            <w:webHidden/>
          </w:rPr>
          <w:fldChar w:fldCharType="separate"/>
        </w:r>
        <w:r w:rsidR="000720CB">
          <w:rPr>
            <w:noProof/>
            <w:webHidden/>
          </w:rPr>
          <w:t>100</w:t>
        </w:r>
        <w:r w:rsidR="008618F2">
          <w:rPr>
            <w:noProof/>
            <w:webHidden/>
          </w:rPr>
          <w:fldChar w:fldCharType="end"/>
        </w:r>
      </w:hyperlink>
    </w:p>
    <w:p w14:paraId="7F878D24" w14:textId="171C8DA7" w:rsidR="008618F2" w:rsidRDefault="009B5CEC" w:rsidP="008618F2">
      <w:pPr>
        <w:pStyle w:val="TOC3"/>
        <w:jc w:val="left"/>
        <w:rPr>
          <w:rFonts w:asciiTheme="minorHAnsi" w:eastAsiaTheme="minorEastAsia" w:hAnsiTheme="minorHAnsi" w:cstheme="minorBidi"/>
          <w:b w:val="0"/>
          <w:noProof/>
          <w:szCs w:val="22"/>
          <w:lang w:eastAsia="en-GB"/>
        </w:rPr>
      </w:pPr>
      <w:hyperlink w:anchor="_Toc134197897" w:history="1">
        <w:r w:rsidR="008618F2" w:rsidRPr="00DC3933">
          <w:rPr>
            <w:rStyle w:val="Hyperlink"/>
            <w:noProof/>
          </w:rPr>
          <w:t>10.5.4</w:t>
        </w:r>
        <w:r w:rsidR="008618F2">
          <w:rPr>
            <w:rFonts w:asciiTheme="minorHAnsi" w:eastAsiaTheme="minorEastAsia" w:hAnsiTheme="minorHAnsi" w:cstheme="minorBidi"/>
            <w:b w:val="0"/>
            <w:noProof/>
            <w:szCs w:val="22"/>
            <w:lang w:eastAsia="en-GB"/>
          </w:rPr>
          <w:tab/>
        </w:r>
        <w:r w:rsidR="008618F2" w:rsidRPr="00DC3933">
          <w:rPr>
            <w:rStyle w:val="Hyperlink"/>
            <w:noProof/>
          </w:rPr>
          <w:t>SD limit state verifications and detailing</w:t>
        </w:r>
        <w:r w:rsidR="008618F2">
          <w:rPr>
            <w:noProof/>
            <w:webHidden/>
          </w:rPr>
          <w:tab/>
        </w:r>
        <w:r w:rsidR="008618F2">
          <w:rPr>
            <w:noProof/>
            <w:webHidden/>
          </w:rPr>
          <w:fldChar w:fldCharType="begin"/>
        </w:r>
        <w:r w:rsidR="008618F2">
          <w:rPr>
            <w:noProof/>
            <w:webHidden/>
          </w:rPr>
          <w:instrText xml:space="preserve"> PAGEREF _Toc134197897 \h </w:instrText>
        </w:r>
        <w:r w:rsidR="008618F2">
          <w:rPr>
            <w:noProof/>
            <w:webHidden/>
          </w:rPr>
        </w:r>
        <w:r w:rsidR="008618F2">
          <w:rPr>
            <w:noProof/>
            <w:webHidden/>
          </w:rPr>
          <w:fldChar w:fldCharType="separate"/>
        </w:r>
        <w:r w:rsidR="000720CB">
          <w:rPr>
            <w:noProof/>
            <w:webHidden/>
          </w:rPr>
          <w:t>101</w:t>
        </w:r>
        <w:r w:rsidR="008618F2">
          <w:rPr>
            <w:noProof/>
            <w:webHidden/>
          </w:rPr>
          <w:fldChar w:fldCharType="end"/>
        </w:r>
      </w:hyperlink>
    </w:p>
    <w:p w14:paraId="0E3E8F4C" w14:textId="015BFC49" w:rsidR="008618F2" w:rsidRDefault="009B5CEC" w:rsidP="008618F2">
      <w:pPr>
        <w:pStyle w:val="TOC2"/>
        <w:jc w:val="left"/>
        <w:rPr>
          <w:rFonts w:asciiTheme="minorHAnsi" w:eastAsiaTheme="minorEastAsia" w:hAnsiTheme="minorHAnsi" w:cstheme="minorBidi"/>
          <w:b w:val="0"/>
          <w:noProof/>
          <w:szCs w:val="22"/>
          <w:lang w:eastAsia="en-GB"/>
        </w:rPr>
      </w:pPr>
      <w:hyperlink w:anchor="_Toc134197898" w:history="1">
        <w:r w:rsidR="008618F2" w:rsidRPr="00DC3933">
          <w:rPr>
            <w:rStyle w:val="Hyperlink"/>
            <w:noProof/>
          </w:rPr>
          <w:t>10.6</w:t>
        </w:r>
        <w:r w:rsidR="008618F2">
          <w:rPr>
            <w:rFonts w:asciiTheme="minorHAnsi" w:eastAsiaTheme="minorEastAsia" w:hAnsiTheme="minorHAnsi" w:cstheme="minorBidi"/>
            <w:b w:val="0"/>
            <w:noProof/>
            <w:szCs w:val="22"/>
            <w:lang w:eastAsia="en-GB"/>
          </w:rPr>
          <w:tab/>
        </w:r>
        <w:r w:rsidR="008618F2" w:rsidRPr="00DC3933">
          <w:rPr>
            <w:rStyle w:val="Hyperlink"/>
            <w:noProof/>
          </w:rPr>
          <w:t>Columns</w:t>
        </w:r>
        <w:r w:rsidR="008618F2">
          <w:rPr>
            <w:noProof/>
            <w:webHidden/>
          </w:rPr>
          <w:tab/>
        </w:r>
        <w:r w:rsidR="008618F2">
          <w:rPr>
            <w:noProof/>
            <w:webHidden/>
          </w:rPr>
          <w:fldChar w:fldCharType="begin"/>
        </w:r>
        <w:r w:rsidR="008618F2">
          <w:rPr>
            <w:noProof/>
            <w:webHidden/>
          </w:rPr>
          <w:instrText xml:space="preserve"> PAGEREF _Toc134197898 \h </w:instrText>
        </w:r>
        <w:r w:rsidR="008618F2">
          <w:rPr>
            <w:noProof/>
            <w:webHidden/>
          </w:rPr>
        </w:r>
        <w:r w:rsidR="008618F2">
          <w:rPr>
            <w:noProof/>
            <w:webHidden/>
          </w:rPr>
          <w:fldChar w:fldCharType="separate"/>
        </w:r>
        <w:r w:rsidR="000720CB">
          <w:rPr>
            <w:noProof/>
            <w:webHidden/>
          </w:rPr>
          <w:t>103</w:t>
        </w:r>
        <w:r w:rsidR="008618F2">
          <w:rPr>
            <w:noProof/>
            <w:webHidden/>
          </w:rPr>
          <w:fldChar w:fldCharType="end"/>
        </w:r>
      </w:hyperlink>
    </w:p>
    <w:p w14:paraId="110C1BC5" w14:textId="72B061C6" w:rsidR="008618F2" w:rsidRDefault="009B5CEC" w:rsidP="008618F2">
      <w:pPr>
        <w:pStyle w:val="TOC3"/>
        <w:jc w:val="left"/>
        <w:rPr>
          <w:rFonts w:asciiTheme="minorHAnsi" w:eastAsiaTheme="minorEastAsia" w:hAnsiTheme="minorHAnsi" w:cstheme="minorBidi"/>
          <w:b w:val="0"/>
          <w:noProof/>
          <w:szCs w:val="22"/>
          <w:lang w:eastAsia="en-GB"/>
        </w:rPr>
      </w:pPr>
      <w:hyperlink w:anchor="_Toc134197899" w:history="1">
        <w:r w:rsidR="008618F2" w:rsidRPr="00DC3933">
          <w:rPr>
            <w:rStyle w:val="Hyperlink"/>
            <w:noProof/>
          </w:rPr>
          <w:t>10.6.1</w:t>
        </w:r>
        <w:r w:rsidR="008618F2">
          <w:rPr>
            <w:rFonts w:asciiTheme="minorHAnsi" w:eastAsiaTheme="minorEastAsia" w:hAnsiTheme="minorHAnsi" w:cstheme="minorBidi"/>
            <w:b w:val="0"/>
            <w:noProof/>
            <w:szCs w:val="22"/>
            <w:lang w:eastAsia="en-GB"/>
          </w:rPr>
          <w:tab/>
        </w:r>
        <w:r w:rsidR="008618F2" w:rsidRPr="00DC3933">
          <w:rPr>
            <w:rStyle w:val="Hyperlink"/>
            <w:noProof/>
          </w:rPr>
          <w:t>Geometrical and other provisions</w:t>
        </w:r>
        <w:r w:rsidR="008618F2">
          <w:rPr>
            <w:noProof/>
            <w:webHidden/>
          </w:rPr>
          <w:tab/>
        </w:r>
        <w:r w:rsidR="008618F2">
          <w:rPr>
            <w:noProof/>
            <w:webHidden/>
          </w:rPr>
          <w:fldChar w:fldCharType="begin"/>
        </w:r>
        <w:r w:rsidR="008618F2">
          <w:rPr>
            <w:noProof/>
            <w:webHidden/>
          </w:rPr>
          <w:instrText xml:space="preserve"> PAGEREF _Toc134197899 \h </w:instrText>
        </w:r>
        <w:r w:rsidR="008618F2">
          <w:rPr>
            <w:noProof/>
            <w:webHidden/>
          </w:rPr>
        </w:r>
        <w:r w:rsidR="008618F2">
          <w:rPr>
            <w:noProof/>
            <w:webHidden/>
          </w:rPr>
          <w:fldChar w:fldCharType="separate"/>
        </w:r>
        <w:r w:rsidR="000720CB">
          <w:rPr>
            <w:noProof/>
            <w:webHidden/>
          </w:rPr>
          <w:t>103</w:t>
        </w:r>
        <w:r w:rsidR="008618F2">
          <w:rPr>
            <w:noProof/>
            <w:webHidden/>
          </w:rPr>
          <w:fldChar w:fldCharType="end"/>
        </w:r>
      </w:hyperlink>
    </w:p>
    <w:p w14:paraId="18922125" w14:textId="703C85A7" w:rsidR="008618F2" w:rsidRDefault="009B5CEC" w:rsidP="008618F2">
      <w:pPr>
        <w:pStyle w:val="TOC3"/>
        <w:jc w:val="left"/>
        <w:rPr>
          <w:rFonts w:asciiTheme="minorHAnsi" w:eastAsiaTheme="minorEastAsia" w:hAnsiTheme="minorHAnsi" w:cstheme="minorBidi"/>
          <w:b w:val="0"/>
          <w:noProof/>
          <w:szCs w:val="22"/>
          <w:lang w:eastAsia="en-GB"/>
        </w:rPr>
      </w:pPr>
      <w:hyperlink w:anchor="_Toc134197900" w:history="1">
        <w:r w:rsidR="008618F2" w:rsidRPr="00DC3933">
          <w:rPr>
            <w:rStyle w:val="Hyperlink"/>
            <w:noProof/>
          </w:rPr>
          <w:t>10.6.2</w:t>
        </w:r>
        <w:r w:rsidR="008618F2">
          <w:rPr>
            <w:rFonts w:asciiTheme="minorHAnsi" w:eastAsiaTheme="minorEastAsia" w:hAnsiTheme="minorHAnsi" w:cstheme="minorBidi"/>
            <w:b w:val="0"/>
            <w:noProof/>
            <w:szCs w:val="22"/>
            <w:lang w:eastAsia="en-GB"/>
          </w:rPr>
          <w:tab/>
        </w:r>
        <w:r w:rsidR="008618F2" w:rsidRPr="00DC3933">
          <w:rPr>
            <w:rStyle w:val="Hyperlink"/>
            <w:noProof/>
          </w:rPr>
          <w:t>Design action effects</w:t>
        </w:r>
        <w:r w:rsidR="008618F2">
          <w:rPr>
            <w:noProof/>
            <w:webHidden/>
          </w:rPr>
          <w:tab/>
        </w:r>
        <w:r w:rsidR="008618F2">
          <w:rPr>
            <w:noProof/>
            <w:webHidden/>
          </w:rPr>
          <w:fldChar w:fldCharType="begin"/>
        </w:r>
        <w:r w:rsidR="008618F2">
          <w:rPr>
            <w:noProof/>
            <w:webHidden/>
          </w:rPr>
          <w:instrText xml:space="preserve"> PAGEREF _Toc134197900 \h </w:instrText>
        </w:r>
        <w:r w:rsidR="008618F2">
          <w:rPr>
            <w:noProof/>
            <w:webHidden/>
          </w:rPr>
        </w:r>
        <w:r w:rsidR="008618F2">
          <w:rPr>
            <w:noProof/>
            <w:webHidden/>
          </w:rPr>
          <w:fldChar w:fldCharType="separate"/>
        </w:r>
        <w:r w:rsidR="000720CB">
          <w:rPr>
            <w:noProof/>
            <w:webHidden/>
          </w:rPr>
          <w:t>103</w:t>
        </w:r>
        <w:r w:rsidR="008618F2">
          <w:rPr>
            <w:noProof/>
            <w:webHidden/>
          </w:rPr>
          <w:fldChar w:fldCharType="end"/>
        </w:r>
      </w:hyperlink>
    </w:p>
    <w:p w14:paraId="390E5458" w14:textId="246165BA" w:rsidR="008618F2" w:rsidRDefault="009B5CEC" w:rsidP="008618F2">
      <w:pPr>
        <w:pStyle w:val="TOC3"/>
        <w:jc w:val="left"/>
        <w:rPr>
          <w:rFonts w:asciiTheme="minorHAnsi" w:eastAsiaTheme="minorEastAsia" w:hAnsiTheme="minorHAnsi" w:cstheme="minorBidi"/>
          <w:b w:val="0"/>
          <w:noProof/>
          <w:szCs w:val="22"/>
          <w:lang w:eastAsia="en-GB"/>
        </w:rPr>
      </w:pPr>
      <w:hyperlink w:anchor="_Toc134197901" w:history="1">
        <w:r w:rsidR="008618F2" w:rsidRPr="00DC3933">
          <w:rPr>
            <w:rStyle w:val="Hyperlink"/>
            <w:noProof/>
          </w:rPr>
          <w:t>10.6.3</w:t>
        </w:r>
        <w:r w:rsidR="008618F2">
          <w:rPr>
            <w:rFonts w:asciiTheme="minorHAnsi" w:eastAsiaTheme="minorEastAsia" w:hAnsiTheme="minorHAnsi" w:cstheme="minorBidi"/>
            <w:b w:val="0"/>
            <w:noProof/>
            <w:szCs w:val="22"/>
            <w:lang w:eastAsia="en-GB"/>
          </w:rPr>
          <w:tab/>
        </w:r>
        <w:r w:rsidR="008618F2" w:rsidRPr="00DC3933">
          <w:rPr>
            <w:rStyle w:val="Hyperlink"/>
            <w:noProof/>
          </w:rPr>
          <w:t>SD limit state verifications and detailing</w:t>
        </w:r>
        <w:r w:rsidR="008618F2">
          <w:rPr>
            <w:noProof/>
            <w:webHidden/>
          </w:rPr>
          <w:tab/>
        </w:r>
        <w:r w:rsidR="008618F2">
          <w:rPr>
            <w:noProof/>
            <w:webHidden/>
          </w:rPr>
          <w:fldChar w:fldCharType="begin"/>
        </w:r>
        <w:r w:rsidR="008618F2">
          <w:rPr>
            <w:noProof/>
            <w:webHidden/>
          </w:rPr>
          <w:instrText xml:space="preserve"> PAGEREF _Toc134197901 \h </w:instrText>
        </w:r>
        <w:r w:rsidR="008618F2">
          <w:rPr>
            <w:noProof/>
            <w:webHidden/>
          </w:rPr>
        </w:r>
        <w:r w:rsidR="008618F2">
          <w:rPr>
            <w:noProof/>
            <w:webHidden/>
          </w:rPr>
          <w:fldChar w:fldCharType="separate"/>
        </w:r>
        <w:r w:rsidR="000720CB">
          <w:rPr>
            <w:noProof/>
            <w:webHidden/>
          </w:rPr>
          <w:t>104</w:t>
        </w:r>
        <w:r w:rsidR="008618F2">
          <w:rPr>
            <w:noProof/>
            <w:webHidden/>
          </w:rPr>
          <w:fldChar w:fldCharType="end"/>
        </w:r>
      </w:hyperlink>
    </w:p>
    <w:p w14:paraId="75C68DE1" w14:textId="5616BEF2" w:rsidR="008618F2" w:rsidRDefault="009B5CEC" w:rsidP="008618F2">
      <w:pPr>
        <w:pStyle w:val="TOC2"/>
        <w:jc w:val="left"/>
        <w:rPr>
          <w:rFonts w:asciiTheme="minorHAnsi" w:eastAsiaTheme="minorEastAsia" w:hAnsiTheme="minorHAnsi" w:cstheme="minorBidi"/>
          <w:b w:val="0"/>
          <w:noProof/>
          <w:szCs w:val="22"/>
          <w:lang w:eastAsia="en-GB"/>
        </w:rPr>
      </w:pPr>
      <w:hyperlink w:anchor="_Toc134197902" w:history="1">
        <w:r w:rsidR="008618F2" w:rsidRPr="00DC3933">
          <w:rPr>
            <w:rStyle w:val="Hyperlink"/>
            <w:noProof/>
          </w:rPr>
          <w:t>10.7</w:t>
        </w:r>
        <w:r w:rsidR="008618F2">
          <w:rPr>
            <w:rFonts w:asciiTheme="minorHAnsi" w:eastAsiaTheme="minorEastAsia" w:hAnsiTheme="minorHAnsi" w:cstheme="minorBidi"/>
            <w:b w:val="0"/>
            <w:noProof/>
            <w:szCs w:val="22"/>
            <w:lang w:eastAsia="en-GB"/>
          </w:rPr>
          <w:tab/>
        </w:r>
        <w:r w:rsidR="008618F2" w:rsidRPr="00DC3933">
          <w:rPr>
            <w:rStyle w:val="Hyperlink"/>
            <w:noProof/>
          </w:rPr>
          <w:t>Beam-column joints</w:t>
        </w:r>
        <w:r w:rsidR="008618F2">
          <w:rPr>
            <w:noProof/>
            <w:webHidden/>
          </w:rPr>
          <w:tab/>
        </w:r>
        <w:r w:rsidR="008618F2">
          <w:rPr>
            <w:noProof/>
            <w:webHidden/>
          </w:rPr>
          <w:fldChar w:fldCharType="begin"/>
        </w:r>
        <w:r w:rsidR="008618F2">
          <w:rPr>
            <w:noProof/>
            <w:webHidden/>
          </w:rPr>
          <w:instrText xml:space="preserve"> PAGEREF _Toc134197902 \h </w:instrText>
        </w:r>
        <w:r w:rsidR="008618F2">
          <w:rPr>
            <w:noProof/>
            <w:webHidden/>
          </w:rPr>
        </w:r>
        <w:r w:rsidR="008618F2">
          <w:rPr>
            <w:noProof/>
            <w:webHidden/>
          </w:rPr>
          <w:fldChar w:fldCharType="separate"/>
        </w:r>
        <w:r w:rsidR="000720CB">
          <w:rPr>
            <w:noProof/>
            <w:webHidden/>
          </w:rPr>
          <w:t>106</w:t>
        </w:r>
        <w:r w:rsidR="008618F2">
          <w:rPr>
            <w:noProof/>
            <w:webHidden/>
          </w:rPr>
          <w:fldChar w:fldCharType="end"/>
        </w:r>
      </w:hyperlink>
    </w:p>
    <w:p w14:paraId="5D3DEFBE" w14:textId="6DA3AFED" w:rsidR="008618F2" w:rsidRDefault="009B5CEC" w:rsidP="008618F2">
      <w:pPr>
        <w:pStyle w:val="TOC2"/>
        <w:jc w:val="left"/>
        <w:rPr>
          <w:rFonts w:asciiTheme="minorHAnsi" w:eastAsiaTheme="minorEastAsia" w:hAnsiTheme="minorHAnsi" w:cstheme="minorBidi"/>
          <w:b w:val="0"/>
          <w:noProof/>
          <w:szCs w:val="22"/>
          <w:lang w:eastAsia="en-GB"/>
        </w:rPr>
      </w:pPr>
      <w:hyperlink w:anchor="_Toc134197903" w:history="1">
        <w:r w:rsidR="008618F2" w:rsidRPr="00DC3933">
          <w:rPr>
            <w:rStyle w:val="Hyperlink"/>
            <w:noProof/>
          </w:rPr>
          <w:t>10.8</w:t>
        </w:r>
        <w:r w:rsidR="008618F2">
          <w:rPr>
            <w:rFonts w:asciiTheme="minorHAnsi" w:eastAsiaTheme="minorEastAsia" w:hAnsiTheme="minorHAnsi" w:cstheme="minorBidi"/>
            <w:b w:val="0"/>
            <w:noProof/>
            <w:szCs w:val="22"/>
            <w:lang w:eastAsia="en-GB"/>
          </w:rPr>
          <w:tab/>
        </w:r>
        <w:r w:rsidR="008618F2" w:rsidRPr="00DC3933">
          <w:rPr>
            <w:rStyle w:val="Hyperlink"/>
            <w:noProof/>
          </w:rPr>
          <w:t>Ductile walls</w:t>
        </w:r>
        <w:r w:rsidR="008618F2">
          <w:rPr>
            <w:noProof/>
            <w:webHidden/>
          </w:rPr>
          <w:tab/>
        </w:r>
        <w:r w:rsidR="008618F2">
          <w:rPr>
            <w:noProof/>
            <w:webHidden/>
          </w:rPr>
          <w:fldChar w:fldCharType="begin"/>
        </w:r>
        <w:r w:rsidR="008618F2">
          <w:rPr>
            <w:noProof/>
            <w:webHidden/>
          </w:rPr>
          <w:instrText xml:space="preserve"> PAGEREF _Toc134197903 \h </w:instrText>
        </w:r>
        <w:r w:rsidR="008618F2">
          <w:rPr>
            <w:noProof/>
            <w:webHidden/>
          </w:rPr>
        </w:r>
        <w:r w:rsidR="008618F2">
          <w:rPr>
            <w:noProof/>
            <w:webHidden/>
          </w:rPr>
          <w:fldChar w:fldCharType="separate"/>
        </w:r>
        <w:r w:rsidR="000720CB">
          <w:rPr>
            <w:noProof/>
            <w:webHidden/>
          </w:rPr>
          <w:t>108</w:t>
        </w:r>
        <w:r w:rsidR="008618F2">
          <w:rPr>
            <w:noProof/>
            <w:webHidden/>
          </w:rPr>
          <w:fldChar w:fldCharType="end"/>
        </w:r>
      </w:hyperlink>
    </w:p>
    <w:p w14:paraId="2C23215E" w14:textId="2A6D004F" w:rsidR="008618F2" w:rsidRDefault="009B5CEC" w:rsidP="008618F2">
      <w:pPr>
        <w:pStyle w:val="TOC3"/>
        <w:jc w:val="left"/>
        <w:rPr>
          <w:rFonts w:asciiTheme="minorHAnsi" w:eastAsiaTheme="minorEastAsia" w:hAnsiTheme="minorHAnsi" w:cstheme="minorBidi"/>
          <w:b w:val="0"/>
          <w:noProof/>
          <w:szCs w:val="22"/>
          <w:lang w:eastAsia="en-GB"/>
        </w:rPr>
      </w:pPr>
      <w:hyperlink w:anchor="_Toc134197904" w:history="1">
        <w:r w:rsidR="008618F2" w:rsidRPr="00DC3933">
          <w:rPr>
            <w:rStyle w:val="Hyperlink"/>
            <w:noProof/>
          </w:rPr>
          <w:t>10.8.1</w:t>
        </w:r>
        <w:r w:rsidR="008618F2">
          <w:rPr>
            <w:rFonts w:asciiTheme="minorHAnsi" w:eastAsiaTheme="minorEastAsia" w:hAnsiTheme="minorHAnsi" w:cstheme="minorBidi"/>
            <w:b w:val="0"/>
            <w:noProof/>
            <w:szCs w:val="22"/>
            <w:lang w:eastAsia="en-GB"/>
          </w:rPr>
          <w:tab/>
        </w:r>
        <w:r w:rsidR="008618F2" w:rsidRPr="00DC3933">
          <w:rPr>
            <w:rStyle w:val="Hyperlink"/>
            <w:noProof/>
          </w:rPr>
          <w:t>Geometrical and other constraints</w:t>
        </w:r>
        <w:r w:rsidR="008618F2">
          <w:rPr>
            <w:noProof/>
            <w:webHidden/>
          </w:rPr>
          <w:tab/>
        </w:r>
        <w:r w:rsidR="008618F2">
          <w:rPr>
            <w:noProof/>
            <w:webHidden/>
          </w:rPr>
          <w:fldChar w:fldCharType="begin"/>
        </w:r>
        <w:r w:rsidR="008618F2">
          <w:rPr>
            <w:noProof/>
            <w:webHidden/>
          </w:rPr>
          <w:instrText xml:space="preserve"> PAGEREF _Toc134197904 \h </w:instrText>
        </w:r>
        <w:r w:rsidR="008618F2">
          <w:rPr>
            <w:noProof/>
            <w:webHidden/>
          </w:rPr>
        </w:r>
        <w:r w:rsidR="008618F2">
          <w:rPr>
            <w:noProof/>
            <w:webHidden/>
          </w:rPr>
          <w:fldChar w:fldCharType="separate"/>
        </w:r>
        <w:r w:rsidR="000720CB">
          <w:rPr>
            <w:noProof/>
            <w:webHidden/>
          </w:rPr>
          <w:t>108</w:t>
        </w:r>
        <w:r w:rsidR="008618F2">
          <w:rPr>
            <w:noProof/>
            <w:webHidden/>
          </w:rPr>
          <w:fldChar w:fldCharType="end"/>
        </w:r>
      </w:hyperlink>
    </w:p>
    <w:p w14:paraId="5AC3E8B7" w14:textId="64DA1ACC" w:rsidR="008618F2" w:rsidRDefault="009B5CEC" w:rsidP="008618F2">
      <w:pPr>
        <w:pStyle w:val="TOC3"/>
        <w:jc w:val="left"/>
        <w:rPr>
          <w:rFonts w:asciiTheme="minorHAnsi" w:eastAsiaTheme="minorEastAsia" w:hAnsiTheme="minorHAnsi" w:cstheme="minorBidi"/>
          <w:b w:val="0"/>
          <w:noProof/>
          <w:szCs w:val="22"/>
          <w:lang w:eastAsia="en-GB"/>
        </w:rPr>
      </w:pPr>
      <w:hyperlink w:anchor="_Toc134197905" w:history="1">
        <w:r w:rsidR="008618F2" w:rsidRPr="00DC3933">
          <w:rPr>
            <w:rStyle w:val="Hyperlink"/>
            <w:noProof/>
          </w:rPr>
          <w:t>10.8.2</w:t>
        </w:r>
        <w:r w:rsidR="008618F2">
          <w:rPr>
            <w:rFonts w:asciiTheme="minorHAnsi" w:eastAsiaTheme="minorEastAsia" w:hAnsiTheme="minorHAnsi" w:cstheme="minorBidi"/>
            <w:b w:val="0"/>
            <w:noProof/>
            <w:szCs w:val="22"/>
            <w:lang w:eastAsia="en-GB"/>
          </w:rPr>
          <w:tab/>
        </w:r>
        <w:r w:rsidR="008618F2" w:rsidRPr="00DC3933">
          <w:rPr>
            <w:rStyle w:val="Hyperlink"/>
            <w:noProof/>
          </w:rPr>
          <w:t>Design action effects</w:t>
        </w:r>
        <w:r w:rsidR="008618F2">
          <w:rPr>
            <w:noProof/>
            <w:webHidden/>
          </w:rPr>
          <w:tab/>
        </w:r>
        <w:r w:rsidR="008618F2">
          <w:rPr>
            <w:noProof/>
            <w:webHidden/>
          </w:rPr>
          <w:fldChar w:fldCharType="begin"/>
        </w:r>
        <w:r w:rsidR="008618F2">
          <w:rPr>
            <w:noProof/>
            <w:webHidden/>
          </w:rPr>
          <w:instrText xml:space="preserve"> PAGEREF _Toc134197905 \h </w:instrText>
        </w:r>
        <w:r w:rsidR="008618F2">
          <w:rPr>
            <w:noProof/>
            <w:webHidden/>
          </w:rPr>
        </w:r>
        <w:r w:rsidR="008618F2">
          <w:rPr>
            <w:noProof/>
            <w:webHidden/>
          </w:rPr>
          <w:fldChar w:fldCharType="separate"/>
        </w:r>
        <w:r w:rsidR="000720CB">
          <w:rPr>
            <w:noProof/>
            <w:webHidden/>
          </w:rPr>
          <w:t>109</w:t>
        </w:r>
        <w:r w:rsidR="008618F2">
          <w:rPr>
            <w:noProof/>
            <w:webHidden/>
          </w:rPr>
          <w:fldChar w:fldCharType="end"/>
        </w:r>
      </w:hyperlink>
    </w:p>
    <w:p w14:paraId="28C39EF5" w14:textId="06F8DD10" w:rsidR="008618F2" w:rsidRDefault="009B5CEC" w:rsidP="008618F2">
      <w:pPr>
        <w:pStyle w:val="TOC3"/>
        <w:jc w:val="left"/>
        <w:rPr>
          <w:rFonts w:asciiTheme="minorHAnsi" w:eastAsiaTheme="minorEastAsia" w:hAnsiTheme="minorHAnsi" w:cstheme="minorBidi"/>
          <w:b w:val="0"/>
          <w:noProof/>
          <w:szCs w:val="22"/>
          <w:lang w:eastAsia="en-GB"/>
        </w:rPr>
      </w:pPr>
      <w:hyperlink w:anchor="_Toc134197906" w:history="1">
        <w:r w:rsidR="008618F2" w:rsidRPr="00DC3933">
          <w:rPr>
            <w:rStyle w:val="Hyperlink"/>
            <w:noProof/>
          </w:rPr>
          <w:t>10.8.3</w:t>
        </w:r>
        <w:r w:rsidR="008618F2">
          <w:rPr>
            <w:rFonts w:asciiTheme="minorHAnsi" w:eastAsiaTheme="minorEastAsia" w:hAnsiTheme="minorHAnsi" w:cstheme="minorBidi"/>
            <w:b w:val="0"/>
            <w:noProof/>
            <w:szCs w:val="22"/>
            <w:lang w:eastAsia="en-GB"/>
          </w:rPr>
          <w:tab/>
        </w:r>
        <w:r w:rsidR="008618F2" w:rsidRPr="00DC3933">
          <w:rPr>
            <w:rStyle w:val="Hyperlink"/>
            <w:noProof/>
          </w:rPr>
          <w:t>SD limit state verifications and detailing</w:t>
        </w:r>
        <w:r w:rsidR="008618F2">
          <w:rPr>
            <w:noProof/>
            <w:webHidden/>
          </w:rPr>
          <w:tab/>
        </w:r>
        <w:r w:rsidR="008618F2">
          <w:rPr>
            <w:noProof/>
            <w:webHidden/>
          </w:rPr>
          <w:fldChar w:fldCharType="begin"/>
        </w:r>
        <w:r w:rsidR="008618F2">
          <w:rPr>
            <w:noProof/>
            <w:webHidden/>
          </w:rPr>
          <w:instrText xml:space="preserve"> PAGEREF _Toc134197906 \h </w:instrText>
        </w:r>
        <w:r w:rsidR="008618F2">
          <w:rPr>
            <w:noProof/>
            <w:webHidden/>
          </w:rPr>
        </w:r>
        <w:r w:rsidR="008618F2">
          <w:rPr>
            <w:noProof/>
            <w:webHidden/>
          </w:rPr>
          <w:fldChar w:fldCharType="separate"/>
        </w:r>
        <w:r w:rsidR="000720CB">
          <w:rPr>
            <w:noProof/>
            <w:webHidden/>
          </w:rPr>
          <w:t>111</w:t>
        </w:r>
        <w:r w:rsidR="008618F2">
          <w:rPr>
            <w:noProof/>
            <w:webHidden/>
          </w:rPr>
          <w:fldChar w:fldCharType="end"/>
        </w:r>
      </w:hyperlink>
    </w:p>
    <w:p w14:paraId="73B5D4BF" w14:textId="475985B7" w:rsidR="008618F2" w:rsidRDefault="009B5CEC" w:rsidP="008618F2">
      <w:pPr>
        <w:pStyle w:val="TOC2"/>
        <w:jc w:val="left"/>
        <w:rPr>
          <w:rFonts w:asciiTheme="minorHAnsi" w:eastAsiaTheme="minorEastAsia" w:hAnsiTheme="minorHAnsi" w:cstheme="minorBidi"/>
          <w:b w:val="0"/>
          <w:noProof/>
          <w:szCs w:val="22"/>
          <w:lang w:eastAsia="en-GB"/>
        </w:rPr>
      </w:pPr>
      <w:hyperlink w:anchor="_Toc134197907" w:history="1">
        <w:r w:rsidR="008618F2" w:rsidRPr="00DC3933">
          <w:rPr>
            <w:rStyle w:val="Hyperlink"/>
            <w:noProof/>
          </w:rPr>
          <w:t>10.9</w:t>
        </w:r>
        <w:r w:rsidR="008618F2">
          <w:rPr>
            <w:rFonts w:asciiTheme="minorHAnsi" w:eastAsiaTheme="minorEastAsia" w:hAnsiTheme="minorHAnsi" w:cstheme="minorBidi"/>
            <w:b w:val="0"/>
            <w:noProof/>
            <w:szCs w:val="22"/>
            <w:lang w:eastAsia="en-GB"/>
          </w:rPr>
          <w:tab/>
        </w:r>
        <w:r w:rsidR="008618F2" w:rsidRPr="00DC3933">
          <w:rPr>
            <w:rStyle w:val="Hyperlink"/>
            <w:noProof/>
          </w:rPr>
          <w:t>Large walls</w:t>
        </w:r>
        <w:r w:rsidR="008618F2">
          <w:rPr>
            <w:noProof/>
            <w:webHidden/>
          </w:rPr>
          <w:tab/>
        </w:r>
        <w:r w:rsidR="008618F2">
          <w:rPr>
            <w:noProof/>
            <w:webHidden/>
          </w:rPr>
          <w:fldChar w:fldCharType="begin"/>
        </w:r>
        <w:r w:rsidR="008618F2">
          <w:rPr>
            <w:noProof/>
            <w:webHidden/>
          </w:rPr>
          <w:instrText xml:space="preserve"> PAGEREF _Toc134197907 \h </w:instrText>
        </w:r>
        <w:r w:rsidR="008618F2">
          <w:rPr>
            <w:noProof/>
            <w:webHidden/>
          </w:rPr>
        </w:r>
        <w:r w:rsidR="008618F2">
          <w:rPr>
            <w:noProof/>
            <w:webHidden/>
          </w:rPr>
          <w:fldChar w:fldCharType="separate"/>
        </w:r>
        <w:r w:rsidR="000720CB">
          <w:rPr>
            <w:noProof/>
            <w:webHidden/>
          </w:rPr>
          <w:t>116</w:t>
        </w:r>
        <w:r w:rsidR="008618F2">
          <w:rPr>
            <w:noProof/>
            <w:webHidden/>
          </w:rPr>
          <w:fldChar w:fldCharType="end"/>
        </w:r>
      </w:hyperlink>
    </w:p>
    <w:p w14:paraId="21AFA8FC" w14:textId="4AC9D443" w:rsidR="008618F2" w:rsidRDefault="009B5CEC" w:rsidP="008618F2">
      <w:pPr>
        <w:pStyle w:val="TOC3"/>
        <w:jc w:val="left"/>
        <w:rPr>
          <w:rFonts w:asciiTheme="minorHAnsi" w:eastAsiaTheme="minorEastAsia" w:hAnsiTheme="minorHAnsi" w:cstheme="minorBidi"/>
          <w:b w:val="0"/>
          <w:noProof/>
          <w:szCs w:val="22"/>
          <w:lang w:eastAsia="en-GB"/>
        </w:rPr>
      </w:pPr>
      <w:hyperlink w:anchor="_Toc134197908" w:history="1">
        <w:r w:rsidR="008618F2" w:rsidRPr="00DC3933">
          <w:rPr>
            <w:rStyle w:val="Hyperlink"/>
            <w:noProof/>
          </w:rPr>
          <w:t>10.9.1</w:t>
        </w:r>
        <w:r w:rsidR="008618F2">
          <w:rPr>
            <w:rFonts w:asciiTheme="minorHAnsi" w:eastAsiaTheme="minorEastAsia" w:hAnsiTheme="minorHAnsi" w:cstheme="minorBidi"/>
            <w:b w:val="0"/>
            <w:noProof/>
            <w:szCs w:val="22"/>
            <w:lang w:eastAsia="en-GB"/>
          </w:rPr>
          <w:tab/>
        </w:r>
        <w:r w:rsidR="008618F2" w:rsidRPr="00DC3933">
          <w:rPr>
            <w:rStyle w:val="Hyperlink"/>
            <w:noProof/>
          </w:rPr>
          <w:t>Geometrical provisions</w:t>
        </w:r>
        <w:r w:rsidR="008618F2">
          <w:rPr>
            <w:noProof/>
            <w:webHidden/>
          </w:rPr>
          <w:tab/>
        </w:r>
        <w:r w:rsidR="008618F2">
          <w:rPr>
            <w:noProof/>
            <w:webHidden/>
          </w:rPr>
          <w:fldChar w:fldCharType="begin"/>
        </w:r>
        <w:r w:rsidR="008618F2">
          <w:rPr>
            <w:noProof/>
            <w:webHidden/>
          </w:rPr>
          <w:instrText xml:space="preserve"> PAGEREF _Toc134197908 \h </w:instrText>
        </w:r>
        <w:r w:rsidR="008618F2">
          <w:rPr>
            <w:noProof/>
            <w:webHidden/>
          </w:rPr>
        </w:r>
        <w:r w:rsidR="008618F2">
          <w:rPr>
            <w:noProof/>
            <w:webHidden/>
          </w:rPr>
          <w:fldChar w:fldCharType="separate"/>
        </w:r>
        <w:r w:rsidR="000720CB">
          <w:rPr>
            <w:noProof/>
            <w:webHidden/>
          </w:rPr>
          <w:t>116</w:t>
        </w:r>
        <w:r w:rsidR="008618F2">
          <w:rPr>
            <w:noProof/>
            <w:webHidden/>
          </w:rPr>
          <w:fldChar w:fldCharType="end"/>
        </w:r>
      </w:hyperlink>
    </w:p>
    <w:p w14:paraId="6AF2A04A" w14:textId="3F2693A6" w:rsidR="008618F2" w:rsidRDefault="009B5CEC" w:rsidP="008618F2">
      <w:pPr>
        <w:pStyle w:val="TOC3"/>
        <w:jc w:val="left"/>
        <w:rPr>
          <w:rFonts w:asciiTheme="minorHAnsi" w:eastAsiaTheme="minorEastAsia" w:hAnsiTheme="minorHAnsi" w:cstheme="minorBidi"/>
          <w:b w:val="0"/>
          <w:noProof/>
          <w:szCs w:val="22"/>
          <w:lang w:eastAsia="en-GB"/>
        </w:rPr>
      </w:pPr>
      <w:hyperlink w:anchor="_Toc134197909" w:history="1">
        <w:r w:rsidR="008618F2" w:rsidRPr="00DC3933">
          <w:rPr>
            <w:rStyle w:val="Hyperlink"/>
            <w:noProof/>
          </w:rPr>
          <w:t>10.9.2</w:t>
        </w:r>
        <w:r w:rsidR="008618F2">
          <w:rPr>
            <w:rFonts w:asciiTheme="minorHAnsi" w:eastAsiaTheme="minorEastAsia" w:hAnsiTheme="minorHAnsi" w:cstheme="minorBidi"/>
            <w:b w:val="0"/>
            <w:noProof/>
            <w:szCs w:val="22"/>
            <w:lang w:eastAsia="en-GB"/>
          </w:rPr>
          <w:tab/>
        </w:r>
        <w:r w:rsidR="008618F2" w:rsidRPr="00DC3933">
          <w:rPr>
            <w:rStyle w:val="Hyperlink"/>
            <w:noProof/>
          </w:rPr>
          <w:t>Design action effects</w:t>
        </w:r>
        <w:r w:rsidR="008618F2">
          <w:rPr>
            <w:noProof/>
            <w:webHidden/>
          </w:rPr>
          <w:tab/>
        </w:r>
        <w:r w:rsidR="008618F2">
          <w:rPr>
            <w:noProof/>
            <w:webHidden/>
          </w:rPr>
          <w:fldChar w:fldCharType="begin"/>
        </w:r>
        <w:r w:rsidR="008618F2">
          <w:rPr>
            <w:noProof/>
            <w:webHidden/>
          </w:rPr>
          <w:instrText xml:space="preserve"> PAGEREF _Toc134197909 \h </w:instrText>
        </w:r>
        <w:r w:rsidR="008618F2">
          <w:rPr>
            <w:noProof/>
            <w:webHidden/>
          </w:rPr>
        </w:r>
        <w:r w:rsidR="008618F2">
          <w:rPr>
            <w:noProof/>
            <w:webHidden/>
          </w:rPr>
          <w:fldChar w:fldCharType="separate"/>
        </w:r>
        <w:r w:rsidR="000720CB">
          <w:rPr>
            <w:noProof/>
            <w:webHidden/>
          </w:rPr>
          <w:t>116</w:t>
        </w:r>
        <w:r w:rsidR="008618F2">
          <w:rPr>
            <w:noProof/>
            <w:webHidden/>
          </w:rPr>
          <w:fldChar w:fldCharType="end"/>
        </w:r>
      </w:hyperlink>
    </w:p>
    <w:p w14:paraId="78FC216D" w14:textId="4E9DB554" w:rsidR="008618F2" w:rsidRDefault="009B5CEC" w:rsidP="008618F2">
      <w:pPr>
        <w:pStyle w:val="TOC3"/>
        <w:jc w:val="left"/>
        <w:rPr>
          <w:rFonts w:asciiTheme="minorHAnsi" w:eastAsiaTheme="minorEastAsia" w:hAnsiTheme="minorHAnsi" w:cstheme="minorBidi"/>
          <w:b w:val="0"/>
          <w:noProof/>
          <w:szCs w:val="22"/>
          <w:lang w:eastAsia="en-GB"/>
        </w:rPr>
      </w:pPr>
      <w:hyperlink w:anchor="_Toc134197910" w:history="1">
        <w:r w:rsidR="008618F2" w:rsidRPr="00DC3933">
          <w:rPr>
            <w:rStyle w:val="Hyperlink"/>
            <w:noProof/>
          </w:rPr>
          <w:t>10.9.3</w:t>
        </w:r>
        <w:r w:rsidR="008618F2">
          <w:rPr>
            <w:rFonts w:asciiTheme="minorHAnsi" w:eastAsiaTheme="minorEastAsia" w:hAnsiTheme="minorHAnsi" w:cstheme="minorBidi"/>
            <w:b w:val="0"/>
            <w:noProof/>
            <w:szCs w:val="22"/>
            <w:lang w:eastAsia="en-GB"/>
          </w:rPr>
          <w:tab/>
        </w:r>
        <w:r w:rsidR="008618F2" w:rsidRPr="00DC3933">
          <w:rPr>
            <w:rStyle w:val="Hyperlink"/>
            <w:noProof/>
          </w:rPr>
          <w:t>SD limit state verifications and detailing</w:t>
        </w:r>
        <w:r w:rsidR="008618F2">
          <w:rPr>
            <w:noProof/>
            <w:webHidden/>
          </w:rPr>
          <w:tab/>
        </w:r>
        <w:r w:rsidR="008618F2">
          <w:rPr>
            <w:noProof/>
            <w:webHidden/>
          </w:rPr>
          <w:fldChar w:fldCharType="begin"/>
        </w:r>
        <w:r w:rsidR="008618F2">
          <w:rPr>
            <w:noProof/>
            <w:webHidden/>
          </w:rPr>
          <w:instrText xml:space="preserve"> PAGEREF _Toc134197910 \h </w:instrText>
        </w:r>
        <w:r w:rsidR="008618F2">
          <w:rPr>
            <w:noProof/>
            <w:webHidden/>
          </w:rPr>
        </w:r>
        <w:r w:rsidR="008618F2">
          <w:rPr>
            <w:noProof/>
            <w:webHidden/>
          </w:rPr>
          <w:fldChar w:fldCharType="separate"/>
        </w:r>
        <w:r w:rsidR="000720CB">
          <w:rPr>
            <w:noProof/>
            <w:webHidden/>
          </w:rPr>
          <w:t>117</w:t>
        </w:r>
        <w:r w:rsidR="008618F2">
          <w:rPr>
            <w:noProof/>
            <w:webHidden/>
          </w:rPr>
          <w:fldChar w:fldCharType="end"/>
        </w:r>
      </w:hyperlink>
    </w:p>
    <w:p w14:paraId="7B9B5E30" w14:textId="6D8060D3" w:rsidR="008618F2" w:rsidRDefault="009B5CEC" w:rsidP="008618F2">
      <w:pPr>
        <w:pStyle w:val="TOC2"/>
        <w:jc w:val="left"/>
        <w:rPr>
          <w:rFonts w:asciiTheme="minorHAnsi" w:eastAsiaTheme="minorEastAsia" w:hAnsiTheme="minorHAnsi" w:cstheme="minorBidi"/>
          <w:b w:val="0"/>
          <w:noProof/>
          <w:szCs w:val="22"/>
          <w:lang w:eastAsia="en-GB"/>
        </w:rPr>
      </w:pPr>
      <w:hyperlink w:anchor="_Toc134197911" w:history="1">
        <w:r w:rsidR="008618F2" w:rsidRPr="00DC3933">
          <w:rPr>
            <w:rStyle w:val="Hyperlink"/>
            <w:noProof/>
          </w:rPr>
          <w:t>10.10</w:t>
        </w:r>
        <w:r w:rsidR="008618F2">
          <w:rPr>
            <w:rFonts w:asciiTheme="minorHAnsi" w:eastAsiaTheme="minorEastAsia" w:hAnsiTheme="minorHAnsi" w:cstheme="minorBidi"/>
            <w:b w:val="0"/>
            <w:noProof/>
            <w:szCs w:val="22"/>
            <w:lang w:eastAsia="en-GB"/>
          </w:rPr>
          <w:tab/>
        </w:r>
        <w:r w:rsidR="008618F2" w:rsidRPr="00DC3933">
          <w:rPr>
            <w:rStyle w:val="Hyperlink"/>
            <w:noProof/>
          </w:rPr>
          <w:t>Flat slabs</w:t>
        </w:r>
        <w:r w:rsidR="008618F2">
          <w:rPr>
            <w:noProof/>
            <w:webHidden/>
          </w:rPr>
          <w:tab/>
        </w:r>
        <w:r w:rsidR="008618F2">
          <w:rPr>
            <w:noProof/>
            <w:webHidden/>
          </w:rPr>
          <w:fldChar w:fldCharType="begin"/>
        </w:r>
        <w:r w:rsidR="008618F2">
          <w:rPr>
            <w:noProof/>
            <w:webHidden/>
          </w:rPr>
          <w:instrText xml:space="preserve"> PAGEREF _Toc134197911 \h </w:instrText>
        </w:r>
        <w:r w:rsidR="008618F2">
          <w:rPr>
            <w:noProof/>
            <w:webHidden/>
          </w:rPr>
        </w:r>
        <w:r w:rsidR="008618F2">
          <w:rPr>
            <w:noProof/>
            <w:webHidden/>
          </w:rPr>
          <w:fldChar w:fldCharType="separate"/>
        </w:r>
        <w:r w:rsidR="000720CB">
          <w:rPr>
            <w:noProof/>
            <w:webHidden/>
          </w:rPr>
          <w:t>118</w:t>
        </w:r>
        <w:r w:rsidR="008618F2">
          <w:rPr>
            <w:noProof/>
            <w:webHidden/>
          </w:rPr>
          <w:fldChar w:fldCharType="end"/>
        </w:r>
      </w:hyperlink>
    </w:p>
    <w:p w14:paraId="12794091" w14:textId="761E7BCB" w:rsidR="008618F2" w:rsidRDefault="009B5CEC" w:rsidP="008618F2">
      <w:pPr>
        <w:pStyle w:val="TOC3"/>
        <w:tabs>
          <w:tab w:val="left" w:pos="1100"/>
        </w:tabs>
        <w:jc w:val="left"/>
        <w:rPr>
          <w:rFonts w:asciiTheme="minorHAnsi" w:eastAsiaTheme="minorEastAsia" w:hAnsiTheme="minorHAnsi" w:cstheme="minorBidi"/>
          <w:b w:val="0"/>
          <w:noProof/>
          <w:szCs w:val="22"/>
          <w:lang w:eastAsia="en-GB"/>
        </w:rPr>
      </w:pPr>
      <w:hyperlink w:anchor="_Toc134197912" w:history="1">
        <w:r w:rsidR="008618F2" w:rsidRPr="00DC3933">
          <w:rPr>
            <w:rStyle w:val="Hyperlink"/>
            <w:noProof/>
          </w:rPr>
          <w:t>10.10.1</w:t>
        </w:r>
        <w:r w:rsidR="008618F2">
          <w:rPr>
            <w:rFonts w:asciiTheme="minorHAnsi" w:eastAsiaTheme="minorEastAsia" w:hAnsiTheme="minorHAnsi" w:cstheme="minorBidi"/>
            <w:b w:val="0"/>
            <w:noProof/>
            <w:szCs w:val="22"/>
            <w:lang w:eastAsia="en-GB"/>
          </w:rPr>
          <w:tab/>
        </w:r>
        <w:r w:rsidR="008618F2" w:rsidRPr="00DC3933">
          <w:rPr>
            <w:rStyle w:val="Hyperlink"/>
            <w:noProof/>
          </w:rPr>
          <w:t>Basis of design</w:t>
        </w:r>
        <w:r w:rsidR="008618F2">
          <w:rPr>
            <w:noProof/>
            <w:webHidden/>
          </w:rPr>
          <w:tab/>
        </w:r>
        <w:r w:rsidR="008618F2">
          <w:rPr>
            <w:noProof/>
            <w:webHidden/>
          </w:rPr>
          <w:fldChar w:fldCharType="begin"/>
        </w:r>
        <w:r w:rsidR="008618F2">
          <w:rPr>
            <w:noProof/>
            <w:webHidden/>
          </w:rPr>
          <w:instrText xml:space="preserve"> PAGEREF _Toc134197912 \h </w:instrText>
        </w:r>
        <w:r w:rsidR="008618F2">
          <w:rPr>
            <w:noProof/>
            <w:webHidden/>
          </w:rPr>
        </w:r>
        <w:r w:rsidR="008618F2">
          <w:rPr>
            <w:noProof/>
            <w:webHidden/>
          </w:rPr>
          <w:fldChar w:fldCharType="separate"/>
        </w:r>
        <w:r w:rsidR="000720CB">
          <w:rPr>
            <w:noProof/>
            <w:webHidden/>
          </w:rPr>
          <w:t>118</w:t>
        </w:r>
        <w:r w:rsidR="008618F2">
          <w:rPr>
            <w:noProof/>
            <w:webHidden/>
          </w:rPr>
          <w:fldChar w:fldCharType="end"/>
        </w:r>
      </w:hyperlink>
    </w:p>
    <w:p w14:paraId="50AEA828" w14:textId="6F8B2E8A" w:rsidR="008618F2" w:rsidRDefault="009B5CEC" w:rsidP="008618F2">
      <w:pPr>
        <w:pStyle w:val="TOC3"/>
        <w:tabs>
          <w:tab w:val="left" w:pos="1100"/>
        </w:tabs>
        <w:jc w:val="left"/>
        <w:rPr>
          <w:rFonts w:asciiTheme="minorHAnsi" w:eastAsiaTheme="minorEastAsia" w:hAnsiTheme="minorHAnsi" w:cstheme="minorBidi"/>
          <w:b w:val="0"/>
          <w:noProof/>
          <w:szCs w:val="22"/>
          <w:lang w:eastAsia="en-GB"/>
        </w:rPr>
      </w:pPr>
      <w:hyperlink w:anchor="_Toc134197913" w:history="1">
        <w:r w:rsidR="008618F2" w:rsidRPr="00DC3933">
          <w:rPr>
            <w:rStyle w:val="Hyperlink"/>
            <w:noProof/>
          </w:rPr>
          <w:t>10.10.2</w:t>
        </w:r>
        <w:r w:rsidR="008618F2">
          <w:rPr>
            <w:rFonts w:asciiTheme="minorHAnsi" w:eastAsiaTheme="minorEastAsia" w:hAnsiTheme="minorHAnsi" w:cstheme="minorBidi"/>
            <w:b w:val="0"/>
            <w:noProof/>
            <w:szCs w:val="22"/>
            <w:lang w:eastAsia="en-GB"/>
          </w:rPr>
          <w:tab/>
        </w:r>
        <w:r w:rsidR="008618F2" w:rsidRPr="00DC3933">
          <w:rPr>
            <w:rStyle w:val="Hyperlink"/>
            <w:noProof/>
          </w:rPr>
          <w:t>SD limit state verifications and detailing</w:t>
        </w:r>
        <w:r w:rsidR="008618F2">
          <w:rPr>
            <w:noProof/>
            <w:webHidden/>
          </w:rPr>
          <w:tab/>
        </w:r>
        <w:r w:rsidR="008618F2">
          <w:rPr>
            <w:noProof/>
            <w:webHidden/>
          </w:rPr>
          <w:fldChar w:fldCharType="begin"/>
        </w:r>
        <w:r w:rsidR="008618F2">
          <w:rPr>
            <w:noProof/>
            <w:webHidden/>
          </w:rPr>
          <w:instrText xml:space="preserve"> PAGEREF _Toc134197913 \h </w:instrText>
        </w:r>
        <w:r w:rsidR="008618F2">
          <w:rPr>
            <w:noProof/>
            <w:webHidden/>
          </w:rPr>
        </w:r>
        <w:r w:rsidR="008618F2">
          <w:rPr>
            <w:noProof/>
            <w:webHidden/>
          </w:rPr>
          <w:fldChar w:fldCharType="separate"/>
        </w:r>
        <w:r w:rsidR="000720CB">
          <w:rPr>
            <w:noProof/>
            <w:webHidden/>
          </w:rPr>
          <w:t>119</w:t>
        </w:r>
        <w:r w:rsidR="008618F2">
          <w:rPr>
            <w:noProof/>
            <w:webHidden/>
          </w:rPr>
          <w:fldChar w:fldCharType="end"/>
        </w:r>
      </w:hyperlink>
    </w:p>
    <w:p w14:paraId="5775EA2F" w14:textId="1B19C394" w:rsidR="008618F2" w:rsidRDefault="009B5CEC" w:rsidP="008618F2">
      <w:pPr>
        <w:pStyle w:val="TOC2"/>
        <w:jc w:val="left"/>
        <w:rPr>
          <w:rFonts w:asciiTheme="minorHAnsi" w:eastAsiaTheme="minorEastAsia" w:hAnsiTheme="minorHAnsi" w:cstheme="minorBidi"/>
          <w:b w:val="0"/>
          <w:noProof/>
          <w:szCs w:val="22"/>
          <w:lang w:eastAsia="en-GB"/>
        </w:rPr>
      </w:pPr>
      <w:hyperlink w:anchor="_Toc134197914" w:history="1">
        <w:r w:rsidR="008618F2" w:rsidRPr="00DC3933">
          <w:rPr>
            <w:rStyle w:val="Hyperlink"/>
            <w:noProof/>
          </w:rPr>
          <w:t>10.11</w:t>
        </w:r>
        <w:r w:rsidR="008618F2">
          <w:rPr>
            <w:rFonts w:asciiTheme="minorHAnsi" w:eastAsiaTheme="minorEastAsia" w:hAnsiTheme="minorHAnsi" w:cstheme="minorBidi"/>
            <w:b w:val="0"/>
            <w:noProof/>
            <w:szCs w:val="22"/>
            <w:lang w:eastAsia="en-GB"/>
          </w:rPr>
          <w:tab/>
        </w:r>
        <w:r w:rsidR="008618F2" w:rsidRPr="00DC3933">
          <w:rPr>
            <w:rStyle w:val="Hyperlink"/>
            <w:noProof/>
          </w:rPr>
          <w:t>Provisions for anchorages and laps</w:t>
        </w:r>
        <w:r w:rsidR="008618F2">
          <w:rPr>
            <w:noProof/>
            <w:webHidden/>
          </w:rPr>
          <w:tab/>
        </w:r>
        <w:r w:rsidR="008618F2">
          <w:rPr>
            <w:noProof/>
            <w:webHidden/>
          </w:rPr>
          <w:fldChar w:fldCharType="begin"/>
        </w:r>
        <w:r w:rsidR="008618F2">
          <w:rPr>
            <w:noProof/>
            <w:webHidden/>
          </w:rPr>
          <w:instrText xml:space="preserve"> PAGEREF _Toc134197914 \h </w:instrText>
        </w:r>
        <w:r w:rsidR="008618F2">
          <w:rPr>
            <w:noProof/>
            <w:webHidden/>
          </w:rPr>
        </w:r>
        <w:r w:rsidR="008618F2">
          <w:rPr>
            <w:noProof/>
            <w:webHidden/>
          </w:rPr>
          <w:fldChar w:fldCharType="separate"/>
        </w:r>
        <w:r w:rsidR="000720CB">
          <w:rPr>
            <w:noProof/>
            <w:webHidden/>
          </w:rPr>
          <w:t>124</w:t>
        </w:r>
        <w:r w:rsidR="008618F2">
          <w:rPr>
            <w:noProof/>
            <w:webHidden/>
          </w:rPr>
          <w:fldChar w:fldCharType="end"/>
        </w:r>
      </w:hyperlink>
    </w:p>
    <w:p w14:paraId="61A5FD3D" w14:textId="6F7DFB7E" w:rsidR="008618F2" w:rsidRDefault="009B5CEC" w:rsidP="008618F2">
      <w:pPr>
        <w:pStyle w:val="TOC3"/>
        <w:tabs>
          <w:tab w:val="left" w:pos="1100"/>
        </w:tabs>
        <w:jc w:val="left"/>
        <w:rPr>
          <w:rFonts w:asciiTheme="minorHAnsi" w:eastAsiaTheme="minorEastAsia" w:hAnsiTheme="minorHAnsi" w:cstheme="minorBidi"/>
          <w:b w:val="0"/>
          <w:noProof/>
          <w:szCs w:val="22"/>
          <w:lang w:eastAsia="en-GB"/>
        </w:rPr>
      </w:pPr>
      <w:hyperlink w:anchor="_Toc134197915" w:history="1">
        <w:r w:rsidR="008618F2" w:rsidRPr="00DC3933">
          <w:rPr>
            <w:rStyle w:val="Hyperlink"/>
            <w:noProof/>
          </w:rPr>
          <w:t>10.11.1</w:t>
        </w:r>
        <w:r w:rsidR="008618F2">
          <w:rPr>
            <w:rFonts w:asciiTheme="minorHAnsi" w:eastAsiaTheme="minorEastAsia" w:hAnsiTheme="minorHAnsi" w:cstheme="minorBidi"/>
            <w:b w:val="0"/>
            <w:noProof/>
            <w:szCs w:val="22"/>
            <w:lang w:eastAsia="en-GB"/>
          </w:rPr>
          <w:tab/>
        </w:r>
        <w:r w:rsidR="008618F2" w:rsidRPr="00DC3933">
          <w:rPr>
            <w:rStyle w:val="Hyperlink"/>
            <w:noProof/>
          </w:rPr>
          <w:t>General</w:t>
        </w:r>
        <w:r w:rsidR="008618F2">
          <w:rPr>
            <w:noProof/>
            <w:webHidden/>
          </w:rPr>
          <w:tab/>
        </w:r>
        <w:r w:rsidR="008618F2">
          <w:rPr>
            <w:noProof/>
            <w:webHidden/>
          </w:rPr>
          <w:fldChar w:fldCharType="begin"/>
        </w:r>
        <w:r w:rsidR="008618F2">
          <w:rPr>
            <w:noProof/>
            <w:webHidden/>
          </w:rPr>
          <w:instrText xml:space="preserve"> PAGEREF _Toc134197915 \h </w:instrText>
        </w:r>
        <w:r w:rsidR="008618F2">
          <w:rPr>
            <w:noProof/>
            <w:webHidden/>
          </w:rPr>
        </w:r>
        <w:r w:rsidR="008618F2">
          <w:rPr>
            <w:noProof/>
            <w:webHidden/>
          </w:rPr>
          <w:fldChar w:fldCharType="separate"/>
        </w:r>
        <w:r w:rsidR="000720CB">
          <w:rPr>
            <w:noProof/>
            <w:webHidden/>
          </w:rPr>
          <w:t>124</w:t>
        </w:r>
        <w:r w:rsidR="008618F2">
          <w:rPr>
            <w:noProof/>
            <w:webHidden/>
          </w:rPr>
          <w:fldChar w:fldCharType="end"/>
        </w:r>
      </w:hyperlink>
    </w:p>
    <w:p w14:paraId="37F10A24" w14:textId="7F5B1B89" w:rsidR="008618F2" w:rsidRDefault="009B5CEC" w:rsidP="008618F2">
      <w:pPr>
        <w:pStyle w:val="TOC3"/>
        <w:tabs>
          <w:tab w:val="left" w:pos="1100"/>
        </w:tabs>
        <w:jc w:val="left"/>
        <w:rPr>
          <w:rFonts w:asciiTheme="minorHAnsi" w:eastAsiaTheme="minorEastAsia" w:hAnsiTheme="minorHAnsi" w:cstheme="minorBidi"/>
          <w:b w:val="0"/>
          <w:noProof/>
          <w:szCs w:val="22"/>
          <w:lang w:eastAsia="en-GB"/>
        </w:rPr>
      </w:pPr>
      <w:hyperlink w:anchor="_Toc134197916" w:history="1">
        <w:r w:rsidR="008618F2" w:rsidRPr="00DC3933">
          <w:rPr>
            <w:rStyle w:val="Hyperlink"/>
            <w:noProof/>
          </w:rPr>
          <w:t>10.11.2</w:t>
        </w:r>
        <w:r w:rsidR="008618F2">
          <w:rPr>
            <w:rFonts w:asciiTheme="minorHAnsi" w:eastAsiaTheme="minorEastAsia" w:hAnsiTheme="minorHAnsi" w:cstheme="minorBidi"/>
            <w:b w:val="0"/>
            <w:noProof/>
            <w:szCs w:val="22"/>
            <w:lang w:eastAsia="en-GB"/>
          </w:rPr>
          <w:tab/>
        </w:r>
        <w:r w:rsidR="008618F2" w:rsidRPr="00DC3933">
          <w:rPr>
            <w:rStyle w:val="Hyperlink"/>
            <w:noProof/>
          </w:rPr>
          <w:t>Anchorage of reinforcement in beams</w:t>
        </w:r>
        <w:r w:rsidR="008618F2">
          <w:rPr>
            <w:noProof/>
            <w:webHidden/>
          </w:rPr>
          <w:tab/>
        </w:r>
        <w:r w:rsidR="008618F2">
          <w:rPr>
            <w:noProof/>
            <w:webHidden/>
          </w:rPr>
          <w:fldChar w:fldCharType="begin"/>
        </w:r>
        <w:r w:rsidR="008618F2">
          <w:rPr>
            <w:noProof/>
            <w:webHidden/>
          </w:rPr>
          <w:instrText xml:space="preserve"> PAGEREF _Toc134197916 \h </w:instrText>
        </w:r>
        <w:r w:rsidR="008618F2">
          <w:rPr>
            <w:noProof/>
            <w:webHidden/>
          </w:rPr>
        </w:r>
        <w:r w:rsidR="008618F2">
          <w:rPr>
            <w:noProof/>
            <w:webHidden/>
          </w:rPr>
          <w:fldChar w:fldCharType="separate"/>
        </w:r>
        <w:r w:rsidR="000720CB">
          <w:rPr>
            <w:noProof/>
            <w:webHidden/>
          </w:rPr>
          <w:t>124</w:t>
        </w:r>
        <w:r w:rsidR="008618F2">
          <w:rPr>
            <w:noProof/>
            <w:webHidden/>
          </w:rPr>
          <w:fldChar w:fldCharType="end"/>
        </w:r>
      </w:hyperlink>
    </w:p>
    <w:p w14:paraId="351EE005" w14:textId="5773F9AF" w:rsidR="008618F2" w:rsidRDefault="009B5CEC" w:rsidP="008618F2">
      <w:pPr>
        <w:pStyle w:val="TOC3"/>
        <w:tabs>
          <w:tab w:val="left" w:pos="1100"/>
        </w:tabs>
        <w:jc w:val="left"/>
        <w:rPr>
          <w:rFonts w:asciiTheme="minorHAnsi" w:eastAsiaTheme="minorEastAsia" w:hAnsiTheme="minorHAnsi" w:cstheme="minorBidi"/>
          <w:b w:val="0"/>
          <w:noProof/>
          <w:szCs w:val="22"/>
          <w:lang w:eastAsia="en-GB"/>
        </w:rPr>
      </w:pPr>
      <w:hyperlink w:anchor="_Toc134197917" w:history="1">
        <w:r w:rsidR="008618F2" w:rsidRPr="00DC3933">
          <w:rPr>
            <w:rStyle w:val="Hyperlink"/>
            <w:noProof/>
          </w:rPr>
          <w:t>10.11.3</w:t>
        </w:r>
        <w:r w:rsidR="008618F2">
          <w:rPr>
            <w:rFonts w:asciiTheme="minorHAnsi" w:eastAsiaTheme="minorEastAsia" w:hAnsiTheme="minorHAnsi" w:cstheme="minorBidi"/>
            <w:b w:val="0"/>
            <w:noProof/>
            <w:szCs w:val="22"/>
            <w:lang w:eastAsia="en-GB"/>
          </w:rPr>
          <w:tab/>
        </w:r>
        <w:r w:rsidR="008618F2" w:rsidRPr="00DC3933">
          <w:rPr>
            <w:rStyle w:val="Hyperlink"/>
            <w:noProof/>
          </w:rPr>
          <w:t>Laps and mechanical couplers</w:t>
        </w:r>
        <w:r w:rsidR="008618F2">
          <w:rPr>
            <w:noProof/>
            <w:webHidden/>
          </w:rPr>
          <w:tab/>
        </w:r>
        <w:r w:rsidR="008618F2">
          <w:rPr>
            <w:noProof/>
            <w:webHidden/>
          </w:rPr>
          <w:fldChar w:fldCharType="begin"/>
        </w:r>
        <w:r w:rsidR="008618F2">
          <w:rPr>
            <w:noProof/>
            <w:webHidden/>
          </w:rPr>
          <w:instrText xml:space="preserve"> PAGEREF _Toc134197917 \h </w:instrText>
        </w:r>
        <w:r w:rsidR="008618F2">
          <w:rPr>
            <w:noProof/>
            <w:webHidden/>
          </w:rPr>
        </w:r>
        <w:r w:rsidR="008618F2">
          <w:rPr>
            <w:noProof/>
            <w:webHidden/>
          </w:rPr>
          <w:fldChar w:fldCharType="separate"/>
        </w:r>
        <w:r w:rsidR="000720CB">
          <w:rPr>
            <w:noProof/>
            <w:webHidden/>
          </w:rPr>
          <w:t>126</w:t>
        </w:r>
        <w:r w:rsidR="008618F2">
          <w:rPr>
            <w:noProof/>
            <w:webHidden/>
          </w:rPr>
          <w:fldChar w:fldCharType="end"/>
        </w:r>
      </w:hyperlink>
    </w:p>
    <w:p w14:paraId="7C84EA97" w14:textId="54494496" w:rsidR="008618F2" w:rsidRDefault="009B5CEC" w:rsidP="008618F2">
      <w:pPr>
        <w:pStyle w:val="TOC2"/>
        <w:jc w:val="left"/>
        <w:rPr>
          <w:rFonts w:asciiTheme="minorHAnsi" w:eastAsiaTheme="minorEastAsia" w:hAnsiTheme="minorHAnsi" w:cstheme="minorBidi"/>
          <w:b w:val="0"/>
          <w:noProof/>
          <w:szCs w:val="22"/>
          <w:lang w:eastAsia="en-GB"/>
        </w:rPr>
      </w:pPr>
      <w:hyperlink w:anchor="_Toc134197918" w:history="1">
        <w:r w:rsidR="008618F2" w:rsidRPr="00DC3933">
          <w:rPr>
            <w:rStyle w:val="Hyperlink"/>
            <w:noProof/>
          </w:rPr>
          <w:t>10.12</w:t>
        </w:r>
        <w:r w:rsidR="008618F2">
          <w:rPr>
            <w:rFonts w:asciiTheme="minorHAnsi" w:eastAsiaTheme="minorEastAsia" w:hAnsiTheme="minorHAnsi" w:cstheme="minorBidi"/>
            <w:b w:val="0"/>
            <w:noProof/>
            <w:szCs w:val="22"/>
            <w:lang w:eastAsia="en-GB"/>
          </w:rPr>
          <w:tab/>
        </w:r>
        <w:r w:rsidR="008618F2" w:rsidRPr="00DC3933">
          <w:rPr>
            <w:rStyle w:val="Hyperlink"/>
            <w:noProof/>
          </w:rPr>
          <w:t>Provisions for concrete diaphragms</w:t>
        </w:r>
        <w:r w:rsidR="008618F2">
          <w:rPr>
            <w:noProof/>
            <w:webHidden/>
          </w:rPr>
          <w:tab/>
        </w:r>
        <w:r w:rsidR="008618F2">
          <w:rPr>
            <w:noProof/>
            <w:webHidden/>
          </w:rPr>
          <w:fldChar w:fldCharType="begin"/>
        </w:r>
        <w:r w:rsidR="008618F2">
          <w:rPr>
            <w:noProof/>
            <w:webHidden/>
          </w:rPr>
          <w:instrText xml:space="preserve"> PAGEREF _Toc134197918 \h </w:instrText>
        </w:r>
        <w:r w:rsidR="008618F2">
          <w:rPr>
            <w:noProof/>
            <w:webHidden/>
          </w:rPr>
        </w:r>
        <w:r w:rsidR="008618F2">
          <w:rPr>
            <w:noProof/>
            <w:webHidden/>
          </w:rPr>
          <w:fldChar w:fldCharType="separate"/>
        </w:r>
        <w:r w:rsidR="000720CB">
          <w:rPr>
            <w:noProof/>
            <w:webHidden/>
          </w:rPr>
          <w:t>127</w:t>
        </w:r>
        <w:r w:rsidR="008618F2">
          <w:rPr>
            <w:noProof/>
            <w:webHidden/>
          </w:rPr>
          <w:fldChar w:fldCharType="end"/>
        </w:r>
      </w:hyperlink>
    </w:p>
    <w:p w14:paraId="1228ADB3" w14:textId="35F6587E" w:rsidR="008618F2" w:rsidRDefault="009B5CEC" w:rsidP="008618F2">
      <w:pPr>
        <w:pStyle w:val="TOC3"/>
        <w:tabs>
          <w:tab w:val="left" w:pos="1100"/>
        </w:tabs>
        <w:jc w:val="left"/>
        <w:rPr>
          <w:rFonts w:asciiTheme="minorHAnsi" w:eastAsiaTheme="minorEastAsia" w:hAnsiTheme="minorHAnsi" w:cstheme="minorBidi"/>
          <w:b w:val="0"/>
          <w:noProof/>
          <w:szCs w:val="22"/>
          <w:lang w:eastAsia="en-GB"/>
        </w:rPr>
      </w:pPr>
      <w:hyperlink w:anchor="_Toc134197919" w:history="1">
        <w:r w:rsidR="008618F2" w:rsidRPr="00DC3933">
          <w:rPr>
            <w:rStyle w:val="Hyperlink"/>
            <w:noProof/>
          </w:rPr>
          <w:t>10.12.1</w:t>
        </w:r>
        <w:r w:rsidR="008618F2">
          <w:rPr>
            <w:rFonts w:asciiTheme="minorHAnsi" w:eastAsiaTheme="minorEastAsia" w:hAnsiTheme="minorHAnsi" w:cstheme="minorBidi"/>
            <w:b w:val="0"/>
            <w:noProof/>
            <w:szCs w:val="22"/>
            <w:lang w:eastAsia="en-GB"/>
          </w:rPr>
          <w:tab/>
        </w:r>
        <w:r w:rsidR="008618F2" w:rsidRPr="00DC3933">
          <w:rPr>
            <w:rStyle w:val="Hyperlink"/>
            <w:noProof/>
          </w:rPr>
          <w:t>Cast in place diaphragms</w:t>
        </w:r>
        <w:r w:rsidR="008618F2">
          <w:rPr>
            <w:noProof/>
            <w:webHidden/>
          </w:rPr>
          <w:tab/>
        </w:r>
        <w:r w:rsidR="008618F2">
          <w:rPr>
            <w:noProof/>
            <w:webHidden/>
          </w:rPr>
          <w:fldChar w:fldCharType="begin"/>
        </w:r>
        <w:r w:rsidR="008618F2">
          <w:rPr>
            <w:noProof/>
            <w:webHidden/>
          </w:rPr>
          <w:instrText xml:space="preserve"> PAGEREF _Toc134197919 \h </w:instrText>
        </w:r>
        <w:r w:rsidR="008618F2">
          <w:rPr>
            <w:noProof/>
            <w:webHidden/>
          </w:rPr>
        </w:r>
        <w:r w:rsidR="008618F2">
          <w:rPr>
            <w:noProof/>
            <w:webHidden/>
          </w:rPr>
          <w:fldChar w:fldCharType="separate"/>
        </w:r>
        <w:r w:rsidR="000720CB">
          <w:rPr>
            <w:noProof/>
            <w:webHidden/>
          </w:rPr>
          <w:t>127</w:t>
        </w:r>
        <w:r w:rsidR="008618F2">
          <w:rPr>
            <w:noProof/>
            <w:webHidden/>
          </w:rPr>
          <w:fldChar w:fldCharType="end"/>
        </w:r>
      </w:hyperlink>
    </w:p>
    <w:p w14:paraId="3D9C75D5" w14:textId="0E831A39" w:rsidR="008618F2" w:rsidRDefault="009B5CEC" w:rsidP="008618F2">
      <w:pPr>
        <w:pStyle w:val="TOC3"/>
        <w:tabs>
          <w:tab w:val="left" w:pos="1100"/>
        </w:tabs>
        <w:jc w:val="left"/>
        <w:rPr>
          <w:rFonts w:asciiTheme="minorHAnsi" w:eastAsiaTheme="minorEastAsia" w:hAnsiTheme="minorHAnsi" w:cstheme="minorBidi"/>
          <w:b w:val="0"/>
          <w:noProof/>
          <w:szCs w:val="22"/>
          <w:lang w:eastAsia="en-GB"/>
        </w:rPr>
      </w:pPr>
      <w:hyperlink w:anchor="_Toc134197920" w:history="1">
        <w:r w:rsidR="008618F2" w:rsidRPr="00DC3933">
          <w:rPr>
            <w:rStyle w:val="Hyperlink"/>
            <w:noProof/>
          </w:rPr>
          <w:t>10.12.2</w:t>
        </w:r>
        <w:r w:rsidR="008618F2">
          <w:rPr>
            <w:rFonts w:asciiTheme="minorHAnsi" w:eastAsiaTheme="minorEastAsia" w:hAnsiTheme="minorHAnsi" w:cstheme="minorBidi"/>
            <w:b w:val="0"/>
            <w:noProof/>
            <w:szCs w:val="22"/>
            <w:lang w:eastAsia="en-GB"/>
          </w:rPr>
          <w:tab/>
        </w:r>
        <w:r w:rsidR="008618F2" w:rsidRPr="00DC3933">
          <w:rPr>
            <w:rStyle w:val="Hyperlink"/>
            <w:noProof/>
          </w:rPr>
          <w:t>Precast concrete diaphragms</w:t>
        </w:r>
        <w:r w:rsidR="008618F2">
          <w:rPr>
            <w:noProof/>
            <w:webHidden/>
          </w:rPr>
          <w:tab/>
        </w:r>
        <w:r w:rsidR="008618F2">
          <w:rPr>
            <w:noProof/>
            <w:webHidden/>
          </w:rPr>
          <w:fldChar w:fldCharType="begin"/>
        </w:r>
        <w:r w:rsidR="008618F2">
          <w:rPr>
            <w:noProof/>
            <w:webHidden/>
          </w:rPr>
          <w:instrText xml:space="preserve"> PAGEREF _Toc134197920 \h </w:instrText>
        </w:r>
        <w:r w:rsidR="008618F2">
          <w:rPr>
            <w:noProof/>
            <w:webHidden/>
          </w:rPr>
        </w:r>
        <w:r w:rsidR="008618F2">
          <w:rPr>
            <w:noProof/>
            <w:webHidden/>
          </w:rPr>
          <w:fldChar w:fldCharType="separate"/>
        </w:r>
        <w:r w:rsidR="000720CB">
          <w:rPr>
            <w:noProof/>
            <w:webHidden/>
          </w:rPr>
          <w:t>128</w:t>
        </w:r>
        <w:r w:rsidR="008618F2">
          <w:rPr>
            <w:noProof/>
            <w:webHidden/>
          </w:rPr>
          <w:fldChar w:fldCharType="end"/>
        </w:r>
      </w:hyperlink>
    </w:p>
    <w:p w14:paraId="366142FF" w14:textId="2E2F2C1A" w:rsidR="008618F2" w:rsidRDefault="009B5CEC" w:rsidP="008618F2">
      <w:pPr>
        <w:pStyle w:val="TOC2"/>
        <w:jc w:val="left"/>
        <w:rPr>
          <w:rFonts w:asciiTheme="minorHAnsi" w:eastAsiaTheme="minorEastAsia" w:hAnsiTheme="minorHAnsi" w:cstheme="minorBidi"/>
          <w:b w:val="0"/>
          <w:noProof/>
          <w:szCs w:val="22"/>
          <w:lang w:eastAsia="en-GB"/>
        </w:rPr>
      </w:pPr>
      <w:hyperlink w:anchor="_Toc134197921" w:history="1">
        <w:r w:rsidR="008618F2" w:rsidRPr="00DC3933">
          <w:rPr>
            <w:rStyle w:val="Hyperlink"/>
            <w:noProof/>
          </w:rPr>
          <w:t>10.13</w:t>
        </w:r>
        <w:r w:rsidR="008618F2">
          <w:rPr>
            <w:rFonts w:asciiTheme="minorHAnsi" w:eastAsiaTheme="minorEastAsia" w:hAnsiTheme="minorHAnsi" w:cstheme="minorBidi"/>
            <w:b w:val="0"/>
            <w:noProof/>
            <w:szCs w:val="22"/>
            <w:lang w:eastAsia="en-GB"/>
          </w:rPr>
          <w:tab/>
        </w:r>
        <w:r w:rsidR="008618F2" w:rsidRPr="00DC3933">
          <w:rPr>
            <w:rStyle w:val="Hyperlink"/>
            <w:noProof/>
          </w:rPr>
          <w:t>Prestressed concrete</w:t>
        </w:r>
        <w:r w:rsidR="008618F2">
          <w:rPr>
            <w:noProof/>
            <w:webHidden/>
          </w:rPr>
          <w:tab/>
        </w:r>
        <w:r w:rsidR="008618F2">
          <w:rPr>
            <w:noProof/>
            <w:webHidden/>
          </w:rPr>
          <w:fldChar w:fldCharType="begin"/>
        </w:r>
        <w:r w:rsidR="008618F2">
          <w:rPr>
            <w:noProof/>
            <w:webHidden/>
          </w:rPr>
          <w:instrText xml:space="preserve"> PAGEREF _Toc134197921 \h </w:instrText>
        </w:r>
        <w:r w:rsidR="008618F2">
          <w:rPr>
            <w:noProof/>
            <w:webHidden/>
          </w:rPr>
        </w:r>
        <w:r w:rsidR="008618F2">
          <w:rPr>
            <w:noProof/>
            <w:webHidden/>
          </w:rPr>
          <w:fldChar w:fldCharType="separate"/>
        </w:r>
        <w:r w:rsidR="000720CB">
          <w:rPr>
            <w:noProof/>
            <w:webHidden/>
          </w:rPr>
          <w:t>128</w:t>
        </w:r>
        <w:r w:rsidR="008618F2">
          <w:rPr>
            <w:noProof/>
            <w:webHidden/>
          </w:rPr>
          <w:fldChar w:fldCharType="end"/>
        </w:r>
      </w:hyperlink>
    </w:p>
    <w:p w14:paraId="4C540994" w14:textId="53E4F588" w:rsidR="008618F2" w:rsidRDefault="009B5CEC" w:rsidP="008618F2">
      <w:pPr>
        <w:pStyle w:val="TOC2"/>
        <w:jc w:val="left"/>
        <w:rPr>
          <w:rFonts w:asciiTheme="minorHAnsi" w:eastAsiaTheme="minorEastAsia" w:hAnsiTheme="minorHAnsi" w:cstheme="minorBidi"/>
          <w:b w:val="0"/>
          <w:noProof/>
          <w:szCs w:val="22"/>
          <w:lang w:eastAsia="en-GB"/>
        </w:rPr>
      </w:pPr>
      <w:hyperlink w:anchor="_Toc134197922" w:history="1">
        <w:r w:rsidR="008618F2" w:rsidRPr="00DC3933">
          <w:rPr>
            <w:rStyle w:val="Hyperlink"/>
            <w:noProof/>
          </w:rPr>
          <w:t>10.14</w:t>
        </w:r>
        <w:r w:rsidR="008618F2">
          <w:rPr>
            <w:rFonts w:asciiTheme="minorHAnsi" w:eastAsiaTheme="minorEastAsia" w:hAnsiTheme="minorHAnsi" w:cstheme="minorBidi"/>
            <w:b w:val="0"/>
            <w:noProof/>
            <w:szCs w:val="22"/>
            <w:lang w:eastAsia="en-GB"/>
          </w:rPr>
          <w:tab/>
        </w:r>
        <w:r w:rsidR="008618F2" w:rsidRPr="00DC3933">
          <w:rPr>
            <w:rStyle w:val="Hyperlink"/>
            <w:noProof/>
          </w:rPr>
          <w:t>Precast concrete structures</w:t>
        </w:r>
        <w:r w:rsidR="008618F2">
          <w:rPr>
            <w:noProof/>
            <w:webHidden/>
          </w:rPr>
          <w:tab/>
        </w:r>
        <w:r w:rsidR="008618F2">
          <w:rPr>
            <w:noProof/>
            <w:webHidden/>
          </w:rPr>
          <w:fldChar w:fldCharType="begin"/>
        </w:r>
        <w:r w:rsidR="008618F2">
          <w:rPr>
            <w:noProof/>
            <w:webHidden/>
          </w:rPr>
          <w:instrText xml:space="preserve"> PAGEREF _Toc134197922 \h </w:instrText>
        </w:r>
        <w:r w:rsidR="008618F2">
          <w:rPr>
            <w:noProof/>
            <w:webHidden/>
          </w:rPr>
        </w:r>
        <w:r w:rsidR="008618F2">
          <w:rPr>
            <w:noProof/>
            <w:webHidden/>
          </w:rPr>
          <w:fldChar w:fldCharType="separate"/>
        </w:r>
        <w:r w:rsidR="000720CB">
          <w:rPr>
            <w:noProof/>
            <w:webHidden/>
          </w:rPr>
          <w:t>128</w:t>
        </w:r>
        <w:r w:rsidR="008618F2">
          <w:rPr>
            <w:noProof/>
            <w:webHidden/>
          </w:rPr>
          <w:fldChar w:fldCharType="end"/>
        </w:r>
      </w:hyperlink>
    </w:p>
    <w:p w14:paraId="4F003D8B" w14:textId="188FE30D" w:rsidR="008618F2" w:rsidRDefault="009B5CEC" w:rsidP="008618F2">
      <w:pPr>
        <w:pStyle w:val="TOC3"/>
        <w:tabs>
          <w:tab w:val="left" w:pos="1100"/>
        </w:tabs>
        <w:jc w:val="left"/>
        <w:rPr>
          <w:rFonts w:asciiTheme="minorHAnsi" w:eastAsiaTheme="minorEastAsia" w:hAnsiTheme="minorHAnsi" w:cstheme="minorBidi"/>
          <w:b w:val="0"/>
          <w:noProof/>
          <w:szCs w:val="22"/>
          <w:lang w:eastAsia="en-GB"/>
        </w:rPr>
      </w:pPr>
      <w:hyperlink w:anchor="_Toc134197923" w:history="1">
        <w:r w:rsidR="008618F2" w:rsidRPr="00DC3933">
          <w:rPr>
            <w:rStyle w:val="Hyperlink"/>
            <w:noProof/>
          </w:rPr>
          <w:t>10.14.1</w:t>
        </w:r>
        <w:r w:rsidR="008618F2">
          <w:rPr>
            <w:rFonts w:asciiTheme="minorHAnsi" w:eastAsiaTheme="minorEastAsia" w:hAnsiTheme="minorHAnsi" w:cstheme="minorBidi"/>
            <w:b w:val="0"/>
            <w:noProof/>
            <w:szCs w:val="22"/>
            <w:lang w:eastAsia="en-GB"/>
          </w:rPr>
          <w:tab/>
        </w:r>
        <w:r w:rsidR="008618F2" w:rsidRPr="00DC3933">
          <w:rPr>
            <w:rStyle w:val="Hyperlink"/>
            <w:noProof/>
          </w:rPr>
          <w:t xml:space="preserve">Structural types and behaviour factor </w:t>
        </w:r>
        <w:r w:rsidR="008618F2" w:rsidRPr="00DC3933">
          <w:rPr>
            <w:rStyle w:val="Hyperlink"/>
            <w:i/>
            <w:iCs/>
            <w:noProof/>
          </w:rPr>
          <w:t>q</w:t>
        </w:r>
        <w:r w:rsidR="008618F2">
          <w:rPr>
            <w:noProof/>
            <w:webHidden/>
          </w:rPr>
          <w:tab/>
        </w:r>
        <w:r w:rsidR="008618F2">
          <w:rPr>
            <w:noProof/>
            <w:webHidden/>
          </w:rPr>
          <w:fldChar w:fldCharType="begin"/>
        </w:r>
        <w:r w:rsidR="008618F2">
          <w:rPr>
            <w:noProof/>
            <w:webHidden/>
          </w:rPr>
          <w:instrText xml:space="preserve"> PAGEREF _Toc134197923 \h </w:instrText>
        </w:r>
        <w:r w:rsidR="008618F2">
          <w:rPr>
            <w:noProof/>
            <w:webHidden/>
          </w:rPr>
        </w:r>
        <w:r w:rsidR="008618F2">
          <w:rPr>
            <w:noProof/>
            <w:webHidden/>
          </w:rPr>
          <w:fldChar w:fldCharType="separate"/>
        </w:r>
        <w:r w:rsidR="000720CB">
          <w:rPr>
            <w:noProof/>
            <w:webHidden/>
          </w:rPr>
          <w:t>128</w:t>
        </w:r>
        <w:r w:rsidR="008618F2">
          <w:rPr>
            <w:noProof/>
            <w:webHidden/>
          </w:rPr>
          <w:fldChar w:fldCharType="end"/>
        </w:r>
      </w:hyperlink>
    </w:p>
    <w:p w14:paraId="5745E1F9" w14:textId="7F1082E0" w:rsidR="008618F2" w:rsidRDefault="009B5CEC" w:rsidP="008618F2">
      <w:pPr>
        <w:pStyle w:val="TOC3"/>
        <w:tabs>
          <w:tab w:val="left" w:pos="1100"/>
        </w:tabs>
        <w:jc w:val="left"/>
        <w:rPr>
          <w:rFonts w:asciiTheme="minorHAnsi" w:eastAsiaTheme="minorEastAsia" w:hAnsiTheme="minorHAnsi" w:cstheme="minorBidi"/>
          <w:b w:val="0"/>
          <w:noProof/>
          <w:szCs w:val="22"/>
          <w:lang w:eastAsia="en-GB"/>
        </w:rPr>
      </w:pPr>
      <w:hyperlink w:anchor="_Toc134197924" w:history="1">
        <w:r w:rsidR="008618F2" w:rsidRPr="00DC3933">
          <w:rPr>
            <w:rStyle w:val="Hyperlink"/>
            <w:noProof/>
          </w:rPr>
          <w:t>10.14.2</w:t>
        </w:r>
        <w:r w:rsidR="008618F2">
          <w:rPr>
            <w:rFonts w:asciiTheme="minorHAnsi" w:eastAsiaTheme="minorEastAsia" w:hAnsiTheme="minorHAnsi" w:cstheme="minorBidi"/>
            <w:b w:val="0"/>
            <w:noProof/>
            <w:szCs w:val="22"/>
            <w:lang w:eastAsia="en-GB"/>
          </w:rPr>
          <w:tab/>
        </w:r>
        <w:r w:rsidR="008618F2" w:rsidRPr="00DC3933">
          <w:rPr>
            <w:rStyle w:val="Hyperlink"/>
            <w:noProof/>
          </w:rPr>
          <w:t>Rules applicable to all structural types and to DC1, DC2 and DC3</w:t>
        </w:r>
        <w:r w:rsidR="008618F2">
          <w:rPr>
            <w:noProof/>
            <w:webHidden/>
          </w:rPr>
          <w:tab/>
        </w:r>
        <w:r w:rsidR="008618F2">
          <w:rPr>
            <w:noProof/>
            <w:webHidden/>
          </w:rPr>
          <w:fldChar w:fldCharType="begin"/>
        </w:r>
        <w:r w:rsidR="008618F2">
          <w:rPr>
            <w:noProof/>
            <w:webHidden/>
          </w:rPr>
          <w:instrText xml:space="preserve"> PAGEREF _Toc134197924 \h </w:instrText>
        </w:r>
        <w:r w:rsidR="008618F2">
          <w:rPr>
            <w:noProof/>
            <w:webHidden/>
          </w:rPr>
        </w:r>
        <w:r w:rsidR="008618F2">
          <w:rPr>
            <w:noProof/>
            <w:webHidden/>
          </w:rPr>
          <w:fldChar w:fldCharType="separate"/>
        </w:r>
        <w:r w:rsidR="000720CB">
          <w:rPr>
            <w:noProof/>
            <w:webHidden/>
          </w:rPr>
          <w:t>129</w:t>
        </w:r>
        <w:r w:rsidR="008618F2">
          <w:rPr>
            <w:noProof/>
            <w:webHidden/>
          </w:rPr>
          <w:fldChar w:fldCharType="end"/>
        </w:r>
      </w:hyperlink>
    </w:p>
    <w:p w14:paraId="2EFAFD8D" w14:textId="536D4200" w:rsidR="008618F2" w:rsidRDefault="009B5CEC" w:rsidP="008618F2">
      <w:pPr>
        <w:pStyle w:val="TOC3"/>
        <w:tabs>
          <w:tab w:val="left" w:pos="1100"/>
        </w:tabs>
        <w:jc w:val="left"/>
        <w:rPr>
          <w:rFonts w:asciiTheme="minorHAnsi" w:eastAsiaTheme="minorEastAsia" w:hAnsiTheme="minorHAnsi" w:cstheme="minorBidi"/>
          <w:b w:val="0"/>
          <w:noProof/>
          <w:szCs w:val="22"/>
          <w:lang w:eastAsia="en-GB"/>
        </w:rPr>
      </w:pPr>
      <w:hyperlink w:anchor="_Toc134197925" w:history="1">
        <w:r w:rsidR="008618F2" w:rsidRPr="00DC3933">
          <w:rPr>
            <w:rStyle w:val="Hyperlink"/>
            <w:noProof/>
          </w:rPr>
          <w:t>10.14.3</w:t>
        </w:r>
        <w:r w:rsidR="008618F2">
          <w:rPr>
            <w:rFonts w:asciiTheme="minorHAnsi" w:eastAsiaTheme="minorEastAsia" w:hAnsiTheme="minorHAnsi" w:cstheme="minorBidi"/>
            <w:b w:val="0"/>
            <w:noProof/>
            <w:szCs w:val="22"/>
            <w:lang w:eastAsia="en-GB"/>
          </w:rPr>
          <w:tab/>
        </w:r>
        <w:r w:rsidR="008618F2" w:rsidRPr="00DC3933">
          <w:rPr>
            <w:rStyle w:val="Hyperlink"/>
            <w:noProof/>
          </w:rPr>
          <w:t>Precast moment resisting frames</w:t>
        </w:r>
        <w:r w:rsidR="008618F2">
          <w:rPr>
            <w:noProof/>
            <w:webHidden/>
          </w:rPr>
          <w:tab/>
        </w:r>
        <w:r w:rsidR="008618F2">
          <w:rPr>
            <w:noProof/>
            <w:webHidden/>
          </w:rPr>
          <w:fldChar w:fldCharType="begin"/>
        </w:r>
        <w:r w:rsidR="008618F2">
          <w:rPr>
            <w:noProof/>
            <w:webHidden/>
          </w:rPr>
          <w:instrText xml:space="preserve"> PAGEREF _Toc134197925 \h </w:instrText>
        </w:r>
        <w:r w:rsidR="008618F2">
          <w:rPr>
            <w:noProof/>
            <w:webHidden/>
          </w:rPr>
        </w:r>
        <w:r w:rsidR="008618F2">
          <w:rPr>
            <w:noProof/>
            <w:webHidden/>
          </w:rPr>
          <w:fldChar w:fldCharType="separate"/>
        </w:r>
        <w:r w:rsidR="000720CB">
          <w:rPr>
            <w:noProof/>
            <w:webHidden/>
          </w:rPr>
          <w:t>130</w:t>
        </w:r>
        <w:r w:rsidR="008618F2">
          <w:rPr>
            <w:noProof/>
            <w:webHidden/>
          </w:rPr>
          <w:fldChar w:fldCharType="end"/>
        </w:r>
      </w:hyperlink>
    </w:p>
    <w:p w14:paraId="6DDDD9DE" w14:textId="429BADBB" w:rsidR="008618F2" w:rsidRDefault="009B5CEC" w:rsidP="008618F2">
      <w:pPr>
        <w:pStyle w:val="TOC3"/>
        <w:tabs>
          <w:tab w:val="left" w:pos="1100"/>
        </w:tabs>
        <w:jc w:val="left"/>
        <w:rPr>
          <w:rFonts w:asciiTheme="minorHAnsi" w:eastAsiaTheme="minorEastAsia" w:hAnsiTheme="minorHAnsi" w:cstheme="minorBidi"/>
          <w:b w:val="0"/>
          <w:noProof/>
          <w:szCs w:val="22"/>
          <w:lang w:eastAsia="en-GB"/>
        </w:rPr>
      </w:pPr>
      <w:hyperlink w:anchor="_Toc134197926" w:history="1">
        <w:r w:rsidR="008618F2" w:rsidRPr="00DC3933">
          <w:rPr>
            <w:rStyle w:val="Hyperlink"/>
            <w:noProof/>
          </w:rPr>
          <w:t>10.14.4</w:t>
        </w:r>
        <w:r w:rsidR="008618F2">
          <w:rPr>
            <w:rFonts w:asciiTheme="minorHAnsi" w:eastAsiaTheme="minorEastAsia" w:hAnsiTheme="minorHAnsi" w:cstheme="minorBidi"/>
            <w:b w:val="0"/>
            <w:noProof/>
            <w:szCs w:val="22"/>
            <w:lang w:eastAsia="en-GB"/>
          </w:rPr>
          <w:tab/>
        </w:r>
        <w:r w:rsidR="008618F2" w:rsidRPr="00DC3933">
          <w:rPr>
            <w:rStyle w:val="Hyperlink"/>
            <w:noProof/>
          </w:rPr>
          <w:t>Precast walls</w:t>
        </w:r>
        <w:r w:rsidR="008618F2">
          <w:rPr>
            <w:noProof/>
            <w:webHidden/>
          </w:rPr>
          <w:tab/>
        </w:r>
        <w:r w:rsidR="008618F2">
          <w:rPr>
            <w:noProof/>
            <w:webHidden/>
          </w:rPr>
          <w:fldChar w:fldCharType="begin"/>
        </w:r>
        <w:r w:rsidR="008618F2">
          <w:rPr>
            <w:noProof/>
            <w:webHidden/>
          </w:rPr>
          <w:instrText xml:space="preserve"> PAGEREF _Toc134197926 \h </w:instrText>
        </w:r>
        <w:r w:rsidR="008618F2">
          <w:rPr>
            <w:noProof/>
            <w:webHidden/>
          </w:rPr>
        </w:r>
        <w:r w:rsidR="008618F2">
          <w:rPr>
            <w:noProof/>
            <w:webHidden/>
          </w:rPr>
          <w:fldChar w:fldCharType="separate"/>
        </w:r>
        <w:r w:rsidR="000720CB">
          <w:rPr>
            <w:noProof/>
            <w:webHidden/>
          </w:rPr>
          <w:t>132</w:t>
        </w:r>
        <w:r w:rsidR="008618F2">
          <w:rPr>
            <w:noProof/>
            <w:webHidden/>
          </w:rPr>
          <w:fldChar w:fldCharType="end"/>
        </w:r>
      </w:hyperlink>
    </w:p>
    <w:p w14:paraId="72FC1D12" w14:textId="575C3DBF" w:rsidR="008618F2" w:rsidRDefault="009B5CEC" w:rsidP="008618F2">
      <w:pPr>
        <w:pStyle w:val="TOC3"/>
        <w:tabs>
          <w:tab w:val="left" w:pos="1100"/>
        </w:tabs>
        <w:jc w:val="left"/>
        <w:rPr>
          <w:rFonts w:asciiTheme="minorHAnsi" w:eastAsiaTheme="minorEastAsia" w:hAnsiTheme="minorHAnsi" w:cstheme="minorBidi"/>
          <w:b w:val="0"/>
          <w:noProof/>
          <w:szCs w:val="22"/>
          <w:lang w:eastAsia="en-GB"/>
        </w:rPr>
      </w:pPr>
      <w:hyperlink w:anchor="_Toc134197927" w:history="1">
        <w:r w:rsidR="008618F2" w:rsidRPr="00DC3933">
          <w:rPr>
            <w:rStyle w:val="Hyperlink"/>
            <w:noProof/>
          </w:rPr>
          <w:t>10.14.5</w:t>
        </w:r>
        <w:r w:rsidR="008618F2">
          <w:rPr>
            <w:rFonts w:asciiTheme="minorHAnsi" w:eastAsiaTheme="minorEastAsia" w:hAnsiTheme="minorHAnsi" w:cstheme="minorBidi"/>
            <w:b w:val="0"/>
            <w:noProof/>
            <w:szCs w:val="22"/>
            <w:lang w:eastAsia="en-GB"/>
          </w:rPr>
          <w:tab/>
        </w:r>
        <w:r w:rsidR="008618F2" w:rsidRPr="00DC3933">
          <w:rPr>
            <w:rStyle w:val="Hyperlink"/>
            <w:noProof/>
          </w:rPr>
          <w:t>Precast floors and roof diaphragms. Rules for ductility classes DC1, DC2 and DC3</w:t>
        </w:r>
        <w:r w:rsidR="008618F2">
          <w:rPr>
            <w:noProof/>
            <w:webHidden/>
          </w:rPr>
          <w:tab/>
        </w:r>
        <w:r w:rsidR="008618F2">
          <w:rPr>
            <w:noProof/>
            <w:webHidden/>
          </w:rPr>
          <w:fldChar w:fldCharType="begin"/>
        </w:r>
        <w:r w:rsidR="008618F2">
          <w:rPr>
            <w:noProof/>
            <w:webHidden/>
          </w:rPr>
          <w:instrText xml:space="preserve"> PAGEREF _Toc134197927 \h </w:instrText>
        </w:r>
        <w:r w:rsidR="008618F2">
          <w:rPr>
            <w:noProof/>
            <w:webHidden/>
          </w:rPr>
        </w:r>
        <w:r w:rsidR="008618F2">
          <w:rPr>
            <w:noProof/>
            <w:webHidden/>
          </w:rPr>
          <w:fldChar w:fldCharType="separate"/>
        </w:r>
        <w:r w:rsidR="000720CB">
          <w:rPr>
            <w:noProof/>
            <w:webHidden/>
          </w:rPr>
          <w:t>134</w:t>
        </w:r>
        <w:r w:rsidR="008618F2">
          <w:rPr>
            <w:noProof/>
            <w:webHidden/>
          </w:rPr>
          <w:fldChar w:fldCharType="end"/>
        </w:r>
      </w:hyperlink>
    </w:p>
    <w:p w14:paraId="4CF42C75" w14:textId="58E9CAB1" w:rsidR="008618F2" w:rsidRDefault="009B5CEC" w:rsidP="008618F2">
      <w:pPr>
        <w:pStyle w:val="TOC2"/>
        <w:jc w:val="left"/>
        <w:rPr>
          <w:rFonts w:asciiTheme="minorHAnsi" w:eastAsiaTheme="minorEastAsia" w:hAnsiTheme="minorHAnsi" w:cstheme="minorBidi"/>
          <w:b w:val="0"/>
          <w:noProof/>
          <w:szCs w:val="22"/>
          <w:lang w:eastAsia="en-GB"/>
        </w:rPr>
      </w:pPr>
      <w:hyperlink w:anchor="_Toc134197928" w:history="1">
        <w:r w:rsidR="008618F2" w:rsidRPr="00DC3933">
          <w:rPr>
            <w:rStyle w:val="Hyperlink"/>
            <w:noProof/>
          </w:rPr>
          <w:t>10.15</w:t>
        </w:r>
        <w:r w:rsidR="008618F2">
          <w:rPr>
            <w:rFonts w:asciiTheme="minorHAnsi" w:eastAsiaTheme="minorEastAsia" w:hAnsiTheme="minorHAnsi" w:cstheme="minorBidi"/>
            <w:b w:val="0"/>
            <w:noProof/>
            <w:szCs w:val="22"/>
            <w:lang w:eastAsia="en-GB"/>
          </w:rPr>
          <w:tab/>
        </w:r>
        <w:r w:rsidR="008618F2" w:rsidRPr="00DC3933">
          <w:rPr>
            <w:rStyle w:val="Hyperlink"/>
            <w:noProof/>
          </w:rPr>
          <w:t>Design and detailing of foundations</w:t>
        </w:r>
        <w:r w:rsidR="008618F2">
          <w:rPr>
            <w:noProof/>
            <w:webHidden/>
          </w:rPr>
          <w:tab/>
        </w:r>
        <w:r w:rsidR="008618F2">
          <w:rPr>
            <w:noProof/>
            <w:webHidden/>
          </w:rPr>
          <w:fldChar w:fldCharType="begin"/>
        </w:r>
        <w:r w:rsidR="008618F2">
          <w:rPr>
            <w:noProof/>
            <w:webHidden/>
          </w:rPr>
          <w:instrText xml:space="preserve"> PAGEREF _Toc134197928 \h </w:instrText>
        </w:r>
        <w:r w:rsidR="008618F2">
          <w:rPr>
            <w:noProof/>
            <w:webHidden/>
          </w:rPr>
        </w:r>
        <w:r w:rsidR="008618F2">
          <w:rPr>
            <w:noProof/>
            <w:webHidden/>
          </w:rPr>
          <w:fldChar w:fldCharType="separate"/>
        </w:r>
        <w:r w:rsidR="000720CB">
          <w:rPr>
            <w:noProof/>
            <w:webHidden/>
          </w:rPr>
          <w:t>135</w:t>
        </w:r>
        <w:r w:rsidR="008618F2">
          <w:rPr>
            <w:noProof/>
            <w:webHidden/>
          </w:rPr>
          <w:fldChar w:fldCharType="end"/>
        </w:r>
      </w:hyperlink>
    </w:p>
    <w:p w14:paraId="4E5A5427" w14:textId="72B5F533" w:rsidR="008618F2" w:rsidRDefault="009B5CEC" w:rsidP="008618F2">
      <w:pPr>
        <w:pStyle w:val="TOC1"/>
        <w:jc w:val="left"/>
        <w:rPr>
          <w:rFonts w:asciiTheme="minorHAnsi" w:eastAsiaTheme="minorEastAsia" w:hAnsiTheme="minorHAnsi" w:cstheme="minorBidi"/>
          <w:b w:val="0"/>
          <w:noProof/>
          <w:szCs w:val="22"/>
          <w:lang w:eastAsia="en-GB"/>
        </w:rPr>
      </w:pPr>
      <w:hyperlink w:anchor="_Toc134197929" w:history="1">
        <w:r w:rsidR="008618F2" w:rsidRPr="00DC3933">
          <w:rPr>
            <w:rStyle w:val="Hyperlink"/>
            <w:noProof/>
          </w:rPr>
          <w:t>11</w:t>
        </w:r>
        <w:r w:rsidR="008618F2">
          <w:rPr>
            <w:rFonts w:asciiTheme="minorHAnsi" w:eastAsiaTheme="minorEastAsia" w:hAnsiTheme="minorHAnsi" w:cstheme="minorBidi"/>
            <w:b w:val="0"/>
            <w:noProof/>
            <w:szCs w:val="22"/>
            <w:lang w:eastAsia="en-GB"/>
          </w:rPr>
          <w:tab/>
        </w:r>
        <w:r w:rsidR="008618F2" w:rsidRPr="00DC3933">
          <w:rPr>
            <w:rStyle w:val="Hyperlink"/>
            <w:noProof/>
          </w:rPr>
          <w:t>Specific rules for steel buildings</w:t>
        </w:r>
        <w:r w:rsidR="008618F2">
          <w:rPr>
            <w:noProof/>
            <w:webHidden/>
          </w:rPr>
          <w:tab/>
        </w:r>
        <w:r w:rsidR="008618F2">
          <w:rPr>
            <w:noProof/>
            <w:webHidden/>
          </w:rPr>
          <w:fldChar w:fldCharType="begin"/>
        </w:r>
        <w:r w:rsidR="008618F2">
          <w:rPr>
            <w:noProof/>
            <w:webHidden/>
          </w:rPr>
          <w:instrText xml:space="preserve"> PAGEREF _Toc134197929 \h </w:instrText>
        </w:r>
        <w:r w:rsidR="008618F2">
          <w:rPr>
            <w:noProof/>
            <w:webHidden/>
          </w:rPr>
        </w:r>
        <w:r w:rsidR="008618F2">
          <w:rPr>
            <w:noProof/>
            <w:webHidden/>
          </w:rPr>
          <w:fldChar w:fldCharType="separate"/>
        </w:r>
        <w:r w:rsidR="000720CB">
          <w:rPr>
            <w:noProof/>
            <w:webHidden/>
          </w:rPr>
          <w:t>135</w:t>
        </w:r>
        <w:r w:rsidR="008618F2">
          <w:rPr>
            <w:noProof/>
            <w:webHidden/>
          </w:rPr>
          <w:fldChar w:fldCharType="end"/>
        </w:r>
      </w:hyperlink>
    </w:p>
    <w:p w14:paraId="7A5B393A" w14:textId="345CE1A5" w:rsidR="008618F2" w:rsidRDefault="009B5CEC" w:rsidP="008618F2">
      <w:pPr>
        <w:pStyle w:val="TOC2"/>
        <w:jc w:val="left"/>
        <w:rPr>
          <w:rFonts w:asciiTheme="minorHAnsi" w:eastAsiaTheme="minorEastAsia" w:hAnsiTheme="minorHAnsi" w:cstheme="minorBidi"/>
          <w:b w:val="0"/>
          <w:noProof/>
          <w:szCs w:val="22"/>
          <w:lang w:eastAsia="en-GB"/>
        </w:rPr>
      </w:pPr>
      <w:hyperlink w:anchor="_Toc134197930" w:history="1">
        <w:r w:rsidR="008618F2" w:rsidRPr="00DC3933">
          <w:rPr>
            <w:rStyle w:val="Hyperlink"/>
            <w:noProof/>
          </w:rPr>
          <w:t>11.1</w:t>
        </w:r>
        <w:r w:rsidR="008618F2">
          <w:rPr>
            <w:rFonts w:asciiTheme="minorHAnsi" w:eastAsiaTheme="minorEastAsia" w:hAnsiTheme="minorHAnsi" w:cstheme="minorBidi"/>
            <w:b w:val="0"/>
            <w:noProof/>
            <w:szCs w:val="22"/>
            <w:lang w:eastAsia="en-GB"/>
          </w:rPr>
          <w:tab/>
        </w:r>
        <w:r w:rsidR="008618F2" w:rsidRPr="00DC3933">
          <w:rPr>
            <w:rStyle w:val="Hyperlink"/>
            <w:noProof/>
          </w:rPr>
          <w:t>General</w:t>
        </w:r>
        <w:r w:rsidR="008618F2">
          <w:rPr>
            <w:noProof/>
            <w:webHidden/>
          </w:rPr>
          <w:tab/>
        </w:r>
        <w:r w:rsidR="008618F2">
          <w:rPr>
            <w:noProof/>
            <w:webHidden/>
          </w:rPr>
          <w:fldChar w:fldCharType="begin"/>
        </w:r>
        <w:r w:rsidR="008618F2">
          <w:rPr>
            <w:noProof/>
            <w:webHidden/>
          </w:rPr>
          <w:instrText xml:space="preserve"> PAGEREF _Toc134197930 \h </w:instrText>
        </w:r>
        <w:r w:rsidR="008618F2">
          <w:rPr>
            <w:noProof/>
            <w:webHidden/>
          </w:rPr>
        </w:r>
        <w:r w:rsidR="008618F2">
          <w:rPr>
            <w:noProof/>
            <w:webHidden/>
          </w:rPr>
          <w:fldChar w:fldCharType="separate"/>
        </w:r>
        <w:r w:rsidR="000720CB">
          <w:rPr>
            <w:noProof/>
            <w:webHidden/>
          </w:rPr>
          <w:t>135</w:t>
        </w:r>
        <w:r w:rsidR="008618F2">
          <w:rPr>
            <w:noProof/>
            <w:webHidden/>
          </w:rPr>
          <w:fldChar w:fldCharType="end"/>
        </w:r>
      </w:hyperlink>
    </w:p>
    <w:p w14:paraId="18AF56D7" w14:textId="16799F30" w:rsidR="008618F2" w:rsidRDefault="009B5CEC" w:rsidP="008618F2">
      <w:pPr>
        <w:pStyle w:val="TOC2"/>
        <w:jc w:val="left"/>
        <w:rPr>
          <w:rFonts w:asciiTheme="minorHAnsi" w:eastAsiaTheme="minorEastAsia" w:hAnsiTheme="minorHAnsi" w:cstheme="minorBidi"/>
          <w:b w:val="0"/>
          <w:noProof/>
          <w:szCs w:val="22"/>
          <w:lang w:eastAsia="en-GB"/>
        </w:rPr>
      </w:pPr>
      <w:hyperlink w:anchor="_Toc134197931" w:history="1">
        <w:r w:rsidR="008618F2" w:rsidRPr="00DC3933">
          <w:rPr>
            <w:rStyle w:val="Hyperlink"/>
            <w:noProof/>
          </w:rPr>
          <w:t>11.2</w:t>
        </w:r>
        <w:r w:rsidR="008618F2">
          <w:rPr>
            <w:rFonts w:asciiTheme="minorHAnsi" w:eastAsiaTheme="minorEastAsia" w:hAnsiTheme="minorHAnsi" w:cstheme="minorBidi"/>
            <w:b w:val="0"/>
            <w:noProof/>
            <w:szCs w:val="22"/>
            <w:lang w:eastAsia="en-GB"/>
          </w:rPr>
          <w:tab/>
        </w:r>
        <w:r w:rsidR="008618F2" w:rsidRPr="00DC3933">
          <w:rPr>
            <w:rStyle w:val="Hyperlink"/>
            <w:noProof/>
          </w:rPr>
          <w:t>Basis of Design</w:t>
        </w:r>
        <w:r w:rsidR="008618F2">
          <w:rPr>
            <w:noProof/>
            <w:webHidden/>
          </w:rPr>
          <w:tab/>
        </w:r>
        <w:r w:rsidR="008618F2">
          <w:rPr>
            <w:noProof/>
            <w:webHidden/>
          </w:rPr>
          <w:fldChar w:fldCharType="begin"/>
        </w:r>
        <w:r w:rsidR="008618F2">
          <w:rPr>
            <w:noProof/>
            <w:webHidden/>
          </w:rPr>
          <w:instrText xml:space="preserve"> PAGEREF _Toc134197931 \h </w:instrText>
        </w:r>
        <w:r w:rsidR="008618F2">
          <w:rPr>
            <w:noProof/>
            <w:webHidden/>
          </w:rPr>
        </w:r>
        <w:r w:rsidR="008618F2">
          <w:rPr>
            <w:noProof/>
            <w:webHidden/>
          </w:rPr>
          <w:fldChar w:fldCharType="separate"/>
        </w:r>
        <w:r w:rsidR="000720CB">
          <w:rPr>
            <w:noProof/>
            <w:webHidden/>
          </w:rPr>
          <w:t>135</w:t>
        </w:r>
        <w:r w:rsidR="008618F2">
          <w:rPr>
            <w:noProof/>
            <w:webHidden/>
          </w:rPr>
          <w:fldChar w:fldCharType="end"/>
        </w:r>
      </w:hyperlink>
    </w:p>
    <w:p w14:paraId="19A337D2" w14:textId="799AC5B7" w:rsidR="008618F2" w:rsidRDefault="009B5CEC" w:rsidP="008618F2">
      <w:pPr>
        <w:pStyle w:val="TOC3"/>
        <w:jc w:val="left"/>
        <w:rPr>
          <w:rFonts w:asciiTheme="minorHAnsi" w:eastAsiaTheme="minorEastAsia" w:hAnsiTheme="minorHAnsi" w:cstheme="minorBidi"/>
          <w:b w:val="0"/>
          <w:noProof/>
          <w:szCs w:val="22"/>
          <w:lang w:eastAsia="en-GB"/>
        </w:rPr>
      </w:pPr>
      <w:hyperlink w:anchor="_Toc134197932" w:history="1">
        <w:r w:rsidR="008618F2" w:rsidRPr="00DC3933">
          <w:rPr>
            <w:rStyle w:val="Hyperlink"/>
            <w:noProof/>
          </w:rPr>
          <w:t>11.2.1</w:t>
        </w:r>
        <w:r w:rsidR="008618F2">
          <w:rPr>
            <w:rFonts w:asciiTheme="minorHAnsi" w:eastAsiaTheme="minorEastAsia" w:hAnsiTheme="minorHAnsi" w:cstheme="minorBidi"/>
            <w:b w:val="0"/>
            <w:noProof/>
            <w:szCs w:val="22"/>
            <w:lang w:eastAsia="en-GB"/>
          </w:rPr>
          <w:tab/>
        </w:r>
        <w:r w:rsidR="008618F2" w:rsidRPr="00DC3933">
          <w:rPr>
            <w:rStyle w:val="Hyperlink"/>
            <w:noProof/>
          </w:rPr>
          <w:t>Ductility classes</w:t>
        </w:r>
        <w:r w:rsidR="008618F2">
          <w:rPr>
            <w:noProof/>
            <w:webHidden/>
          </w:rPr>
          <w:tab/>
        </w:r>
        <w:r w:rsidR="008618F2">
          <w:rPr>
            <w:noProof/>
            <w:webHidden/>
          </w:rPr>
          <w:fldChar w:fldCharType="begin"/>
        </w:r>
        <w:r w:rsidR="008618F2">
          <w:rPr>
            <w:noProof/>
            <w:webHidden/>
          </w:rPr>
          <w:instrText xml:space="preserve"> PAGEREF _Toc134197932 \h </w:instrText>
        </w:r>
        <w:r w:rsidR="008618F2">
          <w:rPr>
            <w:noProof/>
            <w:webHidden/>
          </w:rPr>
        </w:r>
        <w:r w:rsidR="008618F2">
          <w:rPr>
            <w:noProof/>
            <w:webHidden/>
          </w:rPr>
          <w:fldChar w:fldCharType="separate"/>
        </w:r>
        <w:r w:rsidR="000720CB">
          <w:rPr>
            <w:noProof/>
            <w:webHidden/>
          </w:rPr>
          <w:t>135</w:t>
        </w:r>
        <w:r w:rsidR="008618F2">
          <w:rPr>
            <w:noProof/>
            <w:webHidden/>
          </w:rPr>
          <w:fldChar w:fldCharType="end"/>
        </w:r>
      </w:hyperlink>
    </w:p>
    <w:p w14:paraId="25A1323B" w14:textId="30A621FA" w:rsidR="008618F2" w:rsidRDefault="009B5CEC" w:rsidP="008618F2">
      <w:pPr>
        <w:pStyle w:val="TOC3"/>
        <w:jc w:val="left"/>
        <w:rPr>
          <w:rFonts w:asciiTheme="minorHAnsi" w:eastAsiaTheme="minorEastAsia" w:hAnsiTheme="minorHAnsi" w:cstheme="minorBidi"/>
          <w:b w:val="0"/>
          <w:noProof/>
          <w:szCs w:val="22"/>
          <w:lang w:eastAsia="en-GB"/>
        </w:rPr>
      </w:pPr>
      <w:hyperlink w:anchor="_Toc134197933" w:history="1">
        <w:r w:rsidR="008618F2" w:rsidRPr="00DC3933">
          <w:rPr>
            <w:rStyle w:val="Hyperlink"/>
            <w:noProof/>
          </w:rPr>
          <w:t>11.2.2</w:t>
        </w:r>
        <w:r w:rsidR="008618F2">
          <w:rPr>
            <w:rFonts w:asciiTheme="minorHAnsi" w:eastAsiaTheme="minorEastAsia" w:hAnsiTheme="minorHAnsi" w:cstheme="minorBidi"/>
            <w:b w:val="0"/>
            <w:noProof/>
            <w:szCs w:val="22"/>
            <w:lang w:eastAsia="en-GB"/>
          </w:rPr>
          <w:tab/>
        </w:r>
        <w:r w:rsidR="008618F2" w:rsidRPr="00DC3933">
          <w:rPr>
            <w:rStyle w:val="Hyperlink"/>
            <w:noProof/>
          </w:rPr>
          <w:t>Safety verifications</w:t>
        </w:r>
        <w:r w:rsidR="008618F2">
          <w:rPr>
            <w:noProof/>
            <w:webHidden/>
          </w:rPr>
          <w:tab/>
        </w:r>
        <w:r w:rsidR="008618F2">
          <w:rPr>
            <w:noProof/>
            <w:webHidden/>
          </w:rPr>
          <w:fldChar w:fldCharType="begin"/>
        </w:r>
        <w:r w:rsidR="008618F2">
          <w:rPr>
            <w:noProof/>
            <w:webHidden/>
          </w:rPr>
          <w:instrText xml:space="preserve"> PAGEREF _Toc134197933 \h </w:instrText>
        </w:r>
        <w:r w:rsidR="008618F2">
          <w:rPr>
            <w:noProof/>
            <w:webHidden/>
          </w:rPr>
        </w:r>
        <w:r w:rsidR="008618F2">
          <w:rPr>
            <w:noProof/>
            <w:webHidden/>
          </w:rPr>
          <w:fldChar w:fldCharType="separate"/>
        </w:r>
        <w:r w:rsidR="000720CB">
          <w:rPr>
            <w:noProof/>
            <w:webHidden/>
          </w:rPr>
          <w:t>135</w:t>
        </w:r>
        <w:r w:rsidR="008618F2">
          <w:rPr>
            <w:noProof/>
            <w:webHidden/>
          </w:rPr>
          <w:fldChar w:fldCharType="end"/>
        </w:r>
      </w:hyperlink>
    </w:p>
    <w:p w14:paraId="3410CB17" w14:textId="69FAD682" w:rsidR="008618F2" w:rsidRDefault="009B5CEC" w:rsidP="008618F2">
      <w:pPr>
        <w:pStyle w:val="TOC2"/>
        <w:jc w:val="left"/>
        <w:rPr>
          <w:rFonts w:asciiTheme="minorHAnsi" w:eastAsiaTheme="minorEastAsia" w:hAnsiTheme="minorHAnsi" w:cstheme="minorBidi"/>
          <w:b w:val="0"/>
          <w:noProof/>
          <w:szCs w:val="22"/>
          <w:lang w:eastAsia="en-GB"/>
        </w:rPr>
      </w:pPr>
      <w:hyperlink w:anchor="_Toc134197934" w:history="1">
        <w:r w:rsidR="008618F2" w:rsidRPr="00DC3933">
          <w:rPr>
            <w:rStyle w:val="Hyperlink"/>
            <w:noProof/>
          </w:rPr>
          <w:t>11.3</w:t>
        </w:r>
        <w:r w:rsidR="008618F2">
          <w:rPr>
            <w:rFonts w:asciiTheme="minorHAnsi" w:eastAsiaTheme="minorEastAsia" w:hAnsiTheme="minorHAnsi" w:cstheme="minorBidi"/>
            <w:b w:val="0"/>
            <w:noProof/>
            <w:szCs w:val="22"/>
            <w:lang w:eastAsia="en-GB"/>
          </w:rPr>
          <w:tab/>
        </w:r>
        <w:r w:rsidR="008618F2" w:rsidRPr="00DC3933">
          <w:rPr>
            <w:rStyle w:val="Hyperlink"/>
            <w:noProof/>
          </w:rPr>
          <w:t>Materials</w:t>
        </w:r>
        <w:r w:rsidR="008618F2">
          <w:rPr>
            <w:noProof/>
            <w:webHidden/>
          </w:rPr>
          <w:tab/>
        </w:r>
        <w:r w:rsidR="008618F2">
          <w:rPr>
            <w:noProof/>
            <w:webHidden/>
          </w:rPr>
          <w:fldChar w:fldCharType="begin"/>
        </w:r>
        <w:r w:rsidR="008618F2">
          <w:rPr>
            <w:noProof/>
            <w:webHidden/>
          </w:rPr>
          <w:instrText xml:space="preserve"> PAGEREF _Toc134197934 \h </w:instrText>
        </w:r>
        <w:r w:rsidR="008618F2">
          <w:rPr>
            <w:noProof/>
            <w:webHidden/>
          </w:rPr>
        </w:r>
        <w:r w:rsidR="008618F2">
          <w:rPr>
            <w:noProof/>
            <w:webHidden/>
          </w:rPr>
          <w:fldChar w:fldCharType="separate"/>
        </w:r>
        <w:r w:rsidR="000720CB">
          <w:rPr>
            <w:noProof/>
            <w:webHidden/>
          </w:rPr>
          <w:t>135</w:t>
        </w:r>
        <w:r w:rsidR="008618F2">
          <w:rPr>
            <w:noProof/>
            <w:webHidden/>
          </w:rPr>
          <w:fldChar w:fldCharType="end"/>
        </w:r>
      </w:hyperlink>
    </w:p>
    <w:p w14:paraId="034BFA0A" w14:textId="540B7173" w:rsidR="008618F2" w:rsidRDefault="009B5CEC" w:rsidP="008618F2">
      <w:pPr>
        <w:pStyle w:val="TOC2"/>
        <w:jc w:val="left"/>
        <w:rPr>
          <w:rFonts w:asciiTheme="minorHAnsi" w:eastAsiaTheme="minorEastAsia" w:hAnsiTheme="minorHAnsi" w:cstheme="minorBidi"/>
          <w:b w:val="0"/>
          <w:noProof/>
          <w:szCs w:val="22"/>
          <w:lang w:eastAsia="en-GB"/>
        </w:rPr>
      </w:pPr>
      <w:hyperlink w:anchor="_Toc134197935" w:history="1">
        <w:r w:rsidR="008618F2" w:rsidRPr="00DC3933">
          <w:rPr>
            <w:rStyle w:val="Hyperlink"/>
            <w:noProof/>
          </w:rPr>
          <w:t>11.4</w:t>
        </w:r>
        <w:r w:rsidR="008618F2">
          <w:rPr>
            <w:rFonts w:asciiTheme="minorHAnsi" w:eastAsiaTheme="minorEastAsia" w:hAnsiTheme="minorHAnsi" w:cstheme="minorBidi"/>
            <w:b w:val="0"/>
            <w:noProof/>
            <w:szCs w:val="22"/>
            <w:lang w:eastAsia="en-GB"/>
          </w:rPr>
          <w:tab/>
        </w:r>
        <w:r w:rsidR="008618F2" w:rsidRPr="00DC3933">
          <w:rPr>
            <w:rStyle w:val="Hyperlink"/>
            <w:noProof/>
          </w:rPr>
          <w:t>Structural types, behaviour factors and limits of seismic action</w:t>
        </w:r>
        <w:r w:rsidR="008618F2">
          <w:rPr>
            <w:noProof/>
            <w:webHidden/>
          </w:rPr>
          <w:tab/>
        </w:r>
        <w:r w:rsidR="008618F2">
          <w:rPr>
            <w:noProof/>
            <w:webHidden/>
          </w:rPr>
          <w:fldChar w:fldCharType="begin"/>
        </w:r>
        <w:r w:rsidR="008618F2">
          <w:rPr>
            <w:noProof/>
            <w:webHidden/>
          </w:rPr>
          <w:instrText xml:space="preserve"> PAGEREF _Toc134197935 \h </w:instrText>
        </w:r>
        <w:r w:rsidR="008618F2">
          <w:rPr>
            <w:noProof/>
            <w:webHidden/>
          </w:rPr>
        </w:r>
        <w:r w:rsidR="008618F2">
          <w:rPr>
            <w:noProof/>
            <w:webHidden/>
          </w:rPr>
          <w:fldChar w:fldCharType="separate"/>
        </w:r>
        <w:r w:rsidR="000720CB">
          <w:rPr>
            <w:noProof/>
            <w:webHidden/>
          </w:rPr>
          <w:t>136</w:t>
        </w:r>
        <w:r w:rsidR="008618F2">
          <w:rPr>
            <w:noProof/>
            <w:webHidden/>
          </w:rPr>
          <w:fldChar w:fldCharType="end"/>
        </w:r>
      </w:hyperlink>
    </w:p>
    <w:p w14:paraId="14C40C74" w14:textId="29E0E159" w:rsidR="008618F2" w:rsidRDefault="009B5CEC" w:rsidP="008618F2">
      <w:pPr>
        <w:pStyle w:val="TOC3"/>
        <w:jc w:val="left"/>
        <w:rPr>
          <w:rFonts w:asciiTheme="minorHAnsi" w:eastAsiaTheme="minorEastAsia" w:hAnsiTheme="minorHAnsi" w:cstheme="minorBidi"/>
          <w:b w:val="0"/>
          <w:noProof/>
          <w:szCs w:val="22"/>
          <w:lang w:eastAsia="en-GB"/>
        </w:rPr>
      </w:pPr>
      <w:hyperlink w:anchor="_Toc134197936" w:history="1">
        <w:r w:rsidR="008618F2" w:rsidRPr="00DC3933">
          <w:rPr>
            <w:rStyle w:val="Hyperlink"/>
            <w:noProof/>
          </w:rPr>
          <w:t>11.4.1</w:t>
        </w:r>
        <w:r w:rsidR="008618F2">
          <w:rPr>
            <w:rFonts w:asciiTheme="minorHAnsi" w:eastAsiaTheme="minorEastAsia" w:hAnsiTheme="minorHAnsi" w:cstheme="minorBidi"/>
            <w:b w:val="0"/>
            <w:noProof/>
            <w:szCs w:val="22"/>
            <w:lang w:eastAsia="en-GB"/>
          </w:rPr>
          <w:tab/>
        </w:r>
        <w:r w:rsidR="008618F2" w:rsidRPr="00DC3933">
          <w:rPr>
            <w:rStyle w:val="Hyperlink"/>
            <w:noProof/>
          </w:rPr>
          <w:t>Structural types</w:t>
        </w:r>
        <w:r w:rsidR="008618F2">
          <w:rPr>
            <w:noProof/>
            <w:webHidden/>
          </w:rPr>
          <w:tab/>
        </w:r>
        <w:r w:rsidR="008618F2">
          <w:rPr>
            <w:noProof/>
            <w:webHidden/>
          </w:rPr>
          <w:fldChar w:fldCharType="begin"/>
        </w:r>
        <w:r w:rsidR="008618F2">
          <w:rPr>
            <w:noProof/>
            <w:webHidden/>
          </w:rPr>
          <w:instrText xml:space="preserve"> PAGEREF _Toc134197936 \h </w:instrText>
        </w:r>
        <w:r w:rsidR="008618F2">
          <w:rPr>
            <w:noProof/>
            <w:webHidden/>
          </w:rPr>
        </w:r>
        <w:r w:rsidR="008618F2">
          <w:rPr>
            <w:noProof/>
            <w:webHidden/>
          </w:rPr>
          <w:fldChar w:fldCharType="separate"/>
        </w:r>
        <w:r w:rsidR="000720CB">
          <w:rPr>
            <w:noProof/>
            <w:webHidden/>
          </w:rPr>
          <w:t>136</w:t>
        </w:r>
        <w:r w:rsidR="008618F2">
          <w:rPr>
            <w:noProof/>
            <w:webHidden/>
          </w:rPr>
          <w:fldChar w:fldCharType="end"/>
        </w:r>
      </w:hyperlink>
    </w:p>
    <w:p w14:paraId="401E882C" w14:textId="1C9B4BB6" w:rsidR="008618F2" w:rsidRDefault="009B5CEC" w:rsidP="008618F2">
      <w:pPr>
        <w:pStyle w:val="TOC3"/>
        <w:jc w:val="left"/>
        <w:rPr>
          <w:rFonts w:asciiTheme="minorHAnsi" w:eastAsiaTheme="minorEastAsia" w:hAnsiTheme="minorHAnsi" w:cstheme="minorBidi"/>
          <w:b w:val="0"/>
          <w:noProof/>
          <w:szCs w:val="22"/>
          <w:lang w:eastAsia="en-GB"/>
        </w:rPr>
      </w:pPr>
      <w:hyperlink w:anchor="_Toc134197937" w:history="1">
        <w:r w:rsidR="008618F2" w:rsidRPr="00DC3933">
          <w:rPr>
            <w:rStyle w:val="Hyperlink"/>
            <w:noProof/>
          </w:rPr>
          <w:t>11.4.2</w:t>
        </w:r>
        <w:r w:rsidR="008618F2">
          <w:rPr>
            <w:rFonts w:asciiTheme="minorHAnsi" w:eastAsiaTheme="minorEastAsia" w:hAnsiTheme="minorHAnsi" w:cstheme="minorBidi"/>
            <w:b w:val="0"/>
            <w:noProof/>
            <w:szCs w:val="22"/>
            <w:lang w:eastAsia="en-GB"/>
          </w:rPr>
          <w:tab/>
        </w:r>
        <w:r w:rsidR="008618F2" w:rsidRPr="00DC3933">
          <w:rPr>
            <w:rStyle w:val="Hyperlink"/>
            <w:noProof/>
          </w:rPr>
          <w:t>Behaviour factors</w:t>
        </w:r>
        <w:r w:rsidR="008618F2">
          <w:rPr>
            <w:noProof/>
            <w:webHidden/>
          </w:rPr>
          <w:tab/>
        </w:r>
        <w:r w:rsidR="008618F2">
          <w:rPr>
            <w:noProof/>
            <w:webHidden/>
          </w:rPr>
          <w:fldChar w:fldCharType="begin"/>
        </w:r>
        <w:r w:rsidR="008618F2">
          <w:rPr>
            <w:noProof/>
            <w:webHidden/>
          </w:rPr>
          <w:instrText xml:space="preserve"> PAGEREF _Toc134197937 \h </w:instrText>
        </w:r>
        <w:r w:rsidR="008618F2">
          <w:rPr>
            <w:noProof/>
            <w:webHidden/>
          </w:rPr>
        </w:r>
        <w:r w:rsidR="008618F2">
          <w:rPr>
            <w:noProof/>
            <w:webHidden/>
          </w:rPr>
          <w:fldChar w:fldCharType="separate"/>
        </w:r>
        <w:r w:rsidR="000720CB">
          <w:rPr>
            <w:noProof/>
            <w:webHidden/>
          </w:rPr>
          <w:t>140</w:t>
        </w:r>
        <w:r w:rsidR="008618F2">
          <w:rPr>
            <w:noProof/>
            <w:webHidden/>
          </w:rPr>
          <w:fldChar w:fldCharType="end"/>
        </w:r>
      </w:hyperlink>
    </w:p>
    <w:p w14:paraId="6E5ADC25" w14:textId="7BD74F43" w:rsidR="008618F2" w:rsidRDefault="009B5CEC" w:rsidP="008618F2">
      <w:pPr>
        <w:pStyle w:val="TOC3"/>
        <w:jc w:val="left"/>
        <w:rPr>
          <w:rFonts w:asciiTheme="minorHAnsi" w:eastAsiaTheme="minorEastAsia" w:hAnsiTheme="minorHAnsi" w:cstheme="minorBidi"/>
          <w:b w:val="0"/>
          <w:noProof/>
          <w:szCs w:val="22"/>
          <w:lang w:eastAsia="en-GB"/>
        </w:rPr>
      </w:pPr>
      <w:hyperlink w:anchor="_Toc134197938" w:history="1">
        <w:r w:rsidR="008618F2" w:rsidRPr="00DC3933">
          <w:rPr>
            <w:rStyle w:val="Hyperlink"/>
            <w:noProof/>
          </w:rPr>
          <w:t>11.4.3</w:t>
        </w:r>
        <w:r w:rsidR="008618F2">
          <w:rPr>
            <w:rFonts w:asciiTheme="minorHAnsi" w:eastAsiaTheme="minorEastAsia" w:hAnsiTheme="minorHAnsi" w:cstheme="minorBidi"/>
            <w:b w:val="0"/>
            <w:noProof/>
            <w:szCs w:val="22"/>
            <w:lang w:eastAsia="en-GB"/>
          </w:rPr>
          <w:tab/>
        </w:r>
        <w:r w:rsidR="008618F2" w:rsidRPr="00DC3933">
          <w:rPr>
            <w:rStyle w:val="Hyperlink"/>
            <w:noProof/>
          </w:rPr>
          <w:t>Limits of seismic action for design to DC1, DC2 and DC3</w:t>
        </w:r>
        <w:r w:rsidR="008618F2">
          <w:rPr>
            <w:noProof/>
            <w:webHidden/>
          </w:rPr>
          <w:tab/>
        </w:r>
        <w:r w:rsidR="008618F2">
          <w:rPr>
            <w:noProof/>
            <w:webHidden/>
          </w:rPr>
          <w:fldChar w:fldCharType="begin"/>
        </w:r>
        <w:r w:rsidR="008618F2">
          <w:rPr>
            <w:noProof/>
            <w:webHidden/>
          </w:rPr>
          <w:instrText xml:space="preserve"> PAGEREF _Toc134197938 \h </w:instrText>
        </w:r>
        <w:r w:rsidR="008618F2">
          <w:rPr>
            <w:noProof/>
            <w:webHidden/>
          </w:rPr>
        </w:r>
        <w:r w:rsidR="008618F2">
          <w:rPr>
            <w:noProof/>
            <w:webHidden/>
          </w:rPr>
          <w:fldChar w:fldCharType="separate"/>
        </w:r>
        <w:r w:rsidR="000720CB">
          <w:rPr>
            <w:noProof/>
            <w:webHidden/>
          </w:rPr>
          <w:t>141</w:t>
        </w:r>
        <w:r w:rsidR="008618F2">
          <w:rPr>
            <w:noProof/>
            <w:webHidden/>
          </w:rPr>
          <w:fldChar w:fldCharType="end"/>
        </w:r>
      </w:hyperlink>
    </w:p>
    <w:p w14:paraId="2EBC6151" w14:textId="00B28B5E" w:rsidR="008618F2" w:rsidRDefault="009B5CEC" w:rsidP="008618F2">
      <w:pPr>
        <w:pStyle w:val="TOC2"/>
        <w:jc w:val="left"/>
        <w:rPr>
          <w:rFonts w:asciiTheme="minorHAnsi" w:eastAsiaTheme="minorEastAsia" w:hAnsiTheme="minorHAnsi" w:cstheme="minorBidi"/>
          <w:b w:val="0"/>
          <w:noProof/>
          <w:szCs w:val="22"/>
          <w:lang w:eastAsia="en-GB"/>
        </w:rPr>
      </w:pPr>
      <w:hyperlink w:anchor="_Toc134197939" w:history="1">
        <w:r w:rsidR="008618F2" w:rsidRPr="00DC3933">
          <w:rPr>
            <w:rStyle w:val="Hyperlink"/>
            <w:noProof/>
          </w:rPr>
          <w:t>11.5</w:t>
        </w:r>
        <w:r w:rsidR="008618F2">
          <w:rPr>
            <w:rFonts w:asciiTheme="minorHAnsi" w:eastAsiaTheme="minorEastAsia" w:hAnsiTheme="minorHAnsi" w:cstheme="minorBidi"/>
            <w:b w:val="0"/>
            <w:noProof/>
            <w:szCs w:val="22"/>
            <w:lang w:eastAsia="en-GB"/>
          </w:rPr>
          <w:tab/>
        </w:r>
        <w:r w:rsidR="008618F2" w:rsidRPr="00DC3933">
          <w:rPr>
            <w:rStyle w:val="Hyperlink"/>
            <w:noProof/>
          </w:rPr>
          <w:t>Structural analysis</w:t>
        </w:r>
        <w:r w:rsidR="008618F2">
          <w:rPr>
            <w:noProof/>
            <w:webHidden/>
          </w:rPr>
          <w:tab/>
        </w:r>
        <w:r w:rsidR="008618F2">
          <w:rPr>
            <w:noProof/>
            <w:webHidden/>
          </w:rPr>
          <w:fldChar w:fldCharType="begin"/>
        </w:r>
        <w:r w:rsidR="008618F2">
          <w:rPr>
            <w:noProof/>
            <w:webHidden/>
          </w:rPr>
          <w:instrText xml:space="preserve"> PAGEREF _Toc134197939 \h </w:instrText>
        </w:r>
        <w:r w:rsidR="008618F2">
          <w:rPr>
            <w:noProof/>
            <w:webHidden/>
          </w:rPr>
        </w:r>
        <w:r w:rsidR="008618F2">
          <w:rPr>
            <w:noProof/>
            <w:webHidden/>
          </w:rPr>
          <w:fldChar w:fldCharType="separate"/>
        </w:r>
        <w:r w:rsidR="000720CB">
          <w:rPr>
            <w:noProof/>
            <w:webHidden/>
          </w:rPr>
          <w:t>142</w:t>
        </w:r>
        <w:r w:rsidR="008618F2">
          <w:rPr>
            <w:noProof/>
            <w:webHidden/>
          </w:rPr>
          <w:fldChar w:fldCharType="end"/>
        </w:r>
      </w:hyperlink>
    </w:p>
    <w:p w14:paraId="0BEE2D3B" w14:textId="7F365749" w:rsidR="008618F2" w:rsidRDefault="009B5CEC" w:rsidP="008618F2">
      <w:pPr>
        <w:pStyle w:val="TOC2"/>
        <w:jc w:val="left"/>
        <w:rPr>
          <w:rFonts w:asciiTheme="minorHAnsi" w:eastAsiaTheme="minorEastAsia" w:hAnsiTheme="minorHAnsi" w:cstheme="minorBidi"/>
          <w:b w:val="0"/>
          <w:noProof/>
          <w:szCs w:val="22"/>
          <w:lang w:eastAsia="en-GB"/>
        </w:rPr>
      </w:pPr>
      <w:hyperlink w:anchor="_Toc134197940" w:history="1">
        <w:r w:rsidR="008618F2" w:rsidRPr="00DC3933">
          <w:rPr>
            <w:rStyle w:val="Hyperlink"/>
            <w:noProof/>
          </w:rPr>
          <w:t>11.6</w:t>
        </w:r>
        <w:r w:rsidR="008618F2">
          <w:rPr>
            <w:rFonts w:asciiTheme="minorHAnsi" w:eastAsiaTheme="minorEastAsia" w:hAnsiTheme="minorHAnsi" w:cstheme="minorBidi"/>
            <w:b w:val="0"/>
            <w:noProof/>
            <w:szCs w:val="22"/>
            <w:lang w:eastAsia="en-GB"/>
          </w:rPr>
          <w:tab/>
        </w:r>
        <w:r w:rsidR="008618F2" w:rsidRPr="00DC3933">
          <w:rPr>
            <w:rStyle w:val="Hyperlink"/>
            <w:noProof/>
          </w:rPr>
          <w:t>Verification to Limit States</w:t>
        </w:r>
        <w:r w:rsidR="008618F2">
          <w:rPr>
            <w:noProof/>
            <w:webHidden/>
          </w:rPr>
          <w:tab/>
        </w:r>
        <w:r w:rsidR="008618F2">
          <w:rPr>
            <w:noProof/>
            <w:webHidden/>
          </w:rPr>
          <w:fldChar w:fldCharType="begin"/>
        </w:r>
        <w:r w:rsidR="008618F2">
          <w:rPr>
            <w:noProof/>
            <w:webHidden/>
          </w:rPr>
          <w:instrText xml:space="preserve"> PAGEREF _Toc134197940 \h </w:instrText>
        </w:r>
        <w:r w:rsidR="008618F2">
          <w:rPr>
            <w:noProof/>
            <w:webHidden/>
          </w:rPr>
        </w:r>
        <w:r w:rsidR="008618F2">
          <w:rPr>
            <w:noProof/>
            <w:webHidden/>
          </w:rPr>
          <w:fldChar w:fldCharType="separate"/>
        </w:r>
        <w:r w:rsidR="000720CB">
          <w:rPr>
            <w:noProof/>
            <w:webHidden/>
          </w:rPr>
          <w:t>143</w:t>
        </w:r>
        <w:r w:rsidR="008618F2">
          <w:rPr>
            <w:noProof/>
            <w:webHidden/>
          </w:rPr>
          <w:fldChar w:fldCharType="end"/>
        </w:r>
      </w:hyperlink>
    </w:p>
    <w:p w14:paraId="4B49EAE1" w14:textId="6A73FD89" w:rsidR="008618F2" w:rsidRDefault="009B5CEC" w:rsidP="008618F2">
      <w:pPr>
        <w:pStyle w:val="TOC3"/>
        <w:jc w:val="left"/>
        <w:rPr>
          <w:rFonts w:asciiTheme="minorHAnsi" w:eastAsiaTheme="minorEastAsia" w:hAnsiTheme="minorHAnsi" w:cstheme="minorBidi"/>
          <w:b w:val="0"/>
          <w:noProof/>
          <w:szCs w:val="22"/>
          <w:lang w:eastAsia="en-GB"/>
        </w:rPr>
      </w:pPr>
      <w:hyperlink w:anchor="_Toc134197941" w:history="1">
        <w:r w:rsidR="008618F2" w:rsidRPr="00DC3933">
          <w:rPr>
            <w:rStyle w:val="Hyperlink"/>
            <w:noProof/>
          </w:rPr>
          <w:t>11.6.1</w:t>
        </w:r>
        <w:r w:rsidR="008618F2">
          <w:rPr>
            <w:rFonts w:asciiTheme="minorHAnsi" w:eastAsiaTheme="minorEastAsia" w:hAnsiTheme="minorHAnsi" w:cstheme="minorBidi"/>
            <w:b w:val="0"/>
            <w:noProof/>
            <w:szCs w:val="22"/>
            <w:lang w:eastAsia="en-GB"/>
          </w:rPr>
          <w:tab/>
        </w:r>
        <w:r w:rsidR="008618F2" w:rsidRPr="00DC3933">
          <w:rPr>
            <w:rStyle w:val="Hyperlink"/>
            <w:noProof/>
          </w:rPr>
          <w:t>General</w:t>
        </w:r>
        <w:r w:rsidR="008618F2">
          <w:rPr>
            <w:noProof/>
            <w:webHidden/>
          </w:rPr>
          <w:tab/>
        </w:r>
        <w:r w:rsidR="008618F2">
          <w:rPr>
            <w:noProof/>
            <w:webHidden/>
          </w:rPr>
          <w:fldChar w:fldCharType="begin"/>
        </w:r>
        <w:r w:rsidR="008618F2">
          <w:rPr>
            <w:noProof/>
            <w:webHidden/>
          </w:rPr>
          <w:instrText xml:space="preserve"> PAGEREF _Toc134197941 \h </w:instrText>
        </w:r>
        <w:r w:rsidR="008618F2">
          <w:rPr>
            <w:noProof/>
            <w:webHidden/>
          </w:rPr>
        </w:r>
        <w:r w:rsidR="008618F2">
          <w:rPr>
            <w:noProof/>
            <w:webHidden/>
          </w:rPr>
          <w:fldChar w:fldCharType="separate"/>
        </w:r>
        <w:r w:rsidR="000720CB">
          <w:rPr>
            <w:noProof/>
            <w:webHidden/>
          </w:rPr>
          <w:t>143</w:t>
        </w:r>
        <w:r w:rsidR="008618F2">
          <w:rPr>
            <w:noProof/>
            <w:webHidden/>
          </w:rPr>
          <w:fldChar w:fldCharType="end"/>
        </w:r>
      </w:hyperlink>
    </w:p>
    <w:p w14:paraId="6DC48749" w14:textId="6972FB91" w:rsidR="008618F2" w:rsidRDefault="009B5CEC" w:rsidP="008618F2">
      <w:pPr>
        <w:pStyle w:val="TOC3"/>
        <w:jc w:val="left"/>
        <w:rPr>
          <w:rFonts w:asciiTheme="minorHAnsi" w:eastAsiaTheme="minorEastAsia" w:hAnsiTheme="minorHAnsi" w:cstheme="minorBidi"/>
          <w:b w:val="0"/>
          <w:noProof/>
          <w:szCs w:val="22"/>
          <w:lang w:eastAsia="en-GB"/>
        </w:rPr>
      </w:pPr>
      <w:hyperlink w:anchor="_Toc134197942" w:history="1">
        <w:r w:rsidR="008618F2" w:rsidRPr="00DC3933">
          <w:rPr>
            <w:rStyle w:val="Hyperlink"/>
            <w:noProof/>
          </w:rPr>
          <w:t>11.6.2</w:t>
        </w:r>
        <w:r w:rsidR="008618F2">
          <w:rPr>
            <w:rFonts w:asciiTheme="minorHAnsi" w:eastAsiaTheme="minorEastAsia" w:hAnsiTheme="minorHAnsi" w:cstheme="minorBidi"/>
            <w:b w:val="0"/>
            <w:noProof/>
            <w:szCs w:val="22"/>
            <w:lang w:eastAsia="en-GB"/>
          </w:rPr>
          <w:tab/>
        </w:r>
        <w:r w:rsidR="008618F2" w:rsidRPr="00DC3933">
          <w:rPr>
            <w:rStyle w:val="Hyperlink"/>
            <w:noProof/>
          </w:rPr>
          <w:t>Verification at Significant Damage limit state in a force-based approach</w:t>
        </w:r>
        <w:r w:rsidR="008618F2">
          <w:rPr>
            <w:noProof/>
            <w:webHidden/>
          </w:rPr>
          <w:tab/>
        </w:r>
        <w:r w:rsidR="008618F2">
          <w:rPr>
            <w:noProof/>
            <w:webHidden/>
          </w:rPr>
          <w:fldChar w:fldCharType="begin"/>
        </w:r>
        <w:r w:rsidR="008618F2">
          <w:rPr>
            <w:noProof/>
            <w:webHidden/>
          </w:rPr>
          <w:instrText xml:space="preserve"> PAGEREF _Toc134197942 \h </w:instrText>
        </w:r>
        <w:r w:rsidR="008618F2">
          <w:rPr>
            <w:noProof/>
            <w:webHidden/>
          </w:rPr>
        </w:r>
        <w:r w:rsidR="008618F2">
          <w:rPr>
            <w:noProof/>
            <w:webHidden/>
          </w:rPr>
          <w:fldChar w:fldCharType="separate"/>
        </w:r>
        <w:r w:rsidR="000720CB">
          <w:rPr>
            <w:noProof/>
            <w:webHidden/>
          </w:rPr>
          <w:t>143</w:t>
        </w:r>
        <w:r w:rsidR="008618F2">
          <w:rPr>
            <w:noProof/>
            <w:webHidden/>
          </w:rPr>
          <w:fldChar w:fldCharType="end"/>
        </w:r>
      </w:hyperlink>
    </w:p>
    <w:p w14:paraId="2786FBA6" w14:textId="1106F989" w:rsidR="008618F2" w:rsidRDefault="009B5CEC" w:rsidP="008618F2">
      <w:pPr>
        <w:pStyle w:val="TOC3"/>
        <w:jc w:val="left"/>
        <w:rPr>
          <w:rFonts w:asciiTheme="minorHAnsi" w:eastAsiaTheme="minorEastAsia" w:hAnsiTheme="minorHAnsi" w:cstheme="minorBidi"/>
          <w:b w:val="0"/>
          <w:noProof/>
          <w:szCs w:val="22"/>
          <w:lang w:eastAsia="en-GB"/>
        </w:rPr>
      </w:pPr>
      <w:hyperlink w:anchor="_Toc134197943" w:history="1">
        <w:r w:rsidR="008618F2" w:rsidRPr="00DC3933">
          <w:rPr>
            <w:rStyle w:val="Hyperlink"/>
            <w:noProof/>
          </w:rPr>
          <w:t>11.6.3</w:t>
        </w:r>
        <w:r w:rsidR="008618F2">
          <w:rPr>
            <w:rFonts w:asciiTheme="minorHAnsi" w:eastAsiaTheme="minorEastAsia" w:hAnsiTheme="minorHAnsi" w:cstheme="minorBidi"/>
            <w:b w:val="0"/>
            <w:noProof/>
            <w:szCs w:val="22"/>
            <w:lang w:eastAsia="en-GB"/>
          </w:rPr>
          <w:tab/>
        </w:r>
        <w:r w:rsidR="008618F2" w:rsidRPr="00DC3933">
          <w:rPr>
            <w:rStyle w:val="Hyperlink"/>
            <w:noProof/>
          </w:rPr>
          <w:t>Verification at Significant Damage limit state in a displacement-based approach</w:t>
        </w:r>
        <w:r w:rsidR="008618F2">
          <w:rPr>
            <w:noProof/>
            <w:webHidden/>
          </w:rPr>
          <w:tab/>
        </w:r>
        <w:r w:rsidR="008618F2">
          <w:rPr>
            <w:noProof/>
            <w:webHidden/>
          </w:rPr>
          <w:fldChar w:fldCharType="begin"/>
        </w:r>
        <w:r w:rsidR="008618F2">
          <w:rPr>
            <w:noProof/>
            <w:webHidden/>
          </w:rPr>
          <w:instrText xml:space="preserve"> PAGEREF _Toc134197943 \h </w:instrText>
        </w:r>
        <w:r w:rsidR="008618F2">
          <w:rPr>
            <w:noProof/>
            <w:webHidden/>
          </w:rPr>
        </w:r>
        <w:r w:rsidR="008618F2">
          <w:rPr>
            <w:noProof/>
            <w:webHidden/>
          </w:rPr>
          <w:fldChar w:fldCharType="separate"/>
        </w:r>
        <w:r w:rsidR="000720CB">
          <w:rPr>
            <w:noProof/>
            <w:webHidden/>
          </w:rPr>
          <w:t>143</w:t>
        </w:r>
        <w:r w:rsidR="008618F2">
          <w:rPr>
            <w:noProof/>
            <w:webHidden/>
          </w:rPr>
          <w:fldChar w:fldCharType="end"/>
        </w:r>
      </w:hyperlink>
    </w:p>
    <w:p w14:paraId="0070DA2A" w14:textId="3186A38F" w:rsidR="008618F2" w:rsidRDefault="009B5CEC" w:rsidP="008618F2">
      <w:pPr>
        <w:pStyle w:val="TOC3"/>
        <w:jc w:val="left"/>
        <w:rPr>
          <w:rFonts w:asciiTheme="minorHAnsi" w:eastAsiaTheme="minorEastAsia" w:hAnsiTheme="minorHAnsi" w:cstheme="minorBidi"/>
          <w:b w:val="0"/>
          <w:noProof/>
          <w:szCs w:val="22"/>
          <w:lang w:eastAsia="en-GB"/>
        </w:rPr>
      </w:pPr>
      <w:hyperlink w:anchor="_Toc134197944" w:history="1">
        <w:r w:rsidR="008618F2" w:rsidRPr="00DC3933">
          <w:rPr>
            <w:rStyle w:val="Hyperlink"/>
            <w:noProof/>
          </w:rPr>
          <w:t>11.6.4</w:t>
        </w:r>
        <w:r w:rsidR="008618F2">
          <w:rPr>
            <w:rFonts w:asciiTheme="minorHAnsi" w:eastAsiaTheme="minorEastAsia" w:hAnsiTheme="minorHAnsi" w:cstheme="minorBidi"/>
            <w:b w:val="0"/>
            <w:noProof/>
            <w:szCs w:val="22"/>
            <w:lang w:eastAsia="en-GB"/>
          </w:rPr>
          <w:tab/>
        </w:r>
        <w:r w:rsidR="008618F2" w:rsidRPr="00DC3933">
          <w:rPr>
            <w:rStyle w:val="Hyperlink"/>
            <w:noProof/>
          </w:rPr>
          <w:t>Limitation of interstorey drift at Significant Damage limit state</w:t>
        </w:r>
        <w:r w:rsidR="008618F2">
          <w:rPr>
            <w:noProof/>
            <w:webHidden/>
          </w:rPr>
          <w:tab/>
        </w:r>
        <w:r w:rsidR="008618F2">
          <w:rPr>
            <w:noProof/>
            <w:webHidden/>
          </w:rPr>
          <w:fldChar w:fldCharType="begin"/>
        </w:r>
        <w:r w:rsidR="008618F2">
          <w:rPr>
            <w:noProof/>
            <w:webHidden/>
          </w:rPr>
          <w:instrText xml:space="preserve"> PAGEREF _Toc134197944 \h </w:instrText>
        </w:r>
        <w:r w:rsidR="008618F2">
          <w:rPr>
            <w:noProof/>
            <w:webHidden/>
          </w:rPr>
        </w:r>
        <w:r w:rsidR="008618F2">
          <w:rPr>
            <w:noProof/>
            <w:webHidden/>
          </w:rPr>
          <w:fldChar w:fldCharType="separate"/>
        </w:r>
        <w:r w:rsidR="000720CB">
          <w:rPr>
            <w:noProof/>
            <w:webHidden/>
          </w:rPr>
          <w:t>144</w:t>
        </w:r>
        <w:r w:rsidR="008618F2">
          <w:rPr>
            <w:noProof/>
            <w:webHidden/>
          </w:rPr>
          <w:fldChar w:fldCharType="end"/>
        </w:r>
      </w:hyperlink>
    </w:p>
    <w:p w14:paraId="046E1BFB" w14:textId="707E3C59" w:rsidR="008618F2" w:rsidRDefault="009B5CEC" w:rsidP="008618F2">
      <w:pPr>
        <w:pStyle w:val="TOC2"/>
        <w:jc w:val="left"/>
        <w:rPr>
          <w:rFonts w:asciiTheme="minorHAnsi" w:eastAsiaTheme="minorEastAsia" w:hAnsiTheme="minorHAnsi" w:cstheme="minorBidi"/>
          <w:b w:val="0"/>
          <w:noProof/>
          <w:szCs w:val="22"/>
          <w:lang w:eastAsia="en-GB"/>
        </w:rPr>
      </w:pPr>
      <w:hyperlink w:anchor="_Toc134197945" w:history="1">
        <w:r w:rsidR="008618F2" w:rsidRPr="00DC3933">
          <w:rPr>
            <w:rStyle w:val="Hyperlink"/>
            <w:noProof/>
          </w:rPr>
          <w:t>11.7</w:t>
        </w:r>
        <w:r w:rsidR="008618F2">
          <w:rPr>
            <w:rFonts w:asciiTheme="minorHAnsi" w:eastAsiaTheme="minorEastAsia" w:hAnsiTheme="minorHAnsi" w:cstheme="minorBidi"/>
            <w:b w:val="0"/>
            <w:noProof/>
            <w:szCs w:val="22"/>
            <w:lang w:eastAsia="en-GB"/>
          </w:rPr>
          <w:tab/>
        </w:r>
        <w:r w:rsidR="008618F2" w:rsidRPr="00DC3933">
          <w:rPr>
            <w:rStyle w:val="Hyperlink"/>
            <w:noProof/>
          </w:rPr>
          <w:t>Design rules for low-dissipative (DC1) and non-dissipative structural behaviour for all structural types</w:t>
        </w:r>
        <w:r w:rsidR="008618F2">
          <w:rPr>
            <w:noProof/>
            <w:webHidden/>
          </w:rPr>
          <w:tab/>
        </w:r>
        <w:r w:rsidR="008618F2">
          <w:rPr>
            <w:noProof/>
            <w:webHidden/>
          </w:rPr>
          <w:fldChar w:fldCharType="begin"/>
        </w:r>
        <w:r w:rsidR="008618F2">
          <w:rPr>
            <w:noProof/>
            <w:webHidden/>
          </w:rPr>
          <w:instrText xml:space="preserve"> PAGEREF _Toc134197945 \h </w:instrText>
        </w:r>
        <w:r w:rsidR="008618F2">
          <w:rPr>
            <w:noProof/>
            <w:webHidden/>
          </w:rPr>
        </w:r>
        <w:r w:rsidR="008618F2">
          <w:rPr>
            <w:noProof/>
            <w:webHidden/>
          </w:rPr>
          <w:fldChar w:fldCharType="separate"/>
        </w:r>
        <w:r w:rsidR="000720CB">
          <w:rPr>
            <w:noProof/>
            <w:webHidden/>
          </w:rPr>
          <w:t>145</w:t>
        </w:r>
        <w:r w:rsidR="008618F2">
          <w:rPr>
            <w:noProof/>
            <w:webHidden/>
          </w:rPr>
          <w:fldChar w:fldCharType="end"/>
        </w:r>
      </w:hyperlink>
    </w:p>
    <w:p w14:paraId="0F3431CC" w14:textId="25C8B48E" w:rsidR="008618F2" w:rsidRDefault="009B5CEC" w:rsidP="008618F2">
      <w:pPr>
        <w:pStyle w:val="TOC3"/>
        <w:jc w:val="left"/>
        <w:rPr>
          <w:rFonts w:asciiTheme="minorHAnsi" w:eastAsiaTheme="minorEastAsia" w:hAnsiTheme="minorHAnsi" w:cstheme="minorBidi"/>
          <w:b w:val="0"/>
          <w:noProof/>
          <w:szCs w:val="22"/>
          <w:lang w:eastAsia="en-GB"/>
        </w:rPr>
      </w:pPr>
      <w:hyperlink w:anchor="_Toc134197946" w:history="1">
        <w:r w:rsidR="008618F2" w:rsidRPr="00DC3933">
          <w:rPr>
            <w:rStyle w:val="Hyperlink"/>
            <w:noProof/>
          </w:rPr>
          <w:t>11.7.1</w:t>
        </w:r>
        <w:r w:rsidR="008618F2">
          <w:rPr>
            <w:rFonts w:asciiTheme="minorHAnsi" w:eastAsiaTheme="minorEastAsia" w:hAnsiTheme="minorHAnsi" w:cstheme="minorBidi"/>
            <w:b w:val="0"/>
            <w:noProof/>
            <w:szCs w:val="22"/>
            <w:lang w:eastAsia="en-GB"/>
          </w:rPr>
          <w:tab/>
        </w:r>
        <w:r w:rsidR="008618F2" w:rsidRPr="00DC3933">
          <w:rPr>
            <w:rStyle w:val="Hyperlink"/>
            <w:noProof/>
          </w:rPr>
          <w:t>General</w:t>
        </w:r>
        <w:r w:rsidR="008618F2">
          <w:rPr>
            <w:noProof/>
            <w:webHidden/>
          </w:rPr>
          <w:tab/>
        </w:r>
        <w:r w:rsidR="008618F2">
          <w:rPr>
            <w:noProof/>
            <w:webHidden/>
          </w:rPr>
          <w:fldChar w:fldCharType="begin"/>
        </w:r>
        <w:r w:rsidR="008618F2">
          <w:rPr>
            <w:noProof/>
            <w:webHidden/>
          </w:rPr>
          <w:instrText xml:space="preserve"> PAGEREF _Toc134197946 \h </w:instrText>
        </w:r>
        <w:r w:rsidR="008618F2">
          <w:rPr>
            <w:noProof/>
            <w:webHidden/>
          </w:rPr>
        </w:r>
        <w:r w:rsidR="008618F2">
          <w:rPr>
            <w:noProof/>
            <w:webHidden/>
          </w:rPr>
          <w:fldChar w:fldCharType="separate"/>
        </w:r>
        <w:r w:rsidR="000720CB">
          <w:rPr>
            <w:noProof/>
            <w:webHidden/>
          </w:rPr>
          <w:t>145</w:t>
        </w:r>
        <w:r w:rsidR="008618F2">
          <w:rPr>
            <w:noProof/>
            <w:webHidden/>
          </w:rPr>
          <w:fldChar w:fldCharType="end"/>
        </w:r>
      </w:hyperlink>
    </w:p>
    <w:p w14:paraId="60671444" w14:textId="254DD88C" w:rsidR="008618F2" w:rsidRDefault="009B5CEC" w:rsidP="008618F2">
      <w:pPr>
        <w:pStyle w:val="TOC3"/>
        <w:jc w:val="left"/>
        <w:rPr>
          <w:rFonts w:asciiTheme="minorHAnsi" w:eastAsiaTheme="minorEastAsia" w:hAnsiTheme="minorHAnsi" w:cstheme="minorBidi"/>
          <w:b w:val="0"/>
          <w:noProof/>
          <w:szCs w:val="22"/>
          <w:lang w:eastAsia="en-GB"/>
        </w:rPr>
      </w:pPr>
      <w:hyperlink w:anchor="_Toc134197947" w:history="1">
        <w:r w:rsidR="008618F2" w:rsidRPr="00DC3933">
          <w:rPr>
            <w:rStyle w:val="Hyperlink"/>
            <w:noProof/>
          </w:rPr>
          <w:t>11.7.2</w:t>
        </w:r>
        <w:r w:rsidR="008618F2">
          <w:rPr>
            <w:rFonts w:asciiTheme="minorHAnsi" w:eastAsiaTheme="minorEastAsia" w:hAnsiTheme="minorHAnsi" w:cstheme="minorBidi"/>
            <w:b w:val="0"/>
            <w:noProof/>
            <w:szCs w:val="22"/>
            <w:lang w:eastAsia="en-GB"/>
          </w:rPr>
          <w:tab/>
        </w:r>
        <w:r w:rsidR="008618F2" w:rsidRPr="00DC3933">
          <w:rPr>
            <w:rStyle w:val="Hyperlink"/>
            <w:noProof/>
          </w:rPr>
          <w:t>Design rules for low-dissipative structures</w:t>
        </w:r>
        <w:r w:rsidR="008618F2">
          <w:rPr>
            <w:noProof/>
            <w:webHidden/>
          </w:rPr>
          <w:tab/>
        </w:r>
        <w:r w:rsidR="008618F2">
          <w:rPr>
            <w:noProof/>
            <w:webHidden/>
          </w:rPr>
          <w:fldChar w:fldCharType="begin"/>
        </w:r>
        <w:r w:rsidR="008618F2">
          <w:rPr>
            <w:noProof/>
            <w:webHidden/>
          </w:rPr>
          <w:instrText xml:space="preserve"> PAGEREF _Toc134197947 \h </w:instrText>
        </w:r>
        <w:r w:rsidR="008618F2">
          <w:rPr>
            <w:noProof/>
            <w:webHidden/>
          </w:rPr>
        </w:r>
        <w:r w:rsidR="008618F2">
          <w:rPr>
            <w:noProof/>
            <w:webHidden/>
          </w:rPr>
          <w:fldChar w:fldCharType="separate"/>
        </w:r>
        <w:r w:rsidR="000720CB">
          <w:rPr>
            <w:noProof/>
            <w:webHidden/>
          </w:rPr>
          <w:t>145</w:t>
        </w:r>
        <w:r w:rsidR="008618F2">
          <w:rPr>
            <w:noProof/>
            <w:webHidden/>
          </w:rPr>
          <w:fldChar w:fldCharType="end"/>
        </w:r>
      </w:hyperlink>
    </w:p>
    <w:p w14:paraId="6D815544" w14:textId="62EB49F4" w:rsidR="008618F2" w:rsidRDefault="009B5CEC" w:rsidP="008618F2">
      <w:pPr>
        <w:pStyle w:val="TOC3"/>
        <w:jc w:val="left"/>
        <w:rPr>
          <w:rFonts w:asciiTheme="minorHAnsi" w:eastAsiaTheme="minorEastAsia" w:hAnsiTheme="minorHAnsi" w:cstheme="minorBidi"/>
          <w:b w:val="0"/>
          <w:noProof/>
          <w:szCs w:val="22"/>
          <w:lang w:eastAsia="en-GB"/>
        </w:rPr>
      </w:pPr>
      <w:hyperlink w:anchor="_Toc134197948" w:history="1">
        <w:r w:rsidR="008618F2" w:rsidRPr="00DC3933">
          <w:rPr>
            <w:rStyle w:val="Hyperlink"/>
            <w:noProof/>
          </w:rPr>
          <w:t>11.7.3</w:t>
        </w:r>
        <w:r w:rsidR="008618F2">
          <w:rPr>
            <w:rFonts w:asciiTheme="minorHAnsi" w:eastAsiaTheme="minorEastAsia" w:hAnsiTheme="minorHAnsi" w:cstheme="minorBidi"/>
            <w:b w:val="0"/>
            <w:noProof/>
            <w:szCs w:val="22"/>
            <w:lang w:eastAsia="en-GB"/>
          </w:rPr>
          <w:tab/>
        </w:r>
        <w:r w:rsidR="008618F2" w:rsidRPr="00DC3933">
          <w:rPr>
            <w:rStyle w:val="Hyperlink"/>
            <w:noProof/>
          </w:rPr>
          <w:t>Design rules for non-dissipative structures</w:t>
        </w:r>
        <w:r w:rsidR="008618F2">
          <w:rPr>
            <w:noProof/>
            <w:webHidden/>
          </w:rPr>
          <w:tab/>
        </w:r>
        <w:r w:rsidR="008618F2">
          <w:rPr>
            <w:noProof/>
            <w:webHidden/>
          </w:rPr>
          <w:fldChar w:fldCharType="begin"/>
        </w:r>
        <w:r w:rsidR="008618F2">
          <w:rPr>
            <w:noProof/>
            <w:webHidden/>
          </w:rPr>
          <w:instrText xml:space="preserve"> PAGEREF _Toc134197948 \h </w:instrText>
        </w:r>
        <w:r w:rsidR="008618F2">
          <w:rPr>
            <w:noProof/>
            <w:webHidden/>
          </w:rPr>
        </w:r>
        <w:r w:rsidR="008618F2">
          <w:rPr>
            <w:noProof/>
            <w:webHidden/>
          </w:rPr>
          <w:fldChar w:fldCharType="separate"/>
        </w:r>
        <w:r w:rsidR="000720CB">
          <w:rPr>
            <w:noProof/>
            <w:webHidden/>
          </w:rPr>
          <w:t>145</w:t>
        </w:r>
        <w:r w:rsidR="008618F2">
          <w:rPr>
            <w:noProof/>
            <w:webHidden/>
          </w:rPr>
          <w:fldChar w:fldCharType="end"/>
        </w:r>
      </w:hyperlink>
    </w:p>
    <w:p w14:paraId="15B0F895" w14:textId="29E8A26A" w:rsidR="008618F2" w:rsidRDefault="009B5CEC" w:rsidP="008618F2">
      <w:pPr>
        <w:pStyle w:val="TOC2"/>
        <w:jc w:val="left"/>
        <w:rPr>
          <w:rFonts w:asciiTheme="minorHAnsi" w:eastAsiaTheme="minorEastAsia" w:hAnsiTheme="minorHAnsi" w:cstheme="minorBidi"/>
          <w:b w:val="0"/>
          <w:noProof/>
          <w:szCs w:val="22"/>
          <w:lang w:eastAsia="en-GB"/>
        </w:rPr>
      </w:pPr>
      <w:hyperlink w:anchor="_Toc134197949" w:history="1">
        <w:r w:rsidR="008618F2" w:rsidRPr="00DC3933">
          <w:rPr>
            <w:rStyle w:val="Hyperlink"/>
            <w:noProof/>
          </w:rPr>
          <w:t>11.8</w:t>
        </w:r>
        <w:r w:rsidR="008618F2">
          <w:rPr>
            <w:rFonts w:asciiTheme="minorHAnsi" w:eastAsiaTheme="minorEastAsia" w:hAnsiTheme="minorHAnsi" w:cstheme="minorBidi"/>
            <w:b w:val="0"/>
            <w:noProof/>
            <w:szCs w:val="22"/>
            <w:lang w:eastAsia="en-GB"/>
          </w:rPr>
          <w:tab/>
        </w:r>
        <w:r w:rsidR="008618F2" w:rsidRPr="00DC3933">
          <w:rPr>
            <w:rStyle w:val="Hyperlink"/>
            <w:noProof/>
          </w:rPr>
          <w:t>Design rules for dissipative (DC2 and DC3) structural behaviour common to all structural types</w:t>
        </w:r>
        <w:r w:rsidR="008618F2">
          <w:rPr>
            <w:noProof/>
            <w:webHidden/>
          </w:rPr>
          <w:tab/>
        </w:r>
        <w:r w:rsidR="008618F2">
          <w:rPr>
            <w:noProof/>
            <w:webHidden/>
          </w:rPr>
          <w:fldChar w:fldCharType="begin"/>
        </w:r>
        <w:r w:rsidR="008618F2">
          <w:rPr>
            <w:noProof/>
            <w:webHidden/>
          </w:rPr>
          <w:instrText xml:space="preserve"> PAGEREF _Toc134197949 \h </w:instrText>
        </w:r>
        <w:r w:rsidR="008618F2">
          <w:rPr>
            <w:noProof/>
            <w:webHidden/>
          </w:rPr>
        </w:r>
        <w:r w:rsidR="008618F2">
          <w:rPr>
            <w:noProof/>
            <w:webHidden/>
          </w:rPr>
          <w:fldChar w:fldCharType="separate"/>
        </w:r>
        <w:r w:rsidR="000720CB">
          <w:rPr>
            <w:noProof/>
            <w:webHidden/>
          </w:rPr>
          <w:t>146</w:t>
        </w:r>
        <w:r w:rsidR="008618F2">
          <w:rPr>
            <w:noProof/>
            <w:webHidden/>
          </w:rPr>
          <w:fldChar w:fldCharType="end"/>
        </w:r>
      </w:hyperlink>
    </w:p>
    <w:p w14:paraId="413D2EBE" w14:textId="3D3AEB70" w:rsidR="008618F2" w:rsidRDefault="009B5CEC" w:rsidP="008618F2">
      <w:pPr>
        <w:pStyle w:val="TOC3"/>
        <w:jc w:val="left"/>
        <w:rPr>
          <w:rFonts w:asciiTheme="minorHAnsi" w:eastAsiaTheme="minorEastAsia" w:hAnsiTheme="minorHAnsi" w:cstheme="minorBidi"/>
          <w:b w:val="0"/>
          <w:noProof/>
          <w:szCs w:val="22"/>
          <w:lang w:eastAsia="en-GB"/>
        </w:rPr>
      </w:pPr>
      <w:hyperlink w:anchor="_Toc134197950" w:history="1">
        <w:r w:rsidR="008618F2" w:rsidRPr="00DC3933">
          <w:rPr>
            <w:rStyle w:val="Hyperlink"/>
            <w:noProof/>
          </w:rPr>
          <w:t>11.8.1</w:t>
        </w:r>
        <w:r w:rsidR="008618F2">
          <w:rPr>
            <w:rFonts w:asciiTheme="minorHAnsi" w:eastAsiaTheme="minorEastAsia" w:hAnsiTheme="minorHAnsi" w:cstheme="minorBidi"/>
            <w:b w:val="0"/>
            <w:noProof/>
            <w:szCs w:val="22"/>
            <w:lang w:eastAsia="en-GB"/>
          </w:rPr>
          <w:tab/>
        </w:r>
        <w:r w:rsidR="008618F2" w:rsidRPr="00DC3933">
          <w:rPr>
            <w:rStyle w:val="Hyperlink"/>
            <w:noProof/>
          </w:rPr>
          <w:t>General</w:t>
        </w:r>
        <w:r w:rsidR="008618F2">
          <w:rPr>
            <w:noProof/>
            <w:webHidden/>
          </w:rPr>
          <w:tab/>
        </w:r>
        <w:r w:rsidR="008618F2">
          <w:rPr>
            <w:noProof/>
            <w:webHidden/>
          </w:rPr>
          <w:fldChar w:fldCharType="begin"/>
        </w:r>
        <w:r w:rsidR="008618F2">
          <w:rPr>
            <w:noProof/>
            <w:webHidden/>
          </w:rPr>
          <w:instrText xml:space="preserve"> PAGEREF _Toc134197950 \h </w:instrText>
        </w:r>
        <w:r w:rsidR="008618F2">
          <w:rPr>
            <w:noProof/>
            <w:webHidden/>
          </w:rPr>
        </w:r>
        <w:r w:rsidR="008618F2">
          <w:rPr>
            <w:noProof/>
            <w:webHidden/>
          </w:rPr>
          <w:fldChar w:fldCharType="separate"/>
        </w:r>
        <w:r w:rsidR="000720CB">
          <w:rPr>
            <w:noProof/>
            <w:webHidden/>
          </w:rPr>
          <w:t>146</w:t>
        </w:r>
        <w:r w:rsidR="008618F2">
          <w:rPr>
            <w:noProof/>
            <w:webHidden/>
          </w:rPr>
          <w:fldChar w:fldCharType="end"/>
        </w:r>
      </w:hyperlink>
    </w:p>
    <w:p w14:paraId="6336F4DB" w14:textId="3FD28AD3" w:rsidR="008618F2" w:rsidRDefault="009B5CEC" w:rsidP="008618F2">
      <w:pPr>
        <w:pStyle w:val="TOC3"/>
        <w:jc w:val="left"/>
        <w:rPr>
          <w:rFonts w:asciiTheme="minorHAnsi" w:eastAsiaTheme="minorEastAsia" w:hAnsiTheme="minorHAnsi" w:cstheme="minorBidi"/>
          <w:b w:val="0"/>
          <w:noProof/>
          <w:szCs w:val="22"/>
          <w:lang w:eastAsia="en-GB"/>
        </w:rPr>
      </w:pPr>
      <w:hyperlink w:anchor="_Toc134197951" w:history="1">
        <w:r w:rsidR="008618F2" w:rsidRPr="00DC3933">
          <w:rPr>
            <w:rStyle w:val="Hyperlink"/>
            <w:noProof/>
          </w:rPr>
          <w:t>11.8.2</w:t>
        </w:r>
        <w:r w:rsidR="008618F2">
          <w:rPr>
            <w:rFonts w:asciiTheme="minorHAnsi" w:eastAsiaTheme="minorEastAsia" w:hAnsiTheme="minorHAnsi" w:cstheme="minorBidi"/>
            <w:b w:val="0"/>
            <w:noProof/>
            <w:szCs w:val="22"/>
            <w:lang w:eastAsia="en-GB"/>
          </w:rPr>
          <w:tab/>
        </w:r>
        <w:r w:rsidR="008618F2" w:rsidRPr="00DC3933">
          <w:rPr>
            <w:rStyle w:val="Hyperlink"/>
            <w:noProof/>
          </w:rPr>
          <w:t>Design criteria for dissipative structures</w:t>
        </w:r>
        <w:r w:rsidR="008618F2">
          <w:rPr>
            <w:noProof/>
            <w:webHidden/>
          </w:rPr>
          <w:tab/>
        </w:r>
        <w:r w:rsidR="008618F2">
          <w:rPr>
            <w:noProof/>
            <w:webHidden/>
          </w:rPr>
          <w:fldChar w:fldCharType="begin"/>
        </w:r>
        <w:r w:rsidR="008618F2">
          <w:rPr>
            <w:noProof/>
            <w:webHidden/>
          </w:rPr>
          <w:instrText xml:space="preserve"> PAGEREF _Toc134197951 \h </w:instrText>
        </w:r>
        <w:r w:rsidR="008618F2">
          <w:rPr>
            <w:noProof/>
            <w:webHidden/>
          </w:rPr>
        </w:r>
        <w:r w:rsidR="008618F2">
          <w:rPr>
            <w:noProof/>
            <w:webHidden/>
          </w:rPr>
          <w:fldChar w:fldCharType="separate"/>
        </w:r>
        <w:r w:rsidR="000720CB">
          <w:rPr>
            <w:noProof/>
            <w:webHidden/>
          </w:rPr>
          <w:t>146</w:t>
        </w:r>
        <w:r w:rsidR="008618F2">
          <w:rPr>
            <w:noProof/>
            <w:webHidden/>
          </w:rPr>
          <w:fldChar w:fldCharType="end"/>
        </w:r>
      </w:hyperlink>
    </w:p>
    <w:p w14:paraId="4E5C5A7D" w14:textId="13568755" w:rsidR="008618F2" w:rsidRDefault="009B5CEC" w:rsidP="008618F2">
      <w:pPr>
        <w:pStyle w:val="TOC3"/>
        <w:jc w:val="left"/>
        <w:rPr>
          <w:rFonts w:asciiTheme="minorHAnsi" w:eastAsiaTheme="minorEastAsia" w:hAnsiTheme="minorHAnsi" w:cstheme="minorBidi"/>
          <w:b w:val="0"/>
          <w:noProof/>
          <w:szCs w:val="22"/>
          <w:lang w:eastAsia="en-GB"/>
        </w:rPr>
      </w:pPr>
      <w:hyperlink w:anchor="_Toc134197952" w:history="1">
        <w:r w:rsidR="008618F2" w:rsidRPr="00DC3933">
          <w:rPr>
            <w:rStyle w:val="Hyperlink"/>
            <w:noProof/>
          </w:rPr>
          <w:t>11.8.3</w:t>
        </w:r>
        <w:r w:rsidR="008618F2">
          <w:rPr>
            <w:rFonts w:asciiTheme="minorHAnsi" w:eastAsiaTheme="minorEastAsia" w:hAnsiTheme="minorHAnsi" w:cstheme="minorBidi"/>
            <w:b w:val="0"/>
            <w:noProof/>
            <w:szCs w:val="22"/>
            <w:lang w:eastAsia="en-GB"/>
          </w:rPr>
          <w:tab/>
        </w:r>
        <w:r w:rsidR="008618F2" w:rsidRPr="00DC3933">
          <w:rPr>
            <w:rStyle w:val="Hyperlink"/>
            <w:noProof/>
          </w:rPr>
          <w:t>Verification for dissipative members in compression or bending</w:t>
        </w:r>
        <w:r w:rsidR="008618F2">
          <w:rPr>
            <w:noProof/>
            <w:webHidden/>
          </w:rPr>
          <w:tab/>
        </w:r>
        <w:r w:rsidR="008618F2">
          <w:rPr>
            <w:noProof/>
            <w:webHidden/>
          </w:rPr>
          <w:fldChar w:fldCharType="begin"/>
        </w:r>
        <w:r w:rsidR="008618F2">
          <w:rPr>
            <w:noProof/>
            <w:webHidden/>
          </w:rPr>
          <w:instrText xml:space="preserve"> PAGEREF _Toc134197952 \h </w:instrText>
        </w:r>
        <w:r w:rsidR="008618F2">
          <w:rPr>
            <w:noProof/>
            <w:webHidden/>
          </w:rPr>
        </w:r>
        <w:r w:rsidR="008618F2">
          <w:rPr>
            <w:noProof/>
            <w:webHidden/>
          </w:rPr>
          <w:fldChar w:fldCharType="separate"/>
        </w:r>
        <w:r w:rsidR="000720CB">
          <w:rPr>
            <w:noProof/>
            <w:webHidden/>
          </w:rPr>
          <w:t>146</w:t>
        </w:r>
        <w:r w:rsidR="008618F2">
          <w:rPr>
            <w:noProof/>
            <w:webHidden/>
          </w:rPr>
          <w:fldChar w:fldCharType="end"/>
        </w:r>
      </w:hyperlink>
    </w:p>
    <w:p w14:paraId="48083A96" w14:textId="04569AF1" w:rsidR="008618F2" w:rsidRDefault="009B5CEC" w:rsidP="008618F2">
      <w:pPr>
        <w:pStyle w:val="TOC3"/>
        <w:jc w:val="left"/>
        <w:rPr>
          <w:rFonts w:asciiTheme="minorHAnsi" w:eastAsiaTheme="minorEastAsia" w:hAnsiTheme="minorHAnsi" w:cstheme="minorBidi"/>
          <w:b w:val="0"/>
          <w:noProof/>
          <w:szCs w:val="22"/>
          <w:lang w:eastAsia="en-GB"/>
        </w:rPr>
      </w:pPr>
      <w:hyperlink w:anchor="_Toc134197953" w:history="1">
        <w:r w:rsidR="008618F2" w:rsidRPr="00DC3933">
          <w:rPr>
            <w:rStyle w:val="Hyperlink"/>
            <w:noProof/>
          </w:rPr>
          <w:t>11.8.4</w:t>
        </w:r>
        <w:r w:rsidR="008618F2">
          <w:rPr>
            <w:rFonts w:asciiTheme="minorHAnsi" w:eastAsiaTheme="minorEastAsia" w:hAnsiTheme="minorHAnsi" w:cstheme="minorBidi"/>
            <w:b w:val="0"/>
            <w:noProof/>
            <w:szCs w:val="22"/>
            <w:lang w:eastAsia="en-GB"/>
          </w:rPr>
          <w:tab/>
        </w:r>
        <w:r w:rsidR="008618F2" w:rsidRPr="00DC3933">
          <w:rPr>
            <w:rStyle w:val="Hyperlink"/>
            <w:noProof/>
          </w:rPr>
          <w:t>Verification for dissipative parts of members in tension</w:t>
        </w:r>
        <w:r w:rsidR="008618F2">
          <w:rPr>
            <w:noProof/>
            <w:webHidden/>
          </w:rPr>
          <w:tab/>
        </w:r>
        <w:r w:rsidR="008618F2">
          <w:rPr>
            <w:noProof/>
            <w:webHidden/>
          </w:rPr>
          <w:fldChar w:fldCharType="begin"/>
        </w:r>
        <w:r w:rsidR="008618F2">
          <w:rPr>
            <w:noProof/>
            <w:webHidden/>
          </w:rPr>
          <w:instrText xml:space="preserve"> PAGEREF _Toc134197953 \h </w:instrText>
        </w:r>
        <w:r w:rsidR="008618F2">
          <w:rPr>
            <w:noProof/>
            <w:webHidden/>
          </w:rPr>
        </w:r>
        <w:r w:rsidR="008618F2">
          <w:rPr>
            <w:noProof/>
            <w:webHidden/>
          </w:rPr>
          <w:fldChar w:fldCharType="separate"/>
        </w:r>
        <w:r w:rsidR="000720CB">
          <w:rPr>
            <w:noProof/>
            <w:webHidden/>
          </w:rPr>
          <w:t>147</w:t>
        </w:r>
        <w:r w:rsidR="008618F2">
          <w:rPr>
            <w:noProof/>
            <w:webHidden/>
          </w:rPr>
          <w:fldChar w:fldCharType="end"/>
        </w:r>
      </w:hyperlink>
    </w:p>
    <w:p w14:paraId="7EBC69C6" w14:textId="76B4C9E7" w:rsidR="008618F2" w:rsidRDefault="009B5CEC" w:rsidP="008618F2">
      <w:pPr>
        <w:pStyle w:val="TOC3"/>
        <w:jc w:val="left"/>
        <w:rPr>
          <w:rFonts w:asciiTheme="minorHAnsi" w:eastAsiaTheme="minorEastAsia" w:hAnsiTheme="minorHAnsi" w:cstheme="minorBidi"/>
          <w:b w:val="0"/>
          <w:noProof/>
          <w:szCs w:val="22"/>
          <w:lang w:eastAsia="en-GB"/>
        </w:rPr>
      </w:pPr>
      <w:hyperlink w:anchor="_Toc134197954" w:history="1">
        <w:r w:rsidR="008618F2" w:rsidRPr="00DC3933">
          <w:rPr>
            <w:rStyle w:val="Hyperlink"/>
            <w:noProof/>
          </w:rPr>
          <w:t>11.8.5</w:t>
        </w:r>
        <w:r w:rsidR="008618F2">
          <w:rPr>
            <w:rFonts w:asciiTheme="minorHAnsi" w:eastAsiaTheme="minorEastAsia" w:hAnsiTheme="minorHAnsi" w:cstheme="minorBidi"/>
            <w:b w:val="0"/>
            <w:noProof/>
            <w:szCs w:val="22"/>
            <w:lang w:eastAsia="en-GB"/>
          </w:rPr>
          <w:tab/>
        </w:r>
        <w:r w:rsidR="008618F2" w:rsidRPr="00DC3933">
          <w:rPr>
            <w:rStyle w:val="Hyperlink"/>
            <w:noProof/>
          </w:rPr>
          <w:t>Verification of members</w:t>
        </w:r>
        <w:r w:rsidR="008618F2">
          <w:rPr>
            <w:noProof/>
            <w:webHidden/>
          </w:rPr>
          <w:tab/>
        </w:r>
        <w:r w:rsidR="008618F2">
          <w:rPr>
            <w:noProof/>
            <w:webHidden/>
          </w:rPr>
          <w:fldChar w:fldCharType="begin"/>
        </w:r>
        <w:r w:rsidR="008618F2">
          <w:rPr>
            <w:noProof/>
            <w:webHidden/>
          </w:rPr>
          <w:instrText xml:space="preserve"> PAGEREF _Toc134197954 \h </w:instrText>
        </w:r>
        <w:r w:rsidR="008618F2">
          <w:rPr>
            <w:noProof/>
            <w:webHidden/>
          </w:rPr>
        </w:r>
        <w:r w:rsidR="008618F2">
          <w:rPr>
            <w:noProof/>
            <w:webHidden/>
          </w:rPr>
          <w:fldChar w:fldCharType="separate"/>
        </w:r>
        <w:r w:rsidR="000720CB">
          <w:rPr>
            <w:noProof/>
            <w:webHidden/>
          </w:rPr>
          <w:t>147</w:t>
        </w:r>
        <w:r w:rsidR="008618F2">
          <w:rPr>
            <w:noProof/>
            <w:webHidden/>
          </w:rPr>
          <w:fldChar w:fldCharType="end"/>
        </w:r>
      </w:hyperlink>
    </w:p>
    <w:p w14:paraId="1D32D69B" w14:textId="312B625F" w:rsidR="008618F2" w:rsidRDefault="009B5CEC" w:rsidP="008618F2">
      <w:pPr>
        <w:pStyle w:val="TOC3"/>
        <w:jc w:val="left"/>
        <w:rPr>
          <w:rFonts w:asciiTheme="minorHAnsi" w:eastAsiaTheme="minorEastAsia" w:hAnsiTheme="minorHAnsi" w:cstheme="minorBidi"/>
          <w:b w:val="0"/>
          <w:noProof/>
          <w:szCs w:val="22"/>
          <w:lang w:eastAsia="en-GB"/>
        </w:rPr>
      </w:pPr>
      <w:hyperlink w:anchor="_Toc134197955" w:history="1">
        <w:r w:rsidR="008618F2" w:rsidRPr="00DC3933">
          <w:rPr>
            <w:rStyle w:val="Hyperlink"/>
            <w:noProof/>
          </w:rPr>
          <w:t>11.8.6</w:t>
        </w:r>
        <w:r w:rsidR="008618F2">
          <w:rPr>
            <w:rFonts w:asciiTheme="minorHAnsi" w:eastAsiaTheme="minorEastAsia" w:hAnsiTheme="minorHAnsi" w:cstheme="minorBidi"/>
            <w:b w:val="0"/>
            <w:noProof/>
            <w:szCs w:val="22"/>
            <w:lang w:eastAsia="en-GB"/>
          </w:rPr>
          <w:tab/>
        </w:r>
        <w:r w:rsidR="008618F2" w:rsidRPr="00DC3933">
          <w:rPr>
            <w:rStyle w:val="Hyperlink"/>
            <w:noProof/>
          </w:rPr>
          <w:t>Verification of connections in dissipative zones</w:t>
        </w:r>
        <w:r w:rsidR="008618F2">
          <w:rPr>
            <w:noProof/>
            <w:webHidden/>
          </w:rPr>
          <w:tab/>
        </w:r>
        <w:r w:rsidR="008618F2">
          <w:rPr>
            <w:noProof/>
            <w:webHidden/>
          </w:rPr>
          <w:fldChar w:fldCharType="begin"/>
        </w:r>
        <w:r w:rsidR="008618F2">
          <w:rPr>
            <w:noProof/>
            <w:webHidden/>
          </w:rPr>
          <w:instrText xml:space="preserve"> PAGEREF _Toc134197955 \h </w:instrText>
        </w:r>
        <w:r w:rsidR="008618F2">
          <w:rPr>
            <w:noProof/>
            <w:webHidden/>
          </w:rPr>
        </w:r>
        <w:r w:rsidR="008618F2">
          <w:rPr>
            <w:noProof/>
            <w:webHidden/>
          </w:rPr>
          <w:fldChar w:fldCharType="separate"/>
        </w:r>
        <w:r w:rsidR="000720CB">
          <w:rPr>
            <w:noProof/>
            <w:webHidden/>
          </w:rPr>
          <w:t>149</w:t>
        </w:r>
        <w:r w:rsidR="008618F2">
          <w:rPr>
            <w:noProof/>
            <w:webHidden/>
          </w:rPr>
          <w:fldChar w:fldCharType="end"/>
        </w:r>
      </w:hyperlink>
    </w:p>
    <w:p w14:paraId="425FAD95" w14:textId="36C23F59" w:rsidR="008618F2" w:rsidRDefault="009B5CEC" w:rsidP="008618F2">
      <w:pPr>
        <w:pStyle w:val="TOC3"/>
        <w:jc w:val="left"/>
        <w:rPr>
          <w:rFonts w:asciiTheme="minorHAnsi" w:eastAsiaTheme="minorEastAsia" w:hAnsiTheme="minorHAnsi" w:cstheme="minorBidi"/>
          <w:b w:val="0"/>
          <w:noProof/>
          <w:szCs w:val="22"/>
          <w:lang w:eastAsia="en-GB"/>
        </w:rPr>
      </w:pPr>
      <w:hyperlink w:anchor="_Toc134197956" w:history="1">
        <w:r w:rsidR="008618F2" w:rsidRPr="00DC3933">
          <w:rPr>
            <w:rStyle w:val="Hyperlink"/>
            <w:noProof/>
          </w:rPr>
          <w:t>11.8.7</w:t>
        </w:r>
        <w:r w:rsidR="008618F2">
          <w:rPr>
            <w:rFonts w:asciiTheme="minorHAnsi" w:eastAsiaTheme="minorEastAsia" w:hAnsiTheme="minorHAnsi" w:cstheme="minorBidi"/>
            <w:b w:val="0"/>
            <w:noProof/>
            <w:szCs w:val="22"/>
            <w:lang w:eastAsia="en-GB"/>
          </w:rPr>
          <w:tab/>
        </w:r>
        <w:r w:rsidR="008618F2" w:rsidRPr="00DC3933">
          <w:rPr>
            <w:rStyle w:val="Hyperlink"/>
            <w:noProof/>
          </w:rPr>
          <w:t>Verification of column-to-column splices</w:t>
        </w:r>
        <w:r w:rsidR="008618F2">
          <w:rPr>
            <w:noProof/>
            <w:webHidden/>
          </w:rPr>
          <w:tab/>
        </w:r>
        <w:r w:rsidR="008618F2">
          <w:rPr>
            <w:noProof/>
            <w:webHidden/>
          </w:rPr>
          <w:fldChar w:fldCharType="begin"/>
        </w:r>
        <w:r w:rsidR="008618F2">
          <w:rPr>
            <w:noProof/>
            <w:webHidden/>
          </w:rPr>
          <w:instrText xml:space="preserve"> PAGEREF _Toc134197956 \h </w:instrText>
        </w:r>
        <w:r w:rsidR="008618F2">
          <w:rPr>
            <w:noProof/>
            <w:webHidden/>
          </w:rPr>
        </w:r>
        <w:r w:rsidR="008618F2">
          <w:rPr>
            <w:noProof/>
            <w:webHidden/>
          </w:rPr>
          <w:fldChar w:fldCharType="separate"/>
        </w:r>
        <w:r w:rsidR="000720CB">
          <w:rPr>
            <w:noProof/>
            <w:webHidden/>
          </w:rPr>
          <w:t>151</w:t>
        </w:r>
        <w:r w:rsidR="008618F2">
          <w:rPr>
            <w:noProof/>
            <w:webHidden/>
          </w:rPr>
          <w:fldChar w:fldCharType="end"/>
        </w:r>
      </w:hyperlink>
    </w:p>
    <w:p w14:paraId="6B930C96" w14:textId="3B2E19A7" w:rsidR="008618F2" w:rsidRDefault="009B5CEC" w:rsidP="008618F2">
      <w:pPr>
        <w:pStyle w:val="TOC2"/>
        <w:jc w:val="left"/>
        <w:rPr>
          <w:rFonts w:asciiTheme="minorHAnsi" w:eastAsiaTheme="minorEastAsia" w:hAnsiTheme="minorHAnsi" w:cstheme="minorBidi"/>
          <w:b w:val="0"/>
          <w:noProof/>
          <w:szCs w:val="22"/>
          <w:lang w:eastAsia="en-GB"/>
        </w:rPr>
      </w:pPr>
      <w:hyperlink w:anchor="_Toc134197957" w:history="1">
        <w:r w:rsidR="008618F2" w:rsidRPr="00DC3933">
          <w:rPr>
            <w:rStyle w:val="Hyperlink"/>
            <w:noProof/>
          </w:rPr>
          <w:t>11.9</w:t>
        </w:r>
        <w:r w:rsidR="008618F2">
          <w:rPr>
            <w:rFonts w:asciiTheme="minorHAnsi" w:eastAsiaTheme="minorEastAsia" w:hAnsiTheme="minorHAnsi" w:cstheme="minorBidi"/>
            <w:b w:val="0"/>
            <w:noProof/>
            <w:szCs w:val="22"/>
            <w:lang w:eastAsia="en-GB"/>
          </w:rPr>
          <w:tab/>
        </w:r>
        <w:r w:rsidR="008618F2" w:rsidRPr="00DC3933">
          <w:rPr>
            <w:rStyle w:val="Hyperlink"/>
            <w:noProof/>
          </w:rPr>
          <w:t>Design rules for moment resisting frames</w:t>
        </w:r>
        <w:r w:rsidR="008618F2">
          <w:rPr>
            <w:noProof/>
            <w:webHidden/>
          </w:rPr>
          <w:tab/>
        </w:r>
        <w:r w:rsidR="008618F2">
          <w:rPr>
            <w:noProof/>
            <w:webHidden/>
          </w:rPr>
          <w:fldChar w:fldCharType="begin"/>
        </w:r>
        <w:r w:rsidR="008618F2">
          <w:rPr>
            <w:noProof/>
            <w:webHidden/>
          </w:rPr>
          <w:instrText xml:space="preserve"> PAGEREF _Toc134197957 \h </w:instrText>
        </w:r>
        <w:r w:rsidR="008618F2">
          <w:rPr>
            <w:noProof/>
            <w:webHidden/>
          </w:rPr>
        </w:r>
        <w:r w:rsidR="008618F2">
          <w:rPr>
            <w:noProof/>
            <w:webHidden/>
          </w:rPr>
          <w:fldChar w:fldCharType="separate"/>
        </w:r>
        <w:r w:rsidR="000720CB">
          <w:rPr>
            <w:noProof/>
            <w:webHidden/>
          </w:rPr>
          <w:t>152</w:t>
        </w:r>
        <w:r w:rsidR="008618F2">
          <w:rPr>
            <w:noProof/>
            <w:webHidden/>
          </w:rPr>
          <w:fldChar w:fldCharType="end"/>
        </w:r>
      </w:hyperlink>
    </w:p>
    <w:p w14:paraId="0356C012" w14:textId="3E05AB2F" w:rsidR="008618F2" w:rsidRDefault="009B5CEC" w:rsidP="008618F2">
      <w:pPr>
        <w:pStyle w:val="TOC3"/>
        <w:jc w:val="left"/>
        <w:rPr>
          <w:rFonts w:asciiTheme="minorHAnsi" w:eastAsiaTheme="minorEastAsia" w:hAnsiTheme="minorHAnsi" w:cstheme="minorBidi"/>
          <w:b w:val="0"/>
          <w:noProof/>
          <w:szCs w:val="22"/>
          <w:lang w:eastAsia="en-GB"/>
        </w:rPr>
      </w:pPr>
      <w:hyperlink w:anchor="_Toc134197958" w:history="1">
        <w:r w:rsidR="008618F2" w:rsidRPr="00DC3933">
          <w:rPr>
            <w:rStyle w:val="Hyperlink"/>
            <w:noProof/>
          </w:rPr>
          <w:t>11.9.1</w:t>
        </w:r>
        <w:r w:rsidR="008618F2">
          <w:rPr>
            <w:rFonts w:asciiTheme="minorHAnsi" w:eastAsiaTheme="minorEastAsia" w:hAnsiTheme="minorHAnsi" w:cstheme="minorBidi"/>
            <w:b w:val="0"/>
            <w:noProof/>
            <w:szCs w:val="22"/>
            <w:lang w:eastAsia="en-GB"/>
          </w:rPr>
          <w:tab/>
        </w:r>
        <w:r w:rsidR="008618F2" w:rsidRPr="00DC3933">
          <w:rPr>
            <w:rStyle w:val="Hyperlink"/>
            <w:noProof/>
          </w:rPr>
          <w:t>Design criteria</w:t>
        </w:r>
        <w:r w:rsidR="008618F2">
          <w:rPr>
            <w:noProof/>
            <w:webHidden/>
          </w:rPr>
          <w:tab/>
        </w:r>
        <w:r w:rsidR="008618F2">
          <w:rPr>
            <w:noProof/>
            <w:webHidden/>
          </w:rPr>
          <w:fldChar w:fldCharType="begin"/>
        </w:r>
        <w:r w:rsidR="008618F2">
          <w:rPr>
            <w:noProof/>
            <w:webHidden/>
          </w:rPr>
          <w:instrText xml:space="preserve"> PAGEREF _Toc134197958 \h </w:instrText>
        </w:r>
        <w:r w:rsidR="008618F2">
          <w:rPr>
            <w:noProof/>
            <w:webHidden/>
          </w:rPr>
        </w:r>
        <w:r w:rsidR="008618F2">
          <w:rPr>
            <w:noProof/>
            <w:webHidden/>
          </w:rPr>
          <w:fldChar w:fldCharType="separate"/>
        </w:r>
        <w:r w:rsidR="000720CB">
          <w:rPr>
            <w:noProof/>
            <w:webHidden/>
          </w:rPr>
          <w:t>152</w:t>
        </w:r>
        <w:r w:rsidR="008618F2">
          <w:rPr>
            <w:noProof/>
            <w:webHidden/>
          </w:rPr>
          <w:fldChar w:fldCharType="end"/>
        </w:r>
      </w:hyperlink>
    </w:p>
    <w:p w14:paraId="32132378" w14:textId="5A6D0B44" w:rsidR="008618F2" w:rsidRDefault="009B5CEC" w:rsidP="008618F2">
      <w:pPr>
        <w:pStyle w:val="TOC3"/>
        <w:jc w:val="left"/>
        <w:rPr>
          <w:rFonts w:asciiTheme="minorHAnsi" w:eastAsiaTheme="minorEastAsia" w:hAnsiTheme="minorHAnsi" w:cstheme="minorBidi"/>
          <w:b w:val="0"/>
          <w:noProof/>
          <w:szCs w:val="22"/>
          <w:lang w:eastAsia="en-GB"/>
        </w:rPr>
      </w:pPr>
      <w:hyperlink w:anchor="_Toc134197959" w:history="1">
        <w:r w:rsidR="008618F2" w:rsidRPr="00DC3933">
          <w:rPr>
            <w:rStyle w:val="Hyperlink"/>
            <w:noProof/>
          </w:rPr>
          <w:t>11.9.2</w:t>
        </w:r>
        <w:r w:rsidR="008618F2">
          <w:rPr>
            <w:rFonts w:asciiTheme="minorHAnsi" w:eastAsiaTheme="minorEastAsia" w:hAnsiTheme="minorHAnsi" w:cstheme="minorBidi"/>
            <w:b w:val="0"/>
            <w:noProof/>
            <w:szCs w:val="22"/>
            <w:lang w:eastAsia="en-GB"/>
          </w:rPr>
          <w:tab/>
        </w:r>
        <w:r w:rsidR="008618F2" w:rsidRPr="00DC3933">
          <w:rPr>
            <w:rStyle w:val="Hyperlink"/>
            <w:noProof/>
          </w:rPr>
          <w:t>Verification of beams</w:t>
        </w:r>
        <w:r w:rsidR="008618F2">
          <w:rPr>
            <w:noProof/>
            <w:webHidden/>
          </w:rPr>
          <w:tab/>
        </w:r>
        <w:r w:rsidR="008618F2">
          <w:rPr>
            <w:noProof/>
            <w:webHidden/>
          </w:rPr>
          <w:fldChar w:fldCharType="begin"/>
        </w:r>
        <w:r w:rsidR="008618F2">
          <w:rPr>
            <w:noProof/>
            <w:webHidden/>
          </w:rPr>
          <w:instrText xml:space="preserve"> PAGEREF _Toc134197959 \h </w:instrText>
        </w:r>
        <w:r w:rsidR="008618F2">
          <w:rPr>
            <w:noProof/>
            <w:webHidden/>
          </w:rPr>
        </w:r>
        <w:r w:rsidR="008618F2">
          <w:rPr>
            <w:noProof/>
            <w:webHidden/>
          </w:rPr>
          <w:fldChar w:fldCharType="separate"/>
        </w:r>
        <w:r w:rsidR="000720CB">
          <w:rPr>
            <w:noProof/>
            <w:webHidden/>
          </w:rPr>
          <w:t>152</w:t>
        </w:r>
        <w:r w:rsidR="008618F2">
          <w:rPr>
            <w:noProof/>
            <w:webHidden/>
          </w:rPr>
          <w:fldChar w:fldCharType="end"/>
        </w:r>
      </w:hyperlink>
    </w:p>
    <w:p w14:paraId="23447D86" w14:textId="172E4357" w:rsidR="008618F2" w:rsidRDefault="009B5CEC" w:rsidP="008618F2">
      <w:pPr>
        <w:pStyle w:val="TOC3"/>
        <w:jc w:val="left"/>
        <w:rPr>
          <w:rFonts w:asciiTheme="minorHAnsi" w:eastAsiaTheme="minorEastAsia" w:hAnsiTheme="minorHAnsi" w:cstheme="minorBidi"/>
          <w:b w:val="0"/>
          <w:noProof/>
          <w:szCs w:val="22"/>
          <w:lang w:eastAsia="en-GB"/>
        </w:rPr>
      </w:pPr>
      <w:hyperlink w:anchor="_Toc134197960" w:history="1">
        <w:r w:rsidR="008618F2" w:rsidRPr="00DC3933">
          <w:rPr>
            <w:rStyle w:val="Hyperlink"/>
            <w:noProof/>
          </w:rPr>
          <w:t>11.9.3</w:t>
        </w:r>
        <w:r w:rsidR="008618F2">
          <w:rPr>
            <w:rFonts w:asciiTheme="minorHAnsi" w:eastAsiaTheme="minorEastAsia" w:hAnsiTheme="minorHAnsi" w:cstheme="minorBidi"/>
            <w:b w:val="0"/>
            <w:noProof/>
            <w:szCs w:val="22"/>
            <w:lang w:eastAsia="en-GB"/>
          </w:rPr>
          <w:tab/>
        </w:r>
        <w:r w:rsidR="008618F2" w:rsidRPr="00DC3933">
          <w:rPr>
            <w:rStyle w:val="Hyperlink"/>
            <w:noProof/>
          </w:rPr>
          <w:t>Verification of columns</w:t>
        </w:r>
        <w:r w:rsidR="008618F2">
          <w:rPr>
            <w:noProof/>
            <w:webHidden/>
          </w:rPr>
          <w:tab/>
        </w:r>
        <w:r w:rsidR="008618F2">
          <w:rPr>
            <w:noProof/>
            <w:webHidden/>
          </w:rPr>
          <w:fldChar w:fldCharType="begin"/>
        </w:r>
        <w:r w:rsidR="008618F2">
          <w:rPr>
            <w:noProof/>
            <w:webHidden/>
          </w:rPr>
          <w:instrText xml:space="preserve"> PAGEREF _Toc134197960 \h </w:instrText>
        </w:r>
        <w:r w:rsidR="008618F2">
          <w:rPr>
            <w:noProof/>
            <w:webHidden/>
          </w:rPr>
        </w:r>
        <w:r w:rsidR="008618F2">
          <w:rPr>
            <w:noProof/>
            <w:webHidden/>
          </w:rPr>
          <w:fldChar w:fldCharType="separate"/>
        </w:r>
        <w:r w:rsidR="000720CB">
          <w:rPr>
            <w:noProof/>
            <w:webHidden/>
          </w:rPr>
          <w:t>153</w:t>
        </w:r>
        <w:r w:rsidR="008618F2">
          <w:rPr>
            <w:noProof/>
            <w:webHidden/>
          </w:rPr>
          <w:fldChar w:fldCharType="end"/>
        </w:r>
      </w:hyperlink>
    </w:p>
    <w:p w14:paraId="159049BC" w14:textId="1CB181C5" w:rsidR="008618F2" w:rsidRDefault="009B5CEC" w:rsidP="008618F2">
      <w:pPr>
        <w:pStyle w:val="TOC3"/>
        <w:jc w:val="left"/>
        <w:rPr>
          <w:rFonts w:asciiTheme="minorHAnsi" w:eastAsiaTheme="minorEastAsia" w:hAnsiTheme="minorHAnsi" w:cstheme="minorBidi"/>
          <w:b w:val="0"/>
          <w:noProof/>
          <w:szCs w:val="22"/>
          <w:lang w:eastAsia="en-GB"/>
        </w:rPr>
      </w:pPr>
      <w:hyperlink w:anchor="_Toc134197961" w:history="1">
        <w:r w:rsidR="008618F2" w:rsidRPr="00DC3933">
          <w:rPr>
            <w:rStyle w:val="Hyperlink"/>
            <w:noProof/>
          </w:rPr>
          <w:t>11.9.4</w:t>
        </w:r>
        <w:r w:rsidR="008618F2">
          <w:rPr>
            <w:rFonts w:asciiTheme="minorHAnsi" w:eastAsiaTheme="minorEastAsia" w:hAnsiTheme="minorHAnsi" w:cstheme="minorBidi"/>
            <w:b w:val="0"/>
            <w:noProof/>
            <w:szCs w:val="22"/>
            <w:lang w:eastAsia="en-GB"/>
          </w:rPr>
          <w:tab/>
        </w:r>
        <w:r w:rsidR="008618F2" w:rsidRPr="00DC3933">
          <w:rPr>
            <w:rStyle w:val="Hyperlink"/>
            <w:noProof/>
          </w:rPr>
          <w:t>Verification of beam to column joints</w:t>
        </w:r>
        <w:r w:rsidR="008618F2">
          <w:rPr>
            <w:noProof/>
            <w:webHidden/>
          </w:rPr>
          <w:tab/>
        </w:r>
        <w:r w:rsidR="008618F2">
          <w:rPr>
            <w:noProof/>
            <w:webHidden/>
          </w:rPr>
          <w:fldChar w:fldCharType="begin"/>
        </w:r>
        <w:r w:rsidR="008618F2">
          <w:rPr>
            <w:noProof/>
            <w:webHidden/>
          </w:rPr>
          <w:instrText xml:space="preserve"> PAGEREF _Toc134197961 \h </w:instrText>
        </w:r>
        <w:r w:rsidR="008618F2">
          <w:rPr>
            <w:noProof/>
            <w:webHidden/>
          </w:rPr>
        </w:r>
        <w:r w:rsidR="008618F2">
          <w:rPr>
            <w:noProof/>
            <w:webHidden/>
          </w:rPr>
          <w:fldChar w:fldCharType="separate"/>
        </w:r>
        <w:r w:rsidR="000720CB">
          <w:rPr>
            <w:noProof/>
            <w:webHidden/>
          </w:rPr>
          <w:t>155</w:t>
        </w:r>
        <w:r w:rsidR="008618F2">
          <w:rPr>
            <w:noProof/>
            <w:webHidden/>
          </w:rPr>
          <w:fldChar w:fldCharType="end"/>
        </w:r>
      </w:hyperlink>
    </w:p>
    <w:p w14:paraId="5B6972C8" w14:textId="12875DE0" w:rsidR="008618F2" w:rsidRDefault="009B5CEC" w:rsidP="008618F2">
      <w:pPr>
        <w:pStyle w:val="TOC3"/>
        <w:jc w:val="left"/>
        <w:rPr>
          <w:rFonts w:asciiTheme="minorHAnsi" w:eastAsiaTheme="minorEastAsia" w:hAnsiTheme="minorHAnsi" w:cstheme="minorBidi"/>
          <w:b w:val="0"/>
          <w:noProof/>
          <w:szCs w:val="22"/>
          <w:lang w:eastAsia="en-GB"/>
        </w:rPr>
      </w:pPr>
      <w:hyperlink w:anchor="_Toc134197962" w:history="1">
        <w:r w:rsidR="008618F2" w:rsidRPr="00DC3933">
          <w:rPr>
            <w:rStyle w:val="Hyperlink"/>
            <w:noProof/>
          </w:rPr>
          <w:t>11.9.5</w:t>
        </w:r>
        <w:r w:rsidR="008618F2">
          <w:rPr>
            <w:rFonts w:asciiTheme="minorHAnsi" w:eastAsiaTheme="minorEastAsia" w:hAnsiTheme="minorHAnsi" w:cstheme="minorBidi"/>
            <w:b w:val="0"/>
            <w:noProof/>
            <w:szCs w:val="22"/>
            <w:lang w:eastAsia="en-GB"/>
          </w:rPr>
          <w:tab/>
        </w:r>
        <w:r w:rsidR="008618F2" w:rsidRPr="00DC3933">
          <w:rPr>
            <w:rStyle w:val="Hyperlink"/>
            <w:noProof/>
          </w:rPr>
          <w:t>Verification of column base joints</w:t>
        </w:r>
        <w:r w:rsidR="008618F2">
          <w:rPr>
            <w:noProof/>
            <w:webHidden/>
          </w:rPr>
          <w:tab/>
        </w:r>
        <w:r w:rsidR="008618F2">
          <w:rPr>
            <w:noProof/>
            <w:webHidden/>
          </w:rPr>
          <w:fldChar w:fldCharType="begin"/>
        </w:r>
        <w:r w:rsidR="008618F2">
          <w:rPr>
            <w:noProof/>
            <w:webHidden/>
          </w:rPr>
          <w:instrText xml:space="preserve"> PAGEREF _Toc134197962 \h </w:instrText>
        </w:r>
        <w:r w:rsidR="008618F2">
          <w:rPr>
            <w:noProof/>
            <w:webHidden/>
          </w:rPr>
        </w:r>
        <w:r w:rsidR="008618F2">
          <w:rPr>
            <w:noProof/>
            <w:webHidden/>
          </w:rPr>
          <w:fldChar w:fldCharType="separate"/>
        </w:r>
        <w:r w:rsidR="000720CB">
          <w:rPr>
            <w:noProof/>
            <w:webHidden/>
          </w:rPr>
          <w:t>157</w:t>
        </w:r>
        <w:r w:rsidR="008618F2">
          <w:rPr>
            <w:noProof/>
            <w:webHidden/>
          </w:rPr>
          <w:fldChar w:fldCharType="end"/>
        </w:r>
      </w:hyperlink>
    </w:p>
    <w:p w14:paraId="7765596A" w14:textId="394CE720" w:rsidR="008618F2" w:rsidRDefault="009B5CEC" w:rsidP="008618F2">
      <w:pPr>
        <w:pStyle w:val="TOC2"/>
        <w:jc w:val="left"/>
        <w:rPr>
          <w:rFonts w:asciiTheme="minorHAnsi" w:eastAsiaTheme="minorEastAsia" w:hAnsiTheme="minorHAnsi" w:cstheme="minorBidi"/>
          <w:b w:val="0"/>
          <w:noProof/>
          <w:szCs w:val="22"/>
          <w:lang w:eastAsia="en-GB"/>
        </w:rPr>
      </w:pPr>
      <w:hyperlink w:anchor="_Toc134197963" w:history="1">
        <w:r w:rsidR="008618F2" w:rsidRPr="00DC3933">
          <w:rPr>
            <w:rStyle w:val="Hyperlink"/>
            <w:noProof/>
          </w:rPr>
          <w:t>11.10</w:t>
        </w:r>
        <w:r w:rsidR="008618F2">
          <w:rPr>
            <w:rFonts w:asciiTheme="minorHAnsi" w:eastAsiaTheme="minorEastAsia" w:hAnsiTheme="minorHAnsi" w:cstheme="minorBidi"/>
            <w:b w:val="0"/>
            <w:noProof/>
            <w:szCs w:val="22"/>
            <w:lang w:eastAsia="en-GB"/>
          </w:rPr>
          <w:tab/>
        </w:r>
        <w:r w:rsidR="008618F2" w:rsidRPr="00DC3933">
          <w:rPr>
            <w:rStyle w:val="Hyperlink"/>
            <w:noProof/>
          </w:rPr>
          <w:t>Design rules for frames with concentric bracings</w:t>
        </w:r>
        <w:r w:rsidR="008618F2">
          <w:rPr>
            <w:noProof/>
            <w:webHidden/>
          </w:rPr>
          <w:tab/>
        </w:r>
        <w:r w:rsidR="008618F2">
          <w:rPr>
            <w:noProof/>
            <w:webHidden/>
          </w:rPr>
          <w:fldChar w:fldCharType="begin"/>
        </w:r>
        <w:r w:rsidR="008618F2">
          <w:rPr>
            <w:noProof/>
            <w:webHidden/>
          </w:rPr>
          <w:instrText xml:space="preserve"> PAGEREF _Toc134197963 \h </w:instrText>
        </w:r>
        <w:r w:rsidR="008618F2">
          <w:rPr>
            <w:noProof/>
            <w:webHidden/>
          </w:rPr>
        </w:r>
        <w:r w:rsidR="008618F2">
          <w:rPr>
            <w:noProof/>
            <w:webHidden/>
          </w:rPr>
          <w:fldChar w:fldCharType="separate"/>
        </w:r>
        <w:r w:rsidR="000720CB">
          <w:rPr>
            <w:noProof/>
            <w:webHidden/>
          </w:rPr>
          <w:t>158</w:t>
        </w:r>
        <w:r w:rsidR="008618F2">
          <w:rPr>
            <w:noProof/>
            <w:webHidden/>
          </w:rPr>
          <w:fldChar w:fldCharType="end"/>
        </w:r>
      </w:hyperlink>
    </w:p>
    <w:p w14:paraId="062433E5" w14:textId="2A7687FA" w:rsidR="008618F2" w:rsidRDefault="009B5CEC" w:rsidP="008618F2">
      <w:pPr>
        <w:pStyle w:val="TOC3"/>
        <w:tabs>
          <w:tab w:val="left" w:pos="1100"/>
        </w:tabs>
        <w:jc w:val="left"/>
        <w:rPr>
          <w:rFonts w:asciiTheme="minorHAnsi" w:eastAsiaTheme="minorEastAsia" w:hAnsiTheme="minorHAnsi" w:cstheme="minorBidi"/>
          <w:b w:val="0"/>
          <w:noProof/>
          <w:szCs w:val="22"/>
          <w:lang w:eastAsia="en-GB"/>
        </w:rPr>
      </w:pPr>
      <w:hyperlink w:anchor="_Toc134197964" w:history="1">
        <w:r w:rsidR="008618F2" w:rsidRPr="00DC3933">
          <w:rPr>
            <w:rStyle w:val="Hyperlink"/>
            <w:noProof/>
          </w:rPr>
          <w:t>11.10.1</w:t>
        </w:r>
        <w:r w:rsidR="008618F2">
          <w:rPr>
            <w:rFonts w:asciiTheme="minorHAnsi" w:eastAsiaTheme="minorEastAsia" w:hAnsiTheme="minorHAnsi" w:cstheme="minorBidi"/>
            <w:b w:val="0"/>
            <w:noProof/>
            <w:szCs w:val="22"/>
            <w:lang w:eastAsia="en-GB"/>
          </w:rPr>
          <w:tab/>
        </w:r>
        <w:r w:rsidR="008618F2" w:rsidRPr="00DC3933">
          <w:rPr>
            <w:rStyle w:val="Hyperlink"/>
            <w:noProof/>
          </w:rPr>
          <w:t>Design criteria for DC2 and DC3</w:t>
        </w:r>
        <w:r w:rsidR="008618F2">
          <w:rPr>
            <w:noProof/>
            <w:webHidden/>
          </w:rPr>
          <w:tab/>
        </w:r>
        <w:r w:rsidR="008618F2">
          <w:rPr>
            <w:noProof/>
            <w:webHidden/>
          </w:rPr>
          <w:fldChar w:fldCharType="begin"/>
        </w:r>
        <w:r w:rsidR="008618F2">
          <w:rPr>
            <w:noProof/>
            <w:webHidden/>
          </w:rPr>
          <w:instrText xml:space="preserve"> PAGEREF _Toc134197964 \h </w:instrText>
        </w:r>
        <w:r w:rsidR="008618F2">
          <w:rPr>
            <w:noProof/>
            <w:webHidden/>
          </w:rPr>
        </w:r>
        <w:r w:rsidR="008618F2">
          <w:rPr>
            <w:noProof/>
            <w:webHidden/>
          </w:rPr>
          <w:fldChar w:fldCharType="separate"/>
        </w:r>
        <w:r w:rsidR="000720CB">
          <w:rPr>
            <w:noProof/>
            <w:webHidden/>
          </w:rPr>
          <w:t>158</w:t>
        </w:r>
        <w:r w:rsidR="008618F2">
          <w:rPr>
            <w:noProof/>
            <w:webHidden/>
          </w:rPr>
          <w:fldChar w:fldCharType="end"/>
        </w:r>
      </w:hyperlink>
    </w:p>
    <w:p w14:paraId="35E77963" w14:textId="013FAB2A" w:rsidR="008618F2" w:rsidRDefault="009B5CEC" w:rsidP="008618F2">
      <w:pPr>
        <w:pStyle w:val="TOC3"/>
        <w:tabs>
          <w:tab w:val="left" w:pos="1100"/>
        </w:tabs>
        <w:jc w:val="left"/>
        <w:rPr>
          <w:rFonts w:asciiTheme="minorHAnsi" w:eastAsiaTheme="minorEastAsia" w:hAnsiTheme="minorHAnsi" w:cstheme="minorBidi"/>
          <w:b w:val="0"/>
          <w:noProof/>
          <w:szCs w:val="22"/>
          <w:lang w:eastAsia="en-GB"/>
        </w:rPr>
      </w:pPr>
      <w:hyperlink w:anchor="_Toc134197965" w:history="1">
        <w:r w:rsidR="008618F2" w:rsidRPr="00DC3933">
          <w:rPr>
            <w:rStyle w:val="Hyperlink"/>
            <w:noProof/>
          </w:rPr>
          <w:t>11.10.2</w:t>
        </w:r>
        <w:r w:rsidR="008618F2">
          <w:rPr>
            <w:rFonts w:asciiTheme="minorHAnsi" w:eastAsiaTheme="minorEastAsia" w:hAnsiTheme="minorHAnsi" w:cstheme="minorBidi"/>
            <w:b w:val="0"/>
            <w:noProof/>
            <w:szCs w:val="22"/>
            <w:lang w:eastAsia="en-GB"/>
          </w:rPr>
          <w:tab/>
        </w:r>
        <w:r w:rsidR="008618F2" w:rsidRPr="00DC3933">
          <w:rPr>
            <w:rStyle w:val="Hyperlink"/>
            <w:noProof/>
          </w:rPr>
          <w:t>Analysis</w:t>
        </w:r>
        <w:r w:rsidR="008618F2">
          <w:rPr>
            <w:noProof/>
            <w:webHidden/>
          </w:rPr>
          <w:tab/>
        </w:r>
        <w:r w:rsidR="008618F2">
          <w:rPr>
            <w:noProof/>
            <w:webHidden/>
          </w:rPr>
          <w:fldChar w:fldCharType="begin"/>
        </w:r>
        <w:r w:rsidR="008618F2">
          <w:rPr>
            <w:noProof/>
            <w:webHidden/>
          </w:rPr>
          <w:instrText xml:space="preserve"> PAGEREF _Toc134197965 \h </w:instrText>
        </w:r>
        <w:r w:rsidR="008618F2">
          <w:rPr>
            <w:noProof/>
            <w:webHidden/>
          </w:rPr>
        </w:r>
        <w:r w:rsidR="008618F2">
          <w:rPr>
            <w:noProof/>
            <w:webHidden/>
          </w:rPr>
          <w:fldChar w:fldCharType="separate"/>
        </w:r>
        <w:r w:rsidR="000720CB">
          <w:rPr>
            <w:noProof/>
            <w:webHidden/>
          </w:rPr>
          <w:t>159</w:t>
        </w:r>
        <w:r w:rsidR="008618F2">
          <w:rPr>
            <w:noProof/>
            <w:webHidden/>
          </w:rPr>
          <w:fldChar w:fldCharType="end"/>
        </w:r>
      </w:hyperlink>
    </w:p>
    <w:p w14:paraId="0C28905A" w14:textId="528F9786" w:rsidR="008618F2" w:rsidRDefault="009B5CEC" w:rsidP="008618F2">
      <w:pPr>
        <w:pStyle w:val="TOC3"/>
        <w:tabs>
          <w:tab w:val="left" w:pos="1100"/>
        </w:tabs>
        <w:jc w:val="left"/>
        <w:rPr>
          <w:rFonts w:asciiTheme="minorHAnsi" w:eastAsiaTheme="minorEastAsia" w:hAnsiTheme="minorHAnsi" w:cstheme="minorBidi"/>
          <w:b w:val="0"/>
          <w:noProof/>
          <w:szCs w:val="22"/>
          <w:lang w:eastAsia="en-GB"/>
        </w:rPr>
      </w:pPr>
      <w:hyperlink w:anchor="_Toc134197966" w:history="1">
        <w:r w:rsidR="008618F2" w:rsidRPr="00DC3933">
          <w:rPr>
            <w:rStyle w:val="Hyperlink"/>
            <w:noProof/>
          </w:rPr>
          <w:t>11.10.3</w:t>
        </w:r>
        <w:r w:rsidR="008618F2">
          <w:rPr>
            <w:rFonts w:asciiTheme="minorHAnsi" w:eastAsiaTheme="minorEastAsia" w:hAnsiTheme="minorHAnsi" w:cstheme="minorBidi"/>
            <w:b w:val="0"/>
            <w:noProof/>
            <w:szCs w:val="22"/>
            <w:lang w:eastAsia="en-GB"/>
          </w:rPr>
          <w:tab/>
        </w:r>
        <w:r w:rsidR="008618F2" w:rsidRPr="00DC3933">
          <w:rPr>
            <w:rStyle w:val="Hyperlink"/>
            <w:noProof/>
          </w:rPr>
          <w:t>Verification of diagonal members</w:t>
        </w:r>
        <w:r w:rsidR="008618F2">
          <w:rPr>
            <w:noProof/>
            <w:webHidden/>
          </w:rPr>
          <w:tab/>
        </w:r>
        <w:r w:rsidR="008618F2">
          <w:rPr>
            <w:noProof/>
            <w:webHidden/>
          </w:rPr>
          <w:fldChar w:fldCharType="begin"/>
        </w:r>
        <w:r w:rsidR="008618F2">
          <w:rPr>
            <w:noProof/>
            <w:webHidden/>
          </w:rPr>
          <w:instrText xml:space="preserve"> PAGEREF _Toc134197966 \h </w:instrText>
        </w:r>
        <w:r w:rsidR="008618F2">
          <w:rPr>
            <w:noProof/>
            <w:webHidden/>
          </w:rPr>
        </w:r>
        <w:r w:rsidR="008618F2">
          <w:rPr>
            <w:noProof/>
            <w:webHidden/>
          </w:rPr>
          <w:fldChar w:fldCharType="separate"/>
        </w:r>
        <w:r w:rsidR="000720CB">
          <w:rPr>
            <w:noProof/>
            <w:webHidden/>
          </w:rPr>
          <w:t>160</w:t>
        </w:r>
        <w:r w:rsidR="008618F2">
          <w:rPr>
            <w:noProof/>
            <w:webHidden/>
          </w:rPr>
          <w:fldChar w:fldCharType="end"/>
        </w:r>
      </w:hyperlink>
    </w:p>
    <w:p w14:paraId="0B3687D1" w14:textId="57DBBB80" w:rsidR="008618F2" w:rsidRDefault="009B5CEC" w:rsidP="008618F2">
      <w:pPr>
        <w:pStyle w:val="TOC3"/>
        <w:tabs>
          <w:tab w:val="left" w:pos="1100"/>
        </w:tabs>
        <w:jc w:val="left"/>
        <w:rPr>
          <w:rFonts w:asciiTheme="minorHAnsi" w:eastAsiaTheme="minorEastAsia" w:hAnsiTheme="minorHAnsi" w:cstheme="minorBidi"/>
          <w:b w:val="0"/>
          <w:noProof/>
          <w:szCs w:val="22"/>
          <w:lang w:eastAsia="en-GB"/>
        </w:rPr>
      </w:pPr>
      <w:hyperlink w:anchor="_Toc134197967" w:history="1">
        <w:r w:rsidR="008618F2" w:rsidRPr="00DC3933">
          <w:rPr>
            <w:rStyle w:val="Hyperlink"/>
            <w:noProof/>
          </w:rPr>
          <w:t>11.10.4</w:t>
        </w:r>
        <w:r w:rsidR="008618F2">
          <w:rPr>
            <w:rFonts w:asciiTheme="minorHAnsi" w:eastAsiaTheme="minorEastAsia" w:hAnsiTheme="minorHAnsi" w:cstheme="minorBidi"/>
            <w:b w:val="0"/>
            <w:noProof/>
            <w:szCs w:val="22"/>
            <w:lang w:eastAsia="en-GB"/>
          </w:rPr>
          <w:tab/>
        </w:r>
        <w:r w:rsidR="008618F2" w:rsidRPr="00DC3933">
          <w:rPr>
            <w:rStyle w:val="Hyperlink"/>
            <w:noProof/>
          </w:rPr>
          <w:t>Verification of beams and columns</w:t>
        </w:r>
        <w:r w:rsidR="008618F2">
          <w:rPr>
            <w:noProof/>
            <w:webHidden/>
          </w:rPr>
          <w:tab/>
        </w:r>
        <w:r w:rsidR="008618F2">
          <w:rPr>
            <w:noProof/>
            <w:webHidden/>
          </w:rPr>
          <w:fldChar w:fldCharType="begin"/>
        </w:r>
        <w:r w:rsidR="008618F2">
          <w:rPr>
            <w:noProof/>
            <w:webHidden/>
          </w:rPr>
          <w:instrText xml:space="preserve"> PAGEREF _Toc134197967 \h </w:instrText>
        </w:r>
        <w:r w:rsidR="008618F2">
          <w:rPr>
            <w:noProof/>
            <w:webHidden/>
          </w:rPr>
        </w:r>
        <w:r w:rsidR="008618F2">
          <w:rPr>
            <w:noProof/>
            <w:webHidden/>
          </w:rPr>
          <w:fldChar w:fldCharType="separate"/>
        </w:r>
        <w:r w:rsidR="000720CB">
          <w:rPr>
            <w:noProof/>
            <w:webHidden/>
          </w:rPr>
          <w:t>162</w:t>
        </w:r>
        <w:r w:rsidR="008618F2">
          <w:rPr>
            <w:noProof/>
            <w:webHidden/>
          </w:rPr>
          <w:fldChar w:fldCharType="end"/>
        </w:r>
      </w:hyperlink>
    </w:p>
    <w:p w14:paraId="46051C77" w14:textId="71C667A9" w:rsidR="008618F2" w:rsidRDefault="009B5CEC" w:rsidP="008618F2">
      <w:pPr>
        <w:pStyle w:val="TOC3"/>
        <w:tabs>
          <w:tab w:val="left" w:pos="1100"/>
        </w:tabs>
        <w:jc w:val="left"/>
        <w:rPr>
          <w:rFonts w:asciiTheme="minorHAnsi" w:eastAsiaTheme="minorEastAsia" w:hAnsiTheme="minorHAnsi" w:cstheme="minorBidi"/>
          <w:b w:val="0"/>
          <w:noProof/>
          <w:szCs w:val="22"/>
          <w:lang w:eastAsia="en-GB"/>
        </w:rPr>
      </w:pPr>
      <w:hyperlink w:anchor="_Toc134197968" w:history="1">
        <w:r w:rsidR="008618F2" w:rsidRPr="00DC3933">
          <w:rPr>
            <w:rStyle w:val="Hyperlink"/>
            <w:noProof/>
          </w:rPr>
          <w:t>11.10.5</w:t>
        </w:r>
        <w:r w:rsidR="008618F2">
          <w:rPr>
            <w:rFonts w:asciiTheme="minorHAnsi" w:eastAsiaTheme="minorEastAsia" w:hAnsiTheme="minorHAnsi" w:cstheme="minorBidi"/>
            <w:b w:val="0"/>
            <w:noProof/>
            <w:szCs w:val="22"/>
            <w:lang w:eastAsia="en-GB"/>
          </w:rPr>
          <w:tab/>
        </w:r>
        <w:r w:rsidR="008618F2" w:rsidRPr="00DC3933">
          <w:rPr>
            <w:rStyle w:val="Hyperlink"/>
            <w:noProof/>
          </w:rPr>
          <w:t>Verification of beam to column connections</w:t>
        </w:r>
        <w:r w:rsidR="008618F2">
          <w:rPr>
            <w:noProof/>
            <w:webHidden/>
          </w:rPr>
          <w:tab/>
        </w:r>
        <w:r w:rsidR="008618F2">
          <w:rPr>
            <w:noProof/>
            <w:webHidden/>
          </w:rPr>
          <w:fldChar w:fldCharType="begin"/>
        </w:r>
        <w:r w:rsidR="008618F2">
          <w:rPr>
            <w:noProof/>
            <w:webHidden/>
          </w:rPr>
          <w:instrText xml:space="preserve"> PAGEREF _Toc134197968 \h </w:instrText>
        </w:r>
        <w:r w:rsidR="008618F2">
          <w:rPr>
            <w:noProof/>
            <w:webHidden/>
          </w:rPr>
        </w:r>
        <w:r w:rsidR="008618F2">
          <w:rPr>
            <w:noProof/>
            <w:webHidden/>
          </w:rPr>
          <w:fldChar w:fldCharType="separate"/>
        </w:r>
        <w:r w:rsidR="000720CB">
          <w:rPr>
            <w:noProof/>
            <w:webHidden/>
          </w:rPr>
          <w:t>163</w:t>
        </w:r>
        <w:r w:rsidR="008618F2">
          <w:rPr>
            <w:noProof/>
            <w:webHidden/>
          </w:rPr>
          <w:fldChar w:fldCharType="end"/>
        </w:r>
      </w:hyperlink>
    </w:p>
    <w:p w14:paraId="4D21DC45" w14:textId="4F566F5C" w:rsidR="008618F2" w:rsidRDefault="009B5CEC" w:rsidP="008618F2">
      <w:pPr>
        <w:pStyle w:val="TOC3"/>
        <w:tabs>
          <w:tab w:val="left" w:pos="1100"/>
        </w:tabs>
        <w:jc w:val="left"/>
        <w:rPr>
          <w:rFonts w:asciiTheme="minorHAnsi" w:eastAsiaTheme="minorEastAsia" w:hAnsiTheme="minorHAnsi" w:cstheme="minorBidi"/>
          <w:b w:val="0"/>
          <w:noProof/>
          <w:szCs w:val="22"/>
          <w:lang w:eastAsia="en-GB"/>
        </w:rPr>
      </w:pPr>
      <w:hyperlink w:anchor="_Toc134197969" w:history="1">
        <w:r w:rsidR="008618F2" w:rsidRPr="00DC3933">
          <w:rPr>
            <w:rStyle w:val="Hyperlink"/>
            <w:noProof/>
          </w:rPr>
          <w:t>11.10.6</w:t>
        </w:r>
        <w:r w:rsidR="008618F2">
          <w:rPr>
            <w:rFonts w:asciiTheme="minorHAnsi" w:eastAsiaTheme="minorEastAsia" w:hAnsiTheme="minorHAnsi" w:cstheme="minorBidi"/>
            <w:b w:val="0"/>
            <w:noProof/>
            <w:szCs w:val="22"/>
            <w:lang w:eastAsia="en-GB"/>
          </w:rPr>
          <w:tab/>
        </w:r>
        <w:r w:rsidR="008618F2" w:rsidRPr="00DC3933">
          <w:rPr>
            <w:rStyle w:val="Hyperlink"/>
            <w:noProof/>
          </w:rPr>
          <w:t>Verification of brace connections</w:t>
        </w:r>
        <w:r w:rsidR="008618F2">
          <w:rPr>
            <w:noProof/>
            <w:webHidden/>
          </w:rPr>
          <w:tab/>
        </w:r>
        <w:r w:rsidR="008618F2">
          <w:rPr>
            <w:noProof/>
            <w:webHidden/>
          </w:rPr>
          <w:fldChar w:fldCharType="begin"/>
        </w:r>
        <w:r w:rsidR="008618F2">
          <w:rPr>
            <w:noProof/>
            <w:webHidden/>
          </w:rPr>
          <w:instrText xml:space="preserve"> PAGEREF _Toc134197969 \h </w:instrText>
        </w:r>
        <w:r w:rsidR="008618F2">
          <w:rPr>
            <w:noProof/>
            <w:webHidden/>
          </w:rPr>
        </w:r>
        <w:r w:rsidR="008618F2">
          <w:rPr>
            <w:noProof/>
            <w:webHidden/>
          </w:rPr>
          <w:fldChar w:fldCharType="separate"/>
        </w:r>
        <w:r w:rsidR="000720CB">
          <w:rPr>
            <w:noProof/>
            <w:webHidden/>
          </w:rPr>
          <w:t>163</w:t>
        </w:r>
        <w:r w:rsidR="008618F2">
          <w:rPr>
            <w:noProof/>
            <w:webHidden/>
          </w:rPr>
          <w:fldChar w:fldCharType="end"/>
        </w:r>
      </w:hyperlink>
    </w:p>
    <w:p w14:paraId="270C1125" w14:textId="575B30C1" w:rsidR="008618F2" w:rsidRDefault="009B5CEC" w:rsidP="008618F2">
      <w:pPr>
        <w:pStyle w:val="TOC3"/>
        <w:tabs>
          <w:tab w:val="left" w:pos="1100"/>
        </w:tabs>
        <w:jc w:val="left"/>
        <w:rPr>
          <w:rFonts w:asciiTheme="minorHAnsi" w:eastAsiaTheme="minorEastAsia" w:hAnsiTheme="minorHAnsi" w:cstheme="minorBidi"/>
          <w:b w:val="0"/>
          <w:noProof/>
          <w:szCs w:val="22"/>
          <w:lang w:eastAsia="en-GB"/>
        </w:rPr>
      </w:pPr>
      <w:hyperlink w:anchor="_Toc134197970" w:history="1">
        <w:r w:rsidR="008618F2" w:rsidRPr="00DC3933">
          <w:rPr>
            <w:rStyle w:val="Hyperlink"/>
            <w:noProof/>
          </w:rPr>
          <w:t>11.10.7</w:t>
        </w:r>
        <w:r w:rsidR="008618F2">
          <w:rPr>
            <w:rFonts w:asciiTheme="minorHAnsi" w:eastAsiaTheme="minorEastAsia" w:hAnsiTheme="minorHAnsi" w:cstheme="minorBidi"/>
            <w:b w:val="0"/>
            <w:noProof/>
            <w:szCs w:val="22"/>
            <w:lang w:eastAsia="en-GB"/>
          </w:rPr>
          <w:tab/>
        </w:r>
        <w:r w:rsidR="008618F2" w:rsidRPr="00DC3933">
          <w:rPr>
            <w:rStyle w:val="Hyperlink"/>
            <w:noProof/>
          </w:rPr>
          <w:t>Verification of column base joints</w:t>
        </w:r>
        <w:r w:rsidR="008618F2">
          <w:rPr>
            <w:noProof/>
            <w:webHidden/>
          </w:rPr>
          <w:tab/>
        </w:r>
        <w:r w:rsidR="008618F2">
          <w:rPr>
            <w:noProof/>
            <w:webHidden/>
          </w:rPr>
          <w:fldChar w:fldCharType="begin"/>
        </w:r>
        <w:r w:rsidR="008618F2">
          <w:rPr>
            <w:noProof/>
            <w:webHidden/>
          </w:rPr>
          <w:instrText xml:space="preserve"> PAGEREF _Toc134197970 \h </w:instrText>
        </w:r>
        <w:r w:rsidR="008618F2">
          <w:rPr>
            <w:noProof/>
            <w:webHidden/>
          </w:rPr>
        </w:r>
        <w:r w:rsidR="008618F2">
          <w:rPr>
            <w:noProof/>
            <w:webHidden/>
          </w:rPr>
          <w:fldChar w:fldCharType="separate"/>
        </w:r>
        <w:r w:rsidR="000720CB">
          <w:rPr>
            <w:noProof/>
            <w:webHidden/>
          </w:rPr>
          <w:t>164</w:t>
        </w:r>
        <w:r w:rsidR="008618F2">
          <w:rPr>
            <w:noProof/>
            <w:webHidden/>
          </w:rPr>
          <w:fldChar w:fldCharType="end"/>
        </w:r>
      </w:hyperlink>
    </w:p>
    <w:p w14:paraId="14FA7643" w14:textId="69C95397" w:rsidR="008618F2" w:rsidRDefault="009B5CEC" w:rsidP="008618F2">
      <w:pPr>
        <w:pStyle w:val="TOC2"/>
        <w:jc w:val="left"/>
        <w:rPr>
          <w:rFonts w:asciiTheme="minorHAnsi" w:eastAsiaTheme="minorEastAsia" w:hAnsiTheme="minorHAnsi" w:cstheme="minorBidi"/>
          <w:b w:val="0"/>
          <w:noProof/>
          <w:szCs w:val="22"/>
          <w:lang w:eastAsia="en-GB"/>
        </w:rPr>
      </w:pPr>
      <w:hyperlink w:anchor="_Toc134197971" w:history="1">
        <w:r w:rsidR="008618F2" w:rsidRPr="00DC3933">
          <w:rPr>
            <w:rStyle w:val="Hyperlink"/>
            <w:noProof/>
          </w:rPr>
          <w:t>11.11</w:t>
        </w:r>
        <w:r w:rsidR="008618F2">
          <w:rPr>
            <w:rFonts w:asciiTheme="minorHAnsi" w:eastAsiaTheme="minorEastAsia" w:hAnsiTheme="minorHAnsi" w:cstheme="minorBidi"/>
            <w:b w:val="0"/>
            <w:noProof/>
            <w:szCs w:val="22"/>
            <w:lang w:eastAsia="en-GB"/>
          </w:rPr>
          <w:tab/>
        </w:r>
        <w:r w:rsidR="008618F2" w:rsidRPr="00DC3933">
          <w:rPr>
            <w:rStyle w:val="Hyperlink"/>
            <w:noProof/>
          </w:rPr>
          <w:t>Design rules for frames with eccentric bracings</w:t>
        </w:r>
        <w:r w:rsidR="008618F2">
          <w:rPr>
            <w:noProof/>
            <w:webHidden/>
          </w:rPr>
          <w:tab/>
        </w:r>
        <w:r w:rsidR="008618F2">
          <w:rPr>
            <w:noProof/>
            <w:webHidden/>
          </w:rPr>
          <w:fldChar w:fldCharType="begin"/>
        </w:r>
        <w:r w:rsidR="008618F2">
          <w:rPr>
            <w:noProof/>
            <w:webHidden/>
          </w:rPr>
          <w:instrText xml:space="preserve"> PAGEREF _Toc134197971 \h </w:instrText>
        </w:r>
        <w:r w:rsidR="008618F2">
          <w:rPr>
            <w:noProof/>
            <w:webHidden/>
          </w:rPr>
        </w:r>
        <w:r w:rsidR="008618F2">
          <w:rPr>
            <w:noProof/>
            <w:webHidden/>
          </w:rPr>
          <w:fldChar w:fldCharType="separate"/>
        </w:r>
        <w:r w:rsidR="000720CB">
          <w:rPr>
            <w:noProof/>
            <w:webHidden/>
          </w:rPr>
          <w:t>165</w:t>
        </w:r>
        <w:r w:rsidR="008618F2">
          <w:rPr>
            <w:noProof/>
            <w:webHidden/>
          </w:rPr>
          <w:fldChar w:fldCharType="end"/>
        </w:r>
      </w:hyperlink>
    </w:p>
    <w:p w14:paraId="67979632" w14:textId="5B82842F" w:rsidR="008618F2" w:rsidRDefault="009B5CEC" w:rsidP="008618F2">
      <w:pPr>
        <w:pStyle w:val="TOC3"/>
        <w:tabs>
          <w:tab w:val="left" w:pos="1100"/>
        </w:tabs>
        <w:jc w:val="left"/>
        <w:rPr>
          <w:rFonts w:asciiTheme="minorHAnsi" w:eastAsiaTheme="minorEastAsia" w:hAnsiTheme="minorHAnsi" w:cstheme="minorBidi"/>
          <w:b w:val="0"/>
          <w:noProof/>
          <w:szCs w:val="22"/>
          <w:lang w:eastAsia="en-GB"/>
        </w:rPr>
      </w:pPr>
      <w:hyperlink w:anchor="_Toc134197972" w:history="1">
        <w:r w:rsidR="008618F2" w:rsidRPr="00DC3933">
          <w:rPr>
            <w:rStyle w:val="Hyperlink"/>
            <w:noProof/>
          </w:rPr>
          <w:t>11.11.1</w:t>
        </w:r>
        <w:r w:rsidR="008618F2">
          <w:rPr>
            <w:rFonts w:asciiTheme="minorHAnsi" w:eastAsiaTheme="minorEastAsia" w:hAnsiTheme="minorHAnsi" w:cstheme="minorBidi"/>
            <w:b w:val="0"/>
            <w:noProof/>
            <w:szCs w:val="22"/>
            <w:lang w:eastAsia="en-GB"/>
          </w:rPr>
          <w:tab/>
        </w:r>
        <w:r w:rsidR="008618F2" w:rsidRPr="00DC3933">
          <w:rPr>
            <w:rStyle w:val="Hyperlink"/>
            <w:noProof/>
          </w:rPr>
          <w:t>Design criteria</w:t>
        </w:r>
        <w:r w:rsidR="008618F2">
          <w:rPr>
            <w:noProof/>
            <w:webHidden/>
          </w:rPr>
          <w:tab/>
        </w:r>
        <w:r w:rsidR="008618F2">
          <w:rPr>
            <w:noProof/>
            <w:webHidden/>
          </w:rPr>
          <w:fldChar w:fldCharType="begin"/>
        </w:r>
        <w:r w:rsidR="008618F2">
          <w:rPr>
            <w:noProof/>
            <w:webHidden/>
          </w:rPr>
          <w:instrText xml:space="preserve"> PAGEREF _Toc134197972 \h </w:instrText>
        </w:r>
        <w:r w:rsidR="008618F2">
          <w:rPr>
            <w:noProof/>
            <w:webHidden/>
          </w:rPr>
        </w:r>
        <w:r w:rsidR="008618F2">
          <w:rPr>
            <w:noProof/>
            <w:webHidden/>
          </w:rPr>
          <w:fldChar w:fldCharType="separate"/>
        </w:r>
        <w:r w:rsidR="000720CB">
          <w:rPr>
            <w:noProof/>
            <w:webHidden/>
          </w:rPr>
          <w:t>165</w:t>
        </w:r>
        <w:r w:rsidR="008618F2">
          <w:rPr>
            <w:noProof/>
            <w:webHidden/>
          </w:rPr>
          <w:fldChar w:fldCharType="end"/>
        </w:r>
      </w:hyperlink>
    </w:p>
    <w:p w14:paraId="3D69DC4C" w14:textId="1A90683F" w:rsidR="008618F2" w:rsidRDefault="009B5CEC" w:rsidP="008618F2">
      <w:pPr>
        <w:pStyle w:val="TOC3"/>
        <w:tabs>
          <w:tab w:val="left" w:pos="1100"/>
        </w:tabs>
        <w:jc w:val="left"/>
        <w:rPr>
          <w:rFonts w:asciiTheme="minorHAnsi" w:eastAsiaTheme="minorEastAsia" w:hAnsiTheme="minorHAnsi" w:cstheme="minorBidi"/>
          <w:b w:val="0"/>
          <w:noProof/>
          <w:szCs w:val="22"/>
          <w:lang w:eastAsia="en-GB"/>
        </w:rPr>
      </w:pPr>
      <w:hyperlink w:anchor="_Toc134197973" w:history="1">
        <w:r w:rsidR="008618F2" w:rsidRPr="00DC3933">
          <w:rPr>
            <w:rStyle w:val="Hyperlink"/>
            <w:noProof/>
          </w:rPr>
          <w:t>11.11.2</w:t>
        </w:r>
        <w:r w:rsidR="008618F2">
          <w:rPr>
            <w:rFonts w:asciiTheme="minorHAnsi" w:eastAsiaTheme="minorEastAsia" w:hAnsiTheme="minorHAnsi" w:cstheme="minorBidi"/>
            <w:b w:val="0"/>
            <w:noProof/>
            <w:szCs w:val="22"/>
            <w:lang w:eastAsia="en-GB"/>
          </w:rPr>
          <w:tab/>
        </w:r>
        <w:r w:rsidR="008618F2" w:rsidRPr="00DC3933">
          <w:rPr>
            <w:rStyle w:val="Hyperlink"/>
            <w:noProof/>
          </w:rPr>
          <w:t>Verification of seismic links</w:t>
        </w:r>
        <w:r w:rsidR="008618F2">
          <w:rPr>
            <w:noProof/>
            <w:webHidden/>
          </w:rPr>
          <w:tab/>
        </w:r>
        <w:r w:rsidR="008618F2">
          <w:rPr>
            <w:noProof/>
            <w:webHidden/>
          </w:rPr>
          <w:fldChar w:fldCharType="begin"/>
        </w:r>
        <w:r w:rsidR="008618F2">
          <w:rPr>
            <w:noProof/>
            <w:webHidden/>
          </w:rPr>
          <w:instrText xml:space="preserve"> PAGEREF _Toc134197973 \h </w:instrText>
        </w:r>
        <w:r w:rsidR="008618F2">
          <w:rPr>
            <w:noProof/>
            <w:webHidden/>
          </w:rPr>
        </w:r>
        <w:r w:rsidR="008618F2">
          <w:rPr>
            <w:noProof/>
            <w:webHidden/>
          </w:rPr>
          <w:fldChar w:fldCharType="separate"/>
        </w:r>
        <w:r w:rsidR="000720CB">
          <w:rPr>
            <w:noProof/>
            <w:webHidden/>
          </w:rPr>
          <w:t>165</w:t>
        </w:r>
        <w:r w:rsidR="008618F2">
          <w:rPr>
            <w:noProof/>
            <w:webHidden/>
          </w:rPr>
          <w:fldChar w:fldCharType="end"/>
        </w:r>
      </w:hyperlink>
    </w:p>
    <w:p w14:paraId="21352B2D" w14:textId="4C317740" w:rsidR="008618F2" w:rsidRDefault="009B5CEC" w:rsidP="008618F2">
      <w:pPr>
        <w:pStyle w:val="TOC3"/>
        <w:tabs>
          <w:tab w:val="left" w:pos="1100"/>
        </w:tabs>
        <w:jc w:val="left"/>
        <w:rPr>
          <w:rFonts w:asciiTheme="minorHAnsi" w:eastAsiaTheme="minorEastAsia" w:hAnsiTheme="minorHAnsi" w:cstheme="minorBidi"/>
          <w:b w:val="0"/>
          <w:noProof/>
          <w:szCs w:val="22"/>
          <w:lang w:eastAsia="en-GB"/>
        </w:rPr>
      </w:pPr>
      <w:hyperlink w:anchor="_Toc134197974" w:history="1">
        <w:r w:rsidR="008618F2" w:rsidRPr="00DC3933">
          <w:rPr>
            <w:rStyle w:val="Hyperlink"/>
            <w:noProof/>
          </w:rPr>
          <w:t>11.11.3</w:t>
        </w:r>
        <w:r w:rsidR="008618F2">
          <w:rPr>
            <w:rFonts w:asciiTheme="minorHAnsi" w:eastAsiaTheme="minorEastAsia" w:hAnsiTheme="minorHAnsi" w:cstheme="minorBidi"/>
            <w:b w:val="0"/>
            <w:noProof/>
            <w:szCs w:val="22"/>
            <w:lang w:eastAsia="en-GB"/>
          </w:rPr>
          <w:tab/>
        </w:r>
        <w:r w:rsidR="008618F2" w:rsidRPr="00DC3933">
          <w:rPr>
            <w:rStyle w:val="Hyperlink"/>
            <w:noProof/>
          </w:rPr>
          <w:t>Verification of members and connections not containing seismic links</w:t>
        </w:r>
        <w:r w:rsidR="008618F2">
          <w:rPr>
            <w:noProof/>
            <w:webHidden/>
          </w:rPr>
          <w:tab/>
        </w:r>
        <w:r w:rsidR="008618F2">
          <w:rPr>
            <w:noProof/>
            <w:webHidden/>
          </w:rPr>
          <w:fldChar w:fldCharType="begin"/>
        </w:r>
        <w:r w:rsidR="008618F2">
          <w:rPr>
            <w:noProof/>
            <w:webHidden/>
          </w:rPr>
          <w:instrText xml:space="preserve"> PAGEREF _Toc134197974 \h </w:instrText>
        </w:r>
        <w:r w:rsidR="008618F2">
          <w:rPr>
            <w:noProof/>
            <w:webHidden/>
          </w:rPr>
        </w:r>
        <w:r w:rsidR="008618F2">
          <w:rPr>
            <w:noProof/>
            <w:webHidden/>
          </w:rPr>
          <w:fldChar w:fldCharType="separate"/>
        </w:r>
        <w:r w:rsidR="000720CB">
          <w:rPr>
            <w:noProof/>
            <w:webHidden/>
          </w:rPr>
          <w:t>169</w:t>
        </w:r>
        <w:r w:rsidR="008618F2">
          <w:rPr>
            <w:noProof/>
            <w:webHidden/>
          </w:rPr>
          <w:fldChar w:fldCharType="end"/>
        </w:r>
      </w:hyperlink>
    </w:p>
    <w:p w14:paraId="0FC60F7A" w14:textId="66B78B26" w:rsidR="008618F2" w:rsidRDefault="009B5CEC" w:rsidP="008618F2">
      <w:pPr>
        <w:pStyle w:val="TOC3"/>
        <w:tabs>
          <w:tab w:val="left" w:pos="1100"/>
        </w:tabs>
        <w:jc w:val="left"/>
        <w:rPr>
          <w:rFonts w:asciiTheme="minorHAnsi" w:eastAsiaTheme="minorEastAsia" w:hAnsiTheme="minorHAnsi" w:cstheme="minorBidi"/>
          <w:b w:val="0"/>
          <w:noProof/>
          <w:szCs w:val="22"/>
          <w:lang w:eastAsia="en-GB"/>
        </w:rPr>
      </w:pPr>
      <w:hyperlink w:anchor="_Toc134197975" w:history="1">
        <w:r w:rsidR="008618F2" w:rsidRPr="00DC3933">
          <w:rPr>
            <w:rStyle w:val="Hyperlink"/>
            <w:noProof/>
          </w:rPr>
          <w:t>11.11.4</w:t>
        </w:r>
        <w:r w:rsidR="008618F2">
          <w:rPr>
            <w:rFonts w:asciiTheme="minorHAnsi" w:eastAsiaTheme="minorEastAsia" w:hAnsiTheme="minorHAnsi" w:cstheme="minorBidi"/>
            <w:b w:val="0"/>
            <w:noProof/>
            <w:szCs w:val="22"/>
            <w:lang w:eastAsia="en-GB"/>
          </w:rPr>
          <w:tab/>
        </w:r>
        <w:r w:rsidR="008618F2" w:rsidRPr="00DC3933">
          <w:rPr>
            <w:rStyle w:val="Hyperlink"/>
            <w:noProof/>
          </w:rPr>
          <w:t>Verification of connections of the seismic links</w:t>
        </w:r>
        <w:r w:rsidR="008618F2">
          <w:rPr>
            <w:noProof/>
            <w:webHidden/>
          </w:rPr>
          <w:tab/>
        </w:r>
        <w:r w:rsidR="008618F2">
          <w:rPr>
            <w:noProof/>
            <w:webHidden/>
          </w:rPr>
          <w:fldChar w:fldCharType="begin"/>
        </w:r>
        <w:r w:rsidR="008618F2">
          <w:rPr>
            <w:noProof/>
            <w:webHidden/>
          </w:rPr>
          <w:instrText xml:space="preserve"> PAGEREF _Toc134197975 \h </w:instrText>
        </w:r>
        <w:r w:rsidR="008618F2">
          <w:rPr>
            <w:noProof/>
            <w:webHidden/>
          </w:rPr>
        </w:r>
        <w:r w:rsidR="008618F2">
          <w:rPr>
            <w:noProof/>
            <w:webHidden/>
          </w:rPr>
          <w:fldChar w:fldCharType="separate"/>
        </w:r>
        <w:r w:rsidR="000720CB">
          <w:rPr>
            <w:noProof/>
            <w:webHidden/>
          </w:rPr>
          <w:t>170</w:t>
        </w:r>
        <w:r w:rsidR="008618F2">
          <w:rPr>
            <w:noProof/>
            <w:webHidden/>
          </w:rPr>
          <w:fldChar w:fldCharType="end"/>
        </w:r>
      </w:hyperlink>
    </w:p>
    <w:p w14:paraId="3C4C82A7" w14:textId="0F8C9E9D" w:rsidR="008618F2" w:rsidRDefault="009B5CEC" w:rsidP="008618F2">
      <w:pPr>
        <w:pStyle w:val="TOC3"/>
        <w:tabs>
          <w:tab w:val="left" w:pos="1100"/>
        </w:tabs>
        <w:jc w:val="left"/>
        <w:rPr>
          <w:rFonts w:asciiTheme="minorHAnsi" w:eastAsiaTheme="minorEastAsia" w:hAnsiTheme="minorHAnsi" w:cstheme="minorBidi"/>
          <w:b w:val="0"/>
          <w:noProof/>
          <w:szCs w:val="22"/>
          <w:lang w:eastAsia="en-GB"/>
        </w:rPr>
      </w:pPr>
      <w:hyperlink w:anchor="_Toc134197976" w:history="1">
        <w:r w:rsidR="008618F2" w:rsidRPr="00DC3933">
          <w:rPr>
            <w:rStyle w:val="Hyperlink"/>
            <w:noProof/>
          </w:rPr>
          <w:t>11.11.5</w:t>
        </w:r>
        <w:r w:rsidR="008618F2">
          <w:rPr>
            <w:rFonts w:asciiTheme="minorHAnsi" w:eastAsiaTheme="minorEastAsia" w:hAnsiTheme="minorHAnsi" w:cstheme="minorBidi"/>
            <w:b w:val="0"/>
            <w:noProof/>
            <w:szCs w:val="22"/>
            <w:lang w:eastAsia="en-GB"/>
          </w:rPr>
          <w:tab/>
        </w:r>
        <w:r w:rsidR="008618F2" w:rsidRPr="00DC3933">
          <w:rPr>
            <w:rStyle w:val="Hyperlink"/>
            <w:noProof/>
          </w:rPr>
          <w:t>Verification of beam to column connections</w:t>
        </w:r>
        <w:r w:rsidR="008618F2">
          <w:rPr>
            <w:noProof/>
            <w:webHidden/>
          </w:rPr>
          <w:tab/>
        </w:r>
        <w:r w:rsidR="008618F2">
          <w:rPr>
            <w:noProof/>
            <w:webHidden/>
          </w:rPr>
          <w:fldChar w:fldCharType="begin"/>
        </w:r>
        <w:r w:rsidR="008618F2">
          <w:rPr>
            <w:noProof/>
            <w:webHidden/>
          </w:rPr>
          <w:instrText xml:space="preserve"> PAGEREF _Toc134197976 \h </w:instrText>
        </w:r>
        <w:r w:rsidR="008618F2">
          <w:rPr>
            <w:noProof/>
            <w:webHidden/>
          </w:rPr>
        </w:r>
        <w:r w:rsidR="008618F2">
          <w:rPr>
            <w:noProof/>
            <w:webHidden/>
          </w:rPr>
          <w:fldChar w:fldCharType="separate"/>
        </w:r>
        <w:r w:rsidR="000720CB">
          <w:rPr>
            <w:noProof/>
            <w:webHidden/>
          </w:rPr>
          <w:t>170</w:t>
        </w:r>
        <w:r w:rsidR="008618F2">
          <w:rPr>
            <w:noProof/>
            <w:webHidden/>
          </w:rPr>
          <w:fldChar w:fldCharType="end"/>
        </w:r>
      </w:hyperlink>
    </w:p>
    <w:p w14:paraId="5E3D1782" w14:textId="42FBB058" w:rsidR="008618F2" w:rsidRDefault="009B5CEC" w:rsidP="008618F2">
      <w:pPr>
        <w:pStyle w:val="TOC2"/>
        <w:jc w:val="left"/>
        <w:rPr>
          <w:rFonts w:asciiTheme="minorHAnsi" w:eastAsiaTheme="minorEastAsia" w:hAnsiTheme="minorHAnsi" w:cstheme="minorBidi"/>
          <w:b w:val="0"/>
          <w:noProof/>
          <w:szCs w:val="22"/>
          <w:lang w:eastAsia="en-GB"/>
        </w:rPr>
      </w:pPr>
      <w:hyperlink w:anchor="_Toc134197977" w:history="1">
        <w:r w:rsidR="008618F2" w:rsidRPr="00DC3933">
          <w:rPr>
            <w:rStyle w:val="Hyperlink"/>
            <w:noProof/>
          </w:rPr>
          <w:t>11.12</w:t>
        </w:r>
        <w:r w:rsidR="008618F2">
          <w:rPr>
            <w:rFonts w:asciiTheme="minorHAnsi" w:eastAsiaTheme="minorEastAsia" w:hAnsiTheme="minorHAnsi" w:cstheme="minorBidi"/>
            <w:b w:val="0"/>
            <w:noProof/>
            <w:szCs w:val="22"/>
            <w:lang w:eastAsia="en-GB"/>
          </w:rPr>
          <w:tab/>
        </w:r>
        <w:r w:rsidR="008618F2" w:rsidRPr="00DC3933">
          <w:rPr>
            <w:rStyle w:val="Hyperlink"/>
            <w:noProof/>
          </w:rPr>
          <w:t>Design rules for frames with buckling restrained bracings</w:t>
        </w:r>
        <w:r w:rsidR="008618F2">
          <w:rPr>
            <w:noProof/>
            <w:webHidden/>
          </w:rPr>
          <w:tab/>
        </w:r>
        <w:r w:rsidR="008618F2">
          <w:rPr>
            <w:noProof/>
            <w:webHidden/>
          </w:rPr>
          <w:fldChar w:fldCharType="begin"/>
        </w:r>
        <w:r w:rsidR="008618F2">
          <w:rPr>
            <w:noProof/>
            <w:webHidden/>
          </w:rPr>
          <w:instrText xml:space="preserve"> PAGEREF _Toc134197977 \h </w:instrText>
        </w:r>
        <w:r w:rsidR="008618F2">
          <w:rPr>
            <w:noProof/>
            <w:webHidden/>
          </w:rPr>
        </w:r>
        <w:r w:rsidR="008618F2">
          <w:rPr>
            <w:noProof/>
            <w:webHidden/>
          </w:rPr>
          <w:fldChar w:fldCharType="separate"/>
        </w:r>
        <w:r w:rsidR="000720CB">
          <w:rPr>
            <w:noProof/>
            <w:webHidden/>
          </w:rPr>
          <w:t>170</w:t>
        </w:r>
        <w:r w:rsidR="008618F2">
          <w:rPr>
            <w:noProof/>
            <w:webHidden/>
          </w:rPr>
          <w:fldChar w:fldCharType="end"/>
        </w:r>
      </w:hyperlink>
    </w:p>
    <w:p w14:paraId="68BBC412" w14:textId="096D4CE9" w:rsidR="008618F2" w:rsidRDefault="009B5CEC" w:rsidP="008618F2">
      <w:pPr>
        <w:pStyle w:val="TOC3"/>
        <w:tabs>
          <w:tab w:val="left" w:pos="1100"/>
        </w:tabs>
        <w:jc w:val="left"/>
        <w:rPr>
          <w:rFonts w:asciiTheme="minorHAnsi" w:eastAsiaTheme="minorEastAsia" w:hAnsiTheme="minorHAnsi" w:cstheme="minorBidi"/>
          <w:b w:val="0"/>
          <w:noProof/>
          <w:szCs w:val="22"/>
          <w:lang w:eastAsia="en-GB"/>
        </w:rPr>
      </w:pPr>
      <w:hyperlink w:anchor="_Toc134197978" w:history="1">
        <w:r w:rsidR="008618F2" w:rsidRPr="00DC3933">
          <w:rPr>
            <w:rStyle w:val="Hyperlink"/>
            <w:noProof/>
          </w:rPr>
          <w:t>11.12.1</w:t>
        </w:r>
        <w:r w:rsidR="008618F2">
          <w:rPr>
            <w:rFonts w:asciiTheme="minorHAnsi" w:eastAsiaTheme="minorEastAsia" w:hAnsiTheme="minorHAnsi" w:cstheme="minorBidi"/>
            <w:b w:val="0"/>
            <w:noProof/>
            <w:szCs w:val="22"/>
            <w:lang w:eastAsia="en-GB"/>
          </w:rPr>
          <w:tab/>
        </w:r>
        <w:r w:rsidR="008618F2" w:rsidRPr="00DC3933">
          <w:rPr>
            <w:rStyle w:val="Hyperlink"/>
            <w:noProof/>
          </w:rPr>
          <w:t>Design criteria</w:t>
        </w:r>
        <w:r w:rsidR="008618F2">
          <w:rPr>
            <w:noProof/>
            <w:webHidden/>
          </w:rPr>
          <w:tab/>
        </w:r>
        <w:r w:rsidR="008618F2">
          <w:rPr>
            <w:noProof/>
            <w:webHidden/>
          </w:rPr>
          <w:fldChar w:fldCharType="begin"/>
        </w:r>
        <w:r w:rsidR="008618F2">
          <w:rPr>
            <w:noProof/>
            <w:webHidden/>
          </w:rPr>
          <w:instrText xml:space="preserve"> PAGEREF _Toc134197978 \h </w:instrText>
        </w:r>
        <w:r w:rsidR="008618F2">
          <w:rPr>
            <w:noProof/>
            <w:webHidden/>
          </w:rPr>
        </w:r>
        <w:r w:rsidR="008618F2">
          <w:rPr>
            <w:noProof/>
            <w:webHidden/>
          </w:rPr>
          <w:fldChar w:fldCharType="separate"/>
        </w:r>
        <w:r w:rsidR="000720CB">
          <w:rPr>
            <w:noProof/>
            <w:webHidden/>
          </w:rPr>
          <w:t>170</w:t>
        </w:r>
        <w:r w:rsidR="008618F2">
          <w:rPr>
            <w:noProof/>
            <w:webHidden/>
          </w:rPr>
          <w:fldChar w:fldCharType="end"/>
        </w:r>
      </w:hyperlink>
    </w:p>
    <w:p w14:paraId="065DCB52" w14:textId="57DE5305" w:rsidR="008618F2" w:rsidRDefault="009B5CEC" w:rsidP="008618F2">
      <w:pPr>
        <w:pStyle w:val="TOC3"/>
        <w:tabs>
          <w:tab w:val="left" w:pos="1100"/>
        </w:tabs>
        <w:jc w:val="left"/>
        <w:rPr>
          <w:rFonts w:asciiTheme="minorHAnsi" w:eastAsiaTheme="minorEastAsia" w:hAnsiTheme="minorHAnsi" w:cstheme="minorBidi"/>
          <w:b w:val="0"/>
          <w:noProof/>
          <w:szCs w:val="22"/>
          <w:lang w:eastAsia="en-GB"/>
        </w:rPr>
      </w:pPr>
      <w:hyperlink w:anchor="_Toc134197979" w:history="1">
        <w:r w:rsidR="008618F2" w:rsidRPr="00DC3933">
          <w:rPr>
            <w:rStyle w:val="Hyperlink"/>
            <w:noProof/>
          </w:rPr>
          <w:t>11.12.2</w:t>
        </w:r>
        <w:r w:rsidR="008618F2">
          <w:rPr>
            <w:rFonts w:asciiTheme="minorHAnsi" w:eastAsiaTheme="minorEastAsia" w:hAnsiTheme="minorHAnsi" w:cstheme="minorBidi"/>
            <w:b w:val="0"/>
            <w:noProof/>
            <w:szCs w:val="22"/>
            <w:lang w:eastAsia="en-GB"/>
          </w:rPr>
          <w:tab/>
        </w:r>
        <w:r w:rsidR="008618F2" w:rsidRPr="00DC3933">
          <w:rPr>
            <w:rStyle w:val="Hyperlink"/>
            <w:noProof/>
          </w:rPr>
          <w:t>Analysis</w:t>
        </w:r>
        <w:r w:rsidR="008618F2">
          <w:rPr>
            <w:noProof/>
            <w:webHidden/>
          </w:rPr>
          <w:tab/>
        </w:r>
        <w:r w:rsidR="008618F2">
          <w:rPr>
            <w:noProof/>
            <w:webHidden/>
          </w:rPr>
          <w:fldChar w:fldCharType="begin"/>
        </w:r>
        <w:r w:rsidR="008618F2">
          <w:rPr>
            <w:noProof/>
            <w:webHidden/>
          </w:rPr>
          <w:instrText xml:space="preserve"> PAGEREF _Toc134197979 \h </w:instrText>
        </w:r>
        <w:r w:rsidR="008618F2">
          <w:rPr>
            <w:noProof/>
            <w:webHidden/>
          </w:rPr>
        </w:r>
        <w:r w:rsidR="008618F2">
          <w:rPr>
            <w:noProof/>
            <w:webHidden/>
          </w:rPr>
          <w:fldChar w:fldCharType="separate"/>
        </w:r>
        <w:r w:rsidR="000720CB">
          <w:rPr>
            <w:noProof/>
            <w:webHidden/>
          </w:rPr>
          <w:t>171</w:t>
        </w:r>
        <w:r w:rsidR="008618F2">
          <w:rPr>
            <w:noProof/>
            <w:webHidden/>
          </w:rPr>
          <w:fldChar w:fldCharType="end"/>
        </w:r>
      </w:hyperlink>
    </w:p>
    <w:p w14:paraId="574DC807" w14:textId="03BF2665" w:rsidR="008618F2" w:rsidRDefault="009B5CEC" w:rsidP="008618F2">
      <w:pPr>
        <w:pStyle w:val="TOC3"/>
        <w:tabs>
          <w:tab w:val="left" w:pos="1100"/>
        </w:tabs>
        <w:jc w:val="left"/>
        <w:rPr>
          <w:rFonts w:asciiTheme="minorHAnsi" w:eastAsiaTheme="minorEastAsia" w:hAnsiTheme="minorHAnsi" w:cstheme="minorBidi"/>
          <w:b w:val="0"/>
          <w:noProof/>
          <w:szCs w:val="22"/>
          <w:lang w:eastAsia="en-GB"/>
        </w:rPr>
      </w:pPr>
      <w:hyperlink w:anchor="_Toc134197980" w:history="1">
        <w:r w:rsidR="008618F2" w:rsidRPr="00DC3933">
          <w:rPr>
            <w:rStyle w:val="Hyperlink"/>
            <w:noProof/>
          </w:rPr>
          <w:t>11.12.3</w:t>
        </w:r>
        <w:r w:rsidR="008618F2">
          <w:rPr>
            <w:rFonts w:asciiTheme="minorHAnsi" w:eastAsiaTheme="minorEastAsia" w:hAnsiTheme="minorHAnsi" w:cstheme="minorBidi"/>
            <w:b w:val="0"/>
            <w:noProof/>
            <w:szCs w:val="22"/>
            <w:lang w:eastAsia="en-GB"/>
          </w:rPr>
          <w:tab/>
        </w:r>
        <w:r w:rsidR="008618F2" w:rsidRPr="00DC3933">
          <w:rPr>
            <w:rStyle w:val="Hyperlink"/>
            <w:noProof/>
          </w:rPr>
          <w:t>Verification of buckling restrained bracings</w:t>
        </w:r>
        <w:r w:rsidR="008618F2">
          <w:rPr>
            <w:noProof/>
            <w:webHidden/>
          </w:rPr>
          <w:tab/>
        </w:r>
        <w:r w:rsidR="008618F2">
          <w:rPr>
            <w:noProof/>
            <w:webHidden/>
          </w:rPr>
          <w:fldChar w:fldCharType="begin"/>
        </w:r>
        <w:r w:rsidR="008618F2">
          <w:rPr>
            <w:noProof/>
            <w:webHidden/>
          </w:rPr>
          <w:instrText xml:space="preserve"> PAGEREF _Toc134197980 \h </w:instrText>
        </w:r>
        <w:r w:rsidR="008618F2">
          <w:rPr>
            <w:noProof/>
            <w:webHidden/>
          </w:rPr>
        </w:r>
        <w:r w:rsidR="008618F2">
          <w:rPr>
            <w:noProof/>
            <w:webHidden/>
          </w:rPr>
          <w:fldChar w:fldCharType="separate"/>
        </w:r>
        <w:r w:rsidR="000720CB">
          <w:rPr>
            <w:noProof/>
            <w:webHidden/>
          </w:rPr>
          <w:t>172</w:t>
        </w:r>
        <w:r w:rsidR="008618F2">
          <w:rPr>
            <w:noProof/>
            <w:webHidden/>
          </w:rPr>
          <w:fldChar w:fldCharType="end"/>
        </w:r>
      </w:hyperlink>
    </w:p>
    <w:p w14:paraId="5DFF9A12" w14:textId="7EE624FF" w:rsidR="008618F2" w:rsidRDefault="009B5CEC" w:rsidP="008618F2">
      <w:pPr>
        <w:pStyle w:val="TOC3"/>
        <w:tabs>
          <w:tab w:val="left" w:pos="1100"/>
        </w:tabs>
        <w:jc w:val="left"/>
        <w:rPr>
          <w:rFonts w:asciiTheme="minorHAnsi" w:eastAsiaTheme="minorEastAsia" w:hAnsiTheme="minorHAnsi" w:cstheme="minorBidi"/>
          <w:b w:val="0"/>
          <w:noProof/>
          <w:szCs w:val="22"/>
          <w:lang w:eastAsia="en-GB"/>
        </w:rPr>
      </w:pPr>
      <w:hyperlink w:anchor="_Toc134197981" w:history="1">
        <w:r w:rsidR="008618F2" w:rsidRPr="00DC3933">
          <w:rPr>
            <w:rStyle w:val="Hyperlink"/>
            <w:noProof/>
          </w:rPr>
          <w:t>11.12.4</w:t>
        </w:r>
        <w:r w:rsidR="008618F2">
          <w:rPr>
            <w:rFonts w:asciiTheme="minorHAnsi" w:eastAsiaTheme="minorEastAsia" w:hAnsiTheme="minorHAnsi" w:cstheme="minorBidi"/>
            <w:b w:val="0"/>
            <w:noProof/>
            <w:szCs w:val="22"/>
            <w:lang w:eastAsia="en-GB"/>
          </w:rPr>
          <w:tab/>
        </w:r>
        <w:r w:rsidR="008618F2" w:rsidRPr="00DC3933">
          <w:rPr>
            <w:rStyle w:val="Hyperlink"/>
            <w:noProof/>
          </w:rPr>
          <w:t>Conformity criteria</w:t>
        </w:r>
        <w:r w:rsidR="008618F2">
          <w:rPr>
            <w:noProof/>
            <w:webHidden/>
          </w:rPr>
          <w:tab/>
        </w:r>
        <w:r w:rsidR="008618F2">
          <w:rPr>
            <w:noProof/>
            <w:webHidden/>
          </w:rPr>
          <w:fldChar w:fldCharType="begin"/>
        </w:r>
        <w:r w:rsidR="008618F2">
          <w:rPr>
            <w:noProof/>
            <w:webHidden/>
          </w:rPr>
          <w:instrText xml:space="preserve"> PAGEREF _Toc134197981 \h </w:instrText>
        </w:r>
        <w:r w:rsidR="008618F2">
          <w:rPr>
            <w:noProof/>
            <w:webHidden/>
          </w:rPr>
        </w:r>
        <w:r w:rsidR="008618F2">
          <w:rPr>
            <w:noProof/>
            <w:webHidden/>
          </w:rPr>
          <w:fldChar w:fldCharType="separate"/>
        </w:r>
        <w:r w:rsidR="000720CB">
          <w:rPr>
            <w:noProof/>
            <w:webHidden/>
          </w:rPr>
          <w:t>172</w:t>
        </w:r>
        <w:r w:rsidR="008618F2">
          <w:rPr>
            <w:noProof/>
            <w:webHidden/>
          </w:rPr>
          <w:fldChar w:fldCharType="end"/>
        </w:r>
      </w:hyperlink>
    </w:p>
    <w:p w14:paraId="31C6831A" w14:textId="0039D307" w:rsidR="008618F2" w:rsidRDefault="009B5CEC" w:rsidP="008618F2">
      <w:pPr>
        <w:pStyle w:val="TOC3"/>
        <w:tabs>
          <w:tab w:val="left" w:pos="1100"/>
        </w:tabs>
        <w:jc w:val="left"/>
        <w:rPr>
          <w:rFonts w:asciiTheme="minorHAnsi" w:eastAsiaTheme="minorEastAsia" w:hAnsiTheme="minorHAnsi" w:cstheme="minorBidi"/>
          <w:b w:val="0"/>
          <w:noProof/>
          <w:szCs w:val="22"/>
          <w:lang w:eastAsia="en-GB"/>
        </w:rPr>
      </w:pPr>
      <w:hyperlink w:anchor="_Toc134197982" w:history="1">
        <w:r w:rsidR="008618F2" w:rsidRPr="00DC3933">
          <w:rPr>
            <w:rStyle w:val="Hyperlink"/>
            <w:noProof/>
          </w:rPr>
          <w:t>11.12.5</w:t>
        </w:r>
        <w:r w:rsidR="008618F2">
          <w:rPr>
            <w:rFonts w:asciiTheme="minorHAnsi" w:eastAsiaTheme="minorEastAsia" w:hAnsiTheme="minorHAnsi" w:cstheme="minorBidi"/>
            <w:b w:val="0"/>
            <w:noProof/>
            <w:szCs w:val="22"/>
            <w:lang w:eastAsia="en-GB"/>
          </w:rPr>
          <w:tab/>
        </w:r>
        <w:r w:rsidR="008618F2" w:rsidRPr="00DC3933">
          <w:rPr>
            <w:rStyle w:val="Hyperlink"/>
            <w:noProof/>
          </w:rPr>
          <w:t>Verification of beams and columns</w:t>
        </w:r>
        <w:r w:rsidR="008618F2">
          <w:rPr>
            <w:noProof/>
            <w:webHidden/>
          </w:rPr>
          <w:tab/>
        </w:r>
        <w:r w:rsidR="008618F2">
          <w:rPr>
            <w:noProof/>
            <w:webHidden/>
          </w:rPr>
          <w:fldChar w:fldCharType="begin"/>
        </w:r>
        <w:r w:rsidR="008618F2">
          <w:rPr>
            <w:noProof/>
            <w:webHidden/>
          </w:rPr>
          <w:instrText xml:space="preserve"> PAGEREF _Toc134197982 \h </w:instrText>
        </w:r>
        <w:r w:rsidR="008618F2">
          <w:rPr>
            <w:noProof/>
            <w:webHidden/>
          </w:rPr>
        </w:r>
        <w:r w:rsidR="008618F2">
          <w:rPr>
            <w:noProof/>
            <w:webHidden/>
          </w:rPr>
          <w:fldChar w:fldCharType="separate"/>
        </w:r>
        <w:r w:rsidR="000720CB">
          <w:rPr>
            <w:noProof/>
            <w:webHidden/>
          </w:rPr>
          <w:t>173</w:t>
        </w:r>
        <w:r w:rsidR="008618F2">
          <w:rPr>
            <w:noProof/>
            <w:webHidden/>
          </w:rPr>
          <w:fldChar w:fldCharType="end"/>
        </w:r>
      </w:hyperlink>
    </w:p>
    <w:p w14:paraId="27A038C4" w14:textId="421C3A9F" w:rsidR="008618F2" w:rsidRDefault="009B5CEC" w:rsidP="008618F2">
      <w:pPr>
        <w:pStyle w:val="TOC3"/>
        <w:tabs>
          <w:tab w:val="left" w:pos="1100"/>
        </w:tabs>
        <w:jc w:val="left"/>
        <w:rPr>
          <w:rFonts w:asciiTheme="minorHAnsi" w:eastAsiaTheme="minorEastAsia" w:hAnsiTheme="minorHAnsi" w:cstheme="minorBidi"/>
          <w:b w:val="0"/>
          <w:noProof/>
          <w:szCs w:val="22"/>
          <w:lang w:eastAsia="en-GB"/>
        </w:rPr>
      </w:pPr>
      <w:hyperlink w:anchor="_Toc134197983" w:history="1">
        <w:r w:rsidR="008618F2" w:rsidRPr="00DC3933">
          <w:rPr>
            <w:rStyle w:val="Hyperlink"/>
            <w:noProof/>
          </w:rPr>
          <w:t>11.12.6</w:t>
        </w:r>
        <w:r w:rsidR="008618F2">
          <w:rPr>
            <w:rFonts w:asciiTheme="minorHAnsi" w:eastAsiaTheme="minorEastAsia" w:hAnsiTheme="minorHAnsi" w:cstheme="minorBidi"/>
            <w:b w:val="0"/>
            <w:noProof/>
            <w:szCs w:val="22"/>
            <w:lang w:eastAsia="en-GB"/>
          </w:rPr>
          <w:tab/>
        </w:r>
        <w:r w:rsidR="008618F2" w:rsidRPr="00DC3933">
          <w:rPr>
            <w:rStyle w:val="Hyperlink"/>
            <w:noProof/>
          </w:rPr>
          <w:t>Verification of beam to column connections</w:t>
        </w:r>
        <w:r w:rsidR="008618F2">
          <w:rPr>
            <w:noProof/>
            <w:webHidden/>
          </w:rPr>
          <w:tab/>
        </w:r>
        <w:r w:rsidR="008618F2">
          <w:rPr>
            <w:noProof/>
            <w:webHidden/>
          </w:rPr>
          <w:fldChar w:fldCharType="begin"/>
        </w:r>
        <w:r w:rsidR="008618F2">
          <w:rPr>
            <w:noProof/>
            <w:webHidden/>
          </w:rPr>
          <w:instrText xml:space="preserve"> PAGEREF _Toc134197983 \h </w:instrText>
        </w:r>
        <w:r w:rsidR="008618F2">
          <w:rPr>
            <w:noProof/>
            <w:webHidden/>
          </w:rPr>
        </w:r>
        <w:r w:rsidR="008618F2">
          <w:rPr>
            <w:noProof/>
            <w:webHidden/>
          </w:rPr>
          <w:fldChar w:fldCharType="separate"/>
        </w:r>
        <w:r w:rsidR="000720CB">
          <w:rPr>
            <w:noProof/>
            <w:webHidden/>
          </w:rPr>
          <w:t>173</w:t>
        </w:r>
        <w:r w:rsidR="008618F2">
          <w:rPr>
            <w:noProof/>
            <w:webHidden/>
          </w:rPr>
          <w:fldChar w:fldCharType="end"/>
        </w:r>
      </w:hyperlink>
    </w:p>
    <w:p w14:paraId="48AE7325" w14:textId="70620E9F" w:rsidR="008618F2" w:rsidRDefault="009B5CEC" w:rsidP="008618F2">
      <w:pPr>
        <w:pStyle w:val="TOC3"/>
        <w:tabs>
          <w:tab w:val="left" w:pos="1100"/>
        </w:tabs>
        <w:jc w:val="left"/>
        <w:rPr>
          <w:rFonts w:asciiTheme="minorHAnsi" w:eastAsiaTheme="minorEastAsia" w:hAnsiTheme="minorHAnsi" w:cstheme="minorBidi"/>
          <w:b w:val="0"/>
          <w:noProof/>
          <w:szCs w:val="22"/>
          <w:lang w:eastAsia="en-GB"/>
        </w:rPr>
      </w:pPr>
      <w:hyperlink w:anchor="_Toc134197984" w:history="1">
        <w:r w:rsidR="008618F2" w:rsidRPr="00DC3933">
          <w:rPr>
            <w:rStyle w:val="Hyperlink"/>
            <w:noProof/>
          </w:rPr>
          <w:t>11.12.7</w:t>
        </w:r>
        <w:r w:rsidR="008618F2">
          <w:rPr>
            <w:rFonts w:asciiTheme="minorHAnsi" w:eastAsiaTheme="minorEastAsia" w:hAnsiTheme="minorHAnsi" w:cstheme="minorBidi"/>
            <w:b w:val="0"/>
            <w:noProof/>
            <w:szCs w:val="22"/>
            <w:lang w:eastAsia="en-GB"/>
          </w:rPr>
          <w:tab/>
        </w:r>
        <w:r w:rsidR="008618F2" w:rsidRPr="00DC3933">
          <w:rPr>
            <w:rStyle w:val="Hyperlink"/>
            <w:noProof/>
          </w:rPr>
          <w:t>Verification of brace connections</w:t>
        </w:r>
        <w:r w:rsidR="008618F2">
          <w:rPr>
            <w:noProof/>
            <w:webHidden/>
          </w:rPr>
          <w:tab/>
        </w:r>
        <w:r w:rsidR="008618F2">
          <w:rPr>
            <w:noProof/>
            <w:webHidden/>
          </w:rPr>
          <w:fldChar w:fldCharType="begin"/>
        </w:r>
        <w:r w:rsidR="008618F2">
          <w:rPr>
            <w:noProof/>
            <w:webHidden/>
          </w:rPr>
          <w:instrText xml:space="preserve"> PAGEREF _Toc134197984 \h </w:instrText>
        </w:r>
        <w:r w:rsidR="008618F2">
          <w:rPr>
            <w:noProof/>
            <w:webHidden/>
          </w:rPr>
        </w:r>
        <w:r w:rsidR="008618F2">
          <w:rPr>
            <w:noProof/>
            <w:webHidden/>
          </w:rPr>
          <w:fldChar w:fldCharType="separate"/>
        </w:r>
        <w:r w:rsidR="000720CB">
          <w:rPr>
            <w:noProof/>
            <w:webHidden/>
          </w:rPr>
          <w:t>173</w:t>
        </w:r>
        <w:r w:rsidR="008618F2">
          <w:rPr>
            <w:noProof/>
            <w:webHidden/>
          </w:rPr>
          <w:fldChar w:fldCharType="end"/>
        </w:r>
      </w:hyperlink>
    </w:p>
    <w:p w14:paraId="67843844" w14:textId="7EBF4283" w:rsidR="008618F2" w:rsidRDefault="009B5CEC" w:rsidP="008618F2">
      <w:pPr>
        <w:pStyle w:val="TOC3"/>
        <w:tabs>
          <w:tab w:val="left" w:pos="1100"/>
        </w:tabs>
        <w:jc w:val="left"/>
        <w:rPr>
          <w:rFonts w:asciiTheme="minorHAnsi" w:eastAsiaTheme="minorEastAsia" w:hAnsiTheme="minorHAnsi" w:cstheme="minorBidi"/>
          <w:b w:val="0"/>
          <w:noProof/>
          <w:szCs w:val="22"/>
          <w:lang w:eastAsia="en-GB"/>
        </w:rPr>
      </w:pPr>
      <w:hyperlink w:anchor="_Toc134197985" w:history="1">
        <w:r w:rsidR="008618F2" w:rsidRPr="00DC3933">
          <w:rPr>
            <w:rStyle w:val="Hyperlink"/>
            <w:noProof/>
          </w:rPr>
          <w:t>11.12.8</w:t>
        </w:r>
        <w:r w:rsidR="008618F2">
          <w:rPr>
            <w:rFonts w:asciiTheme="minorHAnsi" w:eastAsiaTheme="minorEastAsia" w:hAnsiTheme="minorHAnsi" w:cstheme="minorBidi"/>
            <w:b w:val="0"/>
            <w:noProof/>
            <w:szCs w:val="22"/>
            <w:lang w:eastAsia="en-GB"/>
          </w:rPr>
          <w:tab/>
        </w:r>
        <w:r w:rsidR="008618F2" w:rsidRPr="00DC3933">
          <w:rPr>
            <w:rStyle w:val="Hyperlink"/>
            <w:noProof/>
          </w:rPr>
          <w:t>Verification of column base joints</w:t>
        </w:r>
        <w:r w:rsidR="008618F2">
          <w:rPr>
            <w:noProof/>
            <w:webHidden/>
          </w:rPr>
          <w:tab/>
        </w:r>
        <w:r w:rsidR="008618F2">
          <w:rPr>
            <w:noProof/>
            <w:webHidden/>
          </w:rPr>
          <w:fldChar w:fldCharType="begin"/>
        </w:r>
        <w:r w:rsidR="008618F2">
          <w:rPr>
            <w:noProof/>
            <w:webHidden/>
          </w:rPr>
          <w:instrText xml:space="preserve"> PAGEREF _Toc134197985 \h </w:instrText>
        </w:r>
        <w:r w:rsidR="008618F2">
          <w:rPr>
            <w:noProof/>
            <w:webHidden/>
          </w:rPr>
        </w:r>
        <w:r w:rsidR="008618F2">
          <w:rPr>
            <w:noProof/>
            <w:webHidden/>
          </w:rPr>
          <w:fldChar w:fldCharType="separate"/>
        </w:r>
        <w:r w:rsidR="000720CB">
          <w:rPr>
            <w:noProof/>
            <w:webHidden/>
          </w:rPr>
          <w:t>174</w:t>
        </w:r>
        <w:r w:rsidR="008618F2">
          <w:rPr>
            <w:noProof/>
            <w:webHidden/>
          </w:rPr>
          <w:fldChar w:fldCharType="end"/>
        </w:r>
      </w:hyperlink>
    </w:p>
    <w:p w14:paraId="566F8323" w14:textId="4135AA7F" w:rsidR="008618F2" w:rsidRDefault="009B5CEC" w:rsidP="008618F2">
      <w:pPr>
        <w:pStyle w:val="TOC2"/>
        <w:jc w:val="left"/>
        <w:rPr>
          <w:rFonts w:asciiTheme="minorHAnsi" w:eastAsiaTheme="minorEastAsia" w:hAnsiTheme="minorHAnsi" w:cstheme="minorBidi"/>
          <w:b w:val="0"/>
          <w:noProof/>
          <w:szCs w:val="22"/>
          <w:lang w:eastAsia="en-GB"/>
        </w:rPr>
      </w:pPr>
      <w:hyperlink w:anchor="_Toc134197986" w:history="1">
        <w:r w:rsidR="008618F2" w:rsidRPr="00DC3933">
          <w:rPr>
            <w:rStyle w:val="Hyperlink"/>
            <w:noProof/>
          </w:rPr>
          <w:t>11.13</w:t>
        </w:r>
        <w:r w:rsidR="008618F2">
          <w:rPr>
            <w:rFonts w:asciiTheme="minorHAnsi" w:eastAsiaTheme="minorEastAsia" w:hAnsiTheme="minorHAnsi" w:cstheme="minorBidi"/>
            <w:b w:val="0"/>
            <w:noProof/>
            <w:szCs w:val="22"/>
            <w:lang w:eastAsia="en-GB"/>
          </w:rPr>
          <w:tab/>
        </w:r>
        <w:r w:rsidR="008618F2" w:rsidRPr="00DC3933">
          <w:rPr>
            <w:rStyle w:val="Hyperlink"/>
            <w:noProof/>
          </w:rPr>
          <w:t>Design rules for dual frames - moment resisting frames combined with either concentric, eccentric or buckling restrained bracings</w:t>
        </w:r>
        <w:r w:rsidR="008618F2">
          <w:rPr>
            <w:noProof/>
            <w:webHidden/>
          </w:rPr>
          <w:tab/>
        </w:r>
        <w:r w:rsidR="008618F2">
          <w:rPr>
            <w:noProof/>
            <w:webHidden/>
          </w:rPr>
          <w:fldChar w:fldCharType="begin"/>
        </w:r>
        <w:r w:rsidR="008618F2">
          <w:rPr>
            <w:noProof/>
            <w:webHidden/>
          </w:rPr>
          <w:instrText xml:space="preserve"> PAGEREF _Toc134197986 \h </w:instrText>
        </w:r>
        <w:r w:rsidR="008618F2">
          <w:rPr>
            <w:noProof/>
            <w:webHidden/>
          </w:rPr>
        </w:r>
        <w:r w:rsidR="008618F2">
          <w:rPr>
            <w:noProof/>
            <w:webHidden/>
          </w:rPr>
          <w:fldChar w:fldCharType="separate"/>
        </w:r>
        <w:r w:rsidR="000720CB">
          <w:rPr>
            <w:noProof/>
            <w:webHidden/>
          </w:rPr>
          <w:t>175</w:t>
        </w:r>
        <w:r w:rsidR="008618F2">
          <w:rPr>
            <w:noProof/>
            <w:webHidden/>
          </w:rPr>
          <w:fldChar w:fldCharType="end"/>
        </w:r>
      </w:hyperlink>
    </w:p>
    <w:p w14:paraId="0F06A7EA" w14:textId="5958996A" w:rsidR="008618F2" w:rsidRDefault="009B5CEC" w:rsidP="008618F2">
      <w:pPr>
        <w:pStyle w:val="TOC2"/>
        <w:jc w:val="left"/>
        <w:rPr>
          <w:rFonts w:asciiTheme="minorHAnsi" w:eastAsiaTheme="minorEastAsia" w:hAnsiTheme="minorHAnsi" w:cstheme="minorBidi"/>
          <w:b w:val="0"/>
          <w:noProof/>
          <w:szCs w:val="22"/>
          <w:lang w:eastAsia="en-GB"/>
        </w:rPr>
      </w:pPr>
      <w:hyperlink w:anchor="_Toc134197987" w:history="1">
        <w:r w:rsidR="008618F2" w:rsidRPr="00DC3933">
          <w:rPr>
            <w:rStyle w:val="Hyperlink"/>
            <w:noProof/>
          </w:rPr>
          <w:t>11.14</w:t>
        </w:r>
        <w:r w:rsidR="008618F2">
          <w:rPr>
            <w:rFonts w:asciiTheme="minorHAnsi" w:eastAsiaTheme="minorEastAsia" w:hAnsiTheme="minorHAnsi" w:cstheme="minorBidi"/>
            <w:b w:val="0"/>
            <w:noProof/>
            <w:szCs w:val="22"/>
            <w:lang w:eastAsia="en-GB"/>
          </w:rPr>
          <w:tab/>
        </w:r>
        <w:r w:rsidR="008618F2" w:rsidRPr="00DC3933">
          <w:rPr>
            <w:rStyle w:val="Hyperlink"/>
            <w:noProof/>
          </w:rPr>
          <w:t>Design rules for lightweight steel systems</w:t>
        </w:r>
        <w:r w:rsidR="008618F2">
          <w:rPr>
            <w:noProof/>
            <w:webHidden/>
          </w:rPr>
          <w:tab/>
        </w:r>
        <w:r w:rsidR="008618F2">
          <w:rPr>
            <w:noProof/>
            <w:webHidden/>
          </w:rPr>
          <w:fldChar w:fldCharType="begin"/>
        </w:r>
        <w:r w:rsidR="008618F2">
          <w:rPr>
            <w:noProof/>
            <w:webHidden/>
          </w:rPr>
          <w:instrText xml:space="preserve"> PAGEREF _Toc134197987 \h </w:instrText>
        </w:r>
        <w:r w:rsidR="008618F2">
          <w:rPr>
            <w:noProof/>
            <w:webHidden/>
          </w:rPr>
        </w:r>
        <w:r w:rsidR="008618F2">
          <w:rPr>
            <w:noProof/>
            <w:webHidden/>
          </w:rPr>
          <w:fldChar w:fldCharType="separate"/>
        </w:r>
        <w:r w:rsidR="000720CB">
          <w:rPr>
            <w:noProof/>
            <w:webHidden/>
          </w:rPr>
          <w:t>175</w:t>
        </w:r>
        <w:r w:rsidR="008618F2">
          <w:rPr>
            <w:noProof/>
            <w:webHidden/>
          </w:rPr>
          <w:fldChar w:fldCharType="end"/>
        </w:r>
      </w:hyperlink>
    </w:p>
    <w:p w14:paraId="0D647974" w14:textId="6E9E7903" w:rsidR="008618F2" w:rsidRDefault="009B5CEC" w:rsidP="008618F2">
      <w:pPr>
        <w:pStyle w:val="TOC3"/>
        <w:tabs>
          <w:tab w:val="left" w:pos="1100"/>
        </w:tabs>
        <w:jc w:val="left"/>
        <w:rPr>
          <w:rFonts w:asciiTheme="minorHAnsi" w:eastAsiaTheme="minorEastAsia" w:hAnsiTheme="minorHAnsi" w:cstheme="minorBidi"/>
          <w:b w:val="0"/>
          <w:noProof/>
          <w:szCs w:val="22"/>
          <w:lang w:eastAsia="en-GB"/>
        </w:rPr>
      </w:pPr>
      <w:hyperlink w:anchor="_Toc134197988" w:history="1">
        <w:r w:rsidR="008618F2" w:rsidRPr="00DC3933">
          <w:rPr>
            <w:rStyle w:val="Hyperlink"/>
            <w:noProof/>
          </w:rPr>
          <w:t>11.14.1</w:t>
        </w:r>
        <w:r w:rsidR="008618F2">
          <w:rPr>
            <w:rFonts w:asciiTheme="minorHAnsi" w:eastAsiaTheme="minorEastAsia" w:hAnsiTheme="minorHAnsi" w:cstheme="minorBidi"/>
            <w:b w:val="0"/>
            <w:noProof/>
            <w:szCs w:val="22"/>
            <w:lang w:eastAsia="en-GB"/>
          </w:rPr>
          <w:tab/>
        </w:r>
        <w:r w:rsidR="008618F2" w:rsidRPr="00DC3933">
          <w:rPr>
            <w:rStyle w:val="Hyperlink"/>
            <w:noProof/>
          </w:rPr>
          <w:t>General</w:t>
        </w:r>
        <w:r w:rsidR="008618F2">
          <w:rPr>
            <w:noProof/>
            <w:webHidden/>
          </w:rPr>
          <w:tab/>
        </w:r>
        <w:r w:rsidR="008618F2">
          <w:rPr>
            <w:noProof/>
            <w:webHidden/>
          </w:rPr>
          <w:fldChar w:fldCharType="begin"/>
        </w:r>
        <w:r w:rsidR="008618F2">
          <w:rPr>
            <w:noProof/>
            <w:webHidden/>
          </w:rPr>
          <w:instrText xml:space="preserve"> PAGEREF _Toc134197988 \h </w:instrText>
        </w:r>
        <w:r w:rsidR="008618F2">
          <w:rPr>
            <w:noProof/>
            <w:webHidden/>
          </w:rPr>
        </w:r>
        <w:r w:rsidR="008618F2">
          <w:rPr>
            <w:noProof/>
            <w:webHidden/>
          </w:rPr>
          <w:fldChar w:fldCharType="separate"/>
        </w:r>
        <w:r w:rsidR="000720CB">
          <w:rPr>
            <w:noProof/>
            <w:webHidden/>
          </w:rPr>
          <w:t>175</w:t>
        </w:r>
        <w:r w:rsidR="008618F2">
          <w:rPr>
            <w:noProof/>
            <w:webHidden/>
          </w:rPr>
          <w:fldChar w:fldCharType="end"/>
        </w:r>
      </w:hyperlink>
    </w:p>
    <w:p w14:paraId="62940884" w14:textId="0AE3A435" w:rsidR="008618F2" w:rsidRDefault="009B5CEC" w:rsidP="008618F2">
      <w:pPr>
        <w:pStyle w:val="TOC3"/>
        <w:tabs>
          <w:tab w:val="left" w:pos="1100"/>
        </w:tabs>
        <w:jc w:val="left"/>
        <w:rPr>
          <w:rFonts w:asciiTheme="minorHAnsi" w:eastAsiaTheme="minorEastAsia" w:hAnsiTheme="minorHAnsi" w:cstheme="minorBidi"/>
          <w:b w:val="0"/>
          <w:noProof/>
          <w:szCs w:val="22"/>
          <w:lang w:eastAsia="en-GB"/>
        </w:rPr>
      </w:pPr>
      <w:hyperlink w:anchor="_Toc134197989" w:history="1">
        <w:r w:rsidR="008618F2" w:rsidRPr="00DC3933">
          <w:rPr>
            <w:rStyle w:val="Hyperlink"/>
            <w:noProof/>
          </w:rPr>
          <w:t>11.14.2</w:t>
        </w:r>
        <w:r w:rsidR="008618F2">
          <w:rPr>
            <w:rFonts w:asciiTheme="minorHAnsi" w:eastAsiaTheme="minorEastAsia" w:hAnsiTheme="minorHAnsi" w:cstheme="minorBidi"/>
            <w:b w:val="0"/>
            <w:noProof/>
            <w:szCs w:val="22"/>
            <w:lang w:eastAsia="en-GB"/>
          </w:rPr>
          <w:tab/>
        </w:r>
        <w:r w:rsidR="008618F2" w:rsidRPr="00DC3933">
          <w:rPr>
            <w:rStyle w:val="Hyperlink"/>
            <w:noProof/>
          </w:rPr>
          <w:t>General verification rules for low-dissipative (DC1) and dissipative (DC2 and DC3) structural behaviour common to all lightweight steel systems</w:t>
        </w:r>
        <w:r w:rsidR="008618F2">
          <w:rPr>
            <w:noProof/>
            <w:webHidden/>
          </w:rPr>
          <w:tab/>
        </w:r>
        <w:r w:rsidR="008618F2">
          <w:rPr>
            <w:noProof/>
            <w:webHidden/>
          </w:rPr>
          <w:fldChar w:fldCharType="begin"/>
        </w:r>
        <w:r w:rsidR="008618F2">
          <w:rPr>
            <w:noProof/>
            <w:webHidden/>
          </w:rPr>
          <w:instrText xml:space="preserve"> PAGEREF _Toc134197989 \h </w:instrText>
        </w:r>
        <w:r w:rsidR="008618F2">
          <w:rPr>
            <w:noProof/>
            <w:webHidden/>
          </w:rPr>
        </w:r>
        <w:r w:rsidR="008618F2">
          <w:rPr>
            <w:noProof/>
            <w:webHidden/>
          </w:rPr>
          <w:fldChar w:fldCharType="separate"/>
        </w:r>
        <w:r w:rsidR="000720CB">
          <w:rPr>
            <w:noProof/>
            <w:webHidden/>
          </w:rPr>
          <w:t>175</w:t>
        </w:r>
        <w:r w:rsidR="008618F2">
          <w:rPr>
            <w:noProof/>
            <w:webHidden/>
          </w:rPr>
          <w:fldChar w:fldCharType="end"/>
        </w:r>
      </w:hyperlink>
    </w:p>
    <w:p w14:paraId="6417A4B1" w14:textId="79E75A14" w:rsidR="008618F2" w:rsidRDefault="009B5CEC" w:rsidP="008618F2">
      <w:pPr>
        <w:pStyle w:val="TOC3"/>
        <w:tabs>
          <w:tab w:val="left" w:pos="1100"/>
        </w:tabs>
        <w:jc w:val="left"/>
        <w:rPr>
          <w:rFonts w:asciiTheme="minorHAnsi" w:eastAsiaTheme="minorEastAsia" w:hAnsiTheme="minorHAnsi" w:cstheme="minorBidi"/>
          <w:b w:val="0"/>
          <w:noProof/>
          <w:szCs w:val="22"/>
          <w:lang w:eastAsia="en-GB"/>
        </w:rPr>
      </w:pPr>
      <w:hyperlink w:anchor="_Toc134197990" w:history="1">
        <w:r w:rsidR="008618F2" w:rsidRPr="00DC3933">
          <w:rPr>
            <w:rStyle w:val="Hyperlink"/>
            <w:noProof/>
          </w:rPr>
          <w:t>11.14.3</w:t>
        </w:r>
        <w:r w:rsidR="008618F2">
          <w:rPr>
            <w:rFonts w:asciiTheme="minorHAnsi" w:eastAsiaTheme="minorEastAsia" w:hAnsiTheme="minorHAnsi" w:cstheme="minorBidi"/>
            <w:b w:val="0"/>
            <w:noProof/>
            <w:szCs w:val="22"/>
            <w:lang w:eastAsia="en-GB"/>
          </w:rPr>
          <w:tab/>
        </w:r>
        <w:r w:rsidR="008618F2" w:rsidRPr="00DC3933">
          <w:rPr>
            <w:rStyle w:val="Hyperlink"/>
            <w:noProof/>
          </w:rPr>
          <w:t>Additional verification rules for dissipative (DC2 and DC3) structural behaviour common to all lightweight steel systems.</w:t>
        </w:r>
        <w:r w:rsidR="008618F2">
          <w:rPr>
            <w:noProof/>
            <w:webHidden/>
          </w:rPr>
          <w:tab/>
        </w:r>
        <w:r w:rsidR="008618F2">
          <w:rPr>
            <w:noProof/>
            <w:webHidden/>
          </w:rPr>
          <w:fldChar w:fldCharType="begin"/>
        </w:r>
        <w:r w:rsidR="008618F2">
          <w:rPr>
            <w:noProof/>
            <w:webHidden/>
          </w:rPr>
          <w:instrText xml:space="preserve"> PAGEREF _Toc134197990 \h </w:instrText>
        </w:r>
        <w:r w:rsidR="008618F2">
          <w:rPr>
            <w:noProof/>
            <w:webHidden/>
          </w:rPr>
        </w:r>
        <w:r w:rsidR="008618F2">
          <w:rPr>
            <w:noProof/>
            <w:webHidden/>
          </w:rPr>
          <w:fldChar w:fldCharType="separate"/>
        </w:r>
        <w:r w:rsidR="000720CB">
          <w:rPr>
            <w:noProof/>
            <w:webHidden/>
          </w:rPr>
          <w:t>176</w:t>
        </w:r>
        <w:r w:rsidR="008618F2">
          <w:rPr>
            <w:noProof/>
            <w:webHidden/>
          </w:rPr>
          <w:fldChar w:fldCharType="end"/>
        </w:r>
      </w:hyperlink>
    </w:p>
    <w:p w14:paraId="7A15F3FD" w14:textId="78170ED3" w:rsidR="008618F2" w:rsidRDefault="009B5CEC" w:rsidP="008618F2">
      <w:pPr>
        <w:pStyle w:val="TOC3"/>
        <w:tabs>
          <w:tab w:val="left" w:pos="1100"/>
        </w:tabs>
        <w:jc w:val="left"/>
        <w:rPr>
          <w:rFonts w:asciiTheme="minorHAnsi" w:eastAsiaTheme="minorEastAsia" w:hAnsiTheme="minorHAnsi" w:cstheme="minorBidi"/>
          <w:b w:val="0"/>
          <w:noProof/>
          <w:szCs w:val="22"/>
          <w:lang w:eastAsia="en-GB"/>
        </w:rPr>
      </w:pPr>
      <w:hyperlink w:anchor="_Toc134197991" w:history="1">
        <w:r w:rsidR="008618F2" w:rsidRPr="00DC3933">
          <w:rPr>
            <w:rStyle w:val="Hyperlink"/>
            <w:noProof/>
          </w:rPr>
          <w:t>11.14.4</w:t>
        </w:r>
        <w:r w:rsidR="008618F2">
          <w:rPr>
            <w:rFonts w:asciiTheme="minorHAnsi" w:eastAsiaTheme="minorEastAsia" w:hAnsiTheme="minorHAnsi" w:cstheme="minorBidi"/>
            <w:b w:val="0"/>
            <w:noProof/>
            <w:szCs w:val="22"/>
            <w:lang w:eastAsia="en-GB"/>
          </w:rPr>
          <w:tab/>
        </w:r>
        <w:r w:rsidR="008618F2" w:rsidRPr="00DC3933">
          <w:rPr>
            <w:rStyle w:val="Hyperlink"/>
            <w:noProof/>
          </w:rPr>
          <w:t>Specific verification for dissipative (DC2 and DC3) strap braced walls</w:t>
        </w:r>
        <w:r w:rsidR="008618F2">
          <w:rPr>
            <w:noProof/>
            <w:webHidden/>
          </w:rPr>
          <w:tab/>
        </w:r>
        <w:r w:rsidR="008618F2">
          <w:rPr>
            <w:noProof/>
            <w:webHidden/>
          </w:rPr>
          <w:fldChar w:fldCharType="begin"/>
        </w:r>
        <w:r w:rsidR="008618F2">
          <w:rPr>
            <w:noProof/>
            <w:webHidden/>
          </w:rPr>
          <w:instrText xml:space="preserve"> PAGEREF _Toc134197991 \h </w:instrText>
        </w:r>
        <w:r w:rsidR="008618F2">
          <w:rPr>
            <w:noProof/>
            <w:webHidden/>
          </w:rPr>
        </w:r>
        <w:r w:rsidR="008618F2">
          <w:rPr>
            <w:noProof/>
            <w:webHidden/>
          </w:rPr>
          <w:fldChar w:fldCharType="separate"/>
        </w:r>
        <w:r w:rsidR="000720CB">
          <w:rPr>
            <w:noProof/>
            <w:webHidden/>
          </w:rPr>
          <w:t>177</w:t>
        </w:r>
        <w:r w:rsidR="008618F2">
          <w:rPr>
            <w:noProof/>
            <w:webHidden/>
          </w:rPr>
          <w:fldChar w:fldCharType="end"/>
        </w:r>
      </w:hyperlink>
    </w:p>
    <w:p w14:paraId="373E1B02" w14:textId="5BABA2DA" w:rsidR="008618F2" w:rsidRDefault="009B5CEC" w:rsidP="008618F2">
      <w:pPr>
        <w:pStyle w:val="TOC3"/>
        <w:tabs>
          <w:tab w:val="left" w:pos="1100"/>
        </w:tabs>
        <w:jc w:val="left"/>
        <w:rPr>
          <w:rFonts w:asciiTheme="minorHAnsi" w:eastAsiaTheme="minorEastAsia" w:hAnsiTheme="minorHAnsi" w:cstheme="minorBidi"/>
          <w:b w:val="0"/>
          <w:noProof/>
          <w:szCs w:val="22"/>
          <w:lang w:eastAsia="en-GB"/>
        </w:rPr>
      </w:pPr>
      <w:hyperlink w:anchor="_Toc134197992" w:history="1">
        <w:r w:rsidR="008618F2" w:rsidRPr="00DC3933">
          <w:rPr>
            <w:rStyle w:val="Hyperlink"/>
            <w:noProof/>
          </w:rPr>
          <w:t>11.14.5</w:t>
        </w:r>
        <w:r w:rsidR="008618F2">
          <w:rPr>
            <w:rFonts w:asciiTheme="minorHAnsi" w:eastAsiaTheme="minorEastAsia" w:hAnsiTheme="minorHAnsi" w:cstheme="minorBidi"/>
            <w:b w:val="0"/>
            <w:noProof/>
            <w:szCs w:val="22"/>
            <w:lang w:eastAsia="en-GB"/>
          </w:rPr>
          <w:tab/>
        </w:r>
        <w:r w:rsidR="008618F2" w:rsidRPr="00DC3933">
          <w:rPr>
            <w:rStyle w:val="Hyperlink"/>
            <w:noProof/>
          </w:rPr>
          <w:t>Specific verification for dissipative (DC2 and DC3) shear walls with steel sheet sheathing</w:t>
        </w:r>
        <w:r w:rsidR="008618F2">
          <w:rPr>
            <w:noProof/>
            <w:webHidden/>
          </w:rPr>
          <w:tab/>
        </w:r>
        <w:r w:rsidR="008618F2">
          <w:rPr>
            <w:noProof/>
            <w:webHidden/>
          </w:rPr>
          <w:fldChar w:fldCharType="begin"/>
        </w:r>
        <w:r w:rsidR="008618F2">
          <w:rPr>
            <w:noProof/>
            <w:webHidden/>
          </w:rPr>
          <w:instrText xml:space="preserve"> PAGEREF _Toc134197992 \h </w:instrText>
        </w:r>
        <w:r w:rsidR="008618F2">
          <w:rPr>
            <w:noProof/>
            <w:webHidden/>
          </w:rPr>
        </w:r>
        <w:r w:rsidR="008618F2">
          <w:rPr>
            <w:noProof/>
            <w:webHidden/>
          </w:rPr>
          <w:fldChar w:fldCharType="separate"/>
        </w:r>
        <w:r w:rsidR="000720CB">
          <w:rPr>
            <w:noProof/>
            <w:webHidden/>
          </w:rPr>
          <w:t>177</w:t>
        </w:r>
        <w:r w:rsidR="008618F2">
          <w:rPr>
            <w:noProof/>
            <w:webHidden/>
          </w:rPr>
          <w:fldChar w:fldCharType="end"/>
        </w:r>
      </w:hyperlink>
    </w:p>
    <w:p w14:paraId="649EFD5B" w14:textId="4E18A6C1" w:rsidR="008618F2" w:rsidRDefault="009B5CEC" w:rsidP="008618F2">
      <w:pPr>
        <w:pStyle w:val="TOC3"/>
        <w:tabs>
          <w:tab w:val="left" w:pos="1100"/>
        </w:tabs>
        <w:jc w:val="left"/>
        <w:rPr>
          <w:rFonts w:asciiTheme="minorHAnsi" w:eastAsiaTheme="minorEastAsia" w:hAnsiTheme="minorHAnsi" w:cstheme="minorBidi"/>
          <w:b w:val="0"/>
          <w:noProof/>
          <w:szCs w:val="22"/>
          <w:lang w:eastAsia="en-GB"/>
        </w:rPr>
      </w:pPr>
      <w:hyperlink w:anchor="_Toc134197993" w:history="1">
        <w:r w:rsidR="008618F2" w:rsidRPr="00DC3933">
          <w:rPr>
            <w:rStyle w:val="Hyperlink"/>
            <w:noProof/>
          </w:rPr>
          <w:t>11.14.6</w:t>
        </w:r>
        <w:r w:rsidR="008618F2">
          <w:rPr>
            <w:rFonts w:asciiTheme="minorHAnsi" w:eastAsiaTheme="minorEastAsia" w:hAnsiTheme="minorHAnsi" w:cstheme="minorBidi"/>
            <w:b w:val="0"/>
            <w:noProof/>
            <w:szCs w:val="22"/>
            <w:lang w:eastAsia="en-GB"/>
          </w:rPr>
          <w:tab/>
        </w:r>
        <w:r w:rsidR="008618F2" w:rsidRPr="00DC3933">
          <w:rPr>
            <w:rStyle w:val="Hyperlink"/>
            <w:noProof/>
          </w:rPr>
          <w:t>Specific verification for dissipative (DC2 and DC3) shear walls with wood sheathing</w:t>
        </w:r>
        <w:r w:rsidR="008618F2">
          <w:rPr>
            <w:noProof/>
            <w:webHidden/>
          </w:rPr>
          <w:tab/>
        </w:r>
        <w:r w:rsidR="008618F2">
          <w:rPr>
            <w:noProof/>
            <w:webHidden/>
          </w:rPr>
          <w:fldChar w:fldCharType="begin"/>
        </w:r>
        <w:r w:rsidR="008618F2">
          <w:rPr>
            <w:noProof/>
            <w:webHidden/>
          </w:rPr>
          <w:instrText xml:space="preserve"> PAGEREF _Toc134197993 \h </w:instrText>
        </w:r>
        <w:r w:rsidR="008618F2">
          <w:rPr>
            <w:noProof/>
            <w:webHidden/>
          </w:rPr>
        </w:r>
        <w:r w:rsidR="008618F2">
          <w:rPr>
            <w:noProof/>
            <w:webHidden/>
          </w:rPr>
          <w:fldChar w:fldCharType="separate"/>
        </w:r>
        <w:r w:rsidR="000720CB">
          <w:rPr>
            <w:noProof/>
            <w:webHidden/>
          </w:rPr>
          <w:t>177</w:t>
        </w:r>
        <w:r w:rsidR="008618F2">
          <w:rPr>
            <w:noProof/>
            <w:webHidden/>
          </w:rPr>
          <w:fldChar w:fldCharType="end"/>
        </w:r>
      </w:hyperlink>
    </w:p>
    <w:p w14:paraId="426A7FE6" w14:textId="0D0B0C38" w:rsidR="008618F2" w:rsidRDefault="009B5CEC" w:rsidP="008618F2">
      <w:pPr>
        <w:pStyle w:val="TOC3"/>
        <w:tabs>
          <w:tab w:val="left" w:pos="1100"/>
        </w:tabs>
        <w:jc w:val="left"/>
        <w:rPr>
          <w:rFonts w:asciiTheme="minorHAnsi" w:eastAsiaTheme="minorEastAsia" w:hAnsiTheme="minorHAnsi" w:cstheme="minorBidi"/>
          <w:b w:val="0"/>
          <w:noProof/>
          <w:szCs w:val="22"/>
          <w:lang w:eastAsia="en-GB"/>
        </w:rPr>
      </w:pPr>
      <w:hyperlink w:anchor="_Toc134197994" w:history="1">
        <w:r w:rsidR="008618F2" w:rsidRPr="00DC3933">
          <w:rPr>
            <w:rStyle w:val="Hyperlink"/>
            <w:noProof/>
          </w:rPr>
          <w:t>11.14.7</w:t>
        </w:r>
        <w:r w:rsidR="008618F2">
          <w:rPr>
            <w:rFonts w:asciiTheme="minorHAnsi" w:eastAsiaTheme="minorEastAsia" w:hAnsiTheme="minorHAnsi" w:cstheme="minorBidi"/>
            <w:b w:val="0"/>
            <w:noProof/>
            <w:szCs w:val="22"/>
            <w:lang w:eastAsia="en-GB"/>
          </w:rPr>
          <w:tab/>
        </w:r>
        <w:r w:rsidR="008618F2" w:rsidRPr="00DC3933">
          <w:rPr>
            <w:rStyle w:val="Hyperlink"/>
            <w:noProof/>
          </w:rPr>
          <w:t>Specific verification for dissipative (DC2 and DC3) shear walls with gypsum sheathing</w:t>
        </w:r>
        <w:r w:rsidR="008618F2">
          <w:rPr>
            <w:noProof/>
            <w:webHidden/>
          </w:rPr>
          <w:tab/>
        </w:r>
        <w:r w:rsidR="008618F2">
          <w:rPr>
            <w:noProof/>
            <w:webHidden/>
          </w:rPr>
          <w:fldChar w:fldCharType="begin"/>
        </w:r>
        <w:r w:rsidR="008618F2">
          <w:rPr>
            <w:noProof/>
            <w:webHidden/>
          </w:rPr>
          <w:instrText xml:space="preserve"> PAGEREF _Toc134197994 \h </w:instrText>
        </w:r>
        <w:r w:rsidR="008618F2">
          <w:rPr>
            <w:noProof/>
            <w:webHidden/>
          </w:rPr>
        </w:r>
        <w:r w:rsidR="008618F2">
          <w:rPr>
            <w:noProof/>
            <w:webHidden/>
          </w:rPr>
          <w:fldChar w:fldCharType="separate"/>
        </w:r>
        <w:r w:rsidR="000720CB">
          <w:rPr>
            <w:noProof/>
            <w:webHidden/>
          </w:rPr>
          <w:t>178</w:t>
        </w:r>
        <w:r w:rsidR="008618F2">
          <w:rPr>
            <w:noProof/>
            <w:webHidden/>
          </w:rPr>
          <w:fldChar w:fldCharType="end"/>
        </w:r>
      </w:hyperlink>
    </w:p>
    <w:p w14:paraId="0AB96D5B" w14:textId="6BBCBCFC" w:rsidR="008618F2" w:rsidRDefault="009B5CEC" w:rsidP="008618F2">
      <w:pPr>
        <w:pStyle w:val="TOC2"/>
        <w:jc w:val="left"/>
        <w:rPr>
          <w:rFonts w:asciiTheme="minorHAnsi" w:eastAsiaTheme="minorEastAsia" w:hAnsiTheme="minorHAnsi" w:cstheme="minorBidi"/>
          <w:b w:val="0"/>
          <w:noProof/>
          <w:szCs w:val="22"/>
          <w:lang w:eastAsia="en-GB"/>
        </w:rPr>
      </w:pPr>
      <w:hyperlink w:anchor="_Toc134197995" w:history="1">
        <w:r w:rsidR="008618F2" w:rsidRPr="00DC3933">
          <w:rPr>
            <w:rStyle w:val="Hyperlink"/>
            <w:noProof/>
          </w:rPr>
          <w:t>11.15</w:t>
        </w:r>
        <w:r w:rsidR="008618F2">
          <w:rPr>
            <w:rFonts w:asciiTheme="minorHAnsi" w:eastAsiaTheme="minorEastAsia" w:hAnsiTheme="minorHAnsi" w:cstheme="minorBidi"/>
            <w:b w:val="0"/>
            <w:noProof/>
            <w:szCs w:val="22"/>
            <w:lang w:eastAsia="en-GB"/>
          </w:rPr>
          <w:tab/>
        </w:r>
        <w:r w:rsidR="008618F2" w:rsidRPr="00DC3933">
          <w:rPr>
            <w:rStyle w:val="Hyperlink"/>
            <w:noProof/>
          </w:rPr>
          <w:t>Verification of inverted pendulum structures</w:t>
        </w:r>
        <w:r w:rsidR="008618F2">
          <w:rPr>
            <w:noProof/>
            <w:webHidden/>
          </w:rPr>
          <w:tab/>
        </w:r>
        <w:r w:rsidR="008618F2">
          <w:rPr>
            <w:noProof/>
            <w:webHidden/>
          </w:rPr>
          <w:fldChar w:fldCharType="begin"/>
        </w:r>
        <w:r w:rsidR="008618F2">
          <w:rPr>
            <w:noProof/>
            <w:webHidden/>
          </w:rPr>
          <w:instrText xml:space="preserve"> PAGEREF _Toc134197995 \h </w:instrText>
        </w:r>
        <w:r w:rsidR="008618F2">
          <w:rPr>
            <w:noProof/>
            <w:webHidden/>
          </w:rPr>
        </w:r>
        <w:r w:rsidR="008618F2">
          <w:rPr>
            <w:noProof/>
            <w:webHidden/>
          </w:rPr>
          <w:fldChar w:fldCharType="separate"/>
        </w:r>
        <w:r w:rsidR="000720CB">
          <w:rPr>
            <w:noProof/>
            <w:webHidden/>
          </w:rPr>
          <w:t>178</w:t>
        </w:r>
        <w:r w:rsidR="008618F2">
          <w:rPr>
            <w:noProof/>
            <w:webHidden/>
          </w:rPr>
          <w:fldChar w:fldCharType="end"/>
        </w:r>
      </w:hyperlink>
    </w:p>
    <w:p w14:paraId="06A4E486" w14:textId="376B4BCA" w:rsidR="008618F2" w:rsidRDefault="009B5CEC" w:rsidP="008618F2">
      <w:pPr>
        <w:pStyle w:val="TOC2"/>
        <w:jc w:val="left"/>
        <w:rPr>
          <w:rFonts w:asciiTheme="minorHAnsi" w:eastAsiaTheme="minorEastAsia" w:hAnsiTheme="minorHAnsi" w:cstheme="minorBidi"/>
          <w:b w:val="0"/>
          <w:noProof/>
          <w:szCs w:val="22"/>
          <w:lang w:eastAsia="en-GB"/>
        </w:rPr>
      </w:pPr>
      <w:hyperlink w:anchor="_Toc134197996" w:history="1">
        <w:r w:rsidR="008618F2" w:rsidRPr="00DC3933">
          <w:rPr>
            <w:rStyle w:val="Hyperlink"/>
            <w:noProof/>
          </w:rPr>
          <w:t>11.16</w:t>
        </w:r>
        <w:r w:rsidR="008618F2">
          <w:rPr>
            <w:rFonts w:asciiTheme="minorHAnsi" w:eastAsiaTheme="minorEastAsia" w:hAnsiTheme="minorHAnsi" w:cstheme="minorBidi"/>
            <w:b w:val="0"/>
            <w:noProof/>
            <w:szCs w:val="22"/>
            <w:lang w:eastAsia="en-GB"/>
          </w:rPr>
          <w:tab/>
        </w:r>
        <w:r w:rsidR="008618F2" w:rsidRPr="00DC3933">
          <w:rPr>
            <w:rStyle w:val="Hyperlink"/>
            <w:noProof/>
          </w:rPr>
          <w:t>Design rules for steel structures with concrete cores or concrete walls and for moment resisting frames combined with infills</w:t>
        </w:r>
        <w:r w:rsidR="008618F2">
          <w:rPr>
            <w:noProof/>
            <w:webHidden/>
          </w:rPr>
          <w:tab/>
        </w:r>
        <w:r w:rsidR="008618F2">
          <w:rPr>
            <w:noProof/>
            <w:webHidden/>
          </w:rPr>
          <w:fldChar w:fldCharType="begin"/>
        </w:r>
        <w:r w:rsidR="008618F2">
          <w:rPr>
            <w:noProof/>
            <w:webHidden/>
          </w:rPr>
          <w:instrText xml:space="preserve"> PAGEREF _Toc134197996 \h </w:instrText>
        </w:r>
        <w:r w:rsidR="008618F2">
          <w:rPr>
            <w:noProof/>
            <w:webHidden/>
          </w:rPr>
        </w:r>
        <w:r w:rsidR="008618F2">
          <w:rPr>
            <w:noProof/>
            <w:webHidden/>
          </w:rPr>
          <w:fldChar w:fldCharType="separate"/>
        </w:r>
        <w:r w:rsidR="000720CB">
          <w:rPr>
            <w:noProof/>
            <w:webHidden/>
          </w:rPr>
          <w:t>178</w:t>
        </w:r>
        <w:r w:rsidR="008618F2">
          <w:rPr>
            <w:noProof/>
            <w:webHidden/>
          </w:rPr>
          <w:fldChar w:fldCharType="end"/>
        </w:r>
      </w:hyperlink>
    </w:p>
    <w:p w14:paraId="7EDF9F73" w14:textId="105DD237" w:rsidR="008618F2" w:rsidRDefault="009B5CEC" w:rsidP="008618F2">
      <w:pPr>
        <w:pStyle w:val="TOC3"/>
        <w:tabs>
          <w:tab w:val="left" w:pos="1100"/>
        </w:tabs>
        <w:jc w:val="left"/>
        <w:rPr>
          <w:rFonts w:asciiTheme="minorHAnsi" w:eastAsiaTheme="minorEastAsia" w:hAnsiTheme="minorHAnsi" w:cstheme="minorBidi"/>
          <w:b w:val="0"/>
          <w:noProof/>
          <w:szCs w:val="22"/>
          <w:lang w:eastAsia="en-GB"/>
        </w:rPr>
      </w:pPr>
      <w:hyperlink w:anchor="_Toc134197997" w:history="1">
        <w:r w:rsidR="008618F2" w:rsidRPr="00DC3933">
          <w:rPr>
            <w:rStyle w:val="Hyperlink"/>
            <w:noProof/>
          </w:rPr>
          <w:t>11.16.1</w:t>
        </w:r>
        <w:r w:rsidR="008618F2">
          <w:rPr>
            <w:rFonts w:asciiTheme="minorHAnsi" w:eastAsiaTheme="minorEastAsia" w:hAnsiTheme="minorHAnsi" w:cstheme="minorBidi"/>
            <w:b w:val="0"/>
            <w:noProof/>
            <w:szCs w:val="22"/>
            <w:lang w:eastAsia="en-GB"/>
          </w:rPr>
          <w:tab/>
        </w:r>
        <w:r w:rsidR="008618F2" w:rsidRPr="00DC3933">
          <w:rPr>
            <w:rStyle w:val="Hyperlink"/>
            <w:noProof/>
          </w:rPr>
          <w:t>Structures with concrete cores or concrete walls</w:t>
        </w:r>
        <w:r w:rsidR="008618F2">
          <w:rPr>
            <w:noProof/>
            <w:webHidden/>
          </w:rPr>
          <w:tab/>
        </w:r>
        <w:r w:rsidR="008618F2">
          <w:rPr>
            <w:noProof/>
            <w:webHidden/>
          </w:rPr>
          <w:fldChar w:fldCharType="begin"/>
        </w:r>
        <w:r w:rsidR="008618F2">
          <w:rPr>
            <w:noProof/>
            <w:webHidden/>
          </w:rPr>
          <w:instrText xml:space="preserve"> PAGEREF _Toc134197997 \h </w:instrText>
        </w:r>
        <w:r w:rsidR="008618F2">
          <w:rPr>
            <w:noProof/>
            <w:webHidden/>
          </w:rPr>
        </w:r>
        <w:r w:rsidR="008618F2">
          <w:rPr>
            <w:noProof/>
            <w:webHidden/>
          </w:rPr>
          <w:fldChar w:fldCharType="separate"/>
        </w:r>
        <w:r w:rsidR="000720CB">
          <w:rPr>
            <w:noProof/>
            <w:webHidden/>
          </w:rPr>
          <w:t>178</w:t>
        </w:r>
        <w:r w:rsidR="008618F2">
          <w:rPr>
            <w:noProof/>
            <w:webHidden/>
          </w:rPr>
          <w:fldChar w:fldCharType="end"/>
        </w:r>
      </w:hyperlink>
    </w:p>
    <w:p w14:paraId="63F4F683" w14:textId="5C6CC40F" w:rsidR="008618F2" w:rsidRDefault="009B5CEC" w:rsidP="008618F2">
      <w:pPr>
        <w:pStyle w:val="TOC3"/>
        <w:tabs>
          <w:tab w:val="left" w:pos="1100"/>
        </w:tabs>
        <w:jc w:val="left"/>
        <w:rPr>
          <w:rFonts w:asciiTheme="minorHAnsi" w:eastAsiaTheme="minorEastAsia" w:hAnsiTheme="minorHAnsi" w:cstheme="minorBidi"/>
          <w:b w:val="0"/>
          <w:noProof/>
          <w:szCs w:val="22"/>
          <w:lang w:eastAsia="en-GB"/>
        </w:rPr>
      </w:pPr>
      <w:hyperlink w:anchor="_Toc134197998" w:history="1">
        <w:r w:rsidR="008618F2" w:rsidRPr="00DC3933">
          <w:rPr>
            <w:rStyle w:val="Hyperlink"/>
            <w:noProof/>
          </w:rPr>
          <w:t>11.16.2</w:t>
        </w:r>
        <w:r w:rsidR="008618F2">
          <w:rPr>
            <w:rFonts w:asciiTheme="minorHAnsi" w:eastAsiaTheme="minorEastAsia" w:hAnsiTheme="minorHAnsi" w:cstheme="minorBidi"/>
            <w:b w:val="0"/>
            <w:noProof/>
            <w:szCs w:val="22"/>
            <w:lang w:eastAsia="en-GB"/>
          </w:rPr>
          <w:tab/>
        </w:r>
        <w:r w:rsidR="008618F2" w:rsidRPr="00DC3933">
          <w:rPr>
            <w:rStyle w:val="Hyperlink"/>
            <w:noProof/>
          </w:rPr>
          <w:t>Moment resisting frames combined with infills</w:t>
        </w:r>
        <w:r w:rsidR="008618F2">
          <w:rPr>
            <w:noProof/>
            <w:webHidden/>
          </w:rPr>
          <w:tab/>
        </w:r>
        <w:r w:rsidR="008618F2">
          <w:rPr>
            <w:noProof/>
            <w:webHidden/>
          </w:rPr>
          <w:fldChar w:fldCharType="begin"/>
        </w:r>
        <w:r w:rsidR="008618F2">
          <w:rPr>
            <w:noProof/>
            <w:webHidden/>
          </w:rPr>
          <w:instrText xml:space="preserve"> PAGEREF _Toc134197998 \h </w:instrText>
        </w:r>
        <w:r w:rsidR="008618F2">
          <w:rPr>
            <w:noProof/>
            <w:webHidden/>
          </w:rPr>
        </w:r>
        <w:r w:rsidR="008618F2">
          <w:rPr>
            <w:noProof/>
            <w:webHidden/>
          </w:rPr>
          <w:fldChar w:fldCharType="separate"/>
        </w:r>
        <w:r w:rsidR="000720CB">
          <w:rPr>
            <w:noProof/>
            <w:webHidden/>
          </w:rPr>
          <w:t>178</w:t>
        </w:r>
        <w:r w:rsidR="008618F2">
          <w:rPr>
            <w:noProof/>
            <w:webHidden/>
          </w:rPr>
          <w:fldChar w:fldCharType="end"/>
        </w:r>
      </w:hyperlink>
    </w:p>
    <w:p w14:paraId="47A1E39E" w14:textId="484F96F3" w:rsidR="008618F2" w:rsidRDefault="009B5CEC" w:rsidP="008618F2">
      <w:pPr>
        <w:pStyle w:val="TOC2"/>
        <w:jc w:val="left"/>
        <w:rPr>
          <w:rFonts w:asciiTheme="minorHAnsi" w:eastAsiaTheme="minorEastAsia" w:hAnsiTheme="minorHAnsi" w:cstheme="minorBidi"/>
          <w:b w:val="0"/>
          <w:noProof/>
          <w:szCs w:val="22"/>
          <w:lang w:eastAsia="en-GB"/>
        </w:rPr>
      </w:pPr>
      <w:hyperlink w:anchor="_Toc134197999" w:history="1">
        <w:r w:rsidR="008618F2" w:rsidRPr="00DC3933">
          <w:rPr>
            <w:rStyle w:val="Hyperlink"/>
            <w:noProof/>
          </w:rPr>
          <w:t>11.17</w:t>
        </w:r>
        <w:r w:rsidR="008618F2">
          <w:rPr>
            <w:rFonts w:asciiTheme="minorHAnsi" w:eastAsiaTheme="minorEastAsia" w:hAnsiTheme="minorHAnsi" w:cstheme="minorBidi"/>
            <w:b w:val="0"/>
            <w:noProof/>
            <w:szCs w:val="22"/>
            <w:lang w:eastAsia="en-GB"/>
          </w:rPr>
          <w:tab/>
        </w:r>
        <w:r w:rsidR="008618F2" w:rsidRPr="00DC3933">
          <w:rPr>
            <w:rStyle w:val="Hyperlink"/>
            <w:noProof/>
          </w:rPr>
          <w:t>Steel diaphragms</w:t>
        </w:r>
        <w:r w:rsidR="008618F2">
          <w:rPr>
            <w:noProof/>
            <w:webHidden/>
          </w:rPr>
          <w:tab/>
        </w:r>
        <w:r w:rsidR="008618F2">
          <w:rPr>
            <w:noProof/>
            <w:webHidden/>
          </w:rPr>
          <w:fldChar w:fldCharType="begin"/>
        </w:r>
        <w:r w:rsidR="008618F2">
          <w:rPr>
            <w:noProof/>
            <w:webHidden/>
          </w:rPr>
          <w:instrText xml:space="preserve"> PAGEREF _Toc134197999 \h </w:instrText>
        </w:r>
        <w:r w:rsidR="008618F2">
          <w:rPr>
            <w:noProof/>
            <w:webHidden/>
          </w:rPr>
        </w:r>
        <w:r w:rsidR="008618F2">
          <w:rPr>
            <w:noProof/>
            <w:webHidden/>
          </w:rPr>
          <w:fldChar w:fldCharType="separate"/>
        </w:r>
        <w:r w:rsidR="000720CB">
          <w:rPr>
            <w:noProof/>
            <w:webHidden/>
          </w:rPr>
          <w:t>178</w:t>
        </w:r>
        <w:r w:rsidR="008618F2">
          <w:rPr>
            <w:noProof/>
            <w:webHidden/>
          </w:rPr>
          <w:fldChar w:fldCharType="end"/>
        </w:r>
      </w:hyperlink>
    </w:p>
    <w:p w14:paraId="28A6110C" w14:textId="3F523EAC" w:rsidR="008618F2" w:rsidRDefault="009B5CEC" w:rsidP="008618F2">
      <w:pPr>
        <w:pStyle w:val="TOC2"/>
        <w:jc w:val="left"/>
        <w:rPr>
          <w:rFonts w:asciiTheme="minorHAnsi" w:eastAsiaTheme="minorEastAsia" w:hAnsiTheme="minorHAnsi" w:cstheme="minorBidi"/>
          <w:b w:val="0"/>
          <w:noProof/>
          <w:szCs w:val="22"/>
          <w:lang w:eastAsia="en-GB"/>
        </w:rPr>
      </w:pPr>
      <w:hyperlink w:anchor="_Toc134198000" w:history="1">
        <w:r w:rsidR="008618F2" w:rsidRPr="00DC3933">
          <w:rPr>
            <w:rStyle w:val="Hyperlink"/>
            <w:noProof/>
          </w:rPr>
          <w:t>11.18</w:t>
        </w:r>
        <w:r w:rsidR="008618F2">
          <w:rPr>
            <w:rFonts w:asciiTheme="minorHAnsi" w:eastAsiaTheme="minorEastAsia" w:hAnsiTheme="minorHAnsi" w:cstheme="minorBidi"/>
            <w:b w:val="0"/>
            <w:noProof/>
            <w:szCs w:val="22"/>
            <w:lang w:eastAsia="en-GB"/>
          </w:rPr>
          <w:tab/>
        </w:r>
        <w:r w:rsidR="008618F2" w:rsidRPr="00DC3933">
          <w:rPr>
            <w:rStyle w:val="Hyperlink"/>
            <w:noProof/>
          </w:rPr>
          <w:t>Transfer zones. Design for DC2 and DC3</w:t>
        </w:r>
        <w:r w:rsidR="008618F2">
          <w:rPr>
            <w:noProof/>
            <w:webHidden/>
          </w:rPr>
          <w:tab/>
        </w:r>
        <w:r w:rsidR="008618F2">
          <w:rPr>
            <w:noProof/>
            <w:webHidden/>
          </w:rPr>
          <w:fldChar w:fldCharType="begin"/>
        </w:r>
        <w:r w:rsidR="008618F2">
          <w:rPr>
            <w:noProof/>
            <w:webHidden/>
          </w:rPr>
          <w:instrText xml:space="preserve"> PAGEREF _Toc134198000 \h </w:instrText>
        </w:r>
        <w:r w:rsidR="008618F2">
          <w:rPr>
            <w:noProof/>
            <w:webHidden/>
          </w:rPr>
        </w:r>
        <w:r w:rsidR="008618F2">
          <w:rPr>
            <w:noProof/>
            <w:webHidden/>
          </w:rPr>
          <w:fldChar w:fldCharType="separate"/>
        </w:r>
        <w:r w:rsidR="000720CB">
          <w:rPr>
            <w:noProof/>
            <w:webHidden/>
          </w:rPr>
          <w:t>179</w:t>
        </w:r>
        <w:r w:rsidR="008618F2">
          <w:rPr>
            <w:noProof/>
            <w:webHidden/>
          </w:rPr>
          <w:fldChar w:fldCharType="end"/>
        </w:r>
      </w:hyperlink>
    </w:p>
    <w:p w14:paraId="05E8BB60" w14:textId="65D548D7" w:rsidR="008618F2" w:rsidRDefault="009B5CEC" w:rsidP="008618F2">
      <w:pPr>
        <w:pStyle w:val="TOC2"/>
        <w:jc w:val="left"/>
        <w:rPr>
          <w:rFonts w:asciiTheme="minorHAnsi" w:eastAsiaTheme="minorEastAsia" w:hAnsiTheme="minorHAnsi" w:cstheme="minorBidi"/>
          <w:b w:val="0"/>
          <w:noProof/>
          <w:szCs w:val="22"/>
          <w:lang w:eastAsia="en-GB"/>
        </w:rPr>
      </w:pPr>
      <w:hyperlink w:anchor="_Toc134198001" w:history="1">
        <w:r w:rsidR="008618F2" w:rsidRPr="00DC3933">
          <w:rPr>
            <w:rStyle w:val="Hyperlink"/>
            <w:noProof/>
          </w:rPr>
          <w:t>11.19</w:t>
        </w:r>
        <w:r w:rsidR="008618F2">
          <w:rPr>
            <w:rFonts w:asciiTheme="minorHAnsi" w:eastAsiaTheme="minorEastAsia" w:hAnsiTheme="minorHAnsi" w:cstheme="minorBidi"/>
            <w:b w:val="0"/>
            <w:noProof/>
            <w:szCs w:val="22"/>
            <w:lang w:eastAsia="en-GB"/>
          </w:rPr>
          <w:tab/>
        </w:r>
        <w:r w:rsidR="008618F2" w:rsidRPr="00DC3933">
          <w:rPr>
            <w:rStyle w:val="Hyperlink"/>
            <w:noProof/>
          </w:rPr>
          <w:t>Requirements for supply of material and execution</w:t>
        </w:r>
        <w:r w:rsidR="008618F2">
          <w:rPr>
            <w:noProof/>
            <w:webHidden/>
          </w:rPr>
          <w:tab/>
        </w:r>
        <w:r w:rsidR="008618F2">
          <w:rPr>
            <w:noProof/>
            <w:webHidden/>
          </w:rPr>
          <w:fldChar w:fldCharType="begin"/>
        </w:r>
        <w:r w:rsidR="008618F2">
          <w:rPr>
            <w:noProof/>
            <w:webHidden/>
          </w:rPr>
          <w:instrText xml:space="preserve"> PAGEREF _Toc134198001 \h </w:instrText>
        </w:r>
        <w:r w:rsidR="008618F2">
          <w:rPr>
            <w:noProof/>
            <w:webHidden/>
          </w:rPr>
        </w:r>
        <w:r w:rsidR="008618F2">
          <w:rPr>
            <w:noProof/>
            <w:webHidden/>
          </w:rPr>
          <w:fldChar w:fldCharType="separate"/>
        </w:r>
        <w:r w:rsidR="000720CB">
          <w:rPr>
            <w:noProof/>
            <w:webHidden/>
          </w:rPr>
          <w:t>179</w:t>
        </w:r>
        <w:r w:rsidR="008618F2">
          <w:rPr>
            <w:noProof/>
            <w:webHidden/>
          </w:rPr>
          <w:fldChar w:fldCharType="end"/>
        </w:r>
      </w:hyperlink>
    </w:p>
    <w:p w14:paraId="4C690653" w14:textId="4EC7BE2C" w:rsidR="008618F2" w:rsidRDefault="009B5CEC" w:rsidP="008618F2">
      <w:pPr>
        <w:pStyle w:val="TOC1"/>
        <w:jc w:val="left"/>
        <w:rPr>
          <w:rFonts w:asciiTheme="minorHAnsi" w:eastAsiaTheme="minorEastAsia" w:hAnsiTheme="minorHAnsi" w:cstheme="minorBidi"/>
          <w:b w:val="0"/>
          <w:noProof/>
          <w:szCs w:val="22"/>
          <w:lang w:eastAsia="en-GB"/>
        </w:rPr>
      </w:pPr>
      <w:hyperlink w:anchor="_Toc134198002" w:history="1">
        <w:r w:rsidR="008618F2" w:rsidRPr="00DC3933">
          <w:rPr>
            <w:rStyle w:val="Hyperlink"/>
            <w:noProof/>
          </w:rPr>
          <w:t>12</w:t>
        </w:r>
        <w:r w:rsidR="008618F2">
          <w:rPr>
            <w:rFonts w:asciiTheme="minorHAnsi" w:eastAsiaTheme="minorEastAsia" w:hAnsiTheme="minorHAnsi" w:cstheme="minorBidi"/>
            <w:b w:val="0"/>
            <w:noProof/>
            <w:szCs w:val="22"/>
            <w:lang w:eastAsia="en-GB"/>
          </w:rPr>
          <w:tab/>
        </w:r>
        <w:r w:rsidR="008618F2" w:rsidRPr="00DC3933">
          <w:rPr>
            <w:rStyle w:val="Hyperlink"/>
            <w:noProof/>
          </w:rPr>
          <w:t>Specific rules for composite steel–concrete buildings</w:t>
        </w:r>
        <w:r w:rsidR="008618F2">
          <w:rPr>
            <w:noProof/>
            <w:webHidden/>
          </w:rPr>
          <w:tab/>
        </w:r>
        <w:r w:rsidR="008618F2">
          <w:rPr>
            <w:noProof/>
            <w:webHidden/>
          </w:rPr>
          <w:fldChar w:fldCharType="begin"/>
        </w:r>
        <w:r w:rsidR="008618F2">
          <w:rPr>
            <w:noProof/>
            <w:webHidden/>
          </w:rPr>
          <w:instrText xml:space="preserve"> PAGEREF _Toc134198002 \h </w:instrText>
        </w:r>
        <w:r w:rsidR="008618F2">
          <w:rPr>
            <w:noProof/>
            <w:webHidden/>
          </w:rPr>
        </w:r>
        <w:r w:rsidR="008618F2">
          <w:rPr>
            <w:noProof/>
            <w:webHidden/>
          </w:rPr>
          <w:fldChar w:fldCharType="separate"/>
        </w:r>
        <w:r w:rsidR="000720CB">
          <w:rPr>
            <w:noProof/>
            <w:webHidden/>
          </w:rPr>
          <w:t>180</w:t>
        </w:r>
        <w:r w:rsidR="008618F2">
          <w:rPr>
            <w:noProof/>
            <w:webHidden/>
          </w:rPr>
          <w:fldChar w:fldCharType="end"/>
        </w:r>
      </w:hyperlink>
    </w:p>
    <w:p w14:paraId="74247DAF" w14:textId="663F80CA" w:rsidR="008618F2" w:rsidRDefault="009B5CEC" w:rsidP="008618F2">
      <w:pPr>
        <w:pStyle w:val="TOC2"/>
        <w:jc w:val="left"/>
        <w:rPr>
          <w:rFonts w:asciiTheme="minorHAnsi" w:eastAsiaTheme="minorEastAsia" w:hAnsiTheme="minorHAnsi" w:cstheme="minorBidi"/>
          <w:b w:val="0"/>
          <w:noProof/>
          <w:szCs w:val="22"/>
          <w:lang w:eastAsia="en-GB"/>
        </w:rPr>
      </w:pPr>
      <w:hyperlink w:anchor="_Toc134198003" w:history="1">
        <w:r w:rsidR="008618F2" w:rsidRPr="00DC3933">
          <w:rPr>
            <w:rStyle w:val="Hyperlink"/>
            <w:noProof/>
          </w:rPr>
          <w:t>12.1</w:t>
        </w:r>
        <w:r w:rsidR="008618F2">
          <w:rPr>
            <w:rFonts w:asciiTheme="minorHAnsi" w:eastAsiaTheme="minorEastAsia" w:hAnsiTheme="minorHAnsi" w:cstheme="minorBidi"/>
            <w:b w:val="0"/>
            <w:noProof/>
            <w:szCs w:val="22"/>
            <w:lang w:eastAsia="en-GB"/>
          </w:rPr>
          <w:tab/>
        </w:r>
        <w:r w:rsidR="008618F2" w:rsidRPr="00DC3933">
          <w:rPr>
            <w:rStyle w:val="Hyperlink"/>
            <w:noProof/>
          </w:rPr>
          <w:t>General</w:t>
        </w:r>
        <w:r w:rsidR="008618F2">
          <w:rPr>
            <w:noProof/>
            <w:webHidden/>
          </w:rPr>
          <w:tab/>
        </w:r>
        <w:r w:rsidR="008618F2">
          <w:rPr>
            <w:noProof/>
            <w:webHidden/>
          </w:rPr>
          <w:fldChar w:fldCharType="begin"/>
        </w:r>
        <w:r w:rsidR="008618F2">
          <w:rPr>
            <w:noProof/>
            <w:webHidden/>
          </w:rPr>
          <w:instrText xml:space="preserve"> PAGEREF _Toc134198003 \h </w:instrText>
        </w:r>
        <w:r w:rsidR="008618F2">
          <w:rPr>
            <w:noProof/>
            <w:webHidden/>
          </w:rPr>
        </w:r>
        <w:r w:rsidR="008618F2">
          <w:rPr>
            <w:noProof/>
            <w:webHidden/>
          </w:rPr>
          <w:fldChar w:fldCharType="separate"/>
        </w:r>
        <w:r w:rsidR="000720CB">
          <w:rPr>
            <w:noProof/>
            <w:webHidden/>
          </w:rPr>
          <w:t>180</w:t>
        </w:r>
        <w:r w:rsidR="008618F2">
          <w:rPr>
            <w:noProof/>
            <w:webHidden/>
          </w:rPr>
          <w:fldChar w:fldCharType="end"/>
        </w:r>
      </w:hyperlink>
    </w:p>
    <w:p w14:paraId="36F6931E" w14:textId="0E6C6911" w:rsidR="008618F2" w:rsidRDefault="009B5CEC" w:rsidP="008618F2">
      <w:pPr>
        <w:pStyle w:val="TOC2"/>
        <w:jc w:val="left"/>
        <w:rPr>
          <w:rFonts w:asciiTheme="minorHAnsi" w:eastAsiaTheme="minorEastAsia" w:hAnsiTheme="minorHAnsi" w:cstheme="minorBidi"/>
          <w:b w:val="0"/>
          <w:noProof/>
          <w:szCs w:val="22"/>
          <w:lang w:eastAsia="en-GB"/>
        </w:rPr>
      </w:pPr>
      <w:hyperlink w:anchor="_Toc134198004" w:history="1">
        <w:r w:rsidR="008618F2" w:rsidRPr="00DC3933">
          <w:rPr>
            <w:rStyle w:val="Hyperlink"/>
            <w:noProof/>
          </w:rPr>
          <w:t>12.2</w:t>
        </w:r>
        <w:r w:rsidR="008618F2">
          <w:rPr>
            <w:rFonts w:asciiTheme="minorHAnsi" w:eastAsiaTheme="minorEastAsia" w:hAnsiTheme="minorHAnsi" w:cstheme="minorBidi"/>
            <w:b w:val="0"/>
            <w:noProof/>
            <w:szCs w:val="22"/>
            <w:lang w:eastAsia="en-GB"/>
          </w:rPr>
          <w:tab/>
        </w:r>
        <w:r w:rsidR="008618F2" w:rsidRPr="00DC3933">
          <w:rPr>
            <w:rStyle w:val="Hyperlink"/>
            <w:noProof/>
          </w:rPr>
          <w:t>Basis of design</w:t>
        </w:r>
        <w:r w:rsidR="008618F2">
          <w:rPr>
            <w:noProof/>
            <w:webHidden/>
          </w:rPr>
          <w:tab/>
        </w:r>
        <w:r w:rsidR="008618F2">
          <w:rPr>
            <w:noProof/>
            <w:webHidden/>
          </w:rPr>
          <w:fldChar w:fldCharType="begin"/>
        </w:r>
        <w:r w:rsidR="008618F2">
          <w:rPr>
            <w:noProof/>
            <w:webHidden/>
          </w:rPr>
          <w:instrText xml:space="preserve"> PAGEREF _Toc134198004 \h </w:instrText>
        </w:r>
        <w:r w:rsidR="008618F2">
          <w:rPr>
            <w:noProof/>
            <w:webHidden/>
          </w:rPr>
        </w:r>
        <w:r w:rsidR="008618F2">
          <w:rPr>
            <w:noProof/>
            <w:webHidden/>
          </w:rPr>
          <w:fldChar w:fldCharType="separate"/>
        </w:r>
        <w:r w:rsidR="000720CB">
          <w:rPr>
            <w:noProof/>
            <w:webHidden/>
          </w:rPr>
          <w:t>180</w:t>
        </w:r>
        <w:r w:rsidR="008618F2">
          <w:rPr>
            <w:noProof/>
            <w:webHidden/>
          </w:rPr>
          <w:fldChar w:fldCharType="end"/>
        </w:r>
      </w:hyperlink>
    </w:p>
    <w:p w14:paraId="2C76B925" w14:textId="65EF74E0" w:rsidR="008618F2" w:rsidRDefault="009B5CEC" w:rsidP="008618F2">
      <w:pPr>
        <w:pStyle w:val="TOC3"/>
        <w:jc w:val="left"/>
        <w:rPr>
          <w:rFonts w:asciiTheme="minorHAnsi" w:eastAsiaTheme="minorEastAsia" w:hAnsiTheme="minorHAnsi" w:cstheme="minorBidi"/>
          <w:b w:val="0"/>
          <w:noProof/>
          <w:szCs w:val="22"/>
          <w:lang w:eastAsia="en-GB"/>
        </w:rPr>
      </w:pPr>
      <w:hyperlink w:anchor="_Toc134198005" w:history="1">
        <w:r w:rsidR="008618F2" w:rsidRPr="00DC3933">
          <w:rPr>
            <w:rStyle w:val="Hyperlink"/>
            <w:noProof/>
          </w:rPr>
          <w:t>12.2.1</w:t>
        </w:r>
        <w:r w:rsidR="008618F2">
          <w:rPr>
            <w:rFonts w:asciiTheme="minorHAnsi" w:eastAsiaTheme="minorEastAsia" w:hAnsiTheme="minorHAnsi" w:cstheme="minorBidi"/>
            <w:b w:val="0"/>
            <w:noProof/>
            <w:szCs w:val="22"/>
            <w:lang w:eastAsia="en-GB"/>
          </w:rPr>
          <w:tab/>
        </w:r>
        <w:r w:rsidR="008618F2" w:rsidRPr="00DC3933">
          <w:rPr>
            <w:rStyle w:val="Hyperlink"/>
            <w:noProof/>
          </w:rPr>
          <w:t>Design concepts</w:t>
        </w:r>
        <w:r w:rsidR="008618F2">
          <w:rPr>
            <w:noProof/>
            <w:webHidden/>
          </w:rPr>
          <w:tab/>
        </w:r>
        <w:r w:rsidR="008618F2">
          <w:rPr>
            <w:noProof/>
            <w:webHidden/>
          </w:rPr>
          <w:fldChar w:fldCharType="begin"/>
        </w:r>
        <w:r w:rsidR="008618F2">
          <w:rPr>
            <w:noProof/>
            <w:webHidden/>
          </w:rPr>
          <w:instrText xml:space="preserve"> PAGEREF _Toc134198005 \h </w:instrText>
        </w:r>
        <w:r w:rsidR="008618F2">
          <w:rPr>
            <w:noProof/>
            <w:webHidden/>
          </w:rPr>
        </w:r>
        <w:r w:rsidR="008618F2">
          <w:rPr>
            <w:noProof/>
            <w:webHidden/>
          </w:rPr>
          <w:fldChar w:fldCharType="separate"/>
        </w:r>
        <w:r w:rsidR="000720CB">
          <w:rPr>
            <w:noProof/>
            <w:webHidden/>
          </w:rPr>
          <w:t>180</w:t>
        </w:r>
        <w:r w:rsidR="008618F2">
          <w:rPr>
            <w:noProof/>
            <w:webHidden/>
          </w:rPr>
          <w:fldChar w:fldCharType="end"/>
        </w:r>
      </w:hyperlink>
    </w:p>
    <w:p w14:paraId="61A992B6" w14:textId="3CECFD7B" w:rsidR="008618F2" w:rsidRDefault="009B5CEC" w:rsidP="008618F2">
      <w:pPr>
        <w:pStyle w:val="TOC3"/>
        <w:jc w:val="left"/>
        <w:rPr>
          <w:rFonts w:asciiTheme="minorHAnsi" w:eastAsiaTheme="minorEastAsia" w:hAnsiTheme="minorHAnsi" w:cstheme="minorBidi"/>
          <w:b w:val="0"/>
          <w:noProof/>
          <w:szCs w:val="22"/>
          <w:lang w:eastAsia="en-GB"/>
        </w:rPr>
      </w:pPr>
      <w:hyperlink w:anchor="_Toc134198006" w:history="1">
        <w:r w:rsidR="008618F2" w:rsidRPr="00DC3933">
          <w:rPr>
            <w:rStyle w:val="Hyperlink"/>
            <w:noProof/>
          </w:rPr>
          <w:t>12.2.2</w:t>
        </w:r>
        <w:r w:rsidR="008618F2">
          <w:rPr>
            <w:rFonts w:asciiTheme="minorHAnsi" w:eastAsiaTheme="minorEastAsia" w:hAnsiTheme="minorHAnsi" w:cstheme="minorBidi"/>
            <w:b w:val="0"/>
            <w:noProof/>
            <w:szCs w:val="22"/>
            <w:lang w:eastAsia="en-GB"/>
          </w:rPr>
          <w:tab/>
        </w:r>
        <w:r w:rsidR="008618F2" w:rsidRPr="00DC3933">
          <w:rPr>
            <w:rStyle w:val="Hyperlink"/>
            <w:noProof/>
          </w:rPr>
          <w:t>Safety verifications</w:t>
        </w:r>
        <w:r w:rsidR="008618F2">
          <w:rPr>
            <w:noProof/>
            <w:webHidden/>
          </w:rPr>
          <w:tab/>
        </w:r>
        <w:r w:rsidR="008618F2">
          <w:rPr>
            <w:noProof/>
            <w:webHidden/>
          </w:rPr>
          <w:fldChar w:fldCharType="begin"/>
        </w:r>
        <w:r w:rsidR="008618F2">
          <w:rPr>
            <w:noProof/>
            <w:webHidden/>
          </w:rPr>
          <w:instrText xml:space="preserve"> PAGEREF _Toc134198006 \h </w:instrText>
        </w:r>
        <w:r w:rsidR="008618F2">
          <w:rPr>
            <w:noProof/>
            <w:webHidden/>
          </w:rPr>
        </w:r>
        <w:r w:rsidR="008618F2">
          <w:rPr>
            <w:noProof/>
            <w:webHidden/>
          </w:rPr>
          <w:fldChar w:fldCharType="separate"/>
        </w:r>
        <w:r w:rsidR="000720CB">
          <w:rPr>
            <w:noProof/>
            <w:webHidden/>
          </w:rPr>
          <w:t>180</w:t>
        </w:r>
        <w:r w:rsidR="008618F2">
          <w:rPr>
            <w:noProof/>
            <w:webHidden/>
          </w:rPr>
          <w:fldChar w:fldCharType="end"/>
        </w:r>
      </w:hyperlink>
    </w:p>
    <w:p w14:paraId="416E3AE4" w14:textId="284387C9" w:rsidR="008618F2" w:rsidRDefault="009B5CEC" w:rsidP="008618F2">
      <w:pPr>
        <w:pStyle w:val="TOC2"/>
        <w:jc w:val="left"/>
        <w:rPr>
          <w:rFonts w:asciiTheme="minorHAnsi" w:eastAsiaTheme="minorEastAsia" w:hAnsiTheme="minorHAnsi" w:cstheme="minorBidi"/>
          <w:b w:val="0"/>
          <w:noProof/>
          <w:szCs w:val="22"/>
          <w:lang w:eastAsia="en-GB"/>
        </w:rPr>
      </w:pPr>
      <w:hyperlink w:anchor="_Toc134198007" w:history="1">
        <w:r w:rsidR="008618F2" w:rsidRPr="00DC3933">
          <w:rPr>
            <w:rStyle w:val="Hyperlink"/>
            <w:noProof/>
          </w:rPr>
          <w:t>12.3</w:t>
        </w:r>
        <w:r w:rsidR="008618F2">
          <w:rPr>
            <w:rFonts w:asciiTheme="minorHAnsi" w:eastAsiaTheme="minorEastAsia" w:hAnsiTheme="minorHAnsi" w:cstheme="minorBidi"/>
            <w:b w:val="0"/>
            <w:noProof/>
            <w:szCs w:val="22"/>
            <w:lang w:eastAsia="en-GB"/>
          </w:rPr>
          <w:tab/>
        </w:r>
        <w:r w:rsidR="008618F2" w:rsidRPr="00DC3933">
          <w:rPr>
            <w:rStyle w:val="Hyperlink"/>
            <w:noProof/>
          </w:rPr>
          <w:t>Materials</w:t>
        </w:r>
        <w:r w:rsidR="008618F2">
          <w:rPr>
            <w:noProof/>
            <w:webHidden/>
          </w:rPr>
          <w:tab/>
        </w:r>
        <w:r w:rsidR="008618F2">
          <w:rPr>
            <w:noProof/>
            <w:webHidden/>
          </w:rPr>
          <w:fldChar w:fldCharType="begin"/>
        </w:r>
        <w:r w:rsidR="008618F2">
          <w:rPr>
            <w:noProof/>
            <w:webHidden/>
          </w:rPr>
          <w:instrText xml:space="preserve"> PAGEREF _Toc134198007 \h </w:instrText>
        </w:r>
        <w:r w:rsidR="008618F2">
          <w:rPr>
            <w:noProof/>
            <w:webHidden/>
          </w:rPr>
        </w:r>
        <w:r w:rsidR="008618F2">
          <w:rPr>
            <w:noProof/>
            <w:webHidden/>
          </w:rPr>
          <w:fldChar w:fldCharType="separate"/>
        </w:r>
        <w:r w:rsidR="000720CB">
          <w:rPr>
            <w:noProof/>
            <w:webHidden/>
          </w:rPr>
          <w:t>180</w:t>
        </w:r>
        <w:r w:rsidR="008618F2">
          <w:rPr>
            <w:noProof/>
            <w:webHidden/>
          </w:rPr>
          <w:fldChar w:fldCharType="end"/>
        </w:r>
      </w:hyperlink>
    </w:p>
    <w:p w14:paraId="3CD61073" w14:textId="0B10632F" w:rsidR="008618F2" w:rsidRDefault="009B5CEC" w:rsidP="008618F2">
      <w:pPr>
        <w:pStyle w:val="TOC3"/>
        <w:jc w:val="left"/>
        <w:rPr>
          <w:rFonts w:asciiTheme="minorHAnsi" w:eastAsiaTheme="minorEastAsia" w:hAnsiTheme="minorHAnsi" w:cstheme="minorBidi"/>
          <w:b w:val="0"/>
          <w:noProof/>
          <w:szCs w:val="22"/>
          <w:lang w:eastAsia="en-GB"/>
        </w:rPr>
      </w:pPr>
      <w:hyperlink w:anchor="_Toc134198008" w:history="1">
        <w:r w:rsidR="008618F2" w:rsidRPr="00DC3933">
          <w:rPr>
            <w:rStyle w:val="Hyperlink"/>
            <w:noProof/>
          </w:rPr>
          <w:t>12.3.1</w:t>
        </w:r>
        <w:r w:rsidR="008618F2">
          <w:rPr>
            <w:rFonts w:asciiTheme="minorHAnsi" w:eastAsiaTheme="minorEastAsia" w:hAnsiTheme="minorHAnsi" w:cstheme="minorBidi"/>
            <w:b w:val="0"/>
            <w:noProof/>
            <w:szCs w:val="22"/>
            <w:lang w:eastAsia="en-GB"/>
          </w:rPr>
          <w:tab/>
        </w:r>
        <w:r w:rsidR="008618F2" w:rsidRPr="00DC3933">
          <w:rPr>
            <w:rStyle w:val="Hyperlink"/>
            <w:noProof/>
          </w:rPr>
          <w:t>Concrete</w:t>
        </w:r>
        <w:r w:rsidR="008618F2">
          <w:rPr>
            <w:noProof/>
            <w:webHidden/>
          </w:rPr>
          <w:tab/>
        </w:r>
        <w:r w:rsidR="008618F2">
          <w:rPr>
            <w:noProof/>
            <w:webHidden/>
          </w:rPr>
          <w:fldChar w:fldCharType="begin"/>
        </w:r>
        <w:r w:rsidR="008618F2">
          <w:rPr>
            <w:noProof/>
            <w:webHidden/>
          </w:rPr>
          <w:instrText xml:space="preserve"> PAGEREF _Toc134198008 \h </w:instrText>
        </w:r>
        <w:r w:rsidR="008618F2">
          <w:rPr>
            <w:noProof/>
            <w:webHidden/>
          </w:rPr>
        </w:r>
        <w:r w:rsidR="008618F2">
          <w:rPr>
            <w:noProof/>
            <w:webHidden/>
          </w:rPr>
          <w:fldChar w:fldCharType="separate"/>
        </w:r>
        <w:r w:rsidR="000720CB">
          <w:rPr>
            <w:noProof/>
            <w:webHidden/>
          </w:rPr>
          <w:t>180</w:t>
        </w:r>
        <w:r w:rsidR="008618F2">
          <w:rPr>
            <w:noProof/>
            <w:webHidden/>
          </w:rPr>
          <w:fldChar w:fldCharType="end"/>
        </w:r>
      </w:hyperlink>
    </w:p>
    <w:p w14:paraId="7B41DA86" w14:textId="063FEAD8" w:rsidR="008618F2" w:rsidRDefault="009B5CEC" w:rsidP="008618F2">
      <w:pPr>
        <w:pStyle w:val="TOC3"/>
        <w:jc w:val="left"/>
        <w:rPr>
          <w:rFonts w:asciiTheme="minorHAnsi" w:eastAsiaTheme="minorEastAsia" w:hAnsiTheme="minorHAnsi" w:cstheme="minorBidi"/>
          <w:b w:val="0"/>
          <w:noProof/>
          <w:szCs w:val="22"/>
          <w:lang w:eastAsia="en-GB"/>
        </w:rPr>
      </w:pPr>
      <w:hyperlink w:anchor="_Toc134198009" w:history="1">
        <w:r w:rsidR="008618F2" w:rsidRPr="00DC3933">
          <w:rPr>
            <w:rStyle w:val="Hyperlink"/>
            <w:noProof/>
          </w:rPr>
          <w:t>12.3.2</w:t>
        </w:r>
        <w:r w:rsidR="008618F2">
          <w:rPr>
            <w:rFonts w:asciiTheme="minorHAnsi" w:eastAsiaTheme="minorEastAsia" w:hAnsiTheme="minorHAnsi" w:cstheme="minorBidi"/>
            <w:b w:val="0"/>
            <w:noProof/>
            <w:szCs w:val="22"/>
            <w:lang w:eastAsia="en-GB"/>
          </w:rPr>
          <w:tab/>
        </w:r>
        <w:r w:rsidR="008618F2" w:rsidRPr="00DC3933">
          <w:rPr>
            <w:rStyle w:val="Hyperlink"/>
            <w:noProof/>
          </w:rPr>
          <w:t>Reinforcing steel</w:t>
        </w:r>
        <w:r w:rsidR="008618F2">
          <w:rPr>
            <w:noProof/>
            <w:webHidden/>
          </w:rPr>
          <w:tab/>
        </w:r>
        <w:r w:rsidR="008618F2">
          <w:rPr>
            <w:noProof/>
            <w:webHidden/>
          </w:rPr>
          <w:fldChar w:fldCharType="begin"/>
        </w:r>
        <w:r w:rsidR="008618F2">
          <w:rPr>
            <w:noProof/>
            <w:webHidden/>
          </w:rPr>
          <w:instrText xml:space="preserve"> PAGEREF _Toc134198009 \h </w:instrText>
        </w:r>
        <w:r w:rsidR="008618F2">
          <w:rPr>
            <w:noProof/>
            <w:webHidden/>
          </w:rPr>
        </w:r>
        <w:r w:rsidR="008618F2">
          <w:rPr>
            <w:noProof/>
            <w:webHidden/>
          </w:rPr>
          <w:fldChar w:fldCharType="separate"/>
        </w:r>
        <w:r w:rsidR="000720CB">
          <w:rPr>
            <w:noProof/>
            <w:webHidden/>
          </w:rPr>
          <w:t>181</w:t>
        </w:r>
        <w:r w:rsidR="008618F2">
          <w:rPr>
            <w:noProof/>
            <w:webHidden/>
          </w:rPr>
          <w:fldChar w:fldCharType="end"/>
        </w:r>
      </w:hyperlink>
    </w:p>
    <w:p w14:paraId="28694336" w14:textId="5BB8DD8C" w:rsidR="008618F2" w:rsidRDefault="009B5CEC" w:rsidP="008618F2">
      <w:pPr>
        <w:pStyle w:val="TOC3"/>
        <w:jc w:val="left"/>
        <w:rPr>
          <w:rFonts w:asciiTheme="minorHAnsi" w:eastAsiaTheme="minorEastAsia" w:hAnsiTheme="minorHAnsi" w:cstheme="minorBidi"/>
          <w:b w:val="0"/>
          <w:noProof/>
          <w:szCs w:val="22"/>
          <w:lang w:eastAsia="en-GB"/>
        </w:rPr>
      </w:pPr>
      <w:hyperlink w:anchor="_Toc134198010" w:history="1">
        <w:r w:rsidR="008618F2" w:rsidRPr="00DC3933">
          <w:rPr>
            <w:rStyle w:val="Hyperlink"/>
            <w:noProof/>
          </w:rPr>
          <w:t>12.3.3</w:t>
        </w:r>
        <w:r w:rsidR="008618F2">
          <w:rPr>
            <w:rFonts w:asciiTheme="minorHAnsi" w:eastAsiaTheme="minorEastAsia" w:hAnsiTheme="minorHAnsi" w:cstheme="minorBidi"/>
            <w:b w:val="0"/>
            <w:noProof/>
            <w:szCs w:val="22"/>
            <w:lang w:eastAsia="en-GB"/>
          </w:rPr>
          <w:tab/>
        </w:r>
        <w:r w:rsidR="008618F2" w:rsidRPr="00DC3933">
          <w:rPr>
            <w:rStyle w:val="Hyperlink"/>
            <w:noProof/>
          </w:rPr>
          <w:t>Structural steel</w:t>
        </w:r>
        <w:r w:rsidR="008618F2">
          <w:rPr>
            <w:noProof/>
            <w:webHidden/>
          </w:rPr>
          <w:tab/>
        </w:r>
        <w:r w:rsidR="008618F2">
          <w:rPr>
            <w:noProof/>
            <w:webHidden/>
          </w:rPr>
          <w:fldChar w:fldCharType="begin"/>
        </w:r>
        <w:r w:rsidR="008618F2">
          <w:rPr>
            <w:noProof/>
            <w:webHidden/>
          </w:rPr>
          <w:instrText xml:space="preserve"> PAGEREF _Toc134198010 \h </w:instrText>
        </w:r>
        <w:r w:rsidR="008618F2">
          <w:rPr>
            <w:noProof/>
            <w:webHidden/>
          </w:rPr>
        </w:r>
        <w:r w:rsidR="008618F2">
          <w:rPr>
            <w:noProof/>
            <w:webHidden/>
          </w:rPr>
          <w:fldChar w:fldCharType="separate"/>
        </w:r>
        <w:r w:rsidR="000720CB">
          <w:rPr>
            <w:noProof/>
            <w:webHidden/>
          </w:rPr>
          <w:t>181</w:t>
        </w:r>
        <w:r w:rsidR="008618F2">
          <w:rPr>
            <w:noProof/>
            <w:webHidden/>
          </w:rPr>
          <w:fldChar w:fldCharType="end"/>
        </w:r>
      </w:hyperlink>
    </w:p>
    <w:p w14:paraId="69444442" w14:textId="5F68DFFD" w:rsidR="008618F2" w:rsidRDefault="009B5CEC" w:rsidP="008618F2">
      <w:pPr>
        <w:pStyle w:val="TOC2"/>
        <w:jc w:val="left"/>
        <w:rPr>
          <w:rFonts w:asciiTheme="minorHAnsi" w:eastAsiaTheme="minorEastAsia" w:hAnsiTheme="minorHAnsi" w:cstheme="minorBidi"/>
          <w:b w:val="0"/>
          <w:noProof/>
          <w:szCs w:val="22"/>
          <w:lang w:eastAsia="en-GB"/>
        </w:rPr>
      </w:pPr>
      <w:hyperlink w:anchor="_Toc134198011" w:history="1">
        <w:r w:rsidR="008618F2" w:rsidRPr="00DC3933">
          <w:rPr>
            <w:rStyle w:val="Hyperlink"/>
            <w:noProof/>
          </w:rPr>
          <w:t>12.4</w:t>
        </w:r>
        <w:r w:rsidR="008618F2">
          <w:rPr>
            <w:rFonts w:asciiTheme="minorHAnsi" w:eastAsiaTheme="minorEastAsia" w:hAnsiTheme="minorHAnsi" w:cstheme="minorBidi"/>
            <w:b w:val="0"/>
            <w:noProof/>
            <w:szCs w:val="22"/>
            <w:lang w:eastAsia="en-GB"/>
          </w:rPr>
          <w:tab/>
        </w:r>
        <w:r w:rsidR="008618F2" w:rsidRPr="00DC3933">
          <w:rPr>
            <w:rStyle w:val="Hyperlink"/>
            <w:noProof/>
          </w:rPr>
          <w:t>Structural types, behaviour factors, limits of seismic action and limits of drifts</w:t>
        </w:r>
        <w:r w:rsidR="008618F2">
          <w:rPr>
            <w:noProof/>
            <w:webHidden/>
          </w:rPr>
          <w:tab/>
        </w:r>
        <w:r w:rsidR="008618F2">
          <w:rPr>
            <w:noProof/>
            <w:webHidden/>
          </w:rPr>
          <w:fldChar w:fldCharType="begin"/>
        </w:r>
        <w:r w:rsidR="008618F2">
          <w:rPr>
            <w:noProof/>
            <w:webHidden/>
          </w:rPr>
          <w:instrText xml:space="preserve"> PAGEREF _Toc134198011 \h </w:instrText>
        </w:r>
        <w:r w:rsidR="008618F2">
          <w:rPr>
            <w:noProof/>
            <w:webHidden/>
          </w:rPr>
        </w:r>
        <w:r w:rsidR="008618F2">
          <w:rPr>
            <w:noProof/>
            <w:webHidden/>
          </w:rPr>
          <w:fldChar w:fldCharType="separate"/>
        </w:r>
        <w:r w:rsidR="000720CB">
          <w:rPr>
            <w:noProof/>
            <w:webHidden/>
          </w:rPr>
          <w:t>181</w:t>
        </w:r>
        <w:r w:rsidR="008618F2">
          <w:rPr>
            <w:noProof/>
            <w:webHidden/>
          </w:rPr>
          <w:fldChar w:fldCharType="end"/>
        </w:r>
      </w:hyperlink>
    </w:p>
    <w:p w14:paraId="7AFB896A" w14:textId="3FFBDD97" w:rsidR="008618F2" w:rsidRDefault="009B5CEC" w:rsidP="008618F2">
      <w:pPr>
        <w:pStyle w:val="TOC3"/>
        <w:jc w:val="left"/>
        <w:rPr>
          <w:rFonts w:asciiTheme="minorHAnsi" w:eastAsiaTheme="minorEastAsia" w:hAnsiTheme="minorHAnsi" w:cstheme="minorBidi"/>
          <w:b w:val="0"/>
          <w:noProof/>
          <w:szCs w:val="22"/>
          <w:lang w:eastAsia="en-GB"/>
        </w:rPr>
      </w:pPr>
      <w:hyperlink w:anchor="_Toc134198012" w:history="1">
        <w:r w:rsidR="008618F2" w:rsidRPr="00DC3933">
          <w:rPr>
            <w:rStyle w:val="Hyperlink"/>
            <w:noProof/>
          </w:rPr>
          <w:t>12.4.1</w:t>
        </w:r>
        <w:r w:rsidR="008618F2">
          <w:rPr>
            <w:rFonts w:asciiTheme="minorHAnsi" w:eastAsiaTheme="minorEastAsia" w:hAnsiTheme="minorHAnsi" w:cstheme="minorBidi"/>
            <w:b w:val="0"/>
            <w:noProof/>
            <w:szCs w:val="22"/>
            <w:lang w:eastAsia="en-GB"/>
          </w:rPr>
          <w:tab/>
        </w:r>
        <w:r w:rsidR="008618F2" w:rsidRPr="00DC3933">
          <w:rPr>
            <w:rStyle w:val="Hyperlink"/>
            <w:noProof/>
          </w:rPr>
          <w:t>Structural types</w:t>
        </w:r>
        <w:r w:rsidR="008618F2">
          <w:rPr>
            <w:noProof/>
            <w:webHidden/>
          </w:rPr>
          <w:tab/>
        </w:r>
        <w:r w:rsidR="008618F2">
          <w:rPr>
            <w:noProof/>
            <w:webHidden/>
          </w:rPr>
          <w:fldChar w:fldCharType="begin"/>
        </w:r>
        <w:r w:rsidR="008618F2">
          <w:rPr>
            <w:noProof/>
            <w:webHidden/>
          </w:rPr>
          <w:instrText xml:space="preserve"> PAGEREF _Toc134198012 \h </w:instrText>
        </w:r>
        <w:r w:rsidR="008618F2">
          <w:rPr>
            <w:noProof/>
            <w:webHidden/>
          </w:rPr>
        </w:r>
        <w:r w:rsidR="008618F2">
          <w:rPr>
            <w:noProof/>
            <w:webHidden/>
          </w:rPr>
          <w:fldChar w:fldCharType="separate"/>
        </w:r>
        <w:r w:rsidR="000720CB">
          <w:rPr>
            <w:noProof/>
            <w:webHidden/>
          </w:rPr>
          <w:t>181</w:t>
        </w:r>
        <w:r w:rsidR="008618F2">
          <w:rPr>
            <w:noProof/>
            <w:webHidden/>
          </w:rPr>
          <w:fldChar w:fldCharType="end"/>
        </w:r>
      </w:hyperlink>
    </w:p>
    <w:p w14:paraId="1ED3A7DD" w14:textId="4C809BCD" w:rsidR="008618F2" w:rsidRDefault="009B5CEC" w:rsidP="008618F2">
      <w:pPr>
        <w:pStyle w:val="TOC3"/>
        <w:jc w:val="left"/>
        <w:rPr>
          <w:rFonts w:asciiTheme="minorHAnsi" w:eastAsiaTheme="minorEastAsia" w:hAnsiTheme="minorHAnsi" w:cstheme="minorBidi"/>
          <w:b w:val="0"/>
          <w:noProof/>
          <w:szCs w:val="22"/>
          <w:lang w:eastAsia="en-GB"/>
        </w:rPr>
      </w:pPr>
      <w:hyperlink w:anchor="_Toc134198013" w:history="1">
        <w:r w:rsidR="008618F2" w:rsidRPr="00DC3933">
          <w:rPr>
            <w:rStyle w:val="Hyperlink"/>
            <w:noProof/>
          </w:rPr>
          <w:t>12.4.2</w:t>
        </w:r>
        <w:r w:rsidR="008618F2">
          <w:rPr>
            <w:rFonts w:asciiTheme="minorHAnsi" w:eastAsiaTheme="minorEastAsia" w:hAnsiTheme="minorHAnsi" w:cstheme="minorBidi"/>
            <w:b w:val="0"/>
            <w:noProof/>
            <w:szCs w:val="22"/>
            <w:lang w:eastAsia="en-GB"/>
          </w:rPr>
          <w:tab/>
        </w:r>
        <w:r w:rsidR="008618F2" w:rsidRPr="00DC3933">
          <w:rPr>
            <w:rStyle w:val="Hyperlink"/>
            <w:noProof/>
          </w:rPr>
          <w:t>Behaviour factors</w:t>
        </w:r>
        <w:r w:rsidR="008618F2">
          <w:rPr>
            <w:noProof/>
            <w:webHidden/>
          </w:rPr>
          <w:tab/>
        </w:r>
        <w:r w:rsidR="008618F2">
          <w:rPr>
            <w:noProof/>
            <w:webHidden/>
          </w:rPr>
          <w:fldChar w:fldCharType="begin"/>
        </w:r>
        <w:r w:rsidR="008618F2">
          <w:rPr>
            <w:noProof/>
            <w:webHidden/>
          </w:rPr>
          <w:instrText xml:space="preserve"> PAGEREF _Toc134198013 \h </w:instrText>
        </w:r>
        <w:r w:rsidR="008618F2">
          <w:rPr>
            <w:noProof/>
            <w:webHidden/>
          </w:rPr>
        </w:r>
        <w:r w:rsidR="008618F2">
          <w:rPr>
            <w:noProof/>
            <w:webHidden/>
          </w:rPr>
          <w:fldChar w:fldCharType="separate"/>
        </w:r>
        <w:r w:rsidR="000720CB">
          <w:rPr>
            <w:noProof/>
            <w:webHidden/>
          </w:rPr>
          <w:t>182</w:t>
        </w:r>
        <w:r w:rsidR="008618F2">
          <w:rPr>
            <w:noProof/>
            <w:webHidden/>
          </w:rPr>
          <w:fldChar w:fldCharType="end"/>
        </w:r>
      </w:hyperlink>
    </w:p>
    <w:p w14:paraId="38DB829B" w14:textId="1C1273F1" w:rsidR="008618F2" w:rsidRDefault="009B5CEC" w:rsidP="008618F2">
      <w:pPr>
        <w:pStyle w:val="TOC3"/>
        <w:jc w:val="left"/>
        <w:rPr>
          <w:rFonts w:asciiTheme="minorHAnsi" w:eastAsiaTheme="minorEastAsia" w:hAnsiTheme="minorHAnsi" w:cstheme="minorBidi"/>
          <w:b w:val="0"/>
          <w:noProof/>
          <w:szCs w:val="22"/>
          <w:lang w:eastAsia="en-GB"/>
        </w:rPr>
      </w:pPr>
      <w:hyperlink w:anchor="_Toc134198014" w:history="1">
        <w:r w:rsidR="008618F2" w:rsidRPr="00DC3933">
          <w:rPr>
            <w:rStyle w:val="Hyperlink"/>
            <w:noProof/>
          </w:rPr>
          <w:t>12.4.3</w:t>
        </w:r>
        <w:r w:rsidR="008618F2">
          <w:rPr>
            <w:rFonts w:asciiTheme="minorHAnsi" w:eastAsiaTheme="minorEastAsia" w:hAnsiTheme="minorHAnsi" w:cstheme="minorBidi"/>
            <w:b w:val="0"/>
            <w:noProof/>
            <w:szCs w:val="22"/>
            <w:lang w:eastAsia="en-GB"/>
          </w:rPr>
          <w:tab/>
        </w:r>
        <w:r w:rsidR="008618F2" w:rsidRPr="00DC3933">
          <w:rPr>
            <w:rStyle w:val="Hyperlink"/>
            <w:noProof/>
          </w:rPr>
          <w:t>Limits of seismic action for design to DC1, DC2 and DC3</w:t>
        </w:r>
        <w:r w:rsidR="008618F2">
          <w:rPr>
            <w:noProof/>
            <w:webHidden/>
          </w:rPr>
          <w:tab/>
        </w:r>
        <w:r w:rsidR="008618F2">
          <w:rPr>
            <w:noProof/>
            <w:webHidden/>
          </w:rPr>
          <w:fldChar w:fldCharType="begin"/>
        </w:r>
        <w:r w:rsidR="008618F2">
          <w:rPr>
            <w:noProof/>
            <w:webHidden/>
          </w:rPr>
          <w:instrText xml:space="preserve"> PAGEREF _Toc134198014 \h </w:instrText>
        </w:r>
        <w:r w:rsidR="008618F2">
          <w:rPr>
            <w:noProof/>
            <w:webHidden/>
          </w:rPr>
        </w:r>
        <w:r w:rsidR="008618F2">
          <w:rPr>
            <w:noProof/>
            <w:webHidden/>
          </w:rPr>
          <w:fldChar w:fldCharType="separate"/>
        </w:r>
        <w:r w:rsidR="000720CB">
          <w:rPr>
            <w:noProof/>
            <w:webHidden/>
          </w:rPr>
          <w:t>183</w:t>
        </w:r>
        <w:r w:rsidR="008618F2">
          <w:rPr>
            <w:noProof/>
            <w:webHidden/>
          </w:rPr>
          <w:fldChar w:fldCharType="end"/>
        </w:r>
      </w:hyperlink>
    </w:p>
    <w:p w14:paraId="582E4C6C" w14:textId="32808737" w:rsidR="008618F2" w:rsidRDefault="009B5CEC" w:rsidP="008618F2">
      <w:pPr>
        <w:pStyle w:val="TOC2"/>
        <w:jc w:val="left"/>
        <w:rPr>
          <w:rFonts w:asciiTheme="minorHAnsi" w:eastAsiaTheme="minorEastAsia" w:hAnsiTheme="minorHAnsi" w:cstheme="minorBidi"/>
          <w:b w:val="0"/>
          <w:noProof/>
          <w:szCs w:val="22"/>
          <w:lang w:eastAsia="en-GB"/>
        </w:rPr>
      </w:pPr>
      <w:hyperlink w:anchor="_Toc134198015" w:history="1">
        <w:r w:rsidR="008618F2" w:rsidRPr="00DC3933">
          <w:rPr>
            <w:rStyle w:val="Hyperlink"/>
            <w:noProof/>
          </w:rPr>
          <w:t>12.5</w:t>
        </w:r>
        <w:r w:rsidR="008618F2">
          <w:rPr>
            <w:rFonts w:asciiTheme="minorHAnsi" w:eastAsiaTheme="minorEastAsia" w:hAnsiTheme="minorHAnsi" w:cstheme="minorBidi"/>
            <w:b w:val="0"/>
            <w:noProof/>
            <w:szCs w:val="22"/>
            <w:lang w:eastAsia="en-GB"/>
          </w:rPr>
          <w:tab/>
        </w:r>
        <w:r w:rsidR="008618F2" w:rsidRPr="00DC3933">
          <w:rPr>
            <w:rStyle w:val="Hyperlink"/>
            <w:noProof/>
          </w:rPr>
          <w:t>Structural analysis</w:t>
        </w:r>
        <w:r w:rsidR="008618F2">
          <w:rPr>
            <w:noProof/>
            <w:webHidden/>
          </w:rPr>
          <w:tab/>
        </w:r>
        <w:r w:rsidR="008618F2">
          <w:rPr>
            <w:noProof/>
            <w:webHidden/>
          </w:rPr>
          <w:fldChar w:fldCharType="begin"/>
        </w:r>
        <w:r w:rsidR="008618F2">
          <w:rPr>
            <w:noProof/>
            <w:webHidden/>
          </w:rPr>
          <w:instrText xml:space="preserve"> PAGEREF _Toc134198015 \h </w:instrText>
        </w:r>
        <w:r w:rsidR="008618F2">
          <w:rPr>
            <w:noProof/>
            <w:webHidden/>
          </w:rPr>
        </w:r>
        <w:r w:rsidR="008618F2">
          <w:rPr>
            <w:noProof/>
            <w:webHidden/>
          </w:rPr>
          <w:fldChar w:fldCharType="separate"/>
        </w:r>
        <w:r w:rsidR="000720CB">
          <w:rPr>
            <w:noProof/>
            <w:webHidden/>
          </w:rPr>
          <w:t>184</w:t>
        </w:r>
        <w:r w:rsidR="008618F2">
          <w:rPr>
            <w:noProof/>
            <w:webHidden/>
          </w:rPr>
          <w:fldChar w:fldCharType="end"/>
        </w:r>
      </w:hyperlink>
    </w:p>
    <w:p w14:paraId="0336BC74" w14:textId="541D0342" w:rsidR="008618F2" w:rsidRDefault="009B5CEC" w:rsidP="008618F2">
      <w:pPr>
        <w:pStyle w:val="TOC3"/>
        <w:jc w:val="left"/>
        <w:rPr>
          <w:rFonts w:asciiTheme="minorHAnsi" w:eastAsiaTheme="minorEastAsia" w:hAnsiTheme="minorHAnsi" w:cstheme="minorBidi"/>
          <w:b w:val="0"/>
          <w:noProof/>
          <w:szCs w:val="22"/>
          <w:lang w:eastAsia="en-GB"/>
        </w:rPr>
      </w:pPr>
      <w:hyperlink w:anchor="_Toc134198016" w:history="1">
        <w:r w:rsidR="008618F2" w:rsidRPr="00DC3933">
          <w:rPr>
            <w:rStyle w:val="Hyperlink"/>
            <w:noProof/>
          </w:rPr>
          <w:t>12.5.1</w:t>
        </w:r>
        <w:r w:rsidR="008618F2">
          <w:rPr>
            <w:rFonts w:asciiTheme="minorHAnsi" w:eastAsiaTheme="minorEastAsia" w:hAnsiTheme="minorHAnsi" w:cstheme="minorBidi"/>
            <w:b w:val="0"/>
            <w:noProof/>
            <w:szCs w:val="22"/>
            <w:lang w:eastAsia="en-GB"/>
          </w:rPr>
          <w:tab/>
        </w:r>
        <w:r w:rsidR="008618F2" w:rsidRPr="00DC3933">
          <w:rPr>
            <w:rStyle w:val="Hyperlink"/>
            <w:noProof/>
          </w:rPr>
          <w:t>General</w:t>
        </w:r>
        <w:r w:rsidR="008618F2">
          <w:rPr>
            <w:noProof/>
            <w:webHidden/>
          </w:rPr>
          <w:tab/>
        </w:r>
        <w:r w:rsidR="008618F2">
          <w:rPr>
            <w:noProof/>
            <w:webHidden/>
          </w:rPr>
          <w:fldChar w:fldCharType="begin"/>
        </w:r>
        <w:r w:rsidR="008618F2">
          <w:rPr>
            <w:noProof/>
            <w:webHidden/>
          </w:rPr>
          <w:instrText xml:space="preserve"> PAGEREF _Toc134198016 \h </w:instrText>
        </w:r>
        <w:r w:rsidR="008618F2">
          <w:rPr>
            <w:noProof/>
            <w:webHidden/>
          </w:rPr>
        </w:r>
        <w:r w:rsidR="008618F2">
          <w:rPr>
            <w:noProof/>
            <w:webHidden/>
          </w:rPr>
          <w:fldChar w:fldCharType="separate"/>
        </w:r>
        <w:r w:rsidR="000720CB">
          <w:rPr>
            <w:noProof/>
            <w:webHidden/>
          </w:rPr>
          <w:t>184</w:t>
        </w:r>
        <w:r w:rsidR="008618F2">
          <w:rPr>
            <w:noProof/>
            <w:webHidden/>
          </w:rPr>
          <w:fldChar w:fldCharType="end"/>
        </w:r>
      </w:hyperlink>
    </w:p>
    <w:p w14:paraId="65E87339" w14:textId="056428A3" w:rsidR="008618F2" w:rsidRDefault="009B5CEC" w:rsidP="008618F2">
      <w:pPr>
        <w:pStyle w:val="TOC3"/>
        <w:jc w:val="left"/>
        <w:rPr>
          <w:rFonts w:asciiTheme="minorHAnsi" w:eastAsiaTheme="minorEastAsia" w:hAnsiTheme="minorHAnsi" w:cstheme="minorBidi"/>
          <w:b w:val="0"/>
          <w:noProof/>
          <w:szCs w:val="22"/>
          <w:lang w:eastAsia="en-GB"/>
        </w:rPr>
      </w:pPr>
      <w:hyperlink w:anchor="_Toc134198017" w:history="1">
        <w:r w:rsidR="008618F2" w:rsidRPr="00DC3933">
          <w:rPr>
            <w:rStyle w:val="Hyperlink"/>
            <w:noProof/>
          </w:rPr>
          <w:t>12.5.2</w:t>
        </w:r>
        <w:r w:rsidR="008618F2">
          <w:rPr>
            <w:rFonts w:asciiTheme="minorHAnsi" w:eastAsiaTheme="minorEastAsia" w:hAnsiTheme="minorHAnsi" w:cstheme="minorBidi"/>
            <w:b w:val="0"/>
            <w:noProof/>
            <w:szCs w:val="22"/>
            <w:lang w:eastAsia="en-GB"/>
          </w:rPr>
          <w:tab/>
        </w:r>
        <w:r w:rsidR="008618F2" w:rsidRPr="00DC3933">
          <w:rPr>
            <w:rStyle w:val="Hyperlink"/>
            <w:noProof/>
          </w:rPr>
          <w:t>Stiffness of sections</w:t>
        </w:r>
        <w:r w:rsidR="008618F2">
          <w:rPr>
            <w:noProof/>
            <w:webHidden/>
          </w:rPr>
          <w:tab/>
        </w:r>
        <w:r w:rsidR="008618F2">
          <w:rPr>
            <w:noProof/>
            <w:webHidden/>
          </w:rPr>
          <w:fldChar w:fldCharType="begin"/>
        </w:r>
        <w:r w:rsidR="008618F2">
          <w:rPr>
            <w:noProof/>
            <w:webHidden/>
          </w:rPr>
          <w:instrText xml:space="preserve"> PAGEREF _Toc134198017 \h </w:instrText>
        </w:r>
        <w:r w:rsidR="008618F2">
          <w:rPr>
            <w:noProof/>
            <w:webHidden/>
          </w:rPr>
        </w:r>
        <w:r w:rsidR="008618F2">
          <w:rPr>
            <w:noProof/>
            <w:webHidden/>
          </w:rPr>
          <w:fldChar w:fldCharType="separate"/>
        </w:r>
        <w:r w:rsidR="000720CB">
          <w:rPr>
            <w:noProof/>
            <w:webHidden/>
          </w:rPr>
          <w:t>184</w:t>
        </w:r>
        <w:r w:rsidR="008618F2">
          <w:rPr>
            <w:noProof/>
            <w:webHidden/>
          </w:rPr>
          <w:fldChar w:fldCharType="end"/>
        </w:r>
      </w:hyperlink>
    </w:p>
    <w:p w14:paraId="21993DAF" w14:textId="7EB4E9CC" w:rsidR="008618F2" w:rsidRDefault="009B5CEC" w:rsidP="008618F2">
      <w:pPr>
        <w:pStyle w:val="TOC2"/>
        <w:jc w:val="left"/>
        <w:rPr>
          <w:rFonts w:asciiTheme="minorHAnsi" w:eastAsiaTheme="minorEastAsia" w:hAnsiTheme="minorHAnsi" w:cstheme="minorBidi"/>
          <w:b w:val="0"/>
          <w:noProof/>
          <w:szCs w:val="22"/>
          <w:lang w:eastAsia="en-GB"/>
        </w:rPr>
      </w:pPr>
      <w:hyperlink w:anchor="_Toc134198018" w:history="1">
        <w:r w:rsidR="008618F2" w:rsidRPr="00DC3933">
          <w:rPr>
            <w:rStyle w:val="Hyperlink"/>
            <w:noProof/>
          </w:rPr>
          <w:t>12.6</w:t>
        </w:r>
        <w:r w:rsidR="008618F2">
          <w:rPr>
            <w:rFonts w:asciiTheme="minorHAnsi" w:eastAsiaTheme="minorEastAsia" w:hAnsiTheme="minorHAnsi" w:cstheme="minorBidi"/>
            <w:b w:val="0"/>
            <w:noProof/>
            <w:szCs w:val="22"/>
            <w:lang w:eastAsia="en-GB"/>
          </w:rPr>
          <w:tab/>
        </w:r>
        <w:r w:rsidR="008618F2" w:rsidRPr="00DC3933">
          <w:rPr>
            <w:rStyle w:val="Hyperlink"/>
            <w:noProof/>
          </w:rPr>
          <w:t>Verification to limit states</w:t>
        </w:r>
        <w:r w:rsidR="008618F2">
          <w:rPr>
            <w:noProof/>
            <w:webHidden/>
          </w:rPr>
          <w:tab/>
        </w:r>
        <w:r w:rsidR="008618F2">
          <w:rPr>
            <w:noProof/>
            <w:webHidden/>
          </w:rPr>
          <w:fldChar w:fldCharType="begin"/>
        </w:r>
        <w:r w:rsidR="008618F2">
          <w:rPr>
            <w:noProof/>
            <w:webHidden/>
          </w:rPr>
          <w:instrText xml:space="preserve"> PAGEREF _Toc134198018 \h </w:instrText>
        </w:r>
        <w:r w:rsidR="008618F2">
          <w:rPr>
            <w:noProof/>
            <w:webHidden/>
          </w:rPr>
        </w:r>
        <w:r w:rsidR="008618F2">
          <w:rPr>
            <w:noProof/>
            <w:webHidden/>
          </w:rPr>
          <w:fldChar w:fldCharType="separate"/>
        </w:r>
        <w:r w:rsidR="000720CB">
          <w:rPr>
            <w:noProof/>
            <w:webHidden/>
          </w:rPr>
          <w:t>185</w:t>
        </w:r>
        <w:r w:rsidR="008618F2">
          <w:rPr>
            <w:noProof/>
            <w:webHidden/>
          </w:rPr>
          <w:fldChar w:fldCharType="end"/>
        </w:r>
      </w:hyperlink>
    </w:p>
    <w:p w14:paraId="0EE0233E" w14:textId="558EBF76" w:rsidR="008618F2" w:rsidRDefault="009B5CEC" w:rsidP="008618F2">
      <w:pPr>
        <w:pStyle w:val="TOC3"/>
        <w:jc w:val="left"/>
        <w:rPr>
          <w:rFonts w:asciiTheme="minorHAnsi" w:eastAsiaTheme="minorEastAsia" w:hAnsiTheme="minorHAnsi" w:cstheme="minorBidi"/>
          <w:b w:val="0"/>
          <w:noProof/>
          <w:szCs w:val="22"/>
          <w:lang w:eastAsia="en-GB"/>
        </w:rPr>
      </w:pPr>
      <w:hyperlink w:anchor="_Toc134198019" w:history="1">
        <w:r w:rsidR="008618F2" w:rsidRPr="00DC3933">
          <w:rPr>
            <w:rStyle w:val="Hyperlink"/>
            <w:noProof/>
          </w:rPr>
          <w:t>12.6.1</w:t>
        </w:r>
        <w:r w:rsidR="008618F2">
          <w:rPr>
            <w:rFonts w:asciiTheme="minorHAnsi" w:eastAsiaTheme="minorEastAsia" w:hAnsiTheme="minorHAnsi" w:cstheme="minorBidi"/>
            <w:b w:val="0"/>
            <w:noProof/>
            <w:szCs w:val="22"/>
            <w:lang w:eastAsia="en-GB"/>
          </w:rPr>
          <w:tab/>
        </w:r>
        <w:r w:rsidR="008618F2" w:rsidRPr="00DC3933">
          <w:rPr>
            <w:rStyle w:val="Hyperlink"/>
            <w:noProof/>
          </w:rPr>
          <w:t>General</w:t>
        </w:r>
        <w:r w:rsidR="008618F2">
          <w:rPr>
            <w:noProof/>
            <w:webHidden/>
          </w:rPr>
          <w:tab/>
        </w:r>
        <w:r w:rsidR="008618F2">
          <w:rPr>
            <w:noProof/>
            <w:webHidden/>
          </w:rPr>
          <w:fldChar w:fldCharType="begin"/>
        </w:r>
        <w:r w:rsidR="008618F2">
          <w:rPr>
            <w:noProof/>
            <w:webHidden/>
          </w:rPr>
          <w:instrText xml:space="preserve"> PAGEREF _Toc134198019 \h </w:instrText>
        </w:r>
        <w:r w:rsidR="008618F2">
          <w:rPr>
            <w:noProof/>
            <w:webHidden/>
          </w:rPr>
        </w:r>
        <w:r w:rsidR="008618F2">
          <w:rPr>
            <w:noProof/>
            <w:webHidden/>
          </w:rPr>
          <w:fldChar w:fldCharType="separate"/>
        </w:r>
        <w:r w:rsidR="000720CB">
          <w:rPr>
            <w:noProof/>
            <w:webHidden/>
          </w:rPr>
          <w:t>185</w:t>
        </w:r>
        <w:r w:rsidR="008618F2">
          <w:rPr>
            <w:noProof/>
            <w:webHidden/>
          </w:rPr>
          <w:fldChar w:fldCharType="end"/>
        </w:r>
      </w:hyperlink>
    </w:p>
    <w:p w14:paraId="47B4ABA2" w14:textId="11D92A26" w:rsidR="008618F2" w:rsidRDefault="009B5CEC" w:rsidP="008618F2">
      <w:pPr>
        <w:pStyle w:val="TOC3"/>
        <w:jc w:val="left"/>
        <w:rPr>
          <w:rFonts w:asciiTheme="minorHAnsi" w:eastAsiaTheme="minorEastAsia" w:hAnsiTheme="minorHAnsi" w:cstheme="minorBidi"/>
          <w:b w:val="0"/>
          <w:noProof/>
          <w:szCs w:val="22"/>
          <w:lang w:eastAsia="en-GB"/>
        </w:rPr>
      </w:pPr>
      <w:hyperlink w:anchor="_Toc134198020" w:history="1">
        <w:r w:rsidR="008618F2" w:rsidRPr="00DC3933">
          <w:rPr>
            <w:rStyle w:val="Hyperlink"/>
            <w:noProof/>
          </w:rPr>
          <w:t>12.6.2</w:t>
        </w:r>
        <w:r w:rsidR="008618F2">
          <w:rPr>
            <w:rFonts w:asciiTheme="minorHAnsi" w:eastAsiaTheme="minorEastAsia" w:hAnsiTheme="minorHAnsi" w:cstheme="minorBidi"/>
            <w:b w:val="0"/>
            <w:noProof/>
            <w:szCs w:val="22"/>
            <w:lang w:eastAsia="en-GB"/>
          </w:rPr>
          <w:tab/>
        </w:r>
        <w:r w:rsidR="008618F2" w:rsidRPr="00DC3933">
          <w:rPr>
            <w:rStyle w:val="Hyperlink"/>
            <w:noProof/>
          </w:rPr>
          <w:t>Verifications at Significant Damage limit state in a force-based approach</w:t>
        </w:r>
        <w:r w:rsidR="008618F2">
          <w:rPr>
            <w:noProof/>
            <w:webHidden/>
          </w:rPr>
          <w:tab/>
        </w:r>
        <w:r w:rsidR="008618F2">
          <w:rPr>
            <w:noProof/>
            <w:webHidden/>
          </w:rPr>
          <w:fldChar w:fldCharType="begin"/>
        </w:r>
        <w:r w:rsidR="008618F2">
          <w:rPr>
            <w:noProof/>
            <w:webHidden/>
          </w:rPr>
          <w:instrText xml:space="preserve"> PAGEREF _Toc134198020 \h </w:instrText>
        </w:r>
        <w:r w:rsidR="008618F2">
          <w:rPr>
            <w:noProof/>
            <w:webHidden/>
          </w:rPr>
        </w:r>
        <w:r w:rsidR="008618F2">
          <w:rPr>
            <w:noProof/>
            <w:webHidden/>
          </w:rPr>
          <w:fldChar w:fldCharType="separate"/>
        </w:r>
        <w:r w:rsidR="000720CB">
          <w:rPr>
            <w:noProof/>
            <w:webHidden/>
          </w:rPr>
          <w:t>185</w:t>
        </w:r>
        <w:r w:rsidR="008618F2">
          <w:rPr>
            <w:noProof/>
            <w:webHidden/>
          </w:rPr>
          <w:fldChar w:fldCharType="end"/>
        </w:r>
      </w:hyperlink>
    </w:p>
    <w:p w14:paraId="792942D6" w14:textId="5A61FA27" w:rsidR="008618F2" w:rsidRDefault="009B5CEC" w:rsidP="008618F2">
      <w:pPr>
        <w:pStyle w:val="TOC3"/>
        <w:jc w:val="left"/>
        <w:rPr>
          <w:rFonts w:asciiTheme="minorHAnsi" w:eastAsiaTheme="minorEastAsia" w:hAnsiTheme="minorHAnsi" w:cstheme="minorBidi"/>
          <w:b w:val="0"/>
          <w:noProof/>
          <w:szCs w:val="22"/>
          <w:lang w:eastAsia="en-GB"/>
        </w:rPr>
      </w:pPr>
      <w:hyperlink w:anchor="_Toc134198021" w:history="1">
        <w:r w:rsidR="008618F2" w:rsidRPr="00DC3933">
          <w:rPr>
            <w:rStyle w:val="Hyperlink"/>
            <w:noProof/>
          </w:rPr>
          <w:t>12.6.3</w:t>
        </w:r>
        <w:r w:rsidR="008618F2">
          <w:rPr>
            <w:rFonts w:asciiTheme="minorHAnsi" w:eastAsiaTheme="minorEastAsia" w:hAnsiTheme="minorHAnsi" w:cstheme="minorBidi"/>
            <w:b w:val="0"/>
            <w:noProof/>
            <w:szCs w:val="22"/>
            <w:lang w:eastAsia="en-GB"/>
          </w:rPr>
          <w:tab/>
        </w:r>
        <w:r w:rsidR="008618F2" w:rsidRPr="00DC3933">
          <w:rPr>
            <w:rStyle w:val="Hyperlink"/>
            <w:noProof/>
          </w:rPr>
          <w:t>Verifications at Significant Damage limit state in a displacement-based approach</w:t>
        </w:r>
        <w:r w:rsidR="008618F2">
          <w:rPr>
            <w:noProof/>
            <w:webHidden/>
          </w:rPr>
          <w:tab/>
        </w:r>
        <w:r w:rsidR="008618F2">
          <w:rPr>
            <w:noProof/>
            <w:webHidden/>
          </w:rPr>
          <w:fldChar w:fldCharType="begin"/>
        </w:r>
        <w:r w:rsidR="008618F2">
          <w:rPr>
            <w:noProof/>
            <w:webHidden/>
          </w:rPr>
          <w:instrText xml:space="preserve"> PAGEREF _Toc134198021 \h </w:instrText>
        </w:r>
        <w:r w:rsidR="008618F2">
          <w:rPr>
            <w:noProof/>
            <w:webHidden/>
          </w:rPr>
        </w:r>
        <w:r w:rsidR="008618F2">
          <w:rPr>
            <w:noProof/>
            <w:webHidden/>
          </w:rPr>
          <w:fldChar w:fldCharType="separate"/>
        </w:r>
        <w:r w:rsidR="000720CB">
          <w:rPr>
            <w:noProof/>
            <w:webHidden/>
          </w:rPr>
          <w:t>185</w:t>
        </w:r>
        <w:r w:rsidR="008618F2">
          <w:rPr>
            <w:noProof/>
            <w:webHidden/>
          </w:rPr>
          <w:fldChar w:fldCharType="end"/>
        </w:r>
      </w:hyperlink>
    </w:p>
    <w:p w14:paraId="3EF5F58B" w14:textId="0C6973E2" w:rsidR="008618F2" w:rsidRDefault="009B5CEC" w:rsidP="008618F2">
      <w:pPr>
        <w:pStyle w:val="TOC3"/>
        <w:jc w:val="left"/>
        <w:rPr>
          <w:rFonts w:asciiTheme="minorHAnsi" w:eastAsiaTheme="minorEastAsia" w:hAnsiTheme="minorHAnsi" w:cstheme="minorBidi"/>
          <w:b w:val="0"/>
          <w:noProof/>
          <w:szCs w:val="22"/>
          <w:lang w:eastAsia="en-GB"/>
        </w:rPr>
      </w:pPr>
      <w:hyperlink w:anchor="_Toc134198022" w:history="1">
        <w:r w:rsidR="008618F2" w:rsidRPr="00DC3933">
          <w:rPr>
            <w:rStyle w:val="Hyperlink"/>
            <w:noProof/>
          </w:rPr>
          <w:t>12.6.4</w:t>
        </w:r>
        <w:r w:rsidR="008618F2">
          <w:rPr>
            <w:rFonts w:asciiTheme="minorHAnsi" w:eastAsiaTheme="minorEastAsia" w:hAnsiTheme="minorHAnsi" w:cstheme="minorBidi"/>
            <w:b w:val="0"/>
            <w:noProof/>
            <w:szCs w:val="22"/>
            <w:lang w:eastAsia="en-GB"/>
          </w:rPr>
          <w:tab/>
        </w:r>
        <w:r w:rsidR="008618F2" w:rsidRPr="00DC3933">
          <w:rPr>
            <w:rStyle w:val="Hyperlink"/>
            <w:noProof/>
          </w:rPr>
          <w:t>Limitation of interstorey drift at Significant Damage limit state</w:t>
        </w:r>
        <w:r w:rsidR="008618F2">
          <w:rPr>
            <w:noProof/>
            <w:webHidden/>
          </w:rPr>
          <w:tab/>
        </w:r>
        <w:r w:rsidR="008618F2">
          <w:rPr>
            <w:noProof/>
            <w:webHidden/>
          </w:rPr>
          <w:fldChar w:fldCharType="begin"/>
        </w:r>
        <w:r w:rsidR="008618F2">
          <w:rPr>
            <w:noProof/>
            <w:webHidden/>
          </w:rPr>
          <w:instrText xml:space="preserve"> PAGEREF _Toc134198022 \h </w:instrText>
        </w:r>
        <w:r w:rsidR="008618F2">
          <w:rPr>
            <w:noProof/>
            <w:webHidden/>
          </w:rPr>
        </w:r>
        <w:r w:rsidR="008618F2">
          <w:rPr>
            <w:noProof/>
            <w:webHidden/>
          </w:rPr>
          <w:fldChar w:fldCharType="separate"/>
        </w:r>
        <w:r w:rsidR="000720CB">
          <w:rPr>
            <w:noProof/>
            <w:webHidden/>
          </w:rPr>
          <w:t>185</w:t>
        </w:r>
        <w:r w:rsidR="008618F2">
          <w:rPr>
            <w:noProof/>
            <w:webHidden/>
          </w:rPr>
          <w:fldChar w:fldCharType="end"/>
        </w:r>
      </w:hyperlink>
    </w:p>
    <w:p w14:paraId="7CD99B40" w14:textId="48350F3C" w:rsidR="008618F2" w:rsidRDefault="009B5CEC" w:rsidP="008618F2">
      <w:pPr>
        <w:pStyle w:val="TOC2"/>
        <w:jc w:val="left"/>
        <w:rPr>
          <w:rFonts w:asciiTheme="minorHAnsi" w:eastAsiaTheme="minorEastAsia" w:hAnsiTheme="minorHAnsi" w:cstheme="minorBidi"/>
          <w:b w:val="0"/>
          <w:noProof/>
          <w:szCs w:val="22"/>
          <w:lang w:eastAsia="en-GB"/>
        </w:rPr>
      </w:pPr>
      <w:hyperlink w:anchor="_Toc134198023" w:history="1">
        <w:r w:rsidR="008618F2" w:rsidRPr="00DC3933">
          <w:rPr>
            <w:rStyle w:val="Hyperlink"/>
            <w:noProof/>
          </w:rPr>
          <w:t>12.7</w:t>
        </w:r>
        <w:r w:rsidR="008618F2">
          <w:rPr>
            <w:rFonts w:asciiTheme="minorHAnsi" w:eastAsiaTheme="minorEastAsia" w:hAnsiTheme="minorHAnsi" w:cstheme="minorBidi"/>
            <w:b w:val="0"/>
            <w:noProof/>
            <w:szCs w:val="22"/>
            <w:lang w:eastAsia="en-GB"/>
          </w:rPr>
          <w:tab/>
        </w:r>
        <w:r w:rsidR="008618F2" w:rsidRPr="00DC3933">
          <w:rPr>
            <w:rStyle w:val="Hyperlink"/>
            <w:noProof/>
          </w:rPr>
          <w:t>Design rules for low-dissipative (DC1) and non-dissipative structural behaviour for all structural types</w:t>
        </w:r>
        <w:r w:rsidR="008618F2">
          <w:rPr>
            <w:noProof/>
            <w:webHidden/>
          </w:rPr>
          <w:tab/>
        </w:r>
        <w:r w:rsidR="008618F2">
          <w:rPr>
            <w:noProof/>
            <w:webHidden/>
          </w:rPr>
          <w:fldChar w:fldCharType="begin"/>
        </w:r>
        <w:r w:rsidR="008618F2">
          <w:rPr>
            <w:noProof/>
            <w:webHidden/>
          </w:rPr>
          <w:instrText xml:space="preserve"> PAGEREF _Toc134198023 \h </w:instrText>
        </w:r>
        <w:r w:rsidR="008618F2">
          <w:rPr>
            <w:noProof/>
            <w:webHidden/>
          </w:rPr>
        </w:r>
        <w:r w:rsidR="008618F2">
          <w:rPr>
            <w:noProof/>
            <w:webHidden/>
          </w:rPr>
          <w:fldChar w:fldCharType="separate"/>
        </w:r>
        <w:r w:rsidR="000720CB">
          <w:rPr>
            <w:noProof/>
            <w:webHidden/>
          </w:rPr>
          <w:t>186</w:t>
        </w:r>
        <w:r w:rsidR="008618F2">
          <w:rPr>
            <w:noProof/>
            <w:webHidden/>
          </w:rPr>
          <w:fldChar w:fldCharType="end"/>
        </w:r>
      </w:hyperlink>
    </w:p>
    <w:p w14:paraId="4325EA93" w14:textId="3D4FF12F" w:rsidR="008618F2" w:rsidRDefault="009B5CEC" w:rsidP="008618F2">
      <w:pPr>
        <w:pStyle w:val="TOC3"/>
        <w:jc w:val="left"/>
        <w:rPr>
          <w:rFonts w:asciiTheme="minorHAnsi" w:eastAsiaTheme="minorEastAsia" w:hAnsiTheme="minorHAnsi" w:cstheme="minorBidi"/>
          <w:b w:val="0"/>
          <w:noProof/>
          <w:szCs w:val="22"/>
          <w:lang w:eastAsia="en-GB"/>
        </w:rPr>
      </w:pPr>
      <w:hyperlink w:anchor="_Toc134198024" w:history="1">
        <w:r w:rsidR="008618F2" w:rsidRPr="00DC3933">
          <w:rPr>
            <w:rStyle w:val="Hyperlink"/>
            <w:noProof/>
          </w:rPr>
          <w:t>12.7.1</w:t>
        </w:r>
        <w:r w:rsidR="008618F2">
          <w:rPr>
            <w:rFonts w:asciiTheme="minorHAnsi" w:eastAsiaTheme="minorEastAsia" w:hAnsiTheme="minorHAnsi" w:cstheme="minorBidi"/>
            <w:b w:val="0"/>
            <w:noProof/>
            <w:szCs w:val="22"/>
            <w:lang w:eastAsia="en-GB"/>
          </w:rPr>
          <w:tab/>
        </w:r>
        <w:r w:rsidR="008618F2" w:rsidRPr="00DC3933">
          <w:rPr>
            <w:rStyle w:val="Hyperlink"/>
            <w:noProof/>
          </w:rPr>
          <w:t>General</w:t>
        </w:r>
        <w:r w:rsidR="008618F2">
          <w:rPr>
            <w:noProof/>
            <w:webHidden/>
          </w:rPr>
          <w:tab/>
        </w:r>
        <w:r w:rsidR="008618F2">
          <w:rPr>
            <w:noProof/>
            <w:webHidden/>
          </w:rPr>
          <w:fldChar w:fldCharType="begin"/>
        </w:r>
        <w:r w:rsidR="008618F2">
          <w:rPr>
            <w:noProof/>
            <w:webHidden/>
          </w:rPr>
          <w:instrText xml:space="preserve"> PAGEREF _Toc134198024 \h </w:instrText>
        </w:r>
        <w:r w:rsidR="008618F2">
          <w:rPr>
            <w:noProof/>
            <w:webHidden/>
          </w:rPr>
        </w:r>
        <w:r w:rsidR="008618F2">
          <w:rPr>
            <w:noProof/>
            <w:webHidden/>
          </w:rPr>
          <w:fldChar w:fldCharType="separate"/>
        </w:r>
        <w:r w:rsidR="000720CB">
          <w:rPr>
            <w:noProof/>
            <w:webHidden/>
          </w:rPr>
          <w:t>186</w:t>
        </w:r>
        <w:r w:rsidR="008618F2">
          <w:rPr>
            <w:noProof/>
            <w:webHidden/>
          </w:rPr>
          <w:fldChar w:fldCharType="end"/>
        </w:r>
      </w:hyperlink>
    </w:p>
    <w:p w14:paraId="20A4DADA" w14:textId="5A358F3C" w:rsidR="008618F2" w:rsidRDefault="009B5CEC" w:rsidP="008618F2">
      <w:pPr>
        <w:pStyle w:val="TOC3"/>
        <w:jc w:val="left"/>
        <w:rPr>
          <w:rFonts w:asciiTheme="minorHAnsi" w:eastAsiaTheme="minorEastAsia" w:hAnsiTheme="minorHAnsi" w:cstheme="minorBidi"/>
          <w:b w:val="0"/>
          <w:noProof/>
          <w:szCs w:val="22"/>
          <w:lang w:eastAsia="en-GB"/>
        </w:rPr>
      </w:pPr>
      <w:hyperlink w:anchor="_Toc134198025" w:history="1">
        <w:r w:rsidR="008618F2" w:rsidRPr="00DC3933">
          <w:rPr>
            <w:rStyle w:val="Hyperlink"/>
            <w:noProof/>
          </w:rPr>
          <w:t>12.7.2</w:t>
        </w:r>
        <w:r w:rsidR="008618F2">
          <w:rPr>
            <w:rFonts w:asciiTheme="minorHAnsi" w:eastAsiaTheme="minorEastAsia" w:hAnsiTheme="minorHAnsi" w:cstheme="minorBidi"/>
            <w:b w:val="0"/>
            <w:noProof/>
            <w:szCs w:val="22"/>
            <w:lang w:eastAsia="en-GB"/>
          </w:rPr>
          <w:tab/>
        </w:r>
        <w:r w:rsidR="008618F2" w:rsidRPr="00DC3933">
          <w:rPr>
            <w:rStyle w:val="Hyperlink"/>
            <w:noProof/>
          </w:rPr>
          <w:t>Design rules for low-dissipative structures</w:t>
        </w:r>
        <w:r w:rsidR="008618F2">
          <w:rPr>
            <w:noProof/>
            <w:webHidden/>
          </w:rPr>
          <w:tab/>
        </w:r>
        <w:r w:rsidR="008618F2">
          <w:rPr>
            <w:noProof/>
            <w:webHidden/>
          </w:rPr>
          <w:fldChar w:fldCharType="begin"/>
        </w:r>
        <w:r w:rsidR="008618F2">
          <w:rPr>
            <w:noProof/>
            <w:webHidden/>
          </w:rPr>
          <w:instrText xml:space="preserve"> PAGEREF _Toc134198025 \h </w:instrText>
        </w:r>
        <w:r w:rsidR="008618F2">
          <w:rPr>
            <w:noProof/>
            <w:webHidden/>
          </w:rPr>
        </w:r>
        <w:r w:rsidR="008618F2">
          <w:rPr>
            <w:noProof/>
            <w:webHidden/>
          </w:rPr>
          <w:fldChar w:fldCharType="separate"/>
        </w:r>
        <w:r w:rsidR="000720CB">
          <w:rPr>
            <w:noProof/>
            <w:webHidden/>
          </w:rPr>
          <w:t>186</w:t>
        </w:r>
        <w:r w:rsidR="008618F2">
          <w:rPr>
            <w:noProof/>
            <w:webHidden/>
          </w:rPr>
          <w:fldChar w:fldCharType="end"/>
        </w:r>
      </w:hyperlink>
    </w:p>
    <w:p w14:paraId="6F6CA1AD" w14:textId="40C3D3B2" w:rsidR="008618F2" w:rsidRDefault="009B5CEC" w:rsidP="008618F2">
      <w:pPr>
        <w:pStyle w:val="TOC3"/>
        <w:jc w:val="left"/>
        <w:rPr>
          <w:rFonts w:asciiTheme="minorHAnsi" w:eastAsiaTheme="minorEastAsia" w:hAnsiTheme="minorHAnsi" w:cstheme="minorBidi"/>
          <w:b w:val="0"/>
          <w:noProof/>
          <w:szCs w:val="22"/>
          <w:lang w:eastAsia="en-GB"/>
        </w:rPr>
      </w:pPr>
      <w:hyperlink w:anchor="_Toc134198026" w:history="1">
        <w:r w:rsidR="008618F2" w:rsidRPr="00DC3933">
          <w:rPr>
            <w:rStyle w:val="Hyperlink"/>
            <w:noProof/>
          </w:rPr>
          <w:t>12.7.3</w:t>
        </w:r>
        <w:r w:rsidR="008618F2">
          <w:rPr>
            <w:rFonts w:asciiTheme="minorHAnsi" w:eastAsiaTheme="minorEastAsia" w:hAnsiTheme="minorHAnsi" w:cstheme="minorBidi"/>
            <w:b w:val="0"/>
            <w:noProof/>
            <w:szCs w:val="22"/>
            <w:lang w:eastAsia="en-GB"/>
          </w:rPr>
          <w:tab/>
        </w:r>
        <w:r w:rsidR="008618F2" w:rsidRPr="00DC3933">
          <w:rPr>
            <w:rStyle w:val="Hyperlink"/>
            <w:noProof/>
          </w:rPr>
          <w:t>Design rules for non-dissipative structures</w:t>
        </w:r>
        <w:r w:rsidR="008618F2">
          <w:rPr>
            <w:noProof/>
            <w:webHidden/>
          </w:rPr>
          <w:tab/>
        </w:r>
        <w:r w:rsidR="008618F2">
          <w:rPr>
            <w:noProof/>
            <w:webHidden/>
          </w:rPr>
          <w:fldChar w:fldCharType="begin"/>
        </w:r>
        <w:r w:rsidR="008618F2">
          <w:rPr>
            <w:noProof/>
            <w:webHidden/>
          </w:rPr>
          <w:instrText xml:space="preserve"> PAGEREF _Toc134198026 \h </w:instrText>
        </w:r>
        <w:r w:rsidR="008618F2">
          <w:rPr>
            <w:noProof/>
            <w:webHidden/>
          </w:rPr>
        </w:r>
        <w:r w:rsidR="008618F2">
          <w:rPr>
            <w:noProof/>
            <w:webHidden/>
          </w:rPr>
          <w:fldChar w:fldCharType="separate"/>
        </w:r>
        <w:r w:rsidR="000720CB">
          <w:rPr>
            <w:noProof/>
            <w:webHidden/>
          </w:rPr>
          <w:t>186</w:t>
        </w:r>
        <w:r w:rsidR="008618F2">
          <w:rPr>
            <w:noProof/>
            <w:webHidden/>
          </w:rPr>
          <w:fldChar w:fldCharType="end"/>
        </w:r>
      </w:hyperlink>
    </w:p>
    <w:p w14:paraId="35836ACD" w14:textId="30157D78" w:rsidR="008618F2" w:rsidRDefault="009B5CEC" w:rsidP="008618F2">
      <w:pPr>
        <w:pStyle w:val="TOC2"/>
        <w:jc w:val="left"/>
        <w:rPr>
          <w:rFonts w:asciiTheme="minorHAnsi" w:eastAsiaTheme="minorEastAsia" w:hAnsiTheme="minorHAnsi" w:cstheme="minorBidi"/>
          <w:b w:val="0"/>
          <w:noProof/>
          <w:szCs w:val="22"/>
          <w:lang w:eastAsia="en-GB"/>
        </w:rPr>
      </w:pPr>
      <w:hyperlink w:anchor="_Toc134198027" w:history="1">
        <w:r w:rsidR="008618F2" w:rsidRPr="00DC3933">
          <w:rPr>
            <w:rStyle w:val="Hyperlink"/>
            <w:noProof/>
          </w:rPr>
          <w:t>12.8</w:t>
        </w:r>
        <w:r w:rsidR="008618F2">
          <w:rPr>
            <w:rFonts w:asciiTheme="minorHAnsi" w:eastAsiaTheme="minorEastAsia" w:hAnsiTheme="minorHAnsi" w:cstheme="minorBidi"/>
            <w:b w:val="0"/>
            <w:noProof/>
            <w:szCs w:val="22"/>
            <w:lang w:eastAsia="en-GB"/>
          </w:rPr>
          <w:tab/>
        </w:r>
        <w:r w:rsidR="008618F2" w:rsidRPr="00DC3933">
          <w:rPr>
            <w:rStyle w:val="Hyperlink"/>
            <w:noProof/>
          </w:rPr>
          <w:t>Design rules for dissipative (DC2 and DC3) structural behaviour common to all structural types</w:t>
        </w:r>
        <w:r w:rsidR="008618F2">
          <w:rPr>
            <w:noProof/>
            <w:webHidden/>
          </w:rPr>
          <w:tab/>
        </w:r>
        <w:r w:rsidR="008618F2">
          <w:rPr>
            <w:noProof/>
            <w:webHidden/>
          </w:rPr>
          <w:fldChar w:fldCharType="begin"/>
        </w:r>
        <w:r w:rsidR="008618F2">
          <w:rPr>
            <w:noProof/>
            <w:webHidden/>
          </w:rPr>
          <w:instrText xml:space="preserve"> PAGEREF _Toc134198027 \h </w:instrText>
        </w:r>
        <w:r w:rsidR="008618F2">
          <w:rPr>
            <w:noProof/>
            <w:webHidden/>
          </w:rPr>
        </w:r>
        <w:r w:rsidR="008618F2">
          <w:rPr>
            <w:noProof/>
            <w:webHidden/>
          </w:rPr>
          <w:fldChar w:fldCharType="separate"/>
        </w:r>
        <w:r w:rsidR="000720CB">
          <w:rPr>
            <w:noProof/>
            <w:webHidden/>
          </w:rPr>
          <w:t>186</w:t>
        </w:r>
        <w:r w:rsidR="008618F2">
          <w:rPr>
            <w:noProof/>
            <w:webHidden/>
          </w:rPr>
          <w:fldChar w:fldCharType="end"/>
        </w:r>
      </w:hyperlink>
    </w:p>
    <w:p w14:paraId="0DA5052E" w14:textId="65E3EA5D" w:rsidR="008618F2" w:rsidRDefault="009B5CEC" w:rsidP="008618F2">
      <w:pPr>
        <w:pStyle w:val="TOC3"/>
        <w:jc w:val="left"/>
        <w:rPr>
          <w:rFonts w:asciiTheme="minorHAnsi" w:eastAsiaTheme="minorEastAsia" w:hAnsiTheme="minorHAnsi" w:cstheme="minorBidi"/>
          <w:b w:val="0"/>
          <w:noProof/>
          <w:szCs w:val="22"/>
          <w:lang w:eastAsia="en-GB"/>
        </w:rPr>
      </w:pPr>
      <w:hyperlink w:anchor="_Toc134198028" w:history="1">
        <w:r w:rsidR="008618F2" w:rsidRPr="00DC3933">
          <w:rPr>
            <w:rStyle w:val="Hyperlink"/>
            <w:noProof/>
          </w:rPr>
          <w:t>12.8.1</w:t>
        </w:r>
        <w:r w:rsidR="008618F2">
          <w:rPr>
            <w:rFonts w:asciiTheme="minorHAnsi" w:eastAsiaTheme="minorEastAsia" w:hAnsiTheme="minorHAnsi" w:cstheme="minorBidi"/>
            <w:b w:val="0"/>
            <w:noProof/>
            <w:szCs w:val="22"/>
            <w:lang w:eastAsia="en-GB"/>
          </w:rPr>
          <w:tab/>
        </w:r>
        <w:r w:rsidR="008618F2" w:rsidRPr="00DC3933">
          <w:rPr>
            <w:rStyle w:val="Hyperlink"/>
            <w:noProof/>
          </w:rPr>
          <w:t>General</w:t>
        </w:r>
        <w:r w:rsidR="008618F2">
          <w:rPr>
            <w:noProof/>
            <w:webHidden/>
          </w:rPr>
          <w:tab/>
        </w:r>
        <w:r w:rsidR="008618F2">
          <w:rPr>
            <w:noProof/>
            <w:webHidden/>
          </w:rPr>
          <w:fldChar w:fldCharType="begin"/>
        </w:r>
        <w:r w:rsidR="008618F2">
          <w:rPr>
            <w:noProof/>
            <w:webHidden/>
          </w:rPr>
          <w:instrText xml:space="preserve"> PAGEREF _Toc134198028 \h </w:instrText>
        </w:r>
        <w:r w:rsidR="008618F2">
          <w:rPr>
            <w:noProof/>
            <w:webHidden/>
          </w:rPr>
        </w:r>
        <w:r w:rsidR="008618F2">
          <w:rPr>
            <w:noProof/>
            <w:webHidden/>
          </w:rPr>
          <w:fldChar w:fldCharType="separate"/>
        </w:r>
        <w:r w:rsidR="000720CB">
          <w:rPr>
            <w:noProof/>
            <w:webHidden/>
          </w:rPr>
          <w:t>186</w:t>
        </w:r>
        <w:r w:rsidR="008618F2">
          <w:rPr>
            <w:noProof/>
            <w:webHidden/>
          </w:rPr>
          <w:fldChar w:fldCharType="end"/>
        </w:r>
      </w:hyperlink>
    </w:p>
    <w:p w14:paraId="0EC46CDD" w14:textId="485BFFEF" w:rsidR="008618F2" w:rsidRDefault="009B5CEC" w:rsidP="008618F2">
      <w:pPr>
        <w:pStyle w:val="TOC3"/>
        <w:jc w:val="left"/>
        <w:rPr>
          <w:rFonts w:asciiTheme="minorHAnsi" w:eastAsiaTheme="minorEastAsia" w:hAnsiTheme="minorHAnsi" w:cstheme="minorBidi"/>
          <w:b w:val="0"/>
          <w:noProof/>
          <w:szCs w:val="22"/>
          <w:lang w:eastAsia="en-GB"/>
        </w:rPr>
      </w:pPr>
      <w:hyperlink w:anchor="_Toc134198029" w:history="1">
        <w:r w:rsidR="008618F2" w:rsidRPr="00DC3933">
          <w:rPr>
            <w:rStyle w:val="Hyperlink"/>
            <w:noProof/>
          </w:rPr>
          <w:t>12.8.2</w:t>
        </w:r>
        <w:r w:rsidR="008618F2">
          <w:rPr>
            <w:rFonts w:asciiTheme="minorHAnsi" w:eastAsiaTheme="minorEastAsia" w:hAnsiTheme="minorHAnsi" w:cstheme="minorBidi"/>
            <w:b w:val="0"/>
            <w:noProof/>
            <w:szCs w:val="22"/>
            <w:lang w:eastAsia="en-GB"/>
          </w:rPr>
          <w:tab/>
        </w:r>
        <w:r w:rsidR="008618F2" w:rsidRPr="00DC3933">
          <w:rPr>
            <w:rStyle w:val="Hyperlink"/>
            <w:noProof/>
          </w:rPr>
          <w:t>Design criteria for dissipative structures</w:t>
        </w:r>
        <w:r w:rsidR="008618F2">
          <w:rPr>
            <w:noProof/>
            <w:webHidden/>
          </w:rPr>
          <w:tab/>
        </w:r>
        <w:r w:rsidR="008618F2">
          <w:rPr>
            <w:noProof/>
            <w:webHidden/>
          </w:rPr>
          <w:fldChar w:fldCharType="begin"/>
        </w:r>
        <w:r w:rsidR="008618F2">
          <w:rPr>
            <w:noProof/>
            <w:webHidden/>
          </w:rPr>
          <w:instrText xml:space="preserve"> PAGEREF _Toc134198029 \h </w:instrText>
        </w:r>
        <w:r w:rsidR="008618F2">
          <w:rPr>
            <w:noProof/>
            <w:webHidden/>
          </w:rPr>
        </w:r>
        <w:r w:rsidR="008618F2">
          <w:rPr>
            <w:noProof/>
            <w:webHidden/>
          </w:rPr>
          <w:fldChar w:fldCharType="separate"/>
        </w:r>
        <w:r w:rsidR="000720CB">
          <w:rPr>
            <w:noProof/>
            <w:webHidden/>
          </w:rPr>
          <w:t>186</w:t>
        </w:r>
        <w:r w:rsidR="008618F2">
          <w:rPr>
            <w:noProof/>
            <w:webHidden/>
          </w:rPr>
          <w:fldChar w:fldCharType="end"/>
        </w:r>
      </w:hyperlink>
    </w:p>
    <w:p w14:paraId="209101C6" w14:textId="31604680" w:rsidR="008618F2" w:rsidRDefault="009B5CEC" w:rsidP="008618F2">
      <w:pPr>
        <w:pStyle w:val="TOC3"/>
        <w:jc w:val="left"/>
        <w:rPr>
          <w:rFonts w:asciiTheme="minorHAnsi" w:eastAsiaTheme="minorEastAsia" w:hAnsiTheme="minorHAnsi" w:cstheme="minorBidi"/>
          <w:b w:val="0"/>
          <w:noProof/>
          <w:szCs w:val="22"/>
          <w:lang w:eastAsia="en-GB"/>
        </w:rPr>
      </w:pPr>
      <w:hyperlink w:anchor="_Toc134198030" w:history="1">
        <w:r w:rsidR="008618F2" w:rsidRPr="00DC3933">
          <w:rPr>
            <w:rStyle w:val="Hyperlink"/>
            <w:noProof/>
          </w:rPr>
          <w:t>12.8.3</w:t>
        </w:r>
        <w:r w:rsidR="008618F2">
          <w:rPr>
            <w:rFonts w:asciiTheme="minorHAnsi" w:eastAsiaTheme="minorEastAsia" w:hAnsiTheme="minorHAnsi" w:cstheme="minorBidi"/>
            <w:b w:val="0"/>
            <w:noProof/>
            <w:szCs w:val="22"/>
            <w:lang w:eastAsia="en-GB"/>
          </w:rPr>
          <w:tab/>
        </w:r>
        <w:r w:rsidR="008618F2" w:rsidRPr="00DC3933">
          <w:rPr>
            <w:rStyle w:val="Hyperlink"/>
            <w:noProof/>
          </w:rPr>
          <w:t>Verification of dissipative members in compression or bending</w:t>
        </w:r>
        <w:r w:rsidR="008618F2">
          <w:rPr>
            <w:noProof/>
            <w:webHidden/>
          </w:rPr>
          <w:tab/>
        </w:r>
        <w:r w:rsidR="008618F2">
          <w:rPr>
            <w:noProof/>
            <w:webHidden/>
          </w:rPr>
          <w:fldChar w:fldCharType="begin"/>
        </w:r>
        <w:r w:rsidR="008618F2">
          <w:rPr>
            <w:noProof/>
            <w:webHidden/>
          </w:rPr>
          <w:instrText xml:space="preserve"> PAGEREF _Toc134198030 \h </w:instrText>
        </w:r>
        <w:r w:rsidR="008618F2">
          <w:rPr>
            <w:noProof/>
            <w:webHidden/>
          </w:rPr>
        </w:r>
        <w:r w:rsidR="008618F2">
          <w:rPr>
            <w:noProof/>
            <w:webHidden/>
          </w:rPr>
          <w:fldChar w:fldCharType="separate"/>
        </w:r>
        <w:r w:rsidR="000720CB">
          <w:rPr>
            <w:noProof/>
            <w:webHidden/>
          </w:rPr>
          <w:t>187</w:t>
        </w:r>
        <w:r w:rsidR="008618F2">
          <w:rPr>
            <w:noProof/>
            <w:webHidden/>
          </w:rPr>
          <w:fldChar w:fldCharType="end"/>
        </w:r>
      </w:hyperlink>
    </w:p>
    <w:p w14:paraId="75FDD833" w14:textId="47828CAD" w:rsidR="008618F2" w:rsidRDefault="009B5CEC" w:rsidP="008618F2">
      <w:pPr>
        <w:pStyle w:val="TOC3"/>
        <w:jc w:val="left"/>
        <w:rPr>
          <w:rFonts w:asciiTheme="minorHAnsi" w:eastAsiaTheme="minorEastAsia" w:hAnsiTheme="minorHAnsi" w:cstheme="minorBidi"/>
          <w:b w:val="0"/>
          <w:noProof/>
          <w:szCs w:val="22"/>
          <w:lang w:eastAsia="en-GB"/>
        </w:rPr>
      </w:pPr>
      <w:hyperlink w:anchor="_Toc134198031" w:history="1">
        <w:r w:rsidR="008618F2" w:rsidRPr="00DC3933">
          <w:rPr>
            <w:rStyle w:val="Hyperlink"/>
            <w:noProof/>
          </w:rPr>
          <w:t>12.8.4</w:t>
        </w:r>
        <w:r w:rsidR="008618F2">
          <w:rPr>
            <w:rFonts w:asciiTheme="minorHAnsi" w:eastAsiaTheme="minorEastAsia" w:hAnsiTheme="minorHAnsi" w:cstheme="minorBidi"/>
            <w:b w:val="0"/>
            <w:noProof/>
            <w:szCs w:val="22"/>
            <w:lang w:eastAsia="en-GB"/>
          </w:rPr>
          <w:tab/>
        </w:r>
        <w:r w:rsidR="008618F2" w:rsidRPr="00DC3933">
          <w:rPr>
            <w:rStyle w:val="Hyperlink"/>
            <w:noProof/>
          </w:rPr>
          <w:t>Verification of dissipative members in tension</w:t>
        </w:r>
        <w:r w:rsidR="008618F2">
          <w:rPr>
            <w:noProof/>
            <w:webHidden/>
          </w:rPr>
          <w:tab/>
        </w:r>
        <w:r w:rsidR="008618F2">
          <w:rPr>
            <w:noProof/>
            <w:webHidden/>
          </w:rPr>
          <w:fldChar w:fldCharType="begin"/>
        </w:r>
        <w:r w:rsidR="008618F2">
          <w:rPr>
            <w:noProof/>
            <w:webHidden/>
          </w:rPr>
          <w:instrText xml:space="preserve"> PAGEREF _Toc134198031 \h </w:instrText>
        </w:r>
        <w:r w:rsidR="008618F2">
          <w:rPr>
            <w:noProof/>
            <w:webHidden/>
          </w:rPr>
        </w:r>
        <w:r w:rsidR="008618F2">
          <w:rPr>
            <w:noProof/>
            <w:webHidden/>
          </w:rPr>
          <w:fldChar w:fldCharType="separate"/>
        </w:r>
        <w:r w:rsidR="000720CB">
          <w:rPr>
            <w:noProof/>
            <w:webHidden/>
          </w:rPr>
          <w:t>188</w:t>
        </w:r>
        <w:r w:rsidR="008618F2">
          <w:rPr>
            <w:noProof/>
            <w:webHidden/>
          </w:rPr>
          <w:fldChar w:fldCharType="end"/>
        </w:r>
      </w:hyperlink>
    </w:p>
    <w:p w14:paraId="265C237A" w14:textId="351284E3" w:rsidR="008618F2" w:rsidRDefault="009B5CEC" w:rsidP="008618F2">
      <w:pPr>
        <w:pStyle w:val="TOC3"/>
        <w:jc w:val="left"/>
        <w:rPr>
          <w:rFonts w:asciiTheme="minorHAnsi" w:eastAsiaTheme="minorEastAsia" w:hAnsiTheme="minorHAnsi" w:cstheme="minorBidi"/>
          <w:b w:val="0"/>
          <w:noProof/>
          <w:szCs w:val="22"/>
          <w:lang w:eastAsia="en-GB"/>
        </w:rPr>
      </w:pPr>
      <w:hyperlink w:anchor="_Toc134198032" w:history="1">
        <w:r w:rsidR="008618F2" w:rsidRPr="00DC3933">
          <w:rPr>
            <w:rStyle w:val="Hyperlink"/>
            <w:noProof/>
          </w:rPr>
          <w:t>12.8.5</w:t>
        </w:r>
        <w:r w:rsidR="008618F2">
          <w:rPr>
            <w:rFonts w:asciiTheme="minorHAnsi" w:eastAsiaTheme="minorEastAsia" w:hAnsiTheme="minorHAnsi" w:cstheme="minorBidi"/>
            <w:b w:val="0"/>
            <w:noProof/>
            <w:szCs w:val="22"/>
            <w:lang w:eastAsia="en-GB"/>
          </w:rPr>
          <w:tab/>
        </w:r>
        <w:r w:rsidR="008618F2" w:rsidRPr="00DC3933">
          <w:rPr>
            <w:rStyle w:val="Hyperlink"/>
            <w:noProof/>
          </w:rPr>
          <w:t>Verification of members in DC2 and DC3</w:t>
        </w:r>
        <w:r w:rsidR="008618F2">
          <w:rPr>
            <w:noProof/>
            <w:webHidden/>
          </w:rPr>
          <w:tab/>
        </w:r>
        <w:r w:rsidR="008618F2">
          <w:rPr>
            <w:noProof/>
            <w:webHidden/>
          </w:rPr>
          <w:fldChar w:fldCharType="begin"/>
        </w:r>
        <w:r w:rsidR="008618F2">
          <w:rPr>
            <w:noProof/>
            <w:webHidden/>
          </w:rPr>
          <w:instrText xml:space="preserve"> PAGEREF _Toc134198032 \h </w:instrText>
        </w:r>
        <w:r w:rsidR="008618F2">
          <w:rPr>
            <w:noProof/>
            <w:webHidden/>
          </w:rPr>
        </w:r>
        <w:r w:rsidR="008618F2">
          <w:rPr>
            <w:noProof/>
            <w:webHidden/>
          </w:rPr>
          <w:fldChar w:fldCharType="separate"/>
        </w:r>
        <w:r w:rsidR="000720CB">
          <w:rPr>
            <w:noProof/>
            <w:webHidden/>
          </w:rPr>
          <w:t>188</w:t>
        </w:r>
        <w:r w:rsidR="008618F2">
          <w:rPr>
            <w:noProof/>
            <w:webHidden/>
          </w:rPr>
          <w:fldChar w:fldCharType="end"/>
        </w:r>
      </w:hyperlink>
    </w:p>
    <w:p w14:paraId="37C9B80B" w14:textId="3FA6F353" w:rsidR="008618F2" w:rsidRDefault="009B5CEC" w:rsidP="008618F2">
      <w:pPr>
        <w:pStyle w:val="TOC3"/>
        <w:jc w:val="left"/>
        <w:rPr>
          <w:rFonts w:asciiTheme="minorHAnsi" w:eastAsiaTheme="minorEastAsia" w:hAnsiTheme="minorHAnsi" w:cstheme="minorBidi"/>
          <w:b w:val="0"/>
          <w:noProof/>
          <w:szCs w:val="22"/>
          <w:lang w:eastAsia="en-GB"/>
        </w:rPr>
      </w:pPr>
      <w:hyperlink w:anchor="_Toc134198033" w:history="1">
        <w:r w:rsidR="008618F2" w:rsidRPr="00DC3933">
          <w:rPr>
            <w:rStyle w:val="Hyperlink"/>
            <w:noProof/>
          </w:rPr>
          <w:t>12.8.6</w:t>
        </w:r>
        <w:r w:rsidR="008618F2">
          <w:rPr>
            <w:rFonts w:asciiTheme="minorHAnsi" w:eastAsiaTheme="minorEastAsia" w:hAnsiTheme="minorHAnsi" w:cstheme="minorBidi"/>
            <w:b w:val="0"/>
            <w:noProof/>
            <w:szCs w:val="22"/>
            <w:lang w:eastAsia="en-GB"/>
          </w:rPr>
          <w:tab/>
        </w:r>
        <w:r w:rsidR="008618F2" w:rsidRPr="00DC3933">
          <w:rPr>
            <w:rStyle w:val="Hyperlink"/>
            <w:noProof/>
          </w:rPr>
          <w:t>Verification of beams</w:t>
        </w:r>
        <w:r w:rsidR="008618F2">
          <w:rPr>
            <w:noProof/>
            <w:webHidden/>
          </w:rPr>
          <w:tab/>
        </w:r>
        <w:r w:rsidR="008618F2">
          <w:rPr>
            <w:noProof/>
            <w:webHidden/>
          </w:rPr>
          <w:fldChar w:fldCharType="begin"/>
        </w:r>
        <w:r w:rsidR="008618F2">
          <w:rPr>
            <w:noProof/>
            <w:webHidden/>
          </w:rPr>
          <w:instrText xml:space="preserve"> PAGEREF _Toc134198033 \h </w:instrText>
        </w:r>
        <w:r w:rsidR="008618F2">
          <w:rPr>
            <w:noProof/>
            <w:webHidden/>
          </w:rPr>
        </w:r>
        <w:r w:rsidR="008618F2">
          <w:rPr>
            <w:noProof/>
            <w:webHidden/>
          </w:rPr>
          <w:fldChar w:fldCharType="separate"/>
        </w:r>
        <w:r w:rsidR="000720CB">
          <w:rPr>
            <w:noProof/>
            <w:webHidden/>
          </w:rPr>
          <w:t>189</w:t>
        </w:r>
        <w:r w:rsidR="008618F2">
          <w:rPr>
            <w:noProof/>
            <w:webHidden/>
          </w:rPr>
          <w:fldChar w:fldCharType="end"/>
        </w:r>
      </w:hyperlink>
    </w:p>
    <w:p w14:paraId="50A644BA" w14:textId="3AA9097C" w:rsidR="008618F2" w:rsidRDefault="009B5CEC" w:rsidP="008618F2">
      <w:pPr>
        <w:pStyle w:val="TOC3"/>
        <w:jc w:val="left"/>
        <w:rPr>
          <w:rFonts w:asciiTheme="minorHAnsi" w:eastAsiaTheme="minorEastAsia" w:hAnsiTheme="minorHAnsi" w:cstheme="minorBidi"/>
          <w:b w:val="0"/>
          <w:noProof/>
          <w:szCs w:val="22"/>
          <w:lang w:eastAsia="en-GB"/>
        </w:rPr>
      </w:pPr>
      <w:hyperlink w:anchor="_Toc134198034" w:history="1">
        <w:r w:rsidR="008618F2" w:rsidRPr="00DC3933">
          <w:rPr>
            <w:rStyle w:val="Hyperlink"/>
            <w:noProof/>
          </w:rPr>
          <w:t>12.8.7</w:t>
        </w:r>
        <w:r w:rsidR="008618F2">
          <w:rPr>
            <w:rFonts w:asciiTheme="minorHAnsi" w:eastAsiaTheme="minorEastAsia" w:hAnsiTheme="minorHAnsi" w:cstheme="minorBidi"/>
            <w:b w:val="0"/>
            <w:noProof/>
            <w:szCs w:val="22"/>
            <w:lang w:eastAsia="en-GB"/>
          </w:rPr>
          <w:tab/>
        </w:r>
        <w:r w:rsidR="008618F2" w:rsidRPr="00DC3933">
          <w:rPr>
            <w:rStyle w:val="Hyperlink"/>
            <w:noProof/>
          </w:rPr>
          <w:t>Verification of composite columns</w:t>
        </w:r>
        <w:r w:rsidR="008618F2">
          <w:rPr>
            <w:noProof/>
            <w:webHidden/>
          </w:rPr>
          <w:tab/>
        </w:r>
        <w:r w:rsidR="008618F2">
          <w:rPr>
            <w:noProof/>
            <w:webHidden/>
          </w:rPr>
          <w:fldChar w:fldCharType="begin"/>
        </w:r>
        <w:r w:rsidR="008618F2">
          <w:rPr>
            <w:noProof/>
            <w:webHidden/>
          </w:rPr>
          <w:instrText xml:space="preserve"> PAGEREF _Toc134198034 \h </w:instrText>
        </w:r>
        <w:r w:rsidR="008618F2">
          <w:rPr>
            <w:noProof/>
            <w:webHidden/>
          </w:rPr>
        </w:r>
        <w:r w:rsidR="008618F2">
          <w:rPr>
            <w:noProof/>
            <w:webHidden/>
          </w:rPr>
          <w:fldChar w:fldCharType="separate"/>
        </w:r>
        <w:r w:rsidR="000720CB">
          <w:rPr>
            <w:noProof/>
            <w:webHidden/>
          </w:rPr>
          <w:t>192</w:t>
        </w:r>
        <w:r w:rsidR="008618F2">
          <w:rPr>
            <w:noProof/>
            <w:webHidden/>
          </w:rPr>
          <w:fldChar w:fldCharType="end"/>
        </w:r>
      </w:hyperlink>
    </w:p>
    <w:p w14:paraId="15A77F65" w14:textId="2EA492A9" w:rsidR="008618F2" w:rsidRDefault="009B5CEC" w:rsidP="008618F2">
      <w:pPr>
        <w:pStyle w:val="TOC3"/>
        <w:jc w:val="left"/>
        <w:rPr>
          <w:rFonts w:asciiTheme="minorHAnsi" w:eastAsiaTheme="minorEastAsia" w:hAnsiTheme="minorHAnsi" w:cstheme="minorBidi"/>
          <w:b w:val="0"/>
          <w:noProof/>
          <w:szCs w:val="22"/>
          <w:lang w:eastAsia="en-GB"/>
        </w:rPr>
      </w:pPr>
      <w:hyperlink w:anchor="_Toc134198035" w:history="1">
        <w:r w:rsidR="008618F2" w:rsidRPr="00DC3933">
          <w:rPr>
            <w:rStyle w:val="Hyperlink"/>
            <w:noProof/>
          </w:rPr>
          <w:t>12.8.8</w:t>
        </w:r>
        <w:r w:rsidR="008618F2">
          <w:rPr>
            <w:rFonts w:asciiTheme="minorHAnsi" w:eastAsiaTheme="minorEastAsia" w:hAnsiTheme="minorHAnsi" w:cstheme="minorBidi"/>
            <w:b w:val="0"/>
            <w:noProof/>
            <w:szCs w:val="22"/>
            <w:lang w:eastAsia="en-GB"/>
          </w:rPr>
          <w:tab/>
        </w:r>
        <w:r w:rsidR="008618F2" w:rsidRPr="00DC3933">
          <w:rPr>
            <w:rStyle w:val="Hyperlink"/>
            <w:noProof/>
          </w:rPr>
          <w:t>Verification of composite joints in dissipative zones</w:t>
        </w:r>
        <w:r w:rsidR="008618F2">
          <w:rPr>
            <w:noProof/>
            <w:webHidden/>
          </w:rPr>
          <w:tab/>
        </w:r>
        <w:r w:rsidR="008618F2">
          <w:rPr>
            <w:noProof/>
            <w:webHidden/>
          </w:rPr>
          <w:fldChar w:fldCharType="begin"/>
        </w:r>
        <w:r w:rsidR="008618F2">
          <w:rPr>
            <w:noProof/>
            <w:webHidden/>
          </w:rPr>
          <w:instrText xml:space="preserve"> PAGEREF _Toc134198035 \h </w:instrText>
        </w:r>
        <w:r w:rsidR="008618F2">
          <w:rPr>
            <w:noProof/>
            <w:webHidden/>
          </w:rPr>
        </w:r>
        <w:r w:rsidR="008618F2">
          <w:rPr>
            <w:noProof/>
            <w:webHidden/>
          </w:rPr>
          <w:fldChar w:fldCharType="separate"/>
        </w:r>
        <w:r w:rsidR="000720CB">
          <w:rPr>
            <w:noProof/>
            <w:webHidden/>
          </w:rPr>
          <w:t>195</w:t>
        </w:r>
        <w:r w:rsidR="008618F2">
          <w:rPr>
            <w:noProof/>
            <w:webHidden/>
          </w:rPr>
          <w:fldChar w:fldCharType="end"/>
        </w:r>
      </w:hyperlink>
    </w:p>
    <w:p w14:paraId="55CF07C7" w14:textId="303B3A9E" w:rsidR="008618F2" w:rsidRDefault="009B5CEC" w:rsidP="008618F2">
      <w:pPr>
        <w:pStyle w:val="TOC3"/>
        <w:jc w:val="left"/>
        <w:rPr>
          <w:rFonts w:asciiTheme="minorHAnsi" w:eastAsiaTheme="minorEastAsia" w:hAnsiTheme="minorHAnsi" w:cstheme="minorBidi"/>
          <w:b w:val="0"/>
          <w:noProof/>
          <w:szCs w:val="22"/>
          <w:lang w:eastAsia="en-GB"/>
        </w:rPr>
      </w:pPr>
      <w:hyperlink w:anchor="_Toc134198036" w:history="1">
        <w:r w:rsidR="008618F2" w:rsidRPr="00DC3933">
          <w:rPr>
            <w:rStyle w:val="Hyperlink"/>
            <w:noProof/>
          </w:rPr>
          <w:t>12.8.9</w:t>
        </w:r>
        <w:r w:rsidR="008618F2">
          <w:rPr>
            <w:rFonts w:asciiTheme="minorHAnsi" w:eastAsiaTheme="minorEastAsia" w:hAnsiTheme="minorHAnsi" w:cstheme="minorBidi"/>
            <w:b w:val="0"/>
            <w:noProof/>
            <w:szCs w:val="22"/>
            <w:lang w:eastAsia="en-GB"/>
          </w:rPr>
          <w:tab/>
        </w:r>
        <w:r w:rsidR="008618F2" w:rsidRPr="00DC3933">
          <w:rPr>
            <w:rStyle w:val="Hyperlink"/>
            <w:noProof/>
          </w:rPr>
          <w:t>Verification of column-to-column splices</w:t>
        </w:r>
        <w:r w:rsidR="008618F2">
          <w:rPr>
            <w:noProof/>
            <w:webHidden/>
          </w:rPr>
          <w:tab/>
        </w:r>
        <w:r w:rsidR="008618F2">
          <w:rPr>
            <w:noProof/>
            <w:webHidden/>
          </w:rPr>
          <w:fldChar w:fldCharType="begin"/>
        </w:r>
        <w:r w:rsidR="008618F2">
          <w:rPr>
            <w:noProof/>
            <w:webHidden/>
          </w:rPr>
          <w:instrText xml:space="preserve"> PAGEREF _Toc134198036 \h </w:instrText>
        </w:r>
        <w:r w:rsidR="008618F2">
          <w:rPr>
            <w:noProof/>
            <w:webHidden/>
          </w:rPr>
        </w:r>
        <w:r w:rsidR="008618F2">
          <w:rPr>
            <w:noProof/>
            <w:webHidden/>
          </w:rPr>
          <w:fldChar w:fldCharType="separate"/>
        </w:r>
        <w:r w:rsidR="000720CB">
          <w:rPr>
            <w:noProof/>
            <w:webHidden/>
          </w:rPr>
          <w:t>196</w:t>
        </w:r>
        <w:r w:rsidR="008618F2">
          <w:rPr>
            <w:noProof/>
            <w:webHidden/>
          </w:rPr>
          <w:fldChar w:fldCharType="end"/>
        </w:r>
      </w:hyperlink>
    </w:p>
    <w:p w14:paraId="026A3F14" w14:textId="421386B2" w:rsidR="008618F2" w:rsidRDefault="009B5CEC" w:rsidP="008618F2">
      <w:pPr>
        <w:pStyle w:val="TOC2"/>
        <w:jc w:val="left"/>
        <w:rPr>
          <w:rFonts w:asciiTheme="minorHAnsi" w:eastAsiaTheme="minorEastAsia" w:hAnsiTheme="minorHAnsi" w:cstheme="minorBidi"/>
          <w:b w:val="0"/>
          <w:noProof/>
          <w:szCs w:val="22"/>
          <w:lang w:eastAsia="en-GB"/>
        </w:rPr>
      </w:pPr>
      <w:hyperlink w:anchor="_Toc134198037" w:history="1">
        <w:r w:rsidR="008618F2" w:rsidRPr="00DC3933">
          <w:rPr>
            <w:rStyle w:val="Hyperlink"/>
            <w:noProof/>
          </w:rPr>
          <w:t>12.9</w:t>
        </w:r>
        <w:r w:rsidR="008618F2">
          <w:rPr>
            <w:rFonts w:asciiTheme="minorHAnsi" w:eastAsiaTheme="minorEastAsia" w:hAnsiTheme="minorHAnsi" w:cstheme="minorBidi"/>
            <w:b w:val="0"/>
            <w:noProof/>
            <w:szCs w:val="22"/>
            <w:lang w:eastAsia="en-GB"/>
          </w:rPr>
          <w:tab/>
        </w:r>
        <w:r w:rsidR="008618F2" w:rsidRPr="00DC3933">
          <w:rPr>
            <w:rStyle w:val="Hyperlink"/>
            <w:noProof/>
          </w:rPr>
          <w:t>Design and detailing rules for composite moment resisting frames in DC2 and DC3</w:t>
        </w:r>
        <w:r w:rsidR="008618F2">
          <w:rPr>
            <w:noProof/>
            <w:webHidden/>
          </w:rPr>
          <w:tab/>
        </w:r>
        <w:r w:rsidR="008618F2">
          <w:rPr>
            <w:noProof/>
            <w:webHidden/>
          </w:rPr>
          <w:fldChar w:fldCharType="begin"/>
        </w:r>
        <w:r w:rsidR="008618F2">
          <w:rPr>
            <w:noProof/>
            <w:webHidden/>
          </w:rPr>
          <w:instrText xml:space="preserve"> PAGEREF _Toc134198037 \h </w:instrText>
        </w:r>
        <w:r w:rsidR="008618F2">
          <w:rPr>
            <w:noProof/>
            <w:webHidden/>
          </w:rPr>
        </w:r>
        <w:r w:rsidR="008618F2">
          <w:rPr>
            <w:noProof/>
            <w:webHidden/>
          </w:rPr>
          <w:fldChar w:fldCharType="separate"/>
        </w:r>
        <w:r w:rsidR="000720CB">
          <w:rPr>
            <w:noProof/>
            <w:webHidden/>
          </w:rPr>
          <w:t>196</w:t>
        </w:r>
        <w:r w:rsidR="008618F2">
          <w:rPr>
            <w:noProof/>
            <w:webHidden/>
          </w:rPr>
          <w:fldChar w:fldCharType="end"/>
        </w:r>
      </w:hyperlink>
    </w:p>
    <w:p w14:paraId="41029751" w14:textId="1912A806" w:rsidR="008618F2" w:rsidRDefault="009B5CEC" w:rsidP="008618F2">
      <w:pPr>
        <w:pStyle w:val="TOC3"/>
        <w:jc w:val="left"/>
        <w:rPr>
          <w:rFonts w:asciiTheme="minorHAnsi" w:eastAsiaTheme="minorEastAsia" w:hAnsiTheme="minorHAnsi" w:cstheme="minorBidi"/>
          <w:b w:val="0"/>
          <w:noProof/>
          <w:szCs w:val="22"/>
          <w:lang w:eastAsia="en-GB"/>
        </w:rPr>
      </w:pPr>
      <w:hyperlink w:anchor="_Toc134198038" w:history="1">
        <w:r w:rsidR="008618F2" w:rsidRPr="00DC3933">
          <w:rPr>
            <w:rStyle w:val="Hyperlink"/>
            <w:noProof/>
          </w:rPr>
          <w:t>12.9.1</w:t>
        </w:r>
        <w:r w:rsidR="008618F2">
          <w:rPr>
            <w:rFonts w:asciiTheme="minorHAnsi" w:eastAsiaTheme="minorEastAsia" w:hAnsiTheme="minorHAnsi" w:cstheme="minorBidi"/>
            <w:b w:val="0"/>
            <w:noProof/>
            <w:szCs w:val="22"/>
            <w:lang w:eastAsia="en-GB"/>
          </w:rPr>
          <w:tab/>
        </w:r>
        <w:r w:rsidR="008618F2" w:rsidRPr="00DC3933">
          <w:rPr>
            <w:rStyle w:val="Hyperlink"/>
            <w:noProof/>
          </w:rPr>
          <w:t>Design criteria</w:t>
        </w:r>
        <w:r w:rsidR="008618F2">
          <w:rPr>
            <w:noProof/>
            <w:webHidden/>
          </w:rPr>
          <w:tab/>
        </w:r>
        <w:r w:rsidR="008618F2">
          <w:rPr>
            <w:noProof/>
            <w:webHidden/>
          </w:rPr>
          <w:fldChar w:fldCharType="begin"/>
        </w:r>
        <w:r w:rsidR="008618F2">
          <w:rPr>
            <w:noProof/>
            <w:webHidden/>
          </w:rPr>
          <w:instrText xml:space="preserve"> PAGEREF _Toc134198038 \h </w:instrText>
        </w:r>
        <w:r w:rsidR="008618F2">
          <w:rPr>
            <w:noProof/>
            <w:webHidden/>
          </w:rPr>
        </w:r>
        <w:r w:rsidR="008618F2">
          <w:rPr>
            <w:noProof/>
            <w:webHidden/>
          </w:rPr>
          <w:fldChar w:fldCharType="separate"/>
        </w:r>
        <w:r w:rsidR="000720CB">
          <w:rPr>
            <w:noProof/>
            <w:webHidden/>
          </w:rPr>
          <w:t>196</w:t>
        </w:r>
        <w:r w:rsidR="008618F2">
          <w:rPr>
            <w:noProof/>
            <w:webHidden/>
          </w:rPr>
          <w:fldChar w:fldCharType="end"/>
        </w:r>
      </w:hyperlink>
    </w:p>
    <w:p w14:paraId="1B73C8FC" w14:textId="443DB2E4" w:rsidR="008618F2" w:rsidRDefault="009B5CEC" w:rsidP="008618F2">
      <w:pPr>
        <w:pStyle w:val="TOC3"/>
        <w:jc w:val="left"/>
        <w:rPr>
          <w:rFonts w:asciiTheme="minorHAnsi" w:eastAsiaTheme="minorEastAsia" w:hAnsiTheme="minorHAnsi" w:cstheme="minorBidi"/>
          <w:b w:val="0"/>
          <w:noProof/>
          <w:szCs w:val="22"/>
          <w:lang w:eastAsia="en-GB"/>
        </w:rPr>
      </w:pPr>
      <w:hyperlink w:anchor="_Toc134198039" w:history="1">
        <w:r w:rsidR="008618F2" w:rsidRPr="00DC3933">
          <w:rPr>
            <w:rStyle w:val="Hyperlink"/>
            <w:noProof/>
          </w:rPr>
          <w:t>12.9.2</w:t>
        </w:r>
        <w:r w:rsidR="008618F2">
          <w:rPr>
            <w:rFonts w:asciiTheme="minorHAnsi" w:eastAsiaTheme="minorEastAsia" w:hAnsiTheme="minorHAnsi" w:cstheme="minorBidi"/>
            <w:b w:val="0"/>
            <w:noProof/>
            <w:szCs w:val="22"/>
            <w:lang w:eastAsia="en-GB"/>
          </w:rPr>
          <w:tab/>
        </w:r>
        <w:r w:rsidR="008618F2" w:rsidRPr="00DC3933">
          <w:rPr>
            <w:rStyle w:val="Hyperlink"/>
            <w:noProof/>
          </w:rPr>
          <w:t>Analysis</w:t>
        </w:r>
        <w:r w:rsidR="008618F2">
          <w:rPr>
            <w:noProof/>
            <w:webHidden/>
          </w:rPr>
          <w:tab/>
        </w:r>
        <w:r w:rsidR="008618F2">
          <w:rPr>
            <w:noProof/>
            <w:webHidden/>
          </w:rPr>
          <w:fldChar w:fldCharType="begin"/>
        </w:r>
        <w:r w:rsidR="008618F2">
          <w:rPr>
            <w:noProof/>
            <w:webHidden/>
          </w:rPr>
          <w:instrText xml:space="preserve"> PAGEREF _Toc134198039 \h </w:instrText>
        </w:r>
        <w:r w:rsidR="008618F2">
          <w:rPr>
            <w:noProof/>
            <w:webHidden/>
          </w:rPr>
        </w:r>
        <w:r w:rsidR="008618F2">
          <w:rPr>
            <w:noProof/>
            <w:webHidden/>
          </w:rPr>
          <w:fldChar w:fldCharType="separate"/>
        </w:r>
        <w:r w:rsidR="000720CB">
          <w:rPr>
            <w:noProof/>
            <w:webHidden/>
          </w:rPr>
          <w:t>197</w:t>
        </w:r>
        <w:r w:rsidR="008618F2">
          <w:rPr>
            <w:noProof/>
            <w:webHidden/>
          </w:rPr>
          <w:fldChar w:fldCharType="end"/>
        </w:r>
      </w:hyperlink>
    </w:p>
    <w:p w14:paraId="43F22BC3" w14:textId="66909210" w:rsidR="008618F2" w:rsidRDefault="009B5CEC" w:rsidP="008618F2">
      <w:pPr>
        <w:pStyle w:val="TOC3"/>
        <w:jc w:val="left"/>
        <w:rPr>
          <w:rFonts w:asciiTheme="minorHAnsi" w:eastAsiaTheme="minorEastAsia" w:hAnsiTheme="minorHAnsi" w:cstheme="minorBidi"/>
          <w:b w:val="0"/>
          <w:noProof/>
          <w:szCs w:val="22"/>
          <w:lang w:eastAsia="en-GB"/>
        </w:rPr>
      </w:pPr>
      <w:hyperlink w:anchor="_Toc134198040" w:history="1">
        <w:r w:rsidR="008618F2" w:rsidRPr="00DC3933">
          <w:rPr>
            <w:rStyle w:val="Hyperlink"/>
            <w:noProof/>
          </w:rPr>
          <w:t>12.9.3</w:t>
        </w:r>
        <w:r w:rsidR="008618F2">
          <w:rPr>
            <w:rFonts w:asciiTheme="minorHAnsi" w:eastAsiaTheme="minorEastAsia" w:hAnsiTheme="minorHAnsi" w:cstheme="minorBidi"/>
            <w:b w:val="0"/>
            <w:noProof/>
            <w:szCs w:val="22"/>
            <w:lang w:eastAsia="en-GB"/>
          </w:rPr>
          <w:tab/>
        </w:r>
        <w:r w:rsidR="008618F2" w:rsidRPr="00DC3933">
          <w:rPr>
            <w:rStyle w:val="Hyperlink"/>
            <w:noProof/>
          </w:rPr>
          <w:t>Verification of beams</w:t>
        </w:r>
        <w:r w:rsidR="008618F2">
          <w:rPr>
            <w:noProof/>
            <w:webHidden/>
          </w:rPr>
          <w:tab/>
        </w:r>
        <w:r w:rsidR="008618F2">
          <w:rPr>
            <w:noProof/>
            <w:webHidden/>
          </w:rPr>
          <w:fldChar w:fldCharType="begin"/>
        </w:r>
        <w:r w:rsidR="008618F2">
          <w:rPr>
            <w:noProof/>
            <w:webHidden/>
          </w:rPr>
          <w:instrText xml:space="preserve"> PAGEREF _Toc134198040 \h </w:instrText>
        </w:r>
        <w:r w:rsidR="008618F2">
          <w:rPr>
            <w:noProof/>
            <w:webHidden/>
          </w:rPr>
        </w:r>
        <w:r w:rsidR="008618F2">
          <w:rPr>
            <w:noProof/>
            <w:webHidden/>
          </w:rPr>
          <w:fldChar w:fldCharType="separate"/>
        </w:r>
        <w:r w:rsidR="000720CB">
          <w:rPr>
            <w:noProof/>
            <w:webHidden/>
          </w:rPr>
          <w:t>197</w:t>
        </w:r>
        <w:r w:rsidR="008618F2">
          <w:rPr>
            <w:noProof/>
            <w:webHidden/>
          </w:rPr>
          <w:fldChar w:fldCharType="end"/>
        </w:r>
      </w:hyperlink>
    </w:p>
    <w:p w14:paraId="3C85A4DE" w14:textId="69BFDF01" w:rsidR="008618F2" w:rsidRDefault="009B5CEC" w:rsidP="008618F2">
      <w:pPr>
        <w:pStyle w:val="TOC3"/>
        <w:jc w:val="left"/>
        <w:rPr>
          <w:rFonts w:asciiTheme="minorHAnsi" w:eastAsiaTheme="minorEastAsia" w:hAnsiTheme="minorHAnsi" w:cstheme="minorBidi"/>
          <w:b w:val="0"/>
          <w:noProof/>
          <w:szCs w:val="22"/>
          <w:lang w:eastAsia="en-GB"/>
        </w:rPr>
      </w:pPr>
      <w:hyperlink w:anchor="_Toc134198041" w:history="1">
        <w:r w:rsidR="008618F2" w:rsidRPr="00DC3933">
          <w:rPr>
            <w:rStyle w:val="Hyperlink"/>
            <w:noProof/>
          </w:rPr>
          <w:t>12.9.4</w:t>
        </w:r>
        <w:r w:rsidR="008618F2">
          <w:rPr>
            <w:rFonts w:asciiTheme="minorHAnsi" w:eastAsiaTheme="minorEastAsia" w:hAnsiTheme="minorHAnsi" w:cstheme="minorBidi"/>
            <w:b w:val="0"/>
            <w:noProof/>
            <w:szCs w:val="22"/>
            <w:lang w:eastAsia="en-GB"/>
          </w:rPr>
          <w:tab/>
        </w:r>
        <w:r w:rsidR="008618F2" w:rsidRPr="00DC3933">
          <w:rPr>
            <w:rStyle w:val="Hyperlink"/>
            <w:noProof/>
          </w:rPr>
          <w:t>Verification of columns</w:t>
        </w:r>
        <w:r w:rsidR="008618F2">
          <w:rPr>
            <w:noProof/>
            <w:webHidden/>
          </w:rPr>
          <w:tab/>
        </w:r>
        <w:r w:rsidR="008618F2">
          <w:rPr>
            <w:noProof/>
            <w:webHidden/>
          </w:rPr>
          <w:fldChar w:fldCharType="begin"/>
        </w:r>
        <w:r w:rsidR="008618F2">
          <w:rPr>
            <w:noProof/>
            <w:webHidden/>
          </w:rPr>
          <w:instrText xml:space="preserve"> PAGEREF _Toc134198041 \h </w:instrText>
        </w:r>
        <w:r w:rsidR="008618F2">
          <w:rPr>
            <w:noProof/>
            <w:webHidden/>
          </w:rPr>
        </w:r>
        <w:r w:rsidR="008618F2">
          <w:rPr>
            <w:noProof/>
            <w:webHidden/>
          </w:rPr>
          <w:fldChar w:fldCharType="separate"/>
        </w:r>
        <w:r w:rsidR="000720CB">
          <w:rPr>
            <w:noProof/>
            <w:webHidden/>
          </w:rPr>
          <w:t>198</w:t>
        </w:r>
        <w:r w:rsidR="008618F2">
          <w:rPr>
            <w:noProof/>
            <w:webHidden/>
          </w:rPr>
          <w:fldChar w:fldCharType="end"/>
        </w:r>
      </w:hyperlink>
    </w:p>
    <w:p w14:paraId="6E12A7FF" w14:textId="6E4D2598" w:rsidR="008618F2" w:rsidRDefault="009B5CEC" w:rsidP="008618F2">
      <w:pPr>
        <w:pStyle w:val="TOC3"/>
        <w:jc w:val="left"/>
        <w:rPr>
          <w:rFonts w:asciiTheme="minorHAnsi" w:eastAsiaTheme="minorEastAsia" w:hAnsiTheme="minorHAnsi" w:cstheme="minorBidi"/>
          <w:b w:val="0"/>
          <w:noProof/>
          <w:szCs w:val="22"/>
          <w:lang w:eastAsia="en-GB"/>
        </w:rPr>
      </w:pPr>
      <w:hyperlink w:anchor="_Toc134198042" w:history="1">
        <w:r w:rsidR="008618F2" w:rsidRPr="00DC3933">
          <w:rPr>
            <w:rStyle w:val="Hyperlink"/>
            <w:noProof/>
          </w:rPr>
          <w:t>12.9.5</w:t>
        </w:r>
        <w:r w:rsidR="008618F2">
          <w:rPr>
            <w:rFonts w:asciiTheme="minorHAnsi" w:eastAsiaTheme="minorEastAsia" w:hAnsiTheme="minorHAnsi" w:cstheme="minorBidi"/>
            <w:b w:val="0"/>
            <w:noProof/>
            <w:szCs w:val="22"/>
            <w:lang w:eastAsia="en-GB"/>
          </w:rPr>
          <w:tab/>
        </w:r>
        <w:r w:rsidR="008618F2" w:rsidRPr="00DC3933">
          <w:rPr>
            <w:rStyle w:val="Hyperlink"/>
            <w:noProof/>
          </w:rPr>
          <w:t>Verification of column diaphragm plates</w:t>
        </w:r>
        <w:r w:rsidR="008618F2">
          <w:rPr>
            <w:noProof/>
            <w:webHidden/>
          </w:rPr>
          <w:tab/>
        </w:r>
        <w:r w:rsidR="008618F2">
          <w:rPr>
            <w:noProof/>
            <w:webHidden/>
          </w:rPr>
          <w:fldChar w:fldCharType="begin"/>
        </w:r>
        <w:r w:rsidR="008618F2">
          <w:rPr>
            <w:noProof/>
            <w:webHidden/>
          </w:rPr>
          <w:instrText xml:space="preserve"> PAGEREF _Toc134198042 \h </w:instrText>
        </w:r>
        <w:r w:rsidR="008618F2">
          <w:rPr>
            <w:noProof/>
            <w:webHidden/>
          </w:rPr>
        </w:r>
        <w:r w:rsidR="008618F2">
          <w:rPr>
            <w:noProof/>
            <w:webHidden/>
          </w:rPr>
          <w:fldChar w:fldCharType="separate"/>
        </w:r>
        <w:r w:rsidR="000720CB">
          <w:rPr>
            <w:noProof/>
            <w:webHidden/>
          </w:rPr>
          <w:t>198</w:t>
        </w:r>
        <w:r w:rsidR="008618F2">
          <w:rPr>
            <w:noProof/>
            <w:webHidden/>
          </w:rPr>
          <w:fldChar w:fldCharType="end"/>
        </w:r>
      </w:hyperlink>
    </w:p>
    <w:p w14:paraId="5CC3C930" w14:textId="6D02CD20" w:rsidR="008618F2" w:rsidRDefault="009B5CEC" w:rsidP="008618F2">
      <w:pPr>
        <w:pStyle w:val="TOC3"/>
        <w:jc w:val="left"/>
        <w:rPr>
          <w:rFonts w:asciiTheme="minorHAnsi" w:eastAsiaTheme="minorEastAsia" w:hAnsiTheme="minorHAnsi" w:cstheme="minorBidi"/>
          <w:b w:val="0"/>
          <w:noProof/>
          <w:szCs w:val="22"/>
          <w:lang w:eastAsia="en-GB"/>
        </w:rPr>
      </w:pPr>
      <w:hyperlink w:anchor="_Toc134198043" w:history="1">
        <w:r w:rsidR="008618F2" w:rsidRPr="00DC3933">
          <w:rPr>
            <w:rStyle w:val="Hyperlink"/>
            <w:noProof/>
          </w:rPr>
          <w:t>12.9.6</w:t>
        </w:r>
        <w:r w:rsidR="008618F2">
          <w:rPr>
            <w:rFonts w:asciiTheme="minorHAnsi" w:eastAsiaTheme="minorEastAsia" w:hAnsiTheme="minorHAnsi" w:cstheme="minorBidi"/>
            <w:b w:val="0"/>
            <w:noProof/>
            <w:szCs w:val="22"/>
            <w:lang w:eastAsia="en-GB"/>
          </w:rPr>
          <w:tab/>
        </w:r>
        <w:r w:rsidR="008618F2" w:rsidRPr="00DC3933">
          <w:rPr>
            <w:rStyle w:val="Hyperlink"/>
            <w:noProof/>
          </w:rPr>
          <w:t>Verification of beam to column joints</w:t>
        </w:r>
        <w:r w:rsidR="008618F2">
          <w:rPr>
            <w:noProof/>
            <w:webHidden/>
          </w:rPr>
          <w:tab/>
        </w:r>
        <w:r w:rsidR="008618F2">
          <w:rPr>
            <w:noProof/>
            <w:webHidden/>
          </w:rPr>
          <w:fldChar w:fldCharType="begin"/>
        </w:r>
        <w:r w:rsidR="008618F2">
          <w:rPr>
            <w:noProof/>
            <w:webHidden/>
          </w:rPr>
          <w:instrText xml:space="preserve"> PAGEREF _Toc134198043 \h </w:instrText>
        </w:r>
        <w:r w:rsidR="008618F2">
          <w:rPr>
            <w:noProof/>
            <w:webHidden/>
          </w:rPr>
        </w:r>
        <w:r w:rsidR="008618F2">
          <w:rPr>
            <w:noProof/>
            <w:webHidden/>
          </w:rPr>
          <w:fldChar w:fldCharType="separate"/>
        </w:r>
        <w:r w:rsidR="000720CB">
          <w:rPr>
            <w:noProof/>
            <w:webHidden/>
          </w:rPr>
          <w:t>199</w:t>
        </w:r>
        <w:r w:rsidR="008618F2">
          <w:rPr>
            <w:noProof/>
            <w:webHidden/>
          </w:rPr>
          <w:fldChar w:fldCharType="end"/>
        </w:r>
      </w:hyperlink>
    </w:p>
    <w:p w14:paraId="5E0A1179" w14:textId="2F96733F" w:rsidR="008618F2" w:rsidRDefault="009B5CEC" w:rsidP="008618F2">
      <w:pPr>
        <w:pStyle w:val="TOC3"/>
        <w:jc w:val="left"/>
        <w:rPr>
          <w:rFonts w:asciiTheme="minorHAnsi" w:eastAsiaTheme="minorEastAsia" w:hAnsiTheme="minorHAnsi" w:cstheme="minorBidi"/>
          <w:b w:val="0"/>
          <w:noProof/>
          <w:szCs w:val="22"/>
          <w:lang w:eastAsia="en-GB"/>
        </w:rPr>
      </w:pPr>
      <w:hyperlink w:anchor="_Toc134198044" w:history="1">
        <w:r w:rsidR="008618F2" w:rsidRPr="00DC3933">
          <w:rPr>
            <w:rStyle w:val="Hyperlink"/>
            <w:noProof/>
          </w:rPr>
          <w:t>12.9.7</w:t>
        </w:r>
        <w:r w:rsidR="008618F2">
          <w:rPr>
            <w:rFonts w:asciiTheme="minorHAnsi" w:eastAsiaTheme="minorEastAsia" w:hAnsiTheme="minorHAnsi" w:cstheme="minorBidi"/>
            <w:b w:val="0"/>
            <w:noProof/>
            <w:szCs w:val="22"/>
            <w:lang w:eastAsia="en-GB"/>
          </w:rPr>
          <w:tab/>
        </w:r>
        <w:r w:rsidR="008618F2" w:rsidRPr="00DC3933">
          <w:rPr>
            <w:rStyle w:val="Hyperlink"/>
            <w:noProof/>
          </w:rPr>
          <w:t>Verification of column base joints</w:t>
        </w:r>
        <w:r w:rsidR="008618F2">
          <w:rPr>
            <w:noProof/>
            <w:webHidden/>
          </w:rPr>
          <w:tab/>
        </w:r>
        <w:r w:rsidR="008618F2">
          <w:rPr>
            <w:noProof/>
            <w:webHidden/>
          </w:rPr>
          <w:fldChar w:fldCharType="begin"/>
        </w:r>
        <w:r w:rsidR="008618F2">
          <w:rPr>
            <w:noProof/>
            <w:webHidden/>
          </w:rPr>
          <w:instrText xml:space="preserve"> PAGEREF _Toc134198044 \h </w:instrText>
        </w:r>
        <w:r w:rsidR="008618F2">
          <w:rPr>
            <w:noProof/>
            <w:webHidden/>
          </w:rPr>
        </w:r>
        <w:r w:rsidR="008618F2">
          <w:rPr>
            <w:noProof/>
            <w:webHidden/>
          </w:rPr>
          <w:fldChar w:fldCharType="separate"/>
        </w:r>
        <w:r w:rsidR="000720CB">
          <w:rPr>
            <w:noProof/>
            <w:webHidden/>
          </w:rPr>
          <w:t>199</w:t>
        </w:r>
        <w:r w:rsidR="008618F2">
          <w:rPr>
            <w:noProof/>
            <w:webHidden/>
          </w:rPr>
          <w:fldChar w:fldCharType="end"/>
        </w:r>
      </w:hyperlink>
    </w:p>
    <w:p w14:paraId="434D4365" w14:textId="7A70AA57" w:rsidR="008618F2" w:rsidRDefault="009B5CEC" w:rsidP="008618F2">
      <w:pPr>
        <w:pStyle w:val="TOC2"/>
        <w:jc w:val="left"/>
        <w:rPr>
          <w:rFonts w:asciiTheme="minorHAnsi" w:eastAsiaTheme="minorEastAsia" w:hAnsiTheme="minorHAnsi" w:cstheme="minorBidi"/>
          <w:b w:val="0"/>
          <w:noProof/>
          <w:szCs w:val="22"/>
          <w:lang w:eastAsia="en-GB"/>
        </w:rPr>
      </w:pPr>
      <w:hyperlink w:anchor="_Toc134198045" w:history="1">
        <w:r w:rsidR="008618F2" w:rsidRPr="00DC3933">
          <w:rPr>
            <w:rStyle w:val="Hyperlink"/>
            <w:noProof/>
          </w:rPr>
          <w:t>12.10</w:t>
        </w:r>
        <w:r w:rsidR="008618F2">
          <w:rPr>
            <w:rFonts w:asciiTheme="minorHAnsi" w:eastAsiaTheme="minorEastAsia" w:hAnsiTheme="minorHAnsi" w:cstheme="minorBidi"/>
            <w:b w:val="0"/>
            <w:noProof/>
            <w:szCs w:val="22"/>
            <w:lang w:eastAsia="en-GB"/>
          </w:rPr>
          <w:tab/>
        </w:r>
        <w:r w:rsidR="008618F2" w:rsidRPr="00DC3933">
          <w:rPr>
            <w:rStyle w:val="Hyperlink"/>
            <w:noProof/>
          </w:rPr>
          <w:t>Design and detailing rules for composite frames with concentric bracings in DC2 and DC3</w:t>
        </w:r>
        <w:r w:rsidR="008618F2">
          <w:rPr>
            <w:noProof/>
            <w:webHidden/>
          </w:rPr>
          <w:tab/>
        </w:r>
        <w:r w:rsidR="008618F2">
          <w:rPr>
            <w:noProof/>
            <w:webHidden/>
          </w:rPr>
          <w:fldChar w:fldCharType="begin"/>
        </w:r>
        <w:r w:rsidR="008618F2">
          <w:rPr>
            <w:noProof/>
            <w:webHidden/>
          </w:rPr>
          <w:instrText xml:space="preserve"> PAGEREF _Toc134198045 \h </w:instrText>
        </w:r>
        <w:r w:rsidR="008618F2">
          <w:rPr>
            <w:noProof/>
            <w:webHidden/>
          </w:rPr>
        </w:r>
        <w:r w:rsidR="008618F2">
          <w:rPr>
            <w:noProof/>
            <w:webHidden/>
          </w:rPr>
          <w:fldChar w:fldCharType="separate"/>
        </w:r>
        <w:r w:rsidR="000720CB">
          <w:rPr>
            <w:noProof/>
            <w:webHidden/>
          </w:rPr>
          <w:t>199</w:t>
        </w:r>
        <w:r w:rsidR="008618F2">
          <w:rPr>
            <w:noProof/>
            <w:webHidden/>
          </w:rPr>
          <w:fldChar w:fldCharType="end"/>
        </w:r>
      </w:hyperlink>
    </w:p>
    <w:p w14:paraId="061F5DE0" w14:textId="74BE0F16" w:rsidR="008618F2" w:rsidRDefault="009B5CEC">
      <w:pPr>
        <w:pStyle w:val="TOC3"/>
        <w:tabs>
          <w:tab w:val="left" w:pos="1100"/>
        </w:tabs>
        <w:rPr>
          <w:rFonts w:asciiTheme="minorHAnsi" w:eastAsiaTheme="minorEastAsia" w:hAnsiTheme="minorHAnsi" w:cstheme="minorBidi"/>
          <w:b w:val="0"/>
          <w:noProof/>
          <w:szCs w:val="22"/>
          <w:lang w:eastAsia="en-GB"/>
        </w:rPr>
      </w:pPr>
      <w:hyperlink w:anchor="_Toc134198046" w:history="1">
        <w:r w:rsidR="008618F2" w:rsidRPr="00DC3933">
          <w:rPr>
            <w:rStyle w:val="Hyperlink"/>
            <w:noProof/>
          </w:rPr>
          <w:t>12.10.1</w:t>
        </w:r>
        <w:r w:rsidR="008618F2">
          <w:rPr>
            <w:rFonts w:asciiTheme="minorHAnsi" w:eastAsiaTheme="minorEastAsia" w:hAnsiTheme="minorHAnsi" w:cstheme="minorBidi"/>
            <w:b w:val="0"/>
            <w:noProof/>
            <w:szCs w:val="22"/>
            <w:lang w:eastAsia="en-GB"/>
          </w:rPr>
          <w:tab/>
        </w:r>
        <w:r w:rsidR="008618F2" w:rsidRPr="00DC3933">
          <w:rPr>
            <w:rStyle w:val="Hyperlink"/>
            <w:noProof/>
          </w:rPr>
          <w:t>Design criteria</w:t>
        </w:r>
        <w:r w:rsidR="008618F2">
          <w:rPr>
            <w:noProof/>
            <w:webHidden/>
          </w:rPr>
          <w:tab/>
        </w:r>
        <w:r w:rsidR="008618F2">
          <w:rPr>
            <w:noProof/>
            <w:webHidden/>
          </w:rPr>
          <w:fldChar w:fldCharType="begin"/>
        </w:r>
        <w:r w:rsidR="008618F2">
          <w:rPr>
            <w:noProof/>
            <w:webHidden/>
          </w:rPr>
          <w:instrText xml:space="preserve"> PAGEREF _Toc134198046 \h </w:instrText>
        </w:r>
        <w:r w:rsidR="008618F2">
          <w:rPr>
            <w:noProof/>
            <w:webHidden/>
          </w:rPr>
        </w:r>
        <w:r w:rsidR="008618F2">
          <w:rPr>
            <w:noProof/>
            <w:webHidden/>
          </w:rPr>
          <w:fldChar w:fldCharType="separate"/>
        </w:r>
        <w:r w:rsidR="000720CB">
          <w:rPr>
            <w:noProof/>
            <w:webHidden/>
          </w:rPr>
          <w:t>199</w:t>
        </w:r>
        <w:r w:rsidR="008618F2">
          <w:rPr>
            <w:noProof/>
            <w:webHidden/>
          </w:rPr>
          <w:fldChar w:fldCharType="end"/>
        </w:r>
      </w:hyperlink>
    </w:p>
    <w:p w14:paraId="7C61083A" w14:textId="0635D742" w:rsidR="008618F2" w:rsidRDefault="009B5CEC">
      <w:pPr>
        <w:pStyle w:val="TOC3"/>
        <w:tabs>
          <w:tab w:val="left" w:pos="1100"/>
        </w:tabs>
        <w:rPr>
          <w:rFonts w:asciiTheme="minorHAnsi" w:eastAsiaTheme="minorEastAsia" w:hAnsiTheme="minorHAnsi" w:cstheme="minorBidi"/>
          <w:b w:val="0"/>
          <w:noProof/>
          <w:szCs w:val="22"/>
          <w:lang w:eastAsia="en-GB"/>
        </w:rPr>
      </w:pPr>
      <w:hyperlink w:anchor="_Toc134198047" w:history="1">
        <w:r w:rsidR="008618F2" w:rsidRPr="00DC3933">
          <w:rPr>
            <w:rStyle w:val="Hyperlink"/>
            <w:noProof/>
          </w:rPr>
          <w:t>12.10.2</w:t>
        </w:r>
        <w:r w:rsidR="008618F2">
          <w:rPr>
            <w:rFonts w:asciiTheme="minorHAnsi" w:eastAsiaTheme="minorEastAsia" w:hAnsiTheme="minorHAnsi" w:cstheme="minorBidi"/>
            <w:b w:val="0"/>
            <w:noProof/>
            <w:szCs w:val="22"/>
            <w:lang w:eastAsia="en-GB"/>
          </w:rPr>
          <w:tab/>
        </w:r>
        <w:r w:rsidR="008618F2" w:rsidRPr="00DC3933">
          <w:rPr>
            <w:rStyle w:val="Hyperlink"/>
            <w:noProof/>
          </w:rPr>
          <w:t>Analysis</w:t>
        </w:r>
        <w:r w:rsidR="008618F2">
          <w:rPr>
            <w:noProof/>
            <w:webHidden/>
          </w:rPr>
          <w:tab/>
        </w:r>
        <w:r w:rsidR="008618F2">
          <w:rPr>
            <w:noProof/>
            <w:webHidden/>
          </w:rPr>
          <w:fldChar w:fldCharType="begin"/>
        </w:r>
        <w:r w:rsidR="008618F2">
          <w:rPr>
            <w:noProof/>
            <w:webHidden/>
          </w:rPr>
          <w:instrText xml:space="preserve"> PAGEREF _Toc134198047 \h </w:instrText>
        </w:r>
        <w:r w:rsidR="008618F2">
          <w:rPr>
            <w:noProof/>
            <w:webHidden/>
          </w:rPr>
        </w:r>
        <w:r w:rsidR="008618F2">
          <w:rPr>
            <w:noProof/>
            <w:webHidden/>
          </w:rPr>
          <w:fldChar w:fldCharType="separate"/>
        </w:r>
        <w:r w:rsidR="000720CB">
          <w:rPr>
            <w:noProof/>
            <w:webHidden/>
          </w:rPr>
          <w:t>200</w:t>
        </w:r>
        <w:r w:rsidR="008618F2">
          <w:rPr>
            <w:noProof/>
            <w:webHidden/>
          </w:rPr>
          <w:fldChar w:fldCharType="end"/>
        </w:r>
      </w:hyperlink>
    </w:p>
    <w:p w14:paraId="31859F91" w14:textId="552584AA" w:rsidR="008618F2" w:rsidRDefault="009B5CEC">
      <w:pPr>
        <w:pStyle w:val="TOC3"/>
        <w:tabs>
          <w:tab w:val="left" w:pos="1100"/>
        </w:tabs>
        <w:rPr>
          <w:rFonts w:asciiTheme="minorHAnsi" w:eastAsiaTheme="minorEastAsia" w:hAnsiTheme="minorHAnsi" w:cstheme="minorBidi"/>
          <w:b w:val="0"/>
          <w:noProof/>
          <w:szCs w:val="22"/>
          <w:lang w:eastAsia="en-GB"/>
        </w:rPr>
      </w:pPr>
      <w:hyperlink w:anchor="_Toc134198048" w:history="1">
        <w:r w:rsidR="008618F2" w:rsidRPr="00DC3933">
          <w:rPr>
            <w:rStyle w:val="Hyperlink"/>
            <w:noProof/>
          </w:rPr>
          <w:t>12.10.3</w:t>
        </w:r>
        <w:r w:rsidR="008618F2">
          <w:rPr>
            <w:rFonts w:asciiTheme="minorHAnsi" w:eastAsiaTheme="minorEastAsia" w:hAnsiTheme="minorHAnsi" w:cstheme="minorBidi"/>
            <w:b w:val="0"/>
            <w:noProof/>
            <w:szCs w:val="22"/>
            <w:lang w:eastAsia="en-GB"/>
          </w:rPr>
          <w:tab/>
        </w:r>
        <w:r w:rsidR="008618F2" w:rsidRPr="00DC3933">
          <w:rPr>
            <w:rStyle w:val="Hyperlink"/>
            <w:noProof/>
          </w:rPr>
          <w:t>Verification of diagonal members</w:t>
        </w:r>
        <w:r w:rsidR="008618F2">
          <w:rPr>
            <w:noProof/>
            <w:webHidden/>
          </w:rPr>
          <w:tab/>
        </w:r>
        <w:r w:rsidR="008618F2">
          <w:rPr>
            <w:noProof/>
            <w:webHidden/>
          </w:rPr>
          <w:fldChar w:fldCharType="begin"/>
        </w:r>
        <w:r w:rsidR="008618F2">
          <w:rPr>
            <w:noProof/>
            <w:webHidden/>
          </w:rPr>
          <w:instrText xml:space="preserve"> PAGEREF _Toc134198048 \h </w:instrText>
        </w:r>
        <w:r w:rsidR="008618F2">
          <w:rPr>
            <w:noProof/>
            <w:webHidden/>
          </w:rPr>
        </w:r>
        <w:r w:rsidR="008618F2">
          <w:rPr>
            <w:noProof/>
            <w:webHidden/>
          </w:rPr>
          <w:fldChar w:fldCharType="separate"/>
        </w:r>
        <w:r w:rsidR="000720CB">
          <w:rPr>
            <w:noProof/>
            <w:webHidden/>
          </w:rPr>
          <w:t>200</w:t>
        </w:r>
        <w:r w:rsidR="008618F2">
          <w:rPr>
            <w:noProof/>
            <w:webHidden/>
          </w:rPr>
          <w:fldChar w:fldCharType="end"/>
        </w:r>
      </w:hyperlink>
    </w:p>
    <w:p w14:paraId="6E475950" w14:textId="3535BD1F" w:rsidR="008618F2" w:rsidRDefault="009B5CEC">
      <w:pPr>
        <w:pStyle w:val="TOC3"/>
        <w:tabs>
          <w:tab w:val="left" w:pos="1100"/>
        </w:tabs>
        <w:rPr>
          <w:rFonts w:asciiTheme="minorHAnsi" w:eastAsiaTheme="minorEastAsia" w:hAnsiTheme="minorHAnsi" w:cstheme="minorBidi"/>
          <w:b w:val="0"/>
          <w:noProof/>
          <w:szCs w:val="22"/>
          <w:lang w:eastAsia="en-GB"/>
        </w:rPr>
      </w:pPr>
      <w:hyperlink w:anchor="_Toc134198049" w:history="1">
        <w:r w:rsidR="008618F2" w:rsidRPr="00DC3933">
          <w:rPr>
            <w:rStyle w:val="Hyperlink"/>
            <w:noProof/>
          </w:rPr>
          <w:t>12.10.4</w:t>
        </w:r>
        <w:r w:rsidR="008618F2">
          <w:rPr>
            <w:rFonts w:asciiTheme="minorHAnsi" w:eastAsiaTheme="minorEastAsia" w:hAnsiTheme="minorHAnsi" w:cstheme="minorBidi"/>
            <w:b w:val="0"/>
            <w:noProof/>
            <w:szCs w:val="22"/>
            <w:lang w:eastAsia="en-GB"/>
          </w:rPr>
          <w:tab/>
        </w:r>
        <w:r w:rsidR="008618F2" w:rsidRPr="00DC3933">
          <w:rPr>
            <w:rStyle w:val="Hyperlink"/>
            <w:noProof/>
          </w:rPr>
          <w:t>12.10.4. Verification of beams and columns</w:t>
        </w:r>
        <w:r w:rsidR="008618F2">
          <w:rPr>
            <w:noProof/>
            <w:webHidden/>
          </w:rPr>
          <w:tab/>
        </w:r>
        <w:r w:rsidR="008618F2">
          <w:rPr>
            <w:noProof/>
            <w:webHidden/>
          </w:rPr>
          <w:fldChar w:fldCharType="begin"/>
        </w:r>
        <w:r w:rsidR="008618F2">
          <w:rPr>
            <w:noProof/>
            <w:webHidden/>
          </w:rPr>
          <w:instrText xml:space="preserve"> PAGEREF _Toc134198049 \h </w:instrText>
        </w:r>
        <w:r w:rsidR="008618F2">
          <w:rPr>
            <w:noProof/>
            <w:webHidden/>
          </w:rPr>
        </w:r>
        <w:r w:rsidR="008618F2">
          <w:rPr>
            <w:noProof/>
            <w:webHidden/>
          </w:rPr>
          <w:fldChar w:fldCharType="separate"/>
        </w:r>
        <w:r w:rsidR="000720CB">
          <w:rPr>
            <w:noProof/>
            <w:webHidden/>
          </w:rPr>
          <w:t>200</w:t>
        </w:r>
        <w:r w:rsidR="008618F2">
          <w:rPr>
            <w:noProof/>
            <w:webHidden/>
          </w:rPr>
          <w:fldChar w:fldCharType="end"/>
        </w:r>
      </w:hyperlink>
    </w:p>
    <w:p w14:paraId="423A3185" w14:textId="7D1D805A" w:rsidR="008618F2" w:rsidRDefault="009B5CEC">
      <w:pPr>
        <w:pStyle w:val="TOC3"/>
        <w:tabs>
          <w:tab w:val="left" w:pos="1100"/>
        </w:tabs>
        <w:rPr>
          <w:rFonts w:asciiTheme="minorHAnsi" w:eastAsiaTheme="minorEastAsia" w:hAnsiTheme="minorHAnsi" w:cstheme="minorBidi"/>
          <w:b w:val="0"/>
          <w:noProof/>
          <w:szCs w:val="22"/>
          <w:lang w:eastAsia="en-GB"/>
        </w:rPr>
      </w:pPr>
      <w:hyperlink w:anchor="_Toc134198050" w:history="1">
        <w:r w:rsidR="008618F2" w:rsidRPr="00DC3933">
          <w:rPr>
            <w:rStyle w:val="Hyperlink"/>
            <w:noProof/>
          </w:rPr>
          <w:t>12.10.5</w:t>
        </w:r>
        <w:r w:rsidR="008618F2">
          <w:rPr>
            <w:rFonts w:asciiTheme="minorHAnsi" w:eastAsiaTheme="minorEastAsia" w:hAnsiTheme="minorHAnsi" w:cstheme="minorBidi"/>
            <w:b w:val="0"/>
            <w:noProof/>
            <w:szCs w:val="22"/>
            <w:lang w:eastAsia="en-GB"/>
          </w:rPr>
          <w:tab/>
        </w:r>
        <w:r w:rsidR="008618F2" w:rsidRPr="00DC3933">
          <w:rPr>
            <w:rStyle w:val="Hyperlink"/>
            <w:noProof/>
          </w:rPr>
          <w:t>Verification of beam to column connections</w:t>
        </w:r>
        <w:r w:rsidR="008618F2">
          <w:rPr>
            <w:noProof/>
            <w:webHidden/>
          </w:rPr>
          <w:tab/>
        </w:r>
        <w:r w:rsidR="008618F2">
          <w:rPr>
            <w:noProof/>
            <w:webHidden/>
          </w:rPr>
          <w:fldChar w:fldCharType="begin"/>
        </w:r>
        <w:r w:rsidR="008618F2">
          <w:rPr>
            <w:noProof/>
            <w:webHidden/>
          </w:rPr>
          <w:instrText xml:space="preserve"> PAGEREF _Toc134198050 \h </w:instrText>
        </w:r>
        <w:r w:rsidR="008618F2">
          <w:rPr>
            <w:noProof/>
            <w:webHidden/>
          </w:rPr>
        </w:r>
        <w:r w:rsidR="008618F2">
          <w:rPr>
            <w:noProof/>
            <w:webHidden/>
          </w:rPr>
          <w:fldChar w:fldCharType="separate"/>
        </w:r>
        <w:r w:rsidR="000720CB">
          <w:rPr>
            <w:noProof/>
            <w:webHidden/>
          </w:rPr>
          <w:t>200</w:t>
        </w:r>
        <w:r w:rsidR="008618F2">
          <w:rPr>
            <w:noProof/>
            <w:webHidden/>
          </w:rPr>
          <w:fldChar w:fldCharType="end"/>
        </w:r>
      </w:hyperlink>
    </w:p>
    <w:p w14:paraId="4D8AA50A" w14:textId="638CCFFF" w:rsidR="008618F2" w:rsidRDefault="009B5CEC">
      <w:pPr>
        <w:pStyle w:val="TOC3"/>
        <w:tabs>
          <w:tab w:val="left" w:pos="1100"/>
        </w:tabs>
        <w:rPr>
          <w:rFonts w:asciiTheme="minorHAnsi" w:eastAsiaTheme="minorEastAsia" w:hAnsiTheme="minorHAnsi" w:cstheme="minorBidi"/>
          <w:b w:val="0"/>
          <w:noProof/>
          <w:szCs w:val="22"/>
          <w:lang w:eastAsia="en-GB"/>
        </w:rPr>
      </w:pPr>
      <w:hyperlink w:anchor="_Toc134198051" w:history="1">
        <w:r w:rsidR="008618F2" w:rsidRPr="00DC3933">
          <w:rPr>
            <w:rStyle w:val="Hyperlink"/>
            <w:noProof/>
          </w:rPr>
          <w:t>12.10.6</w:t>
        </w:r>
        <w:r w:rsidR="008618F2">
          <w:rPr>
            <w:rFonts w:asciiTheme="minorHAnsi" w:eastAsiaTheme="minorEastAsia" w:hAnsiTheme="minorHAnsi" w:cstheme="minorBidi"/>
            <w:b w:val="0"/>
            <w:noProof/>
            <w:szCs w:val="22"/>
            <w:lang w:eastAsia="en-GB"/>
          </w:rPr>
          <w:tab/>
        </w:r>
        <w:r w:rsidR="008618F2" w:rsidRPr="00DC3933">
          <w:rPr>
            <w:rStyle w:val="Hyperlink"/>
            <w:noProof/>
          </w:rPr>
          <w:t>Verification of brace connections</w:t>
        </w:r>
        <w:r w:rsidR="008618F2">
          <w:rPr>
            <w:noProof/>
            <w:webHidden/>
          </w:rPr>
          <w:tab/>
        </w:r>
        <w:r w:rsidR="008618F2">
          <w:rPr>
            <w:noProof/>
            <w:webHidden/>
          </w:rPr>
          <w:fldChar w:fldCharType="begin"/>
        </w:r>
        <w:r w:rsidR="008618F2">
          <w:rPr>
            <w:noProof/>
            <w:webHidden/>
          </w:rPr>
          <w:instrText xml:space="preserve"> PAGEREF _Toc134198051 \h </w:instrText>
        </w:r>
        <w:r w:rsidR="008618F2">
          <w:rPr>
            <w:noProof/>
            <w:webHidden/>
          </w:rPr>
        </w:r>
        <w:r w:rsidR="008618F2">
          <w:rPr>
            <w:noProof/>
            <w:webHidden/>
          </w:rPr>
          <w:fldChar w:fldCharType="separate"/>
        </w:r>
        <w:r w:rsidR="000720CB">
          <w:rPr>
            <w:noProof/>
            <w:webHidden/>
          </w:rPr>
          <w:t>200</w:t>
        </w:r>
        <w:r w:rsidR="008618F2">
          <w:rPr>
            <w:noProof/>
            <w:webHidden/>
          </w:rPr>
          <w:fldChar w:fldCharType="end"/>
        </w:r>
      </w:hyperlink>
    </w:p>
    <w:p w14:paraId="5AEA55C9" w14:textId="21BAE1FE" w:rsidR="008618F2" w:rsidRDefault="009B5CEC">
      <w:pPr>
        <w:pStyle w:val="TOC3"/>
        <w:tabs>
          <w:tab w:val="left" w:pos="1100"/>
        </w:tabs>
        <w:rPr>
          <w:rFonts w:asciiTheme="minorHAnsi" w:eastAsiaTheme="minorEastAsia" w:hAnsiTheme="minorHAnsi" w:cstheme="minorBidi"/>
          <w:b w:val="0"/>
          <w:noProof/>
          <w:szCs w:val="22"/>
          <w:lang w:eastAsia="en-GB"/>
        </w:rPr>
      </w:pPr>
      <w:hyperlink w:anchor="_Toc134198052" w:history="1">
        <w:r w:rsidR="008618F2" w:rsidRPr="00DC3933">
          <w:rPr>
            <w:rStyle w:val="Hyperlink"/>
            <w:noProof/>
          </w:rPr>
          <w:t>12.10.7</w:t>
        </w:r>
        <w:r w:rsidR="008618F2">
          <w:rPr>
            <w:rFonts w:asciiTheme="minorHAnsi" w:eastAsiaTheme="minorEastAsia" w:hAnsiTheme="minorHAnsi" w:cstheme="minorBidi"/>
            <w:b w:val="0"/>
            <w:noProof/>
            <w:szCs w:val="22"/>
            <w:lang w:eastAsia="en-GB"/>
          </w:rPr>
          <w:tab/>
        </w:r>
        <w:r w:rsidR="008618F2" w:rsidRPr="00DC3933">
          <w:rPr>
            <w:rStyle w:val="Hyperlink"/>
            <w:noProof/>
          </w:rPr>
          <w:t>Verification of column base joints</w:t>
        </w:r>
        <w:r w:rsidR="008618F2">
          <w:rPr>
            <w:noProof/>
            <w:webHidden/>
          </w:rPr>
          <w:tab/>
        </w:r>
        <w:r w:rsidR="008618F2">
          <w:rPr>
            <w:noProof/>
            <w:webHidden/>
          </w:rPr>
          <w:fldChar w:fldCharType="begin"/>
        </w:r>
        <w:r w:rsidR="008618F2">
          <w:rPr>
            <w:noProof/>
            <w:webHidden/>
          </w:rPr>
          <w:instrText xml:space="preserve"> PAGEREF _Toc134198052 \h </w:instrText>
        </w:r>
        <w:r w:rsidR="008618F2">
          <w:rPr>
            <w:noProof/>
            <w:webHidden/>
          </w:rPr>
        </w:r>
        <w:r w:rsidR="008618F2">
          <w:rPr>
            <w:noProof/>
            <w:webHidden/>
          </w:rPr>
          <w:fldChar w:fldCharType="separate"/>
        </w:r>
        <w:r w:rsidR="000720CB">
          <w:rPr>
            <w:noProof/>
            <w:webHidden/>
          </w:rPr>
          <w:t>201</w:t>
        </w:r>
        <w:r w:rsidR="008618F2">
          <w:rPr>
            <w:noProof/>
            <w:webHidden/>
          </w:rPr>
          <w:fldChar w:fldCharType="end"/>
        </w:r>
      </w:hyperlink>
    </w:p>
    <w:p w14:paraId="6AE9E219" w14:textId="5B6C3481" w:rsidR="008618F2" w:rsidRDefault="009B5CEC">
      <w:pPr>
        <w:pStyle w:val="TOC2"/>
        <w:rPr>
          <w:rFonts w:asciiTheme="minorHAnsi" w:eastAsiaTheme="minorEastAsia" w:hAnsiTheme="minorHAnsi" w:cstheme="minorBidi"/>
          <w:b w:val="0"/>
          <w:noProof/>
          <w:szCs w:val="22"/>
          <w:lang w:eastAsia="en-GB"/>
        </w:rPr>
      </w:pPr>
      <w:hyperlink w:anchor="_Toc134198053" w:history="1">
        <w:r w:rsidR="008618F2" w:rsidRPr="00DC3933">
          <w:rPr>
            <w:rStyle w:val="Hyperlink"/>
            <w:noProof/>
          </w:rPr>
          <w:t>12.11</w:t>
        </w:r>
        <w:r w:rsidR="008618F2">
          <w:rPr>
            <w:rFonts w:asciiTheme="minorHAnsi" w:eastAsiaTheme="minorEastAsia" w:hAnsiTheme="minorHAnsi" w:cstheme="minorBidi"/>
            <w:b w:val="0"/>
            <w:noProof/>
            <w:szCs w:val="22"/>
            <w:lang w:eastAsia="en-GB"/>
          </w:rPr>
          <w:tab/>
        </w:r>
        <w:r w:rsidR="008618F2" w:rsidRPr="00DC3933">
          <w:rPr>
            <w:rStyle w:val="Hyperlink"/>
            <w:noProof/>
          </w:rPr>
          <w:t>Design and detailing rules for composite frames with eccentric bracings in DC2 and DC3</w:t>
        </w:r>
        <w:r w:rsidR="008618F2">
          <w:rPr>
            <w:noProof/>
            <w:webHidden/>
          </w:rPr>
          <w:tab/>
        </w:r>
        <w:r w:rsidR="008618F2">
          <w:rPr>
            <w:noProof/>
            <w:webHidden/>
          </w:rPr>
          <w:fldChar w:fldCharType="begin"/>
        </w:r>
        <w:r w:rsidR="008618F2">
          <w:rPr>
            <w:noProof/>
            <w:webHidden/>
          </w:rPr>
          <w:instrText xml:space="preserve"> PAGEREF _Toc134198053 \h </w:instrText>
        </w:r>
        <w:r w:rsidR="008618F2">
          <w:rPr>
            <w:noProof/>
            <w:webHidden/>
          </w:rPr>
        </w:r>
        <w:r w:rsidR="008618F2">
          <w:rPr>
            <w:noProof/>
            <w:webHidden/>
          </w:rPr>
          <w:fldChar w:fldCharType="separate"/>
        </w:r>
        <w:r w:rsidR="000720CB">
          <w:rPr>
            <w:noProof/>
            <w:webHidden/>
          </w:rPr>
          <w:t>201</w:t>
        </w:r>
        <w:r w:rsidR="008618F2">
          <w:rPr>
            <w:noProof/>
            <w:webHidden/>
          </w:rPr>
          <w:fldChar w:fldCharType="end"/>
        </w:r>
      </w:hyperlink>
    </w:p>
    <w:p w14:paraId="2993D05F" w14:textId="32EE5619" w:rsidR="008618F2" w:rsidRDefault="009B5CEC">
      <w:pPr>
        <w:pStyle w:val="TOC3"/>
        <w:tabs>
          <w:tab w:val="left" w:pos="1100"/>
        </w:tabs>
        <w:rPr>
          <w:rFonts w:asciiTheme="minorHAnsi" w:eastAsiaTheme="minorEastAsia" w:hAnsiTheme="minorHAnsi" w:cstheme="minorBidi"/>
          <w:b w:val="0"/>
          <w:noProof/>
          <w:szCs w:val="22"/>
          <w:lang w:eastAsia="en-GB"/>
        </w:rPr>
      </w:pPr>
      <w:hyperlink w:anchor="_Toc134198054" w:history="1">
        <w:r w:rsidR="008618F2" w:rsidRPr="00DC3933">
          <w:rPr>
            <w:rStyle w:val="Hyperlink"/>
            <w:noProof/>
          </w:rPr>
          <w:t>12.11.1</w:t>
        </w:r>
        <w:r w:rsidR="008618F2">
          <w:rPr>
            <w:rFonts w:asciiTheme="minorHAnsi" w:eastAsiaTheme="minorEastAsia" w:hAnsiTheme="minorHAnsi" w:cstheme="minorBidi"/>
            <w:b w:val="0"/>
            <w:noProof/>
            <w:szCs w:val="22"/>
            <w:lang w:eastAsia="en-GB"/>
          </w:rPr>
          <w:tab/>
        </w:r>
        <w:r w:rsidR="008618F2" w:rsidRPr="00DC3933">
          <w:rPr>
            <w:rStyle w:val="Hyperlink"/>
            <w:noProof/>
          </w:rPr>
          <w:t>Design criteria</w:t>
        </w:r>
        <w:r w:rsidR="008618F2">
          <w:rPr>
            <w:noProof/>
            <w:webHidden/>
          </w:rPr>
          <w:tab/>
        </w:r>
        <w:r w:rsidR="008618F2">
          <w:rPr>
            <w:noProof/>
            <w:webHidden/>
          </w:rPr>
          <w:fldChar w:fldCharType="begin"/>
        </w:r>
        <w:r w:rsidR="008618F2">
          <w:rPr>
            <w:noProof/>
            <w:webHidden/>
          </w:rPr>
          <w:instrText xml:space="preserve"> PAGEREF _Toc134198054 \h </w:instrText>
        </w:r>
        <w:r w:rsidR="008618F2">
          <w:rPr>
            <w:noProof/>
            <w:webHidden/>
          </w:rPr>
        </w:r>
        <w:r w:rsidR="008618F2">
          <w:rPr>
            <w:noProof/>
            <w:webHidden/>
          </w:rPr>
          <w:fldChar w:fldCharType="separate"/>
        </w:r>
        <w:r w:rsidR="000720CB">
          <w:rPr>
            <w:noProof/>
            <w:webHidden/>
          </w:rPr>
          <w:t>201</w:t>
        </w:r>
        <w:r w:rsidR="008618F2">
          <w:rPr>
            <w:noProof/>
            <w:webHidden/>
          </w:rPr>
          <w:fldChar w:fldCharType="end"/>
        </w:r>
      </w:hyperlink>
    </w:p>
    <w:p w14:paraId="26AD8695" w14:textId="0286B77F" w:rsidR="008618F2" w:rsidRDefault="009B5CEC">
      <w:pPr>
        <w:pStyle w:val="TOC3"/>
        <w:tabs>
          <w:tab w:val="left" w:pos="1100"/>
        </w:tabs>
        <w:rPr>
          <w:rFonts w:asciiTheme="minorHAnsi" w:eastAsiaTheme="minorEastAsia" w:hAnsiTheme="minorHAnsi" w:cstheme="minorBidi"/>
          <w:b w:val="0"/>
          <w:noProof/>
          <w:szCs w:val="22"/>
          <w:lang w:eastAsia="en-GB"/>
        </w:rPr>
      </w:pPr>
      <w:hyperlink w:anchor="_Toc134198055" w:history="1">
        <w:r w:rsidR="008618F2" w:rsidRPr="00DC3933">
          <w:rPr>
            <w:rStyle w:val="Hyperlink"/>
            <w:noProof/>
          </w:rPr>
          <w:t>12.11.2</w:t>
        </w:r>
        <w:r w:rsidR="008618F2">
          <w:rPr>
            <w:rFonts w:asciiTheme="minorHAnsi" w:eastAsiaTheme="minorEastAsia" w:hAnsiTheme="minorHAnsi" w:cstheme="minorBidi"/>
            <w:b w:val="0"/>
            <w:noProof/>
            <w:szCs w:val="22"/>
            <w:lang w:eastAsia="en-GB"/>
          </w:rPr>
          <w:tab/>
        </w:r>
        <w:r w:rsidR="008618F2" w:rsidRPr="00DC3933">
          <w:rPr>
            <w:rStyle w:val="Hyperlink"/>
            <w:noProof/>
          </w:rPr>
          <w:t>Analysis</w:t>
        </w:r>
        <w:r w:rsidR="008618F2">
          <w:rPr>
            <w:noProof/>
            <w:webHidden/>
          </w:rPr>
          <w:tab/>
        </w:r>
        <w:r w:rsidR="008618F2">
          <w:rPr>
            <w:noProof/>
            <w:webHidden/>
          </w:rPr>
          <w:fldChar w:fldCharType="begin"/>
        </w:r>
        <w:r w:rsidR="008618F2">
          <w:rPr>
            <w:noProof/>
            <w:webHidden/>
          </w:rPr>
          <w:instrText xml:space="preserve"> PAGEREF _Toc134198055 \h </w:instrText>
        </w:r>
        <w:r w:rsidR="008618F2">
          <w:rPr>
            <w:noProof/>
            <w:webHidden/>
          </w:rPr>
        </w:r>
        <w:r w:rsidR="008618F2">
          <w:rPr>
            <w:noProof/>
            <w:webHidden/>
          </w:rPr>
          <w:fldChar w:fldCharType="separate"/>
        </w:r>
        <w:r w:rsidR="000720CB">
          <w:rPr>
            <w:noProof/>
            <w:webHidden/>
          </w:rPr>
          <w:t>201</w:t>
        </w:r>
        <w:r w:rsidR="008618F2">
          <w:rPr>
            <w:noProof/>
            <w:webHidden/>
          </w:rPr>
          <w:fldChar w:fldCharType="end"/>
        </w:r>
      </w:hyperlink>
    </w:p>
    <w:p w14:paraId="6A10D333" w14:textId="276A5E66" w:rsidR="008618F2" w:rsidRDefault="009B5CEC">
      <w:pPr>
        <w:pStyle w:val="TOC3"/>
        <w:tabs>
          <w:tab w:val="left" w:pos="1100"/>
        </w:tabs>
        <w:rPr>
          <w:rFonts w:asciiTheme="minorHAnsi" w:eastAsiaTheme="minorEastAsia" w:hAnsiTheme="minorHAnsi" w:cstheme="minorBidi"/>
          <w:b w:val="0"/>
          <w:noProof/>
          <w:szCs w:val="22"/>
          <w:lang w:eastAsia="en-GB"/>
        </w:rPr>
      </w:pPr>
      <w:hyperlink w:anchor="_Toc134198056" w:history="1">
        <w:r w:rsidR="008618F2" w:rsidRPr="00DC3933">
          <w:rPr>
            <w:rStyle w:val="Hyperlink"/>
            <w:noProof/>
          </w:rPr>
          <w:t>12.11.3</w:t>
        </w:r>
        <w:r w:rsidR="008618F2">
          <w:rPr>
            <w:rFonts w:asciiTheme="minorHAnsi" w:eastAsiaTheme="minorEastAsia" w:hAnsiTheme="minorHAnsi" w:cstheme="minorBidi"/>
            <w:b w:val="0"/>
            <w:noProof/>
            <w:szCs w:val="22"/>
            <w:lang w:eastAsia="en-GB"/>
          </w:rPr>
          <w:tab/>
        </w:r>
        <w:r w:rsidR="008618F2" w:rsidRPr="00DC3933">
          <w:rPr>
            <w:rStyle w:val="Hyperlink"/>
            <w:noProof/>
          </w:rPr>
          <w:t>Verification of seismic Links</w:t>
        </w:r>
        <w:r w:rsidR="008618F2">
          <w:rPr>
            <w:noProof/>
            <w:webHidden/>
          </w:rPr>
          <w:tab/>
        </w:r>
        <w:r w:rsidR="008618F2">
          <w:rPr>
            <w:noProof/>
            <w:webHidden/>
          </w:rPr>
          <w:fldChar w:fldCharType="begin"/>
        </w:r>
        <w:r w:rsidR="008618F2">
          <w:rPr>
            <w:noProof/>
            <w:webHidden/>
          </w:rPr>
          <w:instrText xml:space="preserve"> PAGEREF _Toc134198056 \h </w:instrText>
        </w:r>
        <w:r w:rsidR="008618F2">
          <w:rPr>
            <w:noProof/>
            <w:webHidden/>
          </w:rPr>
        </w:r>
        <w:r w:rsidR="008618F2">
          <w:rPr>
            <w:noProof/>
            <w:webHidden/>
          </w:rPr>
          <w:fldChar w:fldCharType="separate"/>
        </w:r>
        <w:r w:rsidR="000720CB">
          <w:rPr>
            <w:noProof/>
            <w:webHidden/>
          </w:rPr>
          <w:t>201</w:t>
        </w:r>
        <w:r w:rsidR="008618F2">
          <w:rPr>
            <w:noProof/>
            <w:webHidden/>
          </w:rPr>
          <w:fldChar w:fldCharType="end"/>
        </w:r>
      </w:hyperlink>
    </w:p>
    <w:p w14:paraId="228339E6" w14:textId="39DEF71C" w:rsidR="008618F2" w:rsidRDefault="009B5CEC">
      <w:pPr>
        <w:pStyle w:val="TOC3"/>
        <w:tabs>
          <w:tab w:val="left" w:pos="1100"/>
        </w:tabs>
        <w:rPr>
          <w:rFonts w:asciiTheme="minorHAnsi" w:eastAsiaTheme="minorEastAsia" w:hAnsiTheme="minorHAnsi" w:cstheme="minorBidi"/>
          <w:b w:val="0"/>
          <w:noProof/>
          <w:szCs w:val="22"/>
          <w:lang w:eastAsia="en-GB"/>
        </w:rPr>
      </w:pPr>
      <w:hyperlink w:anchor="_Toc134198057" w:history="1">
        <w:r w:rsidR="008618F2" w:rsidRPr="00DC3933">
          <w:rPr>
            <w:rStyle w:val="Hyperlink"/>
            <w:noProof/>
          </w:rPr>
          <w:t>12.11.4</w:t>
        </w:r>
        <w:r w:rsidR="008618F2">
          <w:rPr>
            <w:rFonts w:asciiTheme="minorHAnsi" w:eastAsiaTheme="minorEastAsia" w:hAnsiTheme="minorHAnsi" w:cstheme="minorBidi"/>
            <w:b w:val="0"/>
            <w:noProof/>
            <w:szCs w:val="22"/>
            <w:lang w:eastAsia="en-GB"/>
          </w:rPr>
          <w:tab/>
        </w:r>
        <w:r w:rsidR="008618F2" w:rsidRPr="00DC3933">
          <w:rPr>
            <w:rStyle w:val="Hyperlink"/>
            <w:noProof/>
          </w:rPr>
          <w:t>Verification of diagonal members</w:t>
        </w:r>
        <w:r w:rsidR="008618F2">
          <w:rPr>
            <w:noProof/>
            <w:webHidden/>
          </w:rPr>
          <w:tab/>
        </w:r>
        <w:r w:rsidR="008618F2">
          <w:rPr>
            <w:noProof/>
            <w:webHidden/>
          </w:rPr>
          <w:fldChar w:fldCharType="begin"/>
        </w:r>
        <w:r w:rsidR="008618F2">
          <w:rPr>
            <w:noProof/>
            <w:webHidden/>
          </w:rPr>
          <w:instrText xml:space="preserve"> PAGEREF _Toc134198057 \h </w:instrText>
        </w:r>
        <w:r w:rsidR="008618F2">
          <w:rPr>
            <w:noProof/>
            <w:webHidden/>
          </w:rPr>
        </w:r>
        <w:r w:rsidR="008618F2">
          <w:rPr>
            <w:noProof/>
            <w:webHidden/>
          </w:rPr>
          <w:fldChar w:fldCharType="separate"/>
        </w:r>
        <w:r w:rsidR="000720CB">
          <w:rPr>
            <w:noProof/>
            <w:webHidden/>
          </w:rPr>
          <w:t>201</w:t>
        </w:r>
        <w:r w:rsidR="008618F2">
          <w:rPr>
            <w:noProof/>
            <w:webHidden/>
          </w:rPr>
          <w:fldChar w:fldCharType="end"/>
        </w:r>
      </w:hyperlink>
    </w:p>
    <w:p w14:paraId="1F50F563" w14:textId="4D0CF44A" w:rsidR="008618F2" w:rsidRDefault="009B5CEC">
      <w:pPr>
        <w:pStyle w:val="TOC3"/>
        <w:tabs>
          <w:tab w:val="left" w:pos="1100"/>
        </w:tabs>
        <w:rPr>
          <w:rFonts w:asciiTheme="minorHAnsi" w:eastAsiaTheme="minorEastAsia" w:hAnsiTheme="minorHAnsi" w:cstheme="minorBidi"/>
          <w:b w:val="0"/>
          <w:noProof/>
          <w:szCs w:val="22"/>
          <w:lang w:eastAsia="en-GB"/>
        </w:rPr>
      </w:pPr>
      <w:hyperlink w:anchor="_Toc134198058" w:history="1">
        <w:r w:rsidR="008618F2" w:rsidRPr="00DC3933">
          <w:rPr>
            <w:rStyle w:val="Hyperlink"/>
            <w:noProof/>
          </w:rPr>
          <w:t>12.11.5</w:t>
        </w:r>
        <w:r w:rsidR="008618F2">
          <w:rPr>
            <w:rFonts w:asciiTheme="minorHAnsi" w:eastAsiaTheme="minorEastAsia" w:hAnsiTheme="minorHAnsi" w:cstheme="minorBidi"/>
            <w:b w:val="0"/>
            <w:noProof/>
            <w:szCs w:val="22"/>
            <w:lang w:eastAsia="en-GB"/>
          </w:rPr>
          <w:tab/>
        </w:r>
        <w:r w:rsidR="008618F2" w:rsidRPr="00DC3933">
          <w:rPr>
            <w:rStyle w:val="Hyperlink"/>
            <w:noProof/>
          </w:rPr>
          <w:t>Verification of beams and columns</w:t>
        </w:r>
        <w:r w:rsidR="008618F2">
          <w:rPr>
            <w:noProof/>
            <w:webHidden/>
          </w:rPr>
          <w:tab/>
        </w:r>
        <w:r w:rsidR="008618F2">
          <w:rPr>
            <w:noProof/>
            <w:webHidden/>
          </w:rPr>
          <w:fldChar w:fldCharType="begin"/>
        </w:r>
        <w:r w:rsidR="008618F2">
          <w:rPr>
            <w:noProof/>
            <w:webHidden/>
          </w:rPr>
          <w:instrText xml:space="preserve"> PAGEREF _Toc134198058 \h </w:instrText>
        </w:r>
        <w:r w:rsidR="008618F2">
          <w:rPr>
            <w:noProof/>
            <w:webHidden/>
          </w:rPr>
        </w:r>
        <w:r w:rsidR="008618F2">
          <w:rPr>
            <w:noProof/>
            <w:webHidden/>
          </w:rPr>
          <w:fldChar w:fldCharType="separate"/>
        </w:r>
        <w:r w:rsidR="000720CB">
          <w:rPr>
            <w:noProof/>
            <w:webHidden/>
          </w:rPr>
          <w:t>201</w:t>
        </w:r>
        <w:r w:rsidR="008618F2">
          <w:rPr>
            <w:noProof/>
            <w:webHidden/>
          </w:rPr>
          <w:fldChar w:fldCharType="end"/>
        </w:r>
      </w:hyperlink>
    </w:p>
    <w:p w14:paraId="7FE29FB7" w14:textId="1A577F91" w:rsidR="008618F2" w:rsidRDefault="009B5CEC">
      <w:pPr>
        <w:pStyle w:val="TOC3"/>
        <w:tabs>
          <w:tab w:val="left" w:pos="1100"/>
        </w:tabs>
        <w:rPr>
          <w:rFonts w:asciiTheme="minorHAnsi" w:eastAsiaTheme="minorEastAsia" w:hAnsiTheme="minorHAnsi" w:cstheme="minorBidi"/>
          <w:b w:val="0"/>
          <w:noProof/>
          <w:szCs w:val="22"/>
          <w:lang w:eastAsia="en-GB"/>
        </w:rPr>
      </w:pPr>
      <w:hyperlink w:anchor="_Toc134198059" w:history="1">
        <w:r w:rsidR="008618F2" w:rsidRPr="00DC3933">
          <w:rPr>
            <w:rStyle w:val="Hyperlink"/>
            <w:noProof/>
          </w:rPr>
          <w:t>12.11.6</w:t>
        </w:r>
        <w:r w:rsidR="008618F2">
          <w:rPr>
            <w:rFonts w:asciiTheme="minorHAnsi" w:eastAsiaTheme="minorEastAsia" w:hAnsiTheme="minorHAnsi" w:cstheme="minorBidi"/>
            <w:b w:val="0"/>
            <w:noProof/>
            <w:szCs w:val="22"/>
            <w:lang w:eastAsia="en-GB"/>
          </w:rPr>
          <w:tab/>
        </w:r>
        <w:r w:rsidR="008618F2" w:rsidRPr="00DC3933">
          <w:rPr>
            <w:rStyle w:val="Hyperlink"/>
            <w:noProof/>
          </w:rPr>
          <w:t>Verification of members and connections not containing seismic links</w:t>
        </w:r>
        <w:r w:rsidR="008618F2">
          <w:rPr>
            <w:noProof/>
            <w:webHidden/>
          </w:rPr>
          <w:tab/>
        </w:r>
        <w:r w:rsidR="008618F2">
          <w:rPr>
            <w:noProof/>
            <w:webHidden/>
          </w:rPr>
          <w:fldChar w:fldCharType="begin"/>
        </w:r>
        <w:r w:rsidR="008618F2">
          <w:rPr>
            <w:noProof/>
            <w:webHidden/>
          </w:rPr>
          <w:instrText xml:space="preserve"> PAGEREF _Toc134198059 \h </w:instrText>
        </w:r>
        <w:r w:rsidR="008618F2">
          <w:rPr>
            <w:noProof/>
            <w:webHidden/>
          </w:rPr>
        </w:r>
        <w:r w:rsidR="008618F2">
          <w:rPr>
            <w:noProof/>
            <w:webHidden/>
          </w:rPr>
          <w:fldChar w:fldCharType="separate"/>
        </w:r>
        <w:r w:rsidR="000720CB">
          <w:rPr>
            <w:noProof/>
            <w:webHidden/>
          </w:rPr>
          <w:t>202</w:t>
        </w:r>
        <w:r w:rsidR="008618F2">
          <w:rPr>
            <w:noProof/>
            <w:webHidden/>
          </w:rPr>
          <w:fldChar w:fldCharType="end"/>
        </w:r>
      </w:hyperlink>
    </w:p>
    <w:p w14:paraId="34163DFF" w14:textId="1A7B410F" w:rsidR="008618F2" w:rsidRDefault="009B5CEC">
      <w:pPr>
        <w:pStyle w:val="TOC3"/>
        <w:tabs>
          <w:tab w:val="left" w:pos="1100"/>
        </w:tabs>
        <w:rPr>
          <w:rFonts w:asciiTheme="minorHAnsi" w:eastAsiaTheme="minorEastAsia" w:hAnsiTheme="minorHAnsi" w:cstheme="minorBidi"/>
          <w:b w:val="0"/>
          <w:noProof/>
          <w:szCs w:val="22"/>
          <w:lang w:eastAsia="en-GB"/>
        </w:rPr>
      </w:pPr>
      <w:hyperlink w:anchor="_Toc134198060" w:history="1">
        <w:r w:rsidR="008618F2" w:rsidRPr="00DC3933">
          <w:rPr>
            <w:rStyle w:val="Hyperlink"/>
            <w:noProof/>
          </w:rPr>
          <w:t>12.11.7</w:t>
        </w:r>
        <w:r w:rsidR="008618F2">
          <w:rPr>
            <w:rFonts w:asciiTheme="minorHAnsi" w:eastAsiaTheme="minorEastAsia" w:hAnsiTheme="minorHAnsi" w:cstheme="minorBidi"/>
            <w:b w:val="0"/>
            <w:noProof/>
            <w:szCs w:val="22"/>
            <w:lang w:eastAsia="en-GB"/>
          </w:rPr>
          <w:tab/>
        </w:r>
        <w:r w:rsidR="008618F2" w:rsidRPr="00DC3933">
          <w:rPr>
            <w:rStyle w:val="Hyperlink"/>
            <w:noProof/>
          </w:rPr>
          <w:t>Verification of connections of the seismic links</w:t>
        </w:r>
        <w:r w:rsidR="008618F2">
          <w:rPr>
            <w:noProof/>
            <w:webHidden/>
          </w:rPr>
          <w:tab/>
        </w:r>
        <w:r w:rsidR="008618F2">
          <w:rPr>
            <w:noProof/>
            <w:webHidden/>
          </w:rPr>
          <w:fldChar w:fldCharType="begin"/>
        </w:r>
        <w:r w:rsidR="008618F2">
          <w:rPr>
            <w:noProof/>
            <w:webHidden/>
          </w:rPr>
          <w:instrText xml:space="preserve"> PAGEREF _Toc134198060 \h </w:instrText>
        </w:r>
        <w:r w:rsidR="008618F2">
          <w:rPr>
            <w:noProof/>
            <w:webHidden/>
          </w:rPr>
        </w:r>
        <w:r w:rsidR="008618F2">
          <w:rPr>
            <w:noProof/>
            <w:webHidden/>
          </w:rPr>
          <w:fldChar w:fldCharType="separate"/>
        </w:r>
        <w:r w:rsidR="000720CB">
          <w:rPr>
            <w:noProof/>
            <w:webHidden/>
          </w:rPr>
          <w:t>202</w:t>
        </w:r>
        <w:r w:rsidR="008618F2">
          <w:rPr>
            <w:noProof/>
            <w:webHidden/>
          </w:rPr>
          <w:fldChar w:fldCharType="end"/>
        </w:r>
      </w:hyperlink>
    </w:p>
    <w:p w14:paraId="545525B2" w14:textId="7307C957" w:rsidR="008618F2" w:rsidRDefault="009B5CEC">
      <w:pPr>
        <w:pStyle w:val="TOC3"/>
        <w:tabs>
          <w:tab w:val="left" w:pos="1100"/>
        </w:tabs>
        <w:rPr>
          <w:rFonts w:asciiTheme="minorHAnsi" w:eastAsiaTheme="minorEastAsia" w:hAnsiTheme="minorHAnsi" w:cstheme="minorBidi"/>
          <w:b w:val="0"/>
          <w:noProof/>
          <w:szCs w:val="22"/>
          <w:lang w:eastAsia="en-GB"/>
        </w:rPr>
      </w:pPr>
      <w:hyperlink w:anchor="_Toc134198061" w:history="1">
        <w:r w:rsidR="008618F2" w:rsidRPr="00DC3933">
          <w:rPr>
            <w:rStyle w:val="Hyperlink"/>
            <w:noProof/>
          </w:rPr>
          <w:t>12.11.8</w:t>
        </w:r>
        <w:r w:rsidR="008618F2">
          <w:rPr>
            <w:rFonts w:asciiTheme="minorHAnsi" w:eastAsiaTheme="minorEastAsia" w:hAnsiTheme="minorHAnsi" w:cstheme="minorBidi"/>
            <w:b w:val="0"/>
            <w:noProof/>
            <w:szCs w:val="22"/>
            <w:lang w:eastAsia="en-GB"/>
          </w:rPr>
          <w:tab/>
        </w:r>
        <w:r w:rsidR="008618F2" w:rsidRPr="00DC3933">
          <w:rPr>
            <w:rStyle w:val="Hyperlink"/>
            <w:noProof/>
          </w:rPr>
          <w:t>Verification of beam to column connections</w:t>
        </w:r>
        <w:r w:rsidR="008618F2">
          <w:rPr>
            <w:noProof/>
            <w:webHidden/>
          </w:rPr>
          <w:tab/>
        </w:r>
        <w:r w:rsidR="008618F2">
          <w:rPr>
            <w:noProof/>
            <w:webHidden/>
          </w:rPr>
          <w:fldChar w:fldCharType="begin"/>
        </w:r>
        <w:r w:rsidR="008618F2">
          <w:rPr>
            <w:noProof/>
            <w:webHidden/>
          </w:rPr>
          <w:instrText xml:space="preserve"> PAGEREF _Toc134198061 \h </w:instrText>
        </w:r>
        <w:r w:rsidR="008618F2">
          <w:rPr>
            <w:noProof/>
            <w:webHidden/>
          </w:rPr>
        </w:r>
        <w:r w:rsidR="008618F2">
          <w:rPr>
            <w:noProof/>
            <w:webHidden/>
          </w:rPr>
          <w:fldChar w:fldCharType="separate"/>
        </w:r>
        <w:r w:rsidR="000720CB">
          <w:rPr>
            <w:noProof/>
            <w:webHidden/>
          </w:rPr>
          <w:t>202</w:t>
        </w:r>
        <w:r w:rsidR="008618F2">
          <w:rPr>
            <w:noProof/>
            <w:webHidden/>
          </w:rPr>
          <w:fldChar w:fldCharType="end"/>
        </w:r>
      </w:hyperlink>
    </w:p>
    <w:p w14:paraId="6193F122" w14:textId="57CF5480" w:rsidR="008618F2" w:rsidRDefault="009B5CEC">
      <w:pPr>
        <w:pStyle w:val="TOC3"/>
        <w:tabs>
          <w:tab w:val="left" w:pos="1100"/>
        </w:tabs>
        <w:rPr>
          <w:rFonts w:asciiTheme="minorHAnsi" w:eastAsiaTheme="minorEastAsia" w:hAnsiTheme="minorHAnsi" w:cstheme="minorBidi"/>
          <w:b w:val="0"/>
          <w:noProof/>
          <w:szCs w:val="22"/>
          <w:lang w:eastAsia="en-GB"/>
        </w:rPr>
      </w:pPr>
      <w:hyperlink w:anchor="_Toc134198062" w:history="1">
        <w:r w:rsidR="008618F2" w:rsidRPr="00DC3933">
          <w:rPr>
            <w:rStyle w:val="Hyperlink"/>
            <w:noProof/>
          </w:rPr>
          <w:t>12.11.9</w:t>
        </w:r>
        <w:r w:rsidR="008618F2">
          <w:rPr>
            <w:rFonts w:asciiTheme="minorHAnsi" w:eastAsiaTheme="minorEastAsia" w:hAnsiTheme="minorHAnsi" w:cstheme="minorBidi"/>
            <w:b w:val="0"/>
            <w:noProof/>
            <w:szCs w:val="22"/>
            <w:lang w:eastAsia="en-GB"/>
          </w:rPr>
          <w:tab/>
        </w:r>
        <w:r w:rsidR="008618F2" w:rsidRPr="00DC3933">
          <w:rPr>
            <w:rStyle w:val="Hyperlink"/>
            <w:noProof/>
          </w:rPr>
          <w:t>Verification of column base joints</w:t>
        </w:r>
        <w:r w:rsidR="008618F2">
          <w:rPr>
            <w:noProof/>
            <w:webHidden/>
          </w:rPr>
          <w:tab/>
        </w:r>
        <w:r w:rsidR="008618F2">
          <w:rPr>
            <w:noProof/>
            <w:webHidden/>
          </w:rPr>
          <w:fldChar w:fldCharType="begin"/>
        </w:r>
        <w:r w:rsidR="008618F2">
          <w:rPr>
            <w:noProof/>
            <w:webHidden/>
          </w:rPr>
          <w:instrText xml:space="preserve"> PAGEREF _Toc134198062 \h </w:instrText>
        </w:r>
        <w:r w:rsidR="008618F2">
          <w:rPr>
            <w:noProof/>
            <w:webHidden/>
          </w:rPr>
        </w:r>
        <w:r w:rsidR="008618F2">
          <w:rPr>
            <w:noProof/>
            <w:webHidden/>
          </w:rPr>
          <w:fldChar w:fldCharType="separate"/>
        </w:r>
        <w:r w:rsidR="000720CB">
          <w:rPr>
            <w:noProof/>
            <w:webHidden/>
          </w:rPr>
          <w:t>202</w:t>
        </w:r>
        <w:r w:rsidR="008618F2">
          <w:rPr>
            <w:noProof/>
            <w:webHidden/>
          </w:rPr>
          <w:fldChar w:fldCharType="end"/>
        </w:r>
      </w:hyperlink>
    </w:p>
    <w:p w14:paraId="03968C88" w14:textId="6799C1AE" w:rsidR="008618F2" w:rsidRDefault="009B5CEC" w:rsidP="008618F2">
      <w:pPr>
        <w:pStyle w:val="TOC2"/>
        <w:jc w:val="left"/>
        <w:rPr>
          <w:rFonts w:asciiTheme="minorHAnsi" w:eastAsiaTheme="minorEastAsia" w:hAnsiTheme="minorHAnsi" w:cstheme="minorBidi"/>
          <w:b w:val="0"/>
          <w:noProof/>
          <w:szCs w:val="22"/>
          <w:lang w:eastAsia="en-GB"/>
        </w:rPr>
      </w:pPr>
      <w:hyperlink w:anchor="_Toc134198063" w:history="1">
        <w:r w:rsidR="008618F2" w:rsidRPr="00DC3933">
          <w:rPr>
            <w:rStyle w:val="Hyperlink"/>
            <w:noProof/>
          </w:rPr>
          <w:t>12.12</w:t>
        </w:r>
        <w:r w:rsidR="008618F2">
          <w:rPr>
            <w:rFonts w:asciiTheme="minorHAnsi" w:eastAsiaTheme="minorEastAsia" w:hAnsiTheme="minorHAnsi" w:cstheme="minorBidi"/>
            <w:b w:val="0"/>
            <w:noProof/>
            <w:szCs w:val="22"/>
            <w:lang w:eastAsia="en-GB"/>
          </w:rPr>
          <w:tab/>
        </w:r>
        <w:r w:rsidR="008618F2" w:rsidRPr="00DC3933">
          <w:rPr>
            <w:rStyle w:val="Hyperlink"/>
            <w:noProof/>
          </w:rPr>
          <w:t>Design and detailing rules for composite frames with buckling restrained bracings</w:t>
        </w:r>
        <w:r w:rsidR="008618F2">
          <w:rPr>
            <w:noProof/>
            <w:webHidden/>
          </w:rPr>
          <w:tab/>
        </w:r>
        <w:r w:rsidR="008618F2">
          <w:rPr>
            <w:noProof/>
            <w:webHidden/>
          </w:rPr>
          <w:fldChar w:fldCharType="begin"/>
        </w:r>
        <w:r w:rsidR="008618F2">
          <w:rPr>
            <w:noProof/>
            <w:webHidden/>
          </w:rPr>
          <w:instrText xml:space="preserve"> PAGEREF _Toc134198063 \h </w:instrText>
        </w:r>
        <w:r w:rsidR="008618F2">
          <w:rPr>
            <w:noProof/>
            <w:webHidden/>
          </w:rPr>
        </w:r>
        <w:r w:rsidR="008618F2">
          <w:rPr>
            <w:noProof/>
            <w:webHidden/>
          </w:rPr>
          <w:fldChar w:fldCharType="separate"/>
        </w:r>
        <w:r w:rsidR="000720CB">
          <w:rPr>
            <w:noProof/>
            <w:webHidden/>
          </w:rPr>
          <w:t>202</w:t>
        </w:r>
        <w:r w:rsidR="008618F2">
          <w:rPr>
            <w:noProof/>
            <w:webHidden/>
          </w:rPr>
          <w:fldChar w:fldCharType="end"/>
        </w:r>
      </w:hyperlink>
    </w:p>
    <w:p w14:paraId="4199F574" w14:textId="19DE432A" w:rsidR="008618F2" w:rsidRDefault="009B5CEC">
      <w:pPr>
        <w:pStyle w:val="TOC3"/>
        <w:tabs>
          <w:tab w:val="left" w:pos="1100"/>
        </w:tabs>
        <w:rPr>
          <w:rFonts w:asciiTheme="minorHAnsi" w:eastAsiaTheme="minorEastAsia" w:hAnsiTheme="minorHAnsi" w:cstheme="minorBidi"/>
          <w:b w:val="0"/>
          <w:noProof/>
          <w:szCs w:val="22"/>
          <w:lang w:eastAsia="en-GB"/>
        </w:rPr>
      </w:pPr>
      <w:hyperlink w:anchor="_Toc134198064" w:history="1">
        <w:r w:rsidR="008618F2" w:rsidRPr="00DC3933">
          <w:rPr>
            <w:rStyle w:val="Hyperlink"/>
            <w:noProof/>
          </w:rPr>
          <w:t>12.12.1</w:t>
        </w:r>
        <w:r w:rsidR="008618F2">
          <w:rPr>
            <w:rFonts w:asciiTheme="minorHAnsi" w:eastAsiaTheme="minorEastAsia" w:hAnsiTheme="minorHAnsi" w:cstheme="minorBidi"/>
            <w:b w:val="0"/>
            <w:noProof/>
            <w:szCs w:val="22"/>
            <w:lang w:eastAsia="en-GB"/>
          </w:rPr>
          <w:tab/>
        </w:r>
        <w:r w:rsidR="008618F2" w:rsidRPr="00DC3933">
          <w:rPr>
            <w:rStyle w:val="Hyperlink"/>
            <w:noProof/>
          </w:rPr>
          <w:t>Design criteria</w:t>
        </w:r>
        <w:r w:rsidR="008618F2">
          <w:rPr>
            <w:noProof/>
            <w:webHidden/>
          </w:rPr>
          <w:tab/>
        </w:r>
        <w:r w:rsidR="008618F2">
          <w:rPr>
            <w:noProof/>
            <w:webHidden/>
          </w:rPr>
          <w:fldChar w:fldCharType="begin"/>
        </w:r>
        <w:r w:rsidR="008618F2">
          <w:rPr>
            <w:noProof/>
            <w:webHidden/>
          </w:rPr>
          <w:instrText xml:space="preserve"> PAGEREF _Toc134198064 \h </w:instrText>
        </w:r>
        <w:r w:rsidR="008618F2">
          <w:rPr>
            <w:noProof/>
            <w:webHidden/>
          </w:rPr>
        </w:r>
        <w:r w:rsidR="008618F2">
          <w:rPr>
            <w:noProof/>
            <w:webHidden/>
          </w:rPr>
          <w:fldChar w:fldCharType="separate"/>
        </w:r>
        <w:r w:rsidR="000720CB">
          <w:rPr>
            <w:noProof/>
            <w:webHidden/>
          </w:rPr>
          <w:t>202</w:t>
        </w:r>
        <w:r w:rsidR="008618F2">
          <w:rPr>
            <w:noProof/>
            <w:webHidden/>
          </w:rPr>
          <w:fldChar w:fldCharType="end"/>
        </w:r>
      </w:hyperlink>
    </w:p>
    <w:p w14:paraId="4A6A37E2" w14:textId="287A6AED" w:rsidR="008618F2" w:rsidRDefault="009B5CEC">
      <w:pPr>
        <w:pStyle w:val="TOC3"/>
        <w:tabs>
          <w:tab w:val="left" w:pos="1100"/>
        </w:tabs>
        <w:rPr>
          <w:rFonts w:asciiTheme="minorHAnsi" w:eastAsiaTheme="minorEastAsia" w:hAnsiTheme="minorHAnsi" w:cstheme="minorBidi"/>
          <w:b w:val="0"/>
          <w:noProof/>
          <w:szCs w:val="22"/>
          <w:lang w:eastAsia="en-GB"/>
        </w:rPr>
      </w:pPr>
      <w:hyperlink w:anchor="_Toc134198065" w:history="1">
        <w:r w:rsidR="008618F2" w:rsidRPr="00DC3933">
          <w:rPr>
            <w:rStyle w:val="Hyperlink"/>
            <w:noProof/>
          </w:rPr>
          <w:t>12.12.2</w:t>
        </w:r>
        <w:r w:rsidR="008618F2">
          <w:rPr>
            <w:rFonts w:asciiTheme="minorHAnsi" w:eastAsiaTheme="minorEastAsia" w:hAnsiTheme="minorHAnsi" w:cstheme="minorBidi"/>
            <w:b w:val="0"/>
            <w:noProof/>
            <w:szCs w:val="22"/>
            <w:lang w:eastAsia="en-GB"/>
          </w:rPr>
          <w:tab/>
        </w:r>
        <w:r w:rsidR="008618F2" w:rsidRPr="00DC3933">
          <w:rPr>
            <w:rStyle w:val="Hyperlink"/>
            <w:noProof/>
          </w:rPr>
          <w:t>Analysis</w:t>
        </w:r>
        <w:r w:rsidR="008618F2">
          <w:rPr>
            <w:noProof/>
            <w:webHidden/>
          </w:rPr>
          <w:tab/>
        </w:r>
        <w:r w:rsidR="008618F2">
          <w:rPr>
            <w:noProof/>
            <w:webHidden/>
          </w:rPr>
          <w:fldChar w:fldCharType="begin"/>
        </w:r>
        <w:r w:rsidR="008618F2">
          <w:rPr>
            <w:noProof/>
            <w:webHidden/>
          </w:rPr>
          <w:instrText xml:space="preserve"> PAGEREF _Toc134198065 \h </w:instrText>
        </w:r>
        <w:r w:rsidR="008618F2">
          <w:rPr>
            <w:noProof/>
            <w:webHidden/>
          </w:rPr>
        </w:r>
        <w:r w:rsidR="008618F2">
          <w:rPr>
            <w:noProof/>
            <w:webHidden/>
          </w:rPr>
          <w:fldChar w:fldCharType="separate"/>
        </w:r>
        <w:r w:rsidR="000720CB">
          <w:rPr>
            <w:noProof/>
            <w:webHidden/>
          </w:rPr>
          <w:t>202</w:t>
        </w:r>
        <w:r w:rsidR="008618F2">
          <w:rPr>
            <w:noProof/>
            <w:webHidden/>
          </w:rPr>
          <w:fldChar w:fldCharType="end"/>
        </w:r>
      </w:hyperlink>
    </w:p>
    <w:p w14:paraId="67EEC3A6" w14:textId="64243792" w:rsidR="008618F2" w:rsidRDefault="009B5CEC">
      <w:pPr>
        <w:pStyle w:val="TOC3"/>
        <w:tabs>
          <w:tab w:val="left" w:pos="1100"/>
        </w:tabs>
        <w:rPr>
          <w:rFonts w:asciiTheme="minorHAnsi" w:eastAsiaTheme="minorEastAsia" w:hAnsiTheme="minorHAnsi" w:cstheme="minorBidi"/>
          <w:b w:val="0"/>
          <w:noProof/>
          <w:szCs w:val="22"/>
          <w:lang w:eastAsia="en-GB"/>
        </w:rPr>
      </w:pPr>
      <w:hyperlink w:anchor="_Toc134198066" w:history="1">
        <w:r w:rsidR="008618F2" w:rsidRPr="00DC3933">
          <w:rPr>
            <w:rStyle w:val="Hyperlink"/>
            <w:noProof/>
          </w:rPr>
          <w:t>12.12.3</w:t>
        </w:r>
        <w:r w:rsidR="008618F2">
          <w:rPr>
            <w:rFonts w:asciiTheme="minorHAnsi" w:eastAsiaTheme="minorEastAsia" w:hAnsiTheme="minorHAnsi" w:cstheme="minorBidi"/>
            <w:b w:val="0"/>
            <w:noProof/>
            <w:szCs w:val="22"/>
            <w:lang w:eastAsia="en-GB"/>
          </w:rPr>
          <w:tab/>
        </w:r>
        <w:r w:rsidR="008618F2" w:rsidRPr="00DC3933">
          <w:rPr>
            <w:rStyle w:val="Hyperlink"/>
            <w:noProof/>
          </w:rPr>
          <w:t>Design rules of buckling restrained bracings</w:t>
        </w:r>
        <w:r w:rsidR="008618F2">
          <w:rPr>
            <w:noProof/>
            <w:webHidden/>
          </w:rPr>
          <w:tab/>
        </w:r>
        <w:r w:rsidR="008618F2">
          <w:rPr>
            <w:noProof/>
            <w:webHidden/>
          </w:rPr>
          <w:fldChar w:fldCharType="begin"/>
        </w:r>
        <w:r w:rsidR="008618F2">
          <w:rPr>
            <w:noProof/>
            <w:webHidden/>
          </w:rPr>
          <w:instrText xml:space="preserve"> PAGEREF _Toc134198066 \h </w:instrText>
        </w:r>
        <w:r w:rsidR="008618F2">
          <w:rPr>
            <w:noProof/>
            <w:webHidden/>
          </w:rPr>
        </w:r>
        <w:r w:rsidR="008618F2">
          <w:rPr>
            <w:noProof/>
            <w:webHidden/>
          </w:rPr>
          <w:fldChar w:fldCharType="separate"/>
        </w:r>
        <w:r w:rsidR="000720CB">
          <w:rPr>
            <w:noProof/>
            <w:webHidden/>
          </w:rPr>
          <w:t>202</w:t>
        </w:r>
        <w:r w:rsidR="008618F2">
          <w:rPr>
            <w:noProof/>
            <w:webHidden/>
          </w:rPr>
          <w:fldChar w:fldCharType="end"/>
        </w:r>
      </w:hyperlink>
    </w:p>
    <w:p w14:paraId="4DD49C62" w14:textId="062736C2" w:rsidR="008618F2" w:rsidRDefault="009B5CEC">
      <w:pPr>
        <w:pStyle w:val="TOC3"/>
        <w:tabs>
          <w:tab w:val="left" w:pos="1100"/>
        </w:tabs>
        <w:rPr>
          <w:rFonts w:asciiTheme="minorHAnsi" w:eastAsiaTheme="minorEastAsia" w:hAnsiTheme="minorHAnsi" w:cstheme="minorBidi"/>
          <w:b w:val="0"/>
          <w:noProof/>
          <w:szCs w:val="22"/>
          <w:lang w:eastAsia="en-GB"/>
        </w:rPr>
      </w:pPr>
      <w:hyperlink w:anchor="_Toc134198067" w:history="1">
        <w:r w:rsidR="008618F2" w:rsidRPr="00DC3933">
          <w:rPr>
            <w:rStyle w:val="Hyperlink"/>
            <w:noProof/>
          </w:rPr>
          <w:t>12.12.4</w:t>
        </w:r>
        <w:r w:rsidR="008618F2">
          <w:rPr>
            <w:rFonts w:asciiTheme="minorHAnsi" w:eastAsiaTheme="minorEastAsia" w:hAnsiTheme="minorHAnsi" w:cstheme="minorBidi"/>
            <w:b w:val="0"/>
            <w:noProof/>
            <w:szCs w:val="22"/>
            <w:lang w:eastAsia="en-GB"/>
          </w:rPr>
          <w:tab/>
        </w:r>
        <w:r w:rsidR="008618F2" w:rsidRPr="00DC3933">
          <w:rPr>
            <w:rStyle w:val="Hyperlink"/>
            <w:noProof/>
          </w:rPr>
          <w:t>Conformity criteria</w:t>
        </w:r>
        <w:r w:rsidR="008618F2">
          <w:rPr>
            <w:noProof/>
            <w:webHidden/>
          </w:rPr>
          <w:tab/>
        </w:r>
        <w:r w:rsidR="008618F2">
          <w:rPr>
            <w:noProof/>
            <w:webHidden/>
          </w:rPr>
          <w:fldChar w:fldCharType="begin"/>
        </w:r>
        <w:r w:rsidR="008618F2">
          <w:rPr>
            <w:noProof/>
            <w:webHidden/>
          </w:rPr>
          <w:instrText xml:space="preserve"> PAGEREF _Toc134198067 \h </w:instrText>
        </w:r>
        <w:r w:rsidR="008618F2">
          <w:rPr>
            <w:noProof/>
            <w:webHidden/>
          </w:rPr>
        </w:r>
        <w:r w:rsidR="008618F2">
          <w:rPr>
            <w:noProof/>
            <w:webHidden/>
          </w:rPr>
          <w:fldChar w:fldCharType="separate"/>
        </w:r>
        <w:r w:rsidR="000720CB">
          <w:rPr>
            <w:noProof/>
            <w:webHidden/>
          </w:rPr>
          <w:t>202</w:t>
        </w:r>
        <w:r w:rsidR="008618F2">
          <w:rPr>
            <w:noProof/>
            <w:webHidden/>
          </w:rPr>
          <w:fldChar w:fldCharType="end"/>
        </w:r>
      </w:hyperlink>
    </w:p>
    <w:p w14:paraId="708036B6" w14:textId="3C4F2FD1" w:rsidR="008618F2" w:rsidRDefault="009B5CEC">
      <w:pPr>
        <w:pStyle w:val="TOC3"/>
        <w:tabs>
          <w:tab w:val="left" w:pos="1100"/>
        </w:tabs>
        <w:rPr>
          <w:rFonts w:asciiTheme="minorHAnsi" w:eastAsiaTheme="minorEastAsia" w:hAnsiTheme="minorHAnsi" w:cstheme="minorBidi"/>
          <w:b w:val="0"/>
          <w:noProof/>
          <w:szCs w:val="22"/>
          <w:lang w:eastAsia="en-GB"/>
        </w:rPr>
      </w:pPr>
      <w:hyperlink w:anchor="_Toc134198068" w:history="1">
        <w:r w:rsidR="008618F2" w:rsidRPr="00DC3933">
          <w:rPr>
            <w:rStyle w:val="Hyperlink"/>
            <w:noProof/>
          </w:rPr>
          <w:t>12.12.5</w:t>
        </w:r>
        <w:r w:rsidR="008618F2">
          <w:rPr>
            <w:rFonts w:asciiTheme="minorHAnsi" w:eastAsiaTheme="minorEastAsia" w:hAnsiTheme="minorHAnsi" w:cstheme="minorBidi"/>
            <w:b w:val="0"/>
            <w:noProof/>
            <w:szCs w:val="22"/>
            <w:lang w:eastAsia="en-GB"/>
          </w:rPr>
          <w:tab/>
        </w:r>
        <w:r w:rsidR="008618F2" w:rsidRPr="00DC3933">
          <w:rPr>
            <w:rStyle w:val="Hyperlink"/>
            <w:noProof/>
          </w:rPr>
          <w:t>Verification of beams and columns</w:t>
        </w:r>
        <w:r w:rsidR="008618F2">
          <w:rPr>
            <w:noProof/>
            <w:webHidden/>
          </w:rPr>
          <w:tab/>
        </w:r>
        <w:r w:rsidR="008618F2">
          <w:rPr>
            <w:noProof/>
            <w:webHidden/>
          </w:rPr>
          <w:fldChar w:fldCharType="begin"/>
        </w:r>
        <w:r w:rsidR="008618F2">
          <w:rPr>
            <w:noProof/>
            <w:webHidden/>
          </w:rPr>
          <w:instrText xml:space="preserve"> PAGEREF _Toc134198068 \h </w:instrText>
        </w:r>
        <w:r w:rsidR="008618F2">
          <w:rPr>
            <w:noProof/>
            <w:webHidden/>
          </w:rPr>
        </w:r>
        <w:r w:rsidR="008618F2">
          <w:rPr>
            <w:noProof/>
            <w:webHidden/>
          </w:rPr>
          <w:fldChar w:fldCharType="separate"/>
        </w:r>
        <w:r w:rsidR="000720CB">
          <w:rPr>
            <w:noProof/>
            <w:webHidden/>
          </w:rPr>
          <w:t>202</w:t>
        </w:r>
        <w:r w:rsidR="008618F2">
          <w:rPr>
            <w:noProof/>
            <w:webHidden/>
          </w:rPr>
          <w:fldChar w:fldCharType="end"/>
        </w:r>
      </w:hyperlink>
    </w:p>
    <w:p w14:paraId="01BFDF87" w14:textId="679F4C15" w:rsidR="008618F2" w:rsidRDefault="009B5CEC">
      <w:pPr>
        <w:pStyle w:val="TOC3"/>
        <w:tabs>
          <w:tab w:val="left" w:pos="1100"/>
        </w:tabs>
        <w:rPr>
          <w:rFonts w:asciiTheme="minorHAnsi" w:eastAsiaTheme="minorEastAsia" w:hAnsiTheme="minorHAnsi" w:cstheme="minorBidi"/>
          <w:b w:val="0"/>
          <w:noProof/>
          <w:szCs w:val="22"/>
          <w:lang w:eastAsia="en-GB"/>
        </w:rPr>
      </w:pPr>
      <w:hyperlink w:anchor="_Toc134198069" w:history="1">
        <w:r w:rsidR="008618F2" w:rsidRPr="00DC3933">
          <w:rPr>
            <w:rStyle w:val="Hyperlink"/>
            <w:noProof/>
          </w:rPr>
          <w:t>12.12.6</w:t>
        </w:r>
        <w:r w:rsidR="008618F2">
          <w:rPr>
            <w:rFonts w:asciiTheme="minorHAnsi" w:eastAsiaTheme="minorEastAsia" w:hAnsiTheme="minorHAnsi" w:cstheme="minorBidi"/>
            <w:b w:val="0"/>
            <w:noProof/>
            <w:szCs w:val="22"/>
            <w:lang w:eastAsia="en-GB"/>
          </w:rPr>
          <w:tab/>
        </w:r>
        <w:r w:rsidR="008618F2" w:rsidRPr="00DC3933">
          <w:rPr>
            <w:rStyle w:val="Hyperlink"/>
            <w:noProof/>
          </w:rPr>
          <w:t>Verification of beams to column connections</w:t>
        </w:r>
        <w:r w:rsidR="008618F2">
          <w:rPr>
            <w:noProof/>
            <w:webHidden/>
          </w:rPr>
          <w:tab/>
        </w:r>
        <w:r w:rsidR="008618F2">
          <w:rPr>
            <w:noProof/>
            <w:webHidden/>
          </w:rPr>
          <w:fldChar w:fldCharType="begin"/>
        </w:r>
        <w:r w:rsidR="008618F2">
          <w:rPr>
            <w:noProof/>
            <w:webHidden/>
          </w:rPr>
          <w:instrText xml:space="preserve"> PAGEREF _Toc134198069 \h </w:instrText>
        </w:r>
        <w:r w:rsidR="008618F2">
          <w:rPr>
            <w:noProof/>
            <w:webHidden/>
          </w:rPr>
        </w:r>
        <w:r w:rsidR="008618F2">
          <w:rPr>
            <w:noProof/>
            <w:webHidden/>
          </w:rPr>
          <w:fldChar w:fldCharType="separate"/>
        </w:r>
        <w:r w:rsidR="000720CB">
          <w:rPr>
            <w:noProof/>
            <w:webHidden/>
          </w:rPr>
          <w:t>203</w:t>
        </w:r>
        <w:r w:rsidR="008618F2">
          <w:rPr>
            <w:noProof/>
            <w:webHidden/>
          </w:rPr>
          <w:fldChar w:fldCharType="end"/>
        </w:r>
      </w:hyperlink>
    </w:p>
    <w:p w14:paraId="38EEF7D0" w14:textId="7E72342C" w:rsidR="008618F2" w:rsidRDefault="009B5CEC">
      <w:pPr>
        <w:pStyle w:val="TOC3"/>
        <w:tabs>
          <w:tab w:val="left" w:pos="1100"/>
        </w:tabs>
        <w:rPr>
          <w:rFonts w:asciiTheme="minorHAnsi" w:eastAsiaTheme="minorEastAsia" w:hAnsiTheme="minorHAnsi" w:cstheme="minorBidi"/>
          <w:b w:val="0"/>
          <w:noProof/>
          <w:szCs w:val="22"/>
          <w:lang w:eastAsia="en-GB"/>
        </w:rPr>
      </w:pPr>
      <w:hyperlink w:anchor="_Toc134198070" w:history="1">
        <w:r w:rsidR="008618F2" w:rsidRPr="00DC3933">
          <w:rPr>
            <w:rStyle w:val="Hyperlink"/>
            <w:noProof/>
          </w:rPr>
          <w:t>12.12.7</w:t>
        </w:r>
        <w:r w:rsidR="008618F2">
          <w:rPr>
            <w:rFonts w:asciiTheme="minorHAnsi" w:eastAsiaTheme="minorEastAsia" w:hAnsiTheme="minorHAnsi" w:cstheme="minorBidi"/>
            <w:b w:val="0"/>
            <w:noProof/>
            <w:szCs w:val="22"/>
            <w:lang w:eastAsia="en-GB"/>
          </w:rPr>
          <w:tab/>
        </w:r>
        <w:r w:rsidR="008618F2" w:rsidRPr="00DC3933">
          <w:rPr>
            <w:rStyle w:val="Hyperlink"/>
            <w:noProof/>
          </w:rPr>
          <w:t>Verification of brace connections</w:t>
        </w:r>
        <w:r w:rsidR="008618F2">
          <w:rPr>
            <w:noProof/>
            <w:webHidden/>
          </w:rPr>
          <w:tab/>
        </w:r>
        <w:r w:rsidR="008618F2">
          <w:rPr>
            <w:noProof/>
            <w:webHidden/>
          </w:rPr>
          <w:fldChar w:fldCharType="begin"/>
        </w:r>
        <w:r w:rsidR="008618F2">
          <w:rPr>
            <w:noProof/>
            <w:webHidden/>
          </w:rPr>
          <w:instrText xml:space="preserve"> PAGEREF _Toc134198070 \h </w:instrText>
        </w:r>
        <w:r w:rsidR="008618F2">
          <w:rPr>
            <w:noProof/>
            <w:webHidden/>
          </w:rPr>
        </w:r>
        <w:r w:rsidR="008618F2">
          <w:rPr>
            <w:noProof/>
            <w:webHidden/>
          </w:rPr>
          <w:fldChar w:fldCharType="separate"/>
        </w:r>
        <w:r w:rsidR="000720CB">
          <w:rPr>
            <w:noProof/>
            <w:webHidden/>
          </w:rPr>
          <w:t>203</w:t>
        </w:r>
        <w:r w:rsidR="008618F2">
          <w:rPr>
            <w:noProof/>
            <w:webHidden/>
          </w:rPr>
          <w:fldChar w:fldCharType="end"/>
        </w:r>
      </w:hyperlink>
    </w:p>
    <w:p w14:paraId="42A5C221" w14:textId="3C0523E1" w:rsidR="008618F2" w:rsidRDefault="009B5CEC">
      <w:pPr>
        <w:pStyle w:val="TOC3"/>
        <w:tabs>
          <w:tab w:val="left" w:pos="1100"/>
        </w:tabs>
        <w:rPr>
          <w:rFonts w:asciiTheme="minorHAnsi" w:eastAsiaTheme="minorEastAsia" w:hAnsiTheme="minorHAnsi" w:cstheme="minorBidi"/>
          <w:b w:val="0"/>
          <w:noProof/>
          <w:szCs w:val="22"/>
          <w:lang w:eastAsia="en-GB"/>
        </w:rPr>
      </w:pPr>
      <w:hyperlink w:anchor="_Toc134198071" w:history="1">
        <w:r w:rsidR="008618F2" w:rsidRPr="00DC3933">
          <w:rPr>
            <w:rStyle w:val="Hyperlink"/>
            <w:noProof/>
          </w:rPr>
          <w:t>12.12.8</w:t>
        </w:r>
        <w:r w:rsidR="008618F2">
          <w:rPr>
            <w:rFonts w:asciiTheme="minorHAnsi" w:eastAsiaTheme="minorEastAsia" w:hAnsiTheme="minorHAnsi" w:cstheme="minorBidi"/>
            <w:b w:val="0"/>
            <w:noProof/>
            <w:szCs w:val="22"/>
            <w:lang w:eastAsia="en-GB"/>
          </w:rPr>
          <w:tab/>
        </w:r>
        <w:r w:rsidR="008618F2" w:rsidRPr="00DC3933">
          <w:rPr>
            <w:rStyle w:val="Hyperlink"/>
            <w:noProof/>
          </w:rPr>
          <w:t>Verification of column base joints</w:t>
        </w:r>
        <w:r w:rsidR="008618F2">
          <w:rPr>
            <w:noProof/>
            <w:webHidden/>
          </w:rPr>
          <w:tab/>
        </w:r>
        <w:r w:rsidR="008618F2">
          <w:rPr>
            <w:noProof/>
            <w:webHidden/>
          </w:rPr>
          <w:fldChar w:fldCharType="begin"/>
        </w:r>
        <w:r w:rsidR="008618F2">
          <w:rPr>
            <w:noProof/>
            <w:webHidden/>
          </w:rPr>
          <w:instrText xml:space="preserve"> PAGEREF _Toc134198071 \h </w:instrText>
        </w:r>
        <w:r w:rsidR="008618F2">
          <w:rPr>
            <w:noProof/>
            <w:webHidden/>
          </w:rPr>
        </w:r>
        <w:r w:rsidR="008618F2">
          <w:rPr>
            <w:noProof/>
            <w:webHidden/>
          </w:rPr>
          <w:fldChar w:fldCharType="separate"/>
        </w:r>
        <w:r w:rsidR="000720CB">
          <w:rPr>
            <w:noProof/>
            <w:webHidden/>
          </w:rPr>
          <w:t>203</w:t>
        </w:r>
        <w:r w:rsidR="008618F2">
          <w:rPr>
            <w:noProof/>
            <w:webHidden/>
          </w:rPr>
          <w:fldChar w:fldCharType="end"/>
        </w:r>
      </w:hyperlink>
    </w:p>
    <w:p w14:paraId="6C15351E" w14:textId="68C451DB" w:rsidR="008618F2" w:rsidRDefault="009B5CEC">
      <w:pPr>
        <w:pStyle w:val="TOC2"/>
        <w:rPr>
          <w:rFonts w:asciiTheme="minorHAnsi" w:eastAsiaTheme="minorEastAsia" w:hAnsiTheme="minorHAnsi" w:cstheme="minorBidi"/>
          <w:b w:val="0"/>
          <w:noProof/>
          <w:szCs w:val="22"/>
          <w:lang w:eastAsia="en-GB"/>
        </w:rPr>
      </w:pPr>
      <w:hyperlink w:anchor="_Toc134198072" w:history="1">
        <w:r w:rsidR="008618F2" w:rsidRPr="00DC3933">
          <w:rPr>
            <w:rStyle w:val="Hyperlink"/>
            <w:noProof/>
          </w:rPr>
          <w:t>12.13</w:t>
        </w:r>
        <w:r w:rsidR="008618F2">
          <w:rPr>
            <w:rFonts w:asciiTheme="minorHAnsi" w:eastAsiaTheme="minorEastAsia" w:hAnsiTheme="minorHAnsi" w:cstheme="minorBidi"/>
            <w:b w:val="0"/>
            <w:noProof/>
            <w:szCs w:val="22"/>
            <w:lang w:eastAsia="en-GB"/>
          </w:rPr>
          <w:tab/>
        </w:r>
        <w:r w:rsidR="008618F2" w:rsidRPr="00DC3933">
          <w:rPr>
            <w:rStyle w:val="Hyperlink"/>
            <w:noProof/>
          </w:rPr>
          <w:t>Design and detailing rules for composite dual frames in DC2 and DC3</w:t>
        </w:r>
        <w:r w:rsidR="008618F2">
          <w:rPr>
            <w:noProof/>
            <w:webHidden/>
          </w:rPr>
          <w:tab/>
        </w:r>
        <w:r w:rsidR="008618F2">
          <w:rPr>
            <w:noProof/>
            <w:webHidden/>
          </w:rPr>
          <w:fldChar w:fldCharType="begin"/>
        </w:r>
        <w:r w:rsidR="008618F2">
          <w:rPr>
            <w:noProof/>
            <w:webHidden/>
          </w:rPr>
          <w:instrText xml:space="preserve"> PAGEREF _Toc134198072 \h </w:instrText>
        </w:r>
        <w:r w:rsidR="008618F2">
          <w:rPr>
            <w:noProof/>
            <w:webHidden/>
          </w:rPr>
        </w:r>
        <w:r w:rsidR="008618F2">
          <w:rPr>
            <w:noProof/>
            <w:webHidden/>
          </w:rPr>
          <w:fldChar w:fldCharType="separate"/>
        </w:r>
        <w:r w:rsidR="000720CB">
          <w:rPr>
            <w:noProof/>
            <w:webHidden/>
          </w:rPr>
          <w:t>203</w:t>
        </w:r>
        <w:r w:rsidR="008618F2">
          <w:rPr>
            <w:noProof/>
            <w:webHidden/>
          </w:rPr>
          <w:fldChar w:fldCharType="end"/>
        </w:r>
      </w:hyperlink>
    </w:p>
    <w:p w14:paraId="04A3A488" w14:textId="644D83FB" w:rsidR="008618F2" w:rsidRDefault="009B5CEC" w:rsidP="008618F2">
      <w:pPr>
        <w:pStyle w:val="TOC3"/>
        <w:tabs>
          <w:tab w:val="left" w:pos="1100"/>
        </w:tabs>
        <w:jc w:val="left"/>
        <w:rPr>
          <w:rFonts w:asciiTheme="minorHAnsi" w:eastAsiaTheme="minorEastAsia" w:hAnsiTheme="minorHAnsi" w:cstheme="minorBidi"/>
          <w:b w:val="0"/>
          <w:noProof/>
          <w:szCs w:val="22"/>
          <w:lang w:eastAsia="en-GB"/>
        </w:rPr>
      </w:pPr>
      <w:hyperlink w:anchor="_Toc134198073" w:history="1">
        <w:r w:rsidR="008618F2" w:rsidRPr="00DC3933">
          <w:rPr>
            <w:rStyle w:val="Hyperlink"/>
            <w:noProof/>
          </w:rPr>
          <w:t>12.13.1</w:t>
        </w:r>
        <w:r w:rsidR="008618F2">
          <w:rPr>
            <w:rFonts w:asciiTheme="minorHAnsi" w:eastAsiaTheme="minorEastAsia" w:hAnsiTheme="minorHAnsi" w:cstheme="minorBidi"/>
            <w:b w:val="0"/>
            <w:noProof/>
            <w:szCs w:val="22"/>
            <w:lang w:eastAsia="en-GB"/>
          </w:rPr>
          <w:tab/>
        </w:r>
        <w:r w:rsidR="008618F2" w:rsidRPr="00DC3933">
          <w:rPr>
            <w:rStyle w:val="Hyperlink"/>
            <w:noProof/>
          </w:rPr>
          <w:t>Design criteria</w:t>
        </w:r>
        <w:r w:rsidR="008618F2">
          <w:rPr>
            <w:noProof/>
            <w:webHidden/>
          </w:rPr>
          <w:tab/>
        </w:r>
        <w:r w:rsidR="008618F2">
          <w:rPr>
            <w:noProof/>
            <w:webHidden/>
          </w:rPr>
          <w:fldChar w:fldCharType="begin"/>
        </w:r>
        <w:r w:rsidR="008618F2">
          <w:rPr>
            <w:noProof/>
            <w:webHidden/>
          </w:rPr>
          <w:instrText xml:space="preserve"> PAGEREF _Toc134198073 \h </w:instrText>
        </w:r>
        <w:r w:rsidR="008618F2">
          <w:rPr>
            <w:noProof/>
            <w:webHidden/>
          </w:rPr>
        </w:r>
        <w:r w:rsidR="008618F2">
          <w:rPr>
            <w:noProof/>
            <w:webHidden/>
          </w:rPr>
          <w:fldChar w:fldCharType="separate"/>
        </w:r>
        <w:r w:rsidR="000720CB">
          <w:rPr>
            <w:noProof/>
            <w:webHidden/>
          </w:rPr>
          <w:t>203</w:t>
        </w:r>
        <w:r w:rsidR="008618F2">
          <w:rPr>
            <w:noProof/>
            <w:webHidden/>
          </w:rPr>
          <w:fldChar w:fldCharType="end"/>
        </w:r>
      </w:hyperlink>
    </w:p>
    <w:p w14:paraId="14EBA6C9" w14:textId="35E41CB5" w:rsidR="008618F2" w:rsidRDefault="009B5CEC" w:rsidP="008618F2">
      <w:pPr>
        <w:pStyle w:val="TOC2"/>
        <w:jc w:val="left"/>
        <w:rPr>
          <w:rFonts w:asciiTheme="minorHAnsi" w:eastAsiaTheme="minorEastAsia" w:hAnsiTheme="minorHAnsi" w:cstheme="minorBidi"/>
          <w:b w:val="0"/>
          <w:noProof/>
          <w:szCs w:val="22"/>
          <w:lang w:eastAsia="en-GB"/>
        </w:rPr>
      </w:pPr>
      <w:hyperlink w:anchor="_Toc134198074" w:history="1">
        <w:r w:rsidR="008618F2" w:rsidRPr="00DC3933">
          <w:rPr>
            <w:rStyle w:val="Hyperlink"/>
            <w:noProof/>
          </w:rPr>
          <w:t>12.14</w:t>
        </w:r>
        <w:r w:rsidR="008618F2">
          <w:rPr>
            <w:rFonts w:asciiTheme="minorHAnsi" w:eastAsiaTheme="minorEastAsia" w:hAnsiTheme="minorHAnsi" w:cstheme="minorBidi"/>
            <w:b w:val="0"/>
            <w:noProof/>
            <w:szCs w:val="22"/>
            <w:lang w:eastAsia="en-GB"/>
          </w:rPr>
          <w:tab/>
        </w:r>
        <w:r w:rsidR="008618F2" w:rsidRPr="00DC3933">
          <w:rPr>
            <w:rStyle w:val="Hyperlink"/>
            <w:noProof/>
          </w:rPr>
          <w:t>Design and detailing rules for structural wall systems made of reinforced concrete shear walls composite with structural steel elements in DC2 and DC3</w:t>
        </w:r>
        <w:r w:rsidR="008618F2">
          <w:rPr>
            <w:noProof/>
            <w:webHidden/>
          </w:rPr>
          <w:tab/>
        </w:r>
        <w:r w:rsidR="008618F2">
          <w:rPr>
            <w:noProof/>
            <w:webHidden/>
          </w:rPr>
          <w:fldChar w:fldCharType="begin"/>
        </w:r>
        <w:r w:rsidR="008618F2">
          <w:rPr>
            <w:noProof/>
            <w:webHidden/>
          </w:rPr>
          <w:instrText xml:space="preserve"> PAGEREF _Toc134198074 \h </w:instrText>
        </w:r>
        <w:r w:rsidR="008618F2">
          <w:rPr>
            <w:noProof/>
            <w:webHidden/>
          </w:rPr>
        </w:r>
        <w:r w:rsidR="008618F2">
          <w:rPr>
            <w:noProof/>
            <w:webHidden/>
          </w:rPr>
          <w:fldChar w:fldCharType="separate"/>
        </w:r>
        <w:r w:rsidR="000720CB">
          <w:rPr>
            <w:noProof/>
            <w:webHidden/>
          </w:rPr>
          <w:t>203</w:t>
        </w:r>
        <w:r w:rsidR="008618F2">
          <w:rPr>
            <w:noProof/>
            <w:webHidden/>
          </w:rPr>
          <w:fldChar w:fldCharType="end"/>
        </w:r>
      </w:hyperlink>
    </w:p>
    <w:p w14:paraId="2F6A3B65" w14:textId="055C3EC6" w:rsidR="008618F2" w:rsidRDefault="009B5CEC" w:rsidP="008618F2">
      <w:pPr>
        <w:pStyle w:val="TOC3"/>
        <w:tabs>
          <w:tab w:val="left" w:pos="1100"/>
        </w:tabs>
        <w:jc w:val="left"/>
        <w:rPr>
          <w:rFonts w:asciiTheme="minorHAnsi" w:eastAsiaTheme="minorEastAsia" w:hAnsiTheme="minorHAnsi" w:cstheme="minorBidi"/>
          <w:b w:val="0"/>
          <w:noProof/>
          <w:szCs w:val="22"/>
          <w:lang w:eastAsia="en-GB"/>
        </w:rPr>
      </w:pPr>
      <w:hyperlink w:anchor="_Toc134198075" w:history="1">
        <w:r w:rsidR="008618F2" w:rsidRPr="00DC3933">
          <w:rPr>
            <w:rStyle w:val="Hyperlink"/>
            <w:noProof/>
          </w:rPr>
          <w:t>12.14.1</w:t>
        </w:r>
        <w:r w:rsidR="008618F2">
          <w:rPr>
            <w:rFonts w:asciiTheme="minorHAnsi" w:eastAsiaTheme="minorEastAsia" w:hAnsiTheme="minorHAnsi" w:cstheme="minorBidi"/>
            <w:b w:val="0"/>
            <w:noProof/>
            <w:szCs w:val="22"/>
            <w:lang w:eastAsia="en-GB"/>
          </w:rPr>
          <w:tab/>
        </w:r>
        <w:r w:rsidR="008618F2" w:rsidRPr="00DC3933">
          <w:rPr>
            <w:rStyle w:val="Hyperlink"/>
            <w:noProof/>
          </w:rPr>
          <w:t>Design criteria</w:t>
        </w:r>
        <w:r w:rsidR="008618F2">
          <w:rPr>
            <w:noProof/>
            <w:webHidden/>
          </w:rPr>
          <w:tab/>
        </w:r>
        <w:r w:rsidR="008618F2">
          <w:rPr>
            <w:noProof/>
            <w:webHidden/>
          </w:rPr>
          <w:fldChar w:fldCharType="begin"/>
        </w:r>
        <w:r w:rsidR="008618F2">
          <w:rPr>
            <w:noProof/>
            <w:webHidden/>
          </w:rPr>
          <w:instrText xml:space="preserve"> PAGEREF _Toc134198075 \h </w:instrText>
        </w:r>
        <w:r w:rsidR="008618F2">
          <w:rPr>
            <w:noProof/>
            <w:webHidden/>
          </w:rPr>
        </w:r>
        <w:r w:rsidR="008618F2">
          <w:rPr>
            <w:noProof/>
            <w:webHidden/>
          </w:rPr>
          <w:fldChar w:fldCharType="separate"/>
        </w:r>
        <w:r w:rsidR="000720CB">
          <w:rPr>
            <w:noProof/>
            <w:webHidden/>
          </w:rPr>
          <w:t>203</w:t>
        </w:r>
        <w:r w:rsidR="008618F2">
          <w:rPr>
            <w:noProof/>
            <w:webHidden/>
          </w:rPr>
          <w:fldChar w:fldCharType="end"/>
        </w:r>
      </w:hyperlink>
    </w:p>
    <w:p w14:paraId="19756B62" w14:textId="535DA902" w:rsidR="008618F2" w:rsidRDefault="009B5CEC" w:rsidP="008618F2">
      <w:pPr>
        <w:pStyle w:val="TOC3"/>
        <w:tabs>
          <w:tab w:val="left" w:pos="1100"/>
        </w:tabs>
        <w:jc w:val="left"/>
        <w:rPr>
          <w:rFonts w:asciiTheme="minorHAnsi" w:eastAsiaTheme="minorEastAsia" w:hAnsiTheme="minorHAnsi" w:cstheme="minorBidi"/>
          <w:b w:val="0"/>
          <w:noProof/>
          <w:szCs w:val="22"/>
          <w:lang w:eastAsia="en-GB"/>
        </w:rPr>
      </w:pPr>
      <w:hyperlink w:anchor="_Toc134198076" w:history="1">
        <w:r w:rsidR="008618F2" w:rsidRPr="00DC3933">
          <w:rPr>
            <w:rStyle w:val="Hyperlink"/>
            <w:noProof/>
          </w:rPr>
          <w:t>12.14.2</w:t>
        </w:r>
        <w:r w:rsidR="008618F2">
          <w:rPr>
            <w:rFonts w:asciiTheme="minorHAnsi" w:eastAsiaTheme="minorEastAsia" w:hAnsiTheme="minorHAnsi" w:cstheme="minorBidi"/>
            <w:b w:val="0"/>
            <w:noProof/>
            <w:szCs w:val="22"/>
            <w:lang w:eastAsia="en-GB"/>
          </w:rPr>
          <w:tab/>
        </w:r>
        <w:r w:rsidR="008618F2" w:rsidRPr="00DC3933">
          <w:rPr>
            <w:rStyle w:val="Hyperlink"/>
            <w:noProof/>
          </w:rPr>
          <w:t>Analysis</w:t>
        </w:r>
        <w:r w:rsidR="008618F2">
          <w:rPr>
            <w:noProof/>
            <w:webHidden/>
          </w:rPr>
          <w:tab/>
        </w:r>
        <w:r w:rsidR="008618F2">
          <w:rPr>
            <w:noProof/>
            <w:webHidden/>
          </w:rPr>
          <w:fldChar w:fldCharType="begin"/>
        </w:r>
        <w:r w:rsidR="008618F2">
          <w:rPr>
            <w:noProof/>
            <w:webHidden/>
          </w:rPr>
          <w:instrText xml:space="preserve"> PAGEREF _Toc134198076 \h </w:instrText>
        </w:r>
        <w:r w:rsidR="008618F2">
          <w:rPr>
            <w:noProof/>
            <w:webHidden/>
          </w:rPr>
        </w:r>
        <w:r w:rsidR="008618F2">
          <w:rPr>
            <w:noProof/>
            <w:webHidden/>
          </w:rPr>
          <w:fldChar w:fldCharType="separate"/>
        </w:r>
        <w:r w:rsidR="000720CB">
          <w:rPr>
            <w:noProof/>
            <w:webHidden/>
          </w:rPr>
          <w:t>204</w:t>
        </w:r>
        <w:r w:rsidR="008618F2">
          <w:rPr>
            <w:noProof/>
            <w:webHidden/>
          </w:rPr>
          <w:fldChar w:fldCharType="end"/>
        </w:r>
      </w:hyperlink>
    </w:p>
    <w:p w14:paraId="48A55256" w14:textId="125ADCAE" w:rsidR="008618F2" w:rsidRDefault="009B5CEC" w:rsidP="008618F2">
      <w:pPr>
        <w:pStyle w:val="TOC3"/>
        <w:tabs>
          <w:tab w:val="left" w:pos="1100"/>
        </w:tabs>
        <w:jc w:val="left"/>
        <w:rPr>
          <w:rFonts w:asciiTheme="minorHAnsi" w:eastAsiaTheme="minorEastAsia" w:hAnsiTheme="minorHAnsi" w:cstheme="minorBidi"/>
          <w:b w:val="0"/>
          <w:noProof/>
          <w:szCs w:val="22"/>
          <w:lang w:eastAsia="en-GB"/>
        </w:rPr>
      </w:pPr>
      <w:hyperlink w:anchor="_Toc134198077" w:history="1">
        <w:r w:rsidR="008618F2" w:rsidRPr="00DC3933">
          <w:rPr>
            <w:rStyle w:val="Hyperlink"/>
            <w:noProof/>
          </w:rPr>
          <w:t>12.14.3</w:t>
        </w:r>
        <w:r w:rsidR="008618F2">
          <w:rPr>
            <w:rFonts w:asciiTheme="minorHAnsi" w:eastAsiaTheme="minorEastAsia" w:hAnsiTheme="minorHAnsi" w:cstheme="minorBidi"/>
            <w:b w:val="0"/>
            <w:noProof/>
            <w:szCs w:val="22"/>
            <w:lang w:eastAsia="en-GB"/>
          </w:rPr>
          <w:tab/>
        </w:r>
        <w:r w:rsidR="008618F2" w:rsidRPr="00DC3933">
          <w:rPr>
            <w:rStyle w:val="Hyperlink"/>
            <w:noProof/>
          </w:rPr>
          <w:t>Verification of composite walls in DC2</w:t>
        </w:r>
        <w:r w:rsidR="008618F2">
          <w:rPr>
            <w:noProof/>
            <w:webHidden/>
          </w:rPr>
          <w:tab/>
        </w:r>
        <w:r w:rsidR="008618F2">
          <w:rPr>
            <w:noProof/>
            <w:webHidden/>
          </w:rPr>
          <w:fldChar w:fldCharType="begin"/>
        </w:r>
        <w:r w:rsidR="008618F2">
          <w:rPr>
            <w:noProof/>
            <w:webHidden/>
          </w:rPr>
          <w:instrText xml:space="preserve"> PAGEREF _Toc134198077 \h </w:instrText>
        </w:r>
        <w:r w:rsidR="008618F2">
          <w:rPr>
            <w:noProof/>
            <w:webHidden/>
          </w:rPr>
        </w:r>
        <w:r w:rsidR="008618F2">
          <w:rPr>
            <w:noProof/>
            <w:webHidden/>
          </w:rPr>
          <w:fldChar w:fldCharType="separate"/>
        </w:r>
        <w:r w:rsidR="000720CB">
          <w:rPr>
            <w:noProof/>
            <w:webHidden/>
          </w:rPr>
          <w:t>204</w:t>
        </w:r>
        <w:r w:rsidR="008618F2">
          <w:rPr>
            <w:noProof/>
            <w:webHidden/>
          </w:rPr>
          <w:fldChar w:fldCharType="end"/>
        </w:r>
      </w:hyperlink>
    </w:p>
    <w:p w14:paraId="09548EE1" w14:textId="5D974243" w:rsidR="008618F2" w:rsidRDefault="009B5CEC" w:rsidP="008618F2">
      <w:pPr>
        <w:pStyle w:val="TOC3"/>
        <w:tabs>
          <w:tab w:val="left" w:pos="1100"/>
        </w:tabs>
        <w:jc w:val="left"/>
        <w:rPr>
          <w:rFonts w:asciiTheme="minorHAnsi" w:eastAsiaTheme="minorEastAsia" w:hAnsiTheme="minorHAnsi" w:cstheme="minorBidi"/>
          <w:b w:val="0"/>
          <w:noProof/>
          <w:szCs w:val="22"/>
          <w:lang w:eastAsia="en-GB"/>
        </w:rPr>
      </w:pPr>
      <w:hyperlink w:anchor="_Toc134198078" w:history="1">
        <w:r w:rsidR="008618F2" w:rsidRPr="00DC3933">
          <w:rPr>
            <w:rStyle w:val="Hyperlink"/>
            <w:noProof/>
          </w:rPr>
          <w:t>12.14.4</w:t>
        </w:r>
        <w:r w:rsidR="008618F2">
          <w:rPr>
            <w:rFonts w:asciiTheme="minorHAnsi" w:eastAsiaTheme="minorEastAsia" w:hAnsiTheme="minorHAnsi" w:cstheme="minorBidi"/>
            <w:b w:val="0"/>
            <w:noProof/>
            <w:szCs w:val="22"/>
            <w:lang w:eastAsia="en-GB"/>
          </w:rPr>
          <w:tab/>
        </w:r>
        <w:r w:rsidR="008618F2" w:rsidRPr="00DC3933">
          <w:rPr>
            <w:rStyle w:val="Hyperlink"/>
            <w:noProof/>
          </w:rPr>
          <w:t>Detailing and verification of coupling beams in DC2</w:t>
        </w:r>
        <w:r w:rsidR="008618F2">
          <w:rPr>
            <w:noProof/>
            <w:webHidden/>
          </w:rPr>
          <w:tab/>
        </w:r>
        <w:r w:rsidR="008618F2">
          <w:rPr>
            <w:noProof/>
            <w:webHidden/>
          </w:rPr>
          <w:fldChar w:fldCharType="begin"/>
        </w:r>
        <w:r w:rsidR="008618F2">
          <w:rPr>
            <w:noProof/>
            <w:webHidden/>
          </w:rPr>
          <w:instrText xml:space="preserve"> PAGEREF _Toc134198078 \h </w:instrText>
        </w:r>
        <w:r w:rsidR="008618F2">
          <w:rPr>
            <w:noProof/>
            <w:webHidden/>
          </w:rPr>
        </w:r>
        <w:r w:rsidR="008618F2">
          <w:rPr>
            <w:noProof/>
            <w:webHidden/>
          </w:rPr>
          <w:fldChar w:fldCharType="separate"/>
        </w:r>
        <w:r w:rsidR="000720CB">
          <w:rPr>
            <w:noProof/>
            <w:webHidden/>
          </w:rPr>
          <w:t>205</w:t>
        </w:r>
        <w:r w:rsidR="008618F2">
          <w:rPr>
            <w:noProof/>
            <w:webHidden/>
          </w:rPr>
          <w:fldChar w:fldCharType="end"/>
        </w:r>
      </w:hyperlink>
    </w:p>
    <w:p w14:paraId="0BF9F4DB" w14:textId="3D57A0C8" w:rsidR="008618F2" w:rsidRDefault="009B5CEC" w:rsidP="008618F2">
      <w:pPr>
        <w:pStyle w:val="TOC3"/>
        <w:tabs>
          <w:tab w:val="left" w:pos="1100"/>
        </w:tabs>
        <w:jc w:val="left"/>
        <w:rPr>
          <w:rFonts w:asciiTheme="minorHAnsi" w:eastAsiaTheme="minorEastAsia" w:hAnsiTheme="minorHAnsi" w:cstheme="minorBidi"/>
          <w:b w:val="0"/>
          <w:noProof/>
          <w:szCs w:val="22"/>
          <w:lang w:eastAsia="en-GB"/>
        </w:rPr>
      </w:pPr>
      <w:hyperlink w:anchor="_Toc134198079" w:history="1">
        <w:r w:rsidR="008618F2" w:rsidRPr="00DC3933">
          <w:rPr>
            <w:rStyle w:val="Hyperlink"/>
            <w:noProof/>
          </w:rPr>
          <w:t>12.14.5</w:t>
        </w:r>
        <w:r w:rsidR="008618F2">
          <w:rPr>
            <w:rFonts w:asciiTheme="minorHAnsi" w:eastAsiaTheme="minorEastAsia" w:hAnsiTheme="minorHAnsi" w:cstheme="minorBidi"/>
            <w:b w:val="0"/>
            <w:noProof/>
            <w:szCs w:val="22"/>
            <w:lang w:eastAsia="en-GB"/>
          </w:rPr>
          <w:tab/>
        </w:r>
        <w:r w:rsidR="008618F2" w:rsidRPr="00DC3933">
          <w:rPr>
            <w:rStyle w:val="Hyperlink"/>
            <w:noProof/>
          </w:rPr>
          <w:t>Additional detailing rules for DC3</w:t>
        </w:r>
        <w:r w:rsidR="008618F2">
          <w:rPr>
            <w:noProof/>
            <w:webHidden/>
          </w:rPr>
          <w:tab/>
        </w:r>
        <w:r w:rsidR="008618F2">
          <w:rPr>
            <w:noProof/>
            <w:webHidden/>
          </w:rPr>
          <w:fldChar w:fldCharType="begin"/>
        </w:r>
        <w:r w:rsidR="008618F2">
          <w:rPr>
            <w:noProof/>
            <w:webHidden/>
          </w:rPr>
          <w:instrText xml:space="preserve"> PAGEREF _Toc134198079 \h </w:instrText>
        </w:r>
        <w:r w:rsidR="008618F2">
          <w:rPr>
            <w:noProof/>
            <w:webHidden/>
          </w:rPr>
        </w:r>
        <w:r w:rsidR="008618F2">
          <w:rPr>
            <w:noProof/>
            <w:webHidden/>
          </w:rPr>
          <w:fldChar w:fldCharType="separate"/>
        </w:r>
        <w:r w:rsidR="000720CB">
          <w:rPr>
            <w:noProof/>
            <w:webHidden/>
          </w:rPr>
          <w:t>205</w:t>
        </w:r>
        <w:r w:rsidR="008618F2">
          <w:rPr>
            <w:noProof/>
            <w:webHidden/>
          </w:rPr>
          <w:fldChar w:fldCharType="end"/>
        </w:r>
      </w:hyperlink>
    </w:p>
    <w:p w14:paraId="0F3321FF" w14:textId="0DB5DB9C" w:rsidR="008618F2" w:rsidRDefault="009B5CEC" w:rsidP="008618F2">
      <w:pPr>
        <w:pStyle w:val="TOC2"/>
        <w:jc w:val="left"/>
        <w:rPr>
          <w:rFonts w:asciiTheme="minorHAnsi" w:eastAsiaTheme="minorEastAsia" w:hAnsiTheme="minorHAnsi" w:cstheme="minorBidi"/>
          <w:b w:val="0"/>
          <w:noProof/>
          <w:szCs w:val="22"/>
          <w:lang w:eastAsia="en-GB"/>
        </w:rPr>
      </w:pPr>
      <w:hyperlink w:anchor="_Toc134198080" w:history="1">
        <w:r w:rsidR="008618F2" w:rsidRPr="00DC3933">
          <w:rPr>
            <w:rStyle w:val="Hyperlink"/>
            <w:noProof/>
          </w:rPr>
          <w:t>12.15</w:t>
        </w:r>
        <w:r w:rsidR="008618F2">
          <w:rPr>
            <w:rFonts w:asciiTheme="minorHAnsi" w:eastAsiaTheme="minorEastAsia" w:hAnsiTheme="minorHAnsi" w:cstheme="minorBidi"/>
            <w:b w:val="0"/>
            <w:noProof/>
            <w:szCs w:val="22"/>
            <w:lang w:eastAsia="en-GB"/>
          </w:rPr>
          <w:tab/>
        </w:r>
        <w:r w:rsidR="008618F2" w:rsidRPr="00DC3933">
          <w:rPr>
            <w:rStyle w:val="Hyperlink"/>
            <w:noProof/>
          </w:rPr>
          <w:t>Composite diaphragms, chords and collectors</w:t>
        </w:r>
        <w:r w:rsidR="008618F2">
          <w:rPr>
            <w:noProof/>
            <w:webHidden/>
          </w:rPr>
          <w:tab/>
        </w:r>
        <w:r w:rsidR="008618F2">
          <w:rPr>
            <w:noProof/>
            <w:webHidden/>
          </w:rPr>
          <w:fldChar w:fldCharType="begin"/>
        </w:r>
        <w:r w:rsidR="008618F2">
          <w:rPr>
            <w:noProof/>
            <w:webHidden/>
          </w:rPr>
          <w:instrText xml:space="preserve"> PAGEREF _Toc134198080 \h </w:instrText>
        </w:r>
        <w:r w:rsidR="008618F2">
          <w:rPr>
            <w:noProof/>
            <w:webHidden/>
          </w:rPr>
        </w:r>
        <w:r w:rsidR="008618F2">
          <w:rPr>
            <w:noProof/>
            <w:webHidden/>
          </w:rPr>
          <w:fldChar w:fldCharType="separate"/>
        </w:r>
        <w:r w:rsidR="000720CB">
          <w:rPr>
            <w:noProof/>
            <w:webHidden/>
          </w:rPr>
          <w:t>206</w:t>
        </w:r>
        <w:r w:rsidR="008618F2">
          <w:rPr>
            <w:noProof/>
            <w:webHidden/>
          </w:rPr>
          <w:fldChar w:fldCharType="end"/>
        </w:r>
      </w:hyperlink>
    </w:p>
    <w:p w14:paraId="37ABDC19" w14:textId="3C338AC6" w:rsidR="008618F2" w:rsidRDefault="009B5CEC" w:rsidP="008618F2">
      <w:pPr>
        <w:pStyle w:val="TOC2"/>
        <w:jc w:val="left"/>
        <w:rPr>
          <w:rFonts w:asciiTheme="minorHAnsi" w:eastAsiaTheme="minorEastAsia" w:hAnsiTheme="minorHAnsi" w:cstheme="minorBidi"/>
          <w:b w:val="0"/>
          <w:noProof/>
          <w:szCs w:val="22"/>
          <w:lang w:eastAsia="en-GB"/>
        </w:rPr>
      </w:pPr>
      <w:hyperlink w:anchor="_Toc134198081" w:history="1">
        <w:r w:rsidR="008618F2" w:rsidRPr="00DC3933">
          <w:rPr>
            <w:rStyle w:val="Hyperlink"/>
            <w:noProof/>
          </w:rPr>
          <w:t>12.16</w:t>
        </w:r>
        <w:r w:rsidR="008618F2">
          <w:rPr>
            <w:rFonts w:asciiTheme="minorHAnsi" w:eastAsiaTheme="minorEastAsia" w:hAnsiTheme="minorHAnsi" w:cstheme="minorBidi"/>
            <w:b w:val="0"/>
            <w:noProof/>
            <w:szCs w:val="22"/>
            <w:lang w:eastAsia="en-GB"/>
          </w:rPr>
          <w:tab/>
        </w:r>
        <w:r w:rsidR="008618F2" w:rsidRPr="00DC3933">
          <w:rPr>
            <w:rStyle w:val="Hyperlink"/>
            <w:noProof/>
          </w:rPr>
          <w:t>Transfer zones: Design for DC2 and DC3</w:t>
        </w:r>
        <w:r w:rsidR="008618F2">
          <w:rPr>
            <w:noProof/>
            <w:webHidden/>
          </w:rPr>
          <w:tab/>
        </w:r>
        <w:r w:rsidR="008618F2">
          <w:rPr>
            <w:noProof/>
            <w:webHidden/>
          </w:rPr>
          <w:fldChar w:fldCharType="begin"/>
        </w:r>
        <w:r w:rsidR="008618F2">
          <w:rPr>
            <w:noProof/>
            <w:webHidden/>
          </w:rPr>
          <w:instrText xml:space="preserve"> PAGEREF _Toc134198081 \h </w:instrText>
        </w:r>
        <w:r w:rsidR="008618F2">
          <w:rPr>
            <w:noProof/>
            <w:webHidden/>
          </w:rPr>
        </w:r>
        <w:r w:rsidR="008618F2">
          <w:rPr>
            <w:noProof/>
            <w:webHidden/>
          </w:rPr>
          <w:fldChar w:fldCharType="separate"/>
        </w:r>
        <w:r w:rsidR="000720CB">
          <w:rPr>
            <w:noProof/>
            <w:webHidden/>
          </w:rPr>
          <w:t>206</w:t>
        </w:r>
        <w:r w:rsidR="008618F2">
          <w:rPr>
            <w:noProof/>
            <w:webHidden/>
          </w:rPr>
          <w:fldChar w:fldCharType="end"/>
        </w:r>
      </w:hyperlink>
    </w:p>
    <w:p w14:paraId="57278838" w14:textId="0DF6A1CC" w:rsidR="008618F2" w:rsidRDefault="009B5CEC" w:rsidP="008618F2">
      <w:pPr>
        <w:pStyle w:val="TOC2"/>
        <w:jc w:val="left"/>
        <w:rPr>
          <w:rFonts w:asciiTheme="minorHAnsi" w:eastAsiaTheme="minorEastAsia" w:hAnsiTheme="minorHAnsi" w:cstheme="minorBidi"/>
          <w:b w:val="0"/>
          <w:noProof/>
          <w:szCs w:val="22"/>
          <w:lang w:eastAsia="en-GB"/>
        </w:rPr>
      </w:pPr>
      <w:hyperlink w:anchor="_Toc134198082" w:history="1">
        <w:r w:rsidR="008618F2" w:rsidRPr="00DC3933">
          <w:rPr>
            <w:rStyle w:val="Hyperlink"/>
            <w:noProof/>
          </w:rPr>
          <w:t>12.17</w:t>
        </w:r>
        <w:r w:rsidR="008618F2">
          <w:rPr>
            <w:rFonts w:asciiTheme="minorHAnsi" w:eastAsiaTheme="minorEastAsia" w:hAnsiTheme="minorHAnsi" w:cstheme="minorBidi"/>
            <w:b w:val="0"/>
            <w:noProof/>
            <w:szCs w:val="22"/>
            <w:lang w:eastAsia="en-GB"/>
          </w:rPr>
          <w:tab/>
        </w:r>
        <w:r w:rsidR="008618F2" w:rsidRPr="00DC3933">
          <w:rPr>
            <w:rStyle w:val="Hyperlink"/>
            <w:noProof/>
          </w:rPr>
          <w:t>Checking of design and construction</w:t>
        </w:r>
        <w:r w:rsidR="008618F2">
          <w:rPr>
            <w:noProof/>
            <w:webHidden/>
          </w:rPr>
          <w:tab/>
        </w:r>
        <w:r w:rsidR="008618F2">
          <w:rPr>
            <w:noProof/>
            <w:webHidden/>
          </w:rPr>
          <w:fldChar w:fldCharType="begin"/>
        </w:r>
        <w:r w:rsidR="008618F2">
          <w:rPr>
            <w:noProof/>
            <w:webHidden/>
          </w:rPr>
          <w:instrText xml:space="preserve"> PAGEREF _Toc134198082 \h </w:instrText>
        </w:r>
        <w:r w:rsidR="008618F2">
          <w:rPr>
            <w:noProof/>
            <w:webHidden/>
          </w:rPr>
        </w:r>
        <w:r w:rsidR="008618F2">
          <w:rPr>
            <w:noProof/>
            <w:webHidden/>
          </w:rPr>
          <w:fldChar w:fldCharType="separate"/>
        </w:r>
        <w:r w:rsidR="000720CB">
          <w:rPr>
            <w:noProof/>
            <w:webHidden/>
          </w:rPr>
          <w:t>206</w:t>
        </w:r>
        <w:r w:rsidR="008618F2">
          <w:rPr>
            <w:noProof/>
            <w:webHidden/>
          </w:rPr>
          <w:fldChar w:fldCharType="end"/>
        </w:r>
      </w:hyperlink>
    </w:p>
    <w:p w14:paraId="22A19DB8" w14:textId="11BFF8FA" w:rsidR="008618F2" w:rsidRDefault="009B5CEC" w:rsidP="008618F2">
      <w:pPr>
        <w:pStyle w:val="TOC1"/>
        <w:jc w:val="left"/>
        <w:rPr>
          <w:rFonts w:asciiTheme="minorHAnsi" w:eastAsiaTheme="minorEastAsia" w:hAnsiTheme="minorHAnsi" w:cstheme="minorBidi"/>
          <w:b w:val="0"/>
          <w:noProof/>
          <w:szCs w:val="22"/>
          <w:lang w:eastAsia="en-GB"/>
        </w:rPr>
      </w:pPr>
      <w:hyperlink w:anchor="_Toc134198083" w:history="1">
        <w:r w:rsidR="008618F2" w:rsidRPr="00DC3933">
          <w:rPr>
            <w:rStyle w:val="Hyperlink"/>
            <w:noProof/>
          </w:rPr>
          <w:t>13</w:t>
        </w:r>
        <w:r w:rsidR="008618F2">
          <w:rPr>
            <w:rFonts w:asciiTheme="minorHAnsi" w:eastAsiaTheme="minorEastAsia" w:hAnsiTheme="minorHAnsi" w:cstheme="minorBidi"/>
            <w:b w:val="0"/>
            <w:noProof/>
            <w:szCs w:val="22"/>
            <w:lang w:eastAsia="en-GB"/>
          </w:rPr>
          <w:tab/>
        </w:r>
        <w:r w:rsidR="008618F2" w:rsidRPr="00DC3933">
          <w:rPr>
            <w:rStyle w:val="Hyperlink"/>
            <w:noProof/>
          </w:rPr>
          <w:t>Specific rules for timber buildings</w:t>
        </w:r>
        <w:r w:rsidR="008618F2">
          <w:rPr>
            <w:noProof/>
            <w:webHidden/>
          </w:rPr>
          <w:tab/>
        </w:r>
        <w:r w:rsidR="008618F2">
          <w:rPr>
            <w:noProof/>
            <w:webHidden/>
          </w:rPr>
          <w:fldChar w:fldCharType="begin"/>
        </w:r>
        <w:r w:rsidR="008618F2">
          <w:rPr>
            <w:noProof/>
            <w:webHidden/>
          </w:rPr>
          <w:instrText xml:space="preserve"> PAGEREF _Toc134198083 \h </w:instrText>
        </w:r>
        <w:r w:rsidR="008618F2">
          <w:rPr>
            <w:noProof/>
            <w:webHidden/>
          </w:rPr>
        </w:r>
        <w:r w:rsidR="008618F2">
          <w:rPr>
            <w:noProof/>
            <w:webHidden/>
          </w:rPr>
          <w:fldChar w:fldCharType="separate"/>
        </w:r>
        <w:r w:rsidR="000720CB">
          <w:rPr>
            <w:noProof/>
            <w:webHidden/>
          </w:rPr>
          <w:t>207</w:t>
        </w:r>
        <w:r w:rsidR="008618F2">
          <w:rPr>
            <w:noProof/>
            <w:webHidden/>
          </w:rPr>
          <w:fldChar w:fldCharType="end"/>
        </w:r>
      </w:hyperlink>
    </w:p>
    <w:p w14:paraId="2D2C595D" w14:textId="208D2D37" w:rsidR="008618F2" w:rsidRDefault="009B5CEC" w:rsidP="008618F2">
      <w:pPr>
        <w:pStyle w:val="TOC2"/>
        <w:jc w:val="left"/>
        <w:rPr>
          <w:rFonts w:asciiTheme="minorHAnsi" w:eastAsiaTheme="minorEastAsia" w:hAnsiTheme="minorHAnsi" w:cstheme="minorBidi"/>
          <w:b w:val="0"/>
          <w:noProof/>
          <w:szCs w:val="22"/>
          <w:lang w:eastAsia="en-GB"/>
        </w:rPr>
      </w:pPr>
      <w:hyperlink w:anchor="_Toc134198084" w:history="1">
        <w:r w:rsidR="008618F2" w:rsidRPr="00DC3933">
          <w:rPr>
            <w:rStyle w:val="Hyperlink"/>
            <w:noProof/>
          </w:rPr>
          <w:t>13.1</w:t>
        </w:r>
        <w:r w:rsidR="008618F2">
          <w:rPr>
            <w:rFonts w:asciiTheme="minorHAnsi" w:eastAsiaTheme="minorEastAsia" w:hAnsiTheme="minorHAnsi" w:cstheme="minorBidi"/>
            <w:b w:val="0"/>
            <w:noProof/>
            <w:szCs w:val="22"/>
            <w:lang w:eastAsia="en-GB"/>
          </w:rPr>
          <w:tab/>
        </w:r>
        <w:r w:rsidR="008618F2" w:rsidRPr="00DC3933">
          <w:rPr>
            <w:rStyle w:val="Hyperlink"/>
            <w:noProof/>
          </w:rPr>
          <w:t>General</w:t>
        </w:r>
        <w:r w:rsidR="008618F2">
          <w:rPr>
            <w:noProof/>
            <w:webHidden/>
          </w:rPr>
          <w:tab/>
        </w:r>
        <w:r w:rsidR="008618F2">
          <w:rPr>
            <w:noProof/>
            <w:webHidden/>
          </w:rPr>
          <w:fldChar w:fldCharType="begin"/>
        </w:r>
        <w:r w:rsidR="008618F2">
          <w:rPr>
            <w:noProof/>
            <w:webHidden/>
          </w:rPr>
          <w:instrText xml:space="preserve"> PAGEREF _Toc134198084 \h </w:instrText>
        </w:r>
        <w:r w:rsidR="008618F2">
          <w:rPr>
            <w:noProof/>
            <w:webHidden/>
          </w:rPr>
        </w:r>
        <w:r w:rsidR="008618F2">
          <w:rPr>
            <w:noProof/>
            <w:webHidden/>
          </w:rPr>
          <w:fldChar w:fldCharType="separate"/>
        </w:r>
        <w:r w:rsidR="000720CB">
          <w:rPr>
            <w:noProof/>
            <w:webHidden/>
          </w:rPr>
          <w:t>207</w:t>
        </w:r>
        <w:r w:rsidR="008618F2">
          <w:rPr>
            <w:noProof/>
            <w:webHidden/>
          </w:rPr>
          <w:fldChar w:fldCharType="end"/>
        </w:r>
      </w:hyperlink>
    </w:p>
    <w:p w14:paraId="196CFD22" w14:textId="6B1DEA54" w:rsidR="008618F2" w:rsidRDefault="009B5CEC" w:rsidP="008618F2">
      <w:pPr>
        <w:pStyle w:val="TOC2"/>
        <w:jc w:val="left"/>
        <w:rPr>
          <w:rFonts w:asciiTheme="minorHAnsi" w:eastAsiaTheme="minorEastAsia" w:hAnsiTheme="minorHAnsi" w:cstheme="minorBidi"/>
          <w:b w:val="0"/>
          <w:noProof/>
          <w:szCs w:val="22"/>
          <w:lang w:eastAsia="en-GB"/>
        </w:rPr>
      </w:pPr>
      <w:hyperlink w:anchor="_Toc134198085" w:history="1">
        <w:r w:rsidR="008618F2" w:rsidRPr="00DC3933">
          <w:rPr>
            <w:rStyle w:val="Hyperlink"/>
            <w:noProof/>
          </w:rPr>
          <w:t>13.2</w:t>
        </w:r>
        <w:r w:rsidR="008618F2">
          <w:rPr>
            <w:rFonts w:asciiTheme="minorHAnsi" w:eastAsiaTheme="minorEastAsia" w:hAnsiTheme="minorHAnsi" w:cstheme="minorBidi"/>
            <w:b w:val="0"/>
            <w:noProof/>
            <w:szCs w:val="22"/>
            <w:lang w:eastAsia="en-GB"/>
          </w:rPr>
          <w:tab/>
        </w:r>
        <w:r w:rsidR="008618F2" w:rsidRPr="00DC3933">
          <w:rPr>
            <w:rStyle w:val="Hyperlink"/>
            <w:noProof/>
          </w:rPr>
          <w:t>Basis of design</w:t>
        </w:r>
        <w:r w:rsidR="008618F2">
          <w:rPr>
            <w:noProof/>
            <w:webHidden/>
          </w:rPr>
          <w:tab/>
        </w:r>
        <w:r w:rsidR="008618F2">
          <w:rPr>
            <w:noProof/>
            <w:webHidden/>
          </w:rPr>
          <w:fldChar w:fldCharType="begin"/>
        </w:r>
        <w:r w:rsidR="008618F2">
          <w:rPr>
            <w:noProof/>
            <w:webHidden/>
          </w:rPr>
          <w:instrText xml:space="preserve"> PAGEREF _Toc134198085 \h </w:instrText>
        </w:r>
        <w:r w:rsidR="008618F2">
          <w:rPr>
            <w:noProof/>
            <w:webHidden/>
          </w:rPr>
        </w:r>
        <w:r w:rsidR="008618F2">
          <w:rPr>
            <w:noProof/>
            <w:webHidden/>
          </w:rPr>
          <w:fldChar w:fldCharType="separate"/>
        </w:r>
        <w:r w:rsidR="000720CB">
          <w:rPr>
            <w:noProof/>
            <w:webHidden/>
          </w:rPr>
          <w:t>207</w:t>
        </w:r>
        <w:r w:rsidR="008618F2">
          <w:rPr>
            <w:noProof/>
            <w:webHidden/>
          </w:rPr>
          <w:fldChar w:fldCharType="end"/>
        </w:r>
      </w:hyperlink>
    </w:p>
    <w:p w14:paraId="0537CB9C" w14:textId="012853F2" w:rsidR="008618F2" w:rsidRDefault="009B5CEC" w:rsidP="008618F2">
      <w:pPr>
        <w:pStyle w:val="TOC3"/>
        <w:jc w:val="left"/>
        <w:rPr>
          <w:rFonts w:asciiTheme="minorHAnsi" w:eastAsiaTheme="minorEastAsia" w:hAnsiTheme="minorHAnsi" w:cstheme="minorBidi"/>
          <w:b w:val="0"/>
          <w:noProof/>
          <w:szCs w:val="22"/>
          <w:lang w:eastAsia="en-GB"/>
        </w:rPr>
      </w:pPr>
      <w:hyperlink w:anchor="_Toc134198086" w:history="1">
        <w:r w:rsidR="008618F2" w:rsidRPr="00DC3933">
          <w:rPr>
            <w:rStyle w:val="Hyperlink"/>
            <w:noProof/>
          </w:rPr>
          <w:t>13.2.1</w:t>
        </w:r>
        <w:r w:rsidR="008618F2">
          <w:rPr>
            <w:rFonts w:asciiTheme="minorHAnsi" w:eastAsiaTheme="minorEastAsia" w:hAnsiTheme="minorHAnsi" w:cstheme="minorBidi"/>
            <w:b w:val="0"/>
            <w:noProof/>
            <w:szCs w:val="22"/>
            <w:lang w:eastAsia="en-GB"/>
          </w:rPr>
          <w:tab/>
        </w:r>
        <w:r w:rsidR="008618F2" w:rsidRPr="00DC3933">
          <w:rPr>
            <w:rStyle w:val="Hyperlink"/>
            <w:noProof/>
          </w:rPr>
          <w:t>Design concepts</w:t>
        </w:r>
        <w:r w:rsidR="008618F2">
          <w:rPr>
            <w:noProof/>
            <w:webHidden/>
          </w:rPr>
          <w:tab/>
        </w:r>
        <w:r w:rsidR="008618F2">
          <w:rPr>
            <w:noProof/>
            <w:webHidden/>
          </w:rPr>
          <w:fldChar w:fldCharType="begin"/>
        </w:r>
        <w:r w:rsidR="008618F2">
          <w:rPr>
            <w:noProof/>
            <w:webHidden/>
          </w:rPr>
          <w:instrText xml:space="preserve"> PAGEREF _Toc134198086 \h </w:instrText>
        </w:r>
        <w:r w:rsidR="008618F2">
          <w:rPr>
            <w:noProof/>
            <w:webHidden/>
          </w:rPr>
        </w:r>
        <w:r w:rsidR="008618F2">
          <w:rPr>
            <w:noProof/>
            <w:webHidden/>
          </w:rPr>
          <w:fldChar w:fldCharType="separate"/>
        </w:r>
        <w:r w:rsidR="000720CB">
          <w:rPr>
            <w:noProof/>
            <w:webHidden/>
          </w:rPr>
          <w:t>207</w:t>
        </w:r>
        <w:r w:rsidR="008618F2">
          <w:rPr>
            <w:noProof/>
            <w:webHidden/>
          </w:rPr>
          <w:fldChar w:fldCharType="end"/>
        </w:r>
      </w:hyperlink>
    </w:p>
    <w:p w14:paraId="488AD35F" w14:textId="5C5A2A2C" w:rsidR="008618F2" w:rsidRDefault="009B5CEC" w:rsidP="008618F2">
      <w:pPr>
        <w:pStyle w:val="TOC3"/>
        <w:jc w:val="left"/>
        <w:rPr>
          <w:rFonts w:asciiTheme="minorHAnsi" w:eastAsiaTheme="minorEastAsia" w:hAnsiTheme="minorHAnsi" w:cstheme="minorBidi"/>
          <w:b w:val="0"/>
          <w:noProof/>
          <w:szCs w:val="22"/>
          <w:lang w:eastAsia="en-GB"/>
        </w:rPr>
      </w:pPr>
      <w:hyperlink w:anchor="_Toc134198087" w:history="1">
        <w:r w:rsidR="008618F2" w:rsidRPr="00DC3933">
          <w:rPr>
            <w:rStyle w:val="Hyperlink"/>
            <w:noProof/>
          </w:rPr>
          <w:t>13.2.2</w:t>
        </w:r>
        <w:r w:rsidR="008618F2">
          <w:rPr>
            <w:rFonts w:asciiTheme="minorHAnsi" w:eastAsiaTheme="minorEastAsia" w:hAnsiTheme="minorHAnsi" w:cstheme="minorBidi"/>
            <w:b w:val="0"/>
            <w:noProof/>
            <w:szCs w:val="22"/>
            <w:lang w:eastAsia="en-GB"/>
          </w:rPr>
          <w:tab/>
        </w:r>
        <w:r w:rsidR="008618F2" w:rsidRPr="00DC3933">
          <w:rPr>
            <w:rStyle w:val="Hyperlink"/>
            <w:noProof/>
          </w:rPr>
          <w:t>Safety verifications</w:t>
        </w:r>
        <w:r w:rsidR="008618F2">
          <w:rPr>
            <w:noProof/>
            <w:webHidden/>
          </w:rPr>
          <w:tab/>
        </w:r>
        <w:r w:rsidR="008618F2">
          <w:rPr>
            <w:noProof/>
            <w:webHidden/>
          </w:rPr>
          <w:fldChar w:fldCharType="begin"/>
        </w:r>
        <w:r w:rsidR="008618F2">
          <w:rPr>
            <w:noProof/>
            <w:webHidden/>
          </w:rPr>
          <w:instrText xml:space="preserve"> PAGEREF _Toc134198087 \h </w:instrText>
        </w:r>
        <w:r w:rsidR="008618F2">
          <w:rPr>
            <w:noProof/>
            <w:webHidden/>
          </w:rPr>
        </w:r>
        <w:r w:rsidR="008618F2">
          <w:rPr>
            <w:noProof/>
            <w:webHidden/>
          </w:rPr>
          <w:fldChar w:fldCharType="separate"/>
        </w:r>
        <w:r w:rsidR="000720CB">
          <w:rPr>
            <w:noProof/>
            <w:webHidden/>
          </w:rPr>
          <w:t>208</w:t>
        </w:r>
        <w:r w:rsidR="008618F2">
          <w:rPr>
            <w:noProof/>
            <w:webHidden/>
          </w:rPr>
          <w:fldChar w:fldCharType="end"/>
        </w:r>
      </w:hyperlink>
    </w:p>
    <w:p w14:paraId="10DBCA17" w14:textId="3E85E826" w:rsidR="008618F2" w:rsidRDefault="009B5CEC" w:rsidP="008618F2">
      <w:pPr>
        <w:pStyle w:val="TOC2"/>
        <w:jc w:val="left"/>
        <w:rPr>
          <w:rFonts w:asciiTheme="minorHAnsi" w:eastAsiaTheme="minorEastAsia" w:hAnsiTheme="minorHAnsi" w:cstheme="minorBidi"/>
          <w:b w:val="0"/>
          <w:noProof/>
          <w:szCs w:val="22"/>
          <w:lang w:eastAsia="en-GB"/>
        </w:rPr>
      </w:pPr>
      <w:hyperlink w:anchor="_Toc134198088" w:history="1">
        <w:r w:rsidR="008618F2" w:rsidRPr="00DC3933">
          <w:rPr>
            <w:rStyle w:val="Hyperlink"/>
            <w:noProof/>
          </w:rPr>
          <w:t>13.3</w:t>
        </w:r>
        <w:r w:rsidR="008618F2">
          <w:rPr>
            <w:rFonts w:asciiTheme="minorHAnsi" w:eastAsiaTheme="minorEastAsia" w:hAnsiTheme="minorHAnsi" w:cstheme="minorBidi"/>
            <w:b w:val="0"/>
            <w:noProof/>
            <w:szCs w:val="22"/>
            <w:lang w:eastAsia="en-GB"/>
          </w:rPr>
          <w:tab/>
        </w:r>
        <w:r w:rsidR="008618F2" w:rsidRPr="00DC3933">
          <w:rPr>
            <w:rStyle w:val="Hyperlink"/>
            <w:noProof/>
          </w:rPr>
          <w:t>Materials</w:t>
        </w:r>
        <w:r w:rsidR="008618F2">
          <w:rPr>
            <w:noProof/>
            <w:webHidden/>
          </w:rPr>
          <w:tab/>
        </w:r>
        <w:r w:rsidR="008618F2">
          <w:rPr>
            <w:noProof/>
            <w:webHidden/>
          </w:rPr>
          <w:fldChar w:fldCharType="begin"/>
        </w:r>
        <w:r w:rsidR="008618F2">
          <w:rPr>
            <w:noProof/>
            <w:webHidden/>
          </w:rPr>
          <w:instrText xml:space="preserve"> PAGEREF _Toc134198088 \h </w:instrText>
        </w:r>
        <w:r w:rsidR="008618F2">
          <w:rPr>
            <w:noProof/>
            <w:webHidden/>
          </w:rPr>
        </w:r>
        <w:r w:rsidR="008618F2">
          <w:rPr>
            <w:noProof/>
            <w:webHidden/>
          </w:rPr>
          <w:fldChar w:fldCharType="separate"/>
        </w:r>
        <w:r w:rsidR="000720CB">
          <w:rPr>
            <w:noProof/>
            <w:webHidden/>
          </w:rPr>
          <w:t>208</w:t>
        </w:r>
        <w:r w:rsidR="008618F2">
          <w:rPr>
            <w:noProof/>
            <w:webHidden/>
          </w:rPr>
          <w:fldChar w:fldCharType="end"/>
        </w:r>
      </w:hyperlink>
    </w:p>
    <w:p w14:paraId="5AE4A161" w14:textId="3A06B41C" w:rsidR="008618F2" w:rsidRDefault="009B5CEC" w:rsidP="008618F2">
      <w:pPr>
        <w:pStyle w:val="TOC3"/>
        <w:jc w:val="left"/>
        <w:rPr>
          <w:rFonts w:asciiTheme="minorHAnsi" w:eastAsiaTheme="minorEastAsia" w:hAnsiTheme="minorHAnsi" w:cstheme="minorBidi"/>
          <w:b w:val="0"/>
          <w:noProof/>
          <w:szCs w:val="22"/>
          <w:lang w:eastAsia="en-GB"/>
        </w:rPr>
      </w:pPr>
      <w:hyperlink w:anchor="_Toc134198089" w:history="1">
        <w:r w:rsidR="008618F2" w:rsidRPr="00DC3933">
          <w:rPr>
            <w:rStyle w:val="Hyperlink"/>
            <w:noProof/>
          </w:rPr>
          <w:t>13.3.1 Mechanical properties of dissipative zones</w:t>
        </w:r>
        <w:r w:rsidR="008618F2">
          <w:rPr>
            <w:noProof/>
            <w:webHidden/>
          </w:rPr>
          <w:tab/>
        </w:r>
        <w:r w:rsidR="008618F2">
          <w:rPr>
            <w:noProof/>
            <w:webHidden/>
          </w:rPr>
          <w:fldChar w:fldCharType="begin"/>
        </w:r>
        <w:r w:rsidR="008618F2">
          <w:rPr>
            <w:noProof/>
            <w:webHidden/>
          </w:rPr>
          <w:instrText xml:space="preserve"> PAGEREF _Toc134198089 \h </w:instrText>
        </w:r>
        <w:r w:rsidR="008618F2">
          <w:rPr>
            <w:noProof/>
            <w:webHidden/>
          </w:rPr>
        </w:r>
        <w:r w:rsidR="008618F2">
          <w:rPr>
            <w:noProof/>
            <w:webHidden/>
          </w:rPr>
          <w:fldChar w:fldCharType="separate"/>
        </w:r>
        <w:r w:rsidR="000720CB">
          <w:rPr>
            <w:noProof/>
            <w:webHidden/>
          </w:rPr>
          <w:t>208</w:t>
        </w:r>
        <w:r w:rsidR="008618F2">
          <w:rPr>
            <w:noProof/>
            <w:webHidden/>
          </w:rPr>
          <w:fldChar w:fldCharType="end"/>
        </w:r>
      </w:hyperlink>
    </w:p>
    <w:p w14:paraId="100FFBF4" w14:textId="4517214E" w:rsidR="008618F2" w:rsidRDefault="009B5CEC" w:rsidP="008618F2">
      <w:pPr>
        <w:pStyle w:val="TOC3"/>
        <w:jc w:val="left"/>
        <w:rPr>
          <w:rFonts w:asciiTheme="minorHAnsi" w:eastAsiaTheme="minorEastAsia" w:hAnsiTheme="minorHAnsi" w:cstheme="minorBidi"/>
          <w:b w:val="0"/>
          <w:noProof/>
          <w:szCs w:val="22"/>
          <w:lang w:eastAsia="en-GB"/>
        </w:rPr>
      </w:pPr>
      <w:hyperlink w:anchor="_Toc134198090" w:history="1">
        <w:r w:rsidR="008618F2" w:rsidRPr="00DC3933">
          <w:rPr>
            <w:rStyle w:val="Hyperlink"/>
            <w:noProof/>
          </w:rPr>
          <w:t>13.3.2 Material properties</w:t>
        </w:r>
        <w:r w:rsidR="008618F2">
          <w:rPr>
            <w:noProof/>
            <w:webHidden/>
          </w:rPr>
          <w:tab/>
        </w:r>
        <w:r w:rsidR="008618F2">
          <w:rPr>
            <w:noProof/>
            <w:webHidden/>
          </w:rPr>
          <w:fldChar w:fldCharType="begin"/>
        </w:r>
        <w:r w:rsidR="008618F2">
          <w:rPr>
            <w:noProof/>
            <w:webHidden/>
          </w:rPr>
          <w:instrText xml:space="preserve"> PAGEREF _Toc134198090 \h </w:instrText>
        </w:r>
        <w:r w:rsidR="008618F2">
          <w:rPr>
            <w:noProof/>
            <w:webHidden/>
          </w:rPr>
        </w:r>
        <w:r w:rsidR="008618F2">
          <w:rPr>
            <w:noProof/>
            <w:webHidden/>
          </w:rPr>
          <w:fldChar w:fldCharType="separate"/>
        </w:r>
        <w:r w:rsidR="000720CB">
          <w:rPr>
            <w:noProof/>
            <w:webHidden/>
          </w:rPr>
          <w:t>209</w:t>
        </w:r>
        <w:r w:rsidR="008618F2">
          <w:rPr>
            <w:noProof/>
            <w:webHidden/>
          </w:rPr>
          <w:fldChar w:fldCharType="end"/>
        </w:r>
      </w:hyperlink>
    </w:p>
    <w:p w14:paraId="504180D4" w14:textId="0B585FFE" w:rsidR="008618F2" w:rsidRDefault="009B5CEC" w:rsidP="008618F2">
      <w:pPr>
        <w:pStyle w:val="TOC2"/>
        <w:jc w:val="left"/>
        <w:rPr>
          <w:rFonts w:asciiTheme="minorHAnsi" w:eastAsiaTheme="minorEastAsia" w:hAnsiTheme="minorHAnsi" w:cstheme="minorBidi"/>
          <w:b w:val="0"/>
          <w:noProof/>
          <w:szCs w:val="22"/>
          <w:lang w:eastAsia="en-GB"/>
        </w:rPr>
      </w:pPr>
      <w:hyperlink w:anchor="_Toc134198091" w:history="1">
        <w:r w:rsidR="008618F2" w:rsidRPr="00DC3933">
          <w:rPr>
            <w:rStyle w:val="Hyperlink"/>
            <w:noProof/>
          </w:rPr>
          <w:t>13.4</w:t>
        </w:r>
        <w:r w:rsidR="008618F2">
          <w:rPr>
            <w:rFonts w:asciiTheme="minorHAnsi" w:eastAsiaTheme="minorEastAsia" w:hAnsiTheme="minorHAnsi" w:cstheme="minorBidi"/>
            <w:b w:val="0"/>
            <w:noProof/>
            <w:szCs w:val="22"/>
            <w:lang w:eastAsia="en-GB"/>
          </w:rPr>
          <w:tab/>
        </w:r>
        <w:r w:rsidR="008618F2" w:rsidRPr="00DC3933">
          <w:rPr>
            <w:rStyle w:val="Hyperlink"/>
            <w:noProof/>
          </w:rPr>
          <w:t>Structural types, behaviour factors, capacity design rules and limits of seismic action</w:t>
        </w:r>
        <w:r w:rsidR="008618F2">
          <w:rPr>
            <w:noProof/>
            <w:webHidden/>
          </w:rPr>
          <w:tab/>
        </w:r>
        <w:r w:rsidR="008618F2">
          <w:rPr>
            <w:noProof/>
            <w:webHidden/>
          </w:rPr>
          <w:fldChar w:fldCharType="begin"/>
        </w:r>
        <w:r w:rsidR="008618F2">
          <w:rPr>
            <w:noProof/>
            <w:webHidden/>
          </w:rPr>
          <w:instrText xml:space="preserve"> PAGEREF _Toc134198091 \h </w:instrText>
        </w:r>
        <w:r w:rsidR="008618F2">
          <w:rPr>
            <w:noProof/>
            <w:webHidden/>
          </w:rPr>
        </w:r>
        <w:r w:rsidR="008618F2">
          <w:rPr>
            <w:noProof/>
            <w:webHidden/>
          </w:rPr>
          <w:fldChar w:fldCharType="separate"/>
        </w:r>
        <w:r w:rsidR="000720CB">
          <w:rPr>
            <w:noProof/>
            <w:webHidden/>
          </w:rPr>
          <w:t>210</w:t>
        </w:r>
        <w:r w:rsidR="008618F2">
          <w:rPr>
            <w:noProof/>
            <w:webHidden/>
          </w:rPr>
          <w:fldChar w:fldCharType="end"/>
        </w:r>
      </w:hyperlink>
    </w:p>
    <w:p w14:paraId="7BF81FE6" w14:textId="102881DC" w:rsidR="008618F2" w:rsidRDefault="009B5CEC" w:rsidP="008618F2">
      <w:pPr>
        <w:pStyle w:val="TOC3"/>
        <w:jc w:val="left"/>
        <w:rPr>
          <w:rFonts w:asciiTheme="minorHAnsi" w:eastAsiaTheme="minorEastAsia" w:hAnsiTheme="minorHAnsi" w:cstheme="minorBidi"/>
          <w:b w:val="0"/>
          <w:noProof/>
          <w:szCs w:val="22"/>
          <w:lang w:eastAsia="en-GB"/>
        </w:rPr>
      </w:pPr>
      <w:hyperlink w:anchor="_Toc134198092" w:history="1">
        <w:r w:rsidR="008618F2" w:rsidRPr="00DC3933">
          <w:rPr>
            <w:rStyle w:val="Hyperlink"/>
            <w:noProof/>
          </w:rPr>
          <w:t>13.4.1</w:t>
        </w:r>
        <w:r w:rsidR="008618F2">
          <w:rPr>
            <w:rFonts w:asciiTheme="minorHAnsi" w:eastAsiaTheme="minorEastAsia" w:hAnsiTheme="minorHAnsi" w:cstheme="minorBidi"/>
            <w:b w:val="0"/>
            <w:noProof/>
            <w:szCs w:val="22"/>
            <w:lang w:eastAsia="en-GB"/>
          </w:rPr>
          <w:tab/>
        </w:r>
        <w:r w:rsidR="008618F2" w:rsidRPr="00DC3933">
          <w:rPr>
            <w:rStyle w:val="Hyperlink"/>
            <w:noProof/>
          </w:rPr>
          <w:t>Structural types</w:t>
        </w:r>
        <w:r w:rsidR="008618F2">
          <w:rPr>
            <w:noProof/>
            <w:webHidden/>
          </w:rPr>
          <w:tab/>
        </w:r>
        <w:r w:rsidR="008618F2">
          <w:rPr>
            <w:noProof/>
            <w:webHidden/>
          </w:rPr>
          <w:fldChar w:fldCharType="begin"/>
        </w:r>
        <w:r w:rsidR="008618F2">
          <w:rPr>
            <w:noProof/>
            <w:webHidden/>
          </w:rPr>
          <w:instrText xml:space="preserve"> PAGEREF _Toc134198092 \h </w:instrText>
        </w:r>
        <w:r w:rsidR="008618F2">
          <w:rPr>
            <w:noProof/>
            <w:webHidden/>
          </w:rPr>
        </w:r>
        <w:r w:rsidR="008618F2">
          <w:rPr>
            <w:noProof/>
            <w:webHidden/>
          </w:rPr>
          <w:fldChar w:fldCharType="separate"/>
        </w:r>
        <w:r w:rsidR="000720CB">
          <w:rPr>
            <w:noProof/>
            <w:webHidden/>
          </w:rPr>
          <w:t>210</w:t>
        </w:r>
        <w:r w:rsidR="008618F2">
          <w:rPr>
            <w:noProof/>
            <w:webHidden/>
          </w:rPr>
          <w:fldChar w:fldCharType="end"/>
        </w:r>
      </w:hyperlink>
    </w:p>
    <w:p w14:paraId="78ECC76B" w14:textId="1AB1C51D" w:rsidR="008618F2" w:rsidRDefault="009B5CEC" w:rsidP="008618F2">
      <w:pPr>
        <w:pStyle w:val="TOC3"/>
        <w:jc w:val="left"/>
        <w:rPr>
          <w:rFonts w:asciiTheme="minorHAnsi" w:eastAsiaTheme="minorEastAsia" w:hAnsiTheme="minorHAnsi" w:cstheme="minorBidi"/>
          <w:b w:val="0"/>
          <w:noProof/>
          <w:szCs w:val="22"/>
          <w:lang w:eastAsia="en-GB"/>
        </w:rPr>
      </w:pPr>
      <w:hyperlink w:anchor="_Toc134198093" w:history="1">
        <w:r w:rsidR="008618F2" w:rsidRPr="00DC3933">
          <w:rPr>
            <w:rStyle w:val="Hyperlink"/>
            <w:noProof/>
          </w:rPr>
          <w:t>13.4.2</w:t>
        </w:r>
        <w:r w:rsidR="008618F2">
          <w:rPr>
            <w:rFonts w:asciiTheme="minorHAnsi" w:eastAsiaTheme="minorEastAsia" w:hAnsiTheme="minorHAnsi" w:cstheme="minorBidi"/>
            <w:b w:val="0"/>
            <w:noProof/>
            <w:szCs w:val="22"/>
            <w:lang w:eastAsia="en-GB"/>
          </w:rPr>
          <w:tab/>
        </w:r>
        <w:r w:rsidR="008618F2" w:rsidRPr="00DC3933">
          <w:rPr>
            <w:rStyle w:val="Hyperlink"/>
            <w:noProof/>
          </w:rPr>
          <w:t>Behaviour factors</w:t>
        </w:r>
        <w:r w:rsidR="008618F2">
          <w:rPr>
            <w:noProof/>
            <w:webHidden/>
          </w:rPr>
          <w:tab/>
        </w:r>
        <w:r w:rsidR="008618F2">
          <w:rPr>
            <w:noProof/>
            <w:webHidden/>
          </w:rPr>
          <w:fldChar w:fldCharType="begin"/>
        </w:r>
        <w:r w:rsidR="008618F2">
          <w:rPr>
            <w:noProof/>
            <w:webHidden/>
          </w:rPr>
          <w:instrText xml:space="preserve"> PAGEREF _Toc134198093 \h </w:instrText>
        </w:r>
        <w:r w:rsidR="008618F2">
          <w:rPr>
            <w:noProof/>
            <w:webHidden/>
          </w:rPr>
        </w:r>
        <w:r w:rsidR="008618F2">
          <w:rPr>
            <w:noProof/>
            <w:webHidden/>
          </w:rPr>
          <w:fldChar w:fldCharType="separate"/>
        </w:r>
        <w:r w:rsidR="000720CB">
          <w:rPr>
            <w:noProof/>
            <w:webHidden/>
          </w:rPr>
          <w:t>213</w:t>
        </w:r>
        <w:r w:rsidR="008618F2">
          <w:rPr>
            <w:noProof/>
            <w:webHidden/>
          </w:rPr>
          <w:fldChar w:fldCharType="end"/>
        </w:r>
      </w:hyperlink>
    </w:p>
    <w:p w14:paraId="2EAB404B" w14:textId="294A33E6" w:rsidR="008618F2" w:rsidRDefault="009B5CEC" w:rsidP="008618F2">
      <w:pPr>
        <w:pStyle w:val="TOC3"/>
        <w:jc w:val="left"/>
        <w:rPr>
          <w:rFonts w:asciiTheme="minorHAnsi" w:eastAsiaTheme="minorEastAsia" w:hAnsiTheme="minorHAnsi" w:cstheme="minorBidi"/>
          <w:b w:val="0"/>
          <w:noProof/>
          <w:szCs w:val="22"/>
          <w:lang w:eastAsia="en-GB"/>
        </w:rPr>
      </w:pPr>
      <w:hyperlink w:anchor="_Toc134198094" w:history="1">
        <w:r w:rsidR="008618F2" w:rsidRPr="00DC3933">
          <w:rPr>
            <w:rStyle w:val="Hyperlink"/>
            <w:noProof/>
          </w:rPr>
          <w:t>13.4.3</w:t>
        </w:r>
        <w:r w:rsidR="008618F2">
          <w:rPr>
            <w:rFonts w:asciiTheme="minorHAnsi" w:eastAsiaTheme="minorEastAsia" w:hAnsiTheme="minorHAnsi" w:cstheme="minorBidi"/>
            <w:b w:val="0"/>
            <w:noProof/>
            <w:szCs w:val="22"/>
            <w:lang w:eastAsia="en-GB"/>
          </w:rPr>
          <w:tab/>
        </w:r>
        <w:r w:rsidR="008618F2" w:rsidRPr="00DC3933">
          <w:rPr>
            <w:rStyle w:val="Hyperlink"/>
            <w:noProof/>
          </w:rPr>
          <w:t>Capacity design rules common to all dissipative structural types</w:t>
        </w:r>
        <w:r w:rsidR="008618F2">
          <w:rPr>
            <w:noProof/>
            <w:webHidden/>
          </w:rPr>
          <w:tab/>
        </w:r>
        <w:r w:rsidR="008618F2">
          <w:rPr>
            <w:noProof/>
            <w:webHidden/>
          </w:rPr>
          <w:fldChar w:fldCharType="begin"/>
        </w:r>
        <w:r w:rsidR="008618F2">
          <w:rPr>
            <w:noProof/>
            <w:webHidden/>
          </w:rPr>
          <w:instrText xml:space="preserve"> PAGEREF _Toc134198094 \h </w:instrText>
        </w:r>
        <w:r w:rsidR="008618F2">
          <w:rPr>
            <w:noProof/>
            <w:webHidden/>
          </w:rPr>
        </w:r>
        <w:r w:rsidR="008618F2">
          <w:rPr>
            <w:noProof/>
            <w:webHidden/>
          </w:rPr>
          <w:fldChar w:fldCharType="separate"/>
        </w:r>
        <w:r w:rsidR="000720CB">
          <w:rPr>
            <w:noProof/>
            <w:webHidden/>
          </w:rPr>
          <w:t>217</w:t>
        </w:r>
        <w:r w:rsidR="008618F2">
          <w:rPr>
            <w:noProof/>
            <w:webHidden/>
          </w:rPr>
          <w:fldChar w:fldCharType="end"/>
        </w:r>
      </w:hyperlink>
    </w:p>
    <w:p w14:paraId="7ACE50CA" w14:textId="3E614D36" w:rsidR="008618F2" w:rsidRDefault="009B5CEC">
      <w:pPr>
        <w:pStyle w:val="TOC3"/>
        <w:rPr>
          <w:rFonts w:asciiTheme="minorHAnsi" w:eastAsiaTheme="minorEastAsia" w:hAnsiTheme="minorHAnsi" w:cstheme="minorBidi"/>
          <w:b w:val="0"/>
          <w:noProof/>
          <w:szCs w:val="22"/>
          <w:lang w:eastAsia="en-GB"/>
        </w:rPr>
      </w:pPr>
      <w:hyperlink w:anchor="_Toc134198095" w:history="1">
        <w:r w:rsidR="008618F2" w:rsidRPr="00DC3933">
          <w:rPr>
            <w:rStyle w:val="Hyperlink"/>
            <w:noProof/>
          </w:rPr>
          <w:t>13.4.4</w:t>
        </w:r>
        <w:r w:rsidR="008618F2">
          <w:rPr>
            <w:rFonts w:asciiTheme="minorHAnsi" w:eastAsiaTheme="minorEastAsia" w:hAnsiTheme="minorHAnsi" w:cstheme="minorBidi"/>
            <w:b w:val="0"/>
            <w:noProof/>
            <w:szCs w:val="22"/>
            <w:lang w:eastAsia="en-GB"/>
          </w:rPr>
          <w:tab/>
        </w:r>
        <w:r w:rsidR="008618F2" w:rsidRPr="00DC3933">
          <w:rPr>
            <w:rStyle w:val="Hyperlink"/>
            <w:noProof/>
          </w:rPr>
          <w:t>Limits of seismic action for design to DC1</w:t>
        </w:r>
        <w:r w:rsidR="008618F2">
          <w:rPr>
            <w:noProof/>
            <w:webHidden/>
          </w:rPr>
          <w:tab/>
        </w:r>
        <w:r w:rsidR="008618F2">
          <w:rPr>
            <w:noProof/>
            <w:webHidden/>
          </w:rPr>
          <w:fldChar w:fldCharType="begin"/>
        </w:r>
        <w:r w:rsidR="008618F2">
          <w:rPr>
            <w:noProof/>
            <w:webHidden/>
          </w:rPr>
          <w:instrText xml:space="preserve"> PAGEREF _Toc134198095 \h </w:instrText>
        </w:r>
        <w:r w:rsidR="008618F2">
          <w:rPr>
            <w:noProof/>
            <w:webHidden/>
          </w:rPr>
        </w:r>
        <w:r w:rsidR="008618F2">
          <w:rPr>
            <w:noProof/>
            <w:webHidden/>
          </w:rPr>
          <w:fldChar w:fldCharType="separate"/>
        </w:r>
        <w:r w:rsidR="000720CB">
          <w:rPr>
            <w:noProof/>
            <w:webHidden/>
          </w:rPr>
          <w:t>218</w:t>
        </w:r>
        <w:r w:rsidR="008618F2">
          <w:rPr>
            <w:noProof/>
            <w:webHidden/>
          </w:rPr>
          <w:fldChar w:fldCharType="end"/>
        </w:r>
      </w:hyperlink>
    </w:p>
    <w:p w14:paraId="57FE4387" w14:textId="5250CA12" w:rsidR="008618F2" w:rsidRDefault="009B5CEC">
      <w:pPr>
        <w:pStyle w:val="TOC2"/>
        <w:rPr>
          <w:rFonts w:asciiTheme="minorHAnsi" w:eastAsiaTheme="minorEastAsia" w:hAnsiTheme="minorHAnsi" w:cstheme="minorBidi"/>
          <w:b w:val="0"/>
          <w:noProof/>
          <w:szCs w:val="22"/>
          <w:lang w:eastAsia="en-GB"/>
        </w:rPr>
      </w:pPr>
      <w:hyperlink w:anchor="_Toc134198096" w:history="1">
        <w:r w:rsidR="008618F2" w:rsidRPr="00DC3933">
          <w:rPr>
            <w:rStyle w:val="Hyperlink"/>
            <w:noProof/>
          </w:rPr>
          <w:t>13.5</w:t>
        </w:r>
        <w:r w:rsidR="008618F2">
          <w:rPr>
            <w:rFonts w:asciiTheme="minorHAnsi" w:eastAsiaTheme="minorEastAsia" w:hAnsiTheme="minorHAnsi" w:cstheme="minorBidi"/>
            <w:b w:val="0"/>
            <w:noProof/>
            <w:szCs w:val="22"/>
            <w:lang w:eastAsia="en-GB"/>
          </w:rPr>
          <w:tab/>
        </w:r>
        <w:r w:rsidR="008618F2" w:rsidRPr="00DC3933">
          <w:rPr>
            <w:rStyle w:val="Hyperlink"/>
            <w:noProof/>
          </w:rPr>
          <w:t>Structural analysis</w:t>
        </w:r>
        <w:r w:rsidR="008618F2">
          <w:rPr>
            <w:noProof/>
            <w:webHidden/>
          </w:rPr>
          <w:tab/>
        </w:r>
        <w:r w:rsidR="008618F2">
          <w:rPr>
            <w:noProof/>
            <w:webHidden/>
          </w:rPr>
          <w:fldChar w:fldCharType="begin"/>
        </w:r>
        <w:r w:rsidR="008618F2">
          <w:rPr>
            <w:noProof/>
            <w:webHidden/>
          </w:rPr>
          <w:instrText xml:space="preserve"> PAGEREF _Toc134198096 \h </w:instrText>
        </w:r>
        <w:r w:rsidR="008618F2">
          <w:rPr>
            <w:noProof/>
            <w:webHidden/>
          </w:rPr>
        </w:r>
        <w:r w:rsidR="008618F2">
          <w:rPr>
            <w:noProof/>
            <w:webHidden/>
          </w:rPr>
          <w:fldChar w:fldCharType="separate"/>
        </w:r>
        <w:r w:rsidR="000720CB">
          <w:rPr>
            <w:noProof/>
            <w:webHidden/>
          </w:rPr>
          <w:t>219</w:t>
        </w:r>
        <w:r w:rsidR="008618F2">
          <w:rPr>
            <w:noProof/>
            <w:webHidden/>
          </w:rPr>
          <w:fldChar w:fldCharType="end"/>
        </w:r>
      </w:hyperlink>
    </w:p>
    <w:p w14:paraId="50716C7B" w14:textId="3ACF1446" w:rsidR="008618F2" w:rsidRDefault="009B5CEC">
      <w:pPr>
        <w:pStyle w:val="TOC2"/>
        <w:rPr>
          <w:rFonts w:asciiTheme="minorHAnsi" w:eastAsiaTheme="minorEastAsia" w:hAnsiTheme="minorHAnsi" w:cstheme="minorBidi"/>
          <w:b w:val="0"/>
          <w:noProof/>
          <w:szCs w:val="22"/>
          <w:lang w:eastAsia="en-GB"/>
        </w:rPr>
      </w:pPr>
      <w:hyperlink w:anchor="_Toc134198097" w:history="1">
        <w:r w:rsidR="008618F2" w:rsidRPr="00DC3933">
          <w:rPr>
            <w:rStyle w:val="Hyperlink"/>
            <w:noProof/>
          </w:rPr>
          <w:t>13.6</w:t>
        </w:r>
        <w:r w:rsidR="008618F2">
          <w:rPr>
            <w:rFonts w:asciiTheme="minorHAnsi" w:eastAsiaTheme="minorEastAsia" w:hAnsiTheme="minorHAnsi" w:cstheme="minorBidi"/>
            <w:b w:val="0"/>
            <w:noProof/>
            <w:szCs w:val="22"/>
            <w:lang w:eastAsia="en-GB"/>
          </w:rPr>
          <w:tab/>
        </w:r>
        <w:r w:rsidR="008618F2" w:rsidRPr="00DC3933">
          <w:rPr>
            <w:rStyle w:val="Hyperlink"/>
            <w:noProof/>
          </w:rPr>
          <w:t>Verification of limit states</w:t>
        </w:r>
        <w:r w:rsidR="008618F2">
          <w:rPr>
            <w:noProof/>
            <w:webHidden/>
          </w:rPr>
          <w:tab/>
        </w:r>
        <w:r w:rsidR="008618F2">
          <w:rPr>
            <w:noProof/>
            <w:webHidden/>
          </w:rPr>
          <w:fldChar w:fldCharType="begin"/>
        </w:r>
        <w:r w:rsidR="008618F2">
          <w:rPr>
            <w:noProof/>
            <w:webHidden/>
          </w:rPr>
          <w:instrText xml:space="preserve"> PAGEREF _Toc134198097 \h </w:instrText>
        </w:r>
        <w:r w:rsidR="008618F2">
          <w:rPr>
            <w:noProof/>
            <w:webHidden/>
          </w:rPr>
        </w:r>
        <w:r w:rsidR="008618F2">
          <w:rPr>
            <w:noProof/>
            <w:webHidden/>
          </w:rPr>
          <w:fldChar w:fldCharType="separate"/>
        </w:r>
        <w:r w:rsidR="000720CB">
          <w:rPr>
            <w:noProof/>
            <w:webHidden/>
          </w:rPr>
          <w:t>221</w:t>
        </w:r>
        <w:r w:rsidR="008618F2">
          <w:rPr>
            <w:noProof/>
            <w:webHidden/>
          </w:rPr>
          <w:fldChar w:fldCharType="end"/>
        </w:r>
      </w:hyperlink>
    </w:p>
    <w:p w14:paraId="2A5B8DBE" w14:textId="6294949B" w:rsidR="008618F2" w:rsidRDefault="009B5CEC">
      <w:pPr>
        <w:pStyle w:val="TOC3"/>
        <w:rPr>
          <w:rFonts w:asciiTheme="minorHAnsi" w:eastAsiaTheme="minorEastAsia" w:hAnsiTheme="minorHAnsi" w:cstheme="minorBidi"/>
          <w:b w:val="0"/>
          <w:noProof/>
          <w:szCs w:val="22"/>
          <w:lang w:eastAsia="en-GB"/>
        </w:rPr>
      </w:pPr>
      <w:hyperlink w:anchor="_Toc134198098" w:history="1">
        <w:r w:rsidR="008618F2" w:rsidRPr="00DC3933">
          <w:rPr>
            <w:rStyle w:val="Hyperlink"/>
            <w:noProof/>
          </w:rPr>
          <w:t>13.6.1</w:t>
        </w:r>
        <w:r w:rsidR="008618F2">
          <w:rPr>
            <w:rFonts w:asciiTheme="minorHAnsi" w:eastAsiaTheme="minorEastAsia" w:hAnsiTheme="minorHAnsi" w:cstheme="minorBidi"/>
            <w:b w:val="0"/>
            <w:noProof/>
            <w:szCs w:val="22"/>
            <w:lang w:eastAsia="en-GB"/>
          </w:rPr>
          <w:tab/>
        </w:r>
        <w:r w:rsidR="008618F2" w:rsidRPr="00DC3933">
          <w:rPr>
            <w:rStyle w:val="Hyperlink"/>
            <w:noProof/>
          </w:rPr>
          <w:t>General</w:t>
        </w:r>
        <w:r w:rsidR="008618F2">
          <w:rPr>
            <w:noProof/>
            <w:webHidden/>
          </w:rPr>
          <w:tab/>
        </w:r>
        <w:r w:rsidR="008618F2">
          <w:rPr>
            <w:noProof/>
            <w:webHidden/>
          </w:rPr>
          <w:fldChar w:fldCharType="begin"/>
        </w:r>
        <w:r w:rsidR="008618F2">
          <w:rPr>
            <w:noProof/>
            <w:webHidden/>
          </w:rPr>
          <w:instrText xml:space="preserve"> PAGEREF _Toc134198098 \h </w:instrText>
        </w:r>
        <w:r w:rsidR="008618F2">
          <w:rPr>
            <w:noProof/>
            <w:webHidden/>
          </w:rPr>
        </w:r>
        <w:r w:rsidR="008618F2">
          <w:rPr>
            <w:noProof/>
            <w:webHidden/>
          </w:rPr>
          <w:fldChar w:fldCharType="separate"/>
        </w:r>
        <w:r w:rsidR="000720CB">
          <w:rPr>
            <w:noProof/>
            <w:webHidden/>
          </w:rPr>
          <w:t>221</w:t>
        </w:r>
        <w:r w:rsidR="008618F2">
          <w:rPr>
            <w:noProof/>
            <w:webHidden/>
          </w:rPr>
          <w:fldChar w:fldCharType="end"/>
        </w:r>
      </w:hyperlink>
    </w:p>
    <w:p w14:paraId="15596A73" w14:textId="5B36803E" w:rsidR="008618F2" w:rsidRDefault="009B5CEC">
      <w:pPr>
        <w:pStyle w:val="TOC3"/>
        <w:rPr>
          <w:rFonts w:asciiTheme="minorHAnsi" w:eastAsiaTheme="minorEastAsia" w:hAnsiTheme="minorHAnsi" w:cstheme="minorBidi"/>
          <w:b w:val="0"/>
          <w:noProof/>
          <w:szCs w:val="22"/>
          <w:lang w:eastAsia="en-GB"/>
        </w:rPr>
      </w:pPr>
      <w:hyperlink w:anchor="_Toc134198099" w:history="1">
        <w:r w:rsidR="008618F2" w:rsidRPr="00DC3933">
          <w:rPr>
            <w:rStyle w:val="Hyperlink"/>
            <w:noProof/>
          </w:rPr>
          <w:t>13.6.2</w:t>
        </w:r>
        <w:r w:rsidR="008618F2">
          <w:rPr>
            <w:rFonts w:asciiTheme="minorHAnsi" w:eastAsiaTheme="minorEastAsia" w:hAnsiTheme="minorHAnsi" w:cstheme="minorBidi"/>
            <w:b w:val="0"/>
            <w:noProof/>
            <w:szCs w:val="22"/>
            <w:lang w:eastAsia="en-GB"/>
          </w:rPr>
          <w:tab/>
        </w:r>
        <w:r w:rsidR="008618F2" w:rsidRPr="00DC3933">
          <w:rPr>
            <w:rStyle w:val="Hyperlink"/>
            <w:noProof/>
          </w:rPr>
          <w:t>Limitation of interstorey drift at Significant Damage limit state</w:t>
        </w:r>
        <w:r w:rsidR="008618F2">
          <w:rPr>
            <w:noProof/>
            <w:webHidden/>
          </w:rPr>
          <w:tab/>
        </w:r>
        <w:r w:rsidR="008618F2">
          <w:rPr>
            <w:noProof/>
            <w:webHidden/>
          </w:rPr>
          <w:fldChar w:fldCharType="begin"/>
        </w:r>
        <w:r w:rsidR="008618F2">
          <w:rPr>
            <w:noProof/>
            <w:webHidden/>
          </w:rPr>
          <w:instrText xml:space="preserve"> PAGEREF _Toc134198099 \h </w:instrText>
        </w:r>
        <w:r w:rsidR="008618F2">
          <w:rPr>
            <w:noProof/>
            <w:webHidden/>
          </w:rPr>
        </w:r>
        <w:r w:rsidR="008618F2">
          <w:rPr>
            <w:noProof/>
            <w:webHidden/>
          </w:rPr>
          <w:fldChar w:fldCharType="separate"/>
        </w:r>
        <w:r w:rsidR="000720CB">
          <w:rPr>
            <w:noProof/>
            <w:webHidden/>
          </w:rPr>
          <w:t>221</w:t>
        </w:r>
        <w:r w:rsidR="008618F2">
          <w:rPr>
            <w:noProof/>
            <w:webHidden/>
          </w:rPr>
          <w:fldChar w:fldCharType="end"/>
        </w:r>
      </w:hyperlink>
    </w:p>
    <w:p w14:paraId="225568A3" w14:textId="1A51A136" w:rsidR="008618F2" w:rsidRDefault="009B5CEC">
      <w:pPr>
        <w:pStyle w:val="TOC3"/>
        <w:rPr>
          <w:rFonts w:asciiTheme="minorHAnsi" w:eastAsiaTheme="minorEastAsia" w:hAnsiTheme="minorHAnsi" w:cstheme="minorBidi"/>
          <w:b w:val="0"/>
          <w:noProof/>
          <w:szCs w:val="22"/>
          <w:lang w:eastAsia="en-GB"/>
        </w:rPr>
      </w:pPr>
      <w:hyperlink w:anchor="_Toc134198100" w:history="1">
        <w:r w:rsidR="008618F2" w:rsidRPr="00DC3933">
          <w:rPr>
            <w:rStyle w:val="Hyperlink"/>
            <w:noProof/>
          </w:rPr>
          <w:t>13.6.3</w:t>
        </w:r>
        <w:r w:rsidR="008618F2">
          <w:rPr>
            <w:rFonts w:asciiTheme="minorHAnsi" w:eastAsiaTheme="minorEastAsia" w:hAnsiTheme="minorHAnsi" w:cstheme="minorBidi"/>
            <w:b w:val="0"/>
            <w:noProof/>
            <w:szCs w:val="22"/>
            <w:lang w:eastAsia="en-GB"/>
          </w:rPr>
          <w:tab/>
        </w:r>
        <w:r w:rsidR="008618F2" w:rsidRPr="00DC3933">
          <w:rPr>
            <w:rStyle w:val="Hyperlink"/>
            <w:noProof/>
          </w:rPr>
          <w:t>Non-linear static analysis</w:t>
        </w:r>
        <w:r w:rsidR="008618F2">
          <w:rPr>
            <w:noProof/>
            <w:webHidden/>
          </w:rPr>
          <w:tab/>
        </w:r>
        <w:r w:rsidR="008618F2">
          <w:rPr>
            <w:noProof/>
            <w:webHidden/>
          </w:rPr>
          <w:fldChar w:fldCharType="begin"/>
        </w:r>
        <w:r w:rsidR="008618F2">
          <w:rPr>
            <w:noProof/>
            <w:webHidden/>
          </w:rPr>
          <w:instrText xml:space="preserve"> PAGEREF _Toc134198100 \h </w:instrText>
        </w:r>
        <w:r w:rsidR="008618F2">
          <w:rPr>
            <w:noProof/>
            <w:webHidden/>
          </w:rPr>
        </w:r>
        <w:r w:rsidR="008618F2">
          <w:rPr>
            <w:noProof/>
            <w:webHidden/>
          </w:rPr>
          <w:fldChar w:fldCharType="separate"/>
        </w:r>
        <w:r w:rsidR="000720CB">
          <w:rPr>
            <w:noProof/>
            <w:webHidden/>
          </w:rPr>
          <w:t>221</w:t>
        </w:r>
        <w:r w:rsidR="008618F2">
          <w:rPr>
            <w:noProof/>
            <w:webHidden/>
          </w:rPr>
          <w:fldChar w:fldCharType="end"/>
        </w:r>
      </w:hyperlink>
    </w:p>
    <w:p w14:paraId="419C0B28" w14:textId="1818AB56" w:rsidR="008618F2" w:rsidRDefault="009B5CEC">
      <w:pPr>
        <w:pStyle w:val="TOC2"/>
        <w:rPr>
          <w:rFonts w:asciiTheme="minorHAnsi" w:eastAsiaTheme="minorEastAsia" w:hAnsiTheme="minorHAnsi" w:cstheme="minorBidi"/>
          <w:b w:val="0"/>
          <w:noProof/>
          <w:szCs w:val="22"/>
          <w:lang w:eastAsia="en-GB"/>
        </w:rPr>
      </w:pPr>
      <w:hyperlink w:anchor="_Toc134198101" w:history="1">
        <w:r w:rsidR="008618F2" w:rsidRPr="00DC3933">
          <w:rPr>
            <w:rStyle w:val="Hyperlink"/>
            <w:noProof/>
          </w:rPr>
          <w:t>13.7</w:t>
        </w:r>
        <w:r w:rsidR="008618F2">
          <w:rPr>
            <w:rFonts w:asciiTheme="minorHAnsi" w:eastAsiaTheme="minorEastAsia" w:hAnsiTheme="minorHAnsi" w:cstheme="minorBidi"/>
            <w:b w:val="0"/>
            <w:noProof/>
            <w:szCs w:val="22"/>
            <w:lang w:eastAsia="en-GB"/>
          </w:rPr>
          <w:tab/>
        </w:r>
        <w:r w:rsidR="008618F2" w:rsidRPr="00DC3933">
          <w:rPr>
            <w:rStyle w:val="Hyperlink"/>
            <w:noProof/>
          </w:rPr>
          <w:t>Rules for cross laminated timber (CLT) structures</w:t>
        </w:r>
        <w:r w:rsidR="008618F2">
          <w:rPr>
            <w:noProof/>
            <w:webHidden/>
          </w:rPr>
          <w:tab/>
        </w:r>
        <w:r w:rsidR="008618F2">
          <w:rPr>
            <w:noProof/>
            <w:webHidden/>
          </w:rPr>
          <w:fldChar w:fldCharType="begin"/>
        </w:r>
        <w:r w:rsidR="008618F2">
          <w:rPr>
            <w:noProof/>
            <w:webHidden/>
          </w:rPr>
          <w:instrText xml:space="preserve"> PAGEREF _Toc134198101 \h </w:instrText>
        </w:r>
        <w:r w:rsidR="008618F2">
          <w:rPr>
            <w:noProof/>
            <w:webHidden/>
          </w:rPr>
        </w:r>
        <w:r w:rsidR="008618F2">
          <w:rPr>
            <w:noProof/>
            <w:webHidden/>
          </w:rPr>
          <w:fldChar w:fldCharType="separate"/>
        </w:r>
        <w:r w:rsidR="000720CB">
          <w:rPr>
            <w:noProof/>
            <w:webHidden/>
          </w:rPr>
          <w:t>222</w:t>
        </w:r>
        <w:r w:rsidR="008618F2">
          <w:rPr>
            <w:noProof/>
            <w:webHidden/>
          </w:rPr>
          <w:fldChar w:fldCharType="end"/>
        </w:r>
      </w:hyperlink>
    </w:p>
    <w:p w14:paraId="1A64E47C" w14:textId="797A014D" w:rsidR="008618F2" w:rsidRDefault="009B5CEC">
      <w:pPr>
        <w:pStyle w:val="TOC3"/>
        <w:rPr>
          <w:rFonts w:asciiTheme="minorHAnsi" w:eastAsiaTheme="minorEastAsia" w:hAnsiTheme="minorHAnsi" w:cstheme="minorBidi"/>
          <w:b w:val="0"/>
          <w:noProof/>
          <w:szCs w:val="22"/>
          <w:lang w:eastAsia="en-GB"/>
        </w:rPr>
      </w:pPr>
      <w:hyperlink w:anchor="_Toc134198102" w:history="1">
        <w:r w:rsidR="008618F2" w:rsidRPr="00DC3933">
          <w:rPr>
            <w:rStyle w:val="Hyperlink"/>
            <w:noProof/>
          </w:rPr>
          <w:t>13.7.1</w:t>
        </w:r>
        <w:r w:rsidR="008618F2">
          <w:rPr>
            <w:rFonts w:asciiTheme="minorHAnsi" w:eastAsiaTheme="minorEastAsia" w:hAnsiTheme="minorHAnsi" w:cstheme="minorBidi"/>
            <w:b w:val="0"/>
            <w:noProof/>
            <w:szCs w:val="22"/>
            <w:lang w:eastAsia="en-GB"/>
          </w:rPr>
          <w:tab/>
        </w:r>
        <w:r w:rsidR="008618F2" w:rsidRPr="00DC3933">
          <w:rPr>
            <w:rStyle w:val="Hyperlink"/>
            <w:noProof/>
          </w:rPr>
          <w:t>General rules</w:t>
        </w:r>
        <w:r w:rsidR="008618F2">
          <w:rPr>
            <w:noProof/>
            <w:webHidden/>
          </w:rPr>
          <w:tab/>
        </w:r>
        <w:r w:rsidR="008618F2">
          <w:rPr>
            <w:noProof/>
            <w:webHidden/>
          </w:rPr>
          <w:fldChar w:fldCharType="begin"/>
        </w:r>
        <w:r w:rsidR="008618F2">
          <w:rPr>
            <w:noProof/>
            <w:webHidden/>
          </w:rPr>
          <w:instrText xml:space="preserve"> PAGEREF _Toc134198102 \h </w:instrText>
        </w:r>
        <w:r w:rsidR="008618F2">
          <w:rPr>
            <w:noProof/>
            <w:webHidden/>
          </w:rPr>
        </w:r>
        <w:r w:rsidR="008618F2">
          <w:rPr>
            <w:noProof/>
            <w:webHidden/>
          </w:rPr>
          <w:fldChar w:fldCharType="separate"/>
        </w:r>
        <w:r w:rsidR="000720CB">
          <w:rPr>
            <w:noProof/>
            <w:webHidden/>
          </w:rPr>
          <w:t>222</w:t>
        </w:r>
        <w:r w:rsidR="008618F2">
          <w:rPr>
            <w:noProof/>
            <w:webHidden/>
          </w:rPr>
          <w:fldChar w:fldCharType="end"/>
        </w:r>
      </w:hyperlink>
    </w:p>
    <w:p w14:paraId="2B9E328E" w14:textId="497D410B" w:rsidR="008618F2" w:rsidRDefault="009B5CEC">
      <w:pPr>
        <w:pStyle w:val="TOC3"/>
        <w:rPr>
          <w:rFonts w:asciiTheme="minorHAnsi" w:eastAsiaTheme="minorEastAsia" w:hAnsiTheme="minorHAnsi" w:cstheme="minorBidi"/>
          <w:b w:val="0"/>
          <w:noProof/>
          <w:szCs w:val="22"/>
          <w:lang w:eastAsia="en-GB"/>
        </w:rPr>
      </w:pPr>
      <w:hyperlink w:anchor="_Toc134198103" w:history="1">
        <w:r w:rsidR="008618F2" w:rsidRPr="00DC3933">
          <w:rPr>
            <w:rStyle w:val="Hyperlink"/>
            <w:noProof/>
          </w:rPr>
          <w:t>13.7.2</w:t>
        </w:r>
        <w:r w:rsidR="008618F2">
          <w:rPr>
            <w:rFonts w:asciiTheme="minorHAnsi" w:eastAsiaTheme="minorEastAsia" w:hAnsiTheme="minorHAnsi" w:cstheme="minorBidi"/>
            <w:b w:val="0"/>
            <w:noProof/>
            <w:szCs w:val="22"/>
            <w:lang w:eastAsia="en-GB"/>
          </w:rPr>
          <w:tab/>
        </w:r>
        <w:r w:rsidR="008618F2" w:rsidRPr="00DC3933">
          <w:rPr>
            <w:rStyle w:val="Hyperlink"/>
            <w:noProof/>
          </w:rPr>
          <w:t>Verification in DC2</w:t>
        </w:r>
        <w:r w:rsidR="008618F2">
          <w:rPr>
            <w:noProof/>
            <w:webHidden/>
          </w:rPr>
          <w:tab/>
        </w:r>
        <w:r w:rsidR="008618F2">
          <w:rPr>
            <w:noProof/>
            <w:webHidden/>
          </w:rPr>
          <w:fldChar w:fldCharType="begin"/>
        </w:r>
        <w:r w:rsidR="008618F2">
          <w:rPr>
            <w:noProof/>
            <w:webHidden/>
          </w:rPr>
          <w:instrText xml:space="preserve"> PAGEREF _Toc134198103 \h </w:instrText>
        </w:r>
        <w:r w:rsidR="008618F2">
          <w:rPr>
            <w:noProof/>
            <w:webHidden/>
          </w:rPr>
        </w:r>
        <w:r w:rsidR="008618F2">
          <w:rPr>
            <w:noProof/>
            <w:webHidden/>
          </w:rPr>
          <w:fldChar w:fldCharType="separate"/>
        </w:r>
        <w:r w:rsidR="000720CB">
          <w:rPr>
            <w:noProof/>
            <w:webHidden/>
          </w:rPr>
          <w:t>223</w:t>
        </w:r>
        <w:r w:rsidR="008618F2">
          <w:rPr>
            <w:noProof/>
            <w:webHidden/>
          </w:rPr>
          <w:fldChar w:fldCharType="end"/>
        </w:r>
      </w:hyperlink>
    </w:p>
    <w:p w14:paraId="6F062C54" w14:textId="4243E80B" w:rsidR="008618F2" w:rsidRDefault="009B5CEC">
      <w:pPr>
        <w:pStyle w:val="TOC3"/>
        <w:rPr>
          <w:rFonts w:asciiTheme="minorHAnsi" w:eastAsiaTheme="minorEastAsia" w:hAnsiTheme="minorHAnsi" w:cstheme="minorBidi"/>
          <w:b w:val="0"/>
          <w:noProof/>
          <w:szCs w:val="22"/>
          <w:lang w:eastAsia="en-GB"/>
        </w:rPr>
      </w:pPr>
      <w:hyperlink w:anchor="_Toc134198104" w:history="1">
        <w:r w:rsidR="008618F2" w:rsidRPr="00DC3933">
          <w:rPr>
            <w:rStyle w:val="Hyperlink"/>
            <w:noProof/>
          </w:rPr>
          <w:t>13.7.3</w:t>
        </w:r>
        <w:r w:rsidR="008618F2">
          <w:rPr>
            <w:rFonts w:asciiTheme="minorHAnsi" w:eastAsiaTheme="minorEastAsia" w:hAnsiTheme="minorHAnsi" w:cstheme="minorBidi"/>
            <w:b w:val="0"/>
            <w:noProof/>
            <w:szCs w:val="22"/>
            <w:lang w:eastAsia="en-GB"/>
          </w:rPr>
          <w:tab/>
        </w:r>
        <w:r w:rsidR="008618F2" w:rsidRPr="00DC3933">
          <w:rPr>
            <w:rStyle w:val="Hyperlink"/>
            <w:noProof/>
          </w:rPr>
          <w:t>Verification in DC3</w:t>
        </w:r>
        <w:r w:rsidR="008618F2">
          <w:rPr>
            <w:noProof/>
            <w:webHidden/>
          </w:rPr>
          <w:tab/>
        </w:r>
        <w:r w:rsidR="008618F2">
          <w:rPr>
            <w:noProof/>
            <w:webHidden/>
          </w:rPr>
          <w:fldChar w:fldCharType="begin"/>
        </w:r>
        <w:r w:rsidR="008618F2">
          <w:rPr>
            <w:noProof/>
            <w:webHidden/>
          </w:rPr>
          <w:instrText xml:space="preserve"> PAGEREF _Toc134198104 \h </w:instrText>
        </w:r>
        <w:r w:rsidR="008618F2">
          <w:rPr>
            <w:noProof/>
            <w:webHidden/>
          </w:rPr>
        </w:r>
        <w:r w:rsidR="008618F2">
          <w:rPr>
            <w:noProof/>
            <w:webHidden/>
          </w:rPr>
          <w:fldChar w:fldCharType="separate"/>
        </w:r>
        <w:r w:rsidR="000720CB">
          <w:rPr>
            <w:noProof/>
            <w:webHidden/>
          </w:rPr>
          <w:t>228</w:t>
        </w:r>
        <w:r w:rsidR="008618F2">
          <w:rPr>
            <w:noProof/>
            <w:webHidden/>
          </w:rPr>
          <w:fldChar w:fldCharType="end"/>
        </w:r>
      </w:hyperlink>
    </w:p>
    <w:p w14:paraId="5ADF7BF0" w14:textId="571DD756" w:rsidR="008618F2" w:rsidRDefault="009B5CEC">
      <w:pPr>
        <w:pStyle w:val="TOC3"/>
        <w:rPr>
          <w:rFonts w:asciiTheme="minorHAnsi" w:eastAsiaTheme="minorEastAsia" w:hAnsiTheme="minorHAnsi" w:cstheme="minorBidi"/>
          <w:b w:val="0"/>
          <w:noProof/>
          <w:szCs w:val="22"/>
          <w:lang w:eastAsia="en-GB"/>
        </w:rPr>
      </w:pPr>
      <w:hyperlink w:anchor="_Toc134198105" w:history="1">
        <w:r w:rsidR="008618F2" w:rsidRPr="00DC3933">
          <w:rPr>
            <w:rStyle w:val="Hyperlink"/>
            <w:noProof/>
          </w:rPr>
          <w:t>13.7.4</w:t>
        </w:r>
        <w:r w:rsidR="008618F2">
          <w:rPr>
            <w:rFonts w:asciiTheme="minorHAnsi" w:eastAsiaTheme="minorEastAsia" w:hAnsiTheme="minorHAnsi" w:cstheme="minorBidi"/>
            <w:b w:val="0"/>
            <w:noProof/>
            <w:szCs w:val="22"/>
            <w:lang w:eastAsia="en-GB"/>
          </w:rPr>
          <w:tab/>
        </w:r>
        <w:r w:rsidR="008618F2" w:rsidRPr="00DC3933">
          <w:rPr>
            <w:rStyle w:val="Hyperlink"/>
            <w:noProof/>
          </w:rPr>
          <w:t>Detailing rules</w:t>
        </w:r>
        <w:r w:rsidR="008618F2">
          <w:rPr>
            <w:noProof/>
            <w:webHidden/>
          </w:rPr>
          <w:tab/>
        </w:r>
        <w:r w:rsidR="008618F2">
          <w:rPr>
            <w:noProof/>
            <w:webHidden/>
          </w:rPr>
          <w:fldChar w:fldCharType="begin"/>
        </w:r>
        <w:r w:rsidR="008618F2">
          <w:rPr>
            <w:noProof/>
            <w:webHidden/>
          </w:rPr>
          <w:instrText xml:space="preserve"> PAGEREF _Toc134198105 \h </w:instrText>
        </w:r>
        <w:r w:rsidR="008618F2">
          <w:rPr>
            <w:noProof/>
            <w:webHidden/>
          </w:rPr>
        </w:r>
        <w:r w:rsidR="008618F2">
          <w:rPr>
            <w:noProof/>
            <w:webHidden/>
          </w:rPr>
          <w:fldChar w:fldCharType="separate"/>
        </w:r>
        <w:r w:rsidR="000720CB">
          <w:rPr>
            <w:noProof/>
            <w:webHidden/>
          </w:rPr>
          <w:t>230</w:t>
        </w:r>
        <w:r w:rsidR="008618F2">
          <w:rPr>
            <w:noProof/>
            <w:webHidden/>
          </w:rPr>
          <w:fldChar w:fldCharType="end"/>
        </w:r>
      </w:hyperlink>
    </w:p>
    <w:p w14:paraId="4AA295E8" w14:textId="1EEDB4CB" w:rsidR="008618F2" w:rsidRDefault="009B5CEC">
      <w:pPr>
        <w:pStyle w:val="TOC2"/>
        <w:rPr>
          <w:rFonts w:asciiTheme="minorHAnsi" w:eastAsiaTheme="minorEastAsia" w:hAnsiTheme="minorHAnsi" w:cstheme="minorBidi"/>
          <w:b w:val="0"/>
          <w:noProof/>
          <w:szCs w:val="22"/>
          <w:lang w:eastAsia="en-GB"/>
        </w:rPr>
      </w:pPr>
      <w:hyperlink w:anchor="_Toc134198106" w:history="1">
        <w:r w:rsidR="008618F2" w:rsidRPr="00DC3933">
          <w:rPr>
            <w:rStyle w:val="Hyperlink"/>
            <w:noProof/>
          </w:rPr>
          <w:t>13.8</w:t>
        </w:r>
        <w:r w:rsidR="008618F2">
          <w:rPr>
            <w:rFonts w:asciiTheme="minorHAnsi" w:eastAsiaTheme="minorEastAsia" w:hAnsiTheme="minorHAnsi" w:cstheme="minorBidi"/>
            <w:b w:val="0"/>
            <w:noProof/>
            <w:szCs w:val="22"/>
            <w:lang w:eastAsia="en-GB"/>
          </w:rPr>
          <w:tab/>
        </w:r>
        <w:r w:rsidR="008618F2" w:rsidRPr="00DC3933">
          <w:rPr>
            <w:rStyle w:val="Hyperlink"/>
            <w:noProof/>
          </w:rPr>
          <w:t>Rules for framed wall structures</w:t>
        </w:r>
        <w:r w:rsidR="008618F2">
          <w:rPr>
            <w:noProof/>
            <w:webHidden/>
          </w:rPr>
          <w:tab/>
        </w:r>
        <w:r w:rsidR="008618F2">
          <w:rPr>
            <w:noProof/>
            <w:webHidden/>
          </w:rPr>
          <w:fldChar w:fldCharType="begin"/>
        </w:r>
        <w:r w:rsidR="008618F2">
          <w:rPr>
            <w:noProof/>
            <w:webHidden/>
          </w:rPr>
          <w:instrText xml:space="preserve"> PAGEREF _Toc134198106 \h </w:instrText>
        </w:r>
        <w:r w:rsidR="008618F2">
          <w:rPr>
            <w:noProof/>
            <w:webHidden/>
          </w:rPr>
        </w:r>
        <w:r w:rsidR="008618F2">
          <w:rPr>
            <w:noProof/>
            <w:webHidden/>
          </w:rPr>
          <w:fldChar w:fldCharType="separate"/>
        </w:r>
        <w:r w:rsidR="000720CB">
          <w:rPr>
            <w:noProof/>
            <w:webHidden/>
          </w:rPr>
          <w:t>231</w:t>
        </w:r>
        <w:r w:rsidR="008618F2">
          <w:rPr>
            <w:noProof/>
            <w:webHidden/>
          </w:rPr>
          <w:fldChar w:fldCharType="end"/>
        </w:r>
      </w:hyperlink>
    </w:p>
    <w:p w14:paraId="5A5DB873" w14:textId="72AF1593" w:rsidR="008618F2" w:rsidRDefault="009B5CEC">
      <w:pPr>
        <w:pStyle w:val="TOC3"/>
        <w:rPr>
          <w:rFonts w:asciiTheme="minorHAnsi" w:eastAsiaTheme="minorEastAsia" w:hAnsiTheme="minorHAnsi" w:cstheme="minorBidi"/>
          <w:b w:val="0"/>
          <w:noProof/>
          <w:szCs w:val="22"/>
          <w:lang w:eastAsia="en-GB"/>
        </w:rPr>
      </w:pPr>
      <w:hyperlink w:anchor="_Toc134198107" w:history="1">
        <w:r w:rsidR="008618F2" w:rsidRPr="00DC3933">
          <w:rPr>
            <w:rStyle w:val="Hyperlink"/>
            <w:noProof/>
          </w:rPr>
          <w:t>13.8.1</w:t>
        </w:r>
        <w:r w:rsidR="008618F2">
          <w:rPr>
            <w:rFonts w:asciiTheme="minorHAnsi" w:eastAsiaTheme="minorEastAsia" w:hAnsiTheme="minorHAnsi" w:cstheme="minorBidi"/>
            <w:b w:val="0"/>
            <w:noProof/>
            <w:szCs w:val="22"/>
            <w:lang w:eastAsia="en-GB"/>
          </w:rPr>
          <w:tab/>
        </w:r>
        <w:r w:rsidR="008618F2" w:rsidRPr="00DC3933">
          <w:rPr>
            <w:rStyle w:val="Hyperlink"/>
            <w:noProof/>
          </w:rPr>
          <w:t>General rules</w:t>
        </w:r>
        <w:r w:rsidR="008618F2">
          <w:rPr>
            <w:noProof/>
            <w:webHidden/>
          </w:rPr>
          <w:tab/>
        </w:r>
        <w:r w:rsidR="008618F2">
          <w:rPr>
            <w:noProof/>
            <w:webHidden/>
          </w:rPr>
          <w:fldChar w:fldCharType="begin"/>
        </w:r>
        <w:r w:rsidR="008618F2">
          <w:rPr>
            <w:noProof/>
            <w:webHidden/>
          </w:rPr>
          <w:instrText xml:space="preserve"> PAGEREF _Toc134198107 \h </w:instrText>
        </w:r>
        <w:r w:rsidR="008618F2">
          <w:rPr>
            <w:noProof/>
            <w:webHidden/>
          </w:rPr>
        </w:r>
        <w:r w:rsidR="008618F2">
          <w:rPr>
            <w:noProof/>
            <w:webHidden/>
          </w:rPr>
          <w:fldChar w:fldCharType="separate"/>
        </w:r>
        <w:r w:rsidR="000720CB">
          <w:rPr>
            <w:noProof/>
            <w:webHidden/>
          </w:rPr>
          <w:t>231</w:t>
        </w:r>
        <w:r w:rsidR="008618F2">
          <w:rPr>
            <w:noProof/>
            <w:webHidden/>
          </w:rPr>
          <w:fldChar w:fldCharType="end"/>
        </w:r>
      </w:hyperlink>
    </w:p>
    <w:p w14:paraId="587A0571" w14:textId="21CF0045" w:rsidR="008618F2" w:rsidRDefault="009B5CEC">
      <w:pPr>
        <w:pStyle w:val="TOC3"/>
        <w:rPr>
          <w:rFonts w:asciiTheme="minorHAnsi" w:eastAsiaTheme="minorEastAsia" w:hAnsiTheme="minorHAnsi" w:cstheme="minorBidi"/>
          <w:b w:val="0"/>
          <w:noProof/>
          <w:szCs w:val="22"/>
          <w:lang w:eastAsia="en-GB"/>
        </w:rPr>
      </w:pPr>
      <w:hyperlink w:anchor="_Toc134198108" w:history="1">
        <w:r w:rsidR="008618F2" w:rsidRPr="00DC3933">
          <w:rPr>
            <w:rStyle w:val="Hyperlink"/>
            <w:noProof/>
          </w:rPr>
          <w:t>13.8.2</w:t>
        </w:r>
        <w:r w:rsidR="008618F2">
          <w:rPr>
            <w:rFonts w:asciiTheme="minorHAnsi" w:eastAsiaTheme="minorEastAsia" w:hAnsiTheme="minorHAnsi" w:cstheme="minorBidi"/>
            <w:b w:val="0"/>
            <w:noProof/>
            <w:szCs w:val="22"/>
            <w:lang w:eastAsia="en-GB"/>
          </w:rPr>
          <w:tab/>
        </w:r>
        <w:r w:rsidR="008618F2" w:rsidRPr="00DC3933">
          <w:rPr>
            <w:rStyle w:val="Hyperlink"/>
            <w:noProof/>
          </w:rPr>
          <w:t>Verification in DC2</w:t>
        </w:r>
        <w:r w:rsidR="008618F2">
          <w:rPr>
            <w:noProof/>
            <w:webHidden/>
          </w:rPr>
          <w:tab/>
        </w:r>
        <w:r w:rsidR="008618F2">
          <w:rPr>
            <w:noProof/>
            <w:webHidden/>
          </w:rPr>
          <w:fldChar w:fldCharType="begin"/>
        </w:r>
        <w:r w:rsidR="008618F2">
          <w:rPr>
            <w:noProof/>
            <w:webHidden/>
          </w:rPr>
          <w:instrText xml:space="preserve"> PAGEREF _Toc134198108 \h </w:instrText>
        </w:r>
        <w:r w:rsidR="008618F2">
          <w:rPr>
            <w:noProof/>
            <w:webHidden/>
          </w:rPr>
        </w:r>
        <w:r w:rsidR="008618F2">
          <w:rPr>
            <w:noProof/>
            <w:webHidden/>
          </w:rPr>
          <w:fldChar w:fldCharType="separate"/>
        </w:r>
        <w:r w:rsidR="000720CB">
          <w:rPr>
            <w:noProof/>
            <w:webHidden/>
          </w:rPr>
          <w:t>232</w:t>
        </w:r>
        <w:r w:rsidR="008618F2">
          <w:rPr>
            <w:noProof/>
            <w:webHidden/>
          </w:rPr>
          <w:fldChar w:fldCharType="end"/>
        </w:r>
      </w:hyperlink>
    </w:p>
    <w:p w14:paraId="5C2FAEF1" w14:textId="3D9FDB5D" w:rsidR="008618F2" w:rsidRDefault="009B5CEC">
      <w:pPr>
        <w:pStyle w:val="TOC3"/>
        <w:rPr>
          <w:rFonts w:asciiTheme="minorHAnsi" w:eastAsiaTheme="minorEastAsia" w:hAnsiTheme="minorHAnsi" w:cstheme="minorBidi"/>
          <w:b w:val="0"/>
          <w:noProof/>
          <w:szCs w:val="22"/>
          <w:lang w:eastAsia="en-GB"/>
        </w:rPr>
      </w:pPr>
      <w:hyperlink w:anchor="_Toc134198109" w:history="1">
        <w:r w:rsidR="008618F2" w:rsidRPr="00DC3933">
          <w:rPr>
            <w:rStyle w:val="Hyperlink"/>
            <w:noProof/>
          </w:rPr>
          <w:t>13.8.3</w:t>
        </w:r>
        <w:r w:rsidR="008618F2">
          <w:rPr>
            <w:rFonts w:asciiTheme="minorHAnsi" w:eastAsiaTheme="minorEastAsia" w:hAnsiTheme="minorHAnsi" w:cstheme="minorBidi"/>
            <w:b w:val="0"/>
            <w:noProof/>
            <w:szCs w:val="22"/>
            <w:lang w:eastAsia="en-GB"/>
          </w:rPr>
          <w:tab/>
        </w:r>
        <w:r w:rsidR="008618F2" w:rsidRPr="00DC3933">
          <w:rPr>
            <w:rStyle w:val="Hyperlink"/>
            <w:noProof/>
          </w:rPr>
          <w:t>Verification in DC3</w:t>
        </w:r>
        <w:r w:rsidR="008618F2">
          <w:rPr>
            <w:noProof/>
            <w:webHidden/>
          </w:rPr>
          <w:tab/>
        </w:r>
        <w:r w:rsidR="008618F2">
          <w:rPr>
            <w:noProof/>
            <w:webHidden/>
          </w:rPr>
          <w:fldChar w:fldCharType="begin"/>
        </w:r>
        <w:r w:rsidR="008618F2">
          <w:rPr>
            <w:noProof/>
            <w:webHidden/>
          </w:rPr>
          <w:instrText xml:space="preserve"> PAGEREF _Toc134198109 \h </w:instrText>
        </w:r>
        <w:r w:rsidR="008618F2">
          <w:rPr>
            <w:noProof/>
            <w:webHidden/>
          </w:rPr>
        </w:r>
        <w:r w:rsidR="008618F2">
          <w:rPr>
            <w:noProof/>
            <w:webHidden/>
          </w:rPr>
          <w:fldChar w:fldCharType="separate"/>
        </w:r>
        <w:r w:rsidR="000720CB">
          <w:rPr>
            <w:noProof/>
            <w:webHidden/>
          </w:rPr>
          <w:t>233</w:t>
        </w:r>
        <w:r w:rsidR="008618F2">
          <w:rPr>
            <w:noProof/>
            <w:webHidden/>
          </w:rPr>
          <w:fldChar w:fldCharType="end"/>
        </w:r>
      </w:hyperlink>
    </w:p>
    <w:p w14:paraId="2C574D29" w14:textId="3BF00C64" w:rsidR="008618F2" w:rsidRDefault="009B5CEC">
      <w:pPr>
        <w:pStyle w:val="TOC3"/>
        <w:rPr>
          <w:rFonts w:asciiTheme="minorHAnsi" w:eastAsiaTheme="minorEastAsia" w:hAnsiTheme="minorHAnsi" w:cstheme="minorBidi"/>
          <w:b w:val="0"/>
          <w:noProof/>
          <w:szCs w:val="22"/>
          <w:lang w:eastAsia="en-GB"/>
        </w:rPr>
      </w:pPr>
      <w:hyperlink w:anchor="_Toc134198110" w:history="1">
        <w:r w:rsidR="008618F2" w:rsidRPr="00DC3933">
          <w:rPr>
            <w:rStyle w:val="Hyperlink"/>
            <w:noProof/>
          </w:rPr>
          <w:t>13.8.4</w:t>
        </w:r>
        <w:r w:rsidR="008618F2">
          <w:rPr>
            <w:rFonts w:asciiTheme="minorHAnsi" w:eastAsiaTheme="minorEastAsia" w:hAnsiTheme="minorHAnsi" w:cstheme="minorBidi"/>
            <w:b w:val="0"/>
            <w:noProof/>
            <w:szCs w:val="22"/>
            <w:lang w:eastAsia="en-GB"/>
          </w:rPr>
          <w:tab/>
        </w:r>
        <w:r w:rsidR="008618F2" w:rsidRPr="00DC3933">
          <w:rPr>
            <w:rStyle w:val="Hyperlink"/>
            <w:noProof/>
          </w:rPr>
          <w:t>Detailing rules</w:t>
        </w:r>
        <w:r w:rsidR="008618F2">
          <w:rPr>
            <w:noProof/>
            <w:webHidden/>
          </w:rPr>
          <w:tab/>
        </w:r>
        <w:r w:rsidR="008618F2">
          <w:rPr>
            <w:noProof/>
            <w:webHidden/>
          </w:rPr>
          <w:fldChar w:fldCharType="begin"/>
        </w:r>
        <w:r w:rsidR="008618F2">
          <w:rPr>
            <w:noProof/>
            <w:webHidden/>
          </w:rPr>
          <w:instrText xml:space="preserve"> PAGEREF _Toc134198110 \h </w:instrText>
        </w:r>
        <w:r w:rsidR="008618F2">
          <w:rPr>
            <w:noProof/>
            <w:webHidden/>
          </w:rPr>
        </w:r>
        <w:r w:rsidR="008618F2">
          <w:rPr>
            <w:noProof/>
            <w:webHidden/>
          </w:rPr>
          <w:fldChar w:fldCharType="separate"/>
        </w:r>
        <w:r w:rsidR="000720CB">
          <w:rPr>
            <w:noProof/>
            <w:webHidden/>
          </w:rPr>
          <w:t>234</w:t>
        </w:r>
        <w:r w:rsidR="008618F2">
          <w:rPr>
            <w:noProof/>
            <w:webHidden/>
          </w:rPr>
          <w:fldChar w:fldCharType="end"/>
        </w:r>
      </w:hyperlink>
    </w:p>
    <w:p w14:paraId="2C37F02B" w14:textId="4FABAB6D" w:rsidR="008618F2" w:rsidRDefault="009B5CEC">
      <w:pPr>
        <w:pStyle w:val="TOC2"/>
        <w:rPr>
          <w:rFonts w:asciiTheme="minorHAnsi" w:eastAsiaTheme="minorEastAsia" w:hAnsiTheme="minorHAnsi" w:cstheme="minorBidi"/>
          <w:b w:val="0"/>
          <w:noProof/>
          <w:szCs w:val="22"/>
          <w:lang w:eastAsia="en-GB"/>
        </w:rPr>
      </w:pPr>
      <w:hyperlink w:anchor="_Toc134198111" w:history="1">
        <w:r w:rsidR="008618F2" w:rsidRPr="00DC3933">
          <w:rPr>
            <w:rStyle w:val="Hyperlink"/>
            <w:noProof/>
          </w:rPr>
          <w:t>13.9</w:t>
        </w:r>
        <w:r w:rsidR="008618F2">
          <w:rPr>
            <w:rFonts w:asciiTheme="minorHAnsi" w:eastAsiaTheme="minorEastAsia" w:hAnsiTheme="minorHAnsi" w:cstheme="minorBidi"/>
            <w:b w:val="0"/>
            <w:noProof/>
            <w:szCs w:val="22"/>
            <w:lang w:eastAsia="en-GB"/>
          </w:rPr>
          <w:tab/>
        </w:r>
        <w:r w:rsidR="008618F2" w:rsidRPr="00DC3933">
          <w:rPr>
            <w:rStyle w:val="Hyperlink"/>
            <w:noProof/>
          </w:rPr>
          <w:t>Rules for log structures</w:t>
        </w:r>
        <w:r w:rsidR="008618F2">
          <w:rPr>
            <w:noProof/>
            <w:webHidden/>
          </w:rPr>
          <w:tab/>
        </w:r>
        <w:r w:rsidR="008618F2">
          <w:rPr>
            <w:noProof/>
            <w:webHidden/>
          </w:rPr>
          <w:fldChar w:fldCharType="begin"/>
        </w:r>
        <w:r w:rsidR="008618F2">
          <w:rPr>
            <w:noProof/>
            <w:webHidden/>
          </w:rPr>
          <w:instrText xml:space="preserve"> PAGEREF _Toc134198111 \h </w:instrText>
        </w:r>
        <w:r w:rsidR="008618F2">
          <w:rPr>
            <w:noProof/>
            <w:webHidden/>
          </w:rPr>
        </w:r>
        <w:r w:rsidR="008618F2">
          <w:rPr>
            <w:noProof/>
            <w:webHidden/>
          </w:rPr>
          <w:fldChar w:fldCharType="separate"/>
        </w:r>
        <w:r w:rsidR="000720CB">
          <w:rPr>
            <w:noProof/>
            <w:webHidden/>
          </w:rPr>
          <w:t>234</w:t>
        </w:r>
        <w:r w:rsidR="008618F2">
          <w:rPr>
            <w:noProof/>
            <w:webHidden/>
          </w:rPr>
          <w:fldChar w:fldCharType="end"/>
        </w:r>
      </w:hyperlink>
    </w:p>
    <w:p w14:paraId="79056607" w14:textId="29D3E633" w:rsidR="008618F2" w:rsidRDefault="009B5CEC">
      <w:pPr>
        <w:pStyle w:val="TOC3"/>
        <w:rPr>
          <w:rFonts w:asciiTheme="minorHAnsi" w:eastAsiaTheme="minorEastAsia" w:hAnsiTheme="minorHAnsi" w:cstheme="minorBidi"/>
          <w:b w:val="0"/>
          <w:noProof/>
          <w:szCs w:val="22"/>
          <w:lang w:eastAsia="en-GB"/>
        </w:rPr>
      </w:pPr>
      <w:hyperlink w:anchor="_Toc134198112" w:history="1">
        <w:r w:rsidR="008618F2" w:rsidRPr="00DC3933">
          <w:rPr>
            <w:rStyle w:val="Hyperlink"/>
            <w:noProof/>
          </w:rPr>
          <w:t>13.9.1</w:t>
        </w:r>
        <w:r w:rsidR="008618F2">
          <w:rPr>
            <w:rFonts w:asciiTheme="minorHAnsi" w:eastAsiaTheme="minorEastAsia" w:hAnsiTheme="minorHAnsi" w:cstheme="minorBidi"/>
            <w:b w:val="0"/>
            <w:noProof/>
            <w:szCs w:val="22"/>
            <w:lang w:eastAsia="en-GB"/>
          </w:rPr>
          <w:tab/>
        </w:r>
        <w:r w:rsidR="008618F2" w:rsidRPr="00DC3933">
          <w:rPr>
            <w:rStyle w:val="Hyperlink"/>
            <w:noProof/>
          </w:rPr>
          <w:t>General rules</w:t>
        </w:r>
        <w:r w:rsidR="008618F2">
          <w:rPr>
            <w:noProof/>
            <w:webHidden/>
          </w:rPr>
          <w:tab/>
        </w:r>
        <w:r w:rsidR="008618F2">
          <w:rPr>
            <w:noProof/>
            <w:webHidden/>
          </w:rPr>
          <w:fldChar w:fldCharType="begin"/>
        </w:r>
        <w:r w:rsidR="008618F2">
          <w:rPr>
            <w:noProof/>
            <w:webHidden/>
          </w:rPr>
          <w:instrText xml:space="preserve"> PAGEREF _Toc134198112 \h </w:instrText>
        </w:r>
        <w:r w:rsidR="008618F2">
          <w:rPr>
            <w:noProof/>
            <w:webHidden/>
          </w:rPr>
        </w:r>
        <w:r w:rsidR="008618F2">
          <w:rPr>
            <w:noProof/>
            <w:webHidden/>
          </w:rPr>
          <w:fldChar w:fldCharType="separate"/>
        </w:r>
        <w:r w:rsidR="000720CB">
          <w:rPr>
            <w:noProof/>
            <w:webHidden/>
          </w:rPr>
          <w:t>234</w:t>
        </w:r>
        <w:r w:rsidR="008618F2">
          <w:rPr>
            <w:noProof/>
            <w:webHidden/>
          </w:rPr>
          <w:fldChar w:fldCharType="end"/>
        </w:r>
      </w:hyperlink>
    </w:p>
    <w:p w14:paraId="5F281486" w14:textId="5D32120B" w:rsidR="008618F2" w:rsidRDefault="009B5CEC">
      <w:pPr>
        <w:pStyle w:val="TOC3"/>
        <w:rPr>
          <w:rFonts w:asciiTheme="minorHAnsi" w:eastAsiaTheme="minorEastAsia" w:hAnsiTheme="minorHAnsi" w:cstheme="minorBidi"/>
          <w:b w:val="0"/>
          <w:noProof/>
          <w:szCs w:val="22"/>
          <w:lang w:eastAsia="en-GB"/>
        </w:rPr>
      </w:pPr>
      <w:hyperlink w:anchor="_Toc134198113" w:history="1">
        <w:r w:rsidR="008618F2" w:rsidRPr="00DC3933">
          <w:rPr>
            <w:rStyle w:val="Hyperlink"/>
            <w:noProof/>
          </w:rPr>
          <w:t>13.9.2</w:t>
        </w:r>
        <w:r w:rsidR="008618F2">
          <w:rPr>
            <w:rFonts w:asciiTheme="minorHAnsi" w:eastAsiaTheme="minorEastAsia" w:hAnsiTheme="minorHAnsi" w:cstheme="minorBidi"/>
            <w:b w:val="0"/>
            <w:noProof/>
            <w:szCs w:val="22"/>
            <w:lang w:eastAsia="en-GB"/>
          </w:rPr>
          <w:tab/>
        </w:r>
        <w:r w:rsidR="008618F2" w:rsidRPr="00DC3933">
          <w:rPr>
            <w:rStyle w:val="Hyperlink"/>
            <w:noProof/>
          </w:rPr>
          <w:t>Verification in DC2</w:t>
        </w:r>
        <w:r w:rsidR="008618F2">
          <w:rPr>
            <w:noProof/>
            <w:webHidden/>
          </w:rPr>
          <w:tab/>
        </w:r>
        <w:r w:rsidR="008618F2">
          <w:rPr>
            <w:noProof/>
            <w:webHidden/>
          </w:rPr>
          <w:fldChar w:fldCharType="begin"/>
        </w:r>
        <w:r w:rsidR="008618F2">
          <w:rPr>
            <w:noProof/>
            <w:webHidden/>
          </w:rPr>
          <w:instrText xml:space="preserve"> PAGEREF _Toc134198113 \h </w:instrText>
        </w:r>
        <w:r w:rsidR="008618F2">
          <w:rPr>
            <w:noProof/>
            <w:webHidden/>
          </w:rPr>
        </w:r>
        <w:r w:rsidR="008618F2">
          <w:rPr>
            <w:noProof/>
            <w:webHidden/>
          </w:rPr>
          <w:fldChar w:fldCharType="separate"/>
        </w:r>
        <w:r w:rsidR="000720CB">
          <w:rPr>
            <w:noProof/>
            <w:webHidden/>
          </w:rPr>
          <w:t>236</w:t>
        </w:r>
        <w:r w:rsidR="008618F2">
          <w:rPr>
            <w:noProof/>
            <w:webHidden/>
          </w:rPr>
          <w:fldChar w:fldCharType="end"/>
        </w:r>
      </w:hyperlink>
    </w:p>
    <w:p w14:paraId="1FA84DCB" w14:textId="2C857322" w:rsidR="008618F2" w:rsidRDefault="009B5CEC">
      <w:pPr>
        <w:pStyle w:val="TOC3"/>
        <w:rPr>
          <w:rFonts w:asciiTheme="minorHAnsi" w:eastAsiaTheme="minorEastAsia" w:hAnsiTheme="minorHAnsi" w:cstheme="minorBidi"/>
          <w:b w:val="0"/>
          <w:noProof/>
          <w:szCs w:val="22"/>
          <w:lang w:eastAsia="en-GB"/>
        </w:rPr>
      </w:pPr>
      <w:hyperlink w:anchor="_Toc134198114" w:history="1">
        <w:r w:rsidR="008618F2" w:rsidRPr="00DC3933">
          <w:rPr>
            <w:rStyle w:val="Hyperlink"/>
            <w:noProof/>
          </w:rPr>
          <w:t>13.9.3</w:t>
        </w:r>
        <w:r w:rsidR="008618F2">
          <w:rPr>
            <w:rFonts w:asciiTheme="minorHAnsi" w:eastAsiaTheme="minorEastAsia" w:hAnsiTheme="minorHAnsi" w:cstheme="minorBidi"/>
            <w:b w:val="0"/>
            <w:noProof/>
            <w:szCs w:val="22"/>
            <w:lang w:eastAsia="en-GB"/>
          </w:rPr>
          <w:tab/>
        </w:r>
        <w:r w:rsidR="008618F2" w:rsidRPr="00DC3933">
          <w:rPr>
            <w:rStyle w:val="Hyperlink"/>
            <w:noProof/>
          </w:rPr>
          <w:t>Detailing rules</w:t>
        </w:r>
        <w:r w:rsidR="008618F2">
          <w:rPr>
            <w:noProof/>
            <w:webHidden/>
          </w:rPr>
          <w:tab/>
        </w:r>
        <w:r w:rsidR="008618F2">
          <w:rPr>
            <w:noProof/>
            <w:webHidden/>
          </w:rPr>
          <w:fldChar w:fldCharType="begin"/>
        </w:r>
        <w:r w:rsidR="008618F2">
          <w:rPr>
            <w:noProof/>
            <w:webHidden/>
          </w:rPr>
          <w:instrText xml:space="preserve"> PAGEREF _Toc134198114 \h </w:instrText>
        </w:r>
        <w:r w:rsidR="008618F2">
          <w:rPr>
            <w:noProof/>
            <w:webHidden/>
          </w:rPr>
        </w:r>
        <w:r w:rsidR="008618F2">
          <w:rPr>
            <w:noProof/>
            <w:webHidden/>
          </w:rPr>
          <w:fldChar w:fldCharType="separate"/>
        </w:r>
        <w:r w:rsidR="000720CB">
          <w:rPr>
            <w:noProof/>
            <w:webHidden/>
          </w:rPr>
          <w:t>236</w:t>
        </w:r>
        <w:r w:rsidR="008618F2">
          <w:rPr>
            <w:noProof/>
            <w:webHidden/>
          </w:rPr>
          <w:fldChar w:fldCharType="end"/>
        </w:r>
      </w:hyperlink>
    </w:p>
    <w:p w14:paraId="16BD3AEB" w14:textId="60A6B051" w:rsidR="008618F2" w:rsidRDefault="009B5CEC">
      <w:pPr>
        <w:pStyle w:val="TOC2"/>
        <w:rPr>
          <w:rFonts w:asciiTheme="minorHAnsi" w:eastAsiaTheme="minorEastAsia" w:hAnsiTheme="minorHAnsi" w:cstheme="minorBidi"/>
          <w:b w:val="0"/>
          <w:noProof/>
          <w:szCs w:val="22"/>
          <w:lang w:eastAsia="en-GB"/>
        </w:rPr>
      </w:pPr>
      <w:hyperlink w:anchor="_Toc134198115" w:history="1">
        <w:r w:rsidR="008618F2" w:rsidRPr="00DC3933">
          <w:rPr>
            <w:rStyle w:val="Hyperlink"/>
            <w:noProof/>
          </w:rPr>
          <w:t>13.10</w:t>
        </w:r>
        <w:r w:rsidR="008618F2">
          <w:rPr>
            <w:rFonts w:asciiTheme="minorHAnsi" w:eastAsiaTheme="minorEastAsia" w:hAnsiTheme="minorHAnsi" w:cstheme="minorBidi"/>
            <w:b w:val="0"/>
            <w:noProof/>
            <w:szCs w:val="22"/>
            <w:lang w:eastAsia="en-GB"/>
          </w:rPr>
          <w:tab/>
        </w:r>
        <w:r w:rsidR="008618F2" w:rsidRPr="00DC3933">
          <w:rPr>
            <w:rStyle w:val="Hyperlink"/>
            <w:noProof/>
          </w:rPr>
          <w:t>Rules for moment-resisting frames</w:t>
        </w:r>
        <w:r w:rsidR="008618F2">
          <w:rPr>
            <w:noProof/>
            <w:webHidden/>
          </w:rPr>
          <w:tab/>
        </w:r>
        <w:r w:rsidR="008618F2">
          <w:rPr>
            <w:noProof/>
            <w:webHidden/>
          </w:rPr>
          <w:fldChar w:fldCharType="begin"/>
        </w:r>
        <w:r w:rsidR="008618F2">
          <w:rPr>
            <w:noProof/>
            <w:webHidden/>
          </w:rPr>
          <w:instrText xml:space="preserve"> PAGEREF _Toc134198115 \h </w:instrText>
        </w:r>
        <w:r w:rsidR="008618F2">
          <w:rPr>
            <w:noProof/>
            <w:webHidden/>
          </w:rPr>
        </w:r>
        <w:r w:rsidR="008618F2">
          <w:rPr>
            <w:noProof/>
            <w:webHidden/>
          </w:rPr>
          <w:fldChar w:fldCharType="separate"/>
        </w:r>
        <w:r w:rsidR="000720CB">
          <w:rPr>
            <w:noProof/>
            <w:webHidden/>
          </w:rPr>
          <w:t>237</w:t>
        </w:r>
        <w:r w:rsidR="008618F2">
          <w:rPr>
            <w:noProof/>
            <w:webHidden/>
          </w:rPr>
          <w:fldChar w:fldCharType="end"/>
        </w:r>
      </w:hyperlink>
    </w:p>
    <w:p w14:paraId="7489F880" w14:textId="7034E593" w:rsidR="008618F2" w:rsidRDefault="009B5CEC">
      <w:pPr>
        <w:pStyle w:val="TOC3"/>
        <w:tabs>
          <w:tab w:val="left" w:pos="1100"/>
        </w:tabs>
        <w:rPr>
          <w:rFonts w:asciiTheme="minorHAnsi" w:eastAsiaTheme="minorEastAsia" w:hAnsiTheme="minorHAnsi" w:cstheme="minorBidi"/>
          <w:b w:val="0"/>
          <w:noProof/>
          <w:szCs w:val="22"/>
          <w:lang w:eastAsia="en-GB"/>
        </w:rPr>
      </w:pPr>
      <w:hyperlink w:anchor="_Toc134198116" w:history="1">
        <w:r w:rsidR="008618F2" w:rsidRPr="00DC3933">
          <w:rPr>
            <w:rStyle w:val="Hyperlink"/>
            <w:noProof/>
          </w:rPr>
          <w:t>13.10.1</w:t>
        </w:r>
        <w:r w:rsidR="008618F2">
          <w:rPr>
            <w:rFonts w:asciiTheme="minorHAnsi" w:eastAsiaTheme="minorEastAsia" w:hAnsiTheme="minorHAnsi" w:cstheme="minorBidi"/>
            <w:b w:val="0"/>
            <w:noProof/>
            <w:szCs w:val="22"/>
            <w:lang w:eastAsia="en-GB"/>
          </w:rPr>
          <w:tab/>
        </w:r>
        <w:r w:rsidR="008618F2" w:rsidRPr="00DC3933">
          <w:rPr>
            <w:rStyle w:val="Hyperlink"/>
            <w:noProof/>
          </w:rPr>
          <w:t>General rules</w:t>
        </w:r>
        <w:r w:rsidR="008618F2">
          <w:rPr>
            <w:noProof/>
            <w:webHidden/>
          </w:rPr>
          <w:tab/>
        </w:r>
        <w:r w:rsidR="008618F2">
          <w:rPr>
            <w:noProof/>
            <w:webHidden/>
          </w:rPr>
          <w:fldChar w:fldCharType="begin"/>
        </w:r>
        <w:r w:rsidR="008618F2">
          <w:rPr>
            <w:noProof/>
            <w:webHidden/>
          </w:rPr>
          <w:instrText xml:space="preserve"> PAGEREF _Toc134198116 \h </w:instrText>
        </w:r>
        <w:r w:rsidR="008618F2">
          <w:rPr>
            <w:noProof/>
            <w:webHidden/>
          </w:rPr>
        </w:r>
        <w:r w:rsidR="008618F2">
          <w:rPr>
            <w:noProof/>
            <w:webHidden/>
          </w:rPr>
          <w:fldChar w:fldCharType="separate"/>
        </w:r>
        <w:r w:rsidR="000720CB">
          <w:rPr>
            <w:noProof/>
            <w:webHidden/>
          </w:rPr>
          <w:t>237</w:t>
        </w:r>
        <w:r w:rsidR="008618F2">
          <w:rPr>
            <w:noProof/>
            <w:webHidden/>
          </w:rPr>
          <w:fldChar w:fldCharType="end"/>
        </w:r>
      </w:hyperlink>
    </w:p>
    <w:p w14:paraId="6C0F2A01" w14:textId="27811219" w:rsidR="008618F2" w:rsidRDefault="009B5CEC">
      <w:pPr>
        <w:pStyle w:val="TOC3"/>
        <w:tabs>
          <w:tab w:val="left" w:pos="1100"/>
        </w:tabs>
        <w:rPr>
          <w:rFonts w:asciiTheme="minorHAnsi" w:eastAsiaTheme="minorEastAsia" w:hAnsiTheme="minorHAnsi" w:cstheme="minorBidi"/>
          <w:b w:val="0"/>
          <w:noProof/>
          <w:szCs w:val="22"/>
          <w:lang w:eastAsia="en-GB"/>
        </w:rPr>
      </w:pPr>
      <w:hyperlink w:anchor="_Toc134198117" w:history="1">
        <w:r w:rsidR="008618F2" w:rsidRPr="00DC3933">
          <w:rPr>
            <w:rStyle w:val="Hyperlink"/>
            <w:noProof/>
          </w:rPr>
          <w:t>13.10.2</w:t>
        </w:r>
        <w:r w:rsidR="008618F2">
          <w:rPr>
            <w:rFonts w:asciiTheme="minorHAnsi" w:eastAsiaTheme="minorEastAsia" w:hAnsiTheme="minorHAnsi" w:cstheme="minorBidi"/>
            <w:b w:val="0"/>
            <w:noProof/>
            <w:szCs w:val="22"/>
            <w:lang w:eastAsia="en-GB"/>
          </w:rPr>
          <w:tab/>
        </w:r>
        <w:r w:rsidR="008618F2" w:rsidRPr="00DC3933">
          <w:rPr>
            <w:rStyle w:val="Hyperlink"/>
            <w:noProof/>
          </w:rPr>
          <w:t>Verification in DC2</w:t>
        </w:r>
        <w:r w:rsidR="008618F2">
          <w:rPr>
            <w:noProof/>
            <w:webHidden/>
          </w:rPr>
          <w:tab/>
        </w:r>
        <w:r w:rsidR="008618F2">
          <w:rPr>
            <w:noProof/>
            <w:webHidden/>
          </w:rPr>
          <w:fldChar w:fldCharType="begin"/>
        </w:r>
        <w:r w:rsidR="008618F2">
          <w:rPr>
            <w:noProof/>
            <w:webHidden/>
          </w:rPr>
          <w:instrText xml:space="preserve"> PAGEREF _Toc134198117 \h </w:instrText>
        </w:r>
        <w:r w:rsidR="008618F2">
          <w:rPr>
            <w:noProof/>
            <w:webHidden/>
          </w:rPr>
        </w:r>
        <w:r w:rsidR="008618F2">
          <w:rPr>
            <w:noProof/>
            <w:webHidden/>
          </w:rPr>
          <w:fldChar w:fldCharType="separate"/>
        </w:r>
        <w:r w:rsidR="000720CB">
          <w:rPr>
            <w:noProof/>
            <w:webHidden/>
          </w:rPr>
          <w:t>237</w:t>
        </w:r>
        <w:r w:rsidR="008618F2">
          <w:rPr>
            <w:noProof/>
            <w:webHidden/>
          </w:rPr>
          <w:fldChar w:fldCharType="end"/>
        </w:r>
      </w:hyperlink>
    </w:p>
    <w:p w14:paraId="1CCB4A99" w14:textId="20075056" w:rsidR="008618F2" w:rsidRDefault="009B5CEC">
      <w:pPr>
        <w:pStyle w:val="TOC3"/>
        <w:tabs>
          <w:tab w:val="left" w:pos="1100"/>
        </w:tabs>
        <w:rPr>
          <w:rFonts w:asciiTheme="minorHAnsi" w:eastAsiaTheme="minorEastAsia" w:hAnsiTheme="minorHAnsi" w:cstheme="minorBidi"/>
          <w:b w:val="0"/>
          <w:noProof/>
          <w:szCs w:val="22"/>
          <w:lang w:eastAsia="en-GB"/>
        </w:rPr>
      </w:pPr>
      <w:hyperlink w:anchor="_Toc134198118" w:history="1">
        <w:r w:rsidR="008618F2" w:rsidRPr="00DC3933">
          <w:rPr>
            <w:rStyle w:val="Hyperlink"/>
            <w:noProof/>
          </w:rPr>
          <w:t>13.10.3</w:t>
        </w:r>
        <w:r w:rsidR="008618F2">
          <w:rPr>
            <w:rFonts w:asciiTheme="minorHAnsi" w:eastAsiaTheme="minorEastAsia" w:hAnsiTheme="minorHAnsi" w:cstheme="minorBidi"/>
            <w:b w:val="0"/>
            <w:noProof/>
            <w:szCs w:val="22"/>
            <w:lang w:eastAsia="en-GB"/>
          </w:rPr>
          <w:tab/>
        </w:r>
        <w:r w:rsidR="008618F2" w:rsidRPr="00DC3933">
          <w:rPr>
            <w:rStyle w:val="Hyperlink"/>
            <w:noProof/>
          </w:rPr>
          <w:t>Verification in DC3</w:t>
        </w:r>
        <w:r w:rsidR="008618F2">
          <w:rPr>
            <w:noProof/>
            <w:webHidden/>
          </w:rPr>
          <w:tab/>
        </w:r>
        <w:r w:rsidR="008618F2">
          <w:rPr>
            <w:noProof/>
            <w:webHidden/>
          </w:rPr>
          <w:fldChar w:fldCharType="begin"/>
        </w:r>
        <w:r w:rsidR="008618F2">
          <w:rPr>
            <w:noProof/>
            <w:webHidden/>
          </w:rPr>
          <w:instrText xml:space="preserve"> PAGEREF _Toc134198118 \h </w:instrText>
        </w:r>
        <w:r w:rsidR="008618F2">
          <w:rPr>
            <w:noProof/>
            <w:webHidden/>
          </w:rPr>
        </w:r>
        <w:r w:rsidR="008618F2">
          <w:rPr>
            <w:noProof/>
            <w:webHidden/>
          </w:rPr>
          <w:fldChar w:fldCharType="separate"/>
        </w:r>
        <w:r w:rsidR="000720CB">
          <w:rPr>
            <w:noProof/>
            <w:webHidden/>
          </w:rPr>
          <w:t>238</w:t>
        </w:r>
        <w:r w:rsidR="008618F2">
          <w:rPr>
            <w:noProof/>
            <w:webHidden/>
          </w:rPr>
          <w:fldChar w:fldCharType="end"/>
        </w:r>
      </w:hyperlink>
    </w:p>
    <w:p w14:paraId="3DF98827" w14:textId="7D5FFD2C" w:rsidR="008618F2" w:rsidRDefault="009B5CEC">
      <w:pPr>
        <w:pStyle w:val="TOC3"/>
        <w:tabs>
          <w:tab w:val="left" w:pos="1100"/>
        </w:tabs>
        <w:rPr>
          <w:rFonts w:asciiTheme="minorHAnsi" w:eastAsiaTheme="minorEastAsia" w:hAnsiTheme="minorHAnsi" w:cstheme="minorBidi"/>
          <w:b w:val="0"/>
          <w:noProof/>
          <w:szCs w:val="22"/>
          <w:lang w:eastAsia="en-GB"/>
        </w:rPr>
      </w:pPr>
      <w:hyperlink w:anchor="_Toc134198119" w:history="1">
        <w:r w:rsidR="008618F2" w:rsidRPr="00DC3933">
          <w:rPr>
            <w:rStyle w:val="Hyperlink"/>
            <w:noProof/>
          </w:rPr>
          <w:t>13.10.4</w:t>
        </w:r>
        <w:r w:rsidR="008618F2">
          <w:rPr>
            <w:rFonts w:asciiTheme="minorHAnsi" w:eastAsiaTheme="minorEastAsia" w:hAnsiTheme="minorHAnsi" w:cstheme="minorBidi"/>
            <w:b w:val="0"/>
            <w:noProof/>
            <w:szCs w:val="22"/>
            <w:lang w:eastAsia="en-GB"/>
          </w:rPr>
          <w:tab/>
        </w:r>
        <w:r w:rsidR="008618F2" w:rsidRPr="00DC3933">
          <w:rPr>
            <w:rStyle w:val="Hyperlink"/>
            <w:noProof/>
          </w:rPr>
          <w:t>Detailing rules</w:t>
        </w:r>
        <w:r w:rsidR="008618F2">
          <w:rPr>
            <w:noProof/>
            <w:webHidden/>
          </w:rPr>
          <w:tab/>
        </w:r>
        <w:r w:rsidR="008618F2">
          <w:rPr>
            <w:noProof/>
            <w:webHidden/>
          </w:rPr>
          <w:fldChar w:fldCharType="begin"/>
        </w:r>
        <w:r w:rsidR="008618F2">
          <w:rPr>
            <w:noProof/>
            <w:webHidden/>
          </w:rPr>
          <w:instrText xml:space="preserve"> PAGEREF _Toc134198119 \h </w:instrText>
        </w:r>
        <w:r w:rsidR="008618F2">
          <w:rPr>
            <w:noProof/>
            <w:webHidden/>
          </w:rPr>
        </w:r>
        <w:r w:rsidR="008618F2">
          <w:rPr>
            <w:noProof/>
            <w:webHidden/>
          </w:rPr>
          <w:fldChar w:fldCharType="separate"/>
        </w:r>
        <w:r w:rsidR="000720CB">
          <w:rPr>
            <w:noProof/>
            <w:webHidden/>
          </w:rPr>
          <w:t>238</w:t>
        </w:r>
        <w:r w:rsidR="008618F2">
          <w:rPr>
            <w:noProof/>
            <w:webHidden/>
          </w:rPr>
          <w:fldChar w:fldCharType="end"/>
        </w:r>
      </w:hyperlink>
    </w:p>
    <w:p w14:paraId="28E91F54" w14:textId="6C6CEECC" w:rsidR="008618F2" w:rsidRDefault="009B5CEC">
      <w:pPr>
        <w:pStyle w:val="TOC2"/>
        <w:rPr>
          <w:rFonts w:asciiTheme="minorHAnsi" w:eastAsiaTheme="minorEastAsia" w:hAnsiTheme="minorHAnsi" w:cstheme="minorBidi"/>
          <w:b w:val="0"/>
          <w:noProof/>
          <w:szCs w:val="22"/>
          <w:lang w:eastAsia="en-GB"/>
        </w:rPr>
      </w:pPr>
      <w:hyperlink w:anchor="_Toc134198120" w:history="1">
        <w:r w:rsidR="008618F2" w:rsidRPr="00DC3933">
          <w:rPr>
            <w:rStyle w:val="Hyperlink"/>
            <w:noProof/>
          </w:rPr>
          <w:t>13.11</w:t>
        </w:r>
        <w:r w:rsidR="008618F2">
          <w:rPr>
            <w:rFonts w:asciiTheme="minorHAnsi" w:eastAsiaTheme="minorEastAsia" w:hAnsiTheme="minorHAnsi" w:cstheme="minorBidi"/>
            <w:b w:val="0"/>
            <w:noProof/>
            <w:szCs w:val="22"/>
            <w:lang w:eastAsia="en-GB"/>
          </w:rPr>
          <w:tab/>
        </w:r>
        <w:r w:rsidR="008618F2" w:rsidRPr="00DC3933">
          <w:rPr>
            <w:rStyle w:val="Hyperlink"/>
            <w:noProof/>
          </w:rPr>
          <w:t>Rules for braced frame structures with dowel-type connections</w:t>
        </w:r>
        <w:r w:rsidR="008618F2">
          <w:rPr>
            <w:noProof/>
            <w:webHidden/>
          </w:rPr>
          <w:tab/>
        </w:r>
        <w:r w:rsidR="008618F2">
          <w:rPr>
            <w:noProof/>
            <w:webHidden/>
          </w:rPr>
          <w:fldChar w:fldCharType="begin"/>
        </w:r>
        <w:r w:rsidR="008618F2">
          <w:rPr>
            <w:noProof/>
            <w:webHidden/>
          </w:rPr>
          <w:instrText xml:space="preserve"> PAGEREF _Toc134198120 \h </w:instrText>
        </w:r>
        <w:r w:rsidR="008618F2">
          <w:rPr>
            <w:noProof/>
            <w:webHidden/>
          </w:rPr>
        </w:r>
        <w:r w:rsidR="008618F2">
          <w:rPr>
            <w:noProof/>
            <w:webHidden/>
          </w:rPr>
          <w:fldChar w:fldCharType="separate"/>
        </w:r>
        <w:r w:rsidR="000720CB">
          <w:rPr>
            <w:noProof/>
            <w:webHidden/>
          </w:rPr>
          <w:t>239</w:t>
        </w:r>
        <w:r w:rsidR="008618F2">
          <w:rPr>
            <w:noProof/>
            <w:webHidden/>
          </w:rPr>
          <w:fldChar w:fldCharType="end"/>
        </w:r>
      </w:hyperlink>
    </w:p>
    <w:p w14:paraId="1263A738" w14:textId="0FF860D8" w:rsidR="008618F2" w:rsidRDefault="009B5CEC">
      <w:pPr>
        <w:pStyle w:val="TOC3"/>
        <w:tabs>
          <w:tab w:val="left" w:pos="1100"/>
        </w:tabs>
        <w:rPr>
          <w:rFonts w:asciiTheme="minorHAnsi" w:eastAsiaTheme="minorEastAsia" w:hAnsiTheme="minorHAnsi" w:cstheme="minorBidi"/>
          <w:b w:val="0"/>
          <w:noProof/>
          <w:szCs w:val="22"/>
          <w:lang w:eastAsia="en-GB"/>
        </w:rPr>
      </w:pPr>
      <w:hyperlink w:anchor="_Toc134198121" w:history="1">
        <w:r w:rsidR="008618F2" w:rsidRPr="00DC3933">
          <w:rPr>
            <w:rStyle w:val="Hyperlink"/>
            <w:noProof/>
          </w:rPr>
          <w:t>13.11.1</w:t>
        </w:r>
        <w:r w:rsidR="008618F2">
          <w:rPr>
            <w:rFonts w:asciiTheme="minorHAnsi" w:eastAsiaTheme="minorEastAsia" w:hAnsiTheme="minorHAnsi" w:cstheme="minorBidi"/>
            <w:b w:val="0"/>
            <w:noProof/>
            <w:szCs w:val="22"/>
            <w:lang w:eastAsia="en-GB"/>
          </w:rPr>
          <w:tab/>
        </w:r>
        <w:r w:rsidR="008618F2" w:rsidRPr="00DC3933">
          <w:rPr>
            <w:rStyle w:val="Hyperlink"/>
            <w:noProof/>
          </w:rPr>
          <w:t>General rules</w:t>
        </w:r>
        <w:r w:rsidR="008618F2">
          <w:rPr>
            <w:noProof/>
            <w:webHidden/>
          </w:rPr>
          <w:tab/>
        </w:r>
        <w:r w:rsidR="008618F2">
          <w:rPr>
            <w:noProof/>
            <w:webHidden/>
          </w:rPr>
          <w:fldChar w:fldCharType="begin"/>
        </w:r>
        <w:r w:rsidR="008618F2">
          <w:rPr>
            <w:noProof/>
            <w:webHidden/>
          </w:rPr>
          <w:instrText xml:space="preserve"> PAGEREF _Toc134198121 \h </w:instrText>
        </w:r>
        <w:r w:rsidR="008618F2">
          <w:rPr>
            <w:noProof/>
            <w:webHidden/>
          </w:rPr>
        </w:r>
        <w:r w:rsidR="008618F2">
          <w:rPr>
            <w:noProof/>
            <w:webHidden/>
          </w:rPr>
          <w:fldChar w:fldCharType="separate"/>
        </w:r>
        <w:r w:rsidR="000720CB">
          <w:rPr>
            <w:noProof/>
            <w:webHidden/>
          </w:rPr>
          <w:t>239</w:t>
        </w:r>
        <w:r w:rsidR="008618F2">
          <w:rPr>
            <w:noProof/>
            <w:webHidden/>
          </w:rPr>
          <w:fldChar w:fldCharType="end"/>
        </w:r>
      </w:hyperlink>
    </w:p>
    <w:p w14:paraId="1412D0AF" w14:textId="378E9955" w:rsidR="008618F2" w:rsidRDefault="009B5CEC">
      <w:pPr>
        <w:pStyle w:val="TOC3"/>
        <w:tabs>
          <w:tab w:val="left" w:pos="1100"/>
        </w:tabs>
        <w:rPr>
          <w:rFonts w:asciiTheme="minorHAnsi" w:eastAsiaTheme="minorEastAsia" w:hAnsiTheme="minorHAnsi" w:cstheme="minorBidi"/>
          <w:b w:val="0"/>
          <w:noProof/>
          <w:szCs w:val="22"/>
          <w:lang w:eastAsia="en-GB"/>
        </w:rPr>
      </w:pPr>
      <w:hyperlink w:anchor="_Toc134198122" w:history="1">
        <w:r w:rsidR="008618F2" w:rsidRPr="00DC3933">
          <w:rPr>
            <w:rStyle w:val="Hyperlink"/>
            <w:noProof/>
          </w:rPr>
          <w:t>13.11.2</w:t>
        </w:r>
        <w:r w:rsidR="008618F2">
          <w:rPr>
            <w:rFonts w:asciiTheme="minorHAnsi" w:eastAsiaTheme="minorEastAsia" w:hAnsiTheme="minorHAnsi" w:cstheme="minorBidi"/>
            <w:b w:val="0"/>
            <w:noProof/>
            <w:szCs w:val="22"/>
            <w:lang w:eastAsia="en-GB"/>
          </w:rPr>
          <w:tab/>
        </w:r>
        <w:r w:rsidR="008618F2" w:rsidRPr="00DC3933">
          <w:rPr>
            <w:rStyle w:val="Hyperlink"/>
            <w:noProof/>
          </w:rPr>
          <w:t>Verification in DC2</w:t>
        </w:r>
        <w:r w:rsidR="008618F2">
          <w:rPr>
            <w:noProof/>
            <w:webHidden/>
          </w:rPr>
          <w:tab/>
        </w:r>
        <w:r w:rsidR="008618F2">
          <w:rPr>
            <w:noProof/>
            <w:webHidden/>
          </w:rPr>
          <w:fldChar w:fldCharType="begin"/>
        </w:r>
        <w:r w:rsidR="008618F2">
          <w:rPr>
            <w:noProof/>
            <w:webHidden/>
          </w:rPr>
          <w:instrText xml:space="preserve"> PAGEREF _Toc134198122 \h </w:instrText>
        </w:r>
        <w:r w:rsidR="008618F2">
          <w:rPr>
            <w:noProof/>
            <w:webHidden/>
          </w:rPr>
        </w:r>
        <w:r w:rsidR="008618F2">
          <w:rPr>
            <w:noProof/>
            <w:webHidden/>
          </w:rPr>
          <w:fldChar w:fldCharType="separate"/>
        </w:r>
        <w:r w:rsidR="000720CB">
          <w:rPr>
            <w:noProof/>
            <w:webHidden/>
          </w:rPr>
          <w:t>240</w:t>
        </w:r>
        <w:r w:rsidR="008618F2">
          <w:rPr>
            <w:noProof/>
            <w:webHidden/>
          </w:rPr>
          <w:fldChar w:fldCharType="end"/>
        </w:r>
      </w:hyperlink>
    </w:p>
    <w:p w14:paraId="30DC8C09" w14:textId="4B07F602" w:rsidR="008618F2" w:rsidRDefault="009B5CEC">
      <w:pPr>
        <w:pStyle w:val="TOC3"/>
        <w:tabs>
          <w:tab w:val="left" w:pos="1100"/>
        </w:tabs>
        <w:rPr>
          <w:rFonts w:asciiTheme="minorHAnsi" w:eastAsiaTheme="minorEastAsia" w:hAnsiTheme="minorHAnsi" w:cstheme="minorBidi"/>
          <w:b w:val="0"/>
          <w:noProof/>
          <w:szCs w:val="22"/>
          <w:lang w:eastAsia="en-GB"/>
        </w:rPr>
      </w:pPr>
      <w:hyperlink w:anchor="_Toc134198123" w:history="1">
        <w:r w:rsidR="008618F2" w:rsidRPr="00DC3933">
          <w:rPr>
            <w:rStyle w:val="Hyperlink"/>
            <w:noProof/>
          </w:rPr>
          <w:t>13.11.3</w:t>
        </w:r>
        <w:r w:rsidR="008618F2">
          <w:rPr>
            <w:rFonts w:asciiTheme="minorHAnsi" w:eastAsiaTheme="minorEastAsia" w:hAnsiTheme="minorHAnsi" w:cstheme="minorBidi"/>
            <w:b w:val="0"/>
            <w:noProof/>
            <w:szCs w:val="22"/>
            <w:lang w:eastAsia="en-GB"/>
          </w:rPr>
          <w:tab/>
        </w:r>
        <w:r w:rsidR="008618F2" w:rsidRPr="00DC3933">
          <w:rPr>
            <w:rStyle w:val="Hyperlink"/>
            <w:noProof/>
          </w:rPr>
          <w:t>Detailing rules</w:t>
        </w:r>
        <w:r w:rsidR="008618F2">
          <w:rPr>
            <w:noProof/>
            <w:webHidden/>
          </w:rPr>
          <w:tab/>
        </w:r>
        <w:r w:rsidR="008618F2">
          <w:rPr>
            <w:noProof/>
            <w:webHidden/>
          </w:rPr>
          <w:fldChar w:fldCharType="begin"/>
        </w:r>
        <w:r w:rsidR="008618F2">
          <w:rPr>
            <w:noProof/>
            <w:webHidden/>
          </w:rPr>
          <w:instrText xml:space="preserve"> PAGEREF _Toc134198123 \h </w:instrText>
        </w:r>
        <w:r w:rsidR="008618F2">
          <w:rPr>
            <w:noProof/>
            <w:webHidden/>
          </w:rPr>
        </w:r>
        <w:r w:rsidR="008618F2">
          <w:rPr>
            <w:noProof/>
            <w:webHidden/>
          </w:rPr>
          <w:fldChar w:fldCharType="separate"/>
        </w:r>
        <w:r w:rsidR="000720CB">
          <w:rPr>
            <w:noProof/>
            <w:webHidden/>
          </w:rPr>
          <w:t>240</w:t>
        </w:r>
        <w:r w:rsidR="008618F2">
          <w:rPr>
            <w:noProof/>
            <w:webHidden/>
          </w:rPr>
          <w:fldChar w:fldCharType="end"/>
        </w:r>
      </w:hyperlink>
    </w:p>
    <w:p w14:paraId="17F51388" w14:textId="3870E912" w:rsidR="008618F2" w:rsidRDefault="009B5CEC">
      <w:pPr>
        <w:pStyle w:val="TOC2"/>
        <w:rPr>
          <w:rFonts w:asciiTheme="minorHAnsi" w:eastAsiaTheme="minorEastAsia" w:hAnsiTheme="minorHAnsi" w:cstheme="minorBidi"/>
          <w:b w:val="0"/>
          <w:noProof/>
          <w:szCs w:val="22"/>
          <w:lang w:eastAsia="en-GB"/>
        </w:rPr>
      </w:pPr>
      <w:hyperlink w:anchor="_Toc134198124" w:history="1">
        <w:r w:rsidR="008618F2" w:rsidRPr="00DC3933">
          <w:rPr>
            <w:rStyle w:val="Hyperlink"/>
            <w:noProof/>
          </w:rPr>
          <w:t>13.12</w:t>
        </w:r>
        <w:r w:rsidR="008618F2">
          <w:rPr>
            <w:rFonts w:asciiTheme="minorHAnsi" w:eastAsiaTheme="minorEastAsia" w:hAnsiTheme="minorHAnsi" w:cstheme="minorBidi"/>
            <w:b w:val="0"/>
            <w:noProof/>
            <w:szCs w:val="22"/>
            <w:lang w:eastAsia="en-GB"/>
          </w:rPr>
          <w:tab/>
        </w:r>
        <w:r w:rsidR="008618F2" w:rsidRPr="00DC3933">
          <w:rPr>
            <w:rStyle w:val="Hyperlink"/>
            <w:noProof/>
          </w:rPr>
          <w:t>Rules for vertical cantilever structures</w:t>
        </w:r>
        <w:r w:rsidR="008618F2">
          <w:rPr>
            <w:noProof/>
            <w:webHidden/>
          </w:rPr>
          <w:tab/>
        </w:r>
        <w:r w:rsidR="008618F2">
          <w:rPr>
            <w:noProof/>
            <w:webHidden/>
          </w:rPr>
          <w:fldChar w:fldCharType="begin"/>
        </w:r>
        <w:r w:rsidR="008618F2">
          <w:rPr>
            <w:noProof/>
            <w:webHidden/>
          </w:rPr>
          <w:instrText xml:space="preserve"> PAGEREF _Toc134198124 \h </w:instrText>
        </w:r>
        <w:r w:rsidR="008618F2">
          <w:rPr>
            <w:noProof/>
            <w:webHidden/>
          </w:rPr>
        </w:r>
        <w:r w:rsidR="008618F2">
          <w:rPr>
            <w:noProof/>
            <w:webHidden/>
          </w:rPr>
          <w:fldChar w:fldCharType="separate"/>
        </w:r>
        <w:r w:rsidR="000720CB">
          <w:rPr>
            <w:noProof/>
            <w:webHidden/>
          </w:rPr>
          <w:t>241</w:t>
        </w:r>
        <w:r w:rsidR="008618F2">
          <w:rPr>
            <w:noProof/>
            <w:webHidden/>
          </w:rPr>
          <w:fldChar w:fldCharType="end"/>
        </w:r>
      </w:hyperlink>
    </w:p>
    <w:p w14:paraId="2FFB0F37" w14:textId="40357EEE" w:rsidR="008618F2" w:rsidRDefault="009B5CEC">
      <w:pPr>
        <w:pStyle w:val="TOC3"/>
        <w:tabs>
          <w:tab w:val="left" w:pos="1100"/>
        </w:tabs>
        <w:rPr>
          <w:rFonts w:asciiTheme="minorHAnsi" w:eastAsiaTheme="minorEastAsia" w:hAnsiTheme="minorHAnsi" w:cstheme="minorBidi"/>
          <w:b w:val="0"/>
          <w:noProof/>
          <w:szCs w:val="22"/>
          <w:lang w:eastAsia="en-GB"/>
        </w:rPr>
      </w:pPr>
      <w:hyperlink w:anchor="_Toc134198125" w:history="1">
        <w:r w:rsidR="008618F2" w:rsidRPr="00DC3933">
          <w:rPr>
            <w:rStyle w:val="Hyperlink"/>
            <w:noProof/>
          </w:rPr>
          <w:t>13.12.1</w:t>
        </w:r>
        <w:r w:rsidR="008618F2">
          <w:rPr>
            <w:rFonts w:asciiTheme="minorHAnsi" w:eastAsiaTheme="minorEastAsia" w:hAnsiTheme="minorHAnsi" w:cstheme="minorBidi"/>
            <w:b w:val="0"/>
            <w:noProof/>
            <w:szCs w:val="22"/>
            <w:lang w:eastAsia="en-GB"/>
          </w:rPr>
          <w:tab/>
        </w:r>
        <w:r w:rsidR="008618F2" w:rsidRPr="00DC3933">
          <w:rPr>
            <w:rStyle w:val="Hyperlink"/>
            <w:noProof/>
          </w:rPr>
          <w:t>General rules</w:t>
        </w:r>
        <w:r w:rsidR="008618F2">
          <w:rPr>
            <w:noProof/>
            <w:webHidden/>
          </w:rPr>
          <w:tab/>
        </w:r>
        <w:r w:rsidR="008618F2">
          <w:rPr>
            <w:noProof/>
            <w:webHidden/>
          </w:rPr>
          <w:fldChar w:fldCharType="begin"/>
        </w:r>
        <w:r w:rsidR="008618F2">
          <w:rPr>
            <w:noProof/>
            <w:webHidden/>
          </w:rPr>
          <w:instrText xml:space="preserve"> PAGEREF _Toc134198125 \h </w:instrText>
        </w:r>
        <w:r w:rsidR="008618F2">
          <w:rPr>
            <w:noProof/>
            <w:webHidden/>
          </w:rPr>
        </w:r>
        <w:r w:rsidR="008618F2">
          <w:rPr>
            <w:noProof/>
            <w:webHidden/>
          </w:rPr>
          <w:fldChar w:fldCharType="separate"/>
        </w:r>
        <w:r w:rsidR="000720CB">
          <w:rPr>
            <w:noProof/>
            <w:webHidden/>
          </w:rPr>
          <w:t>241</w:t>
        </w:r>
        <w:r w:rsidR="008618F2">
          <w:rPr>
            <w:noProof/>
            <w:webHidden/>
          </w:rPr>
          <w:fldChar w:fldCharType="end"/>
        </w:r>
      </w:hyperlink>
    </w:p>
    <w:p w14:paraId="4D837D68" w14:textId="19F73668" w:rsidR="008618F2" w:rsidRDefault="009B5CEC">
      <w:pPr>
        <w:pStyle w:val="TOC3"/>
        <w:tabs>
          <w:tab w:val="left" w:pos="1100"/>
        </w:tabs>
        <w:rPr>
          <w:rFonts w:asciiTheme="minorHAnsi" w:eastAsiaTheme="minorEastAsia" w:hAnsiTheme="minorHAnsi" w:cstheme="minorBidi"/>
          <w:b w:val="0"/>
          <w:noProof/>
          <w:szCs w:val="22"/>
          <w:lang w:eastAsia="en-GB"/>
        </w:rPr>
      </w:pPr>
      <w:hyperlink w:anchor="_Toc134198126" w:history="1">
        <w:r w:rsidR="008618F2" w:rsidRPr="00DC3933">
          <w:rPr>
            <w:rStyle w:val="Hyperlink"/>
            <w:noProof/>
          </w:rPr>
          <w:t>13.12.2</w:t>
        </w:r>
        <w:r w:rsidR="008618F2">
          <w:rPr>
            <w:rFonts w:asciiTheme="minorHAnsi" w:eastAsiaTheme="minorEastAsia" w:hAnsiTheme="minorHAnsi" w:cstheme="minorBidi"/>
            <w:b w:val="0"/>
            <w:noProof/>
            <w:szCs w:val="22"/>
            <w:lang w:eastAsia="en-GB"/>
          </w:rPr>
          <w:tab/>
        </w:r>
        <w:r w:rsidR="008618F2" w:rsidRPr="00DC3933">
          <w:rPr>
            <w:rStyle w:val="Hyperlink"/>
            <w:noProof/>
          </w:rPr>
          <w:t>Verification in DC2</w:t>
        </w:r>
        <w:r w:rsidR="008618F2">
          <w:rPr>
            <w:noProof/>
            <w:webHidden/>
          </w:rPr>
          <w:tab/>
        </w:r>
        <w:r w:rsidR="008618F2">
          <w:rPr>
            <w:noProof/>
            <w:webHidden/>
          </w:rPr>
          <w:fldChar w:fldCharType="begin"/>
        </w:r>
        <w:r w:rsidR="008618F2">
          <w:rPr>
            <w:noProof/>
            <w:webHidden/>
          </w:rPr>
          <w:instrText xml:space="preserve"> PAGEREF _Toc134198126 \h </w:instrText>
        </w:r>
        <w:r w:rsidR="008618F2">
          <w:rPr>
            <w:noProof/>
            <w:webHidden/>
          </w:rPr>
        </w:r>
        <w:r w:rsidR="008618F2">
          <w:rPr>
            <w:noProof/>
            <w:webHidden/>
          </w:rPr>
          <w:fldChar w:fldCharType="separate"/>
        </w:r>
        <w:r w:rsidR="000720CB">
          <w:rPr>
            <w:noProof/>
            <w:webHidden/>
          </w:rPr>
          <w:t>241</w:t>
        </w:r>
        <w:r w:rsidR="008618F2">
          <w:rPr>
            <w:noProof/>
            <w:webHidden/>
          </w:rPr>
          <w:fldChar w:fldCharType="end"/>
        </w:r>
      </w:hyperlink>
    </w:p>
    <w:p w14:paraId="486EE31C" w14:textId="57026275" w:rsidR="008618F2" w:rsidRDefault="009B5CEC">
      <w:pPr>
        <w:pStyle w:val="TOC3"/>
        <w:tabs>
          <w:tab w:val="left" w:pos="1100"/>
        </w:tabs>
        <w:rPr>
          <w:rFonts w:asciiTheme="minorHAnsi" w:eastAsiaTheme="minorEastAsia" w:hAnsiTheme="minorHAnsi" w:cstheme="minorBidi"/>
          <w:b w:val="0"/>
          <w:noProof/>
          <w:szCs w:val="22"/>
          <w:lang w:eastAsia="en-GB"/>
        </w:rPr>
      </w:pPr>
      <w:hyperlink w:anchor="_Toc134198127" w:history="1">
        <w:r w:rsidR="008618F2" w:rsidRPr="00DC3933">
          <w:rPr>
            <w:rStyle w:val="Hyperlink"/>
            <w:noProof/>
          </w:rPr>
          <w:t>13.12.3</w:t>
        </w:r>
        <w:r w:rsidR="008618F2">
          <w:rPr>
            <w:rFonts w:asciiTheme="minorHAnsi" w:eastAsiaTheme="minorEastAsia" w:hAnsiTheme="minorHAnsi" w:cstheme="minorBidi"/>
            <w:b w:val="0"/>
            <w:noProof/>
            <w:szCs w:val="22"/>
            <w:lang w:eastAsia="en-GB"/>
          </w:rPr>
          <w:tab/>
        </w:r>
        <w:r w:rsidR="008618F2" w:rsidRPr="00DC3933">
          <w:rPr>
            <w:rStyle w:val="Hyperlink"/>
            <w:noProof/>
          </w:rPr>
          <w:t>Detailing rules</w:t>
        </w:r>
        <w:r w:rsidR="008618F2">
          <w:rPr>
            <w:noProof/>
            <w:webHidden/>
          </w:rPr>
          <w:tab/>
        </w:r>
        <w:r w:rsidR="008618F2">
          <w:rPr>
            <w:noProof/>
            <w:webHidden/>
          </w:rPr>
          <w:fldChar w:fldCharType="begin"/>
        </w:r>
        <w:r w:rsidR="008618F2">
          <w:rPr>
            <w:noProof/>
            <w:webHidden/>
          </w:rPr>
          <w:instrText xml:space="preserve"> PAGEREF _Toc134198127 \h </w:instrText>
        </w:r>
        <w:r w:rsidR="008618F2">
          <w:rPr>
            <w:noProof/>
            <w:webHidden/>
          </w:rPr>
        </w:r>
        <w:r w:rsidR="008618F2">
          <w:rPr>
            <w:noProof/>
            <w:webHidden/>
          </w:rPr>
          <w:fldChar w:fldCharType="separate"/>
        </w:r>
        <w:r w:rsidR="000720CB">
          <w:rPr>
            <w:noProof/>
            <w:webHidden/>
          </w:rPr>
          <w:t>241</w:t>
        </w:r>
        <w:r w:rsidR="008618F2">
          <w:rPr>
            <w:noProof/>
            <w:webHidden/>
          </w:rPr>
          <w:fldChar w:fldCharType="end"/>
        </w:r>
      </w:hyperlink>
    </w:p>
    <w:p w14:paraId="610B8B54" w14:textId="2BBCED0D" w:rsidR="008618F2" w:rsidRDefault="009B5CEC" w:rsidP="008618F2">
      <w:pPr>
        <w:pStyle w:val="TOC2"/>
        <w:jc w:val="left"/>
        <w:rPr>
          <w:rFonts w:asciiTheme="minorHAnsi" w:eastAsiaTheme="minorEastAsia" w:hAnsiTheme="minorHAnsi" w:cstheme="minorBidi"/>
          <w:b w:val="0"/>
          <w:noProof/>
          <w:szCs w:val="22"/>
          <w:lang w:eastAsia="en-GB"/>
        </w:rPr>
      </w:pPr>
      <w:hyperlink w:anchor="_Toc134198128" w:history="1">
        <w:r w:rsidR="008618F2" w:rsidRPr="00DC3933">
          <w:rPr>
            <w:rStyle w:val="Hyperlink"/>
            <w:noProof/>
          </w:rPr>
          <w:t>13.13</w:t>
        </w:r>
        <w:r w:rsidR="008618F2">
          <w:rPr>
            <w:rFonts w:asciiTheme="minorHAnsi" w:eastAsiaTheme="minorEastAsia" w:hAnsiTheme="minorHAnsi" w:cstheme="minorBidi"/>
            <w:b w:val="0"/>
            <w:noProof/>
            <w:szCs w:val="22"/>
            <w:lang w:eastAsia="en-GB"/>
          </w:rPr>
          <w:tab/>
        </w:r>
        <w:r w:rsidR="008618F2" w:rsidRPr="00DC3933">
          <w:rPr>
            <w:rStyle w:val="Hyperlink"/>
            <w:noProof/>
          </w:rPr>
          <w:t>Rules for braced frame structures with carpentry connections and interacting masonry infill</w:t>
        </w:r>
        <w:r w:rsidR="008618F2">
          <w:rPr>
            <w:noProof/>
            <w:webHidden/>
          </w:rPr>
          <w:tab/>
        </w:r>
        <w:r w:rsidR="008618F2">
          <w:rPr>
            <w:noProof/>
            <w:webHidden/>
          </w:rPr>
          <w:fldChar w:fldCharType="begin"/>
        </w:r>
        <w:r w:rsidR="008618F2">
          <w:rPr>
            <w:noProof/>
            <w:webHidden/>
          </w:rPr>
          <w:instrText xml:space="preserve"> PAGEREF _Toc134198128 \h </w:instrText>
        </w:r>
        <w:r w:rsidR="008618F2">
          <w:rPr>
            <w:noProof/>
            <w:webHidden/>
          </w:rPr>
        </w:r>
        <w:r w:rsidR="008618F2">
          <w:rPr>
            <w:noProof/>
            <w:webHidden/>
          </w:rPr>
          <w:fldChar w:fldCharType="separate"/>
        </w:r>
        <w:r w:rsidR="000720CB">
          <w:rPr>
            <w:noProof/>
            <w:webHidden/>
          </w:rPr>
          <w:t>242</w:t>
        </w:r>
        <w:r w:rsidR="008618F2">
          <w:rPr>
            <w:noProof/>
            <w:webHidden/>
          </w:rPr>
          <w:fldChar w:fldCharType="end"/>
        </w:r>
      </w:hyperlink>
    </w:p>
    <w:p w14:paraId="12ECED69" w14:textId="46A0DC6A" w:rsidR="008618F2" w:rsidRDefault="009B5CEC">
      <w:pPr>
        <w:pStyle w:val="TOC3"/>
        <w:tabs>
          <w:tab w:val="left" w:pos="1100"/>
        </w:tabs>
        <w:rPr>
          <w:rFonts w:asciiTheme="minorHAnsi" w:eastAsiaTheme="minorEastAsia" w:hAnsiTheme="minorHAnsi" w:cstheme="minorBidi"/>
          <w:b w:val="0"/>
          <w:noProof/>
          <w:szCs w:val="22"/>
          <w:lang w:eastAsia="en-GB"/>
        </w:rPr>
      </w:pPr>
      <w:hyperlink w:anchor="_Toc134198129" w:history="1">
        <w:r w:rsidR="008618F2" w:rsidRPr="00DC3933">
          <w:rPr>
            <w:rStyle w:val="Hyperlink"/>
            <w:noProof/>
          </w:rPr>
          <w:t>13.13.1</w:t>
        </w:r>
        <w:r w:rsidR="008618F2">
          <w:rPr>
            <w:rFonts w:asciiTheme="minorHAnsi" w:eastAsiaTheme="minorEastAsia" w:hAnsiTheme="minorHAnsi" w:cstheme="minorBidi"/>
            <w:b w:val="0"/>
            <w:noProof/>
            <w:szCs w:val="22"/>
            <w:lang w:eastAsia="en-GB"/>
          </w:rPr>
          <w:tab/>
        </w:r>
        <w:r w:rsidR="008618F2" w:rsidRPr="00DC3933">
          <w:rPr>
            <w:rStyle w:val="Hyperlink"/>
            <w:noProof/>
          </w:rPr>
          <w:t>General rules</w:t>
        </w:r>
        <w:r w:rsidR="008618F2">
          <w:rPr>
            <w:noProof/>
            <w:webHidden/>
          </w:rPr>
          <w:tab/>
        </w:r>
        <w:r w:rsidR="008618F2">
          <w:rPr>
            <w:noProof/>
            <w:webHidden/>
          </w:rPr>
          <w:fldChar w:fldCharType="begin"/>
        </w:r>
        <w:r w:rsidR="008618F2">
          <w:rPr>
            <w:noProof/>
            <w:webHidden/>
          </w:rPr>
          <w:instrText xml:space="preserve"> PAGEREF _Toc134198129 \h </w:instrText>
        </w:r>
        <w:r w:rsidR="008618F2">
          <w:rPr>
            <w:noProof/>
            <w:webHidden/>
          </w:rPr>
        </w:r>
        <w:r w:rsidR="008618F2">
          <w:rPr>
            <w:noProof/>
            <w:webHidden/>
          </w:rPr>
          <w:fldChar w:fldCharType="separate"/>
        </w:r>
        <w:r w:rsidR="000720CB">
          <w:rPr>
            <w:noProof/>
            <w:webHidden/>
          </w:rPr>
          <w:t>242</w:t>
        </w:r>
        <w:r w:rsidR="008618F2">
          <w:rPr>
            <w:noProof/>
            <w:webHidden/>
          </w:rPr>
          <w:fldChar w:fldCharType="end"/>
        </w:r>
      </w:hyperlink>
    </w:p>
    <w:p w14:paraId="265C8B18" w14:textId="160B0EE6" w:rsidR="008618F2" w:rsidRDefault="009B5CEC">
      <w:pPr>
        <w:pStyle w:val="TOC3"/>
        <w:tabs>
          <w:tab w:val="left" w:pos="1100"/>
        </w:tabs>
        <w:rPr>
          <w:rFonts w:asciiTheme="minorHAnsi" w:eastAsiaTheme="minorEastAsia" w:hAnsiTheme="minorHAnsi" w:cstheme="minorBidi"/>
          <w:b w:val="0"/>
          <w:noProof/>
          <w:szCs w:val="22"/>
          <w:lang w:eastAsia="en-GB"/>
        </w:rPr>
      </w:pPr>
      <w:hyperlink w:anchor="_Toc134198130" w:history="1">
        <w:r w:rsidR="008618F2" w:rsidRPr="00DC3933">
          <w:rPr>
            <w:rStyle w:val="Hyperlink"/>
            <w:noProof/>
          </w:rPr>
          <w:t>13.13.2</w:t>
        </w:r>
        <w:r w:rsidR="008618F2">
          <w:rPr>
            <w:rFonts w:asciiTheme="minorHAnsi" w:eastAsiaTheme="minorEastAsia" w:hAnsiTheme="minorHAnsi" w:cstheme="minorBidi"/>
            <w:b w:val="0"/>
            <w:noProof/>
            <w:szCs w:val="22"/>
            <w:lang w:eastAsia="en-GB"/>
          </w:rPr>
          <w:tab/>
        </w:r>
        <w:r w:rsidR="008618F2" w:rsidRPr="00DC3933">
          <w:rPr>
            <w:rStyle w:val="Hyperlink"/>
            <w:noProof/>
          </w:rPr>
          <w:t>Verification in DC2</w:t>
        </w:r>
        <w:r w:rsidR="008618F2">
          <w:rPr>
            <w:noProof/>
            <w:webHidden/>
          </w:rPr>
          <w:tab/>
        </w:r>
        <w:r w:rsidR="008618F2">
          <w:rPr>
            <w:noProof/>
            <w:webHidden/>
          </w:rPr>
          <w:fldChar w:fldCharType="begin"/>
        </w:r>
        <w:r w:rsidR="008618F2">
          <w:rPr>
            <w:noProof/>
            <w:webHidden/>
          </w:rPr>
          <w:instrText xml:space="preserve"> PAGEREF _Toc134198130 \h </w:instrText>
        </w:r>
        <w:r w:rsidR="008618F2">
          <w:rPr>
            <w:noProof/>
            <w:webHidden/>
          </w:rPr>
        </w:r>
        <w:r w:rsidR="008618F2">
          <w:rPr>
            <w:noProof/>
            <w:webHidden/>
          </w:rPr>
          <w:fldChar w:fldCharType="separate"/>
        </w:r>
        <w:r w:rsidR="000720CB">
          <w:rPr>
            <w:noProof/>
            <w:webHidden/>
          </w:rPr>
          <w:t>243</w:t>
        </w:r>
        <w:r w:rsidR="008618F2">
          <w:rPr>
            <w:noProof/>
            <w:webHidden/>
          </w:rPr>
          <w:fldChar w:fldCharType="end"/>
        </w:r>
      </w:hyperlink>
    </w:p>
    <w:p w14:paraId="4750E92A" w14:textId="6865413F" w:rsidR="008618F2" w:rsidRDefault="009B5CEC">
      <w:pPr>
        <w:pStyle w:val="TOC3"/>
        <w:tabs>
          <w:tab w:val="left" w:pos="1100"/>
        </w:tabs>
        <w:rPr>
          <w:rFonts w:asciiTheme="minorHAnsi" w:eastAsiaTheme="minorEastAsia" w:hAnsiTheme="minorHAnsi" w:cstheme="minorBidi"/>
          <w:b w:val="0"/>
          <w:noProof/>
          <w:szCs w:val="22"/>
          <w:lang w:eastAsia="en-GB"/>
        </w:rPr>
      </w:pPr>
      <w:hyperlink w:anchor="_Toc134198131" w:history="1">
        <w:r w:rsidR="008618F2" w:rsidRPr="00DC3933">
          <w:rPr>
            <w:rStyle w:val="Hyperlink"/>
            <w:noProof/>
          </w:rPr>
          <w:t>13.13.3</w:t>
        </w:r>
        <w:r w:rsidR="008618F2">
          <w:rPr>
            <w:rFonts w:asciiTheme="minorHAnsi" w:eastAsiaTheme="minorEastAsia" w:hAnsiTheme="minorHAnsi" w:cstheme="minorBidi"/>
            <w:b w:val="0"/>
            <w:noProof/>
            <w:szCs w:val="22"/>
            <w:lang w:eastAsia="en-GB"/>
          </w:rPr>
          <w:tab/>
        </w:r>
        <w:r w:rsidR="008618F2" w:rsidRPr="00DC3933">
          <w:rPr>
            <w:rStyle w:val="Hyperlink"/>
            <w:noProof/>
          </w:rPr>
          <w:t>Detailing rules</w:t>
        </w:r>
        <w:r w:rsidR="008618F2">
          <w:rPr>
            <w:noProof/>
            <w:webHidden/>
          </w:rPr>
          <w:tab/>
        </w:r>
        <w:r w:rsidR="008618F2">
          <w:rPr>
            <w:noProof/>
            <w:webHidden/>
          </w:rPr>
          <w:fldChar w:fldCharType="begin"/>
        </w:r>
        <w:r w:rsidR="008618F2">
          <w:rPr>
            <w:noProof/>
            <w:webHidden/>
          </w:rPr>
          <w:instrText xml:space="preserve"> PAGEREF _Toc134198131 \h </w:instrText>
        </w:r>
        <w:r w:rsidR="008618F2">
          <w:rPr>
            <w:noProof/>
            <w:webHidden/>
          </w:rPr>
        </w:r>
        <w:r w:rsidR="008618F2">
          <w:rPr>
            <w:noProof/>
            <w:webHidden/>
          </w:rPr>
          <w:fldChar w:fldCharType="separate"/>
        </w:r>
        <w:r w:rsidR="000720CB">
          <w:rPr>
            <w:noProof/>
            <w:webHidden/>
          </w:rPr>
          <w:t>243</w:t>
        </w:r>
        <w:r w:rsidR="008618F2">
          <w:rPr>
            <w:noProof/>
            <w:webHidden/>
          </w:rPr>
          <w:fldChar w:fldCharType="end"/>
        </w:r>
      </w:hyperlink>
    </w:p>
    <w:p w14:paraId="060DDB1C" w14:textId="797E1372" w:rsidR="008618F2" w:rsidRDefault="009B5CEC">
      <w:pPr>
        <w:pStyle w:val="TOC2"/>
        <w:rPr>
          <w:rFonts w:asciiTheme="minorHAnsi" w:eastAsiaTheme="minorEastAsia" w:hAnsiTheme="minorHAnsi" w:cstheme="minorBidi"/>
          <w:b w:val="0"/>
          <w:noProof/>
          <w:szCs w:val="22"/>
          <w:lang w:eastAsia="en-GB"/>
        </w:rPr>
      </w:pPr>
      <w:hyperlink w:anchor="_Toc134198132" w:history="1">
        <w:r w:rsidR="008618F2" w:rsidRPr="00DC3933">
          <w:rPr>
            <w:rStyle w:val="Hyperlink"/>
            <w:noProof/>
          </w:rPr>
          <w:t>13.14</w:t>
        </w:r>
        <w:r w:rsidR="008618F2">
          <w:rPr>
            <w:rFonts w:asciiTheme="minorHAnsi" w:eastAsiaTheme="minorEastAsia" w:hAnsiTheme="minorHAnsi" w:cstheme="minorBidi"/>
            <w:b w:val="0"/>
            <w:noProof/>
            <w:szCs w:val="22"/>
            <w:lang w:eastAsia="en-GB"/>
          </w:rPr>
          <w:tab/>
        </w:r>
        <w:r w:rsidR="008618F2" w:rsidRPr="00DC3933">
          <w:rPr>
            <w:rStyle w:val="Hyperlink"/>
            <w:noProof/>
          </w:rPr>
          <w:t>Rules for braced frame structures with carpentry connections</w:t>
        </w:r>
        <w:r w:rsidR="008618F2">
          <w:rPr>
            <w:noProof/>
            <w:webHidden/>
          </w:rPr>
          <w:tab/>
        </w:r>
        <w:r w:rsidR="008618F2">
          <w:rPr>
            <w:noProof/>
            <w:webHidden/>
          </w:rPr>
          <w:fldChar w:fldCharType="begin"/>
        </w:r>
        <w:r w:rsidR="008618F2">
          <w:rPr>
            <w:noProof/>
            <w:webHidden/>
          </w:rPr>
          <w:instrText xml:space="preserve"> PAGEREF _Toc134198132 \h </w:instrText>
        </w:r>
        <w:r w:rsidR="008618F2">
          <w:rPr>
            <w:noProof/>
            <w:webHidden/>
          </w:rPr>
        </w:r>
        <w:r w:rsidR="008618F2">
          <w:rPr>
            <w:noProof/>
            <w:webHidden/>
          </w:rPr>
          <w:fldChar w:fldCharType="separate"/>
        </w:r>
        <w:r w:rsidR="000720CB">
          <w:rPr>
            <w:noProof/>
            <w:webHidden/>
          </w:rPr>
          <w:t>243</w:t>
        </w:r>
        <w:r w:rsidR="008618F2">
          <w:rPr>
            <w:noProof/>
            <w:webHidden/>
          </w:rPr>
          <w:fldChar w:fldCharType="end"/>
        </w:r>
      </w:hyperlink>
    </w:p>
    <w:p w14:paraId="5C9B7565" w14:textId="0F626019" w:rsidR="008618F2" w:rsidRDefault="009B5CEC">
      <w:pPr>
        <w:pStyle w:val="TOC3"/>
        <w:tabs>
          <w:tab w:val="left" w:pos="1100"/>
        </w:tabs>
        <w:rPr>
          <w:rFonts w:asciiTheme="minorHAnsi" w:eastAsiaTheme="minorEastAsia" w:hAnsiTheme="minorHAnsi" w:cstheme="minorBidi"/>
          <w:b w:val="0"/>
          <w:noProof/>
          <w:szCs w:val="22"/>
          <w:lang w:eastAsia="en-GB"/>
        </w:rPr>
      </w:pPr>
      <w:hyperlink w:anchor="_Toc134198133" w:history="1">
        <w:r w:rsidR="008618F2" w:rsidRPr="00DC3933">
          <w:rPr>
            <w:rStyle w:val="Hyperlink"/>
            <w:noProof/>
          </w:rPr>
          <w:t>13.14.1</w:t>
        </w:r>
        <w:r w:rsidR="008618F2">
          <w:rPr>
            <w:rFonts w:asciiTheme="minorHAnsi" w:eastAsiaTheme="minorEastAsia" w:hAnsiTheme="minorHAnsi" w:cstheme="minorBidi"/>
            <w:b w:val="0"/>
            <w:noProof/>
            <w:szCs w:val="22"/>
            <w:lang w:eastAsia="en-GB"/>
          </w:rPr>
          <w:tab/>
        </w:r>
        <w:r w:rsidR="008618F2" w:rsidRPr="00DC3933">
          <w:rPr>
            <w:rStyle w:val="Hyperlink"/>
            <w:noProof/>
          </w:rPr>
          <w:t>General rules</w:t>
        </w:r>
        <w:r w:rsidR="008618F2">
          <w:rPr>
            <w:noProof/>
            <w:webHidden/>
          </w:rPr>
          <w:tab/>
        </w:r>
        <w:r w:rsidR="008618F2">
          <w:rPr>
            <w:noProof/>
            <w:webHidden/>
          </w:rPr>
          <w:fldChar w:fldCharType="begin"/>
        </w:r>
        <w:r w:rsidR="008618F2">
          <w:rPr>
            <w:noProof/>
            <w:webHidden/>
          </w:rPr>
          <w:instrText xml:space="preserve"> PAGEREF _Toc134198133 \h </w:instrText>
        </w:r>
        <w:r w:rsidR="008618F2">
          <w:rPr>
            <w:noProof/>
            <w:webHidden/>
          </w:rPr>
        </w:r>
        <w:r w:rsidR="008618F2">
          <w:rPr>
            <w:noProof/>
            <w:webHidden/>
          </w:rPr>
          <w:fldChar w:fldCharType="separate"/>
        </w:r>
        <w:r w:rsidR="000720CB">
          <w:rPr>
            <w:noProof/>
            <w:webHidden/>
          </w:rPr>
          <w:t>243</w:t>
        </w:r>
        <w:r w:rsidR="008618F2">
          <w:rPr>
            <w:noProof/>
            <w:webHidden/>
          </w:rPr>
          <w:fldChar w:fldCharType="end"/>
        </w:r>
      </w:hyperlink>
    </w:p>
    <w:p w14:paraId="52F394AF" w14:textId="3972239A" w:rsidR="008618F2" w:rsidRDefault="009B5CEC">
      <w:pPr>
        <w:pStyle w:val="TOC3"/>
        <w:tabs>
          <w:tab w:val="left" w:pos="1100"/>
        </w:tabs>
        <w:rPr>
          <w:rFonts w:asciiTheme="minorHAnsi" w:eastAsiaTheme="minorEastAsia" w:hAnsiTheme="minorHAnsi" w:cstheme="minorBidi"/>
          <w:b w:val="0"/>
          <w:noProof/>
          <w:szCs w:val="22"/>
          <w:lang w:eastAsia="en-GB"/>
        </w:rPr>
      </w:pPr>
      <w:hyperlink w:anchor="_Toc134198134" w:history="1">
        <w:r w:rsidR="008618F2" w:rsidRPr="00DC3933">
          <w:rPr>
            <w:rStyle w:val="Hyperlink"/>
            <w:noProof/>
          </w:rPr>
          <w:t>13.14.2</w:t>
        </w:r>
        <w:r w:rsidR="008618F2">
          <w:rPr>
            <w:rFonts w:asciiTheme="minorHAnsi" w:eastAsiaTheme="minorEastAsia" w:hAnsiTheme="minorHAnsi" w:cstheme="minorBidi"/>
            <w:b w:val="0"/>
            <w:noProof/>
            <w:szCs w:val="22"/>
            <w:lang w:eastAsia="en-GB"/>
          </w:rPr>
          <w:tab/>
        </w:r>
        <w:r w:rsidR="008618F2" w:rsidRPr="00DC3933">
          <w:rPr>
            <w:rStyle w:val="Hyperlink"/>
            <w:noProof/>
          </w:rPr>
          <w:t>Detailing rules</w:t>
        </w:r>
        <w:r w:rsidR="008618F2">
          <w:rPr>
            <w:noProof/>
            <w:webHidden/>
          </w:rPr>
          <w:tab/>
        </w:r>
        <w:r w:rsidR="008618F2">
          <w:rPr>
            <w:noProof/>
            <w:webHidden/>
          </w:rPr>
          <w:fldChar w:fldCharType="begin"/>
        </w:r>
        <w:r w:rsidR="008618F2">
          <w:rPr>
            <w:noProof/>
            <w:webHidden/>
          </w:rPr>
          <w:instrText xml:space="preserve"> PAGEREF _Toc134198134 \h </w:instrText>
        </w:r>
        <w:r w:rsidR="008618F2">
          <w:rPr>
            <w:noProof/>
            <w:webHidden/>
          </w:rPr>
        </w:r>
        <w:r w:rsidR="008618F2">
          <w:rPr>
            <w:noProof/>
            <w:webHidden/>
          </w:rPr>
          <w:fldChar w:fldCharType="separate"/>
        </w:r>
        <w:r w:rsidR="000720CB">
          <w:rPr>
            <w:noProof/>
            <w:webHidden/>
          </w:rPr>
          <w:t>244</w:t>
        </w:r>
        <w:r w:rsidR="008618F2">
          <w:rPr>
            <w:noProof/>
            <w:webHidden/>
          </w:rPr>
          <w:fldChar w:fldCharType="end"/>
        </w:r>
      </w:hyperlink>
    </w:p>
    <w:p w14:paraId="659BD41D" w14:textId="4470AC02" w:rsidR="008618F2" w:rsidRDefault="009B5CEC">
      <w:pPr>
        <w:pStyle w:val="TOC2"/>
        <w:rPr>
          <w:rFonts w:asciiTheme="minorHAnsi" w:eastAsiaTheme="minorEastAsia" w:hAnsiTheme="minorHAnsi" w:cstheme="minorBidi"/>
          <w:b w:val="0"/>
          <w:noProof/>
          <w:szCs w:val="22"/>
          <w:lang w:eastAsia="en-GB"/>
        </w:rPr>
      </w:pPr>
      <w:hyperlink w:anchor="_Toc134198135" w:history="1">
        <w:r w:rsidR="008618F2" w:rsidRPr="00DC3933">
          <w:rPr>
            <w:rStyle w:val="Hyperlink"/>
            <w:noProof/>
          </w:rPr>
          <w:t>13.15</w:t>
        </w:r>
        <w:r w:rsidR="008618F2">
          <w:rPr>
            <w:rFonts w:asciiTheme="minorHAnsi" w:eastAsiaTheme="minorEastAsia" w:hAnsiTheme="minorHAnsi" w:cstheme="minorBidi"/>
            <w:b w:val="0"/>
            <w:noProof/>
            <w:szCs w:val="22"/>
            <w:lang w:eastAsia="en-GB"/>
          </w:rPr>
          <w:tab/>
        </w:r>
        <w:r w:rsidR="008618F2" w:rsidRPr="00DC3933">
          <w:rPr>
            <w:rStyle w:val="Hyperlink"/>
            <w:noProof/>
          </w:rPr>
          <w:t>Verification of floor and roof diaphragms</w:t>
        </w:r>
        <w:r w:rsidR="008618F2">
          <w:rPr>
            <w:noProof/>
            <w:webHidden/>
          </w:rPr>
          <w:tab/>
        </w:r>
        <w:r w:rsidR="008618F2">
          <w:rPr>
            <w:noProof/>
            <w:webHidden/>
          </w:rPr>
          <w:fldChar w:fldCharType="begin"/>
        </w:r>
        <w:r w:rsidR="008618F2">
          <w:rPr>
            <w:noProof/>
            <w:webHidden/>
          </w:rPr>
          <w:instrText xml:space="preserve"> PAGEREF _Toc134198135 \h </w:instrText>
        </w:r>
        <w:r w:rsidR="008618F2">
          <w:rPr>
            <w:noProof/>
            <w:webHidden/>
          </w:rPr>
        </w:r>
        <w:r w:rsidR="008618F2">
          <w:rPr>
            <w:noProof/>
            <w:webHidden/>
          </w:rPr>
          <w:fldChar w:fldCharType="separate"/>
        </w:r>
        <w:r w:rsidR="000720CB">
          <w:rPr>
            <w:noProof/>
            <w:webHidden/>
          </w:rPr>
          <w:t>244</w:t>
        </w:r>
        <w:r w:rsidR="008618F2">
          <w:rPr>
            <w:noProof/>
            <w:webHidden/>
          </w:rPr>
          <w:fldChar w:fldCharType="end"/>
        </w:r>
      </w:hyperlink>
    </w:p>
    <w:p w14:paraId="262554DF" w14:textId="1FFAFDA1" w:rsidR="008618F2" w:rsidRDefault="009B5CEC">
      <w:pPr>
        <w:pStyle w:val="TOC3"/>
        <w:tabs>
          <w:tab w:val="left" w:pos="1100"/>
        </w:tabs>
        <w:rPr>
          <w:rFonts w:asciiTheme="minorHAnsi" w:eastAsiaTheme="minorEastAsia" w:hAnsiTheme="minorHAnsi" w:cstheme="minorBidi"/>
          <w:b w:val="0"/>
          <w:noProof/>
          <w:szCs w:val="22"/>
          <w:lang w:eastAsia="en-GB"/>
        </w:rPr>
      </w:pPr>
      <w:hyperlink w:anchor="_Toc134198136" w:history="1">
        <w:r w:rsidR="008618F2" w:rsidRPr="00DC3933">
          <w:rPr>
            <w:rStyle w:val="Hyperlink"/>
            <w:noProof/>
          </w:rPr>
          <w:t>13.15.1</w:t>
        </w:r>
        <w:r w:rsidR="008618F2">
          <w:rPr>
            <w:rFonts w:asciiTheme="minorHAnsi" w:eastAsiaTheme="minorEastAsia" w:hAnsiTheme="minorHAnsi" w:cstheme="minorBidi"/>
            <w:b w:val="0"/>
            <w:noProof/>
            <w:szCs w:val="22"/>
            <w:lang w:eastAsia="en-GB"/>
          </w:rPr>
          <w:tab/>
        </w:r>
        <w:r w:rsidR="008618F2" w:rsidRPr="00DC3933">
          <w:rPr>
            <w:rStyle w:val="Hyperlink"/>
            <w:noProof/>
          </w:rPr>
          <w:t>General rules</w:t>
        </w:r>
        <w:r w:rsidR="008618F2">
          <w:rPr>
            <w:noProof/>
            <w:webHidden/>
          </w:rPr>
          <w:tab/>
        </w:r>
        <w:r w:rsidR="008618F2">
          <w:rPr>
            <w:noProof/>
            <w:webHidden/>
          </w:rPr>
          <w:fldChar w:fldCharType="begin"/>
        </w:r>
        <w:r w:rsidR="008618F2">
          <w:rPr>
            <w:noProof/>
            <w:webHidden/>
          </w:rPr>
          <w:instrText xml:space="preserve"> PAGEREF _Toc134198136 \h </w:instrText>
        </w:r>
        <w:r w:rsidR="008618F2">
          <w:rPr>
            <w:noProof/>
            <w:webHidden/>
          </w:rPr>
        </w:r>
        <w:r w:rsidR="008618F2">
          <w:rPr>
            <w:noProof/>
            <w:webHidden/>
          </w:rPr>
          <w:fldChar w:fldCharType="separate"/>
        </w:r>
        <w:r w:rsidR="000720CB">
          <w:rPr>
            <w:noProof/>
            <w:webHidden/>
          </w:rPr>
          <w:t>244</w:t>
        </w:r>
        <w:r w:rsidR="008618F2">
          <w:rPr>
            <w:noProof/>
            <w:webHidden/>
          </w:rPr>
          <w:fldChar w:fldCharType="end"/>
        </w:r>
      </w:hyperlink>
    </w:p>
    <w:p w14:paraId="0135BDEA" w14:textId="1C9B4BF0" w:rsidR="008618F2" w:rsidRDefault="009B5CEC">
      <w:pPr>
        <w:pStyle w:val="TOC3"/>
        <w:tabs>
          <w:tab w:val="left" w:pos="1100"/>
        </w:tabs>
        <w:rPr>
          <w:rFonts w:asciiTheme="minorHAnsi" w:eastAsiaTheme="minorEastAsia" w:hAnsiTheme="minorHAnsi" w:cstheme="minorBidi"/>
          <w:b w:val="0"/>
          <w:noProof/>
          <w:szCs w:val="22"/>
          <w:lang w:eastAsia="en-GB"/>
        </w:rPr>
      </w:pPr>
      <w:hyperlink w:anchor="_Toc134198137" w:history="1">
        <w:r w:rsidR="008618F2" w:rsidRPr="00DC3933">
          <w:rPr>
            <w:rStyle w:val="Hyperlink"/>
            <w:noProof/>
          </w:rPr>
          <w:t>13.15.2</w:t>
        </w:r>
        <w:r w:rsidR="008618F2">
          <w:rPr>
            <w:rFonts w:asciiTheme="minorHAnsi" w:eastAsiaTheme="minorEastAsia" w:hAnsiTheme="minorHAnsi" w:cstheme="minorBidi"/>
            <w:b w:val="0"/>
            <w:noProof/>
            <w:szCs w:val="22"/>
            <w:lang w:eastAsia="en-GB"/>
          </w:rPr>
          <w:tab/>
        </w:r>
        <w:r w:rsidR="008618F2" w:rsidRPr="00DC3933">
          <w:rPr>
            <w:rStyle w:val="Hyperlink"/>
            <w:noProof/>
          </w:rPr>
          <w:t>Cross laminated timber (CLT) floor and roof diaphragms</w:t>
        </w:r>
        <w:r w:rsidR="008618F2">
          <w:rPr>
            <w:noProof/>
            <w:webHidden/>
          </w:rPr>
          <w:tab/>
        </w:r>
        <w:r w:rsidR="008618F2">
          <w:rPr>
            <w:noProof/>
            <w:webHidden/>
          </w:rPr>
          <w:fldChar w:fldCharType="begin"/>
        </w:r>
        <w:r w:rsidR="008618F2">
          <w:rPr>
            <w:noProof/>
            <w:webHidden/>
          </w:rPr>
          <w:instrText xml:space="preserve"> PAGEREF _Toc134198137 \h </w:instrText>
        </w:r>
        <w:r w:rsidR="008618F2">
          <w:rPr>
            <w:noProof/>
            <w:webHidden/>
          </w:rPr>
        </w:r>
        <w:r w:rsidR="008618F2">
          <w:rPr>
            <w:noProof/>
            <w:webHidden/>
          </w:rPr>
          <w:fldChar w:fldCharType="separate"/>
        </w:r>
        <w:r w:rsidR="000720CB">
          <w:rPr>
            <w:noProof/>
            <w:webHidden/>
          </w:rPr>
          <w:t>245</w:t>
        </w:r>
        <w:r w:rsidR="008618F2">
          <w:rPr>
            <w:noProof/>
            <w:webHidden/>
          </w:rPr>
          <w:fldChar w:fldCharType="end"/>
        </w:r>
      </w:hyperlink>
    </w:p>
    <w:p w14:paraId="05C377C1" w14:textId="4742E615" w:rsidR="008618F2" w:rsidRDefault="009B5CEC">
      <w:pPr>
        <w:pStyle w:val="TOC3"/>
        <w:tabs>
          <w:tab w:val="left" w:pos="1100"/>
        </w:tabs>
        <w:rPr>
          <w:rFonts w:asciiTheme="minorHAnsi" w:eastAsiaTheme="minorEastAsia" w:hAnsiTheme="minorHAnsi" w:cstheme="minorBidi"/>
          <w:b w:val="0"/>
          <w:noProof/>
          <w:szCs w:val="22"/>
          <w:lang w:eastAsia="en-GB"/>
        </w:rPr>
      </w:pPr>
      <w:hyperlink w:anchor="_Toc134198138" w:history="1">
        <w:r w:rsidR="008618F2" w:rsidRPr="00DC3933">
          <w:rPr>
            <w:rStyle w:val="Hyperlink"/>
            <w:noProof/>
          </w:rPr>
          <w:t>13.15.3</w:t>
        </w:r>
        <w:r w:rsidR="008618F2">
          <w:rPr>
            <w:rFonts w:asciiTheme="minorHAnsi" w:eastAsiaTheme="minorEastAsia" w:hAnsiTheme="minorHAnsi" w:cstheme="minorBidi"/>
            <w:b w:val="0"/>
            <w:noProof/>
            <w:szCs w:val="22"/>
            <w:lang w:eastAsia="en-GB"/>
          </w:rPr>
          <w:tab/>
        </w:r>
        <w:r w:rsidR="008618F2" w:rsidRPr="00DC3933">
          <w:rPr>
            <w:rStyle w:val="Hyperlink"/>
            <w:noProof/>
          </w:rPr>
          <w:t>Framed floor and roof diaphragms</w:t>
        </w:r>
        <w:r w:rsidR="008618F2">
          <w:rPr>
            <w:noProof/>
            <w:webHidden/>
          </w:rPr>
          <w:tab/>
        </w:r>
        <w:r w:rsidR="008618F2">
          <w:rPr>
            <w:noProof/>
            <w:webHidden/>
          </w:rPr>
          <w:fldChar w:fldCharType="begin"/>
        </w:r>
        <w:r w:rsidR="008618F2">
          <w:rPr>
            <w:noProof/>
            <w:webHidden/>
          </w:rPr>
          <w:instrText xml:space="preserve"> PAGEREF _Toc134198138 \h </w:instrText>
        </w:r>
        <w:r w:rsidR="008618F2">
          <w:rPr>
            <w:noProof/>
            <w:webHidden/>
          </w:rPr>
        </w:r>
        <w:r w:rsidR="008618F2">
          <w:rPr>
            <w:noProof/>
            <w:webHidden/>
          </w:rPr>
          <w:fldChar w:fldCharType="separate"/>
        </w:r>
        <w:r w:rsidR="000720CB">
          <w:rPr>
            <w:noProof/>
            <w:webHidden/>
          </w:rPr>
          <w:t>245</w:t>
        </w:r>
        <w:r w:rsidR="008618F2">
          <w:rPr>
            <w:noProof/>
            <w:webHidden/>
          </w:rPr>
          <w:fldChar w:fldCharType="end"/>
        </w:r>
      </w:hyperlink>
    </w:p>
    <w:p w14:paraId="36D5CE01" w14:textId="4361AC24" w:rsidR="008618F2" w:rsidRDefault="009B5CEC">
      <w:pPr>
        <w:pStyle w:val="TOC3"/>
        <w:tabs>
          <w:tab w:val="left" w:pos="1100"/>
        </w:tabs>
        <w:rPr>
          <w:rFonts w:asciiTheme="minorHAnsi" w:eastAsiaTheme="minorEastAsia" w:hAnsiTheme="minorHAnsi" w:cstheme="minorBidi"/>
          <w:b w:val="0"/>
          <w:noProof/>
          <w:szCs w:val="22"/>
          <w:lang w:eastAsia="en-GB"/>
        </w:rPr>
      </w:pPr>
      <w:hyperlink w:anchor="_Toc134198139" w:history="1">
        <w:r w:rsidR="008618F2" w:rsidRPr="00DC3933">
          <w:rPr>
            <w:rStyle w:val="Hyperlink"/>
            <w:noProof/>
          </w:rPr>
          <w:t>13.15.4</w:t>
        </w:r>
        <w:r w:rsidR="008618F2">
          <w:rPr>
            <w:rFonts w:asciiTheme="minorHAnsi" w:eastAsiaTheme="minorEastAsia" w:hAnsiTheme="minorHAnsi" w:cstheme="minorBidi"/>
            <w:b w:val="0"/>
            <w:noProof/>
            <w:szCs w:val="22"/>
            <w:lang w:eastAsia="en-GB"/>
          </w:rPr>
          <w:tab/>
        </w:r>
        <w:r w:rsidR="008618F2" w:rsidRPr="00DC3933">
          <w:rPr>
            <w:rStyle w:val="Hyperlink"/>
            <w:noProof/>
          </w:rPr>
          <w:t>Timber-concrete composite floor and roof diaphragms</w:t>
        </w:r>
        <w:r w:rsidR="008618F2">
          <w:rPr>
            <w:noProof/>
            <w:webHidden/>
          </w:rPr>
          <w:tab/>
        </w:r>
        <w:r w:rsidR="008618F2">
          <w:rPr>
            <w:noProof/>
            <w:webHidden/>
          </w:rPr>
          <w:fldChar w:fldCharType="begin"/>
        </w:r>
        <w:r w:rsidR="008618F2">
          <w:rPr>
            <w:noProof/>
            <w:webHidden/>
          </w:rPr>
          <w:instrText xml:space="preserve"> PAGEREF _Toc134198139 \h </w:instrText>
        </w:r>
        <w:r w:rsidR="008618F2">
          <w:rPr>
            <w:noProof/>
            <w:webHidden/>
          </w:rPr>
        </w:r>
        <w:r w:rsidR="008618F2">
          <w:rPr>
            <w:noProof/>
            <w:webHidden/>
          </w:rPr>
          <w:fldChar w:fldCharType="separate"/>
        </w:r>
        <w:r w:rsidR="000720CB">
          <w:rPr>
            <w:noProof/>
            <w:webHidden/>
          </w:rPr>
          <w:t>246</w:t>
        </w:r>
        <w:r w:rsidR="008618F2">
          <w:rPr>
            <w:noProof/>
            <w:webHidden/>
          </w:rPr>
          <w:fldChar w:fldCharType="end"/>
        </w:r>
      </w:hyperlink>
    </w:p>
    <w:p w14:paraId="434CC5C0" w14:textId="7F5A07E6" w:rsidR="008618F2" w:rsidRDefault="009B5CEC">
      <w:pPr>
        <w:pStyle w:val="TOC2"/>
        <w:rPr>
          <w:rFonts w:asciiTheme="minorHAnsi" w:eastAsiaTheme="minorEastAsia" w:hAnsiTheme="minorHAnsi" w:cstheme="minorBidi"/>
          <w:b w:val="0"/>
          <w:noProof/>
          <w:szCs w:val="22"/>
          <w:lang w:eastAsia="en-GB"/>
        </w:rPr>
      </w:pPr>
      <w:hyperlink w:anchor="_Toc134198140" w:history="1">
        <w:r w:rsidR="008618F2" w:rsidRPr="00DC3933">
          <w:rPr>
            <w:rStyle w:val="Hyperlink"/>
            <w:noProof/>
          </w:rPr>
          <w:t>13.16</w:t>
        </w:r>
        <w:r w:rsidR="008618F2">
          <w:rPr>
            <w:rFonts w:asciiTheme="minorHAnsi" w:eastAsiaTheme="minorEastAsia" w:hAnsiTheme="minorHAnsi" w:cstheme="minorBidi"/>
            <w:b w:val="0"/>
            <w:noProof/>
            <w:szCs w:val="22"/>
            <w:lang w:eastAsia="en-GB"/>
          </w:rPr>
          <w:tab/>
        </w:r>
        <w:r w:rsidR="008618F2" w:rsidRPr="00DC3933">
          <w:rPr>
            <w:rStyle w:val="Hyperlink"/>
            <w:noProof/>
          </w:rPr>
          <w:t>Transfer zones. Design for DC2 and DC3</w:t>
        </w:r>
        <w:r w:rsidR="008618F2">
          <w:rPr>
            <w:noProof/>
            <w:webHidden/>
          </w:rPr>
          <w:tab/>
        </w:r>
        <w:r w:rsidR="008618F2">
          <w:rPr>
            <w:noProof/>
            <w:webHidden/>
          </w:rPr>
          <w:fldChar w:fldCharType="begin"/>
        </w:r>
        <w:r w:rsidR="008618F2">
          <w:rPr>
            <w:noProof/>
            <w:webHidden/>
          </w:rPr>
          <w:instrText xml:space="preserve"> PAGEREF _Toc134198140 \h </w:instrText>
        </w:r>
        <w:r w:rsidR="008618F2">
          <w:rPr>
            <w:noProof/>
            <w:webHidden/>
          </w:rPr>
        </w:r>
        <w:r w:rsidR="008618F2">
          <w:rPr>
            <w:noProof/>
            <w:webHidden/>
          </w:rPr>
          <w:fldChar w:fldCharType="separate"/>
        </w:r>
        <w:r w:rsidR="000720CB">
          <w:rPr>
            <w:noProof/>
            <w:webHidden/>
          </w:rPr>
          <w:t>246</w:t>
        </w:r>
        <w:r w:rsidR="008618F2">
          <w:rPr>
            <w:noProof/>
            <w:webHidden/>
          </w:rPr>
          <w:fldChar w:fldCharType="end"/>
        </w:r>
      </w:hyperlink>
    </w:p>
    <w:p w14:paraId="734B38FA" w14:textId="3570D846" w:rsidR="008618F2" w:rsidRDefault="009B5CEC">
      <w:pPr>
        <w:pStyle w:val="TOC2"/>
        <w:rPr>
          <w:rFonts w:asciiTheme="minorHAnsi" w:eastAsiaTheme="minorEastAsia" w:hAnsiTheme="minorHAnsi" w:cstheme="minorBidi"/>
          <w:b w:val="0"/>
          <w:noProof/>
          <w:szCs w:val="22"/>
          <w:lang w:eastAsia="en-GB"/>
        </w:rPr>
      </w:pPr>
      <w:hyperlink w:anchor="_Toc134198141" w:history="1">
        <w:r w:rsidR="008618F2" w:rsidRPr="00DC3933">
          <w:rPr>
            <w:rStyle w:val="Hyperlink"/>
            <w:noProof/>
          </w:rPr>
          <w:t>13.17</w:t>
        </w:r>
        <w:r w:rsidR="008618F2">
          <w:rPr>
            <w:rFonts w:asciiTheme="minorHAnsi" w:eastAsiaTheme="minorEastAsia" w:hAnsiTheme="minorHAnsi" w:cstheme="minorBidi"/>
            <w:b w:val="0"/>
            <w:noProof/>
            <w:szCs w:val="22"/>
            <w:lang w:eastAsia="en-GB"/>
          </w:rPr>
          <w:tab/>
        </w:r>
        <w:r w:rsidR="008618F2" w:rsidRPr="00DC3933">
          <w:rPr>
            <w:rStyle w:val="Hyperlink"/>
            <w:noProof/>
          </w:rPr>
          <w:t>Checking of design and construction data</w:t>
        </w:r>
        <w:r w:rsidR="008618F2">
          <w:rPr>
            <w:noProof/>
            <w:webHidden/>
          </w:rPr>
          <w:tab/>
        </w:r>
        <w:r w:rsidR="008618F2">
          <w:rPr>
            <w:noProof/>
            <w:webHidden/>
          </w:rPr>
          <w:fldChar w:fldCharType="begin"/>
        </w:r>
        <w:r w:rsidR="008618F2">
          <w:rPr>
            <w:noProof/>
            <w:webHidden/>
          </w:rPr>
          <w:instrText xml:space="preserve"> PAGEREF _Toc134198141 \h </w:instrText>
        </w:r>
        <w:r w:rsidR="008618F2">
          <w:rPr>
            <w:noProof/>
            <w:webHidden/>
          </w:rPr>
        </w:r>
        <w:r w:rsidR="008618F2">
          <w:rPr>
            <w:noProof/>
            <w:webHidden/>
          </w:rPr>
          <w:fldChar w:fldCharType="separate"/>
        </w:r>
        <w:r w:rsidR="000720CB">
          <w:rPr>
            <w:noProof/>
            <w:webHidden/>
          </w:rPr>
          <w:t>246</w:t>
        </w:r>
        <w:r w:rsidR="008618F2">
          <w:rPr>
            <w:noProof/>
            <w:webHidden/>
          </w:rPr>
          <w:fldChar w:fldCharType="end"/>
        </w:r>
      </w:hyperlink>
    </w:p>
    <w:p w14:paraId="27D5D40B" w14:textId="57DDAC9B" w:rsidR="008618F2" w:rsidRDefault="009B5CEC">
      <w:pPr>
        <w:pStyle w:val="TOC1"/>
        <w:rPr>
          <w:rFonts w:asciiTheme="minorHAnsi" w:eastAsiaTheme="minorEastAsia" w:hAnsiTheme="minorHAnsi" w:cstheme="minorBidi"/>
          <w:b w:val="0"/>
          <w:noProof/>
          <w:szCs w:val="22"/>
          <w:lang w:eastAsia="en-GB"/>
        </w:rPr>
      </w:pPr>
      <w:hyperlink w:anchor="_Toc134198142" w:history="1">
        <w:r w:rsidR="008618F2" w:rsidRPr="00DC3933">
          <w:rPr>
            <w:rStyle w:val="Hyperlink"/>
            <w:noProof/>
          </w:rPr>
          <w:t>14</w:t>
        </w:r>
        <w:r w:rsidR="008618F2">
          <w:rPr>
            <w:rFonts w:asciiTheme="minorHAnsi" w:eastAsiaTheme="minorEastAsia" w:hAnsiTheme="minorHAnsi" w:cstheme="minorBidi"/>
            <w:b w:val="0"/>
            <w:noProof/>
            <w:szCs w:val="22"/>
            <w:lang w:eastAsia="en-GB"/>
          </w:rPr>
          <w:tab/>
        </w:r>
        <w:r w:rsidR="008618F2" w:rsidRPr="00DC3933">
          <w:rPr>
            <w:rStyle w:val="Hyperlink"/>
            <w:noProof/>
          </w:rPr>
          <w:t>Specific rules for masonry buildings</w:t>
        </w:r>
        <w:r w:rsidR="008618F2">
          <w:rPr>
            <w:noProof/>
            <w:webHidden/>
          </w:rPr>
          <w:tab/>
        </w:r>
        <w:r w:rsidR="008618F2">
          <w:rPr>
            <w:noProof/>
            <w:webHidden/>
          </w:rPr>
          <w:fldChar w:fldCharType="begin"/>
        </w:r>
        <w:r w:rsidR="008618F2">
          <w:rPr>
            <w:noProof/>
            <w:webHidden/>
          </w:rPr>
          <w:instrText xml:space="preserve"> PAGEREF _Toc134198142 \h </w:instrText>
        </w:r>
        <w:r w:rsidR="008618F2">
          <w:rPr>
            <w:noProof/>
            <w:webHidden/>
          </w:rPr>
        </w:r>
        <w:r w:rsidR="008618F2">
          <w:rPr>
            <w:noProof/>
            <w:webHidden/>
          </w:rPr>
          <w:fldChar w:fldCharType="separate"/>
        </w:r>
        <w:r w:rsidR="000720CB">
          <w:rPr>
            <w:noProof/>
            <w:webHidden/>
          </w:rPr>
          <w:t>247</w:t>
        </w:r>
        <w:r w:rsidR="008618F2">
          <w:rPr>
            <w:noProof/>
            <w:webHidden/>
          </w:rPr>
          <w:fldChar w:fldCharType="end"/>
        </w:r>
      </w:hyperlink>
    </w:p>
    <w:p w14:paraId="51348256" w14:textId="4D97D7AC" w:rsidR="008618F2" w:rsidRDefault="009B5CEC">
      <w:pPr>
        <w:pStyle w:val="TOC2"/>
        <w:rPr>
          <w:rFonts w:asciiTheme="minorHAnsi" w:eastAsiaTheme="minorEastAsia" w:hAnsiTheme="minorHAnsi" w:cstheme="minorBidi"/>
          <w:b w:val="0"/>
          <w:noProof/>
          <w:szCs w:val="22"/>
          <w:lang w:eastAsia="en-GB"/>
        </w:rPr>
      </w:pPr>
      <w:hyperlink w:anchor="_Toc134198143" w:history="1">
        <w:r w:rsidR="008618F2" w:rsidRPr="00DC3933">
          <w:rPr>
            <w:rStyle w:val="Hyperlink"/>
            <w:noProof/>
          </w:rPr>
          <w:t>14.1</w:t>
        </w:r>
        <w:r w:rsidR="008618F2">
          <w:rPr>
            <w:rFonts w:asciiTheme="minorHAnsi" w:eastAsiaTheme="minorEastAsia" w:hAnsiTheme="minorHAnsi" w:cstheme="minorBidi"/>
            <w:b w:val="0"/>
            <w:noProof/>
            <w:szCs w:val="22"/>
            <w:lang w:eastAsia="en-GB"/>
          </w:rPr>
          <w:tab/>
        </w:r>
        <w:r w:rsidR="008618F2" w:rsidRPr="00DC3933">
          <w:rPr>
            <w:rStyle w:val="Hyperlink"/>
            <w:noProof/>
          </w:rPr>
          <w:t>General</w:t>
        </w:r>
        <w:r w:rsidR="008618F2">
          <w:rPr>
            <w:noProof/>
            <w:webHidden/>
          </w:rPr>
          <w:tab/>
        </w:r>
        <w:r w:rsidR="008618F2">
          <w:rPr>
            <w:noProof/>
            <w:webHidden/>
          </w:rPr>
          <w:fldChar w:fldCharType="begin"/>
        </w:r>
        <w:r w:rsidR="008618F2">
          <w:rPr>
            <w:noProof/>
            <w:webHidden/>
          </w:rPr>
          <w:instrText xml:space="preserve"> PAGEREF _Toc134198143 \h </w:instrText>
        </w:r>
        <w:r w:rsidR="008618F2">
          <w:rPr>
            <w:noProof/>
            <w:webHidden/>
          </w:rPr>
        </w:r>
        <w:r w:rsidR="008618F2">
          <w:rPr>
            <w:noProof/>
            <w:webHidden/>
          </w:rPr>
          <w:fldChar w:fldCharType="separate"/>
        </w:r>
        <w:r w:rsidR="000720CB">
          <w:rPr>
            <w:noProof/>
            <w:webHidden/>
          </w:rPr>
          <w:t>247</w:t>
        </w:r>
        <w:r w:rsidR="008618F2">
          <w:rPr>
            <w:noProof/>
            <w:webHidden/>
          </w:rPr>
          <w:fldChar w:fldCharType="end"/>
        </w:r>
      </w:hyperlink>
    </w:p>
    <w:p w14:paraId="6678FD00" w14:textId="2238F7CF" w:rsidR="008618F2" w:rsidRDefault="009B5CEC">
      <w:pPr>
        <w:pStyle w:val="TOC2"/>
        <w:rPr>
          <w:rFonts w:asciiTheme="minorHAnsi" w:eastAsiaTheme="minorEastAsia" w:hAnsiTheme="minorHAnsi" w:cstheme="minorBidi"/>
          <w:b w:val="0"/>
          <w:noProof/>
          <w:szCs w:val="22"/>
          <w:lang w:eastAsia="en-GB"/>
        </w:rPr>
      </w:pPr>
      <w:hyperlink w:anchor="_Toc134198144" w:history="1">
        <w:r w:rsidR="008618F2" w:rsidRPr="00DC3933">
          <w:rPr>
            <w:rStyle w:val="Hyperlink"/>
            <w:noProof/>
          </w:rPr>
          <w:t>14.2</w:t>
        </w:r>
        <w:r w:rsidR="008618F2">
          <w:rPr>
            <w:rFonts w:asciiTheme="minorHAnsi" w:eastAsiaTheme="minorEastAsia" w:hAnsiTheme="minorHAnsi" w:cstheme="minorBidi"/>
            <w:b w:val="0"/>
            <w:noProof/>
            <w:szCs w:val="22"/>
            <w:lang w:eastAsia="en-GB"/>
          </w:rPr>
          <w:tab/>
        </w:r>
        <w:r w:rsidR="008618F2" w:rsidRPr="00DC3933">
          <w:rPr>
            <w:rStyle w:val="Hyperlink"/>
            <w:noProof/>
          </w:rPr>
          <w:t>Basis of design</w:t>
        </w:r>
        <w:r w:rsidR="008618F2">
          <w:rPr>
            <w:noProof/>
            <w:webHidden/>
          </w:rPr>
          <w:tab/>
        </w:r>
        <w:r w:rsidR="008618F2">
          <w:rPr>
            <w:noProof/>
            <w:webHidden/>
          </w:rPr>
          <w:fldChar w:fldCharType="begin"/>
        </w:r>
        <w:r w:rsidR="008618F2">
          <w:rPr>
            <w:noProof/>
            <w:webHidden/>
          </w:rPr>
          <w:instrText xml:space="preserve"> PAGEREF _Toc134198144 \h </w:instrText>
        </w:r>
        <w:r w:rsidR="008618F2">
          <w:rPr>
            <w:noProof/>
            <w:webHidden/>
          </w:rPr>
        </w:r>
        <w:r w:rsidR="008618F2">
          <w:rPr>
            <w:noProof/>
            <w:webHidden/>
          </w:rPr>
          <w:fldChar w:fldCharType="separate"/>
        </w:r>
        <w:r w:rsidR="000720CB">
          <w:rPr>
            <w:noProof/>
            <w:webHidden/>
          </w:rPr>
          <w:t>247</w:t>
        </w:r>
        <w:r w:rsidR="008618F2">
          <w:rPr>
            <w:noProof/>
            <w:webHidden/>
          </w:rPr>
          <w:fldChar w:fldCharType="end"/>
        </w:r>
      </w:hyperlink>
    </w:p>
    <w:p w14:paraId="4A8EC815" w14:textId="31F6D146" w:rsidR="008618F2" w:rsidRDefault="009B5CEC">
      <w:pPr>
        <w:pStyle w:val="TOC3"/>
        <w:rPr>
          <w:rFonts w:asciiTheme="minorHAnsi" w:eastAsiaTheme="minorEastAsia" w:hAnsiTheme="minorHAnsi" w:cstheme="minorBidi"/>
          <w:b w:val="0"/>
          <w:noProof/>
          <w:szCs w:val="22"/>
          <w:lang w:eastAsia="en-GB"/>
        </w:rPr>
      </w:pPr>
      <w:hyperlink w:anchor="_Toc134198145" w:history="1">
        <w:r w:rsidR="008618F2" w:rsidRPr="00DC3933">
          <w:rPr>
            <w:rStyle w:val="Hyperlink"/>
            <w:noProof/>
          </w:rPr>
          <w:t>14.2.1</w:t>
        </w:r>
        <w:r w:rsidR="008618F2">
          <w:rPr>
            <w:rFonts w:asciiTheme="minorHAnsi" w:eastAsiaTheme="minorEastAsia" w:hAnsiTheme="minorHAnsi" w:cstheme="minorBidi"/>
            <w:b w:val="0"/>
            <w:noProof/>
            <w:szCs w:val="22"/>
            <w:lang w:eastAsia="en-GB"/>
          </w:rPr>
          <w:tab/>
        </w:r>
        <w:r w:rsidR="008618F2" w:rsidRPr="00DC3933">
          <w:rPr>
            <w:rStyle w:val="Hyperlink"/>
            <w:noProof/>
          </w:rPr>
          <w:t>Design concepts</w:t>
        </w:r>
        <w:r w:rsidR="008618F2">
          <w:rPr>
            <w:noProof/>
            <w:webHidden/>
          </w:rPr>
          <w:tab/>
        </w:r>
        <w:r w:rsidR="008618F2">
          <w:rPr>
            <w:noProof/>
            <w:webHidden/>
          </w:rPr>
          <w:fldChar w:fldCharType="begin"/>
        </w:r>
        <w:r w:rsidR="008618F2">
          <w:rPr>
            <w:noProof/>
            <w:webHidden/>
          </w:rPr>
          <w:instrText xml:space="preserve"> PAGEREF _Toc134198145 \h </w:instrText>
        </w:r>
        <w:r w:rsidR="008618F2">
          <w:rPr>
            <w:noProof/>
            <w:webHidden/>
          </w:rPr>
        </w:r>
        <w:r w:rsidR="008618F2">
          <w:rPr>
            <w:noProof/>
            <w:webHidden/>
          </w:rPr>
          <w:fldChar w:fldCharType="separate"/>
        </w:r>
        <w:r w:rsidR="000720CB">
          <w:rPr>
            <w:noProof/>
            <w:webHidden/>
          </w:rPr>
          <w:t>247</w:t>
        </w:r>
        <w:r w:rsidR="008618F2">
          <w:rPr>
            <w:noProof/>
            <w:webHidden/>
          </w:rPr>
          <w:fldChar w:fldCharType="end"/>
        </w:r>
      </w:hyperlink>
    </w:p>
    <w:p w14:paraId="629EBAB9" w14:textId="493CF7A3" w:rsidR="008618F2" w:rsidRDefault="009B5CEC">
      <w:pPr>
        <w:pStyle w:val="TOC3"/>
        <w:rPr>
          <w:rFonts w:asciiTheme="minorHAnsi" w:eastAsiaTheme="minorEastAsia" w:hAnsiTheme="minorHAnsi" w:cstheme="minorBidi"/>
          <w:b w:val="0"/>
          <w:noProof/>
          <w:szCs w:val="22"/>
          <w:lang w:eastAsia="en-GB"/>
        </w:rPr>
      </w:pPr>
      <w:hyperlink w:anchor="_Toc134198146" w:history="1">
        <w:r w:rsidR="008618F2" w:rsidRPr="00DC3933">
          <w:rPr>
            <w:rStyle w:val="Hyperlink"/>
            <w:noProof/>
          </w:rPr>
          <w:t>14.2.2</w:t>
        </w:r>
        <w:r w:rsidR="008618F2">
          <w:rPr>
            <w:rFonts w:asciiTheme="minorHAnsi" w:eastAsiaTheme="minorEastAsia" w:hAnsiTheme="minorHAnsi" w:cstheme="minorBidi"/>
            <w:b w:val="0"/>
            <w:noProof/>
            <w:szCs w:val="22"/>
            <w:lang w:eastAsia="en-GB"/>
          </w:rPr>
          <w:tab/>
        </w:r>
        <w:r w:rsidR="008618F2" w:rsidRPr="00DC3933">
          <w:rPr>
            <w:rStyle w:val="Hyperlink"/>
            <w:noProof/>
          </w:rPr>
          <w:t>Rules applicable to structures designed to DC1 or DC2</w:t>
        </w:r>
        <w:r w:rsidR="008618F2">
          <w:rPr>
            <w:noProof/>
            <w:webHidden/>
          </w:rPr>
          <w:tab/>
        </w:r>
        <w:r w:rsidR="008618F2">
          <w:rPr>
            <w:noProof/>
            <w:webHidden/>
          </w:rPr>
          <w:fldChar w:fldCharType="begin"/>
        </w:r>
        <w:r w:rsidR="008618F2">
          <w:rPr>
            <w:noProof/>
            <w:webHidden/>
          </w:rPr>
          <w:instrText xml:space="preserve"> PAGEREF _Toc134198146 \h </w:instrText>
        </w:r>
        <w:r w:rsidR="008618F2">
          <w:rPr>
            <w:noProof/>
            <w:webHidden/>
          </w:rPr>
        </w:r>
        <w:r w:rsidR="008618F2">
          <w:rPr>
            <w:noProof/>
            <w:webHidden/>
          </w:rPr>
          <w:fldChar w:fldCharType="separate"/>
        </w:r>
        <w:r w:rsidR="000720CB">
          <w:rPr>
            <w:noProof/>
            <w:webHidden/>
          </w:rPr>
          <w:t>247</w:t>
        </w:r>
        <w:r w:rsidR="008618F2">
          <w:rPr>
            <w:noProof/>
            <w:webHidden/>
          </w:rPr>
          <w:fldChar w:fldCharType="end"/>
        </w:r>
      </w:hyperlink>
    </w:p>
    <w:p w14:paraId="7E6E3706" w14:textId="4E454EC6" w:rsidR="008618F2" w:rsidRDefault="009B5CEC">
      <w:pPr>
        <w:pStyle w:val="TOC2"/>
        <w:rPr>
          <w:rFonts w:asciiTheme="minorHAnsi" w:eastAsiaTheme="minorEastAsia" w:hAnsiTheme="minorHAnsi" w:cstheme="minorBidi"/>
          <w:b w:val="0"/>
          <w:noProof/>
          <w:szCs w:val="22"/>
          <w:lang w:eastAsia="en-GB"/>
        </w:rPr>
      </w:pPr>
      <w:hyperlink w:anchor="_Toc134198147" w:history="1">
        <w:r w:rsidR="008618F2" w:rsidRPr="00DC3933">
          <w:rPr>
            <w:rStyle w:val="Hyperlink"/>
            <w:noProof/>
          </w:rPr>
          <w:t>14.3</w:t>
        </w:r>
        <w:r w:rsidR="008618F2">
          <w:rPr>
            <w:rFonts w:asciiTheme="minorHAnsi" w:eastAsiaTheme="minorEastAsia" w:hAnsiTheme="minorHAnsi" w:cstheme="minorBidi"/>
            <w:b w:val="0"/>
            <w:noProof/>
            <w:szCs w:val="22"/>
            <w:lang w:eastAsia="en-GB"/>
          </w:rPr>
          <w:tab/>
        </w:r>
        <w:r w:rsidR="008618F2" w:rsidRPr="00DC3933">
          <w:rPr>
            <w:rStyle w:val="Hyperlink"/>
            <w:noProof/>
          </w:rPr>
          <w:t>Materials</w:t>
        </w:r>
        <w:r w:rsidR="008618F2">
          <w:rPr>
            <w:noProof/>
            <w:webHidden/>
          </w:rPr>
          <w:tab/>
        </w:r>
        <w:r w:rsidR="008618F2">
          <w:rPr>
            <w:noProof/>
            <w:webHidden/>
          </w:rPr>
          <w:fldChar w:fldCharType="begin"/>
        </w:r>
        <w:r w:rsidR="008618F2">
          <w:rPr>
            <w:noProof/>
            <w:webHidden/>
          </w:rPr>
          <w:instrText xml:space="preserve"> PAGEREF _Toc134198147 \h </w:instrText>
        </w:r>
        <w:r w:rsidR="008618F2">
          <w:rPr>
            <w:noProof/>
            <w:webHidden/>
          </w:rPr>
        </w:r>
        <w:r w:rsidR="008618F2">
          <w:rPr>
            <w:noProof/>
            <w:webHidden/>
          </w:rPr>
          <w:fldChar w:fldCharType="separate"/>
        </w:r>
        <w:r w:rsidR="000720CB">
          <w:rPr>
            <w:noProof/>
            <w:webHidden/>
          </w:rPr>
          <w:t>248</w:t>
        </w:r>
        <w:r w:rsidR="008618F2">
          <w:rPr>
            <w:noProof/>
            <w:webHidden/>
          </w:rPr>
          <w:fldChar w:fldCharType="end"/>
        </w:r>
      </w:hyperlink>
    </w:p>
    <w:p w14:paraId="6541EFFE" w14:textId="18C87859" w:rsidR="008618F2" w:rsidRDefault="009B5CEC">
      <w:pPr>
        <w:pStyle w:val="TOC2"/>
        <w:rPr>
          <w:rFonts w:asciiTheme="minorHAnsi" w:eastAsiaTheme="minorEastAsia" w:hAnsiTheme="minorHAnsi" w:cstheme="minorBidi"/>
          <w:b w:val="0"/>
          <w:noProof/>
          <w:szCs w:val="22"/>
          <w:lang w:eastAsia="en-GB"/>
        </w:rPr>
      </w:pPr>
      <w:hyperlink w:anchor="_Toc134198148" w:history="1">
        <w:r w:rsidR="008618F2" w:rsidRPr="00DC3933">
          <w:rPr>
            <w:rStyle w:val="Hyperlink"/>
            <w:noProof/>
          </w:rPr>
          <w:t>14.4</w:t>
        </w:r>
        <w:r w:rsidR="008618F2">
          <w:rPr>
            <w:rFonts w:asciiTheme="minorHAnsi" w:eastAsiaTheme="minorEastAsia" w:hAnsiTheme="minorHAnsi" w:cstheme="minorBidi"/>
            <w:b w:val="0"/>
            <w:noProof/>
            <w:szCs w:val="22"/>
            <w:lang w:eastAsia="en-GB"/>
          </w:rPr>
          <w:tab/>
        </w:r>
        <w:r w:rsidR="008618F2" w:rsidRPr="00DC3933">
          <w:rPr>
            <w:rStyle w:val="Hyperlink"/>
            <w:noProof/>
          </w:rPr>
          <w:t>Behaviour factors</w:t>
        </w:r>
        <w:r w:rsidR="008618F2">
          <w:rPr>
            <w:noProof/>
            <w:webHidden/>
          </w:rPr>
          <w:tab/>
        </w:r>
        <w:r w:rsidR="008618F2">
          <w:rPr>
            <w:noProof/>
            <w:webHidden/>
          </w:rPr>
          <w:fldChar w:fldCharType="begin"/>
        </w:r>
        <w:r w:rsidR="008618F2">
          <w:rPr>
            <w:noProof/>
            <w:webHidden/>
          </w:rPr>
          <w:instrText xml:space="preserve"> PAGEREF _Toc134198148 \h </w:instrText>
        </w:r>
        <w:r w:rsidR="008618F2">
          <w:rPr>
            <w:noProof/>
            <w:webHidden/>
          </w:rPr>
        </w:r>
        <w:r w:rsidR="008618F2">
          <w:rPr>
            <w:noProof/>
            <w:webHidden/>
          </w:rPr>
          <w:fldChar w:fldCharType="separate"/>
        </w:r>
        <w:r w:rsidR="000720CB">
          <w:rPr>
            <w:noProof/>
            <w:webHidden/>
          </w:rPr>
          <w:t>249</w:t>
        </w:r>
        <w:r w:rsidR="008618F2">
          <w:rPr>
            <w:noProof/>
            <w:webHidden/>
          </w:rPr>
          <w:fldChar w:fldCharType="end"/>
        </w:r>
      </w:hyperlink>
    </w:p>
    <w:p w14:paraId="2DA0C535" w14:textId="4F1D920F" w:rsidR="008618F2" w:rsidRDefault="009B5CEC">
      <w:pPr>
        <w:pStyle w:val="TOC3"/>
        <w:rPr>
          <w:rFonts w:asciiTheme="minorHAnsi" w:eastAsiaTheme="minorEastAsia" w:hAnsiTheme="minorHAnsi" w:cstheme="minorBidi"/>
          <w:b w:val="0"/>
          <w:noProof/>
          <w:szCs w:val="22"/>
          <w:lang w:eastAsia="en-GB"/>
        </w:rPr>
      </w:pPr>
      <w:hyperlink w:anchor="_Toc134198149" w:history="1">
        <w:r w:rsidR="008618F2" w:rsidRPr="00DC3933">
          <w:rPr>
            <w:rStyle w:val="Hyperlink"/>
            <w:noProof/>
          </w:rPr>
          <w:t>14.4.1</w:t>
        </w:r>
        <w:r w:rsidR="008618F2">
          <w:rPr>
            <w:rFonts w:asciiTheme="minorHAnsi" w:eastAsiaTheme="minorEastAsia" w:hAnsiTheme="minorHAnsi" w:cstheme="minorBidi"/>
            <w:b w:val="0"/>
            <w:noProof/>
            <w:szCs w:val="22"/>
            <w:lang w:eastAsia="en-GB"/>
          </w:rPr>
          <w:tab/>
        </w:r>
        <w:r w:rsidR="008618F2" w:rsidRPr="00DC3933">
          <w:rPr>
            <w:rStyle w:val="Hyperlink"/>
            <w:noProof/>
          </w:rPr>
          <w:t>Behaviour factors for in-plane analysis</w:t>
        </w:r>
        <w:r w:rsidR="008618F2">
          <w:rPr>
            <w:noProof/>
            <w:webHidden/>
          </w:rPr>
          <w:tab/>
        </w:r>
        <w:r w:rsidR="008618F2">
          <w:rPr>
            <w:noProof/>
            <w:webHidden/>
          </w:rPr>
          <w:fldChar w:fldCharType="begin"/>
        </w:r>
        <w:r w:rsidR="008618F2">
          <w:rPr>
            <w:noProof/>
            <w:webHidden/>
          </w:rPr>
          <w:instrText xml:space="preserve"> PAGEREF _Toc134198149 \h </w:instrText>
        </w:r>
        <w:r w:rsidR="008618F2">
          <w:rPr>
            <w:noProof/>
            <w:webHidden/>
          </w:rPr>
        </w:r>
        <w:r w:rsidR="008618F2">
          <w:rPr>
            <w:noProof/>
            <w:webHidden/>
          </w:rPr>
          <w:fldChar w:fldCharType="separate"/>
        </w:r>
        <w:r w:rsidR="000720CB">
          <w:rPr>
            <w:noProof/>
            <w:webHidden/>
          </w:rPr>
          <w:t>249</w:t>
        </w:r>
        <w:r w:rsidR="008618F2">
          <w:rPr>
            <w:noProof/>
            <w:webHidden/>
          </w:rPr>
          <w:fldChar w:fldCharType="end"/>
        </w:r>
      </w:hyperlink>
    </w:p>
    <w:p w14:paraId="0BBA453E" w14:textId="11147F7C" w:rsidR="008618F2" w:rsidRDefault="009B5CEC">
      <w:pPr>
        <w:pStyle w:val="TOC3"/>
        <w:rPr>
          <w:rFonts w:asciiTheme="minorHAnsi" w:eastAsiaTheme="minorEastAsia" w:hAnsiTheme="minorHAnsi" w:cstheme="minorBidi"/>
          <w:b w:val="0"/>
          <w:noProof/>
          <w:szCs w:val="22"/>
          <w:lang w:eastAsia="en-GB"/>
        </w:rPr>
      </w:pPr>
      <w:hyperlink w:anchor="_Toc134198150" w:history="1">
        <w:r w:rsidR="008618F2" w:rsidRPr="00DC3933">
          <w:rPr>
            <w:rStyle w:val="Hyperlink"/>
            <w:noProof/>
          </w:rPr>
          <w:t>14.4.2</w:t>
        </w:r>
        <w:r w:rsidR="008618F2">
          <w:rPr>
            <w:rFonts w:asciiTheme="minorHAnsi" w:eastAsiaTheme="minorEastAsia" w:hAnsiTheme="minorHAnsi" w:cstheme="minorBidi"/>
            <w:b w:val="0"/>
            <w:noProof/>
            <w:szCs w:val="22"/>
            <w:lang w:eastAsia="en-GB"/>
          </w:rPr>
          <w:tab/>
        </w:r>
        <w:r w:rsidR="008618F2" w:rsidRPr="00DC3933">
          <w:rPr>
            <w:rStyle w:val="Hyperlink"/>
            <w:noProof/>
          </w:rPr>
          <w:t>Behaviour factors for out-of-plane analysis</w:t>
        </w:r>
        <w:r w:rsidR="008618F2">
          <w:rPr>
            <w:noProof/>
            <w:webHidden/>
          </w:rPr>
          <w:tab/>
        </w:r>
        <w:r w:rsidR="008618F2">
          <w:rPr>
            <w:noProof/>
            <w:webHidden/>
          </w:rPr>
          <w:fldChar w:fldCharType="begin"/>
        </w:r>
        <w:r w:rsidR="008618F2">
          <w:rPr>
            <w:noProof/>
            <w:webHidden/>
          </w:rPr>
          <w:instrText xml:space="preserve"> PAGEREF _Toc134198150 \h </w:instrText>
        </w:r>
        <w:r w:rsidR="008618F2">
          <w:rPr>
            <w:noProof/>
            <w:webHidden/>
          </w:rPr>
        </w:r>
        <w:r w:rsidR="008618F2">
          <w:rPr>
            <w:noProof/>
            <w:webHidden/>
          </w:rPr>
          <w:fldChar w:fldCharType="separate"/>
        </w:r>
        <w:r w:rsidR="000720CB">
          <w:rPr>
            <w:noProof/>
            <w:webHidden/>
          </w:rPr>
          <w:t>251</w:t>
        </w:r>
        <w:r w:rsidR="008618F2">
          <w:rPr>
            <w:noProof/>
            <w:webHidden/>
          </w:rPr>
          <w:fldChar w:fldCharType="end"/>
        </w:r>
      </w:hyperlink>
    </w:p>
    <w:p w14:paraId="03FF1DD7" w14:textId="68086E54" w:rsidR="008618F2" w:rsidRDefault="009B5CEC">
      <w:pPr>
        <w:pStyle w:val="TOC2"/>
        <w:rPr>
          <w:rFonts w:asciiTheme="minorHAnsi" w:eastAsiaTheme="minorEastAsia" w:hAnsiTheme="minorHAnsi" w:cstheme="minorBidi"/>
          <w:b w:val="0"/>
          <w:noProof/>
          <w:szCs w:val="22"/>
          <w:lang w:eastAsia="en-GB"/>
        </w:rPr>
      </w:pPr>
      <w:hyperlink w:anchor="_Toc134198151" w:history="1">
        <w:r w:rsidR="008618F2" w:rsidRPr="00DC3933">
          <w:rPr>
            <w:rStyle w:val="Hyperlink"/>
            <w:noProof/>
          </w:rPr>
          <w:t>14.5</w:t>
        </w:r>
        <w:r w:rsidR="008618F2">
          <w:rPr>
            <w:rFonts w:asciiTheme="minorHAnsi" w:eastAsiaTheme="minorEastAsia" w:hAnsiTheme="minorHAnsi" w:cstheme="minorBidi"/>
            <w:b w:val="0"/>
            <w:noProof/>
            <w:szCs w:val="22"/>
            <w:lang w:eastAsia="en-GB"/>
          </w:rPr>
          <w:tab/>
        </w:r>
        <w:r w:rsidR="008618F2" w:rsidRPr="00DC3933">
          <w:rPr>
            <w:rStyle w:val="Hyperlink"/>
            <w:noProof/>
          </w:rPr>
          <w:t>Structural analysis</w:t>
        </w:r>
        <w:r w:rsidR="008618F2">
          <w:rPr>
            <w:noProof/>
            <w:webHidden/>
          </w:rPr>
          <w:tab/>
        </w:r>
        <w:r w:rsidR="008618F2">
          <w:rPr>
            <w:noProof/>
            <w:webHidden/>
          </w:rPr>
          <w:fldChar w:fldCharType="begin"/>
        </w:r>
        <w:r w:rsidR="008618F2">
          <w:rPr>
            <w:noProof/>
            <w:webHidden/>
          </w:rPr>
          <w:instrText xml:space="preserve"> PAGEREF _Toc134198151 \h </w:instrText>
        </w:r>
        <w:r w:rsidR="008618F2">
          <w:rPr>
            <w:noProof/>
            <w:webHidden/>
          </w:rPr>
        </w:r>
        <w:r w:rsidR="008618F2">
          <w:rPr>
            <w:noProof/>
            <w:webHidden/>
          </w:rPr>
          <w:fldChar w:fldCharType="separate"/>
        </w:r>
        <w:r w:rsidR="000720CB">
          <w:rPr>
            <w:noProof/>
            <w:webHidden/>
          </w:rPr>
          <w:t>251</w:t>
        </w:r>
        <w:r w:rsidR="008618F2">
          <w:rPr>
            <w:noProof/>
            <w:webHidden/>
          </w:rPr>
          <w:fldChar w:fldCharType="end"/>
        </w:r>
      </w:hyperlink>
    </w:p>
    <w:p w14:paraId="6D286B10" w14:textId="38C8C94F" w:rsidR="008618F2" w:rsidRDefault="009B5CEC">
      <w:pPr>
        <w:pStyle w:val="TOC3"/>
        <w:rPr>
          <w:rFonts w:asciiTheme="minorHAnsi" w:eastAsiaTheme="minorEastAsia" w:hAnsiTheme="minorHAnsi" w:cstheme="minorBidi"/>
          <w:b w:val="0"/>
          <w:noProof/>
          <w:szCs w:val="22"/>
          <w:lang w:eastAsia="en-GB"/>
        </w:rPr>
      </w:pPr>
      <w:hyperlink w:anchor="_Toc134198152" w:history="1">
        <w:r w:rsidR="008618F2" w:rsidRPr="00DC3933">
          <w:rPr>
            <w:rStyle w:val="Hyperlink"/>
            <w:noProof/>
          </w:rPr>
          <w:t>14.5.1</w:t>
        </w:r>
        <w:r w:rsidR="008618F2">
          <w:rPr>
            <w:rFonts w:asciiTheme="minorHAnsi" w:eastAsiaTheme="minorEastAsia" w:hAnsiTheme="minorHAnsi" w:cstheme="minorBidi"/>
            <w:b w:val="0"/>
            <w:noProof/>
            <w:szCs w:val="22"/>
            <w:lang w:eastAsia="en-GB"/>
          </w:rPr>
          <w:tab/>
        </w:r>
        <w:r w:rsidR="008618F2" w:rsidRPr="00DC3933">
          <w:rPr>
            <w:rStyle w:val="Hyperlink"/>
            <w:noProof/>
          </w:rPr>
          <w:t>Modelling rules for linear analyses</w:t>
        </w:r>
        <w:r w:rsidR="008618F2">
          <w:rPr>
            <w:noProof/>
            <w:webHidden/>
          </w:rPr>
          <w:tab/>
        </w:r>
        <w:r w:rsidR="008618F2">
          <w:rPr>
            <w:noProof/>
            <w:webHidden/>
          </w:rPr>
          <w:fldChar w:fldCharType="begin"/>
        </w:r>
        <w:r w:rsidR="008618F2">
          <w:rPr>
            <w:noProof/>
            <w:webHidden/>
          </w:rPr>
          <w:instrText xml:space="preserve"> PAGEREF _Toc134198152 \h </w:instrText>
        </w:r>
        <w:r w:rsidR="008618F2">
          <w:rPr>
            <w:noProof/>
            <w:webHidden/>
          </w:rPr>
        </w:r>
        <w:r w:rsidR="008618F2">
          <w:rPr>
            <w:noProof/>
            <w:webHidden/>
          </w:rPr>
          <w:fldChar w:fldCharType="separate"/>
        </w:r>
        <w:r w:rsidR="000720CB">
          <w:rPr>
            <w:noProof/>
            <w:webHidden/>
          </w:rPr>
          <w:t>251</w:t>
        </w:r>
        <w:r w:rsidR="008618F2">
          <w:rPr>
            <w:noProof/>
            <w:webHidden/>
          </w:rPr>
          <w:fldChar w:fldCharType="end"/>
        </w:r>
      </w:hyperlink>
    </w:p>
    <w:p w14:paraId="42A03A3A" w14:textId="67F36D67" w:rsidR="008618F2" w:rsidRDefault="009B5CEC">
      <w:pPr>
        <w:pStyle w:val="TOC3"/>
        <w:rPr>
          <w:rFonts w:asciiTheme="minorHAnsi" w:eastAsiaTheme="minorEastAsia" w:hAnsiTheme="minorHAnsi" w:cstheme="minorBidi"/>
          <w:b w:val="0"/>
          <w:noProof/>
          <w:szCs w:val="22"/>
          <w:lang w:eastAsia="en-GB"/>
        </w:rPr>
      </w:pPr>
      <w:hyperlink w:anchor="_Toc134198153" w:history="1">
        <w:r w:rsidR="008618F2" w:rsidRPr="00DC3933">
          <w:rPr>
            <w:rStyle w:val="Hyperlink"/>
            <w:noProof/>
          </w:rPr>
          <w:t>14.5.2</w:t>
        </w:r>
        <w:r w:rsidR="008618F2">
          <w:rPr>
            <w:rFonts w:asciiTheme="minorHAnsi" w:eastAsiaTheme="minorEastAsia" w:hAnsiTheme="minorHAnsi" w:cstheme="minorBidi"/>
            <w:b w:val="0"/>
            <w:noProof/>
            <w:szCs w:val="22"/>
            <w:lang w:eastAsia="en-GB"/>
          </w:rPr>
          <w:tab/>
        </w:r>
        <w:r w:rsidR="008618F2" w:rsidRPr="00DC3933">
          <w:rPr>
            <w:rStyle w:val="Hyperlink"/>
            <w:noProof/>
          </w:rPr>
          <w:t>Modelling rules for non-linear analyses</w:t>
        </w:r>
        <w:r w:rsidR="008618F2">
          <w:rPr>
            <w:noProof/>
            <w:webHidden/>
          </w:rPr>
          <w:tab/>
        </w:r>
        <w:r w:rsidR="008618F2">
          <w:rPr>
            <w:noProof/>
            <w:webHidden/>
          </w:rPr>
          <w:fldChar w:fldCharType="begin"/>
        </w:r>
        <w:r w:rsidR="008618F2">
          <w:rPr>
            <w:noProof/>
            <w:webHidden/>
          </w:rPr>
          <w:instrText xml:space="preserve"> PAGEREF _Toc134198153 \h </w:instrText>
        </w:r>
        <w:r w:rsidR="008618F2">
          <w:rPr>
            <w:noProof/>
            <w:webHidden/>
          </w:rPr>
        </w:r>
        <w:r w:rsidR="008618F2">
          <w:rPr>
            <w:noProof/>
            <w:webHidden/>
          </w:rPr>
          <w:fldChar w:fldCharType="separate"/>
        </w:r>
        <w:r w:rsidR="000720CB">
          <w:rPr>
            <w:noProof/>
            <w:webHidden/>
          </w:rPr>
          <w:t>253</w:t>
        </w:r>
        <w:r w:rsidR="008618F2">
          <w:rPr>
            <w:noProof/>
            <w:webHidden/>
          </w:rPr>
          <w:fldChar w:fldCharType="end"/>
        </w:r>
      </w:hyperlink>
    </w:p>
    <w:p w14:paraId="17E68ED3" w14:textId="54D495B6" w:rsidR="008618F2" w:rsidRDefault="009B5CEC">
      <w:pPr>
        <w:pStyle w:val="TOC3"/>
        <w:rPr>
          <w:rFonts w:asciiTheme="minorHAnsi" w:eastAsiaTheme="minorEastAsia" w:hAnsiTheme="minorHAnsi" w:cstheme="minorBidi"/>
          <w:b w:val="0"/>
          <w:noProof/>
          <w:szCs w:val="22"/>
          <w:lang w:eastAsia="en-GB"/>
        </w:rPr>
      </w:pPr>
      <w:hyperlink w:anchor="_Toc134198154" w:history="1">
        <w:r w:rsidR="008618F2" w:rsidRPr="00DC3933">
          <w:rPr>
            <w:rStyle w:val="Hyperlink"/>
            <w:noProof/>
          </w:rPr>
          <w:t>14.5.3</w:t>
        </w:r>
        <w:r w:rsidR="008618F2">
          <w:rPr>
            <w:rFonts w:asciiTheme="minorHAnsi" w:eastAsiaTheme="minorEastAsia" w:hAnsiTheme="minorHAnsi" w:cstheme="minorBidi"/>
            <w:b w:val="0"/>
            <w:noProof/>
            <w:szCs w:val="22"/>
            <w:lang w:eastAsia="en-GB"/>
          </w:rPr>
          <w:tab/>
        </w:r>
        <w:r w:rsidR="008618F2" w:rsidRPr="00DC3933">
          <w:rPr>
            <w:rStyle w:val="Hyperlink"/>
            <w:noProof/>
          </w:rPr>
          <w:t>Force based analysis</w:t>
        </w:r>
        <w:r w:rsidR="008618F2">
          <w:rPr>
            <w:noProof/>
            <w:webHidden/>
          </w:rPr>
          <w:tab/>
        </w:r>
        <w:r w:rsidR="008618F2">
          <w:rPr>
            <w:noProof/>
            <w:webHidden/>
          </w:rPr>
          <w:fldChar w:fldCharType="begin"/>
        </w:r>
        <w:r w:rsidR="008618F2">
          <w:rPr>
            <w:noProof/>
            <w:webHidden/>
          </w:rPr>
          <w:instrText xml:space="preserve"> PAGEREF _Toc134198154 \h </w:instrText>
        </w:r>
        <w:r w:rsidR="008618F2">
          <w:rPr>
            <w:noProof/>
            <w:webHidden/>
          </w:rPr>
        </w:r>
        <w:r w:rsidR="008618F2">
          <w:rPr>
            <w:noProof/>
            <w:webHidden/>
          </w:rPr>
          <w:fldChar w:fldCharType="separate"/>
        </w:r>
        <w:r w:rsidR="000720CB">
          <w:rPr>
            <w:noProof/>
            <w:webHidden/>
          </w:rPr>
          <w:t>255</w:t>
        </w:r>
        <w:r w:rsidR="008618F2">
          <w:rPr>
            <w:noProof/>
            <w:webHidden/>
          </w:rPr>
          <w:fldChar w:fldCharType="end"/>
        </w:r>
      </w:hyperlink>
    </w:p>
    <w:p w14:paraId="030200A2" w14:textId="247F9D32" w:rsidR="008618F2" w:rsidRDefault="009B5CEC" w:rsidP="008618F2">
      <w:pPr>
        <w:pStyle w:val="TOC3"/>
        <w:jc w:val="left"/>
        <w:rPr>
          <w:rFonts w:asciiTheme="minorHAnsi" w:eastAsiaTheme="minorEastAsia" w:hAnsiTheme="minorHAnsi" w:cstheme="minorBidi"/>
          <w:b w:val="0"/>
          <w:noProof/>
          <w:szCs w:val="22"/>
          <w:lang w:eastAsia="en-GB"/>
        </w:rPr>
      </w:pPr>
      <w:hyperlink w:anchor="_Toc134198155" w:history="1">
        <w:r w:rsidR="008618F2" w:rsidRPr="00DC3933">
          <w:rPr>
            <w:rStyle w:val="Hyperlink"/>
            <w:rFonts w:eastAsia="Cambria"/>
            <w:noProof/>
          </w:rPr>
          <w:t>14.5.4</w:t>
        </w:r>
        <w:r w:rsidR="008618F2">
          <w:rPr>
            <w:rFonts w:asciiTheme="minorHAnsi" w:eastAsiaTheme="minorEastAsia" w:hAnsiTheme="minorHAnsi" w:cstheme="minorBidi"/>
            <w:b w:val="0"/>
            <w:noProof/>
            <w:szCs w:val="22"/>
            <w:lang w:eastAsia="en-GB"/>
          </w:rPr>
          <w:tab/>
        </w:r>
        <w:r w:rsidR="008618F2" w:rsidRPr="00DC3933">
          <w:rPr>
            <w:rStyle w:val="Hyperlink"/>
            <w:noProof/>
          </w:rPr>
          <w:t>Linear structural analysis for determining the out-of-plane bending moment demand on walls</w:t>
        </w:r>
        <w:r w:rsidR="008618F2">
          <w:rPr>
            <w:noProof/>
            <w:webHidden/>
          </w:rPr>
          <w:tab/>
        </w:r>
        <w:r w:rsidR="008618F2">
          <w:rPr>
            <w:noProof/>
            <w:webHidden/>
          </w:rPr>
          <w:fldChar w:fldCharType="begin"/>
        </w:r>
        <w:r w:rsidR="008618F2">
          <w:rPr>
            <w:noProof/>
            <w:webHidden/>
          </w:rPr>
          <w:instrText xml:space="preserve"> PAGEREF _Toc134198155 \h </w:instrText>
        </w:r>
        <w:r w:rsidR="008618F2">
          <w:rPr>
            <w:noProof/>
            <w:webHidden/>
          </w:rPr>
        </w:r>
        <w:r w:rsidR="008618F2">
          <w:rPr>
            <w:noProof/>
            <w:webHidden/>
          </w:rPr>
          <w:fldChar w:fldCharType="separate"/>
        </w:r>
        <w:r w:rsidR="000720CB">
          <w:rPr>
            <w:noProof/>
            <w:webHidden/>
          </w:rPr>
          <w:t>257</w:t>
        </w:r>
        <w:r w:rsidR="008618F2">
          <w:rPr>
            <w:noProof/>
            <w:webHidden/>
          </w:rPr>
          <w:fldChar w:fldCharType="end"/>
        </w:r>
      </w:hyperlink>
    </w:p>
    <w:p w14:paraId="7EDF015E" w14:textId="74972355" w:rsidR="008618F2" w:rsidRDefault="009B5CEC">
      <w:pPr>
        <w:pStyle w:val="TOC2"/>
        <w:rPr>
          <w:rFonts w:asciiTheme="minorHAnsi" w:eastAsiaTheme="minorEastAsia" w:hAnsiTheme="minorHAnsi" w:cstheme="minorBidi"/>
          <w:b w:val="0"/>
          <w:noProof/>
          <w:szCs w:val="22"/>
          <w:lang w:eastAsia="en-GB"/>
        </w:rPr>
      </w:pPr>
      <w:hyperlink w:anchor="_Toc134198156" w:history="1">
        <w:r w:rsidR="008618F2" w:rsidRPr="00DC3933">
          <w:rPr>
            <w:rStyle w:val="Hyperlink"/>
            <w:noProof/>
          </w:rPr>
          <w:t>14.6</w:t>
        </w:r>
        <w:r w:rsidR="008618F2">
          <w:rPr>
            <w:rFonts w:asciiTheme="minorHAnsi" w:eastAsiaTheme="minorEastAsia" w:hAnsiTheme="minorHAnsi" w:cstheme="minorBidi"/>
            <w:b w:val="0"/>
            <w:noProof/>
            <w:szCs w:val="22"/>
            <w:lang w:eastAsia="en-GB"/>
          </w:rPr>
          <w:tab/>
        </w:r>
        <w:r w:rsidR="008618F2" w:rsidRPr="00DC3933">
          <w:rPr>
            <w:rStyle w:val="Hyperlink"/>
            <w:noProof/>
          </w:rPr>
          <w:t>Verification of limit states</w:t>
        </w:r>
        <w:r w:rsidR="008618F2">
          <w:rPr>
            <w:noProof/>
            <w:webHidden/>
          </w:rPr>
          <w:tab/>
        </w:r>
        <w:r w:rsidR="008618F2">
          <w:rPr>
            <w:noProof/>
            <w:webHidden/>
          </w:rPr>
          <w:fldChar w:fldCharType="begin"/>
        </w:r>
        <w:r w:rsidR="008618F2">
          <w:rPr>
            <w:noProof/>
            <w:webHidden/>
          </w:rPr>
          <w:instrText xml:space="preserve"> PAGEREF _Toc134198156 \h </w:instrText>
        </w:r>
        <w:r w:rsidR="008618F2">
          <w:rPr>
            <w:noProof/>
            <w:webHidden/>
          </w:rPr>
        </w:r>
        <w:r w:rsidR="008618F2">
          <w:rPr>
            <w:noProof/>
            <w:webHidden/>
          </w:rPr>
          <w:fldChar w:fldCharType="separate"/>
        </w:r>
        <w:r w:rsidR="000720CB">
          <w:rPr>
            <w:noProof/>
            <w:webHidden/>
          </w:rPr>
          <w:t>258</w:t>
        </w:r>
        <w:r w:rsidR="008618F2">
          <w:rPr>
            <w:noProof/>
            <w:webHidden/>
          </w:rPr>
          <w:fldChar w:fldCharType="end"/>
        </w:r>
      </w:hyperlink>
    </w:p>
    <w:p w14:paraId="4C446E08" w14:textId="7EC8C01A" w:rsidR="008618F2" w:rsidRDefault="009B5CEC">
      <w:pPr>
        <w:pStyle w:val="TOC3"/>
        <w:rPr>
          <w:rFonts w:asciiTheme="minorHAnsi" w:eastAsiaTheme="minorEastAsia" w:hAnsiTheme="minorHAnsi" w:cstheme="minorBidi"/>
          <w:b w:val="0"/>
          <w:noProof/>
          <w:szCs w:val="22"/>
          <w:lang w:eastAsia="en-GB"/>
        </w:rPr>
      </w:pPr>
      <w:hyperlink w:anchor="_Toc134198157" w:history="1">
        <w:r w:rsidR="008618F2" w:rsidRPr="00DC3933">
          <w:rPr>
            <w:rStyle w:val="Hyperlink"/>
            <w:noProof/>
          </w:rPr>
          <w:t>14.6.1</w:t>
        </w:r>
        <w:r w:rsidR="008618F2">
          <w:rPr>
            <w:rFonts w:asciiTheme="minorHAnsi" w:eastAsiaTheme="minorEastAsia" w:hAnsiTheme="minorHAnsi" w:cstheme="minorBidi"/>
            <w:b w:val="0"/>
            <w:noProof/>
            <w:szCs w:val="22"/>
            <w:lang w:eastAsia="en-GB"/>
          </w:rPr>
          <w:tab/>
        </w:r>
        <w:r w:rsidR="008618F2" w:rsidRPr="00DC3933">
          <w:rPr>
            <w:rStyle w:val="Hyperlink"/>
            <w:noProof/>
          </w:rPr>
          <w:t>General requirements</w:t>
        </w:r>
        <w:r w:rsidR="008618F2">
          <w:rPr>
            <w:noProof/>
            <w:webHidden/>
          </w:rPr>
          <w:tab/>
        </w:r>
        <w:r w:rsidR="008618F2">
          <w:rPr>
            <w:noProof/>
            <w:webHidden/>
          </w:rPr>
          <w:fldChar w:fldCharType="begin"/>
        </w:r>
        <w:r w:rsidR="008618F2">
          <w:rPr>
            <w:noProof/>
            <w:webHidden/>
          </w:rPr>
          <w:instrText xml:space="preserve"> PAGEREF _Toc134198157 \h </w:instrText>
        </w:r>
        <w:r w:rsidR="008618F2">
          <w:rPr>
            <w:noProof/>
            <w:webHidden/>
          </w:rPr>
        </w:r>
        <w:r w:rsidR="008618F2">
          <w:rPr>
            <w:noProof/>
            <w:webHidden/>
          </w:rPr>
          <w:fldChar w:fldCharType="separate"/>
        </w:r>
        <w:r w:rsidR="000720CB">
          <w:rPr>
            <w:noProof/>
            <w:webHidden/>
          </w:rPr>
          <w:t>258</w:t>
        </w:r>
        <w:r w:rsidR="008618F2">
          <w:rPr>
            <w:noProof/>
            <w:webHidden/>
          </w:rPr>
          <w:fldChar w:fldCharType="end"/>
        </w:r>
      </w:hyperlink>
    </w:p>
    <w:p w14:paraId="783E15A0" w14:textId="71CB5876" w:rsidR="008618F2" w:rsidRDefault="009B5CEC">
      <w:pPr>
        <w:pStyle w:val="TOC3"/>
        <w:rPr>
          <w:rFonts w:asciiTheme="minorHAnsi" w:eastAsiaTheme="minorEastAsia" w:hAnsiTheme="minorHAnsi" w:cstheme="minorBidi"/>
          <w:b w:val="0"/>
          <w:noProof/>
          <w:szCs w:val="22"/>
          <w:lang w:eastAsia="en-GB"/>
        </w:rPr>
      </w:pPr>
      <w:hyperlink w:anchor="_Toc134198158" w:history="1">
        <w:r w:rsidR="008618F2" w:rsidRPr="00DC3933">
          <w:rPr>
            <w:rStyle w:val="Hyperlink"/>
            <w:noProof/>
          </w:rPr>
          <w:t>14.6.2</w:t>
        </w:r>
        <w:r w:rsidR="008618F2">
          <w:rPr>
            <w:rFonts w:asciiTheme="minorHAnsi" w:eastAsiaTheme="minorEastAsia" w:hAnsiTheme="minorHAnsi" w:cstheme="minorBidi"/>
            <w:b w:val="0"/>
            <w:noProof/>
            <w:szCs w:val="22"/>
            <w:lang w:eastAsia="en-GB"/>
          </w:rPr>
          <w:tab/>
        </w:r>
        <w:r w:rsidR="008618F2" w:rsidRPr="00DC3933">
          <w:rPr>
            <w:rStyle w:val="Hyperlink"/>
            <w:noProof/>
          </w:rPr>
          <w:t>Verification for in-plane actions</w:t>
        </w:r>
        <w:r w:rsidR="008618F2">
          <w:rPr>
            <w:noProof/>
            <w:webHidden/>
          </w:rPr>
          <w:tab/>
        </w:r>
        <w:r w:rsidR="008618F2">
          <w:rPr>
            <w:noProof/>
            <w:webHidden/>
          </w:rPr>
          <w:fldChar w:fldCharType="begin"/>
        </w:r>
        <w:r w:rsidR="008618F2">
          <w:rPr>
            <w:noProof/>
            <w:webHidden/>
          </w:rPr>
          <w:instrText xml:space="preserve"> PAGEREF _Toc134198158 \h </w:instrText>
        </w:r>
        <w:r w:rsidR="008618F2">
          <w:rPr>
            <w:noProof/>
            <w:webHidden/>
          </w:rPr>
        </w:r>
        <w:r w:rsidR="008618F2">
          <w:rPr>
            <w:noProof/>
            <w:webHidden/>
          </w:rPr>
          <w:fldChar w:fldCharType="separate"/>
        </w:r>
        <w:r w:rsidR="000720CB">
          <w:rPr>
            <w:noProof/>
            <w:webHidden/>
          </w:rPr>
          <w:t>259</w:t>
        </w:r>
        <w:r w:rsidR="008618F2">
          <w:rPr>
            <w:noProof/>
            <w:webHidden/>
          </w:rPr>
          <w:fldChar w:fldCharType="end"/>
        </w:r>
      </w:hyperlink>
    </w:p>
    <w:p w14:paraId="00D08A79" w14:textId="24422A1D" w:rsidR="008618F2" w:rsidRDefault="009B5CEC">
      <w:pPr>
        <w:pStyle w:val="TOC3"/>
        <w:rPr>
          <w:rFonts w:asciiTheme="minorHAnsi" w:eastAsiaTheme="minorEastAsia" w:hAnsiTheme="minorHAnsi" w:cstheme="minorBidi"/>
          <w:b w:val="0"/>
          <w:noProof/>
          <w:szCs w:val="22"/>
          <w:lang w:eastAsia="en-GB"/>
        </w:rPr>
      </w:pPr>
      <w:hyperlink w:anchor="_Toc134198159" w:history="1">
        <w:r w:rsidR="008618F2" w:rsidRPr="00DC3933">
          <w:rPr>
            <w:rStyle w:val="Hyperlink"/>
            <w:noProof/>
          </w:rPr>
          <w:t>14.6.3</w:t>
        </w:r>
        <w:r w:rsidR="008618F2">
          <w:rPr>
            <w:rFonts w:asciiTheme="minorHAnsi" w:eastAsiaTheme="minorEastAsia" w:hAnsiTheme="minorHAnsi" w:cstheme="minorBidi"/>
            <w:b w:val="0"/>
            <w:noProof/>
            <w:szCs w:val="22"/>
            <w:lang w:eastAsia="en-GB"/>
          </w:rPr>
          <w:tab/>
        </w:r>
        <w:r w:rsidR="008618F2" w:rsidRPr="00DC3933">
          <w:rPr>
            <w:rStyle w:val="Hyperlink"/>
            <w:noProof/>
          </w:rPr>
          <w:t>Verification for out-of-plane actions at SD limit state</w:t>
        </w:r>
        <w:r w:rsidR="008618F2">
          <w:rPr>
            <w:noProof/>
            <w:webHidden/>
          </w:rPr>
          <w:tab/>
        </w:r>
        <w:r w:rsidR="008618F2">
          <w:rPr>
            <w:noProof/>
            <w:webHidden/>
          </w:rPr>
          <w:fldChar w:fldCharType="begin"/>
        </w:r>
        <w:r w:rsidR="008618F2">
          <w:rPr>
            <w:noProof/>
            <w:webHidden/>
          </w:rPr>
          <w:instrText xml:space="preserve"> PAGEREF _Toc134198159 \h </w:instrText>
        </w:r>
        <w:r w:rsidR="008618F2">
          <w:rPr>
            <w:noProof/>
            <w:webHidden/>
          </w:rPr>
        </w:r>
        <w:r w:rsidR="008618F2">
          <w:rPr>
            <w:noProof/>
            <w:webHidden/>
          </w:rPr>
          <w:fldChar w:fldCharType="separate"/>
        </w:r>
        <w:r w:rsidR="000720CB">
          <w:rPr>
            <w:noProof/>
            <w:webHidden/>
          </w:rPr>
          <w:t>261</w:t>
        </w:r>
        <w:r w:rsidR="008618F2">
          <w:rPr>
            <w:noProof/>
            <w:webHidden/>
          </w:rPr>
          <w:fldChar w:fldCharType="end"/>
        </w:r>
      </w:hyperlink>
    </w:p>
    <w:p w14:paraId="5B5CF46F" w14:textId="240080F4" w:rsidR="008618F2" w:rsidRDefault="009B5CEC">
      <w:pPr>
        <w:pStyle w:val="TOC2"/>
        <w:rPr>
          <w:rFonts w:asciiTheme="minorHAnsi" w:eastAsiaTheme="minorEastAsia" w:hAnsiTheme="minorHAnsi" w:cstheme="minorBidi"/>
          <w:b w:val="0"/>
          <w:noProof/>
          <w:szCs w:val="22"/>
          <w:lang w:eastAsia="en-GB"/>
        </w:rPr>
      </w:pPr>
      <w:hyperlink w:anchor="_Toc134198160" w:history="1">
        <w:r w:rsidR="008618F2" w:rsidRPr="00DC3933">
          <w:rPr>
            <w:rStyle w:val="Hyperlink"/>
            <w:noProof/>
          </w:rPr>
          <w:t>14.7</w:t>
        </w:r>
        <w:r w:rsidR="008618F2">
          <w:rPr>
            <w:rFonts w:asciiTheme="minorHAnsi" w:eastAsiaTheme="minorEastAsia" w:hAnsiTheme="minorHAnsi" w:cstheme="minorBidi"/>
            <w:b w:val="0"/>
            <w:noProof/>
            <w:szCs w:val="22"/>
            <w:lang w:eastAsia="en-GB"/>
          </w:rPr>
          <w:tab/>
        </w:r>
        <w:r w:rsidR="008618F2" w:rsidRPr="00DC3933">
          <w:rPr>
            <w:rStyle w:val="Hyperlink"/>
            <w:noProof/>
          </w:rPr>
          <w:t>Design rules for members</w:t>
        </w:r>
        <w:r w:rsidR="008618F2">
          <w:rPr>
            <w:noProof/>
            <w:webHidden/>
          </w:rPr>
          <w:tab/>
        </w:r>
        <w:r w:rsidR="008618F2">
          <w:rPr>
            <w:noProof/>
            <w:webHidden/>
          </w:rPr>
          <w:fldChar w:fldCharType="begin"/>
        </w:r>
        <w:r w:rsidR="008618F2">
          <w:rPr>
            <w:noProof/>
            <w:webHidden/>
          </w:rPr>
          <w:instrText xml:space="preserve"> PAGEREF _Toc134198160 \h </w:instrText>
        </w:r>
        <w:r w:rsidR="008618F2">
          <w:rPr>
            <w:noProof/>
            <w:webHidden/>
          </w:rPr>
        </w:r>
        <w:r w:rsidR="008618F2">
          <w:rPr>
            <w:noProof/>
            <w:webHidden/>
          </w:rPr>
          <w:fldChar w:fldCharType="separate"/>
        </w:r>
        <w:r w:rsidR="000720CB">
          <w:rPr>
            <w:noProof/>
            <w:webHidden/>
          </w:rPr>
          <w:t>261</w:t>
        </w:r>
        <w:r w:rsidR="008618F2">
          <w:rPr>
            <w:noProof/>
            <w:webHidden/>
          </w:rPr>
          <w:fldChar w:fldCharType="end"/>
        </w:r>
      </w:hyperlink>
    </w:p>
    <w:p w14:paraId="181A342C" w14:textId="7488244B" w:rsidR="008618F2" w:rsidRDefault="009B5CEC">
      <w:pPr>
        <w:pStyle w:val="TOC3"/>
        <w:rPr>
          <w:rFonts w:asciiTheme="minorHAnsi" w:eastAsiaTheme="minorEastAsia" w:hAnsiTheme="minorHAnsi" w:cstheme="minorBidi"/>
          <w:b w:val="0"/>
          <w:noProof/>
          <w:szCs w:val="22"/>
          <w:lang w:eastAsia="en-GB"/>
        </w:rPr>
      </w:pPr>
      <w:hyperlink w:anchor="_Toc134198161" w:history="1">
        <w:r w:rsidR="008618F2" w:rsidRPr="00DC3933">
          <w:rPr>
            <w:rStyle w:val="Hyperlink"/>
            <w:noProof/>
          </w:rPr>
          <w:t>14.7.1</w:t>
        </w:r>
        <w:r w:rsidR="008618F2">
          <w:rPr>
            <w:rFonts w:asciiTheme="minorHAnsi" w:eastAsiaTheme="minorEastAsia" w:hAnsiTheme="minorHAnsi" w:cstheme="minorBidi"/>
            <w:b w:val="0"/>
            <w:noProof/>
            <w:szCs w:val="22"/>
            <w:lang w:eastAsia="en-GB"/>
          </w:rPr>
          <w:tab/>
        </w:r>
        <w:r w:rsidR="008618F2" w:rsidRPr="00DC3933">
          <w:rPr>
            <w:rStyle w:val="Hyperlink"/>
            <w:noProof/>
          </w:rPr>
          <w:t>Limitations of piers and walls dimensions in DC1 and DC2</w:t>
        </w:r>
        <w:r w:rsidR="008618F2">
          <w:rPr>
            <w:noProof/>
            <w:webHidden/>
          </w:rPr>
          <w:tab/>
        </w:r>
        <w:r w:rsidR="008618F2">
          <w:rPr>
            <w:noProof/>
            <w:webHidden/>
          </w:rPr>
          <w:fldChar w:fldCharType="begin"/>
        </w:r>
        <w:r w:rsidR="008618F2">
          <w:rPr>
            <w:noProof/>
            <w:webHidden/>
          </w:rPr>
          <w:instrText xml:space="preserve"> PAGEREF _Toc134198161 \h </w:instrText>
        </w:r>
        <w:r w:rsidR="008618F2">
          <w:rPr>
            <w:noProof/>
            <w:webHidden/>
          </w:rPr>
        </w:r>
        <w:r w:rsidR="008618F2">
          <w:rPr>
            <w:noProof/>
            <w:webHidden/>
          </w:rPr>
          <w:fldChar w:fldCharType="separate"/>
        </w:r>
        <w:r w:rsidR="000720CB">
          <w:rPr>
            <w:noProof/>
            <w:webHidden/>
          </w:rPr>
          <w:t>261</w:t>
        </w:r>
        <w:r w:rsidR="008618F2">
          <w:rPr>
            <w:noProof/>
            <w:webHidden/>
          </w:rPr>
          <w:fldChar w:fldCharType="end"/>
        </w:r>
      </w:hyperlink>
    </w:p>
    <w:p w14:paraId="405045DD" w14:textId="6725351C" w:rsidR="008618F2" w:rsidRDefault="009B5CEC">
      <w:pPr>
        <w:pStyle w:val="TOC3"/>
        <w:rPr>
          <w:rFonts w:asciiTheme="minorHAnsi" w:eastAsiaTheme="minorEastAsia" w:hAnsiTheme="minorHAnsi" w:cstheme="minorBidi"/>
          <w:b w:val="0"/>
          <w:noProof/>
          <w:szCs w:val="22"/>
          <w:lang w:eastAsia="en-GB"/>
        </w:rPr>
      </w:pPr>
      <w:hyperlink w:anchor="_Toc134198162" w:history="1">
        <w:r w:rsidR="008618F2" w:rsidRPr="00DC3933">
          <w:rPr>
            <w:rStyle w:val="Hyperlink"/>
            <w:noProof/>
          </w:rPr>
          <w:t>14.7.2</w:t>
        </w:r>
        <w:r w:rsidR="008618F2">
          <w:rPr>
            <w:rFonts w:asciiTheme="minorHAnsi" w:eastAsiaTheme="minorEastAsia" w:hAnsiTheme="minorHAnsi" w:cstheme="minorBidi"/>
            <w:b w:val="0"/>
            <w:noProof/>
            <w:szCs w:val="22"/>
            <w:lang w:eastAsia="en-GB"/>
          </w:rPr>
          <w:tab/>
        </w:r>
        <w:r w:rsidR="008618F2" w:rsidRPr="00DC3933">
          <w:rPr>
            <w:rStyle w:val="Hyperlink"/>
            <w:noProof/>
          </w:rPr>
          <w:t>Design rules for unreinforced masonry in DC2</w:t>
        </w:r>
        <w:r w:rsidR="008618F2">
          <w:rPr>
            <w:noProof/>
            <w:webHidden/>
          </w:rPr>
          <w:tab/>
        </w:r>
        <w:r w:rsidR="008618F2">
          <w:rPr>
            <w:noProof/>
            <w:webHidden/>
          </w:rPr>
          <w:fldChar w:fldCharType="begin"/>
        </w:r>
        <w:r w:rsidR="008618F2">
          <w:rPr>
            <w:noProof/>
            <w:webHidden/>
          </w:rPr>
          <w:instrText xml:space="preserve"> PAGEREF _Toc134198162 \h </w:instrText>
        </w:r>
        <w:r w:rsidR="008618F2">
          <w:rPr>
            <w:noProof/>
            <w:webHidden/>
          </w:rPr>
        </w:r>
        <w:r w:rsidR="008618F2">
          <w:rPr>
            <w:noProof/>
            <w:webHidden/>
          </w:rPr>
          <w:fldChar w:fldCharType="separate"/>
        </w:r>
        <w:r w:rsidR="000720CB">
          <w:rPr>
            <w:noProof/>
            <w:webHidden/>
          </w:rPr>
          <w:t>262</w:t>
        </w:r>
        <w:r w:rsidR="008618F2">
          <w:rPr>
            <w:noProof/>
            <w:webHidden/>
          </w:rPr>
          <w:fldChar w:fldCharType="end"/>
        </w:r>
      </w:hyperlink>
    </w:p>
    <w:p w14:paraId="62950CDE" w14:textId="7983450F" w:rsidR="008618F2" w:rsidRDefault="009B5CEC">
      <w:pPr>
        <w:pStyle w:val="TOC3"/>
        <w:rPr>
          <w:rFonts w:asciiTheme="minorHAnsi" w:eastAsiaTheme="minorEastAsia" w:hAnsiTheme="minorHAnsi" w:cstheme="minorBidi"/>
          <w:b w:val="0"/>
          <w:noProof/>
          <w:szCs w:val="22"/>
          <w:lang w:eastAsia="en-GB"/>
        </w:rPr>
      </w:pPr>
      <w:hyperlink w:anchor="_Toc134198163" w:history="1">
        <w:r w:rsidR="008618F2" w:rsidRPr="00DC3933">
          <w:rPr>
            <w:rStyle w:val="Hyperlink"/>
            <w:noProof/>
          </w:rPr>
          <w:t>14.7.3</w:t>
        </w:r>
        <w:r w:rsidR="008618F2">
          <w:rPr>
            <w:rFonts w:asciiTheme="minorHAnsi" w:eastAsiaTheme="minorEastAsia" w:hAnsiTheme="minorHAnsi" w:cstheme="minorBidi"/>
            <w:b w:val="0"/>
            <w:noProof/>
            <w:szCs w:val="22"/>
            <w:lang w:eastAsia="en-GB"/>
          </w:rPr>
          <w:tab/>
        </w:r>
        <w:r w:rsidR="008618F2" w:rsidRPr="00DC3933">
          <w:rPr>
            <w:rStyle w:val="Hyperlink"/>
            <w:noProof/>
          </w:rPr>
          <w:t>Design rules for confined masonry in DC2</w:t>
        </w:r>
        <w:r w:rsidR="008618F2">
          <w:rPr>
            <w:noProof/>
            <w:webHidden/>
          </w:rPr>
          <w:tab/>
        </w:r>
        <w:r w:rsidR="008618F2">
          <w:rPr>
            <w:noProof/>
            <w:webHidden/>
          </w:rPr>
          <w:fldChar w:fldCharType="begin"/>
        </w:r>
        <w:r w:rsidR="008618F2">
          <w:rPr>
            <w:noProof/>
            <w:webHidden/>
          </w:rPr>
          <w:instrText xml:space="preserve"> PAGEREF _Toc134198163 \h </w:instrText>
        </w:r>
        <w:r w:rsidR="008618F2">
          <w:rPr>
            <w:noProof/>
            <w:webHidden/>
          </w:rPr>
        </w:r>
        <w:r w:rsidR="008618F2">
          <w:rPr>
            <w:noProof/>
            <w:webHidden/>
          </w:rPr>
          <w:fldChar w:fldCharType="separate"/>
        </w:r>
        <w:r w:rsidR="000720CB">
          <w:rPr>
            <w:noProof/>
            <w:webHidden/>
          </w:rPr>
          <w:t>263</w:t>
        </w:r>
        <w:r w:rsidR="008618F2">
          <w:rPr>
            <w:noProof/>
            <w:webHidden/>
          </w:rPr>
          <w:fldChar w:fldCharType="end"/>
        </w:r>
      </w:hyperlink>
    </w:p>
    <w:p w14:paraId="0B1B9BD6" w14:textId="7D00EB62" w:rsidR="008618F2" w:rsidRDefault="009B5CEC">
      <w:pPr>
        <w:pStyle w:val="TOC3"/>
        <w:rPr>
          <w:rFonts w:asciiTheme="minorHAnsi" w:eastAsiaTheme="minorEastAsia" w:hAnsiTheme="minorHAnsi" w:cstheme="minorBidi"/>
          <w:b w:val="0"/>
          <w:noProof/>
          <w:szCs w:val="22"/>
          <w:lang w:eastAsia="en-GB"/>
        </w:rPr>
      </w:pPr>
      <w:hyperlink w:anchor="_Toc134198164" w:history="1">
        <w:r w:rsidR="008618F2" w:rsidRPr="00DC3933">
          <w:rPr>
            <w:rStyle w:val="Hyperlink"/>
            <w:noProof/>
          </w:rPr>
          <w:t>14.7.4</w:t>
        </w:r>
        <w:r w:rsidR="008618F2">
          <w:rPr>
            <w:rFonts w:asciiTheme="minorHAnsi" w:eastAsiaTheme="minorEastAsia" w:hAnsiTheme="minorHAnsi" w:cstheme="minorBidi"/>
            <w:b w:val="0"/>
            <w:noProof/>
            <w:szCs w:val="22"/>
            <w:lang w:eastAsia="en-GB"/>
          </w:rPr>
          <w:tab/>
        </w:r>
        <w:r w:rsidR="008618F2" w:rsidRPr="00DC3933">
          <w:rPr>
            <w:rStyle w:val="Hyperlink"/>
            <w:noProof/>
          </w:rPr>
          <w:t>Design rules for reinforced masonry in DC2</w:t>
        </w:r>
        <w:r w:rsidR="008618F2">
          <w:rPr>
            <w:noProof/>
            <w:webHidden/>
          </w:rPr>
          <w:tab/>
        </w:r>
        <w:r w:rsidR="008618F2">
          <w:rPr>
            <w:noProof/>
            <w:webHidden/>
          </w:rPr>
          <w:fldChar w:fldCharType="begin"/>
        </w:r>
        <w:r w:rsidR="008618F2">
          <w:rPr>
            <w:noProof/>
            <w:webHidden/>
          </w:rPr>
          <w:instrText xml:space="preserve"> PAGEREF _Toc134198164 \h </w:instrText>
        </w:r>
        <w:r w:rsidR="008618F2">
          <w:rPr>
            <w:noProof/>
            <w:webHidden/>
          </w:rPr>
        </w:r>
        <w:r w:rsidR="008618F2">
          <w:rPr>
            <w:noProof/>
            <w:webHidden/>
          </w:rPr>
          <w:fldChar w:fldCharType="separate"/>
        </w:r>
        <w:r w:rsidR="000720CB">
          <w:rPr>
            <w:noProof/>
            <w:webHidden/>
          </w:rPr>
          <w:t>263</w:t>
        </w:r>
        <w:r w:rsidR="008618F2">
          <w:rPr>
            <w:noProof/>
            <w:webHidden/>
          </w:rPr>
          <w:fldChar w:fldCharType="end"/>
        </w:r>
      </w:hyperlink>
    </w:p>
    <w:p w14:paraId="3D360588" w14:textId="38FE6010" w:rsidR="008618F2" w:rsidRDefault="009B5CEC">
      <w:pPr>
        <w:pStyle w:val="TOC2"/>
        <w:rPr>
          <w:rFonts w:asciiTheme="minorHAnsi" w:eastAsiaTheme="minorEastAsia" w:hAnsiTheme="minorHAnsi" w:cstheme="minorBidi"/>
          <w:b w:val="0"/>
          <w:noProof/>
          <w:szCs w:val="22"/>
          <w:lang w:eastAsia="en-GB"/>
        </w:rPr>
      </w:pPr>
      <w:hyperlink w:anchor="_Toc134198165" w:history="1">
        <w:r w:rsidR="008618F2" w:rsidRPr="00DC3933">
          <w:rPr>
            <w:rStyle w:val="Hyperlink"/>
            <w:noProof/>
          </w:rPr>
          <w:t>14.8</w:t>
        </w:r>
        <w:r w:rsidR="008618F2">
          <w:rPr>
            <w:rFonts w:asciiTheme="minorHAnsi" w:eastAsiaTheme="minorEastAsia" w:hAnsiTheme="minorHAnsi" w:cstheme="minorBidi"/>
            <w:b w:val="0"/>
            <w:noProof/>
            <w:szCs w:val="22"/>
            <w:lang w:eastAsia="en-GB"/>
          </w:rPr>
          <w:tab/>
        </w:r>
        <w:r w:rsidR="008618F2" w:rsidRPr="00DC3933">
          <w:rPr>
            <w:rStyle w:val="Hyperlink"/>
            <w:noProof/>
          </w:rPr>
          <w:t>Rules for simple masonry buildings</w:t>
        </w:r>
        <w:r w:rsidR="008618F2">
          <w:rPr>
            <w:noProof/>
            <w:webHidden/>
          </w:rPr>
          <w:tab/>
        </w:r>
        <w:r w:rsidR="008618F2">
          <w:rPr>
            <w:noProof/>
            <w:webHidden/>
          </w:rPr>
          <w:fldChar w:fldCharType="begin"/>
        </w:r>
        <w:r w:rsidR="008618F2">
          <w:rPr>
            <w:noProof/>
            <w:webHidden/>
          </w:rPr>
          <w:instrText xml:space="preserve"> PAGEREF _Toc134198165 \h </w:instrText>
        </w:r>
        <w:r w:rsidR="008618F2">
          <w:rPr>
            <w:noProof/>
            <w:webHidden/>
          </w:rPr>
        </w:r>
        <w:r w:rsidR="008618F2">
          <w:rPr>
            <w:noProof/>
            <w:webHidden/>
          </w:rPr>
          <w:fldChar w:fldCharType="separate"/>
        </w:r>
        <w:r w:rsidR="000720CB">
          <w:rPr>
            <w:noProof/>
            <w:webHidden/>
          </w:rPr>
          <w:t>264</w:t>
        </w:r>
        <w:r w:rsidR="008618F2">
          <w:rPr>
            <w:noProof/>
            <w:webHidden/>
          </w:rPr>
          <w:fldChar w:fldCharType="end"/>
        </w:r>
      </w:hyperlink>
    </w:p>
    <w:p w14:paraId="5C7F135D" w14:textId="5EE843BF" w:rsidR="008618F2" w:rsidRDefault="009B5CEC">
      <w:pPr>
        <w:pStyle w:val="TOC3"/>
        <w:rPr>
          <w:rFonts w:asciiTheme="minorHAnsi" w:eastAsiaTheme="minorEastAsia" w:hAnsiTheme="minorHAnsi" w:cstheme="minorBidi"/>
          <w:b w:val="0"/>
          <w:noProof/>
          <w:szCs w:val="22"/>
          <w:lang w:eastAsia="en-GB"/>
        </w:rPr>
      </w:pPr>
      <w:hyperlink w:anchor="_Toc134198166" w:history="1">
        <w:r w:rsidR="008618F2" w:rsidRPr="00DC3933">
          <w:rPr>
            <w:rStyle w:val="Hyperlink"/>
            <w:noProof/>
          </w:rPr>
          <w:t>14.8.1</w:t>
        </w:r>
        <w:r w:rsidR="008618F2">
          <w:rPr>
            <w:rFonts w:asciiTheme="minorHAnsi" w:eastAsiaTheme="minorEastAsia" w:hAnsiTheme="minorHAnsi" w:cstheme="minorBidi"/>
            <w:b w:val="0"/>
            <w:noProof/>
            <w:szCs w:val="22"/>
            <w:lang w:eastAsia="en-GB"/>
          </w:rPr>
          <w:tab/>
        </w:r>
        <w:r w:rsidR="008618F2" w:rsidRPr="00DC3933">
          <w:rPr>
            <w:rStyle w:val="Hyperlink"/>
            <w:noProof/>
          </w:rPr>
          <w:t>General</w:t>
        </w:r>
        <w:r w:rsidR="008618F2">
          <w:rPr>
            <w:noProof/>
            <w:webHidden/>
          </w:rPr>
          <w:tab/>
        </w:r>
        <w:r w:rsidR="008618F2">
          <w:rPr>
            <w:noProof/>
            <w:webHidden/>
          </w:rPr>
          <w:fldChar w:fldCharType="begin"/>
        </w:r>
        <w:r w:rsidR="008618F2">
          <w:rPr>
            <w:noProof/>
            <w:webHidden/>
          </w:rPr>
          <w:instrText xml:space="preserve"> PAGEREF _Toc134198166 \h </w:instrText>
        </w:r>
        <w:r w:rsidR="008618F2">
          <w:rPr>
            <w:noProof/>
            <w:webHidden/>
          </w:rPr>
        </w:r>
        <w:r w:rsidR="008618F2">
          <w:rPr>
            <w:noProof/>
            <w:webHidden/>
          </w:rPr>
          <w:fldChar w:fldCharType="separate"/>
        </w:r>
        <w:r w:rsidR="000720CB">
          <w:rPr>
            <w:noProof/>
            <w:webHidden/>
          </w:rPr>
          <w:t>264</w:t>
        </w:r>
        <w:r w:rsidR="008618F2">
          <w:rPr>
            <w:noProof/>
            <w:webHidden/>
          </w:rPr>
          <w:fldChar w:fldCharType="end"/>
        </w:r>
      </w:hyperlink>
    </w:p>
    <w:p w14:paraId="1216B247" w14:textId="1BC4F4AF" w:rsidR="008618F2" w:rsidRDefault="009B5CEC">
      <w:pPr>
        <w:pStyle w:val="TOC3"/>
        <w:rPr>
          <w:rFonts w:asciiTheme="minorHAnsi" w:eastAsiaTheme="minorEastAsia" w:hAnsiTheme="minorHAnsi" w:cstheme="minorBidi"/>
          <w:b w:val="0"/>
          <w:noProof/>
          <w:szCs w:val="22"/>
          <w:lang w:eastAsia="en-GB"/>
        </w:rPr>
      </w:pPr>
      <w:hyperlink w:anchor="_Toc134198167" w:history="1">
        <w:r w:rsidR="008618F2" w:rsidRPr="00DC3933">
          <w:rPr>
            <w:rStyle w:val="Hyperlink"/>
            <w:noProof/>
          </w:rPr>
          <w:t>14.8.2</w:t>
        </w:r>
        <w:r w:rsidR="008618F2">
          <w:rPr>
            <w:rFonts w:asciiTheme="minorHAnsi" w:eastAsiaTheme="minorEastAsia" w:hAnsiTheme="minorHAnsi" w:cstheme="minorBidi"/>
            <w:b w:val="0"/>
            <w:noProof/>
            <w:szCs w:val="22"/>
            <w:lang w:eastAsia="en-GB"/>
          </w:rPr>
          <w:tab/>
        </w:r>
        <w:r w:rsidR="008618F2" w:rsidRPr="00DC3933">
          <w:rPr>
            <w:rStyle w:val="Hyperlink"/>
            <w:noProof/>
          </w:rPr>
          <w:t>Design rules</w:t>
        </w:r>
        <w:r w:rsidR="008618F2">
          <w:rPr>
            <w:noProof/>
            <w:webHidden/>
          </w:rPr>
          <w:tab/>
        </w:r>
        <w:r w:rsidR="008618F2">
          <w:rPr>
            <w:noProof/>
            <w:webHidden/>
          </w:rPr>
          <w:fldChar w:fldCharType="begin"/>
        </w:r>
        <w:r w:rsidR="008618F2">
          <w:rPr>
            <w:noProof/>
            <w:webHidden/>
          </w:rPr>
          <w:instrText xml:space="preserve"> PAGEREF _Toc134198167 \h </w:instrText>
        </w:r>
        <w:r w:rsidR="008618F2">
          <w:rPr>
            <w:noProof/>
            <w:webHidden/>
          </w:rPr>
        </w:r>
        <w:r w:rsidR="008618F2">
          <w:rPr>
            <w:noProof/>
            <w:webHidden/>
          </w:rPr>
          <w:fldChar w:fldCharType="separate"/>
        </w:r>
        <w:r w:rsidR="000720CB">
          <w:rPr>
            <w:noProof/>
            <w:webHidden/>
          </w:rPr>
          <w:t>264</w:t>
        </w:r>
        <w:r w:rsidR="008618F2">
          <w:rPr>
            <w:noProof/>
            <w:webHidden/>
          </w:rPr>
          <w:fldChar w:fldCharType="end"/>
        </w:r>
      </w:hyperlink>
    </w:p>
    <w:p w14:paraId="0BC1F8F5" w14:textId="049AE9B2" w:rsidR="008618F2" w:rsidRDefault="009B5CEC">
      <w:pPr>
        <w:pStyle w:val="TOC2"/>
        <w:rPr>
          <w:rFonts w:asciiTheme="minorHAnsi" w:eastAsiaTheme="minorEastAsia" w:hAnsiTheme="minorHAnsi" w:cstheme="minorBidi"/>
          <w:b w:val="0"/>
          <w:noProof/>
          <w:szCs w:val="22"/>
          <w:lang w:eastAsia="en-GB"/>
        </w:rPr>
      </w:pPr>
      <w:hyperlink w:anchor="_Toc134198168" w:history="1">
        <w:r w:rsidR="008618F2" w:rsidRPr="00DC3933">
          <w:rPr>
            <w:rStyle w:val="Hyperlink"/>
            <w:noProof/>
          </w:rPr>
          <w:t>14.9</w:t>
        </w:r>
        <w:r w:rsidR="008618F2">
          <w:rPr>
            <w:rFonts w:asciiTheme="minorHAnsi" w:eastAsiaTheme="minorEastAsia" w:hAnsiTheme="minorHAnsi" w:cstheme="minorBidi"/>
            <w:b w:val="0"/>
            <w:noProof/>
            <w:szCs w:val="22"/>
            <w:lang w:eastAsia="en-GB"/>
          </w:rPr>
          <w:tab/>
        </w:r>
        <w:r w:rsidR="008618F2" w:rsidRPr="00DC3933">
          <w:rPr>
            <w:rStyle w:val="Hyperlink"/>
            <w:noProof/>
          </w:rPr>
          <w:t>Ultimate deformations</w:t>
        </w:r>
        <w:r w:rsidR="008618F2">
          <w:rPr>
            <w:noProof/>
            <w:webHidden/>
          </w:rPr>
          <w:tab/>
        </w:r>
        <w:r w:rsidR="008618F2">
          <w:rPr>
            <w:noProof/>
            <w:webHidden/>
          </w:rPr>
          <w:fldChar w:fldCharType="begin"/>
        </w:r>
        <w:r w:rsidR="008618F2">
          <w:rPr>
            <w:noProof/>
            <w:webHidden/>
          </w:rPr>
          <w:instrText xml:space="preserve"> PAGEREF _Toc134198168 \h </w:instrText>
        </w:r>
        <w:r w:rsidR="008618F2">
          <w:rPr>
            <w:noProof/>
            <w:webHidden/>
          </w:rPr>
        </w:r>
        <w:r w:rsidR="008618F2">
          <w:rPr>
            <w:noProof/>
            <w:webHidden/>
          </w:rPr>
          <w:fldChar w:fldCharType="separate"/>
        </w:r>
        <w:r w:rsidR="000720CB">
          <w:rPr>
            <w:noProof/>
            <w:webHidden/>
          </w:rPr>
          <w:t>266</w:t>
        </w:r>
        <w:r w:rsidR="008618F2">
          <w:rPr>
            <w:noProof/>
            <w:webHidden/>
          </w:rPr>
          <w:fldChar w:fldCharType="end"/>
        </w:r>
      </w:hyperlink>
    </w:p>
    <w:p w14:paraId="2B787418" w14:textId="235746FA" w:rsidR="008618F2" w:rsidRDefault="009B5CEC">
      <w:pPr>
        <w:pStyle w:val="TOC3"/>
        <w:rPr>
          <w:rFonts w:asciiTheme="minorHAnsi" w:eastAsiaTheme="minorEastAsia" w:hAnsiTheme="minorHAnsi" w:cstheme="minorBidi"/>
          <w:b w:val="0"/>
          <w:noProof/>
          <w:szCs w:val="22"/>
          <w:lang w:eastAsia="en-GB"/>
        </w:rPr>
      </w:pPr>
      <w:hyperlink w:anchor="_Toc134198169" w:history="1">
        <w:r w:rsidR="008618F2" w:rsidRPr="00DC3933">
          <w:rPr>
            <w:rStyle w:val="Hyperlink"/>
            <w:noProof/>
          </w:rPr>
          <w:t>14.9.1</w:t>
        </w:r>
        <w:r w:rsidR="008618F2">
          <w:rPr>
            <w:rFonts w:asciiTheme="minorHAnsi" w:eastAsiaTheme="minorEastAsia" w:hAnsiTheme="minorHAnsi" w:cstheme="minorBidi"/>
            <w:b w:val="0"/>
            <w:noProof/>
            <w:szCs w:val="22"/>
            <w:lang w:eastAsia="en-GB"/>
          </w:rPr>
          <w:tab/>
        </w:r>
        <w:r w:rsidR="008618F2" w:rsidRPr="00DC3933">
          <w:rPr>
            <w:rStyle w:val="Hyperlink"/>
            <w:noProof/>
          </w:rPr>
          <w:t>General</w:t>
        </w:r>
        <w:r w:rsidR="008618F2">
          <w:rPr>
            <w:noProof/>
            <w:webHidden/>
          </w:rPr>
          <w:tab/>
        </w:r>
        <w:r w:rsidR="008618F2">
          <w:rPr>
            <w:noProof/>
            <w:webHidden/>
          </w:rPr>
          <w:fldChar w:fldCharType="begin"/>
        </w:r>
        <w:r w:rsidR="008618F2">
          <w:rPr>
            <w:noProof/>
            <w:webHidden/>
          </w:rPr>
          <w:instrText xml:space="preserve"> PAGEREF _Toc134198169 \h </w:instrText>
        </w:r>
        <w:r w:rsidR="008618F2">
          <w:rPr>
            <w:noProof/>
            <w:webHidden/>
          </w:rPr>
        </w:r>
        <w:r w:rsidR="008618F2">
          <w:rPr>
            <w:noProof/>
            <w:webHidden/>
          </w:rPr>
          <w:fldChar w:fldCharType="separate"/>
        </w:r>
        <w:r w:rsidR="000720CB">
          <w:rPr>
            <w:noProof/>
            <w:webHidden/>
          </w:rPr>
          <w:t>266</w:t>
        </w:r>
        <w:r w:rsidR="008618F2">
          <w:rPr>
            <w:noProof/>
            <w:webHidden/>
          </w:rPr>
          <w:fldChar w:fldCharType="end"/>
        </w:r>
      </w:hyperlink>
    </w:p>
    <w:p w14:paraId="470A9330" w14:textId="58BB5685" w:rsidR="008618F2" w:rsidRDefault="009B5CEC">
      <w:pPr>
        <w:pStyle w:val="TOC3"/>
        <w:rPr>
          <w:rFonts w:asciiTheme="minorHAnsi" w:eastAsiaTheme="minorEastAsia" w:hAnsiTheme="minorHAnsi" w:cstheme="minorBidi"/>
          <w:b w:val="0"/>
          <w:noProof/>
          <w:szCs w:val="22"/>
          <w:lang w:eastAsia="en-GB"/>
        </w:rPr>
      </w:pPr>
      <w:hyperlink w:anchor="_Toc134198170" w:history="1">
        <w:r w:rsidR="008618F2" w:rsidRPr="00DC3933">
          <w:rPr>
            <w:rStyle w:val="Hyperlink"/>
            <w:noProof/>
          </w:rPr>
          <w:t>14.9.2</w:t>
        </w:r>
        <w:r w:rsidR="008618F2">
          <w:rPr>
            <w:rFonts w:asciiTheme="minorHAnsi" w:eastAsiaTheme="minorEastAsia" w:hAnsiTheme="minorHAnsi" w:cstheme="minorBidi"/>
            <w:b w:val="0"/>
            <w:noProof/>
            <w:szCs w:val="22"/>
            <w:lang w:eastAsia="en-GB"/>
          </w:rPr>
          <w:tab/>
        </w:r>
        <w:r w:rsidR="008618F2" w:rsidRPr="00DC3933">
          <w:rPr>
            <w:rStyle w:val="Hyperlink"/>
            <w:noProof/>
          </w:rPr>
          <w:t>Unreinforced masonry members</w:t>
        </w:r>
        <w:r w:rsidR="008618F2">
          <w:rPr>
            <w:noProof/>
            <w:webHidden/>
          </w:rPr>
          <w:tab/>
        </w:r>
        <w:r w:rsidR="008618F2">
          <w:rPr>
            <w:noProof/>
            <w:webHidden/>
          </w:rPr>
          <w:fldChar w:fldCharType="begin"/>
        </w:r>
        <w:r w:rsidR="008618F2">
          <w:rPr>
            <w:noProof/>
            <w:webHidden/>
          </w:rPr>
          <w:instrText xml:space="preserve"> PAGEREF _Toc134198170 \h </w:instrText>
        </w:r>
        <w:r w:rsidR="008618F2">
          <w:rPr>
            <w:noProof/>
            <w:webHidden/>
          </w:rPr>
        </w:r>
        <w:r w:rsidR="008618F2">
          <w:rPr>
            <w:noProof/>
            <w:webHidden/>
          </w:rPr>
          <w:fldChar w:fldCharType="separate"/>
        </w:r>
        <w:r w:rsidR="000720CB">
          <w:rPr>
            <w:noProof/>
            <w:webHidden/>
          </w:rPr>
          <w:t>266</w:t>
        </w:r>
        <w:r w:rsidR="008618F2">
          <w:rPr>
            <w:noProof/>
            <w:webHidden/>
          </w:rPr>
          <w:fldChar w:fldCharType="end"/>
        </w:r>
      </w:hyperlink>
    </w:p>
    <w:p w14:paraId="7BBD6370" w14:textId="77B8B8C5" w:rsidR="008618F2" w:rsidRDefault="009B5CEC">
      <w:pPr>
        <w:pStyle w:val="TOC3"/>
        <w:rPr>
          <w:rFonts w:asciiTheme="minorHAnsi" w:eastAsiaTheme="minorEastAsia" w:hAnsiTheme="minorHAnsi" w:cstheme="minorBidi"/>
          <w:b w:val="0"/>
          <w:noProof/>
          <w:szCs w:val="22"/>
          <w:lang w:eastAsia="en-GB"/>
        </w:rPr>
      </w:pPr>
      <w:hyperlink w:anchor="_Toc134198171" w:history="1">
        <w:r w:rsidR="008618F2" w:rsidRPr="00DC3933">
          <w:rPr>
            <w:rStyle w:val="Hyperlink"/>
            <w:noProof/>
          </w:rPr>
          <w:t>14.9.3</w:t>
        </w:r>
        <w:r w:rsidR="008618F2">
          <w:rPr>
            <w:rFonts w:asciiTheme="minorHAnsi" w:eastAsiaTheme="minorEastAsia" w:hAnsiTheme="minorHAnsi" w:cstheme="minorBidi"/>
            <w:b w:val="0"/>
            <w:noProof/>
            <w:szCs w:val="22"/>
            <w:lang w:eastAsia="en-GB"/>
          </w:rPr>
          <w:tab/>
        </w:r>
        <w:r w:rsidR="008618F2" w:rsidRPr="00DC3933">
          <w:rPr>
            <w:rStyle w:val="Hyperlink"/>
            <w:noProof/>
          </w:rPr>
          <w:t>Reinforced masonry members</w:t>
        </w:r>
        <w:r w:rsidR="008618F2">
          <w:rPr>
            <w:noProof/>
            <w:webHidden/>
          </w:rPr>
          <w:tab/>
        </w:r>
        <w:r w:rsidR="008618F2">
          <w:rPr>
            <w:noProof/>
            <w:webHidden/>
          </w:rPr>
          <w:fldChar w:fldCharType="begin"/>
        </w:r>
        <w:r w:rsidR="008618F2">
          <w:rPr>
            <w:noProof/>
            <w:webHidden/>
          </w:rPr>
          <w:instrText xml:space="preserve"> PAGEREF _Toc134198171 \h </w:instrText>
        </w:r>
        <w:r w:rsidR="008618F2">
          <w:rPr>
            <w:noProof/>
            <w:webHidden/>
          </w:rPr>
        </w:r>
        <w:r w:rsidR="008618F2">
          <w:rPr>
            <w:noProof/>
            <w:webHidden/>
          </w:rPr>
          <w:fldChar w:fldCharType="separate"/>
        </w:r>
        <w:r w:rsidR="000720CB">
          <w:rPr>
            <w:noProof/>
            <w:webHidden/>
          </w:rPr>
          <w:t>267</w:t>
        </w:r>
        <w:r w:rsidR="008618F2">
          <w:rPr>
            <w:noProof/>
            <w:webHidden/>
          </w:rPr>
          <w:fldChar w:fldCharType="end"/>
        </w:r>
      </w:hyperlink>
    </w:p>
    <w:p w14:paraId="2B9CB913" w14:textId="6E38C2F8" w:rsidR="008618F2" w:rsidRDefault="009B5CEC">
      <w:pPr>
        <w:pStyle w:val="TOC3"/>
        <w:rPr>
          <w:rFonts w:asciiTheme="minorHAnsi" w:eastAsiaTheme="minorEastAsia" w:hAnsiTheme="minorHAnsi" w:cstheme="minorBidi"/>
          <w:b w:val="0"/>
          <w:noProof/>
          <w:szCs w:val="22"/>
          <w:lang w:eastAsia="en-GB"/>
        </w:rPr>
      </w:pPr>
      <w:hyperlink w:anchor="_Toc134198172" w:history="1">
        <w:r w:rsidR="008618F2" w:rsidRPr="00DC3933">
          <w:rPr>
            <w:rStyle w:val="Hyperlink"/>
            <w:noProof/>
          </w:rPr>
          <w:t>14.9.4</w:t>
        </w:r>
        <w:r w:rsidR="008618F2">
          <w:rPr>
            <w:rFonts w:asciiTheme="minorHAnsi" w:eastAsiaTheme="minorEastAsia" w:hAnsiTheme="minorHAnsi" w:cstheme="minorBidi"/>
            <w:b w:val="0"/>
            <w:noProof/>
            <w:szCs w:val="22"/>
            <w:lang w:eastAsia="en-GB"/>
          </w:rPr>
          <w:tab/>
        </w:r>
        <w:r w:rsidR="008618F2" w:rsidRPr="00DC3933">
          <w:rPr>
            <w:rStyle w:val="Hyperlink"/>
            <w:noProof/>
          </w:rPr>
          <w:t>Confined masonry members</w:t>
        </w:r>
        <w:r w:rsidR="008618F2">
          <w:rPr>
            <w:noProof/>
            <w:webHidden/>
          </w:rPr>
          <w:tab/>
        </w:r>
        <w:r w:rsidR="008618F2">
          <w:rPr>
            <w:noProof/>
            <w:webHidden/>
          </w:rPr>
          <w:fldChar w:fldCharType="begin"/>
        </w:r>
        <w:r w:rsidR="008618F2">
          <w:rPr>
            <w:noProof/>
            <w:webHidden/>
          </w:rPr>
          <w:instrText xml:space="preserve"> PAGEREF _Toc134198172 \h </w:instrText>
        </w:r>
        <w:r w:rsidR="008618F2">
          <w:rPr>
            <w:noProof/>
            <w:webHidden/>
          </w:rPr>
        </w:r>
        <w:r w:rsidR="008618F2">
          <w:rPr>
            <w:noProof/>
            <w:webHidden/>
          </w:rPr>
          <w:fldChar w:fldCharType="separate"/>
        </w:r>
        <w:r w:rsidR="000720CB">
          <w:rPr>
            <w:noProof/>
            <w:webHidden/>
          </w:rPr>
          <w:t>267</w:t>
        </w:r>
        <w:r w:rsidR="008618F2">
          <w:rPr>
            <w:noProof/>
            <w:webHidden/>
          </w:rPr>
          <w:fldChar w:fldCharType="end"/>
        </w:r>
      </w:hyperlink>
    </w:p>
    <w:p w14:paraId="3674CB45" w14:textId="1E1B6C26" w:rsidR="008618F2" w:rsidRDefault="009B5CEC">
      <w:pPr>
        <w:pStyle w:val="TOC1"/>
        <w:rPr>
          <w:rFonts w:asciiTheme="minorHAnsi" w:eastAsiaTheme="minorEastAsia" w:hAnsiTheme="minorHAnsi" w:cstheme="minorBidi"/>
          <w:b w:val="0"/>
          <w:noProof/>
          <w:szCs w:val="22"/>
          <w:lang w:eastAsia="en-GB"/>
        </w:rPr>
      </w:pPr>
      <w:hyperlink w:anchor="_Toc134198173" w:history="1">
        <w:r w:rsidR="008618F2" w:rsidRPr="00DC3933">
          <w:rPr>
            <w:rStyle w:val="Hyperlink"/>
            <w:noProof/>
          </w:rPr>
          <w:t>15</w:t>
        </w:r>
        <w:r w:rsidR="008618F2">
          <w:rPr>
            <w:rFonts w:asciiTheme="minorHAnsi" w:eastAsiaTheme="minorEastAsia" w:hAnsiTheme="minorHAnsi" w:cstheme="minorBidi"/>
            <w:b w:val="0"/>
            <w:noProof/>
            <w:szCs w:val="22"/>
            <w:lang w:eastAsia="en-GB"/>
          </w:rPr>
          <w:tab/>
        </w:r>
        <w:r w:rsidR="008618F2" w:rsidRPr="00DC3933">
          <w:rPr>
            <w:rStyle w:val="Hyperlink"/>
            <w:noProof/>
          </w:rPr>
          <w:t>Specific rules for aluminium buildings</w:t>
        </w:r>
        <w:r w:rsidR="008618F2">
          <w:rPr>
            <w:noProof/>
            <w:webHidden/>
          </w:rPr>
          <w:tab/>
        </w:r>
        <w:r w:rsidR="008618F2">
          <w:rPr>
            <w:noProof/>
            <w:webHidden/>
          </w:rPr>
          <w:fldChar w:fldCharType="begin"/>
        </w:r>
        <w:r w:rsidR="008618F2">
          <w:rPr>
            <w:noProof/>
            <w:webHidden/>
          </w:rPr>
          <w:instrText xml:space="preserve"> PAGEREF _Toc134198173 \h </w:instrText>
        </w:r>
        <w:r w:rsidR="008618F2">
          <w:rPr>
            <w:noProof/>
            <w:webHidden/>
          </w:rPr>
        </w:r>
        <w:r w:rsidR="008618F2">
          <w:rPr>
            <w:noProof/>
            <w:webHidden/>
          </w:rPr>
          <w:fldChar w:fldCharType="separate"/>
        </w:r>
        <w:r w:rsidR="000720CB">
          <w:rPr>
            <w:noProof/>
            <w:webHidden/>
          </w:rPr>
          <w:t>268</w:t>
        </w:r>
        <w:r w:rsidR="008618F2">
          <w:rPr>
            <w:noProof/>
            <w:webHidden/>
          </w:rPr>
          <w:fldChar w:fldCharType="end"/>
        </w:r>
      </w:hyperlink>
    </w:p>
    <w:p w14:paraId="39A6E6D7" w14:textId="2586109C" w:rsidR="008618F2" w:rsidRDefault="009B5CEC">
      <w:pPr>
        <w:pStyle w:val="TOC2"/>
        <w:rPr>
          <w:rFonts w:asciiTheme="minorHAnsi" w:eastAsiaTheme="minorEastAsia" w:hAnsiTheme="minorHAnsi" w:cstheme="minorBidi"/>
          <w:b w:val="0"/>
          <w:noProof/>
          <w:szCs w:val="22"/>
          <w:lang w:eastAsia="en-GB"/>
        </w:rPr>
      </w:pPr>
      <w:hyperlink w:anchor="_Toc134198174" w:history="1">
        <w:r w:rsidR="008618F2" w:rsidRPr="00DC3933">
          <w:rPr>
            <w:rStyle w:val="Hyperlink"/>
            <w:noProof/>
          </w:rPr>
          <w:t>15.1</w:t>
        </w:r>
        <w:r w:rsidR="008618F2">
          <w:rPr>
            <w:rFonts w:asciiTheme="minorHAnsi" w:eastAsiaTheme="minorEastAsia" w:hAnsiTheme="minorHAnsi" w:cstheme="minorBidi"/>
            <w:b w:val="0"/>
            <w:noProof/>
            <w:szCs w:val="22"/>
            <w:lang w:eastAsia="en-GB"/>
          </w:rPr>
          <w:tab/>
        </w:r>
        <w:r w:rsidR="008618F2" w:rsidRPr="00DC3933">
          <w:rPr>
            <w:rStyle w:val="Hyperlink"/>
            <w:noProof/>
          </w:rPr>
          <w:t>General</w:t>
        </w:r>
        <w:r w:rsidR="008618F2">
          <w:rPr>
            <w:noProof/>
            <w:webHidden/>
          </w:rPr>
          <w:tab/>
        </w:r>
        <w:r w:rsidR="008618F2">
          <w:rPr>
            <w:noProof/>
            <w:webHidden/>
          </w:rPr>
          <w:fldChar w:fldCharType="begin"/>
        </w:r>
        <w:r w:rsidR="008618F2">
          <w:rPr>
            <w:noProof/>
            <w:webHidden/>
          </w:rPr>
          <w:instrText xml:space="preserve"> PAGEREF _Toc134198174 \h </w:instrText>
        </w:r>
        <w:r w:rsidR="008618F2">
          <w:rPr>
            <w:noProof/>
            <w:webHidden/>
          </w:rPr>
        </w:r>
        <w:r w:rsidR="008618F2">
          <w:rPr>
            <w:noProof/>
            <w:webHidden/>
          </w:rPr>
          <w:fldChar w:fldCharType="separate"/>
        </w:r>
        <w:r w:rsidR="000720CB">
          <w:rPr>
            <w:noProof/>
            <w:webHidden/>
          </w:rPr>
          <w:t>268</w:t>
        </w:r>
        <w:r w:rsidR="008618F2">
          <w:rPr>
            <w:noProof/>
            <w:webHidden/>
          </w:rPr>
          <w:fldChar w:fldCharType="end"/>
        </w:r>
      </w:hyperlink>
    </w:p>
    <w:p w14:paraId="52F2989A" w14:textId="358E1111" w:rsidR="008618F2" w:rsidRDefault="009B5CEC">
      <w:pPr>
        <w:pStyle w:val="TOC2"/>
        <w:rPr>
          <w:rFonts w:asciiTheme="minorHAnsi" w:eastAsiaTheme="minorEastAsia" w:hAnsiTheme="minorHAnsi" w:cstheme="minorBidi"/>
          <w:b w:val="0"/>
          <w:noProof/>
          <w:szCs w:val="22"/>
          <w:lang w:eastAsia="en-GB"/>
        </w:rPr>
      </w:pPr>
      <w:hyperlink w:anchor="_Toc134198175" w:history="1">
        <w:r w:rsidR="008618F2" w:rsidRPr="00DC3933">
          <w:rPr>
            <w:rStyle w:val="Hyperlink"/>
            <w:noProof/>
          </w:rPr>
          <w:t>15.2</w:t>
        </w:r>
        <w:r w:rsidR="008618F2">
          <w:rPr>
            <w:rFonts w:asciiTheme="minorHAnsi" w:eastAsiaTheme="minorEastAsia" w:hAnsiTheme="minorHAnsi" w:cstheme="minorBidi"/>
            <w:b w:val="0"/>
            <w:noProof/>
            <w:szCs w:val="22"/>
            <w:lang w:eastAsia="en-GB"/>
          </w:rPr>
          <w:tab/>
        </w:r>
        <w:r w:rsidR="008618F2" w:rsidRPr="00DC3933">
          <w:rPr>
            <w:rStyle w:val="Hyperlink"/>
            <w:noProof/>
          </w:rPr>
          <w:t>Basis of Design</w:t>
        </w:r>
        <w:r w:rsidR="008618F2">
          <w:rPr>
            <w:noProof/>
            <w:webHidden/>
          </w:rPr>
          <w:tab/>
        </w:r>
        <w:r w:rsidR="008618F2">
          <w:rPr>
            <w:noProof/>
            <w:webHidden/>
          </w:rPr>
          <w:fldChar w:fldCharType="begin"/>
        </w:r>
        <w:r w:rsidR="008618F2">
          <w:rPr>
            <w:noProof/>
            <w:webHidden/>
          </w:rPr>
          <w:instrText xml:space="preserve"> PAGEREF _Toc134198175 \h </w:instrText>
        </w:r>
        <w:r w:rsidR="008618F2">
          <w:rPr>
            <w:noProof/>
            <w:webHidden/>
          </w:rPr>
        </w:r>
        <w:r w:rsidR="008618F2">
          <w:rPr>
            <w:noProof/>
            <w:webHidden/>
          </w:rPr>
          <w:fldChar w:fldCharType="separate"/>
        </w:r>
        <w:r w:rsidR="000720CB">
          <w:rPr>
            <w:noProof/>
            <w:webHidden/>
          </w:rPr>
          <w:t>268</w:t>
        </w:r>
        <w:r w:rsidR="008618F2">
          <w:rPr>
            <w:noProof/>
            <w:webHidden/>
          </w:rPr>
          <w:fldChar w:fldCharType="end"/>
        </w:r>
      </w:hyperlink>
    </w:p>
    <w:p w14:paraId="3FD52543" w14:textId="575D6C90" w:rsidR="008618F2" w:rsidRDefault="009B5CEC">
      <w:pPr>
        <w:pStyle w:val="TOC3"/>
        <w:rPr>
          <w:rFonts w:asciiTheme="minorHAnsi" w:eastAsiaTheme="minorEastAsia" w:hAnsiTheme="minorHAnsi" w:cstheme="minorBidi"/>
          <w:b w:val="0"/>
          <w:noProof/>
          <w:szCs w:val="22"/>
          <w:lang w:eastAsia="en-GB"/>
        </w:rPr>
      </w:pPr>
      <w:hyperlink w:anchor="_Toc134198176" w:history="1">
        <w:r w:rsidR="008618F2" w:rsidRPr="00DC3933">
          <w:rPr>
            <w:rStyle w:val="Hyperlink"/>
            <w:noProof/>
          </w:rPr>
          <w:t>15.2.1</w:t>
        </w:r>
        <w:r w:rsidR="008618F2">
          <w:rPr>
            <w:rFonts w:asciiTheme="minorHAnsi" w:eastAsiaTheme="minorEastAsia" w:hAnsiTheme="minorHAnsi" w:cstheme="minorBidi"/>
            <w:b w:val="0"/>
            <w:noProof/>
            <w:szCs w:val="22"/>
            <w:lang w:eastAsia="en-GB"/>
          </w:rPr>
          <w:tab/>
        </w:r>
        <w:r w:rsidR="008618F2" w:rsidRPr="00DC3933">
          <w:rPr>
            <w:rStyle w:val="Hyperlink"/>
            <w:noProof/>
          </w:rPr>
          <w:t>Design concepts</w:t>
        </w:r>
        <w:r w:rsidR="008618F2">
          <w:rPr>
            <w:noProof/>
            <w:webHidden/>
          </w:rPr>
          <w:tab/>
        </w:r>
        <w:r w:rsidR="008618F2">
          <w:rPr>
            <w:noProof/>
            <w:webHidden/>
          </w:rPr>
          <w:fldChar w:fldCharType="begin"/>
        </w:r>
        <w:r w:rsidR="008618F2">
          <w:rPr>
            <w:noProof/>
            <w:webHidden/>
          </w:rPr>
          <w:instrText xml:space="preserve"> PAGEREF _Toc134198176 \h </w:instrText>
        </w:r>
        <w:r w:rsidR="008618F2">
          <w:rPr>
            <w:noProof/>
            <w:webHidden/>
          </w:rPr>
        </w:r>
        <w:r w:rsidR="008618F2">
          <w:rPr>
            <w:noProof/>
            <w:webHidden/>
          </w:rPr>
          <w:fldChar w:fldCharType="separate"/>
        </w:r>
        <w:r w:rsidR="000720CB">
          <w:rPr>
            <w:noProof/>
            <w:webHidden/>
          </w:rPr>
          <w:t>268</w:t>
        </w:r>
        <w:r w:rsidR="008618F2">
          <w:rPr>
            <w:noProof/>
            <w:webHidden/>
          </w:rPr>
          <w:fldChar w:fldCharType="end"/>
        </w:r>
      </w:hyperlink>
    </w:p>
    <w:p w14:paraId="6F034298" w14:textId="3A1DB366" w:rsidR="008618F2" w:rsidRDefault="009B5CEC">
      <w:pPr>
        <w:pStyle w:val="TOC3"/>
        <w:rPr>
          <w:rFonts w:asciiTheme="minorHAnsi" w:eastAsiaTheme="minorEastAsia" w:hAnsiTheme="minorHAnsi" w:cstheme="minorBidi"/>
          <w:b w:val="0"/>
          <w:noProof/>
          <w:szCs w:val="22"/>
          <w:lang w:eastAsia="en-GB"/>
        </w:rPr>
      </w:pPr>
      <w:hyperlink w:anchor="_Toc134198177" w:history="1">
        <w:r w:rsidR="008618F2" w:rsidRPr="00DC3933">
          <w:rPr>
            <w:rStyle w:val="Hyperlink"/>
            <w:noProof/>
          </w:rPr>
          <w:t>15.2.2</w:t>
        </w:r>
        <w:r w:rsidR="008618F2">
          <w:rPr>
            <w:rFonts w:asciiTheme="minorHAnsi" w:eastAsiaTheme="minorEastAsia" w:hAnsiTheme="minorHAnsi" w:cstheme="minorBidi"/>
            <w:b w:val="0"/>
            <w:noProof/>
            <w:szCs w:val="22"/>
            <w:lang w:eastAsia="en-GB"/>
          </w:rPr>
          <w:tab/>
        </w:r>
        <w:r w:rsidR="008618F2" w:rsidRPr="00DC3933">
          <w:rPr>
            <w:rStyle w:val="Hyperlink"/>
            <w:noProof/>
          </w:rPr>
          <w:t>Safety verifications</w:t>
        </w:r>
        <w:r w:rsidR="008618F2">
          <w:rPr>
            <w:noProof/>
            <w:webHidden/>
          </w:rPr>
          <w:tab/>
        </w:r>
        <w:r w:rsidR="008618F2">
          <w:rPr>
            <w:noProof/>
            <w:webHidden/>
          </w:rPr>
          <w:fldChar w:fldCharType="begin"/>
        </w:r>
        <w:r w:rsidR="008618F2">
          <w:rPr>
            <w:noProof/>
            <w:webHidden/>
          </w:rPr>
          <w:instrText xml:space="preserve"> PAGEREF _Toc134198177 \h </w:instrText>
        </w:r>
        <w:r w:rsidR="008618F2">
          <w:rPr>
            <w:noProof/>
            <w:webHidden/>
          </w:rPr>
        </w:r>
        <w:r w:rsidR="008618F2">
          <w:rPr>
            <w:noProof/>
            <w:webHidden/>
          </w:rPr>
          <w:fldChar w:fldCharType="separate"/>
        </w:r>
        <w:r w:rsidR="000720CB">
          <w:rPr>
            <w:noProof/>
            <w:webHidden/>
          </w:rPr>
          <w:t>268</w:t>
        </w:r>
        <w:r w:rsidR="008618F2">
          <w:rPr>
            <w:noProof/>
            <w:webHidden/>
          </w:rPr>
          <w:fldChar w:fldCharType="end"/>
        </w:r>
      </w:hyperlink>
    </w:p>
    <w:p w14:paraId="6B1EB774" w14:textId="3B1D3CAF" w:rsidR="008618F2" w:rsidRDefault="009B5CEC">
      <w:pPr>
        <w:pStyle w:val="TOC2"/>
        <w:rPr>
          <w:rFonts w:asciiTheme="minorHAnsi" w:eastAsiaTheme="minorEastAsia" w:hAnsiTheme="minorHAnsi" w:cstheme="minorBidi"/>
          <w:b w:val="0"/>
          <w:noProof/>
          <w:szCs w:val="22"/>
          <w:lang w:eastAsia="en-GB"/>
        </w:rPr>
      </w:pPr>
      <w:hyperlink w:anchor="_Toc134198178" w:history="1">
        <w:r w:rsidR="008618F2" w:rsidRPr="00DC3933">
          <w:rPr>
            <w:rStyle w:val="Hyperlink"/>
            <w:noProof/>
          </w:rPr>
          <w:t>15.3</w:t>
        </w:r>
        <w:r w:rsidR="008618F2">
          <w:rPr>
            <w:rFonts w:asciiTheme="minorHAnsi" w:eastAsiaTheme="minorEastAsia" w:hAnsiTheme="minorHAnsi" w:cstheme="minorBidi"/>
            <w:b w:val="0"/>
            <w:noProof/>
            <w:szCs w:val="22"/>
            <w:lang w:eastAsia="en-GB"/>
          </w:rPr>
          <w:tab/>
        </w:r>
        <w:r w:rsidR="008618F2" w:rsidRPr="00DC3933">
          <w:rPr>
            <w:rStyle w:val="Hyperlink"/>
            <w:noProof/>
          </w:rPr>
          <w:t>Materials</w:t>
        </w:r>
        <w:r w:rsidR="008618F2">
          <w:rPr>
            <w:noProof/>
            <w:webHidden/>
          </w:rPr>
          <w:tab/>
        </w:r>
        <w:r w:rsidR="008618F2">
          <w:rPr>
            <w:noProof/>
            <w:webHidden/>
          </w:rPr>
          <w:fldChar w:fldCharType="begin"/>
        </w:r>
        <w:r w:rsidR="008618F2">
          <w:rPr>
            <w:noProof/>
            <w:webHidden/>
          </w:rPr>
          <w:instrText xml:space="preserve"> PAGEREF _Toc134198178 \h </w:instrText>
        </w:r>
        <w:r w:rsidR="008618F2">
          <w:rPr>
            <w:noProof/>
            <w:webHidden/>
          </w:rPr>
        </w:r>
        <w:r w:rsidR="008618F2">
          <w:rPr>
            <w:noProof/>
            <w:webHidden/>
          </w:rPr>
          <w:fldChar w:fldCharType="separate"/>
        </w:r>
        <w:r w:rsidR="000720CB">
          <w:rPr>
            <w:noProof/>
            <w:webHidden/>
          </w:rPr>
          <w:t>269</w:t>
        </w:r>
        <w:r w:rsidR="008618F2">
          <w:rPr>
            <w:noProof/>
            <w:webHidden/>
          </w:rPr>
          <w:fldChar w:fldCharType="end"/>
        </w:r>
      </w:hyperlink>
    </w:p>
    <w:p w14:paraId="1470CF42" w14:textId="0A01846E" w:rsidR="008618F2" w:rsidRDefault="009B5CEC">
      <w:pPr>
        <w:pStyle w:val="TOC2"/>
        <w:rPr>
          <w:rFonts w:asciiTheme="minorHAnsi" w:eastAsiaTheme="minorEastAsia" w:hAnsiTheme="minorHAnsi" w:cstheme="minorBidi"/>
          <w:b w:val="0"/>
          <w:noProof/>
          <w:szCs w:val="22"/>
          <w:lang w:eastAsia="en-GB"/>
        </w:rPr>
      </w:pPr>
      <w:hyperlink w:anchor="_Toc134198179" w:history="1">
        <w:r w:rsidR="008618F2" w:rsidRPr="00DC3933">
          <w:rPr>
            <w:rStyle w:val="Hyperlink"/>
            <w:noProof/>
          </w:rPr>
          <w:t>15.4</w:t>
        </w:r>
        <w:r w:rsidR="008618F2">
          <w:rPr>
            <w:rFonts w:asciiTheme="minorHAnsi" w:eastAsiaTheme="minorEastAsia" w:hAnsiTheme="minorHAnsi" w:cstheme="minorBidi"/>
            <w:b w:val="0"/>
            <w:noProof/>
            <w:szCs w:val="22"/>
            <w:lang w:eastAsia="en-GB"/>
          </w:rPr>
          <w:tab/>
        </w:r>
        <w:r w:rsidR="008618F2" w:rsidRPr="00DC3933">
          <w:rPr>
            <w:rStyle w:val="Hyperlink"/>
            <w:noProof/>
          </w:rPr>
          <w:t>Structural types, behaviour factors and limits of seismic action</w:t>
        </w:r>
        <w:r w:rsidR="008618F2">
          <w:rPr>
            <w:noProof/>
            <w:webHidden/>
          </w:rPr>
          <w:tab/>
        </w:r>
        <w:r w:rsidR="008618F2">
          <w:rPr>
            <w:noProof/>
            <w:webHidden/>
          </w:rPr>
          <w:fldChar w:fldCharType="begin"/>
        </w:r>
        <w:r w:rsidR="008618F2">
          <w:rPr>
            <w:noProof/>
            <w:webHidden/>
          </w:rPr>
          <w:instrText xml:space="preserve"> PAGEREF _Toc134198179 \h </w:instrText>
        </w:r>
        <w:r w:rsidR="008618F2">
          <w:rPr>
            <w:noProof/>
            <w:webHidden/>
          </w:rPr>
        </w:r>
        <w:r w:rsidR="008618F2">
          <w:rPr>
            <w:noProof/>
            <w:webHidden/>
          </w:rPr>
          <w:fldChar w:fldCharType="separate"/>
        </w:r>
        <w:r w:rsidR="000720CB">
          <w:rPr>
            <w:noProof/>
            <w:webHidden/>
          </w:rPr>
          <w:t>270</w:t>
        </w:r>
        <w:r w:rsidR="008618F2">
          <w:rPr>
            <w:noProof/>
            <w:webHidden/>
          </w:rPr>
          <w:fldChar w:fldCharType="end"/>
        </w:r>
      </w:hyperlink>
    </w:p>
    <w:p w14:paraId="46CBE307" w14:textId="41B7B5F1" w:rsidR="008618F2" w:rsidRDefault="009B5CEC">
      <w:pPr>
        <w:pStyle w:val="TOC3"/>
        <w:rPr>
          <w:rFonts w:asciiTheme="minorHAnsi" w:eastAsiaTheme="minorEastAsia" w:hAnsiTheme="minorHAnsi" w:cstheme="minorBidi"/>
          <w:b w:val="0"/>
          <w:noProof/>
          <w:szCs w:val="22"/>
          <w:lang w:eastAsia="en-GB"/>
        </w:rPr>
      </w:pPr>
      <w:hyperlink w:anchor="_Toc134198180" w:history="1">
        <w:r w:rsidR="008618F2" w:rsidRPr="00DC3933">
          <w:rPr>
            <w:rStyle w:val="Hyperlink"/>
            <w:noProof/>
          </w:rPr>
          <w:t>15.4.1</w:t>
        </w:r>
        <w:r w:rsidR="008618F2">
          <w:rPr>
            <w:rFonts w:asciiTheme="minorHAnsi" w:eastAsiaTheme="minorEastAsia" w:hAnsiTheme="minorHAnsi" w:cstheme="minorBidi"/>
            <w:b w:val="0"/>
            <w:noProof/>
            <w:szCs w:val="22"/>
            <w:lang w:eastAsia="en-GB"/>
          </w:rPr>
          <w:tab/>
        </w:r>
        <w:r w:rsidR="008618F2" w:rsidRPr="00DC3933">
          <w:rPr>
            <w:rStyle w:val="Hyperlink"/>
            <w:noProof/>
          </w:rPr>
          <w:t>Structural types</w:t>
        </w:r>
        <w:r w:rsidR="008618F2">
          <w:rPr>
            <w:noProof/>
            <w:webHidden/>
          </w:rPr>
          <w:tab/>
        </w:r>
        <w:r w:rsidR="008618F2">
          <w:rPr>
            <w:noProof/>
            <w:webHidden/>
          </w:rPr>
          <w:fldChar w:fldCharType="begin"/>
        </w:r>
        <w:r w:rsidR="008618F2">
          <w:rPr>
            <w:noProof/>
            <w:webHidden/>
          </w:rPr>
          <w:instrText xml:space="preserve"> PAGEREF _Toc134198180 \h </w:instrText>
        </w:r>
        <w:r w:rsidR="008618F2">
          <w:rPr>
            <w:noProof/>
            <w:webHidden/>
          </w:rPr>
        </w:r>
        <w:r w:rsidR="008618F2">
          <w:rPr>
            <w:noProof/>
            <w:webHidden/>
          </w:rPr>
          <w:fldChar w:fldCharType="separate"/>
        </w:r>
        <w:r w:rsidR="000720CB">
          <w:rPr>
            <w:noProof/>
            <w:webHidden/>
          </w:rPr>
          <w:t>270</w:t>
        </w:r>
        <w:r w:rsidR="008618F2">
          <w:rPr>
            <w:noProof/>
            <w:webHidden/>
          </w:rPr>
          <w:fldChar w:fldCharType="end"/>
        </w:r>
      </w:hyperlink>
    </w:p>
    <w:p w14:paraId="16D16B65" w14:textId="06AF9785" w:rsidR="008618F2" w:rsidRDefault="009B5CEC">
      <w:pPr>
        <w:pStyle w:val="TOC3"/>
        <w:rPr>
          <w:rFonts w:asciiTheme="minorHAnsi" w:eastAsiaTheme="minorEastAsia" w:hAnsiTheme="minorHAnsi" w:cstheme="minorBidi"/>
          <w:b w:val="0"/>
          <w:noProof/>
          <w:szCs w:val="22"/>
          <w:lang w:eastAsia="en-GB"/>
        </w:rPr>
      </w:pPr>
      <w:hyperlink w:anchor="_Toc134198181" w:history="1">
        <w:r w:rsidR="008618F2" w:rsidRPr="00DC3933">
          <w:rPr>
            <w:rStyle w:val="Hyperlink"/>
            <w:noProof/>
          </w:rPr>
          <w:t>15.4.2</w:t>
        </w:r>
        <w:r w:rsidR="008618F2">
          <w:rPr>
            <w:rFonts w:asciiTheme="minorHAnsi" w:eastAsiaTheme="minorEastAsia" w:hAnsiTheme="minorHAnsi" w:cstheme="minorBidi"/>
            <w:b w:val="0"/>
            <w:noProof/>
            <w:szCs w:val="22"/>
            <w:lang w:eastAsia="en-GB"/>
          </w:rPr>
          <w:tab/>
        </w:r>
        <w:r w:rsidR="008618F2" w:rsidRPr="00DC3933">
          <w:rPr>
            <w:rStyle w:val="Hyperlink"/>
            <w:noProof/>
          </w:rPr>
          <w:t>Behaviour factors</w:t>
        </w:r>
        <w:r w:rsidR="008618F2">
          <w:rPr>
            <w:noProof/>
            <w:webHidden/>
          </w:rPr>
          <w:tab/>
        </w:r>
        <w:r w:rsidR="008618F2">
          <w:rPr>
            <w:noProof/>
            <w:webHidden/>
          </w:rPr>
          <w:fldChar w:fldCharType="begin"/>
        </w:r>
        <w:r w:rsidR="008618F2">
          <w:rPr>
            <w:noProof/>
            <w:webHidden/>
          </w:rPr>
          <w:instrText xml:space="preserve"> PAGEREF _Toc134198181 \h </w:instrText>
        </w:r>
        <w:r w:rsidR="008618F2">
          <w:rPr>
            <w:noProof/>
            <w:webHidden/>
          </w:rPr>
        </w:r>
        <w:r w:rsidR="008618F2">
          <w:rPr>
            <w:noProof/>
            <w:webHidden/>
          </w:rPr>
          <w:fldChar w:fldCharType="separate"/>
        </w:r>
        <w:r w:rsidR="000720CB">
          <w:rPr>
            <w:noProof/>
            <w:webHidden/>
          </w:rPr>
          <w:t>270</w:t>
        </w:r>
        <w:r w:rsidR="008618F2">
          <w:rPr>
            <w:noProof/>
            <w:webHidden/>
          </w:rPr>
          <w:fldChar w:fldCharType="end"/>
        </w:r>
      </w:hyperlink>
    </w:p>
    <w:p w14:paraId="7B11D216" w14:textId="59050C43" w:rsidR="008618F2" w:rsidRDefault="009B5CEC">
      <w:pPr>
        <w:pStyle w:val="TOC3"/>
        <w:rPr>
          <w:rFonts w:asciiTheme="minorHAnsi" w:eastAsiaTheme="minorEastAsia" w:hAnsiTheme="minorHAnsi" w:cstheme="minorBidi"/>
          <w:b w:val="0"/>
          <w:noProof/>
          <w:szCs w:val="22"/>
          <w:lang w:eastAsia="en-GB"/>
        </w:rPr>
      </w:pPr>
      <w:hyperlink w:anchor="_Toc134198182" w:history="1">
        <w:r w:rsidR="008618F2" w:rsidRPr="00DC3933">
          <w:rPr>
            <w:rStyle w:val="Hyperlink"/>
            <w:noProof/>
          </w:rPr>
          <w:t>15.4.3</w:t>
        </w:r>
        <w:r w:rsidR="008618F2">
          <w:rPr>
            <w:rFonts w:asciiTheme="minorHAnsi" w:eastAsiaTheme="minorEastAsia" w:hAnsiTheme="minorHAnsi" w:cstheme="minorBidi"/>
            <w:b w:val="0"/>
            <w:noProof/>
            <w:szCs w:val="22"/>
            <w:lang w:eastAsia="en-GB"/>
          </w:rPr>
          <w:tab/>
        </w:r>
        <w:r w:rsidR="008618F2" w:rsidRPr="00DC3933">
          <w:rPr>
            <w:rStyle w:val="Hyperlink"/>
            <w:noProof/>
          </w:rPr>
          <w:t>Limits of seismic action for design to DC1 and DC2</w:t>
        </w:r>
        <w:r w:rsidR="008618F2">
          <w:rPr>
            <w:noProof/>
            <w:webHidden/>
          </w:rPr>
          <w:tab/>
        </w:r>
        <w:r w:rsidR="008618F2">
          <w:rPr>
            <w:noProof/>
            <w:webHidden/>
          </w:rPr>
          <w:fldChar w:fldCharType="begin"/>
        </w:r>
        <w:r w:rsidR="008618F2">
          <w:rPr>
            <w:noProof/>
            <w:webHidden/>
          </w:rPr>
          <w:instrText xml:space="preserve"> PAGEREF _Toc134198182 \h </w:instrText>
        </w:r>
        <w:r w:rsidR="008618F2">
          <w:rPr>
            <w:noProof/>
            <w:webHidden/>
          </w:rPr>
        </w:r>
        <w:r w:rsidR="008618F2">
          <w:rPr>
            <w:noProof/>
            <w:webHidden/>
          </w:rPr>
          <w:fldChar w:fldCharType="separate"/>
        </w:r>
        <w:r w:rsidR="000720CB">
          <w:rPr>
            <w:noProof/>
            <w:webHidden/>
          </w:rPr>
          <w:t>271</w:t>
        </w:r>
        <w:r w:rsidR="008618F2">
          <w:rPr>
            <w:noProof/>
            <w:webHidden/>
          </w:rPr>
          <w:fldChar w:fldCharType="end"/>
        </w:r>
      </w:hyperlink>
    </w:p>
    <w:p w14:paraId="75B5925F" w14:textId="6D145F1A" w:rsidR="008618F2" w:rsidRDefault="009B5CEC">
      <w:pPr>
        <w:pStyle w:val="TOC2"/>
        <w:rPr>
          <w:rFonts w:asciiTheme="minorHAnsi" w:eastAsiaTheme="minorEastAsia" w:hAnsiTheme="minorHAnsi" w:cstheme="minorBidi"/>
          <w:b w:val="0"/>
          <w:noProof/>
          <w:szCs w:val="22"/>
          <w:lang w:eastAsia="en-GB"/>
        </w:rPr>
      </w:pPr>
      <w:hyperlink w:anchor="_Toc134198183" w:history="1">
        <w:r w:rsidR="008618F2" w:rsidRPr="00DC3933">
          <w:rPr>
            <w:rStyle w:val="Hyperlink"/>
            <w:noProof/>
          </w:rPr>
          <w:t>15.5</w:t>
        </w:r>
        <w:r w:rsidR="008618F2">
          <w:rPr>
            <w:rFonts w:asciiTheme="minorHAnsi" w:eastAsiaTheme="minorEastAsia" w:hAnsiTheme="minorHAnsi" w:cstheme="minorBidi"/>
            <w:b w:val="0"/>
            <w:noProof/>
            <w:szCs w:val="22"/>
            <w:lang w:eastAsia="en-GB"/>
          </w:rPr>
          <w:tab/>
        </w:r>
        <w:r w:rsidR="008618F2" w:rsidRPr="00DC3933">
          <w:rPr>
            <w:rStyle w:val="Hyperlink"/>
            <w:noProof/>
          </w:rPr>
          <w:t>Structural analysis</w:t>
        </w:r>
        <w:r w:rsidR="008618F2">
          <w:rPr>
            <w:noProof/>
            <w:webHidden/>
          </w:rPr>
          <w:tab/>
        </w:r>
        <w:r w:rsidR="008618F2">
          <w:rPr>
            <w:noProof/>
            <w:webHidden/>
          </w:rPr>
          <w:fldChar w:fldCharType="begin"/>
        </w:r>
        <w:r w:rsidR="008618F2">
          <w:rPr>
            <w:noProof/>
            <w:webHidden/>
          </w:rPr>
          <w:instrText xml:space="preserve"> PAGEREF _Toc134198183 \h </w:instrText>
        </w:r>
        <w:r w:rsidR="008618F2">
          <w:rPr>
            <w:noProof/>
            <w:webHidden/>
          </w:rPr>
        </w:r>
        <w:r w:rsidR="008618F2">
          <w:rPr>
            <w:noProof/>
            <w:webHidden/>
          </w:rPr>
          <w:fldChar w:fldCharType="separate"/>
        </w:r>
        <w:r w:rsidR="000720CB">
          <w:rPr>
            <w:noProof/>
            <w:webHidden/>
          </w:rPr>
          <w:t>271</w:t>
        </w:r>
        <w:r w:rsidR="008618F2">
          <w:rPr>
            <w:noProof/>
            <w:webHidden/>
          </w:rPr>
          <w:fldChar w:fldCharType="end"/>
        </w:r>
      </w:hyperlink>
    </w:p>
    <w:p w14:paraId="51BD346E" w14:textId="0068D113" w:rsidR="008618F2" w:rsidRDefault="009B5CEC">
      <w:pPr>
        <w:pStyle w:val="TOC2"/>
        <w:rPr>
          <w:rFonts w:asciiTheme="minorHAnsi" w:eastAsiaTheme="minorEastAsia" w:hAnsiTheme="minorHAnsi" w:cstheme="minorBidi"/>
          <w:b w:val="0"/>
          <w:noProof/>
          <w:szCs w:val="22"/>
          <w:lang w:eastAsia="en-GB"/>
        </w:rPr>
      </w:pPr>
      <w:hyperlink w:anchor="_Toc134198184" w:history="1">
        <w:r w:rsidR="008618F2" w:rsidRPr="00DC3933">
          <w:rPr>
            <w:rStyle w:val="Hyperlink"/>
            <w:noProof/>
          </w:rPr>
          <w:t>15.6</w:t>
        </w:r>
        <w:r w:rsidR="008618F2">
          <w:rPr>
            <w:rFonts w:asciiTheme="minorHAnsi" w:eastAsiaTheme="minorEastAsia" w:hAnsiTheme="minorHAnsi" w:cstheme="minorBidi"/>
            <w:b w:val="0"/>
            <w:noProof/>
            <w:szCs w:val="22"/>
            <w:lang w:eastAsia="en-GB"/>
          </w:rPr>
          <w:tab/>
        </w:r>
        <w:r w:rsidR="008618F2" w:rsidRPr="00DC3933">
          <w:rPr>
            <w:rStyle w:val="Hyperlink"/>
            <w:noProof/>
          </w:rPr>
          <w:t>Verification to Limit States</w:t>
        </w:r>
        <w:r w:rsidR="008618F2">
          <w:rPr>
            <w:noProof/>
            <w:webHidden/>
          </w:rPr>
          <w:tab/>
        </w:r>
        <w:r w:rsidR="008618F2">
          <w:rPr>
            <w:noProof/>
            <w:webHidden/>
          </w:rPr>
          <w:fldChar w:fldCharType="begin"/>
        </w:r>
        <w:r w:rsidR="008618F2">
          <w:rPr>
            <w:noProof/>
            <w:webHidden/>
          </w:rPr>
          <w:instrText xml:space="preserve"> PAGEREF _Toc134198184 \h </w:instrText>
        </w:r>
        <w:r w:rsidR="008618F2">
          <w:rPr>
            <w:noProof/>
            <w:webHidden/>
          </w:rPr>
        </w:r>
        <w:r w:rsidR="008618F2">
          <w:rPr>
            <w:noProof/>
            <w:webHidden/>
          </w:rPr>
          <w:fldChar w:fldCharType="separate"/>
        </w:r>
        <w:r w:rsidR="000720CB">
          <w:rPr>
            <w:noProof/>
            <w:webHidden/>
          </w:rPr>
          <w:t>271</w:t>
        </w:r>
        <w:r w:rsidR="008618F2">
          <w:rPr>
            <w:noProof/>
            <w:webHidden/>
          </w:rPr>
          <w:fldChar w:fldCharType="end"/>
        </w:r>
      </w:hyperlink>
    </w:p>
    <w:p w14:paraId="62914BC8" w14:textId="63CE9CA4" w:rsidR="008618F2" w:rsidRDefault="009B5CEC">
      <w:pPr>
        <w:pStyle w:val="TOC3"/>
        <w:rPr>
          <w:rFonts w:asciiTheme="minorHAnsi" w:eastAsiaTheme="minorEastAsia" w:hAnsiTheme="minorHAnsi" w:cstheme="minorBidi"/>
          <w:b w:val="0"/>
          <w:noProof/>
          <w:szCs w:val="22"/>
          <w:lang w:eastAsia="en-GB"/>
        </w:rPr>
      </w:pPr>
      <w:hyperlink w:anchor="_Toc134198185" w:history="1">
        <w:r w:rsidR="008618F2" w:rsidRPr="00DC3933">
          <w:rPr>
            <w:rStyle w:val="Hyperlink"/>
            <w:noProof/>
          </w:rPr>
          <w:t>15.6.1</w:t>
        </w:r>
        <w:r w:rsidR="008618F2">
          <w:rPr>
            <w:rFonts w:asciiTheme="minorHAnsi" w:eastAsiaTheme="minorEastAsia" w:hAnsiTheme="minorHAnsi" w:cstheme="minorBidi"/>
            <w:b w:val="0"/>
            <w:noProof/>
            <w:szCs w:val="22"/>
            <w:lang w:eastAsia="en-GB"/>
          </w:rPr>
          <w:tab/>
        </w:r>
        <w:r w:rsidR="008618F2" w:rsidRPr="00DC3933">
          <w:rPr>
            <w:rStyle w:val="Hyperlink"/>
            <w:noProof/>
          </w:rPr>
          <w:t>General</w:t>
        </w:r>
        <w:r w:rsidR="008618F2">
          <w:rPr>
            <w:noProof/>
            <w:webHidden/>
          </w:rPr>
          <w:tab/>
        </w:r>
        <w:r w:rsidR="008618F2">
          <w:rPr>
            <w:noProof/>
            <w:webHidden/>
          </w:rPr>
          <w:fldChar w:fldCharType="begin"/>
        </w:r>
        <w:r w:rsidR="008618F2">
          <w:rPr>
            <w:noProof/>
            <w:webHidden/>
          </w:rPr>
          <w:instrText xml:space="preserve"> PAGEREF _Toc134198185 \h </w:instrText>
        </w:r>
        <w:r w:rsidR="008618F2">
          <w:rPr>
            <w:noProof/>
            <w:webHidden/>
          </w:rPr>
        </w:r>
        <w:r w:rsidR="008618F2">
          <w:rPr>
            <w:noProof/>
            <w:webHidden/>
          </w:rPr>
          <w:fldChar w:fldCharType="separate"/>
        </w:r>
        <w:r w:rsidR="000720CB">
          <w:rPr>
            <w:noProof/>
            <w:webHidden/>
          </w:rPr>
          <w:t>271</w:t>
        </w:r>
        <w:r w:rsidR="008618F2">
          <w:rPr>
            <w:noProof/>
            <w:webHidden/>
          </w:rPr>
          <w:fldChar w:fldCharType="end"/>
        </w:r>
      </w:hyperlink>
    </w:p>
    <w:p w14:paraId="7B15201A" w14:textId="5255F7E0" w:rsidR="008618F2" w:rsidRDefault="009B5CEC">
      <w:pPr>
        <w:pStyle w:val="TOC3"/>
        <w:rPr>
          <w:rFonts w:asciiTheme="minorHAnsi" w:eastAsiaTheme="minorEastAsia" w:hAnsiTheme="minorHAnsi" w:cstheme="minorBidi"/>
          <w:b w:val="0"/>
          <w:noProof/>
          <w:szCs w:val="22"/>
          <w:lang w:eastAsia="en-GB"/>
        </w:rPr>
      </w:pPr>
      <w:hyperlink w:anchor="_Toc134198186" w:history="1">
        <w:r w:rsidR="008618F2" w:rsidRPr="00DC3933">
          <w:rPr>
            <w:rStyle w:val="Hyperlink"/>
            <w:noProof/>
          </w:rPr>
          <w:t>15.6.2</w:t>
        </w:r>
        <w:r w:rsidR="008618F2">
          <w:rPr>
            <w:rFonts w:asciiTheme="minorHAnsi" w:eastAsiaTheme="minorEastAsia" w:hAnsiTheme="minorHAnsi" w:cstheme="minorBidi"/>
            <w:b w:val="0"/>
            <w:noProof/>
            <w:szCs w:val="22"/>
            <w:lang w:eastAsia="en-GB"/>
          </w:rPr>
          <w:tab/>
        </w:r>
        <w:r w:rsidR="008618F2" w:rsidRPr="00DC3933">
          <w:rPr>
            <w:rStyle w:val="Hyperlink"/>
            <w:noProof/>
          </w:rPr>
          <w:t>Resistance conditions at Significant Damage limit state</w:t>
        </w:r>
        <w:r w:rsidR="008618F2">
          <w:rPr>
            <w:noProof/>
            <w:webHidden/>
          </w:rPr>
          <w:tab/>
        </w:r>
        <w:r w:rsidR="008618F2">
          <w:rPr>
            <w:noProof/>
            <w:webHidden/>
          </w:rPr>
          <w:fldChar w:fldCharType="begin"/>
        </w:r>
        <w:r w:rsidR="008618F2">
          <w:rPr>
            <w:noProof/>
            <w:webHidden/>
          </w:rPr>
          <w:instrText xml:space="preserve"> PAGEREF _Toc134198186 \h </w:instrText>
        </w:r>
        <w:r w:rsidR="008618F2">
          <w:rPr>
            <w:noProof/>
            <w:webHidden/>
          </w:rPr>
        </w:r>
        <w:r w:rsidR="008618F2">
          <w:rPr>
            <w:noProof/>
            <w:webHidden/>
          </w:rPr>
          <w:fldChar w:fldCharType="separate"/>
        </w:r>
        <w:r w:rsidR="000720CB">
          <w:rPr>
            <w:noProof/>
            <w:webHidden/>
          </w:rPr>
          <w:t>271</w:t>
        </w:r>
        <w:r w:rsidR="008618F2">
          <w:rPr>
            <w:noProof/>
            <w:webHidden/>
          </w:rPr>
          <w:fldChar w:fldCharType="end"/>
        </w:r>
      </w:hyperlink>
    </w:p>
    <w:p w14:paraId="747D8D96" w14:textId="4693A7CC" w:rsidR="008618F2" w:rsidRDefault="009B5CEC" w:rsidP="008618F2">
      <w:pPr>
        <w:pStyle w:val="TOC3"/>
        <w:jc w:val="left"/>
        <w:rPr>
          <w:rFonts w:asciiTheme="minorHAnsi" w:eastAsiaTheme="minorEastAsia" w:hAnsiTheme="minorHAnsi" w:cstheme="minorBidi"/>
          <w:b w:val="0"/>
          <w:noProof/>
          <w:szCs w:val="22"/>
          <w:lang w:eastAsia="en-GB"/>
        </w:rPr>
      </w:pPr>
      <w:hyperlink w:anchor="_Toc134198187" w:history="1">
        <w:r w:rsidR="008618F2" w:rsidRPr="00DC3933">
          <w:rPr>
            <w:rStyle w:val="Hyperlink"/>
            <w:noProof/>
          </w:rPr>
          <w:t>15.6.3</w:t>
        </w:r>
        <w:r w:rsidR="008618F2">
          <w:rPr>
            <w:rFonts w:asciiTheme="minorHAnsi" w:eastAsiaTheme="minorEastAsia" w:hAnsiTheme="minorHAnsi" w:cstheme="minorBidi"/>
            <w:b w:val="0"/>
            <w:noProof/>
            <w:szCs w:val="22"/>
            <w:lang w:eastAsia="en-GB"/>
          </w:rPr>
          <w:tab/>
        </w:r>
        <w:r w:rsidR="008618F2" w:rsidRPr="00DC3933">
          <w:rPr>
            <w:rStyle w:val="Hyperlink"/>
            <w:noProof/>
          </w:rPr>
          <w:t>Limitation of interstorey drift at Significant Damage limit state</w:t>
        </w:r>
        <w:r w:rsidR="008618F2">
          <w:rPr>
            <w:noProof/>
            <w:webHidden/>
          </w:rPr>
          <w:tab/>
        </w:r>
        <w:r w:rsidR="008618F2">
          <w:rPr>
            <w:noProof/>
            <w:webHidden/>
          </w:rPr>
          <w:fldChar w:fldCharType="begin"/>
        </w:r>
        <w:r w:rsidR="008618F2">
          <w:rPr>
            <w:noProof/>
            <w:webHidden/>
          </w:rPr>
          <w:instrText xml:space="preserve"> PAGEREF _Toc134198187 \h </w:instrText>
        </w:r>
        <w:r w:rsidR="008618F2">
          <w:rPr>
            <w:noProof/>
            <w:webHidden/>
          </w:rPr>
        </w:r>
        <w:r w:rsidR="008618F2">
          <w:rPr>
            <w:noProof/>
            <w:webHidden/>
          </w:rPr>
          <w:fldChar w:fldCharType="separate"/>
        </w:r>
        <w:r w:rsidR="000720CB">
          <w:rPr>
            <w:noProof/>
            <w:webHidden/>
          </w:rPr>
          <w:t>271</w:t>
        </w:r>
        <w:r w:rsidR="008618F2">
          <w:rPr>
            <w:noProof/>
            <w:webHidden/>
          </w:rPr>
          <w:fldChar w:fldCharType="end"/>
        </w:r>
      </w:hyperlink>
    </w:p>
    <w:p w14:paraId="0FADB559" w14:textId="701DE4F0" w:rsidR="008618F2" w:rsidRDefault="009B5CEC" w:rsidP="008618F2">
      <w:pPr>
        <w:pStyle w:val="TOC2"/>
        <w:jc w:val="left"/>
        <w:rPr>
          <w:rFonts w:asciiTheme="minorHAnsi" w:eastAsiaTheme="minorEastAsia" w:hAnsiTheme="minorHAnsi" w:cstheme="minorBidi"/>
          <w:b w:val="0"/>
          <w:noProof/>
          <w:szCs w:val="22"/>
          <w:lang w:eastAsia="en-GB"/>
        </w:rPr>
      </w:pPr>
      <w:hyperlink w:anchor="_Toc134198188" w:history="1">
        <w:r w:rsidR="008618F2" w:rsidRPr="00DC3933">
          <w:rPr>
            <w:rStyle w:val="Hyperlink"/>
            <w:noProof/>
          </w:rPr>
          <w:t>15.7</w:t>
        </w:r>
        <w:r w:rsidR="008618F2">
          <w:rPr>
            <w:rFonts w:asciiTheme="minorHAnsi" w:eastAsiaTheme="minorEastAsia" w:hAnsiTheme="minorHAnsi" w:cstheme="minorBidi"/>
            <w:b w:val="0"/>
            <w:noProof/>
            <w:szCs w:val="22"/>
            <w:lang w:eastAsia="en-GB"/>
          </w:rPr>
          <w:tab/>
        </w:r>
        <w:r w:rsidR="008618F2" w:rsidRPr="00DC3933">
          <w:rPr>
            <w:rStyle w:val="Hyperlink"/>
            <w:noProof/>
          </w:rPr>
          <w:t>Design rules for low-dissipative (DC1) and non-dissipative structural behaviour common to all structural types</w:t>
        </w:r>
        <w:r w:rsidR="008618F2">
          <w:rPr>
            <w:noProof/>
            <w:webHidden/>
          </w:rPr>
          <w:tab/>
        </w:r>
        <w:r w:rsidR="008618F2">
          <w:rPr>
            <w:noProof/>
            <w:webHidden/>
          </w:rPr>
          <w:fldChar w:fldCharType="begin"/>
        </w:r>
        <w:r w:rsidR="008618F2">
          <w:rPr>
            <w:noProof/>
            <w:webHidden/>
          </w:rPr>
          <w:instrText xml:space="preserve"> PAGEREF _Toc134198188 \h </w:instrText>
        </w:r>
        <w:r w:rsidR="008618F2">
          <w:rPr>
            <w:noProof/>
            <w:webHidden/>
          </w:rPr>
        </w:r>
        <w:r w:rsidR="008618F2">
          <w:rPr>
            <w:noProof/>
            <w:webHidden/>
          </w:rPr>
          <w:fldChar w:fldCharType="separate"/>
        </w:r>
        <w:r w:rsidR="000720CB">
          <w:rPr>
            <w:noProof/>
            <w:webHidden/>
          </w:rPr>
          <w:t>272</w:t>
        </w:r>
        <w:r w:rsidR="008618F2">
          <w:rPr>
            <w:noProof/>
            <w:webHidden/>
          </w:rPr>
          <w:fldChar w:fldCharType="end"/>
        </w:r>
      </w:hyperlink>
    </w:p>
    <w:p w14:paraId="1612C292" w14:textId="760AE51C" w:rsidR="008618F2" w:rsidRDefault="009B5CEC" w:rsidP="008618F2">
      <w:pPr>
        <w:pStyle w:val="TOC3"/>
        <w:jc w:val="left"/>
        <w:rPr>
          <w:rFonts w:asciiTheme="minorHAnsi" w:eastAsiaTheme="minorEastAsia" w:hAnsiTheme="minorHAnsi" w:cstheme="minorBidi"/>
          <w:b w:val="0"/>
          <w:noProof/>
          <w:szCs w:val="22"/>
          <w:lang w:eastAsia="en-GB"/>
        </w:rPr>
      </w:pPr>
      <w:hyperlink w:anchor="_Toc134198189" w:history="1">
        <w:r w:rsidR="008618F2" w:rsidRPr="00DC3933">
          <w:rPr>
            <w:rStyle w:val="Hyperlink"/>
            <w:noProof/>
          </w:rPr>
          <w:t>15.7.1</w:t>
        </w:r>
        <w:r w:rsidR="008618F2">
          <w:rPr>
            <w:rFonts w:asciiTheme="minorHAnsi" w:eastAsiaTheme="minorEastAsia" w:hAnsiTheme="minorHAnsi" w:cstheme="minorBidi"/>
            <w:b w:val="0"/>
            <w:noProof/>
            <w:szCs w:val="22"/>
            <w:lang w:eastAsia="en-GB"/>
          </w:rPr>
          <w:tab/>
        </w:r>
        <w:r w:rsidR="008618F2" w:rsidRPr="00DC3933">
          <w:rPr>
            <w:rStyle w:val="Hyperlink"/>
            <w:noProof/>
          </w:rPr>
          <w:t>General</w:t>
        </w:r>
        <w:r w:rsidR="008618F2">
          <w:rPr>
            <w:noProof/>
            <w:webHidden/>
          </w:rPr>
          <w:tab/>
        </w:r>
        <w:r w:rsidR="008618F2">
          <w:rPr>
            <w:noProof/>
            <w:webHidden/>
          </w:rPr>
          <w:fldChar w:fldCharType="begin"/>
        </w:r>
        <w:r w:rsidR="008618F2">
          <w:rPr>
            <w:noProof/>
            <w:webHidden/>
          </w:rPr>
          <w:instrText xml:space="preserve"> PAGEREF _Toc134198189 \h </w:instrText>
        </w:r>
        <w:r w:rsidR="008618F2">
          <w:rPr>
            <w:noProof/>
            <w:webHidden/>
          </w:rPr>
        </w:r>
        <w:r w:rsidR="008618F2">
          <w:rPr>
            <w:noProof/>
            <w:webHidden/>
          </w:rPr>
          <w:fldChar w:fldCharType="separate"/>
        </w:r>
        <w:r w:rsidR="000720CB">
          <w:rPr>
            <w:noProof/>
            <w:webHidden/>
          </w:rPr>
          <w:t>272</w:t>
        </w:r>
        <w:r w:rsidR="008618F2">
          <w:rPr>
            <w:noProof/>
            <w:webHidden/>
          </w:rPr>
          <w:fldChar w:fldCharType="end"/>
        </w:r>
      </w:hyperlink>
    </w:p>
    <w:p w14:paraId="68BF0718" w14:textId="0F267113" w:rsidR="008618F2" w:rsidRDefault="009B5CEC" w:rsidP="008618F2">
      <w:pPr>
        <w:pStyle w:val="TOC3"/>
        <w:jc w:val="left"/>
        <w:rPr>
          <w:rFonts w:asciiTheme="minorHAnsi" w:eastAsiaTheme="minorEastAsia" w:hAnsiTheme="minorHAnsi" w:cstheme="minorBidi"/>
          <w:b w:val="0"/>
          <w:noProof/>
          <w:szCs w:val="22"/>
          <w:lang w:eastAsia="en-GB"/>
        </w:rPr>
      </w:pPr>
      <w:hyperlink w:anchor="_Toc134198190" w:history="1">
        <w:r w:rsidR="008618F2" w:rsidRPr="00DC3933">
          <w:rPr>
            <w:rStyle w:val="Hyperlink"/>
            <w:noProof/>
          </w:rPr>
          <w:t>15.7.2</w:t>
        </w:r>
        <w:r w:rsidR="008618F2">
          <w:rPr>
            <w:rFonts w:asciiTheme="minorHAnsi" w:eastAsiaTheme="minorEastAsia" w:hAnsiTheme="minorHAnsi" w:cstheme="minorBidi"/>
            <w:b w:val="0"/>
            <w:noProof/>
            <w:szCs w:val="22"/>
            <w:lang w:eastAsia="en-GB"/>
          </w:rPr>
          <w:tab/>
        </w:r>
        <w:r w:rsidR="008618F2" w:rsidRPr="00DC3933">
          <w:rPr>
            <w:rStyle w:val="Hyperlink"/>
            <w:noProof/>
          </w:rPr>
          <w:t>Design rules for low-dissipative structures</w:t>
        </w:r>
        <w:r w:rsidR="008618F2">
          <w:rPr>
            <w:noProof/>
            <w:webHidden/>
          </w:rPr>
          <w:tab/>
        </w:r>
        <w:r w:rsidR="008618F2">
          <w:rPr>
            <w:noProof/>
            <w:webHidden/>
          </w:rPr>
          <w:fldChar w:fldCharType="begin"/>
        </w:r>
        <w:r w:rsidR="008618F2">
          <w:rPr>
            <w:noProof/>
            <w:webHidden/>
          </w:rPr>
          <w:instrText xml:space="preserve"> PAGEREF _Toc134198190 \h </w:instrText>
        </w:r>
        <w:r w:rsidR="008618F2">
          <w:rPr>
            <w:noProof/>
            <w:webHidden/>
          </w:rPr>
        </w:r>
        <w:r w:rsidR="008618F2">
          <w:rPr>
            <w:noProof/>
            <w:webHidden/>
          </w:rPr>
          <w:fldChar w:fldCharType="separate"/>
        </w:r>
        <w:r w:rsidR="000720CB">
          <w:rPr>
            <w:noProof/>
            <w:webHidden/>
          </w:rPr>
          <w:t>272</w:t>
        </w:r>
        <w:r w:rsidR="008618F2">
          <w:rPr>
            <w:noProof/>
            <w:webHidden/>
          </w:rPr>
          <w:fldChar w:fldCharType="end"/>
        </w:r>
      </w:hyperlink>
    </w:p>
    <w:p w14:paraId="03801C6F" w14:textId="566C75A8" w:rsidR="008618F2" w:rsidRDefault="009B5CEC" w:rsidP="008618F2">
      <w:pPr>
        <w:pStyle w:val="TOC3"/>
        <w:jc w:val="left"/>
        <w:rPr>
          <w:rFonts w:asciiTheme="minorHAnsi" w:eastAsiaTheme="minorEastAsia" w:hAnsiTheme="minorHAnsi" w:cstheme="minorBidi"/>
          <w:b w:val="0"/>
          <w:noProof/>
          <w:szCs w:val="22"/>
          <w:lang w:eastAsia="en-GB"/>
        </w:rPr>
      </w:pPr>
      <w:hyperlink w:anchor="_Toc134198191" w:history="1">
        <w:r w:rsidR="008618F2" w:rsidRPr="00DC3933">
          <w:rPr>
            <w:rStyle w:val="Hyperlink"/>
            <w:noProof/>
          </w:rPr>
          <w:t>15.7.3</w:t>
        </w:r>
        <w:r w:rsidR="008618F2">
          <w:rPr>
            <w:rFonts w:asciiTheme="minorHAnsi" w:eastAsiaTheme="minorEastAsia" w:hAnsiTheme="minorHAnsi" w:cstheme="minorBidi"/>
            <w:b w:val="0"/>
            <w:noProof/>
            <w:szCs w:val="22"/>
            <w:lang w:eastAsia="en-GB"/>
          </w:rPr>
          <w:tab/>
        </w:r>
        <w:r w:rsidR="008618F2" w:rsidRPr="00DC3933">
          <w:rPr>
            <w:rStyle w:val="Hyperlink"/>
            <w:noProof/>
          </w:rPr>
          <w:t>Design rules for non-dissipative structures</w:t>
        </w:r>
        <w:r w:rsidR="008618F2">
          <w:rPr>
            <w:noProof/>
            <w:webHidden/>
          </w:rPr>
          <w:tab/>
        </w:r>
        <w:r w:rsidR="008618F2">
          <w:rPr>
            <w:noProof/>
            <w:webHidden/>
          </w:rPr>
          <w:fldChar w:fldCharType="begin"/>
        </w:r>
        <w:r w:rsidR="008618F2">
          <w:rPr>
            <w:noProof/>
            <w:webHidden/>
          </w:rPr>
          <w:instrText xml:space="preserve"> PAGEREF _Toc134198191 \h </w:instrText>
        </w:r>
        <w:r w:rsidR="008618F2">
          <w:rPr>
            <w:noProof/>
            <w:webHidden/>
          </w:rPr>
        </w:r>
        <w:r w:rsidR="008618F2">
          <w:rPr>
            <w:noProof/>
            <w:webHidden/>
          </w:rPr>
          <w:fldChar w:fldCharType="separate"/>
        </w:r>
        <w:r w:rsidR="000720CB">
          <w:rPr>
            <w:noProof/>
            <w:webHidden/>
          </w:rPr>
          <w:t>272</w:t>
        </w:r>
        <w:r w:rsidR="008618F2">
          <w:rPr>
            <w:noProof/>
            <w:webHidden/>
          </w:rPr>
          <w:fldChar w:fldCharType="end"/>
        </w:r>
      </w:hyperlink>
    </w:p>
    <w:p w14:paraId="64CF7356" w14:textId="56769BA8" w:rsidR="008618F2" w:rsidRDefault="009B5CEC" w:rsidP="008618F2">
      <w:pPr>
        <w:pStyle w:val="TOC2"/>
        <w:jc w:val="left"/>
        <w:rPr>
          <w:rFonts w:asciiTheme="minorHAnsi" w:eastAsiaTheme="minorEastAsia" w:hAnsiTheme="minorHAnsi" w:cstheme="minorBidi"/>
          <w:b w:val="0"/>
          <w:noProof/>
          <w:szCs w:val="22"/>
          <w:lang w:eastAsia="en-GB"/>
        </w:rPr>
      </w:pPr>
      <w:hyperlink w:anchor="_Toc134198192" w:history="1">
        <w:r w:rsidR="008618F2" w:rsidRPr="00DC3933">
          <w:rPr>
            <w:rStyle w:val="Hyperlink"/>
            <w:noProof/>
          </w:rPr>
          <w:t>15.8</w:t>
        </w:r>
        <w:r w:rsidR="008618F2">
          <w:rPr>
            <w:rFonts w:asciiTheme="minorHAnsi" w:eastAsiaTheme="minorEastAsia" w:hAnsiTheme="minorHAnsi" w:cstheme="minorBidi"/>
            <w:b w:val="0"/>
            <w:noProof/>
            <w:szCs w:val="22"/>
            <w:lang w:eastAsia="en-GB"/>
          </w:rPr>
          <w:tab/>
        </w:r>
        <w:r w:rsidR="008618F2" w:rsidRPr="00DC3933">
          <w:rPr>
            <w:rStyle w:val="Hyperlink"/>
            <w:noProof/>
          </w:rPr>
          <w:t>Design rules for dissipative (DC2) structural behaviour common to all structural types</w:t>
        </w:r>
        <w:r w:rsidR="008618F2">
          <w:rPr>
            <w:noProof/>
            <w:webHidden/>
          </w:rPr>
          <w:tab/>
        </w:r>
        <w:r w:rsidR="008618F2">
          <w:rPr>
            <w:noProof/>
            <w:webHidden/>
          </w:rPr>
          <w:fldChar w:fldCharType="begin"/>
        </w:r>
        <w:r w:rsidR="008618F2">
          <w:rPr>
            <w:noProof/>
            <w:webHidden/>
          </w:rPr>
          <w:instrText xml:space="preserve"> PAGEREF _Toc134198192 \h </w:instrText>
        </w:r>
        <w:r w:rsidR="008618F2">
          <w:rPr>
            <w:noProof/>
            <w:webHidden/>
          </w:rPr>
        </w:r>
        <w:r w:rsidR="008618F2">
          <w:rPr>
            <w:noProof/>
            <w:webHidden/>
          </w:rPr>
          <w:fldChar w:fldCharType="separate"/>
        </w:r>
        <w:r w:rsidR="000720CB">
          <w:rPr>
            <w:noProof/>
            <w:webHidden/>
          </w:rPr>
          <w:t>272</w:t>
        </w:r>
        <w:r w:rsidR="008618F2">
          <w:rPr>
            <w:noProof/>
            <w:webHidden/>
          </w:rPr>
          <w:fldChar w:fldCharType="end"/>
        </w:r>
      </w:hyperlink>
    </w:p>
    <w:p w14:paraId="0588A01C" w14:textId="356E3DD0" w:rsidR="008618F2" w:rsidRDefault="009B5CEC" w:rsidP="008618F2">
      <w:pPr>
        <w:pStyle w:val="TOC3"/>
        <w:jc w:val="left"/>
        <w:rPr>
          <w:rFonts w:asciiTheme="minorHAnsi" w:eastAsiaTheme="minorEastAsia" w:hAnsiTheme="minorHAnsi" w:cstheme="minorBidi"/>
          <w:b w:val="0"/>
          <w:noProof/>
          <w:szCs w:val="22"/>
          <w:lang w:eastAsia="en-GB"/>
        </w:rPr>
      </w:pPr>
      <w:hyperlink w:anchor="_Toc134198193" w:history="1">
        <w:r w:rsidR="008618F2" w:rsidRPr="00DC3933">
          <w:rPr>
            <w:rStyle w:val="Hyperlink"/>
            <w:noProof/>
          </w:rPr>
          <w:t>15.8.1</w:t>
        </w:r>
        <w:r w:rsidR="008618F2">
          <w:rPr>
            <w:rFonts w:asciiTheme="minorHAnsi" w:eastAsiaTheme="minorEastAsia" w:hAnsiTheme="minorHAnsi" w:cstheme="minorBidi"/>
            <w:b w:val="0"/>
            <w:noProof/>
            <w:szCs w:val="22"/>
            <w:lang w:eastAsia="en-GB"/>
          </w:rPr>
          <w:tab/>
        </w:r>
        <w:r w:rsidR="008618F2" w:rsidRPr="00DC3933">
          <w:rPr>
            <w:rStyle w:val="Hyperlink"/>
            <w:noProof/>
          </w:rPr>
          <w:t>General</w:t>
        </w:r>
        <w:r w:rsidR="008618F2">
          <w:rPr>
            <w:noProof/>
            <w:webHidden/>
          </w:rPr>
          <w:tab/>
        </w:r>
        <w:r w:rsidR="008618F2">
          <w:rPr>
            <w:noProof/>
            <w:webHidden/>
          </w:rPr>
          <w:fldChar w:fldCharType="begin"/>
        </w:r>
        <w:r w:rsidR="008618F2">
          <w:rPr>
            <w:noProof/>
            <w:webHidden/>
          </w:rPr>
          <w:instrText xml:space="preserve"> PAGEREF _Toc134198193 \h </w:instrText>
        </w:r>
        <w:r w:rsidR="008618F2">
          <w:rPr>
            <w:noProof/>
            <w:webHidden/>
          </w:rPr>
        </w:r>
        <w:r w:rsidR="008618F2">
          <w:rPr>
            <w:noProof/>
            <w:webHidden/>
          </w:rPr>
          <w:fldChar w:fldCharType="separate"/>
        </w:r>
        <w:r w:rsidR="000720CB">
          <w:rPr>
            <w:noProof/>
            <w:webHidden/>
          </w:rPr>
          <w:t>272</w:t>
        </w:r>
        <w:r w:rsidR="008618F2">
          <w:rPr>
            <w:noProof/>
            <w:webHidden/>
          </w:rPr>
          <w:fldChar w:fldCharType="end"/>
        </w:r>
      </w:hyperlink>
    </w:p>
    <w:p w14:paraId="6572FAEE" w14:textId="5CFBD0C0" w:rsidR="008618F2" w:rsidRDefault="009B5CEC" w:rsidP="008618F2">
      <w:pPr>
        <w:pStyle w:val="TOC3"/>
        <w:jc w:val="left"/>
        <w:rPr>
          <w:rFonts w:asciiTheme="minorHAnsi" w:eastAsiaTheme="minorEastAsia" w:hAnsiTheme="minorHAnsi" w:cstheme="minorBidi"/>
          <w:b w:val="0"/>
          <w:noProof/>
          <w:szCs w:val="22"/>
          <w:lang w:eastAsia="en-GB"/>
        </w:rPr>
      </w:pPr>
      <w:hyperlink w:anchor="_Toc134198194" w:history="1">
        <w:r w:rsidR="008618F2" w:rsidRPr="00DC3933">
          <w:rPr>
            <w:rStyle w:val="Hyperlink"/>
            <w:noProof/>
          </w:rPr>
          <w:t>15.8.2</w:t>
        </w:r>
        <w:r w:rsidR="008618F2">
          <w:rPr>
            <w:rFonts w:asciiTheme="minorHAnsi" w:eastAsiaTheme="minorEastAsia" w:hAnsiTheme="minorHAnsi" w:cstheme="minorBidi"/>
            <w:b w:val="0"/>
            <w:noProof/>
            <w:szCs w:val="22"/>
            <w:lang w:eastAsia="en-GB"/>
          </w:rPr>
          <w:tab/>
        </w:r>
        <w:r w:rsidR="008618F2" w:rsidRPr="00DC3933">
          <w:rPr>
            <w:rStyle w:val="Hyperlink"/>
            <w:noProof/>
          </w:rPr>
          <w:t>Design criteria for dissipative structures</w:t>
        </w:r>
        <w:r w:rsidR="008618F2">
          <w:rPr>
            <w:noProof/>
            <w:webHidden/>
          </w:rPr>
          <w:tab/>
        </w:r>
        <w:r w:rsidR="008618F2">
          <w:rPr>
            <w:noProof/>
            <w:webHidden/>
          </w:rPr>
          <w:fldChar w:fldCharType="begin"/>
        </w:r>
        <w:r w:rsidR="008618F2">
          <w:rPr>
            <w:noProof/>
            <w:webHidden/>
          </w:rPr>
          <w:instrText xml:space="preserve"> PAGEREF _Toc134198194 \h </w:instrText>
        </w:r>
        <w:r w:rsidR="008618F2">
          <w:rPr>
            <w:noProof/>
            <w:webHidden/>
          </w:rPr>
        </w:r>
        <w:r w:rsidR="008618F2">
          <w:rPr>
            <w:noProof/>
            <w:webHidden/>
          </w:rPr>
          <w:fldChar w:fldCharType="separate"/>
        </w:r>
        <w:r w:rsidR="000720CB">
          <w:rPr>
            <w:noProof/>
            <w:webHidden/>
          </w:rPr>
          <w:t>272</w:t>
        </w:r>
        <w:r w:rsidR="008618F2">
          <w:rPr>
            <w:noProof/>
            <w:webHidden/>
          </w:rPr>
          <w:fldChar w:fldCharType="end"/>
        </w:r>
      </w:hyperlink>
    </w:p>
    <w:p w14:paraId="07117579" w14:textId="454CF58C" w:rsidR="008618F2" w:rsidRDefault="009B5CEC" w:rsidP="008618F2">
      <w:pPr>
        <w:pStyle w:val="TOC3"/>
        <w:jc w:val="left"/>
        <w:rPr>
          <w:rFonts w:asciiTheme="minorHAnsi" w:eastAsiaTheme="minorEastAsia" w:hAnsiTheme="minorHAnsi" w:cstheme="minorBidi"/>
          <w:b w:val="0"/>
          <w:noProof/>
          <w:szCs w:val="22"/>
          <w:lang w:eastAsia="en-GB"/>
        </w:rPr>
      </w:pPr>
      <w:hyperlink w:anchor="_Toc134198195" w:history="1">
        <w:r w:rsidR="008618F2" w:rsidRPr="00DC3933">
          <w:rPr>
            <w:rStyle w:val="Hyperlink"/>
            <w:noProof/>
          </w:rPr>
          <w:t>15.8.3</w:t>
        </w:r>
        <w:r w:rsidR="008618F2">
          <w:rPr>
            <w:rFonts w:asciiTheme="minorHAnsi" w:eastAsiaTheme="minorEastAsia" w:hAnsiTheme="minorHAnsi" w:cstheme="minorBidi"/>
            <w:b w:val="0"/>
            <w:noProof/>
            <w:szCs w:val="22"/>
            <w:lang w:eastAsia="en-GB"/>
          </w:rPr>
          <w:tab/>
        </w:r>
        <w:r w:rsidR="008618F2" w:rsidRPr="00DC3933">
          <w:rPr>
            <w:rStyle w:val="Hyperlink"/>
            <w:noProof/>
          </w:rPr>
          <w:t>Design rules for dissipative members in compression or bending</w:t>
        </w:r>
        <w:r w:rsidR="008618F2">
          <w:rPr>
            <w:noProof/>
            <w:webHidden/>
          </w:rPr>
          <w:tab/>
        </w:r>
        <w:r w:rsidR="008618F2">
          <w:rPr>
            <w:noProof/>
            <w:webHidden/>
          </w:rPr>
          <w:fldChar w:fldCharType="begin"/>
        </w:r>
        <w:r w:rsidR="008618F2">
          <w:rPr>
            <w:noProof/>
            <w:webHidden/>
          </w:rPr>
          <w:instrText xml:space="preserve"> PAGEREF _Toc134198195 \h </w:instrText>
        </w:r>
        <w:r w:rsidR="008618F2">
          <w:rPr>
            <w:noProof/>
            <w:webHidden/>
          </w:rPr>
        </w:r>
        <w:r w:rsidR="008618F2">
          <w:rPr>
            <w:noProof/>
            <w:webHidden/>
          </w:rPr>
          <w:fldChar w:fldCharType="separate"/>
        </w:r>
        <w:r w:rsidR="000720CB">
          <w:rPr>
            <w:noProof/>
            <w:webHidden/>
          </w:rPr>
          <w:t>273</w:t>
        </w:r>
        <w:r w:rsidR="008618F2">
          <w:rPr>
            <w:noProof/>
            <w:webHidden/>
          </w:rPr>
          <w:fldChar w:fldCharType="end"/>
        </w:r>
      </w:hyperlink>
    </w:p>
    <w:p w14:paraId="43D463D8" w14:textId="01FD5CC8" w:rsidR="008618F2" w:rsidRDefault="009B5CEC">
      <w:pPr>
        <w:pStyle w:val="TOC3"/>
        <w:rPr>
          <w:rFonts w:asciiTheme="minorHAnsi" w:eastAsiaTheme="minorEastAsia" w:hAnsiTheme="minorHAnsi" w:cstheme="minorBidi"/>
          <w:b w:val="0"/>
          <w:noProof/>
          <w:szCs w:val="22"/>
          <w:lang w:eastAsia="en-GB"/>
        </w:rPr>
      </w:pPr>
      <w:hyperlink w:anchor="_Toc134198196" w:history="1">
        <w:r w:rsidR="008618F2" w:rsidRPr="00DC3933">
          <w:rPr>
            <w:rStyle w:val="Hyperlink"/>
            <w:noProof/>
          </w:rPr>
          <w:t>15.8.4</w:t>
        </w:r>
        <w:r w:rsidR="008618F2">
          <w:rPr>
            <w:rFonts w:asciiTheme="minorHAnsi" w:eastAsiaTheme="minorEastAsia" w:hAnsiTheme="minorHAnsi" w:cstheme="minorBidi"/>
            <w:b w:val="0"/>
            <w:noProof/>
            <w:szCs w:val="22"/>
            <w:lang w:eastAsia="en-GB"/>
          </w:rPr>
          <w:tab/>
        </w:r>
        <w:r w:rsidR="008618F2" w:rsidRPr="00DC3933">
          <w:rPr>
            <w:rStyle w:val="Hyperlink"/>
            <w:noProof/>
          </w:rPr>
          <w:t>Design rules for dissipative parts of members in tension</w:t>
        </w:r>
        <w:r w:rsidR="008618F2">
          <w:rPr>
            <w:noProof/>
            <w:webHidden/>
          </w:rPr>
          <w:tab/>
        </w:r>
        <w:r w:rsidR="008618F2">
          <w:rPr>
            <w:noProof/>
            <w:webHidden/>
          </w:rPr>
          <w:fldChar w:fldCharType="begin"/>
        </w:r>
        <w:r w:rsidR="008618F2">
          <w:rPr>
            <w:noProof/>
            <w:webHidden/>
          </w:rPr>
          <w:instrText xml:space="preserve"> PAGEREF _Toc134198196 \h </w:instrText>
        </w:r>
        <w:r w:rsidR="008618F2">
          <w:rPr>
            <w:noProof/>
            <w:webHidden/>
          </w:rPr>
        </w:r>
        <w:r w:rsidR="008618F2">
          <w:rPr>
            <w:noProof/>
            <w:webHidden/>
          </w:rPr>
          <w:fldChar w:fldCharType="separate"/>
        </w:r>
        <w:r w:rsidR="000720CB">
          <w:rPr>
            <w:noProof/>
            <w:webHidden/>
          </w:rPr>
          <w:t>273</w:t>
        </w:r>
        <w:r w:rsidR="008618F2">
          <w:rPr>
            <w:noProof/>
            <w:webHidden/>
          </w:rPr>
          <w:fldChar w:fldCharType="end"/>
        </w:r>
      </w:hyperlink>
    </w:p>
    <w:p w14:paraId="46073AD9" w14:textId="0D83DE18" w:rsidR="008618F2" w:rsidRDefault="009B5CEC">
      <w:pPr>
        <w:pStyle w:val="TOC3"/>
        <w:rPr>
          <w:rFonts w:asciiTheme="minorHAnsi" w:eastAsiaTheme="minorEastAsia" w:hAnsiTheme="minorHAnsi" w:cstheme="minorBidi"/>
          <w:b w:val="0"/>
          <w:noProof/>
          <w:szCs w:val="22"/>
          <w:lang w:eastAsia="en-GB"/>
        </w:rPr>
      </w:pPr>
      <w:hyperlink w:anchor="_Toc134198197" w:history="1">
        <w:r w:rsidR="008618F2" w:rsidRPr="00DC3933">
          <w:rPr>
            <w:rStyle w:val="Hyperlink"/>
            <w:noProof/>
          </w:rPr>
          <w:t>15.8.5</w:t>
        </w:r>
        <w:r w:rsidR="008618F2">
          <w:rPr>
            <w:rFonts w:asciiTheme="minorHAnsi" w:eastAsiaTheme="minorEastAsia" w:hAnsiTheme="minorHAnsi" w:cstheme="minorBidi"/>
            <w:b w:val="0"/>
            <w:noProof/>
            <w:szCs w:val="22"/>
            <w:lang w:eastAsia="en-GB"/>
          </w:rPr>
          <w:tab/>
        </w:r>
        <w:r w:rsidR="008618F2" w:rsidRPr="00DC3933">
          <w:rPr>
            <w:rStyle w:val="Hyperlink"/>
            <w:noProof/>
          </w:rPr>
          <w:t>Design rules for non-dissipative members</w:t>
        </w:r>
        <w:r w:rsidR="008618F2">
          <w:rPr>
            <w:noProof/>
            <w:webHidden/>
          </w:rPr>
          <w:tab/>
        </w:r>
        <w:r w:rsidR="008618F2">
          <w:rPr>
            <w:noProof/>
            <w:webHidden/>
          </w:rPr>
          <w:fldChar w:fldCharType="begin"/>
        </w:r>
        <w:r w:rsidR="008618F2">
          <w:rPr>
            <w:noProof/>
            <w:webHidden/>
          </w:rPr>
          <w:instrText xml:space="preserve"> PAGEREF _Toc134198197 \h </w:instrText>
        </w:r>
        <w:r w:rsidR="008618F2">
          <w:rPr>
            <w:noProof/>
            <w:webHidden/>
          </w:rPr>
        </w:r>
        <w:r w:rsidR="008618F2">
          <w:rPr>
            <w:noProof/>
            <w:webHidden/>
          </w:rPr>
          <w:fldChar w:fldCharType="separate"/>
        </w:r>
        <w:r w:rsidR="000720CB">
          <w:rPr>
            <w:noProof/>
            <w:webHidden/>
          </w:rPr>
          <w:t>273</w:t>
        </w:r>
        <w:r w:rsidR="008618F2">
          <w:rPr>
            <w:noProof/>
            <w:webHidden/>
          </w:rPr>
          <w:fldChar w:fldCharType="end"/>
        </w:r>
      </w:hyperlink>
    </w:p>
    <w:p w14:paraId="1E696775" w14:textId="7421C08F" w:rsidR="008618F2" w:rsidRDefault="009B5CEC">
      <w:pPr>
        <w:pStyle w:val="TOC3"/>
        <w:rPr>
          <w:rFonts w:asciiTheme="minorHAnsi" w:eastAsiaTheme="minorEastAsia" w:hAnsiTheme="minorHAnsi" w:cstheme="minorBidi"/>
          <w:b w:val="0"/>
          <w:noProof/>
          <w:szCs w:val="22"/>
          <w:lang w:eastAsia="en-GB"/>
        </w:rPr>
      </w:pPr>
      <w:hyperlink w:anchor="_Toc134198198" w:history="1">
        <w:r w:rsidR="008618F2" w:rsidRPr="00DC3933">
          <w:rPr>
            <w:rStyle w:val="Hyperlink"/>
            <w:noProof/>
          </w:rPr>
          <w:t>15.8.6</w:t>
        </w:r>
        <w:r w:rsidR="008618F2">
          <w:rPr>
            <w:rFonts w:asciiTheme="minorHAnsi" w:eastAsiaTheme="minorEastAsia" w:hAnsiTheme="minorHAnsi" w:cstheme="minorBidi"/>
            <w:b w:val="0"/>
            <w:noProof/>
            <w:szCs w:val="22"/>
            <w:lang w:eastAsia="en-GB"/>
          </w:rPr>
          <w:tab/>
        </w:r>
        <w:r w:rsidR="008618F2" w:rsidRPr="00DC3933">
          <w:rPr>
            <w:rStyle w:val="Hyperlink"/>
            <w:noProof/>
          </w:rPr>
          <w:t>Design rules for connections in dissipative zones</w:t>
        </w:r>
        <w:r w:rsidR="008618F2">
          <w:rPr>
            <w:noProof/>
            <w:webHidden/>
          </w:rPr>
          <w:tab/>
        </w:r>
        <w:r w:rsidR="008618F2">
          <w:rPr>
            <w:noProof/>
            <w:webHidden/>
          </w:rPr>
          <w:fldChar w:fldCharType="begin"/>
        </w:r>
        <w:r w:rsidR="008618F2">
          <w:rPr>
            <w:noProof/>
            <w:webHidden/>
          </w:rPr>
          <w:instrText xml:space="preserve"> PAGEREF _Toc134198198 \h </w:instrText>
        </w:r>
        <w:r w:rsidR="008618F2">
          <w:rPr>
            <w:noProof/>
            <w:webHidden/>
          </w:rPr>
        </w:r>
        <w:r w:rsidR="008618F2">
          <w:rPr>
            <w:noProof/>
            <w:webHidden/>
          </w:rPr>
          <w:fldChar w:fldCharType="separate"/>
        </w:r>
        <w:r w:rsidR="000720CB">
          <w:rPr>
            <w:noProof/>
            <w:webHidden/>
          </w:rPr>
          <w:t>274</w:t>
        </w:r>
        <w:r w:rsidR="008618F2">
          <w:rPr>
            <w:noProof/>
            <w:webHidden/>
          </w:rPr>
          <w:fldChar w:fldCharType="end"/>
        </w:r>
      </w:hyperlink>
    </w:p>
    <w:p w14:paraId="4CB2B810" w14:textId="69B5BC1B" w:rsidR="008618F2" w:rsidRDefault="009B5CEC">
      <w:pPr>
        <w:pStyle w:val="TOC3"/>
        <w:rPr>
          <w:rFonts w:asciiTheme="minorHAnsi" w:eastAsiaTheme="minorEastAsia" w:hAnsiTheme="minorHAnsi" w:cstheme="minorBidi"/>
          <w:b w:val="0"/>
          <w:noProof/>
          <w:szCs w:val="22"/>
          <w:lang w:eastAsia="en-GB"/>
        </w:rPr>
      </w:pPr>
      <w:hyperlink w:anchor="_Toc134198199" w:history="1">
        <w:r w:rsidR="008618F2" w:rsidRPr="00DC3933">
          <w:rPr>
            <w:rStyle w:val="Hyperlink"/>
            <w:noProof/>
          </w:rPr>
          <w:t>15.8.7</w:t>
        </w:r>
        <w:r w:rsidR="008618F2">
          <w:rPr>
            <w:rFonts w:asciiTheme="minorHAnsi" w:eastAsiaTheme="minorEastAsia" w:hAnsiTheme="minorHAnsi" w:cstheme="minorBidi"/>
            <w:b w:val="0"/>
            <w:noProof/>
            <w:szCs w:val="22"/>
            <w:lang w:eastAsia="en-GB"/>
          </w:rPr>
          <w:tab/>
        </w:r>
        <w:r w:rsidR="008618F2" w:rsidRPr="00DC3933">
          <w:rPr>
            <w:rStyle w:val="Hyperlink"/>
            <w:noProof/>
          </w:rPr>
          <w:t>Design rules for column-to-column splices</w:t>
        </w:r>
        <w:r w:rsidR="008618F2">
          <w:rPr>
            <w:noProof/>
            <w:webHidden/>
          </w:rPr>
          <w:tab/>
        </w:r>
        <w:r w:rsidR="008618F2">
          <w:rPr>
            <w:noProof/>
            <w:webHidden/>
          </w:rPr>
          <w:fldChar w:fldCharType="begin"/>
        </w:r>
        <w:r w:rsidR="008618F2">
          <w:rPr>
            <w:noProof/>
            <w:webHidden/>
          </w:rPr>
          <w:instrText xml:space="preserve"> PAGEREF _Toc134198199 \h </w:instrText>
        </w:r>
        <w:r w:rsidR="008618F2">
          <w:rPr>
            <w:noProof/>
            <w:webHidden/>
          </w:rPr>
        </w:r>
        <w:r w:rsidR="008618F2">
          <w:rPr>
            <w:noProof/>
            <w:webHidden/>
          </w:rPr>
          <w:fldChar w:fldCharType="separate"/>
        </w:r>
        <w:r w:rsidR="000720CB">
          <w:rPr>
            <w:noProof/>
            <w:webHidden/>
          </w:rPr>
          <w:t>274</w:t>
        </w:r>
        <w:r w:rsidR="008618F2">
          <w:rPr>
            <w:noProof/>
            <w:webHidden/>
          </w:rPr>
          <w:fldChar w:fldCharType="end"/>
        </w:r>
      </w:hyperlink>
    </w:p>
    <w:p w14:paraId="7F4C1F5E" w14:textId="6524B80C" w:rsidR="008618F2" w:rsidRDefault="009B5CEC">
      <w:pPr>
        <w:pStyle w:val="TOC2"/>
        <w:rPr>
          <w:rFonts w:asciiTheme="minorHAnsi" w:eastAsiaTheme="minorEastAsia" w:hAnsiTheme="minorHAnsi" w:cstheme="minorBidi"/>
          <w:b w:val="0"/>
          <w:noProof/>
          <w:szCs w:val="22"/>
          <w:lang w:eastAsia="en-GB"/>
        </w:rPr>
      </w:pPr>
      <w:hyperlink w:anchor="_Toc134198200" w:history="1">
        <w:r w:rsidR="008618F2" w:rsidRPr="00DC3933">
          <w:rPr>
            <w:rStyle w:val="Hyperlink"/>
            <w:noProof/>
          </w:rPr>
          <w:t>15.9</w:t>
        </w:r>
        <w:r w:rsidR="008618F2">
          <w:rPr>
            <w:rFonts w:asciiTheme="minorHAnsi" w:eastAsiaTheme="minorEastAsia" w:hAnsiTheme="minorHAnsi" w:cstheme="minorBidi"/>
            <w:b w:val="0"/>
            <w:noProof/>
            <w:szCs w:val="22"/>
            <w:lang w:eastAsia="en-GB"/>
          </w:rPr>
          <w:tab/>
        </w:r>
        <w:r w:rsidR="008618F2" w:rsidRPr="00DC3933">
          <w:rPr>
            <w:rStyle w:val="Hyperlink"/>
            <w:noProof/>
          </w:rPr>
          <w:t>Design rules for moment resisting frames</w:t>
        </w:r>
        <w:r w:rsidR="008618F2">
          <w:rPr>
            <w:noProof/>
            <w:webHidden/>
          </w:rPr>
          <w:tab/>
        </w:r>
        <w:r w:rsidR="008618F2">
          <w:rPr>
            <w:noProof/>
            <w:webHidden/>
          </w:rPr>
          <w:fldChar w:fldCharType="begin"/>
        </w:r>
        <w:r w:rsidR="008618F2">
          <w:rPr>
            <w:noProof/>
            <w:webHidden/>
          </w:rPr>
          <w:instrText xml:space="preserve"> PAGEREF _Toc134198200 \h </w:instrText>
        </w:r>
        <w:r w:rsidR="008618F2">
          <w:rPr>
            <w:noProof/>
            <w:webHidden/>
          </w:rPr>
        </w:r>
        <w:r w:rsidR="008618F2">
          <w:rPr>
            <w:noProof/>
            <w:webHidden/>
          </w:rPr>
          <w:fldChar w:fldCharType="separate"/>
        </w:r>
        <w:r w:rsidR="000720CB">
          <w:rPr>
            <w:noProof/>
            <w:webHidden/>
          </w:rPr>
          <w:t>274</w:t>
        </w:r>
        <w:r w:rsidR="008618F2">
          <w:rPr>
            <w:noProof/>
            <w:webHidden/>
          </w:rPr>
          <w:fldChar w:fldCharType="end"/>
        </w:r>
      </w:hyperlink>
    </w:p>
    <w:p w14:paraId="265C4605" w14:textId="6D7D10BE" w:rsidR="008618F2" w:rsidRDefault="009B5CEC">
      <w:pPr>
        <w:pStyle w:val="TOC3"/>
        <w:rPr>
          <w:rFonts w:asciiTheme="minorHAnsi" w:eastAsiaTheme="minorEastAsia" w:hAnsiTheme="minorHAnsi" w:cstheme="minorBidi"/>
          <w:b w:val="0"/>
          <w:noProof/>
          <w:szCs w:val="22"/>
          <w:lang w:eastAsia="en-GB"/>
        </w:rPr>
      </w:pPr>
      <w:hyperlink w:anchor="_Toc134198201" w:history="1">
        <w:r w:rsidR="008618F2" w:rsidRPr="00DC3933">
          <w:rPr>
            <w:rStyle w:val="Hyperlink"/>
            <w:noProof/>
          </w:rPr>
          <w:t>15.9.1</w:t>
        </w:r>
        <w:r w:rsidR="008618F2">
          <w:rPr>
            <w:rFonts w:asciiTheme="minorHAnsi" w:eastAsiaTheme="minorEastAsia" w:hAnsiTheme="minorHAnsi" w:cstheme="minorBidi"/>
            <w:b w:val="0"/>
            <w:noProof/>
            <w:szCs w:val="22"/>
            <w:lang w:eastAsia="en-GB"/>
          </w:rPr>
          <w:tab/>
        </w:r>
        <w:r w:rsidR="008618F2" w:rsidRPr="00DC3933">
          <w:rPr>
            <w:rStyle w:val="Hyperlink"/>
            <w:noProof/>
          </w:rPr>
          <w:t>Design criteria</w:t>
        </w:r>
        <w:r w:rsidR="008618F2">
          <w:rPr>
            <w:noProof/>
            <w:webHidden/>
          </w:rPr>
          <w:tab/>
        </w:r>
        <w:r w:rsidR="008618F2">
          <w:rPr>
            <w:noProof/>
            <w:webHidden/>
          </w:rPr>
          <w:fldChar w:fldCharType="begin"/>
        </w:r>
        <w:r w:rsidR="008618F2">
          <w:rPr>
            <w:noProof/>
            <w:webHidden/>
          </w:rPr>
          <w:instrText xml:space="preserve"> PAGEREF _Toc134198201 \h </w:instrText>
        </w:r>
        <w:r w:rsidR="008618F2">
          <w:rPr>
            <w:noProof/>
            <w:webHidden/>
          </w:rPr>
        </w:r>
        <w:r w:rsidR="008618F2">
          <w:rPr>
            <w:noProof/>
            <w:webHidden/>
          </w:rPr>
          <w:fldChar w:fldCharType="separate"/>
        </w:r>
        <w:r w:rsidR="000720CB">
          <w:rPr>
            <w:noProof/>
            <w:webHidden/>
          </w:rPr>
          <w:t>274</w:t>
        </w:r>
        <w:r w:rsidR="008618F2">
          <w:rPr>
            <w:noProof/>
            <w:webHidden/>
          </w:rPr>
          <w:fldChar w:fldCharType="end"/>
        </w:r>
      </w:hyperlink>
    </w:p>
    <w:p w14:paraId="3CF704CF" w14:textId="5C82CECD" w:rsidR="008618F2" w:rsidRDefault="009B5CEC">
      <w:pPr>
        <w:pStyle w:val="TOC3"/>
        <w:rPr>
          <w:rFonts w:asciiTheme="minorHAnsi" w:eastAsiaTheme="minorEastAsia" w:hAnsiTheme="minorHAnsi" w:cstheme="minorBidi"/>
          <w:b w:val="0"/>
          <w:noProof/>
          <w:szCs w:val="22"/>
          <w:lang w:eastAsia="en-GB"/>
        </w:rPr>
      </w:pPr>
      <w:hyperlink w:anchor="_Toc134198202" w:history="1">
        <w:r w:rsidR="008618F2" w:rsidRPr="00DC3933">
          <w:rPr>
            <w:rStyle w:val="Hyperlink"/>
            <w:noProof/>
          </w:rPr>
          <w:t>15.9.2</w:t>
        </w:r>
        <w:r w:rsidR="008618F2">
          <w:rPr>
            <w:rFonts w:asciiTheme="minorHAnsi" w:eastAsiaTheme="minorEastAsia" w:hAnsiTheme="minorHAnsi" w:cstheme="minorBidi"/>
            <w:b w:val="0"/>
            <w:noProof/>
            <w:szCs w:val="22"/>
            <w:lang w:eastAsia="en-GB"/>
          </w:rPr>
          <w:tab/>
        </w:r>
        <w:r w:rsidR="008618F2" w:rsidRPr="00DC3933">
          <w:rPr>
            <w:rStyle w:val="Hyperlink"/>
            <w:noProof/>
          </w:rPr>
          <w:t>Beams</w:t>
        </w:r>
        <w:r w:rsidR="008618F2">
          <w:rPr>
            <w:noProof/>
            <w:webHidden/>
          </w:rPr>
          <w:tab/>
        </w:r>
        <w:r w:rsidR="008618F2">
          <w:rPr>
            <w:noProof/>
            <w:webHidden/>
          </w:rPr>
          <w:fldChar w:fldCharType="begin"/>
        </w:r>
        <w:r w:rsidR="008618F2">
          <w:rPr>
            <w:noProof/>
            <w:webHidden/>
          </w:rPr>
          <w:instrText xml:space="preserve"> PAGEREF _Toc134198202 \h </w:instrText>
        </w:r>
        <w:r w:rsidR="008618F2">
          <w:rPr>
            <w:noProof/>
            <w:webHidden/>
          </w:rPr>
        </w:r>
        <w:r w:rsidR="008618F2">
          <w:rPr>
            <w:noProof/>
            <w:webHidden/>
          </w:rPr>
          <w:fldChar w:fldCharType="separate"/>
        </w:r>
        <w:r w:rsidR="000720CB">
          <w:rPr>
            <w:noProof/>
            <w:webHidden/>
          </w:rPr>
          <w:t>275</w:t>
        </w:r>
        <w:r w:rsidR="008618F2">
          <w:rPr>
            <w:noProof/>
            <w:webHidden/>
          </w:rPr>
          <w:fldChar w:fldCharType="end"/>
        </w:r>
      </w:hyperlink>
    </w:p>
    <w:p w14:paraId="6B804E9D" w14:textId="583A588B" w:rsidR="008618F2" w:rsidRDefault="009B5CEC">
      <w:pPr>
        <w:pStyle w:val="TOC3"/>
        <w:rPr>
          <w:rFonts w:asciiTheme="minorHAnsi" w:eastAsiaTheme="minorEastAsia" w:hAnsiTheme="minorHAnsi" w:cstheme="minorBidi"/>
          <w:b w:val="0"/>
          <w:noProof/>
          <w:szCs w:val="22"/>
          <w:lang w:eastAsia="en-GB"/>
        </w:rPr>
      </w:pPr>
      <w:hyperlink w:anchor="_Toc134198203" w:history="1">
        <w:r w:rsidR="008618F2" w:rsidRPr="00DC3933">
          <w:rPr>
            <w:rStyle w:val="Hyperlink"/>
            <w:noProof/>
          </w:rPr>
          <w:t>15.9.3</w:t>
        </w:r>
        <w:r w:rsidR="008618F2">
          <w:rPr>
            <w:rFonts w:asciiTheme="minorHAnsi" w:eastAsiaTheme="minorEastAsia" w:hAnsiTheme="minorHAnsi" w:cstheme="minorBidi"/>
            <w:b w:val="0"/>
            <w:noProof/>
            <w:szCs w:val="22"/>
            <w:lang w:eastAsia="en-GB"/>
          </w:rPr>
          <w:tab/>
        </w:r>
        <w:r w:rsidR="008618F2" w:rsidRPr="00DC3933">
          <w:rPr>
            <w:rStyle w:val="Hyperlink"/>
            <w:noProof/>
          </w:rPr>
          <w:t>Columns</w:t>
        </w:r>
        <w:r w:rsidR="008618F2">
          <w:rPr>
            <w:noProof/>
            <w:webHidden/>
          </w:rPr>
          <w:tab/>
        </w:r>
        <w:r w:rsidR="008618F2">
          <w:rPr>
            <w:noProof/>
            <w:webHidden/>
          </w:rPr>
          <w:fldChar w:fldCharType="begin"/>
        </w:r>
        <w:r w:rsidR="008618F2">
          <w:rPr>
            <w:noProof/>
            <w:webHidden/>
          </w:rPr>
          <w:instrText xml:space="preserve"> PAGEREF _Toc134198203 \h </w:instrText>
        </w:r>
        <w:r w:rsidR="008618F2">
          <w:rPr>
            <w:noProof/>
            <w:webHidden/>
          </w:rPr>
        </w:r>
        <w:r w:rsidR="008618F2">
          <w:rPr>
            <w:noProof/>
            <w:webHidden/>
          </w:rPr>
          <w:fldChar w:fldCharType="separate"/>
        </w:r>
        <w:r w:rsidR="000720CB">
          <w:rPr>
            <w:noProof/>
            <w:webHidden/>
          </w:rPr>
          <w:t>275</w:t>
        </w:r>
        <w:r w:rsidR="008618F2">
          <w:rPr>
            <w:noProof/>
            <w:webHidden/>
          </w:rPr>
          <w:fldChar w:fldCharType="end"/>
        </w:r>
      </w:hyperlink>
    </w:p>
    <w:p w14:paraId="3454DFF0" w14:textId="79C56252" w:rsidR="008618F2" w:rsidRDefault="009B5CEC">
      <w:pPr>
        <w:pStyle w:val="TOC3"/>
        <w:rPr>
          <w:rFonts w:asciiTheme="minorHAnsi" w:eastAsiaTheme="minorEastAsia" w:hAnsiTheme="minorHAnsi" w:cstheme="minorBidi"/>
          <w:b w:val="0"/>
          <w:noProof/>
          <w:szCs w:val="22"/>
          <w:lang w:eastAsia="en-GB"/>
        </w:rPr>
      </w:pPr>
      <w:hyperlink w:anchor="_Toc134198204" w:history="1">
        <w:r w:rsidR="008618F2" w:rsidRPr="00DC3933">
          <w:rPr>
            <w:rStyle w:val="Hyperlink"/>
            <w:noProof/>
          </w:rPr>
          <w:t>15.9.4</w:t>
        </w:r>
        <w:r w:rsidR="008618F2">
          <w:rPr>
            <w:rFonts w:asciiTheme="minorHAnsi" w:eastAsiaTheme="minorEastAsia" w:hAnsiTheme="minorHAnsi" w:cstheme="minorBidi"/>
            <w:b w:val="0"/>
            <w:noProof/>
            <w:szCs w:val="22"/>
            <w:lang w:eastAsia="en-GB"/>
          </w:rPr>
          <w:tab/>
        </w:r>
        <w:r w:rsidR="008618F2" w:rsidRPr="00DC3933">
          <w:rPr>
            <w:rStyle w:val="Hyperlink"/>
            <w:noProof/>
          </w:rPr>
          <w:t>Beam to column joints</w:t>
        </w:r>
        <w:r w:rsidR="008618F2">
          <w:rPr>
            <w:noProof/>
            <w:webHidden/>
          </w:rPr>
          <w:tab/>
        </w:r>
        <w:r w:rsidR="008618F2">
          <w:rPr>
            <w:noProof/>
            <w:webHidden/>
          </w:rPr>
          <w:fldChar w:fldCharType="begin"/>
        </w:r>
        <w:r w:rsidR="008618F2">
          <w:rPr>
            <w:noProof/>
            <w:webHidden/>
          </w:rPr>
          <w:instrText xml:space="preserve"> PAGEREF _Toc134198204 \h </w:instrText>
        </w:r>
        <w:r w:rsidR="008618F2">
          <w:rPr>
            <w:noProof/>
            <w:webHidden/>
          </w:rPr>
        </w:r>
        <w:r w:rsidR="008618F2">
          <w:rPr>
            <w:noProof/>
            <w:webHidden/>
          </w:rPr>
          <w:fldChar w:fldCharType="separate"/>
        </w:r>
        <w:r w:rsidR="000720CB">
          <w:rPr>
            <w:noProof/>
            <w:webHidden/>
          </w:rPr>
          <w:t>275</w:t>
        </w:r>
        <w:r w:rsidR="008618F2">
          <w:rPr>
            <w:noProof/>
            <w:webHidden/>
          </w:rPr>
          <w:fldChar w:fldCharType="end"/>
        </w:r>
      </w:hyperlink>
    </w:p>
    <w:p w14:paraId="371FBA41" w14:textId="27139E74" w:rsidR="008618F2" w:rsidRDefault="009B5CEC">
      <w:pPr>
        <w:pStyle w:val="TOC3"/>
        <w:rPr>
          <w:rFonts w:asciiTheme="minorHAnsi" w:eastAsiaTheme="minorEastAsia" w:hAnsiTheme="minorHAnsi" w:cstheme="minorBidi"/>
          <w:b w:val="0"/>
          <w:noProof/>
          <w:szCs w:val="22"/>
          <w:lang w:eastAsia="en-GB"/>
        </w:rPr>
      </w:pPr>
      <w:hyperlink w:anchor="_Toc134198205" w:history="1">
        <w:r w:rsidR="008618F2" w:rsidRPr="00DC3933">
          <w:rPr>
            <w:rStyle w:val="Hyperlink"/>
            <w:noProof/>
          </w:rPr>
          <w:t>15.9.5</w:t>
        </w:r>
        <w:r w:rsidR="008618F2">
          <w:rPr>
            <w:rFonts w:asciiTheme="minorHAnsi" w:eastAsiaTheme="minorEastAsia" w:hAnsiTheme="minorHAnsi" w:cstheme="minorBidi"/>
            <w:b w:val="0"/>
            <w:noProof/>
            <w:szCs w:val="22"/>
            <w:lang w:eastAsia="en-GB"/>
          </w:rPr>
          <w:tab/>
        </w:r>
        <w:r w:rsidR="008618F2" w:rsidRPr="00DC3933">
          <w:rPr>
            <w:rStyle w:val="Hyperlink"/>
            <w:noProof/>
          </w:rPr>
          <w:t>Column base joints</w:t>
        </w:r>
        <w:r w:rsidR="008618F2">
          <w:rPr>
            <w:noProof/>
            <w:webHidden/>
          </w:rPr>
          <w:tab/>
        </w:r>
        <w:r w:rsidR="008618F2">
          <w:rPr>
            <w:noProof/>
            <w:webHidden/>
          </w:rPr>
          <w:fldChar w:fldCharType="begin"/>
        </w:r>
        <w:r w:rsidR="008618F2">
          <w:rPr>
            <w:noProof/>
            <w:webHidden/>
          </w:rPr>
          <w:instrText xml:space="preserve"> PAGEREF _Toc134198205 \h </w:instrText>
        </w:r>
        <w:r w:rsidR="008618F2">
          <w:rPr>
            <w:noProof/>
            <w:webHidden/>
          </w:rPr>
        </w:r>
        <w:r w:rsidR="008618F2">
          <w:rPr>
            <w:noProof/>
            <w:webHidden/>
          </w:rPr>
          <w:fldChar w:fldCharType="separate"/>
        </w:r>
        <w:r w:rsidR="000720CB">
          <w:rPr>
            <w:noProof/>
            <w:webHidden/>
          </w:rPr>
          <w:t>275</w:t>
        </w:r>
        <w:r w:rsidR="008618F2">
          <w:rPr>
            <w:noProof/>
            <w:webHidden/>
          </w:rPr>
          <w:fldChar w:fldCharType="end"/>
        </w:r>
      </w:hyperlink>
    </w:p>
    <w:p w14:paraId="57390EB4" w14:textId="7C2860EF" w:rsidR="008618F2" w:rsidRDefault="009B5CEC">
      <w:pPr>
        <w:pStyle w:val="TOC2"/>
        <w:rPr>
          <w:rFonts w:asciiTheme="minorHAnsi" w:eastAsiaTheme="minorEastAsia" w:hAnsiTheme="minorHAnsi" w:cstheme="minorBidi"/>
          <w:b w:val="0"/>
          <w:noProof/>
          <w:szCs w:val="22"/>
          <w:lang w:eastAsia="en-GB"/>
        </w:rPr>
      </w:pPr>
      <w:hyperlink w:anchor="_Toc134198206" w:history="1">
        <w:r w:rsidR="008618F2" w:rsidRPr="00DC3933">
          <w:rPr>
            <w:rStyle w:val="Hyperlink"/>
            <w:noProof/>
          </w:rPr>
          <w:t>15.10</w:t>
        </w:r>
        <w:r w:rsidR="008618F2">
          <w:rPr>
            <w:rFonts w:asciiTheme="minorHAnsi" w:eastAsiaTheme="minorEastAsia" w:hAnsiTheme="minorHAnsi" w:cstheme="minorBidi"/>
            <w:b w:val="0"/>
            <w:noProof/>
            <w:szCs w:val="22"/>
            <w:lang w:eastAsia="en-GB"/>
          </w:rPr>
          <w:tab/>
        </w:r>
        <w:r w:rsidR="008618F2" w:rsidRPr="00DC3933">
          <w:rPr>
            <w:rStyle w:val="Hyperlink"/>
            <w:noProof/>
          </w:rPr>
          <w:t>Design rules for frames with concentric bracings</w:t>
        </w:r>
        <w:r w:rsidR="008618F2">
          <w:rPr>
            <w:noProof/>
            <w:webHidden/>
          </w:rPr>
          <w:tab/>
        </w:r>
        <w:r w:rsidR="008618F2">
          <w:rPr>
            <w:noProof/>
            <w:webHidden/>
          </w:rPr>
          <w:fldChar w:fldCharType="begin"/>
        </w:r>
        <w:r w:rsidR="008618F2">
          <w:rPr>
            <w:noProof/>
            <w:webHidden/>
          </w:rPr>
          <w:instrText xml:space="preserve"> PAGEREF _Toc134198206 \h </w:instrText>
        </w:r>
        <w:r w:rsidR="008618F2">
          <w:rPr>
            <w:noProof/>
            <w:webHidden/>
          </w:rPr>
        </w:r>
        <w:r w:rsidR="008618F2">
          <w:rPr>
            <w:noProof/>
            <w:webHidden/>
          </w:rPr>
          <w:fldChar w:fldCharType="separate"/>
        </w:r>
        <w:r w:rsidR="000720CB">
          <w:rPr>
            <w:noProof/>
            <w:webHidden/>
          </w:rPr>
          <w:t>275</w:t>
        </w:r>
        <w:r w:rsidR="008618F2">
          <w:rPr>
            <w:noProof/>
            <w:webHidden/>
          </w:rPr>
          <w:fldChar w:fldCharType="end"/>
        </w:r>
      </w:hyperlink>
    </w:p>
    <w:p w14:paraId="42F5E6FB" w14:textId="22806C9B" w:rsidR="008618F2" w:rsidRDefault="009B5CEC">
      <w:pPr>
        <w:pStyle w:val="TOC3"/>
        <w:tabs>
          <w:tab w:val="left" w:pos="1100"/>
        </w:tabs>
        <w:rPr>
          <w:rFonts w:asciiTheme="minorHAnsi" w:eastAsiaTheme="minorEastAsia" w:hAnsiTheme="minorHAnsi" w:cstheme="minorBidi"/>
          <w:b w:val="0"/>
          <w:noProof/>
          <w:szCs w:val="22"/>
          <w:lang w:eastAsia="en-GB"/>
        </w:rPr>
      </w:pPr>
      <w:hyperlink w:anchor="_Toc134198207" w:history="1">
        <w:r w:rsidR="008618F2" w:rsidRPr="00DC3933">
          <w:rPr>
            <w:rStyle w:val="Hyperlink"/>
            <w:noProof/>
          </w:rPr>
          <w:t>15.10.1</w:t>
        </w:r>
        <w:r w:rsidR="008618F2">
          <w:rPr>
            <w:rFonts w:asciiTheme="minorHAnsi" w:eastAsiaTheme="minorEastAsia" w:hAnsiTheme="minorHAnsi" w:cstheme="minorBidi"/>
            <w:b w:val="0"/>
            <w:noProof/>
            <w:szCs w:val="22"/>
            <w:lang w:eastAsia="en-GB"/>
          </w:rPr>
          <w:tab/>
        </w:r>
        <w:r w:rsidR="008618F2" w:rsidRPr="00DC3933">
          <w:rPr>
            <w:rStyle w:val="Hyperlink"/>
            <w:noProof/>
          </w:rPr>
          <w:t>Design criteria for DC2</w:t>
        </w:r>
        <w:r w:rsidR="008618F2">
          <w:rPr>
            <w:noProof/>
            <w:webHidden/>
          </w:rPr>
          <w:tab/>
        </w:r>
        <w:r w:rsidR="008618F2">
          <w:rPr>
            <w:noProof/>
            <w:webHidden/>
          </w:rPr>
          <w:fldChar w:fldCharType="begin"/>
        </w:r>
        <w:r w:rsidR="008618F2">
          <w:rPr>
            <w:noProof/>
            <w:webHidden/>
          </w:rPr>
          <w:instrText xml:space="preserve"> PAGEREF _Toc134198207 \h </w:instrText>
        </w:r>
        <w:r w:rsidR="008618F2">
          <w:rPr>
            <w:noProof/>
            <w:webHidden/>
          </w:rPr>
        </w:r>
        <w:r w:rsidR="008618F2">
          <w:rPr>
            <w:noProof/>
            <w:webHidden/>
          </w:rPr>
          <w:fldChar w:fldCharType="separate"/>
        </w:r>
        <w:r w:rsidR="000720CB">
          <w:rPr>
            <w:noProof/>
            <w:webHidden/>
          </w:rPr>
          <w:t>275</w:t>
        </w:r>
        <w:r w:rsidR="008618F2">
          <w:rPr>
            <w:noProof/>
            <w:webHidden/>
          </w:rPr>
          <w:fldChar w:fldCharType="end"/>
        </w:r>
      </w:hyperlink>
    </w:p>
    <w:p w14:paraId="6EAB11FC" w14:textId="46BA7868" w:rsidR="008618F2" w:rsidRDefault="009B5CEC">
      <w:pPr>
        <w:pStyle w:val="TOC3"/>
        <w:tabs>
          <w:tab w:val="left" w:pos="1100"/>
        </w:tabs>
        <w:rPr>
          <w:rFonts w:asciiTheme="minorHAnsi" w:eastAsiaTheme="minorEastAsia" w:hAnsiTheme="minorHAnsi" w:cstheme="minorBidi"/>
          <w:b w:val="0"/>
          <w:noProof/>
          <w:szCs w:val="22"/>
          <w:lang w:eastAsia="en-GB"/>
        </w:rPr>
      </w:pPr>
      <w:hyperlink w:anchor="_Toc134198208" w:history="1">
        <w:r w:rsidR="008618F2" w:rsidRPr="00DC3933">
          <w:rPr>
            <w:rStyle w:val="Hyperlink"/>
            <w:noProof/>
          </w:rPr>
          <w:t>15.10.2</w:t>
        </w:r>
        <w:r w:rsidR="008618F2">
          <w:rPr>
            <w:rFonts w:asciiTheme="minorHAnsi" w:eastAsiaTheme="minorEastAsia" w:hAnsiTheme="minorHAnsi" w:cstheme="minorBidi"/>
            <w:b w:val="0"/>
            <w:noProof/>
            <w:szCs w:val="22"/>
            <w:lang w:eastAsia="en-GB"/>
          </w:rPr>
          <w:tab/>
        </w:r>
        <w:r w:rsidR="008618F2" w:rsidRPr="00DC3933">
          <w:rPr>
            <w:rStyle w:val="Hyperlink"/>
            <w:noProof/>
          </w:rPr>
          <w:t>Analysis for DC2</w:t>
        </w:r>
        <w:r w:rsidR="008618F2">
          <w:rPr>
            <w:noProof/>
            <w:webHidden/>
          </w:rPr>
          <w:tab/>
        </w:r>
        <w:r w:rsidR="008618F2">
          <w:rPr>
            <w:noProof/>
            <w:webHidden/>
          </w:rPr>
          <w:fldChar w:fldCharType="begin"/>
        </w:r>
        <w:r w:rsidR="008618F2">
          <w:rPr>
            <w:noProof/>
            <w:webHidden/>
          </w:rPr>
          <w:instrText xml:space="preserve"> PAGEREF _Toc134198208 \h </w:instrText>
        </w:r>
        <w:r w:rsidR="008618F2">
          <w:rPr>
            <w:noProof/>
            <w:webHidden/>
          </w:rPr>
        </w:r>
        <w:r w:rsidR="008618F2">
          <w:rPr>
            <w:noProof/>
            <w:webHidden/>
          </w:rPr>
          <w:fldChar w:fldCharType="separate"/>
        </w:r>
        <w:r w:rsidR="000720CB">
          <w:rPr>
            <w:noProof/>
            <w:webHidden/>
          </w:rPr>
          <w:t>276</w:t>
        </w:r>
        <w:r w:rsidR="008618F2">
          <w:rPr>
            <w:noProof/>
            <w:webHidden/>
          </w:rPr>
          <w:fldChar w:fldCharType="end"/>
        </w:r>
      </w:hyperlink>
    </w:p>
    <w:p w14:paraId="33DDD27B" w14:textId="695A8044" w:rsidR="008618F2" w:rsidRDefault="009B5CEC">
      <w:pPr>
        <w:pStyle w:val="TOC3"/>
        <w:tabs>
          <w:tab w:val="left" w:pos="1100"/>
        </w:tabs>
        <w:rPr>
          <w:rFonts w:asciiTheme="minorHAnsi" w:eastAsiaTheme="minorEastAsia" w:hAnsiTheme="minorHAnsi" w:cstheme="minorBidi"/>
          <w:b w:val="0"/>
          <w:noProof/>
          <w:szCs w:val="22"/>
          <w:lang w:eastAsia="en-GB"/>
        </w:rPr>
      </w:pPr>
      <w:hyperlink w:anchor="_Toc134198209" w:history="1">
        <w:r w:rsidR="008618F2" w:rsidRPr="00DC3933">
          <w:rPr>
            <w:rStyle w:val="Hyperlink"/>
            <w:noProof/>
          </w:rPr>
          <w:t>15.10.3</w:t>
        </w:r>
        <w:r w:rsidR="008618F2">
          <w:rPr>
            <w:rFonts w:asciiTheme="minorHAnsi" w:eastAsiaTheme="minorEastAsia" w:hAnsiTheme="minorHAnsi" w:cstheme="minorBidi"/>
            <w:b w:val="0"/>
            <w:noProof/>
            <w:szCs w:val="22"/>
            <w:lang w:eastAsia="en-GB"/>
          </w:rPr>
          <w:tab/>
        </w:r>
        <w:r w:rsidR="008618F2" w:rsidRPr="00DC3933">
          <w:rPr>
            <w:rStyle w:val="Hyperlink"/>
            <w:noProof/>
          </w:rPr>
          <w:t>Diagonal members</w:t>
        </w:r>
        <w:r w:rsidR="008618F2">
          <w:rPr>
            <w:noProof/>
            <w:webHidden/>
          </w:rPr>
          <w:tab/>
        </w:r>
        <w:r w:rsidR="008618F2">
          <w:rPr>
            <w:noProof/>
            <w:webHidden/>
          </w:rPr>
          <w:fldChar w:fldCharType="begin"/>
        </w:r>
        <w:r w:rsidR="008618F2">
          <w:rPr>
            <w:noProof/>
            <w:webHidden/>
          </w:rPr>
          <w:instrText xml:space="preserve"> PAGEREF _Toc134198209 \h </w:instrText>
        </w:r>
        <w:r w:rsidR="008618F2">
          <w:rPr>
            <w:noProof/>
            <w:webHidden/>
          </w:rPr>
        </w:r>
        <w:r w:rsidR="008618F2">
          <w:rPr>
            <w:noProof/>
            <w:webHidden/>
          </w:rPr>
          <w:fldChar w:fldCharType="separate"/>
        </w:r>
        <w:r w:rsidR="000720CB">
          <w:rPr>
            <w:noProof/>
            <w:webHidden/>
          </w:rPr>
          <w:t>276</w:t>
        </w:r>
        <w:r w:rsidR="008618F2">
          <w:rPr>
            <w:noProof/>
            <w:webHidden/>
          </w:rPr>
          <w:fldChar w:fldCharType="end"/>
        </w:r>
      </w:hyperlink>
    </w:p>
    <w:p w14:paraId="5FE07BBE" w14:textId="69C6A2EB" w:rsidR="008618F2" w:rsidRDefault="009B5CEC">
      <w:pPr>
        <w:pStyle w:val="TOC3"/>
        <w:tabs>
          <w:tab w:val="left" w:pos="1100"/>
        </w:tabs>
        <w:rPr>
          <w:rFonts w:asciiTheme="minorHAnsi" w:eastAsiaTheme="minorEastAsia" w:hAnsiTheme="minorHAnsi" w:cstheme="minorBidi"/>
          <w:b w:val="0"/>
          <w:noProof/>
          <w:szCs w:val="22"/>
          <w:lang w:eastAsia="en-GB"/>
        </w:rPr>
      </w:pPr>
      <w:hyperlink w:anchor="_Toc134198210" w:history="1">
        <w:r w:rsidR="008618F2" w:rsidRPr="00DC3933">
          <w:rPr>
            <w:rStyle w:val="Hyperlink"/>
            <w:noProof/>
          </w:rPr>
          <w:t>15.10.4</w:t>
        </w:r>
        <w:r w:rsidR="008618F2">
          <w:rPr>
            <w:rFonts w:asciiTheme="minorHAnsi" w:eastAsiaTheme="minorEastAsia" w:hAnsiTheme="minorHAnsi" w:cstheme="minorBidi"/>
            <w:b w:val="0"/>
            <w:noProof/>
            <w:szCs w:val="22"/>
            <w:lang w:eastAsia="en-GB"/>
          </w:rPr>
          <w:tab/>
        </w:r>
        <w:r w:rsidR="008618F2" w:rsidRPr="00DC3933">
          <w:rPr>
            <w:rStyle w:val="Hyperlink"/>
            <w:noProof/>
          </w:rPr>
          <w:t>Beams and columns</w:t>
        </w:r>
        <w:r w:rsidR="008618F2">
          <w:rPr>
            <w:noProof/>
            <w:webHidden/>
          </w:rPr>
          <w:tab/>
        </w:r>
        <w:r w:rsidR="008618F2">
          <w:rPr>
            <w:noProof/>
            <w:webHidden/>
          </w:rPr>
          <w:fldChar w:fldCharType="begin"/>
        </w:r>
        <w:r w:rsidR="008618F2">
          <w:rPr>
            <w:noProof/>
            <w:webHidden/>
          </w:rPr>
          <w:instrText xml:space="preserve"> PAGEREF _Toc134198210 \h </w:instrText>
        </w:r>
        <w:r w:rsidR="008618F2">
          <w:rPr>
            <w:noProof/>
            <w:webHidden/>
          </w:rPr>
        </w:r>
        <w:r w:rsidR="008618F2">
          <w:rPr>
            <w:noProof/>
            <w:webHidden/>
          </w:rPr>
          <w:fldChar w:fldCharType="separate"/>
        </w:r>
        <w:r w:rsidR="000720CB">
          <w:rPr>
            <w:noProof/>
            <w:webHidden/>
          </w:rPr>
          <w:t>276</w:t>
        </w:r>
        <w:r w:rsidR="008618F2">
          <w:rPr>
            <w:noProof/>
            <w:webHidden/>
          </w:rPr>
          <w:fldChar w:fldCharType="end"/>
        </w:r>
      </w:hyperlink>
    </w:p>
    <w:p w14:paraId="41F817AB" w14:textId="34AAC2B6" w:rsidR="008618F2" w:rsidRDefault="009B5CEC">
      <w:pPr>
        <w:pStyle w:val="TOC3"/>
        <w:tabs>
          <w:tab w:val="left" w:pos="1100"/>
        </w:tabs>
        <w:rPr>
          <w:rFonts w:asciiTheme="minorHAnsi" w:eastAsiaTheme="minorEastAsia" w:hAnsiTheme="minorHAnsi" w:cstheme="minorBidi"/>
          <w:b w:val="0"/>
          <w:noProof/>
          <w:szCs w:val="22"/>
          <w:lang w:eastAsia="en-GB"/>
        </w:rPr>
      </w:pPr>
      <w:hyperlink w:anchor="_Toc134198211" w:history="1">
        <w:r w:rsidR="008618F2" w:rsidRPr="00DC3933">
          <w:rPr>
            <w:rStyle w:val="Hyperlink"/>
            <w:noProof/>
          </w:rPr>
          <w:t>15.10.5</w:t>
        </w:r>
        <w:r w:rsidR="008618F2">
          <w:rPr>
            <w:rFonts w:asciiTheme="minorHAnsi" w:eastAsiaTheme="minorEastAsia" w:hAnsiTheme="minorHAnsi" w:cstheme="minorBidi"/>
            <w:b w:val="0"/>
            <w:noProof/>
            <w:szCs w:val="22"/>
            <w:lang w:eastAsia="en-GB"/>
          </w:rPr>
          <w:tab/>
        </w:r>
        <w:r w:rsidR="008618F2" w:rsidRPr="00DC3933">
          <w:rPr>
            <w:rStyle w:val="Hyperlink"/>
            <w:noProof/>
          </w:rPr>
          <w:t>Beam to column connections</w:t>
        </w:r>
        <w:r w:rsidR="008618F2">
          <w:rPr>
            <w:noProof/>
            <w:webHidden/>
          </w:rPr>
          <w:tab/>
        </w:r>
        <w:r w:rsidR="008618F2">
          <w:rPr>
            <w:noProof/>
            <w:webHidden/>
          </w:rPr>
          <w:fldChar w:fldCharType="begin"/>
        </w:r>
        <w:r w:rsidR="008618F2">
          <w:rPr>
            <w:noProof/>
            <w:webHidden/>
          </w:rPr>
          <w:instrText xml:space="preserve"> PAGEREF _Toc134198211 \h </w:instrText>
        </w:r>
        <w:r w:rsidR="008618F2">
          <w:rPr>
            <w:noProof/>
            <w:webHidden/>
          </w:rPr>
        </w:r>
        <w:r w:rsidR="008618F2">
          <w:rPr>
            <w:noProof/>
            <w:webHidden/>
          </w:rPr>
          <w:fldChar w:fldCharType="separate"/>
        </w:r>
        <w:r w:rsidR="000720CB">
          <w:rPr>
            <w:noProof/>
            <w:webHidden/>
          </w:rPr>
          <w:t>276</w:t>
        </w:r>
        <w:r w:rsidR="008618F2">
          <w:rPr>
            <w:noProof/>
            <w:webHidden/>
          </w:rPr>
          <w:fldChar w:fldCharType="end"/>
        </w:r>
      </w:hyperlink>
    </w:p>
    <w:p w14:paraId="65B0C752" w14:textId="17CA90BF" w:rsidR="008618F2" w:rsidRDefault="009B5CEC">
      <w:pPr>
        <w:pStyle w:val="TOC3"/>
        <w:tabs>
          <w:tab w:val="left" w:pos="1100"/>
        </w:tabs>
        <w:rPr>
          <w:rFonts w:asciiTheme="minorHAnsi" w:eastAsiaTheme="minorEastAsia" w:hAnsiTheme="minorHAnsi" w:cstheme="minorBidi"/>
          <w:b w:val="0"/>
          <w:noProof/>
          <w:szCs w:val="22"/>
          <w:lang w:eastAsia="en-GB"/>
        </w:rPr>
      </w:pPr>
      <w:hyperlink w:anchor="_Toc134198212" w:history="1">
        <w:r w:rsidR="008618F2" w:rsidRPr="00DC3933">
          <w:rPr>
            <w:rStyle w:val="Hyperlink"/>
            <w:noProof/>
          </w:rPr>
          <w:t>15.10.6</w:t>
        </w:r>
        <w:r w:rsidR="008618F2">
          <w:rPr>
            <w:rFonts w:asciiTheme="minorHAnsi" w:eastAsiaTheme="minorEastAsia" w:hAnsiTheme="minorHAnsi" w:cstheme="minorBidi"/>
            <w:b w:val="0"/>
            <w:noProof/>
            <w:szCs w:val="22"/>
            <w:lang w:eastAsia="en-GB"/>
          </w:rPr>
          <w:tab/>
        </w:r>
        <w:r w:rsidR="008618F2" w:rsidRPr="00DC3933">
          <w:rPr>
            <w:rStyle w:val="Hyperlink"/>
            <w:noProof/>
          </w:rPr>
          <w:t>Brace connections</w:t>
        </w:r>
        <w:r w:rsidR="008618F2">
          <w:rPr>
            <w:noProof/>
            <w:webHidden/>
          </w:rPr>
          <w:tab/>
        </w:r>
        <w:r w:rsidR="008618F2">
          <w:rPr>
            <w:noProof/>
            <w:webHidden/>
          </w:rPr>
          <w:fldChar w:fldCharType="begin"/>
        </w:r>
        <w:r w:rsidR="008618F2">
          <w:rPr>
            <w:noProof/>
            <w:webHidden/>
          </w:rPr>
          <w:instrText xml:space="preserve"> PAGEREF _Toc134198212 \h </w:instrText>
        </w:r>
        <w:r w:rsidR="008618F2">
          <w:rPr>
            <w:noProof/>
            <w:webHidden/>
          </w:rPr>
        </w:r>
        <w:r w:rsidR="008618F2">
          <w:rPr>
            <w:noProof/>
            <w:webHidden/>
          </w:rPr>
          <w:fldChar w:fldCharType="separate"/>
        </w:r>
        <w:r w:rsidR="000720CB">
          <w:rPr>
            <w:noProof/>
            <w:webHidden/>
          </w:rPr>
          <w:t>276</w:t>
        </w:r>
        <w:r w:rsidR="008618F2">
          <w:rPr>
            <w:noProof/>
            <w:webHidden/>
          </w:rPr>
          <w:fldChar w:fldCharType="end"/>
        </w:r>
      </w:hyperlink>
    </w:p>
    <w:p w14:paraId="49DB8A93" w14:textId="4721F9A9" w:rsidR="008618F2" w:rsidRDefault="009B5CEC">
      <w:pPr>
        <w:pStyle w:val="TOC3"/>
        <w:tabs>
          <w:tab w:val="left" w:pos="1100"/>
        </w:tabs>
        <w:rPr>
          <w:rFonts w:asciiTheme="minorHAnsi" w:eastAsiaTheme="minorEastAsia" w:hAnsiTheme="minorHAnsi" w:cstheme="minorBidi"/>
          <w:b w:val="0"/>
          <w:noProof/>
          <w:szCs w:val="22"/>
          <w:lang w:eastAsia="en-GB"/>
        </w:rPr>
      </w:pPr>
      <w:hyperlink w:anchor="_Toc134198213" w:history="1">
        <w:r w:rsidR="008618F2" w:rsidRPr="00DC3933">
          <w:rPr>
            <w:rStyle w:val="Hyperlink"/>
            <w:noProof/>
          </w:rPr>
          <w:t>15.10.7</w:t>
        </w:r>
        <w:r w:rsidR="008618F2">
          <w:rPr>
            <w:rFonts w:asciiTheme="minorHAnsi" w:eastAsiaTheme="minorEastAsia" w:hAnsiTheme="minorHAnsi" w:cstheme="minorBidi"/>
            <w:b w:val="0"/>
            <w:noProof/>
            <w:szCs w:val="22"/>
            <w:lang w:eastAsia="en-GB"/>
          </w:rPr>
          <w:tab/>
        </w:r>
        <w:r w:rsidR="008618F2" w:rsidRPr="00DC3933">
          <w:rPr>
            <w:rStyle w:val="Hyperlink"/>
            <w:noProof/>
          </w:rPr>
          <w:t>Column base joints</w:t>
        </w:r>
        <w:r w:rsidR="008618F2">
          <w:rPr>
            <w:noProof/>
            <w:webHidden/>
          </w:rPr>
          <w:tab/>
        </w:r>
        <w:r w:rsidR="008618F2">
          <w:rPr>
            <w:noProof/>
            <w:webHidden/>
          </w:rPr>
          <w:fldChar w:fldCharType="begin"/>
        </w:r>
        <w:r w:rsidR="008618F2">
          <w:rPr>
            <w:noProof/>
            <w:webHidden/>
          </w:rPr>
          <w:instrText xml:space="preserve"> PAGEREF _Toc134198213 \h </w:instrText>
        </w:r>
        <w:r w:rsidR="008618F2">
          <w:rPr>
            <w:noProof/>
            <w:webHidden/>
          </w:rPr>
        </w:r>
        <w:r w:rsidR="008618F2">
          <w:rPr>
            <w:noProof/>
            <w:webHidden/>
          </w:rPr>
          <w:fldChar w:fldCharType="separate"/>
        </w:r>
        <w:r w:rsidR="000720CB">
          <w:rPr>
            <w:noProof/>
            <w:webHidden/>
          </w:rPr>
          <w:t>276</w:t>
        </w:r>
        <w:r w:rsidR="008618F2">
          <w:rPr>
            <w:noProof/>
            <w:webHidden/>
          </w:rPr>
          <w:fldChar w:fldCharType="end"/>
        </w:r>
      </w:hyperlink>
    </w:p>
    <w:p w14:paraId="066017ED" w14:textId="5ABE8B77" w:rsidR="008618F2" w:rsidRDefault="009B5CEC" w:rsidP="008618F2">
      <w:pPr>
        <w:pStyle w:val="TOC2"/>
        <w:jc w:val="left"/>
        <w:rPr>
          <w:rFonts w:asciiTheme="minorHAnsi" w:eastAsiaTheme="minorEastAsia" w:hAnsiTheme="minorHAnsi" w:cstheme="minorBidi"/>
          <w:b w:val="0"/>
          <w:noProof/>
          <w:szCs w:val="22"/>
          <w:lang w:eastAsia="en-GB"/>
        </w:rPr>
      </w:pPr>
      <w:hyperlink w:anchor="_Toc134198214" w:history="1">
        <w:r w:rsidR="008618F2" w:rsidRPr="00DC3933">
          <w:rPr>
            <w:rStyle w:val="Hyperlink"/>
            <w:noProof/>
          </w:rPr>
          <w:t>15.11</w:t>
        </w:r>
        <w:r w:rsidR="008618F2">
          <w:rPr>
            <w:rFonts w:asciiTheme="minorHAnsi" w:eastAsiaTheme="minorEastAsia" w:hAnsiTheme="minorHAnsi" w:cstheme="minorBidi"/>
            <w:b w:val="0"/>
            <w:noProof/>
            <w:szCs w:val="22"/>
            <w:lang w:eastAsia="en-GB"/>
          </w:rPr>
          <w:tab/>
        </w:r>
        <w:r w:rsidR="008618F2" w:rsidRPr="00DC3933">
          <w:rPr>
            <w:rStyle w:val="Hyperlink"/>
            <w:noProof/>
          </w:rPr>
          <w:t>Design rules for dual frames - moment resisting frames combined with concentric bracings</w:t>
        </w:r>
        <w:r w:rsidR="008618F2">
          <w:rPr>
            <w:noProof/>
            <w:webHidden/>
          </w:rPr>
          <w:tab/>
        </w:r>
        <w:r w:rsidR="008618F2">
          <w:rPr>
            <w:noProof/>
            <w:webHidden/>
          </w:rPr>
          <w:fldChar w:fldCharType="begin"/>
        </w:r>
        <w:r w:rsidR="008618F2">
          <w:rPr>
            <w:noProof/>
            <w:webHidden/>
          </w:rPr>
          <w:instrText xml:space="preserve"> PAGEREF _Toc134198214 \h </w:instrText>
        </w:r>
        <w:r w:rsidR="008618F2">
          <w:rPr>
            <w:noProof/>
            <w:webHidden/>
          </w:rPr>
        </w:r>
        <w:r w:rsidR="008618F2">
          <w:rPr>
            <w:noProof/>
            <w:webHidden/>
          </w:rPr>
          <w:fldChar w:fldCharType="separate"/>
        </w:r>
        <w:r w:rsidR="000720CB">
          <w:rPr>
            <w:noProof/>
            <w:webHidden/>
          </w:rPr>
          <w:t>276</w:t>
        </w:r>
        <w:r w:rsidR="008618F2">
          <w:rPr>
            <w:noProof/>
            <w:webHidden/>
          </w:rPr>
          <w:fldChar w:fldCharType="end"/>
        </w:r>
      </w:hyperlink>
    </w:p>
    <w:p w14:paraId="2F828F81" w14:textId="24D0B58F" w:rsidR="008618F2" w:rsidRDefault="009B5CEC" w:rsidP="008618F2">
      <w:pPr>
        <w:pStyle w:val="TOC3"/>
        <w:tabs>
          <w:tab w:val="left" w:pos="1100"/>
        </w:tabs>
        <w:jc w:val="left"/>
        <w:rPr>
          <w:rFonts w:asciiTheme="minorHAnsi" w:eastAsiaTheme="minorEastAsia" w:hAnsiTheme="minorHAnsi" w:cstheme="minorBidi"/>
          <w:b w:val="0"/>
          <w:noProof/>
          <w:szCs w:val="22"/>
          <w:lang w:eastAsia="en-GB"/>
        </w:rPr>
      </w:pPr>
      <w:hyperlink w:anchor="_Toc134198215" w:history="1">
        <w:r w:rsidR="008618F2" w:rsidRPr="00DC3933">
          <w:rPr>
            <w:rStyle w:val="Hyperlink"/>
            <w:noProof/>
          </w:rPr>
          <w:t>15.11.1</w:t>
        </w:r>
        <w:r w:rsidR="008618F2">
          <w:rPr>
            <w:rFonts w:asciiTheme="minorHAnsi" w:eastAsiaTheme="minorEastAsia" w:hAnsiTheme="minorHAnsi" w:cstheme="minorBidi"/>
            <w:b w:val="0"/>
            <w:noProof/>
            <w:szCs w:val="22"/>
            <w:lang w:eastAsia="en-GB"/>
          </w:rPr>
          <w:tab/>
        </w:r>
        <w:r w:rsidR="008618F2" w:rsidRPr="00DC3933">
          <w:rPr>
            <w:rStyle w:val="Hyperlink"/>
            <w:noProof/>
          </w:rPr>
          <w:t>Design criteria</w:t>
        </w:r>
        <w:r w:rsidR="008618F2">
          <w:rPr>
            <w:noProof/>
            <w:webHidden/>
          </w:rPr>
          <w:tab/>
        </w:r>
        <w:r w:rsidR="008618F2">
          <w:rPr>
            <w:noProof/>
            <w:webHidden/>
          </w:rPr>
          <w:fldChar w:fldCharType="begin"/>
        </w:r>
        <w:r w:rsidR="008618F2">
          <w:rPr>
            <w:noProof/>
            <w:webHidden/>
          </w:rPr>
          <w:instrText xml:space="preserve"> PAGEREF _Toc134198215 \h </w:instrText>
        </w:r>
        <w:r w:rsidR="008618F2">
          <w:rPr>
            <w:noProof/>
            <w:webHidden/>
          </w:rPr>
        </w:r>
        <w:r w:rsidR="008618F2">
          <w:rPr>
            <w:noProof/>
            <w:webHidden/>
          </w:rPr>
          <w:fldChar w:fldCharType="separate"/>
        </w:r>
        <w:r w:rsidR="000720CB">
          <w:rPr>
            <w:noProof/>
            <w:webHidden/>
          </w:rPr>
          <w:t>276</w:t>
        </w:r>
        <w:r w:rsidR="008618F2">
          <w:rPr>
            <w:noProof/>
            <w:webHidden/>
          </w:rPr>
          <w:fldChar w:fldCharType="end"/>
        </w:r>
      </w:hyperlink>
    </w:p>
    <w:p w14:paraId="3EC80860" w14:textId="109A7941" w:rsidR="008618F2" w:rsidRDefault="009B5CEC" w:rsidP="008618F2">
      <w:pPr>
        <w:pStyle w:val="TOC2"/>
        <w:jc w:val="left"/>
        <w:rPr>
          <w:rFonts w:asciiTheme="minorHAnsi" w:eastAsiaTheme="minorEastAsia" w:hAnsiTheme="minorHAnsi" w:cstheme="minorBidi"/>
          <w:b w:val="0"/>
          <w:noProof/>
          <w:szCs w:val="22"/>
          <w:lang w:eastAsia="en-GB"/>
        </w:rPr>
      </w:pPr>
      <w:hyperlink w:anchor="_Toc134198216" w:history="1">
        <w:r w:rsidR="008618F2" w:rsidRPr="00DC3933">
          <w:rPr>
            <w:rStyle w:val="Hyperlink"/>
            <w:noProof/>
          </w:rPr>
          <w:t>15.12</w:t>
        </w:r>
        <w:r w:rsidR="008618F2">
          <w:rPr>
            <w:rFonts w:asciiTheme="minorHAnsi" w:eastAsiaTheme="minorEastAsia" w:hAnsiTheme="minorHAnsi" w:cstheme="minorBidi"/>
            <w:b w:val="0"/>
            <w:noProof/>
            <w:szCs w:val="22"/>
            <w:lang w:eastAsia="en-GB"/>
          </w:rPr>
          <w:tab/>
        </w:r>
        <w:r w:rsidR="008618F2" w:rsidRPr="00DC3933">
          <w:rPr>
            <w:rStyle w:val="Hyperlink"/>
            <w:noProof/>
          </w:rPr>
          <w:t>Design rules for inverted pendulum structures</w:t>
        </w:r>
        <w:r w:rsidR="008618F2">
          <w:rPr>
            <w:noProof/>
            <w:webHidden/>
          </w:rPr>
          <w:tab/>
        </w:r>
        <w:r w:rsidR="008618F2">
          <w:rPr>
            <w:noProof/>
            <w:webHidden/>
          </w:rPr>
          <w:fldChar w:fldCharType="begin"/>
        </w:r>
        <w:r w:rsidR="008618F2">
          <w:rPr>
            <w:noProof/>
            <w:webHidden/>
          </w:rPr>
          <w:instrText xml:space="preserve"> PAGEREF _Toc134198216 \h </w:instrText>
        </w:r>
        <w:r w:rsidR="008618F2">
          <w:rPr>
            <w:noProof/>
            <w:webHidden/>
          </w:rPr>
        </w:r>
        <w:r w:rsidR="008618F2">
          <w:rPr>
            <w:noProof/>
            <w:webHidden/>
          </w:rPr>
          <w:fldChar w:fldCharType="separate"/>
        </w:r>
        <w:r w:rsidR="000720CB">
          <w:rPr>
            <w:noProof/>
            <w:webHidden/>
          </w:rPr>
          <w:t>277</w:t>
        </w:r>
        <w:r w:rsidR="008618F2">
          <w:rPr>
            <w:noProof/>
            <w:webHidden/>
          </w:rPr>
          <w:fldChar w:fldCharType="end"/>
        </w:r>
      </w:hyperlink>
    </w:p>
    <w:p w14:paraId="1AF633C7" w14:textId="247E3C4D" w:rsidR="008618F2" w:rsidRDefault="009B5CEC" w:rsidP="008618F2">
      <w:pPr>
        <w:pStyle w:val="TOC2"/>
        <w:jc w:val="left"/>
        <w:rPr>
          <w:rFonts w:asciiTheme="minorHAnsi" w:eastAsiaTheme="minorEastAsia" w:hAnsiTheme="minorHAnsi" w:cstheme="minorBidi"/>
          <w:b w:val="0"/>
          <w:noProof/>
          <w:szCs w:val="22"/>
          <w:lang w:eastAsia="en-GB"/>
        </w:rPr>
      </w:pPr>
      <w:hyperlink w:anchor="_Toc134198217" w:history="1">
        <w:r w:rsidR="008618F2" w:rsidRPr="00DC3933">
          <w:rPr>
            <w:rStyle w:val="Hyperlink"/>
            <w:noProof/>
          </w:rPr>
          <w:t>15.13</w:t>
        </w:r>
        <w:r w:rsidR="008618F2">
          <w:rPr>
            <w:rFonts w:asciiTheme="minorHAnsi" w:eastAsiaTheme="minorEastAsia" w:hAnsiTheme="minorHAnsi" w:cstheme="minorBidi"/>
            <w:b w:val="0"/>
            <w:noProof/>
            <w:szCs w:val="22"/>
            <w:lang w:eastAsia="en-GB"/>
          </w:rPr>
          <w:tab/>
        </w:r>
        <w:r w:rsidR="008618F2" w:rsidRPr="00DC3933">
          <w:rPr>
            <w:rStyle w:val="Hyperlink"/>
            <w:noProof/>
          </w:rPr>
          <w:t>Aluminium diaphragms</w:t>
        </w:r>
        <w:r w:rsidR="008618F2">
          <w:rPr>
            <w:noProof/>
            <w:webHidden/>
          </w:rPr>
          <w:tab/>
        </w:r>
        <w:r w:rsidR="008618F2">
          <w:rPr>
            <w:noProof/>
            <w:webHidden/>
          </w:rPr>
          <w:fldChar w:fldCharType="begin"/>
        </w:r>
        <w:r w:rsidR="008618F2">
          <w:rPr>
            <w:noProof/>
            <w:webHidden/>
          </w:rPr>
          <w:instrText xml:space="preserve"> PAGEREF _Toc134198217 \h </w:instrText>
        </w:r>
        <w:r w:rsidR="008618F2">
          <w:rPr>
            <w:noProof/>
            <w:webHidden/>
          </w:rPr>
        </w:r>
        <w:r w:rsidR="008618F2">
          <w:rPr>
            <w:noProof/>
            <w:webHidden/>
          </w:rPr>
          <w:fldChar w:fldCharType="separate"/>
        </w:r>
        <w:r w:rsidR="000720CB">
          <w:rPr>
            <w:noProof/>
            <w:webHidden/>
          </w:rPr>
          <w:t>277</w:t>
        </w:r>
        <w:r w:rsidR="008618F2">
          <w:rPr>
            <w:noProof/>
            <w:webHidden/>
          </w:rPr>
          <w:fldChar w:fldCharType="end"/>
        </w:r>
      </w:hyperlink>
    </w:p>
    <w:p w14:paraId="722D1828" w14:textId="2ECCD41E" w:rsidR="008618F2" w:rsidRDefault="009B5CEC" w:rsidP="008618F2">
      <w:pPr>
        <w:pStyle w:val="TOC2"/>
        <w:jc w:val="left"/>
        <w:rPr>
          <w:rFonts w:asciiTheme="minorHAnsi" w:eastAsiaTheme="minorEastAsia" w:hAnsiTheme="minorHAnsi" w:cstheme="minorBidi"/>
          <w:b w:val="0"/>
          <w:noProof/>
          <w:szCs w:val="22"/>
          <w:lang w:eastAsia="en-GB"/>
        </w:rPr>
      </w:pPr>
      <w:hyperlink w:anchor="_Toc134198218" w:history="1">
        <w:r w:rsidR="008618F2" w:rsidRPr="00DC3933">
          <w:rPr>
            <w:rStyle w:val="Hyperlink"/>
            <w:noProof/>
          </w:rPr>
          <w:t>15.14</w:t>
        </w:r>
        <w:r w:rsidR="008618F2">
          <w:rPr>
            <w:rFonts w:asciiTheme="minorHAnsi" w:eastAsiaTheme="minorEastAsia" w:hAnsiTheme="minorHAnsi" w:cstheme="minorBidi"/>
            <w:b w:val="0"/>
            <w:noProof/>
            <w:szCs w:val="22"/>
            <w:lang w:eastAsia="en-GB"/>
          </w:rPr>
          <w:tab/>
        </w:r>
        <w:r w:rsidR="008618F2" w:rsidRPr="00DC3933">
          <w:rPr>
            <w:rStyle w:val="Hyperlink"/>
            <w:noProof/>
          </w:rPr>
          <w:t>Transfer zones. Design for DC2</w:t>
        </w:r>
        <w:r w:rsidR="008618F2">
          <w:rPr>
            <w:noProof/>
            <w:webHidden/>
          </w:rPr>
          <w:tab/>
        </w:r>
        <w:r w:rsidR="008618F2">
          <w:rPr>
            <w:noProof/>
            <w:webHidden/>
          </w:rPr>
          <w:fldChar w:fldCharType="begin"/>
        </w:r>
        <w:r w:rsidR="008618F2">
          <w:rPr>
            <w:noProof/>
            <w:webHidden/>
          </w:rPr>
          <w:instrText xml:space="preserve"> PAGEREF _Toc134198218 \h </w:instrText>
        </w:r>
        <w:r w:rsidR="008618F2">
          <w:rPr>
            <w:noProof/>
            <w:webHidden/>
          </w:rPr>
        </w:r>
        <w:r w:rsidR="008618F2">
          <w:rPr>
            <w:noProof/>
            <w:webHidden/>
          </w:rPr>
          <w:fldChar w:fldCharType="separate"/>
        </w:r>
        <w:r w:rsidR="000720CB">
          <w:rPr>
            <w:noProof/>
            <w:webHidden/>
          </w:rPr>
          <w:t>277</w:t>
        </w:r>
        <w:r w:rsidR="008618F2">
          <w:rPr>
            <w:noProof/>
            <w:webHidden/>
          </w:rPr>
          <w:fldChar w:fldCharType="end"/>
        </w:r>
      </w:hyperlink>
    </w:p>
    <w:p w14:paraId="47049F95" w14:textId="22534495" w:rsidR="008618F2" w:rsidRDefault="009B5CEC" w:rsidP="008618F2">
      <w:pPr>
        <w:pStyle w:val="TOC2"/>
        <w:jc w:val="left"/>
        <w:rPr>
          <w:rFonts w:asciiTheme="minorHAnsi" w:eastAsiaTheme="minorEastAsia" w:hAnsiTheme="minorHAnsi" w:cstheme="minorBidi"/>
          <w:b w:val="0"/>
          <w:noProof/>
          <w:szCs w:val="22"/>
          <w:lang w:eastAsia="en-GB"/>
        </w:rPr>
      </w:pPr>
      <w:hyperlink w:anchor="_Toc134198219" w:history="1">
        <w:r w:rsidR="008618F2" w:rsidRPr="00DC3933">
          <w:rPr>
            <w:rStyle w:val="Hyperlink"/>
            <w:noProof/>
          </w:rPr>
          <w:t>15.15</w:t>
        </w:r>
        <w:r w:rsidR="008618F2">
          <w:rPr>
            <w:rFonts w:asciiTheme="minorHAnsi" w:eastAsiaTheme="minorEastAsia" w:hAnsiTheme="minorHAnsi" w:cstheme="minorBidi"/>
            <w:b w:val="0"/>
            <w:noProof/>
            <w:szCs w:val="22"/>
            <w:lang w:eastAsia="en-GB"/>
          </w:rPr>
          <w:tab/>
        </w:r>
        <w:r w:rsidR="008618F2" w:rsidRPr="00DC3933">
          <w:rPr>
            <w:rStyle w:val="Hyperlink"/>
            <w:noProof/>
          </w:rPr>
          <w:t>Checking of design, supply of material and execution</w:t>
        </w:r>
        <w:r w:rsidR="008618F2">
          <w:rPr>
            <w:noProof/>
            <w:webHidden/>
          </w:rPr>
          <w:tab/>
        </w:r>
        <w:r w:rsidR="008618F2">
          <w:rPr>
            <w:noProof/>
            <w:webHidden/>
          </w:rPr>
          <w:fldChar w:fldCharType="begin"/>
        </w:r>
        <w:r w:rsidR="008618F2">
          <w:rPr>
            <w:noProof/>
            <w:webHidden/>
          </w:rPr>
          <w:instrText xml:space="preserve"> PAGEREF _Toc134198219 \h </w:instrText>
        </w:r>
        <w:r w:rsidR="008618F2">
          <w:rPr>
            <w:noProof/>
            <w:webHidden/>
          </w:rPr>
        </w:r>
        <w:r w:rsidR="008618F2">
          <w:rPr>
            <w:noProof/>
            <w:webHidden/>
          </w:rPr>
          <w:fldChar w:fldCharType="separate"/>
        </w:r>
        <w:r w:rsidR="000720CB">
          <w:rPr>
            <w:noProof/>
            <w:webHidden/>
          </w:rPr>
          <w:t>277</w:t>
        </w:r>
        <w:r w:rsidR="008618F2">
          <w:rPr>
            <w:noProof/>
            <w:webHidden/>
          </w:rPr>
          <w:fldChar w:fldCharType="end"/>
        </w:r>
      </w:hyperlink>
    </w:p>
    <w:p w14:paraId="176AE415" w14:textId="54B53860" w:rsidR="008618F2" w:rsidRDefault="009B5CEC" w:rsidP="008618F2">
      <w:pPr>
        <w:pStyle w:val="TOC1"/>
        <w:jc w:val="left"/>
        <w:rPr>
          <w:rFonts w:asciiTheme="minorHAnsi" w:eastAsiaTheme="minorEastAsia" w:hAnsiTheme="minorHAnsi" w:cstheme="minorBidi"/>
          <w:b w:val="0"/>
          <w:noProof/>
          <w:szCs w:val="22"/>
          <w:lang w:eastAsia="en-GB"/>
        </w:rPr>
      </w:pPr>
      <w:hyperlink w:anchor="_Toc134198220" w:history="1">
        <w:r w:rsidR="008618F2" w:rsidRPr="00DC3933">
          <w:rPr>
            <w:rStyle w:val="Hyperlink"/>
            <w:noProof/>
          </w:rPr>
          <w:t>Annex A (informative)  Characteristics of earthquake resistant buildings and in plan regularity</w:t>
        </w:r>
        <w:r w:rsidR="008618F2">
          <w:rPr>
            <w:noProof/>
            <w:webHidden/>
          </w:rPr>
          <w:tab/>
        </w:r>
        <w:r w:rsidR="008618F2">
          <w:rPr>
            <w:noProof/>
            <w:webHidden/>
          </w:rPr>
          <w:fldChar w:fldCharType="begin"/>
        </w:r>
        <w:r w:rsidR="008618F2">
          <w:rPr>
            <w:noProof/>
            <w:webHidden/>
          </w:rPr>
          <w:instrText xml:space="preserve"> PAGEREF _Toc134198220 \h </w:instrText>
        </w:r>
        <w:r w:rsidR="008618F2">
          <w:rPr>
            <w:noProof/>
            <w:webHidden/>
          </w:rPr>
        </w:r>
        <w:r w:rsidR="008618F2">
          <w:rPr>
            <w:noProof/>
            <w:webHidden/>
          </w:rPr>
          <w:fldChar w:fldCharType="separate"/>
        </w:r>
        <w:r w:rsidR="000720CB">
          <w:rPr>
            <w:noProof/>
            <w:webHidden/>
          </w:rPr>
          <w:t>278</w:t>
        </w:r>
        <w:r w:rsidR="008618F2">
          <w:rPr>
            <w:noProof/>
            <w:webHidden/>
          </w:rPr>
          <w:fldChar w:fldCharType="end"/>
        </w:r>
      </w:hyperlink>
    </w:p>
    <w:p w14:paraId="7ABCC202" w14:textId="165EE215" w:rsidR="008618F2" w:rsidRDefault="009B5CEC">
      <w:pPr>
        <w:pStyle w:val="TOC2"/>
        <w:rPr>
          <w:rFonts w:asciiTheme="minorHAnsi" w:eastAsiaTheme="minorEastAsia" w:hAnsiTheme="minorHAnsi" w:cstheme="minorBidi"/>
          <w:b w:val="0"/>
          <w:noProof/>
          <w:szCs w:val="22"/>
          <w:lang w:eastAsia="en-GB"/>
        </w:rPr>
      </w:pPr>
      <w:hyperlink w:anchor="_Toc134198221" w:history="1">
        <w:r w:rsidR="008618F2" w:rsidRPr="00DC3933">
          <w:rPr>
            <w:rStyle w:val="Hyperlink"/>
            <w:noProof/>
          </w:rPr>
          <w:t>A.1</w:t>
        </w:r>
        <w:r w:rsidR="008618F2">
          <w:rPr>
            <w:rFonts w:asciiTheme="minorHAnsi" w:eastAsiaTheme="minorEastAsia" w:hAnsiTheme="minorHAnsi" w:cstheme="minorBidi"/>
            <w:b w:val="0"/>
            <w:noProof/>
            <w:szCs w:val="22"/>
            <w:lang w:eastAsia="en-GB"/>
          </w:rPr>
          <w:tab/>
        </w:r>
        <w:r w:rsidR="008618F2" w:rsidRPr="00DC3933">
          <w:rPr>
            <w:rStyle w:val="Hyperlink"/>
            <w:noProof/>
          </w:rPr>
          <w:t>Use of this annex</w:t>
        </w:r>
        <w:r w:rsidR="008618F2">
          <w:rPr>
            <w:noProof/>
            <w:webHidden/>
          </w:rPr>
          <w:tab/>
        </w:r>
        <w:r w:rsidR="008618F2">
          <w:rPr>
            <w:noProof/>
            <w:webHidden/>
          </w:rPr>
          <w:fldChar w:fldCharType="begin"/>
        </w:r>
        <w:r w:rsidR="008618F2">
          <w:rPr>
            <w:noProof/>
            <w:webHidden/>
          </w:rPr>
          <w:instrText xml:space="preserve"> PAGEREF _Toc134198221 \h </w:instrText>
        </w:r>
        <w:r w:rsidR="008618F2">
          <w:rPr>
            <w:noProof/>
            <w:webHidden/>
          </w:rPr>
        </w:r>
        <w:r w:rsidR="008618F2">
          <w:rPr>
            <w:noProof/>
            <w:webHidden/>
          </w:rPr>
          <w:fldChar w:fldCharType="separate"/>
        </w:r>
        <w:r w:rsidR="000720CB">
          <w:rPr>
            <w:noProof/>
            <w:webHidden/>
          </w:rPr>
          <w:t>278</w:t>
        </w:r>
        <w:r w:rsidR="008618F2">
          <w:rPr>
            <w:noProof/>
            <w:webHidden/>
          </w:rPr>
          <w:fldChar w:fldCharType="end"/>
        </w:r>
      </w:hyperlink>
    </w:p>
    <w:p w14:paraId="366BB266" w14:textId="0761CD77" w:rsidR="008618F2" w:rsidRDefault="009B5CEC">
      <w:pPr>
        <w:pStyle w:val="TOC2"/>
        <w:rPr>
          <w:rFonts w:asciiTheme="minorHAnsi" w:eastAsiaTheme="minorEastAsia" w:hAnsiTheme="minorHAnsi" w:cstheme="minorBidi"/>
          <w:b w:val="0"/>
          <w:noProof/>
          <w:szCs w:val="22"/>
          <w:lang w:eastAsia="en-GB"/>
        </w:rPr>
      </w:pPr>
      <w:hyperlink w:anchor="_Toc134198222" w:history="1">
        <w:r w:rsidR="008618F2" w:rsidRPr="00DC3933">
          <w:rPr>
            <w:rStyle w:val="Hyperlink"/>
            <w:noProof/>
          </w:rPr>
          <w:t>A.2</w:t>
        </w:r>
        <w:r w:rsidR="008618F2">
          <w:rPr>
            <w:rFonts w:asciiTheme="minorHAnsi" w:eastAsiaTheme="minorEastAsia" w:hAnsiTheme="minorHAnsi" w:cstheme="minorBidi"/>
            <w:b w:val="0"/>
            <w:noProof/>
            <w:szCs w:val="22"/>
            <w:lang w:eastAsia="en-GB"/>
          </w:rPr>
          <w:tab/>
        </w:r>
        <w:r w:rsidR="008618F2" w:rsidRPr="00DC3933">
          <w:rPr>
            <w:rStyle w:val="Hyperlink"/>
            <w:noProof/>
          </w:rPr>
          <w:t>Scope and field of application</w:t>
        </w:r>
        <w:r w:rsidR="008618F2">
          <w:rPr>
            <w:noProof/>
            <w:webHidden/>
          </w:rPr>
          <w:tab/>
        </w:r>
        <w:r w:rsidR="008618F2">
          <w:rPr>
            <w:noProof/>
            <w:webHidden/>
          </w:rPr>
          <w:fldChar w:fldCharType="begin"/>
        </w:r>
        <w:r w:rsidR="008618F2">
          <w:rPr>
            <w:noProof/>
            <w:webHidden/>
          </w:rPr>
          <w:instrText xml:space="preserve"> PAGEREF _Toc134198222 \h </w:instrText>
        </w:r>
        <w:r w:rsidR="008618F2">
          <w:rPr>
            <w:noProof/>
            <w:webHidden/>
          </w:rPr>
        </w:r>
        <w:r w:rsidR="008618F2">
          <w:rPr>
            <w:noProof/>
            <w:webHidden/>
          </w:rPr>
          <w:fldChar w:fldCharType="separate"/>
        </w:r>
        <w:r w:rsidR="000720CB">
          <w:rPr>
            <w:noProof/>
            <w:webHidden/>
          </w:rPr>
          <w:t>278</w:t>
        </w:r>
        <w:r w:rsidR="008618F2">
          <w:rPr>
            <w:noProof/>
            <w:webHidden/>
          </w:rPr>
          <w:fldChar w:fldCharType="end"/>
        </w:r>
      </w:hyperlink>
    </w:p>
    <w:p w14:paraId="5CA7CDA4" w14:textId="6FCED738" w:rsidR="008618F2" w:rsidRDefault="009B5CEC">
      <w:pPr>
        <w:pStyle w:val="TOC2"/>
        <w:rPr>
          <w:rFonts w:asciiTheme="minorHAnsi" w:eastAsiaTheme="minorEastAsia" w:hAnsiTheme="minorHAnsi" w:cstheme="minorBidi"/>
          <w:b w:val="0"/>
          <w:noProof/>
          <w:szCs w:val="22"/>
          <w:lang w:eastAsia="en-GB"/>
        </w:rPr>
      </w:pPr>
      <w:hyperlink w:anchor="_Toc134198223" w:history="1">
        <w:r w:rsidR="008618F2" w:rsidRPr="00DC3933">
          <w:rPr>
            <w:rStyle w:val="Hyperlink"/>
            <w:noProof/>
          </w:rPr>
          <w:t>A.3</w:t>
        </w:r>
        <w:r w:rsidR="008618F2">
          <w:rPr>
            <w:rFonts w:asciiTheme="minorHAnsi" w:eastAsiaTheme="minorEastAsia" w:hAnsiTheme="minorHAnsi" w:cstheme="minorBidi"/>
            <w:b w:val="0"/>
            <w:noProof/>
            <w:szCs w:val="22"/>
            <w:lang w:eastAsia="en-GB"/>
          </w:rPr>
          <w:tab/>
        </w:r>
        <w:r w:rsidR="008618F2" w:rsidRPr="00DC3933">
          <w:rPr>
            <w:rStyle w:val="Hyperlink"/>
            <w:noProof/>
          </w:rPr>
          <w:t>Structural simplicity</w:t>
        </w:r>
        <w:r w:rsidR="008618F2">
          <w:rPr>
            <w:noProof/>
            <w:webHidden/>
          </w:rPr>
          <w:tab/>
        </w:r>
        <w:r w:rsidR="008618F2">
          <w:rPr>
            <w:noProof/>
            <w:webHidden/>
          </w:rPr>
          <w:fldChar w:fldCharType="begin"/>
        </w:r>
        <w:r w:rsidR="008618F2">
          <w:rPr>
            <w:noProof/>
            <w:webHidden/>
          </w:rPr>
          <w:instrText xml:space="preserve"> PAGEREF _Toc134198223 \h </w:instrText>
        </w:r>
        <w:r w:rsidR="008618F2">
          <w:rPr>
            <w:noProof/>
            <w:webHidden/>
          </w:rPr>
        </w:r>
        <w:r w:rsidR="008618F2">
          <w:rPr>
            <w:noProof/>
            <w:webHidden/>
          </w:rPr>
          <w:fldChar w:fldCharType="separate"/>
        </w:r>
        <w:r w:rsidR="000720CB">
          <w:rPr>
            <w:noProof/>
            <w:webHidden/>
          </w:rPr>
          <w:t>278</w:t>
        </w:r>
        <w:r w:rsidR="008618F2">
          <w:rPr>
            <w:noProof/>
            <w:webHidden/>
          </w:rPr>
          <w:fldChar w:fldCharType="end"/>
        </w:r>
      </w:hyperlink>
    </w:p>
    <w:p w14:paraId="2C88FD92" w14:textId="01D05E6D" w:rsidR="008618F2" w:rsidRDefault="009B5CEC">
      <w:pPr>
        <w:pStyle w:val="TOC2"/>
        <w:rPr>
          <w:rFonts w:asciiTheme="minorHAnsi" w:eastAsiaTheme="minorEastAsia" w:hAnsiTheme="minorHAnsi" w:cstheme="minorBidi"/>
          <w:b w:val="0"/>
          <w:noProof/>
          <w:szCs w:val="22"/>
          <w:lang w:eastAsia="en-GB"/>
        </w:rPr>
      </w:pPr>
      <w:hyperlink w:anchor="_Toc134198224" w:history="1">
        <w:r w:rsidR="008618F2" w:rsidRPr="00DC3933">
          <w:rPr>
            <w:rStyle w:val="Hyperlink"/>
            <w:noProof/>
          </w:rPr>
          <w:t>A.4</w:t>
        </w:r>
        <w:r w:rsidR="008618F2">
          <w:rPr>
            <w:rFonts w:asciiTheme="minorHAnsi" w:eastAsiaTheme="minorEastAsia" w:hAnsiTheme="minorHAnsi" w:cstheme="minorBidi"/>
            <w:b w:val="0"/>
            <w:noProof/>
            <w:szCs w:val="22"/>
            <w:lang w:eastAsia="en-GB"/>
          </w:rPr>
          <w:tab/>
        </w:r>
        <w:r w:rsidR="008618F2" w:rsidRPr="00DC3933">
          <w:rPr>
            <w:rStyle w:val="Hyperlink"/>
            <w:noProof/>
          </w:rPr>
          <w:t>Uniformity, symmetry and redundancy</w:t>
        </w:r>
        <w:r w:rsidR="008618F2">
          <w:rPr>
            <w:noProof/>
            <w:webHidden/>
          </w:rPr>
          <w:tab/>
        </w:r>
        <w:r w:rsidR="008618F2">
          <w:rPr>
            <w:noProof/>
            <w:webHidden/>
          </w:rPr>
          <w:fldChar w:fldCharType="begin"/>
        </w:r>
        <w:r w:rsidR="008618F2">
          <w:rPr>
            <w:noProof/>
            <w:webHidden/>
          </w:rPr>
          <w:instrText xml:space="preserve"> PAGEREF _Toc134198224 \h </w:instrText>
        </w:r>
        <w:r w:rsidR="008618F2">
          <w:rPr>
            <w:noProof/>
            <w:webHidden/>
          </w:rPr>
        </w:r>
        <w:r w:rsidR="008618F2">
          <w:rPr>
            <w:noProof/>
            <w:webHidden/>
          </w:rPr>
          <w:fldChar w:fldCharType="separate"/>
        </w:r>
        <w:r w:rsidR="000720CB">
          <w:rPr>
            <w:noProof/>
            <w:webHidden/>
          </w:rPr>
          <w:t>278</w:t>
        </w:r>
        <w:r w:rsidR="008618F2">
          <w:rPr>
            <w:noProof/>
            <w:webHidden/>
          </w:rPr>
          <w:fldChar w:fldCharType="end"/>
        </w:r>
      </w:hyperlink>
    </w:p>
    <w:p w14:paraId="1E74A095" w14:textId="2847F9B3" w:rsidR="008618F2" w:rsidRDefault="009B5CEC">
      <w:pPr>
        <w:pStyle w:val="TOC2"/>
        <w:rPr>
          <w:rFonts w:asciiTheme="minorHAnsi" w:eastAsiaTheme="minorEastAsia" w:hAnsiTheme="minorHAnsi" w:cstheme="minorBidi"/>
          <w:b w:val="0"/>
          <w:noProof/>
          <w:szCs w:val="22"/>
          <w:lang w:eastAsia="en-GB"/>
        </w:rPr>
      </w:pPr>
      <w:hyperlink w:anchor="_Toc134198225" w:history="1">
        <w:r w:rsidR="008618F2" w:rsidRPr="00DC3933">
          <w:rPr>
            <w:rStyle w:val="Hyperlink"/>
            <w:noProof/>
          </w:rPr>
          <w:t>A.5</w:t>
        </w:r>
        <w:r w:rsidR="008618F2">
          <w:rPr>
            <w:rFonts w:asciiTheme="minorHAnsi" w:eastAsiaTheme="minorEastAsia" w:hAnsiTheme="minorHAnsi" w:cstheme="minorBidi"/>
            <w:b w:val="0"/>
            <w:noProof/>
            <w:szCs w:val="22"/>
            <w:lang w:eastAsia="en-GB"/>
          </w:rPr>
          <w:tab/>
        </w:r>
        <w:r w:rsidR="008618F2" w:rsidRPr="00DC3933">
          <w:rPr>
            <w:rStyle w:val="Hyperlink"/>
            <w:noProof/>
          </w:rPr>
          <w:t>Bi-directional resistance and stiffness</w:t>
        </w:r>
        <w:r w:rsidR="008618F2">
          <w:rPr>
            <w:noProof/>
            <w:webHidden/>
          </w:rPr>
          <w:tab/>
        </w:r>
        <w:r w:rsidR="008618F2">
          <w:rPr>
            <w:noProof/>
            <w:webHidden/>
          </w:rPr>
          <w:fldChar w:fldCharType="begin"/>
        </w:r>
        <w:r w:rsidR="008618F2">
          <w:rPr>
            <w:noProof/>
            <w:webHidden/>
          </w:rPr>
          <w:instrText xml:space="preserve"> PAGEREF _Toc134198225 \h </w:instrText>
        </w:r>
        <w:r w:rsidR="008618F2">
          <w:rPr>
            <w:noProof/>
            <w:webHidden/>
          </w:rPr>
        </w:r>
        <w:r w:rsidR="008618F2">
          <w:rPr>
            <w:noProof/>
            <w:webHidden/>
          </w:rPr>
          <w:fldChar w:fldCharType="separate"/>
        </w:r>
        <w:r w:rsidR="000720CB">
          <w:rPr>
            <w:noProof/>
            <w:webHidden/>
          </w:rPr>
          <w:t>279</w:t>
        </w:r>
        <w:r w:rsidR="008618F2">
          <w:rPr>
            <w:noProof/>
            <w:webHidden/>
          </w:rPr>
          <w:fldChar w:fldCharType="end"/>
        </w:r>
      </w:hyperlink>
    </w:p>
    <w:p w14:paraId="7B414619" w14:textId="62D0DD59" w:rsidR="008618F2" w:rsidRDefault="009B5CEC">
      <w:pPr>
        <w:pStyle w:val="TOC2"/>
        <w:rPr>
          <w:rFonts w:asciiTheme="minorHAnsi" w:eastAsiaTheme="minorEastAsia" w:hAnsiTheme="minorHAnsi" w:cstheme="minorBidi"/>
          <w:b w:val="0"/>
          <w:noProof/>
          <w:szCs w:val="22"/>
          <w:lang w:eastAsia="en-GB"/>
        </w:rPr>
      </w:pPr>
      <w:hyperlink w:anchor="_Toc134198226" w:history="1">
        <w:r w:rsidR="008618F2" w:rsidRPr="00DC3933">
          <w:rPr>
            <w:rStyle w:val="Hyperlink"/>
            <w:noProof/>
          </w:rPr>
          <w:t>A.6</w:t>
        </w:r>
        <w:r w:rsidR="008618F2">
          <w:rPr>
            <w:rFonts w:asciiTheme="minorHAnsi" w:eastAsiaTheme="minorEastAsia" w:hAnsiTheme="minorHAnsi" w:cstheme="minorBidi"/>
            <w:b w:val="0"/>
            <w:noProof/>
            <w:szCs w:val="22"/>
            <w:lang w:eastAsia="en-GB"/>
          </w:rPr>
          <w:tab/>
        </w:r>
        <w:r w:rsidR="008618F2" w:rsidRPr="00DC3933">
          <w:rPr>
            <w:rStyle w:val="Hyperlink"/>
            <w:noProof/>
          </w:rPr>
          <w:t>Torsional resistance and stiffness</w:t>
        </w:r>
        <w:r w:rsidR="008618F2">
          <w:rPr>
            <w:noProof/>
            <w:webHidden/>
          </w:rPr>
          <w:tab/>
        </w:r>
        <w:r w:rsidR="008618F2">
          <w:rPr>
            <w:noProof/>
            <w:webHidden/>
          </w:rPr>
          <w:fldChar w:fldCharType="begin"/>
        </w:r>
        <w:r w:rsidR="008618F2">
          <w:rPr>
            <w:noProof/>
            <w:webHidden/>
          </w:rPr>
          <w:instrText xml:space="preserve"> PAGEREF _Toc134198226 \h </w:instrText>
        </w:r>
        <w:r w:rsidR="008618F2">
          <w:rPr>
            <w:noProof/>
            <w:webHidden/>
          </w:rPr>
        </w:r>
        <w:r w:rsidR="008618F2">
          <w:rPr>
            <w:noProof/>
            <w:webHidden/>
          </w:rPr>
          <w:fldChar w:fldCharType="separate"/>
        </w:r>
        <w:r w:rsidR="000720CB">
          <w:rPr>
            <w:noProof/>
            <w:webHidden/>
          </w:rPr>
          <w:t>279</w:t>
        </w:r>
        <w:r w:rsidR="008618F2">
          <w:rPr>
            <w:noProof/>
            <w:webHidden/>
          </w:rPr>
          <w:fldChar w:fldCharType="end"/>
        </w:r>
      </w:hyperlink>
    </w:p>
    <w:p w14:paraId="122B2259" w14:textId="080D62E9" w:rsidR="008618F2" w:rsidRDefault="009B5CEC">
      <w:pPr>
        <w:pStyle w:val="TOC2"/>
        <w:rPr>
          <w:rFonts w:asciiTheme="minorHAnsi" w:eastAsiaTheme="minorEastAsia" w:hAnsiTheme="minorHAnsi" w:cstheme="minorBidi"/>
          <w:b w:val="0"/>
          <w:noProof/>
          <w:szCs w:val="22"/>
          <w:lang w:eastAsia="en-GB"/>
        </w:rPr>
      </w:pPr>
      <w:hyperlink w:anchor="_Toc134198227" w:history="1">
        <w:r w:rsidR="008618F2" w:rsidRPr="00DC3933">
          <w:rPr>
            <w:rStyle w:val="Hyperlink"/>
            <w:noProof/>
          </w:rPr>
          <w:t>A.7</w:t>
        </w:r>
        <w:r w:rsidR="008618F2">
          <w:rPr>
            <w:rFonts w:asciiTheme="minorHAnsi" w:eastAsiaTheme="minorEastAsia" w:hAnsiTheme="minorHAnsi" w:cstheme="minorBidi"/>
            <w:b w:val="0"/>
            <w:noProof/>
            <w:szCs w:val="22"/>
            <w:lang w:eastAsia="en-GB"/>
          </w:rPr>
          <w:tab/>
        </w:r>
        <w:r w:rsidR="008618F2" w:rsidRPr="00DC3933">
          <w:rPr>
            <w:rStyle w:val="Hyperlink"/>
            <w:noProof/>
          </w:rPr>
          <w:t>Diaphragmatic behaviour at storey level</w:t>
        </w:r>
        <w:r w:rsidR="008618F2">
          <w:rPr>
            <w:noProof/>
            <w:webHidden/>
          </w:rPr>
          <w:tab/>
        </w:r>
        <w:r w:rsidR="008618F2">
          <w:rPr>
            <w:noProof/>
            <w:webHidden/>
          </w:rPr>
          <w:fldChar w:fldCharType="begin"/>
        </w:r>
        <w:r w:rsidR="008618F2">
          <w:rPr>
            <w:noProof/>
            <w:webHidden/>
          </w:rPr>
          <w:instrText xml:space="preserve"> PAGEREF _Toc134198227 \h </w:instrText>
        </w:r>
        <w:r w:rsidR="008618F2">
          <w:rPr>
            <w:noProof/>
            <w:webHidden/>
          </w:rPr>
        </w:r>
        <w:r w:rsidR="008618F2">
          <w:rPr>
            <w:noProof/>
            <w:webHidden/>
          </w:rPr>
          <w:fldChar w:fldCharType="separate"/>
        </w:r>
        <w:r w:rsidR="000720CB">
          <w:rPr>
            <w:noProof/>
            <w:webHidden/>
          </w:rPr>
          <w:t>279</w:t>
        </w:r>
        <w:r w:rsidR="008618F2">
          <w:rPr>
            <w:noProof/>
            <w:webHidden/>
          </w:rPr>
          <w:fldChar w:fldCharType="end"/>
        </w:r>
      </w:hyperlink>
    </w:p>
    <w:p w14:paraId="1BD16E27" w14:textId="60BECE21" w:rsidR="008618F2" w:rsidRDefault="009B5CEC">
      <w:pPr>
        <w:pStyle w:val="TOC2"/>
        <w:rPr>
          <w:rFonts w:asciiTheme="minorHAnsi" w:eastAsiaTheme="minorEastAsia" w:hAnsiTheme="minorHAnsi" w:cstheme="minorBidi"/>
          <w:b w:val="0"/>
          <w:noProof/>
          <w:szCs w:val="22"/>
          <w:lang w:eastAsia="en-GB"/>
        </w:rPr>
      </w:pPr>
      <w:hyperlink w:anchor="_Toc134198228" w:history="1">
        <w:r w:rsidR="008618F2" w:rsidRPr="00DC3933">
          <w:rPr>
            <w:rStyle w:val="Hyperlink"/>
            <w:noProof/>
          </w:rPr>
          <w:t>A.8</w:t>
        </w:r>
        <w:r w:rsidR="008618F2">
          <w:rPr>
            <w:rFonts w:asciiTheme="minorHAnsi" w:eastAsiaTheme="minorEastAsia" w:hAnsiTheme="minorHAnsi" w:cstheme="minorBidi"/>
            <w:b w:val="0"/>
            <w:noProof/>
            <w:szCs w:val="22"/>
            <w:lang w:eastAsia="en-GB"/>
          </w:rPr>
          <w:tab/>
        </w:r>
        <w:r w:rsidR="008618F2" w:rsidRPr="00DC3933">
          <w:rPr>
            <w:rStyle w:val="Hyperlink"/>
            <w:noProof/>
          </w:rPr>
          <w:t>Adequate foundation</w:t>
        </w:r>
        <w:r w:rsidR="008618F2">
          <w:rPr>
            <w:noProof/>
            <w:webHidden/>
          </w:rPr>
          <w:tab/>
        </w:r>
        <w:r w:rsidR="008618F2">
          <w:rPr>
            <w:noProof/>
            <w:webHidden/>
          </w:rPr>
          <w:fldChar w:fldCharType="begin"/>
        </w:r>
        <w:r w:rsidR="008618F2">
          <w:rPr>
            <w:noProof/>
            <w:webHidden/>
          </w:rPr>
          <w:instrText xml:space="preserve"> PAGEREF _Toc134198228 \h </w:instrText>
        </w:r>
        <w:r w:rsidR="008618F2">
          <w:rPr>
            <w:noProof/>
            <w:webHidden/>
          </w:rPr>
        </w:r>
        <w:r w:rsidR="008618F2">
          <w:rPr>
            <w:noProof/>
            <w:webHidden/>
          </w:rPr>
          <w:fldChar w:fldCharType="separate"/>
        </w:r>
        <w:r w:rsidR="000720CB">
          <w:rPr>
            <w:noProof/>
            <w:webHidden/>
          </w:rPr>
          <w:t>279</w:t>
        </w:r>
        <w:r w:rsidR="008618F2">
          <w:rPr>
            <w:noProof/>
            <w:webHidden/>
          </w:rPr>
          <w:fldChar w:fldCharType="end"/>
        </w:r>
      </w:hyperlink>
    </w:p>
    <w:p w14:paraId="4C7B7C06" w14:textId="1E0D60B9" w:rsidR="008618F2" w:rsidRDefault="009B5CEC">
      <w:pPr>
        <w:pStyle w:val="TOC2"/>
        <w:rPr>
          <w:rFonts w:asciiTheme="minorHAnsi" w:eastAsiaTheme="minorEastAsia" w:hAnsiTheme="minorHAnsi" w:cstheme="minorBidi"/>
          <w:b w:val="0"/>
          <w:noProof/>
          <w:szCs w:val="22"/>
          <w:lang w:eastAsia="en-GB"/>
        </w:rPr>
      </w:pPr>
      <w:hyperlink w:anchor="_Toc134198229" w:history="1">
        <w:r w:rsidR="008618F2" w:rsidRPr="00DC3933">
          <w:rPr>
            <w:rStyle w:val="Hyperlink"/>
            <w:noProof/>
          </w:rPr>
          <w:t>A.9</w:t>
        </w:r>
        <w:r w:rsidR="008618F2">
          <w:rPr>
            <w:rFonts w:asciiTheme="minorHAnsi" w:eastAsiaTheme="minorEastAsia" w:hAnsiTheme="minorHAnsi" w:cstheme="minorBidi"/>
            <w:b w:val="0"/>
            <w:noProof/>
            <w:szCs w:val="22"/>
            <w:lang w:eastAsia="en-GB"/>
          </w:rPr>
          <w:tab/>
        </w:r>
        <w:r w:rsidR="008618F2" w:rsidRPr="00DC3933">
          <w:rPr>
            <w:rStyle w:val="Hyperlink"/>
            <w:noProof/>
          </w:rPr>
          <w:t>Regularity in plan</w:t>
        </w:r>
        <w:r w:rsidR="008618F2">
          <w:rPr>
            <w:noProof/>
            <w:webHidden/>
          </w:rPr>
          <w:tab/>
        </w:r>
        <w:r w:rsidR="008618F2">
          <w:rPr>
            <w:noProof/>
            <w:webHidden/>
          </w:rPr>
          <w:fldChar w:fldCharType="begin"/>
        </w:r>
        <w:r w:rsidR="008618F2">
          <w:rPr>
            <w:noProof/>
            <w:webHidden/>
          </w:rPr>
          <w:instrText xml:space="preserve"> PAGEREF _Toc134198229 \h </w:instrText>
        </w:r>
        <w:r w:rsidR="008618F2">
          <w:rPr>
            <w:noProof/>
            <w:webHidden/>
          </w:rPr>
        </w:r>
        <w:r w:rsidR="008618F2">
          <w:rPr>
            <w:noProof/>
            <w:webHidden/>
          </w:rPr>
          <w:fldChar w:fldCharType="separate"/>
        </w:r>
        <w:r w:rsidR="000720CB">
          <w:rPr>
            <w:noProof/>
            <w:webHidden/>
          </w:rPr>
          <w:t>280</w:t>
        </w:r>
        <w:r w:rsidR="008618F2">
          <w:rPr>
            <w:noProof/>
            <w:webHidden/>
          </w:rPr>
          <w:fldChar w:fldCharType="end"/>
        </w:r>
      </w:hyperlink>
    </w:p>
    <w:p w14:paraId="3851D250" w14:textId="14E7BD17" w:rsidR="008618F2" w:rsidRDefault="009B5CEC">
      <w:pPr>
        <w:pStyle w:val="TOC1"/>
        <w:rPr>
          <w:rFonts w:asciiTheme="minorHAnsi" w:eastAsiaTheme="minorEastAsia" w:hAnsiTheme="minorHAnsi" w:cstheme="minorBidi"/>
          <w:b w:val="0"/>
          <w:noProof/>
          <w:szCs w:val="22"/>
          <w:lang w:eastAsia="en-GB"/>
        </w:rPr>
      </w:pPr>
      <w:hyperlink w:anchor="_Toc134198230" w:history="1">
        <w:r w:rsidR="008618F2" w:rsidRPr="00DC3933">
          <w:rPr>
            <w:rStyle w:val="Hyperlink"/>
            <w:noProof/>
          </w:rPr>
          <w:t>Annex B (informative)  Natural eccentricity and torsional radius</w:t>
        </w:r>
        <w:r w:rsidR="008618F2">
          <w:rPr>
            <w:noProof/>
            <w:webHidden/>
          </w:rPr>
          <w:tab/>
        </w:r>
        <w:r w:rsidR="008618F2">
          <w:rPr>
            <w:noProof/>
            <w:webHidden/>
          </w:rPr>
          <w:fldChar w:fldCharType="begin"/>
        </w:r>
        <w:r w:rsidR="008618F2">
          <w:rPr>
            <w:noProof/>
            <w:webHidden/>
          </w:rPr>
          <w:instrText xml:space="preserve"> PAGEREF _Toc134198230 \h </w:instrText>
        </w:r>
        <w:r w:rsidR="008618F2">
          <w:rPr>
            <w:noProof/>
            <w:webHidden/>
          </w:rPr>
        </w:r>
        <w:r w:rsidR="008618F2">
          <w:rPr>
            <w:noProof/>
            <w:webHidden/>
          </w:rPr>
          <w:fldChar w:fldCharType="separate"/>
        </w:r>
        <w:r w:rsidR="000720CB">
          <w:rPr>
            <w:noProof/>
            <w:webHidden/>
          </w:rPr>
          <w:t>281</w:t>
        </w:r>
        <w:r w:rsidR="008618F2">
          <w:rPr>
            <w:noProof/>
            <w:webHidden/>
          </w:rPr>
          <w:fldChar w:fldCharType="end"/>
        </w:r>
      </w:hyperlink>
    </w:p>
    <w:p w14:paraId="35FE22A0" w14:textId="58D6AC1F" w:rsidR="008618F2" w:rsidRDefault="009B5CEC">
      <w:pPr>
        <w:pStyle w:val="TOC2"/>
        <w:rPr>
          <w:rFonts w:asciiTheme="minorHAnsi" w:eastAsiaTheme="minorEastAsia" w:hAnsiTheme="minorHAnsi" w:cstheme="minorBidi"/>
          <w:b w:val="0"/>
          <w:noProof/>
          <w:szCs w:val="22"/>
          <w:lang w:eastAsia="en-GB"/>
        </w:rPr>
      </w:pPr>
      <w:hyperlink w:anchor="_Toc134198231" w:history="1">
        <w:r w:rsidR="008618F2" w:rsidRPr="00DC3933">
          <w:rPr>
            <w:rStyle w:val="Hyperlink"/>
            <w:noProof/>
          </w:rPr>
          <w:t>B.1</w:t>
        </w:r>
        <w:r w:rsidR="008618F2">
          <w:rPr>
            <w:rFonts w:asciiTheme="minorHAnsi" w:eastAsiaTheme="minorEastAsia" w:hAnsiTheme="minorHAnsi" w:cstheme="minorBidi"/>
            <w:b w:val="0"/>
            <w:noProof/>
            <w:szCs w:val="22"/>
            <w:lang w:eastAsia="en-GB"/>
          </w:rPr>
          <w:tab/>
        </w:r>
        <w:r w:rsidR="008618F2" w:rsidRPr="00DC3933">
          <w:rPr>
            <w:rStyle w:val="Hyperlink"/>
            <w:noProof/>
          </w:rPr>
          <w:t>Use of this annex</w:t>
        </w:r>
        <w:r w:rsidR="008618F2">
          <w:rPr>
            <w:noProof/>
            <w:webHidden/>
          </w:rPr>
          <w:tab/>
        </w:r>
        <w:r w:rsidR="008618F2">
          <w:rPr>
            <w:noProof/>
            <w:webHidden/>
          </w:rPr>
          <w:fldChar w:fldCharType="begin"/>
        </w:r>
        <w:r w:rsidR="008618F2">
          <w:rPr>
            <w:noProof/>
            <w:webHidden/>
          </w:rPr>
          <w:instrText xml:space="preserve"> PAGEREF _Toc134198231 \h </w:instrText>
        </w:r>
        <w:r w:rsidR="008618F2">
          <w:rPr>
            <w:noProof/>
            <w:webHidden/>
          </w:rPr>
        </w:r>
        <w:r w:rsidR="008618F2">
          <w:rPr>
            <w:noProof/>
            <w:webHidden/>
          </w:rPr>
          <w:fldChar w:fldCharType="separate"/>
        </w:r>
        <w:r w:rsidR="000720CB">
          <w:rPr>
            <w:noProof/>
            <w:webHidden/>
          </w:rPr>
          <w:t>281</w:t>
        </w:r>
        <w:r w:rsidR="008618F2">
          <w:rPr>
            <w:noProof/>
            <w:webHidden/>
          </w:rPr>
          <w:fldChar w:fldCharType="end"/>
        </w:r>
      </w:hyperlink>
    </w:p>
    <w:p w14:paraId="71832C9D" w14:textId="1D83A6F4" w:rsidR="008618F2" w:rsidRDefault="009B5CEC">
      <w:pPr>
        <w:pStyle w:val="TOC2"/>
        <w:rPr>
          <w:rFonts w:asciiTheme="minorHAnsi" w:eastAsiaTheme="minorEastAsia" w:hAnsiTheme="minorHAnsi" w:cstheme="minorBidi"/>
          <w:b w:val="0"/>
          <w:noProof/>
          <w:szCs w:val="22"/>
          <w:lang w:eastAsia="en-GB"/>
        </w:rPr>
      </w:pPr>
      <w:hyperlink w:anchor="_Toc134198232" w:history="1">
        <w:r w:rsidR="008618F2" w:rsidRPr="00DC3933">
          <w:rPr>
            <w:rStyle w:val="Hyperlink"/>
            <w:noProof/>
          </w:rPr>
          <w:t>B.2</w:t>
        </w:r>
        <w:r w:rsidR="008618F2">
          <w:rPr>
            <w:rFonts w:asciiTheme="minorHAnsi" w:eastAsiaTheme="minorEastAsia" w:hAnsiTheme="minorHAnsi" w:cstheme="minorBidi"/>
            <w:b w:val="0"/>
            <w:noProof/>
            <w:szCs w:val="22"/>
            <w:lang w:eastAsia="en-GB"/>
          </w:rPr>
          <w:tab/>
        </w:r>
        <w:r w:rsidR="008618F2" w:rsidRPr="00DC3933">
          <w:rPr>
            <w:rStyle w:val="Hyperlink"/>
            <w:noProof/>
          </w:rPr>
          <w:t>Scope and field of application</w:t>
        </w:r>
        <w:r w:rsidR="008618F2">
          <w:rPr>
            <w:noProof/>
            <w:webHidden/>
          </w:rPr>
          <w:tab/>
        </w:r>
        <w:r w:rsidR="008618F2">
          <w:rPr>
            <w:noProof/>
            <w:webHidden/>
          </w:rPr>
          <w:fldChar w:fldCharType="begin"/>
        </w:r>
        <w:r w:rsidR="008618F2">
          <w:rPr>
            <w:noProof/>
            <w:webHidden/>
          </w:rPr>
          <w:instrText xml:space="preserve"> PAGEREF _Toc134198232 \h </w:instrText>
        </w:r>
        <w:r w:rsidR="008618F2">
          <w:rPr>
            <w:noProof/>
            <w:webHidden/>
          </w:rPr>
        </w:r>
        <w:r w:rsidR="008618F2">
          <w:rPr>
            <w:noProof/>
            <w:webHidden/>
          </w:rPr>
          <w:fldChar w:fldCharType="separate"/>
        </w:r>
        <w:r w:rsidR="000720CB">
          <w:rPr>
            <w:noProof/>
            <w:webHidden/>
          </w:rPr>
          <w:t>281</w:t>
        </w:r>
        <w:r w:rsidR="008618F2">
          <w:rPr>
            <w:noProof/>
            <w:webHidden/>
          </w:rPr>
          <w:fldChar w:fldCharType="end"/>
        </w:r>
      </w:hyperlink>
    </w:p>
    <w:p w14:paraId="505370BB" w14:textId="048CF3FB" w:rsidR="008618F2" w:rsidRDefault="009B5CEC">
      <w:pPr>
        <w:pStyle w:val="TOC2"/>
        <w:rPr>
          <w:rFonts w:asciiTheme="minorHAnsi" w:eastAsiaTheme="minorEastAsia" w:hAnsiTheme="minorHAnsi" w:cstheme="minorBidi"/>
          <w:b w:val="0"/>
          <w:noProof/>
          <w:szCs w:val="22"/>
          <w:lang w:eastAsia="en-GB"/>
        </w:rPr>
      </w:pPr>
      <w:hyperlink w:anchor="_Toc134198233" w:history="1">
        <w:r w:rsidR="008618F2" w:rsidRPr="00DC3933">
          <w:rPr>
            <w:rStyle w:val="Hyperlink"/>
            <w:noProof/>
          </w:rPr>
          <w:t>B.3</w:t>
        </w:r>
        <w:r w:rsidR="008618F2">
          <w:rPr>
            <w:rFonts w:asciiTheme="minorHAnsi" w:eastAsiaTheme="minorEastAsia" w:hAnsiTheme="minorHAnsi" w:cstheme="minorBidi"/>
            <w:b w:val="0"/>
            <w:noProof/>
            <w:szCs w:val="22"/>
            <w:lang w:eastAsia="en-GB"/>
          </w:rPr>
          <w:tab/>
        </w:r>
        <w:r w:rsidR="008618F2" w:rsidRPr="00DC3933">
          <w:rPr>
            <w:rStyle w:val="Hyperlink"/>
            <w:noProof/>
          </w:rPr>
          <w:t>General</w:t>
        </w:r>
        <w:r w:rsidR="008618F2">
          <w:rPr>
            <w:noProof/>
            <w:webHidden/>
          </w:rPr>
          <w:tab/>
        </w:r>
        <w:r w:rsidR="008618F2">
          <w:rPr>
            <w:noProof/>
            <w:webHidden/>
          </w:rPr>
          <w:fldChar w:fldCharType="begin"/>
        </w:r>
        <w:r w:rsidR="008618F2">
          <w:rPr>
            <w:noProof/>
            <w:webHidden/>
          </w:rPr>
          <w:instrText xml:space="preserve"> PAGEREF _Toc134198233 \h </w:instrText>
        </w:r>
        <w:r w:rsidR="008618F2">
          <w:rPr>
            <w:noProof/>
            <w:webHidden/>
          </w:rPr>
        </w:r>
        <w:r w:rsidR="008618F2">
          <w:rPr>
            <w:noProof/>
            <w:webHidden/>
          </w:rPr>
          <w:fldChar w:fldCharType="separate"/>
        </w:r>
        <w:r w:rsidR="000720CB">
          <w:rPr>
            <w:noProof/>
            <w:webHidden/>
          </w:rPr>
          <w:t>281</w:t>
        </w:r>
        <w:r w:rsidR="008618F2">
          <w:rPr>
            <w:noProof/>
            <w:webHidden/>
          </w:rPr>
          <w:fldChar w:fldCharType="end"/>
        </w:r>
      </w:hyperlink>
    </w:p>
    <w:p w14:paraId="2C188CC7" w14:textId="608D8087" w:rsidR="008618F2" w:rsidRDefault="009B5CEC">
      <w:pPr>
        <w:pStyle w:val="TOC2"/>
        <w:rPr>
          <w:rFonts w:asciiTheme="minorHAnsi" w:eastAsiaTheme="minorEastAsia" w:hAnsiTheme="minorHAnsi" w:cstheme="minorBidi"/>
          <w:b w:val="0"/>
          <w:noProof/>
          <w:szCs w:val="22"/>
          <w:lang w:eastAsia="en-GB"/>
        </w:rPr>
      </w:pPr>
      <w:hyperlink w:anchor="_Toc134198234" w:history="1">
        <w:r w:rsidR="008618F2" w:rsidRPr="00DC3933">
          <w:rPr>
            <w:rStyle w:val="Hyperlink"/>
            <w:noProof/>
          </w:rPr>
          <w:t>B.4</w:t>
        </w:r>
        <w:r w:rsidR="008618F2">
          <w:rPr>
            <w:rFonts w:asciiTheme="minorHAnsi" w:eastAsiaTheme="minorEastAsia" w:hAnsiTheme="minorHAnsi" w:cstheme="minorBidi"/>
            <w:b w:val="0"/>
            <w:noProof/>
            <w:szCs w:val="22"/>
            <w:lang w:eastAsia="en-GB"/>
          </w:rPr>
          <w:tab/>
        </w:r>
        <w:r w:rsidR="008618F2" w:rsidRPr="00DC3933">
          <w:rPr>
            <w:rStyle w:val="Hyperlink"/>
            <w:noProof/>
            <w:lang w:eastAsia="en-US"/>
          </w:rPr>
          <w:t>Uniform type of lateral load resisting system</w:t>
        </w:r>
        <w:r w:rsidR="008618F2">
          <w:rPr>
            <w:noProof/>
            <w:webHidden/>
          </w:rPr>
          <w:tab/>
        </w:r>
        <w:r w:rsidR="008618F2">
          <w:rPr>
            <w:noProof/>
            <w:webHidden/>
          </w:rPr>
          <w:fldChar w:fldCharType="begin"/>
        </w:r>
        <w:r w:rsidR="008618F2">
          <w:rPr>
            <w:noProof/>
            <w:webHidden/>
          </w:rPr>
          <w:instrText xml:space="preserve"> PAGEREF _Toc134198234 \h </w:instrText>
        </w:r>
        <w:r w:rsidR="008618F2">
          <w:rPr>
            <w:noProof/>
            <w:webHidden/>
          </w:rPr>
        </w:r>
        <w:r w:rsidR="008618F2">
          <w:rPr>
            <w:noProof/>
            <w:webHidden/>
          </w:rPr>
          <w:fldChar w:fldCharType="separate"/>
        </w:r>
        <w:r w:rsidR="000720CB">
          <w:rPr>
            <w:noProof/>
            <w:webHidden/>
          </w:rPr>
          <w:t>281</w:t>
        </w:r>
        <w:r w:rsidR="008618F2">
          <w:rPr>
            <w:noProof/>
            <w:webHidden/>
          </w:rPr>
          <w:fldChar w:fldCharType="end"/>
        </w:r>
      </w:hyperlink>
    </w:p>
    <w:p w14:paraId="44DD75C6" w14:textId="257C9702" w:rsidR="008618F2" w:rsidRDefault="009B5CEC">
      <w:pPr>
        <w:pStyle w:val="TOC2"/>
        <w:rPr>
          <w:rFonts w:asciiTheme="minorHAnsi" w:eastAsiaTheme="minorEastAsia" w:hAnsiTheme="minorHAnsi" w:cstheme="minorBidi"/>
          <w:b w:val="0"/>
          <w:noProof/>
          <w:szCs w:val="22"/>
          <w:lang w:eastAsia="en-GB"/>
        </w:rPr>
      </w:pPr>
      <w:hyperlink w:anchor="_Toc134198235" w:history="1">
        <w:r w:rsidR="008618F2" w:rsidRPr="00DC3933">
          <w:rPr>
            <w:rStyle w:val="Hyperlink"/>
            <w:noProof/>
            <w:lang w:eastAsia="en-US"/>
          </w:rPr>
          <w:t>B.5</w:t>
        </w:r>
        <w:r w:rsidR="008618F2">
          <w:rPr>
            <w:rFonts w:asciiTheme="minorHAnsi" w:eastAsiaTheme="minorEastAsia" w:hAnsiTheme="minorHAnsi" w:cstheme="minorBidi"/>
            <w:b w:val="0"/>
            <w:noProof/>
            <w:szCs w:val="22"/>
            <w:lang w:eastAsia="en-GB"/>
          </w:rPr>
          <w:tab/>
        </w:r>
        <w:r w:rsidR="008618F2" w:rsidRPr="00DC3933">
          <w:rPr>
            <w:rStyle w:val="Hyperlink"/>
            <w:noProof/>
            <w:lang w:eastAsia="en-US"/>
          </w:rPr>
          <w:t>Calculation by a 3D model</w:t>
        </w:r>
        <w:r w:rsidR="008618F2">
          <w:rPr>
            <w:noProof/>
            <w:webHidden/>
          </w:rPr>
          <w:tab/>
        </w:r>
        <w:r w:rsidR="008618F2">
          <w:rPr>
            <w:noProof/>
            <w:webHidden/>
          </w:rPr>
          <w:fldChar w:fldCharType="begin"/>
        </w:r>
        <w:r w:rsidR="008618F2">
          <w:rPr>
            <w:noProof/>
            <w:webHidden/>
          </w:rPr>
          <w:instrText xml:space="preserve"> PAGEREF _Toc134198235 \h </w:instrText>
        </w:r>
        <w:r w:rsidR="008618F2">
          <w:rPr>
            <w:noProof/>
            <w:webHidden/>
          </w:rPr>
        </w:r>
        <w:r w:rsidR="008618F2">
          <w:rPr>
            <w:noProof/>
            <w:webHidden/>
          </w:rPr>
          <w:fldChar w:fldCharType="separate"/>
        </w:r>
        <w:r w:rsidR="000720CB">
          <w:rPr>
            <w:noProof/>
            <w:webHidden/>
          </w:rPr>
          <w:t>283</w:t>
        </w:r>
        <w:r w:rsidR="008618F2">
          <w:rPr>
            <w:noProof/>
            <w:webHidden/>
          </w:rPr>
          <w:fldChar w:fldCharType="end"/>
        </w:r>
      </w:hyperlink>
    </w:p>
    <w:p w14:paraId="7EFC11B4" w14:textId="73FADEF1" w:rsidR="008618F2" w:rsidRDefault="009B5CEC">
      <w:pPr>
        <w:pStyle w:val="TOC1"/>
        <w:rPr>
          <w:rFonts w:asciiTheme="minorHAnsi" w:eastAsiaTheme="minorEastAsia" w:hAnsiTheme="minorHAnsi" w:cstheme="minorBidi"/>
          <w:b w:val="0"/>
          <w:noProof/>
          <w:szCs w:val="22"/>
          <w:lang w:eastAsia="en-GB"/>
        </w:rPr>
      </w:pPr>
      <w:hyperlink w:anchor="_Toc134198236" w:history="1">
        <w:r w:rsidR="008618F2" w:rsidRPr="00DC3933">
          <w:rPr>
            <w:rStyle w:val="Hyperlink"/>
            <w:noProof/>
          </w:rPr>
          <w:t>Annex C (normative)  Floor accelerations for ancillary elements</w:t>
        </w:r>
        <w:r w:rsidR="008618F2">
          <w:rPr>
            <w:noProof/>
            <w:webHidden/>
          </w:rPr>
          <w:tab/>
        </w:r>
        <w:r w:rsidR="008618F2">
          <w:rPr>
            <w:noProof/>
            <w:webHidden/>
          </w:rPr>
          <w:fldChar w:fldCharType="begin"/>
        </w:r>
        <w:r w:rsidR="008618F2">
          <w:rPr>
            <w:noProof/>
            <w:webHidden/>
          </w:rPr>
          <w:instrText xml:space="preserve"> PAGEREF _Toc134198236 \h </w:instrText>
        </w:r>
        <w:r w:rsidR="008618F2">
          <w:rPr>
            <w:noProof/>
            <w:webHidden/>
          </w:rPr>
        </w:r>
        <w:r w:rsidR="008618F2">
          <w:rPr>
            <w:noProof/>
            <w:webHidden/>
          </w:rPr>
          <w:fldChar w:fldCharType="separate"/>
        </w:r>
        <w:r w:rsidR="000720CB">
          <w:rPr>
            <w:noProof/>
            <w:webHidden/>
          </w:rPr>
          <w:t>285</w:t>
        </w:r>
        <w:r w:rsidR="008618F2">
          <w:rPr>
            <w:noProof/>
            <w:webHidden/>
          </w:rPr>
          <w:fldChar w:fldCharType="end"/>
        </w:r>
      </w:hyperlink>
    </w:p>
    <w:p w14:paraId="2740325C" w14:textId="2DC339B9" w:rsidR="008618F2" w:rsidRDefault="009B5CEC">
      <w:pPr>
        <w:pStyle w:val="TOC2"/>
        <w:rPr>
          <w:rFonts w:asciiTheme="minorHAnsi" w:eastAsiaTheme="minorEastAsia" w:hAnsiTheme="minorHAnsi" w:cstheme="minorBidi"/>
          <w:b w:val="0"/>
          <w:noProof/>
          <w:szCs w:val="22"/>
          <w:lang w:eastAsia="en-GB"/>
        </w:rPr>
      </w:pPr>
      <w:hyperlink w:anchor="_Toc134198237" w:history="1">
        <w:r w:rsidR="008618F2" w:rsidRPr="00DC3933">
          <w:rPr>
            <w:rStyle w:val="Hyperlink"/>
            <w:noProof/>
          </w:rPr>
          <w:t>C.1</w:t>
        </w:r>
        <w:r w:rsidR="008618F2">
          <w:rPr>
            <w:rFonts w:asciiTheme="minorHAnsi" w:eastAsiaTheme="minorEastAsia" w:hAnsiTheme="minorHAnsi" w:cstheme="minorBidi"/>
            <w:b w:val="0"/>
            <w:noProof/>
            <w:szCs w:val="22"/>
            <w:lang w:eastAsia="en-GB"/>
          </w:rPr>
          <w:tab/>
        </w:r>
        <w:r w:rsidR="008618F2" w:rsidRPr="00DC3933">
          <w:rPr>
            <w:rStyle w:val="Hyperlink"/>
            <w:noProof/>
          </w:rPr>
          <w:t>Use of this normative annex</w:t>
        </w:r>
        <w:r w:rsidR="008618F2">
          <w:rPr>
            <w:noProof/>
            <w:webHidden/>
          </w:rPr>
          <w:tab/>
        </w:r>
        <w:r w:rsidR="008618F2">
          <w:rPr>
            <w:noProof/>
            <w:webHidden/>
          </w:rPr>
          <w:fldChar w:fldCharType="begin"/>
        </w:r>
        <w:r w:rsidR="008618F2">
          <w:rPr>
            <w:noProof/>
            <w:webHidden/>
          </w:rPr>
          <w:instrText xml:space="preserve"> PAGEREF _Toc134198237 \h </w:instrText>
        </w:r>
        <w:r w:rsidR="008618F2">
          <w:rPr>
            <w:noProof/>
            <w:webHidden/>
          </w:rPr>
        </w:r>
        <w:r w:rsidR="008618F2">
          <w:rPr>
            <w:noProof/>
            <w:webHidden/>
          </w:rPr>
          <w:fldChar w:fldCharType="separate"/>
        </w:r>
        <w:r w:rsidR="000720CB">
          <w:rPr>
            <w:noProof/>
            <w:webHidden/>
          </w:rPr>
          <w:t>285</w:t>
        </w:r>
        <w:r w:rsidR="008618F2">
          <w:rPr>
            <w:noProof/>
            <w:webHidden/>
          </w:rPr>
          <w:fldChar w:fldCharType="end"/>
        </w:r>
      </w:hyperlink>
    </w:p>
    <w:p w14:paraId="64D8B296" w14:textId="111DF286" w:rsidR="008618F2" w:rsidRDefault="009B5CEC">
      <w:pPr>
        <w:pStyle w:val="TOC2"/>
        <w:rPr>
          <w:rFonts w:asciiTheme="minorHAnsi" w:eastAsiaTheme="minorEastAsia" w:hAnsiTheme="minorHAnsi" w:cstheme="minorBidi"/>
          <w:b w:val="0"/>
          <w:noProof/>
          <w:szCs w:val="22"/>
          <w:lang w:eastAsia="en-GB"/>
        </w:rPr>
      </w:pPr>
      <w:hyperlink w:anchor="_Toc134198238" w:history="1">
        <w:r w:rsidR="008618F2" w:rsidRPr="00DC3933">
          <w:rPr>
            <w:rStyle w:val="Hyperlink"/>
            <w:noProof/>
          </w:rPr>
          <w:t>C.2</w:t>
        </w:r>
        <w:r w:rsidR="008618F2">
          <w:rPr>
            <w:rFonts w:asciiTheme="minorHAnsi" w:eastAsiaTheme="minorEastAsia" w:hAnsiTheme="minorHAnsi" w:cstheme="minorBidi"/>
            <w:b w:val="0"/>
            <w:noProof/>
            <w:szCs w:val="22"/>
            <w:lang w:eastAsia="en-GB"/>
          </w:rPr>
          <w:tab/>
        </w:r>
        <w:r w:rsidR="008618F2" w:rsidRPr="00DC3933">
          <w:rPr>
            <w:rStyle w:val="Hyperlink"/>
            <w:noProof/>
          </w:rPr>
          <w:t>Scope and field of application</w:t>
        </w:r>
        <w:r w:rsidR="008618F2">
          <w:rPr>
            <w:noProof/>
            <w:webHidden/>
          </w:rPr>
          <w:tab/>
        </w:r>
        <w:r w:rsidR="008618F2">
          <w:rPr>
            <w:noProof/>
            <w:webHidden/>
          </w:rPr>
          <w:fldChar w:fldCharType="begin"/>
        </w:r>
        <w:r w:rsidR="008618F2">
          <w:rPr>
            <w:noProof/>
            <w:webHidden/>
          </w:rPr>
          <w:instrText xml:space="preserve"> PAGEREF _Toc134198238 \h </w:instrText>
        </w:r>
        <w:r w:rsidR="008618F2">
          <w:rPr>
            <w:noProof/>
            <w:webHidden/>
          </w:rPr>
        </w:r>
        <w:r w:rsidR="008618F2">
          <w:rPr>
            <w:noProof/>
            <w:webHidden/>
          </w:rPr>
          <w:fldChar w:fldCharType="separate"/>
        </w:r>
        <w:r w:rsidR="000720CB">
          <w:rPr>
            <w:noProof/>
            <w:webHidden/>
          </w:rPr>
          <w:t>285</w:t>
        </w:r>
        <w:r w:rsidR="008618F2">
          <w:rPr>
            <w:noProof/>
            <w:webHidden/>
          </w:rPr>
          <w:fldChar w:fldCharType="end"/>
        </w:r>
      </w:hyperlink>
    </w:p>
    <w:p w14:paraId="6848030D" w14:textId="6D823E15" w:rsidR="008618F2" w:rsidRDefault="009B5CEC">
      <w:pPr>
        <w:pStyle w:val="TOC2"/>
        <w:rPr>
          <w:rFonts w:asciiTheme="minorHAnsi" w:eastAsiaTheme="minorEastAsia" w:hAnsiTheme="minorHAnsi" w:cstheme="minorBidi"/>
          <w:b w:val="0"/>
          <w:noProof/>
          <w:szCs w:val="22"/>
          <w:lang w:eastAsia="en-GB"/>
        </w:rPr>
      </w:pPr>
      <w:hyperlink w:anchor="_Toc134198239" w:history="1">
        <w:r w:rsidR="008618F2" w:rsidRPr="00DC3933">
          <w:rPr>
            <w:rStyle w:val="Hyperlink"/>
            <w:noProof/>
          </w:rPr>
          <w:t>C.3</w:t>
        </w:r>
        <w:r w:rsidR="008618F2">
          <w:rPr>
            <w:rFonts w:asciiTheme="minorHAnsi" w:eastAsiaTheme="minorEastAsia" w:hAnsiTheme="minorHAnsi" w:cstheme="minorBidi"/>
            <w:b w:val="0"/>
            <w:noProof/>
            <w:szCs w:val="22"/>
            <w:lang w:eastAsia="en-GB"/>
          </w:rPr>
          <w:tab/>
        </w:r>
        <w:r w:rsidR="008618F2" w:rsidRPr="00DC3933">
          <w:rPr>
            <w:rStyle w:val="Hyperlink"/>
            <w:noProof/>
          </w:rPr>
          <w:t>Floor spectra</w:t>
        </w:r>
        <w:r w:rsidR="008618F2">
          <w:rPr>
            <w:noProof/>
            <w:webHidden/>
          </w:rPr>
          <w:tab/>
        </w:r>
        <w:r w:rsidR="008618F2">
          <w:rPr>
            <w:noProof/>
            <w:webHidden/>
          </w:rPr>
          <w:fldChar w:fldCharType="begin"/>
        </w:r>
        <w:r w:rsidR="008618F2">
          <w:rPr>
            <w:noProof/>
            <w:webHidden/>
          </w:rPr>
          <w:instrText xml:space="preserve"> PAGEREF _Toc134198239 \h </w:instrText>
        </w:r>
        <w:r w:rsidR="008618F2">
          <w:rPr>
            <w:noProof/>
            <w:webHidden/>
          </w:rPr>
        </w:r>
        <w:r w:rsidR="008618F2">
          <w:rPr>
            <w:noProof/>
            <w:webHidden/>
          </w:rPr>
          <w:fldChar w:fldCharType="separate"/>
        </w:r>
        <w:r w:rsidR="000720CB">
          <w:rPr>
            <w:noProof/>
            <w:webHidden/>
          </w:rPr>
          <w:t>285</w:t>
        </w:r>
        <w:r w:rsidR="008618F2">
          <w:rPr>
            <w:noProof/>
            <w:webHidden/>
          </w:rPr>
          <w:fldChar w:fldCharType="end"/>
        </w:r>
      </w:hyperlink>
    </w:p>
    <w:p w14:paraId="2DA9EC68" w14:textId="36079060" w:rsidR="008618F2" w:rsidRDefault="009B5CEC">
      <w:pPr>
        <w:pStyle w:val="TOC2"/>
        <w:rPr>
          <w:rFonts w:asciiTheme="minorHAnsi" w:eastAsiaTheme="minorEastAsia" w:hAnsiTheme="minorHAnsi" w:cstheme="minorBidi"/>
          <w:b w:val="0"/>
          <w:noProof/>
          <w:szCs w:val="22"/>
          <w:lang w:eastAsia="en-GB"/>
        </w:rPr>
      </w:pPr>
      <w:hyperlink w:anchor="_Toc134198240" w:history="1">
        <w:r w:rsidR="008618F2" w:rsidRPr="00DC3933">
          <w:rPr>
            <w:rStyle w:val="Hyperlink"/>
            <w:noProof/>
          </w:rPr>
          <w:t>C.4</w:t>
        </w:r>
        <w:r w:rsidR="008618F2">
          <w:rPr>
            <w:rFonts w:asciiTheme="minorHAnsi" w:eastAsiaTheme="minorEastAsia" w:hAnsiTheme="minorHAnsi" w:cstheme="minorBidi"/>
            <w:b w:val="0"/>
            <w:noProof/>
            <w:szCs w:val="22"/>
            <w:lang w:eastAsia="en-GB"/>
          </w:rPr>
          <w:tab/>
        </w:r>
        <w:r w:rsidR="008618F2" w:rsidRPr="00DC3933">
          <w:rPr>
            <w:rStyle w:val="Hyperlink"/>
            <w:noProof/>
          </w:rPr>
          <w:t>Modelling</w:t>
        </w:r>
        <w:r w:rsidR="008618F2">
          <w:rPr>
            <w:noProof/>
            <w:webHidden/>
          </w:rPr>
          <w:tab/>
        </w:r>
        <w:r w:rsidR="008618F2">
          <w:rPr>
            <w:noProof/>
            <w:webHidden/>
          </w:rPr>
          <w:fldChar w:fldCharType="begin"/>
        </w:r>
        <w:r w:rsidR="008618F2">
          <w:rPr>
            <w:noProof/>
            <w:webHidden/>
          </w:rPr>
          <w:instrText xml:space="preserve"> PAGEREF _Toc134198240 \h </w:instrText>
        </w:r>
        <w:r w:rsidR="008618F2">
          <w:rPr>
            <w:noProof/>
            <w:webHidden/>
          </w:rPr>
        </w:r>
        <w:r w:rsidR="008618F2">
          <w:rPr>
            <w:noProof/>
            <w:webHidden/>
          </w:rPr>
          <w:fldChar w:fldCharType="separate"/>
        </w:r>
        <w:r w:rsidR="000720CB">
          <w:rPr>
            <w:noProof/>
            <w:webHidden/>
          </w:rPr>
          <w:t>286</w:t>
        </w:r>
        <w:r w:rsidR="008618F2">
          <w:rPr>
            <w:noProof/>
            <w:webHidden/>
          </w:rPr>
          <w:fldChar w:fldCharType="end"/>
        </w:r>
      </w:hyperlink>
    </w:p>
    <w:p w14:paraId="6ADF0DB9" w14:textId="6DB9D6BB" w:rsidR="008618F2" w:rsidRDefault="009B5CEC">
      <w:pPr>
        <w:pStyle w:val="TOC1"/>
        <w:rPr>
          <w:rFonts w:asciiTheme="minorHAnsi" w:eastAsiaTheme="minorEastAsia" w:hAnsiTheme="minorHAnsi" w:cstheme="minorBidi"/>
          <w:b w:val="0"/>
          <w:noProof/>
          <w:szCs w:val="22"/>
          <w:lang w:eastAsia="en-GB"/>
        </w:rPr>
      </w:pPr>
      <w:hyperlink w:anchor="_Toc134198241" w:history="1">
        <w:r w:rsidR="008618F2" w:rsidRPr="00DC3933">
          <w:rPr>
            <w:rStyle w:val="Hyperlink"/>
            <w:noProof/>
          </w:rPr>
          <w:t>Annex D (normative)  Buildings with energy dissipation systems</w:t>
        </w:r>
        <w:r w:rsidR="008618F2">
          <w:rPr>
            <w:noProof/>
            <w:webHidden/>
          </w:rPr>
          <w:tab/>
        </w:r>
        <w:r w:rsidR="008618F2">
          <w:rPr>
            <w:noProof/>
            <w:webHidden/>
          </w:rPr>
          <w:fldChar w:fldCharType="begin"/>
        </w:r>
        <w:r w:rsidR="008618F2">
          <w:rPr>
            <w:noProof/>
            <w:webHidden/>
          </w:rPr>
          <w:instrText xml:space="preserve"> PAGEREF _Toc134198241 \h </w:instrText>
        </w:r>
        <w:r w:rsidR="008618F2">
          <w:rPr>
            <w:noProof/>
            <w:webHidden/>
          </w:rPr>
        </w:r>
        <w:r w:rsidR="008618F2">
          <w:rPr>
            <w:noProof/>
            <w:webHidden/>
          </w:rPr>
          <w:fldChar w:fldCharType="separate"/>
        </w:r>
        <w:r w:rsidR="000720CB">
          <w:rPr>
            <w:noProof/>
            <w:webHidden/>
          </w:rPr>
          <w:t>288</w:t>
        </w:r>
        <w:r w:rsidR="008618F2">
          <w:rPr>
            <w:noProof/>
            <w:webHidden/>
          </w:rPr>
          <w:fldChar w:fldCharType="end"/>
        </w:r>
      </w:hyperlink>
    </w:p>
    <w:p w14:paraId="0A1E580A" w14:textId="1234B65E" w:rsidR="008618F2" w:rsidRDefault="009B5CEC">
      <w:pPr>
        <w:pStyle w:val="TOC2"/>
        <w:rPr>
          <w:rFonts w:asciiTheme="minorHAnsi" w:eastAsiaTheme="minorEastAsia" w:hAnsiTheme="minorHAnsi" w:cstheme="minorBidi"/>
          <w:b w:val="0"/>
          <w:noProof/>
          <w:szCs w:val="22"/>
          <w:lang w:eastAsia="en-GB"/>
        </w:rPr>
      </w:pPr>
      <w:hyperlink w:anchor="_Toc134198242" w:history="1">
        <w:r w:rsidR="008618F2" w:rsidRPr="00DC3933">
          <w:rPr>
            <w:rStyle w:val="Hyperlink"/>
            <w:noProof/>
          </w:rPr>
          <w:t>D.1</w:t>
        </w:r>
        <w:r w:rsidR="008618F2">
          <w:rPr>
            <w:rFonts w:asciiTheme="minorHAnsi" w:eastAsiaTheme="minorEastAsia" w:hAnsiTheme="minorHAnsi" w:cstheme="minorBidi"/>
            <w:b w:val="0"/>
            <w:noProof/>
            <w:szCs w:val="22"/>
            <w:lang w:eastAsia="en-GB"/>
          </w:rPr>
          <w:tab/>
        </w:r>
        <w:r w:rsidR="008618F2" w:rsidRPr="00DC3933">
          <w:rPr>
            <w:rStyle w:val="Hyperlink"/>
            <w:noProof/>
          </w:rPr>
          <w:t>Use of this normative annex</w:t>
        </w:r>
        <w:r w:rsidR="008618F2">
          <w:rPr>
            <w:noProof/>
            <w:webHidden/>
          </w:rPr>
          <w:tab/>
        </w:r>
        <w:r w:rsidR="008618F2">
          <w:rPr>
            <w:noProof/>
            <w:webHidden/>
          </w:rPr>
          <w:fldChar w:fldCharType="begin"/>
        </w:r>
        <w:r w:rsidR="008618F2">
          <w:rPr>
            <w:noProof/>
            <w:webHidden/>
          </w:rPr>
          <w:instrText xml:space="preserve"> PAGEREF _Toc134198242 \h </w:instrText>
        </w:r>
        <w:r w:rsidR="008618F2">
          <w:rPr>
            <w:noProof/>
            <w:webHidden/>
          </w:rPr>
        </w:r>
        <w:r w:rsidR="008618F2">
          <w:rPr>
            <w:noProof/>
            <w:webHidden/>
          </w:rPr>
          <w:fldChar w:fldCharType="separate"/>
        </w:r>
        <w:r w:rsidR="000720CB">
          <w:rPr>
            <w:noProof/>
            <w:webHidden/>
          </w:rPr>
          <w:t>288</w:t>
        </w:r>
        <w:r w:rsidR="008618F2">
          <w:rPr>
            <w:noProof/>
            <w:webHidden/>
          </w:rPr>
          <w:fldChar w:fldCharType="end"/>
        </w:r>
      </w:hyperlink>
    </w:p>
    <w:p w14:paraId="4924256A" w14:textId="6D00DC19" w:rsidR="008618F2" w:rsidRDefault="009B5CEC">
      <w:pPr>
        <w:pStyle w:val="TOC2"/>
        <w:rPr>
          <w:rFonts w:asciiTheme="minorHAnsi" w:eastAsiaTheme="minorEastAsia" w:hAnsiTheme="minorHAnsi" w:cstheme="minorBidi"/>
          <w:b w:val="0"/>
          <w:noProof/>
          <w:szCs w:val="22"/>
          <w:lang w:eastAsia="en-GB"/>
        </w:rPr>
      </w:pPr>
      <w:hyperlink w:anchor="_Toc134198243" w:history="1">
        <w:r w:rsidR="008618F2" w:rsidRPr="00DC3933">
          <w:rPr>
            <w:rStyle w:val="Hyperlink"/>
            <w:noProof/>
          </w:rPr>
          <w:t>D.2</w:t>
        </w:r>
        <w:r w:rsidR="008618F2">
          <w:rPr>
            <w:rFonts w:asciiTheme="minorHAnsi" w:eastAsiaTheme="minorEastAsia" w:hAnsiTheme="minorHAnsi" w:cstheme="minorBidi"/>
            <w:b w:val="0"/>
            <w:noProof/>
            <w:szCs w:val="22"/>
            <w:lang w:eastAsia="en-GB"/>
          </w:rPr>
          <w:tab/>
        </w:r>
        <w:r w:rsidR="008618F2" w:rsidRPr="00DC3933">
          <w:rPr>
            <w:rStyle w:val="Hyperlink"/>
            <w:noProof/>
          </w:rPr>
          <w:t>Displacement ductility ratio</w:t>
        </w:r>
        <w:r w:rsidR="008618F2">
          <w:rPr>
            <w:noProof/>
            <w:webHidden/>
          </w:rPr>
          <w:tab/>
        </w:r>
        <w:r w:rsidR="008618F2">
          <w:rPr>
            <w:noProof/>
            <w:webHidden/>
          </w:rPr>
          <w:fldChar w:fldCharType="begin"/>
        </w:r>
        <w:r w:rsidR="008618F2">
          <w:rPr>
            <w:noProof/>
            <w:webHidden/>
          </w:rPr>
          <w:instrText xml:space="preserve"> PAGEREF _Toc134198243 \h </w:instrText>
        </w:r>
        <w:r w:rsidR="008618F2">
          <w:rPr>
            <w:noProof/>
            <w:webHidden/>
          </w:rPr>
        </w:r>
        <w:r w:rsidR="008618F2">
          <w:rPr>
            <w:noProof/>
            <w:webHidden/>
          </w:rPr>
          <w:fldChar w:fldCharType="separate"/>
        </w:r>
        <w:r w:rsidR="000720CB">
          <w:rPr>
            <w:noProof/>
            <w:webHidden/>
          </w:rPr>
          <w:t>288</w:t>
        </w:r>
        <w:r w:rsidR="008618F2">
          <w:rPr>
            <w:noProof/>
            <w:webHidden/>
          </w:rPr>
          <w:fldChar w:fldCharType="end"/>
        </w:r>
      </w:hyperlink>
    </w:p>
    <w:p w14:paraId="0ABC2CAD" w14:textId="4521E969" w:rsidR="008618F2" w:rsidRDefault="009B5CEC">
      <w:pPr>
        <w:pStyle w:val="TOC2"/>
        <w:rPr>
          <w:rFonts w:asciiTheme="minorHAnsi" w:eastAsiaTheme="minorEastAsia" w:hAnsiTheme="minorHAnsi" w:cstheme="minorBidi"/>
          <w:b w:val="0"/>
          <w:noProof/>
          <w:szCs w:val="22"/>
          <w:lang w:eastAsia="en-GB"/>
        </w:rPr>
      </w:pPr>
      <w:hyperlink w:anchor="_Toc134198244" w:history="1">
        <w:r w:rsidR="008618F2" w:rsidRPr="00DC3933">
          <w:rPr>
            <w:rStyle w:val="Hyperlink"/>
            <w:noProof/>
          </w:rPr>
          <w:t>D.3</w:t>
        </w:r>
        <w:r w:rsidR="008618F2">
          <w:rPr>
            <w:rFonts w:asciiTheme="minorHAnsi" w:eastAsiaTheme="minorEastAsia" w:hAnsiTheme="minorHAnsi" w:cstheme="minorBidi"/>
            <w:b w:val="0"/>
            <w:noProof/>
            <w:szCs w:val="22"/>
            <w:lang w:eastAsia="en-GB"/>
          </w:rPr>
          <w:tab/>
        </w:r>
        <w:r w:rsidR="008618F2" w:rsidRPr="00DC3933">
          <w:rPr>
            <w:rStyle w:val="Hyperlink"/>
            <w:noProof/>
          </w:rPr>
          <w:t>Complementary rules for structures with velocity-dependent energy dissipation devices</w:t>
        </w:r>
        <w:r w:rsidR="008618F2">
          <w:rPr>
            <w:noProof/>
            <w:webHidden/>
          </w:rPr>
          <w:tab/>
        </w:r>
        <w:r w:rsidR="008618F2">
          <w:rPr>
            <w:noProof/>
            <w:webHidden/>
          </w:rPr>
          <w:fldChar w:fldCharType="begin"/>
        </w:r>
        <w:r w:rsidR="008618F2">
          <w:rPr>
            <w:noProof/>
            <w:webHidden/>
          </w:rPr>
          <w:instrText xml:space="preserve"> PAGEREF _Toc134198244 \h </w:instrText>
        </w:r>
        <w:r w:rsidR="008618F2">
          <w:rPr>
            <w:noProof/>
            <w:webHidden/>
          </w:rPr>
        </w:r>
        <w:r w:rsidR="008618F2">
          <w:rPr>
            <w:noProof/>
            <w:webHidden/>
          </w:rPr>
          <w:fldChar w:fldCharType="separate"/>
        </w:r>
        <w:r w:rsidR="000720CB">
          <w:rPr>
            <w:noProof/>
            <w:webHidden/>
          </w:rPr>
          <w:t>289</w:t>
        </w:r>
        <w:r w:rsidR="008618F2">
          <w:rPr>
            <w:noProof/>
            <w:webHidden/>
          </w:rPr>
          <w:fldChar w:fldCharType="end"/>
        </w:r>
      </w:hyperlink>
    </w:p>
    <w:p w14:paraId="7DF3D483" w14:textId="5C9F2CF7" w:rsidR="008618F2" w:rsidRDefault="009B5CEC">
      <w:pPr>
        <w:pStyle w:val="TOC2"/>
        <w:rPr>
          <w:rFonts w:asciiTheme="minorHAnsi" w:eastAsiaTheme="minorEastAsia" w:hAnsiTheme="minorHAnsi" w:cstheme="minorBidi"/>
          <w:b w:val="0"/>
          <w:noProof/>
          <w:szCs w:val="22"/>
          <w:lang w:eastAsia="en-GB"/>
        </w:rPr>
      </w:pPr>
      <w:hyperlink w:anchor="_Toc134198247" w:history="1">
        <w:r w:rsidR="008618F2" w:rsidRPr="00DC3933">
          <w:rPr>
            <w:rStyle w:val="Hyperlink"/>
            <w:noProof/>
          </w:rPr>
          <w:t>D.4</w:t>
        </w:r>
        <w:r w:rsidR="008618F2">
          <w:rPr>
            <w:rFonts w:asciiTheme="minorHAnsi" w:eastAsiaTheme="minorEastAsia" w:hAnsiTheme="minorHAnsi" w:cstheme="minorBidi"/>
            <w:b w:val="0"/>
            <w:noProof/>
            <w:szCs w:val="22"/>
            <w:lang w:eastAsia="en-GB"/>
          </w:rPr>
          <w:tab/>
        </w:r>
        <w:r w:rsidR="008618F2" w:rsidRPr="00DC3933">
          <w:rPr>
            <w:rStyle w:val="Hyperlink"/>
            <w:noProof/>
          </w:rPr>
          <w:t>Complementary rules for structures with displacement-dependent energy-dissipation devices</w:t>
        </w:r>
        <w:r w:rsidR="008618F2">
          <w:rPr>
            <w:noProof/>
            <w:webHidden/>
          </w:rPr>
          <w:tab/>
        </w:r>
        <w:r w:rsidR="008618F2">
          <w:rPr>
            <w:noProof/>
            <w:webHidden/>
          </w:rPr>
          <w:fldChar w:fldCharType="begin"/>
        </w:r>
        <w:r w:rsidR="008618F2">
          <w:rPr>
            <w:noProof/>
            <w:webHidden/>
          </w:rPr>
          <w:instrText xml:space="preserve"> PAGEREF _Toc134198247 \h </w:instrText>
        </w:r>
        <w:r w:rsidR="008618F2">
          <w:rPr>
            <w:noProof/>
            <w:webHidden/>
          </w:rPr>
        </w:r>
        <w:r w:rsidR="008618F2">
          <w:rPr>
            <w:noProof/>
            <w:webHidden/>
          </w:rPr>
          <w:fldChar w:fldCharType="separate"/>
        </w:r>
        <w:r w:rsidR="000720CB">
          <w:rPr>
            <w:noProof/>
            <w:webHidden/>
          </w:rPr>
          <w:t>290</w:t>
        </w:r>
        <w:r w:rsidR="008618F2">
          <w:rPr>
            <w:noProof/>
            <w:webHidden/>
          </w:rPr>
          <w:fldChar w:fldCharType="end"/>
        </w:r>
      </w:hyperlink>
    </w:p>
    <w:p w14:paraId="2AEBEDA0" w14:textId="748EDBAE" w:rsidR="008618F2" w:rsidRDefault="009B5CEC">
      <w:pPr>
        <w:pStyle w:val="TOC1"/>
        <w:rPr>
          <w:rFonts w:asciiTheme="minorHAnsi" w:eastAsiaTheme="minorEastAsia" w:hAnsiTheme="minorHAnsi" w:cstheme="minorBidi"/>
          <w:b w:val="0"/>
          <w:noProof/>
          <w:szCs w:val="22"/>
          <w:lang w:eastAsia="en-GB"/>
        </w:rPr>
      </w:pPr>
      <w:hyperlink w:anchor="_Toc134198252" w:history="1">
        <w:r w:rsidR="008618F2" w:rsidRPr="00DC3933">
          <w:rPr>
            <w:rStyle w:val="Hyperlink"/>
            <w:noProof/>
          </w:rPr>
          <w:t>Annex E (normative)  Seismic design of connections for steel buildings</w:t>
        </w:r>
        <w:r w:rsidR="008618F2">
          <w:rPr>
            <w:noProof/>
            <w:webHidden/>
          </w:rPr>
          <w:tab/>
        </w:r>
        <w:r w:rsidR="008618F2">
          <w:rPr>
            <w:noProof/>
            <w:webHidden/>
          </w:rPr>
          <w:fldChar w:fldCharType="begin"/>
        </w:r>
        <w:r w:rsidR="008618F2">
          <w:rPr>
            <w:noProof/>
            <w:webHidden/>
          </w:rPr>
          <w:instrText xml:space="preserve"> PAGEREF _Toc134198252 \h </w:instrText>
        </w:r>
        <w:r w:rsidR="008618F2">
          <w:rPr>
            <w:noProof/>
            <w:webHidden/>
          </w:rPr>
        </w:r>
        <w:r w:rsidR="008618F2">
          <w:rPr>
            <w:noProof/>
            <w:webHidden/>
          </w:rPr>
          <w:fldChar w:fldCharType="separate"/>
        </w:r>
        <w:r w:rsidR="000720CB">
          <w:rPr>
            <w:noProof/>
            <w:webHidden/>
          </w:rPr>
          <w:t>294</w:t>
        </w:r>
        <w:r w:rsidR="008618F2">
          <w:rPr>
            <w:noProof/>
            <w:webHidden/>
          </w:rPr>
          <w:fldChar w:fldCharType="end"/>
        </w:r>
      </w:hyperlink>
    </w:p>
    <w:p w14:paraId="3807CF98" w14:textId="25F6AE76" w:rsidR="008618F2" w:rsidRDefault="009B5CEC">
      <w:pPr>
        <w:pStyle w:val="TOC2"/>
        <w:rPr>
          <w:rFonts w:asciiTheme="minorHAnsi" w:eastAsiaTheme="minorEastAsia" w:hAnsiTheme="minorHAnsi" w:cstheme="minorBidi"/>
          <w:b w:val="0"/>
          <w:noProof/>
          <w:szCs w:val="22"/>
          <w:lang w:eastAsia="en-GB"/>
        </w:rPr>
      </w:pPr>
      <w:hyperlink w:anchor="_Toc134198253" w:history="1">
        <w:r w:rsidR="008618F2" w:rsidRPr="00DC3933">
          <w:rPr>
            <w:rStyle w:val="Hyperlink"/>
            <w:noProof/>
          </w:rPr>
          <w:t>E.1</w:t>
        </w:r>
        <w:r w:rsidR="008618F2">
          <w:rPr>
            <w:rFonts w:asciiTheme="minorHAnsi" w:eastAsiaTheme="minorEastAsia" w:hAnsiTheme="minorHAnsi" w:cstheme="minorBidi"/>
            <w:b w:val="0"/>
            <w:noProof/>
            <w:szCs w:val="22"/>
            <w:lang w:eastAsia="en-GB"/>
          </w:rPr>
          <w:tab/>
        </w:r>
        <w:r w:rsidR="008618F2" w:rsidRPr="00DC3933">
          <w:rPr>
            <w:rStyle w:val="Hyperlink"/>
            <w:noProof/>
          </w:rPr>
          <w:t>Use of this normative annex</w:t>
        </w:r>
        <w:r w:rsidR="008618F2">
          <w:rPr>
            <w:noProof/>
            <w:webHidden/>
          </w:rPr>
          <w:tab/>
        </w:r>
        <w:r w:rsidR="008618F2">
          <w:rPr>
            <w:noProof/>
            <w:webHidden/>
          </w:rPr>
          <w:fldChar w:fldCharType="begin"/>
        </w:r>
        <w:r w:rsidR="008618F2">
          <w:rPr>
            <w:noProof/>
            <w:webHidden/>
          </w:rPr>
          <w:instrText xml:space="preserve"> PAGEREF _Toc134198253 \h </w:instrText>
        </w:r>
        <w:r w:rsidR="008618F2">
          <w:rPr>
            <w:noProof/>
            <w:webHidden/>
          </w:rPr>
        </w:r>
        <w:r w:rsidR="008618F2">
          <w:rPr>
            <w:noProof/>
            <w:webHidden/>
          </w:rPr>
          <w:fldChar w:fldCharType="separate"/>
        </w:r>
        <w:r w:rsidR="000720CB">
          <w:rPr>
            <w:noProof/>
            <w:webHidden/>
          </w:rPr>
          <w:t>294</w:t>
        </w:r>
        <w:r w:rsidR="008618F2">
          <w:rPr>
            <w:noProof/>
            <w:webHidden/>
          </w:rPr>
          <w:fldChar w:fldCharType="end"/>
        </w:r>
      </w:hyperlink>
    </w:p>
    <w:p w14:paraId="1EB3C41A" w14:textId="3977BB40" w:rsidR="008618F2" w:rsidRDefault="009B5CEC">
      <w:pPr>
        <w:pStyle w:val="TOC2"/>
        <w:rPr>
          <w:rFonts w:asciiTheme="minorHAnsi" w:eastAsiaTheme="minorEastAsia" w:hAnsiTheme="minorHAnsi" w:cstheme="minorBidi"/>
          <w:b w:val="0"/>
          <w:noProof/>
          <w:szCs w:val="22"/>
          <w:lang w:eastAsia="en-GB"/>
        </w:rPr>
      </w:pPr>
      <w:hyperlink w:anchor="_Toc134198254" w:history="1">
        <w:r w:rsidR="008618F2" w:rsidRPr="00DC3933">
          <w:rPr>
            <w:rStyle w:val="Hyperlink"/>
            <w:noProof/>
          </w:rPr>
          <w:t>E.2</w:t>
        </w:r>
        <w:r w:rsidR="008618F2">
          <w:rPr>
            <w:rFonts w:asciiTheme="minorHAnsi" w:eastAsiaTheme="minorEastAsia" w:hAnsiTheme="minorHAnsi" w:cstheme="minorBidi"/>
            <w:b w:val="0"/>
            <w:noProof/>
            <w:szCs w:val="22"/>
            <w:lang w:eastAsia="en-GB"/>
          </w:rPr>
          <w:tab/>
        </w:r>
        <w:r w:rsidR="008618F2" w:rsidRPr="00DC3933">
          <w:rPr>
            <w:rStyle w:val="Hyperlink"/>
            <w:noProof/>
          </w:rPr>
          <w:t>Scope and field of application</w:t>
        </w:r>
        <w:r w:rsidR="008618F2">
          <w:rPr>
            <w:noProof/>
            <w:webHidden/>
          </w:rPr>
          <w:tab/>
        </w:r>
        <w:r w:rsidR="008618F2">
          <w:rPr>
            <w:noProof/>
            <w:webHidden/>
          </w:rPr>
          <w:fldChar w:fldCharType="begin"/>
        </w:r>
        <w:r w:rsidR="008618F2">
          <w:rPr>
            <w:noProof/>
            <w:webHidden/>
          </w:rPr>
          <w:instrText xml:space="preserve"> PAGEREF _Toc134198254 \h </w:instrText>
        </w:r>
        <w:r w:rsidR="008618F2">
          <w:rPr>
            <w:noProof/>
            <w:webHidden/>
          </w:rPr>
        </w:r>
        <w:r w:rsidR="008618F2">
          <w:rPr>
            <w:noProof/>
            <w:webHidden/>
          </w:rPr>
          <w:fldChar w:fldCharType="separate"/>
        </w:r>
        <w:r w:rsidR="000720CB">
          <w:rPr>
            <w:noProof/>
            <w:webHidden/>
          </w:rPr>
          <w:t>294</w:t>
        </w:r>
        <w:r w:rsidR="008618F2">
          <w:rPr>
            <w:noProof/>
            <w:webHidden/>
          </w:rPr>
          <w:fldChar w:fldCharType="end"/>
        </w:r>
      </w:hyperlink>
    </w:p>
    <w:p w14:paraId="7176D0AA" w14:textId="4E9594F8" w:rsidR="008618F2" w:rsidRDefault="009B5CEC">
      <w:pPr>
        <w:pStyle w:val="TOC2"/>
        <w:rPr>
          <w:rFonts w:asciiTheme="minorHAnsi" w:eastAsiaTheme="minorEastAsia" w:hAnsiTheme="minorHAnsi" w:cstheme="minorBidi"/>
          <w:b w:val="0"/>
          <w:noProof/>
          <w:szCs w:val="22"/>
          <w:lang w:eastAsia="en-GB"/>
        </w:rPr>
      </w:pPr>
      <w:hyperlink w:anchor="_Toc134198255" w:history="1">
        <w:r w:rsidR="008618F2" w:rsidRPr="00DC3933">
          <w:rPr>
            <w:rStyle w:val="Hyperlink"/>
            <w:noProof/>
          </w:rPr>
          <w:t>E.3</w:t>
        </w:r>
        <w:r w:rsidR="008618F2">
          <w:rPr>
            <w:rFonts w:asciiTheme="minorHAnsi" w:eastAsiaTheme="minorEastAsia" w:hAnsiTheme="minorHAnsi" w:cstheme="minorBidi"/>
            <w:b w:val="0"/>
            <w:noProof/>
            <w:szCs w:val="22"/>
            <w:lang w:eastAsia="en-GB"/>
          </w:rPr>
          <w:tab/>
        </w:r>
        <w:r w:rsidR="008618F2" w:rsidRPr="00DC3933">
          <w:rPr>
            <w:rStyle w:val="Hyperlink"/>
            <w:noProof/>
          </w:rPr>
          <w:t>Pre-qualified moment resisting beam-to-column joints</w:t>
        </w:r>
        <w:r w:rsidR="008618F2">
          <w:rPr>
            <w:noProof/>
            <w:webHidden/>
          </w:rPr>
          <w:tab/>
        </w:r>
        <w:r w:rsidR="008618F2">
          <w:rPr>
            <w:noProof/>
            <w:webHidden/>
          </w:rPr>
          <w:fldChar w:fldCharType="begin"/>
        </w:r>
        <w:r w:rsidR="008618F2">
          <w:rPr>
            <w:noProof/>
            <w:webHidden/>
          </w:rPr>
          <w:instrText xml:space="preserve"> PAGEREF _Toc134198255 \h </w:instrText>
        </w:r>
        <w:r w:rsidR="008618F2">
          <w:rPr>
            <w:noProof/>
            <w:webHidden/>
          </w:rPr>
        </w:r>
        <w:r w:rsidR="008618F2">
          <w:rPr>
            <w:noProof/>
            <w:webHidden/>
          </w:rPr>
          <w:fldChar w:fldCharType="separate"/>
        </w:r>
        <w:r w:rsidR="000720CB">
          <w:rPr>
            <w:noProof/>
            <w:webHidden/>
          </w:rPr>
          <w:t>294</w:t>
        </w:r>
        <w:r w:rsidR="008618F2">
          <w:rPr>
            <w:noProof/>
            <w:webHidden/>
          </w:rPr>
          <w:fldChar w:fldCharType="end"/>
        </w:r>
      </w:hyperlink>
    </w:p>
    <w:p w14:paraId="3A79995E" w14:textId="76DC097C" w:rsidR="008618F2" w:rsidRDefault="009B5CEC">
      <w:pPr>
        <w:pStyle w:val="TOC2"/>
        <w:rPr>
          <w:rFonts w:asciiTheme="minorHAnsi" w:eastAsiaTheme="minorEastAsia" w:hAnsiTheme="minorHAnsi" w:cstheme="minorBidi"/>
          <w:b w:val="0"/>
          <w:noProof/>
          <w:szCs w:val="22"/>
          <w:lang w:eastAsia="en-GB"/>
        </w:rPr>
      </w:pPr>
      <w:hyperlink w:anchor="_Toc134198275" w:history="1">
        <w:r w:rsidR="008618F2" w:rsidRPr="00DC3933">
          <w:rPr>
            <w:rStyle w:val="Hyperlink"/>
            <w:noProof/>
          </w:rPr>
          <w:t>E.4</w:t>
        </w:r>
        <w:r w:rsidR="008618F2">
          <w:rPr>
            <w:rFonts w:asciiTheme="minorHAnsi" w:eastAsiaTheme="minorEastAsia" w:hAnsiTheme="minorHAnsi" w:cstheme="minorBidi"/>
            <w:b w:val="0"/>
            <w:noProof/>
            <w:szCs w:val="22"/>
            <w:lang w:eastAsia="en-GB"/>
          </w:rPr>
          <w:tab/>
        </w:r>
        <w:r w:rsidR="008618F2" w:rsidRPr="00DC3933">
          <w:rPr>
            <w:rStyle w:val="Hyperlink"/>
            <w:noProof/>
          </w:rPr>
          <w:t>E.4 Beam-to-column connections allowing rotations in braced frames</w:t>
        </w:r>
        <w:r w:rsidR="008618F2">
          <w:rPr>
            <w:noProof/>
            <w:webHidden/>
          </w:rPr>
          <w:tab/>
        </w:r>
        <w:r w:rsidR="008618F2">
          <w:rPr>
            <w:noProof/>
            <w:webHidden/>
          </w:rPr>
          <w:fldChar w:fldCharType="begin"/>
        </w:r>
        <w:r w:rsidR="008618F2">
          <w:rPr>
            <w:noProof/>
            <w:webHidden/>
          </w:rPr>
          <w:instrText xml:space="preserve"> PAGEREF _Toc134198275 \h </w:instrText>
        </w:r>
        <w:r w:rsidR="008618F2">
          <w:rPr>
            <w:noProof/>
            <w:webHidden/>
          </w:rPr>
        </w:r>
        <w:r w:rsidR="008618F2">
          <w:rPr>
            <w:noProof/>
            <w:webHidden/>
          </w:rPr>
          <w:fldChar w:fldCharType="separate"/>
        </w:r>
        <w:r w:rsidR="000720CB">
          <w:rPr>
            <w:noProof/>
            <w:webHidden/>
          </w:rPr>
          <w:t>324</w:t>
        </w:r>
        <w:r w:rsidR="008618F2">
          <w:rPr>
            <w:noProof/>
            <w:webHidden/>
          </w:rPr>
          <w:fldChar w:fldCharType="end"/>
        </w:r>
      </w:hyperlink>
    </w:p>
    <w:p w14:paraId="65FD8C2E" w14:textId="201E918E" w:rsidR="008618F2" w:rsidRDefault="009B5CEC">
      <w:pPr>
        <w:pStyle w:val="TOC2"/>
        <w:rPr>
          <w:rFonts w:asciiTheme="minorHAnsi" w:eastAsiaTheme="minorEastAsia" w:hAnsiTheme="minorHAnsi" w:cstheme="minorBidi"/>
          <w:b w:val="0"/>
          <w:noProof/>
          <w:szCs w:val="22"/>
          <w:lang w:eastAsia="en-GB"/>
        </w:rPr>
      </w:pPr>
      <w:hyperlink w:anchor="_Toc134198276" w:history="1">
        <w:r w:rsidR="008618F2" w:rsidRPr="00DC3933">
          <w:rPr>
            <w:rStyle w:val="Hyperlink"/>
            <w:noProof/>
          </w:rPr>
          <w:t>E.5</w:t>
        </w:r>
        <w:r w:rsidR="008618F2">
          <w:rPr>
            <w:rFonts w:asciiTheme="minorHAnsi" w:eastAsiaTheme="minorEastAsia" w:hAnsiTheme="minorHAnsi" w:cstheme="minorBidi"/>
            <w:b w:val="0"/>
            <w:noProof/>
            <w:szCs w:val="22"/>
            <w:lang w:eastAsia="en-GB"/>
          </w:rPr>
          <w:tab/>
        </w:r>
        <w:r w:rsidR="008618F2" w:rsidRPr="00DC3933">
          <w:rPr>
            <w:rStyle w:val="Hyperlink"/>
            <w:noProof/>
          </w:rPr>
          <w:t>Gusset plate connections in concentric bracings</w:t>
        </w:r>
        <w:r w:rsidR="008618F2">
          <w:rPr>
            <w:noProof/>
            <w:webHidden/>
          </w:rPr>
          <w:tab/>
        </w:r>
        <w:r w:rsidR="008618F2">
          <w:rPr>
            <w:noProof/>
            <w:webHidden/>
          </w:rPr>
          <w:fldChar w:fldCharType="begin"/>
        </w:r>
        <w:r w:rsidR="008618F2">
          <w:rPr>
            <w:noProof/>
            <w:webHidden/>
          </w:rPr>
          <w:instrText xml:space="preserve"> PAGEREF _Toc134198276 \h </w:instrText>
        </w:r>
        <w:r w:rsidR="008618F2">
          <w:rPr>
            <w:noProof/>
            <w:webHidden/>
          </w:rPr>
        </w:r>
        <w:r w:rsidR="008618F2">
          <w:rPr>
            <w:noProof/>
            <w:webHidden/>
          </w:rPr>
          <w:fldChar w:fldCharType="separate"/>
        </w:r>
        <w:r w:rsidR="000720CB">
          <w:rPr>
            <w:noProof/>
            <w:webHidden/>
          </w:rPr>
          <w:t>325</w:t>
        </w:r>
        <w:r w:rsidR="008618F2">
          <w:rPr>
            <w:noProof/>
            <w:webHidden/>
          </w:rPr>
          <w:fldChar w:fldCharType="end"/>
        </w:r>
      </w:hyperlink>
    </w:p>
    <w:p w14:paraId="3E08F63F" w14:textId="7E3F8B3C" w:rsidR="008618F2" w:rsidRDefault="009B5CEC">
      <w:pPr>
        <w:pStyle w:val="TOC2"/>
        <w:rPr>
          <w:rFonts w:asciiTheme="minorHAnsi" w:eastAsiaTheme="minorEastAsia" w:hAnsiTheme="minorHAnsi" w:cstheme="minorBidi"/>
          <w:b w:val="0"/>
          <w:noProof/>
          <w:szCs w:val="22"/>
          <w:lang w:eastAsia="en-GB"/>
        </w:rPr>
      </w:pPr>
      <w:hyperlink w:anchor="_Toc134198281" w:history="1">
        <w:r w:rsidR="008618F2" w:rsidRPr="00DC3933">
          <w:rPr>
            <w:rStyle w:val="Hyperlink"/>
            <w:noProof/>
          </w:rPr>
          <w:t>E.6</w:t>
        </w:r>
        <w:r w:rsidR="008618F2">
          <w:rPr>
            <w:rFonts w:asciiTheme="minorHAnsi" w:eastAsiaTheme="minorEastAsia" w:hAnsiTheme="minorHAnsi" w:cstheme="minorBidi"/>
            <w:b w:val="0"/>
            <w:noProof/>
            <w:szCs w:val="22"/>
            <w:lang w:eastAsia="en-GB"/>
          </w:rPr>
          <w:tab/>
        </w:r>
        <w:r w:rsidR="008618F2" w:rsidRPr="00DC3933">
          <w:rPr>
            <w:rStyle w:val="Hyperlink"/>
            <w:noProof/>
          </w:rPr>
          <w:t>Partial strength connections in concentric bracings</w:t>
        </w:r>
        <w:r w:rsidR="008618F2">
          <w:rPr>
            <w:noProof/>
            <w:webHidden/>
          </w:rPr>
          <w:tab/>
        </w:r>
        <w:r w:rsidR="008618F2">
          <w:rPr>
            <w:noProof/>
            <w:webHidden/>
          </w:rPr>
          <w:fldChar w:fldCharType="begin"/>
        </w:r>
        <w:r w:rsidR="008618F2">
          <w:rPr>
            <w:noProof/>
            <w:webHidden/>
          </w:rPr>
          <w:instrText xml:space="preserve"> PAGEREF _Toc134198281 \h </w:instrText>
        </w:r>
        <w:r w:rsidR="008618F2">
          <w:rPr>
            <w:noProof/>
            <w:webHidden/>
          </w:rPr>
        </w:r>
        <w:r w:rsidR="008618F2">
          <w:rPr>
            <w:noProof/>
            <w:webHidden/>
          </w:rPr>
          <w:fldChar w:fldCharType="separate"/>
        </w:r>
        <w:r w:rsidR="000720CB">
          <w:rPr>
            <w:noProof/>
            <w:webHidden/>
          </w:rPr>
          <w:t>329</w:t>
        </w:r>
        <w:r w:rsidR="008618F2">
          <w:rPr>
            <w:noProof/>
            <w:webHidden/>
          </w:rPr>
          <w:fldChar w:fldCharType="end"/>
        </w:r>
      </w:hyperlink>
    </w:p>
    <w:p w14:paraId="7C7C0C20" w14:textId="71E595E7" w:rsidR="008618F2" w:rsidRDefault="009B5CEC">
      <w:pPr>
        <w:pStyle w:val="TOC2"/>
        <w:rPr>
          <w:rFonts w:asciiTheme="minorHAnsi" w:eastAsiaTheme="minorEastAsia" w:hAnsiTheme="minorHAnsi" w:cstheme="minorBidi"/>
          <w:b w:val="0"/>
          <w:noProof/>
          <w:szCs w:val="22"/>
          <w:lang w:eastAsia="en-GB"/>
        </w:rPr>
      </w:pPr>
      <w:hyperlink w:anchor="_Toc134198284" w:history="1">
        <w:r w:rsidR="008618F2" w:rsidRPr="00DC3933">
          <w:rPr>
            <w:rStyle w:val="Hyperlink"/>
            <w:noProof/>
          </w:rPr>
          <w:t>E.7</w:t>
        </w:r>
        <w:r w:rsidR="008618F2">
          <w:rPr>
            <w:rFonts w:asciiTheme="minorHAnsi" w:eastAsiaTheme="minorEastAsia" w:hAnsiTheme="minorHAnsi" w:cstheme="minorBidi"/>
            <w:b w:val="0"/>
            <w:noProof/>
            <w:szCs w:val="22"/>
            <w:lang w:eastAsia="en-GB"/>
          </w:rPr>
          <w:tab/>
        </w:r>
        <w:r w:rsidR="008618F2" w:rsidRPr="00DC3933">
          <w:rPr>
            <w:rStyle w:val="Hyperlink"/>
            <w:noProof/>
          </w:rPr>
          <w:t>Brace connections in eccentric bracings</w:t>
        </w:r>
        <w:r w:rsidR="008618F2">
          <w:rPr>
            <w:noProof/>
            <w:webHidden/>
          </w:rPr>
          <w:tab/>
        </w:r>
        <w:r w:rsidR="008618F2">
          <w:rPr>
            <w:noProof/>
            <w:webHidden/>
          </w:rPr>
          <w:fldChar w:fldCharType="begin"/>
        </w:r>
        <w:r w:rsidR="008618F2">
          <w:rPr>
            <w:noProof/>
            <w:webHidden/>
          </w:rPr>
          <w:instrText xml:space="preserve"> PAGEREF _Toc134198284 \h </w:instrText>
        </w:r>
        <w:r w:rsidR="008618F2">
          <w:rPr>
            <w:noProof/>
            <w:webHidden/>
          </w:rPr>
        </w:r>
        <w:r w:rsidR="008618F2">
          <w:rPr>
            <w:noProof/>
            <w:webHidden/>
          </w:rPr>
          <w:fldChar w:fldCharType="separate"/>
        </w:r>
        <w:r w:rsidR="000720CB">
          <w:rPr>
            <w:noProof/>
            <w:webHidden/>
          </w:rPr>
          <w:t>332</w:t>
        </w:r>
        <w:r w:rsidR="008618F2">
          <w:rPr>
            <w:noProof/>
            <w:webHidden/>
          </w:rPr>
          <w:fldChar w:fldCharType="end"/>
        </w:r>
      </w:hyperlink>
    </w:p>
    <w:p w14:paraId="4EB4411E" w14:textId="22854BE9" w:rsidR="008618F2" w:rsidRDefault="009B5CEC">
      <w:pPr>
        <w:pStyle w:val="TOC1"/>
        <w:rPr>
          <w:rFonts w:asciiTheme="minorHAnsi" w:eastAsiaTheme="minorEastAsia" w:hAnsiTheme="minorHAnsi" w:cstheme="minorBidi"/>
          <w:b w:val="0"/>
          <w:noProof/>
          <w:szCs w:val="22"/>
          <w:lang w:eastAsia="en-GB"/>
        </w:rPr>
      </w:pPr>
      <w:hyperlink w:anchor="_Toc134198287" w:history="1">
        <w:r w:rsidR="008618F2" w:rsidRPr="00DC3933">
          <w:rPr>
            <w:rStyle w:val="Hyperlink"/>
            <w:noProof/>
          </w:rPr>
          <w:t>E.8.</w:t>
        </w:r>
        <w:r w:rsidR="008618F2">
          <w:rPr>
            <w:rFonts w:asciiTheme="minorHAnsi" w:eastAsiaTheme="minorEastAsia" w:hAnsiTheme="minorHAnsi" w:cstheme="minorBidi"/>
            <w:b w:val="0"/>
            <w:noProof/>
            <w:szCs w:val="22"/>
            <w:lang w:eastAsia="en-GB"/>
          </w:rPr>
          <w:tab/>
        </w:r>
        <w:r w:rsidR="008618F2" w:rsidRPr="00DC3933">
          <w:rPr>
            <w:rStyle w:val="Hyperlink"/>
            <w:noProof/>
          </w:rPr>
          <w:t>Gusset plate connections in buckling restrained bracings</w:t>
        </w:r>
        <w:r w:rsidR="008618F2">
          <w:rPr>
            <w:noProof/>
            <w:webHidden/>
          </w:rPr>
          <w:tab/>
        </w:r>
        <w:r w:rsidR="008618F2">
          <w:rPr>
            <w:noProof/>
            <w:webHidden/>
          </w:rPr>
          <w:fldChar w:fldCharType="begin"/>
        </w:r>
        <w:r w:rsidR="008618F2">
          <w:rPr>
            <w:noProof/>
            <w:webHidden/>
          </w:rPr>
          <w:instrText xml:space="preserve"> PAGEREF _Toc134198287 \h </w:instrText>
        </w:r>
        <w:r w:rsidR="008618F2">
          <w:rPr>
            <w:noProof/>
            <w:webHidden/>
          </w:rPr>
        </w:r>
        <w:r w:rsidR="008618F2">
          <w:rPr>
            <w:noProof/>
            <w:webHidden/>
          </w:rPr>
          <w:fldChar w:fldCharType="separate"/>
        </w:r>
        <w:r w:rsidR="000720CB">
          <w:rPr>
            <w:noProof/>
            <w:webHidden/>
          </w:rPr>
          <w:t>334</w:t>
        </w:r>
        <w:r w:rsidR="008618F2">
          <w:rPr>
            <w:noProof/>
            <w:webHidden/>
          </w:rPr>
          <w:fldChar w:fldCharType="end"/>
        </w:r>
      </w:hyperlink>
    </w:p>
    <w:p w14:paraId="7432EBFE" w14:textId="0A22A306" w:rsidR="008618F2" w:rsidRDefault="009B5CEC">
      <w:pPr>
        <w:pStyle w:val="TOC1"/>
        <w:rPr>
          <w:rFonts w:asciiTheme="minorHAnsi" w:eastAsiaTheme="minorEastAsia" w:hAnsiTheme="minorHAnsi" w:cstheme="minorBidi"/>
          <w:b w:val="0"/>
          <w:noProof/>
          <w:szCs w:val="22"/>
          <w:lang w:eastAsia="en-GB"/>
        </w:rPr>
      </w:pPr>
      <w:hyperlink w:anchor="_Toc134198288" w:history="1">
        <w:r w:rsidR="008618F2" w:rsidRPr="00DC3933">
          <w:rPr>
            <w:rStyle w:val="Hyperlink"/>
            <w:noProof/>
            <w:lang w:eastAsia="en-US"/>
          </w:rPr>
          <w:t>Annex F</w:t>
        </w:r>
        <w:r w:rsidR="008618F2" w:rsidRPr="00DC3933">
          <w:rPr>
            <w:rStyle w:val="Hyperlink"/>
            <w:bCs/>
            <w:noProof/>
          </w:rPr>
          <w:t xml:space="preserve"> (normative)</w:t>
        </w:r>
        <w:r w:rsidR="008618F2" w:rsidRPr="00DC3933">
          <w:rPr>
            <w:rStyle w:val="Hyperlink"/>
            <w:noProof/>
          </w:rPr>
          <w:t xml:space="preserve">  Steel light weight structures</w:t>
        </w:r>
        <w:r w:rsidR="008618F2">
          <w:rPr>
            <w:noProof/>
            <w:webHidden/>
          </w:rPr>
          <w:tab/>
        </w:r>
        <w:r w:rsidR="008618F2">
          <w:rPr>
            <w:noProof/>
            <w:webHidden/>
          </w:rPr>
          <w:fldChar w:fldCharType="begin"/>
        </w:r>
        <w:r w:rsidR="008618F2">
          <w:rPr>
            <w:noProof/>
            <w:webHidden/>
          </w:rPr>
          <w:instrText xml:space="preserve"> PAGEREF _Toc134198288 \h </w:instrText>
        </w:r>
        <w:r w:rsidR="008618F2">
          <w:rPr>
            <w:noProof/>
            <w:webHidden/>
          </w:rPr>
        </w:r>
        <w:r w:rsidR="008618F2">
          <w:rPr>
            <w:noProof/>
            <w:webHidden/>
          </w:rPr>
          <w:fldChar w:fldCharType="separate"/>
        </w:r>
        <w:r w:rsidR="000720CB">
          <w:rPr>
            <w:noProof/>
            <w:webHidden/>
          </w:rPr>
          <w:t>335</w:t>
        </w:r>
        <w:r w:rsidR="008618F2">
          <w:rPr>
            <w:noProof/>
            <w:webHidden/>
          </w:rPr>
          <w:fldChar w:fldCharType="end"/>
        </w:r>
      </w:hyperlink>
    </w:p>
    <w:p w14:paraId="60947625" w14:textId="1A9A3495" w:rsidR="008618F2" w:rsidRDefault="009B5CEC">
      <w:pPr>
        <w:pStyle w:val="TOC2"/>
        <w:rPr>
          <w:rFonts w:asciiTheme="minorHAnsi" w:eastAsiaTheme="minorEastAsia" w:hAnsiTheme="minorHAnsi" w:cstheme="minorBidi"/>
          <w:b w:val="0"/>
          <w:noProof/>
          <w:szCs w:val="22"/>
          <w:lang w:eastAsia="en-GB"/>
        </w:rPr>
      </w:pPr>
      <w:hyperlink w:anchor="_Toc134198289" w:history="1">
        <w:r w:rsidR="008618F2" w:rsidRPr="00DC3933">
          <w:rPr>
            <w:rStyle w:val="Hyperlink"/>
            <w:noProof/>
          </w:rPr>
          <w:t>F.1</w:t>
        </w:r>
        <w:r w:rsidR="008618F2">
          <w:rPr>
            <w:rFonts w:asciiTheme="minorHAnsi" w:eastAsiaTheme="minorEastAsia" w:hAnsiTheme="minorHAnsi" w:cstheme="minorBidi"/>
            <w:b w:val="0"/>
            <w:noProof/>
            <w:szCs w:val="22"/>
            <w:lang w:eastAsia="en-GB"/>
          </w:rPr>
          <w:tab/>
        </w:r>
        <w:r w:rsidR="008618F2" w:rsidRPr="00DC3933">
          <w:rPr>
            <w:rStyle w:val="Hyperlink"/>
            <w:noProof/>
          </w:rPr>
          <w:t>Use of this normative annex</w:t>
        </w:r>
        <w:r w:rsidR="008618F2">
          <w:rPr>
            <w:noProof/>
            <w:webHidden/>
          </w:rPr>
          <w:tab/>
        </w:r>
        <w:r w:rsidR="008618F2">
          <w:rPr>
            <w:noProof/>
            <w:webHidden/>
          </w:rPr>
          <w:fldChar w:fldCharType="begin"/>
        </w:r>
        <w:r w:rsidR="008618F2">
          <w:rPr>
            <w:noProof/>
            <w:webHidden/>
          </w:rPr>
          <w:instrText xml:space="preserve"> PAGEREF _Toc134198289 \h </w:instrText>
        </w:r>
        <w:r w:rsidR="008618F2">
          <w:rPr>
            <w:noProof/>
            <w:webHidden/>
          </w:rPr>
        </w:r>
        <w:r w:rsidR="008618F2">
          <w:rPr>
            <w:noProof/>
            <w:webHidden/>
          </w:rPr>
          <w:fldChar w:fldCharType="separate"/>
        </w:r>
        <w:r w:rsidR="000720CB">
          <w:rPr>
            <w:noProof/>
            <w:webHidden/>
          </w:rPr>
          <w:t>335</w:t>
        </w:r>
        <w:r w:rsidR="008618F2">
          <w:rPr>
            <w:noProof/>
            <w:webHidden/>
          </w:rPr>
          <w:fldChar w:fldCharType="end"/>
        </w:r>
      </w:hyperlink>
    </w:p>
    <w:p w14:paraId="3A85417C" w14:textId="3307D7D7" w:rsidR="008618F2" w:rsidRDefault="009B5CEC">
      <w:pPr>
        <w:pStyle w:val="TOC2"/>
        <w:rPr>
          <w:rFonts w:asciiTheme="minorHAnsi" w:eastAsiaTheme="minorEastAsia" w:hAnsiTheme="minorHAnsi" w:cstheme="minorBidi"/>
          <w:b w:val="0"/>
          <w:noProof/>
          <w:szCs w:val="22"/>
          <w:lang w:eastAsia="en-GB"/>
        </w:rPr>
      </w:pPr>
      <w:hyperlink w:anchor="_Toc134198290" w:history="1">
        <w:r w:rsidR="008618F2" w:rsidRPr="00DC3933">
          <w:rPr>
            <w:rStyle w:val="Hyperlink"/>
            <w:noProof/>
          </w:rPr>
          <w:t>F.2</w:t>
        </w:r>
        <w:r w:rsidR="008618F2">
          <w:rPr>
            <w:rFonts w:asciiTheme="minorHAnsi" w:eastAsiaTheme="minorEastAsia" w:hAnsiTheme="minorHAnsi" w:cstheme="minorBidi"/>
            <w:b w:val="0"/>
            <w:noProof/>
            <w:szCs w:val="22"/>
            <w:lang w:eastAsia="en-GB"/>
          </w:rPr>
          <w:tab/>
        </w:r>
        <w:r w:rsidR="008618F2" w:rsidRPr="00DC3933">
          <w:rPr>
            <w:rStyle w:val="Hyperlink"/>
            <w:noProof/>
          </w:rPr>
          <w:t>General</w:t>
        </w:r>
        <w:r w:rsidR="008618F2">
          <w:rPr>
            <w:noProof/>
            <w:webHidden/>
          </w:rPr>
          <w:tab/>
        </w:r>
        <w:r w:rsidR="008618F2">
          <w:rPr>
            <w:noProof/>
            <w:webHidden/>
          </w:rPr>
          <w:fldChar w:fldCharType="begin"/>
        </w:r>
        <w:r w:rsidR="008618F2">
          <w:rPr>
            <w:noProof/>
            <w:webHidden/>
          </w:rPr>
          <w:instrText xml:space="preserve"> PAGEREF _Toc134198290 \h </w:instrText>
        </w:r>
        <w:r w:rsidR="008618F2">
          <w:rPr>
            <w:noProof/>
            <w:webHidden/>
          </w:rPr>
        </w:r>
        <w:r w:rsidR="008618F2">
          <w:rPr>
            <w:noProof/>
            <w:webHidden/>
          </w:rPr>
          <w:fldChar w:fldCharType="separate"/>
        </w:r>
        <w:r w:rsidR="000720CB">
          <w:rPr>
            <w:noProof/>
            <w:webHidden/>
          </w:rPr>
          <w:t>335</w:t>
        </w:r>
        <w:r w:rsidR="008618F2">
          <w:rPr>
            <w:noProof/>
            <w:webHidden/>
          </w:rPr>
          <w:fldChar w:fldCharType="end"/>
        </w:r>
      </w:hyperlink>
    </w:p>
    <w:p w14:paraId="1C884724" w14:textId="6F7D4BA2" w:rsidR="008618F2" w:rsidRDefault="009B5CEC">
      <w:pPr>
        <w:pStyle w:val="TOC2"/>
        <w:rPr>
          <w:rFonts w:asciiTheme="minorHAnsi" w:eastAsiaTheme="minorEastAsia" w:hAnsiTheme="minorHAnsi" w:cstheme="minorBidi"/>
          <w:b w:val="0"/>
          <w:noProof/>
          <w:szCs w:val="22"/>
          <w:lang w:eastAsia="en-GB"/>
        </w:rPr>
      </w:pPr>
      <w:hyperlink w:anchor="_Toc134198293" w:history="1">
        <w:r w:rsidR="008618F2" w:rsidRPr="00DC3933">
          <w:rPr>
            <w:rStyle w:val="Hyperlink"/>
            <w:noProof/>
          </w:rPr>
          <w:t>F.3</w:t>
        </w:r>
        <w:r w:rsidR="008618F2">
          <w:rPr>
            <w:rFonts w:asciiTheme="minorHAnsi" w:eastAsiaTheme="minorEastAsia" w:hAnsiTheme="minorHAnsi" w:cstheme="minorBidi"/>
            <w:b w:val="0"/>
            <w:noProof/>
            <w:szCs w:val="22"/>
            <w:lang w:eastAsia="en-GB"/>
          </w:rPr>
          <w:tab/>
        </w:r>
        <w:r w:rsidR="008618F2" w:rsidRPr="00DC3933">
          <w:rPr>
            <w:rStyle w:val="Hyperlink"/>
            <w:noProof/>
          </w:rPr>
          <w:t>Strap braced walls</w:t>
        </w:r>
        <w:r w:rsidR="008618F2">
          <w:rPr>
            <w:noProof/>
            <w:webHidden/>
          </w:rPr>
          <w:tab/>
        </w:r>
        <w:r w:rsidR="008618F2">
          <w:rPr>
            <w:noProof/>
            <w:webHidden/>
          </w:rPr>
          <w:fldChar w:fldCharType="begin"/>
        </w:r>
        <w:r w:rsidR="008618F2">
          <w:rPr>
            <w:noProof/>
            <w:webHidden/>
          </w:rPr>
          <w:instrText xml:space="preserve"> PAGEREF _Toc134198293 \h </w:instrText>
        </w:r>
        <w:r w:rsidR="008618F2">
          <w:rPr>
            <w:noProof/>
            <w:webHidden/>
          </w:rPr>
        </w:r>
        <w:r w:rsidR="008618F2">
          <w:rPr>
            <w:noProof/>
            <w:webHidden/>
          </w:rPr>
          <w:fldChar w:fldCharType="separate"/>
        </w:r>
        <w:r w:rsidR="000720CB">
          <w:rPr>
            <w:noProof/>
            <w:webHidden/>
          </w:rPr>
          <w:t>336</w:t>
        </w:r>
        <w:r w:rsidR="008618F2">
          <w:rPr>
            <w:noProof/>
            <w:webHidden/>
          </w:rPr>
          <w:fldChar w:fldCharType="end"/>
        </w:r>
      </w:hyperlink>
    </w:p>
    <w:p w14:paraId="331E03A0" w14:textId="7F2795BA" w:rsidR="008618F2" w:rsidRDefault="009B5CEC">
      <w:pPr>
        <w:pStyle w:val="TOC2"/>
        <w:rPr>
          <w:rFonts w:asciiTheme="minorHAnsi" w:eastAsiaTheme="minorEastAsia" w:hAnsiTheme="minorHAnsi" w:cstheme="minorBidi"/>
          <w:b w:val="0"/>
          <w:noProof/>
          <w:szCs w:val="22"/>
          <w:lang w:eastAsia="en-GB"/>
        </w:rPr>
      </w:pPr>
      <w:hyperlink w:anchor="_Toc134198294" w:history="1">
        <w:r w:rsidR="008618F2" w:rsidRPr="00DC3933">
          <w:rPr>
            <w:rStyle w:val="Hyperlink"/>
            <w:noProof/>
          </w:rPr>
          <w:t>F.4</w:t>
        </w:r>
        <w:r w:rsidR="008618F2">
          <w:rPr>
            <w:rFonts w:asciiTheme="minorHAnsi" w:eastAsiaTheme="minorEastAsia" w:hAnsiTheme="minorHAnsi" w:cstheme="minorBidi"/>
            <w:b w:val="0"/>
            <w:noProof/>
            <w:szCs w:val="22"/>
            <w:lang w:eastAsia="en-GB"/>
          </w:rPr>
          <w:tab/>
        </w:r>
        <w:r w:rsidR="008618F2" w:rsidRPr="00DC3933">
          <w:rPr>
            <w:rStyle w:val="Hyperlink"/>
            <w:noProof/>
          </w:rPr>
          <w:t>Shear walls with steel sheet sheathing</w:t>
        </w:r>
        <w:r w:rsidR="008618F2">
          <w:rPr>
            <w:noProof/>
            <w:webHidden/>
          </w:rPr>
          <w:tab/>
        </w:r>
        <w:r w:rsidR="008618F2">
          <w:rPr>
            <w:noProof/>
            <w:webHidden/>
          </w:rPr>
          <w:fldChar w:fldCharType="begin"/>
        </w:r>
        <w:r w:rsidR="008618F2">
          <w:rPr>
            <w:noProof/>
            <w:webHidden/>
          </w:rPr>
          <w:instrText xml:space="preserve"> PAGEREF _Toc134198294 \h </w:instrText>
        </w:r>
        <w:r w:rsidR="008618F2">
          <w:rPr>
            <w:noProof/>
            <w:webHidden/>
          </w:rPr>
        </w:r>
        <w:r w:rsidR="008618F2">
          <w:rPr>
            <w:noProof/>
            <w:webHidden/>
          </w:rPr>
          <w:fldChar w:fldCharType="separate"/>
        </w:r>
        <w:r w:rsidR="000720CB">
          <w:rPr>
            <w:noProof/>
            <w:webHidden/>
          </w:rPr>
          <w:t>338</w:t>
        </w:r>
        <w:r w:rsidR="008618F2">
          <w:rPr>
            <w:noProof/>
            <w:webHidden/>
          </w:rPr>
          <w:fldChar w:fldCharType="end"/>
        </w:r>
      </w:hyperlink>
    </w:p>
    <w:p w14:paraId="7FF1498E" w14:textId="41D9B8C8" w:rsidR="008618F2" w:rsidRDefault="009B5CEC">
      <w:pPr>
        <w:pStyle w:val="TOC2"/>
        <w:rPr>
          <w:rFonts w:asciiTheme="minorHAnsi" w:eastAsiaTheme="minorEastAsia" w:hAnsiTheme="minorHAnsi" w:cstheme="minorBidi"/>
          <w:b w:val="0"/>
          <w:noProof/>
          <w:szCs w:val="22"/>
          <w:lang w:eastAsia="en-GB"/>
        </w:rPr>
      </w:pPr>
      <w:hyperlink w:anchor="_Toc134198298" w:history="1">
        <w:r w:rsidR="008618F2" w:rsidRPr="00DC3933">
          <w:rPr>
            <w:rStyle w:val="Hyperlink"/>
            <w:noProof/>
          </w:rPr>
          <w:t>F.5</w:t>
        </w:r>
        <w:r w:rsidR="008618F2">
          <w:rPr>
            <w:rFonts w:asciiTheme="minorHAnsi" w:eastAsiaTheme="minorEastAsia" w:hAnsiTheme="minorHAnsi" w:cstheme="minorBidi"/>
            <w:b w:val="0"/>
            <w:noProof/>
            <w:szCs w:val="22"/>
            <w:lang w:eastAsia="en-GB"/>
          </w:rPr>
          <w:tab/>
        </w:r>
        <w:r w:rsidR="008618F2" w:rsidRPr="00DC3933">
          <w:rPr>
            <w:rStyle w:val="Hyperlink"/>
            <w:noProof/>
          </w:rPr>
          <w:t>Shear walls with wood sheathing</w:t>
        </w:r>
        <w:r w:rsidR="008618F2">
          <w:rPr>
            <w:noProof/>
            <w:webHidden/>
          </w:rPr>
          <w:tab/>
        </w:r>
        <w:r w:rsidR="008618F2">
          <w:rPr>
            <w:noProof/>
            <w:webHidden/>
          </w:rPr>
          <w:fldChar w:fldCharType="begin"/>
        </w:r>
        <w:r w:rsidR="008618F2">
          <w:rPr>
            <w:noProof/>
            <w:webHidden/>
          </w:rPr>
          <w:instrText xml:space="preserve"> PAGEREF _Toc134198298 \h </w:instrText>
        </w:r>
        <w:r w:rsidR="008618F2">
          <w:rPr>
            <w:noProof/>
            <w:webHidden/>
          </w:rPr>
        </w:r>
        <w:r w:rsidR="008618F2">
          <w:rPr>
            <w:noProof/>
            <w:webHidden/>
          </w:rPr>
          <w:fldChar w:fldCharType="separate"/>
        </w:r>
        <w:r w:rsidR="000720CB">
          <w:rPr>
            <w:noProof/>
            <w:webHidden/>
          </w:rPr>
          <w:t>342</w:t>
        </w:r>
        <w:r w:rsidR="008618F2">
          <w:rPr>
            <w:noProof/>
            <w:webHidden/>
          </w:rPr>
          <w:fldChar w:fldCharType="end"/>
        </w:r>
      </w:hyperlink>
    </w:p>
    <w:p w14:paraId="47D784E2" w14:textId="0C8148E0" w:rsidR="008618F2" w:rsidRDefault="009B5CEC">
      <w:pPr>
        <w:pStyle w:val="TOC2"/>
        <w:rPr>
          <w:rFonts w:asciiTheme="minorHAnsi" w:eastAsiaTheme="minorEastAsia" w:hAnsiTheme="minorHAnsi" w:cstheme="minorBidi"/>
          <w:b w:val="0"/>
          <w:noProof/>
          <w:szCs w:val="22"/>
          <w:lang w:eastAsia="en-GB"/>
        </w:rPr>
      </w:pPr>
      <w:hyperlink w:anchor="_Toc134198301" w:history="1">
        <w:r w:rsidR="008618F2" w:rsidRPr="00DC3933">
          <w:rPr>
            <w:rStyle w:val="Hyperlink"/>
            <w:noProof/>
          </w:rPr>
          <w:t>F.6</w:t>
        </w:r>
        <w:r w:rsidR="008618F2">
          <w:rPr>
            <w:rFonts w:asciiTheme="minorHAnsi" w:eastAsiaTheme="minorEastAsia" w:hAnsiTheme="minorHAnsi" w:cstheme="minorBidi"/>
            <w:b w:val="0"/>
            <w:noProof/>
            <w:szCs w:val="22"/>
            <w:lang w:eastAsia="en-GB"/>
          </w:rPr>
          <w:tab/>
        </w:r>
        <w:r w:rsidR="008618F2" w:rsidRPr="00DC3933">
          <w:rPr>
            <w:rStyle w:val="Hyperlink"/>
            <w:noProof/>
          </w:rPr>
          <w:t>Shear walls with gypsum sheathing</w:t>
        </w:r>
        <w:r w:rsidR="008618F2">
          <w:rPr>
            <w:noProof/>
            <w:webHidden/>
          </w:rPr>
          <w:tab/>
        </w:r>
        <w:r w:rsidR="008618F2">
          <w:rPr>
            <w:noProof/>
            <w:webHidden/>
          </w:rPr>
          <w:fldChar w:fldCharType="begin"/>
        </w:r>
        <w:r w:rsidR="008618F2">
          <w:rPr>
            <w:noProof/>
            <w:webHidden/>
          </w:rPr>
          <w:instrText xml:space="preserve"> PAGEREF _Toc134198301 \h </w:instrText>
        </w:r>
        <w:r w:rsidR="008618F2">
          <w:rPr>
            <w:noProof/>
            <w:webHidden/>
          </w:rPr>
        </w:r>
        <w:r w:rsidR="008618F2">
          <w:rPr>
            <w:noProof/>
            <w:webHidden/>
          </w:rPr>
          <w:fldChar w:fldCharType="separate"/>
        </w:r>
        <w:r w:rsidR="000720CB">
          <w:rPr>
            <w:noProof/>
            <w:webHidden/>
          </w:rPr>
          <w:t>344</w:t>
        </w:r>
        <w:r w:rsidR="008618F2">
          <w:rPr>
            <w:noProof/>
            <w:webHidden/>
          </w:rPr>
          <w:fldChar w:fldCharType="end"/>
        </w:r>
      </w:hyperlink>
    </w:p>
    <w:p w14:paraId="684FE771" w14:textId="53CF239A" w:rsidR="008618F2" w:rsidRDefault="009B5CEC" w:rsidP="008618F2">
      <w:pPr>
        <w:pStyle w:val="TOC1"/>
        <w:spacing w:before="100"/>
        <w:jc w:val="left"/>
        <w:rPr>
          <w:rFonts w:asciiTheme="minorHAnsi" w:eastAsiaTheme="minorEastAsia" w:hAnsiTheme="minorHAnsi" w:cstheme="minorBidi"/>
          <w:b w:val="0"/>
          <w:noProof/>
          <w:szCs w:val="22"/>
          <w:lang w:eastAsia="en-GB"/>
        </w:rPr>
      </w:pPr>
      <w:hyperlink w:anchor="_Toc134198304" w:history="1">
        <w:r w:rsidR="008618F2" w:rsidRPr="00DC3933">
          <w:rPr>
            <w:rStyle w:val="Hyperlink"/>
            <w:noProof/>
            <w:lang w:eastAsia="en-US"/>
          </w:rPr>
          <w:t>Annex G</w:t>
        </w:r>
        <w:r w:rsidR="008618F2" w:rsidRPr="00DC3933">
          <w:rPr>
            <w:rStyle w:val="Hyperlink"/>
            <w:bCs/>
            <w:noProof/>
          </w:rPr>
          <w:t xml:space="preserve"> (normative)</w:t>
        </w:r>
        <w:r w:rsidR="008618F2" w:rsidRPr="00DC3933">
          <w:rPr>
            <w:rStyle w:val="Hyperlink"/>
            <w:noProof/>
          </w:rPr>
          <w:t xml:space="preserve">  Design of connections of concrete or composite columns for dissipative composite steel-concrete moment resisting frames</w:t>
        </w:r>
        <w:r w:rsidR="008618F2">
          <w:rPr>
            <w:noProof/>
            <w:webHidden/>
          </w:rPr>
          <w:tab/>
        </w:r>
        <w:r w:rsidR="008618F2">
          <w:rPr>
            <w:noProof/>
            <w:webHidden/>
          </w:rPr>
          <w:fldChar w:fldCharType="begin"/>
        </w:r>
        <w:r w:rsidR="008618F2">
          <w:rPr>
            <w:noProof/>
            <w:webHidden/>
          </w:rPr>
          <w:instrText xml:space="preserve"> PAGEREF _Toc134198304 \h </w:instrText>
        </w:r>
        <w:r w:rsidR="008618F2">
          <w:rPr>
            <w:noProof/>
            <w:webHidden/>
          </w:rPr>
        </w:r>
        <w:r w:rsidR="008618F2">
          <w:rPr>
            <w:noProof/>
            <w:webHidden/>
          </w:rPr>
          <w:fldChar w:fldCharType="separate"/>
        </w:r>
        <w:r w:rsidR="000720CB">
          <w:rPr>
            <w:noProof/>
            <w:webHidden/>
          </w:rPr>
          <w:t>346</w:t>
        </w:r>
        <w:r w:rsidR="008618F2">
          <w:rPr>
            <w:noProof/>
            <w:webHidden/>
          </w:rPr>
          <w:fldChar w:fldCharType="end"/>
        </w:r>
      </w:hyperlink>
    </w:p>
    <w:p w14:paraId="5C6EDA8D" w14:textId="2352AB08" w:rsidR="008618F2" w:rsidRDefault="009B5CEC" w:rsidP="008618F2">
      <w:pPr>
        <w:pStyle w:val="TOC2"/>
        <w:jc w:val="left"/>
        <w:rPr>
          <w:rFonts w:asciiTheme="minorHAnsi" w:eastAsiaTheme="minorEastAsia" w:hAnsiTheme="minorHAnsi" w:cstheme="minorBidi"/>
          <w:b w:val="0"/>
          <w:noProof/>
          <w:szCs w:val="22"/>
          <w:lang w:eastAsia="en-GB"/>
        </w:rPr>
      </w:pPr>
      <w:hyperlink w:anchor="_Toc134198305" w:history="1">
        <w:r w:rsidR="008618F2" w:rsidRPr="00DC3933">
          <w:rPr>
            <w:rStyle w:val="Hyperlink"/>
            <w:noProof/>
          </w:rPr>
          <w:t>G.1</w:t>
        </w:r>
        <w:r w:rsidR="008618F2">
          <w:rPr>
            <w:rFonts w:asciiTheme="minorHAnsi" w:eastAsiaTheme="minorEastAsia" w:hAnsiTheme="minorHAnsi" w:cstheme="minorBidi"/>
            <w:b w:val="0"/>
            <w:noProof/>
            <w:szCs w:val="22"/>
            <w:lang w:eastAsia="en-GB"/>
          </w:rPr>
          <w:tab/>
        </w:r>
        <w:r w:rsidR="008618F2" w:rsidRPr="00DC3933">
          <w:rPr>
            <w:rStyle w:val="Hyperlink"/>
            <w:noProof/>
          </w:rPr>
          <w:t>Use of this normative annex</w:t>
        </w:r>
        <w:r w:rsidR="008618F2">
          <w:rPr>
            <w:noProof/>
            <w:webHidden/>
          </w:rPr>
          <w:tab/>
        </w:r>
        <w:r w:rsidR="008618F2">
          <w:rPr>
            <w:noProof/>
            <w:webHidden/>
          </w:rPr>
          <w:fldChar w:fldCharType="begin"/>
        </w:r>
        <w:r w:rsidR="008618F2">
          <w:rPr>
            <w:noProof/>
            <w:webHidden/>
          </w:rPr>
          <w:instrText xml:space="preserve"> PAGEREF _Toc134198305 \h </w:instrText>
        </w:r>
        <w:r w:rsidR="008618F2">
          <w:rPr>
            <w:noProof/>
            <w:webHidden/>
          </w:rPr>
        </w:r>
        <w:r w:rsidR="008618F2">
          <w:rPr>
            <w:noProof/>
            <w:webHidden/>
          </w:rPr>
          <w:fldChar w:fldCharType="separate"/>
        </w:r>
        <w:r w:rsidR="000720CB">
          <w:rPr>
            <w:noProof/>
            <w:webHidden/>
          </w:rPr>
          <w:t>346</w:t>
        </w:r>
        <w:r w:rsidR="008618F2">
          <w:rPr>
            <w:noProof/>
            <w:webHidden/>
          </w:rPr>
          <w:fldChar w:fldCharType="end"/>
        </w:r>
      </w:hyperlink>
    </w:p>
    <w:p w14:paraId="23C340C5" w14:textId="59E62197" w:rsidR="008618F2" w:rsidRDefault="009B5CEC" w:rsidP="008618F2">
      <w:pPr>
        <w:pStyle w:val="TOC2"/>
        <w:jc w:val="left"/>
        <w:rPr>
          <w:rFonts w:asciiTheme="minorHAnsi" w:eastAsiaTheme="minorEastAsia" w:hAnsiTheme="minorHAnsi" w:cstheme="minorBidi"/>
          <w:b w:val="0"/>
          <w:noProof/>
          <w:szCs w:val="22"/>
          <w:lang w:eastAsia="en-GB"/>
        </w:rPr>
      </w:pPr>
      <w:hyperlink w:anchor="_Toc134198306" w:history="1">
        <w:r w:rsidR="008618F2" w:rsidRPr="00DC3933">
          <w:rPr>
            <w:rStyle w:val="Hyperlink"/>
            <w:noProof/>
          </w:rPr>
          <w:t>G.2</w:t>
        </w:r>
        <w:r w:rsidR="008618F2">
          <w:rPr>
            <w:rFonts w:asciiTheme="minorHAnsi" w:eastAsiaTheme="minorEastAsia" w:hAnsiTheme="minorHAnsi" w:cstheme="minorBidi"/>
            <w:b w:val="0"/>
            <w:noProof/>
            <w:szCs w:val="22"/>
            <w:lang w:eastAsia="en-GB"/>
          </w:rPr>
          <w:tab/>
        </w:r>
        <w:r w:rsidR="008618F2" w:rsidRPr="00DC3933">
          <w:rPr>
            <w:rStyle w:val="Hyperlink"/>
            <w:noProof/>
          </w:rPr>
          <w:t>Scope and field of application</w:t>
        </w:r>
        <w:r w:rsidR="008618F2">
          <w:rPr>
            <w:noProof/>
            <w:webHidden/>
          </w:rPr>
          <w:tab/>
        </w:r>
        <w:r w:rsidR="008618F2">
          <w:rPr>
            <w:noProof/>
            <w:webHidden/>
          </w:rPr>
          <w:fldChar w:fldCharType="begin"/>
        </w:r>
        <w:r w:rsidR="008618F2">
          <w:rPr>
            <w:noProof/>
            <w:webHidden/>
          </w:rPr>
          <w:instrText xml:space="preserve"> PAGEREF _Toc134198306 \h </w:instrText>
        </w:r>
        <w:r w:rsidR="008618F2">
          <w:rPr>
            <w:noProof/>
            <w:webHidden/>
          </w:rPr>
        </w:r>
        <w:r w:rsidR="008618F2">
          <w:rPr>
            <w:noProof/>
            <w:webHidden/>
          </w:rPr>
          <w:fldChar w:fldCharType="separate"/>
        </w:r>
        <w:r w:rsidR="000720CB">
          <w:rPr>
            <w:noProof/>
            <w:webHidden/>
          </w:rPr>
          <w:t>346</w:t>
        </w:r>
        <w:r w:rsidR="008618F2">
          <w:rPr>
            <w:noProof/>
            <w:webHidden/>
          </w:rPr>
          <w:fldChar w:fldCharType="end"/>
        </w:r>
      </w:hyperlink>
    </w:p>
    <w:p w14:paraId="14988E7A" w14:textId="56F450AC" w:rsidR="008618F2" w:rsidRDefault="009B5CEC" w:rsidP="008618F2">
      <w:pPr>
        <w:pStyle w:val="TOC2"/>
        <w:jc w:val="left"/>
        <w:rPr>
          <w:rFonts w:asciiTheme="minorHAnsi" w:eastAsiaTheme="minorEastAsia" w:hAnsiTheme="minorHAnsi" w:cstheme="minorBidi"/>
          <w:b w:val="0"/>
          <w:noProof/>
          <w:szCs w:val="22"/>
          <w:lang w:eastAsia="en-GB"/>
        </w:rPr>
      </w:pPr>
      <w:hyperlink w:anchor="_Toc134198307" w:history="1">
        <w:r w:rsidR="008618F2" w:rsidRPr="00DC3933">
          <w:rPr>
            <w:rStyle w:val="Hyperlink"/>
            <w:noProof/>
          </w:rPr>
          <w:t>G.3</w:t>
        </w:r>
        <w:r w:rsidR="008618F2">
          <w:rPr>
            <w:rFonts w:asciiTheme="minorHAnsi" w:eastAsiaTheme="minorEastAsia" w:hAnsiTheme="minorHAnsi" w:cstheme="minorBidi"/>
            <w:b w:val="0"/>
            <w:noProof/>
            <w:szCs w:val="22"/>
            <w:lang w:eastAsia="en-GB"/>
          </w:rPr>
          <w:tab/>
        </w:r>
        <w:r w:rsidR="008618F2" w:rsidRPr="00DC3933">
          <w:rPr>
            <w:rStyle w:val="Hyperlink"/>
            <w:noProof/>
          </w:rPr>
          <w:t>Materials</w:t>
        </w:r>
        <w:r w:rsidR="008618F2">
          <w:rPr>
            <w:noProof/>
            <w:webHidden/>
          </w:rPr>
          <w:tab/>
        </w:r>
        <w:r w:rsidR="008618F2">
          <w:rPr>
            <w:noProof/>
            <w:webHidden/>
          </w:rPr>
          <w:fldChar w:fldCharType="begin"/>
        </w:r>
        <w:r w:rsidR="008618F2">
          <w:rPr>
            <w:noProof/>
            <w:webHidden/>
          </w:rPr>
          <w:instrText xml:space="preserve"> PAGEREF _Toc134198307 \h </w:instrText>
        </w:r>
        <w:r w:rsidR="008618F2">
          <w:rPr>
            <w:noProof/>
            <w:webHidden/>
          </w:rPr>
        </w:r>
        <w:r w:rsidR="008618F2">
          <w:rPr>
            <w:noProof/>
            <w:webHidden/>
          </w:rPr>
          <w:fldChar w:fldCharType="separate"/>
        </w:r>
        <w:r w:rsidR="000720CB">
          <w:rPr>
            <w:noProof/>
            <w:webHidden/>
          </w:rPr>
          <w:t>346</w:t>
        </w:r>
        <w:r w:rsidR="008618F2">
          <w:rPr>
            <w:noProof/>
            <w:webHidden/>
          </w:rPr>
          <w:fldChar w:fldCharType="end"/>
        </w:r>
      </w:hyperlink>
    </w:p>
    <w:p w14:paraId="3B9E87AE" w14:textId="07937F89" w:rsidR="008618F2" w:rsidRDefault="009B5CEC" w:rsidP="008618F2">
      <w:pPr>
        <w:pStyle w:val="TOC2"/>
        <w:jc w:val="left"/>
        <w:rPr>
          <w:rFonts w:asciiTheme="minorHAnsi" w:eastAsiaTheme="minorEastAsia" w:hAnsiTheme="minorHAnsi" w:cstheme="minorBidi"/>
          <w:b w:val="0"/>
          <w:noProof/>
          <w:szCs w:val="22"/>
          <w:lang w:eastAsia="en-GB"/>
        </w:rPr>
      </w:pPr>
      <w:hyperlink w:anchor="_Toc134198308" w:history="1">
        <w:r w:rsidR="008618F2" w:rsidRPr="00DC3933">
          <w:rPr>
            <w:rStyle w:val="Hyperlink"/>
            <w:noProof/>
          </w:rPr>
          <w:t>G.4</w:t>
        </w:r>
        <w:r w:rsidR="008618F2">
          <w:rPr>
            <w:rFonts w:asciiTheme="minorHAnsi" w:eastAsiaTheme="minorEastAsia" w:hAnsiTheme="minorHAnsi" w:cstheme="minorBidi"/>
            <w:b w:val="0"/>
            <w:noProof/>
            <w:szCs w:val="22"/>
            <w:lang w:eastAsia="en-GB"/>
          </w:rPr>
          <w:tab/>
        </w:r>
        <w:r w:rsidR="008618F2" w:rsidRPr="00DC3933">
          <w:rPr>
            <w:rStyle w:val="Hyperlink"/>
            <w:noProof/>
          </w:rPr>
          <w:t>Design provisions</w:t>
        </w:r>
        <w:r w:rsidR="008618F2">
          <w:rPr>
            <w:noProof/>
            <w:webHidden/>
          </w:rPr>
          <w:tab/>
        </w:r>
        <w:r w:rsidR="008618F2">
          <w:rPr>
            <w:noProof/>
            <w:webHidden/>
          </w:rPr>
          <w:fldChar w:fldCharType="begin"/>
        </w:r>
        <w:r w:rsidR="008618F2">
          <w:rPr>
            <w:noProof/>
            <w:webHidden/>
          </w:rPr>
          <w:instrText xml:space="preserve"> PAGEREF _Toc134198308 \h </w:instrText>
        </w:r>
        <w:r w:rsidR="008618F2">
          <w:rPr>
            <w:noProof/>
            <w:webHidden/>
          </w:rPr>
        </w:r>
        <w:r w:rsidR="008618F2">
          <w:rPr>
            <w:noProof/>
            <w:webHidden/>
          </w:rPr>
          <w:fldChar w:fldCharType="separate"/>
        </w:r>
        <w:r w:rsidR="000720CB">
          <w:rPr>
            <w:noProof/>
            <w:webHidden/>
          </w:rPr>
          <w:t>346</w:t>
        </w:r>
        <w:r w:rsidR="008618F2">
          <w:rPr>
            <w:noProof/>
            <w:webHidden/>
          </w:rPr>
          <w:fldChar w:fldCharType="end"/>
        </w:r>
      </w:hyperlink>
    </w:p>
    <w:p w14:paraId="4BC8023D" w14:textId="7FA44FB9" w:rsidR="008618F2" w:rsidRDefault="009B5CEC" w:rsidP="008618F2">
      <w:pPr>
        <w:pStyle w:val="TOC2"/>
        <w:jc w:val="left"/>
        <w:rPr>
          <w:rFonts w:asciiTheme="minorHAnsi" w:eastAsiaTheme="minorEastAsia" w:hAnsiTheme="minorHAnsi" w:cstheme="minorBidi"/>
          <w:b w:val="0"/>
          <w:noProof/>
          <w:szCs w:val="22"/>
          <w:lang w:eastAsia="en-GB"/>
        </w:rPr>
      </w:pPr>
      <w:hyperlink w:anchor="_Toc134198309" w:history="1">
        <w:r w:rsidR="008618F2" w:rsidRPr="00DC3933">
          <w:rPr>
            <w:rStyle w:val="Hyperlink"/>
            <w:noProof/>
          </w:rPr>
          <w:t>G.5</w:t>
        </w:r>
        <w:r w:rsidR="008618F2">
          <w:rPr>
            <w:rFonts w:asciiTheme="minorHAnsi" w:eastAsiaTheme="minorEastAsia" w:hAnsiTheme="minorHAnsi" w:cstheme="minorBidi"/>
            <w:b w:val="0"/>
            <w:noProof/>
            <w:szCs w:val="22"/>
            <w:lang w:eastAsia="en-GB"/>
          </w:rPr>
          <w:tab/>
        </w:r>
        <w:r w:rsidR="008618F2" w:rsidRPr="00DC3933">
          <w:rPr>
            <w:rStyle w:val="Hyperlink"/>
            <w:noProof/>
          </w:rPr>
          <w:t>Joints between steel beams and reinforced concrete or composite columns</w:t>
        </w:r>
        <w:r w:rsidR="008618F2">
          <w:rPr>
            <w:noProof/>
            <w:webHidden/>
          </w:rPr>
          <w:tab/>
        </w:r>
        <w:r w:rsidR="008618F2">
          <w:rPr>
            <w:noProof/>
            <w:webHidden/>
          </w:rPr>
          <w:fldChar w:fldCharType="begin"/>
        </w:r>
        <w:r w:rsidR="008618F2">
          <w:rPr>
            <w:noProof/>
            <w:webHidden/>
          </w:rPr>
          <w:instrText xml:space="preserve"> PAGEREF _Toc134198309 \h </w:instrText>
        </w:r>
        <w:r w:rsidR="008618F2">
          <w:rPr>
            <w:noProof/>
            <w:webHidden/>
          </w:rPr>
        </w:r>
        <w:r w:rsidR="008618F2">
          <w:rPr>
            <w:noProof/>
            <w:webHidden/>
          </w:rPr>
          <w:fldChar w:fldCharType="separate"/>
        </w:r>
        <w:r w:rsidR="000720CB">
          <w:rPr>
            <w:noProof/>
            <w:webHidden/>
          </w:rPr>
          <w:t>346</w:t>
        </w:r>
        <w:r w:rsidR="008618F2">
          <w:rPr>
            <w:noProof/>
            <w:webHidden/>
          </w:rPr>
          <w:fldChar w:fldCharType="end"/>
        </w:r>
      </w:hyperlink>
    </w:p>
    <w:p w14:paraId="1D6CE5FD" w14:textId="7DC971D5" w:rsidR="008618F2" w:rsidRDefault="009B5CEC" w:rsidP="008618F2">
      <w:pPr>
        <w:pStyle w:val="TOC2"/>
        <w:jc w:val="left"/>
        <w:rPr>
          <w:rFonts w:asciiTheme="minorHAnsi" w:eastAsiaTheme="minorEastAsia" w:hAnsiTheme="minorHAnsi" w:cstheme="minorBidi"/>
          <w:b w:val="0"/>
          <w:noProof/>
          <w:szCs w:val="22"/>
          <w:lang w:eastAsia="en-GB"/>
        </w:rPr>
      </w:pPr>
      <w:hyperlink w:anchor="_Toc134198321" w:history="1">
        <w:r w:rsidR="008618F2" w:rsidRPr="00DC3933">
          <w:rPr>
            <w:rStyle w:val="Hyperlink"/>
            <w:noProof/>
          </w:rPr>
          <w:t>G.6</w:t>
        </w:r>
        <w:r w:rsidR="008618F2">
          <w:rPr>
            <w:rFonts w:asciiTheme="minorHAnsi" w:eastAsiaTheme="minorEastAsia" w:hAnsiTheme="minorHAnsi" w:cstheme="minorBidi"/>
            <w:b w:val="0"/>
            <w:noProof/>
            <w:szCs w:val="22"/>
            <w:lang w:eastAsia="en-GB"/>
          </w:rPr>
          <w:tab/>
        </w:r>
        <w:r w:rsidR="008618F2" w:rsidRPr="00DC3933">
          <w:rPr>
            <w:rStyle w:val="Hyperlink"/>
            <w:noProof/>
          </w:rPr>
          <w:t>Composite joints using diaphragm plates</w:t>
        </w:r>
        <w:r w:rsidR="008618F2">
          <w:rPr>
            <w:noProof/>
            <w:webHidden/>
          </w:rPr>
          <w:tab/>
        </w:r>
        <w:r w:rsidR="008618F2">
          <w:rPr>
            <w:noProof/>
            <w:webHidden/>
          </w:rPr>
          <w:fldChar w:fldCharType="begin"/>
        </w:r>
        <w:r w:rsidR="008618F2">
          <w:rPr>
            <w:noProof/>
            <w:webHidden/>
          </w:rPr>
          <w:instrText xml:space="preserve"> PAGEREF _Toc134198321 \h </w:instrText>
        </w:r>
        <w:r w:rsidR="008618F2">
          <w:rPr>
            <w:noProof/>
            <w:webHidden/>
          </w:rPr>
        </w:r>
        <w:r w:rsidR="008618F2">
          <w:rPr>
            <w:noProof/>
            <w:webHidden/>
          </w:rPr>
          <w:fldChar w:fldCharType="separate"/>
        </w:r>
        <w:r w:rsidR="000720CB">
          <w:rPr>
            <w:noProof/>
            <w:webHidden/>
          </w:rPr>
          <w:t>355</w:t>
        </w:r>
        <w:r w:rsidR="008618F2">
          <w:rPr>
            <w:noProof/>
            <w:webHidden/>
          </w:rPr>
          <w:fldChar w:fldCharType="end"/>
        </w:r>
      </w:hyperlink>
    </w:p>
    <w:p w14:paraId="43D5C7B8" w14:textId="71041141" w:rsidR="008618F2" w:rsidRDefault="009B5CEC" w:rsidP="008618F2">
      <w:pPr>
        <w:pStyle w:val="TOC2"/>
        <w:jc w:val="left"/>
        <w:rPr>
          <w:rFonts w:asciiTheme="minorHAnsi" w:eastAsiaTheme="minorEastAsia" w:hAnsiTheme="minorHAnsi" w:cstheme="minorBidi"/>
          <w:b w:val="0"/>
          <w:noProof/>
          <w:szCs w:val="22"/>
          <w:lang w:eastAsia="en-GB"/>
        </w:rPr>
      </w:pPr>
      <w:hyperlink w:anchor="_Toc134198327" w:history="1">
        <w:r w:rsidR="008618F2" w:rsidRPr="00DC3933">
          <w:rPr>
            <w:rStyle w:val="Hyperlink"/>
            <w:noProof/>
          </w:rPr>
          <w:t>G.7</w:t>
        </w:r>
        <w:r w:rsidR="008618F2">
          <w:rPr>
            <w:rFonts w:asciiTheme="minorHAnsi" w:eastAsiaTheme="minorEastAsia" w:hAnsiTheme="minorHAnsi" w:cstheme="minorBidi"/>
            <w:b w:val="0"/>
            <w:noProof/>
            <w:szCs w:val="22"/>
            <w:lang w:eastAsia="en-GB"/>
          </w:rPr>
          <w:tab/>
        </w:r>
        <w:r w:rsidR="008618F2" w:rsidRPr="00DC3933">
          <w:rPr>
            <w:rStyle w:val="Hyperlink"/>
            <w:noProof/>
          </w:rPr>
          <w:t>Full-strength composite joints with double-split tee connections in concrete filled tube columns</w:t>
        </w:r>
        <w:r w:rsidR="008618F2">
          <w:rPr>
            <w:noProof/>
            <w:webHidden/>
          </w:rPr>
          <w:tab/>
        </w:r>
        <w:r w:rsidR="008618F2">
          <w:rPr>
            <w:noProof/>
            <w:webHidden/>
          </w:rPr>
          <w:fldChar w:fldCharType="begin"/>
        </w:r>
        <w:r w:rsidR="008618F2">
          <w:rPr>
            <w:noProof/>
            <w:webHidden/>
          </w:rPr>
          <w:instrText xml:space="preserve"> PAGEREF _Toc134198327 \h </w:instrText>
        </w:r>
        <w:r w:rsidR="008618F2">
          <w:rPr>
            <w:noProof/>
            <w:webHidden/>
          </w:rPr>
        </w:r>
        <w:r w:rsidR="008618F2">
          <w:rPr>
            <w:noProof/>
            <w:webHidden/>
          </w:rPr>
          <w:fldChar w:fldCharType="separate"/>
        </w:r>
        <w:r w:rsidR="000720CB">
          <w:rPr>
            <w:noProof/>
            <w:webHidden/>
          </w:rPr>
          <w:t>358</w:t>
        </w:r>
        <w:r w:rsidR="008618F2">
          <w:rPr>
            <w:noProof/>
            <w:webHidden/>
          </w:rPr>
          <w:fldChar w:fldCharType="end"/>
        </w:r>
      </w:hyperlink>
    </w:p>
    <w:p w14:paraId="01B0224F" w14:textId="3BBFE254" w:rsidR="008618F2" w:rsidRDefault="009B5CEC" w:rsidP="008618F2">
      <w:pPr>
        <w:pStyle w:val="TOC1"/>
        <w:spacing w:before="100"/>
        <w:jc w:val="left"/>
        <w:rPr>
          <w:rFonts w:asciiTheme="minorHAnsi" w:eastAsiaTheme="minorEastAsia" w:hAnsiTheme="minorHAnsi" w:cstheme="minorBidi"/>
          <w:b w:val="0"/>
          <w:noProof/>
          <w:szCs w:val="22"/>
          <w:lang w:eastAsia="en-GB"/>
        </w:rPr>
      </w:pPr>
      <w:hyperlink w:anchor="_Toc134198336" w:history="1">
        <w:r w:rsidR="008618F2" w:rsidRPr="00DC3933">
          <w:rPr>
            <w:rStyle w:val="Hyperlink"/>
            <w:noProof/>
            <w:lang w:eastAsia="en-US"/>
          </w:rPr>
          <w:t>Annex H</w:t>
        </w:r>
        <w:r w:rsidR="008618F2" w:rsidRPr="00DC3933">
          <w:rPr>
            <w:rStyle w:val="Hyperlink"/>
            <w:bCs/>
            <w:noProof/>
          </w:rPr>
          <w:t xml:space="preserve"> (informative)</w:t>
        </w:r>
        <w:r w:rsidR="008618F2" w:rsidRPr="00DC3933">
          <w:rPr>
            <w:rStyle w:val="Hyperlink"/>
            <w:noProof/>
          </w:rPr>
          <w:t xml:space="preserve">  Seismic design of exposed and embedded steel and composite column base connections</w:t>
        </w:r>
        <w:r w:rsidR="008618F2">
          <w:rPr>
            <w:noProof/>
            <w:webHidden/>
          </w:rPr>
          <w:tab/>
        </w:r>
        <w:r w:rsidR="008618F2">
          <w:rPr>
            <w:noProof/>
            <w:webHidden/>
          </w:rPr>
          <w:fldChar w:fldCharType="begin"/>
        </w:r>
        <w:r w:rsidR="008618F2">
          <w:rPr>
            <w:noProof/>
            <w:webHidden/>
          </w:rPr>
          <w:instrText xml:space="preserve"> PAGEREF _Toc134198336 \h </w:instrText>
        </w:r>
        <w:r w:rsidR="008618F2">
          <w:rPr>
            <w:noProof/>
            <w:webHidden/>
          </w:rPr>
        </w:r>
        <w:r w:rsidR="008618F2">
          <w:rPr>
            <w:noProof/>
            <w:webHidden/>
          </w:rPr>
          <w:fldChar w:fldCharType="separate"/>
        </w:r>
        <w:r w:rsidR="000720CB">
          <w:rPr>
            <w:noProof/>
            <w:webHidden/>
          </w:rPr>
          <w:t>362</w:t>
        </w:r>
        <w:r w:rsidR="008618F2">
          <w:rPr>
            <w:noProof/>
            <w:webHidden/>
          </w:rPr>
          <w:fldChar w:fldCharType="end"/>
        </w:r>
      </w:hyperlink>
    </w:p>
    <w:p w14:paraId="5D20E7D8" w14:textId="6C01B0A6" w:rsidR="008618F2" w:rsidRDefault="009B5CEC" w:rsidP="008618F2">
      <w:pPr>
        <w:pStyle w:val="TOC2"/>
        <w:jc w:val="left"/>
        <w:rPr>
          <w:rFonts w:asciiTheme="minorHAnsi" w:eastAsiaTheme="minorEastAsia" w:hAnsiTheme="minorHAnsi" w:cstheme="minorBidi"/>
          <w:b w:val="0"/>
          <w:noProof/>
          <w:szCs w:val="22"/>
          <w:lang w:eastAsia="en-GB"/>
        </w:rPr>
      </w:pPr>
      <w:hyperlink w:anchor="_Toc134198337" w:history="1">
        <w:r w:rsidR="008618F2" w:rsidRPr="00DC3933">
          <w:rPr>
            <w:rStyle w:val="Hyperlink"/>
            <w:noProof/>
          </w:rPr>
          <w:t>H.1</w:t>
        </w:r>
        <w:r w:rsidR="008618F2">
          <w:rPr>
            <w:rFonts w:asciiTheme="minorHAnsi" w:eastAsiaTheme="minorEastAsia" w:hAnsiTheme="minorHAnsi" w:cstheme="minorBidi"/>
            <w:b w:val="0"/>
            <w:noProof/>
            <w:szCs w:val="22"/>
            <w:lang w:eastAsia="en-GB"/>
          </w:rPr>
          <w:tab/>
        </w:r>
        <w:r w:rsidR="008618F2" w:rsidRPr="00DC3933">
          <w:rPr>
            <w:rStyle w:val="Hyperlink"/>
            <w:noProof/>
          </w:rPr>
          <w:t>Use of this annex</w:t>
        </w:r>
        <w:r w:rsidR="008618F2">
          <w:rPr>
            <w:noProof/>
            <w:webHidden/>
          </w:rPr>
          <w:tab/>
        </w:r>
        <w:r w:rsidR="008618F2">
          <w:rPr>
            <w:noProof/>
            <w:webHidden/>
          </w:rPr>
          <w:fldChar w:fldCharType="begin"/>
        </w:r>
        <w:r w:rsidR="008618F2">
          <w:rPr>
            <w:noProof/>
            <w:webHidden/>
          </w:rPr>
          <w:instrText xml:space="preserve"> PAGEREF _Toc134198337 \h </w:instrText>
        </w:r>
        <w:r w:rsidR="008618F2">
          <w:rPr>
            <w:noProof/>
            <w:webHidden/>
          </w:rPr>
        </w:r>
        <w:r w:rsidR="008618F2">
          <w:rPr>
            <w:noProof/>
            <w:webHidden/>
          </w:rPr>
          <w:fldChar w:fldCharType="separate"/>
        </w:r>
        <w:r w:rsidR="000720CB">
          <w:rPr>
            <w:noProof/>
            <w:webHidden/>
          </w:rPr>
          <w:t>362</w:t>
        </w:r>
        <w:r w:rsidR="008618F2">
          <w:rPr>
            <w:noProof/>
            <w:webHidden/>
          </w:rPr>
          <w:fldChar w:fldCharType="end"/>
        </w:r>
      </w:hyperlink>
    </w:p>
    <w:p w14:paraId="526B3DAF" w14:textId="730CC0E8" w:rsidR="008618F2" w:rsidRDefault="009B5CEC" w:rsidP="008618F2">
      <w:pPr>
        <w:pStyle w:val="TOC2"/>
        <w:jc w:val="left"/>
        <w:rPr>
          <w:rFonts w:asciiTheme="minorHAnsi" w:eastAsiaTheme="minorEastAsia" w:hAnsiTheme="minorHAnsi" w:cstheme="minorBidi"/>
          <w:b w:val="0"/>
          <w:noProof/>
          <w:szCs w:val="22"/>
          <w:lang w:eastAsia="en-GB"/>
        </w:rPr>
      </w:pPr>
      <w:hyperlink w:anchor="_Toc134198338" w:history="1">
        <w:r w:rsidR="008618F2" w:rsidRPr="00DC3933">
          <w:rPr>
            <w:rStyle w:val="Hyperlink"/>
            <w:noProof/>
          </w:rPr>
          <w:t>H.2</w:t>
        </w:r>
        <w:r w:rsidR="008618F2">
          <w:rPr>
            <w:rFonts w:asciiTheme="minorHAnsi" w:eastAsiaTheme="minorEastAsia" w:hAnsiTheme="minorHAnsi" w:cstheme="minorBidi"/>
            <w:b w:val="0"/>
            <w:noProof/>
            <w:szCs w:val="22"/>
            <w:lang w:eastAsia="en-GB"/>
          </w:rPr>
          <w:tab/>
        </w:r>
        <w:r w:rsidR="008618F2" w:rsidRPr="00DC3933">
          <w:rPr>
            <w:rStyle w:val="Hyperlink"/>
            <w:noProof/>
          </w:rPr>
          <w:t>Scope and field of application</w:t>
        </w:r>
        <w:r w:rsidR="008618F2">
          <w:rPr>
            <w:noProof/>
            <w:webHidden/>
          </w:rPr>
          <w:tab/>
        </w:r>
        <w:r w:rsidR="008618F2">
          <w:rPr>
            <w:noProof/>
            <w:webHidden/>
          </w:rPr>
          <w:fldChar w:fldCharType="begin"/>
        </w:r>
        <w:r w:rsidR="008618F2">
          <w:rPr>
            <w:noProof/>
            <w:webHidden/>
          </w:rPr>
          <w:instrText xml:space="preserve"> PAGEREF _Toc134198338 \h </w:instrText>
        </w:r>
        <w:r w:rsidR="008618F2">
          <w:rPr>
            <w:noProof/>
            <w:webHidden/>
          </w:rPr>
        </w:r>
        <w:r w:rsidR="008618F2">
          <w:rPr>
            <w:noProof/>
            <w:webHidden/>
          </w:rPr>
          <w:fldChar w:fldCharType="separate"/>
        </w:r>
        <w:r w:rsidR="000720CB">
          <w:rPr>
            <w:noProof/>
            <w:webHidden/>
          </w:rPr>
          <w:t>362</w:t>
        </w:r>
        <w:r w:rsidR="008618F2">
          <w:rPr>
            <w:noProof/>
            <w:webHidden/>
          </w:rPr>
          <w:fldChar w:fldCharType="end"/>
        </w:r>
      </w:hyperlink>
    </w:p>
    <w:p w14:paraId="772A48D9" w14:textId="0D692802" w:rsidR="008618F2" w:rsidRDefault="009B5CEC" w:rsidP="008618F2">
      <w:pPr>
        <w:pStyle w:val="TOC2"/>
        <w:jc w:val="left"/>
        <w:rPr>
          <w:rFonts w:asciiTheme="minorHAnsi" w:eastAsiaTheme="minorEastAsia" w:hAnsiTheme="minorHAnsi" w:cstheme="minorBidi"/>
          <w:b w:val="0"/>
          <w:noProof/>
          <w:szCs w:val="22"/>
          <w:lang w:eastAsia="en-GB"/>
        </w:rPr>
      </w:pPr>
      <w:hyperlink w:anchor="_Toc134198339" w:history="1">
        <w:r w:rsidR="008618F2" w:rsidRPr="00DC3933">
          <w:rPr>
            <w:rStyle w:val="Hyperlink"/>
            <w:noProof/>
          </w:rPr>
          <w:t>H.3</w:t>
        </w:r>
        <w:r w:rsidR="008618F2">
          <w:rPr>
            <w:rFonts w:asciiTheme="minorHAnsi" w:eastAsiaTheme="minorEastAsia" w:hAnsiTheme="minorHAnsi" w:cstheme="minorBidi"/>
            <w:b w:val="0"/>
            <w:noProof/>
            <w:szCs w:val="22"/>
            <w:lang w:eastAsia="en-GB"/>
          </w:rPr>
          <w:tab/>
        </w:r>
        <w:r w:rsidR="008618F2" w:rsidRPr="00DC3933">
          <w:rPr>
            <w:rStyle w:val="Hyperlink"/>
            <w:noProof/>
          </w:rPr>
          <w:t>Materials</w:t>
        </w:r>
        <w:r w:rsidR="008618F2">
          <w:rPr>
            <w:noProof/>
            <w:webHidden/>
          </w:rPr>
          <w:tab/>
        </w:r>
        <w:r w:rsidR="008618F2">
          <w:rPr>
            <w:noProof/>
            <w:webHidden/>
          </w:rPr>
          <w:fldChar w:fldCharType="begin"/>
        </w:r>
        <w:r w:rsidR="008618F2">
          <w:rPr>
            <w:noProof/>
            <w:webHidden/>
          </w:rPr>
          <w:instrText xml:space="preserve"> PAGEREF _Toc134198339 \h </w:instrText>
        </w:r>
        <w:r w:rsidR="008618F2">
          <w:rPr>
            <w:noProof/>
            <w:webHidden/>
          </w:rPr>
        </w:r>
        <w:r w:rsidR="008618F2">
          <w:rPr>
            <w:noProof/>
            <w:webHidden/>
          </w:rPr>
          <w:fldChar w:fldCharType="separate"/>
        </w:r>
        <w:r w:rsidR="000720CB">
          <w:rPr>
            <w:noProof/>
            <w:webHidden/>
          </w:rPr>
          <w:t>362</w:t>
        </w:r>
        <w:r w:rsidR="008618F2">
          <w:rPr>
            <w:noProof/>
            <w:webHidden/>
          </w:rPr>
          <w:fldChar w:fldCharType="end"/>
        </w:r>
      </w:hyperlink>
    </w:p>
    <w:p w14:paraId="2C39AAB7" w14:textId="5DFD2F09" w:rsidR="008618F2" w:rsidRDefault="009B5CEC" w:rsidP="008618F2">
      <w:pPr>
        <w:pStyle w:val="TOC2"/>
        <w:jc w:val="left"/>
        <w:rPr>
          <w:rFonts w:asciiTheme="minorHAnsi" w:eastAsiaTheme="minorEastAsia" w:hAnsiTheme="minorHAnsi" w:cstheme="minorBidi"/>
          <w:b w:val="0"/>
          <w:noProof/>
          <w:szCs w:val="22"/>
          <w:lang w:eastAsia="en-GB"/>
        </w:rPr>
      </w:pPr>
      <w:hyperlink w:anchor="_Toc134198340" w:history="1">
        <w:r w:rsidR="008618F2" w:rsidRPr="00DC3933">
          <w:rPr>
            <w:rStyle w:val="Hyperlink"/>
            <w:noProof/>
          </w:rPr>
          <w:t>H.4</w:t>
        </w:r>
        <w:r w:rsidR="008618F2">
          <w:rPr>
            <w:rFonts w:asciiTheme="minorHAnsi" w:eastAsiaTheme="minorEastAsia" w:hAnsiTheme="minorHAnsi" w:cstheme="minorBidi"/>
            <w:b w:val="0"/>
            <w:noProof/>
            <w:szCs w:val="22"/>
            <w:lang w:eastAsia="en-GB"/>
          </w:rPr>
          <w:tab/>
        </w:r>
        <w:r w:rsidR="008618F2" w:rsidRPr="00DC3933">
          <w:rPr>
            <w:rStyle w:val="Hyperlink"/>
            <w:noProof/>
          </w:rPr>
          <w:t>Exposed column base connections</w:t>
        </w:r>
        <w:r w:rsidR="008618F2">
          <w:rPr>
            <w:noProof/>
            <w:webHidden/>
          </w:rPr>
          <w:tab/>
        </w:r>
        <w:r w:rsidR="008618F2">
          <w:rPr>
            <w:noProof/>
            <w:webHidden/>
          </w:rPr>
          <w:fldChar w:fldCharType="begin"/>
        </w:r>
        <w:r w:rsidR="008618F2">
          <w:rPr>
            <w:noProof/>
            <w:webHidden/>
          </w:rPr>
          <w:instrText xml:space="preserve"> PAGEREF _Toc134198340 \h </w:instrText>
        </w:r>
        <w:r w:rsidR="008618F2">
          <w:rPr>
            <w:noProof/>
            <w:webHidden/>
          </w:rPr>
        </w:r>
        <w:r w:rsidR="008618F2">
          <w:rPr>
            <w:noProof/>
            <w:webHidden/>
          </w:rPr>
          <w:fldChar w:fldCharType="separate"/>
        </w:r>
        <w:r w:rsidR="000720CB">
          <w:rPr>
            <w:noProof/>
            <w:webHidden/>
          </w:rPr>
          <w:t>362</w:t>
        </w:r>
        <w:r w:rsidR="008618F2">
          <w:rPr>
            <w:noProof/>
            <w:webHidden/>
          </w:rPr>
          <w:fldChar w:fldCharType="end"/>
        </w:r>
      </w:hyperlink>
    </w:p>
    <w:p w14:paraId="2CAB0757" w14:textId="573F2431" w:rsidR="008618F2" w:rsidRDefault="009B5CEC" w:rsidP="008618F2">
      <w:pPr>
        <w:pStyle w:val="TOC2"/>
        <w:jc w:val="left"/>
        <w:rPr>
          <w:rFonts w:asciiTheme="minorHAnsi" w:eastAsiaTheme="minorEastAsia" w:hAnsiTheme="minorHAnsi" w:cstheme="minorBidi"/>
          <w:b w:val="0"/>
          <w:noProof/>
          <w:szCs w:val="22"/>
          <w:lang w:eastAsia="en-GB"/>
        </w:rPr>
      </w:pPr>
      <w:hyperlink w:anchor="_Toc134198350" w:history="1">
        <w:r w:rsidR="008618F2" w:rsidRPr="00DC3933">
          <w:rPr>
            <w:rStyle w:val="Hyperlink"/>
            <w:noProof/>
          </w:rPr>
          <w:t>H.5</w:t>
        </w:r>
        <w:r w:rsidR="008618F2">
          <w:rPr>
            <w:rFonts w:asciiTheme="minorHAnsi" w:eastAsiaTheme="minorEastAsia" w:hAnsiTheme="minorHAnsi" w:cstheme="minorBidi"/>
            <w:b w:val="0"/>
            <w:noProof/>
            <w:szCs w:val="22"/>
            <w:lang w:eastAsia="en-GB"/>
          </w:rPr>
          <w:tab/>
        </w:r>
        <w:r w:rsidR="008618F2" w:rsidRPr="00DC3933">
          <w:rPr>
            <w:rStyle w:val="Hyperlink"/>
            <w:noProof/>
          </w:rPr>
          <w:t>Embedded column base connections</w:t>
        </w:r>
        <w:r w:rsidR="008618F2">
          <w:rPr>
            <w:noProof/>
            <w:webHidden/>
          </w:rPr>
          <w:tab/>
        </w:r>
        <w:r w:rsidR="008618F2">
          <w:rPr>
            <w:noProof/>
            <w:webHidden/>
          </w:rPr>
          <w:fldChar w:fldCharType="begin"/>
        </w:r>
        <w:r w:rsidR="008618F2">
          <w:rPr>
            <w:noProof/>
            <w:webHidden/>
          </w:rPr>
          <w:instrText xml:space="preserve"> PAGEREF _Toc134198350 \h </w:instrText>
        </w:r>
        <w:r w:rsidR="008618F2">
          <w:rPr>
            <w:noProof/>
            <w:webHidden/>
          </w:rPr>
        </w:r>
        <w:r w:rsidR="008618F2">
          <w:rPr>
            <w:noProof/>
            <w:webHidden/>
          </w:rPr>
          <w:fldChar w:fldCharType="separate"/>
        </w:r>
        <w:r w:rsidR="000720CB">
          <w:rPr>
            <w:noProof/>
            <w:webHidden/>
          </w:rPr>
          <w:t>367</w:t>
        </w:r>
        <w:r w:rsidR="008618F2">
          <w:rPr>
            <w:noProof/>
            <w:webHidden/>
          </w:rPr>
          <w:fldChar w:fldCharType="end"/>
        </w:r>
      </w:hyperlink>
    </w:p>
    <w:p w14:paraId="5CF0532D" w14:textId="6B4D11B9" w:rsidR="008618F2" w:rsidRDefault="009B5CEC" w:rsidP="008618F2">
      <w:pPr>
        <w:pStyle w:val="TOC1"/>
        <w:spacing w:before="100"/>
        <w:jc w:val="left"/>
        <w:rPr>
          <w:rFonts w:asciiTheme="minorHAnsi" w:eastAsiaTheme="minorEastAsia" w:hAnsiTheme="minorHAnsi" w:cstheme="minorBidi"/>
          <w:b w:val="0"/>
          <w:noProof/>
          <w:szCs w:val="22"/>
          <w:lang w:eastAsia="en-GB"/>
        </w:rPr>
      </w:pPr>
      <w:hyperlink w:anchor="_Toc134198359" w:history="1">
        <w:r w:rsidR="008618F2" w:rsidRPr="00DC3933">
          <w:rPr>
            <w:rStyle w:val="Hyperlink"/>
            <w:noProof/>
            <w:lang w:eastAsia="en-US"/>
          </w:rPr>
          <w:t>Annex I</w:t>
        </w:r>
        <w:r w:rsidR="008618F2" w:rsidRPr="00DC3933">
          <w:rPr>
            <w:rStyle w:val="Hyperlink"/>
            <w:bCs/>
            <w:noProof/>
          </w:rPr>
          <w:t xml:space="preserve"> (normative)</w:t>
        </w:r>
        <w:r w:rsidR="008618F2" w:rsidRPr="00DC3933">
          <w:rPr>
            <w:rStyle w:val="Hyperlink"/>
            <w:noProof/>
          </w:rPr>
          <w:t xml:space="preserve">  Design of the slab of steel-concrete composite beams at beam-column joints in moment resisting frames</w:t>
        </w:r>
        <w:r w:rsidR="008618F2">
          <w:rPr>
            <w:noProof/>
            <w:webHidden/>
          </w:rPr>
          <w:tab/>
        </w:r>
        <w:r w:rsidR="008618F2">
          <w:rPr>
            <w:noProof/>
            <w:webHidden/>
          </w:rPr>
          <w:fldChar w:fldCharType="begin"/>
        </w:r>
        <w:r w:rsidR="008618F2">
          <w:rPr>
            <w:noProof/>
            <w:webHidden/>
          </w:rPr>
          <w:instrText xml:space="preserve"> PAGEREF _Toc134198359 \h </w:instrText>
        </w:r>
        <w:r w:rsidR="008618F2">
          <w:rPr>
            <w:noProof/>
            <w:webHidden/>
          </w:rPr>
        </w:r>
        <w:r w:rsidR="008618F2">
          <w:rPr>
            <w:noProof/>
            <w:webHidden/>
          </w:rPr>
          <w:fldChar w:fldCharType="separate"/>
        </w:r>
        <w:r w:rsidR="000720CB">
          <w:rPr>
            <w:noProof/>
            <w:webHidden/>
          </w:rPr>
          <w:t>371</w:t>
        </w:r>
        <w:r w:rsidR="008618F2">
          <w:rPr>
            <w:noProof/>
            <w:webHidden/>
          </w:rPr>
          <w:fldChar w:fldCharType="end"/>
        </w:r>
      </w:hyperlink>
    </w:p>
    <w:p w14:paraId="0AB3BAC5" w14:textId="53FDAEE6" w:rsidR="008618F2" w:rsidRDefault="009B5CEC">
      <w:pPr>
        <w:pStyle w:val="TOC2"/>
        <w:rPr>
          <w:rFonts w:asciiTheme="minorHAnsi" w:eastAsiaTheme="minorEastAsia" w:hAnsiTheme="minorHAnsi" w:cstheme="minorBidi"/>
          <w:b w:val="0"/>
          <w:noProof/>
          <w:szCs w:val="22"/>
          <w:lang w:eastAsia="en-GB"/>
        </w:rPr>
      </w:pPr>
      <w:hyperlink w:anchor="_Toc134198360" w:history="1">
        <w:r w:rsidR="008618F2" w:rsidRPr="00DC3933">
          <w:rPr>
            <w:rStyle w:val="Hyperlink"/>
            <w:noProof/>
          </w:rPr>
          <w:t>I.1</w:t>
        </w:r>
        <w:r w:rsidR="008618F2">
          <w:rPr>
            <w:rFonts w:asciiTheme="minorHAnsi" w:eastAsiaTheme="minorEastAsia" w:hAnsiTheme="minorHAnsi" w:cstheme="minorBidi"/>
            <w:b w:val="0"/>
            <w:noProof/>
            <w:szCs w:val="22"/>
            <w:lang w:eastAsia="en-GB"/>
          </w:rPr>
          <w:tab/>
        </w:r>
        <w:r w:rsidR="008618F2" w:rsidRPr="00DC3933">
          <w:rPr>
            <w:rStyle w:val="Hyperlink"/>
            <w:noProof/>
          </w:rPr>
          <w:t>Use of this normative annex</w:t>
        </w:r>
        <w:r w:rsidR="008618F2">
          <w:rPr>
            <w:noProof/>
            <w:webHidden/>
          </w:rPr>
          <w:tab/>
        </w:r>
        <w:r w:rsidR="008618F2">
          <w:rPr>
            <w:noProof/>
            <w:webHidden/>
          </w:rPr>
          <w:fldChar w:fldCharType="begin"/>
        </w:r>
        <w:r w:rsidR="008618F2">
          <w:rPr>
            <w:noProof/>
            <w:webHidden/>
          </w:rPr>
          <w:instrText xml:space="preserve"> PAGEREF _Toc134198360 \h </w:instrText>
        </w:r>
        <w:r w:rsidR="008618F2">
          <w:rPr>
            <w:noProof/>
            <w:webHidden/>
          </w:rPr>
        </w:r>
        <w:r w:rsidR="008618F2">
          <w:rPr>
            <w:noProof/>
            <w:webHidden/>
          </w:rPr>
          <w:fldChar w:fldCharType="separate"/>
        </w:r>
        <w:r w:rsidR="000720CB">
          <w:rPr>
            <w:noProof/>
            <w:webHidden/>
          </w:rPr>
          <w:t>371</w:t>
        </w:r>
        <w:r w:rsidR="008618F2">
          <w:rPr>
            <w:noProof/>
            <w:webHidden/>
          </w:rPr>
          <w:fldChar w:fldCharType="end"/>
        </w:r>
      </w:hyperlink>
    </w:p>
    <w:p w14:paraId="2C10CDBE" w14:textId="11600390" w:rsidR="008618F2" w:rsidRDefault="009B5CEC">
      <w:pPr>
        <w:pStyle w:val="TOC2"/>
        <w:rPr>
          <w:rFonts w:asciiTheme="minorHAnsi" w:eastAsiaTheme="minorEastAsia" w:hAnsiTheme="minorHAnsi" w:cstheme="minorBidi"/>
          <w:b w:val="0"/>
          <w:noProof/>
          <w:szCs w:val="22"/>
          <w:lang w:eastAsia="en-GB"/>
        </w:rPr>
      </w:pPr>
      <w:hyperlink w:anchor="_Toc134198361" w:history="1">
        <w:r w:rsidR="008618F2" w:rsidRPr="00DC3933">
          <w:rPr>
            <w:rStyle w:val="Hyperlink"/>
            <w:noProof/>
          </w:rPr>
          <w:t>I.2</w:t>
        </w:r>
        <w:r w:rsidR="008618F2">
          <w:rPr>
            <w:rFonts w:asciiTheme="minorHAnsi" w:eastAsiaTheme="minorEastAsia" w:hAnsiTheme="minorHAnsi" w:cstheme="minorBidi"/>
            <w:b w:val="0"/>
            <w:noProof/>
            <w:szCs w:val="22"/>
            <w:lang w:eastAsia="en-GB"/>
          </w:rPr>
          <w:tab/>
        </w:r>
        <w:r w:rsidR="008618F2" w:rsidRPr="00DC3933">
          <w:rPr>
            <w:rStyle w:val="Hyperlink"/>
            <w:noProof/>
          </w:rPr>
          <w:t>Scope and field of application</w:t>
        </w:r>
        <w:r w:rsidR="008618F2">
          <w:rPr>
            <w:noProof/>
            <w:webHidden/>
          </w:rPr>
          <w:tab/>
        </w:r>
        <w:r w:rsidR="008618F2">
          <w:rPr>
            <w:noProof/>
            <w:webHidden/>
          </w:rPr>
          <w:fldChar w:fldCharType="begin"/>
        </w:r>
        <w:r w:rsidR="008618F2">
          <w:rPr>
            <w:noProof/>
            <w:webHidden/>
          </w:rPr>
          <w:instrText xml:space="preserve"> PAGEREF _Toc134198361 \h </w:instrText>
        </w:r>
        <w:r w:rsidR="008618F2">
          <w:rPr>
            <w:noProof/>
            <w:webHidden/>
          </w:rPr>
        </w:r>
        <w:r w:rsidR="008618F2">
          <w:rPr>
            <w:noProof/>
            <w:webHidden/>
          </w:rPr>
          <w:fldChar w:fldCharType="separate"/>
        </w:r>
        <w:r w:rsidR="000720CB">
          <w:rPr>
            <w:noProof/>
            <w:webHidden/>
          </w:rPr>
          <w:t>371</w:t>
        </w:r>
        <w:r w:rsidR="008618F2">
          <w:rPr>
            <w:noProof/>
            <w:webHidden/>
          </w:rPr>
          <w:fldChar w:fldCharType="end"/>
        </w:r>
      </w:hyperlink>
    </w:p>
    <w:p w14:paraId="1BB1B204" w14:textId="5024242B" w:rsidR="008618F2" w:rsidRDefault="009B5CEC">
      <w:pPr>
        <w:pStyle w:val="TOC2"/>
        <w:rPr>
          <w:rFonts w:asciiTheme="minorHAnsi" w:eastAsiaTheme="minorEastAsia" w:hAnsiTheme="minorHAnsi" w:cstheme="minorBidi"/>
          <w:b w:val="0"/>
          <w:noProof/>
          <w:szCs w:val="22"/>
          <w:lang w:eastAsia="en-GB"/>
        </w:rPr>
      </w:pPr>
      <w:hyperlink w:anchor="_Toc134198362" w:history="1">
        <w:r w:rsidR="008618F2" w:rsidRPr="00DC3933">
          <w:rPr>
            <w:rStyle w:val="Hyperlink"/>
            <w:noProof/>
          </w:rPr>
          <w:t>I.3</w:t>
        </w:r>
        <w:r w:rsidR="008618F2">
          <w:rPr>
            <w:rFonts w:asciiTheme="minorHAnsi" w:eastAsiaTheme="minorEastAsia" w:hAnsiTheme="minorHAnsi" w:cstheme="minorBidi"/>
            <w:b w:val="0"/>
            <w:noProof/>
            <w:szCs w:val="22"/>
            <w:lang w:eastAsia="en-GB"/>
          </w:rPr>
          <w:tab/>
        </w:r>
        <w:r w:rsidR="008618F2" w:rsidRPr="00DC3933">
          <w:rPr>
            <w:rStyle w:val="Hyperlink"/>
            <w:noProof/>
          </w:rPr>
          <w:t>Design of joints at exterior columns under negative moment</w:t>
        </w:r>
        <w:r w:rsidR="008618F2">
          <w:rPr>
            <w:noProof/>
            <w:webHidden/>
          </w:rPr>
          <w:tab/>
        </w:r>
        <w:r w:rsidR="008618F2">
          <w:rPr>
            <w:noProof/>
            <w:webHidden/>
          </w:rPr>
          <w:fldChar w:fldCharType="begin"/>
        </w:r>
        <w:r w:rsidR="008618F2">
          <w:rPr>
            <w:noProof/>
            <w:webHidden/>
          </w:rPr>
          <w:instrText xml:space="preserve"> PAGEREF _Toc134198362 \h </w:instrText>
        </w:r>
        <w:r w:rsidR="008618F2">
          <w:rPr>
            <w:noProof/>
            <w:webHidden/>
          </w:rPr>
        </w:r>
        <w:r w:rsidR="008618F2">
          <w:rPr>
            <w:noProof/>
            <w:webHidden/>
          </w:rPr>
          <w:fldChar w:fldCharType="separate"/>
        </w:r>
        <w:r w:rsidR="000720CB">
          <w:rPr>
            <w:noProof/>
            <w:webHidden/>
          </w:rPr>
          <w:t>371</w:t>
        </w:r>
        <w:r w:rsidR="008618F2">
          <w:rPr>
            <w:noProof/>
            <w:webHidden/>
          </w:rPr>
          <w:fldChar w:fldCharType="end"/>
        </w:r>
      </w:hyperlink>
    </w:p>
    <w:p w14:paraId="0B06FB94" w14:textId="449EAA65" w:rsidR="008618F2" w:rsidRDefault="009B5CEC">
      <w:pPr>
        <w:pStyle w:val="TOC2"/>
        <w:rPr>
          <w:rFonts w:asciiTheme="minorHAnsi" w:eastAsiaTheme="minorEastAsia" w:hAnsiTheme="minorHAnsi" w:cstheme="minorBidi"/>
          <w:b w:val="0"/>
          <w:noProof/>
          <w:szCs w:val="22"/>
          <w:lang w:eastAsia="en-GB"/>
        </w:rPr>
      </w:pPr>
      <w:hyperlink w:anchor="_Toc134198363" w:history="1">
        <w:r w:rsidR="008618F2" w:rsidRPr="00DC3933">
          <w:rPr>
            <w:rStyle w:val="Hyperlink"/>
            <w:noProof/>
          </w:rPr>
          <w:t>I.4</w:t>
        </w:r>
        <w:r w:rsidR="008618F2">
          <w:rPr>
            <w:rFonts w:asciiTheme="minorHAnsi" w:eastAsiaTheme="minorEastAsia" w:hAnsiTheme="minorHAnsi" w:cstheme="minorBidi"/>
            <w:b w:val="0"/>
            <w:noProof/>
            <w:szCs w:val="22"/>
            <w:lang w:eastAsia="en-GB"/>
          </w:rPr>
          <w:tab/>
        </w:r>
        <w:r w:rsidR="008618F2" w:rsidRPr="00DC3933">
          <w:rPr>
            <w:rStyle w:val="Hyperlink"/>
            <w:noProof/>
          </w:rPr>
          <w:t>Design of joints at exterior columns under positive moment</w:t>
        </w:r>
        <w:r w:rsidR="008618F2">
          <w:rPr>
            <w:noProof/>
            <w:webHidden/>
          </w:rPr>
          <w:tab/>
        </w:r>
        <w:r w:rsidR="008618F2">
          <w:rPr>
            <w:noProof/>
            <w:webHidden/>
          </w:rPr>
          <w:fldChar w:fldCharType="begin"/>
        </w:r>
        <w:r w:rsidR="008618F2">
          <w:rPr>
            <w:noProof/>
            <w:webHidden/>
          </w:rPr>
          <w:instrText xml:space="preserve"> PAGEREF _Toc134198363 \h </w:instrText>
        </w:r>
        <w:r w:rsidR="008618F2">
          <w:rPr>
            <w:noProof/>
            <w:webHidden/>
          </w:rPr>
        </w:r>
        <w:r w:rsidR="008618F2">
          <w:rPr>
            <w:noProof/>
            <w:webHidden/>
          </w:rPr>
          <w:fldChar w:fldCharType="separate"/>
        </w:r>
        <w:r w:rsidR="000720CB">
          <w:rPr>
            <w:noProof/>
            <w:webHidden/>
          </w:rPr>
          <w:t>373</w:t>
        </w:r>
        <w:r w:rsidR="008618F2">
          <w:rPr>
            <w:noProof/>
            <w:webHidden/>
          </w:rPr>
          <w:fldChar w:fldCharType="end"/>
        </w:r>
      </w:hyperlink>
    </w:p>
    <w:p w14:paraId="25EE121E" w14:textId="73F4AE28" w:rsidR="008618F2" w:rsidRDefault="009B5CEC">
      <w:pPr>
        <w:pStyle w:val="TOC2"/>
        <w:rPr>
          <w:rFonts w:asciiTheme="minorHAnsi" w:eastAsiaTheme="minorEastAsia" w:hAnsiTheme="minorHAnsi" w:cstheme="minorBidi"/>
          <w:b w:val="0"/>
          <w:noProof/>
          <w:szCs w:val="22"/>
          <w:lang w:eastAsia="en-GB"/>
        </w:rPr>
      </w:pPr>
      <w:hyperlink w:anchor="_Toc134198364" w:history="1">
        <w:r w:rsidR="008618F2" w:rsidRPr="00DC3933">
          <w:rPr>
            <w:rStyle w:val="Hyperlink"/>
            <w:noProof/>
          </w:rPr>
          <w:t>I.5</w:t>
        </w:r>
        <w:r w:rsidR="008618F2">
          <w:rPr>
            <w:rFonts w:asciiTheme="minorHAnsi" w:eastAsiaTheme="minorEastAsia" w:hAnsiTheme="minorHAnsi" w:cstheme="minorBidi"/>
            <w:b w:val="0"/>
            <w:noProof/>
            <w:szCs w:val="22"/>
            <w:lang w:eastAsia="en-GB"/>
          </w:rPr>
          <w:tab/>
        </w:r>
        <w:r w:rsidR="008618F2" w:rsidRPr="00DC3933">
          <w:rPr>
            <w:rStyle w:val="Hyperlink"/>
            <w:noProof/>
          </w:rPr>
          <w:t>Interior columns</w:t>
        </w:r>
        <w:r w:rsidR="008618F2">
          <w:rPr>
            <w:noProof/>
            <w:webHidden/>
          </w:rPr>
          <w:tab/>
        </w:r>
        <w:r w:rsidR="008618F2">
          <w:rPr>
            <w:noProof/>
            <w:webHidden/>
          </w:rPr>
          <w:fldChar w:fldCharType="begin"/>
        </w:r>
        <w:r w:rsidR="008618F2">
          <w:rPr>
            <w:noProof/>
            <w:webHidden/>
          </w:rPr>
          <w:instrText xml:space="preserve"> PAGEREF _Toc134198364 \h </w:instrText>
        </w:r>
        <w:r w:rsidR="008618F2">
          <w:rPr>
            <w:noProof/>
            <w:webHidden/>
          </w:rPr>
        </w:r>
        <w:r w:rsidR="008618F2">
          <w:rPr>
            <w:noProof/>
            <w:webHidden/>
          </w:rPr>
          <w:fldChar w:fldCharType="separate"/>
        </w:r>
        <w:r w:rsidR="000720CB">
          <w:rPr>
            <w:noProof/>
            <w:webHidden/>
          </w:rPr>
          <w:t>376</w:t>
        </w:r>
        <w:r w:rsidR="008618F2">
          <w:rPr>
            <w:noProof/>
            <w:webHidden/>
          </w:rPr>
          <w:fldChar w:fldCharType="end"/>
        </w:r>
      </w:hyperlink>
    </w:p>
    <w:p w14:paraId="3939C8F6" w14:textId="4173235B" w:rsidR="008618F2" w:rsidRDefault="009B5CEC" w:rsidP="008618F2">
      <w:pPr>
        <w:pStyle w:val="TOC1"/>
        <w:spacing w:before="100"/>
        <w:rPr>
          <w:rFonts w:asciiTheme="minorHAnsi" w:eastAsiaTheme="minorEastAsia" w:hAnsiTheme="minorHAnsi" w:cstheme="minorBidi"/>
          <w:b w:val="0"/>
          <w:noProof/>
          <w:szCs w:val="22"/>
          <w:lang w:eastAsia="en-GB"/>
        </w:rPr>
      </w:pPr>
      <w:hyperlink w:anchor="_Toc134198365" w:history="1">
        <w:r w:rsidR="008618F2" w:rsidRPr="00DC3933">
          <w:rPr>
            <w:rStyle w:val="Hyperlink"/>
            <w:noProof/>
            <w:lang w:eastAsia="en-US"/>
          </w:rPr>
          <w:t>Annex J</w:t>
        </w:r>
        <w:r w:rsidR="008618F2" w:rsidRPr="00DC3933">
          <w:rPr>
            <w:rStyle w:val="Hyperlink"/>
            <w:bCs/>
            <w:noProof/>
          </w:rPr>
          <w:t xml:space="preserve"> (informative)</w:t>
        </w:r>
        <w:r w:rsidR="008618F2" w:rsidRPr="00DC3933">
          <w:rPr>
            <w:rStyle w:val="Hyperlink"/>
            <w:noProof/>
          </w:rPr>
          <w:t xml:space="preserve">  Drift limits for eccentrically loaded unreinforced masonry piers</w:t>
        </w:r>
        <w:r w:rsidR="008618F2">
          <w:rPr>
            <w:noProof/>
            <w:webHidden/>
          </w:rPr>
          <w:tab/>
        </w:r>
        <w:r w:rsidR="008618F2">
          <w:rPr>
            <w:noProof/>
            <w:webHidden/>
          </w:rPr>
          <w:fldChar w:fldCharType="begin"/>
        </w:r>
        <w:r w:rsidR="008618F2">
          <w:rPr>
            <w:noProof/>
            <w:webHidden/>
          </w:rPr>
          <w:instrText xml:space="preserve"> PAGEREF _Toc134198365 \h </w:instrText>
        </w:r>
        <w:r w:rsidR="008618F2">
          <w:rPr>
            <w:noProof/>
            <w:webHidden/>
          </w:rPr>
        </w:r>
        <w:r w:rsidR="008618F2">
          <w:rPr>
            <w:noProof/>
            <w:webHidden/>
          </w:rPr>
          <w:fldChar w:fldCharType="separate"/>
        </w:r>
        <w:r w:rsidR="000720CB">
          <w:rPr>
            <w:noProof/>
            <w:webHidden/>
          </w:rPr>
          <w:t>379</w:t>
        </w:r>
        <w:r w:rsidR="008618F2">
          <w:rPr>
            <w:noProof/>
            <w:webHidden/>
          </w:rPr>
          <w:fldChar w:fldCharType="end"/>
        </w:r>
      </w:hyperlink>
    </w:p>
    <w:p w14:paraId="78DF6AD1" w14:textId="633772F1" w:rsidR="008618F2" w:rsidRDefault="009B5CEC">
      <w:pPr>
        <w:pStyle w:val="TOC2"/>
        <w:rPr>
          <w:rFonts w:asciiTheme="minorHAnsi" w:eastAsiaTheme="minorEastAsia" w:hAnsiTheme="minorHAnsi" w:cstheme="minorBidi"/>
          <w:b w:val="0"/>
          <w:noProof/>
          <w:szCs w:val="22"/>
          <w:lang w:eastAsia="en-GB"/>
        </w:rPr>
      </w:pPr>
      <w:hyperlink w:anchor="_Toc134198366" w:history="1">
        <w:r w:rsidR="008618F2" w:rsidRPr="00DC3933">
          <w:rPr>
            <w:rStyle w:val="Hyperlink"/>
            <w:noProof/>
          </w:rPr>
          <w:t>J.1</w:t>
        </w:r>
        <w:r w:rsidR="008618F2">
          <w:rPr>
            <w:rFonts w:asciiTheme="minorHAnsi" w:eastAsiaTheme="minorEastAsia" w:hAnsiTheme="minorHAnsi" w:cstheme="minorBidi"/>
            <w:b w:val="0"/>
            <w:noProof/>
            <w:szCs w:val="22"/>
            <w:lang w:eastAsia="en-GB"/>
          </w:rPr>
          <w:tab/>
        </w:r>
        <w:r w:rsidR="008618F2" w:rsidRPr="00DC3933">
          <w:rPr>
            <w:rStyle w:val="Hyperlink"/>
            <w:noProof/>
          </w:rPr>
          <w:t>Use of this annex</w:t>
        </w:r>
        <w:r w:rsidR="008618F2">
          <w:rPr>
            <w:noProof/>
            <w:webHidden/>
          </w:rPr>
          <w:tab/>
        </w:r>
        <w:r w:rsidR="008618F2">
          <w:rPr>
            <w:noProof/>
            <w:webHidden/>
          </w:rPr>
          <w:fldChar w:fldCharType="begin"/>
        </w:r>
        <w:r w:rsidR="008618F2">
          <w:rPr>
            <w:noProof/>
            <w:webHidden/>
          </w:rPr>
          <w:instrText xml:space="preserve"> PAGEREF _Toc134198366 \h </w:instrText>
        </w:r>
        <w:r w:rsidR="008618F2">
          <w:rPr>
            <w:noProof/>
            <w:webHidden/>
          </w:rPr>
        </w:r>
        <w:r w:rsidR="008618F2">
          <w:rPr>
            <w:noProof/>
            <w:webHidden/>
          </w:rPr>
          <w:fldChar w:fldCharType="separate"/>
        </w:r>
        <w:r w:rsidR="000720CB">
          <w:rPr>
            <w:noProof/>
            <w:webHidden/>
          </w:rPr>
          <w:t>379</w:t>
        </w:r>
        <w:r w:rsidR="008618F2">
          <w:rPr>
            <w:noProof/>
            <w:webHidden/>
          </w:rPr>
          <w:fldChar w:fldCharType="end"/>
        </w:r>
      </w:hyperlink>
    </w:p>
    <w:p w14:paraId="2E11D1E2" w14:textId="25AC3AB5" w:rsidR="008618F2" w:rsidRDefault="009B5CEC">
      <w:pPr>
        <w:pStyle w:val="TOC2"/>
        <w:rPr>
          <w:rFonts w:asciiTheme="minorHAnsi" w:eastAsiaTheme="minorEastAsia" w:hAnsiTheme="minorHAnsi" w:cstheme="minorBidi"/>
          <w:b w:val="0"/>
          <w:noProof/>
          <w:szCs w:val="22"/>
          <w:lang w:eastAsia="en-GB"/>
        </w:rPr>
      </w:pPr>
      <w:hyperlink w:anchor="_Toc134198367" w:history="1">
        <w:r w:rsidR="008618F2" w:rsidRPr="00DC3933">
          <w:rPr>
            <w:rStyle w:val="Hyperlink"/>
            <w:noProof/>
            <w:lang w:eastAsia="en-US"/>
          </w:rPr>
          <w:t>J.2</w:t>
        </w:r>
        <w:r w:rsidR="008618F2">
          <w:rPr>
            <w:rFonts w:asciiTheme="minorHAnsi" w:eastAsiaTheme="minorEastAsia" w:hAnsiTheme="minorHAnsi" w:cstheme="minorBidi"/>
            <w:b w:val="0"/>
            <w:noProof/>
            <w:szCs w:val="22"/>
            <w:lang w:eastAsia="en-GB"/>
          </w:rPr>
          <w:tab/>
        </w:r>
        <w:r w:rsidR="008618F2" w:rsidRPr="00DC3933">
          <w:rPr>
            <w:rStyle w:val="Hyperlink"/>
            <w:noProof/>
          </w:rPr>
          <w:t>Scope and field of application</w:t>
        </w:r>
        <w:r w:rsidR="008618F2">
          <w:rPr>
            <w:noProof/>
            <w:webHidden/>
          </w:rPr>
          <w:tab/>
        </w:r>
        <w:r w:rsidR="008618F2">
          <w:rPr>
            <w:noProof/>
            <w:webHidden/>
          </w:rPr>
          <w:fldChar w:fldCharType="begin"/>
        </w:r>
        <w:r w:rsidR="008618F2">
          <w:rPr>
            <w:noProof/>
            <w:webHidden/>
          </w:rPr>
          <w:instrText xml:space="preserve"> PAGEREF _Toc134198367 \h </w:instrText>
        </w:r>
        <w:r w:rsidR="008618F2">
          <w:rPr>
            <w:noProof/>
            <w:webHidden/>
          </w:rPr>
        </w:r>
        <w:r w:rsidR="008618F2">
          <w:rPr>
            <w:noProof/>
            <w:webHidden/>
          </w:rPr>
          <w:fldChar w:fldCharType="separate"/>
        </w:r>
        <w:r w:rsidR="000720CB">
          <w:rPr>
            <w:noProof/>
            <w:webHidden/>
          </w:rPr>
          <w:t>379</w:t>
        </w:r>
        <w:r w:rsidR="008618F2">
          <w:rPr>
            <w:noProof/>
            <w:webHidden/>
          </w:rPr>
          <w:fldChar w:fldCharType="end"/>
        </w:r>
      </w:hyperlink>
    </w:p>
    <w:p w14:paraId="7CAD8B9D" w14:textId="6585BC1A" w:rsidR="008618F2" w:rsidRDefault="009B5CEC">
      <w:pPr>
        <w:pStyle w:val="TOC2"/>
        <w:rPr>
          <w:rFonts w:asciiTheme="minorHAnsi" w:eastAsiaTheme="minorEastAsia" w:hAnsiTheme="minorHAnsi" w:cstheme="minorBidi"/>
          <w:b w:val="0"/>
          <w:noProof/>
          <w:szCs w:val="22"/>
          <w:lang w:eastAsia="en-GB"/>
        </w:rPr>
      </w:pPr>
      <w:hyperlink w:anchor="_Toc134198368" w:history="1">
        <w:r w:rsidR="008618F2" w:rsidRPr="00DC3933">
          <w:rPr>
            <w:rStyle w:val="Hyperlink"/>
            <w:noProof/>
            <w:lang w:eastAsia="en-US"/>
          </w:rPr>
          <w:t>J.3</w:t>
        </w:r>
        <w:r w:rsidR="008618F2">
          <w:rPr>
            <w:rFonts w:asciiTheme="minorHAnsi" w:eastAsiaTheme="minorEastAsia" w:hAnsiTheme="minorHAnsi" w:cstheme="minorBidi"/>
            <w:b w:val="0"/>
            <w:noProof/>
            <w:szCs w:val="22"/>
            <w:lang w:eastAsia="en-GB"/>
          </w:rPr>
          <w:tab/>
        </w:r>
        <w:r w:rsidR="008618F2" w:rsidRPr="00DC3933">
          <w:rPr>
            <w:rStyle w:val="Hyperlink"/>
            <w:noProof/>
          </w:rPr>
          <w:t>Verification for in-plane actions</w:t>
        </w:r>
        <w:r w:rsidR="008618F2">
          <w:rPr>
            <w:noProof/>
            <w:webHidden/>
          </w:rPr>
          <w:tab/>
        </w:r>
        <w:r w:rsidR="008618F2">
          <w:rPr>
            <w:noProof/>
            <w:webHidden/>
          </w:rPr>
          <w:fldChar w:fldCharType="begin"/>
        </w:r>
        <w:r w:rsidR="008618F2">
          <w:rPr>
            <w:noProof/>
            <w:webHidden/>
          </w:rPr>
          <w:instrText xml:space="preserve"> PAGEREF _Toc134198368 \h </w:instrText>
        </w:r>
        <w:r w:rsidR="008618F2">
          <w:rPr>
            <w:noProof/>
            <w:webHidden/>
          </w:rPr>
        </w:r>
        <w:r w:rsidR="008618F2">
          <w:rPr>
            <w:noProof/>
            <w:webHidden/>
          </w:rPr>
          <w:fldChar w:fldCharType="separate"/>
        </w:r>
        <w:r w:rsidR="000720CB">
          <w:rPr>
            <w:noProof/>
            <w:webHidden/>
          </w:rPr>
          <w:t>379</w:t>
        </w:r>
        <w:r w:rsidR="008618F2">
          <w:rPr>
            <w:noProof/>
            <w:webHidden/>
          </w:rPr>
          <w:fldChar w:fldCharType="end"/>
        </w:r>
      </w:hyperlink>
    </w:p>
    <w:p w14:paraId="28D1EEF0" w14:textId="22B57CCC" w:rsidR="008618F2" w:rsidRDefault="009B5CEC">
      <w:pPr>
        <w:pStyle w:val="TOC1"/>
        <w:rPr>
          <w:rFonts w:asciiTheme="minorHAnsi" w:eastAsiaTheme="minorEastAsia" w:hAnsiTheme="minorHAnsi" w:cstheme="minorBidi"/>
          <w:b w:val="0"/>
          <w:noProof/>
          <w:szCs w:val="22"/>
          <w:lang w:eastAsia="en-GB"/>
        </w:rPr>
      </w:pPr>
      <w:hyperlink w:anchor="_Toc134198369" w:history="1">
        <w:r w:rsidR="008618F2" w:rsidRPr="00DC3933">
          <w:rPr>
            <w:rStyle w:val="Hyperlink"/>
            <w:noProof/>
            <w:lang w:eastAsia="en-US"/>
          </w:rPr>
          <w:t>Annex K</w:t>
        </w:r>
        <w:r w:rsidR="008618F2" w:rsidRPr="00DC3933">
          <w:rPr>
            <w:rStyle w:val="Hyperlink"/>
            <w:bCs/>
            <w:noProof/>
          </w:rPr>
          <w:t xml:space="preserve"> (informative) </w:t>
        </w:r>
        <w:r w:rsidR="008618F2" w:rsidRPr="00DC3933">
          <w:rPr>
            <w:rStyle w:val="Hyperlink"/>
            <w:noProof/>
          </w:rPr>
          <w:t xml:space="preserve"> Simplified evaluation of drift demands on infilled frames</w:t>
        </w:r>
        <w:r w:rsidR="008618F2">
          <w:rPr>
            <w:noProof/>
            <w:webHidden/>
          </w:rPr>
          <w:tab/>
        </w:r>
        <w:r w:rsidR="008618F2">
          <w:rPr>
            <w:noProof/>
            <w:webHidden/>
          </w:rPr>
          <w:fldChar w:fldCharType="begin"/>
        </w:r>
        <w:r w:rsidR="008618F2">
          <w:rPr>
            <w:noProof/>
            <w:webHidden/>
          </w:rPr>
          <w:instrText xml:space="preserve"> PAGEREF _Toc134198369 \h </w:instrText>
        </w:r>
        <w:r w:rsidR="008618F2">
          <w:rPr>
            <w:noProof/>
            <w:webHidden/>
          </w:rPr>
        </w:r>
        <w:r w:rsidR="008618F2">
          <w:rPr>
            <w:noProof/>
            <w:webHidden/>
          </w:rPr>
          <w:fldChar w:fldCharType="separate"/>
        </w:r>
        <w:r w:rsidR="000720CB">
          <w:rPr>
            <w:noProof/>
            <w:webHidden/>
          </w:rPr>
          <w:t>380</w:t>
        </w:r>
        <w:r w:rsidR="008618F2">
          <w:rPr>
            <w:noProof/>
            <w:webHidden/>
          </w:rPr>
          <w:fldChar w:fldCharType="end"/>
        </w:r>
      </w:hyperlink>
    </w:p>
    <w:p w14:paraId="18C82C0E" w14:textId="291222EC" w:rsidR="008618F2" w:rsidRDefault="009B5CEC">
      <w:pPr>
        <w:pStyle w:val="TOC2"/>
        <w:rPr>
          <w:rFonts w:asciiTheme="minorHAnsi" w:eastAsiaTheme="minorEastAsia" w:hAnsiTheme="minorHAnsi" w:cstheme="minorBidi"/>
          <w:b w:val="0"/>
          <w:noProof/>
          <w:szCs w:val="22"/>
          <w:lang w:eastAsia="en-GB"/>
        </w:rPr>
      </w:pPr>
      <w:hyperlink w:anchor="_Toc134198370" w:history="1">
        <w:r w:rsidR="008618F2" w:rsidRPr="00DC3933">
          <w:rPr>
            <w:rStyle w:val="Hyperlink"/>
            <w:noProof/>
          </w:rPr>
          <w:t>K.1</w:t>
        </w:r>
        <w:r w:rsidR="008618F2">
          <w:rPr>
            <w:rFonts w:asciiTheme="minorHAnsi" w:eastAsiaTheme="minorEastAsia" w:hAnsiTheme="minorHAnsi" w:cstheme="minorBidi"/>
            <w:b w:val="0"/>
            <w:noProof/>
            <w:szCs w:val="22"/>
            <w:lang w:eastAsia="en-GB"/>
          </w:rPr>
          <w:tab/>
        </w:r>
        <w:r w:rsidR="008618F2" w:rsidRPr="00DC3933">
          <w:rPr>
            <w:rStyle w:val="Hyperlink"/>
            <w:noProof/>
          </w:rPr>
          <w:t>Use of this annex</w:t>
        </w:r>
        <w:r w:rsidR="008618F2">
          <w:rPr>
            <w:noProof/>
            <w:webHidden/>
          </w:rPr>
          <w:tab/>
        </w:r>
        <w:r w:rsidR="008618F2">
          <w:rPr>
            <w:noProof/>
            <w:webHidden/>
          </w:rPr>
          <w:fldChar w:fldCharType="begin"/>
        </w:r>
        <w:r w:rsidR="008618F2">
          <w:rPr>
            <w:noProof/>
            <w:webHidden/>
          </w:rPr>
          <w:instrText xml:space="preserve"> PAGEREF _Toc134198370 \h </w:instrText>
        </w:r>
        <w:r w:rsidR="008618F2">
          <w:rPr>
            <w:noProof/>
            <w:webHidden/>
          </w:rPr>
        </w:r>
        <w:r w:rsidR="008618F2">
          <w:rPr>
            <w:noProof/>
            <w:webHidden/>
          </w:rPr>
          <w:fldChar w:fldCharType="separate"/>
        </w:r>
        <w:r w:rsidR="000720CB">
          <w:rPr>
            <w:noProof/>
            <w:webHidden/>
          </w:rPr>
          <w:t>380</w:t>
        </w:r>
        <w:r w:rsidR="008618F2">
          <w:rPr>
            <w:noProof/>
            <w:webHidden/>
          </w:rPr>
          <w:fldChar w:fldCharType="end"/>
        </w:r>
      </w:hyperlink>
    </w:p>
    <w:p w14:paraId="524ED7C5" w14:textId="2158E668" w:rsidR="008618F2" w:rsidRDefault="009B5CEC">
      <w:pPr>
        <w:pStyle w:val="TOC2"/>
        <w:rPr>
          <w:rFonts w:asciiTheme="minorHAnsi" w:eastAsiaTheme="minorEastAsia" w:hAnsiTheme="minorHAnsi" w:cstheme="minorBidi"/>
          <w:b w:val="0"/>
          <w:noProof/>
          <w:szCs w:val="22"/>
          <w:lang w:eastAsia="en-GB"/>
        </w:rPr>
      </w:pPr>
      <w:hyperlink w:anchor="_Toc134198371" w:history="1">
        <w:r w:rsidR="008618F2" w:rsidRPr="00DC3933">
          <w:rPr>
            <w:rStyle w:val="Hyperlink"/>
            <w:noProof/>
          </w:rPr>
          <w:t>K.2</w:t>
        </w:r>
        <w:r w:rsidR="008618F2">
          <w:rPr>
            <w:rFonts w:asciiTheme="minorHAnsi" w:eastAsiaTheme="minorEastAsia" w:hAnsiTheme="minorHAnsi" w:cstheme="minorBidi"/>
            <w:b w:val="0"/>
            <w:noProof/>
            <w:szCs w:val="22"/>
            <w:lang w:eastAsia="en-GB"/>
          </w:rPr>
          <w:tab/>
        </w:r>
        <w:r w:rsidR="008618F2" w:rsidRPr="00DC3933">
          <w:rPr>
            <w:rStyle w:val="Hyperlink"/>
            <w:noProof/>
          </w:rPr>
          <w:t>Scope and field of application</w:t>
        </w:r>
        <w:r w:rsidR="008618F2">
          <w:rPr>
            <w:noProof/>
            <w:webHidden/>
          </w:rPr>
          <w:tab/>
        </w:r>
        <w:r w:rsidR="008618F2">
          <w:rPr>
            <w:noProof/>
            <w:webHidden/>
          </w:rPr>
          <w:fldChar w:fldCharType="begin"/>
        </w:r>
        <w:r w:rsidR="008618F2">
          <w:rPr>
            <w:noProof/>
            <w:webHidden/>
          </w:rPr>
          <w:instrText xml:space="preserve"> PAGEREF _Toc134198371 \h </w:instrText>
        </w:r>
        <w:r w:rsidR="008618F2">
          <w:rPr>
            <w:noProof/>
            <w:webHidden/>
          </w:rPr>
        </w:r>
        <w:r w:rsidR="008618F2">
          <w:rPr>
            <w:noProof/>
            <w:webHidden/>
          </w:rPr>
          <w:fldChar w:fldCharType="separate"/>
        </w:r>
        <w:r w:rsidR="000720CB">
          <w:rPr>
            <w:noProof/>
            <w:webHidden/>
          </w:rPr>
          <w:t>380</w:t>
        </w:r>
        <w:r w:rsidR="008618F2">
          <w:rPr>
            <w:noProof/>
            <w:webHidden/>
          </w:rPr>
          <w:fldChar w:fldCharType="end"/>
        </w:r>
      </w:hyperlink>
    </w:p>
    <w:p w14:paraId="35B893BB" w14:textId="16A798C8" w:rsidR="008618F2" w:rsidRDefault="009B5CEC">
      <w:pPr>
        <w:pStyle w:val="TOC2"/>
        <w:rPr>
          <w:rFonts w:asciiTheme="minorHAnsi" w:eastAsiaTheme="minorEastAsia" w:hAnsiTheme="minorHAnsi" w:cstheme="minorBidi"/>
          <w:b w:val="0"/>
          <w:noProof/>
          <w:szCs w:val="22"/>
          <w:lang w:eastAsia="en-GB"/>
        </w:rPr>
      </w:pPr>
      <w:hyperlink w:anchor="_Toc134198372" w:history="1">
        <w:r w:rsidR="008618F2" w:rsidRPr="00DC3933">
          <w:rPr>
            <w:rStyle w:val="Hyperlink"/>
            <w:noProof/>
          </w:rPr>
          <w:t>K.3</w:t>
        </w:r>
        <w:r w:rsidR="008618F2">
          <w:rPr>
            <w:rFonts w:asciiTheme="minorHAnsi" w:eastAsiaTheme="minorEastAsia" w:hAnsiTheme="minorHAnsi" w:cstheme="minorBidi"/>
            <w:b w:val="0"/>
            <w:noProof/>
            <w:szCs w:val="22"/>
            <w:lang w:eastAsia="en-GB"/>
          </w:rPr>
          <w:tab/>
        </w:r>
        <w:r w:rsidR="008618F2" w:rsidRPr="00DC3933">
          <w:rPr>
            <w:rStyle w:val="Hyperlink"/>
            <w:noProof/>
          </w:rPr>
          <w:t>Analysis</w:t>
        </w:r>
        <w:r w:rsidR="008618F2">
          <w:rPr>
            <w:noProof/>
            <w:webHidden/>
          </w:rPr>
          <w:tab/>
        </w:r>
        <w:r w:rsidR="008618F2">
          <w:rPr>
            <w:noProof/>
            <w:webHidden/>
          </w:rPr>
          <w:fldChar w:fldCharType="begin"/>
        </w:r>
        <w:r w:rsidR="008618F2">
          <w:rPr>
            <w:noProof/>
            <w:webHidden/>
          </w:rPr>
          <w:instrText xml:space="preserve"> PAGEREF _Toc134198372 \h </w:instrText>
        </w:r>
        <w:r w:rsidR="008618F2">
          <w:rPr>
            <w:noProof/>
            <w:webHidden/>
          </w:rPr>
        </w:r>
        <w:r w:rsidR="008618F2">
          <w:rPr>
            <w:noProof/>
            <w:webHidden/>
          </w:rPr>
          <w:fldChar w:fldCharType="separate"/>
        </w:r>
        <w:r w:rsidR="000720CB">
          <w:rPr>
            <w:noProof/>
            <w:webHidden/>
          </w:rPr>
          <w:t>380</w:t>
        </w:r>
        <w:r w:rsidR="008618F2">
          <w:rPr>
            <w:noProof/>
            <w:webHidden/>
          </w:rPr>
          <w:fldChar w:fldCharType="end"/>
        </w:r>
      </w:hyperlink>
    </w:p>
    <w:p w14:paraId="05084DBF" w14:textId="3F41577C" w:rsidR="008618F2" w:rsidRDefault="009B5CEC" w:rsidP="008618F2">
      <w:pPr>
        <w:pStyle w:val="TOC1"/>
        <w:spacing w:before="100"/>
        <w:rPr>
          <w:rFonts w:asciiTheme="minorHAnsi" w:eastAsiaTheme="minorEastAsia" w:hAnsiTheme="minorHAnsi" w:cstheme="minorBidi"/>
          <w:b w:val="0"/>
          <w:noProof/>
          <w:szCs w:val="22"/>
          <w:lang w:eastAsia="en-GB"/>
        </w:rPr>
      </w:pPr>
      <w:hyperlink w:anchor="_Toc134198373" w:history="1">
        <w:r w:rsidR="008618F2" w:rsidRPr="00DC3933">
          <w:rPr>
            <w:rStyle w:val="Hyperlink"/>
            <w:noProof/>
          </w:rPr>
          <w:t>Annex L</w:t>
        </w:r>
        <w:r w:rsidR="008618F2" w:rsidRPr="00DC3933">
          <w:rPr>
            <w:rStyle w:val="Hyperlink"/>
            <w:bCs/>
            <w:noProof/>
          </w:rPr>
          <w:t xml:space="preserve"> (normative)</w:t>
        </w:r>
        <w:r w:rsidR="008618F2" w:rsidRPr="00DC3933">
          <w:rPr>
            <w:rStyle w:val="Hyperlink"/>
            <w:noProof/>
          </w:rPr>
          <w:t xml:space="preserve">  Load-deformation relationships of dissipative timber components and resistances of non-dissipative timber components for non-linear analyses</w:t>
        </w:r>
        <w:r w:rsidR="008618F2">
          <w:rPr>
            <w:noProof/>
            <w:webHidden/>
          </w:rPr>
          <w:tab/>
        </w:r>
        <w:r w:rsidR="008618F2">
          <w:rPr>
            <w:noProof/>
            <w:webHidden/>
          </w:rPr>
          <w:fldChar w:fldCharType="begin"/>
        </w:r>
        <w:r w:rsidR="008618F2">
          <w:rPr>
            <w:noProof/>
            <w:webHidden/>
          </w:rPr>
          <w:instrText xml:space="preserve"> PAGEREF _Toc134198373 \h </w:instrText>
        </w:r>
        <w:r w:rsidR="008618F2">
          <w:rPr>
            <w:noProof/>
            <w:webHidden/>
          </w:rPr>
        </w:r>
        <w:r w:rsidR="008618F2">
          <w:rPr>
            <w:noProof/>
            <w:webHidden/>
          </w:rPr>
          <w:fldChar w:fldCharType="separate"/>
        </w:r>
        <w:r w:rsidR="000720CB">
          <w:rPr>
            <w:noProof/>
            <w:webHidden/>
          </w:rPr>
          <w:t>383</w:t>
        </w:r>
        <w:r w:rsidR="008618F2">
          <w:rPr>
            <w:noProof/>
            <w:webHidden/>
          </w:rPr>
          <w:fldChar w:fldCharType="end"/>
        </w:r>
      </w:hyperlink>
    </w:p>
    <w:p w14:paraId="2A9B3F93" w14:textId="70539CB0" w:rsidR="008618F2" w:rsidRDefault="009B5CEC">
      <w:pPr>
        <w:pStyle w:val="TOC2"/>
        <w:rPr>
          <w:rFonts w:asciiTheme="minorHAnsi" w:eastAsiaTheme="minorEastAsia" w:hAnsiTheme="minorHAnsi" w:cstheme="minorBidi"/>
          <w:b w:val="0"/>
          <w:noProof/>
          <w:szCs w:val="22"/>
          <w:lang w:eastAsia="en-GB"/>
        </w:rPr>
      </w:pPr>
      <w:hyperlink w:anchor="_Toc134198374" w:history="1">
        <w:r w:rsidR="008618F2" w:rsidRPr="00DC3933">
          <w:rPr>
            <w:rStyle w:val="Hyperlink"/>
            <w:noProof/>
          </w:rPr>
          <w:t>L.1</w:t>
        </w:r>
        <w:r w:rsidR="008618F2">
          <w:rPr>
            <w:rFonts w:asciiTheme="minorHAnsi" w:eastAsiaTheme="minorEastAsia" w:hAnsiTheme="minorHAnsi" w:cstheme="minorBidi"/>
            <w:b w:val="0"/>
            <w:noProof/>
            <w:szCs w:val="22"/>
            <w:lang w:eastAsia="en-GB"/>
          </w:rPr>
          <w:tab/>
        </w:r>
        <w:r w:rsidR="008618F2" w:rsidRPr="00DC3933">
          <w:rPr>
            <w:rStyle w:val="Hyperlink"/>
            <w:noProof/>
          </w:rPr>
          <w:t>Use of this normative annex</w:t>
        </w:r>
        <w:r w:rsidR="008618F2">
          <w:rPr>
            <w:noProof/>
            <w:webHidden/>
          </w:rPr>
          <w:tab/>
        </w:r>
        <w:r w:rsidR="008618F2">
          <w:rPr>
            <w:noProof/>
            <w:webHidden/>
          </w:rPr>
          <w:fldChar w:fldCharType="begin"/>
        </w:r>
        <w:r w:rsidR="008618F2">
          <w:rPr>
            <w:noProof/>
            <w:webHidden/>
          </w:rPr>
          <w:instrText xml:space="preserve"> PAGEREF _Toc134198374 \h </w:instrText>
        </w:r>
        <w:r w:rsidR="008618F2">
          <w:rPr>
            <w:noProof/>
            <w:webHidden/>
          </w:rPr>
        </w:r>
        <w:r w:rsidR="008618F2">
          <w:rPr>
            <w:noProof/>
            <w:webHidden/>
          </w:rPr>
          <w:fldChar w:fldCharType="separate"/>
        </w:r>
        <w:r w:rsidR="000720CB">
          <w:rPr>
            <w:noProof/>
            <w:webHidden/>
          </w:rPr>
          <w:t>383</w:t>
        </w:r>
        <w:r w:rsidR="008618F2">
          <w:rPr>
            <w:noProof/>
            <w:webHidden/>
          </w:rPr>
          <w:fldChar w:fldCharType="end"/>
        </w:r>
      </w:hyperlink>
    </w:p>
    <w:p w14:paraId="20E2C42B" w14:textId="1C4A02AE" w:rsidR="008618F2" w:rsidRDefault="009B5CEC">
      <w:pPr>
        <w:pStyle w:val="TOC2"/>
        <w:rPr>
          <w:rFonts w:asciiTheme="minorHAnsi" w:eastAsiaTheme="minorEastAsia" w:hAnsiTheme="minorHAnsi" w:cstheme="minorBidi"/>
          <w:b w:val="0"/>
          <w:noProof/>
          <w:szCs w:val="22"/>
          <w:lang w:eastAsia="en-GB"/>
        </w:rPr>
      </w:pPr>
      <w:hyperlink w:anchor="_Toc134198375" w:history="1">
        <w:r w:rsidR="008618F2" w:rsidRPr="00DC3933">
          <w:rPr>
            <w:rStyle w:val="Hyperlink"/>
            <w:noProof/>
          </w:rPr>
          <w:t>L.2</w:t>
        </w:r>
        <w:r w:rsidR="008618F2">
          <w:rPr>
            <w:rFonts w:asciiTheme="minorHAnsi" w:eastAsiaTheme="minorEastAsia" w:hAnsiTheme="minorHAnsi" w:cstheme="minorBidi"/>
            <w:b w:val="0"/>
            <w:noProof/>
            <w:szCs w:val="22"/>
            <w:lang w:eastAsia="en-GB"/>
          </w:rPr>
          <w:tab/>
        </w:r>
        <w:r w:rsidR="008618F2" w:rsidRPr="00DC3933">
          <w:rPr>
            <w:rStyle w:val="Hyperlink"/>
            <w:noProof/>
          </w:rPr>
          <w:t>Scope and field of application</w:t>
        </w:r>
        <w:r w:rsidR="008618F2">
          <w:rPr>
            <w:noProof/>
            <w:webHidden/>
          </w:rPr>
          <w:tab/>
        </w:r>
        <w:r w:rsidR="008618F2">
          <w:rPr>
            <w:noProof/>
            <w:webHidden/>
          </w:rPr>
          <w:fldChar w:fldCharType="begin"/>
        </w:r>
        <w:r w:rsidR="008618F2">
          <w:rPr>
            <w:noProof/>
            <w:webHidden/>
          </w:rPr>
          <w:instrText xml:space="preserve"> PAGEREF _Toc134198375 \h </w:instrText>
        </w:r>
        <w:r w:rsidR="008618F2">
          <w:rPr>
            <w:noProof/>
            <w:webHidden/>
          </w:rPr>
        </w:r>
        <w:r w:rsidR="008618F2">
          <w:rPr>
            <w:noProof/>
            <w:webHidden/>
          </w:rPr>
          <w:fldChar w:fldCharType="separate"/>
        </w:r>
        <w:r w:rsidR="000720CB">
          <w:rPr>
            <w:noProof/>
            <w:webHidden/>
          </w:rPr>
          <w:t>383</w:t>
        </w:r>
        <w:r w:rsidR="008618F2">
          <w:rPr>
            <w:noProof/>
            <w:webHidden/>
          </w:rPr>
          <w:fldChar w:fldCharType="end"/>
        </w:r>
      </w:hyperlink>
    </w:p>
    <w:p w14:paraId="368C7053" w14:textId="10BB172C" w:rsidR="008618F2" w:rsidRDefault="009B5CEC">
      <w:pPr>
        <w:pStyle w:val="TOC2"/>
        <w:rPr>
          <w:rFonts w:asciiTheme="minorHAnsi" w:eastAsiaTheme="minorEastAsia" w:hAnsiTheme="minorHAnsi" w:cstheme="minorBidi"/>
          <w:b w:val="0"/>
          <w:noProof/>
          <w:szCs w:val="22"/>
          <w:lang w:eastAsia="en-GB"/>
        </w:rPr>
      </w:pPr>
      <w:hyperlink w:anchor="_Toc134198376" w:history="1">
        <w:r w:rsidR="008618F2" w:rsidRPr="00DC3933">
          <w:rPr>
            <w:rStyle w:val="Hyperlink"/>
            <w:noProof/>
          </w:rPr>
          <w:t>L.3</w:t>
        </w:r>
        <w:r w:rsidR="008618F2">
          <w:rPr>
            <w:rFonts w:asciiTheme="minorHAnsi" w:eastAsiaTheme="minorEastAsia" w:hAnsiTheme="minorHAnsi" w:cstheme="minorBidi"/>
            <w:b w:val="0"/>
            <w:noProof/>
            <w:szCs w:val="22"/>
            <w:lang w:eastAsia="en-GB"/>
          </w:rPr>
          <w:tab/>
        </w:r>
        <w:r w:rsidR="008618F2" w:rsidRPr="00DC3933">
          <w:rPr>
            <w:rStyle w:val="Hyperlink"/>
            <w:bCs/>
            <w:noProof/>
          </w:rPr>
          <w:t>Force-deformation relationships of dissipative timber components for non-linear analysis</w:t>
        </w:r>
        <w:r w:rsidR="008618F2">
          <w:rPr>
            <w:noProof/>
            <w:webHidden/>
          </w:rPr>
          <w:tab/>
        </w:r>
        <w:r w:rsidR="008618F2">
          <w:rPr>
            <w:noProof/>
            <w:webHidden/>
          </w:rPr>
          <w:fldChar w:fldCharType="begin"/>
        </w:r>
        <w:r w:rsidR="008618F2">
          <w:rPr>
            <w:noProof/>
            <w:webHidden/>
          </w:rPr>
          <w:instrText xml:space="preserve"> PAGEREF _Toc134198376 \h </w:instrText>
        </w:r>
        <w:r w:rsidR="008618F2">
          <w:rPr>
            <w:noProof/>
            <w:webHidden/>
          </w:rPr>
        </w:r>
        <w:r w:rsidR="008618F2">
          <w:rPr>
            <w:noProof/>
            <w:webHidden/>
          </w:rPr>
          <w:fldChar w:fldCharType="separate"/>
        </w:r>
        <w:r w:rsidR="000720CB">
          <w:rPr>
            <w:noProof/>
            <w:webHidden/>
          </w:rPr>
          <w:t>383</w:t>
        </w:r>
        <w:r w:rsidR="008618F2">
          <w:rPr>
            <w:noProof/>
            <w:webHidden/>
          </w:rPr>
          <w:fldChar w:fldCharType="end"/>
        </w:r>
      </w:hyperlink>
    </w:p>
    <w:p w14:paraId="44BDFDAA" w14:textId="3DA0C652" w:rsidR="008618F2" w:rsidRDefault="009B5CEC">
      <w:pPr>
        <w:pStyle w:val="TOC2"/>
        <w:rPr>
          <w:rFonts w:asciiTheme="minorHAnsi" w:eastAsiaTheme="minorEastAsia" w:hAnsiTheme="minorHAnsi" w:cstheme="minorBidi"/>
          <w:b w:val="0"/>
          <w:noProof/>
          <w:szCs w:val="22"/>
          <w:lang w:eastAsia="en-GB"/>
        </w:rPr>
      </w:pPr>
      <w:hyperlink w:anchor="_Toc134198377" w:history="1">
        <w:r w:rsidR="008618F2" w:rsidRPr="00DC3933">
          <w:rPr>
            <w:rStyle w:val="Hyperlink"/>
            <w:noProof/>
          </w:rPr>
          <w:t>L.4</w:t>
        </w:r>
        <w:r w:rsidR="008618F2">
          <w:rPr>
            <w:rFonts w:asciiTheme="minorHAnsi" w:eastAsiaTheme="minorEastAsia" w:hAnsiTheme="minorHAnsi" w:cstheme="minorBidi"/>
            <w:b w:val="0"/>
            <w:noProof/>
            <w:szCs w:val="22"/>
            <w:lang w:eastAsia="en-GB"/>
          </w:rPr>
          <w:tab/>
        </w:r>
        <w:r w:rsidR="008618F2" w:rsidRPr="00DC3933">
          <w:rPr>
            <w:rStyle w:val="Hyperlink"/>
            <w:bCs/>
            <w:noProof/>
          </w:rPr>
          <w:t>Resistances of non-dissipative timber components for non-linear analysis</w:t>
        </w:r>
        <w:r w:rsidR="008618F2">
          <w:rPr>
            <w:noProof/>
            <w:webHidden/>
          </w:rPr>
          <w:tab/>
        </w:r>
        <w:r w:rsidR="008618F2">
          <w:rPr>
            <w:noProof/>
            <w:webHidden/>
          </w:rPr>
          <w:fldChar w:fldCharType="begin"/>
        </w:r>
        <w:r w:rsidR="008618F2">
          <w:rPr>
            <w:noProof/>
            <w:webHidden/>
          </w:rPr>
          <w:instrText xml:space="preserve"> PAGEREF _Toc134198377 \h </w:instrText>
        </w:r>
        <w:r w:rsidR="008618F2">
          <w:rPr>
            <w:noProof/>
            <w:webHidden/>
          </w:rPr>
        </w:r>
        <w:r w:rsidR="008618F2">
          <w:rPr>
            <w:noProof/>
            <w:webHidden/>
          </w:rPr>
          <w:fldChar w:fldCharType="separate"/>
        </w:r>
        <w:r w:rsidR="000720CB">
          <w:rPr>
            <w:noProof/>
            <w:webHidden/>
          </w:rPr>
          <w:t>387</w:t>
        </w:r>
        <w:r w:rsidR="008618F2">
          <w:rPr>
            <w:noProof/>
            <w:webHidden/>
          </w:rPr>
          <w:fldChar w:fldCharType="end"/>
        </w:r>
      </w:hyperlink>
    </w:p>
    <w:p w14:paraId="47B9309C" w14:textId="7B7AFAD5" w:rsidR="008618F2" w:rsidRDefault="009B5CEC" w:rsidP="008618F2">
      <w:pPr>
        <w:pStyle w:val="TOC1"/>
        <w:spacing w:before="100"/>
        <w:rPr>
          <w:rFonts w:asciiTheme="minorHAnsi" w:eastAsiaTheme="minorEastAsia" w:hAnsiTheme="minorHAnsi" w:cstheme="minorBidi"/>
          <w:b w:val="0"/>
          <w:noProof/>
          <w:szCs w:val="22"/>
          <w:lang w:eastAsia="en-GB"/>
        </w:rPr>
      </w:pPr>
      <w:hyperlink w:anchor="_Toc134198378" w:history="1">
        <w:r w:rsidR="008618F2" w:rsidRPr="00DC3933">
          <w:rPr>
            <w:rStyle w:val="Hyperlink"/>
            <w:noProof/>
            <w:lang w:eastAsia="en-US"/>
          </w:rPr>
          <w:t>Annex M</w:t>
        </w:r>
        <w:r w:rsidR="008618F2" w:rsidRPr="00DC3933">
          <w:rPr>
            <w:rStyle w:val="Hyperlink"/>
            <w:bCs/>
            <w:noProof/>
          </w:rPr>
          <w:t xml:space="preserve"> (informative) </w:t>
        </w:r>
        <w:r w:rsidR="008618F2" w:rsidRPr="00DC3933">
          <w:rPr>
            <w:rStyle w:val="Hyperlink"/>
            <w:noProof/>
          </w:rPr>
          <w:t xml:space="preserve"> </w:t>
        </w:r>
        <w:r w:rsidR="008618F2" w:rsidRPr="00DC3933">
          <w:rPr>
            <w:rStyle w:val="Hyperlink"/>
            <w:rFonts w:eastAsia="Cambria"/>
            <w:bCs/>
            <w:noProof/>
          </w:rPr>
          <w:t>Material or product properties in EN 1998-1-2</w:t>
        </w:r>
        <w:r w:rsidR="008618F2">
          <w:rPr>
            <w:noProof/>
            <w:webHidden/>
          </w:rPr>
          <w:tab/>
        </w:r>
        <w:r w:rsidR="008618F2">
          <w:rPr>
            <w:noProof/>
            <w:webHidden/>
          </w:rPr>
          <w:fldChar w:fldCharType="begin"/>
        </w:r>
        <w:r w:rsidR="008618F2">
          <w:rPr>
            <w:noProof/>
            <w:webHidden/>
          </w:rPr>
          <w:instrText xml:space="preserve"> PAGEREF _Toc134198378 \h </w:instrText>
        </w:r>
        <w:r w:rsidR="008618F2">
          <w:rPr>
            <w:noProof/>
            <w:webHidden/>
          </w:rPr>
        </w:r>
        <w:r w:rsidR="008618F2">
          <w:rPr>
            <w:noProof/>
            <w:webHidden/>
          </w:rPr>
          <w:fldChar w:fldCharType="separate"/>
        </w:r>
        <w:r w:rsidR="000720CB">
          <w:rPr>
            <w:noProof/>
            <w:webHidden/>
          </w:rPr>
          <w:t>388</w:t>
        </w:r>
        <w:r w:rsidR="008618F2">
          <w:rPr>
            <w:noProof/>
            <w:webHidden/>
          </w:rPr>
          <w:fldChar w:fldCharType="end"/>
        </w:r>
      </w:hyperlink>
    </w:p>
    <w:p w14:paraId="268A9FF3" w14:textId="6954506D" w:rsidR="008618F2" w:rsidRDefault="009B5CEC">
      <w:pPr>
        <w:pStyle w:val="TOC2"/>
        <w:rPr>
          <w:rFonts w:asciiTheme="minorHAnsi" w:eastAsiaTheme="minorEastAsia" w:hAnsiTheme="minorHAnsi" w:cstheme="minorBidi"/>
          <w:b w:val="0"/>
          <w:noProof/>
          <w:szCs w:val="22"/>
          <w:lang w:eastAsia="en-GB"/>
        </w:rPr>
      </w:pPr>
      <w:hyperlink w:anchor="_Toc134198379" w:history="1">
        <w:r w:rsidR="008618F2" w:rsidRPr="00DC3933">
          <w:rPr>
            <w:rStyle w:val="Hyperlink"/>
            <w:noProof/>
          </w:rPr>
          <w:t>M.1</w:t>
        </w:r>
        <w:r w:rsidR="008618F2">
          <w:rPr>
            <w:rFonts w:asciiTheme="minorHAnsi" w:eastAsiaTheme="minorEastAsia" w:hAnsiTheme="minorHAnsi" w:cstheme="minorBidi"/>
            <w:b w:val="0"/>
            <w:noProof/>
            <w:szCs w:val="22"/>
            <w:lang w:eastAsia="en-GB"/>
          </w:rPr>
          <w:tab/>
        </w:r>
        <w:r w:rsidR="008618F2" w:rsidRPr="00DC3933">
          <w:rPr>
            <w:rStyle w:val="Hyperlink"/>
            <w:noProof/>
          </w:rPr>
          <w:t>Use of this annex</w:t>
        </w:r>
        <w:r w:rsidR="008618F2">
          <w:rPr>
            <w:noProof/>
            <w:webHidden/>
          </w:rPr>
          <w:tab/>
        </w:r>
        <w:r w:rsidR="008618F2">
          <w:rPr>
            <w:noProof/>
            <w:webHidden/>
          </w:rPr>
          <w:fldChar w:fldCharType="begin"/>
        </w:r>
        <w:r w:rsidR="008618F2">
          <w:rPr>
            <w:noProof/>
            <w:webHidden/>
          </w:rPr>
          <w:instrText xml:space="preserve"> PAGEREF _Toc134198379 \h </w:instrText>
        </w:r>
        <w:r w:rsidR="008618F2">
          <w:rPr>
            <w:noProof/>
            <w:webHidden/>
          </w:rPr>
        </w:r>
        <w:r w:rsidR="008618F2">
          <w:rPr>
            <w:noProof/>
            <w:webHidden/>
          </w:rPr>
          <w:fldChar w:fldCharType="separate"/>
        </w:r>
        <w:r w:rsidR="000720CB">
          <w:rPr>
            <w:noProof/>
            <w:webHidden/>
          </w:rPr>
          <w:t>388</w:t>
        </w:r>
        <w:r w:rsidR="008618F2">
          <w:rPr>
            <w:noProof/>
            <w:webHidden/>
          </w:rPr>
          <w:fldChar w:fldCharType="end"/>
        </w:r>
      </w:hyperlink>
    </w:p>
    <w:p w14:paraId="2F26E77F" w14:textId="6E97FEF7" w:rsidR="008618F2" w:rsidRDefault="009B5CEC">
      <w:pPr>
        <w:pStyle w:val="TOC2"/>
        <w:rPr>
          <w:rFonts w:asciiTheme="minorHAnsi" w:eastAsiaTheme="minorEastAsia" w:hAnsiTheme="minorHAnsi" w:cstheme="minorBidi"/>
          <w:b w:val="0"/>
          <w:noProof/>
          <w:szCs w:val="22"/>
          <w:lang w:eastAsia="en-GB"/>
        </w:rPr>
      </w:pPr>
      <w:hyperlink w:anchor="_Toc134198380" w:history="1">
        <w:r w:rsidR="008618F2" w:rsidRPr="00DC3933">
          <w:rPr>
            <w:rStyle w:val="Hyperlink"/>
            <w:noProof/>
          </w:rPr>
          <w:t>M.2</w:t>
        </w:r>
        <w:r w:rsidR="008618F2">
          <w:rPr>
            <w:rFonts w:asciiTheme="minorHAnsi" w:eastAsiaTheme="minorEastAsia" w:hAnsiTheme="minorHAnsi" w:cstheme="minorBidi"/>
            <w:b w:val="0"/>
            <w:noProof/>
            <w:szCs w:val="22"/>
            <w:lang w:eastAsia="en-GB"/>
          </w:rPr>
          <w:tab/>
        </w:r>
        <w:r w:rsidR="008618F2" w:rsidRPr="00DC3933">
          <w:rPr>
            <w:rStyle w:val="Hyperlink"/>
            <w:noProof/>
          </w:rPr>
          <w:t>Scope and field of application</w:t>
        </w:r>
        <w:r w:rsidR="008618F2">
          <w:rPr>
            <w:noProof/>
            <w:webHidden/>
          </w:rPr>
          <w:tab/>
        </w:r>
        <w:r w:rsidR="008618F2">
          <w:rPr>
            <w:noProof/>
            <w:webHidden/>
          </w:rPr>
          <w:fldChar w:fldCharType="begin"/>
        </w:r>
        <w:r w:rsidR="008618F2">
          <w:rPr>
            <w:noProof/>
            <w:webHidden/>
          </w:rPr>
          <w:instrText xml:space="preserve"> PAGEREF _Toc134198380 \h </w:instrText>
        </w:r>
        <w:r w:rsidR="008618F2">
          <w:rPr>
            <w:noProof/>
            <w:webHidden/>
          </w:rPr>
        </w:r>
        <w:r w:rsidR="008618F2">
          <w:rPr>
            <w:noProof/>
            <w:webHidden/>
          </w:rPr>
          <w:fldChar w:fldCharType="separate"/>
        </w:r>
        <w:r w:rsidR="000720CB">
          <w:rPr>
            <w:noProof/>
            <w:webHidden/>
          </w:rPr>
          <w:t>388</w:t>
        </w:r>
        <w:r w:rsidR="008618F2">
          <w:rPr>
            <w:noProof/>
            <w:webHidden/>
          </w:rPr>
          <w:fldChar w:fldCharType="end"/>
        </w:r>
      </w:hyperlink>
    </w:p>
    <w:p w14:paraId="028BD226" w14:textId="7531986F" w:rsidR="008618F2" w:rsidRDefault="009B5CEC" w:rsidP="008618F2">
      <w:pPr>
        <w:pStyle w:val="TOC1"/>
        <w:spacing w:before="100"/>
        <w:rPr>
          <w:rFonts w:asciiTheme="minorHAnsi" w:eastAsiaTheme="minorEastAsia" w:hAnsiTheme="minorHAnsi" w:cstheme="minorBidi"/>
          <w:b w:val="0"/>
          <w:noProof/>
          <w:szCs w:val="22"/>
          <w:lang w:eastAsia="en-GB"/>
        </w:rPr>
      </w:pPr>
      <w:hyperlink w:anchor="_Toc134198381" w:history="1">
        <w:r w:rsidR="008618F2" w:rsidRPr="00DC3933">
          <w:rPr>
            <w:rStyle w:val="Hyperlink"/>
            <w:noProof/>
            <w:lang w:val="en-US"/>
          </w:rPr>
          <w:t>Bibliography</w:t>
        </w:r>
        <w:r w:rsidR="008618F2">
          <w:rPr>
            <w:noProof/>
            <w:webHidden/>
          </w:rPr>
          <w:tab/>
        </w:r>
        <w:r w:rsidR="008618F2">
          <w:rPr>
            <w:noProof/>
            <w:webHidden/>
          </w:rPr>
          <w:fldChar w:fldCharType="begin"/>
        </w:r>
        <w:r w:rsidR="008618F2">
          <w:rPr>
            <w:noProof/>
            <w:webHidden/>
          </w:rPr>
          <w:instrText xml:space="preserve"> PAGEREF _Toc134198381 \h </w:instrText>
        </w:r>
        <w:r w:rsidR="008618F2">
          <w:rPr>
            <w:noProof/>
            <w:webHidden/>
          </w:rPr>
        </w:r>
        <w:r w:rsidR="008618F2">
          <w:rPr>
            <w:noProof/>
            <w:webHidden/>
          </w:rPr>
          <w:fldChar w:fldCharType="separate"/>
        </w:r>
        <w:r w:rsidR="000720CB">
          <w:rPr>
            <w:noProof/>
            <w:webHidden/>
          </w:rPr>
          <w:t>390</w:t>
        </w:r>
        <w:r w:rsidR="008618F2">
          <w:rPr>
            <w:noProof/>
            <w:webHidden/>
          </w:rPr>
          <w:fldChar w:fldCharType="end"/>
        </w:r>
      </w:hyperlink>
    </w:p>
    <w:p w14:paraId="227B7F6A" w14:textId="2A0C9D2A" w:rsidR="00DB201D" w:rsidRPr="00870D59" w:rsidRDefault="005930D5" w:rsidP="008618F2">
      <w:pPr>
        <w:pStyle w:val="TOC1"/>
        <w:spacing w:before="0"/>
        <w:rPr>
          <w:noProof/>
          <w:color w:val="0000FF"/>
          <w:u w:val="single"/>
        </w:rPr>
      </w:pPr>
      <w:r w:rsidRPr="00870D59">
        <w:fldChar w:fldCharType="end"/>
      </w:r>
    </w:p>
    <w:p w14:paraId="76D3BC34" w14:textId="552EABD3" w:rsidR="00DB201D" w:rsidRPr="00870D59" w:rsidRDefault="00DB201D" w:rsidP="00DB201D">
      <w:pPr>
        <w:pStyle w:val="ForewordTitle"/>
        <w:autoSpaceDE w:val="0"/>
        <w:autoSpaceDN w:val="0"/>
        <w:adjustRightInd w:val="0"/>
        <w:spacing w:after="240"/>
        <w:rPr>
          <w:rFonts w:eastAsia="MS Mincho"/>
          <w:szCs w:val="28"/>
        </w:rPr>
      </w:pPr>
      <w:bookmarkStart w:id="0" w:name="_Toc445729939"/>
      <w:bookmarkStart w:id="1" w:name="_Toc473640197"/>
      <w:bookmarkStart w:id="2" w:name="_Toc134197739"/>
      <w:r w:rsidRPr="00870D59">
        <w:rPr>
          <w:rFonts w:eastAsia="MS Mincho"/>
          <w:szCs w:val="28"/>
        </w:rPr>
        <w:lastRenderedPageBreak/>
        <w:t>European foreword</w:t>
      </w:r>
      <w:bookmarkEnd w:id="0"/>
      <w:bookmarkEnd w:id="1"/>
      <w:bookmarkEnd w:id="2"/>
    </w:p>
    <w:p w14:paraId="5F7F10F8" w14:textId="1A268205" w:rsidR="00870D59" w:rsidRDefault="00870D59" w:rsidP="00860C13">
      <w:pPr>
        <w:pStyle w:val="Text"/>
      </w:pPr>
      <w:r w:rsidRPr="00870D59">
        <w:t>This document (</w:t>
      </w:r>
      <w:r w:rsidR="00F16BE9">
        <w:t>pr</w:t>
      </w:r>
      <w:r w:rsidRPr="00870D59">
        <w:t>EN</w:t>
      </w:r>
      <w:r w:rsidR="00F00240">
        <w:t> </w:t>
      </w:r>
      <w:r w:rsidRPr="00870D59">
        <w:t>1998-1-2</w:t>
      </w:r>
      <w:r w:rsidR="00F16BE9">
        <w:t>:2023</w:t>
      </w:r>
      <w:r w:rsidRPr="00870D59">
        <w:t>) has been prepared by Technical Committee CEN/TC</w:t>
      </w:r>
      <w:r w:rsidR="00860C13">
        <w:t> </w:t>
      </w:r>
      <w:r w:rsidRPr="00870D59">
        <w:t>250 “Structural Eurocodes”, the secretariat of which is held by BSI. CEN/TC</w:t>
      </w:r>
      <w:r w:rsidR="00860C13">
        <w:t> </w:t>
      </w:r>
      <w:r w:rsidRPr="00870D59">
        <w:t>250 is responsible for all Structural Eurocodes and has been assigned responsibility for structural and geotechnical design matters by CEN.</w:t>
      </w:r>
    </w:p>
    <w:p w14:paraId="5256A74C" w14:textId="28EA907A" w:rsidR="002061E5" w:rsidRPr="00870D59" w:rsidRDefault="002061E5" w:rsidP="00860C13">
      <w:pPr>
        <w:pStyle w:val="Text"/>
      </w:pPr>
      <w:r>
        <w:t>This document is currently submitted to the CEN Enquiry.</w:t>
      </w:r>
    </w:p>
    <w:p w14:paraId="28BAD8E1" w14:textId="6C03A4C9" w:rsidR="00870D59" w:rsidRPr="00870D59" w:rsidRDefault="00870D59" w:rsidP="00860C13">
      <w:pPr>
        <w:pStyle w:val="Text"/>
      </w:pPr>
      <w:r w:rsidRPr="00FB297C">
        <w:t>This document will supersede part of EN 1998-1:200</w:t>
      </w:r>
      <w:r w:rsidR="00B272E6" w:rsidRPr="00FB297C">
        <w:t>4</w:t>
      </w:r>
      <w:r w:rsidRPr="00FB297C">
        <w:t>.</w:t>
      </w:r>
    </w:p>
    <w:p w14:paraId="231F00F6" w14:textId="77777777" w:rsidR="00870D59" w:rsidRPr="00870D59" w:rsidRDefault="00870D59" w:rsidP="00860C13">
      <w:pPr>
        <w:pStyle w:val="Text"/>
      </w:pPr>
      <w:r w:rsidRPr="00870D59">
        <w:t>The first generation of EN Eurocodes was published between 2002 and 2007. This document forms part of the second generation of the Eurocodes, which have been prepared under Mandate M/515 issued to CEN by the European Commission and the European Free Trade Association.</w:t>
      </w:r>
    </w:p>
    <w:p w14:paraId="7774B34F" w14:textId="77777777" w:rsidR="00870D59" w:rsidRPr="00870D59" w:rsidRDefault="00870D59" w:rsidP="00860C13">
      <w:pPr>
        <w:pStyle w:val="Text"/>
      </w:pPr>
      <w:r w:rsidRPr="00870D59">
        <w:t>The Eurocodes have been drafted to be used in conjunction with relevant execution, material, product and test standards, and to identify requirements for execution, materials, products and testing that are relied upon by the Eurocodes.</w:t>
      </w:r>
    </w:p>
    <w:p w14:paraId="61D76ACA" w14:textId="3A5ACE1D" w:rsidR="00550AA1" w:rsidRDefault="00870D59" w:rsidP="00860C13">
      <w:pPr>
        <w:pStyle w:val="Text"/>
      </w:pPr>
      <w:r w:rsidRPr="00870D59">
        <w:t>The Eurocodes recogni</w:t>
      </w:r>
      <w:r w:rsidR="00B272E6">
        <w:t>z</w:t>
      </w:r>
      <w:r w:rsidRPr="00870D59">
        <w:t>e the responsibility of each Member State and have safeguarded their right to determine values related to regulatory safety matters at national level through the use of National Annexes.</w:t>
      </w:r>
    </w:p>
    <w:p w14:paraId="3A045092" w14:textId="2A6AFF16" w:rsidR="00F16BE9" w:rsidRPr="00870D59" w:rsidRDefault="008A3675" w:rsidP="00860C13">
      <w:pPr>
        <w:pStyle w:val="Text"/>
      </w:pPr>
      <w:r>
        <w:rPr>
          <w:szCs w:val="22"/>
        </w:rPr>
        <w:t>A list of t</w:t>
      </w:r>
      <w:r w:rsidR="00F16BE9">
        <w:rPr>
          <w:szCs w:val="22"/>
        </w:rPr>
        <w:t xml:space="preserve">he main changes compared to the previous edition </w:t>
      </w:r>
      <w:r w:rsidR="009D0087">
        <w:rPr>
          <w:szCs w:val="22"/>
        </w:rPr>
        <w:t>will</w:t>
      </w:r>
      <w:r w:rsidR="00F16BE9">
        <w:rPr>
          <w:szCs w:val="22"/>
        </w:rPr>
        <w:t xml:space="preserve"> be added at F</w:t>
      </w:r>
      <w:r>
        <w:rPr>
          <w:szCs w:val="22"/>
        </w:rPr>
        <w:t>ormal Vote.</w:t>
      </w:r>
    </w:p>
    <w:p w14:paraId="06244D18" w14:textId="22602721" w:rsidR="00DB201D" w:rsidRPr="00870D59" w:rsidRDefault="00CA5D91" w:rsidP="00DB201D">
      <w:pPr>
        <w:pStyle w:val="IntroTitle"/>
        <w:autoSpaceDE w:val="0"/>
        <w:autoSpaceDN w:val="0"/>
        <w:adjustRightInd w:val="0"/>
        <w:rPr>
          <w:rFonts w:eastAsia="MS Mincho"/>
          <w:szCs w:val="24"/>
        </w:rPr>
      </w:pPr>
      <w:bookmarkStart w:id="3" w:name="_Toc445729940"/>
      <w:bookmarkStart w:id="4" w:name="_Toc473640198"/>
      <w:bookmarkStart w:id="5" w:name="_Toc134197740"/>
      <w:bookmarkStart w:id="6" w:name="_Hlk119228047"/>
      <w:r>
        <w:rPr>
          <w:rFonts w:eastAsia="MS Mincho"/>
          <w:szCs w:val="24"/>
        </w:rPr>
        <w:lastRenderedPageBreak/>
        <w:t>0</w:t>
      </w:r>
      <w:r>
        <w:rPr>
          <w:rFonts w:eastAsia="MS Mincho"/>
          <w:szCs w:val="24"/>
        </w:rPr>
        <w:tab/>
      </w:r>
      <w:r w:rsidR="00DB201D" w:rsidRPr="00870D59">
        <w:rPr>
          <w:rFonts w:eastAsia="MS Mincho"/>
          <w:szCs w:val="24"/>
        </w:rPr>
        <w:t>Introduction</w:t>
      </w:r>
      <w:bookmarkEnd w:id="3"/>
      <w:bookmarkEnd w:id="4"/>
      <w:bookmarkEnd w:id="5"/>
    </w:p>
    <w:p w14:paraId="579C0134" w14:textId="1D670B8B" w:rsidR="00C21349" w:rsidRPr="00B272E6" w:rsidRDefault="00B272E6" w:rsidP="00B272E6">
      <w:pPr>
        <w:pStyle w:val="p2"/>
        <w:rPr>
          <w:b/>
          <w:sz w:val="24"/>
        </w:rPr>
      </w:pPr>
      <w:bookmarkStart w:id="7" w:name="_Toc85833531"/>
      <w:bookmarkStart w:id="8" w:name="_Toc445729941"/>
      <w:bookmarkEnd w:id="6"/>
      <w:r w:rsidRPr="00B272E6">
        <w:rPr>
          <w:b/>
          <w:sz w:val="24"/>
        </w:rPr>
        <w:t>0.1</w:t>
      </w:r>
      <w:r w:rsidRPr="00B272E6">
        <w:rPr>
          <w:b/>
          <w:sz w:val="24"/>
        </w:rPr>
        <w:tab/>
      </w:r>
      <w:r w:rsidR="00C21349" w:rsidRPr="00B272E6">
        <w:rPr>
          <w:b/>
          <w:sz w:val="24"/>
        </w:rPr>
        <w:t>Introduction to the Eurocodes</w:t>
      </w:r>
      <w:bookmarkEnd w:id="7"/>
    </w:p>
    <w:p w14:paraId="745CFCDC" w14:textId="0E4A0502" w:rsidR="00870D59" w:rsidRPr="00870D59" w:rsidRDefault="00870D59" w:rsidP="00B272E6">
      <w:pPr>
        <w:pStyle w:val="Text"/>
        <w:spacing w:after="160"/>
        <w:rPr>
          <w:szCs w:val="22"/>
        </w:rPr>
      </w:pPr>
      <w:r w:rsidRPr="00870D59">
        <w:rPr>
          <w:szCs w:val="22"/>
        </w:rPr>
        <w:t xml:space="preserve">The Structural Eurocodes comprise the following standards generally consisting of a number of </w:t>
      </w:r>
      <w:r w:rsidR="004421AF">
        <w:rPr>
          <w:szCs w:val="22"/>
        </w:rPr>
        <w:t>p</w:t>
      </w:r>
      <w:r w:rsidRPr="00870D59">
        <w:rPr>
          <w:szCs w:val="22"/>
        </w:rPr>
        <w:t>arts:</w:t>
      </w:r>
    </w:p>
    <w:p w14:paraId="2E5D8061" w14:textId="08FE0E18" w:rsidR="00870D59" w:rsidRPr="00870D59" w:rsidRDefault="00B272E6" w:rsidP="00B272E6">
      <w:pPr>
        <w:pStyle w:val="ListContinue"/>
        <w:spacing w:after="200"/>
        <w:ind w:left="0"/>
      </w:pPr>
      <w:r>
        <w:t>—</w:t>
      </w:r>
      <w:r>
        <w:tab/>
      </w:r>
      <w:r w:rsidR="00870D59" w:rsidRPr="00870D59">
        <w:t>EN 1990 Eurocode: Basis of structural and geotechnical design</w:t>
      </w:r>
    </w:p>
    <w:p w14:paraId="5412D7D6" w14:textId="5EC1319E" w:rsidR="00870D59" w:rsidRPr="00005FB5" w:rsidRDefault="00B272E6" w:rsidP="00B272E6">
      <w:pPr>
        <w:pStyle w:val="Text"/>
        <w:spacing w:after="200"/>
        <w:rPr>
          <w:szCs w:val="22"/>
          <w:lang w:val="fr-BE"/>
        </w:rPr>
      </w:pPr>
      <w:r w:rsidRPr="00005FB5">
        <w:rPr>
          <w:lang w:val="fr-BE"/>
        </w:rPr>
        <w:t>—</w:t>
      </w:r>
      <w:r w:rsidRPr="00005FB5">
        <w:rPr>
          <w:lang w:val="fr-BE"/>
        </w:rPr>
        <w:tab/>
      </w:r>
      <w:r w:rsidR="00870D59" w:rsidRPr="00005FB5">
        <w:rPr>
          <w:szCs w:val="22"/>
          <w:lang w:val="fr-BE"/>
        </w:rPr>
        <w:t>EN 1991 Eurocode 1: Actions on structures</w:t>
      </w:r>
    </w:p>
    <w:p w14:paraId="71EF1B55" w14:textId="3A0264AE" w:rsidR="00870D59" w:rsidRPr="00005FB5" w:rsidRDefault="00B272E6" w:rsidP="00B272E6">
      <w:pPr>
        <w:pStyle w:val="Text"/>
        <w:spacing w:after="200"/>
        <w:rPr>
          <w:lang w:val="fr-BE"/>
        </w:rPr>
      </w:pPr>
      <w:r w:rsidRPr="00005FB5">
        <w:rPr>
          <w:lang w:val="fr-BE"/>
        </w:rPr>
        <w:t>—</w:t>
      </w:r>
      <w:r w:rsidRPr="00005FB5">
        <w:rPr>
          <w:lang w:val="fr-BE"/>
        </w:rPr>
        <w:tab/>
      </w:r>
      <w:r w:rsidR="00870D59" w:rsidRPr="00005FB5">
        <w:rPr>
          <w:lang w:val="fr-BE"/>
        </w:rPr>
        <w:t>EN 1992 Eurocode 2: Design of concrete structures</w:t>
      </w:r>
    </w:p>
    <w:p w14:paraId="7CF88FF9" w14:textId="08DD3D75" w:rsidR="00870D59" w:rsidRPr="00005FB5" w:rsidRDefault="00B272E6" w:rsidP="00B272E6">
      <w:pPr>
        <w:pStyle w:val="Text"/>
        <w:spacing w:after="200"/>
        <w:rPr>
          <w:lang w:val="fr-BE"/>
        </w:rPr>
      </w:pPr>
      <w:r w:rsidRPr="00005FB5">
        <w:rPr>
          <w:lang w:val="fr-BE"/>
        </w:rPr>
        <w:t>—</w:t>
      </w:r>
      <w:r w:rsidRPr="00005FB5">
        <w:rPr>
          <w:lang w:val="fr-BE"/>
        </w:rPr>
        <w:tab/>
      </w:r>
      <w:r w:rsidR="00870D59" w:rsidRPr="00005FB5">
        <w:rPr>
          <w:lang w:val="fr-BE"/>
        </w:rPr>
        <w:t>EN 1993 Eurocode 3: Design of steel structures</w:t>
      </w:r>
    </w:p>
    <w:p w14:paraId="66B84CA6" w14:textId="2A8B679B" w:rsidR="00870D59" w:rsidRPr="00005FB5" w:rsidRDefault="00B272E6" w:rsidP="00B272E6">
      <w:pPr>
        <w:pStyle w:val="Text"/>
        <w:spacing w:after="200"/>
        <w:rPr>
          <w:lang w:val="fr-BE"/>
        </w:rPr>
      </w:pPr>
      <w:r w:rsidRPr="00005FB5">
        <w:rPr>
          <w:lang w:val="fr-BE"/>
        </w:rPr>
        <w:t>—</w:t>
      </w:r>
      <w:r w:rsidRPr="00005FB5">
        <w:rPr>
          <w:lang w:val="fr-BE"/>
        </w:rPr>
        <w:tab/>
      </w:r>
      <w:r w:rsidR="00870D59" w:rsidRPr="00005FB5">
        <w:rPr>
          <w:lang w:val="fr-BE"/>
        </w:rPr>
        <w:t>EN 1994 Eurocode 4: Design of composite steel and concrete structures</w:t>
      </w:r>
    </w:p>
    <w:p w14:paraId="47616C9F" w14:textId="41125E54" w:rsidR="00870D59" w:rsidRPr="00005FB5" w:rsidRDefault="00B272E6" w:rsidP="00B272E6">
      <w:pPr>
        <w:pStyle w:val="Text"/>
        <w:spacing w:after="200"/>
        <w:rPr>
          <w:lang w:val="fr-BE"/>
        </w:rPr>
      </w:pPr>
      <w:r w:rsidRPr="00005FB5">
        <w:rPr>
          <w:lang w:val="fr-BE"/>
        </w:rPr>
        <w:t>—</w:t>
      </w:r>
      <w:r w:rsidRPr="00005FB5">
        <w:rPr>
          <w:lang w:val="fr-BE"/>
        </w:rPr>
        <w:tab/>
      </w:r>
      <w:r w:rsidR="00870D59" w:rsidRPr="00005FB5">
        <w:rPr>
          <w:lang w:val="fr-BE"/>
        </w:rPr>
        <w:t>EN 1995 Eurocode 5: Design of timber structures</w:t>
      </w:r>
    </w:p>
    <w:p w14:paraId="7F90F450" w14:textId="78B99F1E" w:rsidR="00870D59" w:rsidRPr="00B272E6" w:rsidRDefault="00B272E6" w:rsidP="00B272E6">
      <w:pPr>
        <w:pStyle w:val="Text"/>
        <w:spacing w:after="200"/>
      </w:pPr>
      <w:r>
        <w:t>—</w:t>
      </w:r>
      <w:r>
        <w:tab/>
      </w:r>
      <w:r w:rsidR="00870D59" w:rsidRPr="00B272E6">
        <w:t>EN 1996 Eurocode 6: Design of masonry structures</w:t>
      </w:r>
    </w:p>
    <w:p w14:paraId="76F9981F" w14:textId="041A439A" w:rsidR="00870D59" w:rsidRPr="00B272E6" w:rsidRDefault="00B272E6" w:rsidP="00B272E6">
      <w:pPr>
        <w:pStyle w:val="Text"/>
        <w:spacing w:after="200"/>
      </w:pPr>
      <w:r>
        <w:t>—</w:t>
      </w:r>
      <w:r>
        <w:tab/>
      </w:r>
      <w:r w:rsidR="00870D59" w:rsidRPr="00B272E6">
        <w:t>EN 1997 Eurocode 7: Geotechnical design</w:t>
      </w:r>
    </w:p>
    <w:p w14:paraId="604DCF3A" w14:textId="7EA02E9A" w:rsidR="00870D59" w:rsidRPr="00B272E6" w:rsidRDefault="00B272E6" w:rsidP="00B272E6">
      <w:pPr>
        <w:pStyle w:val="Text"/>
        <w:spacing w:after="200"/>
      </w:pPr>
      <w:r>
        <w:t>—</w:t>
      </w:r>
      <w:r>
        <w:tab/>
      </w:r>
      <w:r w:rsidR="00870D59" w:rsidRPr="00B272E6">
        <w:t>EN 1998 Eurocode 8: Design of structures for earthquake resistance</w:t>
      </w:r>
    </w:p>
    <w:p w14:paraId="2413C88D" w14:textId="6228CAF8" w:rsidR="00870D59" w:rsidRPr="00B272E6" w:rsidRDefault="00B272E6" w:rsidP="00B272E6">
      <w:pPr>
        <w:pStyle w:val="Text"/>
        <w:spacing w:after="200"/>
      </w:pPr>
      <w:r>
        <w:t>—</w:t>
      </w:r>
      <w:r>
        <w:tab/>
      </w:r>
      <w:r w:rsidR="00870D59" w:rsidRPr="00B272E6">
        <w:t>EN 1999 Eurocode 9: Design of aluminium structures</w:t>
      </w:r>
    </w:p>
    <w:p w14:paraId="132C5EC6" w14:textId="51FF8434" w:rsidR="00F16BE9" w:rsidRPr="00B272E6" w:rsidRDefault="00B272E6" w:rsidP="00B272E6">
      <w:pPr>
        <w:pStyle w:val="Text"/>
        <w:spacing w:after="200"/>
      </w:pPr>
      <w:r>
        <w:t>—</w:t>
      </w:r>
      <w:r>
        <w:tab/>
      </w:r>
      <w:r w:rsidR="00F16BE9" w:rsidRPr="00B272E6">
        <w:t>New parts are under development, e.g. Eurocode for design of structural glass</w:t>
      </w:r>
    </w:p>
    <w:p w14:paraId="3138D44C" w14:textId="3096A8B2" w:rsidR="00C21349" w:rsidRPr="00870D59" w:rsidRDefault="00870D59" w:rsidP="009640B8">
      <w:pPr>
        <w:pStyle w:val="Text"/>
      </w:pPr>
      <w:r w:rsidRPr="00870D59">
        <w:t>The Eurocodes are intended for use by designers, clients, manufacturers, constructors, relevant authorities (in exercising their duties in accordance with national or international regulations), educators, software developers and committees drafting standards for related product, testing and execution standards.</w:t>
      </w:r>
    </w:p>
    <w:p w14:paraId="5261A758" w14:textId="27DE6C76" w:rsidR="00C21349" w:rsidRPr="00870D59" w:rsidRDefault="00636B6B" w:rsidP="00B272E6">
      <w:pPr>
        <w:pStyle w:val="Note"/>
        <w:spacing w:after="200"/>
      </w:pPr>
      <w:r w:rsidRPr="00870D59">
        <w:t>NOTE</w:t>
      </w:r>
      <w:r w:rsidRPr="00870D59">
        <w:tab/>
      </w:r>
      <w:r w:rsidR="00870D59" w:rsidRPr="00870D59">
        <w:t>Some aspects of design are most appropriately specified by relevant authorities or, where not specified, can be agreed on a project-specific basis between relevant parties such as designers and clients. The Eurocodes identify such aspects making explicit reference to relevant authorities and relevant parties.</w:t>
      </w:r>
    </w:p>
    <w:p w14:paraId="3869375C" w14:textId="7A9D185D" w:rsidR="00636B6B" w:rsidRPr="00B272E6" w:rsidRDefault="00B272E6" w:rsidP="00B272E6">
      <w:pPr>
        <w:pStyle w:val="p2"/>
        <w:rPr>
          <w:b/>
          <w:sz w:val="24"/>
        </w:rPr>
      </w:pPr>
      <w:r>
        <w:rPr>
          <w:b/>
          <w:sz w:val="24"/>
        </w:rPr>
        <w:t>0.2</w:t>
      </w:r>
      <w:r>
        <w:rPr>
          <w:b/>
          <w:sz w:val="24"/>
        </w:rPr>
        <w:tab/>
      </w:r>
      <w:r w:rsidR="00B57C2C" w:rsidRPr="00B272E6">
        <w:rPr>
          <w:b/>
          <w:sz w:val="24"/>
        </w:rPr>
        <w:t>Introduction to EN</w:t>
      </w:r>
      <w:r w:rsidR="006501DF" w:rsidRPr="00B272E6">
        <w:rPr>
          <w:b/>
          <w:sz w:val="24"/>
        </w:rPr>
        <w:t> </w:t>
      </w:r>
      <w:r w:rsidR="00B57C2C" w:rsidRPr="00B272E6">
        <w:rPr>
          <w:b/>
          <w:sz w:val="24"/>
        </w:rPr>
        <w:t xml:space="preserve">1998 </w:t>
      </w:r>
      <w:r w:rsidR="00F16BE9" w:rsidRPr="00B272E6">
        <w:rPr>
          <w:b/>
          <w:sz w:val="24"/>
        </w:rPr>
        <w:t>(all parts)</w:t>
      </w:r>
    </w:p>
    <w:p w14:paraId="778DF065" w14:textId="58DD6787" w:rsidR="00B1418A" w:rsidRPr="00B1418A" w:rsidRDefault="00B1418A" w:rsidP="00860C13">
      <w:pPr>
        <w:pStyle w:val="Text"/>
      </w:pPr>
      <w:r w:rsidRPr="00B1418A">
        <w:t>EN</w:t>
      </w:r>
      <w:r>
        <w:t> </w:t>
      </w:r>
      <w:r w:rsidRPr="00B1418A">
        <w:t>1998 define</w:t>
      </w:r>
      <w:r>
        <w:t>s</w:t>
      </w:r>
      <w:r w:rsidRPr="00B1418A">
        <w:t xml:space="preserve"> the rules for the seismic design of new buildings and engineering works and the assessment and retrofit of existing ones, including geotechnical aspects, as well as temporary structures.</w:t>
      </w:r>
    </w:p>
    <w:p w14:paraId="1B4C5718" w14:textId="77777777" w:rsidR="00B1418A" w:rsidRPr="00B1418A" w:rsidRDefault="00B1418A" w:rsidP="00B272E6">
      <w:pPr>
        <w:pStyle w:val="Note"/>
        <w:spacing w:after="200"/>
      </w:pPr>
      <w:r w:rsidRPr="00B1418A">
        <w:t>NOTE</w:t>
      </w:r>
      <w:r w:rsidRPr="00B1418A">
        <w:tab/>
        <w:t>This standard also covers the verification of structures in the seismic situation during construction, when required.</w:t>
      </w:r>
    </w:p>
    <w:p w14:paraId="3AE38F30" w14:textId="5CF00F69" w:rsidR="00B1418A" w:rsidRDefault="00B1418A" w:rsidP="00860C13">
      <w:pPr>
        <w:pStyle w:val="Text"/>
      </w:pPr>
      <w:bookmarkStart w:id="9" w:name="_Hlk119227931"/>
      <w:r w:rsidRPr="00B1418A">
        <w:t>Attention should be paid to the fact that, for the design of structures in seismic regions, the provisions of EN</w:t>
      </w:r>
      <w:r>
        <w:t> </w:t>
      </w:r>
      <w:r w:rsidRPr="00B1418A">
        <w:t>1998 should be applied in addition to the relevant provisions of EN</w:t>
      </w:r>
      <w:r>
        <w:t> </w:t>
      </w:r>
      <w:r w:rsidRPr="00B1418A">
        <w:t>1990 to EN</w:t>
      </w:r>
      <w:r>
        <w:t> </w:t>
      </w:r>
      <w:r w:rsidRPr="00B1418A">
        <w:t>1997 and EN</w:t>
      </w:r>
      <w:r>
        <w:t> </w:t>
      </w:r>
      <w:r w:rsidRPr="00B1418A">
        <w:t>1999. In particular, EN</w:t>
      </w:r>
      <w:r>
        <w:t> </w:t>
      </w:r>
      <w:r w:rsidRPr="00B1418A">
        <w:t>1998 should be applied to structures of consequence classes CC1, CC2 and CC3, as defined in EN</w:t>
      </w:r>
      <w:r>
        <w:t> </w:t>
      </w:r>
      <w:r w:rsidRPr="00B1418A">
        <w:t>1990:202</w:t>
      </w:r>
      <w:r w:rsidR="00292E46">
        <w:t>3</w:t>
      </w:r>
      <w:r w:rsidRPr="00B1418A">
        <w:t>, 4.3. Structures of consequence class CC4 are not fully covered by the Eurocodes but may be required to follow EN</w:t>
      </w:r>
      <w:r>
        <w:t> </w:t>
      </w:r>
      <w:r w:rsidRPr="00B1418A">
        <w:t>1998, or parts of it, by the relevant Authorities.</w:t>
      </w:r>
    </w:p>
    <w:p w14:paraId="26F49498" w14:textId="7405E785" w:rsidR="00BB3A09" w:rsidRPr="00BB3A09" w:rsidRDefault="00BB3A09" w:rsidP="00860C13">
      <w:pPr>
        <w:pStyle w:val="Text"/>
      </w:pPr>
      <w:bookmarkStart w:id="10" w:name="_Hlk119227956"/>
      <w:bookmarkEnd w:id="9"/>
      <w:r w:rsidRPr="00BB3A09">
        <w:t>By nature, perfect protection (a null seismic risk) against earthquakes is not feasible</w:t>
      </w:r>
      <w:r w:rsidR="004421AF">
        <w:t xml:space="preserve"> in practice</w:t>
      </w:r>
      <w:r w:rsidRPr="00BB3A09">
        <w:t xml:space="preserve">, </w:t>
      </w:r>
      <w:r w:rsidR="004421AF">
        <w:t>namely</w:t>
      </w:r>
      <w:r w:rsidRPr="00BB3A09">
        <w:t xml:space="preserve"> because the knowledge of the hazard itself is characteri</w:t>
      </w:r>
      <w:r w:rsidR="004421AF">
        <w:t>z</w:t>
      </w:r>
      <w:r w:rsidRPr="00BB3A09">
        <w:t xml:space="preserve">ed by a significant uncertainty. Therefore, in Eurocode 8, the seismic action is represented in a conventional form, proportional in amplitude to earthquakes likely to occur at a given location and representative of their frequency content. This representation is not the prediction of a particular seismic movement, and such a movement could give rise to more severe effects than those of the seismic action considered, inflicting damage greater than the one described by the Limit States contemplated in this </w:t>
      </w:r>
      <w:r w:rsidR="00B272E6">
        <w:t>s</w:t>
      </w:r>
      <w:r w:rsidRPr="00BB3A09">
        <w:t>tandard.</w:t>
      </w:r>
    </w:p>
    <w:bookmarkEnd w:id="10"/>
    <w:p w14:paraId="3E79181A" w14:textId="670D90E4" w:rsidR="00BB3A09" w:rsidRDefault="00BB3A09" w:rsidP="00860C13">
      <w:pPr>
        <w:pStyle w:val="Text"/>
      </w:pPr>
      <w:r w:rsidRPr="00BB3A09">
        <w:lastRenderedPageBreak/>
        <w:t>Not only the seismic action cannot be predicted, but in addition, it should be recogni</w:t>
      </w:r>
      <w:r w:rsidR="00B272E6">
        <w:t>z</w:t>
      </w:r>
      <w:r w:rsidRPr="00BB3A09">
        <w:t xml:space="preserve">ed that engineering methods are not perfectly predictive when considering the effects of this specific action, under which structures are assumed to respond in the non-linear regime. Such uncertainties are taken into account according to the general </w:t>
      </w:r>
      <w:r w:rsidR="004421AF">
        <w:t xml:space="preserve">framework of </w:t>
      </w:r>
      <w:r w:rsidRPr="00BB3A09">
        <w:t>EN</w:t>
      </w:r>
      <w:r w:rsidR="004421AF">
        <w:t> </w:t>
      </w:r>
      <w:r w:rsidRPr="00BB3A09">
        <w:t>1990</w:t>
      </w:r>
      <w:r w:rsidR="004421AF">
        <w:t>,</w:t>
      </w:r>
      <w:r w:rsidRPr="00BB3A09">
        <w:t xml:space="preserve"> with a residual risk of underestimation of the</w:t>
      </w:r>
      <w:r w:rsidR="0098779F">
        <w:t>ir</w:t>
      </w:r>
      <w:r w:rsidRPr="00BB3A09">
        <w:t xml:space="preserve"> effects.</w:t>
      </w:r>
    </w:p>
    <w:p w14:paraId="29D333BB" w14:textId="2E0B59DA" w:rsidR="008C45AF" w:rsidRPr="00E3282A" w:rsidRDefault="00F16BE9" w:rsidP="00860C13">
      <w:pPr>
        <w:pStyle w:val="Text"/>
      </w:pPr>
      <w:r>
        <w:rPr>
          <w:szCs w:val="22"/>
        </w:rPr>
        <w:t>EN 1998 is subdivided in various parts</w:t>
      </w:r>
      <w:r w:rsidR="00B272E6">
        <w:rPr>
          <w:szCs w:val="22"/>
        </w:rPr>
        <w:t>:</w:t>
      </w:r>
    </w:p>
    <w:p w14:paraId="3D3FEFFF" w14:textId="0A8D4261" w:rsidR="00F16BE9" w:rsidRDefault="00B272E6" w:rsidP="00B272E6">
      <w:pPr>
        <w:pStyle w:val="ListContinue"/>
        <w:spacing w:after="200"/>
        <w:ind w:left="426" w:hanging="426"/>
        <w:contextualSpacing w:val="0"/>
      </w:pPr>
      <w:r>
        <w:t>—</w:t>
      </w:r>
      <w:r>
        <w:tab/>
      </w:r>
      <w:r w:rsidR="00F16BE9" w:rsidRPr="00F16BE9">
        <w:t>EN 1998-1-1</w:t>
      </w:r>
      <w:r w:rsidR="00F16BE9">
        <w:t xml:space="preserve">, </w:t>
      </w:r>
      <w:r w:rsidR="00637DB8" w:rsidRPr="00B272E6">
        <w:rPr>
          <w:i/>
        </w:rPr>
        <w:t xml:space="preserve">Eurocode 8 — </w:t>
      </w:r>
      <w:r w:rsidR="00F16BE9" w:rsidRPr="00B272E6">
        <w:rPr>
          <w:i/>
        </w:rPr>
        <w:t>Design of structures for earthquake resistance – Part 1-1: General rules and seismic action;</w:t>
      </w:r>
      <w:r w:rsidR="00F16BE9" w:rsidRPr="000814B8" w:rsidDel="00F16BE9">
        <w:t xml:space="preserve"> </w:t>
      </w:r>
    </w:p>
    <w:p w14:paraId="4131DFA9" w14:textId="683837FC" w:rsidR="00F16BE9" w:rsidRDefault="00B272E6" w:rsidP="00B272E6">
      <w:pPr>
        <w:pStyle w:val="ListContinue"/>
        <w:spacing w:after="200"/>
        <w:ind w:left="0"/>
        <w:contextualSpacing w:val="0"/>
      </w:pPr>
      <w:r>
        <w:t>—</w:t>
      </w:r>
      <w:r>
        <w:tab/>
      </w:r>
      <w:r w:rsidR="00F16BE9" w:rsidRPr="00F16BE9">
        <w:t>EN 1998-1-2</w:t>
      </w:r>
      <w:r w:rsidR="00F16BE9">
        <w:t>,</w:t>
      </w:r>
      <w:r w:rsidR="00637DB8">
        <w:t xml:space="preserve"> </w:t>
      </w:r>
      <w:r w:rsidR="00637DB8" w:rsidRPr="00B272E6">
        <w:rPr>
          <w:i/>
        </w:rPr>
        <w:t xml:space="preserve">Eurocode 8 — </w:t>
      </w:r>
      <w:r w:rsidR="00F16BE9" w:rsidRPr="00B272E6">
        <w:rPr>
          <w:i/>
        </w:rPr>
        <w:t xml:space="preserve">Design of structures for earthquake resistance – Part 1-2: </w:t>
      </w:r>
      <w:r w:rsidR="00637DB8" w:rsidRPr="00B272E6">
        <w:rPr>
          <w:i/>
        </w:rPr>
        <w:t>B</w:t>
      </w:r>
      <w:r w:rsidR="00F16BE9" w:rsidRPr="00B272E6">
        <w:rPr>
          <w:i/>
        </w:rPr>
        <w:t>uildings;</w:t>
      </w:r>
    </w:p>
    <w:p w14:paraId="6189A905" w14:textId="4FC8B9F4" w:rsidR="00F16BE9" w:rsidRDefault="00B272E6" w:rsidP="00B272E6">
      <w:pPr>
        <w:pStyle w:val="ListContinue"/>
        <w:spacing w:after="200"/>
        <w:ind w:left="0"/>
        <w:contextualSpacing w:val="0"/>
      </w:pPr>
      <w:r>
        <w:t>—</w:t>
      </w:r>
      <w:r>
        <w:tab/>
      </w:r>
      <w:r w:rsidR="00F16BE9" w:rsidRPr="00F16BE9">
        <w:t>EN 1998-2</w:t>
      </w:r>
      <w:r w:rsidR="00F16BE9">
        <w:t xml:space="preserve">, </w:t>
      </w:r>
      <w:r w:rsidR="00B04CA3" w:rsidRPr="00B272E6">
        <w:rPr>
          <w:i/>
        </w:rPr>
        <w:t xml:space="preserve">Eurocode 8 — </w:t>
      </w:r>
      <w:r w:rsidR="00F16BE9" w:rsidRPr="00B272E6">
        <w:rPr>
          <w:i/>
        </w:rPr>
        <w:t>Design of structures for earthquake resistance – Part 2: Bridges;</w:t>
      </w:r>
    </w:p>
    <w:p w14:paraId="2555C930" w14:textId="6292A5B2" w:rsidR="00F16BE9" w:rsidRDefault="00B272E6" w:rsidP="00B272E6">
      <w:pPr>
        <w:pStyle w:val="ListContinue"/>
        <w:spacing w:after="200"/>
        <w:ind w:left="426" w:hanging="426"/>
        <w:contextualSpacing w:val="0"/>
      </w:pPr>
      <w:r>
        <w:t>—</w:t>
      </w:r>
      <w:r>
        <w:tab/>
      </w:r>
      <w:r w:rsidR="00F16BE9" w:rsidRPr="00F16BE9">
        <w:t>EN 1998-3</w:t>
      </w:r>
      <w:r w:rsidR="00F16BE9">
        <w:t xml:space="preserve">, </w:t>
      </w:r>
      <w:r w:rsidR="00B04CA3" w:rsidRPr="00B272E6">
        <w:rPr>
          <w:i/>
        </w:rPr>
        <w:t xml:space="preserve">Eurocode 8 — </w:t>
      </w:r>
      <w:r w:rsidR="00F16BE9" w:rsidRPr="00B272E6">
        <w:rPr>
          <w:i/>
        </w:rPr>
        <w:t>Design of structures for earthquake resistance – Part 3: Assessment and retrofitting of buildings and bridges;</w:t>
      </w:r>
    </w:p>
    <w:p w14:paraId="06A9A57D" w14:textId="2EEB989F" w:rsidR="00F16BE9" w:rsidRDefault="00B272E6" w:rsidP="00B272E6">
      <w:pPr>
        <w:pStyle w:val="ListContinue"/>
        <w:spacing w:after="200"/>
        <w:ind w:left="426" w:hanging="426"/>
        <w:contextualSpacing w:val="0"/>
      </w:pPr>
      <w:r>
        <w:t>—</w:t>
      </w:r>
      <w:r>
        <w:tab/>
      </w:r>
      <w:r w:rsidR="00F16BE9" w:rsidRPr="00F16BE9">
        <w:t>EN 1998-4</w:t>
      </w:r>
      <w:r w:rsidR="00F16BE9">
        <w:t xml:space="preserve">, </w:t>
      </w:r>
      <w:r w:rsidR="00B04CA3" w:rsidRPr="00B272E6">
        <w:rPr>
          <w:i/>
        </w:rPr>
        <w:t xml:space="preserve">Eurocode 8 — </w:t>
      </w:r>
      <w:r w:rsidR="00F16BE9" w:rsidRPr="00B272E6">
        <w:rPr>
          <w:i/>
        </w:rPr>
        <w:t>Design of structures for earthquake resistance – Part 4</w:t>
      </w:r>
      <w:r w:rsidR="00B04CA3" w:rsidRPr="00B272E6">
        <w:rPr>
          <w:i/>
        </w:rPr>
        <w:t xml:space="preserve">: </w:t>
      </w:r>
      <w:r w:rsidR="00F16BE9" w:rsidRPr="00B272E6">
        <w:rPr>
          <w:i/>
        </w:rPr>
        <w:t>Silos, tanks</w:t>
      </w:r>
      <w:r w:rsidR="00B04CA3" w:rsidRPr="00B272E6">
        <w:rPr>
          <w:i/>
        </w:rPr>
        <w:t xml:space="preserve">, </w:t>
      </w:r>
      <w:r w:rsidR="00F16BE9" w:rsidRPr="00B272E6">
        <w:rPr>
          <w:i/>
        </w:rPr>
        <w:t>pipelines, towers, masts and chimneys;</w:t>
      </w:r>
    </w:p>
    <w:p w14:paraId="2E566C43" w14:textId="1289678B" w:rsidR="00F16BE9" w:rsidRPr="00B272E6" w:rsidRDefault="00B272E6" w:rsidP="00B272E6">
      <w:pPr>
        <w:pStyle w:val="ListContinue"/>
        <w:spacing w:after="200"/>
        <w:ind w:left="426" w:hanging="426"/>
        <w:contextualSpacing w:val="0"/>
      </w:pPr>
      <w:r>
        <w:t>—</w:t>
      </w:r>
      <w:r>
        <w:tab/>
      </w:r>
      <w:r w:rsidR="00F16BE9" w:rsidRPr="00F16BE9">
        <w:t>EN 1998-5</w:t>
      </w:r>
      <w:r w:rsidR="00F16BE9">
        <w:t xml:space="preserve">, </w:t>
      </w:r>
      <w:r w:rsidR="00B04CA3" w:rsidRPr="00B272E6">
        <w:rPr>
          <w:i/>
        </w:rPr>
        <w:t xml:space="preserve">Eurocode 8 — </w:t>
      </w:r>
      <w:r w:rsidR="00F16BE9" w:rsidRPr="00B272E6">
        <w:rPr>
          <w:i/>
        </w:rPr>
        <w:t>Design of structures for earthquake resistance – Part 5: Geotechnical aspects, foundations, retaining and underground structures</w:t>
      </w:r>
      <w:r>
        <w:rPr>
          <w:i/>
        </w:rPr>
        <w:t>.</w:t>
      </w:r>
    </w:p>
    <w:p w14:paraId="4B7E6397" w14:textId="1F0D8F74" w:rsidR="008B7F47" w:rsidRPr="00B272E6" w:rsidRDefault="00B272E6" w:rsidP="00B272E6">
      <w:pPr>
        <w:pStyle w:val="p2"/>
        <w:rPr>
          <w:b/>
          <w:sz w:val="24"/>
        </w:rPr>
      </w:pPr>
      <w:r>
        <w:rPr>
          <w:b/>
          <w:sz w:val="24"/>
        </w:rPr>
        <w:t>0.3</w:t>
      </w:r>
      <w:r>
        <w:rPr>
          <w:b/>
          <w:sz w:val="24"/>
        </w:rPr>
        <w:tab/>
      </w:r>
      <w:r w:rsidR="00B57C2C" w:rsidRPr="00B272E6">
        <w:rPr>
          <w:b/>
          <w:sz w:val="24"/>
        </w:rPr>
        <w:t xml:space="preserve">Introduction to </w:t>
      </w:r>
      <w:r w:rsidR="0098779F" w:rsidRPr="00B272E6">
        <w:rPr>
          <w:b/>
          <w:sz w:val="24"/>
        </w:rPr>
        <w:t>pr</w:t>
      </w:r>
      <w:r w:rsidR="00B57C2C" w:rsidRPr="00B272E6">
        <w:rPr>
          <w:b/>
          <w:sz w:val="24"/>
        </w:rPr>
        <w:t>EN</w:t>
      </w:r>
      <w:r w:rsidR="006501DF" w:rsidRPr="00B272E6">
        <w:rPr>
          <w:b/>
          <w:sz w:val="24"/>
        </w:rPr>
        <w:t> </w:t>
      </w:r>
      <w:r w:rsidR="00B57C2C" w:rsidRPr="00B272E6">
        <w:rPr>
          <w:b/>
          <w:sz w:val="24"/>
        </w:rPr>
        <w:t>1998-</w:t>
      </w:r>
      <w:r w:rsidR="0098779F" w:rsidRPr="00B272E6">
        <w:rPr>
          <w:b/>
          <w:sz w:val="24"/>
        </w:rPr>
        <w:t>1-</w:t>
      </w:r>
      <w:r w:rsidR="00B57C2C" w:rsidRPr="00B272E6">
        <w:rPr>
          <w:b/>
          <w:sz w:val="24"/>
        </w:rPr>
        <w:t>2</w:t>
      </w:r>
    </w:p>
    <w:p w14:paraId="3F6ABB0E" w14:textId="2E766BF8" w:rsidR="0009253C" w:rsidRDefault="0098779F" w:rsidP="00BB3A09">
      <w:pPr>
        <w:pStyle w:val="Text"/>
      </w:pPr>
      <w:r>
        <w:t>pr</w:t>
      </w:r>
      <w:r w:rsidR="00BB3A09">
        <w:t>EN</w:t>
      </w:r>
      <w:r>
        <w:t> </w:t>
      </w:r>
      <w:r w:rsidR="00BB3A09">
        <w:t xml:space="preserve">1998-1-2 </w:t>
      </w:r>
      <w:r w:rsidR="008C45AF">
        <w:t>provides</w:t>
      </w:r>
      <w:r w:rsidR="00BB3A09">
        <w:t xml:space="preserve"> </w:t>
      </w:r>
      <w:r w:rsidR="008C45AF">
        <w:t xml:space="preserve">specific </w:t>
      </w:r>
      <w:r>
        <w:t>requirements</w:t>
      </w:r>
      <w:r w:rsidR="00BB3A09">
        <w:t xml:space="preserve"> </w:t>
      </w:r>
      <w:r w:rsidR="008C45AF">
        <w:t>for earthquake resistant</w:t>
      </w:r>
      <w:r w:rsidR="00BB3A09">
        <w:t xml:space="preserve"> design of new buildings, including rules for structural materials, additional to the </w:t>
      </w:r>
      <w:r>
        <w:t>ones in</w:t>
      </w:r>
      <w:r w:rsidR="00BB3A09">
        <w:t xml:space="preserve"> other Eurocodes.</w:t>
      </w:r>
      <w:r w:rsidR="008C45AF">
        <w:t xml:space="preserve"> This document</w:t>
      </w:r>
      <w:r w:rsidR="00BB3A09">
        <w:t xml:space="preserve"> contains</w:t>
      </w:r>
      <w:r w:rsidR="008C45AF">
        <w:t>,</w:t>
      </w:r>
      <w:r w:rsidR="00BB3A09">
        <w:t xml:space="preserve"> in its </w:t>
      </w:r>
      <w:r w:rsidR="00B272E6">
        <w:t>C</w:t>
      </w:r>
      <w:r w:rsidR="00BB3A09">
        <w:t>lause 14 related to masonry buildings</w:t>
      </w:r>
      <w:r>
        <w:t>,</w:t>
      </w:r>
      <w:r w:rsidR="00BB3A09">
        <w:t xml:space="preserve"> specific provisions that simplify the design of "simple masonry buildings”.</w:t>
      </w:r>
      <w:r w:rsidR="008C45AF">
        <w:t xml:space="preserve"> This document </w:t>
      </w:r>
      <w:r w:rsidR="00BB3A09">
        <w:t>also contains provisions for the design of base</w:t>
      </w:r>
      <w:r>
        <w:t>-</w:t>
      </w:r>
      <w:r w:rsidR="00BB3A09">
        <w:t>isolated buildings and buildings with energy dissipation systems.</w:t>
      </w:r>
    </w:p>
    <w:p w14:paraId="59A79A6B" w14:textId="0873A606" w:rsidR="008C45AF" w:rsidRDefault="008C45AF" w:rsidP="008C45AF">
      <w:pPr>
        <w:pStyle w:val="Text"/>
      </w:pPr>
      <w:r>
        <w:t xml:space="preserve">prEN 1998-1-2 is subdivided in fifteen clauses and includes thirteen annexes, where </w:t>
      </w:r>
      <w:r w:rsidR="00CD1AE9">
        <w:t>Annexes A, B, H, J, K and M are informative and Annexes C, D, E, F, G, I and L are normative</w:t>
      </w:r>
      <w:r>
        <w:t>.</w:t>
      </w:r>
    </w:p>
    <w:p w14:paraId="0F5A3959" w14:textId="6A231102" w:rsidR="00FE02F1" w:rsidRPr="00B272E6" w:rsidRDefault="00B272E6" w:rsidP="00B272E6">
      <w:pPr>
        <w:pStyle w:val="p2"/>
        <w:rPr>
          <w:b/>
          <w:sz w:val="24"/>
        </w:rPr>
      </w:pPr>
      <w:bookmarkStart w:id="11" w:name="_Toc85833534"/>
      <w:r>
        <w:rPr>
          <w:b/>
          <w:sz w:val="24"/>
        </w:rPr>
        <w:t>0.4</w:t>
      </w:r>
      <w:r>
        <w:rPr>
          <w:b/>
          <w:sz w:val="24"/>
        </w:rPr>
        <w:tab/>
      </w:r>
      <w:r w:rsidR="00FE02F1" w:rsidRPr="00B272E6">
        <w:rPr>
          <w:b/>
          <w:sz w:val="24"/>
        </w:rPr>
        <w:t>Verbal forms used in the Eurocodes</w:t>
      </w:r>
      <w:bookmarkEnd w:id="11"/>
    </w:p>
    <w:p w14:paraId="01ACBF1D" w14:textId="77777777" w:rsidR="00BB3A09" w:rsidRDefault="00BB3A09" w:rsidP="00BB3A09">
      <w:pPr>
        <w:pStyle w:val="Text"/>
      </w:pPr>
      <w:r>
        <w:t>The verb “shall" expresses a requirement strictly to be followed and from which no deviation is permitted in order to comply with the Eurocodes.</w:t>
      </w:r>
    </w:p>
    <w:p w14:paraId="5B2C7D3F" w14:textId="77777777" w:rsidR="00BB3A09" w:rsidRDefault="00BB3A09" w:rsidP="00BB3A09">
      <w:pPr>
        <w:pStyle w:val="Text"/>
      </w:pPr>
      <w:r>
        <w:t>The verb “should” expresses a highly recommended choice or course of action. Subject to national regulation and/or any relevant contractual provisions, alternative approaches could be used/adopted where technically justified.</w:t>
      </w:r>
    </w:p>
    <w:p w14:paraId="54CDBF31" w14:textId="77777777" w:rsidR="00BB3A09" w:rsidRDefault="00BB3A09" w:rsidP="00BB3A09">
      <w:pPr>
        <w:pStyle w:val="Text"/>
      </w:pPr>
      <w:r>
        <w:t>The verb “may" expresses a course of action permissible within the limits of the Eurocodes.</w:t>
      </w:r>
    </w:p>
    <w:p w14:paraId="22BA107C" w14:textId="742C9B75" w:rsidR="00FE02F1" w:rsidRPr="00870D59" w:rsidRDefault="00BB3A09" w:rsidP="00BB3A09">
      <w:pPr>
        <w:pStyle w:val="Text"/>
      </w:pPr>
      <w:r>
        <w:t>The verb “can" expresses possibility and capability; it is used for statements of fact and clarification of concepts</w:t>
      </w:r>
      <w:r w:rsidR="00FE02F1" w:rsidRPr="00870D59">
        <w:t>.</w:t>
      </w:r>
    </w:p>
    <w:p w14:paraId="7E3E9C56" w14:textId="63F10697" w:rsidR="00FE02F1" w:rsidRPr="00B272E6" w:rsidRDefault="00B272E6" w:rsidP="00B272E6">
      <w:pPr>
        <w:pStyle w:val="p2"/>
        <w:rPr>
          <w:b/>
          <w:sz w:val="24"/>
        </w:rPr>
      </w:pPr>
      <w:bookmarkStart w:id="12" w:name="_Toc85833535"/>
      <w:r>
        <w:rPr>
          <w:b/>
          <w:sz w:val="24"/>
        </w:rPr>
        <w:t>0.5</w:t>
      </w:r>
      <w:r>
        <w:rPr>
          <w:b/>
          <w:sz w:val="24"/>
        </w:rPr>
        <w:tab/>
      </w:r>
      <w:r w:rsidR="00FE02F1" w:rsidRPr="00B272E6">
        <w:rPr>
          <w:b/>
          <w:sz w:val="24"/>
        </w:rPr>
        <w:t xml:space="preserve">National </w:t>
      </w:r>
      <w:r w:rsidR="00F16BE9" w:rsidRPr="00B272E6">
        <w:rPr>
          <w:b/>
          <w:sz w:val="24"/>
        </w:rPr>
        <w:t>A</w:t>
      </w:r>
      <w:r w:rsidR="00FE02F1" w:rsidRPr="00B272E6">
        <w:rPr>
          <w:b/>
          <w:sz w:val="24"/>
        </w:rPr>
        <w:t xml:space="preserve">nnex for </w:t>
      </w:r>
      <w:r w:rsidR="0098779F" w:rsidRPr="00B272E6">
        <w:rPr>
          <w:b/>
          <w:sz w:val="24"/>
        </w:rPr>
        <w:t>pr</w:t>
      </w:r>
      <w:r w:rsidR="00FE02F1" w:rsidRPr="00B272E6">
        <w:rPr>
          <w:b/>
          <w:sz w:val="24"/>
        </w:rPr>
        <w:t>EN 1998-</w:t>
      </w:r>
      <w:bookmarkEnd w:id="12"/>
      <w:r w:rsidR="0098779F" w:rsidRPr="00B272E6">
        <w:rPr>
          <w:b/>
          <w:sz w:val="24"/>
        </w:rPr>
        <w:t>1-</w:t>
      </w:r>
      <w:r w:rsidR="00B57C2C" w:rsidRPr="00B272E6">
        <w:rPr>
          <w:b/>
          <w:sz w:val="24"/>
        </w:rPr>
        <w:t>2</w:t>
      </w:r>
    </w:p>
    <w:p w14:paraId="2CE52D90" w14:textId="77777777" w:rsidR="00BB3A09" w:rsidRDefault="00BB3A09" w:rsidP="00BB3A09">
      <w:pPr>
        <w:pStyle w:val="Text"/>
      </w:pPr>
      <w:bookmarkStart w:id="13" w:name="_Hlk119228213"/>
      <w:r>
        <w:t>National choice is allowed in this standard where explicitly stated within notes. National choice includes the selection of values for Nationally Determined Parameters (NDPs).</w:t>
      </w:r>
    </w:p>
    <w:p w14:paraId="6F11C4FA" w14:textId="53E49A10" w:rsidR="00BB3A09" w:rsidRDefault="00BB3A09" w:rsidP="00BB3A09">
      <w:pPr>
        <w:pStyle w:val="Text"/>
      </w:pPr>
      <w:r>
        <w:t xml:space="preserve">The national standard implementing </w:t>
      </w:r>
      <w:r w:rsidR="002E506F">
        <w:t>pr</w:t>
      </w:r>
      <w:r>
        <w:t>EN</w:t>
      </w:r>
      <w:r w:rsidR="002E506F">
        <w:t> </w:t>
      </w:r>
      <w:r>
        <w:t>1998-1-2 can have a National Annex containing all national choices to be used for the design of buildings to be constructed in the relevant country.</w:t>
      </w:r>
    </w:p>
    <w:p w14:paraId="17BE9898" w14:textId="77777777" w:rsidR="00BB3A09" w:rsidRDefault="00BB3A09" w:rsidP="00BB3A09">
      <w:pPr>
        <w:pStyle w:val="Text"/>
      </w:pPr>
      <w:r>
        <w:t>When no national choice is given, the default choice given in this standard is to be used.</w:t>
      </w:r>
    </w:p>
    <w:p w14:paraId="05F0B6BF" w14:textId="13F9486A" w:rsidR="00BB3A09" w:rsidRDefault="00BB3A09" w:rsidP="00BB3A09">
      <w:pPr>
        <w:pStyle w:val="Text"/>
      </w:pPr>
      <w:r>
        <w:t xml:space="preserve">When no national choice is made and no default is given in this </w:t>
      </w:r>
      <w:r w:rsidR="002E506F">
        <w:t>document</w:t>
      </w:r>
      <w:r>
        <w:t xml:space="preserve">, the choice can be specified by a relevant authority or, where not specified, agreed for a specific project by </w:t>
      </w:r>
      <w:r w:rsidR="002E506F">
        <w:t>the relevant</w:t>
      </w:r>
      <w:r>
        <w:t xml:space="preserve"> parties.</w:t>
      </w:r>
    </w:p>
    <w:bookmarkEnd w:id="13"/>
    <w:p w14:paraId="405DA2C0" w14:textId="26AF45C2" w:rsidR="00FE02F1" w:rsidRPr="00870D59" w:rsidRDefault="00BB3A09" w:rsidP="00BB3A09">
      <w:pPr>
        <w:pStyle w:val="Text"/>
      </w:pPr>
      <w:r>
        <w:lastRenderedPageBreak/>
        <w:t xml:space="preserve">National choice is allowed in </w:t>
      </w:r>
      <w:r w:rsidR="002E506F">
        <w:t>pr</w:t>
      </w:r>
      <w:r>
        <w:t>EN</w:t>
      </w:r>
      <w:r w:rsidR="002E506F">
        <w:t> </w:t>
      </w:r>
      <w:r>
        <w:t>1998-1-2 through notes to the following</w:t>
      </w:r>
      <w:r w:rsidR="00F16BE9">
        <w:t xml:space="preserve"> clauses</w:t>
      </w:r>
      <w:r w:rsidR="0018450F" w:rsidRPr="00870D59">
        <w:t>:</w:t>
      </w:r>
    </w:p>
    <w:tbl>
      <w:tblPr>
        <w:tblStyle w:val="TableGrid"/>
        <w:tblW w:w="98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2"/>
        <w:gridCol w:w="2472"/>
        <w:gridCol w:w="2472"/>
        <w:gridCol w:w="2472"/>
      </w:tblGrid>
      <w:tr w:rsidR="00BB3A09" w:rsidRPr="00870D59" w14:paraId="1576AEEB" w14:textId="77777777" w:rsidTr="002061E5">
        <w:tc>
          <w:tcPr>
            <w:tcW w:w="2472" w:type="dxa"/>
          </w:tcPr>
          <w:p w14:paraId="66EF0043" w14:textId="10EE9409" w:rsidR="00BB3A09" w:rsidRPr="00870D59" w:rsidRDefault="00BB3A09" w:rsidP="00BB3A09">
            <w:pPr>
              <w:rPr>
                <w:rFonts w:eastAsia="Calibri" w:cs="Times New Roman"/>
                <w:color w:val="000000" w:themeColor="text1"/>
              </w:rPr>
            </w:pPr>
            <w:r w:rsidRPr="00946984">
              <w:t>4.1(</w:t>
            </w:r>
            <w:r w:rsidR="00850CB9">
              <w:t>2</w:t>
            </w:r>
            <w:r w:rsidRPr="00946984">
              <w:t xml:space="preserve">) </w:t>
            </w:r>
          </w:p>
        </w:tc>
        <w:tc>
          <w:tcPr>
            <w:tcW w:w="2472" w:type="dxa"/>
          </w:tcPr>
          <w:p w14:paraId="79E9F868" w14:textId="5EB92B88" w:rsidR="00BB3A09" w:rsidRPr="00870D59" w:rsidRDefault="00BB3A09" w:rsidP="00BB3A09">
            <w:pPr>
              <w:rPr>
                <w:rFonts w:eastAsia="Calibri" w:cs="Times New Roman"/>
                <w:color w:val="000000" w:themeColor="text1"/>
              </w:rPr>
            </w:pPr>
            <w:r w:rsidRPr="00946984">
              <w:t>4.1(</w:t>
            </w:r>
            <w:r w:rsidR="00850CB9">
              <w:t>3</w:t>
            </w:r>
            <w:r w:rsidRPr="00946984">
              <w:t xml:space="preserve">) </w:t>
            </w:r>
          </w:p>
        </w:tc>
        <w:tc>
          <w:tcPr>
            <w:tcW w:w="2472" w:type="dxa"/>
          </w:tcPr>
          <w:p w14:paraId="1FEBA778" w14:textId="7A4060DC" w:rsidR="00BB3A09" w:rsidRPr="00870D59" w:rsidRDefault="00BB3A09" w:rsidP="00BB3A09">
            <w:pPr>
              <w:rPr>
                <w:rFonts w:eastAsia="Calibri" w:cs="Times New Roman"/>
                <w:color w:val="000000" w:themeColor="text1"/>
              </w:rPr>
            </w:pPr>
            <w:r w:rsidRPr="00946984">
              <w:t>4.2(1) NOTE 1</w:t>
            </w:r>
          </w:p>
        </w:tc>
        <w:tc>
          <w:tcPr>
            <w:tcW w:w="2472" w:type="dxa"/>
          </w:tcPr>
          <w:p w14:paraId="2E845979" w14:textId="6F11AB9D" w:rsidR="00BB3A09" w:rsidRPr="00870D59" w:rsidRDefault="00BB3A09" w:rsidP="00BB3A09">
            <w:pPr>
              <w:rPr>
                <w:rFonts w:eastAsia="Calibri" w:cs="Times New Roman"/>
                <w:color w:val="000000" w:themeColor="text1"/>
              </w:rPr>
            </w:pPr>
            <w:r w:rsidRPr="00946984">
              <w:t xml:space="preserve">4.2(1) NOTE 2 </w:t>
            </w:r>
          </w:p>
        </w:tc>
      </w:tr>
      <w:tr w:rsidR="00BB3A09" w:rsidRPr="00870D59" w14:paraId="5AF71F13" w14:textId="77777777" w:rsidTr="002061E5">
        <w:tc>
          <w:tcPr>
            <w:tcW w:w="2472" w:type="dxa"/>
          </w:tcPr>
          <w:p w14:paraId="2D793FE2" w14:textId="367AFB64" w:rsidR="00BB3A09" w:rsidRPr="00870D59" w:rsidRDefault="00BB3A09" w:rsidP="00BB3A09">
            <w:pPr>
              <w:rPr>
                <w:rFonts w:eastAsia="Calibri" w:cs="Times New Roman"/>
                <w:color w:val="000000" w:themeColor="text1"/>
              </w:rPr>
            </w:pPr>
            <w:r w:rsidRPr="00946984">
              <w:t>4.2(1) NOTE 3</w:t>
            </w:r>
          </w:p>
        </w:tc>
        <w:tc>
          <w:tcPr>
            <w:tcW w:w="2472" w:type="dxa"/>
          </w:tcPr>
          <w:p w14:paraId="1F948C55" w14:textId="212F0A8A" w:rsidR="00BB3A09" w:rsidRPr="00870D59" w:rsidRDefault="00850CB9" w:rsidP="00BB3A09">
            <w:pPr>
              <w:rPr>
                <w:rFonts w:eastAsia="Calibri" w:cs="Times New Roman"/>
                <w:color w:val="000000" w:themeColor="text1"/>
              </w:rPr>
            </w:pPr>
            <w:r w:rsidRPr="00946984">
              <w:t>6.3.2.1(2)</w:t>
            </w:r>
          </w:p>
        </w:tc>
        <w:tc>
          <w:tcPr>
            <w:tcW w:w="2472" w:type="dxa"/>
          </w:tcPr>
          <w:p w14:paraId="20D85A72" w14:textId="2CAE6517" w:rsidR="00BB3A09" w:rsidRPr="00870D59" w:rsidRDefault="00850CB9" w:rsidP="00BB3A09">
            <w:pPr>
              <w:rPr>
                <w:rFonts w:eastAsia="Calibri" w:cs="Times New Roman"/>
                <w:color w:val="000000" w:themeColor="text1"/>
              </w:rPr>
            </w:pPr>
            <w:r w:rsidRPr="00946984">
              <w:t>7.2.2(1)</w:t>
            </w:r>
          </w:p>
        </w:tc>
        <w:tc>
          <w:tcPr>
            <w:tcW w:w="2472" w:type="dxa"/>
          </w:tcPr>
          <w:p w14:paraId="2712786B" w14:textId="1553AFBC" w:rsidR="00BB3A09" w:rsidRPr="00870D59" w:rsidRDefault="00850CB9" w:rsidP="00BB3A09">
            <w:pPr>
              <w:rPr>
                <w:rFonts w:eastAsia="Calibri" w:cs="Times New Roman"/>
                <w:color w:val="000000" w:themeColor="text1"/>
              </w:rPr>
            </w:pPr>
            <w:r w:rsidRPr="00946984">
              <w:t>10.3.4(1)</w:t>
            </w:r>
          </w:p>
        </w:tc>
      </w:tr>
      <w:tr w:rsidR="006332CE" w:rsidRPr="00870D59" w14:paraId="1BD668FE" w14:textId="77777777" w:rsidTr="002061E5">
        <w:tc>
          <w:tcPr>
            <w:tcW w:w="2472" w:type="dxa"/>
          </w:tcPr>
          <w:p w14:paraId="79ABF42B" w14:textId="4CBF954F" w:rsidR="006332CE" w:rsidRPr="00870D59" w:rsidRDefault="006332CE" w:rsidP="006332CE">
            <w:pPr>
              <w:rPr>
                <w:color w:val="000000" w:themeColor="text1"/>
              </w:rPr>
            </w:pPr>
            <w:r>
              <w:rPr>
                <w:color w:val="000000" w:themeColor="text1"/>
              </w:rPr>
              <w:t>10.4.5(3)</w:t>
            </w:r>
          </w:p>
        </w:tc>
        <w:tc>
          <w:tcPr>
            <w:tcW w:w="2472" w:type="dxa"/>
          </w:tcPr>
          <w:p w14:paraId="54C31539" w14:textId="1F9365BC" w:rsidR="006332CE" w:rsidRPr="00870D59" w:rsidRDefault="006332CE" w:rsidP="006332CE">
            <w:pPr>
              <w:rPr>
                <w:color w:val="000000" w:themeColor="text1"/>
              </w:rPr>
            </w:pPr>
            <w:r>
              <w:rPr>
                <w:color w:val="000000" w:themeColor="text1"/>
              </w:rPr>
              <w:t>11.6.3(4)</w:t>
            </w:r>
          </w:p>
        </w:tc>
        <w:tc>
          <w:tcPr>
            <w:tcW w:w="2472" w:type="dxa"/>
          </w:tcPr>
          <w:p w14:paraId="5B12126F" w14:textId="455BD860" w:rsidR="006332CE" w:rsidRPr="00870D59" w:rsidRDefault="006332CE" w:rsidP="006332CE">
            <w:pPr>
              <w:rPr>
                <w:color w:val="000000" w:themeColor="text1"/>
              </w:rPr>
            </w:pPr>
            <w:r w:rsidRPr="00946984">
              <w:t>13.2.2(2)</w:t>
            </w:r>
          </w:p>
        </w:tc>
        <w:tc>
          <w:tcPr>
            <w:tcW w:w="2472" w:type="dxa"/>
          </w:tcPr>
          <w:p w14:paraId="5F5A0749" w14:textId="6F88BED4" w:rsidR="006332CE" w:rsidRPr="00870D59" w:rsidRDefault="006332CE" w:rsidP="006332CE">
            <w:pPr>
              <w:rPr>
                <w:color w:val="000000" w:themeColor="text1"/>
              </w:rPr>
            </w:pPr>
            <w:r w:rsidRPr="00946984">
              <w:t>14.3(5)</w:t>
            </w:r>
          </w:p>
        </w:tc>
      </w:tr>
      <w:tr w:rsidR="006332CE" w:rsidRPr="00870D59" w14:paraId="6ACE5F74" w14:textId="77777777" w:rsidTr="002061E5">
        <w:tc>
          <w:tcPr>
            <w:tcW w:w="2472" w:type="dxa"/>
          </w:tcPr>
          <w:p w14:paraId="02A904AB" w14:textId="216D1764" w:rsidR="006332CE" w:rsidRPr="00870D59" w:rsidRDefault="006332CE" w:rsidP="006332CE">
            <w:pPr>
              <w:rPr>
                <w:color w:val="000000" w:themeColor="text1"/>
              </w:rPr>
            </w:pPr>
            <w:r w:rsidRPr="00946984">
              <w:t>14.6.1.3(2)</w:t>
            </w:r>
          </w:p>
        </w:tc>
        <w:tc>
          <w:tcPr>
            <w:tcW w:w="2472" w:type="dxa"/>
          </w:tcPr>
          <w:p w14:paraId="2924C6B3" w14:textId="71272A6C" w:rsidR="006332CE" w:rsidRPr="00870D59" w:rsidRDefault="006332CE" w:rsidP="006332CE">
            <w:pPr>
              <w:rPr>
                <w:color w:val="000000" w:themeColor="text1"/>
              </w:rPr>
            </w:pPr>
            <w:r w:rsidRPr="00946984">
              <w:t>14.6.1.4(3)</w:t>
            </w:r>
          </w:p>
        </w:tc>
        <w:tc>
          <w:tcPr>
            <w:tcW w:w="2472" w:type="dxa"/>
          </w:tcPr>
          <w:p w14:paraId="02E78BD0" w14:textId="63F2102C" w:rsidR="006332CE" w:rsidRPr="00870D59" w:rsidRDefault="006332CE" w:rsidP="006332CE">
            <w:pPr>
              <w:rPr>
                <w:color w:val="000000" w:themeColor="text1"/>
              </w:rPr>
            </w:pPr>
            <w:r w:rsidRPr="00946984">
              <w:t>14.8.2(6)</w:t>
            </w:r>
          </w:p>
        </w:tc>
        <w:tc>
          <w:tcPr>
            <w:tcW w:w="2472" w:type="dxa"/>
          </w:tcPr>
          <w:p w14:paraId="07EB5952" w14:textId="58635933" w:rsidR="006332CE" w:rsidRPr="00870D59" w:rsidRDefault="006332CE" w:rsidP="006332CE">
            <w:pPr>
              <w:rPr>
                <w:color w:val="000000" w:themeColor="text1"/>
              </w:rPr>
            </w:pPr>
            <w:r w:rsidRPr="00946984">
              <w:t>14.8.3(2) NOTE 1</w:t>
            </w:r>
          </w:p>
        </w:tc>
      </w:tr>
      <w:tr w:rsidR="006332CE" w:rsidRPr="00870D59" w14:paraId="500336D6" w14:textId="77777777" w:rsidTr="002061E5">
        <w:tc>
          <w:tcPr>
            <w:tcW w:w="2472" w:type="dxa"/>
          </w:tcPr>
          <w:p w14:paraId="5B6BEAFA" w14:textId="541F4ACD" w:rsidR="006332CE" w:rsidRPr="00870D59" w:rsidRDefault="006332CE" w:rsidP="006332CE">
            <w:pPr>
              <w:rPr>
                <w:color w:val="000000" w:themeColor="text1"/>
              </w:rPr>
            </w:pPr>
            <w:r w:rsidRPr="00946984">
              <w:t>14.8.3(2) NOTE 2</w:t>
            </w:r>
          </w:p>
        </w:tc>
        <w:tc>
          <w:tcPr>
            <w:tcW w:w="2472" w:type="dxa"/>
          </w:tcPr>
          <w:p w14:paraId="56226697" w14:textId="4F856DA4" w:rsidR="006332CE" w:rsidRPr="00870D59" w:rsidRDefault="006332CE" w:rsidP="006332CE">
            <w:pPr>
              <w:rPr>
                <w:color w:val="000000" w:themeColor="text1"/>
              </w:rPr>
            </w:pPr>
            <w:r w:rsidRPr="00946984">
              <w:t>L.3(2)e)</w:t>
            </w:r>
          </w:p>
        </w:tc>
        <w:tc>
          <w:tcPr>
            <w:tcW w:w="2472" w:type="dxa"/>
          </w:tcPr>
          <w:p w14:paraId="00C68CAB" w14:textId="11441AD7" w:rsidR="006332CE" w:rsidRPr="00870D59" w:rsidRDefault="006332CE" w:rsidP="006332CE">
            <w:pPr>
              <w:rPr>
                <w:color w:val="000000" w:themeColor="text1"/>
              </w:rPr>
            </w:pPr>
            <w:r w:rsidRPr="00946984">
              <w:t>L.3(2)f)</w:t>
            </w:r>
          </w:p>
        </w:tc>
        <w:tc>
          <w:tcPr>
            <w:tcW w:w="2472" w:type="dxa"/>
          </w:tcPr>
          <w:p w14:paraId="5C0F3F7B" w14:textId="77777777" w:rsidR="006332CE" w:rsidRPr="00870D59" w:rsidRDefault="006332CE" w:rsidP="006332CE">
            <w:pPr>
              <w:rPr>
                <w:color w:val="000000" w:themeColor="text1"/>
              </w:rPr>
            </w:pPr>
          </w:p>
        </w:tc>
      </w:tr>
    </w:tbl>
    <w:p w14:paraId="4EA8488A" w14:textId="5A66BDE1" w:rsidR="00A630A6" w:rsidRPr="00870D59" w:rsidRDefault="00BB3A09" w:rsidP="00D93278">
      <w:pPr>
        <w:pStyle w:val="Text"/>
        <w:spacing w:before="120"/>
      </w:pPr>
      <w:r w:rsidRPr="00BB3A09">
        <w:t xml:space="preserve">National choice is also allowed in </w:t>
      </w:r>
      <w:r w:rsidR="002E506F">
        <w:t>pr</w:t>
      </w:r>
      <w:r w:rsidRPr="00BB3A09">
        <w:t>EN</w:t>
      </w:r>
      <w:r w:rsidR="002E506F">
        <w:t> </w:t>
      </w:r>
      <w:r w:rsidRPr="00BB3A09">
        <w:t xml:space="preserve">1998-1-2 on the application of the following </w:t>
      </w:r>
      <w:r w:rsidR="002E506F">
        <w:t>i</w:t>
      </w:r>
      <w:r w:rsidRPr="00BB3A09">
        <w:t xml:space="preserve">nformative </w:t>
      </w:r>
      <w:r w:rsidR="002E506F">
        <w:t>a</w:t>
      </w:r>
      <w:r w:rsidRPr="00BB3A09">
        <w:t>nnexes:</w:t>
      </w:r>
    </w:p>
    <w:tbl>
      <w:tblPr>
        <w:tblStyle w:val="TableGrid"/>
        <w:tblW w:w="98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2"/>
        <w:gridCol w:w="2472"/>
        <w:gridCol w:w="2472"/>
        <w:gridCol w:w="2472"/>
      </w:tblGrid>
      <w:tr w:rsidR="00BB3A09" w:rsidRPr="00870D59" w14:paraId="35646FBE" w14:textId="77777777" w:rsidTr="002061E5">
        <w:tc>
          <w:tcPr>
            <w:tcW w:w="2472" w:type="dxa"/>
          </w:tcPr>
          <w:p w14:paraId="7FB2E552" w14:textId="0CDAF828" w:rsidR="00BB3A09" w:rsidRPr="00870D59" w:rsidRDefault="00BB3A09" w:rsidP="00BB3A09">
            <w:pPr>
              <w:rPr>
                <w:rFonts w:eastAsia="Calibri" w:cs="Times New Roman"/>
                <w:color w:val="000000" w:themeColor="text1"/>
              </w:rPr>
            </w:pPr>
            <w:r>
              <w:t xml:space="preserve">Annex </w:t>
            </w:r>
            <w:r w:rsidRPr="00800CCA">
              <w:t>A</w:t>
            </w:r>
          </w:p>
        </w:tc>
        <w:tc>
          <w:tcPr>
            <w:tcW w:w="2472" w:type="dxa"/>
          </w:tcPr>
          <w:p w14:paraId="0D147FDD" w14:textId="028486AB" w:rsidR="00BB3A09" w:rsidRPr="00870D59" w:rsidRDefault="00BB3A09" w:rsidP="00BB3A09">
            <w:pPr>
              <w:rPr>
                <w:rFonts w:eastAsia="Calibri" w:cs="Times New Roman"/>
                <w:color w:val="000000" w:themeColor="text1"/>
              </w:rPr>
            </w:pPr>
            <w:r>
              <w:t xml:space="preserve">Annex </w:t>
            </w:r>
            <w:r w:rsidRPr="00800CCA">
              <w:t>B</w:t>
            </w:r>
          </w:p>
        </w:tc>
        <w:tc>
          <w:tcPr>
            <w:tcW w:w="2472" w:type="dxa"/>
          </w:tcPr>
          <w:p w14:paraId="667A0B89" w14:textId="312EF2B0" w:rsidR="00BB3A09" w:rsidRPr="00870D59" w:rsidRDefault="00BB3A09" w:rsidP="00BB3A09">
            <w:pPr>
              <w:rPr>
                <w:rFonts w:eastAsia="Calibri" w:cs="Times New Roman"/>
                <w:color w:val="000000" w:themeColor="text1"/>
              </w:rPr>
            </w:pPr>
            <w:r>
              <w:t xml:space="preserve">Annex </w:t>
            </w:r>
            <w:r w:rsidRPr="00800CCA">
              <w:t>H</w:t>
            </w:r>
          </w:p>
        </w:tc>
        <w:tc>
          <w:tcPr>
            <w:tcW w:w="2472" w:type="dxa"/>
          </w:tcPr>
          <w:p w14:paraId="73198732" w14:textId="712115FD" w:rsidR="00BB3A09" w:rsidRPr="00870D59" w:rsidRDefault="00BB3A09" w:rsidP="00BB3A09">
            <w:pPr>
              <w:rPr>
                <w:rFonts w:eastAsia="Calibri" w:cs="Times New Roman"/>
                <w:color w:val="000000" w:themeColor="text1"/>
              </w:rPr>
            </w:pPr>
            <w:r>
              <w:t xml:space="preserve">Annex </w:t>
            </w:r>
            <w:r w:rsidRPr="00800CCA">
              <w:t>J</w:t>
            </w:r>
          </w:p>
        </w:tc>
      </w:tr>
      <w:tr w:rsidR="00BB3A09" w:rsidRPr="00870D59" w14:paraId="2FDCAD50" w14:textId="77777777" w:rsidTr="002061E5">
        <w:tc>
          <w:tcPr>
            <w:tcW w:w="2472" w:type="dxa"/>
          </w:tcPr>
          <w:p w14:paraId="0D859E82" w14:textId="1D5589C4" w:rsidR="00BB3A09" w:rsidRPr="00870D59" w:rsidRDefault="00BB3A09" w:rsidP="00BB3A09">
            <w:pPr>
              <w:rPr>
                <w:color w:val="000000" w:themeColor="text1"/>
              </w:rPr>
            </w:pPr>
            <w:r>
              <w:t xml:space="preserve">Annex </w:t>
            </w:r>
            <w:r w:rsidRPr="00800CCA">
              <w:t>K</w:t>
            </w:r>
          </w:p>
        </w:tc>
        <w:tc>
          <w:tcPr>
            <w:tcW w:w="2472" w:type="dxa"/>
          </w:tcPr>
          <w:p w14:paraId="5A1EAA35" w14:textId="7592EB9B" w:rsidR="00BB3A09" w:rsidRPr="00870D59" w:rsidRDefault="00BB3A09" w:rsidP="00BB3A09">
            <w:pPr>
              <w:rPr>
                <w:color w:val="000000" w:themeColor="text1"/>
              </w:rPr>
            </w:pPr>
            <w:r>
              <w:t xml:space="preserve">Annex </w:t>
            </w:r>
            <w:r w:rsidRPr="00800CCA">
              <w:t>M</w:t>
            </w:r>
          </w:p>
        </w:tc>
        <w:tc>
          <w:tcPr>
            <w:tcW w:w="2472" w:type="dxa"/>
          </w:tcPr>
          <w:p w14:paraId="657489F2" w14:textId="3B09E7BD" w:rsidR="00BB3A09" w:rsidRPr="00870D59" w:rsidRDefault="00BB3A09" w:rsidP="00BB3A09">
            <w:pPr>
              <w:rPr>
                <w:color w:val="000000" w:themeColor="text1"/>
              </w:rPr>
            </w:pPr>
          </w:p>
        </w:tc>
        <w:tc>
          <w:tcPr>
            <w:tcW w:w="2472" w:type="dxa"/>
          </w:tcPr>
          <w:p w14:paraId="42DCE8D3" w14:textId="772778AC" w:rsidR="00BB3A09" w:rsidRPr="00870D59" w:rsidRDefault="00BB3A09" w:rsidP="00BB3A09">
            <w:pPr>
              <w:rPr>
                <w:color w:val="000000" w:themeColor="text1"/>
              </w:rPr>
            </w:pPr>
          </w:p>
        </w:tc>
      </w:tr>
    </w:tbl>
    <w:p w14:paraId="1412128A" w14:textId="3D6E1DEE" w:rsidR="00C21349" w:rsidRPr="00870D59" w:rsidRDefault="00BB3A09" w:rsidP="00D93278">
      <w:pPr>
        <w:pStyle w:val="Text"/>
        <w:spacing w:before="120"/>
      </w:pPr>
      <w:r w:rsidRPr="00BB3A09">
        <w:t xml:space="preserve">The National Annex can contain, </w:t>
      </w:r>
      <w:r w:rsidRPr="002E506F">
        <w:t>directly</w:t>
      </w:r>
      <w:r w:rsidRPr="00BB3A09">
        <w:t xml:space="preserve"> or by reference, non-contradictory complementary information for ease of implementation, provided it does not alter any provisions of the Eurocodes</w:t>
      </w:r>
      <w:r w:rsidR="00861563" w:rsidRPr="00870D59">
        <w:t>.</w:t>
      </w:r>
    </w:p>
    <w:p w14:paraId="71587A86" w14:textId="7E04FE11" w:rsidR="00C21349" w:rsidRDefault="00C21349" w:rsidP="008226E7">
      <w:pPr>
        <w:rPr>
          <w:color w:val="000000" w:themeColor="text1"/>
        </w:rPr>
      </w:pPr>
    </w:p>
    <w:p w14:paraId="2093D261" w14:textId="1B744F91" w:rsidR="00CA5D91" w:rsidRDefault="00CA5D91">
      <w:pPr>
        <w:spacing w:before="0" w:after="0" w:line="240" w:lineRule="auto"/>
        <w:jc w:val="left"/>
        <w:rPr>
          <w:color w:val="000000" w:themeColor="text1"/>
        </w:rPr>
      </w:pPr>
      <w:r>
        <w:rPr>
          <w:color w:val="000000" w:themeColor="text1"/>
        </w:rPr>
        <w:br w:type="page"/>
      </w:r>
    </w:p>
    <w:p w14:paraId="43E3DB78" w14:textId="21CF5682" w:rsidR="00DB201D" w:rsidRPr="00870D59" w:rsidRDefault="00DB201D" w:rsidP="00D96FC6">
      <w:pPr>
        <w:pStyle w:val="Heading1"/>
      </w:pPr>
      <w:bookmarkStart w:id="14" w:name="_Toc473640199"/>
      <w:bookmarkStart w:id="15" w:name="_Toc134197741"/>
      <w:r w:rsidRPr="00870D59">
        <w:lastRenderedPageBreak/>
        <w:t>Scope</w:t>
      </w:r>
      <w:bookmarkEnd w:id="8"/>
      <w:bookmarkEnd w:id="14"/>
      <w:bookmarkEnd w:id="15"/>
    </w:p>
    <w:p w14:paraId="04DB09B4" w14:textId="27A22D4F" w:rsidR="00BB367D" w:rsidRDefault="00BB367D" w:rsidP="00D96FC6">
      <w:pPr>
        <w:pStyle w:val="Heading2"/>
      </w:pPr>
      <w:bookmarkStart w:id="16" w:name="_Toc134197742"/>
      <w:bookmarkStart w:id="17" w:name="_Toc473640200"/>
      <w:r w:rsidRPr="00870D59">
        <w:t xml:space="preserve">Scope of </w:t>
      </w:r>
      <w:r w:rsidR="002E506F">
        <w:t>pr</w:t>
      </w:r>
      <w:r w:rsidRPr="00870D59">
        <w:t>EN 1998</w:t>
      </w:r>
      <w:r>
        <w:t>-1-2</w:t>
      </w:r>
      <w:bookmarkEnd w:id="16"/>
    </w:p>
    <w:p w14:paraId="677E8DED" w14:textId="42F08D93" w:rsidR="00BB367D" w:rsidRDefault="002E506F" w:rsidP="0080187E">
      <w:pPr>
        <w:pStyle w:val="Clause"/>
        <w:numPr>
          <w:ilvl w:val="0"/>
          <w:numId w:val="37"/>
        </w:numPr>
      </w:pPr>
      <w:r>
        <w:t>This document</w:t>
      </w:r>
      <w:r w:rsidR="00BB367D" w:rsidRPr="00BB367D">
        <w:t xml:space="preserve"> </w:t>
      </w:r>
      <w:r w:rsidR="00CD1AE9" w:rsidRPr="00E456F9">
        <w:rPr>
          <w:szCs w:val="24"/>
        </w:rPr>
        <w:t xml:space="preserve">is applicable to the design and verification </w:t>
      </w:r>
      <w:r w:rsidR="00BB367D" w:rsidRPr="00BB367D">
        <w:t>of new buildings and temporary structures in seismic regions</w:t>
      </w:r>
      <w:r w:rsidR="00BB367D" w:rsidRPr="00870D59">
        <w:t>.</w:t>
      </w:r>
      <w:r w:rsidR="00E456F9">
        <w:t xml:space="preserve"> It gives specific rules for the design and verification relevant to b</w:t>
      </w:r>
      <w:r w:rsidR="00BB367D" w:rsidRPr="00BB367D">
        <w:t>uildings of consequence classes CC1, CC2 and CC3, as defined in EN</w:t>
      </w:r>
      <w:r w:rsidR="00E456F9">
        <w:t> </w:t>
      </w:r>
      <w:r w:rsidR="00BB367D" w:rsidRPr="00BB367D">
        <w:t>1990:202</w:t>
      </w:r>
      <w:r w:rsidR="00E5415A">
        <w:t>3</w:t>
      </w:r>
      <w:r w:rsidR="00BB367D" w:rsidRPr="00E456F9">
        <w:t>, 4.3.</w:t>
      </w:r>
    </w:p>
    <w:p w14:paraId="538A6242" w14:textId="0796946A" w:rsidR="00E456F9" w:rsidRDefault="00E456F9" w:rsidP="00E456F9">
      <w:pPr>
        <w:pStyle w:val="Notetext"/>
      </w:pPr>
      <w:r w:rsidRPr="00E456F9">
        <w:t>NOTE</w:t>
      </w:r>
      <w:r w:rsidRPr="00E456F9">
        <w:tab/>
        <w:t xml:space="preserve">The assessment </w:t>
      </w:r>
      <w:r>
        <w:t xml:space="preserve">and retrofitting </w:t>
      </w:r>
      <w:r w:rsidRPr="00E456F9">
        <w:t>of existing b</w:t>
      </w:r>
      <w:r>
        <w:t>uildings</w:t>
      </w:r>
      <w:r w:rsidRPr="00E456F9">
        <w:t xml:space="preserve"> is covered in </w:t>
      </w:r>
      <w:r w:rsidR="00A97DF3">
        <w:t>pr</w:t>
      </w:r>
      <w:r w:rsidRPr="00E456F9">
        <w:t>EN</w:t>
      </w:r>
      <w:r>
        <w:t> </w:t>
      </w:r>
      <w:r w:rsidRPr="00E456F9">
        <w:t>1998</w:t>
      </w:r>
      <w:r>
        <w:t>-</w:t>
      </w:r>
      <w:r w:rsidRPr="00E456F9">
        <w:t>3.</w:t>
      </w:r>
    </w:p>
    <w:p w14:paraId="3794A1EC" w14:textId="7C87608E" w:rsidR="00E456F9" w:rsidRDefault="00E456F9" w:rsidP="0080187E">
      <w:pPr>
        <w:pStyle w:val="Clause"/>
        <w:numPr>
          <w:ilvl w:val="0"/>
          <w:numId w:val="37"/>
        </w:numPr>
      </w:pPr>
      <w:bookmarkStart w:id="18" w:name="_Hlk119228805"/>
      <w:r w:rsidRPr="00E456F9">
        <w:t>Unless specifically stated, prEN</w:t>
      </w:r>
      <w:r>
        <w:t> </w:t>
      </w:r>
      <w:r w:rsidRPr="00E456F9">
        <w:t>1998</w:t>
      </w:r>
      <w:r>
        <w:t>-</w:t>
      </w:r>
      <w:r w:rsidRPr="00E456F9">
        <w:t>1</w:t>
      </w:r>
      <w:r>
        <w:t>-</w:t>
      </w:r>
      <w:r w:rsidRPr="00E456F9">
        <w:t>1 and prEN</w:t>
      </w:r>
      <w:r>
        <w:t> </w:t>
      </w:r>
      <w:r w:rsidRPr="00E456F9">
        <w:t>1998</w:t>
      </w:r>
      <w:r>
        <w:t>-</w:t>
      </w:r>
      <w:r w:rsidRPr="00E456F9">
        <w:t>5 apply</w:t>
      </w:r>
      <w:r>
        <w:t>.</w:t>
      </w:r>
    </w:p>
    <w:p w14:paraId="4F5AEF5D" w14:textId="1FE10A5D" w:rsidR="00E456F9" w:rsidRDefault="00E456F9" w:rsidP="0080187E">
      <w:pPr>
        <w:pStyle w:val="Clause"/>
        <w:numPr>
          <w:ilvl w:val="0"/>
          <w:numId w:val="37"/>
        </w:numPr>
      </w:pPr>
      <w:r>
        <w:t>EN 1998-1-2 is applicable in complement to the other relevant Eurocodes.</w:t>
      </w:r>
    </w:p>
    <w:p w14:paraId="487D72D4" w14:textId="7EA7AA6C" w:rsidR="00BB367D" w:rsidRDefault="00E456F9" w:rsidP="00E456F9">
      <w:pPr>
        <w:pStyle w:val="Notetext"/>
      </w:pPr>
      <w:r w:rsidRPr="00E456F9">
        <w:t>NOTE</w:t>
      </w:r>
      <w:r w:rsidRPr="00E456F9">
        <w:tab/>
      </w:r>
      <w:r w:rsidR="00CA5D91">
        <w:t>This document</w:t>
      </w:r>
      <w:r w:rsidR="00BB367D" w:rsidRPr="00BB367D">
        <w:t xml:space="preserve"> contains only those provisions that</w:t>
      </w:r>
      <w:r>
        <w:t>,</w:t>
      </w:r>
      <w:r w:rsidR="00BB367D" w:rsidRPr="00BB367D">
        <w:t xml:space="preserve"> </w:t>
      </w:r>
      <w:r w:rsidRPr="00A13F3B">
        <w:rPr>
          <w:szCs w:val="24"/>
        </w:rPr>
        <w:t>in addition to the provisions of the other relevant Eurocodes, are used for</w:t>
      </w:r>
      <w:r w:rsidRPr="00BB367D">
        <w:t xml:space="preserve"> </w:t>
      </w:r>
      <w:r w:rsidR="00BB367D" w:rsidRPr="00BB367D">
        <w:t>the design of new buildings and temporary structures in seismic regions</w:t>
      </w:r>
      <w:r w:rsidR="00BB367D" w:rsidRPr="00870D59">
        <w:t>.</w:t>
      </w:r>
      <w:r w:rsidRPr="00E456F9">
        <w:t xml:space="preserve"> </w:t>
      </w:r>
      <w:r w:rsidR="006D1E42">
        <w:t>pr</w:t>
      </w:r>
      <w:r w:rsidRPr="00E456F9">
        <w:t>EN</w:t>
      </w:r>
      <w:r>
        <w:t> </w:t>
      </w:r>
      <w:r w:rsidRPr="00E456F9">
        <w:t>1998</w:t>
      </w:r>
      <w:r>
        <w:t>-1-</w:t>
      </w:r>
      <w:r w:rsidRPr="00E456F9">
        <w:t>2 complements in this respect the other Eurocodes.</w:t>
      </w:r>
    </w:p>
    <w:p w14:paraId="4AE77FDC" w14:textId="63603412" w:rsidR="0017591A" w:rsidRPr="00870D59" w:rsidRDefault="0017591A" w:rsidP="00D96FC6">
      <w:pPr>
        <w:pStyle w:val="Heading2"/>
        <w:tabs>
          <w:tab w:val="num" w:pos="454"/>
        </w:tabs>
      </w:pPr>
      <w:bookmarkStart w:id="19" w:name="_Toc134197743"/>
      <w:bookmarkEnd w:id="18"/>
      <w:r w:rsidRPr="00870D59">
        <w:t>Assumptions</w:t>
      </w:r>
      <w:bookmarkEnd w:id="19"/>
    </w:p>
    <w:p w14:paraId="2E20F596" w14:textId="74492339" w:rsidR="0017591A" w:rsidRPr="00870D59" w:rsidRDefault="00E456F9" w:rsidP="0080187E">
      <w:pPr>
        <w:pStyle w:val="Clause"/>
        <w:numPr>
          <w:ilvl w:val="0"/>
          <w:numId w:val="27"/>
        </w:numPr>
      </w:pPr>
      <w:r>
        <w:t xml:space="preserve">The assumptions of </w:t>
      </w:r>
      <w:r w:rsidR="00BB367D" w:rsidRPr="00BB367D">
        <w:t>prEN</w:t>
      </w:r>
      <w:r>
        <w:t> </w:t>
      </w:r>
      <w:r w:rsidR="00BB367D" w:rsidRPr="00BB367D">
        <w:t>1998-1-1:2022, 1.</w:t>
      </w:r>
      <w:r>
        <w:t xml:space="preserve">2 are assumed to </w:t>
      </w:r>
      <w:r w:rsidR="00BB367D" w:rsidRPr="00BB367D">
        <w:t>be applied</w:t>
      </w:r>
      <w:r w:rsidR="0017591A" w:rsidRPr="00870D59">
        <w:t>.</w:t>
      </w:r>
    </w:p>
    <w:p w14:paraId="73D84FC1" w14:textId="037666F0" w:rsidR="00DB201D" w:rsidRPr="00870D59" w:rsidRDefault="00DB201D" w:rsidP="00DB201D">
      <w:pPr>
        <w:pStyle w:val="Heading1"/>
        <w:tabs>
          <w:tab w:val="left" w:pos="403"/>
          <w:tab w:val="left" w:pos="432"/>
          <w:tab w:val="left" w:pos="562"/>
        </w:tabs>
        <w:autoSpaceDE w:val="0"/>
        <w:autoSpaceDN w:val="0"/>
        <w:adjustRightInd w:val="0"/>
        <w:ind w:left="431" w:hanging="431"/>
        <w:rPr>
          <w:szCs w:val="24"/>
        </w:rPr>
      </w:pPr>
      <w:bookmarkStart w:id="20" w:name="_Toc134197744"/>
      <w:r w:rsidRPr="00870D59">
        <w:rPr>
          <w:szCs w:val="24"/>
        </w:rPr>
        <w:t>Normative references</w:t>
      </w:r>
      <w:bookmarkEnd w:id="17"/>
      <w:bookmarkEnd w:id="20"/>
    </w:p>
    <w:p w14:paraId="4C788996" w14:textId="49CB5687" w:rsidR="002D1280" w:rsidRPr="00870D59" w:rsidRDefault="00D30AFD" w:rsidP="002D1280">
      <w:pPr>
        <w:pStyle w:val="BodyText"/>
      </w:pPr>
      <w:r w:rsidRPr="00D30AFD">
        <w:t>The following documents are referred to in the text in such a way that some or all of their content constitutes requirements of this document. For dated references, only the edition cited applies. For undated references, the latest edition of the referenced document (including any amendments) applies</w:t>
      </w:r>
      <w:r w:rsidR="00CD7122" w:rsidRPr="00870D59">
        <w:t>.</w:t>
      </w:r>
    </w:p>
    <w:p w14:paraId="46F1555F" w14:textId="76FA37EB" w:rsidR="004F38F6" w:rsidRPr="00870D59" w:rsidRDefault="004F38F6" w:rsidP="009D40CF">
      <w:pPr>
        <w:pStyle w:val="Notetext"/>
      </w:pPr>
      <w:r w:rsidRPr="00870D59">
        <w:t>NOTE</w:t>
      </w:r>
      <w:r w:rsidRPr="00870D59">
        <w:tab/>
      </w:r>
      <w:r w:rsidR="00D30AFD" w:rsidRPr="00D30AFD">
        <w:t xml:space="preserve">See the Bibliography for a list of other documents cited that are not normative references, including those referenced as recommendations </w:t>
      </w:r>
      <w:r w:rsidR="00DF108A" w:rsidRPr="00DF108A">
        <w:t>(i.e. in ‘should’ clauses), permissions (‘may’ clauses), possibilities (‘can’ clauses), and in notes</w:t>
      </w:r>
      <w:r w:rsidR="00895E34" w:rsidRPr="00870D59">
        <w:t>.</w:t>
      </w:r>
    </w:p>
    <w:bookmarkStart w:id="21" w:name="_Hlk95840268"/>
    <w:bookmarkStart w:id="22" w:name="_Toc56572946"/>
    <w:bookmarkStart w:id="23" w:name="_Toc473640201"/>
    <w:p w14:paraId="4619BD6F" w14:textId="6A9BBE7E" w:rsidR="00190977" w:rsidRPr="00220C07" w:rsidRDefault="00190977" w:rsidP="00190977">
      <w:pPr>
        <w:pStyle w:val="RefNorm"/>
        <w:autoSpaceDE w:val="0"/>
        <w:autoSpaceDN w:val="0"/>
        <w:adjustRightInd w:val="0"/>
        <w:rPr>
          <w:szCs w:val="24"/>
        </w:rPr>
      </w:pPr>
      <w:r w:rsidRPr="00220C07">
        <w:rPr>
          <w:szCs w:val="24"/>
        </w:rPr>
        <w:fldChar w:fldCharType="begin"/>
      </w:r>
      <w:r w:rsidRPr="00220C07">
        <w:rPr>
          <w:szCs w:val="24"/>
        </w:rPr>
        <w:instrText>IF "x_+3" "</w:instrText>
      </w:r>
      <w:r w:rsidRPr="00220C07">
        <w:rPr>
          <w:szCs w:val="24"/>
        </w:rPr>
        <w:fldChar w:fldCharType="begin"/>
      </w:r>
      <w:r w:rsidRPr="00220C07">
        <w:rPr>
          <w:szCs w:val="24"/>
        </w:rPr>
        <w:instrText>IF</w:instrText>
      </w:r>
      <w:r w:rsidRPr="00220C07">
        <w:rPr>
          <w:szCs w:val="24"/>
        </w:rPr>
        <w:fldChar w:fldCharType="begin"/>
      </w:r>
      <w:r w:rsidRPr="00220C07">
        <w:rPr>
          <w:szCs w:val="24"/>
        </w:rPr>
        <w:instrText>DOCPROPERTY "x_t"</w:instrText>
      </w:r>
      <w:r w:rsidRPr="00220C07">
        <w:rPr>
          <w:szCs w:val="24"/>
        </w:rPr>
        <w:fldChar w:fldCharType="separate"/>
      </w:r>
      <w:r>
        <w:rPr>
          <w:szCs w:val="24"/>
        </w:rPr>
        <w:instrText>N</w:instrText>
      </w:r>
      <w:r w:rsidRPr="00220C07">
        <w:rPr>
          <w:szCs w:val="24"/>
        </w:rPr>
        <w:fldChar w:fldCharType="end"/>
      </w:r>
      <w:r w:rsidRPr="00220C07">
        <w:rPr>
          <w:szCs w:val="24"/>
        </w:rPr>
        <w:instrText>&lt;&gt; N "&lt;</w:instrText>
      </w:r>
      <w:r w:rsidRPr="00220C07">
        <w:rPr>
          <w:szCs w:val="24"/>
        </w:rPr>
        <w:fldChar w:fldCharType="begin"/>
      </w:r>
      <w:r w:rsidRPr="00220C07">
        <w:rPr>
          <w:szCs w:val="24"/>
        </w:rPr>
        <w:instrText>QUOTE "std"</w:instrText>
      </w:r>
      <w:r w:rsidRPr="00220C07">
        <w:rPr>
          <w:szCs w:val="24"/>
        </w:rPr>
        <w:fldChar w:fldCharType="separate"/>
      </w:r>
      <w:r w:rsidRPr="00220C07">
        <w:rPr>
          <w:szCs w:val="24"/>
        </w:rPr>
        <w:instrText>std</w:instrText>
      </w:r>
      <w:r w:rsidRPr="00220C07">
        <w:rPr>
          <w:szCs w:val="24"/>
        </w:rPr>
        <w:fldChar w:fldCharType="end"/>
      </w:r>
      <w:r w:rsidRPr="00220C07">
        <w:rPr>
          <w:szCs w:val="24"/>
        </w:rPr>
        <w:instrText>"</w:instrText>
      </w:r>
      <w:r w:rsidRPr="00220C07">
        <w:rPr>
          <w:szCs w:val="24"/>
        </w:rPr>
        <w:fldChar w:fldCharType="end"/>
      </w:r>
      <w:r w:rsidRPr="00220C07">
        <w:rPr>
          <w:szCs w:val="24"/>
        </w:rPr>
        <w:fldChar w:fldCharType="begin"/>
      </w:r>
      <w:r w:rsidRPr="00220C07">
        <w:rPr>
          <w:szCs w:val="24"/>
        </w:rPr>
        <w:instrText>IF</w:instrText>
      </w:r>
      <w:r w:rsidRPr="00220C07">
        <w:rPr>
          <w:szCs w:val="24"/>
        </w:rPr>
        <w:fldChar w:fldCharType="begin"/>
      </w:r>
      <w:r w:rsidRPr="00220C07">
        <w:rPr>
          <w:szCs w:val="24"/>
        </w:rPr>
        <w:instrText>= AND(</w:instrText>
      </w:r>
      <w:r w:rsidRPr="00220C07">
        <w:rPr>
          <w:szCs w:val="24"/>
        </w:rPr>
        <w:fldChar w:fldCharType="begin"/>
      </w:r>
      <w:r w:rsidRPr="00220C07">
        <w:rPr>
          <w:szCs w:val="24"/>
        </w:rPr>
        <w:instrText>COMPARE</w:instrText>
      </w:r>
      <w:r w:rsidRPr="00220C07">
        <w:rPr>
          <w:szCs w:val="24"/>
        </w:rPr>
        <w:fldChar w:fldCharType="begin"/>
      </w:r>
      <w:r w:rsidRPr="00220C07">
        <w:rPr>
          <w:szCs w:val="24"/>
        </w:rPr>
        <w:instrText>DOCPROPERTY "x_t"</w:instrText>
      </w:r>
      <w:r w:rsidRPr="00220C07">
        <w:rPr>
          <w:szCs w:val="24"/>
        </w:rPr>
        <w:fldChar w:fldCharType="separate"/>
      </w:r>
      <w:r>
        <w:rPr>
          <w:szCs w:val="24"/>
        </w:rPr>
        <w:instrText>N</w:instrText>
      </w:r>
      <w:r w:rsidRPr="00220C07">
        <w:rPr>
          <w:szCs w:val="24"/>
        </w:rPr>
        <w:fldChar w:fldCharType="end"/>
      </w:r>
      <w:r w:rsidRPr="00220C07">
        <w:rPr>
          <w:szCs w:val="24"/>
        </w:rPr>
        <w:instrText>&lt;&gt; N</w:instrText>
      </w:r>
      <w:r w:rsidRPr="00220C07">
        <w:rPr>
          <w:szCs w:val="24"/>
        </w:rPr>
        <w:fldChar w:fldCharType="separate"/>
      </w:r>
      <w:r>
        <w:rPr>
          <w:noProof/>
          <w:szCs w:val="24"/>
        </w:rPr>
        <w:instrText>0</w:instrText>
      </w:r>
      <w:r w:rsidRPr="00220C07">
        <w:rPr>
          <w:szCs w:val="24"/>
        </w:rPr>
        <w:fldChar w:fldCharType="end"/>
      </w:r>
      <w:r w:rsidRPr="00220C07">
        <w:rPr>
          <w:szCs w:val="24"/>
        </w:rPr>
        <w:instrText>,</w:instrText>
      </w:r>
      <w:r w:rsidRPr="00220C07">
        <w:rPr>
          <w:szCs w:val="24"/>
        </w:rPr>
        <w:fldChar w:fldCharType="begin"/>
      </w:r>
      <w:r w:rsidRPr="00220C07">
        <w:rPr>
          <w:szCs w:val="24"/>
        </w:rPr>
        <w:instrText>COMPARE</w:instrText>
      </w:r>
      <w:r w:rsidRPr="00220C07">
        <w:rPr>
          <w:szCs w:val="24"/>
        </w:rPr>
        <w:fldChar w:fldCharType="begin"/>
      </w:r>
      <w:r w:rsidRPr="00220C07">
        <w:rPr>
          <w:szCs w:val="24"/>
        </w:rPr>
        <w:instrText>DOCPROPERTY "x_a"</w:instrText>
      </w:r>
      <w:r w:rsidRPr="00220C07">
        <w:rPr>
          <w:szCs w:val="24"/>
        </w:rPr>
        <w:fldChar w:fldCharType="separate"/>
      </w:r>
      <w:r>
        <w:rPr>
          <w:szCs w:val="24"/>
        </w:rPr>
        <w:instrText>N</w:instrText>
      </w:r>
      <w:r w:rsidRPr="00220C07">
        <w:rPr>
          <w:szCs w:val="24"/>
        </w:rPr>
        <w:fldChar w:fldCharType="end"/>
      </w:r>
      <w:r w:rsidRPr="00220C07">
        <w:rPr>
          <w:szCs w:val="24"/>
        </w:rPr>
        <w:instrText>&lt;&gt; N</w:instrText>
      </w:r>
      <w:r w:rsidRPr="00220C07">
        <w:rPr>
          <w:szCs w:val="24"/>
        </w:rPr>
        <w:fldChar w:fldCharType="separate"/>
      </w:r>
      <w:r>
        <w:rPr>
          <w:noProof/>
          <w:szCs w:val="24"/>
        </w:rPr>
        <w:instrText>0</w:instrText>
      </w:r>
      <w:r w:rsidRPr="00220C07">
        <w:rPr>
          <w:szCs w:val="24"/>
        </w:rPr>
        <w:fldChar w:fldCharType="end"/>
      </w:r>
      <w:r w:rsidRPr="00220C07">
        <w:rPr>
          <w:szCs w:val="24"/>
        </w:rPr>
        <w:instrText>)</w:instrText>
      </w:r>
      <w:r w:rsidRPr="00220C07">
        <w:rPr>
          <w:szCs w:val="24"/>
        </w:rPr>
        <w:fldChar w:fldCharType="separate"/>
      </w:r>
      <w:r>
        <w:rPr>
          <w:b/>
          <w:noProof/>
          <w:szCs w:val="24"/>
        </w:rPr>
        <w:instrText>!Syntax Error, ,,</w:instrText>
      </w:r>
      <w:r w:rsidRPr="00220C07">
        <w:rPr>
          <w:szCs w:val="24"/>
        </w:rPr>
        <w:fldChar w:fldCharType="end"/>
      </w:r>
      <w:r w:rsidRPr="00220C07">
        <w:rPr>
          <w:szCs w:val="24"/>
        </w:rPr>
        <w:instrText>= 1 "</w:instrText>
      </w:r>
      <w:r w:rsidRPr="00220C07">
        <w:rPr>
          <w:szCs w:val="24"/>
        </w:rPr>
        <w:fldChar w:fldCharType="begin"/>
      </w:r>
      <w:r w:rsidRPr="00220C07">
        <w:rPr>
          <w:szCs w:val="24"/>
        </w:rPr>
        <w:instrText>QUOTE ""</w:instrText>
      </w:r>
      <w:r w:rsidRPr="00220C07">
        <w:rPr>
          <w:szCs w:val="24"/>
        </w:rPr>
        <w:fldChar w:fldCharType="end"/>
      </w:r>
      <w:r w:rsidRPr="00220C07">
        <w:rPr>
          <w:szCs w:val="24"/>
        </w:rPr>
        <w:instrText>"</w:instrText>
      </w:r>
      <w:r w:rsidRPr="00220C07">
        <w:rPr>
          <w:szCs w:val="24"/>
        </w:rPr>
        <w:fldChar w:fldCharType="end"/>
      </w:r>
      <w:r w:rsidRPr="00220C07">
        <w:rPr>
          <w:szCs w:val="24"/>
        </w:rPr>
        <w:fldChar w:fldCharType="begin"/>
      </w:r>
      <w:r w:rsidRPr="00220C07">
        <w:rPr>
          <w:szCs w:val="24"/>
        </w:rPr>
        <w:instrText>IF</w:instrText>
      </w:r>
      <w:r w:rsidRPr="00220C07">
        <w:rPr>
          <w:szCs w:val="24"/>
        </w:rPr>
        <w:fldChar w:fldCharType="begin"/>
      </w:r>
      <w:r w:rsidRPr="00220C07">
        <w:rPr>
          <w:szCs w:val="24"/>
        </w:rPr>
        <w:instrText>DOCPROPERTY "x_t"</w:instrText>
      </w:r>
      <w:r w:rsidRPr="00220C07">
        <w:rPr>
          <w:szCs w:val="24"/>
        </w:rPr>
        <w:fldChar w:fldCharType="separate"/>
      </w:r>
      <w:r>
        <w:rPr>
          <w:szCs w:val="24"/>
        </w:rPr>
        <w:instrText>N</w:instrText>
      </w:r>
      <w:r w:rsidRPr="00220C07">
        <w:rPr>
          <w:szCs w:val="24"/>
        </w:rPr>
        <w:fldChar w:fldCharType="end"/>
      </w:r>
      <w:r w:rsidRPr="00220C07">
        <w:rPr>
          <w:szCs w:val="24"/>
        </w:rPr>
        <w:instrText>&lt;&gt; N "&gt;"</w:instrText>
      </w:r>
      <w:r w:rsidRPr="00220C07">
        <w:rPr>
          <w:szCs w:val="24"/>
        </w:rPr>
        <w:fldChar w:fldCharType="end"/>
      </w:r>
      <w:r w:rsidRPr="00220C07">
        <w:rPr>
          <w:szCs w:val="24"/>
        </w:rPr>
        <w:instrText>" "</w:instrText>
      </w:r>
      <w:r w:rsidRPr="00220C07">
        <w:rPr>
          <w:szCs w:val="24"/>
        </w:rPr>
        <w:fldChar w:fldCharType="begin"/>
      </w:r>
      <w:r w:rsidRPr="00220C07">
        <w:rPr>
          <w:szCs w:val="24"/>
        </w:rPr>
        <w:instrText>QUOTE ""</w:instrText>
      </w:r>
      <w:r w:rsidRPr="00220C07">
        <w:rPr>
          <w:szCs w:val="24"/>
        </w:rPr>
        <w:fldChar w:fldCharType="end"/>
      </w:r>
      <w:r w:rsidRPr="00220C07">
        <w:rPr>
          <w:szCs w:val="24"/>
        </w:rPr>
        <w:instrText>"</w:instrText>
      </w:r>
      <w:r w:rsidRPr="00220C07">
        <w:rPr>
          <w:szCs w:val="24"/>
        </w:rPr>
        <w:fldChar w:fldCharType="end"/>
      </w:r>
      <w:r w:rsidRPr="00220C07">
        <w:rPr>
          <w:rStyle w:val="stdpublisher"/>
          <w:szCs w:val="24"/>
          <w:shd w:val="clear" w:color="auto" w:fill="auto"/>
        </w:rPr>
        <w:t>EN</w:t>
      </w:r>
      <w:r w:rsidRPr="00220C07">
        <w:rPr>
          <w:szCs w:val="24"/>
        </w:rPr>
        <w:t> </w:t>
      </w:r>
      <w:r w:rsidRPr="00220C07">
        <w:rPr>
          <w:rStyle w:val="stddocNumber"/>
          <w:szCs w:val="24"/>
          <w:shd w:val="clear" w:color="auto" w:fill="auto"/>
        </w:rPr>
        <w:t>1990</w:t>
      </w:r>
      <w:r w:rsidRPr="00220C07">
        <w:rPr>
          <w:szCs w:val="24"/>
        </w:rPr>
        <w:t>:</w:t>
      </w:r>
      <w:r w:rsidRPr="00220C07">
        <w:rPr>
          <w:rStyle w:val="stdyear"/>
          <w:szCs w:val="24"/>
          <w:shd w:val="clear" w:color="auto" w:fill="auto"/>
        </w:rPr>
        <w:t>2023</w:t>
      </w:r>
      <w:r w:rsidRPr="00220C07">
        <w:rPr>
          <w:szCs w:val="24"/>
        </w:rPr>
        <w:t xml:space="preserve">, </w:t>
      </w:r>
      <w:r w:rsidRPr="00220C07">
        <w:rPr>
          <w:rStyle w:val="stddocTitle"/>
          <w:szCs w:val="24"/>
          <w:shd w:val="clear" w:color="auto" w:fill="auto"/>
        </w:rPr>
        <w:t>Eurocode — Basis of structural and geotechnical design</w:t>
      </w:r>
      <w:r w:rsidRPr="00220C07">
        <w:rPr>
          <w:szCs w:val="24"/>
        </w:rPr>
        <w:fldChar w:fldCharType="begin"/>
      </w:r>
      <w:r w:rsidRPr="00220C07">
        <w:rPr>
          <w:szCs w:val="24"/>
        </w:rPr>
        <w:instrText>IF "x_-3" "</w:instrText>
      </w:r>
      <w:r w:rsidRPr="00220C07">
        <w:rPr>
          <w:szCs w:val="24"/>
        </w:rPr>
        <w:fldChar w:fldCharType="begin"/>
      </w:r>
      <w:r w:rsidRPr="00220C07">
        <w:rPr>
          <w:szCs w:val="24"/>
        </w:rPr>
        <w:instrText>IF</w:instrText>
      </w:r>
      <w:r w:rsidRPr="00220C07">
        <w:rPr>
          <w:szCs w:val="24"/>
        </w:rPr>
        <w:fldChar w:fldCharType="begin"/>
      </w:r>
      <w:r w:rsidRPr="00220C07">
        <w:rPr>
          <w:szCs w:val="24"/>
        </w:rPr>
        <w:instrText>DOCPROPERTY "x_t"</w:instrText>
      </w:r>
      <w:r w:rsidRPr="00220C07">
        <w:rPr>
          <w:szCs w:val="24"/>
        </w:rPr>
        <w:fldChar w:fldCharType="separate"/>
      </w:r>
      <w:r>
        <w:rPr>
          <w:szCs w:val="24"/>
        </w:rPr>
        <w:instrText>N</w:instrText>
      </w:r>
      <w:r w:rsidRPr="00220C07">
        <w:rPr>
          <w:szCs w:val="24"/>
        </w:rPr>
        <w:fldChar w:fldCharType="end"/>
      </w:r>
      <w:r w:rsidRPr="00220C07">
        <w:rPr>
          <w:szCs w:val="24"/>
        </w:rPr>
        <w:instrText>&lt;&gt; N "&lt;/</w:instrText>
      </w:r>
      <w:r w:rsidRPr="00220C07">
        <w:rPr>
          <w:szCs w:val="24"/>
        </w:rPr>
        <w:fldChar w:fldCharType="begin"/>
      </w:r>
      <w:r w:rsidRPr="00220C07">
        <w:rPr>
          <w:szCs w:val="24"/>
        </w:rPr>
        <w:instrText>QUOTE "std"</w:instrText>
      </w:r>
      <w:r w:rsidRPr="00220C07">
        <w:rPr>
          <w:szCs w:val="24"/>
        </w:rPr>
        <w:fldChar w:fldCharType="separate"/>
      </w:r>
      <w:r w:rsidRPr="00220C07">
        <w:rPr>
          <w:szCs w:val="24"/>
        </w:rPr>
        <w:instrText>std</w:instrText>
      </w:r>
      <w:r w:rsidRPr="00220C07">
        <w:rPr>
          <w:szCs w:val="24"/>
        </w:rPr>
        <w:fldChar w:fldCharType="end"/>
      </w:r>
      <w:r w:rsidRPr="00220C07">
        <w:rPr>
          <w:szCs w:val="24"/>
        </w:rPr>
        <w:instrText>"</w:instrText>
      </w:r>
      <w:r w:rsidRPr="00220C07">
        <w:rPr>
          <w:szCs w:val="24"/>
        </w:rPr>
        <w:fldChar w:fldCharType="end"/>
      </w:r>
      <w:r w:rsidRPr="00220C07">
        <w:rPr>
          <w:szCs w:val="24"/>
        </w:rPr>
        <w:fldChar w:fldCharType="begin"/>
      </w:r>
      <w:r w:rsidRPr="00220C07">
        <w:rPr>
          <w:szCs w:val="24"/>
        </w:rPr>
        <w:instrText>IF</w:instrText>
      </w:r>
      <w:r w:rsidRPr="00220C07">
        <w:rPr>
          <w:szCs w:val="24"/>
        </w:rPr>
        <w:fldChar w:fldCharType="begin"/>
      </w:r>
      <w:r w:rsidRPr="00220C07">
        <w:rPr>
          <w:szCs w:val="24"/>
        </w:rPr>
        <w:instrText>DOCPROPERTY "x_t"</w:instrText>
      </w:r>
      <w:r w:rsidRPr="00220C07">
        <w:rPr>
          <w:szCs w:val="24"/>
        </w:rPr>
        <w:fldChar w:fldCharType="separate"/>
      </w:r>
      <w:r>
        <w:rPr>
          <w:szCs w:val="24"/>
        </w:rPr>
        <w:instrText>N</w:instrText>
      </w:r>
      <w:r w:rsidRPr="00220C07">
        <w:rPr>
          <w:szCs w:val="24"/>
        </w:rPr>
        <w:fldChar w:fldCharType="end"/>
      </w:r>
      <w:r w:rsidRPr="00220C07">
        <w:rPr>
          <w:szCs w:val="24"/>
        </w:rPr>
        <w:instrText>&lt;&gt; N "&gt;"</w:instrText>
      </w:r>
      <w:r w:rsidRPr="00220C07">
        <w:rPr>
          <w:szCs w:val="24"/>
        </w:rPr>
        <w:fldChar w:fldCharType="end"/>
      </w:r>
      <w:r w:rsidRPr="00220C07">
        <w:rPr>
          <w:szCs w:val="24"/>
        </w:rPr>
        <w:instrText>" ""</w:instrText>
      </w:r>
      <w:r w:rsidRPr="00220C07">
        <w:rPr>
          <w:szCs w:val="24"/>
        </w:rPr>
        <w:fldChar w:fldCharType="end"/>
      </w:r>
    </w:p>
    <w:p w14:paraId="64852D07" w14:textId="56BD0418" w:rsidR="00190977" w:rsidRPr="00220C07" w:rsidRDefault="00190977" w:rsidP="00190977">
      <w:pPr>
        <w:pStyle w:val="RefNorm"/>
        <w:autoSpaceDE w:val="0"/>
        <w:autoSpaceDN w:val="0"/>
        <w:adjustRightInd w:val="0"/>
        <w:rPr>
          <w:szCs w:val="24"/>
        </w:rPr>
      </w:pPr>
      <w:r w:rsidRPr="00220C07">
        <w:rPr>
          <w:szCs w:val="24"/>
        </w:rPr>
        <w:fldChar w:fldCharType="begin"/>
      </w:r>
      <w:r w:rsidRPr="00220C07">
        <w:rPr>
          <w:szCs w:val="24"/>
        </w:rPr>
        <w:instrText>IF "x_+3" "</w:instrText>
      </w:r>
      <w:r w:rsidRPr="00220C07">
        <w:rPr>
          <w:szCs w:val="24"/>
        </w:rPr>
        <w:fldChar w:fldCharType="begin"/>
      </w:r>
      <w:r w:rsidRPr="00220C07">
        <w:rPr>
          <w:szCs w:val="24"/>
        </w:rPr>
        <w:instrText>IF</w:instrText>
      </w:r>
      <w:r w:rsidRPr="00220C07">
        <w:rPr>
          <w:szCs w:val="24"/>
        </w:rPr>
        <w:fldChar w:fldCharType="begin"/>
      </w:r>
      <w:r w:rsidRPr="00220C07">
        <w:rPr>
          <w:szCs w:val="24"/>
        </w:rPr>
        <w:instrText>DOCPROPERTY "x_t"</w:instrText>
      </w:r>
      <w:r w:rsidRPr="00220C07">
        <w:rPr>
          <w:szCs w:val="24"/>
        </w:rPr>
        <w:fldChar w:fldCharType="separate"/>
      </w:r>
      <w:r>
        <w:rPr>
          <w:szCs w:val="24"/>
        </w:rPr>
        <w:instrText>N</w:instrText>
      </w:r>
      <w:r w:rsidRPr="00220C07">
        <w:rPr>
          <w:szCs w:val="24"/>
        </w:rPr>
        <w:fldChar w:fldCharType="end"/>
      </w:r>
      <w:r w:rsidRPr="00220C07">
        <w:rPr>
          <w:szCs w:val="24"/>
        </w:rPr>
        <w:instrText>&lt;&gt; N "&lt;</w:instrText>
      </w:r>
      <w:r w:rsidRPr="00220C07">
        <w:rPr>
          <w:szCs w:val="24"/>
        </w:rPr>
        <w:fldChar w:fldCharType="begin"/>
      </w:r>
      <w:r w:rsidRPr="00220C07">
        <w:rPr>
          <w:szCs w:val="24"/>
        </w:rPr>
        <w:instrText>QUOTE "std"</w:instrText>
      </w:r>
      <w:r w:rsidRPr="00220C07">
        <w:rPr>
          <w:szCs w:val="24"/>
        </w:rPr>
        <w:fldChar w:fldCharType="separate"/>
      </w:r>
      <w:r w:rsidRPr="00220C07">
        <w:rPr>
          <w:szCs w:val="24"/>
        </w:rPr>
        <w:instrText>std</w:instrText>
      </w:r>
      <w:r w:rsidRPr="00220C07">
        <w:rPr>
          <w:szCs w:val="24"/>
        </w:rPr>
        <w:fldChar w:fldCharType="end"/>
      </w:r>
      <w:r w:rsidRPr="00220C07">
        <w:rPr>
          <w:szCs w:val="24"/>
        </w:rPr>
        <w:instrText>"</w:instrText>
      </w:r>
      <w:r w:rsidRPr="00220C07">
        <w:rPr>
          <w:szCs w:val="24"/>
        </w:rPr>
        <w:fldChar w:fldCharType="end"/>
      </w:r>
      <w:r w:rsidRPr="00220C07">
        <w:rPr>
          <w:szCs w:val="24"/>
        </w:rPr>
        <w:fldChar w:fldCharType="begin"/>
      </w:r>
      <w:r w:rsidRPr="00220C07">
        <w:rPr>
          <w:szCs w:val="24"/>
        </w:rPr>
        <w:instrText>IF</w:instrText>
      </w:r>
      <w:r w:rsidRPr="00220C07">
        <w:rPr>
          <w:szCs w:val="24"/>
        </w:rPr>
        <w:fldChar w:fldCharType="begin"/>
      </w:r>
      <w:r w:rsidRPr="00220C07">
        <w:rPr>
          <w:szCs w:val="24"/>
        </w:rPr>
        <w:instrText>= AND(</w:instrText>
      </w:r>
      <w:r w:rsidRPr="00220C07">
        <w:rPr>
          <w:szCs w:val="24"/>
        </w:rPr>
        <w:fldChar w:fldCharType="begin"/>
      </w:r>
      <w:r w:rsidRPr="00220C07">
        <w:rPr>
          <w:szCs w:val="24"/>
        </w:rPr>
        <w:instrText>COMPARE</w:instrText>
      </w:r>
      <w:r w:rsidRPr="00220C07">
        <w:rPr>
          <w:szCs w:val="24"/>
        </w:rPr>
        <w:fldChar w:fldCharType="begin"/>
      </w:r>
      <w:r w:rsidRPr="00220C07">
        <w:rPr>
          <w:szCs w:val="24"/>
        </w:rPr>
        <w:instrText>DOCPROPERTY "x_t"</w:instrText>
      </w:r>
      <w:r w:rsidRPr="00220C07">
        <w:rPr>
          <w:szCs w:val="24"/>
        </w:rPr>
        <w:fldChar w:fldCharType="separate"/>
      </w:r>
      <w:r>
        <w:rPr>
          <w:szCs w:val="24"/>
        </w:rPr>
        <w:instrText>N</w:instrText>
      </w:r>
      <w:r w:rsidRPr="00220C07">
        <w:rPr>
          <w:szCs w:val="24"/>
        </w:rPr>
        <w:fldChar w:fldCharType="end"/>
      </w:r>
      <w:r w:rsidRPr="00220C07">
        <w:rPr>
          <w:szCs w:val="24"/>
        </w:rPr>
        <w:instrText>&lt;&gt; N</w:instrText>
      </w:r>
      <w:r w:rsidRPr="00220C07">
        <w:rPr>
          <w:szCs w:val="24"/>
        </w:rPr>
        <w:fldChar w:fldCharType="separate"/>
      </w:r>
      <w:r>
        <w:rPr>
          <w:noProof/>
          <w:szCs w:val="24"/>
        </w:rPr>
        <w:instrText>0</w:instrText>
      </w:r>
      <w:r w:rsidRPr="00220C07">
        <w:rPr>
          <w:szCs w:val="24"/>
        </w:rPr>
        <w:fldChar w:fldCharType="end"/>
      </w:r>
      <w:r w:rsidRPr="00220C07">
        <w:rPr>
          <w:szCs w:val="24"/>
        </w:rPr>
        <w:instrText>,</w:instrText>
      </w:r>
      <w:r w:rsidRPr="00220C07">
        <w:rPr>
          <w:szCs w:val="24"/>
        </w:rPr>
        <w:fldChar w:fldCharType="begin"/>
      </w:r>
      <w:r w:rsidRPr="00220C07">
        <w:rPr>
          <w:szCs w:val="24"/>
        </w:rPr>
        <w:instrText>COMPARE</w:instrText>
      </w:r>
      <w:r w:rsidRPr="00220C07">
        <w:rPr>
          <w:szCs w:val="24"/>
        </w:rPr>
        <w:fldChar w:fldCharType="begin"/>
      </w:r>
      <w:r w:rsidRPr="00220C07">
        <w:rPr>
          <w:szCs w:val="24"/>
        </w:rPr>
        <w:instrText>DOCPROPERTY "x_a"</w:instrText>
      </w:r>
      <w:r w:rsidRPr="00220C07">
        <w:rPr>
          <w:szCs w:val="24"/>
        </w:rPr>
        <w:fldChar w:fldCharType="separate"/>
      </w:r>
      <w:r>
        <w:rPr>
          <w:szCs w:val="24"/>
        </w:rPr>
        <w:instrText>N</w:instrText>
      </w:r>
      <w:r w:rsidRPr="00220C07">
        <w:rPr>
          <w:szCs w:val="24"/>
        </w:rPr>
        <w:fldChar w:fldCharType="end"/>
      </w:r>
      <w:r w:rsidRPr="00220C07">
        <w:rPr>
          <w:szCs w:val="24"/>
        </w:rPr>
        <w:instrText>&lt;&gt; N</w:instrText>
      </w:r>
      <w:r w:rsidRPr="00220C07">
        <w:rPr>
          <w:szCs w:val="24"/>
        </w:rPr>
        <w:fldChar w:fldCharType="separate"/>
      </w:r>
      <w:r>
        <w:rPr>
          <w:noProof/>
          <w:szCs w:val="24"/>
        </w:rPr>
        <w:instrText>0</w:instrText>
      </w:r>
      <w:r w:rsidRPr="00220C07">
        <w:rPr>
          <w:szCs w:val="24"/>
        </w:rPr>
        <w:fldChar w:fldCharType="end"/>
      </w:r>
      <w:r w:rsidRPr="00220C07">
        <w:rPr>
          <w:szCs w:val="24"/>
        </w:rPr>
        <w:instrText>)</w:instrText>
      </w:r>
      <w:r w:rsidRPr="00220C07">
        <w:rPr>
          <w:szCs w:val="24"/>
        </w:rPr>
        <w:fldChar w:fldCharType="separate"/>
      </w:r>
      <w:r>
        <w:rPr>
          <w:b/>
          <w:noProof/>
          <w:szCs w:val="24"/>
        </w:rPr>
        <w:instrText>!Syntax Error, ,,</w:instrText>
      </w:r>
      <w:r w:rsidRPr="00220C07">
        <w:rPr>
          <w:szCs w:val="24"/>
        </w:rPr>
        <w:fldChar w:fldCharType="end"/>
      </w:r>
      <w:r w:rsidRPr="00220C07">
        <w:rPr>
          <w:szCs w:val="24"/>
        </w:rPr>
        <w:instrText>= 1 "</w:instrText>
      </w:r>
      <w:r w:rsidRPr="00220C07">
        <w:rPr>
          <w:szCs w:val="24"/>
        </w:rPr>
        <w:fldChar w:fldCharType="begin"/>
      </w:r>
      <w:r w:rsidRPr="00220C07">
        <w:rPr>
          <w:szCs w:val="24"/>
        </w:rPr>
        <w:instrText>QUOTE ""</w:instrText>
      </w:r>
      <w:r w:rsidRPr="00220C07">
        <w:rPr>
          <w:szCs w:val="24"/>
        </w:rPr>
        <w:fldChar w:fldCharType="end"/>
      </w:r>
      <w:r w:rsidRPr="00220C07">
        <w:rPr>
          <w:szCs w:val="24"/>
        </w:rPr>
        <w:instrText>"</w:instrText>
      </w:r>
      <w:r w:rsidRPr="00220C07">
        <w:rPr>
          <w:szCs w:val="24"/>
        </w:rPr>
        <w:fldChar w:fldCharType="end"/>
      </w:r>
      <w:r w:rsidRPr="00220C07">
        <w:rPr>
          <w:szCs w:val="24"/>
        </w:rPr>
        <w:fldChar w:fldCharType="begin"/>
      </w:r>
      <w:r w:rsidRPr="00220C07">
        <w:rPr>
          <w:szCs w:val="24"/>
        </w:rPr>
        <w:instrText>IF</w:instrText>
      </w:r>
      <w:r w:rsidRPr="00220C07">
        <w:rPr>
          <w:szCs w:val="24"/>
        </w:rPr>
        <w:fldChar w:fldCharType="begin"/>
      </w:r>
      <w:r w:rsidRPr="00220C07">
        <w:rPr>
          <w:szCs w:val="24"/>
        </w:rPr>
        <w:instrText>DOCPROPERTY "x_t"</w:instrText>
      </w:r>
      <w:r w:rsidRPr="00220C07">
        <w:rPr>
          <w:szCs w:val="24"/>
        </w:rPr>
        <w:fldChar w:fldCharType="separate"/>
      </w:r>
      <w:r>
        <w:rPr>
          <w:szCs w:val="24"/>
        </w:rPr>
        <w:instrText>N</w:instrText>
      </w:r>
      <w:r w:rsidRPr="00220C07">
        <w:rPr>
          <w:szCs w:val="24"/>
        </w:rPr>
        <w:fldChar w:fldCharType="end"/>
      </w:r>
      <w:r w:rsidRPr="00220C07">
        <w:rPr>
          <w:szCs w:val="24"/>
        </w:rPr>
        <w:instrText>&lt;&gt; N "&gt;"</w:instrText>
      </w:r>
      <w:r w:rsidRPr="00220C07">
        <w:rPr>
          <w:szCs w:val="24"/>
        </w:rPr>
        <w:fldChar w:fldCharType="end"/>
      </w:r>
      <w:r w:rsidRPr="00220C07">
        <w:rPr>
          <w:szCs w:val="24"/>
        </w:rPr>
        <w:instrText>" "</w:instrText>
      </w:r>
      <w:r w:rsidRPr="00220C07">
        <w:rPr>
          <w:szCs w:val="24"/>
        </w:rPr>
        <w:fldChar w:fldCharType="begin"/>
      </w:r>
      <w:r w:rsidRPr="00220C07">
        <w:rPr>
          <w:szCs w:val="24"/>
        </w:rPr>
        <w:instrText>QUOTE ""</w:instrText>
      </w:r>
      <w:r w:rsidRPr="00220C07">
        <w:rPr>
          <w:szCs w:val="24"/>
        </w:rPr>
        <w:fldChar w:fldCharType="end"/>
      </w:r>
      <w:r w:rsidRPr="00220C07">
        <w:rPr>
          <w:szCs w:val="24"/>
        </w:rPr>
        <w:instrText>"</w:instrText>
      </w:r>
      <w:r w:rsidRPr="00220C07">
        <w:rPr>
          <w:szCs w:val="24"/>
        </w:rPr>
        <w:fldChar w:fldCharType="end"/>
      </w:r>
      <w:r w:rsidRPr="00220C07">
        <w:rPr>
          <w:rStyle w:val="stdpublisher"/>
          <w:szCs w:val="24"/>
          <w:shd w:val="clear" w:color="auto" w:fill="auto"/>
        </w:rPr>
        <w:t>prEN</w:t>
      </w:r>
      <w:r w:rsidRPr="00220C07">
        <w:rPr>
          <w:szCs w:val="24"/>
        </w:rPr>
        <w:t xml:space="preserve"> </w:t>
      </w:r>
      <w:r w:rsidRPr="00220C07">
        <w:rPr>
          <w:rStyle w:val="stddocNumber"/>
          <w:szCs w:val="24"/>
          <w:shd w:val="clear" w:color="auto" w:fill="auto"/>
        </w:rPr>
        <w:t>1995</w:t>
      </w:r>
      <w:r w:rsidRPr="00220C07">
        <w:rPr>
          <w:szCs w:val="24"/>
        </w:rPr>
        <w:t>-</w:t>
      </w:r>
      <w:r w:rsidRPr="00220C07">
        <w:rPr>
          <w:rStyle w:val="stddocPartNumber"/>
          <w:szCs w:val="24"/>
          <w:shd w:val="clear" w:color="auto" w:fill="auto"/>
        </w:rPr>
        <w:t>1-1</w:t>
      </w:r>
      <w:r w:rsidRPr="00220C07">
        <w:rPr>
          <w:szCs w:val="24"/>
        </w:rPr>
        <w:t>:</w:t>
      </w:r>
      <w:r w:rsidRPr="00220C07">
        <w:rPr>
          <w:rStyle w:val="stdyear"/>
          <w:szCs w:val="24"/>
          <w:shd w:val="clear" w:color="auto" w:fill="auto"/>
        </w:rPr>
        <w:t>2023</w:t>
      </w:r>
      <w:r w:rsidRPr="00220C07">
        <w:rPr>
          <w:szCs w:val="24"/>
        </w:rPr>
        <w:t xml:space="preserve">, </w:t>
      </w:r>
      <w:r w:rsidRPr="00220C07">
        <w:rPr>
          <w:rStyle w:val="stddocTitle"/>
          <w:szCs w:val="24"/>
          <w:shd w:val="clear" w:color="auto" w:fill="auto"/>
        </w:rPr>
        <w:t>Eurocode 5 — Design of timber structures — Part 1-1: General rules and rules for buildings</w:t>
      </w:r>
      <w:r w:rsidRPr="00220C07">
        <w:rPr>
          <w:szCs w:val="24"/>
        </w:rPr>
        <w:fldChar w:fldCharType="begin"/>
      </w:r>
      <w:r w:rsidRPr="00220C07">
        <w:rPr>
          <w:szCs w:val="24"/>
        </w:rPr>
        <w:instrText>IF "x_-3" "</w:instrText>
      </w:r>
      <w:r w:rsidRPr="00220C07">
        <w:rPr>
          <w:szCs w:val="24"/>
        </w:rPr>
        <w:fldChar w:fldCharType="begin"/>
      </w:r>
      <w:r w:rsidRPr="00220C07">
        <w:rPr>
          <w:szCs w:val="24"/>
        </w:rPr>
        <w:instrText>IF</w:instrText>
      </w:r>
      <w:r w:rsidRPr="00220C07">
        <w:rPr>
          <w:szCs w:val="24"/>
        </w:rPr>
        <w:fldChar w:fldCharType="begin"/>
      </w:r>
      <w:r w:rsidRPr="00220C07">
        <w:rPr>
          <w:szCs w:val="24"/>
        </w:rPr>
        <w:instrText>DOCPROPERTY "x_t"</w:instrText>
      </w:r>
      <w:r w:rsidRPr="00220C07">
        <w:rPr>
          <w:szCs w:val="24"/>
        </w:rPr>
        <w:fldChar w:fldCharType="separate"/>
      </w:r>
      <w:r>
        <w:rPr>
          <w:szCs w:val="24"/>
        </w:rPr>
        <w:instrText>N</w:instrText>
      </w:r>
      <w:r w:rsidRPr="00220C07">
        <w:rPr>
          <w:szCs w:val="24"/>
        </w:rPr>
        <w:fldChar w:fldCharType="end"/>
      </w:r>
      <w:r w:rsidRPr="00220C07">
        <w:rPr>
          <w:szCs w:val="24"/>
        </w:rPr>
        <w:instrText>&lt;&gt; N "&lt;/</w:instrText>
      </w:r>
      <w:r w:rsidRPr="00220C07">
        <w:rPr>
          <w:szCs w:val="24"/>
        </w:rPr>
        <w:fldChar w:fldCharType="begin"/>
      </w:r>
      <w:r w:rsidRPr="00220C07">
        <w:rPr>
          <w:szCs w:val="24"/>
        </w:rPr>
        <w:instrText>QUOTE "std"</w:instrText>
      </w:r>
      <w:r w:rsidRPr="00220C07">
        <w:rPr>
          <w:szCs w:val="24"/>
        </w:rPr>
        <w:fldChar w:fldCharType="separate"/>
      </w:r>
      <w:r w:rsidRPr="00220C07">
        <w:rPr>
          <w:szCs w:val="24"/>
        </w:rPr>
        <w:instrText>std</w:instrText>
      </w:r>
      <w:r w:rsidRPr="00220C07">
        <w:rPr>
          <w:szCs w:val="24"/>
        </w:rPr>
        <w:fldChar w:fldCharType="end"/>
      </w:r>
      <w:r w:rsidRPr="00220C07">
        <w:rPr>
          <w:szCs w:val="24"/>
        </w:rPr>
        <w:instrText>"</w:instrText>
      </w:r>
      <w:r w:rsidRPr="00220C07">
        <w:rPr>
          <w:szCs w:val="24"/>
        </w:rPr>
        <w:fldChar w:fldCharType="end"/>
      </w:r>
      <w:r w:rsidRPr="00220C07">
        <w:rPr>
          <w:szCs w:val="24"/>
        </w:rPr>
        <w:fldChar w:fldCharType="begin"/>
      </w:r>
      <w:r w:rsidRPr="00220C07">
        <w:rPr>
          <w:szCs w:val="24"/>
        </w:rPr>
        <w:instrText>IF</w:instrText>
      </w:r>
      <w:r w:rsidRPr="00220C07">
        <w:rPr>
          <w:szCs w:val="24"/>
        </w:rPr>
        <w:fldChar w:fldCharType="begin"/>
      </w:r>
      <w:r w:rsidRPr="00220C07">
        <w:rPr>
          <w:szCs w:val="24"/>
        </w:rPr>
        <w:instrText>DOCPROPERTY "x_t"</w:instrText>
      </w:r>
      <w:r w:rsidRPr="00220C07">
        <w:rPr>
          <w:szCs w:val="24"/>
        </w:rPr>
        <w:fldChar w:fldCharType="separate"/>
      </w:r>
      <w:r>
        <w:rPr>
          <w:szCs w:val="24"/>
        </w:rPr>
        <w:instrText>N</w:instrText>
      </w:r>
      <w:r w:rsidRPr="00220C07">
        <w:rPr>
          <w:szCs w:val="24"/>
        </w:rPr>
        <w:fldChar w:fldCharType="end"/>
      </w:r>
      <w:r w:rsidRPr="00220C07">
        <w:rPr>
          <w:szCs w:val="24"/>
        </w:rPr>
        <w:instrText>&lt;&gt; N "&gt;"</w:instrText>
      </w:r>
      <w:r w:rsidRPr="00220C07">
        <w:rPr>
          <w:szCs w:val="24"/>
        </w:rPr>
        <w:fldChar w:fldCharType="end"/>
      </w:r>
      <w:r w:rsidRPr="00220C07">
        <w:rPr>
          <w:szCs w:val="24"/>
        </w:rPr>
        <w:instrText>" ""</w:instrText>
      </w:r>
      <w:r w:rsidRPr="00220C07">
        <w:rPr>
          <w:szCs w:val="24"/>
        </w:rPr>
        <w:fldChar w:fldCharType="end"/>
      </w:r>
    </w:p>
    <w:p w14:paraId="641D6059" w14:textId="59FE1701" w:rsidR="00190977" w:rsidRPr="00220C07" w:rsidRDefault="00190977" w:rsidP="00190977">
      <w:pPr>
        <w:pStyle w:val="RefNorm"/>
        <w:autoSpaceDE w:val="0"/>
        <w:autoSpaceDN w:val="0"/>
        <w:adjustRightInd w:val="0"/>
        <w:rPr>
          <w:szCs w:val="24"/>
        </w:rPr>
      </w:pPr>
      <w:r w:rsidRPr="00220C07">
        <w:rPr>
          <w:szCs w:val="24"/>
        </w:rPr>
        <w:fldChar w:fldCharType="begin"/>
      </w:r>
      <w:r w:rsidRPr="00220C07">
        <w:rPr>
          <w:szCs w:val="24"/>
        </w:rPr>
        <w:instrText>IF "x_+3" "</w:instrText>
      </w:r>
      <w:r w:rsidRPr="00220C07">
        <w:rPr>
          <w:szCs w:val="24"/>
        </w:rPr>
        <w:fldChar w:fldCharType="begin"/>
      </w:r>
      <w:r w:rsidRPr="00220C07">
        <w:rPr>
          <w:szCs w:val="24"/>
        </w:rPr>
        <w:instrText>IF</w:instrText>
      </w:r>
      <w:r w:rsidRPr="00220C07">
        <w:rPr>
          <w:szCs w:val="24"/>
        </w:rPr>
        <w:fldChar w:fldCharType="begin"/>
      </w:r>
      <w:r w:rsidRPr="00220C07">
        <w:rPr>
          <w:szCs w:val="24"/>
        </w:rPr>
        <w:instrText>DOCPROPERTY "x_t"</w:instrText>
      </w:r>
      <w:r w:rsidRPr="00220C07">
        <w:rPr>
          <w:szCs w:val="24"/>
        </w:rPr>
        <w:fldChar w:fldCharType="separate"/>
      </w:r>
      <w:r>
        <w:rPr>
          <w:szCs w:val="24"/>
        </w:rPr>
        <w:instrText>N</w:instrText>
      </w:r>
      <w:r w:rsidRPr="00220C07">
        <w:rPr>
          <w:szCs w:val="24"/>
        </w:rPr>
        <w:fldChar w:fldCharType="end"/>
      </w:r>
      <w:r w:rsidRPr="00220C07">
        <w:rPr>
          <w:szCs w:val="24"/>
        </w:rPr>
        <w:instrText>&lt;&gt; N "&lt;</w:instrText>
      </w:r>
      <w:r w:rsidRPr="00220C07">
        <w:rPr>
          <w:szCs w:val="24"/>
        </w:rPr>
        <w:fldChar w:fldCharType="begin"/>
      </w:r>
      <w:r w:rsidRPr="00220C07">
        <w:rPr>
          <w:szCs w:val="24"/>
        </w:rPr>
        <w:instrText>QUOTE "std"</w:instrText>
      </w:r>
      <w:r w:rsidRPr="00220C07">
        <w:rPr>
          <w:szCs w:val="24"/>
        </w:rPr>
        <w:fldChar w:fldCharType="separate"/>
      </w:r>
      <w:r w:rsidRPr="00220C07">
        <w:rPr>
          <w:szCs w:val="24"/>
        </w:rPr>
        <w:instrText>std</w:instrText>
      </w:r>
      <w:r w:rsidRPr="00220C07">
        <w:rPr>
          <w:szCs w:val="24"/>
        </w:rPr>
        <w:fldChar w:fldCharType="end"/>
      </w:r>
      <w:r w:rsidRPr="00220C07">
        <w:rPr>
          <w:szCs w:val="24"/>
        </w:rPr>
        <w:instrText>"</w:instrText>
      </w:r>
      <w:r w:rsidRPr="00220C07">
        <w:rPr>
          <w:szCs w:val="24"/>
        </w:rPr>
        <w:fldChar w:fldCharType="end"/>
      </w:r>
      <w:r w:rsidRPr="00220C07">
        <w:rPr>
          <w:szCs w:val="24"/>
        </w:rPr>
        <w:fldChar w:fldCharType="begin"/>
      </w:r>
      <w:r w:rsidRPr="00220C07">
        <w:rPr>
          <w:szCs w:val="24"/>
        </w:rPr>
        <w:instrText>IF</w:instrText>
      </w:r>
      <w:r w:rsidRPr="00220C07">
        <w:rPr>
          <w:szCs w:val="24"/>
        </w:rPr>
        <w:fldChar w:fldCharType="begin"/>
      </w:r>
      <w:r w:rsidRPr="00220C07">
        <w:rPr>
          <w:szCs w:val="24"/>
        </w:rPr>
        <w:instrText>= AND(</w:instrText>
      </w:r>
      <w:r w:rsidRPr="00220C07">
        <w:rPr>
          <w:szCs w:val="24"/>
        </w:rPr>
        <w:fldChar w:fldCharType="begin"/>
      </w:r>
      <w:r w:rsidRPr="00220C07">
        <w:rPr>
          <w:szCs w:val="24"/>
        </w:rPr>
        <w:instrText>COMPARE</w:instrText>
      </w:r>
      <w:r w:rsidRPr="00220C07">
        <w:rPr>
          <w:szCs w:val="24"/>
        </w:rPr>
        <w:fldChar w:fldCharType="begin"/>
      </w:r>
      <w:r w:rsidRPr="00220C07">
        <w:rPr>
          <w:szCs w:val="24"/>
        </w:rPr>
        <w:instrText>DOCPROPERTY "x_t"</w:instrText>
      </w:r>
      <w:r w:rsidRPr="00220C07">
        <w:rPr>
          <w:szCs w:val="24"/>
        </w:rPr>
        <w:fldChar w:fldCharType="separate"/>
      </w:r>
      <w:r>
        <w:rPr>
          <w:szCs w:val="24"/>
        </w:rPr>
        <w:instrText>N</w:instrText>
      </w:r>
      <w:r w:rsidRPr="00220C07">
        <w:rPr>
          <w:szCs w:val="24"/>
        </w:rPr>
        <w:fldChar w:fldCharType="end"/>
      </w:r>
      <w:r w:rsidRPr="00220C07">
        <w:rPr>
          <w:szCs w:val="24"/>
        </w:rPr>
        <w:instrText>&lt;&gt; N</w:instrText>
      </w:r>
      <w:r w:rsidRPr="00220C07">
        <w:rPr>
          <w:szCs w:val="24"/>
        </w:rPr>
        <w:fldChar w:fldCharType="separate"/>
      </w:r>
      <w:r>
        <w:rPr>
          <w:noProof/>
          <w:szCs w:val="24"/>
        </w:rPr>
        <w:instrText>0</w:instrText>
      </w:r>
      <w:r w:rsidRPr="00220C07">
        <w:rPr>
          <w:szCs w:val="24"/>
        </w:rPr>
        <w:fldChar w:fldCharType="end"/>
      </w:r>
      <w:r w:rsidRPr="00220C07">
        <w:rPr>
          <w:szCs w:val="24"/>
        </w:rPr>
        <w:instrText>,</w:instrText>
      </w:r>
      <w:r w:rsidRPr="00220C07">
        <w:rPr>
          <w:szCs w:val="24"/>
        </w:rPr>
        <w:fldChar w:fldCharType="begin"/>
      </w:r>
      <w:r w:rsidRPr="00220C07">
        <w:rPr>
          <w:szCs w:val="24"/>
        </w:rPr>
        <w:instrText>COMPARE</w:instrText>
      </w:r>
      <w:r w:rsidRPr="00220C07">
        <w:rPr>
          <w:szCs w:val="24"/>
        </w:rPr>
        <w:fldChar w:fldCharType="begin"/>
      </w:r>
      <w:r w:rsidRPr="00220C07">
        <w:rPr>
          <w:szCs w:val="24"/>
        </w:rPr>
        <w:instrText>DOCPROPERTY "x_a"</w:instrText>
      </w:r>
      <w:r w:rsidRPr="00220C07">
        <w:rPr>
          <w:szCs w:val="24"/>
        </w:rPr>
        <w:fldChar w:fldCharType="separate"/>
      </w:r>
      <w:r>
        <w:rPr>
          <w:szCs w:val="24"/>
        </w:rPr>
        <w:instrText>N</w:instrText>
      </w:r>
      <w:r w:rsidRPr="00220C07">
        <w:rPr>
          <w:szCs w:val="24"/>
        </w:rPr>
        <w:fldChar w:fldCharType="end"/>
      </w:r>
      <w:r w:rsidRPr="00220C07">
        <w:rPr>
          <w:szCs w:val="24"/>
        </w:rPr>
        <w:instrText>&lt;&gt; N</w:instrText>
      </w:r>
      <w:r w:rsidRPr="00220C07">
        <w:rPr>
          <w:szCs w:val="24"/>
        </w:rPr>
        <w:fldChar w:fldCharType="separate"/>
      </w:r>
      <w:r>
        <w:rPr>
          <w:noProof/>
          <w:szCs w:val="24"/>
        </w:rPr>
        <w:instrText>0</w:instrText>
      </w:r>
      <w:r w:rsidRPr="00220C07">
        <w:rPr>
          <w:szCs w:val="24"/>
        </w:rPr>
        <w:fldChar w:fldCharType="end"/>
      </w:r>
      <w:r w:rsidRPr="00220C07">
        <w:rPr>
          <w:szCs w:val="24"/>
        </w:rPr>
        <w:instrText>)</w:instrText>
      </w:r>
      <w:r w:rsidRPr="00220C07">
        <w:rPr>
          <w:szCs w:val="24"/>
        </w:rPr>
        <w:fldChar w:fldCharType="separate"/>
      </w:r>
      <w:r>
        <w:rPr>
          <w:b/>
          <w:noProof/>
          <w:szCs w:val="24"/>
        </w:rPr>
        <w:instrText>!Syntax Error, ,,</w:instrText>
      </w:r>
      <w:r w:rsidRPr="00220C07">
        <w:rPr>
          <w:szCs w:val="24"/>
        </w:rPr>
        <w:fldChar w:fldCharType="end"/>
      </w:r>
      <w:r w:rsidRPr="00220C07">
        <w:rPr>
          <w:szCs w:val="24"/>
        </w:rPr>
        <w:instrText>= 1 "</w:instrText>
      </w:r>
      <w:r w:rsidRPr="00220C07">
        <w:rPr>
          <w:szCs w:val="24"/>
        </w:rPr>
        <w:fldChar w:fldCharType="begin"/>
      </w:r>
      <w:r w:rsidRPr="00220C07">
        <w:rPr>
          <w:szCs w:val="24"/>
        </w:rPr>
        <w:instrText>QUOTE ""</w:instrText>
      </w:r>
      <w:r w:rsidRPr="00220C07">
        <w:rPr>
          <w:szCs w:val="24"/>
        </w:rPr>
        <w:fldChar w:fldCharType="end"/>
      </w:r>
      <w:r w:rsidRPr="00220C07">
        <w:rPr>
          <w:szCs w:val="24"/>
        </w:rPr>
        <w:instrText>"</w:instrText>
      </w:r>
      <w:r w:rsidRPr="00220C07">
        <w:rPr>
          <w:szCs w:val="24"/>
        </w:rPr>
        <w:fldChar w:fldCharType="end"/>
      </w:r>
      <w:r w:rsidRPr="00220C07">
        <w:rPr>
          <w:szCs w:val="24"/>
        </w:rPr>
        <w:fldChar w:fldCharType="begin"/>
      </w:r>
      <w:r w:rsidRPr="00220C07">
        <w:rPr>
          <w:szCs w:val="24"/>
        </w:rPr>
        <w:instrText>IF</w:instrText>
      </w:r>
      <w:r w:rsidRPr="00220C07">
        <w:rPr>
          <w:szCs w:val="24"/>
        </w:rPr>
        <w:fldChar w:fldCharType="begin"/>
      </w:r>
      <w:r w:rsidRPr="00220C07">
        <w:rPr>
          <w:szCs w:val="24"/>
        </w:rPr>
        <w:instrText>DOCPROPERTY "x_t"</w:instrText>
      </w:r>
      <w:r w:rsidRPr="00220C07">
        <w:rPr>
          <w:szCs w:val="24"/>
        </w:rPr>
        <w:fldChar w:fldCharType="separate"/>
      </w:r>
      <w:r>
        <w:rPr>
          <w:szCs w:val="24"/>
        </w:rPr>
        <w:instrText>N</w:instrText>
      </w:r>
      <w:r w:rsidRPr="00220C07">
        <w:rPr>
          <w:szCs w:val="24"/>
        </w:rPr>
        <w:fldChar w:fldCharType="end"/>
      </w:r>
      <w:r w:rsidRPr="00220C07">
        <w:rPr>
          <w:szCs w:val="24"/>
        </w:rPr>
        <w:instrText>&lt;&gt; N "&gt;"</w:instrText>
      </w:r>
      <w:r w:rsidRPr="00220C07">
        <w:rPr>
          <w:szCs w:val="24"/>
        </w:rPr>
        <w:fldChar w:fldCharType="end"/>
      </w:r>
      <w:r w:rsidRPr="00220C07">
        <w:rPr>
          <w:szCs w:val="24"/>
        </w:rPr>
        <w:instrText>" "</w:instrText>
      </w:r>
      <w:r w:rsidRPr="00220C07">
        <w:rPr>
          <w:szCs w:val="24"/>
        </w:rPr>
        <w:fldChar w:fldCharType="begin"/>
      </w:r>
      <w:r w:rsidRPr="00220C07">
        <w:rPr>
          <w:szCs w:val="24"/>
        </w:rPr>
        <w:instrText>QUOTE ""</w:instrText>
      </w:r>
      <w:r w:rsidRPr="00220C07">
        <w:rPr>
          <w:szCs w:val="24"/>
        </w:rPr>
        <w:fldChar w:fldCharType="end"/>
      </w:r>
      <w:r w:rsidRPr="00220C07">
        <w:rPr>
          <w:szCs w:val="24"/>
        </w:rPr>
        <w:instrText>"</w:instrText>
      </w:r>
      <w:r w:rsidRPr="00220C07">
        <w:rPr>
          <w:szCs w:val="24"/>
        </w:rPr>
        <w:fldChar w:fldCharType="end"/>
      </w:r>
      <w:r w:rsidRPr="00220C07">
        <w:rPr>
          <w:rStyle w:val="stdpublisher"/>
          <w:szCs w:val="24"/>
          <w:shd w:val="clear" w:color="auto" w:fill="auto"/>
        </w:rPr>
        <w:t>prEN</w:t>
      </w:r>
      <w:r w:rsidRPr="00220C07">
        <w:rPr>
          <w:szCs w:val="24"/>
        </w:rPr>
        <w:t> </w:t>
      </w:r>
      <w:r w:rsidRPr="00220C07">
        <w:rPr>
          <w:rStyle w:val="stddocNumber"/>
          <w:szCs w:val="24"/>
          <w:shd w:val="clear" w:color="auto" w:fill="auto"/>
        </w:rPr>
        <w:t>1998</w:t>
      </w:r>
      <w:r w:rsidRPr="00220C07">
        <w:rPr>
          <w:szCs w:val="24"/>
        </w:rPr>
        <w:t>-</w:t>
      </w:r>
      <w:r w:rsidRPr="00220C07">
        <w:rPr>
          <w:rStyle w:val="stddocPartNumber"/>
          <w:szCs w:val="24"/>
          <w:shd w:val="clear" w:color="auto" w:fill="auto"/>
        </w:rPr>
        <w:t>1-1</w:t>
      </w:r>
      <w:r w:rsidRPr="00220C07">
        <w:rPr>
          <w:szCs w:val="24"/>
        </w:rPr>
        <w:t>:</w:t>
      </w:r>
      <w:r w:rsidRPr="00220C07">
        <w:rPr>
          <w:rStyle w:val="stdyear"/>
          <w:szCs w:val="24"/>
          <w:shd w:val="clear" w:color="auto" w:fill="auto"/>
        </w:rPr>
        <w:t>2022</w:t>
      </w:r>
      <w:r w:rsidRPr="00220C07">
        <w:rPr>
          <w:szCs w:val="24"/>
        </w:rPr>
        <w:t xml:space="preserve">, </w:t>
      </w:r>
      <w:r w:rsidRPr="00220C07">
        <w:rPr>
          <w:rStyle w:val="stddocTitle"/>
          <w:szCs w:val="24"/>
          <w:shd w:val="clear" w:color="auto" w:fill="auto"/>
        </w:rPr>
        <w:t>Eurocode 8 — Design of structures for earthquake resistance — Part 1-1: General rules and seismic action</w:t>
      </w:r>
      <w:r w:rsidRPr="00220C07">
        <w:rPr>
          <w:szCs w:val="24"/>
        </w:rPr>
        <w:fldChar w:fldCharType="begin"/>
      </w:r>
      <w:r w:rsidRPr="00220C07">
        <w:rPr>
          <w:szCs w:val="24"/>
        </w:rPr>
        <w:instrText>IF "x_-3" "</w:instrText>
      </w:r>
      <w:r w:rsidRPr="00220C07">
        <w:rPr>
          <w:szCs w:val="24"/>
        </w:rPr>
        <w:fldChar w:fldCharType="begin"/>
      </w:r>
      <w:r w:rsidRPr="00220C07">
        <w:rPr>
          <w:szCs w:val="24"/>
        </w:rPr>
        <w:instrText>IF</w:instrText>
      </w:r>
      <w:r w:rsidRPr="00220C07">
        <w:rPr>
          <w:szCs w:val="24"/>
        </w:rPr>
        <w:fldChar w:fldCharType="begin"/>
      </w:r>
      <w:r w:rsidRPr="00220C07">
        <w:rPr>
          <w:szCs w:val="24"/>
        </w:rPr>
        <w:instrText>DOCPROPERTY "x_t"</w:instrText>
      </w:r>
      <w:r w:rsidRPr="00220C07">
        <w:rPr>
          <w:szCs w:val="24"/>
        </w:rPr>
        <w:fldChar w:fldCharType="separate"/>
      </w:r>
      <w:r>
        <w:rPr>
          <w:szCs w:val="24"/>
        </w:rPr>
        <w:instrText>N</w:instrText>
      </w:r>
      <w:r w:rsidRPr="00220C07">
        <w:rPr>
          <w:szCs w:val="24"/>
        </w:rPr>
        <w:fldChar w:fldCharType="end"/>
      </w:r>
      <w:r w:rsidRPr="00220C07">
        <w:rPr>
          <w:szCs w:val="24"/>
        </w:rPr>
        <w:instrText>&lt;&gt; N "&lt;/</w:instrText>
      </w:r>
      <w:r w:rsidRPr="00220C07">
        <w:rPr>
          <w:szCs w:val="24"/>
        </w:rPr>
        <w:fldChar w:fldCharType="begin"/>
      </w:r>
      <w:r w:rsidRPr="00220C07">
        <w:rPr>
          <w:szCs w:val="24"/>
        </w:rPr>
        <w:instrText>QUOTE "std"</w:instrText>
      </w:r>
      <w:r w:rsidRPr="00220C07">
        <w:rPr>
          <w:szCs w:val="24"/>
        </w:rPr>
        <w:fldChar w:fldCharType="separate"/>
      </w:r>
      <w:r w:rsidRPr="00220C07">
        <w:rPr>
          <w:szCs w:val="24"/>
        </w:rPr>
        <w:instrText>std</w:instrText>
      </w:r>
      <w:r w:rsidRPr="00220C07">
        <w:rPr>
          <w:szCs w:val="24"/>
        </w:rPr>
        <w:fldChar w:fldCharType="end"/>
      </w:r>
      <w:r w:rsidRPr="00220C07">
        <w:rPr>
          <w:szCs w:val="24"/>
        </w:rPr>
        <w:instrText>"</w:instrText>
      </w:r>
      <w:r w:rsidRPr="00220C07">
        <w:rPr>
          <w:szCs w:val="24"/>
        </w:rPr>
        <w:fldChar w:fldCharType="end"/>
      </w:r>
      <w:r w:rsidRPr="00220C07">
        <w:rPr>
          <w:szCs w:val="24"/>
        </w:rPr>
        <w:fldChar w:fldCharType="begin"/>
      </w:r>
      <w:r w:rsidRPr="00220C07">
        <w:rPr>
          <w:szCs w:val="24"/>
        </w:rPr>
        <w:instrText>IF</w:instrText>
      </w:r>
      <w:r w:rsidRPr="00220C07">
        <w:rPr>
          <w:szCs w:val="24"/>
        </w:rPr>
        <w:fldChar w:fldCharType="begin"/>
      </w:r>
      <w:r w:rsidRPr="00220C07">
        <w:rPr>
          <w:szCs w:val="24"/>
        </w:rPr>
        <w:instrText>DOCPROPERTY "x_t"</w:instrText>
      </w:r>
      <w:r w:rsidRPr="00220C07">
        <w:rPr>
          <w:szCs w:val="24"/>
        </w:rPr>
        <w:fldChar w:fldCharType="separate"/>
      </w:r>
      <w:r>
        <w:rPr>
          <w:szCs w:val="24"/>
        </w:rPr>
        <w:instrText>N</w:instrText>
      </w:r>
      <w:r w:rsidRPr="00220C07">
        <w:rPr>
          <w:szCs w:val="24"/>
        </w:rPr>
        <w:fldChar w:fldCharType="end"/>
      </w:r>
      <w:r w:rsidRPr="00220C07">
        <w:rPr>
          <w:szCs w:val="24"/>
        </w:rPr>
        <w:instrText>&lt;&gt; N "&gt;"</w:instrText>
      </w:r>
      <w:r w:rsidRPr="00220C07">
        <w:rPr>
          <w:szCs w:val="24"/>
        </w:rPr>
        <w:fldChar w:fldCharType="end"/>
      </w:r>
      <w:r w:rsidRPr="00220C07">
        <w:rPr>
          <w:szCs w:val="24"/>
        </w:rPr>
        <w:instrText>" ""</w:instrText>
      </w:r>
      <w:r w:rsidRPr="00220C07">
        <w:rPr>
          <w:szCs w:val="24"/>
        </w:rPr>
        <w:fldChar w:fldCharType="end"/>
      </w:r>
    </w:p>
    <w:p w14:paraId="56062B5E" w14:textId="7C9DF91A" w:rsidR="00190977" w:rsidRPr="00220C07" w:rsidRDefault="00190977" w:rsidP="00190977">
      <w:pPr>
        <w:pStyle w:val="RefNorm"/>
        <w:autoSpaceDE w:val="0"/>
        <w:autoSpaceDN w:val="0"/>
        <w:adjustRightInd w:val="0"/>
        <w:rPr>
          <w:szCs w:val="24"/>
        </w:rPr>
      </w:pPr>
      <w:r w:rsidRPr="00220C07">
        <w:rPr>
          <w:szCs w:val="24"/>
        </w:rPr>
        <w:fldChar w:fldCharType="begin"/>
      </w:r>
      <w:r w:rsidRPr="00220C07">
        <w:rPr>
          <w:szCs w:val="24"/>
        </w:rPr>
        <w:instrText>IF "x_+3" "</w:instrText>
      </w:r>
      <w:r w:rsidRPr="00220C07">
        <w:rPr>
          <w:szCs w:val="24"/>
        </w:rPr>
        <w:fldChar w:fldCharType="begin"/>
      </w:r>
      <w:r w:rsidRPr="00220C07">
        <w:rPr>
          <w:szCs w:val="24"/>
        </w:rPr>
        <w:instrText>IF</w:instrText>
      </w:r>
      <w:r w:rsidRPr="00220C07">
        <w:rPr>
          <w:szCs w:val="24"/>
        </w:rPr>
        <w:fldChar w:fldCharType="begin"/>
      </w:r>
      <w:r w:rsidRPr="00220C07">
        <w:rPr>
          <w:szCs w:val="24"/>
        </w:rPr>
        <w:instrText>DOCPROPERTY "x_t"</w:instrText>
      </w:r>
      <w:r w:rsidRPr="00220C07">
        <w:rPr>
          <w:szCs w:val="24"/>
        </w:rPr>
        <w:fldChar w:fldCharType="separate"/>
      </w:r>
      <w:r>
        <w:rPr>
          <w:szCs w:val="24"/>
        </w:rPr>
        <w:instrText>N</w:instrText>
      </w:r>
      <w:r w:rsidRPr="00220C07">
        <w:rPr>
          <w:szCs w:val="24"/>
        </w:rPr>
        <w:fldChar w:fldCharType="end"/>
      </w:r>
      <w:r w:rsidRPr="00220C07">
        <w:rPr>
          <w:szCs w:val="24"/>
        </w:rPr>
        <w:instrText>&lt;&gt; N "&lt;</w:instrText>
      </w:r>
      <w:r w:rsidRPr="00220C07">
        <w:rPr>
          <w:szCs w:val="24"/>
        </w:rPr>
        <w:fldChar w:fldCharType="begin"/>
      </w:r>
      <w:r w:rsidRPr="00220C07">
        <w:rPr>
          <w:szCs w:val="24"/>
        </w:rPr>
        <w:instrText>QUOTE "std"</w:instrText>
      </w:r>
      <w:r w:rsidRPr="00220C07">
        <w:rPr>
          <w:szCs w:val="24"/>
        </w:rPr>
        <w:fldChar w:fldCharType="separate"/>
      </w:r>
      <w:r w:rsidRPr="00220C07">
        <w:rPr>
          <w:szCs w:val="24"/>
        </w:rPr>
        <w:instrText>std</w:instrText>
      </w:r>
      <w:r w:rsidRPr="00220C07">
        <w:rPr>
          <w:szCs w:val="24"/>
        </w:rPr>
        <w:fldChar w:fldCharType="end"/>
      </w:r>
      <w:r w:rsidRPr="00220C07">
        <w:rPr>
          <w:szCs w:val="24"/>
        </w:rPr>
        <w:instrText>"</w:instrText>
      </w:r>
      <w:r w:rsidRPr="00220C07">
        <w:rPr>
          <w:szCs w:val="24"/>
        </w:rPr>
        <w:fldChar w:fldCharType="end"/>
      </w:r>
      <w:r w:rsidRPr="00220C07">
        <w:rPr>
          <w:szCs w:val="24"/>
        </w:rPr>
        <w:fldChar w:fldCharType="begin"/>
      </w:r>
      <w:r w:rsidRPr="00220C07">
        <w:rPr>
          <w:szCs w:val="24"/>
        </w:rPr>
        <w:instrText>IF</w:instrText>
      </w:r>
      <w:r w:rsidRPr="00220C07">
        <w:rPr>
          <w:szCs w:val="24"/>
        </w:rPr>
        <w:fldChar w:fldCharType="begin"/>
      </w:r>
      <w:r w:rsidRPr="00220C07">
        <w:rPr>
          <w:szCs w:val="24"/>
        </w:rPr>
        <w:instrText>= AND(</w:instrText>
      </w:r>
      <w:r w:rsidRPr="00220C07">
        <w:rPr>
          <w:szCs w:val="24"/>
        </w:rPr>
        <w:fldChar w:fldCharType="begin"/>
      </w:r>
      <w:r w:rsidRPr="00220C07">
        <w:rPr>
          <w:szCs w:val="24"/>
        </w:rPr>
        <w:instrText>COMPARE</w:instrText>
      </w:r>
      <w:r w:rsidRPr="00220C07">
        <w:rPr>
          <w:szCs w:val="24"/>
        </w:rPr>
        <w:fldChar w:fldCharType="begin"/>
      </w:r>
      <w:r w:rsidRPr="00220C07">
        <w:rPr>
          <w:szCs w:val="24"/>
        </w:rPr>
        <w:instrText>DOCPROPERTY "x_t"</w:instrText>
      </w:r>
      <w:r w:rsidRPr="00220C07">
        <w:rPr>
          <w:szCs w:val="24"/>
        </w:rPr>
        <w:fldChar w:fldCharType="separate"/>
      </w:r>
      <w:r>
        <w:rPr>
          <w:szCs w:val="24"/>
        </w:rPr>
        <w:instrText>N</w:instrText>
      </w:r>
      <w:r w:rsidRPr="00220C07">
        <w:rPr>
          <w:szCs w:val="24"/>
        </w:rPr>
        <w:fldChar w:fldCharType="end"/>
      </w:r>
      <w:r w:rsidRPr="00220C07">
        <w:rPr>
          <w:szCs w:val="24"/>
        </w:rPr>
        <w:instrText>&lt;&gt; N</w:instrText>
      </w:r>
      <w:r w:rsidRPr="00220C07">
        <w:rPr>
          <w:szCs w:val="24"/>
        </w:rPr>
        <w:fldChar w:fldCharType="separate"/>
      </w:r>
      <w:r>
        <w:rPr>
          <w:noProof/>
          <w:szCs w:val="24"/>
        </w:rPr>
        <w:instrText>0</w:instrText>
      </w:r>
      <w:r w:rsidRPr="00220C07">
        <w:rPr>
          <w:szCs w:val="24"/>
        </w:rPr>
        <w:fldChar w:fldCharType="end"/>
      </w:r>
      <w:r w:rsidRPr="00220C07">
        <w:rPr>
          <w:szCs w:val="24"/>
        </w:rPr>
        <w:instrText>,</w:instrText>
      </w:r>
      <w:r w:rsidRPr="00220C07">
        <w:rPr>
          <w:szCs w:val="24"/>
        </w:rPr>
        <w:fldChar w:fldCharType="begin"/>
      </w:r>
      <w:r w:rsidRPr="00220C07">
        <w:rPr>
          <w:szCs w:val="24"/>
        </w:rPr>
        <w:instrText>COMPARE</w:instrText>
      </w:r>
      <w:r w:rsidRPr="00220C07">
        <w:rPr>
          <w:szCs w:val="24"/>
        </w:rPr>
        <w:fldChar w:fldCharType="begin"/>
      </w:r>
      <w:r w:rsidRPr="00220C07">
        <w:rPr>
          <w:szCs w:val="24"/>
        </w:rPr>
        <w:instrText>DOCPROPERTY "x_a"</w:instrText>
      </w:r>
      <w:r w:rsidRPr="00220C07">
        <w:rPr>
          <w:szCs w:val="24"/>
        </w:rPr>
        <w:fldChar w:fldCharType="separate"/>
      </w:r>
      <w:r>
        <w:rPr>
          <w:szCs w:val="24"/>
        </w:rPr>
        <w:instrText>N</w:instrText>
      </w:r>
      <w:r w:rsidRPr="00220C07">
        <w:rPr>
          <w:szCs w:val="24"/>
        </w:rPr>
        <w:fldChar w:fldCharType="end"/>
      </w:r>
      <w:r w:rsidRPr="00220C07">
        <w:rPr>
          <w:szCs w:val="24"/>
        </w:rPr>
        <w:instrText>&lt;&gt; N</w:instrText>
      </w:r>
      <w:r w:rsidRPr="00220C07">
        <w:rPr>
          <w:szCs w:val="24"/>
        </w:rPr>
        <w:fldChar w:fldCharType="separate"/>
      </w:r>
      <w:r>
        <w:rPr>
          <w:noProof/>
          <w:szCs w:val="24"/>
        </w:rPr>
        <w:instrText>0</w:instrText>
      </w:r>
      <w:r w:rsidRPr="00220C07">
        <w:rPr>
          <w:szCs w:val="24"/>
        </w:rPr>
        <w:fldChar w:fldCharType="end"/>
      </w:r>
      <w:r w:rsidRPr="00220C07">
        <w:rPr>
          <w:szCs w:val="24"/>
        </w:rPr>
        <w:instrText>)</w:instrText>
      </w:r>
      <w:r w:rsidRPr="00220C07">
        <w:rPr>
          <w:szCs w:val="24"/>
        </w:rPr>
        <w:fldChar w:fldCharType="separate"/>
      </w:r>
      <w:r>
        <w:rPr>
          <w:b/>
          <w:noProof/>
          <w:szCs w:val="24"/>
        </w:rPr>
        <w:instrText>!Syntax Error, ,,</w:instrText>
      </w:r>
      <w:r w:rsidRPr="00220C07">
        <w:rPr>
          <w:szCs w:val="24"/>
        </w:rPr>
        <w:fldChar w:fldCharType="end"/>
      </w:r>
      <w:r w:rsidRPr="00220C07">
        <w:rPr>
          <w:szCs w:val="24"/>
        </w:rPr>
        <w:instrText>= 1 "</w:instrText>
      </w:r>
      <w:r w:rsidRPr="00220C07">
        <w:rPr>
          <w:szCs w:val="24"/>
        </w:rPr>
        <w:fldChar w:fldCharType="begin"/>
      </w:r>
      <w:r w:rsidRPr="00220C07">
        <w:rPr>
          <w:szCs w:val="24"/>
        </w:rPr>
        <w:instrText>QUOTE ""</w:instrText>
      </w:r>
      <w:r w:rsidRPr="00220C07">
        <w:rPr>
          <w:szCs w:val="24"/>
        </w:rPr>
        <w:fldChar w:fldCharType="end"/>
      </w:r>
      <w:r w:rsidRPr="00220C07">
        <w:rPr>
          <w:szCs w:val="24"/>
        </w:rPr>
        <w:instrText>"</w:instrText>
      </w:r>
      <w:r w:rsidRPr="00220C07">
        <w:rPr>
          <w:szCs w:val="24"/>
        </w:rPr>
        <w:fldChar w:fldCharType="end"/>
      </w:r>
      <w:r w:rsidRPr="00220C07">
        <w:rPr>
          <w:szCs w:val="24"/>
        </w:rPr>
        <w:fldChar w:fldCharType="begin"/>
      </w:r>
      <w:r w:rsidRPr="00220C07">
        <w:rPr>
          <w:szCs w:val="24"/>
        </w:rPr>
        <w:instrText>IF</w:instrText>
      </w:r>
      <w:r w:rsidRPr="00220C07">
        <w:rPr>
          <w:szCs w:val="24"/>
        </w:rPr>
        <w:fldChar w:fldCharType="begin"/>
      </w:r>
      <w:r w:rsidRPr="00220C07">
        <w:rPr>
          <w:szCs w:val="24"/>
        </w:rPr>
        <w:instrText>DOCPROPERTY "x_t"</w:instrText>
      </w:r>
      <w:r w:rsidRPr="00220C07">
        <w:rPr>
          <w:szCs w:val="24"/>
        </w:rPr>
        <w:fldChar w:fldCharType="separate"/>
      </w:r>
      <w:r>
        <w:rPr>
          <w:szCs w:val="24"/>
        </w:rPr>
        <w:instrText>N</w:instrText>
      </w:r>
      <w:r w:rsidRPr="00220C07">
        <w:rPr>
          <w:szCs w:val="24"/>
        </w:rPr>
        <w:fldChar w:fldCharType="end"/>
      </w:r>
      <w:r w:rsidRPr="00220C07">
        <w:rPr>
          <w:szCs w:val="24"/>
        </w:rPr>
        <w:instrText>&lt;&gt; N "&gt;"</w:instrText>
      </w:r>
      <w:r w:rsidRPr="00220C07">
        <w:rPr>
          <w:szCs w:val="24"/>
        </w:rPr>
        <w:fldChar w:fldCharType="end"/>
      </w:r>
      <w:r w:rsidRPr="00220C07">
        <w:rPr>
          <w:szCs w:val="24"/>
        </w:rPr>
        <w:instrText>" "</w:instrText>
      </w:r>
      <w:r w:rsidRPr="00220C07">
        <w:rPr>
          <w:szCs w:val="24"/>
        </w:rPr>
        <w:fldChar w:fldCharType="begin"/>
      </w:r>
      <w:r w:rsidRPr="00220C07">
        <w:rPr>
          <w:szCs w:val="24"/>
        </w:rPr>
        <w:instrText>QUOTE ""</w:instrText>
      </w:r>
      <w:r w:rsidRPr="00220C07">
        <w:rPr>
          <w:szCs w:val="24"/>
        </w:rPr>
        <w:fldChar w:fldCharType="end"/>
      </w:r>
      <w:r w:rsidRPr="00220C07">
        <w:rPr>
          <w:szCs w:val="24"/>
        </w:rPr>
        <w:instrText>"</w:instrText>
      </w:r>
      <w:r w:rsidRPr="00220C07">
        <w:rPr>
          <w:szCs w:val="24"/>
        </w:rPr>
        <w:fldChar w:fldCharType="end"/>
      </w:r>
      <w:r w:rsidRPr="00220C07">
        <w:rPr>
          <w:rStyle w:val="stdpublisher"/>
          <w:szCs w:val="24"/>
          <w:shd w:val="clear" w:color="auto" w:fill="auto"/>
        </w:rPr>
        <w:t>prEN</w:t>
      </w:r>
      <w:r w:rsidRPr="00220C07">
        <w:rPr>
          <w:szCs w:val="24"/>
        </w:rPr>
        <w:t> </w:t>
      </w:r>
      <w:r w:rsidRPr="00220C07">
        <w:rPr>
          <w:rStyle w:val="stddocNumber"/>
          <w:szCs w:val="24"/>
          <w:shd w:val="clear" w:color="auto" w:fill="auto"/>
        </w:rPr>
        <w:t>1998</w:t>
      </w:r>
      <w:r w:rsidRPr="00220C07">
        <w:rPr>
          <w:szCs w:val="24"/>
        </w:rPr>
        <w:t>-</w:t>
      </w:r>
      <w:r w:rsidRPr="00220C07">
        <w:rPr>
          <w:rStyle w:val="stddocPartNumber"/>
          <w:szCs w:val="24"/>
          <w:shd w:val="clear" w:color="auto" w:fill="auto"/>
        </w:rPr>
        <w:t>5</w:t>
      </w:r>
      <w:r w:rsidRPr="00220C07">
        <w:rPr>
          <w:szCs w:val="24"/>
        </w:rPr>
        <w:t>:</w:t>
      </w:r>
      <w:r w:rsidRPr="00220C07">
        <w:rPr>
          <w:rStyle w:val="stdyear"/>
          <w:szCs w:val="24"/>
          <w:shd w:val="clear" w:color="auto" w:fill="auto"/>
        </w:rPr>
        <w:t>2022</w:t>
      </w:r>
      <w:r w:rsidRPr="00220C07">
        <w:rPr>
          <w:szCs w:val="24"/>
        </w:rPr>
        <w:t xml:space="preserve">, </w:t>
      </w:r>
      <w:r w:rsidRPr="00220C07">
        <w:rPr>
          <w:rStyle w:val="stddocTitle"/>
          <w:szCs w:val="24"/>
          <w:shd w:val="clear" w:color="auto" w:fill="auto"/>
        </w:rPr>
        <w:t>Eurocode 8 — Design of structures for earthquake resistance — Part 5: Geotechnical aspects, foundations, retaining and underground structures</w:t>
      </w:r>
      <w:r w:rsidRPr="00220C07">
        <w:rPr>
          <w:szCs w:val="24"/>
        </w:rPr>
        <w:fldChar w:fldCharType="begin"/>
      </w:r>
      <w:r w:rsidRPr="00220C07">
        <w:rPr>
          <w:szCs w:val="24"/>
        </w:rPr>
        <w:instrText>IF "x_-3" "</w:instrText>
      </w:r>
      <w:r w:rsidRPr="00220C07">
        <w:rPr>
          <w:szCs w:val="24"/>
        </w:rPr>
        <w:fldChar w:fldCharType="begin"/>
      </w:r>
      <w:r w:rsidRPr="00220C07">
        <w:rPr>
          <w:szCs w:val="24"/>
        </w:rPr>
        <w:instrText>IF</w:instrText>
      </w:r>
      <w:r w:rsidRPr="00220C07">
        <w:rPr>
          <w:szCs w:val="24"/>
        </w:rPr>
        <w:fldChar w:fldCharType="begin"/>
      </w:r>
      <w:r w:rsidRPr="00220C07">
        <w:rPr>
          <w:szCs w:val="24"/>
        </w:rPr>
        <w:instrText>DOCPROPERTY "x_t"</w:instrText>
      </w:r>
      <w:r w:rsidRPr="00220C07">
        <w:rPr>
          <w:szCs w:val="24"/>
        </w:rPr>
        <w:fldChar w:fldCharType="separate"/>
      </w:r>
      <w:r>
        <w:rPr>
          <w:szCs w:val="24"/>
        </w:rPr>
        <w:instrText>N</w:instrText>
      </w:r>
      <w:r w:rsidRPr="00220C07">
        <w:rPr>
          <w:szCs w:val="24"/>
        </w:rPr>
        <w:fldChar w:fldCharType="end"/>
      </w:r>
      <w:r w:rsidRPr="00220C07">
        <w:rPr>
          <w:szCs w:val="24"/>
        </w:rPr>
        <w:instrText>&lt;&gt; N "&lt;/</w:instrText>
      </w:r>
      <w:r w:rsidRPr="00220C07">
        <w:rPr>
          <w:szCs w:val="24"/>
        </w:rPr>
        <w:fldChar w:fldCharType="begin"/>
      </w:r>
      <w:r w:rsidRPr="00220C07">
        <w:rPr>
          <w:szCs w:val="24"/>
        </w:rPr>
        <w:instrText>QUOTE "std"</w:instrText>
      </w:r>
      <w:r w:rsidRPr="00220C07">
        <w:rPr>
          <w:szCs w:val="24"/>
        </w:rPr>
        <w:fldChar w:fldCharType="separate"/>
      </w:r>
      <w:r w:rsidRPr="00220C07">
        <w:rPr>
          <w:szCs w:val="24"/>
        </w:rPr>
        <w:instrText>std</w:instrText>
      </w:r>
      <w:r w:rsidRPr="00220C07">
        <w:rPr>
          <w:szCs w:val="24"/>
        </w:rPr>
        <w:fldChar w:fldCharType="end"/>
      </w:r>
      <w:r w:rsidRPr="00220C07">
        <w:rPr>
          <w:szCs w:val="24"/>
        </w:rPr>
        <w:instrText>"</w:instrText>
      </w:r>
      <w:r w:rsidRPr="00220C07">
        <w:rPr>
          <w:szCs w:val="24"/>
        </w:rPr>
        <w:fldChar w:fldCharType="end"/>
      </w:r>
      <w:r w:rsidRPr="00220C07">
        <w:rPr>
          <w:szCs w:val="24"/>
        </w:rPr>
        <w:fldChar w:fldCharType="begin"/>
      </w:r>
      <w:r w:rsidRPr="00220C07">
        <w:rPr>
          <w:szCs w:val="24"/>
        </w:rPr>
        <w:instrText>IF</w:instrText>
      </w:r>
      <w:r w:rsidRPr="00220C07">
        <w:rPr>
          <w:szCs w:val="24"/>
        </w:rPr>
        <w:fldChar w:fldCharType="begin"/>
      </w:r>
      <w:r w:rsidRPr="00220C07">
        <w:rPr>
          <w:szCs w:val="24"/>
        </w:rPr>
        <w:instrText>DOCPROPERTY "x_t"</w:instrText>
      </w:r>
      <w:r w:rsidRPr="00220C07">
        <w:rPr>
          <w:szCs w:val="24"/>
        </w:rPr>
        <w:fldChar w:fldCharType="separate"/>
      </w:r>
      <w:r>
        <w:rPr>
          <w:szCs w:val="24"/>
        </w:rPr>
        <w:instrText>N</w:instrText>
      </w:r>
      <w:r w:rsidRPr="00220C07">
        <w:rPr>
          <w:szCs w:val="24"/>
        </w:rPr>
        <w:fldChar w:fldCharType="end"/>
      </w:r>
      <w:r w:rsidRPr="00220C07">
        <w:rPr>
          <w:szCs w:val="24"/>
        </w:rPr>
        <w:instrText>&lt;&gt; N "&gt;"</w:instrText>
      </w:r>
      <w:r w:rsidRPr="00220C07">
        <w:rPr>
          <w:szCs w:val="24"/>
        </w:rPr>
        <w:fldChar w:fldCharType="end"/>
      </w:r>
      <w:r w:rsidRPr="00220C07">
        <w:rPr>
          <w:szCs w:val="24"/>
        </w:rPr>
        <w:instrText>" ""</w:instrText>
      </w:r>
      <w:r w:rsidRPr="00220C07">
        <w:rPr>
          <w:szCs w:val="24"/>
        </w:rPr>
        <w:fldChar w:fldCharType="end"/>
      </w:r>
    </w:p>
    <w:p w14:paraId="45BAAAB6" w14:textId="325DFEBB" w:rsidR="00190977" w:rsidRPr="00220C07" w:rsidRDefault="00190977" w:rsidP="00190977">
      <w:pPr>
        <w:pStyle w:val="RefNorm"/>
        <w:autoSpaceDE w:val="0"/>
        <w:autoSpaceDN w:val="0"/>
        <w:adjustRightInd w:val="0"/>
        <w:rPr>
          <w:szCs w:val="24"/>
        </w:rPr>
      </w:pPr>
      <w:r w:rsidRPr="00220C07">
        <w:rPr>
          <w:szCs w:val="24"/>
        </w:rPr>
        <w:fldChar w:fldCharType="begin"/>
      </w:r>
      <w:r w:rsidRPr="00220C07">
        <w:rPr>
          <w:szCs w:val="24"/>
        </w:rPr>
        <w:instrText>IF "x_+3" "</w:instrText>
      </w:r>
      <w:r w:rsidRPr="00220C07">
        <w:rPr>
          <w:szCs w:val="24"/>
        </w:rPr>
        <w:fldChar w:fldCharType="begin"/>
      </w:r>
      <w:r w:rsidRPr="00220C07">
        <w:rPr>
          <w:szCs w:val="24"/>
        </w:rPr>
        <w:instrText>IF</w:instrText>
      </w:r>
      <w:r w:rsidRPr="00220C07">
        <w:rPr>
          <w:szCs w:val="24"/>
        </w:rPr>
        <w:fldChar w:fldCharType="begin"/>
      </w:r>
      <w:r w:rsidRPr="00220C07">
        <w:rPr>
          <w:szCs w:val="24"/>
        </w:rPr>
        <w:instrText>DOCPROPERTY "x_t"</w:instrText>
      </w:r>
      <w:r w:rsidRPr="00220C07">
        <w:rPr>
          <w:szCs w:val="24"/>
        </w:rPr>
        <w:fldChar w:fldCharType="separate"/>
      </w:r>
      <w:r>
        <w:rPr>
          <w:szCs w:val="24"/>
        </w:rPr>
        <w:instrText>N</w:instrText>
      </w:r>
      <w:r w:rsidRPr="00220C07">
        <w:rPr>
          <w:szCs w:val="24"/>
        </w:rPr>
        <w:fldChar w:fldCharType="end"/>
      </w:r>
      <w:r w:rsidRPr="00220C07">
        <w:rPr>
          <w:szCs w:val="24"/>
        </w:rPr>
        <w:instrText>&lt;&gt; N "&lt;</w:instrText>
      </w:r>
      <w:r w:rsidRPr="00220C07">
        <w:rPr>
          <w:szCs w:val="24"/>
        </w:rPr>
        <w:fldChar w:fldCharType="begin"/>
      </w:r>
      <w:r w:rsidRPr="00220C07">
        <w:rPr>
          <w:szCs w:val="24"/>
        </w:rPr>
        <w:instrText>QUOTE "std"</w:instrText>
      </w:r>
      <w:r w:rsidRPr="00220C07">
        <w:rPr>
          <w:szCs w:val="24"/>
        </w:rPr>
        <w:fldChar w:fldCharType="separate"/>
      </w:r>
      <w:r w:rsidRPr="00220C07">
        <w:rPr>
          <w:szCs w:val="24"/>
        </w:rPr>
        <w:instrText>std</w:instrText>
      </w:r>
      <w:r w:rsidRPr="00220C07">
        <w:rPr>
          <w:szCs w:val="24"/>
        </w:rPr>
        <w:fldChar w:fldCharType="end"/>
      </w:r>
      <w:r w:rsidRPr="00220C07">
        <w:rPr>
          <w:szCs w:val="24"/>
        </w:rPr>
        <w:instrText>"</w:instrText>
      </w:r>
      <w:r w:rsidRPr="00220C07">
        <w:rPr>
          <w:szCs w:val="24"/>
        </w:rPr>
        <w:fldChar w:fldCharType="end"/>
      </w:r>
      <w:r w:rsidRPr="00220C07">
        <w:rPr>
          <w:szCs w:val="24"/>
        </w:rPr>
        <w:fldChar w:fldCharType="begin"/>
      </w:r>
      <w:r w:rsidRPr="00220C07">
        <w:rPr>
          <w:szCs w:val="24"/>
        </w:rPr>
        <w:instrText>IF</w:instrText>
      </w:r>
      <w:r w:rsidRPr="00220C07">
        <w:rPr>
          <w:szCs w:val="24"/>
        </w:rPr>
        <w:fldChar w:fldCharType="begin"/>
      </w:r>
      <w:r w:rsidRPr="00220C07">
        <w:rPr>
          <w:szCs w:val="24"/>
        </w:rPr>
        <w:instrText>= AND(</w:instrText>
      </w:r>
      <w:r w:rsidRPr="00220C07">
        <w:rPr>
          <w:szCs w:val="24"/>
        </w:rPr>
        <w:fldChar w:fldCharType="begin"/>
      </w:r>
      <w:r w:rsidRPr="00220C07">
        <w:rPr>
          <w:szCs w:val="24"/>
        </w:rPr>
        <w:instrText>COMPARE</w:instrText>
      </w:r>
      <w:r w:rsidRPr="00220C07">
        <w:rPr>
          <w:szCs w:val="24"/>
        </w:rPr>
        <w:fldChar w:fldCharType="begin"/>
      </w:r>
      <w:r w:rsidRPr="00220C07">
        <w:rPr>
          <w:szCs w:val="24"/>
        </w:rPr>
        <w:instrText>DOCPROPERTY "x_t"</w:instrText>
      </w:r>
      <w:r w:rsidRPr="00220C07">
        <w:rPr>
          <w:szCs w:val="24"/>
        </w:rPr>
        <w:fldChar w:fldCharType="separate"/>
      </w:r>
      <w:r>
        <w:rPr>
          <w:szCs w:val="24"/>
        </w:rPr>
        <w:instrText>N</w:instrText>
      </w:r>
      <w:r w:rsidRPr="00220C07">
        <w:rPr>
          <w:szCs w:val="24"/>
        </w:rPr>
        <w:fldChar w:fldCharType="end"/>
      </w:r>
      <w:r w:rsidRPr="00220C07">
        <w:rPr>
          <w:szCs w:val="24"/>
        </w:rPr>
        <w:instrText>&lt;&gt; N</w:instrText>
      </w:r>
      <w:r w:rsidRPr="00220C07">
        <w:rPr>
          <w:szCs w:val="24"/>
        </w:rPr>
        <w:fldChar w:fldCharType="separate"/>
      </w:r>
      <w:r>
        <w:rPr>
          <w:noProof/>
          <w:szCs w:val="24"/>
        </w:rPr>
        <w:instrText>0</w:instrText>
      </w:r>
      <w:r w:rsidRPr="00220C07">
        <w:rPr>
          <w:szCs w:val="24"/>
        </w:rPr>
        <w:fldChar w:fldCharType="end"/>
      </w:r>
      <w:r w:rsidRPr="00220C07">
        <w:rPr>
          <w:szCs w:val="24"/>
        </w:rPr>
        <w:instrText>,</w:instrText>
      </w:r>
      <w:r w:rsidRPr="00220C07">
        <w:rPr>
          <w:szCs w:val="24"/>
        </w:rPr>
        <w:fldChar w:fldCharType="begin"/>
      </w:r>
      <w:r w:rsidRPr="00220C07">
        <w:rPr>
          <w:szCs w:val="24"/>
        </w:rPr>
        <w:instrText>COMPARE</w:instrText>
      </w:r>
      <w:r w:rsidRPr="00220C07">
        <w:rPr>
          <w:szCs w:val="24"/>
        </w:rPr>
        <w:fldChar w:fldCharType="begin"/>
      </w:r>
      <w:r w:rsidRPr="00220C07">
        <w:rPr>
          <w:szCs w:val="24"/>
        </w:rPr>
        <w:instrText>DOCPROPERTY "x_a"</w:instrText>
      </w:r>
      <w:r w:rsidRPr="00220C07">
        <w:rPr>
          <w:szCs w:val="24"/>
        </w:rPr>
        <w:fldChar w:fldCharType="separate"/>
      </w:r>
      <w:r>
        <w:rPr>
          <w:szCs w:val="24"/>
        </w:rPr>
        <w:instrText>N</w:instrText>
      </w:r>
      <w:r w:rsidRPr="00220C07">
        <w:rPr>
          <w:szCs w:val="24"/>
        </w:rPr>
        <w:fldChar w:fldCharType="end"/>
      </w:r>
      <w:r w:rsidRPr="00220C07">
        <w:rPr>
          <w:szCs w:val="24"/>
        </w:rPr>
        <w:instrText>&lt;&gt; N</w:instrText>
      </w:r>
      <w:r w:rsidRPr="00220C07">
        <w:rPr>
          <w:szCs w:val="24"/>
        </w:rPr>
        <w:fldChar w:fldCharType="separate"/>
      </w:r>
      <w:r>
        <w:rPr>
          <w:noProof/>
          <w:szCs w:val="24"/>
        </w:rPr>
        <w:instrText>0</w:instrText>
      </w:r>
      <w:r w:rsidRPr="00220C07">
        <w:rPr>
          <w:szCs w:val="24"/>
        </w:rPr>
        <w:fldChar w:fldCharType="end"/>
      </w:r>
      <w:r w:rsidRPr="00220C07">
        <w:rPr>
          <w:szCs w:val="24"/>
        </w:rPr>
        <w:instrText>)</w:instrText>
      </w:r>
      <w:r w:rsidRPr="00220C07">
        <w:rPr>
          <w:szCs w:val="24"/>
        </w:rPr>
        <w:fldChar w:fldCharType="separate"/>
      </w:r>
      <w:r>
        <w:rPr>
          <w:b/>
          <w:noProof/>
          <w:szCs w:val="24"/>
        </w:rPr>
        <w:instrText>!Syntax Error, ,,</w:instrText>
      </w:r>
      <w:r w:rsidRPr="00220C07">
        <w:rPr>
          <w:szCs w:val="24"/>
        </w:rPr>
        <w:fldChar w:fldCharType="end"/>
      </w:r>
      <w:r w:rsidRPr="00220C07">
        <w:rPr>
          <w:szCs w:val="24"/>
        </w:rPr>
        <w:instrText>= 1 "</w:instrText>
      </w:r>
      <w:r w:rsidRPr="00220C07">
        <w:rPr>
          <w:szCs w:val="24"/>
        </w:rPr>
        <w:fldChar w:fldCharType="begin"/>
      </w:r>
      <w:r w:rsidRPr="00220C07">
        <w:rPr>
          <w:szCs w:val="24"/>
        </w:rPr>
        <w:instrText>QUOTE ""</w:instrText>
      </w:r>
      <w:r w:rsidRPr="00220C07">
        <w:rPr>
          <w:szCs w:val="24"/>
        </w:rPr>
        <w:fldChar w:fldCharType="end"/>
      </w:r>
      <w:r w:rsidRPr="00220C07">
        <w:rPr>
          <w:szCs w:val="24"/>
        </w:rPr>
        <w:instrText>"</w:instrText>
      </w:r>
      <w:r w:rsidRPr="00220C07">
        <w:rPr>
          <w:szCs w:val="24"/>
        </w:rPr>
        <w:fldChar w:fldCharType="end"/>
      </w:r>
      <w:r w:rsidRPr="00220C07">
        <w:rPr>
          <w:szCs w:val="24"/>
        </w:rPr>
        <w:fldChar w:fldCharType="begin"/>
      </w:r>
      <w:r w:rsidRPr="00220C07">
        <w:rPr>
          <w:szCs w:val="24"/>
        </w:rPr>
        <w:instrText>IF</w:instrText>
      </w:r>
      <w:r w:rsidRPr="00220C07">
        <w:rPr>
          <w:szCs w:val="24"/>
        </w:rPr>
        <w:fldChar w:fldCharType="begin"/>
      </w:r>
      <w:r w:rsidRPr="00220C07">
        <w:rPr>
          <w:szCs w:val="24"/>
        </w:rPr>
        <w:instrText>DOCPROPERTY "x_t"</w:instrText>
      </w:r>
      <w:r w:rsidRPr="00220C07">
        <w:rPr>
          <w:szCs w:val="24"/>
        </w:rPr>
        <w:fldChar w:fldCharType="separate"/>
      </w:r>
      <w:r>
        <w:rPr>
          <w:szCs w:val="24"/>
        </w:rPr>
        <w:instrText>N</w:instrText>
      </w:r>
      <w:r w:rsidRPr="00220C07">
        <w:rPr>
          <w:szCs w:val="24"/>
        </w:rPr>
        <w:fldChar w:fldCharType="end"/>
      </w:r>
      <w:r w:rsidRPr="00220C07">
        <w:rPr>
          <w:szCs w:val="24"/>
        </w:rPr>
        <w:instrText>&lt;&gt; N "&gt;"</w:instrText>
      </w:r>
      <w:r w:rsidRPr="00220C07">
        <w:rPr>
          <w:szCs w:val="24"/>
        </w:rPr>
        <w:fldChar w:fldCharType="end"/>
      </w:r>
      <w:r w:rsidRPr="00220C07">
        <w:rPr>
          <w:szCs w:val="24"/>
        </w:rPr>
        <w:instrText>" "</w:instrText>
      </w:r>
      <w:r w:rsidRPr="00220C07">
        <w:rPr>
          <w:szCs w:val="24"/>
        </w:rPr>
        <w:fldChar w:fldCharType="begin"/>
      </w:r>
      <w:r w:rsidRPr="00220C07">
        <w:rPr>
          <w:szCs w:val="24"/>
        </w:rPr>
        <w:instrText>QUOTE ""</w:instrText>
      </w:r>
      <w:r w:rsidRPr="00220C07">
        <w:rPr>
          <w:szCs w:val="24"/>
        </w:rPr>
        <w:fldChar w:fldCharType="end"/>
      </w:r>
      <w:r w:rsidRPr="00220C07">
        <w:rPr>
          <w:szCs w:val="24"/>
        </w:rPr>
        <w:instrText>"</w:instrText>
      </w:r>
      <w:r w:rsidRPr="00220C07">
        <w:rPr>
          <w:szCs w:val="24"/>
        </w:rPr>
        <w:fldChar w:fldCharType="end"/>
      </w:r>
      <w:r w:rsidRPr="00220C07">
        <w:rPr>
          <w:rStyle w:val="stdpublisher"/>
          <w:szCs w:val="24"/>
          <w:shd w:val="clear" w:color="auto" w:fill="auto"/>
        </w:rPr>
        <w:t>EN</w:t>
      </w:r>
      <w:r w:rsidRPr="00220C07">
        <w:rPr>
          <w:szCs w:val="24"/>
        </w:rPr>
        <w:t> </w:t>
      </w:r>
      <w:r w:rsidRPr="00220C07">
        <w:rPr>
          <w:rStyle w:val="stddocNumber"/>
          <w:szCs w:val="24"/>
          <w:shd w:val="clear" w:color="auto" w:fill="auto"/>
        </w:rPr>
        <w:t>12512</w:t>
      </w:r>
      <w:r w:rsidRPr="00220C07">
        <w:rPr>
          <w:szCs w:val="24"/>
        </w:rPr>
        <w:t xml:space="preserve">, </w:t>
      </w:r>
      <w:r w:rsidRPr="00220C07">
        <w:rPr>
          <w:rStyle w:val="stddocTitle"/>
          <w:szCs w:val="24"/>
          <w:shd w:val="clear" w:color="auto" w:fill="auto"/>
        </w:rPr>
        <w:t>Timber structures — Test methods — Cyclic testing of joints made with mechanical fasteners</w:t>
      </w:r>
      <w:r w:rsidRPr="00220C07">
        <w:rPr>
          <w:szCs w:val="24"/>
        </w:rPr>
        <w:fldChar w:fldCharType="begin"/>
      </w:r>
      <w:r w:rsidRPr="00220C07">
        <w:rPr>
          <w:szCs w:val="24"/>
        </w:rPr>
        <w:instrText>IF "x_-3" "</w:instrText>
      </w:r>
      <w:r w:rsidRPr="00220C07">
        <w:rPr>
          <w:szCs w:val="24"/>
        </w:rPr>
        <w:fldChar w:fldCharType="begin"/>
      </w:r>
      <w:r w:rsidRPr="00220C07">
        <w:rPr>
          <w:szCs w:val="24"/>
        </w:rPr>
        <w:instrText>IF</w:instrText>
      </w:r>
      <w:r w:rsidRPr="00220C07">
        <w:rPr>
          <w:szCs w:val="24"/>
        </w:rPr>
        <w:fldChar w:fldCharType="begin"/>
      </w:r>
      <w:r w:rsidRPr="00220C07">
        <w:rPr>
          <w:szCs w:val="24"/>
        </w:rPr>
        <w:instrText>DOCPROPERTY "x_t"</w:instrText>
      </w:r>
      <w:r w:rsidRPr="00220C07">
        <w:rPr>
          <w:szCs w:val="24"/>
        </w:rPr>
        <w:fldChar w:fldCharType="separate"/>
      </w:r>
      <w:r>
        <w:rPr>
          <w:szCs w:val="24"/>
        </w:rPr>
        <w:instrText>N</w:instrText>
      </w:r>
      <w:r w:rsidRPr="00220C07">
        <w:rPr>
          <w:szCs w:val="24"/>
        </w:rPr>
        <w:fldChar w:fldCharType="end"/>
      </w:r>
      <w:r w:rsidRPr="00220C07">
        <w:rPr>
          <w:szCs w:val="24"/>
        </w:rPr>
        <w:instrText>&lt;&gt; N "&lt;/</w:instrText>
      </w:r>
      <w:r w:rsidRPr="00220C07">
        <w:rPr>
          <w:szCs w:val="24"/>
        </w:rPr>
        <w:fldChar w:fldCharType="begin"/>
      </w:r>
      <w:r w:rsidRPr="00220C07">
        <w:rPr>
          <w:szCs w:val="24"/>
        </w:rPr>
        <w:instrText>QUOTE "std"</w:instrText>
      </w:r>
      <w:r w:rsidRPr="00220C07">
        <w:rPr>
          <w:szCs w:val="24"/>
        </w:rPr>
        <w:fldChar w:fldCharType="separate"/>
      </w:r>
      <w:r w:rsidRPr="00220C07">
        <w:rPr>
          <w:szCs w:val="24"/>
        </w:rPr>
        <w:instrText>std</w:instrText>
      </w:r>
      <w:r w:rsidRPr="00220C07">
        <w:rPr>
          <w:szCs w:val="24"/>
        </w:rPr>
        <w:fldChar w:fldCharType="end"/>
      </w:r>
      <w:r w:rsidRPr="00220C07">
        <w:rPr>
          <w:szCs w:val="24"/>
        </w:rPr>
        <w:instrText>"</w:instrText>
      </w:r>
      <w:r w:rsidRPr="00220C07">
        <w:rPr>
          <w:szCs w:val="24"/>
        </w:rPr>
        <w:fldChar w:fldCharType="end"/>
      </w:r>
      <w:r w:rsidRPr="00220C07">
        <w:rPr>
          <w:szCs w:val="24"/>
        </w:rPr>
        <w:fldChar w:fldCharType="begin"/>
      </w:r>
      <w:r w:rsidRPr="00220C07">
        <w:rPr>
          <w:szCs w:val="24"/>
        </w:rPr>
        <w:instrText>IF</w:instrText>
      </w:r>
      <w:r w:rsidRPr="00220C07">
        <w:rPr>
          <w:szCs w:val="24"/>
        </w:rPr>
        <w:fldChar w:fldCharType="begin"/>
      </w:r>
      <w:r w:rsidRPr="00220C07">
        <w:rPr>
          <w:szCs w:val="24"/>
        </w:rPr>
        <w:instrText>DOCPROPERTY "x_t"</w:instrText>
      </w:r>
      <w:r w:rsidRPr="00220C07">
        <w:rPr>
          <w:szCs w:val="24"/>
        </w:rPr>
        <w:fldChar w:fldCharType="separate"/>
      </w:r>
      <w:r>
        <w:rPr>
          <w:szCs w:val="24"/>
        </w:rPr>
        <w:instrText>N</w:instrText>
      </w:r>
      <w:r w:rsidRPr="00220C07">
        <w:rPr>
          <w:szCs w:val="24"/>
        </w:rPr>
        <w:fldChar w:fldCharType="end"/>
      </w:r>
      <w:r w:rsidRPr="00220C07">
        <w:rPr>
          <w:szCs w:val="24"/>
        </w:rPr>
        <w:instrText>&lt;&gt; N "&gt;"</w:instrText>
      </w:r>
      <w:r w:rsidRPr="00220C07">
        <w:rPr>
          <w:szCs w:val="24"/>
        </w:rPr>
        <w:fldChar w:fldCharType="end"/>
      </w:r>
      <w:r w:rsidRPr="00220C07">
        <w:rPr>
          <w:szCs w:val="24"/>
        </w:rPr>
        <w:instrText>" ""</w:instrText>
      </w:r>
      <w:r w:rsidRPr="00220C07">
        <w:rPr>
          <w:szCs w:val="24"/>
        </w:rPr>
        <w:fldChar w:fldCharType="end"/>
      </w:r>
    </w:p>
    <w:p w14:paraId="2533E1BC" w14:textId="13D1E9F6" w:rsidR="00190977" w:rsidRPr="00220C07" w:rsidRDefault="00190977" w:rsidP="00190977">
      <w:pPr>
        <w:pStyle w:val="RefNorm"/>
        <w:autoSpaceDE w:val="0"/>
        <w:autoSpaceDN w:val="0"/>
        <w:adjustRightInd w:val="0"/>
        <w:rPr>
          <w:szCs w:val="24"/>
        </w:rPr>
      </w:pPr>
      <w:r w:rsidRPr="00220C07">
        <w:rPr>
          <w:szCs w:val="24"/>
        </w:rPr>
        <w:fldChar w:fldCharType="begin"/>
      </w:r>
      <w:r w:rsidRPr="00220C07">
        <w:rPr>
          <w:szCs w:val="24"/>
        </w:rPr>
        <w:instrText>IF "x_+3" "</w:instrText>
      </w:r>
      <w:r w:rsidRPr="00220C07">
        <w:rPr>
          <w:szCs w:val="24"/>
        </w:rPr>
        <w:fldChar w:fldCharType="begin"/>
      </w:r>
      <w:r w:rsidRPr="00220C07">
        <w:rPr>
          <w:szCs w:val="24"/>
        </w:rPr>
        <w:instrText>IF</w:instrText>
      </w:r>
      <w:r w:rsidRPr="00220C07">
        <w:rPr>
          <w:szCs w:val="24"/>
        </w:rPr>
        <w:fldChar w:fldCharType="begin"/>
      </w:r>
      <w:r w:rsidRPr="00220C07">
        <w:rPr>
          <w:szCs w:val="24"/>
        </w:rPr>
        <w:instrText>DOCPROPERTY "x_t"</w:instrText>
      </w:r>
      <w:r w:rsidRPr="00220C07">
        <w:rPr>
          <w:szCs w:val="24"/>
        </w:rPr>
        <w:fldChar w:fldCharType="separate"/>
      </w:r>
      <w:r>
        <w:rPr>
          <w:szCs w:val="24"/>
        </w:rPr>
        <w:instrText>N</w:instrText>
      </w:r>
      <w:r w:rsidRPr="00220C07">
        <w:rPr>
          <w:szCs w:val="24"/>
        </w:rPr>
        <w:fldChar w:fldCharType="end"/>
      </w:r>
      <w:r w:rsidRPr="00220C07">
        <w:rPr>
          <w:szCs w:val="24"/>
        </w:rPr>
        <w:instrText>&lt;&gt; N "&lt;</w:instrText>
      </w:r>
      <w:r w:rsidRPr="00220C07">
        <w:rPr>
          <w:szCs w:val="24"/>
        </w:rPr>
        <w:fldChar w:fldCharType="begin"/>
      </w:r>
      <w:r w:rsidRPr="00220C07">
        <w:rPr>
          <w:szCs w:val="24"/>
        </w:rPr>
        <w:instrText>QUOTE "std"</w:instrText>
      </w:r>
      <w:r w:rsidRPr="00220C07">
        <w:rPr>
          <w:szCs w:val="24"/>
        </w:rPr>
        <w:fldChar w:fldCharType="separate"/>
      </w:r>
      <w:r w:rsidRPr="00220C07">
        <w:rPr>
          <w:szCs w:val="24"/>
        </w:rPr>
        <w:instrText>std</w:instrText>
      </w:r>
      <w:r w:rsidRPr="00220C07">
        <w:rPr>
          <w:szCs w:val="24"/>
        </w:rPr>
        <w:fldChar w:fldCharType="end"/>
      </w:r>
      <w:r w:rsidRPr="00220C07">
        <w:rPr>
          <w:szCs w:val="24"/>
        </w:rPr>
        <w:instrText>"</w:instrText>
      </w:r>
      <w:r w:rsidRPr="00220C07">
        <w:rPr>
          <w:szCs w:val="24"/>
        </w:rPr>
        <w:fldChar w:fldCharType="end"/>
      </w:r>
      <w:r w:rsidRPr="00220C07">
        <w:rPr>
          <w:szCs w:val="24"/>
        </w:rPr>
        <w:fldChar w:fldCharType="begin"/>
      </w:r>
      <w:r w:rsidRPr="00220C07">
        <w:rPr>
          <w:szCs w:val="24"/>
        </w:rPr>
        <w:instrText>IF</w:instrText>
      </w:r>
      <w:r w:rsidRPr="00220C07">
        <w:rPr>
          <w:szCs w:val="24"/>
        </w:rPr>
        <w:fldChar w:fldCharType="begin"/>
      </w:r>
      <w:r w:rsidRPr="00220C07">
        <w:rPr>
          <w:szCs w:val="24"/>
        </w:rPr>
        <w:instrText>= AND(</w:instrText>
      </w:r>
      <w:r w:rsidRPr="00220C07">
        <w:rPr>
          <w:szCs w:val="24"/>
        </w:rPr>
        <w:fldChar w:fldCharType="begin"/>
      </w:r>
      <w:r w:rsidRPr="00220C07">
        <w:rPr>
          <w:szCs w:val="24"/>
        </w:rPr>
        <w:instrText>COMPARE</w:instrText>
      </w:r>
      <w:r w:rsidRPr="00220C07">
        <w:rPr>
          <w:szCs w:val="24"/>
        </w:rPr>
        <w:fldChar w:fldCharType="begin"/>
      </w:r>
      <w:r w:rsidRPr="00220C07">
        <w:rPr>
          <w:szCs w:val="24"/>
        </w:rPr>
        <w:instrText>DOCPROPERTY "x_t"</w:instrText>
      </w:r>
      <w:r w:rsidRPr="00220C07">
        <w:rPr>
          <w:szCs w:val="24"/>
        </w:rPr>
        <w:fldChar w:fldCharType="separate"/>
      </w:r>
      <w:r>
        <w:rPr>
          <w:szCs w:val="24"/>
        </w:rPr>
        <w:instrText>N</w:instrText>
      </w:r>
      <w:r w:rsidRPr="00220C07">
        <w:rPr>
          <w:szCs w:val="24"/>
        </w:rPr>
        <w:fldChar w:fldCharType="end"/>
      </w:r>
      <w:r w:rsidRPr="00220C07">
        <w:rPr>
          <w:szCs w:val="24"/>
        </w:rPr>
        <w:instrText>&lt;&gt; N</w:instrText>
      </w:r>
      <w:r w:rsidRPr="00220C07">
        <w:rPr>
          <w:szCs w:val="24"/>
        </w:rPr>
        <w:fldChar w:fldCharType="separate"/>
      </w:r>
      <w:r>
        <w:rPr>
          <w:noProof/>
          <w:szCs w:val="24"/>
        </w:rPr>
        <w:instrText>0</w:instrText>
      </w:r>
      <w:r w:rsidRPr="00220C07">
        <w:rPr>
          <w:szCs w:val="24"/>
        </w:rPr>
        <w:fldChar w:fldCharType="end"/>
      </w:r>
      <w:r w:rsidRPr="00220C07">
        <w:rPr>
          <w:szCs w:val="24"/>
        </w:rPr>
        <w:instrText>,</w:instrText>
      </w:r>
      <w:r w:rsidRPr="00220C07">
        <w:rPr>
          <w:szCs w:val="24"/>
        </w:rPr>
        <w:fldChar w:fldCharType="begin"/>
      </w:r>
      <w:r w:rsidRPr="00220C07">
        <w:rPr>
          <w:szCs w:val="24"/>
        </w:rPr>
        <w:instrText>COMPARE</w:instrText>
      </w:r>
      <w:r w:rsidRPr="00220C07">
        <w:rPr>
          <w:szCs w:val="24"/>
        </w:rPr>
        <w:fldChar w:fldCharType="begin"/>
      </w:r>
      <w:r w:rsidRPr="00220C07">
        <w:rPr>
          <w:szCs w:val="24"/>
        </w:rPr>
        <w:instrText>DOCPROPERTY "x_a"</w:instrText>
      </w:r>
      <w:r w:rsidRPr="00220C07">
        <w:rPr>
          <w:szCs w:val="24"/>
        </w:rPr>
        <w:fldChar w:fldCharType="separate"/>
      </w:r>
      <w:r>
        <w:rPr>
          <w:szCs w:val="24"/>
        </w:rPr>
        <w:instrText>N</w:instrText>
      </w:r>
      <w:r w:rsidRPr="00220C07">
        <w:rPr>
          <w:szCs w:val="24"/>
        </w:rPr>
        <w:fldChar w:fldCharType="end"/>
      </w:r>
      <w:r w:rsidRPr="00220C07">
        <w:rPr>
          <w:szCs w:val="24"/>
        </w:rPr>
        <w:instrText>&lt;&gt; N</w:instrText>
      </w:r>
      <w:r w:rsidRPr="00220C07">
        <w:rPr>
          <w:szCs w:val="24"/>
        </w:rPr>
        <w:fldChar w:fldCharType="separate"/>
      </w:r>
      <w:r>
        <w:rPr>
          <w:noProof/>
          <w:szCs w:val="24"/>
        </w:rPr>
        <w:instrText>0</w:instrText>
      </w:r>
      <w:r w:rsidRPr="00220C07">
        <w:rPr>
          <w:szCs w:val="24"/>
        </w:rPr>
        <w:fldChar w:fldCharType="end"/>
      </w:r>
      <w:r w:rsidRPr="00220C07">
        <w:rPr>
          <w:szCs w:val="24"/>
        </w:rPr>
        <w:instrText>)</w:instrText>
      </w:r>
      <w:r w:rsidRPr="00220C07">
        <w:rPr>
          <w:szCs w:val="24"/>
        </w:rPr>
        <w:fldChar w:fldCharType="separate"/>
      </w:r>
      <w:r>
        <w:rPr>
          <w:b/>
          <w:noProof/>
          <w:szCs w:val="24"/>
        </w:rPr>
        <w:instrText>!Syntax Error, ,,</w:instrText>
      </w:r>
      <w:r w:rsidRPr="00220C07">
        <w:rPr>
          <w:szCs w:val="24"/>
        </w:rPr>
        <w:fldChar w:fldCharType="end"/>
      </w:r>
      <w:r w:rsidRPr="00220C07">
        <w:rPr>
          <w:szCs w:val="24"/>
        </w:rPr>
        <w:instrText>= 1 "</w:instrText>
      </w:r>
      <w:r w:rsidRPr="00220C07">
        <w:rPr>
          <w:szCs w:val="24"/>
        </w:rPr>
        <w:fldChar w:fldCharType="begin"/>
      </w:r>
      <w:r w:rsidRPr="00220C07">
        <w:rPr>
          <w:szCs w:val="24"/>
        </w:rPr>
        <w:instrText>QUOTE ""</w:instrText>
      </w:r>
      <w:r w:rsidRPr="00220C07">
        <w:rPr>
          <w:szCs w:val="24"/>
        </w:rPr>
        <w:fldChar w:fldCharType="end"/>
      </w:r>
      <w:r w:rsidRPr="00220C07">
        <w:rPr>
          <w:szCs w:val="24"/>
        </w:rPr>
        <w:instrText>"</w:instrText>
      </w:r>
      <w:r w:rsidRPr="00220C07">
        <w:rPr>
          <w:szCs w:val="24"/>
        </w:rPr>
        <w:fldChar w:fldCharType="end"/>
      </w:r>
      <w:r w:rsidRPr="00220C07">
        <w:rPr>
          <w:szCs w:val="24"/>
        </w:rPr>
        <w:fldChar w:fldCharType="begin"/>
      </w:r>
      <w:r w:rsidRPr="00220C07">
        <w:rPr>
          <w:szCs w:val="24"/>
        </w:rPr>
        <w:instrText>IF</w:instrText>
      </w:r>
      <w:r w:rsidRPr="00220C07">
        <w:rPr>
          <w:szCs w:val="24"/>
        </w:rPr>
        <w:fldChar w:fldCharType="begin"/>
      </w:r>
      <w:r w:rsidRPr="00220C07">
        <w:rPr>
          <w:szCs w:val="24"/>
        </w:rPr>
        <w:instrText>DOCPROPERTY "x_t"</w:instrText>
      </w:r>
      <w:r w:rsidRPr="00220C07">
        <w:rPr>
          <w:szCs w:val="24"/>
        </w:rPr>
        <w:fldChar w:fldCharType="separate"/>
      </w:r>
      <w:r>
        <w:rPr>
          <w:szCs w:val="24"/>
        </w:rPr>
        <w:instrText>N</w:instrText>
      </w:r>
      <w:r w:rsidRPr="00220C07">
        <w:rPr>
          <w:szCs w:val="24"/>
        </w:rPr>
        <w:fldChar w:fldCharType="end"/>
      </w:r>
      <w:r w:rsidRPr="00220C07">
        <w:rPr>
          <w:szCs w:val="24"/>
        </w:rPr>
        <w:instrText>&lt;&gt; N "&gt;"</w:instrText>
      </w:r>
      <w:r w:rsidRPr="00220C07">
        <w:rPr>
          <w:szCs w:val="24"/>
        </w:rPr>
        <w:fldChar w:fldCharType="end"/>
      </w:r>
      <w:r w:rsidRPr="00220C07">
        <w:rPr>
          <w:szCs w:val="24"/>
        </w:rPr>
        <w:instrText>" "</w:instrText>
      </w:r>
      <w:r w:rsidRPr="00220C07">
        <w:rPr>
          <w:szCs w:val="24"/>
        </w:rPr>
        <w:fldChar w:fldCharType="begin"/>
      </w:r>
      <w:r w:rsidRPr="00220C07">
        <w:rPr>
          <w:szCs w:val="24"/>
        </w:rPr>
        <w:instrText>QUOTE ""</w:instrText>
      </w:r>
      <w:r w:rsidRPr="00220C07">
        <w:rPr>
          <w:szCs w:val="24"/>
        </w:rPr>
        <w:fldChar w:fldCharType="end"/>
      </w:r>
      <w:r w:rsidRPr="00220C07">
        <w:rPr>
          <w:szCs w:val="24"/>
        </w:rPr>
        <w:instrText>"</w:instrText>
      </w:r>
      <w:r w:rsidRPr="00220C07">
        <w:rPr>
          <w:szCs w:val="24"/>
        </w:rPr>
        <w:fldChar w:fldCharType="end"/>
      </w:r>
      <w:r w:rsidRPr="00220C07">
        <w:rPr>
          <w:rStyle w:val="stdpublisher"/>
          <w:szCs w:val="24"/>
          <w:shd w:val="clear" w:color="auto" w:fill="auto"/>
        </w:rPr>
        <w:t>ISO</w:t>
      </w:r>
      <w:r w:rsidRPr="00220C07">
        <w:rPr>
          <w:szCs w:val="24"/>
        </w:rPr>
        <w:t> </w:t>
      </w:r>
      <w:r w:rsidRPr="00220C07">
        <w:rPr>
          <w:rStyle w:val="stddocNumber"/>
          <w:szCs w:val="24"/>
          <w:shd w:val="clear" w:color="auto" w:fill="auto"/>
        </w:rPr>
        <w:t>80000</w:t>
      </w:r>
      <w:r w:rsidRPr="00220C07">
        <w:rPr>
          <w:szCs w:val="24"/>
        </w:rPr>
        <w:t xml:space="preserve"> (</w:t>
      </w:r>
      <w:r w:rsidRPr="00220C07">
        <w:rPr>
          <w:rStyle w:val="stddocPartNumber"/>
          <w:szCs w:val="24"/>
          <w:shd w:val="clear" w:color="auto" w:fill="auto"/>
        </w:rPr>
        <w:t>all parts</w:t>
      </w:r>
      <w:r w:rsidRPr="00220C07">
        <w:rPr>
          <w:szCs w:val="24"/>
        </w:rPr>
        <w:t xml:space="preserve">), </w:t>
      </w:r>
      <w:r w:rsidRPr="00220C07">
        <w:rPr>
          <w:rStyle w:val="stddocTitle"/>
          <w:szCs w:val="24"/>
          <w:shd w:val="clear" w:color="auto" w:fill="auto"/>
        </w:rPr>
        <w:t>Quantities and units</w:t>
      </w:r>
      <w:r w:rsidRPr="00220C07">
        <w:rPr>
          <w:szCs w:val="24"/>
        </w:rPr>
        <w:fldChar w:fldCharType="begin"/>
      </w:r>
      <w:r w:rsidRPr="00220C07">
        <w:rPr>
          <w:szCs w:val="24"/>
        </w:rPr>
        <w:instrText>IF "x_-3" "</w:instrText>
      </w:r>
      <w:r w:rsidRPr="00220C07">
        <w:rPr>
          <w:szCs w:val="24"/>
        </w:rPr>
        <w:fldChar w:fldCharType="begin"/>
      </w:r>
      <w:r w:rsidRPr="00220C07">
        <w:rPr>
          <w:szCs w:val="24"/>
        </w:rPr>
        <w:instrText>IF</w:instrText>
      </w:r>
      <w:r w:rsidRPr="00220C07">
        <w:rPr>
          <w:szCs w:val="24"/>
        </w:rPr>
        <w:fldChar w:fldCharType="begin"/>
      </w:r>
      <w:r w:rsidRPr="00220C07">
        <w:rPr>
          <w:szCs w:val="24"/>
        </w:rPr>
        <w:instrText>DOCPROPERTY "x_t"</w:instrText>
      </w:r>
      <w:r w:rsidRPr="00220C07">
        <w:rPr>
          <w:szCs w:val="24"/>
        </w:rPr>
        <w:fldChar w:fldCharType="separate"/>
      </w:r>
      <w:r>
        <w:rPr>
          <w:szCs w:val="24"/>
        </w:rPr>
        <w:instrText>N</w:instrText>
      </w:r>
      <w:r w:rsidRPr="00220C07">
        <w:rPr>
          <w:szCs w:val="24"/>
        </w:rPr>
        <w:fldChar w:fldCharType="end"/>
      </w:r>
      <w:r w:rsidRPr="00220C07">
        <w:rPr>
          <w:szCs w:val="24"/>
        </w:rPr>
        <w:instrText>&lt;&gt; N "&lt;/</w:instrText>
      </w:r>
      <w:r w:rsidRPr="00220C07">
        <w:rPr>
          <w:szCs w:val="24"/>
        </w:rPr>
        <w:fldChar w:fldCharType="begin"/>
      </w:r>
      <w:r w:rsidRPr="00220C07">
        <w:rPr>
          <w:szCs w:val="24"/>
        </w:rPr>
        <w:instrText>QUOTE "std"</w:instrText>
      </w:r>
      <w:r w:rsidRPr="00220C07">
        <w:rPr>
          <w:szCs w:val="24"/>
        </w:rPr>
        <w:fldChar w:fldCharType="separate"/>
      </w:r>
      <w:r w:rsidRPr="00220C07">
        <w:rPr>
          <w:szCs w:val="24"/>
        </w:rPr>
        <w:instrText>std</w:instrText>
      </w:r>
      <w:r w:rsidRPr="00220C07">
        <w:rPr>
          <w:szCs w:val="24"/>
        </w:rPr>
        <w:fldChar w:fldCharType="end"/>
      </w:r>
      <w:r w:rsidRPr="00220C07">
        <w:rPr>
          <w:szCs w:val="24"/>
        </w:rPr>
        <w:instrText>"</w:instrText>
      </w:r>
      <w:r w:rsidRPr="00220C07">
        <w:rPr>
          <w:szCs w:val="24"/>
        </w:rPr>
        <w:fldChar w:fldCharType="end"/>
      </w:r>
      <w:r w:rsidRPr="00220C07">
        <w:rPr>
          <w:szCs w:val="24"/>
        </w:rPr>
        <w:fldChar w:fldCharType="begin"/>
      </w:r>
      <w:r w:rsidRPr="00220C07">
        <w:rPr>
          <w:szCs w:val="24"/>
        </w:rPr>
        <w:instrText>IF</w:instrText>
      </w:r>
      <w:r w:rsidRPr="00220C07">
        <w:rPr>
          <w:szCs w:val="24"/>
        </w:rPr>
        <w:fldChar w:fldCharType="begin"/>
      </w:r>
      <w:r w:rsidRPr="00220C07">
        <w:rPr>
          <w:szCs w:val="24"/>
        </w:rPr>
        <w:instrText>DOCPROPERTY "x_t"</w:instrText>
      </w:r>
      <w:r w:rsidRPr="00220C07">
        <w:rPr>
          <w:szCs w:val="24"/>
        </w:rPr>
        <w:fldChar w:fldCharType="separate"/>
      </w:r>
      <w:r>
        <w:rPr>
          <w:szCs w:val="24"/>
        </w:rPr>
        <w:instrText>N</w:instrText>
      </w:r>
      <w:r w:rsidRPr="00220C07">
        <w:rPr>
          <w:szCs w:val="24"/>
        </w:rPr>
        <w:fldChar w:fldCharType="end"/>
      </w:r>
      <w:r w:rsidRPr="00220C07">
        <w:rPr>
          <w:szCs w:val="24"/>
        </w:rPr>
        <w:instrText>&lt;&gt; N "&gt;"</w:instrText>
      </w:r>
      <w:r w:rsidRPr="00220C07">
        <w:rPr>
          <w:szCs w:val="24"/>
        </w:rPr>
        <w:fldChar w:fldCharType="end"/>
      </w:r>
      <w:r w:rsidRPr="00220C07">
        <w:rPr>
          <w:szCs w:val="24"/>
        </w:rPr>
        <w:instrText>" ""</w:instrText>
      </w:r>
      <w:r w:rsidRPr="00220C07">
        <w:rPr>
          <w:szCs w:val="24"/>
        </w:rPr>
        <w:fldChar w:fldCharType="end"/>
      </w:r>
    </w:p>
    <w:p w14:paraId="42A04E19" w14:textId="25420771" w:rsidR="00727FC2" w:rsidRPr="00870D59" w:rsidRDefault="00DB201D" w:rsidP="00727FC2">
      <w:pPr>
        <w:pStyle w:val="Heading1"/>
        <w:tabs>
          <w:tab w:val="left" w:pos="403"/>
          <w:tab w:val="left" w:pos="432"/>
          <w:tab w:val="left" w:pos="562"/>
        </w:tabs>
        <w:autoSpaceDE w:val="0"/>
        <w:autoSpaceDN w:val="0"/>
        <w:adjustRightInd w:val="0"/>
        <w:ind w:left="431" w:hanging="431"/>
        <w:rPr>
          <w:szCs w:val="24"/>
        </w:rPr>
      </w:pPr>
      <w:bookmarkStart w:id="24" w:name="_Toc134197745"/>
      <w:bookmarkEnd w:id="21"/>
      <w:bookmarkEnd w:id="22"/>
      <w:r w:rsidRPr="00870D59">
        <w:rPr>
          <w:szCs w:val="24"/>
        </w:rPr>
        <w:t>Terms</w:t>
      </w:r>
      <w:r w:rsidR="004950D3" w:rsidRPr="00870D59">
        <w:rPr>
          <w:szCs w:val="24"/>
        </w:rPr>
        <w:t xml:space="preserve">, </w:t>
      </w:r>
      <w:r w:rsidRPr="00870D59">
        <w:rPr>
          <w:szCs w:val="24"/>
        </w:rPr>
        <w:t>definitions</w:t>
      </w:r>
      <w:bookmarkEnd w:id="23"/>
      <w:r w:rsidR="004950D3" w:rsidRPr="00870D59">
        <w:rPr>
          <w:szCs w:val="24"/>
        </w:rPr>
        <w:t xml:space="preserve"> and symbols</w:t>
      </w:r>
      <w:bookmarkEnd w:id="24"/>
    </w:p>
    <w:p w14:paraId="6B1A287A" w14:textId="32B57BAC" w:rsidR="004950D3" w:rsidRPr="00870D59" w:rsidRDefault="004950D3" w:rsidP="004950D3">
      <w:pPr>
        <w:pStyle w:val="Heading2"/>
        <w:tabs>
          <w:tab w:val="num" w:pos="454"/>
        </w:tabs>
      </w:pPr>
      <w:bookmarkStart w:id="25" w:name="_Toc134197746"/>
      <w:r w:rsidRPr="00870D59">
        <w:t>Terms and definitions</w:t>
      </w:r>
      <w:bookmarkEnd w:id="25"/>
    </w:p>
    <w:p w14:paraId="0935E5F1" w14:textId="0FF0A726" w:rsidR="00BC669C" w:rsidRPr="00870D59" w:rsidRDefault="001D32A5" w:rsidP="001D32A5">
      <w:pPr>
        <w:pStyle w:val="Text"/>
      </w:pPr>
      <w:bookmarkStart w:id="26" w:name="_Hlk119230310"/>
      <w:r w:rsidRPr="001D32A5">
        <w:t>For the purposes of this document, the terms and definitions given in EN</w:t>
      </w:r>
      <w:r>
        <w:t> </w:t>
      </w:r>
      <w:r w:rsidRPr="001D32A5">
        <w:t>1990, prEN</w:t>
      </w:r>
      <w:r>
        <w:t> </w:t>
      </w:r>
      <w:r w:rsidRPr="001D32A5">
        <w:t>1998</w:t>
      </w:r>
      <w:r>
        <w:t>-</w:t>
      </w:r>
      <w:r w:rsidRPr="001D32A5">
        <w:t>1</w:t>
      </w:r>
      <w:r>
        <w:t>-</w:t>
      </w:r>
      <w:r w:rsidRPr="001D32A5">
        <w:t>1:2022, 3.1</w:t>
      </w:r>
      <w:r>
        <w:t>,</w:t>
      </w:r>
      <w:r w:rsidRPr="001D32A5">
        <w:t xml:space="preserve"> and the following apply.</w:t>
      </w:r>
    </w:p>
    <w:p w14:paraId="6F371EC7" w14:textId="2FFB39E4" w:rsidR="006E6E71" w:rsidRPr="00870D59" w:rsidRDefault="006E6E71" w:rsidP="001470F6">
      <w:pPr>
        <w:pStyle w:val="Heading3"/>
      </w:pPr>
      <w:bookmarkStart w:id="27" w:name="_Toc120543325"/>
      <w:bookmarkStart w:id="28" w:name="_Toc134197747"/>
      <w:bookmarkEnd w:id="26"/>
      <w:bookmarkEnd w:id="27"/>
      <w:bookmarkEnd w:id="28"/>
    </w:p>
    <w:p w14:paraId="30A49EDF" w14:textId="6346B6CE" w:rsidR="006E6E71" w:rsidRPr="00870D59" w:rsidRDefault="002D111D" w:rsidP="006E6E71">
      <w:pPr>
        <w:pStyle w:val="Terms"/>
        <w:autoSpaceDE w:val="0"/>
        <w:autoSpaceDN w:val="0"/>
        <w:adjustRightInd w:val="0"/>
        <w:rPr>
          <w:szCs w:val="24"/>
        </w:rPr>
      </w:pPr>
      <w:r w:rsidRPr="002D111D">
        <w:rPr>
          <w:szCs w:val="24"/>
        </w:rPr>
        <w:t>balloon frame construction</w:t>
      </w:r>
    </w:p>
    <w:p w14:paraId="366F9E1D" w14:textId="411B0662" w:rsidR="00515DAA" w:rsidRPr="00870D59" w:rsidRDefault="002D111D" w:rsidP="00BC669C">
      <w:pPr>
        <w:pStyle w:val="Text"/>
      </w:pPr>
      <w:r w:rsidRPr="002D111D">
        <w:t>construction type that uses long continuous framing members running from the foundation or base of the timber structure to the top of the building, with intermediate floor structures nailed to them. The walls are therefore continuous vertically</w:t>
      </w:r>
    </w:p>
    <w:p w14:paraId="15C074C2" w14:textId="77777777" w:rsidR="008A04A3" w:rsidRPr="00870D59" w:rsidRDefault="008A04A3" w:rsidP="008A04A3">
      <w:pPr>
        <w:pStyle w:val="Heading3"/>
      </w:pPr>
      <w:bookmarkStart w:id="29" w:name="_Toc120543326"/>
      <w:bookmarkStart w:id="30" w:name="_Toc134197748"/>
      <w:bookmarkEnd w:id="29"/>
      <w:bookmarkEnd w:id="30"/>
    </w:p>
    <w:p w14:paraId="134BEA54" w14:textId="00817AE4" w:rsidR="008A04A3" w:rsidRPr="00870D59" w:rsidRDefault="002D111D" w:rsidP="008A04A3">
      <w:pPr>
        <w:pStyle w:val="Terms"/>
      </w:pPr>
      <w:r w:rsidRPr="002D111D">
        <w:t>bounding frame</w:t>
      </w:r>
    </w:p>
    <w:p w14:paraId="626966AA" w14:textId="116179E9" w:rsidR="008A04A3" w:rsidRPr="00870D59" w:rsidRDefault="002D111D" w:rsidP="00BC669C">
      <w:pPr>
        <w:pStyle w:val="Text"/>
      </w:pPr>
      <w:r w:rsidRPr="002D111D">
        <w:t>columns and upper and lower beams that surround infill walls and provide structural support</w:t>
      </w:r>
    </w:p>
    <w:p w14:paraId="009472E9" w14:textId="77777777" w:rsidR="008A04A3" w:rsidRPr="00870D59" w:rsidRDefault="008A04A3" w:rsidP="008A04A3">
      <w:pPr>
        <w:pStyle w:val="Heading3"/>
      </w:pPr>
      <w:bookmarkStart w:id="31" w:name="_Toc19280726"/>
      <w:bookmarkStart w:id="32" w:name="_Toc19280914"/>
      <w:bookmarkStart w:id="33" w:name="_Toc19448634"/>
      <w:bookmarkStart w:id="34" w:name="_Toc19448952"/>
      <w:bookmarkStart w:id="35" w:name="_Toc19454410"/>
      <w:bookmarkStart w:id="36" w:name="_Toc19462175"/>
      <w:bookmarkStart w:id="37" w:name="_Toc19462933"/>
      <w:bookmarkStart w:id="38" w:name="_Toc19464138"/>
      <w:bookmarkStart w:id="39" w:name="_Toc19464563"/>
      <w:bookmarkStart w:id="40" w:name="_Toc19465166"/>
      <w:bookmarkStart w:id="41" w:name="_Toc19466549"/>
      <w:bookmarkStart w:id="42" w:name="_Toc20401692"/>
      <w:bookmarkStart w:id="43" w:name="_Toc20406467"/>
      <w:bookmarkStart w:id="44" w:name="_Toc20412377"/>
      <w:bookmarkStart w:id="45" w:name="_Toc20413423"/>
      <w:bookmarkStart w:id="46" w:name="_Toc20413758"/>
      <w:bookmarkStart w:id="47" w:name="_Toc95037414"/>
      <w:bookmarkStart w:id="48" w:name="_Toc96894719"/>
      <w:bookmarkStart w:id="49" w:name="_Toc120543327"/>
      <w:bookmarkStart w:id="50" w:name="_Toc134197749"/>
      <w:bookmarkStart w:id="51" w:name="_Ref70583394"/>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bookmarkEnd w:id="51"/>
    <w:p w14:paraId="5A08FE61" w14:textId="262A880E" w:rsidR="008A04A3" w:rsidRPr="00870D59" w:rsidRDefault="002D111D" w:rsidP="008A04A3">
      <w:pPr>
        <w:pStyle w:val="Terms"/>
      </w:pPr>
      <w:r w:rsidRPr="002D111D">
        <w:t>box behaviour</w:t>
      </w:r>
    </w:p>
    <w:p w14:paraId="2613AFC0" w14:textId="3EF378A6" w:rsidR="008A04A3" w:rsidRDefault="00D93278" w:rsidP="00BC669C">
      <w:pPr>
        <w:pStyle w:val="Text"/>
      </w:pPr>
      <w:r>
        <w:t xml:space="preserve">a </w:t>
      </w:r>
      <w:r w:rsidR="002D111D" w:rsidRPr="002D111D">
        <w:t>structure behaves as a box if it is composed of stiff vertical and horizontal planes connected to each other along lines where there are no relative displacements between the planes</w:t>
      </w:r>
    </w:p>
    <w:p w14:paraId="39C93D1B" w14:textId="77777777" w:rsidR="002D111D" w:rsidRPr="00132C1E" w:rsidRDefault="002D111D" w:rsidP="002D111D">
      <w:pPr>
        <w:pStyle w:val="Heading3"/>
        <w:spacing w:after="0"/>
      </w:pPr>
      <w:bookmarkStart w:id="52" w:name="_Toc120543328"/>
      <w:bookmarkStart w:id="53" w:name="_Toc134197750"/>
      <w:bookmarkEnd w:id="52"/>
      <w:bookmarkEnd w:id="53"/>
    </w:p>
    <w:p w14:paraId="7839F4F2" w14:textId="77777777" w:rsidR="002D111D" w:rsidRPr="00132C1E" w:rsidRDefault="002D111D" w:rsidP="002D111D">
      <w:pPr>
        <w:pStyle w:val="Terms"/>
      </w:pPr>
      <w:r w:rsidRPr="00132C1E">
        <w:t>carpentry connection</w:t>
      </w:r>
    </w:p>
    <w:p w14:paraId="6276D455" w14:textId="0192CDF8" w:rsidR="002D111D" w:rsidRPr="00132C1E" w:rsidRDefault="002D111D" w:rsidP="002D111D">
      <w:r w:rsidRPr="00132C1E">
        <w:t>connection where loads are transferred primarily in compression by shaping the connecting timber elements. Fasteners can be present but only to provide integrity to the connection</w:t>
      </w:r>
    </w:p>
    <w:p w14:paraId="03BCBACB" w14:textId="0438B7BF" w:rsidR="002D111D" w:rsidRPr="002D111D" w:rsidRDefault="002D111D" w:rsidP="00D93278">
      <w:pPr>
        <w:pStyle w:val="Note"/>
        <w:tabs>
          <w:tab w:val="clear" w:pos="960"/>
          <w:tab w:val="left" w:pos="1560"/>
        </w:tabs>
      </w:pPr>
      <w:r w:rsidRPr="002D111D">
        <w:t>N</w:t>
      </w:r>
      <w:r w:rsidR="00A60332">
        <w:t>ote 1 to entry:</w:t>
      </w:r>
      <w:r w:rsidRPr="002D111D">
        <w:tab/>
        <w:t>Skew notch, mortice and tenon, and halving connections are examples of carpentry connections.</w:t>
      </w:r>
    </w:p>
    <w:p w14:paraId="7A569F29" w14:textId="77777777" w:rsidR="002D111D" w:rsidRPr="00132C1E" w:rsidRDefault="002D111D" w:rsidP="002D111D">
      <w:pPr>
        <w:pStyle w:val="Heading3"/>
        <w:spacing w:after="0"/>
      </w:pPr>
      <w:bookmarkStart w:id="54" w:name="_Toc19627429"/>
      <w:bookmarkStart w:id="55" w:name="_Toc50150235"/>
      <w:bookmarkStart w:id="56" w:name="_Toc70886666"/>
      <w:bookmarkStart w:id="57" w:name="_Toc108342157"/>
      <w:bookmarkStart w:id="58" w:name="_Toc120543329"/>
      <w:bookmarkStart w:id="59" w:name="_Toc134197751"/>
      <w:bookmarkEnd w:id="54"/>
      <w:bookmarkEnd w:id="55"/>
      <w:bookmarkEnd w:id="56"/>
      <w:bookmarkEnd w:id="57"/>
      <w:bookmarkEnd w:id="58"/>
      <w:bookmarkEnd w:id="59"/>
    </w:p>
    <w:p w14:paraId="6824E88B" w14:textId="77777777" w:rsidR="002D111D" w:rsidRPr="00132C1E" w:rsidRDefault="002D111D" w:rsidP="002D111D">
      <w:pPr>
        <w:pStyle w:val="Terms"/>
      </w:pPr>
      <w:r w:rsidRPr="00132C1E">
        <w:t>cladding</w:t>
      </w:r>
    </w:p>
    <w:p w14:paraId="6AFA180D" w14:textId="5D7D5342" w:rsidR="002D111D" w:rsidRPr="002D111D" w:rsidRDefault="002D111D" w:rsidP="002D111D">
      <w:pPr>
        <w:pStyle w:val="Definition"/>
      </w:pPr>
      <w:r w:rsidRPr="00132C1E">
        <w:t xml:space="preserve">element </w:t>
      </w:r>
      <w:r w:rsidRPr="002D111D">
        <w:t>that covers the surface of a building</w:t>
      </w:r>
      <w:r w:rsidR="00A60332">
        <w:t>.</w:t>
      </w:r>
      <w:r w:rsidRPr="002D111D">
        <w:t xml:space="preserve"> </w:t>
      </w:r>
      <w:r w:rsidR="00A60332">
        <w:t>C</w:t>
      </w:r>
      <w:r w:rsidRPr="002D111D">
        <w:t>laddings are fixed by means of connections onto the frame and protects the building from e.g. humidity, light, temperature, wind. Cladding</w:t>
      </w:r>
      <w:r w:rsidR="00A60332">
        <w:t>s</w:t>
      </w:r>
      <w:r w:rsidRPr="002D111D">
        <w:t xml:space="preserve"> can be made of different products like precast concrete panels, lightweight steel panels, glazing</w:t>
      </w:r>
    </w:p>
    <w:p w14:paraId="177998B8" w14:textId="77777777" w:rsidR="002D111D" w:rsidRPr="00132C1E" w:rsidRDefault="002D111D" w:rsidP="002D111D">
      <w:pPr>
        <w:pStyle w:val="Heading3"/>
        <w:spacing w:after="0"/>
      </w:pPr>
      <w:bookmarkStart w:id="60" w:name="_Toc50150236"/>
      <w:bookmarkStart w:id="61" w:name="_Toc70886667"/>
      <w:bookmarkStart w:id="62" w:name="_Toc108342158"/>
      <w:bookmarkStart w:id="63" w:name="_Toc120543330"/>
      <w:bookmarkStart w:id="64" w:name="_Toc134197752"/>
      <w:bookmarkEnd w:id="60"/>
      <w:bookmarkEnd w:id="61"/>
      <w:bookmarkEnd w:id="62"/>
      <w:bookmarkEnd w:id="63"/>
      <w:bookmarkEnd w:id="64"/>
    </w:p>
    <w:p w14:paraId="2EE49732" w14:textId="77777777" w:rsidR="002D111D" w:rsidRPr="00132C1E" w:rsidRDefault="002D111D" w:rsidP="002D111D">
      <w:pPr>
        <w:pStyle w:val="Terms"/>
      </w:pPr>
      <w:r w:rsidRPr="00132C1E">
        <w:t>coupling effect</w:t>
      </w:r>
    </w:p>
    <w:p w14:paraId="12893687" w14:textId="26C8E1C3" w:rsidR="002D111D" w:rsidRPr="00132C1E" w:rsidRDefault="002D111D" w:rsidP="002D111D">
      <w:r w:rsidRPr="00132C1E">
        <w:t>refers to the increase of horizontal stiffness and strength of the building that results from the flexural stiffness of floors, ring beams or spandrels and the moment frame interaction of these elements with walls. The coupling effect leads to a change in internal forces (axial load, shear force and bending moment) in vertical elements that results from shear forces and bending moments transferred by the horizontal members</w:t>
      </w:r>
    </w:p>
    <w:p w14:paraId="34FD98F5" w14:textId="77777777" w:rsidR="002D111D" w:rsidRPr="00132C1E" w:rsidRDefault="002D111D" w:rsidP="002D111D">
      <w:pPr>
        <w:pStyle w:val="Heading3"/>
        <w:spacing w:after="0"/>
      </w:pPr>
      <w:bookmarkStart w:id="65" w:name="_Toc19627430"/>
      <w:bookmarkStart w:id="66" w:name="_Toc50150237"/>
      <w:bookmarkStart w:id="67" w:name="_Toc70886668"/>
      <w:bookmarkStart w:id="68" w:name="_Toc108342159"/>
      <w:bookmarkStart w:id="69" w:name="_Toc120543331"/>
      <w:bookmarkStart w:id="70" w:name="_Toc134197753"/>
      <w:bookmarkEnd w:id="65"/>
      <w:bookmarkEnd w:id="66"/>
      <w:bookmarkEnd w:id="67"/>
      <w:bookmarkEnd w:id="68"/>
      <w:bookmarkEnd w:id="69"/>
      <w:bookmarkEnd w:id="70"/>
    </w:p>
    <w:p w14:paraId="7FE1C684" w14:textId="77777777" w:rsidR="002D111D" w:rsidRPr="00132C1E" w:rsidRDefault="002D111D" w:rsidP="002D111D">
      <w:pPr>
        <w:pStyle w:val="Terms"/>
      </w:pPr>
      <w:r w:rsidRPr="00132C1E">
        <w:t>critical region</w:t>
      </w:r>
    </w:p>
    <w:p w14:paraId="1389BC27" w14:textId="1E87D839" w:rsidR="002D111D" w:rsidRPr="00132C1E" w:rsidRDefault="002D111D" w:rsidP="002D111D">
      <w:pPr>
        <w:pStyle w:val="Definition"/>
      </w:pPr>
      <w:r w:rsidRPr="00132C1E">
        <w:t>region of a primary seismic element, where the most adverse combination of action effects (M, N, V, T) occurs and where plastic hinges can form</w:t>
      </w:r>
    </w:p>
    <w:p w14:paraId="2603E3EF" w14:textId="36BBF8C2" w:rsidR="002D111D" w:rsidRPr="00132C1E" w:rsidRDefault="002D111D" w:rsidP="00D93278">
      <w:pPr>
        <w:pStyle w:val="Note"/>
        <w:tabs>
          <w:tab w:val="clear" w:pos="960"/>
          <w:tab w:val="left" w:pos="1560"/>
        </w:tabs>
      </w:pPr>
      <w:r w:rsidRPr="008C634D">
        <w:t>N</w:t>
      </w:r>
      <w:r w:rsidR="00A60332">
        <w:t>ote 1 to entry:</w:t>
      </w:r>
      <w:r w:rsidR="00D93278">
        <w:tab/>
      </w:r>
      <w:r w:rsidRPr="008C634D">
        <w:t>In concrete buildings</w:t>
      </w:r>
      <w:r w:rsidR="00A60332">
        <w:t>,</w:t>
      </w:r>
      <w:r w:rsidRPr="008C634D">
        <w:t xml:space="preserve"> critical regions are potential dissipative zones. The length of the critical region is</w:t>
      </w:r>
      <w:r w:rsidRPr="00132C1E">
        <w:t xml:space="preserve"> defined for each type of primary seismic element in the relevant </w:t>
      </w:r>
      <w:r w:rsidR="00D93278">
        <w:t>sub</w:t>
      </w:r>
      <w:r w:rsidRPr="00132C1E">
        <w:t xml:space="preserve">clauses </w:t>
      </w:r>
      <w:r w:rsidRPr="00A60332">
        <w:t xml:space="preserve">of </w:t>
      </w:r>
      <w:r w:rsidR="00D93278">
        <w:t xml:space="preserve">Clause </w:t>
      </w:r>
      <w:r w:rsidRPr="00A60332">
        <w:t>10.</w:t>
      </w:r>
    </w:p>
    <w:p w14:paraId="7E4C1166" w14:textId="77777777" w:rsidR="002D111D" w:rsidRPr="00132C1E" w:rsidRDefault="002D111D" w:rsidP="002D111D">
      <w:pPr>
        <w:pStyle w:val="Heading3"/>
        <w:spacing w:after="0"/>
      </w:pPr>
      <w:bookmarkStart w:id="71" w:name="_Toc50150238"/>
      <w:bookmarkStart w:id="72" w:name="_Toc70886669"/>
      <w:bookmarkStart w:id="73" w:name="_Toc108342160"/>
      <w:bookmarkStart w:id="74" w:name="_Toc120543332"/>
      <w:bookmarkStart w:id="75" w:name="_Toc134197754"/>
      <w:bookmarkEnd w:id="71"/>
      <w:bookmarkEnd w:id="72"/>
      <w:bookmarkEnd w:id="73"/>
      <w:bookmarkEnd w:id="74"/>
      <w:bookmarkEnd w:id="75"/>
    </w:p>
    <w:p w14:paraId="77FD42E6" w14:textId="2CF08911" w:rsidR="00D273A2" w:rsidRPr="00B10F39" w:rsidRDefault="00D273A2" w:rsidP="00B10F39">
      <w:pPr>
        <w:pStyle w:val="Terms"/>
      </w:pPr>
      <w:r w:rsidRPr="00B10F39">
        <w:t>d</w:t>
      </w:r>
      <w:r w:rsidR="00F23127" w:rsidRPr="00B10F39">
        <w:t>iaphragm</w:t>
      </w:r>
    </w:p>
    <w:p w14:paraId="48CDC5F2" w14:textId="479F960B" w:rsidR="00F23127" w:rsidRPr="00C15609" w:rsidRDefault="00F23127" w:rsidP="00B10F39">
      <w:pPr>
        <w:pStyle w:val="Definition"/>
      </w:pPr>
      <w:r w:rsidRPr="00B10F39">
        <w:t>horizontal or nearly horizontal structural member, such as a floor or roof system, used to transfer inertial lateral forces to vertical members of the seismic</w:t>
      </w:r>
      <w:r w:rsidR="00B10F39">
        <w:t xml:space="preserve"> </w:t>
      </w:r>
      <w:r w:rsidR="003B421B">
        <w:t xml:space="preserve">action </w:t>
      </w:r>
      <w:r w:rsidRPr="00B10F39">
        <w:t>resisting system</w:t>
      </w:r>
    </w:p>
    <w:p w14:paraId="4EE348CD" w14:textId="77777777" w:rsidR="00606988" w:rsidRPr="00132C1E" w:rsidRDefault="00606988" w:rsidP="00B10F39">
      <w:pPr>
        <w:pStyle w:val="Heading3"/>
        <w:spacing w:after="0"/>
      </w:pPr>
      <w:bookmarkStart w:id="76" w:name="_Toc120543333"/>
      <w:bookmarkStart w:id="77" w:name="_Toc134197755"/>
      <w:bookmarkEnd w:id="76"/>
      <w:bookmarkEnd w:id="77"/>
    </w:p>
    <w:p w14:paraId="45AD89AE" w14:textId="77777777" w:rsidR="00606988" w:rsidRDefault="00606988" w:rsidP="00606988">
      <w:pPr>
        <w:pStyle w:val="Terms"/>
      </w:pPr>
      <w:r>
        <w:t>diaphragm chord</w:t>
      </w:r>
    </w:p>
    <w:p w14:paraId="006CCC39" w14:textId="0D3C1917" w:rsidR="00606988" w:rsidRPr="00B10F39" w:rsidRDefault="00606988" w:rsidP="00B10F39">
      <w:pPr>
        <w:pStyle w:val="Definition"/>
      </w:pPr>
      <w:r w:rsidRPr="00B10F39">
        <w:t>boundary component perpendicular to the inertial force that is provided to resist tension</w:t>
      </w:r>
      <w:r w:rsidR="00B10F39">
        <w:t xml:space="preserve"> </w:t>
      </w:r>
      <w:r w:rsidRPr="00B10F39">
        <w:t>or compression caused by the diaphragm moment coupling effect</w:t>
      </w:r>
    </w:p>
    <w:p w14:paraId="762CC18E" w14:textId="77777777" w:rsidR="00606988" w:rsidRPr="00132C1E" w:rsidRDefault="00606988" w:rsidP="00606988">
      <w:pPr>
        <w:pStyle w:val="Heading3"/>
        <w:spacing w:after="0"/>
      </w:pPr>
      <w:bookmarkStart w:id="78" w:name="_Toc120543334"/>
      <w:bookmarkStart w:id="79" w:name="_Toc134197756"/>
      <w:bookmarkEnd w:id="78"/>
      <w:bookmarkEnd w:id="79"/>
    </w:p>
    <w:p w14:paraId="2E0A4B17" w14:textId="1D2BC612" w:rsidR="00606988" w:rsidRPr="00132C1E" w:rsidRDefault="00606988" w:rsidP="00606988">
      <w:pPr>
        <w:pStyle w:val="Terms"/>
      </w:pPr>
      <w:r w:rsidRPr="00606988">
        <w:t>diaphragm collector</w:t>
      </w:r>
    </w:p>
    <w:p w14:paraId="5BEF7769" w14:textId="4223ACE9" w:rsidR="00606988" w:rsidRPr="00132C1E" w:rsidRDefault="00606988" w:rsidP="00606988">
      <w:pPr>
        <w:pStyle w:val="Definition"/>
      </w:pPr>
      <w:r w:rsidRPr="00606988">
        <w:t>component parallel to the inertial force that transfers lateral forces from the diaphragm of the structure to vertical members of the seismic</w:t>
      </w:r>
      <w:r w:rsidR="00B10F39">
        <w:t xml:space="preserve"> </w:t>
      </w:r>
      <w:r w:rsidR="003B421B">
        <w:t xml:space="preserve">action </w:t>
      </w:r>
      <w:r w:rsidRPr="00606988">
        <w:t>resisting system</w:t>
      </w:r>
    </w:p>
    <w:p w14:paraId="2E225F33" w14:textId="77777777" w:rsidR="00D273A2" w:rsidRPr="00132C1E" w:rsidRDefault="00D273A2" w:rsidP="00D273A2">
      <w:pPr>
        <w:pStyle w:val="Heading3"/>
        <w:spacing w:after="0"/>
      </w:pPr>
      <w:bookmarkStart w:id="80" w:name="_Toc120543335"/>
      <w:bookmarkStart w:id="81" w:name="_Toc134197757"/>
      <w:bookmarkEnd w:id="80"/>
      <w:bookmarkEnd w:id="81"/>
    </w:p>
    <w:p w14:paraId="4744847E" w14:textId="77777777" w:rsidR="002D111D" w:rsidRPr="00132C1E" w:rsidRDefault="002D111D" w:rsidP="002D111D">
      <w:pPr>
        <w:pStyle w:val="Terms"/>
      </w:pPr>
      <w:r w:rsidRPr="00132C1E">
        <w:t>dowel-type connection</w:t>
      </w:r>
    </w:p>
    <w:p w14:paraId="2A9BBB27" w14:textId="454566AC" w:rsidR="002D111D" w:rsidRPr="00132C1E" w:rsidRDefault="002D111D" w:rsidP="002D111D">
      <w:pPr>
        <w:pStyle w:val="Definition"/>
      </w:pPr>
      <w:r w:rsidRPr="00132C1E">
        <w:t>connection with dowel-type mechanical fasteners loaded perpendicular</w:t>
      </w:r>
      <w:r w:rsidR="003B421B">
        <w:t>ly</w:t>
      </w:r>
      <w:r w:rsidRPr="00132C1E">
        <w:t xml:space="preserve"> to their axis</w:t>
      </w:r>
    </w:p>
    <w:p w14:paraId="336797CB" w14:textId="286D7F4B" w:rsidR="002D111D" w:rsidRPr="008C634D" w:rsidRDefault="002D111D" w:rsidP="00D93278">
      <w:pPr>
        <w:pStyle w:val="Note"/>
        <w:tabs>
          <w:tab w:val="clear" w:pos="960"/>
          <w:tab w:val="left" w:pos="1560"/>
        </w:tabs>
      </w:pPr>
      <w:r w:rsidRPr="008C634D">
        <w:t>N</w:t>
      </w:r>
      <w:r w:rsidR="003B421B">
        <w:t>ote 1 to entry:</w:t>
      </w:r>
      <w:r w:rsidR="00D93278">
        <w:tab/>
      </w:r>
      <w:r w:rsidRPr="008C634D">
        <w:t>Nails, staples, screws, dowels and bolts are examples of dowel-type mechanical fasteners.</w:t>
      </w:r>
    </w:p>
    <w:p w14:paraId="28370B4F" w14:textId="77777777" w:rsidR="002D111D" w:rsidRPr="00132C1E" w:rsidRDefault="002D111D" w:rsidP="002D111D">
      <w:pPr>
        <w:pStyle w:val="Heading3"/>
        <w:spacing w:after="0"/>
      </w:pPr>
      <w:bookmarkStart w:id="82" w:name="_Toc50150239"/>
      <w:bookmarkStart w:id="83" w:name="_Toc70886670"/>
      <w:bookmarkStart w:id="84" w:name="_Toc108342161"/>
      <w:bookmarkStart w:id="85" w:name="_Toc120543336"/>
      <w:bookmarkStart w:id="86" w:name="_Toc134197758"/>
      <w:bookmarkEnd w:id="82"/>
      <w:bookmarkEnd w:id="83"/>
      <w:bookmarkEnd w:id="84"/>
      <w:bookmarkEnd w:id="85"/>
      <w:bookmarkEnd w:id="86"/>
    </w:p>
    <w:p w14:paraId="62B990E4" w14:textId="77777777" w:rsidR="002D111D" w:rsidRPr="00132C1E" w:rsidRDefault="002D111D" w:rsidP="002D111D">
      <w:pPr>
        <w:pStyle w:val="Terms"/>
      </w:pPr>
      <w:r w:rsidRPr="00132C1E">
        <w:t>ductility</w:t>
      </w:r>
    </w:p>
    <w:p w14:paraId="03F867B4" w14:textId="6F64E181" w:rsidR="002D111D" w:rsidRPr="00132C1E" w:rsidRDefault="002D111D" w:rsidP="002D111D">
      <w:pPr>
        <w:pStyle w:val="Definition"/>
      </w:pPr>
      <w:r w:rsidRPr="00132C1E">
        <w:t xml:space="preserve">ratio between </w:t>
      </w:r>
      <w:r w:rsidR="003B421B">
        <w:t xml:space="preserve">the </w:t>
      </w:r>
      <w:r w:rsidRPr="00132C1E">
        <w:t xml:space="preserve">ultimate deformation </w:t>
      </w:r>
      <w:r w:rsidR="003B421B">
        <w:t xml:space="preserve">of </w:t>
      </w:r>
      <w:r w:rsidR="003B421B" w:rsidRPr="00E72448">
        <w:t xml:space="preserve">a member or connection </w:t>
      </w:r>
      <w:r w:rsidRPr="00132C1E">
        <w:t xml:space="preserve">and </w:t>
      </w:r>
      <w:r w:rsidRPr="00E72448">
        <w:t xml:space="preserve">its </w:t>
      </w:r>
      <w:r w:rsidRPr="00132C1E">
        <w:t>deformation at the elastic</w:t>
      </w:r>
      <w:r w:rsidR="003B421B">
        <w:t xml:space="preserve"> limit</w:t>
      </w:r>
    </w:p>
    <w:p w14:paraId="6BAF14F1" w14:textId="77777777" w:rsidR="002D111D" w:rsidRPr="00132C1E" w:rsidRDefault="002D111D" w:rsidP="002D111D">
      <w:pPr>
        <w:pStyle w:val="Heading3"/>
        <w:spacing w:after="0"/>
      </w:pPr>
      <w:bookmarkStart w:id="87" w:name="_Toc50150240"/>
      <w:bookmarkStart w:id="88" w:name="_Toc70886671"/>
      <w:bookmarkStart w:id="89" w:name="_Toc108342162"/>
      <w:bookmarkStart w:id="90" w:name="_Toc120543337"/>
      <w:bookmarkStart w:id="91" w:name="_Toc134197759"/>
      <w:bookmarkEnd w:id="87"/>
      <w:bookmarkEnd w:id="88"/>
      <w:bookmarkEnd w:id="89"/>
      <w:bookmarkEnd w:id="90"/>
      <w:bookmarkEnd w:id="91"/>
    </w:p>
    <w:p w14:paraId="36C3565D" w14:textId="77777777" w:rsidR="002D111D" w:rsidRPr="00132C1E" w:rsidRDefault="002D111D" w:rsidP="002D111D">
      <w:pPr>
        <w:pStyle w:val="Terms"/>
      </w:pPr>
      <w:r w:rsidRPr="00132C1E">
        <w:t>infill</w:t>
      </w:r>
    </w:p>
    <w:p w14:paraId="7ED50E84" w14:textId="3285F064" w:rsidR="002D111D" w:rsidRPr="00132C1E" w:rsidRDefault="002D111D" w:rsidP="002D111D">
      <w:pPr>
        <w:pStyle w:val="Definition"/>
        <w:rPr>
          <w:rFonts w:cs="Times New Roman"/>
          <w:szCs w:val="22"/>
        </w:rPr>
      </w:pPr>
      <w:r w:rsidRPr="00132C1E">
        <w:rPr>
          <w:rFonts w:cs="Times New Roman"/>
          <w:szCs w:val="22"/>
        </w:rPr>
        <w:t>masonry wall constructed within the plane of an internal or external structural frame and bounded by that frame</w:t>
      </w:r>
    </w:p>
    <w:p w14:paraId="4E9ACAE6" w14:textId="77777777" w:rsidR="002D111D" w:rsidRPr="00132C1E" w:rsidRDefault="002D111D" w:rsidP="002D111D">
      <w:pPr>
        <w:pStyle w:val="Heading3"/>
        <w:spacing w:after="0"/>
      </w:pPr>
      <w:bookmarkStart w:id="92" w:name="_Toc19627431"/>
      <w:bookmarkStart w:id="93" w:name="_Toc50150241"/>
      <w:bookmarkStart w:id="94" w:name="_Toc70886672"/>
      <w:bookmarkStart w:id="95" w:name="_Toc108342163"/>
      <w:bookmarkStart w:id="96" w:name="_Toc120543338"/>
      <w:bookmarkStart w:id="97" w:name="_Toc134197760"/>
      <w:bookmarkEnd w:id="92"/>
      <w:bookmarkEnd w:id="93"/>
      <w:bookmarkEnd w:id="94"/>
      <w:bookmarkEnd w:id="95"/>
      <w:bookmarkEnd w:id="96"/>
      <w:bookmarkEnd w:id="97"/>
    </w:p>
    <w:p w14:paraId="2366B797" w14:textId="77777777" w:rsidR="002D111D" w:rsidRPr="00132C1E" w:rsidRDefault="002D111D" w:rsidP="002D111D">
      <w:pPr>
        <w:pStyle w:val="Terms"/>
      </w:pPr>
      <w:r w:rsidRPr="00132C1E">
        <w:t>integrated connection systems</w:t>
      </w:r>
    </w:p>
    <w:p w14:paraId="369DF41F" w14:textId="263CACAD" w:rsidR="002D111D" w:rsidRPr="00132C1E" w:rsidRDefault="002D111D" w:rsidP="002D111D">
      <w:pPr>
        <w:pStyle w:val="Definition"/>
        <w:rPr>
          <w:rFonts w:cs="Times New Roman"/>
        </w:rPr>
      </w:pPr>
      <w:r w:rsidRPr="00132C1E">
        <w:rPr>
          <w:rFonts w:cs="Times New Roman"/>
        </w:rPr>
        <w:t>couple structure and cladding panels response. If the supporting structure is a moment frame and if the cladding panels are elements of walls, the integrated structural system can be a moment frame-equivalent dual system or a wall-equivalent dual system, depending on the performance of the connections and of the relative stiffness of the claddings and of the supporting frame</w:t>
      </w:r>
    </w:p>
    <w:p w14:paraId="64AB220D" w14:textId="77777777" w:rsidR="002D111D" w:rsidRPr="00132C1E" w:rsidRDefault="002D111D" w:rsidP="002D111D">
      <w:pPr>
        <w:pStyle w:val="Heading3"/>
        <w:spacing w:after="0"/>
      </w:pPr>
      <w:bookmarkStart w:id="98" w:name="_Toc19627432"/>
      <w:bookmarkStart w:id="99" w:name="_Toc50150242"/>
      <w:bookmarkStart w:id="100" w:name="_Toc70886673"/>
      <w:bookmarkStart w:id="101" w:name="_Toc108342164"/>
      <w:bookmarkStart w:id="102" w:name="_Toc120543339"/>
      <w:bookmarkStart w:id="103" w:name="_Toc134197761"/>
      <w:bookmarkEnd w:id="98"/>
      <w:bookmarkEnd w:id="99"/>
      <w:bookmarkEnd w:id="100"/>
      <w:bookmarkEnd w:id="101"/>
      <w:bookmarkEnd w:id="102"/>
      <w:bookmarkEnd w:id="103"/>
    </w:p>
    <w:p w14:paraId="14462FEE" w14:textId="77777777" w:rsidR="002D111D" w:rsidRPr="00132C1E" w:rsidRDefault="002D111D" w:rsidP="002D111D">
      <w:pPr>
        <w:pStyle w:val="Terms"/>
      </w:pPr>
      <w:r w:rsidRPr="00132C1E">
        <w:t>interacting cladding</w:t>
      </w:r>
    </w:p>
    <w:p w14:paraId="63A983D1" w14:textId="12343333" w:rsidR="002D111D" w:rsidRPr="00132C1E" w:rsidRDefault="002D111D" w:rsidP="002D111D">
      <w:pPr>
        <w:pStyle w:val="Definition"/>
        <w:rPr>
          <w:rFonts w:cs="Times New Roman"/>
        </w:rPr>
      </w:pPr>
      <w:r w:rsidRPr="00132C1E">
        <w:rPr>
          <w:rFonts w:cs="Times New Roman"/>
        </w:rPr>
        <w:t>cladding activated by deflection of the supporting frame and significantly affecting the structural response of a building</w:t>
      </w:r>
    </w:p>
    <w:p w14:paraId="7932D844" w14:textId="77777777" w:rsidR="002D111D" w:rsidRPr="00132C1E" w:rsidRDefault="002D111D" w:rsidP="002D111D">
      <w:pPr>
        <w:pStyle w:val="Heading3"/>
        <w:spacing w:after="0"/>
      </w:pPr>
      <w:bookmarkStart w:id="104" w:name="_Toc19627433"/>
      <w:bookmarkStart w:id="105" w:name="_Toc50150243"/>
      <w:bookmarkStart w:id="106" w:name="_Toc70886674"/>
      <w:bookmarkStart w:id="107" w:name="_Toc108342165"/>
      <w:bookmarkStart w:id="108" w:name="_Toc120543340"/>
      <w:bookmarkStart w:id="109" w:name="_Toc134197762"/>
      <w:bookmarkEnd w:id="104"/>
      <w:bookmarkEnd w:id="105"/>
      <w:bookmarkEnd w:id="106"/>
      <w:bookmarkEnd w:id="107"/>
      <w:bookmarkEnd w:id="108"/>
      <w:bookmarkEnd w:id="109"/>
    </w:p>
    <w:p w14:paraId="2E9FA5C3" w14:textId="77777777" w:rsidR="002D111D" w:rsidRPr="00132C1E" w:rsidRDefault="002D111D" w:rsidP="002D111D">
      <w:pPr>
        <w:pStyle w:val="Terms"/>
      </w:pPr>
      <w:r w:rsidRPr="00132C1E">
        <w:t>interacting infill</w:t>
      </w:r>
    </w:p>
    <w:p w14:paraId="3DA6E376" w14:textId="60F0DDDE" w:rsidR="002D111D" w:rsidRPr="00132C1E" w:rsidRDefault="002D111D" w:rsidP="002D111D">
      <w:pPr>
        <w:pStyle w:val="Definition"/>
        <w:rPr>
          <w:rFonts w:cs="Times New Roman"/>
          <w:szCs w:val="22"/>
        </w:rPr>
      </w:pPr>
      <w:r w:rsidRPr="00132C1E">
        <w:rPr>
          <w:rFonts w:cs="Times New Roman"/>
          <w:szCs w:val="22"/>
        </w:rPr>
        <w:t>infill activated by deflection of the bounding frame and significantly affecting the structural response of a building</w:t>
      </w:r>
    </w:p>
    <w:p w14:paraId="4670F37E" w14:textId="77777777" w:rsidR="002D111D" w:rsidRPr="00132C1E" w:rsidRDefault="002D111D" w:rsidP="002D111D">
      <w:pPr>
        <w:pStyle w:val="Heading3"/>
        <w:spacing w:after="0"/>
      </w:pPr>
      <w:bookmarkStart w:id="110" w:name="_Toc19627434"/>
      <w:bookmarkStart w:id="111" w:name="_Toc50150244"/>
      <w:bookmarkStart w:id="112" w:name="_Toc70886675"/>
      <w:bookmarkStart w:id="113" w:name="_Toc108342166"/>
      <w:bookmarkStart w:id="114" w:name="_Toc120543341"/>
      <w:bookmarkStart w:id="115" w:name="_Toc134197763"/>
      <w:bookmarkEnd w:id="110"/>
      <w:bookmarkEnd w:id="111"/>
      <w:bookmarkEnd w:id="112"/>
      <w:bookmarkEnd w:id="113"/>
      <w:bookmarkEnd w:id="114"/>
      <w:bookmarkEnd w:id="115"/>
    </w:p>
    <w:p w14:paraId="763A0981" w14:textId="77777777" w:rsidR="002D111D" w:rsidRPr="00132C1E" w:rsidRDefault="002D111D" w:rsidP="002D111D">
      <w:pPr>
        <w:pStyle w:val="Terms"/>
      </w:pPr>
      <w:r w:rsidRPr="00132C1E">
        <w:t>isolation interface</w:t>
      </w:r>
    </w:p>
    <w:p w14:paraId="2B8B86D0" w14:textId="0C90DB5C" w:rsidR="002D111D" w:rsidRPr="00132C1E" w:rsidRDefault="002D111D" w:rsidP="002D111D">
      <w:pPr>
        <w:pStyle w:val="Definition"/>
      </w:pPr>
      <w:r w:rsidRPr="00132C1E">
        <w:t xml:space="preserve">surface </w:t>
      </w:r>
      <w:r w:rsidRPr="00132C1E">
        <w:rPr>
          <w:rFonts w:cs="Times New Roman"/>
          <w:szCs w:val="22"/>
        </w:rPr>
        <w:t>or</w:t>
      </w:r>
      <w:r w:rsidRPr="00132C1E">
        <w:t xml:space="preserve"> zone which separates the substructure and the superstructure and where the isolation system is located</w:t>
      </w:r>
    </w:p>
    <w:p w14:paraId="22BF913D" w14:textId="49625DD8" w:rsidR="002D111D" w:rsidRPr="00132C1E" w:rsidRDefault="002D111D" w:rsidP="00D93278">
      <w:pPr>
        <w:pStyle w:val="Note"/>
        <w:tabs>
          <w:tab w:val="clear" w:pos="960"/>
          <w:tab w:val="left" w:pos="1560"/>
        </w:tabs>
      </w:pPr>
      <w:r w:rsidRPr="00132C1E">
        <w:t>N</w:t>
      </w:r>
      <w:r w:rsidR="008044EA">
        <w:t>ote 1 to entry:</w:t>
      </w:r>
      <w:r w:rsidRPr="00132C1E">
        <w:tab/>
        <w:t xml:space="preserve">Arrangement of the isolation interface at the base of the structure is usual in buildings, tanks and silos. In bridges, the isolation system </w:t>
      </w:r>
      <w:r>
        <w:t>is</w:t>
      </w:r>
      <w:r w:rsidRPr="00132C1E">
        <w:t xml:space="preserve"> combined with the bearings and the isolation interface lies between the deck and the piers or abutments.</w:t>
      </w:r>
    </w:p>
    <w:p w14:paraId="2A338310" w14:textId="77777777" w:rsidR="002D111D" w:rsidRPr="00132C1E" w:rsidRDefault="002D111D" w:rsidP="002D111D">
      <w:pPr>
        <w:pStyle w:val="Heading3"/>
        <w:spacing w:after="0"/>
      </w:pPr>
      <w:bookmarkStart w:id="116" w:name="_Toc19627435"/>
      <w:bookmarkStart w:id="117" w:name="_Toc50150245"/>
      <w:bookmarkStart w:id="118" w:name="_Toc70886676"/>
      <w:bookmarkStart w:id="119" w:name="_Toc108342167"/>
      <w:bookmarkStart w:id="120" w:name="_Toc120543342"/>
      <w:bookmarkStart w:id="121" w:name="_Toc134197764"/>
      <w:bookmarkEnd w:id="116"/>
      <w:bookmarkEnd w:id="117"/>
      <w:bookmarkEnd w:id="118"/>
      <w:bookmarkEnd w:id="119"/>
      <w:bookmarkEnd w:id="120"/>
      <w:bookmarkEnd w:id="121"/>
    </w:p>
    <w:p w14:paraId="1537D59B" w14:textId="433ECEE6" w:rsidR="002D111D" w:rsidRPr="00132C1E" w:rsidRDefault="002D111D" w:rsidP="002D111D">
      <w:pPr>
        <w:pStyle w:val="Terms"/>
      </w:pPr>
      <w:r w:rsidRPr="00132C1E">
        <w:t>isostatic connection system</w:t>
      </w:r>
    </w:p>
    <w:p w14:paraId="1A0A5827" w14:textId="14E947B7" w:rsidR="002D111D" w:rsidRPr="00132C1E" w:rsidRDefault="002D111D" w:rsidP="002D111D">
      <w:pPr>
        <w:pStyle w:val="Definition"/>
        <w:rPr>
          <w:rFonts w:cs="Times New Roman"/>
        </w:rPr>
      </w:pPr>
      <w:r w:rsidRPr="00132C1E">
        <w:rPr>
          <w:rFonts w:cs="Times New Roman"/>
        </w:rPr>
        <w:t>connection system which allow</w:t>
      </w:r>
      <w:r w:rsidR="008044EA">
        <w:rPr>
          <w:rFonts w:cs="Times New Roman"/>
        </w:rPr>
        <w:t>s</w:t>
      </w:r>
      <w:r w:rsidRPr="00132C1E">
        <w:rPr>
          <w:rFonts w:cs="Times New Roman"/>
        </w:rPr>
        <w:t xml:space="preserve"> a free relative displacement between cladding and supporting structure under </w:t>
      </w:r>
      <w:r w:rsidR="008044EA">
        <w:rPr>
          <w:rFonts w:cs="Times New Roman"/>
        </w:rPr>
        <w:t>seismic</w:t>
      </w:r>
      <w:r w:rsidRPr="00132C1E">
        <w:rPr>
          <w:rFonts w:cs="Times New Roman"/>
        </w:rPr>
        <w:t xml:space="preserve"> conditions</w:t>
      </w:r>
    </w:p>
    <w:p w14:paraId="19E49687" w14:textId="77777777" w:rsidR="002D111D" w:rsidRPr="00132C1E" w:rsidRDefault="002D111D" w:rsidP="002D111D">
      <w:pPr>
        <w:pStyle w:val="Heading3"/>
        <w:spacing w:after="0"/>
      </w:pPr>
      <w:bookmarkStart w:id="122" w:name="_Toc533799501"/>
      <w:bookmarkStart w:id="123" w:name="_Toc533841001"/>
      <w:bookmarkStart w:id="124" w:name="_Toc533973841"/>
      <w:bookmarkStart w:id="125" w:name="_Toc533799502"/>
      <w:bookmarkStart w:id="126" w:name="_Toc533841002"/>
      <w:bookmarkStart w:id="127" w:name="_Toc533973842"/>
      <w:bookmarkStart w:id="128" w:name="_Toc533799503"/>
      <w:bookmarkStart w:id="129" w:name="_Toc533841003"/>
      <w:bookmarkStart w:id="130" w:name="_Toc533973843"/>
      <w:bookmarkStart w:id="131" w:name="_Toc517135937"/>
      <w:bookmarkStart w:id="132" w:name="_Toc524298859"/>
      <w:bookmarkStart w:id="133" w:name="_Toc532803443"/>
      <w:bookmarkStart w:id="134" w:name="_Toc533799504"/>
      <w:bookmarkStart w:id="135" w:name="_Toc533841004"/>
      <w:bookmarkStart w:id="136" w:name="_Toc533973844"/>
      <w:bookmarkStart w:id="137" w:name="_Toc533799505"/>
      <w:bookmarkStart w:id="138" w:name="_Toc533841005"/>
      <w:bookmarkStart w:id="139" w:name="_Toc533973845"/>
      <w:bookmarkStart w:id="140" w:name="_Toc533799506"/>
      <w:bookmarkStart w:id="141" w:name="_Toc533841006"/>
      <w:bookmarkStart w:id="142" w:name="_Toc533973846"/>
      <w:bookmarkStart w:id="143" w:name="_Toc517135938"/>
      <w:bookmarkStart w:id="144" w:name="_Toc524298860"/>
      <w:bookmarkStart w:id="145" w:name="_Toc532803444"/>
      <w:bookmarkStart w:id="146" w:name="_Toc533799507"/>
      <w:bookmarkStart w:id="147" w:name="_Toc533841007"/>
      <w:bookmarkStart w:id="148" w:name="_Toc533973847"/>
      <w:bookmarkStart w:id="149" w:name="_Toc533799508"/>
      <w:bookmarkStart w:id="150" w:name="_Toc533841008"/>
      <w:bookmarkStart w:id="151" w:name="_Toc533973848"/>
      <w:bookmarkStart w:id="152" w:name="_Toc533799509"/>
      <w:bookmarkStart w:id="153" w:name="_Toc533841009"/>
      <w:bookmarkStart w:id="154" w:name="_Toc533973849"/>
      <w:bookmarkStart w:id="155" w:name="_Toc533799510"/>
      <w:bookmarkStart w:id="156" w:name="_Toc533841010"/>
      <w:bookmarkStart w:id="157" w:name="_Toc533973850"/>
      <w:bookmarkStart w:id="158" w:name="_Toc517135939"/>
      <w:bookmarkStart w:id="159" w:name="_Toc524298861"/>
      <w:bookmarkStart w:id="160" w:name="_Toc532803445"/>
      <w:bookmarkStart w:id="161" w:name="_Toc533799511"/>
      <w:bookmarkStart w:id="162" w:name="_Toc533841011"/>
      <w:bookmarkStart w:id="163" w:name="_Toc533973851"/>
      <w:bookmarkStart w:id="164" w:name="_Toc533799512"/>
      <w:bookmarkStart w:id="165" w:name="_Toc533841012"/>
      <w:bookmarkStart w:id="166" w:name="_Toc533973852"/>
      <w:bookmarkStart w:id="167" w:name="_Toc533799513"/>
      <w:bookmarkStart w:id="168" w:name="_Toc533841013"/>
      <w:bookmarkStart w:id="169" w:name="_Toc533973853"/>
      <w:bookmarkStart w:id="170" w:name="_Toc533799514"/>
      <w:bookmarkStart w:id="171" w:name="_Toc533841014"/>
      <w:bookmarkStart w:id="172" w:name="_Toc533973854"/>
      <w:bookmarkStart w:id="173" w:name="_Toc517135940"/>
      <w:bookmarkStart w:id="174" w:name="_Toc524298862"/>
      <w:bookmarkStart w:id="175" w:name="_Toc532803446"/>
      <w:bookmarkStart w:id="176" w:name="_Toc533799515"/>
      <w:bookmarkStart w:id="177" w:name="_Toc533841015"/>
      <w:bookmarkStart w:id="178" w:name="_Toc533973855"/>
      <w:bookmarkStart w:id="179" w:name="_Toc533799516"/>
      <w:bookmarkStart w:id="180" w:name="_Toc533841016"/>
      <w:bookmarkStart w:id="181" w:name="_Toc533973856"/>
      <w:bookmarkStart w:id="182" w:name="_Toc533799517"/>
      <w:bookmarkStart w:id="183" w:name="_Toc533841017"/>
      <w:bookmarkStart w:id="184" w:name="_Toc533973857"/>
      <w:bookmarkStart w:id="185" w:name="_Toc517135941"/>
      <w:bookmarkStart w:id="186" w:name="_Toc524298863"/>
      <w:bookmarkStart w:id="187" w:name="_Toc532803447"/>
      <w:bookmarkStart w:id="188" w:name="_Toc533799518"/>
      <w:bookmarkStart w:id="189" w:name="_Toc533841018"/>
      <w:bookmarkStart w:id="190" w:name="_Toc533973858"/>
      <w:bookmarkStart w:id="191" w:name="_Toc533799519"/>
      <w:bookmarkStart w:id="192" w:name="_Toc533841019"/>
      <w:bookmarkStart w:id="193" w:name="_Toc533973859"/>
      <w:bookmarkStart w:id="194" w:name="_Toc533799520"/>
      <w:bookmarkStart w:id="195" w:name="_Toc533841020"/>
      <w:bookmarkStart w:id="196" w:name="_Toc533973860"/>
      <w:bookmarkStart w:id="197" w:name="_Toc517135942"/>
      <w:bookmarkStart w:id="198" w:name="_Toc524298864"/>
      <w:bookmarkStart w:id="199" w:name="_Toc532803448"/>
      <w:bookmarkStart w:id="200" w:name="_Toc533799521"/>
      <w:bookmarkStart w:id="201" w:name="_Toc533841021"/>
      <w:bookmarkStart w:id="202" w:name="_Toc533973861"/>
      <w:bookmarkStart w:id="203" w:name="_Toc533799522"/>
      <w:bookmarkStart w:id="204" w:name="_Toc533841022"/>
      <w:bookmarkStart w:id="205" w:name="_Toc533973862"/>
      <w:bookmarkStart w:id="206" w:name="_Toc533799523"/>
      <w:bookmarkStart w:id="207" w:name="_Toc533841023"/>
      <w:bookmarkStart w:id="208" w:name="_Toc533973863"/>
      <w:bookmarkStart w:id="209" w:name="_Toc517135943"/>
      <w:bookmarkStart w:id="210" w:name="_Toc524298865"/>
      <w:bookmarkStart w:id="211" w:name="_Toc532803449"/>
      <w:bookmarkStart w:id="212" w:name="_Toc533799524"/>
      <w:bookmarkStart w:id="213" w:name="_Toc533841024"/>
      <w:bookmarkStart w:id="214" w:name="_Toc533973864"/>
      <w:bookmarkStart w:id="215" w:name="_Toc533799525"/>
      <w:bookmarkStart w:id="216" w:name="_Toc533841025"/>
      <w:bookmarkStart w:id="217" w:name="_Toc533973865"/>
      <w:bookmarkStart w:id="218" w:name="_Toc533799526"/>
      <w:bookmarkStart w:id="219" w:name="_Toc533841026"/>
      <w:bookmarkStart w:id="220" w:name="_Toc533973866"/>
      <w:bookmarkStart w:id="221" w:name="_Toc517135944"/>
      <w:bookmarkStart w:id="222" w:name="_Toc524298866"/>
      <w:bookmarkStart w:id="223" w:name="_Toc532803450"/>
      <w:bookmarkStart w:id="224" w:name="_Toc533799527"/>
      <w:bookmarkStart w:id="225" w:name="_Toc533841027"/>
      <w:bookmarkStart w:id="226" w:name="_Toc533973867"/>
      <w:bookmarkStart w:id="227" w:name="_Toc533799528"/>
      <w:bookmarkStart w:id="228" w:name="_Toc533841028"/>
      <w:bookmarkStart w:id="229" w:name="_Toc533973868"/>
      <w:bookmarkStart w:id="230" w:name="_Toc533799529"/>
      <w:bookmarkStart w:id="231" w:name="_Toc533841029"/>
      <w:bookmarkStart w:id="232" w:name="_Toc533973869"/>
      <w:bookmarkStart w:id="233" w:name="_Toc533799530"/>
      <w:bookmarkStart w:id="234" w:name="_Toc533841030"/>
      <w:bookmarkStart w:id="235" w:name="_Toc533973870"/>
      <w:bookmarkStart w:id="236" w:name="_Toc517135945"/>
      <w:bookmarkStart w:id="237" w:name="_Toc524298867"/>
      <w:bookmarkStart w:id="238" w:name="_Toc532803451"/>
      <w:bookmarkStart w:id="239" w:name="_Toc533799531"/>
      <w:bookmarkStart w:id="240" w:name="_Toc533841031"/>
      <w:bookmarkStart w:id="241" w:name="_Toc533973871"/>
      <w:bookmarkStart w:id="242" w:name="_Toc533799532"/>
      <w:bookmarkStart w:id="243" w:name="_Toc533841032"/>
      <w:bookmarkStart w:id="244" w:name="_Toc533973872"/>
      <w:bookmarkStart w:id="245" w:name="_Toc533799533"/>
      <w:bookmarkStart w:id="246" w:name="_Toc533841033"/>
      <w:bookmarkStart w:id="247" w:name="_Toc533973873"/>
      <w:bookmarkStart w:id="248" w:name="_Toc533799534"/>
      <w:bookmarkStart w:id="249" w:name="_Toc533841034"/>
      <w:bookmarkStart w:id="250" w:name="_Toc533973874"/>
      <w:bookmarkStart w:id="251" w:name="_Toc517135946"/>
      <w:bookmarkStart w:id="252" w:name="_Toc524298868"/>
      <w:bookmarkStart w:id="253" w:name="_Toc532803452"/>
      <w:bookmarkStart w:id="254" w:name="_Toc533799535"/>
      <w:bookmarkStart w:id="255" w:name="_Toc533841035"/>
      <w:bookmarkStart w:id="256" w:name="_Toc533973875"/>
      <w:bookmarkStart w:id="257" w:name="_Toc533799536"/>
      <w:bookmarkStart w:id="258" w:name="_Toc533841036"/>
      <w:bookmarkStart w:id="259" w:name="_Toc533973876"/>
      <w:bookmarkStart w:id="260" w:name="_Toc533799537"/>
      <w:bookmarkStart w:id="261" w:name="_Toc533841037"/>
      <w:bookmarkStart w:id="262" w:name="_Toc533973877"/>
      <w:bookmarkStart w:id="263" w:name="_Toc533799538"/>
      <w:bookmarkStart w:id="264" w:name="_Toc533841038"/>
      <w:bookmarkStart w:id="265" w:name="_Toc533973878"/>
      <w:bookmarkStart w:id="266" w:name="_Toc517135947"/>
      <w:bookmarkStart w:id="267" w:name="_Toc524298869"/>
      <w:bookmarkStart w:id="268" w:name="_Toc532803453"/>
      <w:bookmarkStart w:id="269" w:name="_Toc533799539"/>
      <w:bookmarkStart w:id="270" w:name="_Toc533841039"/>
      <w:bookmarkStart w:id="271" w:name="_Toc533973879"/>
      <w:bookmarkStart w:id="272" w:name="_Toc533799540"/>
      <w:bookmarkStart w:id="273" w:name="_Toc533841040"/>
      <w:bookmarkStart w:id="274" w:name="_Toc533973880"/>
      <w:bookmarkStart w:id="275" w:name="_Toc533799541"/>
      <w:bookmarkStart w:id="276" w:name="_Toc533841041"/>
      <w:bookmarkStart w:id="277" w:name="_Toc533973881"/>
      <w:bookmarkStart w:id="278" w:name="_Toc533799542"/>
      <w:bookmarkStart w:id="279" w:name="_Toc533841042"/>
      <w:bookmarkStart w:id="280" w:name="_Toc533973882"/>
      <w:bookmarkStart w:id="281" w:name="_Toc533799543"/>
      <w:bookmarkStart w:id="282" w:name="_Toc533841043"/>
      <w:bookmarkStart w:id="283" w:name="_Toc533973883"/>
      <w:bookmarkStart w:id="284" w:name="_Toc517135948"/>
      <w:bookmarkStart w:id="285" w:name="_Toc524298870"/>
      <w:bookmarkStart w:id="286" w:name="_Toc532803454"/>
      <w:bookmarkStart w:id="287" w:name="_Toc533799544"/>
      <w:bookmarkStart w:id="288" w:name="_Toc533841044"/>
      <w:bookmarkStart w:id="289" w:name="_Toc533973884"/>
      <w:bookmarkStart w:id="290" w:name="_Toc533799545"/>
      <w:bookmarkStart w:id="291" w:name="_Toc533841045"/>
      <w:bookmarkStart w:id="292" w:name="_Toc533973885"/>
      <w:bookmarkStart w:id="293" w:name="_Toc533799546"/>
      <w:bookmarkStart w:id="294" w:name="_Toc533841046"/>
      <w:bookmarkStart w:id="295" w:name="_Toc533973886"/>
      <w:bookmarkStart w:id="296" w:name="_Toc517135949"/>
      <w:bookmarkStart w:id="297" w:name="_Toc524298871"/>
      <w:bookmarkStart w:id="298" w:name="_Toc532803455"/>
      <w:bookmarkStart w:id="299" w:name="_Toc533799547"/>
      <w:bookmarkStart w:id="300" w:name="_Toc533841047"/>
      <w:bookmarkStart w:id="301" w:name="_Toc533973887"/>
      <w:bookmarkStart w:id="302" w:name="_Toc533799548"/>
      <w:bookmarkStart w:id="303" w:name="_Toc533841048"/>
      <w:bookmarkStart w:id="304" w:name="_Toc533973888"/>
      <w:bookmarkStart w:id="305" w:name="_Toc533799549"/>
      <w:bookmarkStart w:id="306" w:name="_Toc533841049"/>
      <w:bookmarkStart w:id="307" w:name="_Toc533973889"/>
      <w:bookmarkStart w:id="308" w:name="_Toc517135950"/>
      <w:bookmarkStart w:id="309" w:name="_Toc524298872"/>
      <w:bookmarkStart w:id="310" w:name="_Toc532803456"/>
      <w:bookmarkStart w:id="311" w:name="_Toc533799550"/>
      <w:bookmarkStart w:id="312" w:name="_Toc533841050"/>
      <w:bookmarkStart w:id="313" w:name="_Toc533973890"/>
      <w:bookmarkStart w:id="314" w:name="_Toc533799551"/>
      <w:bookmarkStart w:id="315" w:name="_Toc533841051"/>
      <w:bookmarkStart w:id="316" w:name="_Toc533973891"/>
      <w:bookmarkStart w:id="317" w:name="_Toc533799552"/>
      <w:bookmarkStart w:id="318" w:name="_Toc533841052"/>
      <w:bookmarkStart w:id="319" w:name="_Toc533973892"/>
      <w:bookmarkStart w:id="320" w:name="_Toc517135951"/>
      <w:bookmarkStart w:id="321" w:name="_Toc524298873"/>
      <w:bookmarkStart w:id="322" w:name="_Toc532803457"/>
      <w:bookmarkStart w:id="323" w:name="_Toc533799553"/>
      <w:bookmarkStart w:id="324" w:name="_Toc533841053"/>
      <w:bookmarkStart w:id="325" w:name="_Toc533973893"/>
      <w:bookmarkStart w:id="326" w:name="_Toc533799554"/>
      <w:bookmarkStart w:id="327" w:name="_Toc533841054"/>
      <w:bookmarkStart w:id="328" w:name="_Toc533973894"/>
      <w:bookmarkStart w:id="329" w:name="_Toc533799555"/>
      <w:bookmarkStart w:id="330" w:name="_Toc533841055"/>
      <w:bookmarkStart w:id="331" w:name="_Toc533973895"/>
      <w:bookmarkStart w:id="332" w:name="_Toc517135952"/>
      <w:bookmarkStart w:id="333" w:name="_Toc524298874"/>
      <w:bookmarkStart w:id="334" w:name="_Toc532803458"/>
      <w:bookmarkStart w:id="335" w:name="_Toc533799556"/>
      <w:bookmarkStart w:id="336" w:name="_Toc533841056"/>
      <w:bookmarkStart w:id="337" w:name="_Toc533973896"/>
      <w:bookmarkStart w:id="338" w:name="_Toc534109913"/>
      <w:bookmarkStart w:id="339" w:name="_Toc1831040"/>
      <w:bookmarkStart w:id="340" w:name="_Toc19627436"/>
      <w:bookmarkStart w:id="341" w:name="_Toc50150246"/>
      <w:bookmarkStart w:id="342" w:name="_Toc70886677"/>
      <w:bookmarkStart w:id="343" w:name="_Toc108342168"/>
      <w:bookmarkStart w:id="344" w:name="_Toc120543343"/>
      <w:bookmarkStart w:id="345" w:name="_Toc134197765"/>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p>
    <w:p w14:paraId="716F8205" w14:textId="77777777" w:rsidR="002D111D" w:rsidRPr="00132C1E" w:rsidRDefault="002D111D" w:rsidP="002D111D">
      <w:pPr>
        <w:pStyle w:val="Terms"/>
      </w:pPr>
      <w:r w:rsidRPr="00132C1E">
        <w:t>non-interacting infill</w:t>
      </w:r>
    </w:p>
    <w:p w14:paraId="5DDBF6DF" w14:textId="486D98FA" w:rsidR="002D111D" w:rsidRPr="00132C1E" w:rsidRDefault="002D111D" w:rsidP="002D111D">
      <w:pPr>
        <w:pStyle w:val="Definition"/>
        <w:rPr>
          <w:rFonts w:cs="Times New Roman"/>
          <w:szCs w:val="22"/>
        </w:rPr>
      </w:pPr>
      <w:r w:rsidRPr="00132C1E">
        <w:rPr>
          <w:rFonts w:cs="Times New Roman"/>
          <w:szCs w:val="22"/>
        </w:rPr>
        <w:t>infill designed not to significantly change the structural response of a building, e.g. infill separated from the frame by a construction joint</w:t>
      </w:r>
    </w:p>
    <w:p w14:paraId="5A9AA8FE" w14:textId="77777777" w:rsidR="002D111D" w:rsidRPr="00132C1E" w:rsidRDefault="002D111D" w:rsidP="002D111D">
      <w:pPr>
        <w:pStyle w:val="Heading3"/>
        <w:spacing w:after="0"/>
      </w:pPr>
      <w:bookmarkStart w:id="346" w:name="_Toc19627437"/>
      <w:bookmarkStart w:id="347" w:name="_Toc50150247"/>
      <w:bookmarkStart w:id="348" w:name="_Toc70886678"/>
      <w:bookmarkStart w:id="349" w:name="_Toc108342169"/>
      <w:bookmarkStart w:id="350" w:name="_Toc120543344"/>
      <w:bookmarkStart w:id="351" w:name="_Toc134197766"/>
      <w:bookmarkEnd w:id="346"/>
      <w:bookmarkEnd w:id="347"/>
      <w:bookmarkEnd w:id="348"/>
      <w:bookmarkEnd w:id="349"/>
      <w:bookmarkEnd w:id="350"/>
      <w:bookmarkEnd w:id="351"/>
    </w:p>
    <w:p w14:paraId="7A520C42" w14:textId="50B3B62A" w:rsidR="002D111D" w:rsidRPr="00132C1E" w:rsidRDefault="002D111D" w:rsidP="002D111D">
      <w:pPr>
        <w:pStyle w:val="Terms"/>
      </w:pPr>
      <w:r w:rsidRPr="00132C1E">
        <w:t>partition</w:t>
      </w:r>
    </w:p>
    <w:p w14:paraId="38AD4713" w14:textId="54E2A12D" w:rsidR="002D111D" w:rsidRPr="00132C1E" w:rsidRDefault="002D111D" w:rsidP="002D111D">
      <w:pPr>
        <w:pStyle w:val="Definition"/>
        <w:rPr>
          <w:rFonts w:cs="Times New Roman"/>
        </w:rPr>
      </w:pPr>
      <w:r w:rsidRPr="00132C1E">
        <w:rPr>
          <w:rFonts w:cs="Times New Roman"/>
        </w:rPr>
        <w:t xml:space="preserve">wall or division used to divide the internal space into separate rooms. Partitions can be made of different materials </w:t>
      </w:r>
      <w:r w:rsidR="008044EA">
        <w:rPr>
          <w:rFonts w:cs="Times New Roman"/>
        </w:rPr>
        <w:t xml:space="preserve">(e.g. </w:t>
      </w:r>
      <w:r w:rsidRPr="00132C1E">
        <w:rPr>
          <w:rFonts w:cs="Times New Roman"/>
        </w:rPr>
        <w:t>bricks, glass or other</w:t>
      </w:r>
      <w:r w:rsidR="008044EA">
        <w:rPr>
          <w:rFonts w:cs="Times New Roman"/>
        </w:rPr>
        <w:t>)</w:t>
      </w:r>
      <w:r w:rsidRPr="00132C1E">
        <w:rPr>
          <w:rFonts w:cs="Times New Roman"/>
        </w:rPr>
        <w:t xml:space="preserve">. Partition walls are placed inside the building between the floor above and the floor under it and vertical elements like </w:t>
      </w:r>
      <w:r w:rsidRPr="00E45EB4">
        <w:rPr>
          <w:rFonts w:cs="Times New Roman"/>
        </w:rPr>
        <w:t xml:space="preserve">walls or </w:t>
      </w:r>
      <w:r w:rsidRPr="00132C1E">
        <w:rPr>
          <w:rFonts w:cs="Times New Roman"/>
        </w:rPr>
        <w:t xml:space="preserve">columns. A partition is not meant to play any structural role </w:t>
      </w:r>
      <w:r w:rsidR="008044EA">
        <w:rPr>
          <w:rFonts w:cs="Times New Roman"/>
        </w:rPr>
        <w:t>other</w:t>
      </w:r>
      <w:r w:rsidRPr="00132C1E">
        <w:rPr>
          <w:rFonts w:cs="Times New Roman"/>
        </w:rPr>
        <w:t xml:space="preserve"> than supporting itself</w:t>
      </w:r>
    </w:p>
    <w:p w14:paraId="6A8C6A8F" w14:textId="77777777" w:rsidR="002D111D" w:rsidRPr="00132C1E" w:rsidRDefault="002D111D" w:rsidP="002D111D">
      <w:pPr>
        <w:pStyle w:val="Heading3"/>
        <w:spacing w:after="0"/>
      </w:pPr>
      <w:bookmarkStart w:id="352" w:name="_Toc50150248"/>
      <w:bookmarkStart w:id="353" w:name="_Toc70886679"/>
      <w:bookmarkStart w:id="354" w:name="_Toc108342170"/>
      <w:bookmarkStart w:id="355" w:name="_Toc120543345"/>
      <w:bookmarkStart w:id="356" w:name="_Toc134197767"/>
      <w:bookmarkEnd w:id="352"/>
      <w:bookmarkEnd w:id="353"/>
      <w:bookmarkEnd w:id="354"/>
      <w:bookmarkEnd w:id="355"/>
      <w:bookmarkEnd w:id="356"/>
    </w:p>
    <w:p w14:paraId="27E0D4CE" w14:textId="77777777" w:rsidR="002D111D" w:rsidRPr="00132C1E" w:rsidRDefault="002D111D" w:rsidP="002D111D">
      <w:pPr>
        <w:pStyle w:val="Terms"/>
      </w:pPr>
      <w:r w:rsidRPr="00132C1E">
        <w:t>pier</w:t>
      </w:r>
    </w:p>
    <w:p w14:paraId="7750A90A" w14:textId="7EE5F167" w:rsidR="002D111D" w:rsidRPr="000A66DF" w:rsidRDefault="002D111D" w:rsidP="002D111D">
      <w:pPr>
        <w:rPr>
          <w:rFonts w:asciiTheme="majorHAnsi" w:hAnsiTheme="majorHAnsi"/>
        </w:rPr>
      </w:pPr>
      <w:r w:rsidRPr="000A66DF">
        <w:t xml:space="preserve">part of a masonry wall between vertical </w:t>
      </w:r>
      <w:r w:rsidR="008044EA">
        <w:t>limits,</w:t>
      </w:r>
      <w:r w:rsidRPr="000A66DF">
        <w:t xml:space="preserve"> which can be a wall free edge, a window, a door or a stiffening wall</w:t>
      </w:r>
      <w:r w:rsidR="008044EA">
        <w:t>. T</w:t>
      </w:r>
      <w:r w:rsidRPr="000A66DF">
        <w:t xml:space="preserve">he length of a pier cross section is the distance between two such interruptions and its height </w:t>
      </w:r>
      <w:r w:rsidR="008044EA">
        <w:t xml:space="preserve">is </w:t>
      </w:r>
      <w:r w:rsidRPr="000A66DF">
        <w:t>that of the smaller adjacent opening</w:t>
      </w:r>
    </w:p>
    <w:p w14:paraId="6C71EC67" w14:textId="77777777" w:rsidR="002D111D" w:rsidRPr="00132C1E" w:rsidRDefault="002D111D" w:rsidP="002D111D">
      <w:pPr>
        <w:pStyle w:val="Heading3"/>
        <w:spacing w:after="0"/>
      </w:pPr>
      <w:bookmarkStart w:id="357" w:name="_Toc19627438"/>
      <w:bookmarkStart w:id="358" w:name="_Toc50150249"/>
      <w:bookmarkStart w:id="359" w:name="_Toc70886680"/>
      <w:bookmarkStart w:id="360" w:name="_Toc108342171"/>
      <w:bookmarkStart w:id="361" w:name="_Toc120543346"/>
      <w:bookmarkStart w:id="362" w:name="_Toc134197768"/>
      <w:bookmarkEnd w:id="357"/>
      <w:bookmarkEnd w:id="358"/>
      <w:bookmarkEnd w:id="359"/>
      <w:bookmarkEnd w:id="360"/>
      <w:bookmarkEnd w:id="361"/>
      <w:bookmarkEnd w:id="362"/>
    </w:p>
    <w:p w14:paraId="69870A5A" w14:textId="77777777" w:rsidR="002D111D" w:rsidRPr="00132C1E" w:rsidRDefault="002D111D" w:rsidP="002D111D">
      <w:pPr>
        <w:pStyle w:val="Terms"/>
      </w:pPr>
      <w:r w:rsidRPr="00132C1E">
        <w:t>platform frame construction</w:t>
      </w:r>
    </w:p>
    <w:p w14:paraId="7CA4FDED" w14:textId="4058897D" w:rsidR="002D111D" w:rsidRPr="00132C1E" w:rsidRDefault="008044EA" w:rsidP="002D111D">
      <w:pPr>
        <w:pStyle w:val="Definition"/>
      </w:pPr>
      <w:r>
        <w:t xml:space="preserve">timber </w:t>
      </w:r>
      <w:r w:rsidR="002D111D" w:rsidRPr="00132C1E">
        <w:t>construction type that involves floor structures bearing onto wall panels, thereby creating a ‘platform’ for construction of the next level of wall panels. The timber walls are therefore interrupted by the floor structures</w:t>
      </w:r>
    </w:p>
    <w:p w14:paraId="60AE6821" w14:textId="77777777" w:rsidR="002D111D" w:rsidRPr="00132C1E" w:rsidRDefault="002D111D" w:rsidP="002D111D">
      <w:pPr>
        <w:pStyle w:val="Heading3"/>
        <w:spacing w:after="0"/>
      </w:pPr>
      <w:bookmarkStart w:id="363" w:name="_Toc50150250"/>
      <w:bookmarkStart w:id="364" w:name="_Toc70886681"/>
      <w:bookmarkStart w:id="365" w:name="_Toc108342172"/>
      <w:bookmarkStart w:id="366" w:name="_Toc120543347"/>
      <w:bookmarkStart w:id="367" w:name="_Toc134197769"/>
      <w:bookmarkEnd w:id="363"/>
      <w:bookmarkEnd w:id="364"/>
      <w:bookmarkEnd w:id="365"/>
      <w:bookmarkEnd w:id="366"/>
      <w:bookmarkEnd w:id="367"/>
    </w:p>
    <w:p w14:paraId="1DDD9DB8" w14:textId="77777777" w:rsidR="002D111D" w:rsidRPr="00132C1E" w:rsidRDefault="002D111D" w:rsidP="002D111D">
      <w:pPr>
        <w:pStyle w:val="Terms"/>
      </w:pPr>
      <w:r w:rsidRPr="00132C1E">
        <w:t>principal direction of a building</w:t>
      </w:r>
    </w:p>
    <w:p w14:paraId="59F86C9D" w14:textId="75399FF7" w:rsidR="002D111D" w:rsidRPr="00132C1E" w:rsidRDefault="002D111D" w:rsidP="002D111D">
      <w:pPr>
        <w:pStyle w:val="Definition"/>
      </w:pPr>
      <w:r w:rsidRPr="00132C1E">
        <w:t>horizontal direction in which a main lateral force resisting system is designed</w:t>
      </w:r>
    </w:p>
    <w:p w14:paraId="2A6BBBE5" w14:textId="77777777" w:rsidR="002D111D" w:rsidRPr="00132C1E" w:rsidRDefault="002D111D" w:rsidP="002D111D">
      <w:pPr>
        <w:pStyle w:val="Heading3"/>
        <w:spacing w:after="0"/>
      </w:pPr>
      <w:bookmarkStart w:id="368" w:name="_Toc517135953"/>
      <w:bookmarkStart w:id="369" w:name="_Toc524298875"/>
      <w:bookmarkStart w:id="370" w:name="_Toc532803459"/>
      <w:bookmarkStart w:id="371" w:name="_Toc533799557"/>
      <w:bookmarkStart w:id="372" w:name="_Toc533841057"/>
      <w:bookmarkStart w:id="373" w:name="_Toc533973897"/>
      <w:bookmarkStart w:id="374" w:name="_Toc534109914"/>
      <w:bookmarkStart w:id="375" w:name="_Toc16283249"/>
      <w:bookmarkStart w:id="376" w:name="_Toc16843476"/>
      <w:bookmarkStart w:id="377" w:name="_Toc16927601"/>
      <w:bookmarkStart w:id="378" w:name="_Toc19627439"/>
      <w:bookmarkStart w:id="379" w:name="_Toc50150251"/>
      <w:bookmarkStart w:id="380" w:name="_Toc70886682"/>
      <w:bookmarkStart w:id="381" w:name="_Toc108342173"/>
      <w:bookmarkStart w:id="382" w:name="_Toc120543348"/>
      <w:bookmarkStart w:id="383" w:name="_Toc134197770"/>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p>
    <w:p w14:paraId="02141983" w14:textId="19EEFA96" w:rsidR="002D111D" w:rsidRPr="00132C1E" w:rsidRDefault="002D111D" w:rsidP="002D111D">
      <w:pPr>
        <w:pStyle w:val="Terms"/>
      </w:pPr>
      <w:r w:rsidRPr="00132C1E">
        <w:t xml:space="preserve">primary </w:t>
      </w:r>
      <w:r w:rsidR="00A44F67">
        <w:t xml:space="preserve">seismic </w:t>
      </w:r>
      <w:r w:rsidRPr="00132C1E">
        <w:t>member</w:t>
      </w:r>
    </w:p>
    <w:p w14:paraId="5823577B" w14:textId="37FAB22A" w:rsidR="002D111D" w:rsidRPr="00132C1E" w:rsidRDefault="002D111D" w:rsidP="002D111D">
      <w:r w:rsidRPr="00132C1E">
        <w:t>structural member which participates to the lateral load resisting system</w:t>
      </w:r>
    </w:p>
    <w:p w14:paraId="5EDFFFEC" w14:textId="77777777" w:rsidR="002D111D" w:rsidRPr="00132C1E" w:rsidRDefault="002D111D" w:rsidP="002D111D">
      <w:pPr>
        <w:pStyle w:val="Heading3"/>
        <w:spacing w:after="0"/>
      </w:pPr>
      <w:bookmarkStart w:id="384" w:name="_Toc16283250"/>
      <w:bookmarkStart w:id="385" w:name="_Toc16843477"/>
      <w:bookmarkStart w:id="386" w:name="_Toc16927602"/>
      <w:bookmarkStart w:id="387" w:name="_Toc19627440"/>
      <w:bookmarkStart w:id="388" w:name="_Toc50150252"/>
      <w:bookmarkStart w:id="389" w:name="_Toc70886683"/>
      <w:bookmarkStart w:id="390" w:name="_Toc108342174"/>
      <w:bookmarkStart w:id="391" w:name="_Toc120543349"/>
      <w:bookmarkStart w:id="392" w:name="_Toc134197771"/>
      <w:bookmarkEnd w:id="384"/>
      <w:bookmarkEnd w:id="385"/>
      <w:bookmarkEnd w:id="386"/>
      <w:bookmarkEnd w:id="387"/>
      <w:bookmarkEnd w:id="388"/>
      <w:bookmarkEnd w:id="389"/>
      <w:bookmarkEnd w:id="390"/>
      <w:bookmarkEnd w:id="391"/>
      <w:bookmarkEnd w:id="392"/>
    </w:p>
    <w:p w14:paraId="5269E357" w14:textId="77777777" w:rsidR="002D111D" w:rsidRPr="00132C1E" w:rsidRDefault="002D111D" w:rsidP="002D111D">
      <w:pPr>
        <w:pStyle w:val="Terms"/>
      </w:pPr>
      <w:r w:rsidRPr="00132C1E">
        <w:t>primary structure</w:t>
      </w:r>
    </w:p>
    <w:p w14:paraId="43435BF1" w14:textId="6AA5A766" w:rsidR="002D111D" w:rsidRPr="00A44F67" w:rsidRDefault="002D111D" w:rsidP="002D111D">
      <w:pPr>
        <w:rPr>
          <w:bCs/>
        </w:rPr>
      </w:pPr>
      <w:r w:rsidRPr="00A44F67">
        <w:rPr>
          <w:bCs/>
        </w:rPr>
        <w:t>set of primary seismic members over the building</w:t>
      </w:r>
    </w:p>
    <w:p w14:paraId="0A2B1681" w14:textId="77777777" w:rsidR="002D111D" w:rsidRPr="00132C1E" w:rsidRDefault="002D111D" w:rsidP="002D111D">
      <w:pPr>
        <w:pStyle w:val="Heading3"/>
        <w:spacing w:after="0"/>
      </w:pPr>
      <w:bookmarkStart w:id="393" w:name="_Toc16283251"/>
      <w:bookmarkStart w:id="394" w:name="_Toc16843478"/>
      <w:bookmarkStart w:id="395" w:name="_Toc16927603"/>
      <w:bookmarkStart w:id="396" w:name="_Toc19627441"/>
      <w:bookmarkStart w:id="397" w:name="_Toc50150253"/>
      <w:bookmarkStart w:id="398" w:name="_Toc70886684"/>
      <w:bookmarkStart w:id="399" w:name="_Toc108342175"/>
      <w:bookmarkStart w:id="400" w:name="_Toc120543350"/>
      <w:bookmarkStart w:id="401" w:name="_Toc134197772"/>
      <w:bookmarkEnd w:id="393"/>
      <w:bookmarkEnd w:id="394"/>
      <w:bookmarkEnd w:id="395"/>
      <w:bookmarkEnd w:id="396"/>
      <w:bookmarkEnd w:id="397"/>
      <w:bookmarkEnd w:id="398"/>
      <w:bookmarkEnd w:id="399"/>
      <w:bookmarkEnd w:id="400"/>
      <w:bookmarkEnd w:id="401"/>
    </w:p>
    <w:p w14:paraId="320B0032" w14:textId="77777777" w:rsidR="002D111D" w:rsidRPr="00132C1E" w:rsidRDefault="002D111D" w:rsidP="002D111D">
      <w:pPr>
        <w:pStyle w:val="Terms"/>
      </w:pPr>
      <w:r w:rsidRPr="00132C1E">
        <w:t>primary bracing</w:t>
      </w:r>
    </w:p>
    <w:p w14:paraId="6B1353E1" w14:textId="47CDC250" w:rsidR="002D111D" w:rsidRPr="00A44F67" w:rsidRDefault="002D111D" w:rsidP="002D111D">
      <w:r w:rsidRPr="00A44F67">
        <w:t>set of primary members installed in a vertical plane at a given level of the building</w:t>
      </w:r>
    </w:p>
    <w:p w14:paraId="5F85D725" w14:textId="77777777" w:rsidR="002D111D" w:rsidRPr="00132C1E" w:rsidRDefault="002D111D" w:rsidP="002D111D">
      <w:pPr>
        <w:pStyle w:val="Heading3"/>
        <w:spacing w:after="0"/>
      </w:pPr>
      <w:bookmarkStart w:id="402" w:name="_Toc50150254"/>
      <w:bookmarkStart w:id="403" w:name="_Toc70886685"/>
      <w:bookmarkStart w:id="404" w:name="_Toc108342176"/>
      <w:bookmarkStart w:id="405" w:name="_Toc120543351"/>
      <w:bookmarkStart w:id="406" w:name="_Toc134197773"/>
      <w:bookmarkEnd w:id="402"/>
      <w:bookmarkEnd w:id="403"/>
      <w:bookmarkEnd w:id="404"/>
      <w:bookmarkEnd w:id="405"/>
      <w:bookmarkEnd w:id="406"/>
    </w:p>
    <w:p w14:paraId="2C9BA2C0" w14:textId="77777777" w:rsidR="002D111D" w:rsidRPr="00132C1E" w:rsidRDefault="002D111D" w:rsidP="002D111D">
      <w:pPr>
        <w:pStyle w:val="Terms"/>
      </w:pPr>
      <w:r w:rsidRPr="00132C1E">
        <w:t>rigid joints</w:t>
      </w:r>
    </w:p>
    <w:p w14:paraId="69BF6056" w14:textId="6F0D13CB" w:rsidR="002D111D" w:rsidRPr="00132C1E" w:rsidRDefault="002D111D" w:rsidP="002D111D">
      <w:pPr>
        <w:pStyle w:val="Definition"/>
      </w:pPr>
      <w:r w:rsidRPr="00132C1E">
        <w:t>joints with negligible flexibility</w:t>
      </w:r>
    </w:p>
    <w:p w14:paraId="6DDFB31C" w14:textId="77777777" w:rsidR="002D111D" w:rsidRPr="00132C1E" w:rsidRDefault="002D111D" w:rsidP="002D111D">
      <w:pPr>
        <w:pStyle w:val="Heading3"/>
        <w:spacing w:after="0"/>
      </w:pPr>
      <w:bookmarkStart w:id="407" w:name="_Toc50150255"/>
      <w:bookmarkStart w:id="408" w:name="_Toc70886686"/>
      <w:bookmarkStart w:id="409" w:name="_Toc108342177"/>
      <w:bookmarkStart w:id="410" w:name="_Toc120543352"/>
      <w:bookmarkStart w:id="411" w:name="_Toc134197774"/>
      <w:bookmarkEnd w:id="407"/>
      <w:bookmarkEnd w:id="408"/>
      <w:bookmarkEnd w:id="409"/>
      <w:bookmarkEnd w:id="410"/>
      <w:bookmarkEnd w:id="411"/>
    </w:p>
    <w:p w14:paraId="39E71A48" w14:textId="77777777" w:rsidR="002D111D" w:rsidRPr="00132C1E" w:rsidRDefault="002D111D" w:rsidP="002D111D">
      <w:pPr>
        <w:pStyle w:val="Terms"/>
      </w:pPr>
      <w:r w:rsidRPr="00132C1E">
        <w:t>ring beams and ring ties</w:t>
      </w:r>
    </w:p>
    <w:p w14:paraId="71E7FF37" w14:textId="1E9A5B94" w:rsidR="002D111D" w:rsidRPr="00132C1E" w:rsidRDefault="002D111D" w:rsidP="002D111D">
      <w:pPr>
        <w:pStyle w:val="Definition"/>
      </w:pPr>
      <w:r w:rsidRPr="00132C1E">
        <w:t xml:space="preserve">horizontal elements that connect all </w:t>
      </w:r>
      <w:r w:rsidR="00A44F67">
        <w:t xml:space="preserve">masonry </w:t>
      </w:r>
      <w:r w:rsidRPr="00132C1E">
        <w:t>piers at a specific elevation of a building</w:t>
      </w:r>
    </w:p>
    <w:p w14:paraId="6C36D09F" w14:textId="77777777" w:rsidR="002D111D" w:rsidRPr="00132C1E" w:rsidRDefault="002D111D" w:rsidP="002D111D">
      <w:pPr>
        <w:pStyle w:val="Heading3"/>
        <w:spacing w:after="0"/>
      </w:pPr>
      <w:bookmarkStart w:id="412" w:name="_Toc16283252"/>
      <w:bookmarkStart w:id="413" w:name="_Toc16843479"/>
      <w:bookmarkStart w:id="414" w:name="_Toc16927604"/>
      <w:bookmarkStart w:id="415" w:name="_Toc19627442"/>
      <w:bookmarkStart w:id="416" w:name="_Toc50150256"/>
      <w:bookmarkStart w:id="417" w:name="_Toc70886687"/>
      <w:bookmarkStart w:id="418" w:name="_Toc108342178"/>
      <w:bookmarkStart w:id="419" w:name="_Toc120543353"/>
      <w:bookmarkStart w:id="420" w:name="_Toc134197775"/>
      <w:bookmarkEnd w:id="412"/>
      <w:bookmarkEnd w:id="413"/>
      <w:bookmarkEnd w:id="414"/>
      <w:bookmarkEnd w:id="415"/>
      <w:bookmarkEnd w:id="416"/>
      <w:bookmarkEnd w:id="417"/>
      <w:bookmarkEnd w:id="418"/>
      <w:bookmarkEnd w:id="419"/>
      <w:bookmarkEnd w:id="420"/>
    </w:p>
    <w:p w14:paraId="0DEE567B" w14:textId="77777777" w:rsidR="002D111D" w:rsidRPr="00132C1E" w:rsidRDefault="002D111D" w:rsidP="002D111D">
      <w:pPr>
        <w:pStyle w:val="Terms"/>
      </w:pPr>
      <w:r w:rsidRPr="00132C1E">
        <w:t>secondary seismic member</w:t>
      </w:r>
    </w:p>
    <w:p w14:paraId="0B7863C2" w14:textId="0A3F95E2" w:rsidR="002D111D" w:rsidRPr="00132C1E" w:rsidRDefault="002D111D" w:rsidP="002D111D">
      <w:r w:rsidRPr="00132C1E">
        <w:t>structural member which does not participate to the lateral load resisting system</w:t>
      </w:r>
      <w:r>
        <w:t xml:space="preserve">, </w:t>
      </w:r>
      <w:r w:rsidRPr="00E72448">
        <w:t>but keeps its other functions, like carrying gravity loads, during the seismic event</w:t>
      </w:r>
    </w:p>
    <w:p w14:paraId="2497D05C" w14:textId="77777777" w:rsidR="002D111D" w:rsidRPr="00132C1E" w:rsidRDefault="002D111D" w:rsidP="002D111D">
      <w:pPr>
        <w:pStyle w:val="Heading3"/>
        <w:spacing w:after="0"/>
      </w:pPr>
      <w:bookmarkStart w:id="421" w:name="_Toc50150257"/>
      <w:bookmarkStart w:id="422" w:name="_Toc70886688"/>
      <w:bookmarkStart w:id="423" w:name="_Toc108342179"/>
      <w:bookmarkStart w:id="424" w:name="_Toc120543354"/>
      <w:bookmarkStart w:id="425" w:name="_Toc134197776"/>
      <w:bookmarkEnd w:id="421"/>
      <w:bookmarkEnd w:id="422"/>
      <w:bookmarkEnd w:id="423"/>
      <w:bookmarkEnd w:id="424"/>
      <w:bookmarkEnd w:id="425"/>
    </w:p>
    <w:p w14:paraId="6F212CD1" w14:textId="77777777" w:rsidR="002D111D" w:rsidRPr="00132C1E" w:rsidRDefault="002D111D" w:rsidP="002D111D">
      <w:pPr>
        <w:pStyle w:val="Terms"/>
      </w:pPr>
      <w:r w:rsidRPr="00132C1E">
        <w:t>semi-rigid joints</w:t>
      </w:r>
    </w:p>
    <w:p w14:paraId="66C12E22" w14:textId="6F905207" w:rsidR="002D111D" w:rsidRPr="00132C1E" w:rsidRDefault="002D111D" w:rsidP="002D111D">
      <w:pPr>
        <w:pStyle w:val="Definition"/>
      </w:pPr>
      <w:r w:rsidRPr="00132C1E">
        <w:t>joints with significant flexibility</w:t>
      </w:r>
    </w:p>
    <w:p w14:paraId="1C13B0E3" w14:textId="77777777" w:rsidR="002D111D" w:rsidRPr="00132C1E" w:rsidRDefault="002D111D" w:rsidP="002D111D">
      <w:pPr>
        <w:pStyle w:val="Heading3"/>
        <w:spacing w:after="0"/>
      </w:pPr>
      <w:bookmarkStart w:id="426" w:name="_Toc50150258"/>
      <w:bookmarkStart w:id="427" w:name="_Toc70886689"/>
      <w:bookmarkStart w:id="428" w:name="_Toc108342180"/>
      <w:bookmarkStart w:id="429" w:name="_Toc120543355"/>
      <w:bookmarkStart w:id="430" w:name="_Toc134197777"/>
      <w:bookmarkEnd w:id="426"/>
      <w:bookmarkEnd w:id="427"/>
      <w:bookmarkEnd w:id="428"/>
      <w:bookmarkEnd w:id="429"/>
      <w:bookmarkEnd w:id="430"/>
    </w:p>
    <w:p w14:paraId="3A75A279" w14:textId="77777777" w:rsidR="002D111D" w:rsidRPr="00132C1E" w:rsidRDefault="002D111D" w:rsidP="002D111D">
      <w:pPr>
        <w:pStyle w:val="Terms"/>
      </w:pPr>
      <w:r w:rsidRPr="00132C1E">
        <w:t>spandrel</w:t>
      </w:r>
    </w:p>
    <w:p w14:paraId="4DE6C3AA" w14:textId="4465ADA2" w:rsidR="002D111D" w:rsidRPr="00132C1E" w:rsidRDefault="002D111D" w:rsidP="002D111D">
      <w:pPr>
        <w:pStyle w:val="Definition"/>
      </w:pPr>
      <w:r w:rsidRPr="00132C1E">
        <w:t>masonry element with a horizontal axis spanning between two adjacent piers</w:t>
      </w:r>
    </w:p>
    <w:p w14:paraId="28ED2414" w14:textId="77777777" w:rsidR="002D111D" w:rsidRPr="00132C1E" w:rsidRDefault="002D111D" w:rsidP="002D111D">
      <w:pPr>
        <w:pStyle w:val="Heading3"/>
        <w:spacing w:after="0"/>
      </w:pPr>
      <w:bookmarkStart w:id="431" w:name="_Toc16283253"/>
      <w:bookmarkStart w:id="432" w:name="_Toc16843480"/>
      <w:bookmarkStart w:id="433" w:name="_Toc16927605"/>
      <w:bookmarkStart w:id="434" w:name="_Toc19627443"/>
      <w:bookmarkStart w:id="435" w:name="_Toc50150259"/>
      <w:bookmarkStart w:id="436" w:name="_Toc70886690"/>
      <w:bookmarkStart w:id="437" w:name="_Toc108342181"/>
      <w:bookmarkStart w:id="438" w:name="_Toc120543356"/>
      <w:bookmarkStart w:id="439" w:name="_Toc134197778"/>
      <w:bookmarkEnd w:id="431"/>
      <w:bookmarkEnd w:id="432"/>
      <w:bookmarkEnd w:id="433"/>
      <w:bookmarkEnd w:id="434"/>
      <w:bookmarkEnd w:id="435"/>
      <w:bookmarkEnd w:id="436"/>
      <w:bookmarkEnd w:id="437"/>
      <w:bookmarkEnd w:id="438"/>
      <w:bookmarkEnd w:id="439"/>
    </w:p>
    <w:p w14:paraId="2C8DEC82" w14:textId="77777777" w:rsidR="002D111D" w:rsidRPr="00132C1E" w:rsidRDefault="002D111D" w:rsidP="002D111D">
      <w:pPr>
        <w:pStyle w:val="Terms"/>
      </w:pPr>
      <w:bookmarkStart w:id="440" w:name="_Toc517135954"/>
      <w:bookmarkStart w:id="441" w:name="_Toc524298876"/>
      <w:bookmarkStart w:id="442" w:name="_Toc532803460"/>
      <w:bookmarkStart w:id="443" w:name="_Toc517135955"/>
      <w:bookmarkStart w:id="444" w:name="_Toc524298877"/>
      <w:bookmarkStart w:id="445" w:name="_Toc532803461"/>
      <w:bookmarkStart w:id="446" w:name="_Toc517135956"/>
      <w:bookmarkStart w:id="447" w:name="_Toc524298878"/>
      <w:bookmarkStart w:id="448" w:name="_Toc532803462"/>
      <w:bookmarkStart w:id="449" w:name="_Toc517135957"/>
      <w:bookmarkStart w:id="450" w:name="_Toc524298879"/>
      <w:bookmarkStart w:id="451" w:name="_Toc532803463"/>
      <w:bookmarkStart w:id="452" w:name="_Toc533799558"/>
      <w:bookmarkStart w:id="453" w:name="_Toc533841058"/>
      <w:bookmarkStart w:id="454" w:name="_Toc533973898"/>
      <w:bookmarkStart w:id="455" w:name="_Toc517135958"/>
      <w:bookmarkStart w:id="456" w:name="_Toc524298880"/>
      <w:bookmarkStart w:id="457" w:name="_Toc532803464"/>
      <w:bookmarkStart w:id="458" w:name="_Toc533799559"/>
      <w:bookmarkStart w:id="459" w:name="_Toc533841059"/>
      <w:bookmarkStart w:id="460" w:name="_Toc533973899"/>
      <w:bookmarkStart w:id="461" w:name="_Toc517135959"/>
      <w:bookmarkStart w:id="462" w:name="_Toc524298881"/>
      <w:bookmarkStart w:id="463" w:name="_Toc532803465"/>
      <w:bookmarkStart w:id="464" w:name="_Toc532803466"/>
      <w:bookmarkStart w:id="465" w:name="_Toc517135960"/>
      <w:bookmarkStart w:id="466" w:name="_Toc524298882"/>
      <w:bookmarkStart w:id="467" w:name="_Toc532803467"/>
      <w:bookmarkStart w:id="468" w:name="_Toc533799560"/>
      <w:bookmarkStart w:id="469" w:name="_Toc533841060"/>
      <w:bookmarkStart w:id="470" w:name="_Toc533973900"/>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r w:rsidRPr="00132C1E">
        <w:t>substructure</w:t>
      </w:r>
    </w:p>
    <w:p w14:paraId="5BB6F784" w14:textId="1538749B" w:rsidR="002D111D" w:rsidRPr="00132C1E" w:rsidRDefault="002D111D" w:rsidP="002D111D">
      <w:r w:rsidRPr="00132C1E">
        <w:t>part of the structure, which is located under the isolation interface, including the foundation</w:t>
      </w:r>
    </w:p>
    <w:p w14:paraId="154256F3" w14:textId="1555A333" w:rsidR="002D111D" w:rsidRPr="00132C1E" w:rsidRDefault="002D111D" w:rsidP="00E10A24">
      <w:pPr>
        <w:pStyle w:val="Note"/>
        <w:tabs>
          <w:tab w:val="clear" w:pos="960"/>
          <w:tab w:val="left" w:pos="1560"/>
        </w:tabs>
      </w:pPr>
      <w:r w:rsidRPr="00132C1E">
        <w:t>N</w:t>
      </w:r>
      <w:r w:rsidR="00A44F67">
        <w:t>ote 1 to entry:</w:t>
      </w:r>
      <w:r>
        <w:tab/>
      </w:r>
      <w:r w:rsidRPr="00132C1E">
        <w:t>The lateral flexibility of the substructure(s) is generally negligible in comparison to that of the isolation system, but this is not always the case.</w:t>
      </w:r>
    </w:p>
    <w:p w14:paraId="2D0E7382" w14:textId="77777777" w:rsidR="002D111D" w:rsidRPr="00132C1E" w:rsidRDefault="002D111D" w:rsidP="002D111D">
      <w:pPr>
        <w:pStyle w:val="Heading3"/>
        <w:spacing w:after="0"/>
      </w:pPr>
      <w:bookmarkStart w:id="471" w:name="_Toc517135961"/>
      <w:bookmarkStart w:id="472" w:name="_Toc524298883"/>
      <w:bookmarkStart w:id="473" w:name="_Toc532803468"/>
      <w:bookmarkStart w:id="474" w:name="_Toc533799561"/>
      <w:bookmarkStart w:id="475" w:name="_Toc533841061"/>
      <w:bookmarkStart w:id="476" w:name="_Toc533973901"/>
      <w:bookmarkStart w:id="477" w:name="_Toc534109915"/>
      <w:bookmarkStart w:id="478" w:name="_Toc16283254"/>
      <w:bookmarkStart w:id="479" w:name="_Toc16843481"/>
      <w:bookmarkStart w:id="480" w:name="_Toc16927606"/>
      <w:bookmarkStart w:id="481" w:name="_Toc19627444"/>
      <w:bookmarkStart w:id="482" w:name="_Toc50150260"/>
      <w:bookmarkStart w:id="483" w:name="_Toc70886691"/>
      <w:bookmarkStart w:id="484" w:name="_Toc108342182"/>
      <w:bookmarkStart w:id="485" w:name="_Toc120543357"/>
      <w:bookmarkStart w:id="486" w:name="_Toc134197779"/>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p>
    <w:p w14:paraId="1E7203CB" w14:textId="77777777" w:rsidR="002D111D" w:rsidRPr="00132C1E" w:rsidRDefault="002D111D" w:rsidP="002D111D">
      <w:pPr>
        <w:pStyle w:val="Terms"/>
      </w:pPr>
      <w:r w:rsidRPr="00132C1E">
        <w:t>superstructure</w:t>
      </w:r>
    </w:p>
    <w:p w14:paraId="170833C1" w14:textId="11BF3BCA" w:rsidR="002D111D" w:rsidRPr="00132C1E" w:rsidRDefault="002D111D" w:rsidP="002D111D">
      <w:pPr>
        <w:pStyle w:val="Definition"/>
      </w:pPr>
      <w:r w:rsidRPr="00132C1E">
        <w:t>part of the structure that is located above the isolation interface</w:t>
      </w:r>
    </w:p>
    <w:p w14:paraId="30B61EA6" w14:textId="77777777" w:rsidR="002D111D" w:rsidRPr="00EB2D0E" w:rsidRDefault="002D111D" w:rsidP="00E72448">
      <w:pPr>
        <w:pStyle w:val="Heading3"/>
        <w:spacing w:after="0"/>
        <w:ind w:left="709" w:hanging="709"/>
      </w:pPr>
      <w:bookmarkStart w:id="487" w:name="_Toc50150261"/>
      <w:bookmarkStart w:id="488" w:name="_Toc70886692"/>
      <w:bookmarkStart w:id="489" w:name="_Toc108342183"/>
      <w:bookmarkStart w:id="490" w:name="_Toc120543358"/>
      <w:bookmarkStart w:id="491" w:name="_Toc134197780"/>
      <w:bookmarkStart w:id="492" w:name="_Hlk95473173"/>
      <w:bookmarkStart w:id="493" w:name="_Hlk95812688"/>
      <w:bookmarkEnd w:id="487"/>
      <w:bookmarkEnd w:id="488"/>
      <w:bookmarkEnd w:id="489"/>
      <w:bookmarkEnd w:id="490"/>
      <w:bookmarkEnd w:id="491"/>
    </w:p>
    <w:p w14:paraId="55C28E3C" w14:textId="77777777" w:rsidR="002D111D" w:rsidRPr="008113A3" w:rsidRDefault="002D111D" w:rsidP="002D111D">
      <w:pPr>
        <w:rPr>
          <w:rFonts w:asciiTheme="majorHAnsi" w:hAnsiTheme="majorHAnsi"/>
          <w:b/>
        </w:rPr>
      </w:pPr>
      <w:bookmarkStart w:id="494" w:name="_Hlk95812732"/>
      <w:r w:rsidRPr="008113A3">
        <w:rPr>
          <w:rFonts w:asciiTheme="majorHAnsi" w:hAnsiTheme="majorHAnsi"/>
          <w:b/>
        </w:rPr>
        <w:t>transfer zone</w:t>
      </w:r>
    </w:p>
    <w:bookmarkEnd w:id="492"/>
    <w:p w14:paraId="23D77C06" w14:textId="442A2865" w:rsidR="002D111D" w:rsidRPr="00A44F67" w:rsidRDefault="002D111D" w:rsidP="00A44F67">
      <w:pPr>
        <w:pStyle w:val="Definition"/>
      </w:pPr>
      <w:r w:rsidRPr="00A44F67">
        <w:t>zone of a building where vertical components of the primary structure are interrupted for architectural reasons (for open spaces, car parks or setbacks, etc.)</w:t>
      </w:r>
    </w:p>
    <w:p w14:paraId="1CBDBF0F" w14:textId="77777777" w:rsidR="002D111D" w:rsidRDefault="002D111D" w:rsidP="002D111D">
      <w:pPr>
        <w:pStyle w:val="Heading3"/>
        <w:spacing w:after="0" w:line="240" w:lineRule="auto"/>
      </w:pPr>
      <w:bookmarkStart w:id="495" w:name="_Toc108342184"/>
      <w:bookmarkStart w:id="496" w:name="_Toc120543359"/>
      <w:bookmarkStart w:id="497" w:name="_Toc134197781"/>
      <w:bookmarkEnd w:id="493"/>
      <w:bookmarkEnd w:id="494"/>
      <w:bookmarkEnd w:id="495"/>
      <w:bookmarkEnd w:id="496"/>
      <w:bookmarkEnd w:id="497"/>
    </w:p>
    <w:p w14:paraId="365763DD" w14:textId="77777777" w:rsidR="002D111D" w:rsidRPr="008113A3" w:rsidRDefault="002D111D" w:rsidP="002D111D">
      <w:pPr>
        <w:pStyle w:val="Heading3"/>
        <w:numPr>
          <w:ilvl w:val="0"/>
          <w:numId w:val="0"/>
        </w:numPr>
        <w:spacing w:before="0" w:after="0" w:line="240" w:lineRule="auto"/>
      </w:pPr>
      <w:bookmarkStart w:id="498" w:name="_Toc108342185"/>
      <w:bookmarkStart w:id="499" w:name="_Toc120543360"/>
      <w:bookmarkStart w:id="500" w:name="_Toc134197782"/>
      <w:r>
        <w:t>w</w:t>
      </w:r>
      <w:r w:rsidRPr="008113A3">
        <w:t>alls</w:t>
      </w:r>
      <w:bookmarkEnd w:id="498"/>
      <w:bookmarkEnd w:id="499"/>
      <w:bookmarkEnd w:id="500"/>
    </w:p>
    <w:p w14:paraId="519EDEB7" w14:textId="62FCE691" w:rsidR="002D111D" w:rsidRPr="00A44F67" w:rsidRDefault="002D111D" w:rsidP="00A44F67">
      <w:pPr>
        <w:pStyle w:val="Definition"/>
      </w:pPr>
      <w:bookmarkStart w:id="501" w:name="_Toc108342186"/>
      <w:r w:rsidRPr="00A44F67">
        <w:t xml:space="preserve">vertical members with an elongated cross section; in reinforced concrete walls, this means a length to thickness ratio of the </w:t>
      </w:r>
      <w:r w:rsidR="00A44F67">
        <w:t xml:space="preserve">cross </w:t>
      </w:r>
      <w:r w:rsidRPr="00A44F67">
        <w:t>section greater than 4</w:t>
      </w:r>
      <w:bookmarkEnd w:id="501"/>
    </w:p>
    <w:p w14:paraId="71A537AA" w14:textId="4946E2F3" w:rsidR="001470F6" w:rsidRPr="00870D59" w:rsidRDefault="009F7F7A" w:rsidP="000D7B28">
      <w:pPr>
        <w:pStyle w:val="Heading2"/>
      </w:pPr>
      <w:bookmarkStart w:id="502" w:name="_Toc517135962"/>
      <w:bookmarkStart w:id="503" w:name="_Toc524298884"/>
      <w:bookmarkStart w:id="504" w:name="_Toc532803469"/>
      <w:bookmarkStart w:id="505" w:name="_Toc533799562"/>
      <w:bookmarkStart w:id="506" w:name="_Toc533841062"/>
      <w:bookmarkStart w:id="507" w:name="_Toc533973902"/>
      <w:bookmarkStart w:id="508" w:name="_Toc533799563"/>
      <w:bookmarkStart w:id="509" w:name="_Toc533841063"/>
      <w:bookmarkStart w:id="510" w:name="_Toc533973903"/>
      <w:bookmarkStart w:id="511" w:name="_Toc533799564"/>
      <w:bookmarkStart w:id="512" w:name="_Toc533841064"/>
      <w:bookmarkStart w:id="513" w:name="_Toc533973904"/>
      <w:bookmarkStart w:id="514" w:name="_Toc517135963"/>
      <w:bookmarkStart w:id="515" w:name="_Toc524298885"/>
      <w:bookmarkStart w:id="516" w:name="_Toc532803470"/>
      <w:bookmarkStart w:id="517" w:name="_Toc533799565"/>
      <w:bookmarkStart w:id="518" w:name="_Toc533841065"/>
      <w:bookmarkStart w:id="519" w:name="_Toc533973905"/>
      <w:bookmarkStart w:id="520" w:name="_Toc533799566"/>
      <w:bookmarkStart w:id="521" w:name="_Toc533841066"/>
      <w:bookmarkStart w:id="522" w:name="_Toc533973906"/>
      <w:bookmarkStart w:id="523" w:name="_Toc533799567"/>
      <w:bookmarkStart w:id="524" w:name="_Toc533841067"/>
      <w:bookmarkStart w:id="525" w:name="_Toc533973907"/>
      <w:bookmarkStart w:id="526" w:name="_Toc533799568"/>
      <w:bookmarkStart w:id="527" w:name="_Toc533841068"/>
      <w:bookmarkStart w:id="528" w:name="_Toc533973908"/>
      <w:bookmarkStart w:id="529" w:name="_Toc533799569"/>
      <w:bookmarkStart w:id="530" w:name="_Toc533841069"/>
      <w:bookmarkStart w:id="531" w:name="_Toc533973909"/>
      <w:bookmarkStart w:id="532" w:name="_Toc533799570"/>
      <w:bookmarkStart w:id="533" w:name="_Toc533841070"/>
      <w:bookmarkStart w:id="534" w:name="_Toc533973910"/>
      <w:bookmarkStart w:id="535" w:name="_Toc533799571"/>
      <w:bookmarkStart w:id="536" w:name="_Toc533841071"/>
      <w:bookmarkStart w:id="537" w:name="_Toc533973911"/>
      <w:bookmarkStart w:id="538" w:name="_Toc533799572"/>
      <w:bookmarkStart w:id="539" w:name="_Toc533841072"/>
      <w:bookmarkStart w:id="540" w:name="_Toc533973912"/>
      <w:bookmarkStart w:id="541" w:name="_Toc533799573"/>
      <w:bookmarkStart w:id="542" w:name="_Toc533841073"/>
      <w:bookmarkStart w:id="543" w:name="_Toc533973913"/>
      <w:bookmarkStart w:id="544" w:name="_Toc533799574"/>
      <w:bookmarkStart w:id="545" w:name="_Toc533841074"/>
      <w:bookmarkStart w:id="546" w:name="_Toc533973914"/>
      <w:bookmarkStart w:id="547" w:name="_Toc533799575"/>
      <w:bookmarkStart w:id="548" w:name="_Toc533841075"/>
      <w:bookmarkStart w:id="549" w:name="_Toc533973915"/>
      <w:bookmarkStart w:id="550" w:name="_Toc517135964"/>
      <w:bookmarkStart w:id="551" w:name="_Toc524298886"/>
      <w:bookmarkStart w:id="552" w:name="_Toc532803471"/>
      <w:bookmarkStart w:id="553" w:name="_Toc533799576"/>
      <w:bookmarkStart w:id="554" w:name="_Toc533841076"/>
      <w:bookmarkStart w:id="555" w:name="_Toc533973916"/>
      <w:bookmarkStart w:id="556" w:name="_Toc534109916"/>
      <w:bookmarkStart w:id="557" w:name="_Toc16283255"/>
      <w:bookmarkStart w:id="558" w:name="_Toc16843482"/>
      <w:bookmarkStart w:id="559" w:name="_Toc16927607"/>
      <w:bookmarkStart w:id="560" w:name="_Toc19627445"/>
      <w:bookmarkStart w:id="561" w:name="_Toc95037415"/>
      <w:bookmarkStart w:id="562" w:name="_Toc96894720"/>
      <w:bookmarkStart w:id="563" w:name="_Toc134197783"/>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r w:rsidRPr="00870D59">
        <w:t>Symbols and abbreviations</w:t>
      </w:r>
      <w:bookmarkEnd w:id="563"/>
    </w:p>
    <w:p w14:paraId="706F4A9B" w14:textId="293D1F2D" w:rsidR="00600298" w:rsidRDefault="00600298" w:rsidP="00600298">
      <w:pPr>
        <w:pStyle w:val="BodyText"/>
      </w:pPr>
      <w:bookmarkStart w:id="564" w:name="_Hlk119230670"/>
      <w:r>
        <w:t>For the purposes of this document, the symbols and abbreviations given in EN 1990:202</w:t>
      </w:r>
      <w:r w:rsidR="006455AE">
        <w:t>3</w:t>
      </w:r>
      <w:r>
        <w:t>, 3.2 and in prEN 1998-1-1:2022, 3.2 apply.</w:t>
      </w:r>
    </w:p>
    <w:p w14:paraId="788E219A" w14:textId="664A1F76" w:rsidR="00600298" w:rsidRDefault="00600298" w:rsidP="00600298">
      <w:pPr>
        <w:pStyle w:val="BodyText"/>
      </w:pPr>
      <w:r>
        <w:t>For the symbols related to materials, as well as for symbols not specifically related to the seismic design situation, the provisions of the relevant Eurocodes apply.</w:t>
      </w:r>
    </w:p>
    <w:p w14:paraId="14739FEF" w14:textId="090ADC48" w:rsidR="00600298" w:rsidRPr="00600298" w:rsidRDefault="00600298" w:rsidP="00600298">
      <w:pPr>
        <w:pStyle w:val="BodyText"/>
      </w:pPr>
      <w:r>
        <w:t xml:space="preserve">In addition, further symbols and abbreviations, used in connection with the seismic design situation, are defined in the present standard where they occur, for ease of use. However, the most frequently occurring symbols used in </w:t>
      </w:r>
      <w:r w:rsidR="00216C8D">
        <w:t>pr</w:t>
      </w:r>
      <w:r>
        <w:t>EN 1998-1-2 are listed and defined in 3.2.</w:t>
      </w:r>
      <w:r w:rsidR="00216C8D">
        <w:t>1</w:t>
      </w:r>
      <w:r>
        <w:t xml:space="preserve"> and additional abbreviations are given in 3.2.</w:t>
      </w:r>
      <w:r w:rsidR="00216C8D">
        <w:t>2</w:t>
      </w:r>
      <w:r>
        <w:t>.</w:t>
      </w:r>
    </w:p>
    <w:p w14:paraId="6C93DA1B" w14:textId="0436F5E6" w:rsidR="000D7B28" w:rsidRPr="00870D59" w:rsidRDefault="00880237" w:rsidP="00880237">
      <w:pPr>
        <w:pStyle w:val="Heading3"/>
      </w:pPr>
      <w:bookmarkStart w:id="565" w:name="_Toc134197784"/>
      <w:bookmarkEnd w:id="564"/>
      <w:r w:rsidRPr="00870D59">
        <w:lastRenderedPageBreak/>
        <w:t>Symbols</w:t>
      </w:r>
      <w:bookmarkEnd w:id="565"/>
    </w:p>
    <w:p w14:paraId="15B72CC3" w14:textId="7846360F" w:rsidR="001470F6" w:rsidRPr="00870D59" w:rsidRDefault="00A66BA8" w:rsidP="00E72448">
      <w:pPr>
        <w:pStyle w:val="Heading4"/>
      </w:pPr>
      <w:r w:rsidRPr="00870D59">
        <w:t>Upper case Latin symbols</w:t>
      </w:r>
    </w:p>
    <w:tbl>
      <w:tblPr>
        <w:tblW w:w="0" w:type="auto"/>
        <w:tblInd w:w="-100" w:type="dxa"/>
        <w:tblCellMar>
          <w:left w:w="100" w:type="dxa"/>
        </w:tblCellMar>
        <w:tblLook w:val="0000" w:firstRow="0" w:lastRow="0" w:firstColumn="0" w:lastColumn="0" w:noHBand="0" w:noVBand="0"/>
      </w:tblPr>
      <w:tblGrid>
        <w:gridCol w:w="1105"/>
        <w:gridCol w:w="8746"/>
      </w:tblGrid>
      <w:tr w:rsidR="006633B5" w:rsidRPr="006633B5" w14:paraId="4C0CDAA6" w14:textId="77777777" w:rsidTr="006633B5">
        <w:tc>
          <w:tcPr>
            <w:tcW w:w="0" w:type="auto"/>
            <w:shd w:val="clear" w:color="auto" w:fill="auto"/>
          </w:tcPr>
          <w:p w14:paraId="07EA9F82" w14:textId="77777777" w:rsidR="006633B5" w:rsidRPr="006633B5" w:rsidRDefault="006633B5" w:rsidP="00E10A24">
            <w:pPr>
              <w:pStyle w:val="Tablebody"/>
              <w:spacing w:after="80"/>
            </w:pPr>
            <w:r w:rsidRPr="006633B5">
              <w:rPr>
                <w:i/>
              </w:rPr>
              <w:t>A</w:t>
            </w:r>
            <w:r w:rsidRPr="006633B5">
              <w:rPr>
                <w:vertAlign w:val="subscript"/>
              </w:rPr>
              <w:t>br</w:t>
            </w:r>
          </w:p>
        </w:tc>
        <w:tc>
          <w:tcPr>
            <w:tcW w:w="0" w:type="auto"/>
            <w:shd w:val="clear" w:color="auto" w:fill="auto"/>
          </w:tcPr>
          <w:p w14:paraId="4EF5F034" w14:textId="77777777" w:rsidR="006633B5" w:rsidRPr="006633B5" w:rsidRDefault="006633B5" w:rsidP="00E10A24">
            <w:pPr>
              <w:pStyle w:val="Tablebody"/>
              <w:spacing w:after="80"/>
            </w:pPr>
            <w:r w:rsidRPr="006633B5">
              <w:t>area of a brace section</w:t>
            </w:r>
          </w:p>
        </w:tc>
      </w:tr>
      <w:tr w:rsidR="006633B5" w:rsidRPr="006633B5" w14:paraId="774D3B45" w14:textId="77777777" w:rsidTr="006633B5">
        <w:tc>
          <w:tcPr>
            <w:tcW w:w="0" w:type="auto"/>
            <w:shd w:val="clear" w:color="auto" w:fill="auto"/>
          </w:tcPr>
          <w:p w14:paraId="242CF164" w14:textId="77777777" w:rsidR="006633B5" w:rsidRPr="006633B5" w:rsidRDefault="006633B5" w:rsidP="00E10A24">
            <w:pPr>
              <w:pStyle w:val="Tablebody"/>
              <w:spacing w:after="80"/>
            </w:pPr>
            <w:r w:rsidRPr="006633B5">
              <w:rPr>
                <w:i/>
              </w:rPr>
              <w:t>A</w:t>
            </w:r>
            <w:r w:rsidRPr="006633B5">
              <w:rPr>
                <w:vertAlign w:val="subscript"/>
              </w:rPr>
              <w:t>c</w:t>
            </w:r>
          </w:p>
        </w:tc>
        <w:tc>
          <w:tcPr>
            <w:tcW w:w="0" w:type="auto"/>
            <w:shd w:val="clear" w:color="auto" w:fill="auto"/>
          </w:tcPr>
          <w:p w14:paraId="6B35500F" w14:textId="77777777" w:rsidR="006633B5" w:rsidRPr="006633B5" w:rsidRDefault="006633B5" w:rsidP="00E10A24">
            <w:pPr>
              <w:pStyle w:val="Tablebody"/>
              <w:spacing w:after="80"/>
            </w:pPr>
            <w:r w:rsidRPr="006633B5">
              <w:t>column cross-section area</w:t>
            </w:r>
          </w:p>
        </w:tc>
      </w:tr>
      <w:tr w:rsidR="006633B5" w:rsidRPr="006633B5" w14:paraId="78C35478" w14:textId="77777777" w:rsidTr="006633B5">
        <w:tc>
          <w:tcPr>
            <w:tcW w:w="0" w:type="auto"/>
            <w:shd w:val="clear" w:color="auto" w:fill="auto"/>
          </w:tcPr>
          <w:p w14:paraId="68E7AE97" w14:textId="77777777" w:rsidR="006633B5" w:rsidRPr="006633B5" w:rsidRDefault="006633B5" w:rsidP="00E10A24">
            <w:pPr>
              <w:pStyle w:val="Tablebody"/>
              <w:spacing w:after="80"/>
              <w:rPr>
                <w:vertAlign w:val="subscript"/>
              </w:rPr>
            </w:pPr>
            <w:r w:rsidRPr="006633B5">
              <w:rPr>
                <w:i/>
              </w:rPr>
              <w:t>A</w:t>
            </w:r>
            <w:r w:rsidRPr="006633B5">
              <w:rPr>
                <w:vertAlign w:val="subscript"/>
              </w:rPr>
              <w:t>j,ef</w:t>
            </w:r>
          </w:p>
        </w:tc>
        <w:tc>
          <w:tcPr>
            <w:tcW w:w="0" w:type="auto"/>
            <w:shd w:val="clear" w:color="auto" w:fill="auto"/>
          </w:tcPr>
          <w:p w14:paraId="1B21BFAF" w14:textId="77777777" w:rsidR="006633B5" w:rsidRPr="006633B5" w:rsidRDefault="006633B5" w:rsidP="00E10A24">
            <w:pPr>
              <w:pStyle w:val="Tablebody"/>
              <w:spacing w:after="80"/>
            </w:pPr>
            <w:r w:rsidRPr="006633B5">
              <w:t>effective cross-sectional area of the beam-column joint</w:t>
            </w:r>
          </w:p>
        </w:tc>
      </w:tr>
      <w:tr w:rsidR="006633B5" w:rsidRPr="006633B5" w14:paraId="21D84FC4" w14:textId="77777777" w:rsidTr="006633B5">
        <w:tc>
          <w:tcPr>
            <w:tcW w:w="0" w:type="auto"/>
            <w:shd w:val="clear" w:color="auto" w:fill="auto"/>
          </w:tcPr>
          <w:p w14:paraId="788C6CC3" w14:textId="77777777" w:rsidR="006633B5" w:rsidRPr="006633B5" w:rsidRDefault="006633B5" w:rsidP="00E10A24">
            <w:pPr>
              <w:pStyle w:val="Tablebody"/>
              <w:spacing w:after="80"/>
            </w:pPr>
            <w:r w:rsidRPr="006633B5">
              <w:rPr>
                <w:i/>
              </w:rPr>
              <w:t>A</w:t>
            </w:r>
            <w:r w:rsidRPr="006633B5">
              <w:rPr>
                <w:vertAlign w:val="subscript"/>
              </w:rPr>
              <w:t>mp,i</w:t>
            </w:r>
          </w:p>
        </w:tc>
        <w:tc>
          <w:tcPr>
            <w:tcW w:w="0" w:type="auto"/>
            <w:shd w:val="clear" w:color="auto" w:fill="auto"/>
          </w:tcPr>
          <w:p w14:paraId="3E3567B5" w14:textId="77777777" w:rsidR="006633B5" w:rsidRPr="006633B5" w:rsidRDefault="006633B5" w:rsidP="00E10A24">
            <w:pPr>
              <w:pStyle w:val="Tablebody"/>
              <w:spacing w:after="80"/>
            </w:pPr>
            <w:r w:rsidRPr="006633B5">
              <w:t xml:space="preserve">area of the section of primary pier </w:t>
            </w:r>
            <w:r w:rsidRPr="006633B5">
              <w:rPr>
                <w:i/>
                <w:iCs/>
              </w:rPr>
              <w:t>i</w:t>
            </w:r>
            <w:bookmarkStart w:id="566" w:name="_Hlk38293117"/>
          </w:p>
        </w:tc>
      </w:tr>
      <w:tr w:rsidR="006633B5" w:rsidRPr="006633B5" w14:paraId="0266DA35" w14:textId="77777777" w:rsidTr="006633B5">
        <w:tc>
          <w:tcPr>
            <w:tcW w:w="0" w:type="auto"/>
            <w:shd w:val="clear" w:color="auto" w:fill="auto"/>
          </w:tcPr>
          <w:p w14:paraId="0278D0D9" w14:textId="77777777" w:rsidR="006633B5" w:rsidRPr="006633B5" w:rsidRDefault="006633B5" w:rsidP="00E10A24">
            <w:pPr>
              <w:pStyle w:val="Tablebody"/>
              <w:spacing w:after="80"/>
            </w:pPr>
            <w:r w:rsidRPr="006633B5">
              <w:rPr>
                <w:i/>
                <w:iCs/>
              </w:rPr>
              <w:t>A</w:t>
            </w:r>
            <w:r w:rsidRPr="006633B5">
              <w:rPr>
                <w:vertAlign w:val="subscript"/>
              </w:rPr>
              <w:t>mp,tot</w:t>
            </w:r>
            <w:bookmarkEnd w:id="566"/>
          </w:p>
        </w:tc>
        <w:tc>
          <w:tcPr>
            <w:tcW w:w="0" w:type="auto"/>
            <w:shd w:val="clear" w:color="auto" w:fill="auto"/>
          </w:tcPr>
          <w:p w14:paraId="6FF0C29C" w14:textId="77777777" w:rsidR="006633B5" w:rsidRPr="006633B5" w:rsidRDefault="006633B5" w:rsidP="00E10A24">
            <w:pPr>
              <w:pStyle w:val="Tablebody"/>
              <w:spacing w:after="80"/>
              <w:rPr>
                <w:iCs/>
              </w:rPr>
            </w:pPr>
            <w:r w:rsidRPr="006633B5">
              <w:t>total pier section area</w:t>
            </w:r>
          </w:p>
        </w:tc>
      </w:tr>
      <w:tr w:rsidR="006633B5" w:rsidRPr="006633B5" w14:paraId="32D72D7B" w14:textId="77777777" w:rsidTr="006633B5">
        <w:tc>
          <w:tcPr>
            <w:tcW w:w="0" w:type="auto"/>
            <w:shd w:val="clear" w:color="auto" w:fill="auto"/>
          </w:tcPr>
          <w:p w14:paraId="3ECDCD4A" w14:textId="77777777" w:rsidR="006633B5" w:rsidRPr="006633B5" w:rsidRDefault="006633B5" w:rsidP="00E10A24">
            <w:pPr>
              <w:pStyle w:val="Tablebody"/>
              <w:spacing w:after="80"/>
            </w:pPr>
            <w:r w:rsidRPr="006633B5">
              <w:rPr>
                <w:i/>
                <w:iCs/>
              </w:rPr>
              <w:t>A</w:t>
            </w:r>
            <w:r w:rsidRPr="006633B5">
              <w:rPr>
                <w:vertAlign w:val="subscript"/>
              </w:rPr>
              <w:t>p</w:t>
            </w:r>
          </w:p>
        </w:tc>
        <w:tc>
          <w:tcPr>
            <w:tcW w:w="0" w:type="auto"/>
            <w:shd w:val="clear" w:color="auto" w:fill="auto"/>
          </w:tcPr>
          <w:p w14:paraId="784965E6" w14:textId="77777777" w:rsidR="006633B5" w:rsidRPr="006633B5" w:rsidRDefault="006633B5" w:rsidP="00E10A24">
            <w:pPr>
              <w:pStyle w:val="Tablebody"/>
              <w:spacing w:after="80"/>
            </w:pPr>
            <w:r w:rsidRPr="006633B5">
              <w:t>pier section area</w:t>
            </w:r>
          </w:p>
        </w:tc>
      </w:tr>
      <w:tr w:rsidR="006633B5" w:rsidRPr="006633B5" w14:paraId="487327F2" w14:textId="77777777" w:rsidTr="006633B5">
        <w:tc>
          <w:tcPr>
            <w:tcW w:w="0" w:type="auto"/>
            <w:shd w:val="clear" w:color="auto" w:fill="auto"/>
          </w:tcPr>
          <w:p w14:paraId="03F88428" w14:textId="77777777" w:rsidR="006633B5" w:rsidRPr="006633B5" w:rsidRDefault="006633B5" w:rsidP="00E10A24">
            <w:pPr>
              <w:pStyle w:val="Tablebody"/>
              <w:spacing w:after="80"/>
            </w:pPr>
            <w:r w:rsidRPr="006633B5">
              <w:rPr>
                <w:i/>
              </w:rPr>
              <w:t>A</w:t>
            </w:r>
            <w:r w:rsidRPr="006633B5">
              <w:rPr>
                <w:vertAlign w:val="subscript"/>
              </w:rPr>
              <w:t>s,int</w:t>
            </w:r>
          </w:p>
        </w:tc>
        <w:tc>
          <w:tcPr>
            <w:tcW w:w="0" w:type="auto"/>
            <w:shd w:val="clear" w:color="auto" w:fill="auto"/>
          </w:tcPr>
          <w:p w14:paraId="6FF2960B" w14:textId="77777777" w:rsidR="006633B5" w:rsidRPr="006633B5" w:rsidRDefault="006633B5" w:rsidP="00E10A24">
            <w:pPr>
              <w:pStyle w:val="Tablebody"/>
              <w:spacing w:after="80"/>
            </w:pPr>
            <w:r w:rsidRPr="006633B5">
              <w:t>integrity reinforcement area in the flat slab</w:t>
            </w:r>
          </w:p>
        </w:tc>
      </w:tr>
      <w:tr w:rsidR="006633B5" w:rsidRPr="006633B5" w14:paraId="01EBDCA1" w14:textId="77777777" w:rsidTr="006633B5">
        <w:tc>
          <w:tcPr>
            <w:tcW w:w="0" w:type="auto"/>
            <w:shd w:val="clear" w:color="auto" w:fill="auto"/>
          </w:tcPr>
          <w:p w14:paraId="04D043D0" w14:textId="77777777" w:rsidR="006633B5" w:rsidRPr="006633B5" w:rsidRDefault="006633B5" w:rsidP="00E10A24">
            <w:pPr>
              <w:pStyle w:val="Tablebody"/>
              <w:spacing w:after="80"/>
            </w:pPr>
            <w:r w:rsidRPr="006633B5">
              <w:rPr>
                <w:i/>
              </w:rPr>
              <w:t>A</w:t>
            </w:r>
            <w:r w:rsidRPr="006633B5">
              <w:rPr>
                <w:vertAlign w:val="subscript"/>
              </w:rPr>
              <w:t>s1</w:t>
            </w:r>
          </w:p>
        </w:tc>
        <w:tc>
          <w:tcPr>
            <w:tcW w:w="0" w:type="auto"/>
            <w:shd w:val="clear" w:color="auto" w:fill="auto"/>
          </w:tcPr>
          <w:p w14:paraId="44C62E52" w14:textId="77777777" w:rsidR="006633B5" w:rsidRPr="006633B5" w:rsidRDefault="006633B5" w:rsidP="00E10A24">
            <w:pPr>
              <w:pStyle w:val="Tablebody"/>
              <w:spacing w:after="80"/>
            </w:pPr>
            <w:r w:rsidRPr="006633B5">
              <w:t>area of the beam’s top longitudinal reinforcement used to calculate the design shear in the joint</w:t>
            </w:r>
          </w:p>
        </w:tc>
      </w:tr>
      <w:tr w:rsidR="006633B5" w:rsidRPr="006633B5" w14:paraId="116DE2DD" w14:textId="77777777" w:rsidTr="006633B5">
        <w:tc>
          <w:tcPr>
            <w:tcW w:w="0" w:type="auto"/>
            <w:shd w:val="clear" w:color="auto" w:fill="auto"/>
          </w:tcPr>
          <w:p w14:paraId="507BC1FD" w14:textId="77777777" w:rsidR="006633B5" w:rsidRPr="006633B5" w:rsidRDefault="006633B5" w:rsidP="00E10A24">
            <w:pPr>
              <w:pStyle w:val="Tablebody"/>
              <w:spacing w:after="80"/>
            </w:pPr>
            <w:r w:rsidRPr="006633B5">
              <w:rPr>
                <w:i/>
              </w:rPr>
              <w:t>A</w:t>
            </w:r>
            <w:r w:rsidRPr="006633B5">
              <w:rPr>
                <w:vertAlign w:val="subscript"/>
              </w:rPr>
              <w:t>s2</w:t>
            </w:r>
          </w:p>
        </w:tc>
        <w:tc>
          <w:tcPr>
            <w:tcW w:w="0" w:type="auto"/>
            <w:shd w:val="clear" w:color="auto" w:fill="auto"/>
          </w:tcPr>
          <w:p w14:paraId="36CDD4EA" w14:textId="77777777" w:rsidR="006633B5" w:rsidRPr="006633B5" w:rsidRDefault="006633B5" w:rsidP="00E10A24">
            <w:pPr>
              <w:pStyle w:val="Tablebody"/>
              <w:spacing w:after="80"/>
            </w:pPr>
            <w:r w:rsidRPr="006633B5">
              <w:t>area of the beam’s bottom longitudinal reinforcement used to calculate the design shear in the joint</w:t>
            </w:r>
          </w:p>
        </w:tc>
      </w:tr>
      <w:tr w:rsidR="006633B5" w:rsidRPr="006633B5" w14:paraId="09154D66" w14:textId="77777777" w:rsidTr="006633B5">
        <w:tc>
          <w:tcPr>
            <w:tcW w:w="0" w:type="auto"/>
            <w:shd w:val="clear" w:color="auto" w:fill="auto"/>
          </w:tcPr>
          <w:p w14:paraId="3FA4E132" w14:textId="77777777" w:rsidR="006633B5" w:rsidRPr="006633B5" w:rsidRDefault="006633B5" w:rsidP="00E10A24">
            <w:pPr>
              <w:pStyle w:val="Tablebody"/>
              <w:spacing w:after="80"/>
            </w:pPr>
            <w:r w:rsidRPr="006633B5">
              <w:rPr>
                <w:i/>
              </w:rPr>
              <w:t>A</w:t>
            </w:r>
            <w:r w:rsidRPr="006633B5">
              <w:rPr>
                <w:vertAlign w:val="subscript"/>
              </w:rPr>
              <w:t>sL</w:t>
            </w:r>
          </w:p>
        </w:tc>
        <w:tc>
          <w:tcPr>
            <w:tcW w:w="0" w:type="auto"/>
            <w:shd w:val="clear" w:color="auto" w:fill="auto"/>
          </w:tcPr>
          <w:p w14:paraId="33601BBF" w14:textId="77777777" w:rsidR="006633B5" w:rsidRPr="006633B5" w:rsidRDefault="006633B5" w:rsidP="00E10A24">
            <w:pPr>
              <w:pStyle w:val="Tablebody"/>
              <w:spacing w:after="80"/>
            </w:pPr>
            <w:r w:rsidRPr="006633B5">
              <w:t>area of the longitudinal bars</w:t>
            </w:r>
          </w:p>
        </w:tc>
      </w:tr>
      <w:tr w:rsidR="006633B5" w:rsidRPr="006633B5" w14:paraId="476492B9" w14:textId="77777777" w:rsidTr="006633B5">
        <w:tc>
          <w:tcPr>
            <w:tcW w:w="0" w:type="auto"/>
            <w:shd w:val="clear" w:color="auto" w:fill="auto"/>
          </w:tcPr>
          <w:p w14:paraId="114701D2" w14:textId="77777777" w:rsidR="006633B5" w:rsidRPr="006633B5" w:rsidRDefault="006633B5" w:rsidP="00E10A24">
            <w:pPr>
              <w:pStyle w:val="Tablebody"/>
              <w:spacing w:after="80"/>
            </w:pPr>
            <w:r w:rsidRPr="006633B5">
              <w:rPr>
                <w:i/>
              </w:rPr>
              <w:t>A</w:t>
            </w:r>
            <w:r w:rsidRPr="006633B5">
              <w:rPr>
                <w:vertAlign w:val="subscript"/>
              </w:rPr>
              <w:t>st</w:t>
            </w:r>
          </w:p>
        </w:tc>
        <w:tc>
          <w:tcPr>
            <w:tcW w:w="0" w:type="auto"/>
            <w:shd w:val="clear" w:color="auto" w:fill="auto"/>
          </w:tcPr>
          <w:p w14:paraId="6C1D9EDE" w14:textId="77777777" w:rsidR="006633B5" w:rsidRPr="006633B5" w:rsidRDefault="006633B5" w:rsidP="00E10A24">
            <w:pPr>
              <w:pStyle w:val="Tablebody"/>
              <w:spacing w:after="80"/>
            </w:pPr>
            <w:r w:rsidRPr="006633B5">
              <w:t>area of one leg of the transverse reinforcement within the lap zone</w:t>
            </w:r>
          </w:p>
        </w:tc>
      </w:tr>
      <w:tr w:rsidR="006633B5" w:rsidRPr="006633B5" w14:paraId="32966A75" w14:textId="77777777" w:rsidTr="006633B5">
        <w:tc>
          <w:tcPr>
            <w:tcW w:w="0" w:type="auto"/>
            <w:shd w:val="clear" w:color="auto" w:fill="auto"/>
          </w:tcPr>
          <w:p w14:paraId="785DA895" w14:textId="77777777" w:rsidR="006633B5" w:rsidRPr="006633B5" w:rsidRDefault="006633B5" w:rsidP="00E10A24">
            <w:pPr>
              <w:pStyle w:val="Tablebody"/>
              <w:spacing w:after="80"/>
            </w:pPr>
            <w:r w:rsidRPr="006633B5">
              <w:rPr>
                <w:i/>
              </w:rPr>
              <w:t>A</w:t>
            </w:r>
            <w:r w:rsidRPr="006633B5">
              <w:rPr>
                <w:vertAlign w:val="subscript"/>
              </w:rPr>
              <w:t>stif</w:t>
            </w:r>
          </w:p>
        </w:tc>
        <w:tc>
          <w:tcPr>
            <w:tcW w:w="0" w:type="auto"/>
            <w:shd w:val="clear" w:color="auto" w:fill="auto"/>
          </w:tcPr>
          <w:p w14:paraId="3C19531E" w14:textId="77777777" w:rsidR="006633B5" w:rsidRPr="006633B5" w:rsidRDefault="006633B5" w:rsidP="00E10A24">
            <w:pPr>
              <w:pStyle w:val="Tablebody"/>
              <w:spacing w:after="80"/>
            </w:pPr>
            <w:r w:rsidRPr="006633B5">
              <w:t>area of a stiffener</w:t>
            </w:r>
          </w:p>
        </w:tc>
      </w:tr>
      <w:tr w:rsidR="006633B5" w:rsidRPr="006633B5" w14:paraId="630768B4" w14:textId="77777777" w:rsidTr="006633B5">
        <w:tc>
          <w:tcPr>
            <w:tcW w:w="0" w:type="auto"/>
            <w:shd w:val="clear" w:color="auto" w:fill="auto"/>
          </w:tcPr>
          <w:p w14:paraId="4F7EEC0F" w14:textId="77777777" w:rsidR="006633B5" w:rsidRPr="006633B5" w:rsidRDefault="006633B5" w:rsidP="00E10A24">
            <w:pPr>
              <w:pStyle w:val="Tablebody"/>
              <w:spacing w:after="80"/>
            </w:pPr>
            <w:r w:rsidRPr="006633B5">
              <w:rPr>
                <w:i/>
                <w:iCs/>
              </w:rPr>
              <w:t>A</w:t>
            </w:r>
            <w:r w:rsidRPr="006633B5">
              <w:rPr>
                <w:iCs/>
                <w:vertAlign w:val="subscript"/>
              </w:rPr>
              <w:t>sw</w:t>
            </w:r>
          </w:p>
        </w:tc>
        <w:tc>
          <w:tcPr>
            <w:tcW w:w="0" w:type="auto"/>
            <w:shd w:val="clear" w:color="auto" w:fill="auto"/>
          </w:tcPr>
          <w:p w14:paraId="5332E852" w14:textId="77777777" w:rsidR="006633B5" w:rsidRPr="006633B5" w:rsidRDefault="006633B5" w:rsidP="00E10A24">
            <w:pPr>
              <w:pStyle w:val="Tablebody"/>
              <w:spacing w:after="80"/>
            </w:pPr>
            <w:r w:rsidRPr="006633B5">
              <w:t>area of shear reinforcement</w:t>
            </w:r>
          </w:p>
        </w:tc>
      </w:tr>
      <w:tr w:rsidR="006633B5" w:rsidRPr="006633B5" w14:paraId="527AE5D6" w14:textId="77777777" w:rsidTr="006633B5">
        <w:tc>
          <w:tcPr>
            <w:tcW w:w="0" w:type="auto"/>
            <w:shd w:val="clear" w:color="auto" w:fill="auto"/>
          </w:tcPr>
          <w:p w14:paraId="2E48B635" w14:textId="77777777" w:rsidR="006633B5" w:rsidRPr="006633B5" w:rsidRDefault="006633B5" w:rsidP="00E10A24">
            <w:pPr>
              <w:pStyle w:val="Tablebody"/>
              <w:spacing w:after="80"/>
            </w:pPr>
            <w:r w:rsidRPr="006633B5">
              <w:rPr>
                <w:i/>
              </w:rPr>
              <w:t>A</w:t>
            </w:r>
            <w:r w:rsidRPr="006633B5">
              <w:rPr>
                <w:vertAlign w:val="superscript"/>
              </w:rPr>
              <w:t>+</w:t>
            </w:r>
            <w:r w:rsidRPr="006633B5">
              <w:t xml:space="preserve"> (</w:t>
            </w:r>
            <w:r w:rsidRPr="006633B5">
              <w:rPr>
                <w:i/>
              </w:rPr>
              <w:t>A</w:t>
            </w:r>
            <w:r w:rsidRPr="006633B5">
              <w:rPr>
                <w:vertAlign w:val="superscript"/>
              </w:rPr>
              <w:t>-</w:t>
            </w:r>
            <w:r w:rsidRPr="006633B5">
              <w:t>)</w:t>
            </w:r>
          </w:p>
        </w:tc>
        <w:tc>
          <w:tcPr>
            <w:tcW w:w="0" w:type="auto"/>
            <w:shd w:val="clear" w:color="auto" w:fill="auto"/>
          </w:tcPr>
          <w:p w14:paraId="3682C98D" w14:textId="77777777" w:rsidR="006633B5" w:rsidRPr="006633B5" w:rsidRDefault="006633B5" w:rsidP="00E10A24">
            <w:pPr>
              <w:pStyle w:val="Tablebody"/>
              <w:spacing w:after="80"/>
            </w:pPr>
            <w:r w:rsidRPr="006633B5">
              <w:t>areas of the vertical projections of the cross sections of a tension diagonal</w:t>
            </w:r>
          </w:p>
        </w:tc>
      </w:tr>
      <w:tr w:rsidR="006633B5" w:rsidRPr="006633B5" w14:paraId="557B14F2" w14:textId="77777777" w:rsidTr="006633B5">
        <w:tc>
          <w:tcPr>
            <w:tcW w:w="0" w:type="auto"/>
            <w:shd w:val="clear" w:color="auto" w:fill="auto"/>
          </w:tcPr>
          <w:p w14:paraId="4FD024BF" w14:textId="77777777" w:rsidR="006633B5" w:rsidRPr="00E10A24" w:rsidRDefault="009B5CEC" w:rsidP="00E10A24">
            <w:pPr>
              <w:pStyle w:val="Tablebody"/>
              <w:spacing w:after="80"/>
            </w:pPr>
            <m:oMathPara>
              <m:oMathParaPr>
                <m:jc m:val="left"/>
              </m:oMathParaPr>
              <m:oMath>
                <m:sSub>
                  <m:sSubPr>
                    <m:ctrlPr>
                      <w:rPr>
                        <w:rFonts w:ascii="Cambria Math" w:hAnsi="Cambria Math"/>
                        <w:i/>
                      </w:rPr>
                    </m:ctrlPr>
                  </m:sSubPr>
                  <m:e>
                    <m:r>
                      <w:rPr>
                        <w:rFonts w:ascii="Cambria Math" w:hAnsi="Cambria Math"/>
                      </w:rPr>
                      <m:t>B</m:t>
                    </m:r>
                  </m:e>
                  <m:sub>
                    <m:r>
                      <m:rPr>
                        <m:sty m:val="p"/>
                      </m:rPr>
                      <w:rPr>
                        <w:rFonts w:ascii="Cambria Math" w:hAnsi="Cambria Math"/>
                      </w:rPr>
                      <m:t>i</m:t>
                    </m:r>
                  </m:sub>
                </m:sSub>
              </m:oMath>
            </m:oMathPara>
          </w:p>
        </w:tc>
        <w:tc>
          <w:tcPr>
            <w:tcW w:w="0" w:type="auto"/>
            <w:shd w:val="clear" w:color="auto" w:fill="auto"/>
          </w:tcPr>
          <w:p w14:paraId="7F1EA3B3" w14:textId="77777777" w:rsidR="006633B5" w:rsidRPr="006633B5" w:rsidRDefault="006633B5" w:rsidP="00E10A24">
            <w:pPr>
              <w:pStyle w:val="Tablebody"/>
              <w:spacing w:after="80"/>
            </w:pPr>
            <w:r w:rsidRPr="006633B5">
              <w:t xml:space="preserve">one dimension of a rectangular floor together with </w:t>
            </w:r>
            <m:oMath>
              <m:sSub>
                <m:sSubPr>
                  <m:ctrlPr>
                    <w:rPr>
                      <w:rFonts w:ascii="Cambria Math" w:hAnsi="Cambria Math"/>
                      <w:i/>
                    </w:rPr>
                  </m:ctrlPr>
                </m:sSubPr>
                <m:e>
                  <m:r>
                    <w:rPr>
                      <w:rFonts w:ascii="Cambria Math" w:hAnsi="Cambria Math"/>
                    </w:rPr>
                    <m:t>L</m:t>
                  </m:r>
                </m:e>
                <m:sub>
                  <m:r>
                    <m:rPr>
                      <m:sty m:val="p"/>
                    </m:rPr>
                    <w:rPr>
                      <w:rFonts w:ascii="Cambria Math" w:hAnsi="Cambria Math"/>
                    </w:rPr>
                    <m:t>i</m:t>
                  </m:r>
                </m:sub>
              </m:sSub>
            </m:oMath>
          </w:p>
        </w:tc>
      </w:tr>
      <w:tr w:rsidR="006633B5" w:rsidRPr="006633B5" w14:paraId="086127AF" w14:textId="77777777" w:rsidTr="006633B5">
        <w:tc>
          <w:tcPr>
            <w:tcW w:w="0" w:type="auto"/>
            <w:shd w:val="clear" w:color="auto" w:fill="auto"/>
          </w:tcPr>
          <w:p w14:paraId="6DDF58C2" w14:textId="77777777" w:rsidR="006633B5" w:rsidRPr="006633B5" w:rsidRDefault="006633B5" w:rsidP="00E10A24">
            <w:pPr>
              <w:pStyle w:val="Tablebody"/>
              <w:spacing w:after="80"/>
              <w:rPr>
                <w:rFonts w:asciiTheme="majorHAnsi" w:hAnsiTheme="majorHAnsi"/>
                <w:b/>
                <w:szCs w:val="22"/>
                <w:vertAlign w:val="subscript"/>
              </w:rPr>
            </w:pPr>
            <w:r w:rsidRPr="006633B5">
              <w:rPr>
                <w:rFonts w:asciiTheme="majorHAnsi" w:hAnsiTheme="majorHAnsi"/>
                <w:i/>
                <w:szCs w:val="22"/>
              </w:rPr>
              <w:t>B</w:t>
            </w:r>
            <w:r w:rsidRPr="006633B5">
              <w:rPr>
                <w:rFonts w:asciiTheme="majorHAnsi" w:hAnsiTheme="majorHAnsi"/>
                <w:szCs w:val="22"/>
                <w:vertAlign w:val="subscript"/>
              </w:rPr>
              <w:t>CLT</w:t>
            </w:r>
            <w:r w:rsidRPr="006633B5">
              <w:rPr>
                <w:rFonts w:asciiTheme="majorHAnsi" w:hAnsiTheme="majorHAnsi"/>
                <w:b/>
                <w:szCs w:val="22"/>
                <w:vertAlign w:val="subscript"/>
              </w:rPr>
              <w:t>,</w:t>
            </w:r>
            <w:r w:rsidRPr="006633B5">
              <w:rPr>
                <w:rFonts w:asciiTheme="majorHAnsi" w:hAnsiTheme="majorHAnsi"/>
                <w:szCs w:val="22"/>
                <w:vertAlign w:val="subscript"/>
              </w:rPr>
              <w:t>i,</w:t>
            </w:r>
            <w:r w:rsidRPr="006633B5">
              <w:rPr>
                <w:rFonts w:asciiTheme="majorHAnsi" w:hAnsiTheme="majorHAnsi"/>
                <w:b/>
                <w:szCs w:val="22"/>
                <w:vertAlign w:val="subscript"/>
              </w:rPr>
              <w:t>j</w:t>
            </w:r>
          </w:p>
        </w:tc>
        <w:tc>
          <w:tcPr>
            <w:tcW w:w="0" w:type="auto"/>
            <w:shd w:val="clear" w:color="auto" w:fill="auto"/>
          </w:tcPr>
          <w:p w14:paraId="2C5D0A4E" w14:textId="77777777" w:rsidR="006633B5" w:rsidRPr="006633B5" w:rsidRDefault="006633B5" w:rsidP="00E10A24">
            <w:pPr>
              <w:pStyle w:val="Tablebody"/>
              <w:spacing w:after="80"/>
            </w:pPr>
            <w:r w:rsidRPr="006633B5">
              <w:t xml:space="preserve">length of the </w:t>
            </w:r>
            <w:r w:rsidRPr="006633B5">
              <w:rPr>
                <w:i/>
              </w:rPr>
              <w:t>j</w:t>
            </w:r>
            <w:r w:rsidRPr="006633B5">
              <w:rPr>
                <w:i/>
                <w:vertAlign w:val="superscript"/>
              </w:rPr>
              <w:t>th</w:t>
            </w:r>
            <w:r w:rsidRPr="006633B5">
              <w:t xml:space="preserve"> CLT shear wall at the </w:t>
            </w:r>
            <w:r w:rsidRPr="006633B5">
              <w:rPr>
                <w:i/>
              </w:rPr>
              <w:t>i</w:t>
            </w:r>
            <w:r w:rsidRPr="006633B5">
              <w:rPr>
                <w:i/>
                <w:vertAlign w:val="superscript"/>
              </w:rPr>
              <w:t>th</w:t>
            </w:r>
            <w:r w:rsidRPr="006633B5">
              <w:t xml:space="preserve"> storey</w:t>
            </w:r>
          </w:p>
        </w:tc>
      </w:tr>
      <w:tr w:rsidR="006633B5" w:rsidRPr="006633B5" w14:paraId="29CA7451" w14:textId="77777777" w:rsidTr="006633B5">
        <w:tc>
          <w:tcPr>
            <w:tcW w:w="0" w:type="auto"/>
            <w:shd w:val="clear" w:color="auto" w:fill="auto"/>
          </w:tcPr>
          <w:p w14:paraId="123C13C8" w14:textId="77777777" w:rsidR="006633B5" w:rsidRPr="006633B5" w:rsidRDefault="006633B5" w:rsidP="00E10A24">
            <w:pPr>
              <w:pStyle w:val="Tablebody"/>
              <w:spacing w:after="80"/>
            </w:pPr>
            <w:r w:rsidRPr="006633B5">
              <w:rPr>
                <w:i/>
              </w:rPr>
              <w:t>C</w:t>
            </w:r>
            <w:r w:rsidRPr="006633B5">
              <w:rPr>
                <w:iCs/>
                <w:vertAlign w:val="subscript"/>
              </w:rPr>
              <w:t>eff,j</w:t>
            </w:r>
          </w:p>
        </w:tc>
        <w:tc>
          <w:tcPr>
            <w:tcW w:w="0" w:type="auto"/>
            <w:shd w:val="clear" w:color="auto" w:fill="auto"/>
          </w:tcPr>
          <w:p w14:paraId="25CFA3C5" w14:textId="77777777" w:rsidR="006633B5" w:rsidRPr="006633B5" w:rsidRDefault="006633B5" w:rsidP="00E10A24">
            <w:pPr>
              <w:pStyle w:val="Tablebody"/>
              <w:spacing w:after="80"/>
            </w:pPr>
            <w:r w:rsidRPr="006633B5">
              <w:t>effective damping coefficient of a velocity-dependent energy dissipation device</w:t>
            </w:r>
          </w:p>
        </w:tc>
      </w:tr>
      <w:tr w:rsidR="006633B5" w:rsidRPr="006633B5" w14:paraId="67B8DF5F" w14:textId="77777777" w:rsidTr="006633B5">
        <w:tc>
          <w:tcPr>
            <w:tcW w:w="0" w:type="auto"/>
            <w:shd w:val="clear" w:color="auto" w:fill="auto"/>
          </w:tcPr>
          <w:p w14:paraId="56DD004C" w14:textId="77777777" w:rsidR="006633B5" w:rsidRPr="006633B5" w:rsidRDefault="006633B5" w:rsidP="00E10A24">
            <w:pPr>
              <w:pStyle w:val="Tablebody"/>
              <w:spacing w:after="80"/>
              <w:rPr>
                <w:i/>
              </w:rPr>
            </w:pPr>
            <w:r w:rsidRPr="006633B5">
              <w:rPr>
                <w:i/>
              </w:rPr>
              <w:t>CF</w:t>
            </w:r>
            <w:r w:rsidRPr="006633B5">
              <w:rPr>
                <w:iCs/>
                <w:vertAlign w:val="subscript"/>
              </w:rPr>
              <w:t>1</w:t>
            </w:r>
          </w:p>
        </w:tc>
        <w:tc>
          <w:tcPr>
            <w:tcW w:w="0" w:type="auto"/>
            <w:shd w:val="clear" w:color="auto" w:fill="auto"/>
          </w:tcPr>
          <w:p w14:paraId="77613846" w14:textId="77777777" w:rsidR="006633B5" w:rsidRPr="006633B5" w:rsidRDefault="006633B5" w:rsidP="00E10A24">
            <w:pPr>
              <w:pStyle w:val="Tablebody"/>
              <w:spacing w:after="80"/>
            </w:pPr>
            <w:r w:rsidRPr="006633B5">
              <w:t>weighting factor of the response at the stage of maximum displacement</w:t>
            </w:r>
          </w:p>
        </w:tc>
      </w:tr>
      <w:tr w:rsidR="006633B5" w:rsidRPr="006633B5" w14:paraId="0B3D1C05" w14:textId="77777777" w:rsidTr="006633B5">
        <w:tc>
          <w:tcPr>
            <w:tcW w:w="0" w:type="auto"/>
            <w:shd w:val="clear" w:color="auto" w:fill="auto"/>
          </w:tcPr>
          <w:p w14:paraId="3A5E28C9" w14:textId="77777777" w:rsidR="006633B5" w:rsidRPr="006633B5" w:rsidRDefault="006633B5" w:rsidP="00E10A24">
            <w:pPr>
              <w:pStyle w:val="Tablebody"/>
              <w:spacing w:after="80"/>
              <w:rPr>
                <w:i/>
              </w:rPr>
            </w:pPr>
            <w:r w:rsidRPr="006633B5">
              <w:rPr>
                <w:i/>
              </w:rPr>
              <w:t>CF</w:t>
            </w:r>
            <w:r w:rsidRPr="006633B5">
              <w:rPr>
                <w:iCs/>
                <w:vertAlign w:val="subscript"/>
              </w:rPr>
              <w:t>2</w:t>
            </w:r>
          </w:p>
        </w:tc>
        <w:tc>
          <w:tcPr>
            <w:tcW w:w="0" w:type="auto"/>
            <w:shd w:val="clear" w:color="auto" w:fill="auto"/>
          </w:tcPr>
          <w:p w14:paraId="494F88BA" w14:textId="77777777" w:rsidR="006633B5" w:rsidRPr="006633B5" w:rsidRDefault="006633B5" w:rsidP="00E10A24">
            <w:pPr>
              <w:pStyle w:val="Tablebody"/>
              <w:spacing w:after="80"/>
            </w:pPr>
            <w:r w:rsidRPr="006633B5">
              <w:t>weighting factor of the response at the stage of maximum velocity</w:t>
            </w:r>
          </w:p>
        </w:tc>
      </w:tr>
      <w:tr w:rsidR="006633B5" w:rsidRPr="006633B5" w14:paraId="588D5C0D" w14:textId="77777777" w:rsidTr="006633B5">
        <w:tc>
          <w:tcPr>
            <w:tcW w:w="0" w:type="auto"/>
            <w:shd w:val="clear" w:color="auto" w:fill="auto"/>
          </w:tcPr>
          <w:p w14:paraId="42689421" w14:textId="77777777" w:rsidR="006633B5" w:rsidRPr="006633B5" w:rsidRDefault="006633B5" w:rsidP="00E10A24">
            <w:pPr>
              <w:pStyle w:val="Tablebody"/>
              <w:spacing w:after="80"/>
              <w:rPr>
                <w:i/>
              </w:rPr>
            </w:pPr>
            <w:r w:rsidRPr="006633B5">
              <w:rPr>
                <w:i/>
              </w:rPr>
              <w:t>C</w:t>
            </w:r>
            <w:r w:rsidRPr="006633B5">
              <w:rPr>
                <w:iCs/>
                <w:vertAlign w:val="subscript"/>
              </w:rPr>
              <w:t>j</w:t>
            </w:r>
          </w:p>
        </w:tc>
        <w:tc>
          <w:tcPr>
            <w:tcW w:w="0" w:type="auto"/>
            <w:shd w:val="clear" w:color="auto" w:fill="auto"/>
          </w:tcPr>
          <w:p w14:paraId="41078530" w14:textId="77777777" w:rsidR="006633B5" w:rsidRPr="006633B5" w:rsidRDefault="006633B5" w:rsidP="00E10A24">
            <w:pPr>
              <w:pStyle w:val="Tablebody"/>
              <w:spacing w:after="80"/>
            </w:pPr>
            <w:r w:rsidRPr="006633B5">
              <w:t xml:space="preserve">damping coefficient of the velocity-dependent energy dissipation device </w:t>
            </w:r>
            <w:r w:rsidRPr="006633B5">
              <w:rPr>
                <w:i/>
              </w:rPr>
              <w:t>j</w:t>
            </w:r>
          </w:p>
        </w:tc>
      </w:tr>
      <w:tr w:rsidR="006633B5" w:rsidRPr="006633B5" w14:paraId="59A79061" w14:textId="77777777" w:rsidTr="006633B5">
        <w:tc>
          <w:tcPr>
            <w:tcW w:w="0" w:type="auto"/>
            <w:shd w:val="clear" w:color="auto" w:fill="auto"/>
          </w:tcPr>
          <w:p w14:paraId="421141DA" w14:textId="77777777" w:rsidR="006633B5" w:rsidRPr="006633B5" w:rsidRDefault="006633B5" w:rsidP="00E10A24">
            <w:pPr>
              <w:pStyle w:val="Tablebody"/>
              <w:spacing w:after="80"/>
            </w:pPr>
            <w:r w:rsidRPr="006633B5">
              <w:rPr>
                <w:i/>
              </w:rPr>
              <w:t>CVF</w:t>
            </w:r>
          </w:p>
        </w:tc>
        <w:tc>
          <w:tcPr>
            <w:tcW w:w="0" w:type="auto"/>
            <w:shd w:val="clear" w:color="auto" w:fill="auto"/>
          </w:tcPr>
          <w:p w14:paraId="2B182DF3" w14:textId="77777777" w:rsidR="006633B5" w:rsidRPr="006633B5" w:rsidRDefault="006633B5" w:rsidP="00E10A24">
            <w:pPr>
              <w:pStyle w:val="Tablebody"/>
              <w:spacing w:after="80"/>
            </w:pPr>
            <w:r w:rsidRPr="006633B5">
              <w:t>correction factor for velocity</w:t>
            </w:r>
          </w:p>
        </w:tc>
      </w:tr>
      <w:tr w:rsidR="006633B5" w:rsidRPr="006633B5" w14:paraId="403F7AB7" w14:textId="77777777" w:rsidTr="006633B5">
        <w:tc>
          <w:tcPr>
            <w:tcW w:w="0" w:type="auto"/>
            <w:shd w:val="clear" w:color="auto" w:fill="auto"/>
          </w:tcPr>
          <w:p w14:paraId="0C5AAF8F" w14:textId="77777777" w:rsidR="006633B5" w:rsidRPr="006633B5" w:rsidRDefault="006633B5" w:rsidP="00E10A24">
            <w:pPr>
              <w:pStyle w:val="Tablebody"/>
              <w:spacing w:after="80"/>
            </w:pPr>
            <w:r w:rsidRPr="006633B5">
              <w:rPr>
                <w:i/>
              </w:rPr>
              <w:t>D</w:t>
            </w:r>
            <w:r w:rsidRPr="006633B5">
              <w:rPr>
                <w:vertAlign w:val="subscript"/>
              </w:rPr>
              <w:t>lower</w:t>
            </w:r>
          </w:p>
        </w:tc>
        <w:tc>
          <w:tcPr>
            <w:tcW w:w="0" w:type="auto"/>
            <w:shd w:val="clear" w:color="auto" w:fill="auto"/>
          </w:tcPr>
          <w:p w14:paraId="0E0DBE05" w14:textId="77777777" w:rsidR="006633B5" w:rsidRPr="006633B5" w:rsidRDefault="006633B5" w:rsidP="00E10A24">
            <w:pPr>
              <w:pStyle w:val="Tablebody"/>
              <w:spacing w:after="80"/>
            </w:pPr>
            <w:r w:rsidRPr="006633B5">
              <w:t>smallest sieve size of the coarsest fraction of the aggregates permitted by the specification of the concrete</w:t>
            </w:r>
          </w:p>
        </w:tc>
      </w:tr>
      <w:tr w:rsidR="006633B5" w:rsidRPr="006633B5" w14:paraId="69A825EA" w14:textId="77777777" w:rsidTr="006633B5">
        <w:tc>
          <w:tcPr>
            <w:tcW w:w="0" w:type="auto"/>
            <w:shd w:val="clear" w:color="auto" w:fill="auto"/>
          </w:tcPr>
          <w:p w14:paraId="5E53A176" w14:textId="77777777" w:rsidR="006633B5" w:rsidRPr="006633B5" w:rsidRDefault="006633B5" w:rsidP="00E10A24">
            <w:pPr>
              <w:pStyle w:val="Tablebody"/>
              <w:spacing w:after="80"/>
            </w:pPr>
            <w:r w:rsidRPr="006633B5">
              <w:rPr>
                <w:i/>
              </w:rPr>
              <w:t>D</w:t>
            </w:r>
            <w:r w:rsidRPr="006633B5">
              <w:rPr>
                <w:vertAlign w:val="subscript"/>
              </w:rPr>
              <w:t>max</w:t>
            </w:r>
          </w:p>
        </w:tc>
        <w:tc>
          <w:tcPr>
            <w:tcW w:w="0" w:type="auto"/>
            <w:shd w:val="clear" w:color="auto" w:fill="auto"/>
          </w:tcPr>
          <w:p w14:paraId="496603AF" w14:textId="77777777" w:rsidR="006633B5" w:rsidRPr="006633B5" w:rsidRDefault="006633B5" w:rsidP="00E10A24">
            <w:pPr>
              <w:pStyle w:val="Tablebody"/>
              <w:spacing w:after="80"/>
            </w:pPr>
            <w:r w:rsidRPr="006633B5">
              <w:t>maximum sieve size of the coarsest fraction of the aggregates</w:t>
            </w:r>
          </w:p>
        </w:tc>
      </w:tr>
      <w:tr w:rsidR="006633B5" w:rsidRPr="006633B5" w14:paraId="6F141394" w14:textId="77777777" w:rsidTr="006633B5">
        <w:tc>
          <w:tcPr>
            <w:tcW w:w="0" w:type="auto"/>
            <w:shd w:val="clear" w:color="auto" w:fill="auto"/>
          </w:tcPr>
          <w:p w14:paraId="72C37DF0" w14:textId="77777777" w:rsidR="006633B5" w:rsidRPr="006633B5" w:rsidRDefault="006633B5" w:rsidP="00E10A24">
            <w:pPr>
              <w:pStyle w:val="Tablebody"/>
              <w:spacing w:after="80"/>
            </w:pPr>
            <w:r w:rsidRPr="006633B5">
              <w:rPr>
                <w:i/>
                <w:iCs/>
              </w:rPr>
              <w:t>E</w:t>
            </w:r>
            <w:r w:rsidRPr="006633B5">
              <w:rPr>
                <w:vertAlign w:val="subscript"/>
              </w:rPr>
              <w:t>a</w:t>
            </w:r>
          </w:p>
        </w:tc>
        <w:tc>
          <w:tcPr>
            <w:tcW w:w="0" w:type="auto"/>
            <w:shd w:val="clear" w:color="auto" w:fill="auto"/>
          </w:tcPr>
          <w:p w14:paraId="50C34AA9" w14:textId="77777777" w:rsidR="006633B5" w:rsidRPr="006633B5" w:rsidRDefault="006633B5" w:rsidP="00E10A24">
            <w:pPr>
              <w:pStyle w:val="Tablebody"/>
              <w:spacing w:after="80"/>
            </w:pPr>
            <w:r w:rsidRPr="006633B5">
              <w:t>modulus of elasticity of structural steel</w:t>
            </w:r>
          </w:p>
        </w:tc>
      </w:tr>
      <w:tr w:rsidR="006633B5" w:rsidRPr="006633B5" w14:paraId="4B36939B" w14:textId="77777777" w:rsidTr="006633B5">
        <w:tc>
          <w:tcPr>
            <w:tcW w:w="0" w:type="auto"/>
            <w:shd w:val="clear" w:color="auto" w:fill="auto"/>
          </w:tcPr>
          <w:p w14:paraId="703FFAF7" w14:textId="77777777" w:rsidR="006633B5" w:rsidRPr="006633B5" w:rsidRDefault="006633B5" w:rsidP="00E10A24">
            <w:pPr>
              <w:pStyle w:val="Tablebody"/>
              <w:spacing w:after="80"/>
            </w:pPr>
            <w:r w:rsidRPr="006633B5">
              <w:rPr>
                <w:i/>
                <w:iCs/>
              </w:rPr>
              <w:t>E</w:t>
            </w:r>
            <w:r w:rsidRPr="006633B5">
              <w:rPr>
                <w:vertAlign w:val="subscript"/>
              </w:rPr>
              <w:t>cm</w:t>
            </w:r>
          </w:p>
        </w:tc>
        <w:tc>
          <w:tcPr>
            <w:tcW w:w="0" w:type="auto"/>
            <w:shd w:val="clear" w:color="auto" w:fill="auto"/>
          </w:tcPr>
          <w:p w14:paraId="618BCCA4" w14:textId="77777777" w:rsidR="006633B5" w:rsidRPr="006633B5" w:rsidRDefault="006633B5" w:rsidP="00E10A24">
            <w:pPr>
              <w:pStyle w:val="Tablebody"/>
              <w:spacing w:after="80"/>
            </w:pPr>
            <w:r w:rsidRPr="006633B5">
              <w:t>mean modulus of elasticity of concrete</w:t>
            </w:r>
          </w:p>
        </w:tc>
      </w:tr>
      <w:tr w:rsidR="006633B5" w:rsidRPr="006633B5" w14:paraId="71551E43" w14:textId="77777777" w:rsidTr="006633B5">
        <w:tc>
          <w:tcPr>
            <w:tcW w:w="0" w:type="auto"/>
            <w:shd w:val="clear" w:color="auto" w:fill="auto"/>
          </w:tcPr>
          <w:p w14:paraId="07C98DF5" w14:textId="77777777" w:rsidR="006633B5" w:rsidRPr="006633B5" w:rsidRDefault="006633B5" w:rsidP="00E10A24">
            <w:pPr>
              <w:pStyle w:val="Tablebody"/>
              <w:spacing w:after="80"/>
            </w:pPr>
            <w:r w:rsidRPr="006633B5">
              <w:rPr>
                <w:i/>
              </w:rPr>
              <w:t>E</w:t>
            </w:r>
            <w:r w:rsidRPr="006633B5">
              <w:rPr>
                <w:iCs/>
                <w:vertAlign w:val="subscript"/>
              </w:rPr>
              <w:t>d</w:t>
            </w:r>
          </w:p>
        </w:tc>
        <w:tc>
          <w:tcPr>
            <w:tcW w:w="0" w:type="auto"/>
            <w:shd w:val="clear" w:color="auto" w:fill="auto"/>
          </w:tcPr>
          <w:p w14:paraId="5A57B204" w14:textId="77777777" w:rsidR="006633B5" w:rsidRPr="006633B5" w:rsidRDefault="006633B5" w:rsidP="00E10A24">
            <w:pPr>
              <w:pStyle w:val="Tablebody"/>
              <w:spacing w:after="80"/>
            </w:pPr>
            <w:r w:rsidRPr="006633B5">
              <w:t>design value of the action effect in the seismic design situation, including possible influence of second-order effects</w:t>
            </w:r>
          </w:p>
        </w:tc>
      </w:tr>
      <w:tr w:rsidR="006633B5" w:rsidRPr="006633B5" w14:paraId="5F6D5892" w14:textId="77777777" w:rsidTr="006633B5">
        <w:tc>
          <w:tcPr>
            <w:tcW w:w="0" w:type="auto"/>
            <w:shd w:val="clear" w:color="auto" w:fill="auto"/>
          </w:tcPr>
          <w:p w14:paraId="6976F63C" w14:textId="77777777" w:rsidR="006633B5" w:rsidRPr="006633B5" w:rsidRDefault="006633B5" w:rsidP="00E10A24">
            <w:pPr>
              <w:pStyle w:val="Tablebody"/>
              <w:spacing w:after="80"/>
              <w:rPr>
                <w:i/>
              </w:rPr>
            </w:pPr>
            <w:r w:rsidRPr="006633B5">
              <w:rPr>
                <w:i/>
              </w:rPr>
              <w:t>E</w:t>
            </w:r>
            <w:r w:rsidRPr="006633B5">
              <w:rPr>
                <w:vertAlign w:val="subscript"/>
              </w:rPr>
              <w:t>des,</w:t>
            </w:r>
            <w:r w:rsidRPr="006633B5">
              <w:rPr>
                <w:i/>
                <w:vertAlign w:val="subscript"/>
              </w:rPr>
              <w:t>k</w:t>
            </w:r>
          </w:p>
        </w:tc>
        <w:tc>
          <w:tcPr>
            <w:tcW w:w="0" w:type="auto"/>
            <w:shd w:val="clear" w:color="auto" w:fill="auto"/>
          </w:tcPr>
          <w:p w14:paraId="13D14C6B" w14:textId="77777777" w:rsidR="006633B5" w:rsidRPr="006633B5" w:rsidRDefault="006633B5" w:rsidP="00E10A24">
            <w:pPr>
              <w:pStyle w:val="Tablebody"/>
              <w:spacing w:after="80"/>
            </w:pPr>
            <w:r w:rsidRPr="006633B5">
              <w:t xml:space="preserve">elastic strain energy stored by the energy dissipation devices at </w:t>
            </w:r>
            <w:r w:rsidRPr="006633B5">
              <w:rPr>
                <w:i/>
              </w:rPr>
              <w:t>k-</w:t>
            </w:r>
            <w:r w:rsidRPr="006633B5">
              <w:t xml:space="preserve">th storey while the primary seismic elements of the main structural system at the </w:t>
            </w:r>
            <w:r w:rsidRPr="006633B5">
              <w:rPr>
                <w:i/>
              </w:rPr>
              <w:t>k</w:t>
            </w:r>
            <w:r w:rsidRPr="006633B5">
              <w:t>-th storey remain in the elastic domain</w:t>
            </w:r>
          </w:p>
        </w:tc>
      </w:tr>
      <w:tr w:rsidR="006633B5" w:rsidRPr="006633B5" w14:paraId="27956DF3" w14:textId="77777777" w:rsidTr="006633B5">
        <w:tc>
          <w:tcPr>
            <w:tcW w:w="0" w:type="auto"/>
            <w:shd w:val="clear" w:color="auto" w:fill="auto"/>
          </w:tcPr>
          <w:p w14:paraId="00EBBF9F" w14:textId="77777777" w:rsidR="006633B5" w:rsidRPr="006633B5" w:rsidRDefault="006633B5" w:rsidP="00E10A24">
            <w:pPr>
              <w:pStyle w:val="Tablebody"/>
              <w:spacing w:after="80"/>
            </w:pPr>
            <w:r w:rsidRPr="006633B5">
              <w:rPr>
                <w:i/>
              </w:rPr>
              <w:lastRenderedPageBreak/>
              <w:t>E</w:t>
            </w:r>
            <w:r w:rsidRPr="006633B5">
              <w:rPr>
                <w:vertAlign w:val="subscript"/>
              </w:rPr>
              <w:t>dH,</w:t>
            </w:r>
            <w:r w:rsidRPr="006633B5">
              <w:rPr>
                <w:i/>
                <w:vertAlign w:val="subscript"/>
              </w:rPr>
              <w:t>k</w:t>
            </w:r>
          </w:p>
        </w:tc>
        <w:tc>
          <w:tcPr>
            <w:tcW w:w="0" w:type="auto"/>
            <w:shd w:val="clear" w:color="auto" w:fill="auto"/>
          </w:tcPr>
          <w:p w14:paraId="6F22DD6C" w14:textId="77777777" w:rsidR="006633B5" w:rsidRPr="006633B5" w:rsidRDefault="006633B5" w:rsidP="00E10A24">
            <w:pPr>
              <w:pStyle w:val="Tablebody"/>
              <w:spacing w:after="80"/>
            </w:pPr>
            <w:r w:rsidRPr="006633B5">
              <w:t xml:space="preserve">energy dissipated through plastic deformation by the energy dissipation devices at the </w:t>
            </w:r>
            <w:r w:rsidRPr="006633B5">
              <w:rPr>
                <w:i/>
              </w:rPr>
              <w:t>k-</w:t>
            </w:r>
            <w:r w:rsidRPr="006633B5">
              <w:t xml:space="preserve">th storey while the primary seismic elements of the main structural system at the </w:t>
            </w:r>
            <w:r w:rsidRPr="006633B5">
              <w:rPr>
                <w:i/>
              </w:rPr>
              <w:t>k</w:t>
            </w:r>
            <w:r w:rsidRPr="006633B5">
              <w:t>-th storey remain in the elastic domain</w:t>
            </w:r>
          </w:p>
        </w:tc>
      </w:tr>
      <w:tr w:rsidR="006633B5" w:rsidRPr="006633B5" w14:paraId="5D665674" w14:textId="77777777" w:rsidTr="006633B5">
        <w:tc>
          <w:tcPr>
            <w:tcW w:w="0" w:type="auto"/>
            <w:shd w:val="clear" w:color="auto" w:fill="auto"/>
          </w:tcPr>
          <w:p w14:paraId="2AA7D015" w14:textId="77777777" w:rsidR="006633B5" w:rsidRPr="006633B5" w:rsidRDefault="006633B5" w:rsidP="00E10A24">
            <w:pPr>
              <w:pStyle w:val="Tablebody"/>
              <w:spacing w:after="80"/>
            </w:pPr>
            <w:r w:rsidRPr="006633B5">
              <w:rPr>
                <w:i/>
              </w:rPr>
              <w:t>E</w:t>
            </w:r>
            <w:r w:rsidRPr="006633B5">
              <w:rPr>
                <w:vertAlign w:val="subscript"/>
              </w:rPr>
              <w:t>dH,</w:t>
            </w:r>
            <w:r w:rsidRPr="006633B5">
              <w:rPr>
                <w:i/>
                <w:vertAlign w:val="subscript"/>
              </w:rPr>
              <w:t>k</w:t>
            </w:r>
            <w:r w:rsidRPr="006633B5">
              <w:rPr>
                <w:vertAlign w:val="subscript"/>
              </w:rPr>
              <w:t>,max</w:t>
            </w:r>
          </w:p>
        </w:tc>
        <w:tc>
          <w:tcPr>
            <w:tcW w:w="0" w:type="auto"/>
            <w:shd w:val="clear" w:color="auto" w:fill="auto"/>
          </w:tcPr>
          <w:p w14:paraId="02E67014" w14:textId="77777777" w:rsidR="006633B5" w:rsidRPr="006633B5" w:rsidRDefault="006633B5" w:rsidP="00E10A24">
            <w:pPr>
              <w:pStyle w:val="Tablebody"/>
              <w:spacing w:after="80"/>
            </w:pPr>
            <w:r w:rsidRPr="006633B5">
              <w:t xml:space="preserve">maximum energy dissipation demand at the </w:t>
            </w:r>
            <w:r w:rsidRPr="006633B5">
              <w:rPr>
                <w:i/>
              </w:rPr>
              <w:t>k</w:t>
            </w:r>
            <w:r w:rsidRPr="006633B5">
              <w:t>-th storey from the energy dissipation devices under the reference seismic action</w:t>
            </w:r>
          </w:p>
        </w:tc>
      </w:tr>
      <w:tr w:rsidR="006633B5" w:rsidRPr="006633B5" w14:paraId="577AB05A" w14:textId="77777777" w:rsidTr="006633B5">
        <w:tc>
          <w:tcPr>
            <w:tcW w:w="0" w:type="auto"/>
            <w:shd w:val="clear" w:color="auto" w:fill="auto"/>
          </w:tcPr>
          <w:p w14:paraId="3A0F79E8" w14:textId="77777777" w:rsidR="006633B5" w:rsidRPr="006633B5" w:rsidRDefault="006633B5" w:rsidP="00E10A24">
            <w:pPr>
              <w:pStyle w:val="Tablebody"/>
              <w:spacing w:after="80"/>
            </w:pPr>
            <w:r w:rsidRPr="006633B5">
              <w:rPr>
                <w:i/>
              </w:rPr>
              <w:t>E</w:t>
            </w:r>
            <w:r w:rsidRPr="006633B5">
              <w:rPr>
                <w:vertAlign w:val="subscript"/>
              </w:rPr>
              <w:t>dH,</w:t>
            </w:r>
            <w:r w:rsidRPr="006633B5">
              <w:rPr>
                <w:i/>
                <w:vertAlign w:val="subscript"/>
              </w:rPr>
              <w:t>k,</w:t>
            </w:r>
            <w:r w:rsidRPr="006633B5">
              <w:rPr>
                <w:vertAlign w:val="subscript"/>
              </w:rPr>
              <w:t>SD</w:t>
            </w:r>
          </w:p>
        </w:tc>
        <w:tc>
          <w:tcPr>
            <w:tcW w:w="0" w:type="auto"/>
            <w:shd w:val="clear" w:color="auto" w:fill="auto"/>
          </w:tcPr>
          <w:p w14:paraId="7EC49AFC" w14:textId="77777777" w:rsidR="006633B5" w:rsidRPr="006633B5" w:rsidRDefault="006633B5" w:rsidP="00E10A24">
            <w:pPr>
              <w:pStyle w:val="Tablebody"/>
              <w:spacing w:after="80"/>
            </w:pPr>
            <w:r w:rsidRPr="006633B5">
              <w:t xml:space="preserve">amount of energy that can be dissipated by the energy dissipation devices at the </w:t>
            </w:r>
            <w:r w:rsidRPr="006633B5">
              <w:rPr>
                <w:i/>
              </w:rPr>
              <w:t>k</w:t>
            </w:r>
            <w:r w:rsidRPr="006633B5">
              <w:t>-th storey under cyclic deformations when any energy dissipation device on the storey attains its SD limit state</w:t>
            </w:r>
          </w:p>
        </w:tc>
      </w:tr>
      <w:tr w:rsidR="006633B5" w:rsidRPr="006633B5" w14:paraId="37A0A3A4" w14:textId="77777777" w:rsidTr="006633B5">
        <w:tc>
          <w:tcPr>
            <w:tcW w:w="0" w:type="auto"/>
            <w:shd w:val="clear" w:color="auto" w:fill="auto"/>
          </w:tcPr>
          <w:p w14:paraId="18CC61D0" w14:textId="77777777" w:rsidR="006633B5" w:rsidRPr="006633B5" w:rsidRDefault="006633B5" w:rsidP="00E10A24">
            <w:pPr>
              <w:pStyle w:val="Tablebody"/>
              <w:spacing w:after="80"/>
            </w:pPr>
            <w:r w:rsidRPr="006633B5">
              <w:rPr>
                <w:i/>
              </w:rPr>
              <w:t>E</w:t>
            </w:r>
            <w:r w:rsidRPr="006633B5">
              <w:rPr>
                <w:iCs/>
                <w:vertAlign w:val="subscript"/>
              </w:rPr>
              <w:t>di</w:t>
            </w:r>
          </w:p>
        </w:tc>
        <w:tc>
          <w:tcPr>
            <w:tcW w:w="0" w:type="auto"/>
            <w:shd w:val="clear" w:color="auto" w:fill="auto"/>
          </w:tcPr>
          <w:p w14:paraId="73D1185D" w14:textId="77777777" w:rsidR="006633B5" w:rsidRPr="006633B5" w:rsidRDefault="006633B5" w:rsidP="00E10A24">
            <w:pPr>
              <w:pStyle w:val="Tablebody"/>
              <w:spacing w:after="80"/>
            </w:pPr>
            <w:r w:rsidRPr="006633B5">
              <w:t xml:space="preserve">design value of the action effect on the zone or element </w:t>
            </w:r>
            <w:r w:rsidRPr="006633B5">
              <w:rPr>
                <w:i/>
              </w:rPr>
              <w:t>i</w:t>
            </w:r>
            <w:r w:rsidRPr="006633B5">
              <w:t xml:space="preserve"> in the seismic design situation</w:t>
            </w:r>
          </w:p>
        </w:tc>
      </w:tr>
      <w:tr w:rsidR="006633B5" w:rsidRPr="006633B5" w14:paraId="701169AB" w14:textId="77777777" w:rsidTr="006633B5">
        <w:tc>
          <w:tcPr>
            <w:tcW w:w="0" w:type="auto"/>
            <w:shd w:val="clear" w:color="auto" w:fill="auto"/>
          </w:tcPr>
          <w:p w14:paraId="28B2AE29" w14:textId="77777777" w:rsidR="006633B5" w:rsidRPr="006633B5" w:rsidRDefault="006633B5" w:rsidP="00E10A24">
            <w:pPr>
              <w:pStyle w:val="Tablebody"/>
              <w:spacing w:after="80"/>
            </w:pPr>
            <w:r w:rsidRPr="006633B5">
              <w:rPr>
                <w:i/>
                <w:iCs/>
              </w:rPr>
              <w:t>E</w:t>
            </w:r>
            <w:r w:rsidRPr="006633B5">
              <w:rPr>
                <w:vertAlign w:val="subscript"/>
              </w:rPr>
              <w:t>d,E</w:t>
            </w:r>
          </w:p>
        </w:tc>
        <w:tc>
          <w:tcPr>
            <w:tcW w:w="0" w:type="auto"/>
            <w:shd w:val="clear" w:color="auto" w:fill="auto"/>
          </w:tcPr>
          <w:p w14:paraId="69D01DBA" w14:textId="77777777" w:rsidR="006633B5" w:rsidRPr="006633B5" w:rsidRDefault="006633B5" w:rsidP="00E10A24">
            <w:pPr>
              <w:pStyle w:val="Tablebody"/>
              <w:spacing w:after="80"/>
            </w:pPr>
            <w:r w:rsidRPr="006633B5">
              <w:t xml:space="preserve">combination of action effects </w:t>
            </w:r>
            <w:r w:rsidRPr="006633B5">
              <w:rPr>
                <w:i/>
              </w:rPr>
              <w:t>E</w:t>
            </w:r>
            <w:r w:rsidRPr="006633B5">
              <w:rPr>
                <w:iCs/>
                <w:vertAlign w:val="subscript"/>
              </w:rPr>
              <w:t>F,E</w:t>
            </w:r>
            <w:r w:rsidRPr="006633B5">
              <w:rPr>
                <w:iCs/>
              </w:rPr>
              <w:t xml:space="preserve"> and </w:t>
            </w:r>
            <w:r w:rsidRPr="006633B5">
              <w:rPr>
                <w:i/>
              </w:rPr>
              <w:t>E</w:t>
            </w:r>
            <w:r w:rsidRPr="006633B5">
              <w:rPr>
                <w:iCs/>
                <w:vertAlign w:val="subscript"/>
              </w:rPr>
              <w:t>F,G</w:t>
            </w:r>
          </w:p>
        </w:tc>
      </w:tr>
      <w:tr w:rsidR="006633B5" w:rsidRPr="006633B5" w14:paraId="6B2A79A4" w14:textId="77777777" w:rsidTr="006633B5">
        <w:tc>
          <w:tcPr>
            <w:tcW w:w="0" w:type="auto"/>
            <w:shd w:val="clear" w:color="auto" w:fill="auto"/>
          </w:tcPr>
          <w:p w14:paraId="670FC40C" w14:textId="77777777" w:rsidR="006633B5" w:rsidRPr="006633B5" w:rsidRDefault="006633B5" w:rsidP="00E10A24">
            <w:pPr>
              <w:pStyle w:val="Tablebody"/>
              <w:spacing w:after="80"/>
              <w:rPr>
                <w:i/>
              </w:rPr>
            </w:pPr>
            <w:r w:rsidRPr="006633B5">
              <w:rPr>
                <w:i/>
              </w:rPr>
              <w:t>E</w:t>
            </w:r>
            <w:r w:rsidRPr="006633B5">
              <w:rPr>
                <w:i/>
                <w:vertAlign w:val="subscript"/>
              </w:rPr>
              <w:t>e</w:t>
            </w:r>
          </w:p>
        </w:tc>
        <w:tc>
          <w:tcPr>
            <w:tcW w:w="0" w:type="auto"/>
            <w:shd w:val="clear" w:color="auto" w:fill="auto"/>
          </w:tcPr>
          <w:p w14:paraId="62E0F52C" w14:textId="77777777" w:rsidR="006633B5" w:rsidRPr="006633B5" w:rsidRDefault="006633B5" w:rsidP="00E10A24">
            <w:pPr>
              <w:pStyle w:val="Tablebody"/>
              <w:spacing w:after="80"/>
            </w:pPr>
            <w:r w:rsidRPr="006633B5">
              <w:t>amount of energy that the structure can absorb while the primary seismic elements of the main structural system remain in the elastic domain</w:t>
            </w:r>
          </w:p>
        </w:tc>
      </w:tr>
      <w:tr w:rsidR="006633B5" w:rsidRPr="006633B5" w14:paraId="4BC2B40B" w14:textId="77777777" w:rsidTr="006633B5">
        <w:tc>
          <w:tcPr>
            <w:tcW w:w="0" w:type="auto"/>
            <w:shd w:val="clear" w:color="auto" w:fill="auto"/>
          </w:tcPr>
          <w:p w14:paraId="57896E8E" w14:textId="77777777" w:rsidR="006633B5" w:rsidRPr="006633B5" w:rsidRDefault="006633B5" w:rsidP="00E10A24">
            <w:pPr>
              <w:pStyle w:val="Tablebody"/>
              <w:spacing w:after="80"/>
              <w:rPr>
                <w:vertAlign w:val="subscript"/>
              </w:rPr>
            </w:pPr>
            <w:r w:rsidRPr="006633B5">
              <w:rPr>
                <w:i/>
              </w:rPr>
              <w:t>E</w:t>
            </w:r>
            <w:r w:rsidRPr="006633B5">
              <w:rPr>
                <w:iCs/>
                <w:vertAlign w:val="subscript"/>
              </w:rPr>
              <w:t>F,E</w:t>
            </w:r>
          </w:p>
        </w:tc>
        <w:tc>
          <w:tcPr>
            <w:tcW w:w="0" w:type="auto"/>
            <w:shd w:val="clear" w:color="auto" w:fill="auto"/>
          </w:tcPr>
          <w:p w14:paraId="4E631FAB" w14:textId="77777777" w:rsidR="006633B5" w:rsidRPr="006633B5" w:rsidRDefault="006633B5" w:rsidP="00E10A24">
            <w:pPr>
              <w:pStyle w:val="Tablebody"/>
              <w:spacing w:after="80"/>
            </w:pPr>
            <w:r w:rsidRPr="006633B5">
              <w:t>action effect from the analysis of the design seismic action</w:t>
            </w:r>
          </w:p>
        </w:tc>
      </w:tr>
      <w:tr w:rsidR="006633B5" w:rsidRPr="006633B5" w14:paraId="32E3D447" w14:textId="77777777" w:rsidTr="006633B5">
        <w:tc>
          <w:tcPr>
            <w:tcW w:w="0" w:type="auto"/>
            <w:shd w:val="clear" w:color="auto" w:fill="auto"/>
          </w:tcPr>
          <w:p w14:paraId="0781EA6F" w14:textId="77777777" w:rsidR="006633B5" w:rsidRPr="006633B5" w:rsidRDefault="006633B5" w:rsidP="00E10A24">
            <w:pPr>
              <w:pStyle w:val="Tablebody"/>
              <w:spacing w:after="80"/>
            </w:pPr>
            <w:r w:rsidRPr="006633B5">
              <w:rPr>
                <w:i/>
              </w:rPr>
              <w:t>E</w:t>
            </w:r>
            <w:r w:rsidRPr="006633B5">
              <w:rPr>
                <w:iCs/>
                <w:vertAlign w:val="subscript"/>
              </w:rPr>
              <w:t>F,G</w:t>
            </w:r>
          </w:p>
        </w:tc>
        <w:tc>
          <w:tcPr>
            <w:tcW w:w="0" w:type="auto"/>
            <w:shd w:val="clear" w:color="auto" w:fill="auto"/>
          </w:tcPr>
          <w:p w14:paraId="1E0B4F09" w14:textId="77777777" w:rsidR="006633B5" w:rsidRPr="006633B5" w:rsidRDefault="006633B5" w:rsidP="00E10A24">
            <w:pPr>
              <w:pStyle w:val="Tablebody"/>
              <w:spacing w:after="80"/>
            </w:pPr>
            <w:r w:rsidRPr="006633B5">
              <w:t>action effect due to the non</w:t>
            </w:r>
            <w:r w:rsidRPr="006633B5">
              <w:noBreakHyphen/>
              <w:t>seismic actions included in the combination of actions in the seismic design situation</w:t>
            </w:r>
          </w:p>
        </w:tc>
      </w:tr>
      <w:tr w:rsidR="006633B5" w:rsidRPr="006633B5" w14:paraId="488809E3" w14:textId="77777777" w:rsidTr="006633B5">
        <w:tc>
          <w:tcPr>
            <w:tcW w:w="0" w:type="auto"/>
            <w:shd w:val="clear" w:color="auto" w:fill="auto"/>
          </w:tcPr>
          <w:p w14:paraId="6953709F" w14:textId="77777777" w:rsidR="006633B5" w:rsidRPr="006633B5" w:rsidRDefault="006633B5" w:rsidP="00E10A24">
            <w:pPr>
              <w:pStyle w:val="Tablebody"/>
              <w:spacing w:after="80"/>
            </w:pPr>
            <w:r w:rsidRPr="006633B5">
              <w:rPr>
                <w:i/>
              </w:rPr>
              <w:t>E</w:t>
            </w:r>
            <w:r w:rsidRPr="006633B5">
              <w:rPr>
                <w:vertAlign w:val="subscript"/>
              </w:rPr>
              <w:t>H,k</w:t>
            </w:r>
          </w:p>
        </w:tc>
        <w:tc>
          <w:tcPr>
            <w:tcW w:w="0" w:type="auto"/>
            <w:shd w:val="clear" w:color="auto" w:fill="auto"/>
          </w:tcPr>
          <w:p w14:paraId="411472E1" w14:textId="77777777" w:rsidR="006633B5" w:rsidRPr="006633B5" w:rsidRDefault="006633B5" w:rsidP="00E10A24">
            <w:pPr>
              <w:pStyle w:val="Tablebody"/>
              <w:spacing w:after="80"/>
            </w:pPr>
            <w:r w:rsidRPr="006633B5">
              <w:t xml:space="preserve">required amount of energy dissipation through plastic deformation at the </w:t>
            </w:r>
            <w:r w:rsidRPr="006633B5">
              <w:rPr>
                <w:i/>
              </w:rPr>
              <w:t>k</w:t>
            </w:r>
            <w:r w:rsidRPr="006633B5">
              <w:t>-th storey of the building</w:t>
            </w:r>
          </w:p>
        </w:tc>
      </w:tr>
      <w:tr w:rsidR="006633B5" w:rsidRPr="006633B5" w14:paraId="3E4C9C38" w14:textId="77777777" w:rsidTr="006633B5">
        <w:tc>
          <w:tcPr>
            <w:tcW w:w="0" w:type="auto"/>
            <w:shd w:val="clear" w:color="auto" w:fill="auto"/>
          </w:tcPr>
          <w:p w14:paraId="25F035BD" w14:textId="77777777" w:rsidR="006633B5" w:rsidRPr="006633B5" w:rsidRDefault="006633B5" w:rsidP="00E10A24">
            <w:pPr>
              <w:pStyle w:val="Tablebody"/>
              <w:spacing w:after="80"/>
              <w:rPr>
                <w:iCs/>
              </w:rPr>
            </w:pPr>
            <w:r w:rsidRPr="006633B5">
              <w:rPr>
                <w:i/>
              </w:rPr>
              <w:t>E</w:t>
            </w:r>
            <w:r w:rsidRPr="006633B5">
              <w:rPr>
                <w:iCs/>
                <w:vertAlign w:val="subscript"/>
              </w:rPr>
              <w:t>oop</w:t>
            </w:r>
          </w:p>
        </w:tc>
        <w:tc>
          <w:tcPr>
            <w:tcW w:w="0" w:type="auto"/>
            <w:shd w:val="clear" w:color="auto" w:fill="auto"/>
          </w:tcPr>
          <w:p w14:paraId="0B4A5932" w14:textId="77777777" w:rsidR="006633B5" w:rsidRPr="006633B5" w:rsidRDefault="006633B5" w:rsidP="00E10A24">
            <w:pPr>
              <w:pStyle w:val="Tablebody"/>
              <w:spacing w:after="80"/>
            </w:pPr>
            <w:r w:rsidRPr="006633B5">
              <w:t>resultant horizontal force acting on a wall and which creates out-of-plane deformation of the wall</w:t>
            </w:r>
          </w:p>
        </w:tc>
      </w:tr>
      <w:tr w:rsidR="006633B5" w:rsidRPr="006633B5" w14:paraId="35E23733" w14:textId="77777777" w:rsidTr="006633B5">
        <w:tc>
          <w:tcPr>
            <w:tcW w:w="0" w:type="auto"/>
            <w:shd w:val="clear" w:color="auto" w:fill="auto"/>
          </w:tcPr>
          <w:p w14:paraId="1C11EE02" w14:textId="77777777" w:rsidR="006633B5" w:rsidRPr="006633B5" w:rsidRDefault="006633B5" w:rsidP="00E10A24">
            <w:pPr>
              <w:pStyle w:val="Tablebody"/>
              <w:spacing w:after="80"/>
            </w:pPr>
            <w:r w:rsidRPr="006633B5">
              <w:rPr>
                <w:i/>
              </w:rPr>
              <w:t>E</w:t>
            </w:r>
            <w:r w:rsidRPr="006633B5">
              <w:rPr>
                <w:vertAlign w:val="subscript"/>
              </w:rPr>
              <w:t>pes,k</w:t>
            </w:r>
          </w:p>
        </w:tc>
        <w:tc>
          <w:tcPr>
            <w:tcW w:w="0" w:type="auto"/>
            <w:shd w:val="clear" w:color="auto" w:fill="auto"/>
          </w:tcPr>
          <w:p w14:paraId="76E47826" w14:textId="77777777" w:rsidR="006633B5" w:rsidRPr="006633B5" w:rsidRDefault="006633B5" w:rsidP="00E10A24">
            <w:pPr>
              <w:pStyle w:val="Tablebody"/>
              <w:spacing w:after="80"/>
            </w:pPr>
            <w:r w:rsidRPr="006633B5">
              <w:t xml:space="preserve">elastic strain energy stored by the primary seismic elements of the main structural system at the </w:t>
            </w:r>
            <w:r w:rsidRPr="006633B5">
              <w:rPr>
                <w:i/>
              </w:rPr>
              <w:t>k-</w:t>
            </w:r>
            <w:r w:rsidRPr="006633B5">
              <w:t>th storey while these elements remain in the elastic domain</w:t>
            </w:r>
          </w:p>
        </w:tc>
      </w:tr>
      <w:tr w:rsidR="006633B5" w:rsidRPr="006633B5" w14:paraId="093D9AC0" w14:textId="77777777" w:rsidTr="006633B5">
        <w:tc>
          <w:tcPr>
            <w:tcW w:w="0" w:type="auto"/>
            <w:shd w:val="clear" w:color="auto" w:fill="auto"/>
          </w:tcPr>
          <w:p w14:paraId="426C80DC" w14:textId="77777777" w:rsidR="006633B5" w:rsidRPr="006633B5" w:rsidRDefault="006633B5" w:rsidP="00E10A24">
            <w:pPr>
              <w:pStyle w:val="Tablebody"/>
              <w:spacing w:after="80"/>
            </w:pPr>
            <w:r w:rsidRPr="006633B5">
              <w:rPr>
                <w:i/>
              </w:rPr>
              <w:t>E</w:t>
            </w:r>
            <w:r w:rsidRPr="006633B5">
              <w:rPr>
                <w:vertAlign w:val="subscript"/>
              </w:rPr>
              <w:t>pH,k</w:t>
            </w:r>
          </w:p>
        </w:tc>
        <w:tc>
          <w:tcPr>
            <w:tcW w:w="0" w:type="auto"/>
            <w:shd w:val="clear" w:color="auto" w:fill="auto"/>
          </w:tcPr>
          <w:p w14:paraId="57984FE3" w14:textId="77777777" w:rsidR="006633B5" w:rsidRPr="006633B5" w:rsidRDefault="006633B5" w:rsidP="00E10A24">
            <w:pPr>
              <w:pStyle w:val="Tablebody"/>
              <w:spacing w:after="80"/>
            </w:pPr>
            <w:r w:rsidRPr="006633B5">
              <w:t xml:space="preserve">energy dissipated by the primary seismic elements of the main system at the </w:t>
            </w:r>
            <w:r w:rsidRPr="006633B5">
              <w:rPr>
                <w:i/>
              </w:rPr>
              <w:t>k</w:t>
            </w:r>
            <w:r w:rsidRPr="006633B5">
              <w:t>-th storey of the building</w:t>
            </w:r>
          </w:p>
        </w:tc>
      </w:tr>
      <w:tr w:rsidR="006633B5" w:rsidRPr="006633B5" w14:paraId="28BF7BAD" w14:textId="77777777" w:rsidTr="006633B5">
        <w:tc>
          <w:tcPr>
            <w:tcW w:w="0" w:type="auto"/>
            <w:shd w:val="clear" w:color="auto" w:fill="auto"/>
          </w:tcPr>
          <w:p w14:paraId="1B665EB7" w14:textId="77777777" w:rsidR="006633B5" w:rsidRPr="006633B5" w:rsidRDefault="006633B5" w:rsidP="00E10A24">
            <w:pPr>
              <w:pStyle w:val="Tablebody"/>
              <w:spacing w:after="80"/>
            </w:pPr>
            <w:r w:rsidRPr="006633B5">
              <w:rPr>
                <w:i/>
              </w:rPr>
              <w:t>E</w:t>
            </w:r>
            <w:r w:rsidRPr="006633B5">
              <w:rPr>
                <w:vertAlign w:val="subscript"/>
              </w:rPr>
              <w:t>pH,k,max</w:t>
            </w:r>
          </w:p>
        </w:tc>
        <w:tc>
          <w:tcPr>
            <w:tcW w:w="0" w:type="auto"/>
            <w:shd w:val="clear" w:color="auto" w:fill="auto"/>
          </w:tcPr>
          <w:p w14:paraId="414C5757" w14:textId="77777777" w:rsidR="006633B5" w:rsidRPr="006633B5" w:rsidRDefault="006633B5" w:rsidP="00E10A24">
            <w:pPr>
              <w:pStyle w:val="Tablebody"/>
              <w:spacing w:after="80"/>
            </w:pPr>
            <w:r w:rsidRPr="006633B5">
              <w:t xml:space="preserve">maximum energy dissipation demand at the </w:t>
            </w:r>
            <w:r w:rsidRPr="006633B5">
              <w:rPr>
                <w:i/>
              </w:rPr>
              <w:t>k-</w:t>
            </w:r>
            <w:r w:rsidRPr="006633B5">
              <w:t>th storey in the primary seismic elements of the main structural system under the design earthquake</w:t>
            </w:r>
          </w:p>
        </w:tc>
      </w:tr>
      <w:tr w:rsidR="006633B5" w:rsidRPr="006633B5" w14:paraId="52A22C53" w14:textId="77777777" w:rsidTr="006633B5">
        <w:tc>
          <w:tcPr>
            <w:tcW w:w="0" w:type="auto"/>
            <w:shd w:val="clear" w:color="auto" w:fill="auto"/>
          </w:tcPr>
          <w:p w14:paraId="54F851DF" w14:textId="77777777" w:rsidR="006633B5" w:rsidRPr="006633B5" w:rsidRDefault="006633B5" w:rsidP="00E10A24">
            <w:pPr>
              <w:pStyle w:val="Tablebody"/>
              <w:spacing w:after="80"/>
            </w:pPr>
            <w:r w:rsidRPr="006633B5">
              <w:rPr>
                <w:i/>
              </w:rPr>
              <w:t>E</w:t>
            </w:r>
            <w:r w:rsidRPr="006633B5">
              <w:rPr>
                <w:vertAlign w:val="subscript"/>
              </w:rPr>
              <w:t>pH,k,SD</w:t>
            </w:r>
            <w:r w:rsidRPr="006633B5" w:rsidDel="007F6685">
              <w:rPr>
                <w:i/>
              </w:rPr>
              <w:t xml:space="preserve"> </w:t>
            </w:r>
          </w:p>
        </w:tc>
        <w:tc>
          <w:tcPr>
            <w:tcW w:w="0" w:type="auto"/>
            <w:shd w:val="clear" w:color="auto" w:fill="auto"/>
          </w:tcPr>
          <w:p w14:paraId="5569B06D" w14:textId="77777777" w:rsidR="006633B5" w:rsidRPr="006633B5" w:rsidRDefault="006633B5" w:rsidP="00E10A24">
            <w:pPr>
              <w:pStyle w:val="Tablebody"/>
              <w:spacing w:after="80"/>
            </w:pPr>
            <w:r w:rsidRPr="006633B5">
              <w:t xml:space="preserve">amount of energy that can be dissipated by the primary seismic elements of the main structural system at the </w:t>
            </w:r>
            <w:r w:rsidRPr="006633B5">
              <w:rPr>
                <w:i/>
              </w:rPr>
              <w:t>k</w:t>
            </w:r>
            <w:r w:rsidRPr="006633B5">
              <w:t>-th storey under cyclic deformations before reaching the SD limit state</w:t>
            </w:r>
          </w:p>
        </w:tc>
      </w:tr>
      <w:tr w:rsidR="006633B5" w:rsidRPr="006633B5" w14:paraId="7C7D3BA9" w14:textId="77777777" w:rsidTr="006633B5">
        <w:tc>
          <w:tcPr>
            <w:tcW w:w="0" w:type="auto"/>
            <w:shd w:val="clear" w:color="auto" w:fill="auto"/>
          </w:tcPr>
          <w:p w14:paraId="328B471E" w14:textId="77777777" w:rsidR="006633B5" w:rsidRPr="006633B5" w:rsidRDefault="006633B5" w:rsidP="00E10A24">
            <w:pPr>
              <w:pStyle w:val="Tablebody"/>
              <w:spacing w:after="80"/>
            </w:pPr>
            <w:r w:rsidRPr="006633B5">
              <w:rPr>
                <w:i/>
                <w:iCs/>
              </w:rPr>
              <w:t>E</w:t>
            </w:r>
            <w:r w:rsidRPr="006633B5">
              <w:rPr>
                <w:iCs/>
                <w:vertAlign w:val="subscript"/>
              </w:rPr>
              <w:t>s</w:t>
            </w:r>
          </w:p>
        </w:tc>
        <w:tc>
          <w:tcPr>
            <w:tcW w:w="0" w:type="auto"/>
            <w:shd w:val="clear" w:color="auto" w:fill="auto"/>
          </w:tcPr>
          <w:p w14:paraId="24341102" w14:textId="77777777" w:rsidR="006633B5" w:rsidRPr="006633B5" w:rsidRDefault="006633B5" w:rsidP="00E10A24">
            <w:pPr>
              <w:pStyle w:val="Tablebody"/>
              <w:spacing w:after="80"/>
              <w:rPr>
                <w:szCs w:val="22"/>
              </w:rPr>
            </w:pPr>
            <w:r w:rsidRPr="006633B5">
              <w:t>design value of the modulus of elasticity of reinforcing steel</w:t>
            </w:r>
          </w:p>
        </w:tc>
      </w:tr>
      <w:tr w:rsidR="006633B5" w:rsidRPr="006633B5" w14:paraId="3E5714B2" w14:textId="77777777" w:rsidTr="006633B5">
        <w:tc>
          <w:tcPr>
            <w:tcW w:w="0" w:type="auto"/>
            <w:shd w:val="clear" w:color="auto" w:fill="auto"/>
          </w:tcPr>
          <w:p w14:paraId="6B66BC9A" w14:textId="77777777" w:rsidR="006633B5" w:rsidRPr="006633B5" w:rsidRDefault="006633B5" w:rsidP="00E10A24">
            <w:pPr>
              <w:pStyle w:val="Tablebody"/>
              <w:spacing w:after="80"/>
            </w:pPr>
            <w:r w:rsidRPr="006633B5">
              <w:rPr>
                <w:i/>
                <w:iCs/>
              </w:rPr>
              <w:t>E</w:t>
            </w:r>
            <w:r w:rsidRPr="006633B5">
              <w:rPr>
                <w:vertAlign w:val="subscript"/>
              </w:rPr>
              <w:t>sec</w:t>
            </w:r>
          </w:p>
        </w:tc>
        <w:tc>
          <w:tcPr>
            <w:tcW w:w="0" w:type="auto"/>
            <w:shd w:val="clear" w:color="auto" w:fill="auto"/>
          </w:tcPr>
          <w:p w14:paraId="5F5E43AC" w14:textId="77777777" w:rsidR="006633B5" w:rsidRPr="006633B5" w:rsidRDefault="006633B5" w:rsidP="00E10A24">
            <w:pPr>
              <w:pStyle w:val="Tablebody"/>
              <w:spacing w:after="80"/>
              <w:rPr>
                <w:rFonts w:eastAsia="Cambria"/>
              </w:rPr>
            </w:pPr>
            <w:r w:rsidRPr="006633B5">
              <w:rPr>
                <w:rFonts w:eastAsia="Cambria"/>
              </w:rPr>
              <w:t>short-term secant modulus of elasticity of masonry</w:t>
            </w:r>
          </w:p>
        </w:tc>
      </w:tr>
      <w:tr w:rsidR="006633B5" w:rsidRPr="006633B5" w14:paraId="495CB7B5" w14:textId="77777777" w:rsidTr="006633B5">
        <w:tc>
          <w:tcPr>
            <w:tcW w:w="0" w:type="auto"/>
            <w:shd w:val="clear" w:color="auto" w:fill="auto"/>
          </w:tcPr>
          <w:p w14:paraId="2DC1CA21" w14:textId="77777777" w:rsidR="006633B5" w:rsidRPr="006633B5" w:rsidRDefault="006633B5" w:rsidP="00E10A24">
            <w:pPr>
              <w:pStyle w:val="Tablebody"/>
              <w:spacing w:after="80"/>
              <w:rPr>
                <w:i/>
                <w:vertAlign w:val="superscript"/>
              </w:rPr>
            </w:pPr>
            <w:r w:rsidRPr="006633B5">
              <w:rPr>
                <w:i/>
              </w:rPr>
              <w:t>F</w:t>
            </w:r>
            <w:r w:rsidRPr="006633B5">
              <w:rPr>
                <w:i/>
                <w:vertAlign w:val="superscript"/>
              </w:rPr>
              <w:t>*</w:t>
            </w:r>
          </w:p>
        </w:tc>
        <w:tc>
          <w:tcPr>
            <w:tcW w:w="0" w:type="auto"/>
            <w:shd w:val="clear" w:color="auto" w:fill="auto"/>
          </w:tcPr>
          <w:p w14:paraId="7E74292E" w14:textId="77777777" w:rsidR="006633B5" w:rsidRPr="006633B5" w:rsidRDefault="006633B5" w:rsidP="00E10A24">
            <w:pPr>
              <w:pStyle w:val="Tablebody"/>
              <w:spacing w:after="80"/>
            </w:pPr>
            <w:r w:rsidRPr="006633B5">
              <w:t>force of the equivalent SDOF system</w:t>
            </w:r>
          </w:p>
        </w:tc>
      </w:tr>
      <w:tr w:rsidR="006633B5" w:rsidRPr="006633B5" w14:paraId="0529DBE7" w14:textId="77777777" w:rsidTr="006633B5">
        <w:tc>
          <w:tcPr>
            <w:tcW w:w="0" w:type="auto"/>
            <w:shd w:val="clear" w:color="auto" w:fill="auto"/>
          </w:tcPr>
          <w:p w14:paraId="0500671C" w14:textId="77777777" w:rsidR="006633B5" w:rsidRPr="006633B5" w:rsidRDefault="006633B5" w:rsidP="00E10A24">
            <w:pPr>
              <w:pStyle w:val="Tablebody"/>
              <w:spacing w:after="80"/>
              <w:rPr>
                <w:i/>
                <w:iCs/>
              </w:rPr>
            </w:pPr>
            <w:r w:rsidRPr="006633B5">
              <w:rPr>
                <w:i/>
                <w:iCs/>
              </w:rPr>
              <w:t>F</w:t>
            </w:r>
            <w:r w:rsidRPr="006633B5">
              <w:rPr>
                <w:iCs/>
                <w:vertAlign w:val="subscript"/>
              </w:rPr>
              <w:t>1</w:t>
            </w:r>
          </w:p>
        </w:tc>
        <w:tc>
          <w:tcPr>
            <w:tcW w:w="0" w:type="auto"/>
            <w:shd w:val="clear" w:color="auto" w:fill="auto"/>
          </w:tcPr>
          <w:p w14:paraId="7B80542A" w14:textId="77777777" w:rsidR="006633B5" w:rsidRPr="006633B5" w:rsidRDefault="006633B5" w:rsidP="00E10A24">
            <w:pPr>
              <w:pStyle w:val="Tablebody"/>
              <w:spacing w:after="80"/>
            </w:pPr>
            <w:r w:rsidRPr="006633B5">
              <w:t xml:space="preserve">load at the first cycle and at a certain deformation </w:t>
            </w:r>
            <w:r w:rsidRPr="006633B5">
              <w:rPr>
                <w:i/>
              </w:rPr>
              <w:t>δ</w:t>
            </w:r>
            <w:r w:rsidRPr="006633B5">
              <w:t xml:space="preserve"> in a cyclic test performed in accordance with EN 12512</w:t>
            </w:r>
          </w:p>
        </w:tc>
      </w:tr>
      <w:tr w:rsidR="006633B5" w:rsidRPr="006633B5" w14:paraId="3216E475" w14:textId="77777777" w:rsidTr="006633B5">
        <w:tc>
          <w:tcPr>
            <w:tcW w:w="0" w:type="auto"/>
            <w:shd w:val="clear" w:color="auto" w:fill="auto"/>
          </w:tcPr>
          <w:p w14:paraId="31E5DE26" w14:textId="77777777" w:rsidR="006633B5" w:rsidRPr="006633B5" w:rsidRDefault="006633B5" w:rsidP="00E10A24">
            <w:pPr>
              <w:pStyle w:val="Tablebody"/>
              <w:spacing w:after="80"/>
              <w:rPr>
                <w:i/>
                <w:iCs/>
              </w:rPr>
            </w:pPr>
            <w:r w:rsidRPr="006633B5">
              <w:rPr>
                <w:i/>
                <w:iCs/>
              </w:rPr>
              <w:t>F</w:t>
            </w:r>
            <w:r w:rsidRPr="006633B5">
              <w:rPr>
                <w:iCs/>
                <w:vertAlign w:val="subscript"/>
              </w:rPr>
              <w:t>3</w:t>
            </w:r>
          </w:p>
        </w:tc>
        <w:tc>
          <w:tcPr>
            <w:tcW w:w="0" w:type="auto"/>
            <w:shd w:val="clear" w:color="auto" w:fill="auto"/>
          </w:tcPr>
          <w:p w14:paraId="5A88183E" w14:textId="77777777" w:rsidR="006633B5" w:rsidRPr="006633B5" w:rsidRDefault="006633B5" w:rsidP="00E10A24">
            <w:pPr>
              <w:pStyle w:val="Tablebody"/>
              <w:spacing w:after="80"/>
            </w:pPr>
            <w:r w:rsidRPr="006633B5">
              <w:t xml:space="preserve">load at the third cycle and at a certain deformation </w:t>
            </w:r>
            <w:r w:rsidRPr="006633B5">
              <w:rPr>
                <w:i/>
              </w:rPr>
              <w:t>δ</w:t>
            </w:r>
            <w:r w:rsidRPr="006633B5">
              <w:t xml:space="preserve"> in a cyclic test performed in accordance with EN 12512</w:t>
            </w:r>
          </w:p>
        </w:tc>
      </w:tr>
      <w:tr w:rsidR="006633B5" w:rsidRPr="006633B5" w14:paraId="0DA10752" w14:textId="77777777" w:rsidTr="006633B5">
        <w:tc>
          <w:tcPr>
            <w:tcW w:w="0" w:type="auto"/>
            <w:shd w:val="clear" w:color="auto" w:fill="auto"/>
          </w:tcPr>
          <w:p w14:paraId="33471F7E" w14:textId="77777777" w:rsidR="006633B5" w:rsidRPr="006633B5" w:rsidRDefault="006633B5" w:rsidP="00E10A24">
            <w:pPr>
              <w:pStyle w:val="Tablebody"/>
              <w:spacing w:after="80"/>
            </w:pPr>
            <w:r w:rsidRPr="006633B5">
              <w:rPr>
                <w:i/>
              </w:rPr>
              <w:t>F</w:t>
            </w:r>
            <w:r w:rsidRPr="006633B5">
              <w:rPr>
                <w:vertAlign w:val="subscript"/>
              </w:rPr>
              <w:t>ap</w:t>
            </w:r>
          </w:p>
        </w:tc>
        <w:tc>
          <w:tcPr>
            <w:tcW w:w="0" w:type="auto"/>
            <w:shd w:val="clear" w:color="auto" w:fill="auto"/>
          </w:tcPr>
          <w:p w14:paraId="4A8FE716" w14:textId="77777777" w:rsidR="006633B5" w:rsidRPr="006633B5" w:rsidRDefault="006633B5" w:rsidP="00E10A24">
            <w:pPr>
              <w:pStyle w:val="Tablebody"/>
              <w:spacing w:after="80"/>
              <w:rPr>
                <w:szCs w:val="22"/>
              </w:rPr>
            </w:pPr>
            <w:r w:rsidRPr="006633B5">
              <w:t>horizontal seismic force, acting at the centre of mass of the ancillary element in the most unfavourable direction</w:t>
            </w:r>
          </w:p>
        </w:tc>
      </w:tr>
      <w:tr w:rsidR="006633B5" w:rsidRPr="006633B5" w14:paraId="282C2E29" w14:textId="77777777" w:rsidTr="006633B5">
        <w:tc>
          <w:tcPr>
            <w:tcW w:w="0" w:type="auto"/>
            <w:shd w:val="clear" w:color="auto" w:fill="auto"/>
          </w:tcPr>
          <w:p w14:paraId="75A27D79" w14:textId="77777777" w:rsidR="006633B5" w:rsidRPr="006633B5" w:rsidRDefault="006633B5" w:rsidP="00E10A24">
            <w:pPr>
              <w:pStyle w:val="Tablebody"/>
              <w:spacing w:after="80"/>
            </w:pPr>
            <w:r w:rsidRPr="006633B5">
              <w:rPr>
                <w:i/>
              </w:rPr>
              <w:t>F</w:t>
            </w:r>
            <w:r w:rsidRPr="006633B5">
              <w:rPr>
                <w:vertAlign w:val="subscript"/>
              </w:rPr>
              <w:t>b</w:t>
            </w:r>
          </w:p>
        </w:tc>
        <w:tc>
          <w:tcPr>
            <w:tcW w:w="0" w:type="auto"/>
            <w:shd w:val="clear" w:color="auto" w:fill="auto"/>
          </w:tcPr>
          <w:p w14:paraId="75B47CFF" w14:textId="77777777" w:rsidR="006633B5" w:rsidRPr="006633B5" w:rsidRDefault="006633B5" w:rsidP="00E10A24">
            <w:pPr>
              <w:pStyle w:val="Tablebody"/>
              <w:spacing w:after="80"/>
              <w:rPr>
                <w:rFonts w:eastAsia="SymbolMT" w:cs="TimesNewRoman"/>
              </w:rPr>
            </w:pPr>
            <w:r w:rsidRPr="006633B5">
              <w:t>seismic base shear force</w:t>
            </w:r>
          </w:p>
        </w:tc>
      </w:tr>
      <w:tr w:rsidR="006633B5" w:rsidRPr="006633B5" w14:paraId="3E7773BA" w14:textId="77777777" w:rsidTr="006633B5">
        <w:tc>
          <w:tcPr>
            <w:tcW w:w="0" w:type="auto"/>
            <w:shd w:val="clear" w:color="auto" w:fill="auto"/>
          </w:tcPr>
          <w:p w14:paraId="41F3A78C" w14:textId="77777777" w:rsidR="006633B5" w:rsidRPr="006633B5" w:rsidRDefault="006633B5" w:rsidP="00E10A24">
            <w:pPr>
              <w:pStyle w:val="Tablebody"/>
              <w:spacing w:after="80"/>
            </w:pPr>
            <w:r w:rsidRPr="006633B5">
              <w:rPr>
                <w:i/>
              </w:rPr>
              <w:t>F</w:t>
            </w:r>
            <w:r w:rsidRPr="006633B5">
              <w:rPr>
                <w:vertAlign w:val="subscript"/>
              </w:rPr>
              <w:t>c</w:t>
            </w:r>
          </w:p>
        </w:tc>
        <w:tc>
          <w:tcPr>
            <w:tcW w:w="0" w:type="auto"/>
            <w:shd w:val="clear" w:color="auto" w:fill="auto"/>
          </w:tcPr>
          <w:p w14:paraId="3B6F78BB" w14:textId="77777777" w:rsidR="006633B5" w:rsidRPr="006633B5" w:rsidRDefault="006633B5" w:rsidP="00E10A24">
            <w:pPr>
              <w:pStyle w:val="Tablebody"/>
              <w:spacing w:after="80"/>
            </w:pPr>
            <w:r w:rsidRPr="006633B5">
              <w:t>compression force</w:t>
            </w:r>
          </w:p>
        </w:tc>
      </w:tr>
      <w:tr w:rsidR="006633B5" w:rsidRPr="006633B5" w14:paraId="322E5785" w14:textId="77777777" w:rsidTr="006633B5">
        <w:tc>
          <w:tcPr>
            <w:tcW w:w="0" w:type="auto"/>
            <w:shd w:val="clear" w:color="auto" w:fill="auto"/>
          </w:tcPr>
          <w:p w14:paraId="079F7F97" w14:textId="77777777" w:rsidR="006633B5" w:rsidRPr="006633B5" w:rsidRDefault="006633B5" w:rsidP="00E10A24">
            <w:pPr>
              <w:pStyle w:val="Tablebody"/>
              <w:spacing w:after="80"/>
              <w:rPr>
                <w:rFonts w:eastAsiaTheme="minorEastAsia"/>
              </w:rPr>
            </w:pPr>
            <w:r w:rsidRPr="006633B5">
              <w:rPr>
                <w:rFonts w:eastAsiaTheme="minorEastAsia"/>
                <w:i/>
              </w:rPr>
              <w:t>F</w:t>
            </w:r>
            <w:r w:rsidRPr="006633B5">
              <w:rPr>
                <w:rFonts w:eastAsiaTheme="minorEastAsia"/>
                <w:iCs/>
                <w:vertAlign w:val="subscript"/>
              </w:rPr>
              <w:t>b,Rd</w:t>
            </w:r>
          </w:p>
        </w:tc>
        <w:tc>
          <w:tcPr>
            <w:tcW w:w="0" w:type="auto"/>
            <w:shd w:val="clear" w:color="auto" w:fill="auto"/>
          </w:tcPr>
          <w:p w14:paraId="0CEE6F3E" w14:textId="77777777" w:rsidR="006633B5" w:rsidRPr="006633B5" w:rsidRDefault="006633B5" w:rsidP="00E10A24">
            <w:pPr>
              <w:pStyle w:val="Tablebody"/>
              <w:spacing w:after="80"/>
              <w:rPr>
                <w:rFonts w:eastAsiaTheme="minorEastAsia"/>
              </w:rPr>
            </w:pPr>
            <w:r w:rsidRPr="006633B5">
              <w:rPr>
                <w:rFonts w:eastAsiaTheme="minorEastAsia"/>
              </w:rPr>
              <w:t>design bearing resistance of the member-to-sheathing connection</w:t>
            </w:r>
          </w:p>
        </w:tc>
      </w:tr>
      <w:tr w:rsidR="006633B5" w:rsidRPr="006633B5" w14:paraId="624C123D" w14:textId="77777777" w:rsidTr="006633B5">
        <w:tc>
          <w:tcPr>
            <w:tcW w:w="0" w:type="auto"/>
            <w:shd w:val="clear" w:color="auto" w:fill="auto"/>
          </w:tcPr>
          <w:p w14:paraId="36E0536C" w14:textId="77777777" w:rsidR="006633B5" w:rsidRPr="006633B5" w:rsidRDefault="006633B5" w:rsidP="00E10A24">
            <w:pPr>
              <w:pStyle w:val="Tablebody"/>
              <w:spacing w:after="80"/>
              <w:rPr>
                <w:rFonts w:eastAsiaTheme="minorEastAsia"/>
              </w:rPr>
            </w:pPr>
            <w:r w:rsidRPr="006633B5">
              <w:rPr>
                <w:rFonts w:eastAsiaTheme="minorEastAsia"/>
                <w:i/>
              </w:rPr>
              <w:lastRenderedPageBreak/>
              <w:t>F</w:t>
            </w:r>
            <w:r w:rsidRPr="006633B5">
              <w:rPr>
                <w:rFonts w:eastAsiaTheme="minorEastAsia"/>
                <w:iCs/>
                <w:vertAlign w:val="subscript"/>
              </w:rPr>
              <w:t>Ed</w:t>
            </w:r>
            <w:r w:rsidRPr="006633B5">
              <w:rPr>
                <w:rFonts w:eastAsiaTheme="minorEastAsia"/>
              </w:rPr>
              <w:t xml:space="preserve"> </w:t>
            </w:r>
          </w:p>
        </w:tc>
        <w:tc>
          <w:tcPr>
            <w:tcW w:w="0" w:type="auto"/>
            <w:shd w:val="clear" w:color="auto" w:fill="auto"/>
          </w:tcPr>
          <w:p w14:paraId="56ED225C" w14:textId="77777777" w:rsidR="006633B5" w:rsidRPr="006633B5" w:rsidRDefault="006633B5" w:rsidP="00E10A24">
            <w:pPr>
              <w:pStyle w:val="Tablebody"/>
              <w:spacing w:after="80"/>
              <w:rPr>
                <w:rFonts w:eastAsiaTheme="minorEastAsia"/>
              </w:rPr>
            </w:pPr>
            <w:r w:rsidRPr="006633B5">
              <w:rPr>
                <w:rFonts w:eastAsiaTheme="minorEastAsia"/>
              </w:rPr>
              <w:t>design value of the lateral force acting on a steel shear wall in the seismic design situation</w:t>
            </w:r>
          </w:p>
        </w:tc>
      </w:tr>
      <w:tr w:rsidR="006633B5" w:rsidRPr="006633B5" w14:paraId="1D363EB0" w14:textId="77777777" w:rsidTr="006633B5">
        <w:tc>
          <w:tcPr>
            <w:tcW w:w="0" w:type="auto"/>
            <w:shd w:val="clear" w:color="auto" w:fill="auto"/>
          </w:tcPr>
          <w:p w14:paraId="1B64A0CE" w14:textId="77777777" w:rsidR="006633B5" w:rsidRPr="006633B5" w:rsidRDefault="006633B5" w:rsidP="00E10A24">
            <w:pPr>
              <w:pStyle w:val="Tablebody"/>
              <w:spacing w:after="80"/>
              <w:rPr>
                <w:i/>
                <w:iCs/>
              </w:rPr>
            </w:pPr>
            <w:r w:rsidRPr="006633B5">
              <w:rPr>
                <w:i/>
                <w:iCs/>
              </w:rPr>
              <w:t>F</w:t>
            </w:r>
            <w:r w:rsidRPr="006633B5">
              <w:rPr>
                <w:iCs/>
                <w:vertAlign w:val="subscript"/>
              </w:rPr>
              <w:t>Ed,E</w:t>
            </w:r>
          </w:p>
        </w:tc>
        <w:tc>
          <w:tcPr>
            <w:tcW w:w="0" w:type="auto"/>
            <w:shd w:val="clear" w:color="auto" w:fill="auto"/>
          </w:tcPr>
          <w:p w14:paraId="7E79AEDD" w14:textId="77777777" w:rsidR="006633B5" w:rsidRPr="006633B5" w:rsidRDefault="006633B5" w:rsidP="00E10A24">
            <w:pPr>
              <w:pStyle w:val="Tablebody"/>
              <w:spacing w:after="80"/>
            </w:pPr>
            <w:r w:rsidRPr="006633B5">
              <w:rPr>
                <w:iCs/>
              </w:rPr>
              <w:t>action</w:t>
            </w:r>
            <w:r w:rsidRPr="006633B5">
              <w:rPr>
                <w:i/>
                <w:iCs/>
              </w:rPr>
              <w:t xml:space="preserve"> </w:t>
            </w:r>
            <w:r w:rsidRPr="006633B5">
              <w:t>effect (shear force, bending moment, or axial force) in the non-dissipative joint, connection, or member, due to the design seismic action</w:t>
            </w:r>
          </w:p>
        </w:tc>
      </w:tr>
      <w:tr w:rsidR="006633B5" w:rsidRPr="006633B5" w14:paraId="19865F0A" w14:textId="77777777" w:rsidTr="006633B5">
        <w:tc>
          <w:tcPr>
            <w:tcW w:w="0" w:type="auto"/>
            <w:shd w:val="clear" w:color="auto" w:fill="auto"/>
          </w:tcPr>
          <w:p w14:paraId="450F96B7" w14:textId="77777777" w:rsidR="006633B5" w:rsidRPr="006633B5" w:rsidRDefault="006633B5" w:rsidP="00E10A24">
            <w:pPr>
              <w:pStyle w:val="Tablebody"/>
              <w:spacing w:after="80"/>
              <w:rPr>
                <w:iCs/>
                <w:vertAlign w:val="subscript"/>
              </w:rPr>
            </w:pPr>
            <w:r w:rsidRPr="006633B5">
              <w:rPr>
                <w:i/>
                <w:iCs/>
              </w:rPr>
              <w:t>F</w:t>
            </w:r>
            <w:r w:rsidRPr="006633B5">
              <w:rPr>
                <w:iCs/>
                <w:vertAlign w:val="subscript"/>
              </w:rPr>
              <w:t>Ed,E,s</w:t>
            </w:r>
          </w:p>
        </w:tc>
        <w:tc>
          <w:tcPr>
            <w:tcW w:w="0" w:type="auto"/>
            <w:shd w:val="clear" w:color="auto" w:fill="auto"/>
          </w:tcPr>
          <w:p w14:paraId="0215CDD7" w14:textId="77777777" w:rsidR="006633B5" w:rsidRPr="006633B5" w:rsidRDefault="006633B5" w:rsidP="00E10A24">
            <w:pPr>
              <w:pStyle w:val="Tablebody"/>
              <w:spacing w:after="80"/>
            </w:pPr>
            <w:r w:rsidRPr="006633B5">
              <w:rPr>
                <w:lang w:val="en-US"/>
              </w:rPr>
              <w:t>action effect in the shear connections due to the design seismic action</w:t>
            </w:r>
          </w:p>
        </w:tc>
      </w:tr>
      <w:tr w:rsidR="006633B5" w:rsidRPr="006633B5" w14:paraId="4693E3CD" w14:textId="77777777" w:rsidTr="006633B5">
        <w:tc>
          <w:tcPr>
            <w:tcW w:w="0" w:type="auto"/>
            <w:shd w:val="clear" w:color="auto" w:fill="auto"/>
          </w:tcPr>
          <w:p w14:paraId="52F8C35F" w14:textId="77777777" w:rsidR="006633B5" w:rsidRPr="006633B5" w:rsidRDefault="006633B5" w:rsidP="00E10A24">
            <w:pPr>
              <w:pStyle w:val="Tablebody"/>
              <w:spacing w:after="80"/>
            </w:pPr>
            <w:r w:rsidRPr="006633B5">
              <w:rPr>
                <w:i/>
                <w:iCs/>
              </w:rPr>
              <w:t>F</w:t>
            </w:r>
            <w:r w:rsidRPr="006633B5">
              <w:rPr>
                <w:vertAlign w:val="subscript"/>
              </w:rPr>
              <w:t>Ed,G</w:t>
            </w:r>
          </w:p>
        </w:tc>
        <w:tc>
          <w:tcPr>
            <w:tcW w:w="0" w:type="auto"/>
            <w:shd w:val="clear" w:color="auto" w:fill="auto"/>
          </w:tcPr>
          <w:p w14:paraId="2C6C01F5" w14:textId="77777777" w:rsidR="006633B5" w:rsidRPr="006633B5" w:rsidRDefault="006633B5" w:rsidP="00E10A24">
            <w:pPr>
              <w:pStyle w:val="Tablebody"/>
              <w:spacing w:after="80"/>
            </w:pPr>
            <w:r w:rsidRPr="006633B5">
              <w:t>action effect (shear force, bending moment, or axial force) in the non-dissipative joint, connection, or member, due to the non-seismic actions in the seismic design situation</w:t>
            </w:r>
          </w:p>
        </w:tc>
      </w:tr>
      <w:tr w:rsidR="006633B5" w:rsidRPr="006633B5" w14:paraId="37F7A5A6" w14:textId="77777777" w:rsidTr="006633B5">
        <w:tc>
          <w:tcPr>
            <w:tcW w:w="0" w:type="auto"/>
            <w:shd w:val="clear" w:color="auto" w:fill="auto"/>
          </w:tcPr>
          <w:p w14:paraId="32971A79" w14:textId="77777777" w:rsidR="006633B5" w:rsidRPr="006633B5" w:rsidRDefault="006633B5" w:rsidP="00E10A24">
            <w:pPr>
              <w:pStyle w:val="Tablebody"/>
              <w:spacing w:after="80"/>
            </w:pPr>
            <w:r w:rsidRPr="006633B5">
              <w:rPr>
                <w:i/>
              </w:rPr>
              <w:t>F</w:t>
            </w:r>
            <w:r w:rsidRPr="006633B5">
              <w:rPr>
                <w:iCs/>
                <w:vertAlign w:val="subscript"/>
              </w:rPr>
              <w:t>H</w:t>
            </w:r>
          </w:p>
        </w:tc>
        <w:tc>
          <w:tcPr>
            <w:tcW w:w="0" w:type="auto"/>
            <w:shd w:val="clear" w:color="auto" w:fill="auto"/>
          </w:tcPr>
          <w:p w14:paraId="69DF561E" w14:textId="77777777" w:rsidR="006633B5" w:rsidRPr="006633B5" w:rsidRDefault="006633B5" w:rsidP="00E10A24">
            <w:pPr>
              <w:pStyle w:val="Tablebody"/>
              <w:spacing w:after="80"/>
            </w:pPr>
            <w:r w:rsidRPr="006633B5">
              <w:t>hysteresis loop adjustment factor</w:t>
            </w:r>
          </w:p>
        </w:tc>
      </w:tr>
      <w:tr w:rsidR="006633B5" w:rsidRPr="006633B5" w14:paraId="05E02DA5" w14:textId="77777777" w:rsidTr="006633B5">
        <w:tc>
          <w:tcPr>
            <w:tcW w:w="0" w:type="auto"/>
            <w:shd w:val="clear" w:color="auto" w:fill="auto"/>
          </w:tcPr>
          <w:p w14:paraId="329AA899" w14:textId="77777777" w:rsidR="006633B5" w:rsidRPr="006633B5" w:rsidRDefault="006633B5" w:rsidP="00E10A24">
            <w:pPr>
              <w:pStyle w:val="Tablebody"/>
              <w:spacing w:after="80"/>
              <w:rPr>
                <w:i/>
              </w:rPr>
            </w:pPr>
            <w:r w:rsidRPr="006633B5">
              <w:rPr>
                <w:i/>
              </w:rPr>
              <w:t>F</w:t>
            </w:r>
            <w:r w:rsidRPr="006633B5">
              <w:rPr>
                <w:iCs/>
                <w:vertAlign w:val="subscript"/>
              </w:rPr>
              <w:t>i</w:t>
            </w:r>
          </w:p>
        </w:tc>
        <w:tc>
          <w:tcPr>
            <w:tcW w:w="0" w:type="auto"/>
            <w:shd w:val="clear" w:color="auto" w:fill="auto"/>
          </w:tcPr>
          <w:p w14:paraId="7242C082" w14:textId="77777777" w:rsidR="006633B5" w:rsidRPr="006633B5" w:rsidRDefault="006633B5" w:rsidP="00E10A24">
            <w:pPr>
              <w:pStyle w:val="Tablebody"/>
              <w:spacing w:after="80"/>
            </w:pPr>
            <w:r w:rsidRPr="006633B5">
              <w:t xml:space="preserve">horizontal force acting on storey </w:t>
            </w:r>
            <w:r w:rsidRPr="006633B5">
              <w:rPr>
                <w:i/>
              </w:rPr>
              <w:t>i</w:t>
            </w:r>
          </w:p>
        </w:tc>
      </w:tr>
      <w:tr w:rsidR="006633B5" w:rsidRPr="006633B5" w14:paraId="55131954" w14:textId="77777777" w:rsidTr="006633B5">
        <w:tc>
          <w:tcPr>
            <w:tcW w:w="0" w:type="auto"/>
            <w:shd w:val="clear" w:color="auto" w:fill="auto"/>
          </w:tcPr>
          <w:p w14:paraId="0443D482" w14:textId="77777777" w:rsidR="006633B5" w:rsidRPr="006633B5" w:rsidRDefault="006633B5" w:rsidP="00E10A24">
            <w:pPr>
              <w:pStyle w:val="Tablebody"/>
              <w:spacing w:after="80"/>
            </w:pPr>
            <w:r w:rsidRPr="006633B5">
              <w:rPr>
                <w:i/>
              </w:rPr>
              <w:t>F</w:t>
            </w:r>
            <w:r w:rsidRPr="006633B5">
              <w:rPr>
                <w:iCs/>
                <w:vertAlign w:val="subscript"/>
              </w:rPr>
              <w:t>i1</w:t>
            </w:r>
          </w:p>
        </w:tc>
        <w:tc>
          <w:tcPr>
            <w:tcW w:w="0" w:type="auto"/>
            <w:shd w:val="clear" w:color="auto" w:fill="auto"/>
          </w:tcPr>
          <w:p w14:paraId="393C303B" w14:textId="77777777" w:rsidR="006633B5" w:rsidRPr="006633B5" w:rsidRDefault="006633B5" w:rsidP="00E10A24">
            <w:pPr>
              <w:pStyle w:val="Tablebody"/>
              <w:spacing w:after="80"/>
            </w:pPr>
            <w:r w:rsidRPr="006633B5">
              <w:t xml:space="preserve">design lateral force at </w:t>
            </w:r>
            <w:r w:rsidRPr="006633B5">
              <w:rPr>
                <w:i/>
              </w:rPr>
              <w:t>i</w:t>
            </w:r>
            <w:r w:rsidRPr="006633B5">
              <w:rPr>
                <w:iCs/>
              </w:rPr>
              <w:t>-th</w:t>
            </w:r>
            <w:r w:rsidRPr="006633B5">
              <w:t xml:space="preserve"> floor in the first mode </w:t>
            </w:r>
          </w:p>
        </w:tc>
      </w:tr>
      <w:tr w:rsidR="006633B5" w:rsidRPr="006633B5" w14:paraId="48A45C79" w14:textId="77777777" w:rsidTr="006633B5">
        <w:tc>
          <w:tcPr>
            <w:tcW w:w="0" w:type="auto"/>
            <w:shd w:val="clear" w:color="auto" w:fill="auto"/>
          </w:tcPr>
          <w:p w14:paraId="58BF99CF" w14:textId="77777777" w:rsidR="006633B5" w:rsidRPr="006633B5" w:rsidRDefault="006633B5" w:rsidP="00E10A24">
            <w:pPr>
              <w:pStyle w:val="Tablebody"/>
              <w:spacing w:after="80"/>
            </w:pPr>
            <w:r w:rsidRPr="006633B5">
              <w:rPr>
                <w:i/>
              </w:rPr>
              <w:t>F</w:t>
            </w:r>
            <w:r w:rsidRPr="006633B5">
              <w:rPr>
                <w:iCs/>
                <w:vertAlign w:val="subscript"/>
              </w:rPr>
              <w:t>im</w:t>
            </w:r>
          </w:p>
        </w:tc>
        <w:tc>
          <w:tcPr>
            <w:tcW w:w="0" w:type="auto"/>
            <w:shd w:val="clear" w:color="auto" w:fill="auto"/>
          </w:tcPr>
          <w:p w14:paraId="497C826D" w14:textId="77777777" w:rsidR="006633B5" w:rsidRPr="006633B5" w:rsidRDefault="006633B5" w:rsidP="00E10A24">
            <w:pPr>
              <w:pStyle w:val="Tablebody"/>
              <w:spacing w:after="80"/>
            </w:pPr>
            <w:r w:rsidRPr="006633B5">
              <w:t xml:space="preserve">design lateral force at </w:t>
            </w:r>
            <w:r w:rsidRPr="006633B5">
              <w:rPr>
                <w:i/>
              </w:rPr>
              <w:t>i</w:t>
            </w:r>
            <w:r w:rsidRPr="006633B5">
              <w:rPr>
                <w:iCs/>
              </w:rPr>
              <w:t>-th</w:t>
            </w:r>
            <w:r w:rsidRPr="006633B5">
              <w:t xml:space="preserve"> floor in the </w:t>
            </w:r>
            <w:r w:rsidRPr="006633B5">
              <w:rPr>
                <w:i/>
                <w:iCs/>
              </w:rPr>
              <w:t>m</w:t>
            </w:r>
            <w:r w:rsidRPr="006633B5">
              <w:t xml:space="preserve">-th mode </w:t>
            </w:r>
          </w:p>
        </w:tc>
      </w:tr>
      <w:tr w:rsidR="006633B5" w:rsidRPr="006633B5" w14:paraId="208097B6" w14:textId="77777777" w:rsidTr="006633B5">
        <w:tc>
          <w:tcPr>
            <w:tcW w:w="0" w:type="auto"/>
            <w:shd w:val="clear" w:color="auto" w:fill="auto"/>
          </w:tcPr>
          <w:p w14:paraId="647C75BB" w14:textId="77777777" w:rsidR="006633B5" w:rsidRPr="006633B5" w:rsidRDefault="006633B5" w:rsidP="00E10A24">
            <w:pPr>
              <w:pStyle w:val="Tablebody"/>
              <w:spacing w:after="80"/>
              <w:rPr>
                <w:i/>
                <w:iCs/>
              </w:rPr>
            </w:pPr>
            <w:r w:rsidRPr="006633B5">
              <w:rPr>
                <w:i/>
                <w:iCs/>
              </w:rPr>
              <w:t>F</w:t>
            </w:r>
            <w:r w:rsidRPr="006633B5">
              <w:rPr>
                <w:iCs/>
                <w:vertAlign w:val="subscript"/>
              </w:rPr>
              <w:t>M,Ed</w:t>
            </w:r>
          </w:p>
        </w:tc>
        <w:tc>
          <w:tcPr>
            <w:tcW w:w="0" w:type="auto"/>
            <w:shd w:val="clear" w:color="auto" w:fill="auto"/>
          </w:tcPr>
          <w:p w14:paraId="15BD76BB" w14:textId="77777777" w:rsidR="006633B5" w:rsidRPr="006633B5" w:rsidRDefault="006633B5" w:rsidP="00E10A24">
            <w:pPr>
              <w:pStyle w:val="Tablebody"/>
              <w:spacing w:after="80"/>
              <w:rPr>
                <w:iCs/>
              </w:rPr>
            </w:pPr>
            <w:r w:rsidRPr="006633B5">
              <w:rPr>
                <w:iCs/>
              </w:rPr>
              <w:t xml:space="preserve">design shear force </w:t>
            </w:r>
            <w:r w:rsidRPr="006633B5">
              <w:t>in a fastener in the outer circle due to the bending moment transmitted by the joint</w:t>
            </w:r>
          </w:p>
        </w:tc>
      </w:tr>
      <w:tr w:rsidR="006633B5" w:rsidRPr="006633B5" w14:paraId="33B67977" w14:textId="77777777" w:rsidTr="006633B5">
        <w:tc>
          <w:tcPr>
            <w:tcW w:w="0" w:type="auto"/>
            <w:shd w:val="clear" w:color="auto" w:fill="auto"/>
          </w:tcPr>
          <w:p w14:paraId="0048E84E" w14:textId="77777777" w:rsidR="006633B5" w:rsidRPr="006633B5" w:rsidRDefault="006633B5" w:rsidP="00E10A24">
            <w:pPr>
              <w:pStyle w:val="Tablebody"/>
              <w:spacing w:after="80"/>
              <w:rPr>
                <w:i/>
              </w:rPr>
            </w:pPr>
            <w:r w:rsidRPr="006633B5">
              <w:rPr>
                <w:i/>
              </w:rPr>
              <w:t>F</w:t>
            </w:r>
            <w:r w:rsidRPr="006633B5">
              <w:rPr>
                <w:vertAlign w:val="subscript"/>
              </w:rPr>
              <w:t>max</w:t>
            </w:r>
          </w:p>
        </w:tc>
        <w:tc>
          <w:tcPr>
            <w:tcW w:w="0" w:type="auto"/>
            <w:shd w:val="clear" w:color="auto" w:fill="auto"/>
          </w:tcPr>
          <w:p w14:paraId="08049AE2" w14:textId="77777777" w:rsidR="006633B5" w:rsidRPr="006633B5" w:rsidRDefault="006633B5" w:rsidP="00E10A24">
            <w:pPr>
              <w:pStyle w:val="Tablebody"/>
              <w:spacing w:after="80"/>
            </w:pPr>
            <w:r w:rsidRPr="006633B5">
              <w:t>maximum load attained on the 1</w:t>
            </w:r>
            <w:r w:rsidRPr="006633B5">
              <w:rPr>
                <w:vertAlign w:val="superscript"/>
              </w:rPr>
              <w:t>st</w:t>
            </w:r>
            <w:r w:rsidRPr="006633B5">
              <w:t xml:space="preserve"> cyclic envelope load-deformation curve in a cyclic test performed in accordance with EN 12512</w:t>
            </w:r>
          </w:p>
        </w:tc>
      </w:tr>
      <w:tr w:rsidR="006633B5" w:rsidRPr="006633B5" w14:paraId="3C4E1BFC" w14:textId="77777777" w:rsidTr="006633B5">
        <w:tc>
          <w:tcPr>
            <w:tcW w:w="0" w:type="auto"/>
            <w:shd w:val="clear" w:color="auto" w:fill="auto"/>
          </w:tcPr>
          <w:p w14:paraId="7A5E9645" w14:textId="77777777" w:rsidR="006633B5" w:rsidRPr="006633B5" w:rsidRDefault="006633B5" w:rsidP="00E10A24">
            <w:pPr>
              <w:pStyle w:val="Tablebody"/>
              <w:spacing w:after="80"/>
            </w:pPr>
            <w:r w:rsidRPr="006633B5">
              <w:rPr>
                <w:i/>
                <w:iCs/>
              </w:rPr>
              <w:t>F</w:t>
            </w:r>
            <w:r w:rsidRPr="006633B5">
              <w:rPr>
                <w:iCs/>
                <w:vertAlign w:val="subscript"/>
              </w:rPr>
              <w:t>oop</w:t>
            </w:r>
          </w:p>
        </w:tc>
        <w:tc>
          <w:tcPr>
            <w:tcW w:w="0" w:type="auto"/>
            <w:shd w:val="clear" w:color="auto" w:fill="auto"/>
          </w:tcPr>
          <w:p w14:paraId="19B7D409" w14:textId="77777777" w:rsidR="006633B5" w:rsidRPr="006633B5" w:rsidRDefault="006633B5" w:rsidP="00E10A24">
            <w:pPr>
              <w:pStyle w:val="Tablebody"/>
              <w:spacing w:after="80"/>
            </w:pPr>
            <w:r w:rsidRPr="006633B5">
              <w:t>resultant horizontal force acting on an out-of-plane loaded pier</w:t>
            </w:r>
          </w:p>
        </w:tc>
      </w:tr>
      <w:tr w:rsidR="006633B5" w:rsidRPr="006633B5" w14:paraId="30ECC5BF" w14:textId="77777777" w:rsidTr="006633B5">
        <w:tc>
          <w:tcPr>
            <w:tcW w:w="0" w:type="auto"/>
            <w:shd w:val="clear" w:color="auto" w:fill="auto"/>
          </w:tcPr>
          <w:p w14:paraId="1B946DAA" w14:textId="77777777" w:rsidR="006633B5" w:rsidRPr="006633B5" w:rsidRDefault="006633B5" w:rsidP="00E10A24">
            <w:pPr>
              <w:pStyle w:val="Tablebody"/>
              <w:spacing w:after="80"/>
            </w:pPr>
            <w:r w:rsidRPr="006633B5">
              <w:rPr>
                <w:i/>
                <w:iCs/>
              </w:rPr>
              <w:t>F</w:t>
            </w:r>
            <w:r w:rsidRPr="006633B5">
              <w:rPr>
                <w:vertAlign w:val="subscript"/>
              </w:rPr>
              <w:t>Rd,b</w:t>
            </w:r>
          </w:p>
        </w:tc>
        <w:tc>
          <w:tcPr>
            <w:tcW w:w="0" w:type="auto"/>
            <w:shd w:val="clear" w:color="auto" w:fill="auto"/>
          </w:tcPr>
          <w:p w14:paraId="283FC171" w14:textId="77777777" w:rsidR="006633B5" w:rsidRPr="006633B5" w:rsidRDefault="006633B5" w:rsidP="00E10A24">
            <w:pPr>
              <w:pStyle w:val="Tablebody"/>
              <w:spacing w:after="80"/>
            </w:pPr>
            <w:r w:rsidRPr="006633B5">
              <w:t>design value of the strength of the non-dissipative, brittle, components</w:t>
            </w:r>
          </w:p>
        </w:tc>
      </w:tr>
      <w:tr w:rsidR="006633B5" w:rsidRPr="006633B5" w14:paraId="02717212" w14:textId="77777777" w:rsidTr="006633B5">
        <w:tc>
          <w:tcPr>
            <w:tcW w:w="0" w:type="auto"/>
            <w:shd w:val="clear" w:color="auto" w:fill="auto"/>
          </w:tcPr>
          <w:p w14:paraId="066B04FC" w14:textId="77777777" w:rsidR="006633B5" w:rsidRPr="006633B5" w:rsidRDefault="006633B5" w:rsidP="00E10A24">
            <w:pPr>
              <w:pStyle w:val="Tablebody"/>
              <w:spacing w:after="80"/>
              <w:rPr>
                <w:vertAlign w:val="subscript"/>
              </w:rPr>
            </w:pPr>
            <w:r w:rsidRPr="006633B5">
              <w:rPr>
                <w:i/>
                <w:iCs/>
              </w:rPr>
              <w:t>F</w:t>
            </w:r>
            <w:r w:rsidRPr="006633B5">
              <w:rPr>
                <w:vertAlign w:val="subscript"/>
              </w:rPr>
              <w:t>Rd,hd,i,j</w:t>
            </w:r>
          </w:p>
        </w:tc>
        <w:tc>
          <w:tcPr>
            <w:tcW w:w="0" w:type="auto"/>
            <w:shd w:val="clear" w:color="auto" w:fill="auto"/>
          </w:tcPr>
          <w:p w14:paraId="52AAEDCB" w14:textId="77777777" w:rsidR="006633B5" w:rsidRPr="006633B5" w:rsidRDefault="006633B5" w:rsidP="00E10A24">
            <w:pPr>
              <w:pStyle w:val="Tablebody"/>
              <w:spacing w:after="80"/>
            </w:pPr>
            <w:r w:rsidRPr="006633B5">
              <w:rPr>
                <w:lang w:val="en-US"/>
              </w:rPr>
              <w:t xml:space="preserve">tensile-vertical design strength of the anchoring connections against overturning of the </w:t>
            </w:r>
            <w:r w:rsidRPr="006633B5">
              <w:rPr>
                <w:i/>
                <w:lang w:val="en-US"/>
              </w:rPr>
              <w:t>j</w:t>
            </w:r>
            <w:r w:rsidRPr="006633B5">
              <w:rPr>
                <w:i/>
                <w:vertAlign w:val="superscript"/>
                <w:lang w:val="en-US"/>
              </w:rPr>
              <w:t>th</w:t>
            </w:r>
            <w:r w:rsidRPr="006633B5">
              <w:rPr>
                <w:lang w:val="en-US"/>
              </w:rPr>
              <w:t xml:space="preserve"> CLT shear-wall at the </w:t>
            </w:r>
            <w:r w:rsidRPr="006633B5">
              <w:rPr>
                <w:i/>
                <w:lang w:val="en-US"/>
              </w:rPr>
              <w:t>i</w:t>
            </w:r>
            <w:r w:rsidRPr="006633B5">
              <w:rPr>
                <w:i/>
                <w:vertAlign w:val="superscript"/>
                <w:lang w:val="en-US"/>
              </w:rPr>
              <w:t>th</w:t>
            </w:r>
            <w:r w:rsidRPr="006633B5">
              <w:rPr>
                <w:lang w:val="en-US"/>
              </w:rPr>
              <w:t xml:space="preserve"> storey</w:t>
            </w:r>
          </w:p>
        </w:tc>
      </w:tr>
      <w:tr w:rsidR="006633B5" w:rsidRPr="006633B5" w14:paraId="4B6CD040" w14:textId="77777777" w:rsidTr="006633B5">
        <w:tc>
          <w:tcPr>
            <w:tcW w:w="0" w:type="auto"/>
            <w:shd w:val="clear" w:color="auto" w:fill="auto"/>
          </w:tcPr>
          <w:p w14:paraId="5531D08A" w14:textId="77777777" w:rsidR="006633B5" w:rsidRPr="006633B5" w:rsidRDefault="006633B5" w:rsidP="00E10A24">
            <w:pPr>
              <w:pStyle w:val="Tablebody"/>
              <w:spacing w:after="80"/>
            </w:pPr>
            <w:r w:rsidRPr="006633B5">
              <w:rPr>
                <w:i/>
                <w:iCs/>
              </w:rPr>
              <w:t>F</w:t>
            </w:r>
            <w:r w:rsidRPr="006633B5">
              <w:rPr>
                <w:vertAlign w:val="subscript"/>
              </w:rPr>
              <w:t>Rk,b</w:t>
            </w:r>
          </w:p>
        </w:tc>
        <w:tc>
          <w:tcPr>
            <w:tcW w:w="0" w:type="auto"/>
            <w:shd w:val="clear" w:color="auto" w:fill="auto"/>
          </w:tcPr>
          <w:p w14:paraId="731A1A38" w14:textId="77777777" w:rsidR="006633B5" w:rsidRPr="006633B5" w:rsidRDefault="006633B5" w:rsidP="00E10A24">
            <w:pPr>
              <w:pStyle w:val="Tablebody"/>
              <w:spacing w:after="80"/>
            </w:pPr>
            <w:r w:rsidRPr="006633B5">
              <w:t>characteristic value of the strength of the non-dissipative, brittle, components</w:t>
            </w:r>
          </w:p>
        </w:tc>
      </w:tr>
      <w:tr w:rsidR="006633B5" w:rsidRPr="006633B5" w14:paraId="158AE532" w14:textId="77777777" w:rsidTr="006633B5">
        <w:tc>
          <w:tcPr>
            <w:tcW w:w="0" w:type="auto"/>
            <w:shd w:val="clear" w:color="auto" w:fill="auto"/>
          </w:tcPr>
          <w:p w14:paraId="287E1579" w14:textId="77777777" w:rsidR="006633B5" w:rsidRPr="006633B5" w:rsidRDefault="006633B5" w:rsidP="00E10A24">
            <w:pPr>
              <w:pStyle w:val="Tablebody"/>
              <w:spacing w:after="80"/>
            </w:pPr>
            <w:r w:rsidRPr="006633B5">
              <w:rPr>
                <w:i/>
                <w:iCs/>
              </w:rPr>
              <w:t>F</w:t>
            </w:r>
            <w:r w:rsidRPr="006633B5">
              <w:rPr>
                <w:vertAlign w:val="subscript"/>
              </w:rPr>
              <w:t>Rd,c</w:t>
            </w:r>
          </w:p>
        </w:tc>
        <w:tc>
          <w:tcPr>
            <w:tcW w:w="0" w:type="auto"/>
            <w:shd w:val="clear" w:color="auto" w:fill="auto"/>
          </w:tcPr>
          <w:p w14:paraId="080A7DDB" w14:textId="77777777" w:rsidR="006633B5" w:rsidRPr="006633B5" w:rsidRDefault="006633B5" w:rsidP="00E10A24">
            <w:pPr>
              <w:pStyle w:val="Tablebody"/>
              <w:spacing w:after="80"/>
            </w:pPr>
            <w:r w:rsidRPr="006633B5">
              <w:t>design strength in seismic conditions of the single timber-to-timber connection used in the vertical joint</w:t>
            </w:r>
          </w:p>
        </w:tc>
      </w:tr>
      <w:tr w:rsidR="006633B5" w:rsidRPr="006633B5" w14:paraId="6418F1D9" w14:textId="77777777" w:rsidTr="006633B5">
        <w:tc>
          <w:tcPr>
            <w:tcW w:w="0" w:type="auto"/>
            <w:shd w:val="clear" w:color="auto" w:fill="auto"/>
          </w:tcPr>
          <w:p w14:paraId="0C877035" w14:textId="77777777" w:rsidR="006633B5" w:rsidRPr="006633B5" w:rsidRDefault="006633B5" w:rsidP="00E10A24">
            <w:pPr>
              <w:pStyle w:val="Tablebody"/>
              <w:spacing w:after="80"/>
            </w:pPr>
            <w:r w:rsidRPr="006633B5">
              <w:rPr>
                <w:i/>
                <w:iCs/>
              </w:rPr>
              <w:t>F</w:t>
            </w:r>
            <w:r w:rsidRPr="006633B5">
              <w:rPr>
                <w:vertAlign w:val="subscript"/>
              </w:rPr>
              <w:t>Rd,d</w:t>
            </w:r>
          </w:p>
        </w:tc>
        <w:tc>
          <w:tcPr>
            <w:tcW w:w="0" w:type="auto"/>
            <w:shd w:val="clear" w:color="auto" w:fill="auto"/>
          </w:tcPr>
          <w:p w14:paraId="42E847D8" w14:textId="77777777" w:rsidR="006633B5" w:rsidRPr="006633B5" w:rsidRDefault="006633B5" w:rsidP="00E10A24">
            <w:pPr>
              <w:pStyle w:val="Tablebody"/>
              <w:spacing w:after="80"/>
            </w:pPr>
            <w:r w:rsidRPr="006633B5">
              <w:t>design value of the strength of the dissipative, ductile, zones</w:t>
            </w:r>
          </w:p>
        </w:tc>
      </w:tr>
      <w:tr w:rsidR="006633B5" w:rsidRPr="006633B5" w14:paraId="42E804E6" w14:textId="77777777" w:rsidTr="006633B5">
        <w:tc>
          <w:tcPr>
            <w:tcW w:w="0" w:type="auto"/>
            <w:shd w:val="clear" w:color="auto" w:fill="auto"/>
          </w:tcPr>
          <w:p w14:paraId="2C02FD81" w14:textId="77777777" w:rsidR="006633B5" w:rsidRPr="006633B5" w:rsidRDefault="006633B5" w:rsidP="00E10A24">
            <w:pPr>
              <w:pStyle w:val="Tablebody"/>
              <w:spacing w:after="80"/>
            </w:pPr>
            <w:r w:rsidRPr="006633B5">
              <w:rPr>
                <w:i/>
                <w:iCs/>
              </w:rPr>
              <w:t>F</w:t>
            </w:r>
            <w:r w:rsidRPr="006633B5">
              <w:rPr>
                <w:vertAlign w:val="subscript"/>
              </w:rPr>
              <w:t>Rk,d</w:t>
            </w:r>
          </w:p>
        </w:tc>
        <w:tc>
          <w:tcPr>
            <w:tcW w:w="0" w:type="auto"/>
            <w:shd w:val="clear" w:color="auto" w:fill="auto"/>
          </w:tcPr>
          <w:p w14:paraId="09C41861" w14:textId="77777777" w:rsidR="006633B5" w:rsidRPr="006633B5" w:rsidRDefault="006633B5" w:rsidP="00E10A24">
            <w:pPr>
              <w:pStyle w:val="Tablebody"/>
              <w:spacing w:after="80"/>
            </w:pPr>
            <w:r w:rsidRPr="006633B5">
              <w:t>characteristic value of the strength of the dissipative, ductile, zones</w:t>
            </w:r>
          </w:p>
        </w:tc>
      </w:tr>
      <w:tr w:rsidR="006633B5" w:rsidRPr="006633B5" w14:paraId="6B1CA6F8" w14:textId="77777777" w:rsidTr="006633B5">
        <w:tc>
          <w:tcPr>
            <w:tcW w:w="0" w:type="auto"/>
            <w:shd w:val="clear" w:color="auto" w:fill="auto"/>
          </w:tcPr>
          <w:p w14:paraId="5A10C637" w14:textId="77777777" w:rsidR="006633B5" w:rsidRPr="006633B5" w:rsidRDefault="006633B5" w:rsidP="00E10A24">
            <w:pPr>
              <w:pStyle w:val="Tablebody"/>
              <w:spacing w:after="80"/>
            </w:pPr>
            <w:r w:rsidRPr="006633B5">
              <w:rPr>
                <w:i/>
                <w:iCs/>
              </w:rPr>
              <w:t>F</w:t>
            </w:r>
            <w:r w:rsidRPr="006633B5">
              <w:rPr>
                <w:vertAlign w:val="subscript"/>
              </w:rPr>
              <w:t>Rd,hd</w:t>
            </w:r>
          </w:p>
        </w:tc>
        <w:tc>
          <w:tcPr>
            <w:tcW w:w="0" w:type="auto"/>
            <w:shd w:val="clear" w:color="auto" w:fill="auto"/>
          </w:tcPr>
          <w:p w14:paraId="509123F1" w14:textId="77777777" w:rsidR="006633B5" w:rsidRPr="006633B5" w:rsidRDefault="006633B5" w:rsidP="00E10A24">
            <w:pPr>
              <w:pStyle w:val="Tablebody"/>
              <w:spacing w:after="80"/>
            </w:pPr>
            <w:r w:rsidRPr="006633B5">
              <w:t xml:space="preserve">design strength in seismic conditions of the anchoring connection against overturning </w:t>
            </w:r>
          </w:p>
        </w:tc>
      </w:tr>
      <w:tr w:rsidR="006633B5" w:rsidRPr="006633B5" w14:paraId="7BE69F59" w14:textId="77777777" w:rsidTr="006633B5">
        <w:tc>
          <w:tcPr>
            <w:tcW w:w="0" w:type="auto"/>
            <w:shd w:val="clear" w:color="auto" w:fill="auto"/>
          </w:tcPr>
          <w:p w14:paraId="453E70CE" w14:textId="77777777" w:rsidR="006633B5" w:rsidRPr="006633B5" w:rsidRDefault="006633B5" w:rsidP="00E10A24">
            <w:pPr>
              <w:pStyle w:val="Tablebody"/>
              <w:spacing w:after="80"/>
              <w:rPr>
                <w:i/>
                <w:iCs/>
              </w:rPr>
            </w:pPr>
            <w:r w:rsidRPr="006633B5">
              <w:rPr>
                <w:i/>
                <w:iCs/>
              </w:rPr>
              <w:t>F</w:t>
            </w:r>
            <w:r w:rsidRPr="006633B5">
              <w:rPr>
                <w:vertAlign w:val="subscript"/>
              </w:rPr>
              <w:t>Rd,s</w:t>
            </w:r>
          </w:p>
        </w:tc>
        <w:tc>
          <w:tcPr>
            <w:tcW w:w="0" w:type="auto"/>
            <w:shd w:val="clear" w:color="auto" w:fill="auto"/>
          </w:tcPr>
          <w:p w14:paraId="077A5A4B" w14:textId="77777777" w:rsidR="006633B5" w:rsidRPr="006633B5" w:rsidRDefault="006633B5" w:rsidP="00E10A24">
            <w:pPr>
              <w:pStyle w:val="Tablebody"/>
              <w:spacing w:after="80"/>
            </w:pPr>
            <w:r w:rsidRPr="006633B5">
              <w:rPr>
                <w:lang w:val="en-US"/>
              </w:rPr>
              <w:t>design strength of the shear connections</w:t>
            </w:r>
          </w:p>
        </w:tc>
      </w:tr>
      <w:tr w:rsidR="006633B5" w:rsidRPr="006633B5" w14:paraId="26E2B7F6" w14:textId="77777777" w:rsidTr="006633B5">
        <w:tc>
          <w:tcPr>
            <w:tcW w:w="0" w:type="auto"/>
            <w:shd w:val="clear" w:color="auto" w:fill="auto"/>
          </w:tcPr>
          <w:p w14:paraId="597C0AB3" w14:textId="77777777" w:rsidR="006633B5" w:rsidRPr="006633B5" w:rsidRDefault="006633B5" w:rsidP="00E10A24">
            <w:pPr>
              <w:pStyle w:val="Tablebody"/>
              <w:spacing w:after="80"/>
            </w:pPr>
            <w:r w:rsidRPr="006633B5">
              <w:rPr>
                <w:i/>
                <w:iCs/>
              </w:rPr>
              <w:t>F</w:t>
            </w:r>
            <w:r w:rsidRPr="006633B5">
              <w:rPr>
                <w:vertAlign w:val="subscript"/>
              </w:rPr>
              <w:t>Rm,d,M</w:t>
            </w:r>
          </w:p>
        </w:tc>
        <w:tc>
          <w:tcPr>
            <w:tcW w:w="0" w:type="auto"/>
            <w:shd w:val="clear" w:color="auto" w:fill="auto"/>
          </w:tcPr>
          <w:p w14:paraId="06B34820" w14:textId="77777777" w:rsidR="006633B5" w:rsidRPr="006633B5" w:rsidRDefault="006633B5" w:rsidP="00E10A24">
            <w:pPr>
              <w:pStyle w:val="Tablebody"/>
              <w:spacing w:after="80"/>
            </w:pPr>
            <w:r w:rsidRPr="006633B5">
              <w:t>mean maximum resistance of the dissipative connection under seismic loading</w:t>
            </w:r>
          </w:p>
        </w:tc>
      </w:tr>
      <w:tr w:rsidR="006633B5" w:rsidRPr="006633B5" w14:paraId="03A74CBC" w14:textId="77777777" w:rsidTr="006633B5">
        <w:tc>
          <w:tcPr>
            <w:tcW w:w="0" w:type="auto"/>
            <w:shd w:val="clear" w:color="auto" w:fill="auto"/>
          </w:tcPr>
          <w:p w14:paraId="62B82504" w14:textId="77777777" w:rsidR="006633B5" w:rsidRPr="006633B5" w:rsidRDefault="006633B5" w:rsidP="00E10A24">
            <w:pPr>
              <w:pStyle w:val="Tablebody"/>
              <w:spacing w:after="80"/>
            </w:pPr>
            <w:r w:rsidRPr="006633B5">
              <w:rPr>
                <w:i/>
                <w:iCs/>
              </w:rPr>
              <w:t>F</w:t>
            </w:r>
            <w:r w:rsidRPr="006633B5">
              <w:rPr>
                <w:vertAlign w:val="subscript"/>
              </w:rPr>
              <w:t>Rm,d,U</w:t>
            </w:r>
          </w:p>
        </w:tc>
        <w:tc>
          <w:tcPr>
            <w:tcW w:w="0" w:type="auto"/>
            <w:shd w:val="clear" w:color="auto" w:fill="auto"/>
          </w:tcPr>
          <w:p w14:paraId="4D7103B0" w14:textId="77777777" w:rsidR="006633B5" w:rsidRPr="006633B5" w:rsidRDefault="006633B5" w:rsidP="00E10A24">
            <w:pPr>
              <w:pStyle w:val="Tablebody"/>
              <w:spacing w:after="80"/>
            </w:pPr>
            <w:r w:rsidRPr="006633B5">
              <w:t>mean ultimate resistance of the dissipative connection under seismic loading</w:t>
            </w:r>
          </w:p>
        </w:tc>
      </w:tr>
      <w:tr w:rsidR="006633B5" w:rsidRPr="006633B5" w14:paraId="55795C89" w14:textId="77777777" w:rsidTr="006633B5">
        <w:tc>
          <w:tcPr>
            <w:tcW w:w="0" w:type="auto"/>
            <w:shd w:val="clear" w:color="auto" w:fill="auto"/>
          </w:tcPr>
          <w:p w14:paraId="44377AF3" w14:textId="77777777" w:rsidR="006633B5" w:rsidRPr="006633B5" w:rsidRDefault="006633B5" w:rsidP="00E10A24">
            <w:pPr>
              <w:pStyle w:val="Tablebody"/>
              <w:spacing w:after="80"/>
            </w:pPr>
            <w:r w:rsidRPr="006633B5">
              <w:rPr>
                <w:i/>
                <w:iCs/>
              </w:rPr>
              <w:t>F</w:t>
            </w:r>
            <w:r w:rsidRPr="006633B5">
              <w:rPr>
                <w:vertAlign w:val="subscript"/>
              </w:rPr>
              <w:t>Rm,d,Y</w:t>
            </w:r>
          </w:p>
        </w:tc>
        <w:tc>
          <w:tcPr>
            <w:tcW w:w="0" w:type="auto"/>
            <w:shd w:val="clear" w:color="auto" w:fill="auto"/>
          </w:tcPr>
          <w:p w14:paraId="1F748E07" w14:textId="77777777" w:rsidR="006633B5" w:rsidRPr="006633B5" w:rsidRDefault="006633B5" w:rsidP="00E10A24">
            <w:pPr>
              <w:pStyle w:val="Tablebody"/>
              <w:spacing w:after="80"/>
            </w:pPr>
            <w:r w:rsidRPr="006633B5">
              <w:t>mean yield resistance of the dissipative connection under seismic loading</w:t>
            </w:r>
          </w:p>
        </w:tc>
      </w:tr>
      <w:tr w:rsidR="006633B5" w:rsidRPr="006633B5" w14:paraId="0DCE1358" w14:textId="77777777" w:rsidTr="006633B5">
        <w:tc>
          <w:tcPr>
            <w:tcW w:w="0" w:type="auto"/>
            <w:shd w:val="clear" w:color="auto" w:fill="auto"/>
          </w:tcPr>
          <w:p w14:paraId="2BDFE43D" w14:textId="77777777" w:rsidR="006633B5" w:rsidRPr="006633B5" w:rsidRDefault="006633B5" w:rsidP="00E10A24">
            <w:pPr>
              <w:pStyle w:val="Tablebody"/>
              <w:spacing w:after="80"/>
              <w:rPr>
                <w:i/>
              </w:rPr>
            </w:pPr>
            <w:r w:rsidRPr="006633B5">
              <w:rPr>
                <w:i/>
              </w:rPr>
              <w:t>F</w:t>
            </w:r>
            <w:r w:rsidRPr="006633B5">
              <w:rPr>
                <w:vertAlign w:val="subscript"/>
              </w:rPr>
              <w:t>t,90,Ed</w:t>
            </w:r>
          </w:p>
        </w:tc>
        <w:tc>
          <w:tcPr>
            <w:tcW w:w="0" w:type="auto"/>
            <w:shd w:val="clear" w:color="auto" w:fill="auto"/>
          </w:tcPr>
          <w:p w14:paraId="4743C44A" w14:textId="77777777" w:rsidR="006633B5" w:rsidRPr="006633B5" w:rsidRDefault="006633B5" w:rsidP="00E10A24">
            <w:pPr>
              <w:pStyle w:val="Tablebody"/>
              <w:spacing w:after="80"/>
            </w:pPr>
            <w:r w:rsidRPr="006633B5">
              <w:t>design tensile force in reinforcement</w:t>
            </w:r>
          </w:p>
        </w:tc>
      </w:tr>
      <w:tr w:rsidR="006633B5" w:rsidRPr="006633B5" w14:paraId="1B36CC2D" w14:textId="77777777" w:rsidTr="006633B5">
        <w:tc>
          <w:tcPr>
            <w:tcW w:w="0" w:type="auto"/>
            <w:shd w:val="clear" w:color="auto" w:fill="auto"/>
          </w:tcPr>
          <w:p w14:paraId="35C8BCE2" w14:textId="77777777" w:rsidR="006633B5" w:rsidRPr="006633B5" w:rsidRDefault="006633B5" w:rsidP="00E10A24">
            <w:pPr>
              <w:pStyle w:val="Tablebody"/>
              <w:spacing w:after="80"/>
              <w:rPr>
                <w:i/>
                <w:vertAlign w:val="subscript"/>
              </w:rPr>
            </w:pPr>
            <w:r w:rsidRPr="006633B5">
              <w:rPr>
                <w:i/>
              </w:rPr>
              <w:t>F</w:t>
            </w:r>
            <w:r w:rsidRPr="006633B5">
              <w:rPr>
                <w:vertAlign w:val="subscript"/>
              </w:rPr>
              <w:t>u</w:t>
            </w:r>
          </w:p>
        </w:tc>
        <w:tc>
          <w:tcPr>
            <w:tcW w:w="0" w:type="auto"/>
            <w:shd w:val="clear" w:color="auto" w:fill="auto"/>
          </w:tcPr>
          <w:p w14:paraId="7103007E" w14:textId="77777777" w:rsidR="006633B5" w:rsidRPr="006633B5" w:rsidRDefault="006633B5" w:rsidP="00E10A24">
            <w:pPr>
              <w:pStyle w:val="Tablebody"/>
              <w:spacing w:after="80"/>
            </w:pPr>
            <w:r w:rsidRPr="006633B5">
              <w:t>ultimate load attained on the 1</w:t>
            </w:r>
            <w:r w:rsidRPr="006633B5">
              <w:rPr>
                <w:vertAlign w:val="superscript"/>
              </w:rPr>
              <w:t>st</w:t>
            </w:r>
            <w:r w:rsidRPr="006633B5">
              <w:t xml:space="preserve"> cyclic envelope load-deformation curve corresponding to the ultimate deformation </w:t>
            </w:r>
            <w:r w:rsidRPr="006633B5">
              <w:rPr>
                <w:i/>
              </w:rPr>
              <w:t>δ</w:t>
            </w:r>
            <w:r w:rsidRPr="006633B5">
              <w:rPr>
                <w:vertAlign w:val="subscript"/>
              </w:rPr>
              <w:t>u</w:t>
            </w:r>
            <w:r w:rsidRPr="006633B5">
              <w:t xml:space="preserve"> in a cyclic test performed in accordance with EN 12512</w:t>
            </w:r>
          </w:p>
        </w:tc>
      </w:tr>
      <w:tr w:rsidR="006633B5" w:rsidRPr="006633B5" w14:paraId="7819CA7A" w14:textId="77777777" w:rsidTr="006633B5">
        <w:tc>
          <w:tcPr>
            <w:tcW w:w="0" w:type="auto"/>
            <w:shd w:val="clear" w:color="auto" w:fill="auto"/>
          </w:tcPr>
          <w:p w14:paraId="20438B21" w14:textId="77777777" w:rsidR="006633B5" w:rsidRPr="006633B5" w:rsidRDefault="006633B5" w:rsidP="00E10A24">
            <w:pPr>
              <w:pStyle w:val="Tablebody"/>
              <w:spacing w:after="80"/>
              <w:rPr>
                <w:i/>
                <w:iCs/>
              </w:rPr>
            </w:pPr>
            <w:r w:rsidRPr="006633B5">
              <w:rPr>
                <w:i/>
                <w:iCs/>
              </w:rPr>
              <w:t>F</w:t>
            </w:r>
            <w:r w:rsidRPr="006633B5">
              <w:rPr>
                <w:vertAlign w:val="subscript"/>
              </w:rPr>
              <w:t>v,Rd</w:t>
            </w:r>
          </w:p>
        </w:tc>
        <w:tc>
          <w:tcPr>
            <w:tcW w:w="0" w:type="auto"/>
            <w:shd w:val="clear" w:color="auto" w:fill="auto"/>
          </w:tcPr>
          <w:p w14:paraId="5A3D2DFB" w14:textId="77777777" w:rsidR="006633B5" w:rsidRPr="006633B5" w:rsidRDefault="006633B5" w:rsidP="00E10A24">
            <w:pPr>
              <w:pStyle w:val="Tablebody"/>
              <w:spacing w:after="80"/>
              <w:rPr>
                <w:i/>
                <w:iCs/>
              </w:rPr>
            </w:pPr>
            <w:r w:rsidRPr="006633B5">
              <w:t>design shear resistance of screws</w:t>
            </w:r>
          </w:p>
        </w:tc>
      </w:tr>
      <w:tr w:rsidR="006633B5" w:rsidRPr="006633B5" w14:paraId="2215CCB7" w14:textId="77777777" w:rsidTr="006633B5">
        <w:tc>
          <w:tcPr>
            <w:tcW w:w="0" w:type="auto"/>
            <w:shd w:val="clear" w:color="auto" w:fill="auto"/>
          </w:tcPr>
          <w:p w14:paraId="1079916D" w14:textId="77777777" w:rsidR="006633B5" w:rsidRPr="006633B5" w:rsidRDefault="006633B5" w:rsidP="00E10A24">
            <w:pPr>
              <w:pStyle w:val="Tablebody"/>
              <w:spacing w:after="80"/>
            </w:pPr>
            <w:r w:rsidRPr="006633B5">
              <w:rPr>
                <w:i/>
              </w:rPr>
              <w:t>F</w:t>
            </w:r>
            <w:r w:rsidRPr="006633B5">
              <w:rPr>
                <w:vertAlign w:val="subscript"/>
              </w:rPr>
              <w:t>v,Rk,d</w:t>
            </w:r>
          </w:p>
        </w:tc>
        <w:tc>
          <w:tcPr>
            <w:tcW w:w="0" w:type="auto"/>
            <w:shd w:val="clear" w:color="auto" w:fill="auto"/>
          </w:tcPr>
          <w:p w14:paraId="22CCB3AE" w14:textId="77777777" w:rsidR="006633B5" w:rsidRPr="006633B5" w:rsidRDefault="006633B5" w:rsidP="00E10A24">
            <w:pPr>
              <w:pStyle w:val="Tablebody"/>
              <w:spacing w:after="80"/>
            </w:pPr>
            <w:r w:rsidRPr="006633B5">
              <w:t>characteristic strength of the selected ductile failure mode providing energy dissipation, according to prEN 1995-1-1</w:t>
            </w:r>
          </w:p>
        </w:tc>
      </w:tr>
      <w:tr w:rsidR="006633B5" w:rsidRPr="006633B5" w14:paraId="267BAD67" w14:textId="77777777" w:rsidTr="006633B5">
        <w:tc>
          <w:tcPr>
            <w:tcW w:w="0" w:type="auto"/>
            <w:shd w:val="clear" w:color="auto" w:fill="auto"/>
          </w:tcPr>
          <w:p w14:paraId="395B4C4B" w14:textId="77777777" w:rsidR="006633B5" w:rsidRPr="006633B5" w:rsidRDefault="006633B5" w:rsidP="00E10A24">
            <w:pPr>
              <w:pStyle w:val="Tablebody"/>
              <w:spacing w:after="80"/>
            </w:pPr>
            <w:r w:rsidRPr="006633B5">
              <w:rPr>
                <w:i/>
              </w:rPr>
              <w:t>F</w:t>
            </w:r>
            <w:r w:rsidRPr="006633B5">
              <w:rPr>
                <w:vertAlign w:val="subscript"/>
              </w:rPr>
              <w:t>v,Rk,nd</w:t>
            </w:r>
          </w:p>
        </w:tc>
        <w:tc>
          <w:tcPr>
            <w:tcW w:w="0" w:type="auto"/>
            <w:shd w:val="clear" w:color="auto" w:fill="auto"/>
          </w:tcPr>
          <w:p w14:paraId="7E8A9B7B" w14:textId="77777777" w:rsidR="006633B5" w:rsidRPr="006633B5" w:rsidRDefault="006633B5" w:rsidP="00E10A24">
            <w:pPr>
              <w:pStyle w:val="Tablebody"/>
              <w:spacing w:after="80"/>
            </w:pPr>
            <w:r w:rsidRPr="006633B5">
              <w:t>characteristic strength of the less ductile failure mode</w:t>
            </w:r>
          </w:p>
        </w:tc>
      </w:tr>
      <w:tr w:rsidR="006633B5" w:rsidRPr="006633B5" w14:paraId="01BBC678" w14:textId="77777777" w:rsidTr="006633B5">
        <w:tc>
          <w:tcPr>
            <w:tcW w:w="0" w:type="auto"/>
            <w:shd w:val="clear" w:color="auto" w:fill="auto"/>
          </w:tcPr>
          <w:p w14:paraId="71B81BA9" w14:textId="77777777" w:rsidR="006633B5" w:rsidRPr="006633B5" w:rsidRDefault="006633B5" w:rsidP="00E10A24">
            <w:pPr>
              <w:pStyle w:val="Tablebody"/>
              <w:spacing w:after="80"/>
              <w:rPr>
                <w:i/>
                <w:iCs/>
                <w:vertAlign w:val="subscript"/>
              </w:rPr>
            </w:pPr>
            <w:r w:rsidRPr="006633B5">
              <w:rPr>
                <w:i/>
                <w:iCs/>
              </w:rPr>
              <w:t>F</w:t>
            </w:r>
            <w:r w:rsidRPr="006633B5">
              <w:rPr>
                <w:iCs/>
                <w:vertAlign w:val="subscript"/>
              </w:rPr>
              <w:t>y</w:t>
            </w:r>
          </w:p>
        </w:tc>
        <w:tc>
          <w:tcPr>
            <w:tcW w:w="0" w:type="auto"/>
            <w:shd w:val="clear" w:color="auto" w:fill="auto"/>
          </w:tcPr>
          <w:p w14:paraId="3F0A1B08" w14:textId="77777777" w:rsidR="006633B5" w:rsidRPr="006633B5" w:rsidRDefault="006633B5" w:rsidP="00E10A24">
            <w:pPr>
              <w:pStyle w:val="Tablebody"/>
              <w:spacing w:after="80"/>
            </w:pPr>
            <w:r w:rsidRPr="006633B5">
              <w:rPr>
                <w:iCs/>
              </w:rPr>
              <w:t xml:space="preserve">yield </w:t>
            </w:r>
            <w:r w:rsidRPr="006633B5">
              <w:t>load of a dissipative timber connection</w:t>
            </w:r>
          </w:p>
        </w:tc>
      </w:tr>
      <w:tr w:rsidR="006633B5" w:rsidRPr="006633B5" w14:paraId="0C49DBC0" w14:textId="77777777" w:rsidTr="006633B5">
        <w:tc>
          <w:tcPr>
            <w:tcW w:w="0" w:type="auto"/>
            <w:shd w:val="clear" w:color="auto" w:fill="auto"/>
          </w:tcPr>
          <w:p w14:paraId="1BB9A4CA" w14:textId="77777777" w:rsidR="006633B5" w:rsidRPr="006633B5" w:rsidRDefault="006633B5" w:rsidP="00E10A24">
            <w:pPr>
              <w:pStyle w:val="Tablebody"/>
              <w:spacing w:after="80"/>
              <w:rPr>
                <w:i/>
              </w:rPr>
            </w:pPr>
            <w:r w:rsidRPr="006633B5">
              <w:rPr>
                <w:i/>
              </w:rPr>
              <w:t>H</w:t>
            </w:r>
            <w:r w:rsidRPr="006633B5">
              <w:rPr>
                <w:vertAlign w:val="subscript"/>
              </w:rPr>
              <w:t>b</w:t>
            </w:r>
          </w:p>
        </w:tc>
        <w:tc>
          <w:tcPr>
            <w:tcW w:w="0" w:type="auto"/>
            <w:shd w:val="clear" w:color="auto" w:fill="auto"/>
          </w:tcPr>
          <w:p w14:paraId="3BF39FE5" w14:textId="77777777" w:rsidR="006633B5" w:rsidRPr="006633B5" w:rsidRDefault="006633B5" w:rsidP="00E10A24">
            <w:pPr>
              <w:pStyle w:val="Tablebody"/>
              <w:spacing w:after="80"/>
            </w:pPr>
            <w:r w:rsidRPr="006633B5">
              <w:t xml:space="preserve">height of the building (in m) </w:t>
            </w:r>
            <w:bookmarkStart w:id="567" w:name="_Hlk38704265"/>
            <w:r w:rsidRPr="006633B5">
              <w:t>above the foundation or the top of a rigid basement</w:t>
            </w:r>
            <w:bookmarkEnd w:id="567"/>
          </w:p>
        </w:tc>
      </w:tr>
      <w:tr w:rsidR="006633B5" w:rsidRPr="006633B5" w14:paraId="4170B048" w14:textId="77777777" w:rsidTr="006633B5">
        <w:tc>
          <w:tcPr>
            <w:tcW w:w="0" w:type="auto"/>
            <w:shd w:val="clear" w:color="auto" w:fill="auto"/>
          </w:tcPr>
          <w:p w14:paraId="08801A23" w14:textId="77777777" w:rsidR="006633B5" w:rsidRPr="006633B5" w:rsidRDefault="006633B5" w:rsidP="00E10A24">
            <w:pPr>
              <w:pStyle w:val="Tablebody"/>
              <w:spacing w:after="80"/>
            </w:pPr>
            <w:r w:rsidRPr="006633B5">
              <w:rPr>
                <w:i/>
                <w:iCs/>
              </w:rPr>
              <w:lastRenderedPageBreak/>
              <w:t>I</w:t>
            </w:r>
            <w:r w:rsidRPr="006633B5">
              <w:rPr>
                <w:vertAlign w:val="subscript"/>
              </w:rPr>
              <w:t>a</w:t>
            </w:r>
          </w:p>
        </w:tc>
        <w:tc>
          <w:tcPr>
            <w:tcW w:w="0" w:type="auto"/>
            <w:shd w:val="clear" w:color="auto" w:fill="auto"/>
          </w:tcPr>
          <w:p w14:paraId="35776BD6" w14:textId="77777777" w:rsidR="006633B5" w:rsidRPr="006633B5" w:rsidRDefault="006633B5" w:rsidP="00E10A24">
            <w:pPr>
              <w:pStyle w:val="Tablebody"/>
              <w:spacing w:after="80"/>
            </w:pPr>
            <w:r w:rsidRPr="006633B5">
              <w:t>moment of inertia of the structural steel cross-section with respect to the axis through the centroid of the transformed section</w:t>
            </w:r>
          </w:p>
        </w:tc>
      </w:tr>
      <w:tr w:rsidR="006633B5" w:rsidRPr="006633B5" w14:paraId="2AD2A157" w14:textId="77777777" w:rsidTr="006633B5">
        <w:tc>
          <w:tcPr>
            <w:tcW w:w="0" w:type="auto"/>
            <w:shd w:val="clear" w:color="auto" w:fill="auto"/>
          </w:tcPr>
          <w:p w14:paraId="1B279532" w14:textId="77777777" w:rsidR="006633B5" w:rsidRPr="006633B5" w:rsidRDefault="006633B5" w:rsidP="00E10A24">
            <w:pPr>
              <w:pStyle w:val="Tablebody"/>
              <w:spacing w:after="80"/>
            </w:pPr>
            <w:r w:rsidRPr="006633B5">
              <w:rPr>
                <w:i/>
              </w:rPr>
              <w:t>I</w:t>
            </w:r>
            <w:r w:rsidRPr="006633B5">
              <w:rPr>
                <w:vertAlign w:val="subscript"/>
              </w:rPr>
              <w:t>b</w:t>
            </w:r>
          </w:p>
        </w:tc>
        <w:tc>
          <w:tcPr>
            <w:tcW w:w="0" w:type="auto"/>
            <w:shd w:val="clear" w:color="auto" w:fill="auto"/>
          </w:tcPr>
          <w:p w14:paraId="58936D3D" w14:textId="77777777" w:rsidR="006633B5" w:rsidRPr="006633B5" w:rsidRDefault="006633B5" w:rsidP="00E10A24">
            <w:pPr>
              <w:pStyle w:val="Tablebody"/>
              <w:spacing w:after="80"/>
            </w:pPr>
            <w:r w:rsidRPr="006633B5">
              <w:t>second moment of area of the beam section</w:t>
            </w:r>
          </w:p>
        </w:tc>
      </w:tr>
      <w:tr w:rsidR="006633B5" w:rsidRPr="006633B5" w14:paraId="6E656AA8" w14:textId="77777777" w:rsidTr="006633B5">
        <w:tc>
          <w:tcPr>
            <w:tcW w:w="0" w:type="auto"/>
            <w:shd w:val="clear" w:color="auto" w:fill="auto"/>
          </w:tcPr>
          <w:p w14:paraId="6D845AD3" w14:textId="77777777" w:rsidR="006633B5" w:rsidRPr="006633B5" w:rsidRDefault="006633B5" w:rsidP="00E10A24">
            <w:pPr>
              <w:pStyle w:val="Tablebody"/>
              <w:spacing w:after="80"/>
            </w:pPr>
            <w:r w:rsidRPr="006633B5">
              <w:rPr>
                <w:i/>
                <w:iCs/>
              </w:rPr>
              <w:t>I</w:t>
            </w:r>
            <w:r w:rsidRPr="006633B5">
              <w:rPr>
                <w:vertAlign w:val="subscript"/>
              </w:rPr>
              <w:t>c</w:t>
            </w:r>
          </w:p>
        </w:tc>
        <w:tc>
          <w:tcPr>
            <w:tcW w:w="0" w:type="auto"/>
            <w:shd w:val="clear" w:color="auto" w:fill="auto"/>
          </w:tcPr>
          <w:p w14:paraId="099D30CA" w14:textId="77777777" w:rsidR="006633B5" w:rsidRPr="006633B5" w:rsidRDefault="006633B5" w:rsidP="00E10A24">
            <w:pPr>
              <w:pStyle w:val="Tablebody"/>
              <w:spacing w:after="80"/>
            </w:pPr>
            <w:r w:rsidRPr="006633B5">
              <w:t>moment of inertia of the uncracked concrete section with respect to the axis through the centroid of the transformed section</w:t>
            </w:r>
          </w:p>
        </w:tc>
      </w:tr>
      <w:tr w:rsidR="006633B5" w:rsidRPr="006633B5" w14:paraId="44956C81" w14:textId="77777777" w:rsidTr="006633B5">
        <w:tc>
          <w:tcPr>
            <w:tcW w:w="0" w:type="auto"/>
            <w:shd w:val="clear" w:color="auto" w:fill="auto"/>
          </w:tcPr>
          <w:p w14:paraId="43B98E7D" w14:textId="77777777" w:rsidR="006633B5" w:rsidRPr="006633B5" w:rsidRDefault="006633B5" w:rsidP="00E10A24">
            <w:pPr>
              <w:pStyle w:val="Tablebody"/>
              <w:spacing w:after="80"/>
            </w:pPr>
            <w:r w:rsidRPr="006633B5">
              <w:rPr>
                <w:i/>
                <w:iCs/>
              </w:rPr>
              <w:t>I</w:t>
            </w:r>
            <w:r w:rsidRPr="006633B5">
              <w:rPr>
                <w:vertAlign w:val="subscript"/>
              </w:rPr>
              <w:t>oop</w:t>
            </w:r>
          </w:p>
        </w:tc>
        <w:tc>
          <w:tcPr>
            <w:tcW w:w="0" w:type="auto"/>
            <w:shd w:val="clear" w:color="auto" w:fill="auto"/>
          </w:tcPr>
          <w:p w14:paraId="409C3B22" w14:textId="77777777" w:rsidR="006633B5" w:rsidRPr="006633B5" w:rsidRDefault="006633B5" w:rsidP="00E10A24">
            <w:pPr>
              <w:pStyle w:val="Tablebody"/>
              <w:spacing w:after="80"/>
            </w:pPr>
            <w:r w:rsidRPr="006633B5">
              <w:t>moment of inertia of a pier about the out-of-plane bending axis</w:t>
            </w:r>
          </w:p>
        </w:tc>
      </w:tr>
      <w:tr w:rsidR="006633B5" w:rsidRPr="006633B5" w14:paraId="3A6CB82D" w14:textId="77777777" w:rsidTr="006633B5">
        <w:tc>
          <w:tcPr>
            <w:tcW w:w="0" w:type="auto"/>
            <w:shd w:val="clear" w:color="auto" w:fill="auto"/>
          </w:tcPr>
          <w:p w14:paraId="337072F2" w14:textId="77777777" w:rsidR="006633B5" w:rsidRPr="006633B5" w:rsidRDefault="006633B5" w:rsidP="00E10A24">
            <w:pPr>
              <w:pStyle w:val="Tablebody"/>
              <w:spacing w:after="80"/>
            </w:pPr>
            <w:r w:rsidRPr="006633B5">
              <w:rPr>
                <w:i/>
                <w:iCs/>
              </w:rPr>
              <w:t>I</w:t>
            </w:r>
            <w:r w:rsidRPr="006633B5">
              <w:rPr>
                <w:vertAlign w:val="subscript"/>
              </w:rPr>
              <w:t>s</w:t>
            </w:r>
          </w:p>
        </w:tc>
        <w:tc>
          <w:tcPr>
            <w:tcW w:w="0" w:type="auto"/>
            <w:shd w:val="clear" w:color="auto" w:fill="auto"/>
          </w:tcPr>
          <w:p w14:paraId="7BF67ED5" w14:textId="77777777" w:rsidR="006633B5" w:rsidRPr="006633B5" w:rsidRDefault="006633B5" w:rsidP="00E10A24">
            <w:pPr>
              <w:pStyle w:val="Tablebody"/>
              <w:spacing w:after="80"/>
            </w:pPr>
            <w:r w:rsidRPr="006633B5">
              <w:t>moment of inertia of the steel reinforcement with respect to the axis through the centroid of the transformed section</w:t>
            </w:r>
          </w:p>
        </w:tc>
      </w:tr>
      <w:tr w:rsidR="006633B5" w:rsidRPr="006633B5" w14:paraId="4F5A1765" w14:textId="77777777" w:rsidTr="006633B5">
        <w:tc>
          <w:tcPr>
            <w:tcW w:w="0" w:type="auto"/>
            <w:shd w:val="clear" w:color="auto" w:fill="auto"/>
          </w:tcPr>
          <w:p w14:paraId="77E2677E" w14:textId="77777777" w:rsidR="006633B5" w:rsidRPr="006633B5" w:rsidRDefault="009B5CEC" w:rsidP="00E10A24">
            <w:pPr>
              <w:pStyle w:val="Tablebody"/>
              <w:spacing w:after="80"/>
            </w:pPr>
            <m:oMath>
              <m:sSub>
                <m:sSubPr>
                  <m:ctrlPr>
                    <w:rPr>
                      <w:rFonts w:ascii="Cambria Math" w:hAnsi="Cambria Math"/>
                      <w:i/>
                    </w:rPr>
                  </m:ctrlPr>
                </m:sSubPr>
                <m:e>
                  <m:r>
                    <w:rPr>
                      <w:rFonts w:ascii="Cambria Math" w:hAnsi="Cambria Math"/>
                    </w:rPr>
                    <m:t>I</m:t>
                  </m:r>
                </m:e>
                <m:sub>
                  <m:r>
                    <m:rPr>
                      <m:sty m:val="p"/>
                    </m:rPr>
                    <w:rPr>
                      <w:rFonts w:ascii="Cambria Math" w:hAnsi="Cambria Math"/>
                    </w:rPr>
                    <m:t>x,i</m:t>
                  </m:r>
                </m:sub>
              </m:sSub>
            </m:oMath>
            <w:r w:rsidR="006633B5" w:rsidRPr="006633B5">
              <w:t xml:space="preserve">, </w:t>
            </w:r>
            <m:oMath>
              <m:sSub>
                <m:sSubPr>
                  <m:ctrlPr>
                    <w:rPr>
                      <w:rFonts w:ascii="Cambria Math" w:hAnsi="Cambria Math"/>
                      <w:i/>
                    </w:rPr>
                  </m:ctrlPr>
                </m:sSubPr>
                <m:e>
                  <m:r>
                    <w:rPr>
                      <w:rFonts w:ascii="Cambria Math" w:hAnsi="Cambria Math"/>
                    </w:rPr>
                    <m:t>I</m:t>
                  </m:r>
                </m:e>
                <m:sub>
                  <m:r>
                    <m:rPr>
                      <m:sty m:val="p"/>
                    </m:rPr>
                    <w:rPr>
                      <w:rFonts w:ascii="Cambria Math" w:hAnsi="Cambria Math"/>
                    </w:rPr>
                    <m:t>y,i</m:t>
                  </m:r>
                </m:sub>
              </m:sSub>
            </m:oMath>
          </w:p>
        </w:tc>
        <w:tc>
          <w:tcPr>
            <w:tcW w:w="0" w:type="auto"/>
            <w:shd w:val="clear" w:color="auto" w:fill="auto"/>
          </w:tcPr>
          <w:p w14:paraId="43A9421C" w14:textId="77777777" w:rsidR="006633B5" w:rsidRPr="006633B5" w:rsidRDefault="006633B5" w:rsidP="00E10A24">
            <w:pPr>
              <w:pStyle w:val="Tablebody"/>
              <w:spacing w:after="80"/>
            </w:pPr>
            <w:r w:rsidRPr="006633B5">
              <w:t xml:space="preserve">mass moments of inertia of the floor around axis </w:t>
            </w:r>
            <w:r w:rsidRPr="006633B5">
              <w:rPr>
                <w:i/>
                <w:iCs/>
              </w:rPr>
              <w:t>x</w:t>
            </w:r>
            <w:r w:rsidRPr="006633B5">
              <w:t xml:space="preserve"> and </w:t>
            </w:r>
            <w:r w:rsidRPr="006633B5">
              <w:rPr>
                <w:i/>
                <w:iCs/>
              </w:rPr>
              <w:t>y</w:t>
            </w:r>
            <w:r w:rsidRPr="006633B5">
              <w:t xml:space="preserve"> respectively, going through the floor centre of mass </w:t>
            </w:r>
            <w:r w:rsidRPr="006633B5">
              <w:rPr>
                <w:i/>
                <w:iCs/>
              </w:rPr>
              <w:t>G</w:t>
            </w:r>
            <w:r w:rsidRPr="006633B5">
              <w:rPr>
                <w:vertAlign w:val="subscript"/>
              </w:rPr>
              <w:t>i</w:t>
            </w:r>
          </w:p>
        </w:tc>
      </w:tr>
      <w:tr w:rsidR="006633B5" w:rsidRPr="006633B5" w14:paraId="4D4360B3" w14:textId="77777777" w:rsidTr="006633B5">
        <w:tc>
          <w:tcPr>
            <w:tcW w:w="0" w:type="auto"/>
            <w:shd w:val="clear" w:color="auto" w:fill="auto"/>
          </w:tcPr>
          <w:p w14:paraId="4E4054C2" w14:textId="77777777" w:rsidR="006633B5" w:rsidRPr="006633B5" w:rsidRDefault="006633B5" w:rsidP="00E10A24">
            <w:pPr>
              <w:pStyle w:val="Tablebody"/>
              <w:spacing w:after="80"/>
            </w:pPr>
            <w:r w:rsidRPr="006633B5">
              <w:rPr>
                <w:i/>
              </w:rPr>
              <w:t>K</w:t>
            </w:r>
            <w:r w:rsidRPr="006633B5">
              <w:rPr>
                <w:vertAlign w:val="subscript"/>
              </w:rPr>
              <w:t>eff</w:t>
            </w:r>
          </w:p>
        </w:tc>
        <w:tc>
          <w:tcPr>
            <w:tcW w:w="0" w:type="auto"/>
            <w:shd w:val="clear" w:color="auto" w:fill="auto"/>
          </w:tcPr>
          <w:p w14:paraId="150072DE" w14:textId="77777777" w:rsidR="006633B5" w:rsidRPr="006633B5" w:rsidRDefault="006633B5" w:rsidP="00E10A24">
            <w:pPr>
              <w:pStyle w:val="Tablebody"/>
              <w:spacing w:after="80"/>
            </w:pPr>
            <w:r w:rsidRPr="006633B5">
              <w:t>effective stiffness</w:t>
            </w:r>
          </w:p>
        </w:tc>
      </w:tr>
      <w:tr w:rsidR="006633B5" w:rsidRPr="006633B5" w14:paraId="1EDD3260" w14:textId="77777777" w:rsidTr="006633B5">
        <w:tc>
          <w:tcPr>
            <w:tcW w:w="0" w:type="auto"/>
            <w:shd w:val="clear" w:color="auto" w:fill="auto"/>
          </w:tcPr>
          <w:p w14:paraId="2CE199C1" w14:textId="77777777" w:rsidR="006633B5" w:rsidRPr="006633B5" w:rsidRDefault="006633B5" w:rsidP="00E10A24">
            <w:pPr>
              <w:pStyle w:val="Tablebody"/>
              <w:spacing w:after="80"/>
            </w:pPr>
            <w:r w:rsidRPr="006633B5">
              <w:rPr>
                <w:i/>
              </w:rPr>
              <w:t>K</w:t>
            </w:r>
            <w:r w:rsidRPr="006633B5">
              <w:rPr>
                <w:i/>
                <w:vertAlign w:val="subscript"/>
              </w:rPr>
              <w:t>EDD,sj</w:t>
            </w:r>
          </w:p>
        </w:tc>
        <w:tc>
          <w:tcPr>
            <w:tcW w:w="0" w:type="auto"/>
            <w:shd w:val="clear" w:color="auto" w:fill="auto"/>
          </w:tcPr>
          <w:p w14:paraId="65D45C13" w14:textId="77777777" w:rsidR="006633B5" w:rsidRPr="006633B5" w:rsidRDefault="006633B5" w:rsidP="00E10A24">
            <w:pPr>
              <w:pStyle w:val="Tablebody"/>
              <w:spacing w:after="80"/>
            </w:pPr>
            <w:r w:rsidRPr="006633B5">
              <w:t xml:space="preserve">horizontal elastic storage stiffness component of the viscoelastic energy dissipation device </w:t>
            </w:r>
            <w:r w:rsidRPr="006633B5">
              <w:rPr>
                <w:i/>
              </w:rPr>
              <w:t>j</w:t>
            </w:r>
            <w:r w:rsidRPr="006633B5">
              <w:t xml:space="preserve"> installed at the </w:t>
            </w:r>
            <w:r w:rsidRPr="006633B5">
              <w:rPr>
                <w:i/>
                <w:iCs/>
              </w:rPr>
              <w:t>s</w:t>
            </w:r>
            <w:r w:rsidRPr="006633B5">
              <w:t>-th storey</w:t>
            </w:r>
          </w:p>
        </w:tc>
      </w:tr>
      <w:tr w:rsidR="006633B5" w:rsidRPr="006633B5" w14:paraId="4F375A6F" w14:textId="77777777" w:rsidTr="006633B5">
        <w:tc>
          <w:tcPr>
            <w:tcW w:w="0" w:type="auto"/>
            <w:shd w:val="clear" w:color="auto" w:fill="auto"/>
          </w:tcPr>
          <w:p w14:paraId="26E24ED0" w14:textId="77777777" w:rsidR="006633B5" w:rsidRPr="006633B5" w:rsidRDefault="006633B5" w:rsidP="00E10A24">
            <w:pPr>
              <w:pStyle w:val="Tablebody"/>
              <w:spacing w:after="80"/>
            </w:pPr>
            <w:r w:rsidRPr="006633B5">
              <w:rPr>
                <w:i/>
              </w:rPr>
              <w:t>K</w:t>
            </w:r>
            <w:r w:rsidRPr="006633B5">
              <w:rPr>
                <w:vertAlign w:val="subscript"/>
              </w:rPr>
              <w:t>SLS,v,mean</w:t>
            </w:r>
          </w:p>
        </w:tc>
        <w:tc>
          <w:tcPr>
            <w:tcW w:w="0" w:type="auto"/>
            <w:shd w:val="clear" w:color="auto" w:fill="auto"/>
          </w:tcPr>
          <w:p w14:paraId="52F65568" w14:textId="77777777" w:rsidR="006633B5" w:rsidRPr="006633B5" w:rsidRDefault="006633B5" w:rsidP="00E10A24">
            <w:pPr>
              <w:pStyle w:val="Tablebody"/>
              <w:spacing w:after="80"/>
            </w:pPr>
            <w:r w:rsidRPr="006633B5">
              <w:t xml:space="preserve">slip modulus of a connection at serviceability limit state calculated according to </w:t>
            </w:r>
            <w:r w:rsidRPr="006633B5">
              <w:rPr>
                <w:szCs w:val="32"/>
                <w:lang w:val="en-US"/>
              </w:rPr>
              <w:t>prEN 1995</w:t>
            </w:r>
            <w:r w:rsidRPr="006633B5">
              <w:rPr>
                <w:szCs w:val="32"/>
                <w:lang w:val="en-US"/>
              </w:rPr>
              <w:noBreakHyphen/>
              <w:t xml:space="preserve">1-1:2023, </w:t>
            </w:r>
            <w:r w:rsidRPr="006633B5">
              <w:rPr>
                <w:bCs/>
                <w:szCs w:val="32"/>
                <w:lang w:val="en-US"/>
              </w:rPr>
              <w:t>5.10.1</w:t>
            </w:r>
          </w:p>
        </w:tc>
      </w:tr>
      <w:tr w:rsidR="006633B5" w:rsidRPr="006633B5" w14:paraId="30581145" w14:textId="77777777" w:rsidTr="006633B5">
        <w:tc>
          <w:tcPr>
            <w:tcW w:w="0" w:type="auto"/>
            <w:shd w:val="clear" w:color="auto" w:fill="auto"/>
          </w:tcPr>
          <w:p w14:paraId="1995447F" w14:textId="77777777" w:rsidR="006633B5" w:rsidRPr="006633B5" w:rsidRDefault="006633B5" w:rsidP="00E10A24">
            <w:pPr>
              <w:pStyle w:val="Tablebody"/>
              <w:spacing w:after="80"/>
              <w:rPr>
                <w:vertAlign w:val="subscript"/>
              </w:rPr>
            </w:pPr>
            <w:r w:rsidRPr="006633B5">
              <w:rPr>
                <w:i/>
              </w:rPr>
              <w:t>K</w:t>
            </w:r>
            <w:r w:rsidRPr="006633B5">
              <w:rPr>
                <w:vertAlign w:val="subscript"/>
              </w:rPr>
              <w:t>SLS,v,mean,c</w:t>
            </w:r>
          </w:p>
        </w:tc>
        <w:tc>
          <w:tcPr>
            <w:tcW w:w="0" w:type="auto"/>
            <w:shd w:val="clear" w:color="auto" w:fill="auto"/>
          </w:tcPr>
          <w:p w14:paraId="0E716C65" w14:textId="77777777" w:rsidR="006633B5" w:rsidRPr="006633B5" w:rsidRDefault="006633B5" w:rsidP="00E10A24">
            <w:pPr>
              <w:pStyle w:val="Tablebody"/>
              <w:spacing w:after="80"/>
            </w:pPr>
            <w:r w:rsidRPr="006633B5">
              <w:t>slip modulus of a connection measured in cyclic tests according to EN 12512</w:t>
            </w:r>
          </w:p>
        </w:tc>
      </w:tr>
      <w:tr w:rsidR="006633B5" w:rsidRPr="006633B5" w14:paraId="6BF46C01" w14:textId="77777777" w:rsidTr="006633B5">
        <w:tc>
          <w:tcPr>
            <w:tcW w:w="0" w:type="auto"/>
            <w:shd w:val="clear" w:color="auto" w:fill="auto"/>
          </w:tcPr>
          <w:p w14:paraId="3D9B4ED8" w14:textId="77777777" w:rsidR="006633B5" w:rsidRPr="006633B5" w:rsidRDefault="006633B5" w:rsidP="00E10A24">
            <w:pPr>
              <w:pStyle w:val="Tablebody"/>
              <w:spacing w:after="80"/>
            </w:pPr>
            <w:r w:rsidRPr="006633B5">
              <w:rPr>
                <w:i/>
                <w:iCs/>
              </w:rPr>
              <w:t>K</w:t>
            </w:r>
            <w:r w:rsidRPr="006633B5">
              <w:rPr>
                <w:vertAlign w:val="subscript"/>
              </w:rPr>
              <w:t>SLS,anc</w:t>
            </w:r>
          </w:p>
        </w:tc>
        <w:tc>
          <w:tcPr>
            <w:tcW w:w="0" w:type="auto"/>
            <w:shd w:val="clear" w:color="auto" w:fill="auto"/>
          </w:tcPr>
          <w:p w14:paraId="0A2C98F4" w14:textId="77777777" w:rsidR="006633B5" w:rsidRPr="006633B5" w:rsidRDefault="006633B5" w:rsidP="00E10A24">
            <w:pPr>
              <w:pStyle w:val="Tablebody"/>
              <w:spacing w:after="80"/>
            </w:pPr>
            <w:r w:rsidRPr="006633B5">
              <w:t xml:space="preserve">stiffness of anchoring 2D- or 3D-connector against overturning </w:t>
            </w:r>
          </w:p>
        </w:tc>
      </w:tr>
      <w:tr w:rsidR="006633B5" w:rsidRPr="006633B5" w14:paraId="62909C76" w14:textId="77777777" w:rsidTr="006633B5">
        <w:tc>
          <w:tcPr>
            <w:tcW w:w="0" w:type="auto"/>
            <w:shd w:val="clear" w:color="auto" w:fill="auto"/>
          </w:tcPr>
          <w:p w14:paraId="1AE05861" w14:textId="77777777" w:rsidR="006633B5" w:rsidRPr="006633B5" w:rsidRDefault="006633B5" w:rsidP="00E10A24">
            <w:pPr>
              <w:pStyle w:val="Tablebody"/>
              <w:spacing w:after="80"/>
            </w:pPr>
            <w:r w:rsidRPr="006633B5">
              <w:rPr>
                <w:i/>
              </w:rPr>
              <w:t>K</w:t>
            </w:r>
            <w:r w:rsidRPr="006633B5">
              <w:rPr>
                <w:vertAlign w:val="subscript"/>
              </w:rPr>
              <w:t>SLS,con</w:t>
            </w:r>
          </w:p>
        </w:tc>
        <w:tc>
          <w:tcPr>
            <w:tcW w:w="0" w:type="auto"/>
            <w:shd w:val="clear" w:color="auto" w:fill="auto"/>
          </w:tcPr>
          <w:p w14:paraId="2BAB3803" w14:textId="77777777" w:rsidR="006633B5" w:rsidRPr="006633B5" w:rsidRDefault="006633B5" w:rsidP="00E10A24">
            <w:pPr>
              <w:pStyle w:val="Tablebody"/>
              <w:spacing w:after="80"/>
            </w:pPr>
            <w:r w:rsidRPr="006633B5">
              <w:t>stiffness of the single timber-to-timber connection used in the vertical joint</w:t>
            </w:r>
          </w:p>
        </w:tc>
      </w:tr>
      <w:tr w:rsidR="006633B5" w:rsidRPr="006633B5" w14:paraId="6754FD55" w14:textId="77777777" w:rsidTr="006633B5">
        <w:tc>
          <w:tcPr>
            <w:tcW w:w="0" w:type="auto"/>
            <w:shd w:val="clear" w:color="auto" w:fill="auto"/>
          </w:tcPr>
          <w:p w14:paraId="60CF3EBF" w14:textId="77777777" w:rsidR="006633B5" w:rsidRPr="006633B5" w:rsidRDefault="006633B5" w:rsidP="00E10A24">
            <w:pPr>
              <w:pStyle w:val="Tablebody"/>
              <w:spacing w:after="80"/>
            </w:pPr>
            <w:r w:rsidRPr="006633B5">
              <w:rPr>
                <w:i/>
              </w:rPr>
              <w:t>L</w:t>
            </w:r>
            <w:r w:rsidRPr="006633B5">
              <w:rPr>
                <w:vertAlign w:val="subscript"/>
              </w:rPr>
              <w:t>br</w:t>
            </w:r>
          </w:p>
        </w:tc>
        <w:tc>
          <w:tcPr>
            <w:tcW w:w="0" w:type="auto"/>
            <w:shd w:val="clear" w:color="auto" w:fill="auto"/>
          </w:tcPr>
          <w:p w14:paraId="09A7041A" w14:textId="77777777" w:rsidR="006633B5" w:rsidRPr="006633B5" w:rsidRDefault="006633B5" w:rsidP="00E10A24">
            <w:pPr>
              <w:pStyle w:val="Tablebody"/>
              <w:spacing w:after="80"/>
            </w:pPr>
            <w:r w:rsidRPr="006633B5">
              <w:t xml:space="preserve">brace length </w:t>
            </w:r>
          </w:p>
        </w:tc>
      </w:tr>
      <w:tr w:rsidR="006633B5" w:rsidRPr="006633B5" w14:paraId="5571B208" w14:textId="77777777" w:rsidTr="006633B5">
        <w:tc>
          <w:tcPr>
            <w:tcW w:w="0" w:type="auto"/>
            <w:shd w:val="clear" w:color="auto" w:fill="auto"/>
          </w:tcPr>
          <w:p w14:paraId="4287A64E" w14:textId="77777777" w:rsidR="006633B5" w:rsidRPr="006633B5" w:rsidRDefault="006633B5" w:rsidP="00E10A24">
            <w:pPr>
              <w:pStyle w:val="Tablebody"/>
              <w:spacing w:after="80"/>
              <w:rPr>
                <w:i/>
              </w:rPr>
            </w:pPr>
            <w:r w:rsidRPr="006633B5">
              <w:rPr>
                <w:i/>
              </w:rPr>
              <w:t>L</w:t>
            </w:r>
          </w:p>
        </w:tc>
        <w:tc>
          <w:tcPr>
            <w:tcW w:w="0" w:type="auto"/>
            <w:shd w:val="clear" w:color="auto" w:fill="auto"/>
          </w:tcPr>
          <w:p w14:paraId="6903E4E9" w14:textId="77777777" w:rsidR="006633B5" w:rsidRPr="006633B5" w:rsidRDefault="006633B5" w:rsidP="00E10A24">
            <w:pPr>
              <w:pStyle w:val="Tablebody"/>
              <w:spacing w:after="80"/>
            </w:pPr>
            <w:r w:rsidRPr="006633B5">
              <w:t>distance between parallel walls</w:t>
            </w:r>
          </w:p>
        </w:tc>
      </w:tr>
      <w:tr w:rsidR="006633B5" w:rsidRPr="006633B5" w14:paraId="2360EB2B" w14:textId="77777777" w:rsidTr="006633B5">
        <w:tc>
          <w:tcPr>
            <w:tcW w:w="0" w:type="auto"/>
            <w:shd w:val="clear" w:color="auto" w:fill="auto"/>
          </w:tcPr>
          <w:p w14:paraId="05C7D29F" w14:textId="77777777" w:rsidR="006633B5" w:rsidRPr="006633B5" w:rsidRDefault="006633B5" w:rsidP="00E10A24">
            <w:pPr>
              <w:pStyle w:val="Tablebody"/>
              <w:spacing w:after="80"/>
            </w:pPr>
            <w:r w:rsidRPr="006633B5">
              <w:rPr>
                <w:i/>
              </w:rPr>
              <w:t>L</w:t>
            </w:r>
            <w:r w:rsidRPr="006633B5">
              <w:rPr>
                <w:vertAlign w:val="subscript"/>
              </w:rPr>
              <w:t>e</w:t>
            </w:r>
          </w:p>
        </w:tc>
        <w:tc>
          <w:tcPr>
            <w:tcW w:w="0" w:type="auto"/>
            <w:shd w:val="clear" w:color="auto" w:fill="auto"/>
          </w:tcPr>
          <w:p w14:paraId="5DE7DEF3" w14:textId="77777777" w:rsidR="006633B5" w:rsidRPr="006633B5" w:rsidRDefault="006633B5" w:rsidP="00E10A24">
            <w:pPr>
              <w:pStyle w:val="Tablebody"/>
              <w:spacing w:after="80"/>
            </w:pPr>
            <w:r w:rsidRPr="006633B5">
              <w:t>distance between the two-outermost lateral load resisting elements, measured perpendicularly to the direction of the seismic action considered</w:t>
            </w:r>
          </w:p>
        </w:tc>
      </w:tr>
      <w:tr w:rsidR="006633B5" w:rsidRPr="006633B5" w14:paraId="4ADFA106" w14:textId="77777777" w:rsidTr="006633B5">
        <w:tc>
          <w:tcPr>
            <w:tcW w:w="0" w:type="auto"/>
            <w:shd w:val="clear" w:color="auto" w:fill="auto"/>
          </w:tcPr>
          <w:p w14:paraId="582A90C2" w14:textId="77777777" w:rsidR="006633B5" w:rsidRPr="006633B5" w:rsidRDefault="006633B5" w:rsidP="00E10A24">
            <w:pPr>
              <w:pStyle w:val="Tablebody"/>
              <w:spacing w:after="80"/>
            </w:pPr>
            <w:r w:rsidRPr="006633B5">
              <w:rPr>
                <w:i/>
              </w:rPr>
              <w:t>L</w:t>
            </w:r>
            <w:r w:rsidRPr="006633B5">
              <w:rPr>
                <w:vertAlign w:val="subscript"/>
              </w:rPr>
              <w:t>b</w:t>
            </w:r>
          </w:p>
        </w:tc>
        <w:tc>
          <w:tcPr>
            <w:tcW w:w="0" w:type="auto"/>
            <w:shd w:val="clear" w:color="auto" w:fill="auto"/>
          </w:tcPr>
          <w:p w14:paraId="74004EE5" w14:textId="77777777" w:rsidR="006633B5" w:rsidRPr="006633B5" w:rsidRDefault="006633B5" w:rsidP="00E10A24">
            <w:pPr>
              <w:pStyle w:val="Tablebody"/>
              <w:spacing w:after="80"/>
              <w:rPr>
                <w:szCs w:val="22"/>
              </w:rPr>
            </w:pPr>
            <w:r w:rsidRPr="006633B5">
              <w:t xml:space="preserve">beam length </w:t>
            </w:r>
          </w:p>
        </w:tc>
      </w:tr>
      <w:tr w:rsidR="006633B5" w:rsidRPr="006633B5" w14:paraId="7FC79B1E" w14:textId="77777777" w:rsidTr="006633B5">
        <w:tc>
          <w:tcPr>
            <w:tcW w:w="0" w:type="auto"/>
            <w:shd w:val="clear" w:color="auto" w:fill="auto"/>
          </w:tcPr>
          <w:p w14:paraId="00314A83" w14:textId="77777777" w:rsidR="006633B5" w:rsidRPr="006633B5" w:rsidRDefault="006633B5" w:rsidP="00E10A24">
            <w:pPr>
              <w:pStyle w:val="Tablebody"/>
              <w:spacing w:after="80"/>
            </w:pPr>
            <w:r w:rsidRPr="006633B5">
              <w:rPr>
                <w:i/>
              </w:rPr>
              <w:t>L</w:t>
            </w:r>
            <w:r w:rsidRPr="006633B5">
              <w:rPr>
                <w:iCs/>
                <w:vertAlign w:val="subscript"/>
              </w:rPr>
              <w:t>h</w:t>
            </w:r>
          </w:p>
        </w:tc>
        <w:tc>
          <w:tcPr>
            <w:tcW w:w="0" w:type="auto"/>
            <w:shd w:val="clear" w:color="auto" w:fill="auto"/>
          </w:tcPr>
          <w:p w14:paraId="7E042335" w14:textId="77777777" w:rsidR="006633B5" w:rsidRPr="006633B5" w:rsidRDefault="006633B5" w:rsidP="00E10A24">
            <w:pPr>
              <w:pStyle w:val="Tablebody"/>
              <w:spacing w:after="80"/>
              <w:rPr>
                <w:szCs w:val="22"/>
              </w:rPr>
            </w:pPr>
            <w:r w:rsidRPr="006633B5">
              <w:t>distance between dissipative zones at ends of a beam span</w:t>
            </w:r>
          </w:p>
        </w:tc>
      </w:tr>
      <w:tr w:rsidR="006633B5" w:rsidRPr="006633B5" w14:paraId="7D26DE8F" w14:textId="77777777" w:rsidTr="006633B5">
        <w:tc>
          <w:tcPr>
            <w:tcW w:w="0" w:type="auto"/>
            <w:shd w:val="clear" w:color="auto" w:fill="auto"/>
          </w:tcPr>
          <w:p w14:paraId="2796C7A9" w14:textId="77777777" w:rsidR="006633B5" w:rsidRPr="006633B5" w:rsidRDefault="006633B5" w:rsidP="00E10A24">
            <w:pPr>
              <w:pStyle w:val="Tablebody"/>
              <w:spacing w:after="80"/>
            </w:pPr>
            <w:r w:rsidRPr="006633B5">
              <w:rPr>
                <w:i/>
              </w:rPr>
              <w:t>L</w:t>
            </w:r>
            <w:r w:rsidRPr="006633B5">
              <w:rPr>
                <w:vertAlign w:val="subscript"/>
              </w:rPr>
              <w:t>i</w:t>
            </w:r>
          </w:p>
        </w:tc>
        <w:tc>
          <w:tcPr>
            <w:tcW w:w="0" w:type="auto"/>
            <w:shd w:val="clear" w:color="auto" w:fill="auto"/>
          </w:tcPr>
          <w:p w14:paraId="5E765850" w14:textId="77777777" w:rsidR="006633B5" w:rsidRPr="006633B5" w:rsidRDefault="006633B5" w:rsidP="00E10A24">
            <w:pPr>
              <w:pStyle w:val="Tablebody"/>
              <w:spacing w:after="80"/>
            </w:pPr>
            <w:r w:rsidRPr="006633B5">
              <w:t xml:space="preserve">floor dimension perpendicular to the direction of the seismic action </w:t>
            </w:r>
          </w:p>
        </w:tc>
      </w:tr>
      <w:tr w:rsidR="006633B5" w:rsidRPr="006633B5" w14:paraId="2749185D" w14:textId="77777777" w:rsidTr="006633B5">
        <w:tc>
          <w:tcPr>
            <w:tcW w:w="0" w:type="auto"/>
            <w:shd w:val="clear" w:color="auto" w:fill="auto"/>
          </w:tcPr>
          <w:p w14:paraId="57350A8F" w14:textId="77777777" w:rsidR="006633B5" w:rsidRPr="006633B5" w:rsidRDefault="006633B5" w:rsidP="00E10A24">
            <w:pPr>
              <w:pStyle w:val="Tablebody"/>
              <w:spacing w:after="80"/>
            </w:pPr>
            <w:r w:rsidRPr="006633B5">
              <w:rPr>
                <w:i/>
              </w:rPr>
              <w:t>L</w:t>
            </w:r>
            <w:r w:rsidRPr="006633B5">
              <w:rPr>
                <w:vertAlign w:val="subscript"/>
              </w:rPr>
              <w:t>st</w:t>
            </w:r>
          </w:p>
        </w:tc>
        <w:tc>
          <w:tcPr>
            <w:tcW w:w="0" w:type="auto"/>
            <w:shd w:val="clear" w:color="auto" w:fill="auto"/>
          </w:tcPr>
          <w:p w14:paraId="28E2FE78" w14:textId="77777777" w:rsidR="006633B5" w:rsidRPr="006633B5" w:rsidRDefault="006633B5" w:rsidP="00E10A24">
            <w:pPr>
              <w:pStyle w:val="Tablebody"/>
              <w:spacing w:after="80"/>
            </w:pPr>
            <w:r w:rsidRPr="006633B5">
              <w:t xml:space="preserve">distance between lateral-torsional restraints </w:t>
            </w:r>
          </w:p>
        </w:tc>
      </w:tr>
      <w:tr w:rsidR="006633B5" w:rsidRPr="006633B5" w14:paraId="014DA475" w14:textId="77777777" w:rsidTr="006633B5">
        <w:tc>
          <w:tcPr>
            <w:tcW w:w="0" w:type="auto"/>
            <w:shd w:val="clear" w:color="auto" w:fill="auto"/>
          </w:tcPr>
          <w:p w14:paraId="3A38684D" w14:textId="77777777" w:rsidR="006633B5" w:rsidRPr="006633B5" w:rsidRDefault="006633B5" w:rsidP="00E10A24">
            <w:pPr>
              <w:pStyle w:val="Tablebody"/>
              <w:spacing w:after="80"/>
            </w:pPr>
            <w:r w:rsidRPr="006633B5">
              <w:rPr>
                <w:i/>
                <w:iCs/>
              </w:rPr>
              <w:t>M</w:t>
            </w:r>
            <w:r w:rsidRPr="006633B5">
              <w:rPr>
                <w:vertAlign w:val="subscript"/>
              </w:rPr>
              <w:t>b,Rd</w:t>
            </w:r>
          </w:p>
        </w:tc>
        <w:tc>
          <w:tcPr>
            <w:tcW w:w="0" w:type="auto"/>
            <w:shd w:val="clear" w:color="auto" w:fill="auto"/>
          </w:tcPr>
          <w:p w14:paraId="21061483" w14:textId="77777777" w:rsidR="006633B5" w:rsidRPr="006633B5" w:rsidRDefault="006633B5" w:rsidP="00E10A24">
            <w:pPr>
              <w:pStyle w:val="Tablebody"/>
              <w:spacing w:after="80"/>
            </w:pPr>
            <w:r w:rsidRPr="006633B5">
              <w:t>design bending resistances of a steel beam cross-section</w:t>
            </w:r>
          </w:p>
        </w:tc>
      </w:tr>
      <w:tr w:rsidR="006633B5" w:rsidRPr="006633B5" w14:paraId="66992B41" w14:textId="77777777" w:rsidTr="006633B5">
        <w:tc>
          <w:tcPr>
            <w:tcW w:w="0" w:type="auto"/>
            <w:shd w:val="clear" w:color="auto" w:fill="auto"/>
          </w:tcPr>
          <w:p w14:paraId="1AAADF31" w14:textId="77777777" w:rsidR="006633B5" w:rsidRPr="006633B5" w:rsidRDefault="006633B5" w:rsidP="00E10A24">
            <w:pPr>
              <w:pStyle w:val="Tablebody"/>
              <w:spacing w:after="80"/>
            </w:pPr>
            <w:r w:rsidRPr="006633B5">
              <w:rPr>
                <w:i/>
              </w:rPr>
              <w:t>M</w:t>
            </w:r>
            <w:r w:rsidRPr="006633B5">
              <w:rPr>
                <w:vertAlign w:val="subscript"/>
              </w:rPr>
              <w:t>dst,d,E</w:t>
            </w:r>
          </w:p>
        </w:tc>
        <w:tc>
          <w:tcPr>
            <w:tcW w:w="0" w:type="auto"/>
            <w:shd w:val="clear" w:color="auto" w:fill="auto"/>
          </w:tcPr>
          <w:p w14:paraId="2841279B" w14:textId="77777777" w:rsidR="006633B5" w:rsidRPr="006633B5" w:rsidRDefault="006633B5" w:rsidP="00E10A24">
            <w:pPr>
              <w:pStyle w:val="Tablebody"/>
              <w:spacing w:after="80"/>
            </w:pPr>
            <w:r w:rsidRPr="006633B5">
              <w:t>overturning moment due to design seismic action</w:t>
            </w:r>
          </w:p>
        </w:tc>
      </w:tr>
      <w:tr w:rsidR="006633B5" w:rsidRPr="006633B5" w14:paraId="392F6972" w14:textId="77777777" w:rsidTr="006633B5">
        <w:tc>
          <w:tcPr>
            <w:tcW w:w="0" w:type="auto"/>
            <w:shd w:val="clear" w:color="auto" w:fill="auto"/>
          </w:tcPr>
          <w:p w14:paraId="1D1D38D1" w14:textId="77777777" w:rsidR="006633B5" w:rsidRPr="006633B5" w:rsidRDefault="006633B5" w:rsidP="00E10A24">
            <w:pPr>
              <w:pStyle w:val="Tablebody"/>
              <w:spacing w:after="80"/>
            </w:pPr>
            <w:r w:rsidRPr="006633B5">
              <w:rPr>
                <w:i/>
              </w:rPr>
              <w:t>M’</w:t>
            </w:r>
            <w:r w:rsidRPr="006633B5">
              <w:rPr>
                <w:vertAlign w:val="subscript"/>
              </w:rPr>
              <w:t>Edw</w:t>
            </w:r>
          </w:p>
        </w:tc>
        <w:tc>
          <w:tcPr>
            <w:tcW w:w="0" w:type="auto"/>
            <w:shd w:val="clear" w:color="auto" w:fill="auto"/>
          </w:tcPr>
          <w:p w14:paraId="05195DC8" w14:textId="77777777" w:rsidR="006633B5" w:rsidRPr="006633B5" w:rsidRDefault="006633B5" w:rsidP="00E10A24">
            <w:pPr>
              <w:pStyle w:val="Tablebody"/>
              <w:spacing w:after="80"/>
            </w:pPr>
            <w:r w:rsidRPr="006633B5">
              <w:t xml:space="preserve">design bending moment of the wall </w:t>
            </w:r>
            <w:r w:rsidRPr="006633B5">
              <w:rPr>
                <w:szCs w:val="22"/>
              </w:rPr>
              <w:t xml:space="preserve">from the analysis for the </w:t>
            </w:r>
            <w:r w:rsidRPr="006633B5">
              <w:t>seismic design situation</w:t>
            </w:r>
          </w:p>
        </w:tc>
      </w:tr>
      <w:tr w:rsidR="006633B5" w:rsidRPr="006633B5" w14:paraId="282235B6" w14:textId="77777777" w:rsidTr="006633B5">
        <w:tc>
          <w:tcPr>
            <w:tcW w:w="0" w:type="auto"/>
            <w:shd w:val="clear" w:color="auto" w:fill="auto"/>
          </w:tcPr>
          <w:p w14:paraId="6AECFF32" w14:textId="77777777" w:rsidR="006633B5" w:rsidRPr="006633B5" w:rsidRDefault="006633B5" w:rsidP="00E10A24">
            <w:pPr>
              <w:pStyle w:val="Tablebody"/>
              <w:spacing w:after="80"/>
            </w:pPr>
            <w:r w:rsidRPr="006633B5">
              <w:rPr>
                <w:i/>
              </w:rPr>
              <w:t>M’</w:t>
            </w:r>
            <w:r w:rsidRPr="006633B5">
              <w:rPr>
                <w:vertAlign w:val="subscript"/>
              </w:rPr>
              <w:t>Edw,base</w:t>
            </w:r>
          </w:p>
        </w:tc>
        <w:tc>
          <w:tcPr>
            <w:tcW w:w="0" w:type="auto"/>
            <w:shd w:val="clear" w:color="auto" w:fill="auto"/>
          </w:tcPr>
          <w:p w14:paraId="210717A1" w14:textId="77777777" w:rsidR="006633B5" w:rsidRPr="006633B5" w:rsidRDefault="006633B5" w:rsidP="00E10A24">
            <w:pPr>
              <w:pStyle w:val="Tablebody"/>
              <w:spacing w:after="80"/>
            </w:pPr>
            <w:r w:rsidRPr="006633B5">
              <w:t xml:space="preserve">design bending moment at the base of the wall </w:t>
            </w:r>
            <w:r w:rsidRPr="006633B5">
              <w:rPr>
                <w:szCs w:val="22"/>
              </w:rPr>
              <w:t>from the analysis for</w:t>
            </w:r>
            <w:r w:rsidRPr="006633B5">
              <w:t xml:space="preserve"> the seismic design situation</w:t>
            </w:r>
          </w:p>
        </w:tc>
      </w:tr>
      <w:tr w:rsidR="006633B5" w:rsidRPr="006633B5" w14:paraId="45F250AC" w14:textId="77777777" w:rsidTr="006633B5">
        <w:tc>
          <w:tcPr>
            <w:tcW w:w="0" w:type="auto"/>
            <w:shd w:val="clear" w:color="auto" w:fill="auto"/>
          </w:tcPr>
          <w:p w14:paraId="43733FC3" w14:textId="77777777" w:rsidR="006633B5" w:rsidRPr="006633B5" w:rsidRDefault="006633B5" w:rsidP="00E10A24">
            <w:pPr>
              <w:pStyle w:val="Tablebody"/>
              <w:spacing w:after="80"/>
              <w:rPr>
                <w:i/>
                <w:vertAlign w:val="subscript"/>
              </w:rPr>
            </w:pPr>
            <w:r w:rsidRPr="006633B5">
              <w:rPr>
                <w:i/>
              </w:rPr>
              <w:t>M</w:t>
            </w:r>
            <w:r w:rsidRPr="006633B5">
              <w:rPr>
                <w:iCs/>
                <w:vertAlign w:val="subscript"/>
              </w:rPr>
              <w:t>Ed</w:t>
            </w:r>
          </w:p>
        </w:tc>
        <w:tc>
          <w:tcPr>
            <w:tcW w:w="0" w:type="auto"/>
            <w:shd w:val="clear" w:color="auto" w:fill="auto"/>
          </w:tcPr>
          <w:p w14:paraId="376201F8" w14:textId="77777777" w:rsidR="006633B5" w:rsidRPr="006633B5" w:rsidRDefault="006633B5" w:rsidP="00E10A24">
            <w:pPr>
              <w:pStyle w:val="Tablebody"/>
              <w:spacing w:after="80"/>
            </w:pPr>
            <w:r w:rsidRPr="006633B5">
              <w:t>design bending moment from the analysis for the seismic design situation</w:t>
            </w:r>
          </w:p>
        </w:tc>
      </w:tr>
      <w:tr w:rsidR="006633B5" w:rsidRPr="006633B5" w14:paraId="5CF0DC44" w14:textId="77777777" w:rsidTr="006633B5">
        <w:tc>
          <w:tcPr>
            <w:tcW w:w="0" w:type="auto"/>
            <w:shd w:val="clear" w:color="auto" w:fill="auto"/>
          </w:tcPr>
          <w:p w14:paraId="7C0DBE8E" w14:textId="77777777" w:rsidR="006633B5" w:rsidRPr="006633B5" w:rsidRDefault="006633B5" w:rsidP="00E10A24">
            <w:pPr>
              <w:pStyle w:val="Tablebody"/>
              <w:spacing w:after="80"/>
              <w:rPr>
                <w:vertAlign w:val="subscript"/>
              </w:rPr>
            </w:pPr>
            <w:r w:rsidRPr="006633B5">
              <w:rPr>
                <w:i/>
              </w:rPr>
              <w:t>M</w:t>
            </w:r>
            <w:r w:rsidRPr="006633B5">
              <w:rPr>
                <w:vertAlign w:val="subscript"/>
              </w:rPr>
              <w:t>Ed,E</w:t>
            </w:r>
          </w:p>
        </w:tc>
        <w:tc>
          <w:tcPr>
            <w:tcW w:w="0" w:type="auto"/>
            <w:shd w:val="clear" w:color="auto" w:fill="auto"/>
          </w:tcPr>
          <w:p w14:paraId="36545941" w14:textId="77777777" w:rsidR="006633B5" w:rsidRPr="006633B5" w:rsidRDefault="006633B5" w:rsidP="00E10A24">
            <w:pPr>
              <w:pStyle w:val="Tablebody"/>
              <w:spacing w:after="80"/>
            </w:pPr>
            <w:r w:rsidRPr="006633B5">
              <w:t>design rocking moment of the shear wall due to the seismic action</w:t>
            </w:r>
          </w:p>
        </w:tc>
      </w:tr>
      <w:tr w:rsidR="006633B5" w:rsidRPr="006633B5" w14:paraId="6AD4CE11" w14:textId="77777777" w:rsidTr="006633B5">
        <w:tc>
          <w:tcPr>
            <w:tcW w:w="0" w:type="auto"/>
            <w:shd w:val="clear" w:color="auto" w:fill="auto"/>
          </w:tcPr>
          <w:p w14:paraId="1F3F0BC0" w14:textId="77777777" w:rsidR="006633B5" w:rsidRPr="006633B5" w:rsidRDefault="006633B5" w:rsidP="00E10A24">
            <w:pPr>
              <w:pStyle w:val="Tablebody"/>
              <w:spacing w:after="80"/>
            </w:pPr>
            <w:r w:rsidRPr="006633B5">
              <w:rPr>
                <w:i/>
              </w:rPr>
              <w:t>M</w:t>
            </w:r>
            <w:r w:rsidRPr="006633B5">
              <w:rPr>
                <w:vertAlign w:val="subscript"/>
              </w:rPr>
              <w:t>Ed,E,i,j</w:t>
            </w:r>
          </w:p>
        </w:tc>
        <w:tc>
          <w:tcPr>
            <w:tcW w:w="0" w:type="auto"/>
            <w:shd w:val="clear" w:color="auto" w:fill="auto"/>
          </w:tcPr>
          <w:p w14:paraId="50B27F91" w14:textId="77777777" w:rsidR="006633B5" w:rsidRPr="006633B5" w:rsidRDefault="006633B5" w:rsidP="00E10A24">
            <w:pPr>
              <w:pStyle w:val="Tablebody"/>
              <w:spacing w:after="80"/>
            </w:pPr>
            <w:r w:rsidRPr="006633B5">
              <w:t xml:space="preserve">design rocking moment of the </w:t>
            </w:r>
            <w:r w:rsidRPr="006633B5">
              <w:rPr>
                <w:i/>
              </w:rPr>
              <w:t>j</w:t>
            </w:r>
            <w:r w:rsidRPr="006633B5">
              <w:rPr>
                <w:i/>
                <w:vertAlign w:val="superscript"/>
              </w:rPr>
              <w:t>th</w:t>
            </w:r>
            <w:r w:rsidRPr="006633B5">
              <w:t xml:space="preserve"> segmented shear wall at the </w:t>
            </w:r>
            <w:r w:rsidRPr="006633B5">
              <w:rPr>
                <w:i/>
              </w:rPr>
              <w:t>i</w:t>
            </w:r>
            <w:r w:rsidRPr="006633B5">
              <w:rPr>
                <w:i/>
                <w:vertAlign w:val="superscript"/>
              </w:rPr>
              <w:t>th</w:t>
            </w:r>
            <w:r w:rsidRPr="006633B5">
              <w:t xml:space="preserve"> storey due to the seismic action</w:t>
            </w:r>
          </w:p>
        </w:tc>
      </w:tr>
      <w:tr w:rsidR="006633B5" w:rsidRPr="006633B5" w14:paraId="6E3D1E15" w14:textId="77777777" w:rsidTr="006633B5">
        <w:tc>
          <w:tcPr>
            <w:tcW w:w="0" w:type="auto"/>
            <w:shd w:val="clear" w:color="auto" w:fill="auto"/>
          </w:tcPr>
          <w:p w14:paraId="00F24DB4" w14:textId="77777777" w:rsidR="006633B5" w:rsidRPr="006633B5" w:rsidRDefault="006633B5" w:rsidP="00E10A24">
            <w:pPr>
              <w:pStyle w:val="Tablebody"/>
              <w:spacing w:after="80"/>
            </w:pPr>
            <w:r w:rsidRPr="006633B5">
              <w:rPr>
                <w:i/>
              </w:rPr>
              <w:t>M</w:t>
            </w:r>
            <w:r w:rsidRPr="006633B5">
              <w:rPr>
                <w:vertAlign w:val="subscript"/>
              </w:rPr>
              <w:t>Edw</w:t>
            </w:r>
          </w:p>
        </w:tc>
        <w:tc>
          <w:tcPr>
            <w:tcW w:w="0" w:type="auto"/>
            <w:shd w:val="clear" w:color="auto" w:fill="auto"/>
          </w:tcPr>
          <w:p w14:paraId="6A9B98AD" w14:textId="77777777" w:rsidR="006633B5" w:rsidRPr="006633B5" w:rsidRDefault="006633B5" w:rsidP="00E10A24">
            <w:pPr>
              <w:pStyle w:val="Tablebody"/>
              <w:spacing w:after="80"/>
            </w:pPr>
            <w:r w:rsidRPr="006633B5">
              <w:t>design bending moment of the wall in the seismic design situation (envelope)</w:t>
            </w:r>
          </w:p>
        </w:tc>
      </w:tr>
      <w:tr w:rsidR="006633B5" w:rsidRPr="006633B5" w14:paraId="1D6A0303" w14:textId="77777777" w:rsidTr="006633B5">
        <w:tc>
          <w:tcPr>
            <w:tcW w:w="0" w:type="auto"/>
            <w:shd w:val="clear" w:color="auto" w:fill="auto"/>
          </w:tcPr>
          <w:p w14:paraId="39B7ECE3" w14:textId="77777777" w:rsidR="006633B5" w:rsidRPr="006633B5" w:rsidRDefault="006633B5" w:rsidP="00E10A24">
            <w:pPr>
              <w:pStyle w:val="Tablebody"/>
              <w:spacing w:after="80"/>
            </w:pPr>
            <w:r w:rsidRPr="006633B5">
              <w:rPr>
                <w:i/>
              </w:rPr>
              <w:t>M</w:t>
            </w:r>
            <w:r w:rsidRPr="006633B5">
              <w:rPr>
                <w:vertAlign w:val="subscript"/>
              </w:rPr>
              <w:t>i,d</w:t>
            </w:r>
          </w:p>
        </w:tc>
        <w:tc>
          <w:tcPr>
            <w:tcW w:w="0" w:type="auto"/>
            <w:shd w:val="clear" w:color="auto" w:fill="auto"/>
          </w:tcPr>
          <w:p w14:paraId="6007919C" w14:textId="77777777" w:rsidR="006633B5" w:rsidRPr="006633B5" w:rsidRDefault="006633B5" w:rsidP="00E10A24">
            <w:pPr>
              <w:pStyle w:val="Tablebody"/>
              <w:spacing w:after="80"/>
              <w:rPr>
                <w:i/>
              </w:rPr>
            </w:pPr>
            <w:r w:rsidRPr="006633B5">
              <w:t xml:space="preserve">moment at beam or column end </w:t>
            </w:r>
            <w:r w:rsidRPr="006633B5">
              <w:rPr>
                <w:i/>
              </w:rPr>
              <w:t>i</w:t>
            </w:r>
          </w:p>
        </w:tc>
      </w:tr>
      <w:tr w:rsidR="006633B5" w:rsidRPr="006633B5" w14:paraId="557D1393" w14:textId="77777777" w:rsidTr="006633B5">
        <w:tc>
          <w:tcPr>
            <w:tcW w:w="0" w:type="auto"/>
            <w:shd w:val="clear" w:color="auto" w:fill="auto"/>
          </w:tcPr>
          <w:p w14:paraId="07024ECE" w14:textId="77777777" w:rsidR="006633B5" w:rsidRPr="006633B5" w:rsidRDefault="006633B5" w:rsidP="00E10A24">
            <w:pPr>
              <w:pStyle w:val="Tablebody"/>
              <w:spacing w:after="80"/>
            </w:pPr>
            <w:r w:rsidRPr="006633B5">
              <w:rPr>
                <w:i/>
                <w:iCs/>
              </w:rPr>
              <w:lastRenderedPageBreak/>
              <w:t>M</w:t>
            </w:r>
            <w:r w:rsidRPr="006633B5">
              <w:rPr>
                <w:vertAlign w:val="subscript"/>
              </w:rPr>
              <w:t>T,j,Ed</w:t>
            </w:r>
          </w:p>
        </w:tc>
        <w:tc>
          <w:tcPr>
            <w:tcW w:w="0" w:type="auto"/>
            <w:shd w:val="clear" w:color="auto" w:fill="auto"/>
          </w:tcPr>
          <w:p w14:paraId="7E95D799" w14:textId="77777777" w:rsidR="006633B5" w:rsidRPr="006633B5" w:rsidRDefault="006633B5" w:rsidP="00E10A24">
            <w:pPr>
              <w:pStyle w:val="Tablebody"/>
              <w:spacing w:after="80"/>
            </w:pPr>
            <w:r w:rsidRPr="006633B5">
              <w:t xml:space="preserve">design moment in a joint </w:t>
            </w:r>
            <w:r w:rsidRPr="006633B5">
              <w:rPr>
                <w:i/>
                <w:iCs/>
              </w:rPr>
              <w:t>j</w:t>
            </w:r>
          </w:p>
        </w:tc>
      </w:tr>
      <w:tr w:rsidR="006633B5" w:rsidRPr="006633B5" w14:paraId="2359F69E" w14:textId="77777777" w:rsidTr="006633B5">
        <w:tc>
          <w:tcPr>
            <w:tcW w:w="0" w:type="auto"/>
            <w:shd w:val="clear" w:color="auto" w:fill="auto"/>
          </w:tcPr>
          <w:p w14:paraId="3A64C625" w14:textId="77777777" w:rsidR="006633B5" w:rsidRPr="006633B5" w:rsidRDefault="006633B5" w:rsidP="00E10A24">
            <w:pPr>
              <w:pStyle w:val="Tablebody"/>
              <w:spacing w:after="80"/>
            </w:pPr>
            <w:r w:rsidRPr="006633B5">
              <w:rPr>
                <w:i/>
              </w:rPr>
              <w:t>M</w:t>
            </w:r>
            <w:r w:rsidRPr="006633B5">
              <w:rPr>
                <w:vertAlign w:val="subscript"/>
              </w:rPr>
              <w:t>j,Rd</w:t>
            </w:r>
          </w:p>
        </w:tc>
        <w:tc>
          <w:tcPr>
            <w:tcW w:w="0" w:type="auto"/>
            <w:shd w:val="clear" w:color="auto" w:fill="auto"/>
          </w:tcPr>
          <w:p w14:paraId="471247D1" w14:textId="77777777" w:rsidR="006633B5" w:rsidRPr="006633B5" w:rsidRDefault="006633B5" w:rsidP="00E10A24">
            <w:pPr>
              <w:pStyle w:val="Tablebody"/>
              <w:spacing w:after="80"/>
              <w:rPr>
                <w:i/>
              </w:rPr>
            </w:pPr>
            <w:r w:rsidRPr="006633B5">
              <w:t>resistance of continuous beam-to column connections</w:t>
            </w:r>
          </w:p>
        </w:tc>
      </w:tr>
      <w:tr w:rsidR="006633B5" w:rsidRPr="006633B5" w14:paraId="5CAB8D05" w14:textId="77777777" w:rsidTr="006633B5">
        <w:tc>
          <w:tcPr>
            <w:tcW w:w="0" w:type="auto"/>
            <w:shd w:val="clear" w:color="auto" w:fill="auto"/>
          </w:tcPr>
          <w:p w14:paraId="4D56CF22" w14:textId="77777777" w:rsidR="006633B5" w:rsidRPr="006633B5" w:rsidRDefault="006633B5" w:rsidP="00E10A24">
            <w:pPr>
              <w:pStyle w:val="Tablebody"/>
              <w:spacing w:after="80"/>
            </w:pPr>
            <w:r w:rsidRPr="006633B5">
              <w:rPr>
                <w:i/>
              </w:rPr>
              <w:t>M</w:t>
            </w:r>
            <w:r w:rsidRPr="006633B5">
              <w:rPr>
                <w:vertAlign w:val="subscript"/>
              </w:rPr>
              <w:t>oop,Ed</w:t>
            </w:r>
          </w:p>
        </w:tc>
        <w:tc>
          <w:tcPr>
            <w:tcW w:w="0" w:type="auto"/>
            <w:shd w:val="clear" w:color="auto" w:fill="auto"/>
          </w:tcPr>
          <w:p w14:paraId="16552CFC" w14:textId="77777777" w:rsidR="006633B5" w:rsidRPr="006633B5" w:rsidRDefault="006633B5" w:rsidP="00E10A24">
            <w:pPr>
              <w:pStyle w:val="Tablebody"/>
              <w:spacing w:after="80"/>
            </w:pPr>
            <w:bookmarkStart w:id="568" w:name="_Hlk38291278"/>
            <w:r w:rsidRPr="006633B5">
              <w:t xml:space="preserve">design bending moment due to horizontal forces generating out-of-plane </w:t>
            </w:r>
            <w:bookmarkEnd w:id="568"/>
            <w:r w:rsidRPr="006633B5">
              <w:t>deformation</w:t>
            </w:r>
          </w:p>
        </w:tc>
      </w:tr>
      <w:tr w:rsidR="006633B5" w:rsidRPr="006633B5" w14:paraId="25C5E114" w14:textId="77777777" w:rsidTr="006633B5">
        <w:tc>
          <w:tcPr>
            <w:tcW w:w="0" w:type="auto"/>
            <w:shd w:val="clear" w:color="auto" w:fill="auto"/>
          </w:tcPr>
          <w:p w14:paraId="3C4DF1FA" w14:textId="77777777" w:rsidR="006633B5" w:rsidRPr="006633B5" w:rsidRDefault="006633B5" w:rsidP="00E10A24">
            <w:pPr>
              <w:pStyle w:val="Tablebody"/>
              <w:spacing w:after="80"/>
            </w:pPr>
            <w:r w:rsidRPr="006633B5">
              <w:rPr>
                <w:i/>
              </w:rPr>
              <w:t>M</w:t>
            </w:r>
            <w:r w:rsidRPr="006633B5">
              <w:rPr>
                <w:vertAlign w:val="subscript"/>
              </w:rPr>
              <w:t>oop,Rd</w:t>
            </w:r>
          </w:p>
        </w:tc>
        <w:tc>
          <w:tcPr>
            <w:tcW w:w="0" w:type="auto"/>
            <w:shd w:val="clear" w:color="auto" w:fill="auto"/>
          </w:tcPr>
          <w:p w14:paraId="1548D2A6" w14:textId="77777777" w:rsidR="006633B5" w:rsidRPr="006633B5" w:rsidRDefault="006633B5" w:rsidP="00E10A24">
            <w:pPr>
              <w:pStyle w:val="Tablebody"/>
              <w:spacing w:after="80"/>
            </w:pPr>
            <w:r w:rsidRPr="006633B5">
              <w:t>design bending resistance against out-of-plane action effects</w:t>
            </w:r>
          </w:p>
        </w:tc>
      </w:tr>
      <w:tr w:rsidR="006633B5" w:rsidRPr="006633B5" w14:paraId="6544996D" w14:textId="77777777" w:rsidTr="006633B5">
        <w:tc>
          <w:tcPr>
            <w:tcW w:w="0" w:type="auto"/>
            <w:shd w:val="clear" w:color="auto" w:fill="auto"/>
          </w:tcPr>
          <w:p w14:paraId="33588DA4" w14:textId="77777777" w:rsidR="006633B5" w:rsidRPr="006633B5" w:rsidRDefault="006633B5" w:rsidP="00E10A24">
            <w:pPr>
              <w:pStyle w:val="Tablebody"/>
              <w:spacing w:after="80"/>
              <w:rPr>
                <w:i/>
                <w:iCs/>
              </w:rPr>
            </w:pPr>
            <w:r w:rsidRPr="006633B5">
              <w:rPr>
                <w:i/>
                <w:iCs/>
              </w:rPr>
              <w:t>M</w:t>
            </w:r>
            <w:r w:rsidRPr="006633B5">
              <w:rPr>
                <w:vertAlign w:val="subscript"/>
              </w:rPr>
              <w:t>pier</w:t>
            </w:r>
          </w:p>
        </w:tc>
        <w:tc>
          <w:tcPr>
            <w:tcW w:w="0" w:type="auto"/>
            <w:shd w:val="clear" w:color="auto" w:fill="auto"/>
          </w:tcPr>
          <w:p w14:paraId="673E8A18" w14:textId="77777777" w:rsidR="006633B5" w:rsidRPr="006633B5" w:rsidRDefault="006633B5" w:rsidP="00E10A24">
            <w:pPr>
              <w:pStyle w:val="Tablebody"/>
              <w:spacing w:after="80"/>
            </w:pPr>
            <w:r w:rsidRPr="006633B5">
              <w:t>total mass of a pier</w:t>
            </w:r>
          </w:p>
        </w:tc>
      </w:tr>
      <w:tr w:rsidR="006633B5" w:rsidRPr="006633B5" w14:paraId="60D13792" w14:textId="77777777" w:rsidTr="006633B5">
        <w:tc>
          <w:tcPr>
            <w:tcW w:w="0" w:type="auto"/>
            <w:shd w:val="clear" w:color="auto" w:fill="auto"/>
          </w:tcPr>
          <w:p w14:paraId="13BEDB38" w14:textId="77777777" w:rsidR="006633B5" w:rsidRPr="006633B5" w:rsidRDefault="006633B5" w:rsidP="00E10A24">
            <w:pPr>
              <w:pStyle w:val="Tablebody"/>
              <w:spacing w:after="80"/>
              <w:rPr>
                <w:sz w:val="20"/>
                <w:vertAlign w:val="subscript"/>
              </w:rPr>
            </w:pPr>
            <w:r w:rsidRPr="006633B5">
              <w:rPr>
                <w:i/>
                <w:sz w:val="20"/>
              </w:rPr>
              <w:t>M</w:t>
            </w:r>
            <w:r w:rsidRPr="006633B5">
              <w:rPr>
                <w:sz w:val="20"/>
                <w:vertAlign w:val="subscript"/>
              </w:rPr>
              <w:t>p,link</w:t>
            </w:r>
          </w:p>
        </w:tc>
        <w:tc>
          <w:tcPr>
            <w:tcW w:w="0" w:type="auto"/>
            <w:shd w:val="clear" w:color="auto" w:fill="auto"/>
          </w:tcPr>
          <w:p w14:paraId="1BECA70C" w14:textId="77777777" w:rsidR="006633B5" w:rsidRPr="006633B5" w:rsidRDefault="006633B5" w:rsidP="00E10A24">
            <w:pPr>
              <w:pStyle w:val="Tablebody"/>
              <w:spacing w:after="80"/>
            </w:pPr>
            <w:r w:rsidRPr="006633B5">
              <w:t>design value of plastic moment resistance of a link in eccentrically braced frames</w:t>
            </w:r>
          </w:p>
        </w:tc>
      </w:tr>
      <w:tr w:rsidR="006633B5" w:rsidRPr="006633B5" w14:paraId="2AC98440" w14:textId="77777777" w:rsidTr="006633B5">
        <w:tc>
          <w:tcPr>
            <w:tcW w:w="0" w:type="auto"/>
            <w:shd w:val="clear" w:color="auto" w:fill="auto"/>
          </w:tcPr>
          <w:p w14:paraId="554DCF6D" w14:textId="77777777" w:rsidR="006633B5" w:rsidRPr="006633B5" w:rsidRDefault="006633B5" w:rsidP="00E10A24">
            <w:pPr>
              <w:pStyle w:val="Tablebody"/>
              <w:spacing w:after="80"/>
              <w:rPr>
                <w:i/>
                <w:vertAlign w:val="subscript"/>
              </w:rPr>
            </w:pPr>
            <w:r w:rsidRPr="006633B5">
              <w:rPr>
                <w:i/>
              </w:rPr>
              <w:t>M</w:t>
            </w:r>
            <w:r w:rsidRPr="006633B5">
              <w:rPr>
                <w:iCs/>
                <w:vertAlign w:val="subscript"/>
              </w:rPr>
              <w:t>pl,Rd</w:t>
            </w:r>
          </w:p>
        </w:tc>
        <w:tc>
          <w:tcPr>
            <w:tcW w:w="0" w:type="auto"/>
            <w:shd w:val="clear" w:color="auto" w:fill="auto"/>
          </w:tcPr>
          <w:p w14:paraId="251B7E50" w14:textId="77777777" w:rsidR="006633B5" w:rsidRPr="006633B5" w:rsidRDefault="006633B5" w:rsidP="00E10A24">
            <w:pPr>
              <w:pStyle w:val="Tablebody"/>
              <w:spacing w:after="80"/>
            </w:pPr>
            <w:r w:rsidRPr="006633B5">
              <w:t>design value of plastic moment resistance of a steel component</w:t>
            </w:r>
          </w:p>
        </w:tc>
      </w:tr>
      <w:tr w:rsidR="006633B5" w:rsidRPr="006633B5" w14:paraId="1803B168" w14:textId="77777777" w:rsidTr="006633B5">
        <w:tc>
          <w:tcPr>
            <w:tcW w:w="0" w:type="auto"/>
            <w:shd w:val="clear" w:color="auto" w:fill="auto"/>
          </w:tcPr>
          <w:p w14:paraId="0FE36624" w14:textId="77777777" w:rsidR="006633B5" w:rsidRPr="006633B5" w:rsidRDefault="006633B5" w:rsidP="00E10A24">
            <w:pPr>
              <w:pStyle w:val="Tablebody"/>
              <w:spacing w:after="80"/>
              <w:rPr>
                <w:i/>
              </w:rPr>
            </w:pPr>
            <w:r w:rsidRPr="006633B5">
              <w:rPr>
                <w:i/>
              </w:rPr>
              <w:t>M</w:t>
            </w:r>
            <w:r w:rsidRPr="006633B5">
              <w:rPr>
                <w:vertAlign w:val="subscript"/>
              </w:rPr>
              <w:t>Rd,b</w:t>
            </w:r>
          </w:p>
        </w:tc>
        <w:tc>
          <w:tcPr>
            <w:tcW w:w="0" w:type="auto"/>
            <w:shd w:val="clear" w:color="auto" w:fill="auto"/>
          </w:tcPr>
          <w:p w14:paraId="21D23338" w14:textId="77777777" w:rsidR="006633B5" w:rsidRPr="006633B5" w:rsidRDefault="006633B5" w:rsidP="00E10A24">
            <w:pPr>
              <w:pStyle w:val="Tablebody"/>
              <w:spacing w:after="80"/>
              <w:rPr>
                <w:szCs w:val="22"/>
              </w:rPr>
            </w:pPr>
            <w:r w:rsidRPr="006633B5">
              <w:t>design moment of resistance of a beam</w:t>
            </w:r>
          </w:p>
        </w:tc>
      </w:tr>
      <w:tr w:rsidR="006633B5" w:rsidRPr="006633B5" w14:paraId="135717FE" w14:textId="77777777" w:rsidTr="006633B5">
        <w:tc>
          <w:tcPr>
            <w:tcW w:w="0" w:type="auto"/>
            <w:shd w:val="clear" w:color="auto" w:fill="auto"/>
          </w:tcPr>
          <w:p w14:paraId="60B98FE3" w14:textId="77777777" w:rsidR="006633B5" w:rsidRPr="006633B5" w:rsidRDefault="006633B5" w:rsidP="00E10A24">
            <w:pPr>
              <w:pStyle w:val="Tablebody"/>
              <w:spacing w:after="80"/>
              <w:rPr>
                <w:i/>
              </w:rPr>
            </w:pPr>
            <w:r w:rsidRPr="006633B5">
              <w:rPr>
                <w:i/>
              </w:rPr>
              <w:t>M</w:t>
            </w:r>
            <w:r w:rsidRPr="006633B5">
              <w:rPr>
                <w:vertAlign w:val="subscript"/>
              </w:rPr>
              <w:t>Rd,b,i</w:t>
            </w:r>
          </w:p>
        </w:tc>
        <w:tc>
          <w:tcPr>
            <w:tcW w:w="0" w:type="auto"/>
            <w:shd w:val="clear" w:color="auto" w:fill="auto"/>
          </w:tcPr>
          <w:p w14:paraId="49D1DEA4" w14:textId="77777777" w:rsidR="006633B5" w:rsidRPr="006633B5" w:rsidRDefault="006633B5" w:rsidP="00E10A24">
            <w:pPr>
              <w:pStyle w:val="Tablebody"/>
              <w:spacing w:after="80"/>
              <w:rPr>
                <w:i/>
              </w:rPr>
            </w:pPr>
            <w:r w:rsidRPr="006633B5">
              <w:t xml:space="preserve">design moment of resistance of a beam at end </w:t>
            </w:r>
            <w:r w:rsidRPr="006633B5">
              <w:rPr>
                <w:i/>
              </w:rPr>
              <w:t>i</w:t>
            </w:r>
          </w:p>
        </w:tc>
      </w:tr>
      <w:tr w:rsidR="006633B5" w:rsidRPr="006633B5" w14:paraId="0C6C5110" w14:textId="77777777" w:rsidTr="006633B5">
        <w:tc>
          <w:tcPr>
            <w:tcW w:w="0" w:type="auto"/>
            <w:shd w:val="clear" w:color="auto" w:fill="auto"/>
          </w:tcPr>
          <w:p w14:paraId="0F4019A8" w14:textId="77777777" w:rsidR="006633B5" w:rsidRPr="006633B5" w:rsidRDefault="006633B5" w:rsidP="00E10A24">
            <w:pPr>
              <w:pStyle w:val="Tablebody"/>
              <w:spacing w:after="80"/>
              <w:rPr>
                <w:i/>
              </w:rPr>
            </w:pPr>
            <w:r w:rsidRPr="006633B5">
              <w:rPr>
                <w:i/>
              </w:rPr>
              <w:t>M</w:t>
            </w:r>
            <w:r w:rsidRPr="006633B5">
              <w:rPr>
                <w:vertAlign w:val="subscript"/>
              </w:rPr>
              <w:t>Rd,c</w:t>
            </w:r>
          </w:p>
        </w:tc>
        <w:tc>
          <w:tcPr>
            <w:tcW w:w="0" w:type="auto"/>
            <w:shd w:val="clear" w:color="auto" w:fill="auto"/>
          </w:tcPr>
          <w:p w14:paraId="29250638" w14:textId="77777777" w:rsidR="006633B5" w:rsidRPr="006633B5" w:rsidRDefault="006633B5" w:rsidP="00E10A24">
            <w:pPr>
              <w:pStyle w:val="Tablebody"/>
              <w:spacing w:after="80"/>
              <w:rPr>
                <w:i/>
              </w:rPr>
            </w:pPr>
            <w:r w:rsidRPr="006633B5">
              <w:t>design moment of resistance of a column</w:t>
            </w:r>
          </w:p>
        </w:tc>
      </w:tr>
      <w:tr w:rsidR="006633B5" w:rsidRPr="006633B5" w14:paraId="7DA3A71D" w14:textId="77777777" w:rsidTr="006633B5">
        <w:tc>
          <w:tcPr>
            <w:tcW w:w="0" w:type="auto"/>
            <w:shd w:val="clear" w:color="auto" w:fill="auto"/>
          </w:tcPr>
          <w:p w14:paraId="326E8790" w14:textId="77777777" w:rsidR="006633B5" w:rsidRPr="006633B5" w:rsidRDefault="006633B5" w:rsidP="00E10A24">
            <w:pPr>
              <w:pStyle w:val="Tablebody"/>
              <w:spacing w:after="80"/>
              <w:rPr>
                <w:i/>
              </w:rPr>
            </w:pPr>
            <w:r w:rsidRPr="006633B5">
              <w:rPr>
                <w:i/>
              </w:rPr>
              <w:t>M</w:t>
            </w:r>
            <w:r w:rsidRPr="006633B5">
              <w:rPr>
                <w:vertAlign w:val="subscript"/>
              </w:rPr>
              <w:t>Rd,c,i</w:t>
            </w:r>
          </w:p>
        </w:tc>
        <w:tc>
          <w:tcPr>
            <w:tcW w:w="0" w:type="auto"/>
            <w:shd w:val="clear" w:color="auto" w:fill="auto"/>
          </w:tcPr>
          <w:p w14:paraId="5553745B" w14:textId="77777777" w:rsidR="006633B5" w:rsidRPr="006633B5" w:rsidRDefault="006633B5" w:rsidP="00E10A24">
            <w:pPr>
              <w:pStyle w:val="Tablebody"/>
              <w:spacing w:after="80"/>
            </w:pPr>
            <w:r w:rsidRPr="006633B5">
              <w:t xml:space="preserve">design moment of resistance of a column at end </w:t>
            </w:r>
            <w:r w:rsidRPr="006633B5">
              <w:rPr>
                <w:i/>
              </w:rPr>
              <w:t>i</w:t>
            </w:r>
          </w:p>
        </w:tc>
      </w:tr>
      <w:tr w:rsidR="006633B5" w:rsidRPr="006633B5" w14:paraId="1765F0CC" w14:textId="77777777" w:rsidTr="006633B5">
        <w:tc>
          <w:tcPr>
            <w:tcW w:w="0" w:type="auto"/>
            <w:shd w:val="clear" w:color="auto" w:fill="auto"/>
          </w:tcPr>
          <w:p w14:paraId="0A4EFE7F" w14:textId="77777777" w:rsidR="006633B5" w:rsidRPr="006633B5" w:rsidRDefault="006633B5" w:rsidP="00E10A24">
            <w:pPr>
              <w:pStyle w:val="Tablebody"/>
              <w:spacing w:after="80"/>
            </w:pPr>
            <w:r w:rsidRPr="006633B5">
              <w:rPr>
                <w:i/>
              </w:rPr>
              <w:t>M</w:t>
            </w:r>
            <w:r w:rsidRPr="006633B5">
              <w:rPr>
                <w:vertAlign w:val="subscript"/>
              </w:rPr>
              <w:t>Rd,inf</w:t>
            </w:r>
          </w:p>
        </w:tc>
        <w:tc>
          <w:tcPr>
            <w:tcW w:w="0" w:type="auto"/>
            <w:shd w:val="clear" w:color="auto" w:fill="auto"/>
          </w:tcPr>
          <w:p w14:paraId="13860476" w14:textId="77777777" w:rsidR="006633B5" w:rsidRPr="006633B5" w:rsidRDefault="006633B5" w:rsidP="00E10A24">
            <w:pPr>
              <w:pStyle w:val="Tablebody"/>
              <w:spacing w:after="80"/>
            </w:pPr>
            <w:r w:rsidRPr="006633B5">
              <w:t>design moment of resistance at the bottom of a column</w:t>
            </w:r>
          </w:p>
        </w:tc>
      </w:tr>
      <w:tr w:rsidR="006633B5" w:rsidRPr="006633B5" w14:paraId="3161C2E6" w14:textId="77777777" w:rsidTr="006633B5">
        <w:tc>
          <w:tcPr>
            <w:tcW w:w="0" w:type="auto"/>
            <w:shd w:val="clear" w:color="auto" w:fill="auto"/>
          </w:tcPr>
          <w:p w14:paraId="3CD371FD" w14:textId="77777777" w:rsidR="006633B5" w:rsidRPr="006633B5" w:rsidRDefault="006633B5" w:rsidP="00E10A24">
            <w:pPr>
              <w:pStyle w:val="Tablebody"/>
              <w:spacing w:after="80"/>
            </w:pPr>
            <w:r w:rsidRPr="006633B5">
              <w:rPr>
                <w:i/>
              </w:rPr>
              <w:t>M</w:t>
            </w:r>
            <w:r w:rsidRPr="006633B5">
              <w:rPr>
                <w:vertAlign w:val="subscript"/>
              </w:rPr>
              <w:t>Rd,rock</w:t>
            </w:r>
          </w:p>
        </w:tc>
        <w:tc>
          <w:tcPr>
            <w:tcW w:w="0" w:type="auto"/>
            <w:shd w:val="clear" w:color="auto" w:fill="auto"/>
          </w:tcPr>
          <w:p w14:paraId="16C8D360" w14:textId="77777777" w:rsidR="006633B5" w:rsidRPr="006633B5" w:rsidRDefault="006633B5" w:rsidP="00E10A24">
            <w:pPr>
              <w:pStyle w:val="Tablebody"/>
              <w:spacing w:after="80"/>
            </w:pPr>
            <w:r w:rsidRPr="006633B5">
              <w:t>design rocking strength of the shear wall</w:t>
            </w:r>
          </w:p>
        </w:tc>
      </w:tr>
      <w:tr w:rsidR="006633B5" w:rsidRPr="006633B5" w14:paraId="66416D5C" w14:textId="77777777" w:rsidTr="006633B5">
        <w:tc>
          <w:tcPr>
            <w:tcW w:w="0" w:type="auto"/>
            <w:shd w:val="clear" w:color="auto" w:fill="auto"/>
          </w:tcPr>
          <w:p w14:paraId="0E7EADCD" w14:textId="77777777" w:rsidR="006633B5" w:rsidRPr="006633B5" w:rsidRDefault="006633B5" w:rsidP="00E10A24">
            <w:pPr>
              <w:pStyle w:val="Tablebody"/>
              <w:spacing w:after="80"/>
            </w:pPr>
            <w:r w:rsidRPr="006633B5">
              <w:rPr>
                <w:i/>
              </w:rPr>
              <w:t>M</w:t>
            </w:r>
            <w:r w:rsidRPr="006633B5">
              <w:rPr>
                <w:vertAlign w:val="subscript"/>
              </w:rPr>
              <w:t>Rd,rock,i,j</w:t>
            </w:r>
          </w:p>
        </w:tc>
        <w:tc>
          <w:tcPr>
            <w:tcW w:w="0" w:type="auto"/>
            <w:shd w:val="clear" w:color="auto" w:fill="auto"/>
          </w:tcPr>
          <w:p w14:paraId="2CDE4673" w14:textId="77777777" w:rsidR="006633B5" w:rsidRPr="006633B5" w:rsidRDefault="006633B5" w:rsidP="00E10A24">
            <w:pPr>
              <w:pStyle w:val="Tablebody"/>
              <w:spacing w:after="80"/>
            </w:pPr>
            <w:r w:rsidRPr="006633B5">
              <w:t xml:space="preserve">design rocking strength of the </w:t>
            </w:r>
            <w:r w:rsidRPr="006633B5">
              <w:rPr>
                <w:i/>
              </w:rPr>
              <w:t>j</w:t>
            </w:r>
            <w:r w:rsidRPr="006633B5">
              <w:rPr>
                <w:i/>
                <w:vertAlign w:val="superscript"/>
              </w:rPr>
              <w:t>th</w:t>
            </w:r>
            <w:r w:rsidRPr="006633B5">
              <w:t xml:space="preserve"> segmented shear wall at the </w:t>
            </w:r>
            <w:r w:rsidRPr="006633B5">
              <w:rPr>
                <w:i/>
              </w:rPr>
              <w:t>i</w:t>
            </w:r>
            <w:r w:rsidRPr="006633B5">
              <w:rPr>
                <w:i/>
                <w:vertAlign w:val="superscript"/>
              </w:rPr>
              <w:t>th</w:t>
            </w:r>
            <w:r w:rsidRPr="006633B5">
              <w:t xml:space="preserve"> storey including the stabilizing effect of the vertical load</w:t>
            </w:r>
          </w:p>
        </w:tc>
      </w:tr>
      <w:tr w:rsidR="006633B5" w:rsidRPr="006633B5" w14:paraId="13F93178" w14:textId="77777777" w:rsidTr="006633B5">
        <w:tc>
          <w:tcPr>
            <w:tcW w:w="0" w:type="auto"/>
            <w:shd w:val="clear" w:color="auto" w:fill="auto"/>
          </w:tcPr>
          <w:p w14:paraId="770D5C7A" w14:textId="77777777" w:rsidR="006633B5" w:rsidRPr="006633B5" w:rsidRDefault="006633B5" w:rsidP="00E10A24">
            <w:pPr>
              <w:pStyle w:val="Tablebody"/>
              <w:spacing w:after="80"/>
            </w:pPr>
            <w:r w:rsidRPr="006633B5">
              <w:rPr>
                <w:i/>
              </w:rPr>
              <w:t>M</w:t>
            </w:r>
            <w:r w:rsidRPr="006633B5">
              <w:rPr>
                <w:vertAlign w:val="subscript"/>
              </w:rPr>
              <w:t>Rdw,base</w:t>
            </w:r>
          </w:p>
        </w:tc>
        <w:tc>
          <w:tcPr>
            <w:tcW w:w="0" w:type="auto"/>
            <w:shd w:val="clear" w:color="auto" w:fill="auto"/>
          </w:tcPr>
          <w:p w14:paraId="56A1B067" w14:textId="77777777" w:rsidR="006633B5" w:rsidRPr="006633B5" w:rsidRDefault="006633B5" w:rsidP="00E10A24">
            <w:pPr>
              <w:pStyle w:val="Tablebody"/>
              <w:spacing w:after="80"/>
            </w:pPr>
            <w:r w:rsidRPr="006633B5">
              <w:t>design moment of resistance at the base of the wall</w:t>
            </w:r>
          </w:p>
        </w:tc>
      </w:tr>
      <w:tr w:rsidR="006633B5" w:rsidRPr="006633B5" w14:paraId="612C54CD" w14:textId="77777777" w:rsidTr="006633B5">
        <w:tc>
          <w:tcPr>
            <w:tcW w:w="0" w:type="auto"/>
            <w:shd w:val="clear" w:color="auto" w:fill="auto"/>
          </w:tcPr>
          <w:p w14:paraId="59EB7819" w14:textId="77777777" w:rsidR="006633B5" w:rsidRPr="006633B5" w:rsidRDefault="006633B5" w:rsidP="00E10A24">
            <w:pPr>
              <w:pStyle w:val="Tablebody"/>
              <w:spacing w:after="80"/>
            </w:pPr>
            <w:r w:rsidRPr="006633B5">
              <w:rPr>
                <w:i/>
              </w:rPr>
              <w:t>M</w:t>
            </w:r>
            <w:r w:rsidRPr="006633B5">
              <w:rPr>
                <w:vertAlign w:val="subscript"/>
              </w:rPr>
              <w:t>stb,d,G</w:t>
            </w:r>
          </w:p>
        </w:tc>
        <w:tc>
          <w:tcPr>
            <w:tcW w:w="0" w:type="auto"/>
            <w:shd w:val="clear" w:color="auto" w:fill="auto"/>
          </w:tcPr>
          <w:p w14:paraId="396B3711" w14:textId="5F90CAA5" w:rsidR="006633B5" w:rsidRPr="006633B5" w:rsidRDefault="006633B5" w:rsidP="00E10A24">
            <w:pPr>
              <w:pStyle w:val="Tablebody"/>
              <w:spacing w:after="80"/>
            </w:pPr>
            <w:r w:rsidRPr="006633B5">
              <w:t>stabil</w:t>
            </w:r>
            <w:r w:rsidR="00E10A24">
              <w:t>izing</w:t>
            </w:r>
            <w:r w:rsidRPr="006633B5">
              <w:t xml:space="preserve"> moment due to gravity loads in the seismic design situation</w:t>
            </w:r>
          </w:p>
        </w:tc>
      </w:tr>
      <w:tr w:rsidR="006633B5" w:rsidRPr="006633B5" w14:paraId="748B2FC6" w14:textId="77777777" w:rsidTr="006633B5">
        <w:tc>
          <w:tcPr>
            <w:tcW w:w="0" w:type="auto"/>
            <w:shd w:val="clear" w:color="auto" w:fill="auto"/>
          </w:tcPr>
          <w:p w14:paraId="7CBE1D34" w14:textId="77777777" w:rsidR="006633B5" w:rsidRPr="006633B5" w:rsidRDefault="006633B5" w:rsidP="00E10A24">
            <w:pPr>
              <w:pStyle w:val="Tablebody"/>
              <w:spacing w:after="80"/>
            </w:pPr>
            <w:r w:rsidRPr="006633B5">
              <w:rPr>
                <w:i/>
              </w:rPr>
              <w:t>N</w:t>
            </w:r>
          </w:p>
        </w:tc>
        <w:tc>
          <w:tcPr>
            <w:tcW w:w="0" w:type="auto"/>
            <w:shd w:val="clear" w:color="auto" w:fill="auto"/>
          </w:tcPr>
          <w:p w14:paraId="247340D7" w14:textId="77777777" w:rsidR="006633B5" w:rsidRPr="006633B5" w:rsidRDefault="006633B5" w:rsidP="00E10A24">
            <w:pPr>
              <w:pStyle w:val="Tablebody"/>
              <w:spacing w:after="80"/>
            </w:pPr>
            <w:r w:rsidRPr="006633B5">
              <w:t>axial force</w:t>
            </w:r>
          </w:p>
        </w:tc>
      </w:tr>
      <w:tr w:rsidR="006633B5" w:rsidRPr="006633B5" w14:paraId="7777C89A" w14:textId="77777777" w:rsidTr="006633B5">
        <w:tc>
          <w:tcPr>
            <w:tcW w:w="0" w:type="auto"/>
            <w:shd w:val="clear" w:color="auto" w:fill="auto"/>
          </w:tcPr>
          <w:p w14:paraId="1AB4BD90" w14:textId="77777777" w:rsidR="006633B5" w:rsidRPr="006633B5" w:rsidRDefault="006633B5" w:rsidP="00E10A24">
            <w:pPr>
              <w:pStyle w:val="Tablebody"/>
              <w:spacing w:after="80"/>
            </w:pPr>
            <w:r w:rsidRPr="006633B5">
              <w:rPr>
                <w:i/>
                <w:iCs/>
              </w:rPr>
              <w:t>N</w:t>
            </w:r>
            <w:r w:rsidRPr="006633B5">
              <w:rPr>
                <w:vertAlign w:val="subscript"/>
              </w:rPr>
              <w:t>Rd,b</w:t>
            </w:r>
          </w:p>
        </w:tc>
        <w:tc>
          <w:tcPr>
            <w:tcW w:w="0" w:type="auto"/>
            <w:shd w:val="clear" w:color="auto" w:fill="auto"/>
          </w:tcPr>
          <w:p w14:paraId="22D8EFE4" w14:textId="77777777" w:rsidR="006633B5" w:rsidRPr="006633B5" w:rsidRDefault="006633B5" w:rsidP="00E10A24">
            <w:pPr>
              <w:pStyle w:val="Tablebody"/>
              <w:spacing w:after="80"/>
            </w:pPr>
            <w:r w:rsidRPr="006633B5">
              <w:t>design axial resistance of a beam cross-section (squash load, buckling load)</w:t>
            </w:r>
          </w:p>
        </w:tc>
      </w:tr>
      <w:tr w:rsidR="006633B5" w:rsidRPr="006633B5" w14:paraId="7B0AF10D" w14:textId="77777777" w:rsidTr="006633B5">
        <w:tc>
          <w:tcPr>
            <w:tcW w:w="0" w:type="auto"/>
            <w:shd w:val="clear" w:color="auto" w:fill="auto"/>
          </w:tcPr>
          <w:p w14:paraId="4957C6CA" w14:textId="77777777" w:rsidR="006633B5" w:rsidRPr="006633B5" w:rsidRDefault="006633B5" w:rsidP="00E10A24">
            <w:pPr>
              <w:pStyle w:val="Tablebody"/>
              <w:spacing w:after="80"/>
            </w:pPr>
            <w:r w:rsidRPr="006633B5">
              <w:rPr>
                <w:i/>
                <w:iCs/>
              </w:rPr>
              <w:t>N</w:t>
            </w:r>
            <w:r w:rsidRPr="006633B5">
              <w:rPr>
                <w:vertAlign w:val="subscript"/>
              </w:rPr>
              <w:t>Rd,c</w:t>
            </w:r>
          </w:p>
        </w:tc>
        <w:tc>
          <w:tcPr>
            <w:tcW w:w="0" w:type="auto"/>
            <w:shd w:val="clear" w:color="auto" w:fill="auto"/>
          </w:tcPr>
          <w:p w14:paraId="4771FD30" w14:textId="77777777" w:rsidR="006633B5" w:rsidRPr="006633B5" w:rsidRDefault="006633B5" w:rsidP="00E10A24">
            <w:pPr>
              <w:pStyle w:val="Tablebody"/>
              <w:spacing w:after="80"/>
            </w:pPr>
            <w:r w:rsidRPr="006633B5">
              <w:t>design resistance of a column cross-section</w:t>
            </w:r>
          </w:p>
        </w:tc>
      </w:tr>
      <w:tr w:rsidR="006633B5" w:rsidRPr="006633B5" w14:paraId="68F1E036" w14:textId="77777777" w:rsidTr="006633B5">
        <w:tc>
          <w:tcPr>
            <w:tcW w:w="0" w:type="auto"/>
            <w:shd w:val="clear" w:color="auto" w:fill="auto"/>
          </w:tcPr>
          <w:p w14:paraId="6DCE7F06" w14:textId="77777777" w:rsidR="006633B5" w:rsidRPr="006633B5" w:rsidRDefault="006633B5" w:rsidP="00E10A24">
            <w:pPr>
              <w:pStyle w:val="Tablebody"/>
              <w:spacing w:after="80"/>
            </w:pPr>
            <w:r w:rsidRPr="006633B5">
              <w:rPr>
                <w:i/>
                <w:iCs/>
              </w:rPr>
              <w:t>N</w:t>
            </w:r>
            <w:r w:rsidRPr="006633B5">
              <w:rPr>
                <w:vertAlign w:val="subscript"/>
              </w:rPr>
              <w:t>C,j,Ed</w:t>
            </w:r>
          </w:p>
        </w:tc>
        <w:tc>
          <w:tcPr>
            <w:tcW w:w="0" w:type="auto"/>
            <w:shd w:val="clear" w:color="auto" w:fill="auto"/>
          </w:tcPr>
          <w:p w14:paraId="25EBFA66" w14:textId="77777777" w:rsidR="006633B5" w:rsidRPr="006633B5" w:rsidRDefault="006633B5" w:rsidP="00E10A24">
            <w:pPr>
              <w:pStyle w:val="Tablebody"/>
              <w:spacing w:after="80"/>
              <w:rPr>
                <w:i/>
                <w:iCs/>
              </w:rPr>
            </w:pPr>
            <w:r w:rsidRPr="006633B5">
              <w:t xml:space="preserve">design compression in a joint </w:t>
            </w:r>
            <w:r w:rsidRPr="006633B5">
              <w:rPr>
                <w:i/>
                <w:iCs/>
              </w:rPr>
              <w:t>j</w:t>
            </w:r>
          </w:p>
        </w:tc>
      </w:tr>
      <w:tr w:rsidR="006633B5" w:rsidRPr="006633B5" w14:paraId="70B2741B" w14:textId="77777777" w:rsidTr="006633B5">
        <w:tc>
          <w:tcPr>
            <w:tcW w:w="0" w:type="auto"/>
            <w:shd w:val="clear" w:color="auto" w:fill="auto"/>
          </w:tcPr>
          <w:p w14:paraId="22336A8F" w14:textId="77777777" w:rsidR="006633B5" w:rsidRPr="006633B5" w:rsidRDefault="006633B5" w:rsidP="00E10A24">
            <w:pPr>
              <w:pStyle w:val="Tablebody"/>
              <w:spacing w:after="80"/>
            </w:pPr>
            <w:r w:rsidRPr="006633B5">
              <w:rPr>
                <w:rFonts w:eastAsiaTheme="minorEastAsia"/>
                <w:i/>
              </w:rPr>
              <w:t>N</w:t>
            </w:r>
            <w:r w:rsidRPr="006633B5">
              <w:rPr>
                <w:rFonts w:eastAsiaTheme="minorEastAsia"/>
                <w:iCs/>
                <w:vertAlign w:val="subscript"/>
              </w:rPr>
              <w:t>CT,BRS</w:t>
            </w:r>
          </w:p>
        </w:tc>
        <w:tc>
          <w:tcPr>
            <w:tcW w:w="0" w:type="auto"/>
            <w:shd w:val="clear" w:color="auto" w:fill="auto"/>
          </w:tcPr>
          <w:p w14:paraId="298BBBDA" w14:textId="77777777" w:rsidR="006633B5" w:rsidRPr="006633B5" w:rsidRDefault="006633B5" w:rsidP="00E10A24">
            <w:pPr>
              <w:pStyle w:val="Tablebody"/>
              <w:spacing w:after="80"/>
            </w:pPr>
            <w:r w:rsidRPr="006633B5">
              <w:t xml:space="preserve">Eulerian critical load of the sleeve of a buckling restrained brace </w:t>
            </w:r>
          </w:p>
        </w:tc>
      </w:tr>
      <w:tr w:rsidR="006633B5" w:rsidRPr="006633B5" w14:paraId="070AB7DA" w14:textId="77777777" w:rsidTr="006633B5">
        <w:tc>
          <w:tcPr>
            <w:tcW w:w="0" w:type="auto"/>
            <w:shd w:val="clear" w:color="auto" w:fill="auto"/>
          </w:tcPr>
          <w:p w14:paraId="091D2ED1" w14:textId="77777777" w:rsidR="006633B5" w:rsidRPr="006633B5" w:rsidRDefault="006633B5" w:rsidP="00E10A24">
            <w:pPr>
              <w:pStyle w:val="Tablebody"/>
              <w:spacing w:after="80"/>
              <w:rPr>
                <w:i/>
                <w:vertAlign w:val="subscript"/>
              </w:rPr>
            </w:pPr>
            <w:r w:rsidRPr="006633B5">
              <w:rPr>
                <w:i/>
              </w:rPr>
              <w:t>N</w:t>
            </w:r>
            <w:r w:rsidRPr="006633B5">
              <w:rPr>
                <w:vertAlign w:val="subscript"/>
              </w:rPr>
              <w:t>E</w:t>
            </w:r>
            <w:r w:rsidRPr="006633B5">
              <w:rPr>
                <w:iCs/>
                <w:vertAlign w:val="subscript"/>
              </w:rPr>
              <w:t>d</w:t>
            </w:r>
          </w:p>
        </w:tc>
        <w:tc>
          <w:tcPr>
            <w:tcW w:w="0" w:type="auto"/>
            <w:shd w:val="clear" w:color="auto" w:fill="auto"/>
          </w:tcPr>
          <w:p w14:paraId="3F99B6E8" w14:textId="77777777" w:rsidR="006633B5" w:rsidRPr="006633B5" w:rsidRDefault="006633B5" w:rsidP="00E10A24">
            <w:pPr>
              <w:pStyle w:val="Tablebody"/>
              <w:spacing w:after="80"/>
            </w:pPr>
            <w:r w:rsidRPr="006633B5">
              <w:t>design axial force from the analysis for the seismic design situation</w:t>
            </w:r>
          </w:p>
        </w:tc>
      </w:tr>
      <w:tr w:rsidR="006633B5" w:rsidRPr="006633B5" w14:paraId="21EA44A6" w14:textId="77777777" w:rsidTr="006633B5">
        <w:tc>
          <w:tcPr>
            <w:tcW w:w="0" w:type="auto"/>
            <w:shd w:val="clear" w:color="auto" w:fill="auto"/>
          </w:tcPr>
          <w:p w14:paraId="413BEA4E" w14:textId="77777777" w:rsidR="006633B5" w:rsidRPr="006633B5" w:rsidRDefault="006633B5" w:rsidP="00E10A24">
            <w:pPr>
              <w:pStyle w:val="Tablebody"/>
              <w:spacing w:after="80"/>
            </w:pPr>
            <w:r w:rsidRPr="006633B5">
              <w:rPr>
                <w:i/>
                <w:iCs/>
              </w:rPr>
              <w:t>M</w:t>
            </w:r>
            <w:r w:rsidRPr="006633B5">
              <w:rPr>
                <w:vertAlign w:val="subscript"/>
              </w:rPr>
              <w:t>Edcb</w:t>
            </w:r>
          </w:p>
        </w:tc>
        <w:tc>
          <w:tcPr>
            <w:tcW w:w="0" w:type="auto"/>
            <w:shd w:val="clear" w:color="auto" w:fill="auto"/>
          </w:tcPr>
          <w:p w14:paraId="32989072" w14:textId="77777777" w:rsidR="006633B5" w:rsidRPr="006633B5" w:rsidRDefault="006633B5" w:rsidP="00E10A24">
            <w:pPr>
              <w:pStyle w:val="Tablebody"/>
              <w:spacing w:after="80"/>
              <w:rPr>
                <w:szCs w:val="22"/>
              </w:rPr>
            </w:pPr>
            <w:r w:rsidRPr="006633B5">
              <w:t>moment in the coupling beam from the analysis</w:t>
            </w:r>
          </w:p>
        </w:tc>
      </w:tr>
      <w:tr w:rsidR="006633B5" w:rsidRPr="006633B5" w14:paraId="1D34CE79" w14:textId="77777777" w:rsidTr="006633B5">
        <w:tc>
          <w:tcPr>
            <w:tcW w:w="0" w:type="auto"/>
            <w:shd w:val="clear" w:color="auto" w:fill="auto"/>
          </w:tcPr>
          <w:p w14:paraId="335868FA" w14:textId="77777777" w:rsidR="006633B5" w:rsidRPr="006633B5" w:rsidRDefault="006633B5" w:rsidP="00E10A24">
            <w:pPr>
              <w:pStyle w:val="Tablebody"/>
              <w:spacing w:after="80"/>
            </w:pPr>
            <w:r w:rsidRPr="006633B5">
              <w:rPr>
                <w:i/>
                <w:iCs/>
              </w:rPr>
              <w:t>N</w:t>
            </w:r>
            <w:r w:rsidRPr="006633B5">
              <w:rPr>
                <w:vertAlign w:val="subscript"/>
              </w:rPr>
              <w:t>Ed,E</w:t>
            </w:r>
          </w:p>
        </w:tc>
        <w:tc>
          <w:tcPr>
            <w:tcW w:w="0" w:type="auto"/>
            <w:shd w:val="clear" w:color="auto" w:fill="auto"/>
          </w:tcPr>
          <w:p w14:paraId="61BFFC09" w14:textId="77777777" w:rsidR="006633B5" w:rsidRPr="006633B5" w:rsidRDefault="006633B5" w:rsidP="00E10A24">
            <w:pPr>
              <w:pStyle w:val="Tablebody"/>
              <w:spacing w:after="80"/>
              <w:rPr>
                <w:i/>
                <w:iCs/>
              </w:rPr>
            </w:pPr>
            <w:r w:rsidRPr="006633B5">
              <w:t>axial force due to the design seismic action</w:t>
            </w:r>
          </w:p>
        </w:tc>
      </w:tr>
      <w:tr w:rsidR="006633B5" w:rsidRPr="006633B5" w14:paraId="15B310B8" w14:textId="77777777" w:rsidTr="006633B5">
        <w:tc>
          <w:tcPr>
            <w:tcW w:w="0" w:type="auto"/>
            <w:shd w:val="clear" w:color="auto" w:fill="auto"/>
          </w:tcPr>
          <w:p w14:paraId="0DE1AC56" w14:textId="77777777" w:rsidR="006633B5" w:rsidRPr="006633B5" w:rsidRDefault="006633B5" w:rsidP="00E10A24">
            <w:pPr>
              <w:pStyle w:val="Tablebody"/>
              <w:spacing w:after="80"/>
            </w:pPr>
            <w:r w:rsidRPr="006633B5">
              <w:rPr>
                <w:i/>
                <w:iCs/>
              </w:rPr>
              <w:t>N</w:t>
            </w:r>
            <w:r w:rsidRPr="006633B5">
              <w:rPr>
                <w:vertAlign w:val="subscript"/>
              </w:rPr>
              <w:t>Ed,G</w:t>
            </w:r>
          </w:p>
        </w:tc>
        <w:tc>
          <w:tcPr>
            <w:tcW w:w="0" w:type="auto"/>
            <w:shd w:val="clear" w:color="auto" w:fill="auto"/>
          </w:tcPr>
          <w:p w14:paraId="259D1172" w14:textId="77777777" w:rsidR="006633B5" w:rsidRPr="006633B5" w:rsidRDefault="006633B5" w:rsidP="00E10A24">
            <w:pPr>
              <w:pStyle w:val="Tablebody"/>
              <w:spacing w:after="80"/>
            </w:pPr>
            <w:r w:rsidRPr="006633B5">
              <w:t>axial force due to the non-seismic actions in the seismic design situation</w:t>
            </w:r>
          </w:p>
        </w:tc>
      </w:tr>
      <w:tr w:rsidR="006633B5" w:rsidRPr="006633B5" w14:paraId="0A6A51A6" w14:textId="77777777" w:rsidTr="006633B5">
        <w:tc>
          <w:tcPr>
            <w:tcW w:w="0" w:type="auto"/>
            <w:shd w:val="clear" w:color="auto" w:fill="auto"/>
          </w:tcPr>
          <w:p w14:paraId="11950F34" w14:textId="77777777" w:rsidR="006633B5" w:rsidRPr="006633B5" w:rsidRDefault="006633B5" w:rsidP="00E10A24">
            <w:pPr>
              <w:pStyle w:val="Tablebody"/>
              <w:spacing w:after="80"/>
              <w:rPr>
                <w:rFonts w:ascii="Times New Roman" w:hAnsi="Times New Roman"/>
                <w:i/>
                <w:iCs/>
                <w:sz w:val="24"/>
                <w:szCs w:val="24"/>
              </w:rPr>
            </w:pPr>
            <w:r w:rsidRPr="006633B5">
              <w:rPr>
                <w:rFonts w:ascii="Times New Roman" w:hAnsi="Times New Roman"/>
                <w:i/>
                <w:iCs/>
                <w:sz w:val="24"/>
                <w:szCs w:val="24"/>
              </w:rPr>
              <w:t>N</w:t>
            </w:r>
            <w:r w:rsidRPr="006633B5">
              <w:rPr>
                <w:rFonts w:ascii="Times New Roman" w:hAnsi="Times New Roman"/>
                <w:iCs/>
                <w:sz w:val="24"/>
                <w:szCs w:val="24"/>
                <w:vertAlign w:val="subscript"/>
              </w:rPr>
              <w:t>Ed,i,j</w:t>
            </w:r>
          </w:p>
        </w:tc>
        <w:tc>
          <w:tcPr>
            <w:tcW w:w="0" w:type="auto"/>
            <w:shd w:val="clear" w:color="auto" w:fill="auto"/>
          </w:tcPr>
          <w:p w14:paraId="1E7505C0" w14:textId="77777777" w:rsidR="006633B5" w:rsidRPr="006633B5" w:rsidRDefault="006633B5" w:rsidP="00E10A24">
            <w:pPr>
              <w:pStyle w:val="Tablebody"/>
              <w:spacing w:after="80"/>
              <w:rPr>
                <w:rFonts w:ascii="Times New Roman" w:hAnsi="Times New Roman"/>
                <w:sz w:val="24"/>
                <w:szCs w:val="24"/>
              </w:rPr>
            </w:pPr>
            <w:r w:rsidRPr="006633B5">
              <w:t xml:space="preserve">total compressive axial load acting on the </w:t>
            </w:r>
            <w:r w:rsidRPr="006633B5">
              <w:rPr>
                <w:i/>
              </w:rPr>
              <w:t>j</w:t>
            </w:r>
            <w:r w:rsidRPr="006633B5">
              <w:rPr>
                <w:i/>
                <w:vertAlign w:val="superscript"/>
              </w:rPr>
              <w:t>th</w:t>
            </w:r>
            <w:r w:rsidRPr="006633B5">
              <w:t xml:space="preserve"> CLT shear wall at the </w:t>
            </w:r>
            <w:r w:rsidRPr="006633B5">
              <w:rPr>
                <w:i/>
              </w:rPr>
              <w:t>i</w:t>
            </w:r>
            <w:r w:rsidRPr="006633B5">
              <w:rPr>
                <w:i/>
                <w:vertAlign w:val="superscript"/>
              </w:rPr>
              <w:t>th</w:t>
            </w:r>
            <w:r w:rsidRPr="006633B5">
              <w:t xml:space="preserve"> storey</w:t>
            </w:r>
          </w:p>
        </w:tc>
      </w:tr>
      <w:tr w:rsidR="006633B5" w:rsidRPr="006633B5" w14:paraId="408F02CF" w14:textId="77777777" w:rsidTr="006633B5">
        <w:tc>
          <w:tcPr>
            <w:tcW w:w="0" w:type="auto"/>
            <w:shd w:val="clear" w:color="auto" w:fill="auto"/>
          </w:tcPr>
          <w:p w14:paraId="2BCAF7F1" w14:textId="77777777" w:rsidR="006633B5" w:rsidRPr="006633B5" w:rsidRDefault="006633B5" w:rsidP="00E10A24">
            <w:pPr>
              <w:pStyle w:val="Tablebody"/>
              <w:spacing w:after="80"/>
            </w:pPr>
            <w:r w:rsidRPr="006633B5">
              <w:rPr>
                <w:i/>
              </w:rPr>
              <w:t>N</w:t>
            </w:r>
            <w:r w:rsidRPr="006633B5">
              <w:rPr>
                <w:iCs/>
                <w:vertAlign w:val="subscript"/>
              </w:rPr>
              <w:t>EDD,j1</w:t>
            </w:r>
          </w:p>
        </w:tc>
        <w:tc>
          <w:tcPr>
            <w:tcW w:w="0" w:type="auto"/>
            <w:shd w:val="clear" w:color="auto" w:fill="auto"/>
          </w:tcPr>
          <w:p w14:paraId="24969997" w14:textId="77777777" w:rsidR="006633B5" w:rsidRPr="006633B5" w:rsidRDefault="006633B5" w:rsidP="00E10A24">
            <w:pPr>
              <w:pStyle w:val="Tablebody"/>
              <w:spacing w:after="80"/>
            </w:pPr>
            <w:r w:rsidRPr="006633B5">
              <w:t xml:space="preserve">maximum axial force in energy dissipation device </w:t>
            </w:r>
            <w:r w:rsidRPr="006633B5">
              <w:rPr>
                <w:i/>
              </w:rPr>
              <w:t xml:space="preserve">j </w:t>
            </w:r>
            <w:r w:rsidRPr="006633B5">
              <w:t>in the first mode</w:t>
            </w:r>
          </w:p>
        </w:tc>
      </w:tr>
      <w:tr w:rsidR="006633B5" w:rsidRPr="006633B5" w14:paraId="6DABB733" w14:textId="77777777" w:rsidTr="006633B5">
        <w:tc>
          <w:tcPr>
            <w:tcW w:w="0" w:type="auto"/>
            <w:shd w:val="clear" w:color="auto" w:fill="auto"/>
          </w:tcPr>
          <w:p w14:paraId="496B8794" w14:textId="77777777" w:rsidR="006633B5" w:rsidRPr="006633B5" w:rsidRDefault="006633B5" w:rsidP="00E10A24">
            <w:pPr>
              <w:pStyle w:val="Tablebody"/>
              <w:spacing w:after="80"/>
              <w:rPr>
                <w:vertAlign w:val="subscript"/>
              </w:rPr>
            </w:pPr>
            <w:r w:rsidRPr="006633B5">
              <w:rPr>
                <w:i/>
              </w:rPr>
              <w:t>N</w:t>
            </w:r>
            <w:r w:rsidRPr="006633B5">
              <w:rPr>
                <w:iCs/>
                <w:vertAlign w:val="subscript"/>
              </w:rPr>
              <w:t>EDDd,j1</w:t>
            </w:r>
          </w:p>
        </w:tc>
        <w:tc>
          <w:tcPr>
            <w:tcW w:w="0" w:type="auto"/>
            <w:shd w:val="clear" w:color="auto" w:fill="auto"/>
          </w:tcPr>
          <w:p w14:paraId="3D3D2470" w14:textId="77777777" w:rsidR="006633B5" w:rsidRPr="006633B5" w:rsidRDefault="006633B5" w:rsidP="00E10A24">
            <w:pPr>
              <w:pStyle w:val="Tablebody"/>
              <w:spacing w:after="80"/>
            </w:pPr>
            <w:r w:rsidRPr="006633B5">
              <w:t xml:space="preserve">axial viscous damping force component in energy dissipation device </w:t>
            </w:r>
            <w:r w:rsidRPr="006633B5">
              <w:rPr>
                <w:i/>
              </w:rPr>
              <w:t xml:space="preserve">j </w:t>
            </w:r>
            <w:r w:rsidRPr="006633B5">
              <w:t>in the first mode</w:t>
            </w:r>
          </w:p>
        </w:tc>
      </w:tr>
      <w:tr w:rsidR="006633B5" w:rsidRPr="006633B5" w14:paraId="0417F603" w14:textId="77777777" w:rsidTr="006633B5">
        <w:tc>
          <w:tcPr>
            <w:tcW w:w="0" w:type="auto"/>
            <w:shd w:val="clear" w:color="auto" w:fill="auto"/>
          </w:tcPr>
          <w:p w14:paraId="6FA0098C" w14:textId="77777777" w:rsidR="006633B5" w:rsidRPr="006633B5" w:rsidRDefault="006633B5" w:rsidP="00E10A24">
            <w:pPr>
              <w:pStyle w:val="Tablebody"/>
              <w:spacing w:after="80"/>
            </w:pPr>
            <w:r w:rsidRPr="006633B5">
              <w:rPr>
                <w:i/>
              </w:rPr>
              <w:t>N</w:t>
            </w:r>
            <w:r w:rsidRPr="006633B5">
              <w:rPr>
                <w:iCs/>
                <w:vertAlign w:val="subscript"/>
              </w:rPr>
              <w:t>EDDe,1j</w:t>
            </w:r>
          </w:p>
        </w:tc>
        <w:tc>
          <w:tcPr>
            <w:tcW w:w="0" w:type="auto"/>
            <w:shd w:val="clear" w:color="auto" w:fill="auto"/>
          </w:tcPr>
          <w:p w14:paraId="699B40F5" w14:textId="77777777" w:rsidR="006633B5" w:rsidRPr="006633B5" w:rsidRDefault="006633B5" w:rsidP="00E10A24">
            <w:pPr>
              <w:pStyle w:val="Tablebody"/>
              <w:spacing w:after="80"/>
            </w:pPr>
            <w:r w:rsidRPr="006633B5">
              <w:t xml:space="preserve">axial elastic force component in a viscoelastic-type of energy dissipation device </w:t>
            </w:r>
            <w:r w:rsidRPr="006633B5">
              <w:rPr>
                <w:i/>
              </w:rPr>
              <w:t xml:space="preserve">j </w:t>
            </w:r>
            <w:r w:rsidRPr="006633B5">
              <w:t>in the first mode</w:t>
            </w:r>
          </w:p>
        </w:tc>
      </w:tr>
      <w:tr w:rsidR="006633B5" w:rsidRPr="006633B5" w14:paraId="2BB07465" w14:textId="77777777" w:rsidTr="006633B5">
        <w:tc>
          <w:tcPr>
            <w:tcW w:w="0" w:type="auto"/>
            <w:shd w:val="clear" w:color="auto" w:fill="auto"/>
          </w:tcPr>
          <w:p w14:paraId="26457FFF" w14:textId="77777777" w:rsidR="006633B5" w:rsidRPr="006633B5" w:rsidRDefault="006633B5" w:rsidP="00E10A24">
            <w:pPr>
              <w:pStyle w:val="Tablebody"/>
              <w:spacing w:after="80"/>
            </w:pPr>
            <w:r w:rsidRPr="006633B5">
              <w:rPr>
                <w:i/>
              </w:rPr>
              <w:t>N</w:t>
            </w:r>
            <w:r w:rsidRPr="006633B5">
              <w:rPr>
                <w:vertAlign w:val="subscript"/>
              </w:rPr>
              <w:t>f,Ed</w:t>
            </w:r>
          </w:p>
        </w:tc>
        <w:tc>
          <w:tcPr>
            <w:tcW w:w="0" w:type="auto"/>
            <w:shd w:val="clear" w:color="auto" w:fill="auto"/>
          </w:tcPr>
          <w:p w14:paraId="534C283C" w14:textId="77777777" w:rsidR="006633B5" w:rsidRPr="006633B5" w:rsidRDefault="006633B5" w:rsidP="00E10A24">
            <w:pPr>
              <w:pStyle w:val="Tablebody"/>
              <w:spacing w:after="80"/>
            </w:pPr>
            <w:r w:rsidRPr="006633B5">
              <w:t>axial force in a compressed flange</w:t>
            </w:r>
          </w:p>
        </w:tc>
      </w:tr>
      <w:tr w:rsidR="006633B5" w:rsidRPr="006633B5" w14:paraId="044239F4" w14:textId="77777777" w:rsidTr="006633B5">
        <w:tc>
          <w:tcPr>
            <w:tcW w:w="0" w:type="auto"/>
            <w:shd w:val="clear" w:color="auto" w:fill="auto"/>
          </w:tcPr>
          <w:p w14:paraId="2B6DFE11" w14:textId="77777777" w:rsidR="006633B5" w:rsidRPr="006633B5" w:rsidRDefault="006633B5" w:rsidP="00E10A24">
            <w:pPr>
              <w:pStyle w:val="Tablebody"/>
              <w:spacing w:after="80"/>
            </w:pPr>
            <w:r w:rsidRPr="006633B5">
              <w:rPr>
                <w:i/>
              </w:rPr>
              <w:t>N</w:t>
            </w:r>
            <w:r w:rsidRPr="006633B5">
              <w:rPr>
                <w:vertAlign w:val="subscript"/>
              </w:rPr>
              <w:t>i</w:t>
            </w:r>
          </w:p>
        </w:tc>
        <w:tc>
          <w:tcPr>
            <w:tcW w:w="0" w:type="auto"/>
            <w:shd w:val="clear" w:color="auto" w:fill="auto"/>
          </w:tcPr>
          <w:p w14:paraId="35B88E92" w14:textId="77777777" w:rsidR="006633B5" w:rsidRPr="006633B5" w:rsidRDefault="006633B5" w:rsidP="00E10A24">
            <w:pPr>
              <w:pStyle w:val="Tablebody"/>
              <w:spacing w:after="80"/>
            </w:pPr>
            <w:r w:rsidRPr="006633B5">
              <w:t xml:space="preserve">number of shear walls parallel to the seismic action at the </w:t>
            </w:r>
            <w:r w:rsidRPr="006633B5">
              <w:rPr>
                <w:i/>
              </w:rPr>
              <w:t>i</w:t>
            </w:r>
            <w:r w:rsidRPr="006633B5">
              <w:rPr>
                <w:i/>
                <w:vertAlign w:val="superscript"/>
              </w:rPr>
              <w:t>th</w:t>
            </w:r>
            <w:r w:rsidRPr="006633B5">
              <w:t xml:space="preserve"> storey</w:t>
            </w:r>
          </w:p>
        </w:tc>
      </w:tr>
      <w:tr w:rsidR="006633B5" w:rsidRPr="006633B5" w14:paraId="7EE3BA05" w14:textId="77777777" w:rsidTr="006633B5">
        <w:tc>
          <w:tcPr>
            <w:tcW w:w="0" w:type="auto"/>
            <w:shd w:val="clear" w:color="auto" w:fill="auto"/>
          </w:tcPr>
          <w:p w14:paraId="7BB600FB" w14:textId="77777777" w:rsidR="006633B5" w:rsidRPr="006633B5" w:rsidRDefault="006633B5" w:rsidP="00E10A24">
            <w:pPr>
              <w:pStyle w:val="Tablebody"/>
              <w:spacing w:after="80"/>
              <w:rPr>
                <w:vertAlign w:val="subscript"/>
              </w:rPr>
            </w:pPr>
            <w:r w:rsidRPr="006633B5">
              <w:rPr>
                <w:i/>
              </w:rPr>
              <w:t>N</w:t>
            </w:r>
            <w:r w:rsidRPr="006633B5">
              <w:rPr>
                <w:vertAlign w:val="subscript"/>
              </w:rPr>
              <w:t>max</w:t>
            </w:r>
          </w:p>
        </w:tc>
        <w:tc>
          <w:tcPr>
            <w:tcW w:w="0" w:type="auto"/>
            <w:shd w:val="clear" w:color="auto" w:fill="auto"/>
          </w:tcPr>
          <w:p w14:paraId="105097FF" w14:textId="77777777" w:rsidR="006633B5" w:rsidRPr="006633B5" w:rsidRDefault="006633B5" w:rsidP="00E10A24">
            <w:pPr>
              <w:pStyle w:val="Tablebody"/>
              <w:spacing w:after="80"/>
            </w:pPr>
            <w:r w:rsidRPr="006633B5">
              <w:t>maximum number of storeys in simple masonry buildings</w:t>
            </w:r>
          </w:p>
        </w:tc>
      </w:tr>
      <w:tr w:rsidR="006633B5" w:rsidRPr="006633B5" w14:paraId="2D6D1EE7" w14:textId="77777777" w:rsidTr="006633B5">
        <w:tc>
          <w:tcPr>
            <w:tcW w:w="0" w:type="auto"/>
            <w:shd w:val="clear" w:color="auto" w:fill="auto"/>
          </w:tcPr>
          <w:p w14:paraId="01644E5A" w14:textId="77777777" w:rsidR="006633B5" w:rsidRPr="006633B5" w:rsidRDefault="006633B5" w:rsidP="00E10A24">
            <w:pPr>
              <w:pStyle w:val="Tablebody"/>
              <w:spacing w:after="80"/>
              <w:rPr>
                <w:i/>
                <w:vertAlign w:val="subscript"/>
              </w:rPr>
            </w:pPr>
            <w:r w:rsidRPr="006633B5">
              <w:rPr>
                <w:i/>
              </w:rPr>
              <w:lastRenderedPageBreak/>
              <w:t>N</w:t>
            </w:r>
            <w:r w:rsidRPr="006633B5">
              <w:rPr>
                <w:vertAlign w:val="subscript"/>
              </w:rPr>
              <w:t>pl,Rd</w:t>
            </w:r>
          </w:p>
        </w:tc>
        <w:tc>
          <w:tcPr>
            <w:tcW w:w="0" w:type="auto"/>
            <w:shd w:val="clear" w:color="auto" w:fill="auto"/>
          </w:tcPr>
          <w:p w14:paraId="001E81FB" w14:textId="77777777" w:rsidR="006633B5" w:rsidRPr="006633B5" w:rsidRDefault="006633B5" w:rsidP="00E10A24">
            <w:pPr>
              <w:pStyle w:val="Tablebody"/>
              <w:spacing w:after="80"/>
            </w:pPr>
            <w:r w:rsidRPr="006633B5">
              <w:rPr>
                <w:iCs/>
              </w:rPr>
              <w:t xml:space="preserve">design value of </w:t>
            </w:r>
            <w:r w:rsidRPr="006633B5">
              <w:t>yield resistance in tension of the gross cross-section of a member in accordance with EN 1993-1-1</w:t>
            </w:r>
          </w:p>
        </w:tc>
      </w:tr>
      <w:tr w:rsidR="006633B5" w:rsidRPr="006633B5" w14:paraId="25C120E6" w14:textId="77777777" w:rsidTr="006633B5">
        <w:tc>
          <w:tcPr>
            <w:tcW w:w="0" w:type="auto"/>
            <w:shd w:val="clear" w:color="auto" w:fill="auto"/>
          </w:tcPr>
          <w:p w14:paraId="4E47430B" w14:textId="77777777" w:rsidR="006633B5" w:rsidRPr="006633B5" w:rsidRDefault="006633B5" w:rsidP="00E10A24">
            <w:pPr>
              <w:pStyle w:val="Tablebody"/>
              <w:spacing w:after="80"/>
              <w:rPr>
                <w:i/>
              </w:rPr>
            </w:pPr>
            <w:r w:rsidRPr="006633B5">
              <w:rPr>
                <w:i/>
              </w:rPr>
              <w:t>N</w:t>
            </w:r>
            <w:r w:rsidRPr="006633B5">
              <w:rPr>
                <w:vertAlign w:val="subscript"/>
              </w:rPr>
              <w:t>s</w:t>
            </w:r>
          </w:p>
        </w:tc>
        <w:tc>
          <w:tcPr>
            <w:tcW w:w="0" w:type="auto"/>
            <w:shd w:val="clear" w:color="auto" w:fill="auto"/>
          </w:tcPr>
          <w:p w14:paraId="1EE3D723" w14:textId="77777777" w:rsidR="006633B5" w:rsidRPr="006633B5" w:rsidRDefault="006633B5" w:rsidP="00E10A24">
            <w:pPr>
              <w:pStyle w:val="Tablebody"/>
              <w:spacing w:after="80"/>
              <w:rPr>
                <w:szCs w:val="22"/>
              </w:rPr>
            </w:pPr>
            <w:r w:rsidRPr="006633B5">
              <w:t>number of storeys of a building</w:t>
            </w:r>
          </w:p>
        </w:tc>
      </w:tr>
      <w:tr w:rsidR="006633B5" w:rsidRPr="006633B5" w14:paraId="740A2AE2" w14:textId="77777777" w:rsidTr="006633B5">
        <w:tc>
          <w:tcPr>
            <w:tcW w:w="0" w:type="auto"/>
            <w:shd w:val="clear" w:color="auto" w:fill="auto"/>
          </w:tcPr>
          <w:p w14:paraId="7D17E075" w14:textId="77777777" w:rsidR="006633B5" w:rsidRPr="006633B5" w:rsidRDefault="006633B5" w:rsidP="00E10A24">
            <w:pPr>
              <w:pStyle w:val="Tablebody"/>
              <w:spacing w:after="80"/>
            </w:pPr>
            <w:r w:rsidRPr="006633B5">
              <w:rPr>
                <w:i/>
                <w:iCs/>
              </w:rPr>
              <w:t>N</w:t>
            </w:r>
            <w:r w:rsidRPr="006633B5">
              <w:rPr>
                <w:vertAlign w:val="subscript"/>
              </w:rPr>
              <w:t>T,j,Ed</w:t>
            </w:r>
          </w:p>
        </w:tc>
        <w:tc>
          <w:tcPr>
            <w:tcW w:w="0" w:type="auto"/>
            <w:shd w:val="clear" w:color="auto" w:fill="auto"/>
          </w:tcPr>
          <w:p w14:paraId="180ADE98" w14:textId="77777777" w:rsidR="006633B5" w:rsidRPr="006633B5" w:rsidRDefault="006633B5" w:rsidP="00E10A24">
            <w:pPr>
              <w:pStyle w:val="Tablebody"/>
              <w:spacing w:after="80"/>
            </w:pPr>
            <w:r w:rsidRPr="006633B5">
              <w:t xml:space="preserve">design tension in a joint </w:t>
            </w:r>
            <w:r w:rsidRPr="006633B5">
              <w:rPr>
                <w:i/>
                <w:iCs/>
              </w:rPr>
              <w:t>j</w:t>
            </w:r>
          </w:p>
        </w:tc>
      </w:tr>
      <w:tr w:rsidR="006633B5" w:rsidRPr="006633B5" w14:paraId="0F314A66" w14:textId="77777777" w:rsidTr="006633B5">
        <w:tc>
          <w:tcPr>
            <w:tcW w:w="0" w:type="auto"/>
            <w:shd w:val="clear" w:color="auto" w:fill="auto"/>
          </w:tcPr>
          <w:p w14:paraId="451C0CBF" w14:textId="77777777" w:rsidR="006633B5" w:rsidRPr="006633B5" w:rsidRDefault="006633B5" w:rsidP="00E10A24">
            <w:pPr>
              <w:pStyle w:val="Tablebody"/>
              <w:spacing w:after="80"/>
            </w:pPr>
            <w:r w:rsidRPr="006633B5">
              <w:rPr>
                <w:i/>
              </w:rPr>
              <w:t>N</w:t>
            </w:r>
            <w:r w:rsidRPr="006633B5">
              <w:rPr>
                <w:vertAlign w:val="subscript"/>
              </w:rPr>
              <w:t>u,link</w:t>
            </w:r>
          </w:p>
        </w:tc>
        <w:tc>
          <w:tcPr>
            <w:tcW w:w="0" w:type="auto"/>
            <w:shd w:val="clear" w:color="auto" w:fill="auto"/>
          </w:tcPr>
          <w:p w14:paraId="6021E3E9" w14:textId="77777777" w:rsidR="006633B5" w:rsidRPr="006633B5" w:rsidRDefault="006633B5" w:rsidP="00E10A24">
            <w:pPr>
              <w:pStyle w:val="Tablebody"/>
              <w:spacing w:after="80"/>
            </w:pPr>
            <w:r w:rsidRPr="006633B5">
              <w:t>upper design resistance of a link in an eccentric bracing</w:t>
            </w:r>
            <w:bookmarkStart w:id="569" w:name="_Hlk37492931"/>
          </w:p>
        </w:tc>
      </w:tr>
      <w:tr w:rsidR="006633B5" w:rsidRPr="006633B5" w14:paraId="00229D60" w14:textId="77777777" w:rsidTr="006633B5">
        <w:tc>
          <w:tcPr>
            <w:tcW w:w="0" w:type="auto"/>
            <w:shd w:val="clear" w:color="auto" w:fill="auto"/>
          </w:tcPr>
          <w:p w14:paraId="70FFDBFB" w14:textId="77777777" w:rsidR="006633B5" w:rsidRPr="006633B5" w:rsidRDefault="006633B5" w:rsidP="00E10A24">
            <w:pPr>
              <w:pStyle w:val="Tablebody"/>
              <w:spacing w:after="80"/>
            </w:pPr>
            <w:r w:rsidRPr="006633B5">
              <w:rPr>
                <w:i/>
              </w:rPr>
              <w:t>P</w:t>
            </w:r>
            <w:r w:rsidRPr="006633B5">
              <w:rPr>
                <w:iCs/>
                <w:vertAlign w:val="subscript"/>
              </w:rPr>
              <w:t>tot</w:t>
            </w:r>
            <w:bookmarkEnd w:id="569"/>
          </w:p>
        </w:tc>
        <w:tc>
          <w:tcPr>
            <w:tcW w:w="0" w:type="auto"/>
            <w:shd w:val="clear" w:color="auto" w:fill="auto"/>
          </w:tcPr>
          <w:p w14:paraId="22A71D7A" w14:textId="77777777" w:rsidR="006633B5" w:rsidRPr="006633B5" w:rsidRDefault="006633B5" w:rsidP="00E10A24">
            <w:pPr>
              <w:pStyle w:val="Tablebody"/>
              <w:spacing w:after="80"/>
            </w:pPr>
            <w:bookmarkStart w:id="570" w:name="_Hlk37492865"/>
            <w:r w:rsidRPr="006633B5">
              <w:t xml:space="preserve">total gravity load </w:t>
            </w:r>
            <w:r w:rsidRPr="006633B5">
              <w:rPr>
                <w:szCs w:val="22"/>
              </w:rPr>
              <w:t>at and above a</w:t>
            </w:r>
            <w:r w:rsidRPr="006633B5">
              <w:t xml:space="preserve"> storey in the seismic design situation</w:t>
            </w:r>
          </w:p>
        </w:tc>
      </w:tr>
      <w:tr w:rsidR="006633B5" w:rsidRPr="006633B5" w14:paraId="0C84047B" w14:textId="77777777" w:rsidTr="006633B5">
        <w:tc>
          <w:tcPr>
            <w:tcW w:w="0" w:type="auto"/>
            <w:shd w:val="clear" w:color="auto" w:fill="auto"/>
          </w:tcPr>
          <w:p w14:paraId="4AFC2D5D" w14:textId="77777777" w:rsidR="006633B5" w:rsidRPr="006633B5" w:rsidRDefault="006633B5" w:rsidP="00E10A24">
            <w:pPr>
              <w:pStyle w:val="Tablebody"/>
              <w:spacing w:after="80"/>
              <w:rPr>
                <w:rFonts w:asciiTheme="majorHAnsi" w:hAnsiTheme="majorHAnsi"/>
                <w:i/>
                <w:szCs w:val="22"/>
              </w:rPr>
            </w:pPr>
            <w:r w:rsidRPr="006633B5">
              <w:rPr>
                <w:i/>
              </w:rPr>
              <w:t>Q</w:t>
            </w:r>
            <w:r w:rsidRPr="006633B5">
              <w:rPr>
                <w:vertAlign w:val="subscript"/>
              </w:rPr>
              <w:t>m</w:t>
            </w:r>
          </w:p>
        </w:tc>
        <w:tc>
          <w:tcPr>
            <w:tcW w:w="0" w:type="auto"/>
            <w:shd w:val="clear" w:color="auto" w:fill="auto"/>
          </w:tcPr>
          <w:p w14:paraId="4765192F" w14:textId="77777777" w:rsidR="006633B5" w:rsidRPr="006633B5" w:rsidRDefault="006633B5" w:rsidP="00E10A24">
            <w:pPr>
              <w:pStyle w:val="Tablebody"/>
              <w:spacing w:after="80"/>
            </w:pPr>
            <w:r w:rsidRPr="006633B5">
              <w:t>local forces</w:t>
            </w:r>
          </w:p>
        </w:tc>
      </w:tr>
      <w:tr w:rsidR="006633B5" w:rsidRPr="006633B5" w14:paraId="74E619C2" w14:textId="77777777" w:rsidTr="006633B5">
        <w:tc>
          <w:tcPr>
            <w:tcW w:w="0" w:type="auto"/>
            <w:shd w:val="clear" w:color="auto" w:fill="auto"/>
          </w:tcPr>
          <w:p w14:paraId="3FACA572" w14:textId="77777777" w:rsidR="006633B5" w:rsidRPr="006633B5" w:rsidRDefault="006633B5" w:rsidP="00E10A24">
            <w:pPr>
              <w:pStyle w:val="Tablebody"/>
              <w:spacing w:after="80"/>
              <w:rPr>
                <w:rFonts w:eastAsiaTheme="minorEastAsia"/>
              </w:rPr>
            </w:pPr>
            <w:r w:rsidRPr="006633B5">
              <w:rPr>
                <w:rFonts w:eastAsiaTheme="minorEastAsia"/>
                <w:i/>
              </w:rPr>
              <w:t>R</w:t>
            </w:r>
            <w:r w:rsidRPr="006633B5">
              <w:rPr>
                <w:rFonts w:eastAsiaTheme="minorEastAsia"/>
                <w:iCs/>
                <w:vertAlign w:val="subscript"/>
              </w:rPr>
              <w:t>c,Rd</w:t>
            </w:r>
          </w:p>
        </w:tc>
        <w:tc>
          <w:tcPr>
            <w:tcW w:w="0" w:type="auto"/>
            <w:shd w:val="clear" w:color="auto" w:fill="auto"/>
          </w:tcPr>
          <w:p w14:paraId="5D53DA2F" w14:textId="77777777" w:rsidR="006633B5" w:rsidRPr="006633B5" w:rsidRDefault="006633B5" w:rsidP="00E10A24">
            <w:pPr>
              <w:pStyle w:val="Tablebody"/>
              <w:spacing w:after="80"/>
              <w:rPr>
                <w:iCs/>
              </w:rPr>
            </w:pPr>
            <w:r w:rsidRPr="006633B5">
              <w:rPr>
                <w:rFonts w:eastAsiaTheme="minorEastAsia"/>
              </w:rPr>
              <w:t>in-plane lateral resistance corresponding to the resistance of the member to sheathing connection in a light weight steel structure</w:t>
            </w:r>
          </w:p>
        </w:tc>
      </w:tr>
      <w:bookmarkEnd w:id="570"/>
      <w:tr w:rsidR="006633B5" w:rsidRPr="006633B5" w14:paraId="38C465E0" w14:textId="77777777" w:rsidTr="006633B5">
        <w:tc>
          <w:tcPr>
            <w:tcW w:w="0" w:type="auto"/>
            <w:shd w:val="clear" w:color="auto" w:fill="auto"/>
          </w:tcPr>
          <w:p w14:paraId="3A771BC4" w14:textId="77777777" w:rsidR="006633B5" w:rsidRPr="006633B5" w:rsidRDefault="006633B5" w:rsidP="00E10A24">
            <w:pPr>
              <w:pStyle w:val="Tablebody"/>
              <w:spacing w:after="80"/>
            </w:pPr>
            <w:r w:rsidRPr="006633B5">
              <w:rPr>
                <w:i/>
              </w:rPr>
              <w:t>R</w:t>
            </w:r>
            <w:r w:rsidRPr="006633B5">
              <w:rPr>
                <w:vertAlign w:val="subscript"/>
              </w:rPr>
              <w:t>d</w:t>
            </w:r>
          </w:p>
        </w:tc>
        <w:tc>
          <w:tcPr>
            <w:tcW w:w="0" w:type="auto"/>
            <w:shd w:val="clear" w:color="auto" w:fill="auto"/>
          </w:tcPr>
          <w:p w14:paraId="06710473" w14:textId="77777777" w:rsidR="006633B5" w:rsidRPr="006633B5" w:rsidRDefault="006633B5" w:rsidP="00E10A24">
            <w:pPr>
              <w:pStyle w:val="Tablebody"/>
              <w:spacing w:after="80"/>
            </w:pPr>
            <w:r w:rsidRPr="006633B5">
              <w:t>design resistance of a connection as given in the reference Eurocode</w:t>
            </w:r>
          </w:p>
        </w:tc>
      </w:tr>
      <w:tr w:rsidR="006633B5" w:rsidRPr="006633B5" w14:paraId="2D8FEAF8" w14:textId="77777777" w:rsidTr="006633B5">
        <w:tc>
          <w:tcPr>
            <w:tcW w:w="0" w:type="auto"/>
            <w:shd w:val="clear" w:color="auto" w:fill="auto"/>
          </w:tcPr>
          <w:p w14:paraId="618521C2" w14:textId="77777777" w:rsidR="006633B5" w:rsidRPr="006633B5" w:rsidRDefault="006633B5" w:rsidP="00E10A24">
            <w:pPr>
              <w:pStyle w:val="Tablebody"/>
              <w:spacing w:after="80"/>
            </w:pPr>
            <w:r w:rsidRPr="006633B5">
              <w:rPr>
                <w:i/>
              </w:rPr>
              <w:t>R</w:t>
            </w:r>
            <w:r w:rsidRPr="006633B5">
              <w:rPr>
                <w:iCs/>
                <w:vertAlign w:val="subscript"/>
              </w:rPr>
              <w:t>di</w:t>
            </w:r>
          </w:p>
        </w:tc>
        <w:tc>
          <w:tcPr>
            <w:tcW w:w="0" w:type="auto"/>
            <w:shd w:val="clear" w:color="auto" w:fill="auto"/>
          </w:tcPr>
          <w:p w14:paraId="4B6CF215" w14:textId="77777777" w:rsidR="006633B5" w:rsidRPr="006633B5" w:rsidRDefault="006633B5" w:rsidP="00E10A24">
            <w:pPr>
              <w:pStyle w:val="Tablebody"/>
              <w:spacing w:after="80"/>
              <w:rPr>
                <w:i/>
              </w:rPr>
            </w:pPr>
            <w:r w:rsidRPr="006633B5">
              <w:t xml:space="preserve">design resistance of the zone or element </w:t>
            </w:r>
            <w:r w:rsidRPr="006633B5">
              <w:rPr>
                <w:i/>
              </w:rPr>
              <w:t xml:space="preserve">i </w:t>
            </w:r>
          </w:p>
        </w:tc>
      </w:tr>
      <w:tr w:rsidR="006633B5" w:rsidRPr="006633B5" w14:paraId="7840CEFF" w14:textId="77777777" w:rsidTr="006633B5">
        <w:tc>
          <w:tcPr>
            <w:tcW w:w="0" w:type="auto"/>
            <w:shd w:val="clear" w:color="auto" w:fill="auto"/>
          </w:tcPr>
          <w:p w14:paraId="0535EFAF" w14:textId="77777777" w:rsidR="006633B5" w:rsidRPr="006633B5" w:rsidRDefault="006633B5" w:rsidP="00E10A24">
            <w:pPr>
              <w:pStyle w:val="Tablebody"/>
              <w:spacing w:after="80"/>
            </w:pPr>
            <w:r w:rsidRPr="006633B5">
              <w:rPr>
                <w:i/>
              </w:rPr>
              <w:t>R</w:t>
            </w:r>
            <w:r w:rsidRPr="006633B5">
              <w:rPr>
                <w:vertAlign w:val="subscript"/>
              </w:rPr>
              <w:t>fy</w:t>
            </w:r>
          </w:p>
        </w:tc>
        <w:tc>
          <w:tcPr>
            <w:tcW w:w="0" w:type="auto"/>
            <w:shd w:val="clear" w:color="auto" w:fill="auto"/>
          </w:tcPr>
          <w:p w14:paraId="0138B9E9" w14:textId="77777777" w:rsidR="006633B5" w:rsidRPr="006633B5" w:rsidRDefault="006633B5" w:rsidP="00E10A24">
            <w:pPr>
              <w:pStyle w:val="Tablebody"/>
              <w:spacing w:after="80"/>
            </w:pPr>
            <w:r w:rsidRPr="006633B5">
              <w:t>plastic resistance of a dissipative member</w:t>
            </w:r>
          </w:p>
        </w:tc>
      </w:tr>
      <w:tr w:rsidR="006633B5" w:rsidRPr="006633B5" w14:paraId="1746E403" w14:textId="77777777" w:rsidTr="006633B5">
        <w:tc>
          <w:tcPr>
            <w:tcW w:w="0" w:type="auto"/>
            <w:shd w:val="clear" w:color="auto" w:fill="auto"/>
          </w:tcPr>
          <w:p w14:paraId="6952050C" w14:textId="77777777" w:rsidR="006633B5" w:rsidRPr="006633B5" w:rsidRDefault="006633B5" w:rsidP="00E10A24">
            <w:pPr>
              <w:pStyle w:val="Tablebody"/>
              <w:spacing w:after="80"/>
            </w:pPr>
            <w:r w:rsidRPr="006633B5">
              <w:rPr>
                <w:i/>
              </w:rPr>
              <w:t>R</w:t>
            </w:r>
            <w:r w:rsidRPr="006633B5">
              <w:rPr>
                <w:vertAlign w:val="subscript"/>
              </w:rPr>
              <w:t>fo</w:t>
            </w:r>
          </w:p>
        </w:tc>
        <w:tc>
          <w:tcPr>
            <w:tcW w:w="0" w:type="auto"/>
            <w:shd w:val="clear" w:color="auto" w:fill="auto"/>
          </w:tcPr>
          <w:p w14:paraId="0A987ED8" w14:textId="77777777" w:rsidR="006633B5" w:rsidRPr="006633B5" w:rsidRDefault="006633B5" w:rsidP="00E10A24">
            <w:pPr>
              <w:pStyle w:val="Tablebody"/>
              <w:spacing w:after="80"/>
            </w:pPr>
            <w:r w:rsidRPr="006633B5">
              <w:t>plastic resistance of an aluminium dissipative member</w:t>
            </w:r>
          </w:p>
        </w:tc>
      </w:tr>
      <w:tr w:rsidR="006633B5" w:rsidRPr="006633B5" w14:paraId="0AB8F3FA" w14:textId="77777777" w:rsidTr="006633B5">
        <w:tc>
          <w:tcPr>
            <w:tcW w:w="0" w:type="auto"/>
            <w:shd w:val="clear" w:color="auto" w:fill="auto"/>
          </w:tcPr>
          <w:p w14:paraId="15A5FBC4" w14:textId="77777777" w:rsidR="006633B5" w:rsidRPr="006633B5" w:rsidRDefault="006633B5" w:rsidP="00E10A24">
            <w:pPr>
              <w:pStyle w:val="Tablebody"/>
              <w:spacing w:after="80"/>
            </w:pPr>
            <w:r w:rsidRPr="006633B5">
              <w:rPr>
                <w:i/>
              </w:rPr>
              <w:t>S</w:t>
            </w:r>
            <w:r w:rsidRPr="006633B5">
              <w:rPr>
                <w:iCs/>
                <w:vertAlign w:val="subscript"/>
              </w:rPr>
              <w:t>a</w:t>
            </w:r>
          </w:p>
        </w:tc>
        <w:tc>
          <w:tcPr>
            <w:tcW w:w="0" w:type="auto"/>
            <w:shd w:val="clear" w:color="auto" w:fill="auto"/>
          </w:tcPr>
          <w:p w14:paraId="1BB85C48" w14:textId="77777777" w:rsidR="006633B5" w:rsidRPr="006633B5" w:rsidRDefault="006633B5" w:rsidP="00E10A24">
            <w:pPr>
              <w:pStyle w:val="Tablebody"/>
              <w:spacing w:after="80"/>
            </w:pPr>
            <w:r w:rsidRPr="006633B5">
              <w:t>value of the floor acceleration spectrum</w:t>
            </w:r>
          </w:p>
        </w:tc>
      </w:tr>
      <w:tr w:rsidR="006633B5" w:rsidRPr="006633B5" w14:paraId="71F997D1" w14:textId="77777777" w:rsidTr="006633B5">
        <w:tc>
          <w:tcPr>
            <w:tcW w:w="0" w:type="auto"/>
            <w:shd w:val="clear" w:color="auto" w:fill="auto"/>
          </w:tcPr>
          <w:p w14:paraId="74746BAC" w14:textId="77777777" w:rsidR="006633B5" w:rsidRPr="006633B5" w:rsidRDefault="006633B5" w:rsidP="00E10A24">
            <w:pPr>
              <w:pStyle w:val="Tablebody"/>
              <w:spacing w:after="80"/>
            </w:pPr>
            <w:r w:rsidRPr="006633B5">
              <w:rPr>
                <w:i/>
              </w:rPr>
              <w:t>S</w:t>
            </w:r>
            <w:r w:rsidRPr="006633B5">
              <w:rPr>
                <w:iCs/>
                <w:vertAlign w:val="subscript"/>
              </w:rPr>
              <w:t>d</w:t>
            </w:r>
            <w:r w:rsidRPr="006633B5">
              <w:rPr>
                <w:i/>
                <w:vertAlign w:val="subscript"/>
              </w:rPr>
              <w:t xml:space="preserve"> </w:t>
            </w:r>
            <w:r w:rsidRPr="006633B5">
              <w:t>(</w:t>
            </w:r>
            <w:r w:rsidRPr="006633B5">
              <w:rPr>
                <w:i/>
              </w:rPr>
              <w:t>T</w:t>
            </w:r>
            <w:r w:rsidRPr="006633B5">
              <w:rPr>
                <w:vertAlign w:val="subscript"/>
              </w:rPr>
              <w:t>1</w:t>
            </w:r>
            <w:r w:rsidRPr="006633B5">
              <w:t>)</w:t>
            </w:r>
          </w:p>
        </w:tc>
        <w:tc>
          <w:tcPr>
            <w:tcW w:w="0" w:type="auto"/>
            <w:shd w:val="clear" w:color="auto" w:fill="auto"/>
          </w:tcPr>
          <w:p w14:paraId="3153ABFB" w14:textId="77777777" w:rsidR="006633B5" w:rsidRPr="006633B5" w:rsidRDefault="006633B5" w:rsidP="00E10A24">
            <w:pPr>
              <w:pStyle w:val="Tablebody"/>
              <w:spacing w:after="80"/>
            </w:pPr>
            <w:r w:rsidRPr="006633B5">
              <w:t xml:space="preserve">ordinate of the reduced spectrum at period </w:t>
            </w:r>
            <w:r w:rsidRPr="006633B5">
              <w:rPr>
                <w:i/>
              </w:rPr>
              <w:t>T</w:t>
            </w:r>
            <w:r w:rsidRPr="006633B5">
              <w:rPr>
                <w:vertAlign w:val="subscript"/>
              </w:rPr>
              <w:t>1</w:t>
            </w:r>
          </w:p>
        </w:tc>
      </w:tr>
      <w:tr w:rsidR="006633B5" w:rsidRPr="006633B5" w14:paraId="4B611E53" w14:textId="77777777" w:rsidTr="006633B5">
        <w:tc>
          <w:tcPr>
            <w:tcW w:w="0" w:type="auto"/>
            <w:shd w:val="clear" w:color="auto" w:fill="auto"/>
          </w:tcPr>
          <w:p w14:paraId="0F4232C0" w14:textId="77777777" w:rsidR="006633B5" w:rsidRPr="006633B5" w:rsidRDefault="006633B5" w:rsidP="00E10A24">
            <w:pPr>
              <w:pStyle w:val="Tablebody"/>
              <w:spacing w:after="80"/>
            </w:pPr>
            <w:r w:rsidRPr="006633B5">
              <w:rPr>
                <w:i/>
              </w:rPr>
              <w:t>S</w:t>
            </w:r>
            <w:r w:rsidRPr="006633B5">
              <w:rPr>
                <w:vertAlign w:val="subscript"/>
              </w:rPr>
              <w:t>e</w:t>
            </w:r>
          </w:p>
        </w:tc>
        <w:tc>
          <w:tcPr>
            <w:tcW w:w="0" w:type="auto"/>
            <w:shd w:val="clear" w:color="auto" w:fill="auto"/>
          </w:tcPr>
          <w:p w14:paraId="79A1B31B" w14:textId="77777777" w:rsidR="006633B5" w:rsidRPr="006633B5" w:rsidRDefault="006633B5" w:rsidP="00E10A24">
            <w:pPr>
              <w:pStyle w:val="Tablebody"/>
              <w:spacing w:after="80"/>
            </w:pPr>
            <w:r w:rsidRPr="006633B5">
              <w:t>ordinate of the elastic response spectrum</w:t>
            </w:r>
          </w:p>
        </w:tc>
      </w:tr>
      <w:tr w:rsidR="006633B5" w:rsidRPr="006633B5" w14:paraId="43F6150F" w14:textId="77777777" w:rsidTr="006633B5">
        <w:tc>
          <w:tcPr>
            <w:tcW w:w="0" w:type="auto"/>
            <w:shd w:val="clear" w:color="auto" w:fill="auto"/>
          </w:tcPr>
          <w:p w14:paraId="67D53862" w14:textId="77777777" w:rsidR="006633B5" w:rsidRPr="006633B5" w:rsidRDefault="006633B5" w:rsidP="00E10A24">
            <w:pPr>
              <w:pStyle w:val="Tablebody"/>
              <w:spacing w:after="80"/>
            </w:pPr>
            <w:r w:rsidRPr="006633B5">
              <w:rPr>
                <w:i/>
              </w:rPr>
              <w:t>S</w:t>
            </w:r>
            <w:r w:rsidRPr="006633B5">
              <w:rPr>
                <w:iCs/>
                <w:vertAlign w:val="subscript"/>
              </w:rPr>
              <w:t>ea</w:t>
            </w:r>
          </w:p>
        </w:tc>
        <w:tc>
          <w:tcPr>
            <w:tcW w:w="0" w:type="auto"/>
            <w:shd w:val="clear" w:color="auto" w:fill="auto"/>
          </w:tcPr>
          <w:p w14:paraId="79E0E675" w14:textId="77777777" w:rsidR="006633B5" w:rsidRPr="006633B5" w:rsidRDefault="006633B5" w:rsidP="00E10A24">
            <w:pPr>
              <w:pStyle w:val="Tablebody"/>
              <w:spacing w:after="80"/>
            </w:pPr>
            <w:r w:rsidRPr="006633B5">
              <w:t xml:space="preserve">value of </w:t>
            </w:r>
            <w:r w:rsidRPr="006633B5">
              <w:rPr>
                <w:i/>
              </w:rPr>
              <w:t>S</w:t>
            </w:r>
            <w:r w:rsidRPr="006633B5">
              <w:rPr>
                <w:vertAlign w:val="subscript"/>
              </w:rPr>
              <w:t>e</w:t>
            </w:r>
            <w:r w:rsidRPr="006633B5">
              <w:t xml:space="preserve"> at the ancillary element period</w:t>
            </w:r>
          </w:p>
        </w:tc>
      </w:tr>
      <w:tr w:rsidR="006633B5" w:rsidRPr="006633B5" w14:paraId="449F9A91" w14:textId="77777777" w:rsidTr="006633B5">
        <w:tc>
          <w:tcPr>
            <w:tcW w:w="0" w:type="auto"/>
            <w:shd w:val="clear" w:color="auto" w:fill="auto"/>
          </w:tcPr>
          <w:p w14:paraId="5292B258" w14:textId="77777777" w:rsidR="006633B5" w:rsidRPr="006633B5" w:rsidRDefault="006633B5" w:rsidP="00E10A24">
            <w:pPr>
              <w:pStyle w:val="Tablebody"/>
              <w:spacing w:after="80"/>
              <w:rPr>
                <w:i/>
              </w:rPr>
            </w:pPr>
            <w:r w:rsidRPr="006633B5">
              <w:rPr>
                <w:i/>
              </w:rPr>
              <w:t>S</w:t>
            </w:r>
            <w:r w:rsidRPr="006633B5">
              <w:rPr>
                <w:iCs/>
                <w:vertAlign w:val="subscript"/>
              </w:rPr>
              <w:t>ep,1</w:t>
            </w:r>
          </w:p>
        </w:tc>
        <w:tc>
          <w:tcPr>
            <w:tcW w:w="0" w:type="auto"/>
            <w:shd w:val="clear" w:color="auto" w:fill="auto"/>
          </w:tcPr>
          <w:p w14:paraId="60D0C843" w14:textId="77777777" w:rsidR="006633B5" w:rsidRPr="006633B5" w:rsidRDefault="006633B5" w:rsidP="00E10A24">
            <w:pPr>
              <w:pStyle w:val="Tablebody"/>
              <w:spacing w:after="80"/>
            </w:pPr>
            <w:r w:rsidRPr="006633B5">
              <w:t xml:space="preserve">value of </w:t>
            </w:r>
            <w:r w:rsidRPr="006633B5">
              <w:rPr>
                <w:i/>
              </w:rPr>
              <w:t>S</w:t>
            </w:r>
            <w:r w:rsidRPr="006633B5">
              <w:rPr>
                <w:vertAlign w:val="subscript"/>
              </w:rPr>
              <w:t>e</w:t>
            </w:r>
            <w:r w:rsidRPr="006633B5">
              <w:t xml:space="preserve"> at the period of the first (fundamental) mode of the primary structure</w:t>
            </w:r>
          </w:p>
        </w:tc>
      </w:tr>
      <w:tr w:rsidR="006633B5" w:rsidRPr="006633B5" w14:paraId="7DF50F6D" w14:textId="77777777" w:rsidTr="006633B5">
        <w:tc>
          <w:tcPr>
            <w:tcW w:w="0" w:type="auto"/>
            <w:shd w:val="clear" w:color="auto" w:fill="auto"/>
          </w:tcPr>
          <w:p w14:paraId="39F9798E" w14:textId="77777777" w:rsidR="006633B5" w:rsidRPr="006633B5" w:rsidRDefault="006633B5" w:rsidP="00E10A24">
            <w:pPr>
              <w:pStyle w:val="Tablebody"/>
              <w:spacing w:after="80"/>
            </w:pPr>
            <w:r w:rsidRPr="006633B5">
              <w:rPr>
                <w:i/>
              </w:rPr>
              <w:t>S</w:t>
            </w:r>
            <w:r w:rsidRPr="006633B5">
              <w:rPr>
                <w:iCs/>
                <w:vertAlign w:val="subscript"/>
              </w:rPr>
              <w:t>ep,i</w:t>
            </w:r>
          </w:p>
        </w:tc>
        <w:tc>
          <w:tcPr>
            <w:tcW w:w="0" w:type="auto"/>
            <w:shd w:val="clear" w:color="auto" w:fill="auto"/>
          </w:tcPr>
          <w:p w14:paraId="32B8FE00" w14:textId="77777777" w:rsidR="006633B5" w:rsidRPr="006633B5" w:rsidRDefault="006633B5" w:rsidP="00E10A24">
            <w:pPr>
              <w:pStyle w:val="Tablebody"/>
              <w:spacing w:after="80"/>
            </w:pPr>
            <w:r w:rsidRPr="006633B5">
              <w:t xml:space="preserve">value of </w:t>
            </w:r>
            <w:r w:rsidRPr="006633B5">
              <w:rPr>
                <w:i/>
              </w:rPr>
              <w:t>S</w:t>
            </w:r>
            <w:r w:rsidRPr="006633B5">
              <w:rPr>
                <w:iCs/>
                <w:vertAlign w:val="subscript"/>
              </w:rPr>
              <w:t>e</w:t>
            </w:r>
            <w:r w:rsidRPr="006633B5">
              <w:rPr>
                <w:i/>
              </w:rPr>
              <w:t xml:space="preserve"> </w:t>
            </w:r>
            <w:r w:rsidRPr="006633B5">
              <w:t xml:space="preserve">at the period of the </w:t>
            </w:r>
            <w:r w:rsidRPr="006633B5">
              <w:rPr>
                <w:i/>
                <w:iCs/>
              </w:rPr>
              <w:t>i</w:t>
            </w:r>
            <w:r w:rsidRPr="006633B5">
              <w:rPr>
                <w:vertAlign w:val="superscript"/>
              </w:rPr>
              <w:t>th</w:t>
            </w:r>
            <w:r w:rsidRPr="006633B5">
              <w:t xml:space="preserve"> mode of the primary structure</w:t>
            </w:r>
          </w:p>
        </w:tc>
      </w:tr>
      <w:tr w:rsidR="006633B5" w:rsidRPr="006633B5" w14:paraId="4CC61644" w14:textId="77777777" w:rsidTr="006633B5">
        <w:tc>
          <w:tcPr>
            <w:tcW w:w="0" w:type="auto"/>
            <w:shd w:val="clear" w:color="auto" w:fill="auto"/>
          </w:tcPr>
          <w:p w14:paraId="3D5DC91A" w14:textId="77777777" w:rsidR="006633B5" w:rsidRPr="006633B5" w:rsidRDefault="006633B5" w:rsidP="00E10A24">
            <w:pPr>
              <w:pStyle w:val="Tablebody"/>
              <w:spacing w:after="80"/>
            </w:pPr>
            <w:r w:rsidRPr="006633B5">
              <w:rPr>
                <w:i/>
              </w:rPr>
              <w:t>S</w:t>
            </w:r>
            <w:r w:rsidRPr="006633B5">
              <w:rPr>
                <w:vertAlign w:val="subscript"/>
              </w:rPr>
              <w:t>δ</w:t>
            </w:r>
          </w:p>
        </w:tc>
        <w:tc>
          <w:tcPr>
            <w:tcW w:w="0" w:type="auto"/>
            <w:shd w:val="clear" w:color="auto" w:fill="auto"/>
          </w:tcPr>
          <w:p w14:paraId="51F8B1B4" w14:textId="77777777" w:rsidR="006633B5" w:rsidRPr="006633B5" w:rsidRDefault="006633B5" w:rsidP="00E10A24">
            <w:pPr>
              <w:pStyle w:val="Tablebody"/>
              <w:spacing w:after="80"/>
            </w:pPr>
            <w:r w:rsidRPr="006633B5">
              <w:t>seismic action index</w:t>
            </w:r>
          </w:p>
        </w:tc>
      </w:tr>
      <w:tr w:rsidR="006633B5" w:rsidRPr="006633B5" w14:paraId="3D3549C9" w14:textId="77777777" w:rsidTr="006633B5">
        <w:tc>
          <w:tcPr>
            <w:tcW w:w="0" w:type="auto"/>
            <w:shd w:val="clear" w:color="auto" w:fill="auto"/>
          </w:tcPr>
          <w:p w14:paraId="6650FA4E" w14:textId="77777777" w:rsidR="006633B5" w:rsidRPr="006633B5" w:rsidRDefault="006633B5" w:rsidP="00E10A24">
            <w:pPr>
              <w:pStyle w:val="Tablebody"/>
              <w:spacing w:after="80"/>
              <w:rPr>
                <w:i/>
              </w:rPr>
            </w:pPr>
            <w:r w:rsidRPr="006633B5">
              <w:rPr>
                <w:i/>
              </w:rPr>
              <w:t>T</w:t>
            </w:r>
            <w:r w:rsidRPr="006633B5">
              <w:rPr>
                <w:iCs/>
                <w:vertAlign w:val="subscript"/>
              </w:rPr>
              <w:t>1</w:t>
            </w:r>
          </w:p>
        </w:tc>
        <w:tc>
          <w:tcPr>
            <w:tcW w:w="0" w:type="auto"/>
            <w:shd w:val="clear" w:color="auto" w:fill="auto"/>
          </w:tcPr>
          <w:p w14:paraId="4B9F66BD" w14:textId="77777777" w:rsidR="006633B5" w:rsidRPr="006633B5" w:rsidRDefault="006633B5" w:rsidP="00E10A24">
            <w:pPr>
              <w:pStyle w:val="Tablebody"/>
              <w:spacing w:after="80"/>
            </w:pPr>
            <w:r w:rsidRPr="006633B5">
              <w:t>fundamental period of the structure with an energy dissipation system in elastic conditions or fundamental period of vibration of the building for lateral motion in the direction considered</w:t>
            </w:r>
          </w:p>
        </w:tc>
      </w:tr>
      <w:tr w:rsidR="006633B5" w:rsidRPr="006633B5" w14:paraId="763B4976" w14:textId="77777777" w:rsidTr="006633B5">
        <w:tc>
          <w:tcPr>
            <w:tcW w:w="0" w:type="auto"/>
            <w:shd w:val="clear" w:color="auto" w:fill="auto"/>
          </w:tcPr>
          <w:p w14:paraId="405C77CA" w14:textId="77777777" w:rsidR="006633B5" w:rsidRPr="006633B5" w:rsidRDefault="006633B5" w:rsidP="00E10A24">
            <w:pPr>
              <w:pStyle w:val="Tablebody"/>
              <w:spacing w:after="80"/>
            </w:pPr>
            <w:r w:rsidRPr="006633B5">
              <w:rPr>
                <w:i/>
              </w:rPr>
              <w:t>T</w:t>
            </w:r>
            <w:r w:rsidRPr="006633B5">
              <w:rPr>
                <w:vertAlign w:val="subscript"/>
              </w:rPr>
              <w:t>1,est</w:t>
            </w:r>
          </w:p>
        </w:tc>
        <w:tc>
          <w:tcPr>
            <w:tcW w:w="0" w:type="auto"/>
            <w:shd w:val="clear" w:color="auto" w:fill="auto"/>
          </w:tcPr>
          <w:p w14:paraId="366C5D12" w14:textId="77777777" w:rsidR="006633B5" w:rsidRPr="006633B5" w:rsidRDefault="006633B5" w:rsidP="00E10A24">
            <w:pPr>
              <w:pStyle w:val="Tablebody"/>
              <w:spacing w:after="80"/>
            </w:pPr>
            <w:r w:rsidRPr="006633B5">
              <w:t>estimate of the fundamental period of vibration of the building</w:t>
            </w:r>
          </w:p>
        </w:tc>
      </w:tr>
      <w:tr w:rsidR="006633B5" w:rsidRPr="006633B5" w14:paraId="5E99BE20" w14:textId="77777777" w:rsidTr="006633B5">
        <w:tc>
          <w:tcPr>
            <w:tcW w:w="0" w:type="auto"/>
            <w:shd w:val="clear" w:color="auto" w:fill="auto"/>
          </w:tcPr>
          <w:p w14:paraId="5B7E3079" w14:textId="77777777" w:rsidR="006633B5" w:rsidRPr="006633B5" w:rsidRDefault="006633B5" w:rsidP="00E10A24">
            <w:pPr>
              <w:pStyle w:val="Tablebody"/>
              <w:spacing w:after="80"/>
            </w:pPr>
            <w:bookmarkStart w:id="571" w:name="_Hlk38699606"/>
            <w:r w:rsidRPr="006633B5">
              <w:rPr>
                <w:i/>
              </w:rPr>
              <w:t>T</w:t>
            </w:r>
            <w:r w:rsidRPr="006633B5">
              <w:rPr>
                <w:vertAlign w:val="subscript"/>
              </w:rPr>
              <w:t>A</w:t>
            </w:r>
          </w:p>
        </w:tc>
        <w:tc>
          <w:tcPr>
            <w:tcW w:w="0" w:type="auto"/>
            <w:shd w:val="clear" w:color="auto" w:fill="auto"/>
          </w:tcPr>
          <w:p w14:paraId="13166E7F" w14:textId="77777777" w:rsidR="006633B5" w:rsidRPr="006633B5" w:rsidRDefault="006633B5" w:rsidP="00E10A24">
            <w:pPr>
              <w:pStyle w:val="Tablebody"/>
              <w:spacing w:after="80"/>
            </w:pPr>
            <w:r w:rsidRPr="006633B5">
              <w:t>short period cut-off of the zero-period spectral acceleration – see prEN 1998-1-1:2022, 5.2.2.2(1)</w:t>
            </w:r>
          </w:p>
        </w:tc>
      </w:tr>
      <w:bookmarkEnd w:id="571"/>
      <w:tr w:rsidR="006633B5" w:rsidRPr="006633B5" w14:paraId="291FAD88" w14:textId="77777777" w:rsidTr="006633B5">
        <w:tc>
          <w:tcPr>
            <w:tcW w:w="0" w:type="auto"/>
            <w:shd w:val="clear" w:color="auto" w:fill="auto"/>
          </w:tcPr>
          <w:p w14:paraId="4B1FB01C" w14:textId="77777777" w:rsidR="006633B5" w:rsidRPr="006633B5" w:rsidRDefault="006633B5" w:rsidP="00E10A24">
            <w:pPr>
              <w:pStyle w:val="Tablebody"/>
              <w:spacing w:after="80"/>
            </w:pPr>
            <w:r w:rsidRPr="006633B5">
              <w:rPr>
                <w:i/>
              </w:rPr>
              <w:t>T</w:t>
            </w:r>
            <w:r w:rsidRPr="006633B5">
              <w:rPr>
                <w:iCs/>
                <w:vertAlign w:val="subscript"/>
              </w:rPr>
              <w:t>an</w:t>
            </w:r>
          </w:p>
        </w:tc>
        <w:tc>
          <w:tcPr>
            <w:tcW w:w="0" w:type="auto"/>
            <w:shd w:val="clear" w:color="auto" w:fill="auto"/>
          </w:tcPr>
          <w:p w14:paraId="19B3FDE3" w14:textId="77777777" w:rsidR="006633B5" w:rsidRPr="006633B5" w:rsidRDefault="006633B5" w:rsidP="00E10A24">
            <w:pPr>
              <w:pStyle w:val="Tablebody"/>
              <w:spacing w:after="80"/>
            </w:pPr>
            <w:bookmarkStart w:id="572" w:name="_Hlk38699658"/>
            <w:r w:rsidRPr="006633B5">
              <w:t>natural period of the ancillary element</w:t>
            </w:r>
            <w:bookmarkEnd w:id="572"/>
          </w:p>
        </w:tc>
      </w:tr>
      <w:tr w:rsidR="006633B5" w:rsidRPr="006633B5" w14:paraId="763F4A5E" w14:textId="77777777" w:rsidTr="006633B5">
        <w:tc>
          <w:tcPr>
            <w:tcW w:w="0" w:type="auto"/>
            <w:shd w:val="clear" w:color="auto" w:fill="auto"/>
          </w:tcPr>
          <w:p w14:paraId="3F50F97F" w14:textId="77777777" w:rsidR="006633B5" w:rsidRPr="006633B5" w:rsidRDefault="006633B5" w:rsidP="00E10A24">
            <w:pPr>
              <w:pStyle w:val="Tablebody"/>
              <w:spacing w:after="80"/>
            </w:pPr>
            <w:r w:rsidRPr="006633B5">
              <w:rPr>
                <w:i/>
              </w:rPr>
              <w:t>T</w:t>
            </w:r>
            <w:r w:rsidRPr="006633B5">
              <w:rPr>
                <w:vertAlign w:val="subscript"/>
              </w:rPr>
              <w:t>C</w:t>
            </w:r>
          </w:p>
        </w:tc>
        <w:tc>
          <w:tcPr>
            <w:tcW w:w="0" w:type="auto"/>
            <w:shd w:val="clear" w:color="auto" w:fill="auto"/>
          </w:tcPr>
          <w:p w14:paraId="208054BB" w14:textId="77777777" w:rsidR="006633B5" w:rsidRPr="006633B5" w:rsidRDefault="006633B5" w:rsidP="00E10A24">
            <w:pPr>
              <w:pStyle w:val="Tablebody"/>
              <w:spacing w:after="80"/>
            </w:pPr>
            <w:r w:rsidRPr="006633B5">
              <w:t>upper corner period of vibration of the constant spectral acceleration range</w:t>
            </w:r>
          </w:p>
        </w:tc>
      </w:tr>
      <w:tr w:rsidR="006633B5" w:rsidRPr="006633B5" w14:paraId="518389AD" w14:textId="77777777" w:rsidTr="006633B5">
        <w:tc>
          <w:tcPr>
            <w:tcW w:w="0" w:type="auto"/>
            <w:shd w:val="clear" w:color="auto" w:fill="auto"/>
          </w:tcPr>
          <w:p w14:paraId="75150071" w14:textId="77777777" w:rsidR="006633B5" w:rsidRPr="006633B5" w:rsidRDefault="006633B5" w:rsidP="00E10A24">
            <w:pPr>
              <w:pStyle w:val="Tablebody"/>
              <w:spacing w:after="80"/>
              <w:rPr>
                <w:i/>
              </w:rPr>
            </w:pPr>
            <w:r w:rsidRPr="006633B5">
              <w:rPr>
                <w:i/>
              </w:rPr>
              <w:t>T</w:t>
            </w:r>
            <w:r w:rsidRPr="006633B5">
              <w:rPr>
                <w:iCs/>
                <w:vertAlign w:val="subscript"/>
              </w:rPr>
              <w:t>d1</w:t>
            </w:r>
          </w:p>
        </w:tc>
        <w:tc>
          <w:tcPr>
            <w:tcW w:w="0" w:type="auto"/>
            <w:shd w:val="clear" w:color="auto" w:fill="auto"/>
          </w:tcPr>
          <w:p w14:paraId="41BED87A" w14:textId="77777777" w:rsidR="006633B5" w:rsidRPr="006633B5" w:rsidRDefault="006633B5" w:rsidP="00E10A24">
            <w:pPr>
              <w:pStyle w:val="Tablebody"/>
              <w:spacing w:after="80"/>
            </w:pPr>
            <w:r w:rsidRPr="006633B5">
              <w:t xml:space="preserve">fundamental period of the structure with energy dissipation devices when the primary seismic elements of the main structural system reach the design displacement </w:t>
            </w:r>
            <w:r w:rsidRPr="006633B5">
              <w:rPr>
                <w:i/>
              </w:rPr>
              <w:t>d</w:t>
            </w:r>
            <w:r w:rsidRPr="006633B5">
              <w:rPr>
                <w:i/>
                <w:vertAlign w:val="subscript"/>
              </w:rPr>
              <w:t>Ds</w:t>
            </w:r>
            <w:r w:rsidRPr="006633B5">
              <w:t xml:space="preserve"> at each storey </w:t>
            </w:r>
            <w:r w:rsidRPr="006633B5">
              <w:rPr>
                <w:i/>
              </w:rPr>
              <w:t>s</w:t>
            </w:r>
          </w:p>
        </w:tc>
      </w:tr>
      <w:tr w:rsidR="006633B5" w:rsidRPr="006633B5" w14:paraId="646559CA" w14:textId="77777777" w:rsidTr="006633B5">
        <w:tc>
          <w:tcPr>
            <w:tcW w:w="0" w:type="auto"/>
            <w:shd w:val="clear" w:color="auto" w:fill="auto"/>
          </w:tcPr>
          <w:p w14:paraId="3E458505" w14:textId="77777777" w:rsidR="006633B5" w:rsidRPr="006633B5" w:rsidRDefault="006633B5" w:rsidP="00E10A24">
            <w:pPr>
              <w:pStyle w:val="Tablebody"/>
              <w:spacing w:after="80"/>
              <w:rPr>
                <w:i/>
              </w:rPr>
            </w:pPr>
            <w:r w:rsidRPr="006633B5">
              <w:rPr>
                <w:i/>
              </w:rPr>
              <w:t>T</w:t>
            </w:r>
            <w:r w:rsidRPr="006633B5">
              <w:rPr>
                <w:iCs/>
                <w:vertAlign w:val="subscript"/>
              </w:rPr>
              <w:t>eff</w:t>
            </w:r>
          </w:p>
        </w:tc>
        <w:tc>
          <w:tcPr>
            <w:tcW w:w="0" w:type="auto"/>
            <w:shd w:val="clear" w:color="auto" w:fill="auto"/>
          </w:tcPr>
          <w:p w14:paraId="0C0CDC1F" w14:textId="77777777" w:rsidR="006633B5" w:rsidRPr="006633B5" w:rsidRDefault="006633B5" w:rsidP="00E10A24">
            <w:pPr>
              <w:pStyle w:val="Tablebody"/>
              <w:spacing w:after="80"/>
            </w:pPr>
            <w:r w:rsidRPr="006633B5">
              <w:t>effective period</w:t>
            </w:r>
          </w:p>
        </w:tc>
      </w:tr>
      <w:tr w:rsidR="006633B5" w:rsidRPr="006633B5" w14:paraId="0C664446" w14:textId="77777777" w:rsidTr="006633B5">
        <w:tc>
          <w:tcPr>
            <w:tcW w:w="0" w:type="auto"/>
            <w:shd w:val="clear" w:color="auto" w:fill="auto"/>
          </w:tcPr>
          <w:p w14:paraId="1F3293FE" w14:textId="77777777" w:rsidR="006633B5" w:rsidRPr="006633B5" w:rsidRDefault="006633B5" w:rsidP="00E10A24">
            <w:pPr>
              <w:pStyle w:val="Tablebody"/>
              <w:spacing w:after="80"/>
              <w:rPr>
                <w:i/>
                <w:vertAlign w:val="subscript"/>
              </w:rPr>
            </w:pPr>
            <w:r w:rsidRPr="006633B5">
              <w:rPr>
                <w:i/>
              </w:rPr>
              <w:t>T</w:t>
            </w:r>
            <w:r w:rsidRPr="006633B5">
              <w:rPr>
                <w:iCs/>
                <w:vertAlign w:val="subscript"/>
              </w:rPr>
              <w:t>eff1</w:t>
            </w:r>
          </w:p>
        </w:tc>
        <w:tc>
          <w:tcPr>
            <w:tcW w:w="0" w:type="auto"/>
            <w:shd w:val="clear" w:color="auto" w:fill="auto"/>
          </w:tcPr>
          <w:p w14:paraId="7264498B" w14:textId="77777777" w:rsidR="006633B5" w:rsidRPr="006633B5" w:rsidRDefault="006633B5" w:rsidP="00E10A24">
            <w:pPr>
              <w:pStyle w:val="Tablebody"/>
              <w:spacing w:after="80"/>
            </w:pPr>
            <w:r w:rsidRPr="006633B5">
              <w:t>effective period in the first mode</w:t>
            </w:r>
          </w:p>
        </w:tc>
      </w:tr>
      <w:tr w:rsidR="006633B5" w:rsidRPr="006633B5" w14:paraId="1BCEA400" w14:textId="77777777" w:rsidTr="006633B5">
        <w:tc>
          <w:tcPr>
            <w:tcW w:w="0" w:type="auto"/>
            <w:shd w:val="clear" w:color="auto" w:fill="auto"/>
          </w:tcPr>
          <w:p w14:paraId="4A55DEC3" w14:textId="77777777" w:rsidR="006633B5" w:rsidRPr="006633B5" w:rsidRDefault="006633B5" w:rsidP="00E10A24">
            <w:pPr>
              <w:pStyle w:val="Tablebody"/>
              <w:spacing w:after="80"/>
              <w:rPr>
                <w:i/>
              </w:rPr>
            </w:pPr>
            <w:r w:rsidRPr="006633B5">
              <w:rPr>
                <w:i/>
              </w:rPr>
              <w:t>T</w:t>
            </w:r>
            <w:r w:rsidRPr="006633B5">
              <w:rPr>
                <w:iCs/>
                <w:vertAlign w:val="subscript"/>
              </w:rPr>
              <w:t>fm</w:t>
            </w:r>
          </w:p>
        </w:tc>
        <w:tc>
          <w:tcPr>
            <w:tcW w:w="0" w:type="auto"/>
            <w:shd w:val="clear" w:color="auto" w:fill="auto"/>
          </w:tcPr>
          <w:p w14:paraId="5B4FB48E" w14:textId="77777777" w:rsidR="006633B5" w:rsidRPr="006633B5" w:rsidRDefault="006633B5" w:rsidP="00E10A24">
            <w:pPr>
              <w:pStyle w:val="Tablebody"/>
              <w:spacing w:after="80"/>
            </w:pPr>
            <w:r w:rsidRPr="006633B5">
              <w:rPr>
                <w:i/>
              </w:rPr>
              <w:t>m-</w:t>
            </w:r>
            <w:r w:rsidRPr="006633B5">
              <w:rPr>
                <w:iCs/>
              </w:rPr>
              <w:t>th</w:t>
            </w:r>
            <w:r w:rsidRPr="006633B5">
              <w:t xml:space="preserve"> mode vibration period of the main structural system in elastic conditions, exclusive of energy dissipation system</w:t>
            </w:r>
          </w:p>
        </w:tc>
      </w:tr>
      <w:tr w:rsidR="006633B5" w:rsidRPr="006633B5" w14:paraId="0FE9D176" w14:textId="77777777" w:rsidTr="006633B5">
        <w:tc>
          <w:tcPr>
            <w:tcW w:w="0" w:type="auto"/>
            <w:shd w:val="clear" w:color="auto" w:fill="auto"/>
          </w:tcPr>
          <w:p w14:paraId="61764381" w14:textId="77777777" w:rsidR="006633B5" w:rsidRPr="006633B5" w:rsidRDefault="006633B5" w:rsidP="00E10A24">
            <w:pPr>
              <w:pStyle w:val="Tablebody"/>
              <w:spacing w:after="80"/>
            </w:pPr>
            <w:r w:rsidRPr="006633B5">
              <w:rPr>
                <w:i/>
              </w:rPr>
              <w:t>T</w:t>
            </w:r>
            <w:r w:rsidRPr="006633B5">
              <w:rPr>
                <w:iCs/>
                <w:vertAlign w:val="subscript"/>
              </w:rPr>
              <w:t>m</w:t>
            </w:r>
          </w:p>
        </w:tc>
        <w:tc>
          <w:tcPr>
            <w:tcW w:w="0" w:type="auto"/>
            <w:shd w:val="clear" w:color="auto" w:fill="auto"/>
          </w:tcPr>
          <w:p w14:paraId="11088BDA" w14:textId="77777777" w:rsidR="006633B5" w:rsidRPr="006633B5" w:rsidRDefault="006633B5" w:rsidP="00E10A24">
            <w:pPr>
              <w:pStyle w:val="Tablebody"/>
              <w:spacing w:after="80"/>
            </w:pPr>
            <w:r w:rsidRPr="006633B5">
              <w:rPr>
                <w:i/>
              </w:rPr>
              <w:t>m</w:t>
            </w:r>
            <w:r w:rsidRPr="006633B5">
              <w:t>-th mode vibration period of the structure with energy dissipation system in elastic conditions</w:t>
            </w:r>
          </w:p>
        </w:tc>
      </w:tr>
      <w:tr w:rsidR="006633B5" w:rsidRPr="006633B5" w14:paraId="0619DEEA" w14:textId="77777777" w:rsidTr="006633B5">
        <w:tc>
          <w:tcPr>
            <w:tcW w:w="0" w:type="auto"/>
            <w:shd w:val="clear" w:color="auto" w:fill="auto"/>
          </w:tcPr>
          <w:p w14:paraId="1815563D" w14:textId="77777777" w:rsidR="006633B5" w:rsidRPr="006633B5" w:rsidRDefault="006633B5" w:rsidP="00E10A24">
            <w:pPr>
              <w:pStyle w:val="Tablebody"/>
              <w:spacing w:after="80"/>
            </w:pPr>
            <w:r w:rsidRPr="006633B5">
              <w:rPr>
                <w:i/>
              </w:rPr>
              <w:lastRenderedPageBreak/>
              <w:t>T</w:t>
            </w:r>
            <w:r w:rsidRPr="006633B5">
              <w:rPr>
                <w:vertAlign w:val="subscript"/>
              </w:rPr>
              <w:t>n</w:t>
            </w:r>
          </w:p>
        </w:tc>
        <w:tc>
          <w:tcPr>
            <w:tcW w:w="0" w:type="auto"/>
            <w:shd w:val="clear" w:color="auto" w:fill="auto"/>
          </w:tcPr>
          <w:p w14:paraId="059A28BF" w14:textId="77777777" w:rsidR="006633B5" w:rsidRPr="006633B5" w:rsidRDefault="006633B5" w:rsidP="00E10A24">
            <w:pPr>
              <w:pStyle w:val="Tablebody"/>
              <w:spacing w:after="80"/>
              <w:rPr>
                <w:szCs w:val="22"/>
              </w:rPr>
            </w:pPr>
            <w:r w:rsidRPr="006633B5">
              <w:t xml:space="preserve">period of the </w:t>
            </w:r>
            <w:r w:rsidRPr="006633B5">
              <w:rPr>
                <w:i/>
                <w:iCs/>
              </w:rPr>
              <w:t>n</w:t>
            </w:r>
            <w:r w:rsidRPr="006633B5">
              <w:rPr>
                <w:vertAlign w:val="superscript"/>
              </w:rPr>
              <w:t>th</w:t>
            </w:r>
            <w:r w:rsidRPr="006633B5">
              <w:t xml:space="preserve"> mode of the structure in the considered horizontal direction</w:t>
            </w:r>
          </w:p>
        </w:tc>
      </w:tr>
      <w:tr w:rsidR="006633B5" w:rsidRPr="006633B5" w14:paraId="19EB14DE" w14:textId="77777777" w:rsidTr="006633B5">
        <w:tc>
          <w:tcPr>
            <w:tcW w:w="0" w:type="auto"/>
            <w:shd w:val="clear" w:color="auto" w:fill="auto"/>
          </w:tcPr>
          <w:p w14:paraId="29895AFA" w14:textId="77777777" w:rsidR="006633B5" w:rsidRPr="006633B5" w:rsidRDefault="006633B5" w:rsidP="00E10A24">
            <w:pPr>
              <w:pStyle w:val="Tablebody"/>
              <w:spacing w:after="80"/>
            </w:pPr>
            <w:r w:rsidRPr="006633B5">
              <w:rPr>
                <w:i/>
              </w:rPr>
              <w:t>T</w:t>
            </w:r>
            <w:r w:rsidRPr="006633B5">
              <w:rPr>
                <w:vertAlign w:val="subscript"/>
              </w:rPr>
              <w:t>p,i</w:t>
            </w:r>
          </w:p>
        </w:tc>
        <w:tc>
          <w:tcPr>
            <w:tcW w:w="0" w:type="auto"/>
            <w:shd w:val="clear" w:color="auto" w:fill="auto"/>
          </w:tcPr>
          <w:p w14:paraId="1573E37E" w14:textId="77777777" w:rsidR="006633B5" w:rsidRPr="006633B5" w:rsidRDefault="006633B5" w:rsidP="00E10A24">
            <w:pPr>
              <w:pStyle w:val="Tablebody"/>
              <w:spacing w:after="80"/>
            </w:pPr>
            <w:r w:rsidRPr="006633B5">
              <w:t xml:space="preserve">natural period of the </w:t>
            </w:r>
            <w:r w:rsidRPr="006633B5">
              <w:rPr>
                <w:i/>
                <w:iCs/>
              </w:rPr>
              <w:t>i</w:t>
            </w:r>
            <w:r w:rsidRPr="006633B5">
              <w:rPr>
                <w:vertAlign w:val="superscript"/>
              </w:rPr>
              <w:t>th</w:t>
            </w:r>
            <w:r w:rsidRPr="006633B5">
              <w:t xml:space="preserve"> mode of the structure; </w:t>
            </w:r>
            <w:r w:rsidRPr="006633B5">
              <w:rPr>
                <w:i/>
              </w:rPr>
              <w:t>T</w:t>
            </w:r>
            <w:r w:rsidRPr="006633B5">
              <w:rPr>
                <w:iCs/>
                <w:vertAlign w:val="subscript"/>
              </w:rPr>
              <w:t>p,1</w:t>
            </w:r>
            <w:r w:rsidRPr="006633B5">
              <w:rPr>
                <w:vertAlign w:val="subscript"/>
              </w:rPr>
              <w:t xml:space="preserve"> </w:t>
            </w:r>
            <w:r w:rsidRPr="006633B5">
              <w:t xml:space="preserve">corresponds to </w:t>
            </w:r>
            <w:r w:rsidRPr="006633B5">
              <w:rPr>
                <w:i/>
              </w:rPr>
              <w:t>T</w:t>
            </w:r>
            <w:r w:rsidRPr="006633B5">
              <w:rPr>
                <w:vertAlign w:val="subscript"/>
              </w:rPr>
              <w:t xml:space="preserve">1 </w:t>
            </w:r>
            <w:r w:rsidRPr="006633B5">
              <w:t>(in s)</w:t>
            </w:r>
          </w:p>
        </w:tc>
      </w:tr>
      <w:tr w:rsidR="006633B5" w:rsidRPr="006633B5" w14:paraId="0D5E802C" w14:textId="77777777" w:rsidTr="006633B5">
        <w:tc>
          <w:tcPr>
            <w:tcW w:w="0" w:type="auto"/>
            <w:shd w:val="clear" w:color="auto" w:fill="auto"/>
          </w:tcPr>
          <w:p w14:paraId="6A8C560C" w14:textId="77777777" w:rsidR="006633B5" w:rsidRPr="006633B5" w:rsidRDefault="006633B5" w:rsidP="00E10A24">
            <w:pPr>
              <w:pStyle w:val="Tablebody"/>
              <w:spacing w:after="80"/>
              <w:rPr>
                <w:i/>
              </w:rPr>
            </w:pPr>
            <w:r w:rsidRPr="006633B5">
              <w:rPr>
                <w:i/>
              </w:rPr>
              <w:t>T</w:t>
            </w:r>
            <w:r w:rsidRPr="006633B5">
              <w:rPr>
                <w:vertAlign w:val="subscript"/>
              </w:rPr>
              <w:t>p1</w:t>
            </w:r>
          </w:p>
        </w:tc>
        <w:tc>
          <w:tcPr>
            <w:tcW w:w="0" w:type="auto"/>
            <w:shd w:val="clear" w:color="auto" w:fill="auto"/>
          </w:tcPr>
          <w:p w14:paraId="24CDFC8D" w14:textId="77777777" w:rsidR="006633B5" w:rsidRPr="006633B5" w:rsidRDefault="006633B5" w:rsidP="00E10A24">
            <w:pPr>
              <w:pStyle w:val="Tablebody"/>
              <w:spacing w:after="80"/>
            </w:pPr>
            <w:r w:rsidRPr="006633B5">
              <w:t>fundamental period of the primary seismic elements of the main structural system in elastic conditions, exclusive of energy dissipation system</w:t>
            </w:r>
          </w:p>
        </w:tc>
      </w:tr>
      <w:tr w:rsidR="006633B5" w:rsidRPr="006633B5" w14:paraId="554D8C55" w14:textId="77777777" w:rsidTr="006633B5">
        <w:tc>
          <w:tcPr>
            <w:tcW w:w="0" w:type="auto"/>
            <w:shd w:val="clear" w:color="auto" w:fill="auto"/>
          </w:tcPr>
          <w:p w14:paraId="7D67CE61" w14:textId="77777777" w:rsidR="006633B5" w:rsidRPr="006633B5" w:rsidRDefault="006633B5" w:rsidP="00E10A24">
            <w:pPr>
              <w:pStyle w:val="Tablebody"/>
              <w:spacing w:after="80"/>
            </w:pPr>
            <w:r w:rsidRPr="006633B5">
              <w:rPr>
                <w:i/>
              </w:rPr>
              <w:t>T</w:t>
            </w:r>
            <w:r w:rsidRPr="006633B5">
              <w:rPr>
                <w:iCs/>
                <w:vertAlign w:val="subscript"/>
              </w:rPr>
              <w:t>s1</w:t>
            </w:r>
          </w:p>
        </w:tc>
        <w:tc>
          <w:tcPr>
            <w:tcW w:w="0" w:type="auto"/>
            <w:shd w:val="clear" w:color="auto" w:fill="auto"/>
          </w:tcPr>
          <w:p w14:paraId="12655A80" w14:textId="77777777" w:rsidR="006633B5" w:rsidRPr="006633B5" w:rsidRDefault="006633B5" w:rsidP="00E10A24">
            <w:pPr>
              <w:pStyle w:val="Tablebody"/>
              <w:spacing w:after="80"/>
            </w:pPr>
            <w:r w:rsidRPr="006633B5">
              <w:t xml:space="preserve">period that gives the maximum input energy between </w:t>
            </w:r>
            <w:r w:rsidRPr="006633B5">
              <w:rPr>
                <w:i/>
              </w:rPr>
              <w:t>T</w:t>
            </w:r>
            <w:r w:rsidRPr="006633B5">
              <w:rPr>
                <w:iCs/>
                <w:vertAlign w:val="subscript"/>
              </w:rPr>
              <w:t>d1</w:t>
            </w:r>
            <w:r w:rsidRPr="006633B5">
              <w:rPr>
                <w:i/>
              </w:rPr>
              <w:t xml:space="preserve"> </w:t>
            </w:r>
            <w:r w:rsidRPr="006633B5">
              <w:t>and 1,4</w:t>
            </w:r>
            <w:r w:rsidRPr="006633B5">
              <w:rPr>
                <w:i/>
              </w:rPr>
              <w:t>T</w:t>
            </w:r>
            <w:r w:rsidRPr="006633B5">
              <w:rPr>
                <w:iCs/>
                <w:vertAlign w:val="subscript"/>
              </w:rPr>
              <w:t>d1</w:t>
            </w:r>
          </w:p>
        </w:tc>
      </w:tr>
      <w:tr w:rsidR="006633B5" w:rsidRPr="006633B5" w14:paraId="7AF27ACC" w14:textId="77777777" w:rsidTr="006633B5">
        <w:tc>
          <w:tcPr>
            <w:tcW w:w="0" w:type="auto"/>
            <w:shd w:val="clear" w:color="auto" w:fill="auto"/>
          </w:tcPr>
          <w:p w14:paraId="1B0D7CB0" w14:textId="77777777" w:rsidR="006633B5" w:rsidRPr="006633B5" w:rsidRDefault="006633B5" w:rsidP="00E10A24">
            <w:pPr>
              <w:pStyle w:val="Tablebody"/>
              <w:spacing w:after="80"/>
              <w:rPr>
                <w:i/>
              </w:rPr>
            </w:pPr>
            <w:r w:rsidRPr="006633B5">
              <w:rPr>
                <w:i/>
              </w:rPr>
              <w:t>T</w:t>
            </w:r>
            <w:r w:rsidRPr="006633B5">
              <w:rPr>
                <w:iCs/>
                <w:vertAlign w:val="subscript"/>
              </w:rPr>
              <w:t>v</w:t>
            </w:r>
          </w:p>
        </w:tc>
        <w:tc>
          <w:tcPr>
            <w:tcW w:w="0" w:type="auto"/>
            <w:shd w:val="clear" w:color="auto" w:fill="auto"/>
          </w:tcPr>
          <w:p w14:paraId="6F751D50" w14:textId="77777777" w:rsidR="006633B5" w:rsidRPr="006633B5" w:rsidRDefault="006633B5" w:rsidP="00E10A24">
            <w:pPr>
              <w:pStyle w:val="Tablebody"/>
              <w:spacing w:after="80"/>
            </w:pPr>
            <w:r w:rsidRPr="006633B5">
              <w:t>fundamental vibration period in the vertical direction</w:t>
            </w:r>
          </w:p>
        </w:tc>
      </w:tr>
      <w:tr w:rsidR="006633B5" w:rsidRPr="006633B5" w14:paraId="73CEBF8E" w14:textId="77777777" w:rsidTr="006633B5">
        <w:tc>
          <w:tcPr>
            <w:tcW w:w="0" w:type="auto"/>
            <w:shd w:val="clear" w:color="auto" w:fill="auto"/>
          </w:tcPr>
          <w:p w14:paraId="435DE450" w14:textId="77777777" w:rsidR="006633B5" w:rsidRPr="006633B5" w:rsidRDefault="006633B5" w:rsidP="00E10A24">
            <w:pPr>
              <w:pStyle w:val="Tablebody"/>
              <w:spacing w:after="80"/>
              <w:rPr>
                <w:i/>
              </w:rPr>
            </w:pPr>
            <w:r w:rsidRPr="006633B5">
              <w:rPr>
                <w:i/>
              </w:rPr>
              <w:t>V</w:t>
            </w:r>
          </w:p>
        </w:tc>
        <w:tc>
          <w:tcPr>
            <w:tcW w:w="0" w:type="auto"/>
            <w:shd w:val="clear" w:color="auto" w:fill="auto"/>
          </w:tcPr>
          <w:p w14:paraId="040CA2D0" w14:textId="77777777" w:rsidR="006633B5" w:rsidRPr="006633B5" w:rsidRDefault="006633B5" w:rsidP="00E10A24">
            <w:pPr>
              <w:pStyle w:val="Tablebody"/>
              <w:spacing w:after="80"/>
            </w:pPr>
            <w:r w:rsidRPr="006633B5">
              <w:t>shear force</w:t>
            </w:r>
          </w:p>
        </w:tc>
      </w:tr>
      <w:tr w:rsidR="006633B5" w:rsidRPr="006633B5" w14:paraId="33F6CA4F" w14:textId="77777777" w:rsidTr="006633B5">
        <w:tc>
          <w:tcPr>
            <w:tcW w:w="0" w:type="auto"/>
            <w:shd w:val="clear" w:color="auto" w:fill="auto"/>
          </w:tcPr>
          <w:p w14:paraId="5D979B0D" w14:textId="77777777" w:rsidR="006633B5" w:rsidRPr="006633B5" w:rsidRDefault="006633B5" w:rsidP="00E10A24">
            <w:pPr>
              <w:pStyle w:val="Tablebody"/>
              <w:spacing w:after="80"/>
            </w:pPr>
            <w:r w:rsidRPr="006633B5">
              <w:rPr>
                <w:i/>
                <w:iCs/>
              </w:rPr>
              <w:t>V</w:t>
            </w:r>
            <w:r w:rsidRPr="006633B5">
              <w:rPr>
                <w:vertAlign w:val="subscript"/>
              </w:rPr>
              <w:t>Rd,b</w:t>
            </w:r>
          </w:p>
        </w:tc>
        <w:tc>
          <w:tcPr>
            <w:tcW w:w="0" w:type="auto"/>
            <w:shd w:val="clear" w:color="auto" w:fill="auto"/>
          </w:tcPr>
          <w:p w14:paraId="1C24344A" w14:textId="77777777" w:rsidR="006633B5" w:rsidRPr="006633B5" w:rsidRDefault="006633B5" w:rsidP="00E10A24">
            <w:pPr>
              <w:pStyle w:val="Tablebody"/>
              <w:spacing w:after="80"/>
            </w:pPr>
            <w:r w:rsidRPr="006633B5">
              <w:t>design shear resistance of a steel beam cross-section</w:t>
            </w:r>
          </w:p>
        </w:tc>
      </w:tr>
      <w:tr w:rsidR="006633B5" w:rsidRPr="006633B5" w14:paraId="663B5F07" w14:textId="77777777" w:rsidTr="006633B5">
        <w:tc>
          <w:tcPr>
            <w:tcW w:w="0" w:type="auto"/>
            <w:shd w:val="clear" w:color="auto" w:fill="auto"/>
          </w:tcPr>
          <w:p w14:paraId="1DBC00DC" w14:textId="77777777" w:rsidR="006633B5" w:rsidRPr="006633B5" w:rsidRDefault="006633B5" w:rsidP="00E10A24">
            <w:pPr>
              <w:pStyle w:val="Tablebody"/>
              <w:spacing w:after="80"/>
            </w:pPr>
            <w:r w:rsidRPr="006633B5">
              <w:rPr>
                <w:i/>
              </w:rPr>
              <w:t>V</w:t>
            </w:r>
            <w:r w:rsidRPr="006633B5">
              <w:rPr>
                <w:vertAlign w:val="subscript"/>
              </w:rPr>
              <w:t>c</w:t>
            </w:r>
          </w:p>
        </w:tc>
        <w:tc>
          <w:tcPr>
            <w:tcW w:w="0" w:type="auto"/>
            <w:shd w:val="clear" w:color="auto" w:fill="auto"/>
          </w:tcPr>
          <w:p w14:paraId="5079A853" w14:textId="77777777" w:rsidR="006633B5" w:rsidRPr="006633B5" w:rsidRDefault="006633B5" w:rsidP="00E10A24">
            <w:pPr>
              <w:pStyle w:val="Tablebody"/>
              <w:spacing w:after="80"/>
            </w:pPr>
            <w:r w:rsidRPr="006633B5">
              <w:t>shear force applied to a column</w:t>
            </w:r>
          </w:p>
        </w:tc>
      </w:tr>
      <w:tr w:rsidR="006633B5" w:rsidRPr="006633B5" w14:paraId="679CC8D7" w14:textId="77777777" w:rsidTr="006633B5">
        <w:tc>
          <w:tcPr>
            <w:tcW w:w="0" w:type="auto"/>
            <w:shd w:val="clear" w:color="auto" w:fill="auto"/>
          </w:tcPr>
          <w:p w14:paraId="0EB97872" w14:textId="77777777" w:rsidR="006633B5" w:rsidRPr="006633B5" w:rsidRDefault="006633B5" w:rsidP="00E10A24">
            <w:pPr>
              <w:pStyle w:val="Tablebody"/>
              <w:spacing w:after="80"/>
            </w:pPr>
            <w:r w:rsidRPr="006633B5">
              <w:rPr>
                <w:i/>
                <w:iCs/>
              </w:rPr>
              <w:t>V</w:t>
            </w:r>
            <w:r w:rsidRPr="006633B5">
              <w:rPr>
                <w:vertAlign w:val="subscript"/>
              </w:rPr>
              <w:t>Rd,c</w:t>
            </w:r>
          </w:p>
        </w:tc>
        <w:tc>
          <w:tcPr>
            <w:tcW w:w="0" w:type="auto"/>
            <w:shd w:val="clear" w:color="auto" w:fill="auto"/>
          </w:tcPr>
          <w:p w14:paraId="7C4E6C47" w14:textId="77777777" w:rsidR="006633B5" w:rsidRPr="006633B5" w:rsidRDefault="006633B5" w:rsidP="00E10A24">
            <w:pPr>
              <w:pStyle w:val="Tablebody"/>
              <w:spacing w:after="80"/>
            </w:pPr>
            <w:r w:rsidRPr="006633B5">
              <w:t>design shear resistance of a steel column cross-section</w:t>
            </w:r>
          </w:p>
        </w:tc>
      </w:tr>
      <w:tr w:rsidR="006633B5" w:rsidRPr="006633B5" w14:paraId="5FD9D8B5" w14:textId="77777777" w:rsidTr="006633B5">
        <w:tc>
          <w:tcPr>
            <w:tcW w:w="0" w:type="auto"/>
            <w:shd w:val="clear" w:color="auto" w:fill="auto"/>
          </w:tcPr>
          <w:p w14:paraId="04D1D36D" w14:textId="77777777" w:rsidR="006633B5" w:rsidRPr="006633B5" w:rsidRDefault="006633B5" w:rsidP="00E10A24">
            <w:pPr>
              <w:pStyle w:val="Tablebody"/>
              <w:spacing w:after="80"/>
            </w:pPr>
            <w:r w:rsidRPr="006633B5">
              <w:rPr>
                <w:i/>
              </w:rPr>
              <w:t>V’</w:t>
            </w:r>
            <w:r w:rsidRPr="006633B5">
              <w:rPr>
                <w:vertAlign w:val="subscript"/>
              </w:rPr>
              <w:t>Edw</w:t>
            </w:r>
          </w:p>
        </w:tc>
        <w:tc>
          <w:tcPr>
            <w:tcW w:w="0" w:type="auto"/>
            <w:shd w:val="clear" w:color="auto" w:fill="auto"/>
          </w:tcPr>
          <w:p w14:paraId="00A89E9F" w14:textId="77777777" w:rsidR="006633B5" w:rsidRPr="006633B5" w:rsidRDefault="006633B5" w:rsidP="00E10A24">
            <w:pPr>
              <w:pStyle w:val="Tablebody"/>
              <w:spacing w:after="80"/>
            </w:pPr>
            <w:r w:rsidRPr="006633B5">
              <w:t>design shear force of the wall in the seismic design situation as obtained from the analysis</w:t>
            </w:r>
          </w:p>
        </w:tc>
      </w:tr>
      <w:tr w:rsidR="006633B5" w:rsidRPr="006633B5" w14:paraId="56177A72" w14:textId="77777777" w:rsidTr="006633B5">
        <w:tc>
          <w:tcPr>
            <w:tcW w:w="0" w:type="auto"/>
            <w:shd w:val="clear" w:color="auto" w:fill="auto"/>
          </w:tcPr>
          <w:p w14:paraId="435B7245" w14:textId="77777777" w:rsidR="006633B5" w:rsidRPr="006633B5" w:rsidRDefault="006633B5" w:rsidP="00E10A24">
            <w:pPr>
              <w:pStyle w:val="Tablebody"/>
              <w:spacing w:after="80"/>
            </w:pPr>
            <w:r w:rsidRPr="006633B5">
              <w:rPr>
                <w:i/>
              </w:rPr>
              <w:t>V’</w:t>
            </w:r>
            <w:r w:rsidRPr="006633B5">
              <w:rPr>
                <w:vertAlign w:val="subscript"/>
              </w:rPr>
              <w:t>Edw,1</w:t>
            </w:r>
          </w:p>
        </w:tc>
        <w:tc>
          <w:tcPr>
            <w:tcW w:w="0" w:type="auto"/>
            <w:shd w:val="clear" w:color="auto" w:fill="auto"/>
          </w:tcPr>
          <w:p w14:paraId="263B9031" w14:textId="77777777" w:rsidR="006633B5" w:rsidRPr="006633B5" w:rsidRDefault="006633B5" w:rsidP="00E10A24">
            <w:pPr>
              <w:pStyle w:val="Tablebody"/>
              <w:spacing w:after="80"/>
            </w:pPr>
            <w:r w:rsidRPr="006633B5">
              <w:t>design shear force of the wall due to the mode with the largest participating mass, in the direction of analysis of the structure, as obtained from the modal response spectrum analysis</w:t>
            </w:r>
          </w:p>
        </w:tc>
      </w:tr>
      <w:tr w:rsidR="006633B5" w:rsidRPr="006633B5" w14:paraId="2F78D057" w14:textId="77777777" w:rsidTr="006633B5">
        <w:tc>
          <w:tcPr>
            <w:tcW w:w="0" w:type="auto"/>
            <w:shd w:val="clear" w:color="auto" w:fill="auto"/>
          </w:tcPr>
          <w:p w14:paraId="5DC14EAA" w14:textId="77777777" w:rsidR="006633B5" w:rsidRPr="006633B5" w:rsidRDefault="006633B5" w:rsidP="00E10A24">
            <w:pPr>
              <w:pStyle w:val="Tablebody"/>
              <w:spacing w:after="80"/>
              <w:rPr>
                <w:i/>
              </w:rPr>
            </w:pPr>
            <w:r w:rsidRPr="006633B5">
              <w:rPr>
                <w:i/>
              </w:rPr>
              <w:t>V</w:t>
            </w:r>
            <w:r w:rsidRPr="006633B5">
              <w:rPr>
                <w:iCs/>
                <w:vertAlign w:val="subscript"/>
              </w:rPr>
              <w:t>dys</w:t>
            </w:r>
          </w:p>
        </w:tc>
        <w:tc>
          <w:tcPr>
            <w:tcW w:w="0" w:type="auto"/>
            <w:shd w:val="clear" w:color="auto" w:fill="auto"/>
          </w:tcPr>
          <w:p w14:paraId="5BF3B522" w14:textId="77777777" w:rsidR="006633B5" w:rsidRPr="006633B5" w:rsidRDefault="006633B5" w:rsidP="00E10A24">
            <w:pPr>
              <w:pStyle w:val="Tablebody"/>
              <w:spacing w:after="80"/>
            </w:pPr>
            <w:r w:rsidRPr="006633B5">
              <w:rPr>
                <w:i/>
              </w:rPr>
              <w:t>s-</w:t>
            </w:r>
            <w:r w:rsidRPr="006633B5">
              <w:t>th storey yield shear of the energy dissipation system</w:t>
            </w:r>
          </w:p>
        </w:tc>
      </w:tr>
      <w:tr w:rsidR="006633B5" w:rsidRPr="006633B5" w14:paraId="0FDFE270" w14:textId="77777777" w:rsidTr="006633B5">
        <w:tc>
          <w:tcPr>
            <w:tcW w:w="0" w:type="auto"/>
            <w:shd w:val="clear" w:color="auto" w:fill="auto"/>
          </w:tcPr>
          <w:p w14:paraId="48DD5E2A" w14:textId="77777777" w:rsidR="006633B5" w:rsidRPr="006633B5" w:rsidRDefault="006633B5" w:rsidP="00E10A24">
            <w:pPr>
              <w:pStyle w:val="Tablebody"/>
              <w:spacing w:after="80"/>
              <w:rPr>
                <w:vertAlign w:val="subscript"/>
              </w:rPr>
            </w:pPr>
            <w:r w:rsidRPr="006633B5">
              <w:rPr>
                <w:i/>
              </w:rPr>
              <w:t>V</w:t>
            </w:r>
            <w:r w:rsidRPr="006633B5">
              <w:rPr>
                <w:vertAlign w:val="subscript"/>
              </w:rPr>
              <w:t>Ed</w:t>
            </w:r>
          </w:p>
        </w:tc>
        <w:tc>
          <w:tcPr>
            <w:tcW w:w="0" w:type="auto"/>
            <w:shd w:val="clear" w:color="auto" w:fill="auto"/>
          </w:tcPr>
          <w:p w14:paraId="6F7252D0" w14:textId="77777777" w:rsidR="006633B5" w:rsidRPr="006633B5" w:rsidRDefault="006633B5" w:rsidP="00E10A24">
            <w:pPr>
              <w:pStyle w:val="Tablebody"/>
              <w:spacing w:after="80"/>
            </w:pPr>
            <w:r w:rsidRPr="006633B5">
              <w:t>design shear force from the analysis in the seismic design situation</w:t>
            </w:r>
          </w:p>
        </w:tc>
      </w:tr>
      <w:tr w:rsidR="006633B5" w:rsidRPr="006633B5" w14:paraId="7977BE01" w14:textId="77777777" w:rsidTr="006633B5">
        <w:tc>
          <w:tcPr>
            <w:tcW w:w="0" w:type="auto"/>
            <w:shd w:val="clear" w:color="auto" w:fill="auto"/>
          </w:tcPr>
          <w:p w14:paraId="1AFE9352" w14:textId="77777777" w:rsidR="006633B5" w:rsidRPr="006633B5" w:rsidRDefault="006633B5" w:rsidP="00E10A24">
            <w:pPr>
              <w:pStyle w:val="Tablebody"/>
              <w:spacing w:after="80"/>
            </w:pPr>
            <w:r w:rsidRPr="006633B5">
              <w:rPr>
                <w:i/>
                <w:iCs/>
              </w:rPr>
              <w:t>V</w:t>
            </w:r>
            <w:r w:rsidRPr="006633B5">
              <w:rPr>
                <w:vertAlign w:val="subscript"/>
              </w:rPr>
              <w:t>Edcb</w:t>
            </w:r>
          </w:p>
        </w:tc>
        <w:tc>
          <w:tcPr>
            <w:tcW w:w="0" w:type="auto"/>
            <w:shd w:val="clear" w:color="auto" w:fill="auto"/>
          </w:tcPr>
          <w:p w14:paraId="33665FD8" w14:textId="77777777" w:rsidR="006633B5" w:rsidRPr="006633B5" w:rsidRDefault="006633B5" w:rsidP="00E10A24">
            <w:pPr>
              <w:pStyle w:val="Tablebody"/>
              <w:spacing w:after="80"/>
            </w:pPr>
            <w:r w:rsidRPr="006633B5">
              <w:t>shear in the coupling beam calculated from the analysis</w:t>
            </w:r>
          </w:p>
        </w:tc>
      </w:tr>
      <w:tr w:rsidR="006633B5" w:rsidRPr="006633B5" w14:paraId="4CB7A330" w14:textId="77777777" w:rsidTr="006633B5">
        <w:tc>
          <w:tcPr>
            <w:tcW w:w="0" w:type="auto"/>
            <w:shd w:val="clear" w:color="auto" w:fill="auto"/>
          </w:tcPr>
          <w:p w14:paraId="01C112B8" w14:textId="77777777" w:rsidR="006633B5" w:rsidRPr="006633B5" w:rsidRDefault="006633B5" w:rsidP="00E10A24">
            <w:pPr>
              <w:pStyle w:val="Tablebody"/>
              <w:spacing w:after="80"/>
              <w:rPr>
                <w:i/>
                <w:iCs/>
              </w:rPr>
            </w:pPr>
            <w:r w:rsidRPr="006633B5">
              <w:rPr>
                <w:i/>
              </w:rPr>
              <w:t>V</w:t>
            </w:r>
            <w:r w:rsidRPr="006633B5">
              <w:rPr>
                <w:vertAlign w:val="subscript"/>
              </w:rPr>
              <w:t>Ed,E,LLRS,i</w:t>
            </w:r>
          </w:p>
        </w:tc>
        <w:tc>
          <w:tcPr>
            <w:tcW w:w="0" w:type="auto"/>
            <w:shd w:val="clear" w:color="auto" w:fill="auto"/>
          </w:tcPr>
          <w:p w14:paraId="66F7D51D" w14:textId="77777777" w:rsidR="006633B5" w:rsidRPr="006633B5" w:rsidRDefault="006633B5" w:rsidP="00E10A24">
            <w:pPr>
              <w:pStyle w:val="Tablebody"/>
              <w:spacing w:after="80"/>
            </w:pPr>
            <w:r w:rsidRPr="006633B5">
              <w:t xml:space="preserve">design global shear of the </w:t>
            </w:r>
            <w:r w:rsidRPr="006633B5">
              <w:rPr>
                <w:i/>
              </w:rPr>
              <w:t>i</w:t>
            </w:r>
            <w:r w:rsidRPr="006633B5">
              <w:rPr>
                <w:i/>
                <w:vertAlign w:val="superscript"/>
              </w:rPr>
              <w:t>th</w:t>
            </w:r>
            <w:r w:rsidRPr="006633B5">
              <w:t xml:space="preserve"> storey due to the seismic action</w:t>
            </w:r>
          </w:p>
        </w:tc>
      </w:tr>
      <w:tr w:rsidR="006633B5" w:rsidRPr="006633B5" w14:paraId="2F5D33B2" w14:textId="77777777" w:rsidTr="006633B5">
        <w:tc>
          <w:tcPr>
            <w:tcW w:w="0" w:type="auto"/>
            <w:shd w:val="clear" w:color="auto" w:fill="auto"/>
          </w:tcPr>
          <w:p w14:paraId="3BFC3743" w14:textId="77777777" w:rsidR="006633B5" w:rsidRPr="006633B5" w:rsidRDefault="006633B5" w:rsidP="00E10A24">
            <w:pPr>
              <w:pStyle w:val="Tablebody"/>
              <w:spacing w:after="80"/>
            </w:pPr>
            <w:r w:rsidRPr="006633B5">
              <w:rPr>
                <w:i/>
              </w:rPr>
              <w:t>V</w:t>
            </w:r>
            <w:r w:rsidRPr="006633B5">
              <w:rPr>
                <w:vertAlign w:val="subscript"/>
              </w:rPr>
              <w:t>Ed,E,i,j</w:t>
            </w:r>
          </w:p>
        </w:tc>
        <w:tc>
          <w:tcPr>
            <w:tcW w:w="0" w:type="auto"/>
            <w:shd w:val="clear" w:color="auto" w:fill="auto"/>
          </w:tcPr>
          <w:p w14:paraId="55E0E27A" w14:textId="77777777" w:rsidR="006633B5" w:rsidRPr="006633B5" w:rsidRDefault="006633B5" w:rsidP="00E10A24">
            <w:pPr>
              <w:pStyle w:val="Tablebody"/>
              <w:spacing w:after="80"/>
            </w:pPr>
            <w:r w:rsidRPr="006633B5">
              <w:t xml:space="preserve">design global shear of the </w:t>
            </w:r>
            <w:r w:rsidRPr="006633B5">
              <w:rPr>
                <w:i/>
              </w:rPr>
              <w:t>j</w:t>
            </w:r>
            <w:r w:rsidRPr="006633B5">
              <w:rPr>
                <w:i/>
                <w:vertAlign w:val="superscript"/>
              </w:rPr>
              <w:t>th</w:t>
            </w:r>
            <w:r w:rsidRPr="006633B5">
              <w:t xml:space="preserve"> segmented timber shear wall at the </w:t>
            </w:r>
            <w:r w:rsidRPr="006633B5">
              <w:rPr>
                <w:i/>
              </w:rPr>
              <w:t>i</w:t>
            </w:r>
            <w:r w:rsidRPr="006633B5">
              <w:rPr>
                <w:i/>
                <w:vertAlign w:val="superscript"/>
              </w:rPr>
              <w:t>th</w:t>
            </w:r>
            <w:r w:rsidRPr="006633B5">
              <w:t xml:space="preserve"> storey, due to seismic action </w:t>
            </w:r>
          </w:p>
        </w:tc>
      </w:tr>
      <w:tr w:rsidR="006633B5" w:rsidRPr="006633B5" w14:paraId="271B097D" w14:textId="77777777" w:rsidTr="006633B5">
        <w:tc>
          <w:tcPr>
            <w:tcW w:w="0" w:type="auto"/>
            <w:shd w:val="clear" w:color="auto" w:fill="auto"/>
          </w:tcPr>
          <w:p w14:paraId="2594F12F" w14:textId="77777777" w:rsidR="006633B5" w:rsidRPr="006633B5" w:rsidRDefault="006633B5" w:rsidP="00E10A24">
            <w:pPr>
              <w:pStyle w:val="Tablebody"/>
              <w:spacing w:after="80"/>
            </w:pPr>
            <w:r w:rsidRPr="006633B5">
              <w:rPr>
                <w:i/>
                <w:iCs/>
              </w:rPr>
              <w:t>V</w:t>
            </w:r>
            <w:r w:rsidRPr="006633B5">
              <w:rPr>
                <w:vertAlign w:val="subscript"/>
              </w:rPr>
              <w:t>Ed,M</w:t>
            </w:r>
          </w:p>
        </w:tc>
        <w:tc>
          <w:tcPr>
            <w:tcW w:w="0" w:type="auto"/>
            <w:shd w:val="clear" w:color="auto" w:fill="auto"/>
          </w:tcPr>
          <w:p w14:paraId="5DF5506B" w14:textId="77777777" w:rsidR="006633B5" w:rsidRPr="006633B5" w:rsidRDefault="006633B5" w:rsidP="00E10A24">
            <w:pPr>
              <w:pStyle w:val="Tablebody"/>
              <w:spacing w:after="80"/>
              <w:rPr>
                <w:rFonts w:cstheme="minorHAnsi"/>
              </w:rPr>
            </w:pPr>
            <w:r w:rsidRPr="006633B5">
              <w:t>Design shear coherent with plastic hinges present at both ends of a member</w:t>
            </w:r>
          </w:p>
        </w:tc>
      </w:tr>
      <w:tr w:rsidR="006633B5" w:rsidRPr="006633B5" w14:paraId="25F366CC" w14:textId="77777777" w:rsidTr="006633B5">
        <w:tc>
          <w:tcPr>
            <w:tcW w:w="0" w:type="auto"/>
            <w:shd w:val="clear" w:color="auto" w:fill="auto"/>
          </w:tcPr>
          <w:p w14:paraId="5347DA79" w14:textId="77777777" w:rsidR="006633B5" w:rsidRPr="006633B5" w:rsidRDefault="006633B5" w:rsidP="00E10A24">
            <w:pPr>
              <w:pStyle w:val="Tablebody"/>
              <w:spacing w:after="80"/>
            </w:pPr>
            <w:r w:rsidRPr="006633B5">
              <w:rPr>
                <w:i/>
              </w:rPr>
              <w:t>V</w:t>
            </w:r>
            <w:r w:rsidRPr="006633B5">
              <w:rPr>
                <w:vertAlign w:val="subscript"/>
              </w:rPr>
              <w:t>Edw</w:t>
            </w:r>
          </w:p>
        </w:tc>
        <w:tc>
          <w:tcPr>
            <w:tcW w:w="0" w:type="auto"/>
            <w:shd w:val="clear" w:color="auto" w:fill="auto"/>
          </w:tcPr>
          <w:p w14:paraId="06953A8A" w14:textId="77777777" w:rsidR="006633B5" w:rsidRPr="006633B5" w:rsidRDefault="006633B5" w:rsidP="00E10A24">
            <w:pPr>
              <w:pStyle w:val="Tablebody"/>
              <w:spacing w:after="80"/>
            </w:pPr>
            <w:r w:rsidRPr="006633B5">
              <w:t>diagram of magnified shear force applied to the wall</w:t>
            </w:r>
          </w:p>
        </w:tc>
      </w:tr>
      <w:tr w:rsidR="006633B5" w:rsidRPr="006633B5" w14:paraId="2BDACAFA" w14:textId="77777777" w:rsidTr="006633B5">
        <w:tc>
          <w:tcPr>
            <w:tcW w:w="0" w:type="auto"/>
            <w:shd w:val="clear" w:color="auto" w:fill="auto"/>
          </w:tcPr>
          <w:p w14:paraId="05BB6F76" w14:textId="77777777" w:rsidR="006633B5" w:rsidRPr="006633B5" w:rsidRDefault="006633B5" w:rsidP="00E10A24">
            <w:pPr>
              <w:pStyle w:val="Tablebody"/>
              <w:spacing w:after="80"/>
            </w:pPr>
            <w:r w:rsidRPr="006633B5">
              <w:rPr>
                <w:i/>
              </w:rPr>
              <w:t>V</w:t>
            </w:r>
            <w:r w:rsidRPr="006633B5">
              <w:rPr>
                <w:vertAlign w:val="subscript"/>
              </w:rPr>
              <w:t>Edw,base</w:t>
            </w:r>
          </w:p>
        </w:tc>
        <w:tc>
          <w:tcPr>
            <w:tcW w:w="0" w:type="auto"/>
            <w:shd w:val="clear" w:color="auto" w:fill="auto"/>
          </w:tcPr>
          <w:p w14:paraId="02AFC30F" w14:textId="77777777" w:rsidR="006633B5" w:rsidRPr="006633B5" w:rsidRDefault="006633B5" w:rsidP="00E10A24">
            <w:pPr>
              <w:pStyle w:val="Tablebody"/>
              <w:spacing w:after="80"/>
            </w:pPr>
            <w:r w:rsidRPr="006633B5">
              <w:t>design shear at the base of the wall in the seismic design situation (envelope)</w:t>
            </w:r>
          </w:p>
        </w:tc>
      </w:tr>
      <w:tr w:rsidR="006633B5" w:rsidRPr="006633B5" w14:paraId="5B2A305D" w14:textId="77777777" w:rsidTr="006633B5">
        <w:tc>
          <w:tcPr>
            <w:tcW w:w="0" w:type="auto"/>
            <w:shd w:val="clear" w:color="auto" w:fill="auto"/>
          </w:tcPr>
          <w:p w14:paraId="03A998F7" w14:textId="77777777" w:rsidR="006633B5" w:rsidRPr="006633B5" w:rsidRDefault="006633B5" w:rsidP="00E10A24">
            <w:pPr>
              <w:pStyle w:val="Tablebody"/>
              <w:spacing w:after="80"/>
            </w:pPr>
            <w:r w:rsidRPr="006633B5">
              <w:rPr>
                <w:i/>
              </w:rPr>
              <w:t>V</w:t>
            </w:r>
            <w:r w:rsidRPr="006633B5">
              <w:rPr>
                <w:vertAlign w:val="subscript"/>
              </w:rPr>
              <w:t>Edw,env</w:t>
            </w:r>
          </w:p>
        </w:tc>
        <w:tc>
          <w:tcPr>
            <w:tcW w:w="0" w:type="auto"/>
            <w:shd w:val="clear" w:color="auto" w:fill="auto"/>
          </w:tcPr>
          <w:p w14:paraId="1C5DF26E" w14:textId="77777777" w:rsidR="006633B5" w:rsidRPr="006633B5" w:rsidRDefault="006633B5" w:rsidP="00E10A24">
            <w:pPr>
              <w:pStyle w:val="Tablebody"/>
              <w:spacing w:after="80"/>
            </w:pPr>
            <w:r w:rsidRPr="006633B5">
              <w:t>design shear of the wall in the seismic design situation (envelope)</w:t>
            </w:r>
          </w:p>
        </w:tc>
      </w:tr>
      <w:tr w:rsidR="006633B5" w:rsidRPr="006633B5" w14:paraId="2A6718E9" w14:textId="77777777" w:rsidTr="006633B5">
        <w:tc>
          <w:tcPr>
            <w:tcW w:w="0" w:type="auto"/>
            <w:shd w:val="clear" w:color="auto" w:fill="auto"/>
          </w:tcPr>
          <w:p w14:paraId="7C8E47C8" w14:textId="77777777" w:rsidR="006633B5" w:rsidRPr="006633B5" w:rsidRDefault="006633B5" w:rsidP="00E10A24">
            <w:pPr>
              <w:pStyle w:val="Tablebody"/>
              <w:spacing w:after="80"/>
            </w:pPr>
            <w:r w:rsidRPr="006633B5">
              <w:rPr>
                <w:i/>
              </w:rPr>
              <w:t>V</w:t>
            </w:r>
            <w:r w:rsidRPr="006633B5">
              <w:rPr>
                <w:vertAlign w:val="subscript"/>
              </w:rPr>
              <w:t>Edw,top</w:t>
            </w:r>
          </w:p>
        </w:tc>
        <w:tc>
          <w:tcPr>
            <w:tcW w:w="0" w:type="auto"/>
            <w:shd w:val="clear" w:color="auto" w:fill="auto"/>
          </w:tcPr>
          <w:p w14:paraId="7964C85A" w14:textId="77777777" w:rsidR="006633B5" w:rsidRPr="006633B5" w:rsidRDefault="006633B5" w:rsidP="00E10A24">
            <w:pPr>
              <w:pStyle w:val="Tablebody"/>
              <w:spacing w:after="80"/>
            </w:pPr>
            <w:r w:rsidRPr="006633B5">
              <w:t>design shear at the top of the wall in the seismic design situation (envelope)</w:t>
            </w:r>
          </w:p>
        </w:tc>
      </w:tr>
      <w:tr w:rsidR="006633B5" w:rsidRPr="006633B5" w14:paraId="4F2AED8A" w14:textId="77777777" w:rsidTr="006633B5">
        <w:tc>
          <w:tcPr>
            <w:tcW w:w="0" w:type="auto"/>
            <w:shd w:val="clear" w:color="auto" w:fill="auto"/>
          </w:tcPr>
          <w:p w14:paraId="503371FE" w14:textId="77777777" w:rsidR="006633B5" w:rsidRPr="006633B5" w:rsidRDefault="006633B5" w:rsidP="00E10A24">
            <w:pPr>
              <w:pStyle w:val="Tablebody"/>
              <w:spacing w:after="80"/>
            </w:pPr>
            <w:r w:rsidRPr="006633B5">
              <w:rPr>
                <w:i/>
              </w:rPr>
              <w:t>V</w:t>
            </w:r>
            <w:r w:rsidRPr="006633B5">
              <w:rPr>
                <w:iCs/>
                <w:vertAlign w:val="subscript"/>
              </w:rPr>
              <w:t>fD1</w:t>
            </w:r>
          </w:p>
        </w:tc>
        <w:tc>
          <w:tcPr>
            <w:tcW w:w="0" w:type="auto"/>
            <w:shd w:val="clear" w:color="auto" w:fill="auto"/>
          </w:tcPr>
          <w:p w14:paraId="60A904D3" w14:textId="77777777" w:rsidR="006633B5" w:rsidRPr="006633B5" w:rsidRDefault="006633B5" w:rsidP="00E10A24">
            <w:pPr>
              <w:pStyle w:val="Tablebody"/>
              <w:spacing w:after="80"/>
            </w:pPr>
            <w:r w:rsidRPr="006633B5">
              <w:t xml:space="preserve">maximum base shear that can be endured by the primary seismic elements of the main structural system within the linear elastic range </w:t>
            </w:r>
          </w:p>
        </w:tc>
      </w:tr>
      <w:tr w:rsidR="006633B5" w:rsidRPr="006633B5" w14:paraId="6CCCACE6" w14:textId="77777777" w:rsidTr="006633B5">
        <w:tc>
          <w:tcPr>
            <w:tcW w:w="0" w:type="auto"/>
            <w:shd w:val="clear" w:color="auto" w:fill="auto"/>
          </w:tcPr>
          <w:p w14:paraId="3CE7ADA3" w14:textId="77777777" w:rsidR="006633B5" w:rsidRPr="006633B5" w:rsidRDefault="006633B5" w:rsidP="00E10A24">
            <w:pPr>
              <w:pStyle w:val="Tablebody"/>
              <w:spacing w:after="80"/>
              <w:rPr>
                <w:i/>
              </w:rPr>
            </w:pPr>
            <w:r w:rsidRPr="006633B5">
              <w:rPr>
                <w:i/>
              </w:rPr>
              <w:t>V</w:t>
            </w:r>
            <w:r w:rsidRPr="006633B5">
              <w:rPr>
                <w:iCs/>
                <w:vertAlign w:val="subscript"/>
              </w:rPr>
              <w:t>fDs</w:t>
            </w:r>
          </w:p>
        </w:tc>
        <w:tc>
          <w:tcPr>
            <w:tcW w:w="0" w:type="auto"/>
            <w:shd w:val="clear" w:color="auto" w:fill="auto"/>
          </w:tcPr>
          <w:p w14:paraId="1EFD0C46" w14:textId="77777777" w:rsidR="006633B5" w:rsidRPr="006633B5" w:rsidRDefault="006633B5" w:rsidP="00E10A24">
            <w:pPr>
              <w:pStyle w:val="Tablebody"/>
              <w:spacing w:after="80"/>
            </w:pPr>
            <w:r w:rsidRPr="006633B5">
              <w:t xml:space="preserve">maximum shear that can be endured by the primary seismic elements of the main structural system at the </w:t>
            </w:r>
            <w:r w:rsidRPr="006633B5">
              <w:rPr>
                <w:i/>
              </w:rPr>
              <w:t>s</w:t>
            </w:r>
            <w:r w:rsidRPr="006633B5">
              <w:t xml:space="preserve">-th storey within the linear elastic range </w:t>
            </w:r>
          </w:p>
        </w:tc>
      </w:tr>
      <w:tr w:rsidR="006633B5" w:rsidRPr="006633B5" w14:paraId="47C5E296" w14:textId="77777777" w:rsidTr="006633B5">
        <w:tc>
          <w:tcPr>
            <w:tcW w:w="0" w:type="auto"/>
            <w:shd w:val="clear" w:color="auto" w:fill="auto"/>
          </w:tcPr>
          <w:p w14:paraId="0311DABC" w14:textId="77777777" w:rsidR="006633B5" w:rsidRPr="006633B5" w:rsidRDefault="006633B5" w:rsidP="00E10A24">
            <w:pPr>
              <w:pStyle w:val="Tablebody"/>
              <w:spacing w:after="80"/>
              <w:rPr>
                <w:i/>
                <w:vertAlign w:val="subscript"/>
              </w:rPr>
            </w:pPr>
            <w:r w:rsidRPr="006633B5">
              <w:rPr>
                <w:i/>
              </w:rPr>
              <w:t>V</w:t>
            </w:r>
            <w:r w:rsidRPr="006633B5">
              <w:rPr>
                <w:iCs/>
                <w:vertAlign w:val="subscript"/>
              </w:rPr>
              <w:t>fys</w:t>
            </w:r>
          </w:p>
        </w:tc>
        <w:tc>
          <w:tcPr>
            <w:tcW w:w="0" w:type="auto"/>
            <w:shd w:val="clear" w:color="auto" w:fill="auto"/>
          </w:tcPr>
          <w:p w14:paraId="5F01166B" w14:textId="77777777" w:rsidR="006633B5" w:rsidRPr="006633B5" w:rsidRDefault="006633B5" w:rsidP="00E10A24">
            <w:pPr>
              <w:pStyle w:val="Tablebody"/>
              <w:spacing w:after="80"/>
            </w:pPr>
            <w:r w:rsidRPr="006633B5">
              <w:rPr>
                <w:i/>
              </w:rPr>
              <w:t>s</w:t>
            </w:r>
            <w:r w:rsidRPr="006633B5">
              <w:t xml:space="preserve">-th storey yield shear corresponding to the formation of a full plastic mechanism in the primary seismic elements of the main structural system </w:t>
            </w:r>
          </w:p>
        </w:tc>
      </w:tr>
      <w:tr w:rsidR="006633B5" w:rsidRPr="006633B5" w14:paraId="237FA0A9" w14:textId="77777777" w:rsidTr="006633B5">
        <w:tc>
          <w:tcPr>
            <w:tcW w:w="0" w:type="auto"/>
            <w:shd w:val="clear" w:color="auto" w:fill="auto"/>
          </w:tcPr>
          <w:p w14:paraId="0D926B90" w14:textId="77777777" w:rsidR="006633B5" w:rsidRPr="006633B5" w:rsidRDefault="006633B5" w:rsidP="00E10A24">
            <w:pPr>
              <w:pStyle w:val="Tablebody"/>
              <w:spacing w:after="80"/>
            </w:pPr>
            <w:r w:rsidRPr="006633B5">
              <w:rPr>
                <w:i/>
              </w:rPr>
              <w:t>V</w:t>
            </w:r>
            <w:r w:rsidRPr="006633B5">
              <w:rPr>
                <w:vertAlign w:val="subscript"/>
              </w:rPr>
              <w:t>i</w:t>
            </w:r>
          </w:p>
        </w:tc>
        <w:tc>
          <w:tcPr>
            <w:tcW w:w="0" w:type="auto"/>
            <w:shd w:val="clear" w:color="auto" w:fill="auto"/>
          </w:tcPr>
          <w:p w14:paraId="45352956" w14:textId="77777777" w:rsidR="006633B5" w:rsidRPr="006633B5" w:rsidRDefault="006633B5" w:rsidP="00E10A24">
            <w:pPr>
              <w:pStyle w:val="Tablebody"/>
              <w:spacing w:after="80"/>
              <w:rPr>
                <w:szCs w:val="22"/>
              </w:rPr>
            </w:pPr>
            <w:r w:rsidRPr="006633B5">
              <w:t xml:space="preserve">shear force in pier </w:t>
            </w:r>
            <w:r w:rsidRPr="006633B5">
              <w:rPr>
                <w:i/>
                <w:iCs/>
              </w:rPr>
              <w:t>i</w:t>
            </w:r>
          </w:p>
        </w:tc>
      </w:tr>
      <w:tr w:rsidR="006633B5" w:rsidRPr="006633B5" w14:paraId="12F0DA50" w14:textId="77777777" w:rsidTr="006633B5">
        <w:tc>
          <w:tcPr>
            <w:tcW w:w="0" w:type="auto"/>
            <w:shd w:val="clear" w:color="auto" w:fill="auto"/>
          </w:tcPr>
          <w:p w14:paraId="724333C1" w14:textId="77777777" w:rsidR="006633B5" w:rsidRPr="006633B5" w:rsidRDefault="006633B5" w:rsidP="00E10A24">
            <w:pPr>
              <w:pStyle w:val="Tablebody"/>
              <w:spacing w:after="80"/>
            </w:pPr>
            <w:r w:rsidRPr="006633B5">
              <w:rPr>
                <w:i/>
              </w:rPr>
              <w:t>V</w:t>
            </w:r>
            <w:r w:rsidRPr="006633B5">
              <w:rPr>
                <w:vertAlign w:val="subscript"/>
              </w:rPr>
              <w:t>i,d</w:t>
            </w:r>
          </w:p>
        </w:tc>
        <w:tc>
          <w:tcPr>
            <w:tcW w:w="0" w:type="auto"/>
            <w:shd w:val="clear" w:color="auto" w:fill="auto"/>
          </w:tcPr>
          <w:p w14:paraId="17257471" w14:textId="77777777" w:rsidR="006633B5" w:rsidRPr="006633B5" w:rsidRDefault="006633B5" w:rsidP="00E10A24">
            <w:pPr>
              <w:pStyle w:val="Tablebody"/>
              <w:spacing w:after="80"/>
              <w:rPr>
                <w:i/>
                <w:iCs/>
              </w:rPr>
            </w:pPr>
            <w:r w:rsidRPr="006633B5">
              <w:t xml:space="preserve">design shear force at beam or column end </w:t>
            </w:r>
            <w:r w:rsidRPr="006633B5">
              <w:rPr>
                <w:i/>
              </w:rPr>
              <w:t>i</w:t>
            </w:r>
          </w:p>
        </w:tc>
      </w:tr>
      <w:tr w:rsidR="006633B5" w:rsidRPr="006633B5" w14:paraId="2BF249C5" w14:textId="77777777" w:rsidTr="006633B5">
        <w:tc>
          <w:tcPr>
            <w:tcW w:w="0" w:type="auto"/>
            <w:shd w:val="clear" w:color="auto" w:fill="auto"/>
          </w:tcPr>
          <w:p w14:paraId="3CF3D893" w14:textId="77777777" w:rsidR="006633B5" w:rsidRPr="006633B5" w:rsidRDefault="006633B5" w:rsidP="00E10A24">
            <w:pPr>
              <w:pStyle w:val="Tablebody"/>
              <w:spacing w:after="80"/>
            </w:pPr>
            <w:r w:rsidRPr="006633B5">
              <w:rPr>
                <w:i/>
              </w:rPr>
              <w:t>V</w:t>
            </w:r>
            <w:r w:rsidRPr="006633B5">
              <w:rPr>
                <w:vertAlign w:val="subscript"/>
              </w:rPr>
              <w:t>ap,Rd</w:t>
            </w:r>
          </w:p>
        </w:tc>
        <w:tc>
          <w:tcPr>
            <w:tcW w:w="0" w:type="auto"/>
            <w:shd w:val="clear" w:color="auto" w:fill="auto"/>
          </w:tcPr>
          <w:p w14:paraId="71C84B01" w14:textId="77777777" w:rsidR="006633B5" w:rsidRPr="006633B5" w:rsidRDefault="006633B5" w:rsidP="00E10A24">
            <w:pPr>
              <w:pStyle w:val="Tablebody"/>
              <w:spacing w:after="80"/>
            </w:pPr>
            <w:r w:rsidRPr="006633B5">
              <w:t>in-plane design resistance in shear of an infill panel</w:t>
            </w:r>
          </w:p>
        </w:tc>
      </w:tr>
      <w:tr w:rsidR="006633B5" w:rsidRPr="006633B5" w14:paraId="4C2D4435" w14:textId="77777777" w:rsidTr="006633B5">
        <w:tc>
          <w:tcPr>
            <w:tcW w:w="0" w:type="auto"/>
            <w:shd w:val="clear" w:color="auto" w:fill="auto"/>
          </w:tcPr>
          <w:p w14:paraId="0904CD55" w14:textId="77777777" w:rsidR="006633B5" w:rsidRPr="006633B5" w:rsidRDefault="006633B5" w:rsidP="00E10A24">
            <w:pPr>
              <w:pStyle w:val="Tablebody"/>
              <w:spacing w:after="80"/>
            </w:pPr>
            <w:r w:rsidRPr="006633B5">
              <w:rPr>
                <w:i/>
              </w:rPr>
              <w:t>V</w:t>
            </w:r>
            <w:r w:rsidRPr="006633B5">
              <w:rPr>
                <w:vertAlign w:val="subscript"/>
              </w:rPr>
              <w:t>Ed,E,i</w:t>
            </w:r>
          </w:p>
        </w:tc>
        <w:tc>
          <w:tcPr>
            <w:tcW w:w="0" w:type="auto"/>
            <w:shd w:val="clear" w:color="auto" w:fill="auto"/>
          </w:tcPr>
          <w:p w14:paraId="1845E34A" w14:textId="77777777" w:rsidR="006633B5" w:rsidRPr="006633B5" w:rsidRDefault="006633B5" w:rsidP="00E10A24">
            <w:pPr>
              <w:pStyle w:val="Tablebody"/>
              <w:spacing w:after="80"/>
              <w:rPr>
                <w:szCs w:val="22"/>
              </w:rPr>
            </w:pPr>
            <w:r w:rsidRPr="006633B5">
              <w:t xml:space="preserve">total design shear load acting on the shear-wall at the </w:t>
            </w:r>
            <w:r w:rsidRPr="006633B5">
              <w:rPr>
                <w:i/>
              </w:rPr>
              <w:t>i</w:t>
            </w:r>
            <w:r w:rsidRPr="006633B5">
              <w:rPr>
                <w:vertAlign w:val="superscript"/>
              </w:rPr>
              <w:t>th</w:t>
            </w:r>
            <w:r w:rsidRPr="006633B5">
              <w:t xml:space="preserve"> storey due to seismic action </w:t>
            </w:r>
            <w:r w:rsidRPr="006633B5">
              <w:rPr>
                <w:i/>
                <w:iCs/>
              </w:rPr>
              <w:t>V</w:t>
            </w:r>
            <w:r w:rsidRPr="006633B5">
              <w:rPr>
                <w:iCs/>
                <w:vertAlign w:val="subscript"/>
              </w:rPr>
              <w:t>p,Rd</w:t>
            </w:r>
          </w:p>
        </w:tc>
      </w:tr>
      <w:tr w:rsidR="006633B5" w:rsidRPr="006633B5" w14:paraId="5A474A2D" w14:textId="77777777" w:rsidTr="006633B5">
        <w:tc>
          <w:tcPr>
            <w:tcW w:w="0" w:type="auto"/>
            <w:shd w:val="clear" w:color="auto" w:fill="auto"/>
          </w:tcPr>
          <w:p w14:paraId="7F9E732D" w14:textId="77777777" w:rsidR="006633B5" w:rsidRPr="006633B5" w:rsidRDefault="006633B5" w:rsidP="00E10A24">
            <w:pPr>
              <w:pStyle w:val="Tablebody"/>
              <w:spacing w:after="80"/>
            </w:pPr>
            <w:r w:rsidRPr="006633B5">
              <w:rPr>
                <w:i/>
                <w:sz w:val="20"/>
              </w:rPr>
              <w:t>V</w:t>
            </w:r>
            <w:r w:rsidRPr="006633B5">
              <w:rPr>
                <w:sz w:val="20"/>
                <w:vertAlign w:val="subscript"/>
              </w:rPr>
              <w:t>p,link</w:t>
            </w:r>
          </w:p>
        </w:tc>
        <w:tc>
          <w:tcPr>
            <w:tcW w:w="0" w:type="auto"/>
            <w:shd w:val="clear" w:color="auto" w:fill="auto"/>
          </w:tcPr>
          <w:p w14:paraId="7CB581F3" w14:textId="77777777" w:rsidR="006633B5" w:rsidRPr="006633B5" w:rsidRDefault="006633B5" w:rsidP="00E10A24">
            <w:pPr>
              <w:pStyle w:val="Tablebody"/>
              <w:spacing w:after="80"/>
            </w:pPr>
            <w:r w:rsidRPr="006633B5">
              <w:t xml:space="preserve">design </w:t>
            </w:r>
            <w:r w:rsidRPr="006633B5">
              <w:rPr>
                <w:iCs/>
              </w:rPr>
              <w:t>value of shear</w:t>
            </w:r>
            <w:r w:rsidRPr="006633B5">
              <w:t xml:space="preserve"> resistance of a link in eccentrically braced frames</w:t>
            </w:r>
          </w:p>
        </w:tc>
      </w:tr>
      <w:tr w:rsidR="006633B5" w:rsidRPr="006633B5" w14:paraId="5CCC6A57" w14:textId="77777777" w:rsidTr="006633B5">
        <w:tc>
          <w:tcPr>
            <w:tcW w:w="0" w:type="auto"/>
            <w:shd w:val="clear" w:color="auto" w:fill="auto"/>
          </w:tcPr>
          <w:p w14:paraId="7BF586C5" w14:textId="77777777" w:rsidR="006633B5" w:rsidRPr="006633B5" w:rsidRDefault="006633B5" w:rsidP="00E10A24">
            <w:pPr>
              <w:pStyle w:val="Tablebody"/>
              <w:spacing w:after="80"/>
              <w:rPr>
                <w:vertAlign w:val="subscript"/>
              </w:rPr>
            </w:pPr>
            <w:r w:rsidRPr="006633B5">
              <w:rPr>
                <w:i/>
              </w:rPr>
              <w:t>V</w:t>
            </w:r>
            <w:r w:rsidRPr="006633B5">
              <w:rPr>
                <w:iCs/>
                <w:vertAlign w:val="subscript"/>
              </w:rPr>
              <w:t>pl,Rd</w:t>
            </w:r>
          </w:p>
        </w:tc>
        <w:tc>
          <w:tcPr>
            <w:tcW w:w="0" w:type="auto"/>
            <w:shd w:val="clear" w:color="auto" w:fill="auto"/>
          </w:tcPr>
          <w:p w14:paraId="15403F63" w14:textId="77777777" w:rsidR="006633B5" w:rsidRPr="006633B5" w:rsidRDefault="006633B5" w:rsidP="00E10A24">
            <w:pPr>
              <w:pStyle w:val="Tablebody"/>
              <w:spacing w:after="80"/>
            </w:pPr>
            <w:r w:rsidRPr="006633B5">
              <w:t xml:space="preserve">design </w:t>
            </w:r>
            <w:r w:rsidRPr="006633B5">
              <w:rPr>
                <w:iCs/>
              </w:rPr>
              <w:t>value of shear</w:t>
            </w:r>
            <w:r w:rsidRPr="006633B5">
              <w:t xml:space="preserve"> resistance of a steel member</w:t>
            </w:r>
          </w:p>
        </w:tc>
      </w:tr>
      <w:tr w:rsidR="006633B5" w:rsidRPr="006633B5" w14:paraId="2BADDC22" w14:textId="77777777" w:rsidTr="006633B5">
        <w:tc>
          <w:tcPr>
            <w:tcW w:w="0" w:type="auto"/>
            <w:shd w:val="clear" w:color="auto" w:fill="auto"/>
          </w:tcPr>
          <w:p w14:paraId="29188058" w14:textId="77777777" w:rsidR="006633B5" w:rsidRPr="006633B5" w:rsidRDefault="006633B5" w:rsidP="00E10A24">
            <w:pPr>
              <w:pStyle w:val="Tablebody"/>
              <w:spacing w:after="80"/>
            </w:pPr>
            <w:r w:rsidRPr="006633B5">
              <w:rPr>
                <w:i/>
              </w:rPr>
              <w:lastRenderedPageBreak/>
              <w:t>V</w:t>
            </w:r>
            <w:r w:rsidRPr="006633B5">
              <w:rPr>
                <w:vertAlign w:val="subscript"/>
              </w:rPr>
              <w:t>Rd</w:t>
            </w:r>
          </w:p>
        </w:tc>
        <w:tc>
          <w:tcPr>
            <w:tcW w:w="0" w:type="auto"/>
            <w:shd w:val="clear" w:color="auto" w:fill="auto"/>
          </w:tcPr>
          <w:p w14:paraId="2C0089A9" w14:textId="77777777" w:rsidR="006633B5" w:rsidRPr="006633B5" w:rsidRDefault="006633B5" w:rsidP="00E10A24">
            <w:pPr>
              <w:pStyle w:val="Tablebody"/>
              <w:spacing w:after="80"/>
            </w:pPr>
            <w:r w:rsidRPr="006633B5">
              <w:t>design shear resistance</w:t>
            </w:r>
          </w:p>
        </w:tc>
      </w:tr>
      <w:tr w:rsidR="006633B5" w:rsidRPr="006633B5" w14:paraId="40556AF5" w14:textId="77777777" w:rsidTr="006633B5">
        <w:tc>
          <w:tcPr>
            <w:tcW w:w="0" w:type="auto"/>
            <w:shd w:val="clear" w:color="auto" w:fill="auto"/>
          </w:tcPr>
          <w:p w14:paraId="47E2BF9F" w14:textId="77777777" w:rsidR="006633B5" w:rsidRPr="006633B5" w:rsidRDefault="006633B5" w:rsidP="00E10A24">
            <w:pPr>
              <w:pStyle w:val="Tablebody"/>
              <w:spacing w:after="80"/>
            </w:pPr>
            <w:r w:rsidRPr="006633B5">
              <w:rPr>
                <w:i/>
              </w:rPr>
              <w:t>V</w:t>
            </w:r>
            <w:r w:rsidRPr="006633B5">
              <w:rPr>
                <w:vertAlign w:val="subscript"/>
              </w:rPr>
              <w:t>Rd,a,i,j</w:t>
            </w:r>
          </w:p>
        </w:tc>
        <w:tc>
          <w:tcPr>
            <w:tcW w:w="0" w:type="auto"/>
            <w:shd w:val="clear" w:color="auto" w:fill="auto"/>
          </w:tcPr>
          <w:p w14:paraId="60DE043C" w14:textId="77777777" w:rsidR="006633B5" w:rsidRPr="006633B5" w:rsidRDefault="006633B5" w:rsidP="00E10A24">
            <w:pPr>
              <w:pStyle w:val="Tablebody"/>
              <w:spacing w:after="80"/>
            </w:pPr>
            <w:r w:rsidRPr="006633B5">
              <w:t xml:space="preserve">design lateral strength related to shear connections of the </w:t>
            </w:r>
            <w:r w:rsidRPr="006633B5">
              <w:rPr>
                <w:i/>
              </w:rPr>
              <w:t>j</w:t>
            </w:r>
            <w:r w:rsidRPr="006633B5">
              <w:rPr>
                <w:i/>
                <w:vertAlign w:val="superscript"/>
              </w:rPr>
              <w:t>th</w:t>
            </w:r>
            <w:r w:rsidRPr="006633B5">
              <w:t xml:space="preserve"> segmented timber shear wall at the </w:t>
            </w:r>
            <w:r w:rsidRPr="006633B5">
              <w:rPr>
                <w:i/>
              </w:rPr>
              <w:t>i</w:t>
            </w:r>
            <w:r w:rsidRPr="006633B5">
              <w:rPr>
                <w:i/>
                <w:vertAlign w:val="superscript"/>
              </w:rPr>
              <w:t>th</w:t>
            </w:r>
            <w:r w:rsidRPr="006633B5">
              <w:t xml:space="preserve"> storey </w:t>
            </w:r>
          </w:p>
        </w:tc>
      </w:tr>
      <w:tr w:rsidR="006633B5" w:rsidRPr="006633B5" w14:paraId="18E3028B" w14:textId="77777777" w:rsidTr="006633B5">
        <w:tc>
          <w:tcPr>
            <w:tcW w:w="0" w:type="auto"/>
            <w:shd w:val="clear" w:color="auto" w:fill="auto"/>
          </w:tcPr>
          <w:p w14:paraId="27F507D5" w14:textId="77777777" w:rsidR="006633B5" w:rsidRPr="006633B5" w:rsidRDefault="006633B5" w:rsidP="00E10A24">
            <w:pPr>
              <w:pStyle w:val="Tablebody"/>
              <w:spacing w:after="80"/>
            </w:pPr>
            <w:r w:rsidRPr="006633B5">
              <w:rPr>
                <w:i/>
              </w:rPr>
              <w:t>V</w:t>
            </w:r>
            <w:r w:rsidRPr="006633B5">
              <w:rPr>
                <w:vertAlign w:val="subscript"/>
              </w:rPr>
              <w:t>Rd,c</w:t>
            </w:r>
          </w:p>
        </w:tc>
        <w:tc>
          <w:tcPr>
            <w:tcW w:w="0" w:type="auto"/>
            <w:shd w:val="clear" w:color="auto" w:fill="auto"/>
          </w:tcPr>
          <w:p w14:paraId="7E3A2D26" w14:textId="77777777" w:rsidR="006633B5" w:rsidRPr="006633B5" w:rsidRDefault="006633B5" w:rsidP="00E10A24">
            <w:pPr>
              <w:pStyle w:val="Tablebody"/>
              <w:spacing w:after="80"/>
            </w:pPr>
            <w:r w:rsidRPr="006633B5">
              <w:t>design shear resistance of concrete without shear reinforcement</w:t>
            </w:r>
          </w:p>
        </w:tc>
      </w:tr>
      <w:tr w:rsidR="006633B5" w:rsidRPr="006633B5" w14:paraId="45B96F82" w14:textId="77777777" w:rsidTr="006633B5">
        <w:tc>
          <w:tcPr>
            <w:tcW w:w="0" w:type="auto"/>
            <w:shd w:val="clear" w:color="auto" w:fill="auto"/>
          </w:tcPr>
          <w:p w14:paraId="57E54C29" w14:textId="77777777" w:rsidR="006633B5" w:rsidRPr="006633B5" w:rsidRDefault="006633B5" w:rsidP="00E10A24">
            <w:pPr>
              <w:pStyle w:val="Tablebody"/>
              <w:spacing w:after="80"/>
              <w:rPr>
                <w:i/>
              </w:rPr>
            </w:pPr>
            <w:r w:rsidRPr="006633B5">
              <w:rPr>
                <w:i/>
              </w:rPr>
              <w:t>V</w:t>
            </w:r>
            <w:r w:rsidRPr="006633B5">
              <w:rPr>
                <w:vertAlign w:val="subscript"/>
              </w:rPr>
              <w:t>Rd,LLRS,i</w:t>
            </w:r>
          </w:p>
        </w:tc>
        <w:tc>
          <w:tcPr>
            <w:tcW w:w="0" w:type="auto"/>
            <w:shd w:val="clear" w:color="auto" w:fill="auto"/>
          </w:tcPr>
          <w:p w14:paraId="12A7AD8B" w14:textId="77777777" w:rsidR="006633B5" w:rsidRPr="006633B5" w:rsidRDefault="006633B5" w:rsidP="00E10A24">
            <w:pPr>
              <w:pStyle w:val="Tablebody"/>
              <w:spacing w:after="80"/>
            </w:pPr>
            <w:r w:rsidRPr="006633B5">
              <w:rPr>
                <w:lang w:val="en-US"/>
              </w:rPr>
              <w:t xml:space="preserve">design lateral strength of the primary structure at the </w:t>
            </w:r>
            <w:r w:rsidRPr="006633B5">
              <w:rPr>
                <w:i/>
                <w:lang w:val="en-US"/>
              </w:rPr>
              <w:t>i</w:t>
            </w:r>
            <w:r w:rsidRPr="006633B5">
              <w:rPr>
                <w:i/>
                <w:vertAlign w:val="superscript"/>
                <w:lang w:val="en-US"/>
              </w:rPr>
              <w:t>th</w:t>
            </w:r>
            <w:r w:rsidRPr="006633B5">
              <w:rPr>
                <w:lang w:val="en-US"/>
              </w:rPr>
              <w:t xml:space="preserve"> storey</w:t>
            </w:r>
          </w:p>
        </w:tc>
      </w:tr>
      <w:tr w:rsidR="006633B5" w:rsidRPr="006633B5" w14:paraId="1F9E6FE1" w14:textId="77777777" w:rsidTr="006633B5">
        <w:tc>
          <w:tcPr>
            <w:tcW w:w="0" w:type="auto"/>
            <w:shd w:val="clear" w:color="auto" w:fill="auto"/>
          </w:tcPr>
          <w:p w14:paraId="75F7A909" w14:textId="77777777" w:rsidR="006633B5" w:rsidRPr="006633B5" w:rsidRDefault="006633B5" w:rsidP="00E10A24">
            <w:pPr>
              <w:pStyle w:val="Tablebody"/>
              <w:spacing w:after="80"/>
            </w:pPr>
            <w:r w:rsidRPr="006633B5">
              <w:rPr>
                <w:i/>
              </w:rPr>
              <w:t>V</w:t>
            </w:r>
            <w:r w:rsidRPr="006633B5">
              <w:rPr>
                <w:vertAlign w:val="subscript"/>
              </w:rPr>
              <w:t>Rd,int</w:t>
            </w:r>
          </w:p>
        </w:tc>
        <w:tc>
          <w:tcPr>
            <w:tcW w:w="0" w:type="auto"/>
            <w:shd w:val="clear" w:color="auto" w:fill="auto"/>
          </w:tcPr>
          <w:p w14:paraId="391CC42B" w14:textId="77777777" w:rsidR="006633B5" w:rsidRPr="006633B5" w:rsidRDefault="006633B5" w:rsidP="00E10A24">
            <w:pPr>
              <w:pStyle w:val="Tablebody"/>
              <w:spacing w:after="80"/>
            </w:pPr>
            <w:r w:rsidRPr="006633B5">
              <w:t xml:space="preserve">resistance of the integrity reinforcement in the flat slab </w:t>
            </w:r>
          </w:p>
        </w:tc>
      </w:tr>
      <w:tr w:rsidR="006633B5" w:rsidRPr="006633B5" w14:paraId="301ABEBB" w14:textId="77777777" w:rsidTr="006633B5">
        <w:tc>
          <w:tcPr>
            <w:tcW w:w="0" w:type="auto"/>
            <w:shd w:val="clear" w:color="auto" w:fill="auto"/>
          </w:tcPr>
          <w:p w14:paraId="1C36BE71" w14:textId="77777777" w:rsidR="006633B5" w:rsidRPr="006633B5" w:rsidRDefault="006633B5" w:rsidP="00E10A24">
            <w:pPr>
              <w:pStyle w:val="Tablebody"/>
              <w:spacing w:after="80"/>
            </w:pPr>
            <w:r w:rsidRPr="006633B5">
              <w:rPr>
                <w:i/>
              </w:rPr>
              <w:t>V</w:t>
            </w:r>
            <w:r w:rsidRPr="006633B5">
              <w:rPr>
                <w:vertAlign w:val="subscript"/>
              </w:rPr>
              <w:t>R,peak</w:t>
            </w:r>
          </w:p>
        </w:tc>
        <w:tc>
          <w:tcPr>
            <w:tcW w:w="0" w:type="auto"/>
            <w:shd w:val="clear" w:color="auto" w:fill="auto"/>
          </w:tcPr>
          <w:p w14:paraId="7B34B543" w14:textId="77777777" w:rsidR="006633B5" w:rsidRPr="006633B5" w:rsidRDefault="006633B5" w:rsidP="00E10A24">
            <w:pPr>
              <w:pStyle w:val="Tablebody"/>
              <w:spacing w:after="80"/>
            </w:pPr>
            <w:r w:rsidRPr="006633B5">
              <w:t>peak shear strength of an unreinforced masonry spandrel</w:t>
            </w:r>
          </w:p>
        </w:tc>
      </w:tr>
      <w:tr w:rsidR="006633B5" w:rsidRPr="006633B5" w14:paraId="494F3AA4" w14:textId="77777777" w:rsidTr="006633B5">
        <w:tc>
          <w:tcPr>
            <w:tcW w:w="0" w:type="auto"/>
            <w:shd w:val="clear" w:color="auto" w:fill="auto"/>
          </w:tcPr>
          <w:p w14:paraId="0D13DB49" w14:textId="77777777" w:rsidR="006633B5" w:rsidRPr="006633B5" w:rsidRDefault="006633B5" w:rsidP="00E10A24">
            <w:pPr>
              <w:pStyle w:val="Tablebody"/>
              <w:spacing w:after="80"/>
            </w:pPr>
            <w:r w:rsidRPr="006633B5">
              <w:rPr>
                <w:i/>
              </w:rPr>
              <w:t>V</w:t>
            </w:r>
            <w:r w:rsidRPr="006633B5">
              <w:rPr>
                <w:vertAlign w:val="subscript"/>
              </w:rPr>
              <w:t>R,lim</w:t>
            </w:r>
          </w:p>
        </w:tc>
        <w:tc>
          <w:tcPr>
            <w:tcW w:w="0" w:type="auto"/>
            <w:shd w:val="clear" w:color="auto" w:fill="auto"/>
          </w:tcPr>
          <w:p w14:paraId="4DD040B5" w14:textId="77777777" w:rsidR="006633B5" w:rsidRPr="006633B5" w:rsidRDefault="006633B5" w:rsidP="00E10A24">
            <w:pPr>
              <w:pStyle w:val="Tablebody"/>
              <w:spacing w:after="80"/>
            </w:pPr>
            <w:r w:rsidRPr="006633B5">
              <w:t xml:space="preserve">absolute maximum value of the peak shear strength </w:t>
            </w:r>
            <w:r w:rsidRPr="006633B5">
              <w:rPr>
                <w:i/>
              </w:rPr>
              <w:t>V</w:t>
            </w:r>
            <w:r w:rsidRPr="006633B5">
              <w:rPr>
                <w:vertAlign w:val="subscript"/>
              </w:rPr>
              <w:t>R,peak</w:t>
            </w:r>
          </w:p>
        </w:tc>
      </w:tr>
      <w:tr w:rsidR="006633B5" w:rsidRPr="006633B5" w14:paraId="702C7E7B" w14:textId="77777777" w:rsidTr="006633B5">
        <w:tc>
          <w:tcPr>
            <w:tcW w:w="0" w:type="auto"/>
            <w:shd w:val="clear" w:color="auto" w:fill="auto"/>
          </w:tcPr>
          <w:p w14:paraId="7F898C14" w14:textId="77777777" w:rsidR="006633B5" w:rsidRPr="006633B5" w:rsidRDefault="006633B5" w:rsidP="00E10A24">
            <w:pPr>
              <w:pStyle w:val="Tablebody"/>
              <w:spacing w:after="80"/>
            </w:pPr>
            <w:r w:rsidRPr="006633B5">
              <w:rPr>
                <w:i/>
              </w:rPr>
              <w:t>V</w:t>
            </w:r>
            <w:r w:rsidRPr="006633B5">
              <w:rPr>
                <w:vertAlign w:val="subscript"/>
              </w:rPr>
              <w:t>Rd,MRF</w:t>
            </w:r>
          </w:p>
        </w:tc>
        <w:tc>
          <w:tcPr>
            <w:tcW w:w="0" w:type="auto"/>
            <w:shd w:val="clear" w:color="auto" w:fill="auto"/>
          </w:tcPr>
          <w:p w14:paraId="5ACFC7B0" w14:textId="77777777" w:rsidR="006633B5" w:rsidRPr="006633B5" w:rsidRDefault="006633B5" w:rsidP="00E10A24">
            <w:pPr>
              <w:pStyle w:val="Tablebody"/>
              <w:spacing w:after="80"/>
            </w:pPr>
            <w:r w:rsidRPr="006633B5">
              <w:t>shear resistance of the moment resisting frames at the building base</w:t>
            </w:r>
          </w:p>
        </w:tc>
      </w:tr>
      <w:tr w:rsidR="006633B5" w:rsidRPr="006633B5" w14:paraId="7DC7BA44" w14:textId="77777777" w:rsidTr="006633B5">
        <w:tc>
          <w:tcPr>
            <w:tcW w:w="0" w:type="auto"/>
            <w:shd w:val="clear" w:color="auto" w:fill="auto"/>
          </w:tcPr>
          <w:p w14:paraId="75FD22D3" w14:textId="77777777" w:rsidR="006633B5" w:rsidRPr="006633B5" w:rsidRDefault="006633B5" w:rsidP="00E10A24">
            <w:pPr>
              <w:pStyle w:val="Tablebody"/>
              <w:spacing w:after="80"/>
            </w:pPr>
            <w:r w:rsidRPr="006633B5">
              <w:rPr>
                <w:i/>
              </w:rPr>
              <w:t>V</w:t>
            </w:r>
            <w:r w:rsidRPr="006633B5">
              <w:rPr>
                <w:vertAlign w:val="subscript"/>
              </w:rPr>
              <w:t>Rd,sh,i,j</w:t>
            </w:r>
          </w:p>
        </w:tc>
        <w:tc>
          <w:tcPr>
            <w:tcW w:w="0" w:type="auto"/>
            <w:shd w:val="clear" w:color="auto" w:fill="auto"/>
          </w:tcPr>
          <w:p w14:paraId="0B2DF975" w14:textId="77777777" w:rsidR="006633B5" w:rsidRPr="006633B5" w:rsidRDefault="006633B5" w:rsidP="00E10A24">
            <w:pPr>
              <w:pStyle w:val="Tablebody"/>
              <w:spacing w:after="80"/>
            </w:pPr>
            <w:r w:rsidRPr="006633B5">
              <w:t xml:space="preserve">design lateral strength related to connections between sheathing material and timber frame of the </w:t>
            </w:r>
            <w:r w:rsidRPr="006633B5">
              <w:rPr>
                <w:i/>
              </w:rPr>
              <w:t>j</w:t>
            </w:r>
            <w:r w:rsidRPr="006633B5">
              <w:rPr>
                <w:i/>
                <w:vertAlign w:val="superscript"/>
              </w:rPr>
              <w:t>th</w:t>
            </w:r>
            <w:r w:rsidRPr="006633B5">
              <w:t xml:space="preserve"> shear wall at the </w:t>
            </w:r>
            <w:r w:rsidRPr="006633B5">
              <w:rPr>
                <w:i/>
              </w:rPr>
              <w:t>i</w:t>
            </w:r>
            <w:r w:rsidRPr="006633B5">
              <w:rPr>
                <w:i/>
                <w:vertAlign w:val="superscript"/>
              </w:rPr>
              <w:t>th</w:t>
            </w:r>
            <w:r w:rsidRPr="006633B5">
              <w:t xml:space="preserve"> storey</w:t>
            </w:r>
          </w:p>
        </w:tc>
      </w:tr>
      <w:tr w:rsidR="006633B5" w:rsidRPr="006633B5" w14:paraId="09356177" w14:textId="77777777" w:rsidTr="006633B5">
        <w:tc>
          <w:tcPr>
            <w:tcW w:w="0" w:type="auto"/>
            <w:shd w:val="clear" w:color="auto" w:fill="auto"/>
          </w:tcPr>
          <w:p w14:paraId="7241CED1" w14:textId="77777777" w:rsidR="006633B5" w:rsidRPr="006633B5" w:rsidRDefault="006633B5" w:rsidP="00E10A24">
            <w:pPr>
              <w:pStyle w:val="Tablebody"/>
              <w:spacing w:after="80"/>
            </w:pPr>
            <w:r w:rsidRPr="006633B5">
              <w:rPr>
                <w:i/>
              </w:rPr>
              <w:t>V</w:t>
            </w:r>
            <w:r w:rsidRPr="006633B5">
              <w:rPr>
                <w:vertAlign w:val="subscript"/>
              </w:rPr>
              <w:t>Rd,total</w:t>
            </w:r>
          </w:p>
        </w:tc>
        <w:tc>
          <w:tcPr>
            <w:tcW w:w="0" w:type="auto"/>
            <w:shd w:val="clear" w:color="auto" w:fill="auto"/>
          </w:tcPr>
          <w:p w14:paraId="61A81B8A" w14:textId="77777777" w:rsidR="006633B5" w:rsidRPr="006633B5" w:rsidRDefault="006633B5" w:rsidP="00E10A24">
            <w:pPr>
              <w:pStyle w:val="Tablebody"/>
              <w:spacing w:after="80"/>
            </w:pPr>
            <w:r w:rsidRPr="006633B5">
              <w:t>shear resistance of the whole structure at the building base</w:t>
            </w:r>
          </w:p>
        </w:tc>
      </w:tr>
      <w:tr w:rsidR="006633B5" w:rsidRPr="006633B5" w14:paraId="592152D9" w14:textId="77777777" w:rsidTr="006633B5">
        <w:tc>
          <w:tcPr>
            <w:tcW w:w="0" w:type="auto"/>
            <w:shd w:val="clear" w:color="auto" w:fill="auto"/>
          </w:tcPr>
          <w:p w14:paraId="5FE8CE06" w14:textId="77777777" w:rsidR="006633B5" w:rsidRPr="006633B5" w:rsidRDefault="006633B5" w:rsidP="00E10A24">
            <w:pPr>
              <w:pStyle w:val="Tablebody"/>
              <w:spacing w:after="80"/>
            </w:pPr>
            <w:r w:rsidRPr="006633B5">
              <w:rPr>
                <w:i/>
              </w:rPr>
              <w:t>V</w:t>
            </w:r>
            <w:r w:rsidRPr="006633B5">
              <w:rPr>
                <w:vertAlign w:val="subscript"/>
              </w:rPr>
              <w:t>Rd,walls</w:t>
            </w:r>
          </w:p>
        </w:tc>
        <w:tc>
          <w:tcPr>
            <w:tcW w:w="0" w:type="auto"/>
            <w:shd w:val="clear" w:color="auto" w:fill="auto"/>
          </w:tcPr>
          <w:p w14:paraId="01349413" w14:textId="77777777" w:rsidR="006633B5" w:rsidRPr="006633B5" w:rsidRDefault="006633B5" w:rsidP="00E10A24">
            <w:pPr>
              <w:pStyle w:val="Tablebody"/>
              <w:spacing w:after="80"/>
            </w:pPr>
            <w:r w:rsidRPr="006633B5">
              <w:t>shear resistance of the walls at the building base</w:t>
            </w:r>
          </w:p>
        </w:tc>
      </w:tr>
      <w:tr w:rsidR="006633B5" w:rsidRPr="006633B5" w14:paraId="5520B879" w14:textId="77777777" w:rsidTr="006633B5">
        <w:tc>
          <w:tcPr>
            <w:tcW w:w="0" w:type="auto"/>
            <w:shd w:val="clear" w:color="auto" w:fill="auto"/>
          </w:tcPr>
          <w:p w14:paraId="6E7446A4" w14:textId="77777777" w:rsidR="006633B5" w:rsidRPr="006633B5" w:rsidRDefault="006633B5" w:rsidP="00E10A24">
            <w:pPr>
              <w:pStyle w:val="Tablebody"/>
              <w:spacing w:after="80"/>
              <w:rPr>
                <w:iCs/>
                <w:vertAlign w:val="subscript"/>
              </w:rPr>
            </w:pPr>
            <w:r w:rsidRPr="006633B5">
              <w:rPr>
                <w:i/>
              </w:rPr>
              <w:t>V</w:t>
            </w:r>
            <w:r w:rsidRPr="006633B5">
              <w:rPr>
                <w:iCs/>
                <w:vertAlign w:val="subscript"/>
              </w:rPr>
              <w:t>s,SD</w:t>
            </w:r>
          </w:p>
        </w:tc>
        <w:tc>
          <w:tcPr>
            <w:tcW w:w="0" w:type="auto"/>
            <w:shd w:val="clear" w:color="auto" w:fill="auto"/>
          </w:tcPr>
          <w:p w14:paraId="7DC6F7E3" w14:textId="77777777" w:rsidR="006633B5" w:rsidRPr="006633B5" w:rsidRDefault="006633B5" w:rsidP="00E10A24">
            <w:pPr>
              <w:pStyle w:val="Tablebody"/>
              <w:spacing w:after="80"/>
            </w:pPr>
            <w:r w:rsidRPr="006633B5">
              <w:t>total storey shear</w:t>
            </w:r>
            <w:r w:rsidRPr="006633B5">
              <w:rPr>
                <w:iCs/>
              </w:rPr>
              <w:t xml:space="preserve"> at SD limit state</w:t>
            </w:r>
            <w:r w:rsidRPr="006633B5">
              <w:t xml:space="preserve"> calculated from the analysis </w:t>
            </w:r>
            <w:r w:rsidRPr="006633B5">
              <w:rPr>
                <w:bCs/>
              </w:rPr>
              <w:t>for the displacement-based approach</w:t>
            </w:r>
          </w:p>
        </w:tc>
      </w:tr>
      <w:tr w:rsidR="006633B5" w:rsidRPr="006633B5" w14:paraId="4527E85D" w14:textId="77777777" w:rsidTr="006633B5">
        <w:tc>
          <w:tcPr>
            <w:tcW w:w="0" w:type="auto"/>
            <w:shd w:val="clear" w:color="auto" w:fill="auto"/>
          </w:tcPr>
          <w:p w14:paraId="6351E148" w14:textId="77777777" w:rsidR="006633B5" w:rsidRPr="006633B5" w:rsidRDefault="006633B5" w:rsidP="00E10A24">
            <w:pPr>
              <w:pStyle w:val="Tablebody"/>
              <w:spacing w:after="80"/>
            </w:pPr>
            <w:r w:rsidRPr="006633B5">
              <w:rPr>
                <w:i/>
              </w:rPr>
              <w:t>V</w:t>
            </w:r>
            <w:r w:rsidRPr="006633B5">
              <w:rPr>
                <w:vertAlign w:val="subscript"/>
              </w:rPr>
              <w:t>storey</w:t>
            </w:r>
          </w:p>
        </w:tc>
        <w:tc>
          <w:tcPr>
            <w:tcW w:w="0" w:type="auto"/>
            <w:shd w:val="clear" w:color="auto" w:fill="auto"/>
          </w:tcPr>
          <w:p w14:paraId="573C7380" w14:textId="77777777" w:rsidR="006633B5" w:rsidRPr="006633B5" w:rsidRDefault="006633B5" w:rsidP="00E10A24">
            <w:pPr>
              <w:pStyle w:val="Tablebody"/>
              <w:spacing w:after="80"/>
            </w:pPr>
            <w:r w:rsidRPr="006633B5">
              <w:t>storey shear action effect</w:t>
            </w:r>
          </w:p>
        </w:tc>
      </w:tr>
      <w:tr w:rsidR="006633B5" w:rsidRPr="006633B5" w14:paraId="1035E407" w14:textId="77777777" w:rsidTr="006633B5">
        <w:tc>
          <w:tcPr>
            <w:tcW w:w="0" w:type="auto"/>
            <w:shd w:val="clear" w:color="auto" w:fill="auto"/>
          </w:tcPr>
          <w:p w14:paraId="270A2316" w14:textId="77777777" w:rsidR="006633B5" w:rsidRPr="006633B5" w:rsidRDefault="006633B5" w:rsidP="00E10A24">
            <w:pPr>
              <w:pStyle w:val="Tablebody"/>
              <w:spacing w:after="80"/>
              <w:rPr>
                <w:szCs w:val="22"/>
              </w:rPr>
            </w:pPr>
            <w:r w:rsidRPr="006633B5">
              <w:rPr>
                <w:i/>
                <w:szCs w:val="22"/>
              </w:rPr>
              <w:t>V</w:t>
            </w:r>
            <w:r w:rsidRPr="006633B5">
              <w:rPr>
                <w:iCs/>
                <w:szCs w:val="22"/>
                <w:vertAlign w:val="subscript"/>
              </w:rPr>
              <w:t>tot</w:t>
            </w:r>
          </w:p>
        </w:tc>
        <w:tc>
          <w:tcPr>
            <w:tcW w:w="0" w:type="auto"/>
            <w:shd w:val="clear" w:color="auto" w:fill="auto"/>
          </w:tcPr>
          <w:p w14:paraId="4AF0BAAA" w14:textId="77777777" w:rsidR="006633B5" w:rsidRPr="006633B5" w:rsidRDefault="006633B5" w:rsidP="00E10A24">
            <w:pPr>
              <w:pStyle w:val="Tablebody"/>
              <w:spacing w:after="80"/>
            </w:pPr>
            <w:r w:rsidRPr="006633B5">
              <w:t>total shear at a given storey in the seismic design situation</w:t>
            </w:r>
          </w:p>
        </w:tc>
      </w:tr>
      <w:tr w:rsidR="006633B5" w:rsidRPr="006633B5" w14:paraId="6672AB54" w14:textId="77777777" w:rsidTr="006633B5">
        <w:tc>
          <w:tcPr>
            <w:tcW w:w="0" w:type="auto"/>
            <w:shd w:val="clear" w:color="auto" w:fill="auto"/>
          </w:tcPr>
          <w:p w14:paraId="7E7992F7" w14:textId="77777777" w:rsidR="006633B5" w:rsidRPr="006633B5" w:rsidRDefault="006633B5" w:rsidP="00E10A24">
            <w:pPr>
              <w:pStyle w:val="Tablebody"/>
              <w:spacing w:after="80"/>
              <w:rPr>
                <w:vertAlign w:val="subscript"/>
              </w:rPr>
            </w:pPr>
            <w:r w:rsidRPr="006633B5">
              <w:rPr>
                <w:i/>
              </w:rPr>
              <w:t>V</w:t>
            </w:r>
            <w:r w:rsidRPr="006633B5">
              <w:rPr>
                <w:vertAlign w:val="subscript"/>
              </w:rPr>
              <w:t>wp,Ed</w:t>
            </w:r>
          </w:p>
        </w:tc>
        <w:tc>
          <w:tcPr>
            <w:tcW w:w="0" w:type="auto"/>
            <w:shd w:val="clear" w:color="auto" w:fill="auto"/>
          </w:tcPr>
          <w:p w14:paraId="1908174D" w14:textId="77777777" w:rsidR="006633B5" w:rsidRPr="006633B5" w:rsidRDefault="006633B5" w:rsidP="00E10A24">
            <w:pPr>
              <w:pStyle w:val="Tablebody"/>
              <w:spacing w:after="80"/>
            </w:pPr>
            <w:r w:rsidRPr="006633B5">
              <w:t>design shear force in the web panel due to the action effects</w:t>
            </w:r>
          </w:p>
        </w:tc>
      </w:tr>
      <w:tr w:rsidR="006633B5" w:rsidRPr="006633B5" w14:paraId="276C00F2" w14:textId="77777777" w:rsidTr="006633B5">
        <w:tc>
          <w:tcPr>
            <w:tcW w:w="0" w:type="auto"/>
            <w:shd w:val="clear" w:color="auto" w:fill="auto"/>
          </w:tcPr>
          <w:p w14:paraId="5823A4DC" w14:textId="77777777" w:rsidR="006633B5" w:rsidRPr="006633B5" w:rsidRDefault="006633B5" w:rsidP="00E10A24">
            <w:pPr>
              <w:pStyle w:val="Tablebody"/>
              <w:spacing w:after="80"/>
              <w:rPr>
                <w:vertAlign w:val="subscript"/>
              </w:rPr>
            </w:pPr>
            <w:r w:rsidRPr="006633B5">
              <w:rPr>
                <w:i/>
              </w:rPr>
              <w:t>V</w:t>
            </w:r>
            <w:r w:rsidRPr="006633B5">
              <w:rPr>
                <w:vertAlign w:val="subscript"/>
              </w:rPr>
              <w:t>wp,Rd</w:t>
            </w:r>
          </w:p>
        </w:tc>
        <w:tc>
          <w:tcPr>
            <w:tcW w:w="0" w:type="auto"/>
            <w:shd w:val="clear" w:color="auto" w:fill="auto"/>
          </w:tcPr>
          <w:p w14:paraId="6A78629D" w14:textId="77777777" w:rsidR="006633B5" w:rsidRPr="006633B5" w:rsidRDefault="006633B5" w:rsidP="00E10A24">
            <w:pPr>
              <w:pStyle w:val="Tablebody"/>
              <w:spacing w:after="80"/>
            </w:pPr>
            <w:r w:rsidRPr="006633B5">
              <w:t xml:space="preserve">shear resistance of the web panel </w:t>
            </w:r>
          </w:p>
        </w:tc>
      </w:tr>
      <w:tr w:rsidR="006633B5" w:rsidRPr="006633B5" w14:paraId="490D828D" w14:textId="77777777" w:rsidTr="006633B5">
        <w:tc>
          <w:tcPr>
            <w:tcW w:w="0" w:type="auto"/>
            <w:shd w:val="clear" w:color="auto" w:fill="auto"/>
          </w:tcPr>
          <w:p w14:paraId="756D0A92" w14:textId="77777777" w:rsidR="006633B5" w:rsidRPr="006633B5" w:rsidRDefault="006633B5" w:rsidP="00E10A24">
            <w:pPr>
              <w:pStyle w:val="Tablebody"/>
              <w:spacing w:after="80"/>
            </w:pPr>
            <w:r w:rsidRPr="006633B5">
              <w:rPr>
                <w:i/>
              </w:rPr>
              <w:t>V</w:t>
            </w:r>
            <w:r w:rsidRPr="006633B5">
              <w:rPr>
                <w:vertAlign w:val="subscript"/>
              </w:rPr>
              <w:t>wb,Rd</w:t>
            </w:r>
          </w:p>
        </w:tc>
        <w:tc>
          <w:tcPr>
            <w:tcW w:w="0" w:type="auto"/>
            <w:shd w:val="clear" w:color="auto" w:fill="auto"/>
          </w:tcPr>
          <w:p w14:paraId="733B67E4" w14:textId="77777777" w:rsidR="006633B5" w:rsidRPr="006633B5" w:rsidRDefault="006633B5" w:rsidP="00E10A24">
            <w:pPr>
              <w:pStyle w:val="Tablebody"/>
              <w:spacing w:after="80"/>
            </w:pPr>
            <w:r w:rsidRPr="006633B5">
              <w:t>shear buckling resistance of a web panel</w:t>
            </w:r>
          </w:p>
        </w:tc>
      </w:tr>
      <w:tr w:rsidR="006633B5" w:rsidRPr="006633B5" w14:paraId="7E045EED" w14:textId="77777777" w:rsidTr="006633B5">
        <w:tc>
          <w:tcPr>
            <w:tcW w:w="0" w:type="auto"/>
            <w:shd w:val="clear" w:color="auto" w:fill="auto"/>
          </w:tcPr>
          <w:p w14:paraId="26562448" w14:textId="77777777" w:rsidR="006633B5" w:rsidRPr="006633B5" w:rsidRDefault="006633B5" w:rsidP="00E10A24">
            <w:pPr>
              <w:pStyle w:val="Tablebody"/>
              <w:spacing w:after="80"/>
            </w:pPr>
            <w:r w:rsidRPr="006633B5">
              <w:rPr>
                <w:i/>
                <w:iCs/>
              </w:rPr>
              <w:t>W</w:t>
            </w:r>
            <w:r w:rsidRPr="006633B5">
              <w:rPr>
                <w:vertAlign w:val="subscript"/>
              </w:rPr>
              <w:t>pl,y</w:t>
            </w:r>
          </w:p>
        </w:tc>
        <w:tc>
          <w:tcPr>
            <w:tcW w:w="0" w:type="auto"/>
            <w:shd w:val="clear" w:color="auto" w:fill="auto"/>
          </w:tcPr>
          <w:p w14:paraId="51BA9574" w14:textId="77777777" w:rsidR="006633B5" w:rsidRPr="006633B5" w:rsidRDefault="006633B5" w:rsidP="00E10A24">
            <w:pPr>
              <w:pStyle w:val="Tablebody"/>
              <w:spacing w:after="80"/>
            </w:pPr>
            <w:r w:rsidRPr="006633B5">
              <w:t>plastic section modulus</w:t>
            </w:r>
          </w:p>
        </w:tc>
      </w:tr>
    </w:tbl>
    <w:p w14:paraId="52A5AF30" w14:textId="4F40FE9B" w:rsidR="001470F6" w:rsidRPr="00870D59" w:rsidRDefault="00747E0D" w:rsidP="00DB2A2D">
      <w:pPr>
        <w:pStyle w:val="Heading4"/>
      </w:pPr>
      <w:r w:rsidRPr="00870D59">
        <w:t>Lower case Latin symbols</w:t>
      </w:r>
    </w:p>
    <w:tbl>
      <w:tblPr>
        <w:tblW w:w="0" w:type="auto"/>
        <w:tblInd w:w="-100" w:type="dxa"/>
        <w:tblCellMar>
          <w:left w:w="100" w:type="dxa"/>
        </w:tblCellMar>
        <w:tblLook w:val="0000" w:firstRow="0" w:lastRow="0" w:firstColumn="0" w:lastColumn="0" w:noHBand="0" w:noVBand="0"/>
      </w:tblPr>
      <w:tblGrid>
        <w:gridCol w:w="1093"/>
        <w:gridCol w:w="8758"/>
      </w:tblGrid>
      <w:tr w:rsidR="006633B5" w:rsidRPr="006633B5" w14:paraId="7D7F8154" w14:textId="77777777" w:rsidTr="006633B5">
        <w:tc>
          <w:tcPr>
            <w:tcW w:w="1093" w:type="dxa"/>
            <w:shd w:val="clear" w:color="auto" w:fill="auto"/>
          </w:tcPr>
          <w:p w14:paraId="69297991" w14:textId="77777777" w:rsidR="006633B5" w:rsidRPr="006633B5" w:rsidRDefault="006633B5" w:rsidP="00E10A24">
            <w:pPr>
              <w:pStyle w:val="Tablebody"/>
              <w:spacing w:after="80"/>
              <w:rPr>
                <w:i/>
              </w:rPr>
            </w:pPr>
            <w:r w:rsidRPr="006633B5">
              <w:rPr>
                <w:i/>
              </w:rPr>
              <w:t>an</w:t>
            </w:r>
          </w:p>
        </w:tc>
        <w:tc>
          <w:tcPr>
            <w:tcW w:w="8758" w:type="dxa"/>
            <w:shd w:val="clear" w:color="auto" w:fill="auto"/>
          </w:tcPr>
          <w:p w14:paraId="7729AF63" w14:textId="77777777" w:rsidR="006633B5" w:rsidRPr="006633B5" w:rsidRDefault="006633B5" w:rsidP="00E10A24">
            <w:pPr>
              <w:pStyle w:val="Tablebody"/>
              <w:spacing w:after="80"/>
            </w:pPr>
            <w:r w:rsidRPr="006633B5">
              <w:t xml:space="preserve">index, corresponding to the ancillary element </w:t>
            </w:r>
          </w:p>
        </w:tc>
      </w:tr>
      <w:tr w:rsidR="006633B5" w:rsidRPr="006633B5" w14:paraId="47ABC830" w14:textId="77777777" w:rsidTr="006633B5">
        <w:tc>
          <w:tcPr>
            <w:tcW w:w="1093" w:type="dxa"/>
            <w:shd w:val="clear" w:color="auto" w:fill="auto"/>
          </w:tcPr>
          <w:p w14:paraId="1F915E5E" w14:textId="77777777" w:rsidR="006633B5" w:rsidRPr="006633B5" w:rsidRDefault="006633B5" w:rsidP="00E10A24">
            <w:pPr>
              <w:pStyle w:val="Tablebody"/>
              <w:spacing w:after="80"/>
              <w:rPr>
                <w:i/>
              </w:rPr>
            </w:pPr>
            <w:r w:rsidRPr="006633B5">
              <w:rPr>
                <w:i/>
              </w:rPr>
              <w:t>a</w:t>
            </w:r>
          </w:p>
        </w:tc>
        <w:tc>
          <w:tcPr>
            <w:tcW w:w="8758" w:type="dxa"/>
            <w:shd w:val="clear" w:color="auto" w:fill="auto"/>
          </w:tcPr>
          <w:p w14:paraId="26DDF086" w14:textId="77777777" w:rsidR="006633B5" w:rsidRPr="006633B5" w:rsidRDefault="006633B5" w:rsidP="00E10A24">
            <w:pPr>
              <w:pStyle w:val="Tablebody"/>
              <w:spacing w:after="80"/>
            </w:pPr>
            <w:r w:rsidRPr="006633B5">
              <w:t>slab overhang</w:t>
            </w:r>
          </w:p>
        </w:tc>
      </w:tr>
      <w:tr w:rsidR="006633B5" w:rsidRPr="006633B5" w14:paraId="0D4A70BA" w14:textId="77777777" w:rsidTr="006633B5">
        <w:tc>
          <w:tcPr>
            <w:tcW w:w="1093" w:type="dxa"/>
            <w:shd w:val="clear" w:color="auto" w:fill="auto"/>
          </w:tcPr>
          <w:p w14:paraId="242BAC29" w14:textId="77777777" w:rsidR="006633B5" w:rsidRPr="006633B5" w:rsidRDefault="006633B5" w:rsidP="00E10A24">
            <w:pPr>
              <w:pStyle w:val="Tablebody"/>
              <w:spacing w:after="80"/>
            </w:pPr>
            <w:r w:rsidRPr="006633B5">
              <w:rPr>
                <w:i/>
              </w:rPr>
              <w:t>a</w:t>
            </w:r>
            <w:r w:rsidRPr="006633B5">
              <w:rPr>
                <w:vertAlign w:val="subscript"/>
              </w:rPr>
              <w:t>CLT</w:t>
            </w:r>
          </w:p>
        </w:tc>
        <w:tc>
          <w:tcPr>
            <w:tcW w:w="8758" w:type="dxa"/>
            <w:shd w:val="clear" w:color="auto" w:fill="auto"/>
          </w:tcPr>
          <w:p w14:paraId="3A7868C0" w14:textId="77777777" w:rsidR="006633B5" w:rsidRPr="006633B5" w:rsidRDefault="006633B5" w:rsidP="00E10A24">
            <w:pPr>
              <w:pStyle w:val="Tablebody"/>
              <w:spacing w:after="80"/>
            </w:pPr>
            <w:r w:rsidRPr="006633B5">
              <w:t xml:space="preserve">smaller size (width) of a hole in a CLT floor panel </w:t>
            </w:r>
          </w:p>
        </w:tc>
      </w:tr>
      <w:tr w:rsidR="006633B5" w:rsidRPr="006633B5" w14:paraId="758A7F7A" w14:textId="77777777" w:rsidTr="006633B5">
        <w:tc>
          <w:tcPr>
            <w:tcW w:w="1093" w:type="dxa"/>
            <w:shd w:val="clear" w:color="auto" w:fill="auto"/>
          </w:tcPr>
          <w:p w14:paraId="7BD3509B" w14:textId="77777777" w:rsidR="006633B5" w:rsidRPr="006633B5" w:rsidRDefault="006633B5" w:rsidP="00E10A24">
            <w:pPr>
              <w:pStyle w:val="Tablebody"/>
              <w:spacing w:after="80"/>
            </w:pPr>
            <w:r w:rsidRPr="006633B5">
              <w:rPr>
                <w:i/>
                <w:iCs/>
              </w:rPr>
              <w:t>a</w:t>
            </w:r>
            <w:r w:rsidRPr="006633B5">
              <w:rPr>
                <w:vertAlign w:val="subscript"/>
              </w:rPr>
              <w:t>pj</w:t>
            </w:r>
          </w:p>
        </w:tc>
        <w:tc>
          <w:tcPr>
            <w:tcW w:w="8758" w:type="dxa"/>
            <w:shd w:val="clear" w:color="auto" w:fill="auto"/>
          </w:tcPr>
          <w:p w14:paraId="74C83D9F" w14:textId="77777777" w:rsidR="006633B5" w:rsidRPr="006633B5" w:rsidRDefault="006633B5" w:rsidP="00E10A24">
            <w:pPr>
              <w:pStyle w:val="Tablebody"/>
              <w:spacing w:after="80"/>
            </w:pPr>
            <w:r w:rsidRPr="006633B5">
              <w:t>clear distance between the inner and outer gusset plates in INERD pin connection</w:t>
            </w:r>
          </w:p>
        </w:tc>
      </w:tr>
      <w:tr w:rsidR="006633B5" w:rsidRPr="006633B5" w14:paraId="639E9287" w14:textId="77777777" w:rsidTr="006633B5">
        <w:tc>
          <w:tcPr>
            <w:tcW w:w="1093" w:type="dxa"/>
            <w:shd w:val="clear" w:color="auto" w:fill="auto"/>
          </w:tcPr>
          <w:p w14:paraId="5D496F0B" w14:textId="77777777" w:rsidR="006633B5" w:rsidRPr="006633B5" w:rsidRDefault="006633B5" w:rsidP="00E10A24">
            <w:pPr>
              <w:pStyle w:val="Tablebody"/>
              <w:spacing w:after="80"/>
            </w:pPr>
            <w:r w:rsidRPr="006633B5">
              <w:rPr>
                <w:i/>
              </w:rPr>
              <w:t>b</w:t>
            </w:r>
          </w:p>
        </w:tc>
        <w:tc>
          <w:tcPr>
            <w:tcW w:w="8758" w:type="dxa"/>
            <w:shd w:val="clear" w:color="auto" w:fill="auto"/>
          </w:tcPr>
          <w:p w14:paraId="6535DF6C" w14:textId="77777777" w:rsidR="006633B5" w:rsidRPr="006633B5" w:rsidRDefault="006633B5" w:rsidP="00E10A24">
            <w:pPr>
              <w:pStyle w:val="Tablebody"/>
              <w:spacing w:after="80"/>
            </w:pPr>
            <w:r w:rsidRPr="006633B5">
              <w:t>cross-section width of a beam or column</w:t>
            </w:r>
          </w:p>
        </w:tc>
      </w:tr>
      <w:tr w:rsidR="006633B5" w:rsidRPr="006633B5" w14:paraId="202E9918" w14:textId="77777777" w:rsidTr="006633B5">
        <w:tc>
          <w:tcPr>
            <w:tcW w:w="1093" w:type="dxa"/>
            <w:shd w:val="clear" w:color="auto" w:fill="auto"/>
          </w:tcPr>
          <w:p w14:paraId="55682BD8" w14:textId="77777777" w:rsidR="006633B5" w:rsidRPr="006633B5" w:rsidRDefault="006633B5" w:rsidP="00E10A24">
            <w:pPr>
              <w:pStyle w:val="Tablebody"/>
              <w:spacing w:after="80"/>
            </w:pPr>
            <w:r w:rsidRPr="006633B5">
              <w:rPr>
                <w:i/>
              </w:rPr>
              <w:t>b</w:t>
            </w:r>
            <w:r w:rsidRPr="006633B5">
              <w:rPr>
                <w:vertAlign w:val="subscript"/>
              </w:rPr>
              <w:t>0</w:t>
            </w:r>
          </w:p>
        </w:tc>
        <w:tc>
          <w:tcPr>
            <w:tcW w:w="8758" w:type="dxa"/>
            <w:shd w:val="clear" w:color="auto" w:fill="auto"/>
          </w:tcPr>
          <w:p w14:paraId="1866DF67" w14:textId="77777777" w:rsidR="006633B5" w:rsidRPr="006633B5" w:rsidRDefault="006633B5" w:rsidP="00E10A24">
            <w:pPr>
              <w:pStyle w:val="Tablebody"/>
              <w:spacing w:after="80"/>
            </w:pPr>
            <w:r w:rsidRPr="006633B5">
              <w:t>length of the control perimeter for punching shear resistance verification</w:t>
            </w:r>
          </w:p>
        </w:tc>
      </w:tr>
      <w:tr w:rsidR="006633B5" w:rsidRPr="006633B5" w14:paraId="599A4FA4" w14:textId="77777777" w:rsidTr="006633B5">
        <w:tc>
          <w:tcPr>
            <w:tcW w:w="1093" w:type="dxa"/>
            <w:shd w:val="clear" w:color="auto" w:fill="auto"/>
          </w:tcPr>
          <w:p w14:paraId="36B3FE0B" w14:textId="77777777" w:rsidR="006633B5" w:rsidRPr="006633B5" w:rsidRDefault="006633B5" w:rsidP="00E10A24">
            <w:pPr>
              <w:pStyle w:val="Tablebody"/>
              <w:spacing w:after="80"/>
            </w:pPr>
            <w:r w:rsidRPr="006633B5">
              <w:rPr>
                <w:i/>
              </w:rPr>
              <w:t>b</w:t>
            </w:r>
            <w:r w:rsidRPr="006633B5">
              <w:rPr>
                <w:vertAlign w:val="subscript"/>
              </w:rPr>
              <w:t>0C</w:t>
            </w:r>
          </w:p>
        </w:tc>
        <w:tc>
          <w:tcPr>
            <w:tcW w:w="8758" w:type="dxa"/>
            <w:shd w:val="clear" w:color="auto" w:fill="auto"/>
          </w:tcPr>
          <w:p w14:paraId="3225BB0C" w14:textId="77777777" w:rsidR="006633B5" w:rsidRPr="006633B5" w:rsidRDefault="006633B5" w:rsidP="00E10A24">
            <w:pPr>
              <w:pStyle w:val="Tablebody"/>
              <w:spacing w:after="80"/>
            </w:pPr>
            <w:r w:rsidRPr="006633B5">
              <w:t>smallest dimension of the concrete core (to the centreline of the hoops)</w:t>
            </w:r>
          </w:p>
        </w:tc>
      </w:tr>
      <w:tr w:rsidR="006633B5" w:rsidRPr="006633B5" w14:paraId="5A0F741B" w14:textId="77777777" w:rsidTr="006633B5">
        <w:tc>
          <w:tcPr>
            <w:tcW w:w="1093" w:type="dxa"/>
            <w:shd w:val="clear" w:color="auto" w:fill="auto"/>
          </w:tcPr>
          <w:p w14:paraId="0FEE2BA9" w14:textId="77777777" w:rsidR="006633B5" w:rsidRPr="006633B5" w:rsidRDefault="006633B5" w:rsidP="00E10A24">
            <w:pPr>
              <w:pStyle w:val="Tablebody"/>
              <w:spacing w:after="80"/>
            </w:pPr>
            <w:r w:rsidRPr="006633B5">
              <w:rPr>
                <w:i/>
              </w:rPr>
              <w:t>b</w:t>
            </w:r>
            <w:r w:rsidRPr="006633B5">
              <w:rPr>
                <w:vertAlign w:val="subscript"/>
              </w:rPr>
              <w:t>b</w:t>
            </w:r>
          </w:p>
        </w:tc>
        <w:tc>
          <w:tcPr>
            <w:tcW w:w="8758" w:type="dxa"/>
            <w:shd w:val="clear" w:color="auto" w:fill="auto"/>
          </w:tcPr>
          <w:p w14:paraId="3F0DA725" w14:textId="77777777" w:rsidR="006633B5" w:rsidRPr="006633B5" w:rsidRDefault="006633B5" w:rsidP="00E10A24">
            <w:pPr>
              <w:pStyle w:val="Tablebody"/>
              <w:spacing w:after="80"/>
            </w:pPr>
            <w:r w:rsidRPr="006633B5">
              <w:t>cross-section width of a beam</w:t>
            </w:r>
          </w:p>
        </w:tc>
      </w:tr>
      <w:tr w:rsidR="006633B5" w:rsidRPr="006633B5" w14:paraId="78292DA5" w14:textId="77777777" w:rsidTr="006633B5">
        <w:tc>
          <w:tcPr>
            <w:tcW w:w="1093" w:type="dxa"/>
            <w:shd w:val="clear" w:color="auto" w:fill="auto"/>
          </w:tcPr>
          <w:p w14:paraId="1DE60468" w14:textId="77777777" w:rsidR="006633B5" w:rsidRPr="006633B5" w:rsidRDefault="006633B5" w:rsidP="00E10A24">
            <w:pPr>
              <w:pStyle w:val="Tablebody"/>
              <w:spacing w:after="80"/>
            </w:pPr>
            <w:r w:rsidRPr="006633B5">
              <w:rPr>
                <w:i/>
              </w:rPr>
              <w:t>b</w:t>
            </w:r>
            <w:r w:rsidRPr="006633B5">
              <w:rPr>
                <w:vertAlign w:val="subscript"/>
              </w:rPr>
              <w:t>c</w:t>
            </w:r>
          </w:p>
        </w:tc>
        <w:tc>
          <w:tcPr>
            <w:tcW w:w="8758" w:type="dxa"/>
            <w:shd w:val="clear" w:color="auto" w:fill="auto"/>
          </w:tcPr>
          <w:p w14:paraId="1C43C008" w14:textId="77777777" w:rsidR="006633B5" w:rsidRPr="006633B5" w:rsidRDefault="006633B5" w:rsidP="00E10A24">
            <w:pPr>
              <w:pStyle w:val="Tablebody"/>
              <w:spacing w:after="80"/>
            </w:pPr>
            <w:r w:rsidRPr="006633B5">
              <w:t>cross-section width of a column</w:t>
            </w:r>
          </w:p>
        </w:tc>
      </w:tr>
      <w:tr w:rsidR="006633B5" w:rsidRPr="006633B5" w14:paraId="225EF3B4" w14:textId="77777777" w:rsidTr="006633B5">
        <w:tc>
          <w:tcPr>
            <w:tcW w:w="1093" w:type="dxa"/>
            <w:shd w:val="clear" w:color="auto" w:fill="auto"/>
          </w:tcPr>
          <w:p w14:paraId="5EC9158A" w14:textId="77777777" w:rsidR="006633B5" w:rsidRPr="006633B5" w:rsidRDefault="006633B5" w:rsidP="00E10A24">
            <w:pPr>
              <w:pStyle w:val="Tablebody"/>
              <w:spacing w:after="80"/>
            </w:pPr>
            <w:r w:rsidRPr="006633B5">
              <w:rPr>
                <w:i/>
              </w:rPr>
              <w:t>b</w:t>
            </w:r>
            <w:r w:rsidRPr="006633B5">
              <w:rPr>
                <w:vertAlign w:val="subscript"/>
              </w:rPr>
              <w:t>CLT</w:t>
            </w:r>
          </w:p>
        </w:tc>
        <w:tc>
          <w:tcPr>
            <w:tcW w:w="8758" w:type="dxa"/>
            <w:shd w:val="clear" w:color="auto" w:fill="auto"/>
          </w:tcPr>
          <w:p w14:paraId="634C400C" w14:textId="77777777" w:rsidR="006633B5" w:rsidRPr="006633B5" w:rsidRDefault="006633B5" w:rsidP="00E10A24">
            <w:pPr>
              <w:pStyle w:val="Tablebody"/>
              <w:spacing w:after="80"/>
            </w:pPr>
            <w:r w:rsidRPr="006633B5">
              <w:t>length of each single panel making a shear wall; longer size (length) of a hole in a CLT floor panel</w:t>
            </w:r>
          </w:p>
        </w:tc>
      </w:tr>
      <w:tr w:rsidR="006633B5" w:rsidRPr="006633B5" w14:paraId="0D2DD857" w14:textId="77777777" w:rsidTr="006633B5">
        <w:tc>
          <w:tcPr>
            <w:tcW w:w="1093" w:type="dxa"/>
            <w:shd w:val="clear" w:color="auto" w:fill="auto"/>
          </w:tcPr>
          <w:p w14:paraId="2FB80EFE" w14:textId="77777777" w:rsidR="006633B5" w:rsidRPr="006633B5" w:rsidRDefault="006633B5" w:rsidP="00E10A24">
            <w:pPr>
              <w:pStyle w:val="Tablebody"/>
              <w:spacing w:after="80"/>
            </w:pPr>
            <w:r w:rsidRPr="006633B5">
              <w:rPr>
                <w:i/>
              </w:rPr>
              <w:t>b</w:t>
            </w:r>
            <w:r w:rsidRPr="006633B5">
              <w:rPr>
                <w:vertAlign w:val="subscript"/>
              </w:rPr>
              <w:t>ef</w:t>
            </w:r>
          </w:p>
        </w:tc>
        <w:tc>
          <w:tcPr>
            <w:tcW w:w="8758" w:type="dxa"/>
            <w:shd w:val="clear" w:color="auto" w:fill="auto"/>
          </w:tcPr>
          <w:p w14:paraId="4323EE81" w14:textId="77777777" w:rsidR="006633B5" w:rsidRPr="006633B5" w:rsidRDefault="006633B5" w:rsidP="00E10A24">
            <w:pPr>
              <w:pStyle w:val="Tablebody"/>
              <w:spacing w:after="80"/>
            </w:pPr>
            <w:r w:rsidRPr="006633B5">
              <w:t>effective width</w:t>
            </w:r>
          </w:p>
        </w:tc>
      </w:tr>
      <w:tr w:rsidR="006633B5" w:rsidRPr="006633B5" w14:paraId="297336C8" w14:textId="77777777" w:rsidTr="006633B5">
        <w:tc>
          <w:tcPr>
            <w:tcW w:w="1093" w:type="dxa"/>
            <w:shd w:val="clear" w:color="auto" w:fill="auto"/>
          </w:tcPr>
          <w:p w14:paraId="32D14484" w14:textId="77777777" w:rsidR="006633B5" w:rsidRPr="006633B5" w:rsidRDefault="006633B5" w:rsidP="00E10A24">
            <w:pPr>
              <w:pStyle w:val="Tablebody"/>
              <w:spacing w:after="80"/>
            </w:pPr>
            <w:r w:rsidRPr="006633B5">
              <w:rPr>
                <w:i/>
              </w:rPr>
              <w:lastRenderedPageBreak/>
              <w:t>b</w:t>
            </w:r>
            <w:r w:rsidRPr="006633B5">
              <w:rPr>
                <w:vertAlign w:val="subscript"/>
              </w:rPr>
              <w:t>eff,Rd</w:t>
            </w:r>
          </w:p>
        </w:tc>
        <w:tc>
          <w:tcPr>
            <w:tcW w:w="8758" w:type="dxa"/>
            <w:shd w:val="clear" w:color="auto" w:fill="auto"/>
          </w:tcPr>
          <w:p w14:paraId="213E5DA9" w14:textId="77777777" w:rsidR="006633B5" w:rsidRPr="006633B5" w:rsidRDefault="006633B5" w:rsidP="00E10A24">
            <w:pPr>
              <w:pStyle w:val="Tablebody"/>
              <w:spacing w:after="80"/>
            </w:pPr>
            <w:r w:rsidRPr="006633B5">
              <w:t>partial effective width of the slab for the calculation of plastic resistance of composite sections</w:t>
            </w:r>
          </w:p>
        </w:tc>
      </w:tr>
      <w:tr w:rsidR="006633B5" w:rsidRPr="006633B5" w14:paraId="6930C9B1" w14:textId="77777777" w:rsidTr="006633B5">
        <w:tc>
          <w:tcPr>
            <w:tcW w:w="1093" w:type="dxa"/>
            <w:shd w:val="clear" w:color="auto" w:fill="auto"/>
          </w:tcPr>
          <w:p w14:paraId="44096601" w14:textId="77777777" w:rsidR="006633B5" w:rsidRPr="006633B5" w:rsidRDefault="006633B5" w:rsidP="00E10A24">
            <w:pPr>
              <w:pStyle w:val="Tablebody"/>
              <w:spacing w:after="80"/>
            </w:pPr>
            <w:r w:rsidRPr="006633B5">
              <w:rPr>
                <w:i/>
              </w:rPr>
              <w:t>b</w:t>
            </w:r>
            <w:r w:rsidRPr="006633B5">
              <w:rPr>
                <w:vertAlign w:val="subscript"/>
              </w:rPr>
              <w:t>f</w:t>
            </w:r>
          </w:p>
        </w:tc>
        <w:tc>
          <w:tcPr>
            <w:tcW w:w="8758" w:type="dxa"/>
            <w:shd w:val="clear" w:color="auto" w:fill="auto"/>
          </w:tcPr>
          <w:p w14:paraId="379B1BEA" w14:textId="77777777" w:rsidR="006633B5" w:rsidRPr="006633B5" w:rsidRDefault="006633B5" w:rsidP="00E10A24">
            <w:pPr>
              <w:pStyle w:val="Tablebody"/>
              <w:spacing w:after="80"/>
            </w:pPr>
            <w:r w:rsidRPr="006633B5">
              <w:t>wall flange thickness or steel beam flange width</w:t>
            </w:r>
          </w:p>
        </w:tc>
      </w:tr>
      <w:tr w:rsidR="006633B5" w:rsidRPr="006633B5" w14:paraId="625B0796" w14:textId="77777777" w:rsidTr="006633B5">
        <w:tc>
          <w:tcPr>
            <w:tcW w:w="1093" w:type="dxa"/>
            <w:shd w:val="clear" w:color="auto" w:fill="auto"/>
          </w:tcPr>
          <w:p w14:paraId="0FB677BA" w14:textId="77777777" w:rsidR="006633B5" w:rsidRPr="006633B5" w:rsidRDefault="006633B5" w:rsidP="00E10A24">
            <w:pPr>
              <w:pStyle w:val="Tablebody"/>
              <w:spacing w:after="80"/>
            </w:pPr>
            <w:r w:rsidRPr="006633B5">
              <w:rPr>
                <w:i/>
              </w:rPr>
              <w:t>b</w:t>
            </w:r>
            <w:r w:rsidRPr="006633B5">
              <w:rPr>
                <w:vertAlign w:val="subscript"/>
              </w:rPr>
              <w:t>int</w:t>
            </w:r>
          </w:p>
        </w:tc>
        <w:tc>
          <w:tcPr>
            <w:tcW w:w="8758" w:type="dxa"/>
            <w:shd w:val="clear" w:color="auto" w:fill="auto"/>
          </w:tcPr>
          <w:p w14:paraId="661BC7AD" w14:textId="77777777" w:rsidR="006633B5" w:rsidRPr="006633B5" w:rsidRDefault="006633B5" w:rsidP="00E10A24">
            <w:pPr>
              <w:pStyle w:val="Tablebody"/>
              <w:spacing w:after="80"/>
            </w:pPr>
            <w:r w:rsidRPr="006633B5">
              <w:t>control perimeter activated by the integrity reinforcement in a flat slab</w:t>
            </w:r>
          </w:p>
        </w:tc>
      </w:tr>
      <w:tr w:rsidR="006633B5" w:rsidRPr="006633B5" w14:paraId="7A4C1A49" w14:textId="77777777" w:rsidTr="006633B5">
        <w:tc>
          <w:tcPr>
            <w:tcW w:w="1093" w:type="dxa"/>
            <w:shd w:val="clear" w:color="auto" w:fill="auto"/>
          </w:tcPr>
          <w:p w14:paraId="593F0099" w14:textId="77777777" w:rsidR="006633B5" w:rsidRPr="006633B5" w:rsidRDefault="006633B5" w:rsidP="00E10A24">
            <w:pPr>
              <w:pStyle w:val="Tablebody"/>
              <w:spacing w:after="80"/>
            </w:pPr>
            <w:r w:rsidRPr="006633B5">
              <w:rPr>
                <w:i/>
              </w:rPr>
              <w:t>b</w:t>
            </w:r>
            <w:r w:rsidRPr="006633B5">
              <w:rPr>
                <w:vertAlign w:val="subscript"/>
              </w:rPr>
              <w:t>j,ef</w:t>
            </w:r>
          </w:p>
        </w:tc>
        <w:tc>
          <w:tcPr>
            <w:tcW w:w="8758" w:type="dxa"/>
            <w:shd w:val="clear" w:color="auto" w:fill="auto"/>
          </w:tcPr>
          <w:p w14:paraId="6106D821" w14:textId="77777777" w:rsidR="006633B5" w:rsidRPr="006633B5" w:rsidRDefault="006633B5" w:rsidP="00E10A24">
            <w:pPr>
              <w:pStyle w:val="Tablebody"/>
              <w:spacing w:after="80"/>
            </w:pPr>
            <w:r w:rsidRPr="006633B5">
              <w:t>effective joint width</w:t>
            </w:r>
          </w:p>
        </w:tc>
      </w:tr>
      <w:tr w:rsidR="006633B5" w:rsidRPr="006633B5" w14:paraId="77FA0E20" w14:textId="77777777" w:rsidTr="006633B5">
        <w:tc>
          <w:tcPr>
            <w:tcW w:w="1093" w:type="dxa"/>
            <w:shd w:val="clear" w:color="auto" w:fill="auto"/>
          </w:tcPr>
          <w:p w14:paraId="54995DED" w14:textId="77777777" w:rsidR="006633B5" w:rsidRPr="006633B5" w:rsidRDefault="006633B5" w:rsidP="00E10A24">
            <w:pPr>
              <w:pStyle w:val="Tablebody"/>
              <w:spacing w:after="80"/>
            </w:pPr>
            <w:r w:rsidRPr="006633B5">
              <w:rPr>
                <w:i/>
              </w:rPr>
              <w:t>b</w:t>
            </w:r>
            <w:r w:rsidRPr="006633B5">
              <w:rPr>
                <w:vertAlign w:val="subscript"/>
              </w:rPr>
              <w:t>max</w:t>
            </w:r>
          </w:p>
        </w:tc>
        <w:tc>
          <w:tcPr>
            <w:tcW w:w="8758" w:type="dxa"/>
            <w:shd w:val="clear" w:color="auto" w:fill="auto"/>
          </w:tcPr>
          <w:p w14:paraId="1AB52D3C" w14:textId="77777777" w:rsidR="006633B5" w:rsidRPr="006633B5" w:rsidRDefault="006633B5" w:rsidP="00E10A24">
            <w:pPr>
              <w:pStyle w:val="Tablebody"/>
              <w:spacing w:after="80"/>
            </w:pPr>
            <w:r w:rsidRPr="006633B5">
              <w:t>largest cross-sectional dimension of a column</w:t>
            </w:r>
          </w:p>
        </w:tc>
      </w:tr>
      <w:tr w:rsidR="006633B5" w:rsidRPr="006633B5" w14:paraId="54A5E2A8" w14:textId="77777777" w:rsidTr="006633B5">
        <w:tc>
          <w:tcPr>
            <w:tcW w:w="1093" w:type="dxa"/>
            <w:shd w:val="clear" w:color="auto" w:fill="auto"/>
          </w:tcPr>
          <w:p w14:paraId="4EFCCF52" w14:textId="77777777" w:rsidR="006633B5" w:rsidRPr="006633B5" w:rsidRDefault="006633B5" w:rsidP="00E10A24">
            <w:pPr>
              <w:pStyle w:val="Tablebody"/>
              <w:spacing w:after="80"/>
            </w:pPr>
            <w:r w:rsidRPr="006633B5">
              <w:rPr>
                <w:i/>
                <w:iCs/>
              </w:rPr>
              <w:t>b</w:t>
            </w:r>
            <w:r w:rsidRPr="006633B5">
              <w:rPr>
                <w:vertAlign w:val="subscript"/>
              </w:rPr>
              <w:t>pin</w:t>
            </w:r>
          </w:p>
        </w:tc>
        <w:tc>
          <w:tcPr>
            <w:tcW w:w="8758" w:type="dxa"/>
            <w:shd w:val="clear" w:color="auto" w:fill="auto"/>
          </w:tcPr>
          <w:p w14:paraId="53AA53A1" w14:textId="77777777" w:rsidR="006633B5" w:rsidRPr="006633B5" w:rsidRDefault="006633B5" w:rsidP="00E10A24">
            <w:pPr>
              <w:pStyle w:val="Tablebody"/>
              <w:spacing w:after="80"/>
            </w:pPr>
            <w:r w:rsidRPr="006633B5">
              <w:t>width of the pin section in INERD pin connection</w:t>
            </w:r>
          </w:p>
        </w:tc>
      </w:tr>
      <w:tr w:rsidR="006633B5" w:rsidRPr="006633B5" w14:paraId="504227A9" w14:textId="77777777" w:rsidTr="006633B5">
        <w:tc>
          <w:tcPr>
            <w:tcW w:w="1093" w:type="dxa"/>
            <w:shd w:val="clear" w:color="auto" w:fill="auto"/>
          </w:tcPr>
          <w:p w14:paraId="7AF52CA1" w14:textId="77777777" w:rsidR="006633B5" w:rsidRPr="006633B5" w:rsidRDefault="006633B5" w:rsidP="00E10A24">
            <w:pPr>
              <w:pStyle w:val="Tablebody"/>
              <w:spacing w:after="80"/>
              <w:rPr>
                <w:i/>
              </w:rPr>
            </w:pPr>
            <w:r w:rsidRPr="006633B5">
              <w:rPr>
                <w:i/>
              </w:rPr>
              <w:t>b</w:t>
            </w:r>
            <w:r w:rsidRPr="006633B5">
              <w:rPr>
                <w:vertAlign w:val="subscript"/>
              </w:rPr>
              <w:t>sp</w:t>
            </w:r>
          </w:p>
        </w:tc>
        <w:tc>
          <w:tcPr>
            <w:tcW w:w="8758" w:type="dxa"/>
            <w:shd w:val="clear" w:color="auto" w:fill="auto"/>
          </w:tcPr>
          <w:p w14:paraId="2ABE2862" w14:textId="77777777" w:rsidR="006633B5" w:rsidRPr="006633B5" w:rsidRDefault="006633B5" w:rsidP="00E10A24">
            <w:pPr>
              <w:pStyle w:val="Tablebody"/>
              <w:spacing w:after="80"/>
            </w:pPr>
            <w:r w:rsidRPr="006633B5">
              <w:t>correction coefficient in the calculation of masonry spandrel strength</w:t>
            </w:r>
          </w:p>
        </w:tc>
      </w:tr>
      <w:tr w:rsidR="006633B5" w:rsidRPr="006633B5" w14:paraId="0CB40089" w14:textId="77777777" w:rsidTr="006633B5">
        <w:tc>
          <w:tcPr>
            <w:tcW w:w="1093" w:type="dxa"/>
            <w:shd w:val="clear" w:color="auto" w:fill="auto"/>
          </w:tcPr>
          <w:p w14:paraId="14F85C95" w14:textId="77777777" w:rsidR="006633B5" w:rsidRPr="006633B5" w:rsidRDefault="006633B5" w:rsidP="00E10A24">
            <w:pPr>
              <w:pStyle w:val="Tablebody"/>
              <w:spacing w:after="80"/>
            </w:pPr>
            <w:r w:rsidRPr="006633B5">
              <w:rPr>
                <w:i/>
              </w:rPr>
              <w:t>b</w:t>
            </w:r>
            <w:r w:rsidRPr="006633B5">
              <w:rPr>
                <w:vertAlign w:val="subscript"/>
              </w:rPr>
              <w:t>w</w:t>
            </w:r>
          </w:p>
        </w:tc>
        <w:tc>
          <w:tcPr>
            <w:tcW w:w="8758" w:type="dxa"/>
            <w:shd w:val="clear" w:color="auto" w:fill="auto"/>
          </w:tcPr>
          <w:p w14:paraId="17047FF8" w14:textId="77777777" w:rsidR="006633B5" w:rsidRPr="006633B5" w:rsidRDefault="006633B5" w:rsidP="00E10A24">
            <w:pPr>
              <w:pStyle w:val="Tablebody"/>
              <w:spacing w:after="80"/>
            </w:pPr>
            <w:r w:rsidRPr="006633B5">
              <w:t>wall thickness</w:t>
            </w:r>
          </w:p>
        </w:tc>
      </w:tr>
      <w:tr w:rsidR="006633B5" w:rsidRPr="006633B5" w14:paraId="71171BDD" w14:textId="77777777" w:rsidTr="006633B5">
        <w:tc>
          <w:tcPr>
            <w:tcW w:w="1093" w:type="dxa"/>
            <w:shd w:val="clear" w:color="auto" w:fill="auto"/>
          </w:tcPr>
          <w:p w14:paraId="70854715" w14:textId="77777777" w:rsidR="006633B5" w:rsidRPr="006633B5" w:rsidRDefault="006633B5" w:rsidP="00E10A24">
            <w:pPr>
              <w:pStyle w:val="Tablebody"/>
              <w:spacing w:after="80"/>
            </w:pPr>
            <w:r w:rsidRPr="006633B5">
              <w:rPr>
                <w:i/>
              </w:rPr>
              <w:t>b</w:t>
            </w:r>
            <w:r w:rsidRPr="006633B5">
              <w:rPr>
                <w:vertAlign w:val="subscript"/>
              </w:rPr>
              <w:t>w0</w:t>
            </w:r>
          </w:p>
        </w:tc>
        <w:tc>
          <w:tcPr>
            <w:tcW w:w="8758" w:type="dxa"/>
            <w:shd w:val="clear" w:color="auto" w:fill="auto"/>
          </w:tcPr>
          <w:p w14:paraId="4404DD20" w14:textId="77777777" w:rsidR="006633B5" w:rsidRPr="006633B5" w:rsidRDefault="006633B5" w:rsidP="00E10A24">
            <w:pPr>
              <w:pStyle w:val="Tablebody"/>
              <w:spacing w:after="80"/>
            </w:pPr>
            <w:r w:rsidRPr="006633B5">
              <w:t>wall web thickness</w:t>
            </w:r>
          </w:p>
        </w:tc>
      </w:tr>
      <w:tr w:rsidR="006633B5" w:rsidRPr="006633B5" w14:paraId="2A999E51" w14:textId="77777777" w:rsidTr="006633B5">
        <w:tc>
          <w:tcPr>
            <w:tcW w:w="1093" w:type="dxa"/>
            <w:shd w:val="clear" w:color="auto" w:fill="auto"/>
          </w:tcPr>
          <w:p w14:paraId="1E94F26F" w14:textId="77777777" w:rsidR="006633B5" w:rsidRPr="006633B5" w:rsidRDefault="006633B5" w:rsidP="00E10A24">
            <w:pPr>
              <w:pStyle w:val="Tablebody"/>
              <w:spacing w:after="80"/>
            </w:pPr>
            <w:r w:rsidRPr="006633B5">
              <w:rPr>
                <w:i/>
              </w:rPr>
              <w:t>c</w:t>
            </w:r>
          </w:p>
        </w:tc>
        <w:tc>
          <w:tcPr>
            <w:tcW w:w="8758" w:type="dxa"/>
            <w:shd w:val="clear" w:color="auto" w:fill="auto"/>
          </w:tcPr>
          <w:p w14:paraId="53255D9F" w14:textId="77777777" w:rsidR="006633B5" w:rsidRPr="006633B5" w:rsidRDefault="006633B5" w:rsidP="00E10A24">
            <w:pPr>
              <w:pStyle w:val="Tablebody"/>
              <w:spacing w:after="80"/>
            </w:pPr>
            <w:r w:rsidRPr="006633B5">
              <w:t>outstand of a steel flange, also named the side width of a steel member</w:t>
            </w:r>
          </w:p>
        </w:tc>
      </w:tr>
      <w:tr w:rsidR="006633B5" w:rsidRPr="006633B5" w14:paraId="6A1090BD" w14:textId="77777777" w:rsidTr="006633B5">
        <w:tc>
          <w:tcPr>
            <w:tcW w:w="1093" w:type="dxa"/>
            <w:shd w:val="clear" w:color="auto" w:fill="auto"/>
          </w:tcPr>
          <w:p w14:paraId="625B534E" w14:textId="77777777" w:rsidR="006633B5" w:rsidRPr="006633B5" w:rsidRDefault="006633B5" w:rsidP="00E10A24">
            <w:pPr>
              <w:pStyle w:val="Tablebody"/>
              <w:spacing w:after="80"/>
            </w:pPr>
            <w:r w:rsidRPr="006633B5">
              <w:rPr>
                <w:i/>
              </w:rPr>
              <w:t>c</w:t>
            </w:r>
            <w:r w:rsidRPr="006633B5">
              <w:rPr>
                <w:iCs/>
                <w:vertAlign w:val="subscript"/>
              </w:rPr>
              <w:t>E</w:t>
            </w:r>
          </w:p>
        </w:tc>
        <w:tc>
          <w:tcPr>
            <w:tcW w:w="8758" w:type="dxa"/>
            <w:shd w:val="clear" w:color="auto" w:fill="auto"/>
          </w:tcPr>
          <w:p w14:paraId="6497B4EB" w14:textId="77777777" w:rsidR="006633B5" w:rsidRPr="006633B5" w:rsidRDefault="006633B5" w:rsidP="00E10A24">
            <w:pPr>
              <w:pStyle w:val="Tablebody"/>
              <w:spacing w:after="80"/>
            </w:pPr>
            <w:r w:rsidRPr="006633B5">
              <w:t>correction factor in pushover analysis which primarily accounts for higher-mode effects in elevation</w:t>
            </w:r>
          </w:p>
        </w:tc>
      </w:tr>
      <w:tr w:rsidR="006633B5" w:rsidRPr="006633B5" w14:paraId="31066D5D" w14:textId="77777777" w:rsidTr="006633B5">
        <w:tc>
          <w:tcPr>
            <w:tcW w:w="1093" w:type="dxa"/>
            <w:shd w:val="clear" w:color="auto" w:fill="auto"/>
          </w:tcPr>
          <w:p w14:paraId="188D839F" w14:textId="77777777" w:rsidR="006633B5" w:rsidRPr="006633B5" w:rsidRDefault="006633B5" w:rsidP="00E10A24">
            <w:pPr>
              <w:pStyle w:val="Tablebody"/>
              <w:spacing w:after="80"/>
            </w:pPr>
            <w:r w:rsidRPr="006633B5">
              <w:rPr>
                <w:i/>
              </w:rPr>
              <w:t>c</w:t>
            </w:r>
            <w:r w:rsidRPr="006633B5">
              <w:rPr>
                <w:iCs/>
                <w:vertAlign w:val="subscript"/>
              </w:rPr>
              <w:t>E,i</w:t>
            </w:r>
          </w:p>
        </w:tc>
        <w:tc>
          <w:tcPr>
            <w:tcW w:w="8758" w:type="dxa"/>
            <w:shd w:val="clear" w:color="auto" w:fill="auto"/>
          </w:tcPr>
          <w:p w14:paraId="07FF1FE4" w14:textId="77777777" w:rsidR="006633B5" w:rsidRPr="006633B5" w:rsidRDefault="006633B5" w:rsidP="00E10A24">
            <w:pPr>
              <w:pStyle w:val="Tablebody"/>
              <w:spacing w:after="80"/>
            </w:pPr>
            <w:r w:rsidRPr="006633B5">
              <w:t xml:space="preserve">correction factor </w:t>
            </w:r>
            <w:r w:rsidRPr="006633B5">
              <w:rPr>
                <w:i/>
              </w:rPr>
              <w:t>c</w:t>
            </w:r>
            <w:r w:rsidRPr="006633B5">
              <w:rPr>
                <w:iCs/>
                <w:vertAlign w:val="subscript"/>
              </w:rPr>
              <w:t>E</w:t>
            </w:r>
            <w:r w:rsidRPr="006633B5">
              <w:t xml:space="preserve"> for the i-</w:t>
            </w:r>
            <w:r w:rsidRPr="006633B5">
              <w:rPr>
                <w:i/>
              </w:rPr>
              <w:t>th</w:t>
            </w:r>
            <w:r w:rsidRPr="006633B5">
              <w:t xml:space="preserve"> storey of the structural member</w:t>
            </w:r>
          </w:p>
        </w:tc>
      </w:tr>
      <w:tr w:rsidR="006633B5" w:rsidRPr="006633B5" w14:paraId="21C80F9A" w14:textId="77777777" w:rsidTr="006633B5">
        <w:tc>
          <w:tcPr>
            <w:tcW w:w="1093" w:type="dxa"/>
            <w:shd w:val="clear" w:color="auto" w:fill="auto"/>
          </w:tcPr>
          <w:p w14:paraId="5E9E5F40" w14:textId="77777777" w:rsidR="006633B5" w:rsidRPr="006633B5" w:rsidRDefault="006633B5" w:rsidP="00E10A24">
            <w:pPr>
              <w:pStyle w:val="Tablebody"/>
              <w:spacing w:after="80"/>
              <w:rPr>
                <w:vertAlign w:val="subscript"/>
              </w:rPr>
            </w:pPr>
            <w:r w:rsidRPr="006633B5">
              <w:rPr>
                <w:i/>
              </w:rPr>
              <w:t>c</w:t>
            </w:r>
            <w:r w:rsidRPr="006633B5">
              <w:rPr>
                <w:vertAlign w:val="subscript"/>
              </w:rPr>
              <w:t>f</w:t>
            </w:r>
          </w:p>
        </w:tc>
        <w:tc>
          <w:tcPr>
            <w:tcW w:w="8758" w:type="dxa"/>
            <w:shd w:val="clear" w:color="auto" w:fill="auto"/>
          </w:tcPr>
          <w:p w14:paraId="7CB90B9D" w14:textId="77777777" w:rsidR="006633B5" w:rsidRPr="006633B5" w:rsidRDefault="006633B5" w:rsidP="00E10A24">
            <w:pPr>
              <w:pStyle w:val="Tablebody"/>
              <w:spacing w:after="80"/>
            </w:pPr>
            <w:r w:rsidRPr="006633B5">
              <w:t>factor accounting for the masonry typology</w:t>
            </w:r>
          </w:p>
        </w:tc>
      </w:tr>
      <w:tr w:rsidR="006633B5" w:rsidRPr="006633B5" w14:paraId="3B9C3EFE" w14:textId="77777777" w:rsidTr="006633B5">
        <w:tc>
          <w:tcPr>
            <w:tcW w:w="1093" w:type="dxa"/>
            <w:shd w:val="clear" w:color="auto" w:fill="auto"/>
          </w:tcPr>
          <w:p w14:paraId="130B57B9" w14:textId="77777777" w:rsidR="006633B5" w:rsidRPr="006633B5" w:rsidRDefault="006633B5" w:rsidP="00E10A24">
            <w:pPr>
              <w:pStyle w:val="Tablebody"/>
              <w:spacing w:after="80"/>
              <w:rPr>
                <w:i/>
              </w:rPr>
            </w:pPr>
            <w:r w:rsidRPr="006633B5">
              <w:rPr>
                <w:i/>
              </w:rPr>
              <w:t>c</w:t>
            </w:r>
            <w:r w:rsidRPr="006633B5">
              <w:rPr>
                <w:iCs/>
                <w:vertAlign w:val="subscript"/>
              </w:rPr>
              <w:t>hd</w:t>
            </w:r>
          </w:p>
        </w:tc>
        <w:tc>
          <w:tcPr>
            <w:tcW w:w="8758" w:type="dxa"/>
            <w:shd w:val="clear" w:color="auto" w:fill="auto"/>
          </w:tcPr>
          <w:p w14:paraId="35310057" w14:textId="77777777" w:rsidR="006633B5" w:rsidRPr="006633B5" w:rsidRDefault="006633B5" w:rsidP="00E10A24">
            <w:pPr>
              <w:pStyle w:val="Tablebody"/>
              <w:spacing w:after="80"/>
            </w:pPr>
            <w:r w:rsidRPr="006633B5">
              <w:t>distance from the anchoring connections against overturning to the nearest vertical edge of a CLT panel</w:t>
            </w:r>
          </w:p>
        </w:tc>
      </w:tr>
      <w:tr w:rsidR="006633B5" w:rsidRPr="006633B5" w14:paraId="07D74926" w14:textId="77777777" w:rsidTr="006633B5">
        <w:tc>
          <w:tcPr>
            <w:tcW w:w="1093" w:type="dxa"/>
            <w:shd w:val="clear" w:color="auto" w:fill="auto"/>
          </w:tcPr>
          <w:p w14:paraId="74296625" w14:textId="77777777" w:rsidR="006633B5" w:rsidRPr="006633B5" w:rsidRDefault="006633B5" w:rsidP="00E10A24">
            <w:pPr>
              <w:pStyle w:val="Tablebody"/>
              <w:spacing w:after="80"/>
            </w:pPr>
            <w:r w:rsidRPr="006633B5">
              <w:rPr>
                <w:i/>
              </w:rPr>
              <w:t>c</w:t>
            </w:r>
            <w:r w:rsidRPr="006633B5">
              <w:rPr>
                <w:iCs/>
                <w:vertAlign w:val="subscript"/>
              </w:rPr>
              <w:t>P</w:t>
            </w:r>
          </w:p>
        </w:tc>
        <w:tc>
          <w:tcPr>
            <w:tcW w:w="8758" w:type="dxa"/>
            <w:shd w:val="clear" w:color="auto" w:fill="auto"/>
          </w:tcPr>
          <w:p w14:paraId="73408B68" w14:textId="77777777" w:rsidR="006633B5" w:rsidRPr="006633B5" w:rsidRDefault="006633B5" w:rsidP="00E10A24">
            <w:pPr>
              <w:pStyle w:val="Tablebody"/>
              <w:spacing w:after="80"/>
            </w:pPr>
            <w:r w:rsidRPr="006633B5">
              <w:t>correction factor in pushover analysis which primarily accounts for the torsional effects</w:t>
            </w:r>
          </w:p>
        </w:tc>
      </w:tr>
      <w:tr w:rsidR="006633B5" w:rsidRPr="006633B5" w14:paraId="2E51964A" w14:textId="77777777" w:rsidTr="006633B5">
        <w:tc>
          <w:tcPr>
            <w:tcW w:w="1093" w:type="dxa"/>
            <w:shd w:val="clear" w:color="auto" w:fill="auto"/>
          </w:tcPr>
          <w:p w14:paraId="691DE70E" w14:textId="77777777" w:rsidR="006633B5" w:rsidRPr="006633B5" w:rsidRDefault="006633B5" w:rsidP="00E10A24">
            <w:pPr>
              <w:pStyle w:val="Tablebody"/>
              <w:spacing w:after="80"/>
            </w:pPr>
            <w:r w:rsidRPr="006633B5">
              <w:t>c</w:t>
            </w:r>
            <w:r w:rsidRPr="006633B5">
              <w:rPr>
                <w:vertAlign w:val="subscript"/>
              </w:rPr>
              <w:t>pj</w:t>
            </w:r>
          </w:p>
        </w:tc>
        <w:tc>
          <w:tcPr>
            <w:tcW w:w="8758" w:type="dxa"/>
            <w:shd w:val="clear" w:color="auto" w:fill="auto"/>
          </w:tcPr>
          <w:p w14:paraId="3B360364" w14:textId="77777777" w:rsidR="006633B5" w:rsidRPr="006633B5" w:rsidRDefault="006633B5" w:rsidP="00E10A24">
            <w:pPr>
              <w:pStyle w:val="Tablebody"/>
              <w:spacing w:after="80"/>
            </w:pPr>
            <w:r w:rsidRPr="006633B5">
              <w:t>distance between the outer gusset plates in INERD pin connection</w:t>
            </w:r>
          </w:p>
        </w:tc>
      </w:tr>
      <w:tr w:rsidR="006633B5" w:rsidRPr="006633B5" w14:paraId="450E919F" w14:textId="77777777" w:rsidTr="006633B5">
        <w:tc>
          <w:tcPr>
            <w:tcW w:w="1093" w:type="dxa"/>
            <w:shd w:val="clear" w:color="auto" w:fill="auto"/>
          </w:tcPr>
          <w:p w14:paraId="0AFF5E9E" w14:textId="77777777" w:rsidR="006633B5" w:rsidRPr="006633B5" w:rsidRDefault="006633B5" w:rsidP="00E10A24">
            <w:pPr>
              <w:pStyle w:val="Tablebody"/>
              <w:spacing w:after="80"/>
            </w:pPr>
            <w:r w:rsidRPr="006633B5">
              <w:rPr>
                <w:i/>
              </w:rPr>
              <w:t>c</w:t>
            </w:r>
            <w:r w:rsidRPr="006633B5">
              <w:rPr>
                <w:iCs/>
                <w:vertAlign w:val="subscript"/>
              </w:rPr>
              <w:t>P,j</w:t>
            </w:r>
          </w:p>
        </w:tc>
        <w:tc>
          <w:tcPr>
            <w:tcW w:w="8758" w:type="dxa"/>
            <w:shd w:val="clear" w:color="auto" w:fill="auto"/>
          </w:tcPr>
          <w:p w14:paraId="01DD7CB0" w14:textId="77777777" w:rsidR="006633B5" w:rsidRPr="006633B5" w:rsidRDefault="006633B5" w:rsidP="00E10A24">
            <w:pPr>
              <w:pStyle w:val="Tablebody"/>
              <w:spacing w:after="80"/>
            </w:pPr>
            <w:r w:rsidRPr="006633B5">
              <w:t xml:space="preserve">correction factor </w:t>
            </w:r>
            <w:r w:rsidRPr="006633B5">
              <w:rPr>
                <w:i/>
              </w:rPr>
              <w:t>c</w:t>
            </w:r>
            <w:r w:rsidRPr="006633B5">
              <w:rPr>
                <w:i/>
                <w:vertAlign w:val="subscript"/>
              </w:rPr>
              <w:t>P</w:t>
            </w:r>
            <w:r w:rsidRPr="006633B5">
              <w:t xml:space="preserve"> for the j-</w:t>
            </w:r>
            <w:r w:rsidRPr="006633B5">
              <w:rPr>
                <w:i/>
              </w:rPr>
              <w:t>th</w:t>
            </w:r>
            <w:r w:rsidRPr="006633B5">
              <w:t xml:space="preserve"> location of a structural member in plan </w:t>
            </w:r>
          </w:p>
        </w:tc>
      </w:tr>
      <w:tr w:rsidR="006633B5" w:rsidRPr="006633B5" w14:paraId="7BE94D5C" w14:textId="77777777" w:rsidTr="006633B5">
        <w:tc>
          <w:tcPr>
            <w:tcW w:w="1093" w:type="dxa"/>
            <w:shd w:val="clear" w:color="auto" w:fill="auto"/>
          </w:tcPr>
          <w:p w14:paraId="5AF55967" w14:textId="77777777" w:rsidR="006633B5" w:rsidRPr="006633B5" w:rsidRDefault="006633B5" w:rsidP="00E10A24">
            <w:pPr>
              <w:pStyle w:val="Tablebody"/>
              <w:spacing w:after="80"/>
            </w:pPr>
            <w:r w:rsidRPr="006633B5">
              <w:rPr>
                <w:i/>
              </w:rPr>
              <w:t>c</w:t>
            </w:r>
            <w:r w:rsidRPr="006633B5">
              <w:rPr>
                <w:vertAlign w:val="subscript"/>
              </w:rPr>
              <w:t>v1</w:t>
            </w:r>
          </w:p>
        </w:tc>
        <w:tc>
          <w:tcPr>
            <w:tcW w:w="8758" w:type="dxa"/>
            <w:shd w:val="clear" w:color="auto" w:fill="auto"/>
          </w:tcPr>
          <w:p w14:paraId="117399B1" w14:textId="77777777" w:rsidR="006633B5" w:rsidRPr="006633B5" w:rsidRDefault="006633B5" w:rsidP="00E10A24">
            <w:pPr>
              <w:pStyle w:val="Tablebody"/>
              <w:spacing w:after="80"/>
            </w:pPr>
            <w:r w:rsidRPr="006633B5">
              <w:t>coefficient for the determination of the shear resistance at the interfaces</w:t>
            </w:r>
          </w:p>
        </w:tc>
      </w:tr>
      <w:tr w:rsidR="006633B5" w:rsidRPr="006633B5" w14:paraId="3B51BD29" w14:textId="77777777" w:rsidTr="006633B5">
        <w:tc>
          <w:tcPr>
            <w:tcW w:w="1093" w:type="dxa"/>
            <w:shd w:val="clear" w:color="auto" w:fill="auto"/>
          </w:tcPr>
          <w:p w14:paraId="4049C685" w14:textId="77777777" w:rsidR="006633B5" w:rsidRPr="006633B5" w:rsidRDefault="006633B5" w:rsidP="00E10A24">
            <w:pPr>
              <w:pStyle w:val="Tablebody"/>
              <w:spacing w:after="80"/>
              <w:rPr>
                <w:i/>
              </w:rPr>
            </w:pPr>
            <w:r w:rsidRPr="006633B5">
              <w:rPr>
                <w:i/>
              </w:rPr>
              <w:t>d</w:t>
            </w:r>
          </w:p>
        </w:tc>
        <w:tc>
          <w:tcPr>
            <w:tcW w:w="8758" w:type="dxa"/>
            <w:shd w:val="clear" w:color="auto" w:fill="auto"/>
          </w:tcPr>
          <w:p w14:paraId="6951BF25" w14:textId="77777777" w:rsidR="006633B5" w:rsidRPr="006633B5" w:rsidRDefault="006633B5" w:rsidP="00E10A24">
            <w:pPr>
              <w:pStyle w:val="Tablebody"/>
              <w:spacing w:after="80"/>
            </w:pPr>
            <w:r w:rsidRPr="006633B5">
              <w:t>lateral elastic displacement of the top of the building (in m) due to the gravity loads applied in the corresponding horizontal direction</w:t>
            </w:r>
          </w:p>
        </w:tc>
      </w:tr>
      <w:tr w:rsidR="006633B5" w:rsidRPr="006633B5" w14:paraId="421FCFB2" w14:textId="77777777" w:rsidTr="006633B5">
        <w:tc>
          <w:tcPr>
            <w:tcW w:w="1093" w:type="dxa"/>
            <w:shd w:val="clear" w:color="auto" w:fill="auto"/>
          </w:tcPr>
          <w:p w14:paraId="49D2A2B7" w14:textId="77777777" w:rsidR="006633B5" w:rsidRPr="006633B5" w:rsidRDefault="006633B5" w:rsidP="00E10A24">
            <w:pPr>
              <w:pStyle w:val="Tablebody"/>
              <w:spacing w:after="80"/>
            </w:pPr>
            <w:r w:rsidRPr="006633B5">
              <w:rPr>
                <w:i/>
              </w:rPr>
              <w:t>d</w:t>
            </w:r>
            <w:r w:rsidRPr="006633B5">
              <w:rPr>
                <w:vertAlign w:val="subscript"/>
              </w:rPr>
              <w:t>b</w:t>
            </w:r>
          </w:p>
        </w:tc>
        <w:tc>
          <w:tcPr>
            <w:tcW w:w="8758" w:type="dxa"/>
            <w:shd w:val="clear" w:color="auto" w:fill="auto"/>
          </w:tcPr>
          <w:p w14:paraId="30B92005" w14:textId="77777777" w:rsidR="006633B5" w:rsidRPr="006633B5" w:rsidRDefault="006633B5" w:rsidP="00E10A24">
            <w:pPr>
              <w:pStyle w:val="Tablebody"/>
              <w:spacing w:after="80"/>
            </w:pPr>
            <w:r w:rsidRPr="006633B5">
              <w:t>depth of a beam section</w:t>
            </w:r>
          </w:p>
        </w:tc>
      </w:tr>
      <w:tr w:rsidR="006633B5" w:rsidRPr="006633B5" w14:paraId="0E70CFA4" w14:textId="77777777" w:rsidTr="006633B5">
        <w:tc>
          <w:tcPr>
            <w:tcW w:w="1093" w:type="dxa"/>
            <w:shd w:val="clear" w:color="auto" w:fill="auto"/>
          </w:tcPr>
          <w:p w14:paraId="596FAC64" w14:textId="77777777" w:rsidR="006633B5" w:rsidRPr="006633B5" w:rsidRDefault="006633B5" w:rsidP="00E10A24">
            <w:pPr>
              <w:pStyle w:val="Tablebody"/>
              <w:spacing w:after="80"/>
            </w:pPr>
            <w:r w:rsidRPr="006633B5">
              <w:rPr>
                <w:i/>
                <w:iCs/>
              </w:rPr>
              <w:t>d</w:t>
            </w:r>
            <w:r w:rsidRPr="006633B5">
              <w:rPr>
                <w:vertAlign w:val="subscript"/>
              </w:rPr>
              <w:t>bolt</w:t>
            </w:r>
          </w:p>
        </w:tc>
        <w:tc>
          <w:tcPr>
            <w:tcW w:w="8758" w:type="dxa"/>
            <w:shd w:val="clear" w:color="auto" w:fill="auto"/>
          </w:tcPr>
          <w:p w14:paraId="2C35522B" w14:textId="77777777" w:rsidR="006633B5" w:rsidRPr="006633B5" w:rsidRDefault="006633B5" w:rsidP="00E10A24">
            <w:pPr>
              <w:pStyle w:val="Tablebody"/>
              <w:spacing w:after="80"/>
            </w:pPr>
            <w:r w:rsidRPr="006633B5">
              <w:t>nominal diametre of a bolt</w:t>
            </w:r>
          </w:p>
        </w:tc>
      </w:tr>
      <w:tr w:rsidR="006633B5" w:rsidRPr="006633B5" w14:paraId="4421FE72" w14:textId="77777777" w:rsidTr="006633B5">
        <w:tc>
          <w:tcPr>
            <w:tcW w:w="1093" w:type="dxa"/>
            <w:shd w:val="clear" w:color="auto" w:fill="auto"/>
          </w:tcPr>
          <w:p w14:paraId="18DA6E71" w14:textId="77777777" w:rsidR="006633B5" w:rsidRPr="006633B5" w:rsidRDefault="006633B5" w:rsidP="00E10A24">
            <w:pPr>
              <w:pStyle w:val="Tablebody"/>
              <w:spacing w:after="80"/>
            </w:pPr>
            <w:r w:rsidRPr="006633B5">
              <w:rPr>
                <w:i/>
              </w:rPr>
              <w:t>d</w:t>
            </w:r>
            <w:r w:rsidRPr="006633B5">
              <w:rPr>
                <w:i/>
                <w:vertAlign w:val="superscript"/>
              </w:rPr>
              <w:t>*</w:t>
            </w:r>
          </w:p>
        </w:tc>
        <w:tc>
          <w:tcPr>
            <w:tcW w:w="8758" w:type="dxa"/>
            <w:shd w:val="clear" w:color="auto" w:fill="auto"/>
          </w:tcPr>
          <w:p w14:paraId="0ECBB0CE" w14:textId="77777777" w:rsidR="006633B5" w:rsidRPr="006633B5" w:rsidRDefault="006633B5" w:rsidP="00E10A24">
            <w:pPr>
              <w:pStyle w:val="Tablebody"/>
              <w:spacing w:after="80"/>
            </w:pPr>
            <w:r w:rsidRPr="006633B5">
              <w:t>displacement of the equivalent SDOF system</w:t>
            </w:r>
          </w:p>
        </w:tc>
      </w:tr>
      <w:tr w:rsidR="006633B5" w:rsidRPr="006633B5" w14:paraId="2208CFA0" w14:textId="77777777" w:rsidTr="006633B5">
        <w:tc>
          <w:tcPr>
            <w:tcW w:w="1093" w:type="dxa"/>
            <w:shd w:val="clear" w:color="auto" w:fill="auto"/>
          </w:tcPr>
          <w:p w14:paraId="672B2FEE" w14:textId="77777777" w:rsidR="006633B5" w:rsidRPr="006633B5" w:rsidRDefault="006633B5" w:rsidP="00E10A24">
            <w:pPr>
              <w:pStyle w:val="Tablebody"/>
              <w:spacing w:after="80"/>
            </w:pPr>
            <w:r w:rsidRPr="006633B5">
              <w:rPr>
                <w:i/>
              </w:rPr>
              <w:t>d</w:t>
            </w:r>
            <w:r w:rsidRPr="006633B5">
              <w:rPr>
                <w:vertAlign w:val="subscript"/>
              </w:rPr>
              <w:t>bL</w:t>
            </w:r>
          </w:p>
        </w:tc>
        <w:tc>
          <w:tcPr>
            <w:tcW w:w="8758" w:type="dxa"/>
            <w:shd w:val="clear" w:color="auto" w:fill="auto"/>
          </w:tcPr>
          <w:p w14:paraId="7EDAB977" w14:textId="77777777" w:rsidR="006633B5" w:rsidRPr="006633B5" w:rsidRDefault="006633B5" w:rsidP="00E10A24">
            <w:pPr>
              <w:pStyle w:val="Tablebody"/>
              <w:spacing w:after="80"/>
            </w:pPr>
            <w:r w:rsidRPr="006633B5">
              <w:t>longitudinal bar diameter</w:t>
            </w:r>
          </w:p>
        </w:tc>
      </w:tr>
      <w:tr w:rsidR="006633B5" w:rsidRPr="006633B5" w14:paraId="6B5353EF" w14:textId="77777777" w:rsidTr="006633B5">
        <w:tc>
          <w:tcPr>
            <w:tcW w:w="1093" w:type="dxa"/>
            <w:shd w:val="clear" w:color="auto" w:fill="auto"/>
          </w:tcPr>
          <w:p w14:paraId="4711F44F" w14:textId="77777777" w:rsidR="006633B5" w:rsidRPr="006633B5" w:rsidRDefault="006633B5" w:rsidP="00E10A24">
            <w:pPr>
              <w:pStyle w:val="Tablebody"/>
              <w:spacing w:after="80"/>
            </w:pPr>
            <w:r w:rsidRPr="006633B5">
              <w:rPr>
                <w:i/>
              </w:rPr>
              <w:t>d</w:t>
            </w:r>
            <w:r w:rsidRPr="006633B5">
              <w:rPr>
                <w:vertAlign w:val="subscript"/>
              </w:rPr>
              <w:t>bL,min</w:t>
            </w:r>
          </w:p>
        </w:tc>
        <w:tc>
          <w:tcPr>
            <w:tcW w:w="8758" w:type="dxa"/>
            <w:shd w:val="clear" w:color="auto" w:fill="auto"/>
          </w:tcPr>
          <w:p w14:paraId="16D6439B" w14:textId="77777777" w:rsidR="006633B5" w:rsidRPr="006633B5" w:rsidRDefault="006633B5" w:rsidP="00E10A24">
            <w:pPr>
              <w:pStyle w:val="Tablebody"/>
              <w:spacing w:after="80"/>
            </w:pPr>
            <w:r w:rsidRPr="006633B5">
              <w:t>minimum longitudinal bar diameter</w:t>
            </w:r>
          </w:p>
        </w:tc>
      </w:tr>
      <w:tr w:rsidR="006633B5" w:rsidRPr="006633B5" w14:paraId="23617A8B" w14:textId="77777777" w:rsidTr="006633B5">
        <w:tc>
          <w:tcPr>
            <w:tcW w:w="1093" w:type="dxa"/>
            <w:shd w:val="clear" w:color="auto" w:fill="auto"/>
          </w:tcPr>
          <w:p w14:paraId="76C7E478" w14:textId="77777777" w:rsidR="006633B5" w:rsidRPr="006633B5" w:rsidRDefault="006633B5" w:rsidP="00E10A24">
            <w:pPr>
              <w:pStyle w:val="Tablebody"/>
              <w:spacing w:after="80"/>
            </w:pPr>
            <w:r w:rsidRPr="006633B5">
              <w:rPr>
                <w:i/>
              </w:rPr>
              <w:t>d</w:t>
            </w:r>
            <w:r w:rsidRPr="006633B5">
              <w:rPr>
                <w:vertAlign w:val="subscript"/>
              </w:rPr>
              <w:t>bw</w:t>
            </w:r>
          </w:p>
        </w:tc>
        <w:tc>
          <w:tcPr>
            <w:tcW w:w="8758" w:type="dxa"/>
            <w:shd w:val="clear" w:color="auto" w:fill="auto"/>
          </w:tcPr>
          <w:p w14:paraId="6D94B81E" w14:textId="77777777" w:rsidR="006633B5" w:rsidRPr="006633B5" w:rsidRDefault="006633B5" w:rsidP="00E10A24">
            <w:pPr>
              <w:pStyle w:val="Tablebody"/>
              <w:spacing w:after="80"/>
            </w:pPr>
            <w:r w:rsidRPr="006633B5">
              <w:t>hoops diameter or straight links diameter</w:t>
            </w:r>
          </w:p>
        </w:tc>
      </w:tr>
      <w:tr w:rsidR="006633B5" w:rsidRPr="006633B5" w14:paraId="31E90C94" w14:textId="77777777" w:rsidTr="006633B5">
        <w:tc>
          <w:tcPr>
            <w:tcW w:w="1093" w:type="dxa"/>
            <w:shd w:val="clear" w:color="auto" w:fill="auto"/>
          </w:tcPr>
          <w:p w14:paraId="6DA6F458" w14:textId="77777777" w:rsidR="006633B5" w:rsidRPr="006633B5" w:rsidRDefault="006633B5" w:rsidP="00E10A24">
            <w:pPr>
              <w:pStyle w:val="Tablebody"/>
              <w:spacing w:after="80"/>
            </w:pPr>
            <w:r w:rsidRPr="006633B5">
              <w:rPr>
                <w:i/>
              </w:rPr>
              <w:t>d</w:t>
            </w:r>
            <w:r w:rsidRPr="006633B5">
              <w:rPr>
                <w:vertAlign w:val="subscript"/>
              </w:rPr>
              <w:t>c</w:t>
            </w:r>
          </w:p>
        </w:tc>
        <w:tc>
          <w:tcPr>
            <w:tcW w:w="8758" w:type="dxa"/>
            <w:shd w:val="clear" w:color="auto" w:fill="auto"/>
          </w:tcPr>
          <w:p w14:paraId="38F8C99B" w14:textId="77777777" w:rsidR="006633B5" w:rsidRPr="006633B5" w:rsidRDefault="006633B5" w:rsidP="00E10A24">
            <w:pPr>
              <w:pStyle w:val="Tablebody"/>
              <w:spacing w:after="80"/>
            </w:pPr>
            <w:r w:rsidRPr="006633B5">
              <w:t>depth of a section of a column or of a composite beam</w:t>
            </w:r>
          </w:p>
        </w:tc>
      </w:tr>
      <w:tr w:rsidR="006633B5" w:rsidRPr="006633B5" w14:paraId="79BE3093" w14:textId="77777777" w:rsidTr="006633B5">
        <w:tc>
          <w:tcPr>
            <w:tcW w:w="1093" w:type="dxa"/>
            <w:shd w:val="clear" w:color="auto" w:fill="auto"/>
          </w:tcPr>
          <w:p w14:paraId="549467A6" w14:textId="77777777" w:rsidR="006633B5" w:rsidRPr="006633B5" w:rsidRDefault="006633B5" w:rsidP="00E10A24">
            <w:pPr>
              <w:pStyle w:val="Tablebody"/>
              <w:spacing w:after="80"/>
            </w:pPr>
            <w:r w:rsidRPr="006633B5">
              <w:rPr>
                <w:i/>
              </w:rPr>
              <w:t>d</w:t>
            </w:r>
            <w:r w:rsidRPr="006633B5">
              <w:rPr>
                <w:vertAlign w:val="subscript"/>
              </w:rPr>
              <w:t>dg</w:t>
            </w:r>
          </w:p>
        </w:tc>
        <w:tc>
          <w:tcPr>
            <w:tcW w:w="8758" w:type="dxa"/>
            <w:shd w:val="clear" w:color="auto" w:fill="auto"/>
          </w:tcPr>
          <w:p w14:paraId="5C593BFF" w14:textId="77777777" w:rsidR="006633B5" w:rsidRPr="006633B5" w:rsidRDefault="006633B5" w:rsidP="00E10A24">
            <w:pPr>
              <w:pStyle w:val="Tablebody"/>
              <w:spacing w:after="80"/>
            </w:pPr>
            <w:r w:rsidRPr="006633B5">
              <w:t>size parameter describing the crack and failure zone roughness, taking account of concrete type and its aggregate properties</w:t>
            </w:r>
          </w:p>
        </w:tc>
      </w:tr>
      <w:tr w:rsidR="006633B5" w:rsidRPr="006633B5" w14:paraId="78EE11DB" w14:textId="77777777" w:rsidTr="006633B5">
        <w:tc>
          <w:tcPr>
            <w:tcW w:w="1093" w:type="dxa"/>
            <w:shd w:val="clear" w:color="auto" w:fill="auto"/>
          </w:tcPr>
          <w:p w14:paraId="105A6B2B" w14:textId="77777777" w:rsidR="006633B5" w:rsidRPr="006633B5" w:rsidRDefault="006633B5" w:rsidP="00E10A24">
            <w:pPr>
              <w:pStyle w:val="Tablebody"/>
              <w:spacing w:after="80"/>
            </w:pPr>
            <w:r w:rsidRPr="006633B5">
              <w:rPr>
                <w:i/>
              </w:rPr>
              <w:t>d</w:t>
            </w:r>
            <w:r w:rsidRPr="006633B5">
              <w:rPr>
                <w:vertAlign w:val="subscript"/>
              </w:rPr>
              <w:t>Ds</w:t>
            </w:r>
          </w:p>
        </w:tc>
        <w:tc>
          <w:tcPr>
            <w:tcW w:w="8758" w:type="dxa"/>
            <w:shd w:val="clear" w:color="auto" w:fill="auto"/>
          </w:tcPr>
          <w:p w14:paraId="77CE1C85" w14:textId="77777777" w:rsidR="006633B5" w:rsidRPr="006633B5" w:rsidRDefault="006633B5" w:rsidP="00E10A24">
            <w:pPr>
              <w:pStyle w:val="Tablebody"/>
              <w:spacing w:after="80"/>
            </w:pPr>
            <w:r w:rsidRPr="006633B5">
              <w:t xml:space="preserve">maximum interstorey drift that can be sustained by the primary seismic elements of the main structural system at the </w:t>
            </w:r>
            <w:r w:rsidRPr="006633B5">
              <w:rPr>
                <w:i/>
              </w:rPr>
              <w:t>s</w:t>
            </w:r>
            <w:r w:rsidRPr="006633B5">
              <w:t>-th storey within the linear elastic range</w:t>
            </w:r>
          </w:p>
        </w:tc>
      </w:tr>
      <w:tr w:rsidR="006633B5" w:rsidRPr="006633B5" w14:paraId="683C44D2" w14:textId="77777777" w:rsidTr="006633B5">
        <w:tc>
          <w:tcPr>
            <w:tcW w:w="1093" w:type="dxa"/>
            <w:shd w:val="clear" w:color="auto" w:fill="auto"/>
          </w:tcPr>
          <w:p w14:paraId="602FFA30" w14:textId="77777777" w:rsidR="006633B5" w:rsidRPr="006633B5" w:rsidRDefault="006633B5" w:rsidP="00E10A24">
            <w:pPr>
              <w:pStyle w:val="Tablebody"/>
              <w:spacing w:after="80"/>
            </w:pPr>
            <w:r w:rsidRPr="006633B5">
              <w:rPr>
                <w:i/>
              </w:rPr>
              <w:t>d</w:t>
            </w:r>
            <w:r w:rsidRPr="006633B5">
              <w:rPr>
                <w:iCs/>
                <w:vertAlign w:val="subscript"/>
              </w:rPr>
              <w:t>dys</w:t>
            </w:r>
          </w:p>
        </w:tc>
        <w:tc>
          <w:tcPr>
            <w:tcW w:w="8758" w:type="dxa"/>
            <w:shd w:val="clear" w:color="auto" w:fill="auto"/>
          </w:tcPr>
          <w:p w14:paraId="2B9DF88D" w14:textId="77777777" w:rsidR="006633B5" w:rsidRPr="006633B5" w:rsidRDefault="006633B5" w:rsidP="00E10A24">
            <w:pPr>
              <w:pStyle w:val="Tablebody"/>
              <w:spacing w:after="80"/>
            </w:pPr>
            <w:r w:rsidRPr="006633B5">
              <w:rPr>
                <w:i/>
              </w:rPr>
              <w:t>s-</w:t>
            </w:r>
            <w:r w:rsidRPr="006633B5">
              <w:t xml:space="preserve">th storey drift at yielding of the energy dissipation devices of this storey </w:t>
            </w:r>
          </w:p>
        </w:tc>
      </w:tr>
      <w:tr w:rsidR="006633B5" w:rsidRPr="006633B5" w14:paraId="3D6E6C46" w14:textId="77777777" w:rsidTr="006633B5">
        <w:tc>
          <w:tcPr>
            <w:tcW w:w="1093" w:type="dxa"/>
            <w:shd w:val="clear" w:color="auto" w:fill="auto"/>
          </w:tcPr>
          <w:p w14:paraId="6B290FCB" w14:textId="77777777" w:rsidR="006633B5" w:rsidRPr="006633B5" w:rsidRDefault="006633B5" w:rsidP="00E10A24">
            <w:pPr>
              <w:pStyle w:val="Tablebody"/>
              <w:spacing w:after="80"/>
            </w:pPr>
            <w:r w:rsidRPr="006633B5">
              <w:rPr>
                <w:i/>
              </w:rPr>
              <w:t>d</w:t>
            </w:r>
            <w:r w:rsidRPr="006633B5">
              <w:rPr>
                <w:iCs/>
                <w:vertAlign w:val="subscript"/>
              </w:rPr>
              <w:t>e,jt</w:t>
            </w:r>
          </w:p>
        </w:tc>
        <w:tc>
          <w:tcPr>
            <w:tcW w:w="8758" w:type="dxa"/>
            <w:shd w:val="clear" w:color="auto" w:fill="auto"/>
          </w:tcPr>
          <w:p w14:paraId="214FC0FB" w14:textId="77777777" w:rsidR="006633B5" w:rsidRPr="006633B5" w:rsidRDefault="006633B5" w:rsidP="00E10A24">
            <w:pPr>
              <w:pStyle w:val="Tablebody"/>
              <w:spacing w:after="80"/>
            </w:pPr>
            <w:r w:rsidRPr="006633B5">
              <w:t xml:space="preserve">value of the displacement at the </w:t>
            </w:r>
            <w:r w:rsidRPr="006633B5">
              <w:rPr>
                <w:i/>
              </w:rPr>
              <w:t>j</w:t>
            </w:r>
            <w:r w:rsidRPr="006633B5">
              <w:rPr>
                <w:iCs/>
              </w:rPr>
              <w:t>-th</w:t>
            </w:r>
            <w:r w:rsidRPr="006633B5">
              <w:t xml:space="preserve"> location in plan, obtained from the linear elastic analysis associated with the design seismic action </w:t>
            </w:r>
          </w:p>
        </w:tc>
      </w:tr>
      <w:tr w:rsidR="006633B5" w:rsidRPr="006633B5" w14:paraId="41FE431A" w14:textId="77777777" w:rsidTr="006633B5">
        <w:tc>
          <w:tcPr>
            <w:tcW w:w="1093" w:type="dxa"/>
            <w:shd w:val="clear" w:color="auto" w:fill="auto"/>
          </w:tcPr>
          <w:p w14:paraId="503C8721" w14:textId="77777777" w:rsidR="006633B5" w:rsidRPr="006633B5" w:rsidRDefault="006633B5" w:rsidP="00E10A24">
            <w:pPr>
              <w:pStyle w:val="Tablebody"/>
              <w:spacing w:after="80"/>
            </w:pPr>
            <w:r w:rsidRPr="006633B5">
              <w:rPr>
                <w:i/>
              </w:rPr>
              <w:lastRenderedPageBreak/>
              <w:t>d</w:t>
            </w:r>
            <w:r w:rsidRPr="006633B5">
              <w:rPr>
                <w:iCs/>
                <w:vertAlign w:val="subscript"/>
              </w:rPr>
              <w:t>et</w:t>
            </w:r>
          </w:p>
        </w:tc>
        <w:tc>
          <w:tcPr>
            <w:tcW w:w="8758" w:type="dxa"/>
            <w:shd w:val="clear" w:color="auto" w:fill="auto"/>
          </w:tcPr>
          <w:p w14:paraId="3D18E4B1" w14:textId="77777777" w:rsidR="006633B5" w:rsidRPr="006633B5" w:rsidRDefault="006633B5" w:rsidP="00E10A24">
            <w:pPr>
              <w:pStyle w:val="Tablebody"/>
              <w:spacing w:after="80"/>
            </w:pPr>
            <w:r w:rsidRPr="006633B5">
              <w:t xml:space="preserve">value of the control displacement obtained from the linear elastic analysis associated with the design seismic action </w:t>
            </w:r>
          </w:p>
        </w:tc>
      </w:tr>
      <w:tr w:rsidR="006633B5" w:rsidRPr="006633B5" w14:paraId="5687C001" w14:textId="77777777" w:rsidTr="006633B5">
        <w:tc>
          <w:tcPr>
            <w:tcW w:w="1093" w:type="dxa"/>
            <w:shd w:val="clear" w:color="auto" w:fill="auto"/>
          </w:tcPr>
          <w:p w14:paraId="52610367" w14:textId="77777777" w:rsidR="006633B5" w:rsidRPr="006633B5" w:rsidRDefault="006633B5" w:rsidP="00E10A24">
            <w:pPr>
              <w:pStyle w:val="Tablebody"/>
              <w:spacing w:after="80"/>
              <w:rPr>
                <w:i/>
              </w:rPr>
            </w:pPr>
            <w:r w:rsidRPr="006633B5">
              <w:rPr>
                <w:i/>
              </w:rPr>
              <w:t>d</w:t>
            </w:r>
            <w:r w:rsidRPr="006633B5">
              <w:rPr>
                <w:iCs/>
                <w:vertAlign w:val="subscript"/>
              </w:rPr>
              <w:t>fa</w:t>
            </w:r>
          </w:p>
        </w:tc>
        <w:tc>
          <w:tcPr>
            <w:tcW w:w="8758" w:type="dxa"/>
            <w:shd w:val="clear" w:color="auto" w:fill="auto"/>
          </w:tcPr>
          <w:p w14:paraId="6ECC60C7" w14:textId="77777777" w:rsidR="006633B5" w:rsidRPr="006633B5" w:rsidRDefault="006633B5" w:rsidP="00E10A24">
            <w:pPr>
              <w:pStyle w:val="Tablebody"/>
              <w:spacing w:after="80"/>
            </w:pPr>
            <w:r w:rsidRPr="006633B5">
              <w:t>fastener diameter</w:t>
            </w:r>
          </w:p>
        </w:tc>
      </w:tr>
      <w:tr w:rsidR="006633B5" w:rsidRPr="006633B5" w14:paraId="0A7A2725" w14:textId="77777777" w:rsidTr="006633B5">
        <w:tc>
          <w:tcPr>
            <w:tcW w:w="1093" w:type="dxa"/>
            <w:shd w:val="clear" w:color="auto" w:fill="auto"/>
          </w:tcPr>
          <w:p w14:paraId="30DDBE2E" w14:textId="77777777" w:rsidR="006633B5" w:rsidRPr="006633B5" w:rsidRDefault="006633B5" w:rsidP="00E10A24">
            <w:pPr>
              <w:pStyle w:val="Tablebody"/>
              <w:spacing w:after="80"/>
            </w:pPr>
            <w:r w:rsidRPr="006633B5">
              <w:rPr>
                <w:i/>
              </w:rPr>
              <w:t>d</w:t>
            </w:r>
            <w:r w:rsidRPr="006633B5">
              <w:rPr>
                <w:iCs/>
                <w:vertAlign w:val="subscript"/>
              </w:rPr>
              <w:t>f,y</w:t>
            </w:r>
          </w:p>
        </w:tc>
        <w:tc>
          <w:tcPr>
            <w:tcW w:w="8758" w:type="dxa"/>
            <w:shd w:val="clear" w:color="auto" w:fill="auto"/>
          </w:tcPr>
          <w:p w14:paraId="45D5C00E" w14:textId="77777777" w:rsidR="006633B5" w:rsidRPr="006633B5" w:rsidRDefault="006633B5" w:rsidP="00E10A24">
            <w:pPr>
              <w:pStyle w:val="Tablebody"/>
              <w:spacing w:after="80"/>
            </w:pPr>
            <w:r w:rsidRPr="006633B5">
              <w:t xml:space="preserve">yielding displacement of a structure with velocity-dependent energy dissipation devices, relative to the ground, at roof level </w:t>
            </w:r>
          </w:p>
        </w:tc>
      </w:tr>
      <w:tr w:rsidR="006633B5" w:rsidRPr="006633B5" w14:paraId="4DC9C0BF" w14:textId="77777777" w:rsidTr="006633B5">
        <w:tc>
          <w:tcPr>
            <w:tcW w:w="1093" w:type="dxa"/>
            <w:shd w:val="clear" w:color="auto" w:fill="auto"/>
          </w:tcPr>
          <w:p w14:paraId="0B3C6E31" w14:textId="77777777" w:rsidR="006633B5" w:rsidRPr="006633B5" w:rsidRDefault="006633B5" w:rsidP="00E10A24">
            <w:pPr>
              <w:pStyle w:val="Tablebody"/>
              <w:spacing w:after="80"/>
            </w:pPr>
            <w:r w:rsidRPr="006633B5">
              <w:rPr>
                <w:i/>
              </w:rPr>
              <w:t>d</w:t>
            </w:r>
            <w:r w:rsidRPr="006633B5">
              <w:rPr>
                <w:iCs/>
                <w:vertAlign w:val="subscript"/>
              </w:rPr>
              <w:t>fys</w:t>
            </w:r>
          </w:p>
        </w:tc>
        <w:tc>
          <w:tcPr>
            <w:tcW w:w="8758" w:type="dxa"/>
            <w:shd w:val="clear" w:color="auto" w:fill="auto"/>
          </w:tcPr>
          <w:p w14:paraId="285C06AC" w14:textId="77777777" w:rsidR="006633B5" w:rsidRPr="006633B5" w:rsidRDefault="006633B5" w:rsidP="00E10A24">
            <w:pPr>
              <w:pStyle w:val="Tablebody"/>
              <w:spacing w:after="80"/>
            </w:pPr>
            <w:r w:rsidRPr="006633B5">
              <w:rPr>
                <w:i/>
                <w:iCs/>
              </w:rPr>
              <w:t>s</w:t>
            </w:r>
            <w:r w:rsidRPr="006633B5">
              <w:t xml:space="preserve">-th storey drift corresponding to the formation of a full plastic mechanism in the primary seismic elements of the main structural system </w:t>
            </w:r>
          </w:p>
        </w:tc>
      </w:tr>
      <w:tr w:rsidR="006633B5" w:rsidRPr="006633B5" w14:paraId="3CDE3381" w14:textId="77777777" w:rsidTr="006633B5">
        <w:tc>
          <w:tcPr>
            <w:tcW w:w="1093" w:type="dxa"/>
            <w:shd w:val="clear" w:color="auto" w:fill="auto"/>
          </w:tcPr>
          <w:p w14:paraId="4FF448A9" w14:textId="77777777" w:rsidR="006633B5" w:rsidRPr="006633B5" w:rsidRDefault="006633B5" w:rsidP="00E10A24">
            <w:pPr>
              <w:pStyle w:val="Tablebody"/>
              <w:spacing w:after="80"/>
            </w:pPr>
            <w:r w:rsidRPr="006633B5">
              <w:rPr>
                <w:i/>
              </w:rPr>
              <w:t>d</w:t>
            </w:r>
            <w:r w:rsidRPr="006633B5">
              <w:rPr>
                <w:iCs/>
                <w:vertAlign w:val="subscript"/>
              </w:rPr>
              <w:t>i1</w:t>
            </w:r>
          </w:p>
        </w:tc>
        <w:tc>
          <w:tcPr>
            <w:tcW w:w="8758" w:type="dxa"/>
            <w:shd w:val="clear" w:color="auto" w:fill="auto"/>
          </w:tcPr>
          <w:p w14:paraId="69945D19" w14:textId="77777777" w:rsidR="006633B5" w:rsidRPr="006633B5" w:rsidRDefault="006633B5" w:rsidP="00E10A24">
            <w:pPr>
              <w:pStyle w:val="Tablebody"/>
              <w:spacing w:after="80"/>
            </w:pPr>
            <w:r w:rsidRPr="006633B5">
              <w:t xml:space="preserve">maximum horizontal displacement at the </w:t>
            </w:r>
            <w:r w:rsidRPr="006633B5">
              <w:rPr>
                <w:i/>
              </w:rPr>
              <w:t>i</w:t>
            </w:r>
            <w:r w:rsidRPr="006633B5">
              <w:rPr>
                <w:iCs/>
              </w:rPr>
              <w:t>-th</w:t>
            </w:r>
            <w:r w:rsidRPr="006633B5">
              <w:t xml:space="preserve"> floor relative to the ground in the first mode</w:t>
            </w:r>
          </w:p>
        </w:tc>
      </w:tr>
      <w:tr w:rsidR="006633B5" w:rsidRPr="006633B5" w14:paraId="1AD78BBB" w14:textId="77777777" w:rsidTr="006633B5">
        <w:tc>
          <w:tcPr>
            <w:tcW w:w="1093" w:type="dxa"/>
            <w:shd w:val="clear" w:color="auto" w:fill="auto"/>
          </w:tcPr>
          <w:p w14:paraId="336AAB37" w14:textId="77777777" w:rsidR="006633B5" w:rsidRPr="006633B5" w:rsidRDefault="006633B5" w:rsidP="00E10A24">
            <w:pPr>
              <w:pStyle w:val="Tablebody"/>
              <w:spacing w:after="80"/>
              <w:rPr>
                <w:i/>
              </w:rPr>
            </w:pPr>
            <w:r w:rsidRPr="006633B5">
              <w:rPr>
                <w:i/>
              </w:rPr>
              <w:t>d</w:t>
            </w:r>
            <w:r w:rsidRPr="006633B5">
              <w:rPr>
                <w:iCs/>
                <w:vertAlign w:val="subscript"/>
              </w:rPr>
              <w:t>n</w:t>
            </w:r>
          </w:p>
        </w:tc>
        <w:tc>
          <w:tcPr>
            <w:tcW w:w="8758" w:type="dxa"/>
            <w:shd w:val="clear" w:color="auto" w:fill="auto"/>
          </w:tcPr>
          <w:p w14:paraId="1E371E2C" w14:textId="77777777" w:rsidR="006633B5" w:rsidRPr="006633B5" w:rsidRDefault="006633B5" w:rsidP="00E10A24">
            <w:pPr>
              <w:pStyle w:val="Tablebody"/>
              <w:spacing w:after="80"/>
            </w:pPr>
            <w:r w:rsidRPr="006633B5">
              <w:t xml:space="preserve">total lateral displacement of the shear-wall at the top of the </w:t>
            </w:r>
            <w:r w:rsidRPr="006633B5">
              <w:rPr>
                <w:i/>
              </w:rPr>
              <w:t>n</w:t>
            </w:r>
            <w:r w:rsidRPr="006633B5">
              <w:rPr>
                <w:vertAlign w:val="superscript"/>
              </w:rPr>
              <w:t>th</w:t>
            </w:r>
            <w:r w:rsidRPr="006633B5">
              <w:t xml:space="preserve"> storey</w:t>
            </w:r>
          </w:p>
        </w:tc>
      </w:tr>
      <w:tr w:rsidR="006633B5" w:rsidRPr="006633B5" w14:paraId="21311004" w14:textId="77777777" w:rsidTr="006633B5">
        <w:tc>
          <w:tcPr>
            <w:tcW w:w="1093" w:type="dxa"/>
            <w:shd w:val="clear" w:color="auto" w:fill="auto"/>
          </w:tcPr>
          <w:p w14:paraId="5A184AFE" w14:textId="77777777" w:rsidR="006633B5" w:rsidRPr="006633B5" w:rsidRDefault="006633B5" w:rsidP="00E10A24">
            <w:pPr>
              <w:pStyle w:val="Tablebody"/>
              <w:spacing w:after="80"/>
            </w:pPr>
            <w:r w:rsidRPr="006633B5">
              <w:rPr>
                <w:i/>
              </w:rPr>
              <w:t>d</w:t>
            </w:r>
            <w:r w:rsidRPr="006633B5">
              <w:rPr>
                <w:iCs/>
                <w:vertAlign w:val="subscript"/>
              </w:rPr>
              <w:t>r</w:t>
            </w:r>
          </w:p>
        </w:tc>
        <w:tc>
          <w:tcPr>
            <w:tcW w:w="8758" w:type="dxa"/>
            <w:shd w:val="clear" w:color="auto" w:fill="auto"/>
          </w:tcPr>
          <w:p w14:paraId="7101C5BE" w14:textId="77777777" w:rsidR="006633B5" w:rsidRPr="006633B5" w:rsidRDefault="006633B5" w:rsidP="00E10A24">
            <w:pPr>
              <w:pStyle w:val="Tablebody"/>
              <w:spacing w:after="80"/>
            </w:pPr>
            <w:r w:rsidRPr="006633B5">
              <w:t xml:space="preserve">design interstorey drift, evaluated as the difference of the average lateral displacements </w:t>
            </w:r>
            <w:r w:rsidRPr="006633B5">
              <w:rPr>
                <w:i/>
              </w:rPr>
              <w:t>d</w:t>
            </w:r>
            <w:r w:rsidRPr="006633B5">
              <w:rPr>
                <w:vertAlign w:val="subscript"/>
              </w:rPr>
              <w:t>s</w:t>
            </w:r>
            <w:r w:rsidRPr="006633B5">
              <w:t xml:space="preserve"> at the top and bottom of the storey under consideration and calculated in accordance with 6.4.1</w:t>
            </w:r>
          </w:p>
        </w:tc>
      </w:tr>
      <w:tr w:rsidR="006633B5" w:rsidRPr="006633B5" w14:paraId="7DF1E184" w14:textId="77777777" w:rsidTr="006633B5">
        <w:tc>
          <w:tcPr>
            <w:tcW w:w="1093" w:type="dxa"/>
            <w:shd w:val="clear" w:color="auto" w:fill="auto"/>
          </w:tcPr>
          <w:p w14:paraId="72401EE0" w14:textId="77777777" w:rsidR="006633B5" w:rsidRPr="006633B5" w:rsidRDefault="006633B5" w:rsidP="00E10A24">
            <w:pPr>
              <w:pStyle w:val="Tablebody"/>
              <w:spacing w:after="80"/>
              <w:rPr>
                <w:vertAlign w:val="subscript"/>
              </w:rPr>
            </w:pPr>
            <w:r w:rsidRPr="006633B5">
              <w:rPr>
                <w:i/>
              </w:rPr>
              <w:t>d</w:t>
            </w:r>
            <w:r w:rsidRPr="006633B5">
              <w:rPr>
                <w:vertAlign w:val="subscript"/>
              </w:rPr>
              <w:t>r,DL</w:t>
            </w:r>
          </w:p>
        </w:tc>
        <w:tc>
          <w:tcPr>
            <w:tcW w:w="8758" w:type="dxa"/>
            <w:shd w:val="clear" w:color="auto" w:fill="auto"/>
          </w:tcPr>
          <w:p w14:paraId="20ED64C6" w14:textId="77777777" w:rsidR="006633B5" w:rsidRPr="006633B5" w:rsidRDefault="006633B5" w:rsidP="00E10A24">
            <w:pPr>
              <w:pStyle w:val="Tablebody"/>
              <w:spacing w:after="80"/>
            </w:pPr>
            <w:r w:rsidRPr="006633B5">
              <w:t>design interstorey drift at DL limit state</w:t>
            </w:r>
          </w:p>
        </w:tc>
      </w:tr>
      <w:tr w:rsidR="006633B5" w:rsidRPr="006633B5" w14:paraId="24FDF8D3" w14:textId="77777777" w:rsidTr="006633B5">
        <w:tc>
          <w:tcPr>
            <w:tcW w:w="1093" w:type="dxa"/>
            <w:shd w:val="clear" w:color="auto" w:fill="auto"/>
          </w:tcPr>
          <w:p w14:paraId="43658E99" w14:textId="77777777" w:rsidR="006633B5" w:rsidRPr="006633B5" w:rsidRDefault="006633B5" w:rsidP="00E10A24">
            <w:pPr>
              <w:pStyle w:val="Tablebody"/>
              <w:spacing w:after="80"/>
              <w:rPr>
                <w:vertAlign w:val="subscript"/>
              </w:rPr>
            </w:pPr>
            <w:r w:rsidRPr="006633B5">
              <w:rPr>
                <w:i/>
              </w:rPr>
              <w:t>d</w:t>
            </w:r>
            <w:r w:rsidRPr="006633B5">
              <w:rPr>
                <w:vertAlign w:val="subscript"/>
              </w:rPr>
              <w:t>r,SD</w:t>
            </w:r>
          </w:p>
        </w:tc>
        <w:tc>
          <w:tcPr>
            <w:tcW w:w="8758" w:type="dxa"/>
            <w:shd w:val="clear" w:color="auto" w:fill="auto"/>
          </w:tcPr>
          <w:p w14:paraId="2A1C50FC" w14:textId="77777777" w:rsidR="006633B5" w:rsidRPr="006633B5" w:rsidRDefault="006633B5" w:rsidP="00E10A24">
            <w:pPr>
              <w:pStyle w:val="Tablebody"/>
              <w:spacing w:after="80"/>
            </w:pPr>
            <w:r w:rsidRPr="006633B5">
              <w:t>design interstorey drift at SD limit state</w:t>
            </w:r>
          </w:p>
        </w:tc>
      </w:tr>
      <w:tr w:rsidR="006633B5" w:rsidRPr="006633B5" w14:paraId="1E274E28" w14:textId="77777777" w:rsidTr="006633B5">
        <w:tc>
          <w:tcPr>
            <w:tcW w:w="1093" w:type="dxa"/>
            <w:shd w:val="clear" w:color="auto" w:fill="auto"/>
          </w:tcPr>
          <w:p w14:paraId="3E3F6D0D" w14:textId="77777777" w:rsidR="006633B5" w:rsidRPr="006633B5" w:rsidRDefault="006633B5" w:rsidP="00E10A24">
            <w:pPr>
              <w:pStyle w:val="Tablebody"/>
              <w:spacing w:after="80"/>
              <w:rPr>
                <w:i/>
              </w:rPr>
            </w:pPr>
            <w:r w:rsidRPr="006633B5">
              <w:rPr>
                <w:i/>
              </w:rPr>
              <w:t>d</w:t>
            </w:r>
            <w:r w:rsidRPr="006633B5">
              <w:rPr>
                <w:iCs/>
                <w:vertAlign w:val="subscript"/>
              </w:rPr>
              <w:t>ret,i</w:t>
            </w:r>
          </w:p>
        </w:tc>
        <w:tc>
          <w:tcPr>
            <w:tcW w:w="8758" w:type="dxa"/>
            <w:shd w:val="clear" w:color="auto" w:fill="auto"/>
          </w:tcPr>
          <w:p w14:paraId="2247609E" w14:textId="77777777" w:rsidR="006633B5" w:rsidRPr="006633B5" w:rsidRDefault="006633B5" w:rsidP="00E10A24">
            <w:pPr>
              <w:pStyle w:val="Tablebody"/>
              <w:spacing w:after="80"/>
            </w:pPr>
            <w:r w:rsidRPr="006633B5">
              <w:t xml:space="preserve">interstorey drift at the centre of mass of the </w:t>
            </w:r>
            <w:r w:rsidRPr="006633B5">
              <w:rPr>
                <w:i/>
              </w:rPr>
              <w:t>i</w:t>
            </w:r>
            <w:r w:rsidRPr="006633B5">
              <w:t>-th storey, obtained from linear elastic analysis associated with the design seismic action</w:t>
            </w:r>
          </w:p>
        </w:tc>
      </w:tr>
      <w:tr w:rsidR="006633B5" w:rsidRPr="006633B5" w14:paraId="4FC7691D" w14:textId="77777777" w:rsidTr="006633B5">
        <w:tc>
          <w:tcPr>
            <w:tcW w:w="1093" w:type="dxa"/>
            <w:shd w:val="clear" w:color="auto" w:fill="auto"/>
          </w:tcPr>
          <w:p w14:paraId="64EE0A07" w14:textId="77777777" w:rsidR="006633B5" w:rsidRPr="006633B5" w:rsidRDefault="006633B5" w:rsidP="00E10A24">
            <w:pPr>
              <w:pStyle w:val="Tablebody"/>
              <w:spacing w:after="80"/>
            </w:pPr>
            <w:r w:rsidRPr="006633B5">
              <w:rPr>
                <w:i/>
              </w:rPr>
              <w:t>d</w:t>
            </w:r>
            <w:r w:rsidRPr="006633B5">
              <w:rPr>
                <w:iCs/>
                <w:vertAlign w:val="subscript"/>
              </w:rPr>
              <w:t>roof,y</w:t>
            </w:r>
          </w:p>
        </w:tc>
        <w:tc>
          <w:tcPr>
            <w:tcW w:w="8758" w:type="dxa"/>
            <w:shd w:val="clear" w:color="auto" w:fill="auto"/>
          </w:tcPr>
          <w:p w14:paraId="1B03A2E9" w14:textId="77777777" w:rsidR="006633B5" w:rsidRPr="006633B5" w:rsidRDefault="006633B5" w:rsidP="00E10A24">
            <w:pPr>
              <w:pStyle w:val="Tablebody"/>
              <w:spacing w:after="80"/>
            </w:pPr>
            <w:r w:rsidRPr="006633B5">
              <w:t>yielding displacement of a structure with displacement-dependent energy dissipation devices, relative to the ground, at roof level</w:t>
            </w:r>
          </w:p>
        </w:tc>
      </w:tr>
      <w:tr w:rsidR="006633B5" w:rsidRPr="006633B5" w14:paraId="56E300B2" w14:textId="77777777" w:rsidTr="006633B5">
        <w:tc>
          <w:tcPr>
            <w:tcW w:w="1093" w:type="dxa"/>
            <w:shd w:val="clear" w:color="auto" w:fill="auto"/>
          </w:tcPr>
          <w:p w14:paraId="30185D5F" w14:textId="77777777" w:rsidR="006633B5" w:rsidRPr="006633B5" w:rsidRDefault="006633B5" w:rsidP="00E10A24">
            <w:pPr>
              <w:pStyle w:val="Tablebody"/>
              <w:spacing w:after="80"/>
            </w:pPr>
            <w:r w:rsidRPr="006633B5">
              <w:rPr>
                <w:i/>
              </w:rPr>
              <w:t>d</w:t>
            </w:r>
            <w:r w:rsidRPr="006633B5">
              <w:rPr>
                <w:iCs/>
                <w:vertAlign w:val="subscript"/>
              </w:rPr>
              <w:t>roof1</w:t>
            </w:r>
          </w:p>
        </w:tc>
        <w:tc>
          <w:tcPr>
            <w:tcW w:w="8758" w:type="dxa"/>
            <w:shd w:val="clear" w:color="auto" w:fill="auto"/>
          </w:tcPr>
          <w:p w14:paraId="31C2C534" w14:textId="77777777" w:rsidR="006633B5" w:rsidRPr="006633B5" w:rsidRDefault="006633B5" w:rsidP="00E10A24">
            <w:pPr>
              <w:pStyle w:val="Tablebody"/>
              <w:spacing w:after="80"/>
            </w:pPr>
            <w:r w:rsidRPr="006633B5">
              <w:t xml:space="preserve">maximum displacement relative to the ground at roof level for inelastic behaviour of the structure with energy dissipation system, including the elastic part, in the first mode </w:t>
            </w:r>
          </w:p>
        </w:tc>
      </w:tr>
      <w:tr w:rsidR="006633B5" w:rsidRPr="006633B5" w14:paraId="53CC0221" w14:textId="77777777" w:rsidTr="006633B5">
        <w:tc>
          <w:tcPr>
            <w:tcW w:w="1093" w:type="dxa"/>
            <w:shd w:val="clear" w:color="auto" w:fill="auto"/>
          </w:tcPr>
          <w:p w14:paraId="5D9E9197" w14:textId="77777777" w:rsidR="006633B5" w:rsidRPr="006633B5" w:rsidRDefault="006633B5" w:rsidP="00E10A24">
            <w:pPr>
              <w:pStyle w:val="Tablebody"/>
              <w:spacing w:after="80"/>
              <w:rPr>
                <w:i/>
                <w:vertAlign w:val="subscript"/>
              </w:rPr>
            </w:pPr>
            <w:r w:rsidRPr="006633B5">
              <w:rPr>
                <w:i/>
              </w:rPr>
              <w:t>d</w:t>
            </w:r>
            <w:r w:rsidRPr="006633B5">
              <w:rPr>
                <w:iCs/>
                <w:vertAlign w:val="subscript"/>
              </w:rPr>
              <w:t>roof1e</w:t>
            </w:r>
          </w:p>
        </w:tc>
        <w:tc>
          <w:tcPr>
            <w:tcW w:w="8758" w:type="dxa"/>
            <w:shd w:val="clear" w:color="auto" w:fill="auto"/>
          </w:tcPr>
          <w:p w14:paraId="27444166" w14:textId="77777777" w:rsidR="006633B5" w:rsidRPr="006633B5" w:rsidRDefault="006633B5" w:rsidP="00E10A24">
            <w:pPr>
              <w:pStyle w:val="Tablebody"/>
              <w:spacing w:after="80"/>
            </w:pPr>
            <w:r w:rsidRPr="006633B5">
              <w:t>maximum displacement relative to the ground at roof level in the first mode for a structure with energy dissipation in the elastic range</w:t>
            </w:r>
          </w:p>
        </w:tc>
      </w:tr>
      <w:tr w:rsidR="006633B5" w:rsidRPr="006633B5" w14:paraId="2A184708" w14:textId="77777777" w:rsidTr="006633B5">
        <w:tc>
          <w:tcPr>
            <w:tcW w:w="1093" w:type="dxa"/>
            <w:shd w:val="clear" w:color="auto" w:fill="auto"/>
          </w:tcPr>
          <w:p w14:paraId="547A87A0" w14:textId="77777777" w:rsidR="006633B5" w:rsidRPr="006633B5" w:rsidRDefault="006633B5" w:rsidP="00E10A24">
            <w:pPr>
              <w:pStyle w:val="Tablebody"/>
              <w:spacing w:after="80"/>
            </w:pPr>
            <w:r w:rsidRPr="006633B5">
              <w:rPr>
                <w:i/>
              </w:rPr>
              <w:t>d</w:t>
            </w:r>
            <w:r w:rsidRPr="006633B5">
              <w:rPr>
                <w:i/>
                <w:vertAlign w:val="subscript"/>
              </w:rPr>
              <w:t>rs</w:t>
            </w:r>
            <w:r w:rsidRPr="006633B5">
              <w:rPr>
                <w:vertAlign w:val="subscript"/>
              </w:rPr>
              <w:t>1</w:t>
            </w:r>
          </w:p>
        </w:tc>
        <w:tc>
          <w:tcPr>
            <w:tcW w:w="8758" w:type="dxa"/>
            <w:shd w:val="clear" w:color="auto" w:fill="auto"/>
          </w:tcPr>
          <w:p w14:paraId="7BB1F00B" w14:textId="77777777" w:rsidR="006633B5" w:rsidRPr="006633B5" w:rsidRDefault="006633B5" w:rsidP="00E10A24">
            <w:pPr>
              <w:pStyle w:val="Tablebody"/>
              <w:spacing w:after="80"/>
            </w:pPr>
            <w:r w:rsidRPr="006633B5">
              <w:t xml:space="preserve">maximum interstorey drift at the </w:t>
            </w:r>
            <w:r w:rsidRPr="006633B5">
              <w:rPr>
                <w:i/>
              </w:rPr>
              <w:t>s-</w:t>
            </w:r>
            <w:r w:rsidRPr="006633B5">
              <w:t>th storey</w:t>
            </w:r>
          </w:p>
        </w:tc>
      </w:tr>
      <w:tr w:rsidR="006633B5" w:rsidRPr="006633B5" w14:paraId="1EB6AEFD" w14:textId="77777777" w:rsidTr="006633B5">
        <w:tc>
          <w:tcPr>
            <w:tcW w:w="1093" w:type="dxa"/>
            <w:shd w:val="clear" w:color="auto" w:fill="auto"/>
          </w:tcPr>
          <w:p w14:paraId="0069BC7A" w14:textId="77777777" w:rsidR="006633B5" w:rsidRPr="006633B5" w:rsidRDefault="006633B5" w:rsidP="00E10A24">
            <w:pPr>
              <w:pStyle w:val="Tablebody"/>
              <w:spacing w:after="80"/>
              <w:rPr>
                <w:i/>
              </w:rPr>
            </w:pPr>
            <w:r w:rsidRPr="006633B5">
              <w:rPr>
                <w:i/>
              </w:rPr>
              <w:t>d</w:t>
            </w:r>
            <w:r w:rsidRPr="006633B5">
              <w:rPr>
                <w:iCs/>
                <w:vertAlign w:val="subscript"/>
              </w:rPr>
              <w:t>rt,i</w:t>
            </w:r>
          </w:p>
        </w:tc>
        <w:tc>
          <w:tcPr>
            <w:tcW w:w="8758" w:type="dxa"/>
            <w:shd w:val="clear" w:color="auto" w:fill="auto"/>
          </w:tcPr>
          <w:p w14:paraId="73703B21" w14:textId="77777777" w:rsidR="006633B5" w:rsidRPr="006633B5" w:rsidRDefault="006633B5" w:rsidP="00E10A24">
            <w:pPr>
              <w:pStyle w:val="Tablebody"/>
              <w:spacing w:after="80"/>
            </w:pPr>
            <w:r w:rsidRPr="006633B5">
              <w:t xml:space="preserve">interstorey drifts at the centre of mass of the </w:t>
            </w:r>
            <w:r w:rsidRPr="006633B5">
              <w:rPr>
                <w:i/>
              </w:rPr>
              <w:t>i</w:t>
            </w:r>
            <w:r w:rsidRPr="006633B5">
              <w:t>-th storey which corresponds to the target displacement associated with the considered limit state</w:t>
            </w:r>
          </w:p>
        </w:tc>
      </w:tr>
      <w:tr w:rsidR="006633B5" w:rsidRPr="006633B5" w14:paraId="47AB4F48" w14:textId="77777777" w:rsidTr="006633B5">
        <w:tc>
          <w:tcPr>
            <w:tcW w:w="1093" w:type="dxa"/>
            <w:shd w:val="clear" w:color="auto" w:fill="auto"/>
          </w:tcPr>
          <w:p w14:paraId="6163D75B" w14:textId="77777777" w:rsidR="006633B5" w:rsidRPr="006633B5" w:rsidRDefault="006633B5" w:rsidP="00E10A24">
            <w:pPr>
              <w:pStyle w:val="Tablebody"/>
              <w:spacing w:after="80"/>
            </w:pPr>
            <w:r w:rsidRPr="006633B5">
              <w:rPr>
                <w:i/>
              </w:rPr>
              <w:t>d</w:t>
            </w:r>
            <w:r w:rsidRPr="006633B5">
              <w:rPr>
                <w:iCs/>
                <w:vertAlign w:val="subscript"/>
              </w:rPr>
              <w:t>t,j</w:t>
            </w:r>
          </w:p>
        </w:tc>
        <w:tc>
          <w:tcPr>
            <w:tcW w:w="8758" w:type="dxa"/>
            <w:shd w:val="clear" w:color="auto" w:fill="auto"/>
          </w:tcPr>
          <w:p w14:paraId="4E49A7C8" w14:textId="77777777" w:rsidR="006633B5" w:rsidRPr="006633B5" w:rsidRDefault="006633B5" w:rsidP="00E10A24">
            <w:pPr>
              <w:pStyle w:val="Tablebody"/>
              <w:spacing w:after="80"/>
            </w:pPr>
            <w:r w:rsidRPr="006633B5">
              <w:t xml:space="preserve">displacement at the </w:t>
            </w:r>
            <w:r w:rsidRPr="006633B5">
              <w:rPr>
                <w:i/>
              </w:rPr>
              <w:t>j</w:t>
            </w:r>
            <w:r w:rsidRPr="006633B5">
              <w:t xml:space="preserve">-th location in plan, if the control displacement is equal to the target displacement </w:t>
            </w:r>
            <w:r w:rsidRPr="006633B5">
              <w:rPr>
                <w:i/>
              </w:rPr>
              <w:t>d</w:t>
            </w:r>
            <w:r w:rsidRPr="006633B5">
              <w:rPr>
                <w:iCs/>
                <w:vertAlign w:val="subscript"/>
              </w:rPr>
              <w:t>t</w:t>
            </w:r>
          </w:p>
        </w:tc>
      </w:tr>
      <w:tr w:rsidR="006633B5" w:rsidRPr="006633B5" w14:paraId="3F672EA8" w14:textId="77777777" w:rsidTr="006633B5">
        <w:tc>
          <w:tcPr>
            <w:tcW w:w="1093" w:type="dxa"/>
            <w:shd w:val="clear" w:color="auto" w:fill="auto"/>
          </w:tcPr>
          <w:p w14:paraId="120D4E28" w14:textId="77777777" w:rsidR="006633B5" w:rsidRPr="006633B5" w:rsidRDefault="006633B5" w:rsidP="00E10A24">
            <w:pPr>
              <w:pStyle w:val="Tablebody"/>
              <w:spacing w:after="80"/>
            </w:pPr>
            <w:r w:rsidRPr="006633B5">
              <w:rPr>
                <w:i/>
                <w:iCs/>
                <w:lang w:eastAsia="de-DE"/>
              </w:rPr>
              <w:t>d</w:t>
            </w:r>
            <w:r w:rsidRPr="006633B5">
              <w:rPr>
                <w:iCs/>
                <w:vertAlign w:val="subscript"/>
                <w:lang w:eastAsia="de-DE"/>
              </w:rPr>
              <w:t>sp</w:t>
            </w:r>
          </w:p>
        </w:tc>
        <w:tc>
          <w:tcPr>
            <w:tcW w:w="8758" w:type="dxa"/>
            <w:shd w:val="clear" w:color="auto" w:fill="auto"/>
          </w:tcPr>
          <w:p w14:paraId="237C1592" w14:textId="77777777" w:rsidR="006633B5" w:rsidRPr="006633B5" w:rsidRDefault="006633B5" w:rsidP="00E10A24">
            <w:pPr>
              <w:pStyle w:val="Tablebody"/>
              <w:spacing w:after="80"/>
            </w:pPr>
            <w:r w:rsidRPr="006633B5">
              <w:t>spandrel depth</w:t>
            </w:r>
          </w:p>
        </w:tc>
      </w:tr>
      <w:tr w:rsidR="006633B5" w:rsidRPr="006633B5" w14:paraId="30274C66" w14:textId="77777777" w:rsidTr="006633B5">
        <w:tc>
          <w:tcPr>
            <w:tcW w:w="1093" w:type="dxa"/>
            <w:shd w:val="clear" w:color="auto" w:fill="auto"/>
          </w:tcPr>
          <w:p w14:paraId="7475A856" w14:textId="77777777" w:rsidR="006633B5" w:rsidRPr="006633B5" w:rsidRDefault="006633B5" w:rsidP="00E10A24">
            <w:pPr>
              <w:pStyle w:val="Tablebody"/>
              <w:spacing w:after="80"/>
            </w:pPr>
            <w:r w:rsidRPr="006633B5">
              <w:rPr>
                <w:i/>
                <w:iCs/>
              </w:rPr>
              <w:t>d</w:t>
            </w:r>
            <w:r w:rsidRPr="006633B5">
              <w:rPr>
                <w:iCs/>
                <w:vertAlign w:val="subscript"/>
              </w:rPr>
              <w:t>SD,</w:t>
            </w:r>
            <w:r w:rsidRPr="006633B5">
              <w:rPr>
                <w:rFonts w:ascii="Symbol" w:hAnsi="Symbol"/>
                <w:iCs/>
                <w:vertAlign w:val="subscript"/>
              </w:rPr>
              <w:t></w:t>
            </w:r>
          </w:p>
        </w:tc>
        <w:tc>
          <w:tcPr>
            <w:tcW w:w="8758" w:type="dxa"/>
            <w:shd w:val="clear" w:color="auto" w:fill="auto"/>
          </w:tcPr>
          <w:p w14:paraId="60C7EC1E" w14:textId="77777777" w:rsidR="006633B5" w:rsidRPr="006633B5" w:rsidRDefault="006633B5" w:rsidP="00E10A24">
            <w:pPr>
              <w:pStyle w:val="Tablebody"/>
              <w:spacing w:after="80"/>
            </w:pPr>
            <w:r w:rsidRPr="006633B5">
              <w:t>displacement of a control node at which a primary pier first reaches its resistance</w:t>
            </w:r>
          </w:p>
        </w:tc>
      </w:tr>
      <w:tr w:rsidR="006633B5" w:rsidRPr="006633B5" w14:paraId="1338C7EB" w14:textId="77777777" w:rsidTr="006633B5">
        <w:tc>
          <w:tcPr>
            <w:tcW w:w="1093" w:type="dxa"/>
            <w:shd w:val="clear" w:color="auto" w:fill="auto"/>
          </w:tcPr>
          <w:p w14:paraId="6EAAB6CD" w14:textId="77777777" w:rsidR="006633B5" w:rsidRPr="006633B5" w:rsidRDefault="006633B5" w:rsidP="00E10A24">
            <w:pPr>
              <w:pStyle w:val="Tablebody"/>
              <w:spacing w:after="80"/>
            </w:pPr>
            <w:r w:rsidRPr="006633B5">
              <w:rPr>
                <w:i/>
              </w:rPr>
              <w:t>d</w:t>
            </w:r>
            <w:r w:rsidRPr="006633B5">
              <w:rPr>
                <w:vertAlign w:val="subscript"/>
              </w:rPr>
              <w:t>v</w:t>
            </w:r>
          </w:p>
        </w:tc>
        <w:tc>
          <w:tcPr>
            <w:tcW w:w="8758" w:type="dxa"/>
            <w:shd w:val="clear" w:color="auto" w:fill="auto"/>
          </w:tcPr>
          <w:p w14:paraId="2633B6D5" w14:textId="77777777" w:rsidR="006633B5" w:rsidRPr="006633B5" w:rsidRDefault="006633B5" w:rsidP="00E10A24">
            <w:pPr>
              <w:pStyle w:val="Tablebody"/>
              <w:spacing w:after="80"/>
            </w:pPr>
            <w:r w:rsidRPr="006633B5">
              <w:t>shear-resisting effective depth of the slab or drop panel</w:t>
            </w:r>
          </w:p>
        </w:tc>
      </w:tr>
      <w:tr w:rsidR="006633B5" w:rsidRPr="006633B5" w14:paraId="248A1350" w14:textId="77777777" w:rsidTr="006633B5">
        <w:tc>
          <w:tcPr>
            <w:tcW w:w="1093" w:type="dxa"/>
            <w:shd w:val="clear" w:color="auto" w:fill="auto"/>
          </w:tcPr>
          <w:p w14:paraId="045A4297" w14:textId="77777777" w:rsidR="006633B5" w:rsidRPr="00E10A24" w:rsidRDefault="009B5CEC" w:rsidP="00E10A24">
            <w:pPr>
              <w:pStyle w:val="Tablebody"/>
              <w:spacing w:after="80"/>
            </w:pPr>
            <m:oMathPara>
              <m:oMathParaPr>
                <m:jc m:val="left"/>
              </m:oMathParaPr>
              <m:oMath>
                <m:sSubSup>
                  <m:sSubSupPr>
                    <m:ctrlPr>
                      <w:rPr>
                        <w:rFonts w:ascii="Cambria Math" w:hAnsi="Cambria Math"/>
                      </w:rPr>
                    </m:ctrlPr>
                  </m:sSubSupPr>
                  <m:e>
                    <m:r>
                      <w:rPr>
                        <w:rFonts w:ascii="Cambria Math" w:hAnsi="Cambria Math"/>
                      </w:rPr>
                      <m:t>d</m:t>
                    </m:r>
                  </m:e>
                  <m:sub>
                    <m:r>
                      <m:rPr>
                        <m:sty m:val="p"/>
                      </m:rPr>
                      <w:rPr>
                        <w:rFonts w:ascii="Cambria Math" w:hAnsi="Cambria Math"/>
                      </w:rPr>
                      <m:t>y</m:t>
                    </m:r>
                  </m:sub>
                  <m:sup>
                    <m:r>
                      <m:rPr>
                        <m:sty m:val="p"/>
                      </m:rPr>
                      <w:rPr>
                        <w:rFonts w:ascii="Cambria Math" w:hAnsi="Cambria Math"/>
                      </w:rPr>
                      <m:t>*</m:t>
                    </m:r>
                  </m:sup>
                </m:sSubSup>
              </m:oMath>
            </m:oMathPara>
          </w:p>
        </w:tc>
        <w:tc>
          <w:tcPr>
            <w:tcW w:w="8758" w:type="dxa"/>
            <w:shd w:val="clear" w:color="auto" w:fill="auto"/>
          </w:tcPr>
          <w:p w14:paraId="15B94185" w14:textId="77777777" w:rsidR="006633B5" w:rsidRPr="006633B5" w:rsidRDefault="006633B5" w:rsidP="00E10A24">
            <w:pPr>
              <w:pStyle w:val="Tablebody"/>
              <w:spacing w:after="80"/>
            </w:pPr>
            <w:r w:rsidRPr="006633B5">
              <w:t>displacement of a control node at which a primary pier first reaches its resistance</w:t>
            </w:r>
          </w:p>
        </w:tc>
      </w:tr>
      <w:tr w:rsidR="006633B5" w:rsidRPr="006633B5" w14:paraId="1876049E" w14:textId="77777777" w:rsidTr="006633B5">
        <w:tc>
          <w:tcPr>
            <w:tcW w:w="1093" w:type="dxa"/>
            <w:shd w:val="clear" w:color="auto" w:fill="auto"/>
          </w:tcPr>
          <w:p w14:paraId="601398BC" w14:textId="77777777" w:rsidR="006633B5" w:rsidRPr="006633B5" w:rsidRDefault="006633B5" w:rsidP="00E10A24">
            <w:pPr>
              <w:pStyle w:val="Tablebody"/>
              <w:spacing w:after="80"/>
              <w:rPr>
                <w:i/>
              </w:rPr>
            </w:pPr>
            <w:r w:rsidRPr="006633B5">
              <w:rPr>
                <w:i/>
              </w:rPr>
              <w:t>e</w:t>
            </w:r>
          </w:p>
        </w:tc>
        <w:tc>
          <w:tcPr>
            <w:tcW w:w="8758" w:type="dxa"/>
            <w:shd w:val="clear" w:color="auto" w:fill="auto"/>
          </w:tcPr>
          <w:p w14:paraId="6AD758BC" w14:textId="77777777" w:rsidR="006633B5" w:rsidRPr="006633B5" w:rsidRDefault="006633B5" w:rsidP="00E10A24">
            <w:pPr>
              <w:pStyle w:val="Tablebody"/>
              <w:spacing w:after="80"/>
            </w:pPr>
            <w:r w:rsidRPr="006633B5">
              <w:t>length of a link in an eccentric bracing</w:t>
            </w:r>
          </w:p>
        </w:tc>
      </w:tr>
      <w:tr w:rsidR="006633B5" w:rsidRPr="006633B5" w14:paraId="5DEAEEDE" w14:textId="77777777" w:rsidTr="006633B5">
        <w:tc>
          <w:tcPr>
            <w:tcW w:w="1093" w:type="dxa"/>
            <w:shd w:val="clear" w:color="auto" w:fill="auto"/>
          </w:tcPr>
          <w:p w14:paraId="029BE224" w14:textId="77777777" w:rsidR="006633B5" w:rsidRPr="006633B5" w:rsidRDefault="006633B5" w:rsidP="00E10A24">
            <w:pPr>
              <w:pStyle w:val="Tablebody"/>
              <w:spacing w:after="80"/>
              <w:rPr>
                <w:i/>
                <w:iCs/>
              </w:rPr>
            </w:pPr>
            <w:r w:rsidRPr="006633B5">
              <w:rPr>
                <w:i/>
                <w:iCs/>
              </w:rPr>
              <w:t>e</w:t>
            </w:r>
            <w:r w:rsidRPr="006633B5">
              <w:rPr>
                <w:vertAlign w:val="subscript"/>
              </w:rPr>
              <w:t>bp</w:t>
            </w:r>
          </w:p>
        </w:tc>
        <w:tc>
          <w:tcPr>
            <w:tcW w:w="8758" w:type="dxa"/>
            <w:shd w:val="clear" w:color="auto" w:fill="auto"/>
          </w:tcPr>
          <w:p w14:paraId="313F3028" w14:textId="77777777" w:rsidR="006633B5" w:rsidRPr="006633B5" w:rsidRDefault="006633B5" w:rsidP="00E10A24">
            <w:pPr>
              <w:pStyle w:val="Tablebody"/>
              <w:spacing w:after="80"/>
            </w:pPr>
            <w:r w:rsidRPr="006633B5">
              <w:t>base plate eccentricity</w:t>
            </w:r>
          </w:p>
        </w:tc>
      </w:tr>
      <w:tr w:rsidR="006633B5" w:rsidRPr="006633B5" w14:paraId="50229973" w14:textId="77777777" w:rsidTr="006633B5">
        <w:tc>
          <w:tcPr>
            <w:tcW w:w="1093" w:type="dxa"/>
            <w:shd w:val="clear" w:color="auto" w:fill="auto"/>
          </w:tcPr>
          <w:p w14:paraId="18DA9A2F" w14:textId="77777777" w:rsidR="006633B5" w:rsidRPr="006633B5" w:rsidRDefault="006633B5" w:rsidP="00E10A24">
            <w:pPr>
              <w:pStyle w:val="Tablebody"/>
              <w:spacing w:after="80"/>
            </w:pPr>
            <w:r w:rsidRPr="006633B5">
              <w:rPr>
                <w:i/>
                <w:iCs/>
              </w:rPr>
              <w:t>e</w:t>
            </w:r>
            <w:r w:rsidRPr="006633B5">
              <w:rPr>
                <w:vertAlign w:val="subscript"/>
              </w:rPr>
              <w:t>crit</w:t>
            </w:r>
          </w:p>
        </w:tc>
        <w:tc>
          <w:tcPr>
            <w:tcW w:w="8758" w:type="dxa"/>
            <w:shd w:val="clear" w:color="auto" w:fill="auto"/>
          </w:tcPr>
          <w:p w14:paraId="1559C742" w14:textId="77777777" w:rsidR="006633B5" w:rsidRPr="006633B5" w:rsidRDefault="006633B5" w:rsidP="00E10A24">
            <w:pPr>
              <w:pStyle w:val="Tablebody"/>
              <w:spacing w:after="80"/>
            </w:pPr>
            <w:r w:rsidRPr="006633B5">
              <w:t>critical eccentricity of an exposed column base</w:t>
            </w:r>
          </w:p>
        </w:tc>
      </w:tr>
      <w:tr w:rsidR="006633B5" w:rsidRPr="006633B5" w14:paraId="63D844D0" w14:textId="77777777" w:rsidTr="006633B5">
        <w:tc>
          <w:tcPr>
            <w:tcW w:w="1093" w:type="dxa"/>
            <w:shd w:val="clear" w:color="auto" w:fill="auto"/>
          </w:tcPr>
          <w:p w14:paraId="5A65C3CA" w14:textId="77777777" w:rsidR="006633B5" w:rsidRPr="006633B5" w:rsidRDefault="006633B5" w:rsidP="00E10A24">
            <w:pPr>
              <w:pStyle w:val="Tablebody"/>
              <w:spacing w:after="80"/>
            </w:pPr>
            <w:r w:rsidRPr="006633B5">
              <w:rPr>
                <w:i/>
              </w:rPr>
              <w:t>e</w:t>
            </w:r>
            <w:r w:rsidRPr="006633B5">
              <w:rPr>
                <w:vertAlign w:val="subscript"/>
              </w:rPr>
              <w:t>ox</w:t>
            </w:r>
          </w:p>
        </w:tc>
        <w:tc>
          <w:tcPr>
            <w:tcW w:w="8758" w:type="dxa"/>
            <w:shd w:val="clear" w:color="auto" w:fill="auto"/>
          </w:tcPr>
          <w:p w14:paraId="0D15159F" w14:textId="77777777" w:rsidR="006633B5" w:rsidRPr="006633B5" w:rsidRDefault="006633B5" w:rsidP="00E10A24">
            <w:pPr>
              <w:pStyle w:val="Tablebody"/>
              <w:spacing w:after="80"/>
            </w:pPr>
            <w:r w:rsidRPr="006633B5">
              <w:t xml:space="preserve">distance between the centre of stiffness and the centre of mass, measured along the </w:t>
            </w:r>
            <w:r w:rsidRPr="006633B5">
              <w:rPr>
                <w:i/>
              </w:rPr>
              <w:t>x</w:t>
            </w:r>
            <w:r w:rsidRPr="006633B5">
              <w:t xml:space="preserve"> direction</w:t>
            </w:r>
          </w:p>
        </w:tc>
      </w:tr>
      <w:tr w:rsidR="006633B5" w:rsidRPr="006633B5" w14:paraId="4586A445" w14:textId="77777777" w:rsidTr="006633B5">
        <w:tc>
          <w:tcPr>
            <w:tcW w:w="1093" w:type="dxa"/>
            <w:shd w:val="clear" w:color="auto" w:fill="auto"/>
          </w:tcPr>
          <w:p w14:paraId="7AD4D7AB" w14:textId="77777777" w:rsidR="006633B5" w:rsidRPr="006633B5" w:rsidRDefault="006633B5" w:rsidP="00E10A24">
            <w:pPr>
              <w:pStyle w:val="Tablebody"/>
              <w:spacing w:after="80"/>
            </w:pPr>
            <w:r w:rsidRPr="006633B5">
              <w:rPr>
                <w:i/>
              </w:rPr>
              <w:t>f</w:t>
            </w:r>
            <w:r w:rsidRPr="006633B5">
              <w:rPr>
                <w:vertAlign w:val="subscript"/>
              </w:rPr>
              <w:t>ap</w:t>
            </w:r>
          </w:p>
        </w:tc>
        <w:tc>
          <w:tcPr>
            <w:tcW w:w="8758" w:type="dxa"/>
            <w:shd w:val="clear" w:color="auto" w:fill="auto"/>
          </w:tcPr>
          <w:p w14:paraId="5262C1D7" w14:textId="77777777" w:rsidR="006633B5" w:rsidRPr="006633B5" w:rsidRDefault="006633B5" w:rsidP="00E10A24">
            <w:pPr>
              <w:pStyle w:val="Tablebody"/>
              <w:spacing w:after="80"/>
              <w:rPr>
                <w:rFonts w:eastAsiaTheme="minorHAnsi" w:cstheme="minorBidi"/>
                <w:lang w:eastAsia="en-US"/>
              </w:rPr>
            </w:pPr>
            <w:r w:rsidRPr="006633B5">
              <w:t>design lateral load per unit area in a panel or an infill</w:t>
            </w:r>
          </w:p>
        </w:tc>
      </w:tr>
      <w:tr w:rsidR="006633B5" w:rsidRPr="006633B5" w14:paraId="4AA3969A" w14:textId="77777777" w:rsidTr="006633B5">
        <w:tc>
          <w:tcPr>
            <w:tcW w:w="1093" w:type="dxa"/>
            <w:shd w:val="clear" w:color="auto" w:fill="auto"/>
          </w:tcPr>
          <w:p w14:paraId="5958D1A4" w14:textId="77777777" w:rsidR="006633B5" w:rsidRPr="006633B5" w:rsidRDefault="006633B5" w:rsidP="00E10A24">
            <w:pPr>
              <w:pStyle w:val="Tablebody"/>
              <w:spacing w:after="80"/>
            </w:pPr>
            <w:r w:rsidRPr="006633B5">
              <w:rPr>
                <w:i/>
                <w:iCs/>
              </w:rPr>
              <w:t>f</w:t>
            </w:r>
            <w:r w:rsidRPr="006633B5">
              <w:rPr>
                <w:vertAlign w:val="subscript"/>
              </w:rPr>
              <w:t>b</w:t>
            </w:r>
          </w:p>
        </w:tc>
        <w:tc>
          <w:tcPr>
            <w:tcW w:w="8758" w:type="dxa"/>
            <w:shd w:val="clear" w:color="auto" w:fill="auto"/>
          </w:tcPr>
          <w:p w14:paraId="3F6F73F8" w14:textId="2B65AE05" w:rsidR="006633B5" w:rsidRPr="006633B5" w:rsidRDefault="006633B5" w:rsidP="00E10A24">
            <w:pPr>
              <w:pStyle w:val="Tablebody"/>
              <w:spacing w:after="80"/>
            </w:pPr>
            <w:r w:rsidRPr="006633B5">
              <w:t>normal</w:t>
            </w:r>
            <w:r w:rsidR="00E10A24">
              <w:t>ize</w:t>
            </w:r>
            <w:r w:rsidRPr="006633B5">
              <w:t>d compressive strength of masonry units</w:t>
            </w:r>
          </w:p>
        </w:tc>
      </w:tr>
      <w:tr w:rsidR="006633B5" w:rsidRPr="006633B5" w14:paraId="0764CCDF" w14:textId="77777777" w:rsidTr="006633B5">
        <w:tc>
          <w:tcPr>
            <w:tcW w:w="1093" w:type="dxa"/>
            <w:shd w:val="clear" w:color="auto" w:fill="auto"/>
          </w:tcPr>
          <w:p w14:paraId="00D56CD6" w14:textId="77777777" w:rsidR="006633B5" w:rsidRPr="006633B5" w:rsidRDefault="006633B5" w:rsidP="00E10A24">
            <w:pPr>
              <w:pStyle w:val="Tablebody"/>
              <w:spacing w:after="80"/>
            </w:pPr>
            <w:r w:rsidRPr="006633B5">
              <w:rPr>
                <w:i/>
              </w:rPr>
              <w:lastRenderedPageBreak/>
              <w:t>f</w:t>
            </w:r>
            <w:r w:rsidRPr="006633B5">
              <w:rPr>
                <w:vertAlign w:val="subscript"/>
              </w:rPr>
              <w:t>bv</w:t>
            </w:r>
          </w:p>
        </w:tc>
        <w:tc>
          <w:tcPr>
            <w:tcW w:w="8758" w:type="dxa"/>
            <w:shd w:val="clear" w:color="auto" w:fill="auto"/>
          </w:tcPr>
          <w:p w14:paraId="16BD0DE2" w14:textId="699C9743" w:rsidR="006633B5" w:rsidRPr="006633B5" w:rsidRDefault="006633B5" w:rsidP="00E10A24">
            <w:pPr>
              <w:pStyle w:val="Tablebody"/>
              <w:spacing w:after="80"/>
            </w:pPr>
            <w:r w:rsidRPr="006633B5">
              <w:t>normal</w:t>
            </w:r>
            <w:r w:rsidR="00E10A24">
              <w:t>ize</w:t>
            </w:r>
            <w:r w:rsidRPr="006633B5">
              <w:t xml:space="preserve">d compressive strength of masonry units normal to bed face </w:t>
            </w:r>
          </w:p>
        </w:tc>
      </w:tr>
      <w:tr w:rsidR="006633B5" w:rsidRPr="006633B5" w14:paraId="3327CC10" w14:textId="77777777" w:rsidTr="006633B5">
        <w:tc>
          <w:tcPr>
            <w:tcW w:w="1093" w:type="dxa"/>
            <w:shd w:val="clear" w:color="auto" w:fill="auto"/>
          </w:tcPr>
          <w:p w14:paraId="41143026" w14:textId="77777777" w:rsidR="006633B5" w:rsidRPr="006633B5" w:rsidRDefault="006633B5" w:rsidP="00E10A24">
            <w:pPr>
              <w:pStyle w:val="Tablebody"/>
              <w:spacing w:after="80"/>
            </w:pPr>
            <w:r w:rsidRPr="006633B5">
              <w:rPr>
                <w:i/>
              </w:rPr>
              <w:t>f</w:t>
            </w:r>
            <w:r w:rsidRPr="006633B5">
              <w:rPr>
                <w:vertAlign w:val="subscript"/>
              </w:rPr>
              <w:t>bh</w:t>
            </w:r>
          </w:p>
        </w:tc>
        <w:tc>
          <w:tcPr>
            <w:tcW w:w="8758" w:type="dxa"/>
            <w:shd w:val="clear" w:color="auto" w:fill="auto"/>
          </w:tcPr>
          <w:p w14:paraId="3E87F0EE" w14:textId="0C2AF109" w:rsidR="006633B5" w:rsidRPr="006633B5" w:rsidRDefault="006633B5" w:rsidP="00E10A24">
            <w:pPr>
              <w:pStyle w:val="Tablebody"/>
              <w:spacing w:after="80"/>
            </w:pPr>
            <w:r w:rsidRPr="006633B5">
              <w:t>normal</w:t>
            </w:r>
            <w:r w:rsidR="00E10A24">
              <w:t>ize</w:t>
            </w:r>
            <w:r w:rsidRPr="006633B5">
              <w:t>d compressive strength of masonry units parallel to bed face</w:t>
            </w:r>
          </w:p>
        </w:tc>
      </w:tr>
      <w:tr w:rsidR="006633B5" w:rsidRPr="006633B5" w14:paraId="7081C05A" w14:textId="77777777" w:rsidTr="006633B5">
        <w:tc>
          <w:tcPr>
            <w:tcW w:w="1093" w:type="dxa"/>
            <w:shd w:val="clear" w:color="auto" w:fill="auto"/>
          </w:tcPr>
          <w:p w14:paraId="18CC40D5" w14:textId="77777777" w:rsidR="006633B5" w:rsidRPr="006633B5" w:rsidRDefault="006633B5" w:rsidP="00E10A24">
            <w:pPr>
              <w:pStyle w:val="Tablebody"/>
              <w:spacing w:after="80"/>
              <w:rPr>
                <w:rFonts w:cs="Times New Roman"/>
              </w:rPr>
            </w:pPr>
            <w:r w:rsidRPr="006633B5">
              <w:rPr>
                <w:rFonts w:cs="Times New Roman"/>
                <w:i/>
              </w:rPr>
              <w:t>f</w:t>
            </w:r>
            <w:r w:rsidRPr="006633B5">
              <w:rPr>
                <w:rFonts w:cs="Times New Roman"/>
                <w:vertAlign w:val="subscript"/>
              </w:rPr>
              <w:t>c,eff,CLT,i,j</w:t>
            </w:r>
          </w:p>
        </w:tc>
        <w:tc>
          <w:tcPr>
            <w:tcW w:w="8758" w:type="dxa"/>
            <w:shd w:val="clear" w:color="auto" w:fill="auto"/>
          </w:tcPr>
          <w:p w14:paraId="6EDFE406" w14:textId="77777777" w:rsidR="006633B5" w:rsidRPr="006633B5" w:rsidRDefault="006633B5" w:rsidP="00E10A24">
            <w:pPr>
              <w:pStyle w:val="Tablebody"/>
              <w:spacing w:after="80"/>
              <w:rPr>
                <w:rFonts w:cs="Times New Roman"/>
              </w:rPr>
            </w:pPr>
            <w:r w:rsidRPr="006633B5">
              <w:t xml:space="preserve">effective compressive design strength of the </w:t>
            </w:r>
            <w:r w:rsidRPr="006633B5">
              <w:rPr>
                <w:i/>
              </w:rPr>
              <w:t>j</w:t>
            </w:r>
            <w:r w:rsidRPr="006633B5">
              <w:rPr>
                <w:i/>
                <w:vertAlign w:val="superscript"/>
              </w:rPr>
              <w:t>th</w:t>
            </w:r>
            <w:r w:rsidRPr="006633B5">
              <w:t xml:space="preserve"> CLT shear wall at the </w:t>
            </w:r>
            <w:r w:rsidRPr="006633B5">
              <w:rPr>
                <w:i/>
              </w:rPr>
              <w:t>i</w:t>
            </w:r>
            <w:r w:rsidRPr="006633B5">
              <w:rPr>
                <w:i/>
                <w:vertAlign w:val="superscript"/>
              </w:rPr>
              <w:t>th</w:t>
            </w:r>
            <w:r w:rsidRPr="006633B5">
              <w:t xml:space="preserve"> storey</w:t>
            </w:r>
          </w:p>
        </w:tc>
      </w:tr>
      <w:tr w:rsidR="006633B5" w:rsidRPr="006633B5" w14:paraId="404E3171" w14:textId="77777777" w:rsidTr="006633B5">
        <w:tc>
          <w:tcPr>
            <w:tcW w:w="1093" w:type="dxa"/>
            <w:shd w:val="clear" w:color="auto" w:fill="auto"/>
          </w:tcPr>
          <w:p w14:paraId="3CBD2BBD" w14:textId="77777777" w:rsidR="006633B5" w:rsidRPr="006633B5" w:rsidRDefault="006633B5" w:rsidP="00E10A24">
            <w:pPr>
              <w:pStyle w:val="Tablebody"/>
              <w:spacing w:after="80"/>
            </w:pPr>
            <w:r w:rsidRPr="006633B5">
              <w:rPr>
                <w:rFonts w:eastAsiaTheme="minorEastAsia"/>
                <w:i/>
                <w:iCs/>
              </w:rPr>
              <w:t xml:space="preserve">f </w:t>
            </w:r>
            <w:r w:rsidRPr="006633B5">
              <w:rPr>
                <w:rFonts w:eastAsiaTheme="minorEastAsia"/>
              </w:rPr>
              <w:t>'</w:t>
            </w:r>
            <w:r w:rsidRPr="006633B5">
              <w:rPr>
                <w:rFonts w:eastAsiaTheme="minorEastAsia"/>
                <w:vertAlign w:val="subscript"/>
              </w:rPr>
              <w:t>cd</w:t>
            </w:r>
          </w:p>
        </w:tc>
        <w:tc>
          <w:tcPr>
            <w:tcW w:w="8758" w:type="dxa"/>
            <w:shd w:val="clear" w:color="auto" w:fill="auto"/>
          </w:tcPr>
          <w:p w14:paraId="4043D2FE" w14:textId="77777777" w:rsidR="006633B5" w:rsidRPr="006633B5" w:rsidRDefault="006633B5" w:rsidP="00E10A24">
            <w:pPr>
              <w:pStyle w:val="Tablebody"/>
              <w:spacing w:after="80"/>
            </w:pPr>
            <w:r w:rsidRPr="006633B5">
              <w:t>increased joint concrete compressive strength due to confinement by joint reinforcement</w:t>
            </w:r>
          </w:p>
        </w:tc>
      </w:tr>
      <w:tr w:rsidR="006633B5" w:rsidRPr="006633B5" w14:paraId="5564F731" w14:textId="77777777" w:rsidTr="006633B5">
        <w:tc>
          <w:tcPr>
            <w:tcW w:w="1093" w:type="dxa"/>
            <w:shd w:val="clear" w:color="auto" w:fill="auto"/>
          </w:tcPr>
          <w:p w14:paraId="12CB8961" w14:textId="77777777" w:rsidR="006633B5" w:rsidRPr="006633B5" w:rsidRDefault="006633B5" w:rsidP="00E10A24">
            <w:pPr>
              <w:pStyle w:val="Tablebody"/>
              <w:spacing w:after="80"/>
            </w:pPr>
            <w:r w:rsidRPr="006633B5">
              <w:rPr>
                <w:i/>
              </w:rPr>
              <w:t>f</w:t>
            </w:r>
            <w:r w:rsidRPr="006633B5">
              <w:rPr>
                <w:vertAlign w:val="subscript"/>
              </w:rPr>
              <w:t>cd</w:t>
            </w:r>
          </w:p>
        </w:tc>
        <w:tc>
          <w:tcPr>
            <w:tcW w:w="8758" w:type="dxa"/>
            <w:shd w:val="clear" w:color="auto" w:fill="auto"/>
          </w:tcPr>
          <w:p w14:paraId="25621319" w14:textId="77777777" w:rsidR="006633B5" w:rsidRPr="006633B5" w:rsidRDefault="006633B5" w:rsidP="00E10A24">
            <w:pPr>
              <w:pStyle w:val="Tablebody"/>
              <w:spacing w:after="80"/>
            </w:pPr>
            <w:r w:rsidRPr="006633B5">
              <w:t>design compressive strength of a concrete cylinder</w:t>
            </w:r>
          </w:p>
        </w:tc>
      </w:tr>
      <w:tr w:rsidR="006633B5" w:rsidRPr="006633B5" w14:paraId="36AB06F4" w14:textId="77777777" w:rsidTr="006633B5">
        <w:tc>
          <w:tcPr>
            <w:tcW w:w="1093" w:type="dxa"/>
            <w:shd w:val="clear" w:color="auto" w:fill="auto"/>
          </w:tcPr>
          <w:p w14:paraId="1D6BEB38" w14:textId="77777777" w:rsidR="006633B5" w:rsidRPr="006633B5" w:rsidRDefault="006633B5" w:rsidP="00E10A24">
            <w:pPr>
              <w:pStyle w:val="Tablebody"/>
              <w:spacing w:after="80"/>
            </w:pPr>
            <w:r w:rsidRPr="006633B5">
              <w:rPr>
                <w:i/>
              </w:rPr>
              <w:t>f</w:t>
            </w:r>
            <w:r w:rsidRPr="006633B5">
              <w:rPr>
                <w:vertAlign w:val="subscript"/>
              </w:rPr>
              <w:t>ck</w:t>
            </w:r>
          </w:p>
        </w:tc>
        <w:tc>
          <w:tcPr>
            <w:tcW w:w="8758" w:type="dxa"/>
            <w:shd w:val="clear" w:color="auto" w:fill="auto"/>
          </w:tcPr>
          <w:p w14:paraId="502B83B5" w14:textId="77777777" w:rsidR="006633B5" w:rsidRPr="006633B5" w:rsidRDefault="006633B5" w:rsidP="00E10A24">
            <w:pPr>
              <w:pStyle w:val="Tablebody"/>
              <w:spacing w:after="80"/>
            </w:pPr>
            <w:r w:rsidRPr="006633B5">
              <w:t>characteristic compressive strength of a concrete cylinder</w:t>
            </w:r>
          </w:p>
        </w:tc>
      </w:tr>
      <w:tr w:rsidR="006633B5" w:rsidRPr="006633B5" w14:paraId="15A75D79" w14:textId="77777777" w:rsidTr="006633B5">
        <w:tc>
          <w:tcPr>
            <w:tcW w:w="1093" w:type="dxa"/>
            <w:shd w:val="clear" w:color="auto" w:fill="auto"/>
          </w:tcPr>
          <w:p w14:paraId="5A368094" w14:textId="77777777" w:rsidR="006633B5" w:rsidRPr="006633B5" w:rsidRDefault="006633B5" w:rsidP="00E10A24">
            <w:pPr>
              <w:pStyle w:val="Tablebody"/>
              <w:spacing w:after="80"/>
            </w:pPr>
            <w:r w:rsidRPr="006633B5">
              <w:rPr>
                <w:i/>
              </w:rPr>
              <w:t>f</w:t>
            </w:r>
            <w:r w:rsidRPr="006633B5">
              <w:rPr>
                <w:vertAlign w:val="subscript"/>
              </w:rPr>
              <w:t>ctm</w:t>
            </w:r>
          </w:p>
        </w:tc>
        <w:tc>
          <w:tcPr>
            <w:tcW w:w="8758" w:type="dxa"/>
            <w:shd w:val="clear" w:color="auto" w:fill="auto"/>
          </w:tcPr>
          <w:p w14:paraId="77EF819B" w14:textId="77777777" w:rsidR="006633B5" w:rsidRPr="006633B5" w:rsidRDefault="006633B5" w:rsidP="00E10A24">
            <w:pPr>
              <w:pStyle w:val="Tablebody"/>
              <w:spacing w:after="80"/>
            </w:pPr>
            <w:r w:rsidRPr="006633B5">
              <w:t>mean tensile strength of concrete</w:t>
            </w:r>
          </w:p>
        </w:tc>
      </w:tr>
      <w:tr w:rsidR="006633B5" w:rsidRPr="006633B5" w14:paraId="0EB1D8C4" w14:textId="77777777" w:rsidTr="006633B5">
        <w:tc>
          <w:tcPr>
            <w:tcW w:w="1093" w:type="dxa"/>
            <w:shd w:val="clear" w:color="auto" w:fill="auto"/>
          </w:tcPr>
          <w:p w14:paraId="50B9A926" w14:textId="77777777" w:rsidR="006633B5" w:rsidRPr="006633B5" w:rsidRDefault="006633B5" w:rsidP="00E10A24">
            <w:pPr>
              <w:pStyle w:val="Tablebody"/>
              <w:spacing w:after="80"/>
            </w:pPr>
            <w:r w:rsidRPr="006633B5">
              <w:rPr>
                <w:i/>
                <w:iCs/>
              </w:rPr>
              <w:t>f</w:t>
            </w:r>
            <w:r w:rsidRPr="006633B5">
              <w:rPr>
                <w:iCs/>
                <w:vertAlign w:val="subscript"/>
              </w:rPr>
              <w:t>k</w:t>
            </w:r>
          </w:p>
        </w:tc>
        <w:tc>
          <w:tcPr>
            <w:tcW w:w="8758" w:type="dxa"/>
            <w:shd w:val="clear" w:color="auto" w:fill="auto"/>
          </w:tcPr>
          <w:p w14:paraId="7D9AE780" w14:textId="77777777" w:rsidR="006633B5" w:rsidRPr="006633B5" w:rsidRDefault="006633B5" w:rsidP="00E10A24">
            <w:pPr>
              <w:pStyle w:val="Tablebody"/>
              <w:spacing w:after="80"/>
            </w:pPr>
            <w:r w:rsidRPr="006633B5">
              <w:t>characteristic compressive strength of masonry</w:t>
            </w:r>
          </w:p>
        </w:tc>
      </w:tr>
      <w:tr w:rsidR="006633B5" w:rsidRPr="006633B5" w14:paraId="2D500584" w14:textId="77777777" w:rsidTr="006633B5">
        <w:tc>
          <w:tcPr>
            <w:tcW w:w="1093" w:type="dxa"/>
            <w:shd w:val="clear" w:color="auto" w:fill="auto"/>
          </w:tcPr>
          <w:p w14:paraId="57D59E16" w14:textId="77777777" w:rsidR="006633B5" w:rsidRPr="006633B5" w:rsidRDefault="006633B5" w:rsidP="00E10A24">
            <w:pPr>
              <w:pStyle w:val="Tablebody"/>
              <w:spacing w:after="80"/>
            </w:pPr>
            <w:r w:rsidRPr="006633B5">
              <w:rPr>
                <w:i/>
                <w:iCs/>
                <w:lang w:eastAsia="de-DE"/>
              </w:rPr>
              <w:t>f</w:t>
            </w:r>
            <w:r w:rsidRPr="006633B5">
              <w:rPr>
                <w:iCs/>
                <w:vertAlign w:val="subscript"/>
                <w:lang w:eastAsia="de-DE"/>
              </w:rPr>
              <w:t>kt</w:t>
            </w:r>
          </w:p>
        </w:tc>
        <w:tc>
          <w:tcPr>
            <w:tcW w:w="8758" w:type="dxa"/>
            <w:shd w:val="clear" w:color="auto" w:fill="auto"/>
          </w:tcPr>
          <w:p w14:paraId="391E8563" w14:textId="77777777" w:rsidR="006633B5" w:rsidRPr="006633B5" w:rsidRDefault="006633B5" w:rsidP="00E10A24">
            <w:pPr>
              <w:pStyle w:val="Tablebody"/>
              <w:spacing w:after="80"/>
            </w:pPr>
            <w:r w:rsidRPr="006633B5">
              <w:t>characteristic shear strength associated to diagonal cracking of a masonry spandrel</w:t>
            </w:r>
          </w:p>
        </w:tc>
      </w:tr>
      <w:tr w:rsidR="006633B5" w:rsidRPr="006633B5" w14:paraId="1A1F12A3" w14:textId="77777777" w:rsidTr="006633B5">
        <w:tc>
          <w:tcPr>
            <w:tcW w:w="1093" w:type="dxa"/>
            <w:shd w:val="clear" w:color="auto" w:fill="auto"/>
          </w:tcPr>
          <w:p w14:paraId="71F06D52" w14:textId="77777777" w:rsidR="006633B5" w:rsidRPr="006633B5" w:rsidRDefault="006633B5" w:rsidP="00E10A24">
            <w:pPr>
              <w:pStyle w:val="Tablebody"/>
              <w:spacing w:after="80"/>
            </w:pPr>
            <w:r w:rsidRPr="006633B5">
              <w:rPr>
                <w:i/>
                <w:iCs/>
              </w:rPr>
              <w:t>f</w:t>
            </w:r>
            <w:r w:rsidRPr="006633B5">
              <w:rPr>
                <w:vertAlign w:val="subscript"/>
              </w:rPr>
              <w:t>u</w:t>
            </w:r>
          </w:p>
        </w:tc>
        <w:tc>
          <w:tcPr>
            <w:tcW w:w="8758" w:type="dxa"/>
            <w:shd w:val="clear" w:color="auto" w:fill="auto"/>
          </w:tcPr>
          <w:p w14:paraId="2F9ED0DC" w14:textId="77777777" w:rsidR="006633B5" w:rsidRPr="006633B5" w:rsidRDefault="006633B5" w:rsidP="00E10A24">
            <w:pPr>
              <w:pStyle w:val="Tablebody"/>
              <w:spacing w:after="80"/>
              <w:rPr>
                <w:iCs/>
              </w:rPr>
            </w:pPr>
            <w:r w:rsidRPr="006633B5">
              <w:t>ultimate strength of steel</w:t>
            </w:r>
          </w:p>
        </w:tc>
      </w:tr>
      <w:tr w:rsidR="006633B5" w:rsidRPr="006633B5" w14:paraId="2F843094" w14:textId="77777777" w:rsidTr="006633B5">
        <w:tc>
          <w:tcPr>
            <w:tcW w:w="1093" w:type="dxa"/>
            <w:shd w:val="clear" w:color="auto" w:fill="auto"/>
          </w:tcPr>
          <w:p w14:paraId="351AB362" w14:textId="77777777" w:rsidR="006633B5" w:rsidRPr="006633B5" w:rsidRDefault="006633B5" w:rsidP="00E10A24">
            <w:pPr>
              <w:pStyle w:val="Tablebody"/>
              <w:spacing w:after="80"/>
            </w:pPr>
            <w:r w:rsidRPr="006633B5">
              <w:rPr>
                <w:i/>
              </w:rPr>
              <w:t>f</w:t>
            </w:r>
            <w:r w:rsidRPr="006633B5">
              <w:rPr>
                <w:vertAlign w:val="subscript"/>
              </w:rPr>
              <w:t>u,k</w:t>
            </w:r>
          </w:p>
        </w:tc>
        <w:tc>
          <w:tcPr>
            <w:tcW w:w="8758" w:type="dxa"/>
            <w:shd w:val="clear" w:color="auto" w:fill="auto"/>
          </w:tcPr>
          <w:p w14:paraId="5C608AF8" w14:textId="77777777" w:rsidR="006633B5" w:rsidRPr="006633B5" w:rsidRDefault="006633B5" w:rsidP="00E10A24">
            <w:pPr>
              <w:pStyle w:val="Tablebody"/>
              <w:spacing w:after="80"/>
            </w:pPr>
            <w:r w:rsidRPr="006633B5">
              <w:t>characteristic ultimate tensile strength of the metal fastener</w:t>
            </w:r>
          </w:p>
        </w:tc>
      </w:tr>
      <w:tr w:rsidR="006633B5" w:rsidRPr="006633B5" w14:paraId="246CE7C0" w14:textId="77777777" w:rsidTr="006633B5">
        <w:tc>
          <w:tcPr>
            <w:tcW w:w="1093" w:type="dxa"/>
            <w:shd w:val="clear" w:color="auto" w:fill="auto"/>
          </w:tcPr>
          <w:p w14:paraId="7D487700" w14:textId="77777777" w:rsidR="006633B5" w:rsidRPr="006633B5" w:rsidRDefault="006633B5" w:rsidP="00E10A24">
            <w:pPr>
              <w:pStyle w:val="Tablebody"/>
              <w:spacing w:after="80"/>
            </w:pPr>
            <w:r w:rsidRPr="006633B5">
              <w:rPr>
                <w:i/>
              </w:rPr>
              <w:t>f</w:t>
            </w:r>
            <w:r w:rsidRPr="006633B5">
              <w:rPr>
                <w:vertAlign w:val="subscript"/>
              </w:rPr>
              <w:t>y</w:t>
            </w:r>
          </w:p>
        </w:tc>
        <w:tc>
          <w:tcPr>
            <w:tcW w:w="8758" w:type="dxa"/>
            <w:shd w:val="clear" w:color="auto" w:fill="auto"/>
          </w:tcPr>
          <w:p w14:paraId="600A4803" w14:textId="77777777" w:rsidR="006633B5" w:rsidRPr="006633B5" w:rsidRDefault="006633B5" w:rsidP="00E10A24">
            <w:pPr>
              <w:pStyle w:val="Tablebody"/>
              <w:spacing w:after="80"/>
            </w:pPr>
            <w:r w:rsidRPr="006633B5">
              <w:t>nominal yield strength of constructional steel</w:t>
            </w:r>
          </w:p>
        </w:tc>
      </w:tr>
      <w:tr w:rsidR="006633B5" w:rsidRPr="006633B5" w14:paraId="5699FC29" w14:textId="77777777" w:rsidTr="006633B5">
        <w:tc>
          <w:tcPr>
            <w:tcW w:w="1093" w:type="dxa"/>
            <w:shd w:val="clear" w:color="auto" w:fill="auto"/>
          </w:tcPr>
          <w:p w14:paraId="01036A13" w14:textId="77777777" w:rsidR="006633B5" w:rsidRPr="006633B5" w:rsidRDefault="006633B5" w:rsidP="00E10A24">
            <w:pPr>
              <w:pStyle w:val="Tablebody"/>
              <w:spacing w:after="80"/>
            </w:pPr>
            <w:r w:rsidRPr="006633B5">
              <w:rPr>
                <w:i/>
              </w:rPr>
              <w:t>f</w:t>
            </w:r>
            <w:r w:rsidRPr="006633B5">
              <w:rPr>
                <w:vertAlign w:val="subscript"/>
              </w:rPr>
              <w:t>yd</w:t>
            </w:r>
          </w:p>
        </w:tc>
        <w:tc>
          <w:tcPr>
            <w:tcW w:w="8758" w:type="dxa"/>
            <w:shd w:val="clear" w:color="auto" w:fill="auto"/>
          </w:tcPr>
          <w:p w14:paraId="7B090CA7" w14:textId="77777777" w:rsidR="006633B5" w:rsidRPr="006633B5" w:rsidRDefault="006633B5" w:rsidP="00E10A24">
            <w:pPr>
              <w:pStyle w:val="Tablebody"/>
              <w:spacing w:after="80"/>
            </w:pPr>
            <w:r w:rsidRPr="006633B5">
              <w:t>design yield strength of steel reinforcement</w:t>
            </w:r>
          </w:p>
        </w:tc>
      </w:tr>
      <w:tr w:rsidR="006633B5" w:rsidRPr="006633B5" w14:paraId="4451424E" w14:textId="77777777" w:rsidTr="006633B5">
        <w:tc>
          <w:tcPr>
            <w:tcW w:w="1093" w:type="dxa"/>
            <w:shd w:val="clear" w:color="auto" w:fill="auto"/>
          </w:tcPr>
          <w:p w14:paraId="6C6BA2C8" w14:textId="77777777" w:rsidR="006633B5" w:rsidRPr="006633B5" w:rsidRDefault="006633B5" w:rsidP="00E10A24">
            <w:pPr>
              <w:pStyle w:val="Tablebody"/>
              <w:spacing w:after="80"/>
            </w:pPr>
            <w:r w:rsidRPr="006633B5">
              <w:rPr>
                <w:i/>
              </w:rPr>
              <w:t>f</w:t>
            </w:r>
            <w:r w:rsidRPr="006633B5">
              <w:rPr>
                <w:vertAlign w:val="subscript"/>
              </w:rPr>
              <w:t>yk</w:t>
            </w:r>
          </w:p>
        </w:tc>
        <w:tc>
          <w:tcPr>
            <w:tcW w:w="8758" w:type="dxa"/>
            <w:shd w:val="clear" w:color="auto" w:fill="auto"/>
          </w:tcPr>
          <w:p w14:paraId="7850D674" w14:textId="77777777" w:rsidR="006633B5" w:rsidRPr="006633B5" w:rsidRDefault="006633B5" w:rsidP="00E10A24">
            <w:pPr>
              <w:pStyle w:val="Tablebody"/>
              <w:spacing w:after="80"/>
            </w:pPr>
            <w:r w:rsidRPr="006633B5">
              <w:t>characteristic yield strength of steel reinforcement</w:t>
            </w:r>
          </w:p>
        </w:tc>
      </w:tr>
      <w:tr w:rsidR="006633B5" w:rsidRPr="006633B5" w14:paraId="5644615D" w14:textId="77777777" w:rsidTr="006633B5">
        <w:tc>
          <w:tcPr>
            <w:tcW w:w="1093" w:type="dxa"/>
            <w:shd w:val="clear" w:color="auto" w:fill="auto"/>
          </w:tcPr>
          <w:p w14:paraId="7C698D63" w14:textId="77777777" w:rsidR="006633B5" w:rsidRPr="006633B5" w:rsidRDefault="006633B5" w:rsidP="00E10A24">
            <w:pPr>
              <w:pStyle w:val="Tablebody"/>
              <w:spacing w:after="80"/>
              <w:rPr>
                <w:vertAlign w:val="subscript"/>
              </w:rPr>
            </w:pPr>
            <w:r w:rsidRPr="006633B5">
              <w:rPr>
                <w:i/>
              </w:rPr>
              <w:t>f</w:t>
            </w:r>
            <w:r w:rsidRPr="006633B5">
              <w:rPr>
                <w:vertAlign w:val="subscript"/>
              </w:rPr>
              <w:t>y,mean</w:t>
            </w:r>
          </w:p>
        </w:tc>
        <w:tc>
          <w:tcPr>
            <w:tcW w:w="8758" w:type="dxa"/>
            <w:shd w:val="clear" w:color="auto" w:fill="auto"/>
          </w:tcPr>
          <w:p w14:paraId="7862141C" w14:textId="77777777" w:rsidR="006633B5" w:rsidRPr="006633B5" w:rsidRDefault="006633B5" w:rsidP="00E10A24">
            <w:pPr>
              <w:pStyle w:val="Tablebody"/>
              <w:spacing w:after="80"/>
            </w:pPr>
            <w:r w:rsidRPr="006633B5">
              <w:t>mean yield strength of constructional steel</w:t>
            </w:r>
          </w:p>
        </w:tc>
      </w:tr>
      <w:tr w:rsidR="006633B5" w:rsidRPr="006633B5" w14:paraId="497117EA" w14:textId="77777777" w:rsidTr="006633B5">
        <w:tc>
          <w:tcPr>
            <w:tcW w:w="1093" w:type="dxa"/>
            <w:shd w:val="clear" w:color="auto" w:fill="auto"/>
          </w:tcPr>
          <w:p w14:paraId="18581696" w14:textId="77777777" w:rsidR="006633B5" w:rsidRPr="006633B5" w:rsidRDefault="006633B5" w:rsidP="00E10A24">
            <w:pPr>
              <w:pStyle w:val="Tablebody"/>
              <w:spacing w:after="80"/>
              <w:rPr>
                <w:vertAlign w:val="subscript"/>
              </w:rPr>
            </w:pPr>
            <w:r w:rsidRPr="006633B5">
              <w:rPr>
                <w:i/>
              </w:rPr>
              <w:t>f</w:t>
            </w:r>
            <w:r w:rsidRPr="006633B5">
              <w:rPr>
                <w:vertAlign w:val="subscript"/>
              </w:rPr>
              <w:t>y,max</w:t>
            </w:r>
          </w:p>
        </w:tc>
        <w:tc>
          <w:tcPr>
            <w:tcW w:w="8758" w:type="dxa"/>
            <w:shd w:val="clear" w:color="auto" w:fill="auto"/>
          </w:tcPr>
          <w:p w14:paraId="06673E41" w14:textId="77777777" w:rsidR="006633B5" w:rsidRPr="006633B5" w:rsidRDefault="006633B5" w:rsidP="00E10A24">
            <w:pPr>
              <w:pStyle w:val="Tablebody"/>
              <w:spacing w:after="80"/>
            </w:pPr>
            <w:r w:rsidRPr="006633B5">
              <w:t>specified upper value of yield strength of constructional steel</w:t>
            </w:r>
          </w:p>
        </w:tc>
      </w:tr>
      <w:tr w:rsidR="006633B5" w:rsidRPr="006633B5" w14:paraId="673EF926" w14:textId="77777777" w:rsidTr="006633B5">
        <w:tc>
          <w:tcPr>
            <w:tcW w:w="1093" w:type="dxa"/>
            <w:shd w:val="clear" w:color="auto" w:fill="auto"/>
          </w:tcPr>
          <w:p w14:paraId="12AF48EC" w14:textId="77777777" w:rsidR="006633B5" w:rsidRPr="006633B5" w:rsidRDefault="006633B5" w:rsidP="00E10A24">
            <w:pPr>
              <w:pStyle w:val="Tablebody"/>
              <w:spacing w:after="80"/>
              <w:rPr>
                <w:iCs/>
                <w:vertAlign w:val="subscript"/>
              </w:rPr>
            </w:pPr>
            <w:r w:rsidRPr="006633B5">
              <w:rPr>
                <w:i/>
              </w:rPr>
              <w:t>f</w:t>
            </w:r>
            <w:r w:rsidRPr="006633B5">
              <w:rPr>
                <w:iCs/>
                <w:vertAlign w:val="subscript"/>
              </w:rPr>
              <w:t>y,dl</w:t>
            </w:r>
          </w:p>
        </w:tc>
        <w:tc>
          <w:tcPr>
            <w:tcW w:w="8758" w:type="dxa"/>
            <w:shd w:val="clear" w:color="auto" w:fill="auto"/>
          </w:tcPr>
          <w:p w14:paraId="698D4233" w14:textId="77777777" w:rsidR="006633B5" w:rsidRPr="006633B5" w:rsidRDefault="006633B5" w:rsidP="00E10A24">
            <w:pPr>
              <w:pStyle w:val="Tablebody"/>
              <w:spacing w:after="80"/>
              <w:rPr>
                <w:iCs/>
              </w:rPr>
            </w:pPr>
            <w:r w:rsidRPr="006633B5">
              <w:t>design yield stress of the longitudinal rebars in a composite section</w:t>
            </w:r>
          </w:p>
        </w:tc>
      </w:tr>
      <w:tr w:rsidR="006633B5" w:rsidRPr="006633B5" w14:paraId="2F2DE142" w14:textId="77777777" w:rsidTr="006633B5">
        <w:tc>
          <w:tcPr>
            <w:tcW w:w="1093" w:type="dxa"/>
            <w:shd w:val="clear" w:color="auto" w:fill="auto"/>
          </w:tcPr>
          <w:p w14:paraId="75E9220F" w14:textId="77777777" w:rsidR="006633B5" w:rsidRPr="006633B5" w:rsidRDefault="006633B5" w:rsidP="00E10A24">
            <w:pPr>
              <w:pStyle w:val="Tablebody"/>
              <w:spacing w:after="80"/>
              <w:rPr>
                <w:iCs/>
              </w:rPr>
            </w:pPr>
            <w:r w:rsidRPr="006633B5">
              <w:rPr>
                <w:i/>
              </w:rPr>
              <w:t>f</w:t>
            </w:r>
            <w:r w:rsidRPr="006633B5">
              <w:rPr>
                <w:iCs/>
                <w:vertAlign w:val="subscript"/>
              </w:rPr>
              <w:t>y,dw</w:t>
            </w:r>
          </w:p>
        </w:tc>
        <w:tc>
          <w:tcPr>
            <w:tcW w:w="8758" w:type="dxa"/>
            <w:shd w:val="clear" w:color="auto" w:fill="auto"/>
          </w:tcPr>
          <w:p w14:paraId="0BCC91F0" w14:textId="77777777" w:rsidR="006633B5" w:rsidRPr="006633B5" w:rsidRDefault="006633B5" w:rsidP="00E10A24">
            <w:pPr>
              <w:pStyle w:val="Tablebody"/>
              <w:spacing w:after="80"/>
              <w:rPr>
                <w:iCs/>
              </w:rPr>
            </w:pPr>
            <w:r w:rsidRPr="006633B5">
              <w:t>design yield stress of the confining hoops in a composite section</w:t>
            </w:r>
          </w:p>
        </w:tc>
      </w:tr>
      <w:tr w:rsidR="006633B5" w:rsidRPr="006633B5" w14:paraId="720F69A4" w14:textId="77777777" w:rsidTr="006633B5">
        <w:tc>
          <w:tcPr>
            <w:tcW w:w="1093" w:type="dxa"/>
            <w:shd w:val="clear" w:color="auto" w:fill="auto"/>
          </w:tcPr>
          <w:p w14:paraId="0E276EFB" w14:textId="77777777" w:rsidR="006633B5" w:rsidRPr="006633B5" w:rsidRDefault="006633B5" w:rsidP="00E10A24">
            <w:pPr>
              <w:pStyle w:val="Tablebody"/>
              <w:spacing w:after="80"/>
              <w:rPr>
                <w:iCs/>
                <w:vertAlign w:val="subscript"/>
              </w:rPr>
            </w:pPr>
            <w:r w:rsidRPr="006633B5">
              <w:rPr>
                <w:i/>
              </w:rPr>
              <w:t>f</w:t>
            </w:r>
            <w:r w:rsidRPr="006633B5">
              <w:rPr>
                <w:iCs/>
                <w:vertAlign w:val="subscript"/>
              </w:rPr>
              <w:t>y,df</w:t>
            </w:r>
          </w:p>
        </w:tc>
        <w:tc>
          <w:tcPr>
            <w:tcW w:w="8758" w:type="dxa"/>
            <w:shd w:val="clear" w:color="auto" w:fill="auto"/>
          </w:tcPr>
          <w:p w14:paraId="19D94A09" w14:textId="77777777" w:rsidR="006633B5" w:rsidRPr="006633B5" w:rsidRDefault="006633B5" w:rsidP="00E10A24">
            <w:pPr>
              <w:pStyle w:val="Tablebody"/>
              <w:spacing w:after="80"/>
              <w:rPr>
                <w:iCs/>
              </w:rPr>
            </w:pPr>
            <w:r w:rsidRPr="006633B5">
              <w:t>design yield stress of the flange of the steel cross-section in a composite section</w:t>
            </w:r>
          </w:p>
        </w:tc>
      </w:tr>
      <w:tr w:rsidR="006633B5" w:rsidRPr="006633B5" w14:paraId="2E2D6F98" w14:textId="77777777" w:rsidTr="006633B5">
        <w:tc>
          <w:tcPr>
            <w:tcW w:w="1093" w:type="dxa"/>
            <w:shd w:val="clear" w:color="auto" w:fill="auto"/>
          </w:tcPr>
          <w:p w14:paraId="5454BE06" w14:textId="77777777" w:rsidR="006633B5" w:rsidRPr="006633B5" w:rsidRDefault="006633B5" w:rsidP="00E10A24">
            <w:pPr>
              <w:pStyle w:val="Tablebody"/>
              <w:spacing w:after="80"/>
            </w:pPr>
            <w:r w:rsidRPr="006633B5">
              <w:rPr>
                <w:i/>
              </w:rPr>
              <w:t>f</w:t>
            </w:r>
            <w:r w:rsidRPr="006633B5">
              <w:rPr>
                <w:vertAlign w:val="subscript"/>
              </w:rPr>
              <w:t>ywd</w:t>
            </w:r>
          </w:p>
        </w:tc>
        <w:tc>
          <w:tcPr>
            <w:tcW w:w="8758" w:type="dxa"/>
            <w:shd w:val="clear" w:color="auto" w:fill="auto"/>
          </w:tcPr>
          <w:p w14:paraId="520AD959" w14:textId="77777777" w:rsidR="006633B5" w:rsidRPr="006633B5" w:rsidRDefault="006633B5" w:rsidP="00E10A24">
            <w:pPr>
              <w:pStyle w:val="Tablebody"/>
              <w:spacing w:after="80"/>
            </w:pPr>
            <w:r w:rsidRPr="006633B5">
              <w:t>design yield strength of the transverse reinforcement</w:t>
            </w:r>
          </w:p>
        </w:tc>
      </w:tr>
      <w:tr w:rsidR="006633B5" w:rsidRPr="006633B5" w14:paraId="57471695" w14:textId="77777777" w:rsidTr="006633B5">
        <w:tc>
          <w:tcPr>
            <w:tcW w:w="1093" w:type="dxa"/>
            <w:shd w:val="clear" w:color="auto" w:fill="auto"/>
          </w:tcPr>
          <w:p w14:paraId="201ED604" w14:textId="77777777" w:rsidR="006633B5" w:rsidRPr="006633B5" w:rsidRDefault="006633B5" w:rsidP="00E10A24">
            <w:pPr>
              <w:pStyle w:val="Tablebody"/>
              <w:spacing w:after="80"/>
            </w:pPr>
            <w:r w:rsidRPr="006633B5">
              <w:rPr>
                <w:i/>
              </w:rPr>
              <w:t>f</w:t>
            </w:r>
            <w:r w:rsidRPr="006633B5">
              <w:rPr>
                <w:vertAlign w:val="subscript"/>
              </w:rPr>
              <w:t>ywd,j</w:t>
            </w:r>
          </w:p>
        </w:tc>
        <w:tc>
          <w:tcPr>
            <w:tcW w:w="8758" w:type="dxa"/>
            <w:shd w:val="clear" w:color="auto" w:fill="auto"/>
          </w:tcPr>
          <w:p w14:paraId="5A0508FB" w14:textId="77777777" w:rsidR="006633B5" w:rsidRPr="006633B5" w:rsidRDefault="006633B5" w:rsidP="00E10A24">
            <w:pPr>
              <w:pStyle w:val="Tablebody"/>
              <w:spacing w:after="80"/>
            </w:pPr>
            <w:r w:rsidRPr="006633B5">
              <w:t>design yield strength of the transverse reinforcement in the joint</w:t>
            </w:r>
          </w:p>
        </w:tc>
      </w:tr>
      <w:tr w:rsidR="006633B5" w:rsidRPr="006633B5" w14:paraId="64BCF578" w14:textId="77777777" w:rsidTr="006633B5">
        <w:tc>
          <w:tcPr>
            <w:tcW w:w="1093" w:type="dxa"/>
            <w:shd w:val="clear" w:color="auto" w:fill="auto"/>
          </w:tcPr>
          <w:p w14:paraId="5D3A3CFA" w14:textId="77777777" w:rsidR="006633B5" w:rsidRPr="006633B5" w:rsidRDefault="006633B5" w:rsidP="00E10A24">
            <w:pPr>
              <w:pStyle w:val="Tablebody"/>
              <w:spacing w:after="80"/>
            </w:pPr>
            <w:r w:rsidRPr="006633B5">
              <w:rPr>
                <w:i/>
                <w:lang w:eastAsia="de-DE"/>
              </w:rPr>
              <w:t>f</w:t>
            </w:r>
            <w:r w:rsidRPr="006633B5">
              <w:rPr>
                <w:vertAlign w:val="subscript"/>
                <w:lang w:eastAsia="de-DE"/>
              </w:rPr>
              <w:t>vk0</w:t>
            </w:r>
          </w:p>
        </w:tc>
        <w:tc>
          <w:tcPr>
            <w:tcW w:w="8758" w:type="dxa"/>
            <w:shd w:val="clear" w:color="auto" w:fill="auto"/>
          </w:tcPr>
          <w:p w14:paraId="1E421D69" w14:textId="77777777" w:rsidR="006633B5" w:rsidRPr="006633B5" w:rsidRDefault="006633B5" w:rsidP="00E10A24">
            <w:pPr>
              <w:pStyle w:val="Tablebody"/>
              <w:spacing w:after="80"/>
            </w:pPr>
            <w:r w:rsidRPr="006633B5">
              <w:t>characteristic initial shear strength of masonry under zero compressive stress</w:t>
            </w:r>
          </w:p>
        </w:tc>
      </w:tr>
      <w:tr w:rsidR="006633B5" w:rsidRPr="006633B5" w14:paraId="362DA64C" w14:textId="77777777" w:rsidTr="006633B5">
        <w:tc>
          <w:tcPr>
            <w:tcW w:w="1093" w:type="dxa"/>
            <w:shd w:val="clear" w:color="auto" w:fill="auto"/>
          </w:tcPr>
          <w:p w14:paraId="4021F4EE" w14:textId="77777777" w:rsidR="006633B5" w:rsidRPr="006633B5" w:rsidRDefault="006633B5" w:rsidP="00E10A24">
            <w:pPr>
              <w:pStyle w:val="Tablebody"/>
              <w:spacing w:after="80"/>
            </w:pPr>
            <w:r w:rsidRPr="006633B5">
              <w:rPr>
                <w:i/>
                <w:iCs/>
              </w:rPr>
              <w:t>f</w:t>
            </w:r>
            <w:r w:rsidRPr="006633B5">
              <w:rPr>
                <w:vertAlign w:val="subscript"/>
              </w:rPr>
              <w:t>0</w:t>
            </w:r>
          </w:p>
        </w:tc>
        <w:tc>
          <w:tcPr>
            <w:tcW w:w="8758" w:type="dxa"/>
            <w:shd w:val="clear" w:color="auto" w:fill="auto"/>
          </w:tcPr>
          <w:p w14:paraId="71BE1D5C" w14:textId="77777777" w:rsidR="006633B5" w:rsidRPr="006633B5" w:rsidRDefault="006633B5" w:rsidP="00E10A24">
            <w:pPr>
              <w:pStyle w:val="Tablebody"/>
              <w:spacing w:after="80"/>
            </w:pPr>
            <w:r w:rsidRPr="006633B5">
              <w:t>conventional elastic strength of aluminium</w:t>
            </w:r>
          </w:p>
        </w:tc>
      </w:tr>
      <w:tr w:rsidR="006633B5" w:rsidRPr="006633B5" w14:paraId="624EF136" w14:textId="77777777" w:rsidTr="006633B5">
        <w:tc>
          <w:tcPr>
            <w:tcW w:w="1093" w:type="dxa"/>
            <w:shd w:val="clear" w:color="auto" w:fill="auto"/>
          </w:tcPr>
          <w:p w14:paraId="10516F81" w14:textId="77777777" w:rsidR="006633B5" w:rsidRPr="006633B5" w:rsidRDefault="006633B5" w:rsidP="00E10A24">
            <w:pPr>
              <w:pStyle w:val="Tablebody"/>
              <w:spacing w:after="80"/>
            </w:pPr>
            <w:r w:rsidRPr="006633B5">
              <w:rPr>
                <w:i/>
              </w:rPr>
              <w:t>h</w:t>
            </w:r>
          </w:p>
        </w:tc>
        <w:tc>
          <w:tcPr>
            <w:tcW w:w="8758" w:type="dxa"/>
            <w:shd w:val="clear" w:color="auto" w:fill="auto"/>
          </w:tcPr>
          <w:p w14:paraId="1F2F5CB1" w14:textId="77777777" w:rsidR="006633B5" w:rsidRPr="006633B5" w:rsidRDefault="006633B5" w:rsidP="00E10A24">
            <w:pPr>
              <w:pStyle w:val="Tablebody"/>
              <w:spacing w:after="80"/>
            </w:pPr>
            <w:r w:rsidRPr="006633B5">
              <w:t>cross-section depth of a beam or column</w:t>
            </w:r>
          </w:p>
        </w:tc>
      </w:tr>
      <w:tr w:rsidR="006633B5" w:rsidRPr="006633B5" w14:paraId="249E76BA" w14:textId="77777777" w:rsidTr="006633B5">
        <w:tc>
          <w:tcPr>
            <w:tcW w:w="1093" w:type="dxa"/>
            <w:shd w:val="clear" w:color="auto" w:fill="auto"/>
          </w:tcPr>
          <w:p w14:paraId="0988A007" w14:textId="77777777" w:rsidR="006633B5" w:rsidRPr="006633B5" w:rsidRDefault="006633B5" w:rsidP="00E10A24">
            <w:pPr>
              <w:pStyle w:val="Tablebody"/>
              <w:spacing w:after="80"/>
            </w:pPr>
            <w:r w:rsidRPr="006633B5">
              <w:rPr>
                <w:i/>
              </w:rPr>
              <w:t>h</w:t>
            </w:r>
            <w:r w:rsidRPr="006633B5">
              <w:rPr>
                <w:vertAlign w:val="subscript"/>
              </w:rPr>
              <w:t>0</w:t>
            </w:r>
          </w:p>
        </w:tc>
        <w:tc>
          <w:tcPr>
            <w:tcW w:w="8758" w:type="dxa"/>
            <w:shd w:val="clear" w:color="auto" w:fill="auto"/>
          </w:tcPr>
          <w:p w14:paraId="596FE63D" w14:textId="77777777" w:rsidR="006633B5" w:rsidRPr="006633B5" w:rsidRDefault="006633B5" w:rsidP="00E10A24">
            <w:pPr>
              <w:pStyle w:val="Tablebody"/>
              <w:spacing w:after="80"/>
            </w:pPr>
            <w:r w:rsidRPr="006633B5">
              <w:t>largest dimension of the concrete core to the centreline of the hoops</w:t>
            </w:r>
          </w:p>
        </w:tc>
      </w:tr>
      <w:tr w:rsidR="006633B5" w:rsidRPr="006633B5" w14:paraId="141D054C" w14:textId="77777777" w:rsidTr="006633B5">
        <w:tc>
          <w:tcPr>
            <w:tcW w:w="1093" w:type="dxa"/>
            <w:shd w:val="clear" w:color="auto" w:fill="auto"/>
          </w:tcPr>
          <w:p w14:paraId="6E3D8486" w14:textId="77777777" w:rsidR="006633B5" w:rsidRPr="006633B5" w:rsidRDefault="006633B5" w:rsidP="00E10A24">
            <w:pPr>
              <w:pStyle w:val="Tablebody"/>
              <w:spacing w:after="80"/>
            </w:pPr>
            <w:r w:rsidRPr="006633B5">
              <w:rPr>
                <w:i/>
              </w:rPr>
              <w:t>h</w:t>
            </w:r>
            <w:r w:rsidRPr="006633B5">
              <w:rPr>
                <w:vertAlign w:val="subscript"/>
              </w:rPr>
              <w:t>b</w:t>
            </w:r>
          </w:p>
        </w:tc>
        <w:tc>
          <w:tcPr>
            <w:tcW w:w="8758" w:type="dxa"/>
            <w:shd w:val="clear" w:color="auto" w:fill="auto"/>
          </w:tcPr>
          <w:p w14:paraId="49120968" w14:textId="77777777" w:rsidR="006633B5" w:rsidRPr="006633B5" w:rsidRDefault="006633B5" w:rsidP="00E10A24">
            <w:pPr>
              <w:pStyle w:val="Tablebody"/>
              <w:spacing w:after="80"/>
            </w:pPr>
            <w:r w:rsidRPr="006633B5">
              <w:t>cross-section depth of a beam</w:t>
            </w:r>
          </w:p>
        </w:tc>
      </w:tr>
      <w:tr w:rsidR="006633B5" w:rsidRPr="006633B5" w14:paraId="19954D4A" w14:textId="77777777" w:rsidTr="006633B5">
        <w:tc>
          <w:tcPr>
            <w:tcW w:w="1093" w:type="dxa"/>
            <w:shd w:val="clear" w:color="auto" w:fill="auto"/>
          </w:tcPr>
          <w:p w14:paraId="3860FD37" w14:textId="77777777" w:rsidR="006633B5" w:rsidRPr="006633B5" w:rsidRDefault="006633B5" w:rsidP="00E10A24">
            <w:pPr>
              <w:pStyle w:val="Tablebody"/>
              <w:spacing w:after="80"/>
            </w:pPr>
            <w:r w:rsidRPr="006633B5">
              <w:rPr>
                <w:i/>
              </w:rPr>
              <w:t>h</w:t>
            </w:r>
            <w:r w:rsidRPr="006633B5">
              <w:rPr>
                <w:vertAlign w:val="subscript"/>
              </w:rPr>
              <w:t>c</w:t>
            </w:r>
          </w:p>
        </w:tc>
        <w:tc>
          <w:tcPr>
            <w:tcW w:w="8758" w:type="dxa"/>
            <w:shd w:val="clear" w:color="auto" w:fill="auto"/>
          </w:tcPr>
          <w:p w14:paraId="7BDF0131" w14:textId="77777777" w:rsidR="006633B5" w:rsidRPr="006633B5" w:rsidRDefault="006633B5" w:rsidP="00E10A24">
            <w:pPr>
              <w:pStyle w:val="Tablebody"/>
              <w:spacing w:after="80"/>
            </w:pPr>
            <w:r w:rsidRPr="006633B5">
              <w:t>cross-section depth of a column</w:t>
            </w:r>
          </w:p>
        </w:tc>
      </w:tr>
      <w:tr w:rsidR="006633B5" w:rsidRPr="006633B5" w14:paraId="286754E5" w14:textId="77777777" w:rsidTr="006633B5">
        <w:tc>
          <w:tcPr>
            <w:tcW w:w="1093" w:type="dxa"/>
            <w:shd w:val="clear" w:color="auto" w:fill="auto"/>
          </w:tcPr>
          <w:p w14:paraId="0FC2C097" w14:textId="77777777" w:rsidR="006633B5" w:rsidRPr="006633B5" w:rsidRDefault="006633B5" w:rsidP="00E10A24">
            <w:pPr>
              <w:pStyle w:val="Tablebody"/>
              <w:spacing w:after="80"/>
            </w:pPr>
            <w:r w:rsidRPr="006633B5">
              <w:rPr>
                <w:i/>
              </w:rPr>
              <w:t>h</w:t>
            </w:r>
            <w:r w:rsidRPr="006633B5">
              <w:rPr>
                <w:vertAlign w:val="subscript"/>
              </w:rPr>
              <w:t>cr</w:t>
            </w:r>
          </w:p>
        </w:tc>
        <w:tc>
          <w:tcPr>
            <w:tcW w:w="8758" w:type="dxa"/>
            <w:shd w:val="clear" w:color="auto" w:fill="auto"/>
          </w:tcPr>
          <w:p w14:paraId="3D6316E1" w14:textId="77777777" w:rsidR="006633B5" w:rsidRPr="006633B5" w:rsidRDefault="006633B5" w:rsidP="00E10A24">
            <w:pPr>
              <w:pStyle w:val="Tablebody"/>
              <w:spacing w:after="80"/>
            </w:pPr>
            <w:r w:rsidRPr="006633B5">
              <w:t>height of the wall critical region</w:t>
            </w:r>
          </w:p>
        </w:tc>
      </w:tr>
      <w:tr w:rsidR="006633B5" w:rsidRPr="006633B5" w14:paraId="4FEF99CC" w14:textId="77777777" w:rsidTr="006633B5">
        <w:tc>
          <w:tcPr>
            <w:tcW w:w="1093" w:type="dxa"/>
            <w:shd w:val="clear" w:color="auto" w:fill="auto"/>
          </w:tcPr>
          <w:p w14:paraId="1F30B028" w14:textId="77777777" w:rsidR="006633B5" w:rsidRPr="006633B5" w:rsidRDefault="006633B5" w:rsidP="00E10A24">
            <w:pPr>
              <w:pStyle w:val="Tablebody"/>
              <w:spacing w:after="80"/>
            </w:pPr>
            <w:r w:rsidRPr="006633B5">
              <w:rPr>
                <w:i/>
              </w:rPr>
              <w:t>h</w:t>
            </w:r>
            <w:r w:rsidRPr="006633B5">
              <w:rPr>
                <w:vertAlign w:val="subscript"/>
              </w:rPr>
              <w:t>ef</w:t>
            </w:r>
          </w:p>
        </w:tc>
        <w:tc>
          <w:tcPr>
            <w:tcW w:w="8758" w:type="dxa"/>
            <w:shd w:val="clear" w:color="auto" w:fill="auto"/>
          </w:tcPr>
          <w:p w14:paraId="29E2B5A4" w14:textId="77777777" w:rsidR="006633B5" w:rsidRPr="006633B5" w:rsidRDefault="006633B5" w:rsidP="00E10A24">
            <w:pPr>
              <w:pStyle w:val="Tablebody"/>
              <w:spacing w:after="80"/>
            </w:pPr>
            <w:r w:rsidRPr="006633B5">
              <w:t>effective height of a masonry as defined in EN 1996-1-1</w:t>
            </w:r>
          </w:p>
        </w:tc>
      </w:tr>
      <w:tr w:rsidR="006633B5" w:rsidRPr="006633B5" w14:paraId="2429731D" w14:textId="77777777" w:rsidTr="006633B5">
        <w:tc>
          <w:tcPr>
            <w:tcW w:w="1093" w:type="dxa"/>
            <w:shd w:val="clear" w:color="auto" w:fill="auto"/>
          </w:tcPr>
          <w:p w14:paraId="35EC0AD7" w14:textId="77777777" w:rsidR="006633B5" w:rsidRPr="006633B5" w:rsidRDefault="006633B5" w:rsidP="00E10A24">
            <w:pPr>
              <w:pStyle w:val="Tablebody"/>
              <w:spacing w:after="80"/>
            </w:pPr>
            <w:r w:rsidRPr="006633B5">
              <w:rPr>
                <w:i/>
              </w:rPr>
              <w:t>h</w:t>
            </w:r>
            <w:r w:rsidRPr="006633B5">
              <w:rPr>
                <w:vertAlign w:val="subscript"/>
              </w:rPr>
              <w:t>j,ef</w:t>
            </w:r>
          </w:p>
        </w:tc>
        <w:tc>
          <w:tcPr>
            <w:tcW w:w="8758" w:type="dxa"/>
            <w:shd w:val="clear" w:color="auto" w:fill="auto"/>
          </w:tcPr>
          <w:p w14:paraId="3B68AAE1" w14:textId="77777777" w:rsidR="006633B5" w:rsidRPr="006633B5" w:rsidRDefault="006633B5" w:rsidP="00E10A24">
            <w:pPr>
              <w:pStyle w:val="Tablebody"/>
              <w:spacing w:after="80"/>
            </w:pPr>
            <w:r w:rsidRPr="006633B5">
              <w:t>effective joint depth</w:t>
            </w:r>
          </w:p>
        </w:tc>
      </w:tr>
      <w:tr w:rsidR="006633B5" w:rsidRPr="006633B5" w14:paraId="332C6831" w14:textId="77777777" w:rsidTr="006633B5">
        <w:tc>
          <w:tcPr>
            <w:tcW w:w="1093" w:type="dxa"/>
            <w:shd w:val="clear" w:color="auto" w:fill="auto"/>
          </w:tcPr>
          <w:p w14:paraId="6531E6CA" w14:textId="77777777" w:rsidR="006633B5" w:rsidRPr="006633B5" w:rsidRDefault="006633B5" w:rsidP="00E10A24">
            <w:pPr>
              <w:pStyle w:val="Tablebody"/>
              <w:spacing w:after="80"/>
            </w:pPr>
            <w:r w:rsidRPr="006633B5">
              <w:rPr>
                <w:i/>
                <w:iCs/>
              </w:rPr>
              <w:t>h</w:t>
            </w:r>
            <w:r w:rsidRPr="006633B5">
              <w:rPr>
                <w:vertAlign w:val="subscript"/>
              </w:rPr>
              <w:t>min</w:t>
            </w:r>
          </w:p>
        </w:tc>
        <w:tc>
          <w:tcPr>
            <w:tcW w:w="8758" w:type="dxa"/>
            <w:shd w:val="clear" w:color="auto" w:fill="auto"/>
          </w:tcPr>
          <w:p w14:paraId="466FC99F" w14:textId="77777777" w:rsidR="006633B5" w:rsidRPr="006633B5" w:rsidRDefault="006633B5" w:rsidP="00E10A24">
            <w:pPr>
              <w:pStyle w:val="Tablebody"/>
              <w:spacing w:after="80"/>
            </w:pPr>
            <w:r w:rsidRPr="006633B5">
              <w:t>free height of the shortest pier</w:t>
            </w:r>
          </w:p>
        </w:tc>
      </w:tr>
      <w:tr w:rsidR="006633B5" w:rsidRPr="006633B5" w14:paraId="6BCEBD6C" w14:textId="77777777" w:rsidTr="006633B5">
        <w:tc>
          <w:tcPr>
            <w:tcW w:w="1093" w:type="dxa"/>
            <w:shd w:val="clear" w:color="auto" w:fill="auto"/>
          </w:tcPr>
          <w:p w14:paraId="49A5E290" w14:textId="77777777" w:rsidR="006633B5" w:rsidRPr="006633B5" w:rsidRDefault="006633B5" w:rsidP="00E10A24">
            <w:pPr>
              <w:pStyle w:val="Tablebody"/>
              <w:spacing w:after="80"/>
              <w:rPr>
                <w:iCs/>
              </w:rPr>
            </w:pPr>
            <w:r w:rsidRPr="006633B5">
              <w:rPr>
                <w:i/>
              </w:rPr>
              <w:t>h</w:t>
            </w:r>
            <w:r w:rsidRPr="006633B5">
              <w:rPr>
                <w:iCs/>
                <w:vertAlign w:val="subscript"/>
              </w:rPr>
              <w:t>op</w:t>
            </w:r>
          </w:p>
        </w:tc>
        <w:tc>
          <w:tcPr>
            <w:tcW w:w="8758" w:type="dxa"/>
            <w:shd w:val="clear" w:color="auto" w:fill="auto"/>
          </w:tcPr>
          <w:p w14:paraId="7BF18214" w14:textId="77777777" w:rsidR="006633B5" w:rsidRPr="006633B5" w:rsidRDefault="006633B5" w:rsidP="00E10A24">
            <w:pPr>
              <w:pStyle w:val="Tablebody"/>
              <w:spacing w:after="80"/>
            </w:pPr>
            <w:r w:rsidRPr="006633B5">
              <w:t>clear height of an opening adjacent to a masonry pier</w:t>
            </w:r>
          </w:p>
        </w:tc>
      </w:tr>
      <w:tr w:rsidR="006633B5" w:rsidRPr="006633B5" w14:paraId="5BF1A8E0" w14:textId="77777777" w:rsidTr="006633B5">
        <w:tc>
          <w:tcPr>
            <w:tcW w:w="1093" w:type="dxa"/>
            <w:shd w:val="clear" w:color="auto" w:fill="auto"/>
          </w:tcPr>
          <w:p w14:paraId="7545DBE1" w14:textId="77777777" w:rsidR="006633B5" w:rsidRPr="006633B5" w:rsidRDefault="006633B5" w:rsidP="00E10A24">
            <w:pPr>
              <w:pStyle w:val="Tablebody"/>
              <w:spacing w:after="80"/>
            </w:pPr>
            <w:r w:rsidRPr="006633B5">
              <w:rPr>
                <w:i/>
              </w:rPr>
              <w:t>h</w:t>
            </w:r>
            <w:r w:rsidRPr="006633B5">
              <w:rPr>
                <w:vertAlign w:val="subscript"/>
              </w:rPr>
              <w:t>ap</w:t>
            </w:r>
          </w:p>
        </w:tc>
        <w:tc>
          <w:tcPr>
            <w:tcW w:w="8758" w:type="dxa"/>
            <w:shd w:val="clear" w:color="auto" w:fill="auto"/>
          </w:tcPr>
          <w:p w14:paraId="14114C7D" w14:textId="77777777" w:rsidR="006633B5" w:rsidRPr="006633B5" w:rsidRDefault="006633B5" w:rsidP="00E10A24">
            <w:pPr>
              <w:pStyle w:val="Tablebody"/>
              <w:spacing w:after="80"/>
            </w:pPr>
            <w:r w:rsidRPr="006633B5">
              <w:t>length of an infill wall</w:t>
            </w:r>
          </w:p>
        </w:tc>
      </w:tr>
      <w:tr w:rsidR="006633B5" w:rsidRPr="006633B5" w14:paraId="6EC1941D" w14:textId="77777777" w:rsidTr="006633B5">
        <w:tc>
          <w:tcPr>
            <w:tcW w:w="1093" w:type="dxa"/>
            <w:shd w:val="clear" w:color="auto" w:fill="auto"/>
          </w:tcPr>
          <w:p w14:paraId="60E87F33" w14:textId="12CC58B3" w:rsidR="006633B5" w:rsidRPr="006633B5" w:rsidRDefault="006633B5" w:rsidP="00E10A24">
            <w:pPr>
              <w:pStyle w:val="Tablebody"/>
              <w:spacing w:after="80"/>
              <w:rPr>
                <w:iCs/>
              </w:rPr>
            </w:pPr>
            <w:bookmarkStart w:id="573" w:name="_Hlk38290378"/>
            <w:r w:rsidRPr="006633B5">
              <w:rPr>
                <w:i/>
              </w:rPr>
              <w:t>h</w:t>
            </w:r>
            <w:r w:rsidRPr="006633B5">
              <w:rPr>
                <w:iCs/>
                <w:vertAlign w:val="subscript"/>
              </w:rPr>
              <w:t>pier</w:t>
            </w:r>
            <w:bookmarkEnd w:id="573"/>
          </w:p>
        </w:tc>
        <w:tc>
          <w:tcPr>
            <w:tcW w:w="8758" w:type="dxa"/>
            <w:shd w:val="clear" w:color="auto" w:fill="auto"/>
          </w:tcPr>
          <w:p w14:paraId="5264C1F6" w14:textId="77777777" w:rsidR="006633B5" w:rsidRPr="006633B5" w:rsidRDefault="006633B5" w:rsidP="00E10A24">
            <w:pPr>
              <w:pStyle w:val="Tablebody"/>
              <w:spacing w:after="80"/>
              <w:rPr>
                <w:bCs/>
              </w:rPr>
            </w:pPr>
            <w:r w:rsidRPr="006633B5">
              <w:rPr>
                <w:iCs/>
              </w:rPr>
              <w:t>clear height of a pier</w:t>
            </w:r>
            <w:r w:rsidRPr="006633B5">
              <w:t xml:space="preserve"> as in EN 1996-1-1:2022,</w:t>
            </w:r>
            <w:r w:rsidRPr="006633B5" w:rsidDel="00097D3F">
              <w:t xml:space="preserve"> </w:t>
            </w:r>
            <w:r w:rsidRPr="006633B5">
              <w:rPr>
                <w:bCs/>
              </w:rPr>
              <w:t>7.5.1.3(9)</w:t>
            </w:r>
          </w:p>
        </w:tc>
      </w:tr>
      <w:tr w:rsidR="006633B5" w:rsidRPr="006633B5" w14:paraId="4B221781" w14:textId="77777777" w:rsidTr="006633B5">
        <w:tc>
          <w:tcPr>
            <w:tcW w:w="1093" w:type="dxa"/>
            <w:shd w:val="clear" w:color="auto" w:fill="auto"/>
          </w:tcPr>
          <w:p w14:paraId="135C1AA4" w14:textId="77777777" w:rsidR="006633B5" w:rsidRPr="006633B5" w:rsidRDefault="006633B5" w:rsidP="00E10A24">
            <w:pPr>
              <w:pStyle w:val="Tablebody"/>
              <w:spacing w:after="80"/>
            </w:pPr>
            <w:r w:rsidRPr="006633B5">
              <w:rPr>
                <w:i/>
                <w:iCs/>
              </w:rPr>
              <w:lastRenderedPageBreak/>
              <w:t>h</w:t>
            </w:r>
            <w:r w:rsidRPr="006633B5">
              <w:rPr>
                <w:vertAlign w:val="subscript"/>
              </w:rPr>
              <w:t>pin</w:t>
            </w:r>
          </w:p>
        </w:tc>
        <w:tc>
          <w:tcPr>
            <w:tcW w:w="8758" w:type="dxa"/>
            <w:shd w:val="clear" w:color="auto" w:fill="auto"/>
          </w:tcPr>
          <w:p w14:paraId="4F76D407" w14:textId="77777777" w:rsidR="006633B5" w:rsidRPr="006633B5" w:rsidRDefault="006633B5" w:rsidP="00E10A24">
            <w:pPr>
              <w:pStyle w:val="Tablebody"/>
              <w:spacing w:after="80"/>
            </w:pPr>
            <w:r w:rsidRPr="006633B5">
              <w:t>height of the pin section used in INERD pin connection</w:t>
            </w:r>
          </w:p>
        </w:tc>
      </w:tr>
      <w:tr w:rsidR="006633B5" w:rsidRPr="006633B5" w14:paraId="463D9217" w14:textId="77777777" w:rsidTr="006633B5">
        <w:tc>
          <w:tcPr>
            <w:tcW w:w="1093" w:type="dxa"/>
            <w:shd w:val="clear" w:color="auto" w:fill="auto"/>
          </w:tcPr>
          <w:p w14:paraId="75EC91DE" w14:textId="77777777" w:rsidR="006633B5" w:rsidRPr="006633B5" w:rsidRDefault="006633B5" w:rsidP="00E10A24">
            <w:pPr>
              <w:pStyle w:val="Tablebody"/>
              <w:spacing w:after="80"/>
              <w:rPr>
                <w:rFonts w:cs="Arial"/>
                <w:lang w:eastAsia="de-DE"/>
              </w:rPr>
            </w:pPr>
            <w:r w:rsidRPr="006633B5">
              <w:rPr>
                <w:rFonts w:eastAsia="Cambria,Italic" w:cs="Arial"/>
                <w:i/>
                <w:iCs/>
                <w:lang w:eastAsia="de-DE"/>
              </w:rPr>
              <w:t>h</w:t>
            </w:r>
            <w:r w:rsidRPr="006633B5">
              <w:rPr>
                <w:rFonts w:cs="Arial"/>
                <w:vertAlign w:val="subscript"/>
                <w:lang w:eastAsia="de-DE"/>
              </w:rPr>
              <w:t>RB</w:t>
            </w:r>
          </w:p>
        </w:tc>
        <w:tc>
          <w:tcPr>
            <w:tcW w:w="8758" w:type="dxa"/>
            <w:shd w:val="clear" w:color="auto" w:fill="auto"/>
          </w:tcPr>
          <w:p w14:paraId="0FA4E1F8" w14:textId="77777777" w:rsidR="006633B5" w:rsidRPr="006633B5" w:rsidRDefault="006633B5" w:rsidP="00E10A24">
            <w:pPr>
              <w:pStyle w:val="Tablebody"/>
              <w:spacing w:after="80"/>
            </w:pPr>
            <w:r w:rsidRPr="006633B5">
              <w:rPr>
                <w:rFonts w:cs="Arial"/>
                <w:lang w:eastAsia="de-DE"/>
              </w:rPr>
              <w:t xml:space="preserve">depth of </w:t>
            </w:r>
            <w:r w:rsidRPr="006633B5">
              <w:t>reinforced concrete ring beams</w:t>
            </w:r>
          </w:p>
        </w:tc>
      </w:tr>
      <w:tr w:rsidR="006633B5" w:rsidRPr="006633B5" w14:paraId="70E8E8B2" w14:textId="77777777" w:rsidTr="006633B5">
        <w:tc>
          <w:tcPr>
            <w:tcW w:w="1093" w:type="dxa"/>
            <w:shd w:val="clear" w:color="auto" w:fill="auto"/>
          </w:tcPr>
          <w:p w14:paraId="431A43C3" w14:textId="77777777" w:rsidR="006633B5" w:rsidRPr="006633B5" w:rsidRDefault="006633B5" w:rsidP="00E10A24">
            <w:pPr>
              <w:pStyle w:val="Tablebody"/>
              <w:spacing w:after="80"/>
            </w:pPr>
            <w:r w:rsidRPr="006633B5">
              <w:rPr>
                <w:i/>
              </w:rPr>
              <w:t>h</w:t>
            </w:r>
            <w:r w:rsidRPr="006633B5">
              <w:rPr>
                <w:vertAlign w:val="subscript"/>
              </w:rPr>
              <w:t>s</w:t>
            </w:r>
          </w:p>
        </w:tc>
        <w:tc>
          <w:tcPr>
            <w:tcW w:w="8758" w:type="dxa"/>
            <w:shd w:val="clear" w:color="auto" w:fill="auto"/>
          </w:tcPr>
          <w:p w14:paraId="61A66DA6" w14:textId="77777777" w:rsidR="006633B5" w:rsidRPr="006633B5" w:rsidRDefault="006633B5" w:rsidP="00E10A24">
            <w:pPr>
              <w:pStyle w:val="Tablebody"/>
              <w:spacing w:after="80"/>
            </w:pPr>
            <w:r w:rsidRPr="006633B5">
              <w:t>storey height (also named interstorey height)</w:t>
            </w:r>
          </w:p>
        </w:tc>
      </w:tr>
      <w:tr w:rsidR="006633B5" w:rsidRPr="006633B5" w14:paraId="63E8EC50" w14:textId="77777777" w:rsidTr="006633B5">
        <w:tc>
          <w:tcPr>
            <w:tcW w:w="1093" w:type="dxa"/>
            <w:shd w:val="clear" w:color="auto" w:fill="auto"/>
          </w:tcPr>
          <w:p w14:paraId="3233D6BF" w14:textId="77777777" w:rsidR="006633B5" w:rsidRPr="006633B5" w:rsidRDefault="006633B5" w:rsidP="00E10A24">
            <w:pPr>
              <w:pStyle w:val="Tablebody"/>
              <w:spacing w:after="80"/>
            </w:pPr>
            <w:r w:rsidRPr="006633B5">
              <w:rPr>
                <w:i/>
              </w:rPr>
              <w:t>h</w:t>
            </w:r>
            <w:r w:rsidRPr="006633B5">
              <w:rPr>
                <w:vertAlign w:val="subscript"/>
              </w:rPr>
              <w:t>s,cl</w:t>
            </w:r>
          </w:p>
        </w:tc>
        <w:tc>
          <w:tcPr>
            <w:tcW w:w="8758" w:type="dxa"/>
            <w:shd w:val="clear" w:color="auto" w:fill="auto"/>
          </w:tcPr>
          <w:p w14:paraId="09C22E63" w14:textId="77777777" w:rsidR="006633B5" w:rsidRPr="006633B5" w:rsidRDefault="006633B5" w:rsidP="00E10A24">
            <w:pPr>
              <w:pStyle w:val="Tablebody"/>
              <w:spacing w:after="80"/>
            </w:pPr>
            <w:r w:rsidRPr="006633B5">
              <w:t>clear storey height</w:t>
            </w:r>
          </w:p>
        </w:tc>
      </w:tr>
      <w:tr w:rsidR="006633B5" w:rsidRPr="006633B5" w14:paraId="1D8D0AA1" w14:textId="77777777" w:rsidTr="006633B5">
        <w:tc>
          <w:tcPr>
            <w:tcW w:w="1093" w:type="dxa"/>
            <w:shd w:val="clear" w:color="auto" w:fill="auto"/>
          </w:tcPr>
          <w:p w14:paraId="79BEA7E1" w14:textId="77777777" w:rsidR="006633B5" w:rsidRPr="006633B5" w:rsidRDefault="006633B5" w:rsidP="00E10A24">
            <w:pPr>
              <w:pStyle w:val="Tablebody"/>
              <w:spacing w:after="80"/>
            </w:pPr>
            <w:r w:rsidRPr="006633B5">
              <w:rPr>
                <w:rFonts w:ascii="TimesNewRoman,Italic" w:hAnsi="TimesNewRoman,Italic" w:cs="TimesNewRoman,Italic"/>
                <w:i/>
                <w:lang w:eastAsia="de-DE"/>
              </w:rPr>
              <w:t>h</w:t>
            </w:r>
            <w:r w:rsidRPr="006633B5">
              <w:rPr>
                <w:iCs/>
                <w:vertAlign w:val="subscript"/>
                <w:lang w:eastAsia="de-DE"/>
              </w:rPr>
              <w:t>sp</w:t>
            </w:r>
          </w:p>
        </w:tc>
        <w:tc>
          <w:tcPr>
            <w:tcW w:w="8758" w:type="dxa"/>
            <w:shd w:val="clear" w:color="auto" w:fill="auto"/>
          </w:tcPr>
          <w:p w14:paraId="223B5561" w14:textId="77777777" w:rsidR="006633B5" w:rsidRPr="006633B5" w:rsidRDefault="006633B5" w:rsidP="00E10A24">
            <w:pPr>
              <w:pStyle w:val="Tablebody"/>
              <w:spacing w:after="80"/>
            </w:pPr>
            <w:r w:rsidRPr="006633B5">
              <w:t>length of a spandrel</w:t>
            </w:r>
          </w:p>
        </w:tc>
      </w:tr>
      <w:tr w:rsidR="006633B5" w:rsidRPr="006633B5" w14:paraId="42592BA3" w14:textId="77777777" w:rsidTr="006633B5">
        <w:tc>
          <w:tcPr>
            <w:tcW w:w="1093" w:type="dxa"/>
            <w:shd w:val="clear" w:color="auto" w:fill="auto"/>
          </w:tcPr>
          <w:p w14:paraId="46DD9163" w14:textId="77777777" w:rsidR="006633B5" w:rsidRPr="006633B5" w:rsidRDefault="006633B5" w:rsidP="00E10A24">
            <w:pPr>
              <w:pStyle w:val="Tablebody"/>
              <w:spacing w:after="80"/>
            </w:pPr>
            <w:r w:rsidRPr="006633B5">
              <w:rPr>
                <w:i/>
              </w:rPr>
              <w:t>h</w:t>
            </w:r>
            <w:r w:rsidRPr="006633B5">
              <w:rPr>
                <w:iCs/>
                <w:vertAlign w:val="subscript"/>
              </w:rPr>
              <w:t>ss</w:t>
            </w:r>
          </w:p>
        </w:tc>
        <w:tc>
          <w:tcPr>
            <w:tcW w:w="8758" w:type="dxa"/>
            <w:shd w:val="clear" w:color="auto" w:fill="auto"/>
          </w:tcPr>
          <w:p w14:paraId="3D1F6712" w14:textId="77777777" w:rsidR="006633B5" w:rsidRPr="006633B5" w:rsidRDefault="006633B5" w:rsidP="00E10A24">
            <w:pPr>
              <w:pStyle w:val="Tablebody"/>
              <w:spacing w:after="80"/>
            </w:pPr>
            <w:r w:rsidRPr="006633B5">
              <w:t>distance between the upper flanges of steel profiles or the tops of floor slabs at each of the levels above and below a splice</w:t>
            </w:r>
          </w:p>
        </w:tc>
      </w:tr>
      <w:tr w:rsidR="006633B5" w:rsidRPr="006633B5" w14:paraId="6309ADAC" w14:textId="77777777" w:rsidTr="006633B5">
        <w:tc>
          <w:tcPr>
            <w:tcW w:w="1093" w:type="dxa"/>
            <w:shd w:val="clear" w:color="auto" w:fill="auto"/>
          </w:tcPr>
          <w:p w14:paraId="71EBE78D" w14:textId="77777777" w:rsidR="006633B5" w:rsidRPr="006633B5" w:rsidRDefault="006633B5" w:rsidP="00E10A24">
            <w:pPr>
              <w:pStyle w:val="Tablebody"/>
              <w:spacing w:after="80"/>
            </w:pPr>
            <w:r w:rsidRPr="006633B5">
              <w:rPr>
                <w:i/>
              </w:rPr>
              <w:t>h</w:t>
            </w:r>
            <w:r w:rsidRPr="006633B5">
              <w:rPr>
                <w:vertAlign w:val="subscript"/>
              </w:rPr>
              <w:t>w</w:t>
            </w:r>
          </w:p>
        </w:tc>
        <w:tc>
          <w:tcPr>
            <w:tcW w:w="8758" w:type="dxa"/>
            <w:shd w:val="clear" w:color="auto" w:fill="auto"/>
          </w:tcPr>
          <w:p w14:paraId="021EF62D" w14:textId="77777777" w:rsidR="006633B5" w:rsidRPr="006633B5" w:rsidRDefault="006633B5" w:rsidP="00E10A24">
            <w:pPr>
              <w:pStyle w:val="Tablebody"/>
              <w:spacing w:after="80"/>
            </w:pPr>
            <w:r w:rsidRPr="006633B5">
              <w:t>wall height</w:t>
            </w:r>
          </w:p>
        </w:tc>
      </w:tr>
      <w:tr w:rsidR="006633B5" w:rsidRPr="006633B5" w14:paraId="291EE548" w14:textId="77777777" w:rsidTr="006633B5">
        <w:tc>
          <w:tcPr>
            <w:tcW w:w="1093" w:type="dxa"/>
            <w:shd w:val="clear" w:color="auto" w:fill="auto"/>
          </w:tcPr>
          <w:p w14:paraId="0558805F" w14:textId="77777777" w:rsidR="006633B5" w:rsidRPr="006633B5" w:rsidRDefault="006633B5" w:rsidP="00E10A24">
            <w:pPr>
              <w:pStyle w:val="Tablebody"/>
              <w:spacing w:after="80"/>
            </w:pPr>
            <w:r w:rsidRPr="006633B5">
              <w:rPr>
                <w:i/>
              </w:rPr>
              <w:t>i</w:t>
            </w:r>
            <w:r w:rsidRPr="006633B5">
              <w:rPr>
                <w:vertAlign w:val="subscript"/>
              </w:rPr>
              <w:t>z</w:t>
            </w:r>
          </w:p>
        </w:tc>
        <w:tc>
          <w:tcPr>
            <w:tcW w:w="8758" w:type="dxa"/>
            <w:shd w:val="clear" w:color="auto" w:fill="auto"/>
          </w:tcPr>
          <w:p w14:paraId="2F416AAB" w14:textId="77777777" w:rsidR="006633B5" w:rsidRPr="006633B5" w:rsidRDefault="006633B5" w:rsidP="00E10A24">
            <w:pPr>
              <w:pStyle w:val="Tablebody"/>
              <w:spacing w:after="80"/>
            </w:pPr>
            <w:r w:rsidRPr="006633B5">
              <w:t>radius of gyration referring to the weak axis of a steel cross-section</w:t>
            </w:r>
          </w:p>
        </w:tc>
      </w:tr>
      <w:tr w:rsidR="006633B5" w:rsidRPr="006633B5" w14:paraId="227CDD65" w14:textId="77777777" w:rsidTr="006633B5">
        <w:tc>
          <w:tcPr>
            <w:tcW w:w="1093" w:type="dxa"/>
            <w:shd w:val="clear" w:color="auto" w:fill="auto"/>
          </w:tcPr>
          <w:p w14:paraId="214ED54C" w14:textId="77777777" w:rsidR="006633B5" w:rsidRPr="006633B5" w:rsidRDefault="006633B5" w:rsidP="00E10A24">
            <w:pPr>
              <w:pStyle w:val="Tablebody"/>
              <w:spacing w:after="80"/>
            </w:pPr>
            <w:r w:rsidRPr="006633B5">
              <w:rPr>
                <w:i/>
              </w:rPr>
              <w:t>k</w:t>
            </w:r>
          </w:p>
        </w:tc>
        <w:tc>
          <w:tcPr>
            <w:tcW w:w="8758" w:type="dxa"/>
            <w:shd w:val="clear" w:color="auto" w:fill="auto"/>
          </w:tcPr>
          <w:p w14:paraId="68598BCA" w14:textId="77777777" w:rsidR="006633B5" w:rsidRPr="006633B5" w:rsidRDefault="006633B5" w:rsidP="00E10A24">
            <w:pPr>
              <w:pStyle w:val="Tablebody"/>
              <w:spacing w:after="80"/>
            </w:pPr>
            <w:r w:rsidRPr="006633B5">
              <w:t>ratio of characteristic tensile strength to yield strength of reinforcement</w:t>
            </w:r>
          </w:p>
        </w:tc>
      </w:tr>
      <w:tr w:rsidR="006633B5" w:rsidRPr="006633B5" w14:paraId="6BE10B04" w14:textId="77777777" w:rsidTr="006633B5">
        <w:tc>
          <w:tcPr>
            <w:tcW w:w="1093" w:type="dxa"/>
            <w:shd w:val="clear" w:color="auto" w:fill="auto"/>
          </w:tcPr>
          <w:p w14:paraId="2B46295C" w14:textId="77777777" w:rsidR="006633B5" w:rsidRPr="006633B5" w:rsidRDefault="006633B5" w:rsidP="00E10A24">
            <w:pPr>
              <w:pStyle w:val="Tablebody"/>
              <w:spacing w:after="80"/>
            </w:pPr>
            <w:r w:rsidRPr="006633B5">
              <w:rPr>
                <w:i/>
              </w:rPr>
              <w:t>k</w:t>
            </w:r>
            <w:r w:rsidRPr="006633B5">
              <w:rPr>
                <w:vertAlign w:val="subscript"/>
              </w:rPr>
              <w:t>16</w:t>
            </w:r>
          </w:p>
        </w:tc>
        <w:tc>
          <w:tcPr>
            <w:tcW w:w="8758" w:type="dxa"/>
            <w:shd w:val="clear" w:color="auto" w:fill="auto"/>
          </w:tcPr>
          <w:p w14:paraId="3DAD74B5" w14:textId="77777777" w:rsidR="006633B5" w:rsidRPr="006633B5" w:rsidRDefault="006633B5" w:rsidP="00E10A24">
            <w:pPr>
              <w:pStyle w:val="Tablebody"/>
              <w:spacing w:after="80"/>
            </w:pPr>
            <w:r w:rsidRPr="006633B5">
              <w:t>ratio between the 16</w:t>
            </w:r>
            <w:r w:rsidRPr="006633B5">
              <w:rPr>
                <w:vertAlign w:val="superscript"/>
              </w:rPr>
              <w:t>th</w:t>
            </w:r>
            <w:r w:rsidRPr="006633B5">
              <w:t xml:space="preserve"> and the 5</w:t>
            </w:r>
            <w:r w:rsidRPr="006633B5">
              <w:rPr>
                <w:vertAlign w:val="superscript"/>
              </w:rPr>
              <w:t>th</w:t>
            </w:r>
            <w:r w:rsidRPr="006633B5">
              <w:t xml:space="preserve"> percentiles of the resistance distribution</w:t>
            </w:r>
          </w:p>
        </w:tc>
      </w:tr>
      <w:tr w:rsidR="006633B5" w:rsidRPr="006633B5" w14:paraId="51694884" w14:textId="77777777" w:rsidTr="006633B5">
        <w:tc>
          <w:tcPr>
            <w:tcW w:w="1093" w:type="dxa"/>
            <w:shd w:val="clear" w:color="auto" w:fill="auto"/>
          </w:tcPr>
          <w:p w14:paraId="337077FD" w14:textId="77777777" w:rsidR="006633B5" w:rsidRPr="006633B5" w:rsidRDefault="006633B5" w:rsidP="00E10A24">
            <w:pPr>
              <w:pStyle w:val="Tablebody"/>
              <w:spacing w:after="80"/>
              <w:rPr>
                <w:iCs/>
              </w:rPr>
            </w:pPr>
            <w:r w:rsidRPr="006633B5">
              <w:rPr>
                <w:i/>
              </w:rPr>
              <w:t>k</w:t>
            </w:r>
            <w:r w:rsidRPr="006633B5">
              <w:rPr>
                <w:iCs/>
                <w:vertAlign w:val="subscript"/>
              </w:rPr>
              <w:t>br</w:t>
            </w:r>
          </w:p>
        </w:tc>
        <w:tc>
          <w:tcPr>
            <w:tcW w:w="8758" w:type="dxa"/>
            <w:shd w:val="clear" w:color="auto" w:fill="auto"/>
          </w:tcPr>
          <w:p w14:paraId="7CB7EF29" w14:textId="77777777" w:rsidR="006633B5" w:rsidRPr="006633B5" w:rsidRDefault="006633B5" w:rsidP="00E10A24">
            <w:pPr>
              <w:pStyle w:val="Tablebody"/>
              <w:spacing w:after="80"/>
              <w:rPr>
                <w:iCs/>
              </w:rPr>
            </w:pPr>
            <w:r w:rsidRPr="006633B5">
              <w:t>vertical stiffness of a steel bracing</w:t>
            </w:r>
          </w:p>
        </w:tc>
      </w:tr>
      <w:tr w:rsidR="006633B5" w:rsidRPr="006633B5" w14:paraId="3EEC779B" w14:textId="77777777" w:rsidTr="006633B5">
        <w:tc>
          <w:tcPr>
            <w:tcW w:w="1093" w:type="dxa"/>
            <w:shd w:val="clear" w:color="auto" w:fill="auto"/>
          </w:tcPr>
          <w:p w14:paraId="4F0FCAEA" w14:textId="77777777" w:rsidR="006633B5" w:rsidRPr="006633B5" w:rsidRDefault="006633B5" w:rsidP="00E10A24">
            <w:pPr>
              <w:pStyle w:val="Tablebody"/>
              <w:spacing w:after="80"/>
            </w:pPr>
            <w:r w:rsidRPr="006633B5">
              <w:rPr>
                <w:i/>
              </w:rPr>
              <w:t>k</w:t>
            </w:r>
            <w:r w:rsidRPr="006633B5">
              <w:rPr>
                <w:vertAlign w:val="subscript"/>
              </w:rPr>
              <w:t>D</w:t>
            </w:r>
          </w:p>
        </w:tc>
        <w:tc>
          <w:tcPr>
            <w:tcW w:w="8758" w:type="dxa"/>
            <w:shd w:val="clear" w:color="auto" w:fill="auto"/>
          </w:tcPr>
          <w:p w14:paraId="2BE8607B" w14:textId="77777777" w:rsidR="006633B5" w:rsidRPr="006633B5" w:rsidRDefault="006633B5" w:rsidP="00E10A24">
            <w:pPr>
              <w:pStyle w:val="Tablebody"/>
              <w:spacing w:after="80"/>
            </w:pPr>
            <w:r w:rsidRPr="006633B5">
              <w:t>factor for the anchorage verification of beam reinforcement in joints, reflecting the ductility class</w:t>
            </w:r>
          </w:p>
        </w:tc>
      </w:tr>
      <w:tr w:rsidR="006633B5" w:rsidRPr="006633B5" w14:paraId="03EC81E9" w14:textId="77777777" w:rsidTr="006633B5">
        <w:tc>
          <w:tcPr>
            <w:tcW w:w="1093" w:type="dxa"/>
            <w:shd w:val="clear" w:color="auto" w:fill="auto"/>
          </w:tcPr>
          <w:p w14:paraId="10B558F7" w14:textId="77777777" w:rsidR="006633B5" w:rsidRPr="006633B5" w:rsidRDefault="006633B5" w:rsidP="00E10A24">
            <w:pPr>
              <w:pStyle w:val="Tablebody"/>
              <w:spacing w:after="80"/>
            </w:pPr>
            <w:r w:rsidRPr="006633B5">
              <w:rPr>
                <w:i/>
                <w:iCs/>
              </w:rPr>
              <w:t>k</w:t>
            </w:r>
            <w:r w:rsidRPr="006633B5">
              <w:rPr>
                <w:vertAlign w:val="subscript"/>
              </w:rPr>
              <w:t>deg</w:t>
            </w:r>
          </w:p>
        </w:tc>
        <w:tc>
          <w:tcPr>
            <w:tcW w:w="8758" w:type="dxa"/>
            <w:shd w:val="clear" w:color="auto" w:fill="auto"/>
          </w:tcPr>
          <w:p w14:paraId="1822C58A" w14:textId="77777777" w:rsidR="006633B5" w:rsidRPr="006633B5" w:rsidRDefault="006633B5" w:rsidP="00E10A24">
            <w:pPr>
              <w:pStyle w:val="Tablebody"/>
              <w:spacing w:after="80"/>
            </w:pPr>
            <w:r w:rsidRPr="006633B5">
              <w:t>strength reduction factor due to degradation under cyclic loading</w:t>
            </w:r>
          </w:p>
        </w:tc>
      </w:tr>
      <w:tr w:rsidR="006633B5" w:rsidRPr="006633B5" w14:paraId="3E41E273" w14:textId="77777777" w:rsidTr="006633B5">
        <w:tc>
          <w:tcPr>
            <w:tcW w:w="1093" w:type="dxa"/>
            <w:shd w:val="clear" w:color="auto" w:fill="auto"/>
          </w:tcPr>
          <w:p w14:paraId="23406C10" w14:textId="77777777" w:rsidR="006633B5" w:rsidRPr="006633B5" w:rsidRDefault="006633B5" w:rsidP="00E10A24">
            <w:pPr>
              <w:pStyle w:val="Tablebody"/>
              <w:spacing w:after="80"/>
              <w:rPr>
                <w:i/>
                <w:vertAlign w:val="subscript"/>
              </w:rPr>
            </w:pPr>
            <w:r w:rsidRPr="006633B5">
              <w:rPr>
                <w:i/>
              </w:rPr>
              <w:t>k</w:t>
            </w:r>
            <w:r w:rsidRPr="006633B5">
              <w:rPr>
                <w:iCs/>
                <w:vertAlign w:val="subscript"/>
              </w:rPr>
              <w:t>IR</w:t>
            </w:r>
          </w:p>
        </w:tc>
        <w:tc>
          <w:tcPr>
            <w:tcW w:w="8758" w:type="dxa"/>
            <w:shd w:val="clear" w:color="auto" w:fill="auto"/>
          </w:tcPr>
          <w:p w14:paraId="797E5FED" w14:textId="77777777" w:rsidR="006633B5" w:rsidRPr="006633B5" w:rsidRDefault="006633B5" w:rsidP="00E10A24">
            <w:pPr>
              <w:pStyle w:val="Tablebody"/>
              <w:spacing w:after="80"/>
            </w:pPr>
            <w:r w:rsidRPr="006633B5">
              <w:t>amplification factor that applies on seismic action for masonry infills in case of structural irregularity in elevation</w:t>
            </w:r>
          </w:p>
        </w:tc>
      </w:tr>
      <w:tr w:rsidR="006633B5" w:rsidRPr="006633B5" w14:paraId="703988E9" w14:textId="77777777" w:rsidTr="006633B5">
        <w:tc>
          <w:tcPr>
            <w:tcW w:w="1093" w:type="dxa"/>
            <w:shd w:val="clear" w:color="auto" w:fill="auto"/>
          </w:tcPr>
          <w:p w14:paraId="009932D8" w14:textId="77777777" w:rsidR="006633B5" w:rsidRPr="006633B5" w:rsidRDefault="006633B5" w:rsidP="00E10A24">
            <w:pPr>
              <w:pStyle w:val="Tablebody"/>
              <w:spacing w:after="80"/>
            </w:pPr>
            <w:r w:rsidRPr="006633B5">
              <w:rPr>
                <w:i/>
                <w:iCs/>
              </w:rPr>
              <w:t>k</w:t>
            </w:r>
            <w:r w:rsidRPr="006633B5">
              <w:rPr>
                <w:vertAlign w:val="subscript"/>
              </w:rPr>
              <w:t>mean</w:t>
            </w:r>
          </w:p>
        </w:tc>
        <w:tc>
          <w:tcPr>
            <w:tcW w:w="8758" w:type="dxa"/>
            <w:shd w:val="clear" w:color="auto" w:fill="auto"/>
          </w:tcPr>
          <w:p w14:paraId="10403AE6" w14:textId="77777777" w:rsidR="006633B5" w:rsidRPr="006633B5" w:rsidRDefault="006633B5" w:rsidP="00E10A24">
            <w:pPr>
              <w:pStyle w:val="Tablebody"/>
              <w:spacing w:after="80"/>
            </w:pPr>
            <w:r w:rsidRPr="006633B5">
              <w:t>ratio between the mean and the characteristic strength in static conditions</w:t>
            </w:r>
          </w:p>
        </w:tc>
      </w:tr>
      <w:tr w:rsidR="006633B5" w:rsidRPr="006633B5" w14:paraId="64F958CD" w14:textId="77777777" w:rsidTr="006633B5">
        <w:tc>
          <w:tcPr>
            <w:tcW w:w="1093" w:type="dxa"/>
            <w:shd w:val="clear" w:color="auto" w:fill="auto"/>
          </w:tcPr>
          <w:p w14:paraId="6A4650A2" w14:textId="77777777" w:rsidR="006633B5" w:rsidRPr="006633B5" w:rsidRDefault="006633B5" w:rsidP="00E10A24">
            <w:pPr>
              <w:pStyle w:val="Tablebody"/>
              <w:spacing w:after="80"/>
            </w:pPr>
            <w:r w:rsidRPr="006633B5">
              <w:rPr>
                <w:i/>
              </w:rPr>
              <w:t>k</w:t>
            </w:r>
            <w:r w:rsidRPr="006633B5">
              <w:rPr>
                <w:vertAlign w:val="subscript"/>
              </w:rPr>
              <w:t>mod</w:t>
            </w:r>
          </w:p>
        </w:tc>
        <w:tc>
          <w:tcPr>
            <w:tcW w:w="8758" w:type="dxa"/>
            <w:shd w:val="clear" w:color="auto" w:fill="auto"/>
          </w:tcPr>
          <w:p w14:paraId="2690545C" w14:textId="77777777" w:rsidR="006633B5" w:rsidRPr="006633B5" w:rsidRDefault="006633B5" w:rsidP="00E10A24">
            <w:pPr>
              <w:pStyle w:val="Tablebody"/>
              <w:spacing w:after="80"/>
            </w:pPr>
            <w:r w:rsidRPr="006633B5">
              <w:t>modification factor for duration of load and moisture content for the strength of timber</w:t>
            </w:r>
          </w:p>
        </w:tc>
      </w:tr>
      <w:tr w:rsidR="006633B5" w:rsidRPr="006633B5" w14:paraId="4A01E334" w14:textId="77777777" w:rsidTr="006633B5">
        <w:tc>
          <w:tcPr>
            <w:tcW w:w="1093" w:type="dxa"/>
            <w:shd w:val="clear" w:color="auto" w:fill="auto"/>
          </w:tcPr>
          <w:p w14:paraId="4CD09793" w14:textId="77777777" w:rsidR="006633B5" w:rsidRPr="006633B5" w:rsidRDefault="006633B5" w:rsidP="00E10A24">
            <w:pPr>
              <w:pStyle w:val="Tablebody"/>
              <w:spacing w:after="80"/>
            </w:pPr>
            <w:r w:rsidRPr="006633B5">
              <w:rPr>
                <w:i/>
              </w:rPr>
              <w:t>k</w:t>
            </w:r>
            <w:r w:rsidRPr="006633B5">
              <w:rPr>
                <w:vertAlign w:val="subscript"/>
              </w:rPr>
              <w:t>stif</w:t>
            </w:r>
          </w:p>
        </w:tc>
        <w:tc>
          <w:tcPr>
            <w:tcW w:w="8758" w:type="dxa"/>
            <w:shd w:val="clear" w:color="auto" w:fill="auto"/>
          </w:tcPr>
          <w:p w14:paraId="7953B9D7" w14:textId="77777777" w:rsidR="006633B5" w:rsidRPr="006633B5" w:rsidRDefault="006633B5" w:rsidP="00E10A24">
            <w:pPr>
              <w:pStyle w:val="Tablebody"/>
              <w:spacing w:after="80"/>
            </w:pPr>
            <w:r w:rsidRPr="006633B5">
              <w:t xml:space="preserve">minimum value over all stories of the ratio between the horizontal stiffness of the CLT walls and the total horizontal stiffness of the hybrid primary structure in each main direction at the </w:t>
            </w:r>
            <w:r w:rsidRPr="006633B5">
              <w:rPr>
                <w:i/>
              </w:rPr>
              <w:t>i</w:t>
            </w:r>
            <w:r w:rsidRPr="006633B5">
              <w:rPr>
                <w:vertAlign w:val="superscript"/>
              </w:rPr>
              <w:t>th</w:t>
            </w:r>
            <w:r w:rsidRPr="006633B5">
              <w:t xml:space="preserve"> storey</w:t>
            </w:r>
          </w:p>
        </w:tc>
      </w:tr>
      <w:tr w:rsidR="006633B5" w:rsidRPr="006633B5" w14:paraId="6CD27418" w14:textId="77777777" w:rsidTr="006633B5">
        <w:tc>
          <w:tcPr>
            <w:tcW w:w="1093" w:type="dxa"/>
            <w:shd w:val="clear" w:color="auto" w:fill="auto"/>
          </w:tcPr>
          <w:p w14:paraId="45761210" w14:textId="77777777" w:rsidR="006633B5" w:rsidRPr="006633B5" w:rsidRDefault="006633B5" w:rsidP="00E10A24">
            <w:pPr>
              <w:pStyle w:val="Tablebody"/>
              <w:spacing w:after="80"/>
            </w:pPr>
            <w:r w:rsidRPr="006633B5">
              <w:rPr>
                <w:i/>
                <w:iCs/>
              </w:rPr>
              <w:t>k</w:t>
            </w:r>
            <w:r w:rsidRPr="006633B5">
              <w:rPr>
                <w:vertAlign w:val="subscript"/>
              </w:rPr>
              <w:t>t</w:t>
            </w:r>
          </w:p>
        </w:tc>
        <w:tc>
          <w:tcPr>
            <w:tcW w:w="8758" w:type="dxa"/>
            <w:shd w:val="clear" w:color="auto" w:fill="auto"/>
          </w:tcPr>
          <w:p w14:paraId="5D9FD749" w14:textId="77777777" w:rsidR="006633B5" w:rsidRPr="006633B5" w:rsidRDefault="006633B5" w:rsidP="00E10A24">
            <w:pPr>
              <w:pStyle w:val="Tablebody"/>
              <w:spacing w:after="80"/>
            </w:pPr>
            <w:r w:rsidRPr="006633B5">
              <w:t>factor of reduction of the design shear resistance of connectors related to the shape of profiled steel sheeting supporting a concrete slab</w:t>
            </w:r>
          </w:p>
        </w:tc>
      </w:tr>
      <w:tr w:rsidR="006633B5" w:rsidRPr="006633B5" w14:paraId="5955D972" w14:textId="77777777" w:rsidTr="006633B5">
        <w:tc>
          <w:tcPr>
            <w:tcW w:w="1093" w:type="dxa"/>
            <w:shd w:val="clear" w:color="auto" w:fill="auto"/>
          </w:tcPr>
          <w:p w14:paraId="60BCA8C4" w14:textId="77777777" w:rsidR="006633B5" w:rsidRPr="006633B5" w:rsidRDefault="006633B5" w:rsidP="00E10A24">
            <w:pPr>
              <w:pStyle w:val="Tablebody"/>
              <w:spacing w:after="80"/>
            </w:pPr>
            <w:r w:rsidRPr="006633B5">
              <w:rPr>
                <w:i/>
              </w:rPr>
              <w:t>k</w:t>
            </w:r>
            <w:r w:rsidRPr="006633B5">
              <w:rPr>
                <w:vertAlign w:val="subscript"/>
              </w:rPr>
              <w:t>w</w:t>
            </w:r>
          </w:p>
        </w:tc>
        <w:tc>
          <w:tcPr>
            <w:tcW w:w="8758" w:type="dxa"/>
            <w:shd w:val="clear" w:color="auto" w:fill="auto"/>
          </w:tcPr>
          <w:p w14:paraId="40A33E58" w14:textId="77777777" w:rsidR="006633B5" w:rsidRPr="006633B5" w:rsidRDefault="006633B5" w:rsidP="00E10A24">
            <w:pPr>
              <w:pStyle w:val="Tablebody"/>
              <w:spacing w:after="80"/>
            </w:pPr>
            <w:r w:rsidRPr="006633B5">
              <w:t>factor accounting for the prevailing failure mode in large walls structures</w:t>
            </w:r>
          </w:p>
        </w:tc>
      </w:tr>
      <w:tr w:rsidR="006633B5" w:rsidRPr="006633B5" w14:paraId="60694CC2" w14:textId="77777777" w:rsidTr="006633B5">
        <w:tc>
          <w:tcPr>
            <w:tcW w:w="1093" w:type="dxa"/>
            <w:shd w:val="clear" w:color="auto" w:fill="auto"/>
          </w:tcPr>
          <w:p w14:paraId="4D83D184" w14:textId="77777777" w:rsidR="006633B5" w:rsidRPr="006633B5" w:rsidRDefault="006633B5" w:rsidP="00E10A24">
            <w:pPr>
              <w:pStyle w:val="Tablebody"/>
              <w:spacing w:after="80"/>
            </w:pPr>
            <w:r w:rsidRPr="006633B5">
              <w:rPr>
                <w:i/>
              </w:rPr>
              <w:t>k</w:t>
            </w:r>
            <w:r w:rsidRPr="006633B5">
              <w:rPr>
                <w:vertAlign w:val="subscript"/>
              </w:rPr>
              <w:t>y</w:t>
            </w:r>
          </w:p>
        </w:tc>
        <w:tc>
          <w:tcPr>
            <w:tcW w:w="8758" w:type="dxa"/>
            <w:shd w:val="clear" w:color="auto" w:fill="auto"/>
          </w:tcPr>
          <w:p w14:paraId="55098C65" w14:textId="77777777" w:rsidR="006633B5" w:rsidRPr="006633B5" w:rsidRDefault="006633B5" w:rsidP="00E10A24">
            <w:pPr>
              <w:pStyle w:val="Tablebody"/>
              <w:spacing w:after="80"/>
            </w:pPr>
            <w:r w:rsidRPr="006633B5">
              <w:t>ratio between the yield and maximum strength of dissipative connections</w:t>
            </w:r>
          </w:p>
        </w:tc>
      </w:tr>
      <w:tr w:rsidR="006633B5" w:rsidRPr="006633B5" w14:paraId="4EA5E520" w14:textId="77777777" w:rsidTr="006633B5">
        <w:tc>
          <w:tcPr>
            <w:tcW w:w="1093" w:type="dxa"/>
            <w:shd w:val="clear" w:color="auto" w:fill="auto"/>
          </w:tcPr>
          <w:p w14:paraId="42B29714" w14:textId="77777777" w:rsidR="006633B5" w:rsidRPr="006633B5" w:rsidRDefault="006633B5" w:rsidP="00E10A24">
            <w:pPr>
              <w:pStyle w:val="Tablebody"/>
              <w:spacing w:after="80"/>
            </w:pPr>
            <w:r w:rsidRPr="006633B5">
              <w:rPr>
                <w:i/>
              </w:rPr>
              <w:t>l</w:t>
            </w:r>
            <w:r w:rsidRPr="006633B5">
              <w:rPr>
                <w:vertAlign w:val="subscript"/>
              </w:rPr>
              <w:t>1</w:t>
            </w:r>
            <w:r w:rsidRPr="006633B5">
              <w:t xml:space="preserve">, </w:t>
            </w:r>
            <w:r w:rsidRPr="006633B5">
              <w:rPr>
                <w:i/>
              </w:rPr>
              <w:t>l</w:t>
            </w:r>
            <w:r w:rsidRPr="006633B5">
              <w:rPr>
                <w:vertAlign w:val="subscript"/>
              </w:rPr>
              <w:t>2</w:t>
            </w:r>
          </w:p>
        </w:tc>
        <w:tc>
          <w:tcPr>
            <w:tcW w:w="8758" w:type="dxa"/>
            <w:shd w:val="clear" w:color="auto" w:fill="auto"/>
          </w:tcPr>
          <w:p w14:paraId="585AA39F" w14:textId="77777777" w:rsidR="006633B5" w:rsidRPr="006633B5" w:rsidRDefault="006633B5" w:rsidP="00E10A24">
            <w:pPr>
              <w:pStyle w:val="Tablebody"/>
              <w:spacing w:after="80"/>
            </w:pPr>
            <w:r w:rsidRPr="006633B5">
              <w:t>slab spans</w:t>
            </w:r>
          </w:p>
        </w:tc>
      </w:tr>
      <w:tr w:rsidR="006633B5" w:rsidRPr="006633B5" w14:paraId="4F366CE7" w14:textId="77777777" w:rsidTr="006633B5">
        <w:tc>
          <w:tcPr>
            <w:tcW w:w="1093" w:type="dxa"/>
            <w:shd w:val="clear" w:color="auto" w:fill="auto"/>
          </w:tcPr>
          <w:p w14:paraId="4D53EB85" w14:textId="77777777" w:rsidR="006633B5" w:rsidRPr="006633B5" w:rsidRDefault="006633B5" w:rsidP="00E10A24">
            <w:pPr>
              <w:pStyle w:val="Tablebody"/>
              <w:spacing w:after="80"/>
            </w:pPr>
            <w:r w:rsidRPr="006633B5">
              <w:rPr>
                <w:i/>
              </w:rPr>
              <w:t>l</w:t>
            </w:r>
            <w:r w:rsidRPr="006633B5">
              <w:rPr>
                <w:vertAlign w:val="subscript"/>
              </w:rPr>
              <w:t>0</w:t>
            </w:r>
          </w:p>
        </w:tc>
        <w:tc>
          <w:tcPr>
            <w:tcW w:w="8758" w:type="dxa"/>
            <w:shd w:val="clear" w:color="auto" w:fill="auto"/>
          </w:tcPr>
          <w:p w14:paraId="277F2090" w14:textId="77777777" w:rsidR="006633B5" w:rsidRPr="006633B5" w:rsidRDefault="006633B5" w:rsidP="00E10A24">
            <w:pPr>
              <w:pStyle w:val="Tablebody"/>
              <w:spacing w:after="80"/>
            </w:pPr>
            <w:r w:rsidRPr="006633B5">
              <w:t>distance between the centrelines of two walls</w:t>
            </w:r>
          </w:p>
        </w:tc>
      </w:tr>
      <w:tr w:rsidR="006633B5" w:rsidRPr="006633B5" w14:paraId="3FB72D81" w14:textId="77777777" w:rsidTr="006633B5">
        <w:tc>
          <w:tcPr>
            <w:tcW w:w="1093" w:type="dxa"/>
            <w:shd w:val="clear" w:color="auto" w:fill="auto"/>
          </w:tcPr>
          <w:p w14:paraId="75FCAD89" w14:textId="77777777" w:rsidR="006633B5" w:rsidRPr="006633B5" w:rsidRDefault="006633B5" w:rsidP="00E10A24">
            <w:pPr>
              <w:pStyle w:val="Tablebody"/>
              <w:spacing w:after="80"/>
            </w:pPr>
            <w:r w:rsidRPr="006633B5">
              <w:rPr>
                <w:i/>
              </w:rPr>
              <w:t>l</w:t>
            </w:r>
            <w:r w:rsidRPr="006633B5">
              <w:rPr>
                <w:vertAlign w:val="subscript"/>
              </w:rPr>
              <w:t>b</w:t>
            </w:r>
          </w:p>
        </w:tc>
        <w:tc>
          <w:tcPr>
            <w:tcW w:w="8758" w:type="dxa"/>
            <w:shd w:val="clear" w:color="auto" w:fill="auto"/>
          </w:tcPr>
          <w:p w14:paraId="799A55E1" w14:textId="77777777" w:rsidR="006633B5" w:rsidRPr="006633B5" w:rsidRDefault="006633B5" w:rsidP="00E10A24">
            <w:pPr>
              <w:pStyle w:val="Tablebody"/>
              <w:spacing w:after="80"/>
            </w:pPr>
            <w:r w:rsidRPr="006633B5">
              <w:t>anchorage length</w:t>
            </w:r>
          </w:p>
        </w:tc>
      </w:tr>
      <w:tr w:rsidR="006633B5" w:rsidRPr="006633B5" w14:paraId="6F18B3D9" w14:textId="77777777" w:rsidTr="006633B5">
        <w:tc>
          <w:tcPr>
            <w:tcW w:w="1093" w:type="dxa"/>
            <w:shd w:val="clear" w:color="auto" w:fill="auto"/>
          </w:tcPr>
          <w:p w14:paraId="71599436" w14:textId="77777777" w:rsidR="006633B5" w:rsidRPr="006633B5" w:rsidRDefault="006633B5" w:rsidP="00E10A24">
            <w:pPr>
              <w:pStyle w:val="Tablebody"/>
              <w:spacing w:after="80"/>
            </w:pPr>
            <w:r w:rsidRPr="006633B5">
              <w:rPr>
                <w:i/>
              </w:rPr>
              <w:t>l</w:t>
            </w:r>
            <w:r w:rsidRPr="006633B5">
              <w:rPr>
                <w:vertAlign w:val="subscript"/>
              </w:rPr>
              <w:t>c</w:t>
            </w:r>
          </w:p>
        </w:tc>
        <w:tc>
          <w:tcPr>
            <w:tcW w:w="8758" w:type="dxa"/>
            <w:shd w:val="clear" w:color="auto" w:fill="auto"/>
          </w:tcPr>
          <w:p w14:paraId="1497E078" w14:textId="77777777" w:rsidR="006633B5" w:rsidRPr="006633B5" w:rsidRDefault="006633B5" w:rsidP="00E10A24">
            <w:pPr>
              <w:pStyle w:val="Tablebody"/>
              <w:spacing w:after="80"/>
            </w:pPr>
            <w:r w:rsidRPr="006633B5">
              <w:t>length of the boundary elements in the wall</w:t>
            </w:r>
          </w:p>
        </w:tc>
      </w:tr>
      <w:tr w:rsidR="006633B5" w:rsidRPr="006633B5" w14:paraId="230F5621" w14:textId="77777777" w:rsidTr="006633B5">
        <w:tc>
          <w:tcPr>
            <w:tcW w:w="1093" w:type="dxa"/>
            <w:shd w:val="clear" w:color="auto" w:fill="auto"/>
          </w:tcPr>
          <w:p w14:paraId="21B86D2B" w14:textId="77777777" w:rsidR="006633B5" w:rsidRPr="006633B5" w:rsidRDefault="006633B5" w:rsidP="00E10A24">
            <w:pPr>
              <w:pStyle w:val="Tablebody"/>
              <w:spacing w:after="80"/>
            </w:pPr>
            <w:r w:rsidRPr="006633B5">
              <w:rPr>
                <w:i/>
              </w:rPr>
              <w:t>l</w:t>
            </w:r>
            <w:r w:rsidRPr="006633B5">
              <w:rPr>
                <w:vertAlign w:val="subscript"/>
              </w:rPr>
              <w:t>cl</w:t>
            </w:r>
          </w:p>
        </w:tc>
        <w:tc>
          <w:tcPr>
            <w:tcW w:w="8758" w:type="dxa"/>
            <w:shd w:val="clear" w:color="auto" w:fill="auto"/>
          </w:tcPr>
          <w:p w14:paraId="3B40BC4D" w14:textId="77777777" w:rsidR="006633B5" w:rsidRPr="006633B5" w:rsidRDefault="006633B5" w:rsidP="00E10A24">
            <w:pPr>
              <w:pStyle w:val="Tablebody"/>
              <w:spacing w:after="80"/>
            </w:pPr>
            <w:r w:rsidRPr="006633B5">
              <w:t>beam or column clear length</w:t>
            </w:r>
          </w:p>
        </w:tc>
      </w:tr>
      <w:tr w:rsidR="006633B5" w:rsidRPr="006633B5" w14:paraId="34A4E4FB" w14:textId="77777777" w:rsidTr="006633B5">
        <w:tc>
          <w:tcPr>
            <w:tcW w:w="1093" w:type="dxa"/>
            <w:shd w:val="clear" w:color="auto" w:fill="auto"/>
          </w:tcPr>
          <w:p w14:paraId="1E67F539" w14:textId="77777777" w:rsidR="006633B5" w:rsidRPr="006633B5" w:rsidRDefault="006633B5" w:rsidP="00E10A24">
            <w:pPr>
              <w:pStyle w:val="Tablebody"/>
              <w:spacing w:after="80"/>
              <w:rPr>
                <w:iCs/>
              </w:rPr>
            </w:pPr>
            <w:r w:rsidRPr="006633B5">
              <w:rPr>
                <w:i/>
              </w:rPr>
              <w:t>l</w:t>
            </w:r>
            <w:r w:rsidRPr="006633B5">
              <w:rPr>
                <w:iCs/>
                <w:vertAlign w:val="subscript"/>
              </w:rPr>
              <w:t>cs</w:t>
            </w:r>
          </w:p>
        </w:tc>
        <w:tc>
          <w:tcPr>
            <w:tcW w:w="8758" w:type="dxa"/>
            <w:shd w:val="clear" w:color="auto" w:fill="auto"/>
          </w:tcPr>
          <w:p w14:paraId="15375F41" w14:textId="77777777" w:rsidR="006633B5" w:rsidRPr="006633B5" w:rsidRDefault="006633B5" w:rsidP="00E10A24">
            <w:pPr>
              <w:pStyle w:val="Tablebody"/>
              <w:spacing w:after="80"/>
              <w:rPr>
                <w:iCs/>
              </w:rPr>
            </w:pPr>
            <w:r w:rsidRPr="006633B5">
              <w:t>length of a column over which the diagonal strut force of an infill is applied</w:t>
            </w:r>
          </w:p>
        </w:tc>
      </w:tr>
      <w:tr w:rsidR="006633B5" w:rsidRPr="006633B5" w14:paraId="2FAAA5F2" w14:textId="77777777" w:rsidTr="006633B5">
        <w:tc>
          <w:tcPr>
            <w:tcW w:w="1093" w:type="dxa"/>
            <w:shd w:val="clear" w:color="auto" w:fill="auto"/>
          </w:tcPr>
          <w:p w14:paraId="34F1464E" w14:textId="77777777" w:rsidR="006633B5" w:rsidRPr="006633B5" w:rsidRDefault="006633B5" w:rsidP="00E10A24">
            <w:pPr>
              <w:pStyle w:val="Tablebody"/>
              <w:spacing w:after="80"/>
              <w:rPr>
                <w:i/>
              </w:rPr>
            </w:pPr>
            <w:r w:rsidRPr="006633B5">
              <w:rPr>
                <w:i/>
              </w:rPr>
              <w:t>l</w:t>
            </w:r>
            <w:r w:rsidRPr="006633B5">
              <w:rPr>
                <w:vertAlign w:val="subscript"/>
              </w:rPr>
              <w:t>CLT</w:t>
            </w:r>
          </w:p>
        </w:tc>
        <w:tc>
          <w:tcPr>
            <w:tcW w:w="8758" w:type="dxa"/>
            <w:shd w:val="clear" w:color="auto" w:fill="auto"/>
          </w:tcPr>
          <w:p w14:paraId="2722DF00" w14:textId="77777777" w:rsidR="006633B5" w:rsidRPr="006633B5" w:rsidRDefault="006633B5" w:rsidP="00E10A24">
            <w:pPr>
              <w:pStyle w:val="Tablebody"/>
              <w:spacing w:after="80"/>
            </w:pPr>
            <w:r w:rsidRPr="006633B5">
              <w:t>width of a CLT floor panel</w:t>
            </w:r>
          </w:p>
        </w:tc>
      </w:tr>
      <w:tr w:rsidR="006633B5" w:rsidRPr="006633B5" w14:paraId="2B52F0F2" w14:textId="77777777" w:rsidTr="006633B5">
        <w:tc>
          <w:tcPr>
            <w:tcW w:w="1093" w:type="dxa"/>
            <w:shd w:val="clear" w:color="auto" w:fill="auto"/>
          </w:tcPr>
          <w:p w14:paraId="40ACF86D" w14:textId="77777777" w:rsidR="006633B5" w:rsidRPr="006633B5" w:rsidRDefault="006633B5" w:rsidP="00E10A24">
            <w:pPr>
              <w:pStyle w:val="Tablebody"/>
              <w:spacing w:after="80"/>
            </w:pPr>
            <w:r w:rsidRPr="006633B5">
              <w:rPr>
                <w:i/>
              </w:rPr>
              <w:t>l</w:t>
            </w:r>
            <w:r w:rsidRPr="006633B5">
              <w:rPr>
                <w:vertAlign w:val="subscript"/>
              </w:rPr>
              <w:t>cr</w:t>
            </w:r>
          </w:p>
        </w:tc>
        <w:tc>
          <w:tcPr>
            <w:tcW w:w="8758" w:type="dxa"/>
            <w:shd w:val="clear" w:color="auto" w:fill="auto"/>
          </w:tcPr>
          <w:p w14:paraId="46C33A53" w14:textId="77777777" w:rsidR="006633B5" w:rsidRPr="006633B5" w:rsidRDefault="006633B5" w:rsidP="00E10A24">
            <w:pPr>
              <w:pStyle w:val="Tablebody"/>
              <w:spacing w:after="80"/>
            </w:pPr>
            <w:r w:rsidRPr="006633B5">
              <w:t>beam or column critical region length</w:t>
            </w:r>
          </w:p>
        </w:tc>
      </w:tr>
      <w:tr w:rsidR="006633B5" w:rsidRPr="006633B5" w14:paraId="78F0A726" w14:textId="77777777" w:rsidTr="006633B5">
        <w:tc>
          <w:tcPr>
            <w:tcW w:w="1093" w:type="dxa"/>
            <w:shd w:val="clear" w:color="auto" w:fill="auto"/>
          </w:tcPr>
          <w:p w14:paraId="27F24D4E" w14:textId="77777777" w:rsidR="006633B5" w:rsidRPr="006633B5" w:rsidRDefault="006633B5" w:rsidP="00E10A24">
            <w:pPr>
              <w:pStyle w:val="Tablebody"/>
              <w:spacing w:after="80"/>
            </w:pPr>
            <w:r w:rsidRPr="006633B5">
              <w:rPr>
                <w:i/>
              </w:rPr>
              <w:t>l</w:t>
            </w:r>
            <w:r w:rsidRPr="006633B5">
              <w:rPr>
                <w:vertAlign w:val="subscript"/>
              </w:rPr>
              <w:t>f</w:t>
            </w:r>
          </w:p>
        </w:tc>
        <w:tc>
          <w:tcPr>
            <w:tcW w:w="8758" w:type="dxa"/>
            <w:shd w:val="clear" w:color="auto" w:fill="auto"/>
          </w:tcPr>
          <w:p w14:paraId="158C7790" w14:textId="77777777" w:rsidR="006633B5" w:rsidRPr="006633B5" w:rsidRDefault="006633B5" w:rsidP="00E10A24">
            <w:pPr>
              <w:pStyle w:val="Tablebody"/>
              <w:spacing w:after="80"/>
            </w:pPr>
            <w:r w:rsidRPr="006633B5">
              <w:t>wall flange width</w:t>
            </w:r>
          </w:p>
        </w:tc>
      </w:tr>
      <w:tr w:rsidR="006633B5" w:rsidRPr="006633B5" w14:paraId="5C377997" w14:textId="77777777" w:rsidTr="006633B5">
        <w:tc>
          <w:tcPr>
            <w:tcW w:w="1093" w:type="dxa"/>
            <w:shd w:val="clear" w:color="auto" w:fill="auto"/>
          </w:tcPr>
          <w:p w14:paraId="4349640D" w14:textId="77777777" w:rsidR="006633B5" w:rsidRPr="006633B5" w:rsidRDefault="006633B5" w:rsidP="00E10A24">
            <w:pPr>
              <w:pStyle w:val="Tablebody"/>
              <w:spacing w:after="80"/>
            </w:pPr>
            <w:r w:rsidRPr="006633B5">
              <w:rPr>
                <w:i/>
              </w:rPr>
              <w:t>l</w:t>
            </w:r>
            <w:r w:rsidRPr="006633B5">
              <w:rPr>
                <w:vertAlign w:val="subscript"/>
              </w:rPr>
              <w:t>infill,left,x,i</w:t>
            </w:r>
          </w:p>
        </w:tc>
        <w:tc>
          <w:tcPr>
            <w:tcW w:w="8758" w:type="dxa"/>
            <w:shd w:val="clear" w:color="auto" w:fill="auto"/>
          </w:tcPr>
          <w:p w14:paraId="71901B50" w14:textId="77777777" w:rsidR="006633B5" w:rsidRPr="006633B5" w:rsidRDefault="006633B5" w:rsidP="00E10A24">
            <w:pPr>
              <w:pStyle w:val="Tablebody"/>
              <w:spacing w:after="80"/>
            </w:pPr>
            <w:r w:rsidRPr="006633B5">
              <w:t xml:space="preserve">length of an infill parallel to axis </w:t>
            </w:r>
            <w:r w:rsidRPr="006633B5">
              <w:rPr>
                <w:i/>
              </w:rPr>
              <w:t>x</w:t>
            </w:r>
            <w:r w:rsidRPr="006633B5">
              <w:t xml:space="preserve"> situated at left of the axis</w:t>
            </w:r>
          </w:p>
        </w:tc>
      </w:tr>
      <w:tr w:rsidR="006633B5" w:rsidRPr="006633B5" w14:paraId="607EAB7F" w14:textId="77777777" w:rsidTr="006633B5">
        <w:tc>
          <w:tcPr>
            <w:tcW w:w="1093" w:type="dxa"/>
            <w:shd w:val="clear" w:color="auto" w:fill="auto"/>
          </w:tcPr>
          <w:p w14:paraId="57407038" w14:textId="77777777" w:rsidR="006633B5" w:rsidRPr="006633B5" w:rsidRDefault="006633B5" w:rsidP="00E10A24">
            <w:pPr>
              <w:pStyle w:val="Tablebody"/>
              <w:spacing w:after="80"/>
            </w:pPr>
            <w:r w:rsidRPr="006633B5">
              <w:rPr>
                <w:i/>
              </w:rPr>
              <w:lastRenderedPageBreak/>
              <w:t>l</w:t>
            </w:r>
            <w:r w:rsidRPr="006633B5">
              <w:rPr>
                <w:vertAlign w:val="subscript"/>
              </w:rPr>
              <w:t>infill,right,x,i</w:t>
            </w:r>
          </w:p>
        </w:tc>
        <w:tc>
          <w:tcPr>
            <w:tcW w:w="8758" w:type="dxa"/>
            <w:shd w:val="clear" w:color="auto" w:fill="auto"/>
          </w:tcPr>
          <w:p w14:paraId="5E1DF06E" w14:textId="77777777" w:rsidR="006633B5" w:rsidRPr="006633B5" w:rsidRDefault="006633B5" w:rsidP="00E10A24">
            <w:pPr>
              <w:pStyle w:val="Tablebody"/>
              <w:spacing w:after="80"/>
            </w:pPr>
            <w:r w:rsidRPr="006633B5">
              <w:t xml:space="preserve">length of an infill parallel to axis </w:t>
            </w:r>
            <w:r w:rsidRPr="006633B5">
              <w:rPr>
                <w:i/>
              </w:rPr>
              <w:t>x</w:t>
            </w:r>
            <w:r w:rsidRPr="006633B5">
              <w:t xml:space="preserve"> situated at right of the axis</w:t>
            </w:r>
          </w:p>
        </w:tc>
      </w:tr>
      <w:tr w:rsidR="006633B5" w:rsidRPr="006633B5" w14:paraId="4D21DF57" w14:textId="77777777" w:rsidTr="006633B5">
        <w:tc>
          <w:tcPr>
            <w:tcW w:w="1093" w:type="dxa"/>
            <w:shd w:val="clear" w:color="auto" w:fill="auto"/>
          </w:tcPr>
          <w:p w14:paraId="76860099" w14:textId="77777777" w:rsidR="006633B5" w:rsidRPr="006633B5" w:rsidRDefault="006633B5" w:rsidP="00E10A24">
            <w:pPr>
              <w:pStyle w:val="Tablebody"/>
              <w:spacing w:after="80"/>
            </w:pPr>
            <w:r w:rsidRPr="006633B5">
              <w:rPr>
                <w:i/>
                <w:iCs/>
              </w:rPr>
              <w:t>l</w:t>
            </w:r>
            <w:r w:rsidRPr="006633B5">
              <w:rPr>
                <w:vertAlign w:val="subscript"/>
              </w:rPr>
              <w:t>mp</w:t>
            </w:r>
          </w:p>
        </w:tc>
        <w:tc>
          <w:tcPr>
            <w:tcW w:w="8758" w:type="dxa"/>
            <w:shd w:val="clear" w:color="auto" w:fill="auto"/>
          </w:tcPr>
          <w:p w14:paraId="0DD1E924" w14:textId="77777777" w:rsidR="006633B5" w:rsidRPr="006633B5" w:rsidRDefault="006633B5" w:rsidP="00E10A24">
            <w:pPr>
              <w:pStyle w:val="Tablebody"/>
              <w:spacing w:after="80"/>
            </w:pPr>
            <w:r w:rsidRPr="006633B5">
              <w:t>length of a masonry pier or wall</w:t>
            </w:r>
          </w:p>
        </w:tc>
      </w:tr>
      <w:tr w:rsidR="006633B5" w:rsidRPr="006633B5" w14:paraId="45534A34" w14:textId="77777777" w:rsidTr="006633B5">
        <w:tc>
          <w:tcPr>
            <w:tcW w:w="1093" w:type="dxa"/>
            <w:shd w:val="clear" w:color="auto" w:fill="auto"/>
          </w:tcPr>
          <w:p w14:paraId="2781E5D9" w14:textId="77777777" w:rsidR="006633B5" w:rsidRPr="006633B5" w:rsidRDefault="006633B5" w:rsidP="00E10A24">
            <w:pPr>
              <w:pStyle w:val="Tablebody"/>
              <w:spacing w:after="80"/>
            </w:pPr>
            <w:r w:rsidRPr="006633B5">
              <w:rPr>
                <w:i/>
              </w:rPr>
              <w:t>l</w:t>
            </w:r>
            <w:r w:rsidRPr="006633B5">
              <w:rPr>
                <w:iCs/>
                <w:vertAlign w:val="subscript"/>
              </w:rPr>
              <w:t>op</w:t>
            </w:r>
          </w:p>
        </w:tc>
        <w:tc>
          <w:tcPr>
            <w:tcW w:w="8758" w:type="dxa"/>
            <w:shd w:val="clear" w:color="auto" w:fill="auto"/>
          </w:tcPr>
          <w:p w14:paraId="3D5B761F" w14:textId="77777777" w:rsidR="006633B5" w:rsidRPr="006633B5" w:rsidRDefault="006633B5" w:rsidP="00E10A24">
            <w:pPr>
              <w:pStyle w:val="Tablebody"/>
              <w:spacing w:after="80"/>
            </w:pPr>
            <w:r w:rsidRPr="006633B5">
              <w:t>length of an opening</w:t>
            </w:r>
          </w:p>
        </w:tc>
      </w:tr>
      <w:tr w:rsidR="006633B5" w:rsidRPr="006633B5" w14:paraId="5037DB5F" w14:textId="77777777" w:rsidTr="006633B5">
        <w:tc>
          <w:tcPr>
            <w:tcW w:w="1093" w:type="dxa"/>
            <w:shd w:val="clear" w:color="auto" w:fill="auto"/>
          </w:tcPr>
          <w:p w14:paraId="275294D1" w14:textId="77777777" w:rsidR="006633B5" w:rsidRPr="006633B5" w:rsidRDefault="006633B5" w:rsidP="00E10A24">
            <w:pPr>
              <w:pStyle w:val="Tablebody"/>
              <w:spacing w:after="80"/>
            </w:pPr>
            <w:r w:rsidRPr="006633B5">
              <w:rPr>
                <w:i/>
              </w:rPr>
              <w:t>l</w:t>
            </w:r>
            <w:r w:rsidRPr="006633B5">
              <w:rPr>
                <w:iCs/>
                <w:vertAlign w:val="subscript"/>
              </w:rPr>
              <w:t>ap</w:t>
            </w:r>
          </w:p>
        </w:tc>
        <w:tc>
          <w:tcPr>
            <w:tcW w:w="8758" w:type="dxa"/>
            <w:shd w:val="clear" w:color="auto" w:fill="auto"/>
          </w:tcPr>
          <w:p w14:paraId="2623ED4B" w14:textId="77777777" w:rsidR="006633B5" w:rsidRPr="006633B5" w:rsidRDefault="006633B5" w:rsidP="00E10A24">
            <w:pPr>
              <w:pStyle w:val="Tablebody"/>
              <w:spacing w:after="80"/>
              <w:rPr>
                <w:b/>
              </w:rPr>
            </w:pPr>
            <w:r w:rsidRPr="006633B5">
              <w:t>height of an infill wall or panel</w:t>
            </w:r>
          </w:p>
        </w:tc>
      </w:tr>
      <w:tr w:rsidR="006633B5" w:rsidRPr="006633B5" w14:paraId="7B4BED49" w14:textId="77777777" w:rsidTr="006633B5">
        <w:tc>
          <w:tcPr>
            <w:tcW w:w="1093" w:type="dxa"/>
            <w:shd w:val="clear" w:color="auto" w:fill="auto"/>
          </w:tcPr>
          <w:p w14:paraId="09E7B3BE" w14:textId="77777777" w:rsidR="006633B5" w:rsidRPr="006633B5" w:rsidRDefault="006633B5" w:rsidP="00E10A24">
            <w:pPr>
              <w:pStyle w:val="Tablebody"/>
              <w:spacing w:after="80"/>
            </w:pPr>
            <w:r w:rsidRPr="006633B5">
              <w:rPr>
                <w:i/>
              </w:rPr>
              <w:t>l</w:t>
            </w:r>
            <w:r w:rsidRPr="006633B5">
              <w:rPr>
                <w:i/>
                <w:vertAlign w:val="subscript"/>
              </w:rPr>
              <w:t>s</w:t>
            </w:r>
          </w:p>
        </w:tc>
        <w:tc>
          <w:tcPr>
            <w:tcW w:w="8758" w:type="dxa"/>
            <w:shd w:val="clear" w:color="auto" w:fill="auto"/>
          </w:tcPr>
          <w:p w14:paraId="18E7268A" w14:textId="77777777" w:rsidR="006633B5" w:rsidRPr="006633B5" w:rsidRDefault="006633B5" w:rsidP="00E10A24">
            <w:pPr>
              <w:pStyle w:val="Tablebody"/>
              <w:spacing w:after="80"/>
            </w:pPr>
            <w:r w:rsidRPr="006633B5">
              <w:t>length of an infill panel diagonal</w:t>
            </w:r>
          </w:p>
        </w:tc>
      </w:tr>
      <w:tr w:rsidR="006633B5" w:rsidRPr="006633B5" w14:paraId="76FF9EEA" w14:textId="77777777" w:rsidTr="006633B5">
        <w:tc>
          <w:tcPr>
            <w:tcW w:w="1093" w:type="dxa"/>
            <w:shd w:val="clear" w:color="auto" w:fill="auto"/>
          </w:tcPr>
          <w:p w14:paraId="2ADB0A06" w14:textId="77777777" w:rsidR="006633B5" w:rsidRPr="006633B5" w:rsidRDefault="009B5CEC" w:rsidP="00E10A24">
            <w:pPr>
              <w:pStyle w:val="Tablebody"/>
              <w:spacing w:after="80"/>
            </w:pPr>
            <m:oMathPara>
              <m:oMathParaPr>
                <m:jc m:val="left"/>
              </m:oMathParaPr>
              <m:oMath>
                <m:sSub>
                  <m:sSubPr>
                    <m:ctrlPr>
                      <w:rPr>
                        <w:rFonts w:ascii="Cambria Math" w:hAnsi="Cambria Math"/>
                        <w:i/>
                      </w:rPr>
                    </m:ctrlPr>
                  </m:sSubPr>
                  <m:e>
                    <m:r>
                      <w:rPr>
                        <w:rFonts w:ascii="Cambria Math" w:hAnsi="Cambria Math"/>
                      </w:rPr>
                      <m:t>l</m:t>
                    </m:r>
                  </m:e>
                  <m:sub>
                    <m:r>
                      <m:rPr>
                        <m:sty m:val="p"/>
                      </m:rPr>
                      <w:rPr>
                        <w:rFonts w:ascii="Cambria Math" w:hAnsi="Cambria Math"/>
                      </w:rPr>
                      <m:t>s,i</m:t>
                    </m:r>
                  </m:sub>
                </m:sSub>
              </m:oMath>
            </m:oMathPara>
          </w:p>
        </w:tc>
        <w:tc>
          <w:tcPr>
            <w:tcW w:w="8758" w:type="dxa"/>
            <w:shd w:val="clear" w:color="auto" w:fill="auto"/>
          </w:tcPr>
          <w:p w14:paraId="301C4F70" w14:textId="77777777" w:rsidR="006633B5" w:rsidRPr="006633B5" w:rsidRDefault="006633B5" w:rsidP="00E10A24">
            <w:pPr>
              <w:pStyle w:val="Tablebody"/>
              <w:spacing w:after="80"/>
            </w:pPr>
            <w:r w:rsidRPr="006633B5">
              <w:t xml:space="preserve">radius of gyration of floor </w:t>
            </w:r>
            <w:r w:rsidRPr="006633B5">
              <w:rPr>
                <w:i/>
                <w:iCs/>
              </w:rPr>
              <w:t>i</w:t>
            </w:r>
          </w:p>
        </w:tc>
      </w:tr>
      <w:tr w:rsidR="006633B5" w:rsidRPr="006633B5" w14:paraId="1ABB846E" w14:textId="77777777" w:rsidTr="006633B5">
        <w:tc>
          <w:tcPr>
            <w:tcW w:w="1093" w:type="dxa"/>
            <w:shd w:val="clear" w:color="auto" w:fill="auto"/>
          </w:tcPr>
          <w:p w14:paraId="47805B69" w14:textId="77777777" w:rsidR="006633B5" w:rsidRPr="006633B5" w:rsidRDefault="006633B5" w:rsidP="00E10A24">
            <w:pPr>
              <w:pStyle w:val="Tablebody"/>
              <w:spacing w:after="80"/>
            </w:pPr>
            <w:r w:rsidRPr="006633B5">
              <w:rPr>
                <w:i/>
              </w:rPr>
              <w:t>l</w:t>
            </w:r>
            <w:r w:rsidRPr="006633B5">
              <w:rPr>
                <w:vertAlign w:val="subscript"/>
              </w:rPr>
              <w:t>w</w:t>
            </w:r>
          </w:p>
        </w:tc>
        <w:tc>
          <w:tcPr>
            <w:tcW w:w="8758" w:type="dxa"/>
            <w:shd w:val="clear" w:color="auto" w:fill="auto"/>
          </w:tcPr>
          <w:p w14:paraId="223FB445" w14:textId="77777777" w:rsidR="006633B5" w:rsidRPr="006633B5" w:rsidRDefault="006633B5" w:rsidP="00E10A24">
            <w:pPr>
              <w:pStyle w:val="Tablebody"/>
              <w:spacing w:after="80"/>
            </w:pPr>
            <w:r w:rsidRPr="006633B5">
              <w:t>wall length</w:t>
            </w:r>
          </w:p>
        </w:tc>
      </w:tr>
      <w:tr w:rsidR="006633B5" w:rsidRPr="006633B5" w14:paraId="74C4828A" w14:textId="77777777" w:rsidTr="006633B5">
        <w:tc>
          <w:tcPr>
            <w:tcW w:w="1093" w:type="dxa"/>
            <w:shd w:val="clear" w:color="auto" w:fill="auto"/>
          </w:tcPr>
          <w:p w14:paraId="26D43DE4" w14:textId="77777777" w:rsidR="006633B5" w:rsidRPr="006633B5" w:rsidRDefault="006633B5" w:rsidP="00E10A24">
            <w:pPr>
              <w:pStyle w:val="Tablebody"/>
              <w:spacing w:after="80"/>
            </w:pPr>
            <w:r w:rsidRPr="006633B5">
              <w:rPr>
                <w:i/>
              </w:rPr>
              <w:t>m</w:t>
            </w:r>
          </w:p>
        </w:tc>
        <w:tc>
          <w:tcPr>
            <w:tcW w:w="8758" w:type="dxa"/>
            <w:shd w:val="clear" w:color="auto" w:fill="auto"/>
          </w:tcPr>
          <w:p w14:paraId="37570F36" w14:textId="77777777" w:rsidR="006633B5" w:rsidRPr="006633B5" w:rsidRDefault="006633B5" w:rsidP="00E10A24">
            <w:pPr>
              <w:pStyle w:val="Tablebody"/>
              <w:spacing w:after="80"/>
            </w:pPr>
            <w:r w:rsidRPr="006633B5">
              <w:t>total mass of the building above the foundation or above the top of a rigid basement</w:t>
            </w:r>
          </w:p>
        </w:tc>
      </w:tr>
      <w:tr w:rsidR="006633B5" w:rsidRPr="006633B5" w14:paraId="60CB4D5D" w14:textId="77777777" w:rsidTr="006633B5">
        <w:tc>
          <w:tcPr>
            <w:tcW w:w="1093" w:type="dxa"/>
            <w:shd w:val="clear" w:color="auto" w:fill="auto"/>
          </w:tcPr>
          <w:p w14:paraId="31D0ED95" w14:textId="77777777" w:rsidR="006633B5" w:rsidRPr="006633B5" w:rsidRDefault="006633B5" w:rsidP="00E10A24">
            <w:pPr>
              <w:pStyle w:val="Tablebody"/>
              <w:spacing w:after="80"/>
              <w:rPr>
                <w:i/>
                <w:vertAlign w:val="superscript"/>
              </w:rPr>
            </w:pPr>
            <w:r w:rsidRPr="006633B5">
              <w:rPr>
                <w:i/>
              </w:rPr>
              <w:t>m</w:t>
            </w:r>
            <w:r w:rsidRPr="006633B5">
              <w:rPr>
                <w:i/>
                <w:vertAlign w:val="superscript"/>
              </w:rPr>
              <w:t>*</w:t>
            </w:r>
          </w:p>
        </w:tc>
        <w:tc>
          <w:tcPr>
            <w:tcW w:w="8758" w:type="dxa"/>
            <w:shd w:val="clear" w:color="auto" w:fill="auto"/>
          </w:tcPr>
          <w:p w14:paraId="373733F0" w14:textId="77777777" w:rsidR="006633B5" w:rsidRPr="006633B5" w:rsidRDefault="006633B5" w:rsidP="00E10A24">
            <w:pPr>
              <w:pStyle w:val="Tablebody"/>
              <w:spacing w:after="80"/>
            </w:pPr>
            <w:r w:rsidRPr="006633B5">
              <w:t>mass of an equivalent SDOF system</w:t>
            </w:r>
          </w:p>
        </w:tc>
      </w:tr>
      <w:tr w:rsidR="006633B5" w:rsidRPr="006633B5" w14:paraId="5A26AF2D" w14:textId="77777777" w:rsidTr="006633B5">
        <w:tc>
          <w:tcPr>
            <w:tcW w:w="1093" w:type="dxa"/>
            <w:shd w:val="clear" w:color="auto" w:fill="auto"/>
          </w:tcPr>
          <w:p w14:paraId="7263CAF0" w14:textId="77777777" w:rsidR="006633B5" w:rsidRPr="006633B5" w:rsidRDefault="006633B5" w:rsidP="00E10A24">
            <w:pPr>
              <w:pStyle w:val="Tablebody"/>
              <w:spacing w:after="80"/>
            </w:pPr>
            <w:r w:rsidRPr="006633B5">
              <w:rPr>
                <w:i/>
              </w:rPr>
              <w:t>m</w:t>
            </w:r>
            <w:r w:rsidRPr="006633B5">
              <w:rPr>
                <w:vertAlign w:val="subscript"/>
              </w:rPr>
              <w:t>an</w:t>
            </w:r>
          </w:p>
        </w:tc>
        <w:tc>
          <w:tcPr>
            <w:tcW w:w="8758" w:type="dxa"/>
            <w:shd w:val="clear" w:color="auto" w:fill="auto"/>
          </w:tcPr>
          <w:p w14:paraId="796D5770" w14:textId="77777777" w:rsidR="006633B5" w:rsidRPr="006633B5" w:rsidRDefault="006633B5" w:rsidP="00E10A24">
            <w:pPr>
              <w:pStyle w:val="Tablebody"/>
              <w:spacing w:after="80"/>
            </w:pPr>
            <w:r w:rsidRPr="006633B5">
              <w:t>mass of an ancillary element</w:t>
            </w:r>
          </w:p>
        </w:tc>
      </w:tr>
      <w:tr w:rsidR="006633B5" w:rsidRPr="006633B5" w14:paraId="534DE979" w14:textId="77777777" w:rsidTr="006633B5">
        <w:tc>
          <w:tcPr>
            <w:tcW w:w="1093" w:type="dxa"/>
            <w:shd w:val="clear" w:color="auto" w:fill="auto"/>
          </w:tcPr>
          <w:p w14:paraId="191B3F1F" w14:textId="77777777" w:rsidR="006633B5" w:rsidRPr="006633B5" w:rsidRDefault="006633B5" w:rsidP="00E10A24">
            <w:pPr>
              <w:pStyle w:val="Tablebody"/>
              <w:spacing w:after="80"/>
              <w:rPr>
                <w:iCs/>
                <w:vertAlign w:val="subscript"/>
              </w:rPr>
            </w:pPr>
            <w:r w:rsidRPr="006633B5">
              <w:rPr>
                <w:i/>
                <w:iCs/>
              </w:rPr>
              <w:t>m</w:t>
            </w:r>
            <w:r w:rsidRPr="006633B5">
              <w:rPr>
                <w:iCs/>
                <w:vertAlign w:val="subscript"/>
              </w:rPr>
              <w:t>eff,j</w:t>
            </w:r>
          </w:p>
        </w:tc>
        <w:tc>
          <w:tcPr>
            <w:tcW w:w="8758" w:type="dxa"/>
            <w:shd w:val="clear" w:color="auto" w:fill="auto"/>
          </w:tcPr>
          <w:p w14:paraId="45513FB5" w14:textId="77777777" w:rsidR="006633B5" w:rsidRPr="006633B5" w:rsidRDefault="006633B5" w:rsidP="00E10A24">
            <w:pPr>
              <w:pStyle w:val="Tablebody"/>
              <w:spacing w:after="80"/>
            </w:pPr>
            <w:r w:rsidRPr="006633B5">
              <w:t xml:space="preserve">effective modal mass corresponding to the </w:t>
            </w:r>
            <w:r w:rsidRPr="006633B5">
              <w:rPr>
                <w:i/>
              </w:rPr>
              <w:t>j</w:t>
            </w:r>
            <w:r w:rsidRPr="006633B5">
              <w:t>-th horizontal direction of loading</w:t>
            </w:r>
          </w:p>
        </w:tc>
      </w:tr>
      <w:tr w:rsidR="006633B5" w:rsidRPr="006633B5" w14:paraId="11C835E4" w14:textId="77777777" w:rsidTr="006633B5">
        <w:tc>
          <w:tcPr>
            <w:tcW w:w="1093" w:type="dxa"/>
            <w:shd w:val="clear" w:color="auto" w:fill="auto"/>
          </w:tcPr>
          <w:p w14:paraId="6F02A909" w14:textId="77777777" w:rsidR="006633B5" w:rsidRPr="006633B5" w:rsidRDefault="006633B5" w:rsidP="00E10A24">
            <w:pPr>
              <w:pStyle w:val="Tablebody"/>
              <w:spacing w:after="80"/>
              <w:rPr>
                <w:i/>
                <w:vertAlign w:val="subscript"/>
              </w:rPr>
            </w:pPr>
            <w:r w:rsidRPr="006633B5">
              <w:rPr>
                <w:i/>
              </w:rPr>
              <w:t>m</w:t>
            </w:r>
            <w:r w:rsidRPr="006633B5">
              <w:rPr>
                <w:iCs/>
                <w:vertAlign w:val="subscript"/>
              </w:rPr>
              <w:t>eff1</w:t>
            </w:r>
          </w:p>
        </w:tc>
        <w:tc>
          <w:tcPr>
            <w:tcW w:w="8758" w:type="dxa"/>
            <w:shd w:val="clear" w:color="auto" w:fill="auto"/>
          </w:tcPr>
          <w:p w14:paraId="541BB58E" w14:textId="77777777" w:rsidR="006633B5" w:rsidRPr="006633B5" w:rsidRDefault="006633B5" w:rsidP="00E10A24">
            <w:pPr>
              <w:pStyle w:val="Tablebody"/>
              <w:spacing w:after="80"/>
            </w:pPr>
            <w:r w:rsidRPr="006633B5">
              <w:t xml:space="preserve">first mode effective mass of the structure with energy dissipation system in the elastic range </w:t>
            </w:r>
          </w:p>
        </w:tc>
      </w:tr>
      <w:tr w:rsidR="006633B5" w:rsidRPr="006633B5" w14:paraId="17829FAF" w14:textId="77777777" w:rsidTr="006633B5">
        <w:tc>
          <w:tcPr>
            <w:tcW w:w="1093" w:type="dxa"/>
            <w:shd w:val="clear" w:color="auto" w:fill="auto"/>
          </w:tcPr>
          <w:p w14:paraId="48C833D6" w14:textId="77777777" w:rsidR="006633B5" w:rsidRPr="006633B5" w:rsidRDefault="006633B5" w:rsidP="00E10A24">
            <w:pPr>
              <w:pStyle w:val="Tablebody"/>
              <w:spacing w:after="80"/>
              <w:rPr>
                <w:i/>
                <w:vertAlign w:val="subscript"/>
              </w:rPr>
            </w:pPr>
            <w:r w:rsidRPr="006633B5">
              <w:rPr>
                <w:i/>
              </w:rPr>
              <w:t>m</w:t>
            </w:r>
            <w:r w:rsidRPr="006633B5">
              <w:rPr>
                <w:iCs/>
                <w:vertAlign w:val="subscript"/>
              </w:rPr>
              <w:t>f,eff1</w:t>
            </w:r>
          </w:p>
        </w:tc>
        <w:tc>
          <w:tcPr>
            <w:tcW w:w="8758" w:type="dxa"/>
            <w:shd w:val="clear" w:color="auto" w:fill="auto"/>
          </w:tcPr>
          <w:p w14:paraId="43796193" w14:textId="77777777" w:rsidR="006633B5" w:rsidRPr="006633B5" w:rsidRDefault="006633B5" w:rsidP="00E10A24">
            <w:pPr>
              <w:pStyle w:val="Tablebody"/>
              <w:spacing w:after="80"/>
            </w:pPr>
            <w:r w:rsidRPr="006633B5">
              <w:t>first mode effective mass of the main structural system in the elastic conditions, exclusive of the energy dissipation system</w:t>
            </w:r>
          </w:p>
        </w:tc>
      </w:tr>
      <w:tr w:rsidR="006633B5" w:rsidRPr="006633B5" w14:paraId="0FCAE5BD" w14:textId="77777777" w:rsidTr="006633B5">
        <w:tc>
          <w:tcPr>
            <w:tcW w:w="1093" w:type="dxa"/>
            <w:shd w:val="clear" w:color="auto" w:fill="auto"/>
          </w:tcPr>
          <w:p w14:paraId="0934C27C" w14:textId="77777777" w:rsidR="006633B5" w:rsidRPr="006633B5" w:rsidRDefault="006633B5" w:rsidP="00E10A24">
            <w:pPr>
              <w:pStyle w:val="Tablebody"/>
              <w:spacing w:after="80"/>
            </w:pPr>
            <w:r w:rsidRPr="006633B5">
              <w:rPr>
                <w:i/>
              </w:rPr>
              <w:t>m</w:t>
            </w:r>
            <w:r w:rsidRPr="006633B5">
              <w:rPr>
                <w:vertAlign w:val="subscript"/>
              </w:rPr>
              <w:t>lp</w:t>
            </w:r>
          </w:p>
        </w:tc>
        <w:tc>
          <w:tcPr>
            <w:tcW w:w="8758" w:type="dxa"/>
            <w:shd w:val="clear" w:color="auto" w:fill="auto"/>
          </w:tcPr>
          <w:p w14:paraId="4815D495" w14:textId="77777777" w:rsidR="006633B5" w:rsidRPr="006633B5" w:rsidRDefault="006633B5" w:rsidP="00E10A24">
            <w:pPr>
              <w:pStyle w:val="Tablebody"/>
              <w:spacing w:after="80"/>
            </w:pPr>
            <w:r w:rsidRPr="006633B5">
              <w:t>number of CLT panels in a segmented wall</w:t>
            </w:r>
          </w:p>
        </w:tc>
      </w:tr>
      <w:tr w:rsidR="006633B5" w:rsidRPr="006633B5" w14:paraId="1A26CC8F" w14:textId="77777777" w:rsidTr="006633B5">
        <w:tc>
          <w:tcPr>
            <w:tcW w:w="1093" w:type="dxa"/>
            <w:shd w:val="clear" w:color="auto" w:fill="auto"/>
          </w:tcPr>
          <w:p w14:paraId="75DC3915" w14:textId="77777777" w:rsidR="006633B5" w:rsidRPr="006633B5" w:rsidRDefault="006633B5" w:rsidP="00E10A24">
            <w:pPr>
              <w:pStyle w:val="Tablebody"/>
              <w:spacing w:after="80"/>
            </w:pPr>
            <w:r w:rsidRPr="006633B5">
              <w:rPr>
                <w:i/>
              </w:rPr>
              <w:t>m</w:t>
            </w:r>
            <w:r w:rsidRPr="006633B5">
              <w:rPr>
                <w:vertAlign w:val="subscript"/>
              </w:rPr>
              <w:t>i</w:t>
            </w:r>
          </w:p>
        </w:tc>
        <w:tc>
          <w:tcPr>
            <w:tcW w:w="8758" w:type="dxa"/>
            <w:shd w:val="clear" w:color="auto" w:fill="auto"/>
          </w:tcPr>
          <w:p w14:paraId="1C86C807" w14:textId="77777777" w:rsidR="006633B5" w:rsidRPr="006633B5" w:rsidRDefault="006633B5" w:rsidP="00E10A24">
            <w:pPr>
              <w:pStyle w:val="Tablebody"/>
              <w:spacing w:after="80"/>
            </w:pPr>
            <w:r w:rsidRPr="006633B5">
              <w:t xml:space="preserve">mass of storey or floor or level </w:t>
            </w:r>
            <w:r w:rsidRPr="006633B5">
              <w:rPr>
                <w:i/>
              </w:rPr>
              <w:t>i</w:t>
            </w:r>
          </w:p>
        </w:tc>
      </w:tr>
      <w:tr w:rsidR="006633B5" w:rsidRPr="006633B5" w14:paraId="4CB4B0AF" w14:textId="77777777" w:rsidTr="006633B5">
        <w:tc>
          <w:tcPr>
            <w:tcW w:w="1093" w:type="dxa"/>
            <w:shd w:val="clear" w:color="auto" w:fill="auto"/>
          </w:tcPr>
          <w:p w14:paraId="5D824704" w14:textId="77777777" w:rsidR="006633B5" w:rsidRPr="006633B5" w:rsidRDefault="006633B5" w:rsidP="00E10A24">
            <w:pPr>
              <w:pStyle w:val="Tablebody"/>
              <w:spacing w:after="80"/>
            </w:pPr>
            <w:r w:rsidRPr="006633B5">
              <w:rPr>
                <w:i/>
              </w:rPr>
              <w:t>m</w:t>
            </w:r>
            <w:r w:rsidRPr="006633B5">
              <w:rPr>
                <w:iCs/>
                <w:vertAlign w:val="subscript"/>
              </w:rPr>
              <w:t>s</w:t>
            </w:r>
          </w:p>
        </w:tc>
        <w:tc>
          <w:tcPr>
            <w:tcW w:w="8758" w:type="dxa"/>
            <w:shd w:val="clear" w:color="auto" w:fill="auto"/>
          </w:tcPr>
          <w:p w14:paraId="69EB3FB7" w14:textId="77777777" w:rsidR="006633B5" w:rsidRPr="006633B5" w:rsidRDefault="006633B5" w:rsidP="00E10A24">
            <w:pPr>
              <w:pStyle w:val="Tablebody"/>
              <w:spacing w:after="80"/>
            </w:pPr>
            <w:r w:rsidRPr="006633B5">
              <w:t>factor for the determination of the shear magnification factor in the wall</w:t>
            </w:r>
          </w:p>
        </w:tc>
      </w:tr>
      <w:tr w:rsidR="006633B5" w:rsidRPr="006633B5" w14:paraId="51FF99C6" w14:textId="77777777" w:rsidTr="006633B5">
        <w:tc>
          <w:tcPr>
            <w:tcW w:w="1093" w:type="dxa"/>
            <w:shd w:val="clear" w:color="auto" w:fill="auto"/>
          </w:tcPr>
          <w:p w14:paraId="4AEAFEEB" w14:textId="77777777" w:rsidR="006633B5" w:rsidRPr="00E10A24" w:rsidRDefault="009B5CEC" w:rsidP="00E10A24">
            <w:pPr>
              <w:pStyle w:val="Tablebody"/>
              <w:spacing w:after="80"/>
            </w:pPr>
            <m:oMathPara>
              <m:oMathParaPr>
                <m:jc m:val="left"/>
              </m:oMathParaPr>
              <m:oMath>
                <m:sSub>
                  <m:sSubPr>
                    <m:ctrlPr>
                      <w:rPr>
                        <w:rFonts w:ascii="Cambria Math" w:hAnsi="Cambria Math"/>
                        <w:i/>
                      </w:rPr>
                    </m:ctrlPr>
                  </m:sSubPr>
                  <m:e>
                    <m:acc>
                      <m:accPr>
                        <m:chr m:val="̅"/>
                        <m:ctrlPr>
                          <w:rPr>
                            <w:rFonts w:ascii="Cambria Math" w:hAnsi="Cambria Math"/>
                            <w:i/>
                          </w:rPr>
                        </m:ctrlPr>
                      </m:accPr>
                      <m:e>
                        <m:r>
                          <w:rPr>
                            <w:rFonts w:ascii="Cambria Math" w:hAnsi="Cambria Math"/>
                          </w:rPr>
                          <m:t>m</m:t>
                        </m:r>
                      </m:e>
                    </m:acc>
                  </m:e>
                  <m:sub>
                    <m:r>
                      <w:rPr>
                        <w:rFonts w:ascii="Cambria Math" w:hAnsi="Cambria Math"/>
                      </w:rPr>
                      <m:t>s</m:t>
                    </m:r>
                  </m:sub>
                </m:sSub>
              </m:oMath>
            </m:oMathPara>
          </w:p>
        </w:tc>
        <w:tc>
          <w:tcPr>
            <w:tcW w:w="8758" w:type="dxa"/>
            <w:shd w:val="clear" w:color="auto" w:fill="auto"/>
          </w:tcPr>
          <w:p w14:paraId="34425E67" w14:textId="77777777" w:rsidR="006633B5" w:rsidRPr="006633B5" w:rsidRDefault="006633B5" w:rsidP="00E10A24">
            <w:pPr>
              <w:pStyle w:val="Tablebody"/>
              <w:spacing w:after="80"/>
            </w:pPr>
            <w:r w:rsidRPr="006633B5">
              <w:t xml:space="preserve">mass above the </w:t>
            </w:r>
            <w:r w:rsidRPr="006633B5">
              <w:rPr>
                <w:i/>
              </w:rPr>
              <w:t>s</w:t>
            </w:r>
            <w:r w:rsidRPr="006633B5">
              <w:t>-th storey normalized by the total mass of the building</w:t>
            </w:r>
          </w:p>
        </w:tc>
      </w:tr>
      <w:tr w:rsidR="006633B5" w:rsidRPr="006633B5" w14:paraId="2F4BCB8D" w14:textId="77777777" w:rsidTr="006633B5">
        <w:tc>
          <w:tcPr>
            <w:tcW w:w="1093" w:type="dxa"/>
            <w:shd w:val="clear" w:color="auto" w:fill="auto"/>
          </w:tcPr>
          <w:p w14:paraId="55BB3332" w14:textId="77777777" w:rsidR="006633B5" w:rsidRPr="006633B5" w:rsidRDefault="006633B5" w:rsidP="00E10A24">
            <w:pPr>
              <w:pStyle w:val="Tablebody"/>
              <w:spacing w:after="80"/>
            </w:pPr>
            <w:r w:rsidRPr="006633B5">
              <w:rPr>
                <w:i/>
              </w:rPr>
              <w:t>n</w:t>
            </w:r>
            <w:r w:rsidRPr="006633B5">
              <w:rPr>
                <w:iCs/>
                <w:vertAlign w:val="subscript"/>
              </w:rPr>
              <w:t>vj</w:t>
            </w:r>
          </w:p>
        </w:tc>
        <w:tc>
          <w:tcPr>
            <w:tcW w:w="8758" w:type="dxa"/>
            <w:shd w:val="clear" w:color="auto" w:fill="auto"/>
          </w:tcPr>
          <w:p w14:paraId="09A7DF15" w14:textId="77777777" w:rsidR="006633B5" w:rsidRPr="006633B5" w:rsidRDefault="006633B5" w:rsidP="00E10A24">
            <w:pPr>
              <w:pStyle w:val="Tablebody"/>
              <w:spacing w:after="80"/>
            </w:pPr>
            <w:r w:rsidRPr="006633B5">
              <w:t>number of fasteners used in the vertical joint</w:t>
            </w:r>
          </w:p>
        </w:tc>
      </w:tr>
      <w:tr w:rsidR="006633B5" w:rsidRPr="006633B5" w14:paraId="25025F80" w14:textId="77777777" w:rsidTr="006633B5">
        <w:tc>
          <w:tcPr>
            <w:tcW w:w="1093" w:type="dxa"/>
            <w:shd w:val="clear" w:color="auto" w:fill="auto"/>
          </w:tcPr>
          <w:p w14:paraId="09CCAED3" w14:textId="77777777" w:rsidR="006633B5" w:rsidRPr="006633B5" w:rsidRDefault="006633B5" w:rsidP="00E10A24">
            <w:pPr>
              <w:pStyle w:val="Tablebody"/>
              <w:spacing w:after="80"/>
              <w:rPr>
                <w:i/>
              </w:rPr>
            </w:pPr>
            <w:r w:rsidRPr="006633B5">
              <w:rPr>
                <w:i/>
              </w:rPr>
              <w:t>n</w:t>
            </w:r>
          </w:p>
        </w:tc>
        <w:tc>
          <w:tcPr>
            <w:tcW w:w="8758" w:type="dxa"/>
            <w:shd w:val="clear" w:color="auto" w:fill="auto"/>
          </w:tcPr>
          <w:p w14:paraId="0C5B9CE3" w14:textId="77777777" w:rsidR="006633B5" w:rsidRPr="006633B5" w:rsidRDefault="006633B5" w:rsidP="00E10A24">
            <w:pPr>
              <w:pStyle w:val="Tablebody"/>
              <w:spacing w:after="80"/>
            </w:pPr>
            <w:r w:rsidRPr="006633B5">
              <w:t>value representing the extent to which the required amount of energy absorption of the building is distributed to each storey according to the stiffness and strength of each storey</w:t>
            </w:r>
          </w:p>
        </w:tc>
      </w:tr>
      <w:tr w:rsidR="006633B5" w:rsidRPr="006633B5" w14:paraId="71F70E40" w14:textId="77777777" w:rsidTr="006633B5">
        <w:tc>
          <w:tcPr>
            <w:tcW w:w="1093" w:type="dxa"/>
            <w:shd w:val="clear" w:color="auto" w:fill="auto"/>
          </w:tcPr>
          <w:p w14:paraId="67167469" w14:textId="77777777" w:rsidR="006633B5" w:rsidRPr="006633B5" w:rsidRDefault="006633B5" w:rsidP="00E10A24">
            <w:pPr>
              <w:pStyle w:val="Tablebody"/>
              <w:spacing w:after="80"/>
              <w:rPr>
                <w:lang w:val="pt-PT"/>
              </w:rPr>
            </w:pPr>
            <w:r w:rsidRPr="006633B5">
              <w:rPr>
                <w:i/>
                <w:iCs/>
                <w:lang w:val="pt-PT"/>
              </w:rPr>
              <w:t>n</w:t>
            </w:r>
            <w:r w:rsidRPr="006633B5">
              <w:rPr>
                <w:vertAlign w:val="subscript"/>
                <w:lang w:val="pt-PT"/>
              </w:rPr>
              <w:t>0</w:t>
            </w:r>
          </w:p>
        </w:tc>
        <w:tc>
          <w:tcPr>
            <w:tcW w:w="8758" w:type="dxa"/>
            <w:shd w:val="clear" w:color="auto" w:fill="auto"/>
          </w:tcPr>
          <w:p w14:paraId="637CC1D9" w14:textId="77777777" w:rsidR="006633B5" w:rsidRPr="006633B5" w:rsidRDefault="006633B5" w:rsidP="00E10A24">
            <w:pPr>
              <w:pStyle w:val="Tablebody"/>
              <w:spacing w:after="80"/>
              <w:rPr>
                <w:vertAlign w:val="subscript"/>
                <w:lang w:val="pt-PT"/>
              </w:rPr>
            </w:pPr>
            <w:r w:rsidRPr="006633B5">
              <w:rPr>
                <w:lang w:val="pt-PT"/>
              </w:rPr>
              <w:t xml:space="preserve">modular ratio equal to </w:t>
            </w:r>
            <w:r w:rsidRPr="006633B5">
              <w:rPr>
                <w:i/>
                <w:iCs/>
                <w:lang w:val="pt-PT"/>
              </w:rPr>
              <w:t>E</w:t>
            </w:r>
            <w:r w:rsidRPr="006633B5">
              <w:rPr>
                <w:vertAlign w:val="subscript"/>
                <w:lang w:val="pt-PT"/>
              </w:rPr>
              <w:t>a</w:t>
            </w:r>
            <w:r w:rsidRPr="006633B5">
              <w:rPr>
                <w:lang w:val="pt-PT"/>
              </w:rPr>
              <w:t>/</w:t>
            </w:r>
            <w:r w:rsidRPr="006633B5">
              <w:rPr>
                <w:i/>
                <w:iCs/>
                <w:lang w:val="pt-PT"/>
              </w:rPr>
              <w:t>E</w:t>
            </w:r>
            <w:r w:rsidRPr="006633B5">
              <w:rPr>
                <w:vertAlign w:val="subscript"/>
                <w:lang w:val="pt-PT"/>
              </w:rPr>
              <w:t>cm</w:t>
            </w:r>
          </w:p>
        </w:tc>
      </w:tr>
      <w:tr w:rsidR="006633B5" w:rsidRPr="006633B5" w14:paraId="13D32BF7" w14:textId="77777777" w:rsidTr="006633B5">
        <w:tc>
          <w:tcPr>
            <w:tcW w:w="1093" w:type="dxa"/>
            <w:shd w:val="clear" w:color="auto" w:fill="auto"/>
          </w:tcPr>
          <w:p w14:paraId="2DEAA2D0" w14:textId="77777777" w:rsidR="006633B5" w:rsidRPr="006633B5" w:rsidRDefault="006633B5" w:rsidP="00E10A24">
            <w:pPr>
              <w:pStyle w:val="Tablebody"/>
              <w:spacing w:after="80"/>
              <w:rPr>
                <w:i/>
              </w:rPr>
            </w:pPr>
            <w:r w:rsidRPr="006633B5">
              <w:rPr>
                <w:i/>
              </w:rPr>
              <w:t>n</w:t>
            </w:r>
            <w:r w:rsidRPr="006633B5">
              <w:rPr>
                <w:i/>
                <w:vertAlign w:val="subscript"/>
              </w:rPr>
              <w:t>e</w:t>
            </w:r>
          </w:p>
        </w:tc>
        <w:tc>
          <w:tcPr>
            <w:tcW w:w="8758" w:type="dxa"/>
            <w:shd w:val="clear" w:color="auto" w:fill="auto"/>
          </w:tcPr>
          <w:p w14:paraId="1D74DF41" w14:textId="77777777" w:rsidR="006633B5" w:rsidRPr="006633B5" w:rsidRDefault="006633B5" w:rsidP="00E10A24">
            <w:pPr>
              <w:pStyle w:val="Tablebody"/>
              <w:spacing w:after="80"/>
            </w:pPr>
            <w:r w:rsidRPr="006633B5">
              <w:t>number of fasteners in the outer circle of a moment transmitting joint</w:t>
            </w:r>
          </w:p>
        </w:tc>
      </w:tr>
      <w:tr w:rsidR="006633B5" w:rsidRPr="006633B5" w14:paraId="301A08FF" w14:textId="77777777" w:rsidTr="006633B5">
        <w:tc>
          <w:tcPr>
            <w:tcW w:w="1093" w:type="dxa"/>
            <w:shd w:val="clear" w:color="auto" w:fill="auto"/>
          </w:tcPr>
          <w:p w14:paraId="274A7035" w14:textId="77777777" w:rsidR="006633B5" w:rsidRPr="006633B5" w:rsidRDefault="006633B5" w:rsidP="00E10A24">
            <w:pPr>
              <w:pStyle w:val="Tablebody"/>
              <w:spacing w:after="80"/>
              <w:rPr>
                <w:i/>
              </w:rPr>
            </w:pPr>
            <w:r w:rsidRPr="006633B5">
              <w:rPr>
                <w:i/>
              </w:rPr>
              <w:t>p</w:t>
            </w:r>
          </w:p>
        </w:tc>
        <w:tc>
          <w:tcPr>
            <w:tcW w:w="8758" w:type="dxa"/>
            <w:shd w:val="clear" w:color="auto" w:fill="auto"/>
          </w:tcPr>
          <w:p w14:paraId="6DBF740C" w14:textId="77777777" w:rsidR="006633B5" w:rsidRPr="006633B5" w:rsidRDefault="006633B5" w:rsidP="00E10A24">
            <w:pPr>
              <w:pStyle w:val="Tablebody"/>
              <w:spacing w:after="80"/>
            </w:pPr>
            <w:r w:rsidRPr="006633B5">
              <w:t>index corresponding to the primary structure</w:t>
            </w:r>
          </w:p>
        </w:tc>
      </w:tr>
      <w:tr w:rsidR="006633B5" w:rsidRPr="006633B5" w14:paraId="5965DEF1" w14:textId="77777777" w:rsidTr="006633B5">
        <w:tc>
          <w:tcPr>
            <w:tcW w:w="1093" w:type="dxa"/>
            <w:shd w:val="clear" w:color="auto" w:fill="auto"/>
          </w:tcPr>
          <w:p w14:paraId="71D7F002" w14:textId="77777777" w:rsidR="006633B5" w:rsidRPr="006633B5" w:rsidRDefault="006633B5" w:rsidP="00E10A24">
            <w:pPr>
              <w:pStyle w:val="Tablebody"/>
              <w:spacing w:after="80"/>
            </w:pPr>
            <w:r w:rsidRPr="006633B5">
              <w:rPr>
                <w:i/>
              </w:rPr>
              <w:t>p</w:t>
            </w:r>
            <w:r w:rsidRPr="006633B5">
              <w:rPr>
                <w:vertAlign w:val="subscript"/>
              </w:rPr>
              <w:t>A</w:t>
            </w:r>
          </w:p>
        </w:tc>
        <w:tc>
          <w:tcPr>
            <w:tcW w:w="8758" w:type="dxa"/>
            <w:shd w:val="clear" w:color="auto" w:fill="auto"/>
          </w:tcPr>
          <w:p w14:paraId="041F609C" w14:textId="77777777" w:rsidR="006633B5" w:rsidRPr="006633B5" w:rsidRDefault="006633B5" w:rsidP="00E10A24">
            <w:pPr>
              <w:pStyle w:val="Tablebody"/>
              <w:spacing w:after="80"/>
            </w:pPr>
            <w:r w:rsidRPr="006633B5">
              <w:t>minimum ratio of the area of masonry walls in one direction</w:t>
            </w:r>
          </w:p>
        </w:tc>
      </w:tr>
      <w:tr w:rsidR="006633B5" w:rsidRPr="006633B5" w14:paraId="43D02402" w14:textId="77777777" w:rsidTr="006633B5">
        <w:tc>
          <w:tcPr>
            <w:tcW w:w="1093" w:type="dxa"/>
            <w:shd w:val="clear" w:color="auto" w:fill="auto"/>
          </w:tcPr>
          <w:p w14:paraId="3426997F" w14:textId="77777777" w:rsidR="006633B5" w:rsidRPr="006633B5" w:rsidRDefault="006633B5" w:rsidP="00E10A24">
            <w:pPr>
              <w:pStyle w:val="Tablebody"/>
              <w:spacing w:after="80"/>
            </w:pPr>
            <w:r w:rsidRPr="006633B5">
              <w:rPr>
                <w:i/>
              </w:rPr>
              <w:t>p</w:t>
            </w:r>
            <w:r w:rsidRPr="006633B5">
              <w:rPr>
                <w:vertAlign w:val="subscript"/>
              </w:rPr>
              <w:t>A,min</w:t>
            </w:r>
          </w:p>
        </w:tc>
        <w:tc>
          <w:tcPr>
            <w:tcW w:w="8758" w:type="dxa"/>
            <w:shd w:val="clear" w:color="auto" w:fill="auto"/>
          </w:tcPr>
          <w:p w14:paraId="47DB5DBA" w14:textId="77777777" w:rsidR="006633B5" w:rsidRPr="006633B5" w:rsidRDefault="006633B5" w:rsidP="00E10A24">
            <w:pPr>
              <w:pStyle w:val="Tablebody"/>
              <w:spacing w:after="80"/>
            </w:pPr>
            <w:r w:rsidRPr="006633B5">
              <w:t>absolute minimum ratio of the area of masonry walls in one direction</w:t>
            </w:r>
          </w:p>
        </w:tc>
      </w:tr>
      <w:tr w:rsidR="006633B5" w:rsidRPr="006633B5" w14:paraId="027DD29D" w14:textId="77777777" w:rsidTr="006633B5">
        <w:tc>
          <w:tcPr>
            <w:tcW w:w="1093" w:type="dxa"/>
            <w:shd w:val="clear" w:color="auto" w:fill="auto"/>
          </w:tcPr>
          <w:p w14:paraId="23024A27" w14:textId="77777777" w:rsidR="006633B5" w:rsidRPr="006633B5" w:rsidRDefault="006633B5" w:rsidP="00E10A24">
            <w:pPr>
              <w:pStyle w:val="Tablebody"/>
              <w:spacing w:after="80"/>
            </w:pPr>
            <w:r w:rsidRPr="006633B5">
              <w:rPr>
                <w:i/>
              </w:rPr>
              <w:t>p</w:t>
            </w:r>
            <w:r w:rsidRPr="006633B5">
              <w:rPr>
                <w:vertAlign w:val="subscript"/>
              </w:rPr>
              <w:t>A,ref</w:t>
            </w:r>
          </w:p>
        </w:tc>
        <w:tc>
          <w:tcPr>
            <w:tcW w:w="8758" w:type="dxa"/>
            <w:shd w:val="clear" w:color="auto" w:fill="auto"/>
          </w:tcPr>
          <w:p w14:paraId="29E38373" w14:textId="77777777" w:rsidR="006633B5" w:rsidRPr="006633B5" w:rsidRDefault="006633B5" w:rsidP="00E10A24">
            <w:pPr>
              <w:pStyle w:val="Tablebody"/>
              <w:spacing w:after="80"/>
            </w:pPr>
            <w:r w:rsidRPr="006633B5">
              <w:t xml:space="preserve">reference ratio of the area of masonry walls in one direction </w:t>
            </w:r>
          </w:p>
        </w:tc>
      </w:tr>
      <w:tr w:rsidR="006633B5" w:rsidRPr="006633B5" w14:paraId="6AE0B29A" w14:textId="77777777" w:rsidTr="006633B5">
        <w:tc>
          <w:tcPr>
            <w:tcW w:w="1093" w:type="dxa"/>
            <w:shd w:val="clear" w:color="auto" w:fill="auto"/>
          </w:tcPr>
          <w:p w14:paraId="300572D4" w14:textId="77777777" w:rsidR="006633B5" w:rsidRPr="006633B5" w:rsidRDefault="006633B5" w:rsidP="00E10A24">
            <w:pPr>
              <w:pStyle w:val="Tablebody"/>
              <w:spacing w:after="80"/>
            </w:pPr>
            <w:r w:rsidRPr="006633B5">
              <w:rPr>
                <w:i/>
              </w:rPr>
              <w:t>p</w:t>
            </w:r>
            <w:r w:rsidRPr="006633B5">
              <w:rPr>
                <w:i/>
                <w:vertAlign w:val="subscript"/>
              </w:rPr>
              <w:t>s</w:t>
            </w:r>
          </w:p>
        </w:tc>
        <w:tc>
          <w:tcPr>
            <w:tcW w:w="8758" w:type="dxa"/>
            <w:shd w:val="clear" w:color="auto" w:fill="auto"/>
          </w:tcPr>
          <w:p w14:paraId="5C1305C9" w14:textId="77777777" w:rsidR="006633B5" w:rsidRPr="006633B5" w:rsidRDefault="006633B5" w:rsidP="00E10A24">
            <w:pPr>
              <w:pStyle w:val="Tablebody"/>
              <w:spacing w:after="80"/>
            </w:pPr>
            <w:r w:rsidRPr="006633B5">
              <w:t xml:space="preserve">deviation of the </w:t>
            </w:r>
            <w:r w:rsidRPr="006633B5">
              <w:rPr>
                <w:i/>
              </w:rPr>
              <w:t>s</w:t>
            </w:r>
            <w:r w:rsidRPr="006633B5">
              <w:rPr>
                <w:iCs/>
              </w:rPr>
              <w:t>-th</w:t>
            </w:r>
            <w:r w:rsidRPr="006633B5">
              <w:t xml:space="preserve"> storey seismic shear from an optimum value that would provide an even distribution of damage among storeys</w:t>
            </w:r>
          </w:p>
        </w:tc>
      </w:tr>
      <w:tr w:rsidR="006633B5" w:rsidRPr="006633B5" w14:paraId="37841F5C" w14:textId="77777777" w:rsidTr="006633B5">
        <w:tc>
          <w:tcPr>
            <w:tcW w:w="1093" w:type="dxa"/>
            <w:shd w:val="clear" w:color="auto" w:fill="auto"/>
          </w:tcPr>
          <w:p w14:paraId="4930A3FF" w14:textId="77777777" w:rsidR="006633B5" w:rsidRPr="006633B5" w:rsidRDefault="006633B5" w:rsidP="00E10A24">
            <w:pPr>
              <w:pStyle w:val="Tablebody"/>
              <w:spacing w:after="80"/>
            </w:pPr>
            <w:r w:rsidRPr="006633B5">
              <w:rPr>
                <w:i/>
              </w:rPr>
              <w:t>P</w:t>
            </w:r>
            <w:r w:rsidRPr="006633B5">
              <w:rPr>
                <w:iCs/>
                <w:vertAlign w:val="subscript"/>
              </w:rPr>
              <w:t>tot</w:t>
            </w:r>
          </w:p>
        </w:tc>
        <w:tc>
          <w:tcPr>
            <w:tcW w:w="8758" w:type="dxa"/>
            <w:shd w:val="clear" w:color="auto" w:fill="auto"/>
          </w:tcPr>
          <w:p w14:paraId="6A1056C2" w14:textId="77777777" w:rsidR="006633B5" w:rsidRPr="006633B5" w:rsidRDefault="006633B5" w:rsidP="00E10A24">
            <w:pPr>
              <w:pStyle w:val="Tablebody"/>
              <w:spacing w:after="80"/>
            </w:pPr>
            <w:r w:rsidRPr="006633B5">
              <w:t>total gravity load at and above the storey considered in the seismic design situation</w:t>
            </w:r>
          </w:p>
        </w:tc>
      </w:tr>
      <w:tr w:rsidR="006633B5" w:rsidRPr="006633B5" w14:paraId="306842AC" w14:textId="77777777" w:rsidTr="006633B5">
        <w:tc>
          <w:tcPr>
            <w:tcW w:w="1093" w:type="dxa"/>
            <w:shd w:val="clear" w:color="auto" w:fill="auto"/>
          </w:tcPr>
          <w:p w14:paraId="62B3DA58" w14:textId="77777777" w:rsidR="006633B5" w:rsidRPr="006633B5" w:rsidRDefault="006633B5" w:rsidP="00E10A24">
            <w:pPr>
              <w:pStyle w:val="Tablebody"/>
              <w:spacing w:after="80"/>
            </w:pPr>
            <w:r w:rsidRPr="006633B5">
              <w:rPr>
                <w:i/>
              </w:rPr>
              <w:t>p</w:t>
            </w:r>
            <w:r w:rsidRPr="006633B5">
              <w:rPr>
                <w:i/>
                <w:vertAlign w:val="subscript"/>
              </w:rPr>
              <w:t>ts</w:t>
            </w:r>
          </w:p>
        </w:tc>
        <w:tc>
          <w:tcPr>
            <w:tcW w:w="8758" w:type="dxa"/>
            <w:shd w:val="clear" w:color="auto" w:fill="auto"/>
          </w:tcPr>
          <w:p w14:paraId="28CC5E94" w14:textId="77777777" w:rsidR="006633B5" w:rsidRPr="006633B5" w:rsidRDefault="006633B5" w:rsidP="00E10A24">
            <w:pPr>
              <w:pStyle w:val="Tablebody"/>
              <w:spacing w:after="80"/>
            </w:pPr>
            <w:r w:rsidRPr="006633B5">
              <w:t xml:space="preserve">coefficient that accounts for the increase in the required energy absorption capacity in a storey </w:t>
            </w:r>
            <w:r w:rsidRPr="006633B5">
              <w:rPr>
                <w:i/>
              </w:rPr>
              <w:t>s</w:t>
            </w:r>
            <w:r w:rsidRPr="006633B5">
              <w:t xml:space="preserve"> resulting from torsional effects</w:t>
            </w:r>
          </w:p>
        </w:tc>
      </w:tr>
      <w:tr w:rsidR="006633B5" w:rsidRPr="006633B5" w14:paraId="34845721" w14:textId="77777777" w:rsidTr="006633B5">
        <w:tc>
          <w:tcPr>
            <w:tcW w:w="1093" w:type="dxa"/>
            <w:shd w:val="clear" w:color="auto" w:fill="auto"/>
          </w:tcPr>
          <w:p w14:paraId="2AD27CBA" w14:textId="77777777" w:rsidR="006633B5" w:rsidRPr="006633B5" w:rsidRDefault="006633B5" w:rsidP="00E10A24">
            <w:pPr>
              <w:pStyle w:val="Tablebody"/>
              <w:spacing w:after="80"/>
            </w:pPr>
            <w:r w:rsidRPr="006633B5">
              <w:rPr>
                <w:i/>
              </w:rPr>
              <w:t>q</w:t>
            </w:r>
          </w:p>
        </w:tc>
        <w:tc>
          <w:tcPr>
            <w:tcW w:w="8758" w:type="dxa"/>
            <w:shd w:val="clear" w:color="auto" w:fill="auto"/>
          </w:tcPr>
          <w:p w14:paraId="6807C6E8" w14:textId="77777777" w:rsidR="006633B5" w:rsidRPr="006633B5" w:rsidRDefault="006633B5" w:rsidP="00E10A24">
            <w:pPr>
              <w:pStyle w:val="Tablebody"/>
              <w:spacing w:after="80"/>
              <w:rPr>
                <w:i/>
              </w:rPr>
            </w:pPr>
            <w:r w:rsidRPr="006633B5">
              <w:t>behaviour factor</w:t>
            </w:r>
          </w:p>
        </w:tc>
      </w:tr>
      <w:tr w:rsidR="006633B5" w:rsidRPr="006633B5" w14:paraId="7E26A2BC" w14:textId="77777777" w:rsidTr="006633B5">
        <w:tc>
          <w:tcPr>
            <w:tcW w:w="1093" w:type="dxa"/>
            <w:shd w:val="clear" w:color="auto" w:fill="auto"/>
          </w:tcPr>
          <w:p w14:paraId="540F62B5" w14:textId="77777777" w:rsidR="006633B5" w:rsidRPr="006633B5" w:rsidRDefault="006633B5" w:rsidP="00E10A24">
            <w:pPr>
              <w:pStyle w:val="Tablebody"/>
              <w:spacing w:after="80"/>
            </w:pPr>
            <w:r w:rsidRPr="006633B5">
              <w:rPr>
                <w:i/>
              </w:rPr>
              <w:t>q</w:t>
            </w:r>
            <w:r w:rsidRPr="006633B5">
              <w:rPr>
                <w:vertAlign w:val="subscript"/>
              </w:rPr>
              <w:t>a</w:t>
            </w:r>
          </w:p>
        </w:tc>
        <w:tc>
          <w:tcPr>
            <w:tcW w:w="8758" w:type="dxa"/>
            <w:shd w:val="clear" w:color="auto" w:fill="auto"/>
          </w:tcPr>
          <w:p w14:paraId="6D4A8BCC" w14:textId="77777777" w:rsidR="006633B5" w:rsidRPr="006633B5" w:rsidRDefault="006633B5" w:rsidP="00E10A24">
            <w:pPr>
              <w:pStyle w:val="Tablebody"/>
              <w:spacing w:after="80"/>
            </w:pPr>
            <w:r w:rsidRPr="006633B5">
              <w:t>behaviour factor of an ancillary element</w:t>
            </w:r>
          </w:p>
        </w:tc>
      </w:tr>
      <w:tr w:rsidR="006633B5" w:rsidRPr="006633B5" w14:paraId="275F648C" w14:textId="77777777" w:rsidTr="006633B5">
        <w:tc>
          <w:tcPr>
            <w:tcW w:w="1093" w:type="dxa"/>
            <w:shd w:val="clear" w:color="auto" w:fill="auto"/>
          </w:tcPr>
          <w:p w14:paraId="2B3E0839" w14:textId="77777777" w:rsidR="006633B5" w:rsidRPr="006633B5" w:rsidRDefault="006633B5" w:rsidP="00E10A24">
            <w:pPr>
              <w:pStyle w:val="Tablebody"/>
              <w:spacing w:after="80"/>
            </w:pPr>
            <w:r w:rsidRPr="006633B5">
              <w:rPr>
                <w:i/>
              </w:rPr>
              <w:t>q</w:t>
            </w:r>
            <w:r w:rsidRPr="006633B5">
              <w:rPr>
                <w:vertAlign w:val="subscript"/>
              </w:rPr>
              <w:t>D</w:t>
            </w:r>
          </w:p>
        </w:tc>
        <w:tc>
          <w:tcPr>
            <w:tcW w:w="8758" w:type="dxa"/>
            <w:shd w:val="clear" w:color="auto" w:fill="auto"/>
          </w:tcPr>
          <w:p w14:paraId="05CE4B5A" w14:textId="77777777" w:rsidR="006633B5" w:rsidRPr="006633B5" w:rsidRDefault="006633B5" w:rsidP="00E10A24">
            <w:pPr>
              <w:pStyle w:val="Tablebody"/>
              <w:spacing w:after="80"/>
            </w:pPr>
            <w:r w:rsidRPr="006633B5">
              <w:t>behaviour factor component accounting for the deformation capacity and energy dissipation capacity</w:t>
            </w:r>
          </w:p>
        </w:tc>
      </w:tr>
      <w:tr w:rsidR="006633B5" w:rsidRPr="006633B5" w14:paraId="7E9A3F98" w14:textId="77777777" w:rsidTr="006633B5">
        <w:tc>
          <w:tcPr>
            <w:tcW w:w="1093" w:type="dxa"/>
            <w:shd w:val="clear" w:color="auto" w:fill="auto"/>
          </w:tcPr>
          <w:p w14:paraId="11A11718" w14:textId="77777777" w:rsidR="006633B5" w:rsidRPr="006633B5" w:rsidRDefault="006633B5" w:rsidP="00E10A24">
            <w:pPr>
              <w:pStyle w:val="Tablebody"/>
              <w:spacing w:after="80"/>
              <w:rPr>
                <w:i/>
              </w:rPr>
            </w:pPr>
            <w:r w:rsidRPr="006633B5">
              <w:rPr>
                <w:i/>
              </w:rPr>
              <w:lastRenderedPageBreak/>
              <w:t>q</w:t>
            </w:r>
            <w:r w:rsidRPr="006633B5">
              <w:rPr>
                <w:vertAlign w:val="subscript"/>
              </w:rPr>
              <w:t>D,CLT</w:t>
            </w:r>
          </w:p>
        </w:tc>
        <w:tc>
          <w:tcPr>
            <w:tcW w:w="8758" w:type="dxa"/>
            <w:shd w:val="clear" w:color="auto" w:fill="auto"/>
          </w:tcPr>
          <w:p w14:paraId="6BFFAB17" w14:textId="77777777" w:rsidR="006633B5" w:rsidRPr="006633B5" w:rsidRDefault="006633B5" w:rsidP="00E10A24">
            <w:pPr>
              <w:pStyle w:val="Tablebody"/>
              <w:spacing w:after="80"/>
            </w:pPr>
            <w:r w:rsidRPr="006633B5">
              <w:t xml:space="preserve">default value for the reference Ductility Class of the component </w:t>
            </w:r>
            <w:r w:rsidRPr="006633B5">
              <w:rPr>
                <w:i/>
              </w:rPr>
              <w:t>q</w:t>
            </w:r>
            <w:r w:rsidRPr="006633B5">
              <w:rPr>
                <w:vertAlign w:val="subscript"/>
              </w:rPr>
              <w:t>D</w:t>
            </w:r>
            <w:r w:rsidRPr="006633B5">
              <w:t xml:space="preserve"> of the behaviour factor </w:t>
            </w:r>
            <w:r w:rsidRPr="006633B5">
              <w:rPr>
                <w:i/>
              </w:rPr>
              <w:t>q</w:t>
            </w:r>
            <w:r w:rsidRPr="006633B5">
              <w:t xml:space="preserve"> for a CLT primary structure</w:t>
            </w:r>
          </w:p>
        </w:tc>
      </w:tr>
      <w:tr w:rsidR="006633B5" w:rsidRPr="006633B5" w14:paraId="0EA5668E" w14:textId="77777777" w:rsidTr="006633B5">
        <w:tc>
          <w:tcPr>
            <w:tcW w:w="1093" w:type="dxa"/>
            <w:shd w:val="clear" w:color="auto" w:fill="auto"/>
          </w:tcPr>
          <w:p w14:paraId="7E8699DC" w14:textId="77777777" w:rsidR="006633B5" w:rsidRPr="006633B5" w:rsidRDefault="006633B5" w:rsidP="00E10A24">
            <w:pPr>
              <w:pStyle w:val="Tablebody"/>
              <w:spacing w:after="80"/>
              <w:rPr>
                <w:i/>
              </w:rPr>
            </w:pPr>
            <w:r w:rsidRPr="006633B5">
              <w:rPr>
                <w:i/>
              </w:rPr>
              <w:t>q</w:t>
            </w:r>
            <w:r w:rsidRPr="006633B5">
              <w:rPr>
                <w:vertAlign w:val="subscript"/>
              </w:rPr>
              <w:t>D,Hyb</w:t>
            </w:r>
          </w:p>
        </w:tc>
        <w:tc>
          <w:tcPr>
            <w:tcW w:w="8758" w:type="dxa"/>
            <w:shd w:val="clear" w:color="auto" w:fill="auto"/>
          </w:tcPr>
          <w:p w14:paraId="0CC97FA4" w14:textId="77777777" w:rsidR="006633B5" w:rsidRPr="006633B5" w:rsidRDefault="006633B5" w:rsidP="00E10A24">
            <w:pPr>
              <w:pStyle w:val="Tablebody"/>
              <w:spacing w:after="80"/>
            </w:pPr>
            <w:r w:rsidRPr="006633B5">
              <w:t xml:space="preserve">value of the component </w:t>
            </w:r>
            <w:r w:rsidRPr="006633B5">
              <w:rPr>
                <w:i/>
              </w:rPr>
              <w:t>q</w:t>
            </w:r>
            <w:r w:rsidRPr="006633B5">
              <w:rPr>
                <w:vertAlign w:val="subscript"/>
              </w:rPr>
              <w:t>D</w:t>
            </w:r>
            <w:r w:rsidRPr="006633B5">
              <w:t xml:space="preserve"> of the behaviour factor </w:t>
            </w:r>
            <w:r w:rsidRPr="006633B5">
              <w:rPr>
                <w:i/>
              </w:rPr>
              <w:t>q</w:t>
            </w:r>
            <w:r w:rsidRPr="006633B5">
              <w:t xml:space="preserve"> for a hybrid framed wall-CLT primary structure</w:t>
            </w:r>
          </w:p>
        </w:tc>
      </w:tr>
      <w:tr w:rsidR="006633B5" w:rsidRPr="006633B5" w14:paraId="3D9AF77A" w14:textId="77777777" w:rsidTr="006633B5">
        <w:tc>
          <w:tcPr>
            <w:tcW w:w="1093" w:type="dxa"/>
            <w:shd w:val="clear" w:color="auto" w:fill="auto"/>
          </w:tcPr>
          <w:p w14:paraId="7A5C029D" w14:textId="77777777" w:rsidR="006633B5" w:rsidRPr="006633B5" w:rsidRDefault="006633B5" w:rsidP="00E10A24">
            <w:pPr>
              <w:pStyle w:val="Tablebody"/>
              <w:spacing w:after="80"/>
              <w:rPr>
                <w:i/>
              </w:rPr>
            </w:pPr>
            <w:r w:rsidRPr="006633B5">
              <w:rPr>
                <w:i/>
              </w:rPr>
              <w:t>q</w:t>
            </w:r>
            <w:r w:rsidRPr="006633B5">
              <w:rPr>
                <w:vertAlign w:val="subscript"/>
              </w:rPr>
              <w:t>D,FW</w:t>
            </w:r>
          </w:p>
        </w:tc>
        <w:tc>
          <w:tcPr>
            <w:tcW w:w="8758" w:type="dxa"/>
            <w:shd w:val="clear" w:color="auto" w:fill="auto"/>
          </w:tcPr>
          <w:p w14:paraId="36DD479B" w14:textId="77777777" w:rsidR="006633B5" w:rsidRPr="006633B5" w:rsidRDefault="006633B5" w:rsidP="00E10A24">
            <w:pPr>
              <w:pStyle w:val="Tablebody"/>
              <w:spacing w:after="80"/>
            </w:pPr>
            <w:r w:rsidRPr="006633B5">
              <w:t xml:space="preserve">default value for the reference Ductility Class of the component </w:t>
            </w:r>
            <w:r w:rsidRPr="006633B5">
              <w:rPr>
                <w:i/>
              </w:rPr>
              <w:t>q</w:t>
            </w:r>
            <w:r w:rsidRPr="006633B5">
              <w:rPr>
                <w:vertAlign w:val="subscript"/>
              </w:rPr>
              <w:t>D</w:t>
            </w:r>
            <w:r w:rsidRPr="006633B5">
              <w:t xml:space="preserve"> of the behaviour factor </w:t>
            </w:r>
            <w:r w:rsidRPr="006633B5">
              <w:rPr>
                <w:i/>
              </w:rPr>
              <w:t>q</w:t>
            </w:r>
            <w:r w:rsidRPr="006633B5">
              <w:t xml:space="preserve"> for the framed wall primary structure</w:t>
            </w:r>
          </w:p>
        </w:tc>
      </w:tr>
      <w:tr w:rsidR="006633B5" w:rsidRPr="006633B5" w14:paraId="2B04C455" w14:textId="77777777" w:rsidTr="006633B5">
        <w:tc>
          <w:tcPr>
            <w:tcW w:w="1093" w:type="dxa"/>
            <w:shd w:val="clear" w:color="auto" w:fill="auto"/>
          </w:tcPr>
          <w:p w14:paraId="7D14CB06" w14:textId="77777777" w:rsidR="006633B5" w:rsidRPr="006633B5" w:rsidRDefault="006633B5" w:rsidP="00E10A24">
            <w:pPr>
              <w:pStyle w:val="Tablebody"/>
              <w:spacing w:after="80"/>
            </w:pPr>
            <w:r w:rsidRPr="006633B5">
              <w:rPr>
                <w:i/>
                <w:iCs/>
              </w:rPr>
              <w:t>q</w:t>
            </w:r>
            <w:r w:rsidRPr="006633B5">
              <w:rPr>
                <w:vertAlign w:val="subscript"/>
              </w:rPr>
              <w:t>oop</w:t>
            </w:r>
          </w:p>
        </w:tc>
        <w:tc>
          <w:tcPr>
            <w:tcW w:w="8758" w:type="dxa"/>
            <w:shd w:val="clear" w:color="auto" w:fill="auto"/>
          </w:tcPr>
          <w:p w14:paraId="21BD9EDE" w14:textId="77777777" w:rsidR="006633B5" w:rsidRPr="006633B5" w:rsidRDefault="006633B5" w:rsidP="00E10A24">
            <w:pPr>
              <w:pStyle w:val="Tablebody"/>
              <w:spacing w:after="80"/>
            </w:pPr>
            <w:r w:rsidRPr="006633B5">
              <w:t>behaviour factor for out-of-plane bending of masonry walls</w:t>
            </w:r>
          </w:p>
        </w:tc>
      </w:tr>
      <w:tr w:rsidR="006633B5" w:rsidRPr="006633B5" w14:paraId="7C085DAE" w14:textId="77777777" w:rsidTr="006633B5">
        <w:tc>
          <w:tcPr>
            <w:tcW w:w="1093" w:type="dxa"/>
            <w:shd w:val="clear" w:color="auto" w:fill="auto"/>
          </w:tcPr>
          <w:p w14:paraId="70ECC4E0" w14:textId="77777777" w:rsidR="006633B5" w:rsidRPr="006633B5" w:rsidRDefault="006633B5" w:rsidP="00E10A24">
            <w:pPr>
              <w:pStyle w:val="Tablebody"/>
              <w:spacing w:after="80"/>
            </w:pPr>
            <w:r w:rsidRPr="006633B5">
              <w:rPr>
                <w:i/>
              </w:rPr>
              <w:t>q</w:t>
            </w:r>
            <w:r w:rsidRPr="006633B5">
              <w:rPr>
                <w:vertAlign w:val="subscript"/>
              </w:rPr>
              <w:t>R</w:t>
            </w:r>
          </w:p>
        </w:tc>
        <w:tc>
          <w:tcPr>
            <w:tcW w:w="8758" w:type="dxa"/>
            <w:shd w:val="clear" w:color="auto" w:fill="auto"/>
          </w:tcPr>
          <w:p w14:paraId="4649A79B" w14:textId="77777777" w:rsidR="006633B5" w:rsidRPr="006633B5" w:rsidRDefault="006633B5" w:rsidP="00E10A24">
            <w:pPr>
              <w:pStyle w:val="Tablebody"/>
              <w:spacing w:after="80"/>
            </w:pPr>
            <w:r w:rsidRPr="006633B5">
              <w:t>behaviour factor component accounting for overstrength due to the redistribution of seismic action effects in redundant structures</w:t>
            </w:r>
          </w:p>
        </w:tc>
      </w:tr>
      <w:tr w:rsidR="006633B5" w:rsidRPr="006633B5" w14:paraId="75B402B6" w14:textId="77777777" w:rsidTr="006633B5">
        <w:tc>
          <w:tcPr>
            <w:tcW w:w="1093" w:type="dxa"/>
            <w:shd w:val="clear" w:color="auto" w:fill="auto"/>
          </w:tcPr>
          <w:p w14:paraId="67FED046" w14:textId="77777777" w:rsidR="006633B5" w:rsidRPr="006633B5" w:rsidRDefault="006633B5" w:rsidP="00E10A24">
            <w:pPr>
              <w:pStyle w:val="Tablebody"/>
              <w:spacing w:after="80"/>
            </w:pPr>
            <w:r w:rsidRPr="006633B5">
              <w:rPr>
                <w:i/>
              </w:rPr>
              <w:t>q</w:t>
            </w:r>
            <w:r w:rsidRPr="006633B5">
              <w:rPr>
                <w:vertAlign w:val="subscript"/>
              </w:rPr>
              <w:t>S</w:t>
            </w:r>
          </w:p>
        </w:tc>
        <w:tc>
          <w:tcPr>
            <w:tcW w:w="8758" w:type="dxa"/>
            <w:shd w:val="clear" w:color="auto" w:fill="auto"/>
          </w:tcPr>
          <w:p w14:paraId="3588F535" w14:textId="77777777" w:rsidR="006633B5" w:rsidRPr="006633B5" w:rsidRDefault="006633B5" w:rsidP="00E10A24">
            <w:pPr>
              <w:pStyle w:val="Tablebody"/>
              <w:spacing w:after="80"/>
              <w:rPr>
                <w:rFonts w:eastAsiaTheme="minorHAnsi" w:cstheme="minorBidi"/>
              </w:rPr>
            </w:pPr>
            <w:r w:rsidRPr="006633B5">
              <w:t>behaviour factor component accounting for overstrength due to all other sources</w:t>
            </w:r>
          </w:p>
        </w:tc>
      </w:tr>
      <w:tr w:rsidR="006633B5" w:rsidRPr="006633B5" w14:paraId="0E931E7F" w14:textId="77777777" w:rsidTr="006633B5">
        <w:tc>
          <w:tcPr>
            <w:tcW w:w="1093" w:type="dxa"/>
            <w:shd w:val="clear" w:color="auto" w:fill="auto"/>
          </w:tcPr>
          <w:p w14:paraId="15D8EDAA" w14:textId="77777777" w:rsidR="006633B5" w:rsidRPr="006633B5" w:rsidRDefault="009B5CEC" w:rsidP="00E10A24">
            <w:pPr>
              <w:pStyle w:val="Tablebody"/>
              <w:spacing w:after="80"/>
            </w:pPr>
            <m:oMathPara>
              <m:oMathParaPr>
                <m:jc m:val="left"/>
              </m:oMathParaPr>
              <m:oMath>
                <m:sSub>
                  <m:sSubPr>
                    <m:ctrlPr>
                      <w:rPr>
                        <w:rFonts w:ascii="Cambria Math" w:hAnsi="Cambria Math"/>
                        <w:i/>
                      </w:rPr>
                    </m:ctrlPr>
                  </m:sSubPr>
                  <m:e>
                    <m:r>
                      <w:rPr>
                        <w:rFonts w:ascii="Cambria Math" w:hAnsi="Cambria Math"/>
                      </w:rPr>
                      <m:t>r</m:t>
                    </m:r>
                  </m:e>
                  <m:sub>
                    <m:r>
                      <m:rPr>
                        <m:sty m:val="p"/>
                      </m:rPr>
                      <w:rPr>
                        <w:rFonts w:ascii="Cambria Math" w:hAnsi="Cambria Math"/>
                      </w:rPr>
                      <m:t>i</m:t>
                    </m:r>
                  </m:sub>
                </m:sSub>
              </m:oMath>
            </m:oMathPara>
          </w:p>
        </w:tc>
        <w:tc>
          <w:tcPr>
            <w:tcW w:w="8758" w:type="dxa"/>
            <w:shd w:val="clear" w:color="auto" w:fill="auto"/>
          </w:tcPr>
          <w:p w14:paraId="3E225BD0" w14:textId="77777777" w:rsidR="006633B5" w:rsidRPr="006633B5" w:rsidRDefault="006633B5" w:rsidP="00E10A24">
            <w:pPr>
              <w:pStyle w:val="Tablebody"/>
              <w:spacing w:after="80"/>
            </w:pPr>
            <w:r w:rsidRPr="006633B5">
              <w:t xml:space="preserve">minimum torsional radius of the </w:t>
            </w:r>
            <w:r w:rsidRPr="006633B5">
              <w:rPr>
                <w:i/>
                <w:iCs/>
              </w:rPr>
              <w:t>i</w:t>
            </w:r>
            <w:r w:rsidRPr="006633B5">
              <w:t>-th floor</w:t>
            </w:r>
          </w:p>
        </w:tc>
      </w:tr>
      <w:tr w:rsidR="006633B5" w:rsidRPr="006633B5" w14:paraId="5AC0D096" w14:textId="77777777" w:rsidTr="006633B5">
        <w:tc>
          <w:tcPr>
            <w:tcW w:w="1093" w:type="dxa"/>
            <w:shd w:val="clear" w:color="auto" w:fill="auto"/>
          </w:tcPr>
          <w:p w14:paraId="3D05B52B" w14:textId="77777777" w:rsidR="006633B5" w:rsidRPr="006633B5" w:rsidRDefault="006633B5" w:rsidP="00E10A24">
            <w:pPr>
              <w:pStyle w:val="Tablebody"/>
              <w:spacing w:after="80"/>
            </w:pPr>
            <w:r w:rsidRPr="006633B5">
              <w:rPr>
                <w:i/>
              </w:rPr>
              <w:t>r</w:t>
            </w:r>
            <w:r w:rsidRPr="006633B5">
              <w:rPr>
                <w:vertAlign w:val="subscript"/>
              </w:rPr>
              <w:t>x</w:t>
            </w:r>
          </w:p>
        </w:tc>
        <w:tc>
          <w:tcPr>
            <w:tcW w:w="8758" w:type="dxa"/>
            <w:shd w:val="clear" w:color="auto" w:fill="auto"/>
          </w:tcPr>
          <w:p w14:paraId="1F0413F5" w14:textId="77777777" w:rsidR="006633B5" w:rsidRPr="006633B5" w:rsidRDefault="006633B5" w:rsidP="00E10A24">
            <w:pPr>
              <w:pStyle w:val="Tablebody"/>
              <w:spacing w:after="80"/>
            </w:pPr>
            <w:r w:rsidRPr="006633B5">
              <w:t xml:space="preserve">square root of the ratio of the torsional stiffness to the lateral stiffness in the </w:t>
            </w:r>
            <w:r w:rsidRPr="006633B5">
              <w:rPr>
                <w:i/>
              </w:rPr>
              <w:t>y</w:t>
            </w:r>
            <w:r w:rsidRPr="006633B5">
              <w:t xml:space="preserve"> direction (“torsional radius”)</w:t>
            </w:r>
          </w:p>
        </w:tc>
      </w:tr>
      <w:tr w:rsidR="006633B5" w:rsidRPr="006633B5" w14:paraId="160D7F6C" w14:textId="77777777" w:rsidTr="006633B5">
        <w:tc>
          <w:tcPr>
            <w:tcW w:w="1093" w:type="dxa"/>
            <w:shd w:val="clear" w:color="auto" w:fill="auto"/>
          </w:tcPr>
          <w:p w14:paraId="320EFE42" w14:textId="77777777" w:rsidR="006633B5" w:rsidRPr="006633B5" w:rsidRDefault="006633B5" w:rsidP="00E10A24">
            <w:pPr>
              <w:pStyle w:val="Tablebody"/>
              <w:spacing w:after="80"/>
            </w:pPr>
            <w:r w:rsidRPr="006633B5">
              <w:rPr>
                <w:i/>
              </w:rPr>
              <w:t>r</w:t>
            </w:r>
            <w:r w:rsidRPr="006633B5">
              <w:rPr>
                <w:vertAlign w:val="subscript"/>
              </w:rPr>
              <w:t>x,I</w:t>
            </w:r>
            <w:r w:rsidRPr="006633B5">
              <w:rPr>
                <w:i/>
              </w:rPr>
              <w:t xml:space="preserve"> , r</w:t>
            </w:r>
            <w:r w:rsidRPr="006633B5">
              <w:rPr>
                <w:vertAlign w:val="subscript"/>
              </w:rPr>
              <w:t>y,I</w:t>
            </w:r>
          </w:p>
        </w:tc>
        <w:tc>
          <w:tcPr>
            <w:tcW w:w="8758" w:type="dxa"/>
            <w:shd w:val="clear" w:color="auto" w:fill="auto"/>
          </w:tcPr>
          <w:p w14:paraId="043CF5CF" w14:textId="77777777" w:rsidR="006633B5" w:rsidRPr="006633B5" w:rsidRDefault="006633B5" w:rsidP="00E10A24">
            <w:pPr>
              <w:pStyle w:val="Tablebody"/>
              <w:spacing w:after="80"/>
            </w:pPr>
            <w:r w:rsidRPr="006633B5">
              <w:t>x component of the torsional radius (respectively y component)</w:t>
            </w:r>
          </w:p>
        </w:tc>
      </w:tr>
      <w:tr w:rsidR="006633B5" w:rsidRPr="006633B5" w14:paraId="484EDAC6" w14:textId="77777777" w:rsidTr="006633B5">
        <w:tc>
          <w:tcPr>
            <w:tcW w:w="1093" w:type="dxa"/>
            <w:shd w:val="clear" w:color="auto" w:fill="auto"/>
          </w:tcPr>
          <w:p w14:paraId="1EDE00C4" w14:textId="77777777" w:rsidR="006633B5" w:rsidRPr="006633B5" w:rsidRDefault="006633B5" w:rsidP="00E10A24">
            <w:pPr>
              <w:pStyle w:val="Tablebody"/>
              <w:spacing w:after="80"/>
            </w:pPr>
            <w:r w:rsidRPr="006633B5">
              <w:rPr>
                <w:i/>
              </w:rPr>
              <w:t>s</w:t>
            </w:r>
          </w:p>
        </w:tc>
        <w:tc>
          <w:tcPr>
            <w:tcW w:w="8758" w:type="dxa"/>
            <w:shd w:val="clear" w:color="auto" w:fill="auto"/>
          </w:tcPr>
          <w:p w14:paraId="45D03153" w14:textId="77777777" w:rsidR="006633B5" w:rsidRPr="006633B5" w:rsidRDefault="006633B5" w:rsidP="00E10A24">
            <w:pPr>
              <w:pStyle w:val="Tablebody"/>
              <w:spacing w:after="80"/>
            </w:pPr>
            <w:r w:rsidRPr="006633B5">
              <w:t>spacing of transverse shear or punching shear reinforcement</w:t>
            </w:r>
          </w:p>
        </w:tc>
      </w:tr>
      <w:tr w:rsidR="006633B5" w:rsidRPr="006633B5" w14:paraId="0CDF3A6A" w14:textId="77777777" w:rsidTr="006633B5">
        <w:tc>
          <w:tcPr>
            <w:tcW w:w="1093" w:type="dxa"/>
            <w:shd w:val="clear" w:color="auto" w:fill="auto"/>
          </w:tcPr>
          <w:p w14:paraId="142BABEF" w14:textId="77777777" w:rsidR="006633B5" w:rsidRPr="006633B5" w:rsidRDefault="006633B5" w:rsidP="00E10A24">
            <w:pPr>
              <w:pStyle w:val="Tablebody"/>
              <w:spacing w:after="80"/>
            </w:pPr>
            <w:r w:rsidRPr="006633B5">
              <w:rPr>
                <w:i/>
              </w:rPr>
              <w:t>s</w:t>
            </w:r>
            <w:r w:rsidRPr="006633B5">
              <w:rPr>
                <w:vertAlign w:val="subscript"/>
              </w:rPr>
              <w:t>h</w:t>
            </w:r>
          </w:p>
        </w:tc>
        <w:tc>
          <w:tcPr>
            <w:tcW w:w="8758" w:type="dxa"/>
            <w:shd w:val="clear" w:color="auto" w:fill="auto"/>
          </w:tcPr>
          <w:p w14:paraId="6A6FA6AB" w14:textId="77777777" w:rsidR="006633B5" w:rsidRPr="006633B5" w:rsidRDefault="006633B5" w:rsidP="00E10A24">
            <w:pPr>
              <w:pStyle w:val="Tablebody"/>
              <w:spacing w:after="80"/>
            </w:pPr>
            <w:r w:rsidRPr="006633B5">
              <w:t>distance between the centre of a plastic hinge and the column axis</w:t>
            </w:r>
          </w:p>
        </w:tc>
      </w:tr>
      <w:tr w:rsidR="006633B5" w:rsidRPr="006633B5" w14:paraId="1B0F51B8" w14:textId="77777777" w:rsidTr="006633B5">
        <w:tc>
          <w:tcPr>
            <w:tcW w:w="1093" w:type="dxa"/>
            <w:shd w:val="clear" w:color="auto" w:fill="auto"/>
          </w:tcPr>
          <w:p w14:paraId="6AD0AD3A" w14:textId="77777777" w:rsidR="006633B5" w:rsidRPr="006633B5" w:rsidRDefault="006633B5" w:rsidP="00E10A24">
            <w:pPr>
              <w:pStyle w:val="Tablebody"/>
              <w:spacing w:after="80"/>
              <w:rPr>
                <w:i/>
                <w:vertAlign w:val="subscript"/>
              </w:rPr>
            </w:pPr>
            <w:r w:rsidRPr="006633B5">
              <w:rPr>
                <w:i/>
              </w:rPr>
              <w:t>s</w:t>
            </w:r>
            <w:r w:rsidRPr="006633B5">
              <w:rPr>
                <w:vertAlign w:val="subscript"/>
              </w:rPr>
              <w:t>i</w:t>
            </w:r>
          </w:p>
        </w:tc>
        <w:tc>
          <w:tcPr>
            <w:tcW w:w="8758" w:type="dxa"/>
            <w:shd w:val="clear" w:color="auto" w:fill="auto"/>
          </w:tcPr>
          <w:p w14:paraId="6292772A" w14:textId="77777777" w:rsidR="006633B5" w:rsidRPr="006633B5" w:rsidRDefault="006633B5" w:rsidP="00E10A24">
            <w:pPr>
              <w:pStyle w:val="Tablebody"/>
              <w:spacing w:after="80"/>
            </w:pPr>
            <w:r w:rsidRPr="006633B5">
              <w:t xml:space="preserve">displacement of storey </w:t>
            </w:r>
            <w:r w:rsidRPr="006633B5">
              <w:rPr>
                <w:i/>
              </w:rPr>
              <w:t>i</w:t>
            </w:r>
            <w:r w:rsidRPr="006633B5">
              <w:t xml:space="preserve"> under horizontal unitary acceleration</w:t>
            </w:r>
          </w:p>
        </w:tc>
      </w:tr>
      <w:tr w:rsidR="006633B5" w:rsidRPr="006633B5" w14:paraId="612E01C5" w14:textId="77777777" w:rsidTr="006633B5">
        <w:tc>
          <w:tcPr>
            <w:tcW w:w="1093" w:type="dxa"/>
            <w:shd w:val="clear" w:color="auto" w:fill="auto"/>
          </w:tcPr>
          <w:p w14:paraId="35BEBB43" w14:textId="77777777" w:rsidR="006633B5" w:rsidRPr="006633B5" w:rsidRDefault="006633B5" w:rsidP="00E10A24">
            <w:pPr>
              <w:pStyle w:val="Tablebody"/>
              <w:spacing w:after="80"/>
              <w:rPr>
                <w:i/>
              </w:rPr>
            </w:pPr>
            <w:r w:rsidRPr="006633B5">
              <w:rPr>
                <w:i/>
              </w:rPr>
              <w:t>s</w:t>
            </w:r>
            <w:r w:rsidRPr="006633B5">
              <w:rPr>
                <w:i/>
                <w:vertAlign w:val="subscript"/>
              </w:rPr>
              <w:t>int</w:t>
            </w:r>
          </w:p>
        </w:tc>
        <w:tc>
          <w:tcPr>
            <w:tcW w:w="8758" w:type="dxa"/>
            <w:shd w:val="clear" w:color="auto" w:fill="auto"/>
          </w:tcPr>
          <w:p w14:paraId="7122D4C0" w14:textId="77777777" w:rsidR="006633B5" w:rsidRPr="006633B5" w:rsidRDefault="006633B5" w:rsidP="00E10A24">
            <w:pPr>
              <w:pStyle w:val="Tablebody"/>
              <w:spacing w:after="80"/>
            </w:pPr>
            <w:r w:rsidRPr="006633B5">
              <w:t>width of the integrity bars group in a flat slab</w:t>
            </w:r>
          </w:p>
        </w:tc>
      </w:tr>
      <w:tr w:rsidR="006633B5" w:rsidRPr="006633B5" w14:paraId="0209A25B" w14:textId="77777777" w:rsidTr="006633B5">
        <w:tc>
          <w:tcPr>
            <w:tcW w:w="1093" w:type="dxa"/>
            <w:shd w:val="clear" w:color="auto" w:fill="auto"/>
          </w:tcPr>
          <w:p w14:paraId="3D06BFA1" w14:textId="77777777" w:rsidR="006633B5" w:rsidRPr="006633B5" w:rsidRDefault="006633B5" w:rsidP="00E10A24">
            <w:pPr>
              <w:pStyle w:val="Tablebody"/>
              <w:spacing w:after="80"/>
              <w:rPr>
                <w:rFonts w:eastAsia="Cambria"/>
              </w:rPr>
            </w:pPr>
            <w:r w:rsidRPr="006633B5">
              <w:rPr>
                <w:rFonts w:eastAsia="Cambria"/>
                <w:i/>
                <w:iCs/>
              </w:rPr>
              <w:t>s</w:t>
            </w:r>
            <w:r w:rsidRPr="006633B5">
              <w:rPr>
                <w:rFonts w:eastAsia="Cambria"/>
                <w:vertAlign w:val="subscript"/>
              </w:rPr>
              <w:t>lap</w:t>
            </w:r>
          </w:p>
        </w:tc>
        <w:tc>
          <w:tcPr>
            <w:tcW w:w="8758" w:type="dxa"/>
            <w:shd w:val="clear" w:color="auto" w:fill="auto"/>
          </w:tcPr>
          <w:p w14:paraId="46F24DE4" w14:textId="77777777" w:rsidR="006633B5" w:rsidRPr="006633B5" w:rsidRDefault="006633B5" w:rsidP="00E10A24">
            <w:pPr>
              <w:pStyle w:val="Tablebody"/>
              <w:spacing w:after="80"/>
              <w:rPr>
                <w:lang w:eastAsia="it-IT"/>
              </w:rPr>
            </w:pPr>
            <w:r w:rsidRPr="006633B5">
              <w:t>spacing of the transverse reinforcement in a lap zone</w:t>
            </w:r>
          </w:p>
        </w:tc>
      </w:tr>
      <w:tr w:rsidR="006633B5" w:rsidRPr="006633B5" w14:paraId="6AB63E00" w14:textId="77777777" w:rsidTr="006633B5">
        <w:tc>
          <w:tcPr>
            <w:tcW w:w="1093" w:type="dxa"/>
            <w:shd w:val="clear" w:color="auto" w:fill="auto"/>
          </w:tcPr>
          <w:p w14:paraId="46A62479" w14:textId="77777777" w:rsidR="006633B5" w:rsidRPr="006633B5" w:rsidRDefault="006633B5" w:rsidP="00E10A24">
            <w:pPr>
              <w:pStyle w:val="Tablebody"/>
              <w:spacing w:after="80"/>
              <w:rPr>
                <w:vertAlign w:val="subscript"/>
              </w:rPr>
            </w:pPr>
            <w:r w:rsidRPr="006633B5">
              <w:rPr>
                <w:i/>
              </w:rPr>
              <w:t>s</w:t>
            </w:r>
            <w:r w:rsidRPr="006633B5">
              <w:rPr>
                <w:i/>
                <w:vertAlign w:val="subscript"/>
              </w:rPr>
              <w:t>s</w:t>
            </w:r>
          </w:p>
        </w:tc>
        <w:tc>
          <w:tcPr>
            <w:tcW w:w="8758" w:type="dxa"/>
            <w:shd w:val="clear" w:color="auto" w:fill="auto"/>
          </w:tcPr>
          <w:p w14:paraId="6ED1FE43" w14:textId="77777777" w:rsidR="006633B5" w:rsidRPr="006633B5" w:rsidRDefault="006633B5" w:rsidP="00E10A24">
            <w:pPr>
              <w:pStyle w:val="Tablebody"/>
              <w:spacing w:after="80"/>
            </w:pPr>
            <w:r w:rsidRPr="006633B5">
              <w:t xml:space="preserve">ratio of the required amount of energy absorption on storey </w:t>
            </w:r>
            <w:r w:rsidRPr="006633B5">
              <w:rPr>
                <w:i/>
                <w:iCs/>
              </w:rPr>
              <w:t>s</w:t>
            </w:r>
            <w:r w:rsidRPr="006633B5">
              <w:t xml:space="preserve"> to the required amount of energy absorption on the first storey</w:t>
            </w:r>
          </w:p>
        </w:tc>
      </w:tr>
      <w:tr w:rsidR="006633B5" w:rsidRPr="006633B5" w14:paraId="4876A29E" w14:textId="77777777" w:rsidTr="006633B5">
        <w:tc>
          <w:tcPr>
            <w:tcW w:w="1093" w:type="dxa"/>
            <w:shd w:val="clear" w:color="auto" w:fill="auto"/>
          </w:tcPr>
          <w:p w14:paraId="6C757770" w14:textId="77777777" w:rsidR="006633B5" w:rsidRPr="006633B5" w:rsidRDefault="006633B5" w:rsidP="00E10A24">
            <w:pPr>
              <w:pStyle w:val="Tablebody"/>
              <w:spacing w:after="80"/>
            </w:pPr>
            <w:r w:rsidRPr="006633B5">
              <w:rPr>
                <w:i/>
              </w:rPr>
              <w:t>t</w:t>
            </w:r>
          </w:p>
        </w:tc>
        <w:tc>
          <w:tcPr>
            <w:tcW w:w="8758" w:type="dxa"/>
            <w:shd w:val="clear" w:color="auto" w:fill="auto"/>
          </w:tcPr>
          <w:p w14:paraId="71740409" w14:textId="77777777" w:rsidR="006633B5" w:rsidRPr="006633B5" w:rsidRDefault="006633B5" w:rsidP="00E10A24">
            <w:pPr>
              <w:pStyle w:val="Tablebody"/>
              <w:spacing w:after="80"/>
            </w:pPr>
            <w:r w:rsidRPr="006633B5">
              <w:t>thickness</w:t>
            </w:r>
          </w:p>
        </w:tc>
      </w:tr>
      <w:tr w:rsidR="006633B5" w:rsidRPr="006633B5" w14:paraId="7DF54418" w14:textId="77777777" w:rsidTr="006633B5">
        <w:tc>
          <w:tcPr>
            <w:tcW w:w="1093" w:type="dxa"/>
            <w:shd w:val="clear" w:color="auto" w:fill="auto"/>
          </w:tcPr>
          <w:p w14:paraId="0A495939" w14:textId="77777777" w:rsidR="006633B5" w:rsidRPr="006633B5" w:rsidRDefault="006633B5" w:rsidP="00E10A24">
            <w:pPr>
              <w:pStyle w:val="Tablebody"/>
              <w:spacing w:after="80"/>
            </w:pPr>
            <w:r w:rsidRPr="006633B5">
              <w:rPr>
                <w:i/>
              </w:rPr>
              <w:t>t</w:t>
            </w:r>
            <w:r w:rsidRPr="006633B5">
              <w:rPr>
                <w:vertAlign w:val="subscript"/>
              </w:rPr>
              <w:t>b,f</w:t>
            </w:r>
          </w:p>
        </w:tc>
        <w:tc>
          <w:tcPr>
            <w:tcW w:w="8758" w:type="dxa"/>
            <w:shd w:val="clear" w:color="auto" w:fill="auto"/>
          </w:tcPr>
          <w:p w14:paraId="3AF0A0AC" w14:textId="77777777" w:rsidR="006633B5" w:rsidRPr="006633B5" w:rsidRDefault="006633B5" w:rsidP="00E10A24">
            <w:pPr>
              <w:pStyle w:val="Tablebody"/>
              <w:spacing w:after="80"/>
            </w:pPr>
            <w:r w:rsidRPr="006633B5">
              <w:t>thickness of a beam flange</w:t>
            </w:r>
          </w:p>
        </w:tc>
      </w:tr>
      <w:tr w:rsidR="006633B5" w:rsidRPr="006633B5" w14:paraId="5AE9B3A3" w14:textId="77777777" w:rsidTr="006633B5">
        <w:tc>
          <w:tcPr>
            <w:tcW w:w="1093" w:type="dxa"/>
            <w:shd w:val="clear" w:color="auto" w:fill="auto"/>
          </w:tcPr>
          <w:p w14:paraId="45423804" w14:textId="77777777" w:rsidR="006633B5" w:rsidRPr="006633B5" w:rsidRDefault="006633B5" w:rsidP="00E10A24">
            <w:pPr>
              <w:pStyle w:val="Tablebody"/>
              <w:spacing w:after="80"/>
            </w:pPr>
            <w:r w:rsidRPr="006633B5">
              <w:rPr>
                <w:i/>
              </w:rPr>
              <w:t>t</w:t>
            </w:r>
            <w:r w:rsidRPr="006633B5">
              <w:rPr>
                <w:vertAlign w:val="subscript"/>
              </w:rPr>
              <w:t>c,f</w:t>
            </w:r>
          </w:p>
        </w:tc>
        <w:tc>
          <w:tcPr>
            <w:tcW w:w="8758" w:type="dxa"/>
            <w:shd w:val="clear" w:color="auto" w:fill="auto"/>
          </w:tcPr>
          <w:p w14:paraId="186BCF7E" w14:textId="77777777" w:rsidR="006633B5" w:rsidRPr="006633B5" w:rsidRDefault="006633B5" w:rsidP="00E10A24">
            <w:pPr>
              <w:pStyle w:val="Tablebody"/>
              <w:spacing w:after="80"/>
            </w:pPr>
            <w:r w:rsidRPr="006633B5">
              <w:t>thickness of a column flange</w:t>
            </w:r>
          </w:p>
        </w:tc>
      </w:tr>
      <w:tr w:rsidR="006633B5" w:rsidRPr="006633B5" w14:paraId="75542B7F" w14:textId="77777777" w:rsidTr="006633B5">
        <w:tc>
          <w:tcPr>
            <w:tcW w:w="1093" w:type="dxa"/>
            <w:shd w:val="clear" w:color="auto" w:fill="auto"/>
          </w:tcPr>
          <w:p w14:paraId="529D577E" w14:textId="77777777" w:rsidR="006633B5" w:rsidRPr="006633B5" w:rsidRDefault="006633B5" w:rsidP="00E10A24">
            <w:pPr>
              <w:pStyle w:val="Tablebody"/>
              <w:spacing w:after="80"/>
            </w:pPr>
            <w:r w:rsidRPr="006633B5">
              <w:rPr>
                <w:i/>
              </w:rPr>
              <w:t>t</w:t>
            </w:r>
            <w:r w:rsidRPr="006633B5">
              <w:rPr>
                <w:vertAlign w:val="subscript"/>
              </w:rPr>
              <w:t>ef</w:t>
            </w:r>
          </w:p>
        </w:tc>
        <w:tc>
          <w:tcPr>
            <w:tcW w:w="8758" w:type="dxa"/>
            <w:shd w:val="clear" w:color="auto" w:fill="auto"/>
          </w:tcPr>
          <w:p w14:paraId="79327076" w14:textId="77777777" w:rsidR="006633B5" w:rsidRPr="006633B5" w:rsidRDefault="006633B5" w:rsidP="00E10A24">
            <w:pPr>
              <w:pStyle w:val="Tablebody"/>
              <w:spacing w:after="80"/>
            </w:pPr>
            <w:r w:rsidRPr="006633B5">
              <w:t>effective thickness of a masonry wall as defined in EN 1996-1-1</w:t>
            </w:r>
          </w:p>
        </w:tc>
      </w:tr>
      <w:tr w:rsidR="006633B5" w:rsidRPr="006633B5" w14:paraId="45D2AE04" w14:textId="77777777" w:rsidTr="006633B5">
        <w:tc>
          <w:tcPr>
            <w:tcW w:w="1093" w:type="dxa"/>
            <w:shd w:val="clear" w:color="auto" w:fill="auto"/>
          </w:tcPr>
          <w:p w14:paraId="39158A7E" w14:textId="77777777" w:rsidR="006633B5" w:rsidRPr="006633B5" w:rsidRDefault="006633B5" w:rsidP="00E10A24">
            <w:pPr>
              <w:pStyle w:val="Tablebody"/>
              <w:spacing w:after="80"/>
              <w:rPr>
                <w:i/>
              </w:rPr>
            </w:pPr>
            <w:r w:rsidRPr="006633B5">
              <w:rPr>
                <w:i/>
              </w:rPr>
              <w:t>t</w:t>
            </w:r>
            <w:r w:rsidRPr="006633B5">
              <w:rPr>
                <w:vertAlign w:val="subscript"/>
              </w:rPr>
              <w:t>eff,CLT,i,j</w:t>
            </w:r>
          </w:p>
        </w:tc>
        <w:tc>
          <w:tcPr>
            <w:tcW w:w="8758" w:type="dxa"/>
            <w:shd w:val="clear" w:color="auto" w:fill="auto"/>
          </w:tcPr>
          <w:p w14:paraId="0A6ED839" w14:textId="77777777" w:rsidR="006633B5" w:rsidRPr="006633B5" w:rsidRDefault="006633B5" w:rsidP="00E10A24">
            <w:pPr>
              <w:pStyle w:val="Tablebody"/>
              <w:spacing w:after="80"/>
            </w:pPr>
            <w:r w:rsidRPr="006633B5">
              <w:t xml:space="preserve">effective compressive thickness of the </w:t>
            </w:r>
            <w:r w:rsidRPr="006633B5">
              <w:rPr>
                <w:i/>
              </w:rPr>
              <w:t>j</w:t>
            </w:r>
            <w:r w:rsidRPr="006633B5">
              <w:rPr>
                <w:iCs/>
                <w:vertAlign w:val="superscript"/>
              </w:rPr>
              <w:t>th</w:t>
            </w:r>
            <w:r w:rsidRPr="006633B5">
              <w:t xml:space="preserve"> CLT shear-wall at the </w:t>
            </w:r>
            <w:r w:rsidRPr="006633B5">
              <w:rPr>
                <w:i/>
              </w:rPr>
              <w:t>i</w:t>
            </w:r>
            <w:r w:rsidRPr="006633B5">
              <w:rPr>
                <w:iCs/>
                <w:vertAlign w:val="superscript"/>
              </w:rPr>
              <w:t>th</w:t>
            </w:r>
            <w:r w:rsidRPr="006633B5">
              <w:t xml:space="preserve"> storey</w:t>
            </w:r>
          </w:p>
        </w:tc>
      </w:tr>
      <w:tr w:rsidR="006633B5" w:rsidRPr="006633B5" w14:paraId="65713174" w14:textId="77777777" w:rsidTr="006633B5">
        <w:tc>
          <w:tcPr>
            <w:tcW w:w="1093" w:type="dxa"/>
            <w:shd w:val="clear" w:color="auto" w:fill="auto"/>
          </w:tcPr>
          <w:p w14:paraId="3E6AA911" w14:textId="77777777" w:rsidR="006633B5" w:rsidRPr="006633B5" w:rsidRDefault="006633B5" w:rsidP="00E10A24">
            <w:pPr>
              <w:pStyle w:val="Tablebody"/>
              <w:spacing w:after="80"/>
            </w:pPr>
            <w:r w:rsidRPr="006633B5">
              <w:rPr>
                <w:i/>
                <w:iCs/>
              </w:rPr>
              <w:t>t</w:t>
            </w:r>
            <w:r w:rsidRPr="006633B5">
              <w:rPr>
                <w:vertAlign w:val="subscript"/>
              </w:rPr>
              <w:t>f</w:t>
            </w:r>
          </w:p>
        </w:tc>
        <w:tc>
          <w:tcPr>
            <w:tcW w:w="8758" w:type="dxa"/>
            <w:shd w:val="clear" w:color="auto" w:fill="auto"/>
          </w:tcPr>
          <w:p w14:paraId="1CE4D44F" w14:textId="77777777" w:rsidR="006633B5" w:rsidRPr="006633B5" w:rsidRDefault="006633B5" w:rsidP="00E10A24">
            <w:pPr>
              <w:pStyle w:val="Tablebody"/>
              <w:spacing w:after="80"/>
            </w:pPr>
            <w:r w:rsidRPr="006633B5">
              <w:t>steel flange thickness</w:t>
            </w:r>
          </w:p>
        </w:tc>
      </w:tr>
      <w:tr w:rsidR="006633B5" w:rsidRPr="006633B5" w14:paraId="2A3F2ECA" w14:textId="77777777" w:rsidTr="006633B5">
        <w:tc>
          <w:tcPr>
            <w:tcW w:w="1093" w:type="dxa"/>
            <w:shd w:val="clear" w:color="auto" w:fill="auto"/>
          </w:tcPr>
          <w:p w14:paraId="42832BD2" w14:textId="77777777" w:rsidR="006633B5" w:rsidRPr="006633B5" w:rsidRDefault="006633B5" w:rsidP="00E10A24">
            <w:pPr>
              <w:pStyle w:val="Tablebody"/>
              <w:spacing w:after="80"/>
            </w:pPr>
            <w:r w:rsidRPr="006633B5">
              <w:rPr>
                <w:i/>
              </w:rPr>
              <w:t>t</w:t>
            </w:r>
            <w:r w:rsidRPr="006633B5">
              <w:rPr>
                <w:vertAlign w:val="subscript"/>
              </w:rPr>
              <w:t>gp</w:t>
            </w:r>
          </w:p>
        </w:tc>
        <w:tc>
          <w:tcPr>
            <w:tcW w:w="8758" w:type="dxa"/>
            <w:shd w:val="clear" w:color="auto" w:fill="auto"/>
          </w:tcPr>
          <w:p w14:paraId="3D34FAB8" w14:textId="77777777" w:rsidR="006633B5" w:rsidRPr="006633B5" w:rsidRDefault="006633B5" w:rsidP="00E10A24">
            <w:pPr>
              <w:pStyle w:val="Tablebody"/>
              <w:spacing w:after="80"/>
            </w:pPr>
            <w:r w:rsidRPr="006633B5">
              <w:t xml:space="preserve">thickness of a gusset plate </w:t>
            </w:r>
          </w:p>
        </w:tc>
      </w:tr>
      <w:tr w:rsidR="006633B5" w:rsidRPr="006633B5" w14:paraId="466E783E" w14:textId="77777777" w:rsidTr="006633B5">
        <w:tc>
          <w:tcPr>
            <w:tcW w:w="1093" w:type="dxa"/>
            <w:shd w:val="clear" w:color="auto" w:fill="auto"/>
          </w:tcPr>
          <w:p w14:paraId="54F2D333" w14:textId="77777777" w:rsidR="006633B5" w:rsidRPr="006633B5" w:rsidRDefault="006633B5" w:rsidP="00E10A24">
            <w:pPr>
              <w:pStyle w:val="Tablebody"/>
              <w:spacing w:after="80"/>
            </w:pPr>
            <w:r w:rsidRPr="006633B5">
              <w:rPr>
                <w:i/>
              </w:rPr>
              <w:t>t</w:t>
            </w:r>
            <w:r w:rsidRPr="006633B5">
              <w:rPr>
                <w:i/>
                <w:vertAlign w:val="subscript"/>
              </w:rPr>
              <w:t>p</w:t>
            </w:r>
          </w:p>
        </w:tc>
        <w:tc>
          <w:tcPr>
            <w:tcW w:w="8758" w:type="dxa"/>
            <w:shd w:val="clear" w:color="auto" w:fill="auto"/>
          </w:tcPr>
          <w:p w14:paraId="029D20E0" w14:textId="77777777" w:rsidR="006633B5" w:rsidRPr="006633B5" w:rsidRDefault="006633B5" w:rsidP="00E10A24">
            <w:pPr>
              <w:pStyle w:val="Tablebody"/>
              <w:spacing w:after="80"/>
            </w:pPr>
            <w:r w:rsidRPr="006633B5">
              <w:t>thickness of an infill panel</w:t>
            </w:r>
          </w:p>
        </w:tc>
      </w:tr>
      <w:tr w:rsidR="006633B5" w:rsidRPr="006633B5" w14:paraId="09053369" w14:textId="77777777" w:rsidTr="006633B5">
        <w:tc>
          <w:tcPr>
            <w:tcW w:w="1093" w:type="dxa"/>
            <w:shd w:val="clear" w:color="auto" w:fill="auto"/>
          </w:tcPr>
          <w:p w14:paraId="1707B147" w14:textId="77777777" w:rsidR="006633B5" w:rsidRPr="006633B5" w:rsidRDefault="006633B5" w:rsidP="00E10A24">
            <w:pPr>
              <w:pStyle w:val="Tablebody"/>
              <w:spacing w:after="80"/>
            </w:pPr>
            <w:r w:rsidRPr="006633B5">
              <w:rPr>
                <w:i/>
              </w:rPr>
              <w:t>t</w:t>
            </w:r>
            <w:r w:rsidRPr="006633B5">
              <w:rPr>
                <w:vertAlign w:val="subscript"/>
              </w:rPr>
              <w:t>w</w:t>
            </w:r>
          </w:p>
        </w:tc>
        <w:tc>
          <w:tcPr>
            <w:tcW w:w="8758" w:type="dxa"/>
            <w:shd w:val="clear" w:color="auto" w:fill="auto"/>
          </w:tcPr>
          <w:p w14:paraId="1D28A09A" w14:textId="77777777" w:rsidR="006633B5" w:rsidRPr="006633B5" w:rsidRDefault="006633B5" w:rsidP="00E10A24">
            <w:pPr>
              <w:pStyle w:val="Tablebody"/>
              <w:spacing w:after="80"/>
            </w:pPr>
            <w:r w:rsidRPr="006633B5">
              <w:t>anchorage depth of a smooth nail</w:t>
            </w:r>
          </w:p>
        </w:tc>
      </w:tr>
      <w:tr w:rsidR="006633B5" w:rsidRPr="006633B5" w14:paraId="4F235B6A" w14:textId="77777777" w:rsidTr="006633B5">
        <w:tc>
          <w:tcPr>
            <w:tcW w:w="1093" w:type="dxa"/>
            <w:shd w:val="clear" w:color="auto" w:fill="auto"/>
          </w:tcPr>
          <w:p w14:paraId="2791FF04" w14:textId="77777777" w:rsidR="006633B5" w:rsidRPr="006633B5" w:rsidRDefault="006633B5" w:rsidP="00E10A24">
            <w:pPr>
              <w:pStyle w:val="Tablebody"/>
              <w:spacing w:after="80"/>
            </w:pPr>
            <w:r w:rsidRPr="006633B5">
              <w:rPr>
                <w:i/>
              </w:rPr>
              <w:t>t</w:t>
            </w:r>
            <w:r w:rsidRPr="006633B5">
              <w:rPr>
                <w:vertAlign w:val="subscript"/>
              </w:rPr>
              <w:t>RB</w:t>
            </w:r>
          </w:p>
        </w:tc>
        <w:tc>
          <w:tcPr>
            <w:tcW w:w="8758" w:type="dxa"/>
            <w:shd w:val="clear" w:color="auto" w:fill="auto"/>
          </w:tcPr>
          <w:p w14:paraId="26F0F4F3" w14:textId="77777777" w:rsidR="006633B5" w:rsidRPr="006633B5" w:rsidRDefault="006633B5" w:rsidP="00E10A24">
            <w:pPr>
              <w:pStyle w:val="Tablebody"/>
              <w:spacing w:after="80"/>
            </w:pPr>
            <w:r w:rsidRPr="006633B5">
              <w:t xml:space="preserve">width of reinforced concrete ring beams </w:t>
            </w:r>
          </w:p>
        </w:tc>
      </w:tr>
      <w:tr w:rsidR="006633B5" w:rsidRPr="006633B5" w14:paraId="416020D6" w14:textId="77777777" w:rsidTr="006633B5">
        <w:tc>
          <w:tcPr>
            <w:tcW w:w="1093" w:type="dxa"/>
            <w:shd w:val="clear" w:color="auto" w:fill="auto"/>
          </w:tcPr>
          <w:p w14:paraId="1A76D8D6" w14:textId="77777777" w:rsidR="006633B5" w:rsidRPr="006633B5" w:rsidRDefault="006633B5" w:rsidP="00E10A24">
            <w:pPr>
              <w:pStyle w:val="Tablebody"/>
              <w:spacing w:after="80"/>
              <w:rPr>
                <w:rFonts w:ascii="TimesNewRoman,Italic" w:hAnsi="TimesNewRoman,Italic" w:cs="TimesNewRoman,Italic"/>
                <w:i/>
                <w:iCs/>
                <w:lang w:eastAsia="de-DE"/>
              </w:rPr>
            </w:pPr>
            <w:r w:rsidRPr="006633B5">
              <w:rPr>
                <w:rFonts w:ascii="TimesNewRoman,Italic" w:hAnsi="TimesNewRoman,Italic" w:cs="TimesNewRoman,Italic"/>
                <w:i/>
                <w:lang w:eastAsia="de-DE"/>
              </w:rPr>
              <w:t>t</w:t>
            </w:r>
            <w:r w:rsidRPr="006633B5">
              <w:rPr>
                <w:iCs/>
                <w:vertAlign w:val="subscript"/>
                <w:lang w:eastAsia="de-DE"/>
              </w:rPr>
              <w:t>sp</w:t>
            </w:r>
          </w:p>
        </w:tc>
        <w:tc>
          <w:tcPr>
            <w:tcW w:w="8758" w:type="dxa"/>
            <w:shd w:val="clear" w:color="auto" w:fill="auto"/>
          </w:tcPr>
          <w:p w14:paraId="5C694FB9" w14:textId="77777777" w:rsidR="006633B5" w:rsidRPr="006633B5" w:rsidRDefault="006633B5" w:rsidP="00E10A24">
            <w:pPr>
              <w:pStyle w:val="Tablebody"/>
              <w:spacing w:after="80"/>
            </w:pPr>
            <w:r w:rsidRPr="006633B5">
              <w:rPr>
                <w:rFonts w:ascii="TimesNewRoman,Italic" w:hAnsi="TimesNewRoman,Italic" w:cs="TimesNewRoman,Italic"/>
                <w:lang w:eastAsia="de-DE"/>
              </w:rPr>
              <w:t xml:space="preserve">masonry </w:t>
            </w:r>
            <w:r w:rsidRPr="006633B5">
              <w:t>spandrel thickness</w:t>
            </w:r>
          </w:p>
        </w:tc>
      </w:tr>
      <w:tr w:rsidR="006633B5" w:rsidRPr="006633B5" w14:paraId="62F4E8DD" w14:textId="77777777" w:rsidTr="006633B5">
        <w:tc>
          <w:tcPr>
            <w:tcW w:w="1093" w:type="dxa"/>
            <w:shd w:val="clear" w:color="auto" w:fill="auto"/>
          </w:tcPr>
          <w:p w14:paraId="1FD88FC8" w14:textId="77777777" w:rsidR="006633B5" w:rsidRPr="006633B5" w:rsidRDefault="006633B5" w:rsidP="00E10A24">
            <w:pPr>
              <w:pStyle w:val="Tablebody"/>
              <w:spacing w:after="80"/>
              <w:rPr>
                <w:rFonts w:ascii="TimesNewRoman,Italic" w:hAnsi="TimesNewRoman,Italic" w:cs="TimesNewRoman,Italic"/>
                <w:i/>
                <w:iCs/>
                <w:lang w:eastAsia="de-DE"/>
              </w:rPr>
            </w:pPr>
            <w:r w:rsidRPr="006633B5">
              <w:rPr>
                <w:rFonts w:ascii="TimesNewRoman,Italic" w:hAnsi="TimesNewRoman,Italic" w:cs="TimesNewRoman,Italic"/>
                <w:i/>
                <w:lang w:eastAsia="de-DE"/>
              </w:rPr>
              <w:t>t</w:t>
            </w:r>
            <w:r w:rsidRPr="006633B5">
              <w:rPr>
                <w:iCs/>
                <w:vertAlign w:val="subscript"/>
                <w:lang w:eastAsia="de-DE"/>
              </w:rPr>
              <w:t>w</w:t>
            </w:r>
          </w:p>
        </w:tc>
        <w:tc>
          <w:tcPr>
            <w:tcW w:w="8758" w:type="dxa"/>
            <w:shd w:val="clear" w:color="auto" w:fill="auto"/>
          </w:tcPr>
          <w:p w14:paraId="52109D8F" w14:textId="77777777" w:rsidR="006633B5" w:rsidRPr="006633B5" w:rsidRDefault="006633B5" w:rsidP="00E10A24">
            <w:pPr>
              <w:pStyle w:val="Tablebody"/>
              <w:spacing w:after="80"/>
            </w:pPr>
            <w:r w:rsidRPr="006633B5">
              <w:rPr>
                <w:rFonts w:ascii="TimesNewRoman,Italic" w:hAnsi="TimesNewRoman,Italic" w:cs="TimesNewRoman,Italic"/>
                <w:lang w:eastAsia="de-DE"/>
              </w:rPr>
              <w:t xml:space="preserve">masonry </w:t>
            </w:r>
            <w:r w:rsidRPr="006633B5">
              <w:t>wall thickness / thickness of the web of a steel profile</w:t>
            </w:r>
          </w:p>
        </w:tc>
      </w:tr>
      <w:tr w:rsidR="006633B5" w:rsidRPr="006633B5" w14:paraId="5CB46F52" w14:textId="77777777" w:rsidTr="006633B5">
        <w:tc>
          <w:tcPr>
            <w:tcW w:w="1093" w:type="dxa"/>
            <w:shd w:val="clear" w:color="auto" w:fill="auto"/>
          </w:tcPr>
          <w:p w14:paraId="68965301" w14:textId="77777777" w:rsidR="006633B5" w:rsidRPr="006633B5" w:rsidRDefault="006633B5" w:rsidP="00E10A24">
            <w:pPr>
              <w:pStyle w:val="Tablebody"/>
              <w:spacing w:after="80"/>
            </w:pPr>
            <w:r w:rsidRPr="006633B5">
              <w:rPr>
                <w:i/>
                <w:iCs/>
              </w:rPr>
              <w:t>t</w:t>
            </w:r>
            <w:r w:rsidRPr="006633B5">
              <w:rPr>
                <w:vertAlign w:val="subscript"/>
              </w:rPr>
              <w:t>wsp</w:t>
            </w:r>
          </w:p>
        </w:tc>
        <w:tc>
          <w:tcPr>
            <w:tcW w:w="8758" w:type="dxa"/>
            <w:shd w:val="clear" w:color="auto" w:fill="auto"/>
          </w:tcPr>
          <w:p w14:paraId="69FB3CB4" w14:textId="77777777" w:rsidR="006633B5" w:rsidRPr="006633B5" w:rsidRDefault="006633B5" w:rsidP="00E10A24">
            <w:pPr>
              <w:pStyle w:val="Tablebody"/>
              <w:spacing w:after="80"/>
            </w:pPr>
            <w:r w:rsidRPr="006633B5">
              <w:t>thickness of a supplementary web plate</w:t>
            </w:r>
          </w:p>
        </w:tc>
      </w:tr>
      <w:tr w:rsidR="006633B5" w:rsidRPr="006633B5" w14:paraId="5F7B88A7" w14:textId="77777777" w:rsidTr="006633B5">
        <w:tc>
          <w:tcPr>
            <w:tcW w:w="1093" w:type="dxa"/>
            <w:shd w:val="clear" w:color="auto" w:fill="auto"/>
          </w:tcPr>
          <w:p w14:paraId="111F89D0" w14:textId="77777777" w:rsidR="006633B5" w:rsidRPr="006633B5" w:rsidRDefault="006633B5" w:rsidP="00E10A24">
            <w:pPr>
              <w:pStyle w:val="Tablebody"/>
              <w:spacing w:after="80"/>
              <w:rPr>
                <w:rFonts w:ascii="TimesNewRoman,Italic" w:hAnsi="TimesNewRoman,Italic" w:cs="TimesNewRoman,Italic"/>
                <w:iCs/>
                <w:lang w:eastAsia="de-DE"/>
              </w:rPr>
            </w:pPr>
            <w:r w:rsidRPr="006633B5">
              <w:rPr>
                <w:rFonts w:ascii="TimesNewRoman,Italic" w:hAnsi="TimesNewRoman,Italic" w:cs="TimesNewRoman,Italic"/>
                <w:i/>
                <w:lang w:eastAsia="de-DE"/>
              </w:rPr>
              <w:t>u</w:t>
            </w:r>
            <w:r w:rsidRPr="006633B5">
              <w:rPr>
                <w:rFonts w:ascii="TimesNewRoman,Italic" w:hAnsi="TimesNewRoman,Italic" w:cs="TimesNewRoman,Italic"/>
                <w:iCs/>
                <w:vertAlign w:val="subscript"/>
                <w:lang w:eastAsia="de-DE"/>
              </w:rPr>
              <w:t>ult</w:t>
            </w:r>
          </w:p>
        </w:tc>
        <w:tc>
          <w:tcPr>
            <w:tcW w:w="8758" w:type="dxa"/>
            <w:shd w:val="clear" w:color="auto" w:fill="auto"/>
          </w:tcPr>
          <w:p w14:paraId="01F6AF0F" w14:textId="77777777" w:rsidR="006633B5" w:rsidRPr="006633B5" w:rsidRDefault="006633B5" w:rsidP="00E10A24">
            <w:pPr>
              <w:pStyle w:val="Tablebody"/>
              <w:spacing w:after="80"/>
              <w:rPr>
                <w:iCs/>
              </w:rPr>
            </w:pPr>
            <w:r w:rsidRPr="006633B5">
              <w:t xml:space="preserve">interstorey displacement in direction </w:t>
            </w:r>
            <w:r w:rsidRPr="006633B5">
              <w:rPr>
                <w:i/>
              </w:rPr>
              <w:t>x</w:t>
            </w:r>
            <w:r w:rsidRPr="006633B5">
              <w:t xml:space="preserve"> (respectively </w:t>
            </w:r>
            <w:r w:rsidRPr="006633B5">
              <w:rPr>
                <w:i/>
                <w:iCs/>
              </w:rPr>
              <w:t>y</w:t>
            </w:r>
            <w:r w:rsidRPr="006633B5">
              <w:t xml:space="preserve">) at the pier where the shear force is incremented, corresponding to the attainment of the ultimate rotation in any pier of the storey along direction </w:t>
            </w:r>
            <w:r w:rsidRPr="006633B5">
              <w:rPr>
                <w:i/>
              </w:rPr>
              <w:t xml:space="preserve">x </w:t>
            </w:r>
            <w:r w:rsidRPr="006633B5">
              <w:rPr>
                <w:iCs/>
              </w:rPr>
              <w:t xml:space="preserve">(respectively </w:t>
            </w:r>
            <w:r w:rsidRPr="006633B5">
              <w:rPr>
                <w:i/>
              </w:rPr>
              <w:t>y</w:t>
            </w:r>
            <w:r w:rsidRPr="006633B5">
              <w:rPr>
                <w:iCs/>
              </w:rPr>
              <w:t>)</w:t>
            </w:r>
          </w:p>
        </w:tc>
      </w:tr>
      <w:tr w:rsidR="006633B5" w:rsidRPr="006633B5" w14:paraId="181E0262" w14:textId="77777777" w:rsidTr="006633B5">
        <w:tc>
          <w:tcPr>
            <w:tcW w:w="1093" w:type="dxa"/>
            <w:shd w:val="clear" w:color="auto" w:fill="auto"/>
          </w:tcPr>
          <w:p w14:paraId="213664AF" w14:textId="77777777" w:rsidR="006633B5" w:rsidRPr="006633B5" w:rsidRDefault="006633B5" w:rsidP="00E10A24">
            <w:pPr>
              <w:pStyle w:val="Tablebody"/>
              <w:spacing w:after="80"/>
            </w:pPr>
            <w:r w:rsidRPr="006633B5">
              <w:rPr>
                <w:i/>
              </w:rPr>
              <w:lastRenderedPageBreak/>
              <w:t>w</w:t>
            </w:r>
            <w:r w:rsidRPr="006633B5">
              <w:rPr>
                <w:vertAlign w:val="subscript"/>
              </w:rPr>
              <w:t>gp</w:t>
            </w:r>
          </w:p>
        </w:tc>
        <w:tc>
          <w:tcPr>
            <w:tcW w:w="8758" w:type="dxa"/>
            <w:shd w:val="clear" w:color="auto" w:fill="auto"/>
          </w:tcPr>
          <w:p w14:paraId="3EC14446" w14:textId="77777777" w:rsidR="006633B5" w:rsidRPr="006633B5" w:rsidRDefault="006633B5" w:rsidP="00E10A24">
            <w:pPr>
              <w:pStyle w:val="Tablebody"/>
              <w:spacing w:after="80"/>
            </w:pPr>
            <w:r w:rsidRPr="006633B5">
              <w:t>effective width of a gusset plate</w:t>
            </w:r>
          </w:p>
        </w:tc>
      </w:tr>
      <w:tr w:rsidR="006633B5" w:rsidRPr="006633B5" w14:paraId="25CA3929" w14:textId="77777777" w:rsidTr="006633B5">
        <w:tc>
          <w:tcPr>
            <w:tcW w:w="1093" w:type="dxa"/>
            <w:shd w:val="clear" w:color="auto" w:fill="auto"/>
          </w:tcPr>
          <w:p w14:paraId="524E2192" w14:textId="77777777" w:rsidR="006633B5" w:rsidRPr="006633B5" w:rsidRDefault="006633B5" w:rsidP="00E10A24">
            <w:pPr>
              <w:pStyle w:val="Tablebody"/>
              <w:spacing w:after="80"/>
            </w:pPr>
            <w:r w:rsidRPr="006633B5">
              <w:rPr>
                <w:i/>
              </w:rPr>
              <w:t>w</w:t>
            </w:r>
            <w:r w:rsidRPr="006633B5">
              <w:rPr>
                <w:i/>
                <w:vertAlign w:val="subscript"/>
              </w:rPr>
              <w:t>s</w:t>
            </w:r>
          </w:p>
        </w:tc>
        <w:tc>
          <w:tcPr>
            <w:tcW w:w="8758" w:type="dxa"/>
            <w:shd w:val="clear" w:color="auto" w:fill="auto"/>
          </w:tcPr>
          <w:p w14:paraId="1A6AD22E" w14:textId="77777777" w:rsidR="006633B5" w:rsidRPr="006633B5" w:rsidRDefault="006633B5" w:rsidP="00E10A24">
            <w:pPr>
              <w:pStyle w:val="Tablebody"/>
              <w:spacing w:after="80"/>
            </w:pPr>
            <w:r w:rsidRPr="006633B5">
              <w:t>width of the compression strut in an infill panel</w:t>
            </w:r>
          </w:p>
        </w:tc>
      </w:tr>
      <w:tr w:rsidR="006633B5" w:rsidRPr="006633B5" w14:paraId="0AFE4370" w14:textId="77777777" w:rsidTr="006633B5">
        <w:tc>
          <w:tcPr>
            <w:tcW w:w="1093" w:type="dxa"/>
            <w:shd w:val="clear" w:color="auto" w:fill="auto"/>
          </w:tcPr>
          <w:p w14:paraId="59FF922A" w14:textId="77777777" w:rsidR="006633B5" w:rsidRPr="006633B5" w:rsidRDefault="006633B5" w:rsidP="00E10A24">
            <w:pPr>
              <w:pStyle w:val="Tablebody"/>
              <w:spacing w:after="80"/>
            </w:pPr>
            <w:r w:rsidRPr="006633B5">
              <w:rPr>
                <w:i/>
                <w:iCs/>
              </w:rPr>
              <w:t>w</w:t>
            </w:r>
            <w:r w:rsidRPr="006633B5">
              <w:rPr>
                <w:i/>
                <w:iCs/>
                <w:vertAlign w:val="subscript"/>
              </w:rPr>
              <w:t>w</w:t>
            </w:r>
          </w:p>
        </w:tc>
        <w:tc>
          <w:tcPr>
            <w:tcW w:w="8758" w:type="dxa"/>
            <w:shd w:val="clear" w:color="auto" w:fill="auto"/>
          </w:tcPr>
          <w:p w14:paraId="3C973EE8" w14:textId="77777777" w:rsidR="006633B5" w:rsidRPr="006633B5" w:rsidRDefault="006633B5" w:rsidP="00E10A24">
            <w:pPr>
              <w:pStyle w:val="Tablebody"/>
              <w:spacing w:after="80"/>
            </w:pPr>
            <w:r w:rsidRPr="006633B5">
              <w:t>wall length in light weight steel structures</w:t>
            </w:r>
          </w:p>
        </w:tc>
      </w:tr>
      <w:tr w:rsidR="006633B5" w:rsidRPr="006633B5" w14:paraId="42F25247" w14:textId="77777777" w:rsidTr="006633B5">
        <w:tc>
          <w:tcPr>
            <w:tcW w:w="1093" w:type="dxa"/>
            <w:shd w:val="clear" w:color="auto" w:fill="auto"/>
          </w:tcPr>
          <w:p w14:paraId="576DC9DF" w14:textId="77777777" w:rsidR="006633B5" w:rsidRPr="006633B5" w:rsidRDefault="006633B5" w:rsidP="00E10A24">
            <w:pPr>
              <w:pStyle w:val="Tablebody"/>
              <w:spacing w:after="80"/>
            </w:pPr>
            <w:r w:rsidRPr="006633B5">
              <w:rPr>
                <w:i/>
                <w:iCs/>
              </w:rPr>
              <w:t>w</w:t>
            </w:r>
            <w:r w:rsidRPr="006633B5">
              <w:rPr>
                <w:i/>
                <w:iCs/>
                <w:vertAlign w:val="subscript"/>
              </w:rPr>
              <w:t>w,eff</w:t>
            </w:r>
          </w:p>
        </w:tc>
        <w:tc>
          <w:tcPr>
            <w:tcW w:w="8758" w:type="dxa"/>
            <w:shd w:val="clear" w:color="auto" w:fill="auto"/>
          </w:tcPr>
          <w:p w14:paraId="29E653F8" w14:textId="77777777" w:rsidR="006633B5" w:rsidRPr="006633B5" w:rsidRDefault="006633B5" w:rsidP="00E10A24">
            <w:pPr>
              <w:pStyle w:val="Tablebody"/>
              <w:spacing w:after="80"/>
            </w:pPr>
            <w:r w:rsidRPr="006633B5">
              <w:t>effective wall length in light weight steel structures</w:t>
            </w:r>
          </w:p>
        </w:tc>
      </w:tr>
      <w:tr w:rsidR="006633B5" w:rsidRPr="006633B5" w14:paraId="5D84B363" w14:textId="77777777" w:rsidTr="006633B5">
        <w:tc>
          <w:tcPr>
            <w:tcW w:w="1093" w:type="dxa"/>
            <w:shd w:val="clear" w:color="auto" w:fill="auto"/>
          </w:tcPr>
          <w:p w14:paraId="654B483B" w14:textId="77777777" w:rsidR="006633B5" w:rsidRPr="006633B5" w:rsidRDefault="006633B5" w:rsidP="00E10A24">
            <w:pPr>
              <w:pStyle w:val="Tablebody"/>
              <w:spacing w:after="80"/>
            </w:pPr>
            <w:r w:rsidRPr="006633B5">
              <w:rPr>
                <w:i/>
              </w:rPr>
              <w:t>x</w:t>
            </w:r>
          </w:p>
        </w:tc>
        <w:tc>
          <w:tcPr>
            <w:tcW w:w="8758" w:type="dxa"/>
            <w:shd w:val="clear" w:color="auto" w:fill="auto"/>
          </w:tcPr>
          <w:p w14:paraId="141EE27E" w14:textId="77777777" w:rsidR="006633B5" w:rsidRPr="006633B5" w:rsidRDefault="006633B5" w:rsidP="00E10A24">
            <w:pPr>
              <w:pStyle w:val="Tablebody"/>
              <w:spacing w:after="80"/>
            </w:pPr>
            <w:r w:rsidRPr="006633B5">
              <w:t>distance of the element under consideration from the centre of mass of the building in plan, measured perpendicularly to the direction of the seismic action considered</w:t>
            </w:r>
          </w:p>
        </w:tc>
      </w:tr>
      <w:tr w:rsidR="006633B5" w:rsidRPr="006633B5" w14:paraId="7FB57314" w14:textId="77777777" w:rsidTr="006633B5">
        <w:tc>
          <w:tcPr>
            <w:tcW w:w="1093" w:type="dxa"/>
            <w:shd w:val="clear" w:color="auto" w:fill="auto"/>
          </w:tcPr>
          <w:p w14:paraId="46E2B2E8" w14:textId="77777777" w:rsidR="006633B5" w:rsidRPr="006633B5" w:rsidRDefault="006633B5" w:rsidP="00E10A24">
            <w:pPr>
              <w:pStyle w:val="Tablebody"/>
              <w:spacing w:after="80"/>
              <w:rPr>
                <w:i/>
              </w:rPr>
            </w:pPr>
            <w:r w:rsidRPr="006633B5">
              <w:rPr>
                <w:i/>
              </w:rPr>
              <w:t>x</w:t>
            </w:r>
            <w:r w:rsidRPr="006633B5">
              <w:rPr>
                <w:vertAlign w:val="subscript"/>
              </w:rPr>
              <w:t>c</w:t>
            </w:r>
          </w:p>
        </w:tc>
        <w:tc>
          <w:tcPr>
            <w:tcW w:w="8758" w:type="dxa"/>
            <w:shd w:val="clear" w:color="auto" w:fill="auto"/>
          </w:tcPr>
          <w:p w14:paraId="01F6553D" w14:textId="77777777" w:rsidR="006633B5" w:rsidRPr="006633B5" w:rsidRDefault="006633B5" w:rsidP="00E10A24">
            <w:pPr>
              <w:pStyle w:val="Tablebody"/>
              <w:spacing w:after="80"/>
            </w:pPr>
            <w:r w:rsidRPr="006633B5">
              <w:t>length of the compression zone</w:t>
            </w:r>
          </w:p>
        </w:tc>
      </w:tr>
      <w:tr w:rsidR="006633B5" w:rsidRPr="006633B5" w14:paraId="17D78035" w14:textId="77777777" w:rsidTr="006633B5">
        <w:tc>
          <w:tcPr>
            <w:tcW w:w="1093" w:type="dxa"/>
            <w:shd w:val="clear" w:color="auto" w:fill="auto"/>
          </w:tcPr>
          <w:p w14:paraId="6F0CC6B1" w14:textId="77777777" w:rsidR="006633B5" w:rsidRPr="006633B5" w:rsidRDefault="006633B5" w:rsidP="00E10A24">
            <w:pPr>
              <w:pStyle w:val="Tablebody"/>
              <w:spacing w:after="80"/>
            </w:pPr>
            <w:r w:rsidRPr="006633B5">
              <w:rPr>
                <w:i/>
              </w:rPr>
              <w:t>z</w:t>
            </w:r>
          </w:p>
        </w:tc>
        <w:tc>
          <w:tcPr>
            <w:tcW w:w="8758" w:type="dxa"/>
            <w:shd w:val="clear" w:color="auto" w:fill="auto"/>
          </w:tcPr>
          <w:p w14:paraId="582F5B07" w14:textId="77777777" w:rsidR="006633B5" w:rsidRPr="006633B5" w:rsidRDefault="006633B5" w:rsidP="00E10A24">
            <w:pPr>
              <w:pStyle w:val="Tablebody"/>
              <w:spacing w:after="80"/>
            </w:pPr>
            <w:r w:rsidRPr="006633B5">
              <w:t>distance along the wall height</w:t>
            </w:r>
          </w:p>
        </w:tc>
      </w:tr>
      <w:tr w:rsidR="006633B5" w:rsidRPr="006633B5" w14:paraId="7AFA473B" w14:textId="77777777" w:rsidTr="006633B5">
        <w:tc>
          <w:tcPr>
            <w:tcW w:w="1093" w:type="dxa"/>
            <w:shd w:val="clear" w:color="auto" w:fill="auto"/>
          </w:tcPr>
          <w:p w14:paraId="415E2F12" w14:textId="77777777" w:rsidR="006633B5" w:rsidRPr="006633B5" w:rsidRDefault="006633B5" w:rsidP="00E10A24">
            <w:pPr>
              <w:pStyle w:val="Tablebody"/>
              <w:spacing w:after="80"/>
            </w:pPr>
            <w:r w:rsidRPr="006633B5">
              <w:rPr>
                <w:i/>
              </w:rPr>
              <w:t>z</w:t>
            </w:r>
            <w:r w:rsidRPr="006633B5">
              <w:rPr>
                <w:iCs/>
                <w:vertAlign w:val="subscript"/>
              </w:rPr>
              <w:t>c</w:t>
            </w:r>
          </w:p>
        </w:tc>
        <w:tc>
          <w:tcPr>
            <w:tcW w:w="8758" w:type="dxa"/>
            <w:shd w:val="clear" w:color="auto" w:fill="auto"/>
          </w:tcPr>
          <w:p w14:paraId="554099C2" w14:textId="77777777" w:rsidR="006633B5" w:rsidRPr="006633B5" w:rsidRDefault="006633B5" w:rsidP="00E10A24">
            <w:pPr>
              <w:pStyle w:val="Tablebody"/>
              <w:spacing w:after="80"/>
            </w:pPr>
            <w:r w:rsidRPr="006633B5">
              <w:t>plastic neutral axis</w:t>
            </w:r>
            <w:r w:rsidRPr="006633B5" w:rsidDel="00E43A63">
              <w:t xml:space="preserve"> </w:t>
            </w:r>
            <w:r w:rsidRPr="006633B5">
              <w:t>depth of a composite section</w:t>
            </w:r>
          </w:p>
        </w:tc>
      </w:tr>
      <w:tr w:rsidR="006633B5" w:rsidRPr="006633B5" w14:paraId="793B66F8" w14:textId="77777777" w:rsidTr="006633B5">
        <w:tc>
          <w:tcPr>
            <w:tcW w:w="1093" w:type="dxa"/>
            <w:shd w:val="clear" w:color="auto" w:fill="auto"/>
          </w:tcPr>
          <w:p w14:paraId="6E8BA149" w14:textId="77777777" w:rsidR="006633B5" w:rsidRPr="006633B5" w:rsidRDefault="006633B5" w:rsidP="00E10A24">
            <w:pPr>
              <w:pStyle w:val="Tablebody"/>
              <w:spacing w:after="80"/>
            </w:pPr>
            <w:r w:rsidRPr="006633B5">
              <w:rPr>
                <w:i/>
              </w:rPr>
              <w:t>z</w:t>
            </w:r>
            <w:r w:rsidRPr="006633B5">
              <w:rPr>
                <w:vertAlign w:val="subscript"/>
              </w:rPr>
              <w:t>i</w:t>
            </w:r>
            <w:r w:rsidRPr="006633B5">
              <w:t xml:space="preserve">, </w:t>
            </w:r>
            <w:r w:rsidRPr="006633B5">
              <w:rPr>
                <w:i/>
              </w:rPr>
              <w:t>z</w:t>
            </w:r>
            <w:r w:rsidRPr="006633B5">
              <w:rPr>
                <w:vertAlign w:val="subscript"/>
              </w:rPr>
              <w:t>j</w:t>
            </w:r>
          </w:p>
        </w:tc>
        <w:tc>
          <w:tcPr>
            <w:tcW w:w="8758" w:type="dxa"/>
            <w:shd w:val="clear" w:color="auto" w:fill="auto"/>
          </w:tcPr>
          <w:p w14:paraId="7DB75B49" w14:textId="77777777" w:rsidR="006633B5" w:rsidRPr="006633B5" w:rsidRDefault="006633B5" w:rsidP="00E10A24">
            <w:pPr>
              <w:pStyle w:val="Tablebody"/>
              <w:spacing w:after="80"/>
            </w:pPr>
            <w:r w:rsidRPr="006633B5">
              <w:t xml:space="preserve">heights of the masses </w:t>
            </w:r>
            <w:r w:rsidRPr="006633B5">
              <w:rPr>
                <w:i/>
              </w:rPr>
              <w:t>m</w:t>
            </w:r>
            <w:r w:rsidRPr="006633B5">
              <w:rPr>
                <w:vertAlign w:val="subscript"/>
              </w:rPr>
              <w:t>i</w:t>
            </w:r>
            <w:r w:rsidRPr="006633B5">
              <w:t xml:space="preserve"> and </w:t>
            </w:r>
            <w:r w:rsidRPr="006633B5">
              <w:rPr>
                <w:i/>
              </w:rPr>
              <w:t>m</w:t>
            </w:r>
            <w:r w:rsidRPr="006633B5">
              <w:rPr>
                <w:vertAlign w:val="subscript"/>
              </w:rPr>
              <w:t>j</w:t>
            </w:r>
            <w:r w:rsidRPr="006633B5">
              <w:t xml:space="preserve"> above the level of application of the seismic action (foundation or top of a rigid basement)</w:t>
            </w:r>
          </w:p>
        </w:tc>
      </w:tr>
    </w:tbl>
    <w:p w14:paraId="3173452A" w14:textId="72FF7039" w:rsidR="001470F6" w:rsidRPr="00870D59" w:rsidRDefault="007425C2" w:rsidP="00E36131">
      <w:pPr>
        <w:pStyle w:val="Heading4"/>
      </w:pPr>
      <w:r w:rsidRPr="00870D59">
        <w:t>Upper case Greek symbols</w:t>
      </w:r>
    </w:p>
    <w:tbl>
      <w:tblPr>
        <w:tblW w:w="0" w:type="auto"/>
        <w:tblInd w:w="-100" w:type="dxa"/>
        <w:tblCellMar>
          <w:left w:w="100" w:type="dxa"/>
        </w:tblCellMar>
        <w:tblLook w:val="0000" w:firstRow="0" w:lastRow="0" w:firstColumn="0" w:lastColumn="0" w:noHBand="0" w:noVBand="0"/>
      </w:tblPr>
      <w:tblGrid>
        <w:gridCol w:w="1093"/>
        <w:gridCol w:w="8758"/>
      </w:tblGrid>
      <w:tr w:rsidR="006633B5" w:rsidRPr="006633B5" w14:paraId="61EE3FBA" w14:textId="77777777" w:rsidTr="006633B5">
        <w:tc>
          <w:tcPr>
            <w:tcW w:w="1093" w:type="dxa"/>
            <w:shd w:val="clear" w:color="auto" w:fill="auto"/>
          </w:tcPr>
          <w:p w14:paraId="240D1EFD" w14:textId="77777777" w:rsidR="006633B5" w:rsidRPr="006633B5" w:rsidRDefault="006633B5" w:rsidP="00E10A24">
            <w:pPr>
              <w:pStyle w:val="Tablebody"/>
              <w:spacing w:after="80"/>
              <w:rPr>
                <w:i/>
                <w:vertAlign w:val="subscript"/>
              </w:rPr>
            </w:pPr>
            <w:r w:rsidRPr="006633B5">
              <w:rPr>
                <w:rFonts w:ascii="Symbol" w:eastAsia="Symbol" w:hAnsi="Symbol" w:cs="Symbol"/>
                <w:i/>
              </w:rPr>
              <w:t></w:t>
            </w:r>
            <w:r w:rsidRPr="006633B5">
              <w:rPr>
                <w:iCs/>
                <w:vertAlign w:val="subscript"/>
              </w:rPr>
              <w:t>1</w:t>
            </w:r>
          </w:p>
        </w:tc>
        <w:tc>
          <w:tcPr>
            <w:tcW w:w="8758" w:type="dxa"/>
            <w:shd w:val="clear" w:color="auto" w:fill="auto"/>
          </w:tcPr>
          <w:p w14:paraId="266A954C" w14:textId="77777777" w:rsidR="006633B5" w:rsidRPr="006633B5" w:rsidRDefault="006633B5" w:rsidP="00E10A24">
            <w:pPr>
              <w:pStyle w:val="Tablebody"/>
              <w:spacing w:after="80"/>
            </w:pPr>
            <w:r w:rsidRPr="006633B5">
              <w:t xml:space="preserve">first mode participation factor of a structure with energy dissipation system in the elastic range </w:t>
            </w:r>
          </w:p>
        </w:tc>
      </w:tr>
      <w:tr w:rsidR="006633B5" w:rsidRPr="006633B5" w14:paraId="6E2F78B6" w14:textId="77777777" w:rsidTr="006633B5">
        <w:tc>
          <w:tcPr>
            <w:tcW w:w="1093" w:type="dxa"/>
            <w:shd w:val="clear" w:color="auto" w:fill="auto"/>
          </w:tcPr>
          <w:p w14:paraId="0C0FA87A" w14:textId="77777777" w:rsidR="006633B5" w:rsidRPr="006633B5" w:rsidRDefault="006633B5" w:rsidP="00E10A24">
            <w:pPr>
              <w:pStyle w:val="Tablebody"/>
              <w:spacing w:after="80"/>
            </w:pPr>
            <w:r w:rsidRPr="006633B5">
              <w:rPr>
                <w:i/>
              </w:rPr>
              <w:t>Γ</w:t>
            </w:r>
            <w:r w:rsidRPr="006633B5">
              <w:rPr>
                <w:iCs/>
                <w:vertAlign w:val="subscript"/>
              </w:rPr>
              <w:t>i</w:t>
            </w:r>
          </w:p>
        </w:tc>
        <w:tc>
          <w:tcPr>
            <w:tcW w:w="8758" w:type="dxa"/>
            <w:shd w:val="clear" w:color="auto" w:fill="auto"/>
          </w:tcPr>
          <w:p w14:paraId="4FBF04FF" w14:textId="77777777" w:rsidR="006633B5" w:rsidRPr="006633B5" w:rsidRDefault="006633B5" w:rsidP="00E10A24">
            <w:pPr>
              <w:pStyle w:val="Tablebody"/>
              <w:spacing w:after="80"/>
            </w:pPr>
            <w:r w:rsidRPr="006633B5">
              <w:t xml:space="preserve">modal participation factor for the </w:t>
            </w:r>
            <w:r w:rsidRPr="006633B5">
              <w:rPr>
                <w:i/>
                <w:iCs/>
              </w:rPr>
              <w:t>i</w:t>
            </w:r>
            <w:r w:rsidRPr="006633B5">
              <w:rPr>
                <w:vertAlign w:val="superscript"/>
              </w:rPr>
              <w:t>th</w:t>
            </w:r>
            <w:r w:rsidRPr="006633B5">
              <w:t xml:space="preserve"> mode </w:t>
            </w:r>
          </w:p>
        </w:tc>
      </w:tr>
      <w:tr w:rsidR="006633B5" w:rsidRPr="006633B5" w14:paraId="7F5DD204" w14:textId="77777777" w:rsidTr="006633B5">
        <w:tc>
          <w:tcPr>
            <w:tcW w:w="1093" w:type="dxa"/>
            <w:shd w:val="clear" w:color="auto" w:fill="auto"/>
          </w:tcPr>
          <w:p w14:paraId="2E36C24C" w14:textId="77777777" w:rsidR="006633B5" w:rsidRPr="006633B5" w:rsidRDefault="006633B5" w:rsidP="00E10A24">
            <w:pPr>
              <w:pStyle w:val="Tablebody"/>
              <w:spacing w:after="80"/>
              <w:rPr>
                <w:i/>
                <w:vertAlign w:val="subscript"/>
              </w:rPr>
            </w:pPr>
            <w:r w:rsidRPr="006633B5">
              <w:rPr>
                <w:rFonts w:ascii="Symbol" w:eastAsia="Symbol" w:hAnsi="Symbol" w:cs="Symbol"/>
                <w:i/>
              </w:rPr>
              <w:t></w:t>
            </w:r>
            <w:r w:rsidRPr="006633B5">
              <w:rPr>
                <w:iCs/>
                <w:vertAlign w:val="subscript"/>
              </w:rPr>
              <w:t>f1</w:t>
            </w:r>
          </w:p>
        </w:tc>
        <w:tc>
          <w:tcPr>
            <w:tcW w:w="8758" w:type="dxa"/>
            <w:shd w:val="clear" w:color="auto" w:fill="auto"/>
          </w:tcPr>
          <w:p w14:paraId="05C8B1E8" w14:textId="77777777" w:rsidR="006633B5" w:rsidRPr="006633B5" w:rsidRDefault="006633B5" w:rsidP="00E10A24">
            <w:pPr>
              <w:pStyle w:val="Tablebody"/>
              <w:spacing w:after="80"/>
            </w:pPr>
            <w:r w:rsidRPr="006633B5">
              <w:t xml:space="preserve">first mode participation factor of the main structural system in elastic conditions, exclusive of the energy dissipation system </w:t>
            </w:r>
          </w:p>
        </w:tc>
      </w:tr>
      <w:tr w:rsidR="006633B5" w:rsidRPr="006633B5" w14:paraId="2065F727" w14:textId="77777777" w:rsidTr="006633B5">
        <w:tc>
          <w:tcPr>
            <w:tcW w:w="1093" w:type="dxa"/>
            <w:shd w:val="clear" w:color="auto" w:fill="auto"/>
          </w:tcPr>
          <w:p w14:paraId="4D4EE142" w14:textId="77777777" w:rsidR="006633B5" w:rsidRPr="006633B5" w:rsidRDefault="006633B5" w:rsidP="00E10A24">
            <w:pPr>
              <w:pStyle w:val="Tablebody"/>
              <w:spacing w:after="80"/>
            </w:pPr>
            <w:r w:rsidRPr="006633B5">
              <w:rPr>
                <w:rFonts w:ascii="Symbol" w:eastAsia="Symbol" w:hAnsi="Symbol" w:cs="Symbol"/>
                <w:i/>
              </w:rPr>
              <w:t></w:t>
            </w:r>
            <w:r w:rsidRPr="006633B5">
              <w:rPr>
                <w:iCs/>
                <w:vertAlign w:val="subscript"/>
              </w:rPr>
              <w:t>m</w:t>
            </w:r>
          </w:p>
        </w:tc>
        <w:tc>
          <w:tcPr>
            <w:tcW w:w="8758" w:type="dxa"/>
            <w:shd w:val="clear" w:color="auto" w:fill="auto"/>
          </w:tcPr>
          <w:p w14:paraId="662479EA" w14:textId="77777777" w:rsidR="006633B5" w:rsidRPr="006633B5" w:rsidRDefault="006633B5" w:rsidP="00E10A24">
            <w:pPr>
              <w:pStyle w:val="Tablebody"/>
              <w:spacing w:after="80"/>
            </w:pPr>
            <w:r w:rsidRPr="006633B5">
              <w:rPr>
                <w:i/>
                <w:iCs/>
              </w:rPr>
              <w:t>m</w:t>
            </w:r>
            <w:r w:rsidRPr="006633B5">
              <w:t xml:space="preserve">-th mode participation factor of a structure with energy dissipation system in the elastic range </w:t>
            </w:r>
          </w:p>
        </w:tc>
      </w:tr>
      <w:tr w:rsidR="006633B5" w:rsidRPr="006633B5" w14:paraId="3C9C91E7" w14:textId="77777777" w:rsidTr="006633B5">
        <w:tc>
          <w:tcPr>
            <w:tcW w:w="1093" w:type="dxa"/>
            <w:shd w:val="clear" w:color="auto" w:fill="auto"/>
          </w:tcPr>
          <w:p w14:paraId="02C7514A" w14:textId="77777777" w:rsidR="006633B5" w:rsidRPr="006633B5" w:rsidRDefault="006633B5" w:rsidP="00E10A24">
            <w:pPr>
              <w:pStyle w:val="Tablebody"/>
              <w:spacing w:after="80"/>
              <w:rPr>
                <w:i/>
                <w:vertAlign w:val="subscript"/>
              </w:rPr>
            </w:pPr>
            <w:r w:rsidRPr="006633B5">
              <w:rPr>
                <w:rFonts w:ascii="Symbol" w:eastAsia="Symbol" w:hAnsi="Symbol" w:cs="Symbol"/>
                <w:i/>
                <w:iCs/>
              </w:rPr>
              <w:t></w:t>
            </w:r>
            <w:r w:rsidRPr="006633B5">
              <w:rPr>
                <w:i/>
              </w:rPr>
              <w:t>d</w:t>
            </w:r>
            <w:r w:rsidRPr="006633B5">
              <w:rPr>
                <w:iCs/>
                <w:vertAlign w:val="subscript"/>
              </w:rPr>
              <w:t>j1</w:t>
            </w:r>
          </w:p>
        </w:tc>
        <w:tc>
          <w:tcPr>
            <w:tcW w:w="8758" w:type="dxa"/>
            <w:shd w:val="clear" w:color="auto" w:fill="auto"/>
          </w:tcPr>
          <w:p w14:paraId="33862740" w14:textId="77777777" w:rsidR="006633B5" w:rsidRPr="006633B5" w:rsidRDefault="006633B5" w:rsidP="00E10A24">
            <w:pPr>
              <w:pStyle w:val="Tablebody"/>
              <w:spacing w:after="80"/>
            </w:pPr>
            <w:r w:rsidRPr="006633B5">
              <w:t xml:space="preserve">relative displacement between each end of the energy dissipation device measured along its axis in the first mode </w:t>
            </w:r>
          </w:p>
        </w:tc>
      </w:tr>
      <w:tr w:rsidR="006633B5" w:rsidRPr="006633B5" w14:paraId="1809A0E9" w14:textId="77777777" w:rsidTr="006633B5">
        <w:tc>
          <w:tcPr>
            <w:tcW w:w="1093" w:type="dxa"/>
            <w:shd w:val="clear" w:color="auto" w:fill="auto"/>
          </w:tcPr>
          <w:p w14:paraId="5D96189E" w14:textId="77777777" w:rsidR="006633B5" w:rsidRPr="006633B5" w:rsidRDefault="006633B5" w:rsidP="00E10A24">
            <w:pPr>
              <w:pStyle w:val="Tablebody"/>
              <w:spacing w:after="80"/>
            </w:pPr>
            <w:r w:rsidRPr="006633B5">
              <w:rPr>
                <w:rFonts w:ascii="Symbol" w:eastAsia="Symbol" w:hAnsi="Symbol" w:cs="Symbol"/>
                <w:i/>
                <w:iCs/>
              </w:rPr>
              <w:t></w:t>
            </w:r>
            <w:r w:rsidRPr="006633B5">
              <w:rPr>
                <w:i/>
              </w:rPr>
              <w:t>v</w:t>
            </w:r>
            <w:r w:rsidRPr="006633B5">
              <w:rPr>
                <w:iCs/>
                <w:vertAlign w:val="subscript"/>
              </w:rPr>
              <w:t>j</w:t>
            </w:r>
            <w:r w:rsidRPr="006633B5">
              <w:rPr>
                <w:vertAlign w:val="subscript"/>
              </w:rPr>
              <w:t>1</w:t>
            </w:r>
          </w:p>
        </w:tc>
        <w:tc>
          <w:tcPr>
            <w:tcW w:w="8758" w:type="dxa"/>
            <w:shd w:val="clear" w:color="auto" w:fill="auto"/>
          </w:tcPr>
          <w:p w14:paraId="623B4D19" w14:textId="77777777" w:rsidR="006633B5" w:rsidRPr="006633B5" w:rsidRDefault="006633B5" w:rsidP="00E10A24">
            <w:pPr>
              <w:pStyle w:val="Tablebody"/>
              <w:spacing w:after="80"/>
            </w:pPr>
            <w:r w:rsidRPr="006633B5">
              <w:t xml:space="preserve">relative velocity between each end of the energy dissipation device </w:t>
            </w:r>
            <w:r w:rsidRPr="006633B5">
              <w:rPr>
                <w:i/>
              </w:rPr>
              <w:t>j</w:t>
            </w:r>
            <w:r w:rsidRPr="006633B5">
              <w:t xml:space="preserve"> measured along its axis in the first mode </w:t>
            </w:r>
          </w:p>
        </w:tc>
      </w:tr>
      <w:tr w:rsidR="006633B5" w:rsidRPr="006633B5" w14:paraId="31801DC4" w14:textId="77777777" w:rsidTr="006633B5">
        <w:tc>
          <w:tcPr>
            <w:tcW w:w="1093" w:type="dxa"/>
            <w:shd w:val="clear" w:color="auto" w:fill="auto"/>
          </w:tcPr>
          <w:p w14:paraId="446EC28B" w14:textId="77777777" w:rsidR="006633B5" w:rsidRPr="006633B5" w:rsidRDefault="006633B5" w:rsidP="00E10A24">
            <w:pPr>
              <w:pStyle w:val="Tablebody"/>
              <w:spacing w:after="80"/>
              <w:rPr>
                <w:i/>
              </w:rPr>
            </w:pPr>
            <w:r w:rsidRPr="006633B5">
              <w:rPr>
                <w:i/>
              </w:rPr>
              <w:t>ΔF</w:t>
            </w:r>
            <w:r w:rsidRPr="006633B5">
              <w:rPr>
                <w:iCs/>
                <w:vertAlign w:val="subscript"/>
              </w:rPr>
              <w:t>1-3</w:t>
            </w:r>
          </w:p>
        </w:tc>
        <w:tc>
          <w:tcPr>
            <w:tcW w:w="8758" w:type="dxa"/>
            <w:shd w:val="clear" w:color="auto" w:fill="auto"/>
          </w:tcPr>
          <w:p w14:paraId="682A154D" w14:textId="77777777" w:rsidR="006633B5" w:rsidRPr="006633B5" w:rsidRDefault="006633B5" w:rsidP="00E10A24">
            <w:pPr>
              <w:pStyle w:val="Tablebody"/>
              <w:spacing w:after="80"/>
            </w:pPr>
            <w:r w:rsidRPr="006633B5">
              <w:t>impairment of strength, namely the</w:t>
            </w:r>
            <w:r w:rsidRPr="006633B5">
              <w:rPr>
                <w:i/>
              </w:rPr>
              <w:t xml:space="preserve"> </w:t>
            </w:r>
            <w:r w:rsidRPr="006633B5">
              <w:t xml:space="preserve">load reduction </w:t>
            </w:r>
            <w:r w:rsidRPr="006633B5">
              <w:rPr>
                <w:i/>
                <w:iCs/>
              </w:rPr>
              <w:t>Δ</w:t>
            </w:r>
            <w:r w:rsidRPr="006633B5">
              <w:rPr>
                <w:i/>
              </w:rPr>
              <w:t>F</w:t>
            </w:r>
            <w:r w:rsidRPr="006633B5">
              <w:rPr>
                <w:vertAlign w:val="subscript"/>
              </w:rPr>
              <w:t>1-3</w:t>
            </w:r>
            <w:r w:rsidRPr="006633B5">
              <w:t>=</w:t>
            </w:r>
            <w:r w:rsidRPr="006633B5">
              <w:rPr>
                <w:i/>
              </w:rPr>
              <w:t>F</w:t>
            </w:r>
            <w:r w:rsidRPr="006633B5">
              <w:rPr>
                <w:vertAlign w:val="subscript"/>
              </w:rPr>
              <w:t>1</w:t>
            </w:r>
            <w:r w:rsidRPr="006633B5">
              <w:t>-</w:t>
            </w:r>
            <w:r w:rsidRPr="006633B5">
              <w:rPr>
                <w:i/>
              </w:rPr>
              <w:t>F</w:t>
            </w:r>
            <w:r w:rsidRPr="006633B5">
              <w:rPr>
                <w:vertAlign w:val="subscript"/>
              </w:rPr>
              <w:t>3</w:t>
            </w:r>
            <w:r w:rsidRPr="006633B5">
              <w:t xml:space="preserve"> when attaining a certain deformation </w:t>
            </w:r>
            <w:r w:rsidRPr="006633B5">
              <w:rPr>
                <w:i/>
              </w:rPr>
              <w:t>δ</w:t>
            </w:r>
            <w:r w:rsidRPr="006633B5">
              <w:t xml:space="preserve"> from the first to the third cycle of the same amplitude in a cyclic test performed in accordance with EN 12512 </w:t>
            </w:r>
          </w:p>
        </w:tc>
      </w:tr>
      <w:tr w:rsidR="006633B5" w:rsidRPr="006633B5" w14:paraId="5324272F" w14:textId="77777777" w:rsidTr="006633B5">
        <w:tc>
          <w:tcPr>
            <w:tcW w:w="1093" w:type="dxa"/>
            <w:shd w:val="clear" w:color="auto" w:fill="auto"/>
          </w:tcPr>
          <w:p w14:paraId="1B02A62C" w14:textId="77777777" w:rsidR="006633B5" w:rsidRPr="006633B5" w:rsidRDefault="006633B5" w:rsidP="00E10A24">
            <w:pPr>
              <w:pStyle w:val="Tablebody"/>
              <w:spacing w:after="80"/>
            </w:pPr>
            <w:r w:rsidRPr="006633B5">
              <w:rPr>
                <w:i/>
              </w:rPr>
              <w:t>Δφ</w:t>
            </w:r>
          </w:p>
        </w:tc>
        <w:tc>
          <w:tcPr>
            <w:tcW w:w="8758" w:type="dxa"/>
            <w:shd w:val="clear" w:color="auto" w:fill="auto"/>
          </w:tcPr>
          <w:p w14:paraId="4FADA1C7" w14:textId="77777777" w:rsidR="006633B5" w:rsidRPr="006633B5" w:rsidRDefault="006633B5" w:rsidP="00E10A24">
            <w:pPr>
              <w:pStyle w:val="Tablebody"/>
              <w:spacing w:after="80"/>
            </w:pPr>
            <w:r w:rsidRPr="006633B5">
              <w:t>fraction of the critical section with the maximum punching shear stress</w:t>
            </w:r>
          </w:p>
        </w:tc>
      </w:tr>
      <w:tr w:rsidR="006633B5" w:rsidRPr="006633B5" w14:paraId="5F4A73FE" w14:textId="77777777" w:rsidTr="006633B5">
        <w:tc>
          <w:tcPr>
            <w:tcW w:w="1093" w:type="dxa"/>
            <w:shd w:val="clear" w:color="auto" w:fill="auto"/>
          </w:tcPr>
          <w:p w14:paraId="2D001263" w14:textId="5F0C471E" w:rsidR="006633B5" w:rsidRPr="006633B5" w:rsidRDefault="006633B5" w:rsidP="00E10A24">
            <w:pPr>
              <w:pStyle w:val="Tablebody"/>
              <w:spacing w:after="80"/>
            </w:pPr>
            <w:bookmarkStart w:id="574" w:name="_Hlk38716480"/>
            <w:r w:rsidRPr="006633B5">
              <w:rPr>
                <w:rFonts w:ascii="Symbol" w:hAnsi="Symbol"/>
                <w:i/>
              </w:rPr>
              <w:t></w:t>
            </w:r>
            <w:r w:rsidRPr="006633B5">
              <w:rPr>
                <w:i/>
              </w:rPr>
              <w:t>V</w:t>
            </w:r>
            <w:r w:rsidRPr="006633B5">
              <w:rPr>
                <w:vertAlign w:val="subscript"/>
              </w:rPr>
              <w:t>max,I</w:t>
            </w:r>
            <w:bookmarkEnd w:id="574"/>
          </w:p>
        </w:tc>
        <w:tc>
          <w:tcPr>
            <w:tcW w:w="8758" w:type="dxa"/>
            <w:shd w:val="clear" w:color="auto" w:fill="auto"/>
          </w:tcPr>
          <w:p w14:paraId="76CE3169" w14:textId="77777777" w:rsidR="006633B5" w:rsidRPr="006633B5" w:rsidRDefault="006633B5" w:rsidP="00E10A24">
            <w:pPr>
              <w:pStyle w:val="Tablebody"/>
              <w:spacing w:after="80"/>
            </w:pPr>
            <w:bookmarkStart w:id="575" w:name="_Hlk38716451"/>
            <w:r w:rsidRPr="006633B5">
              <w:t xml:space="preserve">maximum value of the reduction or increase </w:t>
            </w:r>
            <w:r w:rsidRPr="006633B5">
              <w:rPr>
                <w:rFonts w:ascii="Symbol" w:hAnsi="Symbol"/>
                <w:i/>
              </w:rPr>
              <w:t></w:t>
            </w:r>
            <w:r w:rsidRPr="006633B5">
              <w:rPr>
                <w:i/>
              </w:rPr>
              <w:t>V</w:t>
            </w:r>
            <w:r w:rsidRPr="006633B5">
              <w:t xml:space="preserve"> of the absolute value of the shear force in a pier resulting from a redistribution of forces</w:t>
            </w:r>
            <w:bookmarkEnd w:id="575"/>
          </w:p>
        </w:tc>
      </w:tr>
      <w:tr w:rsidR="006633B5" w:rsidRPr="006633B5" w14:paraId="7EE1FC54" w14:textId="77777777" w:rsidTr="006633B5">
        <w:tc>
          <w:tcPr>
            <w:tcW w:w="1093" w:type="dxa"/>
            <w:shd w:val="clear" w:color="auto" w:fill="auto"/>
          </w:tcPr>
          <w:p w14:paraId="4650B203" w14:textId="77777777" w:rsidR="006633B5" w:rsidRPr="006633B5" w:rsidRDefault="006633B5" w:rsidP="00E10A24">
            <w:pPr>
              <w:pStyle w:val="Tablebody"/>
              <w:spacing w:after="80"/>
            </w:pPr>
            <w:r w:rsidRPr="006633B5">
              <w:rPr>
                <w:i/>
              </w:rPr>
              <w:t>ΔV</w:t>
            </w:r>
            <w:r w:rsidRPr="006633B5">
              <w:rPr>
                <w:vertAlign w:val="subscript"/>
              </w:rPr>
              <w:t>Rw</w:t>
            </w:r>
          </w:p>
        </w:tc>
        <w:tc>
          <w:tcPr>
            <w:tcW w:w="8758" w:type="dxa"/>
            <w:shd w:val="clear" w:color="auto" w:fill="auto"/>
          </w:tcPr>
          <w:p w14:paraId="20C9F5A8" w14:textId="77777777" w:rsidR="006633B5" w:rsidRPr="006633B5" w:rsidRDefault="006633B5" w:rsidP="00E10A24">
            <w:pPr>
              <w:pStyle w:val="Tablebody"/>
              <w:spacing w:after="80"/>
            </w:pPr>
            <w:r w:rsidRPr="006633B5">
              <w:t>difference between the shear resistance of two storeys, related to the quantity of infills in each storey</w:t>
            </w:r>
          </w:p>
        </w:tc>
      </w:tr>
      <w:tr w:rsidR="006633B5" w:rsidRPr="006633B5" w14:paraId="5BA25BBA" w14:textId="77777777" w:rsidTr="006633B5">
        <w:tc>
          <w:tcPr>
            <w:tcW w:w="1093" w:type="dxa"/>
            <w:shd w:val="clear" w:color="auto" w:fill="auto"/>
          </w:tcPr>
          <w:p w14:paraId="3E9A1B9A" w14:textId="77777777" w:rsidR="006633B5" w:rsidRPr="006633B5" w:rsidRDefault="006633B5" w:rsidP="00E10A24">
            <w:pPr>
              <w:pStyle w:val="Tablebody"/>
              <w:spacing w:after="80"/>
            </w:pPr>
            <w:r w:rsidRPr="006633B5">
              <w:rPr>
                <w:i/>
              </w:rPr>
              <w:t>ΔM</w:t>
            </w:r>
            <w:r w:rsidRPr="006633B5">
              <w:rPr>
                <w:vertAlign w:val="subscript"/>
              </w:rPr>
              <w:t>Ed</w:t>
            </w:r>
          </w:p>
        </w:tc>
        <w:tc>
          <w:tcPr>
            <w:tcW w:w="8758" w:type="dxa"/>
            <w:shd w:val="clear" w:color="auto" w:fill="auto"/>
          </w:tcPr>
          <w:p w14:paraId="3921AACD" w14:textId="77777777" w:rsidR="006633B5" w:rsidRPr="006633B5" w:rsidRDefault="006633B5" w:rsidP="00E10A24">
            <w:pPr>
              <w:pStyle w:val="Tablebody"/>
              <w:spacing w:after="80"/>
            </w:pPr>
            <w:r w:rsidRPr="006633B5">
              <w:t>variation of the moment in a column adjacent over one storey height</w:t>
            </w:r>
          </w:p>
        </w:tc>
      </w:tr>
      <w:tr w:rsidR="006633B5" w:rsidRPr="006633B5" w14:paraId="76AA653C" w14:textId="77777777" w:rsidTr="006633B5">
        <w:tc>
          <w:tcPr>
            <w:tcW w:w="1093" w:type="dxa"/>
            <w:shd w:val="clear" w:color="auto" w:fill="auto"/>
          </w:tcPr>
          <w:p w14:paraId="7EA5E5ED" w14:textId="77777777" w:rsidR="006633B5" w:rsidRPr="006633B5" w:rsidRDefault="006633B5" w:rsidP="00E10A24">
            <w:pPr>
              <w:pStyle w:val="Tablebody"/>
              <w:spacing w:after="80"/>
            </w:pPr>
            <w:r w:rsidRPr="006633B5">
              <w:rPr>
                <w:rFonts w:ascii="Symbol" w:eastAsia="Symbol" w:hAnsi="Symbol" w:cs="Symbol"/>
              </w:rPr>
              <w:t></w:t>
            </w:r>
            <w:r w:rsidRPr="006633B5">
              <w:rPr>
                <w:i/>
              </w:rPr>
              <w:t>M</w:t>
            </w:r>
            <w:r w:rsidRPr="006633B5">
              <w:rPr>
                <w:iCs/>
                <w:vertAlign w:val="subscript"/>
              </w:rPr>
              <w:t>Rb</w:t>
            </w:r>
          </w:p>
        </w:tc>
        <w:tc>
          <w:tcPr>
            <w:tcW w:w="8758" w:type="dxa"/>
            <w:shd w:val="clear" w:color="auto" w:fill="auto"/>
          </w:tcPr>
          <w:p w14:paraId="3D72C2DD" w14:textId="77777777" w:rsidR="006633B5" w:rsidRPr="006633B5" w:rsidRDefault="006633B5" w:rsidP="00E10A24">
            <w:pPr>
              <w:pStyle w:val="Tablebody"/>
              <w:spacing w:after="80"/>
            </w:pPr>
            <w:r w:rsidRPr="006633B5">
              <w:t>sum of the design values of the moments of resistance of the beams framing the joint</w:t>
            </w:r>
          </w:p>
        </w:tc>
      </w:tr>
      <w:tr w:rsidR="006633B5" w:rsidRPr="006633B5" w14:paraId="29CA5318" w14:textId="77777777" w:rsidTr="006633B5">
        <w:tc>
          <w:tcPr>
            <w:tcW w:w="1093" w:type="dxa"/>
            <w:shd w:val="clear" w:color="auto" w:fill="auto"/>
          </w:tcPr>
          <w:p w14:paraId="01FA9D8C" w14:textId="77777777" w:rsidR="006633B5" w:rsidRPr="006633B5" w:rsidRDefault="006633B5" w:rsidP="00E10A24">
            <w:pPr>
              <w:pStyle w:val="Tablebody"/>
              <w:spacing w:after="80"/>
            </w:pPr>
            <w:r w:rsidRPr="006633B5">
              <w:rPr>
                <w:rFonts w:ascii="Symbol" w:eastAsia="Symbol" w:hAnsi="Symbol" w:cs="Symbol"/>
              </w:rPr>
              <w:t></w:t>
            </w:r>
            <w:r w:rsidRPr="006633B5">
              <w:rPr>
                <w:i/>
              </w:rPr>
              <w:t>M</w:t>
            </w:r>
            <w:r w:rsidRPr="006633B5">
              <w:rPr>
                <w:iCs/>
                <w:vertAlign w:val="subscript"/>
              </w:rPr>
              <w:t>Rc</w:t>
            </w:r>
          </w:p>
        </w:tc>
        <w:tc>
          <w:tcPr>
            <w:tcW w:w="8758" w:type="dxa"/>
            <w:shd w:val="clear" w:color="auto" w:fill="auto"/>
          </w:tcPr>
          <w:p w14:paraId="067AA2F5" w14:textId="77777777" w:rsidR="006633B5" w:rsidRPr="006633B5" w:rsidRDefault="006633B5" w:rsidP="00E10A24">
            <w:pPr>
              <w:pStyle w:val="Tablebody"/>
              <w:spacing w:after="80"/>
            </w:pPr>
            <w:r w:rsidRPr="006633B5">
              <w:t>sum of the design values of the moments of resistance of the columns framing the joint</w:t>
            </w:r>
          </w:p>
        </w:tc>
      </w:tr>
      <w:tr w:rsidR="006633B5" w:rsidRPr="006633B5" w14:paraId="15CB4CB0" w14:textId="77777777" w:rsidTr="006633B5">
        <w:tc>
          <w:tcPr>
            <w:tcW w:w="1093" w:type="dxa"/>
            <w:shd w:val="clear" w:color="auto" w:fill="auto"/>
          </w:tcPr>
          <w:p w14:paraId="51E29221" w14:textId="77777777" w:rsidR="006633B5" w:rsidRPr="006633B5" w:rsidRDefault="006633B5" w:rsidP="00E10A24">
            <w:pPr>
              <w:pStyle w:val="Tablebody"/>
              <w:spacing w:after="80"/>
            </w:pPr>
            <w:r w:rsidRPr="006633B5">
              <w:rPr>
                <w:iCs/>
              </w:rPr>
              <w:t>Ʃ</w:t>
            </w:r>
            <w:r w:rsidRPr="006633B5">
              <w:rPr>
                <w:i/>
              </w:rPr>
              <w:t>V</w:t>
            </w:r>
            <w:r w:rsidRPr="006633B5">
              <w:rPr>
                <w:iCs/>
                <w:vertAlign w:val="subscript"/>
              </w:rPr>
              <w:t>Ed</w:t>
            </w:r>
          </w:p>
        </w:tc>
        <w:tc>
          <w:tcPr>
            <w:tcW w:w="8758" w:type="dxa"/>
            <w:shd w:val="clear" w:color="auto" w:fill="auto"/>
          </w:tcPr>
          <w:p w14:paraId="7C0CE572" w14:textId="77777777" w:rsidR="006633B5" w:rsidRPr="006633B5" w:rsidRDefault="006633B5" w:rsidP="00E10A24">
            <w:pPr>
              <w:pStyle w:val="Tablebody"/>
              <w:spacing w:after="80"/>
            </w:pPr>
            <w:r w:rsidRPr="006633B5">
              <w:t>sum of the calculated seismic shears in all vertical primary seismic members of a storey</w:t>
            </w:r>
          </w:p>
        </w:tc>
      </w:tr>
      <w:tr w:rsidR="006633B5" w:rsidRPr="006633B5" w14:paraId="39B06D1C" w14:textId="77777777" w:rsidTr="006633B5">
        <w:tc>
          <w:tcPr>
            <w:tcW w:w="1093" w:type="dxa"/>
            <w:shd w:val="clear" w:color="auto" w:fill="auto"/>
          </w:tcPr>
          <w:p w14:paraId="3349C299" w14:textId="77777777" w:rsidR="006633B5" w:rsidRPr="006633B5" w:rsidRDefault="006633B5" w:rsidP="00E10A24">
            <w:pPr>
              <w:pStyle w:val="Tablebody"/>
              <w:spacing w:after="80"/>
            </w:pPr>
            <w:r w:rsidRPr="006633B5">
              <w:rPr>
                <w:i/>
              </w:rPr>
              <w:t>ϕ</w:t>
            </w:r>
            <w:r w:rsidRPr="006633B5">
              <w:rPr>
                <w:iCs/>
                <w:vertAlign w:val="subscript"/>
              </w:rPr>
              <w:t>ij</w:t>
            </w:r>
          </w:p>
        </w:tc>
        <w:tc>
          <w:tcPr>
            <w:tcW w:w="8758" w:type="dxa"/>
            <w:shd w:val="clear" w:color="auto" w:fill="auto"/>
          </w:tcPr>
          <w:p w14:paraId="2FBB2613" w14:textId="77777777" w:rsidR="006633B5" w:rsidRPr="006633B5" w:rsidRDefault="006633B5" w:rsidP="00E10A24">
            <w:pPr>
              <w:pStyle w:val="Tablebody"/>
              <w:spacing w:after="80"/>
            </w:pPr>
            <w:r w:rsidRPr="006633B5">
              <w:t xml:space="preserve">value of the </w:t>
            </w:r>
            <w:r w:rsidRPr="006633B5">
              <w:rPr>
                <w:i/>
                <w:iCs/>
              </w:rPr>
              <w:t>i</w:t>
            </w:r>
            <w:r w:rsidRPr="006633B5">
              <w:rPr>
                <w:vertAlign w:val="superscript"/>
              </w:rPr>
              <w:t>th</w:t>
            </w:r>
            <w:r w:rsidRPr="006633B5">
              <w:t xml:space="preserve"> mode shape at floor </w:t>
            </w:r>
            <w:r w:rsidRPr="006633B5">
              <w:rPr>
                <w:i/>
                <w:iCs/>
              </w:rPr>
              <w:t>j</w:t>
            </w:r>
          </w:p>
        </w:tc>
      </w:tr>
      <w:tr w:rsidR="006633B5" w:rsidRPr="006633B5" w14:paraId="7FB41A2F" w14:textId="77777777" w:rsidTr="006633B5">
        <w:tc>
          <w:tcPr>
            <w:tcW w:w="1093" w:type="dxa"/>
            <w:shd w:val="clear" w:color="auto" w:fill="auto"/>
          </w:tcPr>
          <w:p w14:paraId="4056AC94" w14:textId="77777777" w:rsidR="006633B5" w:rsidRPr="006633B5" w:rsidRDefault="006633B5" w:rsidP="00E10A24">
            <w:pPr>
              <w:pStyle w:val="Tablebody"/>
              <w:spacing w:after="80"/>
              <w:rPr>
                <w:b/>
              </w:rPr>
            </w:pPr>
            <w:r w:rsidRPr="006633B5">
              <w:rPr>
                <w:rFonts w:ascii="Symbol" w:eastAsia="Symbol" w:hAnsi="Symbol" w:cs="Symbol"/>
                <w:bCs/>
                <w:i/>
                <w:iCs/>
              </w:rPr>
              <w:t></w:t>
            </w:r>
            <w:r w:rsidRPr="006633B5">
              <w:rPr>
                <w:bCs/>
                <w:vertAlign w:val="subscript"/>
              </w:rPr>
              <w:t>1</w:t>
            </w:r>
          </w:p>
        </w:tc>
        <w:tc>
          <w:tcPr>
            <w:tcW w:w="8758" w:type="dxa"/>
            <w:shd w:val="clear" w:color="auto" w:fill="auto"/>
          </w:tcPr>
          <w:p w14:paraId="582788B3" w14:textId="77777777" w:rsidR="006633B5" w:rsidRPr="006633B5" w:rsidRDefault="006633B5" w:rsidP="00E10A24">
            <w:pPr>
              <w:pStyle w:val="Tablebody"/>
              <w:spacing w:after="80"/>
            </w:pPr>
            <w:r w:rsidRPr="006633B5">
              <w:t>vector of first mode of vibration normalized so that its component at roof level is equal to 1</w:t>
            </w:r>
          </w:p>
        </w:tc>
      </w:tr>
      <w:tr w:rsidR="006633B5" w:rsidRPr="006633B5" w14:paraId="0A263235" w14:textId="77777777" w:rsidTr="006633B5">
        <w:tc>
          <w:tcPr>
            <w:tcW w:w="1093" w:type="dxa"/>
            <w:shd w:val="clear" w:color="auto" w:fill="auto"/>
          </w:tcPr>
          <w:p w14:paraId="3B5D7124" w14:textId="77777777" w:rsidR="006633B5" w:rsidRPr="006633B5" w:rsidRDefault="006633B5" w:rsidP="00E10A24">
            <w:pPr>
              <w:pStyle w:val="Tablebody"/>
              <w:spacing w:after="80"/>
            </w:pPr>
            <w:r w:rsidRPr="006633B5">
              <w:rPr>
                <w:rFonts w:ascii="Symbol" w:eastAsia="Symbol" w:hAnsi="Symbol" w:cs="Symbol"/>
                <w:i/>
              </w:rPr>
              <w:lastRenderedPageBreak/>
              <w:t></w:t>
            </w:r>
            <w:r w:rsidRPr="006633B5">
              <w:rPr>
                <w:iCs/>
                <w:vertAlign w:val="subscript"/>
              </w:rPr>
              <w:t>i1</w:t>
            </w:r>
          </w:p>
        </w:tc>
        <w:tc>
          <w:tcPr>
            <w:tcW w:w="8758" w:type="dxa"/>
            <w:shd w:val="clear" w:color="auto" w:fill="auto"/>
          </w:tcPr>
          <w:p w14:paraId="0ACA337E" w14:textId="1867A6C4" w:rsidR="006633B5" w:rsidRPr="006633B5" w:rsidRDefault="006633B5" w:rsidP="00E10A24">
            <w:pPr>
              <w:pStyle w:val="Tablebody"/>
              <w:spacing w:after="80"/>
            </w:pPr>
            <w:r w:rsidRPr="006633B5">
              <w:t>component of the first mode vector (normal</w:t>
            </w:r>
            <w:r w:rsidR="00E10A24">
              <w:t>ize</w:t>
            </w:r>
            <w:r w:rsidRPr="006633B5">
              <w:t xml:space="preserve">d so that at roof level the value is equal to 1) at the </w:t>
            </w:r>
            <w:r w:rsidRPr="006633B5">
              <w:rPr>
                <w:i/>
              </w:rPr>
              <w:t>i</w:t>
            </w:r>
            <w:r w:rsidRPr="006633B5">
              <w:t>-th floor of the structure with energy dissipation system in the elastic range</w:t>
            </w:r>
          </w:p>
        </w:tc>
      </w:tr>
      <w:tr w:rsidR="006633B5" w:rsidRPr="006633B5" w14:paraId="5E159469" w14:textId="77777777" w:rsidTr="006633B5">
        <w:tc>
          <w:tcPr>
            <w:tcW w:w="1093" w:type="dxa"/>
            <w:shd w:val="clear" w:color="auto" w:fill="auto"/>
          </w:tcPr>
          <w:p w14:paraId="7660CF07" w14:textId="77777777" w:rsidR="006633B5" w:rsidRPr="006633B5" w:rsidRDefault="006633B5" w:rsidP="00E10A24">
            <w:pPr>
              <w:pStyle w:val="Tablebody"/>
              <w:spacing w:after="80"/>
              <w:rPr>
                <w:b/>
              </w:rPr>
            </w:pPr>
            <w:r w:rsidRPr="006633B5">
              <w:rPr>
                <w:rFonts w:ascii="Symbol" w:eastAsia="Symbol" w:hAnsi="Symbol" w:cs="Symbol"/>
                <w:bCs/>
                <w:i/>
                <w:iCs/>
              </w:rPr>
              <w:t></w:t>
            </w:r>
            <w:r w:rsidRPr="006633B5">
              <w:rPr>
                <w:bCs/>
                <w:vertAlign w:val="subscript"/>
              </w:rPr>
              <w:t>m</w:t>
            </w:r>
          </w:p>
        </w:tc>
        <w:tc>
          <w:tcPr>
            <w:tcW w:w="8758" w:type="dxa"/>
            <w:shd w:val="clear" w:color="auto" w:fill="auto"/>
          </w:tcPr>
          <w:p w14:paraId="7AF32D16" w14:textId="77777777" w:rsidR="006633B5" w:rsidRPr="006633B5" w:rsidRDefault="006633B5" w:rsidP="00E10A24">
            <w:pPr>
              <w:pStyle w:val="Tablebody"/>
              <w:spacing w:after="80"/>
            </w:pPr>
            <w:r w:rsidRPr="006633B5">
              <w:t xml:space="preserve">vector of </w:t>
            </w:r>
            <w:r w:rsidRPr="006633B5">
              <w:rPr>
                <w:i/>
                <w:iCs/>
              </w:rPr>
              <w:t>m</w:t>
            </w:r>
            <w:r w:rsidRPr="006633B5">
              <w:t>-th mode of vibration normalized so that its component at roof level is equal to 1</w:t>
            </w:r>
          </w:p>
        </w:tc>
      </w:tr>
      <w:tr w:rsidR="006633B5" w:rsidRPr="006633B5" w14:paraId="215EC233" w14:textId="77777777" w:rsidTr="006633B5">
        <w:tc>
          <w:tcPr>
            <w:tcW w:w="1093" w:type="dxa"/>
            <w:shd w:val="clear" w:color="auto" w:fill="auto"/>
          </w:tcPr>
          <w:p w14:paraId="7CEB5DE0" w14:textId="77777777" w:rsidR="006633B5" w:rsidRPr="006633B5" w:rsidRDefault="006633B5" w:rsidP="00E10A24">
            <w:pPr>
              <w:pStyle w:val="Tablebody"/>
              <w:spacing w:after="80"/>
            </w:pPr>
            <w:r w:rsidRPr="006633B5">
              <w:rPr>
                <w:rFonts w:asciiTheme="majorHAnsi" w:hAnsiTheme="majorHAnsi"/>
                <w:i/>
                <w:iCs/>
                <w:szCs w:val="18"/>
              </w:rPr>
              <w:t>Ω</w:t>
            </w:r>
          </w:p>
        </w:tc>
        <w:tc>
          <w:tcPr>
            <w:tcW w:w="8758" w:type="dxa"/>
            <w:shd w:val="clear" w:color="auto" w:fill="auto"/>
          </w:tcPr>
          <w:p w14:paraId="6C7D637E" w14:textId="77777777" w:rsidR="006633B5" w:rsidRPr="006633B5" w:rsidRDefault="006633B5" w:rsidP="00E10A24">
            <w:pPr>
              <w:pStyle w:val="Tablebody"/>
              <w:spacing w:after="80"/>
            </w:pPr>
            <w:r w:rsidRPr="006633B5">
              <w:t>seismic action magnification factor</w:t>
            </w:r>
          </w:p>
        </w:tc>
      </w:tr>
      <w:tr w:rsidR="006633B5" w:rsidRPr="006633B5" w14:paraId="283FF4BC" w14:textId="77777777" w:rsidTr="006633B5">
        <w:tc>
          <w:tcPr>
            <w:tcW w:w="1093" w:type="dxa"/>
            <w:shd w:val="clear" w:color="auto" w:fill="auto"/>
          </w:tcPr>
          <w:p w14:paraId="4B4CE7E2" w14:textId="77777777" w:rsidR="006633B5" w:rsidRPr="006633B5" w:rsidRDefault="006633B5" w:rsidP="00E10A24">
            <w:pPr>
              <w:pStyle w:val="Tablebody"/>
              <w:spacing w:after="80"/>
            </w:pPr>
            <w:r w:rsidRPr="006633B5">
              <w:rPr>
                <w:i/>
                <w:iCs/>
              </w:rPr>
              <w:t>Ω</w:t>
            </w:r>
            <w:r w:rsidRPr="006633B5">
              <w:rPr>
                <w:vertAlign w:val="subscript"/>
              </w:rPr>
              <w:t>d,i</w:t>
            </w:r>
          </w:p>
        </w:tc>
        <w:tc>
          <w:tcPr>
            <w:tcW w:w="8758" w:type="dxa"/>
            <w:shd w:val="clear" w:color="auto" w:fill="auto"/>
          </w:tcPr>
          <w:p w14:paraId="60689C45" w14:textId="77777777" w:rsidR="006633B5" w:rsidRPr="006633B5" w:rsidRDefault="006633B5" w:rsidP="00E10A24">
            <w:pPr>
              <w:pStyle w:val="Tablebody"/>
              <w:spacing w:after="80"/>
              <w:rPr>
                <w:i/>
                <w:iCs/>
              </w:rPr>
            </w:pPr>
            <w:r w:rsidRPr="006633B5">
              <w:t xml:space="preserve">ratio of the design resistance </w:t>
            </w:r>
            <w:r w:rsidRPr="006633B5">
              <w:rPr>
                <w:i/>
                <w:iCs/>
              </w:rPr>
              <w:t>R</w:t>
            </w:r>
            <w:r w:rsidRPr="006633B5">
              <w:rPr>
                <w:vertAlign w:val="subscript"/>
              </w:rPr>
              <w:t>di</w:t>
            </w:r>
            <w:r w:rsidRPr="006633B5">
              <w:t xml:space="preserve"> to the design action effect</w:t>
            </w:r>
            <w:r w:rsidRPr="006633B5">
              <w:rPr>
                <w:i/>
                <w:iCs/>
              </w:rPr>
              <w:t xml:space="preserve"> E</w:t>
            </w:r>
            <w:r w:rsidRPr="006633B5">
              <w:rPr>
                <w:vertAlign w:val="subscript"/>
              </w:rPr>
              <w:t>di</w:t>
            </w:r>
            <w:r w:rsidRPr="006633B5">
              <w:t xml:space="preserve"> in member </w:t>
            </w:r>
            <w:r w:rsidRPr="006633B5">
              <w:rPr>
                <w:i/>
                <w:iCs/>
              </w:rPr>
              <w:t>i</w:t>
            </w:r>
            <w:r w:rsidRPr="006633B5">
              <w:t xml:space="preserve"> or in storey </w:t>
            </w:r>
            <w:r w:rsidRPr="006633B5">
              <w:rPr>
                <w:i/>
                <w:iCs/>
              </w:rPr>
              <w:t>i</w:t>
            </w:r>
          </w:p>
        </w:tc>
      </w:tr>
      <w:tr w:rsidR="006633B5" w:rsidRPr="006633B5" w14:paraId="10056C9D" w14:textId="77777777" w:rsidTr="006633B5">
        <w:tc>
          <w:tcPr>
            <w:tcW w:w="1093" w:type="dxa"/>
            <w:shd w:val="clear" w:color="auto" w:fill="auto"/>
          </w:tcPr>
          <w:p w14:paraId="389C98D4" w14:textId="77777777" w:rsidR="006633B5" w:rsidRPr="006633B5" w:rsidRDefault="006633B5" w:rsidP="00E10A24">
            <w:pPr>
              <w:pStyle w:val="Tablebody"/>
              <w:spacing w:after="80"/>
              <w:rPr>
                <w:i/>
                <w:iCs/>
              </w:rPr>
            </w:pPr>
            <w:r w:rsidRPr="006633B5">
              <w:rPr>
                <w:i/>
                <w:iCs/>
              </w:rPr>
              <w:t>Ω</w:t>
            </w:r>
            <w:r w:rsidRPr="006633B5">
              <w:rPr>
                <w:vertAlign w:val="subscript"/>
              </w:rPr>
              <w:t>d</w:t>
            </w:r>
          </w:p>
        </w:tc>
        <w:tc>
          <w:tcPr>
            <w:tcW w:w="8758" w:type="dxa"/>
            <w:shd w:val="clear" w:color="auto" w:fill="auto"/>
          </w:tcPr>
          <w:p w14:paraId="6A9FD042" w14:textId="77777777" w:rsidR="006633B5" w:rsidRPr="006633B5" w:rsidRDefault="006633B5" w:rsidP="00E10A24">
            <w:pPr>
              <w:pStyle w:val="Tablebody"/>
              <w:spacing w:after="80"/>
            </w:pPr>
            <w:r w:rsidRPr="006633B5">
              <w:t xml:space="preserve">particular value of </w:t>
            </w:r>
            <w:r w:rsidRPr="006633B5">
              <w:rPr>
                <w:i/>
                <w:iCs/>
              </w:rPr>
              <w:t>Ω</w:t>
            </w:r>
            <w:r w:rsidRPr="006633B5">
              <w:rPr>
                <w:vertAlign w:val="subscript"/>
              </w:rPr>
              <w:t>d,i</w:t>
            </w:r>
            <w:r w:rsidRPr="006633B5">
              <w:t xml:space="preserve"> among all </w:t>
            </w:r>
            <w:r w:rsidRPr="006633B5">
              <w:rPr>
                <w:i/>
                <w:iCs/>
              </w:rPr>
              <w:t>Ω</w:t>
            </w:r>
            <w:r w:rsidRPr="006633B5">
              <w:rPr>
                <w:vertAlign w:val="subscript"/>
              </w:rPr>
              <w:t>d,I</w:t>
            </w:r>
            <w:r w:rsidRPr="006633B5">
              <w:t xml:space="preserve"> and applied in the design of specific parts of a structure</w:t>
            </w:r>
          </w:p>
        </w:tc>
      </w:tr>
      <w:tr w:rsidR="006633B5" w:rsidRPr="006633B5" w14:paraId="05DACC06" w14:textId="77777777" w:rsidTr="006633B5">
        <w:tc>
          <w:tcPr>
            <w:tcW w:w="1093" w:type="dxa"/>
            <w:shd w:val="clear" w:color="auto" w:fill="auto"/>
          </w:tcPr>
          <w:p w14:paraId="3B248772" w14:textId="77777777" w:rsidR="006633B5" w:rsidRPr="006633B5" w:rsidRDefault="006633B5" w:rsidP="00E10A24">
            <w:pPr>
              <w:pStyle w:val="Tablebody"/>
              <w:spacing w:after="80"/>
            </w:pPr>
            <w:r w:rsidRPr="006633B5">
              <w:rPr>
                <w:i/>
                <w:iCs/>
              </w:rPr>
              <w:t>Ω</w:t>
            </w:r>
            <w:r w:rsidRPr="006633B5">
              <w:rPr>
                <w:vertAlign w:val="subscript"/>
              </w:rPr>
              <w:t>d,M</w:t>
            </w:r>
          </w:p>
        </w:tc>
        <w:tc>
          <w:tcPr>
            <w:tcW w:w="8758" w:type="dxa"/>
            <w:shd w:val="clear" w:color="auto" w:fill="auto"/>
          </w:tcPr>
          <w:p w14:paraId="036CF40A" w14:textId="77777777" w:rsidR="006633B5" w:rsidRPr="006633B5" w:rsidRDefault="006633B5" w:rsidP="00E10A24">
            <w:pPr>
              <w:pStyle w:val="Tablebody"/>
              <w:spacing w:after="80"/>
            </w:pPr>
            <w:r w:rsidRPr="006633B5">
              <w:t>design overstrength of a pin connection yielding in bending</w:t>
            </w:r>
          </w:p>
        </w:tc>
      </w:tr>
      <w:tr w:rsidR="006633B5" w:rsidRPr="00D1484A" w14:paraId="1F76F124" w14:textId="77777777" w:rsidTr="006633B5">
        <w:tc>
          <w:tcPr>
            <w:tcW w:w="1093" w:type="dxa"/>
            <w:shd w:val="clear" w:color="auto" w:fill="auto"/>
          </w:tcPr>
          <w:p w14:paraId="35D1B1FC" w14:textId="77777777" w:rsidR="006633B5" w:rsidRPr="006633B5" w:rsidRDefault="006633B5" w:rsidP="00E10A24">
            <w:pPr>
              <w:pStyle w:val="Listofsymbols"/>
              <w:tabs>
                <w:tab w:val="clear" w:pos="1134"/>
              </w:tabs>
              <w:spacing w:after="80"/>
              <w:ind w:left="0" w:firstLine="0"/>
              <w:rPr>
                <w:szCs w:val="18"/>
              </w:rPr>
            </w:pPr>
            <w:r w:rsidRPr="006633B5">
              <w:rPr>
                <w:rFonts w:asciiTheme="majorHAnsi" w:hAnsiTheme="majorHAnsi"/>
                <w:i/>
                <w:iCs/>
                <w:szCs w:val="18"/>
              </w:rPr>
              <w:t>Ω</w:t>
            </w:r>
            <w:r w:rsidRPr="006633B5">
              <w:rPr>
                <w:position w:val="-2"/>
                <w:szCs w:val="18"/>
                <w:vertAlign w:val="subscript"/>
              </w:rPr>
              <w:t>d,V</w:t>
            </w:r>
          </w:p>
        </w:tc>
        <w:tc>
          <w:tcPr>
            <w:tcW w:w="8758" w:type="dxa"/>
            <w:shd w:val="clear" w:color="auto" w:fill="auto"/>
          </w:tcPr>
          <w:p w14:paraId="48A5E60A" w14:textId="77777777" w:rsidR="006633B5" w:rsidRPr="00D1484A" w:rsidRDefault="006633B5" w:rsidP="00E10A24">
            <w:pPr>
              <w:pStyle w:val="Listofsymbols"/>
              <w:tabs>
                <w:tab w:val="clear" w:pos="1134"/>
              </w:tabs>
              <w:spacing w:after="80"/>
              <w:ind w:left="0" w:firstLine="0"/>
            </w:pPr>
            <w:r w:rsidRPr="006633B5">
              <w:rPr>
                <w:szCs w:val="18"/>
              </w:rPr>
              <w:t>design overstrength of a pin connection yielding in shear</w:t>
            </w:r>
          </w:p>
        </w:tc>
      </w:tr>
    </w:tbl>
    <w:p w14:paraId="47B372BC" w14:textId="6A7BA245" w:rsidR="00E36131" w:rsidRPr="00D1484A" w:rsidRDefault="00E36131" w:rsidP="006633B5">
      <w:pPr>
        <w:pStyle w:val="Listofsymbols"/>
        <w:ind w:left="0" w:firstLine="0"/>
      </w:pPr>
    </w:p>
    <w:p w14:paraId="0B9BE320" w14:textId="77777777" w:rsidR="007425C2" w:rsidRPr="00870D59" w:rsidRDefault="007425C2" w:rsidP="00E36131">
      <w:pPr>
        <w:pStyle w:val="Heading4"/>
      </w:pPr>
      <w:r w:rsidRPr="00870D59">
        <w:t>Lower case Greek symbols</w:t>
      </w:r>
    </w:p>
    <w:tbl>
      <w:tblPr>
        <w:tblW w:w="0" w:type="auto"/>
        <w:tblInd w:w="-100" w:type="dxa"/>
        <w:tblCellMar>
          <w:left w:w="100" w:type="dxa"/>
        </w:tblCellMar>
        <w:tblLook w:val="0000" w:firstRow="0" w:lastRow="0" w:firstColumn="0" w:lastColumn="0" w:noHBand="0" w:noVBand="0"/>
      </w:tblPr>
      <w:tblGrid>
        <w:gridCol w:w="1093"/>
        <w:gridCol w:w="8758"/>
      </w:tblGrid>
      <w:tr w:rsidR="006633B5" w:rsidRPr="006633B5" w14:paraId="3D1D1E71" w14:textId="77777777" w:rsidTr="006633B5">
        <w:tc>
          <w:tcPr>
            <w:tcW w:w="1093" w:type="dxa"/>
            <w:shd w:val="clear" w:color="auto" w:fill="auto"/>
          </w:tcPr>
          <w:p w14:paraId="1A9B5513" w14:textId="77777777" w:rsidR="006633B5" w:rsidRPr="006633B5" w:rsidRDefault="006633B5" w:rsidP="00E10A24">
            <w:pPr>
              <w:pStyle w:val="Tablebody"/>
              <w:spacing w:after="80"/>
            </w:pPr>
            <w:bookmarkStart w:id="576" w:name="_Toc33605513"/>
            <w:bookmarkStart w:id="577" w:name="_Toc79478248"/>
            <w:bookmarkStart w:id="578" w:name="_Toc89078880"/>
            <w:r w:rsidRPr="006633B5">
              <w:rPr>
                <w:i/>
                <w:iCs/>
              </w:rPr>
              <w:t>α</w:t>
            </w:r>
          </w:p>
        </w:tc>
        <w:tc>
          <w:tcPr>
            <w:tcW w:w="8758" w:type="dxa"/>
            <w:shd w:val="clear" w:color="auto" w:fill="auto"/>
          </w:tcPr>
          <w:p w14:paraId="541B79D1" w14:textId="77777777" w:rsidR="006633B5" w:rsidRPr="006633B5" w:rsidRDefault="006633B5" w:rsidP="00E10A24">
            <w:pPr>
              <w:pStyle w:val="Tablebody"/>
              <w:spacing w:after="80"/>
            </w:pPr>
            <w:r w:rsidRPr="006633B5">
              <w:t>angle of a brace with the horizontal</w:t>
            </w:r>
          </w:p>
        </w:tc>
      </w:tr>
      <w:tr w:rsidR="006633B5" w:rsidRPr="006633B5" w14:paraId="14A64925" w14:textId="77777777" w:rsidTr="006633B5">
        <w:tc>
          <w:tcPr>
            <w:tcW w:w="1093" w:type="dxa"/>
            <w:shd w:val="clear" w:color="auto" w:fill="auto"/>
          </w:tcPr>
          <w:p w14:paraId="2125B4E3" w14:textId="77777777" w:rsidR="006633B5" w:rsidRPr="006633B5" w:rsidRDefault="006633B5" w:rsidP="00E10A24">
            <w:pPr>
              <w:pStyle w:val="Tablebody"/>
              <w:spacing w:after="80"/>
              <w:rPr>
                <w:i/>
              </w:rPr>
            </w:pPr>
            <w:r w:rsidRPr="006633B5">
              <w:rPr>
                <w:i/>
              </w:rPr>
              <w:t>α</w:t>
            </w:r>
            <w:r w:rsidRPr="006633B5">
              <w:rPr>
                <w:vertAlign w:val="subscript"/>
              </w:rPr>
              <w:t>0</w:t>
            </w:r>
          </w:p>
        </w:tc>
        <w:tc>
          <w:tcPr>
            <w:tcW w:w="8758" w:type="dxa"/>
            <w:shd w:val="clear" w:color="auto" w:fill="auto"/>
          </w:tcPr>
          <w:p w14:paraId="3E992828" w14:textId="77777777" w:rsidR="006633B5" w:rsidRPr="006633B5" w:rsidRDefault="006633B5" w:rsidP="00E10A24">
            <w:pPr>
              <w:pStyle w:val="Tablebody"/>
              <w:spacing w:after="80"/>
            </w:pPr>
            <w:r w:rsidRPr="006633B5">
              <w:t>prevailing aspect ratio, i.e. prevailing height-to-length ratio of walls</w:t>
            </w:r>
          </w:p>
        </w:tc>
      </w:tr>
      <w:tr w:rsidR="006633B5" w:rsidRPr="006633B5" w14:paraId="1C9B369A" w14:textId="77777777" w:rsidTr="006633B5">
        <w:tc>
          <w:tcPr>
            <w:tcW w:w="1093" w:type="dxa"/>
            <w:shd w:val="clear" w:color="auto" w:fill="auto"/>
          </w:tcPr>
          <w:p w14:paraId="4A50D646" w14:textId="77777777" w:rsidR="006633B5" w:rsidRPr="006633B5" w:rsidRDefault="006633B5" w:rsidP="00E10A24">
            <w:pPr>
              <w:pStyle w:val="Tablebody"/>
              <w:spacing w:after="80"/>
              <w:rPr>
                <w:rFonts w:eastAsia="SymbolMT"/>
              </w:rPr>
            </w:pPr>
            <w:r w:rsidRPr="006633B5">
              <w:rPr>
                <w:i/>
              </w:rPr>
              <w:t>α</w:t>
            </w:r>
            <w:r w:rsidRPr="006633B5">
              <w:rPr>
                <w:iCs/>
                <w:vertAlign w:val="subscript"/>
              </w:rPr>
              <w:t>1</w:t>
            </w:r>
          </w:p>
        </w:tc>
        <w:tc>
          <w:tcPr>
            <w:tcW w:w="8758" w:type="dxa"/>
            <w:shd w:val="clear" w:color="auto" w:fill="auto"/>
          </w:tcPr>
          <w:p w14:paraId="1A39205C" w14:textId="77777777" w:rsidR="006633B5" w:rsidRPr="006633B5" w:rsidRDefault="006633B5" w:rsidP="00E10A24">
            <w:pPr>
              <w:pStyle w:val="Tablebody"/>
              <w:spacing w:after="80"/>
              <w:rPr>
                <w:rFonts w:eastAsia="SymbolMT"/>
              </w:rPr>
            </w:pPr>
            <w:r w:rsidRPr="006633B5">
              <w:rPr>
                <w:rFonts w:eastAsia="SymbolMT"/>
              </w:rPr>
              <w:t>value by which the horizontal seismic design action is multiplied, in order to first reach the plastic resistance in any member of the structure, while all other design actions remain constant</w:t>
            </w:r>
          </w:p>
        </w:tc>
      </w:tr>
      <w:tr w:rsidR="006633B5" w:rsidRPr="006633B5" w14:paraId="1899F1A5" w14:textId="77777777" w:rsidTr="006633B5">
        <w:tc>
          <w:tcPr>
            <w:tcW w:w="1093" w:type="dxa"/>
            <w:shd w:val="clear" w:color="auto" w:fill="auto"/>
          </w:tcPr>
          <w:p w14:paraId="098A68DF" w14:textId="77777777" w:rsidR="006633B5" w:rsidRPr="006633B5" w:rsidRDefault="006633B5" w:rsidP="00E10A24">
            <w:pPr>
              <w:pStyle w:val="Tablebody"/>
              <w:spacing w:after="80"/>
            </w:pPr>
            <w:r w:rsidRPr="006633B5">
              <w:rPr>
                <w:i/>
              </w:rPr>
              <w:t>α</w:t>
            </w:r>
            <w:r w:rsidRPr="006633B5">
              <w:rPr>
                <w:iCs/>
                <w:vertAlign w:val="subscript"/>
              </w:rPr>
              <w:t>jo</w:t>
            </w:r>
          </w:p>
        </w:tc>
        <w:tc>
          <w:tcPr>
            <w:tcW w:w="8758" w:type="dxa"/>
            <w:shd w:val="clear" w:color="auto" w:fill="auto"/>
          </w:tcPr>
          <w:p w14:paraId="1DE5EBF6" w14:textId="77777777" w:rsidR="006633B5" w:rsidRPr="006633B5" w:rsidRDefault="006633B5" w:rsidP="00E10A24">
            <w:pPr>
              <w:pStyle w:val="Tablebody"/>
              <w:spacing w:after="80"/>
            </w:pPr>
            <w:r w:rsidRPr="006633B5">
              <w:t>joint aspect ratio</w:t>
            </w:r>
          </w:p>
        </w:tc>
      </w:tr>
      <w:tr w:rsidR="006633B5" w:rsidRPr="006633B5" w14:paraId="32BF2FB0" w14:textId="77777777" w:rsidTr="006633B5">
        <w:tc>
          <w:tcPr>
            <w:tcW w:w="1093" w:type="dxa"/>
            <w:shd w:val="clear" w:color="auto" w:fill="auto"/>
          </w:tcPr>
          <w:p w14:paraId="64D80009" w14:textId="77777777" w:rsidR="006633B5" w:rsidRPr="006633B5" w:rsidRDefault="006633B5" w:rsidP="00E10A24">
            <w:pPr>
              <w:pStyle w:val="Tablebody"/>
              <w:spacing w:after="80"/>
              <w:rPr>
                <w:vertAlign w:val="subscript"/>
              </w:rPr>
            </w:pPr>
            <w:r w:rsidRPr="006633B5">
              <w:rPr>
                <w:rFonts w:ascii="Symbol" w:hAnsi="Symbol"/>
                <w:i/>
                <w:iCs/>
              </w:rPr>
              <w:t></w:t>
            </w:r>
            <w:r w:rsidRPr="006633B5">
              <w:rPr>
                <w:iCs/>
                <w:vertAlign w:val="subscript"/>
              </w:rPr>
              <w:t>SD</w:t>
            </w:r>
          </w:p>
        </w:tc>
        <w:tc>
          <w:tcPr>
            <w:tcW w:w="8758" w:type="dxa"/>
            <w:shd w:val="clear" w:color="auto" w:fill="auto"/>
          </w:tcPr>
          <w:p w14:paraId="4D8642D8" w14:textId="40FF4566" w:rsidR="006633B5" w:rsidRPr="006633B5" w:rsidRDefault="006633B5" w:rsidP="00E10A24">
            <w:pPr>
              <w:pStyle w:val="Tablebody"/>
              <w:spacing w:after="80"/>
            </w:pPr>
            <w:r w:rsidRPr="006633B5">
              <w:t>ratio between resistance at the SD limit state and the ultimate resistance in terms of general</w:t>
            </w:r>
            <w:r w:rsidR="00E10A24">
              <w:t>ize</w:t>
            </w:r>
            <w:r w:rsidRPr="006633B5">
              <w:t>d displacements</w:t>
            </w:r>
          </w:p>
        </w:tc>
      </w:tr>
      <w:tr w:rsidR="006633B5" w:rsidRPr="006633B5" w14:paraId="6AE4F832" w14:textId="77777777" w:rsidTr="006633B5">
        <w:tc>
          <w:tcPr>
            <w:tcW w:w="1093" w:type="dxa"/>
            <w:shd w:val="clear" w:color="auto" w:fill="auto"/>
          </w:tcPr>
          <w:p w14:paraId="6B9536E5" w14:textId="77777777" w:rsidR="006633B5" w:rsidRPr="006633B5" w:rsidRDefault="006633B5" w:rsidP="00E10A24">
            <w:pPr>
              <w:pStyle w:val="Tablebody"/>
              <w:spacing w:after="80"/>
              <w:rPr>
                <w:rFonts w:eastAsia="SymbolMT"/>
              </w:rPr>
            </w:pPr>
            <w:r w:rsidRPr="006633B5">
              <w:rPr>
                <w:i/>
              </w:rPr>
              <w:t>α</w:t>
            </w:r>
            <w:r w:rsidRPr="006633B5">
              <w:rPr>
                <w:iCs/>
                <w:vertAlign w:val="subscript"/>
              </w:rPr>
              <w:t>u</w:t>
            </w:r>
          </w:p>
        </w:tc>
        <w:tc>
          <w:tcPr>
            <w:tcW w:w="8758" w:type="dxa"/>
            <w:shd w:val="clear" w:color="auto" w:fill="auto"/>
          </w:tcPr>
          <w:p w14:paraId="5667E5BA" w14:textId="77777777" w:rsidR="006633B5" w:rsidRPr="006633B5" w:rsidRDefault="006633B5" w:rsidP="00E10A24">
            <w:pPr>
              <w:pStyle w:val="Tablebody"/>
              <w:spacing w:after="80"/>
              <w:rPr>
                <w:rFonts w:eastAsia="SymbolMT"/>
              </w:rPr>
            </w:pPr>
            <w:r w:rsidRPr="006633B5">
              <w:rPr>
                <w:rFonts w:eastAsia="SymbolMT"/>
              </w:rPr>
              <w:t>value by which the horizontal seismic design action is multiplied, in order to form plastic hinges in a number of sections sufficient for the development of overall structural (plastic) instability, while all other design actions remain constant</w:t>
            </w:r>
          </w:p>
        </w:tc>
      </w:tr>
      <w:tr w:rsidR="006633B5" w:rsidRPr="006633B5" w14:paraId="43323CC7" w14:textId="77777777" w:rsidTr="006633B5">
        <w:tc>
          <w:tcPr>
            <w:tcW w:w="1093" w:type="dxa"/>
            <w:shd w:val="clear" w:color="auto" w:fill="auto"/>
          </w:tcPr>
          <w:p w14:paraId="6D127805" w14:textId="77777777" w:rsidR="006633B5" w:rsidRPr="006633B5" w:rsidRDefault="006633B5" w:rsidP="00E10A24">
            <w:pPr>
              <w:pStyle w:val="Tablebody"/>
              <w:spacing w:after="80"/>
            </w:pPr>
            <w:r w:rsidRPr="006633B5">
              <w:rPr>
                <w:i/>
              </w:rPr>
              <w:t>α</w:t>
            </w:r>
            <w:r w:rsidRPr="006633B5">
              <w:rPr>
                <w:vertAlign w:val="subscript"/>
              </w:rPr>
              <w:t>ult</w:t>
            </w:r>
          </w:p>
        </w:tc>
        <w:tc>
          <w:tcPr>
            <w:tcW w:w="8758" w:type="dxa"/>
            <w:shd w:val="clear" w:color="auto" w:fill="auto"/>
          </w:tcPr>
          <w:p w14:paraId="78933A58" w14:textId="77777777" w:rsidR="006633B5" w:rsidRPr="006633B5" w:rsidRDefault="006633B5" w:rsidP="00E10A24">
            <w:pPr>
              <w:pStyle w:val="Tablebody"/>
              <w:spacing w:after="80"/>
            </w:pPr>
            <w:r w:rsidRPr="006633B5">
              <w:t>angle between the integrity bars and the flat slab plan at failure</w:t>
            </w:r>
          </w:p>
        </w:tc>
      </w:tr>
      <w:tr w:rsidR="006633B5" w:rsidRPr="006633B5" w14:paraId="04EEC1E8" w14:textId="77777777" w:rsidTr="006633B5">
        <w:tc>
          <w:tcPr>
            <w:tcW w:w="1093" w:type="dxa"/>
            <w:shd w:val="clear" w:color="auto" w:fill="auto"/>
          </w:tcPr>
          <w:p w14:paraId="79526D0A" w14:textId="77777777" w:rsidR="006633B5" w:rsidRPr="006633B5" w:rsidRDefault="006633B5" w:rsidP="00E10A24">
            <w:pPr>
              <w:pStyle w:val="Tablebody"/>
              <w:spacing w:after="80"/>
            </w:pPr>
            <w:r w:rsidRPr="006633B5">
              <w:rPr>
                <w:rFonts w:ascii="Symbol" w:hAnsi="Symbol"/>
                <w:i/>
              </w:rPr>
              <w:t></w:t>
            </w:r>
            <w:r w:rsidRPr="006633B5">
              <w:rPr>
                <w:iCs/>
                <w:vertAlign w:val="subscript"/>
              </w:rPr>
              <w:t>ve</w:t>
            </w:r>
          </w:p>
        </w:tc>
        <w:tc>
          <w:tcPr>
            <w:tcW w:w="8758" w:type="dxa"/>
            <w:shd w:val="clear" w:color="auto" w:fill="auto"/>
          </w:tcPr>
          <w:p w14:paraId="6A2E1529" w14:textId="77777777" w:rsidR="006633B5" w:rsidRPr="006633B5" w:rsidRDefault="006633B5" w:rsidP="00E10A24">
            <w:pPr>
              <w:pStyle w:val="Tablebody"/>
              <w:spacing w:after="80"/>
            </w:pPr>
            <w:r w:rsidRPr="006633B5">
              <w:t>velocity exponent of a velocity-dependent energy dissipation device</w:t>
            </w:r>
          </w:p>
        </w:tc>
      </w:tr>
      <w:tr w:rsidR="006633B5" w:rsidRPr="006633B5" w14:paraId="338416BC" w14:textId="77777777" w:rsidTr="006633B5">
        <w:tc>
          <w:tcPr>
            <w:tcW w:w="1093" w:type="dxa"/>
            <w:shd w:val="clear" w:color="auto" w:fill="auto"/>
          </w:tcPr>
          <w:p w14:paraId="569185FF" w14:textId="77777777" w:rsidR="006633B5" w:rsidRPr="006633B5" w:rsidRDefault="006633B5" w:rsidP="00E10A24">
            <w:pPr>
              <w:pStyle w:val="Tablebody"/>
              <w:spacing w:after="80"/>
            </w:pPr>
            <w:r w:rsidRPr="006633B5">
              <w:rPr>
                <w:rFonts w:ascii="Symbol" w:eastAsia="Symbol" w:hAnsi="Symbol" w:cs="Symbol"/>
                <w:i/>
              </w:rPr>
              <w:t></w:t>
            </w:r>
            <w:r w:rsidRPr="006633B5">
              <w:rPr>
                <w:vertAlign w:val="subscript"/>
              </w:rPr>
              <w:t>a</w:t>
            </w:r>
          </w:p>
        </w:tc>
        <w:tc>
          <w:tcPr>
            <w:tcW w:w="8758" w:type="dxa"/>
            <w:shd w:val="clear" w:color="auto" w:fill="auto"/>
          </w:tcPr>
          <w:p w14:paraId="27CE61A1" w14:textId="77777777" w:rsidR="006633B5" w:rsidRPr="006633B5" w:rsidRDefault="006633B5" w:rsidP="00E10A24">
            <w:pPr>
              <w:pStyle w:val="Tablebody"/>
              <w:spacing w:after="80"/>
            </w:pPr>
            <w:r w:rsidRPr="006633B5">
              <w:t>performance factor of ancillary element</w:t>
            </w:r>
          </w:p>
        </w:tc>
      </w:tr>
      <w:tr w:rsidR="006633B5" w:rsidRPr="006633B5" w14:paraId="128BA831" w14:textId="77777777" w:rsidTr="006633B5">
        <w:tc>
          <w:tcPr>
            <w:tcW w:w="1093" w:type="dxa"/>
            <w:shd w:val="clear" w:color="auto" w:fill="auto"/>
          </w:tcPr>
          <w:p w14:paraId="6D68FB71" w14:textId="77777777" w:rsidR="006633B5" w:rsidRPr="006633B5" w:rsidRDefault="006633B5" w:rsidP="00E10A24">
            <w:pPr>
              <w:pStyle w:val="Tablebody"/>
              <w:spacing w:after="80"/>
            </w:pPr>
            <w:r w:rsidRPr="006633B5">
              <w:rPr>
                <w:i/>
              </w:rPr>
              <w:t>γ</w:t>
            </w:r>
            <w:r w:rsidRPr="006633B5">
              <w:rPr>
                <w:vertAlign w:val="subscript"/>
              </w:rPr>
              <w:t>c</w:t>
            </w:r>
          </w:p>
        </w:tc>
        <w:tc>
          <w:tcPr>
            <w:tcW w:w="8758" w:type="dxa"/>
            <w:shd w:val="clear" w:color="auto" w:fill="auto"/>
          </w:tcPr>
          <w:p w14:paraId="6F831363" w14:textId="77777777" w:rsidR="006633B5" w:rsidRPr="006633B5" w:rsidRDefault="006633B5" w:rsidP="00E10A24">
            <w:pPr>
              <w:pStyle w:val="Tablebody"/>
              <w:spacing w:after="80"/>
            </w:pPr>
            <w:r w:rsidRPr="006633B5">
              <w:t>partial safety factor for concrete</w:t>
            </w:r>
          </w:p>
        </w:tc>
      </w:tr>
      <w:tr w:rsidR="006633B5" w:rsidRPr="006633B5" w14:paraId="1FF1368F" w14:textId="77777777" w:rsidTr="006633B5">
        <w:tc>
          <w:tcPr>
            <w:tcW w:w="1093" w:type="dxa"/>
            <w:shd w:val="clear" w:color="auto" w:fill="auto"/>
          </w:tcPr>
          <w:p w14:paraId="12C01095" w14:textId="77777777" w:rsidR="006633B5" w:rsidRPr="006633B5" w:rsidRDefault="006633B5" w:rsidP="00E10A24">
            <w:pPr>
              <w:pStyle w:val="Tablebody"/>
              <w:spacing w:after="80"/>
            </w:pPr>
            <w:r w:rsidRPr="006633B5">
              <w:rPr>
                <w:i/>
              </w:rPr>
              <w:t>γ</w:t>
            </w:r>
            <w:r w:rsidRPr="006633B5">
              <w:rPr>
                <w:vertAlign w:val="subscript"/>
              </w:rPr>
              <w:t>CT</w:t>
            </w:r>
          </w:p>
        </w:tc>
        <w:tc>
          <w:tcPr>
            <w:tcW w:w="8758" w:type="dxa"/>
            <w:shd w:val="clear" w:color="auto" w:fill="auto"/>
          </w:tcPr>
          <w:p w14:paraId="6D48E11E" w14:textId="77777777" w:rsidR="006633B5" w:rsidRPr="006633B5" w:rsidRDefault="006633B5" w:rsidP="00E10A24">
            <w:pPr>
              <w:pStyle w:val="Tablebody"/>
              <w:spacing w:after="80"/>
            </w:pPr>
            <w:r w:rsidRPr="006633B5">
              <w:t>compression strength adjustment factor in buckling restrained braces</w:t>
            </w:r>
          </w:p>
        </w:tc>
      </w:tr>
      <w:tr w:rsidR="006633B5" w:rsidRPr="006633B5" w14:paraId="287CF2FF" w14:textId="77777777" w:rsidTr="006633B5">
        <w:tc>
          <w:tcPr>
            <w:tcW w:w="1093" w:type="dxa"/>
            <w:shd w:val="clear" w:color="auto" w:fill="auto"/>
          </w:tcPr>
          <w:p w14:paraId="03C6CCC4" w14:textId="77777777" w:rsidR="006633B5" w:rsidRPr="006633B5" w:rsidRDefault="006633B5" w:rsidP="00E10A24">
            <w:pPr>
              <w:pStyle w:val="Tablebody"/>
              <w:spacing w:after="80"/>
            </w:pPr>
            <w:r w:rsidRPr="006633B5">
              <w:rPr>
                <w:rFonts w:ascii="Symbol" w:eastAsia="Symbol" w:hAnsi="Symbol" w:cs="Symbol"/>
                <w:i/>
              </w:rPr>
              <w:t></w:t>
            </w:r>
            <w:r w:rsidRPr="006633B5">
              <w:rPr>
                <w:vertAlign w:val="subscript"/>
              </w:rPr>
              <w:t>d</w:t>
            </w:r>
          </w:p>
        </w:tc>
        <w:tc>
          <w:tcPr>
            <w:tcW w:w="8758" w:type="dxa"/>
            <w:shd w:val="clear" w:color="auto" w:fill="auto"/>
          </w:tcPr>
          <w:p w14:paraId="7CAA333F" w14:textId="77777777" w:rsidR="006633B5" w:rsidRPr="006633B5" w:rsidRDefault="006633B5" w:rsidP="00E10A24">
            <w:pPr>
              <w:pStyle w:val="Tablebody"/>
              <w:spacing w:after="80"/>
            </w:pPr>
            <w:r w:rsidRPr="006633B5">
              <w:t>overstrength factor which is used for multiplication of the seismic action effects in the diaphragm obtained from the analysis</w:t>
            </w:r>
          </w:p>
        </w:tc>
      </w:tr>
      <w:tr w:rsidR="006633B5" w:rsidRPr="006633B5" w14:paraId="5F662826" w14:textId="77777777" w:rsidTr="006633B5">
        <w:tc>
          <w:tcPr>
            <w:tcW w:w="1093" w:type="dxa"/>
            <w:shd w:val="clear" w:color="auto" w:fill="auto"/>
          </w:tcPr>
          <w:p w14:paraId="5C82E4E5" w14:textId="77777777" w:rsidR="006633B5" w:rsidRPr="006633B5" w:rsidRDefault="006633B5" w:rsidP="00E10A24">
            <w:pPr>
              <w:pStyle w:val="Tablebody"/>
              <w:spacing w:after="80"/>
            </w:pPr>
            <w:r w:rsidRPr="006633B5">
              <w:rPr>
                <w:i/>
              </w:rPr>
              <w:t>γ</w:t>
            </w:r>
            <w:r w:rsidRPr="006633B5">
              <w:rPr>
                <w:iCs/>
                <w:vertAlign w:val="subscript"/>
              </w:rPr>
              <w:t>DL,CC</w:t>
            </w:r>
          </w:p>
        </w:tc>
        <w:tc>
          <w:tcPr>
            <w:tcW w:w="8758" w:type="dxa"/>
            <w:shd w:val="clear" w:color="auto" w:fill="auto"/>
          </w:tcPr>
          <w:p w14:paraId="2494113D" w14:textId="77777777" w:rsidR="006633B5" w:rsidRPr="006633B5" w:rsidRDefault="006633B5" w:rsidP="00E10A24">
            <w:pPr>
              <w:pStyle w:val="Tablebody"/>
              <w:spacing w:after="80"/>
            </w:pPr>
            <w:r w:rsidRPr="006633B5">
              <w:t>performance factor for DL limit state and a Consequence Class CC</w:t>
            </w:r>
          </w:p>
        </w:tc>
      </w:tr>
      <w:tr w:rsidR="006633B5" w:rsidRPr="006633B5" w14:paraId="78702AF8" w14:textId="77777777" w:rsidTr="006633B5">
        <w:tc>
          <w:tcPr>
            <w:tcW w:w="1093" w:type="dxa"/>
            <w:shd w:val="clear" w:color="auto" w:fill="auto"/>
          </w:tcPr>
          <w:p w14:paraId="6D1F3595" w14:textId="77777777" w:rsidR="006633B5" w:rsidRPr="006633B5" w:rsidRDefault="006633B5" w:rsidP="00E10A24">
            <w:pPr>
              <w:pStyle w:val="Tablebody"/>
              <w:spacing w:after="80"/>
              <w:rPr>
                <w:i/>
              </w:rPr>
            </w:pPr>
            <w:r w:rsidRPr="006633B5">
              <w:rPr>
                <w:i/>
              </w:rPr>
              <w:t>γ</w:t>
            </w:r>
            <w:r w:rsidRPr="006633B5">
              <w:rPr>
                <w:vertAlign w:val="subscript"/>
              </w:rPr>
              <w:t>M</w:t>
            </w:r>
          </w:p>
        </w:tc>
        <w:tc>
          <w:tcPr>
            <w:tcW w:w="8758" w:type="dxa"/>
            <w:shd w:val="clear" w:color="auto" w:fill="auto"/>
          </w:tcPr>
          <w:p w14:paraId="61579807" w14:textId="77777777" w:rsidR="006633B5" w:rsidRPr="006633B5" w:rsidRDefault="006633B5" w:rsidP="00E10A24">
            <w:pPr>
              <w:pStyle w:val="Tablebody"/>
              <w:spacing w:after="80"/>
            </w:pPr>
            <w:r w:rsidRPr="006633B5">
              <w:t>partial safety factor for material properties in the seismic design situation</w:t>
            </w:r>
          </w:p>
        </w:tc>
      </w:tr>
      <w:tr w:rsidR="006633B5" w:rsidRPr="006633B5" w14:paraId="14FAC553" w14:textId="77777777" w:rsidTr="006633B5">
        <w:tc>
          <w:tcPr>
            <w:tcW w:w="1093" w:type="dxa"/>
            <w:shd w:val="clear" w:color="auto" w:fill="auto"/>
          </w:tcPr>
          <w:p w14:paraId="022D518D" w14:textId="77777777" w:rsidR="006633B5" w:rsidRPr="006633B5" w:rsidRDefault="006633B5" w:rsidP="00E10A24">
            <w:pPr>
              <w:pStyle w:val="Tablebody"/>
              <w:spacing w:after="80"/>
            </w:pPr>
            <w:r w:rsidRPr="006633B5">
              <w:rPr>
                <w:rFonts w:ascii="Symbol" w:eastAsia="Symbol" w:hAnsi="Symbol" w:cs="Symbol"/>
                <w:i/>
              </w:rPr>
              <w:t></w:t>
            </w:r>
            <w:r w:rsidRPr="006633B5">
              <w:rPr>
                <w:vertAlign w:val="subscript"/>
              </w:rPr>
              <w:t>M,SD</w:t>
            </w:r>
          </w:p>
        </w:tc>
        <w:tc>
          <w:tcPr>
            <w:tcW w:w="8758" w:type="dxa"/>
            <w:shd w:val="clear" w:color="auto" w:fill="auto"/>
          </w:tcPr>
          <w:p w14:paraId="1F9E3F9A" w14:textId="77777777" w:rsidR="006633B5" w:rsidRPr="006633B5" w:rsidRDefault="006633B5" w:rsidP="00E10A24">
            <w:pPr>
              <w:pStyle w:val="Tablebody"/>
              <w:spacing w:after="80"/>
            </w:pPr>
            <w:r w:rsidRPr="006633B5">
              <w:t>partial factors on resistance of masonry</w:t>
            </w:r>
          </w:p>
        </w:tc>
      </w:tr>
      <w:tr w:rsidR="006633B5" w:rsidRPr="006633B5" w14:paraId="79B06502" w14:textId="77777777" w:rsidTr="006633B5">
        <w:tc>
          <w:tcPr>
            <w:tcW w:w="1093" w:type="dxa"/>
            <w:shd w:val="clear" w:color="auto" w:fill="auto"/>
          </w:tcPr>
          <w:p w14:paraId="7370CB7A" w14:textId="77777777" w:rsidR="006633B5" w:rsidRPr="006633B5" w:rsidRDefault="006633B5" w:rsidP="00E10A24">
            <w:pPr>
              <w:pStyle w:val="Tablebody"/>
              <w:spacing w:after="80"/>
            </w:pPr>
            <w:r w:rsidRPr="006633B5">
              <w:rPr>
                <w:rFonts w:ascii="Symbol" w:eastAsia="Symbol" w:hAnsi="Symbol" w:cs="Symbol"/>
                <w:i/>
              </w:rPr>
              <w:t></w:t>
            </w:r>
            <w:r w:rsidRPr="006633B5">
              <w:rPr>
                <w:vertAlign w:val="subscript"/>
              </w:rPr>
              <w:t>Rd</w:t>
            </w:r>
          </w:p>
        </w:tc>
        <w:tc>
          <w:tcPr>
            <w:tcW w:w="8758" w:type="dxa"/>
            <w:shd w:val="clear" w:color="auto" w:fill="auto"/>
          </w:tcPr>
          <w:p w14:paraId="493B0EB7" w14:textId="77777777" w:rsidR="006633B5" w:rsidRPr="006633B5" w:rsidRDefault="006633B5" w:rsidP="00E10A24">
            <w:pPr>
              <w:pStyle w:val="Tablebody"/>
              <w:spacing w:after="80"/>
            </w:pPr>
            <w:r w:rsidRPr="006633B5">
              <w:t>overstrength factor used for reinforced concrete and timber design</w:t>
            </w:r>
          </w:p>
        </w:tc>
      </w:tr>
      <w:tr w:rsidR="006633B5" w:rsidRPr="006633B5" w14:paraId="6CEF3089" w14:textId="77777777" w:rsidTr="006633B5">
        <w:tc>
          <w:tcPr>
            <w:tcW w:w="1093" w:type="dxa"/>
            <w:shd w:val="clear" w:color="auto" w:fill="auto"/>
          </w:tcPr>
          <w:p w14:paraId="7F1FF875" w14:textId="77777777" w:rsidR="006633B5" w:rsidRPr="006633B5" w:rsidRDefault="006633B5" w:rsidP="00E10A24">
            <w:pPr>
              <w:pStyle w:val="Tablebody"/>
              <w:spacing w:after="80"/>
            </w:pPr>
            <w:r w:rsidRPr="006633B5">
              <w:rPr>
                <w:rFonts w:ascii="Symbol" w:eastAsia="Symbol" w:hAnsi="Symbol" w:cs="Symbol"/>
                <w:i/>
              </w:rPr>
              <w:t></w:t>
            </w:r>
            <w:r w:rsidRPr="006633B5">
              <w:rPr>
                <w:vertAlign w:val="subscript"/>
              </w:rPr>
              <w:t>Rd,NC</w:t>
            </w:r>
          </w:p>
        </w:tc>
        <w:tc>
          <w:tcPr>
            <w:tcW w:w="8758" w:type="dxa"/>
            <w:shd w:val="clear" w:color="auto" w:fill="auto"/>
          </w:tcPr>
          <w:p w14:paraId="088B8EBA" w14:textId="77777777" w:rsidR="006633B5" w:rsidRPr="006633B5" w:rsidRDefault="006633B5" w:rsidP="00E10A24">
            <w:pPr>
              <w:pStyle w:val="Tablebody"/>
              <w:spacing w:after="80"/>
            </w:pPr>
            <w:r w:rsidRPr="006633B5">
              <w:t xml:space="preserve">partial factors on resistance at NC limit state </w:t>
            </w:r>
          </w:p>
        </w:tc>
      </w:tr>
      <w:tr w:rsidR="006633B5" w:rsidRPr="006633B5" w14:paraId="7DA37CD9" w14:textId="77777777" w:rsidTr="006633B5">
        <w:tc>
          <w:tcPr>
            <w:tcW w:w="1093" w:type="dxa"/>
            <w:shd w:val="clear" w:color="auto" w:fill="auto"/>
          </w:tcPr>
          <w:p w14:paraId="2F25F61A" w14:textId="77777777" w:rsidR="006633B5" w:rsidRPr="006633B5" w:rsidRDefault="006633B5" w:rsidP="00E10A24">
            <w:pPr>
              <w:pStyle w:val="Tablebody"/>
              <w:spacing w:after="80"/>
            </w:pPr>
            <w:r w:rsidRPr="006633B5">
              <w:rPr>
                <w:rFonts w:ascii="Symbol" w:eastAsia="Symbol" w:hAnsi="Symbol" w:cs="Symbol"/>
                <w:i/>
              </w:rPr>
              <w:t></w:t>
            </w:r>
            <w:r w:rsidRPr="006633B5">
              <w:rPr>
                <w:vertAlign w:val="subscript"/>
              </w:rPr>
              <w:t>Rd,SD</w:t>
            </w:r>
          </w:p>
        </w:tc>
        <w:tc>
          <w:tcPr>
            <w:tcW w:w="8758" w:type="dxa"/>
            <w:shd w:val="clear" w:color="auto" w:fill="auto"/>
          </w:tcPr>
          <w:p w14:paraId="5E5F0083" w14:textId="77777777" w:rsidR="006633B5" w:rsidRPr="006633B5" w:rsidRDefault="006633B5" w:rsidP="00E10A24">
            <w:pPr>
              <w:pStyle w:val="Tablebody"/>
              <w:spacing w:after="80"/>
            </w:pPr>
            <w:r w:rsidRPr="006633B5">
              <w:t xml:space="preserve">partial factors on resistance at SD limit state </w:t>
            </w:r>
          </w:p>
        </w:tc>
      </w:tr>
      <w:tr w:rsidR="006633B5" w:rsidRPr="006633B5" w14:paraId="25236879" w14:textId="77777777" w:rsidTr="006633B5">
        <w:tc>
          <w:tcPr>
            <w:tcW w:w="1093" w:type="dxa"/>
            <w:shd w:val="clear" w:color="auto" w:fill="auto"/>
          </w:tcPr>
          <w:p w14:paraId="03F99A2E" w14:textId="77777777" w:rsidR="006633B5" w:rsidRPr="006633B5" w:rsidRDefault="006633B5" w:rsidP="00E10A24">
            <w:pPr>
              <w:pStyle w:val="Tablebody"/>
              <w:spacing w:after="80"/>
            </w:pPr>
            <w:r w:rsidRPr="006633B5">
              <w:rPr>
                <w:i/>
              </w:rPr>
              <w:t>γ</w:t>
            </w:r>
            <w:r w:rsidRPr="006633B5">
              <w:rPr>
                <w:vertAlign w:val="subscript"/>
              </w:rPr>
              <w:t>s</w:t>
            </w:r>
          </w:p>
        </w:tc>
        <w:tc>
          <w:tcPr>
            <w:tcW w:w="8758" w:type="dxa"/>
            <w:shd w:val="clear" w:color="auto" w:fill="auto"/>
          </w:tcPr>
          <w:p w14:paraId="199C883E" w14:textId="77777777" w:rsidR="006633B5" w:rsidRPr="006633B5" w:rsidRDefault="006633B5" w:rsidP="00E10A24">
            <w:pPr>
              <w:pStyle w:val="Tablebody"/>
              <w:spacing w:after="80"/>
            </w:pPr>
            <w:r w:rsidRPr="006633B5">
              <w:t>partial safety factors for reinforcing steel</w:t>
            </w:r>
          </w:p>
        </w:tc>
      </w:tr>
      <w:tr w:rsidR="006633B5" w:rsidRPr="006633B5" w14:paraId="3664904B" w14:textId="77777777" w:rsidTr="006633B5">
        <w:tc>
          <w:tcPr>
            <w:tcW w:w="1093" w:type="dxa"/>
            <w:shd w:val="clear" w:color="auto" w:fill="auto"/>
          </w:tcPr>
          <w:p w14:paraId="5A6BBB67" w14:textId="77777777" w:rsidR="006633B5" w:rsidRPr="006633B5" w:rsidRDefault="006633B5" w:rsidP="00E10A24">
            <w:pPr>
              <w:pStyle w:val="Tablebody"/>
              <w:spacing w:after="80"/>
            </w:pPr>
            <w:r w:rsidRPr="006633B5">
              <w:rPr>
                <w:i/>
              </w:rPr>
              <w:t>γ</w:t>
            </w:r>
            <w:r w:rsidRPr="006633B5">
              <w:rPr>
                <w:vertAlign w:val="subscript"/>
              </w:rPr>
              <w:t>SB</w:t>
            </w:r>
          </w:p>
        </w:tc>
        <w:tc>
          <w:tcPr>
            <w:tcW w:w="8758" w:type="dxa"/>
            <w:shd w:val="clear" w:color="auto" w:fill="auto"/>
          </w:tcPr>
          <w:p w14:paraId="72014943" w14:textId="77777777" w:rsidR="006633B5" w:rsidRPr="006633B5" w:rsidRDefault="006633B5" w:rsidP="00E10A24">
            <w:pPr>
              <w:pStyle w:val="Tablebody"/>
              <w:spacing w:after="80"/>
              <w:rPr>
                <w:szCs w:val="22"/>
              </w:rPr>
            </w:pPr>
            <w:r w:rsidRPr="006633B5">
              <w:t>partial safety factor in the calculation of the required area of masonry walls</w:t>
            </w:r>
          </w:p>
        </w:tc>
      </w:tr>
      <w:tr w:rsidR="006633B5" w:rsidRPr="006633B5" w14:paraId="591B2D3B" w14:textId="77777777" w:rsidTr="006633B5">
        <w:tc>
          <w:tcPr>
            <w:tcW w:w="1093" w:type="dxa"/>
            <w:shd w:val="clear" w:color="auto" w:fill="auto"/>
          </w:tcPr>
          <w:p w14:paraId="4B0057F3" w14:textId="77777777" w:rsidR="006633B5" w:rsidRPr="006633B5" w:rsidRDefault="006633B5" w:rsidP="00E10A24">
            <w:pPr>
              <w:pStyle w:val="Tablebody"/>
              <w:spacing w:after="80"/>
              <w:rPr>
                <w:rFonts w:cs="Times New Roman"/>
                <w:bCs/>
              </w:rPr>
            </w:pPr>
            <w:r w:rsidRPr="006633B5">
              <w:rPr>
                <w:rFonts w:ascii="Symbol" w:eastAsia="Symbol" w:hAnsi="Symbol" w:cs="Symbol"/>
                <w:bCs/>
                <w:i/>
              </w:rPr>
              <w:lastRenderedPageBreak/>
              <w:t></w:t>
            </w:r>
            <w:r w:rsidRPr="006633B5">
              <w:rPr>
                <w:rFonts w:cs="Times New Roman"/>
                <w:bCs/>
                <w:vertAlign w:val="subscript"/>
              </w:rPr>
              <w:t>s,SD</w:t>
            </w:r>
          </w:p>
        </w:tc>
        <w:tc>
          <w:tcPr>
            <w:tcW w:w="8758" w:type="dxa"/>
            <w:shd w:val="clear" w:color="auto" w:fill="auto"/>
          </w:tcPr>
          <w:p w14:paraId="673AE2C9" w14:textId="77777777" w:rsidR="006633B5" w:rsidRPr="006633B5" w:rsidRDefault="006633B5" w:rsidP="00E10A24">
            <w:pPr>
              <w:pStyle w:val="Tablebody"/>
              <w:spacing w:after="80"/>
              <w:rPr>
                <w:szCs w:val="22"/>
              </w:rPr>
            </w:pPr>
            <w:r w:rsidRPr="006633B5">
              <w:t xml:space="preserve">partial factors on resistance at SD limit state </w:t>
            </w:r>
            <w:r w:rsidRPr="006633B5">
              <w:rPr>
                <w:rFonts w:cs="Times New Roman"/>
                <w:bCs/>
              </w:rPr>
              <w:t>for reinforcing steel</w:t>
            </w:r>
          </w:p>
        </w:tc>
      </w:tr>
      <w:tr w:rsidR="006633B5" w:rsidRPr="006633B5" w14:paraId="1EB2C147" w14:textId="77777777" w:rsidTr="006633B5">
        <w:tc>
          <w:tcPr>
            <w:tcW w:w="1093" w:type="dxa"/>
            <w:shd w:val="clear" w:color="auto" w:fill="auto"/>
          </w:tcPr>
          <w:p w14:paraId="02A32613" w14:textId="77777777" w:rsidR="006633B5" w:rsidRPr="006633B5" w:rsidRDefault="006633B5" w:rsidP="00E10A24">
            <w:pPr>
              <w:pStyle w:val="Tablebody"/>
              <w:spacing w:after="80"/>
              <w:rPr>
                <w:i/>
              </w:rPr>
            </w:pPr>
            <w:r w:rsidRPr="006633B5">
              <w:rPr>
                <w:rFonts w:ascii="Symbol" w:eastAsia="Symbol" w:hAnsi="Symbol" w:cs="Symbol"/>
                <w:i/>
                <w:iCs/>
              </w:rPr>
              <w:t></w:t>
            </w:r>
            <w:r w:rsidRPr="006633B5">
              <w:rPr>
                <w:iCs/>
                <w:vertAlign w:val="subscript"/>
              </w:rPr>
              <w:t>x</w:t>
            </w:r>
          </w:p>
        </w:tc>
        <w:tc>
          <w:tcPr>
            <w:tcW w:w="8758" w:type="dxa"/>
            <w:shd w:val="clear" w:color="auto" w:fill="auto"/>
          </w:tcPr>
          <w:p w14:paraId="47F8611F" w14:textId="77777777" w:rsidR="006633B5" w:rsidRPr="006633B5" w:rsidRDefault="006633B5" w:rsidP="00E10A24">
            <w:pPr>
              <w:pStyle w:val="Tablebody"/>
              <w:spacing w:after="80"/>
            </w:pPr>
            <w:r w:rsidRPr="006633B5">
              <w:t>amplification factor for energy dissipation devices</w:t>
            </w:r>
          </w:p>
        </w:tc>
      </w:tr>
      <w:tr w:rsidR="006633B5" w:rsidRPr="006633B5" w14:paraId="760FD288" w14:textId="77777777" w:rsidTr="006633B5">
        <w:tc>
          <w:tcPr>
            <w:tcW w:w="1093" w:type="dxa"/>
            <w:shd w:val="clear" w:color="auto" w:fill="auto"/>
          </w:tcPr>
          <w:p w14:paraId="4AAD7132" w14:textId="77777777" w:rsidR="006633B5" w:rsidRPr="006633B5" w:rsidRDefault="006633B5" w:rsidP="00E10A24">
            <w:pPr>
              <w:pStyle w:val="Tablebody"/>
              <w:spacing w:after="80"/>
            </w:pPr>
            <w:r w:rsidRPr="006633B5">
              <w:rPr>
                <w:rFonts w:ascii="Symbol" w:eastAsia="Symbol" w:hAnsi="Symbol" w:cs="Symbol"/>
                <w:i/>
              </w:rPr>
              <w:t></w:t>
            </w:r>
            <w:r w:rsidRPr="006633B5">
              <w:rPr>
                <w:iCs/>
                <w:vertAlign w:val="subscript"/>
              </w:rPr>
              <w:t>lag</w:t>
            </w:r>
          </w:p>
        </w:tc>
        <w:tc>
          <w:tcPr>
            <w:tcW w:w="8758" w:type="dxa"/>
            <w:shd w:val="clear" w:color="auto" w:fill="auto"/>
          </w:tcPr>
          <w:p w14:paraId="7ADC720A" w14:textId="77777777" w:rsidR="006633B5" w:rsidRPr="006633B5" w:rsidRDefault="006633B5" w:rsidP="00E10A24">
            <w:pPr>
              <w:pStyle w:val="Tablebody"/>
              <w:spacing w:after="80"/>
            </w:pPr>
            <w:r w:rsidRPr="006633B5">
              <w:t>phase lag angle</w:t>
            </w:r>
          </w:p>
        </w:tc>
      </w:tr>
      <w:tr w:rsidR="006633B5" w:rsidRPr="006633B5" w14:paraId="54DB6D97" w14:textId="77777777" w:rsidTr="006633B5">
        <w:tc>
          <w:tcPr>
            <w:tcW w:w="1093" w:type="dxa"/>
            <w:shd w:val="clear" w:color="auto" w:fill="auto"/>
          </w:tcPr>
          <w:p w14:paraId="580C90A2" w14:textId="3FB6B728" w:rsidR="006633B5" w:rsidRPr="006633B5" w:rsidRDefault="006633B5" w:rsidP="00E10A24">
            <w:pPr>
              <w:pStyle w:val="Tablebody"/>
              <w:spacing w:after="80"/>
            </w:pPr>
            <w:bookmarkStart w:id="579" w:name="_Hlk38718717"/>
            <w:r w:rsidRPr="006633B5">
              <w:rPr>
                <w:i/>
                <w:iCs/>
              </w:rPr>
              <w:t>δ</w:t>
            </w:r>
            <w:bookmarkEnd w:id="579"/>
          </w:p>
        </w:tc>
        <w:tc>
          <w:tcPr>
            <w:tcW w:w="8758" w:type="dxa"/>
            <w:shd w:val="clear" w:color="auto" w:fill="auto"/>
          </w:tcPr>
          <w:p w14:paraId="75157FF9" w14:textId="1D38CE31" w:rsidR="006633B5" w:rsidRPr="006633B5" w:rsidRDefault="006633B5" w:rsidP="00E10A24">
            <w:pPr>
              <w:pStyle w:val="Tablebody"/>
              <w:spacing w:after="80"/>
            </w:pPr>
            <w:r w:rsidRPr="006633B5">
              <w:t>general</w:t>
            </w:r>
            <w:r w:rsidR="00E10A24">
              <w:t>ize</w:t>
            </w:r>
            <w:r w:rsidRPr="006633B5">
              <w:t>d deformation (displacement, rotation)</w:t>
            </w:r>
          </w:p>
        </w:tc>
      </w:tr>
      <w:tr w:rsidR="006633B5" w:rsidRPr="006633B5" w14:paraId="0284F943" w14:textId="77777777" w:rsidTr="006633B5">
        <w:tc>
          <w:tcPr>
            <w:tcW w:w="1093" w:type="dxa"/>
            <w:shd w:val="clear" w:color="auto" w:fill="auto"/>
          </w:tcPr>
          <w:p w14:paraId="010816B2" w14:textId="77777777" w:rsidR="006633B5" w:rsidRPr="006633B5" w:rsidRDefault="006633B5" w:rsidP="00E10A24">
            <w:pPr>
              <w:pStyle w:val="Tablebody"/>
              <w:spacing w:after="80"/>
              <w:rPr>
                <w:vertAlign w:val="subscript"/>
              </w:rPr>
            </w:pPr>
            <w:r w:rsidRPr="006633B5">
              <w:rPr>
                <w:i/>
                <w:iCs/>
              </w:rPr>
              <w:t>δ</w:t>
            </w:r>
            <w:r w:rsidRPr="006633B5">
              <w:rPr>
                <w:vertAlign w:val="subscript"/>
              </w:rPr>
              <w:t>Fmax</w:t>
            </w:r>
          </w:p>
        </w:tc>
        <w:tc>
          <w:tcPr>
            <w:tcW w:w="8758" w:type="dxa"/>
            <w:shd w:val="clear" w:color="auto" w:fill="auto"/>
          </w:tcPr>
          <w:p w14:paraId="2E5B602A" w14:textId="77777777" w:rsidR="006633B5" w:rsidRPr="006633B5" w:rsidRDefault="006633B5" w:rsidP="00E10A24">
            <w:pPr>
              <w:pStyle w:val="Tablebody"/>
              <w:spacing w:after="80"/>
            </w:pPr>
            <w:r w:rsidRPr="006633B5">
              <w:t>deformation at maximum load of a dissipative timber connection</w:t>
            </w:r>
          </w:p>
        </w:tc>
      </w:tr>
      <w:tr w:rsidR="006633B5" w:rsidRPr="006633B5" w14:paraId="447BF23C" w14:textId="77777777" w:rsidTr="006633B5">
        <w:tc>
          <w:tcPr>
            <w:tcW w:w="1093" w:type="dxa"/>
            <w:shd w:val="clear" w:color="auto" w:fill="auto"/>
          </w:tcPr>
          <w:p w14:paraId="425B41B0" w14:textId="77777777" w:rsidR="006633B5" w:rsidRPr="006633B5" w:rsidRDefault="006633B5" w:rsidP="00E10A24">
            <w:pPr>
              <w:pStyle w:val="Tablebody"/>
              <w:spacing w:after="80"/>
            </w:pPr>
            <w:r w:rsidRPr="006633B5">
              <w:rPr>
                <w:i/>
                <w:iCs/>
              </w:rPr>
              <w:t>δ</w:t>
            </w:r>
            <w:r w:rsidRPr="006633B5">
              <w:rPr>
                <w:vertAlign w:val="subscript"/>
              </w:rPr>
              <w:t>NC</w:t>
            </w:r>
          </w:p>
        </w:tc>
        <w:tc>
          <w:tcPr>
            <w:tcW w:w="8758" w:type="dxa"/>
            <w:shd w:val="clear" w:color="auto" w:fill="auto"/>
          </w:tcPr>
          <w:p w14:paraId="41F3E3EE" w14:textId="77777777" w:rsidR="006633B5" w:rsidRPr="006633B5" w:rsidRDefault="006633B5" w:rsidP="00E10A24">
            <w:pPr>
              <w:pStyle w:val="Tablebody"/>
              <w:spacing w:after="80"/>
            </w:pPr>
            <w:r w:rsidRPr="006633B5">
              <w:t>deformation at NC of a dissipative connection under seismic loading</w:t>
            </w:r>
          </w:p>
        </w:tc>
      </w:tr>
      <w:tr w:rsidR="006633B5" w:rsidRPr="006633B5" w14:paraId="36526392" w14:textId="77777777" w:rsidTr="006633B5">
        <w:tc>
          <w:tcPr>
            <w:tcW w:w="1093" w:type="dxa"/>
            <w:shd w:val="clear" w:color="auto" w:fill="auto"/>
          </w:tcPr>
          <w:p w14:paraId="6208BA4B" w14:textId="77777777" w:rsidR="006633B5" w:rsidRPr="006633B5" w:rsidRDefault="006633B5" w:rsidP="00E10A24">
            <w:pPr>
              <w:pStyle w:val="Tablebody"/>
              <w:spacing w:after="80"/>
            </w:pPr>
            <w:r w:rsidRPr="006633B5">
              <w:rPr>
                <w:i/>
                <w:iCs/>
              </w:rPr>
              <w:t>δ</w:t>
            </w:r>
            <w:r w:rsidRPr="006633B5">
              <w:rPr>
                <w:vertAlign w:val="subscript"/>
              </w:rPr>
              <w:t>SD</w:t>
            </w:r>
          </w:p>
        </w:tc>
        <w:tc>
          <w:tcPr>
            <w:tcW w:w="8758" w:type="dxa"/>
            <w:shd w:val="clear" w:color="auto" w:fill="auto"/>
          </w:tcPr>
          <w:p w14:paraId="03DFA891" w14:textId="77777777" w:rsidR="006633B5" w:rsidRPr="006633B5" w:rsidRDefault="006633B5" w:rsidP="00E10A24">
            <w:pPr>
              <w:pStyle w:val="Tablebody"/>
              <w:spacing w:after="80"/>
            </w:pPr>
            <w:r w:rsidRPr="006633B5">
              <w:t>deformation at SD of a dissipative connection under seismic loading</w:t>
            </w:r>
          </w:p>
        </w:tc>
      </w:tr>
      <w:tr w:rsidR="006633B5" w:rsidRPr="006633B5" w14:paraId="564F5013" w14:textId="77777777" w:rsidTr="006633B5">
        <w:tc>
          <w:tcPr>
            <w:tcW w:w="1093" w:type="dxa"/>
            <w:shd w:val="clear" w:color="auto" w:fill="auto"/>
          </w:tcPr>
          <w:p w14:paraId="11C2A7EA" w14:textId="77777777" w:rsidR="006633B5" w:rsidRPr="006633B5" w:rsidRDefault="006633B5" w:rsidP="00E10A24">
            <w:pPr>
              <w:pStyle w:val="Tablebody"/>
              <w:spacing w:after="80"/>
            </w:pPr>
            <w:r w:rsidRPr="006633B5">
              <w:rPr>
                <w:i/>
                <w:iCs/>
              </w:rPr>
              <w:t>δ</w:t>
            </w:r>
            <w:r w:rsidRPr="006633B5">
              <w:rPr>
                <w:vertAlign w:val="subscript"/>
              </w:rPr>
              <w:t>u</w:t>
            </w:r>
          </w:p>
        </w:tc>
        <w:tc>
          <w:tcPr>
            <w:tcW w:w="8758" w:type="dxa"/>
            <w:shd w:val="clear" w:color="auto" w:fill="auto"/>
          </w:tcPr>
          <w:p w14:paraId="73B0879C" w14:textId="77777777" w:rsidR="006633B5" w:rsidRPr="006633B5" w:rsidRDefault="006633B5" w:rsidP="00E10A24">
            <w:pPr>
              <w:pStyle w:val="Tablebody"/>
              <w:spacing w:after="80"/>
            </w:pPr>
            <w:r w:rsidRPr="006633B5">
              <w:t>ultimate deformation of a dissipative connection under seismic loading</w:t>
            </w:r>
          </w:p>
        </w:tc>
      </w:tr>
      <w:tr w:rsidR="006633B5" w:rsidRPr="006633B5" w14:paraId="34091BC0" w14:textId="77777777" w:rsidTr="006633B5">
        <w:tc>
          <w:tcPr>
            <w:tcW w:w="1093" w:type="dxa"/>
            <w:shd w:val="clear" w:color="auto" w:fill="auto"/>
          </w:tcPr>
          <w:p w14:paraId="3BBFD207" w14:textId="77777777" w:rsidR="006633B5" w:rsidRPr="006633B5" w:rsidRDefault="006633B5" w:rsidP="00E10A24">
            <w:pPr>
              <w:pStyle w:val="Tablebody"/>
              <w:spacing w:after="80"/>
              <w:jc w:val="left"/>
            </w:pPr>
            <w:r w:rsidRPr="006633B5">
              <w:rPr>
                <w:i/>
                <w:iCs/>
              </w:rPr>
              <w:t>δ</w:t>
            </w:r>
            <w:r w:rsidRPr="006633B5">
              <w:rPr>
                <w:vertAlign w:val="subscript"/>
              </w:rPr>
              <w:t>y</w:t>
            </w:r>
          </w:p>
        </w:tc>
        <w:tc>
          <w:tcPr>
            <w:tcW w:w="8758" w:type="dxa"/>
            <w:shd w:val="clear" w:color="auto" w:fill="auto"/>
          </w:tcPr>
          <w:p w14:paraId="48E92A50" w14:textId="77777777" w:rsidR="006633B5" w:rsidRPr="006633B5" w:rsidRDefault="006633B5" w:rsidP="00E10A24">
            <w:pPr>
              <w:pStyle w:val="Tablebody"/>
              <w:spacing w:after="80"/>
            </w:pPr>
            <w:r w:rsidRPr="006633B5">
              <w:t>yield deformation of a dissipative connection under seismic loading</w:t>
            </w:r>
          </w:p>
        </w:tc>
      </w:tr>
      <w:tr w:rsidR="006633B5" w:rsidRPr="006633B5" w14:paraId="4D8817D1" w14:textId="77777777" w:rsidTr="006633B5">
        <w:tc>
          <w:tcPr>
            <w:tcW w:w="1093" w:type="dxa"/>
            <w:shd w:val="clear" w:color="auto" w:fill="auto"/>
          </w:tcPr>
          <w:p w14:paraId="5C7A62AD" w14:textId="77777777" w:rsidR="006633B5" w:rsidRPr="006633B5" w:rsidRDefault="006633B5" w:rsidP="00E10A24">
            <w:pPr>
              <w:pStyle w:val="Tablebody"/>
              <w:spacing w:after="80"/>
              <w:jc w:val="left"/>
            </w:pPr>
            <w:r w:rsidRPr="006633B5">
              <w:rPr>
                <w:i/>
              </w:rPr>
              <w:t>ε</w:t>
            </w:r>
          </w:p>
        </w:tc>
        <w:tc>
          <w:tcPr>
            <w:tcW w:w="8758" w:type="dxa"/>
            <w:shd w:val="clear" w:color="auto" w:fill="auto"/>
          </w:tcPr>
          <w:p w14:paraId="5E285D17" w14:textId="77777777" w:rsidR="006633B5" w:rsidRPr="006633B5" w:rsidRDefault="006633B5" w:rsidP="00E10A24">
            <w:pPr>
              <w:pStyle w:val="Tablebody"/>
              <w:spacing w:after="80"/>
            </w:pPr>
            <w:r w:rsidRPr="006633B5">
              <w:t>shear magnification factor for walls</w:t>
            </w:r>
          </w:p>
        </w:tc>
      </w:tr>
      <w:tr w:rsidR="006633B5" w:rsidRPr="006633B5" w14:paraId="6E09ACAC" w14:textId="77777777" w:rsidTr="006633B5">
        <w:tc>
          <w:tcPr>
            <w:tcW w:w="1093" w:type="dxa"/>
            <w:shd w:val="clear" w:color="auto" w:fill="auto"/>
          </w:tcPr>
          <w:p w14:paraId="79068C4E" w14:textId="77777777" w:rsidR="006633B5" w:rsidRPr="00E3339F" w:rsidRDefault="009B5CEC" w:rsidP="00E10A24">
            <w:pPr>
              <w:pStyle w:val="Tablebody"/>
              <w:spacing w:after="80"/>
            </w:pPr>
            <m:oMathPara>
              <m:oMathParaPr>
                <m:jc m:val="left"/>
              </m:oMathParaPr>
              <m:oMath>
                <m:sSub>
                  <m:sSubPr>
                    <m:ctrlPr>
                      <w:rPr>
                        <w:rFonts w:ascii="Cambria Math" w:hAnsi="Cambria Math"/>
                        <w:i/>
                        <w:noProof/>
                      </w:rPr>
                    </m:ctrlPr>
                  </m:sSubPr>
                  <m:e>
                    <m:r>
                      <w:rPr>
                        <w:rFonts w:ascii="Cambria Math" w:hAnsi="Cambria Math"/>
                        <w:noProof/>
                      </w:rPr>
                      <m:t>ε</m:t>
                    </m:r>
                  </m:e>
                  <m:sub>
                    <m:r>
                      <m:rPr>
                        <m:sty m:val="p"/>
                      </m:rPr>
                      <w:rPr>
                        <w:rFonts w:ascii="Cambria Math" w:hAnsi="Cambria Math"/>
                        <w:noProof/>
                      </w:rPr>
                      <m:t>a</m:t>
                    </m:r>
                  </m:sub>
                </m:sSub>
              </m:oMath>
            </m:oMathPara>
          </w:p>
        </w:tc>
        <w:tc>
          <w:tcPr>
            <w:tcW w:w="8758" w:type="dxa"/>
            <w:shd w:val="clear" w:color="auto" w:fill="auto"/>
          </w:tcPr>
          <w:p w14:paraId="0B41954F" w14:textId="77777777" w:rsidR="006633B5" w:rsidRPr="006633B5" w:rsidRDefault="006633B5" w:rsidP="00E10A24">
            <w:pPr>
              <w:pStyle w:val="Tablebody"/>
              <w:spacing w:after="80"/>
            </w:pPr>
            <w:r w:rsidRPr="006633B5">
              <w:t>total strain of the steel profile in a composite section</w:t>
            </w:r>
          </w:p>
        </w:tc>
      </w:tr>
      <w:tr w:rsidR="006633B5" w:rsidRPr="006633B5" w14:paraId="7E2BBF46" w14:textId="77777777" w:rsidTr="006633B5">
        <w:tc>
          <w:tcPr>
            <w:tcW w:w="1093" w:type="dxa"/>
            <w:shd w:val="clear" w:color="auto" w:fill="auto"/>
          </w:tcPr>
          <w:p w14:paraId="04322C70" w14:textId="77777777" w:rsidR="006633B5" w:rsidRPr="006633B5" w:rsidRDefault="006633B5" w:rsidP="00E10A24">
            <w:pPr>
              <w:pStyle w:val="Tablebody"/>
              <w:spacing w:after="80"/>
            </w:pPr>
            <w:r w:rsidRPr="006633B5">
              <w:rPr>
                <w:i/>
              </w:rPr>
              <w:t>ε</w:t>
            </w:r>
            <w:r w:rsidRPr="006633B5">
              <w:rPr>
                <w:vertAlign w:val="subscript"/>
              </w:rPr>
              <w:t>cu</w:t>
            </w:r>
          </w:p>
        </w:tc>
        <w:tc>
          <w:tcPr>
            <w:tcW w:w="8758" w:type="dxa"/>
            <w:shd w:val="clear" w:color="auto" w:fill="auto"/>
          </w:tcPr>
          <w:p w14:paraId="13DF722C" w14:textId="77777777" w:rsidR="006633B5" w:rsidRPr="006633B5" w:rsidRDefault="006633B5" w:rsidP="00E10A24">
            <w:pPr>
              <w:pStyle w:val="Tablebody"/>
              <w:spacing w:after="80"/>
            </w:pPr>
            <w:r w:rsidRPr="006633B5">
              <w:t>unconfined concrete ultimate strain</w:t>
            </w:r>
          </w:p>
        </w:tc>
      </w:tr>
      <w:tr w:rsidR="006633B5" w:rsidRPr="006633B5" w14:paraId="3B1DE16A" w14:textId="77777777" w:rsidTr="006633B5">
        <w:tc>
          <w:tcPr>
            <w:tcW w:w="1093" w:type="dxa"/>
            <w:shd w:val="clear" w:color="auto" w:fill="auto"/>
          </w:tcPr>
          <w:p w14:paraId="6F55D098" w14:textId="77777777" w:rsidR="006633B5" w:rsidRPr="00E3339F" w:rsidRDefault="009B5CEC" w:rsidP="00E10A24">
            <w:pPr>
              <w:pStyle w:val="Tablebody"/>
              <w:spacing w:after="80"/>
              <w:rPr>
                <w:vertAlign w:val="subscript"/>
              </w:rPr>
            </w:pPr>
            <m:oMathPara>
              <m:oMathParaPr>
                <m:jc m:val="left"/>
              </m:oMathParaPr>
              <m:oMath>
                <m:sSub>
                  <m:sSubPr>
                    <m:ctrlPr>
                      <w:rPr>
                        <w:rFonts w:ascii="Cambria Math" w:hAnsi="Cambria Math"/>
                        <w:i/>
                        <w:noProof/>
                      </w:rPr>
                    </m:ctrlPr>
                  </m:sSubPr>
                  <m:e>
                    <m:r>
                      <w:rPr>
                        <w:rFonts w:ascii="Cambria Math" w:hAnsi="Cambria Math"/>
                        <w:noProof/>
                      </w:rPr>
                      <m:t>ε</m:t>
                    </m:r>
                  </m:e>
                  <m:sub>
                    <m:r>
                      <m:rPr>
                        <m:sty m:val="p"/>
                      </m:rPr>
                      <w:rPr>
                        <w:rFonts w:ascii="Cambria Math" w:hAnsi="Cambria Math"/>
                        <w:noProof/>
                      </w:rPr>
                      <m:t>cu2</m:t>
                    </m:r>
                  </m:sub>
                </m:sSub>
              </m:oMath>
            </m:oMathPara>
          </w:p>
        </w:tc>
        <w:tc>
          <w:tcPr>
            <w:tcW w:w="8758" w:type="dxa"/>
            <w:shd w:val="clear" w:color="auto" w:fill="auto"/>
          </w:tcPr>
          <w:p w14:paraId="4A305446" w14:textId="77777777" w:rsidR="006633B5" w:rsidRPr="006633B5" w:rsidRDefault="006633B5" w:rsidP="00E10A24">
            <w:pPr>
              <w:pStyle w:val="Tablebody"/>
              <w:spacing w:after="80"/>
            </w:pPr>
            <w:r w:rsidRPr="006633B5">
              <w:t>ultimate compressive strain of concrete considering confinement</w:t>
            </w:r>
          </w:p>
        </w:tc>
      </w:tr>
      <w:tr w:rsidR="006633B5" w:rsidRPr="006633B5" w14:paraId="55611C93" w14:textId="77777777" w:rsidTr="006633B5">
        <w:tc>
          <w:tcPr>
            <w:tcW w:w="1093" w:type="dxa"/>
            <w:shd w:val="clear" w:color="auto" w:fill="auto"/>
          </w:tcPr>
          <w:p w14:paraId="045D6D23" w14:textId="77777777" w:rsidR="006633B5" w:rsidRPr="006633B5" w:rsidRDefault="006633B5" w:rsidP="00E10A24">
            <w:pPr>
              <w:pStyle w:val="Tablebody"/>
              <w:spacing w:after="80"/>
              <w:rPr>
                <w:i/>
              </w:rPr>
            </w:pPr>
            <w:r w:rsidRPr="006633B5">
              <w:rPr>
                <w:rFonts w:ascii="Symbol" w:eastAsia="Symbol" w:hAnsi="Symbol" w:cs="Symbol"/>
                <w:i/>
              </w:rPr>
              <w:t></w:t>
            </w:r>
            <w:r w:rsidRPr="006633B5">
              <w:rPr>
                <w:iCs/>
                <w:vertAlign w:val="subscript"/>
              </w:rPr>
              <w:t>loss</w:t>
            </w:r>
          </w:p>
        </w:tc>
        <w:tc>
          <w:tcPr>
            <w:tcW w:w="8758" w:type="dxa"/>
            <w:shd w:val="clear" w:color="auto" w:fill="auto"/>
          </w:tcPr>
          <w:p w14:paraId="0F309216" w14:textId="77777777" w:rsidR="006633B5" w:rsidRPr="006633B5" w:rsidRDefault="006633B5" w:rsidP="00E10A24">
            <w:pPr>
              <w:pStyle w:val="Tablebody"/>
              <w:spacing w:after="80"/>
            </w:pPr>
            <w:r w:rsidRPr="006633B5">
              <w:t>loss factor of a viscoelastic energy dissipation device</w:t>
            </w:r>
          </w:p>
        </w:tc>
      </w:tr>
      <w:tr w:rsidR="006633B5" w:rsidRPr="006633B5" w14:paraId="07640EA7" w14:textId="77777777" w:rsidTr="006633B5">
        <w:tc>
          <w:tcPr>
            <w:tcW w:w="1093" w:type="dxa"/>
            <w:shd w:val="clear" w:color="auto" w:fill="auto"/>
          </w:tcPr>
          <w:p w14:paraId="0992114B" w14:textId="77777777" w:rsidR="006633B5" w:rsidRPr="006633B5" w:rsidRDefault="006633B5" w:rsidP="00E10A24">
            <w:pPr>
              <w:pStyle w:val="Tablebody"/>
              <w:spacing w:after="80"/>
            </w:pPr>
            <w:r w:rsidRPr="006633B5">
              <w:rPr>
                <w:i/>
              </w:rPr>
              <w:t>θ</w:t>
            </w:r>
          </w:p>
        </w:tc>
        <w:tc>
          <w:tcPr>
            <w:tcW w:w="8758" w:type="dxa"/>
            <w:shd w:val="clear" w:color="auto" w:fill="auto"/>
          </w:tcPr>
          <w:p w14:paraId="43AE0E36" w14:textId="77777777" w:rsidR="006633B5" w:rsidRPr="006633B5" w:rsidRDefault="006633B5" w:rsidP="00E10A24">
            <w:pPr>
              <w:pStyle w:val="Tablebody"/>
              <w:spacing w:after="80"/>
            </w:pPr>
            <w:r w:rsidRPr="006633B5">
              <w:t>interstorey drift sensitivity coefficient</w:t>
            </w:r>
          </w:p>
        </w:tc>
      </w:tr>
      <w:tr w:rsidR="006633B5" w:rsidRPr="006633B5" w14:paraId="7F01DC59" w14:textId="77777777" w:rsidTr="006633B5">
        <w:tc>
          <w:tcPr>
            <w:tcW w:w="1093" w:type="dxa"/>
            <w:shd w:val="clear" w:color="auto" w:fill="auto"/>
          </w:tcPr>
          <w:p w14:paraId="2492D8C3" w14:textId="77777777" w:rsidR="006633B5" w:rsidRPr="006633B5" w:rsidRDefault="006633B5" w:rsidP="00E10A24">
            <w:pPr>
              <w:pStyle w:val="Tablebody"/>
              <w:spacing w:after="80"/>
              <w:jc w:val="left"/>
            </w:pPr>
            <w:r w:rsidRPr="006633B5">
              <w:rPr>
                <w:rFonts w:ascii="Symbol" w:hAnsi="Symbol"/>
                <w:i/>
                <w:iCs/>
              </w:rPr>
              <w:t></w:t>
            </w:r>
            <w:r w:rsidRPr="006633B5">
              <w:rPr>
                <w:iCs/>
                <w:vertAlign w:val="subscript"/>
              </w:rPr>
              <w:t>e</w:t>
            </w:r>
          </w:p>
        </w:tc>
        <w:tc>
          <w:tcPr>
            <w:tcW w:w="8758" w:type="dxa"/>
            <w:shd w:val="clear" w:color="auto" w:fill="auto"/>
          </w:tcPr>
          <w:p w14:paraId="30927E3E" w14:textId="77777777" w:rsidR="006633B5" w:rsidRPr="006633B5" w:rsidRDefault="006633B5" w:rsidP="00E10A24">
            <w:pPr>
              <w:pStyle w:val="Tablebody"/>
              <w:spacing w:after="80"/>
            </w:pPr>
            <w:r w:rsidRPr="006633B5">
              <w:t xml:space="preserve">drift ratio or chord rotation of a masonry </w:t>
            </w:r>
            <w:bookmarkStart w:id="580" w:name="_Hlk36651204"/>
            <w:r w:rsidRPr="006633B5">
              <w:t>member</w:t>
            </w:r>
            <w:bookmarkEnd w:id="580"/>
          </w:p>
        </w:tc>
      </w:tr>
      <w:tr w:rsidR="006633B5" w:rsidRPr="006633B5" w14:paraId="6E3AC15E" w14:textId="77777777" w:rsidTr="006633B5">
        <w:tc>
          <w:tcPr>
            <w:tcW w:w="1093" w:type="dxa"/>
            <w:shd w:val="clear" w:color="auto" w:fill="auto"/>
          </w:tcPr>
          <w:p w14:paraId="056F3BA5" w14:textId="77777777" w:rsidR="006633B5" w:rsidRPr="006633B5" w:rsidRDefault="006633B5" w:rsidP="00E10A24">
            <w:pPr>
              <w:pStyle w:val="Tablebody"/>
              <w:spacing w:after="80"/>
              <w:jc w:val="left"/>
            </w:pPr>
            <w:r w:rsidRPr="006633B5">
              <w:rPr>
                <w:rFonts w:ascii="Symbol" w:hAnsi="Symbol"/>
                <w:i/>
                <w:iCs/>
              </w:rPr>
              <w:t></w:t>
            </w:r>
            <w:r w:rsidRPr="006633B5">
              <w:rPr>
                <w:rFonts w:ascii="Symbol" w:hAnsi="Symbol"/>
                <w:i/>
                <w:iCs/>
                <w:vertAlign w:val="subscript"/>
              </w:rPr>
              <w:t></w:t>
            </w:r>
            <w:r w:rsidRPr="006633B5">
              <w:rPr>
                <w:iCs/>
                <w:vertAlign w:val="subscript"/>
              </w:rPr>
              <w:t>i</w:t>
            </w:r>
          </w:p>
        </w:tc>
        <w:tc>
          <w:tcPr>
            <w:tcW w:w="8758" w:type="dxa"/>
            <w:shd w:val="clear" w:color="auto" w:fill="auto"/>
          </w:tcPr>
          <w:p w14:paraId="174FDF6B" w14:textId="77777777" w:rsidR="006633B5" w:rsidRPr="006633B5" w:rsidRDefault="006633B5" w:rsidP="00E10A24">
            <w:pPr>
              <w:pStyle w:val="Tablebody"/>
              <w:spacing w:after="80"/>
            </w:pPr>
            <w:r w:rsidRPr="006633B5">
              <w:t xml:space="preserve">angle between the </w:t>
            </w:r>
            <w:r w:rsidRPr="006633B5">
              <w:rPr>
                <w:rFonts w:cs="Times New Roman"/>
                <w:bCs/>
              </w:rPr>
              <w:t>member</w:t>
            </w:r>
            <w:r w:rsidRPr="006633B5">
              <w:t xml:space="preserve"> axis at end section </w:t>
            </w:r>
            <w:r w:rsidRPr="006633B5">
              <w:rPr>
                <w:i/>
              </w:rPr>
              <w:t>i</w:t>
            </w:r>
            <w:r w:rsidRPr="006633B5">
              <w:t xml:space="preserve"> and the chord line that joins the centroids of the two end sections</w:t>
            </w:r>
          </w:p>
        </w:tc>
      </w:tr>
      <w:tr w:rsidR="006633B5" w:rsidRPr="006633B5" w14:paraId="1E3AD5B0" w14:textId="77777777" w:rsidTr="006633B5">
        <w:tc>
          <w:tcPr>
            <w:tcW w:w="1093" w:type="dxa"/>
            <w:shd w:val="clear" w:color="auto" w:fill="auto"/>
          </w:tcPr>
          <w:p w14:paraId="5F192783" w14:textId="77777777" w:rsidR="006633B5" w:rsidRPr="006633B5" w:rsidRDefault="006633B5" w:rsidP="00E10A24">
            <w:pPr>
              <w:pStyle w:val="Tablebody"/>
              <w:spacing w:after="80"/>
              <w:jc w:val="left"/>
            </w:pPr>
            <w:r w:rsidRPr="006633B5">
              <w:rPr>
                <w:rFonts w:ascii="Symbol" w:eastAsia="Symbol" w:hAnsi="Symbol" w:cs="Symbol"/>
                <w:i/>
              </w:rPr>
              <w:t></w:t>
            </w:r>
            <w:r w:rsidRPr="006633B5">
              <w:rPr>
                <w:iCs/>
                <w:vertAlign w:val="subscript"/>
              </w:rPr>
              <w:t>j</w:t>
            </w:r>
          </w:p>
        </w:tc>
        <w:tc>
          <w:tcPr>
            <w:tcW w:w="8758" w:type="dxa"/>
            <w:shd w:val="clear" w:color="auto" w:fill="auto"/>
          </w:tcPr>
          <w:p w14:paraId="630DA9E0" w14:textId="77777777" w:rsidR="006633B5" w:rsidRPr="006633B5" w:rsidRDefault="006633B5" w:rsidP="00E10A24">
            <w:pPr>
              <w:pStyle w:val="Tablebody"/>
              <w:spacing w:after="80"/>
            </w:pPr>
            <w:r w:rsidRPr="006633B5">
              <w:t xml:space="preserve">angle of inclination of energy dissipation device </w:t>
            </w:r>
            <w:r w:rsidRPr="006633B5">
              <w:rPr>
                <w:i/>
              </w:rPr>
              <w:t>j</w:t>
            </w:r>
            <w:r w:rsidRPr="006633B5">
              <w:t xml:space="preserve"> to the horizontal</w:t>
            </w:r>
          </w:p>
        </w:tc>
      </w:tr>
      <w:tr w:rsidR="006633B5" w:rsidRPr="006633B5" w14:paraId="0216237B" w14:textId="77777777" w:rsidTr="006633B5">
        <w:tc>
          <w:tcPr>
            <w:tcW w:w="1093" w:type="dxa"/>
            <w:shd w:val="clear" w:color="auto" w:fill="auto"/>
          </w:tcPr>
          <w:p w14:paraId="52247636" w14:textId="77777777" w:rsidR="006633B5" w:rsidRPr="006633B5" w:rsidRDefault="006633B5" w:rsidP="00E10A24">
            <w:pPr>
              <w:pStyle w:val="Tablebody"/>
              <w:spacing w:after="80"/>
              <w:jc w:val="left"/>
            </w:pPr>
            <w:r w:rsidRPr="006633B5">
              <w:rPr>
                <w:rFonts w:ascii="Symbol" w:eastAsia="Symbol" w:hAnsi="Symbol" w:cs="Symbol"/>
                <w:i/>
              </w:rPr>
              <w:t></w:t>
            </w:r>
            <w:r w:rsidRPr="006633B5">
              <w:rPr>
                <w:vertAlign w:val="subscript"/>
              </w:rPr>
              <w:t>p</w:t>
            </w:r>
          </w:p>
        </w:tc>
        <w:tc>
          <w:tcPr>
            <w:tcW w:w="8758" w:type="dxa"/>
            <w:shd w:val="clear" w:color="auto" w:fill="auto"/>
          </w:tcPr>
          <w:p w14:paraId="5BD7D513" w14:textId="77777777" w:rsidR="006633B5" w:rsidRPr="006633B5" w:rsidRDefault="006633B5" w:rsidP="00E10A24">
            <w:pPr>
              <w:pStyle w:val="Tablebody"/>
              <w:spacing w:after="80"/>
              <w:rPr>
                <w:rFonts w:cs="Times New Roman"/>
                <w:bCs/>
              </w:rPr>
            </w:pPr>
            <w:r w:rsidRPr="006633B5">
              <w:t>plastic rotation</w:t>
            </w:r>
          </w:p>
        </w:tc>
      </w:tr>
      <w:tr w:rsidR="006633B5" w:rsidRPr="006633B5" w14:paraId="023BEFE6" w14:textId="77777777" w:rsidTr="006633B5">
        <w:tc>
          <w:tcPr>
            <w:tcW w:w="1093" w:type="dxa"/>
            <w:shd w:val="clear" w:color="auto" w:fill="auto"/>
          </w:tcPr>
          <w:p w14:paraId="265BD68A" w14:textId="77777777" w:rsidR="006633B5" w:rsidRPr="006633B5" w:rsidRDefault="006633B5" w:rsidP="00E10A24">
            <w:pPr>
              <w:pStyle w:val="Tablebody"/>
              <w:spacing w:after="80"/>
              <w:jc w:val="left"/>
            </w:pPr>
            <w:r w:rsidRPr="006633B5">
              <w:rPr>
                <w:rFonts w:ascii="Symbol" w:hAnsi="Symbol"/>
                <w:i/>
                <w:iCs/>
              </w:rPr>
              <w:t></w:t>
            </w:r>
            <w:r w:rsidRPr="006633B5">
              <w:rPr>
                <w:vertAlign w:val="subscript"/>
              </w:rPr>
              <w:t>SD</w:t>
            </w:r>
          </w:p>
        </w:tc>
        <w:tc>
          <w:tcPr>
            <w:tcW w:w="8758" w:type="dxa"/>
            <w:shd w:val="clear" w:color="auto" w:fill="auto"/>
          </w:tcPr>
          <w:p w14:paraId="2C423019" w14:textId="77777777" w:rsidR="006633B5" w:rsidRPr="006633B5" w:rsidRDefault="006633B5" w:rsidP="00E10A24">
            <w:pPr>
              <w:pStyle w:val="Tablebody"/>
              <w:spacing w:after="80"/>
            </w:pPr>
            <w:r w:rsidRPr="006633B5">
              <w:t>chord rotation capacity of a pier</w:t>
            </w:r>
          </w:p>
        </w:tc>
      </w:tr>
      <w:tr w:rsidR="006633B5" w:rsidRPr="006633B5" w14:paraId="65453B7D" w14:textId="77777777" w:rsidTr="006633B5">
        <w:tc>
          <w:tcPr>
            <w:tcW w:w="1093" w:type="dxa"/>
            <w:shd w:val="clear" w:color="auto" w:fill="auto"/>
          </w:tcPr>
          <w:p w14:paraId="506F029A" w14:textId="77777777" w:rsidR="006633B5" w:rsidRPr="006633B5" w:rsidRDefault="006633B5" w:rsidP="00E10A24">
            <w:pPr>
              <w:pStyle w:val="Tablebody"/>
              <w:spacing w:after="80"/>
              <w:jc w:val="left"/>
            </w:pPr>
            <w:r w:rsidRPr="006633B5">
              <w:rPr>
                <w:i/>
              </w:rPr>
              <w:t>θ</w:t>
            </w:r>
            <w:r w:rsidRPr="006633B5">
              <w:rPr>
                <w:vertAlign w:val="subscript"/>
              </w:rPr>
              <w:t>tot</w:t>
            </w:r>
          </w:p>
        </w:tc>
        <w:tc>
          <w:tcPr>
            <w:tcW w:w="8758" w:type="dxa"/>
            <w:shd w:val="clear" w:color="auto" w:fill="auto"/>
          </w:tcPr>
          <w:p w14:paraId="4DC3A2B1" w14:textId="77777777" w:rsidR="006633B5" w:rsidRPr="006633B5" w:rsidRDefault="006633B5" w:rsidP="00E10A24">
            <w:pPr>
              <w:pStyle w:val="Tablebody"/>
              <w:spacing w:after="80"/>
            </w:pPr>
            <w:r w:rsidRPr="006633B5">
              <w:t>rotation capacity of strong and weak partial strength joints for moment resisting frames</w:t>
            </w:r>
          </w:p>
        </w:tc>
      </w:tr>
      <w:tr w:rsidR="006633B5" w:rsidRPr="006633B5" w14:paraId="3CFD21F4" w14:textId="77777777" w:rsidTr="006633B5">
        <w:tc>
          <w:tcPr>
            <w:tcW w:w="1093" w:type="dxa"/>
            <w:shd w:val="clear" w:color="auto" w:fill="auto"/>
          </w:tcPr>
          <w:p w14:paraId="2C08066C" w14:textId="77777777" w:rsidR="006633B5" w:rsidRPr="006633B5" w:rsidRDefault="006633B5" w:rsidP="00E10A24">
            <w:pPr>
              <w:pStyle w:val="Tablebody"/>
              <w:spacing w:after="80"/>
              <w:jc w:val="left"/>
              <w:rPr>
                <w:vertAlign w:val="subscript"/>
              </w:rPr>
            </w:pPr>
            <w:r w:rsidRPr="006633B5">
              <w:rPr>
                <w:rFonts w:ascii="Symbol" w:hAnsi="Symbol"/>
                <w:i/>
                <w:iCs/>
              </w:rPr>
              <w:t></w:t>
            </w:r>
            <w:r w:rsidRPr="006633B5">
              <w:rPr>
                <w:iCs/>
                <w:vertAlign w:val="subscript"/>
              </w:rPr>
              <w:t>u2</w:t>
            </w:r>
          </w:p>
        </w:tc>
        <w:tc>
          <w:tcPr>
            <w:tcW w:w="8758" w:type="dxa"/>
            <w:shd w:val="clear" w:color="auto" w:fill="auto"/>
          </w:tcPr>
          <w:p w14:paraId="4AEB392C" w14:textId="43610A05" w:rsidR="006633B5" w:rsidRPr="006633B5" w:rsidRDefault="006633B5" w:rsidP="00E10A24">
            <w:pPr>
              <w:pStyle w:val="Tablebody"/>
              <w:spacing w:after="80"/>
            </w:pPr>
            <w:r w:rsidRPr="006633B5">
              <w:t xml:space="preserve">deformation capacity in terms of </w:t>
            </w:r>
            <w:r w:rsidRPr="006633B5">
              <w:rPr>
                <w:rFonts w:cs="Times New Roman"/>
                <w:bCs/>
              </w:rPr>
              <w:t>member</w:t>
            </w:r>
            <w:r w:rsidRPr="006633B5">
              <w:t xml:space="preserve"> drift at 20</w:t>
            </w:r>
            <w:r w:rsidR="00E10A24">
              <w:t xml:space="preserve"> </w:t>
            </w:r>
            <w:r w:rsidRPr="006633B5">
              <w:t>% drop in strength</w:t>
            </w:r>
          </w:p>
        </w:tc>
      </w:tr>
      <w:tr w:rsidR="006633B5" w:rsidRPr="006633B5" w14:paraId="5AFC788A" w14:textId="77777777" w:rsidTr="006633B5">
        <w:tc>
          <w:tcPr>
            <w:tcW w:w="1093" w:type="dxa"/>
            <w:shd w:val="clear" w:color="auto" w:fill="auto"/>
          </w:tcPr>
          <w:p w14:paraId="560C66BB" w14:textId="77777777" w:rsidR="006633B5" w:rsidRPr="006633B5" w:rsidRDefault="006633B5" w:rsidP="00E10A24">
            <w:pPr>
              <w:pStyle w:val="Tablebody"/>
              <w:spacing w:after="80"/>
              <w:jc w:val="left"/>
            </w:pPr>
            <w:r w:rsidRPr="006633B5">
              <w:rPr>
                <w:rFonts w:ascii="Symbol" w:hAnsi="Symbol"/>
                <w:i/>
                <w:iCs/>
              </w:rPr>
              <w:t></w:t>
            </w:r>
            <w:r w:rsidRPr="006633B5">
              <w:rPr>
                <w:iCs/>
                <w:vertAlign w:val="subscript"/>
              </w:rPr>
              <w:t>y</w:t>
            </w:r>
          </w:p>
        </w:tc>
        <w:tc>
          <w:tcPr>
            <w:tcW w:w="8758" w:type="dxa"/>
            <w:shd w:val="clear" w:color="auto" w:fill="auto"/>
          </w:tcPr>
          <w:p w14:paraId="34CDECA6" w14:textId="77777777" w:rsidR="006633B5" w:rsidRPr="006633B5" w:rsidRDefault="006633B5" w:rsidP="00E10A24">
            <w:pPr>
              <w:pStyle w:val="Tablebody"/>
              <w:spacing w:after="80"/>
            </w:pPr>
            <w:r w:rsidRPr="006633B5">
              <w:t>chord rotation at yield</w:t>
            </w:r>
          </w:p>
        </w:tc>
      </w:tr>
      <w:tr w:rsidR="006633B5" w:rsidRPr="006633B5" w14:paraId="5F7178CF" w14:textId="77777777" w:rsidTr="006633B5">
        <w:tc>
          <w:tcPr>
            <w:tcW w:w="1093" w:type="dxa"/>
            <w:shd w:val="clear" w:color="auto" w:fill="auto"/>
          </w:tcPr>
          <w:p w14:paraId="22A936FA" w14:textId="77777777" w:rsidR="006633B5" w:rsidRPr="006633B5" w:rsidRDefault="006633B5" w:rsidP="00E10A24">
            <w:pPr>
              <w:pStyle w:val="Tablebody"/>
              <w:spacing w:after="80"/>
            </w:pPr>
            <w:r w:rsidRPr="006633B5">
              <w:rPr>
                <w:i/>
                <w:iCs/>
              </w:rPr>
              <w:t>θ</w:t>
            </w:r>
            <w:r w:rsidRPr="006633B5">
              <w:rPr>
                <w:i/>
                <w:iCs/>
                <w:vertAlign w:val="superscript"/>
              </w:rPr>
              <w:t>*</w:t>
            </w:r>
          </w:p>
        </w:tc>
        <w:tc>
          <w:tcPr>
            <w:tcW w:w="8758" w:type="dxa"/>
            <w:shd w:val="clear" w:color="auto" w:fill="auto"/>
          </w:tcPr>
          <w:p w14:paraId="50AEDD6D" w14:textId="77777777" w:rsidR="006633B5" w:rsidRPr="006633B5" w:rsidRDefault="006633B5" w:rsidP="00E10A24">
            <w:pPr>
              <w:pStyle w:val="Tablebody"/>
              <w:spacing w:after="80"/>
            </w:pPr>
            <w:r w:rsidRPr="006633B5">
              <w:t>largest chord rotation in the shortest pier</w:t>
            </w:r>
          </w:p>
        </w:tc>
      </w:tr>
      <w:tr w:rsidR="006633B5" w:rsidRPr="006633B5" w14:paraId="6E49A6CD" w14:textId="77777777" w:rsidTr="006633B5">
        <w:tc>
          <w:tcPr>
            <w:tcW w:w="1093" w:type="dxa"/>
            <w:shd w:val="clear" w:color="auto" w:fill="auto"/>
          </w:tcPr>
          <w:p w14:paraId="1F3491B7" w14:textId="77777777" w:rsidR="006633B5" w:rsidRPr="006633B5" w:rsidRDefault="006633B5" w:rsidP="00E10A24">
            <w:pPr>
              <w:pStyle w:val="Tablebody"/>
              <w:spacing w:after="80"/>
              <w:rPr>
                <w:i/>
              </w:rPr>
            </w:pPr>
            <w:r w:rsidRPr="006633B5">
              <w:rPr>
                <w:rFonts w:ascii="Symbol" w:eastAsia="Symbol" w:hAnsi="Symbol" w:cs="Symbol"/>
                <w:i/>
              </w:rPr>
              <w:t></w:t>
            </w:r>
          </w:p>
        </w:tc>
        <w:tc>
          <w:tcPr>
            <w:tcW w:w="8758" w:type="dxa"/>
            <w:shd w:val="clear" w:color="auto" w:fill="auto"/>
          </w:tcPr>
          <w:p w14:paraId="3EC6DE44" w14:textId="77777777" w:rsidR="006633B5" w:rsidRPr="006633B5" w:rsidRDefault="006633B5" w:rsidP="00E10A24">
            <w:pPr>
              <w:pStyle w:val="Tablebody"/>
              <w:spacing w:after="80"/>
            </w:pPr>
            <w:r w:rsidRPr="006633B5">
              <w:t>correction factor used in the lateral force method of analysis</w:t>
            </w:r>
          </w:p>
        </w:tc>
      </w:tr>
      <w:tr w:rsidR="006633B5" w:rsidRPr="006633B5" w14:paraId="695A8BF4" w14:textId="77777777" w:rsidTr="006633B5">
        <w:tc>
          <w:tcPr>
            <w:tcW w:w="1093" w:type="dxa"/>
            <w:shd w:val="clear" w:color="auto" w:fill="auto"/>
          </w:tcPr>
          <w:p w14:paraId="1A90E6FC" w14:textId="77777777" w:rsidR="006633B5" w:rsidRPr="00E3339F" w:rsidRDefault="009B5CEC" w:rsidP="00E10A24">
            <w:pPr>
              <w:pStyle w:val="Tablebody"/>
              <w:spacing w:after="80"/>
            </w:pPr>
            <m:oMathPara>
              <m:oMathParaPr>
                <m:jc m:val="left"/>
              </m:oMathParaPr>
              <m:oMath>
                <m:sSub>
                  <m:sSubPr>
                    <m:ctrlPr>
                      <w:rPr>
                        <w:rFonts w:ascii="Cambria Math" w:hAnsi="Cambria Math"/>
                      </w:rPr>
                    </m:ctrlPr>
                  </m:sSubPr>
                  <m:e>
                    <m:r>
                      <w:rPr>
                        <w:rFonts w:ascii="Cambria Math" w:hAnsi="Cambria Math"/>
                      </w:rPr>
                      <m:t>λ</m:t>
                    </m:r>
                  </m:e>
                  <m:sub>
                    <m:r>
                      <w:rPr>
                        <w:rFonts w:ascii="Cambria Math" w:hAnsi="Cambria Math"/>
                      </w:rPr>
                      <m:t>ns</m:t>
                    </m:r>
                  </m:sub>
                </m:sSub>
              </m:oMath>
            </m:oMathPara>
          </w:p>
        </w:tc>
        <w:tc>
          <w:tcPr>
            <w:tcW w:w="8758" w:type="dxa"/>
            <w:shd w:val="clear" w:color="auto" w:fill="auto"/>
          </w:tcPr>
          <w:p w14:paraId="43FA0339" w14:textId="77777777" w:rsidR="006633B5" w:rsidRPr="006633B5" w:rsidRDefault="006633B5" w:rsidP="00E10A24">
            <w:pPr>
              <w:pStyle w:val="Tablebody"/>
              <w:spacing w:after="80"/>
            </w:pPr>
            <w:r w:rsidRPr="006633B5">
              <w:t>coefficient accounting for sensitivity of ancillary elements to interstorey drift at DL</w:t>
            </w:r>
          </w:p>
        </w:tc>
      </w:tr>
      <w:tr w:rsidR="006633B5" w:rsidRPr="006633B5" w14:paraId="4C23A1BD" w14:textId="77777777" w:rsidTr="006633B5">
        <w:tc>
          <w:tcPr>
            <w:tcW w:w="1093" w:type="dxa"/>
            <w:shd w:val="clear" w:color="auto" w:fill="auto"/>
          </w:tcPr>
          <w:p w14:paraId="51B7FF35" w14:textId="77777777" w:rsidR="006633B5" w:rsidRPr="00E3339F" w:rsidRDefault="009B5CEC" w:rsidP="00E10A24">
            <w:pPr>
              <w:pStyle w:val="Tablebody"/>
              <w:spacing w:after="80"/>
            </w:pPr>
            <m:oMathPara>
              <m:oMathParaPr>
                <m:jc m:val="left"/>
              </m:oMathParaPr>
              <m:oMath>
                <m:sSub>
                  <m:sSubPr>
                    <m:ctrlPr>
                      <w:rPr>
                        <w:rFonts w:ascii="Cambria Math" w:hAnsi="Cambria Math"/>
                      </w:rPr>
                    </m:ctrlPr>
                  </m:sSubPr>
                  <m:e>
                    <m:r>
                      <w:rPr>
                        <w:rFonts w:ascii="Cambria Math" w:hAnsi="Cambria Math"/>
                      </w:rPr>
                      <m:t>λ</m:t>
                    </m:r>
                  </m:e>
                  <m:sub>
                    <m:r>
                      <m:rPr>
                        <m:sty m:val="p"/>
                      </m:rPr>
                      <w:rPr>
                        <w:rFonts w:ascii="Cambria Math" w:hAnsi="Cambria Math"/>
                      </w:rPr>
                      <m:t>s</m:t>
                    </m:r>
                  </m:sub>
                </m:sSub>
              </m:oMath>
            </m:oMathPara>
          </w:p>
        </w:tc>
        <w:tc>
          <w:tcPr>
            <w:tcW w:w="8758" w:type="dxa"/>
            <w:shd w:val="clear" w:color="auto" w:fill="auto"/>
          </w:tcPr>
          <w:p w14:paraId="1AC67FDB" w14:textId="77777777" w:rsidR="006633B5" w:rsidRPr="006633B5" w:rsidRDefault="006633B5" w:rsidP="00E10A24">
            <w:pPr>
              <w:pStyle w:val="Tablebody"/>
              <w:spacing w:after="80"/>
            </w:pPr>
            <w:r w:rsidRPr="006633B5">
              <w:t>coefficient reflecting the limitation of drift at SD</w:t>
            </w:r>
          </w:p>
        </w:tc>
      </w:tr>
      <w:tr w:rsidR="006633B5" w:rsidRPr="006633B5" w14:paraId="04873ABF" w14:textId="77777777" w:rsidTr="006633B5">
        <w:tc>
          <w:tcPr>
            <w:tcW w:w="1093" w:type="dxa"/>
            <w:shd w:val="clear" w:color="auto" w:fill="auto"/>
          </w:tcPr>
          <w:p w14:paraId="0E00BDCF" w14:textId="77777777" w:rsidR="006633B5" w:rsidRPr="00E3339F" w:rsidRDefault="009B5CEC" w:rsidP="00E10A24">
            <w:pPr>
              <w:pStyle w:val="Tablebody"/>
              <w:spacing w:after="80"/>
            </w:pPr>
            <m:oMathPara>
              <m:oMathParaPr>
                <m:jc m:val="left"/>
              </m:oMathParaPr>
              <m:oMath>
                <m:acc>
                  <m:accPr>
                    <m:chr m:val="̅"/>
                    <m:ctrlPr>
                      <w:rPr>
                        <w:rFonts w:ascii="Cambria Math" w:hAnsi="Cambria Math"/>
                        <w:i/>
                      </w:rPr>
                    </m:ctrlPr>
                  </m:accPr>
                  <m:e>
                    <m:r>
                      <w:rPr>
                        <w:rFonts w:ascii="Cambria Math" w:hAnsi="Cambria Math"/>
                      </w:rPr>
                      <m:t>λ</m:t>
                    </m:r>
                  </m:e>
                </m:acc>
              </m:oMath>
            </m:oMathPara>
          </w:p>
        </w:tc>
        <w:tc>
          <w:tcPr>
            <w:tcW w:w="8758" w:type="dxa"/>
            <w:shd w:val="clear" w:color="auto" w:fill="auto"/>
          </w:tcPr>
          <w:p w14:paraId="4D7E6220" w14:textId="77777777" w:rsidR="006633B5" w:rsidRPr="006633B5" w:rsidRDefault="006633B5" w:rsidP="00E10A24">
            <w:pPr>
              <w:pStyle w:val="Tablebody"/>
              <w:spacing w:after="80"/>
              <w:rPr>
                <w:szCs w:val="22"/>
              </w:rPr>
            </w:pPr>
            <w:r w:rsidRPr="006633B5">
              <w:t xml:space="preserve">non-dimensional slenderness of columns </w:t>
            </w:r>
          </w:p>
        </w:tc>
      </w:tr>
      <w:tr w:rsidR="006633B5" w:rsidRPr="006633B5" w14:paraId="29B3B427" w14:textId="77777777" w:rsidTr="006633B5">
        <w:tc>
          <w:tcPr>
            <w:tcW w:w="1093" w:type="dxa"/>
            <w:shd w:val="clear" w:color="auto" w:fill="auto"/>
          </w:tcPr>
          <w:p w14:paraId="52E5720D" w14:textId="77777777" w:rsidR="006633B5" w:rsidRPr="006633B5" w:rsidRDefault="006633B5" w:rsidP="00E10A24">
            <w:pPr>
              <w:pStyle w:val="Tablebody"/>
              <w:spacing w:after="80"/>
            </w:pPr>
            <w:r w:rsidRPr="006633B5">
              <w:rPr>
                <w:i/>
                <w:iCs/>
              </w:rPr>
              <w:t>µ</w:t>
            </w:r>
          </w:p>
        </w:tc>
        <w:tc>
          <w:tcPr>
            <w:tcW w:w="8758" w:type="dxa"/>
            <w:shd w:val="clear" w:color="auto" w:fill="auto"/>
          </w:tcPr>
          <w:p w14:paraId="47552D32" w14:textId="77777777" w:rsidR="006633B5" w:rsidRPr="006633B5" w:rsidRDefault="006633B5" w:rsidP="00E10A24">
            <w:pPr>
              <w:pStyle w:val="Tablebody"/>
              <w:spacing w:after="80"/>
            </w:pPr>
            <w:r w:rsidRPr="006633B5">
              <w:t>ductility of a dissipative connection under seismic loading</w:t>
            </w:r>
          </w:p>
        </w:tc>
      </w:tr>
      <w:tr w:rsidR="006633B5" w:rsidRPr="006633B5" w14:paraId="0350A137" w14:textId="77777777" w:rsidTr="006633B5">
        <w:tc>
          <w:tcPr>
            <w:tcW w:w="1093" w:type="dxa"/>
            <w:shd w:val="clear" w:color="auto" w:fill="auto"/>
          </w:tcPr>
          <w:p w14:paraId="6E12FF9A" w14:textId="77777777" w:rsidR="006633B5" w:rsidRPr="006633B5" w:rsidRDefault="006633B5" w:rsidP="00E10A24">
            <w:pPr>
              <w:pStyle w:val="Tablebody"/>
              <w:spacing w:after="80"/>
            </w:pPr>
            <w:r w:rsidRPr="006633B5">
              <w:rPr>
                <w:rFonts w:ascii="Symbol" w:eastAsia="Symbol" w:hAnsi="Symbol" w:cs="Symbol"/>
                <w:i/>
              </w:rPr>
              <w:t></w:t>
            </w:r>
            <w:r w:rsidRPr="006633B5">
              <w:rPr>
                <w:iCs/>
                <w:vertAlign w:val="subscript"/>
              </w:rPr>
              <w:t>f</w:t>
            </w:r>
          </w:p>
        </w:tc>
        <w:tc>
          <w:tcPr>
            <w:tcW w:w="8758" w:type="dxa"/>
            <w:shd w:val="clear" w:color="auto" w:fill="auto"/>
          </w:tcPr>
          <w:p w14:paraId="69E4A311" w14:textId="77777777" w:rsidR="006633B5" w:rsidRPr="006633B5" w:rsidRDefault="006633B5" w:rsidP="00E10A24">
            <w:pPr>
              <w:pStyle w:val="Tablebody"/>
              <w:spacing w:after="80"/>
            </w:pPr>
            <w:r w:rsidRPr="006633B5">
              <w:t>displacement ductility ratio of a structure with velocity-dependent energy dissipation devices</w:t>
            </w:r>
          </w:p>
        </w:tc>
      </w:tr>
      <w:tr w:rsidR="006633B5" w:rsidRPr="006633B5" w14:paraId="34690F0A" w14:textId="77777777" w:rsidTr="006633B5">
        <w:tc>
          <w:tcPr>
            <w:tcW w:w="1093" w:type="dxa"/>
            <w:shd w:val="clear" w:color="auto" w:fill="auto"/>
          </w:tcPr>
          <w:p w14:paraId="47456CE2" w14:textId="77777777" w:rsidR="006633B5" w:rsidRPr="006633B5" w:rsidRDefault="006633B5" w:rsidP="00E10A24">
            <w:pPr>
              <w:pStyle w:val="Tablebody"/>
              <w:spacing w:after="80"/>
            </w:pPr>
            <w:bookmarkStart w:id="581" w:name="_Hlk38717588"/>
            <w:r w:rsidRPr="006633B5">
              <w:rPr>
                <w:i/>
              </w:rPr>
              <w:t>ν</w:t>
            </w:r>
          </w:p>
        </w:tc>
        <w:tc>
          <w:tcPr>
            <w:tcW w:w="8758" w:type="dxa"/>
            <w:shd w:val="clear" w:color="auto" w:fill="auto"/>
          </w:tcPr>
          <w:p w14:paraId="4D6EF2E5" w14:textId="77777777" w:rsidR="006633B5" w:rsidRPr="006633B5" w:rsidRDefault="006633B5" w:rsidP="00E10A24">
            <w:pPr>
              <w:pStyle w:val="Tablebody"/>
              <w:spacing w:after="80"/>
            </w:pPr>
            <w:r w:rsidRPr="006633B5">
              <w:t xml:space="preserve">strength reduction factor for cracked concrete </w:t>
            </w:r>
          </w:p>
        </w:tc>
      </w:tr>
      <w:bookmarkEnd w:id="581"/>
      <w:tr w:rsidR="006633B5" w:rsidRPr="006633B5" w14:paraId="2267D48A" w14:textId="77777777" w:rsidTr="006633B5">
        <w:tc>
          <w:tcPr>
            <w:tcW w:w="1093" w:type="dxa"/>
            <w:shd w:val="clear" w:color="auto" w:fill="auto"/>
          </w:tcPr>
          <w:p w14:paraId="3D72AFED" w14:textId="77777777" w:rsidR="006633B5" w:rsidRPr="006633B5" w:rsidRDefault="006633B5" w:rsidP="00E10A24">
            <w:pPr>
              <w:pStyle w:val="Tablebody"/>
              <w:spacing w:after="80"/>
            </w:pPr>
            <w:r w:rsidRPr="006633B5">
              <w:rPr>
                <w:i/>
              </w:rPr>
              <w:t>ν</w:t>
            </w:r>
            <w:r w:rsidRPr="006633B5">
              <w:rPr>
                <w:vertAlign w:val="subscript"/>
              </w:rPr>
              <w:t>d</w:t>
            </w:r>
          </w:p>
        </w:tc>
        <w:tc>
          <w:tcPr>
            <w:tcW w:w="8758" w:type="dxa"/>
            <w:shd w:val="clear" w:color="auto" w:fill="auto"/>
          </w:tcPr>
          <w:p w14:paraId="73D3E0E6" w14:textId="7EB13276" w:rsidR="006633B5" w:rsidRPr="006633B5" w:rsidRDefault="006633B5" w:rsidP="00E10A24">
            <w:pPr>
              <w:pStyle w:val="Tablebody"/>
              <w:spacing w:after="80"/>
            </w:pPr>
            <w:r w:rsidRPr="006633B5">
              <w:t>normal</w:t>
            </w:r>
            <w:r w:rsidR="00E10A24">
              <w:t>ize</w:t>
            </w:r>
            <w:r w:rsidRPr="006633B5">
              <w:t>d axial load</w:t>
            </w:r>
          </w:p>
        </w:tc>
      </w:tr>
      <w:tr w:rsidR="006633B5" w:rsidRPr="006633B5" w14:paraId="01D889AD" w14:textId="77777777" w:rsidTr="006633B5">
        <w:tc>
          <w:tcPr>
            <w:tcW w:w="1093" w:type="dxa"/>
            <w:shd w:val="clear" w:color="auto" w:fill="auto"/>
          </w:tcPr>
          <w:p w14:paraId="045164B7" w14:textId="77777777" w:rsidR="006633B5" w:rsidRPr="006633B5" w:rsidRDefault="006633B5" w:rsidP="00E10A24">
            <w:pPr>
              <w:pStyle w:val="Tablebody"/>
              <w:spacing w:after="80"/>
            </w:pPr>
            <w:r w:rsidRPr="006633B5">
              <w:rPr>
                <w:i/>
              </w:rPr>
              <w:lastRenderedPageBreak/>
              <w:t>ν</w:t>
            </w:r>
            <w:r w:rsidRPr="006633B5">
              <w:rPr>
                <w:vertAlign w:val="subscript"/>
              </w:rPr>
              <w:t>d,c</w:t>
            </w:r>
          </w:p>
        </w:tc>
        <w:tc>
          <w:tcPr>
            <w:tcW w:w="8758" w:type="dxa"/>
            <w:shd w:val="clear" w:color="auto" w:fill="auto"/>
          </w:tcPr>
          <w:p w14:paraId="419164E5" w14:textId="1C281A10" w:rsidR="006633B5" w:rsidRPr="006633B5" w:rsidRDefault="006633B5" w:rsidP="00E10A24">
            <w:pPr>
              <w:pStyle w:val="Tablebody"/>
              <w:spacing w:after="80"/>
            </w:pPr>
            <w:r w:rsidRPr="006633B5">
              <w:t>normal</w:t>
            </w:r>
            <w:r w:rsidR="00E10A24">
              <w:t>ize</w:t>
            </w:r>
            <w:r w:rsidRPr="006633B5">
              <w:t>d axial load in composite walls</w:t>
            </w:r>
          </w:p>
        </w:tc>
      </w:tr>
      <w:tr w:rsidR="006633B5" w:rsidRPr="006633B5" w14:paraId="6A928A8D" w14:textId="77777777" w:rsidTr="006633B5">
        <w:tc>
          <w:tcPr>
            <w:tcW w:w="1093" w:type="dxa"/>
            <w:shd w:val="clear" w:color="auto" w:fill="auto"/>
          </w:tcPr>
          <w:p w14:paraId="6B265536" w14:textId="77777777" w:rsidR="006633B5" w:rsidRPr="006633B5" w:rsidRDefault="006633B5" w:rsidP="00E10A24">
            <w:pPr>
              <w:pStyle w:val="Tablebody"/>
              <w:spacing w:after="80"/>
            </w:pPr>
            <w:r w:rsidRPr="006633B5">
              <w:rPr>
                <w:rFonts w:ascii="Symbol" w:hAnsi="Symbol"/>
                <w:i/>
                <w:iCs/>
              </w:rPr>
              <w:t></w:t>
            </w:r>
            <w:r w:rsidRPr="006633B5">
              <w:rPr>
                <w:iCs/>
                <w:vertAlign w:val="subscript"/>
              </w:rPr>
              <w:t>E,k</w:t>
            </w:r>
          </w:p>
        </w:tc>
        <w:tc>
          <w:tcPr>
            <w:tcW w:w="8758" w:type="dxa"/>
            <w:shd w:val="clear" w:color="auto" w:fill="auto"/>
          </w:tcPr>
          <w:p w14:paraId="389FEEA2" w14:textId="77777777" w:rsidR="006633B5" w:rsidRPr="006633B5" w:rsidRDefault="006633B5" w:rsidP="00E10A24">
            <w:pPr>
              <w:pStyle w:val="Tablebody"/>
              <w:spacing w:after="80"/>
            </w:pPr>
            <w:r w:rsidRPr="006633B5">
              <w:t xml:space="preserve">axial load ratio for the design seismic action, calculated as </w:t>
            </w:r>
            <w:r w:rsidRPr="006633B5">
              <w:rPr>
                <w:rFonts w:ascii="Symbol" w:hAnsi="Symbol"/>
                <w:i/>
                <w:iCs/>
              </w:rPr>
              <w:t></w:t>
            </w:r>
            <w:r w:rsidRPr="006633B5">
              <w:rPr>
                <w:iCs/>
                <w:vertAlign w:val="subscript"/>
              </w:rPr>
              <w:t>E,k</w:t>
            </w:r>
            <w:r w:rsidRPr="006633B5">
              <w:t xml:space="preserve"> = </w:t>
            </w:r>
            <w:r w:rsidRPr="006633B5">
              <w:rPr>
                <w:i/>
                <w:iCs/>
              </w:rPr>
              <w:t>N</w:t>
            </w:r>
            <w:r w:rsidRPr="006633B5">
              <w:rPr>
                <w:iCs/>
                <w:vertAlign w:val="subscript"/>
              </w:rPr>
              <w:t>Ed</w:t>
            </w:r>
            <w:r w:rsidRPr="006633B5">
              <w:t>/(</w:t>
            </w:r>
            <w:r w:rsidRPr="006633B5">
              <w:rPr>
                <w:i/>
                <w:iCs/>
              </w:rPr>
              <w:t>A</w:t>
            </w:r>
            <w:r w:rsidRPr="006633B5">
              <w:rPr>
                <w:vertAlign w:val="subscript"/>
              </w:rPr>
              <w:t>p</w:t>
            </w:r>
            <w:r w:rsidRPr="006633B5">
              <w:rPr>
                <w:i/>
                <w:iCs/>
              </w:rPr>
              <w:t>f</w:t>
            </w:r>
            <w:r w:rsidRPr="006633B5">
              <w:rPr>
                <w:iCs/>
                <w:vertAlign w:val="subscript"/>
              </w:rPr>
              <w:t>k</w:t>
            </w:r>
            <w:r w:rsidRPr="006633B5">
              <w:t>)</w:t>
            </w:r>
          </w:p>
        </w:tc>
      </w:tr>
      <w:tr w:rsidR="006633B5" w:rsidRPr="006633B5" w14:paraId="5A5CB435" w14:textId="77777777" w:rsidTr="006633B5">
        <w:tc>
          <w:tcPr>
            <w:tcW w:w="1093" w:type="dxa"/>
            <w:shd w:val="clear" w:color="auto" w:fill="auto"/>
          </w:tcPr>
          <w:p w14:paraId="12DA2AED" w14:textId="77777777" w:rsidR="006633B5" w:rsidRPr="006633B5" w:rsidRDefault="006633B5" w:rsidP="00E10A24">
            <w:pPr>
              <w:pStyle w:val="Tablebody"/>
              <w:spacing w:after="80"/>
            </w:pPr>
            <w:r w:rsidRPr="006633B5">
              <w:rPr>
                <w:i/>
                <w:iCs/>
              </w:rPr>
              <w:t>ν</w:t>
            </w:r>
            <w:r w:rsidRPr="006633B5">
              <w:rPr>
                <w:iCs/>
                <w:vertAlign w:val="subscript"/>
              </w:rPr>
              <w:t>G,k</w:t>
            </w:r>
          </w:p>
        </w:tc>
        <w:tc>
          <w:tcPr>
            <w:tcW w:w="8758" w:type="dxa"/>
            <w:shd w:val="clear" w:color="auto" w:fill="auto"/>
          </w:tcPr>
          <w:p w14:paraId="56AD888F" w14:textId="77777777" w:rsidR="006633B5" w:rsidRPr="006633B5" w:rsidRDefault="006633B5" w:rsidP="00E10A24">
            <w:pPr>
              <w:pStyle w:val="Tablebody"/>
              <w:spacing w:after="80"/>
            </w:pPr>
            <w:r w:rsidRPr="006633B5">
              <w:t xml:space="preserve">axial load ratio for the non-seismic actions in the seismic design situation, calculated as </w:t>
            </w:r>
            <w:r w:rsidRPr="006633B5">
              <w:rPr>
                <w:i/>
                <w:iCs/>
              </w:rPr>
              <w:t>ν</w:t>
            </w:r>
            <w:r w:rsidRPr="006633B5">
              <w:rPr>
                <w:iCs/>
                <w:vertAlign w:val="subscript"/>
              </w:rPr>
              <w:t>G,k</w:t>
            </w:r>
            <w:r w:rsidRPr="006633B5">
              <w:t> = </w:t>
            </w:r>
            <w:r w:rsidRPr="006633B5">
              <w:rPr>
                <w:i/>
                <w:iCs/>
              </w:rPr>
              <w:t>N</w:t>
            </w:r>
            <w:r w:rsidRPr="006633B5">
              <w:rPr>
                <w:iCs/>
                <w:vertAlign w:val="subscript"/>
              </w:rPr>
              <w:t>Ed,G</w:t>
            </w:r>
            <w:r w:rsidRPr="006633B5">
              <w:t>/(</w:t>
            </w:r>
            <w:r w:rsidRPr="006633B5">
              <w:rPr>
                <w:i/>
                <w:iCs/>
              </w:rPr>
              <w:t>A</w:t>
            </w:r>
            <w:r w:rsidRPr="006633B5">
              <w:rPr>
                <w:vertAlign w:val="subscript"/>
              </w:rPr>
              <w:t>p</w:t>
            </w:r>
            <w:r w:rsidRPr="006633B5">
              <w:rPr>
                <w:i/>
                <w:iCs/>
              </w:rPr>
              <w:t>f</w:t>
            </w:r>
            <w:r w:rsidRPr="006633B5">
              <w:rPr>
                <w:iCs/>
                <w:vertAlign w:val="subscript"/>
              </w:rPr>
              <w:t>k</w:t>
            </w:r>
            <w:r w:rsidRPr="006633B5">
              <w:t>)</w:t>
            </w:r>
          </w:p>
        </w:tc>
      </w:tr>
      <w:tr w:rsidR="006633B5" w:rsidRPr="006633B5" w14:paraId="2166F683" w14:textId="77777777" w:rsidTr="006633B5">
        <w:tc>
          <w:tcPr>
            <w:tcW w:w="1093" w:type="dxa"/>
            <w:shd w:val="clear" w:color="auto" w:fill="auto"/>
          </w:tcPr>
          <w:p w14:paraId="317A426D" w14:textId="77777777" w:rsidR="006633B5" w:rsidRPr="006633B5" w:rsidRDefault="006633B5" w:rsidP="00E10A24">
            <w:pPr>
              <w:pStyle w:val="Tablebody"/>
              <w:spacing w:after="80"/>
            </w:pPr>
            <w:r w:rsidRPr="006633B5">
              <w:t>ν</w:t>
            </w:r>
            <w:r w:rsidRPr="006633B5">
              <w:rPr>
                <w:vertAlign w:val="subscript"/>
              </w:rPr>
              <w:t>G,k,av </w:t>
            </w:r>
          </w:p>
        </w:tc>
        <w:tc>
          <w:tcPr>
            <w:tcW w:w="8758" w:type="dxa"/>
            <w:shd w:val="clear" w:color="auto" w:fill="auto"/>
          </w:tcPr>
          <w:p w14:paraId="3A531C06" w14:textId="77777777" w:rsidR="006633B5" w:rsidRPr="006633B5" w:rsidRDefault="006633B5" w:rsidP="00E10A24">
            <w:pPr>
              <w:pStyle w:val="Tablebody"/>
              <w:spacing w:after="80"/>
            </w:pPr>
            <w:r w:rsidRPr="006633B5">
              <w:t xml:space="preserve">average axial load ratio of a set of piers </w:t>
            </w:r>
          </w:p>
        </w:tc>
      </w:tr>
      <w:tr w:rsidR="006633B5" w:rsidRPr="006633B5" w14:paraId="776E9C15" w14:textId="77777777" w:rsidTr="006633B5">
        <w:tc>
          <w:tcPr>
            <w:tcW w:w="1093" w:type="dxa"/>
            <w:shd w:val="clear" w:color="auto" w:fill="auto"/>
          </w:tcPr>
          <w:p w14:paraId="060BBB63" w14:textId="77777777" w:rsidR="006633B5" w:rsidRPr="006633B5" w:rsidRDefault="006633B5" w:rsidP="00E10A24">
            <w:pPr>
              <w:pStyle w:val="Tablebody"/>
              <w:spacing w:after="80"/>
            </w:pPr>
            <w:r w:rsidRPr="006633B5">
              <w:rPr>
                <w:i/>
              </w:rPr>
              <w:t>ξ</w:t>
            </w:r>
            <w:r w:rsidRPr="006633B5">
              <w:rPr>
                <w:iCs/>
                <w:vertAlign w:val="subscript"/>
              </w:rPr>
              <w:t>a</w:t>
            </w:r>
          </w:p>
        </w:tc>
        <w:tc>
          <w:tcPr>
            <w:tcW w:w="8758" w:type="dxa"/>
            <w:shd w:val="clear" w:color="auto" w:fill="auto"/>
          </w:tcPr>
          <w:p w14:paraId="0B20767F" w14:textId="77777777" w:rsidR="006633B5" w:rsidRPr="006633B5" w:rsidRDefault="006633B5" w:rsidP="00E10A24">
            <w:pPr>
              <w:pStyle w:val="Tablebody"/>
              <w:spacing w:after="80"/>
            </w:pPr>
            <w:r w:rsidRPr="006633B5">
              <w:t>damping value of the ancillary element in % of critical damping</w:t>
            </w:r>
          </w:p>
        </w:tc>
      </w:tr>
      <w:tr w:rsidR="006633B5" w:rsidRPr="006633B5" w14:paraId="78991A3A" w14:textId="77777777" w:rsidTr="006633B5">
        <w:tc>
          <w:tcPr>
            <w:tcW w:w="1093" w:type="dxa"/>
            <w:shd w:val="clear" w:color="auto" w:fill="auto"/>
          </w:tcPr>
          <w:p w14:paraId="6966C970" w14:textId="77777777" w:rsidR="006633B5" w:rsidRPr="006633B5" w:rsidRDefault="006633B5" w:rsidP="00E10A24">
            <w:pPr>
              <w:pStyle w:val="Tablebody"/>
              <w:spacing w:after="80"/>
              <w:rPr>
                <w:i/>
              </w:rPr>
            </w:pPr>
            <w:r w:rsidRPr="006633B5">
              <w:rPr>
                <w:rFonts w:ascii="Symbol" w:eastAsia="Symbol" w:hAnsi="Symbol" w:cs="Symbol"/>
                <w:i/>
              </w:rPr>
              <w:t></w:t>
            </w:r>
            <w:r w:rsidRPr="006633B5">
              <w:rPr>
                <w:iCs/>
                <w:vertAlign w:val="subscript"/>
              </w:rPr>
              <w:t>eff</w:t>
            </w:r>
          </w:p>
        </w:tc>
        <w:tc>
          <w:tcPr>
            <w:tcW w:w="8758" w:type="dxa"/>
            <w:shd w:val="clear" w:color="auto" w:fill="auto"/>
          </w:tcPr>
          <w:p w14:paraId="274AB89D" w14:textId="77777777" w:rsidR="006633B5" w:rsidRPr="006633B5" w:rsidRDefault="006633B5" w:rsidP="00E10A24">
            <w:pPr>
              <w:pStyle w:val="Tablebody"/>
              <w:spacing w:after="80"/>
            </w:pPr>
            <w:r w:rsidRPr="006633B5">
              <w:t xml:space="preserve">effective damping </w:t>
            </w:r>
          </w:p>
        </w:tc>
      </w:tr>
      <w:tr w:rsidR="006633B5" w:rsidRPr="006633B5" w14:paraId="015114EB" w14:textId="77777777" w:rsidTr="006633B5">
        <w:tc>
          <w:tcPr>
            <w:tcW w:w="1093" w:type="dxa"/>
            <w:shd w:val="clear" w:color="auto" w:fill="auto"/>
          </w:tcPr>
          <w:p w14:paraId="24900FF1" w14:textId="77777777" w:rsidR="006633B5" w:rsidRPr="006633B5" w:rsidRDefault="006633B5" w:rsidP="00E10A24">
            <w:pPr>
              <w:pStyle w:val="Tablebody"/>
              <w:spacing w:after="80"/>
              <w:rPr>
                <w:i/>
                <w:vertAlign w:val="subscript"/>
              </w:rPr>
            </w:pPr>
            <w:r w:rsidRPr="006633B5">
              <w:rPr>
                <w:rFonts w:ascii="Symbol" w:eastAsia="Symbol" w:hAnsi="Symbol" w:cs="Symbol"/>
                <w:i/>
              </w:rPr>
              <w:t></w:t>
            </w:r>
            <w:r w:rsidRPr="006633B5">
              <w:rPr>
                <w:iCs/>
                <w:vertAlign w:val="subscript"/>
              </w:rPr>
              <w:t>eff1</w:t>
            </w:r>
          </w:p>
        </w:tc>
        <w:tc>
          <w:tcPr>
            <w:tcW w:w="8758" w:type="dxa"/>
            <w:shd w:val="clear" w:color="auto" w:fill="auto"/>
          </w:tcPr>
          <w:p w14:paraId="45C0678B" w14:textId="77777777" w:rsidR="006633B5" w:rsidRPr="006633B5" w:rsidRDefault="006633B5" w:rsidP="00E10A24">
            <w:pPr>
              <w:pStyle w:val="Tablebody"/>
              <w:spacing w:after="80"/>
            </w:pPr>
            <w:r w:rsidRPr="006633B5">
              <w:t>effective damping in the first mode</w:t>
            </w:r>
          </w:p>
        </w:tc>
      </w:tr>
      <w:tr w:rsidR="006633B5" w:rsidRPr="006633B5" w14:paraId="5FD979D1" w14:textId="77777777" w:rsidTr="006633B5">
        <w:tc>
          <w:tcPr>
            <w:tcW w:w="1093" w:type="dxa"/>
            <w:shd w:val="clear" w:color="auto" w:fill="auto"/>
          </w:tcPr>
          <w:p w14:paraId="1E9C318C" w14:textId="77777777" w:rsidR="006633B5" w:rsidRPr="006633B5" w:rsidRDefault="006633B5" w:rsidP="00E10A24">
            <w:pPr>
              <w:pStyle w:val="Tablebody"/>
              <w:spacing w:after="80"/>
              <w:rPr>
                <w:i/>
                <w:vertAlign w:val="subscript"/>
              </w:rPr>
            </w:pPr>
            <w:r w:rsidRPr="006633B5">
              <w:rPr>
                <w:rFonts w:ascii="Symbol" w:eastAsia="Symbol" w:hAnsi="Symbol" w:cs="Symbol"/>
                <w:i/>
              </w:rPr>
              <w:t></w:t>
            </w:r>
            <w:r w:rsidRPr="006633B5">
              <w:rPr>
                <w:iCs/>
                <w:vertAlign w:val="subscript"/>
              </w:rPr>
              <w:t>effm</w:t>
            </w:r>
          </w:p>
        </w:tc>
        <w:tc>
          <w:tcPr>
            <w:tcW w:w="8758" w:type="dxa"/>
            <w:shd w:val="clear" w:color="auto" w:fill="auto"/>
          </w:tcPr>
          <w:p w14:paraId="692587D9" w14:textId="77777777" w:rsidR="006633B5" w:rsidRPr="006633B5" w:rsidRDefault="006633B5" w:rsidP="00E10A24">
            <w:pPr>
              <w:pStyle w:val="Tablebody"/>
              <w:spacing w:after="80"/>
            </w:pPr>
            <w:r w:rsidRPr="006633B5">
              <w:t xml:space="preserve">effective damping in the </w:t>
            </w:r>
            <w:r w:rsidRPr="006633B5">
              <w:rPr>
                <w:i/>
                <w:iCs/>
              </w:rPr>
              <w:t>m</w:t>
            </w:r>
            <w:r w:rsidRPr="006633B5">
              <w:t>-th mode</w:t>
            </w:r>
          </w:p>
        </w:tc>
      </w:tr>
      <w:tr w:rsidR="006633B5" w:rsidRPr="006633B5" w14:paraId="769F6499" w14:textId="77777777" w:rsidTr="006633B5">
        <w:tc>
          <w:tcPr>
            <w:tcW w:w="1093" w:type="dxa"/>
            <w:shd w:val="clear" w:color="auto" w:fill="auto"/>
          </w:tcPr>
          <w:p w14:paraId="35233153" w14:textId="77777777" w:rsidR="006633B5" w:rsidRPr="006633B5" w:rsidRDefault="006633B5" w:rsidP="00E10A24">
            <w:pPr>
              <w:pStyle w:val="Tablebody"/>
              <w:spacing w:after="80"/>
            </w:pPr>
            <w:r w:rsidRPr="006633B5">
              <w:rPr>
                <w:rFonts w:ascii="Symbol" w:eastAsia="Symbol" w:hAnsi="Symbol" w:cs="Symbol"/>
                <w:i/>
              </w:rPr>
              <w:t></w:t>
            </w:r>
            <w:r w:rsidRPr="006633B5">
              <w:rPr>
                <w:iCs/>
                <w:vertAlign w:val="subscript"/>
              </w:rPr>
              <w:t>H</w:t>
            </w:r>
          </w:p>
        </w:tc>
        <w:tc>
          <w:tcPr>
            <w:tcW w:w="8758" w:type="dxa"/>
            <w:shd w:val="clear" w:color="auto" w:fill="auto"/>
          </w:tcPr>
          <w:p w14:paraId="2228144C" w14:textId="77777777" w:rsidR="006633B5" w:rsidRPr="006633B5" w:rsidRDefault="006633B5" w:rsidP="00E10A24">
            <w:pPr>
              <w:pStyle w:val="Tablebody"/>
              <w:spacing w:after="80"/>
            </w:pPr>
            <w:r w:rsidRPr="006633B5">
              <w:t>component of effective damping of the structure due to post-yield hysteretic behaviour of the primary seismic elements of the main structural system</w:t>
            </w:r>
          </w:p>
        </w:tc>
      </w:tr>
      <w:tr w:rsidR="006633B5" w:rsidRPr="006633B5" w14:paraId="6473DCA6" w14:textId="77777777" w:rsidTr="006633B5">
        <w:tc>
          <w:tcPr>
            <w:tcW w:w="1093" w:type="dxa"/>
            <w:shd w:val="clear" w:color="auto" w:fill="auto"/>
          </w:tcPr>
          <w:p w14:paraId="5BE33C3D" w14:textId="77777777" w:rsidR="006633B5" w:rsidRPr="006633B5" w:rsidRDefault="006633B5" w:rsidP="00E10A24">
            <w:pPr>
              <w:pStyle w:val="Tablebody"/>
              <w:spacing w:after="80"/>
            </w:pPr>
            <w:r w:rsidRPr="006633B5">
              <w:rPr>
                <w:rFonts w:ascii="Symbol" w:eastAsia="Symbol" w:hAnsi="Symbol" w:cs="Symbol"/>
                <w:i/>
              </w:rPr>
              <w:t></w:t>
            </w:r>
            <w:r w:rsidRPr="006633B5">
              <w:rPr>
                <w:iCs/>
                <w:vertAlign w:val="subscript"/>
              </w:rPr>
              <w:t>I</w:t>
            </w:r>
          </w:p>
        </w:tc>
        <w:tc>
          <w:tcPr>
            <w:tcW w:w="8758" w:type="dxa"/>
            <w:shd w:val="clear" w:color="auto" w:fill="auto"/>
          </w:tcPr>
          <w:p w14:paraId="378AD756" w14:textId="77777777" w:rsidR="006633B5" w:rsidRPr="006633B5" w:rsidRDefault="006633B5" w:rsidP="00E10A24">
            <w:pPr>
              <w:pStyle w:val="Tablebody"/>
              <w:spacing w:after="80"/>
            </w:pPr>
            <w:r w:rsidRPr="006633B5">
              <w:t xml:space="preserve">inherent damping ratio </w:t>
            </w:r>
          </w:p>
        </w:tc>
      </w:tr>
      <w:tr w:rsidR="006633B5" w:rsidRPr="006633B5" w14:paraId="2BBEF861" w14:textId="77777777" w:rsidTr="006633B5">
        <w:tc>
          <w:tcPr>
            <w:tcW w:w="1093" w:type="dxa"/>
            <w:shd w:val="clear" w:color="auto" w:fill="auto"/>
          </w:tcPr>
          <w:p w14:paraId="4BE4C769" w14:textId="77777777" w:rsidR="006633B5" w:rsidRPr="006633B5" w:rsidRDefault="006633B5" w:rsidP="00E10A24">
            <w:pPr>
              <w:pStyle w:val="Tablebody"/>
              <w:spacing w:after="80"/>
            </w:pPr>
            <w:r w:rsidRPr="006633B5">
              <w:rPr>
                <w:i/>
              </w:rPr>
              <w:t>ξ</w:t>
            </w:r>
            <w:r w:rsidRPr="006633B5">
              <w:rPr>
                <w:iCs/>
                <w:vertAlign w:val="subscript"/>
              </w:rPr>
              <w:t>p,i</w:t>
            </w:r>
          </w:p>
        </w:tc>
        <w:tc>
          <w:tcPr>
            <w:tcW w:w="8758" w:type="dxa"/>
            <w:shd w:val="clear" w:color="auto" w:fill="auto"/>
          </w:tcPr>
          <w:p w14:paraId="22C2F1B2" w14:textId="77777777" w:rsidR="006633B5" w:rsidRPr="006633B5" w:rsidRDefault="006633B5" w:rsidP="00E10A24">
            <w:pPr>
              <w:pStyle w:val="Tablebody"/>
              <w:spacing w:after="80"/>
            </w:pPr>
            <w:r w:rsidRPr="006633B5">
              <w:t xml:space="preserve">damping value of the primary structure for buildings in % of critical damping </w:t>
            </w:r>
          </w:p>
        </w:tc>
      </w:tr>
      <w:tr w:rsidR="006633B5" w:rsidRPr="006633B5" w14:paraId="6D8EFBB7" w14:textId="77777777" w:rsidTr="006633B5">
        <w:tc>
          <w:tcPr>
            <w:tcW w:w="1093" w:type="dxa"/>
            <w:shd w:val="clear" w:color="auto" w:fill="auto"/>
          </w:tcPr>
          <w:p w14:paraId="584B7C5A" w14:textId="77777777" w:rsidR="006633B5" w:rsidRPr="006633B5" w:rsidRDefault="006633B5" w:rsidP="00E10A24">
            <w:pPr>
              <w:pStyle w:val="Tablebody"/>
              <w:spacing w:after="80"/>
            </w:pPr>
            <w:r w:rsidRPr="006633B5">
              <w:rPr>
                <w:rFonts w:ascii="Symbol" w:eastAsia="Symbol" w:hAnsi="Symbol" w:cs="Symbol"/>
                <w:i/>
              </w:rPr>
              <w:t></w:t>
            </w:r>
            <w:r w:rsidRPr="006633B5">
              <w:rPr>
                <w:iCs/>
                <w:vertAlign w:val="subscript"/>
              </w:rPr>
              <w:t>V1</w:t>
            </w:r>
          </w:p>
        </w:tc>
        <w:tc>
          <w:tcPr>
            <w:tcW w:w="8758" w:type="dxa"/>
            <w:shd w:val="clear" w:color="auto" w:fill="auto"/>
          </w:tcPr>
          <w:p w14:paraId="62EE5DBD" w14:textId="77777777" w:rsidR="006633B5" w:rsidRPr="006633B5" w:rsidRDefault="006633B5" w:rsidP="00E10A24">
            <w:pPr>
              <w:pStyle w:val="Tablebody"/>
              <w:spacing w:after="80"/>
            </w:pPr>
            <w:r w:rsidRPr="006633B5">
              <w:t>component of effective damping of the first mode of the structure due to viscous dissipation of energy by the damping system at or just below the yield displacement of the primary seismic elements of the main structure</w:t>
            </w:r>
          </w:p>
        </w:tc>
      </w:tr>
      <w:tr w:rsidR="006633B5" w:rsidRPr="006633B5" w14:paraId="1404E7CE" w14:textId="77777777" w:rsidTr="006633B5">
        <w:tc>
          <w:tcPr>
            <w:tcW w:w="1093" w:type="dxa"/>
            <w:shd w:val="clear" w:color="auto" w:fill="auto"/>
          </w:tcPr>
          <w:p w14:paraId="215B9671" w14:textId="77777777" w:rsidR="006633B5" w:rsidRPr="006633B5" w:rsidRDefault="006633B5" w:rsidP="00E10A24">
            <w:pPr>
              <w:pStyle w:val="Tablebody"/>
              <w:spacing w:after="80"/>
            </w:pPr>
            <w:r w:rsidRPr="006633B5">
              <w:rPr>
                <w:i/>
              </w:rPr>
              <w:t>ρ’</w:t>
            </w:r>
            <w:r w:rsidRPr="006633B5">
              <w:rPr>
                <w:vertAlign w:val="subscript"/>
              </w:rPr>
              <w:t>l</w:t>
            </w:r>
          </w:p>
        </w:tc>
        <w:tc>
          <w:tcPr>
            <w:tcW w:w="8758" w:type="dxa"/>
            <w:shd w:val="clear" w:color="auto" w:fill="auto"/>
          </w:tcPr>
          <w:p w14:paraId="51A7235F" w14:textId="77777777" w:rsidR="006633B5" w:rsidRPr="006633B5" w:rsidRDefault="006633B5" w:rsidP="00E10A24">
            <w:pPr>
              <w:pStyle w:val="Tablebody"/>
              <w:spacing w:after="80"/>
            </w:pPr>
            <w:r w:rsidRPr="006633B5">
              <w:t>longitudinal reinforcement ratio in the compression zone</w:t>
            </w:r>
          </w:p>
        </w:tc>
      </w:tr>
      <w:tr w:rsidR="006633B5" w:rsidRPr="006633B5" w14:paraId="001C25F0" w14:textId="77777777" w:rsidTr="006633B5">
        <w:tc>
          <w:tcPr>
            <w:tcW w:w="1093" w:type="dxa"/>
            <w:shd w:val="clear" w:color="auto" w:fill="auto"/>
          </w:tcPr>
          <w:p w14:paraId="1B3D79B8" w14:textId="77777777" w:rsidR="006633B5" w:rsidRPr="006633B5" w:rsidRDefault="006633B5" w:rsidP="00E10A24">
            <w:pPr>
              <w:pStyle w:val="Tablebody"/>
              <w:spacing w:after="80"/>
            </w:pPr>
            <w:r w:rsidRPr="006633B5">
              <w:rPr>
                <w:i/>
              </w:rPr>
              <w:t>ρ</w:t>
            </w:r>
            <w:r w:rsidRPr="006633B5">
              <w:rPr>
                <w:vertAlign w:val="subscript"/>
              </w:rPr>
              <w:t>l</w:t>
            </w:r>
          </w:p>
        </w:tc>
        <w:tc>
          <w:tcPr>
            <w:tcW w:w="8758" w:type="dxa"/>
            <w:shd w:val="clear" w:color="auto" w:fill="auto"/>
          </w:tcPr>
          <w:p w14:paraId="20733DF2" w14:textId="77777777" w:rsidR="006633B5" w:rsidRPr="006633B5" w:rsidRDefault="006633B5" w:rsidP="00E10A24">
            <w:pPr>
              <w:pStyle w:val="Tablebody"/>
              <w:spacing w:after="80"/>
            </w:pPr>
            <w:r w:rsidRPr="006633B5">
              <w:t>longitudinal reinforcement ratio</w:t>
            </w:r>
          </w:p>
        </w:tc>
      </w:tr>
      <w:tr w:rsidR="006633B5" w:rsidRPr="006633B5" w14:paraId="26833AF2" w14:textId="77777777" w:rsidTr="006633B5">
        <w:tc>
          <w:tcPr>
            <w:tcW w:w="1093" w:type="dxa"/>
            <w:shd w:val="clear" w:color="auto" w:fill="auto"/>
          </w:tcPr>
          <w:p w14:paraId="52E8246E" w14:textId="77777777" w:rsidR="006633B5" w:rsidRPr="006633B5" w:rsidRDefault="006633B5" w:rsidP="00E10A24">
            <w:pPr>
              <w:pStyle w:val="Tablebody"/>
              <w:spacing w:after="80"/>
            </w:pPr>
            <w:r w:rsidRPr="006633B5">
              <w:rPr>
                <w:i/>
              </w:rPr>
              <w:t>ρ</w:t>
            </w:r>
            <w:r w:rsidRPr="006633B5">
              <w:rPr>
                <w:vertAlign w:val="subscript"/>
              </w:rPr>
              <w:t>l,max</w:t>
            </w:r>
          </w:p>
        </w:tc>
        <w:tc>
          <w:tcPr>
            <w:tcW w:w="8758" w:type="dxa"/>
            <w:shd w:val="clear" w:color="auto" w:fill="auto"/>
          </w:tcPr>
          <w:p w14:paraId="2ECA6B4D" w14:textId="77777777" w:rsidR="006633B5" w:rsidRPr="006633B5" w:rsidRDefault="006633B5" w:rsidP="00E10A24">
            <w:pPr>
              <w:pStyle w:val="Tablebody"/>
              <w:spacing w:after="80"/>
            </w:pPr>
            <w:r w:rsidRPr="006633B5">
              <w:t>maximum longitudinal reinforcement ratio</w:t>
            </w:r>
          </w:p>
        </w:tc>
      </w:tr>
      <w:tr w:rsidR="006633B5" w:rsidRPr="006633B5" w14:paraId="1A132460" w14:textId="77777777" w:rsidTr="006633B5">
        <w:tc>
          <w:tcPr>
            <w:tcW w:w="1093" w:type="dxa"/>
            <w:shd w:val="clear" w:color="auto" w:fill="auto"/>
          </w:tcPr>
          <w:p w14:paraId="137924D1" w14:textId="77777777" w:rsidR="006633B5" w:rsidRPr="006633B5" w:rsidRDefault="006633B5" w:rsidP="00E10A24">
            <w:pPr>
              <w:pStyle w:val="Tablebody"/>
              <w:spacing w:after="80"/>
            </w:pPr>
            <w:r w:rsidRPr="006633B5">
              <w:rPr>
                <w:i/>
              </w:rPr>
              <w:t>ρ</w:t>
            </w:r>
            <w:r w:rsidRPr="006633B5">
              <w:rPr>
                <w:vertAlign w:val="subscript"/>
              </w:rPr>
              <w:t>l,min</w:t>
            </w:r>
          </w:p>
        </w:tc>
        <w:tc>
          <w:tcPr>
            <w:tcW w:w="8758" w:type="dxa"/>
            <w:shd w:val="clear" w:color="auto" w:fill="auto"/>
          </w:tcPr>
          <w:p w14:paraId="298623AB" w14:textId="77777777" w:rsidR="006633B5" w:rsidRPr="006633B5" w:rsidRDefault="006633B5" w:rsidP="00E10A24">
            <w:pPr>
              <w:pStyle w:val="Tablebody"/>
              <w:spacing w:after="80"/>
            </w:pPr>
            <w:r w:rsidRPr="006633B5">
              <w:t>minimum longitudinal reinforcement ratio</w:t>
            </w:r>
          </w:p>
        </w:tc>
      </w:tr>
      <w:tr w:rsidR="006633B5" w:rsidRPr="006633B5" w14:paraId="0F7ABE6B" w14:textId="77777777" w:rsidTr="006633B5">
        <w:tc>
          <w:tcPr>
            <w:tcW w:w="1093" w:type="dxa"/>
            <w:shd w:val="clear" w:color="auto" w:fill="auto"/>
          </w:tcPr>
          <w:p w14:paraId="6B6734C3" w14:textId="77777777" w:rsidR="006633B5" w:rsidRPr="006633B5" w:rsidRDefault="006633B5" w:rsidP="00E10A24">
            <w:pPr>
              <w:pStyle w:val="Tablebody"/>
              <w:spacing w:after="80"/>
              <w:rPr>
                <w:rFonts w:eastAsia="Cambria"/>
              </w:rPr>
            </w:pPr>
            <w:r w:rsidRPr="006633B5">
              <w:rPr>
                <w:i/>
              </w:rPr>
              <w:t>ρ</w:t>
            </w:r>
            <w:r w:rsidRPr="006633B5">
              <w:rPr>
                <w:vertAlign w:val="subscript"/>
              </w:rPr>
              <w:t>n</w:t>
            </w:r>
          </w:p>
        </w:tc>
        <w:tc>
          <w:tcPr>
            <w:tcW w:w="8758" w:type="dxa"/>
            <w:shd w:val="clear" w:color="auto" w:fill="auto"/>
          </w:tcPr>
          <w:p w14:paraId="71601E63" w14:textId="77777777" w:rsidR="006633B5" w:rsidRPr="006633B5" w:rsidRDefault="006633B5" w:rsidP="00E10A24">
            <w:pPr>
              <w:pStyle w:val="Tablebody"/>
              <w:spacing w:after="80"/>
            </w:pPr>
            <w:r w:rsidRPr="006633B5">
              <w:rPr>
                <w:rFonts w:eastAsia="Cambria"/>
              </w:rPr>
              <w:t xml:space="preserve">factor related to the effective height </w:t>
            </w:r>
            <w:r w:rsidRPr="006633B5">
              <w:t>as in EN 1996-1-1:2022, 7.5.1.3(10)</w:t>
            </w:r>
          </w:p>
        </w:tc>
      </w:tr>
      <w:tr w:rsidR="006633B5" w:rsidRPr="006633B5" w14:paraId="733D5069" w14:textId="77777777" w:rsidTr="006633B5">
        <w:tc>
          <w:tcPr>
            <w:tcW w:w="1093" w:type="dxa"/>
            <w:shd w:val="clear" w:color="auto" w:fill="auto"/>
          </w:tcPr>
          <w:p w14:paraId="72E7CB7C" w14:textId="77777777" w:rsidR="006633B5" w:rsidRPr="006633B5" w:rsidRDefault="006633B5" w:rsidP="00E10A24">
            <w:pPr>
              <w:pStyle w:val="Tablebody"/>
              <w:spacing w:after="80"/>
            </w:pPr>
            <w:r w:rsidRPr="006633B5">
              <w:rPr>
                <w:bCs/>
                <w:i/>
              </w:rPr>
              <w:t>ρ</w:t>
            </w:r>
            <w:r w:rsidRPr="006633B5">
              <w:rPr>
                <w:bCs/>
                <w:vertAlign w:val="subscript"/>
              </w:rPr>
              <w:t>v,min</w:t>
            </w:r>
          </w:p>
        </w:tc>
        <w:tc>
          <w:tcPr>
            <w:tcW w:w="8758" w:type="dxa"/>
            <w:shd w:val="clear" w:color="auto" w:fill="auto"/>
          </w:tcPr>
          <w:p w14:paraId="4176523A" w14:textId="77777777" w:rsidR="006633B5" w:rsidRPr="006633B5" w:rsidRDefault="006633B5" w:rsidP="00E10A24">
            <w:pPr>
              <w:pStyle w:val="Tablebody"/>
              <w:spacing w:after="80"/>
            </w:pPr>
            <w:r w:rsidRPr="006633B5">
              <w:t>minimum vertical reinforcement ratio in the vertical joint between precast panels relatively to the area of grout</w:t>
            </w:r>
          </w:p>
        </w:tc>
      </w:tr>
      <w:tr w:rsidR="006633B5" w:rsidRPr="006633B5" w14:paraId="22E3DFBA" w14:textId="77777777" w:rsidTr="006633B5">
        <w:tc>
          <w:tcPr>
            <w:tcW w:w="1093" w:type="dxa"/>
            <w:shd w:val="clear" w:color="auto" w:fill="auto"/>
          </w:tcPr>
          <w:p w14:paraId="1242C814" w14:textId="77777777" w:rsidR="006633B5" w:rsidRPr="006633B5" w:rsidRDefault="006633B5" w:rsidP="00E10A24">
            <w:pPr>
              <w:pStyle w:val="Tablebody"/>
              <w:spacing w:after="80"/>
            </w:pPr>
            <w:r w:rsidRPr="006633B5">
              <w:rPr>
                <w:i/>
              </w:rPr>
              <w:t>ρ</w:t>
            </w:r>
            <w:r w:rsidRPr="006633B5">
              <w:rPr>
                <w:vertAlign w:val="subscript"/>
              </w:rPr>
              <w:t>w</w:t>
            </w:r>
          </w:p>
        </w:tc>
        <w:tc>
          <w:tcPr>
            <w:tcW w:w="8758" w:type="dxa"/>
            <w:shd w:val="clear" w:color="auto" w:fill="auto"/>
          </w:tcPr>
          <w:p w14:paraId="27026B87" w14:textId="77777777" w:rsidR="006633B5" w:rsidRPr="006633B5" w:rsidRDefault="006633B5" w:rsidP="00E10A24">
            <w:pPr>
              <w:pStyle w:val="Tablebody"/>
              <w:spacing w:after="80"/>
            </w:pPr>
            <w:r w:rsidRPr="006633B5">
              <w:t>shear reinforcement ratio</w:t>
            </w:r>
          </w:p>
        </w:tc>
      </w:tr>
      <w:tr w:rsidR="006633B5" w:rsidRPr="006633B5" w14:paraId="3F3F4878" w14:textId="77777777" w:rsidTr="006633B5">
        <w:tc>
          <w:tcPr>
            <w:tcW w:w="1093" w:type="dxa"/>
            <w:shd w:val="clear" w:color="auto" w:fill="auto"/>
          </w:tcPr>
          <w:p w14:paraId="1B0AB991" w14:textId="77777777" w:rsidR="006633B5" w:rsidRPr="006633B5" w:rsidRDefault="006633B5" w:rsidP="00E10A24">
            <w:pPr>
              <w:pStyle w:val="Tablebody"/>
              <w:spacing w:after="80"/>
            </w:pPr>
            <w:r w:rsidRPr="006633B5">
              <w:rPr>
                <w:i/>
              </w:rPr>
              <w:t>ρ</w:t>
            </w:r>
            <w:r w:rsidRPr="006633B5">
              <w:rPr>
                <w:vertAlign w:val="subscript"/>
              </w:rPr>
              <w:t>w,min</w:t>
            </w:r>
          </w:p>
        </w:tc>
        <w:tc>
          <w:tcPr>
            <w:tcW w:w="8758" w:type="dxa"/>
            <w:shd w:val="clear" w:color="auto" w:fill="auto"/>
          </w:tcPr>
          <w:p w14:paraId="057D9EBC" w14:textId="77777777" w:rsidR="006633B5" w:rsidRPr="006633B5" w:rsidRDefault="006633B5" w:rsidP="00E10A24">
            <w:pPr>
              <w:pStyle w:val="Tablebody"/>
              <w:spacing w:after="80"/>
            </w:pPr>
            <w:r w:rsidRPr="006633B5">
              <w:t>minimum shear reinforcement ratio</w:t>
            </w:r>
          </w:p>
        </w:tc>
      </w:tr>
      <w:tr w:rsidR="006633B5" w:rsidRPr="006633B5" w14:paraId="41D98FD8" w14:textId="77777777" w:rsidTr="006633B5">
        <w:tc>
          <w:tcPr>
            <w:tcW w:w="1093" w:type="dxa"/>
            <w:shd w:val="clear" w:color="auto" w:fill="auto"/>
          </w:tcPr>
          <w:p w14:paraId="79CC09F1" w14:textId="77777777" w:rsidR="006633B5" w:rsidRPr="006633B5" w:rsidRDefault="006633B5" w:rsidP="00E10A24">
            <w:pPr>
              <w:pStyle w:val="Tablebody"/>
              <w:spacing w:after="80"/>
            </w:pPr>
            <w:r w:rsidRPr="006633B5">
              <w:rPr>
                <w:i/>
              </w:rPr>
              <w:t>ρ</w:t>
            </w:r>
            <w:r w:rsidRPr="006633B5">
              <w:rPr>
                <w:vertAlign w:val="subscript"/>
              </w:rPr>
              <w:t>wj</w:t>
            </w:r>
          </w:p>
        </w:tc>
        <w:tc>
          <w:tcPr>
            <w:tcW w:w="8758" w:type="dxa"/>
            <w:shd w:val="clear" w:color="auto" w:fill="auto"/>
          </w:tcPr>
          <w:p w14:paraId="23A66767" w14:textId="77777777" w:rsidR="006633B5" w:rsidRPr="006633B5" w:rsidRDefault="006633B5" w:rsidP="00E10A24">
            <w:pPr>
              <w:pStyle w:val="Tablebody"/>
              <w:spacing w:after="80"/>
            </w:pPr>
            <w:r w:rsidRPr="006633B5">
              <w:t>transverse reinforcement ratio of the joint</w:t>
            </w:r>
          </w:p>
        </w:tc>
      </w:tr>
      <w:tr w:rsidR="006633B5" w:rsidRPr="006633B5" w14:paraId="1BC70E59" w14:textId="77777777" w:rsidTr="006633B5">
        <w:tc>
          <w:tcPr>
            <w:tcW w:w="1093" w:type="dxa"/>
            <w:shd w:val="clear" w:color="auto" w:fill="auto"/>
          </w:tcPr>
          <w:p w14:paraId="52701880" w14:textId="77777777" w:rsidR="006633B5" w:rsidRPr="006633B5" w:rsidRDefault="006633B5" w:rsidP="00E10A24">
            <w:pPr>
              <w:pStyle w:val="Tablebody"/>
              <w:spacing w:after="80"/>
              <w:rPr>
                <w:vertAlign w:val="subscript"/>
              </w:rPr>
            </w:pPr>
            <w:r w:rsidRPr="006633B5">
              <w:rPr>
                <w:i/>
              </w:rPr>
              <w:t>σ</w:t>
            </w:r>
            <w:r w:rsidRPr="006633B5">
              <w:rPr>
                <w:vertAlign w:val="subscript"/>
              </w:rPr>
              <w:t>cm</w:t>
            </w:r>
          </w:p>
        </w:tc>
        <w:tc>
          <w:tcPr>
            <w:tcW w:w="8758" w:type="dxa"/>
            <w:shd w:val="clear" w:color="auto" w:fill="auto"/>
          </w:tcPr>
          <w:p w14:paraId="3168C7D5" w14:textId="77777777" w:rsidR="006633B5" w:rsidRPr="006633B5" w:rsidRDefault="006633B5" w:rsidP="00E10A24">
            <w:pPr>
              <w:pStyle w:val="Tablebody"/>
              <w:spacing w:after="80"/>
            </w:pPr>
            <w:r w:rsidRPr="006633B5">
              <w:t>mean value of the concrete stress in the compression zone of the section of the wall</w:t>
            </w:r>
          </w:p>
        </w:tc>
      </w:tr>
      <w:tr w:rsidR="006633B5" w:rsidRPr="006633B5" w14:paraId="117077A1" w14:textId="77777777" w:rsidTr="006633B5">
        <w:tc>
          <w:tcPr>
            <w:tcW w:w="1093" w:type="dxa"/>
            <w:shd w:val="clear" w:color="auto" w:fill="auto"/>
          </w:tcPr>
          <w:p w14:paraId="3E7E2940" w14:textId="77777777" w:rsidR="006633B5" w:rsidRPr="006633B5" w:rsidRDefault="006633B5" w:rsidP="00E10A24">
            <w:pPr>
              <w:pStyle w:val="Tablebody"/>
              <w:spacing w:after="80"/>
              <w:rPr>
                <w:vertAlign w:val="subscript"/>
              </w:rPr>
            </w:pPr>
            <w:r w:rsidRPr="006633B5">
              <w:rPr>
                <w:rFonts w:cs="Times New Roman"/>
                <w:i/>
                <w:iCs/>
              </w:rPr>
              <w:t>σ</w:t>
            </w:r>
            <w:r w:rsidRPr="006633B5">
              <w:rPr>
                <w:vertAlign w:val="subscript"/>
              </w:rPr>
              <w:t>Ed</w:t>
            </w:r>
          </w:p>
        </w:tc>
        <w:tc>
          <w:tcPr>
            <w:tcW w:w="8758" w:type="dxa"/>
            <w:shd w:val="clear" w:color="auto" w:fill="auto"/>
          </w:tcPr>
          <w:p w14:paraId="09014994" w14:textId="77777777" w:rsidR="006633B5" w:rsidRPr="006633B5" w:rsidRDefault="006633B5" w:rsidP="00E10A24">
            <w:pPr>
              <w:pStyle w:val="Tablebody"/>
              <w:spacing w:after="80"/>
              <w:rPr>
                <w:szCs w:val="22"/>
              </w:rPr>
            </w:pPr>
            <w:r w:rsidRPr="006633B5">
              <w:t>stress level</w:t>
            </w:r>
          </w:p>
        </w:tc>
      </w:tr>
      <w:tr w:rsidR="006633B5" w:rsidRPr="006633B5" w14:paraId="278259DB" w14:textId="77777777" w:rsidTr="006633B5">
        <w:tc>
          <w:tcPr>
            <w:tcW w:w="1093" w:type="dxa"/>
            <w:shd w:val="clear" w:color="auto" w:fill="auto"/>
          </w:tcPr>
          <w:p w14:paraId="22AA0C32" w14:textId="77777777" w:rsidR="006633B5" w:rsidRPr="006633B5" w:rsidRDefault="006633B5" w:rsidP="00E10A24">
            <w:pPr>
              <w:pStyle w:val="Tablebody"/>
              <w:spacing w:after="80"/>
            </w:pPr>
            <w:r w:rsidRPr="006633B5">
              <w:rPr>
                <w:i/>
              </w:rPr>
              <w:t>τ</w:t>
            </w:r>
            <w:r w:rsidRPr="006633B5">
              <w:rPr>
                <w:vertAlign w:val="subscript"/>
              </w:rPr>
              <w:t>Ed</w:t>
            </w:r>
          </w:p>
        </w:tc>
        <w:tc>
          <w:tcPr>
            <w:tcW w:w="8758" w:type="dxa"/>
            <w:shd w:val="clear" w:color="auto" w:fill="auto"/>
          </w:tcPr>
          <w:p w14:paraId="70A2902F" w14:textId="77777777" w:rsidR="006633B5" w:rsidRPr="006633B5" w:rsidRDefault="006633B5" w:rsidP="00E10A24">
            <w:pPr>
              <w:pStyle w:val="Tablebody"/>
              <w:spacing w:after="80"/>
            </w:pPr>
            <w:r w:rsidRPr="006633B5">
              <w:t>design punching shear stress for the seismic design situation</w:t>
            </w:r>
          </w:p>
        </w:tc>
      </w:tr>
      <w:tr w:rsidR="006633B5" w:rsidRPr="006633B5" w14:paraId="43E38822" w14:textId="77777777" w:rsidTr="006633B5">
        <w:tc>
          <w:tcPr>
            <w:tcW w:w="1093" w:type="dxa"/>
            <w:shd w:val="clear" w:color="auto" w:fill="auto"/>
          </w:tcPr>
          <w:p w14:paraId="4EBDE6EC" w14:textId="77777777" w:rsidR="006633B5" w:rsidRPr="006633B5" w:rsidRDefault="006633B5" w:rsidP="00E10A24">
            <w:pPr>
              <w:pStyle w:val="Tablebody"/>
              <w:spacing w:after="80"/>
            </w:pPr>
            <w:r w:rsidRPr="006633B5">
              <w:rPr>
                <w:i/>
              </w:rPr>
              <w:t>τ</w:t>
            </w:r>
            <w:r w:rsidRPr="006633B5">
              <w:rPr>
                <w:vertAlign w:val="subscript"/>
              </w:rPr>
              <w:t>Ed,grav</w:t>
            </w:r>
          </w:p>
        </w:tc>
        <w:tc>
          <w:tcPr>
            <w:tcW w:w="8758" w:type="dxa"/>
            <w:shd w:val="clear" w:color="auto" w:fill="auto"/>
          </w:tcPr>
          <w:p w14:paraId="6650C6B2" w14:textId="77777777" w:rsidR="006633B5" w:rsidRPr="006633B5" w:rsidRDefault="006633B5" w:rsidP="00E10A24">
            <w:pPr>
              <w:pStyle w:val="Tablebody"/>
              <w:spacing w:after="80"/>
            </w:pPr>
            <w:r w:rsidRPr="006633B5">
              <w:t>punching shear stress for the gravity loads design situation</w:t>
            </w:r>
          </w:p>
        </w:tc>
      </w:tr>
      <w:tr w:rsidR="006633B5" w:rsidRPr="006633B5" w14:paraId="4F105F3E" w14:textId="77777777" w:rsidTr="006633B5">
        <w:tc>
          <w:tcPr>
            <w:tcW w:w="1093" w:type="dxa"/>
            <w:shd w:val="clear" w:color="auto" w:fill="auto"/>
          </w:tcPr>
          <w:p w14:paraId="0AEA68A8" w14:textId="77777777" w:rsidR="006633B5" w:rsidRPr="006633B5" w:rsidRDefault="006633B5" w:rsidP="00E10A24">
            <w:pPr>
              <w:pStyle w:val="Tablebody"/>
              <w:spacing w:after="80"/>
            </w:pPr>
            <w:r w:rsidRPr="006633B5">
              <w:rPr>
                <w:i/>
              </w:rPr>
              <w:t>τ</w:t>
            </w:r>
            <w:r w:rsidRPr="006633B5">
              <w:rPr>
                <w:vertAlign w:val="subscript"/>
              </w:rPr>
              <w:t>Edj</w:t>
            </w:r>
          </w:p>
        </w:tc>
        <w:tc>
          <w:tcPr>
            <w:tcW w:w="8758" w:type="dxa"/>
            <w:shd w:val="clear" w:color="auto" w:fill="auto"/>
          </w:tcPr>
          <w:p w14:paraId="5DBDA283" w14:textId="77777777" w:rsidR="006633B5" w:rsidRPr="006633B5" w:rsidRDefault="006633B5" w:rsidP="00E10A24">
            <w:pPr>
              <w:pStyle w:val="Tablebody"/>
              <w:spacing w:after="80"/>
            </w:pPr>
            <w:r w:rsidRPr="006633B5">
              <w:t>joint shear stress</w:t>
            </w:r>
          </w:p>
        </w:tc>
      </w:tr>
      <w:tr w:rsidR="006633B5" w:rsidRPr="006633B5" w14:paraId="65F3E14F" w14:textId="77777777" w:rsidTr="006633B5">
        <w:tc>
          <w:tcPr>
            <w:tcW w:w="1093" w:type="dxa"/>
            <w:shd w:val="clear" w:color="auto" w:fill="auto"/>
          </w:tcPr>
          <w:p w14:paraId="4222BDB1" w14:textId="77777777" w:rsidR="006633B5" w:rsidRPr="006633B5" w:rsidRDefault="006633B5" w:rsidP="00E10A24">
            <w:pPr>
              <w:pStyle w:val="Tablebody"/>
              <w:spacing w:after="80"/>
            </w:pPr>
            <w:r w:rsidRPr="006633B5">
              <w:rPr>
                <w:i/>
              </w:rPr>
              <w:t>τ</w:t>
            </w:r>
            <w:r w:rsidRPr="006633B5">
              <w:rPr>
                <w:vertAlign w:val="subscript"/>
              </w:rPr>
              <w:t>Rd,c</w:t>
            </w:r>
          </w:p>
        </w:tc>
        <w:tc>
          <w:tcPr>
            <w:tcW w:w="8758" w:type="dxa"/>
            <w:shd w:val="clear" w:color="auto" w:fill="auto"/>
          </w:tcPr>
          <w:p w14:paraId="49D405EB" w14:textId="77777777" w:rsidR="006633B5" w:rsidRPr="006633B5" w:rsidRDefault="006633B5" w:rsidP="00E10A24">
            <w:pPr>
              <w:pStyle w:val="Tablebody"/>
              <w:spacing w:after="80"/>
            </w:pPr>
            <w:r w:rsidRPr="006633B5">
              <w:t>design resistance of concrete to punching shear stress for members without shear reinforcement</w:t>
            </w:r>
          </w:p>
        </w:tc>
      </w:tr>
      <w:tr w:rsidR="006633B5" w:rsidRPr="006633B5" w14:paraId="2F991439" w14:textId="77777777" w:rsidTr="006633B5">
        <w:tc>
          <w:tcPr>
            <w:tcW w:w="1093" w:type="dxa"/>
            <w:shd w:val="clear" w:color="auto" w:fill="auto"/>
          </w:tcPr>
          <w:p w14:paraId="581784D7" w14:textId="77777777" w:rsidR="006633B5" w:rsidRPr="006633B5" w:rsidRDefault="006633B5" w:rsidP="00E10A24">
            <w:pPr>
              <w:pStyle w:val="Tablebody"/>
              <w:spacing w:after="80"/>
            </w:pPr>
            <w:r w:rsidRPr="006633B5">
              <w:rPr>
                <w:i/>
              </w:rPr>
              <w:t>τ</w:t>
            </w:r>
            <w:r w:rsidRPr="006633B5">
              <w:rPr>
                <w:vertAlign w:val="subscript"/>
              </w:rPr>
              <w:t>Rdj</w:t>
            </w:r>
          </w:p>
        </w:tc>
        <w:tc>
          <w:tcPr>
            <w:tcW w:w="8758" w:type="dxa"/>
            <w:shd w:val="clear" w:color="auto" w:fill="auto"/>
          </w:tcPr>
          <w:p w14:paraId="19501096" w14:textId="77777777" w:rsidR="006633B5" w:rsidRPr="006633B5" w:rsidRDefault="006633B5" w:rsidP="00E10A24">
            <w:pPr>
              <w:pStyle w:val="Tablebody"/>
              <w:spacing w:after="80"/>
            </w:pPr>
            <w:r w:rsidRPr="006633B5">
              <w:t>joint shear resistance</w:t>
            </w:r>
          </w:p>
        </w:tc>
      </w:tr>
      <w:tr w:rsidR="006633B5" w:rsidRPr="006633B5" w14:paraId="1184FDAB" w14:textId="77777777" w:rsidTr="006633B5">
        <w:tc>
          <w:tcPr>
            <w:tcW w:w="1093" w:type="dxa"/>
            <w:shd w:val="clear" w:color="auto" w:fill="auto"/>
          </w:tcPr>
          <w:p w14:paraId="1EA99E5C" w14:textId="77777777" w:rsidR="006633B5" w:rsidRPr="006633B5" w:rsidRDefault="006633B5" w:rsidP="00E10A24">
            <w:pPr>
              <w:pStyle w:val="Tablebody"/>
              <w:spacing w:after="80"/>
            </w:pPr>
            <w:r w:rsidRPr="006633B5">
              <w:rPr>
                <w:i/>
              </w:rPr>
              <w:t>τ</w:t>
            </w:r>
            <w:r w:rsidRPr="006633B5">
              <w:rPr>
                <w:vertAlign w:val="subscript"/>
              </w:rPr>
              <w:t>Rd,max</w:t>
            </w:r>
          </w:p>
        </w:tc>
        <w:tc>
          <w:tcPr>
            <w:tcW w:w="8758" w:type="dxa"/>
            <w:shd w:val="clear" w:color="auto" w:fill="auto"/>
          </w:tcPr>
          <w:p w14:paraId="6C2CE61E" w14:textId="77777777" w:rsidR="006633B5" w:rsidRPr="006633B5" w:rsidRDefault="006633B5" w:rsidP="00E10A24">
            <w:pPr>
              <w:pStyle w:val="Tablebody"/>
              <w:spacing w:after="80"/>
            </w:pPr>
            <w:r w:rsidRPr="006633B5">
              <w:t>maximum punching shear stress resistance of planar members with shear reinforcement</w:t>
            </w:r>
          </w:p>
        </w:tc>
      </w:tr>
      <w:tr w:rsidR="006633B5" w:rsidRPr="006633B5" w14:paraId="6B4EAD3A" w14:textId="77777777" w:rsidTr="006633B5">
        <w:tc>
          <w:tcPr>
            <w:tcW w:w="1093" w:type="dxa"/>
            <w:shd w:val="clear" w:color="auto" w:fill="auto"/>
          </w:tcPr>
          <w:p w14:paraId="36044AD6" w14:textId="77777777" w:rsidR="006633B5" w:rsidRPr="006633B5" w:rsidRDefault="006633B5" w:rsidP="00E10A24">
            <w:pPr>
              <w:pStyle w:val="Tablebody"/>
              <w:spacing w:after="80"/>
            </w:pPr>
            <w:r w:rsidRPr="006633B5">
              <w:rPr>
                <w:i/>
              </w:rPr>
              <w:t>φ</w:t>
            </w:r>
            <w:r w:rsidRPr="006633B5">
              <w:rPr>
                <w:vertAlign w:val="subscript"/>
              </w:rPr>
              <w:t>imp</w:t>
            </w:r>
          </w:p>
        </w:tc>
        <w:tc>
          <w:tcPr>
            <w:tcW w:w="8758" w:type="dxa"/>
            <w:shd w:val="clear" w:color="auto" w:fill="auto"/>
          </w:tcPr>
          <w:p w14:paraId="5DB7B2AE" w14:textId="77777777" w:rsidR="006633B5" w:rsidRPr="006633B5" w:rsidRDefault="006633B5" w:rsidP="00E10A24">
            <w:pPr>
              <w:pStyle w:val="Tablebody"/>
              <w:spacing w:after="80"/>
            </w:pPr>
            <w:r w:rsidRPr="006633B5">
              <w:t>strength impairment factor of a dissipative timber connection</w:t>
            </w:r>
          </w:p>
        </w:tc>
      </w:tr>
      <w:tr w:rsidR="006633B5" w:rsidRPr="006633B5" w14:paraId="40B1D29D" w14:textId="77777777" w:rsidTr="006633B5">
        <w:tc>
          <w:tcPr>
            <w:tcW w:w="1093" w:type="dxa"/>
            <w:shd w:val="clear" w:color="auto" w:fill="auto"/>
          </w:tcPr>
          <w:p w14:paraId="4458791D" w14:textId="77777777" w:rsidR="006633B5" w:rsidRPr="006633B5" w:rsidRDefault="006633B5" w:rsidP="00E10A24">
            <w:pPr>
              <w:pStyle w:val="Tablebody"/>
              <w:spacing w:after="80"/>
            </w:pPr>
            <w:r w:rsidRPr="006633B5">
              <w:rPr>
                <w:i/>
              </w:rPr>
              <w:lastRenderedPageBreak/>
              <w:t>ψ</w:t>
            </w:r>
            <w:r w:rsidRPr="006633B5">
              <w:rPr>
                <w:vertAlign w:val="subscript"/>
              </w:rPr>
              <w:t>max</w:t>
            </w:r>
          </w:p>
        </w:tc>
        <w:tc>
          <w:tcPr>
            <w:tcW w:w="8758" w:type="dxa"/>
            <w:shd w:val="clear" w:color="auto" w:fill="auto"/>
          </w:tcPr>
          <w:p w14:paraId="112B2EDF" w14:textId="77777777" w:rsidR="006633B5" w:rsidRPr="006633B5" w:rsidRDefault="006633B5" w:rsidP="00E10A24">
            <w:pPr>
              <w:pStyle w:val="Tablebody"/>
              <w:spacing w:after="80"/>
            </w:pPr>
            <w:r w:rsidRPr="006633B5">
              <w:t>maximum slab rotation relatively to the slab support connection</w:t>
            </w:r>
          </w:p>
        </w:tc>
      </w:tr>
      <w:tr w:rsidR="006633B5" w:rsidRPr="006633B5" w14:paraId="343B34F9" w14:textId="77777777" w:rsidTr="006633B5">
        <w:tc>
          <w:tcPr>
            <w:tcW w:w="1093" w:type="dxa"/>
            <w:shd w:val="clear" w:color="auto" w:fill="auto"/>
          </w:tcPr>
          <w:p w14:paraId="00E9B452" w14:textId="77777777" w:rsidR="006633B5" w:rsidRPr="006633B5" w:rsidRDefault="006633B5" w:rsidP="00E10A24">
            <w:pPr>
              <w:pStyle w:val="Tablebody"/>
              <w:spacing w:after="80"/>
              <w:rPr>
                <w:i/>
                <w:lang w:val="en-US"/>
              </w:rPr>
            </w:pPr>
            <w:r w:rsidRPr="006633B5">
              <w:rPr>
                <w:i/>
                <w:lang w:val="fr-FR"/>
              </w:rPr>
              <w:t>ω</w:t>
            </w:r>
            <w:r w:rsidRPr="006633B5">
              <w:rPr>
                <w:i/>
                <w:vertAlign w:val="subscript"/>
                <w:lang w:val="en-US"/>
              </w:rPr>
              <w:t>pb</w:t>
            </w:r>
            <w:r w:rsidRPr="006633B5">
              <w:rPr>
                <w:i/>
                <w:lang w:val="en-US"/>
              </w:rPr>
              <w:t xml:space="preserve"> </w:t>
            </w:r>
          </w:p>
        </w:tc>
        <w:tc>
          <w:tcPr>
            <w:tcW w:w="8758" w:type="dxa"/>
            <w:shd w:val="clear" w:color="auto" w:fill="auto"/>
          </w:tcPr>
          <w:p w14:paraId="20B754C1" w14:textId="77777777" w:rsidR="006633B5" w:rsidRPr="006633B5" w:rsidRDefault="006633B5" w:rsidP="00E10A24">
            <w:pPr>
              <w:pStyle w:val="Tablebody"/>
              <w:spacing w:after="80"/>
            </w:pPr>
            <w:r w:rsidRPr="006633B5">
              <w:rPr>
                <w:lang w:val="en-US"/>
              </w:rPr>
              <w:t xml:space="preserve">multiplicative factor on design value </w:t>
            </w:r>
            <w:r w:rsidRPr="006633B5">
              <w:rPr>
                <w:i/>
                <w:lang w:val="en-US"/>
              </w:rPr>
              <w:t>N</w:t>
            </w:r>
            <w:r w:rsidRPr="006633B5">
              <w:rPr>
                <w:vertAlign w:val="subscript"/>
                <w:lang w:val="en-US"/>
              </w:rPr>
              <w:t>pl,Rd</w:t>
            </w:r>
            <w:r w:rsidRPr="006633B5">
              <w:rPr>
                <w:lang w:val="en-US"/>
              </w:rPr>
              <w:t xml:space="preserve"> of yield resistance in tension of compression brace, for the estimation of the residual post-buckling resistance of the brace.</w:t>
            </w:r>
          </w:p>
        </w:tc>
      </w:tr>
      <w:tr w:rsidR="006633B5" w:rsidRPr="006633B5" w14:paraId="14F912D9" w14:textId="77777777" w:rsidTr="006633B5">
        <w:tc>
          <w:tcPr>
            <w:tcW w:w="1093" w:type="dxa"/>
            <w:shd w:val="clear" w:color="auto" w:fill="auto"/>
          </w:tcPr>
          <w:p w14:paraId="5E6C1706" w14:textId="77777777" w:rsidR="006633B5" w:rsidRPr="006633B5" w:rsidRDefault="006633B5" w:rsidP="00E10A24">
            <w:pPr>
              <w:pStyle w:val="Tablebody"/>
              <w:spacing w:after="80"/>
              <w:rPr>
                <w:rFonts w:eastAsia="Cambria" w:cs="Helvetica"/>
                <w:lang w:eastAsia="de-DE"/>
              </w:rPr>
            </w:pPr>
            <w:r w:rsidRPr="006633B5">
              <w:rPr>
                <w:rFonts w:ascii="Calibri" w:eastAsia="Symbol" w:hAnsi="Calibri" w:cs="Calibri"/>
                <w:i/>
              </w:rPr>
              <w:t>ω</w:t>
            </w:r>
            <w:r w:rsidRPr="006633B5">
              <w:rPr>
                <w:iCs/>
                <w:vertAlign w:val="subscript"/>
              </w:rPr>
              <w:t>rm</w:t>
            </w:r>
          </w:p>
        </w:tc>
        <w:tc>
          <w:tcPr>
            <w:tcW w:w="8758" w:type="dxa"/>
            <w:shd w:val="clear" w:color="auto" w:fill="auto"/>
          </w:tcPr>
          <w:p w14:paraId="73BC2C36" w14:textId="77777777" w:rsidR="006633B5" w:rsidRPr="006633B5" w:rsidRDefault="006633B5" w:rsidP="00E10A24">
            <w:pPr>
              <w:pStyle w:val="Tablebody"/>
              <w:spacing w:after="80"/>
            </w:pPr>
            <w:r w:rsidRPr="006633B5">
              <w:t xml:space="preserve">ratio between the expected average yield strength of steel products of a certain steel grade and the nominal yield strength of that steel grade; for aluminium, ratio of the expected (i.e. average) value of the conventional elastic limit </w:t>
            </w:r>
            <m:oMath>
              <m:sSub>
                <m:sSubPr>
                  <m:ctrlPr>
                    <w:rPr>
                      <w:rFonts w:ascii="Cambria Math" w:hAnsi="Cambria Math"/>
                      <w:i/>
                    </w:rPr>
                  </m:ctrlPr>
                </m:sSubPr>
                <m:e>
                  <m:r>
                    <w:rPr>
                      <w:rFonts w:ascii="Cambria Math" w:hAnsi="Cambria Math"/>
                    </w:rPr>
                    <m:t>f</m:t>
                  </m:r>
                </m:e>
                <m:sub>
                  <m:r>
                    <m:rPr>
                      <m:sty m:val="p"/>
                    </m:rPr>
                    <w:rPr>
                      <w:rFonts w:ascii="Cambria Math" w:hAnsi="Cambria Math"/>
                    </w:rPr>
                    <m:t>o</m:t>
                  </m:r>
                </m:sub>
              </m:sSub>
              <m:r>
                <w:rPr>
                  <w:rFonts w:ascii="Cambria Math" w:hAnsi="Cambria Math"/>
                </w:rPr>
                <m:t xml:space="preserve"> </m:t>
              </m:r>
            </m:oMath>
            <w:r w:rsidRPr="006633B5">
              <w:t xml:space="preserve"> to its design value from EN 1999-1-1</w:t>
            </w:r>
          </w:p>
        </w:tc>
      </w:tr>
      <w:tr w:rsidR="006633B5" w:rsidRPr="006633B5" w14:paraId="36496FD9" w14:textId="77777777" w:rsidTr="006633B5">
        <w:tc>
          <w:tcPr>
            <w:tcW w:w="1093" w:type="dxa"/>
            <w:shd w:val="clear" w:color="auto" w:fill="auto"/>
          </w:tcPr>
          <w:p w14:paraId="3254D2CB" w14:textId="77777777" w:rsidR="006633B5" w:rsidRPr="006633B5" w:rsidRDefault="006633B5" w:rsidP="00E10A24">
            <w:pPr>
              <w:pStyle w:val="Tablebody"/>
              <w:spacing w:after="80"/>
            </w:pPr>
            <w:r w:rsidRPr="006633B5">
              <w:rPr>
                <w:rFonts w:eastAsia="Symbol" w:cs="Symbol"/>
                <w:i/>
              </w:rPr>
              <w:t>ω</w:t>
            </w:r>
            <w:r w:rsidRPr="006633B5">
              <w:rPr>
                <w:vertAlign w:val="subscript"/>
              </w:rPr>
              <w:t>sh</w:t>
            </w:r>
          </w:p>
        </w:tc>
        <w:tc>
          <w:tcPr>
            <w:tcW w:w="8758" w:type="dxa"/>
            <w:shd w:val="clear" w:color="auto" w:fill="auto"/>
          </w:tcPr>
          <w:p w14:paraId="7B2785EB" w14:textId="77777777" w:rsidR="006633B5" w:rsidRPr="006633B5" w:rsidRDefault="006633B5" w:rsidP="00E10A24">
            <w:pPr>
              <w:pStyle w:val="Tablebody"/>
              <w:spacing w:after="80"/>
            </w:pPr>
            <w:r w:rsidRPr="006633B5">
              <w:t>factor taking into account the strain-hardening effect of steel or aluminium</w:t>
            </w:r>
          </w:p>
        </w:tc>
      </w:tr>
      <w:tr w:rsidR="006633B5" w:rsidRPr="006633B5" w14:paraId="7B5FC572" w14:textId="77777777" w:rsidTr="006633B5">
        <w:tc>
          <w:tcPr>
            <w:tcW w:w="1093" w:type="dxa"/>
            <w:shd w:val="clear" w:color="auto" w:fill="auto"/>
          </w:tcPr>
          <w:p w14:paraId="3A54ABD4" w14:textId="77777777" w:rsidR="006633B5" w:rsidRPr="006633B5" w:rsidRDefault="006633B5" w:rsidP="00E10A24">
            <w:pPr>
              <w:pStyle w:val="Tablebody"/>
              <w:spacing w:after="80"/>
            </w:pPr>
            <w:r w:rsidRPr="006633B5">
              <w:rPr>
                <w:i/>
              </w:rPr>
              <w:t>ω</w:t>
            </w:r>
            <w:r w:rsidRPr="006633B5">
              <w:rPr>
                <w:vertAlign w:val="subscript"/>
              </w:rPr>
              <w:t>wd</w:t>
            </w:r>
          </w:p>
        </w:tc>
        <w:tc>
          <w:tcPr>
            <w:tcW w:w="8758" w:type="dxa"/>
            <w:shd w:val="clear" w:color="auto" w:fill="auto"/>
          </w:tcPr>
          <w:p w14:paraId="5D50AF3E" w14:textId="77777777" w:rsidR="006633B5" w:rsidRPr="006633B5" w:rsidRDefault="006633B5" w:rsidP="00E10A24">
            <w:pPr>
              <w:pStyle w:val="Tablebody"/>
              <w:spacing w:after="80"/>
            </w:pPr>
            <w:r w:rsidRPr="006633B5">
              <w:t>mechanical volumetric ratio of confining hoops</w:t>
            </w:r>
          </w:p>
        </w:tc>
      </w:tr>
    </w:tbl>
    <w:p w14:paraId="7F0335E3" w14:textId="6450EFDB" w:rsidR="007425C2" w:rsidRPr="00870D59" w:rsidRDefault="00C94022" w:rsidP="00C94022">
      <w:pPr>
        <w:pStyle w:val="Heading3"/>
      </w:pPr>
      <w:bookmarkStart w:id="582" w:name="_Toc134197785"/>
      <w:bookmarkEnd w:id="576"/>
      <w:bookmarkEnd w:id="577"/>
      <w:bookmarkEnd w:id="578"/>
      <w:r w:rsidRPr="00870D59">
        <w:t>Abbreviations</w:t>
      </w:r>
      <w:bookmarkEnd w:id="582"/>
    </w:p>
    <w:tbl>
      <w:tblPr>
        <w:tblW w:w="0" w:type="auto"/>
        <w:tblInd w:w="-100" w:type="dxa"/>
        <w:tblCellMar>
          <w:left w:w="100" w:type="dxa"/>
        </w:tblCellMar>
        <w:tblLook w:val="0000" w:firstRow="0" w:lastRow="0" w:firstColumn="0" w:lastColumn="0" w:noHBand="0" w:noVBand="0"/>
      </w:tblPr>
      <w:tblGrid>
        <w:gridCol w:w="1093"/>
        <w:gridCol w:w="8758"/>
      </w:tblGrid>
      <w:tr w:rsidR="00E3339F" w:rsidRPr="00E3339F" w14:paraId="5D66AE67" w14:textId="77777777" w:rsidTr="00E10A24">
        <w:tc>
          <w:tcPr>
            <w:tcW w:w="1093" w:type="dxa"/>
            <w:shd w:val="clear" w:color="auto" w:fill="auto"/>
          </w:tcPr>
          <w:p w14:paraId="633D8C4C" w14:textId="77777777" w:rsidR="00E3339F" w:rsidRPr="00E3339F" w:rsidRDefault="00E3339F" w:rsidP="00E10A24">
            <w:pPr>
              <w:pStyle w:val="Tablebody"/>
              <w:spacing w:after="80"/>
            </w:pPr>
            <w:r w:rsidRPr="00E3339F">
              <w:t>AAC</w:t>
            </w:r>
          </w:p>
        </w:tc>
        <w:tc>
          <w:tcPr>
            <w:tcW w:w="8758" w:type="dxa"/>
            <w:shd w:val="clear" w:color="auto" w:fill="auto"/>
          </w:tcPr>
          <w:p w14:paraId="4B3C2510" w14:textId="77777777" w:rsidR="00E3339F" w:rsidRPr="00E3339F" w:rsidRDefault="00E3339F" w:rsidP="00E10A24">
            <w:pPr>
              <w:pStyle w:val="Tablebody"/>
              <w:spacing w:after="80"/>
            </w:pPr>
            <w:r w:rsidRPr="00E3339F">
              <w:t>Aerated autoclaved concrete</w:t>
            </w:r>
          </w:p>
        </w:tc>
      </w:tr>
      <w:tr w:rsidR="00E3339F" w:rsidRPr="00E3339F" w14:paraId="6DE4C0C7" w14:textId="77777777" w:rsidTr="00E10A24">
        <w:tc>
          <w:tcPr>
            <w:tcW w:w="1093" w:type="dxa"/>
            <w:shd w:val="clear" w:color="auto" w:fill="auto"/>
          </w:tcPr>
          <w:p w14:paraId="473D8C38" w14:textId="77777777" w:rsidR="00E3339F" w:rsidRPr="00E3339F" w:rsidRDefault="00E3339F" w:rsidP="00E10A24">
            <w:pPr>
              <w:pStyle w:val="Tablebody"/>
              <w:spacing w:after="80"/>
            </w:pPr>
            <w:r w:rsidRPr="00E3339F">
              <w:t>CLT</w:t>
            </w:r>
          </w:p>
        </w:tc>
        <w:tc>
          <w:tcPr>
            <w:tcW w:w="8758" w:type="dxa"/>
            <w:shd w:val="clear" w:color="auto" w:fill="auto"/>
          </w:tcPr>
          <w:p w14:paraId="1F392247" w14:textId="77777777" w:rsidR="00E3339F" w:rsidRPr="00E3339F" w:rsidRDefault="00E3339F" w:rsidP="00E10A24">
            <w:pPr>
              <w:pStyle w:val="Tablebody"/>
              <w:spacing w:after="80"/>
            </w:pPr>
            <w:r w:rsidRPr="00E3339F">
              <w:t>Cross-laminated timber</w:t>
            </w:r>
          </w:p>
        </w:tc>
      </w:tr>
      <w:tr w:rsidR="00E3339F" w:rsidRPr="00E3339F" w14:paraId="28B953DE" w14:textId="77777777" w:rsidTr="00E10A24">
        <w:tc>
          <w:tcPr>
            <w:tcW w:w="1093" w:type="dxa"/>
            <w:shd w:val="clear" w:color="auto" w:fill="auto"/>
          </w:tcPr>
          <w:p w14:paraId="7BC47AF7" w14:textId="77777777" w:rsidR="00E3339F" w:rsidRPr="00E3339F" w:rsidRDefault="00E3339F" w:rsidP="00E10A24">
            <w:pPr>
              <w:pStyle w:val="Tablebody"/>
              <w:spacing w:after="80"/>
            </w:pPr>
            <w:r w:rsidRPr="00E3339F">
              <w:t>GF</w:t>
            </w:r>
          </w:p>
        </w:tc>
        <w:tc>
          <w:tcPr>
            <w:tcW w:w="8758" w:type="dxa"/>
            <w:shd w:val="clear" w:color="auto" w:fill="auto"/>
          </w:tcPr>
          <w:p w14:paraId="3BAE4C7E" w14:textId="77777777" w:rsidR="00E3339F" w:rsidRPr="00E3339F" w:rsidRDefault="00E3339F" w:rsidP="00E10A24">
            <w:pPr>
              <w:pStyle w:val="Tablebody"/>
              <w:spacing w:after="80"/>
            </w:pPr>
            <w:r w:rsidRPr="00E3339F">
              <w:t>Gypsum fibre board</w:t>
            </w:r>
          </w:p>
        </w:tc>
      </w:tr>
      <w:tr w:rsidR="00E3339F" w:rsidRPr="00E3339F" w14:paraId="5BBDEF87" w14:textId="77777777" w:rsidTr="00E10A24">
        <w:tc>
          <w:tcPr>
            <w:tcW w:w="1093" w:type="dxa"/>
            <w:shd w:val="clear" w:color="auto" w:fill="auto"/>
          </w:tcPr>
          <w:p w14:paraId="68D33A2C" w14:textId="77777777" w:rsidR="00E3339F" w:rsidRPr="00E3339F" w:rsidRDefault="00E3339F" w:rsidP="00E10A24">
            <w:pPr>
              <w:pStyle w:val="Tablebody"/>
              <w:spacing w:after="80"/>
            </w:pPr>
            <w:r w:rsidRPr="00E3339F">
              <w:t>GLVL</w:t>
            </w:r>
          </w:p>
        </w:tc>
        <w:tc>
          <w:tcPr>
            <w:tcW w:w="8758" w:type="dxa"/>
            <w:shd w:val="clear" w:color="auto" w:fill="auto"/>
          </w:tcPr>
          <w:p w14:paraId="0A6B919D" w14:textId="77777777" w:rsidR="00E3339F" w:rsidRPr="00E3339F" w:rsidRDefault="00E3339F" w:rsidP="00E10A24">
            <w:pPr>
              <w:pStyle w:val="Tablebody"/>
              <w:spacing w:after="80"/>
            </w:pPr>
            <w:r w:rsidRPr="00E3339F">
              <w:rPr>
                <w:rFonts w:eastAsia="Cambria"/>
              </w:rPr>
              <w:t>Wood based composite which is produced from several LVL panels by face gluing (</w:t>
            </w:r>
            <w:r w:rsidRPr="00E3339F">
              <w:t>glued laminated veneer lumber)</w:t>
            </w:r>
          </w:p>
        </w:tc>
      </w:tr>
      <w:tr w:rsidR="00E3339F" w:rsidRPr="00E3339F" w14:paraId="539F9EDB" w14:textId="77777777" w:rsidTr="00E10A24">
        <w:tc>
          <w:tcPr>
            <w:tcW w:w="1093" w:type="dxa"/>
            <w:shd w:val="clear" w:color="auto" w:fill="auto"/>
          </w:tcPr>
          <w:p w14:paraId="209AF06D" w14:textId="77777777" w:rsidR="00E3339F" w:rsidRPr="00E3339F" w:rsidRDefault="00E3339F" w:rsidP="00E10A24">
            <w:pPr>
              <w:pStyle w:val="Tablebody"/>
              <w:spacing w:after="80"/>
            </w:pPr>
            <w:r w:rsidRPr="00E3339F">
              <w:t>KLD</w:t>
            </w:r>
          </w:p>
        </w:tc>
        <w:tc>
          <w:tcPr>
            <w:tcW w:w="8758" w:type="dxa"/>
            <w:shd w:val="clear" w:color="auto" w:fill="auto"/>
          </w:tcPr>
          <w:p w14:paraId="73064C07" w14:textId="77777777" w:rsidR="00E3339F" w:rsidRPr="00E3339F" w:rsidRDefault="00E3339F" w:rsidP="00E10A24">
            <w:pPr>
              <w:pStyle w:val="Tablebody"/>
              <w:spacing w:after="80"/>
            </w:pPr>
            <w:r w:rsidRPr="00E3339F">
              <w:t>Knowledge level on details</w:t>
            </w:r>
          </w:p>
        </w:tc>
      </w:tr>
      <w:tr w:rsidR="00E3339F" w:rsidRPr="00E3339F" w14:paraId="787ACE74" w14:textId="77777777" w:rsidTr="00E10A24">
        <w:tc>
          <w:tcPr>
            <w:tcW w:w="1093" w:type="dxa"/>
            <w:shd w:val="clear" w:color="auto" w:fill="auto"/>
          </w:tcPr>
          <w:p w14:paraId="2D9E0A35" w14:textId="77777777" w:rsidR="00E3339F" w:rsidRPr="00E3339F" w:rsidRDefault="00E3339F" w:rsidP="00E10A24">
            <w:pPr>
              <w:pStyle w:val="Tablebody"/>
              <w:spacing w:after="80"/>
            </w:pPr>
            <w:r w:rsidRPr="00E3339F">
              <w:t>LVL</w:t>
            </w:r>
          </w:p>
        </w:tc>
        <w:tc>
          <w:tcPr>
            <w:tcW w:w="8758" w:type="dxa"/>
            <w:shd w:val="clear" w:color="auto" w:fill="auto"/>
          </w:tcPr>
          <w:p w14:paraId="22FA5425" w14:textId="77777777" w:rsidR="00E3339F" w:rsidRPr="00E3339F" w:rsidRDefault="00E3339F" w:rsidP="00E10A24">
            <w:pPr>
              <w:pStyle w:val="Tablebody"/>
              <w:spacing w:after="80"/>
            </w:pPr>
            <w:r w:rsidRPr="00E3339F">
              <w:t>Laminated veneer lumber</w:t>
            </w:r>
          </w:p>
        </w:tc>
      </w:tr>
      <w:tr w:rsidR="00E3339F" w:rsidRPr="00E3339F" w14:paraId="4073E16B" w14:textId="77777777" w:rsidTr="00E10A24">
        <w:tc>
          <w:tcPr>
            <w:tcW w:w="1093" w:type="dxa"/>
            <w:shd w:val="clear" w:color="auto" w:fill="auto"/>
          </w:tcPr>
          <w:p w14:paraId="1A4F2F21" w14:textId="77777777" w:rsidR="00E3339F" w:rsidRPr="00E3339F" w:rsidRDefault="00E3339F" w:rsidP="00E10A24">
            <w:pPr>
              <w:pStyle w:val="Tablebody"/>
              <w:spacing w:after="80"/>
            </w:pPr>
            <w:r w:rsidRPr="00E3339F">
              <w:t>LVL-C</w:t>
            </w:r>
          </w:p>
        </w:tc>
        <w:tc>
          <w:tcPr>
            <w:tcW w:w="8758" w:type="dxa"/>
            <w:shd w:val="clear" w:color="auto" w:fill="auto"/>
          </w:tcPr>
          <w:p w14:paraId="6ACFC98C" w14:textId="77777777" w:rsidR="00E3339F" w:rsidRPr="00E3339F" w:rsidRDefault="00E3339F" w:rsidP="00E10A24">
            <w:pPr>
              <w:pStyle w:val="Tablebody"/>
              <w:spacing w:after="80"/>
            </w:pPr>
            <w:r w:rsidRPr="00E3339F">
              <w:t>Symmetrically arranged structural laminated veneer lumber comprising at least two crossband veneers</w:t>
            </w:r>
          </w:p>
        </w:tc>
      </w:tr>
      <w:tr w:rsidR="00E3339F" w:rsidRPr="00E3339F" w14:paraId="1D4E6CC4" w14:textId="77777777" w:rsidTr="00E10A24">
        <w:tc>
          <w:tcPr>
            <w:tcW w:w="1093" w:type="dxa"/>
            <w:shd w:val="clear" w:color="auto" w:fill="auto"/>
          </w:tcPr>
          <w:p w14:paraId="389B8C87" w14:textId="77777777" w:rsidR="00E3339F" w:rsidRPr="00E3339F" w:rsidRDefault="00E3339F" w:rsidP="00E10A24">
            <w:pPr>
              <w:pStyle w:val="Tablebody"/>
              <w:spacing w:after="80"/>
            </w:pPr>
            <w:r w:rsidRPr="00E3339F">
              <w:t>MRF</w:t>
            </w:r>
          </w:p>
        </w:tc>
        <w:tc>
          <w:tcPr>
            <w:tcW w:w="8758" w:type="dxa"/>
            <w:shd w:val="clear" w:color="auto" w:fill="auto"/>
          </w:tcPr>
          <w:p w14:paraId="426AFBE6" w14:textId="77777777" w:rsidR="00E3339F" w:rsidRPr="00E3339F" w:rsidRDefault="00E3339F" w:rsidP="00E10A24">
            <w:pPr>
              <w:pStyle w:val="Tablebody"/>
              <w:spacing w:after="80"/>
            </w:pPr>
            <w:r w:rsidRPr="00E3339F">
              <w:t>Moment resisting frame</w:t>
            </w:r>
          </w:p>
        </w:tc>
      </w:tr>
      <w:tr w:rsidR="00E3339F" w:rsidRPr="00E3339F" w14:paraId="6C299072" w14:textId="77777777" w:rsidTr="00E10A24">
        <w:tc>
          <w:tcPr>
            <w:tcW w:w="1093" w:type="dxa"/>
            <w:shd w:val="clear" w:color="auto" w:fill="auto"/>
          </w:tcPr>
          <w:p w14:paraId="64AF563F" w14:textId="77777777" w:rsidR="00E3339F" w:rsidRPr="00E3339F" w:rsidRDefault="00E3339F" w:rsidP="00E10A24">
            <w:pPr>
              <w:pStyle w:val="Tablebody"/>
              <w:spacing w:after="80"/>
            </w:pPr>
            <w:r w:rsidRPr="00E3339F">
              <w:t>NC</w:t>
            </w:r>
          </w:p>
        </w:tc>
        <w:tc>
          <w:tcPr>
            <w:tcW w:w="8758" w:type="dxa"/>
            <w:shd w:val="clear" w:color="auto" w:fill="auto"/>
          </w:tcPr>
          <w:p w14:paraId="358C8DD2" w14:textId="77777777" w:rsidR="00E3339F" w:rsidRPr="00E3339F" w:rsidRDefault="00E3339F" w:rsidP="00E10A24">
            <w:pPr>
              <w:pStyle w:val="Tablebody"/>
              <w:spacing w:after="80"/>
            </w:pPr>
            <w:r w:rsidRPr="00E3339F">
              <w:t>Near Collapse limit state</w:t>
            </w:r>
          </w:p>
        </w:tc>
      </w:tr>
      <w:tr w:rsidR="00E3339F" w:rsidRPr="00E3339F" w14:paraId="0A0ED984" w14:textId="77777777" w:rsidTr="00E10A24">
        <w:tc>
          <w:tcPr>
            <w:tcW w:w="1093" w:type="dxa"/>
            <w:shd w:val="clear" w:color="auto" w:fill="auto"/>
          </w:tcPr>
          <w:p w14:paraId="1197597B" w14:textId="77777777" w:rsidR="00E3339F" w:rsidRPr="00E3339F" w:rsidRDefault="00E3339F" w:rsidP="00E10A24">
            <w:pPr>
              <w:pStyle w:val="Tablebody"/>
              <w:spacing w:after="80"/>
            </w:pPr>
            <w:r w:rsidRPr="00E3339F">
              <w:t>OP</w:t>
            </w:r>
          </w:p>
        </w:tc>
        <w:tc>
          <w:tcPr>
            <w:tcW w:w="8758" w:type="dxa"/>
            <w:shd w:val="clear" w:color="auto" w:fill="auto"/>
          </w:tcPr>
          <w:p w14:paraId="76508518" w14:textId="77777777" w:rsidR="00E3339F" w:rsidRPr="00E3339F" w:rsidRDefault="00E3339F" w:rsidP="00E10A24">
            <w:pPr>
              <w:pStyle w:val="Tablebody"/>
              <w:spacing w:after="80"/>
            </w:pPr>
            <w:r w:rsidRPr="00E3339F">
              <w:t>Fully operational</w:t>
            </w:r>
          </w:p>
        </w:tc>
      </w:tr>
      <w:tr w:rsidR="00E3339F" w:rsidRPr="00E3339F" w14:paraId="3A7390F4" w14:textId="77777777" w:rsidTr="00E10A24">
        <w:tc>
          <w:tcPr>
            <w:tcW w:w="1093" w:type="dxa"/>
            <w:shd w:val="clear" w:color="auto" w:fill="auto"/>
          </w:tcPr>
          <w:p w14:paraId="76BB50BA" w14:textId="77777777" w:rsidR="00E3339F" w:rsidRPr="00E3339F" w:rsidRDefault="00E3339F" w:rsidP="00E10A24">
            <w:pPr>
              <w:pStyle w:val="Tablebody"/>
              <w:spacing w:after="80"/>
            </w:pPr>
            <w:r w:rsidRPr="00E3339F">
              <w:t>OSB</w:t>
            </w:r>
          </w:p>
        </w:tc>
        <w:tc>
          <w:tcPr>
            <w:tcW w:w="8758" w:type="dxa"/>
            <w:shd w:val="clear" w:color="auto" w:fill="auto"/>
          </w:tcPr>
          <w:p w14:paraId="0B14DD1E" w14:textId="77777777" w:rsidR="00E3339F" w:rsidRPr="00E3339F" w:rsidRDefault="00E3339F" w:rsidP="00E10A24">
            <w:pPr>
              <w:pStyle w:val="Tablebody"/>
              <w:spacing w:after="80"/>
            </w:pPr>
            <w:r w:rsidRPr="00E3339F">
              <w:t>Oriented strand board</w:t>
            </w:r>
          </w:p>
        </w:tc>
      </w:tr>
      <w:tr w:rsidR="00E3339F" w:rsidRPr="00E3339F" w14:paraId="18CBDEF3" w14:textId="77777777" w:rsidTr="00E10A24">
        <w:tc>
          <w:tcPr>
            <w:tcW w:w="1093" w:type="dxa"/>
            <w:shd w:val="clear" w:color="auto" w:fill="auto"/>
          </w:tcPr>
          <w:p w14:paraId="7E8CBE4C" w14:textId="77777777" w:rsidR="00E3339F" w:rsidRPr="00E3339F" w:rsidRDefault="00E3339F" w:rsidP="00E10A24">
            <w:pPr>
              <w:pStyle w:val="Tablebody"/>
              <w:spacing w:after="80"/>
            </w:pPr>
            <w:r w:rsidRPr="00E3339F">
              <w:t>PFA</w:t>
            </w:r>
          </w:p>
        </w:tc>
        <w:tc>
          <w:tcPr>
            <w:tcW w:w="8758" w:type="dxa"/>
            <w:shd w:val="clear" w:color="auto" w:fill="auto"/>
          </w:tcPr>
          <w:p w14:paraId="786D6BC2" w14:textId="77777777" w:rsidR="00E3339F" w:rsidRPr="00E3339F" w:rsidRDefault="00E3339F" w:rsidP="00E10A24">
            <w:pPr>
              <w:pStyle w:val="Tablebody"/>
              <w:spacing w:after="80"/>
            </w:pPr>
            <w:r w:rsidRPr="00E3339F">
              <w:t>Peak floor acceleration</w:t>
            </w:r>
          </w:p>
        </w:tc>
      </w:tr>
      <w:tr w:rsidR="00E3339F" w:rsidRPr="00E3339F" w14:paraId="3722FB33" w14:textId="77777777" w:rsidTr="00E10A24">
        <w:tc>
          <w:tcPr>
            <w:tcW w:w="1093" w:type="dxa"/>
            <w:shd w:val="clear" w:color="auto" w:fill="auto"/>
          </w:tcPr>
          <w:p w14:paraId="6034D24A" w14:textId="77777777" w:rsidR="00E3339F" w:rsidRPr="00E3339F" w:rsidRDefault="00E3339F" w:rsidP="00E10A24">
            <w:pPr>
              <w:pStyle w:val="Tablebody"/>
              <w:spacing w:after="80"/>
            </w:pPr>
            <w:r w:rsidRPr="00E3339F">
              <w:t>SD</w:t>
            </w:r>
          </w:p>
        </w:tc>
        <w:tc>
          <w:tcPr>
            <w:tcW w:w="8758" w:type="dxa"/>
            <w:shd w:val="clear" w:color="auto" w:fill="auto"/>
          </w:tcPr>
          <w:p w14:paraId="65743BB2" w14:textId="77777777" w:rsidR="00E3339F" w:rsidRPr="00E3339F" w:rsidRDefault="00E3339F" w:rsidP="00E10A24">
            <w:pPr>
              <w:pStyle w:val="Tablebody"/>
              <w:spacing w:after="80"/>
            </w:pPr>
            <w:r w:rsidRPr="00E3339F">
              <w:t>Significant Damage limit state</w:t>
            </w:r>
          </w:p>
        </w:tc>
      </w:tr>
      <w:tr w:rsidR="00E3339F" w:rsidRPr="00E3339F" w14:paraId="19A39E88" w14:textId="77777777" w:rsidTr="00E10A24">
        <w:tc>
          <w:tcPr>
            <w:tcW w:w="1093" w:type="dxa"/>
            <w:shd w:val="clear" w:color="auto" w:fill="auto"/>
          </w:tcPr>
          <w:p w14:paraId="540B9DB5" w14:textId="77777777" w:rsidR="00E3339F" w:rsidRPr="00E3339F" w:rsidRDefault="00E3339F" w:rsidP="00E10A24">
            <w:pPr>
              <w:pStyle w:val="Tablebody"/>
              <w:spacing w:after="80"/>
            </w:pPr>
            <w:r w:rsidRPr="00E3339F">
              <w:t>SDOF</w:t>
            </w:r>
          </w:p>
        </w:tc>
        <w:tc>
          <w:tcPr>
            <w:tcW w:w="8758" w:type="dxa"/>
            <w:shd w:val="clear" w:color="auto" w:fill="auto"/>
          </w:tcPr>
          <w:p w14:paraId="5CADFBD9" w14:textId="77777777" w:rsidR="00E3339F" w:rsidRPr="00E3339F" w:rsidRDefault="00E3339F" w:rsidP="00E10A24">
            <w:pPr>
              <w:pStyle w:val="Tablebody"/>
              <w:spacing w:after="80"/>
            </w:pPr>
            <w:r w:rsidRPr="00E3339F">
              <w:t>Single-degree-of-freedom</w:t>
            </w:r>
          </w:p>
        </w:tc>
      </w:tr>
      <w:tr w:rsidR="00E3339F" w:rsidRPr="00E3339F" w14:paraId="57E3DD95" w14:textId="77777777" w:rsidTr="00E10A24">
        <w:tc>
          <w:tcPr>
            <w:tcW w:w="1093" w:type="dxa"/>
            <w:shd w:val="clear" w:color="auto" w:fill="auto"/>
          </w:tcPr>
          <w:p w14:paraId="3505940F" w14:textId="77777777" w:rsidR="00E3339F" w:rsidRPr="00E3339F" w:rsidRDefault="00E3339F" w:rsidP="00E10A24">
            <w:pPr>
              <w:pStyle w:val="Tablebody"/>
              <w:spacing w:after="80"/>
            </w:pPr>
            <w:r w:rsidRPr="00E3339F">
              <w:t>SWP</w:t>
            </w:r>
          </w:p>
        </w:tc>
        <w:tc>
          <w:tcPr>
            <w:tcW w:w="8758" w:type="dxa"/>
            <w:shd w:val="clear" w:color="auto" w:fill="auto"/>
          </w:tcPr>
          <w:p w14:paraId="320DD652" w14:textId="77777777" w:rsidR="00E3339F" w:rsidRPr="00E3339F" w:rsidRDefault="00E3339F" w:rsidP="00E10A24">
            <w:pPr>
              <w:pStyle w:val="Tablebody"/>
              <w:spacing w:after="80"/>
            </w:pPr>
            <w:r w:rsidRPr="00E3339F">
              <w:t>Solid wood panels</w:t>
            </w:r>
          </w:p>
        </w:tc>
      </w:tr>
      <w:tr w:rsidR="00E3339F" w:rsidRPr="00E3339F" w14:paraId="678080CB" w14:textId="77777777" w:rsidTr="00E10A24">
        <w:tc>
          <w:tcPr>
            <w:tcW w:w="1093" w:type="dxa"/>
            <w:shd w:val="clear" w:color="auto" w:fill="auto"/>
          </w:tcPr>
          <w:p w14:paraId="5BB87624" w14:textId="77777777" w:rsidR="00E3339F" w:rsidRPr="00E3339F" w:rsidRDefault="00E3339F" w:rsidP="00E10A24">
            <w:pPr>
              <w:pStyle w:val="Tablebody"/>
              <w:spacing w:after="80"/>
            </w:pPr>
            <w:r w:rsidRPr="00E3339F">
              <w:t>1D</w:t>
            </w:r>
          </w:p>
        </w:tc>
        <w:tc>
          <w:tcPr>
            <w:tcW w:w="8758" w:type="dxa"/>
            <w:shd w:val="clear" w:color="auto" w:fill="auto"/>
          </w:tcPr>
          <w:p w14:paraId="4E993B30" w14:textId="77777777" w:rsidR="00E3339F" w:rsidRPr="00E3339F" w:rsidRDefault="00E3339F" w:rsidP="00E10A24">
            <w:pPr>
              <w:pStyle w:val="Tablebody"/>
              <w:spacing w:after="80"/>
            </w:pPr>
            <w:r w:rsidRPr="00E3339F">
              <w:t>One-dimensional</w:t>
            </w:r>
          </w:p>
        </w:tc>
      </w:tr>
      <w:tr w:rsidR="00E3339F" w:rsidRPr="00E3339F" w14:paraId="76AB58A0" w14:textId="77777777" w:rsidTr="00E10A24">
        <w:tc>
          <w:tcPr>
            <w:tcW w:w="1093" w:type="dxa"/>
            <w:shd w:val="clear" w:color="auto" w:fill="auto"/>
          </w:tcPr>
          <w:p w14:paraId="47D9DC37" w14:textId="77777777" w:rsidR="00E3339F" w:rsidRPr="00E3339F" w:rsidRDefault="00E3339F" w:rsidP="00E10A24">
            <w:pPr>
              <w:pStyle w:val="Tablebody"/>
              <w:spacing w:after="80"/>
            </w:pPr>
            <w:r w:rsidRPr="00E3339F">
              <w:t>2D</w:t>
            </w:r>
          </w:p>
        </w:tc>
        <w:tc>
          <w:tcPr>
            <w:tcW w:w="8758" w:type="dxa"/>
            <w:shd w:val="clear" w:color="auto" w:fill="auto"/>
          </w:tcPr>
          <w:p w14:paraId="0BE1F61C" w14:textId="77777777" w:rsidR="00E3339F" w:rsidRPr="00E3339F" w:rsidRDefault="00E3339F" w:rsidP="00E10A24">
            <w:pPr>
              <w:pStyle w:val="Tablebody"/>
              <w:spacing w:after="80"/>
            </w:pPr>
            <w:r w:rsidRPr="00E3339F">
              <w:t>Two-dimensional</w:t>
            </w:r>
          </w:p>
        </w:tc>
      </w:tr>
      <w:tr w:rsidR="00E3339F" w:rsidRPr="00E3339F" w14:paraId="19AEB65C" w14:textId="77777777" w:rsidTr="00E10A24">
        <w:tc>
          <w:tcPr>
            <w:tcW w:w="1093" w:type="dxa"/>
            <w:shd w:val="clear" w:color="auto" w:fill="auto"/>
          </w:tcPr>
          <w:p w14:paraId="2673E4C4" w14:textId="77777777" w:rsidR="00E3339F" w:rsidRPr="00E3339F" w:rsidRDefault="00E3339F" w:rsidP="00E10A24">
            <w:pPr>
              <w:pStyle w:val="Tablebody"/>
              <w:spacing w:after="80"/>
            </w:pPr>
            <w:r w:rsidRPr="00E3339F">
              <w:t>3D</w:t>
            </w:r>
          </w:p>
        </w:tc>
        <w:tc>
          <w:tcPr>
            <w:tcW w:w="8758" w:type="dxa"/>
            <w:shd w:val="clear" w:color="auto" w:fill="auto"/>
          </w:tcPr>
          <w:p w14:paraId="471C09BF" w14:textId="77777777" w:rsidR="00E3339F" w:rsidRPr="00E3339F" w:rsidRDefault="00E3339F" w:rsidP="00E10A24">
            <w:pPr>
              <w:pStyle w:val="Tablebody"/>
              <w:spacing w:after="80"/>
            </w:pPr>
            <w:r w:rsidRPr="00E3339F">
              <w:t>Three-dimensional</w:t>
            </w:r>
          </w:p>
        </w:tc>
      </w:tr>
    </w:tbl>
    <w:p w14:paraId="528EFE54" w14:textId="23542ACA" w:rsidR="007425C2" w:rsidRPr="00870D59" w:rsidRDefault="00E04405" w:rsidP="00E10A24">
      <w:pPr>
        <w:pStyle w:val="Heading2"/>
        <w:keepLines/>
      </w:pPr>
      <w:bookmarkStart w:id="583" w:name="_Toc134197786"/>
      <w:r w:rsidRPr="00870D59">
        <w:t>S.I. Units</w:t>
      </w:r>
      <w:bookmarkEnd w:id="583"/>
    </w:p>
    <w:p w14:paraId="0D1F4180" w14:textId="7E49B521" w:rsidR="00605C13" w:rsidRPr="00870D59" w:rsidRDefault="00605C13" w:rsidP="00E10A24">
      <w:pPr>
        <w:pStyle w:val="Clause"/>
        <w:keepNext/>
        <w:keepLines/>
        <w:numPr>
          <w:ilvl w:val="0"/>
          <w:numId w:val="0"/>
        </w:numPr>
      </w:pPr>
      <w:bookmarkStart w:id="584" w:name="_Hlk87811413"/>
      <w:r w:rsidRPr="00870D59">
        <w:t>S.I. Units in accordance with ISO</w:t>
      </w:r>
      <w:r w:rsidR="003E56F3">
        <w:t> </w:t>
      </w:r>
      <w:r w:rsidRPr="00870D59">
        <w:t>80000 shall be used.</w:t>
      </w:r>
    </w:p>
    <w:bookmarkEnd w:id="584"/>
    <w:p w14:paraId="3141CB02" w14:textId="580B0C91" w:rsidR="00605C13" w:rsidRPr="00870D59" w:rsidRDefault="00605C13" w:rsidP="00E10A24">
      <w:pPr>
        <w:pStyle w:val="Clause"/>
        <w:keepNext/>
        <w:keepLines/>
        <w:numPr>
          <w:ilvl w:val="0"/>
          <w:numId w:val="0"/>
        </w:numPr>
      </w:pPr>
      <w:r w:rsidRPr="00870D59">
        <w:t>For calculations, the following units should be used when applicable:</w:t>
      </w:r>
    </w:p>
    <w:tbl>
      <w:tblPr>
        <w:tblW w:w="0" w:type="auto"/>
        <w:tblInd w:w="-100" w:type="dxa"/>
        <w:tblCellMar>
          <w:left w:w="100" w:type="dxa"/>
        </w:tblCellMar>
        <w:tblLook w:val="0000" w:firstRow="0" w:lastRow="0" w:firstColumn="0" w:lastColumn="0" w:noHBand="0" w:noVBand="0"/>
      </w:tblPr>
      <w:tblGrid>
        <w:gridCol w:w="526"/>
        <w:gridCol w:w="2693"/>
        <w:gridCol w:w="6095"/>
      </w:tblGrid>
      <w:tr w:rsidR="00E3339F" w:rsidRPr="00E3339F" w14:paraId="02FE0B88" w14:textId="77777777" w:rsidTr="00E3339F">
        <w:tc>
          <w:tcPr>
            <w:tcW w:w="526" w:type="dxa"/>
          </w:tcPr>
          <w:p w14:paraId="2D9A0639" w14:textId="043EB836" w:rsidR="00E3339F" w:rsidRPr="00E3339F" w:rsidRDefault="00E3339F" w:rsidP="00005FB5">
            <w:pPr>
              <w:pStyle w:val="Tablebody"/>
            </w:pPr>
            <w:r>
              <w:t>—</w:t>
            </w:r>
          </w:p>
        </w:tc>
        <w:tc>
          <w:tcPr>
            <w:tcW w:w="2693" w:type="dxa"/>
            <w:shd w:val="clear" w:color="auto" w:fill="auto"/>
          </w:tcPr>
          <w:p w14:paraId="4B4F3787" w14:textId="4437D959" w:rsidR="00E3339F" w:rsidRPr="00E3339F" w:rsidRDefault="00E3339F" w:rsidP="00005FB5">
            <w:pPr>
              <w:pStyle w:val="Tablebody"/>
            </w:pPr>
            <w:r w:rsidRPr="00E3339F">
              <w:t>mass:</w:t>
            </w:r>
          </w:p>
        </w:tc>
        <w:tc>
          <w:tcPr>
            <w:tcW w:w="6095" w:type="dxa"/>
            <w:shd w:val="clear" w:color="auto" w:fill="auto"/>
          </w:tcPr>
          <w:p w14:paraId="391202B1" w14:textId="77777777" w:rsidR="00E3339F" w:rsidRPr="00E3339F" w:rsidRDefault="00E3339F" w:rsidP="00005FB5">
            <w:pPr>
              <w:pStyle w:val="Tablebody"/>
            </w:pPr>
            <w:r w:rsidRPr="00E3339F">
              <w:t>kg, t</w:t>
            </w:r>
          </w:p>
        </w:tc>
      </w:tr>
      <w:tr w:rsidR="00E3339F" w:rsidRPr="00E3339F" w14:paraId="221ADDC5" w14:textId="77777777" w:rsidTr="00E3339F">
        <w:tc>
          <w:tcPr>
            <w:tcW w:w="526" w:type="dxa"/>
          </w:tcPr>
          <w:p w14:paraId="1941E2E5" w14:textId="79ECAD7E" w:rsidR="00E3339F" w:rsidRPr="00E3339F" w:rsidRDefault="00E3339F" w:rsidP="00005FB5">
            <w:pPr>
              <w:pStyle w:val="Tablebody"/>
            </w:pPr>
            <w:r>
              <w:t>—</w:t>
            </w:r>
          </w:p>
        </w:tc>
        <w:tc>
          <w:tcPr>
            <w:tcW w:w="2693" w:type="dxa"/>
            <w:shd w:val="clear" w:color="auto" w:fill="auto"/>
          </w:tcPr>
          <w:p w14:paraId="670D21F7" w14:textId="08ED78D9" w:rsidR="00E3339F" w:rsidRPr="00E3339F" w:rsidRDefault="00E3339F" w:rsidP="00005FB5">
            <w:pPr>
              <w:pStyle w:val="Tablebody"/>
            </w:pPr>
            <w:r w:rsidRPr="00E3339F">
              <w:t>mass density:</w:t>
            </w:r>
          </w:p>
        </w:tc>
        <w:tc>
          <w:tcPr>
            <w:tcW w:w="6095" w:type="dxa"/>
            <w:shd w:val="clear" w:color="auto" w:fill="auto"/>
          </w:tcPr>
          <w:p w14:paraId="7DDCFE76" w14:textId="77777777" w:rsidR="00E3339F" w:rsidRPr="00E3339F" w:rsidRDefault="00E3339F" w:rsidP="00005FB5">
            <w:pPr>
              <w:pStyle w:val="Tablebody"/>
            </w:pPr>
            <w:r w:rsidRPr="00E3339F">
              <w:t>kg/m</w:t>
            </w:r>
            <w:r w:rsidRPr="00E3339F">
              <w:rPr>
                <w:vertAlign w:val="superscript"/>
              </w:rPr>
              <w:t>3</w:t>
            </w:r>
            <w:r w:rsidRPr="00E3339F">
              <w:t>, t/m</w:t>
            </w:r>
            <w:r w:rsidRPr="00E3339F">
              <w:rPr>
                <w:vertAlign w:val="superscript"/>
              </w:rPr>
              <w:t>3</w:t>
            </w:r>
          </w:p>
        </w:tc>
      </w:tr>
      <w:tr w:rsidR="00E3339F" w:rsidRPr="00E3339F" w14:paraId="644AA60A" w14:textId="77777777" w:rsidTr="00E3339F">
        <w:tc>
          <w:tcPr>
            <w:tcW w:w="526" w:type="dxa"/>
          </w:tcPr>
          <w:p w14:paraId="0B7302CA" w14:textId="07C8BE93" w:rsidR="00E3339F" w:rsidRPr="00E3339F" w:rsidRDefault="00E3339F" w:rsidP="00005FB5">
            <w:pPr>
              <w:pStyle w:val="Tablebody"/>
              <w:rPr>
                <w:lang w:val="fr-FR"/>
              </w:rPr>
            </w:pPr>
            <w:r>
              <w:lastRenderedPageBreak/>
              <w:t>—</w:t>
            </w:r>
          </w:p>
        </w:tc>
        <w:tc>
          <w:tcPr>
            <w:tcW w:w="2693" w:type="dxa"/>
            <w:shd w:val="clear" w:color="auto" w:fill="auto"/>
          </w:tcPr>
          <w:p w14:paraId="7BBA8D6E" w14:textId="0FAA184D" w:rsidR="00E3339F" w:rsidRPr="00E3339F" w:rsidRDefault="00E3339F" w:rsidP="00005FB5">
            <w:pPr>
              <w:pStyle w:val="Tablebody"/>
              <w:rPr>
                <w:lang w:val="fr-FR"/>
              </w:rPr>
            </w:pPr>
            <w:r w:rsidRPr="00E3339F">
              <w:rPr>
                <w:lang w:val="fr-FR"/>
              </w:rPr>
              <w:t>unit mass:</w:t>
            </w:r>
          </w:p>
        </w:tc>
        <w:tc>
          <w:tcPr>
            <w:tcW w:w="6095" w:type="dxa"/>
            <w:shd w:val="clear" w:color="auto" w:fill="auto"/>
          </w:tcPr>
          <w:p w14:paraId="3ED09E03" w14:textId="77777777" w:rsidR="00E3339F" w:rsidRPr="00E3339F" w:rsidRDefault="00E3339F" w:rsidP="00005FB5">
            <w:pPr>
              <w:pStyle w:val="Tablebody"/>
              <w:rPr>
                <w:color w:val="000000" w:themeColor="text1"/>
                <w:lang w:val="fr-FR"/>
              </w:rPr>
            </w:pPr>
            <w:r w:rsidRPr="00E3339F">
              <w:rPr>
                <w:lang w:val="fr-FR"/>
              </w:rPr>
              <w:t>kg/m</w:t>
            </w:r>
            <w:r w:rsidRPr="00E3339F">
              <w:rPr>
                <w:vertAlign w:val="superscript"/>
                <w:lang w:val="fr-FR"/>
              </w:rPr>
              <w:t>3</w:t>
            </w:r>
            <w:r w:rsidRPr="00E3339F">
              <w:rPr>
                <w:lang w:val="fr-FR"/>
              </w:rPr>
              <w:t>, t/m</w:t>
            </w:r>
            <w:r w:rsidRPr="00E3339F">
              <w:rPr>
                <w:vertAlign w:val="superscript"/>
                <w:lang w:val="fr-FR"/>
              </w:rPr>
              <w:t>3</w:t>
            </w:r>
          </w:p>
        </w:tc>
      </w:tr>
      <w:tr w:rsidR="00E3339F" w:rsidRPr="00E3339F" w14:paraId="1250C760" w14:textId="77777777" w:rsidTr="00E3339F">
        <w:tc>
          <w:tcPr>
            <w:tcW w:w="526" w:type="dxa"/>
          </w:tcPr>
          <w:p w14:paraId="3F0FCBB5" w14:textId="3B43D45C" w:rsidR="00E3339F" w:rsidRPr="00E3339F" w:rsidRDefault="00E3339F" w:rsidP="00005FB5">
            <w:pPr>
              <w:pStyle w:val="Tablebody"/>
            </w:pPr>
            <w:r>
              <w:t>—</w:t>
            </w:r>
          </w:p>
        </w:tc>
        <w:tc>
          <w:tcPr>
            <w:tcW w:w="2693" w:type="dxa"/>
            <w:shd w:val="clear" w:color="auto" w:fill="auto"/>
          </w:tcPr>
          <w:p w14:paraId="1ED0BC61" w14:textId="563EB76E" w:rsidR="00E3339F" w:rsidRPr="00E3339F" w:rsidRDefault="00E3339F" w:rsidP="00005FB5">
            <w:pPr>
              <w:pStyle w:val="Tablebody"/>
            </w:pPr>
            <w:r w:rsidRPr="00E3339F">
              <w:t>forces and loads:</w:t>
            </w:r>
          </w:p>
        </w:tc>
        <w:tc>
          <w:tcPr>
            <w:tcW w:w="6095" w:type="dxa"/>
            <w:shd w:val="clear" w:color="auto" w:fill="auto"/>
          </w:tcPr>
          <w:p w14:paraId="48D79A8C" w14:textId="77777777" w:rsidR="00E3339F" w:rsidRPr="00E3339F" w:rsidRDefault="00E3339F" w:rsidP="00005FB5">
            <w:pPr>
              <w:pStyle w:val="Tablebody"/>
            </w:pPr>
            <w:r w:rsidRPr="00E3339F">
              <w:t>kN, kN/m, kN/m</w:t>
            </w:r>
            <w:r w:rsidRPr="00E3339F">
              <w:rPr>
                <w:vertAlign w:val="superscript"/>
              </w:rPr>
              <w:t>2</w:t>
            </w:r>
          </w:p>
        </w:tc>
      </w:tr>
      <w:tr w:rsidR="00E3339F" w:rsidRPr="00E3339F" w14:paraId="1434C6ED" w14:textId="77777777" w:rsidTr="00E3339F">
        <w:tc>
          <w:tcPr>
            <w:tcW w:w="526" w:type="dxa"/>
          </w:tcPr>
          <w:p w14:paraId="05A5B645" w14:textId="3436A7C9" w:rsidR="00E3339F" w:rsidRPr="00E3339F" w:rsidRDefault="00E3339F" w:rsidP="00005FB5">
            <w:pPr>
              <w:pStyle w:val="Tablebody"/>
            </w:pPr>
            <w:r>
              <w:t>—</w:t>
            </w:r>
          </w:p>
        </w:tc>
        <w:tc>
          <w:tcPr>
            <w:tcW w:w="2693" w:type="dxa"/>
            <w:shd w:val="clear" w:color="auto" w:fill="auto"/>
          </w:tcPr>
          <w:p w14:paraId="3FFD7189" w14:textId="5C06A2F0" w:rsidR="00E3339F" w:rsidRPr="00E3339F" w:rsidRDefault="00E3339F" w:rsidP="00005FB5">
            <w:pPr>
              <w:pStyle w:val="Tablebody"/>
            </w:pPr>
            <w:r w:rsidRPr="00E3339F">
              <w:t>weight density:</w:t>
            </w:r>
          </w:p>
        </w:tc>
        <w:tc>
          <w:tcPr>
            <w:tcW w:w="6095" w:type="dxa"/>
            <w:shd w:val="clear" w:color="auto" w:fill="auto"/>
          </w:tcPr>
          <w:p w14:paraId="78F96F6E" w14:textId="77777777" w:rsidR="00E3339F" w:rsidRPr="00E3339F" w:rsidRDefault="00E3339F" w:rsidP="00005FB5">
            <w:pPr>
              <w:pStyle w:val="Tablebody"/>
            </w:pPr>
            <w:r w:rsidRPr="00E3339F">
              <w:t>kN/m</w:t>
            </w:r>
            <w:r w:rsidRPr="00E3339F">
              <w:rPr>
                <w:vertAlign w:val="superscript"/>
              </w:rPr>
              <w:t>3</w:t>
            </w:r>
          </w:p>
        </w:tc>
      </w:tr>
      <w:tr w:rsidR="00E3339F" w:rsidRPr="00E3339F" w14:paraId="38280B02" w14:textId="77777777" w:rsidTr="00E3339F">
        <w:tc>
          <w:tcPr>
            <w:tcW w:w="526" w:type="dxa"/>
          </w:tcPr>
          <w:p w14:paraId="6EA70BF8" w14:textId="2FCFA61C" w:rsidR="00E3339F" w:rsidRPr="00E3339F" w:rsidRDefault="00E3339F" w:rsidP="00005FB5">
            <w:pPr>
              <w:pStyle w:val="Tablebody"/>
              <w:rPr>
                <w:color w:val="000000" w:themeColor="text1"/>
              </w:rPr>
            </w:pPr>
            <w:r>
              <w:t>—</w:t>
            </w:r>
          </w:p>
        </w:tc>
        <w:tc>
          <w:tcPr>
            <w:tcW w:w="2693" w:type="dxa"/>
            <w:shd w:val="clear" w:color="auto" w:fill="auto"/>
          </w:tcPr>
          <w:p w14:paraId="47C01E3B" w14:textId="414E29D1" w:rsidR="00E3339F" w:rsidRPr="00E3339F" w:rsidRDefault="00E3339F" w:rsidP="00005FB5">
            <w:pPr>
              <w:pStyle w:val="Tablebody"/>
              <w:rPr>
                <w:color w:val="000000" w:themeColor="text1"/>
              </w:rPr>
            </w:pPr>
            <w:r w:rsidRPr="00E3339F">
              <w:rPr>
                <w:color w:val="000000" w:themeColor="text1"/>
              </w:rPr>
              <w:t>stresses and strengths:</w:t>
            </w:r>
          </w:p>
        </w:tc>
        <w:tc>
          <w:tcPr>
            <w:tcW w:w="6095" w:type="dxa"/>
            <w:shd w:val="clear" w:color="auto" w:fill="auto"/>
          </w:tcPr>
          <w:p w14:paraId="305496C0" w14:textId="77777777" w:rsidR="00E3339F" w:rsidRPr="00E3339F" w:rsidRDefault="00E3339F" w:rsidP="00005FB5">
            <w:pPr>
              <w:pStyle w:val="Tablebody"/>
              <w:rPr>
                <w:color w:val="000000" w:themeColor="text1"/>
              </w:rPr>
            </w:pPr>
            <w:r w:rsidRPr="00E3339F">
              <w:t>Pa (= N/m</w:t>
            </w:r>
            <w:r w:rsidRPr="00E3339F">
              <w:rPr>
                <w:vertAlign w:val="superscript"/>
              </w:rPr>
              <w:t>2</w:t>
            </w:r>
            <w:r w:rsidRPr="00E3339F">
              <w:t>), kPa (= kN/m</w:t>
            </w:r>
            <w:r w:rsidRPr="00E3339F">
              <w:rPr>
                <w:vertAlign w:val="superscript"/>
              </w:rPr>
              <w:t>2</w:t>
            </w:r>
            <w:r w:rsidRPr="00E3339F">
              <w:t>), MPa (= MN/m</w:t>
            </w:r>
            <w:r w:rsidRPr="00E3339F">
              <w:rPr>
                <w:vertAlign w:val="superscript"/>
              </w:rPr>
              <w:t>2</w:t>
            </w:r>
            <w:r w:rsidRPr="00E3339F">
              <w:t>)</w:t>
            </w:r>
          </w:p>
        </w:tc>
      </w:tr>
      <w:tr w:rsidR="00E3339F" w:rsidRPr="00E3339F" w14:paraId="0B9B1557" w14:textId="77777777" w:rsidTr="00E3339F">
        <w:tc>
          <w:tcPr>
            <w:tcW w:w="526" w:type="dxa"/>
          </w:tcPr>
          <w:p w14:paraId="5302F1E9" w14:textId="4C243CB7" w:rsidR="00E3339F" w:rsidRPr="00E3339F" w:rsidRDefault="00E3339F" w:rsidP="00005FB5">
            <w:pPr>
              <w:pStyle w:val="Tablebody"/>
            </w:pPr>
            <w:r>
              <w:t>—</w:t>
            </w:r>
          </w:p>
        </w:tc>
        <w:tc>
          <w:tcPr>
            <w:tcW w:w="2693" w:type="dxa"/>
            <w:shd w:val="clear" w:color="auto" w:fill="auto"/>
          </w:tcPr>
          <w:p w14:paraId="733B1B99" w14:textId="19830928" w:rsidR="00E3339F" w:rsidRPr="00E3339F" w:rsidRDefault="00E3339F" w:rsidP="00005FB5">
            <w:pPr>
              <w:pStyle w:val="Tablebody"/>
            </w:pPr>
            <w:r w:rsidRPr="00E3339F">
              <w:t>moments (bending, etc.):</w:t>
            </w:r>
          </w:p>
        </w:tc>
        <w:tc>
          <w:tcPr>
            <w:tcW w:w="6095" w:type="dxa"/>
            <w:shd w:val="clear" w:color="auto" w:fill="auto"/>
          </w:tcPr>
          <w:p w14:paraId="3D9EAE8C" w14:textId="77777777" w:rsidR="00E3339F" w:rsidRPr="00E3339F" w:rsidRDefault="00E3339F" w:rsidP="00005FB5">
            <w:pPr>
              <w:pStyle w:val="Tablebody"/>
            </w:pPr>
            <w:r w:rsidRPr="00E3339F">
              <w:t>kNm</w:t>
            </w:r>
          </w:p>
        </w:tc>
      </w:tr>
      <w:tr w:rsidR="00E3339F" w:rsidRPr="00E3339F" w14:paraId="3A6DC5E4" w14:textId="77777777" w:rsidTr="00E3339F">
        <w:tc>
          <w:tcPr>
            <w:tcW w:w="526" w:type="dxa"/>
          </w:tcPr>
          <w:p w14:paraId="3D4ED6E1" w14:textId="4F5FC625" w:rsidR="00E3339F" w:rsidRPr="00E3339F" w:rsidRDefault="00E3339F" w:rsidP="00005FB5">
            <w:pPr>
              <w:pStyle w:val="Tablebody"/>
            </w:pPr>
            <w:r>
              <w:t>—</w:t>
            </w:r>
          </w:p>
        </w:tc>
        <w:tc>
          <w:tcPr>
            <w:tcW w:w="2693" w:type="dxa"/>
            <w:shd w:val="clear" w:color="auto" w:fill="auto"/>
          </w:tcPr>
          <w:p w14:paraId="578E7455" w14:textId="33076232" w:rsidR="00E3339F" w:rsidRPr="00E3339F" w:rsidRDefault="00E3339F" w:rsidP="00005FB5">
            <w:pPr>
              <w:pStyle w:val="Tablebody"/>
            </w:pPr>
            <w:r w:rsidRPr="00E3339F">
              <w:t>acceleration:</w:t>
            </w:r>
          </w:p>
        </w:tc>
        <w:tc>
          <w:tcPr>
            <w:tcW w:w="6095" w:type="dxa"/>
            <w:shd w:val="clear" w:color="auto" w:fill="auto"/>
          </w:tcPr>
          <w:p w14:paraId="0F11D6E5" w14:textId="77777777" w:rsidR="00E3339F" w:rsidRPr="00E3339F" w:rsidRDefault="00E3339F" w:rsidP="00005FB5">
            <w:pPr>
              <w:pStyle w:val="Tablebody"/>
            </w:pPr>
            <w:r w:rsidRPr="00E3339F">
              <w:t>m/s</w:t>
            </w:r>
            <w:r w:rsidRPr="00E3339F">
              <w:rPr>
                <w:vertAlign w:val="superscript"/>
              </w:rPr>
              <w:t>2</w:t>
            </w:r>
          </w:p>
        </w:tc>
      </w:tr>
      <w:tr w:rsidR="00E3339F" w:rsidRPr="00E3339F" w14:paraId="3F2A19A9" w14:textId="77777777" w:rsidTr="00E3339F">
        <w:tc>
          <w:tcPr>
            <w:tcW w:w="526" w:type="dxa"/>
          </w:tcPr>
          <w:p w14:paraId="65A8903D" w14:textId="28415FB8" w:rsidR="00E3339F" w:rsidRPr="00E3339F" w:rsidRDefault="00E3339F" w:rsidP="00005FB5">
            <w:pPr>
              <w:pStyle w:val="Tablebody"/>
            </w:pPr>
            <w:r>
              <w:t>—</w:t>
            </w:r>
          </w:p>
        </w:tc>
        <w:tc>
          <w:tcPr>
            <w:tcW w:w="2693" w:type="dxa"/>
            <w:shd w:val="clear" w:color="auto" w:fill="auto"/>
          </w:tcPr>
          <w:p w14:paraId="204D863C" w14:textId="149650DB" w:rsidR="00E3339F" w:rsidRPr="00E3339F" w:rsidRDefault="00E3339F" w:rsidP="00005FB5">
            <w:pPr>
              <w:pStyle w:val="Tablebody"/>
            </w:pPr>
            <w:r w:rsidRPr="00E3339F">
              <w:t>length:</w:t>
            </w:r>
          </w:p>
        </w:tc>
        <w:tc>
          <w:tcPr>
            <w:tcW w:w="6095" w:type="dxa"/>
            <w:shd w:val="clear" w:color="auto" w:fill="auto"/>
          </w:tcPr>
          <w:p w14:paraId="59236D6F" w14:textId="77777777" w:rsidR="00E3339F" w:rsidRPr="00E3339F" w:rsidRDefault="00E3339F" w:rsidP="00005FB5">
            <w:pPr>
              <w:pStyle w:val="Tablebody"/>
              <w:rPr>
                <w:color w:val="000000" w:themeColor="text1"/>
              </w:rPr>
            </w:pPr>
            <w:r w:rsidRPr="00E3339F">
              <w:t>m, mm</w:t>
            </w:r>
          </w:p>
        </w:tc>
      </w:tr>
      <w:tr w:rsidR="00E3339F" w:rsidRPr="00E3339F" w14:paraId="22094197" w14:textId="77777777" w:rsidTr="00E3339F">
        <w:tc>
          <w:tcPr>
            <w:tcW w:w="526" w:type="dxa"/>
          </w:tcPr>
          <w:p w14:paraId="6A55BCEF" w14:textId="6F01ED5C" w:rsidR="00E3339F" w:rsidRPr="00E3339F" w:rsidRDefault="00E3339F" w:rsidP="00005FB5">
            <w:pPr>
              <w:pStyle w:val="Tablebody"/>
            </w:pPr>
            <w:r>
              <w:t>—</w:t>
            </w:r>
          </w:p>
        </w:tc>
        <w:tc>
          <w:tcPr>
            <w:tcW w:w="2693" w:type="dxa"/>
            <w:shd w:val="clear" w:color="auto" w:fill="auto"/>
          </w:tcPr>
          <w:p w14:paraId="4D27362B" w14:textId="0EB25439" w:rsidR="00E3339F" w:rsidRPr="00E3339F" w:rsidRDefault="00E3339F" w:rsidP="00005FB5">
            <w:pPr>
              <w:pStyle w:val="Tablebody"/>
            </w:pPr>
            <w:r w:rsidRPr="00E3339F">
              <w:t>modulus of elasticity:</w:t>
            </w:r>
          </w:p>
        </w:tc>
        <w:tc>
          <w:tcPr>
            <w:tcW w:w="6095" w:type="dxa"/>
            <w:shd w:val="clear" w:color="auto" w:fill="auto"/>
          </w:tcPr>
          <w:p w14:paraId="7455FE4A" w14:textId="77777777" w:rsidR="00E3339F" w:rsidRPr="00E3339F" w:rsidRDefault="00E3339F" w:rsidP="00005FB5">
            <w:pPr>
              <w:pStyle w:val="Tablebody"/>
            </w:pPr>
            <w:r w:rsidRPr="00E3339F">
              <w:t>MPa, GPa</w:t>
            </w:r>
          </w:p>
        </w:tc>
      </w:tr>
      <w:tr w:rsidR="00E3339F" w:rsidRPr="00E3339F" w14:paraId="57D0429D" w14:textId="77777777" w:rsidTr="00E3339F">
        <w:tc>
          <w:tcPr>
            <w:tcW w:w="526" w:type="dxa"/>
          </w:tcPr>
          <w:p w14:paraId="4856C26E" w14:textId="37FBC242" w:rsidR="00E3339F" w:rsidRPr="00E3339F" w:rsidRDefault="00E3339F" w:rsidP="00005FB5">
            <w:pPr>
              <w:pStyle w:val="Tablebody"/>
            </w:pPr>
            <w:r>
              <w:t>—</w:t>
            </w:r>
          </w:p>
        </w:tc>
        <w:tc>
          <w:tcPr>
            <w:tcW w:w="2693" w:type="dxa"/>
            <w:shd w:val="clear" w:color="auto" w:fill="auto"/>
          </w:tcPr>
          <w:p w14:paraId="5825F620" w14:textId="763E1FCC" w:rsidR="00E3339F" w:rsidRPr="00E3339F" w:rsidRDefault="00E3339F" w:rsidP="00005FB5">
            <w:pPr>
              <w:pStyle w:val="Tablebody"/>
            </w:pPr>
            <w:r w:rsidRPr="00E3339F">
              <w:t>angle:</w:t>
            </w:r>
          </w:p>
        </w:tc>
        <w:tc>
          <w:tcPr>
            <w:tcW w:w="6095" w:type="dxa"/>
            <w:shd w:val="clear" w:color="auto" w:fill="auto"/>
          </w:tcPr>
          <w:p w14:paraId="43601346" w14:textId="77777777" w:rsidR="00E3339F" w:rsidRPr="00E3339F" w:rsidRDefault="00E3339F" w:rsidP="00005FB5">
            <w:pPr>
              <w:pStyle w:val="Tablebody"/>
              <w:rPr>
                <w:color w:val="000000" w:themeColor="text1"/>
              </w:rPr>
            </w:pPr>
            <w:r w:rsidRPr="00E3339F">
              <w:t>degree, mrad</w:t>
            </w:r>
          </w:p>
        </w:tc>
      </w:tr>
    </w:tbl>
    <w:p w14:paraId="5A64DA64" w14:textId="6A1B138E" w:rsidR="00DE0A2F" w:rsidRDefault="00DE0A2F" w:rsidP="00DE0A2F">
      <w:pPr>
        <w:pStyle w:val="Clause"/>
        <w:numPr>
          <w:ilvl w:val="0"/>
          <w:numId w:val="0"/>
        </w:numPr>
      </w:pPr>
    </w:p>
    <w:p w14:paraId="2BCA17A3" w14:textId="62D4937E" w:rsidR="00DE0A2F" w:rsidRDefault="00DE0A2F">
      <w:pPr>
        <w:spacing w:before="0" w:after="0" w:line="240" w:lineRule="auto"/>
        <w:jc w:val="left"/>
        <w:rPr>
          <w:rFonts w:eastAsia="MS Mincho" w:cs="Cambria"/>
          <w:color w:val="000000" w:themeColor="text1"/>
          <w:szCs w:val="20"/>
          <w:lang w:eastAsia="fr-FR"/>
        </w:rPr>
      </w:pPr>
      <w:r>
        <w:br w:type="page"/>
      </w:r>
    </w:p>
    <w:p w14:paraId="2075CAB7" w14:textId="791577AE" w:rsidR="007425C2" w:rsidRPr="00DB3C3B" w:rsidRDefault="00797CCA" w:rsidP="00797CCA">
      <w:pPr>
        <w:pStyle w:val="Heading1"/>
      </w:pPr>
      <w:bookmarkStart w:id="585" w:name="_Toc134197787"/>
      <w:r w:rsidRPr="00DB3C3B">
        <w:lastRenderedPageBreak/>
        <w:t>Basis of design</w:t>
      </w:r>
      <w:bookmarkEnd w:id="585"/>
    </w:p>
    <w:p w14:paraId="16C8FA0E" w14:textId="4AFFFE77" w:rsidR="00605C13" w:rsidRPr="00DB3C3B" w:rsidRDefault="006C0E00" w:rsidP="00797CCA">
      <w:pPr>
        <w:pStyle w:val="Heading2"/>
      </w:pPr>
      <w:bookmarkStart w:id="586" w:name="_Toc134197788"/>
      <w:r>
        <w:t>Performance</w:t>
      </w:r>
      <w:r w:rsidR="00F26457" w:rsidRPr="00DB3C3B">
        <w:t xml:space="preserve"> requirements</w:t>
      </w:r>
      <w:bookmarkEnd w:id="586"/>
    </w:p>
    <w:p w14:paraId="5D794210" w14:textId="51750425" w:rsidR="00E377EB" w:rsidRPr="00DB3C3B" w:rsidRDefault="003E6254" w:rsidP="0080187E">
      <w:pPr>
        <w:pStyle w:val="Clause"/>
        <w:numPr>
          <w:ilvl w:val="0"/>
          <w:numId w:val="14"/>
        </w:numPr>
      </w:pPr>
      <w:r w:rsidRPr="003E6254">
        <w:t>The performance requirements shall refer to the state of damage in the structure, herein described through the Limit States (LS) defined in prEN</w:t>
      </w:r>
      <w:r>
        <w:t> </w:t>
      </w:r>
      <w:r w:rsidRPr="003E6254">
        <w:t>1998-1-1:2022, 4.3(1).</w:t>
      </w:r>
    </w:p>
    <w:p w14:paraId="55CCE8B9" w14:textId="77777777" w:rsidR="003E6254" w:rsidRPr="00DB3C3B" w:rsidRDefault="003E6254" w:rsidP="0080187E">
      <w:pPr>
        <w:pStyle w:val="Clause"/>
        <w:numPr>
          <w:ilvl w:val="0"/>
          <w:numId w:val="14"/>
        </w:numPr>
      </w:pPr>
      <w:r w:rsidRPr="00E377EB">
        <w:t>Consequence class CC3 should be divided into CC3-a and CC3-b according to prEN</w:t>
      </w:r>
      <w:r>
        <w:t> </w:t>
      </w:r>
      <w:r w:rsidRPr="00E377EB">
        <w:t xml:space="preserve">1998-1-1:2022, </w:t>
      </w:r>
      <w:r w:rsidRPr="00DB3C3B">
        <w:t>4.2(3).</w:t>
      </w:r>
    </w:p>
    <w:p w14:paraId="38323042" w14:textId="6762F2F2" w:rsidR="00E377EB" w:rsidRPr="00870D59" w:rsidRDefault="00E377EB" w:rsidP="00E377EB">
      <w:pPr>
        <w:pStyle w:val="Notetext"/>
      </w:pPr>
      <w:r w:rsidRPr="00870D59">
        <w:t>NOTE</w:t>
      </w:r>
      <w:r w:rsidR="00E3339F">
        <w:t xml:space="preserve"> 1</w:t>
      </w:r>
      <w:r w:rsidRPr="00870D59">
        <w:tab/>
      </w:r>
      <w:r w:rsidRPr="00E377EB">
        <w:t>The definitions of buildings included in CC3-a and CC3-b are given in Table</w:t>
      </w:r>
      <w:r w:rsidR="00DB3C3B">
        <w:t> </w:t>
      </w:r>
      <w:r w:rsidRPr="00E377EB">
        <w:t>4.1</w:t>
      </w:r>
      <w:r w:rsidR="00DB3C3B">
        <w:t xml:space="preserve"> </w:t>
      </w:r>
      <w:r w:rsidRPr="00E377EB">
        <w:t>(NDP)</w:t>
      </w:r>
      <w:r w:rsidR="00DB3C3B">
        <w:t>,</w:t>
      </w:r>
      <w:r w:rsidRPr="00E377EB">
        <w:t xml:space="preserve"> unless </w:t>
      </w:r>
      <w:r w:rsidR="00DB3C3B">
        <w:t>the</w:t>
      </w:r>
      <w:r w:rsidRPr="00E377EB">
        <w:t xml:space="preserve"> relevant </w:t>
      </w:r>
      <w:r w:rsidR="00DB3C3B">
        <w:t>a</w:t>
      </w:r>
      <w:r w:rsidRPr="00E377EB">
        <w:t>uthorit</w:t>
      </w:r>
      <w:r w:rsidR="00DB3C3B">
        <w:t>ies</w:t>
      </w:r>
      <w:r w:rsidRPr="00E377EB">
        <w:t xml:space="preserve"> or the National Annex give different definitions for use in a country.</w:t>
      </w:r>
    </w:p>
    <w:p w14:paraId="300000AA" w14:textId="3FFB2AF1" w:rsidR="00205E81" w:rsidRPr="00870D59" w:rsidRDefault="00205E81" w:rsidP="00205E81">
      <w:pPr>
        <w:pStyle w:val="Tabletitle"/>
        <w:rPr>
          <w:color w:val="000000" w:themeColor="text1"/>
        </w:rPr>
      </w:pPr>
      <w:r w:rsidRPr="00870D59">
        <w:rPr>
          <w:color w:val="000000" w:themeColor="text1"/>
        </w:rPr>
        <w:t>Table</w:t>
      </w:r>
      <w:r w:rsidR="00DB3C3B">
        <w:rPr>
          <w:color w:val="000000" w:themeColor="text1"/>
        </w:rPr>
        <w:t> </w:t>
      </w:r>
      <w:r w:rsidRPr="00870D59">
        <w:rPr>
          <w:color w:val="000000" w:themeColor="text1"/>
        </w:rPr>
        <w:t xml:space="preserve">4.1 (NDP) </w:t>
      </w:r>
      <w:r w:rsidRPr="00870D59">
        <w:rPr>
          <w:rFonts w:ascii="`ÃÍœ˛" w:eastAsia="Cambria" w:hAnsi="`ÃÍœ˛" w:cs="`ÃÍœ˛"/>
          <w:color w:val="000000" w:themeColor="text1"/>
          <w:lang w:eastAsia="de-DE"/>
        </w:rPr>
        <w:t>—</w:t>
      </w:r>
      <w:r w:rsidRPr="00870D59">
        <w:rPr>
          <w:color w:val="000000" w:themeColor="text1"/>
        </w:rPr>
        <w:t> </w:t>
      </w:r>
      <w:r w:rsidR="00E377EB" w:rsidRPr="00E377EB">
        <w:rPr>
          <w:color w:val="000000" w:themeColor="text1"/>
        </w:rPr>
        <w:t>Definitions of consequence classes CC3-a and CC3-b for buildings</w:t>
      </w:r>
    </w:p>
    <w:tbl>
      <w:tblPr>
        <w:tblStyle w:val="TableGrid"/>
        <w:tblW w:w="0" w:type="auto"/>
        <w:jc w:val="center"/>
        <w:tblLayout w:type="fixed"/>
        <w:tblLook w:val="04A0" w:firstRow="1" w:lastRow="0" w:firstColumn="1" w:lastColumn="0" w:noHBand="0" w:noVBand="1"/>
      </w:tblPr>
      <w:tblGrid>
        <w:gridCol w:w="1271"/>
        <w:gridCol w:w="8001"/>
      </w:tblGrid>
      <w:tr w:rsidR="00957BE8" w:rsidRPr="00870D59" w14:paraId="5450E387" w14:textId="77777777" w:rsidTr="00E3339F">
        <w:trPr>
          <w:jc w:val="center"/>
        </w:trPr>
        <w:tc>
          <w:tcPr>
            <w:tcW w:w="1271" w:type="dxa"/>
          </w:tcPr>
          <w:p w14:paraId="53C61218" w14:textId="7DCEB9EC" w:rsidR="00957BE8" w:rsidRPr="00E377EB" w:rsidRDefault="00957BE8" w:rsidP="00957BE8">
            <w:pPr>
              <w:jc w:val="center"/>
              <w:rPr>
                <w:color w:val="000000" w:themeColor="text1"/>
              </w:rPr>
            </w:pPr>
            <w:r w:rsidRPr="00A067DD">
              <w:t>CC3-a</w:t>
            </w:r>
          </w:p>
        </w:tc>
        <w:tc>
          <w:tcPr>
            <w:tcW w:w="8001" w:type="dxa"/>
          </w:tcPr>
          <w:p w14:paraId="70B113C8" w14:textId="0AAE5389" w:rsidR="00957BE8" w:rsidRPr="00870D59" w:rsidRDefault="00957BE8" w:rsidP="00957BE8">
            <w:pPr>
              <w:jc w:val="left"/>
            </w:pPr>
            <w:r w:rsidRPr="00A067DD">
              <w:t xml:space="preserve">Buildings whose seismic resistance is of importance in view of the consequences associated with a collapse </w:t>
            </w:r>
            <w:r w:rsidR="00DB3C3B">
              <w:t>(</w:t>
            </w:r>
            <w:r w:rsidRPr="00A067DD">
              <w:t>e.g. schools, assembly halls, cultural institutions</w:t>
            </w:r>
            <w:r w:rsidR="004023BF">
              <w:t>)</w:t>
            </w:r>
          </w:p>
        </w:tc>
      </w:tr>
      <w:tr w:rsidR="00957BE8" w:rsidRPr="00870D59" w14:paraId="4ED63351" w14:textId="77777777" w:rsidTr="00E3339F">
        <w:trPr>
          <w:jc w:val="center"/>
        </w:trPr>
        <w:tc>
          <w:tcPr>
            <w:tcW w:w="1271" w:type="dxa"/>
          </w:tcPr>
          <w:p w14:paraId="1622E1F4" w14:textId="1718AB7E" w:rsidR="00957BE8" w:rsidRPr="00E377EB" w:rsidRDefault="00957BE8" w:rsidP="00957BE8">
            <w:pPr>
              <w:jc w:val="center"/>
              <w:rPr>
                <w:color w:val="000000" w:themeColor="text1"/>
              </w:rPr>
            </w:pPr>
            <w:r w:rsidRPr="00A067DD">
              <w:t>CC3-b</w:t>
            </w:r>
          </w:p>
        </w:tc>
        <w:tc>
          <w:tcPr>
            <w:tcW w:w="8001" w:type="dxa"/>
          </w:tcPr>
          <w:p w14:paraId="53431053" w14:textId="31C65EE7" w:rsidR="00957BE8" w:rsidRPr="00870D59" w:rsidRDefault="00957BE8" w:rsidP="00957BE8">
            <w:pPr>
              <w:jc w:val="left"/>
            </w:pPr>
            <w:r w:rsidRPr="00A067DD">
              <w:t xml:space="preserve">Buildings of installations of vital importance for civil protection </w:t>
            </w:r>
            <w:r w:rsidR="004023BF">
              <w:t>(</w:t>
            </w:r>
            <w:r w:rsidRPr="00A067DD">
              <w:t>e.g. hospitals, fire stations</w:t>
            </w:r>
            <w:r w:rsidR="004023BF">
              <w:t>,</w:t>
            </w:r>
            <w:r w:rsidRPr="00A067DD">
              <w:t xml:space="preserve"> and their equipment</w:t>
            </w:r>
            <w:r w:rsidR="004023BF">
              <w:t>)</w:t>
            </w:r>
            <w:r w:rsidRPr="00A067DD">
              <w:t xml:space="preserve">, and buildings which should remain operational at all times </w:t>
            </w:r>
            <w:r w:rsidR="004023BF">
              <w:t>(</w:t>
            </w:r>
            <w:r w:rsidRPr="00A067DD">
              <w:t>e.g. communication centres, data centres</w:t>
            </w:r>
            <w:r w:rsidR="004023BF">
              <w:t>,</w:t>
            </w:r>
            <w:r w:rsidRPr="00A067DD">
              <w:t xml:space="preserve"> and their equipment</w:t>
            </w:r>
            <w:r w:rsidR="004023BF">
              <w:t>)</w:t>
            </w:r>
          </w:p>
        </w:tc>
      </w:tr>
    </w:tbl>
    <w:p w14:paraId="1111F3CA" w14:textId="11ED97A5" w:rsidR="009D7A24" w:rsidRDefault="009D7A24" w:rsidP="00E3339F">
      <w:pPr>
        <w:pStyle w:val="Notetext"/>
        <w:spacing w:before="120"/>
      </w:pPr>
      <w:bookmarkStart w:id="587" w:name="_Toc95037430"/>
      <w:bookmarkStart w:id="588" w:name="_Toc96894735"/>
      <w:r>
        <w:t>NOTE</w:t>
      </w:r>
      <w:r w:rsidR="00E3339F">
        <w:t xml:space="preserve"> 2</w:t>
      </w:r>
      <w:r>
        <w:tab/>
        <w:t>Buildings that house very dangerous installations or materials are generally classified as CC4, which is not fully covered by th</w:t>
      </w:r>
      <w:r w:rsidR="004023BF">
        <w:t>is</w:t>
      </w:r>
      <w:r>
        <w:t xml:space="preserve"> standard.</w:t>
      </w:r>
    </w:p>
    <w:p w14:paraId="78C2384A" w14:textId="2D81AC8F" w:rsidR="009D7A24" w:rsidRDefault="009D7A24" w:rsidP="0080187E">
      <w:pPr>
        <w:pStyle w:val="Clause"/>
        <w:numPr>
          <w:ilvl w:val="0"/>
          <w:numId w:val="14"/>
        </w:numPr>
      </w:pPr>
      <w:r>
        <w:t>For the application of prEN</w:t>
      </w:r>
      <w:r w:rsidR="004023BF">
        <w:t> </w:t>
      </w:r>
      <w:r>
        <w:t xml:space="preserve">1998-1-1:2022, 4.1(4), </w:t>
      </w:r>
      <w:r w:rsidR="006D3D3B" w:rsidRPr="004023BF">
        <w:rPr>
          <w:rFonts w:ascii="Symbol" w:eastAsia="Symbol" w:hAnsi="Symbol" w:cs="Symbol"/>
          <w:i/>
          <w:iCs/>
        </w:rPr>
        <w:t></w:t>
      </w:r>
      <w:r>
        <w:t xml:space="preserve"> values shall be determined.</w:t>
      </w:r>
    </w:p>
    <w:p w14:paraId="4DF659A8" w14:textId="209F41EE" w:rsidR="009D7A24" w:rsidRDefault="009D7A24" w:rsidP="009D7A24">
      <w:pPr>
        <w:pStyle w:val="Notetext"/>
      </w:pPr>
      <w:r>
        <w:t>NOTE</w:t>
      </w:r>
      <w:r>
        <w:tab/>
        <w:t xml:space="preserve">The values of </w:t>
      </w:r>
      <w:r w:rsidRPr="004023BF">
        <w:rPr>
          <w:rFonts w:ascii="Symbol" w:hAnsi="Symbol"/>
          <w:i/>
          <w:iCs/>
        </w:rPr>
        <w:t></w:t>
      </w:r>
      <w:r>
        <w:t xml:space="preserve"> applicable to buildings are those given in Table</w:t>
      </w:r>
      <w:r w:rsidR="004023BF">
        <w:t> </w:t>
      </w:r>
      <w:r>
        <w:t>4.2 (NDP)</w:t>
      </w:r>
      <w:r w:rsidR="004023BF">
        <w:t>,</w:t>
      </w:r>
      <w:r>
        <w:t xml:space="preserve"> unless </w:t>
      </w:r>
      <w:r w:rsidR="004023BF">
        <w:t>the</w:t>
      </w:r>
      <w:r>
        <w:t xml:space="preserve"> relevant </w:t>
      </w:r>
      <w:r w:rsidR="004023BF">
        <w:t>a</w:t>
      </w:r>
      <w:r>
        <w:t>uthorit</w:t>
      </w:r>
      <w:r w:rsidR="004023BF">
        <w:t>ies</w:t>
      </w:r>
      <w:r>
        <w:t xml:space="preserve"> or the National Annex give different values for use in a country.</w:t>
      </w:r>
    </w:p>
    <w:p w14:paraId="53F097AA" w14:textId="0E1A627D" w:rsidR="009D7A24" w:rsidRPr="006D3D3B" w:rsidRDefault="009D7A24" w:rsidP="009D7A24">
      <w:pPr>
        <w:pStyle w:val="Tabletitle"/>
        <w:rPr>
          <w:color w:val="000000" w:themeColor="text1"/>
        </w:rPr>
      </w:pPr>
      <w:bookmarkStart w:id="589" w:name="_Ref514835095"/>
      <w:r w:rsidRPr="006D3D3B">
        <w:rPr>
          <w:color w:val="000000" w:themeColor="text1"/>
        </w:rPr>
        <w:t xml:space="preserve">Table </w:t>
      </w:r>
      <w:r w:rsidR="004023BF">
        <w:rPr>
          <w:color w:val="000000" w:themeColor="text1"/>
        </w:rPr>
        <w:t>4.2</w:t>
      </w:r>
      <w:bookmarkEnd w:id="589"/>
      <w:r w:rsidR="004023BF">
        <w:rPr>
          <w:color w:val="000000" w:themeColor="text1"/>
        </w:rPr>
        <w:t xml:space="preserve"> </w:t>
      </w:r>
      <w:r w:rsidRPr="006D3D3B">
        <w:rPr>
          <w:color w:val="000000" w:themeColor="text1"/>
        </w:rPr>
        <w:t>(NDP)</w:t>
      </w:r>
      <w:r w:rsidR="004023BF">
        <w:rPr>
          <w:color w:val="000000" w:themeColor="text1"/>
        </w:rPr>
        <w:t xml:space="preserve"> </w:t>
      </w:r>
      <w:r w:rsidRPr="006D3D3B">
        <w:rPr>
          <w:color w:val="000000" w:themeColor="text1"/>
        </w:rPr>
        <w:t>— </w:t>
      </w:r>
      <w:r w:rsidR="006D3D3B" w:rsidRPr="004023BF">
        <w:rPr>
          <w:rFonts w:ascii="Symbol" w:eastAsia="Symbol" w:hAnsi="Symbol" w:cs="Symbol"/>
          <w:i/>
          <w:iCs/>
          <w:color w:val="000000" w:themeColor="text1"/>
        </w:rPr>
        <w:t></w:t>
      </w:r>
      <w:r w:rsidRPr="006D3D3B">
        <w:rPr>
          <w:color w:val="000000" w:themeColor="text1"/>
        </w:rPr>
        <w:t xml:space="preserve"> values for buildings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2"/>
        <w:gridCol w:w="1385"/>
        <w:gridCol w:w="1385"/>
        <w:gridCol w:w="1293"/>
        <w:gridCol w:w="1477"/>
      </w:tblGrid>
      <w:tr w:rsidR="009D7A24" w:rsidRPr="006D3D3B" w14:paraId="4D8448DA" w14:textId="77777777" w:rsidTr="002061E5">
        <w:trPr>
          <w:jc w:val="center"/>
        </w:trPr>
        <w:tc>
          <w:tcPr>
            <w:tcW w:w="1602" w:type="dxa"/>
            <w:vMerge w:val="restart"/>
          </w:tcPr>
          <w:p w14:paraId="4FF7363D" w14:textId="77777777" w:rsidR="009D7A24" w:rsidRPr="006D3D3B" w:rsidRDefault="009D7A24" w:rsidP="002061E5">
            <w:pPr>
              <w:spacing w:after="60"/>
              <w:rPr>
                <w:spacing w:val="-1"/>
              </w:rPr>
            </w:pPr>
          </w:p>
        </w:tc>
        <w:tc>
          <w:tcPr>
            <w:tcW w:w="5540" w:type="dxa"/>
            <w:gridSpan w:val="4"/>
          </w:tcPr>
          <w:p w14:paraId="59E8A810" w14:textId="59738266" w:rsidR="009D7A24" w:rsidRPr="006D3D3B" w:rsidRDefault="009D7A24" w:rsidP="002061E5">
            <w:pPr>
              <w:spacing w:after="60" w:line="226" w:lineRule="exact"/>
              <w:ind w:right="116"/>
              <w:jc w:val="center"/>
              <w:rPr>
                <w:spacing w:val="-1"/>
              </w:rPr>
            </w:pPr>
            <w:r w:rsidRPr="004023BF">
              <w:rPr>
                <w:b/>
                <w:bCs/>
                <w:spacing w:val="-1"/>
              </w:rPr>
              <w:t>Consequence class</w:t>
            </w:r>
          </w:p>
        </w:tc>
      </w:tr>
      <w:tr w:rsidR="009D7A24" w:rsidRPr="006D3D3B" w14:paraId="3704BA2D" w14:textId="77777777" w:rsidTr="002061E5">
        <w:trPr>
          <w:jc w:val="center"/>
        </w:trPr>
        <w:tc>
          <w:tcPr>
            <w:tcW w:w="1602" w:type="dxa"/>
            <w:vMerge/>
          </w:tcPr>
          <w:p w14:paraId="66EBA145" w14:textId="77777777" w:rsidR="009D7A24" w:rsidRPr="006D3D3B" w:rsidRDefault="009D7A24" w:rsidP="002061E5">
            <w:pPr>
              <w:spacing w:after="60" w:line="226" w:lineRule="exact"/>
              <w:ind w:right="116"/>
              <w:jc w:val="center"/>
              <w:rPr>
                <w:spacing w:val="-1"/>
              </w:rPr>
            </w:pPr>
          </w:p>
        </w:tc>
        <w:tc>
          <w:tcPr>
            <w:tcW w:w="1385" w:type="dxa"/>
          </w:tcPr>
          <w:p w14:paraId="7896B83E" w14:textId="77777777" w:rsidR="009D7A24" w:rsidRPr="006D3D3B" w:rsidRDefault="009D7A24" w:rsidP="002061E5">
            <w:pPr>
              <w:spacing w:after="60" w:line="226" w:lineRule="exact"/>
              <w:ind w:right="116"/>
              <w:jc w:val="center"/>
              <w:rPr>
                <w:spacing w:val="-1"/>
              </w:rPr>
            </w:pPr>
            <w:r w:rsidRPr="006D3D3B">
              <w:rPr>
                <w:spacing w:val="-1"/>
              </w:rPr>
              <w:t>CC1</w:t>
            </w:r>
          </w:p>
        </w:tc>
        <w:tc>
          <w:tcPr>
            <w:tcW w:w="1385" w:type="dxa"/>
          </w:tcPr>
          <w:p w14:paraId="49271D1B" w14:textId="77777777" w:rsidR="009D7A24" w:rsidRPr="006D3D3B" w:rsidRDefault="009D7A24" w:rsidP="002061E5">
            <w:pPr>
              <w:spacing w:after="60" w:line="226" w:lineRule="exact"/>
              <w:ind w:right="116"/>
              <w:jc w:val="center"/>
              <w:rPr>
                <w:spacing w:val="-1"/>
              </w:rPr>
            </w:pPr>
            <w:r w:rsidRPr="006D3D3B">
              <w:rPr>
                <w:spacing w:val="-1"/>
              </w:rPr>
              <w:t>CC2</w:t>
            </w:r>
          </w:p>
        </w:tc>
        <w:tc>
          <w:tcPr>
            <w:tcW w:w="1293" w:type="dxa"/>
          </w:tcPr>
          <w:p w14:paraId="7C9474F0" w14:textId="77777777" w:rsidR="009D7A24" w:rsidRPr="006D3D3B" w:rsidRDefault="009D7A24" w:rsidP="002061E5">
            <w:pPr>
              <w:spacing w:after="60" w:line="226" w:lineRule="exact"/>
              <w:ind w:right="116"/>
              <w:jc w:val="center"/>
              <w:rPr>
                <w:spacing w:val="-1"/>
              </w:rPr>
            </w:pPr>
            <w:r w:rsidRPr="006D3D3B">
              <w:rPr>
                <w:spacing w:val="-1"/>
              </w:rPr>
              <w:t>CC3-a</w:t>
            </w:r>
          </w:p>
        </w:tc>
        <w:tc>
          <w:tcPr>
            <w:tcW w:w="1477" w:type="dxa"/>
          </w:tcPr>
          <w:p w14:paraId="66571D1C" w14:textId="77777777" w:rsidR="009D7A24" w:rsidRPr="006D3D3B" w:rsidRDefault="009D7A24" w:rsidP="002061E5">
            <w:pPr>
              <w:spacing w:after="60" w:line="226" w:lineRule="exact"/>
              <w:ind w:right="116"/>
              <w:jc w:val="center"/>
              <w:rPr>
                <w:spacing w:val="-1"/>
              </w:rPr>
            </w:pPr>
            <w:r w:rsidRPr="006D3D3B">
              <w:rPr>
                <w:spacing w:val="-1"/>
              </w:rPr>
              <w:t>CC3-b</w:t>
            </w:r>
          </w:p>
        </w:tc>
      </w:tr>
      <w:tr w:rsidR="009D7A24" w:rsidRPr="006D3D3B" w14:paraId="0B1B5227" w14:textId="77777777" w:rsidTr="002061E5">
        <w:trPr>
          <w:jc w:val="center"/>
        </w:trPr>
        <w:tc>
          <w:tcPr>
            <w:tcW w:w="1602" w:type="dxa"/>
          </w:tcPr>
          <w:p w14:paraId="4B67259E" w14:textId="47A7B65D" w:rsidR="009D7A24" w:rsidRPr="004023BF" w:rsidRDefault="006D3D3B" w:rsidP="002061E5">
            <w:pPr>
              <w:spacing w:after="60" w:line="226" w:lineRule="exact"/>
              <w:ind w:right="116"/>
              <w:jc w:val="center"/>
              <w:rPr>
                <w:b/>
                <w:bCs/>
                <w:i/>
                <w:iCs/>
                <w:spacing w:val="-1"/>
              </w:rPr>
            </w:pPr>
            <w:r w:rsidRPr="004023BF">
              <w:rPr>
                <w:rFonts w:ascii="Symbol" w:eastAsia="Symbol" w:hAnsi="Symbol" w:cs="Symbol"/>
                <w:b/>
                <w:bCs/>
                <w:i/>
                <w:iCs/>
              </w:rPr>
              <w:t></w:t>
            </w:r>
          </w:p>
        </w:tc>
        <w:tc>
          <w:tcPr>
            <w:tcW w:w="1385" w:type="dxa"/>
          </w:tcPr>
          <w:p w14:paraId="4F1AECFF" w14:textId="3F5E78C4" w:rsidR="009D7A24" w:rsidRPr="006D3D3B" w:rsidRDefault="009D7A24" w:rsidP="002061E5">
            <w:pPr>
              <w:spacing w:after="60" w:line="226" w:lineRule="exact"/>
              <w:ind w:right="116"/>
              <w:jc w:val="center"/>
              <w:rPr>
                <w:spacing w:val="-1"/>
              </w:rPr>
            </w:pPr>
            <w:r w:rsidRPr="006D3D3B">
              <w:rPr>
                <w:spacing w:val="-1"/>
              </w:rPr>
              <w:t>0,6</w:t>
            </w:r>
          </w:p>
        </w:tc>
        <w:tc>
          <w:tcPr>
            <w:tcW w:w="1385" w:type="dxa"/>
          </w:tcPr>
          <w:p w14:paraId="5702E13B" w14:textId="77777777" w:rsidR="009D7A24" w:rsidRPr="006D3D3B" w:rsidRDefault="009D7A24" w:rsidP="002061E5">
            <w:pPr>
              <w:spacing w:after="60" w:line="226" w:lineRule="exact"/>
              <w:ind w:right="116"/>
              <w:jc w:val="center"/>
              <w:rPr>
                <w:spacing w:val="-1"/>
              </w:rPr>
            </w:pPr>
            <w:r w:rsidRPr="006D3D3B">
              <w:rPr>
                <w:spacing w:val="-1"/>
              </w:rPr>
              <w:t>1,0</w:t>
            </w:r>
          </w:p>
        </w:tc>
        <w:tc>
          <w:tcPr>
            <w:tcW w:w="1293" w:type="dxa"/>
          </w:tcPr>
          <w:p w14:paraId="2487722C" w14:textId="77777777" w:rsidR="009D7A24" w:rsidRPr="006D3D3B" w:rsidRDefault="009D7A24" w:rsidP="002061E5">
            <w:pPr>
              <w:spacing w:after="60" w:line="226" w:lineRule="exact"/>
              <w:ind w:right="116"/>
              <w:jc w:val="center"/>
              <w:rPr>
                <w:spacing w:val="-1"/>
              </w:rPr>
            </w:pPr>
            <w:r w:rsidRPr="006D3D3B">
              <w:rPr>
                <w:spacing w:val="-1"/>
              </w:rPr>
              <w:t>1,25</w:t>
            </w:r>
          </w:p>
        </w:tc>
        <w:tc>
          <w:tcPr>
            <w:tcW w:w="1477" w:type="dxa"/>
          </w:tcPr>
          <w:p w14:paraId="7B33BE60" w14:textId="264BDEC2" w:rsidR="009D7A24" w:rsidRPr="006D3D3B" w:rsidRDefault="009D7A24" w:rsidP="002061E5">
            <w:pPr>
              <w:spacing w:after="60" w:line="226" w:lineRule="exact"/>
              <w:ind w:right="116"/>
              <w:jc w:val="center"/>
              <w:rPr>
                <w:spacing w:val="-1"/>
              </w:rPr>
            </w:pPr>
            <w:r w:rsidRPr="006D3D3B">
              <w:rPr>
                <w:spacing w:val="-1"/>
              </w:rPr>
              <w:t>1,6</w:t>
            </w:r>
          </w:p>
        </w:tc>
      </w:tr>
    </w:tbl>
    <w:p w14:paraId="6CF7CE2C" w14:textId="499D728F" w:rsidR="00605C13" w:rsidRPr="00870D59" w:rsidRDefault="009E0487" w:rsidP="00E8550D">
      <w:pPr>
        <w:pStyle w:val="Heading2"/>
      </w:pPr>
      <w:bookmarkStart w:id="590" w:name="_Toc134197789"/>
      <w:r w:rsidRPr="00870D59">
        <w:t>Seismic actions</w:t>
      </w:r>
      <w:bookmarkEnd w:id="587"/>
      <w:bookmarkEnd w:id="588"/>
      <w:bookmarkEnd w:id="590"/>
    </w:p>
    <w:p w14:paraId="34FD66E5" w14:textId="5BCDAD94" w:rsidR="00D74F83" w:rsidRDefault="00D74F83" w:rsidP="0080187E">
      <w:pPr>
        <w:pStyle w:val="Clause"/>
        <w:numPr>
          <w:ilvl w:val="0"/>
          <w:numId w:val="15"/>
        </w:numPr>
      </w:pPr>
      <w:r w:rsidRPr="00D74F83">
        <w:t>prEN 1998-1-1:2022, 4.3(3) and (4), should be applied</w:t>
      </w:r>
      <w:r w:rsidR="009E0487" w:rsidRPr="00870D59">
        <w:t>.</w:t>
      </w:r>
    </w:p>
    <w:p w14:paraId="350691CF" w14:textId="56D63DC5" w:rsidR="00D74F83" w:rsidRPr="00DC7146" w:rsidRDefault="00D74F83" w:rsidP="00D74F83">
      <w:pPr>
        <w:pStyle w:val="Notetext"/>
      </w:pPr>
      <w:r w:rsidRPr="00196951">
        <w:t>NOTE 1</w:t>
      </w:r>
      <w:r w:rsidRPr="00196951">
        <w:tab/>
      </w:r>
      <w:r w:rsidRPr="002144A0">
        <w:t>The values of</w:t>
      </w:r>
      <w:r w:rsidR="004023BF">
        <w:t xml:space="preserve"> return period</w:t>
      </w:r>
      <w:r w:rsidRPr="002144A0">
        <w:t xml:space="preserve"> </w:t>
      </w:r>
      <w:r w:rsidRPr="00D74F83">
        <w:rPr>
          <w:i/>
        </w:rPr>
        <w:t>T</w:t>
      </w:r>
      <w:r w:rsidRPr="00D74F83">
        <w:rPr>
          <w:vertAlign w:val="subscript"/>
        </w:rPr>
        <w:t>LS,CC</w:t>
      </w:r>
      <w:r w:rsidR="004023BF">
        <w:t xml:space="preserve">, </w:t>
      </w:r>
      <w:r w:rsidRPr="00C52095">
        <w:t xml:space="preserve">according to </w:t>
      </w:r>
      <w:r>
        <w:t>prEN</w:t>
      </w:r>
      <w:r w:rsidR="004023BF">
        <w:t> </w:t>
      </w:r>
      <w:r>
        <w:t>1998-1-1:2022</w:t>
      </w:r>
      <w:r w:rsidRPr="00132C1E">
        <w:t xml:space="preserve">, </w:t>
      </w:r>
      <w:r w:rsidRPr="004023BF">
        <w:rPr>
          <w:bCs/>
        </w:rPr>
        <w:t>4.3(3), are</w:t>
      </w:r>
      <w:r w:rsidRPr="00132C1E">
        <w:t xml:space="preserve"> those given in Table</w:t>
      </w:r>
      <w:r w:rsidR="004023BF">
        <w:t> </w:t>
      </w:r>
      <w:r w:rsidRPr="00132C1E">
        <w:t xml:space="preserve">4.3 </w:t>
      </w:r>
      <w:r w:rsidRPr="00DC7146">
        <w:t>(NDP)</w:t>
      </w:r>
      <w:r w:rsidR="00DC7146" w:rsidRPr="00DC7146">
        <w:t xml:space="preserve">. The values in Table 4.3 (NDP) are computed with the values of </w:t>
      </w:r>
      <w:r w:rsidR="00DC7146" w:rsidRPr="00DC7146">
        <w:rPr>
          <w:rFonts w:ascii="Symbol" w:hAnsi="Symbol"/>
          <w:i/>
        </w:rPr>
        <w:t></w:t>
      </w:r>
      <w:r w:rsidR="00DC7146" w:rsidRPr="00DC7146">
        <w:rPr>
          <w:vertAlign w:val="subscript"/>
        </w:rPr>
        <w:t>t,LS,CC</w:t>
      </w:r>
      <w:r w:rsidR="00DC7146" w:rsidRPr="00DC7146">
        <w:t xml:space="preserve"> suggested in prEN 1998-1-1:2022, F.3. If a relevant authority or the National Annex give different values of </w:t>
      </w:r>
      <w:r w:rsidR="00DC7146" w:rsidRPr="00DC7146">
        <w:rPr>
          <w:rFonts w:ascii="Symbol" w:hAnsi="Symbol"/>
          <w:i/>
        </w:rPr>
        <w:t></w:t>
      </w:r>
      <w:r w:rsidR="00DC7146" w:rsidRPr="00DC7146">
        <w:rPr>
          <w:vertAlign w:val="subscript"/>
        </w:rPr>
        <w:t>t,LS,CC</w:t>
      </w:r>
      <w:r w:rsidR="00DC7146" w:rsidRPr="00DC7146">
        <w:t xml:space="preserve"> for use in a country, values of </w:t>
      </w:r>
      <w:r w:rsidR="00DC7146" w:rsidRPr="00DC7146">
        <w:rPr>
          <w:i/>
        </w:rPr>
        <w:t>T</w:t>
      </w:r>
      <w:r w:rsidR="00DC7146" w:rsidRPr="00DC7146">
        <w:rPr>
          <w:vertAlign w:val="subscript"/>
        </w:rPr>
        <w:t>LS,CC</w:t>
      </w:r>
      <w:r w:rsidR="00DC7146" w:rsidRPr="00DC7146">
        <w:t xml:space="preserve"> should be updated according to the note in prEN 1998-1-1:2022, 4.3(3).</w:t>
      </w:r>
    </w:p>
    <w:p w14:paraId="0A48CA86" w14:textId="7935AE3F" w:rsidR="001D6246" w:rsidRDefault="001D6246" w:rsidP="001D6246">
      <w:pPr>
        <w:pStyle w:val="Notetext"/>
      </w:pPr>
      <w:r w:rsidRPr="00E16406">
        <w:t>NOTE 2</w:t>
      </w:r>
      <w:r w:rsidRPr="00E16406">
        <w:tab/>
        <w:t>When performance factors are used</w:t>
      </w:r>
      <w:r>
        <w:t>,</w:t>
      </w:r>
      <w:r w:rsidRPr="00E16406">
        <w:t xml:space="preserve"> according to prEN</w:t>
      </w:r>
      <w:r>
        <w:t> </w:t>
      </w:r>
      <w:r w:rsidRPr="00E16406">
        <w:t xml:space="preserve">1998-1-1:2022, 4.3(4), the values of </w:t>
      </w:r>
      <w:r w:rsidRPr="00D1484A">
        <w:rPr>
          <w:rFonts w:ascii="Symbol" w:eastAsia="Symbol" w:hAnsi="Symbol" w:cs="Symbol"/>
          <w:i/>
        </w:rPr>
        <w:t></w:t>
      </w:r>
      <w:r w:rsidRPr="00D1484A">
        <w:rPr>
          <w:vertAlign w:val="subscript"/>
        </w:rPr>
        <w:t>LS,CC</w:t>
      </w:r>
      <w:r w:rsidRPr="00D1484A">
        <w:t xml:space="preserve"> </w:t>
      </w:r>
      <w:r w:rsidRPr="00E16406">
        <w:t>are those given in Table</w:t>
      </w:r>
      <w:r>
        <w:t> </w:t>
      </w:r>
      <w:r w:rsidRPr="00E16406">
        <w:t>4.4 (NDP</w:t>
      </w:r>
      <w:r w:rsidRPr="00DC7146">
        <w:t>)</w:t>
      </w:r>
      <w:r w:rsidR="00DC7146" w:rsidRPr="00DC7146">
        <w:t xml:space="preserve">. The values in Table 4.4 (NDP) are consistent with those in Table 4.3(NDP). If a relevant authority or the National Annex give different values of </w:t>
      </w:r>
      <w:r w:rsidR="00DC7146" w:rsidRPr="00DC7146">
        <w:rPr>
          <w:rFonts w:ascii="Symbol" w:hAnsi="Symbol"/>
          <w:i/>
        </w:rPr>
        <w:t></w:t>
      </w:r>
      <w:r w:rsidR="00DC7146" w:rsidRPr="00DC7146">
        <w:rPr>
          <w:vertAlign w:val="subscript"/>
        </w:rPr>
        <w:t>t,LS,CC</w:t>
      </w:r>
      <w:r w:rsidR="00DC7146" w:rsidRPr="00DC7146">
        <w:t xml:space="preserve"> for use in a country, values of </w:t>
      </w:r>
      <w:r w:rsidR="00DC7146" w:rsidRPr="00DC7146">
        <w:rPr>
          <w:rFonts w:ascii="Symbol" w:eastAsia="Symbol" w:hAnsi="Symbol" w:cs="Symbol"/>
          <w:i/>
        </w:rPr>
        <w:t></w:t>
      </w:r>
      <w:r w:rsidR="00DC7146" w:rsidRPr="00DC7146">
        <w:rPr>
          <w:vertAlign w:val="subscript"/>
        </w:rPr>
        <w:t>LS,CC</w:t>
      </w:r>
      <w:r w:rsidR="00DC7146" w:rsidRPr="00DC7146">
        <w:t xml:space="preserve"> </w:t>
      </w:r>
      <w:r w:rsidR="00155F8D">
        <w:t>can</w:t>
      </w:r>
      <w:r w:rsidR="00155F8D" w:rsidRPr="00DC7146">
        <w:t xml:space="preserve"> </w:t>
      </w:r>
      <w:r w:rsidR="00DC7146" w:rsidRPr="00DC7146">
        <w:t>be updated according to the note in prEN 1998-1-1:2022, 4.3(5).</w:t>
      </w:r>
    </w:p>
    <w:p w14:paraId="2CE936C2" w14:textId="4832B1C2" w:rsidR="001D6246" w:rsidRDefault="001D6246" w:rsidP="001D6246">
      <w:pPr>
        <w:pStyle w:val="Notetext"/>
      </w:pPr>
      <w:r w:rsidRPr="00870D59">
        <w:t>NOTE</w:t>
      </w:r>
      <w:r>
        <w:t xml:space="preserve"> 3</w:t>
      </w:r>
      <w:r w:rsidRPr="00870D59">
        <w:tab/>
      </w:r>
      <w:r>
        <w:t xml:space="preserve">When the OP limit state is required for CC3 buildings and their equipment, and unless the relevant authorities or the National Annex give different values for use in a country, or, in the absence of such </w:t>
      </w:r>
      <w:r w:rsidR="008A6ACC">
        <w:t>requirements</w:t>
      </w:r>
      <w:r>
        <w:t>, these values are agreed for a specific project by the relevant parties, then:</w:t>
      </w:r>
    </w:p>
    <w:p w14:paraId="09E68513" w14:textId="2BE1376C" w:rsidR="001D6246" w:rsidRDefault="00E3339F" w:rsidP="00E3339F">
      <w:pPr>
        <w:pStyle w:val="Notetext"/>
      </w:pPr>
      <w:r>
        <w:t>—</w:t>
      </w:r>
      <w:r>
        <w:tab/>
      </w:r>
      <w:r w:rsidR="001D6246">
        <w:t>the return periods and performance factors for the structure are the same as under the DL limit state,</w:t>
      </w:r>
    </w:p>
    <w:p w14:paraId="6B8BE026" w14:textId="488623D5" w:rsidR="001D6246" w:rsidRPr="00870D59" w:rsidRDefault="00E3339F" w:rsidP="00E3339F">
      <w:pPr>
        <w:pStyle w:val="Notetext"/>
      </w:pPr>
      <w:r>
        <w:t>—</w:t>
      </w:r>
      <w:r>
        <w:tab/>
      </w:r>
      <w:r w:rsidR="001D6246">
        <w:t>the return period and performance factor for equipment are 475 years and 1, respectively.</w:t>
      </w:r>
    </w:p>
    <w:p w14:paraId="4A391AC1" w14:textId="00664EB3" w:rsidR="00725425" w:rsidRPr="00870D59" w:rsidRDefault="00725425" w:rsidP="00725425">
      <w:pPr>
        <w:pStyle w:val="Tabletitle"/>
      </w:pPr>
      <w:r w:rsidRPr="00870D59">
        <w:rPr>
          <w:color w:val="000000" w:themeColor="text1"/>
        </w:rPr>
        <w:lastRenderedPageBreak/>
        <w:t>Table</w:t>
      </w:r>
      <w:r w:rsidR="001D6246">
        <w:rPr>
          <w:color w:val="000000" w:themeColor="text1"/>
        </w:rPr>
        <w:t> </w:t>
      </w:r>
      <w:r w:rsidRPr="00870D59">
        <w:rPr>
          <w:color w:val="000000" w:themeColor="text1"/>
        </w:rPr>
        <w:t>4.</w:t>
      </w:r>
      <w:r w:rsidR="00D74F83">
        <w:rPr>
          <w:color w:val="000000" w:themeColor="text1"/>
        </w:rPr>
        <w:t>3</w:t>
      </w:r>
      <w:r w:rsidRPr="00870D59">
        <w:rPr>
          <w:color w:val="000000" w:themeColor="text1"/>
        </w:rPr>
        <w:t xml:space="preserve"> (NDP) </w:t>
      </w:r>
      <w:r w:rsidRPr="00870D59">
        <w:rPr>
          <w:rFonts w:ascii="`ÃÍœ˛" w:eastAsia="Cambria" w:hAnsi="`ÃÍœ˛" w:cs="`ÃÍœ˛"/>
          <w:color w:val="000000" w:themeColor="text1"/>
          <w:lang w:eastAsia="de-DE"/>
        </w:rPr>
        <w:t>—</w:t>
      </w:r>
      <w:r w:rsidRPr="00870D59">
        <w:rPr>
          <w:color w:val="000000" w:themeColor="text1"/>
        </w:rPr>
        <w:t> </w:t>
      </w:r>
      <w:r w:rsidR="00D74F83" w:rsidRPr="00D74F83">
        <w:t>Return period</w:t>
      </w:r>
      <w:r w:rsidR="004023BF">
        <w:t xml:space="preserve"> </w:t>
      </w:r>
      <w:r w:rsidR="004023BF" w:rsidRPr="00A13F3B">
        <w:rPr>
          <w:i/>
        </w:rPr>
        <w:t>T</w:t>
      </w:r>
      <w:r w:rsidR="004023BF" w:rsidRPr="00A13F3B">
        <w:rPr>
          <w:vertAlign w:val="subscript"/>
        </w:rPr>
        <w:t>LS,CC</w:t>
      </w:r>
      <w:r w:rsidR="00D74F83" w:rsidRPr="00D74F83">
        <w:t xml:space="preserve"> </w:t>
      </w:r>
      <w:r w:rsidR="004023BF">
        <w:t>values, i</w:t>
      </w:r>
      <w:r w:rsidR="00D74F83" w:rsidRPr="00D74F83">
        <w:t>n years</w:t>
      </w:r>
      <w:r w:rsidR="004023BF">
        <w:t>, for buildings</w:t>
      </w:r>
    </w:p>
    <w:tbl>
      <w:tblPr>
        <w:tblStyle w:val="TableGrid"/>
        <w:tblW w:w="0" w:type="auto"/>
        <w:jc w:val="center"/>
        <w:tblLayout w:type="fixed"/>
        <w:tblLook w:val="04A0" w:firstRow="1" w:lastRow="0" w:firstColumn="1" w:lastColumn="0" w:noHBand="0" w:noVBand="1"/>
      </w:tblPr>
      <w:tblGrid>
        <w:gridCol w:w="1531"/>
        <w:gridCol w:w="1531"/>
        <w:gridCol w:w="1531"/>
        <w:gridCol w:w="1531"/>
        <w:gridCol w:w="1531"/>
      </w:tblGrid>
      <w:tr w:rsidR="009E0487" w:rsidRPr="00870D59" w14:paraId="1E879D2E" w14:textId="77777777" w:rsidTr="002061E5">
        <w:trPr>
          <w:jc w:val="center"/>
        </w:trPr>
        <w:tc>
          <w:tcPr>
            <w:tcW w:w="1531" w:type="dxa"/>
            <w:vMerge w:val="restart"/>
            <w:vAlign w:val="center"/>
          </w:tcPr>
          <w:p w14:paraId="49D96CFE" w14:textId="20FBF30D" w:rsidR="009E0487" w:rsidRPr="00870D59" w:rsidRDefault="009E0487" w:rsidP="002061E5">
            <w:pPr>
              <w:jc w:val="center"/>
              <w:rPr>
                <w:b/>
                <w:bCs/>
                <w:color w:val="000000" w:themeColor="text1"/>
              </w:rPr>
            </w:pPr>
            <w:r w:rsidRPr="00870D59">
              <w:rPr>
                <w:b/>
                <w:bCs/>
              </w:rPr>
              <w:t>Limit state</w:t>
            </w:r>
          </w:p>
        </w:tc>
        <w:tc>
          <w:tcPr>
            <w:tcW w:w="6124" w:type="dxa"/>
            <w:gridSpan w:val="4"/>
            <w:vAlign w:val="center"/>
          </w:tcPr>
          <w:p w14:paraId="35371E06" w14:textId="23DDBD5E" w:rsidR="009E0487" w:rsidRPr="00870D59" w:rsidRDefault="009E0487" w:rsidP="002061E5">
            <w:pPr>
              <w:jc w:val="center"/>
              <w:rPr>
                <w:b/>
                <w:bCs/>
                <w:color w:val="000000" w:themeColor="text1"/>
              </w:rPr>
            </w:pPr>
            <w:r w:rsidRPr="00870D59">
              <w:rPr>
                <w:b/>
                <w:bCs/>
                <w:color w:val="000000" w:themeColor="text1"/>
              </w:rPr>
              <w:t>Consequence class</w:t>
            </w:r>
          </w:p>
        </w:tc>
      </w:tr>
      <w:tr w:rsidR="00D74F83" w:rsidRPr="00870D59" w14:paraId="5F019C61" w14:textId="77777777" w:rsidTr="002061E5">
        <w:trPr>
          <w:jc w:val="center"/>
        </w:trPr>
        <w:tc>
          <w:tcPr>
            <w:tcW w:w="1531" w:type="dxa"/>
            <w:vMerge/>
            <w:vAlign w:val="center"/>
          </w:tcPr>
          <w:p w14:paraId="53A5AEBF" w14:textId="77777777" w:rsidR="00D74F83" w:rsidRPr="00870D59" w:rsidRDefault="00D74F83" w:rsidP="00D74F83">
            <w:pPr>
              <w:jc w:val="center"/>
              <w:rPr>
                <w:color w:val="000000" w:themeColor="text1"/>
              </w:rPr>
            </w:pPr>
          </w:p>
        </w:tc>
        <w:tc>
          <w:tcPr>
            <w:tcW w:w="1531" w:type="dxa"/>
          </w:tcPr>
          <w:p w14:paraId="162DC8B4" w14:textId="19A4A46D" w:rsidR="00D74F83" w:rsidRPr="00870D59" w:rsidRDefault="00D74F83" w:rsidP="00D74F83">
            <w:pPr>
              <w:jc w:val="center"/>
              <w:rPr>
                <w:color w:val="000000" w:themeColor="text1"/>
              </w:rPr>
            </w:pPr>
            <w:r w:rsidRPr="00671D25">
              <w:t>CC1</w:t>
            </w:r>
          </w:p>
        </w:tc>
        <w:tc>
          <w:tcPr>
            <w:tcW w:w="1531" w:type="dxa"/>
          </w:tcPr>
          <w:p w14:paraId="757969C5" w14:textId="4F255541" w:rsidR="00D74F83" w:rsidRPr="00870D59" w:rsidRDefault="00D74F83" w:rsidP="00D74F83">
            <w:pPr>
              <w:autoSpaceDE w:val="0"/>
              <w:autoSpaceDN w:val="0"/>
              <w:adjustRightInd w:val="0"/>
              <w:spacing w:after="0" w:line="240" w:lineRule="auto"/>
              <w:jc w:val="center"/>
              <w:rPr>
                <w:color w:val="000000" w:themeColor="text1"/>
              </w:rPr>
            </w:pPr>
            <w:r w:rsidRPr="00671D25">
              <w:t>CC2</w:t>
            </w:r>
          </w:p>
        </w:tc>
        <w:tc>
          <w:tcPr>
            <w:tcW w:w="1531" w:type="dxa"/>
          </w:tcPr>
          <w:p w14:paraId="4DDB963D" w14:textId="6E041255" w:rsidR="00D74F83" w:rsidRPr="00870D59" w:rsidRDefault="00D74F83" w:rsidP="00D74F83">
            <w:pPr>
              <w:autoSpaceDE w:val="0"/>
              <w:autoSpaceDN w:val="0"/>
              <w:adjustRightInd w:val="0"/>
              <w:spacing w:after="0" w:line="240" w:lineRule="auto"/>
              <w:jc w:val="center"/>
              <w:rPr>
                <w:color w:val="000000" w:themeColor="text1"/>
              </w:rPr>
            </w:pPr>
            <w:r w:rsidRPr="00671D25">
              <w:t>CC3-a</w:t>
            </w:r>
          </w:p>
        </w:tc>
        <w:tc>
          <w:tcPr>
            <w:tcW w:w="1531" w:type="dxa"/>
          </w:tcPr>
          <w:p w14:paraId="7C1F7CBF" w14:textId="14F3EDF7" w:rsidR="00D74F83" w:rsidRPr="00870D59" w:rsidRDefault="00D74F83" w:rsidP="00D74F83">
            <w:pPr>
              <w:autoSpaceDE w:val="0"/>
              <w:autoSpaceDN w:val="0"/>
              <w:adjustRightInd w:val="0"/>
              <w:spacing w:after="0" w:line="240" w:lineRule="auto"/>
              <w:jc w:val="center"/>
              <w:rPr>
                <w:color w:val="000000" w:themeColor="text1"/>
              </w:rPr>
            </w:pPr>
            <w:r w:rsidRPr="00671D25">
              <w:t>CC3-b</w:t>
            </w:r>
          </w:p>
        </w:tc>
      </w:tr>
      <w:tr w:rsidR="00DC7146" w:rsidRPr="00870D59" w14:paraId="2E661AA4" w14:textId="77777777" w:rsidTr="002061E5">
        <w:trPr>
          <w:jc w:val="center"/>
        </w:trPr>
        <w:tc>
          <w:tcPr>
            <w:tcW w:w="1531" w:type="dxa"/>
          </w:tcPr>
          <w:p w14:paraId="5BD90BC7" w14:textId="20A20238" w:rsidR="00DC7146" w:rsidRPr="00870D59" w:rsidRDefault="00DC7146" w:rsidP="00DC7146">
            <w:pPr>
              <w:jc w:val="center"/>
              <w:rPr>
                <w:color w:val="000000" w:themeColor="text1"/>
              </w:rPr>
            </w:pPr>
            <w:r w:rsidRPr="00870D59">
              <w:t>NC</w:t>
            </w:r>
          </w:p>
        </w:tc>
        <w:tc>
          <w:tcPr>
            <w:tcW w:w="1531" w:type="dxa"/>
          </w:tcPr>
          <w:p w14:paraId="30A5C9A1" w14:textId="77B20FB3" w:rsidR="00DC7146" w:rsidRPr="00870D59" w:rsidRDefault="00DC7146" w:rsidP="00DC7146">
            <w:pPr>
              <w:jc w:val="center"/>
              <w:rPr>
                <w:color w:val="000000" w:themeColor="text1"/>
              </w:rPr>
            </w:pPr>
            <w:r w:rsidRPr="007E4FBB">
              <w:t>500</w:t>
            </w:r>
          </w:p>
        </w:tc>
        <w:tc>
          <w:tcPr>
            <w:tcW w:w="1531" w:type="dxa"/>
          </w:tcPr>
          <w:p w14:paraId="6334F463" w14:textId="0221FE39" w:rsidR="00DC7146" w:rsidRPr="00870D59" w:rsidRDefault="00DC7146" w:rsidP="00DC7146">
            <w:pPr>
              <w:autoSpaceDE w:val="0"/>
              <w:autoSpaceDN w:val="0"/>
              <w:adjustRightInd w:val="0"/>
              <w:spacing w:after="0" w:line="240" w:lineRule="auto"/>
              <w:jc w:val="center"/>
              <w:rPr>
                <w:color w:val="000000" w:themeColor="text1"/>
              </w:rPr>
            </w:pPr>
            <w:r w:rsidRPr="007E4FBB">
              <w:t>1350</w:t>
            </w:r>
          </w:p>
        </w:tc>
        <w:tc>
          <w:tcPr>
            <w:tcW w:w="1531" w:type="dxa"/>
          </w:tcPr>
          <w:p w14:paraId="01905E13" w14:textId="5F9D779A" w:rsidR="00DC7146" w:rsidRPr="00870D59" w:rsidRDefault="00DC7146" w:rsidP="00DC7146">
            <w:pPr>
              <w:autoSpaceDE w:val="0"/>
              <w:autoSpaceDN w:val="0"/>
              <w:adjustRightInd w:val="0"/>
              <w:spacing w:after="0" w:line="240" w:lineRule="auto"/>
              <w:jc w:val="center"/>
              <w:rPr>
                <w:color w:val="000000" w:themeColor="text1"/>
              </w:rPr>
            </w:pPr>
            <w:r w:rsidRPr="007E4FBB">
              <w:t>2500</w:t>
            </w:r>
          </w:p>
        </w:tc>
        <w:tc>
          <w:tcPr>
            <w:tcW w:w="1531" w:type="dxa"/>
          </w:tcPr>
          <w:p w14:paraId="1A75A5CB" w14:textId="6A816611" w:rsidR="00DC7146" w:rsidRPr="00870D59" w:rsidRDefault="00DC7146" w:rsidP="00DC7146">
            <w:pPr>
              <w:autoSpaceDE w:val="0"/>
              <w:autoSpaceDN w:val="0"/>
              <w:adjustRightInd w:val="0"/>
              <w:spacing w:after="0" w:line="240" w:lineRule="auto"/>
              <w:jc w:val="center"/>
              <w:rPr>
                <w:color w:val="000000" w:themeColor="text1"/>
              </w:rPr>
            </w:pPr>
            <w:r w:rsidRPr="007E4FBB">
              <w:t>5000</w:t>
            </w:r>
          </w:p>
        </w:tc>
      </w:tr>
      <w:tr w:rsidR="00DC7146" w:rsidRPr="00870D59" w14:paraId="30A3431B" w14:textId="77777777" w:rsidTr="002061E5">
        <w:trPr>
          <w:jc w:val="center"/>
        </w:trPr>
        <w:tc>
          <w:tcPr>
            <w:tcW w:w="1531" w:type="dxa"/>
          </w:tcPr>
          <w:p w14:paraId="6F54561B" w14:textId="02F8DDD7" w:rsidR="00DC7146" w:rsidRPr="00870D59" w:rsidRDefault="00DC7146" w:rsidP="00DC7146">
            <w:pPr>
              <w:jc w:val="center"/>
            </w:pPr>
            <w:r w:rsidRPr="00870D59">
              <w:t>SD</w:t>
            </w:r>
          </w:p>
        </w:tc>
        <w:tc>
          <w:tcPr>
            <w:tcW w:w="1531" w:type="dxa"/>
          </w:tcPr>
          <w:p w14:paraId="117830FD" w14:textId="7DAD2CB9" w:rsidR="00DC7146" w:rsidRPr="00870D59" w:rsidRDefault="00DC7146" w:rsidP="00DC7146">
            <w:pPr>
              <w:jc w:val="center"/>
            </w:pPr>
            <w:r w:rsidRPr="007E4FBB">
              <w:t>275</w:t>
            </w:r>
          </w:p>
        </w:tc>
        <w:tc>
          <w:tcPr>
            <w:tcW w:w="1531" w:type="dxa"/>
          </w:tcPr>
          <w:p w14:paraId="4AFC1208" w14:textId="5B73013A" w:rsidR="00DC7146" w:rsidRPr="00870D59" w:rsidRDefault="00DC7146" w:rsidP="00DC7146">
            <w:pPr>
              <w:autoSpaceDE w:val="0"/>
              <w:autoSpaceDN w:val="0"/>
              <w:adjustRightInd w:val="0"/>
              <w:spacing w:after="0" w:line="240" w:lineRule="auto"/>
              <w:jc w:val="center"/>
            </w:pPr>
            <w:r w:rsidRPr="007E4FBB">
              <w:t>475</w:t>
            </w:r>
          </w:p>
        </w:tc>
        <w:tc>
          <w:tcPr>
            <w:tcW w:w="1531" w:type="dxa"/>
          </w:tcPr>
          <w:p w14:paraId="434C989E" w14:textId="1AA9CEBF" w:rsidR="00DC7146" w:rsidRPr="00870D59" w:rsidRDefault="00DC7146" w:rsidP="00DC7146">
            <w:pPr>
              <w:autoSpaceDE w:val="0"/>
              <w:autoSpaceDN w:val="0"/>
              <w:adjustRightInd w:val="0"/>
              <w:spacing w:after="0" w:line="240" w:lineRule="auto"/>
              <w:jc w:val="center"/>
            </w:pPr>
            <w:r w:rsidRPr="007E4FBB">
              <w:t>700</w:t>
            </w:r>
          </w:p>
        </w:tc>
        <w:tc>
          <w:tcPr>
            <w:tcW w:w="1531" w:type="dxa"/>
          </w:tcPr>
          <w:p w14:paraId="6C87CBD3" w14:textId="1D1851AE" w:rsidR="00DC7146" w:rsidRPr="00870D59" w:rsidRDefault="00DC7146" w:rsidP="00DC7146">
            <w:pPr>
              <w:autoSpaceDE w:val="0"/>
              <w:autoSpaceDN w:val="0"/>
              <w:adjustRightInd w:val="0"/>
              <w:spacing w:after="0" w:line="240" w:lineRule="auto"/>
              <w:jc w:val="center"/>
            </w:pPr>
            <w:r w:rsidRPr="007E4FBB">
              <w:t>1000</w:t>
            </w:r>
          </w:p>
        </w:tc>
      </w:tr>
      <w:tr w:rsidR="00DC7146" w:rsidRPr="00870D59" w14:paraId="34F4CA09" w14:textId="77777777" w:rsidTr="002061E5">
        <w:trPr>
          <w:jc w:val="center"/>
        </w:trPr>
        <w:tc>
          <w:tcPr>
            <w:tcW w:w="1531" w:type="dxa"/>
          </w:tcPr>
          <w:p w14:paraId="1A1DADBD" w14:textId="5783A16F" w:rsidR="00DC7146" w:rsidRPr="00870D59" w:rsidRDefault="00DC7146" w:rsidP="00DC7146">
            <w:pPr>
              <w:jc w:val="center"/>
            </w:pPr>
            <w:r w:rsidRPr="00870D59">
              <w:t>DL</w:t>
            </w:r>
          </w:p>
        </w:tc>
        <w:tc>
          <w:tcPr>
            <w:tcW w:w="1531" w:type="dxa"/>
          </w:tcPr>
          <w:p w14:paraId="7F9EFE61" w14:textId="75A52BAC" w:rsidR="00DC7146" w:rsidRPr="00870D59" w:rsidRDefault="00DC7146" w:rsidP="00DC7146">
            <w:pPr>
              <w:jc w:val="center"/>
            </w:pPr>
            <w:r w:rsidRPr="007E4FBB">
              <w:t>100</w:t>
            </w:r>
          </w:p>
        </w:tc>
        <w:tc>
          <w:tcPr>
            <w:tcW w:w="1531" w:type="dxa"/>
          </w:tcPr>
          <w:p w14:paraId="1191BD76" w14:textId="1F791264" w:rsidR="00DC7146" w:rsidRPr="00870D59" w:rsidRDefault="00DC7146" w:rsidP="00DC7146">
            <w:pPr>
              <w:autoSpaceDE w:val="0"/>
              <w:autoSpaceDN w:val="0"/>
              <w:adjustRightInd w:val="0"/>
              <w:spacing w:after="0" w:line="240" w:lineRule="auto"/>
              <w:jc w:val="center"/>
            </w:pPr>
            <w:r w:rsidRPr="007E4FBB">
              <w:t>115</w:t>
            </w:r>
          </w:p>
        </w:tc>
        <w:tc>
          <w:tcPr>
            <w:tcW w:w="1531" w:type="dxa"/>
          </w:tcPr>
          <w:p w14:paraId="1F1E12D7" w14:textId="1A339B7B" w:rsidR="00DC7146" w:rsidRPr="00870D59" w:rsidRDefault="00DC7146" w:rsidP="00DC7146">
            <w:pPr>
              <w:autoSpaceDE w:val="0"/>
              <w:autoSpaceDN w:val="0"/>
              <w:adjustRightInd w:val="0"/>
              <w:spacing w:after="0" w:line="240" w:lineRule="auto"/>
              <w:jc w:val="center"/>
            </w:pPr>
            <w:r w:rsidRPr="007E4FBB">
              <w:t>125</w:t>
            </w:r>
          </w:p>
        </w:tc>
        <w:tc>
          <w:tcPr>
            <w:tcW w:w="1531" w:type="dxa"/>
          </w:tcPr>
          <w:p w14:paraId="5FC573B5" w14:textId="65D23586" w:rsidR="00DC7146" w:rsidRPr="00870D59" w:rsidRDefault="00DC7146" w:rsidP="00DC7146">
            <w:pPr>
              <w:autoSpaceDE w:val="0"/>
              <w:autoSpaceDN w:val="0"/>
              <w:adjustRightInd w:val="0"/>
              <w:spacing w:after="0" w:line="240" w:lineRule="auto"/>
              <w:jc w:val="center"/>
            </w:pPr>
            <w:r w:rsidRPr="007E4FBB">
              <w:t>140</w:t>
            </w:r>
          </w:p>
        </w:tc>
      </w:tr>
    </w:tbl>
    <w:p w14:paraId="309B60F1" w14:textId="60A22E87" w:rsidR="00A2776D" w:rsidRPr="00870D59" w:rsidRDefault="00A2776D" w:rsidP="00A2776D">
      <w:pPr>
        <w:pStyle w:val="Tabletitle"/>
      </w:pPr>
      <w:r w:rsidRPr="00870D59">
        <w:rPr>
          <w:color w:val="000000" w:themeColor="text1"/>
        </w:rPr>
        <w:t>Table</w:t>
      </w:r>
      <w:r w:rsidR="001D6246">
        <w:rPr>
          <w:color w:val="000000" w:themeColor="text1"/>
        </w:rPr>
        <w:t> </w:t>
      </w:r>
      <w:r w:rsidRPr="00870D59">
        <w:rPr>
          <w:color w:val="000000" w:themeColor="text1"/>
        </w:rPr>
        <w:t>4.</w:t>
      </w:r>
      <w:r w:rsidR="00E16406">
        <w:rPr>
          <w:color w:val="000000" w:themeColor="text1"/>
        </w:rPr>
        <w:t>4</w:t>
      </w:r>
      <w:r w:rsidRPr="00870D59">
        <w:rPr>
          <w:color w:val="000000" w:themeColor="text1"/>
        </w:rPr>
        <w:t xml:space="preserve"> (NDP) </w:t>
      </w:r>
      <w:r w:rsidRPr="00870D59">
        <w:rPr>
          <w:rFonts w:ascii="`ÃÍœ˛" w:eastAsia="Cambria" w:hAnsi="`ÃÍœ˛" w:cs="`ÃÍœ˛"/>
          <w:color w:val="000000" w:themeColor="text1"/>
          <w:lang w:eastAsia="de-DE"/>
        </w:rPr>
        <w:t>—</w:t>
      </w:r>
      <w:r w:rsidRPr="00870D59">
        <w:rPr>
          <w:color w:val="000000" w:themeColor="text1"/>
        </w:rPr>
        <w:t> </w:t>
      </w:r>
      <w:r w:rsidRPr="00870D59">
        <w:t>Performance factor</w:t>
      </w:r>
      <w:r w:rsidR="001D6246">
        <w:t xml:space="preserve"> </w:t>
      </w:r>
      <w:r w:rsidR="001D6246" w:rsidRPr="00A13F3B">
        <w:rPr>
          <w:i/>
        </w:rPr>
        <w:t>γ</w:t>
      </w:r>
      <w:r w:rsidR="001D6246" w:rsidRPr="00A13F3B">
        <w:rPr>
          <w:vertAlign w:val="subscript"/>
        </w:rPr>
        <w:t>LS,CC</w:t>
      </w:r>
      <w:r w:rsidR="001D6246" w:rsidRPr="00A13F3B">
        <w:t xml:space="preserve"> values</w:t>
      </w:r>
      <w:r w:rsidR="001D6246">
        <w:t xml:space="preserve"> for buildings</w:t>
      </w:r>
    </w:p>
    <w:tbl>
      <w:tblPr>
        <w:tblStyle w:val="TableGrid"/>
        <w:tblW w:w="0" w:type="auto"/>
        <w:jc w:val="center"/>
        <w:tblLayout w:type="fixed"/>
        <w:tblLook w:val="04A0" w:firstRow="1" w:lastRow="0" w:firstColumn="1" w:lastColumn="0" w:noHBand="0" w:noVBand="1"/>
      </w:tblPr>
      <w:tblGrid>
        <w:gridCol w:w="1531"/>
        <w:gridCol w:w="1531"/>
        <w:gridCol w:w="1531"/>
        <w:gridCol w:w="1531"/>
        <w:gridCol w:w="1531"/>
      </w:tblGrid>
      <w:tr w:rsidR="00A2776D" w:rsidRPr="00870D59" w14:paraId="63441354" w14:textId="77777777" w:rsidTr="002061E5">
        <w:trPr>
          <w:jc w:val="center"/>
        </w:trPr>
        <w:tc>
          <w:tcPr>
            <w:tcW w:w="1531" w:type="dxa"/>
            <w:vMerge w:val="restart"/>
            <w:vAlign w:val="center"/>
          </w:tcPr>
          <w:p w14:paraId="53E2D97D" w14:textId="430A2B52" w:rsidR="00A2776D" w:rsidRPr="00870D59" w:rsidRDefault="00A2776D" w:rsidP="002061E5">
            <w:pPr>
              <w:jc w:val="center"/>
              <w:rPr>
                <w:b/>
                <w:bCs/>
                <w:color w:val="000000" w:themeColor="text1"/>
              </w:rPr>
            </w:pPr>
            <w:r w:rsidRPr="00870D59">
              <w:rPr>
                <w:b/>
                <w:bCs/>
              </w:rPr>
              <w:t>Limit state</w:t>
            </w:r>
          </w:p>
        </w:tc>
        <w:tc>
          <w:tcPr>
            <w:tcW w:w="6124" w:type="dxa"/>
            <w:gridSpan w:val="4"/>
            <w:vAlign w:val="center"/>
          </w:tcPr>
          <w:p w14:paraId="40BE6561" w14:textId="3E7E9772" w:rsidR="00A2776D" w:rsidRPr="00870D59" w:rsidRDefault="00A2776D" w:rsidP="002061E5">
            <w:pPr>
              <w:jc w:val="center"/>
              <w:rPr>
                <w:b/>
                <w:bCs/>
                <w:color w:val="000000" w:themeColor="text1"/>
              </w:rPr>
            </w:pPr>
            <w:r w:rsidRPr="00870D59">
              <w:rPr>
                <w:b/>
                <w:bCs/>
                <w:color w:val="000000" w:themeColor="text1"/>
              </w:rPr>
              <w:t>Consequence class</w:t>
            </w:r>
          </w:p>
        </w:tc>
      </w:tr>
      <w:tr w:rsidR="00E16406" w:rsidRPr="00870D59" w14:paraId="3D5DBCA8" w14:textId="77777777" w:rsidTr="002061E5">
        <w:trPr>
          <w:jc w:val="center"/>
        </w:trPr>
        <w:tc>
          <w:tcPr>
            <w:tcW w:w="1531" w:type="dxa"/>
            <w:vMerge/>
            <w:vAlign w:val="center"/>
          </w:tcPr>
          <w:p w14:paraId="45A6563B" w14:textId="77777777" w:rsidR="00E16406" w:rsidRPr="00870D59" w:rsidRDefault="00E16406" w:rsidP="00E16406">
            <w:pPr>
              <w:jc w:val="center"/>
              <w:rPr>
                <w:color w:val="000000" w:themeColor="text1"/>
              </w:rPr>
            </w:pPr>
          </w:p>
        </w:tc>
        <w:tc>
          <w:tcPr>
            <w:tcW w:w="1531" w:type="dxa"/>
          </w:tcPr>
          <w:p w14:paraId="1946F1AC" w14:textId="2DEB6E63" w:rsidR="00E16406" w:rsidRPr="00870D59" w:rsidRDefault="00E16406" w:rsidP="00E16406">
            <w:pPr>
              <w:jc w:val="center"/>
              <w:rPr>
                <w:color w:val="000000" w:themeColor="text1"/>
              </w:rPr>
            </w:pPr>
            <w:r w:rsidRPr="00D0271D">
              <w:t>CC1</w:t>
            </w:r>
          </w:p>
        </w:tc>
        <w:tc>
          <w:tcPr>
            <w:tcW w:w="1531" w:type="dxa"/>
          </w:tcPr>
          <w:p w14:paraId="51B21DF6" w14:textId="7E131AB9" w:rsidR="00E16406" w:rsidRPr="00870D59" w:rsidRDefault="00E16406" w:rsidP="00E16406">
            <w:pPr>
              <w:autoSpaceDE w:val="0"/>
              <w:autoSpaceDN w:val="0"/>
              <w:adjustRightInd w:val="0"/>
              <w:spacing w:after="0" w:line="240" w:lineRule="auto"/>
              <w:jc w:val="center"/>
              <w:rPr>
                <w:color w:val="000000" w:themeColor="text1"/>
              </w:rPr>
            </w:pPr>
            <w:r w:rsidRPr="00D0271D">
              <w:t>CC2</w:t>
            </w:r>
          </w:p>
        </w:tc>
        <w:tc>
          <w:tcPr>
            <w:tcW w:w="1531" w:type="dxa"/>
          </w:tcPr>
          <w:p w14:paraId="39345556" w14:textId="0130513D" w:rsidR="00E16406" w:rsidRPr="00870D59" w:rsidRDefault="00E16406" w:rsidP="00E16406">
            <w:pPr>
              <w:autoSpaceDE w:val="0"/>
              <w:autoSpaceDN w:val="0"/>
              <w:adjustRightInd w:val="0"/>
              <w:spacing w:after="0" w:line="240" w:lineRule="auto"/>
              <w:jc w:val="center"/>
              <w:rPr>
                <w:color w:val="000000" w:themeColor="text1"/>
              </w:rPr>
            </w:pPr>
            <w:r w:rsidRPr="00D0271D">
              <w:t>CC3-a</w:t>
            </w:r>
          </w:p>
        </w:tc>
        <w:tc>
          <w:tcPr>
            <w:tcW w:w="1531" w:type="dxa"/>
          </w:tcPr>
          <w:p w14:paraId="27BA9E75" w14:textId="392299BE" w:rsidR="00E16406" w:rsidRPr="00870D59" w:rsidRDefault="00E16406" w:rsidP="00E16406">
            <w:pPr>
              <w:autoSpaceDE w:val="0"/>
              <w:autoSpaceDN w:val="0"/>
              <w:adjustRightInd w:val="0"/>
              <w:spacing w:after="0" w:line="240" w:lineRule="auto"/>
              <w:jc w:val="center"/>
              <w:rPr>
                <w:color w:val="000000" w:themeColor="text1"/>
              </w:rPr>
            </w:pPr>
            <w:r w:rsidRPr="00D0271D">
              <w:t>CC3-b</w:t>
            </w:r>
          </w:p>
        </w:tc>
      </w:tr>
      <w:tr w:rsidR="00DC7146" w:rsidRPr="00870D59" w14:paraId="11D600BF" w14:textId="77777777" w:rsidTr="002061E5">
        <w:trPr>
          <w:jc w:val="center"/>
        </w:trPr>
        <w:tc>
          <w:tcPr>
            <w:tcW w:w="1531" w:type="dxa"/>
          </w:tcPr>
          <w:p w14:paraId="501B3DD1" w14:textId="77777777" w:rsidR="00DC7146" w:rsidRPr="00870D59" w:rsidRDefault="00DC7146" w:rsidP="00DC7146">
            <w:pPr>
              <w:jc w:val="center"/>
              <w:rPr>
                <w:color w:val="000000" w:themeColor="text1"/>
              </w:rPr>
            </w:pPr>
            <w:r w:rsidRPr="00870D59">
              <w:t>NC</w:t>
            </w:r>
          </w:p>
        </w:tc>
        <w:tc>
          <w:tcPr>
            <w:tcW w:w="1531" w:type="dxa"/>
          </w:tcPr>
          <w:p w14:paraId="401F4B06" w14:textId="686E8EEE" w:rsidR="00DC7146" w:rsidRPr="00870D59" w:rsidRDefault="00DC7146" w:rsidP="00DC7146">
            <w:pPr>
              <w:jc w:val="center"/>
              <w:rPr>
                <w:color w:val="000000" w:themeColor="text1"/>
              </w:rPr>
            </w:pPr>
            <w:r w:rsidRPr="00C62DE1">
              <w:t>1,00</w:t>
            </w:r>
          </w:p>
        </w:tc>
        <w:tc>
          <w:tcPr>
            <w:tcW w:w="1531" w:type="dxa"/>
          </w:tcPr>
          <w:p w14:paraId="0B8E05B1" w14:textId="3F4FC982" w:rsidR="00DC7146" w:rsidRPr="00870D59" w:rsidRDefault="00DC7146" w:rsidP="00DC7146">
            <w:pPr>
              <w:autoSpaceDE w:val="0"/>
              <w:autoSpaceDN w:val="0"/>
              <w:adjustRightInd w:val="0"/>
              <w:spacing w:after="0" w:line="240" w:lineRule="auto"/>
              <w:jc w:val="center"/>
              <w:rPr>
                <w:color w:val="000000" w:themeColor="text1"/>
              </w:rPr>
            </w:pPr>
            <w:r w:rsidRPr="00C62DE1">
              <w:t>1,40</w:t>
            </w:r>
          </w:p>
        </w:tc>
        <w:tc>
          <w:tcPr>
            <w:tcW w:w="1531" w:type="dxa"/>
          </w:tcPr>
          <w:p w14:paraId="627D08FA" w14:textId="53E6AD55" w:rsidR="00DC7146" w:rsidRPr="00870D59" w:rsidRDefault="00DC7146" w:rsidP="00DC7146">
            <w:pPr>
              <w:autoSpaceDE w:val="0"/>
              <w:autoSpaceDN w:val="0"/>
              <w:adjustRightInd w:val="0"/>
              <w:spacing w:after="0" w:line="240" w:lineRule="auto"/>
              <w:jc w:val="center"/>
              <w:rPr>
                <w:color w:val="000000" w:themeColor="text1"/>
              </w:rPr>
            </w:pPr>
            <w:r w:rsidRPr="00C62DE1">
              <w:t>1,70</w:t>
            </w:r>
          </w:p>
        </w:tc>
        <w:tc>
          <w:tcPr>
            <w:tcW w:w="1531" w:type="dxa"/>
          </w:tcPr>
          <w:p w14:paraId="71CE4911" w14:textId="03579772" w:rsidR="00DC7146" w:rsidRPr="00870D59" w:rsidRDefault="00DC7146" w:rsidP="00DC7146">
            <w:pPr>
              <w:autoSpaceDE w:val="0"/>
              <w:autoSpaceDN w:val="0"/>
              <w:adjustRightInd w:val="0"/>
              <w:spacing w:after="0" w:line="240" w:lineRule="auto"/>
              <w:jc w:val="center"/>
              <w:rPr>
                <w:color w:val="000000" w:themeColor="text1"/>
              </w:rPr>
            </w:pPr>
            <w:r w:rsidRPr="00C62DE1">
              <w:t>2,20</w:t>
            </w:r>
          </w:p>
        </w:tc>
      </w:tr>
      <w:tr w:rsidR="00DC7146" w:rsidRPr="00870D59" w14:paraId="37A62B56" w14:textId="77777777" w:rsidTr="002061E5">
        <w:trPr>
          <w:jc w:val="center"/>
        </w:trPr>
        <w:tc>
          <w:tcPr>
            <w:tcW w:w="1531" w:type="dxa"/>
          </w:tcPr>
          <w:p w14:paraId="59E764B2" w14:textId="77777777" w:rsidR="00DC7146" w:rsidRPr="00870D59" w:rsidRDefault="00DC7146" w:rsidP="00DC7146">
            <w:pPr>
              <w:jc w:val="center"/>
            </w:pPr>
            <w:r w:rsidRPr="00870D59">
              <w:t>SD</w:t>
            </w:r>
          </w:p>
        </w:tc>
        <w:tc>
          <w:tcPr>
            <w:tcW w:w="1531" w:type="dxa"/>
          </w:tcPr>
          <w:p w14:paraId="1D0EDB2E" w14:textId="55F0DC7B" w:rsidR="00DC7146" w:rsidRPr="00870D59" w:rsidRDefault="00DC7146" w:rsidP="00DC7146">
            <w:pPr>
              <w:jc w:val="center"/>
            </w:pPr>
            <w:r w:rsidRPr="00C62DE1">
              <w:t>0,85</w:t>
            </w:r>
          </w:p>
        </w:tc>
        <w:tc>
          <w:tcPr>
            <w:tcW w:w="1531" w:type="dxa"/>
          </w:tcPr>
          <w:p w14:paraId="5DFB375F" w14:textId="09F35326" w:rsidR="00DC7146" w:rsidRPr="00870D59" w:rsidRDefault="00DC7146" w:rsidP="00DC7146">
            <w:pPr>
              <w:autoSpaceDE w:val="0"/>
              <w:autoSpaceDN w:val="0"/>
              <w:adjustRightInd w:val="0"/>
              <w:spacing w:after="0" w:line="240" w:lineRule="auto"/>
              <w:jc w:val="center"/>
            </w:pPr>
            <w:r w:rsidRPr="00C62DE1">
              <w:t>1,00</w:t>
            </w:r>
          </w:p>
        </w:tc>
        <w:tc>
          <w:tcPr>
            <w:tcW w:w="1531" w:type="dxa"/>
          </w:tcPr>
          <w:p w14:paraId="0988122E" w14:textId="0EC6A46F" w:rsidR="00DC7146" w:rsidRPr="00870D59" w:rsidRDefault="00DC7146" w:rsidP="00DC7146">
            <w:pPr>
              <w:autoSpaceDE w:val="0"/>
              <w:autoSpaceDN w:val="0"/>
              <w:adjustRightInd w:val="0"/>
              <w:spacing w:after="0" w:line="240" w:lineRule="auto"/>
              <w:jc w:val="center"/>
            </w:pPr>
            <w:r w:rsidRPr="00C62DE1">
              <w:t>1,15</w:t>
            </w:r>
          </w:p>
        </w:tc>
        <w:tc>
          <w:tcPr>
            <w:tcW w:w="1531" w:type="dxa"/>
          </w:tcPr>
          <w:p w14:paraId="442E19F2" w14:textId="6BC4376B" w:rsidR="00DC7146" w:rsidRPr="00870D59" w:rsidRDefault="00DC7146" w:rsidP="00DC7146">
            <w:pPr>
              <w:autoSpaceDE w:val="0"/>
              <w:autoSpaceDN w:val="0"/>
              <w:adjustRightInd w:val="0"/>
              <w:spacing w:after="0" w:line="240" w:lineRule="auto"/>
              <w:jc w:val="center"/>
            </w:pPr>
            <w:r w:rsidRPr="00C62DE1">
              <w:t>1,30</w:t>
            </w:r>
          </w:p>
        </w:tc>
      </w:tr>
      <w:tr w:rsidR="00DC7146" w:rsidRPr="00870D59" w14:paraId="3C221E35" w14:textId="77777777" w:rsidTr="002061E5">
        <w:trPr>
          <w:jc w:val="center"/>
        </w:trPr>
        <w:tc>
          <w:tcPr>
            <w:tcW w:w="1531" w:type="dxa"/>
          </w:tcPr>
          <w:p w14:paraId="7CD95496" w14:textId="77777777" w:rsidR="00DC7146" w:rsidRPr="00870D59" w:rsidRDefault="00DC7146" w:rsidP="00DC7146">
            <w:pPr>
              <w:jc w:val="center"/>
            </w:pPr>
            <w:r w:rsidRPr="00870D59">
              <w:t>DL</w:t>
            </w:r>
          </w:p>
        </w:tc>
        <w:tc>
          <w:tcPr>
            <w:tcW w:w="1531" w:type="dxa"/>
          </w:tcPr>
          <w:p w14:paraId="388EF03C" w14:textId="45D8A771" w:rsidR="00DC7146" w:rsidRPr="00870D59" w:rsidRDefault="00DC7146" w:rsidP="00DC7146">
            <w:pPr>
              <w:jc w:val="center"/>
            </w:pPr>
            <w:r w:rsidRPr="00C62DE1">
              <w:t>0,60</w:t>
            </w:r>
          </w:p>
        </w:tc>
        <w:tc>
          <w:tcPr>
            <w:tcW w:w="1531" w:type="dxa"/>
          </w:tcPr>
          <w:p w14:paraId="5EA2FD72" w14:textId="46D14413" w:rsidR="00DC7146" w:rsidRPr="00870D59" w:rsidRDefault="00DC7146" w:rsidP="00DC7146">
            <w:pPr>
              <w:autoSpaceDE w:val="0"/>
              <w:autoSpaceDN w:val="0"/>
              <w:adjustRightInd w:val="0"/>
              <w:spacing w:after="0" w:line="240" w:lineRule="auto"/>
              <w:jc w:val="center"/>
            </w:pPr>
            <w:r w:rsidRPr="00C62DE1">
              <w:t>0,60</w:t>
            </w:r>
          </w:p>
        </w:tc>
        <w:tc>
          <w:tcPr>
            <w:tcW w:w="1531" w:type="dxa"/>
          </w:tcPr>
          <w:p w14:paraId="2DE1DB7A" w14:textId="1921C054" w:rsidR="00DC7146" w:rsidRPr="00870D59" w:rsidRDefault="00DC7146" w:rsidP="00DC7146">
            <w:pPr>
              <w:autoSpaceDE w:val="0"/>
              <w:autoSpaceDN w:val="0"/>
              <w:adjustRightInd w:val="0"/>
              <w:spacing w:after="0" w:line="240" w:lineRule="auto"/>
              <w:jc w:val="center"/>
            </w:pPr>
            <w:r w:rsidRPr="00C62DE1">
              <w:t>0,65</w:t>
            </w:r>
          </w:p>
        </w:tc>
        <w:tc>
          <w:tcPr>
            <w:tcW w:w="1531" w:type="dxa"/>
          </w:tcPr>
          <w:p w14:paraId="4CADA1B9" w14:textId="1C58315A" w:rsidR="00DC7146" w:rsidRPr="00870D59" w:rsidRDefault="00DC7146" w:rsidP="00DC7146">
            <w:pPr>
              <w:autoSpaceDE w:val="0"/>
              <w:autoSpaceDN w:val="0"/>
              <w:adjustRightInd w:val="0"/>
              <w:spacing w:after="0" w:line="240" w:lineRule="auto"/>
              <w:jc w:val="center"/>
            </w:pPr>
            <w:r w:rsidRPr="00C62DE1">
              <w:t>0,65</w:t>
            </w:r>
          </w:p>
        </w:tc>
      </w:tr>
    </w:tbl>
    <w:p w14:paraId="0B4F714C" w14:textId="5D7B2D8A" w:rsidR="00605C13" w:rsidRPr="00870D59" w:rsidRDefault="00E16406" w:rsidP="00724E4E">
      <w:pPr>
        <w:pStyle w:val="Clause"/>
      </w:pPr>
      <w:r w:rsidRPr="007754C9">
        <w:t xml:space="preserve">If </w:t>
      </w:r>
      <w:r w:rsidRPr="00132C1E">
        <w:rPr>
          <w:i/>
        </w:rPr>
        <w:t>S</w:t>
      </w:r>
      <w:r w:rsidRPr="00132C1E">
        <w:rPr>
          <w:rFonts w:ascii="Symbol" w:hAnsi="Symbol"/>
          <w:vertAlign w:val="subscript"/>
        </w:rPr>
        <w:t></w:t>
      </w:r>
      <w:r w:rsidRPr="00132C1E">
        <w:rPr>
          <w:vertAlign w:val="subscript"/>
        </w:rPr>
        <w:t xml:space="preserve">v </w:t>
      </w:r>
      <w:r w:rsidRPr="00132C1E">
        <w:t>is greater than 6</w:t>
      </w:r>
      <w:r w:rsidR="001D6246">
        <w:t> </w:t>
      </w:r>
      <w:r w:rsidRPr="00132C1E">
        <w:t>m/s</w:t>
      </w:r>
      <w:r w:rsidRPr="00132C1E">
        <w:rPr>
          <w:vertAlign w:val="superscript"/>
        </w:rPr>
        <w:t>2</w:t>
      </w:r>
      <w:r w:rsidRPr="00132C1E">
        <w:t xml:space="preserve">, the vertical component of the seismic action, as defined in </w:t>
      </w:r>
      <w:r>
        <w:t>prEN</w:t>
      </w:r>
      <w:r w:rsidR="001D6246">
        <w:t> </w:t>
      </w:r>
      <w:r>
        <w:t>1998</w:t>
      </w:r>
      <w:r w:rsidR="00E3339F">
        <w:noBreakHyphen/>
      </w:r>
      <w:r>
        <w:t>1</w:t>
      </w:r>
      <w:r w:rsidR="00E3339F">
        <w:noBreakHyphen/>
      </w:r>
      <w:r>
        <w:t>1:2022</w:t>
      </w:r>
      <w:r w:rsidRPr="00132C1E">
        <w:t xml:space="preserve">, </w:t>
      </w:r>
      <w:r w:rsidRPr="001D6246">
        <w:rPr>
          <w:bCs/>
        </w:rPr>
        <w:t>5.2.2.3,</w:t>
      </w:r>
      <w:r w:rsidRPr="00132C1E">
        <w:t xml:space="preserve"> should be considered for the verification of the following primary or secondary </w:t>
      </w:r>
      <w:r w:rsidR="001D6246">
        <w:t>seismic</w:t>
      </w:r>
      <w:r w:rsidRPr="00132C1E">
        <w:t xml:space="preserve"> members</w:t>
      </w:r>
      <w:r w:rsidR="001D6246">
        <w:t>,</w:t>
      </w:r>
      <w:r w:rsidRPr="00132C1E">
        <w:t xml:space="preserve"> and their directly associated supporting structural members</w:t>
      </w:r>
      <w:r w:rsidR="001D6246">
        <w:t>,</w:t>
      </w:r>
      <w:r w:rsidRPr="00132C1E">
        <w:t xml:space="preserve"> in a) to </w:t>
      </w:r>
      <w:r w:rsidRPr="00E16406">
        <w:rPr>
          <w:color w:val="auto"/>
        </w:rPr>
        <w:t>e</w:t>
      </w:r>
      <w:r w:rsidRPr="00132C1E">
        <w:t>):</w:t>
      </w:r>
    </w:p>
    <w:p w14:paraId="06A04978" w14:textId="77777777" w:rsidR="00E16406" w:rsidRPr="00132C1E" w:rsidRDefault="00E16406" w:rsidP="0080187E">
      <w:pPr>
        <w:pStyle w:val="Text"/>
        <w:numPr>
          <w:ilvl w:val="0"/>
          <w:numId w:val="28"/>
        </w:numPr>
        <w:spacing w:after="200"/>
      </w:pPr>
      <w:r w:rsidRPr="00132C1E">
        <w:t>horizontal or nearly horizontal structural members spanning longer than 20 m;</w:t>
      </w:r>
    </w:p>
    <w:p w14:paraId="4E2F4348" w14:textId="77777777" w:rsidR="00E16406" w:rsidRPr="00132C1E" w:rsidRDefault="00E16406" w:rsidP="0080187E">
      <w:pPr>
        <w:pStyle w:val="Text"/>
        <w:numPr>
          <w:ilvl w:val="0"/>
          <w:numId w:val="28"/>
        </w:numPr>
        <w:spacing w:after="200"/>
      </w:pPr>
      <w:r w:rsidRPr="00132C1E">
        <w:t>horizontal or nearly horizontal cantilever components longer than 5 m;</w:t>
      </w:r>
    </w:p>
    <w:p w14:paraId="0634EDF6" w14:textId="77777777" w:rsidR="00E16406" w:rsidRPr="00132C1E" w:rsidRDefault="00E16406" w:rsidP="0080187E">
      <w:pPr>
        <w:pStyle w:val="Text"/>
        <w:numPr>
          <w:ilvl w:val="0"/>
          <w:numId w:val="28"/>
        </w:numPr>
        <w:spacing w:after="200"/>
      </w:pPr>
      <w:r w:rsidRPr="00132C1E">
        <w:t>horizontal or nearly horizontal pre-stressed components;</w:t>
      </w:r>
    </w:p>
    <w:p w14:paraId="3799B0D0" w14:textId="59436ACD" w:rsidR="00E16406" w:rsidRDefault="00E16406" w:rsidP="0080187E">
      <w:pPr>
        <w:pStyle w:val="Text"/>
        <w:numPr>
          <w:ilvl w:val="0"/>
          <w:numId w:val="28"/>
        </w:numPr>
        <w:spacing w:after="200"/>
      </w:pPr>
      <w:r w:rsidRPr="00132C1E">
        <w:t>beams supporting columns</w:t>
      </w:r>
      <w:r>
        <w:t>;</w:t>
      </w:r>
    </w:p>
    <w:p w14:paraId="1E20E91E" w14:textId="0A650D1F" w:rsidR="00E16406" w:rsidRPr="00DB19C9" w:rsidRDefault="00E16406" w:rsidP="0080187E">
      <w:pPr>
        <w:pStyle w:val="Text"/>
        <w:numPr>
          <w:ilvl w:val="0"/>
          <w:numId w:val="28"/>
        </w:numPr>
        <w:spacing w:after="200"/>
      </w:pPr>
      <w:r>
        <w:t>a</w:t>
      </w:r>
      <w:r w:rsidRPr="00DB19C9">
        <w:t>ll structural members of the primary structure of transfer zones (</w:t>
      </w:r>
      <w:r w:rsidRPr="001D6246">
        <w:t>see 6.2.11).</w:t>
      </w:r>
    </w:p>
    <w:p w14:paraId="4EBC65FD" w14:textId="17193BB3" w:rsidR="0036743C" w:rsidRPr="00870D59" w:rsidRDefault="00E16406" w:rsidP="00724E4E">
      <w:pPr>
        <w:pStyle w:val="Clause"/>
      </w:pPr>
      <w:r w:rsidRPr="008F097B">
        <w:t xml:space="preserve">The value of </w:t>
      </w:r>
      <w:r w:rsidRPr="008F097B">
        <w:rPr>
          <w:rFonts w:ascii="Symbol" w:eastAsia="Symbol" w:hAnsi="Symbol" w:cs="Symbol"/>
          <w:i/>
        </w:rPr>
        <w:t></w:t>
      </w:r>
      <w:r w:rsidRPr="008F097B">
        <w:t xml:space="preserve"> introduced in prEN</w:t>
      </w:r>
      <w:r w:rsidR="001D6246">
        <w:t> </w:t>
      </w:r>
      <w:r w:rsidRPr="008F097B">
        <w:t xml:space="preserve">1998-1-1:2022, </w:t>
      </w:r>
      <w:r w:rsidRPr="001D6246">
        <w:rPr>
          <w:bCs/>
        </w:rPr>
        <w:t>6.4.1(6),</w:t>
      </w:r>
      <w:r w:rsidRPr="008F097B">
        <w:t xml:space="preserve"> should be taken equal to 0,08 for buildings</w:t>
      </w:r>
      <w:r w:rsidR="0036743C" w:rsidRPr="00870D59">
        <w:t>.</w:t>
      </w:r>
    </w:p>
    <w:p w14:paraId="548EF610" w14:textId="13F565F1" w:rsidR="00605C13" w:rsidRPr="00870D59" w:rsidRDefault="007A40DC" w:rsidP="006428C1">
      <w:pPr>
        <w:pStyle w:val="Heading2"/>
        <w:rPr>
          <w:color w:val="000000" w:themeColor="text1"/>
        </w:rPr>
      </w:pPr>
      <w:bookmarkStart w:id="591" w:name="_Toc134197790"/>
      <w:r>
        <w:rPr>
          <w:color w:val="000000" w:themeColor="text1"/>
        </w:rPr>
        <w:t>Compliance criteria</w:t>
      </w:r>
      <w:bookmarkEnd w:id="591"/>
    </w:p>
    <w:p w14:paraId="4F9E1C22" w14:textId="1A384678" w:rsidR="00EA16B6" w:rsidRPr="00870D59" w:rsidRDefault="007A40DC" w:rsidP="0080187E">
      <w:pPr>
        <w:pStyle w:val="Clause"/>
        <w:numPr>
          <w:ilvl w:val="0"/>
          <w:numId w:val="16"/>
        </w:numPr>
      </w:pPr>
      <w:r w:rsidRPr="00CE67E5">
        <w:t>Unless 14.8 is</w:t>
      </w:r>
      <w:r w:rsidRPr="00132C1E">
        <w:t xml:space="preserve"> used for </w:t>
      </w:r>
      <w:r w:rsidR="00CE67E5">
        <w:t>“</w:t>
      </w:r>
      <w:r w:rsidRPr="00132C1E">
        <w:t>simple masonry buildings</w:t>
      </w:r>
      <w:r w:rsidR="00CE67E5">
        <w:t>”</w:t>
      </w:r>
      <w:r w:rsidRPr="00132C1E">
        <w:t>, the seismic performance of building</w:t>
      </w:r>
      <w:r w:rsidR="00CE67E5">
        <w:t>s</w:t>
      </w:r>
      <w:r w:rsidRPr="00132C1E">
        <w:t xml:space="preserve"> should be verified according </w:t>
      </w:r>
      <w:r w:rsidRPr="00CE67E5">
        <w:t xml:space="preserve">to </w:t>
      </w:r>
      <w:r w:rsidR="00E3339F">
        <w:t xml:space="preserve">Clause </w:t>
      </w:r>
      <w:r w:rsidRPr="00CE67E5">
        <w:t>6.</w:t>
      </w:r>
    </w:p>
    <w:p w14:paraId="40124FDF" w14:textId="3BA2431C" w:rsidR="00EA16B6" w:rsidRPr="00870D59" w:rsidRDefault="00EA16B6" w:rsidP="00EA16B6">
      <w:pPr>
        <w:pStyle w:val="Notetext"/>
      </w:pPr>
      <w:r w:rsidRPr="00870D59">
        <w:t>NOTE</w:t>
      </w:r>
      <w:r w:rsidRPr="00870D59">
        <w:tab/>
      </w:r>
      <w:r w:rsidR="007A40DC" w:rsidRPr="007A40DC">
        <w:t xml:space="preserve">Specific rules for </w:t>
      </w:r>
      <w:r w:rsidR="00CE67E5">
        <w:t>“</w:t>
      </w:r>
      <w:r w:rsidR="007A40DC" w:rsidRPr="007A40DC">
        <w:t xml:space="preserve">simple masonry buildings” are given in 14.8, where they are defined. By conforming to those rules, such “simple masonry buildings” are deemed to satisfy the performance requirements of </w:t>
      </w:r>
      <w:r w:rsidR="00E7665A">
        <w:t>pr</w:t>
      </w:r>
      <w:r w:rsidR="007A40DC" w:rsidRPr="007A40DC">
        <w:t>EN</w:t>
      </w:r>
      <w:r w:rsidR="00CE67E5">
        <w:t> </w:t>
      </w:r>
      <w:r w:rsidR="007A40DC" w:rsidRPr="007A40DC">
        <w:t>1998</w:t>
      </w:r>
      <w:r w:rsidR="00E3339F">
        <w:noBreakHyphen/>
      </w:r>
      <w:r w:rsidR="007A40DC" w:rsidRPr="007A40DC">
        <w:t>1</w:t>
      </w:r>
      <w:r w:rsidR="00E3339F">
        <w:noBreakHyphen/>
      </w:r>
      <w:r w:rsidR="007A40DC" w:rsidRPr="007A40DC">
        <w:t>2 without analytical safety verifications</w:t>
      </w:r>
      <w:r w:rsidRPr="00870D59">
        <w:t>.</w:t>
      </w:r>
    </w:p>
    <w:p w14:paraId="70097E70" w14:textId="1E8A16A0" w:rsidR="007A40DC" w:rsidRPr="00870D59" w:rsidRDefault="007A40DC" w:rsidP="007A40DC">
      <w:pPr>
        <w:pStyle w:val="Heading2"/>
        <w:rPr>
          <w:color w:val="000000" w:themeColor="text1"/>
        </w:rPr>
      </w:pPr>
      <w:bookmarkStart w:id="592" w:name="_Toc134197791"/>
      <w:r w:rsidRPr="007A40DC">
        <w:rPr>
          <w:color w:val="000000" w:themeColor="text1"/>
        </w:rPr>
        <w:t>Characteristics of earthquake resistant buildings</w:t>
      </w:r>
      <w:bookmarkEnd w:id="592"/>
    </w:p>
    <w:p w14:paraId="44247C0C" w14:textId="1389C53E" w:rsidR="004478CA" w:rsidRPr="00870D59" w:rsidRDefault="007A40DC" w:rsidP="004478CA">
      <w:pPr>
        <w:pStyle w:val="Heading3"/>
      </w:pPr>
      <w:bookmarkStart w:id="593" w:name="_Toc16927618"/>
      <w:bookmarkStart w:id="594" w:name="_Toc50150271"/>
      <w:bookmarkStart w:id="595" w:name="_Toc70886702"/>
      <w:bookmarkStart w:id="596" w:name="_Toc108342200"/>
      <w:bookmarkStart w:id="597" w:name="_Toc134197792"/>
      <w:r w:rsidRPr="00132C1E">
        <w:t>Conceptual design</w:t>
      </w:r>
      <w:bookmarkEnd w:id="593"/>
      <w:bookmarkEnd w:id="594"/>
      <w:bookmarkEnd w:id="595"/>
      <w:bookmarkEnd w:id="596"/>
      <w:bookmarkEnd w:id="597"/>
    </w:p>
    <w:p w14:paraId="59C60E64" w14:textId="44FCCAD2" w:rsidR="00B40634" w:rsidRPr="00870D59" w:rsidRDefault="008C50F4" w:rsidP="0080187E">
      <w:pPr>
        <w:pStyle w:val="Clause"/>
        <w:numPr>
          <w:ilvl w:val="0"/>
          <w:numId w:val="29"/>
        </w:numPr>
      </w:pPr>
      <w:r w:rsidRPr="008C50F4">
        <w:t>A building structure shall be able to resist horizontal actions in any direction</w:t>
      </w:r>
      <w:r>
        <w:t>.</w:t>
      </w:r>
    </w:p>
    <w:p w14:paraId="1B1E098C" w14:textId="1095206C" w:rsidR="008C50F4" w:rsidRPr="001D0D5E" w:rsidRDefault="008C50F4" w:rsidP="0080187E">
      <w:pPr>
        <w:pStyle w:val="Clause"/>
        <w:numPr>
          <w:ilvl w:val="0"/>
          <w:numId w:val="16"/>
        </w:numPr>
      </w:pPr>
      <w:r w:rsidRPr="00132C1E">
        <w:lastRenderedPageBreak/>
        <w:t>Seismic performance of a building</w:t>
      </w:r>
      <w:r w:rsidRPr="00132C1E" w:rsidDel="00461AA2">
        <w:t xml:space="preserve"> </w:t>
      </w:r>
      <w:r w:rsidRPr="00132C1E">
        <w:t xml:space="preserve">should be considered in the early stages of conceptual design, achieving a structural system which, with acceptable costs, satisfies the performance requirements specified in </w:t>
      </w:r>
      <w:r>
        <w:t>prEN</w:t>
      </w:r>
      <w:r w:rsidR="001D0D5E">
        <w:t> </w:t>
      </w:r>
      <w:r>
        <w:t>1998-1-1:2022</w:t>
      </w:r>
      <w:r w:rsidRPr="001D0D5E">
        <w:t>, 4.1.</w:t>
      </w:r>
    </w:p>
    <w:p w14:paraId="6A6106E4" w14:textId="2E509651" w:rsidR="008C50F4" w:rsidRDefault="008C50F4" w:rsidP="008C50F4">
      <w:pPr>
        <w:pStyle w:val="Notetext"/>
      </w:pPr>
      <w:r w:rsidRPr="00132C1E">
        <w:t>NOTE</w:t>
      </w:r>
      <w:r w:rsidRPr="00132C1E">
        <w:tab/>
        <w:t xml:space="preserve">Guidance for good practice is given in informative </w:t>
      </w:r>
      <w:r w:rsidR="001D0D5E">
        <w:t>A</w:t>
      </w:r>
      <w:r w:rsidRPr="00132C1E">
        <w:t>nnex A.</w:t>
      </w:r>
    </w:p>
    <w:p w14:paraId="2752512A" w14:textId="6483D796" w:rsidR="008C50F4" w:rsidRPr="000A66DF" w:rsidRDefault="008C50F4" w:rsidP="0080187E">
      <w:pPr>
        <w:pStyle w:val="Clause"/>
        <w:numPr>
          <w:ilvl w:val="0"/>
          <w:numId w:val="16"/>
        </w:numPr>
      </w:pPr>
      <w:r w:rsidRPr="000A66DF">
        <w:t xml:space="preserve">The seismic action resisting system of a building may belong to one of the structural types in </w:t>
      </w:r>
      <w:r w:rsidRPr="001D0D5E">
        <w:rPr>
          <w:bCs/>
        </w:rPr>
        <w:t>10.4.1</w:t>
      </w:r>
      <w:r w:rsidRPr="000A66DF">
        <w:t xml:space="preserve"> for reinforced concrete buildings, </w:t>
      </w:r>
      <w:r w:rsidRPr="001D0D5E">
        <w:t xml:space="preserve">in 11.4.1 for steel buildings, in 12.4.1 for composite steel-concrete buildings, in 13.4.1 for timber buildings, in 14.2.2 for masonry buildings, in 7.4 for masonry infilled frames and in 15.4.1 for </w:t>
      </w:r>
      <w:r w:rsidRPr="000A66DF">
        <w:t>aluminium buildings.</w:t>
      </w:r>
    </w:p>
    <w:p w14:paraId="1C008729" w14:textId="602A1B9A" w:rsidR="008C50F4" w:rsidRPr="000A66DF" w:rsidRDefault="008C50F4" w:rsidP="0080187E">
      <w:pPr>
        <w:pStyle w:val="Clause"/>
        <w:numPr>
          <w:ilvl w:val="0"/>
          <w:numId w:val="16"/>
        </w:numPr>
      </w:pPr>
      <w:r w:rsidRPr="000A66DF">
        <w:t>Seismic action resisting systems may be different</w:t>
      </w:r>
      <w:r w:rsidR="001D0D5E">
        <w:t>,</w:t>
      </w:r>
      <w:r w:rsidRPr="000A66DF">
        <w:t xml:space="preserve"> and made of different materials</w:t>
      </w:r>
      <w:r w:rsidR="001D0D5E">
        <w:t>,</w:t>
      </w:r>
      <w:r w:rsidRPr="000A66DF">
        <w:t xml:space="preserve"> in two main directions of a building.</w:t>
      </w:r>
    </w:p>
    <w:p w14:paraId="5B4DEDA2" w14:textId="08A93997" w:rsidR="008C50F4" w:rsidRPr="000A66DF" w:rsidRDefault="008C50F4" w:rsidP="0080187E">
      <w:pPr>
        <w:pStyle w:val="Clause"/>
        <w:numPr>
          <w:ilvl w:val="0"/>
          <w:numId w:val="16"/>
        </w:numPr>
      </w:pPr>
      <w:r w:rsidRPr="000A66DF">
        <w:t>Hybrid structures</w:t>
      </w:r>
      <w:r w:rsidR="001D0D5E">
        <w:t>,</w:t>
      </w:r>
      <w:r w:rsidRPr="000A66DF">
        <w:t xml:space="preserve"> combining in the same plane two or more of the types of structural systems as given </w:t>
      </w:r>
      <w:r w:rsidRPr="001D0D5E">
        <w:t>in (3)</w:t>
      </w:r>
      <w:r w:rsidR="001D0D5E">
        <w:t>,</w:t>
      </w:r>
      <w:r w:rsidRPr="000A66DF">
        <w:t xml:space="preserve"> may be used.</w:t>
      </w:r>
    </w:p>
    <w:p w14:paraId="57A25377" w14:textId="5F131911" w:rsidR="008C50F4" w:rsidRDefault="008C50F4" w:rsidP="0080187E">
      <w:pPr>
        <w:pStyle w:val="Clause"/>
        <w:numPr>
          <w:ilvl w:val="0"/>
          <w:numId w:val="16"/>
        </w:numPr>
      </w:pPr>
      <w:r w:rsidRPr="000A66DF">
        <w:t xml:space="preserve">Seismic action resisting systems different from those </w:t>
      </w:r>
      <w:r w:rsidRPr="001D0D5E">
        <w:t>in (3) may be used</w:t>
      </w:r>
      <w:r w:rsidR="001D0D5E">
        <w:t>,</w:t>
      </w:r>
      <w:r w:rsidRPr="001D0D5E">
        <w:t xml:space="preserve"> if they satisfy 10.4.1(6) for reinforced concrete buildings, 11.4.1(3) for steel buildings, 12.4.1(</w:t>
      </w:r>
      <w:r w:rsidRPr="001D0D5E">
        <w:rPr>
          <w:color w:val="auto"/>
        </w:rPr>
        <w:t>6</w:t>
      </w:r>
      <w:r w:rsidRPr="001D0D5E">
        <w:t>) for composite buildings, 13.4.1(4) for timber buildings and 15.4.1(3) for alu</w:t>
      </w:r>
      <w:r w:rsidRPr="000A66DF">
        <w:t>minium buildings.</w:t>
      </w:r>
    </w:p>
    <w:p w14:paraId="0B3AE973" w14:textId="749A3D7F" w:rsidR="008C50F4" w:rsidRDefault="008C50F4" w:rsidP="008C50F4">
      <w:pPr>
        <w:pStyle w:val="Heading3"/>
      </w:pPr>
      <w:bookmarkStart w:id="598" w:name="_Toc134197793"/>
      <w:r w:rsidRPr="008C50F4">
        <w:t>Primary and secondary seismic members</w:t>
      </w:r>
      <w:bookmarkEnd w:id="598"/>
    </w:p>
    <w:p w14:paraId="3E24A328" w14:textId="1ED87EA7" w:rsidR="008C50F4" w:rsidRPr="00132C1E" w:rsidRDefault="008C50F4" w:rsidP="0080187E">
      <w:pPr>
        <w:pStyle w:val="Clause"/>
        <w:numPr>
          <w:ilvl w:val="0"/>
          <w:numId w:val="38"/>
        </w:numPr>
      </w:pPr>
      <w:r w:rsidRPr="00132C1E">
        <w:t>A certain number of structural members (e.g. beams and/or columns) may be designated as secondary seismic</w:t>
      </w:r>
      <w:r w:rsidRPr="00B00B3D">
        <w:t xml:space="preserve"> </w:t>
      </w:r>
      <w:r w:rsidRPr="00132C1E">
        <w:t>members, not forming part of the seismic action resisting system of the building. The strength and stiffness of these members against seismic actions should be neglected in the models for seismic analysis.</w:t>
      </w:r>
    </w:p>
    <w:p w14:paraId="1E9411D8" w14:textId="55C6AA05" w:rsidR="008C50F4" w:rsidRPr="00132C1E" w:rsidRDefault="008C50F4" w:rsidP="0080187E">
      <w:pPr>
        <w:pStyle w:val="Clause"/>
        <w:numPr>
          <w:ilvl w:val="0"/>
          <w:numId w:val="38"/>
        </w:numPr>
      </w:pPr>
      <w:r w:rsidRPr="00132C1E">
        <w:t>The secondary seismic</w:t>
      </w:r>
      <w:r w:rsidRPr="00B00B3D">
        <w:t xml:space="preserve"> </w:t>
      </w:r>
      <w:r w:rsidRPr="00132C1E">
        <w:t xml:space="preserve">members and their connections should be designed and detailed to maintain support of gravity loads when subjected to the displacements caused by the most unfavourable seismic design </w:t>
      </w:r>
      <w:r w:rsidR="001D0D5E">
        <w:t>situation</w:t>
      </w:r>
      <w:r w:rsidRPr="00132C1E">
        <w:t>. Due allowance of second</w:t>
      </w:r>
      <w:r w:rsidR="001D0D5E">
        <w:t>-</w:t>
      </w:r>
      <w:r w:rsidRPr="00132C1E">
        <w:t>order effects (</w:t>
      </w:r>
      <w:r w:rsidRPr="001D0D5E">
        <w:rPr>
          <w:i/>
          <w:iCs/>
        </w:rPr>
        <w:t>P-</w:t>
      </w:r>
      <w:r w:rsidRPr="001D0D5E">
        <w:rPr>
          <w:rFonts w:ascii="Symbol" w:hAnsi="Symbol"/>
          <w:i/>
          <w:iCs/>
        </w:rPr>
        <w:t></w:t>
      </w:r>
      <w:r w:rsidRPr="00132C1E">
        <w:t xml:space="preserve"> effects)</w:t>
      </w:r>
      <w:r w:rsidR="001D0D5E">
        <w:t>,</w:t>
      </w:r>
      <w:r w:rsidRPr="00132C1E">
        <w:t xml:space="preserve"> in both the structure and these members</w:t>
      </w:r>
      <w:r w:rsidR="001D0D5E">
        <w:t>,</w:t>
      </w:r>
      <w:r w:rsidRPr="00132C1E">
        <w:t xml:space="preserve"> should be made in the design of these members.</w:t>
      </w:r>
    </w:p>
    <w:p w14:paraId="317D5CEB" w14:textId="4D755746" w:rsidR="008C50F4" w:rsidRPr="001A2B8E" w:rsidRDefault="008C50F4" w:rsidP="0080187E">
      <w:pPr>
        <w:pStyle w:val="Clause"/>
        <w:numPr>
          <w:ilvl w:val="0"/>
          <w:numId w:val="38"/>
        </w:numPr>
        <w:rPr>
          <w:rFonts w:eastAsia="Cambria"/>
        </w:rPr>
      </w:pPr>
      <w:r w:rsidRPr="001A2B8E">
        <w:rPr>
          <w:rFonts w:eastAsia="Cambria"/>
        </w:rPr>
        <w:t xml:space="preserve">Secondary columns which yield under the displacements caused by the seismic design </w:t>
      </w:r>
      <w:r w:rsidR="001D0D5E" w:rsidRPr="001A2B8E">
        <w:rPr>
          <w:rFonts w:eastAsia="Cambria"/>
        </w:rPr>
        <w:t>situation</w:t>
      </w:r>
      <w:r w:rsidRPr="001A2B8E">
        <w:rPr>
          <w:rFonts w:eastAsia="Cambria"/>
        </w:rPr>
        <w:t xml:space="preserve"> in</w:t>
      </w:r>
      <w:r w:rsidRPr="00B00B3D">
        <w:rPr>
          <w:rFonts w:eastAsia="Cambria"/>
        </w:rPr>
        <w:t xml:space="preserve"> </w:t>
      </w:r>
      <w:r w:rsidRPr="001A2B8E">
        <w:rPr>
          <w:rFonts w:eastAsia="Cambria"/>
          <w:bCs/>
        </w:rPr>
        <w:t>(2) should</w:t>
      </w:r>
      <w:r w:rsidRPr="001A2B8E">
        <w:rPr>
          <w:rFonts w:eastAsia="Cambria"/>
        </w:rPr>
        <w:t xml:space="preserve"> satisfy the requirements for local ductility of columns in DC2 given in 10.5.4.2 for reinforced concrete, in 11.8.3 for steel, in 12.8.3 for composite and in 15.8.3 for aluminium; connections in timber structures should satisfy 13.2.1(7) and (8).</w:t>
      </w:r>
    </w:p>
    <w:p w14:paraId="316267DB" w14:textId="77777777" w:rsidR="008C50F4" w:rsidRPr="00132C1E" w:rsidRDefault="008C50F4" w:rsidP="0080187E">
      <w:pPr>
        <w:pStyle w:val="Clause"/>
        <w:numPr>
          <w:ilvl w:val="0"/>
          <w:numId w:val="38"/>
        </w:numPr>
      </w:pPr>
      <w:r w:rsidRPr="00132C1E">
        <w:t>The designation of some structural members as secondary seismic members</w:t>
      </w:r>
      <w:r w:rsidRPr="00B00B3D">
        <w:t xml:space="preserve"> </w:t>
      </w:r>
      <w:r w:rsidRPr="00132C1E">
        <w:t xml:space="preserve">should not change the classification of the structure from non-regular to regular as described </w:t>
      </w:r>
      <w:r w:rsidRPr="001A2B8E">
        <w:t>in 4.4.3 and 4.4.4.</w:t>
      </w:r>
    </w:p>
    <w:p w14:paraId="27371726" w14:textId="77777777" w:rsidR="008C50F4" w:rsidRPr="00132C1E" w:rsidRDefault="008C50F4" w:rsidP="0080187E">
      <w:pPr>
        <w:pStyle w:val="Clause"/>
        <w:numPr>
          <w:ilvl w:val="0"/>
          <w:numId w:val="38"/>
        </w:numPr>
        <w:rPr>
          <w:rStyle w:val="clauseCarattere"/>
          <w:rFonts w:asciiTheme="majorHAnsi" w:eastAsia="MS Mincho" w:hAnsiTheme="majorHAnsi"/>
        </w:rPr>
      </w:pPr>
      <w:r w:rsidRPr="00C00EBD">
        <w:t>All structural members not designated as being secondary seismic members</w:t>
      </w:r>
      <w:r w:rsidRPr="00B00B3D">
        <w:t xml:space="preserve"> </w:t>
      </w:r>
      <w:r w:rsidRPr="00132C1E">
        <w:t xml:space="preserve">should be taken as primary. They should be modelled in the structural analysis in accordance </w:t>
      </w:r>
      <w:r w:rsidRPr="001A2B8E">
        <w:rPr>
          <w:szCs w:val="22"/>
        </w:rPr>
        <w:t xml:space="preserve">with 5.1 and designed and </w:t>
      </w:r>
      <w:r w:rsidRPr="001A2B8E">
        <w:rPr>
          <w:rStyle w:val="clauseCarattere"/>
          <w:rFonts w:asciiTheme="majorHAnsi" w:eastAsia="MS Mincho" w:hAnsiTheme="majorHAnsi"/>
          <w:sz w:val="22"/>
          <w:szCs w:val="22"/>
        </w:rPr>
        <w:t>detailed for earthquake resistance in accordance with 10 to 15.</w:t>
      </w:r>
    </w:p>
    <w:p w14:paraId="077FD770" w14:textId="77777777" w:rsidR="008C50F4" w:rsidRPr="008C50F4" w:rsidRDefault="008C50F4" w:rsidP="008C50F4">
      <w:pPr>
        <w:pStyle w:val="Notetext"/>
        <w:rPr>
          <w:bCs/>
        </w:rPr>
      </w:pPr>
      <w:r w:rsidRPr="008C50F4">
        <w:rPr>
          <w:bCs/>
        </w:rPr>
        <w:t>NOTE</w:t>
      </w:r>
      <w:r w:rsidRPr="008C50F4">
        <w:rPr>
          <w:bCs/>
        </w:rPr>
        <w:tab/>
        <w:t>The primary structure is composed of the set of primary seismic members over the building. A primary bracing is a set of primary members installed in a vertical plane at a given level of the building.</w:t>
      </w:r>
    </w:p>
    <w:p w14:paraId="4E7893DE" w14:textId="77777777" w:rsidR="008C50F4" w:rsidRPr="00132C1E" w:rsidRDefault="008C50F4" w:rsidP="0080187E">
      <w:pPr>
        <w:pStyle w:val="Clause"/>
        <w:numPr>
          <w:ilvl w:val="0"/>
          <w:numId w:val="38"/>
        </w:numPr>
      </w:pPr>
      <w:r w:rsidRPr="00132C1E">
        <w:t xml:space="preserve">The contribution of lateral stiffness of secondary members to the total stiffness should not affect significantly the dynamic behaviour of the structure. To fulfil this requirement, either a) or b) should be </w:t>
      </w:r>
      <w:r>
        <w:t>satisfied</w:t>
      </w:r>
      <w:r w:rsidRPr="00132C1E">
        <w:t>:</w:t>
      </w:r>
    </w:p>
    <w:p w14:paraId="02CD7DA0" w14:textId="26BAD415" w:rsidR="008C50F4" w:rsidRPr="00132C1E" w:rsidRDefault="008C50F4" w:rsidP="0080187E">
      <w:pPr>
        <w:pStyle w:val="List2"/>
        <w:numPr>
          <w:ilvl w:val="0"/>
          <w:numId w:val="39"/>
        </w:numPr>
        <w:spacing w:before="0" w:after="240" w:line="230" w:lineRule="atLeast"/>
        <w:contextualSpacing w:val="0"/>
      </w:pPr>
      <w:r w:rsidRPr="00132C1E">
        <w:t>The total contribution to lateral stiffness of all secondary seismic members does not exceed 15</w:t>
      </w:r>
      <w:r w:rsidR="00D4445A">
        <w:t> </w:t>
      </w:r>
      <w:r w:rsidRPr="00132C1E">
        <w:t>% of that of all primary seismic members</w:t>
      </w:r>
      <w:r w:rsidR="001A2B8E">
        <w:t>;</w:t>
      </w:r>
    </w:p>
    <w:p w14:paraId="20590BAA" w14:textId="5AF55E37" w:rsidR="008C50F4" w:rsidRPr="00132C1E" w:rsidRDefault="008C50F4" w:rsidP="0080187E">
      <w:pPr>
        <w:pStyle w:val="List2"/>
        <w:numPr>
          <w:ilvl w:val="0"/>
          <w:numId w:val="39"/>
        </w:numPr>
        <w:spacing w:before="0" w:after="240" w:line="230" w:lineRule="atLeast"/>
        <w:contextualSpacing w:val="0"/>
        <w:rPr>
          <w:rFonts w:eastAsia="Cambria"/>
        </w:rPr>
      </w:pPr>
      <w:r w:rsidRPr="00132C1E">
        <w:rPr>
          <w:rFonts w:eastAsia="Cambria"/>
        </w:rPr>
        <w:lastRenderedPageBreak/>
        <w:t>The total contribution to lateral stiffness of all secondary seismic members does not exceed 30</w:t>
      </w:r>
      <w:r w:rsidR="00E3339F">
        <w:rPr>
          <w:rFonts w:eastAsia="Cambria"/>
        </w:rPr>
        <w:t> </w:t>
      </w:r>
      <w:r w:rsidRPr="00132C1E">
        <w:rPr>
          <w:rFonts w:eastAsia="Cambria"/>
        </w:rPr>
        <w:t>% of that of all primary seismic members and two analysis are performed: one with only the primary members in the model, the other one including all primary and secondary members in the model; the most unfavourable seismic action effects resulting from both analyses should be considered in the verification of the primary seismic members</w:t>
      </w:r>
      <w:r>
        <w:rPr>
          <w:rFonts w:eastAsia="Cambria"/>
        </w:rPr>
        <w:t xml:space="preserve"> and in the capacity design of the members and connections adjacent to those primary seismic members</w:t>
      </w:r>
      <w:r w:rsidRPr="00132C1E">
        <w:rPr>
          <w:rFonts w:eastAsia="Cambria"/>
        </w:rPr>
        <w:t>.</w:t>
      </w:r>
    </w:p>
    <w:p w14:paraId="13213681" w14:textId="68F9E808" w:rsidR="008C50F4" w:rsidRPr="001A2B8E" w:rsidRDefault="008C50F4" w:rsidP="0080187E">
      <w:pPr>
        <w:pStyle w:val="Clause"/>
        <w:numPr>
          <w:ilvl w:val="0"/>
          <w:numId w:val="38"/>
        </w:numPr>
        <w:rPr>
          <w:rStyle w:val="clauseCarattere"/>
          <w:rFonts w:ascii="Cambria" w:eastAsia="MS Mincho" w:hAnsi="Cambria" w:cs="Cambria"/>
          <w:bCs w:val="0"/>
          <w:sz w:val="22"/>
          <w:lang w:eastAsia="fr-FR"/>
        </w:rPr>
      </w:pPr>
      <w:r w:rsidRPr="001A2B8E">
        <w:rPr>
          <w:rStyle w:val="clauseCarattere"/>
          <w:rFonts w:ascii="Cambria" w:eastAsia="MS Mincho" w:hAnsi="Cambria" w:cs="Cambria"/>
          <w:bCs w:val="0"/>
          <w:sz w:val="22"/>
          <w:lang w:eastAsia="fr-FR"/>
        </w:rPr>
        <w:t>The primary structure should be assigned a ductility class according to prEN</w:t>
      </w:r>
      <w:r w:rsidR="001A2B8E">
        <w:rPr>
          <w:rStyle w:val="clauseCarattere"/>
          <w:rFonts w:ascii="Cambria" w:eastAsia="MS Mincho" w:hAnsi="Cambria" w:cs="Cambria"/>
          <w:bCs w:val="0"/>
          <w:sz w:val="22"/>
          <w:lang w:eastAsia="fr-FR"/>
        </w:rPr>
        <w:t> </w:t>
      </w:r>
      <w:r w:rsidRPr="001A2B8E">
        <w:rPr>
          <w:rStyle w:val="clauseCarattere"/>
          <w:rFonts w:ascii="Cambria" w:eastAsia="MS Mincho" w:hAnsi="Cambria" w:cs="Cambria"/>
          <w:bCs w:val="0"/>
          <w:sz w:val="22"/>
          <w:lang w:eastAsia="fr-FR"/>
        </w:rPr>
        <w:t>1998-1-1:2022, 4.5.2(3). The ductility class should be unique for the building.</w:t>
      </w:r>
    </w:p>
    <w:p w14:paraId="7C34B0C0" w14:textId="77777777" w:rsidR="008C50F4" w:rsidRPr="00741AF4" w:rsidRDefault="008C50F4" w:rsidP="00741AF4">
      <w:pPr>
        <w:pStyle w:val="Heading3"/>
      </w:pPr>
      <w:bookmarkStart w:id="599" w:name="_Toc16927620"/>
      <w:bookmarkStart w:id="600" w:name="_Toc50150273"/>
      <w:bookmarkStart w:id="601" w:name="_Toc70886704"/>
      <w:bookmarkStart w:id="602" w:name="_Toc108342202"/>
      <w:bookmarkStart w:id="603" w:name="_Toc134197794"/>
      <w:r w:rsidRPr="00741AF4">
        <w:t>Torsionally flexible buildings</w:t>
      </w:r>
      <w:bookmarkEnd w:id="599"/>
      <w:bookmarkEnd w:id="600"/>
      <w:bookmarkEnd w:id="601"/>
      <w:bookmarkEnd w:id="602"/>
      <w:bookmarkEnd w:id="603"/>
    </w:p>
    <w:p w14:paraId="0C6DB74E" w14:textId="77777777" w:rsidR="008C50F4" w:rsidRPr="00741AF4" w:rsidRDefault="008C50F4" w:rsidP="0080187E">
      <w:pPr>
        <w:pStyle w:val="Clause"/>
        <w:numPr>
          <w:ilvl w:val="0"/>
          <w:numId w:val="41"/>
        </w:numPr>
        <w:rPr>
          <w:lang w:val="en-US"/>
        </w:rPr>
      </w:pPr>
      <w:r w:rsidRPr="007E6F67">
        <w:t xml:space="preserve">A building should be considered torsionally flexible if </w:t>
      </w:r>
      <w:r w:rsidRPr="00741AF4">
        <w:rPr>
          <w:lang w:val="en-US"/>
        </w:rPr>
        <w:t>it satisfies a) or b):</w:t>
      </w:r>
    </w:p>
    <w:p w14:paraId="681DE10F" w14:textId="7D425F3F" w:rsidR="008C50F4" w:rsidRDefault="008C50F4" w:rsidP="0080187E">
      <w:pPr>
        <w:pStyle w:val="List2"/>
        <w:numPr>
          <w:ilvl w:val="0"/>
          <w:numId w:val="40"/>
        </w:numPr>
        <w:spacing w:before="0" w:after="240" w:line="230" w:lineRule="atLeast"/>
        <w:contextualSpacing w:val="0"/>
      </w:pPr>
      <w:r w:rsidRPr="00F66C90">
        <w:t xml:space="preserve">in each main horizontal direction, the greatest effective modal mass is not that of the first or second mode, possible local modes and equipment modes </w:t>
      </w:r>
      <w:r w:rsidR="001A2B8E">
        <w:t xml:space="preserve">not </w:t>
      </w:r>
      <w:r w:rsidRPr="00F66C90">
        <w:t>being</w:t>
      </w:r>
      <w:r w:rsidR="001A2B8E">
        <w:t xml:space="preserve"> </w:t>
      </w:r>
      <w:r w:rsidRPr="00F66C90">
        <w:t>considered in this classification;</w:t>
      </w:r>
    </w:p>
    <w:p w14:paraId="5D4FDF5A" w14:textId="77777777" w:rsidR="008C50F4" w:rsidRDefault="008C50F4" w:rsidP="00E3339F">
      <w:pPr>
        <w:pStyle w:val="Notetext"/>
        <w:tabs>
          <w:tab w:val="left" w:pos="1134"/>
        </w:tabs>
        <w:ind w:left="360"/>
      </w:pPr>
      <w:r w:rsidRPr="002144A0">
        <w:t>NOTE</w:t>
      </w:r>
      <w:r w:rsidRPr="002144A0">
        <w:tab/>
        <w:t>This condition corresponds to the fact that the first mode (in at least one horizontal direct</w:t>
      </w:r>
      <w:r w:rsidRPr="00C52095">
        <w:t>ion) is substantially influenced by torsion.</w:t>
      </w:r>
    </w:p>
    <w:p w14:paraId="5C3876E8" w14:textId="69B166DC" w:rsidR="008C50F4" w:rsidRPr="000A66DF" w:rsidRDefault="008C50F4" w:rsidP="0080187E">
      <w:pPr>
        <w:pStyle w:val="List2"/>
        <w:numPr>
          <w:ilvl w:val="0"/>
          <w:numId w:val="40"/>
        </w:numPr>
        <w:spacing w:before="0" w:after="240" w:line="230" w:lineRule="atLeast"/>
        <w:contextualSpacing w:val="0"/>
      </w:pPr>
      <w:r w:rsidRPr="000A66DF">
        <w:t xml:space="preserve">the period of the first predominant torsional mode of vibration is greater than the periods of the predominant translational modes in the two main horizontal directions, possible local modes and equipment modes </w:t>
      </w:r>
      <w:r w:rsidR="001A2B8E">
        <w:t xml:space="preserve">not </w:t>
      </w:r>
      <w:r w:rsidRPr="000A66DF">
        <w:t>being considered in this classification.</w:t>
      </w:r>
    </w:p>
    <w:p w14:paraId="7D367BBE" w14:textId="77777777" w:rsidR="008C50F4" w:rsidRPr="00132C1E" w:rsidRDefault="008C50F4" w:rsidP="0080187E">
      <w:pPr>
        <w:pStyle w:val="Clause"/>
        <w:numPr>
          <w:ilvl w:val="0"/>
          <w:numId w:val="41"/>
        </w:numPr>
      </w:pPr>
      <w:r w:rsidRPr="007754C9">
        <w:t>Buildings verifying</w:t>
      </w:r>
      <w:r w:rsidRPr="00B00B3D">
        <w:t xml:space="preserve"> </w:t>
      </w:r>
      <w:r w:rsidRPr="00132C1E">
        <w:t xml:space="preserve">Formula (4.1) at every storey </w:t>
      </w:r>
      <w:r w:rsidRPr="00132C1E">
        <w:rPr>
          <w:i/>
        </w:rPr>
        <w:t>i</w:t>
      </w:r>
      <w:r w:rsidRPr="00132C1E">
        <w:rPr>
          <w:iCs/>
        </w:rPr>
        <w:t>,</w:t>
      </w:r>
      <w:r w:rsidRPr="00132C1E">
        <w:t xml:space="preserve"> with the possible exception of the highest storey, may be considered as not being torsionally flexible.</w:t>
      </w:r>
    </w:p>
    <w:p w14:paraId="484D62FE" w14:textId="069B6DFB" w:rsidR="00741AF4" w:rsidRPr="00870D59" w:rsidRDefault="009B5CEC" w:rsidP="00741AF4">
      <w:pPr>
        <w:pStyle w:val="Formula"/>
        <w:spacing w:before="240"/>
      </w:pPr>
      <m:oMath>
        <m:f>
          <m:fPr>
            <m:ctrlPr>
              <w:rPr>
                <w:rFonts w:ascii="Cambria Math" w:hAnsi="Cambria Math"/>
              </w:rPr>
            </m:ctrlPr>
          </m:fPr>
          <m:num>
            <m:sSub>
              <m:sSubPr>
                <m:ctrlPr>
                  <w:rPr>
                    <w:rFonts w:ascii="Cambria Math" w:hAnsi="Cambria Math"/>
                  </w:rPr>
                </m:ctrlPr>
              </m:sSubPr>
              <m:e>
                <m:r>
                  <w:rPr>
                    <w:rFonts w:ascii="Cambria Math" w:hAnsi="Cambria Math"/>
                  </w:rPr>
                  <m:t>r</m:t>
                </m:r>
              </m:e>
              <m:sub>
                <m:r>
                  <m:rPr>
                    <m:sty m:val="p"/>
                  </m:rPr>
                  <w:rPr>
                    <w:rFonts w:ascii="Cambria Math" w:hAnsi="Cambria Math"/>
                  </w:rPr>
                  <m:t>i</m:t>
                </m:r>
              </m:sub>
            </m:sSub>
          </m:num>
          <m:den>
            <m:sSub>
              <m:sSubPr>
                <m:ctrlPr>
                  <w:rPr>
                    <w:rFonts w:ascii="Cambria Math" w:hAnsi="Cambria Math"/>
                  </w:rPr>
                </m:ctrlPr>
              </m:sSubPr>
              <m:e>
                <m:r>
                  <w:rPr>
                    <w:rFonts w:ascii="Cambria Math" w:hAnsi="Cambria Math"/>
                  </w:rPr>
                  <m:t>l</m:t>
                </m:r>
              </m:e>
              <m:sub>
                <m:r>
                  <m:rPr>
                    <m:sty m:val="p"/>
                  </m:rPr>
                  <w:rPr>
                    <w:rFonts w:ascii="Cambria Math" w:hAnsi="Cambria Math"/>
                  </w:rPr>
                  <m:t>s,i</m:t>
                </m:r>
              </m:sub>
            </m:sSub>
          </m:den>
        </m:f>
        <m:r>
          <m:rPr>
            <m:sty m:val="p"/>
          </m:rPr>
          <w:rPr>
            <w:rFonts w:ascii="Cambria Math" w:hAnsi="Cambria Math"/>
          </w:rPr>
          <m:t>≥1</m:t>
        </m:r>
      </m:oMath>
      <w:r w:rsidR="00741AF4" w:rsidRPr="00870D59">
        <w:tab/>
        <w:t>(</w:t>
      </w:r>
      <w:r w:rsidR="00741AF4">
        <w:t>4</w:t>
      </w:r>
      <w:r w:rsidR="00741AF4" w:rsidRPr="00870D59">
        <w:t>.1)</w:t>
      </w:r>
    </w:p>
    <w:p w14:paraId="695D3654" w14:textId="77777777" w:rsidR="00741AF4" w:rsidRPr="00870D59" w:rsidRDefault="00741AF4" w:rsidP="00741AF4">
      <w:pPr>
        <w:pStyle w:val="Text"/>
      </w:pPr>
      <w:r w:rsidRPr="00870D59">
        <w:t>where</w:t>
      </w:r>
    </w:p>
    <w:tbl>
      <w:tblPr>
        <w:tblW w:w="0" w:type="auto"/>
        <w:tblInd w:w="346" w:type="dxa"/>
        <w:tblLook w:val="04A0" w:firstRow="1" w:lastRow="0" w:firstColumn="1" w:lastColumn="0" w:noHBand="0" w:noVBand="1"/>
      </w:tblPr>
      <w:tblGrid>
        <w:gridCol w:w="1275"/>
        <w:gridCol w:w="7938"/>
      </w:tblGrid>
      <w:tr w:rsidR="00741AF4" w:rsidRPr="00870D59" w14:paraId="1CCEC134" w14:textId="77777777" w:rsidTr="007B611D">
        <w:tc>
          <w:tcPr>
            <w:tcW w:w="1275" w:type="dxa"/>
          </w:tcPr>
          <w:p w14:paraId="37FA3372" w14:textId="6A7CEE86" w:rsidR="00741AF4" w:rsidRPr="00741AF4" w:rsidRDefault="009B5CEC" w:rsidP="002061E5">
            <w:pPr>
              <w:pStyle w:val="Tablebody"/>
            </w:pPr>
            <m:oMathPara>
              <m:oMathParaPr>
                <m:jc m:val="left"/>
              </m:oMathParaPr>
              <m:oMath>
                <m:sSub>
                  <m:sSubPr>
                    <m:ctrlPr>
                      <w:rPr>
                        <w:rFonts w:ascii="Cambria Math" w:hAnsi="Cambria Math"/>
                        <w:i/>
                      </w:rPr>
                    </m:ctrlPr>
                  </m:sSubPr>
                  <m:e>
                    <m:r>
                      <w:rPr>
                        <w:rFonts w:ascii="Cambria Math" w:hAnsi="Cambria Math"/>
                      </w:rPr>
                      <m:t>r</m:t>
                    </m:r>
                  </m:e>
                  <m:sub>
                    <m:r>
                      <m:rPr>
                        <m:sty m:val="p"/>
                      </m:rPr>
                      <w:rPr>
                        <w:rFonts w:ascii="Cambria Math" w:hAnsi="Cambria Math"/>
                      </w:rPr>
                      <m:t>i</m:t>
                    </m:r>
                  </m:sub>
                </m:sSub>
              </m:oMath>
            </m:oMathPara>
          </w:p>
        </w:tc>
        <w:tc>
          <w:tcPr>
            <w:tcW w:w="7938" w:type="dxa"/>
          </w:tcPr>
          <w:p w14:paraId="14946AB8" w14:textId="34E17C07" w:rsidR="00741AF4" w:rsidRPr="00870D59" w:rsidRDefault="00741AF4" w:rsidP="002061E5">
            <w:pPr>
              <w:pStyle w:val="Tablebody"/>
            </w:pPr>
            <w:r w:rsidRPr="00741AF4">
              <w:t xml:space="preserve">is the minimum torsional radius of the </w:t>
            </w:r>
            <w:r w:rsidRPr="001A2B8E">
              <w:rPr>
                <w:i/>
                <w:iCs/>
              </w:rPr>
              <w:t>i</w:t>
            </w:r>
            <w:r w:rsidRPr="00741AF4">
              <w:t>-th floor</w:t>
            </w:r>
            <w:r w:rsidR="001A2B8E">
              <w:t>,</w:t>
            </w:r>
            <w:r w:rsidRPr="00741AF4">
              <w:t xml:space="preserve"> equal to the square root of the ratio of the torsional stiffness</w:t>
            </w:r>
            <w:r w:rsidR="001A2B8E">
              <w:t>,</w:t>
            </w:r>
            <w:r w:rsidRPr="00741AF4">
              <w:t xml:space="preserve"> with respect to the centre of lateral stiffness </w:t>
            </w:r>
            <w:r w:rsidRPr="001A2B8E">
              <w:rPr>
                <w:i/>
                <w:iCs/>
              </w:rPr>
              <w:t>C</w:t>
            </w:r>
            <w:r w:rsidRPr="001A2B8E">
              <w:rPr>
                <w:vertAlign w:val="subscript"/>
              </w:rPr>
              <w:t>i</w:t>
            </w:r>
            <w:r w:rsidRPr="00741AF4">
              <w:t xml:space="preserve"> (Figure 4.1)</w:t>
            </w:r>
            <w:r w:rsidR="001A2B8E">
              <w:t>,</w:t>
            </w:r>
            <w:r w:rsidRPr="00741AF4">
              <w:t xml:space="preserve"> to the largest of the floor lateral stiffnesses: </w:t>
            </w:r>
            <m:oMath>
              <m:sSub>
                <m:sSubPr>
                  <m:ctrlPr>
                    <w:rPr>
                      <w:rFonts w:ascii="Cambria Math" w:hAnsi="Cambria Math"/>
                      <w:i/>
                    </w:rPr>
                  </m:ctrlPr>
                </m:sSubPr>
                <m:e>
                  <m:r>
                    <w:rPr>
                      <w:rFonts w:ascii="Cambria Math" w:hAnsi="Cambria Math"/>
                    </w:rPr>
                    <m:t>r</m:t>
                  </m:r>
                </m:e>
                <m:sub>
                  <m:r>
                    <w:rPr>
                      <w:rFonts w:ascii="Cambria Math" w:hAnsi="Cambria Math"/>
                    </w:rPr>
                    <m:t>i</m:t>
                  </m:r>
                </m:sub>
              </m:sSub>
              <m:r>
                <w:rPr>
                  <w:rFonts w:ascii="Cambria Math" w:hAnsi="Cambria Math"/>
                </w:rPr>
                <m:t>=</m:t>
              </m:r>
              <m:r>
                <m:rPr>
                  <m:sty m:val="p"/>
                </m:rPr>
                <w:rPr>
                  <w:rFonts w:ascii="Cambria Math" w:hAnsi="Cambria Math"/>
                </w:rPr>
                <m:t>min</m:t>
              </m:r>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x,i</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y,i</m:t>
                      </m:r>
                    </m:sub>
                  </m:sSub>
                </m:e>
              </m:d>
            </m:oMath>
            <w:r w:rsidRPr="00132C1E">
              <w:t>;</w:t>
            </w:r>
          </w:p>
        </w:tc>
      </w:tr>
      <w:tr w:rsidR="00741AF4" w:rsidRPr="00870D59" w14:paraId="2CFB71F1" w14:textId="77777777" w:rsidTr="007B611D">
        <w:tc>
          <w:tcPr>
            <w:tcW w:w="1275" w:type="dxa"/>
          </w:tcPr>
          <w:p w14:paraId="42D6AFBF" w14:textId="5FD2CBB4" w:rsidR="00741AF4" w:rsidRPr="00741AF4" w:rsidRDefault="009B5CEC" w:rsidP="002061E5">
            <w:pPr>
              <w:pStyle w:val="Tablebody"/>
              <w:rPr>
                <w:i/>
              </w:rPr>
            </w:pPr>
            <m:oMathPara>
              <m:oMathParaPr>
                <m:jc m:val="left"/>
              </m:oMathParaPr>
              <m:oMath>
                <m:sSub>
                  <m:sSubPr>
                    <m:ctrlPr>
                      <w:rPr>
                        <w:rFonts w:ascii="Cambria Math" w:hAnsi="Cambria Math"/>
                        <w:i/>
                      </w:rPr>
                    </m:ctrlPr>
                  </m:sSubPr>
                  <m:e>
                    <m:r>
                      <w:rPr>
                        <w:rFonts w:ascii="Cambria Math" w:hAnsi="Cambria Math"/>
                      </w:rPr>
                      <m:t>l</m:t>
                    </m:r>
                  </m:e>
                  <m:sub>
                    <m:r>
                      <m:rPr>
                        <m:sty m:val="p"/>
                      </m:rPr>
                      <w:rPr>
                        <w:rFonts w:ascii="Cambria Math" w:hAnsi="Cambria Math"/>
                      </w:rPr>
                      <m:t>s,i</m:t>
                    </m:r>
                  </m:sub>
                </m:sSub>
              </m:oMath>
            </m:oMathPara>
          </w:p>
        </w:tc>
        <w:tc>
          <w:tcPr>
            <w:tcW w:w="7938" w:type="dxa"/>
          </w:tcPr>
          <w:p w14:paraId="412113A5" w14:textId="17857C79" w:rsidR="00741AF4" w:rsidRPr="00870D59" w:rsidRDefault="002813CF" w:rsidP="002061E5">
            <w:pPr>
              <w:pStyle w:val="Tablebody"/>
            </w:pPr>
            <w:r w:rsidRPr="00132C1E">
              <w:t xml:space="preserve">is the radius of gyration of floor </w:t>
            </w:r>
            <w:r w:rsidRPr="00D1484A">
              <w:rPr>
                <w:i/>
                <w:iCs/>
              </w:rPr>
              <w:t>i</w:t>
            </w:r>
            <w:r w:rsidRPr="00D1484A">
              <w:t xml:space="preserve">: </w:t>
            </w:r>
            <m:oMath>
              <m:sSup>
                <m:sSupPr>
                  <m:ctrlPr>
                    <w:rPr>
                      <w:rFonts w:ascii="Cambria Math" w:hAnsi="Cambria Math"/>
                      <w:i/>
                    </w:rPr>
                  </m:ctrlPr>
                </m:sSupPr>
                <m:e>
                  <m:sSub>
                    <m:sSubPr>
                      <m:ctrlPr>
                        <w:rPr>
                          <w:rFonts w:ascii="Cambria Math" w:hAnsi="Cambria Math"/>
                          <w:i/>
                        </w:rPr>
                      </m:ctrlPr>
                    </m:sSubPr>
                    <m:e>
                      <m:r>
                        <w:rPr>
                          <w:rFonts w:ascii="Cambria Math" w:hAnsi="Cambria Math"/>
                        </w:rPr>
                        <m:t>l</m:t>
                      </m:r>
                    </m:e>
                    <m:sub>
                      <m:r>
                        <m:rPr>
                          <m:sty m:val="p"/>
                        </m:rPr>
                        <w:rPr>
                          <w:rFonts w:ascii="Cambria Math" w:hAnsi="Cambria Math"/>
                        </w:rPr>
                        <m:t>s,i</m:t>
                      </m:r>
                    </m:sub>
                  </m:sSub>
                </m:e>
                <m:sup>
                  <m:r>
                    <w:rPr>
                      <w:rFonts w:ascii="Cambria Math" w:hAnsi="Cambria Math"/>
                    </w:rPr>
                    <m:t>2</m:t>
                  </m:r>
                </m:sup>
              </m:sSup>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I</m:t>
                      </m:r>
                    </m:e>
                    <m:sub>
                      <m:r>
                        <m:rPr>
                          <m:sty m:val="p"/>
                        </m:rPr>
                        <w:rPr>
                          <w:rFonts w:ascii="Cambria Math" w:hAnsi="Cambria Math"/>
                        </w:rPr>
                        <m:t>x,i</m:t>
                      </m:r>
                    </m:sub>
                  </m:sSub>
                  <m:r>
                    <w:rPr>
                      <w:rFonts w:ascii="Cambria Math" w:hAnsi="Cambria Math"/>
                    </w:rPr>
                    <m:t>+</m:t>
                  </m:r>
                  <m:sSub>
                    <m:sSubPr>
                      <m:ctrlPr>
                        <w:rPr>
                          <w:rFonts w:ascii="Cambria Math" w:hAnsi="Cambria Math"/>
                          <w:i/>
                        </w:rPr>
                      </m:ctrlPr>
                    </m:sSubPr>
                    <m:e>
                      <m:r>
                        <w:rPr>
                          <w:rFonts w:ascii="Cambria Math" w:hAnsi="Cambria Math"/>
                        </w:rPr>
                        <m:t>I</m:t>
                      </m:r>
                    </m:e>
                    <m:sub>
                      <m:r>
                        <m:rPr>
                          <m:sty m:val="p"/>
                        </m:rPr>
                        <w:rPr>
                          <w:rFonts w:ascii="Cambria Math" w:hAnsi="Cambria Math"/>
                        </w:rPr>
                        <m:t>y,i</m:t>
                      </m:r>
                    </m:sub>
                  </m:sSub>
                </m:num>
                <m:den>
                  <m:sSub>
                    <m:sSubPr>
                      <m:ctrlPr>
                        <w:rPr>
                          <w:rFonts w:ascii="Cambria Math" w:hAnsi="Cambria Math"/>
                          <w:i/>
                        </w:rPr>
                      </m:ctrlPr>
                    </m:sSubPr>
                    <m:e>
                      <m:r>
                        <w:rPr>
                          <w:rFonts w:ascii="Cambria Math" w:hAnsi="Cambria Math"/>
                        </w:rPr>
                        <m:t>m</m:t>
                      </m:r>
                    </m:e>
                    <m:sub>
                      <m:r>
                        <m:rPr>
                          <m:sty m:val="p"/>
                        </m:rPr>
                        <w:rPr>
                          <w:rFonts w:ascii="Cambria Math" w:hAnsi="Cambria Math"/>
                        </w:rPr>
                        <m:t>i</m:t>
                      </m:r>
                    </m:sub>
                  </m:sSub>
                </m:den>
              </m:f>
            </m:oMath>
            <w:r w:rsidR="00077EC5">
              <w:t xml:space="preserve"> ;</w:t>
            </w:r>
            <w:r w:rsidRPr="00D1484A">
              <w:t xml:space="preserve"> in the case of approximately rectangular floor with a well distributed mass, </w:t>
            </w:r>
            <m:oMath>
              <m:sSup>
                <m:sSupPr>
                  <m:ctrlPr>
                    <w:rPr>
                      <w:rFonts w:ascii="Cambria Math" w:hAnsi="Cambria Math"/>
                      <w:i/>
                    </w:rPr>
                  </m:ctrlPr>
                </m:sSupPr>
                <m:e>
                  <m:sSub>
                    <m:sSubPr>
                      <m:ctrlPr>
                        <w:rPr>
                          <w:rFonts w:ascii="Cambria Math" w:hAnsi="Cambria Math"/>
                          <w:i/>
                        </w:rPr>
                      </m:ctrlPr>
                    </m:sSubPr>
                    <m:e>
                      <m:r>
                        <w:rPr>
                          <w:rFonts w:ascii="Cambria Math" w:hAnsi="Cambria Math"/>
                        </w:rPr>
                        <m:t>l</m:t>
                      </m:r>
                    </m:e>
                    <m:sub>
                      <m:r>
                        <m:rPr>
                          <m:sty m:val="p"/>
                        </m:rPr>
                        <w:rPr>
                          <w:rFonts w:ascii="Cambria Math" w:hAnsi="Cambria Math"/>
                        </w:rPr>
                        <m:t>s,i</m:t>
                      </m:r>
                    </m:sub>
                  </m:sSub>
                </m:e>
                <m:sup>
                  <m:r>
                    <w:rPr>
                      <w:rFonts w:ascii="Cambria Math" w:hAnsi="Cambria Math"/>
                    </w:rPr>
                    <m:t>2</m:t>
                  </m:r>
                </m:sup>
              </m:sSup>
            </m:oMath>
            <w:r w:rsidRPr="00132C1E">
              <w:t xml:space="preserve"> may be taken as </w:t>
            </w:r>
            <m:oMath>
              <m:sSup>
                <m:sSupPr>
                  <m:ctrlPr>
                    <w:rPr>
                      <w:rFonts w:ascii="Cambria Math" w:hAnsi="Cambria Math"/>
                      <w:i/>
                    </w:rPr>
                  </m:ctrlPr>
                </m:sSupPr>
                <m:e>
                  <m:sSub>
                    <m:sSubPr>
                      <m:ctrlPr>
                        <w:rPr>
                          <w:rFonts w:ascii="Cambria Math" w:hAnsi="Cambria Math"/>
                          <w:i/>
                        </w:rPr>
                      </m:ctrlPr>
                    </m:sSubPr>
                    <m:e>
                      <m:r>
                        <w:rPr>
                          <w:rFonts w:ascii="Cambria Math" w:hAnsi="Cambria Math"/>
                        </w:rPr>
                        <m:t>l</m:t>
                      </m:r>
                    </m:e>
                    <m:sub>
                      <m:r>
                        <m:rPr>
                          <m:sty m:val="p"/>
                        </m:rPr>
                        <w:rPr>
                          <w:rFonts w:ascii="Cambria Math" w:hAnsi="Cambria Math"/>
                        </w:rPr>
                        <m:t>s,i</m:t>
                      </m:r>
                    </m:sub>
                  </m:sSub>
                </m:e>
                <m:sup>
                  <m:r>
                    <w:rPr>
                      <w:rFonts w:ascii="Cambria Math" w:hAnsi="Cambria Math"/>
                    </w:rPr>
                    <m:t>2</m:t>
                  </m:r>
                </m:sup>
              </m:sSup>
              <m:r>
                <w:rPr>
                  <w:rFonts w:ascii="Cambria Math" w:hAnsi="Cambria Math"/>
                </w:rPr>
                <m:t>=</m:t>
              </m:r>
              <m:f>
                <m:fPr>
                  <m:ctrlPr>
                    <w:rPr>
                      <w:rFonts w:ascii="Cambria Math" w:hAnsi="Cambria Math"/>
                      <w:i/>
                    </w:rPr>
                  </m:ctrlPr>
                </m:fPr>
                <m:num>
                  <m:sSup>
                    <m:sSupPr>
                      <m:ctrlPr>
                        <w:rPr>
                          <w:rFonts w:ascii="Cambria Math" w:hAnsi="Cambria Math"/>
                          <w:i/>
                        </w:rPr>
                      </m:ctrlPr>
                    </m:sSupPr>
                    <m:e>
                      <m:sSub>
                        <m:sSubPr>
                          <m:ctrlPr>
                            <w:rPr>
                              <w:rFonts w:ascii="Cambria Math" w:hAnsi="Cambria Math"/>
                              <w:i/>
                            </w:rPr>
                          </m:ctrlPr>
                        </m:sSubPr>
                        <m:e>
                          <m:r>
                            <w:rPr>
                              <w:rFonts w:ascii="Cambria Math" w:hAnsi="Cambria Math"/>
                            </w:rPr>
                            <m:t>L</m:t>
                          </m:r>
                        </m:e>
                        <m:sub>
                          <m:r>
                            <m:rPr>
                              <m:sty m:val="p"/>
                            </m:rPr>
                            <w:rPr>
                              <w:rFonts w:ascii="Cambria Math" w:hAnsi="Cambria Math"/>
                            </w:rPr>
                            <m:t>i</m:t>
                          </m:r>
                        </m:sub>
                      </m:sSub>
                    </m:e>
                    <m:sup>
                      <m:r>
                        <w:rPr>
                          <w:rFonts w:ascii="Cambria Math" w:hAnsi="Cambria Math"/>
                        </w:rPr>
                        <m:t>2</m:t>
                      </m:r>
                    </m:sup>
                  </m:sSup>
                  <m:r>
                    <w:rPr>
                      <w:rFonts w:ascii="Cambria Math" w:hAnsi="Cambria Math"/>
                    </w:rPr>
                    <m:t>+</m:t>
                  </m:r>
                  <m:sSup>
                    <m:sSupPr>
                      <m:ctrlPr>
                        <w:rPr>
                          <w:rFonts w:ascii="Cambria Math" w:hAnsi="Cambria Math"/>
                          <w:i/>
                        </w:rPr>
                      </m:ctrlPr>
                    </m:sSupPr>
                    <m:e>
                      <m:sSub>
                        <m:sSubPr>
                          <m:ctrlPr>
                            <w:rPr>
                              <w:rFonts w:ascii="Cambria Math" w:hAnsi="Cambria Math"/>
                              <w:i/>
                            </w:rPr>
                          </m:ctrlPr>
                        </m:sSubPr>
                        <m:e>
                          <m:r>
                            <w:rPr>
                              <w:rFonts w:ascii="Cambria Math" w:hAnsi="Cambria Math"/>
                            </w:rPr>
                            <m:t>B</m:t>
                          </m:r>
                        </m:e>
                        <m:sub>
                          <m:r>
                            <m:rPr>
                              <m:sty m:val="p"/>
                            </m:rPr>
                            <w:rPr>
                              <w:rFonts w:ascii="Cambria Math" w:hAnsi="Cambria Math"/>
                            </w:rPr>
                            <m:t>i</m:t>
                          </m:r>
                        </m:sub>
                      </m:sSub>
                    </m:e>
                    <m:sup>
                      <m:r>
                        <w:rPr>
                          <w:rFonts w:ascii="Cambria Math" w:hAnsi="Cambria Math"/>
                        </w:rPr>
                        <m:t>2</m:t>
                      </m:r>
                    </m:sup>
                  </m:sSup>
                </m:num>
                <m:den>
                  <m:r>
                    <w:rPr>
                      <w:rFonts w:ascii="Cambria Math" w:hAnsi="Cambria Math"/>
                    </w:rPr>
                    <m:t>12</m:t>
                  </m:r>
                </m:den>
              </m:f>
              <m:r>
                <w:rPr>
                  <w:rFonts w:ascii="Cambria Math" w:hAnsi="Cambria Math"/>
                </w:rPr>
                <m:t> </m:t>
              </m:r>
            </m:oMath>
            <w:r w:rsidRPr="00D1484A">
              <w:t>;</w:t>
            </w:r>
          </w:p>
        </w:tc>
      </w:tr>
      <w:tr w:rsidR="00741AF4" w:rsidRPr="00870D59" w14:paraId="3CADE995" w14:textId="77777777" w:rsidTr="007B611D">
        <w:tc>
          <w:tcPr>
            <w:tcW w:w="1275" w:type="dxa"/>
          </w:tcPr>
          <w:p w14:paraId="454EEB97" w14:textId="627B25D7" w:rsidR="00741AF4" w:rsidRPr="00870D59" w:rsidRDefault="009B5CEC" w:rsidP="00741AF4">
            <w:pPr>
              <w:pStyle w:val="Tablebody"/>
              <w:jc w:val="left"/>
              <w:rPr>
                <w:i/>
              </w:rPr>
            </w:pPr>
            <m:oMath>
              <m:sSub>
                <m:sSubPr>
                  <m:ctrlPr>
                    <w:rPr>
                      <w:rFonts w:ascii="Cambria Math" w:hAnsi="Cambria Math"/>
                      <w:i/>
                    </w:rPr>
                  </m:ctrlPr>
                </m:sSubPr>
                <m:e>
                  <m:r>
                    <w:rPr>
                      <w:rFonts w:ascii="Cambria Math" w:hAnsi="Cambria Math"/>
                    </w:rPr>
                    <m:t>I</m:t>
                  </m:r>
                </m:e>
                <m:sub>
                  <m:r>
                    <m:rPr>
                      <m:sty m:val="p"/>
                    </m:rPr>
                    <w:rPr>
                      <w:rFonts w:ascii="Cambria Math" w:hAnsi="Cambria Math"/>
                    </w:rPr>
                    <m:t>x,i</m:t>
                  </m:r>
                </m:sub>
              </m:sSub>
            </m:oMath>
            <w:r w:rsidR="00741AF4" w:rsidRPr="00132C1E">
              <w:t xml:space="preserve"> and </w:t>
            </w:r>
            <m:oMath>
              <m:sSub>
                <m:sSubPr>
                  <m:ctrlPr>
                    <w:rPr>
                      <w:rFonts w:ascii="Cambria Math" w:hAnsi="Cambria Math"/>
                      <w:i/>
                    </w:rPr>
                  </m:ctrlPr>
                </m:sSubPr>
                <m:e>
                  <m:r>
                    <w:rPr>
                      <w:rFonts w:ascii="Cambria Math" w:hAnsi="Cambria Math"/>
                    </w:rPr>
                    <m:t>I</m:t>
                  </m:r>
                </m:e>
                <m:sub>
                  <m:r>
                    <m:rPr>
                      <m:sty m:val="p"/>
                    </m:rPr>
                    <w:rPr>
                      <w:rFonts w:ascii="Cambria Math" w:hAnsi="Cambria Math"/>
                    </w:rPr>
                    <m:t>y,i</m:t>
                  </m:r>
                </m:sub>
              </m:sSub>
            </m:oMath>
          </w:p>
        </w:tc>
        <w:tc>
          <w:tcPr>
            <w:tcW w:w="7938" w:type="dxa"/>
          </w:tcPr>
          <w:p w14:paraId="7FB0CCCE" w14:textId="73B7535E" w:rsidR="00741AF4" w:rsidRPr="00870D59" w:rsidRDefault="002813CF" w:rsidP="002061E5">
            <w:pPr>
              <w:pStyle w:val="Tablebody"/>
            </w:pPr>
            <w:r w:rsidRPr="00132C1E">
              <w:t>are the mass moments of inertia of the floor around axis x and y respectively, going through the floor centre of mas</w:t>
            </w:r>
            <w:r w:rsidRPr="00D1484A">
              <w:t xml:space="preserve">s </w:t>
            </w:r>
            <w:r w:rsidRPr="00D1484A">
              <w:rPr>
                <w:i/>
                <w:iCs/>
              </w:rPr>
              <w:t>G</w:t>
            </w:r>
            <w:r w:rsidRPr="00D1484A">
              <w:rPr>
                <w:vertAlign w:val="subscript"/>
              </w:rPr>
              <w:t>i</w:t>
            </w:r>
            <w:r w:rsidRPr="00D1484A">
              <w:t>;</w:t>
            </w:r>
          </w:p>
        </w:tc>
      </w:tr>
      <w:tr w:rsidR="00741AF4" w:rsidRPr="00870D59" w14:paraId="2F08C77C" w14:textId="77777777" w:rsidTr="007B611D">
        <w:tc>
          <w:tcPr>
            <w:tcW w:w="1275" w:type="dxa"/>
          </w:tcPr>
          <w:p w14:paraId="76E6BE96" w14:textId="11B1D327" w:rsidR="00741AF4" w:rsidRPr="00870D59" w:rsidRDefault="00741AF4" w:rsidP="002061E5">
            <w:pPr>
              <w:pStyle w:val="Tablebody"/>
              <w:rPr>
                <w:i/>
              </w:rPr>
            </w:pPr>
            <w:r w:rsidRPr="007E6F67">
              <w:rPr>
                <w:i/>
                <w:iCs/>
              </w:rPr>
              <w:t>m</w:t>
            </w:r>
            <w:r w:rsidRPr="007E6F67">
              <w:rPr>
                <w:vertAlign w:val="subscript"/>
              </w:rPr>
              <w:t>i</w:t>
            </w:r>
          </w:p>
        </w:tc>
        <w:tc>
          <w:tcPr>
            <w:tcW w:w="7938" w:type="dxa"/>
          </w:tcPr>
          <w:p w14:paraId="0D2A68F2" w14:textId="1BFB82E6" w:rsidR="00741AF4" w:rsidRPr="00870D59" w:rsidRDefault="002813CF" w:rsidP="002061E5">
            <w:pPr>
              <w:pStyle w:val="Tablebody"/>
            </w:pPr>
            <w:r w:rsidRPr="007E6F67">
              <w:t xml:space="preserve">is the mass of floor </w:t>
            </w:r>
            <w:r w:rsidRPr="007E6F67">
              <w:rPr>
                <w:i/>
                <w:iCs/>
              </w:rPr>
              <w:t>i</w:t>
            </w:r>
            <w:r w:rsidRPr="00FD17CF">
              <w:t>;</w:t>
            </w:r>
          </w:p>
        </w:tc>
      </w:tr>
      <w:tr w:rsidR="00741AF4" w:rsidRPr="00870D59" w14:paraId="07521527" w14:textId="77777777" w:rsidTr="007B611D">
        <w:tc>
          <w:tcPr>
            <w:tcW w:w="1275" w:type="dxa"/>
          </w:tcPr>
          <w:p w14:paraId="75E6D30C" w14:textId="15E41B27" w:rsidR="00741AF4" w:rsidRPr="007E6F67" w:rsidRDefault="009B5CEC" w:rsidP="002813CF">
            <w:pPr>
              <w:pStyle w:val="Tablebody"/>
              <w:jc w:val="left"/>
              <w:rPr>
                <w:i/>
                <w:iCs/>
              </w:rPr>
            </w:pPr>
            <m:oMath>
              <m:sSub>
                <m:sSubPr>
                  <m:ctrlPr>
                    <w:rPr>
                      <w:rFonts w:ascii="Cambria Math" w:hAnsi="Cambria Math"/>
                      <w:i/>
                    </w:rPr>
                  </m:ctrlPr>
                </m:sSubPr>
                <m:e>
                  <m:r>
                    <w:rPr>
                      <w:rFonts w:ascii="Cambria Math" w:hAnsi="Cambria Math"/>
                    </w:rPr>
                    <m:t>L</m:t>
                  </m:r>
                </m:e>
                <m:sub>
                  <m:r>
                    <m:rPr>
                      <m:sty m:val="p"/>
                    </m:rPr>
                    <w:rPr>
                      <w:rFonts w:ascii="Cambria Math" w:hAnsi="Cambria Math"/>
                    </w:rPr>
                    <m:t>i</m:t>
                  </m:r>
                </m:sub>
              </m:sSub>
            </m:oMath>
            <w:r w:rsidR="00741AF4" w:rsidRPr="00132C1E">
              <w:t xml:space="preserve"> and </w:t>
            </w:r>
            <m:oMath>
              <m:sSub>
                <m:sSubPr>
                  <m:ctrlPr>
                    <w:rPr>
                      <w:rFonts w:ascii="Cambria Math" w:hAnsi="Cambria Math"/>
                      <w:i/>
                    </w:rPr>
                  </m:ctrlPr>
                </m:sSubPr>
                <m:e>
                  <m:r>
                    <w:rPr>
                      <w:rFonts w:ascii="Cambria Math" w:hAnsi="Cambria Math"/>
                    </w:rPr>
                    <m:t>B</m:t>
                  </m:r>
                </m:e>
                <m:sub>
                  <m:r>
                    <m:rPr>
                      <m:sty m:val="p"/>
                    </m:rPr>
                    <w:rPr>
                      <w:rFonts w:ascii="Cambria Math" w:hAnsi="Cambria Math"/>
                    </w:rPr>
                    <m:t>i</m:t>
                  </m:r>
                </m:sub>
              </m:sSub>
            </m:oMath>
          </w:p>
        </w:tc>
        <w:tc>
          <w:tcPr>
            <w:tcW w:w="7938" w:type="dxa"/>
          </w:tcPr>
          <w:p w14:paraId="333B5C56" w14:textId="7B1E8A9B" w:rsidR="00741AF4" w:rsidRPr="00870D59" w:rsidRDefault="002813CF" w:rsidP="002061E5">
            <w:pPr>
              <w:pStyle w:val="Tablebody"/>
            </w:pPr>
            <w:r w:rsidRPr="00132C1E">
              <w:t>are the dimensions of the rectangular floor</w:t>
            </w:r>
            <w:r>
              <w:t>.</w:t>
            </w:r>
          </w:p>
        </w:tc>
      </w:tr>
    </w:tbl>
    <w:p w14:paraId="4CA5AA85" w14:textId="0A8B9F67" w:rsidR="00077EC5" w:rsidRDefault="00077EC5" w:rsidP="007B611D">
      <w:pPr>
        <w:pStyle w:val="Notetext"/>
        <w:spacing w:before="120"/>
      </w:pPr>
      <w:r w:rsidRPr="00D1484A">
        <w:t>NOTE</w:t>
      </w:r>
      <w:r w:rsidRPr="00D1484A">
        <w:tab/>
        <w:t xml:space="preserve">Annex B gives procedures to calculate </w:t>
      </w:r>
      <m:oMath>
        <m:sSub>
          <m:sSubPr>
            <m:ctrlPr>
              <w:rPr>
                <w:rFonts w:ascii="Cambria Math" w:hAnsi="Cambria Math"/>
                <w:i/>
              </w:rPr>
            </m:ctrlPr>
          </m:sSubPr>
          <m:e>
            <m:r>
              <w:rPr>
                <w:rFonts w:ascii="Cambria Math" w:hAnsi="Cambria Math"/>
              </w:rPr>
              <m:t>r</m:t>
            </m:r>
          </m:e>
          <m:sub>
            <m:r>
              <w:rPr>
                <w:rFonts w:ascii="Cambria Math" w:hAnsi="Cambria Math"/>
              </w:rPr>
              <m:t>x,i</m:t>
            </m:r>
          </m:sub>
        </m:sSub>
      </m:oMath>
      <w:r w:rsidRPr="00132C1E">
        <w:t xml:space="preserve"> and </w:t>
      </w:r>
      <m:oMath>
        <m:sSub>
          <m:sSubPr>
            <m:ctrlPr>
              <w:rPr>
                <w:rFonts w:ascii="Cambria Math" w:hAnsi="Cambria Math"/>
                <w:i/>
              </w:rPr>
            </m:ctrlPr>
          </m:sSubPr>
          <m:e>
            <m:r>
              <w:rPr>
                <w:rFonts w:ascii="Cambria Math" w:hAnsi="Cambria Math"/>
              </w:rPr>
              <m:t>r</m:t>
            </m:r>
          </m:e>
          <m:sub>
            <m:r>
              <w:rPr>
                <w:rFonts w:ascii="Cambria Math" w:hAnsi="Cambria Math"/>
              </w:rPr>
              <m:t>y,i</m:t>
            </m:r>
          </m:sub>
        </m:sSub>
      </m:oMath>
      <w:r w:rsidRPr="00132C1E">
        <w:t>.</w:t>
      </w:r>
    </w:p>
    <w:p w14:paraId="28831871" w14:textId="71F62562" w:rsidR="00741AF4" w:rsidRDefault="00A53B8D" w:rsidP="00A53B8D">
      <w:pPr>
        <w:pStyle w:val="FigureImage"/>
      </w:pPr>
      <w:r>
        <w:rPr>
          <w:noProof/>
        </w:rPr>
        <w:lastRenderedPageBreak/>
        <w:drawing>
          <wp:inline distT="0" distB="0" distL="0" distR="0" wp14:anchorId="0B05109F" wp14:editId="66948DB7">
            <wp:extent cx="2880365" cy="2508508"/>
            <wp:effectExtent l="0" t="0" r="0" b="6350"/>
            <wp:docPr id="12" name="0001.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0001.tiff"/>
                    <pic:cNvPicPr/>
                  </pic:nvPicPr>
                  <pic:blipFill>
                    <a:blip r:link="rId16"/>
                    <a:stretch>
                      <a:fillRect/>
                    </a:stretch>
                  </pic:blipFill>
                  <pic:spPr>
                    <a:xfrm>
                      <a:off x="0" y="0"/>
                      <a:ext cx="2880365" cy="2508508"/>
                    </a:xfrm>
                    <a:prstGeom prst="rect">
                      <a:avLst/>
                    </a:prstGeom>
                  </pic:spPr>
                </pic:pic>
              </a:graphicData>
            </a:graphic>
          </wp:inline>
        </w:drawing>
      </w:r>
    </w:p>
    <w:p w14:paraId="2AE83159" w14:textId="7C14208A" w:rsidR="007D0AC4" w:rsidRPr="00870D59" w:rsidRDefault="007D0AC4" w:rsidP="007D0AC4">
      <w:pPr>
        <w:pStyle w:val="Figuretitle"/>
      </w:pPr>
      <w:r w:rsidRPr="00870D59">
        <w:t xml:space="preserve">Figure </w:t>
      </w:r>
      <w:r>
        <w:t>4</w:t>
      </w:r>
      <w:r w:rsidRPr="00870D59">
        <w:t xml:space="preserve">.1 — </w:t>
      </w:r>
      <w:r w:rsidRPr="00D1484A">
        <w:t xml:space="preserve">Relative position of each primary resisting member </w:t>
      </w:r>
      <w:r w:rsidRPr="00D1484A">
        <w:rPr>
          <w:i/>
          <w:iCs/>
        </w:rPr>
        <w:t>k</w:t>
      </w:r>
      <w:r w:rsidRPr="00D1484A">
        <w:t xml:space="preserve"> with respect to the centre of lateral stiffness </w:t>
      </w:r>
      <m:oMath>
        <m:sSub>
          <m:sSubPr>
            <m:ctrlPr>
              <w:rPr>
                <w:rFonts w:ascii="Cambria Math" w:hAnsi="Cambria Math"/>
              </w:rPr>
            </m:ctrlPr>
          </m:sSubPr>
          <m:e>
            <m:r>
              <m:rPr>
                <m:sty m:val="bi"/>
              </m:rPr>
              <w:rPr>
                <w:rFonts w:ascii="Cambria Math" w:hAnsi="Cambria Math"/>
              </w:rPr>
              <m:t>C</m:t>
            </m:r>
          </m:e>
          <m:sub>
            <m:r>
              <m:rPr>
                <m:sty m:val="bi"/>
              </m:rPr>
              <w:rPr>
                <w:rFonts w:ascii="Cambria Math" w:hAnsi="Cambria Math"/>
              </w:rPr>
              <m:t>i</m:t>
            </m:r>
          </m:sub>
        </m:sSub>
      </m:oMath>
      <w:r w:rsidRPr="00132C1E">
        <w:t xml:space="preserve"> and relative position of the latter with respect to the centre of mass </w:t>
      </w:r>
      <m:oMath>
        <m:sSub>
          <m:sSubPr>
            <m:ctrlPr>
              <w:rPr>
                <w:rFonts w:ascii="Cambria Math" w:hAnsi="Cambria Math"/>
              </w:rPr>
            </m:ctrlPr>
          </m:sSubPr>
          <m:e>
            <m:r>
              <m:rPr>
                <m:sty m:val="bi"/>
              </m:rPr>
              <w:rPr>
                <w:rFonts w:ascii="Cambria Math" w:hAnsi="Cambria Math"/>
              </w:rPr>
              <m:t>G</m:t>
            </m:r>
          </m:e>
          <m:sub>
            <m:r>
              <m:rPr>
                <m:sty m:val="bi"/>
              </m:rPr>
              <w:rPr>
                <w:rFonts w:ascii="Cambria Math" w:hAnsi="Cambria Math"/>
              </w:rPr>
              <m:t>i</m:t>
            </m:r>
          </m:sub>
        </m:sSub>
      </m:oMath>
    </w:p>
    <w:p w14:paraId="2AD464F5" w14:textId="77777777" w:rsidR="007D0AC4" w:rsidRPr="00005FB5" w:rsidRDefault="007D0AC4" w:rsidP="007D0AC4">
      <w:pPr>
        <w:pStyle w:val="Heading3"/>
      </w:pPr>
      <w:bookmarkStart w:id="604" w:name="_Toc16927621"/>
      <w:bookmarkStart w:id="605" w:name="_Toc50150274"/>
      <w:bookmarkStart w:id="606" w:name="_Toc70886705"/>
      <w:bookmarkStart w:id="607" w:name="_Toc108342203"/>
      <w:bookmarkStart w:id="608" w:name="_Toc134197795"/>
      <w:r w:rsidRPr="00005FB5">
        <w:t>Structural regularity</w:t>
      </w:r>
      <w:bookmarkEnd w:id="604"/>
      <w:bookmarkEnd w:id="605"/>
      <w:bookmarkEnd w:id="606"/>
      <w:bookmarkEnd w:id="607"/>
      <w:bookmarkEnd w:id="608"/>
    </w:p>
    <w:p w14:paraId="3131D735" w14:textId="77777777" w:rsidR="007D0AC4" w:rsidRPr="00D1484A" w:rsidRDefault="007D0AC4" w:rsidP="007D0AC4">
      <w:pPr>
        <w:pStyle w:val="Heading4"/>
      </w:pPr>
      <w:bookmarkStart w:id="609" w:name="_Toc108342204"/>
      <w:r w:rsidRPr="00D1484A">
        <w:t>General</w:t>
      </w:r>
      <w:bookmarkEnd w:id="609"/>
    </w:p>
    <w:p w14:paraId="6019DBAD" w14:textId="77777777" w:rsidR="007D0AC4" w:rsidRPr="007E6F67" w:rsidRDefault="007D0AC4" w:rsidP="0080187E">
      <w:pPr>
        <w:pStyle w:val="Clause"/>
        <w:numPr>
          <w:ilvl w:val="0"/>
          <w:numId w:val="42"/>
        </w:numPr>
      </w:pPr>
      <w:r w:rsidRPr="00D1484A">
        <w:t>Although not mandatory, achieving building</w:t>
      </w:r>
      <w:r w:rsidRPr="00D1484A" w:rsidDel="00461AA2">
        <w:t xml:space="preserve"> </w:t>
      </w:r>
      <w:r w:rsidRPr="007E6F67">
        <w:t>regularity should be regarded as a good practice for the design of earthquake resistant buildings.</w:t>
      </w:r>
    </w:p>
    <w:p w14:paraId="5B0D6A5E" w14:textId="59EAF67B" w:rsidR="007D0AC4" w:rsidRPr="00077EC5" w:rsidRDefault="007D0AC4" w:rsidP="009965C7">
      <w:pPr>
        <w:pStyle w:val="Notetext"/>
      </w:pPr>
      <w:r w:rsidRPr="00196951">
        <w:t>NOTE</w:t>
      </w:r>
      <w:r w:rsidRPr="00196951">
        <w:tab/>
      </w:r>
      <w:r w:rsidRPr="002144A0">
        <w:t>Guidance for in</w:t>
      </w:r>
      <w:r w:rsidR="00077EC5">
        <w:t>-</w:t>
      </w:r>
      <w:r w:rsidRPr="002144A0">
        <w:t xml:space="preserve">plan regularity is given in informative Annex A, while criteria </w:t>
      </w:r>
      <w:r w:rsidRPr="002144A0">
        <w:rPr>
          <w:bCs/>
        </w:rPr>
        <w:t xml:space="preserve">for regularity </w:t>
      </w:r>
      <w:r w:rsidRPr="00C52095">
        <w:t xml:space="preserve">in elevation are given </w:t>
      </w:r>
      <w:r w:rsidRPr="00077EC5">
        <w:t>in 4.4.4.2.</w:t>
      </w:r>
    </w:p>
    <w:p w14:paraId="2CB66EEB" w14:textId="77777777" w:rsidR="007D0AC4" w:rsidRPr="00132C1E" w:rsidRDefault="007D0AC4" w:rsidP="007D0AC4">
      <w:pPr>
        <w:pStyle w:val="Heading4"/>
      </w:pPr>
      <w:bookmarkStart w:id="610" w:name="_Ref524252907"/>
      <w:bookmarkStart w:id="611" w:name="_Toc108342205"/>
      <w:r w:rsidRPr="00132C1E">
        <w:t>Regularity in elevation</w:t>
      </w:r>
      <w:bookmarkEnd w:id="610"/>
      <w:bookmarkEnd w:id="611"/>
    </w:p>
    <w:p w14:paraId="6DC9EDE2" w14:textId="22E3DE86" w:rsidR="007D0AC4" w:rsidRPr="00132C1E" w:rsidRDefault="007D0AC4" w:rsidP="0080187E">
      <w:pPr>
        <w:pStyle w:val="Clause"/>
        <w:numPr>
          <w:ilvl w:val="0"/>
          <w:numId w:val="43"/>
        </w:numPr>
      </w:pPr>
      <w:r w:rsidRPr="00132C1E">
        <w:t>For a building to be categori</w:t>
      </w:r>
      <w:r w:rsidR="00A8285E">
        <w:t>z</w:t>
      </w:r>
      <w:r w:rsidRPr="00132C1E">
        <w:t>ed as being regular in elevation, it should satisfy all the conditions listed in a) to c), considering that criteria in b) and c)</w:t>
      </w:r>
      <w:r w:rsidRPr="00B00B3D">
        <w:t xml:space="preserve"> </w:t>
      </w:r>
      <w:r w:rsidRPr="00132C1E">
        <w:t>apply to the structure above the top of the foundation or the top of a rigid basement when it exists</w:t>
      </w:r>
      <w:r w:rsidR="003B59D7">
        <w:t>:</w:t>
      </w:r>
    </w:p>
    <w:p w14:paraId="76B7E000" w14:textId="3B2D57A0" w:rsidR="007D0AC4" w:rsidRPr="004F0FA6" w:rsidRDefault="003B59D7" w:rsidP="0080187E">
      <w:pPr>
        <w:pStyle w:val="List2"/>
        <w:numPr>
          <w:ilvl w:val="0"/>
          <w:numId w:val="44"/>
        </w:numPr>
        <w:spacing w:before="0" w:after="240" w:line="230" w:lineRule="atLeast"/>
        <w:contextualSpacing w:val="0"/>
      </w:pPr>
      <w:r>
        <w:t>a</w:t>
      </w:r>
      <w:r w:rsidR="007D0AC4" w:rsidRPr="004F0FA6">
        <w:t xml:space="preserve">ll </w:t>
      </w:r>
      <w:r w:rsidR="007D0AC4" w:rsidRPr="004F0FA6">
        <w:rPr>
          <w:bCs/>
        </w:rPr>
        <w:t>primary members</w:t>
      </w:r>
      <w:r w:rsidR="007D0AC4" w:rsidRPr="004F0FA6">
        <w:t>, such as cores, structural walls or frames and the diaphragms which connect them, provide a continuous resisting system without interruption from the top of the foundation or the top of a rigid basement to the top of the building or, if setbacks at different heights are present, to the top of the corresponding zone of the building.</w:t>
      </w:r>
    </w:p>
    <w:p w14:paraId="0719453B" w14:textId="1ADC7E1E" w:rsidR="007D0AC4" w:rsidRPr="00132C1E" w:rsidRDefault="003B59D7" w:rsidP="0080187E">
      <w:pPr>
        <w:pStyle w:val="List2"/>
        <w:numPr>
          <w:ilvl w:val="0"/>
          <w:numId w:val="44"/>
        </w:numPr>
        <w:spacing w:before="0" w:after="240" w:line="230" w:lineRule="atLeast"/>
        <w:contextualSpacing w:val="0"/>
      </w:pPr>
      <w:r>
        <w:t>b</w:t>
      </w:r>
      <w:r w:rsidR="007D0AC4" w:rsidRPr="00132C1E">
        <w:t>oth the lateral stiffness and the mass of the individual storeys remain constant or decrease gradually by no more than 20</w:t>
      </w:r>
      <w:r w:rsidR="00A8285E">
        <w:t> </w:t>
      </w:r>
      <w:r w:rsidR="007D0AC4" w:rsidRPr="00132C1E">
        <w:t>% relative to the storey below, without abrupt changes, from the base to at least one storey below the top storey.</w:t>
      </w:r>
    </w:p>
    <w:p w14:paraId="6F81AB31" w14:textId="17DF0AA9" w:rsidR="007D0AC4" w:rsidRPr="00132C1E" w:rsidRDefault="007D0AC4" w:rsidP="0080187E">
      <w:pPr>
        <w:pStyle w:val="List2"/>
        <w:numPr>
          <w:ilvl w:val="0"/>
          <w:numId w:val="44"/>
        </w:numPr>
        <w:spacing w:before="0" w:after="240" w:line="230" w:lineRule="atLeast"/>
        <w:contextualSpacing w:val="0"/>
      </w:pPr>
      <w:r w:rsidRPr="00132C1E">
        <w:t>the ratio of the actual storey resistance to the resistance required by the analysis does not vary by more than 30</w:t>
      </w:r>
      <w:r w:rsidR="00A8285E">
        <w:t> </w:t>
      </w:r>
      <w:r w:rsidRPr="00132C1E">
        <w:t>% between adjacent storeys.</w:t>
      </w:r>
    </w:p>
    <w:p w14:paraId="5C9170EF" w14:textId="38D0FE85" w:rsidR="007D0AC4" w:rsidRPr="00132C1E" w:rsidRDefault="007D0AC4" w:rsidP="009965C7">
      <w:pPr>
        <w:pStyle w:val="Notetext"/>
      </w:pPr>
      <w:r w:rsidRPr="00132C1E">
        <w:t>NOTE</w:t>
      </w:r>
      <w:r w:rsidRPr="00132C1E">
        <w:tab/>
        <w:t xml:space="preserve">Within this context, the special aspects of masonry infilled frames are treated </w:t>
      </w:r>
      <w:r w:rsidRPr="00187404">
        <w:t xml:space="preserve">in </w:t>
      </w:r>
      <w:r w:rsidR="00A8285E">
        <w:t xml:space="preserve">Clause </w:t>
      </w:r>
      <w:r w:rsidRPr="00187404">
        <w:t>7.</w:t>
      </w:r>
    </w:p>
    <w:p w14:paraId="6EEAC04C" w14:textId="14E3629E" w:rsidR="00B07013" w:rsidRPr="00870D59" w:rsidRDefault="004478CA" w:rsidP="003E60C8">
      <w:pPr>
        <w:pStyle w:val="Heading1"/>
      </w:pPr>
      <w:bookmarkStart w:id="612" w:name="_Toc134197796"/>
      <w:r w:rsidRPr="00870D59">
        <w:lastRenderedPageBreak/>
        <w:t>M</w:t>
      </w:r>
      <w:r w:rsidR="006A10EC" w:rsidRPr="00870D59">
        <w:t>odelling and structural analysis</w:t>
      </w:r>
      <w:bookmarkEnd w:id="612"/>
    </w:p>
    <w:p w14:paraId="346F3AE7" w14:textId="522F1F80" w:rsidR="00B07013" w:rsidRPr="00870D59" w:rsidRDefault="004478CA" w:rsidP="00910AA8">
      <w:pPr>
        <w:pStyle w:val="Heading2"/>
      </w:pPr>
      <w:bookmarkStart w:id="613" w:name="_Toc134197797"/>
      <w:r w:rsidRPr="00870D59">
        <w:t>Modelling</w:t>
      </w:r>
      <w:bookmarkEnd w:id="613"/>
    </w:p>
    <w:p w14:paraId="74D8402C" w14:textId="5CF338E5" w:rsidR="004478CA" w:rsidRPr="00870D59" w:rsidRDefault="004478CA" w:rsidP="004478CA">
      <w:pPr>
        <w:pStyle w:val="Heading3"/>
      </w:pPr>
      <w:bookmarkStart w:id="614" w:name="_Toc134197798"/>
      <w:r w:rsidRPr="00870D59">
        <w:t>General</w:t>
      </w:r>
      <w:bookmarkEnd w:id="614"/>
    </w:p>
    <w:p w14:paraId="7DA597D0" w14:textId="3D2B68FB" w:rsidR="00AC09EB" w:rsidRPr="00187404" w:rsidRDefault="00AC09EB" w:rsidP="0080187E">
      <w:pPr>
        <w:pStyle w:val="Clause"/>
        <w:numPr>
          <w:ilvl w:val="0"/>
          <w:numId w:val="30"/>
        </w:numPr>
      </w:pPr>
      <w:bookmarkStart w:id="615" w:name="_Toc56572955"/>
      <w:r w:rsidRPr="00870D59">
        <w:t xml:space="preserve">The model of the </w:t>
      </w:r>
      <w:r w:rsidR="009965C7">
        <w:t>building</w:t>
      </w:r>
      <w:r w:rsidRPr="00870D59">
        <w:t xml:space="preserve"> should comply with prEN</w:t>
      </w:r>
      <w:r w:rsidR="007A58FD" w:rsidRPr="00870D59">
        <w:t> </w:t>
      </w:r>
      <w:r w:rsidRPr="00870D59">
        <w:t>1998-1-1:2022</w:t>
      </w:r>
      <w:r w:rsidRPr="00187404">
        <w:t>, 6.2.</w:t>
      </w:r>
    </w:p>
    <w:p w14:paraId="54BDFC33" w14:textId="1808CFE8" w:rsidR="00AC09EB" w:rsidRDefault="009965C7" w:rsidP="00724E4E">
      <w:pPr>
        <w:pStyle w:val="Clause"/>
      </w:pPr>
      <w:r w:rsidRPr="00E3748D">
        <w:t>Seismic analysis may be performed using two planar models, one for each main horizontal direction, if the height of the single or multi-storey building does not exceed</w:t>
      </w:r>
      <w:r w:rsidR="00187404">
        <w:t>,</w:t>
      </w:r>
      <w:r w:rsidRPr="00E3748D">
        <w:t xml:space="preserve"> respectively</w:t>
      </w:r>
      <w:r w:rsidR="00187404">
        <w:t>,</w:t>
      </w:r>
      <w:r w:rsidRPr="00E3748D">
        <w:t xml:space="preserve"> 15</w:t>
      </w:r>
      <w:r w:rsidR="00187404">
        <w:t> </w:t>
      </w:r>
      <w:r w:rsidRPr="00E3748D">
        <w:t>m or 10 m</w:t>
      </w:r>
      <w:r w:rsidR="00187404">
        <w:t>,</w:t>
      </w:r>
      <w:r w:rsidRPr="00E3748D">
        <w:t xml:space="preserve"> and if the floors may be considered as rigid in their planes according </w:t>
      </w:r>
      <w:r w:rsidRPr="00220D8E">
        <w:t>to 5.1.3(6).</w:t>
      </w:r>
      <w:r w:rsidRPr="00E3748D">
        <w:t xml:space="preserve"> In that case, the structural (natural) mass eccentricity</w:t>
      </w:r>
      <w:r w:rsidR="00220D8E">
        <w:t xml:space="preserve">, </w:t>
      </w:r>
      <w:r w:rsidRPr="00E3748D">
        <w:t>multiplied by 1,1</w:t>
      </w:r>
      <w:r w:rsidR="00220D8E">
        <w:t>,</w:t>
      </w:r>
      <w:r w:rsidRPr="00E3748D">
        <w:t xml:space="preserve"> should be taken into account in both directions for the calculation of the seismic action effects</w:t>
      </w:r>
      <w:r w:rsidR="00AC09EB" w:rsidRPr="00870D59">
        <w:t>.</w:t>
      </w:r>
    </w:p>
    <w:p w14:paraId="476FEF5D" w14:textId="2DB179A7" w:rsidR="009965C7" w:rsidRPr="00870D59" w:rsidRDefault="009965C7" w:rsidP="009965C7">
      <w:pPr>
        <w:pStyle w:val="Heading3"/>
      </w:pPr>
      <w:bookmarkStart w:id="616" w:name="_Toc16927625"/>
      <w:bookmarkStart w:id="617" w:name="_Toc50150278"/>
      <w:bookmarkStart w:id="618" w:name="_Toc70886709"/>
      <w:bookmarkStart w:id="619" w:name="_Toc108342209"/>
      <w:bookmarkStart w:id="620" w:name="_Toc134197799"/>
      <w:r w:rsidRPr="00132C1E">
        <w:t>Masses</w:t>
      </w:r>
      <w:bookmarkEnd w:id="616"/>
      <w:bookmarkEnd w:id="617"/>
      <w:bookmarkEnd w:id="618"/>
      <w:bookmarkEnd w:id="619"/>
      <w:bookmarkEnd w:id="620"/>
    </w:p>
    <w:p w14:paraId="380AA9AA" w14:textId="5B421E72" w:rsidR="009965C7" w:rsidRDefault="009965C7" w:rsidP="0080187E">
      <w:pPr>
        <w:pStyle w:val="Clause"/>
        <w:numPr>
          <w:ilvl w:val="0"/>
          <w:numId w:val="45"/>
        </w:numPr>
      </w:pPr>
      <w:r w:rsidRPr="00132C1E">
        <w:t xml:space="preserve">The combination coefficients </w:t>
      </w:r>
      <w:r w:rsidRPr="002B284D">
        <w:rPr>
          <w:rFonts w:ascii="Symbol" w:eastAsia="Symbol" w:hAnsi="Symbol" w:cs="Symbol"/>
          <w:i/>
        </w:rPr>
        <w:t></w:t>
      </w:r>
      <w:r w:rsidRPr="002B284D">
        <w:rPr>
          <w:vertAlign w:val="subscript"/>
        </w:rPr>
        <w:t>E</w:t>
      </w:r>
      <w:r w:rsidRPr="002B284D">
        <w:rPr>
          <w:i/>
          <w:vertAlign w:val="subscript"/>
        </w:rPr>
        <w:t>i</w:t>
      </w:r>
      <w:r w:rsidRPr="00132C1E">
        <w:t xml:space="preserve"> in </w:t>
      </w:r>
      <w:r>
        <w:t>prEN</w:t>
      </w:r>
      <w:r w:rsidR="00220D8E">
        <w:t> </w:t>
      </w:r>
      <w:r>
        <w:t>1998-1-1:</w:t>
      </w:r>
      <w:r w:rsidRPr="001430D9">
        <w:t>2022, 6.2.1(3), for the masses</w:t>
      </w:r>
      <w:r w:rsidRPr="00132C1E">
        <w:t xml:space="preserve"> associated to variable actions should be calculated </w:t>
      </w:r>
      <w:r>
        <w:t>with</w:t>
      </w:r>
      <w:r w:rsidRPr="00132C1E">
        <w:t xml:space="preserve"> Formula (5.1) where</w:t>
      </w:r>
      <w:r w:rsidRPr="002B284D">
        <w:rPr>
          <w:i/>
        </w:rPr>
        <w:t xml:space="preserve"> </w:t>
      </w:r>
      <w:r w:rsidRPr="002B284D">
        <w:rPr>
          <w:rFonts w:ascii="Symbol" w:hAnsi="Symbol"/>
          <w:i/>
        </w:rPr>
        <w:t></w:t>
      </w:r>
      <w:r w:rsidRPr="00132C1E">
        <w:t xml:space="preserve"> values should not be smaller than those given in Table 5.1</w:t>
      </w:r>
      <w:r w:rsidRPr="00870D59">
        <w:t>.</w:t>
      </w:r>
    </w:p>
    <w:p w14:paraId="6DFD056A" w14:textId="5FB15474" w:rsidR="00BF19B2" w:rsidRPr="00870D59" w:rsidRDefault="009B5CEC" w:rsidP="00BF19B2">
      <w:pPr>
        <w:pStyle w:val="Formula"/>
        <w:spacing w:before="240"/>
      </w:pPr>
      <m:oMath>
        <m:sSub>
          <m:sSubPr>
            <m:ctrlPr>
              <w:rPr>
                <w:rFonts w:ascii="Cambria Math" w:hAnsi="Cambria Math"/>
              </w:rPr>
            </m:ctrlPr>
          </m:sSubPr>
          <m:e>
            <m:r>
              <w:rPr>
                <w:rFonts w:ascii="Cambria Math" w:hAnsi="Cambria Math"/>
              </w:rPr>
              <m:t>ψ</m:t>
            </m:r>
          </m:e>
          <m:sub>
            <m:r>
              <m:rPr>
                <m:sty m:val="p"/>
              </m:rPr>
              <w:rPr>
                <w:rFonts w:ascii="Cambria Math" w:hAnsi="Cambria Math"/>
              </w:rPr>
              <m:t>Ei</m:t>
            </m:r>
          </m:sub>
        </m:sSub>
        <m:r>
          <w:rPr>
            <w:rFonts w:ascii="Cambria Math" w:hAnsi="Cambria Math"/>
          </w:rPr>
          <m:t>=ϕ </m:t>
        </m:r>
        <m:sSub>
          <m:sSubPr>
            <m:ctrlPr>
              <w:rPr>
                <w:rFonts w:ascii="Cambria Math" w:hAnsi="Cambria Math"/>
              </w:rPr>
            </m:ctrlPr>
          </m:sSubPr>
          <m:e>
            <m:r>
              <w:rPr>
                <w:rFonts w:ascii="Cambria Math" w:hAnsi="Cambria Math"/>
              </w:rPr>
              <m:t>ψ</m:t>
            </m:r>
          </m:e>
          <m:sub>
            <m:r>
              <m:rPr>
                <m:sty m:val="p"/>
              </m:rPr>
              <w:rPr>
                <w:rFonts w:ascii="Cambria Math" w:hAnsi="Cambria Math"/>
              </w:rPr>
              <m:t>2i</m:t>
            </m:r>
          </m:sub>
        </m:sSub>
      </m:oMath>
      <w:r w:rsidR="00BF19B2" w:rsidRPr="00870D59">
        <w:tab/>
        <w:t>(</w:t>
      </w:r>
      <w:r w:rsidR="00BF19B2">
        <w:t>5</w:t>
      </w:r>
      <w:r w:rsidR="00BF19B2" w:rsidRPr="00870D59">
        <w:t>.1)</w:t>
      </w:r>
    </w:p>
    <w:p w14:paraId="4E0C4B03" w14:textId="23870219" w:rsidR="00AC09EB" w:rsidRPr="00870D59" w:rsidRDefault="00AC09EB" w:rsidP="00AC09EB">
      <w:pPr>
        <w:pStyle w:val="Tabletitle"/>
      </w:pPr>
      <w:r w:rsidRPr="00870D59">
        <w:rPr>
          <w:color w:val="000000" w:themeColor="text1"/>
        </w:rPr>
        <w:t xml:space="preserve">Table </w:t>
      </w:r>
      <w:r w:rsidR="00C762ED" w:rsidRPr="00870D59">
        <w:rPr>
          <w:color w:val="000000" w:themeColor="text1"/>
        </w:rPr>
        <w:t>5</w:t>
      </w:r>
      <w:r w:rsidRPr="00870D59">
        <w:rPr>
          <w:color w:val="000000" w:themeColor="text1"/>
        </w:rPr>
        <w:t>.</w:t>
      </w:r>
      <w:r w:rsidR="00C762ED" w:rsidRPr="00870D59">
        <w:rPr>
          <w:color w:val="000000" w:themeColor="text1"/>
        </w:rPr>
        <w:t>1</w:t>
      </w:r>
      <w:r w:rsidRPr="00870D59">
        <w:rPr>
          <w:color w:val="000000" w:themeColor="text1"/>
        </w:rPr>
        <w:t xml:space="preserve"> </w:t>
      </w:r>
      <w:r w:rsidRPr="00870D59">
        <w:rPr>
          <w:rFonts w:ascii="`ÃÍœ˛" w:eastAsia="Cambria" w:hAnsi="`ÃÍœ˛" w:cs="`ÃÍœ˛"/>
          <w:color w:val="000000" w:themeColor="text1"/>
          <w:lang w:eastAsia="de-DE"/>
        </w:rPr>
        <w:t>—</w:t>
      </w:r>
      <w:r w:rsidRPr="00870D59">
        <w:rPr>
          <w:color w:val="000000" w:themeColor="text1"/>
        </w:rPr>
        <w:t> </w:t>
      </w:r>
      <w:r w:rsidR="009965C7" w:rsidRPr="00D1484A">
        <w:t xml:space="preserve">Minimum values of </w:t>
      </w:r>
      <w:r w:rsidR="009965C7" w:rsidRPr="00D1484A">
        <w:rPr>
          <w:rFonts w:ascii="Symbol" w:eastAsia="Symbol" w:hAnsi="Symbol" w:cs="Symbol"/>
          <w:i/>
        </w:rPr>
        <w:t></w:t>
      </w:r>
      <w:r w:rsidR="009965C7" w:rsidRPr="00D1484A">
        <w:t xml:space="preserve"> </w:t>
      </w:r>
      <w:r w:rsidR="009965C7">
        <w:t xml:space="preserve"> </w:t>
      </w:r>
      <w:r w:rsidR="009965C7" w:rsidRPr="00D1484A">
        <w:t xml:space="preserve">for calculating </w:t>
      </w:r>
      <w:r w:rsidR="009965C7" w:rsidRPr="00D1484A">
        <w:rPr>
          <w:rFonts w:ascii="Symbol" w:eastAsia="Symbol" w:hAnsi="Symbol" w:cs="Symbol"/>
          <w:i/>
        </w:rPr>
        <w:t></w:t>
      </w:r>
      <w:r w:rsidR="009965C7" w:rsidRPr="00D1484A">
        <w:rPr>
          <w:vertAlign w:val="subscript"/>
        </w:rPr>
        <w:t>E</w:t>
      </w:r>
      <w:r w:rsidR="009965C7" w:rsidRPr="00D1484A">
        <w:rPr>
          <w:i/>
          <w:vertAlign w:val="subscript"/>
        </w:rPr>
        <w:t>i</w:t>
      </w:r>
    </w:p>
    <w:tbl>
      <w:tblPr>
        <w:tblStyle w:val="TableGrid"/>
        <w:tblW w:w="0" w:type="auto"/>
        <w:jc w:val="center"/>
        <w:tblLook w:val="04A0" w:firstRow="1" w:lastRow="0" w:firstColumn="1" w:lastColumn="0" w:noHBand="0" w:noVBand="1"/>
      </w:tblPr>
      <w:tblGrid>
        <w:gridCol w:w="5379"/>
        <w:gridCol w:w="626"/>
      </w:tblGrid>
      <w:tr w:rsidR="00C762ED" w:rsidRPr="00870D59" w14:paraId="21410857" w14:textId="77777777" w:rsidTr="00C762ED">
        <w:trPr>
          <w:jc w:val="center"/>
        </w:trPr>
        <w:tc>
          <w:tcPr>
            <w:tcW w:w="5379" w:type="dxa"/>
          </w:tcPr>
          <w:p w14:paraId="19CAE197" w14:textId="621BF2BA" w:rsidR="00C762ED" w:rsidRPr="00870D59" w:rsidRDefault="00C762ED" w:rsidP="000A0223">
            <w:pPr>
              <w:rPr>
                <w:b/>
                <w:bCs/>
              </w:rPr>
            </w:pPr>
            <w:r w:rsidRPr="00870D59">
              <w:rPr>
                <w:b/>
                <w:bCs/>
              </w:rPr>
              <w:t>Type of variable action</w:t>
            </w:r>
          </w:p>
        </w:tc>
        <w:tc>
          <w:tcPr>
            <w:tcW w:w="626" w:type="dxa"/>
          </w:tcPr>
          <w:p w14:paraId="173D2F01" w14:textId="326F448A" w:rsidR="00C762ED" w:rsidRPr="00220D8E" w:rsidRDefault="009965C7" w:rsidP="009965C7">
            <w:pPr>
              <w:jc w:val="center"/>
              <w:rPr>
                <w:b/>
                <w:bCs/>
                <w:i/>
                <w:iCs/>
              </w:rPr>
            </w:pPr>
            <w:r w:rsidRPr="00220D8E">
              <w:rPr>
                <w:rFonts w:ascii="Symbol" w:eastAsia="Symbol" w:hAnsi="Symbol" w:cs="Symbol"/>
                <w:i/>
                <w:iCs/>
              </w:rPr>
              <w:t></w:t>
            </w:r>
          </w:p>
        </w:tc>
      </w:tr>
      <w:tr w:rsidR="009965C7" w:rsidRPr="00870D59" w14:paraId="7E0B51ED" w14:textId="77777777" w:rsidTr="002061E5">
        <w:trPr>
          <w:jc w:val="center"/>
        </w:trPr>
        <w:tc>
          <w:tcPr>
            <w:tcW w:w="5379" w:type="dxa"/>
          </w:tcPr>
          <w:p w14:paraId="1494EBA6" w14:textId="6B3071D3" w:rsidR="009965C7" w:rsidRPr="00870D59" w:rsidRDefault="009965C7" w:rsidP="009965C7">
            <w:r w:rsidRPr="009965C7">
              <w:t>Categories* A and C</w:t>
            </w:r>
          </w:p>
        </w:tc>
        <w:tc>
          <w:tcPr>
            <w:tcW w:w="626" w:type="dxa"/>
            <w:vAlign w:val="center"/>
          </w:tcPr>
          <w:p w14:paraId="302106B6" w14:textId="535E588C" w:rsidR="009965C7" w:rsidRPr="00870D59" w:rsidRDefault="009965C7" w:rsidP="009965C7">
            <w:pPr>
              <w:jc w:val="center"/>
            </w:pPr>
            <w:r w:rsidRPr="009965C7">
              <w:t>0,5</w:t>
            </w:r>
          </w:p>
        </w:tc>
      </w:tr>
      <w:tr w:rsidR="009965C7" w:rsidRPr="00870D59" w14:paraId="0D0BA402" w14:textId="77777777" w:rsidTr="002061E5">
        <w:trPr>
          <w:jc w:val="center"/>
        </w:trPr>
        <w:tc>
          <w:tcPr>
            <w:tcW w:w="5379" w:type="dxa"/>
          </w:tcPr>
          <w:p w14:paraId="1352DAD3" w14:textId="43AC35E4" w:rsidR="009965C7" w:rsidRPr="00870D59" w:rsidRDefault="009965C7" w:rsidP="009965C7">
            <w:r w:rsidRPr="009965C7">
              <w:t>Other categories</w:t>
            </w:r>
          </w:p>
        </w:tc>
        <w:tc>
          <w:tcPr>
            <w:tcW w:w="626" w:type="dxa"/>
            <w:vAlign w:val="center"/>
          </w:tcPr>
          <w:p w14:paraId="6CA18F84" w14:textId="48A4C636" w:rsidR="009965C7" w:rsidRPr="00870D59" w:rsidRDefault="009965C7" w:rsidP="009965C7">
            <w:pPr>
              <w:jc w:val="center"/>
            </w:pPr>
            <w:r w:rsidRPr="009965C7">
              <w:t>1,0</w:t>
            </w:r>
          </w:p>
        </w:tc>
      </w:tr>
      <w:tr w:rsidR="009965C7" w:rsidRPr="009965C7" w14:paraId="45072882" w14:textId="77777777" w:rsidTr="002061E5">
        <w:trPr>
          <w:jc w:val="center"/>
        </w:trPr>
        <w:tc>
          <w:tcPr>
            <w:tcW w:w="6005" w:type="dxa"/>
            <w:gridSpan w:val="2"/>
          </w:tcPr>
          <w:p w14:paraId="0D16F6CF" w14:textId="22AEE901" w:rsidR="009965C7" w:rsidRPr="009965C7" w:rsidRDefault="009965C7" w:rsidP="009965C7">
            <w:pPr>
              <w:jc w:val="left"/>
            </w:pPr>
            <w:r w:rsidRPr="009965C7">
              <w:t>* Categories as defined in prEN</w:t>
            </w:r>
            <w:r w:rsidR="00220D8E">
              <w:t> </w:t>
            </w:r>
            <w:r w:rsidRPr="009965C7">
              <w:t>1991-1-1</w:t>
            </w:r>
            <w:r w:rsidR="00F5294D">
              <w:t>:2023</w:t>
            </w:r>
            <w:r w:rsidRPr="009965C7">
              <w:t>, Table 8.1</w:t>
            </w:r>
            <w:r w:rsidR="00220D8E">
              <w:t>.</w:t>
            </w:r>
          </w:p>
        </w:tc>
      </w:tr>
    </w:tbl>
    <w:p w14:paraId="29885BC8" w14:textId="52CF6639" w:rsidR="00D00A4E" w:rsidRPr="00870D59" w:rsidRDefault="00BF19B2" w:rsidP="00724E4E">
      <w:pPr>
        <w:pStyle w:val="Clause"/>
      </w:pPr>
      <w:r w:rsidRPr="00132C1E">
        <w:t xml:space="preserve">When the floor </w:t>
      </w:r>
      <w:r w:rsidRPr="00D1484A">
        <w:t xml:space="preserve">and roof diaphragms or bracings of the building may be considered as being rigid in their planes according </w:t>
      </w:r>
      <w:r w:rsidRPr="00220D8E">
        <w:t>to 5.1.3(6), the</w:t>
      </w:r>
      <w:r w:rsidRPr="00D1484A">
        <w:t xml:space="preserve"> masses and the mass moments of inertia of each of those planes may be lumped at the centre of gravity</w:t>
      </w:r>
      <w:r w:rsidR="00D00A4E" w:rsidRPr="00870D59">
        <w:t>.</w:t>
      </w:r>
    </w:p>
    <w:p w14:paraId="33D1C0C4" w14:textId="11069236" w:rsidR="00F24A81" w:rsidRPr="00870D59" w:rsidRDefault="00BF19B2" w:rsidP="00F24A81">
      <w:pPr>
        <w:pStyle w:val="Heading3"/>
      </w:pPr>
      <w:bookmarkStart w:id="621" w:name="_Toc16927626"/>
      <w:bookmarkStart w:id="622" w:name="_Toc50150279"/>
      <w:bookmarkStart w:id="623" w:name="_Toc70886710"/>
      <w:bookmarkStart w:id="624" w:name="_Toc108342210"/>
      <w:bookmarkStart w:id="625" w:name="_Toc134197800"/>
      <w:bookmarkEnd w:id="615"/>
      <w:r w:rsidRPr="007E6F67">
        <w:t>Stiffness</w:t>
      </w:r>
      <w:bookmarkEnd w:id="621"/>
      <w:bookmarkEnd w:id="622"/>
      <w:bookmarkEnd w:id="623"/>
      <w:bookmarkEnd w:id="624"/>
      <w:bookmarkEnd w:id="625"/>
    </w:p>
    <w:p w14:paraId="66D14CAD" w14:textId="34C86CB7" w:rsidR="00BF19B2" w:rsidRPr="00BF19B2" w:rsidRDefault="00BF19B2" w:rsidP="0080187E">
      <w:pPr>
        <w:pStyle w:val="Clause"/>
        <w:numPr>
          <w:ilvl w:val="0"/>
          <w:numId w:val="46"/>
        </w:numPr>
        <w:rPr>
          <w:rFonts w:eastAsia="Cambria"/>
        </w:rPr>
      </w:pPr>
      <w:bookmarkStart w:id="626" w:name="_Hlk31176897"/>
      <w:r w:rsidRPr="00BF19B2">
        <w:rPr>
          <w:rFonts w:eastAsia="Cambria"/>
        </w:rPr>
        <w:t xml:space="preserve">The stiffness of secondary seismic members against seismic actions should be neglected if the condition </w:t>
      </w:r>
      <w:r w:rsidRPr="00220D8E">
        <w:rPr>
          <w:rFonts w:eastAsia="Cambria"/>
        </w:rPr>
        <w:t>in 4.4.2(6)</w:t>
      </w:r>
      <w:r w:rsidR="00220D8E">
        <w:rPr>
          <w:rFonts w:eastAsia="Cambria"/>
        </w:rPr>
        <w:t> </w:t>
      </w:r>
      <w:r w:rsidRPr="00220D8E">
        <w:rPr>
          <w:rFonts w:eastAsia="Cambria"/>
        </w:rPr>
        <w:t>a) is satisfied; it should be taken into account according to 4.4.2(6)</w:t>
      </w:r>
      <w:r w:rsidR="00220D8E">
        <w:rPr>
          <w:rFonts w:eastAsia="Cambria"/>
        </w:rPr>
        <w:t> </w:t>
      </w:r>
      <w:r w:rsidRPr="00220D8E">
        <w:rPr>
          <w:rFonts w:eastAsia="Cambria"/>
        </w:rPr>
        <w:t>b) if the condition in 4.4.2(6)</w:t>
      </w:r>
      <w:r w:rsidR="00220D8E">
        <w:rPr>
          <w:rFonts w:eastAsia="Cambria"/>
        </w:rPr>
        <w:t> </w:t>
      </w:r>
      <w:r w:rsidRPr="00220D8E">
        <w:rPr>
          <w:rFonts w:eastAsia="Cambria"/>
        </w:rPr>
        <w:t>a)</w:t>
      </w:r>
      <w:r w:rsidRPr="00BF19B2">
        <w:rPr>
          <w:rFonts w:eastAsia="Cambria"/>
        </w:rPr>
        <w:t xml:space="preserve"> is not satisfied.</w:t>
      </w:r>
    </w:p>
    <w:bookmarkEnd w:id="626"/>
    <w:p w14:paraId="067766A9" w14:textId="0929E9C5" w:rsidR="00BF19B2" w:rsidRPr="00132C1E" w:rsidRDefault="00BF19B2" w:rsidP="0080187E">
      <w:pPr>
        <w:pStyle w:val="Clause"/>
        <w:numPr>
          <w:ilvl w:val="0"/>
          <w:numId w:val="46"/>
        </w:numPr>
      </w:pPr>
      <w:r w:rsidRPr="00132C1E">
        <w:t>In concrete buildings, in composite steel-concrete buildings</w:t>
      </w:r>
      <w:r>
        <w:t>,</w:t>
      </w:r>
      <w:r w:rsidRPr="00132C1E">
        <w:t xml:space="preserve"> in masonry </w:t>
      </w:r>
      <w:r w:rsidRPr="00454645">
        <w:t xml:space="preserve">buildings and in hybrid buildings as defined </w:t>
      </w:r>
      <w:r w:rsidRPr="00220D8E">
        <w:t>in 4.4.1(5), the</w:t>
      </w:r>
      <w:r w:rsidRPr="00454645">
        <w:t xml:space="preserve"> stiffness of the concrete, composite and masonry primary seismic members should </w:t>
      </w:r>
      <w:r w:rsidRPr="00132C1E">
        <w:t>be evaluated considering the effect</w:t>
      </w:r>
      <w:r w:rsidR="00220D8E">
        <w:t>s</w:t>
      </w:r>
      <w:r w:rsidRPr="00132C1E">
        <w:t xml:space="preserve"> of cracking. For concrete members and composite steel-concrete members, this effect may be considered </w:t>
      </w:r>
      <w:r w:rsidR="00220D8E">
        <w:t>by</w:t>
      </w:r>
      <w:r w:rsidRPr="00132C1E">
        <w:t xml:space="preserve"> adopting the stiffness corresponding to the initiation of yielding of the reinforcement, considering mean values of material properties and the presence of axial forces.</w:t>
      </w:r>
    </w:p>
    <w:p w14:paraId="2DAA24C2" w14:textId="2FC8FF88" w:rsidR="00BF19B2" w:rsidRPr="00132C1E" w:rsidRDefault="00BF19B2" w:rsidP="0080187E">
      <w:pPr>
        <w:pStyle w:val="Clause"/>
        <w:numPr>
          <w:ilvl w:val="0"/>
          <w:numId w:val="46"/>
        </w:numPr>
      </w:pPr>
      <w:r w:rsidRPr="00132C1E">
        <w:t xml:space="preserve">Unless a more accurate analysis of the cracked members is performed, the elastic flexural and shear stiffness properties of </w:t>
      </w:r>
      <w:r w:rsidRPr="00454645">
        <w:t xml:space="preserve">concrete, composite and masonry members </w:t>
      </w:r>
      <w:r w:rsidRPr="00132C1E">
        <w:t xml:space="preserve">according </w:t>
      </w:r>
      <w:r w:rsidRPr="00220D8E">
        <w:t>to (2) may</w:t>
      </w:r>
      <w:r w:rsidRPr="00132C1E">
        <w:t xml:space="preserve"> be taken to be equal to one-half of the corresponding stiffness of the uncracked members or to other fractions, if any, of the corresponding stiffness of the uncracked members defined </w:t>
      </w:r>
      <w:r w:rsidRPr="00220D8E">
        <w:t xml:space="preserve">in </w:t>
      </w:r>
      <w:r w:rsidR="006633B5">
        <w:t xml:space="preserve">Clauses </w:t>
      </w:r>
      <w:r w:rsidRPr="00220D8E">
        <w:t>10, 11, 12, 13, 14 or 15.</w:t>
      </w:r>
    </w:p>
    <w:p w14:paraId="7350E543" w14:textId="39E4855B" w:rsidR="00BF19B2" w:rsidRPr="00132C1E" w:rsidRDefault="00BF19B2" w:rsidP="0080187E">
      <w:pPr>
        <w:pStyle w:val="Clause"/>
        <w:numPr>
          <w:ilvl w:val="0"/>
          <w:numId w:val="46"/>
        </w:numPr>
      </w:pPr>
      <w:r w:rsidRPr="00132C1E">
        <w:lastRenderedPageBreak/>
        <w:t xml:space="preserve">According to </w:t>
      </w:r>
      <w:r>
        <w:t>prEN</w:t>
      </w:r>
      <w:r w:rsidR="00220D8E">
        <w:t> </w:t>
      </w:r>
      <w:r>
        <w:t>1998-1-1:2022</w:t>
      </w:r>
      <w:r w:rsidRPr="00220D8E">
        <w:t>, 6.2.1(6), infill</w:t>
      </w:r>
      <w:r w:rsidRPr="00132C1E">
        <w:t xml:space="preserve"> walls which contribute significantly to the lateral stiffness and resistance of the building should be considered.</w:t>
      </w:r>
    </w:p>
    <w:p w14:paraId="017843CA" w14:textId="77777777" w:rsidR="00BF19B2" w:rsidRPr="00132C1E" w:rsidRDefault="00BF19B2" w:rsidP="00BF19B2">
      <w:pPr>
        <w:pStyle w:val="Notetext"/>
      </w:pPr>
      <w:r w:rsidRPr="00132C1E">
        <w:t>NOTE</w:t>
      </w:r>
      <w:r w:rsidRPr="00132C1E">
        <w:tab/>
      </w:r>
      <w:r w:rsidRPr="00220D8E">
        <w:t>See 7.4 for</w:t>
      </w:r>
      <w:r w:rsidRPr="00132C1E">
        <w:t xml:space="preserve"> masonry infills of concrete, steel or composite frames.</w:t>
      </w:r>
    </w:p>
    <w:p w14:paraId="7DCD4703" w14:textId="46A30FEF" w:rsidR="00BF19B2" w:rsidRPr="00132C1E" w:rsidRDefault="00BF19B2" w:rsidP="0080187E">
      <w:pPr>
        <w:pStyle w:val="Clause"/>
        <w:numPr>
          <w:ilvl w:val="0"/>
          <w:numId w:val="46"/>
        </w:numPr>
      </w:pPr>
      <w:r w:rsidRPr="00132C1E">
        <w:t xml:space="preserve">For non-linear analyses, the model should comply with </w:t>
      </w:r>
      <w:r>
        <w:t>prEN</w:t>
      </w:r>
      <w:r w:rsidR="00220D8E">
        <w:t> </w:t>
      </w:r>
      <w:r>
        <w:t>1998-1-1:2022</w:t>
      </w:r>
      <w:r w:rsidRPr="00220D8E">
        <w:t>, 6.2.1 to 6.2.3.</w:t>
      </w:r>
    </w:p>
    <w:p w14:paraId="472A4BDB" w14:textId="152A0981" w:rsidR="00BF19B2" w:rsidRPr="00220D8E" w:rsidRDefault="00BF19B2" w:rsidP="0080187E">
      <w:pPr>
        <w:pStyle w:val="Clause"/>
        <w:numPr>
          <w:ilvl w:val="0"/>
          <w:numId w:val="46"/>
        </w:numPr>
      </w:pPr>
      <w:r w:rsidRPr="00132C1E">
        <w:t>When appropriate for the application of the relevant provisions of this standard, a floor or a roof may be considered as being rigid in</w:t>
      </w:r>
      <w:r w:rsidR="00220D8E">
        <w:t>-</w:t>
      </w:r>
      <w:r w:rsidRPr="00132C1E">
        <w:t xml:space="preserve">plane in a given direction if it satisfies related rules per material and structural types </w:t>
      </w:r>
      <w:r w:rsidRPr="00220D8E">
        <w:t xml:space="preserve">in </w:t>
      </w:r>
      <w:r w:rsidR="00A8285E">
        <w:t xml:space="preserve">Clauses </w:t>
      </w:r>
      <w:r w:rsidRPr="00220D8E">
        <w:t>10 to 15.</w:t>
      </w:r>
    </w:p>
    <w:p w14:paraId="3CACE90D" w14:textId="06999C4C" w:rsidR="00BF19B2" w:rsidRPr="00220D8E" w:rsidRDefault="00BF19B2" w:rsidP="00BF19B2">
      <w:pPr>
        <w:pStyle w:val="Notetext"/>
      </w:pPr>
      <w:r w:rsidRPr="00C00EBD">
        <w:t>NOTE</w:t>
      </w:r>
      <w:r w:rsidRPr="00C00EBD">
        <w:tab/>
        <w:t xml:space="preserve">These rules are, in particular, </w:t>
      </w:r>
      <w:r w:rsidR="00220D8E">
        <w:t xml:space="preserve">detailed </w:t>
      </w:r>
      <w:r w:rsidRPr="00220D8E">
        <w:t>in 10.12, 10.14.2, 10.14.5, 11.17, 13.5(4), 13.5(5), 14.4, 14.5.2.3 and 15.13.</w:t>
      </w:r>
    </w:p>
    <w:p w14:paraId="2858B9C6" w14:textId="653F0CE0" w:rsidR="00C14C71" w:rsidRPr="00870D59" w:rsidRDefault="00BF19B2" w:rsidP="00BF19B2">
      <w:pPr>
        <w:pStyle w:val="Heading2"/>
      </w:pPr>
      <w:bookmarkStart w:id="627" w:name="_Toc19454501"/>
      <w:bookmarkStart w:id="628" w:name="_Toc19462272"/>
      <w:bookmarkStart w:id="629" w:name="_Toc19463030"/>
      <w:bookmarkStart w:id="630" w:name="_Toc19464235"/>
      <w:bookmarkStart w:id="631" w:name="_Toc19464660"/>
      <w:bookmarkStart w:id="632" w:name="_Toc19465263"/>
      <w:bookmarkStart w:id="633" w:name="_Toc19466645"/>
      <w:bookmarkStart w:id="634" w:name="_Toc20401775"/>
      <w:bookmarkStart w:id="635" w:name="_Toc20406550"/>
      <w:bookmarkStart w:id="636" w:name="_Toc20412460"/>
      <w:bookmarkStart w:id="637" w:name="_Toc20413506"/>
      <w:bookmarkStart w:id="638" w:name="_Toc20413841"/>
      <w:bookmarkStart w:id="639" w:name="_Toc19454502"/>
      <w:bookmarkStart w:id="640" w:name="_Toc19462273"/>
      <w:bookmarkStart w:id="641" w:name="_Toc19463031"/>
      <w:bookmarkStart w:id="642" w:name="_Toc19464236"/>
      <w:bookmarkStart w:id="643" w:name="_Toc19464661"/>
      <w:bookmarkStart w:id="644" w:name="_Toc19465264"/>
      <w:bookmarkStart w:id="645" w:name="_Toc19466646"/>
      <w:bookmarkStart w:id="646" w:name="_Toc20401776"/>
      <w:bookmarkStart w:id="647" w:name="_Toc20406551"/>
      <w:bookmarkStart w:id="648" w:name="_Toc20412461"/>
      <w:bookmarkStart w:id="649" w:name="_Toc20413507"/>
      <w:bookmarkStart w:id="650" w:name="_Toc20413842"/>
      <w:bookmarkStart w:id="651" w:name="_Toc19454503"/>
      <w:bookmarkStart w:id="652" w:name="_Toc19462274"/>
      <w:bookmarkStart w:id="653" w:name="_Toc19463032"/>
      <w:bookmarkStart w:id="654" w:name="_Toc19464237"/>
      <w:bookmarkStart w:id="655" w:name="_Toc19464662"/>
      <w:bookmarkStart w:id="656" w:name="_Toc19465265"/>
      <w:bookmarkStart w:id="657" w:name="_Toc19466647"/>
      <w:bookmarkStart w:id="658" w:name="_Toc20401777"/>
      <w:bookmarkStart w:id="659" w:name="_Toc20406552"/>
      <w:bookmarkStart w:id="660" w:name="_Toc20412462"/>
      <w:bookmarkStart w:id="661" w:name="_Toc20413508"/>
      <w:bookmarkStart w:id="662" w:name="_Toc20413843"/>
      <w:bookmarkStart w:id="663" w:name="_Toc19454504"/>
      <w:bookmarkStart w:id="664" w:name="_Toc19462275"/>
      <w:bookmarkStart w:id="665" w:name="_Toc19463033"/>
      <w:bookmarkStart w:id="666" w:name="_Toc19464238"/>
      <w:bookmarkStart w:id="667" w:name="_Toc19464663"/>
      <w:bookmarkStart w:id="668" w:name="_Toc19465266"/>
      <w:bookmarkStart w:id="669" w:name="_Toc19466648"/>
      <w:bookmarkStart w:id="670" w:name="_Toc20401778"/>
      <w:bookmarkStart w:id="671" w:name="_Toc20406553"/>
      <w:bookmarkStart w:id="672" w:name="_Toc20412463"/>
      <w:bookmarkStart w:id="673" w:name="_Toc20413509"/>
      <w:bookmarkStart w:id="674" w:name="_Toc20413844"/>
      <w:bookmarkStart w:id="675" w:name="_Toc19454506"/>
      <w:bookmarkStart w:id="676" w:name="_Toc19462277"/>
      <w:bookmarkStart w:id="677" w:name="_Toc19463035"/>
      <w:bookmarkStart w:id="678" w:name="_Toc19464240"/>
      <w:bookmarkStart w:id="679" w:name="_Toc19464665"/>
      <w:bookmarkStart w:id="680" w:name="_Toc19465268"/>
      <w:bookmarkStart w:id="681" w:name="_Toc19466650"/>
      <w:bookmarkStart w:id="682" w:name="_Toc20401780"/>
      <w:bookmarkStart w:id="683" w:name="_Toc20406555"/>
      <w:bookmarkStart w:id="684" w:name="_Toc20412465"/>
      <w:bookmarkStart w:id="685" w:name="_Toc20413511"/>
      <w:bookmarkStart w:id="686" w:name="_Toc20413846"/>
      <w:bookmarkStart w:id="687" w:name="_Toc19454510"/>
      <w:bookmarkStart w:id="688" w:name="_Toc19462281"/>
      <w:bookmarkStart w:id="689" w:name="_Toc19463039"/>
      <w:bookmarkStart w:id="690" w:name="_Toc19464244"/>
      <w:bookmarkStart w:id="691" w:name="_Toc19464669"/>
      <w:bookmarkStart w:id="692" w:name="_Toc19465272"/>
      <w:bookmarkStart w:id="693" w:name="_Toc19466654"/>
      <w:bookmarkStart w:id="694" w:name="_Toc20401784"/>
      <w:bookmarkStart w:id="695" w:name="_Toc20406559"/>
      <w:bookmarkStart w:id="696" w:name="_Toc20412469"/>
      <w:bookmarkStart w:id="697" w:name="_Toc20413515"/>
      <w:bookmarkStart w:id="698" w:name="_Toc20413850"/>
      <w:bookmarkStart w:id="699" w:name="_Toc19454566"/>
      <w:bookmarkStart w:id="700" w:name="_Toc19462337"/>
      <w:bookmarkStart w:id="701" w:name="_Toc19463095"/>
      <w:bookmarkStart w:id="702" w:name="_Toc19464300"/>
      <w:bookmarkStart w:id="703" w:name="_Toc19464725"/>
      <w:bookmarkStart w:id="704" w:name="_Toc19465328"/>
      <w:bookmarkStart w:id="705" w:name="_Toc19466710"/>
      <w:bookmarkStart w:id="706" w:name="_Toc20401840"/>
      <w:bookmarkStart w:id="707" w:name="_Toc20406615"/>
      <w:bookmarkStart w:id="708" w:name="_Toc20412525"/>
      <w:bookmarkStart w:id="709" w:name="_Toc20413571"/>
      <w:bookmarkStart w:id="710" w:name="_Toc20413906"/>
      <w:bookmarkStart w:id="711" w:name="_Toc19454567"/>
      <w:bookmarkStart w:id="712" w:name="_Toc19462338"/>
      <w:bookmarkStart w:id="713" w:name="_Toc19463096"/>
      <w:bookmarkStart w:id="714" w:name="_Toc19464301"/>
      <w:bookmarkStart w:id="715" w:name="_Toc19464726"/>
      <w:bookmarkStart w:id="716" w:name="_Toc19465329"/>
      <w:bookmarkStart w:id="717" w:name="_Toc19466711"/>
      <w:bookmarkStart w:id="718" w:name="_Toc20401841"/>
      <w:bookmarkStart w:id="719" w:name="_Toc20406616"/>
      <w:bookmarkStart w:id="720" w:name="_Toc20412526"/>
      <w:bookmarkStart w:id="721" w:name="_Toc20413572"/>
      <w:bookmarkStart w:id="722" w:name="_Toc20413907"/>
      <w:bookmarkStart w:id="723" w:name="_Toc19454568"/>
      <w:bookmarkStart w:id="724" w:name="_Toc19462339"/>
      <w:bookmarkStart w:id="725" w:name="_Toc19463097"/>
      <w:bookmarkStart w:id="726" w:name="_Toc19464302"/>
      <w:bookmarkStart w:id="727" w:name="_Toc19464727"/>
      <w:bookmarkStart w:id="728" w:name="_Toc19465330"/>
      <w:bookmarkStart w:id="729" w:name="_Toc19466712"/>
      <w:bookmarkStart w:id="730" w:name="_Toc20401842"/>
      <w:bookmarkStart w:id="731" w:name="_Toc20406617"/>
      <w:bookmarkStart w:id="732" w:name="_Toc20412527"/>
      <w:bookmarkStart w:id="733" w:name="_Toc20413573"/>
      <w:bookmarkStart w:id="734" w:name="_Toc20413908"/>
      <w:bookmarkStart w:id="735" w:name="_Toc19454572"/>
      <w:bookmarkStart w:id="736" w:name="_Toc19462343"/>
      <w:bookmarkStart w:id="737" w:name="_Toc19463101"/>
      <w:bookmarkStart w:id="738" w:name="_Toc19464306"/>
      <w:bookmarkStart w:id="739" w:name="_Toc19464731"/>
      <w:bookmarkStart w:id="740" w:name="_Toc19465334"/>
      <w:bookmarkStart w:id="741" w:name="_Toc19466716"/>
      <w:bookmarkStart w:id="742" w:name="_Toc19454573"/>
      <w:bookmarkStart w:id="743" w:name="_Toc19462344"/>
      <w:bookmarkStart w:id="744" w:name="_Toc19463102"/>
      <w:bookmarkStart w:id="745" w:name="_Toc19464307"/>
      <w:bookmarkStart w:id="746" w:name="_Toc19464732"/>
      <w:bookmarkStart w:id="747" w:name="_Toc19465335"/>
      <w:bookmarkStart w:id="748" w:name="_Toc19466717"/>
      <w:bookmarkStart w:id="749" w:name="_Toc19454574"/>
      <w:bookmarkStart w:id="750" w:name="_Toc19462345"/>
      <w:bookmarkStart w:id="751" w:name="_Toc19463103"/>
      <w:bookmarkStart w:id="752" w:name="_Toc19464308"/>
      <w:bookmarkStart w:id="753" w:name="_Toc19464733"/>
      <w:bookmarkStart w:id="754" w:name="_Toc19465336"/>
      <w:bookmarkStart w:id="755" w:name="_Toc19466718"/>
      <w:bookmarkStart w:id="756" w:name="_Toc19454575"/>
      <w:bookmarkStart w:id="757" w:name="_Toc19462346"/>
      <w:bookmarkStart w:id="758" w:name="_Toc19463104"/>
      <w:bookmarkStart w:id="759" w:name="_Toc19464309"/>
      <w:bookmarkStart w:id="760" w:name="_Toc19464734"/>
      <w:bookmarkStart w:id="761" w:name="_Toc19465337"/>
      <w:bookmarkStart w:id="762" w:name="_Toc19466719"/>
      <w:bookmarkStart w:id="763" w:name="_Toc19454576"/>
      <w:bookmarkStart w:id="764" w:name="_Toc19462347"/>
      <w:bookmarkStart w:id="765" w:name="_Toc19463105"/>
      <w:bookmarkStart w:id="766" w:name="_Toc19464310"/>
      <w:bookmarkStart w:id="767" w:name="_Toc19464735"/>
      <w:bookmarkStart w:id="768" w:name="_Toc19465338"/>
      <w:bookmarkStart w:id="769" w:name="_Toc19466720"/>
      <w:bookmarkStart w:id="770" w:name="_Toc19454577"/>
      <w:bookmarkStart w:id="771" w:name="_Toc19462348"/>
      <w:bookmarkStart w:id="772" w:name="_Toc19463106"/>
      <w:bookmarkStart w:id="773" w:name="_Toc19464311"/>
      <w:bookmarkStart w:id="774" w:name="_Toc19464736"/>
      <w:bookmarkStart w:id="775" w:name="_Toc19465339"/>
      <w:bookmarkStart w:id="776" w:name="_Toc19466721"/>
      <w:bookmarkStart w:id="777" w:name="_Toc19454578"/>
      <w:bookmarkStart w:id="778" w:name="_Toc19462349"/>
      <w:bookmarkStart w:id="779" w:name="_Toc19463107"/>
      <w:bookmarkStart w:id="780" w:name="_Toc19464312"/>
      <w:bookmarkStart w:id="781" w:name="_Toc19464737"/>
      <w:bookmarkStart w:id="782" w:name="_Toc19465340"/>
      <w:bookmarkStart w:id="783" w:name="_Toc19466722"/>
      <w:bookmarkStart w:id="784" w:name="_Toc19454579"/>
      <w:bookmarkStart w:id="785" w:name="_Toc19462350"/>
      <w:bookmarkStart w:id="786" w:name="_Toc19463108"/>
      <w:bookmarkStart w:id="787" w:name="_Toc19464313"/>
      <w:bookmarkStart w:id="788" w:name="_Toc19464738"/>
      <w:bookmarkStart w:id="789" w:name="_Toc19465341"/>
      <w:bookmarkStart w:id="790" w:name="_Toc19466723"/>
      <w:bookmarkStart w:id="791" w:name="_Toc19454580"/>
      <w:bookmarkStart w:id="792" w:name="_Toc19462351"/>
      <w:bookmarkStart w:id="793" w:name="_Toc19463109"/>
      <w:bookmarkStart w:id="794" w:name="_Toc19464314"/>
      <w:bookmarkStart w:id="795" w:name="_Toc19464739"/>
      <w:bookmarkStart w:id="796" w:name="_Toc19465342"/>
      <w:bookmarkStart w:id="797" w:name="_Toc19466724"/>
      <w:bookmarkStart w:id="798" w:name="_Toc19454581"/>
      <w:bookmarkStart w:id="799" w:name="_Toc19462352"/>
      <w:bookmarkStart w:id="800" w:name="_Toc19463110"/>
      <w:bookmarkStart w:id="801" w:name="_Toc19464315"/>
      <w:bookmarkStart w:id="802" w:name="_Toc19464740"/>
      <w:bookmarkStart w:id="803" w:name="_Toc19465343"/>
      <w:bookmarkStart w:id="804" w:name="_Toc19466725"/>
      <w:bookmarkStart w:id="805" w:name="_Toc19454582"/>
      <w:bookmarkStart w:id="806" w:name="_Toc19462353"/>
      <w:bookmarkStart w:id="807" w:name="_Toc19463111"/>
      <w:bookmarkStart w:id="808" w:name="_Toc19464316"/>
      <w:bookmarkStart w:id="809" w:name="_Toc19464741"/>
      <w:bookmarkStart w:id="810" w:name="_Toc19465344"/>
      <w:bookmarkStart w:id="811" w:name="_Toc19466726"/>
      <w:bookmarkStart w:id="812" w:name="_Toc19462354"/>
      <w:bookmarkStart w:id="813" w:name="_Toc19463112"/>
      <w:bookmarkStart w:id="814" w:name="_Toc19464317"/>
      <w:bookmarkStart w:id="815" w:name="_Toc19464742"/>
      <w:bookmarkStart w:id="816" w:name="_Toc19465345"/>
      <w:bookmarkStart w:id="817" w:name="_Toc19466727"/>
      <w:bookmarkStart w:id="818" w:name="_Toc19462355"/>
      <w:bookmarkStart w:id="819" w:name="_Toc19463113"/>
      <w:bookmarkStart w:id="820" w:name="_Toc19464318"/>
      <w:bookmarkStart w:id="821" w:name="_Toc19464743"/>
      <w:bookmarkStart w:id="822" w:name="_Toc19465346"/>
      <w:bookmarkStart w:id="823" w:name="_Toc19466728"/>
      <w:bookmarkStart w:id="824" w:name="_Toc19462356"/>
      <w:bookmarkStart w:id="825" w:name="_Toc19463114"/>
      <w:bookmarkStart w:id="826" w:name="_Toc19464319"/>
      <w:bookmarkStart w:id="827" w:name="_Toc19464744"/>
      <w:bookmarkStart w:id="828" w:name="_Toc19465347"/>
      <w:bookmarkStart w:id="829" w:name="_Toc19466729"/>
      <w:bookmarkStart w:id="830" w:name="_Toc19462357"/>
      <w:bookmarkStart w:id="831" w:name="_Toc19463115"/>
      <w:bookmarkStart w:id="832" w:name="_Toc19464320"/>
      <w:bookmarkStart w:id="833" w:name="_Toc19464745"/>
      <w:bookmarkStart w:id="834" w:name="_Toc19465348"/>
      <w:bookmarkStart w:id="835" w:name="_Toc19466730"/>
      <w:bookmarkStart w:id="836" w:name="_Toc19462358"/>
      <w:bookmarkStart w:id="837" w:name="_Toc19463116"/>
      <w:bookmarkStart w:id="838" w:name="_Toc19464321"/>
      <w:bookmarkStart w:id="839" w:name="_Toc19464746"/>
      <w:bookmarkStart w:id="840" w:name="_Toc19465349"/>
      <w:bookmarkStart w:id="841" w:name="_Toc19466731"/>
      <w:bookmarkStart w:id="842" w:name="_Toc16927627"/>
      <w:bookmarkStart w:id="843" w:name="_Toc50150280"/>
      <w:bookmarkStart w:id="844" w:name="_Toc70886711"/>
      <w:bookmarkStart w:id="845" w:name="_Toc108342211"/>
      <w:bookmarkStart w:id="846" w:name="_Toc134197801"/>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r w:rsidRPr="00132C1E">
        <w:t>Minimum design eccentricity in buildings</w:t>
      </w:r>
      <w:bookmarkEnd w:id="842"/>
      <w:bookmarkEnd w:id="843"/>
      <w:bookmarkEnd w:id="844"/>
      <w:bookmarkEnd w:id="845"/>
      <w:bookmarkEnd w:id="846"/>
    </w:p>
    <w:p w14:paraId="009826A3" w14:textId="44A04A50" w:rsidR="00BF19B2" w:rsidRPr="00132C1E" w:rsidRDefault="00BF19B2" w:rsidP="0080187E">
      <w:pPr>
        <w:pStyle w:val="Clause"/>
        <w:numPr>
          <w:ilvl w:val="0"/>
          <w:numId w:val="47"/>
        </w:numPr>
      </w:pPr>
      <w:r w:rsidRPr="00132C1E">
        <w:t xml:space="preserve">In application of </w:t>
      </w:r>
      <w:r>
        <w:t>prEN</w:t>
      </w:r>
      <w:r w:rsidR="00220D8E">
        <w:t> </w:t>
      </w:r>
      <w:r>
        <w:t>1998-1-1:</w:t>
      </w:r>
      <w:r w:rsidRPr="00220D8E">
        <w:t>2022, 6.1(10),</w:t>
      </w:r>
      <w:r w:rsidRPr="00132C1E">
        <w:t xml:space="preserve"> design effects of the seismic action should consider a minimal torsion</w:t>
      </w:r>
      <w:r w:rsidR="009E3679">
        <w:t>al</w:t>
      </w:r>
      <w:r w:rsidRPr="00132C1E">
        <w:t xml:space="preserve"> effect about the vertical axis.</w:t>
      </w:r>
    </w:p>
    <w:p w14:paraId="680EF4FC" w14:textId="059FBA3E" w:rsidR="00BF19B2" w:rsidRPr="00132C1E" w:rsidRDefault="00BF19B2" w:rsidP="0080187E">
      <w:pPr>
        <w:pStyle w:val="Clause"/>
        <w:numPr>
          <w:ilvl w:val="0"/>
          <w:numId w:val="47"/>
        </w:numPr>
      </w:pPr>
      <w:r w:rsidRPr="00132C1E">
        <w:t xml:space="preserve">In order to comply with </w:t>
      </w:r>
      <w:r w:rsidRPr="009E3679">
        <w:rPr>
          <w:bCs/>
        </w:rPr>
        <w:t>(1), a</w:t>
      </w:r>
      <w:r w:rsidRPr="00132C1E">
        <w:t xml:space="preserve"> minim</w:t>
      </w:r>
      <w:r w:rsidR="009E3679">
        <w:t>um</w:t>
      </w:r>
      <w:r w:rsidRPr="00132C1E">
        <w:t xml:space="preserve"> eccentricity, measured at right angle to the considered direction </w:t>
      </w:r>
      <w:r w:rsidRPr="00132C1E">
        <w:rPr>
          <w:i/>
        </w:rPr>
        <w:t>i</w:t>
      </w:r>
      <w:r w:rsidRPr="00132C1E">
        <w:t xml:space="preserve"> of the seismic action, should be calculated at every storey </w:t>
      </w:r>
      <w:r w:rsidRPr="00132C1E">
        <w:rPr>
          <w:i/>
        </w:rPr>
        <w:t>j</w:t>
      </w:r>
      <w:r w:rsidRPr="00132C1E">
        <w:t xml:space="preserve"> using Formula (5.2) and should be taken into account if it exceeds the natural eccentricity </w:t>
      </w:r>
      <w:r w:rsidRPr="00132C1E">
        <w:rPr>
          <w:i/>
        </w:rPr>
        <w:t>e</w:t>
      </w:r>
      <w:r w:rsidRPr="00132C1E">
        <w:rPr>
          <w:vertAlign w:val="subscript"/>
        </w:rPr>
        <w:t>0</w:t>
      </w:r>
      <w:r w:rsidRPr="0003584B">
        <w:rPr>
          <w:vertAlign w:val="subscript"/>
        </w:rPr>
        <w:t>,i,j</w:t>
      </w:r>
      <w:r w:rsidRPr="00132C1E">
        <w:t>.</w:t>
      </w:r>
    </w:p>
    <w:p w14:paraId="624F1A20" w14:textId="44AFC33A" w:rsidR="009B14C8" w:rsidRPr="00870D59" w:rsidRDefault="009B5CEC" w:rsidP="009B14C8">
      <w:pPr>
        <w:pStyle w:val="Formula"/>
        <w:spacing w:before="240"/>
      </w:pPr>
      <m:oMath>
        <m:sSub>
          <m:sSubPr>
            <m:ctrlPr>
              <w:rPr>
                <w:rFonts w:ascii="Cambria Math" w:hAnsi="Cambria Math"/>
              </w:rPr>
            </m:ctrlPr>
          </m:sSubPr>
          <m:e>
            <m:r>
              <w:rPr>
                <w:rFonts w:ascii="Cambria Math" w:hAnsi="Cambria Math"/>
              </w:rPr>
              <m:t>e</m:t>
            </m:r>
          </m:e>
          <m:sub>
            <m:r>
              <m:rPr>
                <m:sty m:val="p"/>
              </m:rPr>
              <w:rPr>
                <w:rFonts w:ascii="Cambria Math" w:hAnsi="Cambria Math"/>
              </w:rPr>
              <m:t>min,i,j</m:t>
            </m:r>
          </m:sub>
        </m:sSub>
        <m:r>
          <w:rPr>
            <w:rFonts w:ascii="Cambria Math" w:hAnsi="Cambria Math"/>
          </w:rPr>
          <m:t xml:space="preserve">=0,05 </m:t>
        </m:r>
        <m:sSub>
          <m:sSubPr>
            <m:ctrlPr>
              <w:rPr>
                <w:rFonts w:ascii="Cambria Math" w:hAnsi="Cambria Math"/>
              </w:rPr>
            </m:ctrlPr>
          </m:sSubPr>
          <m:e>
            <m:r>
              <w:rPr>
                <w:rFonts w:ascii="Cambria Math" w:hAnsi="Cambria Math"/>
              </w:rPr>
              <m:t>L</m:t>
            </m:r>
          </m:e>
          <m:sub>
            <m:r>
              <m:rPr>
                <m:sty m:val="p"/>
              </m:rPr>
              <w:rPr>
                <w:rFonts w:ascii="Cambria Math" w:hAnsi="Cambria Math"/>
              </w:rPr>
              <m:t>i,j</m:t>
            </m:r>
          </m:sub>
        </m:sSub>
      </m:oMath>
      <w:r w:rsidR="009B14C8" w:rsidRPr="00870D59">
        <w:tab/>
        <w:t>(5.</w:t>
      </w:r>
      <w:r w:rsidR="00624AD0">
        <w:t>2</w:t>
      </w:r>
      <w:r w:rsidR="009B14C8" w:rsidRPr="00870D59">
        <w:t>)</w:t>
      </w:r>
    </w:p>
    <w:p w14:paraId="7A3D69F9" w14:textId="48E8DE50" w:rsidR="00624AD0" w:rsidRPr="007E6F67" w:rsidRDefault="00394A54" w:rsidP="00624AD0">
      <w:pPr>
        <w:spacing w:before="120"/>
      </w:pPr>
      <w:r>
        <w:rPr>
          <w:rFonts w:eastAsiaTheme="minorHAnsi"/>
          <w:iCs/>
        </w:rPr>
        <w:t>w</w:t>
      </w:r>
      <w:r w:rsidR="00624AD0" w:rsidRPr="00394A54">
        <w:rPr>
          <w:rFonts w:eastAsiaTheme="minorHAnsi"/>
          <w:iCs/>
        </w:rPr>
        <w:t>here</w:t>
      </w:r>
      <w:r w:rsidR="00624AD0">
        <w:rPr>
          <w:rFonts w:eastAsiaTheme="minorHAnsi"/>
          <w:i/>
        </w:rPr>
        <w:t xml:space="preserve"> </w:t>
      </w:r>
      <w:r w:rsidR="00624AD0" w:rsidRPr="00D1484A">
        <w:rPr>
          <w:rFonts w:eastAsiaTheme="minorHAnsi"/>
          <w:i/>
        </w:rPr>
        <w:t>L</w:t>
      </w:r>
      <w:r w:rsidR="00624AD0" w:rsidRPr="0003584B">
        <w:rPr>
          <w:rFonts w:eastAsiaTheme="minorHAnsi"/>
          <w:iCs/>
          <w:vertAlign w:val="subscript"/>
        </w:rPr>
        <w:t>i,j</w:t>
      </w:r>
      <w:r w:rsidR="00624AD0" w:rsidRPr="00D1484A">
        <w:rPr>
          <w:rFonts w:eastAsiaTheme="minorHAnsi"/>
        </w:rPr>
        <w:t xml:space="preserve"> </w:t>
      </w:r>
      <w:r w:rsidR="00624AD0" w:rsidRPr="00D1484A">
        <w:t xml:space="preserve">is the width of the floors at the considered level </w:t>
      </w:r>
      <w:r w:rsidR="00624AD0" w:rsidRPr="00D1484A">
        <w:rPr>
          <w:i/>
        </w:rPr>
        <w:t>j</w:t>
      </w:r>
      <w:r w:rsidR="00624AD0" w:rsidRPr="00D1484A">
        <w:t xml:space="preserve">, measured at right angle to the direction </w:t>
      </w:r>
      <w:r w:rsidR="00624AD0" w:rsidRPr="00D1484A">
        <w:rPr>
          <w:i/>
        </w:rPr>
        <w:t>i</w:t>
      </w:r>
      <w:r w:rsidR="00624AD0" w:rsidRPr="007E6F67">
        <w:t xml:space="preserve"> of the seismic action considered.</w:t>
      </w:r>
    </w:p>
    <w:p w14:paraId="21177C41" w14:textId="77777777" w:rsidR="00624AD0" w:rsidRPr="007754C9" w:rsidRDefault="00624AD0" w:rsidP="00624AD0">
      <w:pPr>
        <w:pStyle w:val="Notetext"/>
      </w:pPr>
      <w:r w:rsidRPr="00196951">
        <w:t>NOTE 1</w:t>
      </w:r>
      <w:r w:rsidRPr="00196951">
        <w:tab/>
      </w:r>
      <w:r w:rsidRPr="002144A0">
        <w:t xml:space="preserve">The purpose is to cover uncertainties in </w:t>
      </w:r>
      <w:r w:rsidRPr="00C52095">
        <w:t>cases where the natural eccentricity is very low.</w:t>
      </w:r>
    </w:p>
    <w:p w14:paraId="1D069AC3" w14:textId="77777777" w:rsidR="00624AD0" w:rsidRPr="00132C1E" w:rsidRDefault="00624AD0" w:rsidP="00624AD0">
      <w:pPr>
        <w:pStyle w:val="Notetext"/>
      </w:pPr>
      <w:r w:rsidRPr="007754C9">
        <w:t>NOTE 2</w:t>
      </w:r>
      <w:r w:rsidRPr="007754C9">
        <w:tab/>
      </w:r>
      <w:r w:rsidRPr="00132C1E">
        <w:t>Annex B gives procedures for the calculation of the natural eccentricity.</w:t>
      </w:r>
    </w:p>
    <w:p w14:paraId="216BF9D1" w14:textId="7CBB76A4" w:rsidR="00624AD0" w:rsidRPr="00132C1E" w:rsidRDefault="00624AD0" w:rsidP="0080187E">
      <w:pPr>
        <w:pStyle w:val="Clause"/>
        <w:numPr>
          <w:ilvl w:val="0"/>
          <w:numId w:val="47"/>
        </w:numPr>
      </w:pPr>
      <w:r w:rsidRPr="00132C1E">
        <w:t xml:space="preserve">When the force-based approach is used, the effects at any storey </w:t>
      </w:r>
      <w:r w:rsidRPr="00132C1E">
        <w:rPr>
          <w:i/>
        </w:rPr>
        <w:t>j</w:t>
      </w:r>
      <w:r w:rsidRPr="00132C1E">
        <w:t xml:space="preserve"> of mass eccentricity perpendicular to direction </w:t>
      </w:r>
      <w:r w:rsidRPr="00132C1E">
        <w:rPr>
          <w:i/>
        </w:rPr>
        <w:t>i</w:t>
      </w:r>
      <w:r w:rsidRPr="00132C1E">
        <w:t xml:space="preserve"> </w:t>
      </w:r>
      <w:r w:rsidRPr="00624AD0">
        <w:rPr>
          <w:color w:val="auto"/>
        </w:rPr>
        <w:t xml:space="preserve">may </w:t>
      </w:r>
      <w:r w:rsidRPr="00132C1E">
        <w:t xml:space="preserve">be calculated as resulting from a torsional moment </w:t>
      </w:r>
      <w:r w:rsidRPr="00132C1E">
        <w:rPr>
          <w:i/>
        </w:rPr>
        <w:t>M</w:t>
      </w:r>
      <w:r w:rsidRPr="00394A54">
        <w:rPr>
          <w:iCs/>
          <w:vertAlign w:val="subscript"/>
        </w:rPr>
        <w:t>i,j</w:t>
      </w:r>
      <w:r w:rsidRPr="00132C1E">
        <w:t>, which acts around the building vertical axis, given by Formula (5.3).</w:t>
      </w:r>
    </w:p>
    <w:p w14:paraId="7C0C19BD" w14:textId="1F520CD1" w:rsidR="009B14C8" w:rsidRPr="00870D59" w:rsidRDefault="009B5CEC" w:rsidP="009B14C8">
      <w:pPr>
        <w:pStyle w:val="Formula"/>
        <w:spacing w:before="240"/>
      </w:pPr>
      <m:oMath>
        <m:sSub>
          <m:sSubPr>
            <m:ctrlPr>
              <w:rPr>
                <w:rFonts w:ascii="Cambria Math" w:hAnsi="Cambria Math"/>
              </w:rPr>
            </m:ctrlPr>
          </m:sSubPr>
          <m:e>
            <m:r>
              <w:rPr>
                <w:rFonts w:ascii="Cambria Math" w:hAnsi="Cambria Math"/>
              </w:rPr>
              <m:t>M</m:t>
            </m:r>
          </m:e>
          <m:sub>
            <m:r>
              <m:rPr>
                <m:sty m:val="p"/>
              </m:rPr>
              <w:rPr>
                <w:rFonts w:ascii="Cambria Math" w:hAnsi="Cambria Math"/>
              </w:rPr>
              <m:t>i,j</m:t>
            </m:r>
          </m:sub>
        </m:sSub>
        <m:r>
          <w:rPr>
            <w:rFonts w:ascii="Cambria Math" w:hAnsi="Cambria Math"/>
          </w:rPr>
          <m:t>=</m:t>
        </m:r>
        <m:sSub>
          <m:sSubPr>
            <m:ctrlPr>
              <w:rPr>
                <w:rFonts w:ascii="Cambria Math" w:hAnsi="Cambria Math"/>
              </w:rPr>
            </m:ctrlPr>
          </m:sSubPr>
          <m:e>
            <m:r>
              <w:rPr>
                <w:rFonts w:ascii="Cambria Math" w:hAnsi="Cambria Math"/>
              </w:rPr>
              <m:t>e</m:t>
            </m:r>
          </m:e>
          <m:sub>
            <m:r>
              <m:rPr>
                <m:sty m:val="p"/>
              </m:rPr>
              <w:rPr>
                <w:rFonts w:ascii="Cambria Math" w:hAnsi="Cambria Math"/>
              </w:rPr>
              <m:t>i,j</m:t>
            </m:r>
          </m:sub>
        </m:sSub>
        <m:r>
          <w:rPr>
            <w:rFonts w:ascii="Cambria Math" w:hAnsi="Cambria Math"/>
          </w:rPr>
          <m:t>×</m:t>
        </m:r>
        <m:sSub>
          <m:sSubPr>
            <m:ctrlPr>
              <w:rPr>
                <w:rFonts w:ascii="Cambria Math" w:hAnsi="Cambria Math"/>
              </w:rPr>
            </m:ctrlPr>
          </m:sSubPr>
          <m:e>
            <m:r>
              <w:rPr>
                <w:rFonts w:ascii="Cambria Math" w:hAnsi="Cambria Math"/>
              </w:rPr>
              <m:t>F</m:t>
            </m:r>
          </m:e>
          <m:sub>
            <m:r>
              <m:rPr>
                <m:sty m:val="p"/>
              </m:rPr>
              <w:rPr>
                <w:rFonts w:ascii="Cambria Math" w:hAnsi="Cambria Math"/>
              </w:rPr>
              <m:t>i,j</m:t>
            </m:r>
          </m:sub>
        </m:sSub>
      </m:oMath>
      <w:r w:rsidR="009B14C8" w:rsidRPr="00870D59">
        <w:tab/>
        <w:t>(5.</w:t>
      </w:r>
      <w:r w:rsidR="00624AD0">
        <w:t>3</w:t>
      </w:r>
      <w:r w:rsidR="009B14C8" w:rsidRPr="00870D59">
        <w:t>)</w:t>
      </w:r>
    </w:p>
    <w:p w14:paraId="6D4ADEE4" w14:textId="77777777" w:rsidR="00833644" w:rsidRPr="00870D59" w:rsidRDefault="00833644" w:rsidP="00833644">
      <w:pPr>
        <w:pStyle w:val="Text"/>
      </w:pPr>
      <w:r w:rsidRPr="00870D59">
        <w:t>where</w:t>
      </w:r>
    </w:p>
    <w:tbl>
      <w:tblPr>
        <w:tblW w:w="0" w:type="auto"/>
        <w:tblInd w:w="346" w:type="dxa"/>
        <w:tblLook w:val="04A0" w:firstRow="1" w:lastRow="0" w:firstColumn="1" w:lastColumn="0" w:noHBand="0" w:noVBand="1"/>
      </w:tblPr>
      <w:tblGrid>
        <w:gridCol w:w="1275"/>
        <w:gridCol w:w="7938"/>
      </w:tblGrid>
      <w:tr w:rsidR="009B14C8" w:rsidRPr="00870D59" w14:paraId="4E31DB73" w14:textId="77777777" w:rsidTr="00A8285E">
        <w:tc>
          <w:tcPr>
            <w:tcW w:w="1275" w:type="dxa"/>
          </w:tcPr>
          <w:p w14:paraId="40DB34F1" w14:textId="54B7276F" w:rsidR="009B14C8" w:rsidRPr="00624AD0" w:rsidRDefault="009B5CEC" w:rsidP="002061E5">
            <w:pPr>
              <w:pStyle w:val="Tablebody"/>
            </w:pPr>
            <m:oMathPara>
              <m:oMathParaPr>
                <m:jc m:val="left"/>
              </m:oMathParaPr>
              <m:oMath>
                <m:sSub>
                  <m:sSubPr>
                    <m:ctrlPr>
                      <w:rPr>
                        <w:rFonts w:ascii="Cambria Math" w:hAnsi="Cambria Math"/>
                        <w:bCs/>
                        <w:i/>
                      </w:rPr>
                    </m:ctrlPr>
                  </m:sSubPr>
                  <m:e>
                    <m:r>
                      <w:rPr>
                        <w:rFonts w:ascii="Cambria Math" w:hAnsi="Cambria Math"/>
                      </w:rPr>
                      <m:t>F</m:t>
                    </m:r>
                  </m:e>
                  <m:sub>
                    <m:r>
                      <m:rPr>
                        <m:sty m:val="p"/>
                      </m:rPr>
                      <w:rPr>
                        <w:rFonts w:ascii="Cambria Math" w:hAnsi="Cambria Math"/>
                      </w:rPr>
                      <m:t>i,j</m:t>
                    </m:r>
                  </m:sub>
                </m:sSub>
              </m:oMath>
            </m:oMathPara>
          </w:p>
        </w:tc>
        <w:tc>
          <w:tcPr>
            <w:tcW w:w="7938" w:type="dxa"/>
          </w:tcPr>
          <w:p w14:paraId="348ADC4A" w14:textId="292A868D" w:rsidR="009B14C8" w:rsidRPr="00870D59" w:rsidRDefault="00624AD0" w:rsidP="002061E5">
            <w:pPr>
              <w:pStyle w:val="Tablebody"/>
            </w:pPr>
            <w:r w:rsidRPr="00D1484A">
              <w:t xml:space="preserve">is the horizontal force acting on the considered storey </w:t>
            </w:r>
            <w:r w:rsidRPr="00D1484A">
              <w:rPr>
                <w:i/>
              </w:rPr>
              <w:t>j</w:t>
            </w:r>
            <w:r w:rsidRPr="00D1484A">
              <w:t xml:space="preserve"> in direction </w:t>
            </w:r>
            <w:r w:rsidRPr="00D1484A">
              <w:rPr>
                <w:i/>
              </w:rPr>
              <w:t>i</w:t>
            </w:r>
            <w:r w:rsidRPr="00D1484A">
              <w:t>;</w:t>
            </w:r>
          </w:p>
        </w:tc>
      </w:tr>
      <w:tr w:rsidR="009B14C8" w:rsidRPr="00870D59" w14:paraId="0F90CDDF" w14:textId="77777777" w:rsidTr="00A8285E">
        <w:tc>
          <w:tcPr>
            <w:tcW w:w="1275" w:type="dxa"/>
          </w:tcPr>
          <w:p w14:paraId="3200BFC4" w14:textId="30824C6C" w:rsidR="009B14C8" w:rsidRPr="00870D59" w:rsidRDefault="00624AD0" w:rsidP="002061E5">
            <w:pPr>
              <w:pStyle w:val="Tablebody"/>
              <w:rPr>
                <w:rFonts w:ascii="Symbol" w:eastAsia="Symbol" w:hAnsi="Symbol" w:cs="Symbol"/>
                <w:i/>
              </w:rPr>
            </w:pPr>
            <w:r w:rsidRPr="00D1484A">
              <w:rPr>
                <w:i/>
              </w:rPr>
              <w:t>e</w:t>
            </w:r>
            <w:r w:rsidRPr="0003584B">
              <w:rPr>
                <w:iCs/>
                <w:vertAlign w:val="subscript"/>
              </w:rPr>
              <w:t>i,j</w:t>
            </w:r>
          </w:p>
        </w:tc>
        <w:tc>
          <w:tcPr>
            <w:tcW w:w="7938" w:type="dxa"/>
          </w:tcPr>
          <w:p w14:paraId="61C9A376" w14:textId="7D7164DA" w:rsidR="009B14C8" w:rsidRPr="00745CAF" w:rsidRDefault="00624AD0" w:rsidP="0003584B">
            <w:pPr>
              <w:pStyle w:val="Tablebody"/>
            </w:pPr>
            <w:r w:rsidRPr="00D1484A">
              <w:t xml:space="preserve">is the maximum value of </w:t>
            </w:r>
            <w:r w:rsidRPr="00D1484A">
              <w:rPr>
                <w:i/>
                <w:szCs w:val="24"/>
              </w:rPr>
              <w:t>e</w:t>
            </w:r>
            <w:r w:rsidRPr="00D1484A">
              <w:rPr>
                <w:szCs w:val="24"/>
                <w:vertAlign w:val="subscript"/>
              </w:rPr>
              <w:t>min,</w:t>
            </w:r>
            <w:r w:rsidRPr="00D1484A">
              <w:rPr>
                <w:i/>
                <w:szCs w:val="24"/>
                <w:vertAlign w:val="subscript"/>
              </w:rPr>
              <w:t>i,j</w:t>
            </w:r>
            <w:r w:rsidRPr="00D1484A">
              <w:t xml:space="preserve"> and </w:t>
            </w:r>
            <w:r w:rsidRPr="00D1484A">
              <w:rPr>
                <w:i/>
                <w:szCs w:val="24"/>
              </w:rPr>
              <w:t>e</w:t>
            </w:r>
            <w:r w:rsidRPr="007E6F67">
              <w:rPr>
                <w:szCs w:val="24"/>
                <w:vertAlign w:val="subscript"/>
              </w:rPr>
              <w:t>0,</w:t>
            </w:r>
            <w:r w:rsidRPr="007E6F67">
              <w:rPr>
                <w:i/>
                <w:szCs w:val="24"/>
                <w:vertAlign w:val="subscript"/>
              </w:rPr>
              <w:t xml:space="preserve">i,j </w:t>
            </w:r>
            <w:r w:rsidRPr="007E6F67">
              <w:rPr>
                <w:szCs w:val="24"/>
              </w:rPr>
              <w:t>when using planar models,</w:t>
            </w:r>
            <w:r w:rsidR="0003584B">
              <w:rPr>
                <w:szCs w:val="24"/>
              </w:rPr>
              <w:t xml:space="preserve"> or </w:t>
            </w:r>
            <w:r w:rsidRPr="00624AD0">
              <w:t xml:space="preserve">is equal to </w:t>
            </w:r>
            <w:r w:rsidRPr="00624AD0">
              <w:rPr>
                <w:i/>
                <w:szCs w:val="24"/>
              </w:rPr>
              <w:t>e</w:t>
            </w:r>
            <w:r w:rsidRPr="00624AD0">
              <w:rPr>
                <w:szCs w:val="24"/>
                <w:vertAlign w:val="subscript"/>
              </w:rPr>
              <w:t>min</w:t>
            </w:r>
            <w:r w:rsidRPr="0003584B">
              <w:rPr>
                <w:szCs w:val="24"/>
                <w:vertAlign w:val="subscript"/>
              </w:rPr>
              <w:t>,i,j</w:t>
            </w:r>
            <w:r w:rsidR="0003584B">
              <w:t> – </w:t>
            </w:r>
            <w:r w:rsidRPr="00624AD0">
              <w:rPr>
                <w:i/>
                <w:szCs w:val="24"/>
              </w:rPr>
              <w:t>e</w:t>
            </w:r>
            <w:r w:rsidRPr="00624AD0">
              <w:rPr>
                <w:szCs w:val="24"/>
                <w:vertAlign w:val="subscript"/>
              </w:rPr>
              <w:t>0,</w:t>
            </w:r>
            <w:r w:rsidRPr="0003584B">
              <w:rPr>
                <w:iCs/>
                <w:szCs w:val="24"/>
                <w:vertAlign w:val="subscript"/>
              </w:rPr>
              <w:t>i,j</w:t>
            </w:r>
            <w:r w:rsidRPr="00624AD0">
              <w:rPr>
                <w:szCs w:val="24"/>
              </w:rPr>
              <w:t xml:space="preserve"> when using 3D models that encompass natural eccentricity</w:t>
            </w:r>
            <w:r w:rsidRPr="00624AD0">
              <w:rPr>
                <w:rFonts w:cs="Times New Roman"/>
                <w:b/>
                <w:szCs w:val="22"/>
                <w:lang w:eastAsia="en-US"/>
              </w:rPr>
              <w:t xml:space="preserve"> </w:t>
            </w:r>
            <w:r w:rsidRPr="00624AD0">
              <w:t xml:space="preserve">for a building where </w:t>
            </w:r>
            <w:r w:rsidRPr="00624AD0">
              <w:rPr>
                <w:i/>
              </w:rPr>
              <w:t>e</w:t>
            </w:r>
            <w:r w:rsidRPr="00624AD0">
              <w:rPr>
                <w:vertAlign w:val="subscript"/>
              </w:rPr>
              <w:t>min,i,j</w:t>
            </w:r>
            <w:r w:rsidRPr="00624AD0">
              <w:t xml:space="preserve"> is greater than </w:t>
            </w:r>
            <w:r w:rsidRPr="00624AD0">
              <w:rPr>
                <w:i/>
              </w:rPr>
              <w:t>e</w:t>
            </w:r>
            <w:r w:rsidRPr="00624AD0">
              <w:rPr>
                <w:vertAlign w:val="subscript"/>
              </w:rPr>
              <w:t>0,i,j</w:t>
            </w:r>
            <w:r w:rsidR="00745CAF">
              <w:t>.</w:t>
            </w:r>
          </w:p>
        </w:tc>
      </w:tr>
    </w:tbl>
    <w:p w14:paraId="709FAA2E" w14:textId="7A824A99" w:rsidR="003A406A" w:rsidRPr="0003584B" w:rsidRDefault="00624AD0" w:rsidP="00724E4E">
      <w:pPr>
        <w:pStyle w:val="Clause"/>
      </w:pPr>
      <w:r w:rsidRPr="00132C1E">
        <w:t>When the non-linear static analysis is used</w:t>
      </w:r>
      <w:r w:rsidRPr="0003584B">
        <w:t xml:space="preserve">, (1) may be considered as satisfied if, in 5.3.5.3, calculations of </w:t>
      </w:r>
      <w:r w:rsidRPr="0003584B">
        <w:rPr>
          <w:i/>
        </w:rPr>
        <w:t>d</w:t>
      </w:r>
      <w:r w:rsidRPr="0003584B">
        <w:rPr>
          <w:vertAlign w:val="subscript"/>
        </w:rPr>
        <w:t>et</w:t>
      </w:r>
      <w:r w:rsidRPr="0003584B">
        <w:t xml:space="preserve"> and </w:t>
      </w:r>
      <w:r w:rsidRPr="0003584B">
        <w:rPr>
          <w:i/>
        </w:rPr>
        <w:t>d</w:t>
      </w:r>
      <w:r w:rsidRPr="0003584B">
        <w:rPr>
          <w:vertAlign w:val="subscript"/>
        </w:rPr>
        <w:t>et,j</w:t>
      </w:r>
      <w:r w:rsidRPr="0003584B">
        <w:t xml:space="preserve"> comply with (2) and (3).</w:t>
      </w:r>
    </w:p>
    <w:p w14:paraId="38509528" w14:textId="77E19A6B" w:rsidR="003A406A" w:rsidRPr="00870D59" w:rsidRDefault="00624AD0" w:rsidP="00724E4E">
      <w:pPr>
        <w:pStyle w:val="Clause"/>
      </w:pPr>
      <w:r w:rsidRPr="00132C1E">
        <w:t xml:space="preserve">When the response-history analysis is </w:t>
      </w:r>
      <w:r w:rsidRPr="0003584B">
        <w:t>used, (1) may be</w:t>
      </w:r>
      <w:r w:rsidRPr="00132C1E">
        <w:t xml:space="preserve"> considered as satisfied if the storey mass is modelled in such a way that the eccentricity of the centre of mass of the storey is at least equal to e</w:t>
      </w:r>
      <w:r w:rsidRPr="00132C1E">
        <w:rPr>
          <w:vertAlign w:val="subscript"/>
        </w:rPr>
        <w:t>min</w:t>
      </w:r>
      <w:r w:rsidRPr="0003584B">
        <w:rPr>
          <w:vertAlign w:val="subscript"/>
        </w:rPr>
        <w:t>,i,j</w:t>
      </w:r>
      <w:r w:rsidRPr="00132C1E">
        <w:t xml:space="preserve"> in both horizontal directions</w:t>
      </w:r>
      <w:r w:rsidR="003A406A" w:rsidRPr="00870D59">
        <w:t>.</w:t>
      </w:r>
    </w:p>
    <w:p w14:paraId="4BEBE1E5" w14:textId="77777777" w:rsidR="003A406A" w:rsidRPr="00870D59" w:rsidRDefault="003A406A" w:rsidP="003A406A">
      <w:pPr>
        <w:pStyle w:val="Heading2"/>
      </w:pPr>
      <w:bookmarkStart w:id="847" w:name="_Toc8018598"/>
      <w:bookmarkStart w:id="848" w:name="_Toc33605567"/>
      <w:bookmarkStart w:id="849" w:name="_Toc79478286"/>
      <w:bookmarkStart w:id="850" w:name="_Toc89078919"/>
      <w:bookmarkStart w:id="851" w:name="_Ref31639518"/>
      <w:bookmarkStart w:id="852" w:name="_Toc95037448"/>
      <w:bookmarkStart w:id="853" w:name="_Toc96894751"/>
      <w:bookmarkStart w:id="854" w:name="_Toc134197802"/>
      <w:r w:rsidRPr="00870D59">
        <w:lastRenderedPageBreak/>
        <w:t>Methods of analysis</w:t>
      </w:r>
      <w:bookmarkEnd w:id="847"/>
      <w:bookmarkEnd w:id="848"/>
      <w:bookmarkEnd w:id="849"/>
      <w:bookmarkEnd w:id="850"/>
      <w:bookmarkEnd w:id="851"/>
      <w:bookmarkEnd w:id="852"/>
      <w:bookmarkEnd w:id="853"/>
      <w:bookmarkEnd w:id="854"/>
    </w:p>
    <w:p w14:paraId="3345F7B1" w14:textId="77777777" w:rsidR="003A406A" w:rsidRPr="00870D59" w:rsidRDefault="003A406A" w:rsidP="003A406A">
      <w:pPr>
        <w:pStyle w:val="Heading3"/>
      </w:pPr>
      <w:bookmarkStart w:id="855" w:name="_Toc95037449"/>
      <w:bookmarkStart w:id="856" w:name="_Toc96894752"/>
      <w:bookmarkStart w:id="857" w:name="_Toc134197803"/>
      <w:r w:rsidRPr="00870D59">
        <w:t>General</w:t>
      </w:r>
      <w:bookmarkEnd w:id="855"/>
      <w:bookmarkEnd w:id="856"/>
      <w:bookmarkEnd w:id="857"/>
    </w:p>
    <w:p w14:paraId="1E3C118D" w14:textId="14AE49D5" w:rsidR="003A406A" w:rsidRPr="00870D59" w:rsidRDefault="00856891" w:rsidP="0080187E">
      <w:pPr>
        <w:pStyle w:val="Clause"/>
        <w:numPr>
          <w:ilvl w:val="0"/>
          <w:numId w:val="31"/>
        </w:numPr>
      </w:pPr>
      <w:r w:rsidRPr="00132C1E">
        <w:t xml:space="preserve">Depending on the selected method, corresponding provisions in </w:t>
      </w:r>
      <w:r>
        <w:t>prEN</w:t>
      </w:r>
      <w:r w:rsidR="0003584B">
        <w:t> </w:t>
      </w:r>
      <w:r>
        <w:t>1998-1-1:2022</w:t>
      </w:r>
      <w:r w:rsidRPr="0003584B">
        <w:t>, 6.4 to 6.6,</w:t>
      </w:r>
      <w:r w:rsidRPr="00132C1E">
        <w:t xml:space="preserve"> should be applied</w:t>
      </w:r>
      <w:r w:rsidR="003A406A" w:rsidRPr="00870D59">
        <w:t>.</w:t>
      </w:r>
    </w:p>
    <w:p w14:paraId="017A164F" w14:textId="176B4433" w:rsidR="003A406A" w:rsidRPr="00870D59" w:rsidRDefault="00856891" w:rsidP="00724E4E">
      <w:pPr>
        <w:pStyle w:val="Clause"/>
      </w:pPr>
      <w:r w:rsidRPr="00132C1E">
        <w:t xml:space="preserve">The vertical component of the seismic action may be neglected in structural analysis, except in </w:t>
      </w:r>
      <w:r w:rsidR="0003584B">
        <w:t xml:space="preserve">the </w:t>
      </w:r>
      <w:r w:rsidRPr="00132C1E">
        <w:t>cases</w:t>
      </w:r>
      <w:r w:rsidR="0003584B">
        <w:t xml:space="preserve"> described</w:t>
      </w:r>
      <w:r w:rsidRPr="00132C1E">
        <w:t xml:space="preserve"> </w:t>
      </w:r>
      <w:r w:rsidRPr="0003584B">
        <w:t>in 4.2(2)</w:t>
      </w:r>
      <w:r w:rsidR="003A406A" w:rsidRPr="0003584B">
        <w:t>.</w:t>
      </w:r>
    </w:p>
    <w:p w14:paraId="4B11C95A" w14:textId="40B932A5" w:rsidR="003A406A" w:rsidRPr="00870D59" w:rsidRDefault="005E5B6B" w:rsidP="003A406A">
      <w:pPr>
        <w:pStyle w:val="Heading3"/>
      </w:pPr>
      <w:bookmarkStart w:id="858" w:name="_Toc95037450"/>
      <w:bookmarkStart w:id="859" w:name="_Toc96894753"/>
      <w:bookmarkStart w:id="860" w:name="_Toc134197804"/>
      <w:r w:rsidRPr="00870D59">
        <w:t>F</w:t>
      </w:r>
      <w:r w:rsidR="003A406A" w:rsidRPr="00870D59">
        <w:t>orce-based approach</w:t>
      </w:r>
      <w:bookmarkEnd w:id="858"/>
      <w:bookmarkEnd w:id="859"/>
      <w:bookmarkEnd w:id="860"/>
    </w:p>
    <w:p w14:paraId="123A8D39" w14:textId="2EB8AE6F" w:rsidR="00856891" w:rsidRDefault="00856891" w:rsidP="0080187E">
      <w:pPr>
        <w:pStyle w:val="Clause"/>
        <w:numPr>
          <w:ilvl w:val="0"/>
          <w:numId w:val="48"/>
        </w:numPr>
      </w:pPr>
      <w:r w:rsidRPr="00132C1E">
        <w:t xml:space="preserve">Tables of default values of the behaviour factor </w:t>
      </w:r>
      <w:r w:rsidRPr="0003584B">
        <w:t xml:space="preserve">given in </w:t>
      </w:r>
      <w:r w:rsidR="00A8285E">
        <w:t xml:space="preserve">Clauses </w:t>
      </w:r>
      <w:r w:rsidRPr="0003584B">
        <w:t>10 to 15</w:t>
      </w:r>
      <w:r w:rsidRPr="00132C1E">
        <w:t xml:space="preserve"> may be used for a given structural type and a given ductility class DC. They correspond to upper bound values which should not be exceeded.</w:t>
      </w:r>
    </w:p>
    <w:p w14:paraId="6B48893D" w14:textId="0948DE04" w:rsidR="00856891" w:rsidRPr="002854D8" w:rsidRDefault="00856891" w:rsidP="00745CAF">
      <w:pPr>
        <w:pStyle w:val="Notetext"/>
      </w:pPr>
      <w:r w:rsidRPr="005E0048">
        <w:t>NOTE</w:t>
      </w:r>
      <w:r w:rsidRPr="005E0048">
        <w:tab/>
        <w:t xml:space="preserve">For the definition of </w:t>
      </w:r>
      <w:r w:rsidRPr="005E0048">
        <w:rPr>
          <w:i/>
          <w:iCs/>
        </w:rPr>
        <w:t>q</w:t>
      </w:r>
      <w:r w:rsidRPr="005E0048">
        <w:t>, see prEN</w:t>
      </w:r>
      <w:r w:rsidR="0003584B">
        <w:t> </w:t>
      </w:r>
      <w:r w:rsidRPr="005E0048">
        <w:t>1998-1-1</w:t>
      </w:r>
      <w:r w:rsidR="00BC4A10">
        <w:t>:</w:t>
      </w:r>
      <w:r w:rsidR="00117507">
        <w:t>2022</w:t>
      </w:r>
      <w:r w:rsidRPr="0003584B">
        <w:t>, 6.4.1 (1).</w:t>
      </w:r>
    </w:p>
    <w:p w14:paraId="58C5D894" w14:textId="43ECF362" w:rsidR="00856891" w:rsidRPr="00132C1E" w:rsidRDefault="00856891" w:rsidP="0080187E">
      <w:pPr>
        <w:pStyle w:val="Clause"/>
        <w:numPr>
          <w:ilvl w:val="0"/>
          <w:numId w:val="48"/>
        </w:numPr>
      </w:pPr>
      <w:r w:rsidRPr="00132C1E">
        <w:t xml:space="preserve">For buildings which are non-regular in elevation, the ductility behaviour factor </w:t>
      </w:r>
      <w:r w:rsidRPr="00132C1E">
        <w:rPr>
          <w:i/>
          <w:iCs/>
        </w:rPr>
        <w:t>q</w:t>
      </w:r>
      <w:r w:rsidRPr="00132C1E">
        <w:rPr>
          <w:vertAlign w:val="subscript"/>
        </w:rPr>
        <w:t>D</w:t>
      </w:r>
      <w:r w:rsidRPr="00132C1E">
        <w:t xml:space="preserve"> should not be greater than the default value multiplied by 0,8, </w:t>
      </w:r>
      <w:r w:rsidR="00240A28">
        <w:t>but not</w:t>
      </w:r>
      <w:r w:rsidRPr="00132C1E">
        <w:t xml:space="preserve"> smaller than 1.</w:t>
      </w:r>
    </w:p>
    <w:p w14:paraId="39128380" w14:textId="77777777" w:rsidR="00856891" w:rsidRPr="00132C1E" w:rsidRDefault="00856891" w:rsidP="0080187E">
      <w:pPr>
        <w:pStyle w:val="Clause"/>
        <w:numPr>
          <w:ilvl w:val="0"/>
          <w:numId w:val="48"/>
        </w:numPr>
      </w:pPr>
      <w:r w:rsidRPr="00132C1E">
        <w:t xml:space="preserve">If the primary structure or the regularity classification of the building in elevation is different in the two horizontal directions and if the building is not torsionally flexible, the value of the behaviour factor </w:t>
      </w:r>
      <w:r w:rsidRPr="00132C1E">
        <w:rPr>
          <w:i/>
        </w:rPr>
        <w:t>q</w:t>
      </w:r>
      <w:r w:rsidRPr="00132C1E">
        <w:t xml:space="preserve"> may also be different in the two directions.</w:t>
      </w:r>
    </w:p>
    <w:p w14:paraId="164BA842" w14:textId="543C58CB" w:rsidR="00856891" w:rsidRPr="00132C1E" w:rsidRDefault="00856891" w:rsidP="0080187E">
      <w:pPr>
        <w:pStyle w:val="Clause"/>
        <w:numPr>
          <w:ilvl w:val="0"/>
          <w:numId w:val="48"/>
        </w:numPr>
      </w:pPr>
      <w:r w:rsidRPr="00132C1E">
        <w:t>If primary structures of different types or materials are used to resist the seismic action in the same direction, the lowest value of the behaviour factor</w:t>
      </w:r>
      <w:r w:rsidR="00240A28">
        <w:t xml:space="preserve"> </w:t>
      </w:r>
      <w:r w:rsidRPr="00132C1E">
        <w:rPr>
          <w:i/>
        </w:rPr>
        <w:t>q</w:t>
      </w:r>
      <w:r w:rsidR="00240A28">
        <w:t xml:space="preserve"> </w:t>
      </w:r>
      <w:r w:rsidRPr="00132C1E">
        <w:t>of the different primary structures should be used.</w:t>
      </w:r>
    </w:p>
    <w:p w14:paraId="6F82AEE3" w14:textId="77777777" w:rsidR="00856891" w:rsidRPr="00132C1E" w:rsidRDefault="00856891" w:rsidP="0080187E">
      <w:pPr>
        <w:pStyle w:val="Clause"/>
        <w:numPr>
          <w:ilvl w:val="0"/>
          <w:numId w:val="48"/>
        </w:numPr>
      </w:pPr>
      <w:r w:rsidRPr="00132C1E">
        <w:t xml:space="preserve">For torsionally flexible buildings, the value of the behaviour factor </w:t>
      </w:r>
      <w:r w:rsidRPr="00132C1E">
        <w:rPr>
          <w:i/>
        </w:rPr>
        <w:t>q</w:t>
      </w:r>
      <w:r w:rsidRPr="00132C1E">
        <w:t xml:space="preserve"> should be taken as the minimum of both horizontal directions where the primary bracings are different, multiplied by 0,8, but not smaller than </w:t>
      </w:r>
      <w:r w:rsidRPr="00132C1E">
        <w:rPr>
          <w:i/>
        </w:rPr>
        <w:t>q</w:t>
      </w:r>
      <w:r w:rsidRPr="00132C1E">
        <w:rPr>
          <w:vertAlign w:val="subscript"/>
        </w:rPr>
        <w:t>s</w:t>
      </w:r>
      <w:r w:rsidRPr="00132C1E">
        <w:t>.</w:t>
      </w:r>
    </w:p>
    <w:p w14:paraId="037C1C2D" w14:textId="3E27B887" w:rsidR="00856891" w:rsidRDefault="00856891" w:rsidP="0080187E">
      <w:pPr>
        <w:pStyle w:val="Clause"/>
        <w:numPr>
          <w:ilvl w:val="0"/>
          <w:numId w:val="48"/>
        </w:numPr>
      </w:pPr>
      <w:r w:rsidRPr="00132C1E">
        <w:t xml:space="preserve">In case the force-based approach is used, the </w:t>
      </w:r>
      <w:r w:rsidRPr="00132C1E">
        <w:rPr>
          <w:i/>
        </w:rPr>
        <w:t>q</w:t>
      </w:r>
      <w:r w:rsidRPr="00132C1E">
        <w:rPr>
          <w:vertAlign w:val="subscript"/>
        </w:rPr>
        <w:t>R</w:t>
      </w:r>
      <w:r w:rsidRPr="00132C1E">
        <w:t xml:space="preserve"> factor given in </w:t>
      </w:r>
      <w:r>
        <w:t>prEN</w:t>
      </w:r>
      <w:r w:rsidR="00240A28">
        <w:t> </w:t>
      </w:r>
      <w:r>
        <w:t>1998-1-1:2022</w:t>
      </w:r>
      <w:r w:rsidRPr="00240A28">
        <w:t>, 6.4.1,</w:t>
      </w:r>
      <w:r w:rsidRPr="00132C1E">
        <w:t xml:space="preserve"> may be taken as given by Formula (5.4).</w:t>
      </w:r>
    </w:p>
    <w:p w14:paraId="0BBB1CC0" w14:textId="6E491B23" w:rsidR="00745CAF" w:rsidRPr="00870D59" w:rsidRDefault="00745CAF" w:rsidP="00745CAF">
      <w:pPr>
        <w:pStyle w:val="Formula"/>
        <w:spacing w:before="240"/>
      </w:pPr>
      <w:r w:rsidRPr="00132C1E">
        <w:t>q</w:t>
      </w:r>
      <w:r w:rsidRPr="00132C1E">
        <w:rPr>
          <w:vertAlign w:val="subscript"/>
        </w:rPr>
        <w:t>R </w:t>
      </w:r>
      <w:r w:rsidRPr="00132C1E">
        <w:rPr>
          <w:rFonts w:ascii="Symbol" w:hAnsi="Symbol"/>
        </w:rPr>
        <w:t></w:t>
      </w:r>
      <w:r w:rsidRPr="00132C1E">
        <w:rPr>
          <w:rFonts w:ascii="Symbol" w:hAnsi="Symbol"/>
          <w:sz w:val="25"/>
          <w:szCs w:val="25"/>
        </w:rPr>
        <w:t></w:t>
      </w:r>
      <w:r w:rsidRPr="00132C1E">
        <w:rPr>
          <w:rFonts w:ascii="Symbol" w:hAnsi="Symbol"/>
        </w:rPr>
        <w:t></w:t>
      </w:r>
      <w:r w:rsidRPr="00132C1E">
        <w:rPr>
          <w:vertAlign w:val="subscript"/>
        </w:rPr>
        <w:t>u </w:t>
      </w:r>
      <w:r w:rsidRPr="00132C1E">
        <w:t>/</w:t>
      </w:r>
      <w:r w:rsidRPr="00132C1E">
        <w:rPr>
          <w:rFonts w:ascii="Symbol" w:hAnsi="Symbol"/>
        </w:rPr>
        <w:t></w:t>
      </w:r>
      <w:r w:rsidRPr="00132C1E">
        <w:rPr>
          <w:vertAlign w:val="subscript"/>
        </w:rPr>
        <w:t>1</w:t>
      </w:r>
      <w:r w:rsidRPr="00870D59">
        <w:tab/>
        <w:t>(5.</w:t>
      </w:r>
      <w:r>
        <w:t>4</w:t>
      </w:r>
      <w:r w:rsidRPr="00870D59">
        <w:t>)</w:t>
      </w:r>
    </w:p>
    <w:p w14:paraId="244A9B56" w14:textId="77777777" w:rsidR="00745CAF" w:rsidRPr="00870D59" w:rsidRDefault="00745CAF" w:rsidP="00745CAF">
      <w:pPr>
        <w:pStyle w:val="Text"/>
      </w:pPr>
      <w:r w:rsidRPr="00870D59">
        <w:t>where</w:t>
      </w:r>
    </w:p>
    <w:tbl>
      <w:tblPr>
        <w:tblW w:w="0" w:type="auto"/>
        <w:tblInd w:w="346" w:type="dxa"/>
        <w:tblLook w:val="04A0" w:firstRow="1" w:lastRow="0" w:firstColumn="1" w:lastColumn="0" w:noHBand="0" w:noVBand="1"/>
      </w:tblPr>
      <w:tblGrid>
        <w:gridCol w:w="1275"/>
        <w:gridCol w:w="7938"/>
      </w:tblGrid>
      <w:tr w:rsidR="00745CAF" w:rsidRPr="00870D59" w14:paraId="102C6AF9" w14:textId="77777777" w:rsidTr="00A8285E">
        <w:tc>
          <w:tcPr>
            <w:tcW w:w="1275" w:type="dxa"/>
          </w:tcPr>
          <w:p w14:paraId="5D3604D0" w14:textId="1BA5F2BA" w:rsidR="00745CAF" w:rsidRPr="00624AD0" w:rsidRDefault="00745CAF" w:rsidP="002061E5">
            <w:pPr>
              <w:pStyle w:val="Tablebody"/>
            </w:pPr>
            <w:r w:rsidRPr="00132C1E">
              <w:rPr>
                <w:rFonts w:ascii="Symbol" w:hAnsi="Symbol"/>
                <w:i/>
                <w:szCs w:val="22"/>
              </w:rPr>
              <w:t></w:t>
            </w:r>
            <w:r w:rsidRPr="00132C1E">
              <w:rPr>
                <w:vertAlign w:val="subscript"/>
              </w:rPr>
              <w:t>1</w:t>
            </w:r>
          </w:p>
        </w:tc>
        <w:tc>
          <w:tcPr>
            <w:tcW w:w="7938" w:type="dxa"/>
          </w:tcPr>
          <w:p w14:paraId="7C637FD8" w14:textId="2777B28F" w:rsidR="00745CAF" w:rsidRPr="00870D59" w:rsidRDefault="00745CAF" w:rsidP="002061E5">
            <w:pPr>
              <w:pStyle w:val="Tablebody"/>
            </w:pPr>
            <w:r w:rsidRPr="00132C1E">
              <w:t>is the value by which the horizontal seismic design action needs to be multiplied</w:t>
            </w:r>
            <w:r w:rsidR="00240A28">
              <w:t>,</w:t>
            </w:r>
            <w:r w:rsidRPr="00132C1E">
              <w:t xml:space="preserve"> in order to first reach the resistance </w:t>
            </w:r>
            <w:r>
              <w:t xml:space="preserve">of a dissipative zone </w:t>
            </w:r>
            <w:r w:rsidRPr="00132C1E">
              <w:t xml:space="preserve">in any member </w:t>
            </w:r>
            <w:r w:rsidR="00240A28">
              <w:t>of</w:t>
            </w:r>
            <w:r w:rsidRPr="00132C1E">
              <w:t xml:space="preserve"> the structure, while all other design actions remain constant</w:t>
            </w:r>
            <w:r w:rsidRPr="00D1484A">
              <w:t>;</w:t>
            </w:r>
          </w:p>
        </w:tc>
      </w:tr>
      <w:tr w:rsidR="00745CAF" w:rsidRPr="00870D59" w14:paraId="0FF77764" w14:textId="77777777" w:rsidTr="00A8285E">
        <w:tc>
          <w:tcPr>
            <w:tcW w:w="1275" w:type="dxa"/>
          </w:tcPr>
          <w:p w14:paraId="13107C58" w14:textId="68749563" w:rsidR="00745CAF" w:rsidRPr="00870D59" w:rsidRDefault="00745CAF" w:rsidP="002061E5">
            <w:pPr>
              <w:pStyle w:val="Tablebody"/>
              <w:rPr>
                <w:rFonts w:ascii="Symbol" w:eastAsia="Symbol" w:hAnsi="Symbol" w:cs="Symbol"/>
                <w:i/>
              </w:rPr>
            </w:pPr>
            <w:r w:rsidRPr="00132C1E">
              <w:rPr>
                <w:rFonts w:ascii="Symbol" w:hAnsi="Symbol"/>
                <w:i/>
                <w:szCs w:val="22"/>
              </w:rPr>
              <w:t></w:t>
            </w:r>
            <w:r w:rsidRPr="00132C1E">
              <w:rPr>
                <w:vertAlign w:val="subscript"/>
              </w:rPr>
              <w:t>u</w:t>
            </w:r>
          </w:p>
        </w:tc>
        <w:tc>
          <w:tcPr>
            <w:tcW w:w="7938" w:type="dxa"/>
          </w:tcPr>
          <w:p w14:paraId="75CB3685" w14:textId="2C11C4D9" w:rsidR="00745CAF" w:rsidRPr="00870D59" w:rsidRDefault="00745CAF" w:rsidP="002061E5">
            <w:pPr>
              <w:pStyle w:val="Tablebody"/>
            </w:pPr>
            <w:r w:rsidRPr="00132C1E">
              <w:t xml:space="preserve">is the value by which the horizontal seismic design action needs to be multiplied, in order to form </w:t>
            </w:r>
            <w:r>
              <w:t>dissipative zones</w:t>
            </w:r>
            <w:r w:rsidRPr="00132C1E">
              <w:t xml:space="preserve"> in a number of sections sufficient for the development of overall structural (plastic) instability, while all other design actions remain constant. Factor </w:t>
            </w:r>
            <w:r w:rsidR="00240A28" w:rsidRPr="00132C1E">
              <w:rPr>
                <w:rFonts w:ascii="Symbol" w:hAnsi="Symbol"/>
                <w:i/>
                <w:szCs w:val="22"/>
              </w:rPr>
              <w:t></w:t>
            </w:r>
            <w:r w:rsidR="00240A28" w:rsidRPr="00132C1E">
              <w:rPr>
                <w:vertAlign w:val="subscript"/>
              </w:rPr>
              <w:t>u</w:t>
            </w:r>
            <w:r w:rsidR="00240A28">
              <w:t xml:space="preserve"> m</w:t>
            </w:r>
            <w:r w:rsidRPr="00132C1E">
              <w:t>ay be obtained from a nonlinear static (pushover) global analysis</w:t>
            </w:r>
            <w:r>
              <w:t>.</w:t>
            </w:r>
          </w:p>
        </w:tc>
      </w:tr>
    </w:tbl>
    <w:p w14:paraId="5DCFFEC1" w14:textId="77777777" w:rsidR="00745CAF" w:rsidRPr="00132C1E" w:rsidRDefault="00745CAF" w:rsidP="0080187E">
      <w:pPr>
        <w:pStyle w:val="Clause"/>
        <w:numPr>
          <w:ilvl w:val="0"/>
          <w:numId w:val="48"/>
        </w:numPr>
      </w:pPr>
      <w:r w:rsidRPr="00132C1E">
        <w:t xml:space="preserve">For buildings which are torsionally flexible, </w:t>
      </w:r>
      <w:r w:rsidRPr="00132C1E">
        <w:rPr>
          <w:i/>
        </w:rPr>
        <w:t>q</w:t>
      </w:r>
      <w:r w:rsidRPr="00132C1E">
        <w:rPr>
          <w:vertAlign w:val="subscript"/>
        </w:rPr>
        <w:t>R</w:t>
      </w:r>
      <w:r w:rsidRPr="00132C1E">
        <w:t xml:space="preserve"> should be taken equal to 1.</w:t>
      </w:r>
    </w:p>
    <w:p w14:paraId="0F6D1686" w14:textId="7F1E8A11" w:rsidR="00745CAF" w:rsidRPr="00132C1E" w:rsidRDefault="00745CAF" w:rsidP="0080187E">
      <w:pPr>
        <w:pStyle w:val="Clause"/>
        <w:numPr>
          <w:ilvl w:val="0"/>
          <w:numId w:val="48"/>
        </w:numPr>
      </w:pPr>
      <w:r w:rsidRPr="00132C1E">
        <w:t xml:space="preserve">Except </w:t>
      </w:r>
      <w:r w:rsidRPr="00240A28">
        <w:t xml:space="preserve">when (7) applies, default values of </w:t>
      </w:r>
      <w:r w:rsidRPr="00240A28">
        <w:rPr>
          <w:i/>
        </w:rPr>
        <w:t>q</w:t>
      </w:r>
      <w:r w:rsidRPr="00240A28">
        <w:rPr>
          <w:vertAlign w:val="subscript"/>
        </w:rPr>
        <w:t>R</w:t>
      </w:r>
      <w:r w:rsidR="00240A28">
        <w:t xml:space="preserve"> g</w:t>
      </w:r>
      <w:r w:rsidRPr="00240A28">
        <w:t xml:space="preserve">iven in </w:t>
      </w:r>
      <w:r w:rsidR="00A8285E">
        <w:t xml:space="preserve">Clauses </w:t>
      </w:r>
      <w:r w:rsidRPr="00240A28">
        <w:t>10 to 15 may</w:t>
      </w:r>
      <w:r w:rsidRPr="00132C1E">
        <w:t xml:space="preserve"> be used.</w:t>
      </w:r>
    </w:p>
    <w:p w14:paraId="6705C614" w14:textId="09C7AD92" w:rsidR="00745CAF" w:rsidRPr="00C00EBD" w:rsidRDefault="00745CAF" w:rsidP="00745CAF">
      <w:pPr>
        <w:pStyle w:val="Notetext"/>
      </w:pPr>
      <w:r w:rsidRPr="00C00EBD">
        <w:t>NOTE</w:t>
      </w:r>
      <w:r w:rsidRPr="00C00EBD">
        <w:tab/>
        <w:t xml:space="preserve">Default values of </w:t>
      </w:r>
      <w:r w:rsidRPr="00C00EBD">
        <w:rPr>
          <w:i/>
        </w:rPr>
        <w:t>q</w:t>
      </w:r>
      <w:r w:rsidRPr="00C00EBD">
        <w:rPr>
          <w:vertAlign w:val="subscript"/>
        </w:rPr>
        <w:t>R</w:t>
      </w:r>
      <w:r w:rsidR="00240A28">
        <w:t xml:space="preserve"> d</w:t>
      </w:r>
      <w:r w:rsidRPr="00C00EBD">
        <w:t>epend on the construction material and structural system.</w:t>
      </w:r>
    </w:p>
    <w:p w14:paraId="2FAB876B" w14:textId="543B9CCB" w:rsidR="004327F1" w:rsidRPr="00870D59" w:rsidRDefault="00745CAF" w:rsidP="004327F1">
      <w:pPr>
        <w:pStyle w:val="Heading3"/>
      </w:pPr>
      <w:bookmarkStart w:id="861" w:name="_Toc50150284"/>
      <w:bookmarkStart w:id="862" w:name="_Toc70886715"/>
      <w:bookmarkStart w:id="863" w:name="_Toc108342215"/>
      <w:bookmarkStart w:id="864" w:name="_Toc134197805"/>
      <w:r w:rsidRPr="00132C1E">
        <w:lastRenderedPageBreak/>
        <w:t>Lateral forces method of analysis</w:t>
      </w:r>
      <w:bookmarkEnd w:id="861"/>
      <w:bookmarkEnd w:id="862"/>
      <w:bookmarkEnd w:id="863"/>
      <w:bookmarkEnd w:id="864"/>
    </w:p>
    <w:p w14:paraId="21339824" w14:textId="251E5F68" w:rsidR="00745CAF" w:rsidRPr="00132C1E" w:rsidRDefault="00745CAF" w:rsidP="0080187E">
      <w:pPr>
        <w:pStyle w:val="Clause"/>
        <w:numPr>
          <w:ilvl w:val="0"/>
          <w:numId w:val="49"/>
        </w:numPr>
      </w:pPr>
      <w:r w:rsidRPr="00132C1E">
        <w:t xml:space="preserve">This type of analysis should comply with </w:t>
      </w:r>
      <w:r>
        <w:t>prEN</w:t>
      </w:r>
      <w:r w:rsidR="00240A28">
        <w:t> </w:t>
      </w:r>
      <w:r>
        <w:t>1998-1-1:2022</w:t>
      </w:r>
      <w:r w:rsidRPr="00240A28">
        <w:t>, 6.4.1 and 6.4.2. It should</w:t>
      </w:r>
      <w:r w:rsidRPr="00132C1E">
        <w:t xml:space="preserve"> not be used for buildings taller than 30</w:t>
      </w:r>
      <w:r w:rsidR="00240A28">
        <w:t> </w:t>
      </w:r>
      <w:r w:rsidRPr="00132C1E">
        <w:t xml:space="preserve">m and for buildings with </w:t>
      </w:r>
      <w:r w:rsidRPr="00745CAF">
        <w:rPr>
          <w:i/>
          <w:iCs/>
        </w:rPr>
        <w:t>T</w:t>
      </w:r>
      <w:r w:rsidRPr="00745CAF">
        <w:rPr>
          <w:vertAlign w:val="subscript"/>
        </w:rPr>
        <w:t xml:space="preserve">1 </w:t>
      </w:r>
      <w:r w:rsidRPr="00132C1E">
        <w:t>&gt; min (4</w:t>
      </w:r>
      <w:r w:rsidR="00613130">
        <w:t xml:space="preserve"> </w:t>
      </w:r>
      <w:r w:rsidRPr="00745CAF">
        <w:rPr>
          <w:i/>
          <w:iCs/>
        </w:rPr>
        <w:t>T</w:t>
      </w:r>
      <w:r w:rsidRPr="00745CAF">
        <w:rPr>
          <w:vertAlign w:val="subscript"/>
        </w:rPr>
        <w:t>C</w:t>
      </w:r>
      <w:r w:rsidRPr="00132C1E">
        <w:t>; 1,5 s).</w:t>
      </w:r>
    </w:p>
    <w:p w14:paraId="536071AC" w14:textId="77777777" w:rsidR="00745CAF" w:rsidRPr="00132C1E" w:rsidRDefault="00745CAF" w:rsidP="0080187E">
      <w:pPr>
        <w:pStyle w:val="Clause"/>
        <w:numPr>
          <w:ilvl w:val="0"/>
          <w:numId w:val="49"/>
        </w:numPr>
      </w:pPr>
      <w:r w:rsidRPr="00132C1E">
        <w:t xml:space="preserve">The seismic base shear force </w:t>
      </w:r>
      <w:r w:rsidRPr="00132C1E">
        <w:rPr>
          <w:i/>
        </w:rPr>
        <w:t>F</w:t>
      </w:r>
      <w:r w:rsidRPr="00132C1E">
        <w:rPr>
          <w:vertAlign w:val="subscript"/>
        </w:rPr>
        <w:t>b</w:t>
      </w:r>
      <w:r w:rsidRPr="00132C1E">
        <w:t>, for each horizontal direction in which the building is analysed, should be determined using Formula (5.5).</w:t>
      </w:r>
    </w:p>
    <w:p w14:paraId="0FC9E7CC" w14:textId="418C088C" w:rsidR="003246AC" w:rsidRPr="00870D59" w:rsidRDefault="009B5CEC" w:rsidP="003246AC">
      <w:pPr>
        <w:pStyle w:val="Formula"/>
        <w:spacing w:before="240"/>
      </w:pPr>
      <m:oMath>
        <m:sSub>
          <m:sSubPr>
            <m:ctrlPr>
              <w:rPr>
                <w:rFonts w:ascii="Cambria Math" w:hAnsi="Cambria Math"/>
              </w:rPr>
            </m:ctrlPr>
          </m:sSubPr>
          <m:e>
            <m:r>
              <w:rPr>
                <w:rFonts w:ascii="Cambria Math" w:hAnsi="Cambria Math"/>
              </w:rPr>
              <m:t>F</m:t>
            </m:r>
          </m:e>
          <m:sub>
            <m:r>
              <m:rPr>
                <m:sty m:val="p"/>
              </m:rPr>
              <w:rPr>
                <w:rFonts w:ascii="Cambria Math" w:hAnsi="Cambria Math"/>
              </w:rPr>
              <m:t>b</m:t>
            </m:r>
          </m:sub>
        </m:sSub>
        <m:r>
          <w:rPr>
            <w:rFonts w:ascii="Cambria Math" w:hAnsi="Cambria Math"/>
          </w:rPr>
          <m:t>=λ m </m:t>
        </m:r>
        <m:sSub>
          <m:sSubPr>
            <m:ctrlPr>
              <w:rPr>
                <w:rFonts w:ascii="Cambria Math" w:hAnsi="Cambria Math"/>
              </w:rPr>
            </m:ctrlPr>
          </m:sSubPr>
          <m:e>
            <m:r>
              <w:rPr>
                <w:rFonts w:ascii="Cambria Math" w:hAnsi="Cambria Math"/>
              </w:rPr>
              <m:t>S</m:t>
            </m:r>
          </m:e>
          <m:sub>
            <m:r>
              <m:rPr>
                <m:sty m:val="p"/>
              </m:rPr>
              <w:rPr>
                <w:rFonts w:ascii="Cambria Math" w:hAnsi="Cambria Math"/>
              </w:rPr>
              <m:t>r</m:t>
            </m:r>
          </m:sub>
        </m:sSub>
        <m:d>
          <m:dPr>
            <m:ctrlPr>
              <w:rPr>
                <w:rFonts w:ascii="Cambria Math" w:hAnsi="Cambria Math"/>
              </w:rPr>
            </m:ctrlPr>
          </m:dPr>
          <m:e>
            <m:sSub>
              <m:sSubPr>
                <m:ctrlPr>
                  <w:rPr>
                    <w:rFonts w:ascii="Cambria Math" w:hAnsi="Cambria Math"/>
                  </w:rPr>
                </m:ctrlPr>
              </m:sSubPr>
              <m:e>
                <m:r>
                  <w:rPr>
                    <w:rFonts w:ascii="Cambria Math" w:hAnsi="Cambria Math"/>
                  </w:rPr>
                  <m:t>T</m:t>
                </m:r>
              </m:e>
              <m:sub>
                <m:r>
                  <w:rPr>
                    <w:rFonts w:ascii="Cambria Math" w:hAnsi="Cambria Math"/>
                  </w:rPr>
                  <m:t>1</m:t>
                </m:r>
              </m:sub>
            </m:sSub>
          </m:e>
        </m:d>
      </m:oMath>
      <w:r w:rsidR="003246AC" w:rsidRPr="00870D59">
        <w:tab/>
        <w:t>(5.</w:t>
      </w:r>
      <w:r w:rsidR="003246AC">
        <w:t>5</w:t>
      </w:r>
      <w:r w:rsidR="003246AC" w:rsidRPr="00870D59">
        <w:t>)</w:t>
      </w:r>
    </w:p>
    <w:p w14:paraId="4FCE42B8" w14:textId="77777777" w:rsidR="003246AC" w:rsidRPr="00870D59" w:rsidRDefault="003246AC" w:rsidP="003246AC">
      <w:pPr>
        <w:pStyle w:val="Text"/>
      </w:pPr>
      <w:r w:rsidRPr="00870D59">
        <w:t>where</w:t>
      </w:r>
    </w:p>
    <w:tbl>
      <w:tblPr>
        <w:tblW w:w="0" w:type="auto"/>
        <w:tblInd w:w="346" w:type="dxa"/>
        <w:tblLook w:val="04A0" w:firstRow="1" w:lastRow="0" w:firstColumn="1" w:lastColumn="0" w:noHBand="0" w:noVBand="1"/>
      </w:tblPr>
      <w:tblGrid>
        <w:gridCol w:w="1275"/>
        <w:gridCol w:w="7938"/>
      </w:tblGrid>
      <w:tr w:rsidR="003246AC" w:rsidRPr="00870D59" w14:paraId="2CEF2F9A" w14:textId="77777777" w:rsidTr="00A8285E">
        <w:tc>
          <w:tcPr>
            <w:tcW w:w="1275" w:type="dxa"/>
          </w:tcPr>
          <w:p w14:paraId="36E25CDE" w14:textId="283EC37E" w:rsidR="003246AC" w:rsidRPr="00624AD0" w:rsidRDefault="003246AC" w:rsidP="002061E5">
            <w:pPr>
              <w:pStyle w:val="Tablebody"/>
            </w:pPr>
            <w:r w:rsidRPr="00D1484A">
              <w:rPr>
                <w:i/>
              </w:rPr>
              <w:t>S</w:t>
            </w:r>
            <w:r>
              <w:rPr>
                <w:vertAlign w:val="subscript"/>
              </w:rPr>
              <w:t>r</w:t>
            </w:r>
            <w:r w:rsidRPr="007E6F67">
              <w:rPr>
                <w:i/>
                <w:vertAlign w:val="subscript"/>
              </w:rPr>
              <w:t xml:space="preserve"> </w:t>
            </w:r>
            <w:r w:rsidRPr="007E6F67">
              <w:t>(</w:t>
            </w:r>
            <w:r w:rsidRPr="007E6F67">
              <w:rPr>
                <w:i/>
              </w:rPr>
              <w:t>T</w:t>
            </w:r>
            <w:r w:rsidRPr="00FD17CF">
              <w:rPr>
                <w:vertAlign w:val="subscript"/>
              </w:rPr>
              <w:t>1</w:t>
            </w:r>
            <w:r w:rsidRPr="00FD17CF">
              <w:t>)</w:t>
            </w:r>
          </w:p>
        </w:tc>
        <w:tc>
          <w:tcPr>
            <w:tcW w:w="7938" w:type="dxa"/>
          </w:tcPr>
          <w:p w14:paraId="25118A31" w14:textId="2244CCE5" w:rsidR="003246AC" w:rsidRPr="00870D59" w:rsidRDefault="003246AC" w:rsidP="002061E5">
            <w:pPr>
              <w:pStyle w:val="Tablebody"/>
            </w:pPr>
            <w:r w:rsidRPr="00FD17CF">
              <w:t>is the ordinate of the reduced spectrum (</w:t>
            </w:r>
            <w:r>
              <w:t>prEN</w:t>
            </w:r>
            <w:r w:rsidR="00613130">
              <w:t> </w:t>
            </w:r>
            <w:r>
              <w:t>1998-1-1:</w:t>
            </w:r>
            <w:r w:rsidRPr="00613130">
              <w:t>2022, 6.4.1)</w:t>
            </w:r>
            <w:r w:rsidRPr="00C52095">
              <w:t xml:space="preserve"> at period </w:t>
            </w:r>
            <w:r w:rsidRPr="007754C9">
              <w:rPr>
                <w:i/>
              </w:rPr>
              <w:t>T</w:t>
            </w:r>
            <w:r w:rsidRPr="007754C9">
              <w:rPr>
                <w:vertAlign w:val="subscript"/>
              </w:rPr>
              <w:t>1</w:t>
            </w:r>
            <w:r w:rsidRPr="00132C1E">
              <w:t>;</w:t>
            </w:r>
          </w:p>
        </w:tc>
      </w:tr>
      <w:tr w:rsidR="003246AC" w:rsidRPr="00870D59" w14:paraId="1DFB4C46" w14:textId="77777777" w:rsidTr="00A8285E">
        <w:tc>
          <w:tcPr>
            <w:tcW w:w="1275" w:type="dxa"/>
          </w:tcPr>
          <w:p w14:paraId="6F01EA74" w14:textId="377EACFF" w:rsidR="003246AC" w:rsidRPr="00870D59" w:rsidRDefault="003246AC" w:rsidP="002061E5">
            <w:pPr>
              <w:pStyle w:val="Tablebody"/>
              <w:rPr>
                <w:rFonts w:ascii="Symbol" w:eastAsia="Symbol" w:hAnsi="Symbol" w:cs="Symbol"/>
                <w:i/>
              </w:rPr>
            </w:pPr>
            <w:r w:rsidRPr="00132C1E">
              <w:rPr>
                <w:i/>
              </w:rPr>
              <w:t>T</w:t>
            </w:r>
            <w:r w:rsidRPr="00132C1E">
              <w:rPr>
                <w:vertAlign w:val="subscript"/>
              </w:rPr>
              <w:t>1</w:t>
            </w:r>
          </w:p>
        </w:tc>
        <w:tc>
          <w:tcPr>
            <w:tcW w:w="7938" w:type="dxa"/>
          </w:tcPr>
          <w:p w14:paraId="378C573B" w14:textId="09776528" w:rsidR="003246AC" w:rsidRPr="00870D59" w:rsidRDefault="003246AC" w:rsidP="002061E5">
            <w:pPr>
              <w:pStyle w:val="Tablebody"/>
            </w:pPr>
            <w:r w:rsidRPr="00132C1E">
              <w:t>is the fundamental period of vibration of the building for lateral motion in the direction considered;</w:t>
            </w:r>
          </w:p>
        </w:tc>
      </w:tr>
      <w:tr w:rsidR="003246AC" w:rsidRPr="00870D59" w14:paraId="3969E8C8" w14:textId="77777777" w:rsidTr="00A8285E">
        <w:tc>
          <w:tcPr>
            <w:tcW w:w="1275" w:type="dxa"/>
          </w:tcPr>
          <w:p w14:paraId="327EEC41" w14:textId="5D5B6871" w:rsidR="003246AC" w:rsidRPr="00132C1E" w:rsidRDefault="003246AC" w:rsidP="002061E5">
            <w:pPr>
              <w:pStyle w:val="Tablebody"/>
              <w:rPr>
                <w:rFonts w:ascii="Symbol" w:hAnsi="Symbol"/>
                <w:i/>
                <w:szCs w:val="22"/>
              </w:rPr>
            </w:pPr>
            <w:r w:rsidRPr="00132C1E">
              <w:rPr>
                <w:i/>
              </w:rPr>
              <w:t>m</w:t>
            </w:r>
          </w:p>
        </w:tc>
        <w:tc>
          <w:tcPr>
            <w:tcW w:w="7938" w:type="dxa"/>
          </w:tcPr>
          <w:p w14:paraId="4A3A4B5C" w14:textId="50317DBA" w:rsidR="003246AC" w:rsidRPr="00132C1E" w:rsidRDefault="003246AC" w:rsidP="002061E5">
            <w:pPr>
              <w:pStyle w:val="Tablebody"/>
            </w:pPr>
            <w:r w:rsidRPr="00132C1E">
              <w:t xml:space="preserve">is the total mass of the building, above the foundation or above the top of a rigid basement, in accordance </w:t>
            </w:r>
            <w:r w:rsidRPr="00613130">
              <w:t>with 5.1.2;</w:t>
            </w:r>
          </w:p>
        </w:tc>
      </w:tr>
      <w:tr w:rsidR="003246AC" w:rsidRPr="00870D59" w14:paraId="2DD65E0B" w14:textId="77777777" w:rsidTr="00A8285E">
        <w:tc>
          <w:tcPr>
            <w:tcW w:w="1275" w:type="dxa"/>
          </w:tcPr>
          <w:p w14:paraId="6E2B408C" w14:textId="461CF6F6" w:rsidR="003246AC" w:rsidRPr="00132C1E" w:rsidRDefault="003246AC" w:rsidP="002061E5">
            <w:pPr>
              <w:pStyle w:val="Tablebody"/>
              <w:rPr>
                <w:rFonts w:ascii="Symbol" w:hAnsi="Symbol"/>
                <w:i/>
                <w:szCs w:val="22"/>
              </w:rPr>
            </w:pPr>
            <w:r w:rsidRPr="00132C1E">
              <w:rPr>
                <w:rFonts w:ascii="Symbol" w:eastAsia="Symbol" w:hAnsi="Symbol" w:cs="Symbol"/>
                <w:i/>
              </w:rPr>
              <w:t></w:t>
            </w:r>
          </w:p>
        </w:tc>
        <w:tc>
          <w:tcPr>
            <w:tcW w:w="7938" w:type="dxa"/>
          </w:tcPr>
          <w:p w14:paraId="35C9F623" w14:textId="08181A2A" w:rsidR="003246AC" w:rsidRDefault="003246AC" w:rsidP="002061E5">
            <w:pPr>
              <w:pStyle w:val="Tablebody"/>
            </w:pPr>
            <w:r w:rsidRPr="00132C1E">
              <w:t>= 0,85</w:t>
            </w:r>
            <w:r w:rsidR="00613130">
              <w:t xml:space="preserve"> </w:t>
            </w:r>
            <w:r w:rsidRPr="00132C1E">
              <w:t xml:space="preserve">if </w:t>
            </w:r>
            <w:r w:rsidRPr="00132C1E">
              <w:rPr>
                <w:i/>
              </w:rPr>
              <w:t>T</w:t>
            </w:r>
            <w:r w:rsidRPr="00132C1E">
              <w:rPr>
                <w:vertAlign w:val="subscript"/>
              </w:rPr>
              <w:t xml:space="preserve">1 </w:t>
            </w:r>
            <w:r w:rsidRPr="00132C1E">
              <w:rPr>
                <w:u w:val="single"/>
              </w:rPr>
              <w:t>&lt;</w:t>
            </w:r>
            <w:r w:rsidRPr="00132C1E">
              <w:t xml:space="preserve"> min (2</w:t>
            </w:r>
            <w:r w:rsidR="00613130">
              <w:t> </w:t>
            </w:r>
            <w:r w:rsidRPr="00132C1E">
              <w:rPr>
                <w:i/>
              </w:rPr>
              <w:t>T</w:t>
            </w:r>
            <w:r w:rsidRPr="00132C1E">
              <w:rPr>
                <w:vertAlign w:val="subscript"/>
              </w:rPr>
              <w:t>C</w:t>
            </w:r>
            <w:r w:rsidRPr="00132C1E">
              <w:t>; 1,2</w:t>
            </w:r>
            <w:r w:rsidR="00613130">
              <w:t> </w:t>
            </w:r>
            <w:r w:rsidRPr="00132C1E">
              <w:t>s) and the building has more than two storeys</w:t>
            </w:r>
            <w:r w:rsidR="00613130">
              <w:t>;</w:t>
            </w:r>
          </w:p>
          <w:p w14:paraId="0C582D81" w14:textId="6E22C422" w:rsidR="003246AC" w:rsidRPr="00132C1E" w:rsidRDefault="003246AC" w:rsidP="002061E5">
            <w:pPr>
              <w:pStyle w:val="Tablebody"/>
            </w:pPr>
            <w:r w:rsidRPr="00132C1E">
              <w:t>= 1,0 otherwise</w:t>
            </w:r>
            <w:r>
              <w:t>.</w:t>
            </w:r>
          </w:p>
        </w:tc>
      </w:tr>
    </w:tbl>
    <w:p w14:paraId="076C5730" w14:textId="51A3B9B1" w:rsidR="003246AC" w:rsidRPr="00132C1E" w:rsidRDefault="003246AC" w:rsidP="003246AC">
      <w:pPr>
        <w:pStyle w:val="Notetext"/>
      </w:pPr>
      <w:r w:rsidRPr="00132C1E">
        <w:t>NOTE</w:t>
      </w:r>
      <w:r w:rsidRPr="00132C1E">
        <w:tab/>
        <w:t xml:space="preserve">The correction factor </w:t>
      </w:r>
      <w:r w:rsidRPr="00132C1E">
        <w:rPr>
          <w:rFonts w:ascii="Symbol" w:eastAsia="Symbol" w:hAnsi="Symbol" w:cs="Symbol"/>
          <w:i/>
        </w:rPr>
        <w:t></w:t>
      </w:r>
      <w:r w:rsidRPr="00132C1E">
        <w:t xml:space="preserve"> accounts for the fact that</w:t>
      </w:r>
      <w:r w:rsidR="00613130">
        <w:t>,</w:t>
      </w:r>
      <w:r w:rsidRPr="00132C1E">
        <w:t xml:space="preserve"> in buildings with at least three storeys and translational degrees of freedom in each horizontal direction, the effective modal mass of the 1</w:t>
      </w:r>
      <w:r w:rsidRPr="00132C1E">
        <w:rPr>
          <w:vertAlign w:val="superscript"/>
        </w:rPr>
        <w:t>st</w:t>
      </w:r>
      <w:r w:rsidRPr="00132C1E">
        <w:t xml:space="preserve"> (fundamental) mode is smaller, on average by 15</w:t>
      </w:r>
      <w:r w:rsidR="00A8285E">
        <w:t> </w:t>
      </w:r>
      <w:r w:rsidRPr="00132C1E">
        <w:t>%, than the total building mass.</w:t>
      </w:r>
    </w:p>
    <w:p w14:paraId="62597652" w14:textId="67CDDCF1" w:rsidR="003246AC" w:rsidRDefault="003246AC" w:rsidP="0080187E">
      <w:pPr>
        <w:pStyle w:val="Clause"/>
        <w:numPr>
          <w:ilvl w:val="0"/>
          <w:numId w:val="49"/>
        </w:numPr>
      </w:pPr>
      <w:r w:rsidRPr="00132C1E">
        <w:t xml:space="preserve">The fundamental period of vibration </w:t>
      </w:r>
      <w:r w:rsidRPr="00F448B7">
        <w:rPr>
          <w:i/>
          <w:color w:val="auto"/>
        </w:rPr>
        <w:t>T</w:t>
      </w:r>
      <w:r w:rsidRPr="00F448B7">
        <w:rPr>
          <w:color w:val="auto"/>
          <w:vertAlign w:val="subscript"/>
        </w:rPr>
        <w:t>1</w:t>
      </w:r>
      <w:r w:rsidR="00613130">
        <w:rPr>
          <w:color w:val="auto"/>
        </w:rPr>
        <w:t xml:space="preserve"> (in </w:t>
      </w:r>
      <w:r w:rsidRPr="00F448B7">
        <w:rPr>
          <w:color w:val="auto"/>
        </w:rPr>
        <w:t xml:space="preserve">s) </w:t>
      </w:r>
      <w:r w:rsidRPr="00132C1E">
        <w:t>of the building and the associated mode shape may be calculated using approximate methods of structural dynamics or taken as given by Formula (5.6).</w:t>
      </w:r>
    </w:p>
    <w:p w14:paraId="1A0F650C" w14:textId="2D491968" w:rsidR="003246AC" w:rsidRPr="00870D59" w:rsidRDefault="009B5CEC" w:rsidP="003246AC">
      <w:pPr>
        <w:pStyle w:val="Formula"/>
        <w:spacing w:before="240"/>
      </w:pPr>
      <m:oMath>
        <m:sSub>
          <m:sSubPr>
            <m:ctrlPr>
              <w:rPr>
                <w:rFonts w:ascii="Cambria Math" w:hAnsi="Cambria Math"/>
              </w:rPr>
            </m:ctrlPr>
          </m:sSubPr>
          <m:e>
            <m:r>
              <w:rPr>
                <w:rFonts w:ascii="Cambria Math" w:hAnsi="Cambria Math"/>
              </w:rPr>
              <m:t>T</m:t>
            </m:r>
          </m:e>
          <m:sub>
            <m:r>
              <w:rPr>
                <w:rFonts w:ascii="Cambria Math" w:hAnsi="Cambria Math"/>
              </w:rPr>
              <m:t>1</m:t>
            </m:r>
          </m:sub>
        </m:sSub>
        <m:r>
          <w:rPr>
            <w:rFonts w:ascii="Cambria Math" w:hAnsi="Cambria Math"/>
          </w:rPr>
          <m:t>=2</m:t>
        </m:r>
        <m:rad>
          <m:radPr>
            <m:degHide m:val="1"/>
            <m:ctrlPr>
              <w:rPr>
                <w:rFonts w:ascii="Cambria Math" w:hAnsi="Cambria Math"/>
              </w:rPr>
            </m:ctrlPr>
          </m:radPr>
          <m:deg/>
          <m:e>
            <m:f>
              <m:fPr>
                <m:ctrlPr>
                  <w:rPr>
                    <w:rFonts w:ascii="Cambria Math" w:hAnsi="Cambria Math"/>
                  </w:rPr>
                </m:ctrlPr>
              </m:fPr>
              <m:num>
                <m:nary>
                  <m:naryPr>
                    <m:chr m:val="∑"/>
                    <m:limLoc m:val="undOvr"/>
                    <m:subHide m:val="1"/>
                    <m:supHide m:val="1"/>
                    <m:ctrlPr>
                      <w:rPr>
                        <w:rFonts w:ascii="Cambria Math" w:hAnsi="Cambria Math"/>
                      </w:rPr>
                    </m:ctrlPr>
                  </m:naryPr>
                  <m:sub/>
                  <m:sup/>
                  <m:e>
                    <m:sSub>
                      <m:sSubPr>
                        <m:ctrlPr>
                          <w:rPr>
                            <w:rFonts w:ascii="Cambria Math" w:hAnsi="Cambria Math"/>
                          </w:rPr>
                        </m:ctrlPr>
                      </m:sSubPr>
                      <m:e>
                        <m:r>
                          <w:rPr>
                            <w:rFonts w:ascii="Cambria Math" w:hAnsi="Cambria Math"/>
                          </w:rPr>
                          <m:t>m</m:t>
                        </m:r>
                      </m:e>
                      <m:sub>
                        <m:r>
                          <m:rPr>
                            <m:sty m:val="p"/>
                          </m:rPr>
                          <w:rPr>
                            <w:rFonts w:ascii="Cambria Math" w:hAnsi="Cambria Math"/>
                          </w:rPr>
                          <m:t>i</m:t>
                        </m:r>
                      </m:sub>
                    </m:sSub>
                    <m:sSubSup>
                      <m:sSubSupPr>
                        <m:ctrlPr>
                          <w:rPr>
                            <w:rFonts w:ascii="Cambria Math" w:hAnsi="Cambria Math"/>
                          </w:rPr>
                        </m:ctrlPr>
                      </m:sSubSupPr>
                      <m:e>
                        <m:r>
                          <w:rPr>
                            <w:rFonts w:ascii="Cambria Math" w:hAnsi="Cambria Math"/>
                          </w:rPr>
                          <m:t>s</m:t>
                        </m:r>
                      </m:e>
                      <m:sub>
                        <m:r>
                          <m:rPr>
                            <m:sty m:val="p"/>
                          </m:rPr>
                          <w:rPr>
                            <w:rFonts w:ascii="Cambria Math" w:hAnsi="Cambria Math"/>
                          </w:rPr>
                          <m:t>i</m:t>
                        </m:r>
                      </m:sub>
                      <m:sup>
                        <m:r>
                          <w:rPr>
                            <w:rFonts w:ascii="Cambria Math" w:hAnsi="Cambria Math"/>
                          </w:rPr>
                          <m:t>2</m:t>
                        </m:r>
                      </m:sup>
                    </m:sSubSup>
                  </m:e>
                </m:nary>
              </m:num>
              <m:den>
                <m:nary>
                  <m:naryPr>
                    <m:chr m:val="∑"/>
                    <m:limLoc m:val="undOvr"/>
                    <m:subHide m:val="1"/>
                    <m:supHide m:val="1"/>
                    <m:ctrlPr>
                      <w:rPr>
                        <w:rFonts w:ascii="Cambria Math" w:hAnsi="Cambria Math"/>
                      </w:rPr>
                    </m:ctrlPr>
                  </m:naryPr>
                  <m:sub/>
                  <m:sup/>
                  <m:e>
                    <m:sSub>
                      <m:sSubPr>
                        <m:ctrlPr>
                          <w:rPr>
                            <w:rFonts w:ascii="Cambria Math" w:hAnsi="Cambria Math"/>
                          </w:rPr>
                        </m:ctrlPr>
                      </m:sSubPr>
                      <m:e>
                        <m:r>
                          <w:rPr>
                            <w:rFonts w:ascii="Cambria Math" w:hAnsi="Cambria Math"/>
                          </w:rPr>
                          <m:t>m</m:t>
                        </m:r>
                      </m:e>
                      <m:sub>
                        <m:r>
                          <m:rPr>
                            <m:sty m:val="p"/>
                          </m:rPr>
                          <w:rPr>
                            <w:rFonts w:ascii="Cambria Math" w:hAnsi="Cambria Math"/>
                          </w:rPr>
                          <m:t>i</m:t>
                        </m:r>
                      </m:sub>
                    </m:sSub>
                    <m:sSub>
                      <m:sSubPr>
                        <m:ctrlPr>
                          <w:rPr>
                            <w:rFonts w:ascii="Cambria Math" w:hAnsi="Cambria Math"/>
                          </w:rPr>
                        </m:ctrlPr>
                      </m:sSubPr>
                      <m:e>
                        <m:r>
                          <w:rPr>
                            <w:rFonts w:ascii="Cambria Math" w:hAnsi="Cambria Math"/>
                          </w:rPr>
                          <m:t>s</m:t>
                        </m:r>
                      </m:e>
                      <m:sub>
                        <m:r>
                          <m:rPr>
                            <m:sty m:val="p"/>
                          </m:rPr>
                          <w:rPr>
                            <w:rFonts w:ascii="Cambria Math" w:hAnsi="Cambria Math"/>
                          </w:rPr>
                          <m:t>i</m:t>
                        </m:r>
                      </m:sub>
                    </m:sSub>
                  </m:e>
                </m:nary>
              </m:den>
            </m:f>
          </m:e>
        </m:rad>
      </m:oMath>
      <w:r w:rsidR="003246AC" w:rsidRPr="00870D59">
        <w:tab/>
        <w:t>(5.</w:t>
      </w:r>
      <w:r w:rsidR="003246AC">
        <w:t>6</w:t>
      </w:r>
      <w:r w:rsidR="003246AC" w:rsidRPr="00870D59">
        <w:t>)</w:t>
      </w:r>
    </w:p>
    <w:p w14:paraId="5BA42FB6" w14:textId="77777777" w:rsidR="003246AC" w:rsidRPr="00870D59" w:rsidRDefault="003246AC" w:rsidP="00A8285E">
      <w:pPr>
        <w:pStyle w:val="Text"/>
      </w:pPr>
      <w:r w:rsidRPr="00870D59">
        <w:t>where</w:t>
      </w:r>
    </w:p>
    <w:tbl>
      <w:tblPr>
        <w:tblW w:w="0" w:type="auto"/>
        <w:tblInd w:w="346" w:type="dxa"/>
        <w:tblLook w:val="04A0" w:firstRow="1" w:lastRow="0" w:firstColumn="1" w:lastColumn="0" w:noHBand="0" w:noVBand="1"/>
      </w:tblPr>
      <w:tblGrid>
        <w:gridCol w:w="1275"/>
        <w:gridCol w:w="7938"/>
      </w:tblGrid>
      <w:tr w:rsidR="003246AC" w:rsidRPr="00870D59" w14:paraId="7D72ACBC" w14:textId="77777777" w:rsidTr="00A8285E">
        <w:tc>
          <w:tcPr>
            <w:tcW w:w="1275" w:type="dxa"/>
          </w:tcPr>
          <w:p w14:paraId="44C7355B" w14:textId="41701E6B" w:rsidR="003246AC" w:rsidRPr="00624AD0" w:rsidRDefault="003246AC" w:rsidP="002061E5">
            <w:pPr>
              <w:pStyle w:val="Tablebody"/>
            </w:pPr>
            <w:r w:rsidRPr="00D1484A">
              <w:rPr>
                <w:i/>
              </w:rPr>
              <w:t>m</w:t>
            </w:r>
            <w:r w:rsidRPr="00613130">
              <w:rPr>
                <w:iCs/>
                <w:vertAlign w:val="subscript"/>
              </w:rPr>
              <w:t>i</w:t>
            </w:r>
          </w:p>
        </w:tc>
        <w:tc>
          <w:tcPr>
            <w:tcW w:w="7938" w:type="dxa"/>
          </w:tcPr>
          <w:p w14:paraId="2956AE8A" w14:textId="4CA6659E" w:rsidR="003246AC" w:rsidRPr="00870D59" w:rsidRDefault="003246AC" w:rsidP="002061E5">
            <w:pPr>
              <w:pStyle w:val="Tablebody"/>
            </w:pPr>
            <w:r w:rsidRPr="007E6F67">
              <w:t>is the</w:t>
            </w:r>
            <w:r w:rsidR="00613130">
              <w:t xml:space="preserve"> mass of the</w:t>
            </w:r>
            <w:r w:rsidRPr="007E6F67">
              <w:t xml:space="preserve"> </w:t>
            </w:r>
            <w:r w:rsidRPr="007E6F67">
              <w:rPr>
                <w:i/>
              </w:rPr>
              <w:t>i</w:t>
            </w:r>
            <w:r w:rsidRPr="007E6F67">
              <w:t xml:space="preserve">-th </w:t>
            </w:r>
            <w:r w:rsidRPr="00FD17CF">
              <w:t>storey</w:t>
            </w:r>
            <w:r w:rsidR="00613130">
              <w:t xml:space="preserve">, </w:t>
            </w:r>
            <w:r w:rsidRPr="00FD17CF">
              <w:t xml:space="preserve">calculated in accordance </w:t>
            </w:r>
            <w:r w:rsidRPr="00613130">
              <w:t>with 5.1.2;</w:t>
            </w:r>
          </w:p>
        </w:tc>
      </w:tr>
      <w:tr w:rsidR="003246AC" w:rsidRPr="00870D59" w14:paraId="37806AD4" w14:textId="77777777" w:rsidTr="00A8285E">
        <w:tc>
          <w:tcPr>
            <w:tcW w:w="1275" w:type="dxa"/>
          </w:tcPr>
          <w:p w14:paraId="3359A8E0" w14:textId="3E554644" w:rsidR="003246AC" w:rsidRPr="00870D59" w:rsidRDefault="003246AC" w:rsidP="002061E5">
            <w:pPr>
              <w:pStyle w:val="Tablebody"/>
              <w:rPr>
                <w:rFonts w:ascii="Symbol" w:eastAsia="Symbol" w:hAnsi="Symbol" w:cs="Symbol"/>
                <w:i/>
              </w:rPr>
            </w:pPr>
            <w:r w:rsidRPr="002144A0">
              <w:rPr>
                <w:i/>
              </w:rPr>
              <w:t>s</w:t>
            </w:r>
            <w:r w:rsidRPr="00613130">
              <w:rPr>
                <w:iCs/>
                <w:vertAlign w:val="subscript"/>
              </w:rPr>
              <w:t>i</w:t>
            </w:r>
          </w:p>
        </w:tc>
        <w:tc>
          <w:tcPr>
            <w:tcW w:w="7938" w:type="dxa"/>
          </w:tcPr>
          <w:p w14:paraId="11B06787" w14:textId="0D1B5D3F" w:rsidR="003246AC" w:rsidRPr="00870D59" w:rsidRDefault="003246AC" w:rsidP="002061E5">
            <w:pPr>
              <w:pStyle w:val="Tablebody"/>
            </w:pPr>
            <w:r w:rsidRPr="00132C1E">
              <w:t>is the</w:t>
            </w:r>
            <w:r w:rsidR="00613130">
              <w:t xml:space="preserve"> </w:t>
            </w:r>
            <w:r w:rsidRPr="00132C1E">
              <w:t xml:space="preserve">displacement </w:t>
            </w:r>
            <w:r w:rsidR="00613130">
              <w:t>(</w:t>
            </w:r>
            <w:r w:rsidRPr="00132C1E">
              <w:t>in m</w:t>
            </w:r>
            <w:r w:rsidR="00613130">
              <w:t>)</w:t>
            </w:r>
            <w:r w:rsidRPr="00132C1E">
              <w:t xml:space="preserve"> of</w:t>
            </w:r>
            <w:r w:rsidR="00613130">
              <w:t xml:space="preserve"> the</w:t>
            </w:r>
            <w:r w:rsidRPr="00132C1E">
              <w:t xml:space="preserve"> </w:t>
            </w:r>
            <w:r w:rsidRPr="00132C1E">
              <w:rPr>
                <w:i/>
              </w:rPr>
              <w:t>i</w:t>
            </w:r>
            <w:r w:rsidRPr="00132C1E">
              <w:t>-th storey under the acceleration of gravity, 9,81</w:t>
            </w:r>
            <w:r w:rsidR="00613130">
              <w:t> </w:t>
            </w:r>
            <w:r w:rsidRPr="00132C1E">
              <w:t xml:space="preserve">m/s², applied </w:t>
            </w:r>
            <w:r w:rsidR="00613130">
              <w:t>to</w:t>
            </w:r>
            <w:r w:rsidRPr="00132C1E">
              <w:t xml:space="preserve"> the structure in the considered horizontal direction</w:t>
            </w:r>
            <w:r>
              <w:t>.</w:t>
            </w:r>
          </w:p>
        </w:tc>
      </w:tr>
    </w:tbl>
    <w:p w14:paraId="127F2ABF" w14:textId="02ED43F2" w:rsidR="00F448B7" w:rsidRPr="00132C1E" w:rsidRDefault="00F448B7" w:rsidP="00F448B7">
      <w:pPr>
        <w:pStyle w:val="Notetext"/>
      </w:pPr>
      <w:r w:rsidRPr="00132C1E">
        <w:t>NOTE</w:t>
      </w:r>
      <w:r w:rsidRPr="00132C1E">
        <w:tab/>
      </w:r>
      <w:r w:rsidRPr="00F448B7">
        <w:t>For specific timber structures, a simplified method is given in 13.5(6), Formula (13.6).</w:t>
      </w:r>
    </w:p>
    <w:p w14:paraId="3397ABDE" w14:textId="3C722B20" w:rsidR="00F448B7" w:rsidRDefault="00F448B7" w:rsidP="0080187E">
      <w:pPr>
        <w:pStyle w:val="Clause"/>
        <w:numPr>
          <w:ilvl w:val="0"/>
          <w:numId w:val="49"/>
        </w:numPr>
      </w:pPr>
      <w:r w:rsidRPr="00132C1E">
        <w:t xml:space="preserve">The seismic action effects should be determined by applying horizontal forces </w:t>
      </w:r>
      <w:r w:rsidRPr="00132C1E">
        <w:rPr>
          <w:i/>
        </w:rPr>
        <w:t>F</w:t>
      </w:r>
      <w:r w:rsidRPr="00613130">
        <w:rPr>
          <w:iCs/>
          <w:vertAlign w:val="subscript"/>
        </w:rPr>
        <w:t>i</w:t>
      </w:r>
      <w:r w:rsidRPr="00132C1E">
        <w:t xml:space="preserve"> in each horizontal direction, according to Formula (5.7).</w:t>
      </w:r>
    </w:p>
    <w:p w14:paraId="5CA92C41" w14:textId="5AFF51E2" w:rsidR="00F448B7" w:rsidRPr="00870D59" w:rsidRDefault="009B5CEC" w:rsidP="00F448B7">
      <w:pPr>
        <w:pStyle w:val="Formula"/>
        <w:spacing w:before="240"/>
      </w:pPr>
      <m:oMath>
        <m:sSub>
          <m:sSubPr>
            <m:ctrlPr>
              <w:rPr>
                <w:rFonts w:ascii="Cambria Math" w:hAnsi="Cambria Math"/>
              </w:rPr>
            </m:ctrlPr>
          </m:sSubPr>
          <m:e>
            <m:r>
              <w:rPr>
                <w:rFonts w:ascii="Cambria Math" w:hAnsi="Cambria Math"/>
              </w:rPr>
              <m:t>F</m:t>
            </m:r>
          </m:e>
          <m:sub>
            <m:r>
              <m:rPr>
                <m:sty m:val="p"/>
              </m:rPr>
              <w:rPr>
                <w:rFonts w:ascii="Cambria Math" w:hAnsi="Cambria Math"/>
              </w:rPr>
              <m:t>i</m:t>
            </m:r>
          </m:sub>
        </m:sSub>
        <m:r>
          <w:rPr>
            <w:rFonts w:ascii="Cambria Math" w:hAnsi="Cambria Math"/>
          </w:rPr>
          <m:t>=</m:t>
        </m:r>
        <m:sSub>
          <m:sSubPr>
            <m:ctrlPr>
              <w:rPr>
                <w:rFonts w:ascii="Cambria Math" w:hAnsi="Cambria Math"/>
              </w:rPr>
            </m:ctrlPr>
          </m:sSubPr>
          <m:e>
            <m:r>
              <w:rPr>
                <w:rFonts w:ascii="Cambria Math" w:hAnsi="Cambria Math"/>
              </w:rPr>
              <m:t>F</m:t>
            </m:r>
          </m:e>
          <m:sub>
            <m:r>
              <m:rPr>
                <m:sty m:val="p"/>
              </m:rPr>
              <w:rPr>
                <w:rFonts w:ascii="Cambria Math" w:hAnsi="Cambria Math"/>
              </w:rPr>
              <m:t>b</m:t>
            </m:r>
          </m:sub>
        </m:sSub>
        <m:f>
          <m:fPr>
            <m:ctrlPr>
              <w:rPr>
                <w:rFonts w:ascii="Cambria Math" w:hAnsi="Cambria Math"/>
              </w:rPr>
            </m:ctrlPr>
          </m:fPr>
          <m:num>
            <m:sSub>
              <m:sSubPr>
                <m:ctrlPr>
                  <w:rPr>
                    <w:rFonts w:ascii="Cambria Math" w:hAnsi="Cambria Math"/>
                  </w:rPr>
                </m:ctrlPr>
              </m:sSubPr>
              <m:e>
                <m:r>
                  <w:rPr>
                    <w:rFonts w:ascii="Cambria Math" w:hAnsi="Cambria Math"/>
                  </w:rPr>
                  <m:t>s</m:t>
                </m:r>
              </m:e>
              <m:sub>
                <m:r>
                  <m:rPr>
                    <m:sty m:val="p"/>
                  </m:rPr>
                  <w:rPr>
                    <w:rFonts w:ascii="Cambria Math" w:hAnsi="Cambria Math"/>
                  </w:rPr>
                  <m:t>i</m:t>
                </m:r>
              </m:sub>
            </m:sSub>
            <m:sSub>
              <m:sSubPr>
                <m:ctrlPr>
                  <w:rPr>
                    <w:rFonts w:ascii="Cambria Math" w:hAnsi="Cambria Math"/>
                  </w:rPr>
                </m:ctrlPr>
              </m:sSubPr>
              <m:e>
                <m:r>
                  <w:rPr>
                    <w:rFonts w:ascii="Cambria Math" w:hAnsi="Cambria Math"/>
                  </w:rPr>
                  <m:t>m</m:t>
                </m:r>
              </m:e>
              <m:sub>
                <m:r>
                  <m:rPr>
                    <m:sty m:val="p"/>
                  </m:rPr>
                  <w:rPr>
                    <w:rFonts w:ascii="Cambria Math" w:hAnsi="Cambria Math"/>
                  </w:rPr>
                  <m:t>i</m:t>
                </m:r>
              </m:sub>
            </m:sSub>
          </m:num>
          <m:den>
            <m:nary>
              <m:naryPr>
                <m:chr m:val="∑"/>
                <m:limLoc m:val="undOvr"/>
                <m:subHide m:val="1"/>
                <m:supHide m:val="1"/>
                <m:ctrlPr>
                  <w:rPr>
                    <w:rFonts w:ascii="Cambria Math" w:hAnsi="Cambria Math"/>
                  </w:rPr>
                </m:ctrlPr>
              </m:naryPr>
              <m:sub/>
              <m:sup/>
              <m:e>
                <m:sSub>
                  <m:sSubPr>
                    <m:ctrlPr>
                      <w:rPr>
                        <w:rFonts w:ascii="Cambria Math" w:hAnsi="Cambria Math"/>
                      </w:rPr>
                    </m:ctrlPr>
                  </m:sSubPr>
                  <m:e>
                    <m:r>
                      <w:rPr>
                        <w:rFonts w:ascii="Cambria Math" w:hAnsi="Cambria Math"/>
                      </w:rPr>
                      <m:t>s</m:t>
                    </m:r>
                  </m:e>
                  <m:sub>
                    <m:r>
                      <m:rPr>
                        <m:sty m:val="p"/>
                      </m:rPr>
                      <w:rPr>
                        <w:rFonts w:ascii="Cambria Math" w:hAnsi="Cambria Math"/>
                      </w:rPr>
                      <m:t>j</m:t>
                    </m:r>
                  </m:sub>
                </m:sSub>
                <m:sSub>
                  <m:sSubPr>
                    <m:ctrlPr>
                      <w:rPr>
                        <w:rFonts w:ascii="Cambria Math" w:hAnsi="Cambria Math"/>
                      </w:rPr>
                    </m:ctrlPr>
                  </m:sSubPr>
                  <m:e>
                    <m:r>
                      <w:rPr>
                        <w:rFonts w:ascii="Cambria Math" w:hAnsi="Cambria Math"/>
                      </w:rPr>
                      <m:t>m</m:t>
                    </m:r>
                  </m:e>
                  <m:sub>
                    <m:r>
                      <m:rPr>
                        <m:sty m:val="p"/>
                      </m:rPr>
                      <w:rPr>
                        <w:rFonts w:ascii="Cambria Math" w:hAnsi="Cambria Math"/>
                      </w:rPr>
                      <m:t>j</m:t>
                    </m:r>
                  </m:sub>
                </m:sSub>
              </m:e>
            </m:nary>
          </m:den>
        </m:f>
      </m:oMath>
      <w:r w:rsidR="00F448B7" w:rsidRPr="00870D59">
        <w:tab/>
        <w:t>(5.</w:t>
      </w:r>
      <w:r w:rsidR="00F448B7">
        <w:t>7</w:t>
      </w:r>
      <w:r w:rsidR="00F448B7" w:rsidRPr="00870D59">
        <w:t>)</w:t>
      </w:r>
    </w:p>
    <w:p w14:paraId="287B174F" w14:textId="24F62F03" w:rsidR="003246AC" w:rsidRPr="00132C1E" w:rsidRDefault="00F448B7" w:rsidP="003246AC">
      <w:pPr>
        <w:pStyle w:val="Clause"/>
        <w:numPr>
          <w:ilvl w:val="0"/>
          <w:numId w:val="0"/>
        </w:numPr>
      </w:pPr>
      <w:r w:rsidRPr="00D1484A">
        <w:t xml:space="preserve">with the same notations as </w:t>
      </w:r>
      <w:r w:rsidRPr="00613130">
        <w:t>in (3).</w:t>
      </w:r>
    </w:p>
    <w:p w14:paraId="0F67B546" w14:textId="0B070BAB" w:rsidR="004327F1" w:rsidRDefault="00F448B7" w:rsidP="00F448B7">
      <w:pPr>
        <w:pStyle w:val="Heading3"/>
      </w:pPr>
      <w:bookmarkStart w:id="865" w:name="_Toc134197806"/>
      <w:r w:rsidRPr="00F448B7">
        <w:t>Response spectrum analysis</w:t>
      </w:r>
      <w:bookmarkEnd w:id="865"/>
    </w:p>
    <w:p w14:paraId="22A61267" w14:textId="4D7068F0" w:rsidR="000F376A" w:rsidRPr="00B00B3D" w:rsidRDefault="000F376A" w:rsidP="0080187E">
      <w:pPr>
        <w:pStyle w:val="Clause"/>
        <w:numPr>
          <w:ilvl w:val="0"/>
          <w:numId w:val="50"/>
        </w:numPr>
      </w:pPr>
      <w:r w:rsidRPr="007E6F67">
        <w:t xml:space="preserve">Response spectrum analysis should comply with </w:t>
      </w:r>
      <w:r>
        <w:t>prEN</w:t>
      </w:r>
      <w:r w:rsidR="00613130">
        <w:t> </w:t>
      </w:r>
      <w:r>
        <w:t>1998-1-1:2022</w:t>
      </w:r>
      <w:r w:rsidRPr="00613130">
        <w:t>, 6.4.1 and 6.4.3.</w:t>
      </w:r>
      <w:r w:rsidRPr="007754C9">
        <w:t xml:space="preserve"> It may be applied to any building.</w:t>
      </w:r>
    </w:p>
    <w:p w14:paraId="46CA96CC" w14:textId="6BBB272E" w:rsidR="000F376A" w:rsidRDefault="000F376A" w:rsidP="000F376A">
      <w:pPr>
        <w:pStyle w:val="Heading3"/>
      </w:pPr>
      <w:bookmarkStart w:id="866" w:name="_Toc50150286"/>
      <w:bookmarkStart w:id="867" w:name="_Toc70886717"/>
      <w:bookmarkStart w:id="868" w:name="_Toc108342217"/>
      <w:bookmarkStart w:id="869" w:name="_Toc134197807"/>
      <w:r w:rsidRPr="00132C1E">
        <w:lastRenderedPageBreak/>
        <w:t>Non-linear static analysis</w:t>
      </w:r>
      <w:bookmarkEnd w:id="866"/>
      <w:bookmarkEnd w:id="867"/>
      <w:bookmarkEnd w:id="868"/>
      <w:bookmarkEnd w:id="869"/>
    </w:p>
    <w:p w14:paraId="05DB1251" w14:textId="446BB287" w:rsidR="000F376A" w:rsidRPr="000F376A" w:rsidRDefault="000F376A" w:rsidP="000F376A">
      <w:pPr>
        <w:pStyle w:val="Heading4"/>
      </w:pPr>
      <w:r>
        <w:t>General</w:t>
      </w:r>
    </w:p>
    <w:p w14:paraId="2C3F28A2" w14:textId="1FF88F44" w:rsidR="000F376A" w:rsidRPr="00132C1E" w:rsidRDefault="000F376A" w:rsidP="0080187E">
      <w:pPr>
        <w:pStyle w:val="Clause"/>
        <w:numPr>
          <w:ilvl w:val="0"/>
          <w:numId w:val="51"/>
        </w:numPr>
      </w:pPr>
      <w:r w:rsidRPr="00132C1E">
        <w:t xml:space="preserve">Non-linear static analysis should conform to </w:t>
      </w:r>
      <w:r>
        <w:t>prEN</w:t>
      </w:r>
      <w:r w:rsidR="00613130">
        <w:t> </w:t>
      </w:r>
      <w:r>
        <w:t>1998-1-1:</w:t>
      </w:r>
      <w:r w:rsidRPr="00613130">
        <w:t>2022, 6.5.</w:t>
      </w:r>
    </w:p>
    <w:p w14:paraId="0E069A75" w14:textId="24C1DB10" w:rsidR="000F376A" w:rsidRPr="00132C1E" w:rsidRDefault="000F376A" w:rsidP="0080187E">
      <w:pPr>
        <w:pStyle w:val="Clause"/>
        <w:numPr>
          <w:ilvl w:val="0"/>
          <w:numId w:val="51"/>
        </w:numPr>
      </w:pPr>
      <w:r w:rsidRPr="00132C1E">
        <w:t xml:space="preserve">The seismic action should be applied with both positive and negative signs and the </w:t>
      </w:r>
      <w:r w:rsidR="00355365">
        <w:t>most unfavourable</w:t>
      </w:r>
      <w:r w:rsidRPr="00132C1E">
        <w:t xml:space="preserve"> seismic action effects resulting from the two cases should be used.</w:t>
      </w:r>
    </w:p>
    <w:p w14:paraId="2E60388C" w14:textId="45E535B2" w:rsidR="000F376A" w:rsidRDefault="000F376A" w:rsidP="0080187E">
      <w:pPr>
        <w:pStyle w:val="Clause"/>
        <w:numPr>
          <w:ilvl w:val="0"/>
          <w:numId w:val="51"/>
        </w:numPr>
      </w:pPr>
      <w:r w:rsidRPr="00132C1E">
        <w:t xml:space="preserve">In low-rise </w:t>
      </w:r>
      <w:r w:rsidR="00355365">
        <w:t xml:space="preserve">wall </w:t>
      </w:r>
      <w:r w:rsidRPr="00132C1E">
        <w:t>buildings in which the bending moment in walls is low in comparison to shear action effects, each storey may be analysed independently.</w:t>
      </w:r>
    </w:p>
    <w:p w14:paraId="08DF26AA" w14:textId="77777777" w:rsidR="00A354DA" w:rsidRPr="00D1484A" w:rsidRDefault="00A354DA" w:rsidP="00A354DA">
      <w:pPr>
        <w:pStyle w:val="Heading4"/>
      </w:pPr>
      <w:bookmarkStart w:id="870" w:name="_Toc108342219"/>
      <w:r w:rsidRPr="00132C1E">
        <w:t>Construction of the capacity curve</w:t>
      </w:r>
      <w:bookmarkEnd w:id="870"/>
    </w:p>
    <w:p w14:paraId="73DAF204" w14:textId="789D26DF" w:rsidR="00A354DA" w:rsidRPr="002144A0" w:rsidRDefault="00A354DA" w:rsidP="0080187E">
      <w:pPr>
        <w:pStyle w:val="Clause"/>
        <w:numPr>
          <w:ilvl w:val="0"/>
          <w:numId w:val="52"/>
        </w:numPr>
      </w:pPr>
      <w:r>
        <w:t>prEN</w:t>
      </w:r>
      <w:r w:rsidR="00355365">
        <w:t> </w:t>
      </w:r>
      <w:r>
        <w:t>1998-1-1:2022</w:t>
      </w:r>
      <w:r w:rsidRPr="00355365">
        <w:t>, 6.5.1 and 6.5.2, should</w:t>
      </w:r>
      <w:r w:rsidRPr="00FD17CF">
        <w:t xml:space="preserve"> be applied, with the additional provisions given </w:t>
      </w:r>
      <w:r w:rsidRPr="00355365">
        <w:t>in (2) to (5).</w:t>
      </w:r>
    </w:p>
    <w:p w14:paraId="31836E61" w14:textId="3113E7CA" w:rsidR="00A354DA" w:rsidRPr="00D1484A" w:rsidRDefault="00A354DA" w:rsidP="0080187E">
      <w:pPr>
        <w:pStyle w:val="Clause"/>
        <w:numPr>
          <w:ilvl w:val="0"/>
          <w:numId w:val="52"/>
        </w:numPr>
      </w:pPr>
      <w:r w:rsidRPr="002144A0">
        <w:t>The</w:t>
      </w:r>
      <w:r w:rsidRPr="00132C1E">
        <w:rPr>
          <w:rFonts w:cs="TimesNewRoman"/>
          <w:lang w:eastAsia="en-GB"/>
        </w:rPr>
        <w:t xml:space="preserve"> </w:t>
      </w:r>
      <m:oMath>
        <m:sSub>
          <m:sSubPr>
            <m:ctrlPr>
              <w:rPr>
                <w:rFonts w:ascii="Cambria Math" w:hAnsi="Cambria Math" w:cs="TimesNewRoman"/>
                <w:i/>
                <w:lang w:eastAsia="en-GB"/>
              </w:rPr>
            </m:ctrlPr>
          </m:sSubPr>
          <m:e>
            <m:r>
              <w:rPr>
                <w:rFonts w:ascii="Cambria Math" w:hAnsi="Cambria Math" w:cs="TimesNewRoman"/>
                <w:lang w:eastAsia="en-GB"/>
              </w:rPr>
              <m:t>ϕ</m:t>
            </m:r>
          </m:e>
          <m:sub>
            <m:r>
              <m:rPr>
                <m:sty m:val="p"/>
              </m:rPr>
              <w:rPr>
                <w:rFonts w:ascii="Cambria Math" w:hAnsi="Cambria Math" w:cs="TimesNewRoman"/>
                <w:lang w:eastAsia="en-GB"/>
              </w:rPr>
              <m:t>i</m:t>
            </m:r>
          </m:sub>
        </m:sSub>
      </m:oMath>
      <w:r>
        <w:rPr>
          <w:rFonts w:cs="TimesNewRoman"/>
          <w:lang w:eastAsia="en-GB"/>
        </w:rPr>
        <w:t xml:space="preserve"> </w:t>
      </w:r>
      <w:r w:rsidRPr="00132C1E">
        <w:rPr>
          <w:rFonts w:cs="TimesNewRoman"/>
          <w:lang w:eastAsia="en-GB"/>
        </w:rPr>
        <w:t xml:space="preserve">value in </w:t>
      </w:r>
      <w:r>
        <w:t>prEN</w:t>
      </w:r>
      <w:r w:rsidR="00355365">
        <w:t> </w:t>
      </w:r>
      <w:r>
        <w:t>1998-1-1:2022</w:t>
      </w:r>
      <w:r w:rsidRPr="00D1484A">
        <w:t xml:space="preserve">, Formula </w:t>
      </w:r>
      <w:r w:rsidRPr="00D1484A">
        <w:rPr>
          <w:rFonts w:cs="TimesNewRoman"/>
          <w:lang w:eastAsia="en-GB"/>
        </w:rPr>
        <w:t xml:space="preserve">(6.20), should be defined at the </w:t>
      </w:r>
      <w:r w:rsidRPr="00D1484A">
        <w:rPr>
          <w:i/>
        </w:rPr>
        <w:t>i</w:t>
      </w:r>
      <w:r w:rsidRPr="00D1484A">
        <w:t>-th storey of the building.</w:t>
      </w:r>
    </w:p>
    <w:p w14:paraId="1A2E3A82" w14:textId="6CD3E2B3" w:rsidR="00A354DA" w:rsidRPr="00D1484A" w:rsidRDefault="00A354DA" w:rsidP="0080187E">
      <w:pPr>
        <w:pStyle w:val="Clause"/>
        <w:numPr>
          <w:ilvl w:val="0"/>
          <w:numId w:val="52"/>
        </w:numPr>
      </w:pPr>
      <w:r w:rsidRPr="00D1484A">
        <w:t>If the building satisfies the condition for applying the lateral force</w:t>
      </w:r>
      <w:r w:rsidR="00355365">
        <w:t>s</w:t>
      </w:r>
      <w:r w:rsidRPr="00D1484A">
        <w:t xml:space="preserve"> method of analysis given in </w:t>
      </w:r>
      <w:r w:rsidRPr="00355365">
        <w:rPr>
          <w:bCs/>
        </w:rPr>
        <w:t>5.3.3(1), the</w:t>
      </w:r>
      <w:r w:rsidRPr="00D1484A">
        <w:t xml:space="preserve"> values of </w:t>
      </w:r>
      <m:oMath>
        <m:sSub>
          <m:sSubPr>
            <m:ctrlPr>
              <w:rPr>
                <w:rFonts w:ascii="Cambria Math" w:hAnsi="Cambria Math" w:cs="TimesNewRoman"/>
                <w:i/>
                <w:lang w:eastAsia="en-GB"/>
              </w:rPr>
            </m:ctrlPr>
          </m:sSubPr>
          <m:e>
            <m:r>
              <w:rPr>
                <w:rFonts w:ascii="Cambria Math" w:hAnsi="Cambria Math" w:cs="TimesNewRoman"/>
                <w:lang w:eastAsia="en-GB"/>
              </w:rPr>
              <m:t>ϕ</m:t>
            </m:r>
          </m:e>
          <m:sub>
            <m:r>
              <m:rPr>
                <m:sty m:val="p"/>
              </m:rPr>
              <w:rPr>
                <w:rFonts w:ascii="Cambria Math" w:hAnsi="Cambria Math" w:cs="TimesNewRoman"/>
                <w:lang w:eastAsia="en-GB"/>
              </w:rPr>
              <m:t>i</m:t>
            </m:r>
          </m:sub>
        </m:sSub>
      </m:oMath>
      <w:r w:rsidR="00355365">
        <w:rPr>
          <w:rFonts w:cs="TimesNewRoman"/>
          <w:lang w:eastAsia="en-GB"/>
        </w:rPr>
        <w:t xml:space="preserve"> m</w:t>
      </w:r>
      <w:r w:rsidRPr="00D1484A">
        <w:rPr>
          <w:rFonts w:cs="TimesNewRoman"/>
          <w:lang w:eastAsia="en-GB"/>
        </w:rPr>
        <w:t xml:space="preserve">ay be based on the displacement corresponding to the horizontal forces defined in </w:t>
      </w:r>
      <w:r w:rsidRPr="00D1484A">
        <w:t>Formula (5.</w:t>
      </w:r>
      <w:r>
        <w:t>7</w:t>
      </w:r>
      <w:r w:rsidRPr="00D1484A">
        <w:t>).</w:t>
      </w:r>
    </w:p>
    <w:p w14:paraId="7A875AB3" w14:textId="07FBBF1A" w:rsidR="00A354DA" w:rsidRPr="00D1484A" w:rsidRDefault="00A354DA" w:rsidP="0080187E">
      <w:pPr>
        <w:pStyle w:val="Clause"/>
        <w:numPr>
          <w:ilvl w:val="0"/>
          <w:numId w:val="52"/>
        </w:numPr>
      </w:pPr>
      <w:r w:rsidRPr="00D1484A">
        <w:t>The lateral force</w:t>
      </w:r>
      <w:r w:rsidR="00355365">
        <w:t xml:space="preserve"> </w:t>
      </w:r>
      <m:oMath>
        <m:sSub>
          <m:sSubPr>
            <m:ctrlPr>
              <w:rPr>
                <w:rFonts w:ascii="Cambria Math" w:hAnsi="Cambria Math" w:cs="TimesNewRoman"/>
                <w:i/>
                <w:lang w:eastAsia="en-GB"/>
              </w:rPr>
            </m:ctrlPr>
          </m:sSubPr>
          <m:e>
            <m:bar>
              <m:barPr>
                <m:pos m:val="top"/>
                <m:ctrlPr>
                  <w:rPr>
                    <w:rFonts w:ascii="Cambria Math" w:hAnsi="Cambria Math" w:cs="TimesNewRoman"/>
                    <w:lang w:eastAsia="en-GB"/>
                  </w:rPr>
                </m:ctrlPr>
              </m:barPr>
              <m:e>
                <m:r>
                  <w:rPr>
                    <w:rFonts w:ascii="Cambria Math" w:hAnsi="Cambria Math" w:cs="TimesNewRoman"/>
                    <w:lang w:eastAsia="en-GB"/>
                  </w:rPr>
                  <m:t>F</m:t>
                </m:r>
              </m:e>
            </m:bar>
          </m:e>
          <m:sub>
            <m:r>
              <m:rPr>
                <m:sty m:val="p"/>
              </m:rPr>
              <w:rPr>
                <w:rFonts w:ascii="Cambria Math" w:hAnsi="Cambria Math" w:cs="TimesNewRoman"/>
                <w:lang w:eastAsia="en-GB"/>
              </w:rPr>
              <m:t>i</m:t>
            </m:r>
          </m:sub>
        </m:sSub>
      </m:oMath>
      <w:r w:rsidR="00355365">
        <w:t>, g</w:t>
      </w:r>
      <w:r w:rsidRPr="00D1484A">
        <w:t xml:space="preserve">iven by </w:t>
      </w:r>
      <w:r>
        <w:t>prEN</w:t>
      </w:r>
      <w:r w:rsidR="00355365">
        <w:t> </w:t>
      </w:r>
      <w:r>
        <w:t>1998-1-1:2022</w:t>
      </w:r>
      <w:r w:rsidRPr="00D1484A">
        <w:t>, Formula (6.20), should be applied at the location of the centre of masses at each storey.</w:t>
      </w:r>
    </w:p>
    <w:p w14:paraId="35AF7E30" w14:textId="11179D89" w:rsidR="00A354DA" w:rsidRPr="002144A0" w:rsidRDefault="00A354DA" w:rsidP="0080187E">
      <w:pPr>
        <w:pStyle w:val="Clause"/>
        <w:numPr>
          <w:ilvl w:val="0"/>
          <w:numId w:val="52"/>
        </w:numPr>
      </w:pPr>
      <w:r w:rsidRPr="00D1484A">
        <w:t xml:space="preserve">The control displacement </w:t>
      </w:r>
      <w:r w:rsidRPr="007E6F67">
        <w:rPr>
          <w:i/>
        </w:rPr>
        <w:t>d</w:t>
      </w:r>
      <w:r w:rsidRPr="007E6F67">
        <w:rPr>
          <w:vertAlign w:val="subscript"/>
        </w:rPr>
        <w:t>n</w:t>
      </w:r>
      <w:r w:rsidR="00355365">
        <w:t xml:space="preserve">, </w:t>
      </w:r>
      <w:r w:rsidRPr="007E6F67">
        <w:t xml:space="preserve">as in </w:t>
      </w:r>
      <w:r>
        <w:t>prEN</w:t>
      </w:r>
      <w:r w:rsidR="00355365">
        <w:t> </w:t>
      </w:r>
      <w:r>
        <w:t>1998-1-1:2022</w:t>
      </w:r>
      <w:r w:rsidRPr="00355365">
        <w:t>, 6.5.2(5),</w:t>
      </w:r>
      <w:r w:rsidRPr="00644C3D">
        <w:t xml:space="preserve"> should be the displacement at the centre of mass of the slab at the top of the </w:t>
      </w:r>
      <w:r w:rsidRPr="00196951">
        <w:t xml:space="preserve">building </w:t>
      </w:r>
      <w:r w:rsidR="00355365">
        <w:t>(</w:t>
      </w:r>
      <w:r w:rsidRPr="00196951">
        <w:t>or at the slab one storey below if the top storey has less than 50</w:t>
      </w:r>
      <w:r w:rsidR="00A8285E">
        <w:t> </w:t>
      </w:r>
      <w:r w:rsidRPr="00196951">
        <w:t>% of the mass of the storey below</w:t>
      </w:r>
      <w:r w:rsidR="00355365">
        <w:t>)</w:t>
      </w:r>
      <w:r w:rsidRPr="00196951">
        <w:t>.</w:t>
      </w:r>
    </w:p>
    <w:p w14:paraId="2888C657" w14:textId="77777777" w:rsidR="00A354DA" w:rsidRPr="007754C9" w:rsidRDefault="00A354DA" w:rsidP="00A354DA">
      <w:pPr>
        <w:pStyle w:val="Heading4"/>
      </w:pPr>
      <w:bookmarkStart w:id="871" w:name="_Toc108342220"/>
      <w:r w:rsidRPr="002144A0">
        <w:t xml:space="preserve">Seismic action effects on structure and structural </w:t>
      </w:r>
      <w:r w:rsidRPr="00C52095">
        <w:t>members</w:t>
      </w:r>
      <w:bookmarkEnd w:id="871"/>
    </w:p>
    <w:p w14:paraId="222DB559" w14:textId="6F9C448D" w:rsidR="00A354DA" w:rsidRPr="00132C1E" w:rsidRDefault="00A354DA" w:rsidP="0080187E">
      <w:pPr>
        <w:pStyle w:val="Clause"/>
        <w:numPr>
          <w:ilvl w:val="0"/>
          <w:numId w:val="53"/>
        </w:numPr>
      </w:pPr>
      <w:r>
        <w:t>prEN</w:t>
      </w:r>
      <w:r w:rsidR="006616CA">
        <w:t> </w:t>
      </w:r>
      <w:r>
        <w:t>1998-1-1:2022</w:t>
      </w:r>
      <w:r w:rsidRPr="003C0E06">
        <w:t>, 6.3(1) and 6.5.1(2),</w:t>
      </w:r>
      <w:r w:rsidRPr="00132C1E">
        <w:t xml:space="preserve"> may be considered as satisfied if the effects obtained from the pushover analysis are corrected as given in a) and b):</w:t>
      </w:r>
    </w:p>
    <w:p w14:paraId="4E92E495" w14:textId="32DBEB3B" w:rsidR="00A354DA" w:rsidRPr="00132C1E" w:rsidRDefault="00A354DA" w:rsidP="0080187E">
      <w:pPr>
        <w:pStyle w:val="List2"/>
        <w:numPr>
          <w:ilvl w:val="0"/>
          <w:numId w:val="54"/>
        </w:numPr>
        <w:spacing w:before="0" w:after="240" w:line="230" w:lineRule="atLeast"/>
        <w:contextualSpacing w:val="0"/>
      </w:pPr>
      <w:r w:rsidRPr="00132C1E">
        <w:t xml:space="preserve">displacements at different locations in the building are multiplied by the correction factor </w:t>
      </w:r>
      <w:r w:rsidRPr="00132C1E">
        <w:rPr>
          <w:i/>
        </w:rPr>
        <w:t>c</w:t>
      </w:r>
      <w:r w:rsidRPr="00132C1E">
        <w:rPr>
          <w:vertAlign w:val="subscript"/>
        </w:rPr>
        <w:t>P,</w:t>
      </w:r>
      <w:r w:rsidR="00750B45">
        <w:rPr>
          <w:vertAlign w:val="subscript"/>
        </w:rPr>
        <w:t>k</w:t>
      </w:r>
      <w:r w:rsidRPr="00132C1E">
        <w:t xml:space="preserve">, defined </w:t>
      </w:r>
      <w:r w:rsidRPr="003C0E06">
        <w:t>in (</w:t>
      </w:r>
      <w:r w:rsidR="00F77FF6">
        <w:t>6</w:t>
      </w:r>
      <w:r w:rsidRPr="003C0E06">
        <w:t>),</w:t>
      </w:r>
      <w:r w:rsidRPr="00132C1E">
        <w:t xml:space="preserve"> where </w:t>
      </w:r>
      <w:r w:rsidR="00750B45">
        <w:rPr>
          <w:i/>
        </w:rPr>
        <w:t>k</w:t>
      </w:r>
      <w:r w:rsidRPr="00132C1E">
        <w:t xml:space="preserve"> is the index denoting the location of the structural member in plan;</w:t>
      </w:r>
    </w:p>
    <w:p w14:paraId="74580C61" w14:textId="7D342687" w:rsidR="00A354DA" w:rsidRPr="00132C1E" w:rsidRDefault="00A354DA" w:rsidP="0080187E">
      <w:pPr>
        <w:pStyle w:val="List2"/>
        <w:numPr>
          <w:ilvl w:val="0"/>
          <w:numId w:val="54"/>
        </w:numPr>
        <w:spacing w:before="0" w:after="240" w:line="230" w:lineRule="atLeast"/>
        <w:contextualSpacing w:val="0"/>
      </w:pPr>
      <w:r w:rsidRPr="00132C1E">
        <w:t>other (general</w:t>
      </w:r>
      <w:r w:rsidR="00E10A24">
        <w:t>ize</w:t>
      </w:r>
      <w:r w:rsidRPr="00132C1E">
        <w:t>d) deformations, such as storey drifts and rotations, and (general</w:t>
      </w:r>
      <w:r w:rsidR="00E10A24">
        <w:t>ize</w:t>
      </w:r>
      <w:r w:rsidRPr="00132C1E">
        <w:t xml:space="preserve">d) stresses, are multiplied by the product of correction factors </w:t>
      </w:r>
      <w:r w:rsidRPr="00132C1E">
        <w:rPr>
          <w:i/>
        </w:rPr>
        <w:t>c</w:t>
      </w:r>
      <w:r w:rsidRPr="00132C1E">
        <w:rPr>
          <w:vertAlign w:val="subscript"/>
        </w:rPr>
        <w:t>P,</w:t>
      </w:r>
      <w:r w:rsidR="00750B45">
        <w:rPr>
          <w:vertAlign w:val="subscript"/>
        </w:rPr>
        <w:t>k</w:t>
      </w:r>
      <w:r w:rsidRPr="00132C1E">
        <w:t xml:space="preserve"> and </w:t>
      </w:r>
      <w:r w:rsidRPr="00132C1E">
        <w:rPr>
          <w:i/>
        </w:rPr>
        <w:t>c</w:t>
      </w:r>
      <w:r w:rsidRPr="00132C1E">
        <w:rPr>
          <w:vertAlign w:val="subscript"/>
        </w:rPr>
        <w:t>E</w:t>
      </w:r>
      <w:r w:rsidRPr="003C0E06">
        <w:rPr>
          <w:vertAlign w:val="subscript"/>
        </w:rPr>
        <w:t>,i</w:t>
      </w:r>
      <w:r w:rsidRPr="00132C1E">
        <w:t xml:space="preserve">, defined </w:t>
      </w:r>
      <w:r w:rsidRPr="003C0E06">
        <w:t>in (6) and (8).</w:t>
      </w:r>
      <w:r w:rsidRPr="00132C1E">
        <w:t xml:space="preserve"> The corrected (general</w:t>
      </w:r>
      <w:r w:rsidR="00E10A24">
        <w:t>ize</w:t>
      </w:r>
      <w:r w:rsidRPr="00132C1E">
        <w:t>d) stress should not be greater than that determined from the (general</w:t>
      </w:r>
      <w:r w:rsidR="00E10A24">
        <w:t>ize</w:t>
      </w:r>
      <w:r w:rsidRPr="00132C1E">
        <w:t>d) stress – (general</w:t>
      </w:r>
      <w:r w:rsidR="00E10A24">
        <w:t>ize</w:t>
      </w:r>
      <w:r w:rsidRPr="00132C1E">
        <w:t>d) deformation diagram.</w:t>
      </w:r>
    </w:p>
    <w:p w14:paraId="70DFE6C9" w14:textId="688EFFF2" w:rsidR="00A354DA" w:rsidRPr="00132C1E" w:rsidRDefault="00A354DA" w:rsidP="00A354DA">
      <w:pPr>
        <w:pStyle w:val="Notetext"/>
      </w:pPr>
      <w:r w:rsidRPr="00132C1E">
        <w:t>NOTE</w:t>
      </w:r>
      <w:r w:rsidRPr="00132C1E">
        <w:tab/>
        <w:t xml:space="preserve">The correction factors </w:t>
      </w:r>
      <w:r w:rsidRPr="00132C1E">
        <w:rPr>
          <w:i/>
        </w:rPr>
        <w:t>c</w:t>
      </w:r>
      <w:r w:rsidRPr="00132C1E">
        <w:rPr>
          <w:vertAlign w:val="subscript"/>
        </w:rPr>
        <w:t>P</w:t>
      </w:r>
      <w:r w:rsidRPr="00837ABE">
        <w:rPr>
          <w:vertAlign w:val="subscript"/>
        </w:rPr>
        <w:t>,</w:t>
      </w:r>
      <w:r w:rsidR="00750B45">
        <w:rPr>
          <w:vertAlign w:val="subscript"/>
        </w:rPr>
        <w:t>k</w:t>
      </w:r>
      <w:r w:rsidRPr="00132C1E">
        <w:t xml:space="preserve"> and </w:t>
      </w:r>
      <w:r w:rsidRPr="00132C1E">
        <w:rPr>
          <w:i/>
        </w:rPr>
        <w:t>c</w:t>
      </w:r>
      <w:r w:rsidRPr="00132C1E">
        <w:rPr>
          <w:vertAlign w:val="subscript"/>
        </w:rPr>
        <w:t>E,</w:t>
      </w:r>
      <w:r w:rsidRPr="00837ABE">
        <w:rPr>
          <w:iCs/>
          <w:vertAlign w:val="subscript"/>
        </w:rPr>
        <w:t>i</w:t>
      </w:r>
      <w:r w:rsidRPr="00132C1E">
        <w:t xml:space="preserve"> primarily account, respectively, for the torsional effects and higher mode effects in elevation. The values of </w:t>
      </w:r>
      <w:r w:rsidRPr="00132C1E">
        <w:rPr>
          <w:i/>
        </w:rPr>
        <w:t>c</w:t>
      </w:r>
      <w:r w:rsidRPr="00132C1E">
        <w:rPr>
          <w:vertAlign w:val="subscript"/>
        </w:rPr>
        <w:t>P,</w:t>
      </w:r>
      <w:r w:rsidR="00750B45">
        <w:rPr>
          <w:iCs/>
          <w:vertAlign w:val="subscript"/>
        </w:rPr>
        <w:t>k</w:t>
      </w:r>
      <w:r w:rsidRPr="00132C1E">
        <w:t xml:space="preserve"> vary in plan, while the values of </w:t>
      </w:r>
      <w:r w:rsidRPr="00132C1E">
        <w:rPr>
          <w:i/>
        </w:rPr>
        <w:t>c</w:t>
      </w:r>
      <w:r w:rsidRPr="00132C1E">
        <w:rPr>
          <w:vertAlign w:val="subscript"/>
        </w:rPr>
        <w:t>E</w:t>
      </w:r>
      <w:r w:rsidRPr="00132C1E">
        <w:rPr>
          <w:i/>
          <w:vertAlign w:val="subscript"/>
        </w:rPr>
        <w:t>,</w:t>
      </w:r>
      <w:r w:rsidRPr="00837ABE">
        <w:rPr>
          <w:iCs/>
          <w:vertAlign w:val="subscript"/>
        </w:rPr>
        <w:t>i</w:t>
      </w:r>
      <w:r w:rsidRPr="00132C1E">
        <w:t xml:space="preserve"> vary in elevation of the building.</w:t>
      </w:r>
    </w:p>
    <w:p w14:paraId="58A5AF78" w14:textId="3536D6FD" w:rsidR="00A354DA" w:rsidRPr="00132C1E" w:rsidRDefault="00A354DA" w:rsidP="0080187E">
      <w:pPr>
        <w:pStyle w:val="Clause"/>
        <w:numPr>
          <w:ilvl w:val="0"/>
          <w:numId w:val="53"/>
        </w:numPr>
      </w:pPr>
      <w:r w:rsidRPr="00132C1E">
        <w:t xml:space="preserve">Correction factor </w:t>
      </w:r>
      <w:r w:rsidRPr="00132C1E">
        <w:rPr>
          <w:i/>
        </w:rPr>
        <w:t>c</w:t>
      </w:r>
      <w:r w:rsidRPr="00132C1E">
        <w:rPr>
          <w:vertAlign w:val="subscript"/>
        </w:rPr>
        <w:t>P,</w:t>
      </w:r>
      <w:r w:rsidR="00750B45">
        <w:rPr>
          <w:iCs/>
          <w:vertAlign w:val="subscript"/>
        </w:rPr>
        <w:t>k</w:t>
      </w:r>
      <w:r w:rsidRPr="00132C1E">
        <w:t xml:space="preserve"> may be taken equal to 1 if, in both horizontal directions and at each storey, the natural eccentricity </w:t>
      </w:r>
      <w:r w:rsidRPr="00132C1E">
        <w:rPr>
          <w:i/>
        </w:rPr>
        <w:t>e</w:t>
      </w:r>
      <w:r w:rsidRPr="00132C1E">
        <w:rPr>
          <w:vertAlign w:val="subscript"/>
        </w:rPr>
        <w:t>0</w:t>
      </w:r>
      <w:r w:rsidRPr="00837ABE">
        <w:rPr>
          <w:vertAlign w:val="subscript"/>
        </w:rPr>
        <w:t>,i,j</w:t>
      </w:r>
      <w:r w:rsidRPr="00132C1E">
        <w:t xml:space="preserve"> is not greater than </w:t>
      </w:r>
      <m:oMath>
        <m:r>
          <w:rPr>
            <w:rFonts w:ascii="Cambria Math" w:hAnsi="Cambria Math"/>
          </w:rPr>
          <m:t xml:space="preserve">0,10 </m:t>
        </m:r>
        <m:sSub>
          <m:sSubPr>
            <m:ctrlPr>
              <w:rPr>
                <w:rFonts w:ascii="Cambria Math" w:hAnsi="Cambria Math"/>
                <w:i/>
              </w:rPr>
            </m:ctrlPr>
          </m:sSubPr>
          <m:e>
            <m:r>
              <w:rPr>
                <w:rFonts w:ascii="Cambria Math" w:hAnsi="Cambria Math"/>
              </w:rPr>
              <m:t>L</m:t>
            </m:r>
          </m:e>
          <m:sub>
            <m:r>
              <m:rPr>
                <m:sty m:val="p"/>
              </m:rPr>
              <w:rPr>
                <w:rFonts w:ascii="Cambria Math" w:hAnsi="Cambria Math"/>
              </w:rPr>
              <m:t>i,j</m:t>
            </m:r>
          </m:sub>
        </m:sSub>
      </m:oMath>
      <w:r w:rsidRPr="00132C1E">
        <w:t xml:space="preserve">, where </w:t>
      </w:r>
      <m:oMath>
        <m:sSub>
          <m:sSubPr>
            <m:ctrlPr>
              <w:rPr>
                <w:rFonts w:ascii="Cambria Math" w:hAnsi="Cambria Math"/>
                <w:i/>
              </w:rPr>
            </m:ctrlPr>
          </m:sSubPr>
          <m:e>
            <m:r>
              <w:rPr>
                <w:rFonts w:ascii="Cambria Math" w:hAnsi="Cambria Math"/>
              </w:rPr>
              <m:t>L</m:t>
            </m:r>
          </m:e>
          <m:sub>
            <m:r>
              <m:rPr>
                <m:sty m:val="p"/>
              </m:rPr>
              <w:rPr>
                <w:rFonts w:ascii="Cambria Math" w:hAnsi="Cambria Math"/>
              </w:rPr>
              <m:t>i,j</m:t>
            </m:r>
          </m:sub>
        </m:sSub>
      </m:oMath>
      <w:r w:rsidRPr="00132C1E">
        <w:t xml:space="preserve"> is defined </w:t>
      </w:r>
      <w:r w:rsidRPr="00837ABE">
        <w:t>in 5.2(2).</w:t>
      </w:r>
    </w:p>
    <w:p w14:paraId="67497192" w14:textId="77777777" w:rsidR="00A354DA" w:rsidRPr="00D1484A" w:rsidRDefault="00A354DA" w:rsidP="0080187E">
      <w:pPr>
        <w:pStyle w:val="Clause"/>
        <w:numPr>
          <w:ilvl w:val="0"/>
          <w:numId w:val="53"/>
        </w:numPr>
      </w:pPr>
      <w:r w:rsidRPr="00D1484A">
        <w:t xml:space="preserve">Correction factor </w:t>
      </w:r>
      <w:r w:rsidRPr="00D1484A">
        <w:rPr>
          <w:i/>
        </w:rPr>
        <w:t>c</w:t>
      </w:r>
      <w:r w:rsidRPr="00D1484A">
        <w:rPr>
          <w:vertAlign w:val="subscript"/>
        </w:rPr>
        <w:t>E,</w:t>
      </w:r>
      <w:r w:rsidRPr="00837ABE">
        <w:rPr>
          <w:iCs/>
          <w:vertAlign w:val="subscript"/>
        </w:rPr>
        <w:t>i</w:t>
      </w:r>
      <w:r w:rsidRPr="00D1484A">
        <w:t xml:space="preserve"> may be taken equal to 1 if conditions a) to c) are </w:t>
      </w:r>
      <w:r>
        <w:t>satisfied</w:t>
      </w:r>
      <w:r w:rsidRPr="00D1484A">
        <w:t>:</w:t>
      </w:r>
    </w:p>
    <w:p w14:paraId="0796EC39" w14:textId="244D93A0" w:rsidR="00A354DA" w:rsidRPr="00D1484A" w:rsidRDefault="00A354DA" w:rsidP="0080187E">
      <w:pPr>
        <w:pStyle w:val="List2"/>
        <w:numPr>
          <w:ilvl w:val="0"/>
          <w:numId w:val="55"/>
        </w:numPr>
        <w:spacing w:before="0" w:after="240" w:line="230" w:lineRule="atLeast"/>
        <w:contextualSpacing w:val="0"/>
      </w:pPr>
      <w:r w:rsidRPr="00D1484A">
        <w:t xml:space="preserve">the height of </w:t>
      </w:r>
      <w:r w:rsidR="00837ABE">
        <w:t>the</w:t>
      </w:r>
      <w:r w:rsidRPr="00D1484A">
        <w:t xml:space="preserve"> building is smaller than 25 m;</w:t>
      </w:r>
    </w:p>
    <w:p w14:paraId="43F0F5B0" w14:textId="4F2529CE" w:rsidR="00A354DA" w:rsidRPr="007E6F67" w:rsidRDefault="00A354DA" w:rsidP="0080187E">
      <w:pPr>
        <w:pStyle w:val="List2"/>
        <w:numPr>
          <w:ilvl w:val="0"/>
          <w:numId w:val="55"/>
        </w:numPr>
        <w:spacing w:before="0" w:after="240" w:line="230" w:lineRule="atLeast"/>
        <w:contextualSpacing w:val="0"/>
      </w:pPr>
      <w:r w:rsidRPr="00D1484A">
        <w:rPr>
          <w:i/>
        </w:rPr>
        <w:lastRenderedPageBreak/>
        <w:t>T</w:t>
      </w:r>
      <w:r w:rsidRPr="00D1484A">
        <w:rPr>
          <w:vertAlign w:val="subscript"/>
        </w:rPr>
        <w:t>1</w:t>
      </w:r>
      <w:r w:rsidRPr="00D1484A">
        <w:rPr>
          <w:i/>
          <w:vertAlign w:val="subscript"/>
        </w:rPr>
        <w:t xml:space="preserve"> </w:t>
      </w:r>
      <w:r w:rsidRPr="00D1484A">
        <w:t>&lt; min (</w:t>
      </w:r>
      <w:r w:rsidRPr="00837ABE">
        <w:rPr>
          <w:iCs/>
        </w:rPr>
        <w:t>4</w:t>
      </w:r>
      <w:r w:rsidR="00837ABE">
        <w:rPr>
          <w:i/>
        </w:rPr>
        <w:t> </w:t>
      </w:r>
      <w:r w:rsidRPr="007E6F67">
        <w:rPr>
          <w:i/>
        </w:rPr>
        <w:t>T</w:t>
      </w:r>
      <w:r w:rsidRPr="007E6F67">
        <w:rPr>
          <w:vertAlign w:val="subscript"/>
        </w:rPr>
        <w:t>C</w:t>
      </w:r>
      <w:r w:rsidRPr="007E6F67">
        <w:t>; 1,5 s);</w:t>
      </w:r>
    </w:p>
    <w:p w14:paraId="0E0E3682" w14:textId="30ECBCDB" w:rsidR="00A354DA" w:rsidRPr="00132C1E" w:rsidRDefault="00A354DA" w:rsidP="0080187E">
      <w:pPr>
        <w:pStyle w:val="List2"/>
        <w:numPr>
          <w:ilvl w:val="0"/>
          <w:numId w:val="55"/>
        </w:numPr>
        <w:spacing w:before="0" w:after="240" w:line="230" w:lineRule="atLeast"/>
        <w:contextualSpacing w:val="0"/>
      </w:pPr>
      <w:r w:rsidRPr="00FD17CF">
        <w:t>the resistance of any storey is not less than 80</w:t>
      </w:r>
      <w:r w:rsidR="00360E74">
        <w:t> </w:t>
      </w:r>
      <w:r w:rsidRPr="00FD17CF">
        <w:t xml:space="preserve">% of that required by the force-based approach, using the value of </w:t>
      </w:r>
      <w:r w:rsidRPr="00196951">
        <w:rPr>
          <w:i/>
        </w:rPr>
        <w:t>q</w:t>
      </w:r>
      <w:r w:rsidRPr="002144A0">
        <w:t xml:space="preserve"> applicable to the structure under consideration.</w:t>
      </w:r>
    </w:p>
    <w:p w14:paraId="524DDD56" w14:textId="30712F56" w:rsidR="00A354DA" w:rsidRPr="002144A0" w:rsidRDefault="00A354DA" w:rsidP="0080187E">
      <w:pPr>
        <w:pStyle w:val="Clause"/>
        <w:numPr>
          <w:ilvl w:val="0"/>
          <w:numId w:val="53"/>
        </w:numPr>
      </w:pPr>
      <w:r w:rsidRPr="00D1484A">
        <w:t xml:space="preserve">The values of the corrections factors </w:t>
      </w:r>
      <w:r w:rsidRPr="00D1484A">
        <w:rPr>
          <w:i/>
        </w:rPr>
        <w:t>c</w:t>
      </w:r>
      <w:r w:rsidRPr="00D1484A">
        <w:rPr>
          <w:vertAlign w:val="subscript"/>
        </w:rPr>
        <w:t>P,</w:t>
      </w:r>
      <w:r w:rsidR="00750B45">
        <w:rPr>
          <w:iCs/>
          <w:vertAlign w:val="subscript"/>
        </w:rPr>
        <w:t>k</w:t>
      </w:r>
      <w:r w:rsidRPr="00D1484A">
        <w:t xml:space="preserve"> and </w:t>
      </w:r>
      <w:r w:rsidRPr="00D1484A">
        <w:rPr>
          <w:i/>
        </w:rPr>
        <w:t>c</w:t>
      </w:r>
      <w:r w:rsidRPr="00D1484A">
        <w:rPr>
          <w:vertAlign w:val="subscript"/>
        </w:rPr>
        <w:t>E,</w:t>
      </w:r>
      <w:r w:rsidRPr="00F77FF6">
        <w:rPr>
          <w:iCs/>
          <w:vertAlign w:val="subscript"/>
        </w:rPr>
        <w:t>i</w:t>
      </w:r>
      <w:r w:rsidRPr="00D1484A">
        <w:t xml:space="preserve"> should be calculated as the ratio between normal</w:t>
      </w:r>
      <w:r w:rsidR="00E10A24">
        <w:t>ize</w:t>
      </w:r>
      <w:r w:rsidRPr="00D1484A">
        <w:t xml:space="preserve">d deformations obtained from the linear elastic analysis and the </w:t>
      </w:r>
      <w:r w:rsidR="00F77FF6">
        <w:t xml:space="preserve">ones from the </w:t>
      </w:r>
      <w:r w:rsidRPr="00D1484A">
        <w:t>pushover analysis. The normal</w:t>
      </w:r>
      <w:r w:rsidR="00E10A24">
        <w:t>ize</w:t>
      </w:r>
      <w:r w:rsidRPr="00D1484A">
        <w:t>d deformations from linear elastic analysis should be calculated by the response spectrum method (</w:t>
      </w:r>
      <w:r w:rsidRPr="00F77FF6">
        <w:t>see 5.3.3)</w:t>
      </w:r>
      <w:r w:rsidR="00F77FF6">
        <w:t>,</w:t>
      </w:r>
      <w:r w:rsidRPr="00F77FF6">
        <w:t xml:space="preserve"> with</w:t>
      </w:r>
      <w:r w:rsidRPr="00D1484A">
        <w:t xml:space="preserve"> consideration of the effects of torsion due to minim</w:t>
      </w:r>
      <w:r w:rsidR="00F77FF6">
        <w:t>um</w:t>
      </w:r>
      <w:r w:rsidRPr="00D1484A">
        <w:t xml:space="preserve"> eccentricity given by Formula</w:t>
      </w:r>
      <w:r w:rsidRPr="007E6F67">
        <w:t xml:space="preserve"> (5.2) and the effects of combination of horizontal components of the seismic action (</w:t>
      </w:r>
      <w:r>
        <w:t>prEN</w:t>
      </w:r>
      <w:r w:rsidR="00F77FF6">
        <w:t> </w:t>
      </w:r>
      <w:r>
        <w:t>1998</w:t>
      </w:r>
      <w:r w:rsidR="00360E74">
        <w:noBreakHyphen/>
      </w:r>
      <w:r>
        <w:t>1-1:2022</w:t>
      </w:r>
      <w:r w:rsidRPr="00F77FF6">
        <w:t>, 6.4.4).</w:t>
      </w:r>
      <w:r w:rsidRPr="00644C3D">
        <w:t xml:space="preserve"> If conditions for the use of the lateral force</w:t>
      </w:r>
      <w:r w:rsidR="00F77FF6">
        <w:t>s</w:t>
      </w:r>
      <w:r w:rsidRPr="00644C3D">
        <w:t xml:space="preserve"> method</w:t>
      </w:r>
      <w:r w:rsidRPr="00196951">
        <w:t xml:space="preserve"> are </w:t>
      </w:r>
      <w:r>
        <w:t>satisfied</w:t>
      </w:r>
      <w:r w:rsidRPr="00196951">
        <w:t>, it may be used for the calculation of the correction factors.</w:t>
      </w:r>
    </w:p>
    <w:p w14:paraId="10310A5B" w14:textId="0DD98BB1" w:rsidR="00A354DA" w:rsidRPr="00F77FF6" w:rsidRDefault="00A354DA" w:rsidP="00A354DA">
      <w:pPr>
        <w:pStyle w:val="Notetext"/>
      </w:pPr>
      <w:r w:rsidRPr="002144A0">
        <w:t>NOTE</w:t>
      </w:r>
      <w:r w:rsidRPr="002144A0">
        <w:tab/>
        <w:t>I</w:t>
      </w:r>
      <w:r w:rsidRPr="00C52095">
        <w:t xml:space="preserve">t is assumed that correction factors </w:t>
      </w:r>
      <w:r w:rsidRPr="00C52095">
        <w:rPr>
          <w:i/>
        </w:rPr>
        <w:t>c</w:t>
      </w:r>
      <w:r w:rsidRPr="007754C9">
        <w:rPr>
          <w:vertAlign w:val="subscript"/>
        </w:rPr>
        <w:t>P</w:t>
      </w:r>
      <w:r w:rsidR="00F77FF6">
        <w:rPr>
          <w:vertAlign w:val="subscript"/>
        </w:rPr>
        <w:t>,</w:t>
      </w:r>
      <w:r w:rsidR="00750B45">
        <w:rPr>
          <w:iCs/>
          <w:vertAlign w:val="subscript"/>
        </w:rPr>
        <w:t>k</w:t>
      </w:r>
      <w:r w:rsidRPr="00132C1E">
        <w:t xml:space="preserve"> and </w:t>
      </w:r>
      <w:r w:rsidRPr="00132C1E">
        <w:rPr>
          <w:i/>
        </w:rPr>
        <w:t>c</w:t>
      </w:r>
      <w:r w:rsidRPr="00132C1E">
        <w:rPr>
          <w:vertAlign w:val="subscript"/>
        </w:rPr>
        <w:t>E</w:t>
      </w:r>
      <w:r w:rsidR="00F77FF6">
        <w:rPr>
          <w:vertAlign w:val="subscript"/>
        </w:rPr>
        <w:t>,</w:t>
      </w:r>
      <w:r w:rsidRPr="00F77FF6">
        <w:rPr>
          <w:iCs/>
          <w:vertAlign w:val="subscript"/>
        </w:rPr>
        <w:t>i</w:t>
      </w:r>
      <w:r w:rsidRPr="00132C1E">
        <w:t xml:space="preserve"> account </w:t>
      </w:r>
      <w:r w:rsidR="00F77FF6">
        <w:t>both</w:t>
      </w:r>
      <w:r w:rsidRPr="00132C1E">
        <w:t xml:space="preserve"> for the effects of torsion due to minim</w:t>
      </w:r>
      <w:r w:rsidR="00F77FF6">
        <w:t>um</w:t>
      </w:r>
      <w:r w:rsidRPr="00132C1E">
        <w:t xml:space="preserve"> eccentricity and those due to the combination of horizontal components of the seismic action</w:t>
      </w:r>
      <w:r w:rsidR="00F77FF6">
        <w:t>,</w:t>
      </w:r>
      <w:r w:rsidRPr="00132C1E">
        <w:t xml:space="preserve"> if they are calculated as defined </w:t>
      </w:r>
      <w:r w:rsidRPr="00F77FF6">
        <w:t>in (4). In this</w:t>
      </w:r>
      <w:r w:rsidRPr="00132C1E">
        <w:t xml:space="preserve"> case, </w:t>
      </w:r>
      <w:r w:rsidRPr="00132C1E">
        <w:rPr>
          <w:i/>
        </w:rPr>
        <w:t>c</w:t>
      </w:r>
      <w:r w:rsidRPr="00132C1E">
        <w:rPr>
          <w:vertAlign w:val="subscript"/>
        </w:rPr>
        <w:t xml:space="preserve">dt </w:t>
      </w:r>
      <w:r w:rsidRPr="00132C1E">
        <w:t xml:space="preserve">= </w:t>
      </w:r>
      <w:r w:rsidRPr="00F77FF6">
        <w:t>1 (prEN</w:t>
      </w:r>
      <w:r w:rsidR="00F77FF6" w:rsidRPr="00F77FF6">
        <w:t> </w:t>
      </w:r>
      <w:r w:rsidRPr="00F77FF6">
        <w:t>1998-1-1:2022, 6.5.4(6)).</w:t>
      </w:r>
    </w:p>
    <w:p w14:paraId="4466FDEE" w14:textId="7B619B0E" w:rsidR="00A354DA" w:rsidRPr="00132C1E" w:rsidRDefault="00A354DA" w:rsidP="0080187E">
      <w:pPr>
        <w:pStyle w:val="Clause"/>
        <w:numPr>
          <w:ilvl w:val="0"/>
          <w:numId w:val="53"/>
        </w:numPr>
      </w:pPr>
      <w:r w:rsidRPr="00132C1E">
        <w:t xml:space="preserve">For each structural member, the correction factor </w:t>
      </w:r>
      <w:r w:rsidRPr="00132C1E">
        <w:rPr>
          <w:i/>
        </w:rPr>
        <w:t>c</w:t>
      </w:r>
      <w:r w:rsidRPr="00132C1E">
        <w:rPr>
          <w:vertAlign w:val="subscript"/>
        </w:rPr>
        <w:t>P,</w:t>
      </w:r>
      <w:r w:rsidR="00750B45">
        <w:rPr>
          <w:vertAlign w:val="subscript"/>
        </w:rPr>
        <w:t>k</w:t>
      </w:r>
      <w:r w:rsidRPr="00132C1E">
        <w:t xml:space="preserve"> should be calculated for each direction of lateral forces for pushover analysis.</w:t>
      </w:r>
    </w:p>
    <w:p w14:paraId="3E286821" w14:textId="42BA60DA" w:rsidR="00A354DA" w:rsidRPr="00132C1E" w:rsidRDefault="00A354DA" w:rsidP="0080187E">
      <w:pPr>
        <w:pStyle w:val="Clause"/>
        <w:numPr>
          <w:ilvl w:val="0"/>
          <w:numId w:val="53"/>
        </w:numPr>
      </w:pPr>
      <w:r w:rsidRPr="00F77FF6">
        <w:t>Unless (7) is applied</w:t>
      </w:r>
      <w:r w:rsidRPr="00132C1E">
        <w:t xml:space="preserve">, the value of </w:t>
      </w:r>
      <w:r w:rsidRPr="00132C1E">
        <w:rPr>
          <w:i/>
        </w:rPr>
        <w:t>c</w:t>
      </w:r>
      <w:r w:rsidRPr="00132C1E">
        <w:rPr>
          <w:vertAlign w:val="subscript"/>
        </w:rPr>
        <w:t>P,</w:t>
      </w:r>
      <w:r w:rsidR="00750B45">
        <w:rPr>
          <w:vertAlign w:val="subscript"/>
        </w:rPr>
        <w:t>k</w:t>
      </w:r>
      <w:r w:rsidRPr="00132C1E">
        <w:t xml:space="preserve"> should be determined from Formula (5.8).</w:t>
      </w:r>
    </w:p>
    <w:p w14:paraId="278268FE" w14:textId="0F23B6B0" w:rsidR="00A354DA" w:rsidRPr="00870D59" w:rsidRDefault="009B5CEC" w:rsidP="00A354DA">
      <w:pPr>
        <w:pStyle w:val="Formula"/>
        <w:spacing w:before="240"/>
      </w:pPr>
      <m:oMath>
        <m:sSub>
          <m:sSubPr>
            <m:ctrlPr>
              <w:rPr>
                <w:rFonts w:ascii="Cambria Math" w:hAnsi="Cambria Math"/>
              </w:rPr>
            </m:ctrlPr>
          </m:sSubPr>
          <m:e>
            <m:r>
              <w:rPr>
                <w:rFonts w:ascii="Cambria Math" w:hAnsi="Cambria Math"/>
              </w:rPr>
              <m:t>c</m:t>
            </m:r>
          </m:e>
          <m:sub>
            <m:r>
              <m:rPr>
                <m:sty m:val="p"/>
              </m:rPr>
              <w:rPr>
                <w:rFonts w:ascii="Cambria Math" w:hAnsi="Cambria Math"/>
              </w:rPr>
              <m:t>P,k</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d</m:t>
                </m:r>
              </m:e>
              <m:sub>
                <m:r>
                  <m:rPr>
                    <m:sty m:val="p"/>
                  </m:rPr>
                  <w:rPr>
                    <w:rFonts w:ascii="Cambria Math" w:hAnsi="Cambria Math"/>
                  </w:rPr>
                  <m:t>et,k</m:t>
                </m:r>
              </m:sub>
            </m:sSub>
          </m:num>
          <m:den>
            <m:sSub>
              <m:sSubPr>
                <m:ctrlPr>
                  <w:rPr>
                    <w:rFonts w:ascii="Cambria Math" w:hAnsi="Cambria Math"/>
                  </w:rPr>
                </m:ctrlPr>
              </m:sSubPr>
              <m:e>
                <m:r>
                  <w:rPr>
                    <w:rFonts w:ascii="Cambria Math" w:hAnsi="Cambria Math"/>
                  </w:rPr>
                  <m:t>d</m:t>
                </m:r>
              </m:e>
              <m:sub>
                <m:r>
                  <m:rPr>
                    <m:sty m:val="p"/>
                  </m:rPr>
                  <w:rPr>
                    <w:rFonts w:ascii="Cambria Math" w:hAnsi="Cambria Math"/>
                  </w:rPr>
                  <m:t>t,k</m:t>
                </m:r>
              </m:sub>
            </m:sSub>
          </m:den>
        </m:f>
        <m:f>
          <m:fPr>
            <m:ctrlPr>
              <w:rPr>
                <w:rFonts w:ascii="Cambria Math" w:hAnsi="Cambria Math"/>
              </w:rPr>
            </m:ctrlPr>
          </m:fPr>
          <m:num>
            <m:sSub>
              <m:sSubPr>
                <m:ctrlPr>
                  <w:rPr>
                    <w:rFonts w:ascii="Cambria Math" w:hAnsi="Cambria Math"/>
                  </w:rPr>
                </m:ctrlPr>
              </m:sSubPr>
              <m:e>
                <m:r>
                  <w:rPr>
                    <w:rFonts w:ascii="Cambria Math" w:hAnsi="Cambria Math"/>
                  </w:rPr>
                  <m:t>d</m:t>
                </m:r>
              </m:e>
              <m:sub>
                <m:r>
                  <m:rPr>
                    <m:sty m:val="p"/>
                  </m:rPr>
                  <w:rPr>
                    <w:rFonts w:ascii="Cambria Math" w:hAnsi="Cambria Math"/>
                  </w:rPr>
                  <m:t>t</m:t>
                </m:r>
              </m:sub>
            </m:sSub>
          </m:num>
          <m:den>
            <m:sSub>
              <m:sSubPr>
                <m:ctrlPr>
                  <w:rPr>
                    <w:rFonts w:ascii="Cambria Math" w:hAnsi="Cambria Math"/>
                  </w:rPr>
                </m:ctrlPr>
              </m:sSubPr>
              <m:e>
                <m:r>
                  <w:rPr>
                    <w:rFonts w:ascii="Cambria Math" w:hAnsi="Cambria Math"/>
                  </w:rPr>
                  <m:t>d</m:t>
                </m:r>
              </m:e>
              <m:sub>
                <m:r>
                  <m:rPr>
                    <m:sty m:val="p"/>
                  </m:rPr>
                  <w:rPr>
                    <w:rFonts w:ascii="Cambria Math" w:hAnsi="Cambria Math"/>
                  </w:rPr>
                  <m:t>et</m:t>
                </m:r>
              </m:sub>
            </m:sSub>
          </m:den>
        </m:f>
        <m:r>
          <w:rPr>
            <w:rFonts w:ascii="Cambria Math" w:hAnsi="Cambria Math"/>
          </w:rPr>
          <m:t>≥1</m:t>
        </m:r>
      </m:oMath>
      <w:r w:rsidR="00A354DA" w:rsidRPr="00870D59">
        <w:tab/>
        <w:t>(5</w:t>
      </w:r>
      <w:r w:rsidR="00A354DA">
        <w:t>.8</w:t>
      </w:r>
      <w:r w:rsidR="00A354DA" w:rsidRPr="00870D59">
        <w:t>)</w:t>
      </w:r>
    </w:p>
    <w:p w14:paraId="5102B0C3" w14:textId="77777777" w:rsidR="00A354DA" w:rsidRPr="00870D59" w:rsidRDefault="00A354DA" w:rsidP="00360E74">
      <w:pPr>
        <w:pStyle w:val="Text"/>
      </w:pPr>
      <w:r w:rsidRPr="00870D59">
        <w:t>where</w:t>
      </w:r>
    </w:p>
    <w:tbl>
      <w:tblPr>
        <w:tblW w:w="0" w:type="auto"/>
        <w:tblInd w:w="346" w:type="dxa"/>
        <w:tblLook w:val="04A0" w:firstRow="1" w:lastRow="0" w:firstColumn="1" w:lastColumn="0" w:noHBand="0" w:noVBand="1"/>
      </w:tblPr>
      <w:tblGrid>
        <w:gridCol w:w="1275"/>
        <w:gridCol w:w="7938"/>
      </w:tblGrid>
      <w:tr w:rsidR="00A354DA" w:rsidRPr="00870D59" w14:paraId="74EABA97" w14:textId="77777777" w:rsidTr="00360E74">
        <w:tc>
          <w:tcPr>
            <w:tcW w:w="1275" w:type="dxa"/>
          </w:tcPr>
          <w:p w14:paraId="6F441688" w14:textId="4E57CEE3" w:rsidR="00A354DA" w:rsidRPr="00624AD0" w:rsidRDefault="00750B45" w:rsidP="002061E5">
            <w:pPr>
              <w:pStyle w:val="Tablebody"/>
            </w:pPr>
            <w:r>
              <w:rPr>
                <w:i/>
              </w:rPr>
              <w:t>k</w:t>
            </w:r>
          </w:p>
        </w:tc>
        <w:tc>
          <w:tcPr>
            <w:tcW w:w="7938" w:type="dxa"/>
          </w:tcPr>
          <w:p w14:paraId="22215C9D" w14:textId="5EE1BB3F" w:rsidR="00A354DA" w:rsidRPr="00870D59" w:rsidRDefault="00F77FF6" w:rsidP="002061E5">
            <w:pPr>
              <w:pStyle w:val="Tablebody"/>
            </w:pPr>
            <w:r w:rsidRPr="00F77FF6">
              <w:t>is the index denoting the location of the structural member in plan</w:t>
            </w:r>
            <w:r w:rsidR="00E7259E">
              <w:t>;</w:t>
            </w:r>
          </w:p>
        </w:tc>
      </w:tr>
      <w:tr w:rsidR="00A354DA" w:rsidRPr="00870D59" w14:paraId="46BB8A51" w14:textId="77777777" w:rsidTr="00360E74">
        <w:tc>
          <w:tcPr>
            <w:tcW w:w="1275" w:type="dxa"/>
          </w:tcPr>
          <w:p w14:paraId="6C051E9A" w14:textId="7A41CD2D" w:rsidR="00A354DA" w:rsidRPr="00870D59" w:rsidRDefault="000133D1" w:rsidP="002061E5">
            <w:pPr>
              <w:pStyle w:val="Tablebody"/>
              <w:rPr>
                <w:rFonts w:ascii="Symbol" w:eastAsia="Symbol" w:hAnsi="Symbol" w:cs="Symbol"/>
                <w:i/>
              </w:rPr>
            </w:pPr>
            <w:r w:rsidRPr="007E6F67">
              <w:rPr>
                <w:i/>
              </w:rPr>
              <w:t>d</w:t>
            </w:r>
            <w:r w:rsidRPr="00FD17CF">
              <w:rPr>
                <w:vertAlign w:val="subscript"/>
              </w:rPr>
              <w:t>et</w:t>
            </w:r>
            <w:r w:rsidRPr="00644C3D">
              <w:t>,</w:t>
            </w:r>
            <w:r w:rsidRPr="00644C3D">
              <w:rPr>
                <w:i/>
              </w:rPr>
              <w:t xml:space="preserve"> d</w:t>
            </w:r>
            <w:r w:rsidRPr="00644C3D">
              <w:rPr>
                <w:vertAlign w:val="subscript"/>
              </w:rPr>
              <w:t>et,</w:t>
            </w:r>
            <w:r w:rsidR="00750B45">
              <w:rPr>
                <w:iCs/>
                <w:vertAlign w:val="subscript"/>
              </w:rPr>
              <w:t>k</w:t>
            </w:r>
          </w:p>
        </w:tc>
        <w:tc>
          <w:tcPr>
            <w:tcW w:w="7938" w:type="dxa"/>
          </w:tcPr>
          <w:p w14:paraId="1B73DB94" w14:textId="7BD07247" w:rsidR="00A354DA" w:rsidRPr="00750B45" w:rsidRDefault="00F77FF6" w:rsidP="002061E5">
            <w:pPr>
              <w:pStyle w:val="Tablebody"/>
              <w:rPr>
                <w:lang w:val="en-US"/>
              </w:rPr>
            </w:pPr>
            <w:r w:rsidRPr="00F77FF6">
              <w:t>are the values of the control displacement</w:t>
            </w:r>
            <w:r>
              <w:t>,</w:t>
            </w:r>
            <w:r w:rsidRPr="00F77FF6">
              <w:t xml:space="preserve"> from the linear elastic analysis for the design seismic action</w:t>
            </w:r>
            <w:r>
              <w:t>,</w:t>
            </w:r>
            <w:r w:rsidRPr="00F77FF6">
              <w:t xml:space="preserve"> and the corresponding displacement at location </w:t>
            </w:r>
            <w:r w:rsidR="00750B45">
              <w:rPr>
                <w:i/>
                <w:iCs/>
              </w:rPr>
              <w:t>k</w:t>
            </w:r>
            <w:r w:rsidRPr="00F77FF6">
              <w:t xml:space="preserve"> in plan, respectively</w:t>
            </w:r>
            <w:r w:rsidR="00750B45">
              <w:t>;</w:t>
            </w:r>
          </w:p>
        </w:tc>
      </w:tr>
      <w:tr w:rsidR="000133D1" w:rsidRPr="00870D59" w14:paraId="07AA5F95" w14:textId="77777777" w:rsidTr="00360E74">
        <w:tc>
          <w:tcPr>
            <w:tcW w:w="1275" w:type="dxa"/>
          </w:tcPr>
          <w:p w14:paraId="12C07D8B" w14:textId="1BA11A7A" w:rsidR="000133D1" w:rsidRPr="002144A0" w:rsidRDefault="000133D1" w:rsidP="002061E5">
            <w:pPr>
              <w:pStyle w:val="Tablebody"/>
              <w:rPr>
                <w:i/>
              </w:rPr>
            </w:pPr>
            <w:r w:rsidRPr="00132C1E">
              <w:rPr>
                <w:i/>
              </w:rPr>
              <w:t>d</w:t>
            </w:r>
            <w:r w:rsidRPr="00132C1E">
              <w:rPr>
                <w:vertAlign w:val="subscript"/>
              </w:rPr>
              <w:t>t</w:t>
            </w:r>
            <w:r w:rsidRPr="00132C1E">
              <w:t>,</w:t>
            </w:r>
            <w:r w:rsidRPr="00132C1E">
              <w:rPr>
                <w:i/>
              </w:rPr>
              <w:t xml:space="preserve"> d</w:t>
            </w:r>
            <w:r w:rsidRPr="00132C1E">
              <w:rPr>
                <w:vertAlign w:val="subscript"/>
              </w:rPr>
              <w:t>t,</w:t>
            </w:r>
            <w:r w:rsidR="00750B45">
              <w:rPr>
                <w:vertAlign w:val="subscript"/>
              </w:rPr>
              <w:t>k</w:t>
            </w:r>
          </w:p>
        </w:tc>
        <w:tc>
          <w:tcPr>
            <w:tcW w:w="7938" w:type="dxa"/>
          </w:tcPr>
          <w:p w14:paraId="7D9CE92D" w14:textId="166C5C23" w:rsidR="000133D1" w:rsidRPr="00132C1E" w:rsidRDefault="00F77FF6" w:rsidP="002061E5">
            <w:pPr>
              <w:pStyle w:val="Tablebody"/>
            </w:pPr>
            <w:r w:rsidRPr="00F77FF6">
              <w:t xml:space="preserve">are the target displacements associated with the considered limit state and the corresponding displacement at location </w:t>
            </w:r>
            <w:r w:rsidR="00750B45">
              <w:rPr>
                <w:i/>
                <w:iCs/>
              </w:rPr>
              <w:t>k</w:t>
            </w:r>
            <w:r w:rsidRPr="00F77FF6">
              <w:t xml:space="preserve"> in plan</w:t>
            </w:r>
            <w:r>
              <w:t>.</w:t>
            </w:r>
          </w:p>
        </w:tc>
      </w:tr>
    </w:tbl>
    <w:p w14:paraId="1CD76582" w14:textId="5C1D5199" w:rsidR="00A354DA" w:rsidRDefault="000133D1" w:rsidP="0080187E">
      <w:pPr>
        <w:pStyle w:val="Clause"/>
        <w:numPr>
          <w:ilvl w:val="0"/>
          <w:numId w:val="49"/>
        </w:numPr>
      </w:pPr>
      <w:r w:rsidRPr="000133D1">
        <w:t xml:space="preserve">If the structural system is not torsionally flexible (see 5.2) and if, in both horizontal directions </w:t>
      </w:r>
      <w:r w:rsidRPr="000133D1">
        <w:rPr>
          <w:i/>
          <w:iCs/>
        </w:rPr>
        <w:t>i</w:t>
      </w:r>
      <w:r w:rsidRPr="000133D1">
        <w:t xml:space="preserve"> and at each storey</w:t>
      </w:r>
      <w:r w:rsidR="00750B45">
        <w:t xml:space="preserve"> </w:t>
      </w:r>
      <w:r w:rsidR="00750B45">
        <w:rPr>
          <w:i/>
          <w:iCs/>
        </w:rPr>
        <w:t>j</w:t>
      </w:r>
      <w:r w:rsidRPr="000133D1">
        <w:t xml:space="preserve">, the two components of the natural eccentricity, </w:t>
      </w:r>
      <w:r w:rsidRPr="00132C1E">
        <w:rPr>
          <w:i/>
        </w:rPr>
        <w:t>e</w:t>
      </w:r>
      <w:r w:rsidRPr="00132C1E">
        <w:rPr>
          <w:vertAlign w:val="subscript"/>
        </w:rPr>
        <w:t>0x,j</w:t>
      </w:r>
      <w:r w:rsidRPr="000133D1">
        <w:t xml:space="preserve"> and </w:t>
      </w:r>
      <w:r w:rsidRPr="00132C1E">
        <w:rPr>
          <w:i/>
        </w:rPr>
        <w:t>e</w:t>
      </w:r>
      <w:r w:rsidRPr="00132C1E">
        <w:rPr>
          <w:vertAlign w:val="subscript"/>
        </w:rPr>
        <w:t>0y,j</w:t>
      </w:r>
      <w:r w:rsidRPr="00132C1E">
        <w:t xml:space="preserve"> are not greater than 0,10 </w:t>
      </w:r>
      <w:r w:rsidRPr="00132C1E">
        <w:rPr>
          <w:i/>
        </w:rPr>
        <w:t>L</w:t>
      </w:r>
      <w:r w:rsidRPr="00132C1E">
        <w:rPr>
          <w:vertAlign w:val="subscript"/>
        </w:rPr>
        <w:t>i</w:t>
      </w:r>
      <w:r w:rsidR="00F77FF6">
        <w:rPr>
          <w:vertAlign w:val="subscript"/>
        </w:rPr>
        <w:t>,</w:t>
      </w:r>
      <w:r w:rsidRPr="00132C1E">
        <w:rPr>
          <w:vertAlign w:val="subscript"/>
        </w:rPr>
        <w:t>j</w:t>
      </w:r>
      <w:r w:rsidRPr="00132C1E">
        <w:t xml:space="preserve">, the correction factor </w:t>
      </w:r>
      <w:r w:rsidRPr="00132C1E">
        <w:rPr>
          <w:i/>
        </w:rPr>
        <w:t>c</w:t>
      </w:r>
      <w:r w:rsidRPr="00132C1E">
        <w:rPr>
          <w:vertAlign w:val="subscript"/>
        </w:rPr>
        <w:t>P,</w:t>
      </w:r>
      <w:r w:rsidR="00750B45">
        <w:rPr>
          <w:iCs/>
          <w:vertAlign w:val="subscript"/>
        </w:rPr>
        <w:t>k</w:t>
      </w:r>
      <w:r w:rsidRPr="00132C1E">
        <w:t xml:space="preserve"> may </w:t>
      </w:r>
      <w:r w:rsidRPr="000133D1">
        <w:t>be taken from Formula (5.9).</w:t>
      </w:r>
    </w:p>
    <w:p w14:paraId="0BF7246D" w14:textId="466104D0" w:rsidR="000133D1" w:rsidRPr="00870D59" w:rsidRDefault="009B5CEC" w:rsidP="000133D1">
      <w:pPr>
        <w:pStyle w:val="Formula"/>
        <w:spacing w:before="240"/>
      </w:pPr>
      <m:oMath>
        <m:sSub>
          <m:sSubPr>
            <m:ctrlPr>
              <w:rPr>
                <w:rFonts w:ascii="Cambria Math" w:hAnsi="Cambria Math"/>
              </w:rPr>
            </m:ctrlPr>
          </m:sSubPr>
          <m:e>
            <m:r>
              <w:rPr>
                <w:rFonts w:ascii="Cambria Math" w:hAnsi="Cambria Math"/>
              </w:rPr>
              <m:t>c</m:t>
            </m:r>
          </m:e>
          <m:sub>
            <m:r>
              <m:rPr>
                <m:sty m:val="p"/>
              </m:rPr>
              <w:rPr>
                <w:rFonts w:ascii="Cambria Math" w:hAnsi="Cambria Math"/>
              </w:rPr>
              <m:t>P</m:t>
            </m:r>
          </m:sub>
        </m:sSub>
        <m:r>
          <w:rPr>
            <w:rFonts w:ascii="Cambria Math" w:hAnsi="Cambria Math"/>
          </w:rPr>
          <m:t>=1+0,6</m:t>
        </m:r>
        <m:f>
          <m:fPr>
            <m:ctrlPr>
              <w:rPr>
                <w:rFonts w:ascii="Cambria Math" w:hAnsi="Cambria Math"/>
              </w:rPr>
            </m:ctrlPr>
          </m:fPr>
          <m:num>
            <m:r>
              <w:rPr>
                <w:rFonts w:ascii="Cambria Math" w:hAnsi="Cambria Math"/>
              </w:rPr>
              <m:t>x</m:t>
            </m:r>
          </m:num>
          <m:den>
            <m:sSub>
              <m:sSubPr>
                <m:ctrlPr>
                  <w:rPr>
                    <w:rFonts w:ascii="Cambria Math" w:hAnsi="Cambria Math"/>
                  </w:rPr>
                </m:ctrlPr>
              </m:sSubPr>
              <m:e>
                <m:r>
                  <w:rPr>
                    <w:rFonts w:ascii="Cambria Math" w:hAnsi="Cambria Math"/>
                  </w:rPr>
                  <m:t>L</m:t>
                </m:r>
              </m:e>
              <m:sub>
                <m:r>
                  <w:rPr>
                    <w:rFonts w:ascii="Cambria Math" w:hAnsi="Cambria Math"/>
                  </w:rPr>
                  <m:t>e</m:t>
                </m:r>
              </m:sub>
            </m:sSub>
          </m:den>
        </m:f>
      </m:oMath>
      <w:r w:rsidR="000133D1" w:rsidRPr="00870D59">
        <w:tab/>
        <w:t>(5</w:t>
      </w:r>
      <w:r w:rsidR="000133D1">
        <w:t>.9</w:t>
      </w:r>
      <w:r w:rsidR="000133D1" w:rsidRPr="00870D59">
        <w:t>)</w:t>
      </w:r>
    </w:p>
    <w:p w14:paraId="233D0DCA" w14:textId="77777777" w:rsidR="000133D1" w:rsidRPr="00870D59" w:rsidRDefault="000133D1" w:rsidP="00360E74">
      <w:pPr>
        <w:pStyle w:val="Text"/>
      </w:pPr>
      <w:r w:rsidRPr="00870D59">
        <w:t>where</w:t>
      </w:r>
    </w:p>
    <w:tbl>
      <w:tblPr>
        <w:tblW w:w="0" w:type="auto"/>
        <w:tblInd w:w="346" w:type="dxa"/>
        <w:tblLook w:val="04A0" w:firstRow="1" w:lastRow="0" w:firstColumn="1" w:lastColumn="0" w:noHBand="0" w:noVBand="1"/>
      </w:tblPr>
      <w:tblGrid>
        <w:gridCol w:w="1275"/>
        <w:gridCol w:w="7938"/>
      </w:tblGrid>
      <w:tr w:rsidR="000133D1" w:rsidRPr="00870D59" w14:paraId="7EEEBBAE" w14:textId="77777777" w:rsidTr="00360E74">
        <w:tc>
          <w:tcPr>
            <w:tcW w:w="1275" w:type="dxa"/>
          </w:tcPr>
          <w:p w14:paraId="7846CDF4" w14:textId="0EF1F57C" w:rsidR="000133D1" w:rsidRPr="00624AD0" w:rsidRDefault="000133D1" w:rsidP="002061E5">
            <w:pPr>
              <w:pStyle w:val="Tablebody"/>
            </w:pPr>
            <w:r w:rsidRPr="00D1484A">
              <w:rPr>
                <w:i/>
              </w:rPr>
              <w:t>L</w:t>
            </w:r>
            <w:r w:rsidRPr="007E6F67">
              <w:rPr>
                <w:vertAlign w:val="subscript"/>
              </w:rPr>
              <w:t>i</w:t>
            </w:r>
            <w:r w:rsidR="00F77FF6">
              <w:rPr>
                <w:vertAlign w:val="subscript"/>
              </w:rPr>
              <w:t>,</w:t>
            </w:r>
            <w:r w:rsidRPr="007E6F67">
              <w:rPr>
                <w:vertAlign w:val="subscript"/>
              </w:rPr>
              <w:t>j</w:t>
            </w:r>
          </w:p>
        </w:tc>
        <w:tc>
          <w:tcPr>
            <w:tcW w:w="7938" w:type="dxa"/>
          </w:tcPr>
          <w:p w14:paraId="4F580619" w14:textId="0C6796C2" w:rsidR="000133D1" w:rsidRPr="00870D59" w:rsidRDefault="000133D1" w:rsidP="002061E5">
            <w:pPr>
              <w:pStyle w:val="Tablebody"/>
            </w:pPr>
            <w:r w:rsidRPr="007E6F67">
              <w:t xml:space="preserve">is defined </w:t>
            </w:r>
            <w:r w:rsidRPr="00595918">
              <w:t>in 5.2(2);</w:t>
            </w:r>
          </w:p>
        </w:tc>
      </w:tr>
      <w:tr w:rsidR="000133D1" w:rsidRPr="00870D59" w14:paraId="720C7FCB" w14:textId="77777777" w:rsidTr="00360E74">
        <w:tc>
          <w:tcPr>
            <w:tcW w:w="1275" w:type="dxa"/>
          </w:tcPr>
          <w:p w14:paraId="27A2F0CF" w14:textId="3DC4022B" w:rsidR="000133D1" w:rsidRPr="00870D59" w:rsidRDefault="000133D1" w:rsidP="002061E5">
            <w:pPr>
              <w:pStyle w:val="Tablebody"/>
              <w:rPr>
                <w:rFonts w:ascii="Symbol" w:eastAsia="Symbol" w:hAnsi="Symbol" w:cs="Symbol"/>
                <w:i/>
              </w:rPr>
            </w:pPr>
            <w:r w:rsidRPr="00196951">
              <w:rPr>
                <w:i/>
              </w:rPr>
              <w:t>x</w:t>
            </w:r>
          </w:p>
        </w:tc>
        <w:tc>
          <w:tcPr>
            <w:tcW w:w="7938" w:type="dxa"/>
          </w:tcPr>
          <w:p w14:paraId="30FCEC93" w14:textId="2E77B966" w:rsidR="000133D1" w:rsidRPr="00870D59" w:rsidRDefault="000133D1" w:rsidP="002061E5">
            <w:pPr>
              <w:pStyle w:val="Tablebody"/>
            </w:pPr>
            <w:r w:rsidRPr="002144A0">
              <w:t>is the distance of the member</w:t>
            </w:r>
            <w:r w:rsidRPr="00C52095">
              <w:t xml:space="preserve"> </w:t>
            </w:r>
            <w:r w:rsidR="00750B45">
              <w:rPr>
                <w:i/>
              </w:rPr>
              <w:t>k</w:t>
            </w:r>
            <w:r w:rsidRPr="007754C9">
              <w:t xml:space="preserve"> under consideration from the centre of mass of the building in plan, measured perpendicularly to the direction of the seismic action considered;</w:t>
            </w:r>
          </w:p>
        </w:tc>
      </w:tr>
      <w:tr w:rsidR="000133D1" w:rsidRPr="00870D59" w14:paraId="5D3A7DFE" w14:textId="77777777" w:rsidTr="00360E74">
        <w:tc>
          <w:tcPr>
            <w:tcW w:w="1275" w:type="dxa"/>
          </w:tcPr>
          <w:p w14:paraId="648F7805" w14:textId="7E99D302" w:rsidR="000133D1" w:rsidRPr="002144A0" w:rsidRDefault="000133D1" w:rsidP="002061E5">
            <w:pPr>
              <w:pStyle w:val="Tablebody"/>
              <w:rPr>
                <w:i/>
              </w:rPr>
            </w:pPr>
            <w:r w:rsidRPr="00132C1E">
              <w:rPr>
                <w:i/>
              </w:rPr>
              <w:t>L</w:t>
            </w:r>
            <w:r w:rsidRPr="00132C1E">
              <w:rPr>
                <w:vertAlign w:val="subscript"/>
              </w:rPr>
              <w:t>e</w:t>
            </w:r>
          </w:p>
        </w:tc>
        <w:tc>
          <w:tcPr>
            <w:tcW w:w="7938" w:type="dxa"/>
          </w:tcPr>
          <w:p w14:paraId="6EFC3998" w14:textId="53130BC6" w:rsidR="000133D1" w:rsidRPr="00132C1E" w:rsidRDefault="000133D1" w:rsidP="002061E5">
            <w:pPr>
              <w:pStyle w:val="Tablebody"/>
            </w:pPr>
            <w:r w:rsidRPr="00132C1E">
              <w:t>is the distance between the two-outermost lateral load resisting members, measured perpendicularly to the direction of the seismic action considered.</w:t>
            </w:r>
          </w:p>
        </w:tc>
      </w:tr>
    </w:tbl>
    <w:p w14:paraId="28006A31" w14:textId="27D94B6C" w:rsidR="000133D1" w:rsidRDefault="000133D1" w:rsidP="0080187E">
      <w:pPr>
        <w:pStyle w:val="Clause"/>
        <w:numPr>
          <w:ilvl w:val="0"/>
          <w:numId w:val="49"/>
        </w:numPr>
      </w:pPr>
      <w:r w:rsidRPr="00132C1E">
        <w:t xml:space="preserve">Correction factor </w:t>
      </w:r>
      <w:r w:rsidRPr="00132C1E">
        <w:rPr>
          <w:i/>
        </w:rPr>
        <w:t>c</w:t>
      </w:r>
      <w:r w:rsidRPr="00132C1E">
        <w:rPr>
          <w:vertAlign w:val="subscript"/>
        </w:rPr>
        <w:t>E,</w:t>
      </w:r>
      <w:r w:rsidRPr="00750B45">
        <w:rPr>
          <w:iCs/>
          <w:vertAlign w:val="subscript"/>
        </w:rPr>
        <w:t>i</w:t>
      </w:r>
      <w:r w:rsidRPr="00132C1E">
        <w:t xml:space="preserve"> should be calculated for each direction of lateral forces for pushover analysis from Formula (5.10).</w:t>
      </w:r>
    </w:p>
    <w:p w14:paraId="757C8A05" w14:textId="733826B0" w:rsidR="00A838D5" w:rsidRPr="0019095F" w:rsidRDefault="009B5CEC" w:rsidP="00A838D5">
      <w:pPr>
        <w:pStyle w:val="Formula"/>
        <w:spacing w:before="240"/>
      </w:pPr>
      <m:oMath>
        <m:sSub>
          <m:sSubPr>
            <m:ctrlPr>
              <w:rPr>
                <w:rFonts w:ascii="Cambria Math" w:hAnsi="Cambria Math"/>
              </w:rPr>
            </m:ctrlPr>
          </m:sSubPr>
          <m:e>
            <m:r>
              <w:rPr>
                <w:rFonts w:ascii="Cambria Math" w:hAnsi="Cambria Math"/>
              </w:rPr>
              <m:t>c</m:t>
            </m:r>
          </m:e>
          <m:sub>
            <m:r>
              <m:rPr>
                <m:sty m:val="p"/>
              </m:rPr>
              <w:rPr>
                <w:rFonts w:ascii="Cambria Math" w:hAnsi="Cambria Math"/>
              </w:rPr>
              <m:t>E,i</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d</m:t>
                </m:r>
              </m:e>
              <m:sub>
                <m:r>
                  <m:rPr>
                    <m:sty m:val="p"/>
                  </m:rPr>
                  <w:rPr>
                    <w:rFonts w:ascii="Cambria Math" w:hAnsi="Cambria Math"/>
                  </w:rPr>
                  <m:t>ret,i</m:t>
                </m:r>
              </m:sub>
            </m:sSub>
          </m:num>
          <m:den>
            <m:sSub>
              <m:sSubPr>
                <m:ctrlPr>
                  <w:rPr>
                    <w:rFonts w:ascii="Cambria Math" w:hAnsi="Cambria Math"/>
                  </w:rPr>
                </m:ctrlPr>
              </m:sSubPr>
              <m:e>
                <m:r>
                  <w:rPr>
                    <w:rFonts w:ascii="Cambria Math" w:hAnsi="Cambria Math"/>
                  </w:rPr>
                  <m:t>d</m:t>
                </m:r>
              </m:e>
              <m:sub>
                <m:r>
                  <m:rPr>
                    <m:sty m:val="p"/>
                  </m:rPr>
                  <w:rPr>
                    <w:rFonts w:ascii="Cambria Math" w:hAnsi="Cambria Math"/>
                  </w:rPr>
                  <m:t>rt,i</m:t>
                </m:r>
              </m:sub>
            </m:sSub>
          </m:den>
        </m:f>
        <m:r>
          <w:rPr>
            <w:rFonts w:ascii="Cambria Math" w:hAnsi="Cambria Math"/>
          </w:rPr>
          <m:t xml:space="preserve"> </m:t>
        </m:r>
        <m:f>
          <m:fPr>
            <m:ctrlPr>
              <w:rPr>
                <w:rFonts w:ascii="Cambria Math" w:hAnsi="Cambria Math"/>
              </w:rPr>
            </m:ctrlPr>
          </m:fPr>
          <m:num>
            <m:sSub>
              <m:sSubPr>
                <m:ctrlPr>
                  <w:rPr>
                    <w:rFonts w:ascii="Cambria Math" w:hAnsi="Cambria Math"/>
                  </w:rPr>
                </m:ctrlPr>
              </m:sSubPr>
              <m:e>
                <m:r>
                  <w:rPr>
                    <w:rFonts w:ascii="Cambria Math" w:hAnsi="Cambria Math"/>
                  </w:rPr>
                  <m:t>d</m:t>
                </m:r>
              </m:e>
              <m:sub>
                <m:r>
                  <m:rPr>
                    <m:sty m:val="p"/>
                  </m:rPr>
                  <w:rPr>
                    <w:rFonts w:ascii="Cambria Math" w:hAnsi="Cambria Math"/>
                  </w:rPr>
                  <m:t>t</m:t>
                </m:r>
              </m:sub>
            </m:sSub>
          </m:num>
          <m:den>
            <m:sSub>
              <m:sSubPr>
                <m:ctrlPr>
                  <w:rPr>
                    <w:rFonts w:ascii="Cambria Math" w:hAnsi="Cambria Math"/>
                  </w:rPr>
                </m:ctrlPr>
              </m:sSubPr>
              <m:e>
                <m:r>
                  <w:rPr>
                    <w:rFonts w:ascii="Cambria Math" w:hAnsi="Cambria Math"/>
                  </w:rPr>
                  <m:t>d</m:t>
                </m:r>
              </m:e>
              <m:sub>
                <m:r>
                  <m:rPr>
                    <m:sty m:val="p"/>
                  </m:rPr>
                  <w:rPr>
                    <w:rFonts w:ascii="Cambria Math" w:hAnsi="Cambria Math"/>
                  </w:rPr>
                  <m:t>et</m:t>
                </m:r>
              </m:sub>
            </m:sSub>
          </m:den>
        </m:f>
        <m:r>
          <w:rPr>
            <w:rFonts w:ascii="Cambria Math" w:hAnsi="Cambria Math"/>
          </w:rPr>
          <m:t>≥1</m:t>
        </m:r>
      </m:oMath>
      <w:r w:rsidR="00A838D5" w:rsidRPr="0019095F">
        <w:tab/>
        <w:t>(5.10)</w:t>
      </w:r>
    </w:p>
    <w:p w14:paraId="668DF476" w14:textId="77777777" w:rsidR="00A838D5" w:rsidRPr="00870D59" w:rsidRDefault="00A838D5" w:rsidP="00A838D5">
      <w:pPr>
        <w:pStyle w:val="Clause"/>
        <w:numPr>
          <w:ilvl w:val="0"/>
          <w:numId w:val="0"/>
        </w:numPr>
      </w:pPr>
      <w:r w:rsidRPr="0019095F">
        <w:t>where</w:t>
      </w:r>
    </w:p>
    <w:tbl>
      <w:tblPr>
        <w:tblW w:w="0" w:type="auto"/>
        <w:tblInd w:w="346" w:type="dxa"/>
        <w:tblLook w:val="04A0" w:firstRow="1" w:lastRow="0" w:firstColumn="1" w:lastColumn="0" w:noHBand="0" w:noVBand="1"/>
      </w:tblPr>
      <w:tblGrid>
        <w:gridCol w:w="1275"/>
        <w:gridCol w:w="7938"/>
      </w:tblGrid>
      <w:tr w:rsidR="00A838D5" w:rsidRPr="00870D59" w14:paraId="53D2C220" w14:textId="77777777" w:rsidTr="00E7259E">
        <w:tc>
          <w:tcPr>
            <w:tcW w:w="1275" w:type="dxa"/>
          </w:tcPr>
          <w:p w14:paraId="6EE8504B" w14:textId="482B7508" w:rsidR="00A838D5" w:rsidRPr="00624AD0" w:rsidRDefault="00A838D5" w:rsidP="002061E5">
            <w:pPr>
              <w:pStyle w:val="Tablebody"/>
            </w:pPr>
            <w:r w:rsidRPr="00D1484A">
              <w:rPr>
                <w:i/>
              </w:rPr>
              <w:t>i</w:t>
            </w:r>
          </w:p>
        </w:tc>
        <w:tc>
          <w:tcPr>
            <w:tcW w:w="7938" w:type="dxa"/>
          </w:tcPr>
          <w:p w14:paraId="615D4FFF" w14:textId="6CD3F60B" w:rsidR="00A838D5" w:rsidRPr="00870D59" w:rsidRDefault="00A838D5" w:rsidP="002061E5">
            <w:pPr>
              <w:pStyle w:val="Tablebody"/>
            </w:pPr>
            <w:r w:rsidRPr="007E6F67">
              <w:t>is the index denoting the storey of the structural member;</w:t>
            </w:r>
          </w:p>
        </w:tc>
      </w:tr>
      <w:tr w:rsidR="00A838D5" w:rsidRPr="00870D59" w14:paraId="3C32B955" w14:textId="77777777" w:rsidTr="00E7259E">
        <w:tc>
          <w:tcPr>
            <w:tcW w:w="1275" w:type="dxa"/>
          </w:tcPr>
          <w:p w14:paraId="576E3352" w14:textId="3B801F9E" w:rsidR="00A838D5" w:rsidRPr="00870D59" w:rsidRDefault="00A838D5" w:rsidP="002061E5">
            <w:pPr>
              <w:pStyle w:val="Tablebody"/>
              <w:rPr>
                <w:rFonts w:ascii="Symbol" w:eastAsia="Symbol" w:hAnsi="Symbol" w:cs="Symbol"/>
                <w:i/>
              </w:rPr>
            </w:pPr>
            <w:r w:rsidRPr="007E6F67">
              <w:rPr>
                <w:i/>
              </w:rPr>
              <w:t>d</w:t>
            </w:r>
            <w:r w:rsidRPr="00FD17CF">
              <w:rPr>
                <w:vertAlign w:val="subscript"/>
              </w:rPr>
              <w:t>t</w:t>
            </w:r>
            <w:r w:rsidRPr="00644C3D">
              <w:t xml:space="preserve"> and </w:t>
            </w:r>
            <w:r w:rsidRPr="00644C3D">
              <w:rPr>
                <w:i/>
              </w:rPr>
              <w:t>d</w:t>
            </w:r>
            <w:r w:rsidRPr="00644C3D">
              <w:rPr>
                <w:vertAlign w:val="subscript"/>
              </w:rPr>
              <w:t>et</w:t>
            </w:r>
          </w:p>
        </w:tc>
        <w:tc>
          <w:tcPr>
            <w:tcW w:w="7938" w:type="dxa"/>
          </w:tcPr>
          <w:p w14:paraId="39B3A7A2" w14:textId="5CA45831" w:rsidR="00A838D5" w:rsidRPr="00870D59" w:rsidRDefault="00A838D5" w:rsidP="002061E5">
            <w:pPr>
              <w:pStyle w:val="Tablebody"/>
            </w:pPr>
            <w:r w:rsidRPr="00644C3D">
              <w:t xml:space="preserve">as in </w:t>
            </w:r>
            <w:r w:rsidRPr="0019095F">
              <w:rPr>
                <w:bCs/>
              </w:rPr>
              <w:t>(6);</w:t>
            </w:r>
          </w:p>
        </w:tc>
      </w:tr>
      <w:tr w:rsidR="00A838D5" w:rsidRPr="00870D59" w14:paraId="3927BC62" w14:textId="77777777" w:rsidTr="00E7259E">
        <w:tc>
          <w:tcPr>
            <w:tcW w:w="1275" w:type="dxa"/>
          </w:tcPr>
          <w:p w14:paraId="00FCD6A9" w14:textId="7D943325" w:rsidR="00A838D5" w:rsidRPr="002144A0" w:rsidRDefault="00A838D5" w:rsidP="002061E5">
            <w:pPr>
              <w:pStyle w:val="Tablebody"/>
              <w:rPr>
                <w:i/>
              </w:rPr>
            </w:pPr>
            <w:r w:rsidRPr="00196951">
              <w:rPr>
                <w:i/>
              </w:rPr>
              <w:t>d</w:t>
            </w:r>
            <w:r w:rsidRPr="002144A0">
              <w:rPr>
                <w:vertAlign w:val="subscript"/>
              </w:rPr>
              <w:t>ret,</w:t>
            </w:r>
            <w:r w:rsidRPr="0019095F">
              <w:rPr>
                <w:iCs/>
                <w:vertAlign w:val="subscript"/>
              </w:rPr>
              <w:t>i</w:t>
            </w:r>
            <w:r w:rsidRPr="00C52095">
              <w:rPr>
                <w:i/>
              </w:rPr>
              <w:t>,</w:t>
            </w:r>
          </w:p>
        </w:tc>
        <w:tc>
          <w:tcPr>
            <w:tcW w:w="7938" w:type="dxa"/>
          </w:tcPr>
          <w:p w14:paraId="7EC3D0A1" w14:textId="63013D23" w:rsidR="00A838D5" w:rsidRPr="00132C1E" w:rsidRDefault="00A838D5" w:rsidP="002061E5">
            <w:pPr>
              <w:pStyle w:val="Tablebody"/>
            </w:pPr>
            <w:r w:rsidRPr="00C52095">
              <w:t xml:space="preserve">is the interstorey drift at the centre of mass of the </w:t>
            </w:r>
            <w:r w:rsidRPr="007754C9">
              <w:rPr>
                <w:i/>
              </w:rPr>
              <w:t>i</w:t>
            </w:r>
            <w:r w:rsidRPr="007754C9">
              <w:t>-th storey</w:t>
            </w:r>
            <w:r w:rsidR="0019095F">
              <w:t>,</w:t>
            </w:r>
            <w:r w:rsidRPr="007754C9">
              <w:t xml:space="preserve"> from the linear elastic analysis for the design seismic action, in the direction under consideration;</w:t>
            </w:r>
          </w:p>
        </w:tc>
      </w:tr>
      <w:tr w:rsidR="00A838D5" w:rsidRPr="00870D59" w14:paraId="03ECA096" w14:textId="77777777" w:rsidTr="00E7259E">
        <w:tc>
          <w:tcPr>
            <w:tcW w:w="1275" w:type="dxa"/>
          </w:tcPr>
          <w:p w14:paraId="35FC0970" w14:textId="247FCD2B" w:rsidR="00A838D5" w:rsidRPr="00132C1E" w:rsidRDefault="00A838D5" w:rsidP="002061E5">
            <w:pPr>
              <w:pStyle w:val="Tablebody"/>
              <w:rPr>
                <w:i/>
              </w:rPr>
            </w:pPr>
            <w:r w:rsidRPr="00132C1E">
              <w:rPr>
                <w:i/>
              </w:rPr>
              <w:t>d</w:t>
            </w:r>
            <w:r w:rsidRPr="00132C1E">
              <w:rPr>
                <w:vertAlign w:val="subscript"/>
              </w:rPr>
              <w:t>rt,i</w:t>
            </w:r>
          </w:p>
        </w:tc>
        <w:tc>
          <w:tcPr>
            <w:tcW w:w="7938" w:type="dxa"/>
          </w:tcPr>
          <w:p w14:paraId="2102CFDA" w14:textId="729D2EC7" w:rsidR="00A838D5" w:rsidRPr="00132C1E" w:rsidRDefault="00A838D5" w:rsidP="002061E5">
            <w:pPr>
              <w:pStyle w:val="Tablebody"/>
            </w:pPr>
            <w:r w:rsidRPr="00132C1E">
              <w:t xml:space="preserve">is the interstorey drift at the centre of mass of the </w:t>
            </w:r>
            <w:r w:rsidRPr="00132C1E">
              <w:rPr>
                <w:i/>
              </w:rPr>
              <w:t>i</w:t>
            </w:r>
            <w:r w:rsidRPr="00132C1E">
              <w:t>-th storey which corresponds to the target displacement due to the design seismic action, in the direction under consideration.</w:t>
            </w:r>
          </w:p>
        </w:tc>
      </w:tr>
    </w:tbl>
    <w:p w14:paraId="2198E013" w14:textId="77777777" w:rsidR="00A838D5" w:rsidRPr="00A838D5" w:rsidRDefault="00A838D5" w:rsidP="00A838D5">
      <w:pPr>
        <w:pStyle w:val="Heading3"/>
      </w:pPr>
      <w:bookmarkStart w:id="872" w:name="_Toc16927634"/>
      <w:bookmarkStart w:id="873" w:name="_Toc50150287"/>
      <w:bookmarkStart w:id="874" w:name="_Toc70886718"/>
      <w:bookmarkStart w:id="875" w:name="_Toc108342221"/>
      <w:bookmarkStart w:id="876" w:name="_Toc134197808"/>
      <w:r w:rsidRPr="00A838D5">
        <w:t>Response-history analysis</w:t>
      </w:r>
      <w:bookmarkEnd w:id="872"/>
      <w:bookmarkEnd w:id="873"/>
      <w:bookmarkEnd w:id="874"/>
      <w:bookmarkEnd w:id="875"/>
      <w:bookmarkEnd w:id="876"/>
    </w:p>
    <w:p w14:paraId="00D907A8" w14:textId="55BD337B" w:rsidR="00A838D5" w:rsidRPr="00595918" w:rsidRDefault="00A838D5" w:rsidP="0080187E">
      <w:pPr>
        <w:pStyle w:val="Clause"/>
        <w:numPr>
          <w:ilvl w:val="0"/>
          <w:numId w:val="56"/>
        </w:numPr>
      </w:pPr>
      <w:r w:rsidRPr="00132C1E">
        <w:t xml:space="preserve">Response-history analysis should conform to </w:t>
      </w:r>
      <w:r>
        <w:t>prEN</w:t>
      </w:r>
      <w:r w:rsidR="0019095F">
        <w:t> </w:t>
      </w:r>
      <w:r>
        <w:t>1998-1-1:</w:t>
      </w:r>
      <w:r w:rsidRPr="00595918">
        <w:t>2022, 6.6.</w:t>
      </w:r>
    </w:p>
    <w:p w14:paraId="4519B78B" w14:textId="5933F9AB" w:rsidR="00B07013" w:rsidRPr="001444F5" w:rsidRDefault="00DC7344" w:rsidP="00A118B1">
      <w:pPr>
        <w:pStyle w:val="Heading1"/>
      </w:pPr>
      <w:bookmarkStart w:id="877" w:name="_Toc134197809"/>
      <w:r w:rsidRPr="001444F5">
        <w:t>Verifications of structural members to limit states</w:t>
      </w:r>
      <w:bookmarkEnd w:id="877"/>
    </w:p>
    <w:p w14:paraId="3A115576" w14:textId="3152B818" w:rsidR="00B07013" w:rsidRPr="001444F5" w:rsidRDefault="00DC7344" w:rsidP="003C0179">
      <w:pPr>
        <w:pStyle w:val="Heading2"/>
      </w:pPr>
      <w:bookmarkStart w:id="878" w:name="_Toc134197810"/>
      <w:r w:rsidRPr="001444F5">
        <w:t>General</w:t>
      </w:r>
      <w:bookmarkEnd w:id="878"/>
    </w:p>
    <w:p w14:paraId="5B5021EB" w14:textId="3F59FC7D" w:rsidR="006004CB" w:rsidRPr="00132C1E" w:rsidRDefault="006004CB" w:rsidP="0080187E">
      <w:pPr>
        <w:pStyle w:val="Clause"/>
        <w:numPr>
          <w:ilvl w:val="0"/>
          <w:numId w:val="57"/>
        </w:numPr>
      </w:pPr>
      <w:bookmarkStart w:id="879" w:name="_Toc95037459"/>
      <w:bookmarkStart w:id="880" w:name="_Toc96894762"/>
      <w:r w:rsidRPr="00132C1E">
        <w:t xml:space="preserve">Provisions of </w:t>
      </w:r>
      <w:r>
        <w:t>prEN</w:t>
      </w:r>
      <w:r w:rsidR="001444F5">
        <w:t> </w:t>
      </w:r>
      <w:r>
        <w:t>1998-1-1:2022</w:t>
      </w:r>
      <w:r w:rsidRPr="001444F5">
        <w:t>, 6.7,</w:t>
      </w:r>
      <w:r w:rsidRPr="00132C1E">
        <w:t xml:space="preserve"> should be applied, taking into account the Limit State under consideration and the associated seismic action.</w:t>
      </w:r>
    </w:p>
    <w:p w14:paraId="2C321568" w14:textId="0565FFC0" w:rsidR="006004CB" w:rsidRPr="00132C1E" w:rsidRDefault="006004CB" w:rsidP="0080187E">
      <w:pPr>
        <w:pStyle w:val="Clause"/>
        <w:numPr>
          <w:ilvl w:val="0"/>
          <w:numId w:val="57"/>
        </w:numPr>
      </w:pPr>
      <w:r w:rsidRPr="00132C1E">
        <w:t>For</w:t>
      </w:r>
      <w:r>
        <w:t xml:space="preserve"> </w:t>
      </w:r>
      <w:r w:rsidRPr="00132C1E">
        <w:t xml:space="preserve">buildings of consequence classes other than CC3-b (see Table </w:t>
      </w:r>
      <w:r>
        <w:t>4</w:t>
      </w:r>
      <w:r w:rsidRPr="00132C1E">
        <w:t xml:space="preserve">.1) the </w:t>
      </w:r>
      <w:r w:rsidRPr="001444F5">
        <w:t>verifications in 6.2 and 6.3 may be considered as satisfied if conditions a</w:t>
      </w:r>
      <w:r w:rsidRPr="00132C1E">
        <w:t xml:space="preserve">) and b) are </w:t>
      </w:r>
      <w:r>
        <w:t>satisfied</w:t>
      </w:r>
      <w:r w:rsidRPr="00132C1E">
        <w:t>:</w:t>
      </w:r>
    </w:p>
    <w:p w14:paraId="186BF2E0" w14:textId="710ED21F" w:rsidR="006004CB" w:rsidRPr="00132C1E" w:rsidRDefault="006004CB" w:rsidP="0080187E">
      <w:pPr>
        <w:pStyle w:val="List2"/>
        <w:numPr>
          <w:ilvl w:val="0"/>
          <w:numId w:val="58"/>
        </w:numPr>
        <w:spacing w:before="0" w:after="240" w:line="230" w:lineRule="atLeast"/>
        <w:contextualSpacing w:val="0"/>
      </w:pPr>
      <w:r>
        <w:t>prEN</w:t>
      </w:r>
      <w:r w:rsidR="001444F5">
        <w:t> </w:t>
      </w:r>
      <w:r>
        <w:t>1998-1-1:2022</w:t>
      </w:r>
      <w:r w:rsidRPr="001444F5">
        <w:t>, 4.3, 4.</w:t>
      </w:r>
      <w:r w:rsidR="002B4125" w:rsidRPr="001444F5">
        <w:t>5</w:t>
      </w:r>
      <w:r w:rsidRPr="001444F5">
        <w:t>.2(7) and 6.7, are</w:t>
      </w:r>
      <w:r w:rsidRPr="00132C1E">
        <w:t xml:space="preserve"> </w:t>
      </w:r>
      <w:r>
        <w:t>satisfied</w:t>
      </w:r>
      <w:r w:rsidRPr="00132C1E">
        <w:t xml:space="preserve"> and, </w:t>
      </w:r>
      <w:r w:rsidRPr="00132C1E">
        <w:rPr>
          <w:szCs w:val="18"/>
        </w:rPr>
        <w:t>if its height is taller than 20</w:t>
      </w:r>
      <w:r w:rsidR="001444F5">
        <w:rPr>
          <w:szCs w:val="18"/>
        </w:rPr>
        <w:t> </w:t>
      </w:r>
      <w:r w:rsidRPr="00132C1E">
        <w:rPr>
          <w:szCs w:val="18"/>
        </w:rPr>
        <w:t>m,</w:t>
      </w:r>
      <w:r w:rsidRPr="00132C1E">
        <w:t xml:space="preserve"> the building is regular in elevation</w:t>
      </w:r>
      <w:r w:rsidR="00E7259E">
        <w:t>;</w:t>
      </w:r>
    </w:p>
    <w:p w14:paraId="005148C8" w14:textId="77777777" w:rsidR="006004CB" w:rsidRPr="00132C1E" w:rsidRDefault="006004CB" w:rsidP="0080187E">
      <w:pPr>
        <w:pStyle w:val="List2"/>
        <w:numPr>
          <w:ilvl w:val="0"/>
          <w:numId w:val="58"/>
        </w:numPr>
        <w:spacing w:before="0" w:after="240" w:line="230" w:lineRule="atLeast"/>
        <w:contextualSpacing w:val="0"/>
      </w:pPr>
      <w:r w:rsidRPr="00132C1E">
        <w:t xml:space="preserve">The </w:t>
      </w:r>
      <w:r w:rsidRPr="00132C1E">
        <w:rPr>
          <w:iCs/>
        </w:rPr>
        <w:t>shear force over the entire structure at the base level of the building</w:t>
      </w:r>
      <w:r w:rsidRPr="00132C1E">
        <w:rPr>
          <w:i/>
        </w:rPr>
        <w:t xml:space="preserve"> </w:t>
      </w:r>
      <w:r w:rsidRPr="00132C1E">
        <w:t>(foundation or top of a rigid basement) in the seismic design situation is less than the corresponding shear force in other design situations, based on a linear analysis.</w:t>
      </w:r>
    </w:p>
    <w:p w14:paraId="4961C61F" w14:textId="29792C4A" w:rsidR="006004CB" w:rsidRPr="00132C1E" w:rsidRDefault="006004CB" w:rsidP="006004CB">
      <w:pPr>
        <w:pStyle w:val="Notetext"/>
      </w:pPr>
      <w:r w:rsidRPr="00132C1E">
        <w:t>NOTE</w:t>
      </w:r>
      <w:r w:rsidRPr="00132C1E">
        <w:tab/>
        <w:t>For example, this can be the case in regions w</w:t>
      </w:r>
      <w:r w:rsidR="001444F5">
        <w:t>h</w:t>
      </w:r>
      <w:r w:rsidRPr="00132C1E">
        <w:t xml:space="preserve">ere the wind action </w:t>
      </w:r>
      <w:r w:rsidR="001444F5">
        <w:t>is more demanding</w:t>
      </w:r>
      <w:r w:rsidRPr="00132C1E">
        <w:t xml:space="preserve"> than the seismic action.</w:t>
      </w:r>
    </w:p>
    <w:p w14:paraId="46FA6635" w14:textId="6BB2FD44" w:rsidR="006004CB" w:rsidRPr="00132C1E" w:rsidRDefault="006004CB" w:rsidP="0080187E">
      <w:pPr>
        <w:pStyle w:val="Clause"/>
        <w:numPr>
          <w:ilvl w:val="0"/>
          <w:numId w:val="57"/>
        </w:numPr>
      </w:pPr>
      <w:r w:rsidRPr="00132C1E">
        <w:t xml:space="preserve">For the application </w:t>
      </w:r>
      <w:r w:rsidRPr="001444F5">
        <w:t>of (2), in</w:t>
      </w:r>
      <w:r w:rsidRPr="00132C1E">
        <w:t xml:space="preserve"> case of the force-based approach, the base shear force should be calculated with a behaviour factor equal to </w:t>
      </w:r>
      <w:r w:rsidRPr="00DE6CE5">
        <w:rPr>
          <w:i/>
        </w:rPr>
        <w:t>q</w:t>
      </w:r>
      <w:r w:rsidRPr="00DE6CE5">
        <w:rPr>
          <w:vertAlign w:val="subscript"/>
        </w:rPr>
        <w:t>S</w:t>
      </w:r>
      <w:r w:rsidRPr="00132C1E">
        <w:t>.</w:t>
      </w:r>
    </w:p>
    <w:p w14:paraId="0F2FEA68" w14:textId="39973E23" w:rsidR="006004CB" w:rsidRPr="00132C1E" w:rsidRDefault="006004CB" w:rsidP="0080187E">
      <w:pPr>
        <w:pStyle w:val="Clause"/>
        <w:numPr>
          <w:ilvl w:val="0"/>
          <w:numId w:val="57"/>
        </w:numPr>
      </w:pPr>
      <w:r w:rsidRPr="00132C1E">
        <w:t xml:space="preserve">For geotechnical structures as defined in </w:t>
      </w:r>
      <w:r w:rsidR="00543F20">
        <w:t>pr</w:t>
      </w:r>
      <w:r>
        <w:t>EN</w:t>
      </w:r>
      <w:r w:rsidR="001444F5">
        <w:t> </w:t>
      </w:r>
      <w:r>
        <w:t>199</w:t>
      </w:r>
      <w:r w:rsidRPr="00132C1E">
        <w:t>8-5, values of acceptable displacements, given in a) to e) as appropriate, should be determined at the Limit States considered for the building, and their effects taken into account in the verification of the building and of the geotechnical structures:</w:t>
      </w:r>
    </w:p>
    <w:p w14:paraId="3C404184" w14:textId="77777777" w:rsidR="006004CB" w:rsidRPr="00132C1E" w:rsidRDefault="006004CB" w:rsidP="0080187E">
      <w:pPr>
        <w:pStyle w:val="List2"/>
        <w:numPr>
          <w:ilvl w:val="0"/>
          <w:numId w:val="59"/>
        </w:numPr>
        <w:spacing w:before="0" w:after="240" w:line="230" w:lineRule="atLeast"/>
        <w:contextualSpacing w:val="0"/>
      </w:pPr>
      <w:r w:rsidRPr="00132C1E">
        <w:t>residual ground displacements of slopes;</w:t>
      </w:r>
    </w:p>
    <w:p w14:paraId="081E4577" w14:textId="77777777" w:rsidR="006004CB" w:rsidRPr="00132C1E" w:rsidRDefault="006004CB" w:rsidP="0080187E">
      <w:pPr>
        <w:pStyle w:val="List2"/>
        <w:numPr>
          <w:ilvl w:val="0"/>
          <w:numId w:val="59"/>
        </w:numPr>
        <w:spacing w:before="0" w:after="240" w:line="230" w:lineRule="atLeast"/>
        <w:contextualSpacing w:val="0"/>
      </w:pPr>
      <w:r w:rsidRPr="00132C1E">
        <w:t>settlements of soils under cyclic loading or liquefaction;</w:t>
      </w:r>
    </w:p>
    <w:p w14:paraId="0C5B97E9" w14:textId="77777777" w:rsidR="006004CB" w:rsidRPr="00132C1E" w:rsidRDefault="006004CB" w:rsidP="0080187E">
      <w:pPr>
        <w:pStyle w:val="List2"/>
        <w:numPr>
          <w:ilvl w:val="0"/>
          <w:numId w:val="59"/>
        </w:numPr>
        <w:spacing w:before="0" w:after="240" w:line="230" w:lineRule="atLeast"/>
        <w:contextualSpacing w:val="0"/>
      </w:pPr>
      <w:r w:rsidRPr="00132C1E">
        <w:t>foundation sliding displacement;</w:t>
      </w:r>
    </w:p>
    <w:p w14:paraId="30DF8988" w14:textId="77777777" w:rsidR="006004CB" w:rsidRPr="00132C1E" w:rsidRDefault="006004CB" w:rsidP="0080187E">
      <w:pPr>
        <w:pStyle w:val="List2"/>
        <w:numPr>
          <w:ilvl w:val="0"/>
          <w:numId w:val="59"/>
        </w:numPr>
        <w:spacing w:before="0" w:after="240" w:line="230" w:lineRule="atLeast"/>
        <w:contextualSpacing w:val="0"/>
      </w:pPr>
      <w:r w:rsidRPr="00132C1E">
        <w:t>residual rotation and settlement of the foundation;</w:t>
      </w:r>
    </w:p>
    <w:p w14:paraId="0AABEF9D" w14:textId="77777777" w:rsidR="006004CB" w:rsidRPr="00132C1E" w:rsidRDefault="006004CB" w:rsidP="0080187E">
      <w:pPr>
        <w:pStyle w:val="List2"/>
        <w:numPr>
          <w:ilvl w:val="0"/>
          <w:numId w:val="59"/>
        </w:numPr>
        <w:spacing w:before="0" w:after="240" w:line="230" w:lineRule="atLeast"/>
        <w:contextualSpacing w:val="0"/>
      </w:pPr>
      <w:r w:rsidRPr="00132C1E">
        <w:t>permanent displacements of retaining structures.</w:t>
      </w:r>
    </w:p>
    <w:p w14:paraId="01141F46" w14:textId="422C665F" w:rsidR="006004CB" w:rsidRPr="00132C1E" w:rsidRDefault="006004CB" w:rsidP="006004CB">
      <w:pPr>
        <w:pStyle w:val="Notetext"/>
      </w:pPr>
      <w:r w:rsidRPr="00132C1E">
        <w:lastRenderedPageBreak/>
        <w:t>NOTE</w:t>
      </w:r>
      <w:r w:rsidRPr="00132C1E">
        <w:tab/>
      </w:r>
      <w:r w:rsidR="00543F20">
        <w:t>pr</w:t>
      </w:r>
      <w:r>
        <w:t>EN</w:t>
      </w:r>
      <w:r w:rsidR="00E30FC0">
        <w:t> </w:t>
      </w:r>
      <w:r>
        <w:t>199</w:t>
      </w:r>
      <w:r w:rsidRPr="00132C1E">
        <w:t>8-5 provides rules for geotechnical structures to comply with these limitations.</w:t>
      </w:r>
    </w:p>
    <w:p w14:paraId="7C006D9C" w14:textId="5EBDC2E5" w:rsidR="006004CB" w:rsidRPr="00132C1E" w:rsidRDefault="006004CB" w:rsidP="0080187E">
      <w:pPr>
        <w:pStyle w:val="Clause"/>
        <w:numPr>
          <w:ilvl w:val="0"/>
          <w:numId w:val="57"/>
        </w:numPr>
      </w:pPr>
      <w:r>
        <w:t>Anchorages to concrete should be verified using prEN</w:t>
      </w:r>
      <w:r w:rsidR="00E30FC0">
        <w:t> </w:t>
      </w:r>
      <w:r>
        <w:t xml:space="preserve">1998-1-1:2022, Annex </w:t>
      </w:r>
      <w:r w:rsidR="60A9ABEE">
        <w:t>G</w:t>
      </w:r>
      <w:r>
        <w:t>.</w:t>
      </w:r>
    </w:p>
    <w:p w14:paraId="0C5D3FD4" w14:textId="305066CE" w:rsidR="00DC7344" w:rsidRPr="00870D59" w:rsidRDefault="009261F3" w:rsidP="00DC7344">
      <w:pPr>
        <w:pStyle w:val="Heading2"/>
      </w:pPr>
      <w:bookmarkStart w:id="881" w:name="_Toc16927637"/>
      <w:bookmarkStart w:id="882" w:name="_Toc50150290"/>
      <w:bookmarkStart w:id="883" w:name="_Toc70886721"/>
      <w:bookmarkStart w:id="884" w:name="_Toc108342224"/>
      <w:bookmarkStart w:id="885" w:name="_Toc134197811"/>
      <w:bookmarkEnd w:id="879"/>
      <w:bookmarkEnd w:id="880"/>
      <w:r w:rsidRPr="00132C1E">
        <w:t>Verification of Significant Damage (SD) limit state</w:t>
      </w:r>
      <w:bookmarkEnd w:id="881"/>
      <w:bookmarkEnd w:id="882"/>
      <w:bookmarkEnd w:id="883"/>
      <w:bookmarkEnd w:id="884"/>
      <w:bookmarkEnd w:id="885"/>
    </w:p>
    <w:p w14:paraId="70665F29" w14:textId="77777777" w:rsidR="00DC7344" w:rsidRPr="00870D59" w:rsidRDefault="00DC7344" w:rsidP="00DC7344">
      <w:pPr>
        <w:pStyle w:val="Heading3"/>
      </w:pPr>
      <w:bookmarkStart w:id="886" w:name="_Toc95037460"/>
      <w:bookmarkStart w:id="887" w:name="_Toc96894763"/>
      <w:bookmarkStart w:id="888" w:name="_Toc134197812"/>
      <w:r w:rsidRPr="00870D59">
        <w:t>General</w:t>
      </w:r>
      <w:bookmarkEnd w:id="886"/>
      <w:bookmarkEnd w:id="887"/>
      <w:bookmarkEnd w:id="888"/>
    </w:p>
    <w:p w14:paraId="7DB7C6B2" w14:textId="3587AD0B" w:rsidR="00DC7344" w:rsidRPr="00870D59" w:rsidRDefault="009261F3" w:rsidP="0080187E">
      <w:pPr>
        <w:pStyle w:val="Clause"/>
        <w:numPr>
          <w:ilvl w:val="0"/>
          <w:numId w:val="32"/>
        </w:numPr>
      </w:pPr>
      <w:r w:rsidRPr="009261F3">
        <w:t>In application of prEN</w:t>
      </w:r>
      <w:r w:rsidR="00E30FC0">
        <w:t> </w:t>
      </w:r>
      <w:r w:rsidRPr="009261F3">
        <w:t xml:space="preserve">1998-1-1:2022, 6.7.1 and 6.7.2, the SD limit state may be considered as verified if the </w:t>
      </w:r>
      <w:r w:rsidRPr="00E30FC0">
        <w:t>conditions in 6.2.2 to 6.2.12 are</w:t>
      </w:r>
      <w:r w:rsidRPr="009261F3">
        <w:t xml:space="preserve"> satisfied</w:t>
      </w:r>
      <w:r w:rsidR="00DC7344" w:rsidRPr="00870D59">
        <w:t>.</w:t>
      </w:r>
    </w:p>
    <w:p w14:paraId="0E4E8F7B" w14:textId="14E2E5E1" w:rsidR="00DC7344" w:rsidRPr="00E30FC0" w:rsidRDefault="009261F3" w:rsidP="00724E4E">
      <w:pPr>
        <w:pStyle w:val="Clause"/>
      </w:pPr>
      <w:r w:rsidRPr="00E30FC0">
        <w:rPr>
          <w:rStyle w:val="clauseCarattere"/>
          <w:rFonts w:ascii="Cambria" w:eastAsia="MS Mincho" w:hAnsi="Cambria" w:cs="Cambria"/>
          <w:bCs w:val="0"/>
          <w:sz w:val="22"/>
          <w:lang w:eastAsia="fr-FR"/>
        </w:rPr>
        <w:t xml:space="preserve">In the primary structure of the building, for all ductility classes, </w:t>
      </w:r>
      <w:r w:rsidRPr="00E30FC0">
        <w:t>global plastic mechanisms should be controlled through limitation of drift (6.2.5) and of second</w:t>
      </w:r>
      <w:r w:rsidR="00E30FC0">
        <w:t>-</w:t>
      </w:r>
      <w:r w:rsidRPr="00E30FC0">
        <w:t>order effects (6.2.4) and</w:t>
      </w:r>
      <w:r w:rsidR="00E30FC0">
        <w:t>,</w:t>
      </w:r>
      <w:r w:rsidRPr="00E30FC0">
        <w:t xml:space="preserve"> in DC2 and DC3, through capacity design (6.2.6 and 6.2.7)</w:t>
      </w:r>
      <w:r w:rsidR="00DC7344" w:rsidRPr="00E30FC0">
        <w:t>.</w:t>
      </w:r>
    </w:p>
    <w:p w14:paraId="2D8E41DB" w14:textId="18074C76" w:rsidR="00E4444B" w:rsidRPr="00870D59" w:rsidRDefault="009261F3" w:rsidP="00E4444B">
      <w:pPr>
        <w:pStyle w:val="Heading3"/>
      </w:pPr>
      <w:bookmarkStart w:id="889" w:name="_Toc16927639"/>
      <w:bookmarkStart w:id="890" w:name="_Toc50150292"/>
      <w:bookmarkStart w:id="891" w:name="_Toc70886723"/>
      <w:bookmarkStart w:id="892" w:name="_Toc108342226"/>
      <w:bookmarkStart w:id="893" w:name="_Toc134197813"/>
      <w:r w:rsidRPr="00132C1E">
        <w:t>Equilibrium condition</w:t>
      </w:r>
      <w:bookmarkEnd w:id="889"/>
      <w:bookmarkEnd w:id="890"/>
      <w:bookmarkEnd w:id="891"/>
      <w:bookmarkEnd w:id="892"/>
      <w:bookmarkEnd w:id="893"/>
    </w:p>
    <w:p w14:paraId="6C97BE02" w14:textId="53FD4BEC" w:rsidR="009261F3" w:rsidRPr="00644C3D" w:rsidRDefault="009261F3" w:rsidP="0080187E">
      <w:pPr>
        <w:pStyle w:val="Clause"/>
        <w:numPr>
          <w:ilvl w:val="0"/>
          <w:numId w:val="637"/>
        </w:numPr>
      </w:pPr>
      <w:bookmarkStart w:id="894" w:name="_Ref30773157"/>
      <w:r w:rsidRPr="00132C1E">
        <w:t xml:space="preserve">In application of </w:t>
      </w:r>
      <w:r>
        <w:t>prEN</w:t>
      </w:r>
      <w:r w:rsidR="00E30FC0">
        <w:t> </w:t>
      </w:r>
      <w:r>
        <w:t>1998-1-1:2022</w:t>
      </w:r>
      <w:r w:rsidRPr="00E30FC0">
        <w:t>, 6.7.1(4), the</w:t>
      </w:r>
      <w:r w:rsidRPr="00132C1E">
        <w:t xml:space="preserve"> building structure should be stable </w:t>
      </w:r>
      <w:r w:rsidR="00E30FC0">
        <w:t>–</w:t>
      </w:r>
      <w:r w:rsidRPr="00132C1E">
        <w:t xml:space="preserve"> including overturning or sliding </w:t>
      </w:r>
      <w:r w:rsidR="00E30FC0">
        <w:t>–</w:t>
      </w:r>
      <w:r w:rsidRPr="00132C1E">
        <w:t xml:space="preserve"> in the seismic design situation.</w:t>
      </w:r>
    </w:p>
    <w:p w14:paraId="1461424C" w14:textId="1568A0E4" w:rsidR="009261F3" w:rsidRPr="002144A0" w:rsidRDefault="009261F3" w:rsidP="009261F3">
      <w:pPr>
        <w:pStyle w:val="Heading3"/>
      </w:pPr>
      <w:bookmarkStart w:id="895" w:name="_Toc16927640"/>
      <w:bookmarkStart w:id="896" w:name="_Toc50150293"/>
      <w:bookmarkStart w:id="897" w:name="_Ref64449874"/>
      <w:bookmarkStart w:id="898" w:name="_Toc70886724"/>
      <w:bookmarkStart w:id="899" w:name="_Toc108342227"/>
      <w:bookmarkStart w:id="900" w:name="_Toc134197814"/>
      <w:r w:rsidRPr="00196951">
        <w:t>Resistance conditions</w:t>
      </w:r>
      <w:bookmarkEnd w:id="895"/>
      <w:bookmarkEnd w:id="896"/>
      <w:bookmarkEnd w:id="897"/>
      <w:bookmarkEnd w:id="898"/>
      <w:bookmarkEnd w:id="899"/>
      <w:bookmarkEnd w:id="900"/>
    </w:p>
    <w:p w14:paraId="723922EA" w14:textId="4A2FB2A1" w:rsidR="009261F3" w:rsidRPr="00132C1E" w:rsidRDefault="009261F3" w:rsidP="0080187E">
      <w:pPr>
        <w:pStyle w:val="Clause"/>
        <w:numPr>
          <w:ilvl w:val="0"/>
          <w:numId w:val="262"/>
        </w:numPr>
      </w:pPr>
      <w:r>
        <w:t>prEN</w:t>
      </w:r>
      <w:r w:rsidR="00E30FC0">
        <w:t> </w:t>
      </w:r>
      <w:r>
        <w:t>1998-1-1:2022</w:t>
      </w:r>
      <w:r w:rsidRPr="00E30FC0">
        <w:t>, 6.7.1 and 6.7.2,</w:t>
      </w:r>
      <w:r w:rsidRPr="00132C1E">
        <w:t xml:space="preserve"> should be applied, supplemented as given in a) and b):</w:t>
      </w:r>
    </w:p>
    <w:p w14:paraId="14FD6BE3" w14:textId="48F769DA" w:rsidR="009261F3" w:rsidRPr="005857CF" w:rsidRDefault="009261F3" w:rsidP="0080187E">
      <w:pPr>
        <w:pStyle w:val="List2"/>
        <w:numPr>
          <w:ilvl w:val="0"/>
          <w:numId w:val="60"/>
        </w:numPr>
        <w:spacing w:before="0" w:after="240" w:line="230" w:lineRule="atLeast"/>
        <w:contextualSpacing w:val="0"/>
      </w:pPr>
      <w:r w:rsidRPr="005857CF">
        <w:t>For the calculation of action effects,</w:t>
      </w:r>
      <w:r w:rsidRPr="005857CF">
        <w:rPr>
          <w:i/>
        </w:rPr>
        <w:t xml:space="preserve"> E</w:t>
      </w:r>
      <w:r w:rsidRPr="005857CF">
        <w:rPr>
          <w:vertAlign w:val="subscript"/>
        </w:rPr>
        <w:t>d</w:t>
      </w:r>
      <w:r w:rsidRPr="00E30FC0">
        <w:t xml:space="preserve">, </w:t>
      </w:r>
      <w:r w:rsidRPr="005857CF">
        <w:t xml:space="preserve">redistribution of bending moments in accordance with </w:t>
      </w:r>
      <w:r w:rsidR="00E03272">
        <w:t>pr</w:t>
      </w:r>
      <w:r w:rsidRPr="005857CF">
        <w:t>EN</w:t>
      </w:r>
      <w:r w:rsidR="00E30FC0">
        <w:t> </w:t>
      </w:r>
      <w:r w:rsidRPr="005857CF">
        <w:t>1992-1-1, EN</w:t>
      </w:r>
      <w:r w:rsidR="00E30FC0">
        <w:t> </w:t>
      </w:r>
      <w:r w:rsidRPr="005857CF">
        <w:t>1993-1</w:t>
      </w:r>
      <w:r>
        <w:t>-1</w:t>
      </w:r>
      <w:r w:rsidRPr="005857CF">
        <w:t xml:space="preserve"> and </w:t>
      </w:r>
      <w:r w:rsidR="00E03272">
        <w:t>pr</w:t>
      </w:r>
      <w:r w:rsidRPr="005857CF">
        <w:t>EN</w:t>
      </w:r>
      <w:r w:rsidR="00E30FC0">
        <w:t> </w:t>
      </w:r>
      <w:r w:rsidRPr="005857CF">
        <w:t>1994-1-1 may be applied.</w:t>
      </w:r>
    </w:p>
    <w:p w14:paraId="5920A720" w14:textId="6DD09B08" w:rsidR="009261F3" w:rsidRPr="00132C1E" w:rsidRDefault="009261F3" w:rsidP="0080187E">
      <w:pPr>
        <w:pStyle w:val="List2"/>
        <w:numPr>
          <w:ilvl w:val="0"/>
          <w:numId w:val="60"/>
        </w:numPr>
        <w:spacing w:before="0" w:after="240" w:line="230" w:lineRule="atLeast"/>
        <w:contextualSpacing w:val="0"/>
      </w:pPr>
      <w:r w:rsidRPr="00132C1E">
        <w:t>The design resistance</w:t>
      </w:r>
      <w:r w:rsidRPr="00132C1E">
        <w:rPr>
          <w:i/>
        </w:rPr>
        <w:t>, R</w:t>
      </w:r>
      <w:r w:rsidRPr="00132C1E">
        <w:rPr>
          <w:vertAlign w:val="subscript"/>
        </w:rPr>
        <w:t>d</w:t>
      </w:r>
      <w:r w:rsidR="00E30FC0">
        <w:t xml:space="preserve">, </w:t>
      </w:r>
      <w:r w:rsidRPr="00132C1E">
        <w:t xml:space="preserve">should be calculated in accordance with the rules specific to the material used (in terms of the characteristic values of material properties </w:t>
      </w:r>
      <w:r w:rsidRPr="00132C1E">
        <w:rPr>
          <w:i/>
        </w:rPr>
        <w:t>f</w:t>
      </w:r>
      <w:r w:rsidRPr="00132C1E">
        <w:rPr>
          <w:vertAlign w:val="subscript"/>
        </w:rPr>
        <w:t>k</w:t>
      </w:r>
      <w:r w:rsidRPr="00132C1E">
        <w:t xml:space="preserve"> and partial factor </w:t>
      </w:r>
      <w:r w:rsidRPr="00132C1E">
        <w:rPr>
          <w:rFonts w:ascii="Symbol" w:eastAsia="Symbol" w:hAnsi="Symbol" w:cs="Symbol"/>
          <w:i/>
        </w:rPr>
        <w:t></w:t>
      </w:r>
      <w:r w:rsidRPr="00132C1E">
        <w:rPr>
          <w:vertAlign w:val="subscript"/>
        </w:rPr>
        <w:t>M</w:t>
      </w:r>
      <w:r w:rsidRPr="00132C1E">
        <w:t xml:space="preserve">) and in accordance with the mechanical models which relate to the specific type of structural system, as </w:t>
      </w:r>
      <w:r w:rsidRPr="00E30FC0">
        <w:t xml:space="preserve">given in </w:t>
      </w:r>
      <w:r w:rsidR="00E7259E">
        <w:t xml:space="preserve">Clauses </w:t>
      </w:r>
      <w:r w:rsidRPr="00E30FC0">
        <w:t>10 to 15 and</w:t>
      </w:r>
      <w:r w:rsidRPr="00132C1E">
        <w:t xml:space="preserve"> in other relevant Eurocode parts. In application of </w:t>
      </w:r>
      <w:r>
        <w:t>prEN</w:t>
      </w:r>
      <w:r w:rsidR="00E30FC0">
        <w:t> </w:t>
      </w:r>
      <w:r>
        <w:t>1998-1-1:2022</w:t>
      </w:r>
      <w:r w:rsidRPr="00E30FC0">
        <w:t>, 6.7.1(1), the</w:t>
      </w:r>
      <w:r w:rsidRPr="00132C1E">
        <w:t xml:space="preserve"> resistance conditions should be expressed in terms either of general</w:t>
      </w:r>
      <w:r w:rsidR="00E10A24">
        <w:t>ize</w:t>
      </w:r>
      <w:r w:rsidRPr="00132C1E">
        <w:t>d stresses (internal forces) or of general</w:t>
      </w:r>
      <w:r w:rsidR="00E10A24">
        <w:t>ize</w:t>
      </w:r>
      <w:r w:rsidRPr="00132C1E">
        <w:t>d strains such as interstorey drifts or member chord rotations.</w:t>
      </w:r>
    </w:p>
    <w:p w14:paraId="54B8514A" w14:textId="22320986" w:rsidR="009261F3" w:rsidRPr="00132C1E" w:rsidRDefault="009261F3" w:rsidP="0080187E">
      <w:pPr>
        <w:pStyle w:val="Clause"/>
        <w:numPr>
          <w:ilvl w:val="0"/>
          <w:numId w:val="262"/>
        </w:numPr>
      </w:pPr>
      <w:r w:rsidRPr="00132C1E">
        <w:t>In case a displacement-based approach is used, general</w:t>
      </w:r>
      <w:r w:rsidR="00E10A24">
        <w:t>ize</w:t>
      </w:r>
      <w:r w:rsidRPr="00132C1E">
        <w:t xml:space="preserve">d deformations, according to case a) or b) of </w:t>
      </w:r>
      <w:r>
        <w:t>prEN</w:t>
      </w:r>
      <w:r w:rsidR="005A576E">
        <w:t> </w:t>
      </w:r>
      <w:r>
        <w:t>1998-1-1:</w:t>
      </w:r>
      <w:r w:rsidRPr="005A576E">
        <w:t xml:space="preserve">2022, 6.7.1(2), as specified in </w:t>
      </w:r>
      <w:r w:rsidR="00E7259E">
        <w:t xml:space="preserve">Clauses </w:t>
      </w:r>
      <w:r w:rsidRPr="005A576E">
        <w:t>10 to 15, should</w:t>
      </w:r>
      <w:r w:rsidRPr="00132C1E">
        <w:t xml:space="preserve"> be used for verification of ductile mechanisms to SD. General</w:t>
      </w:r>
      <w:r w:rsidR="00E10A24">
        <w:t>ize</w:t>
      </w:r>
      <w:r w:rsidRPr="00132C1E">
        <w:t>d stresses should be used for the verification of brittle failure modes.</w:t>
      </w:r>
    </w:p>
    <w:p w14:paraId="3E13557B" w14:textId="65AE9271" w:rsidR="009261F3" w:rsidRPr="00132C1E" w:rsidRDefault="009261F3" w:rsidP="0080187E">
      <w:pPr>
        <w:pStyle w:val="Clause"/>
        <w:numPr>
          <w:ilvl w:val="0"/>
          <w:numId w:val="262"/>
        </w:numPr>
      </w:pPr>
      <w:bookmarkStart w:id="901" w:name="_Ref64449876"/>
      <w:r w:rsidRPr="00132C1E">
        <w:t xml:space="preserve">In case a displacement-based approach is used, resistances (calculated using mean values of </w:t>
      </w:r>
      <w:r>
        <w:t xml:space="preserve">material </w:t>
      </w:r>
      <w:r w:rsidRPr="00644C3D">
        <w:t xml:space="preserve">properties </w:t>
      </w:r>
      <w:r w:rsidRPr="00644C3D">
        <w:rPr>
          <w:i/>
        </w:rPr>
        <w:t>f</w:t>
      </w:r>
      <w:r w:rsidRPr="00644C3D">
        <w:rPr>
          <w:vertAlign w:val="subscript"/>
        </w:rPr>
        <w:t>m</w:t>
      </w:r>
      <w:r w:rsidRPr="00644C3D">
        <w:t xml:space="preserve">) should be divided by a partial factor </w:t>
      </w:r>
      <w:r w:rsidRPr="00644C3D">
        <w:rPr>
          <w:rFonts w:ascii="Symbol" w:hAnsi="Symbol"/>
          <w:i/>
        </w:rPr>
        <w:t></w:t>
      </w:r>
      <w:r w:rsidRPr="00E05E29">
        <w:rPr>
          <w:vertAlign w:val="subscript"/>
        </w:rPr>
        <w:t>Rd</w:t>
      </w:r>
      <w:r w:rsidRPr="005A576E">
        <w:t xml:space="preserve">, given in </w:t>
      </w:r>
      <w:r w:rsidR="00E7259E">
        <w:t xml:space="preserve">Clauses </w:t>
      </w:r>
      <w:r w:rsidRPr="005A576E">
        <w:t>10 to 15.</w:t>
      </w:r>
    </w:p>
    <w:p w14:paraId="06C3221C" w14:textId="391474B8" w:rsidR="009261F3" w:rsidRPr="00850CB9" w:rsidRDefault="009261F3" w:rsidP="009261F3">
      <w:pPr>
        <w:pStyle w:val="Notetext"/>
      </w:pPr>
      <w:r w:rsidRPr="00850CB9">
        <w:t>NOTE</w:t>
      </w:r>
      <w:r w:rsidRPr="00850CB9">
        <w:tab/>
      </w:r>
      <w:r w:rsidR="00850CB9" w:rsidRPr="00850CB9">
        <w:t xml:space="preserve">According to </w:t>
      </w:r>
      <w:r w:rsidR="00E7259E">
        <w:t>NOTE</w:t>
      </w:r>
      <w:r w:rsidR="00850CB9" w:rsidRPr="00850CB9">
        <w:t xml:space="preserve"> 2 in prEN 1998-1-1:2022, 6.7.1(1), the partial factor on resistance </w:t>
      </w:r>
      <w:r w:rsidR="00850CB9" w:rsidRPr="00850CB9">
        <w:rPr>
          <w:rFonts w:ascii="Symbol" w:hAnsi="Symbol"/>
          <w:i/>
        </w:rPr>
        <w:t></w:t>
      </w:r>
      <w:r w:rsidR="00850CB9" w:rsidRPr="00850CB9">
        <w:rPr>
          <w:vertAlign w:val="subscript"/>
        </w:rPr>
        <w:t>Rd</w:t>
      </w:r>
      <w:r w:rsidR="00850CB9" w:rsidRPr="00850CB9">
        <w:t xml:space="preserve"> is function of the target reliability for the LS and CC, </w:t>
      </w:r>
      <w:r w:rsidR="00850CB9" w:rsidRPr="00850CB9">
        <w:rPr>
          <w:rFonts w:ascii="Symbol" w:hAnsi="Symbol"/>
          <w:i/>
        </w:rPr>
        <w:t></w:t>
      </w:r>
      <w:r w:rsidR="00850CB9" w:rsidRPr="00850CB9">
        <w:rPr>
          <w:vertAlign w:val="subscript"/>
        </w:rPr>
        <w:t>t,LS,CC</w:t>
      </w:r>
      <w:r w:rsidR="00850CB9" w:rsidRPr="00850CB9">
        <w:t xml:space="preserve"> (suggested values in prEN 1998-1-1:2022, F.3) and the total uncertainty of the resistance model, </w:t>
      </w:r>
      <w:r w:rsidR="00850CB9" w:rsidRPr="00850CB9">
        <w:rPr>
          <w:rFonts w:ascii="Symbol" w:hAnsi="Symbol"/>
          <w:i/>
          <w:iCs/>
        </w:rPr>
        <w:t></w:t>
      </w:r>
      <w:r w:rsidR="00850CB9" w:rsidRPr="00850CB9">
        <w:rPr>
          <w:vertAlign w:val="subscript"/>
        </w:rPr>
        <w:t>lnR</w:t>
      </w:r>
      <w:r w:rsidR="00850CB9" w:rsidRPr="00850CB9">
        <w:t xml:space="preserve">, according to </w:t>
      </w:r>
      <w:r w:rsidR="00850CB9" w:rsidRPr="00850CB9">
        <w:rPr>
          <w:rFonts w:ascii="Symbol" w:hAnsi="Symbol"/>
          <w:i/>
          <w:iCs/>
        </w:rPr>
        <w:t></w:t>
      </w:r>
      <w:r w:rsidR="00850CB9" w:rsidRPr="00850CB9">
        <w:rPr>
          <w:vertAlign w:val="subscript"/>
        </w:rPr>
        <w:t>Rd</w:t>
      </w:r>
      <w:r w:rsidR="00850CB9" w:rsidRPr="00850CB9">
        <w:t>=exp(</w:t>
      </w:r>
      <w:r w:rsidR="00850CB9" w:rsidRPr="00850CB9">
        <w:rPr>
          <w:rFonts w:ascii="Symbol" w:hAnsi="Symbol"/>
          <w:i/>
          <w:iCs/>
        </w:rPr>
        <w:t></w:t>
      </w:r>
      <w:r w:rsidR="00850CB9" w:rsidRPr="00850CB9">
        <w:rPr>
          <w:vertAlign w:val="superscript"/>
        </w:rPr>
        <w:t>*</w:t>
      </w:r>
      <w:r w:rsidR="00850CB9" w:rsidRPr="00850CB9">
        <w:rPr>
          <w:vertAlign w:val="subscript"/>
        </w:rPr>
        <w:t>R</w:t>
      </w:r>
      <w:r w:rsidR="00850CB9" w:rsidRPr="00850CB9">
        <w:rPr>
          <w:rFonts w:ascii="Symbol" w:hAnsi="Symbol"/>
          <w:i/>
          <w:iCs/>
        </w:rPr>
        <w:t></w:t>
      </w:r>
      <w:r w:rsidR="00850CB9" w:rsidRPr="00850CB9">
        <w:rPr>
          <w:vertAlign w:val="subscript"/>
        </w:rPr>
        <w:t>t,LS,CC</w:t>
      </w:r>
      <w:r w:rsidR="00850CB9" w:rsidRPr="00850CB9">
        <w:rPr>
          <w:rFonts w:ascii="Symbol" w:hAnsi="Symbol"/>
          <w:i/>
          <w:iCs/>
        </w:rPr>
        <w:t></w:t>
      </w:r>
      <w:r w:rsidR="00850CB9" w:rsidRPr="00850CB9">
        <w:rPr>
          <w:vertAlign w:val="subscript"/>
        </w:rPr>
        <w:t>lnR</w:t>
      </w:r>
      <w:r w:rsidR="00850CB9" w:rsidRPr="00850CB9">
        <w:t xml:space="preserve">), where the resistance sensitivity factor is </w:t>
      </w:r>
      <w:r w:rsidR="00850CB9" w:rsidRPr="00850CB9">
        <w:rPr>
          <w:rFonts w:ascii="Symbol" w:hAnsi="Symbol"/>
          <w:i/>
          <w:iCs/>
        </w:rPr>
        <w:t></w:t>
      </w:r>
      <w:r w:rsidR="00850CB9" w:rsidRPr="00850CB9">
        <w:rPr>
          <w:vertAlign w:val="superscript"/>
        </w:rPr>
        <w:t>*</w:t>
      </w:r>
      <w:r w:rsidR="00850CB9" w:rsidRPr="00850CB9">
        <w:rPr>
          <w:vertAlign w:val="subscript"/>
        </w:rPr>
        <w:t>R</w:t>
      </w:r>
      <w:r w:rsidR="00850CB9" w:rsidRPr="00850CB9">
        <w:t>=0,8.</w:t>
      </w:r>
    </w:p>
    <w:bookmarkEnd w:id="894"/>
    <w:bookmarkEnd w:id="901"/>
    <w:p w14:paraId="79811365" w14:textId="77777777" w:rsidR="005B0CDD" w:rsidRPr="00132C1E" w:rsidRDefault="005B0CDD" w:rsidP="0080187E">
      <w:pPr>
        <w:pStyle w:val="Clause"/>
        <w:numPr>
          <w:ilvl w:val="0"/>
          <w:numId w:val="262"/>
        </w:numPr>
      </w:pPr>
      <w:r w:rsidRPr="00132C1E">
        <w:t>It should be verified that the structural members comply with the design provisions that are required by the selected ductility class.</w:t>
      </w:r>
    </w:p>
    <w:p w14:paraId="67D1FB81" w14:textId="66D26DF9" w:rsidR="005B0CDD" w:rsidRPr="00132C1E" w:rsidRDefault="005B0CDD" w:rsidP="005B0CDD">
      <w:pPr>
        <w:pStyle w:val="Notetext"/>
      </w:pPr>
      <w:r w:rsidRPr="00132C1E">
        <w:t>NOTE</w:t>
      </w:r>
      <w:r w:rsidRPr="00132C1E">
        <w:tab/>
        <w:t xml:space="preserve">These provisions are </w:t>
      </w:r>
      <w:r w:rsidRPr="005A576E">
        <w:t xml:space="preserve">given in </w:t>
      </w:r>
      <w:r w:rsidR="00E7259E">
        <w:t xml:space="preserve">Clauses </w:t>
      </w:r>
      <w:r w:rsidRPr="005A576E">
        <w:t>10 to 15. They aim</w:t>
      </w:r>
      <w:r w:rsidR="005A576E">
        <w:t>,</w:t>
      </w:r>
      <w:r w:rsidRPr="00132C1E">
        <w:t xml:space="preserve"> in particular</w:t>
      </w:r>
      <w:r w:rsidR="005A576E">
        <w:t>,</w:t>
      </w:r>
      <w:r w:rsidRPr="00132C1E">
        <w:t xml:space="preserve"> at preventing brittle mechanisms and instability in critical </w:t>
      </w:r>
      <w:r>
        <w:t>zones</w:t>
      </w:r>
      <w:r w:rsidRPr="00132C1E">
        <w:t>. They complement provisions of the corresponding material Eurocode.</w:t>
      </w:r>
    </w:p>
    <w:p w14:paraId="7DAA80C4" w14:textId="77777777" w:rsidR="005B0CDD" w:rsidRPr="00132C1E" w:rsidRDefault="005B0CDD" w:rsidP="0080187E">
      <w:pPr>
        <w:pStyle w:val="Clause"/>
        <w:numPr>
          <w:ilvl w:val="0"/>
          <w:numId w:val="262"/>
        </w:numPr>
      </w:pPr>
      <w:r w:rsidRPr="00132C1E">
        <w:t>Fatigue resistance verification may be neglected under the seismic design situation.</w:t>
      </w:r>
    </w:p>
    <w:p w14:paraId="111AD78B" w14:textId="1A0317D6" w:rsidR="005B0CDD" w:rsidRPr="00132C1E" w:rsidRDefault="005B0CDD" w:rsidP="005B0CDD">
      <w:pPr>
        <w:pStyle w:val="Heading3"/>
      </w:pPr>
      <w:bookmarkStart w:id="902" w:name="_Toc16927641"/>
      <w:bookmarkStart w:id="903" w:name="_Toc50150294"/>
      <w:bookmarkStart w:id="904" w:name="_Toc70886725"/>
      <w:bookmarkStart w:id="905" w:name="_Toc108342228"/>
      <w:bookmarkStart w:id="906" w:name="_Toc134197815"/>
      <w:r w:rsidRPr="00132C1E">
        <w:lastRenderedPageBreak/>
        <w:t>Control of second</w:t>
      </w:r>
      <w:r w:rsidR="005A576E">
        <w:t>-</w:t>
      </w:r>
      <w:r w:rsidRPr="00132C1E">
        <w:t>order effects</w:t>
      </w:r>
      <w:bookmarkEnd w:id="902"/>
      <w:bookmarkEnd w:id="903"/>
      <w:bookmarkEnd w:id="904"/>
      <w:bookmarkEnd w:id="905"/>
      <w:bookmarkEnd w:id="906"/>
    </w:p>
    <w:p w14:paraId="4DCB982F" w14:textId="6D2EF327" w:rsidR="005B0CDD" w:rsidRPr="00BE7F52" w:rsidRDefault="005B0CDD" w:rsidP="0080187E">
      <w:pPr>
        <w:pStyle w:val="Clause"/>
        <w:numPr>
          <w:ilvl w:val="0"/>
          <w:numId w:val="263"/>
        </w:numPr>
      </w:pPr>
      <w:r w:rsidRPr="00BE7F52">
        <w:t>Second-order effects (</w:t>
      </w:r>
      <w:r w:rsidRPr="005A576E">
        <w:rPr>
          <w:i/>
          <w:iCs/>
        </w:rPr>
        <w:t>P-</w:t>
      </w:r>
      <w:r w:rsidRPr="005A576E">
        <w:rPr>
          <w:rFonts w:ascii="Symbol" w:eastAsia="Symbol" w:hAnsi="Symbol" w:cs="Symbol"/>
          <w:i/>
          <w:iCs/>
        </w:rPr>
        <w:t></w:t>
      </w:r>
      <w:r w:rsidRPr="00BE7F52">
        <w:t xml:space="preserve"> effects) may be neglected if the condition given by Formula (6.</w:t>
      </w:r>
      <w:r w:rsidR="000345C6">
        <w:t>1</w:t>
      </w:r>
      <w:r w:rsidRPr="00BE7F52">
        <w:t>) is</w:t>
      </w:r>
      <w:r w:rsidRPr="00132C1E">
        <w:t xml:space="preserve"> </w:t>
      </w:r>
      <w:r w:rsidRPr="00BE7F52">
        <w:t>fulfilled in all storeys.</w:t>
      </w:r>
    </w:p>
    <w:p w14:paraId="51E654F0" w14:textId="691161AE" w:rsidR="005B0CDD" w:rsidRPr="00870D59" w:rsidRDefault="00557CEC" w:rsidP="005B0CDD">
      <w:pPr>
        <w:pStyle w:val="Formula"/>
        <w:spacing w:before="240"/>
      </w:pPr>
      <m:oMath>
        <m:r>
          <w:rPr>
            <w:rFonts w:ascii="Cambria Math" w:hAnsi="Cambria Math"/>
          </w:rPr>
          <m:t>θ≤0,10</m:t>
        </m:r>
      </m:oMath>
      <w:r w:rsidR="005B0CDD" w:rsidRPr="00870D59">
        <w:tab/>
        <w:t>(</w:t>
      </w:r>
      <w:r w:rsidR="005B0CDD">
        <w:t>6.</w:t>
      </w:r>
      <w:r w:rsidR="000345C6">
        <w:t>1</w:t>
      </w:r>
      <w:r w:rsidR="005B0CDD" w:rsidRPr="00870D59">
        <w:t>)</w:t>
      </w:r>
    </w:p>
    <w:p w14:paraId="0C5557F4" w14:textId="57D6656D" w:rsidR="005B0CDD" w:rsidRPr="00870D59" w:rsidRDefault="005A576E" w:rsidP="005B0CDD">
      <w:pPr>
        <w:pStyle w:val="Clause"/>
        <w:numPr>
          <w:ilvl w:val="0"/>
          <w:numId w:val="0"/>
        </w:numPr>
      </w:pPr>
      <w:r>
        <w:t>w</w:t>
      </w:r>
      <w:r w:rsidR="003F756F" w:rsidRPr="00870D59">
        <w:t>here</w:t>
      </w:r>
      <w:r>
        <w:t xml:space="preserve"> </w:t>
      </w:r>
      <w:r w:rsidRPr="00D1484A">
        <w:rPr>
          <w:rFonts w:ascii="Symbol" w:eastAsia="Symbol" w:hAnsi="Symbol" w:cs="Symbol"/>
          <w:i/>
        </w:rPr>
        <w:t></w:t>
      </w:r>
      <w:r w:rsidR="003329F2">
        <w:t xml:space="preserve"> </w:t>
      </w:r>
      <w:r w:rsidR="003329F2" w:rsidRPr="007E6F67">
        <w:t>is the interstorey drift sensitivity coefficient, given by Formula (6.</w:t>
      </w:r>
      <w:r w:rsidR="000345C6">
        <w:t>2</w:t>
      </w:r>
      <w:r w:rsidR="003329F2" w:rsidRPr="007E6F67">
        <w:t xml:space="preserve">) in the force-based approach and </w:t>
      </w:r>
      <w:r w:rsidR="003329F2">
        <w:t>b</w:t>
      </w:r>
      <w:r w:rsidR="003329F2" w:rsidRPr="00644C3D">
        <w:t>y Formula (6.</w:t>
      </w:r>
      <w:r w:rsidR="000345C6">
        <w:t>3</w:t>
      </w:r>
      <w:r w:rsidR="003329F2" w:rsidRPr="00644C3D">
        <w:t xml:space="preserve">) in the displacement-based approach, unless different </w:t>
      </w:r>
      <w:r w:rsidR="003329F2">
        <w:t>f</w:t>
      </w:r>
      <w:r w:rsidR="003329F2" w:rsidRPr="00644C3D">
        <w:t>ormula</w:t>
      </w:r>
      <w:r w:rsidR="00E7259E">
        <w:t>e</w:t>
      </w:r>
      <w:r w:rsidR="003329F2" w:rsidRPr="00644C3D">
        <w:t xml:space="preserve"> are given for a specific material in the relevant clause</w:t>
      </w:r>
      <w:r w:rsidR="003329F2">
        <w:t>.</w:t>
      </w:r>
    </w:p>
    <w:p w14:paraId="61D89B15" w14:textId="185CA2FC" w:rsidR="00557CEC" w:rsidRPr="00870D59" w:rsidRDefault="00557CEC" w:rsidP="00557CEC">
      <w:pPr>
        <w:pStyle w:val="Formula"/>
        <w:spacing w:before="240"/>
      </w:pPr>
      <m:oMath>
        <m:r>
          <w:rPr>
            <w:rFonts w:ascii="Cambria Math" w:hAnsi="Cambria Math"/>
          </w:rPr>
          <m:t>θ=</m:t>
        </m:r>
        <m:f>
          <m:fPr>
            <m:ctrlPr>
              <w:rPr>
                <w:rFonts w:ascii="Cambria Math" w:hAnsi="Cambria Math"/>
              </w:rPr>
            </m:ctrlPr>
          </m:fPr>
          <m:num>
            <m:sSub>
              <m:sSubPr>
                <m:ctrlPr>
                  <w:rPr>
                    <w:rFonts w:ascii="Cambria Math" w:hAnsi="Cambria Math"/>
                  </w:rPr>
                </m:ctrlPr>
              </m:sSubPr>
              <m:e>
                <m:r>
                  <w:rPr>
                    <w:rFonts w:ascii="Cambria Math" w:hAnsi="Cambria Math"/>
                  </w:rPr>
                  <m:t>P</m:t>
                </m:r>
              </m:e>
              <m:sub>
                <m:r>
                  <m:rPr>
                    <m:sty m:val="p"/>
                  </m:rPr>
                  <w:rPr>
                    <w:rFonts w:ascii="Cambria Math" w:hAnsi="Cambria Math"/>
                  </w:rPr>
                  <m:t>tot</m:t>
                </m:r>
              </m:sub>
            </m:sSub>
            <m:sSub>
              <m:sSubPr>
                <m:ctrlPr>
                  <w:rPr>
                    <w:rFonts w:ascii="Cambria Math" w:hAnsi="Cambria Math"/>
                  </w:rPr>
                </m:ctrlPr>
              </m:sSubPr>
              <m:e>
                <m:r>
                  <w:rPr>
                    <w:rFonts w:ascii="Cambria Math" w:hAnsi="Cambria Math"/>
                  </w:rPr>
                  <m:t>d</m:t>
                </m:r>
              </m:e>
              <m:sub>
                <m:r>
                  <m:rPr>
                    <m:sty m:val="p"/>
                  </m:rPr>
                  <w:rPr>
                    <w:rFonts w:ascii="Cambria Math" w:hAnsi="Cambria Math"/>
                  </w:rPr>
                  <m:t>r,SD</m:t>
                </m:r>
              </m:sub>
            </m:sSub>
          </m:num>
          <m:den>
            <m:sSub>
              <m:sSubPr>
                <m:ctrlPr>
                  <w:rPr>
                    <w:rFonts w:ascii="Cambria Math" w:hAnsi="Cambria Math"/>
                  </w:rPr>
                </m:ctrlPr>
              </m:sSubPr>
              <m:e>
                <m:sSub>
                  <m:sSubPr>
                    <m:ctrlPr>
                      <w:rPr>
                        <w:rFonts w:ascii="Cambria Math" w:hAnsi="Cambria Math"/>
                      </w:rPr>
                    </m:ctrlPr>
                  </m:sSubPr>
                  <m:e>
                    <m:r>
                      <w:rPr>
                        <w:rFonts w:ascii="Cambria Math" w:hAnsi="Cambria Math"/>
                      </w:rPr>
                      <m:t>q</m:t>
                    </m:r>
                  </m:e>
                  <m:sub>
                    <m:r>
                      <m:rPr>
                        <m:sty m:val="p"/>
                      </m:rPr>
                      <w:rPr>
                        <w:rFonts w:ascii="Cambria Math" w:hAnsi="Cambria Math"/>
                      </w:rPr>
                      <m:t>R</m:t>
                    </m:r>
                  </m:sub>
                </m:sSub>
                <m:sSub>
                  <m:sSubPr>
                    <m:ctrlPr>
                      <w:rPr>
                        <w:rFonts w:ascii="Cambria Math" w:hAnsi="Cambria Math"/>
                      </w:rPr>
                    </m:ctrlPr>
                  </m:sSubPr>
                  <m:e>
                    <m:r>
                      <w:rPr>
                        <w:rFonts w:ascii="Cambria Math" w:hAnsi="Cambria Math"/>
                      </w:rPr>
                      <m:t>q</m:t>
                    </m:r>
                  </m:e>
                  <m:sub>
                    <m:r>
                      <m:rPr>
                        <m:sty m:val="p"/>
                      </m:rPr>
                      <w:rPr>
                        <w:rFonts w:ascii="Cambria Math" w:hAnsi="Cambria Math"/>
                      </w:rPr>
                      <m:t>S</m:t>
                    </m:r>
                  </m:sub>
                </m:sSub>
                <m:r>
                  <w:rPr>
                    <w:rFonts w:ascii="Cambria Math" w:hAnsi="Cambria Math"/>
                  </w:rPr>
                  <m:t>V</m:t>
                </m:r>
              </m:e>
              <m:sub>
                <m:r>
                  <m:rPr>
                    <m:sty m:val="p"/>
                  </m:rPr>
                  <w:rPr>
                    <w:rFonts w:ascii="Cambria Math" w:hAnsi="Cambria Math"/>
                  </w:rPr>
                  <m:t>tot</m:t>
                </m:r>
              </m:sub>
            </m:sSub>
            <m:sSub>
              <m:sSubPr>
                <m:ctrlPr>
                  <w:rPr>
                    <w:rFonts w:ascii="Cambria Math" w:hAnsi="Cambria Math"/>
                  </w:rPr>
                </m:ctrlPr>
              </m:sSubPr>
              <m:e>
                <m:r>
                  <w:rPr>
                    <w:rFonts w:ascii="Cambria Math" w:hAnsi="Cambria Math"/>
                  </w:rPr>
                  <m:t>h</m:t>
                </m:r>
              </m:e>
              <m:sub>
                <m:r>
                  <m:rPr>
                    <m:sty m:val="p"/>
                  </m:rPr>
                  <w:rPr>
                    <w:rFonts w:ascii="Cambria Math" w:hAnsi="Cambria Math"/>
                  </w:rPr>
                  <m:t>s</m:t>
                </m:r>
              </m:sub>
            </m:sSub>
          </m:den>
        </m:f>
      </m:oMath>
      <w:r w:rsidRPr="00870D59">
        <w:tab/>
        <w:t>(</w:t>
      </w:r>
      <w:r>
        <w:t>6.</w:t>
      </w:r>
      <w:r w:rsidR="000345C6">
        <w:t>2</w:t>
      </w:r>
      <w:r w:rsidRPr="00870D59">
        <w:t>)</w:t>
      </w:r>
    </w:p>
    <w:p w14:paraId="4DC252AA" w14:textId="5CA441E0" w:rsidR="00557CEC" w:rsidRDefault="00557CEC" w:rsidP="00557CEC">
      <w:pPr>
        <w:pStyle w:val="Formula"/>
        <w:spacing w:before="240"/>
      </w:pPr>
      <m:oMath>
        <m:r>
          <w:rPr>
            <w:rFonts w:ascii="Cambria Math" w:hAnsi="Cambria Math"/>
          </w:rPr>
          <m:t>θ=</m:t>
        </m:r>
        <m:f>
          <m:fPr>
            <m:ctrlPr>
              <w:rPr>
                <w:rFonts w:ascii="Cambria Math" w:hAnsi="Cambria Math"/>
              </w:rPr>
            </m:ctrlPr>
          </m:fPr>
          <m:num>
            <m:sSub>
              <m:sSubPr>
                <m:ctrlPr>
                  <w:rPr>
                    <w:rFonts w:ascii="Cambria Math" w:hAnsi="Cambria Math"/>
                  </w:rPr>
                </m:ctrlPr>
              </m:sSubPr>
              <m:e>
                <m:r>
                  <w:rPr>
                    <w:rFonts w:ascii="Cambria Math" w:hAnsi="Cambria Math"/>
                  </w:rPr>
                  <m:t>P</m:t>
                </m:r>
              </m:e>
              <m:sub>
                <m:r>
                  <m:rPr>
                    <m:sty m:val="p"/>
                  </m:rPr>
                  <w:rPr>
                    <w:rFonts w:ascii="Cambria Math" w:hAnsi="Cambria Math"/>
                  </w:rPr>
                  <m:t>tot</m:t>
                </m:r>
              </m:sub>
            </m:sSub>
            <m:sSub>
              <m:sSubPr>
                <m:ctrlPr>
                  <w:rPr>
                    <w:rFonts w:ascii="Cambria Math" w:hAnsi="Cambria Math"/>
                  </w:rPr>
                </m:ctrlPr>
              </m:sSubPr>
              <m:e>
                <m:r>
                  <w:rPr>
                    <w:rFonts w:ascii="Cambria Math" w:hAnsi="Cambria Math"/>
                  </w:rPr>
                  <m:t>d</m:t>
                </m:r>
              </m:e>
              <m:sub>
                <m:r>
                  <m:rPr>
                    <m:sty m:val="p"/>
                  </m:rPr>
                  <w:rPr>
                    <w:rFonts w:ascii="Cambria Math" w:hAnsi="Cambria Math"/>
                  </w:rPr>
                  <m:t>r,SD</m:t>
                </m:r>
              </m:sub>
            </m:sSub>
          </m:num>
          <m:den>
            <m:sSub>
              <m:sSubPr>
                <m:ctrlPr>
                  <w:rPr>
                    <w:rFonts w:ascii="Cambria Math" w:hAnsi="Cambria Math"/>
                  </w:rPr>
                </m:ctrlPr>
              </m:sSubPr>
              <m:e>
                <m:r>
                  <w:rPr>
                    <w:rFonts w:ascii="Cambria Math" w:hAnsi="Cambria Math"/>
                  </w:rPr>
                  <m:t>V</m:t>
                </m:r>
              </m:e>
              <m:sub>
                <m:r>
                  <m:rPr>
                    <m:sty m:val="p"/>
                  </m:rPr>
                  <w:rPr>
                    <w:rFonts w:ascii="Cambria Math" w:hAnsi="Cambria Math"/>
                  </w:rPr>
                  <m:t>s,SD</m:t>
                </m:r>
              </m:sub>
            </m:sSub>
            <m:sSub>
              <m:sSubPr>
                <m:ctrlPr>
                  <w:rPr>
                    <w:rFonts w:ascii="Cambria Math" w:hAnsi="Cambria Math"/>
                  </w:rPr>
                </m:ctrlPr>
              </m:sSubPr>
              <m:e>
                <m:r>
                  <w:rPr>
                    <w:rFonts w:ascii="Cambria Math" w:hAnsi="Cambria Math"/>
                  </w:rPr>
                  <m:t>h</m:t>
                </m:r>
              </m:e>
              <m:sub>
                <m:r>
                  <m:rPr>
                    <m:sty m:val="p"/>
                  </m:rPr>
                  <w:rPr>
                    <w:rFonts w:ascii="Cambria Math" w:hAnsi="Cambria Math"/>
                  </w:rPr>
                  <m:t>s</m:t>
                </m:r>
              </m:sub>
            </m:sSub>
          </m:den>
        </m:f>
      </m:oMath>
      <w:r w:rsidRPr="00870D59">
        <w:tab/>
        <w:t>(</w:t>
      </w:r>
      <w:r>
        <w:t>6.</w:t>
      </w:r>
      <w:r w:rsidR="000345C6">
        <w:t>3</w:t>
      </w:r>
      <w:r w:rsidRPr="00870D59">
        <w:t>)</w:t>
      </w:r>
    </w:p>
    <w:p w14:paraId="45ABBE39" w14:textId="78DEBC7D" w:rsidR="003329F2" w:rsidRPr="003329F2" w:rsidRDefault="003329F2" w:rsidP="003329F2">
      <w:pPr>
        <w:pStyle w:val="Text"/>
      </w:pPr>
      <w:r>
        <w:t>w</w:t>
      </w:r>
      <w:r w:rsidRPr="00870D59">
        <w:t>here</w:t>
      </w:r>
    </w:p>
    <w:tbl>
      <w:tblPr>
        <w:tblW w:w="0" w:type="auto"/>
        <w:tblInd w:w="346" w:type="dxa"/>
        <w:tblLook w:val="04A0" w:firstRow="1" w:lastRow="0" w:firstColumn="1" w:lastColumn="0" w:noHBand="0" w:noVBand="1"/>
      </w:tblPr>
      <w:tblGrid>
        <w:gridCol w:w="1275"/>
        <w:gridCol w:w="7938"/>
      </w:tblGrid>
      <w:tr w:rsidR="00557CEC" w:rsidRPr="005B0CDD" w14:paraId="0F859B75" w14:textId="77777777" w:rsidTr="00E7259E">
        <w:tc>
          <w:tcPr>
            <w:tcW w:w="1275" w:type="dxa"/>
          </w:tcPr>
          <w:p w14:paraId="4360BDDA" w14:textId="75C95551" w:rsidR="00557CEC" w:rsidRPr="003329F2" w:rsidRDefault="00557CEC" w:rsidP="002061E5">
            <w:pPr>
              <w:pStyle w:val="Tablebody"/>
            </w:pPr>
            <w:r w:rsidRPr="003329F2">
              <w:rPr>
                <w:i/>
                <w:szCs w:val="22"/>
              </w:rPr>
              <w:t>P</w:t>
            </w:r>
            <w:r w:rsidRPr="003329F2">
              <w:rPr>
                <w:szCs w:val="22"/>
                <w:vertAlign w:val="subscript"/>
              </w:rPr>
              <w:t>tot</w:t>
            </w:r>
          </w:p>
        </w:tc>
        <w:tc>
          <w:tcPr>
            <w:tcW w:w="7938" w:type="dxa"/>
          </w:tcPr>
          <w:p w14:paraId="71601EAC" w14:textId="28FEB7DC" w:rsidR="00557CEC" w:rsidRPr="003329F2" w:rsidRDefault="00A25973" w:rsidP="002061E5">
            <w:pPr>
              <w:pStyle w:val="Tablebody"/>
            </w:pPr>
            <w:r w:rsidRPr="003329F2">
              <w:rPr>
                <w:szCs w:val="22"/>
              </w:rPr>
              <w:t xml:space="preserve">is the total gravity load at and above the storey, due to the masses </w:t>
            </w:r>
            <w:r w:rsidRPr="003329F2">
              <w:rPr>
                <w:color w:val="000000" w:themeColor="text1"/>
                <w:szCs w:val="22"/>
              </w:rPr>
              <w:t xml:space="preserve">considered in the seismic </w:t>
            </w:r>
            <w:r w:rsidRPr="003329F2">
              <w:rPr>
                <w:rFonts w:cs="Times New Roman"/>
                <w:color w:val="000000" w:themeColor="text1"/>
                <w:szCs w:val="22"/>
              </w:rPr>
              <w:t xml:space="preserve">analysis of the structure, in accordance with 5.1.2(1) and </w:t>
            </w:r>
            <w:r w:rsidRPr="003329F2">
              <w:rPr>
                <w:szCs w:val="22"/>
              </w:rPr>
              <w:t>prEN</w:t>
            </w:r>
            <w:r w:rsidR="003329F2">
              <w:rPr>
                <w:szCs w:val="22"/>
              </w:rPr>
              <w:t> </w:t>
            </w:r>
            <w:r w:rsidRPr="003329F2">
              <w:rPr>
                <w:szCs w:val="22"/>
              </w:rPr>
              <w:t xml:space="preserve">1998-1-1:2022, </w:t>
            </w:r>
            <w:r w:rsidRPr="003329F2">
              <w:rPr>
                <w:rFonts w:cs="Times New Roman"/>
                <w:color w:val="000000" w:themeColor="text1"/>
                <w:szCs w:val="22"/>
              </w:rPr>
              <w:t>6.2.1(3)</w:t>
            </w:r>
            <w:r w:rsidRPr="003329F2">
              <w:rPr>
                <w:color w:val="000000" w:themeColor="text1"/>
                <w:szCs w:val="22"/>
              </w:rPr>
              <w:t>;</w:t>
            </w:r>
          </w:p>
        </w:tc>
      </w:tr>
      <w:tr w:rsidR="00557CEC" w:rsidRPr="005B0CDD" w14:paraId="714ECED4" w14:textId="77777777" w:rsidTr="00E7259E">
        <w:tc>
          <w:tcPr>
            <w:tcW w:w="1275" w:type="dxa"/>
          </w:tcPr>
          <w:p w14:paraId="1F79764B" w14:textId="0C1557A8" w:rsidR="00557CEC" w:rsidRPr="00D1484A" w:rsidRDefault="00557CEC" w:rsidP="002061E5">
            <w:pPr>
              <w:pStyle w:val="Tablebody"/>
              <w:rPr>
                <w:rFonts w:ascii="Symbol" w:eastAsia="Symbol" w:hAnsi="Symbol" w:cs="Symbol"/>
                <w:i/>
              </w:rPr>
            </w:pPr>
            <w:r w:rsidRPr="00132C1E">
              <w:rPr>
                <w:i/>
              </w:rPr>
              <w:t>d</w:t>
            </w:r>
            <w:r w:rsidRPr="00132C1E">
              <w:rPr>
                <w:vertAlign w:val="subscript"/>
              </w:rPr>
              <w:t>r,SD</w:t>
            </w:r>
          </w:p>
        </w:tc>
        <w:tc>
          <w:tcPr>
            <w:tcW w:w="7938" w:type="dxa"/>
          </w:tcPr>
          <w:p w14:paraId="11BBEBB9" w14:textId="3C1F42B5" w:rsidR="00557CEC" w:rsidRPr="007E6F67" w:rsidRDefault="00A25973" w:rsidP="002061E5">
            <w:pPr>
              <w:pStyle w:val="Tablebody"/>
            </w:pPr>
            <w:r w:rsidRPr="00132C1E">
              <w:t xml:space="preserve">is the design interstorey drift, defined as the difference of the average lateral displacements </w:t>
            </w:r>
            <w:r w:rsidRPr="00132C1E">
              <w:rPr>
                <w:i/>
              </w:rPr>
              <w:t>d</w:t>
            </w:r>
            <w:r w:rsidRPr="00132C1E">
              <w:rPr>
                <w:vertAlign w:val="subscript"/>
              </w:rPr>
              <w:t>s</w:t>
            </w:r>
            <w:r w:rsidRPr="00132C1E">
              <w:rPr>
                <w:i/>
              </w:rPr>
              <w:t xml:space="preserve"> </w:t>
            </w:r>
            <w:r w:rsidRPr="00132C1E">
              <w:t>at the top and bottom of the storey under consideration</w:t>
            </w:r>
            <w:r w:rsidR="003329F2">
              <w:t>; It is</w:t>
            </w:r>
            <w:r w:rsidRPr="00132C1E">
              <w:t xml:space="preserve"> calculated in accordance with</w:t>
            </w:r>
            <w:r w:rsidRPr="00132C1E">
              <w:rPr>
                <w:bCs/>
              </w:rPr>
              <w:t xml:space="preserve"> </w:t>
            </w:r>
            <w:r>
              <w:t>prEN</w:t>
            </w:r>
            <w:r w:rsidR="003329F2">
              <w:t> </w:t>
            </w:r>
            <w:r>
              <w:t>1998-1-1:2022</w:t>
            </w:r>
            <w:r w:rsidRPr="00132C1E">
              <w:t xml:space="preserve">, </w:t>
            </w:r>
            <w:r w:rsidRPr="00132C1E">
              <w:rPr>
                <w:bCs/>
              </w:rPr>
              <w:t>Formula (6.9), for the force-based approach</w:t>
            </w:r>
            <w:r w:rsidR="003329F2">
              <w:rPr>
                <w:bCs/>
              </w:rPr>
              <w:t>,</w:t>
            </w:r>
            <w:r w:rsidRPr="00132C1E">
              <w:rPr>
                <w:bCs/>
              </w:rPr>
              <w:t xml:space="preserve"> and </w:t>
            </w:r>
            <w:r w:rsidRPr="00132C1E">
              <w:t>calculated at the SD limit state</w:t>
            </w:r>
            <w:r w:rsidR="003329F2">
              <w:t>,</w:t>
            </w:r>
            <w:r w:rsidRPr="00132C1E">
              <w:t xml:space="preserve"> </w:t>
            </w:r>
            <w:r w:rsidR="003329F2">
              <w:t>from</w:t>
            </w:r>
            <w:r w:rsidRPr="00132C1E">
              <w:t xml:space="preserve"> the analysis</w:t>
            </w:r>
            <w:r w:rsidR="003329F2">
              <w:t>,</w:t>
            </w:r>
            <w:r w:rsidRPr="00132C1E">
              <w:rPr>
                <w:bCs/>
              </w:rPr>
              <w:t xml:space="preserve"> for the displacement-based approach</w:t>
            </w:r>
            <w:r w:rsidRPr="00132C1E">
              <w:t>;</w:t>
            </w:r>
          </w:p>
        </w:tc>
      </w:tr>
      <w:tr w:rsidR="00557CEC" w:rsidRPr="005B0CDD" w14:paraId="4FE54DD9" w14:textId="77777777" w:rsidTr="00E7259E">
        <w:tc>
          <w:tcPr>
            <w:tcW w:w="1275" w:type="dxa"/>
          </w:tcPr>
          <w:p w14:paraId="3B9A169C" w14:textId="74AD6391" w:rsidR="00557CEC" w:rsidRPr="00D1484A" w:rsidRDefault="00557CEC" w:rsidP="002061E5">
            <w:pPr>
              <w:pStyle w:val="Tablebody"/>
              <w:rPr>
                <w:rFonts w:ascii="Symbol" w:eastAsia="Symbol" w:hAnsi="Symbol" w:cs="Symbol"/>
                <w:i/>
              </w:rPr>
            </w:pPr>
            <w:r w:rsidRPr="00132C1E">
              <w:rPr>
                <w:i/>
              </w:rPr>
              <w:t>V</w:t>
            </w:r>
            <w:r w:rsidRPr="00132C1E">
              <w:rPr>
                <w:vertAlign w:val="subscript"/>
              </w:rPr>
              <w:t>tot</w:t>
            </w:r>
          </w:p>
        </w:tc>
        <w:tc>
          <w:tcPr>
            <w:tcW w:w="7938" w:type="dxa"/>
          </w:tcPr>
          <w:p w14:paraId="21623704" w14:textId="18AC8F56" w:rsidR="00557CEC" w:rsidRPr="007E6F67" w:rsidRDefault="00707403" w:rsidP="002061E5">
            <w:pPr>
              <w:pStyle w:val="Tablebody"/>
            </w:pPr>
            <w:r w:rsidRPr="00132C1E">
              <w:t xml:space="preserve">is the </w:t>
            </w:r>
            <w:bookmarkStart w:id="907" w:name="_Hlk42853066"/>
            <w:r w:rsidRPr="00132C1E">
              <w:t xml:space="preserve">total storey shear </w:t>
            </w:r>
            <w:bookmarkEnd w:id="907"/>
            <w:r w:rsidRPr="00132C1E">
              <w:t>in the seismic design situation</w:t>
            </w:r>
            <w:r w:rsidRPr="00132C1E">
              <w:rPr>
                <w:bCs/>
              </w:rPr>
              <w:t xml:space="preserve"> for the force-based approach</w:t>
            </w:r>
            <w:r w:rsidRPr="00132C1E">
              <w:t>;</w:t>
            </w:r>
          </w:p>
        </w:tc>
      </w:tr>
      <w:tr w:rsidR="00557CEC" w:rsidRPr="005B0CDD" w14:paraId="5EC4FA19" w14:textId="77777777" w:rsidTr="00E7259E">
        <w:tc>
          <w:tcPr>
            <w:tcW w:w="1275" w:type="dxa"/>
          </w:tcPr>
          <w:p w14:paraId="7B905344" w14:textId="0C230DA7" w:rsidR="00557CEC" w:rsidRPr="00D1484A" w:rsidRDefault="00557CEC" w:rsidP="002061E5">
            <w:pPr>
              <w:pStyle w:val="Tablebody"/>
              <w:rPr>
                <w:rFonts w:ascii="Symbol" w:eastAsia="Symbol" w:hAnsi="Symbol" w:cs="Symbol"/>
                <w:i/>
              </w:rPr>
            </w:pPr>
            <w:r w:rsidRPr="00132C1E">
              <w:rPr>
                <w:i/>
              </w:rPr>
              <w:t>V</w:t>
            </w:r>
            <w:r w:rsidRPr="00132C1E">
              <w:rPr>
                <w:iCs/>
                <w:vertAlign w:val="subscript"/>
              </w:rPr>
              <w:t>s,SD</w:t>
            </w:r>
          </w:p>
        </w:tc>
        <w:tc>
          <w:tcPr>
            <w:tcW w:w="7938" w:type="dxa"/>
          </w:tcPr>
          <w:p w14:paraId="6AD74027" w14:textId="35B000E6" w:rsidR="00557CEC" w:rsidRPr="007E6F67" w:rsidRDefault="00707403" w:rsidP="002061E5">
            <w:pPr>
              <w:pStyle w:val="Tablebody"/>
            </w:pPr>
            <w:r w:rsidRPr="00132C1E">
              <w:rPr>
                <w:iCs/>
              </w:rPr>
              <w:t xml:space="preserve">is the </w:t>
            </w:r>
            <w:r w:rsidRPr="00132C1E">
              <w:t>total storey shear</w:t>
            </w:r>
            <w:r w:rsidRPr="00132C1E">
              <w:rPr>
                <w:iCs/>
              </w:rPr>
              <w:t xml:space="preserve"> at SD limit state</w:t>
            </w:r>
            <w:r w:rsidR="003329F2">
              <w:rPr>
                <w:iCs/>
              </w:rPr>
              <w:t>,</w:t>
            </w:r>
            <w:r w:rsidRPr="00132C1E">
              <w:t xml:space="preserve"> calculated </w:t>
            </w:r>
            <w:r w:rsidR="003329F2">
              <w:t>from</w:t>
            </w:r>
            <w:r w:rsidRPr="00132C1E">
              <w:t xml:space="preserve"> the analysis</w:t>
            </w:r>
            <w:r w:rsidR="003329F2">
              <w:t>,</w:t>
            </w:r>
            <w:r w:rsidRPr="00132C1E">
              <w:t xml:space="preserve"> </w:t>
            </w:r>
            <w:r w:rsidR="003329F2">
              <w:t>for</w:t>
            </w:r>
            <w:r w:rsidRPr="00132C1E">
              <w:rPr>
                <w:bCs/>
              </w:rPr>
              <w:t xml:space="preserve"> the displacement-based approach;</w:t>
            </w:r>
          </w:p>
        </w:tc>
      </w:tr>
      <w:tr w:rsidR="00557CEC" w:rsidRPr="005B0CDD" w14:paraId="4C8A8A1F" w14:textId="77777777" w:rsidTr="00E7259E">
        <w:tc>
          <w:tcPr>
            <w:tcW w:w="1275" w:type="dxa"/>
          </w:tcPr>
          <w:p w14:paraId="6F35C56D" w14:textId="6CCFD41D" w:rsidR="00557CEC" w:rsidRPr="00D1484A" w:rsidRDefault="00557CEC" w:rsidP="002061E5">
            <w:pPr>
              <w:pStyle w:val="Tablebody"/>
              <w:rPr>
                <w:rFonts w:ascii="Symbol" w:eastAsia="Symbol" w:hAnsi="Symbol" w:cs="Symbol"/>
                <w:i/>
              </w:rPr>
            </w:pPr>
            <w:r w:rsidRPr="00132C1E">
              <w:rPr>
                <w:i/>
              </w:rPr>
              <w:t>h</w:t>
            </w:r>
            <w:r w:rsidRPr="00132C1E">
              <w:rPr>
                <w:iCs/>
                <w:vertAlign w:val="subscript"/>
              </w:rPr>
              <w:t>s</w:t>
            </w:r>
          </w:p>
        </w:tc>
        <w:tc>
          <w:tcPr>
            <w:tcW w:w="7938" w:type="dxa"/>
          </w:tcPr>
          <w:p w14:paraId="7CE3DC62" w14:textId="30B86354" w:rsidR="00557CEC" w:rsidRPr="007E6F67" w:rsidRDefault="00707403" w:rsidP="002061E5">
            <w:pPr>
              <w:pStyle w:val="Tablebody"/>
            </w:pPr>
            <w:r w:rsidRPr="00132C1E">
              <w:t>is the interstorey height;</w:t>
            </w:r>
          </w:p>
        </w:tc>
      </w:tr>
      <w:tr w:rsidR="00557CEC" w:rsidRPr="005B0CDD" w14:paraId="5D0577F2" w14:textId="77777777" w:rsidTr="00E7259E">
        <w:tc>
          <w:tcPr>
            <w:tcW w:w="1275" w:type="dxa"/>
          </w:tcPr>
          <w:p w14:paraId="1551B0D0" w14:textId="4712779C" w:rsidR="00557CEC" w:rsidRPr="00D1484A" w:rsidRDefault="00557CEC" w:rsidP="002061E5">
            <w:pPr>
              <w:pStyle w:val="Tablebody"/>
              <w:rPr>
                <w:rFonts w:ascii="Symbol" w:eastAsia="Symbol" w:hAnsi="Symbol" w:cs="Symbol"/>
                <w:i/>
              </w:rPr>
            </w:pPr>
            <w:r w:rsidRPr="00132C1E">
              <w:rPr>
                <w:i/>
              </w:rPr>
              <w:t>q</w:t>
            </w:r>
            <w:r w:rsidRPr="00132C1E">
              <w:rPr>
                <w:vertAlign w:val="subscript"/>
              </w:rPr>
              <w:t>S</w:t>
            </w:r>
            <w:r w:rsidRPr="00132C1E">
              <w:t xml:space="preserve"> and </w:t>
            </w:r>
            <w:r w:rsidRPr="00132C1E">
              <w:rPr>
                <w:i/>
              </w:rPr>
              <w:t>q</w:t>
            </w:r>
            <w:r w:rsidRPr="00132C1E">
              <w:rPr>
                <w:vertAlign w:val="subscript"/>
              </w:rPr>
              <w:t>R</w:t>
            </w:r>
          </w:p>
        </w:tc>
        <w:tc>
          <w:tcPr>
            <w:tcW w:w="7938" w:type="dxa"/>
          </w:tcPr>
          <w:p w14:paraId="79F8E8BC" w14:textId="434805DA" w:rsidR="00557CEC" w:rsidRPr="007E6F67" w:rsidRDefault="00707403" w:rsidP="002061E5">
            <w:pPr>
              <w:pStyle w:val="Tablebody"/>
            </w:pPr>
            <w:r w:rsidRPr="00132C1E">
              <w:t xml:space="preserve">are the behaviour factor components according to </w:t>
            </w:r>
            <w:r>
              <w:t>prEN</w:t>
            </w:r>
            <w:r w:rsidR="003329F2">
              <w:t> </w:t>
            </w:r>
            <w:r>
              <w:t>1998-1-1:</w:t>
            </w:r>
            <w:r w:rsidRPr="003329F2">
              <w:t xml:space="preserve">2022, 6.4.1(1), specified in </w:t>
            </w:r>
            <w:r w:rsidR="00E7259E">
              <w:t xml:space="preserve">Clauses </w:t>
            </w:r>
            <w:r w:rsidRPr="003329F2">
              <w:t>10 to 15 for structural materials</w:t>
            </w:r>
            <w:r w:rsidR="003329F2">
              <w:t xml:space="preserve">, for </w:t>
            </w:r>
            <w:r w:rsidRPr="003329F2">
              <w:t>the force-based approach.</w:t>
            </w:r>
          </w:p>
        </w:tc>
      </w:tr>
    </w:tbl>
    <w:p w14:paraId="1D070129" w14:textId="6C44556C" w:rsidR="00707403" w:rsidRPr="00132C1E" w:rsidRDefault="00707403" w:rsidP="0080187E">
      <w:pPr>
        <w:pStyle w:val="Clause"/>
        <w:numPr>
          <w:ilvl w:val="0"/>
          <w:numId w:val="263"/>
        </w:numPr>
      </w:pPr>
      <w:r w:rsidRPr="00132C1E">
        <w:t xml:space="preserve">If 0,1 &lt; </w:t>
      </w:r>
      <w:r w:rsidRPr="00BE7F52">
        <w:rPr>
          <w:rFonts w:ascii="Symbol" w:eastAsia="Symbol" w:hAnsi="Symbol" w:cs="Symbol"/>
          <w:i/>
        </w:rPr>
        <w:t></w:t>
      </w:r>
      <w:r w:rsidRPr="00132C1E">
        <w:t xml:space="preserve"> </w:t>
      </w:r>
      <w:r w:rsidRPr="00BE7F52">
        <w:rPr>
          <w:rFonts w:ascii="Symbol" w:eastAsia="Symbol" w:hAnsi="Symbol" w:cs="Symbol"/>
        </w:rPr>
        <w:t></w:t>
      </w:r>
      <w:r w:rsidRPr="00132C1E">
        <w:t xml:space="preserve"> 0,2, the second-order effects may approximately be taken into account by multiplying the relevant seismic action effects by a factor equal to 1/ (1 </w:t>
      </w:r>
      <w:r w:rsidR="003329F2">
        <w:t>–</w:t>
      </w:r>
      <w:r w:rsidRPr="00132C1E">
        <w:t xml:space="preserve"> </w:t>
      </w:r>
      <w:r w:rsidRPr="00BE7F52">
        <w:rPr>
          <w:rFonts w:ascii="Symbol" w:eastAsia="Symbol" w:hAnsi="Symbol" w:cs="Symbol"/>
          <w:i/>
        </w:rPr>
        <w:t></w:t>
      </w:r>
      <w:r w:rsidRPr="00132C1E">
        <w:t>).</w:t>
      </w:r>
    </w:p>
    <w:p w14:paraId="30C4482E" w14:textId="41868E05" w:rsidR="00707403" w:rsidRPr="00132C1E" w:rsidRDefault="00707403" w:rsidP="0080187E">
      <w:pPr>
        <w:pStyle w:val="Clause"/>
        <w:numPr>
          <w:ilvl w:val="0"/>
          <w:numId w:val="263"/>
        </w:numPr>
      </w:pPr>
      <w:r w:rsidRPr="00132C1E">
        <w:t xml:space="preserve">If 0,2 &lt; </w:t>
      </w:r>
      <w:r w:rsidRPr="00BE7F52">
        <w:rPr>
          <w:rFonts w:ascii="Symbol" w:eastAsia="Symbol" w:hAnsi="Symbol" w:cs="Symbol"/>
          <w:i/>
        </w:rPr>
        <w:t></w:t>
      </w:r>
      <w:r w:rsidRPr="00132C1E">
        <w:t xml:space="preserve"> </w:t>
      </w:r>
      <w:r w:rsidRPr="00BE7F52">
        <w:rPr>
          <w:rFonts w:ascii="Symbol" w:eastAsia="Symbol" w:hAnsi="Symbol" w:cs="Symbol"/>
        </w:rPr>
        <w:t></w:t>
      </w:r>
      <w:r w:rsidRPr="00132C1E">
        <w:t xml:space="preserve"> 0,3 at any storey, </w:t>
      </w:r>
      <w:bookmarkStart w:id="908" w:name="_Hlk42854620"/>
      <w:r w:rsidRPr="00132C1E">
        <w:t>the second</w:t>
      </w:r>
      <w:r w:rsidR="003329F2">
        <w:t>-</w:t>
      </w:r>
      <w:r w:rsidRPr="00132C1E">
        <w:t>order effects should be taken into account directly by using an established method of second-order analysis which takes account of geometric non-linearity, i.e. consider the equilibrium conditions on the deformed structure</w:t>
      </w:r>
      <w:bookmarkEnd w:id="908"/>
      <w:r w:rsidRPr="00132C1E">
        <w:t>.</w:t>
      </w:r>
    </w:p>
    <w:p w14:paraId="7511CEB8" w14:textId="77777777" w:rsidR="00707403" w:rsidRPr="00132C1E" w:rsidRDefault="00707403" w:rsidP="0080187E">
      <w:pPr>
        <w:pStyle w:val="Clause"/>
        <w:numPr>
          <w:ilvl w:val="0"/>
          <w:numId w:val="263"/>
        </w:numPr>
      </w:pPr>
      <w:r w:rsidRPr="00132C1E">
        <w:t xml:space="preserve">The value of </w:t>
      </w:r>
      <w:r w:rsidRPr="00BE7F52">
        <w:rPr>
          <w:rFonts w:ascii="Symbol" w:eastAsia="Symbol" w:hAnsi="Symbol" w:cs="Symbol"/>
          <w:i/>
        </w:rPr>
        <w:t></w:t>
      </w:r>
      <w:r w:rsidRPr="00132C1E">
        <w:t xml:space="preserve"> should not exceed 0,3.</w:t>
      </w:r>
    </w:p>
    <w:p w14:paraId="47346A05" w14:textId="12398CB7" w:rsidR="00707403" w:rsidRPr="00132C1E" w:rsidRDefault="00707403" w:rsidP="0080187E">
      <w:pPr>
        <w:pStyle w:val="Clause"/>
        <w:numPr>
          <w:ilvl w:val="0"/>
          <w:numId w:val="263"/>
        </w:numPr>
      </w:pPr>
      <w:r w:rsidRPr="00132C1E">
        <w:t>If the second</w:t>
      </w:r>
      <w:r w:rsidR="003329F2">
        <w:t>-</w:t>
      </w:r>
      <w:r w:rsidRPr="00132C1E">
        <w:t>order effects are taken into account directly by using an established method of second-order analysis</w:t>
      </w:r>
      <w:r w:rsidRPr="003329F2">
        <w:t xml:space="preserve">, (2) and (3) do not apply and </w:t>
      </w:r>
      <w:r w:rsidRPr="003329F2">
        <w:rPr>
          <w:rFonts w:ascii="Symbol" w:eastAsia="Symbol" w:hAnsi="Symbol" w:cs="Symbol"/>
          <w:i/>
          <w:iCs/>
        </w:rPr>
        <w:t></w:t>
      </w:r>
      <w:r w:rsidRPr="003329F2">
        <w:t xml:space="preserve"> calculated with Formula (6.</w:t>
      </w:r>
      <w:r w:rsidR="000345C6">
        <w:t>2</w:t>
      </w:r>
      <w:r w:rsidRPr="003329F2">
        <w:t>) or (6.</w:t>
      </w:r>
      <w:r w:rsidR="000345C6">
        <w:t>3</w:t>
      </w:r>
      <w:r w:rsidRPr="003329F2">
        <w:t>) may be divided by (1+</w:t>
      </w:r>
      <w:r w:rsidRPr="003329F2">
        <w:rPr>
          <w:rFonts w:ascii="Symbol" w:eastAsia="Symbol" w:hAnsi="Symbol" w:cs="Symbol"/>
          <w:i/>
          <w:iCs/>
        </w:rPr>
        <w:t></w:t>
      </w:r>
      <w:r w:rsidRPr="003329F2">
        <w:t>) in the verification of (4).</w:t>
      </w:r>
    </w:p>
    <w:p w14:paraId="40D4215A" w14:textId="014C913A" w:rsidR="00707403" w:rsidRPr="00132C1E" w:rsidRDefault="00707403" w:rsidP="00707403">
      <w:pPr>
        <w:pStyle w:val="Heading3"/>
      </w:pPr>
      <w:bookmarkStart w:id="909" w:name="_Toc16927642"/>
      <w:bookmarkStart w:id="910" w:name="_Toc50150295"/>
      <w:bookmarkStart w:id="911" w:name="_Toc70886726"/>
      <w:bookmarkStart w:id="912" w:name="_Toc108342229"/>
      <w:bookmarkStart w:id="913" w:name="_Toc134197816"/>
      <w:r w:rsidRPr="00132C1E">
        <w:t>Limitation of interstorey drift</w:t>
      </w:r>
      <w:bookmarkEnd w:id="909"/>
      <w:bookmarkEnd w:id="910"/>
      <w:bookmarkEnd w:id="911"/>
      <w:bookmarkEnd w:id="912"/>
      <w:bookmarkEnd w:id="913"/>
    </w:p>
    <w:p w14:paraId="251043E0" w14:textId="61C1B561" w:rsidR="00707403" w:rsidRPr="00132C1E" w:rsidRDefault="00707403" w:rsidP="0080187E">
      <w:pPr>
        <w:pStyle w:val="Clause"/>
        <w:numPr>
          <w:ilvl w:val="0"/>
          <w:numId w:val="264"/>
        </w:numPr>
      </w:pPr>
      <w:r w:rsidRPr="00132C1E">
        <w:t>Interstorey drift should be limited at any storey of the building by complying with the condition given by Formula (6.</w:t>
      </w:r>
      <w:r w:rsidR="000345C6">
        <w:t>4</w:t>
      </w:r>
      <w:r w:rsidRPr="00132C1E">
        <w:t>).</w:t>
      </w:r>
    </w:p>
    <w:p w14:paraId="379B4029" w14:textId="566C6268" w:rsidR="00707403" w:rsidRDefault="009B5CEC" w:rsidP="00707403">
      <w:pPr>
        <w:pStyle w:val="Formula"/>
        <w:spacing w:before="240"/>
      </w:pPr>
      <m:oMath>
        <m:sSub>
          <m:sSubPr>
            <m:ctrlPr>
              <w:rPr>
                <w:rFonts w:ascii="Cambria Math" w:hAnsi="Cambria Math"/>
              </w:rPr>
            </m:ctrlPr>
          </m:sSubPr>
          <m:e>
            <m:r>
              <w:rPr>
                <w:rFonts w:ascii="Cambria Math" w:hAnsi="Cambria Math"/>
              </w:rPr>
              <m:t>d</m:t>
            </m:r>
          </m:e>
          <m:sub>
            <m:r>
              <m:rPr>
                <m:sty m:val="p"/>
              </m:rPr>
              <w:rPr>
                <w:rFonts w:ascii="Cambria Math" w:hAnsi="Cambria Math"/>
              </w:rPr>
              <m:t>r,SD</m:t>
            </m:r>
          </m:sub>
        </m:sSub>
        <m:r>
          <w:rPr>
            <w:rFonts w:ascii="Cambria Math" w:hAnsi="Cambria Math"/>
          </w:rPr>
          <m:t xml:space="preserve"> ≤</m:t>
        </m:r>
        <m:sSub>
          <m:sSubPr>
            <m:ctrlPr>
              <w:rPr>
                <w:rFonts w:ascii="Cambria Math" w:hAnsi="Cambria Math"/>
              </w:rPr>
            </m:ctrlPr>
          </m:sSubPr>
          <m:e>
            <m:r>
              <w:rPr>
                <w:rFonts w:ascii="Cambria Math" w:hAnsi="Cambria Math"/>
              </w:rPr>
              <m:t>λ</m:t>
            </m:r>
          </m:e>
          <m:sub>
            <m:r>
              <m:rPr>
                <m:sty m:val="p"/>
              </m:rPr>
              <w:rPr>
                <w:rFonts w:ascii="Cambria Math" w:hAnsi="Cambria Math"/>
              </w:rPr>
              <m:t>s</m:t>
            </m:r>
          </m:sub>
        </m:sSub>
        <m:sSub>
          <m:sSubPr>
            <m:ctrlPr>
              <w:rPr>
                <w:rFonts w:ascii="Cambria Math" w:hAnsi="Cambria Math"/>
              </w:rPr>
            </m:ctrlPr>
          </m:sSubPr>
          <m:e>
            <m:r>
              <w:rPr>
                <w:rFonts w:ascii="Cambria Math" w:hAnsi="Cambria Math"/>
              </w:rPr>
              <m:t>h</m:t>
            </m:r>
          </m:e>
          <m:sub>
            <m:r>
              <m:rPr>
                <m:sty m:val="p"/>
              </m:rPr>
              <w:rPr>
                <w:rFonts w:ascii="Cambria Math" w:hAnsi="Cambria Math"/>
              </w:rPr>
              <m:t>s</m:t>
            </m:r>
          </m:sub>
        </m:sSub>
      </m:oMath>
      <w:r w:rsidR="00707403" w:rsidRPr="00132C1E">
        <w:t xml:space="preserve"> </w:t>
      </w:r>
      <w:r w:rsidR="00707403" w:rsidRPr="00870D59">
        <w:tab/>
        <w:t>(</w:t>
      </w:r>
      <w:r w:rsidR="00707403">
        <w:t>6.</w:t>
      </w:r>
      <w:r w:rsidR="000345C6">
        <w:t>4</w:t>
      </w:r>
      <w:r w:rsidR="00707403" w:rsidRPr="00870D59">
        <w:t>)</w:t>
      </w:r>
    </w:p>
    <w:p w14:paraId="743AD04C" w14:textId="13F1F748" w:rsidR="003F756F" w:rsidRPr="00870D59" w:rsidRDefault="003F756F" w:rsidP="003F756F">
      <w:pPr>
        <w:pStyle w:val="Clause"/>
        <w:numPr>
          <w:ilvl w:val="0"/>
          <w:numId w:val="0"/>
        </w:numPr>
      </w:pPr>
      <w:r>
        <w:t>w</w:t>
      </w:r>
      <w:r w:rsidRPr="00870D59">
        <w:t>here</w:t>
      </w:r>
    </w:p>
    <w:tbl>
      <w:tblPr>
        <w:tblW w:w="0" w:type="auto"/>
        <w:tblInd w:w="346" w:type="dxa"/>
        <w:tblLook w:val="04A0" w:firstRow="1" w:lastRow="0" w:firstColumn="1" w:lastColumn="0" w:noHBand="0" w:noVBand="1"/>
      </w:tblPr>
      <w:tblGrid>
        <w:gridCol w:w="1275"/>
        <w:gridCol w:w="7938"/>
      </w:tblGrid>
      <w:tr w:rsidR="00707403" w:rsidRPr="005B0CDD" w14:paraId="10065137" w14:textId="77777777" w:rsidTr="00E7259E">
        <w:tc>
          <w:tcPr>
            <w:tcW w:w="1275" w:type="dxa"/>
          </w:tcPr>
          <w:p w14:paraId="59F93345" w14:textId="45EDFE17" w:rsidR="00707403" w:rsidRPr="005B0CDD" w:rsidRDefault="00707403" w:rsidP="002061E5">
            <w:pPr>
              <w:pStyle w:val="Tablebody"/>
              <w:rPr>
                <w:rFonts w:asciiTheme="majorHAnsi" w:hAnsiTheme="majorHAnsi"/>
              </w:rPr>
            </w:pPr>
            <w:r w:rsidRPr="00D1484A">
              <w:rPr>
                <w:i/>
              </w:rPr>
              <w:t>d</w:t>
            </w:r>
            <w:r w:rsidRPr="007E6F67">
              <w:rPr>
                <w:vertAlign w:val="subscript"/>
              </w:rPr>
              <w:t>r,SD</w:t>
            </w:r>
            <w:r w:rsidRPr="007E6F67">
              <w:t xml:space="preserve"> and </w:t>
            </w:r>
            <w:r w:rsidRPr="007E6F67">
              <w:rPr>
                <w:i/>
              </w:rPr>
              <w:t>h</w:t>
            </w:r>
            <w:r w:rsidRPr="007E6F67">
              <w:rPr>
                <w:iCs/>
                <w:vertAlign w:val="subscript"/>
              </w:rPr>
              <w:t>s</w:t>
            </w:r>
          </w:p>
        </w:tc>
        <w:tc>
          <w:tcPr>
            <w:tcW w:w="7938" w:type="dxa"/>
          </w:tcPr>
          <w:p w14:paraId="4830B7C1" w14:textId="33871669" w:rsidR="00707403" w:rsidRPr="008A19D8" w:rsidRDefault="00707403" w:rsidP="002061E5">
            <w:pPr>
              <w:pStyle w:val="Tablebody"/>
              <w:rPr>
                <w:rFonts w:asciiTheme="majorHAnsi" w:hAnsiTheme="majorHAnsi"/>
              </w:rPr>
            </w:pPr>
            <w:r w:rsidRPr="008A19D8">
              <w:t>are defined in 6.2.4(1);</w:t>
            </w:r>
          </w:p>
        </w:tc>
      </w:tr>
      <w:tr w:rsidR="00707403" w:rsidRPr="005B0CDD" w14:paraId="4DD71C5E" w14:textId="77777777" w:rsidTr="00E7259E">
        <w:tc>
          <w:tcPr>
            <w:tcW w:w="1275" w:type="dxa"/>
          </w:tcPr>
          <w:p w14:paraId="5D66663F" w14:textId="3DEAD07A" w:rsidR="00707403" w:rsidRPr="00D1484A" w:rsidRDefault="00707403" w:rsidP="002061E5">
            <w:pPr>
              <w:pStyle w:val="Tablebody"/>
              <w:rPr>
                <w:rFonts w:ascii="Symbol" w:eastAsia="Symbol" w:hAnsi="Symbol" w:cs="Symbol"/>
                <w:i/>
              </w:rPr>
            </w:pPr>
            <w:r w:rsidRPr="00132C1E">
              <w:rPr>
                <w:rFonts w:ascii="Cambria Math" w:hAnsi="Cambria Math"/>
                <w:i/>
                <w:iCs/>
              </w:rPr>
              <w:t>λ</w:t>
            </w:r>
            <w:r w:rsidRPr="00132C1E">
              <w:rPr>
                <w:rFonts w:ascii="Cambria Math" w:hAnsi="Cambria Math"/>
                <w:vertAlign w:val="subscript"/>
              </w:rPr>
              <w:t>s</w:t>
            </w:r>
          </w:p>
        </w:tc>
        <w:tc>
          <w:tcPr>
            <w:tcW w:w="7938" w:type="dxa"/>
          </w:tcPr>
          <w:p w14:paraId="3C6D72BA" w14:textId="6E858032" w:rsidR="00707403" w:rsidRPr="008A19D8" w:rsidRDefault="00707403" w:rsidP="002061E5">
            <w:pPr>
              <w:pStyle w:val="Tablebody"/>
            </w:pPr>
            <w:r w:rsidRPr="008A19D8">
              <w:t>is a coefficient reflecting the drift</w:t>
            </w:r>
            <w:r w:rsidR="008A19D8">
              <w:t xml:space="preserve"> limit</w:t>
            </w:r>
            <w:r w:rsidRPr="008A19D8">
              <w:t>, given in 10.4.4, 11.6.4, 12.6.4, 13.6.2 and 15.6.3 for the different structural types.</w:t>
            </w:r>
          </w:p>
        </w:tc>
      </w:tr>
    </w:tbl>
    <w:p w14:paraId="478C8863" w14:textId="51BA9785" w:rsidR="00707403" w:rsidRPr="00132C1E" w:rsidRDefault="00707403" w:rsidP="00707403">
      <w:pPr>
        <w:pStyle w:val="Notetext"/>
      </w:pPr>
      <w:r w:rsidRPr="00132C1E">
        <w:t>NOTE</w:t>
      </w:r>
      <w:r w:rsidRPr="00132C1E">
        <w:tab/>
        <w:t>Drift limitation at SD applies to all ductility classes and all design approach</w:t>
      </w:r>
      <w:r w:rsidR="008A19D8">
        <w:t>es</w:t>
      </w:r>
      <w:r w:rsidRPr="00132C1E">
        <w:t>.</w:t>
      </w:r>
    </w:p>
    <w:p w14:paraId="755924FD" w14:textId="77777777" w:rsidR="00707403" w:rsidRPr="00132C1E" w:rsidRDefault="00707403" w:rsidP="00707403">
      <w:pPr>
        <w:pStyle w:val="Heading3"/>
      </w:pPr>
      <w:bookmarkStart w:id="914" w:name="_Toc16927643"/>
      <w:bookmarkStart w:id="915" w:name="_Toc50150296"/>
      <w:bookmarkStart w:id="916" w:name="_Toc70886727"/>
      <w:bookmarkStart w:id="917" w:name="_Toc108342230"/>
      <w:bookmarkStart w:id="918" w:name="_Toc134197817"/>
      <w:r w:rsidRPr="00132C1E">
        <w:t>Capacity design in DC2</w:t>
      </w:r>
      <w:bookmarkEnd w:id="914"/>
      <w:bookmarkEnd w:id="915"/>
      <w:bookmarkEnd w:id="916"/>
      <w:bookmarkEnd w:id="917"/>
      <w:bookmarkEnd w:id="918"/>
    </w:p>
    <w:p w14:paraId="77ECF4BE" w14:textId="51FE0842" w:rsidR="00707403" w:rsidRPr="00132C1E" w:rsidRDefault="00707403" w:rsidP="0080187E">
      <w:pPr>
        <w:pStyle w:val="Clause"/>
        <w:numPr>
          <w:ilvl w:val="0"/>
          <w:numId w:val="265"/>
        </w:numPr>
      </w:pPr>
      <w:r w:rsidRPr="00132C1E">
        <w:t>Specific material</w:t>
      </w:r>
      <w:r w:rsidR="003D60D7">
        <w:t>-</w:t>
      </w:r>
      <w:r w:rsidRPr="00132C1E">
        <w:t xml:space="preserve">related provisions </w:t>
      </w:r>
      <w:r w:rsidRPr="003D60D7">
        <w:t>defined in</w:t>
      </w:r>
      <w:r w:rsidR="00E7259E">
        <w:t xml:space="preserve"> Clauses</w:t>
      </w:r>
      <w:r w:rsidRPr="003D60D7">
        <w:t xml:space="preserve"> 10 to 15 should</w:t>
      </w:r>
      <w:r w:rsidRPr="00132C1E">
        <w:t xml:space="preserve"> be satisfied.</w:t>
      </w:r>
    </w:p>
    <w:p w14:paraId="58762085" w14:textId="7011D780" w:rsidR="00707403" w:rsidRPr="009C5A9E" w:rsidRDefault="00707403" w:rsidP="0080187E">
      <w:pPr>
        <w:pStyle w:val="Clause"/>
        <w:numPr>
          <w:ilvl w:val="0"/>
          <w:numId w:val="265"/>
        </w:numPr>
      </w:pPr>
      <w:r w:rsidRPr="009C5A9E">
        <w:t>Structures with dissipative zones should be designed such that yielding</w:t>
      </w:r>
      <w:r w:rsidR="003D60D7">
        <w:t>,</w:t>
      </w:r>
      <w:r w:rsidRPr="009C5A9E">
        <w:t xml:space="preserve"> cracking</w:t>
      </w:r>
      <w:r w:rsidR="003D60D7">
        <w:t>,</w:t>
      </w:r>
      <w:r w:rsidRPr="009C5A9E">
        <w:t xml:space="preserve"> local buckling or other phenomena due to hysteretic behaviour do not affect the overall stability of the structure</w:t>
      </w:r>
      <w:r w:rsidR="006D12E1">
        <w:t>.</w:t>
      </w:r>
    </w:p>
    <w:p w14:paraId="46CA8620" w14:textId="433FBB79" w:rsidR="00707403" w:rsidRPr="00132C1E" w:rsidRDefault="00707403" w:rsidP="0080187E">
      <w:pPr>
        <w:pStyle w:val="Clause"/>
        <w:numPr>
          <w:ilvl w:val="0"/>
          <w:numId w:val="265"/>
        </w:numPr>
      </w:pPr>
      <w:r w:rsidRPr="00132C1E">
        <w:t xml:space="preserve">Capacity design provisions </w:t>
      </w:r>
      <w:r w:rsidRPr="003D60D7">
        <w:t xml:space="preserve">defined in </w:t>
      </w:r>
      <w:r w:rsidR="00E7259E">
        <w:t xml:space="preserve">Clauses </w:t>
      </w:r>
      <w:r w:rsidRPr="003D60D7">
        <w:t>10 to 15 should</w:t>
      </w:r>
      <w:r w:rsidRPr="00132C1E">
        <w:t xml:space="preserve"> be satisfied.</w:t>
      </w:r>
    </w:p>
    <w:p w14:paraId="62886479" w14:textId="0EA8D034" w:rsidR="00707403" w:rsidRPr="00707403" w:rsidRDefault="00707403" w:rsidP="00707403">
      <w:pPr>
        <w:pStyle w:val="Notetext"/>
      </w:pPr>
      <w:r w:rsidRPr="00707403">
        <w:t>NOTE</w:t>
      </w:r>
      <w:r w:rsidRPr="00707403">
        <w:tab/>
        <w:t xml:space="preserve">These provisions are meant to avoid brittle failure modes and </w:t>
      </w:r>
      <w:r w:rsidR="003D60D7">
        <w:t xml:space="preserve">to </w:t>
      </w:r>
      <w:r w:rsidRPr="00707403">
        <w:t>obtain the hierarchy of resistance of the various structural components within specific zones</w:t>
      </w:r>
      <w:r w:rsidR="003D60D7">
        <w:t>,</w:t>
      </w:r>
      <w:r w:rsidRPr="00707403">
        <w:t xml:space="preserve"> like the most stressed zones of the structure or the connections between structural members.</w:t>
      </w:r>
    </w:p>
    <w:p w14:paraId="2583508C" w14:textId="7A805ED6" w:rsidR="00707403" w:rsidRPr="00132C1E" w:rsidRDefault="00707403" w:rsidP="0080187E">
      <w:pPr>
        <w:pStyle w:val="Clause"/>
        <w:numPr>
          <w:ilvl w:val="0"/>
          <w:numId w:val="265"/>
        </w:numPr>
      </w:pPr>
      <w:r w:rsidRPr="00132C1E">
        <w:t>Dissipative zones may be in the structural members or in the connections.</w:t>
      </w:r>
    </w:p>
    <w:p w14:paraId="39B5D57D" w14:textId="43067C7C" w:rsidR="00707403" w:rsidRPr="00132C1E" w:rsidRDefault="00707403" w:rsidP="0080187E">
      <w:pPr>
        <w:pStyle w:val="Clause"/>
        <w:numPr>
          <w:ilvl w:val="0"/>
          <w:numId w:val="265"/>
        </w:numPr>
      </w:pPr>
      <w:r w:rsidRPr="00132C1E">
        <w:t>If dissipative zones are in the structural members, the non-dissipative zones and the connections of the dissipative zones to the rest of the structure should have sufficient overstrength to allow the development of cyclic yielding in the dissipative zones.</w:t>
      </w:r>
    </w:p>
    <w:p w14:paraId="0FCBF2F5" w14:textId="0FEFACDA" w:rsidR="00707403" w:rsidRPr="00132C1E" w:rsidRDefault="00707403" w:rsidP="0080187E">
      <w:pPr>
        <w:pStyle w:val="Clause"/>
        <w:numPr>
          <w:ilvl w:val="0"/>
          <w:numId w:val="265"/>
        </w:numPr>
      </w:pPr>
      <w:r w:rsidRPr="00132C1E">
        <w:t>If dissipative zones are in the connections, the connected members should have sufficient overstrength to allow the development of cyclic yielding in the connections.</w:t>
      </w:r>
    </w:p>
    <w:p w14:paraId="1E344C9D" w14:textId="50F736D6" w:rsidR="00707403" w:rsidRPr="00132C1E" w:rsidRDefault="00707403" w:rsidP="0080187E">
      <w:pPr>
        <w:pStyle w:val="Clause"/>
        <w:numPr>
          <w:ilvl w:val="0"/>
          <w:numId w:val="265"/>
        </w:numPr>
      </w:pPr>
      <w:r w:rsidRPr="00132C1E">
        <w:t>In multi-storey buildings, formation of a soft</w:t>
      </w:r>
      <w:r w:rsidR="003D60D7">
        <w:t>-</w:t>
      </w:r>
      <w:r w:rsidRPr="00132C1E">
        <w:t>storey plastic mechanism should be prevented.</w:t>
      </w:r>
    </w:p>
    <w:p w14:paraId="576BF1EF" w14:textId="2B1466FA" w:rsidR="00707403" w:rsidRPr="00707403" w:rsidRDefault="00707403" w:rsidP="00707403">
      <w:pPr>
        <w:pStyle w:val="Notetext"/>
      </w:pPr>
      <w:r w:rsidRPr="00707403">
        <w:t>NOTE 1</w:t>
      </w:r>
      <w:r w:rsidRPr="00707403">
        <w:tab/>
        <w:t xml:space="preserve">Such a mechanism </w:t>
      </w:r>
      <w:r w:rsidR="003D60D7">
        <w:t>can</w:t>
      </w:r>
      <w:r w:rsidRPr="00707403">
        <w:t xml:space="preserve"> entail excessive local ductility demands in the columns of the soft storey.</w:t>
      </w:r>
    </w:p>
    <w:p w14:paraId="632D41ED" w14:textId="3E0BF453" w:rsidR="00707403" w:rsidRPr="00707403" w:rsidRDefault="00707403" w:rsidP="00707403">
      <w:pPr>
        <w:pStyle w:val="Notetext"/>
      </w:pPr>
      <w:r w:rsidRPr="00707403">
        <w:t>NOTE 2</w:t>
      </w:r>
      <w:r w:rsidRPr="00707403">
        <w:tab/>
        <w:t xml:space="preserve">The </w:t>
      </w:r>
      <w:r w:rsidRPr="00707403">
        <w:rPr>
          <w:i/>
        </w:rPr>
        <w:t xml:space="preserve">q </w:t>
      </w:r>
      <w:r w:rsidRPr="00707403">
        <w:t xml:space="preserve">factors given in this standard are valid if and </w:t>
      </w:r>
      <w:r w:rsidRPr="003D60D7">
        <w:t>only if (7) is fulfilled</w:t>
      </w:r>
      <w:r w:rsidRPr="00707403">
        <w:t>.</w:t>
      </w:r>
    </w:p>
    <w:p w14:paraId="5A4714B6" w14:textId="4668D04B" w:rsidR="00707403" w:rsidRPr="00AB5FE8" w:rsidRDefault="00707403" w:rsidP="0080187E">
      <w:pPr>
        <w:pStyle w:val="Clause"/>
        <w:numPr>
          <w:ilvl w:val="0"/>
          <w:numId w:val="265"/>
        </w:numPr>
      </w:pPr>
      <w:r w:rsidRPr="00132C1E">
        <w:t xml:space="preserve">For concrete wall systems, concrete wall-equivalent dual systems with concrete or dual with steel </w:t>
      </w:r>
      <w:r w:rsidRPr="00AB5FE8">
        <w:t xml:space="preserve">structures or dual with composite steel-concrete </w:t>
      </w:r>
      <w:r w:rsidRPr="003D60D7">
        <w:t>structures</w:t>
      </w:r>
      <w:r w:rsidR="003D60D7" w:rsidRPr="003D60D7">
        <w:t>,</w:t>
      </w:r>
      <w:r w:rsidRPr="003D60D7">
        <w:t xml:space="preserve"> (7) may</w:t>
      </w:r>
      <w:r w:rsidRPr="00AB5FE8">
        <w:t xml:space="preserve"> be considered satisfied.</w:t>
      </w:r>
    </w:p>
    <w:p w14:paraId="73F26E5E" w14:textId="4ADB8DF9" w:rsidR="00707403" w:rsidRPr="00AB5FE8" w:rsidRDefault="00707403" w:rsidP="0080187E">
      <w:pPr>
        <w:pStyle w:val="Clause"/>
        <w:numPr>
          <w:ilvl w:val="0"/>
          <w:numId w:val="265"/>
        </w:numPr>
      </w:pPr>
      <w:r w:rsidRPr="00AB5FE8">
        <w:t xml:space="preserve">For </w:t>
      </w:r>
      <w:r w:rsidR="003D60D7">
        <w:t xml:space="preserve">a </w:t>
      </w:r>
      <w:r w:rsidRPr="00AB5FE8">
        <w:t xml:space="preserve">seismic action index </w:t>
      </w:r>
      <w:r w:rsidRPr="003D60D7">
        <w:rPr>
          <w:i/>
          <w:iCs/>
        </w:rPr>
        <w:t>S</w:t>
      </w:r>
      <w:r w:rsidRPr="00BE7F52">
        <w:rPr>
          <w:vertAlign w:val="subscript"/>
        </w:rPr>
        <w:t>δ</w:t>
      </w:r>
      <w:r w:rsidRPr="00AB5FE8">
        <w:t xml:space="preserve"> not greater than the limits for moment</w:t>
      </w:r>
      <w:r w:rsidR="003D60D7">
        <w:t>-</w:t>
      </w:r>
      <w:r w:rsidRPr="00AB5FE8">
        <w:t xml:space="preserve">resisting frames and for moment frame-equivalent dual systems in DC2 given </w:t>
      </w:r>
      <w:r w:rsidRPr="003D60D7">
        <w:t xml:space="preserve">in </w:t>
      </w:r>
      <w:r w:rsidR="00E7259E">
        <w:t xml:space="preserve">Clauses </w:t>
      </w:r>
      <w:r w:rsidRPr="003D60D7">
        <w:t>10 to 15, (7) may be considered satisfied for systems other than in (8) if they satisfy a) and b)</w:t>
      </w:r>
      <w:r w:rsidRPr="00AB5FE8">
        <w:t>:</w:t>
      </w:r>
    </w:p>
    <w:p w14:paraId="36810DB3" w14:textId="0207A9C1" w:rsidR="00707403" w:rsidRPr="00312CB3" w:rsidRDefault="00E7259E" w:rsidP="0080187E">
      <w:pPr>
        <w:pStyle w:val="List2"/>
        <w:numPr>
          <w:ilvl w:val="0"/>
          <w:numId w:val="61"/>
        </w:numPr>
        <w:spacing w:before="0" w:after="240" w:line="230" w:lineRule="atLeast"/>
        <w:contextualSpacing w:val="0"/>
      </w:pPr>
      <w:r>
        <w:t>t</w:t>
      </w:r>
      <w:r w:rsidR="00707403" w:rsidRPr="00312CB3">
        <w:t>hey are regular in elevation;</w:t>
      </w:r>
    </w:p>
    <w:p w14:paraId="0FF7681E" w14:textId="7F683239" w:rsidR="00707403" w:rsidRPr="003D60D7" w:rsidRDefault="00E7259E" w:rsidP="0080187E">
      <w:pPr>
        <w:pStyle w:val="List2"/>
        <w:numPr>
          <w:ilvl w:val="0"/>
          <w:numId w:val="61"/>
        </w:numPr>
        <w:spacing w:before="0" w:after="240" w:line="230" w:lineRule="atLeast"/>
        <w:contextualSpacing w:val="0"/>
      </w:pPr>
      <w:r>
        <w:t>t</w:t>
      </w:r>
      <w:r w:rsidR="00707403" w:rsidRPr="00312CB3">
        <w:t xml:space="preserve">hey comply with the interstorey drift limitations given </w:t>
      </w:r>
      <w:r w:rsidR="00707403" w:rsidRPr="003D60D7">
        <w:t>in 6.2.5(1).</w:t>
      </w:r>
    </w:p>
    <w:p w14:paraId="21620371" w14:textId="5A45318E" w:rsidR="00707403" w:rsidRPr="00AB5FE8" w:rsidRDefault="00707403" w:rsidP="0080187E">
      <w:pPr>
        <w:pStyle w:val="Clause"/>
        <w:numPr>
          <w:ilvl w:val="0"/>
          <w:numId w:val="265"/>
        </w:numPr>
      </w:pPr>
      <w:r w:rsidRPr="00AB5FE8">
        <w:t xml:space="preserve">In case a force-based approach is </w:t>
      </w:r>
      <w:r w:rsidRPr="003D60D7">
        <w:t>used, (7) may be</w:t>
      </w:r>
      <w:r w:rsidRPr="00AB5FE8">
        <w:t xml:space="preserve"> considered satisfied</w:t>
      </w:r>
      <w:r w:rsidR="0096731C">
        <w:t xml:space="preserve"> for </w:t>
      </w:r>
      <w:r w:rsidRPr="00AB5FE8">
        <w:t>moment</w:t>
      </w:r>
      <w:r w:rsidR="00D1289D">
        <w:t>-</w:t>
      </w:r>
      <w:r w:rsidRPr="00AB5FE8">
        <w:t>resisting frame systems and moment frame-equivalent dual systems regular in elevation</w:t>
      </w:r>
      <w:r w:rsidR="00D1289D">
        <w:t>,</w:t>
      </w:r>
      <w:r w:rsidRPr="00AB5FE8">
        <w:t xml:space="preserve"> if the condition given by Formula (6.</w:t>
      </w:r>
      <w:r w:rsidR="000345C6">
        <w:t>5</w:t>
      </w:r>
      <w:r w:rsidRPr="00AB5FE8">
        <w:t>) is satisfied in all storeys of the moment resisting frame.</w:t>
      </w:r>
    </w:p>
    <w:p w14:paraId="67B3F6D6" w14:textId="28539FA9" w:rsidR="00707403" w:rsidRPr="00AD3FC6" w:rsidRDefault="00707403" w:rsidP="0080187E">
      <w:pPr>
        <w:pStyle w:val="Clause"/>
        <w:numPr>
          <w:ilvl w:val="0"/>
          <w:numId w:val="265"/>
        </w:numPr>
      </w:pPr>
      <w:r w:rsidRPr="00AB5FE8">
        <w:lastRenderedPageBreak/>
        <w:t xml:space="preserve">In case a displacement-based approach is </w:t>
      </w:r>
      <w:r w:rsidRPr="00D1289D">
        <w:t>used, (7) may be</w:t>
      </w:r>
      <w:r w:rsidRPr="00AB5FE8">
        <w:t xml:space="preserve"> considered satisfied for moment</w:t>
      </w:r>
      <w:r w:rsidR="00D1289D">
        <w:t>-</w:t>
      </w:r>
      <w:r w:rsidRPr="00AB5FE8">
        <w:t xml:space="preserve">resisting </w:t>
      </w:r>
      <w:r w:rsidRPr="00AD3FC6">
        <w:t xml:space="preserve">frame systems and moment frame-equivalent dual systems, if the plastic rotation demand in the </w:t>
      </w:r>
      <w:r w:rsidR="00D1289D" w:rsidRPr="00AD3FC6">
        <w:t xml:space="preserve">seismic </w:t>
      </w:r>
      <w:r w:rsidRPr="00AD3FC6">
        <w:t xml:space="preserve">design situation nowhere exceeds the corresponding resistance </w:t>
      </w:r>
      <m:oMath>
        <m:sSubSup>
          <m:sSubSupPr>
            <m:ctrlPr>
              <w:rPr>
                <w:rFonts w:ascii="Cambria Math" w:hAnsi="Cambria Math"/>
                <w:i/>
              </w:rPr>
            </m:ctrlPr>
          </m:sSubSupPr>
          <m:e>
            <m:r>
              <w:rPr>
                <w:rFonts w:ascii="Cambria Math" w:hAnsi="Cambria Math"/>
              </w:rPr>
              <m:t>θ</m:t>
            </m:r>
          </m:e>
          <m:sub>
            <m:r>
              <m:rPr>
                <m:sty m:val="p"/>
              </m:rPr>
              <w:rPr>
                <w:rFonts w:ascii="Cambria Math" w:hAnsi="Cambria Math"/>
              </w:rPr>
              <m:t>u</m:t>
            </m:r>
          </m:sub>
          <m:sup>
            <m:r>
              <m:rPr>
                <m:sty m:val="p"/>
              </m:rPr>
              <w:rPr>
                <w:rFonts w:ascii="Cambria Math" w:hAnsi="Cambria Math"/>
              </w:rPr>
              <m:t>pl</m:t>
            </m:r>
          </m:sup>
        </m:sSubSup>
      </m:oMath>
      <w:r w:rsidRPr="00AD3FC6">
        <w:t>.</w:t>
      </w:r>
    </w:p>
    <w:p w14:paraId="4F526B51" w14:textId="4EC070F4" w:rsidR="00AB5FE8" w:rsidRPr="00AD3FC6" w:rsidRDefault="00AB5FE8" w:rsidP="00AB5FE8">
      <w:pPr>
        <w:pStyle w:val="Heading3"/>
      </w:pPr>
      <w:bookmarkStart w:id="919" w:name="_Toc16927644"/>
      <w:bookmarkStart w:id="920" w:name="_Toc50150297"/>
      <w:bookmarkStart w:id="921" w:name="_Toc70886728"/>
      <w:bookmarkStart w:id="922" w:name="_Toc108342231"/>
      <w:bookmarkStart w:id="923" w:name="_Toc134197818"/>
      <w:r w:rsidRPr="00AD3FC6">
        <w:t>Capacity design in DC3</w:t>
      </w:r>
      <w:bookmarkEnd w:id="919"/>
      <w:bookmarkEnd w:id="920"/>
      <w:bookmarkEnd w:id="921"/>
      <w:bookmarkEnd w:id="922"/>
      <w:bookmarkEnd w:id="923"/>
    </w:p>
    <w:p w14:paraId="27EBED0D" w14:textId="3322F321" w:rsidR="00AB5FE8" w:rsidRPr="00AD3FC6" w:rsidRDefault="00AB5FE8" w:rsidP="0080187E">
      <w:pPr>
        <w:pStyle w:val="Clause"/>
        <w:numPr>
          <w:ilvl w:val="0"/>
          <w:numId w:val="266"/>
        </w:numPr>
        <w:rPr>
          <w:bCs/>
        </w:rPr>
      </w:pPr>
      <w:bookmarkStart w:id="924" w:name="_Hlk23320282"/>
      <w:r w:rsidRPr="00AD3FC6">
        <w:rPr>
          <w:bCs/>
        </w:rPr>
        <w:t>6.2.6(1) to (8) should be applied.</w:t>
      </w:r>
      <w:bookmarkEnd w:id="924"/>
    </w:p>
    <w:p w14:paraId="20F1D168" w14:textId="43D5D92E" w:rsidR="00AB5FE8" w:rsidRPr="00595918" w:rsidRDefault="00AB5FE8" w:rsidP="0080187E">
      <w:pPr>
        <w:pStyle w:val="Clause"/>
        <w:numPr>
          <w:ilvl w:val="0"/>
          <w:numId w:val="266"/>
        </w:numPr>
        <w:rPr>
          <w:bCs/>
        </w:rPr>
      </w:pPr>
      <w:bookmarkStart w:id="925" w:name="_Hlk107754350"/>
      <w:r w:rsidRPr="00AD3FC6">
        <w:rPr>
          <w:bCs/>
        </w:rPr>
        <w:t>Structures with dissipative zones should be</w:t>
      </w:r>
      <w:r w:rsidRPr="00595918">
        <w:rPr>
          <w:bCs/>
        </w:rPr>
        <w:t xml:space="preserve"> designed such that yielding or cracking or local buckling or other phenomena due to hysteretic behaviour do not affect the overall stability of the structure</w:t>
      </w:r>
      <w:bookmarkEnd w:id="925"/>
      <w:r w:rsidRPr="00595918">
        <w:rPr>
          <w:bCs/>
        </w:rPr>
        <w:t>.</w:t>
      </w:r>
    </w:p>
    <w:p w14:paraId="77FB59C5" w14:textId="432CC098" w:rsidR="00AB5FE8" w:rsidRPr="00595918" w:rsidRDefault="00AB5FE8" w:rsidP="0080187E">
      <w:pPr>
        <w:pStyle w:val="Clause"/>
        <w:numPr>
          <w:ilvl w:val="0"/>
          <w:numId w:val="266"/>
        </w:numPr>
        <w:rPr>
          <w:bCs/>
        </w:rPr>
      </w:pPr>
      <w:r w:rsidRPr="00595918">
        <w:rPr>
          <w:bCs/>
        </w:rPr>
        <w:t xml:space="preserve">Unless otherwise specified in </w:t>
      </w:r>
      <w:r w:rsidR="00E7259E">
        <w:rPr>
          <w:bCs/>
        </w:rPr>
        <w:t xml:space="preserve">Clauses </w:t>
      </w:r>
      <w:r w:rsidRPr="00595918">
        <w:rPr>
          <w:bCs/>
        </w:rPr>
        <w:t xml:space="preserve">10 to 15, to satisfy 6.2.6(7) in moment resisting frame buildings, including moment resisting frame equivalent ones </w:t>
      </w:r>
      <w:r w:rsidRPr="00595918">
        <w:rPr>
          <w:bCs/>
          <w:iCs/>
        </w:rPr>
        <w:t>as defined in</w:t>
      </w:r>
      <w:r w:rsidRPr="00595918">
        <w:rPr>
          <w:bCs/>
        </w:rPr>
        <w:t xml:space="preserve"> 10.1.2(1), with two or more storeys, the condition given by Formula (6.</w:t>
      </w:r>
      <w:r w:rsidR="000345C6">
        <w:rPr>
          <w:bCs/>
        </w:rPr>
        <w:t>5</w:t>
      </w:r>
      <w:r w:rsidRPr="00595918">
        <w:rPr>
          <w:bCs/>
        </w:rPr>
        <w:t>) should be satisfied at all joints of primary or secondary seismic beams with primary seismic columns.</w:t>
      </w:r>
    </w:p>
    <w:p w14:paraId="31999CE9" w14:textId="78B3D389" w:rsidR="00AB5FE8" w:rsidRPr="00595918" w:rsidRDefault="009B5CEC" w:rsidP="00AB5FE8">
      <w:pPr>
        <w:pStyle w:val="Formula"/>
        <w:spacing w:before="240"/>
        <w:rPr>
          <w:bCs/>
        </w:rPr>
      </w:pPr>
      <m:oMath>
        <m:nary>
          <m:naryPr>
            <m:chr m:val="∑"/>
            <m:limLoc m:val="undOvr"/>
            <m:subHide m:val="1"/>
            <m:supHide m:val="1"/>
            <m:ctrlPr>
              <w:rPr>
                <w:rFonts w:ascii="Cambria Math" w:hAnsi="Cambria Math"/>
                <w:bCs/>
              </w:rPr>
            </m:ctrlPr>
          </m:naryPr>
          <m:sub/>
          <m:sup/>
          <m:e>
            <m:sSub>
              <m:sSubPr>
                <m:ctrlPr>
                  <w:rPr>
                    <w:rFonts w:ascii="Cambria Math" w:hAnsi="Cambria Math"/>
                    <w:bCs/>
                  </w:rPr>
                </m:ctrlPr>
              </m:sSubPr>
              <m:e>
                <m:r>
                  <w:rPr>
                    <w:rFonts w:ascii="Cambria Math" w:hAnsi="Cambria Math"/>
                  </w:rPr>
                  <m:t>M</m:t>
                </m:r>
              </m:e>
              <m:sub>
                <m:r>
                  <m:rPr>
                    <m:sty m:val="p"/>
                  </m:rPr>
                  <w:rPr>
                    <w:rFonts w:ascii="Cambria Math" w:hAnsi="Cambria Math"/>
                  </w:rPr>
                  <m:t>Rc</m:t>
                </m:r>
              </m:sub>
            </m:sSub>
            <m:r>
              <w:rPr>
                <w:rFonts w:ascii="Cambria Math" w:hAnsi="Cambria Math"/>
              </w:rPr>
              <m:t>≥1,3</m:t>
            </m:r>
            <m:nary>
              <m:naryPr>
                <m:chr m:val="∑"/>
                <m:limLoc m:val="undOvr"/>
                <m:subHide m:val="1"/>
                <m:supHide m:val="1"/>
                <m:ctrlPr>
                  <w:rPr>
                    <w:rFonts w:ascii="Cambria Math" w:hAnsi="Cambria Math"/>
                    <w:bCs/>
                  </w:rPr>
                </m:ctrlPr>
              </m:naryPr>
              <m:sub/>
              <m:sup/>
              <m:e>
                <m:sSub>
                  <m:sSubPr>
                    <m:ctrlPr>
                      <w:rPr>
                        <w:rFonts w:ascii="Cambria Math" w:hAnsi="Cambria Math"/>
                        <w:bCs/>
                      </w:rPr>
                    </m:ctrlPr>
                  </m:sSubPr>
                  <m:e>
                    <m:r>
                      <w:rPr>
                        <w:rFonts w:ascii="Cambria Math" w:hAnsi="Cambria Math"/>
                      </w:rPr>
                      <m:t>M</m:t>
                    </m:r>
                  </m:e>
                  <m:sub>
                    <m:r>
                      <m:rPr>
                        <m:sty m:val="p"/>
                      </m:rPr>
                      <w:rPr>
                        <w:rFonts w:ascii="Cambria Math" w:hAnsi="Cambria Math"/>
                      </w:rPr>
                      <m:t>Rb</m:t>
                    </m:r>
                  </m:sub>
                </m:sSub>
              </m:e>
            </m:nary>
          </m:e>
        </m:nary>
      </m:oMath>
      <w:r w:rsidR="00AB5FE8" w:rsidRPr="00595918">
        <w:rPr>
          <w:bCs/>
        </w:rPr>
        <w:tab/>
        <w:t>(6.</w:t>
      </w:r>
      <w:r w:rsidR="000345C6">
        <w:rPr>
          <w:bCs/>
        </w:rPr>
        <w:t>5</w:t>
      </w:r>
      <w:r w:rsidR="00AB5FE8" w:rsidRPr="00595918">
        <w:rPr>
          <w:bCs/>
        </w:rPr>
        <w:t>)</w:t>
      </w:r>
    </w:p>
    <w:p w14:paraId="190F7781" w14:textId="44A83FFA" w:rsidR="003F756F" w:rsidRPr="00595918" w:rsidRDefault="003F756F" w:rsidP="003F756F">
      <w:pPr>
        <w:pStyle w:val="Clause"/>
        <w:numPr>
          <w:ilvl w:val="0"/>
          <w:numId w:val="0"/>
        </w:numPr>
        <w:rPr>
          <w:bCs/>
        </w:rPr>
      </w:pPr>
      <w:r w:rsidRPr="00595918">
        <w:rPr>
          <w:bCs/>
        </w:rPr>
        <w:t>where</w:t>
      </w:r>
    </w:p>
    <w:tbl>
      <w:tblPr>
        <w:tblW w:w="0" w:type="auto"/>
        <w:tblInd w:w="346" w:type="dxa"/>
        <w:tblLook w:val="04A0" w:firstRow="1" w:lastRow="0" w:firstColumn="1" w:lastColumn="0" w:noHBand="0" w:noVBand="1"/>
      </w:tblPr>
      <w:tblGrid>
        <w:gridCol w:w="1275"/>
        <w:gridCol w:w="7938"/>
      </w:tblGrid>
      <w:tr w:rsidR="00AB5FE8" w:rsidRPr="00595918" w14:paraId="0B76FF6F" w14:textId="77777777" w:rsidTr="00E7259E">
        <w:tc>
          <w:tcPr>
            <w:tcW w:w="1275" w:type="dxa"/>
          </w:tcPr>
          <w:p w14:paraId="6D25519C" w14:textId="0C4F2E5B" w:rsidR="00AB5FE8" w:rsidRPr="00595918" w:rsidRDefault="00AB5FE8" w:rsidP="002061E5">
            <w:pPr>
              <w:pStyle w:val="Tablebody"/>
              <w:rPr>
                <w:rFonts w:asciiTheme="majorHAnsi" w:hAnsiTheme="majorHAnsi"/>
                <w:bCs/>
              </w:rPr>
            </w:pPr>
            <w:r w:rsidRPr="00595918">
              <w:rPr>
                <w:rFonts w:ascii="Symbol" w:eastAsia="Symbol" w:hAnsi="Symbol" w:cs="Symbol"/>
                <w:bCs/>
              </w:rPr>
              <w:t></w:t>
            </w:r>
            <w:r w:rsidRPr="00595918">
              <w:rPr>
                <w:bCs/>
                <w:i/>
                <w:iCs/>
              </w:rPr>
              <w:t>M</w:t>
            </w:r>
            <w:r w:rsidRPr="00595918">
              <w:rPr>
                <w:bCs/>
                <w:vertAlign w:val="subscript"/>
              </w:rPr>
              <w:t>Rc</w:t>
            </w:r>
          </w:p>
        </w:tc>
        <w:tc>
          <w:tcPr>
            <w:tcW w:w="7938" w:type="dxa"/>
          </w:tcPr>
          <w:p w14:paraId="4BB8CC00" w14:textId="0EB27D33" w:rsidR="00AB5FE8" w:rsidRPr="00595918" w:rsidRDefault="00AB5FE8" w:rsidP="002061E5">
            <w:pPr>
              <w:pStyle w:val="Tablebody"/>
              <w:rPr>
                <w:rFonts w:asciiTheme="majorHAnsi" w:hAnsiTheme="majorHAnsi"/>
                <w:bCs/>
              </w:rPr>
            </w:pPr>
            <w:r w:rsidRPr="00595918">
              <w:rPr>
                <w:bCs/>
              </w:rPr>
              <w:t>is the sum of the design absolute values of the moments of resistance of the columns framing the joint. The minimum absolute value of column moments of resistance within the range of column axial forces produced by the seismic design situation should be used in Formula (6.</w:t>
            </w:r>
            <w:r w:rsidR="000345C6">
              <w:rPr>
                <w:bCs/>
              </w:rPr>
              <w:t>5</w:t>
            </w:r>
            <w:r w:rsidRPr="00595918">
              <w:rPr>
                <w:bCs/>
              </w:rPr>
              <w:t>);</w:t>
            </w:r>
          </w:p>
        </w:tc>
      </w:tr>
      <w:tr w:rsidR="00AB5FE8" w:rsidRPr="00595918" w14:paraId="59ED1AD4" w14:textId="77777777" w:rsidTr="00E7259E">
        <w:tc>
          <w:tcPr>
            <w:tcW w:w="1275" w:type="dxa"/>
          </w:tcPr>
          <w:p w14:paraId="6F31FA39" w14:textId="16BCAEDC" w:rsidR="00AB5FE8" w:rsidRPr="00595918" w:rsidRDefault="00AB5FE8" w:rsidP="002061E5">
            <w:pPr>
              <w:pStyle w:val="Tablebody"/>
              <w:rPr>
                <w:rFonts w:ascii="Symbol" w:eastAsia="Symbol" w:hAnsi="Symbol" w:cs="Symbol"/>
                <w:bCs/>
                <w:i/>
              </w:rPr>
            </w:pPr>
            <w:r w:rsidRPr="00595918">
              <w:rPr>
                <w:rFonts w:ascii="Symbol" w:eastAsia="Symbol" w:hAnsi="Symbol" w:cs="Symbol"/>
                <w:bCs/>
              </w:rPr>
              <w:t></w:t>
            </w:r>
            <w:r w:rsidRPr="00595918">
              <w:rPr>
                <w:bCs/>
                <w:i/>
                <w:iCs/>
              </w:rPr>
              <w:t>M</w:t>
            </w:r>
            <w:r w:rsidRPr="00595918">
              <w:rPr>
                <w:bCs/>
                <w:vertAlign w:val="subscript"/>
              </w:rPr>
              <w:t>Rb</w:t>
            </w:r>
          </w:p>
        </w:tc>
        <w:tc>
          <w:tcPr>
            <w:tcW w:w="7938" w:type="dxa"/>
          </w:tcPr>
          <w:p w14:paraId="6B593FAF" w14:textId="26C336D5" w:rsidR="00AB5FE8" w:rsidRPr="00595918" w:rsidRDefault="00A550F9" w:rsidP="002061E5">
            <w:pPr>
              <w:pStyle w:val="Tablebody"/>
              <w:rPr>
                <w:bCs/>
              </w:rPr>
            </w:pPr>
            <w:r w:rsidRPr="00A550F9">
              <w:rPr>
                <w:bCs/>
              </w:rPr>
              <w:t>is the sum of the design absolute values of the moments of resistance of the beams framing the joint. When partial strength connections are used, the moments of resistance of these connections are considered in the calculation of</w:t>
            </w:r>
            <w:r>
              <w:rPr>
                <w:bCs/>
              </w:rPr>
              <w:t xml:space="preserve"> </w:t>
            </w:r>
            <w:r w:rsidRPr="00595918">
              <w:rPr>
                <w:rFonts w:ascii="Symbol" w:eastAsia="Symbol" w:hAnsi="Symbol" w:cs="Symbol"/>
                <w:bCs/>
              </w:rPr>
              <w:t></w:t>
            </w:r>
            <w:r w:rsidRPr="00595918">
              <w:rPr>
                <w:bCs/>
                <w:i/>
                <w:iCs/>
              </w:rPr>
              <w:t>M</w:t>
            </w:r>
            <w:r w:rsidRPr="00595918">
              <w:rPr>
                <w:bCs/>
                <w:vertAlign w:val="subscript"/>
              </w:rPr>
              <w:t>Rb</w:t>
            </w:r>
            <w:r w:rsidR="00AB5FE8" w:rsidRPr="00595918">
              <w:rPr>
                <w:bCs/>
              </w:rPr>
              <w:t>.</w:t>
            </w:r>
          </w:p>
        </w:tc>
      </w:tr>
    </w:tbl>
    <w:p w14:paraId="782B1366" w14:textId="07AE1561" w:rsidR="00AB5FE8" w:rsidRPr="00595918" w:rsidRDefault="00AB5FE8" w:rsidP="00AB5FE8">
      <w:pPr>
        <w:pStyle w:val="Notetext"/>
        <w:rPr>
          <w:bCs/>
        </w:rPr>
      </w:pPr>
      <w:r w:rsidRPr="00595918">
        <w:rPr>
          <w:bCs/>
        </w:rPr>
        <w:t>NOTE</w:t>
      </w:r>
      <w:r w:rsidRPr="00595918">
        <w:rPr>
          <w:bCs/>
        </w:rPr>
        <w:tab/>
      </w:r>
      <w:r w:rsidR="00FF29E4" w:rsidRPr="00595918">
        <w:rPr>
          <w:bCs/>
        </w:rPr>
        <w:t>A rigorous interpretation of Formula (6.</w:t>
      </w:r>
      <w:r w:rsidR="000345C6">
        <w:rPr>
          <w:bCs/>
        </w:rPr>
        <w:t>5</w:t>
      </w:r>
      <w:r w:rsidR="00FF29E4" w:rsidRPr="00595918">
        <w:rPr>
          <w:bCs/>
        </w:rPr>
        <w:t>) requires calculation of the moments at the centre of the joint. These moments correspond to development of the design values of the moments of resistance of the columns or beams at the outside faces of the joint, plus a suitable allowance for moments due to shears at the joint faces. However, an acceptable approximation, with minor loss of accuracy, consists of neglecting the moments due to shear at the joint faces</w:t>
      </w:r>
      <w:r w:rsidRPr="00595918">
        <w:rPr>
          <w:bCs/>
        </w:rPr>
        <w:t>.</w:t>
      </w:r>
    </w:p>
    <w:p w14:paraId="2114BBF9" w14:textId="00E28DCE" w:rsidR="00CC5A73" w:rsidRPr="00595918" w:rsidRDefault="00CC5A73" w:rsidP="0080187E">
      <w:pPr>
        <w:pStyle w:val="Clause"/>
        <w:numPr>
          <w:ilvl w:val="0"/>
          <w:numId w:val="266"/>
        </w:numPr>
        <w:rPr>
          <w:bCs/>
        </w:rPr>
      </w:pPr>
      <w:r w:rsidRPr="00595918">
        <w:rPr>
          <w:bCs/>
        </w:rPr>
        <w:t>Formula (6.</w:t>
      </w:r>
      <w:r w:rsidR="000345C6">
        <w:rPr>
          <w:bCs/>
        </w:rPr>
        <w:t>5</w:t>
      </w:r>
      <w:r w:rsidRPr="00595918">
        <w:rPr>
          <w:bCs/>
        </w:rPr>
        <w:t>) should be satisfied in two orthogonal vertical planes of bending, which, in buildings with frames arranged in two orthogonal directions, are defined by these two directions. It should be satisfied for both directions (positive and negative) of action of the beam moments around the joint, with the column moments always opposing the beam moments. If the structural system is a moment resisting frame or equivalent to a moment resisting frame in only one of its two main horizontal directions, Formula (6.</w:t>
      </w:r>
      <w:r w:rsidR="000345C6">
        <w:rPr>
          <w:bCs/>
        </w:rPr>
        <w:t>5</w:t>
      </w:r>
      <w:r w:rsidRPr="00595918">
        <w:rPr>
          <w:bCs/>
        </w:rPr>
        <w:t>) should be satisfied only within the vertical plane through that direction.</w:t>
      </w:r>
    </w:p>
    <w:p w14:paraId="337C0478" w14:textId="2A6C035F" w:rsidR="00CC5A73" w:rsidRPr="00132C1E" w:rsidRDefault="00CC5A73" w:rsidP="0080187E">
      <w:pPr>
        <w:pStyle w:val="Clause"/>
        <w:numPr>
          <w:ilvl w:val="0"/>
          <w:numId w:val="266"/>
        </w:numPr>
      </w:pPr>
      <w:r w:rsidRPr="00595918">
        <w:rPr>
          <w:bCs/>
        </w:rPr>
        <w:t>(2) may</w:t>
      </w:r>
      <w:r w:rsidRPr="00132C1E">
        <w:t xml:space="preserve"> be neglected at the top level of multi-storey buildings.</w:t>
      </w:r>
    </w:p>
    <w:p w14:paraId="37C42E3C" w14:textId="3D0F0FF0" w:rsidR="00CC5A73" w:rsidRPr="00AC10A2" w:rsidRDefault="00CC5A73" w:rsidP="00AC10A2">
      <w:pPr>
        <w:pStyle w:val="Heading3"/>
      </w:pPr>
      <w:bookmarkStart w:id="926" w:name="_Toc16927645"/>
      <w:bookmarkStart w:id="927" w:name="_Toc50150298"/>
      <w:bookmarkStart w:id="928" w:name="_Toc70886729"/>
      <w:bookmarkStart w:id="929" w:name="_Toc108342232"/>
      <w:bookmarkStart w:id="930" w:name="_Toc134197819"/>
      <w:r w:rsidRPr="00AC10A2">
        <w:t>Resistance of horizontal diaphragms and bracings</w:t>
      </w:r>
      <w:bookmarkEnd w:id="926"/>
      <w:bookmarkEnd w:id="927"/>
      <w:bookmarkEnd w:id="928"/>
      <w:bookmarkEnd w:id="929"/>
      <w:bookmarkEnd w:id="930"/>
    </w:p>
    <w:p w14:paraId="7C2E87F0" w14:textId="77777777" w:rsidR="00CC5A73" w:rsidRPr="00132C1E" w:rsidRDefault="00CC5A73" w:rsidP="0080187E">
      <w:pPr>
        <w:pStyle w:val="Clause"/>
        <w:numPr>
          <w:ilvl w:val="0"/>
          <w:numId w:val="267"/>
        </w:numPr>
      </w:pPr>
      <w:r w:rsidRPr="00132C1E">
        <w:t xml:space="preserve">Diaphragms and bracings in horizontal planes </w:t>
      </w:r>
      <w:r w:rsidRPr="006D12E1">
        <w:rPr>
          <w:rFonts w:eastAsia="CIDFont+F4"/>
        </w:rPr>
        <w:t>and quasi horizontal planes (roofs)</w:t>
      </w:r>
      <w:r w:rsidRPr="00132C1E">
        <w:t xml:space="preserve"> should be able to transmit, with appropriate overstrength when required, the effects of the design seismic action to the lateral load-resisting systems to which they are connected.</w:t>
      </w:r>
    </w:p>
    <w:p w14:paraId="202201B8" w14:textId="20497054" w:rsidR="00CC5A73" w:rsidRPr="00A550F9" w:rsidRDefault="00CC5A73" w:rsidP="00D17B06">
      <w:pPr>
        <w:pStyle w:val="Notetext"/>
      </w:pPr>
      <w:r w:rsidRPr="00132C1E">
        <w:t>NOTE</w:t>
      </w:r>
      <w:r w:rsidRPr="00132C1E">
        <w:tab/>
        <w:t xml:space="preserve">Design provisions for diaphragms are </w:t>
      </w:r>
      <w:r w:rsidRPr="00A550F9">
        <w:t xml:space="preserve">given in </w:t>
      </w:r>
      <w:r w:rsidR="00E7259E">
        <w:t xml:space="preserve">Clauses </w:t>
      </w:r>
      <w:r w:rsidRPr="00A550F9">
        <w:t xml:space="preserve">10 to 15 according to the structural material used. </w:t>
      </w:r>
    </w:p>
    <w:p w14:paraId="53A8A950" w14:textId="77777777" w:rsidR="00CC5A73" w:rsidRPr="00132C1E" w:rsidRDefault="00CC5A73" w:rsidP="0080187E">
      <w:pPr>
        <w:pStyle w:val="Clause"/>
        <w:numPr>
          <w:ilvl w:val="0"/>
          <w:numId w:val="267"/>
        </w:numPr>
      </w:pPr>
      <w:r w:rsidRPr="00A550F9">
        <w:rPr>
          <w:rStyle w:val="clauseCarattere"/>
          <w:rFonts w:eastAsia="MS Mincho"/>
          <w:bCs w:val="0"/>
        </w:rPr>
        <w:t>(1)</w:t>
      </w:r>
      <w:r w:rsidRPr="00A550F9">
        <w:t xml:space="preserve"> may be considered satisfied if, for t</w:t>
      </w:r>
      <w:r w:rsidRPr="00BE7F52">
        <w:t xml:space="preserve">he relevant resistance verifications, the seismic action effects in the diaphragm </w:t>
      </w:r>
      <w:r w:rsidRPr="00BE7F52">
        <w:rPr>
          <w:rFonts w:eastAsia="CIDFont+F4"/>
        </w:rPr>
        <w:t xml:space="preserve">or bracing </w:t>
      </w:r>
      <w:r w:rsidRPr="00BE7F52">
        <w:t xml:space="preserve">obtained from the analysis are multiplied by an overstrength factor </w:t>
      </w:r>
      <w:r w:rsidRPr="00BE7F52">
        <w:rPr>
          <w:rFonts w:ascii="Symbol" w:eastAsia="Symbol" w:hAnsi="Symbol" w:cs="Symbol"/>
          <w:i/>
          <w:iCs/>
        </w:rPr>
        <w:t></w:t>
      </w:r>
      <w:r w:rsidRPr="00BE7F52">
        <w:rPr>
          <w:vertAlign w:val="subscript"/>
        </w:rPr>
        <w:t>d</w:t>
      </w:r>
      <w:r w:rsidRPr="00BE7F52">
        <w:t xml:space="preserve"> given in Table 6.1</w:t>
      </w:r>
      <w:r w:rsidRPr="00132C1E">
        <w:t>.</w:t>
      </w:r>
    </w:p>
    <w:p w14:paraId="0874481E" w14:textId="11BF03C0" w:rsidR="00CC5A73" w:rsidRPr="00D1484A" w:rsidRDefault="00CC5A73" w:rsidP="00CC5A73">
      <w:pPr>
        <w:pStyle w:val="Tabletitle"/>
      </w:pPr>
      <w:bookmarkStart w:id="931" w:name="_Ref514835643"/>
      <w:r w:rsidRPr="00132C1E">
        <w:lastRenderedPageBreak/>
        <w:t>Table </w:t>
      </w:r>
      <w:r w:rsidR="00A550F9">
        <w:t>6.1</w:t>
      </w:r>
      <w:bookmarkEnd w:id="931"/>
      <w:r w:rsidRPr="00132C1E">
        <w:t> </w:t>
      </w:r>
      <w:r w:rsidRPr="00D1484A">
        <w:rPr>
          <w:rFonts w:ascii="`ÃÍœ˛" w:eastAsia="Cambria" w:hAnsi="`ÃÍœ˛" w:cs="`ÃÍœ˛"/>
          <w:szCs w:val="22"/>
          <w:lang w:eastAsia="de-DE"/>
        </w:rPr>
        <w:t>—</w:t>
      </w:r>
      <w:r w:rsidRPr="00D1484A">
        <w:t> </w:t>
      </w:r>
      <w:r w:rsidRPr="00D1484A">
        <w:rPr>
          <w:rFonts w:ascii="Symbol" w:eastAsia="Symbol" w:hAnsi="Symbol" w:cs="Symbol"/>
          <w:i/>
        </w:rPr>
        <w:t></w:t>
      </w:r>
      <w:r w:rsidRPr="00D1484A">
        <w:rPr>
          <w:vertAlign w:val="subscript"/>
        </w:rPr>
        <w:t xml:space="preserve">d </w:t>
      </w:r>
      <w:r w:rsidRPr="00D1484A">
        <w:t>values for diaphragms</w:t>
      </w:r>
    </w:p>
    <w:tbl>
      <w:tblPr>
        <w:tblStyle w:val="TableGrid"/>
        <w:tblW w:w="6102" w:type="dxa"/>
        <w:jc w:val="center"/>
        <w:tblLook w:val="04A0" w:firstRow="1" w:lastRow="0" w:firstColumn="1" w:lastColumn="0" w:noHBand="0" w:noVBand="1"/>
      </w:tblPr>
      <w:tblGrid>
        <w:gridCol w:w="2744"/>
        <w:gridCol w:w="1119"/>
        <w:gridCol w:w="1119"/>
        <w:gridCol w:w="1120"/>
      </w:tblGrid>
      <w:tr w:rsidR="00CC5A73" w:rsidRPr="00D17B06" w14:paraId="0413A79D" w14:textId="77777777" w:rsidTr="00A550F9">
        <w:trPr>
          <w:jc w:val="center"/>
        </w:trPr>
        <w:tc>
          <w:tcPr>
            <w:tcW w:w="2744" w:type="dxa"/>
          </w:tcPr>
          <w:p w14:paraId="6FFF6982" w14:textId="77777777" w:rsidR="00CC5A73" w:rsidRPr="00A550F9" w:rsidRDefault="00CC5A73" w:rsidP="00A550F9">
            <w:pPr>
              <w:pStyle w:val="Tablebody"/>
              <w:rPr>
                <w:b/>
                <w:bCs/>
              </w:rPr>
            </w:pPr>
            <w:r w:rsidRPr="00A550F9">
              <w:rPr>
                <w:b/>
                <w:bCs/>
              </w:rPr>
              <w:t>Diaphragm failure mode</w:t>
            </w:r>
          </w:p>
        </w:tc>
        <w:tc>
          <w:tcPr>
            <w:tcW w:w="1119" w:type="dxa"/>
          </w:tcPr>
          <w:p w14:paraId="347F8C6D" w14:textId="77777777" w:rsidR="00CC5A73" w:rsidRPr="00A550F9" w:rsidRDefault="00CC5A73" w:rsidP="00A550F9">
            <w:pPr>
              <w:pStyle w:val="Tablebody"/>
              <w:jc w:val="center"/>
              <w:rPr>
                <w:b/>
                <w:bCs/>
              </w:rPr>
            </w:pPr>
            <w:r w:rsidRPr="00A550F9">
              <w:rPr>
                <w:b/>
                <w:bCs/>
              </w:rPr>
              <w:t>DC1</w:t>
            </w:r>
          </w:p>
        </w:tc>
        <w:tc>
          <w:tcPr>
            <w:tcW w:w="1119" w:type="dxa"/>
          </w:tcPr>
          <w:p w14:paraId="1C3AF02A" w14:textId="77777777" w:rsidR="00CC5A73" w:rsidRPr="00A550F9" w:rsidRDefault="00CC5A73" w:rsidP="00A550F9">
            <w:pPr>
              <w:pStyle w:val="Tablebody"/>
              <w:jc w:val="center"/>
              <w:rPr>
                <w:b/>
                <w:bCs/>
              </w:rPr>
            </w:pPr>
            <w:r w:rsidRPr="00A550F9">
              <w:rPr>
                <w:b/>
                <w:bCs/>
              </w:rPr>
              <w:t>DC2</w:t>
            </w:r>
          </w:p>
        </w:tc>
        <w:tc>
          <w:tcPr>
            <w:tcW w:w="1120" w:type="dxa"/>
          </w:tcPr>
          <w:p w14:paraId="1C1C4870" w14:textId="77777777" w:rsidR="00CC5A73" w:rsidRPr="00A550F9" w:rsidRDefault="00CC5A73" w:rsidP="00A550F9">
            <w:pPr>
              <w:pStyle w:val="Tablebody"/>
              <w:jc w:val="center"/>
              <w:rPr>
                <w:b/>
                <w:bCs/>
              </w:rPr>
            </w:pPr>
            <w:r w:rsidRPr="00A550F9">
              <w:rPr>
                <w:b/>
                <w:bCs/>
              </w:rPr>
              <w:t>DC3</w:t>
            </w:r>
          </w:p>
        </w:tc>
      </w:tr>
      <w:tr w:rsidR="00CC5A73" w:rsidRPr="00D17B06" w14:paraId="52BF09BB" w14:textId="77777777" w:rsidTr="00A550F9">
        <w:trPr>
          <w:jc w:val="center"/>
        </w:trPr>
        <w:tc>
          <w:tcPr>
            <w:tcW w:w="2744" w:type="dxa"/>
          </w:tcPr>
          <w:p w14:paraId="0111EAFC" w14:textId="77777777" w:rsidR="00CC5A73" w:rsidRPr="00A550F9" w:rsidRDefault="00CC5A73" w:rsidP="00A550F9">
            <w:pPr>
              <w:pStyle w:val="Tablebody"/>
              <w:rPr>
                <w:b/>
                <w:bCs/>
              </w:rPr>
            </w:pPr>
            <w:r w:rsidRPr="00A550F9">
              <w:rPr>
                <w:b/>
                <w:bCs/>
              </w:rPr>
              <w:t>Ductile</w:t>
            </w:r>
          </w:p>
        </w:tc>
        <w:tc>
          <w:tcPr>
            <w:tcW w:w="1119" w:type="dxa"/>
          </w:tcPr>
          <w:p w14:paraId="27707AD3" w14:textId="77777777" w:rsidR="00CC5A73" w:rsidRPr="00D17B06" w:rsidRDefault="00CC5A73" w:rsidP="00A550F9">
            <w:pPr>
              <w:pStyle w:val="Tablebody"/>
              <w:jc w:val="center"/>
            </w:pPr>
            <w:r w:rsidRPr="00D17B06">
              <w:t>1,0</w:t>
            </w:r>
          </w:p>
        </w:tc>
        <w:tc>
          <w:tcPr>
            <w:tcW w:w="1119" w:type="dxa"/>
          </w:tcPr>
          <w:p w14:paraId="2124A9C0" w14:textId="77777777" w:rsidR="00CC5A73" w:rsidRPr="00D17B06" w:rsidRDefault="00CC5A73" w:rsidP="00A550F9">
            <w:pPr>
              <w:pStyle w:val="Tablebody"/>
              <w:jc w:val="center"/>
            </w:pPr>
            <w:r w:rsidRPr="00D17B06">
              <w:t>1,1</w:t>
            </w:r>
          </w:p>
        </w:tc>
        <w:tc>
          <w:tcPr>
            <w:tcW w:w="1120" w:type="dxa"/>
          </w:tcPr>
          <w:p w14:paraId="1690F977" w14:textId="77777777" w:rsidR="00CC5A73" w:rsidRPr="00D17B06" w:rsidRDefault="00CC5A73" w:rsidP="00A550F9">
            <w:pPr>
              <w:pStyle w:val="Tablebody"/>
              <w:jc w:val="center"/>
            </w:pPr>
            <w:r w:rsidRPr="00D17B06">
              <w:t>1,2</w:t>
            </w:r>
          </w:p>
        </w:tc>
      </w:tr>
      <w:tr w:rsidR="00CC5A73" w:rsidRPr="00D17B06" w14:paraId="4646DC28" w14:textId="77777777" w:rsidTr="00A550F9">
        <w:trPr>
          <w:jc w:val="center"/>
        </w:trPr>
        <w:tc>
          <w:tcPr>
            <w:tcW w:w="2744" w:type="dxa"/>
          </w:tcPr>
          <w:p w14:paraId="05E535AC" w14:textId="77777777" w:rsidR="00CC5A73" w:rsidRPr="00A550F9" w:rsidRDefault="00CC5A73" w:rsidP="00A550F9">
            <w:pPr>
              <w:pStyle w:val="Tablebody"/>
              <w:rPr>
                <w:b/>
                <w:bCs/>
              </w:rPr>
            </w:pPr>
            <w:r w:rsidRPr="00A550F9">
              <w:rPr>
                <w:b/>
                <w:bCs/>
              </w:rPr>
              <w:t>Brittle</w:t>
            </w:r>
          </w:p>
        </w:tc>
        <w:tc>
          <w:tcPr>
            <w:tcW w:w="1119" w:type="dxa"/>
          </w:tcPr>
          <w:p w14:paraId="4548C47A" w14:textId="77777777" w:rsidR="00CC5A73" w:rsidRPr="00D17B06" w:rsidRDefault="00CC5A73" w:rsidP="00A550F9">
            <w:pPr>
              <w:pStyle w:val="Tablebody"/>
              <w:jc w:val="center"/>
            </w:pPr>
            <w:r w:rsidRPr="00D17B06">
              <w:t>1,0</w:t>
            </w:r>
          </w:p>
        </w:tc>
        <w:tc>
          <w:tcPr>
            <w:tcW w:w="1119" w:type="dxa"/>
          </w:tcPr>
          <w:p w14:paraId="13A6509E" w14:textId="77777777" w:rsidR="00CC5A73" w:rsidRPr="00D17B06" w:rsidRDefault="00CC5A73" w:rsidP="00A550F9">
            <w:pPr>
              <w:pStyle w:val="Tablebody"/>
              <w:jc w:val="center"/>
            </w:pPr>
            <w:r w:rsidRPr="00D17B06">
              <w:t>1,2</w:t>
            </w:r>
          </w:p>
        </w:tc>
        <w:tc>
          <w:tcPr>
            <w:tcW w:w="1120" w:type="dxa"/>
          </w:tcPr>
          <w:p w14:paraId="6E6F7E22" w14:textId="77777777" w:rsidR="00CC5A73" w:rsidRPr="00D17B06" w:rsidRDefault="00CC5A73" w:rsidP="00A550F9">
            <w:pPr>
              <w:pStyle w:val="Tablebody"/>
              <w:jc w:val="center"/>
            </w:pPr>
            <w:r w:rsidRPr="00D17B06">
              <w:t>1,5</w:t>
            </w:r>
          </w:p>
        </w:tc>
      </w:tr>
    </w:tbl>
    <w:p w14:paraId="2778C379" w14:textId="77777777" w:rsidR="00CC5A73" w:rsidRPr="00AC10A2" w:rsidRDefault="00CC5A73" w:rsidP="00AC10A2">
      <w:pPr>
        <w:pStyle w:val="Heading3"/>
      </w:pPr>
      <w:bookmarkStart w:id="932" w:name="_Toc16927646"/>
      <w:bookmarkStart w:id="933" w:name="_Toc50150299"/>
      <w:bookmarkStart w:id="934" w:name="_Toc70886730"/>
      <w:bookmarkStart w:id="935" w:name="_Toc108342233"/>
      <w:bookmarkStart w:id="936" w:name="_Toc134197820"/>
      <w:r w:rsidRPr="00AC10A2">
        <w:t>Resistance of foundations</w:t>
      </w:r>
      <w:bookmarkEnd w:id="932"/>
      <w:bookmarkEnd w:id="933"/>
      <w:bookmarkEnd w:id="934"/>
      <w:bookmarkEnd w:id="935"/>
      <w:bookmarkEnd w:id="936"/>
    </w:p>
    <w:p w14:paraId="5EEFC3BC" w14:textId="3625A026" w:rsidR="00CC5A73" w:rsidRPr="00A550F9" w:rsidRDefault="00CC5A73" w:rsidP="0080187E">
      <w:pPr>
        <w:pStyle w:val="Clause"/>
        <w:numPr>
          <w:ilvl w:val="0"/>
          <w:numId w:val="268"/>
        </w:numPr>
      </w:pPr>
      <w:r w:rsidRPr="00D1484A">
        <w:t xml:space="preserve">The foundation system shall conform to </w:t>
      </w:r>
      <w:r>
        <w:t>prEN</w:t>
      </w:r>
      <w:r w:rsidR="00A550F9">
        <w:t> </w:t>
      </w:r>
      <w:r>
        <w:t>1998-5:</w:t>
      </w:r>
      <w:r w:rsidRPr="00A550F9">
        <w:t xml:space="preserve">2022, </w:t>
      </w:r>
      <w:r w:rsidR="006633B5">
        <w:t xml:space="preserve">Clause </w:t>
      </w:r>
      <w:r w:rsidRPr="00A550F9">
        <w:t>9.</w:t>
      </w:r>
    </w:p>
    <w:p w14:paraId="2F34E7C7" w14:textId="77777777" w:rsidR="00CC5A73" w:rsidRPr="00FD17CF" w:rsidRDefault="00CC5A73" w:rsidP="00CC5A73">
      <w:pPr>
        <w:pStyle w:val="Heading3"/>
      </w:pPr>
      <w:bookmarkStart w:id="937" w:name="_Toc16927647"/>
      <w:bookmarkStart w:id="938" w:name="_Toc50150300"/>
      <w:bookmarkStart w:id="939" w:name="_Toc70886731"/>
      <w:bookmarkStart w:id="940" w:name="_Toc108342234"/>
      <w:bookmarkStart w:id="941" w:name="_Toc134197821"/>
      <w:bookmarkStart w:id="942" w:name="_Hlk97197013"/>
      <w:r w:rsidRPr="00FD17CF">
        <w:t>Seismic joint condition</w:t>
      </w:r>
      <w:bookmarkEnd w:id="937"/>
      <w:bookmarkEnd w:id="938"/>
      <w:bookmarkEnd w:id="939"/>
      <w:bookmarkEnd w:id="940"/>
      <w:bookmarkEnd w:id="941"/>
    </w:p>
    <w:p w14:paraId="1BAC8706" w14:textId="57C62178" w:rsidR="00CC5A73" w:rsidRDefault="00CC5A73" w:rsidP="0080187E">
      <w:pPr>
        <w:pStyle w:val="Clause"/>
        <w:numPr>
          <w:ilvl w:val="0"/>
          <w:numId w:val="269"/>
        </w:numPr>
      </w:pPr>
      <w:r w:rsidRPr="00644C3D">
        <w:t xml:space="preserve">Buildings should be protected from earthquake-induced pounding </w:t>
      </w:r>
      <w:r w:rsidRPr="00E05E29">
        <w:t>with</w:t>
      </w:r>
      <w:r w:rsidRPr="00196951">
        <w:t xml:space="preserve"> adjacent structures or between structurally independent units of the same buil</w:t>
      </w:r>
      <w:r w:rsidRPr="002144A0">
        <w:t>ding</w:t>
      </w:r>
      <w:r>
        <w:t>.</w:t>
      </w:r>
    </w:p>
    <w:bookmarkEnd w:id="942"/>
    <w:p w14:paraId="44C4C0D4" w14:textId="484E38F5" w:rsidR="00CC5A73" w:rsidRDefault="00CC5A73" w:rsidP="0080187E">
      <w:pPr>
        <w:pStyle w:val="Clause"/>
        <w:numPr>
          <w:ilvl w:val="0"/>
          <w:numId w:val="269"/>
        </w:numPr>
      </w:pPr>
      <w:r w:rsidRPr="00A550F9">
        <w:rPr>
          <w:bCs/>
        </w:rPr>
        <w:t>(1) may</w:t>
      </w:r>
      <w:r w:rsidRPr="00BA6FFE">
        <w:t xml:space="preserve"> be considered satisfied if a) or b) applies:</w:t>
      </w:r>
    </w:p>
    <w:p w14:paraId="4B266214" w14:textId="5ABC6F75" w:rsidR="00CC5A73" w:rsidRPr="00132C1E" w:rsidRDefault="00CC5A73" w:rsidP="0080187E">
      <w:pPr>
        <w:pStyle w:val="List2"/>
        <w:numPr>
          <w:ilvl w:val="0"/>
          <w:numId w:val="62"/>
        </w:numPr>
        <w:spacing w:before="0" w:after="240" w:line="230" w:lineRule="atLeast"/>
        <w:contextualSpacing w:val="0"/>
      </w:pPr>
      <w:r w:rsidRPr="007754C9">
        <w:t>for buildings, or structurally independent units, that do not belong to the same property, if the distance from the property line to the potential points of impact is not less than the maximum horizontal displacement of the building at the corresponding le</w:t>
      </w:r>
      <w:r w:rsidRPr="00132C1E">
        <w:t xml:space="preserve">vel, calculated in accordance with </w:t>
      </w:r>
      <w:r>
        <w:t>prEN</w:t>
      </w:r>
      <w:r w:rsidR="00A550F9">
        <w:t> </w:t>
      </w:r>
      <w:r>
        <w:t>1998-1-1:2022</w:t>
      </w:r>
      <w:r w:rsidRPr="00132C1E">
        <w:t xml:space="preserve">, Formula (6.9), for the force-based approach or corresponding to the target displacement of the SDOF system, given by </w:t>
      </w:r>
      <w:r>
        <w:t>prEN</w:t>
      </w:r>
      <w:r w:rsidR="00A550F9">
        <w:t> </w:t>
      </w:r>
      <w:r>
        <w:t>1998-1-1:2022</w:t>
      </w:r>
      <w:r w:rsidRPr="00132C1E">
        <w:t>, Formula (6.29), for the displacement-based approach;</w:t>
      </w:r>
    </w:p>
    <w:p w14:paraId="1A8D63AC" w14:textId="4EF79277" w:rsidR="00CC5A73" w:rsidRDefault="00CC5A73" w:rsidP="0080187E">
      <w:pPr>
        <w:pStyle w:val="List2"/>
        <w:numPr>
          <w:ilvl w:val="0"/>
          <w:numId w:val="62"/>
        </w:numPr>
        <w:spacing w:before="0" w:after="240" w:line="230" w:lineRule="atLeast"/>
        <w:contextualSpacing w:val="0"/>
      </w:pPr>
      <w:r w:rsidRPr="00132C1E">
        <w:t xml:space="preserve">for buildings, or structurally independent units, belonging to the same property, if the distance between them is not less than the square root of the sum of the squares (SRSS) of the maximum horizontal displacements of the two buildings or units at the corresponding level, calculated in accordance with </w:t>
      </w:r>
      <w:r>
        <w:t>prEN</w:t>
      </w:r>
      <w:r w:rsidR="00A550F9">
        <w:t> </w:t>
      </w:r>
      <w:r>
        <w:t>1998-1-1:2022</w:t>
      </w:r>
      <w:r w:rsidRPr="00132C1E">
        <w:t xml:space="preserve">, Formula (6.9), for the force-based approach or corresponding to the target displacement of the SDOF system, given by </w:t>
      </w:r>
      <w:r>
        <w:t>prEN</w:t>
      </w:r>
      <w:r w:rsidR="00A550F9">
        <w:t> </w:t>
      </w:r>
      <w:r>
        <w:t>1998-1-1:2022</w:t>
      </w:r>
      <w:r w:rsidRPr="00132C1E">
        <w:t>, Formula (6.29), for the displacement-based approach.</w:t>
      </w:r>
    </w:p>
    <w:p w14:paraId="3D357F1F" w14:textId="77777777" w:rsidR="00CC5A73" w:rsidRPr="00BA6FFE" w:rsidRDefault="00CC5A73" w:rsidP="0080187E">
      <w:pPr>
        <w:pStyle w:val="Clause"/>
        <w:numPr>
          <w:ilvl w:val="0"/>
          <w:numId w:val="269"/>
        </w:numPr>
      </w:pPr>
      <w:r w:rsidRPr="00BA6FFE">
        <w:t>If the floor elevations of the building or independent unit under design are the same as those of the adjacent building or unit, the above referred minimum distance may be multiplied by a factor of 0,7.</w:t>
      </w:r>
    </w:p>
    <w:p w14:paraId="485AA699" w14:textId="00804ED4" w:rsidR="00CC5A73" w:rsidRPr="00AC10A2" w:rsidRDefault="00CC5A73" w:rsidP="00AC10A2">
      <w:pPr>
        <w:pStyle w:val="Heading3"/>
      </w:pPr>
      <w:bookmarkStart w:id="943" w:name="_Toc16927648"/>
      <w:bookmarkStart w:id="944" w:name="_Toc50150301"/>
      <w:bookmarkStart w:id="945" w:name="_Toc70886732"/>
      <w:bookmarkStart w:id="946" w:name="_Toc108342235"/>
      <w:bookmarkStart w:id="947" w:name="_Toc134197822"/>
      <w:r w:rsidRPr="00AC10A2">
        <w:t>Verification of transfer zones in DC2 and DC3</w:t>
      </w:r>
      <w:bookmarkEnd w:id="943"/>
      <w:bookmarkEnd w:id="944"/>
      <w:bookmarkEnd w:id="945"/>
      <w:bookmarkEnd w:id="946"/>
      <w:bookmarkEnd w:id="947"/>
    </w:p>
    <w:p w14:paraId="58B6095B" w14:textId="77777777" w:rsidR="00CC5A73" w:rsidRPr="00A550F9" w:rsidRDefault="00CC5A73" w:rsidP="00AC10A2">
      <w:pPr>
        <w:pStyle w:val="Notetext"/>
      </w:pPr>
      <w:r w:rsidRPr="00132C1E">
        <w:t>NOTE</w:t>
      </w:r>
      <w:r w:rsidRPr="00132C1E">
        <w:tab/>
        <w:t xml:space="preserve">The </w:t>
      </w:r>
      <w:r>
        <w:t>verification</w:t>
      </w:r>
      <w:r w:rsidRPr="00132C1E">
        <w:t xml:space="preserve"> provisions for </w:t>
      </w:r>
      <w:r w:rsidRPr="00A550F9">
        <w:t>the structural members of transfer zones are given in 6.2.11. Some specific material related provisions are given in 10.5.2, 11.18, 12.16 and 13.16.</w:t>
      </w:r>
    </w:p>
    <w:p w14:paraId="5A91D6BA" w14:textId="3A88601F" w:rsidR="00CC5A73" w:rsidRPr="00A550F9" w:rsidRDefault="00CC5A73" w:rsidP="0080187E">
      <w:pPr>
        <w:pStyle w:val="Clause"/>
        <w:numPr>
          <w:ilvl w:val="0"/>
          <w:numId w:val="270"/>
        </w:numPr>
      </w:pPr>
      <w:r w:rsidRPr="00A550F9">
        <w:t>A transfer zone shall be designed to resist the action effects including a magnification factor.</w:t>
      </w:r>
    </w:p>
    <w:p w14:paraId="27E78247" w14:textId="5AD1021E" w:rsidR="00CC5A73" w:rsidRPr="00A550F9" w:rsidRDefault="00CC5A73" w:rsidP="0080187E">
      <w:pPr>
        <w:pStyle w:val="Clause"/>
        <w:numPr>
          <w:ilvl w:val="0"/>
          <w:numId w:val="270"/>
        </w:numPr>
      </w:pPr>
      <w:r w:rsidRPr="00A550F9">
        <w:t>The magnification factor in (1) should be applied to the seismic action effects from the analysis which enter in the calculation of the design forces in the transfer zone and should be taken equal to 1,25</w:t>
      </w:r>
      <w:r w:rsidRPr="00A550F9">
        <w:rPr>
          <w:i/>
          <w:iCs/>
          <w:lang w:val="fr-FR"/>
        </w:rPr>
        <w:t>ω</w:t>
      </w:r>
      <w:r w:rsidRPr="00A550F9">
        <w:rPr>
          <w:vertAlign w:val="subscript"/>
        </w:rPr>
        <w:t>d</w:t>
      </w:r>
      <w:r w:rsidRPr="00A550F9">
        <w:t>, as given in Formula (6.</w:t>
      </w:r>
      <w:r w:rsidR="000345C6">
        <w:t>6</w:t>
      </w:r>
      <w:r w:rsidRPr="00A550F9">
        <w:t>).</w:t>
      </w:r>
    </w:p>
    <w:p w14:paraId="777D9610" w14:textId="024AE0B4" w:rsidR="00CC5A73" w:rsidRPr="00A550F9" w:rsidRDefault="00CC5A73" w:rsidP="0080187E">
      <w:pPr>
        <w:pStyle w:val="Clause"/>
        <w:numPr>
          <w:ilvl w:val="0"/>
          <w:numId w:val="270"/>
        </w:numPr>
      </w:pPr>
      <w:r w:rsidRPr="00A550F9">
        <w:t>The effect of the vertical component of earthquake should be taken into account in the design of the structural members of transfer zones as given in 4.2(2).</w:t>
      </w:r>
    </w:p>
    <w:p w14:paraId="27F2CD77" w14:textId="111B48E3" w:rsidR="00CC5A73" w:rsidRPr="00EF4CF7" w:rsidRDefault="00CC5A73" w:rsidP="0080187E">
      <w:pPr>
        <w:pStyle w:val="Clause"/>
        <w:numPr>
          <w:ilvl w:val="0"/>
          <w:numId w:val="270"/>
        </w:numPr>
      </w:pPr>
      <w:r w:rsidRPr="00EF4CF7">
        <w:t>There may be more than one transfer zone in a building.</w:t>
      </w:r>
    </w:p>
    <w:p w14:paraId="28C10634" w14:textId="33714309" w:rsidR="00CC5A73" w:rsidRPr="00EF4CF7" w:rsidRDefault="00CC5A73" w:rsidP="0080187E">
      <w:pPr>
        <w:pStyle w:val="Clause"/>
        <w:numPr>
          <w:ilvl w:val="0"/>
          <w:numId w:val="270"/>
        </w:numPr>
      </w:pPr>
      <w:r w:rsidRPr="00EF4CF7">
        <w:t>The model of the structure for analysis should be in 3D with explicit modelling of the structural members of the transfer zone and below it.</w:t>
      </w:r>
    </w:p>
    <w:p w14:paraId="1017C6AB" w14:textId="4E13B04A" w:rsidR="00CC5A73" w:rsidRPr="00EF4CF7" w:rsidRDefault="00CC5A73" w:rsidP="0080187E">
      <w:pPr>
        <w:pStyle w:val="Clause"/>
        <w:numPr>
          <w:ilvl w:val="0"/>
          <w:numId w:val="270"/>
        </w:numPr>
      </w:pPr>
      <w:r w:rsidRPr="00EF4CF7">
        <w:lastRenderedPageBreak/>
        <w:t>The analysis should be a 3D response spectrum analysis or a 3D non-linear response</w:t>
      </w:r>
      <w:r w:rsidR="00A550F9">
        <w:t>-</w:t>
      </w:r>
      <w:r w:rsidRPr="00EF4CF7">
        <w:t>history analysis.</w:t>
      </w:r>
    </w:p>
    <w:p w14:paraId="7B2D566C" w14:textId="307E63D9" w:rsidR="00CC5A73" w:rsidRPr="00EF4CF7" w:rsidRDefault="00CC5A73" w:rsidP="0080187E">
      <w:pPr>
        <w:pStyle w:val="Clause"/>
        <w:numPr>
          <w:ilvl w:val="0"/>
          <w:numId w:val="270"/>
        </w:numPr>
      </w:pPr>
      <w:r w:rsidRPr="00EF4CF7">
        <w:t xml:space="preserve">Buildings in which the interstorey drift at a storey of the primary structure in the transfer zone or below is more than two (2) times greater than the interstorey drift of the first storey above the transfer zone, </w:t>
      </w:r>
      <w:r w:rsidRPr="00BE7F52">
        <w:rPr>
          <w:i/>
          <w:iCs/>
        </w:rPr>
        <w:t>d</w:t>
      </w:r>
      <w:r w:rsidRPr="00BE7F52">
        <w:rPr>
          <w:vertAlign w:val="subscript"/>
        </w:rPr>
        <w:t>r,SD</w:t>
      </w:r>
      <w:r w:rsidRPr="00EF4CF7">
        <w:t xml:space="preserve">, as defined </w:t>
      </w:r>
      <w:r w:rsidRPr="00A550F9">
        <w:t>in 6.2.</w:t>
      </w:r>
      <w:r w:rsidR="00850CB9">
        <w:t>4</w:t>
      </w:r>
      <w:r w:rsidRPr="00A550F9">
        <w:t>(</w:t>
      </w:r>
      <w:r w:rsidR="00850CB9">
        <w:t>1</w:t>
      </w:r>
      <w:r w:rsidRPr="00A550F9">
        <w:t>),</w:t>
      </w:r>
      <w:r w:rsidRPr="00EF4CF7">
        <w:t xml:space="preserve"> should be designed to DC3 with q ≤ 2.</w:t>
      </w:r>
    </w:p>
    <w:p w14:paraId="1559784E" w14:textId="41FB1B2C" w:rsidR="00CC5A73" w:rsidRPr="00EF4CF7" w:rsidRDefault="00CC5A73" w:rsidP="0080187E">
      <w:pPr>
        <w:pStyle w:val="Clause"/>
        <w:numPr>
          <w:ilvl w:val="0"/>
          <w:numId w:val="270"/>
        </w:numPr>
      </w:pPr>
      <w:r w:rsidRPr="00EF4CF7">
        <w:t>The resistance to the bending moment, shear and vertical forces at the bottom of an interrupted wall or column at any level may be provided by one or more of provisions a) to c):</w:t>
      </w:r>
    </w:p>
    <w:p w14:paraId="2469009C" w14:textId="3AD864E6" w:rsidR="00CC5A73" w:rsidRPr="00132C1E" w:rsidRDefault="00CC5A73" w:rsidP="0080187E">
      <w:pPr>
        <w:pStyle w:val="List2"/>
        <w:numPr>
          <w:ilvl w:val="0"/>
          <w:numId w:val="63"/>
        </w:numPr>
        <w:spacing w:before="0" w:after="240" w:line="230" w:lineRule="atLeast"/>
        <w:contextualSpacing w:val="0"/>
      </w:pPr>
      <w:r w:rsidRPr="00132C1E">
        <w:t>the diaphragm at the level of the interruption and a beam placed in the plane of the wall which is supported by columns placed in the same plane;</w:t>
      </w:r>
    </w:p>
    <w:p w14:paraId="6B4923F5" w14:textId="358FC2F9" w:rsidR="00CC5A73" w:rsidRPr="00132C1E" w:rsidRDefault="00CC5A73" w:rsidP="0080187E">
      <w:pPr>
        <w:pStyle w:val="List2"/>
        <w:numPr>
          <w:ilvl w:val="0"/>
          <w:numId w:val="63"/>
        </w:numPr>
        <w:spacing w:before="0" w:after="240" w:line="230" w:lineRule="atLeast"/>
        <w:contextualSpacing w:val="0"/>
      </w:pPr>
      <w:r w:rsidRPr="00132C1E">
        <w:t>a couple of horizontal forces in two diaphragms, one at the bottom level of the interrupted member and the other one at an upper level;</w:t>
      </w:r>
    </w:p>
    <w:p w14:paraId="6FF54C30" w14:textId="77777777" w:rsidR="00CC5A73" w:rsidRPr="00132C1E" w:rsidRDefault="00CC5A73" w:rsidP="0080187E">
      <w:pPr>
        <w:pStyle w:val="List2"/>
        <w:numPr>
          <w:ilvl w:val="0"/>
          <w:numId w:val="63"/>
        </w:numPr>
        <w:spacing w:before="0" w:after="240" w:line="230" w:lineRule="atLeast"/>
        <w:contextualSpacing w:val="0"/>
      </w:pPr>
      <w:r w:rsidRPr="00132C1E">
        <w:t>columns placed in the plane of the interrupted wall.</w:t>
      </w:r>
    </w:p>
    <w:p w14:paraId="3078B3B7" w14:textId="59F6C004" w:rsidR="00CC5A73" w:rsidRPr="00132C1E" w:rsidRDefault="00CC5A73" w:rsidP="0080187E">
      <w:pPr>
        <w:pStyle w:val="Clause"/>
        <w:numPr>
          <w:ilvl w:val="0"/>
          <w:numId w:val="270"/>
        </w:numPr>
      </w:pPr>
      <w:r w:rsidRPr="00132C1E">
        <w:t>In a force–based approach, the design action effects in structural members in the height of a transfer zone under the interrupted member, like beams, columns, walls and diaphragms, should be calculated using Formula (6.</w:t>
      </w:r>
      <w:r w:rsidR="000345C6">
        <w:t>6</w:t>
      </w:r>
      <w:r w:rsidRPr="00132C1E">
        <w:t>).</w:t>
      </w:r>
    </w:p>
    <w:p w14:paraId="716F003E" w14:textId="7C83D62C" w:rsidR="00EA6293" w:rsidRDefault="009B5CEC" w:rsidP="00EA6293">
      <w:pPr>
        <w:pStyle w:val="Formula"/>
        <w:spacing w:before="240"/>
      </w:pPr>
      <m:oMath>
        <m:sSub>
          <m:sSubPr>
            <m:ctrlPr>
              <w:rPr>
                <w:rFonts w:ascii="Cambria Math" w:hAnsi="Cambria Math"/>
              </w:rPr>
            </m:ctrlPr>
          </m:sSubPr>
          <m:e>
            <m:r>
              <w:rPr>
                <w:rFonts w:ascii="Cambria Math" w:hAnsi="Cambria Math"/>
              </w:rPr>
              <m:t>E</m:t>
            </m:r>
          </m:e>
          <m:sub>
            <m:r>
              <m:rPr>
                <m:sty m:val="p"/>
              </m:rPr>
              <w:rPr>
                <w:rFonts w:ascii="Cambria Math" w:hAnsi="Cambria Math"/>
              </w:rPr>
              <m:t>Fd</m:t>
            </m:r>
          </m:sub>
        </m:sSub>
        <m:r>
          <w:rPr>
            <w:rFonts w:ascii="Cambria Math" w:hAnsi="Cambria Math"/>
          </w:rPr>
          <m:t>=</m:t>
        </m:r>
        <m:sSub>
          <m:sSubPr>
            <m:ctrlPr>
              <w:rPr>
                <w:rFonts w:ascii="Cambria Math" w:hAnsi="Cambria Math"/>
              </w:rPr>
            </m:ctrlPr>
          </m:sSubPr>
          <m:e>
            <m:r>
              <w:rPr>
                <w:rFonts w:ascii="Cambria Math" w:hAnsi="Cambria Math"/>
              </w:rPr>
              <m:t>E</m:t>
            </m:r>
          </m:e>
          <m:sub>
            <m:r>
              <m:rPr>
                <m:sty m:val="p"/>
              </m:rPr>
              <w:rPr>
                <w:rFonts w:ascii="Cambria Math" w:hAnsi="Cambria Math"/>
              </w:rPr>
              <m:t>F,G</m:t>
            </m:r>
          </m:sub>
        </m:sSub>
        <m:r>
          <w:rPr>
            <w:rFonts w:ascii="Cambria Math" w:hAnsi="Cambria Math"/>
          </w:rPr>
          <m:t>"+"1,25 </m:t>
        </m:r>
        <m:sSub>
          <m:sSubPr>
            <m:ctrlPr>
              <w:rPr>
                <w:rFonts w:ascii="Cambria Math" w:hAnsi="Cambria Math"/>
              </w:rPr>
            </m:ctrlPr>
          </m:sSubPr>
          <m:e>
            <m:r>
              <w:rPr>
                <w:rFonts w:ascii="Cambria Math" w:hAnsi="Cambria Math"/>
              </w:rPr>
              <m:t>Ω</m:t>
            </m:r>
          </m:e>
          <m:sub>
            <m:r>
              <m:rPr>
                <m:sty m:val="p"/>
              </m:rPr>
              <w:rPr>
                <w:rFonts w:ascii="Cambria Math" w:hAnsi="Cambria Math"/>
              </w:rPr>
              <m:t>d</m:t>
            </m:r>
          </m:sub>
        </m:sSub>
        <m:sSub>
          <m:sSubPr>
            <m:ctrlPr>
              <w:rPr>
                <w:rFonts w:ascii="Cambria Math" w:hAnsi="Cambria Math"/>
              </w:rPr>
            </m:ctrlPr>
          </m:sSubPr>
          <m:e>
            <m:r>
              <w:rPr>
                <w:rFonts w:ascii="Cambria Math" w:hAnsi="Cambria Math"/>
              </w:rPr>
              <m:t> E</m:t>
            </m:r>
          </m:e>
          <m:sub>
            <m:r>
              <m:rPr>
                <m:sty m:val="p"/>
              </m:rPr>
              <w:rPr>
                <w:rFonts w:ascii="Cambria Math" w:hAnsi="Cambria Math"/>
              </w:rPr>
              <m:t>F,E</m:t>
            </m:r>
          </m:sub>
        </m:sSub>
      </m:oMath>
      <w:r w:rsidR="00EA6293" w:rsidRPr="00132C1E">
        <w:t xml:space="preserve"> with </w:t>
      </w:r>
      <m:oMath>
        <m:sSub>
          <m:sSubPr>
            <m:ctrlPr>
              <w:rPr>
                <w:rFonts w:ascii="Cambria Math" w:hAnsi="Cambria Math"/>
              </w:rPr>
            </m:ctrlPr>
          </m:sSubPr>
          <m:e>
            <m:r>
              <w:rPr>
                <w:rFonts w:ascii="Cambria Math" w:hAnsi="Cambria Math"/>
              </w:rPr>
              <m:t>Ω</m:t>
            </m:r>
          </m:e>
          <m:sub>
            <m:r>
              <m:rPr>
                <m:sty m:val="p"/>
              </m:rPr>
              <w:rPr>
                <w:rFonts w:ascii="Cambria Math" w:hAnsi="Cambria Math"/>
              </w:rPr>
              <m:t>d</m:t>
            </m:r>
          </m:sub>
        </m:sSub>
        <m:r>
          <w:rPr>
            <w:rFonts w:ascii="Cambria Math" w:hAnsi="Cambria Math"/>
          </w:rPr>
          <m:t>≤q</m:t>
        </m:r>
      </m:oMath>
      <w:r w:rsidR="00EA6293" w:rsidRPr="00870D59">
        <w:tab/>
        <w:t>(</w:t>
      </w:r>
      <w:r w:rsidR="00EA6293">
        <w:t>6.</w:t>
      </w:r>
      <w:r w:rsidR="000345C6">
        <w:t>6</w:t>
      </w:r>
      <w:r w:rsidR="00EA6293" w:rsidRPr="00870D59">
        <w:t>)</w:t>
      </w:r>
    </w:p>
    <w:p w14:paraId="20511B8F" w14:textId="1B425996" w:rsidR="003F756F" w:rsidRPr="00870D59" w:rsidRDefault="003F756F" w:rsidP="00E7259E">
      <w:pPr>
        <w:pStyle w:val="Clause"/>
        <w:numPr>
          <w:ilvl w:val="0"/>
          <w:numId w:val="0"/>
        </w:numPr>
      </w:pPr>
      <w:r>
        <w:t>w</w:t>
      </w:r>
      <w:r w:rsidRPr="00870D59">
        <w:t>here</w:t>
      </w:r>
    </w:p>
    <w:tbl>
      <w:tblPr>
        <w:tblW w:w="0" w:type="auto"/>
        <w:tblInd w:w="346" w:type="dxa"/>
        <w:tblLook w:val="04A0" w:firstRow="1" w:lastRow="0" w:firstColumn="1" w:lastColumn="0" w:noHBand="0" w:noVBand="1"/>
      </w:tblPr>
      <w:tblGrid>
        <w:gridCol w:w="1275"/>
        <w:gridCol w:w="7938"/>
      </w:tblGrid>
      <w:tr w:rsidR="00EA6293" w:rsidRPr="005B0CDD" w14:paraId="5D686871" w14:textId="77777777" w:rsidTr="00E7259E">
        <w:tc>
          <w:tcPr>
            <w:tcW w:w="1275" w:type="dxa"/>
          </w:tcPr>
          <w:p w14:paraId="4A694F12" w14:textId="072F2DF4" w:rsidR="00EA6293" w:rsidRPr="005B0CDD" w:rsidRDefault="008C200F" w:rsidP="002061E5">
            <w:pPr>
              <w:pStyle w:val="Tablebody"/>
              <w:rPr>
                <w:rFonts w:asciiTheme="majorHAnsi" w:hAnsiTheme="majorHAnsi"/>
              </w:rPr>
            </w:pPr>
            <w:r w:rsidRPr="00D1484A">
              <w:rPr>
                <w:i/>
                <w:iCs/>
              </w:rPr>
              <w:t>E</w:t>
            </w:r>
            <w:r w:rsidRPr="00D1484A">
              <w:rPr>
                <w:vertAlign w:val="subscript"/>
              </w:rPr>
              <w:t>F,G</w:t>
            </w:r>
          </w:p>
        </w:tc>
        <w:tc>
          <w:tcPr>
            <w:tcW w:w="7938" w:type="dxa"/>
          </w:tcPr>
          <w:p w14:paraId="450B4BD1" w14:textId="157493CE" w:rsidR="00EA6293" w:rsidRPr="00A550F9" w:rsidRDefault="00022693" w:rsidP="002061E5">
            <w:pPr>
              <w:pStyle w:val="Tablebody"/>
              <w:rPr>
                <w:rFonts w:asciiTheme="majorHAnsi" w:hAnsiTheme="majorHAnsi"/>
              </w:rPr>
            </w:pPr>
            <w:r w:rsidRPr="00A550F9">
              <w:t>is the action effect of the non-seismic actions in the transfer zone included in the combination of actions for the seismic design situation (EN</w:t>
            </w:r>
            <w:r w:rsidR="00A550F9" w:rsidRPr="00A550F9">
              <w:t> </w:t>
            </w:r>
            <w:r w:rsidRPr="00A550F9">
              <w:t>1990:202</w:t>
            </w:r>
            <w:r w:rsidR="006455AE">
              <w:t>3</w:t>
            </w:r>
            <w:r w:rsidRPr="00A550F9">
              <w:t>, 8.3.4.4);</w:t>
            </w:r>
          </w:p>
        </w:tc>
      </w:tr>
      <w:tr w:rsidR="00EA6293" w:rsidRPr="005B0CDD" w14:paraId="05EEBB25" w14:textId="77777777" w:rsidTr="00E7259E">
        <w:tc>
          <w:tcPr>
            <w:tcW w:w="1275" w:type="dxa"/>
          </w:tcPr>
          <w:p w14:paraId="097B96E3" w14:textId="62A287DF" w:rsidR="00EA6293" w:rsidRPr="00D1484A" w:rsidRDefault="008C200F" w:rsidP="002061E5">
            <w:pPr>
              <w:pStyle w:val="Tablebody"/>
              <w:rPr>
                <w:rFonts w:ascii="Symbol" w:eastAsia="Symbol" w:hAnsi="Symbol" w:cs="Symbol"/>
                <w:i/>
              </w:rPr>
            </w:pPr>
            <w:r w:rsidRPr="00132C1E">
              <w:rPr>
                <w:i/>
                <w:iCs/>
              </w:rPr>
              <w:t>E</w:t>
            </w:r>
            <w:r w:rsidRPr="00132C1E">
              <w:rPr>
                <w:vertAlign w:val="subscript"/>
              </w:rPr>
              <w:t>F,E</w:t>
            </w:r>
          </w:p>
        </w:tc>
        <w:tc>
          <w:tcPr>
            <w:tcW w:w="7938" w:type="dxa"/>
          </w:tcPr>
          <w:p w14:paraId="65584227" w14:textId="79B1BD50" w:rsidR="00EA6293" w:rsidRPr="00A550F9" w:rsidRDefault="00022693" w:rsidP="002061E5">
            <w:pPr>
              <w:pStyle w:val="Tablebody"/>
            </w:pPr>
            <w:r w:rsidRPr="00A550F9">
              <w:t>is the action effect of the design seismic action in the transfer zone calculated from the seismic analysis of the structure;</w:t>
            </w:r>
          </w:p>
        </w:tc>
      </w:tr>
      <w:tr w:rsidR="008C200F" w:rsidRPr="005B0CDD" w14:paraId="4FBAAB14" w14:textId="77777777" w:rsidTr="00E7259E">
        <w:tc>
          <w:tcPr>
            <w:tcW w:w="1275" w:type="dxa"/>
          </w:tcPr>
          <w:p w14:paraId="768E93AF" w14:textId="642B0FB2" w:rsidR="008C200F" w:rsidRPr="00132C1E" w:rsidRDefault="008C200F" w:rsidP="002061E5">
            <w:pPr>
              <w:pStyle w:val="Tablebody"/>
              <w:rPr>
                <w:i/>
                <w:iCs/>
              </w:rPr>
            </w:pPr>
            <w:r w:rsidRPr="00132C1E">
              <w:rPr>
                <w:i/>
                <w:iCs/>
              </w:rPr>
              <w:t>Ω</w:t>
            </w:r>
            <w:r w:rsidRPr="00132C1E">
              <w:rPr>
                <w:vertAlign w:val="subscript"/>
              </w:rPr>
              <w:t>d</w:t>
            </w:r>
          </w:p>
        </w:tc>
        <w:tc>
          <w:tcPr>
            <w:tcW w:w="7938" w:type="dxa"/>
          </w:tcPr>
          <w:p w14:paraId="56C49CA8" w14:textId="026DD131" w:rsidR="008C200F" w:rsidRPr="00A550F9" w:rsidRDefault="00022693" w:rsidP="002061E5">
            <w:pPr>
              <w:pStyle w:val="Tablebody"/>
            </w:pPr>
            <w:r w:rsidRPr="00A550F9">
              <w:t>is the ratio of the design resistance</w:t>
            </w:r>
            <w:r w:rsidRPr="00A550F9">
              <w:rPr>
                <w:i/>
                <w:iCs/>
              </w:rPr>
              <w:t xml:space="preserve"> R</w:t>
            </w:r>
            <w:r w:rsidRPr="00A550F9">
              <w:rPr>
                <w:vertAlign w:val="subscript"/>
              </w:rPr>
              <w:t>di</w:t>
            </w:r>
            <w:r w:rsidRPr="00A550F9">
              <w:t xml:space="preserve"> to the action effect in the seismic design situation </w:t>
            </w:r>
            <w:r w:rsidRPr="00A550F9">
              <w:rPr>
                <w:i/>
                <w:iCs/>
              </w:rPr>
              <w:t>E</w:t>
            </w:r>
            <w:r w:rsidRPr="00A550F9">
              <w:rPr>
                <w:vertAlign w:val="subscript"/>
              </w:rPr>
              <w:t>di</w:t>
            </w:r>
            <w:r w:rsidRPr="00A550F9">
              <w:t xml:space="preserve"> at the dissipative zone of member</w:t>
            </w:r>
            <w:r w:rsidRPr="00A550F9">
              <w:rPr>
                <w:i/>
                <w:iCs/>
              </w:rPr>
              <w:t xml:space="preserve"> i</w:t>
            </w:r>
            <w:r w:rsidRPr="00A550F9">
              <w:t xml:space="preserve"> of the structure above the transfer zone which has the highest influence on the effect </w:t>
            </w:r>
            <w:r w:rsidRPr="00A550F9">
              <w:rPr>
                <w:i/>
                <w:iCs/>
              </w:rPr>
              <w:t>E</w:t>
            </w:r>
            <w:r w:rsidRPr="00A550F9">
              <w:t xml:space="preserve"> in the members of the transfer zone under consideration -with </w:t>
            </w:r>
            <w:r w:rsidRPr="00A550F9">
              <w:rPr>
                <w:rFonts w:ascii="Cambria Math" w:hAnsi="Cambria Math" w:cs="Cambria Math"/>
                <w:i/>
                <w:iCs/>
              </w:rPr>
              <w:t>Ω</w:t>
            </w:r>
            <w:r w:rsidRPr="00A550F9">
              <w:rPr>
                <w:vertAlign w:val="subscript"/>
              </w:rPr>
              <w:t>d</w:t>
            </w:r>
            <w:r w:rsidRPr="00A550F9">
              <w:t> = 1 in large reinforced concrete walls (see 10.9);</w:t>
            </w:r>
          </w:p>
        </w:tc>
      </w:tr>
      <w:tr w:rsidR="008C200F" w:rsidRPr="005B0CDD" w14:paraId="11962330" w14:textId="77777777" w:rsidTr="00E7259E">
        <w:tc>
          <w:tcPr>
            <w:tcW w:w="1275" w:type="dxa"/>
          </w:tcPr>
          <w:p w14:paraId="4B5D5CDE" w14:textId="7A68B7EE" w:rsidR="008C200F" w:rsidRPr="00132C1E" w:rsidRDefault="008C200F" w:rsidP="002061E5">
            <w:pPr>
              <w:pStyle w:val="Tablebody"/>
              <w:rPr>
                <w:i/>
                <w:iCs/>
              </w:rPr>
            </w:pPr>
            <w:r w:rsidRPr="00132C1E">
              <w:t>"+"</w:t>
            </w:r>
          </w:p>
        </w:tc>
        <w:tc>
          <w:tcPr>
            <w:tcW w:w="7938" w:type="dxa"/>
          </w:tcPr>
          <w:p w14:paraId="57C09161" w14:textId="40E1D91E" w:rsidR="008C200F" w:rsidRPr="007E6F67" w:rsidRDefault="00022693" w:rsidP="002061E5">
            <w:pPr>
              <w:pStyle w:val="Tablebody"/>
            </w:pPr>
            <w:r w:rsidRPr="00132C1E">
              <w:t>means combined with + or – sign.</w:t>
            </w:r>
          </w:p>
        </w:tc>
      </w:tr>
    </w:tbl>
    <w:p w14:paraId="4A4DD7EA" w14:textId="579F5F47" w:rsidR="00022693" w:rsidRPr="004B7791" w:rsidRDefault="00022693" w:rsidP="00022693">
      <w:pPr>
        <w:pStyle w:val="Notetext"/>
      </w:pPr>
      <w:r w:rsidRPr="004B7791">
        <w:t>NOTE</w:t>
      </w:r>
      <w:r w:rsidRPr="004B7791">
        <w:tab/>
        <w:t xml:space="preserve">The action effect considered in the calculation of </w:t>
      </w:r>
      <w:r w:rsidRPr="004B7791">
        <w:rPr>
          <w:i/>
          <w:iCs/>
        </w:rPr>
        <w:t>Ω</w:t>
      </w:r>
      <w:r w:rsidRPr="004B7791">
        <w:rPr>
          <w:vertAlign w:val="subscript"/>
        </w:rPr>
        <w:t>d</w:t>
      </w:r>
      <w:r w:rsidRPr="004B7791">
        <w:t xml:space="preserve"> is the one by which the dissipative zone under consideration dissipates energy</w:t>
      </w:r>
      <w:r w:rsidR="00E7259E">
        <w:t>,</w:t>
      </w:r>
      <w:r w:rsidRPr="004B7791">
        <w:t xml:space="preserve"> e.g. bending moment for plastic hinge in bending, tension in the diagonal of a bracing.</w:t>
      </w:r>
    </w:p>
    <w:p w14:paraId="2760F98F" w14:textId="1D6E33BD" w:rsidR="00022693" w:rsidRPr="00132C1E" w:rsidRDefault="00022693" w:rsidP="0080187E">
      <w:pPr>
        <w:pStyle w:val="Clause"/>
        <w:numPr>
          <w:ilvl w:val="0"/>
          <w:numId w:val="270"/>
        </w:numPr>
      </w:pPr>
      <w:r w:rsidRPr="00132C1E">
        <w:t>Condition given by Formula (6.</w:t>
      </w:r>
      <w:r w:rsidR="000345C6">
        <w:t>6</w:t>
      </w:r>
      <w:r w:rsidRPr="00132C1E">
        <w:t>) may be neglected in the transfer zone.</w:t>
      </w:r>
    </w:p>
    <w:p w14:paraId="4E52BCB6" w14:textId="1FEF70E8" w:rsidR="00022693" w:rsidRPr="00132C1E" w:rsidRDefault="00022693" w:rsidP="00022693">
      <w:pPr>
        <w:pStyle w:val="Heading3"/>
      </w:pPr>
      <w:bookmarkStart w:id="948" w:name="_Toc16927649"/>
      <w:bookmarkStart w:id="949" w:name="_Toc50150302"/>
      <w:bookmarkStart w:id="950" w:name="_Toc70886733"/>
      <w:bookmarkStart w:id="951" w:name="_Toc108342236"/>
      <w:bookmarkStart w:id="952" w:name="_Toc134197823"/>
      <w:r w:rsidRPr="00132C1E">
        <w:t>Verification of underground basements</w:t>
      </w:r>
      <w:bookmarkEnd w:id="948"/>
      <w:bookmarkEnd w:id="949"/>
      <w:bookmarkEnd w:id="950"/>
      <w:bookmarkEnd w:id="951"/>
      <w:bookmarkEnd w:id="952"/>
    </w:p>
    <w:p w14:paraId="571E832F" w14:textId="26613F0B" w:rsidR="00022693" w:rsidRPr="009A3AE4" w:rsidRDefault="00022693" w:rsidP="0080187E">
      <w:pPr>
        <w:pStyle w:val="Clause"/>
        <w:numPr>
          <w:ilvl w:val="0"/>
          <w:numId w:val="271"/>
        </w:numPr>
      </w:pPr>
      <w:bookmarkStart w:id="953" w:name="_Hlk97196759"/>
      <w:r w:rsidRPr="00132C1E">
        <w:t xml:space="preserve">Underground basements should be verified under the action of surrounding soil in the seismic design situation, considering, for each component of the seismic action, the most unfavourable effects resulting from the application of the </w:t>
      </w:r>
      <w:r w:rsidRPr="009A3AE4">
        <w:t>action as defined in (2) in one direction or the opposite.</w:t>
      </w:r>
    </w:p>
    <w:bookmarkEnd w:id="953"/>
    <w:p w14:paraId="489B7F96" w14:textId="15B3A2FC" w:rsidR="00022693" w:rsidRPr="009A3AE4" w:rsidRDefault="00022693" w:rsidP="0080187E">
      <w:pPr>
        <w:pStyle w:val="Clause"/>
        <w:numPr>
          <w:ilvl w:val="0"/>
          <w:numId w:val="271"/>
        </w:numPr>
      </w:pPr>
      <w:r w:rsidRPr="009A3AE4">
        <w:t>The soil pressures due to the seismic action on the windward side of the basement should be as given in prEN</w:t>
      </w:r>
      <w:r w:rsidR="009A3AE4">
        <w:t> </w:t>
      </w:r>
      <w:r w:rsidRPr="009A3AE4">
        <w:t>1998-5:2022, 10.3.2.</w:t>
      </w:r>
    </w:p>
    <w:p w14:paraId="107A6B59" w14:textId="01749C10" w:rsidR="00022693" w:rsidRPr="009A3AE4" w:rsidRDefault="00022693" w:rsidP="0080187E">
      <w:pPr>
        <w:pStyle w:val="Clause"/>
        <w:numPr>
          <w:ilvl w:val="0"/>
          <w:numId w:val="271"/>
        </w:numPr>
      </w:pPr>
      <w:r w:rsidRPr="009A3AE4">
        <w:t>The verification of overall stability of the building and resistance of soil should be made as specified in prEN</w:t>
      </w:r>
      <w:r w:rsidR="009A3AE4">
        <w:t> </w:t>
      </w:r>
      <w:r w:rsidRPr="009A3AE4">
        <w:t>1998-5:2022, 9.4.2.</w:t>
      </w:r>
    </w:p>
    <w:p w14:paraId="4374DE3E" w14:textId="20B3D9B3" w:rsidR="00022693" w:rsidRPr="00132C1E" w:rsidRDefault="00022693" w:rsidP="0080187E">
      <w:pPr>
        <w:pStyle w:val="Clause"/>
        <w:numPr>
          <w:ilvl w:val="0"/>
          <w:numId w:val="271"/>
        </w:numPr>
      </w:pPr>
      <w:r w:rsidRPr="00132C1E">
        <w:lastRenderedPageBreak/>
        <w:t xml:space="preserve">The verification of the underground structures of the basement should take into account the effects of actions resulting </w:t>
      </w:r>
      <w:r w:rsidRPr="009A3AE4">
        <w:t>from (1), (2) and (3).</w:t>
      </w:r>
    </w:p>
    <w:p w14:paraId="757ED11A" w14:textId="668833B4" w:rsidR="00022693" w:rsidRPr="00132C1E" w:rsidRDefault="00022693" w:rsidP="00022693">
      <w:pPr>
        <w:pStyle w:val="Heading2"/>
      </w:pPr>
      <w:bookmarkStart w:id="954" w:name="_Toc16927650"/>
      <w:bookmarkStart w:id="955" w:name="_Toc50150303"/>
      <w:bookmarkStart w:id="956" w:name="_Toc70886734"/>
      <w:bookmarkStart w:id="957" w:name="_Toc108342237"/>
      <w:bookmarkStart w:id="958" w:name="_Toc134197824"/>
      <w:r w:rsidRPr="00132C1E">
        <w:t>Verification to other limit states</w:t>
      </w:r>
      <w:bookmarkEnd w:id="954"/>
      <w:bookmarkEnd w:id="955"/>
      <w:bookmarkEnd w:id="956"/>
      <w:bookmarkEnd w:id="957"/>
      <w:bookmarkEnd w:id="958"/>
    </w:p>
    <w:p w14:paraId="1D28D7D2" w14:textId="77777777" w:rsidR="00022693" w:rsidRPr="00132C1E" w:rsidRDefault="00022693" w:rsidP="00022693">
      <w:pPr>
        <w:pStyle w:val="Heading3"/>
      </w:pPr>
      <w:bookmarkStart w:id="959" w:name="_Toc16927651"/>
      <w:bookmarkStart w:id="960" w:name="_Toc50150304"/>
      <w:bookmarkStart w:id="961" w:name="_Toc70886735"/>
      <w:bookmarkStart w:id="962" w:name="_Toc108342238"/>
      <w:bookmarkStart w:id="963" w:name="_Toc134197825"/>
      <w:r w:rsidRPr="00132C1E">
        <w:t>Verification to Near Collapse (NC) limit state</w:t>
      </w:r>
      <w:bookmarkEnd w:id="959"/>
      <w:bookmarkEnd w:id="960"/>
      <w:bookmarkEnd w:id="961"/>
      <w:bookmarkEnd w:id="962"/>
      <w:bookmarkEnd w:id="963"/>
    </w:p>
    <w:p w14:paraId="42EC530E" w14:textId="47C9FA00" w:rsidR="00022693" w:rsidRPr="00132C1E" w:rsidRDefault="00022693" w:rsidP="0080187E">
      <w:pPr>
        <w:pStyle w:val="Clause"/>
        <w:numPr>
          <w:ilvl w:val="0"/>
          <w:numId w:val="272"/>
        </w:numPr>
      </w:pPr>
      <w:r w:rsidRPr="00132C1E">
        <w:t xml:space="preserve">In case the NC limit state is used, it should be verified that, under the specified seismic action, the deformation limits or other relevant limits given in </w:t>
      </w:r>
      <w:r w:rsidR="005C79D5">
        <w:t>pr</w:t>
      </w:r>
      <w:r>
        <w:t>EN</w:t>
      </w:r>
      <w:r w:rsidR="009A3AE4">
        <w:t> </w:t>
      </w:r>
      <w:r>
        <w:t>199</w:t>
      </w:r>
      <w:r w:rsidRPr="00132C1E">
        <w:t>8-3</w:t>
      </w:r>
      <w:r w:rsidRPr="00132C1E" w:rsidDel="006732F4">
        <w:t xml:space="preserve"> </w:t>
      </w:r>
      <w:r w:rsidRPr="00132C1E">
        <w:t>are not exceeded.</w:t>
      </w:r>
    </w:p>
    <w:p w14:paraId="7F3B09A9" w14:textId="3B9D10A9" w:rsidR="00022693" w:rsidRPr="00132C1E" w:rsidRDefault="00022693" w:rsidP="00022693">
      <w:pPr>
        <w:pStyle w:val="Heading3"/>
      </w:pPr>
      <w:bookmarkStart w:id="964" w:name="_Toc16927652"/>
      <w:bookmarkStart w:id="965" w:name="_Toc50150305"/>
      <w:bookmarkStart w:id="966" w:name="_Toc70886736"/>
      <w:bookmarkStart w:id="967" w:name="_Toc108342239"/>
      <w:bookmarkStart w:id="968" w:name="_Toc134197826"/>
      <w:r w:rsidRPr="00132C1E">
        <w:t>Verification of Damage Limitation (DL) limit state</w:t>
      </w:r>
      <w:bookmarkEnd w:id="964"/>
      <w:bookmarkEnd w:id="965"/>
      <w:bookmarkEnd w:id="966"/>
      <w:bookmarkEnd w:id="967"/>
      <w:bookmarkEnd w:id="968"/>
    </w:p>
    <w:p w14:paraId="16EEA6D6" w14:textId="77777777" w:rsidR="00022693" w:rsidRPr="00132C1E" w:rsidRDefault="00022693" w:rsidP="00022693">
      <w:pPr>
        <w:pStyle w:val="Heading4"/>
      </w:pPr>
      <w:bookmarkStart w:id="969" w:name="_Toc108342240"/>
      <w:r w:rsidRPr="00132C1E">
        <w:t>General</w:t>
      </w:r>
      <w:bookmarkEnd w:id="969"/>
    </w:p>
    <w:p w14:paraId="5C831EC1" w14:textId="312C8F7F" w:rsidR="00022693" w:rsidRPr="009A3AE4" w:rsidRDefault="00022693" w:rsidP="0080187E">
      <w:pPr>
        <w:pStyle w:val="Clause"/>
        <w:numPr>
          <w:ilvl w:val="0"/>
          <w:numId w:val="273"/>
        </w:numPr>
      </w:pPr>
      <w:r w:rsidRPr="00132C1E">
        <w:t xml:space="preserve">The DL limit state may be considered as verified when the interstorey drifts due to the seismic action associated to the DL limit state are limited in </w:t>
      </w:r>
      <w:r w:rsidRPr="009A3AE4">
        <w:t>accordance with 6.3.2.2.</w:t>
      </w:r>
    </w:p>
    <w:p w14:paraId="2D3FC91A" w14:textId="77777777" w:rsidR="00022693" w:rsidRPr="00132C1E" w:rsidRDefault="00022693" w:rsidP="0080187E">
      <w:pPr>
        <w:pStyle w:val="Clause"/>
        <w:numPr>
          <w:ilvl w:val="0"/>
          <w:numId w:val="273"/>
        </w:numPr>
      </w:pPr>
      <w:r w:rsidRPr="00132C1E">
        <w:t>Additional damage limitation verifications may be required for buildings of consequence class CC3-b, specific to the building under consideration.</w:t>
      </w:r>
    </w:p>
    <w:p w14:paraId="0312AF02" w14:textId="77777777" w:rsidR="00022693" w:rsidRPr="00132C1E" w:rsidRDefault="00022693" w:rsidP="00022693">
      <w:pPr>
        <w:pStyle w:val="Notetext"/>
      </w:pPr>
      <w:r w:rsidRPr="00132C1E">
        <w:t>NOTE</w:t>
      </w:r>
      <w:r w:rsidRPr="00132C1E">
        <w:tab/>
        <w:t xml:space="preserve">The additional verifications at DL limit state applied to specified buildings can be </w:t>
      </w:r>
      <w:r w:rsidRPr="00132C1E">
        <w:rPr>
          <w:sz w:val="19"/>
          <w:szCs w:val="19"/>
        </w:rPr>
        <w:t xml:space="preserve">specified by a relevant Authority or </w:t>
      </w:r>
      <w:r w:rsidRPr="00132C1E">
        <w:t>can be found in the National Annex or</w:t>
      </w:r>
      <w:r w:rsidRPr="00132C1E">
        <w:rPr>
          <w:szCs w:val="24"/>
        </w:rPr>
        <w:t xml:space="preserve">, </w:t>
      </w:r>
      <w:r w:rsidRPr="00132C1E">
        <w:rPr>
          <w:sz w:val="19"/>
          <w:szCs w:val="19"/>
        </w:rPr>
        <w:t xml:space="preserve">where not specified, </w:t>
      </w:r>
      <w:r w:rsidRPr="00132C1E">
        <w:rPr>
          <w:szCs w:val="24"/>
        </w:rPr>
        <w:t>agreed for a specific project by the relevant parties</w:t>
      </w:r>
      <w:r w:rsidRPr="00132C1E">
        <w:t>.</w:t>
      </w:r>
    </w:p>
    <w:p w14:paraId="7ED09AEB" w14:textId="77777777" w:rsidR="00022693" w:rsidRPr="00132C1E" w:rsidRDefault="00022693" w:rsidP="00022693">
      <w:pPr>
        <w:pStyle w:val="Heading4"/>
      </w:pPr>
      <w:bookmarkStart w:id="970" w:name="_Toc108342241"/>
      <w:r w:rsidRPr="00132C1E">
        <w:t>Limitation of interstorey drift</w:t>
      </w:r>
      <w:bookmarkEnd w:id="970"/>
    </w:p>
    <w:p w14:paraId="23D4163F" w14:textId="3D5E77B4" w:rsidR="00022693" w:rsidRPr="00022693" w:rsidRDefault="00022693" w:rsidP="0080187E">
      <w:pPr>
        <w:pStyle w:val="Clause"/>
        <w:numPr>
          <w:ilvl w:val="0"/>
          <w:numId w:val="274"/>
        </w:numPr>
      </w:pPr>
      <w:r w:rsidRPr="00022693">
        <w:t xml:space="preserve">Unless otherwise specified in </w:t>
      </w:r>
      <w:r w:rsidR="00E7259E">
        <w:t xml:space="preserve">Clauses </w:t>
      </w:r>
      <w:r w:rsidRPr="009A3AE4">
        <w:rPr>
          <w:bCs/>
        </w:rPr>
        <w:t>10 to 15 or if (2)</w:t>
      </w:r>
      <w:r w:rsidRPr="00B00B3D">
        <w:t xml:space="preserve"> </w:t>
      </w:r>
      <w:r w:rsidRPr="00022693">
        <w:t>applies, the condition given by Formula (6.</w:t>
      </w:r>
      <w:r w:rsidR="000345C6">
        <w:t>7</w:t>
      </w:r>
      <w:r w:rsidRPr="00022693">
        <w:t>) should be satisfied.</w:t>
      </w:r>
    </w:p>
    <w:p w14:paraId="566FE896" w14:textId="57CF0514" w:rsidR="00022693" w:rsidRDefault="009B5CEC" w:rsidP="00022693">
      <w:pPr>
        <w:pStyle w:val="Formula"/>
        <w:spacing w:before="240"/>
      </w:pPr>
      <m:oMath>
        <m:sSub>
          <m:sSubPr>
            <m:ctrlPr>
              <w:rPr>
                <w:rFonts w:ascii="Cambria Math" w:hAnsi="Cambria Math"/>
              </w:rPr>
            </m:ctrlPr>
          </m:sSubPr>
          <m:e>
            <m:r>
              <w:rPr>
                <w:rFonts w:ascii="Cambria Math" w:hAnsi="Cambria Math"/>
              </w:rPr>
              <m:t>d</m:t>
            </m:r>
          </m:e>
          <m:sub>
            <m:r>
              <m:rPr>
                <m:sty m:val="p"/>
              </m:rPr>
              <w:rPr>
                <w:rFonts w:ascii="Cambria Math" w:hAnsi="Cambria Math"/>
              </w:rPr>
              <m:t>r,DL</m:t>
            </m:r>
          </m:sub>
        </m:sSub>
        <m:r>
          <w:rPr>
            <w:rFonts w:ascii="Cambria Math" w:hAnsi="Cambria Math"/>
          </w:rPr>
          <m:t xml:space="preserve"> ≤</m:t>
        </m:r>
        <m:sSub>
          <m:sSubPr>
            <m:ctrlPr>
              <w:rPr>
                <w:rFonts w:ascii="Cambria Math" w:hAnsi="Cambria Math"/>
              </w:rPr>
            </m:ctrlPr>
          </m:sSubPr>
          <m:e>
            <m:r>
              <w:rPr>
                <w:rFonts w:ascii="Cambria Math" w:hAnsi="Cambria Math"/>
              </w:rPr>
              <m:t>λ</m:t>
            </m:r>
          </m:e>
          <m:sub>
            <m:r>
              <m:rPr>
                <m:sty m:val="p"/>
              </m:rPr>
              <w:rPr>
                <w:rFonts w:ascii="Cambria Math" w:hAnsi="Cambria Math"/>
              </w:rPr>
              <m:t>ns</m:t>
            </m:r>
          </m:sub>
        </m:sSub>
        <m:sSub>
          <m:sSubPr>
            <m:ctrlPr>
              <w:rPr>
                <w:rFonts w:ascii="Cambria Math" w:hAnsi="Cambria Math"/>
              </w:rPr>
            </m:ctrlPr>
          </m:sSubPr>
          <m:e>
            <m:r>
              <w:rPr>
                <w:rFonts w:ascii="Cambria Math" w:hAnsi="Cambria Math"/>
              </w:rPr>
              <m:t>h</m:t>
            </m:r>
          </m:e>
          <m:sub>
            <m:r>
              <m:rPr>
                <m:sty m:val="p"/>
              </m:rPr>
              <w:rPr>
                <w:rFonts w:ascii="Cambria Math" w:hAnsi="Cambria Math"/>
              </w:rPr>
              <m:t>s</m:t>
            </m:r>
          </m:sub>
        </m:sSub>
      </m:oMath>
      <w:r w:rsidR="00022693" w:rsidRPr="00870D59">
        <w:tab/>
        <w:t>(</w:t>
      </w:r>
      <w:r w:rsidR="00022693">
        <w:t>6.</w:t>
      </w:r>
      <w:r w:rsidR="000345C6">
        <w:t>7</w:t>
      </w:r>
      <w:r w:rsidR="00022693" w:rsidRPr="00870D59">
        <w:t>)</w:t>
      </w:r>
    </w:p>
    <w:p w14:paraId="47D2A930" w14:textId="73A4FB1C" w:rsidR="008E6AFF" w:rsidRPr="008E6AFF" w:rsidRDefault="008E6AFF" w:rsidP="009A3AE4">
      <w:pPr>
        <w:pStyle w:val="Text"/>
      </w:pPr>
      <w:r>
        <w:t>where</w:t>
      </w:r>
    </w:p>
    <w:tbl>
      <w:tblPr>
        <w:tblW w:w="0" w:type="auto"/>
        <w:tblInd w:w="284" w:type="dxa"/>
        <w:tblLook w:val="04A0" w:firstRow="1" w:lastRow="0" w:firstColumn="1" w:lastColumn="0" w:noHBand="0" w:noVBand="1"/>
      </w:tblPr>
      <w:tblGrid>
        <w:gridCol w:w="1337"/>
        <w:gridCol w:w="7938"/>
      </w:tblGrid>
      <w:tr w:rsidR="00022693" w:rsidRPr="005B0CDD" w14:paraId="5EAF983D" w14:textId="77777777" w:rsidTr="004E0AE9">
        <w:tc>
          <w:tcPr>
            <w:tcW w:w="1337" w:type="dxa"/>
          </w:tcPr>
          <w:p w14:paraId="1E3A9F55" w14:textId="377D1F66" w:rsidR="00022693" w:rsidRPr="005B0CDD" w:rsidRDefault="008E6AFF" w:rsidP="002061E5">
            <w:pPr>
              <w:pStyle w:val="Tablebody"/>
              <w:rPr>
                <w:rFonts w:asciiTheme="majorHAnsi" w:hAnsiTheme="majorHAnsi"/>
              </w:rPr>
            </w:pPr>
            <w:r w:rsidRPr="00D1484A">
              <w:rPr>
                <w:i/>
              </w:rPr>
              <w:t>d</w:t>
            </w:r>
            <w:r w:rsidRPr="007E6F67">
              <w:rPr>
                <w:vertAlign w:val="subscript"/>
              </w:rPr>
              <w:t>r,DL</w:t>
            </w:r>
          </w:p>
        </w:tc>
        <w:tc>
          <w:tcPr>
            <w:tcW w:w="7938" w:type="dxa"/>
          </w:tcPr>
          <w:p w14:paraId="49FF3561" w14:textId="6C24E62F" w:rsidR="00022693" w:rsidRPr="009A3AE4" w:rsidRDefault="008E6AFF" w:rsidP="002061E5">
            <w:pPr>
              <w:pStyle w:val="Tablebody"/>
              <w:rPr>
                <w:rFonts w:asciiTheme="majorHAnsi" w:hAnsiTheme="majorHAnsi"/>
              </w:rPr>
            </w:pPr>
            <w:r w:rsidRPr="009A3AE4">
              <w:t xml:space="preserve">has a similar definition as </w:t>
            </w:r>
            <w:r w:rsidRPr="009A3AE4">
              <w:rPr>
                <w:i/>
              </w:rPr>
              <w:t>d</w:t>
            </w:r>
            <w:r w:rsidRPr="009A3AE4">
              <w:rPr>
                <w:vertAlign w:val="subscript"/>
              </w:rPr>
              <w:t>r,SD</w:t>
            </w:r>
            <w:r w:rsidRPr="009A3AE4">
              <w:t xml:space="preserve"> in 6.2.4(1), but calculated for the DL Limit state</w:t>
            </w:r>
            <w:r w:rsidRPr="009A3AE4">
              <w:rPr>
                <w:sz w:val="18"/>
                <w:szCs w:val="18"/>
              </w:rPr>
              <w:t>;</w:t>
            </w:r>
          </w:p>
        </w:tc>
      </w:tr>
      <w:tr w:rsidR="00022693" w:rsidRPr="005B0CDD" w14:paraId="0B2D8FF5" w14:textId="77777777" w:rsidTr="004E0AE9">
        <w:tc>
          <w:tcPr>
            <w:tcW w:w="1337" w:type="dxa"/>
          </w:tcPr>
          <w:p w14:paraId="11703960" w14:textId="44D01113" w:rsidR="00022693" w:rsidRPr="00D1484A" w:rsidRDefault="008E6AFF" w:rsidP="002061E5">
            <w:pPr>
              <w:pStyle w:val="Tablebody"/>
              <w:rPr>
                <w:rFonts w:ascii="Symbol" w:eastAsia="Symbol" w:hAnsi="Symbol" w:cs="Symbol"/>
                <w:i/>
              </w:rPr>
            </w:pPr>
            <w:r w:rsidRPr="00132C1E">
              <w:rPr>
                <w:i/>
              </w:rPr>
              <w:t>h</w:t>
            </w:r>
            <w:r w:rsidRPr="00132C1E">
              <w:rPr>
                <w:iCs/>
                <w:vertAlign w:val="subscript"/>
              </w:rPr>
              <w:t>s</w:t>
            </w:r>
          </w:p>
        </w:tc>
        <w:tc>
          <w:tcPr>
            <w:tcW w:w="7938" w:type="dxa"/>
          </w:tcPr>
          <w:p w14:paraId="1955C9DB" w14:textId="273C5C6F" w:rsidR="00022693" w:rsidRPr="007E6F67" w:rsidRDefault="008E6AFF" w:rsidP="002061E5">
            <w:pPr>
              <w:pStyle w:val="Tablebody"/>
            </w:pPr>
            <w:r w:rsidRPr="00132C1E">
              <w:t>is the storey height;</w:t>
            </w:r>
          </w:p>
        </w:tc>
      </w:tr>
      <w:tr w:rsidR="00022693" w:rsidRPr="005B0CDD" w14:paraId="57DFB5CB" w14:textId="77777777" w:rsidTr="004E0AE9">
        <w:tc>
          <w:tcPr>
            <w:tcW w:w="1337" w:type="dxa"/>
          </w:tcPr>
          <w:p w14:paraId="6DF862B9" w14:textId="6577E1D9" w:rsidR="00022693" w:rsidRPr="00132C1E" w:rsidRDefault="008E6AFF" w:rsidP="002061E5">
            <w:pPr>
              <w:pStyle w:val="Tablebody"/>
              <w:rPr>
                <w:i/>
                <w:iCs/>
              </w:rPr>
            </w:pPr>
            <w:r w:rsidRPr="00132C1E">
              <w:rPr>
                <w:i/>
                <w:iCs/>
              </w:rPr>
              <w:t>λ</w:t>
            </w:r>
            <w:r w:rsidRPr="00132C1E">
              <w:rPr>
                <w:vertAlign w:val="subscript"/>
              </w:rPr>
              <w:t>ns</w:t>
            </w:r>
          </w:p>
        </w:tc>
        <w:tc>
          <w:tcPr>
            <w:tcW w:w="7938" w:type="dxa"/>
          </w:tcPr>
          <w:p w14:paraId="6CF0404D" w14:textId="25424301" w:rsidR="00022693" w:rsidRPr="007E6F67" w:rsidRDefault="008E6AFF" w:rsidP="002061E5">
            <w:pPr>
              <w:pStyle w:val="Tablebody"/>
            </w:pPr>
            <w:r w:rsidRPr="00132C1E">
              <w:t>coefficient accounting for sensitivity of ancillary elements to interstorey drift:</w:t>
            </w:r>
          </w:p>
        </w:tc>
      </w:tr>
      <w:tr w:rsidR="00022693" w:rsidRPr="005B0CDD" w14:paraId="0FC78938" w14:textId="77777777" w:rsidTr="004E0AE9">
        <w:tc>
          <w:tcPr>
            <w:tcW w:w="1337" w:type="dxa"/>
          </w:tcPr>
          <w:p w14:paraId="3C4E1546" w14:textId="33668D82" w:rsidR="00022693" w:rsidRPr="00132C1E" w:rsidRDefault="00022693" w:rsidP="002061E5">
            <w:pPr>
              <w:pStyle w:val="Tablebody"/>
              <w:rPr>
                <w:i/>
                <w:iCs/>
              </w:rPr>
            </w:pPr>
          </w:p>
        </w:tc>
        <w:tc>
          <w:tcPr>
            <w:tcW w:w="7938" w:type="dxa"/>
          </w:tcPr>
          <w:p w14:paraId="1A92E0D2" w14:textId="19F566D6" w:rsidR="00022693" w:rsidRPr="007E6F67" w:rsidRDefault="008E6AFF" w:rsidP="002061E5">
            <w:pPr>
              <w:pStyle w:val="Tablebody"/>
            </w:pPr>
            <w:r w:rsidRPr="00132C1E">
              <w:t>= 0,002</w:t>
            </w:r>
            <w:r w:rsidR="004E0AE9">
              <w:t> </w:t>
            </w:r>
            <w:r w:rsidRPr="00132C1E">
              <w:t>5 for buildings having ancillary elements of unreinforced masonry units of Group 4 attached to the structure,</w:t>
            </w:r>
          </w:p>
        </w:tc>
      </w:tr>
      <w:tr w:rsidR="008E6AFF" w:rsidRPr="005B0CDD" w14:paraId="0E4550F9" w14:textId="77777777" w:rsidTr="004E0AE9">
        <w:tc>
          <w:tcPr>
            <w:tcW w:w="1337" w:type="dxa"/>
          </w:tcPr>
          <w:p w14:paraId="651F4F91" w14:textId="77777777" w:rsidR="008E6AFF" w:rsidRPr="00132C1E" w:rsidRDefault="008E6AFF" w:rsidP="002061E5">
            <w:pPr>
              <w:pStyle w:val="Tablebody"/>
              <w:rPr>
                <w:i/>
                <w:iCs/>
              </w:rPr>
            </w:pPr>
          </w:p>
        </w:tc>
        <w:tc>
          <w:tcPr>
            <w:tcW w:w="7938" w:type="dxa"/>
          </w:tcPr>
          <w:p w14:paraId="7D3C52E7" w14:textId="584E1E86" w:rsidR="008E6AFF" w:rsidRPr="00132C1E" w:rsidRDefault="008E6AFF" w:rsidP="002061E5">
            <w:pPr>
              <w:pStyle w:val="Tablebody"/>
            </w:pPr>
            <w:r w:rsidRPr="00132C1E">
              <w:t>= 0,004</w:t>
            </w:r>
            <w:r w:rsidR="004E0AE9">
              <w:t> </w:t>
            </w:r>
            <w:r w:rsidRPr="00132C1E">
              <w:t>5 for buildings having ancillary elements of brittle materials attached to the structure, in particular unreinforced masonry with clay units of Groups 1, 2 or 3 with a thickness greater than 200</w:t>
            </w:r>
            <w:r w:rsidR="002C30CC">
              <w:t> </w:t>
            </w:r>
            <w:r w:rsidRPr="00132C1E">
              <w:t>mm and the normal</w:t>
            </w:r>
            <w:r w:rsidR="00E10A24">
              <w:t>ize</w:t>
            </w:r>
            <w:r w:rsidRPr="00132C1E">
              <w:t xml:space="preserve">d mean compressive strength </w:t>
            </w:r>
            <w:r w:rsidRPr="00132C1E">
              <w:rPr>
                <w:i/>
                <w:iCs/>
              </w:rPr>
              <w:t>f</w:t>
            </w:r>
            <w:r w:rsidRPr="00132C1E">
              <w:rPr>
                <w:vertAlign w:val="subscript"/>
              </w:rPr>
              <w:t>b</w:t>
            </w:r>
            <w:r w:rsidRPr="00132C1E">
              <w:t xml:space="preserve"> ≥ 3</w:t>
            </w:r>
            <w:r w:rsidR="002C30CC">
              <w:t> </w:t>
            </w:r>
            <w:r w:rsidRPr="00132C1E">
              <w:t>MPa,</w:t>
            </w:r>
          </w:p>
        </w:tc>
      </w:tr>
      <w:tr w:rsidR="008E6AFF" w:rsidRPr="005B0CDD" w14:paraId="4133E62F" w14:textId="77777777" w:rsidTr="004E0AE9">
        <w:tc>
          <w:tcPr>
            <w:tcW w:w="1337" w:type="dxa"/>
          </w:tcPr>
          <w:p w14:paraId="7A5DB7CD" w14:textId="77777777" w:rsidR="008E6AFF" w:rsidRPr="00132C1E" w:rsidRDefault="008E6AFF" w:rsidP="002061E5">
            <w:pPr>
              <w:pStyle w:val="Tablebody"/>
              <w:rPr>
                <w:i/>
                <w:iCs/>
              </w:rPr>
            </w:pPr>
          </w:p>
        </w:tc>
        <w:tc>
          <w:tcPr>
            <w:tcW w:w="7938" w:type="dxa"/>
          </w:tcPr>
          <w:p w14:paraId="786120CA" w14:textId="4B4C3214" w:rsidR="008E6AFF" w:rsidRPr="00132C1E" w:rsidRDefault="008E6AFF" w:rsidP="002061E5">
            <w:pPr>
              <w:pStyle w:val="Tablebody"/>
            </w:pPr>
            <w:r w:rsidRPr="009C1268">
              <w:t>= 0,007</w:t>
            </w:r>
            <w:r w:rsidR="004E0AE9">
              <w:t> </w:t>
            </w:r>
            <w:r w:rsidRPr="009C1268">
              <w:t>5 for buildings having ductile ancillary elements attached to the structure</w:t>
            </w:r>
            <w:r>
              <w:t>.</w:t>
            </w:r>
          </w:p>
        </w:tc>
      </w:tr>
    </w:tbl>
    <w:p w14:paraId="1468FAEE" w14:textId="6CD74058" w:rsidR="008E6AFF" w:rsidRPr="004B7791" w:rsidRDefault="008E6AFF" w:rsidP="00BE7F52">
      <w:pPr>
        <w:pStyle w:val="Notetext"/>
      </w:pPr>
      <w:r w:rsidRPr="004B7791">
        <w:t>NOT</w:t>
      </w:r>
      <w:r w:rsidR="00BE7F52">
        <w:t>E</w:t>
      </w:r>
      <w:r>
        <w:tab/>
      </w:r>
      <w:r w:rsidRPr="004B7791">
        <w:t xml:space="preserve">Masonry unit groups are defined in </w:t>
      </w:r>
      <w:r>
        <w:t>EN</w:t>
      </w:r>
      <w:r w:rsidR="009A3AE4">
        <w:t> </w:t>
      </w:r>
      <w:r>
        <w:t>1996-1-1:202</w:t>
      </w:r>
      <w:r w:rsidR="009A3AE4">
        <w:t>2</w:t>
      </w:r>
      <w:r w:rsidRPr="004B7791">
        <w:t>, 5.1</w:t>
      </w:r>
      <w:r w:rsidR="009A3AE4">
        <w:t>.</w:t>
      </w:r>
    </w:p>
    <w:p w14:paraId="39D915F8" w14:textId="5171EF5F" w:rsidR="008E6AFF" w:rsidRPr="00132C1E" w:rsidRDefault="008E6AFF" w:rsidP="0080187E">
      <w:pPr>
        <w:pStyle w:val="Clause"/>
        <w:numPr>
          <w:ilvl w:val="0"/>
          <w:numId w:val="274"/>
        </w:numPr>
      </w:pPr>
      <w:r w:rsidRPr="00BE7F52">
        <w:rPr>
          <w:rFonts w:eastAsia="Calibri"/>
        </w:rPr>
        <w:t xml:space="preserve">Building structures and ancillary elements which </w:t>
      </w:r>
      <w:r w:rsidRPr="002C30CC">
        <w:rPr>
          <w:rFonts w:eastAsia="Calibri"/>
        </w:rPr>
        <w:t>satisfy 7.4.3 at</w:t>
      </w:r>
      <w:r w:rsidRPr="00BE7F52">
        <w:rPr>
          <w:rFonts w:eastAsia="Calibri"/>
        </w:rPr>
        <w:t xml:space="preserve"> SD are considered to satisfy Formula (6.</w:t>
      </w:r>
      <w:r w:rsidR="000345C6">
        <w:rPr>
          <w:rFonts w:eastAsia="Calibri"/>
        </w:rPr>
        <w:t>7</w:t>
      </w:r>
      <w:r w:rsidRPr="00BE7F52">
        <w:rPr>
          <w:rFonts w:eastAsia="Calibri"/>
        </w:rPr>
        <w:t>).</w:t>
      </w:r>
    </w:p>
    <w:p w14:paraId="582C9246" w14:textId="16794B05" w:rsidR="008E6AFF" w:rsidRPr="00132C1E" w:rsidRDefault="008E6AFF" w:rsidP="008E6AFF">
      <w:pPr>
        <w:pStyle w:val="Heading3"/>
      </w:pPr>
      <w:bookmarkStart w:id="971" w:name="_Toc16927653"/>
      <w:bookmarkStart w:id="972" w:name="_Toc50150306"/>
      <w:bookmarkStart w:id="973" w:name="_Toc70886737"/>
      <w:bookmarkStart w:id="974" w:name="_Toc108342242"/>
      <w:bookmarkStart w:id="975" w:name="_Toc134197827"/>
      <w:r w:rsidRPr="00132C1E">
        <w:lastRenderedPageBreak/>
        <w:t xml:space="preserve">Verification of </w:t>
      </w:r>
      <w:r>
        <w:t xml:space="preserve">fully </w:t>
      </w:r>
      <w:r w:rsidRPr="00132C1E">
        <w:t>Operational (OP) limit state</w:t>
      </w:r>
      <w:bookmarkEnd w:id="971"/>
      <w:bookmarkEnd w:id="972"/>
      <w:bookmarkEnd w:id="973"/>
      <w:bookmarkEnd w:id="974"/>
      <w:bookmarkEnd w:id="975"/>
    </w:p>
    <w:p w14:paraId="40F476B3" w14:textId="2DC123FD" w:rsidR="008E6AFF" w:rsidRPr="00132C1E" w:rsidRDefault="008E6AFF" w:rsidP="0080187E">
      <w:pPr>
        <w:pStyle w:val="Clause"/>
        <w:numPr>
          <w:ilvl w:val="0"/>
          <w:numId w:val="275"/>
        </w:numPr>
      </w:pPr>
      <w:r w:rsidRPr="00132C1E">
        <w:t xml:space="preserve">Criteria applicable to the building structure in addition to </w:t>
      </w:r>
      <w:r>
        <w:t>prEN</w:t>
      </w:r>
      <w:r w:rsidR="002C30CC">
        <w:t> </w:t>
      </w:r>
      <w:r>
        <w:t>1998-1-1:</w:t>
      </w:r>
      <w:r w:rsidRPr="002C30CC">
        <w:t>2022, 6.7.3(7), should be derived from the analysis of the components the operability of which is required as well as from</w:t>
      </w:r>
      <w:r w:rsidRPr="00132C1E">
        <w:t xml:space="preserve"> the analysis of their supporting systems.</w:t>
      </w:r>
    </w:p>
    <w:p w14:paraId="7D7A80BF" w14:textId="2D6DD45D" w:rsidR="008E6AFF" w:rsidRDefault="008E6AFF" w:rsidP="00BE7F52">
      <w:pPr>
        <w:pStyle w:val="Notetext"/>
      </w:pPr>
      <w:r w:rsidRPr="00132C1E">
        <w:t>NOTE</w:t>
      </w:r>
      <w:r w:rsidRPr="00132C1E">
        <w:tab/>
      </w:r>
      <w:r w:rsidRPr="00132C1E">
        <w:rPr>
          <w:szCs w:val="24"/>
        </w:rPr>
        <w:t xml:space="preserve">For a specific project, the relevant parties </w:t>
      </w:r>
      <w:r w:rsidRPr="00132C1E">
        <w:t>can specify all ancillary components of interest in the verification, together with a description of relevant damage states for each component and the associated provisions.</w:t>
      </w:r>
    </w:p>
    <w:p w14:paraId="50327429" w14:textId="7A9DA6B0" w:rsidR="00B07013" w:rsidRPr="00870D59" w:rsidRDefault="003E05D7" w:rsidP="00C82785">
      <w:pPr>
        <w:pStyle w:val="Heading1"/>
      </w:pPr>
      <w:bookmarkStart w:id="976" w:name="_Toc134197828"/>
      <w:r>
        <w:t>Ancillary elements</w:t>
      </w:r>
      <w:bookmarkEnd w:id="976"/>
    </w:p>
    <w:p w14:paraId="7951B959" w14:textId="3EA72BC1" w:rsidR="00D12838" w:rsidRPr="00870D59" w:rsidRDefault="00D12838" w:rsidP="00D12838">
      <w:pPr>
        <w:pStyle w:val="Heading2"/>
      </w:pPr>
      <w:bookmarkStart w:id="977" w:name="_Toc134197829"/>
      <w:r w:rsidRPr="00870D59">
        <w:t>General</w:t>
      </w:r>
      <w:bookmarkEnd w:id="977"/>
    </w:p>
    <w:p w14:paraId="7314726A" w14:textId="24056093" w:rsidR="003E05D7" w:rsidRDefault="003E05D7" w:rsidP="0080187E">
      <w:pPr>
        <w:pStyle w:val="Clause"/>
        <w:numPr>
          <w:ilvl w:val="0"/>
          <w:numId w:val="64"/>
        </w:numPr>
      </w:pPr>
      <w:r w:rsidRPr="00132C1E">
        <w:t xml:space="preserve">Ancillary elements of buildings that might, in case of failure, pose risks to human life or affect the main structure of the building or the services of facilities, shall, together with their supports, be verified to resist the design seismic </w:t>
      </w:r>
      <w:r w:rsidRPr="009C1268">
        <w:t>action in two orthogonal horizontal directions.</w:t>
      </w:r>
    </w:p>
    <w:p w14:paraId="72764B5C" w14:textId="3456F1AC" w:rsidR="003E05D7" w:rsidRDefault="003E05D7" w:rsidP="00530FC1">
      <w:pPr>
        <w:pStyle w:val="Notetext"/>
      </w:pPr>
      <w:r w:rsidRPr="00132C1E">
        <w:t>NOTE</w:t>
      </w:r>
      <w:r w:rsidRPr="00132C1E">
        <w:tab/>
        <w:t>Examples of ancillary elements are claddings, parapets, gables, antennas, mechanical appendages and equipment, curtain walls, partitions, railings, ceilings.</w:t>
      </w:r>
    </w:p>
    <w:p w14:paraId="3F35F631" w14:textId="7D56A331" w:rsidR="003E05D7" w:rsidRDefault="003E05D7" w:rsidP="0080187E">
      <w:pPr>
        <w:pStyle w:val="Clause"/>
        <w:numPr>
          <w:ilvl w:val="0"/>
          <w:numId w:val="64"/>
        </w:numPr>
      </w:pPr>
      <w:r w:rsidRPr="00685880">
        <w:t xml:space="preserve">For application </w:t>
      </w:r>
      <w:r w:rsidRPr="002C30CC">
        <w:t>of (1), the seismic</w:t>
      </w:r>
      <w:r w:rsidRPr="00685880">
        <w:t xml:space="preserve"> analysis should be based on a realistic model of the relevant structures and on an appropriate floor response spectrum derived from the response of the supporting structural members of the main seismic resisting system</w:t>
      </w:r>
      <w:r>
        <w:t>.</w:t>
      </w:r>
    </w:p>
    <w:p w14:paraId="143293B0" w14:textId="3E60FA08" w:rsidR="003E05D7" w:rsidRPr="00132C1E" w:rsidRDefault="003E05D7" w:rsidP="0080187E">
      <w:pPr>
        <w:pStyle w:val="Clause"/>
        <w:numPr>
          <w:ilvl w:val="0"/>
          <w:numId w:val="64"/>
        </w:numPr>
      </w:pPr>
      <w:r w:rsidRPr="0038386B">
        <w:t xml:space="preserve">If the ratio of the ancillary component mass, </w:t>
      </w:r>
      <w:r w:rsidRPr="0038386B">
        <w:rPr>
          <w:i/>
          <w:iCs/>
        </w:rPr>
        <w:t>m</w:t>
      </w:r>
      <w:r w:rsidRPr="0038386B">
        <w:rPr>
          <w:vertAlign w:val="subscript"/>
        </w:rPr>
        <w:t>a</w:t>
      </w:r>
      <w:r w:rsidRPr="0038386B">
        <w:t xml:space="preserve">, to floor mass, </w:t>
      </w:r>
      <w:r w:rsidRPr="0038386B">
        <w:rPr>
          <w:i/>
          <w:iCs/>
        </w:rPr>
        <w:t>m</w:t>
      </w:r>
      <w:r w:rsidRPr="0038386B">
        <w:rPr>
          <w:vertAlign w:val="subscript"/>
        </w:rPr>
        <w:t>i</w:t>
      </w:r>
      <w:r w:rsidRPr="0038386B">
        <w:t xml:space="preserve">, is greater than 0,01, the action effects in the ancillary elements and in the structural </w:t>
      </w:r>
      <w:r>
        <w:t xml:space="preserve">members </w:t>
      </w:r>
      <w:r w:rsidRPr="00530FC1">
        <w:rPr>
          <w:color w:val="auto"/>
        </w:rPr>
        <w:t xml:space="preserve">may </w:t>
      </w:r>
      <w:r w:rsidRPr="0038386B">
        <w:t>be calculated taking into account their dynamic interaction.</w:t>
      </w:r>
    </w:p>
    <w:p w14:paraId="1DA759A8" w14:textId="7F6C0851" w:rsidR="00B07013" w:rsidRPr="00870D59" w:rsidRDefault="00530FC1" w:rsidP="00530FC1">
      <w:pPr>
        <w:pStyle w:val="Heading2"/>
      </w:pPr>
      <w:bookmarkStart w:id="978" w:name="_Toc16927656"/>
      <w:bookmarkStart w:id="979" w:name="_Toc50150309"/>
      <w:bookmarkStart w:id="980" w:name="_Toc70886740"/>
      <w:bookmarkStart w:id="981" w:name="_Toc108342245"/>
      <w:bookmarkStart w:id="982" w:name="_Toc134197830"/>
      <w:r w:rsidRPr="00132C1E">
        <w:t>Verification at Significant Damage (SD) limit state</w:t>
      </w:r>
      <w:bookmarkEnd w:id="978"/>
      <w:bookmarkEnd w:id="979"/>
      <w:bookmarkEnd w:id="980"/>
      <w:bookmarkEnd w:id="981"/>
      <w:bookmarkEnd w:id="982"/>
    </w:p>
    <w:p w14:paraId="62A6B2B2" w14:textId="6FCCF3EF" w:rsidR="00D12838" w:rsidRPr="00870D59" w:rsidRDefault="00530FC1" w:rsidP="00D12838">
      <w:pPr>
        <w:pStyle w:val="Heading3"/>
      </w:pPr>
      <w:bookmarkStart w:id="983" w:name="_Toc16927657"/>
      <w:bookmarkStart w:id="984" w:name="_Toc50150310"/>
      <w:bookmarkStart w:id="985" w:name="_Toc70886741"/>
      <w:bookmarkStart w:id="986" w:name="_Toc108342246"/>
      <w:bookmarkStart w:id="987" w:name="_Toc134197831"/>
      <w:r w:rsidRPr="00132C1E">
        <w:t>Seismic action effects</w:t>
      </w:r>
      <w:bookmarkEnd w:id="983"/>
      <w:bookmarkEnd w:id="984"/>
      <w:bookmarkEnd w:id="985"/>
      <w:bookmarkEnd w:id="986"/>
      <w:bookmarkEnd w:id="987"/>
    </w:p>
    <w:p w14:paraId="67E63936" w14:textId="77777777" w:rsidR="00530FC1" w:rsidRPr="00132C1E" w:rsidRDefault="00530FC1" w:rsidP="0080187E">
      <w:pPr>
        <w:pStyle w:val="Clause"/>
        <w:numPr>
          <w:ilvl w:val="0"/>
          <w:numId w:val="65"/>
        </w:numPr>
      </w:pPr>
      <w:bookmarkStart w:id="988" w:name="_Ref31028931"/>
      <w:r w:rsidRPr="00132C1E">
        <w:t xml:space="preserve">The ancillary elements, as well as their connections to the structure, should be verified for the seismic design situation in terms of acceleration and </w:t>
      </w:r>
      <w:r w:rsidRPr="009C1268">
        <w:t>displacement in two orthogonal horizontal directions.</w:t>
      </w:r>
    </w:p>
    <w:p w14:paraId="062DC88D" w14:textId="77777777" w:rsidR="00530FC1" w:rsidRPr="00132C1E" w:rsidRDefault="00530FC1" w:rsidP="0080187E">
      <w:pPr>
        <w:pStyle w:val="Clause"/>
        <w:numPr>
          <w:ilvl w:val="0"/>
          <w:numId w:val="65"/>
        </w:numPr>
      </w:pPr>
      <w:r w:rsidRPr="00132C1E">
        <w:t>The local transfer of action effects to the structure due to the fastening of ancillary elements and their influence on the seismic response should be accounted for.</w:t>
      </w:r>
    </w:p>
    <w:p w14:paraId="25738D56" w14:textId="72932E78" w:rsidR="00530FC1" w:rsidRPr="00132C1E" w:rsidRDefault="00530FC1" w:rsidP="00530FC1">
      <w:pPr>
        <w:pStyle w:val="Notetext"/>
      </w:pPr>
      <w:r>
        <w:t>NOTE</w:t>
      </w:r>
      <w:r>
        <w:tab/>
        <w:t>The provisions for fastenings to concrete are given in prEN</w:t>
      </w:r>
      <w:r w:rsidR="002C30CC">
        <w:t> </w:t>
      </w:r>
      <w:r>
        <w:t>1998-1-1:2022,</w:t>
      </w:r>
      <w:r w:rsidRPr="73B99CC8">
        <w:rPr>
          <w:b/>
          <w:bCs/>
        </w:rPr>
        <w:t xml:space="preserve"> </w:t>
      </w:r>
      <w:r>
        <w:t xml:space="preserve">Annex </w:t>
      </w:r>
      <w:r w:rsidR="6C2DA5DA">
        <w:t>G</w:t>
      </w:r>
      <w:r w:rsidRPr="73B99CC8">
        <w:rPr>
          <w:b/>
          <w:bCs/>
        </w:rPr>
        <w:t>.</w:t>
      </w:r>
    </w:p>
    <w:p w14:paraId="5D01D3FD" w14:textId="77777777" w:rsidR="00530FC1" w:rsidRPr="00132C1E" w:rsidRDefault="00530FC1" w:rsidP="0080187E">
      <w:pPr>
        <w:pStyle w:val="Clause"/>
        <w:numPr>
          <w:ilvl w:val="0"/>
          <w:numId w:val="65"/>
        </w:numPr>
      </w:pPr>
      <w:r w:rsidRPr="00132C1E">
        <w:t xml:space="preserve">The seismic action </w:t>
      </w:r>
      <w:r w:rsidRPr="009C1268">
        <w:t xml:space="preserve">effects on ancillary elements may be determined by applying to them in the horizontal direction considered a </w:t>
      </w:r>
      <w:r w:rsidRPr="00132C1E">
        <w:t xml:space="preserve">horizontal </w:t>
      </w:r>
      <w:r w:rsidRPr="00530FC1">
        <w:rPr>
          <w:color w:val="auto"/>
        </w:rPr>
        <w:t xml:space="preserve">force </w:t>
      </w:r>
      <w:r w:rsidRPr="00530FC1">
        <w:rPr>
          <w:i/>
          <w:color w:val="auto"/>
        </w:rPr>
        <w:t>F</w:t>
      </w:r>
      <w:r w:rsidRPr="00530FC1">
        <w:rPr>
          <w:color w:val="auto"/>
          <w:vertAlign w:val="subscript"/>
        </w:rPr>
        <w:t>ap</w:t>
      </w:r>
      <w:r w:rsidRPr="00530FC1">
        <w:rPr>
          <w:color w:val="auto"/>
        </w:rPr>
        <w:t xml:space="preserve"> </w:t>
      </w:r>
      <w:r w:rsidRPr="00132C1E">
        <w:t>defined by Formula (7.1).</w:t>
      </w:r>
    </w:p>
    <w:p w14:paraId="37AB93F8" w14:textId="48BCEE91" w:rsidR="00530FC1" w:rsidRPr="00870D59" w:rsidRDefault="00530FC1" w:rsidP="00530FC1">
      <w:pPr>
        <w:pStyle w:val="Formula"/>
      </w:pPr>
      <w:r w:rsidRPr="007A246E">
        <w:rPr>
          <w:i/>
        </w:rPr>
        <w:t>F</w:t>
      </w:r>
      <w:r w:rsidRPr="000149A1">
        <w:rPr>
          <w:vertAlign w:val="subscript"/>
        </w:rPr>
        <w:t>a</w:t>
      </w:r>
      <w:r>
        <w:rPr>
          <w:vertAlign w:val="subscript"/>
        </w:rPr>
        <w:t>p</w:t>
      </w:r>
      <w:r w:rsidRPr="000149A1">
        <w:t xml:space="preserve"> = </w:t>
      </w:r>
      <w:r w:rsidRPr="007A246E">
        <w:rPr>
          <w:i/>
        </w:rPr>
        <w:t>γ</w:t>
      </w:r>
      <w:r w:rsidRPr="000149A1">
        <w:rPr>
          <w:vertAlign w:val="subscript"/>
        </w:rPr>
        <w:t>a</w:t>
      </w:r>
      <w:r>
        <w:rPr>
          <w:vertAlign w:val="subscript"/>
        </w:rPr>
        <w:t>p</w:t>
      </w:r>
      <w:r w:rsidRPr="000149A1">
        <w:t xml:space="preserve"> </w:t>
      </w:r>
      <w:r w:rsidRPr="007A246E">
        <w:rPr>
          <w:i/>
        </w:rPr>
        <w:t>m</w:t>
      </w:r>
      <w:r w:rsidRPr="000149A1">
        <w:rPr>
          <w:vertAlign w:val="subscript"/>
        </w:rPr>
        <w:t>a</w:t>
      </w:r>
      <w:r>
        <w:rPr>
          <w:vertAlign w:val="subscript"/>
        </w:rPr>
        <w:t>p</w:t>
      </w:r>
      <w:r w:rsidRPr="000149A1">
        <w:t xml:space="preserve"> </w:t>
      </w:r>
      <w:r w:rsidRPr="007A246E">
        <w:rPr>
          <w:i/>
        </w:rPr>
        <w:t>S</w:t>
      </w:r>
      <w:r w:rsidRPr="000149A1">
        <w:rPr>
          <w:vertAlign w:val="subscript"/>
        </w:rPr>
        <w:t>a</w:t>
      </w:r>
      <w:r>
        <w:rPr>
          <w:vertAlign w:val="subscript"/>
        </w:rPr>
        <w:t>p</w:t>
      </w:r>
      <w:r w:rsidRPr="000149A1">
        <w:t>/</w:t>
      </w:r>
      <w:r w:rsidRPr="007A246E">
        <w:rPr>
          <w:i/>
        </w:rPr>
        <w:t>q</w:t>
      </w:r>
      <w:r w:rsidRPr="000149A1">
        <w:rPr>
          <w:vertAlign w:val="subscript"/>
        </w:rPr>
        <w:t>a</w:t>
      </w:r>
      <w:r>
        <w:rPr>
          <w:vertAlign w:val="subscript"/>
        </w:rPr>
        <w:t>p</w:t>
      </w:r>
      <w:r w:rsidRPr="000149A1">
        <w:t>’</w:t>
      </w:r>
      <w:r w:rsidRPr="00870D59">
        <w:tab/>
        <w:t>(7.1)</w:t>
      </w:r>
    </w:p>
    <w:p w14:paraId="4C66B96D" w14:textId="6FE59D3B" w:rsidR="00530FC1" w:rsidRDefault="00530FC1" w:rsidP="002C30CC">
      <w:pPr>
        <w:pStyle w:val="Text"/>
      </w:pPr>
      <w:r>
        <w:t>where</w:t>
      </w:r>
    </w:p>
    <w:tbl>
      <w:tblPr>
        <w:tblW w:w="0" w:type="auto"/>
        <w:tblInd w:w="284" w:type="dxa"/>
        <w:tblLook w:val="04A0" w:firstRow="1" w:lastRow="0" w:firstColumn="1" w:lastColumn="0" w:noHBand="0" w:noVBand="1"/>
      </w:tblPr>
      <w:tblGrid>
        <w:gridCol w:w="1337"/>
        <w:gridCol w:w="7938"/>
      </w:tblGrid>
      <w:tr w:rsidR="00530FC1" w:rsidRPr="00870D59" w14:paraId="61FE7A8F" w14:textId="77777777" w:rsidTr="004E0AE9">
        <w:tc>
          <w:tcPr>
            <w:tcW w:w="1337" w:type="dxa"/>
            <w:shd w:val="clear" w:color="auto" w:fill="auto"/>
          </w:tcPr>
          <w:p w14:paraId="546C2619" w14:textId="70594ECE" w:rsidR="00530FC1" w:rsidRPr="00870D59" w:rsidRDefault="00530FC1" w:rsidP="002061E5">
            <w:pPr>
              <w:pStyle w:val="Tablebody"/>
              <w:rPr>
                <w:sz w:val="18"/>
                <w:szCs w:val="18"/>
              </w:rPr>
            </w:pPr>
            <w:r w:rsidRPr="00D1484A">
              <w:rPr>
                <w:i/>
              </w:rPr>
              <w:t>F</w:t>
            </w:r>
            <w:r w:rsidRPr="007E6F67">
              <w:rPr>
                <w:vertAlign w:val="subscript"/>
              </w:rPr>
              <w:t>a</w:t>
            </w:r>
            <w:r>
              <w:rPr>
                <w:vertAlign w:val="subscript"/>
              </w:rPr>
              <w:t>p</w:t>
            </w:r>
          </w:p>
        </w:tc>
        <w:tc>
          <w:tcPr>
            <w:tcW w:w="7938" w:type="dxa"/>
          </w:tcPr>
          <w:p w14:paraId="53FE6892" w14:textId="39AA249F" w:rsidR="00530FC1" w:rsidRPr="00870D59" w:rsidRDefault="00003CF0" w:rsidP="002061E5">
            <w:pPr>
              <w:pStyle w:val="Tablebody"/>
            </w:pPr>
            <w:r w:rsidRPr="007E6F67">
              <w:t xml:space="preserve">is the horizontal </w:t>
            </w:r>
            <w:r w:rsidRPr="00FD17CF">
              <w:t>seismic force, acting at the centre of mass of the ancillary element in the most unfavourable direction;</w:t>
            </w:r>
          </w:p>
        </w:tc>
      </w:tr>
      <w:tr w:rsidR="00530FC1" w:rsidRPr="00870D59" w14:paraId="13C1CBA4" w14:textId="77777777" w:rsidTr="004E0AE9">
        <w:tc>
          <w:tcPr>
            <w:tcW w:w="1337" w:type="dxa"/>
            <w:shd w:val="clear" w:color="auto" w:fill="auto"/>
          </w:tcPr>
          <w:p w14:paraId="7AB0B1C3" w14:textId="77BD442C" w:rsidR="00530FC1" w:rsidRPr="00870D59" w:rsidRDefault="00530FC1" w:rsidP="002061E5">
            <w:pPr>
              <w:pStyle w:val="Tablebody"/>
              <w:rPr>
                <w:i/>
              </w:rPr>
            </w:pPr>
            <w:r w:rsidRPr="00644C3D">
              <w:rPr>
                <w:i/>
              </w:rPr>
              <w:t>m</w:t>
            </w:r>
            <w:r w:rsidRPr="00E05E29">
              <w:rPr>
                <w:vertAlign w:val="subscript"/>
              </w:rPr>
              <w:t>a</w:t>
            </w:r>
            <w:r>
              <w:rPr>
                <w:vertAlign w:val="subscript"/>
              </w:rPr>
              <w:t>p</w:t>
            </w:r>
          </w:p>
        </w:tc>
        <w:tc>
          <w:tcPr>
            <w:tcW w:w="7938" w:type="dxa"/>
          </w:tcPr>
          <w:p w14:paraId="67A082AB" w14:textId="269C3F20" w:rsidR="00530FC1" w:rsidRPr="00870D59" w:rsidRDefault="00003CF0" w:rsidP="002061E5">
            <w:pPr>
              <w:pStyle w:val="Tablebody"/>
            </w:pPr>
            <w:r w:rsidRPr="002144A0">
              <w:t>is the mass of the element;</w:t>
            </w:r>
          </w:p>
        </w:tc>
      </w:tr>
      <w:tr w:rsidR="00530FC1" w:rsidRPr="00870D59" w14:paraId="7B82EF7A" w14:textId="77777777" w:rsidTr="004E0AE9">
        <w:tc>
          <w:tcPr>
            <w:tcW w:w="1337" w:type="dxa"/>
            <w:shd w:val="clear" w:color="auto" w:fill="auto"/>
          </w:tcPr>
          <w:p w14:paraId="0CAE0D2D" w14:textId="3C01803B" w:rsidR="00530FC1" w:rsidRPr="00870D59" w:rsidRDefault="00003CF0" w:rsidP="002061E5">
            <w:pPr>
              <w:pStyle w:val="Tablebody"/>
              <w:rPr>
                <w:i/>
              </w:rPr>
            </w:pPr>
            <w:r w:rsidRPr="00C52095">
              <w:rPr>
                <w:i/>
              </w:rPr>
              <w:t>S</w:t>
            </w:r>
            <w:r w:rsidRPr="00C52095">
              <w:rPr>
                <w:vertAlign w:val="subscript"/>
              </w:rPr>
              <w:t>a</w:t>
            </w:r>
            <w:r>
              <w:rPr>
                <w:vertAlign w:val="subscript"/>
              </w:rPr>
              <w:t>p</w:t>
            </w:r>
          </w:p>
        </w:tc>
        <w:tc>
          <w:tcPr>
            <w:tcW w:w="7938" w:type="dxa"/>
          </w:tcPr>
          <w:p w14:paraId="0C3C2C7A" w14:textId="41B215CA" w:rsidR="00530FC1" w:rsidRPr="002C30CC" w:rsidRDefault="00003CF0" w:rsidP="002061E5">
            <w:pPr>
              <w:pStyle w:val="Tablebody"/>
            </w:pPr>
            <w:r w:rsidRPr="002C30CC">
              <w:t>is the value in the floor acceleration spectrum, see (4);</w:t>
            </w:r>
          </w:p>
        </w:tc>
      </w:tr>
      <w:tr w:rsidR="00530FC1" w:rsidRPr="00870D59" w14:paraId="70638BF2" w14:textId="77777777" w:rsidTr="004E0AE9">
        <w:tc>
          <w:tcPr>
            <w:tcW w:w="1337" w:type="dxa"/>
            <w:shd w:val="clear" w:color="auto" w:fill="auto"/>
          </w:tcPr>
          <w:p w14:paraId="692A0D22" w14:textId="7C925B54" w:rsidR="00530FC1" w:rsidRPr="00870D59" w:rsidRDefault="00003CF0" w:rsidP="002061E5">
            <w:pPr>
              <w:pStyle w:val="Tablebody"/>
              <w:rPr>
                <w:i/>
              </w:rPr>
            </w:pPr>
            <w:r w:rsidRPr="00132C1E">
              <w:rPr>
                <w:rFonts w:ascii="Symbol" w:eastAsia="Symbol" w:hAnsi="Symbol" w:cs="Symbol"/>
                <w:i/>
              </w:rPr>
              <w:lastRenderedPageBreak/>
              <w:t></w:t>
            </w:r>
            <w:r w:rsidRPr="00132C1E">
              <w:rPr>
                <w:vertAlign w:val="subscript"/>
              </w:rPr>
              <w:t>a</w:t>
            </w:r>
            <w:r>
              <w:rPr>
                <w:vertAlign w:val="subscript"/>
              </w:rPr>
              <w:t>p</w:t>
            </w:r>
          </w:p>
        </w:tc>
        <w:tc>
          <w:tcPr>
            <w:tcW w:w="7938" w:type="dxa"/>
          </w:tcPr>
          <w:p w14:paraId="0D46CE43" w14:textId="3219B835" w:rsidR="00530FC1" w:rsidRPr="002C30CC" w:rsidRDefault="00003CF0" w:rsidP="002061E5">
            <w:pPr>
              <w:pStyle w:val="Tablebody"/>
            </w:pPr>
            <w:r w:rsidRPr="002C30CC">
              <w:t>is the performance factor of the element, see 7.2.2;</w:t>
            </w:r>
          </w:p>
        </w:tc>
      </w:tr>
      <w:tr w:rsidR="00530FC1" w:rsidRPr="00870D59" w14:paraId="1A936144" w14:textId="77777777" w:rsidTr="004E0AE9">
        <w:tc>
          <w:tcPr>
            <w:tcW w:w="1337" w:type="dxa"/>
            <w:shd w:val="clear" w:color="auto" w:fill="auto"/>
          </w:tcPr>
          <w:p w14:paraId="35FCB82E" w14:textId="025F8B58" w:rsidR="00530FC1" w:rsidRPr="00870D59" w:rsidRDefault="00003CF0" w:rsidP="002061E5">
            <w:pPr>
              <w:pStyle w:val="Tablebody"/>
              <w:rPr>
                <w:i/>
              </w:rPr>
            </w:pPr>
            <w:r w:rsidRPr="00132C1E">
              <w:rPr>
                <w:i/>
                <w:iCs/>
              </w:rPr>
              <w:t>q</w:t>
            </w:r>
            <w:r w:rsidRPr="00132C1E">
              <w:rPr>
                <w:vertAlign w:val="subscript"/>
              </w:rPr>
              <w:t>a</w:t>
            </w:r>
            <w:r>
              <w:rPr>
                <w:vertAlign w:val="subscript"/>
              </w:rPr>
              <w:t>p</w:t>
            </w:r>
            <w:r w:rsidRPr="00132C1E">
              <w:t>’</w:t>
            </w:r>
          </w:p>
        </w:tc>
        <w:tc>
          <w:tcPr>
            <w:tcW w:w="7938" w:type="dxa"/>
          </w:tcPr>
          <w:p w14:paraId="3B327A87" w14:textId="7C6AE7D5" w:rsidR="00530FC1" w:rsidRPr="00870D59" w:rsidRDefault="00003CF0" w:rsidP="002061E5">
            <w:pPr>
              <w:pStyle w:val="Tablebody"/>
            </w:pPr>
            <w:r w:rsidRPr="00132C1E">
              <w:t>is the period dependent behaviour factor of the ancillary element, given in Annex</w:t>
            </w:r>
            <w:r w:rsidR="00467D9F">
              <w:t> </w:t>
            </w:r>
            <w:r w:rsidRPr="00132C1E">
              <w:t>C.</w:t>
            </w:r>
          </w:p>
        </w:tc>
      </w:tr>
    </w:tbl>
    <w:p w14:paraId="395E5215" w14:textId="2000A4C9" w:rsidR="00003CF0" w:rsidRPr="00132C1E" w:rsidRDefault="00003CF0" w:rsidP="0080187E">
      <w:pPr>
        <w:pStyle w:val="Clause"/>
        <w:numPr>
          <w:ilvl w:val="0"/>
          <w:numId w:val="65"/>
        </w:numPr>
      </w:pPr>
      <w:r w:rsidRPr="00132C1E">
        <w:t xml:space="preserve">The floor acceleration spectral values </w:t>
      </w:r>
      <w:r w:rsidRPr="00F51FD4">
        <w:rPr>
          <w:i/>
        </w:rPr>
        <w:t>S</w:t>
      </w:r>
      <w:r w:rsidRPr="00F51FD4">
        <w:rPr>
          <w:vertAlign w:val="subscript"/>
        </w:rPr>
        <w:t>a</w:t>
      </w:r>
      <w:r>
        <w:rPr>
          <w:vertAlign w:val="subscript"/>
        </w:rPr>
        <w:t>p</w:t>
      </w:r>
      <w:r w:rsidRPr="00132C1E">
        <w:t xml:space="preserve"> should be determined for two horizontal directions.</w:t>
      </w:r>
    </w:p>
    <w:p w14:paraId="727FCBA3" w14:textId="77777777" w:rsidR="00003CF0" w:rsidRPr="0039332C" w:rsidRDefault="00003CF0" w:rsidP="0080187E">
      <w:pPr>
        <w:pStyle w:val="Clause"/>
        <w:numPr>
          <w:ilvl w:val="0"/>
          <w:numId w:val="65"/>
        </w:numPr>
      </w:pPr>
      <w:r w:rsidRPr="0039332C">
        <w:t xml:space="preserve">In case of ancillary elements with uniformly distributed mass (e.g. partition wall), the resultant force </w:t>
      </w:r>
      <w:r w:rsidRPr="00F51FD4">
        <w:rPr>
          <w:i/>
        </w:rPr>
        <w:t>F</w:t>
      </w:r>
      <w:r w:rsidRPr="00F51FD4">
        <w:rPr>
          <w:vertAlign w:val="subscript"/>
        </w:rPr>
        <w:t>a</w:t>
      </w:r>
      <w:r>
        <w:rPr>
          <w:vertAlign w:val="subscript"/>
        </w:rPr>
        <w:t>p</w:t>
      </w:r>
      <w:r w:rsidRPr="0039332C">
        <w:t xml:space="preserve"> may be distributed proportionally to the mass or its deformed shape.</w:t>
      </w:r>
    </w:p>
    <w:p w14:paraId="2BB42E84" w14:textId="1AACB5F8" w:rsidR="00003CF0" w:rsidRDefault="00003CF0" w:rsidP="0080187E">
      <w:pPr>
        <w:pStyle w:val="Clause"/>
        <w:numPr>
          <w:ilvl w:val="0"/>
          <w:numId w:val="65"/>
        </w:numPr>
      </w:pPr>
      <w:r w:rsidRPr="00736639">
        <w:t xml:space="preserve">In case floor response spectra are available, the </w:t>
      </w:r>
      <w:r w:rsidRPr="00F51FD4">
        <w:rPr>
          <w:i/>
        </w:rPr>
        <w:t>S</w:t>
      </w:r>
      <w:r w:rsidRPr="00F51FD4">
        <w:rPr>
          <w:vertAlign w:val="subscript"/>
        </w:rPr>
        <w:t>a</w:t>
      </w:r>
      <w:r>
        <w:rPr>
          <w:vertAlign w:val="subscript"/>
        </w:rPr>
        <w:t>p</w:t>
      </w:r>
      <w:r w:rsidRPr="00736639">
        <w:t xml:space="preserve"> value at floor </w:t>
      </w:r>
      <w:r w:rsidRPr="00F51FD4">
        <w:rPr>
          <w:i/>
        </w:rPr>
        <w:t>j</w:t>
      </w:r>
      <w:r w:rsidRPr="00736639">
        <w:t xml:space="preserve">, </w:t>
      </w:r>
      <w:r w:rsidRPr="00F51FD4">
        <w:rPr>
          <w:i/>
        </w:rPr>
        <w:t>S</w:t>
      </w:r>
      <w:r w:rsidRPr="00F51FD4">
        <w:rPr>
          <w:vertAlign w:val="subscript"/>
        </w:rPr>
        <w:t>a</w:t>
      </w:r>
      <w:r>
        <w:rPr>
          <w:vertAlign w:val="subscript"/>
        </w:rPr>
        <w:t>p</w:t>
      </w:r>
      <w:r w:rsidRPr="00F51FD4">
        <w:rPr>
          <w:i/>
          <w:vertAlign w:val="subscript"/>
        </w:rPr>
        <w:t>,j</w:t>
      </w:r>
      <w:r w:rsidRPr="00736639">
        <w:t>, in the direction under consideration may be taken as given by Formula</w:t>
      </w:r>
      <w:r w:rsidR="002C30CC">
        <w:t xml:space="preserve"> </w:t>
      </w:r>
      <w:r w:rsidRPr="00736639">
        <w:t>(7.2).</w:t>
      </w:r>
    </w:p>
    <w:p w14:paraId="4619A06B" w14:textId="64A6AB8E" w:rsidR="00003CF0" w:rsidRPr="00870D59" w:rsidRDefault="009B5CEC" w:rsidP="00003CF0">
      <w:pPr>
        <w:pStyle w:val="Formula"/>
      </w:pPr>
      <m:oMath>
        <m:sSub>
          <m:sSubPr>
            <m:ctrlPr>
              <w:rPr>
                <w:rFonts w:ascii="Cambria Math" w:hAnsi="Cambria Math"/>
              </w:rPr>
            </m:ctrlPr>
          </m:sSubPr>
          <m:e>
            <m:r>
              <w:rPr>
                <w:rFonts w:ascii="Cambria Math" w:hAnsi="Cambria Math"/>
              </w:rPr>
              <m:t>S</m:t>
            </m:r>
          </m:e>
          <m:sub>
            <m:r>
              <m:rPr>
                <m:sty m:val="p"/>
              </m:rPr>
              <w:rPr>
                <w:rFonts w:ascii="Cambria Math" w:hAnsi="Cambria Math"/>
              </w:rPr>
              <m:t>ap,j</m:t>
            </m:r>
          </m:sub>
        </m:sSub>
        <m:r>
          <w:rPr>
            <w:rFonts w:ascii="Cambria Math" w:hAnsi="Cambria Math"/>
          </w:rPr>
          <m:t xml:space="preserve">=  </m:t>
        </m:r>
        <m:sSub>
          <m:sSubPr>
            <m:ctrlPr>
              <w:rPr>
                <w:rFonts w:ascii="Cambria Math" w:hAnsi="Cambria Math"/>
              </w:rPr>
            </m:ctrlPr>
          </m:sSubPr>
          <m:e>
            <m:r>
              <w:rPr>
                <w:rFonts w:ascii="Cambria Math" w:hAnsi="Cambria Math"/>
              </w:rPr>
              <m:t>S</m:t>
            </m:r>
          </m:e>
          <m:sub>
            <m:r>
              <m:rPr>
                <m:sty m:val="p"/>
              </m:rPr>
              <w:rPr>
                <w:rFonts w:ascii="Cambria Math" w:hAnsi="Cambria Math"/>
              </w:rPr>
              <m:t>floor,j</m:t>
            </m:r>
          </m:sub>
        </m:sSub>
        <m:r>
          <w:rPr>
            <w:rFonts w:ascii="Cambria Math" w:hAnsi="Cambria Math"/>
          </w:rPr>
          <m:t>(</m:t>
        </m:r>
        <m:sSub>
          <m:sSubPr>
            <m:ctrlPr>
              <w:rPr>
                <w:rFonts w:ascii="Cambria Math" w:hAnsi="Cambria Math"/>
              </w:rPr>
            </m:ctrlPr>
          </m:sSubPr>
          <m:e>
            <m:r>
              <w:rPr>
                <w:rFonts w:ascii="Cambria Math" w:hAnsi="Cambria Math"/>
              </w:rPr>
              <m:t>T</m:t>
            </m:r>
          </m:e>
          <m:sub>
            <m:r>
              <m:rPr>
                <m:sty m:val="p"/>
              </m:rPr>
              <w:rPr>
                <w:rFonts w:ascii="Cambria Math" w:hAnsi="Cambria Math"/>
              </w:rPr>
              <m:t>ap</m:t>
            </m:r>
          </m:sub>
        </m:sSub>
        <m:r>
          <w:rPr>
            <w:rFonts w:ascii="Cambria Math" w:hAnsi="Cambria Math"/>
          </w:rPr>
          <m:t>,</m:t>
        </m:r>
        <m:sSub>
          <m:sSubPr>
            <m:ctrlPr>
              <w:rPr>
                <w:rFonts w:ascii="Cambria Math" w:hAnsi="Cambria Math"/>
              </w:rPr>
            </m:ctrlPr>
          </m:sSubPr>
          <m:e>
            <m:r>
              <w:rPr>
                <w:rFonts w:ascii="Cambria Math" w:hAnsi="Cambria Math"/>
              </w:rPr>
              <m:t>ξ</m:t>
            </m:r>
          </m:e>
          <m:sub>
            <m:r>
              <m:rPr>
                <m:sty m:val="p"/>
              </m:rPr>
              <w:rPr>
                <w:rFonts w:ascii="Cambria Math" w:hAnsi="Cambria Math"/>
              </w:rPr>
              <m:t>ap</m:t>
            </m:r>
          </m:sub>
        </m:sSub>
        <m:r>
          <w:rPr>
            <w:rFonts w:ascii="Cambria Math" w:hAnsi="Cambria Math"/>
          </w:rPr>
          <m:t>)</m:t>
        </m:r>
      </m:oMath>
      <w:r w:rsidR="00003CF0" w:rsidRPr="00870D59">
        <w:tab/>
        <w:t>(7.</w:t>
      </w:r>
      <w:r w:rsidR="00003CF0">
        <w:t>2</w:t>
      </w:r>
      <w:r w:rsidR="00003CF0" w:rsidRPr="00870D59">
        <w:t>)</w:t>
      </w:r>
    </w:p>
    <w:p w14:paraId="602BF4EC" w14:textId="05AB23DA" w:rsidR="00003CF0" w:rsidRDefault="00003CF0" w:rsidP="002C30CC">
      <w:pPr>
        <w:pStyle w:val="Text"/>
      </w:pPr>
      <w:r>
        <w:t>where</w:t>
      </w:r>
    </w:p>
    <w:tbl>
      <w:tblPr>
        <w:tblW w:w="0" w:type="auto"/>
        <w:tblInd w:w="284" w:type="dxa"/>
        <w:tblLook w:val="04A0" w:firstRow="1" w:lastRow="0" w:firstColumn="1" w:lastColumn="0" w:noHBand="0" w:noVBand="1"/>
      </w:tblPr>
      <w:tblGrid>
        <w:gridCol w:w="1337"/>
        <w:gridCol w:w="7938"/>
      </w:tblGrid>
      <w:tr w:rsidR="00003CF0" w:rsidRPr="00870D59" w14:paraId="7E4FD3D8" w14:textId="77777777" w:rsidTr="004E0AE9">
        <w:tc>
          <w:tcPr>
            <w:tcW w:w="1337" w:type="dxa"/>
            <w:shd w:val="clear" w:color="auto" w:fill="auto"/>
          </w:tcPr>
          <w:p w14:paraId="115FE997" w14:textId="40AFEB9A" w:rsidR="00003CF0" w:rsidRPr="00870D59" w:rsidRDefault="00003CF0" w:rsidP="002061E5">
            <w:pPr>
              <w:pStyle w:val="Tablebody"/>
              <w:rPr>
                <w:sz w:val="18"/>
                <w:szCs w:val="18"/>
              </w:rPr>
            </w:pPr>
            <w:r w:rsidRPr="007E6F67">
              <w:rPr>
                <w:i/>
              </w:rPr>
              <w:t>T</w:t>
            </w:r>
            <w:r w:rsidRPr="007E6F67">
              <w:rPr>
                <w:vertAlign w:val="subscript"/>
              </w:rPr>
              <w:t>a</w:t>
            </w:r>
            <w:r>
              <w:rPr>
                <w:vertAlign w:val="subscript"/>
              </w:rPr>
              <w:t>p</w:t>
            </w:r>
          </w:p>
        </w:tc>
        <w:tc>
          <w:tcPr>
            <w:tcW w:w="7938" w:type="dxa"/>
          </w:tcPr>
          <w:p w14:paraId="2790EFE4" w14:textId="4C4F7F23" w:rsidR="00003CF0" w:rsidRPr="00870D59" w:rsidRDefault="00003CF0" w:rsidP="002061E5">
            <w:pPr>
              <w:pStyle w:val="Tablebody"/>
            </w:pPr>
            <w:r w:rsidRPr="00132C1E">
              <w:t>is the natural period of the ancillary element;</w:t>
            </w:r>
          </w:p>
        </w:tc>
      </w:tr>
      <w:tr w:rsidR="00003CF0" w:rsidRPr="00870D59" w14:paraId="4BF9EF78" w14:textId="77777777" w:rsidTr="004E0AE9">
        <w:tc>
          <w:tcPr>
            <w:tcW w:w="1337" w:type="dxa"/>
            <w:shd w:val="clear" w:color="auto" w:fill="auto"/>
          </w:tcPr>
          <w:p w14:paraId="577EF363" w14:textId="56A0F3EF" w:rsidR="00003CF0" w:rsidRPr="00870D59" w:rsidRDefault="00003CF0" w:rsidP="002061E5">
            <w:pPr>
              <w:pStyle w:val="Tablebody"/>
              <w:rPr>
                <w:i/>
              </w:rPr>
            </w:pPr>
            <w:r w:rsidRPr="00132C1E">
              <w:rPr>
                <w:rFonts w:ascii="Symbol" w:hAnsi="Symbol"/>
                <w:i/>
              </w:rPr>
              <w:t></w:t>
            </w:r>
            <w:r w:rsidRPr="00132C1E">
              <w:rPr>
                <w:vertAlign w:val="subscript"/>
              </w:rPr>
              <w:t>a</w:t>
            </w:r>
            <w:r>
              <w:rPr>
                <w:vertAlign w:val="subscript"/>
              </w:rPr>
              <w:t>p</w:t>
            </w:r>
          </w:p>
        </w:tc>
        <w:tc>
          <w:tcPr>
            <w:tcW w:w="7938" w:type="dxa"/>
          </w:tcPr>
          <w:p w14:paraId="3C4C08CA" w14:textId="7122CA1B" w:rsidR="00003CF0" w:rsidRPr="00870D59" w:rsidRDefault="00003CF0" w:rsidP="002061E5">
            <w:pPr>
              <w:pStyle w:val="Tablebody"/>
            </w:pPr>
            <w:r w:rsidRPr="00132C1E">
              <w:t>is the critical damping ratio of the ancillary element</w:t>
            </w:r>
            <w:r w:rsidR="00D15282" w:rsidRPr="00D15282">
              <w:rPr>
                <w:lang w:val="en-US"/>
              </w:rPr>
              <w:t xml:space="preserve">, which may be taken equal to </w:t>
            </w:r>
            <w:r w:rsidR="00976580">
              <w:rPr>
                <w:lang w:val="en-US"/>
              </w:rPr>
              <w:t>2</w:t>
            </w:r>
            <w:r w:rsidR="004E0AE9">
              <w:rPr>
                <w:lang w:val="en-US"/>
              </w:rPr>
              <w:t> </w:t>
            </w:r>
            <w:r w:rsidR="00D15282" w:rsidRPr="00D15282">
              <w:rPr>
                <w:lang w:val="en-US"/>
              </w:rPr>
              <w:t xml:space="preserve">%, unless greater values are </w:t>
            </w:r>
            <w:r w:rsidR="00D15282" w:rsidRPr="00D15282">
              <w:t>demonstrated</w:t>
            </w:r>
            <w:r w:rsidRPr="00132C1E">
              <w:t>;</w:t>
            </w:r>
          </w:p>
        </w:tc>
      </w:tr>
      <w:tr w:rsidR="00003CF0" w:rsidRPr="00870D59" w14:paraId="322F9770" w14:textId="77777777" w:rsidTr="004E0AE9">
        <w:tc>
          <w:tcPr>
            <w:tcW w:w="1337" w:type="dxa"/>
            <w:shd w:val="clear" w:color="auto" w:fill="auto"/>
          </w:tcPr>
          <w:p w14:paraId="4E64B060" w14:textId="59E6B5CC" w:rsidR="00003CF0" w:rsidRPr="00870D59" w:rsidRDefault="00003CF0" w:rsidP="002061E5">
            <w:pPr>
              <w:pStyle w:val="Tablebody"/>
              <w:rPr>
                <w:i/>
              </w:rPr>
            </w:pPr>
            <w:r w:rsidRPr="00132C1E">
              <w:rPr>
                <w:i/>
                <w:iCs/>
              </w:rPr>
              <w:t>S</w:t>
            </w:r>
            <w:r w:rsidRPr="00132C1E">
              <w:rPr>
                <w:vertAlign w:val="subscript"/>
              </w:rPr>
              <w:t>floor,j</w:t>
            </w:r>
          </w:p>
        </w:tc>
        <w:tc>
          <w:tcPr>
            <w:tcW w:w="7938" w:type="dxa"/>
          </w:tcPr>
          <w:p w14:paraId="07CF2E4B" w14:textId="30AC30A1" w:rsidR="00003CF0" w:rsidRPr="00870D59" w:rsidRDefault="00003CF0" w:rsidP="002061E5">
            <w:pPr>
              <w:pStyle w:val="Tablebody"/>
            </w:pPr>
            <w:r w:rsidRPr="00132C1E">
              <w:t>is the response spectrum at the f</w:t>
            </w:r>
            <w:r>
              <w:t>l</w:t>
            </w:r>
            <w:r w:rsidRPr="00132C1E">
              <w:t xml:space="preserve">oor </w:t>
            </w:r>
            <w:r w:rsidRPr="00132C1E">
              <w:rPr>
                <w:i/>
                <w:iCs/>
              </w:rPr>
              <w:t>j</w:t>
            </w:r>
            <w:r w:rsidRPr="00132C1E">
              <w:t xml:space="preserve"> in the direction under consideration.</w:t>
            </w:r>
          </w:p>
        </w:tc>
      </w:tr>
    </w:tbl>
    <w:p w14:paraId="2B28F26A" w14:textId="5C2CC435" w:rsidR="00003CF0" w:rsidRPr="004B7791" w:rsidRDefault="00003CF0" w:rsidP="00523AC3">
      <w:pPr>
        <w:pStyle w:val="Notetext"/>
      </w:pPr>
      <w:r w:rsidRPr="004B7791">
        <w:t>NOTE</w:t>
      </w:r>
      <w:r>
        <w:tab/>
      </w:r>
      <w:r w:rsidRPr="004B7791">
        <w:t>The mode shape of the ancillary elements is affected by its boundary conditions which depend on its connections to the structure.</w:t>
      </w:r>
    </w:p>
    <w:p w14:paraId="5CE88693" w14:textId="7ED34A9A" w:rsidR="00003CF0" w:rsidRPr="00132C1E" w:rsidRDefault="00003CF0" w:rsidP="0080187E">
      <w:pPr>
        <w:pStyle w:val="Clause"/>
        <w:numPr>
          <w:ilvl w:val="0"/>
          <w:numId w:val="65"/>
        </w:numPr>
      </w:pPr>
      <w:r w:rsidRPr="00132C1E">
        <w:t xml:space="preserve">In case the ancillary </w:t>
      </w:r>
      <w:r w:rsidRPr="009C1268">
        <w:t xml:space="preserve">element meets the conditions a) or b) </w:t>
      </w:r>
      <w:r w:rsidRPr="00132C1E">
        <w:t xml:space="preserve">given </w:t>
      </w:r>
      <w:r w:rsidRPr="002C30CC">
        <w:t>in (8), the</w:t>
      </w:r>
      <w:r w:rsidRPr="00132C1E">
        <w:t xml:space="preserve"> </w:t>
      </w:r>
      <w:r w:rsidRPr="00F51FD4">
        <w:rPr>
          <w:i/>
        </w:rPr>
        <w:t>S</w:t>
      </w:r>
      <w:r w:rsidRPr="00F51FD4">
        <w:rPr>
          <w:vertAlign w:val="subscript"/>
        </w:rPr>
        <w:t>a</w:t>
      </w:r>
      <w:r>
        <w:rPr>
          <w:vertAlign w:val="subscript"/>
        </w:rPr>
        <w:t>p</w:t>
      </w:r>
      <w:r w:rsidRPr="00132C1E">
        <w:t xml:space="preserve"> value at floor </w:t>
      </w:r>
      <w:r w:rsidRPr="00F51FD4">
        <w:rPr>
          <w:i/>
        </w:rPr>
        <w:t>j</w:t>
      </w:r>
      <w:r w:rsidRPr="00132C1E">
        <w:t xml:space="preserve">, </w:t>
      </w:r>
      <w:r w:rsidRPr="00F51FD4">
        <w:rPr>
          <w:i/>
        </w:rPr>
        <w:t>S</w:t>
      </w:r>
      <w:r w:rsidRPr="00F51FD4">
        <w:rPr>
          <w:vertAlign w:val="subscript"/>
        </w:rPr>
        <w:t>a</w:t>
      </w:r>
      <w:r>
        <w:rPr>
          <w:vertAlign w:val="subscript"/>
        </w:rPr>
        <w:t>p</w:t>
      </w:r>
      <w:r w:rsidRPr="00F51FD4">
        <w:rPr>
          <w:i/>
          <w:vertAlign w:val="subscript"/>
        </w:rPr>
        <w:t>,j</w:t>
      </w:r>
      <w:r w:rsidRPr="00132C1E">
        <w:t>, in the direction under consideration may be taken as given by Formula</w:t>
      </w:r>
      <w:r w:rsidR="002C30CC">
        <w:t xml:space="preserve"> </w:t>
      </w:r>
      <w:r w:rsidRPr="00132C1E">
        <w:t>(7.3).</w:t>
      </w:r>
    </w:p>
    <w:p w14:paraId="7468B1C5" w14:textId="1F4FE6CE" w:rsidR="00003CF0" w:rsidRPr="00870D59" w:rsidRDefault="009B5CEC" w:rsidP="00003CF0">
      <w:pPr>
        <w:pStyle w:val="Formula"/>
      </w:pPr>
      <m:oMath>
        <m:sSub>
          <m:sSubPr>
            <m:ctrlPr>
              <w:rPr>
                <w:rFonts w:ascii="Cambria Math" w:hAnsi="Cambria Math"/>
              </w:rPr>
            </m:ctrlPr>
          </m:sSubPr>
          <m:e>
            <m:r>
              <w:rPr>
                <w:rFonts w:ascii="Cambria Math" w:hAnsi="Cambria Math"/>
              </w:rPr>
              <m:t>S</m:t>
            </m:r>
          </m:e>
          <m:sub>
            <m:r>
              <m:rPr>
                <m:sty m:val="p"/>
              </m:rPr>
              <w:rPr>
                <w:rFonts w:ascii="Cambria Math" w:hAnsi="Cambria Math"/>
              </w:rPr>
              <m:t>ap</m:t>
            </m:r>
            <m:r>
              <m:rPr>
                <m:sty m:val="p"/>
              </m:rPr>
              <w:rPr>
                <w:rFonts w:ascii="Cambria Math" w:hAnsi="Cambria Math"/>
                <w:szCs w:val="24"/>
              </w:rPr>
              <m:t>,</m:t>
            </m:r>
            <m:r>
              <m:rPr>
                <m:sty m:val="p"/>
              </m:rPr>
              <w:rPr>
                <w:rFonts w:ascii="Cambria Math" w:hAnsi="Cambria Math"/>
              </w:rPr>
              <m:t>j</m:t>
            </m:r>
          </m:sub>
        </m:sSub>
        <m:r>
          <w:rPr>
            <w:rFonts w:ascii="Cambria Math" w:hAnsi="Cambria Math"/>
            <w:szCs w:val="24"/>
          </w:rPr>
          <m:t>=</m:t>
        </m:r>
        <m:r>
          <w:rPr>
            <w:rFonts w:ascii="Cambria Math" w:hAnsi="Cambria Math"/>
          </w:rPr>
          <m:t xml:space="preserve">  </m:t>
        </m:r>
        <m:sSub>
          <m:sSubPr>
            <m:ctrlPr>
              <w:rPr>
                <w:rFonts w:ascii="Cambria Math" w:hAnsi="Cambria Math"/>
              </w:rPr>
            </m:ctrlPr>
          </m:sSubPr>
          <m:e>
            <m:r>
              <w:rPr>
                <w:rFonts w:ascii="Cambria Math" w:hAnsi="Cambria Math"/>
              </w:rPr>
              <m:t>Γ</m:t>
            </m:r>
          </m:e>
          <m:sub>
            <m:r>
              <w:rPr>
                <w:rFonts w:ascii="Cambria Math" w:hAnsi="Cambria Math"/>
              </w:rPr>
              <m:t>1</m:t>
            </m:r>
          </m:sub>
        </m:sSub>
        <m:f>
          <m:fPr>
            <m:ctrlPr>
              <w:rPr>
                <w:rFonts w:ascii="Cambria Math" w:hAnsi="Cambria Math"/>
              </w:rPr>
            </m:ctrlPr>
          </m:fPr>
          <m:num>
            <m:sSub>
              <m:sSubPr>
                <m:ctrlPr>
                  <w:rPr>
                    <w:rFonts w:ascii="Cambria Math" w:hAnsi="Cambria Math"/>
                  </w:rPr>
                </m:ctrlPr>
              </m:sSubPr>
              <m:e>
                <m:r>
                  <w:rPr>
                    <w:rFonts w:ascii="Cambria Math" w:hAnsi="Cambria Math"/>
                  </w:rPr>
                  <m:t>z</m:t>
                </m:r>
              </m:e>
              <m:sub>
                <m:r>
                  <m:rPr>
                    <m:sty m:val="p"/>
                  </m:rPr>
                  <w:rPr>
                    <w:rFonts w:ascii="Cambria Math" w:hAnsi="Cambria Math"/>
                  </w:rPr>
                  <m:t>j</m:t>
                </m:r>
              </m:sub>
            </m:sSub>
          </m:num>
          <m:den>
            <m:r>
              <w:rPr>
                <w:rFonts w:ascii="Cambria Math" w:hAnsi="Cambria Math"/>
              </w:rPr>
              <m:t>H</m:t>
            </m:r>
          </m:den>
        </m:f>
        <m:f>
          <m:fPr>
            <m:ctrlPr>
              <w:rPr>
                <w:rFonts w:ascii="Cambria Math" w:hAnsi="Cambria Math"/>
              </w:rPr>
            </m:ctrlPr>
          </m:fPr>
          <m:num>
            <m:r>
              <w:rPr>
                <w:rFonts w:ascii="Cambria Math" w:hAnsi="Cambria Math"/>
              </w:rPr>
              <m:t>η</m:t>
            </m:r>
            <m:sSub>
              <m:sSubPr>
                <m:ctrlPr>
                  <w:rPr>
                    <w:rFonts w:ascii="Cambria Math" w:hAnsi="Cambria Math"/>
                  </w:rPr>
                </m:ctrlPr>
              </m:sSubPr>
              <m:e>
                <m:r>
                  <w:rPr>
                    <w:rFonts w:ascii="Cambria Math" w:hAnsi="Cambria Math"/>
                  </w:rPr>
                  <m:t>S</m:t>
                </m:r>
              </m:e>
              <m:sub>
                <m:r>
                  <m:rPr>
                    <m:sty m:val="p"/>
                  </m:rPr>
                  <w:rPr>
                    <w:rFonts w:ascii="Cambria Math" w:hAnsi="Cambria Math"/>
                  </w:rPr>
                  <m:t>α</m:t>
                </m:r>
              </m:sub>
            </m:sSub>
          </m:num>
          <m:den>
            <m:sSub>
              <m:sSubPr>
                <m:ctrlPr>
                  <w:rPr>
                    <w:rFonts w:ascii="Cambria Math" w:hAnsi="Cambria Math"/>
                  </w:rPr>
                </m:ctrlPr>
              </m:sSubPr>
              <m:e>
                <m:r>
                  <w:rPr>
                    <w:rFonts w:ascii="Cambria Math" w:hAnsi="Cambria Math"/>
                  </w:rPr>
                  <m:t>q</m:t>
                </m:r>
              </m:e>
              <m:sub>
                <m:r>
                  <m:rPr>
                    <m:sty m:val="p"/>
                  </m:rPr>
                  <w:rPr>
                    <w:rFonts w:ascii="Cambria Math" w:hAnsi="Cambria Math"/>
                  </w:rPr>
                  <m:t>D</m:t>
                </m:r>
              </m:sub>
            </m:sSub>
            <m:r>
              <m:rPr>
                <m:sty m:val="p"/>
              </m:rPr>
              <w:rPr>
                <w:rFonts w:ascii="Cambria Math" w:hAnsi="Cambria Math"/>
              </w:rPr>
              <m:t>'</m:t>
            </m:r>
          </m:den>
        </m:f>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S</m:t>
                </m:r>
              </m:e>
              <m:sub>
                <m:r>
                  <m:rPr>
                    <m:sty m:val="p"/>
                  </m:rPr>
                  <w:rPr>
                    <w:rFonts w:ascii="Cambria Math" w:hAnsi="Cambria Math"/>
                  </w:rPr>
                  <m:t>α</m:t>
                </m:r>
              </m:sub>
            </m:sSub>
          </m:num>
          <m:den>
            <m:sSub>
              <m:sSubPr>
                <m:ctrlPr>
                  <w:rPr>
                    <w:rFonts w:ascii="Cambria Math" w:hAnsi="Cambria Math"/>
                  </w:rPr>
                </m:ctrlPr>
              </m:sSubPr>
              <m:e>
                <m:r>
                  <w:rPr>
                    <w:rFonts w:ascii="Cambria Math" w:hAnsi="Cambria Math"/>
                  </w:rPr>
                  <m:t>F</m:t>
                </m:r>
              </m:e>
              <m:sub>
                <m:r>
                  <m:rPr>
                    <m:sty m:val="p"/>
                  </m:rPr>
                  <w:rPr>
                    <w:rFonts w:ascii="Cambria Math" w:hAnsi="Cambria Math"/>
                  </w:rPr>
                  <m:t>A</m:t>
                </m:r>
              </m:sub>
            </m:sSub>
          </m:den>
        </m:f>
      </m:oMath>
      <w:r w:rsidR="00003CF0" w:rsidRPr="00870D59">
        <w:tab/>
        <w:t>(7.</w:t>
      </w:r>
      <w:r w:rsidR="00523AC3">
        <w:t>3</w:t>
      </w:r>
      <w:r w:rsidR="00003CF0" w:rsidRPr="00870D59">
        <w:t>)</w:t>
      </w:r>
    </w:p>
    <w:p w14:paraId="6F78BA31" w14:textId="118B275B" w:rsidR="00003CF0" w:rsidRDefault="00003CF0" w:rsidP="002C30CC">
      <w:pPr>
        <w:pStyle w:val="Text"/>
      </w:pPr>
      <w:r>
        <w:t>where</w:t>
      </w:r>
    </w:p>
    <w:tbl>
      <w:tblPr>
        <w:tblW w:w="0" w:type="auto"/>
        <w:tblInd w:w="284" w:type="dxa"/>
        <w:tblLook w:val="04A0" w:firstRow="1" w:lastRow="0" w:firstColumn="1" w:lastColumn="0" w:noHBand="0" w:noVBand="1"/>
      </w:tblPr>
      <w:tblGrid>
        <w:gridCol w:w="1337"/>
        <w:gridCol w:w="7938"/>
      </w:tblGrid>
      <w:tr w:rsidR="00003CF0" w:rsidRPr="00870D59" w14:paraId="1114C8B4" w14:textId="77777777" w:rsidTr="004E0AE9">
        <w:tc>
          <w:tcPr>
            <w:tcW w:w="1337" w:type="dxa"/>
            <w:shd w:val="clear" w:color="auto" w:fill="auto"/>
          </w:tcPr>
          <w:p w14:paraId="058BCBBC" w14:textId="18A82250" w:rsidR="00003CF0" w:rsidRPr="00523AC3" w:rsidRDefault="00523AC3" w:rsidP="002061E5">
            <w:pPr>
              <w:pStyle w:val="Tablebody"/>
              <w:rPr>
                <w:i/>
                <w:iCs/>
              </w:rPr>
            </w:pPr>
            <w:r w:rsidRPr="00523AC3">
              <w:rPr>
                <w:i/>
                <w:iCs/>
              </w:rPr>
              <w:t>H</w:t>
            </w:r>
          </w:p>
        </w:tc>
        <w:tc>
          <w:tcPr>
            <w:tcW w:w="7938" w:type="dxa"/>
          </w:tcPr>
          <w:p w14:paraId="5F13AE5B" w14:textId="048D903F" w:rsidR="00003CF0" w:rsidRPr="00870D59" w:rsidRDefault="00523AC3" w:rsidP="002061E5">
            <w:pPr>
              <w:pStyle w:val="Tablebody"/>
            </w:pPr>
            <w:r w:rsidRPr="007E6F67">
              <w:t xml:space="preserve">is the height of the building above the foundations </w:t>
            </w:r>
            <w:r w:rsidRPr="007E6F67">
              <w:rPr>
                <w:rFonts w:cs="Times New Roman"/>
              </w:rPr>
              <w:t xml:space="preserve">or </w:t>
            </w:r>
            <w:r w:rsidRPr="00FD17CF">
              <w:t>the top of a rigid basement;</w:t>
            </w:r>
          </w:p>
        </w:tc>
      </w:tr>
      <w:tr w:rsidR="00003CF0" w:rsidRPr="00870D59" w14:paraId="52A99519" w14:textId="77777777" w:rsidTr="004E0AE9">
        <w:tc>
          <w:tcPr>
            <w:tcW w:w="1337" w:type="dxa"/>
            <w:shd w:val="clear" w:color="auto" w:fill="auto"/>
          </w:tcPr>
          <w:p w14:paraId="65646D97" w14:textId="00021158" w:rsidR="00003CF0" w:rsidRPr="00870D59" w:rsidRDefault="00523AC3" w:rsidP="002061E5">
            <w:pPr>
              <w:pStyle w:val="Tablebody"/>
              <w:rPr>
                <w:i/>
              </w:rPr>
            </w:pPr>
            <w:r w:rsidRPr="00644C3D">
              <w:rPr>
                <w:i/>
              </w:rPr>
              <w:t>z</w:t>
            </w:r>
            <w:r w:rsidRPr="00E05E29">
              <w:rPr>
                <w:vertAlign w:val="subscript"/>
              </w:rPr>
              <w:t>j</w:t>
            </w:r>
          </w:p>
        </w:tc>
        <w:tc>
          <w:tcPr>
            <w:tcW w:w="7938" w:type="dxa"/>
          </w:tcPr>
          <w:p w14:paraId="58CD2FA4" w14:textId="4B35DE52" w:rsidR="00003CF0" w:rsidRPr="00870D59" w:rsidRDefault="00523AC3" w:rsidP="002061E5">
            <w:pPr>
              <w:pStyle w:val="Tablebody"/>
            </w:pPr>
            <w:r w:rsidRPr="002144A0">
              <w:t xml:space="preserve">is the height of floor </w:t>
            </w:r>
            <w:r w:rsidRPr="002144A0">
              <w:rPr>
                <w:i/>
              </w:rPr>
              <w:t>j</w:t>
            </w:r>
            <w:r w:rsidRPr="00C52095">
              <w:t xml:space="preserve"> </w:t>
            </w:r>
            <w:r w:rsidRPr="00C52095">
              <w:rPr>
                <w:rFonts w:cs="Times New Roman"/>
              </w:rPr>
              <w:t xml:space="preserve">above the foundation or </w:t>
            </w:r>
            <w:r w:rsidRPr="007754C9">
              <w:rPr>
                <w:szCs w:val="22"/>
              </w:rPr>
              <w:t>the top of a rigid basement;</w:t>
            </w:r>
          </w:p>
        </w:tc>
      </w:tr>
      <w:tr w:rsidR="00003CF0" w:rsidRPr="00870D59" w14:paraId="4A47CDA7" w14:textId="77777777" w:rsidTr="004E0AE9">
        <w:tc>
          <w:tcPr>
            <w:tcW w:w="1337" w:type="dxa"/>
            <w:shd w:val="clear" w:color="auto" w:fill="auto"/>
          </w:tcPr>
          <w:p w14:paraId="4EC9B6D9" w14:textId="333FBB1E" w:rsidR="00003CF0" w:rsidRPr="00870D59" w:rsidRDefault="00523AC3" w:rsidP="002061E5">
            <w:pPr>
              <w:pStyle w:val="Tablebody"/>
              <w:rPr>
                <w:i/>
              </w:rPr>
            </w:pPr>
            <w:r w:rsidRPr="00132C1E">
              <w:rPr>
                <w:i/>
              </w:rPr>
              <w:t>S</w:t>
            </w:r>
            <w:r w:rsidRPr="00132C1E">
              <w:rPr>
                <w:rFonts w:ascii="Symbol" w:hAnsi="Symbol"/>
                <w:vertAlign w:val="subscript"/>
              </w:rPr>
              <w:t></w:t>
            </w:r>
            <w:r w:rsidRPr="00132C1E">
              <w:rPr>
                <w:rFonts w:ascii="Symbol" w:hAnsi="Symbol"/>
              </w:rPr>
              <w:t></w:t>
            </w:r>
            <w:r w:rsidRPr="00132C1E">
              <w:rPr>
                <w:rFonts w:ascii="Symbol" w:hAnsi="Symbol"/>
              </w:rPr>
              <w:t></w:t>
            </w:r>
            <w:r w:rsidRPr="00132C1E">
              <w:rPr>
                <w:rFonts w:ascii="Symbol" w:hAnsi="Symbol"/>
                <w:i/>
              </w:rPr>
              <w:t></w:t>
            </w:r>
            <w:r w:rsidRPr="00132C1E">
              <w:t xml:space="preserve">, </w:t>
            </w:r>
            <w:r w:rsidRPr="00132C1E">
              <w:rPr>
                <w:i/>
              </w:rPr>
              <w:t>F</w:t>
            </w:r>
            <w:r w:rsidRPr="00132C1E">
              <w:rPr>
                <w:vertAlign w:val="subscript"/>
              </w:rPr>
              <w:t>A</w:t>
            </w:r>
          </w:p>
        </w:tc>
        <w:tc>
          <w:tcPr>
            <w:tcW w:w="7938" w:type="dxa"/>
          </w:tcPr>
          <w:p w14:paraId="2B7889B6" w14:textId="7BA62C92" w:rsidR="00003CF0" w:rsidRPr="00870D59" w:rsidRDefault="00523AC3" w:rsidP="002061E5">
            <w:pPr>
              <w:pStyle w:val="Tablebody"/>
            </w:pPr>
            <w:r w:rsidRPr="00132C1E">
              <w:t xml:space="preserve">are values associated to the response elastic spectrum associated to the limit state under consideration, defined in </w:t>
            </w:r>
            <w:r>
              <w:t>prEN 1998-1-1:2022</w:t>
            </w:r>
            <w:r w:rsidRPr="002C30CC">
              <w:t>, 5.2.2.2;</w:t>
            </w:r>
          </w:p>
        </w:tc>
      </w:tr>
      <w:tr w:rsidR="00523AC3" w:rsidRPr="00870D59" w14:paraId="4963983C" w14:textId="77777777" w:rsidTr="004E0AE9">
        <w:tc>
          <w:tcPr>
            <w:tcW w:w="1337" w:type="dxa"/>
            <w:shd w:val="clear" w:color="auto" w:fill="auto"/>
          </w:tcPr>
          <w:p w14:paraId="1208E16A" w14:textId="768EB10C" w:rsidR="00523AC3" w:rsidRPr="00132C1E" w:rsidRDefault="00523AC3" w:rsidP="002061E5">
            <w:pPr>
              <w:pStyle w:val="Tablebody"/>
              <w:rPr>
                <w:i/>
                <w:iCs/>
              </w:rPr>
            </w:pPr>
            <w:r w:rsidRPr="00132C1E">
              <w:rPr>
                <w:i/>
              </w:rPr>
              <w:t>Γ</w:t>
            </w:r>
            <w:r w:rsidRPr="00132C1E">
              <w:rPr>
                <w:i/>
                <w:vertAlign w:val="subscript"/>
              </w:rPr>
              <w:t>1</w:t>
            </w:r>
          </w:p>
        </w:tc>
        <w:tc>
          <w:tcPr>
            <w:tcW w:w="7938" w:type="dxa"/>
          </w:tcPr>
          <w:p w14:paraId="79BC5707" w14:textId="33090E0D" w:rsidR="00523AC3" w:rsidRPr="00523AC3" w:rsidRDefault="00523AC3" w:rsidP="002061E5">
            <w:pPr>
              <w:pStyle w:val="Tablebody"/>
            </w:pPr>
            <w:r w:rsidRPr="00523AC3">
              <w:t>is the participation factor of the fundamental mode of the building in the direction under consideration, which may be taken as given by Formula (7.4):</w:t>
            </w:r>
          </w:p>
        </w:tc>
      </w:tr>
    </w:tbl>
    <w:p w14:paraId="71AD151A" w14:textId="5EB05F06" w:rsidR="00523AC3" w:rsidRPr="00870D59" w:rsidRDefault="009B5CEC" w:rsidP="00523AC3">
      <w:pPr>
        <w:pStyle w:val="Formula"/>
      </w:pPr>
      <m:oMath>
        <m:sSub>
          <m:sSubPr>
            <m:ctrlPr>
              <w:rPr>
                <w:rFonts w:ascii="Cambria Math" w:hAnsi="Cambria Math"/>
              </w:rPr>
            </m:ctrlPr>
          </m:sSubPr>
          <m:e>
            <m:r>
              <w:rPr>
                <w:rFonts w:ascii="Cambria Math" w:hAnsi="Cambria Math"/>
              </w:rPr>
              <m:t>Γ</m:t>
            </m:r>
          </m:e>
          <m:sub>
            <m:r>
              <w:rPr>
                <w:rFonts w:ascii="Cambria Math" w:hAnsi="Cambria Math"/>
              </w:rPr>
              <m:t>1</m:t>
            </m:r>
          </m:sub>
        </m:sSub>
        <m:r>
          <w:rPr>
            <w:rFonts w:ascii="Cambria Math" w:hAnsi="Cambria Math"/>
          </w:rPr>
          <m:t>=</m:t>
        </m:r>
        <m:f>
          <m:fPr>
            <m:ctrlPr>
              <w:rPr>
                <w:rFonts w:ascii="Cambria Math" w:hAnsi="Cambria Math"/>
              </w:rPr>
            </m:ctrlPr>
          </m:fPr>
          <m:num>
            <m:r>
              <w:rPr>
                <w:rFonts w:ascii="Cambria Math" w:hAnsi="Cambria Math"/>
              </w:rPr>
              <m:t>3</m:t>
            </m:r>
            <m:sSub>
              <m:sSubPr>
                <m:ctrlPr>
                  <w:rPr>
                    <w:rFonts w:ascii="Cambria Math" w:hAnsi="Cambria Math"/>
                  </w:rPr>
                </m:ctrlPr>
              </m:sSubPr>
              <m:e>
                <m:r>
                  <w:rPr>
                    <w:rFonts w:ascii="Cambria Math" w:hAnsi="Cambria Math"/>
                  </w:rPr>
                  <m:t>N</m:t>
                </m:r>
              </m:e>
              <m:sub>
                <m:r>
                  <m:rPr>
                    <m:sty m:val="p"/>
                  </m:rPr>
                  <w:rPr>
                    <w:rFonts w:ascii="Cambria Math" w:hAnsi="Cambria Math"/>
                  </w:rPr>
                  <m:t>s</m:t>
                </m:r>
              </m:sub>
            </m:sSub>
          </m:num>
          <m:den>
            <m:r>
              <w:rPr>
                <w:rFonts w:ascii="Cambria Math" w:hAnsi="Cambria Math"/>
              </w:rPr>
              <m:t>2</m:t>
            </m:r>
            <m:sSub>
              <m:sSubPr>
                <m:ctrlPr>
                  <w:rPr>
                    <w:rFonts w:ascii="Cambria Math" w:hAnsi="Cambria Math"/>
                  </w:rPr>
                </m:ctrlPr>
              </m:sSubPr>
              <m:e>
                <m:r>
                  <w:rPr>
                    <w:rFonts w:ascii="Cambria Math" w:hAnsi="Cambria Math"/>
                  </w:rPr>
                  <m:t>N</m:t>
                </m:r>
              </m:e>
              <m:sub>
                <m:r>
                  <m:rPr>
                    <m:sty m:val="p"/>
                  </m:rPr>
                  <w:rPr>
                    <w:rFonts w:ascii="Cambria Math" w:hAnsi="Cambria Math"/>
                  </w:rPr>
                  <m:t>s</m:t>
                </m:r>
              </m:sub>
            </m:sSub>
            <m:r>
              <w:rPr>
                <w:rFonts w:ascii="Cambria Math" w:hAnsi="Cambria Math"/>
              </w:rPr>
              <m:t>+1</m:t>
            </m:r>
          </m:den>
        </m:f>
        <m:r>
          <w:rPr>
            <w:rFonts w:ascii="Cambria Math"/>
          </w:rPr>
          <m:t xml:space="preserve"> </m:t>
        </m:r>
      </m:oMath>
      <w:r w:rsidR="00523AC3" w:rsidRPr="00870D59">
        <w:tab/>
        <w:t>(7.</w:t>
      </w:r>
      <w:r w:rsidR="00523AC3">
        <w:t>4</w:t>
      </w:r>
      <w:r w:rsidR="00523AC3" w:rsidRPr="00870D59">
        <w:t>)</w:t>
      </w:r>
    </w:p>
    <w:tbl>
      <w:tblPr>
        <w:tblW w:w="0" w:type="auto"/>
        <w:tblInd w:w="284" w:type="dxa"/>
        <w:tblLook w:val="04A0" w:firstRow="1" w:lastRow="0" w:firstColumn="1" w:lastColumn="0" w:noHBand="0" w:noVBand="1"/>
      </w:tblPr>
      <w:tblGrid>
        <w:gridCol w:w="1337"/>
        <w:gridCol w:w="7938"/>
      </w:tblGrid>
      <w:tr w:rsidR="00523AC3" w:rsidRPr="00870D59" w14:paraId="1670997E" w14:textId="77777777" w:rsidTr="004E0AE9">
        <w:tc>
          <w:tcPr>
            <w:tcW w:w="1337" w:type="dxa"/>
            <w:shd w:val="clear" w:color="auto" w:fill="auto"/>
          </w:tcPr>
          <w:p w14:paraId="5845ECA6" w14:textId="4E13C7A4" w:rsidR="00523AC3" w:rsidRPr="00523AC3" w:rsidRDefault="00523AC3" w:rsidP="002061E5">
            <w:pPr>
              <w:pStyle w:val="Tablebody"/>
              <w:rPr>
                <w:i/>
                <w:iCs/>
              </w:rPr>
            </w:pPr>
            <w:r w:rsidRPr="00132C1E">
              <w:rPr>
                <w:i/>
              </w:rPr>
              <w:t>N</w:t>
            </w:r>
            <w:r w:rsidRPr="00132C1E">
              <w:rPr>
                <w:iCs/>
                <w:vertAlign w:val="subscript"/>
              </w:rPr>
              <w:t>s</w:t>
            </w:r>
          </w:p>
        </w:tc>
        <w:tc>
          <w:tcPr>
            <w:tcW w:w="7938" w:type="dxa"/>
          </w:tcPr>
          <w:p w14:paraId="0D9489A1" w14:textId="78B40F0E" w:rsidR="00523AC3" w:rsidRPr="00870D59" w:rsidRDefault="00523AC3" w:rsidP="002061E5">
            <w:pPr>
              <w:pStyle w:val="Tablebody"/>
            </w:pPr>
            <w:r w:rsidRPr="00132C1E">
              <w:t>is the number of storeys;</w:t>
            </w:r>
          </w:p>
        </w:tc>
      </w:tr>
      <w:tr w:rsidR="00523AC3" w:rsidRPr="00870D59" w14:paraId="7C8C61D7" w14:textId="77777777" w:rsidTr="004E0AE9">
        <w:tc>
          <w:tcPr>
            <w:tcW w:w="1337" w:type="dxa"/>
            <w:shd w:val="clear" w:color="auto" w:fill="auto"/>
          </w:tcPr>
          <w:p w14:paraId="78BD2C7E" w14:textId="6EE08AFC" w:rsidR="00523AC3" w:rsidRPr="00870D59" w:rsidRDefault="00523AC3" w:rsidP="002061E5">
            <w:pPr>
              <w:pStyle w:val="Tablebody"/>
              <w:rPr>
                <w:i/>
              </w:rPr>
            </w:pPr>
            <w:r w:rsidRPr="00132C1E">
              <w:rPr>
                <w:i/>
                <w:iCs/>
              </w:rPr>
              <w:t>q</w:t>
            </w:r>
            <w:r w:rsidRPr="00132C1E">
              <w:rPr>
                <w:vertAlign w:val="subscript"/>
              </w:rPr>
              <w:t>D</w:t>
            </w:r>
            <w:r w:rsidRPr="00132C1E">
              <w:t>’</w:t>
            </w:r>
          </w:p>
        </w:tc>
        <w:tc>
          <w:tcPr>
            <w:tcW w:w="7938" w:type="dxa"/>
          </w:tcPr>
          <w:p w14:paraId="0C60E70C" w14:textId="1C3B4A11" w:rsidR="00523AC3" w:rsidRPr="00870D59" w:rsidRDefault="00523AC3" w:rsidP="002061E5">
            <w:pPr>
              <w:pStyle w:val="Tablebody"/>
            </w:pPr>
            <w:r w:rsidRPr="00132C1E">
              <w:t>is the period dependent behaviour factor, taken as given by Formula (7.5):</w:t>
            </w:r>
          </w:p>
        </w:tc>
      </w:tr>
    </w:tbl>
    <w:p w14:paraId="11E48272" w14:textId="2F3A54B4" w:rsidR="00523AC3" w:rsidRPr="00870D59" w:rsidRDefault="009B5CEC" w:rsidP="00523AC3">
      <w:pPr>
        <w:pStyle w:val="Formula"/>
      </w:pPr>
      <m:oMath>
        <m:sSub>
          <m:sSubPr>
            <m:ctrlPr>
              <w:rPr>
                <w:rFonts w:ascii="Cambria Math" w:hAnsi="Cambria Math"/>
              </w:rPr>
            </m:ctrlPr>
          </m:sSubPr>
          <m:e>
            <m:r>
              <w:rPr>
                <w:rFonts w:ascii="Cambria Math" w:hAnsi="Cambria Math"/>
              </w:rPr>
              <m:t>q</m:t>
            </m:r>
          </m:e>
          <m:sub>
            <m:r>
              <m:rPr>
                <m:sty m:val="p"/>
              </m:rPr>
              <w:rPr>
                <w:rFonts w:ascii="Cambria Math" w:hAnsi="Cambria Math"/>
              </w:rPr>
              <m:t>D</m:t>
            </m:r>
          </m:sub>
        </m:sSub>
        <m:r>
          <w:rPr>
            <w:rFonts w:ascii="Cambria Math" w:hAnsi="Cambria Math"/>
          </w:rPr>
          <m:t>'=</m:t>
        </m:r>
        <m:d>
          <m:dPr>
            <m:begChr m:val="{"/>
            <m:endChr m:val=""/>
            <m:ctrlPr>
              <w:rPr>
                <w:rFonts w:ascii="Cambria Math" w:hAnsi="Cambria Math"/>
              </w:rPr>
            </m:ctrlPr>
          </m:dPr>
          <m:e>
            <m:eqArr>
              <m:eqArrPr>
                <m:ctrlPr>
                  <w:rPr>
                    <w:rFonts w:ascii="Cambria Math" w:hAnsi="Cambria Math"/>
                  </w:rPr>
                </m:ctrlPr>
              </m:eqArrPr>
              <m:e>
                <m:r>
                  <w:rPr>
                    <w:rFonts w:ascii="Cambria Math" w:hAnsi="Cambria Math"/>
                  </w:rPr>
                  <m:t xml:space="preserve">          1                                              </m:t>
                </m:r>
                <m:sSub>
                  <m:sSubPr>
                    <m:ctrlPr>
                      <w:rPr>
                        <w:rFonts w:ascii="Cambria Math" w:hAnsi="Cambria Math"/>
                      </w:rPr>
                    </m:ctrlPr>
                  </m:sSubPr>
                  <m:e>
                    <m:r>
                      <w:rPr>
                        <w:rFonts w:ascii="Cambria Math" w:hAnsi="Cambria Math"/>
                      </w:rPr>
                      <m:t>T</m:t>
                    </m:r>
                  </m:e>
                  <m:sub>
                    <m:r>
                      <m:rPr>
                        <m:sty m:val="p"/>
                      </m:rPr>
                      <w:rPr>
                        <w:rFonts w:ascii="Cambria Math" w:hAnsi="Cambria Math"/>
                      </w:rPr>
                      <m:t>p1</m:t>
                    </m:r>
                  </m:sub>
                </m:sSub>
                <m:r>
                  <w:rPr>
                    <w:rFonts w:ascii="Cambria Math" w:hAnsi="Cambria Math"/>
                  </w:rPr>
                  <m:t>≤</m:t>
                </m:r>
                <m:sSub>
                  <m:sSubPr>
                    <m:ctrlPr>
                      <w:rPr>
                        <w:rFonts w:ascii="Cambria Math" w:hAnsi="Cambria Math"/>
                      </w:rPr>
                    </m:ctrlPr>
                  </m:sSubPr>
                  <m:e>
                    <m:r>
                      <w:rPr>
                        <w:rFonts w:ascii="Cambria Math" w:hAnsi="Cambria Math"/>
                      </w:rPr>
                      <m:t xml:space="preserve"> T</m:t>
                    </m:r>
                  </m:e>
                  <m:sub>
                    <m:r>
                      <m:rPr>
                        <m:sty m:val="p"/>
                      </m:rPr>
                      <w:rPr>
                        <w:rFonts w:ascii="Cambria Math" w:hAnsi="Cambria Math"/>
                      </w:rPr>
                      <m:t>A</m:t>
                    </m:r>
                  </m:sub>
                </m:sSub>
                <m:r>
                  <w:rPr>
                    <w:rFonts w:ascii="Cambria Math" w:hAnsi="Cambria Math"/>
                  </w:rPr>
                  <m:t xml:space="preserve">             </m:t>
                </m:r>
              </m:e>
              <m:e>
                <m:r>
                  <m:rPr>
                    <m:sty m:val="p"/>
                  </m:rPr>
                  <w:rPr>
                    <w:rFonts w:ascii="Cambria Math" w:hAnsi="Cambria Math"/>
                  </w:rPr>
                  <m:t>linear between 1 and</m:t>
                </m:r>
                <m:r>
                  <w:rPr>
                    <w:rFonts w:ascii="Cambria Math" w:hAnsi="Cambria Math"/>
                  </w:rPr>
                  <m:t xml:space="preserve"> </m:t>
                </m:r>
                <m:sSub>
                  <m:sSubPr>
                    <m:ctrlPr>
                      <w:rPr>
                        <w:rFonts w:ascii="Cambria Math" w:hAnsi="Cambria Math"/>
                      </w:rPr>
                    </m:ctrlPr>
                  </m:sSubPr>
                  <m:e>
                    <m:r>
                      <w:rPr>
                        <w:rFonts w:ascii="Cambria Math" w:hAnsi="Cambria Math"/>
                      </w:rPr>
                      <m:t>q</m:t>
                    </m:r>
                  </m:e>
                  <m:sub>
                    <m:r>
                      <m:rPr>
                        <m:sty m:val="p"/>
                      </m:rPr>
                      <w:rPr>
                        <w:rFonts w:ascii="Cambria Math" w:hAnsi="Cambria Math"/>
                      </w:rPr>
                      <m:t>D</m:t>
                    </m:r>
                  </m:sub>
                </m:sSub>
                <m:r>
                  <w:rPr>
                    <w:rFonts w:ascii="Cambria Math" w:hAnsi="Cambria Math"/>
                  </w:rPr>
                  <m:t xml:space="preserve">         </m:t>
                </m:r>
                <m:sSub>
                  <m:sSubPr>
                    <m:ctrlPr>
                      <w:rPr>
                        <w:rFonts w:ascii="Cambria Math" w:hAnsi="Cambria Math"/>
                      </w:rPr>
                    </m:ctrlPr>
                  </m:sSubPr>
                  <m:e>
                    <m:r>
                      <w:rPr>
                        <w:rFonts w:ascii="Cambria Math" w:hAnsi="Cambria Math"/>
                      </w:rPr>
                      <m:t>T</m:t>
                    </m:r>
                  </m:e>
                  <m:sub>
                    <m:r>
                      <m:rPr>
                        <m:sty m:val="p"/>
                      </m:rPr>
                      <w:rPr>
                        <w:rFonts w:ascii="Cambria Math" w:hAnsi="Cambria Math"/>
                      </w:rPr>
                      <m:t>A</m:t>
                    </m:r>
                  </m:sub>
                </m:sSub>
                <m:r>
                  <w:rPr>
                    <w:rFonts w:ascii="Cambria Math" w:hAnsi="Cambria Math"/>
                  </w:rPr>
                  <m:t>≤</m:t>
                </m:r>
                <m:sSub>
                  <m:sSubPr>
                    <m:ctrlPr>
                      <w:rPr>
                        <w:rFonts w:ascii="Cambria Math" w:hAnsi="Cambria Math"/>
                      </w:rPr>
                    </m:ctrlPr>
                  </m:sSubPr>
                  <m:e>
                    <m:r>
                      <w:rPr>
                        <w:rFonts w:ascii="Cambria Math" w:hAnsi="Cambria Math"/>
                      </w:rPr>
                      <m:t>T</m:t>
                    </m:r>
                  </m:e>
                  <m:sub>
                    <m:r>
                      <m:rPr>
                        <m:sty m:val="p"/>
                      </m:rPr>
                      <w:rPr>
                        <w:rFonts w:ascii="Cambria Math" w:hAnsi="Cambria Math"/>
                      </w:rPr>
                      <m:t>p1</m:t>
                    </m:r>
                  </m:sub>
                </m:sSub>
                <m:r>
                  <w:rPr>
                    <w:rFonts w:ascii="Cambria Math" w:hAnsi="Cambria Math"/>
                  </w:rPr>
                  <m:t>≤</m:t>
                </m:r>
                <m:sSub>
                  <m:sSubPr>
                    <m:ctrlPr>
                      <w:rPr>
                        <w:rFonts w:ascii="Cambria Math" w:hAnsi="Cambria Math"/>
                      </w:rPr>
                    </m:ctrlPr>
                  </m:sSubPr>
                  <m:e>
                    <m:r>
                      <w:rPr>
                        <w:rFonts w:ascii="Cambria Math" w:hAnsi="Cambria Math"/>
                      </w:rPr>
                      <m:t>T</m:t>
                    </m:r>
                  </m:e>
                  <m:sub>
                    <m:r>
                      <m:rPr>
                        <m:sty m:val="p"/>
                      </m:rPr>
                      <w:rPr>
                        <w:rFonts w:ascii="Cambria Math" w:hAnsi="Cambria Math"/>
                      </w:rPr>
                      <m:t>C</m:t>
                    </m:r>
                  </m:sub>
                </m:sSub>
                <m:r>
                  <w:rPr>
                    <w:rFonts w:ascii="Cambria Math"/>
                  </w:rPr>
                  <m:t xml:space="preserve"> </m:t>
                </m:r>
              </m:e>
              <m:e>
                <m:r>
                  <w:rPr>
                    <w:rFonts w:ascii="Cambria Math" w:hAnsi="Cambria Math"/>
                  </w:rPr>
                  <m:t xml:space="preserve">        </m:t>
                </m:r>
                <m:sSub>
                  <m:sSubPr>
                    <m:ctrlPr>
                      <w:rPr>
                        <w:rFonts w:ascii="Cambria Math" w:hAnsi="Cambria Math"/>
                      </w:rPr>
                    </m:ctrlPr>
                  </m:sSubPr>
                  <m:e>
                    <m:r>
                      <w:rPr>
                        <w:rFonts w:ascii="Cambria Math" w:hAnsi="Cambria Math"/>
                      </w:rPr>
                      <m:t>q</m:t>
                    </m:r>
                  </m:e>
                  <m:sub>
                    <m:r>
                      <m:rPr>
                        <m:sty m:val="p"/>
                      </m:rPr>
                      <w:rPr>
                        <w:rFonts w:ascii="Cambria Math" w:hAnsi="Cambria Math"/>
                      </w:rPr>
                      <m:t>D</m:t>
                    </m:r>
                  </m:sub>
                </m:sSub>
                <m:r>
                  <w:rPr>
                    <w:rFonts w:ascii="Cambria Math" w:hAnsi="Cambria Math"/>
                  </w:rPr>
                  <m:t xml:space="preserve">                                          </m:t>
                </m:r>
                <m:sSub>
                  <m:sSubPr>
                    <m:ctrlPr>
                      <w:rPr>
                        <w:rFonts w:ascii="Cambria Math" w:hAnsi="Cambria Math"/>
                      </w:rPr>
                    </m:ctrlPr>
                  </m:sSubPr>
                  <m:e>
                    <m:r>
                      <w:rPr>
                        <w:rFonts w:ascii="Cambria Math" w:hAnsi="Cambria Math"/>
                      </w:rPr>
                      <m:t>T</m:t>
                    </m:r>
                  </m:e>
                  <m:sub>
                    <m:r>
                      <m:rPr>
                        <m:sty m:val="p"/>
                      </m:rPr>
                      <w:rPr>
                        <w:rFonts w:ascii="Cambria Math" w:hAnsi="Cambria Math"/>
                      </w:rPr>
                      <m:t>p1</m:t>
                    </m:r>
                  </m:sub>
                </m:sSub>
                <m:r>
                  <w:rPr>
                    <w:rFonts w:ascii="Cambria Math" w:hAnsi="Cambria Math"/>
                  </w:rPr>
                  <m:t xml:space="preserve">≥ </m:t>
                </m:r>
                <m:sSub>
                  <m:sSubPr>
                    <m:ctrlPr>
                      <w:rPr>
                        <w:rFonts w:ascii="Cambria Math" w:hAnsi="Cambria Math"/>
                      </w:rPr>
                    </m:ctrlPr>
                  </m:sSubPr>
                  <m:e>
                    <m:r>
                      <w:rPr>
                        <w:rFonts w:ascii="Cambria Math" w:hAnsi="Cambria Math"/>
                      </w:rPr>
                      <m:t>T</m:t>
                    </m:r>
                  </m:e>
                  <m:sub>
                    <m:r>
                      <m:rPr>
                        <m:sty m:val="p"/>
                      </m:rPr>
                      <w:rPr>
                        <w:rFonts w:ascii="Cambria Math" w:hAnsi="Cambria Math"/>
                      </w:rPr>
                      <m:t>C</m:t>
                    </m:r>
                  </m:sub>
                </m:sSub>
                <m:r>
                  <w:rPr>
                    <w:rFonts w:ascii="Cambria Math" w:hAnsi="Cambria Math"/>
                  </w:rPr>
                  <m:t xml:space="preserve">        </m:t>
                </m:r>
              </m:e>
            </m:eqArr>
          </m:e>
        </m:d>
      </m:oMath>
      <w:r w:rsidR="00523AC3" w:rsidRPr="00870D59">
        <w:tab/>
        <w:t>(7.</w:t>
      </w:r>
      <w:r w:rsidR="00523AC3">
        <w:t>5</w:t>
      </w:r>
      <w:r w:rsidR="00523AC3" w:rsidRPr="00870D59">
        <w:t>)</w:t>
      </w:r>
    </w:p>
    <w:tbl>
      <w:tblPr>
        <w:tblW w:w="0" w:type="auto"/>
        <w:tblInd w:w="284" w:type="dxa"/>
        <w:tblLook w:val="04A0" w:firstRow="1" w:lastRow="0" w:firstColumn="1" w:lastColumn="0" w:noHBand="0" w:noVBand="1"/>
      </w:tblPr>
      <w:tblGrid>
        <w:gridCol w:w="1337"/>
        <w:gridCol w:w="7938"/>
      </w:tblGrid>
      <w:tr w:rsidR="00523AC3" w:rsidRPr="00870D59" w14:paraId="0304A931" w14:textId="77777777" w:rsidTr="004E0AE9">
        <w:tc>
          <w:tcPr>
            <w:tcW w:w="1337" w:type="dxa"/>
            <w:shd w:val="clear" w:color="auto" w:fill="auto"/>
          </w:tcPr>
          <w:p w14:paraId="309274EF" w14:textId="44C21983" w:rsidR="00523AC3" w:rsidRPr="00870D59" w:rsidRDefault="004F44C3" w:rsidP="002061E5">
            <w:pPr>
              <w:pStyle w:val="Tablebody"/>
              <w:rPr>
                <w:i/>
              </w:rPr>
            </w:pPr>
            <w:r w:rsidRPr="00D1484A">
              <w:rPr>
                <w:i/>
                <w:iCs/>
              </w:rPr>
              <w:t>T</w:t>
            </w:r>
            <w:r w:rsidRPr="00D1484A">
              <w:rPr>
                <w:vertAlign w:val="subscript"/>
              </w:rPr>
              <w:t>P1</w:t>
            </w:r>
          </w:p>
        </w:tc>
        <w:tc>
          <w:tcPr>
            <w:tcW w:w="7938" w:type="dxa"/>
          </w:tcPr>
          <w:p w14:paraId="7D9CCA2A" w14:textId="0840D2C1" w:rsidR="00523AC3" w:rsidRPr="00870D59" w:rsidRDefault="004F44C3" w:rsidP="002061E5">
            <w:pPr>
              <w:pStyle w:val="Tablebody"/>
            </w:pPr>
            <w:r w:rsidRPr="00D1484A">
              <w:t>is the fundamental period of the building in the considered direction;</w:t>
            </w:r>
          </w:p>
        </w:tc>
      </w:tr>
      <w:tr w:rsidR="00523AC3" w:rsidRPr="00870D59" w14:paraId="2D99DE22" w14:textId="77777777" w:rsidTr="004E0AE9">
        <w:tc>
          <w:tcPr>
            <w:tcW w:w="1337" w:type="dxa"/>
            <w:shd w:val="clear" w:color="auto" w:fill="auto"/>
          </w:tcPr>
          <w:p w14:paraId="64DB810F" w14:textId="3C777190" w:rsidR="00523AC3" w:rsidRPr="00132C1E" w:rsidRDefault="004F44C3" w:rsidP="002061E5">
            <w:pPr>
              <w:pStyle w:val="Tablebody"/>
              <w:rPr>
                <w:i/>
                <w:iCs/>
              </w:rPr>
            </w:pPr>
            <w:r w:rsidRPr="00FD17CF">
              <w:rPr>
                <w:i/>
                <w:iCs/>
              </w:rPr>
              <w:t>T</w:t>
            </w:r>
            <w:r w:rsidRPr="00FD17CF">
              <w:rPr>
                <w:vertAlign w:val="subscript"/>
              </w:rPr>
              <w:t xml:space="preserve">A </w:t>
            </w:r>
            <w:r w:rsidRPr="00644C3D">
              <w:t xml:space="preserve">, </w:t>
            </w:r>
            <w:r w:rsidRPr="00E05E29">
              <w:rPr>
                <w:i/>
                <w:iCs/>
              </w:rPr>
              <w:t>T</w:t>
            </w:r>
            <w:r w:rsidRPr="00196951">
              <w:rPr>
                <w:vertAlign w:val="subscript"/>
              </w:rPr>
              <w:t>C</w:t>
            </w:r>
          </w:p>
        </w:tc>
        <w:tc>
          <w:tcPr>
            <w:tcW w:w="7938" w:type="dxa"/>
          </w:tcPr>
          <w:p w14:paraId="53F3087F" w14:textId="35A3BF5A" w:rsidR="00523AC3" w:rsidRPr="00132C1E" w:rsidRDefault="004F44C3" w:rsidP="002061E5">
            <w:pPr>
              <w:pStyle w:val="Tablebody"/>
            </w:pPr>
            <w:r w:rsidRPr="002144A0">
              <w:t xml:space="preserve">are corner periods introduced in </w:t>
            </w:r>
            <w:r>
              <w:rPr>
                <w:iCs/>
              </w:rPr>
              <w:t>prEN 1998-1-1:2022</w:t>
            </w:r>
            <w:r w:rsidRPr="002C30CC">
              <w:rPr>
                <w:iCs/>
              </w:rPr>
              <w:t>, 5.2.2.2(1);</w:t>
            </w:r>
          </w:p>
        </w:tc>
      </w:tr>
      <w:tr w:rsidR="004F44C3" w:rsidRPr="00870D59" w14:paraId="1C92FBCE" w14:textId="77777777" w:rsidTr="004E0AE9">
        <w:tc>
          <w:tcPr>
            <w:tcW w:w="1337" w:type="dxa"/>
            <w:shd w:val="clear" w:color="auto" w:fill="auto"/>
          </w:tcPr>
          <w:p w14:paraId="65F2FCC0" w14:textId="652C2A08" w:rsidR="004F44C3" w:rsidRPr="00FD17CF" w:rsidRDefault="004F44C3" w:rsidP="002061E5">
            <w:pPr>
              <w:pStyle w:val="Tablebody"/>
              <w:rPr>
                <w:i/>
                <w:iCs/>
              </w:rPr>
            </w:pPr>
            <w:r w:rsidRPr="00132C1E">
              <w:rPr>
                <w:i/>
                <w:iCs/>
              </w:rPr>
              <w:lastRenderedPageBreak/>
              <w:t>q</w:t>
            </w:r>
            <w:r w:rsidRPr="00132C1E">
              <w:rPr>
                <w:vertAlign w:val="subscript"/>
              </w:rPr>
              <w:t>D</w:t>
            </w:r>
          </w:p>
        </w:tc>
        <w:tc>
          <w:tcPr>
            <w:tcW w:w="7938" w:type="dxa"/>
          </w:tcPr>
          <w:p w14:paraId="35D7382E" w14:textId="193E024A" w:rsidR="004F44C3" w:rsidRPr="00132C1E" w:rsidRDefault="004F44C3" w:rsidP="002061E5">
            <w:pPr>
              <w:pStyle w:val="Tablebody"/>
            </w:pPr>
            <w:r w:rsidRPr="00132C1E">
              <w:t xml:space="preserve">is the building behaviour factor component accounting for deformation capacity and energy dissipation capacity provided in the relevant parts of </w:t>
            </w:r>
            <w:r>
              <w:t>EN 199</w:t>
            </w:r>
            <w:r w:rsidRPr="00132C1E">
              <w:t>8.</w:t>
            </w:r>
          </w:p>
        </w:tc>
      </w:tr>
    </w:tbl>
    <w:bookmarkEnd w:id="988"/>
    <w:p w14:paraId="5321CAAE" w14:textId="77777777" w:rsidR="004F44C3" w:rsidRDefault="004F44C3" w:rsidP="0080187E">
      <w:pPr>
        <w:pStyle w:val="Clause"/>
        <w:numPr>
          <w:ilvl w:val="0"/>
          <w:numId w:val="65"/>
        </w:numPr>
      </w:pPr>
      <w:r w:rsidRPr="00132C1E">
        <w:t xml:space="preserve">The ancillary element may be considered </w:t>
      </w:r>
      <w:r w:rsidRPr="009C1268">
        <w:t>rigid if a) or b) are satisfied:</w:t>
      </w:r>
    </w:p>
    <w:p w14:paraId="526953FF" w14:textId="77777777" w:rsidR="004F44C3" w:rsidRPr="00132C1E" w:rsidRDefault="004F44C3" w:rsidP="0080187E">
      <w:pPr>
        <w:pStyle w:val="List2"/>
        <w:numPr>
          <w:ilvl w:val="0"/>
          <w:numId w:val="67"/>
        </w:numPr>
        <w:spacing w:before="0" w:after="240" w:line="230" w:lineRule="atLeast"/>
        <w:contextualSpacing w:val="0"/>
      </w:pPr>
      <w:r w:rsidRPr="00132C1E">
        <w:t>The element is one of the following:</w:t>
      </w:r>
    </w:p>
    <w:p w14:paraId="2DC82EDC" w14:textId="6FBA2432" w:rsidR="004F44C3" w:rsidRPr="00BB5A69" w:rsidRDefault="004F44C3" w:rsidP="0080187E">
      <w:pPr>
        <w:pStyle w:val="ListContinue"/>
        <w:numPr>
          <w:ilvl w:val="0"/>
          <w:numId w:val="66"/>
        </w:numPr>
        <w:ind w:left="857" w:hanging="290"/>
        <w:contextualSpacing w:val="0"/>
      </w:pPr>
      <w:r w:rsidRPr="00BB5A69">
        <w:t>cantilevering parapets or ornamentations;</w:t>
      </w:r>
    </w:p>
    <w:p w14:paraId="73BA83DD" w14:textId="77777777" w:rsidR="004F44C3" w:rsidRPr="00BB5A69" w:rsidRDefault="004F44C3" w:rsidP="0080187E">
      <w:pPr>
        <w:pStyle w:val="ListContinue"/>
        <w:numPr>
          <w:ilvl w:val="0"/>
          <w:numId w:val="66"/>
        </w:numPr>
        <w:ind w:left="857" w:hanging="290"/>
        <w:contextualSpacing w:val="0"/>
      </w:pPr>
      <w:r w:rsidRPr="00BB5A69">
        <w:t>signs or billboards;</w:t>
      </w:r>
    </w:p>
    <w:p w14:paraId="55619C3C" w14:textId="77777777" w:rsidR="004F44C3" w:rsidRPr="00BB5A69" w:rsidRDefault="004F44C3" w:rsidP="0080187E">
      <w:pPr>
        <w:pStyle w:val="ListContinue"/>
        <w:numPr>
          <w:ilvl w:val="0"/>
          <w:numId w:val="66"/>
        </w:numPr>
        <w:ind w:left="857" w:hanging="290"/>
        <w:contextualSpacing w:val="0"/>
      </w:pPr>
      <w:r w:rsidRPr="00BB5A69">
        <w:t>chimneys or masts not taller than 4 m.</w:t>
      </w:r>
    </w:p>
    <w:p w14:paraId="1CB399D1" w14:textId="5753B3D9" w:rsidR="004F44C3" w:rsidRPr="002C30CC" w:rsidRDefault="004F44C3" w:rsidP="0080187E">
      <w:pPr>
        <w:pStyle w:val="List2"/>
        <w:numPr>
          <w:ilvl w:val="0"/>
          <w:numId w:val="67"/>
        </w:numPr>
        <w:spacing w:before="0" w:after="240" w:line="230" w:lineRule="atLeast"/>
        <w:contextualSpacing w:val="0"/>
        <w:rPr>
          <w:iCs/>
        </w:rPr>
      </w:pPr>
      <w:r w:rsidRPr="00132C1E">
        <w:t xml:space="preserve">If </w:t>
      </w:r>
      <w:r w:rsidRPr="00132C1E">
        <w:rPr>
          <w:i/>
        </w:rPr>
        <w:t>T</w:t>
      </w:r>
      <w:r w:rsidRPr="00132C1E">
        <w:rPr>
          <w:vertAlign w:val="subscript"/>
        </w:rPr>
        <w:t>a</w:t>
      </w:r>
      <w:r w:rsidR="002B4125">
        <w:rPr>
          <w:vertAlign w:val="subscript"/>
        </w:rPr>
        <w:t>p</w:t>
      </w:r>
      <w:r w:rsidRPr="00132C1E">
        <w:t> </w:t>
      </w:r>
      <w:r w:rsidRPr="00132C1E">
        <w:rPr>
          <w:rFonts w:ascii="Symbol" w:eastAsia="Symbol" w:hAnsi="Symbol" w:cs="Symbol"/>
        </w:rPr>
        <w:t></w:t>
      </w:r>
      <w:r w:rsidRPr="00132C1E">
        <w:t xml:space="preserve"> </w:t>
      </w:r>
      <w:r w:rsidRPr="00132C1E">
        <w:rPr>
          <w:i/>
        </w:rPr>
        <w:t>T</w:t>
      </w:r>
      <w:r w:rsidRPr="00132C1E">
        <w:rPr>
          <w:vertAlign w:val="subscript"/>
        </w:rPr>
        <w:t>B</w:t>
      </w:r>
      <w:r w:rsidRPr="00132C1E">
        <w:t xml:space="preserve">, where </w:t>
      </w:r>
      <w:r w:rsidRPr="00132C1E">
        <w:rPr>
          <w:i/>
        </w:rPr>
        <w:t>T</w:t>
      </w:r>
      <w:r w:rsidRPr="00132C1E">
        <w:rPr>
          <w:iCs/>
          <w:vertAlign w:val="subscript"/>
        </w:rPr>
        <w:t>B</w:t>
      </w:r>
      <w:r w:rsidRPr="00132C1E">
        <w:rPr>
          <w:iCs/>
        </w:rPr>
        <w:t xml:space="preserve"> is a corner period determined in </w:t>
      </w:r>
      <w:r>
        <w:rPr>
          <w:iCs/>
        </w:rPr>
        <w:t>prEN 1998-1-1:2022</w:t>
      </w:r>
      <w:r w:rsidRPr="002C30CC">
        <w:rPr>
          <w:iCs/>
        </w:rPr>
        <w:t>, 5.2.2.2(1).</w:t>
      </w:r>
    </w:p>
    <w:p w14:paraId="3120AF9C" w14:textId="77777777" w:rsidR="004F44C3" w:rsidRPr="002C30CC" w:rsidRDefault="004F44C3" w:rsidP="0080187E">
      <w:pPr>
        <w:pStyle w:val="Clause"/>
        <w:numPr>
          <w:ilvl w:val="0"/>
          <w:numId w:val="65"/>
        </w:numPr>
      </w:pPr>
      <w:r w:rsidRPr="003312E9">
        <w:t xml:space="preserve">When the ancillary element does not satisfy a) or b) </w:t>
      </w:r>
      <w:r w:rsidRPr="002C30CC">
        <w:t>in (8), S</w:t>
      </w:r>
      <w:r w:rsidRPr="002C30CC">
        <w:rPr>
          <w:vertAlign w:val="subscript"/>
        </w:rPr>
        <w:t>ap</w:t>
      </w:r>
      <w:r w:rsidRPr="002C30CC">
        <w:t xml:space="preserve"> may be calculated using Annex C.</w:t>
      </w:r>
    </w:p>
    <w:p w14:paraId="4DFDAE7D" w14:textId="3E2E86E2" w:rsidR="004F44C3" w:rsidRPr="00132C1E" w:rsidRDefault="004F44C3" w:rsidP="0080187E">
      <w:pPr>
        <w:pStyle w:val="Clause"/>
        <w:numPr>
          <w:ilvl w:val="0"/>
          <w:numId w:val="65"/>
        </w:numPr>
      </w:pPr>
      <w:r w:rsidRPr="002C30CC">
        <w:t xml:space="preserve">If the displacement-based approach is used for the analysis of the structure, the ratio </w:t>
      </w:r>
      <w:r w:rsidRPr="002C30CC">
        <w:rPr>
          <w:i/>
          <w:iCs/>
        </w:rPr>
        <w:t>ηS</w:t>
      </w:r>
      <w:r w:rsidRPr="002C30CC">
        <w:rPr>
          <w:vertAlign w:val="subscript"/>
        </w:rPr>
        <w:t>α</w:t>
      </w:r>
      <w:r w:rsidRPr="002C30CC">
        <w:t>/</w:t>
      </w:r>
      <w:r w:rsidRPr="002C30CC">
        <w:rPr>
          <w:i/>
          <w:iCs/>
        </w:rPr>
        <w:t>q</w:t>
      </w:r>
      <w:r w:rsidRPr="002C30CC">
        <w:rPr>
          <w:vertAlign w:val="subscript"/>
        </w:rPr>
        <w:t>D</w:t>
      </w:r>
      <w:r w:rsidRPr="002C30CC">
        <w:rPr>
          <w:vertAlign w:val="superscript"/>
        </w:rPr>
        <w:t>’</w:t>
      </w:r>
      <w:r w:rsidRPr="002C30CC">
        <w:t xml:space="preserve"> in Formula (7.3) should be replaced by the acceleration of the inelastic primary structure determined as </w:t>
      </w:r>
      <w:r w:rsidRPr="002C30CC">
        <w:rPr>
          <w:i/>
          <w:iCs/>
        </w:rPr>
        <w:t>S</w:t>
      </w:r>
      <w:r w:rsidRPr="002C30CC">
        <w:rPr>
          <w:vertAlign w:val="subscript"/>
        </w:rPr>
        <w:t>ay</w:t>
      </w:r>
      <w:r w:rsidR="002C30CC">
        <w:t> </w:t>
      </w:r>
      <w:r w:rsidRPr="002C30CC">
        <w:t>=</w:t>
      </w:r>
      <w:r w:rsidR="002C30CC">
        <w:t> </w:t>
      </w:r>
      <w:r w:rsidRPr="002C30CC">
        <w:rPr>
          <w:i/>
          <w:iCs/>
        </w:rPr>
        <w:t>F</w:t>
      </w:r>
      <w:r w:rsidRPr="002C30CC">
        <w:t>*</w:t>
      </w:r>
      <w:r w:rsidRPr="002C30CC">
        <w:rPr>
          <w:vertAlign w:val="subscript"/>
        </w:rPr>
        <w:t>y</w:t>
      </w:r>
      <w:r w:rsidRPr="002C30CC">
        <w:t>/</w:t>
      </w:r>
      <w:r w:rsidRPr="002C30CC">
        <w:rPr>
          <w:i/>
          <w:iCs/>
        </w:rPr>
        <w:t>m</w:t>
      </w:r>
      <w:r w:rsidRPr="002C30CC">
        <w:t xml:space="preserve">*, where </w:t>
      </w:r>
      <w:r w:rsidRPr="002C30CC">
        <w:rPr>
          <w:i/>
          <w:iCs/>
        </w:rPr>
        <w:t>F</w:t>
      </w:r>
      <w:r w:rsidRPr="002C30CC">
        <w:t>*</w:t>
      </w:r>
      <w:r w:rsidRPr="002C30CC">
        <w:rPr>
          <w:vertAlign w:val="subscript"/>
        </w:rPr>
        <w:t>y</w:t>
      </w:r>
      <w:r w:rsidRPr="002C30CC">
        <w:t xml:space="preserve"> and </w:t>
      </w:r>
      <w:r w:rsidRPr="002C30CC">
        <w:rPr>
          <w:i/>
          <w:iCs/>
        </w:rPr>
        <w:t>m</w:t>
      </w:r>
      <w:r w:rsidRPr="002C30CC">
        <w:t>* are given in prEN</w:t>
      </w:r>
      <w:r w:rsidR="002C30CC">
        <w:t> </w:t>
      </w:r>
      <w:r w:rsidRPr="002C30CC">
        <w:t>1998-1-1:2022, 6.5.3. In</w:t>
      </w:r>
      <w:r w:rsidRPr="003312E9">
        <w:t xml:space="preserve"> case of hardening after yielding, the force at yield should be used as </w:t>
      </w:r>
      <w:r w:rsidRPr="009535EE">
        <w:rPr>
          <w:i/>
          <w:iCs/>
        </w:rPr>
        <w:t>F</w:t>
      </w:r>
      <w:r w:rsidRPr="003312E9">
        <w:t>*</w:t>
      </w:r>
      <w:r w:rsidRPr="009535EE">
        <w:rPr>
          <w:vertAlign w:val="subscript"/>
        </w:rPr>
        <w:t>y</w:t>
      </w:r>
      <w:r w:rsidRPr="003312E9">
        <w:t xml:space="preserve"> instead of the force at the target displacement.</w:t>
      </w:r>
    </w:p>
    <w:p w14:paraId="769D2E05" w14:textId="6FA4D069" w:rsidR="00A02D12" w:rsidRPr="00870D59" w:rsidRDefault="00594A66" w:rsidP="004F44C3">
      <w:pPr>
        <w:pStyle w:val="Heading3"/>
      </w:pPr>
      <w:bookmarkStart w:id="989" w:name="_Toc16927658"/>
      <w:bookmarkStart w:id="990" w:name="_Toc50150311"/>
      <w:bookmarkStart w:id="991" w:name="_Toc70886742"/>
      <w:bookmarkStart w:id="992" w:name="_Toc108342247"/>
      <w:bookmarkStart w:id="993" w:name="_Toc134197832"/>
      <w:r w:rsidRPr="00132C1E">
        <w:t>Performance factors</w:t>
      </w:r>
      <w:bookmarkEnd w:id="989"/>
      <w:bookmarkEnd w:id="990"/>
      <w:bookmarkEnd w:id="991"/>
      <w:bookmarkEnd w:id="992"/>
      <w:bookmarkEnd w:id="993"/>
    </w:p>
    <w:p w14:paraId="3E4A9BDD" w14:textId="77777777" w:rsidR="00594A66" w:rsidRPr="00132C1E" w:rsidRDefault="00594A66" w:rsidP="0080187E">
      <w:pPr>
        <w:pStyle w:val="Clause"/>
        <w:numPr>
          <w:ilvl w:val="0"/>
          <w:numId w:val="68"/>
        </w:numPr>
      </w:pPr>
      <w:r w:rsidRPr="00132C1E">
        <w:t xml:space="preserve">The performance factor </w:t>
      </w:r>
      <w:r w:rsidRPr="00594A66">
        <w:rPr>
          <w:rFonts w:ascii="Symbol" w:eastAsia="Symbol" w:hAnsi="Symbol" w:cs="Symbol"/>
          <w:i/>
        </w:rPr>
        <w:t></w:t>
      </w:r>
      <w:r w:rsidRPr="00594A66">
        <w:rPr>
          <w:vertAlign w:val="subscript"/>
        </w:rPr>
        <w:t>ap</w:t>
      </w:r>
      <w:r w:rsidRPr="00132C1E">
        <w:t xml:space="preserve"> of ancillary elements should not be smaller than 1,0.</w:t>
      </w:r>
    </w:p>
    <w:p w14:paraId="4F4A45A0" w14:textId="77777777" w:rsidR="00594A66" w:rsidRPr="002C30CC" w:rsidRDefault="00594A66" w:rsidP="00594A66">
      <w:pPr>
        <w:pStyle w:val="Notetext"/>
      </w:pPr>
      <w:r w:rsidRPr="00132C1E">
        <w:t>NOTE</w:t>
      </w:r>
      <w:r w:rsidRPr="00132C1E">
        <w:tab/>
        <w:t xml:space="preserve">Except for elements participating to safety </w:t>
      </w:r>
      <w:r w:rsidRPr="002C30CC">
        <w:t xml:space="preserve">systems in (2), the value of </w:t>
      </w:r>
      <w:r w:rsidRPr="002C30CC">
        <w:rPr>
          <w:rFonts w:ascii="Symbol" w:eastAsia="Symbol" w:hAnsi="Symbol" w:cs="Symbol"/>
          <w:i/>
        </w:rPr>
        <w:t></w:t>
      </w:r>
      <w:r w:rsidRPr="002C30CC">
        <w:rPr>
          <w:vertAlign w:val="subscript"/>
        </w:rPr>
        <w:t>ap</w:t>
      </w:r>
      <w:r w:rsidRPr="002C30CC">
        <w:t xml:space="preserve"> is 1,0, unless a relevant Authority or the National Annex or the relevant parties for a specific project set greater values.</w:t>
      </w:r>
    </w:p>
    <w:p w14:paraId="6F5DEAE1" w14:textId="77777777" w:rsidR="00594A66" w:rsidRPr="002C30CC" w:rsidRDefault="00594A66" w:rsidP="0080187E">
      <w:pPr>
        <w:pStyle w:val="Clause"/>
        <w:numPr>
          <w:ilvl w:val="0"/>
          <w:numId w:val="68"/>
        </w:numPr>
      </w:pPr>
      <w:r w:rsidRPr="002C30CC">
        <w:t xml:space="preserve">For anchorage elements of machinery or for equipment participating to safety systems, the performance factor </w:t>
      </w:r>
      <w:r w:rsidRPr="002C30CC">
        <w:rPr>
          <w:rFonts w:ascii="Symbol" w:eastAsia="Symbol" w:hAnsi="Symbol" w:cs="Symbol"/>
          <w:i/>
        </w:rPr>
        <w:t></w:t>
      </w:r>
      <w:r w:rsidRPr="002C30CC">
        <w:rPr>
          <w:vertAlign w:val="subscript"/>
        </w:rPr>
        <w:t>ap</w:t>
      </w:r>
      <w:r w:rsidRPr="002C30CC">
        <w:t xml:space="preserve"> should be greater than in (1).</w:t>
      </w:r>
    </w:p>
    <w:p w14:paraId="0108BF31" w14:textId="77777777" w:rsidR="00594A66" w:rsidRPr="00132C1E" w:rsidRDefault="00594A66" w:rsidP="00594A66">
      <w:pPr>
        <w:pStyle w:val="Notetext"/>
      </w:pPr>
      <w:r w:rsidRPr="00132C1E">
        <w:t>NOTE</w:t>
      </w:r>
      <w:r w:rsidRPr="00132C1E">
        <w:tab/>
        <w:t xml:space="preserve">The value of </w:t>
      </w:r>
      <w:r w:rsidRPr="00132C1E">
        <w:rPr>
          <w:rFonts w:ascii="Symbol" w:eastAsia="Symbol" w:hAnsi="Symbol" w:cs="Symbol"/>
          <w:i/>
          <w:iCs/>
        </w:rPr>
        <w:t></w:t>
      </w:r>
      <w:r w:rsidRPr="00132C1E">
        <w:rPr>
          <w:vertAlign w:val="subscript"/>
        </w:rPr>
        <w:t>a</w:t>
      </w:r>
      <w:r>
        <w:rPr>
          <w:vertAlign w:val="subscript"/>
        </w:rPr>
        <w:t>p</w:t>
      </w:r>
      <w:r w:rsidRPr="00132C1E">
        <w:t xml:space="preserve"> for this type of elements is 1,5, unless a relevant Authority or the National Annex or</w:t>
      </w:r>
      <w:r w:rsidRPr="00132C1E">
        <w:rPr>
          <w:rFonts w:eastAsia="Cambria"/>
          <w:color w:val="000000" w:themeColor="text1"/>
          <w:sz w:val="22"/>
        </w:rPr>
        <w:t>, in the absence of such guidance,</w:t>
      </w:r>
      <w:r w:rsidRPr="00132C1E">
        <w:t xml:space="preserve"> the relevant parties for a specific project set different values.</w:t>
      </w:r>
    </w:p>
    <w:p w14:paraId="479B5B3F" w14:textId="77777777" w:rsidR="00594A66" w:rsidRPr="00132C1E" w:rsidRDefault="00594A66" w:rsidP="00594A66">
      <w:pPr>
        <w:pStyle w:val="Heading2"/>
      </w:pPr>
      <w:bookmarkStart w:id="994" w:name="_Toc16927659"/>
      <w:bookmarkStart w:id="995" w:name="_Toc50150312"/>
      <w:bookmarkStart w:id="996" w:name="_Toc70886743"/>
      <w:bookmarkStart w:id="997" w:name="_Toc108342248"/>
      <w:bookmarkStart w:id="998" w:name="_Toc134197833"/>
      <w:r w:rsidRPr="00132C1E">
        <w:t>Verification at Near Collapse (NC) limit state</w:t>
      </w:r>
      <w:bookmarkEnd w:id="994"/>
      <w:bookmarkEnd w:id="995"/>
      <w:bookmarkEnd w:id="996"/>
      <w:bookmarkEnd w:id="997"/>
      <w:bookmarkEnd w:id="998"/>
    </w:p>
    <w:p w14:paraId="2E084C51" w14:textId="6B7712C7" w:rsidR="00594A66" w:rsidRPr="004E0AE9" w:rsidRDefault="00594A66" w:rsidP="0080187E">
      <w:pPr>
        <w:pStyle w:val="Clause"/>
        <w:numPr>
          <w:ilvl w:val="0"/>
          <w:numId w:val="69"/>
        </w:numPr>
      </w:pPr>
      <w:r w:rsidRPr="004E0AE9">
        <w:t xml:space="preserve">In case the NC limit state is used, it should be verified that, under the specified seismic action, the deformation limits or other relevant limits given in </w:t>
      </w:r>
      <w:r w:rsidR="002B75DE" w:rsidRPr="004E0AE9">
        <w:t>pr</w:t>
      </w:r>
      <w:r w:rsidRPr="004E0AE9">
        <w:t>EN</w:t>
      </w:r>
      <w:r w:rsidR="002C30CC" w:rsidRPr="004E0AE9">
        <w:t> </w:t>
      </w:r>
      <w:r w:rsidRPr="004E0AE9">
        <w:t>1998-3</w:t>
      </w:r>
      <w:r w:rsidRPr="004E0AE9" w:rsidDel="006732F4">
        <w:t xml:space="preserve"> </w:t>
      </w:r>
      <w:r w:rsidRPr="004E0AE9">
        <w:t>are not exceeded.</w:t>
      </w:r>
    </w:p>
    <w:p w14:paraId="0F6488DC" w14:textId="77777777" w:rsidR="00594A66" w:rsidRPr="00132C1E" w:rsidRDefault="00594A66" w:rsidP="00594A66">
      <w:pPr>
        <w:pStyle w:val="Heading2"/>
      </w:pPr>
      <w:bookmarkStart w:id="999" w:name="_Toc16927660"/>
      <w:bookmarkStart w:id="1000" w:name="_Toc50150313"/>
      <w:bookmarkStart w:id="1001" w:name="_Toc70886744"/>
      <w:bookmarkStart w:id="1002" w:name="_Toc108342249"/>
      <w:bookmarkStart w:id="1003" w:name="_Toc134197834"/>
      <w:r w:rsidRPr="00132C1E">
        <w:t>Masonry infilled frames</w:t>
      </w:r>
      <w:bookmarkEnd w:id="999"/>
      <w:bookmarkEnd w:id="1000"/>
      <w:bookmarkEnd w:id="1001"/>
      <w:bookmarkEnd w:id="1002"/>
      <w:bookmarkEnd w:id="1003"/>
    </w:p>
    <w:p w14:paraId="1EE313B3" w14:textId="77777777" w:rsidR="00594A66" w:rsidRPr="00132C1E" w:rsidRDefault="00594A66" w:rsidP="00594A66">
      <w:pPr>
        <w:pStyle w:val="Heading3"/>
      </w:pPr>
      <w:bookmarkStart w:id="1004" w:name="_Toc16927661"/>
      <w:bookmarkStart w:id="1005" w:name="_Toc50150314"/>
      <w:bookmarkStart w:id="1006" w:name="_Toc70886745"/>
      <w:bookmarkStart w:id="1007" w:name="_Toc108342250"/>
      <w:bookmarkStart w:id="1008" w:name="_Toc134197835"/>
      <w:r w:rsidRPr="00132C1E">
        <w:t>General</w:t>
      </w:r>
      <w:bookmarkEnd w:id="1004"/>
      <w:bookmarkEnd w:id="1005"/>
      <w:bookmarkEnd w:id="1006"/>
      <w:bookmarkEnd w:id="1007"/>
      <w:bookmarkEnd w:id="1008"/>
    </w:p>
    <w:p w14:paraId="08778137" w14:textId="07934332" w:rsidR="00594A66" w:rsidRPr="00132C1E" w:rsidRDefault="00594A66" w:rsidP="0080187E">
      <w:pPr>
        <w:pStyle w:val="Clause"/>
        <w:numPr>
          <w:ilvl w:val="0"/>
          <w:numId w:val="70"/>
        </w:numPr>
      </w:pPr>
      <w:r w:rsidRPr="00594A66">
        <w:rPr>
          <w:rFonts w:eastAsia="Cambria"/>
        </w:rPr>
        <w:t xml:space="preserve">Masonry infills should be classified as interacting or non-interacting as </w:t>
      </w:r>
      <w:r w:rsidRPr="002C30CC">
        <w:rPr>
          <w:rFonts w:eastAsia="Cambria"/>
        </w:rPr>
        <w:t>defined in 3.1.1</w:t>
      </w:r>
      <w:r w:rsidR="002C30CC">
        <w:rPr>
          <w:rFonts w:eastAsia="Cambria"/>
        </w:rPr>
        <w:t>6</w:t>
      </w:r>
      <w:r w:rsidRPr="002C30CC">
        <w:rPr>
          <w:rFonts w:eastAsia="Cambria"/>
        </w:rPr>
        <w:t xml:space="preserve"> and 3.1.1</w:t>
      </w:r>
      <w:r w:rsidR="002C30CC">
        <w:rPr>
          <w:rFonts w:eastAsia="Cambria"/>
        </w:rPr>
        <w:t>9</w:t>
      </w:r>
      <w:r w:rsidRPr="002C30CC">
        <w:rPr>
          <w:rFonts w:eastAsia="Cambria"/>
        </w:rPr>
        <w:t>;</w:t>
      </w:r>
      <w:r w:rsidRPr="00594A66">
        <w:rPr>
          <w:rFonts w:eastAsia="Cambria"/>
        </w:rPr>
        <w:t xml:space="preserve"> interacting infills may be ductile or non-ductile.</w:t>
      </w:r>
    </w:p>
    <w:p w14:paraId="6BA4BD85" w14:textId="6C67ED9B" w:rsidR="00594A66" w:rsidRPr="00594A66" w:rsidRDefault="00594A66" w:rsidP="0080187E">
      <w:pPr>
        <w:pStyle w:val="Clause"/>
        <w:numPr>
          <w:ilvl w:val="0"/>
          <w:numId w:val="70"/>
        </w:numPr>
        <w:rPr>
          <w:color w:val="auto"/>
        </w:rPr>
      </w:pPr>
      <w:r w:rsidRPr="00594A66">
        <w:rPr>
          <w:rFonts w:eastAsia="TimesNewRoman"/>
          <w:color w:val="auto"/>
        </w:rPr>
        <w:t xml:space="preserve">Infills </w:t>
      </w:r>
      <w:r w:rsidRPr="00594A66">
        <w:rPr>
          <w:color w:val="auto"/>
        </w:rPr>
        <w:t>in contact with the frame without separation joints</w:t>
      </w:r>
      <w:r w:rsidRPr="00594A66">
        <w:rPr>
          <w:rFonts w:eastAsia="TimesNewRoman"/>
          <w:color w:val="auto"/>
        </w:rPr>
        <w:t xml:space="preserve"> should be classified as interacting.</w:t>
      </w:r>
    </w:p>
    <w:p w14:paraId="6EC0DE0F" w14:textId="24AB135E" w:rsidR="00594A66" w:rsidRPr="00802525" w:rsidRDefault="00594A66" w:rsidP="0080187E">
      <w:pPr>
        <w:pStyle w:val="Clause"/>
        <w:numPr>
          <w:ilvl w:val="0"/>
          <w:numId w:val="70"/>
        </w:numPr>
      </w:pPr>
      <w:r w:rsidRPr="00BC34DF">
        <w:t>Ductile infills should accommodate without degradations the deformations of the frame up to the SD design stage.</w:t>
      </w:r>
    </w:p>
    <w:p w14:paraId="7813CDF9" w14:textId="177A7404" w:rsidR="00594A66" w:rsidRPr="00132C1E" w:rsidRDefault="00594A66" w:rsidP="0080187E">
      <w:pPr>
        <w:pStyle w:val="Clause"/>
        <w:numPr>
          <w:ilvl w:val="0"/>
          <w:numId w:val="70"/>
        </w:numPr>
      </w:pPr>
      <w:r w:rsidRPr="008A502A">
        <w:rPr>
          <w:rFonts w:eastAsia="TimesNewRoman"/>
        </w:rPr>
        <w:t>Masonry infills may be classified as ductile if they can sustain without degradation drifts not smaller than the limits at O</w:t>
      </w:r>
      <w:r>
        <w:rPr>
          <w:rFonts w:eastAsia="TimesNewRoman"/>
        </w:rPr>
        <w:t>P</w:t>
      </w:r>
      <w:r w:rsidRPr="008A502A">
        <w:rPr>
          <w:rFonts w:eastAsia="TimesNewRoman"/>
        </w:rPr>
        <w:t>, DL and SD as given in Table 7.</w:t>
      </w:r>
      <w:r w:rsidR="00C16E02">
        <w:rPr>
          <w:rFonts w:eastAsia="TimesNewRoman"/>
        </w:rPr>
        <w:t>1</w:t>
      </w:r>
      <w:r w:rsidRPr="008A502A">
        <w:rPr>
          <w:rFonts w:eastAsia="TimesNewRoman"/>
        </w:rPr>
        <w:t>.</w:t>
      </w:r>
      <w:r>
        <w:rPr>
          <w:rFonts w:eastAsia="TimesNewRoman"/>
        </w:rPr>
        <w:t xml:space="preserve"> </w:t>
      </w:r>
    </w:p>
    <w:p w14:paraId="2AD1B249" w14:textId="77777777" w:rsidR="00594A66" w:rsidRPr="00132C1E" w:rsidRDefault="00594A66" w:rsidP="0080187E">
      <w:pPr>
        <w:pStyle w:val="Clause"/>
        <w:numPr>
          <w:ilvl w:val="0"/>
          <w:numId w:val="70"/>
        </w:numPr>
      </w:pPr>
      <w:r w:rsidRPr="00132C1E">
        <w:rPr>
          <w:rFonts w:eastAsia="TimesNewRoman"/>
        </w:rPr>
        <w:lastRenderedPageBreak/>
        <w:t xml:space="preserve">Infills with horizontal or vertical sliding planes along which a displacement </w:t>
      </w:r>
      <w:r w:rsidRPr="00594A66">
        <w:rPr>
          <w:rFonts w:eastAsia="TimesNewRoman"/>
          <w:color w:val="auto"/>
        </w:rPr>
        <w:t xml:space="preserve">capacity </w:t>
      </w:r>
      <w:r w:rsidRPr="00594A66">
        <w:rPr>
          <w:color w:val="auto"/>
          <w:szCs w:val="22"/>
        </w:rPr>
        <w:t xml:space="preserve">satisfying (3) </w:t>
      </w:r>
      <w:r w:rsidRPr="00132C1E">
        <w:rPr>
          <w:rFonts w:eastAsia="TimesNewRoman"/>
        </w:rPr>
        <w:t>exist may be considered ductile.</w:t>
      </w:r>
    </w:p>
    <w:p w14:paraId="49B1527E" w14:textId="77777777" w:rsidR="00594A66" w:rsidRPr="00132C1E" w:rsidRDefault="00594A66" w:rsidP="0080187E">
      <w:pPr>
        <w:pStyle w:val="Clause"/>
        <w:numPr>
          <w:ilvl w:val="0"/>
          <w:numId w:val="70"/>
        </w:numPr>
      </w:pPr>
      <w:r w:rsidRPr="00132C1E">
        <w:rPr>
          <w:rFonts w:eastAsia="TimesNewRoman"/>
        </w:rPr>
        <w:t>Masonry infills with only vertical or only horizontal reinforcement or with reinforcement mesh in a layer of plaster should be considered as unreinforced.</w:t>
      </w:r>
    </w:p>
    <w:p w14:paraId="32B6798D" w14:textId="77777777" w:rsidR="00594A66" w:rsidRPr="00132C1E" w:rsidRDefault="00594A66" w:rsidP="0080187E">
      <w:pPr>
        <w:pStyle w:val="Clause"/>
        <w:numPr>
          <w:ilvl w:val="0"/>
          <w:numId w:val="70"/>
        </w:numPr>
      </w:pPr>
      <w:r w:rsidRPr="00132C1E">
        <w:t>For concrete wall systems, the in-plane interaction with the masonry infills may be neglected.</w:t>
      </w:r>
    </w:p>
    <w:p w14:paraId="1D61DE88" w14:textId="7C86AB53" w:rsidR="00594A66" w:rsidRPr="00132C1E" w:rsidRDefault="00594A66" w:rsidP="0080187E">
      <w:pPr>
        <w:pStyle w:val="Clause"/>
        <w:numPr>
          <w:ilvl w:val="0"/>
          <w:numId w:val="70"/>
        </w:numPr>
      </w:pPr>
      <w:r w:rsidRPr="00132C1E">
        <w:t>The limits of seismic actio</w:t>
      </w:r>
      <w:r w:rsidRPr="009C1268">
        <w:t xml:space="preserve">n and the behaviour factors for design of frames with infills should be taken as given </w:t>
      </w:r>
      <w:r w:rsidRPr="002C30CC">
        <w:t>in</w:t>
      </w:r>
      <w:r w:rsidR="006633B5">
        <w:t xml:space="preserve"> Clauses</w:t>
      </w:r>
      <w:r w:rsidRPr="002C30CC">
        <w:t xml:space="preserve"> 10, 11, 12 and 13.</w:t>
      </w:r>
    </w:p>
    <w:p w14:paraId="4EA2C5BF" w14:textId="77777777" w:rsidR="00594A66" w:rsidRPr="00385566" w:rsidRDefault="00594A66" w:rsidP="0080187E">
      <w:pPr>
        <w:pStyle w:val="Clause"/>
        <w:numPr>
          <w:ilvl w:val="0"/>
          <w:numId w:val="70"/>
        </w:numPr>
        <w:rPr>
          <w:rFonts w:ascii="Arial" w:eastAsia="Arial" w:hAnsi="Arial" w:cs="Arial"/>
          <w:color w:val="auto"/>
        </w:rPr>
      </w:pPr>
      <w:r w:rsidRPr="00385566">
        <w:rPr>
          <w:rFonts w:eastAsia="Cambria"/>
          <w:color w:val="auto"/>
        </w:rPr>
        <w:t xml:space="preserve">Braced timber frame structures with interacting masonry infill should be designed to </w:t>
      </w:r>
      <w:r w:rsidRPr="00B00B3D">
        <w:rPr>
          <w:rFonts w:eastAsia="Cambria"/>
          <w:color w:val="auto"/>
        </w:rPr>
        <w:t>13.13</w:t>
      </w:r>
      <w:r w:rsidRPr="00385566">
        <w:rPr>
          <w:rFonts w:eastAsia="Cambria"/>
          <w:color w:val="auto"/>
        </w:rPr>
        <w:t>.</w:t>
      </w:r>
    </w:p>
    <w:p w14:paraId="55890F05" w14:textId="3CA5B527" w:rsidR="00594A66" w:rsidRPr="00132C1E" w:rsidRDefault="00594A66" w:rsidP="00594A66">
      <w:pPr>
        <w:pStyle w:val="Heading3"/>
      </w:pPr>
      <w:bookmarkStart w:id="1009" w:name="_Toc50150315"/>
      <w:bookmarkStart w:id="1010" w:name="_Toc70886746"/>
      <w:bookmarkStart w:id="1011" w:name="_Toc108342251"/>
      <w:bookmarkStart w:id="1012" w:name="_Toc16927662"/>
      <w:bookmarkStart w:id="1013" w:name="_Toc134197836"/>
      <w:r w:rsidRPr="00132C1E">
        <w:t>Design of frames with interacting infills</w:t>
      </w:r>
      <w:bookmarkEnd w:id="1009"/>
      <w:bookmarkEnd w:id="1010"/>
      <w:bookmarkEnd w:id="1011"/>
      <w:bookmarkEnd w:id="1012"/>
      <w:bookmarkEnd w:id="1013"/>
    </w:p>
    <w:p w14:paraId="06121C78" w14:textId="77777777" w:rsidR="00594A66" w:rsidRPr="00132C1E" w:rsidRDefault="00594A66" w:rsidP="00594A66">
      <w:pPr>
        <w:pStyle w:val="Heading4"/>
      </w:pPr>
      <w:bookmarkStart w:id="1014" w:name="_Toc108342252"/>
      <w:r w:rsidRPr="00132C1E">
        <w:t>Basis of design and limitation of drift</w:t>
      </w:r>
      <w:bookmarkEnd w:id="1014"/>
    </w:p>
    <w:p w14:paraId="7FDADF69" w14:textId="77777777" w:rsidR="00594A66" w:rsidRPr="002C30CC" w:rsidRDefault="00594A66" w:rsidP="0080187E">
      <w:pPr>
        <w:pStyle w:val="Clause"/>
        <w:numPr>
          <w:ilvl w:val="0"/>
          <w:numId w:val="71"/>
        </w:numPr>
        <w:rPr>
          <w:bCs/>
        </w:rPr>
      </w:pPr>
      <w:r w:rsidRPr="002C30CC">
        <w:rPr>
          <w:bCs/>
        </w:rPr>
        <w:t>7.4.2 should be applied in DC1, DC2 and DC3 for the design of frames with interacting masonry infills.</w:t>
      </w:r>
    </w:p>
    <w:p w14:paraId="0AB9CBB7" w14:textId="4000204B" w:rsidR="00594A66" w:rsidRPr="00A02A4F" w:rsidRDefault="00594A66" w:rsidP="0080187E">
      <w:pPr>
        <w:pStyle w:val="Clause"/>
        <w:numPr>
          <w:ilvl w:val="0"/>
          <w:numId w:val="71"/>
        </w:numPr>
      </w:pPr>
      <w:r w:rsidRPr="00A02A4F">
        <w:t>Interacting infills may be real</w:t>
      </w:r>
      <w:r w:rsidR="00E10A24">
        <w:t>ize</w:t>
      </w:r>
      <w:r w:rsidRPr="00A02A4F">
        <w:t>d with unreinforced, confined and reinforced masonry as defined in EN</w:t>
      </w:r>
      <w:r w:rsidR="00C16E02">
        <w:t> </w:t>
      </w:r>
      <w:r w:rsidRPr="00A02A4F">
        <w:t>1996-1-1.</w:t>
      </w:r>
    </w:p>
    <w:p w14:paraId="14C8D5AB" w14:textId="77777777" w:rsidR="00594A66" w:rsidRPr="00132C1E" w:rsidRDefault="00594A66" w:rsidP="0080187E">
      <w:pPr>
        <w:pStyle w:val="Clause"/>
        <w:numPr>
          <w:ilvl w:val="0"/>
          <w:numId w:val="71"/>
        </w:numPr>
      </w:pPr>
      <w:r w:rsidRPr="00132C1E">
        <w:t>The effects of interacting infills on the global response of a structure and the local effects due to the frame-infill interaction-like local additional shear in columns should be taken into account.</w:t>
      </w:r>
    </w:p>
    <w:p w14:paraId="77B9BEB6" w14:textId="77777777" w:rsidR="00594A66" w:rsidRPr="00132C1E" w:rsidRDefault="00594A66" w:rsidP="00624054">
      <w:pPr>
        <w:pStyle w:val="Notetext"/>
      </w:pPr>
      <w:r w:rsidRPr="00132C1E">
        <w:t>NOTE</w:t>
      </w:r>
      <w:r w:rsidRPr="00132C1E">
        <w:tab/>
        <w:t>In comparison to bare frames, the presence of interacting infills increases the stiffness of structures, reduces their periods and modifies the action effects. An unsymmetrical distribution of interacting infills in plan in an otherwise symmetrical structure induces torsion and an increase in the ductility demand in members of the frame. An irregular distribution of interacting infills in elevation can increase the action effects in the non-infilled storeys. The lack of strength and/or the limited drift capacity of interacting infills can cause premature failure of some of them so that the subsequent distribution of effective infills can correspond to an irregularity in elevation or to a more unsymmetrical distribution of stiffness in plan.</w:t>
      </w:r>
    </w:p>
    <w:p w14:paraId="2BD631CC" w14:textId="77777777" w:rsidR="00594A66" w:rsidRPr="00132C1E" w:rsidRDefault="00594A66" w:rsidP="0080187E">
      <w:pPr>
        <w:pStyle w:val="Clause"/>
        <w:numPr>
          <w:ilvl w:val="0"/>
          <w:numId w:val="71"/>
        </w:numPr>
      </w:pPr>
      <w:r w:rsidRPr="00132C1E">
        <w:t>The effects on the global response of a structure of in plan non-symmetrical layout of interacting infills should be taken into account.</w:t>
      </w:r>
    </w:p>
    <w:p w14:paraId="53412551" w14:textId="77777777" w:rsidR="00594A66" w:rsidRPr="00132C1E" w:rsidRDefault="00594A66" w:rsidP="0080187E">
      <w:pPr>
        <w:pStyle w:val="Clause"/>
        <w:numPr>
          <w:ilvl w:val="0"/>
          <w:numId w:val="71"/>
        </w:numPr>
      </w:pPr>
      <w:r w:rsidRPr="00132C1E">
        <w:t>The effects on the global response of a structure of irregularity in elevation due to interacting infills should be taken into account.</w:t>
      </w:r>
    </w:p>
    <w:p w14:paraId="054175D6" w14:textId="0A3A02B4" w:rsidR="00594A66" w:rsidRPr="00132C1E" w:rsidRDefault="00594A66" w:rsidP="0080187E">
      <w:pPr>
        <w:pStyle w:val="Clause"/>
        <w:numPr>
          <w:ilvl w:val="0"/>
          <w:numId w:val="71"/>
        </w:numPr>
      </w:pPr>
      <w:r w:rsidRPr="00132C1E">
        <w:t>It should be verified that the out-of-plane seismic action effects on interacting infills are smaller than their out-of-plane resistance</w:t>
      </w:r>
      <w:r w:rsidR="00624054">
        <w:t>.</w:t>
      </w:r>
    </w:p>
    <w:p w14:paraId="3B524B50" w14:textId="21084679" w:rsidR="00594A66" w:rsidRPr="00C16E02" w:rsidRDefault="00594A66" w:rsidP="0080187E">
      <w:pPr>
        <w:pStyle w:val="Clause"/>
        <w:numPr>
          <w:ilvl w:val="0"/>
          <w:numId w:val="71"/>
        </w:numPr>
      </w:pPr>
      <w:r w:rsidRPr="00132C1E">
        <w:t xml:space="preserve">The calculated interstorey drift, </w:t>
      </w:r>
      <w:r w:rsidRPr="00132C1E">
        <w:rPr>
          <w:i/>
          <w:iCs/>
        </w:rPr>
        <w:t>d</w:t>
      </w:r>
      <w:r w:rsidRPr="00132C1E">
        <w:rPr>
          <w:vertAlign w:val="subscript"/>
        </w:rPr>
        <w:t xml:space="preserve">r,SD </w:t>
      </w:r>
      <w:r w:rsidRPr="00132C1E">
        <w:t xml:space="preserve">and </w:t>
      </w:r>
      <w:r w:rsidRPr="00132C1E">
        <w:rPr>
          <w:i/>
          <w:iCs/>
        </w:rPr>
        <w:t>d</w:t>
      </w:r>
      <w:r w:rsidRPr="00132C1E">
        <w:rPr>
          <w:vertAlign w:val="subscript"/>
        </w:rPr>
        <w:t>r,DL</w:t>
      </w:r>
      <w:r w:rsidRPr="00132C1E">
        <w:t xml:space="preserve"> as defined </w:t>
      </w:r>
      <w:r w:rsidRPr="00C16E02">
        <w:t>in 6.2.4(1) and calculated according to 7.4.2.2 or 7.4.2.3 should not be greater than the limits at SD and, when applicable, at DL given in Table</w:t>
      </w:r>
      <w:r w:rsidR="004E0AE9">
        <w:t> </w:t>
      </w:r>
      <w:r w:rsidRPr="00C16E02">
        <w:t>7.</w:t>
      </w:r>
      <w:r w:rsidR="00C16E02">
        <w:t>1</w:t>
      </w:r>
      <w:r w:rsidRPr="00C16E02">
        <w:t>.</w:t>
      </w:r>
    </w:p>
    <w:p w14:paraId="5F201B38" w14:textId="581F46C5" w:rsidR="00594A66" w:rsidRPr="00132C1E" w:rsidRDefault="00594A66" w:rsidP="00624054">
      <w:pPr>
        <w:pStyle w:val="Notetext"/>
      </w:pPr>
      <w:bookmarkStart w:id="1015" w:name="_Hlk42870431"/>
      <w:r w:rsidRPr="00C16E02">
        <w:t>NOTE</w:t>
      </w:r>
      <w:r w:rsidRPr="00C16E02">
        <w:tab/>
        <w:t>(7) is meant to protect infills from premature failure, to prevent the structural irregularities induced by infill failure and to prote</w:t>
      </w:r>
      <w:r w:rsidRPr="00132C1E">
        <w:t>ct human lives</w:t>
      </w:r>
      <w:bookmarkEnd w:id="1015"/>
      <w:r w:rsidRPr="00132C1E">
        <w:t>.</w:t>
      </w:r>
    </w:p>
    <w:p w14:paraId="6DC12768" w14:textId="10ECF1AE" w:rsidR="00594A66" w:rsidRPr="00E415AE" w:rsidRDefault="00594A66" w:rsidP="008618F2">
      <w:pPr>
        <w:pStyle w:val="Tabletitle"/>
        <w:keepLines/>
      </w:pPr>
      <w:r w:rsidRPr="00E415AE">
        <w:lastRenderedPageBreak/>
        <w:t>Table </w:t>
      </w:r>
      <w:r w:rsidR="00E415AE" w:rsidRPr="00E415AE">
        <w:t>7</w:t>
      </w:r>
      <w:r w:rsidRPr="00E415AE">
        <w:t>.</w:t>
      </w:r>
      <w:r w:rsidR="00C16E02">
        <w:t xml:space="preserve">1 </w:t>
      </w:r>
      <w:r w:rsidRPr="00E415AE">
        <w:t>— Limits of interstorey drift in % in buildings with masonry infills</w:t>
      </w:r>
    </w:p>
    <w:tbl>
      <w:tblPr>
        <w:tblW w:w="8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7"/>
        <w:gridCol w:w="1275"/>
        <w:gridCol w:w="1276"/>
        <w:gridCol w:w="1276"/>
      </w:tblGrid>
      <w:tr w:rsidR="00624054" w:rsidRPr="00624054" w14:paraId="6CECE438" w14:textId="77777777" w:rsidTr="00C16E02">
        <w:trPr>
          <w:jc w:val="center"/>
        </w:trPr>
        <w:tc>
          <w:tcPr>
            <w:tcW w:w="4537" w:type="dxa"/>
            <w:shd w:val="clear" w:color="auto" w:fill="auto"/>
            <w:vAlign w:val="center"/>
          </w:tcPr>
          <w:p w14:paraId="2611A87C" w14:textId="77777777" w:rsidR="00594A66" w:rsidRPr="00C16E02" w:rsidRDefault="00594A66" w:rsidP="008618F2">
            <w:pPr>
              <w:pStyle w:val="Tablebody"/>
              <w:keepNext/>
              <w:keepLines/>
              <w:jc w:val="left"/>
              <w:rPr>
                <w:b/>
                <w:bCs/>
              </w:rPr>
            </w:pPr>
            <w:r w:rsidRPr="00C16E02">
              <w:rPr>
                <w:b/>
                <w:bCs/>
              </w:rPr>
              <w:t>Masonry Type</w:t>
            </w:r>
          </w:p>
        </w:tc>
        <w:tc>
          <w:tcPr>
            <w:tcW w:w="1275" w:type="dxa"/>
          </w:tcPr>
          <w:p w14:paraId="0E795F83" w14:textId="57EEEC10" w:rsidR="00594A66" w:rsidRPr="00C16E02" w:rsidRDefault="00594A66" w:rsidP="008618F2">
            <w:pPr>
              <w:pStyle w:val="Tablebody"/>
              <w:keepNext/>
              <w:keepLines/>
              <w:jc w:val="center"/>
              <w:rPr>
                <w:b/>
                <w:bCs/>
              </w:rPr>
            </w:pPr>
            <w:r w:rsidRPr="00C16E02">
              <w:rPr>
                <w:b/>
                <w:bCs/>
              </w:rPr>
              <w:t>Drift limits</w:t>
            </w:r>
          </w:p>
          <w:p w14:paraId="6151DC7C" w14:textId="77777777" w:rsidR="00594A66" w:rsidRPr="00C16E02" w:rsidRDefault="00594A66" w:rsidP="008618F2">
            <w:pPr>
              <w:pStyle w:val="Tablebody"/>
              <w:keepNext/>
              <w:keepLines/>
              <w:jc w:val="center"/>
              <w:rPr>
                <w:b/>
                <w:bCs/>
              </w:rPr>
            </w:pPr>
            <w:r w:rsidRPr="00C16E02">
              <w:rPr>
                <w:b/>
                <w:bCs/>
              </w:rPr>
              <w:t>at OP [%]</w:t>
            </w:r>
          </w:p>
        </w:tc>
        <w:tc>
          <w:tcPr>
            <w:tcW w:w="1276" w:type="dxa"/>
            <w:shd w:val="clear" w:color="auto" w:fill="auto"/>
          </w:tcPr>
          <w:p w14:paraId="1C846E38" w14:textId="03E2F42A" w:rsidR="00594A66" w:rsidRPr="00C16E02" w:rsidRDefault="00594A66" w:rsidP="008618F2">
            <w:pPr>
              <w:pStyle w:val="Tablebody"/>
              <w:keepNext/>
              <w:keepLines/>
              <w:jc w:val="center"/>
              <w:rPr>
                <w:b/>
                <w:bCs/>
              </w:rPr>
            </w:pPr>
            <w:r w:rsidRPr="00C16E02">
              <w:rPr>
                <w:b/>
                <w:bCs/>
              </w:rPr>
              <w:t>Drift limits</w:t>
            </w:r>
          </w:p>
          <w:p w14:paraId="1F8526C6" w14:textId="77777777" w:rsidR="00594A66" w:rsidRPr="00C16E02" w:rsidRDefault="00594A66" w:rsidP="008618F2">
            <w:pPr>
              <w:pStyle w:val="Tablebody"/>
              <w:keepNext/>
              <w:keepLines/>
              <w:jc w:val="center"/>
              <w:rPr>
                <w:b/>
                <w:bCs/>
              </w:rPr>
            </w:pPr>
            <w:r w:rsidRPr="00C16E02">
              <w:rPr>
                <w:b/>
                <w:bCs/>
              </w:rPr>
              <w:t>at DL [%]</w:t>
            </w:r>
          </w:p>
        </w:tc>
        <w:tc>
          <w:tcPr>
            <w:tcW w:w="1276" w:type="dxa"/>
            <w:shd w:val="clear" w:color="auto" w:fill="auto"/>
          </w:tcPr>
          <w:p w14:paraId="522D37E5" w14:textId="77777777" w:rsidR="00594A66" w:rsidRPr="00C16E02" w:rsidRDefault="00594A66" w:rsidP="008618F2">
            <w:pPr>
              <w:pStyle w:val="Tablebody"/>
              <w:keepNext/>
              <w:keepLines/>
              <w:jc w:val="center"/>
              <w:rPr>
                <w:b/>
                <w:bCs/>
              </w:rPr>
            </w:pPr>
            <w:r w:rsidRPr="00C16E02">
              <w:rPr>
                <w:b/>
                <w:bCs/>
              </w:rPr>
              <w:t>Drift limits</w:t>
            </w:r>
          </w:p>
          <w:p w14:paraId="2BC62E59" w14:textId="77777777" w:rsidR="00594A66" w:rsidRPr="00C16E02" w:rsidRDefault="00594A66" w:rsidP="008618F2">
            <w:pPr>
              <w:pStyle w:val="Tablebody"/>
              <w:keepNext/>
              <w:keepLines/>
              <w:jc w:val="center"/>
              <w:rPr>
                <w:b/>
                <w:bCs/>
              </w:rPr>
            </w:pPr>
            <w:r w:rsidRPr="00C16E02">
              <w:rPr>
                <w:b/>
                <w:bCs/>
              </w:rPr>
              <w:t>at SD [%]</w:t>
            </w:r>
          </w:p>
        </w:tc>
      </w:tr>
      <w:tr w:rsidR="00624054" w:rsidRPr="00624054" w14:paraId="713A903E" w14:textId="77777777" w:rsidTr="002061E5">
        <w:trPr>
          <w:jc w:val="center"/>
        </w:trPr>
        <w:tc>
          <w:tcPr>
            <w:tcW w:w="4537" w:type="dxa"/>
            <w:shd w:val="clear" w:color="auto" w:fill="auto"/>
          </w:tcPr>
          <w:p w14:paraId="56FC3B05" w14:textId="1C2EE40E" w:rsidR="00594A66" w:rsidRPr="00624054" w:rsidRDefault="00594A66" w:rsidP="008618F2">
            <w:pPr>
              <w:pStyle w:val="Tablebody"/>
              <w:keepNext/>
              <w:keepLines/>
            </w:pPr>
            <w:r w:rsidRPr="00624054">
              <w:t>Ductile masonry infills</w:t>
            </w:r>
            <w:r w:rsidR="007F5A1E">
              <w:t xml:space="preserve"> </w:t>
            </w:r>
            <w:r w:rsidR="007F5A1E" w:rsidRPr="00F36D4E">
              <w:t>as per 7.4.1 (4)</w:t>
            </w:r>
          </w:p>
        </w:tc>
        <w:tc>
          <w:tcPr>
            <w:tcW w:w="1275" w:type="dxa"/>
          </w:tcPr>
          <w:p w14:paraId="25710044" w14:textId="34BD9446" w:rsidR="00594A66" w:rsidRPr="00624054" w:rsidRDefault="00594A66" w:rsidP="008618F2">
            <w:pPr>
              <w:pStyle w:val="Tablebody"/>
              <w:keepNext/>
              <w:keepLines/>
              <w:jc w:val="center"/>
            </w:pPr>
            <w:r w:rsidRPr="00624054">
              <w:t>0,40</w:t>
            </w:r>
          </w:p>
        </w:tc>
        <w:tc>
          <w:tcPr>
            <w:tcW w:w="1276" w:type="dxa"/>
            <w:shd w:val="clear" w:color="auto" w:fill="auto"/>
          </w:tcPr>
          <w:p w14:paraId="7B23F52F" w14:textId="77777777" w:rsidR="00594A66" w:rsidRPr="00624054" w:rsidRDefault="00594A66" w:rsidP="008618F2">
            <w:pPr>
              <w:pStyle w:val="Tablebody"/>
              <w:keepNext/>
              <w:keepLines/>
              <w:jc w:val="center"/>
            </w:pPr>
            <w:r w:rsidRPr="00624054">
              <w:t>0,75</w:t>
            </w:r>
          </w:p>
        </w:tc>
        <w:tc>
          <w:tcPr>
            <w:tcW w:w="1276" w:type="dxa"/>
            <w:shd w:val="clear" w:color="auto" w:fill="auto"/>
          </w:tcPr>
          <w:p w14:paraId="2D820D07" w14:textId="77777777" w:rsidR="00594A66" w:rsidRPr="00624054" w:rsidRDefault="00594A66" w:rsidP="008618F2">
            <w:pPr>
              <w:pStyle w:val="Tablebody"/>
              <w:keepNext/>
              <w:keepLines/>
              <w:jc w:val="center"/>
            </w:pPr>
            <w:r w:rsidRPr="00624054">
              <w:t>2,00</w:t>
            </w:r>
          </w:p>
        </w:tc>
      </w:tr>
      <w:tr w:rsidR="00624054" w:rsidRPr="00624054" w14:paraId="41DF1985" w14:textId="77777777" w:rsidTr="002061E5">
        <w:trPr>
          <w:jc w:val="center"/>
        </w:trPr>
        <w:tc>
          <w:tcPr>
            <w:tcW w:w="4537" w:type="dxa"/>
            <w:shd w:val="clear" w:color="auto" w:fill="auto"/>
          </w:tcPr>
          <w:p w14:paraId="6EBC9E65" w14:textId="779D8E88" w:rsidR="00594A66" w:rsidRPr="00624054" w:rsidRDefault="00594A66" w:rsidP="00C16E02">
            <w:pPr>
              <w:pStyle w:val="Tablebody"/>
            </w:pPr>
            <w:r w:rsidRPr="00624054">
              <w:t>Unreinforced masonry with clay units in Groups 1,</w:t>
            </w:r>
            <w:r w:rsidR="00C16E02">
              <w:t xml:space="preserve"> </w:t>
            </w:r>
            <w:r w:rsidRPr="00624054">
              <w:t xml:space="preserve">2 or 3 with a thickness </w:t>
            </w:r>
            <w:r w:rsidRPr="00624054">
              <w:rPr>
                <w:rFonts w:cs="Arial"/>
              </w:rPr>
              <w:t>≥</w:t>
            </w:r>
            <w:r w:rsidRPr="00624054">
              <w:t xml:space="preserve"> 200</w:t>
            </w:r>
            <w:r w:rsidR="00C16E02">
              <w:t> </w:t>
            </w:r>
            <w:r w:rsidRPr="00624054">
              <w:t xml:space="preserve">mm and </w:t>
            </w:r>
            <w:r w:rsidRPr="00624054">
              <w:rPr>
                <w:i/>
              </w:rPr>
              <w:t>f</w:t>
            </w:r>
            <w:r w:rsidRPr="00624054">
              <w:rPr>
                <w:i/>
                <w:vertAlign w:val="subscript"/>
              </w:rPr>
              <w:t>k</w:t>
            </w:r>
            <w:r w:rsidRPr="00624054">
              <w:t xml:space="preserve"> </w:t>
            </w:r>
            <w:r w:rsidRPr="00624054">
              <w:rPr>
                <w:rFonts w:cs="Arial"/>
              </w:rPr>
              <w:t>≥</w:t>
            </w:r>
            <w:r w:rsidRPr="00624054">
              <w:t xml:space="preserve"> 3</w:t>
            </w:r>
            <w:r w:rsidR="00C16E02">
              <w:t> </w:t>
            </w:r>
            <w:r w:rsidRPr="00624054">
              <w:t>MPa</w:t>
            </w:r>
          </w:p>
        </w:tc>
        <w:tc>
          <w:tcPr>
            <w:tcW w:w="1275" w:type="dxa"/>
            <w:vAlign w:val="center"/>
          </w:tcPr>
          <w:p w14:paraId="55157CE7" w14:textId="67EE10ED" w:rsidR="00594A66" w:rsidRPr="00624054" w:rsidRDefault="00594A66" w:rsidP="00C16E02">
            <w:pPr>
              <w:pStyle w:val="Tablebody"/>
              <w:jc w:val="center"/>
            </w:pPr>
            <w:r w:rsidRPr="00624054">
              <w:t>0,25</w:t>
            </w:r>
          </w:p>
        </w:tc>
        <w:tc>
          <w:tcPr>
            <w:tcW w:w="1276" w:type="dxa"/>
            <w:shd w:val="clear" w:color="auto" w:fill="auto"/>
            <w:vAlign w:val="center"/>
          </w:tcPr>
          <w:p w14:paraId="34659FA2" w14:textId="77777777" w:rsidR="00594A66" w:rsidRPr="00624054" w:rsidRDefault="00594A66" w:rsidP="00C16E02">
            <w:pPr>
              <w:pStyle w:val="Tablebody"/>
              <w:jc w:val="center"/>
            </w:pPr>
            <w:r w:rsidRPr="00624054">
              <w:t>0,45</w:t>
            </w:r>
          </w:p>
        </w:tc>
        <w:tc>
          <w:tcPr>
            <w:tcW w:w="1276" w:type="dxa"/>
            <w:shd w:val="clear" w:color="auto" w:fill="auto"/>
            <w:vAlign w:val="center"/>
          </w:tcPr>
          <w:p w14:paraId="39A9CB0A" w14:textId="77777777" w:rsidR="00594A66" w:rsidRPr="00624054" w:rsidRDefault="00594A66" w:rsidP="00C16E02">
            <w:pPr>
              <w:pStyle w:val="Tablebody"/>
              <w:jc w:val="center"/>
            </w:pPr>
            <w:r w:rsidRPr="00624054">
              <w:t>1,40</w:t>
            </w:r>
          </w:p>
        </w:tc>
      </w:tr>
      <w:tr w:rsidR="00624054" w:rsidRPr="00624054" w14:paraId="7FB421C9" w14:textId="77777777" w:rsidTr="002061E5">
        <w:trPr>
          <w:jc w:val="center"/>
        </w:trPr>
        <w:tc>
          <w:tcPr>
            <w:tcW w:w="4537" w:type="dxa"/>
            <w:shd w:val="clear" w:color="auto" w:fill="auto"/>
          </w:tcPr>
          <w:p w14:paraId="26E2E9D2" w14:textId="77777777" w:rsidR="00594A66" w:rsidRPr="00624054" w:rsidRDefault="00594A66" w:rsidP="00C16E02">
            <w:pPr>
              <w:pStyle w:val="Tablebody"/>
            </w:pPr>
            <w:r w:rsidRPr="00624054">
              <w:t>Unreinforced masonry with units of Group 4</w:t>
            </w:r>
          </w:p>
        </w:tc>
        <w:tc>
          <w:tcPr>
            <w:tcW w:w="1275" w:type="dxa"/>
          </w:tcPr>
          <w:p w14:paraId="6A30E358" w14:textId="330C4996" w:rsidR="00594A66" w:rsidRPr="00624054" w:rsidRDefault="00594A66" w:rsidP="00C16E02">
            <w:pPr>
              <w:pStyle w:val="Tablebody"/>
              <w:jc w:val="center"/>
            </w:pPr>
            <w:r w:rsidRPr="00624054">
              <w:t>0,15</w:t>
            </w:r>
          </w:p>
        </w:tc>
        <w:tc>
          <w:tcPr>
            <w:tcW w:w="1276" w:type="dxa"/>
            <w:shd w:val="clear" w:color="auto" w:fill="auto"/>
          </w:tcPr>
          <w:p w14:paraId="708EA0CD" w14:textId="77777777" w:rsidR="00594A66" w:rsidRPr="00624054" w:rsidRDefault="00594A66" w:rsidP="00C16E02">
            <w:pPr>
              <w:pStyle w:val="Tablebody"/>
              <w:jc w:val="center"/>
            </w:pPr>
            <w:r w:rsidRPr="00624054">
              <w:t>0,25</w:t>
            </w:r>
          </w:p>
        </w:tc>
        <w:tc>
          <w:tcPr>
            <w:tcW w:w="1276" w:type="dxa"/>
            <w:shd w:val="clear" w:color="auto" w:fill="auto"/>
          </w:tcPr>
          <w:p w14:paraId="2ABBBFA7" w14:textId="77777777" w:rsidR="00594A66" w:rsidRPr="00624054" w:rsidRDefault="00594A66" w:rsidP="00C16E02">
            <w:pPr>
              <w:pStyle w:val="Tablebody"/>
              <w:jc w:val="center"/>
            </w:pPr>
            <w:r w:rsidRPr="00624054">
              <w:t>0,90</w:t>
            </w:r>
          </w:p>
        </w:tc>
      </w:tr>
    </w:tbl>
    <w:p w14:paraId="3C811E18" w14:textId="41B10BF0" w:rsidR="00594A66" w:rsidRPr="00D1484A" w:rsidRDefault="00594A66" w:rsidP="0080187E">
      <w:pPr>
        <w:pStyle w:val="Clause"/>
        <w:numPr>
          <w:ilvl w:val="0"/>
          <w:numId w:val="71"/>
        </w:numPr>
      </w:pPr>
      <w:r w:rsidRPr="00132C1E">
        <w:t>For units of unreinforced masonry other than those in Table 7.</w:t>
      </w:r>
      <w:r w:rsidR="00C16E02">
        <w:t>1</w:t>
      </w:r>
      <w:r w:rsidRPr="00D1484A">
        <w:t>, values of drift justified by tests may be used.</w:t>
      </w:r>
    </w:p>
    <w:p w14:paraId="406C6525" w14:textId="46D02BD7" w:rsidR="00594A66" w:rsidRPr="00E05E29" w:rsidRDefault="00594A66" w:rsidP="00624054">
      <w:pPr>
        <w:pStyle w:val="Notetext"/>
      </w:pPr>
      <w:r w:rsidRPr="00D1484A">
        <w:t>NOTE</w:t>
      </w:r>
      <w:r w:rsidRPr="00D1484A">
        <w:tab/>
      </w:r>
      <w:r>
        <w:t>EN 1990:202</w:t>
      </w:r>
      <w:r w:rsidR="006455AE">
        <w:t>3</w:t>
      </w:r>
      <w:r w:rsidRPr="00FD17CF">
        <w:t xml:space="preserve">, Annex D, </w:t>
      </w:r>
      <w:r w:rsidRPr="00644C3D">
        <w:t xml:space="preserve">provides guidance on design assisted by testing. </w:t>
      </w:r>
    </w:p>
    <w:p w14:paraId="197121E6" w14:textId="55844155" w:rsidR="00594A66" w:rsidRPr="00132C1E" w:rsidRDefault="00594A66" w:rsidP="0080187E">
      <w:pPr>
        <w:pStyle w:val="Clause"/>
        <w:numPr>
          <w:ilvl w:val="0"/>
          <w:numId w:val="71"/>
        </w:numPr>
      </w:pPr>
      <w:r w:rsidRPr="00132C1E">
        <w:t>In case of infills with openings, the limits of drift given in Table 7.</w:t>
      </w:r>
      <w:r w:rsidR="00C16E02">
        <w:t>1</w:t>
      </w:r>
      <w:r w:rsidRPr="00132C1E">
        <w:t xml:space="preserve"> should be reduced of at least 30</w:t>
      </w:r>
      <w:r w:rsidR="004E0AE9">
        <w:t> </w:t>
      </w:r>
      <w:r w:rsidRPr="00132C1E">
        <w:t>%.</w:t>
      </w:r>
    </w:p>
    <w:p w14:paraId="242E25C9" w14:textId="4CE44BC6" w:rsidR="00594A66" w:rsidRDefault="00594A66" w:rsidP="0080187E">
      <w:pPr>
        <w:pStyle w:val="Clause"/>
        <w:numPr>
          <w:ilvl w:val="0"/>
          <w:numId w:val="71"/>
        </w:numPr>
      </w:pPr>
      <w:r w:rsidRPr="00132C1E">
        <w:t>With confined and reinforced masonry infills or in the case of insertion of vertical or horizontal reinforcement in the masonry panel or in the case of insertion of a reinforcement mesh in the plaster, the values in Table 7.</w:t>
      </w:r>
      <w:r w:rsidR="00C16E02">
        <w:t>1</w:t>
      </w:r>
      <w:r w:rsidRPr="00132C1E">
        <w:t xml:space="preserve"> may be increased by a factor not greater than 1,20.</w:t>
      </w:r>
    </w:p>
    <w:p w14:paraId="38373811" w14:textId="77777777" w:rsidR="00624054" w:rsidRPr="00132C1E" w:rsidRDefault="00624054" w:rsidP="00624054">
      <w:pPr>
        <w:pStyle w:val="Heading4"/>
      </w:pPr>
      <w:bookmarkStart w:id="1016" w:name="_Toc108342253"/>
      <w:r w:rsidRPr="00132C1E">
        <w:t>Analysis with a model of the bare frame only</w:t>
      </w:r>
      <w:bookmarkEnd w:id="1016"/>
    </w:p>
    <w:p w14:paraId="396EBA32" w14:textId="6E6FC035" w:rsidR="00624054" w:rsidRPr="00C16E02" w:rsidRDefault="00624054" w:rsidP="0080187E">
      <w:pPr>
        <w:pStyle w:val="Clause"/>
        <w:numPr>
          <w:ilvl w:val="0"/>
          <w:numId w:val="81"/>
        </w:numPr>
        <w:rPr>
          <w:color w:val="auto"/>
        </w:rPr>
      </w:pPr>
      <w:r w:rsidRPr="00C16E02">
        <w:rPr>
          <w:rFonts w:eastAsia="TimesNewRoman"/>
          <w:color w:val="auto"/>
        </w:rPr>
        <w:t>R</w:t>
      </w:r>
      <w:r w:rsidRPr="00C16E02">
        <w:rPr>
          <w:color w:val="auto"/>
          <w:szCs w:val="18"/>
        </w:rPr>
        <w:t xml:space="preserve">egular structures with regular infill distribution may be analysed with </w:t>
      </w:r>
      <w:r w:rsidRPr="00C16E02">
        <w:rPr>
          <w:rFonts w:eastAsia="TimesNewRoman"/>
          <w:color w:val="auto"/>
        </w:rPr>
        <w:t>a bare frame model and the interstorey drift demand may be calculated using a simplified procedure assuming a linear elastic behaviour and taking into account the infills only for their masses, layout and type. This simplified procedure should take into account the contribution of infills to the stiffness of the structure.</w:t>
      </w:r>
    </w:p>
    <w:p w14:paraId="67E9D7B8" w14:textId="3065DE7D" w:rsidR="00624054" w:rsidRPr="00132C1E" w:rsidRDefault="00624054" w:rsidP="00FF6A9B">
      <w:pPr>
        <w:pStyle w:val="Notetext"/>
      </w:pPr>
      <w:r w:rsidRPr="00132C1E">
        <w:t>NOTE</w:t>
      </w:r>
      <w:r w:rsidRPr="00132C1E">
        <w:tab/>
        <w:t>Annex K gives a simplified procedure for regular RC structures with infills regularly distributed in elevation.</w:t>
      </w:r>
    </w:p>
    <w:p w14:paraId="11059998" w14:textId="23748F97" w:rsidR="00624054" w:rsidRDefault="00624054" w:rsidP="0080187E">
      <w:pPr>
        <w:pStyle w:val="Clause"/>
        <w:numPr>
          <w:ilvl w:val="0"/>
          <w:numId w:val="81"/>
        </w:numPr>
        <w:rPr>
          <w:color w:val="auto"/>
        </w:rPr>
      </w:pPr>
      <w:r w:rsidRPr="00C16E02">
        <w:rPr>
          <w:rFonts w:cs="Arial"/>
          <w:bCs/>
          <w:color w:val="auto"/>
        </w:rPr>
        <w:t>(1) may be applied i</w:t>
      </w:r>
      <w:r w:rsidRPr="00C16E02">
        <w:rPr>
          <w:bCs/>
          <w:color w:val="auto"/>
        </w:rPr>
        <w:t xml:space="preserve">f at any storey both ratios </w:t>
      </w:r>
      <w:r w:rsidRPr="00C16E02">
        <w:rPr>
          <w:bCs/>
          <w:i/>
          <w:iCs/>
          <w:color w:val="auto"/>
        </w:rPr>
        <w:t>R</w:t>
      </w:r>
      <w:r w:rsidRPr="00C16E02">
        <w:rPr>
          <w:bCs/>
          <w:color w:val="auto"/>
          <w:vertAlign w:val="subscript"/>
        </w:rPr>
        <w:t>sym,x</w:t>
      </w:r>
      <w:r w:rsidRPr="00C16E02">
        <w:rPr>
          <w:bCs/>
          <w:color w:val="auto"/>
        </w:rPr>
        <w:t xml:space="preserve"> and </w:t>
      </w:r>
      <w:r w:rsidRPr="00C16E02">
        <w:rPr>
          <w:bCs/>
          <w:i/>
          <w:iCs/>
          <w:color w:val="auto"/>
        </w:rPr>
        <w:t>R</w:t>
      </w:r>
      <w:r w:rsidRPr="00C16E02">
        <w:rPr>
          <w:bCs/>
          <w:color w:val="auto"/>
          <w:vertAlign w:val="subscript"/>
        </w:rPr>
        <w:t xml:space="preserve">sym,y </w:t>
      </w:r>
      <w:r w:rsidRPr="00C16E02">
        <w:rPr>
          <w:bCs/>
          <w:color w:val="auto"/>
        </w:rPr>
        <w:t xml:space="preserve">are smaller than 0,2, where </w:t>
      </w:r>
      <w:r w:rsidRPr="00C16E02">
        <w:rPr>
          <w:bCs/>
          <w:i/>
          <w:iCs/>
          <w:color w:val="auto"/>
        </w:rPr>
        <w:t>R</w:t>
      </w:r>
      <w:r w:rsidRPr="00C16E02">
        <w:rPr>
          <w:bCs/>
          <w:color w:val="auto"/>
          <w:vertAlign w:val="subscript"/>
        </w:rPr>
        <w:t>sym,x</w:t>
      </w:r>
      <w:r w:rsidRPr="00C16E02">
        <w:rPr>
          <w:bCs/>
          <w:color w:val="auto"/>
        </w:rPr>
        <w:t xml:space="preserve"> is given by Formula</w:t>
      </w:r>
      <w:r w:rsidRPr="00C16E02">
        <w:rPr>
          <w:bCs/>
          <w:i/>
          <w:iCs/>
          <w:color w:val="auto"/>
        </w:rPr>
        <w:t xml:space="preserve"> </w:t>
      </w:r>
      <w:r w:rsidRPr="00C16E02">
        <w:rPr>
          <w:bCs/>
          <w:color w:val="auto"/>
        </w:rPr>
        <w:t>(</w:t>
      </w:r>
      <w:r w:rsidRPr="00FF6A9B">
        <w:rPr>
          <w:color w:val="auto"/>
        </w:rPr>
        <w:t xml:space="preserve">7.6) and </w:t>
      </w:r>
      <w:r w:rsidRPr="00FF6A9B">
        <w:rPr>
          <w:i/>
          <w:iCs/>
          <w:color w:val="auto"/>
        </w:rPr>
        <w:t>R</w:t>
      </w:r>
      <w:r w:rsidRPr="00FF6A9B">
        <w:rPr>
          <w:color w:val="auto"/>
          <w:vertAlign w:val="subscript"/>
        </w:rPr>
        <w:t>sym,y</w:t>
      </w:r>
      <w:r w:rsidRPr="00FF6A9B">
        <w:rPr>
          <w:color w:val="auto"/>
        </w:rPr>
        <w:t xml:space="preserve"> by a similar Formula, replacing </w:t>
      </w:r>
      <w:r w:rsidRPr="00FF6A9B">
        <w:rPr>
          <w:i/>
          <w:iCs/>
          <w:color w:val="auto"/>
        </w:rPr>
        <w:t>x</w:t>
      </w:r>
      <w:r w:rsidRPr="00FF6A9B">
        <w:rPr>
          <w:color w:val="auto"/>
        </w:rPr>
        <w:t xml:space="preserve"> by </w:t>
      </w:r>
      <w:r w:rsidRPr="00FF6A9B">
        <w:rPr>
          <w:i/>
          <w:iCs/>
          <w:color w:val="auto"/>
        </w:rPr>
        <w:t>y</w:t>
      </w:r>
      <w:r w:rsidRPr="00FF6A9B">
        <w:rPr>
          <w:color w:val="auto"/>
        </w:rPr>
        <w:t>.</w:t>
      </w:r>
    </w:p>
    <w:p w14:paraId="378F3C53" w14:textId="505D49E9" w:rsidR="00FF6A9B" w:rsidRPr="00870D59" w:rsidRDefault="009B5CEC" w:rsidP="00FF6A9B">
      <w:pPr>
        <w:pStyle w:val="Formula"/>
      </w:pPr>
      <m:oMath>
        <m:sSub>
          <m:sSubPr>
            <m:ctrlPr>
              <w:rPr>
                <w:rFonts w:ascii="Cambria Math" w:hAnsi="Cambria Math"/>
                <w:vertAlign w:val="subscript"/>
              </w:rPr>
            </m:ctrlPr>
          </m:sSubPr>
          <m:e>
            <m:r>
              <w:rPr>
                <w:rFonts w:ascii="Cambria Math" w:hAnsi="Cambria Math"/>
              </w:rPr>
              <m:t>R</m:t>
            </m:r>
          </m:e>
          <m:sub>
            <m:r>
              <m:rPr>
                <m:sty m:val="p"/>
              </m:rPr>
              <w:rPr>
                <w:rFonts w:ascii="Cambria Math" w:hAnsi="Cambria Math"/>
                <w:vertAlign w:val="subscript"/>
              </w:rPr>
              <m:t>sym,x</m:t>
            </m:r>
          </m:sub>
        </m:sSub>
        <m:r>
          <m:rPr>
            <m:sty m:val="p"/>
          </m:rPr>
          <w:rPr>
            <w:rFonts w:ascii="Cambria Math" w:hAnsi="Cambria Math"/>
          </w:rPr>
          <m:t xml:space="preserve"> = {ABS [(Σ</m:t>
        </m:r>
        <m:sSub>
          <m:sSubPr>
            <m:ctrlPr>
              <w:rPr>
                <w:rFonts w:ascii="Cambria Math" w:hAnsi="Cambria Math"/>
              </w:rPr>
            </m:ctrlPr>
          </m:sSubPr>
          <m:e>
            <m:r>
              <w:rPr>
                <w:rFonts w:ascii="Cambria Math" w:hAnsi="Cambria Math"/>
              </w:rPr>
              <m:t>l</m:t>
            </m:r>
          </m:e>
          <m:sub>
            <m:r>
              <m:rPr>
                <m:sty m:val="p"/>
              </m:rPr>
              <w:rPr>
                <w:rFonts w:ascii="Cambria Math" w:hAnsi="Cambria Math"/>
                <w:vertAlign w:val="subscript"/>
              </w:rPr>
              <m:t>infill,left,x,i</m:t>
            </m:r>
          </m:sub>
        </m:sSub>
        <m:sSubSup>
          <m:sSubSupPr>
            <m:ctrlPr>
              <w:rPr>
                <w:rFonts w:ascii="Cambria Math" w:hAnsi="Cambria Math"/>
                <w:i/>
              </w:rPr>
            </m:ctrlPr>
          </m:sSubSupPr>
          <m:e>
            <m:r>
              <w:rPr>
                <w:rFonts w:ascii="Cambria Math" w:hAnsi="Cambria Math"/>
              </w:rPr>
              <m:t>d</m:t>
            </m:r>
          </m:e>
          <m:sub>
            <m:r>
              <m:rPr>
                <m:sty m:val="p"/>
              </m:rPr>
              <w:rPr>
                <w:rFonts w:ascii="Cambria Math" w:hAnsi="Cambria Math"/>
                <w:vertAlign w:val="subscript"/>
              </w:rPr>
              <m:t>i</m:t>
            </m:r>
          </m:sub>
          <m:sup>
            <m:r>
              <m:rPr>
                <m:sty m:val="p"/>
              </m:rPr>
              <w:rPr>
                <w:rFonts w:ascii="Cambria Math" w:hAnsi="Cambria Math"/>
                <w:vertAlign w:val="superscript"/>
              </w:rPr>
              <m:t>2</m:t>
            </m:r>
          </m:sup>
        </m:sSubSup>
        <m:r>
          <m:rPr>
            <m:sty m:val="p"/>
          </m:rPr>
          <w:rPr>
            <w:rFonts w:ascii="Cambria Math" w:hAnsi="Cambria Math"/>
            <w:vertAlign w:val="subscript"/>
          </w:rPr>
          <m:t xml:space="preserve"> </m:t>
        </m:r>
        <m:r>
          <m:rPr>
            <m:sty m:val="p"/>
          </m:rPr>
          <w:rPr>
            <w:rFonts w:ascii="Cambria Math" w:hAnsi="Cambria Math"/>
          </w:rPr>
          <m:t xml:space="preserve"> - Σ</m:t>
        </m:r>
        <m:sSub>
          <m:sSubPr>
            <m:ctrlPr>
              <w:rPr>
                <w:rFonts w:ascii="Cambria Math" w:hAnsi="Cambria Math"/>
              </w:rPr>
            </m:ctrlPr>
          </m:sSubPr>
          <m:e>
            <m:r>
              <w:rPr>
                <w:rFonts w:ascii="Cambria Math" w:hAnsi="Cambria Math"/>
              </w:rPr>
              <m:t>l</m:t>
            </m:r>
          </m:e>
          <m:sub>
            <m:r>
              <m:rPr>
                <m:sty m:val="p"/>
              </m:rPr>
              <w:rPr>
                <w:rFonts w:ascii="Cambria Math" w:hAnsi="Cambria Math"/>
                <w:vertAlign w:val="subscript"/>
              </w:rPr>
              <m:t>infill,right,x,i</m:t>
            </m:r>
          </m:sub>
        </m:sSub>
        <m:sSubSup>
          <m:sSubSupPr>
            <m:ctrlPr>
              <w:rPr>
                <w:rFonts w:ascii="Cambria Math" w:hAnsi="Cambria Math"/>
                <w:i/>
              </w:rPr>
            </m:ctrlPr>
          </m:sSubSupPr>
          <m:e>
            <m:r>
              <w:rPr>
                <w:rFonts w:ascii="Cambria Math" w:hAnsi="Cambria Math"/>
              </w:rPr>
              <m:t>d</m:t>
            </m:r>
          </m:e>
          <m:sub>
            <m:r>
              <m:rPr>
                <m:sty m:val="p"/>
              </m:rPr>
              <w:rPr>
                <w:rFonts w:ascii="Cambria Math" w:hAnsi="Cambria Math"/>
                <w:vertAlign w:val="subscript"/>
              </w:rPr>
              <m:t>i</m:t>
            </m:r>
          </m:sub>
          <m:sup>
            <m:r>
              <m:rPr>
                <m:sty m:val="p"/>
              </m:rPr>
              <w:rPr>
                <w:rFonts w:ascii="Cambria Math" w:hAnsi="Cambria Math"/>
                <w:vertAlign w:val="superscript"/>
              </w:rPr>
              <m:t>2</m:t>
            </m:r>
          </m:sup>
        </m:sSubSup>
        <m:r>
          <m:rPr>
            <m:sty m:val="p"/>
          </m:rPr>
          <w:rPr>
            <w:rFonts w:ascii="Cambria Math" w:hAnsi="Cambria Math"/>
          </w:rPr>
          <m:t>)]} / (Σ</m:t>
        </m:r>
        <m:sSub>
          <m:sSubPr>
            <m:ctrlPr>
              <w:rPr>
                <w:rFonts w:ascii="Cambria Math" w:hAnsi="Cambria Math"/>
              </w:rPr>
            </m:ctrlPr>
          </m:sSubPr>
          <m:e>
            <m:r>
              <w:rPr>
                <w:rFonts w:ascii="Cambria Math" w:hAnsi="Cambria Math"/>
              </w:rPr>
              <m:t>l</m:t>
            </m:r>
          </m:e>
          <m:sub>
            <m:r>
              <m:rPr>
                <m:sty m:val="p"/>
              </m:rPr>
              <w:rPr>
                <w:rFonts w:ascii="Cambria Math" w:hAnsi="Cambria Math"/>
                <w:vertAlign w:val="subscript"/>
              </w:rPr>
              <m:t>infill,left,x,i</m:t>
            </m:r>
          </m:sub>
        </m:sSub>
        <m:sSubSup>
          <m:sSubSupPr>
            <m:ctrlPr>
              <w:rPr>
                <w:rFonts w:ascii="Cambria Math" w:hAnsi="Cambria Math"/>
                <w:i/>
              </w:rPr>
            </m:ctrlPr>
          </m:sSubSupPr>
          <m:e>
            <m:r>
              <w:rPr>
                <w:rFonts w:ascii="Cambria Math" w:hAnsi="Cambria Math"/>
              </w:rPr>
              <m:t>d</m:t>
            </m:r>
          </m:e>
          <m:sub>
            <m:r>
              <m:rPr>
                <m:sty m:val="p"/>
              </m:rPr>
              <w:rPr>
                <w:rFonts w:ascii="Cambria Math" w:hAnsi="Cambria Math"/>
                <w:vertAlign w:val="subscript"/>
              </w:rPr>
              <m:t>i</m:t>
            </m:r>
          </m:sub>
          <m:sup>
            <m:r>
              <m:rPr>
                <m:sty m:val="p"/>
              </m:rPr>
              <w:rPr>
                <w:rFonts w:ascii="Cambria Math" w:hAnsi="Cambria Math"/>
                <w:vertAlign w:val="superscript"/>
              </w:rPr>
              <m:t>2</m:t>
            </m:r>
          </m:sup>
        </m:sSubSup>
        <m:r>
          <m:rPr>
            <m:sty m:val="p"/>
          </m:rPr>
          <w:rPr>
            <w:rFonts w:ascii="Cambria Math" w:hAnsi="Cambria Math"/>
          </w:rPr>
          <m:t xml:space="preserve">  + Σ</m:t>
        </m:r>
        <m:sSub>
          <m:sSubPr>
            <m:ctrlPr>
              <w:rPr>
                <w:rFonts w:ascii="Cambria Math" w:hAnsi="Cambria Math"/>
              </w:rPr>
            </m:ctrlPr>
          </m:sSubPr>
          <m:e>
            <m:r>
              <w:rPr>
                <w:rFonts w:ascii="Cambria Math" w:hAnsi="Cambria Math"/>
              </w:rPr>
              <m:t>l</m:t>
            </m:r>
          </m:e>
          <m:sub>
            <m:r>
              <m:rPr>
                <m:sty m:val="p"/>
              </m:rPr>
              <w:rPr>
                <w:rFonts w:ascii="Cambria Math" w:hAnsi="Cambria Math"/>
                <w:vertAlign w:val="subscript"/>
              </w:rPr>
              <m:t>infill,right,x,i</m:t>
            </m:r>
          </m:sub>
        </m:sSub>
        <m:sSubSup>
          <m:sSubSupPr>
            <m:ctrlPr>
              <w:rPr>
                <w:rFonts w:ascii="Cambria Math" w:hAnsi="Cambria Math"/>
                <w:i/>
              </w:rPr>
            </m:ctrlPr>
          </m:sSubSupPr>
          <m:e>
            <m:r>
              <w:rPr>
                <w:rFonts w:ascii="Cambria Math" w:hAnsi="Cambria Math"/>
              </w:rPr>
              <m:t>d</m:t>
            </m:r>
          </m:e>
          <m:sub>
            <m:r>
              <m:rPr>
                <m:sty m:val="p"/>
              </m:rPr>
              <w:rPr>
                <w:rFonts w:ascii="Cambria Math" w:hAnsi="Cambria Math"/>
                <w:vertAlign w:val="subscript"/>
              </w:rPr>
              <m:t>i</m:t>
            </m:r>
          </m:sub>
          <m:sup>
            <m:r>
              <m:rPr>
                <m:sty m:val="p"/>
              </m:rPr>
              <w:rPr>
                <w:rFonts w:ascii="Cambria Math" w:hAnsi="Cambria Math"/>
                <w:vertAlign w:val="superscript"/>
              </w:rPr>
              <m:t>2</m:t>
            </m:r>
          </m:sup>
        </m:sSubSup>
      </m:oMath>
      <w:r w:rsidR="00FF6A9B" w:rsidRPr="00870D59">
        <w:tab/>
        <w:t>(7.</w:t>
      </w:r>
      <w:r w:rsidR="00FF6A9B">
        <w:t>6</w:t>
      </w:r>
      <w:r w:rsidR="00FF6A9B" w:rsidRPr="00870D59">
        <w:t>)</w:t>
      </w:r>
    </w:p>
    <w:p w14:paraId="0D0A153F" w14:textId="22719AA3" w:rsidR="00FF6A9B" w:rsidRDefault="00FF6A9B" w:rsidP="00C16E02">
      <w:pPr>
        <w:pStyle w:val="Text"/>
      </w:pPr>
      <w:r>
        <w:t>where</w:t>
      </w:r>
    </w:p>
    <w:tbl>
      <w:tblPr>
        <w:tblW w:w="0" w:type="auto"/>
        <w:tblInd w:w="284" w:type="dxa"/>
        <w:tblLook w:val="04A0" w:firstRow="1" w:lastRow="0" w:firstColumn="1" w:lastColumn="0" w:noHBand="0" w:noVBand="1"/>
      </w:tblPr>
      <w:tblGrid>
        <w:gridCol w:w="1525"/>
        <w:gridCol w:w="7938"/>
      </w:tblGrid>
      <w:tr w:rsidR="00FF6A9B" w:rsidRPr="00870D59" w14:paraId="5FECF788" w14:textId="77777777" w:rsidTr="004E0AE9">
        <w:tc>
          <w:tcPr>
            <w:tcW w:w="1525" w:type="dxa"/>
            <w:shd w:val="clear" w:color="auto" w:fill="auto"/>
          </w:tcPr>
          <w:p w14:paraId="56DDC43D" w14:textId="2A0CFEBD" w:rsidR="00FF6A9B" w:rsidRPr="00523AC3" w:rsidRDefault="00FF6A9B" w:rsidP="002061E5">
            <w:pPr>
              <w:pStyle w:val="Tablebody"/>
              <w:rPr>
                <w:i/>
                <w:iCs/>
              </w:rPr>
            </w:pPr>
            <w:r w:rsidRPr="00132C1E">
              <w:rPr>
                <w:i/>
              </w:rPr>
              <w:t>l</w:t>
            </w:r>
            <w:r w:rsidRPr="00132C1E">
              <w:rPr>
                <w:iCs/>
                <w:vertAlign w:val="subscript"/>
              </w:rPr>
              <w:t>infill,left,x,i</w:t>
            </w:r>
          </w:p>
        </w:tc>
        <w:tc>
          <w:tcPr>
            <w:tcW w:w="7938" w:type="dxa"/>
          </w:tcPr>
          <w:p w14:paraId="14BE3466" w14:textId="759C266C" w:rsidR="00FF6A9B" w:rsidRPr="00870D59" w:rsidRDefault="00FF6A9B" w:rsidP="002061E5">
            <w:pPr>
              <w:pStyle w:val="Tablebody"/>
            </w:pPr>
            <w:r w:rsidRPr="00132C1E">
              <w:t xml:space="preserve">is the length of an infill parallel to axis x situated at left of axis </w:t>
            </w:r>
            <w:r w:rsidRPr="00132C1E">
              <w:rPr>
                <w:i/>
              </w:rPr>
              <w:t>x</w:t>
            </w:r>
            <w:r w:rsidRPr="00132C1E">
              <w:t>;</w:t>
            </w:r>
          </w:p>
        </w:tc>
      </w:tr>
      <w:tr w:rsidR="00FF6A9B" w:rsidRPr="00870D59" w14:paraId="29D40C82" w14:textId="77777777" w:rsidTr="004E0AE9">
        <w:tc>
          <w:tcPr>
            <w:tcW w:w="1525" w:type="dxa"/>
            <w:shd w:val="clear" w:color="auto" w:fill="auto"/>
          </w:tcPr>
          <w:p w14:paraId="20E10B61" w14:textId="17DD282A" w:rsidR="00FF6A9B" w:rsidRPr="00870D59" w:rsidRDefault="00FF6A9B" w:rsidP="002061E5">
            <w:pPr>
              <w:pStyle w:val="Tablebody"/>
              <w:rPr>
                <w:i/>
              </w:rPr>
            </w:pPr>
            <w:r w:rsidRPr="00132C1E">
              <w:rPr>
                <w:i/>
              </w:rPr>
              <w:t>l</w:t>
            </w:r>
            <w:r w:rsidRPr="00132C1E">
              <w:rPr>
                <w:iCs/>
                <w:vertAlign w:val="subscript"/>
              </w:rPr>
              <w:t>infill,right,x,i</w:t>
            </w:r>
          </w:p>
        </w:tc>
        <w:tc>
          <w:tcPr>
            <w:tcW w:w="7938" w:type="dxa"/>
          </w:tcPr>
          <w:p w14:paraId="747E3C16" w14:textId="22BA2DBE" w:rsidR="00FF6A9B" w:rsidRPr="00870D59" w:rsidRDefault="00FF6A9B" w:rsidP="002061E5">
            <w:pPr>
              <w:pStyle w:val="Tablebody"/>
            </w:pPr>
            <w:r w:rsidRPr="00132C1E">
              <w:t xml:space="preserve">is the length of an infill parallel to axis x situated at the right of axis </w:t>
            </w:r>
            <w:r w:rsidRPr="00132C1E">
              <w:rPr>
                <w:i/>
              </w:rPr>
              <w:t>x</w:t>
            </w:r>
            <w:r w:rsidRPr="00132C1E">
              <w:t>;</w:t>
            </w:r>
          </w:p>
        </w:tc>
      </w:tr>
      <w:tr w:rsidR="00FF6A9B" w:rsidRPr="00870D59" w14:paraId="0F344ED7" w14:textId="77777777" w:rsidTr="004E0AE9">
        <w:tc>
          <w:tcPr>
            <w:tcW w:w="1525" w:type="dxa"/>
            <w:shd w:val="clear" w:color="auto" w:fill="auto"/>
          </w:tcPr>
          <w:p w14:paraId="46F09C16" w14:textId="17F13485" w:rsidR="00FF6A9B" w:rsidRPr="00870D59" w:rsidRDefault="00FF6A9B" w:rsidP="002061E5">
            <w:pPr>
              <w:pStyle w:val="Tablebody"/>
              <w:rPr>
                <w:i/>
              </w:rPr>
            </w:pPr>
            <w:r w:rsidRPr="00132C1E">
              <w:t xml:space="preserve">axis </w:t>
            </w:r>
            <w:r w:rsidRPr="00132C1E">
              <w:rPr>
                <w:i/>
              </w:rPr>
              <w:t>x</w:t>
            </w:r>
          </w:p>
        </w:tc>
        <w:tc>
          <w:tcPr>
            <w:tcW w:w="7938" w:type="dxa"/>
          </w:tcPr>
          <w:p w14:paraId="17A0CF10" w14:textId="5B65FF64" w:rsidR="00FF6A9B" w:rsidRPr="00870D59" w:rsidRDefault="00FF6A9B" w:rsidP="002061E5">
            <w:pPr>
              <w:pStyle w:val="Tablebody"/>
            </w:pPr>
            <w:r w:rsidRPr="00132C1E">
              <w:t xml:space="preserve">is the axis in direction </w:t>
            </w:r>
            <w:r w:rsidRPr="00132C1E">
              <w:rPr>
                <w:i/>
              </w:rPr>
              <w:t>x</w:t>
            </w:r>
            <w:r w:rsidRPr="00132C1E">
              <w:t xml:space="preserve"> passing through the centre of rigidity of the bare frame;</w:t>
            </w:r>
          </w:p>
        </w:tc>
      </w:tr>
      <w:tr w:rsidR="00FF6A9B" w:rsidRPr="00870D59" w14:paraId="46ED2FF0" w14:textId="77777777" w:rsidTr="004E0AE9">
        <w:tc>
          <w:tcPr>
            <w:tcW w:w="1525" w:type="dxa"/>
            <w:shd w:val="clear" w:color="auto" w:fill="auto"/>
          </w:tcPr>
          <w:p w14:paraId="64C14028" w14:textId="28876F43" w:rsidR="00FF6A9B" w:rsidRPr="00132C1E" w:rsidRDefault="00FF6A9B" w:rsidP="002061E5">
            <w:pPr>
              <w:pStyle w:val="Tablebody"/>
              <w:rPr>
                <w:i/>
                <w:iCs/>
              </w:rPr>
            </w:pPr>
            <w:r w:rsidRPr="00132C1E">
              <w:rPr>
                <w:i/>
              </w:rPr>
              <w:t>d</w:t>
            </w:r>
            <w:r w:rsidRPr="00132C1E">
              <w:rPr>
                <w:i/>
                <w:vertAlign w:val="subscript"/>
              </w:rPr>
              <w:t>i</w:t>
            </w:r>
          </w:p>
        </w:tc>
        <w:tc>
          <w:tcPr>
            <w:tcW w:w="7938" w:type="dxa"/>
          </w:tcPr>
          <w:p w14:paraId="64C72542" w14:textId="2E7FD18D" w:rsidR="00FF6A9B" w:rsidRPr="00523AC3" w:rsidRDefault="00FF6A9B" w:rsidP="002061E5">
            <w:pPr>
              <w:pStyle w:val="Tablebody"/>
            </w:pPr>
            <w:r w:rsidRPr="00132C1E">
              <w:t xml:space="preserve">is the distance from infill </w:t>
            </w:r>
            <w:r w:rsidRPr="00132C1E">
              <w:rPr>
                <w:i/>
              </w:rPr>
              <w:t>i</w:t>
            </w:r>
            <w:r w:rsidRPr="00132C1E">
              <w:t xml:space="preserve"> </w:t>
            </w:r>
            <w:r w:rsidRPr="00132C1E">
              <w:rPr>
                <w:i/>
                <w:vertAlign w:val="subscript"/>
              </w:rPr>
              <w:t xml:space="preserve"> </w:t>
            </w:r>
            <w:r w:rsidRPr="00132C1E">
              <w:rPr>
                <w:vertAlign w:val="subscript"/>
              </w:rPr>
              <w:t xml:space="preserve"> </w:t>
            </w:r>
            <w:r w:rsidRPr="00132C1E">
              <w:t xml:space="preserve">to axis </w:t>
            </w:r>
            <w:r w:rsidRPr="00132C1E">
              <w:rPr>
                <w:i/>
              </w:rPr>
              <w:t>x</w:t>
            </w:r>
            <w:r w:rsidRPr="00132C1E">
              <w:t>.</w:t>
            </w:r>
          </w:p>
        </w:tc>
      </w:tr>
    </w:tbl>
    <w:p w14:paraId="492DAA9E" w14:textId="3FE7C229" w:rsidR="006D5136" w:rsidRPr="00132C1E" w:rsidRDefault="006D5136" w:rsidP="006D5136">
      <w:pPr>
        <w:pStyle w:val="Notetext"/>
        <w:rPr>
          <w:iCs/>
        </w:rPr>
      </w:pPr>
      <w:r w:rsidRPr="00132C1E">
        <w:rPr>
          <w:iCs/>
        </w:rPr>
        <w:t>NOTE</w:t>
      </w:r>
      <w:r w:rsidRPr="00132C1E">
        <w:rPr>
          <w:iCs/>
        </w:rPr>
        <w:tab/>
      </w:r>
      <w:r w:rsidRPr="00132C1E">
        <w:t xml:space="preserve">The ratios </w:t>
      </w:r>
      <w:r w:rsidRPr="00132C1E">
        <w:rPr>
          <w:i/>
        </w:rPr>
        <w:t>R</w:t>
      </w:r>
      <w:r w:rsidRPr="00132C1E">
        <w:rPr>
          <w:vertAlign w:val="subscript"/>
        </w:rPr>
        <w:t>sym,x</w:t>
      </w:r>
      <w:r w:rsidRPr="00132C1E">
        <w:t xml:space="preserve"> and </w:t>
      </w:r>
      <w:r w:rsidRPr="00132C1E">
        <w:rPr>
          <w:i/>
        </w:rPr>
        <w:t>R</w:t>
      </w:r>
      <w:r w:rsidRPr="00132C1E">
        <w:rPr>
          <w:vertAlign w:val="subscript"/>
        </w:rPr>
        <w:t>sym,y</w:t>
      </w:r>
      <w:r w:rsidRPr="00132C1E">
        <w:t xml:space="preserve"> character</w:t>
      </w:r>
      <w:r w:rsidR="00E10A24">
        <w:t>ize</w:t>
      </w:r>
      <w:r w:rsidRPr="00132C1E">
        <w:t xml:space="preserve"> the regularity in plan of the interacting infills layout.</w:t>
      </w:r>
    </w:p>
    <w:p w14:paraId="77F755D3" w14:textId="502D92C6" w:rsidR="006D5136" w:rsidRPr="00C16E02" w:rsidRDefault="006D5136" w:rsidP="0080187E">
      <w:pPr>
        <w:pStyle w:val="Clause"/>
        <w:numPr>
          <w:ilvl w:val="0"/>
          <w:numId w:val="81"/>
        </w:numPr>
      </w:pPr>
      <w:r w:rsidRPr="00132C1E">
        <w:t xml:space="preserve">Structures with infilled frames for which the ratios </w:t>
      </w:r>
      <w:r w:rsidRPr="00132C1E">
        <w:rPr>
          <w:i/>
          <w:iCs/>
        </w:rPr>
        <w:t>R</w:t>
      </w:r>
      <w:r w:rsidRPr="00132C1E">
        <w:rPr>
          <w:vertAlign w:val="subscript"/>
        </w:rPr>
        <w:t>sym,x</w:t>
      </w:r>
      <w:r w:rsidRPr="00132C1E">
        <w:t xml:space="preserve"> and </w:t>
      </w:r>
      <w:r w:rsidRPr="009C1268">
        <w:rPr>
          <w:i/>
          <w:iCs/>
        </w:rPr>
        <w:t>R</w:t>
      </w:r>
      <w:r w:rsidRPr="009C1268">
        <w:rPr>
          <w:vertAlign w:val="subscript"/>
        </w:rPr>
        <w:t xml:space="preserve">sym,y </w:t>
      </w:r>
      <w:r w:rsidRPr="009C1268">
        <w:t xml:space="preserve"> do not </w:t>
      </w:r>
      <w:r w:rsidRPr="00C16E02">
        <w:t xml:space="preserve">satisfy (2) but are both smaller than 0,4 may be analysed with </w:t>
      </w:r>
      <w:r w:rsidRPr="00C16E02">
        <w:rPr>
          <w:rFonts w:eastAsia="TimesNewRoman"/>
        </w:rPr>
        <w:t>a bare frame model; the seismic design action effects should be taken as their values from the analysis amplified by 1,3 and the design interstorey drift demand as those calculated as in (1) amplified by 1,3.</w:t>
      </w:r>
    </w:p>
    <w:p w14:paraId="66A4651A" w14:textId="77777777" w:rsidR="006D5136" w:rsidRPr="00C16E02" w:rsidRDefault="006D5136" w:rsidP="0080187E">
      <w:pPr>
        <w:pStyle w:val="Clause"/>
        <w:numPr>
          <w:ilvl w:val="0"/>
          <w:numId w:val="81"/>
        </w:numPr>
      </w:pPr>
      <w:r w:rsidRPr="00C16E02">
        <w:lastRenderedPageBreak/>
        <w:t xml:space="preserve">The analysis of structures with infilled frames for which one of the ratios </w:t>
      </w:r>
      <w:r w:rsidRPr="00C16E02">
        <w:rPr>
          <w:i/>
          <w:iCs/>
        </w:rPr>
        <w:t>R</w:t>
      </w:r>
      <w:r w:rsidRPr="00C16E02">
        <w:rPr>
          <w:vertAlign w:val="subscript"/>
        </w:rPr>
        <w:t>sym,x</w:t>
      </w:r>
      <w:r w:rsidRPr="00C16E02">
        <w:t xml:space="preserve"> or </w:t>
      </w:r>
      <w:r w:rsidRPr="00C16E02">
        <w:rPr>
          <w:i/>
          <w:iCs/>
        </w:rPr>
        <w:t>R</w:t>
      </w:r>
      <w:r w:rsidRPr="00C16E02">
        <w:rPr>
          <w:vertAlign w:val="subscript"/>
        </w:rPr>
        <w:t xml:space="preserve">sym,y </w:t>
      </w:r>
      <w:r w:rsidRPr="00C16E02">
        <w:t>is greater than 0,4 should conform to 7.4.2.3.</w:t>
      </w:r>
    </w:p>
    <w:p w14:paraId="4BC7948D" w14:textId="43D40426" w:rsidR="006D5136" w:rsidRPr="00132C1E" w:rsidRDefault="006D5136" w:rsidP="0080187E">
      <w:pPr>
        <w:pStyle w:val="Clause"/>
        <w:numPr>
          <w:ilvl w:val="0"/>
          <w:numId w:val="81"/>
        </w:numPr>
      </w:pPr>
      <w:r w:rsidRPr="00132C1E">
        <w:t>If the total horizontal cross-sectional area of infills is reduced by more than 30</w:t>
      </w:r>
      <w:r w:rsidR="004E0AE9">
        <w:t> </w:t>
      </w:r>
      <w:r w:rsidRPr="00132C1E">
        <w:t>% in one or more consecutive storeys compared to the storey below or above, an increase of the seismic action effects in the vertical members of the storey where the reduction takes place should be taken into account.</w:t>
      </w:r>
    </w:p>
    <w:p w14:paraId="429AB399" w14:textId="77777777" w:rsidR="006D5136" w:rsidRPr="00132C1E" w:rsidRDefault="006D5136" w:rsidP="0080187E">
      <w:pPr>
        <w:pStyle w:val="Clause"/>
        <w:numPr>
          <w:ilvl w:val="0"/>
          <w:numId w:val="81"/>
        </w:numPr>
      </w:pPr>
      <w:r w:rsidRPr="00C16E02">
        <w:rPr>
          <w:bCs/>
        </w:rPr>
        <w:t>(5) may</w:t>
      </w:r>
      <w:r w:rsidRPr="00132C1E">
        <w:t xml:space="preserve"> be implemented by multiplying the seismic action effects calculated in the storey where infills are reduced by a factor </w:t>
      </w:r>
      <w:r w:rsidRPr="00132C1E">
        <w:rPr>
          <w:rFonts w:eastAsia="Cambria,Italic"/>
          <w:i/>
          <w:iCs/>
        </w:rPr>
        <w:t>K</w:t>
      </w:r>
      <w:r w:rsidRPr="00132C1E">
        <w:rPr>
          <w:vertAlign w:val="subscript"/>
        </w:rPr>
        <w:t>IR</w:t>
      </w:r>
      <w:r w:rsidRPr="00132C1E">
        <w:t xml:space="preserve"> given by Formula (7.</w:t>
      </w:r>
      <w:r w:rsidRPr="006D5136">
        <w:rPr>
          <w:color w:val="auto"/>
        </w:rPr>
        <w:t>7</w:t>
      </w:r>
      <w:r w:rsidRPr="00132C1E">
        <w:t>).</w:t>
      </w:r>
    </w:p>
    <w:bookmarkStart w:id="1017" w:name="_Hlk110606795"/>
    <w:p w14:paraId="1F663FF2" w14:textId="4DDBB26A" w:rsidR="006D5136" w:rsidRPr="00870D59" w:rsidRDefault="009B5CEC" w:rsidP="006D5136">
      <w:pPr>
        <w:pStyle w:val="Formula"/>
      </w:pPr>
      <m:oMath>
        <m:sSub>
          <m:sSubPr>
            <m:ctrlPr>
              <w:rPr>
                <w:rFonts w:ascii="Cambria Math" w:hAnsi="Cambria Math"/>
                <w:vertAlign w:val="subscript"/>
              </w:rPr>
            </m:ctrlPr>
          </m:sSubPr>
          <m:e>
            <m:r>
              <w:rPr>
                <w:rFonts w:ascii="Cambria Math" w:hAnsi="Cambria Math"/>
              </w:rPr>
              <m:t>K</m:t>
            </m:r>
          </m:e>
          <m:sub>
            <m:r>
              <m:rPr>
                <m:sty m:val="p"/>
              </m:rPr>
              <w:rPr>
                <w:rFonts w:ascii="Cambria Math" w:hAnsi="Cambria Math"/>
                <w:vertAlign w:val="subscript"/>
              </w:rPr>
              <m:t>IR</m:t>
            </m:r>
          </m:sub>
        </m:sSub>
        <m:r>
          <m:rPr>
            <m:sty m:val="p"/>
          </m:rPr>
          <w:rPr>
            <w:rFonts w:ascii="Cambria Math" w:hAnsi="Cambria Math"/>
            <w:vertAlign w:val="subscript"/>
          </w:rPr>
          <m:t> </m:t>
        </m:r>
        <m:r>
          <m:rPr>
            <m:sty m:val="p"/>
          </m:rPr>
          <w:rPr>
            <w:rFonts w:ascii="Cambria Math" w:hAnsi="Cambria Math"/>
          </w:rPr>
          <m:t>= (1+</m:t>
        </m:r>
        <m:sSub>
          <m:sSubPr>
            <m:ctrlPr>
              <w:rPr>
                <w:rFonts w:ascii="Cambria Math" w:hAnsi="Cambria Math"/>
                <w:i/>
              </w:rPr>
            </m:ctrlPr>
          </m:sSubPr>
          <m:e>
            <m:r>
              <w:rPr>
                <w:rFonts w:ascii="Cambria Math" w:hAnsi="Cambria Math"/>
              </w:rPr>
              <m:t>ΔV</m:t>
            </m:r>
          </m:e>
          <m:sub>
            <m:r>
              <m:rPr>
                <m:sty m:val="p"/>
              </m:rPr>
              <w:rPr>
                <w:rFonts w:ascii="Cambria Math" w:hAnsi="Cambria Math"/>
                <w:vertAlign w:val="subscript"/>
              </w:rPr>
              <m:t>Rw</m:t>
            </m:r>
          </m:sub>
        </m:sSub>
        <m:r>
          <m:rPr>
            <m:sty m:val="p"/>
          </m:rPr>
          <w:rPr>
            <w:rFonts w:ascii="Cambria Math" w:hAnsi="Cambria Math"/>
          </w:rPr>
          <m:t>/Ʃ</m:t>
        </m:r>
        <m:sSub>
          <m:sSubPr>
            <m:ctrlPr>
              <w:rPr>
                <w:rFonts w:ascii="Cambria Math" w:hAnsi="Cambria Math"/>
              </w:rPr>
            </m:ctrlPr>
          </m:sSubPr>
          <m:e>
            <m:r>
              <w:rPr>
                <w:rFonts w:ascii="Cambria Math" w:hAnsi="Cambria Math"/>
              </w:rPr>
              <m:t>V</m:t>
            </m:r>
          </m:e>
          <m:sub>
            <m:r>
              <m:rPr>
                <m:sty m:val="p"/>
              </m:rPr>
              <w:rPr>
                <w:rFonts w:ascii="Cambria Math" w:hAnsi="Cambria Math"/>
                <w:vertAlign w:val="subscript"/>
              </w:rPr>
              <m:t>Ed</m:t>
            </m:r>
          </m:sub>
        </m:sSub>
        <m:r>
          <m:rPr>
            <m:sty m:val="p"/>
          </m:rPr>
          <w:rPr>
            <w:rFonts w:ascii="Cambria Math" w:hAnsi="Cambria Math"/>
          </w:rPr>
          <m:t>) ≤ </m:t>
        </m:r>
        <m:r>
          <w:rPr>
            <w:rFonts w:ascii="Cambria Math" w:hAnsi="Cambria Math"/>
          </w:rPr>
          <m:t>q</m:t>
        </m:r>
        <m:r>
          <w:rPr>
            <w:rFonts w:ascii="Cambria Math"/>
          </w:rPr>
          <m:t xml:space="preserve"> </m:t>
        </m:r>
      </m:oMath>
      <w:bookmarkEnd w:id="1017"/>
      <w:r w:rsidR="006D5136" w:rsidRPr="00870D59">
        <w:tab/>
        <w:t>(7.</w:t>
      </w:r>
      <w:r w:rsidR="006D5136">
        <w:t>7</w:t>
      </w:r>
      <w:r w:rsidR="006D5136" w:rsidRPr="00870D59">
        <w:t>)</w:t>
      </w:r>
    </w:p>
    <w:p w14:paraId="30AFF0A5" w14:textId="7B462B1D" w:rsidR="006D5136" w:rsidRDefault="006D5136" w:rsidP="00C16E02">
      <w:pPr>
        <w:pStyle w:val="Text"/>
      </w:pPr>
      <w:r>
        <w:t>where</w:t>
      </w:r>
    </w:p>
    <w:tbl>
      <w:tblPr>
        <w:tblW w:w="0" w:type="auto"/>
        <w:tblInd w:w="284" w:type="dxa"/>
        <w:tblLook w:val="04A0" w:firstRow="1" w:lastRow="0" w:firstColumn="1" w:lastColumn="0" w:noHBand="0" w:noVBand="1"/>
      </w:tblPr>
      <w:tblGrid>
        <w:gridCol w:w="1525"/>
        <w:gridCol w:w="7938"/>
      </w:tblGrid>
      <w:tr w:rsidR="006D5136" w:rsidRPr="00870D59" w14:paraId="302FABC7" w14:textId="77777777" w:rsidTr="004E0AE9">
        <w:tc>
          <w:tcPr>
            <w:tcW w:w="1525" w:type="dxa"/>
            <w:shd w:val="clear" w:color="auto" w:fill="auto"/>
          </w:tcPr>
          <w:p w14:paraId="68AFB997" w14:textId="1CCB3530" w:rsidR="006D5136" w:rsidRPr="00523AC3" w:rsidRDefault="008474A3" w:rsidP="002061E5">
            <w:pPr>
              <w:pStyle w:val="Tablebody"/>
              <w:rPr>
                <w:i/>
                <w:iCs/>
              </w:rPr>
            </w:pPr>
            <w:r w:rsidRPr="00132C1E">
              <w:rPr>
                <w:i/>
              </w:rPr>
              <w:t>ΔV</w:t>
            </w:r>
            <w:r w:rsidRPr="00132C1E">
              <w:rPr>
                <w:iCs/>
                <w:vertAlign w:val="subscript"/>
              </w:rPr>
              <w:t>Rw</w:t>
            </w:r>
          </w:p>
        </w:tc>
        <w:tc>
          <w:tcPr>
            <w:tcW w:w="7938" w:type="dxa"/>
          </w:tcPr>
          <w:p w14:paraId="386FB2EB" w14:textId="72AB96BD" w:rsidR="006D5136" w:rsidRPr="00870D59" w:rsidRDefault="008474A3" w:rsidP="002061E5">
            <w:pPr>
              <w:pStyle w:val="Tablebody"/>
            </w:pPr>
            <w:r w:rsidRPr="00132C1E">
              <w:rPr>
                <w:rFonts w:cs="Arial"/>
                <w:iCs/>
              </w:rPr>
              <w:t xml:space="preserve">is the difference between the resistance of the storey above storey </w:t>
            </w:r>
            <w:r w:rsidRPr="00132C1E">
              <w:rPr>
                <w:rFonts w:cs="Arial"/>
                <w:i/>
              </w:rPr>
              <w:t xml:space="preserve">i </w:t>
            </w:r>
            <w:r w:rsidRPr="00132C1E">
              <w:rPr>
                <w:rFonts w:cs="Arial"/>
                <w:iCs/>
              </w:rPr>
              <w:t xml:space="preserve">which contains the largest quantity of infills and the resistance of the storey </w:t>
            </w:r>
            <w:r w:rsidRPr="00132C1E">
              <w:rPr>
                <w:rFonts w:cs="Arial"/>
                <w:i/>
              </w:rPr>
              <w:t xml:space="preserve">i </w:t>
            </w:r>
            <w:r w:rsidRPr="00132C1E">
              <w:rPr>
                <w:rFonts w:cs="Arial"/>
                <w:iCs/>
              </w:rPr>
              <w:t>under consideration, the resistance of a storey being the sum of the shear resistance of infills at that storey;</w:t>
            </w:r>
          </w:p>
        </w:tc>
      </w:tr>
      <w:tr w:rsidR="006D5136" w:rsidRPr="00870D59" w14:paraId="3F7789E3" w14:textId="77777777" w:rsidTr="004E0AE9">
        <w:tc>
          <w:tcPr>
            <w:tcW w:w="1525" w:type="dxa"/>
            <w:shd w:val="clear" w:color="auto" w:fill="auto"/>
          </w:tcPr>
          <w:p w14:paraId="2FDDB2EE" w14:textId="0484956A" w:rsidR="006D5136" w:rsidRPr="00870D59" w:rsidRDefault="008474A3" w:rsidP="002061E5">
            <w:pPr>
              <w:pStyle w:val="Tablebody"/>
              <w:rPr>
                <w:i/>
              </w:rPr>
            </w:pPr>
            <w:r w:rsidRPr="00132C1E">
              <w:rPr>
                <w:iCs/>
              </w:rPr>
              <w:t>Ʃ</w:t>
            </w:r>
            <w:r w:rsidRPr="00132C1E">
              <w:rPr>
                <w:i/>
              </w:rPr>
              <w:t>V</w:t>
            </w:r>
            <w:r w:rsidRPr="00132C1E">
              <w:rPr>
                <w:iCs/>
                <w:vertAlign w:val="subscript"/>
              </w:rPr>
              <w:t>Ed</w:t>
            </w:r>
          </w:p>
        </w:tc>
        <w:tc>
          <w:tcPr>
            <w:tcW w:w="7938" w:type="dxa"/>
          </w:tcPr>
          <w:p w14:paraId="672632CB" w14:textId="1C628AA8" w:rsidR="006D5136" w:rsidRPr="00870D59" w:rsidRDefault="001624E0" w:rsidP="002061E5">
            <w:pPr>
              <w:pStyle w:val="Tablebody"/>
            </w:pPr>
            <w:r w:rsidRPr="00132C1E">
              <w:t xml:space="preserve">is the sum of the calculated seismic shear forces in all vertical primary seismic members of storey </w:t>
            </w:r>
            <w:r w:rsidRPr="00132C1E">
              <w:rPr>
                <w:i/>
              </w:rPr>
              <w:t>i</w:t>
            </w:r>
            <w:r w:rsidRPr="00132C1E">
              <w:t>;</w:t>
            </w:r>
          </w:p>
        </w:tc>
      </w:tr>
      <w:tr w:rsidR="006D5136" w:rsidRPr="00870D59" w14:paraId="68F390B3" w14:textId="77777777" w:rsidTr="004E0AE9">
        <w:tc>
          <w:tcPr>
            <w:tcW w:w="1525" w:type="dxa"/>
            <w:shd w:val="clear" w:color="auto" w:fill="auto"/>
          </w:tcPr>
          <w:p w14:paraId="67F191C5" w14:textId="5F431576" w:rsidR="006D5136" w:rsidRPr="00870D59" w:rsidRDefault="008474A3" w:rsidP="002061E5">
            <w:pPr>
              <w:pStyle w:val="Tablebody"/>
              <w:rPr>
                <w:i/>
              </w:rPr>
            </w:pPr>
            <w:r w:rsidRPr="00132C1E">
              <w:rPr>
                <w:i/>
                <w:iCs/>
                <w:szCs w:val="18"/>
              </w:rPr>
              <w:t>q</w:t>
            </w:r>
          </w:p>
        </w:tc>
        <w:tc>
          <w:tcPr>
            <w:tcW w:w="7938" w:type="dxa"/>
          </w:tcPr>
          <w:p w14:paraId="39721745" w14:textId="33AA14F8" w:rsidR="006D5136" w:rsidRPr="00870D59" w:rsidRDefault="001624E0" w:rsidP="002061E5">
            <w:pPr>
              <w:pStyle w:val="Tablebody"/>
            </w:pPr>
            <w:r w:rsidRPr="00132C1E">
              <w:rPr>
                <w:szCs w:val="18"/>
              </w:rPr>
              <w:t>is the behaviour factor used in the design of the structure.</w:t>
            </w:r>
          </w:p>
        </w:tc>
      </w:tr>
    </w:tbl>
    <w:p w14:paraId="346EB45F" w14:textId="77777777" w:rsidR="001624E0" w:rsidRPr="00132C1E" w:rsidRDefault="001624E0" w:rsidP="0080187E">
      <w:pPr>
        <w:pStyle w:val="Clause"/>
        <w:numPr>
          <w:ilvl w:val="0"/>
          <w:numId w:val="81"/>
        </w:numPr>
      </w:pPr>
      <w:r w:rsidRPr="00132C1E">
        <w:t xml:space="preserve">If Formula (7.5) leads to a magnification factor </w:t>
      </w:r>
      <w:r w:rsidRPr="00132C1E">
        <w:rPr>
          <w:i/>
          <w:iCs/>
        </w:rPr>
        <w:t>K</w:t>
      </w:r>
      <w:r w:rsidRPr="00132C1E">
        <w:rPr>
          <w:i/>
          <w:iCs/>
          <w:vertAlign w:val="subscript"/>
        </w:rPr>
        <w:t>IR</w:t>
      </w:r>
      <w:r w:rsidRPr="00132C1E">
        <w:t xml:space="preserve"> smaller than 1,1, the amplification of the calculated action effects may be neglected.</w:t>
      </w:r>
    </w:p>
    <w:p w14:paraId="160A60A7" w14:textId="77777777" w:rsidR="001624E0" w:rsidRPr="00C16E02" w:rsidRDefault="001624E0" w:rsidP="0080187E">
      <w:pPr>
        <w:pStyle w:val="Clause"/>
        <w:numPr>
          <w:ilvl w:val="0"/>
          <w:numId w:val="81"/>
        </w:numPr>
        <w:rPr>
          <w:rFonts w:cstheme="minorBidi"/>
          <w:bCs/>
          <w:sz w:val="18"/>
          <w:szCs w:val="18"/>
        </w:rPr>
      </w:pPr>
      <w:r w:rsidRPr="00132C1E">
        <w:t xml:space="preserve">In </w:t>
      </w:r>
      <w:r w:rsidRPr="00C16E02">
        <w:rPr>
          <w:bCs/>
        </w:rPr>
        <w:t>(6), the resistance of an infill panel with one or more openings may be calculated as the resistance of a panel without openings, multiplied by factor</w:t>
      </w:r>
      <w:r w:rsidRPr="00C16E02">
        <w:rPr>
          <w:rFonts w:cstheme="minorBidi"/>
          <w:bCs/>
        </w:rPr>
        <w:t xml:space="preserve"> </w:t>
      </w:r>
      <w:r w:rsidRPr="00C16E02">
        <w:rPr>
          <w:rFonts w:cstheme="minorBidi"/>
          <w:bCs/>
          <w:i/>
          <w:iCs/>
        </w:rPr>
        <w:t>ρ</w:t>
      </w:r>
      <w:r w:rsidRPr="00C16E02">
        <w:rPr>
          <w:rFonts w:cstheme="minorBidi"/>
          <w:bCs/>
          <w:vertAlign w:val="subscript"/>
        </w:rPr>
        <w:t>op</w:t>
      </w:r>
      <w:r w:rsidRPr="00C16E02">
        <w:rPr>
          <w:rFonts w:cstheme="minorBidi"/>
          <w:bCs/>
        </w:rPr>
        <w:t xml:space="preserve"> given by Formula (7.11).</w:t>
      </w:r>
    </w:p>
    <w:p w14:paraId="272AACBA" w14:textId="77777777" w:rsidR="001624E0" w:rsidRPr="00132C1E" w:rsidRDefault="001624E0" w:rsidP="0080187E">
      <w:pPr>
        <w:pStyle w:val="Clause"/>
        <w:numPr>
          <w:ilvl w:val="0"/>
          <w:numId w:val="81"/>
        </w:numPr>
        <w:rPr>
          <w:rFonts w:cstheme="minorBidi"/>
        </w:rPr>
      </w:pPr>
      <w:r w:rsidRPr="00C16E02">
        <w:rPr>
          <w:bCs/>
        </w:rPr>
        <w:t>In (1</w:t>
      </w:r>
      <w:r w:rsidRPr="00C16E02">
        <w:rPr>
          <w:bCs/>
          <w:color w:val="auto"/>
        </w:rPr>
        <w:t xml:space="preserve">), (2) </w:t>
      </w:r>
      <w:r w:rsidRPr="00C16E02">
        <w:rPr>
          <w:bCs/>
        </w:rPr>
        <w:t>and (6), infill panels</w:t>
      </w:r>
      <w:r w:rsidRPr="00132C1E">
        <w:t xml:space="preserve"> with one or more openings should be neglected if the ratio of the sum of the areas of openings to the total area of the infill is greater than 0,4.</w:t>
      </w:r>
    </w:p>
    <w:p w14:paraId="2B312F0B" w14:textId="77777777" w:rsidR="001624E0" w:rsidRPr="00132C1E" w:rsidRDefault="001624E0" w:rsidP="001624E0">
      <w:pPr>
        <w:pStyle w:val="Notetext"/>
      </w:pPr>
      <w:r w:rsidRPr="00132C1E">
        <w:t>NOTE</w:t>
      </w:r>
      <w:r w:rsidRPr="00132C1E">
        <w:tab/>
        <w:t>Panels with openings have a very limited strength and stiffness. Overestimating the stiffness of a panel with openings induce wrong estimates of periods, torsion effects, etc.</w:t>
      </w:r>
    </w:p>
    <w:p w14:paraId="18E679D0" w14:textId="77777777" w:rsidR="001624E0" w:rsidRPr="00132C1E" w:rsidRDefault="001624E0" w:rsidP="001624E0">
      <w:pPr>
        <w:pStyle w:val="Heading4"/>
      </w:pPr>
      <w:bookmarkStart w:id="1018" w:name="_Toc108342254"/>
      <w:r w:rsidRPr="00132C1E">
        <w:t>Analysis with a model of the interaction between frame and infills</w:t>
      </w:r>
      <w:bookmarkEnd w:id="1018"/>
      <w:r w:rsidRPr="00132C1E">
        <w:t xml:space="preserve"> </w:t>
      </w:r>
    </w:p>
    <w:p w14:paraId="5CDBD89C" w14:textId="77777777" w:rsidR="001624E0" w:rsidRDefault="001624E0" w:rsidP="0080187E">
      <w:pPr>
        <w:pStyle w:val="Clause"/>
        <w:numPr>
          <w:ilvl w:val="0"/>
          <w:numId w:val="72"/>
        </w:numPr>
      </w:pPr>
      <w:r w:rsidRPr="00132C1E">
        <w:t xml:space="preserve">In a linear elastic analysis, each infill may be modelled as a strut having the elastic modulus of the infilled masonry, the thickness </w:t>
      </w:r>
      <w:r w:rsidRPr="001624E0">
        <w:rPr>
          <w:i/>
        </w:rPr>
        <w:t>t</w:t>
      </w:r>
      <w:r w:rsidRPr="001624E0">
        <w:rPr>
          <w:i/>
          <w:vertAlign w:val="subscript"/>
        </w:rPr>
        <w:t>p</w:t>
      </w:r>
      <w:r w:rsidRPr="00132C1E">
        <w:t xml:space="preserve"> of the infill and a width </w:t>
      </w:r>
      <w:r w:rsidRPr="001624E0">
        <w:rPr>
          <w:i/>
        </w:rPr>
        <w:t>w</w:t>
      </w:r>
      <w:r w:rsidRPr="001624E0">
        <w:rPr>
          <w:i/>
          <w:vertAlign w:val="subscript"/>
        </w:rPr>
        <w:t xml:space="preserve">s </w:t>
      </w:r>
      <w:r w:rsidRPr="00132C1E">
        <w:t>as given by Formula (7</w:t>
      </w:r>
      <w:r w:rsidRPr="001624E0">
        <w:rPr>
          <w:color w:val="auto"/>
        </w:rPr>
        <w:t>.8</w:t>
      </w:r>
      <w:r w:rsidRPr="00132C1E">
        <w:t>).</w:t>
      </w:r>
    </w:p>
    <w:p w14:paraId="31CF2DDA" w14:textId="4A6598BB" w:rsidR="001624E0" w:rsidRPr="00870D59" w:rsidRDefault="001624E0" w:rsidP="001624E0">
      <w:pPr>
        <w:pStyle w:val="Formula"/>
      </w:pPr>
      <m:oMath>
        <m:r>
          <m:rPr>
            <m:sty m:val="p"/>
          </m:rPr>
          <w:rPr>
            <w:rFonts w:ascii="Cambria Math" w:hAnsi="Cambria Math"/>
          </w:rPr>
          <m:t xml:space="preserve">  </m:t>
        </m:r>
        <m:sSub>
          <m:sSubPr>
            <m:ctrlPr>
              <w:rPr>
                <w:rFonts w:ascii="Cambria Math" w:hAnsi="Cambria Math"/>
              </w:rPr>
            </m:ctrlPr>
          </m:sSubPr>
          <m:e>
            <m:r>
              <w:rPr>
                <w:rFonts w:ascii="Cambria Math" w:hAnsi="Cambria Math"/>
              </w:rPr>
              <m:t>w</m:t>
            </m:r>
          </m:e>
          <m:sub>
            <m:r>
              <m:rPr>
                <m:sty m:val="p"/>
              </m:rPr>
              <w:rPr>
                <w:rFonts w:ascii="Cambria Math" w:hAnsi="Cambria Math"/>
                <w:vertAlign w:val="subscript"/>
              </w:rPr>
              <m:t>s</m:t>
            </m:r>
          </m:sub>
        </m:sSub>
        <m:r>
          <m:rPr>
            <m:sty m:val="p"/>
          </m:rPr>
          <w:rPr>
            <w:rFonts w:ascii="Cambria Math" w:hAnsi="Cambria Math"/>
          </w:rPr>
          <m:t xml:space="preserve">= 0,25 </m:t>
        </m:r>
        <m:sSub>
          <m:sSubPr>
            <m:ctrlPr>
              <w:rPr>
                <w:rFonts w:ascii="Cambria Math" w:hAnsi="Cambria Math"/>
              </w:rPr>
            </m:ctrlPr>
          </m:sSubPr>
          <m:e>
            <m:r>
              <w:rPr>
                <w:rFonts w:ascii="Cambria Math" w:hAnsi="Cambria Math"/>
              </w:rPr>
              <m:t>l</m:t>
            </m:r>
          </m:e>
          <m:sub>
            <m:r>
              <m:rPr>
                <m:sty m:val="p"/>
              </m:rPr>
              <w:rPr>
                <w:rFonts w:ascii="Cambria Math" w:hAnsi="Cambria Math"/>
                <w:vertAlign w:val="subscript"/>
              </w:rPr>
              <m:t>s</m:t>
            </m:r>
          </m:sub>
        </m:sSub>
        <m:r>
          <w:rPr>
            <w:rFonts w:ascii="Cambria Math"/>
          </w:rPr>
          <m:t xml:space="preserve"> </m:t>
        </m:r>
      </m:oMath>
      <w:r w:rsidRPr="00870D59">
        <w:tab/>
        <w:t>(7.</w:t>
      </w:r>
      <w:r w:rsidR="008874C5">
        <w:t>8</w:t>
      </w:r>
      <w:r w:rsidRPr="00870D59">
        <w:t>)</w:t>
      </w:r>
    </w:p>
    <w:p w14:paraId="24847718" w14:textId="77777777" w:rsidR="004E0AE9" w:rsidRDefault="001624E0" w:rsidP="001624E0">
      <w:pPr>
        <w:pStyle w:val="Clause"/>
        <w:numPr>
          <w:ilvl w:val="0"/>
          <w:numId w:val="0"/>
        </w:numPr>
        <w:rPr>
          <w:bCs/>
          <w:szCs w:val="22"/>
        </w:rPr>
      </w:pPr>
      <w:r>
        <w:rPr>
          <w:bCs/>
          <w:szCs w:val="22"/>
        </w:rPr>
        <w:t>where</w:t>
      </w:r>
    </w:p>
    <w:p w14:paraId="741EBFE9" w14:textId="4CE5BCB0" w:rsidR="001624E0" w:rsidRDefault="001624E0" w:rsidP="004E0AE9">
      <w:pPr>
        <w:pStyle w:val="Clause"/>
        <w:numPr>
          <w:ilvl w:val="0"/>
          <w:numId w:val="0"/>
        </w:numPr>
        <w:ind w:left="454"/>
        <w:rPr>
          <w:bCs/>
          <w:szCs w:val="22"/>
        </w:rPr>
      </w:pPr>
      <w:r w:rsidRPr="001624E0">
        <w:rPr>
          <w:i/>
        </w:rPr>
        <w:t xml:space="preserve"> </w:t>
      </w:r>
      <w:r w:rsidRPr="00132C1E">
        <w:rPr>
          <w:i/>
        </w:rPr>
        <w:t>l</w:t>
      </w:r>
      <w:r w:rsidRPr="00132C1E">
        <w:rPr>
          <w:i/>
          <w:vertAlign w:val="subscript"/>
        </w:rPr>
        <w:t>s</w:t>
      </w:r>
      <w:r w:rsidRPr="00132C1E">
        <w:t xml:space="preserve"> is the length of the panel diagonal.</w:t>
      </w:r>
    </w:p>
    <w:p w14:paraId="308862B3" w14:textId="77777777" w:rsidR="001624E0" w:rsidRPr="00C16E02" w:rsidRDefault="001624E0" w:rsidP="008874C5">
      <w:pPr>
        <w:pStyle w:val="Notetext"/>
      </w:pPr>
      <w:r w:rsidRPr="00132C1E">
        <w:t>NOTE</w:t>
      </w:r>
      <w:r w:rsidRPr="00132C1E">
        <w:tab/>
        <w:t xml:space="preserve">A single concentric strut framing into beam-column joints and with the same stiffness in tension and compression can be used to model the </w:t>
      </w:r>
      <w:r w:rsidRPr="00132C1E">
        <w:rPr>
          <w:szCs w:val="18"/>
        </w:rPr>
        <w:t>two diagonals of infilled panels and calculate t</w:t>
      </w:r>
      <w:r w:rsidRPr="00132C1E">
        <w:t xml:space="preserve">heir effect on global deformation and action effects in structural members, but not their local effects like local additional shear in columns where compression struts are supported. The local effects can be taken into account </w:t>
      </w:r>
      <w:r w:rsidRPr="00C16E02">
        <w:t>with 7.4.3.4 but they can also be obtained directly in a model in which the eccentricity of struts to the intersection of the beam and column axis is represented.</w:t>
      </w:r>
    </w:p>
    <w:p w14:paraId="7B3F3987" w14:textId="1BC47F30" w:rsidR="001624E0" w:rsidRPr="00C16E02" w:rsidRDefault="001624E0" w:rsidP="0080187E">
      <w:pPr>
        <w:pStyle w:val="Clause"/>
        <w:numPr>
          <w:ilvl w:val="0"/>
          <w:numId w:val="72"/>
        </w:numPr>
        <w:rPr>
          <w:lang w:val="fr-FR"/>
        </w:rPr>
      </w:pPr>
      <w:r w:rsidRPr="00C16E02">
        <w:t>7.4.2.2(8) and (9) should be applied.</w:t>
      </w:r>
    </w:p>
    <w:p w14:paraId="438EDB57" w14:textId="06ADB220" w:rsidR="001624E0" w:rsidRPr="00412BCE" w:rsidRDefault="001624E0" w:rsidP="0080187E">
      <w:pPr>
        <w:pStyle w:val="Clause"/>
        <w:numPr>
          <w:ilvl w:val="0"/>
          <w:numId w:val="72"/>
        </w:numPr>
        <w:rPr>
          <w:rFonts w:ascii="Times New Roman" w:eastAsia="Calibri" w:hAnsi="Times New Roman"/>
          <w:color w:val="auto"/>
          <w:spacing w:val="-1"/>
          <w:sz w:val="20"/>
          <w:szCs w:val="22"/>
        </w:rPr>
      </w:pPr>
      <w:r w:rsidRPr="00C16E02">
        <w:lastRenderedPageBreak/>
        <w:t xml:space="preserve">In (1), the stiffness of an infill panel with one or more openings may be calculated as the stiffness of a panel without openings, multiplied by factor </w:t>
      </w:r>
      <w:r w:rsidRPr="00C16E02">
        <w:rPr>
          <w:i/>
          <w:iCs/>
          <w:lang w:val="fr-FR"/>
        </w:rPr>
        <w:t>ρ</w:t>
      </w:r>
      <w:r w:rsidRPr="00C16E02">
        <w:rPr>
          <w:vertAlign w:val="subscript"/>
        </w:rPr>
        <w:t>op</w:t>
      </w:r>
      <w:r w:rsidRPr="00C16E02">
        <w:t xml:space="preserve"> given by Formula (7.13</w:t>
      </w:r>
      <w:r w:rsidRPr="005E0048">
        <w:t>).</w:t>
      </w:r>
    </w:p>
    <w:p w14:paraId="33B149D8" w14:textId="77777777" w:rsidR="001624E0" w:rsidRDefault="001624E0" w:rsidP="001624E0">
      <w:pPr>
        <w:pStyle w:val="Heading4"/>
      </w:pPr>
      <w:bookmarkStart w:id="1019" w:name="_Toc108342255"/>
      <w:r w:rsidRPr="00E05E29">
        <w:t>Non</w:t>
      </w:r>
      <w:r w:rsidRPr="009C1268">
        <w:t>-linear analysis of frames with interacting infills</w:t>
      </w:r>
      <w:bookmarkEnd w:id="1019"/>
    </w:p>
    <w:p w14:paraId="336ABC43" w14:textId="77777777" w:rsidR="001624E0" w:rsidRPr="00C16E02" w:rsidRDefault="001624E0" w:rsidP="0080187E">
      <w:pPr>
        <w:pStyle w:val="Clause"/>
        <w:numPr>
          <w:ilvl w:val="0"/>
          <w:numId w:val="73"/>
        </w:numPr>
      </w:pPr>
      <w:r w:rsidRPr="008874C5">
        <w:rPr>
          <w:rFonts w:eastAsia="TimesNewRoman"/>
        </w:rPr>
        <w:t xml:space="preserve">Non-linear analysis should conform </w:t>
      </w:r>
      <w:r w:rsidRPr="00C16E02">
        <w:rPr>
          <w:rFonts w:eastAsia="TimesNewRoman"/>
        </w:rPr>
        <w:t>to 5.3.5.</w:t>
      </w:r>
    </w:p>
    <w:p w14:paraId="20C5132F" w14:textId="70696280" w:rsidR="001624E0" w:rsidRPr="009C1268" w:rsidRDefault="001624E0" w:rsidP="008874C5">
      <w:pPr>
        <w:pStyle w:val="Notetext"/>
      </w:pPr>
      <w:r w:rsidRPr="009C1268">
        <w:t>NOTE 1</w:t>
      </w:r>
      <w:r w:rsidRPr="009C1268">
        <w:tab/>
        <w:t>In non-linear analysis, the in-plane response of masonry infills can be modelled in various ways, from detailed micro-modelling to simple macro-modelling, like for example by diagonal single elements or multi-strut elements</w:t>
      </w:r>
      <w:r w:rsidR="008874C5">
        <w:t>.</w:t>
      </w:r>
    </w:p>
    <w:p w14:paraId="437DB86F" w14:textId="6313AE77" w:rsidR="001624E0" w:rsidRPr="009C1268" w:rsidRDefault="001624E0" w:rsidP="008874C5">
      <w:pPr>
        <w:pStyle w:val="Notetext"/>
      </w:pPr>
      <w:r w:rsidRPr="009C1268">
        <w:t>NOTE 2</w:t>
      </w:r>
      <w:r w:rsidRPr="009C1268">
        <w:tab/>
        <w:t>With interacting infills, the additional local shear in the columns can be evaluated directly using eccentric struts or, indirectly, considering the horizontal component of the axial action in concentric struts.</w:t>
      </w:r>
    </w:p>
    <w:p w14:paraId="6937DE07" w14:textId="77777777" w:rsidR="001624E0" w:rsidRPr="00132C1E" w:rsidRDefault="001624E0" w:rsidP="001624E0">
      <w:pPr>
        <w:pStyle w:val="Heading4"/>
      </w:pPr>
      <w:bookmarkStart w:id="1020" w:name="_Toc108342256"/>
      <w:r w:rsidRPr="00132C1E">
        <w:t>Analysis of out-of-plane action effects on infills</w:t>
      </w:r>
      <w:bookmarkEnd w:id="1020"/>
      <w:r w:rsidRPr="00132C1E">
        <w:t xml:space="preserve"> </w:t>
      </w:r>
    </w:p>
    <w:p w14:paraId="1F4D9274" w14:textId="77777777" w:rsidR="001624E0" w:rsidRPr="00C16E02" w:rsidRDefault="001624E0" w:rsidP="0080187E">
      <w:pPr>
        <w:pStyle w:val="Clause"/>
        <w:numPr>
          <w:ilvl w:val="0"/>
          <w:numId w:val="74"/>
        </w:numPr>
      </w:pPr>
      <w:r w:rsidRPr="00132C1E">
        <w:t xml:space="preserve">The out-of-plane seismic action effect should be calculated </w:t>
      </w:r>
      <w:r w:rsidRPr="00C16E02">
        <w:t>using 7.2.1.</w:t>
      </w:r>
    </w:p>
    <w:p w14:paraId="7DF832CB" w14:textId="77777777" w:rsidR="001624E0" w:rsidRPr="00132C1E" w:rsidRDefault="001624E0" w:rsidP="0080187E">
      <w:pPr>
        <w:pStyle w:val="Clause"/>
        <w:numPr>
          <w:ilvl w:val="0"/>
          <w:numId w:val="74"/>
        </w:numPr>
      </w:pPr>
      <w:r w:rsidRPr="00132C1E">
        <w:t xml:space="preserve">The design lateral load per unit </w:t>
      </w:r>
      <w:r w:rsidRPr="009C1268">
        <w:t xml:space="preserve">area </w:t>
      </w:r>
      <w:r w:rsidRPr="009C1268">
        <w:rPr>
          <w:i/>
        </w:rPr>
        <w:t>f</w:t>
      </w:r>
      <w:r w:rsidRPr="009C1268">
        <w:rPr>
          <w:iCs/>
          <w:vertAlign w:val="subscript"/>
        </w:rPr>
        <w:t>a,p</w:t>
      </w:r>
      <w:r w:rsidRPr="009C1268">
        <w:rPr>
          <w:i/>
          <w:vertAlign w:val="subscript"/>
        </w:rPr>
        <w:t xml:space="preserve"> </w:t>
      </w:r>
      <w:r w:rsidRPr="009C1268">
        <w:t xml:space="preserve">may </w:t>
      </w:r>
      <w:r w:rsidRPr="00132C1E">
        <w:t>be calculated using Formula (7.</w:t>
      </w:r>
      <w:r w:rsidRPr="008874C5">
        <w:rPr>
          <w:color w:val="auto"/>
        </w:rPr>
        <w:t>9</w:t>
      </w:r>
      <w:r w:rsidRPr="00132C1E">
        <w:t>).</w:t>
      </w:r>
    </w:p>
    <w:p w14:paraId="3D95610F" w14:textId="7A15579D" w:rsidR="008874C5" w:rsidRPr="00870D59" w:rsidRDefault="009B5CEC" w:rsidP="008874C5">
      <w:pPr>
        <w:pStyle w:val="Formula"/>
      </w:pPr>
      <m:oMath>
        <m:sSub>
          <m:sSubPr>
            <m:ctrlPr>
              <w:rPr>
                <w:rFonts w:ascii="Cambria Math" w:hAnsi="Cambria Math"/>
                <w:vertAlign w:val="subscript"/>
              </w:rPr>
            </m:ctrlPr>
          </m:sSubPr>
          <m:e>
            <m:r>
              <w:rPr>
                <w:rFonts w:ascii="Cambria Math" w:hAnsi="Cambria Math"/>
              </w:rPr>
              <m:t>f</m:t>
            </m:r>
          </m:e>
          <m:sub>
            <m:r>
              <m:rPr>
                <m:sty m:val="p"/>
              </m:rPr>
              <w:rPr>
                <w:rFonts w:ascii="Cambria Math" w:hAnsi="Cambria Math"/>
                <w:vertAlign w:val="subscript"/>
              </w:rPr>
              <m:t>ap</m:t>
            </m:r>
          </m:sub>
        </m:sSub>
        <m:r>
          <m:rPr>
            <m:sty m:val="p"/>
          </m:rPr>
          <w:rPr>
            <w:rFonts w:ascii="Cambria Math" w:hAnsi="Cambria Math"/>
          </w:rPr>
          <m:t xml:space="preserve"> = </m:t>
        </m:r>
        <m:sSub>
          <m:sSubPr>
            <m:ctrlPr>
              <w:rPr>
                <w:rFonts w:ascii="Cambria Math" w:hAnsi="Cambria Math"/>
                <w:vertAlign w:val="subscript"/>
              </w:rPr>
            </m:ctrlPr>
          </m:sSubPr>
          <m:e>
            <m:r>
              <w:rPr>
                <w:rFonts w:ascii="Cambria Math" w:hAnsi="Cambria Math"/>
              </w:rPr>
              <m:t>F</m:t>
            </m:r>
          </m:e>
          <m:sub>
            <m:r>
              <m:rPr>
                <m:sty m:val="p"/>
              </m:rPr>
              <w:rPr>
                <w:rFonts w:ascii="Cambria Math" w:hAnsi="Cambria Math"/>
                <w:vertAlign w:val="subscript"/>
              </w:rPr>
              <m:t>ap</m:t>
            </m:r>
          </m:sub>
        </m:sSub>
        <m:r>
          <m:rPr>
            <m:sty m:val="p"/>
          </m:rPr>
          <w:rPr>
            <w:rFonts w:ascii="Cambria Math" w:hAnsi="Cambria Math"/>
          </w:rPr>
          <m:t>/(</m:t>
        </m:r>
        <m:sSub>
          <m:sSubPr>
            <m:ctrlPr>
              <w:rPr>
                <w:rFonts w:ascii="Cambria Math" w:hAnsi="Cambria Math"/>
                <w:vertAlign w:val="subscript"/>
              </w:rPr>
            </m:ctrlPr>
          </m:sSubPr>
          <m:e>
            <m:r>
              <w:rPr>
                <w:rFonts w:ascii="Cambria Math" w:hAnsi="Cambria Math"/>
              </w:rPr>
              <m:t>h</m:t>
            </m:r>
          </m:e>
          <m:sub>
            <m:r>
              <m:rPr>
                <m:sty m:val="p"/>
              </m:rPr>
              <w:rPr>
                <w:rFonts w:ascii="Cambria Math" w:hAnsi="Cambria Math"/>
                <w:vertAlign w:val="subscript"/>
              </w:rPr>
              <m:t>ap</m:t>
            </m:r>
          </m:sub>
        </m:sSub>
        <m:r>
          <w:rPr>
            <w:rFonts w:ascii="Cambria Math" w:hAnsi="Cambria Math"/>
          </w:rPr>
          <m:t>∙</m:t>
        </m:r>
        <m:r>
          <m:rPr>
            <m:sty m:val="p"/>
          </m:rPr>
          <w:rPr>
            <w:rFonts w:ascii="Cambria Math" w:hAnsi="Cambria Math"/>
          </w:rPr>
          <m:t xml:space="preserve"> </m:t>
        </m:r>
        <m:sSub>
          <m:sSubPr>
            <m:ctrlPr>
              <w:rPr>
                <w:rFonts w:ascii="Cambria Math" w:hAnsi="Cambria Math"/>
                <w:vertAlign w:val="subscript"/>
              </w:rPr>
            </m:ctrlPr>
          </m:sSubPr>
          <m:e>
            <m:r>
              <w:rPr>
                <w:rFonts w:ascii="Cambria Math" w:hAnsi="Cambria Math"/>
              </w:rPr>
              <m:t>l</m:t>
            </m:r>
          </m:e>
          <m:sub>
            <m:r>
              <m:rPr>
                <m:sty m:val="p"/>
              </m:rPr>
              <w:rPr>
                <w:rFonts w:ascii="Cambria Math" w:hAnsi="Cambria Math"/>
                <w:vertAlign w:val="subscript"/>
              </w:rPr>
              <m:t>ap</m:t>
            </m:r>
          </m:sub>
        </m:sSub>
        <m:r>
          <m:rPr>
            <m:sty m:val="p"/>
          </m:rPr>
          <w:rPr>
            <w:rFonts w:ascii="Cambria Math" w:hAnsi="Cambria Math"/>
          </w:rPr>
          <m:t>)</m:t>
        </m:r>
        <m:r>
          <w:rPr>
            <w:rFonts w:ascii="Cambria Math"/>
          </w:rPr>
          <m:t xml:space="preserve"> </m:t>
        </m:r>
      </m:oMath>
      <w:r w:rsidR="008874C5" w:rsidRPr="00870D59">
        <w:tab/>
        <w:t>(7.</w:t>
      </w:r>
      <w:r w:rsidR="008874C5">
        <w:t>9</w:t>
      </w:r>
      <w:r w:rsidR="008874C5" w:rsidRPr="00870D59">
        <w:t>)</w:t>
      </w:r>
    </w:p>
    <w:p w14:paraId="26B94090" w14:textId="4DF0F7D0" w:rsidR="008874C5" w:rsidRDefault="008874C5" w:rsidP="00C16E02">
      <w:pPr>
        <w:pStyle w:val="Text"/>
      </w:pPr>
      <w:r>
        <w:t>where</w:t>
      </w:r>
    </w:p>
    <w:tbl>
      <w:tblPr>
        <w:tblW w:w="0" w:type="auto"/>
        <w:tblInd w:w="284" w:type="dxa"/>
        <w:tblLook w:val="04A0" w:firstRow="1" w:lastRow="0" w:firstColumn="1" w:lastColumn="0" w:noHBand="0" w:noVBand="1"/>
      </w:tblPr>
      <w:tblGrid>
        <w:gridCol w:w="1525"/>
        <w:gridCol w:w="7938"/>
      </w:tblGrid>
      <w:tr w:rsidR="008874C5" w:rsidRPr="00870D59" w14:paraId="3DC0E03E" w14:textId="77777777" w:rsidTr="004E0AE9">
        <w:tc>
          <w:tcPr>
            <w:tcW w:w="1525" w:type="dxa"/>
            <w:shd w:val="clear" w:color="auto" w:fill="auto"/>
          </w:tcPr>
          <w:p w14:paraId="2BEE8C10" w14:textId="5A92F52C" w:rsidR="008874C5" w:rsidRPr="00523AC3" w:rsidRDefault="008874C5" w:rsidP="002061E5">
            <w:pPr>
              <w:pStyle w:val="Tablebody"/>
              <w:rPr>
                <w:i/>
                <w:iCs/>
              </w:rPr>
            </w:pPr>
            <w:r w:rsidRPr="00132C1E">
              <w:rPr>
                <w:i/>
              </w:rPr>
              <w:t>F</w:t>
            </w:r>
            <w:r w:rsidRPr="00132C1E">
              <w:rPr>
                <w:iCs/>
                <w:vertAlign w:val="subscript"/>
              </w:rPr>
              <w:t>a</w:t>
            </w:r>
            <w:r>
              <w:rPr>
                <w:iCs/>
                <w:vertAlign w:val="subscript"/>
              </w:rPr>
              <w:t>p</w:t>
            </w:r>
          </w:p>
        </w:tc>
        <w:tc>
          <w:tcPr>
            <w:tcW w:w="7938" w:type="dxa"/>
          </w:tcPr>
          <w:p w14:paraId="797FFAAE" w14:textId="268F6A87" w:rsidR="008874C5" w:rsidRPr="00C16E02" w:rsidRDefault="008874C5" w:rsidP="002061E5">
            <w:pPr>
              <w:pStyle w:val="Tablebody"/>
            </w:pPr>
            <w:r w:rsidRPr="00C16E02">
              <w:t>is the horizontal seismic force applied at the centre of the infill wall calculated as in 7.2.1(3);</w:t>
            </w:r>
          </w:p>
        </w:tc>
      </w:tr>
      <w:tr w:rsidR="008874C5" w:rsidRPr="00870D59" w14:paraId="4585BC76" w14:textId="77777777" w:rsidTr="004E0AE9">
        <w:tc>
          <w:tcPr>
            <w:tcW w:w="1525" w:type="dxa"/>
            <w:shd w:val="clear" w:color="auto" w:fill="auto"/>
          </w:tcPr>
          <w:p w14:paraId="2B678E41" w14:textId="540BBC55" w:rsidR="008874C5" w:rsidRPr="00870D59" w:rsidRDefault="008874C5" w:rsidP="002061E5">
            <w:pPr>
              <w:pStyle w:val="Tablebody"/>
              <w:rPr>
                <w:i/>
              </w:rPr>
            </w:pPr>
            <w:r w:rsidRPr="009C1268">
              <w:rPr>
                <w:i/>
              </w:rPr>
              <w:t>l</w:t>
            </w:r>
            <w:r w:rsidRPr="009C1268">
              <w:rPr>
                <w:iCs/>
                <w:vertAlign w:val="subscript"/>
              </w:rPr>
              <w:t>ap</w:t>
            </w:r>
          </w:p>
        </w:tc>
        <w:tc>
          <w:tcPr>
            <w:tcW w:w="7938" w:type="dxa"/>
          </w:tcPr>
          <w:p w14:paraId="3EC92463" w14:textId="3FD5B2D7" w:rsidR="008874C5" w:rsidRPr="00870D59" w:rsidRDefault="008874C5" w:rsidP="002061E5">
            <w:pPr>
              <w:pStyle w:val="Tablebody"/>
            </w:pPr>
            <w:r w:rsidRPr="009C1268">
              <w:t>is the length of the infill wall;</w:t>
            </w:r>
          </w:p>
        </w:tc>
      </w:tr>
      <w:tr w:rsidR="008874C5" w:rsidRPr="00870D59" w14:paraId="7A564AC0" w14:textId="77777777" w:rsidTr="004E0AE9">
        <w:tc>
          <w:tcPr>
            <w:tcW w:w="1525" w:type="dxa"/>
            <w:shd w:val="clear" w:color="auto" w:fill="auto"/>
          </w:tcPr>
          <w:p w14:paraId="369BD42F" w14:textId="49202CE7" w:rsidR="008874C5" w:rsidRPr="00870D59" w:rsidRDefault="008874C5" w:rsidP="002061E5">
            <w:pPr>
              <w:pStyle w:val="Tablebody"/>
              <w:rPr>
                <w:i/>
              </w:rPr>
            </w:pPr>
            <w:r w:rsidRPr="009C1268">
              <w:rPr>
                <w:i/>
              </w:rPr>
              <w:t>h</w:t>
            </w:r>
            <w:r w:rsidRPr="009C1268">
              <w:rPr>
                <w:iCs/>
                <w:vertAlign w:val="subscript"/>
              </w:rPr>
              <w:t>ap</w:t>
            </w:r>
          </w:p>
        </w:tc>
        <w:tc>
          <w:tcPr>
            <w:tcW w:w="7938" w:type="dxa"/>
          </w:tcPr>
          <w:p w14:paraId="1327D656" w14:textId="7B751527" w:rsidR="008874C5" w:rsidRPr="00870D59" w:rsidRDefault="008874C5" w:rsidP="002061E5">
            <w:pPr>
              <w:pStyle w:val="Tablebody"/>
            </w:pPr>
            <w:r w:rsidRPr="009C1268">
              <w:t>is the height of the infill wall.</w:t>
            </w:r>
          </w:p>
        </w:tc>
      </w:tr>
    </w:tbl>
    <w:p w14:paraId="1A6B2AE2" w14:textId="77777777" w:rsidR="00E452AE" w:rsidRPr="00132C1E" w:rsidRDefault="00E452AE" w:rsidP="00E452AE">
      <w:pPr>
        <w:pStyle w:val="Heading4"/>
      </w:pPr>
      <w:bookmarkStart w:id="1021" w:name="_Toc108342257"/>
      <w:r w:rsidRPr="009C1268">
        <w:t xml:space="preserve">Verification at </w:t>
      </w:r>
      <w:r w:rsidRPr="00132C1E">
        <w:t>SD limit state of concrete columns adjacent to infills</w:t>
      </w:r>
      <w:bookmarkEnd w:id="1021"/>
      <w:r w:rsidRPr="00132C1E">
        <w:t xml:space="preserve"> </w:t>
      </w:r>
    </w:p>
    <w:p w14:paraId="1C58D886" w14:textId="77777777" w:rsidR="00E452AE" w:rsidRPr="00C16E02" w:rsidRDefault="00E452AE" w:rsidP="0080187E">
      <w:pPr>
        <w:pStyle w:val="Clause"/>
        <w:numPr>
          <w:ilvl w:val="0"/>
          <w:numId w:val="75"/>
        </w:numPr>
      </w:pPr>
      <w:r w:rsidRPr="00132C1E">
        <w:t xml:space="preserve">In </w:t>
      </w:r>
      <w:r w:rsidRPr="00D1484A">
        <w:t xml:space="preserve">DC1, DC2 and DC3, the entire length of ground floor columns surrounding infills should be considered as a critical region </w:t>
      </w:r>
      <w:r w:rsidRPr="00C16E02">
        <w:t>and 10.6.3.2(5) and (7) for critical regions of columns should be applied as a minimum.</w:t>
      </w:r>
    </w:p>
    <w:p w14:paraId="17775DE8" w14:textId="77777777" w:rsidR="00E452AE" w:rsidRPr="00C16E02" w:rsidRDefault="00E452AE" w:rsidP="0080187E">
      <w:pPr>
        <w:pStyle w:val="Clause"/>
        <w:numPr>
          <w:ilvl w:val="0"/>
          <w:numId w:val="74"/>
        </w:numPr>
      </w:pPr>
      <w:r w:rsidRPr="00C16E02">
        <w:t xml:space="preserve">In DC2 and DC3, if an infill extends over the entire length of an adjacent column and there is no infill on the other side of that column (e.g. a corner column), the entire clear length </w:t>
      </w:r>
      <w:r w:rsidRPr="00C16E02">
        <w:rPr>
          <w:i/>
          <w:iCs/>
        </w:rPr>
        <w:t>l</w:t>
      </w:r>
      <w:r w:rsidRPr="00C16E02">
        <w:rPr>
          <w:vertAlign w:val="subscript"/>
        </w:rPr>
        <w:t>cl</w:t>
      </w:r>
      <w:r w:rsidRPr="00C16E02">
        <w:t xml:space="preserve"> of the column should be considered as a critical region and (1) should be applied as a minimum.</w:t>
      </w:r>
    </w:p>
    <w:p w14:paraId="595A3CDC" w14:textId="77777777" w:rsidR="00E452AE" w:rsidRPr="00C16E02" w:rsidRDefault="00E452AE" w:rsidP="00E452AE">
      <w:pPr>
        <w:pStyle w:val="Notetext"/>
      </w:pPr>
      <w:r w:rsidRPr="00C16E02">
        <w:t>NOTE</w:t>
      </w:r>
      <w:r w:rsidRPr="00C16E02">
        <w:tab/>
        <w:t>The explicit calculation of the shear effect due to the infill required by (4) can be more demanding than (1) and (2) and then it overrules (1) and (2).</w:t>
      </w:r>
    </w:p>
    <w:p w14:paraId="75DDAADF" w14:textId="77777777" w:rsidR="00E452AE" w:rsidRPr="00132C1E" w:rsidRDefault="00E452AE" w:rsidP="0080187E">
      <w:pPr>
        <w:pStyle w:val="Clause"/>
        <w:numPr>
          <w:ilvl w:val="0"/>
          <w:numId w:val="74"/>
        </w:numPr>
      </w:pPr>
      <w:r w:rsidRPr="00132C1E">
        <w:t xml:space="preserve">The length </w:t>
      </w:r>
      <w:r w:rsidRPr="003F6FAF">
        <w:rPr>
          <w:i/>
        </w:rPr>
        <w:t>l</w:t>
      </w:r>
      <w:r w:rsidRPr="003F6FAF">
        <w:rPr>
          <w:i/>
          <w:vertAlign w:val="subscript"/>
        </w:rPr>
        <w:t>cs</w:t>
      </w:r>
      <w:r w:rsidRPr="00132C1E">
        <w:t xml:space="preserve"> of a column over which the diagonal strut force of the infill is applied may be taken from Formula (7</w:t>
      </w:r>
      <w:r w:rsidRPr="00E452AE">
        <w:rPr>
          <w:color w:val="auto"/>
        </w:rPr>
        <w:t>.10</w:t>
      </w:r>
      <w:r w:rsidRPr="00132C1E">
        <w:t>).</w:t>
      </w:r>
    </w:p>
    <w:p w14:paraId="45B7EC2A" w14:textId="1D2B2D23" w:rsidR="00E452AE" w:rsidRPr="00870D59" w:rsidRDefault="009B5CEC" w:rsidP="00E452AE">
      <w:pPr>
        <w:pStyle w:val="Formula"/>
      </w:pPr>
      <m:oMath>
        <m:sSub>
          <m:sSubPr>
            <m:ctrlPr>
              <w:rPr>
                <w:rFonts w:ascii="Cambria Math" w:hAnsi="Cambria Math"/>
                <w:vertAlign w:val="subscript"/>
              </w:rPr>
            </m:ctrlPr>
          </m:sSubPr>
          <m:e>
            <m:r>
              <w:rPr>
                <w:rFonts w:ascii="Cambria Math" w:hAnsi="Cambria Math"/>
              </w:rPr>
              <m:t>l</m:t>
            </m:r>
          </m:e>
          <m:sub>
            <m:r>
              <m:rPr>
                <m:sty m:val="p"/>
              </m:rPr>
              <w:rPr>
                <w:rFonts w:ascii="Cambria Math" w:hAnsi="Cambria Math"/>
                <w:vertAlign w:val="subscript"/>
              </w:rPr>
              <m:t>cs</m:t>
            </m:r>
          </m:sub>
        </m:sSub>
        <m:r>
          <m:rPr>
            <m:sty m:val="p"/>
          </m:rPr>
          <w:rPr>
            <w:rFonts w:ascii="Cambria Math" w:hAnsi="Cambria Math"/>
          </w:rPr>
          <m:t xml:space="preserve"> = </m:t>
        </m:r>
        <m:sSub>
          <m:sSubPr>
            <m:ctrlPr>
              <w:rPr>
                <w:rFonts w:ascii="Cambria Math" w:hAnsi="Cambria Math"/>
                <w:vertAlign w:val="subscript"/>
              </w:rPr>
            </m:ctrlPr>
          </m:sSubPr>
          <m:e>
            <m:r>
              <w:rPr>
                <w:rFonts w:ascii="Cambria Math" w:hAnsi="Cambria Math"/>
                <w:vertAlign w:val="subscript"/>
              </w:rPr>
              <m:t>w</m:t>
            </m:r>
          </m:e>
          <m:sub>
            <m:r>
              <m:rPr>
                <m:sty m:val="p"/>
              </m:rPr>
              <w:rPr>
                <w:rFonts w:ascii="Cambria Math" w:hAnsi="Cambria Math"/>
                <w:vertAlign w:val="subscript"/>
              </w:rPr>
              <m:t>s</m:t>
            </m:r>
          </m:sub>
        </m:sSub>
        <m:r>
          <m:rPr>
            <m:sty m:val="p"/>
          </m:rPr>
          <w:rPr>
            <w:rFonts w:ascii="Cambria Math" w:hAnsi="Cambria Math"/>
          </w:rPr>
          <m:t>/</m:t>
        </m:r>
        <m:func>
          <m:funcPr>
            <m:ctrlPr>
              <w:rPr>
                <w:rFonts w:ascii="Cambria Math" w:hAnsi="Cambria Math"/>
              </w:rPr>
            </m:ctrlPr>
          </m:funcPr>
          <m:fName>
            <m:r>
              <m:rPr>
                <m:sty m:val="p"/>
              </m:rPr>
              <w:rPr>
                <w:rFonts w:ascii="Cambria Math" w:hAnsi="Cambria Math"/>
              </w:rPr>
              <m:t>cos</m:t>
            </m:r>
          </m:fName>
          <m:e>
            <m:r>
              <w:rPr>
                <w:rFonts w:ascii="Cambria Math" w:hAnsi="Cambria Math"/>
              </w:rPr>
              <m:t>α</m:t>
            </m:r>
          </m:e>
        </m:func>
        <m:r>
          <w:rPr>
            <w:rFonts w:ascii="Cambria Math"/>
          </w:rPr>
          <m:t xml:space="preserve"> </m:t>
        </m:r>
      </m:oMath>
      <w:r w:rsidR="00E452AE" w:rsidRPr="00870D59">
        <w:tab/>
        <w:t>(7.</w:t>
      </w:r>
      <w:r w:rsidR="00F508AE">
        <w:t>10</w:t>
      </w:r>
      <w:r w:rsidR="00E452AE" w:rsidRPr="00870D59">
        <w:t>)</w:t>
      </w:r>
    </w:p>
    <w:p w14:paraId="3BEBF27B" w14:textId="305FBF34" w:rsidR="00E452AE" w:rsidRDefault="00E452AE" w:rsidP="00E452AE">
      <w:pPr>
        <w:pStyle w:val="Clause"/>
        <w:numPr>
          <w:ilvl w:val="0"/>
          <w:numId w:val="0"/>
        </w:numPr>
        <w:rPr>
          <w:bCs/>
          <w:szCs w:val="22"/>
        </w:rPr>
      </w:pPr>
      <w:r>
        <w:rPr>
          <w:bCs/>
          <w:szCs w:val="22"/>
        </w:rPr>
        <w:t>where</w:t>
      </w:r>
    </w:p>
    <w:tbl>
      <w:tblPr>
        <w:tblW w:w="0" w:type="auto"/>
        <w:tblInd w:w="346" w:type="dxa"/>
        <w:tblLook w:val="04A0" w:firstRow="1" w:lastRow="0" w:firstColumn="1" w:lastColumn="0" w:noHBand="0" w:noVBand="1"/>
      </w:tblPr>
      <w:tblGrid>
        <w:gridCol w:w="1275"/>
        <w:gridCol w:w="7938"/>
      </w:tblGrid>
      <w:tr w:rsidR="00E452AE" w:rsidRPr="00870D59" w14:paraId="7A67D821" w14:textId="77777777" w:rsidTr="004E0AE9">
        <w:tc>
          <w:tcPr>
            <w:tcW w:w="1275" w:type="dxa"/>
            <w:shd w:val="clear" w:color="auto" w:fill="auto"/>
          </w:tcPr>
          <w:p w14:paraId="65C22FC0" w14:textId="6A253AF0" w:rsidR="00E452AE" w:rsidRPr="00523AC3" w:rsidRDefault="00E452AE" w:rsidP="002061E5">
            <w:pPr>
              <w:pStyle w:val="Tablebody"/>
              <w:rPr>
                <w:i/>
                <w:iCs/>
              </w:rPr>
            </w:pPr>
            <w:r w:rsidRPr="007E6F67">
              <w:rPr>
                <w:i/>
              </w:rPr>
              <w:t>w</w:t>
            </w:r>
            <w:r w:rsidRPr="007E6F67">
              <w:rPr>
                <w:iCs/>
                <w:vertAlign w:val="subscript"/>
              </w:rPr>
              <w:t>s</w:t>
            </w:r>
          </w:p>
        </w:tc>
        <w:tc>
          <w:tcPr>
            <w:tcW w:w="7938" w:type="dxa"/>
          </w:tcPr>
          <w:p w14:paraId="65AEB522" w14:textId="446E1B6D" w:rsidR="00E452AE" w:rsidRPr="00870D59" w:rsidRDefault="00E452AE" w:rsidP="002061E5">
            <w:pPr>
              <w:pStyle w:val="Tablebody"/>
            </w:pPr>
            <w:r w:rsidRPr="007E6F67">
              <w:t xml:space="preserve">is the width of the strut </w:t>
            </w:r>
            <w:r w:rsidRPr="00FD17CF">
              <w:t>given by Formula (7.6);</w:t>
            </w:r>
          </w:p>
        </w:tc>
      </w:tr>
      <w:tr w:rsidR="00E452AE" w:rsidRPr="00870D59" w14:paraId="158E5778" w14:textId="77777777" w:rsidTr="004E0AE9">
        <w:tc>
          <w:tcPr>
            <w:tcW w:w="1275" w:type="dxa"/>
            <w:shd w:val="clear" w:color="auto" w:fill="auto"/>
          </w:tcPr>
          <w:p w14:paraId="7CDB50B6" w14:textId="76819E81" w:rsidR="00E452AE" w:rsidRPr="00870D59" w:rsidRDefault="00C16E02" w:rsidP="002061E5">
            <w:pPr>
              <w:pStyle w:val="Tablebody"/>
              <w:rPr>
                <w:i/>
              </w:rPr>
            </w:pPr>
            <w:r w:rsidRPr="00A34E24">
              <w:rPr>
                <w:i/>
              </w:rPr>
              <w:t>Α</w:t>
            </w:r>
          </w:p>
        </w:tc>
        <w:tc>
          <w:tcPr>
            <w:tcW w:w="7938" w:type="dxa"/>
          </w:tcPr>
          <w:p w14:paraId="04B45786" w14:textId="255EB160" w:rsidR="00E452AE" w:rsidRPr="00870D59" w:rsidRDefault="00E452AE" w:rsidP="002061E5">
            <w:pPr>
              <w:pStyle w:val="Tablebody"/>
            </w:pPr>
            <w:r w:rsidRPr="00644C3D">
              <w:t>is the angle between the infill panel diagonal and the horizontal (beam).</w:t>
            </w:r>
          </w:p>
        </w:tc>
      </w:tr>
    </w:tbl>
    <w:p w14:paraId="5434E257" w14:textId="77777777" w:rsidR="00E452AE" w:rsidRPr="00C16E02" w:rsidRDefault="00E452AE" w:rsidP="0080187E">
      <w:pPr>
        <w:pStyle w:val="Clause"/>
        <w:numPr>
          <w:ilvl w:val="0"/>
          <w:numId w:val="74"/>
        </w:numPr>
      </w:pPr>
      <w:r w:rsidRPr="00196951">
        <w:lastRenderedPageBreak/>
        <w:t xml:space="preserve">In DC2 and DC3, if an infill extends on the entire clear </w:t>
      </w:r>
      <w:r w:rsidRPr="002144A0">
        <w:t xml:space="preserve">length </w:t>
      </w:r>
      <w:r w:rsidRPr="003F6FAF">
        <w:rPr>
          <w:i/>
        </w:rPr>
        <w:t>l</w:t>
      </w:r>
      <w:r w:rsidRPr="003F6FAF">
        <w:rPr>
          <w:iCs/>
          <w:vertAlign w:val="subscript"/>
        </w:rPr>
        <w:t>cl</w:t>
      </w:r>
      <w:r w:rsidRPr="003F6FAF">
        <w:t xml:space="preserve"> </w:t>
      </w:r>
      <w:r w:rsidRPr="007754C9">
        <w:t xml:space="preserve">of the adjacent columns, the </w:t>
      </w:r>
      <w:r w:rsidRPr="00132C1E">
        <w:t xml:space="preserve">top and bottom of these columns should be designed to resist over a length </w:t>
      </w:r>
      <w:r w:rsidRPr="003F6FAF">
        <w:rPr>
          <w:i/>
        </w:rPr>
        <w:t>l</w:t>
      </w:r>
      <w:r w:rsidRPr="003F6FAF">
        <w:rPr>
          <w:iCs/>
          <w:vertAlign w:val="subscript"/>
        </w:rPr>
        <w:t>cs</w:t>
      </w:r>
      <w:r w:rsidRPr="00132C1E">
        <w:t xml:space="preserve"> as defined </w:t>
      </w:r>
      <w:r w:rsidRPr="00C16E02">
        <w:t xml:space="preserve">in (3) a shear force </w:t>
      </w:r>
      <w:r w:rsidRPr="00C16E02">
        <w:rPr>
          <w:i/>
        </w:rPr>
        <w:t>V</w:t>
      </w:r>
      <w:r w:rsidRPr="00C16E02">
        <w:rPr>
          <w:iCs/>
          <w:vertAlign w:val="subscript"/>
        </w:rPr>
        <w:t>Ed,infill</w:t>
      </w:r>
      <w:r w:rsidRPr="00C16E02">
        <w:t xml:space="preserve"> given by Formula (7.</w:t>
      </w:r>
      <w:r w:rsidRPr="00C16E02">
        <w:rPr>
          <w:color w:val="auto"/>
        </w:rPr>
        <w:t>11</w:t>
      </w:r>
      <w:r w:rsidRPr="00C16E02">
        <w:t>).</w:t>
      </w:r>
    </w:p>
    <w:p w14:paraId="2F6EED84" w14:textId="4B2155E2" w:rsidR="00E452AE" w:rsidRPr="00C16E02" w:rsidRDefault="009B5CEC" w:rsidP="00E452AE">
      <w:pPr>
        <w:pStyle w:val="Formula"/>
      </w:pPr>
      <m:oMath>
        <m:sSub>
          <m:sSubPr>
            <m:ctrlPr>
              <w:rPr>
                <w:rFonts w:ascii="Cambria Math" w:hAnsi="Cambria Math"/>
                <w:vertAlign w:val="subscript"/>
              </w:rPr>
            </m:ctrlPr>
          </m:sSubPr>
          <m:e>
            <m:r>
              <w:rPr>
                <w:rFonts w:ascii="Cambria Math" w:hAnsi="Cambria Math"/>
              </w:rPr>
              <m:t>V</m:t>
            </m:r>
          </m:e>
          <m:sub>
            <m:r>
              <m:rPr>
                <m:sty m:val="p"/>
              </m:rPr>
              <w:rPr>
                <w:rFonts w:ascii="Cambria Math" w:eastAsia="TimesNewRoman" w:hAnsi="Cambria Math"/>
                <w:vertAlign w:val="subscript"/>
              </w:rPr>
              <m:t>Ed,infill</m:t>
            </m:r>
          </m:sub>
        </m:sSub>
        <m:r>
          <m:rPr>
            <m:sty m:val="p"/>
          </m:rPr>
          <w:rPr>
            <w:rFonts w:ascii="Cambria Math" w:hAnsi="Cambria Math"/>
          </w:rPr>
          <m:t xml:space="preserve"> = </m:t>
        </m:r>
        <m:r>
          <m:rPr>
            <m:sty m:val="p"/>
          </m:rPr>
          <w:rPr>
            <w:rFonts w:ascii="Cambria Math" w:hAnsi="Cambria Math"/>
            <w:vertAlign w:val="subscript"/>
          </w:rPr>
          <m:t>min⁡(</m:t>
        </m:r>
        <m:sSub>
          <m:sSubPr>
            <m:ctrlPr>
              <w:rPr>
                <w:rFonts w:ascii="Cambria Math" w:hAnsi="Cambria Math"/>
                <w:vertAlign w:val="subscript"/>
              </w:rPr>
            </m:ctrlPr>
          </m:sSubPr>
          <m:e>
            <m:r>
              <w:rPr>
                <w:rFonts w:ascii="Cambria Math" w:hAnsi="Cambria Math"/>
              </w:rPr>
              <m:t>V</m:t>
            </m:r>
          </m:e>
          <m:sub>
            <m:r>
              <m:rPr>
                <m:sty m:val="p"/>
              </m:rPr>
              <w:rPr>
                <w:rFonts w:ascii="Cambria Math" w:hAnsi="Cambria Math"/>
                <w:vertAlign w:val="subscript"/>
              </w:rPr>
              <m:t>ap</m:t>
            </m:r>
            <m:r>
              <m:rPr>
                <m:sty m:val="p"/>
              </m:rPr>
              <w:rPr>
                <w:rFonts w:ascii="Cambria Math" w:eastAsia="TimesNewRoman" w:hAnsi="Cambria Math"/>
                <w:vertAlign w:val="subscript"/>
              </w:rPr>
              <m:t>,Rd</m:t>
            </m:r>
          </m:sub>
        </m:sSub>
        <m:r>
          <w:rPr>
            <w:rFonts w:ascii="Cambria Math"/>
          </w:rPr>
          <m:t>;</m:t>
        </m:r>
        <m:sSub>
          <m:sSubPr>
            <m:ctrlPr>
              <w:rPr>
                <w:rFonts w:ascii="Cambria Math" w:hAnsi="Cambria Math"/>
                <w:vertAlign w:val="subscript"/>
              </w:rPr>
            </m:ctrlPr>
          </m:sSubPr>
          <m:e>
            <m:r>
              <w:rPr>
                <w:rFonts w:ascii="Cambria Math" w:hAnsi="Cambria Math"/>
              </w:rPr>
              <m:t>V</m:t>
            </m:r>
          </m:e>
          <m:sub>
            <m:r>
              <m:rPr>
                <m:sty m:val="p"/>
              </m:rPr>
              <w:rPr>
                <w:rFonts w:ascii="Cambria Math" w:eastAsia="TimesNewRoman" w:hAnsi="Cambria Math"/>
                <w:vertAlign w:val="subscript"/>
              </w:rPr>
              <m:t>i,d</m:t>
            </m:r>
          </m:sub>
        </m:sSub>
        <m:r>
          <w:rPr>
            <w:rFonts w:ascii="Cambria Math"/>
          </w:rPr>
          <m:t xml:space="preserve">) </m:t>
        </m:r>
      </m:oMath>
      <w:r w:rsidR="00E452AE" w:rsidRPr="00C16E02">
        <w:tab/>
        <w:t>(7.</w:t>
      </w:r>
      <w:r w:rsidR="00F508AE" w:rsidRPr="00C16E02">
        <w:t>11</w:t>
      </w:r>
      <w:r w:rsidR="00E452AE" w:rsidRPr="00C16E02">
        <w:t>)</w:t>
      </w:r>
    </w:p>
    <w:p w14:paraId="4D9AB672" w14:textId="64370328" w:rsidR="00E452AE" w:rsidRPr="00C16E02" w:rsidRDefault="00E452AE" w:rsidP="00E452AE">
      <w:pPr>
        <w:pStyle w:val="Clause"/>
        <w:numPr>
          <w:ilvl w:val="0"/>
          <w:numId w:val="0"/>
        </w:numPr>
        <w:rPr>
          <w:szCs w:val="22"/>
        </w:rPr>
      </w:pPr>
      <w:r w:rsidRPr="00C16E02">
        <w:rPr>
          <w:szCs w:val="22"/>
        </w:rPr>
        <w:t>where</w:t>
      </w:r>
    </w:p>
    <w:tbl>
      <w:tblPr>
        <w:tblW w:w="0" w:type="auto"/>
        <w:tblInd w:w="346" w:type="dxa"/>
        <w:tblLook w:val="04A0" w:firstRow="1" w:lastRow="0" w:firstColumn="1" w:lastColumn="0" w:noHBand="0" w:noVBand="1"/>
      </w:tblPr>
      <w:tblGrid>
        <w:gridCol w:w="1275"/>
        <w:gridCol w:w="7938"/>
      </w:tblGrid>
      <w:tr w:rsidR="00E452AE" w:rsidRPr="00C16E02" w14:paraId="76284DCD" w14:textId="77777777" w:rsidTr="004E0AE9">
        <w:tc>
          <w:tcPr>
            <w:tcW w:w="1275" w:type="dxa"/>
            <w:shd w:val="clear" w:color="auto" w:fill="auto"/>
          </w:tcPr>
          <w:p w14:paraId="435616EB" w14:textId="6825B693" w:rsidR="00E452AE" w:rsidRPr="00C16E02" w:rsidRDefault="00F508AE" w:rsidP="002061E5">
            <w:pPr>
              <w:pStyle w:val="Tablebody"/>
              <w:rPr>
                <w:i/>
                <w:iCs/>
              </w:rPr>
            </w:pPr>
            <w:r w:rsidRPr="00C16E02">
              <w:rPr>
                <w:i/>
              </w:rPr>
              <w:t>V</w:t>
            </w:r>
            <w:r w:rsidRPr="00C16E02">
              <w:rPr>
                <w:iCs/>
                <w:vertAlign w:val="subscript"/>
              </w:rPr>
              <w:t>ap,Rd</w:t>
            </w:r>
          </w:p>
        </w:tc>
        <w:tc>
          <w:tcPr>
            <w:tcW w:w="7938" w:type="dxa"/>
          </w:tcPr>
          <w:p w14:paraId="58BA179A" w14:textId="243A73E5" w:rsidR="00E452AE" w:rsidRPr="00C16E02" w:rsidRDefault="00F508AE" w:rsidP="002061E5">
            <w:pPr>
              <w:pStyle w:val="Tablebody"/>
            </w:pPr>
            <w:r w:rsidRPr="00C16E02">
              <w:t>is the horizontal component of the strut force of the infill, assumed to be equal to the horizontal resistance in shear of the infill panel as given by Formula (7.10);</w:t>
            </w:r>
          </w:p>
        </w:tc>
      </w:tr>
      <w:tr w:rsidR="00E452AE" w:rsidRPr="00C16E02" w14:paraId="647A8CFB" w14:textId="77777777" w:rsidTr="004E0AE9">
        <w:tc>
          <w:tcPr>
            <w:tcW w:w="1275" w:type="dxa"/>
            <w:shd w:val="clear" w:color="auto" w:fill="auto"/>
          </w:tcPr>
          <w:p w14:paraId="033DB008" w14:textId="2C67AF5C" w:rsidR="00E452AE" w:rsidRPr="00C16E02" w:rsidRDefault="00F508AE" w:rsidP="002061E5">
            <w:pPr>
              <w:pStyle w:val="Tablebody"/>
              <w:rPr>
                <w:i/>
              </w:rPr>
            </w:pPr>
            <w:r w:rsidRPr="00C16E02">
              <w:rPr>
                <w:i/>
              </w:rPr>
              <w:t>V</w:t>
            </w:r>
            <w:r w:rsidRPr="00C16E02">
              <w:rPr>
                <w:iCs/>
                <w:vertAlign w:val="subscript"/>
              </w:rPr>
              <w:t>i,d</w:t>
            </w:r>
          </w:p>
        </w:tc>
        <w:tc>
          <w:tcPr>
            <w:tcW w:w="7938" w:type="dxa"/>
          </w:tcPr>
          <w:p w14:paraId="7096CE70" w14:textId="316C9729" w:rsidR="00E452AE" w:rsidRPr="00C16E02" w:rsidRDefault="00F508AE" w:rsidP="002061E5">
            <w:pPr>
              <w:pStyle w:val="Tablebody"/>
            </w:pPr>
            <w:r w:rsidRPr="00C16E02">
              <w:t xml:space="preserve">is the shear force calculated according to 10.6.2 assuming that the overstrength flexural capacity of the column, </w:t>
            </w:r>
            <w:r w:rsidRPr="00096DC0">
              <w:rPr>
                <w:i/>
              </w:rPr>
              <w:t>γ</w:t>
            </w:r>
            <w:r w:rsidRPr="00096DC0">
              <w:rPr>
                <w:iCs/>
              </w:rPr>
              <w:t>rd</w:t>
            </w:r>
            <w:r w:rsidR="00096DC0">
              <w:rPr>
                <w:iCs/>
              </w:rPr>
              <w:t> </w:t>
            </w:r>
            <w:r w:rsidRPr="00096DC0">
              <w:rPr>
                <w:i/>
              </w:rPr>
              <w:t>M</w:t>
            </w:r>
            <w:r w:rsidRPr="00096DC0">
              <w:rPr>
                <w:iCs/>
              </w:rPr>
              <w:t>Rc</w:t>
            </w:r>
            <w:r w:rsidRPr="00C16E02">
              <w:rPr>
                <w:iCs/>
                <w:vertAlign w:val="subscript"/>
              </w:rPr>
              <w:t>,i</w:t>
            </w:r>
            <w:r w:rsidRPr="00C16E02">
              <w:rPr>
                <w:iCs/>
              </w:rPr>
              <w:t xml:space="preserve"> </w:t>
            </w:r>
            <w:r w:rsidRPr="00C16E02">
              <w:t xml:space="preserve">develops at the two ends of the contact length </w:t>
            </w:r>
            <w:r w:rsidRPr="00C16E02">
              <w:rPr>
                <w:i/>
              </w:rPr>
              <w:t>l</w:t>
            </w:r>
            <w:r w:rsidRPr="00C16E02">
              <w:rPr>
                <w:i/>
                <w:vertAlign w:val="subscript"/>
              </w:rPr>
              <w:t>cs</w:t>
            </w:r>
            <w:r w:rsidRPr="00C16E02">
              <w:t>.</w:t>
            </w:r>
          </w:p>
        </w:tc>
      </w:tr>
    </w:tbl>
    <w:p w14:paraId="0E0867A4" w14:textId="77777777" w:rsidR="00CD6F55" w:rsidRPr="00C16E02" w:rsidRDefault="00CD6F55" w:rsidP="0080187E">
      <w:pPr>
        <w:pStyle w:val="Clause"/>
        <w:numPr>
          <w:ilvl w:val="0"/>
          <w:numId w:val="74"/>
        </w:numPr>
      </w:pPr>
      <w:r w:rsidRPr="00C16E02">
        <w:t xml:space="preserve">The application of </w:t>
      </w:r>
      <w:r w:rsidRPr="00C16E02">
        <w:rPr>
          <w:rFonts w:eastAsia="Cambria"/>
        </w:rPr>
        <w:t>(4) should not be taken to preclude the application of 10.6.2.</w:t>
      </w:r>
    </w:p>
    <w:p w14:paraId="737CB7BF" w14:textId="2DEFC5A7" w:rsidR="00CD6F55" w:rsidRPr="00132C1E" w:rsidRDefault="00CD6F55" w:rsidP="0080187E">
      <w:pPr>
        <w:pStyle w:val="Clause"/>
        <w:numPr>
          <w:ilvl w:val="0"/>
          <w:numId w:val="74"/>
        </w:numPr>
      </w:pPr>
      <w:r w:rsidRPr="00132C1E">
        <w:t xml:space="preserve">In DC2 and DC3, if the height of an infill is smaller than the clear length </w:t>
      </w:r>
      <w:r w:rsidRPr="003F6FAF">
        <w:rPr>
          <w:i/>
          <w:iCs/>
        </w:rPr>
        <w:t>l</w:t>
      </w:r>
      <w:r w:rsidRPr="003F6FAF">
        <w:rPr>
          <w:vertAlign w:val="subscript"/>
        </w:rPr>
        <w:t>cl</w:t>
      </w:r>
      <w:r w:rsidRPr="00132C1E">
        <w:t xml:space="preserve"> of the adjacent column, a) to c) should be applied:</w:t>
      </w:r>
    </w:p>
    <w:p w14:paraId="12A20AEF" w14:textId="58924787" w:rsidR="00CD6F55" w:rsidRPr="00096DC0" w:rsidRDefault="00CD6F55" w:rsidP="0080187E">
      <w:pPr>
        <w:pStyle w:val="List2"/>
        <w:numPr>
          <w:ilvl w:val="0"/>
          <w:numId w:val="76"/>
        </w:numPr>
        <w:spacing w:before="0" w:after="240" w:line="230" w:lineRule="atLeast"/>
        <w:contextualSpacing w:val="0"/>
      </w:pPr>
      <w:r w:rsidRPr="00132C1E">
        <w:t xml:space="preserve">as a minimum, the clear length </w:t>
      </w:r>
      <w:r w:rsidRPr="00132C1E">
        <w:rPr>
          <w:i/>
        </w:rPr>
        <w:t>l</w:t>
      </w:r>
      <w:r w:rsidRPr="00132C1E">
        <w:rPr>
          <w:iCs/>
          <w:vertAlign w:val="subscript"/>
        </w:rPr>
        <w:t>cl</w:t>
      </w:r>
      <w:r w:rsidRPr="00132C1E">
        <w:rPr>
          <w:iCs/>
        </w:rPr>
        <w:t xml:space="preserve"> </w:t>
      </w:r>
      <w:r w:rsidRPr="00132C1E">
        <w:t xml:space="preserve">of the column </w:t>
      </w:r>
      <w:r w:rsidRPr="00096DC0">
        <w:t>should be considered a critical region and 10.6.3.2 for critical regions should be applied;</w:t>
      </w:r>
    </w:p>
    <w:p w14:paraId="6D8A1FB4" w14:textId="76CA8C1C" w:rsidR="00CD6F55" w:rsidRPr="00096DC0" w:rsidRDefault="00CD6F55" w:rsidP="0080187E">
      <w:pPr>
        <w:pStyle w:val="List2"/>
        <w:numPr>
          <w:ilvl w:val="0"/>
          <w:numId w:val="76"/>
        </w:numPr>
        <w:spacing w:before="0" w:after="240" w:line="230" w:lineRule="atLeast"/>
        <w:contextualSpacing w:val="0"/>
      </w:pPr>
      <w:r w:rsidRPr="00096DC0">
        <w:t>(4) and Formula (7.9) should be applied with the column shear force</w:t>
      </w:r>
      <w:r w:rsidRPr="00096DC0">
        <w:rPr>
          <w:i/>
          <w:iCs/>
        </w:rPr>
        <w:t xml:space="preserve"> V</w:t>
      </w:r>
      <w:r w:rsidRPr="00096DC0">
        <w:rPr>
          <w:vertAlign w:val="subscript"/>
        </w:rPr>
        <w:t>i,d</w:t>
      </w:r>
      <w:r w:rsidRPr="00096DC0">
        <w:t xml:space="preserve"> calculated according to 10.6.2(2), assuming that the overstrength flexural capacity of the column </w:t>
      </w:r>
      <w:r w:rsidRPr="00096DC0">
        <w:rPr>
          <w:i/>
          <w:iCs/>
        </w:rPr>
        <w:t>γ</w:t>
      </w:r>
      <w:r w:rsidRPr="00096DC0">
        <w:rPr>
          <w:vertAlign w:val="subscript"/>
        </w:rPr>
        <w:t>Rd</w:t>
      </w:r>
      <w:r w:rsidRPr="00096DC0">
        <w:t> </w:t>
      </w:r>
      <w:r w:rsidRPr="00096DC0">
        <w:rPr>
          <w:i/>
          <w:iCs/>
        </w:rPr>
        <w:t>M</w:t>
      </w:r>
      <w:r w:rsidRPr="00096DC0">
        <w:rPr>
          <w:vertAlign w:val="subscript"/>
        </w:rPr>
        <w:t xml:space="preserve">Rc,i </w:t>
      </w:r>
      <w:r w:rsidRPr="00096DC0">
        <w:t xml:space="preserve"> develops over a length of the column equal to the height </w:t>
      </w:r>
      <w:r w:rsidRPr="00096DC0">
        <w:rPr>
          <w:i/>
          <w:iCs/>
        </w:rPr>
        <w:t>h</w:t>
      </w:r>
      <w:r w:rsidRPr="00096DC0">
        <w:rPr>
          <w:vertAlign w:val="subscript"/>
        </w:rPr>
        <w:t>op</w:t>
      </w:r>
      <w:r w:rsidRPr="00096DC0">
        <w:t xml:space="preserve"> of the opening in the infills;</w:t>
      </w:r>
    </w:p>
    <w:p w14:paraId="66EF3506" w14:textId="4F32923A" w:rsidR="00CD6F55" w:rsidRPr="00132C1E" w:rsidRDefault="00CD6F55" w:rsidP="0080187E">
      <w:pPr>
        <w:pStyle w:val="List2"/>
        <w:numPr>
          <w:ilvl w:val="0"/>
          <w:numId w:val="76"/>
        </w:numPr>
        <w:spacing w:before="0" w:after="240" w:line="230" w:lineRule="atLeast"/>
        <w:contextualSpacing w:val="0"/>
      </w:pPr>
      <w:r w:rsidRPr="00096DC0">
        <w:t xml:space="preserve">If </w:t>
      </w:r>
      <w:r w:rsidRPr="00096DC0">
        <w:rPr>
          <w:i/>
          <w:iCs/>
        </w:rPr>
        <w:t>h</w:t>
      </w:r>
      <w:r w:rsidRPr="00096DC0">
        <w:rPr>
          <w:vertAlign w:val="subscript"/>
        </w:rPr>
        <w:t>op</w:t>
      </w:r>
      <w:r w:rsidRPr="00096DC0">
        <w:t xml:space="preserve"> is smaller than 1,5</w:t>
      </w:r>
      <w:r w:rsidRPr="00096DC0">
        <w:rPr>
          <w:i/>
          <w:iCs/>
        </w:rPr>
        <w:t>h</w:t>
      </w:r>
      <w:r w:rsidRPr="00096DC0">
        <w:rPr>
          <w:i/>
          <w:iCs/>
          <w:vertAlign w:val="subscript"/>
        </w:rPr>
        <w:t>c</w:t>
      </w:r>
      <w:r w:rsidRPr="00096DC0">
        <w:t xml:space="preserve">, where </w:t>
      </w:r>
      <w:r w:rsidRPr="00096DC0">
        <w:rPr>
          <w:i/>
          <w:iCs/>
        </w:rPr>
        <w:t>h</w:t>
      </w:r>
      <w:r w:rsidRPr="00096DC0">
        <w:rPr>
          <w:vertAlign w:val="subscript"/>
        </w:rPr>
        <w:t xml:space="preserve">c </w:t>
      </w:r>
      <w:r w:rsidRPr="00096DC0">
        <w:t>is the depth of</w:t>
      </w:r>
      <w:r w:rsidRPr="00132C1E">
        <w:t xml:space="preserve"> the column cross-section in the direction of the infills, the shear action effect should be resisted by diagonal reinforcement over the length </w:t>
      </w:r>
      <w:r w:rsidRPr="00132C1E">
        <w:rPr>
          <w:i/>
          <w:iCs/>
        </w:rPr>
        <w:t>h</w:t>
      </w:r>
      <w:r w:rsidRPr="00132C1E">
        <w:rPr>
          <w:vertAlign w:val="subscript"/>
        </w:rPr>
        <w:t>op</w:t>
      </w:r>
      <w:r w:rsidRPr="00132C1E">
        <w:t xml:space="preserve"> extended of </w:t>
      </w:r>
      <w:r w:rsidRPr="00132C1E">
        <w:rPr>
          <w:i/>
          <w:iCs/>
        </w:rPr>
        <w:t>h</w:t>
      </w:r>
      <w:r w:rsidRPr="00132C1E">
        <w:rPr>
          <w:i/>
          <w:iCs/>
          <w:vertAlign w:val="subscript"/>
        </w:rPr>
        <w:t>c</w:t>
      </w:r>
      <w:r w:rsidRPr="00132C1E">
        <w:t xml:space="preserve"> above and below the opening.</w:t>
      </w:r>
    </w:p>
    <w:p w14:paraId="01D2121B" w14:textId="235CD918" w:rsidR="00CD6F55" w:rsidRPr="00132C1E" w:rsidRDefault="00CD6F55" w:rsidP="00CD6F55">
      <w:pPr>
        <w:pStyle w:val="Heading4"/>
      </w:pPr>
      <w:bookmarkStart w:id="1022" w:name="_Toc108342258"/>
      <w:r w:rsidRPr="001C764C">
        <w:t xml:space="preserve">Verification at </w:t>
      </w:r>
      <w:r w:rsidRPr="00132C1E">
        <w:t>SD limit state of steel columns adjacent to infills</w:t>
      </w:r>
      <w:bookmarkEnd w:id="1022"/>
    </w:p>
    <w:p w14:paraId="730D5100" w14:textId="6AC5FFB0" w:rsidR="00CD6F55" w:rsidRPr="00096DC0" w:rsidRDefault="00CD6F55" w:rsidP="0080187E">
      <w:pPr>
        <w:pStyle w:val="Clause"/>
        <w:numPr>
          <w:ilvl w:val="0"/>
          <w:numId w:val="77"/>
        </w:numPr>
        <w:rPr>
          <w:rFonts w:eastAsia="Cambria"/>
          <w:color w:val="auto"/>
        </w:rPr>
      </w:pPr>
      <w:r w:rsidRPr="00CD6F55">
        <w:rPr>
          <w:rFonts w:eastAsia="Cambria"/>
          <w:color w:val="auto"/>
        </w:rPr>
        <w:t xml:space="preserve">In DC2 and DC3, if an infill extends on the entire clear length </w:t>
      </w:r>
      <w:r w:rsidRPr="00CD6F55">
        <w:rPr>
          <w:rFonts w:eastAsia="Cambria"/>
          <w:i/>
          <w:iCs/>
          <w:color w:val="auto"/>
        </w:rPr>
        <w:t>l</w:t>
      </w:r>
      <w:r w:rsidRPr="00CD6F55">
        <w:rPr>
          <w:rFonts w:eastAsia="Cambria"/>
          <w:color w:val="auto"/>
          <w:vertAlign w:val="subscript"/>
        </w:rPr>
        <w:t>cl</w:t>
      </w:r>
      <w:r w:rsidRPr="00CD6F55">
        <w:rPr>
          <w:rFonts w:eastAsia="Cambria"/>
          <w:color w:val="auto"/>
        </w:rPr>
        <w:t xml:space="preserve"> of the adjacent columns, the top and bottom of these columns should be designed to resist over a length </w:t>
      </w:r>
      <w:r w:rsidRPr="00CD6F55">
        <w:rPr>
          <w:rFonts w:eastAsia="Cambria"/>
          <w:i/>
          <w:iCs/>
          <w:color w:val="auto"/>
        </w:rPr>
        <w:t>l</w:t>
      </w:r>
      <w:r w:rsidRPr="00CD6F55">
        <w:rPr>
          <w:rFonts w:eastAsia="Cambria"/>
          <w:color w:val="auto"/>
          <w:vertAlign w:val="subscript"/>
        </w:rPr>
        <w:t>cs</w:t>
      </w:r>
      <w:r w:rsidRPr="00CD6F55">
        <w:rPr>
          <w:rFonts w:eastAsia="Cambria"/>
          <w:color w:val="auto"/>
        </w:rPr>
        <w:t xml:space="preserve"> as defined </w:t>
      </w:r>
      <w:r w:rsidRPr="00096DC0">
        <w:rPr>
          <w:rFonts w:eastAsia="Cambria"/>
          <w:color w:val="auto"/>
        </w:rPr>
        <w:t xml:space="preserve">in 7.4.2.6(3) a shear force </w:t>
      </w:r>
      <w:r w:rsidRPr="00096DC0">
        <w:rPr>
          <w:rFonts w:eastAsia="Cambria"/>
          <w:i/>
          <w:iCs/>
          <w:color w:val="auto"/>
        </w:rPr>
        <w:t>V</w:t>
      </w:r>
      <w:r w:rsidRPr="00096DC0">
        <w:rPr>
          <w:rFonts w:eastAsia="Cambria"/>
          <w:color w:val="auto"/>
          <w:vertAlign w:val="subscript"/>
        </w:rPr>
        <w:t xml:space="preserve">Ed,infill </w:t>
      </w:r>
      <w:r w:rsidRPr="00096DC0">
        <w:rPr>
          <w:rFonts w:eastAsia="Cambria"/>
          <w:color w:val="auto"/>
        </w:rPr>
        <w:t xml:space="preserve">given by Formula (7.9) where </w:t>
      </w:r>
      <w:r w:rsidRPr="00096DC0">
        <w:rPr>
          <w:rFonts w:eastAsia="Cambria"/>
          <w:i/>
          <w:iCs/>
          <w:color w:val="auto"/>
        </w:rPr>
        <w:t>V</w:t>
      </w:r>
      <w:r w:rsidRPr="00096DC0">
        <w:rPr>
          <w:rFonts w:eastAsia="Cambria"/>
          <w:color w:val="auto"/>
          <w:vertAlign w:val="subscript"/>
        </w:rPr>
        <w:t xml:space="preserve">i,d </w:t>
      </w:r>
      <w:r w:rsidRPr="00096DC0">
        <w:rPr>
          <w:rFonts w:eastAsia="Cambria"/>
          <w:color w:val="auto"/>
        </w:rPr>
        <w:t>should</w:t>
      </w:r>
      <w:r w:rsidRPr="00096DC0">
        <w:rPr>
          <w:rFonts w:eastAsia="Cambria"/>
          <w:color w:val="auto"/>
          <w:vertAlign w:val="subscript"/>
        </w:rPr>
        <w:t xml:space="preserve"> </w:t>
      </w:r>
      <w:r w:rsidRPr="00096DC0">
        <w:rPr>
          <w:rFonts w:eastAsia="Cambria"/>
          <w:color w:val="auto"/>
        </w:rPr>
        <w:t xml:space="preserve">be taken as the shear force calculated assuming that the overstrength flexural capacity of the column, </w:t>
      </w:r>
      <w:r w:rsidRPr="00096DC0">
        <w:rPr>
          <w:rFonts w:eastAsia="Cambria"/>
          <w:i/>
          <w:iCs/>
          <w:color w:val="auto"/>
        </w:rPr>
        <w:t>γ</w:t>
      </w:r>
      <w:r w:rsidRPr="00096DC0">
        <w:rPr>
          <w:rFonts w:eastAsia="Cambria"/>
          <w:color w:val="auto"/>
          <w:vertAlign w:val="subscript"/>
        </w:rPr>
        <w:t>rd</w:t>
      </w:r>
      <w:r w:rsidRPr="00096DC0">
        <w:rPr>
          <w:rFonts w:eastAsia="Cambria"/>
          <w:i/>
          <w:iCs/>
          <w:color w:val="auto"/>
        </w:rPr>
        <w:t>M</w:t>
      </w:r>
      <w:r w:rsidRPr="00096DC0">
        <w:rPr>
          <w:rFonts w:eastAsia="Cambria"/>
          <w:color w:val="auto"/>
          <w:vertAlign w:val="subscript"/>
        </w:rPr>
        <w:t xml:space="preserve">Rd,i </w:t>
      </w:r>
      <w:r w:rsidRPr="00096DC0">
        <w:rPr>
          <w:rFonts w:eastAsia="Cambria"/>
          <w:color w:val="auto"/>
        </w:rPr>
        <w:t xml:space="preserve">calculated according to 10.6.2(2) develops at the two ends of the contact length </w:t>
      </w:r>
      <w:r w:rsidRPr="00096DC0">
        <w:rPr>
          <w:rFonts w:eastAsia="Cambria"/>
          <w:i/>
          <w:iCs/>
          <w:color w:val="auto"/>
        </w:rPr>
        <w:t>l</w:t>
      </w:r>
      <w:r w:rsidRPr="00096DC0">
        <w:rPr>
          <w:rFonts w:eastAsia="Cambria"/>
          <w:color w:val="auto"/>
          <w:vertAlign w:val="subscript"/>
        </w:rPr>
        <w:t>cs</w:t>
      </w:r>
      <w:r w:rsidRPr="00096DC0">
        <w:rPr>
          <w:rFonts w:eastAsia="Cambria"/>
          <w:color w:val="auto"/>
        </w:rPr>
        <w:t>.</w:t>
      </w:r>
    </w:p>
    <w:p w14:paraId="60E959DF" w14:textId="77777777" w:rsidR="00CD6F55" w:rsidRPr="00096DC0" w:rsidRDefault="00CD6F55" w:rsidP="0080187E">
      <w:pPr>
        <w:pStyle w:val="Clause"/>
        <w:numPr>
          <w:ilvl w:val="0"/>
          <w:numId w:val="77"/>
        </w:numPr>
      </w:pPr>
      <w:r w:rsidRPr="00096DC0">
        <w:rPr>
          <w:rFonts w:eastAsia="Cambria"/>
        </w:rPr>
        <w:t xml:space="preserve">In DC2 and DC3, if the height of an infill is smaller than the clear length </w:t>
      </w:r>
      <w:r w:rsidRPr="00096DC0">
        <w:rPr>
          <w:rFonts w:eastAsia="Cambria"/>
          <w:i/>
          <w:iCs/>
        </w:rPr>
        <w:t>l</w:t>
      </w:r>
      <w:r w:rsidRPr="00096DC0">
        <w:rPr>
          <w:rFonts w:eastAsia="Cambria"/>
          <w:vertAlign w:val="subscript"/>
        </w:rPr>
        <w:t>cl</w:t>
      </w:r>
      <w:r w:rsidRPr="00096DC0">
        <w:rPr>
          <w:rFonts w:eastAsia="Cambria"/>
        </w:rPr>
        <w:t xml:space="preserve"> of the adjacent column, a) and b) should be applied:</w:t>
      </w:r>
    </w:p>
    <w:p w14:paraId="7329ADEE" w14:textId="43166BFC" w:rsidR="00CD6F55" w:rsidRPr="00096DC0" w:rsidRDefault="00CD6F55" w:rsidP="0080187E">
      <w:pPr>
        <w:pStyle w:val="List2"/>
        <w:numPr>
          <w:ilvl w:val="0"/>
          <w:numId w:val="78"/>
        </w:numPr>
        <w:spacing w:before="0" w:after="240" w:line="230" w:lineRule="atLeast"/>
        <w:contextualSpacing w:val="0"/>
        <w:rPr>
          <w:rFonts w:eastAsia="Cambria"/>
        </w:rPr>
      </w:pPr>
      <w:r w:rsidRPr="00096DC0">
        <w:rPr>
          <w:rFonts w:eastAsia="Cambria"/>
        </w:rPr>
        <w:t xml:space="preserve">as a minimum, the clear length </w:t>
      </w:r>
      <w:r w:rsidRPr="00096DC0">
        <w:rPr>
          <w:rFonts w:eastAsia="Cambria"/>
          <w:i/>
          <w:iCs/>
        </w:rPr>
        <w:t>l</w:t>
      </w:r>
      <w:r w:rsidRPr="00096DC0">
        <w:rPr>
          <w:rFonts w:eastAsia="Cambria"/>
          <w:vertAlign w:val="subscript"/>
        </w:rPr>
        <w:t>cl</w:t>
      </w:r>
      <w:r w:rsidRPr="00096DC0">
        <w:rPr>
          <w:rFonts w:eastAsia="Cambria"/>
        </w:rPr>
        <w:t xml:space="preserve"> of the column should be considered a critical region and 11.8.3 for dissipative members in compression or bending should be applied;</w:t>
      </w:r>
    </w:p>
    <w:p w14:paraId="21026F36" w14:textId="618C28C8" w:rsidR="00CD6F55" w:rsidRDefault="00CD6F55" w:rsidP="0080187E">
      <w:pPr>
        <w:pStyle w:val="List2"/>
        <w:numPr>
          <w:ilvl w:val="0"/>
          <w:numId w:val="78"/>
        </w:numPr>
        <w:spacing w:before="0" w:after="240" w:line="230" w:lineRule="atLeast"/>
        <w:contextualSpacing w:val="0"/>
      </w:pPr>
      <w:r w:rsidRPr="00096DC0">
        <w:rPr>
          <w:rFonts w:eastAsia="Cambria"/>
        </w:rPr>
        <w:t xml:space="preserve">(1) and Formula (7.9) should be applied with a column shear force </w:t>
      </w:r>
      <w:r w:rsidRPr="00096DC0">
        <w:rPr>
          <w:rFonts w:eastAsia="Cambria"/>
          <w:i/>
          <w:iCs/>
        </w:rPr>
        <w:t>V</w:t>
      </w:r>
      <w:r w:rsidRPr="00096DC0">
        <w:rPr>
          <w:rFonts w:eastAsia="Cambria"/>
          <w:vertAlign w:val="subscript"/>
        </w:rPr>
        <w:t>i,d</w:t>
      </w:r>
      <w:r w:rsidRPr="00096DC0">
        <w:rPr>
          <w:rFonts w:eastAsia="Cambria"/>
        </w:rPr>
        <w:t xml:space="preserve"> calculate</w:t>
      </w:r>
      <w:r w:rsidRPr="00132C1E">
        <w:rPr>
          <w:rFonts w:eastAsia="Cambria"/>
        </w:rPr>
        <w:t xml:space="preserve">d assuming that the overstrength flexural capacity of the column </w:t>
      </w:r>
      <w:r w:rsidRPr="00132C1E">
        <w:rPr>
          <w:rFonts w:eastAsia="Cambria"/>
          <w:i/>
          <w:iCs/>
        </w:rPr>
        <w:t>γ</w:t>
      </w:r>
      <w:r w:rsidRPr="00132C1E">
        <w:rPr>
          <w:rFonts w:eastAsia="Cambria"/>
          <w:vertAlign w:val="subscript"/>
        </w:rPr>
        <w:t>rd</w:t>
      </w:r>
      <w:r w:rsidRPr="00132C1E">
        <w:rPr>
          <w:rFonts w:eastAsia="Cambria"/>
          <w:i/>
          <w:iCs/>
        </w:rPr>
        <w:t>M</w:t>
      </w:r>
      <w:r w:rsidRPr="00132C1E">
        <w:rPr>
          <w:rFonts w:eastAsia="Cambria"/>
          <w:vertAlign w:val="subscript"/>
        </w:rPr>
        <w:t>Rd,i</w:t>
      </w:r>
      <w:r w:rsidRPr="00132C1E">
        <w:rPr>
          <w:rFonts w:eastAsia="Cambria"/>
        </w:rPr>
        <w:t xml:space="preserve"> develops over a length of the column equal to the height </w:t>
      </w:r>
      <w:r w:rsidRPr="00132C1E">
        <w:rPr>
          <w:rFonts w:eastAsia="Cambria"/>
          <w:i/>
          <w:iCs/>
        </w:rPr>
        <w:t>h</w:t>
      </w:r>
      <w:r w:rsidRPr="00132C1E">
        <w:rPr>
          <w:rFonts w:eastAsia="Cambria"/>
          <w:vertAlign w:val="subscript"/>
        </w:rPr>
        <w:t>op</w:t>
      </w:r>
      <w:r w:rsidRPr="00132C1E">
        <w:rPr>
          <w:rFonts w:eastAsia="Cambria"/>
        </w:rPr>
        <w:t xml:space="preserve"> of the opening in the infills.</w:t>
      </w:r>
    </w:p>
    <w:p w14:paraId="10C742F2" w14:textId="59056F19" w:rsidR="00CD6F55" w:rsidRPr="008618F2" w:rsidRDefault="00CD6F55" w:rsidP="00CD6F55">
      <w:pPr>
        <w:pStyle w:val="Heading4"/>
      </w:pPr>
      <w:bookmarkStart w:id="1023" w:name="_Toc108342259"/>
      <w:r w:rsidRPr="008618F2">
        <w:t>Verification at SD limit state of composite columns</w:t>
      </w:r>
      <w:bookmarkEnd w:id="1023"/>
    </w:p>
    <w:p w14:paraId="475FEA7F" w14:textId="77777777" w:rsidR="00CD6F55" w:rsidRPr="00096DC0" w:rsidRDefault="00CD6F55" w:rsidP="0080187E">
      <w:pPr>
        <w:pStyle w:val="Clause"/>
        <w:numPr>
          <w:ilvl w:val="0"/>
          <w:numId w:val="79"/>
        </w:numPr>
        <w:rPr>
          <w:rFonts w:eastAsia="Cambria"/>
          <w:bCs/>
        </w:rPr>
      </w:pPr>
      <w:r w:rsidRPr="00096DC0">
        <w:rPr>
          <w:rFonts w:eastAsia="Cambria"/>
          <w:bCs/>
        </w:rPr>
        <w:t>7.4.2.7(1) should be applied</w:t>
      </w:r>
      <w:r w:rsidRPr="00096DC0">
        <w:rPr>
          <w:bCs/>
        </w:rPr>
        <w:t>.</w:t>
      </w:r>
    </w:p>
    <w:p w14:paraId="45B3E6E6" w14:textId="77777777" w:rsidR="00CD6F55" w:rsidRPr="00B00B3D" w:rsidRDefault="00CD6F55" w:rsidP="0080187E">
      <w:pPr>
        <w:pStyle w:val="Clause"/>
        <w:numPr>
          <w:ilvl w:val="0"/>
          <w:numId w:val="79"/>
        </w:numPr>
        <w:rPr>
          <w:rFonts w:eastAsia="Cambria"/>
        </w:rPr>
      </w:pPr>
      <w:r w:rsidRPr="00096DC0">
        <w:rPr>
          <w:rFonts w:eastAsia="Cambria"/>
          <w:bCs/>
        </w:rPr>
        <w:lastRenderedPageBreak/>
        <w:t>7.4.2.7(2) a) and b) should be applied, however considering in a) that 12.8.3 for dissipative members in compression or bending</w:t>
      </w:r>
      <w:r w:rsidRPr="00132C1E">
        <w:rPr>
          <w:rFonts w:eastAsia="Cambria"/>
        </w:rPr>
        <w:t xml:space="preserve"> should be applied to the clear length </w:t>
      </w:r>
      <w:r w:rsidRPr="00132C1E">
        <w:rPr>
          <w:rFonts w:eastAsia="Cambria"/>
          <w:i/>
          <w:iCs/>
        </w:rPr>
        <w:t>l</w:t>
      </w:r>
      <w:r w:rsidRPr="00132C1E">
        <w:rPr>
          <w:rFonts w:eastAsia="Cambria"/>
          <w:vertAlign w:val="subscript"/>
        </w:rPr>
        <w:t>cl</w:t>
      </w:r>
      <w:r w:rsidRPr="00132C1E">
        <w:rPr>
          <w:rFonts w:eastAsia="Cambria"/>
        </w:rPr>
        <w:t xml:space="preserve"> of the column considered as a critical region.</w:t>
      </w:r>
    </w:p>
    <w:p w14:paraId="21ADDA73" w14:textId="77777777" w:rsidR="00CD6F55" w:rsidRPr="00132C1E" w:rsidRDefault="00CD6F55" w:rsidP="00CD6F55">
      <w:pPr>
        <w:pStyle w:val="Heading4"/>
      </w:pPr>
      <w:bookmarkStart w:id="1024" w:name="_Toc108342260"/>
      <w:r w:rsidRPr="001C764C">
        <w:t>Verification</w:t>
      </w:r>
      <w:r w:rsidRPr="00132C1E">
        <w:t xml:space="preserve"> of interacting infills at SD limit state</w:t>
      </w:r>
      <w:bookmarkEnd w:id="1024"/>
    </w:p>
    <w:p w14:paraId="25A23FE7" w14:textId="77777777" w:rsidR="00CD6F55" w:rsidRPr="00132C1E" w:rsidRDefault="00CD6F55" w:rsidP="0080187E">
      <w:pPr>
        <w:pStyle w:val="Clause"/>
        <w:numPr>
          <w:ilvl w:val="0"/>
          <w:numId w:val="80"/>
        </w:numPr>
      </w:pPr>
      <w:r w:rsidRPr="00132C1E">
        <w:t>Interacting infills may be designed to resist to the maximum in-plane and to the maximum out-of-plane action effects taken separately.</w:t>
      </w:r>
    </w:p>
    <w:p w14:paraId="5C7A3764" w14:textId="28CA8D4F" w:rsidR="00CD6F55" w:rsidRPr="00132C1E" w:rsidRDefault="00CD6F55" w:rsidP="0080187E">
      <w:pPr>
        <w:pStyle w:val="Clause"/>
        <w:numPr>
          <w:ilvl w:val="0"/>
          <w:numId w:val="80"/>
        </w:numPr>
      </w:pPr>
      <w:r w:rsidRPr="00132C1E">
        <w:t xml:space="preserve">The </w:t>
      </w:r>
      <w:r w:rsidRPr="00AA699C">
        <w:t>in-plane drift demand should be smaller than the in-plane drift capacity as given in Table 7.</w:t>
      </w:r>
      <w:r w:rsidR="00C16E02">
        <w:t>1</w:t>
      </w:r>
      <w:r w:rsidRPr="00CD6F55">
        <w:t>.</w:t>
      </w:r>
    </w:p>
    <w:p w14:paraId="57ABD330" w14:textId="77777777" w:rsidR="00CD6F55" w:rsidRPr="00CD6F55" w:rsidRDefault="00CD6F55" w:rsidP="0080187E">
      <w:pPr>
        <w:pStyle w:val="Clause"/>
        <w:numPr>
          <w:ilvl w:val="0"/>
          <w:numId w:val="80"/>
        </w:numPr>
        <w:rPr>
          <w:color w:val="auto"/>
        </w:rPr>
      </w:pPr>
      <w:r w:rsidRPr="00CD6F55">
        <w:rPr>
          <w:color w:val="auto"/>
        </w:rPr>
        <w:t xml:space="preserve">The resistance of infill panels should not be smaller than the corresponding action effects </w:t>
      </w:r>
      <w:r w:rsidRPr="00862BDF">
        <w:rPr>
          <w:color w:val="auto"/>
        </w:rPr>
        <w:t>calculated with 7.4.2.3 or 7.4.2.4</w:t>
      </w:r>
      <w:r w:rsidRPr="00096DC0">
        <w:rPr>
          <w:color w:val="auto"/>
        </w:rPr>
        <w:t>.</w:t>
      </w:r>
    </w:p>
    <w:p w14:paraId="75D1CCCC" w14:textId="77777777" w:rsidR="00CD6F55" w:rsidRPr="00CD6F55" w:rsidRDefault="00CD6F55" w:rsidP="0080187E">
      <w:pPr>
        <w:pStyle w:val="Clause"/>
        <w:numPr>
          <w:ilvl w:val="0"/>
          <w:numId w:val="80"/>
        </w:numPr>
        <w:rPr>
          <w:color w:val="auto"/>
        </w:rPr>
      </w:pPr>
      <w:r w:rsidRPr="00CD6F55">
        <w:rPr>
          <w:color w:val="auto"/>
        </w:rPr>
        <w:t xml:space="preserve">The in-plane design resistance in shear </w:t>
      </w:r>
      <w:r w:rsidRPr="00CD6F55">
        <w:rPr>
          <w:i/>
          <w:color w:val="auto"/>
        </w:rPr>
        <w:t>V</w:t>
      </w:r>
      <w:r w:rsidRPr="00CD6F55">
        <w:rPr>
          <w:iCs/>
          <w:color w:val="auto"/>
          <w:vertAlign w:val="subscript"/>
        </w:rPr>
        <w:t>ap,Rd</w:t>
      </w:r>
      <w:r w:rsidRPr="00CD6F55">
        <w:rPr>
          <w:iCs/>
          <w:color w:val="auto"/>
        </w:rPr>
        <w:t xml:space="preserve"> </w:t>
      </w:r>
      <w:r w:rsidRPr="00CD6F55">
        <w:rPr>
          <w:color w:val="auto"/>
        </w:rPr>
        <w:t>of an infill panel without openings may be taken from Formula (7.12).</w:t>
      </w:r>
    </w:p>
    <w:p w14:paraId="72420186" w14:textId="011BA59E" w:rsidR="0059438B" w:rsidRPr="00870D59" w:rsidRDefault="009B5CEC" w:rsidP="0059438B">
      <w:pPr>
        <w:pStyle w:val="Formula"/>
      </w:pPr>
      <m:oMath>
        <m:sSub>
          <m:sSubPr>
            <m:ctrlPr>
              <w:rPr>
                <w:rFonts w:ascii="Cambria Math" w:hAnsi="Cambria Math"/>
                <w:vertAlign w:val="subscript"/>
              </w:rPr>
            </m:ctrlPr>
          </m:sSubPr>
          <m:e>
            <m:r>
              <w:rPr>
                <w:rFonts w:ascii="Cambria Math" w:hAnsi="Cambria Math"/>
              </w:rPr>
              <m:t>V</m:t>
            </m:r>
          </m:e>
          <m:sub>
            <m:r>
              <m:rPr>
                <m:sty m:val="p"/>
              </m:rPr>
              <w:rPr>
                <w:rFonts w:ascii="Cambria Math" w:hAnsi="Cambria Math"/>
                <w:vertAlign w:val="subscript"/>
              </w:rPr>
              <m:t>ap,Rd</m:t>
            </m:r>
          </m:sub>
        </m:sSub>
        <m:r>
          <m:rPr>
            <m:sty m:val="p"/>
          </m:rPr>
          <w:rPr>
            <w:rFonts w:ascii="Cambria Math" w:hAnsi="Cambria Math"/>
          </w:rPr>
          <m:t xml:space="preserve"> = </m:t>
        </m:r>
        <m:sSub>
          <m:sSubPr>
            <m:ctrlPr>
              <w:rPr>
                <w:rFonts w:ascii="Cambria Math" w:hAnsi="Cambria Math"/>
                <w:vertAlign w:val="subscript"/>
              </w:rPr>
            </m:ctrlPr>
          </m:sSubPr>
          <m:e>
            <m:r>
              <w:rPr>
                <w:rFonts w:ascii="Cambria Math" w:hAnsi="Cambria Math"/>
              </w:rPr>
              <m:t>F</m:t>
            </m:r>
          </m:e>
          <m:sub>
            <m:r>
              <m:rPr>
                <m:sty m:val="p"/>
              </m:rPr>
              <w:rPr>
                <w:rFonts w:ascii="Cambria Math" w:hAnsi="Cambria Math"/>
                <w:vertAlign w:val="subscript"/>
              </w:rPr>
              <m:t>ap</m:t>
            </m:r>
          </m:sub>
        </m:sSub>
        <m:r>
          <m:rPr>
            <m:sty m:val="p"/>
          </m:rPr>
          <w:rPr>
            <w:rFonts w:ascii="Cambria Math" w:hAnsi="Cambria Math"/>
          </w:rPr>
          <m:t>/(</m:t>
        </m:r>
        <m:sSub>
          <m:sSubPr>
            <m:ctrlPr>
              <w:rPr>
                <w:rFonts w:ascii="Cambria Math" w:hAnsi="Cambria Math"/>
                <w:vertAlign w:val="subscript"/>
              </w:rPr>
            </m:ctrlPr>
          </m:sSubPr>
          <m:e>
            <m:r>
              <w:rPr>
                <w:rFonts w:ascii="Cambria Math" w:hAnsi="Cambria Math"/>
              </w:rPr>
              <m:t>h</m:t>
            </m:r>
          </m:e>
          <m:sub>
            <m:r>
              <m:rPr>
                <m:sty m:val="p"/>
              </m:rPr>
              <w:rPr>
                <w:rFonts w:ascii="Cambria Math" w:hAnsi="Cambria Math"/>
                <w:vertAlign w:val="subscript"/>
              </w:rPr>
              <m:t>ap</m:t>
            </m:r>
          </m:sub>
        </m:sSub>
        <m:r>
          <w:rPr>
            <w:rFonts w:ascii="Cambria Math" w:hAnsi="Cambria Math"/>
          </w:rPr>
          <m:t>∙</m:t>
        </m:r>
        <m:r>
          <m:rPr>
            <m:sty m:val="p"/>
          </m:rPr>
          <w:rPr>
            <w:rFonts w:ascii="Cambria Math" w:hAnsi="Cambria Math"/>
          </w:rPr>
          <m:t xml:space="preserve"> </m:t>
        </m:r>
        <m:sSub>
          <m:sSubPr>
            <m:ctrlPr>
              <w:rPr>
                <w:rFonts w:ascii="Cambria Math" w:hAnsi="Cambria Math"/>
                <w:vertAlign w:val="subscript"/>
              </w:rPr>
            </m:ctrlPr>
          </m:sSubPr>
          <m:e>
            <m:r>
              <w:rPr>
                <w:rFonts w:ascii="Cambria Math" w:hAnsi="Cambria Math"/>
              </w:rPr>
              <m:t>l</m:t>
            </m:r>
          </m:e>
          <m:sub>
            <m:r>
              <m:rPr>
                <m:sty m:val="p"/>
              </m:rPr>
              <w:rPr>
                <w:rFonts w:ascii="Cambria Math" w:hAnsi="Cambria Math"/>
                <w:vertAlign w:val="subscript"/>
              </w:rPr>
              <m:t>ap</m:t>
            </m:r>
          </m:sub>
        </m:sSub>
        <m:r>
          <m:rPr>
            <m:sty m:val="p"/>
          </m:rPr>
          <w:rPr>
            <w:rFonts w:ascii="Cambria Math" w:hAnsi="Cambria Math"/>
          </w:rPr>
          <m:t>)</m:t>
        </m:r>
        <m:r>
          <w:rPr>
            <w:rFonts w:ascii="Cambria Math"/>
          </w:rPr>
          <m:t xml:space="preserve"> </m:t>
        </m:r>
      </m:oMath>
      <w:r w:rsidR="0059438B" w:rsidRPr="00870D59">
        <w:tab/>
        <w:t>(7.</w:t>
      </w:r>
      <w:r w:rsidR="0059438B">
        <w:t>12</w:t>
      </w:r>
      <w:r w:rsidR="0059438B" w:rsidRPr="00870D59">
        <w:t>)</w:t>
      </w:r>
    </w:p>
    <w:p w14:paraId="69416597" w14:textId="2D810A7F" w:rsidR="0059438B" w:rsidRDefault="0059438B" w:rsidP="00096DC0">
      <w:pPr>
        <w:pStyle w:val="Text"/>
      </w:pPr>
      <w:r>
        <w:t>where</w:t>
      </w:r>
    </w:p>
    <w:tbl>
      <w:tblPr>
        <w:tblW w:w="0" w:type="auto"/>
        <w:tblInd w:w="284" w:type="dxa"/>
        <w:tblLook w:val="04A0" w:firstRow="1" w:lastRow="0" w:firstColumn="1" w:lastColumn="0" w:noHBand="0" w:noVBand="1"/>
      </w:tblPr>
      <w:tblGrid>
        <w:gridCol w:w="1337"/>
        <w:gridCol w:w="7938"/>
      </w:tblGrid>
      <w:tr w:rsidR="0059438B" w:rsidRPr="00870D59" w14:paraId="4C160DA7" w14:textId="77777777" w:rsidTr="00402990">
        <w:tc>
          <w:tcPr>
            <w:tcW w:w="1337" w:type="dxa"/>
            <w:shd w:val="clear" w:color="auto" w:fill="auto"/>
          </w:tcPr>
          <w:p w14:paraId="0CE35210" w14:textId="77777777" w:rsidR="0059438B" w:rsidRPr="00523AC3" w:rsidRDefault="0059438B" w:rsidP="002061E5">
            <w:pPr>
              <w:pStyle w:val="Tablebody"/>
              <w:rPr>
                <w:i/>
                <w:iCs/>
              </w:rPr>
            </w:pPr>
            <w:r w:rsidRPr="00132C1E">
              <w:rPr>
                <w:i/>
              </w:rPr>
              <w:t>F</w:t>
            </w:r>
            <w:r w:rsidRPr="00132C1E">
              <w:rPr>
                <w:iCs/>
                <w:vertAlign w:val="subscript"/>
              </w:rPr>
              <w:t>a</w:t>
            </w:r>
            <w:r>
              <w:rPr>
                <w:iCs/>
                <w:vertAlign w:val="subscript"/>
              </w:rPr>
              <w:t>p</w:t>
            </w:r>
          </w:p>
        </w:tc>
        <w:tc>
          <w:tcPr>
            <w:tcW w:w="7938" w:type="dxa"/>
          </w:tcPr>
          <w:p w14:paraId="07CFDB20" w14:textId="77777777" w:rsidR="0059438B" w:rsidRPr="00870D59" w:rsidRDefault="0059438B" w:rsidP="002061E5">
            <w:pPr>
              <w:pStyle w:val="Tablebody"/>
            </w:pPr>
            <w:r w:rsidRPr="00132C1E">
              <w:t xml:space="preserve">is the </w:t>
            </w:r>
            <w:r w:rsidRPr="00096DC0">
              <w:t>horizontal seismic force applied at the centre of the infill wall calculated as in 7.2.1(3);</w:t>
            </w:r>
          </w:p>
        </w:tc>
      </w:tr>
      <w:tr w:rsidR="0059438B" w:rsidRPr="00870D59" w14:paraId="5143F0E4" w14:textId="77777777" w:rsidTr="00402990">
        <w:tc>
          <w:tcPr>
            <w:tcW w:w="1337" w:type="dxa"/>
            <w:shd w:val="clear" w:color="auto" w:fill="auto"/>
          </w:tcPr>
          <w:p w14:paraId="05168DE6" w14:textId="77777777" w:rsidR="0059438B" w:rsidRPr="00870D59" w:rsidRDefault="0059438B" w:rsidP="002061E5">
            <w:pPr>
              <w:pStyle w:val="Tablebody"/>
              <w:rPr>
                <w:i/>
              </w:rPr>
            </w:pPr>
            <w:r w:rsidRPr="009C1268">
              <w:rPr>
                <w:i/>
              </w:rPr>
              <w:t>l</w:t>
            </w:r>
            <w:r w:rsidRPr="009C1268">
              <w:rPr>
                <w:iCs/>
                <w:vertAlign w:val="subscript"/>
              </w:rPr>
              <w:t>ap</w:t>
            </w:r>
          </w:p>
        </w:tc>
        <w:tc>
          <w:tcPr>
            <w:tcW w:w="7938" w:type="dxa"/>
          </w:tcPr>
          <w:p w14:paraId="4D4E55F2" w14:textId="77777777" w:rsidR="0059438B" w:rsidRPr="00870D59" w:rsidRDefault="0059438B" w:rsidP="002061E5">
            <w:pPr>
              <w:pStyle w:val="Tablebody"/>
            </w:pPr>
            <w:r w:rsidRPr="009C1268">
              <w:t>is the length of the infill wall;</w:t>
            </w:r>
          </w:p>
        </w:tc>
      </w:tr>
      <w:tr w:rsidR="0059438B" w:rsidRPr="00870D59" w14:paraId="2E7507DC" w14:textId="77777777" w:rsidTr="00402990">
        <w:tc>
          <w:tcPr>
            <w:tcW w:w="1337" w:type="dxa"/>
            <w:shd w:val="clear" w:color="auto" w:fill="auto"/>
          </w:tcPr>
          <w:p w14:paraId="367D3BB6" w14:textId="77777777" w:rsidR="0059438B" w:rsidRPr="00870D59" w:rsidRDefault="0059438B" w:rsidP="002061E5">
            <w:pPr>
              <w:pStyle w:val="Tablebody"/>
              <w:rPr>
                <w:i/>
              </w:rPr>
            </w:pPr>
            <w:r w:rsidRPr="009C1268">
              <w:rPr>
                <w:i/>
              </w:rPr>
              <w:t>h</w:t>
            </w:r>
            <w:r w:rsidRPr="009C1268">
              <w:rPr>
                <w:iCs/>
                <w:vertAlign w:val="subscript"/>
              </w:rPr>
              <w:t>ap</w:t>
            </w:r>
          </w:p>
        </w:tc>
        <w:tc>
          <w:tcPr>
            <w:tcW w:w="7938" w:type="dxa"/>
          </w:tcPr>
          <w:p w14:paraId="7D6889A2" w14:textId="77777777" w:rsidR="0059438B" w:rsidRPr="00870D59" w:rsidRDefault="0059438B" w:rsidP="002061E5">
            <w:pPr>
              <w:pStyle w:val="Tablebody"/>
            </w:pPr>
            <w:r w:rsidRPr="009C1268">
              <w:t>is the height of the infill wall.</w:t>
            </w:r>
          </w:p>
        </w:tc>
      </w:tr>
    </w:tbl>
    <w:p w14:paraId="07949F73" w14:textId="77777777" w:rsidR="007B0576" w:rsidRPr="00132C1E" w:rsidRDefault="007B0576" w:rsidP="0080187E">
      <w:pPr>
        <w:pStyle w:val="Clause"/>
        <w:numPr>
          <w:ilvl w:val="0"/>
          <w:numId w:val="80"/>
        </w:numPr>
      </w:pPr>
      <w:r w:rsidRPr="00132C1E">
        <w:t xml:space="preserve">The in-plane design shear resistance of a masonry infill panel with an opening may be calculated as the product of the design shear resistance </w:t>
      </w:r>
      <w:r w:rsidRPr="00132C1E">
        <w:rPr>
          <w:i/>
        </w:rPr>
        <w:t>V</w:t>
      </w:r>
      <w:r>
        <w:rPr>
          <w:iCs/>
          <w:vertAlign w:val="subscript"/>
        </w:rPr>
        <w:t>ap</w:t>
      </w:r>
      <w:r w:rsidRPr="00132C1E">
        <w:rPr>
          <w:iCs/>
          <w:vertAlign w:val="subscript"/>
        </w:rPr>
        <w:t>,Rd</w:t>
      </w:r>
      <w:r w:rsidRPr="00132C1E">
        <w:t xml:space="preserve"> of an infill panel without opening from Formula (7.</w:t>
      </w:r>
      <w:r w:rsidRPr="00E3113B">
        <w:t>12</w:t>
      </w:r>
      <w:r w:rsidRPr="00132C1E">
        <w:t xml:space="preserve">) and factor </w:t>
      </w:r>
      <w:r w:rsidRPr="00132C1E">
        <w:rPr>
          <w:i/>
        </w:rPr>
        <w:t>ρ</w:t>
      </w:r>
      <w:r w:rsidRPr="00132C1E">
        <w:rPr>
          <w:iCs/>
          <w:vertAlign w:val="subscript"/>
        </w:rPr>
        <w:t>op</w:t>
      </w:r>
      <w:r w:rsidRPr="00132C1E">
        <w:t xml:space="preserve"> from Formula (7.</w:t>
      </w:r>
      <w:r w:rsidRPr="007B0576">
        <w:t>13</w:t>
      </w:r>
      <w:r w:rsidRPr="00132C1E">
        <w:t>).</w:t>
      </w:r>
    </w:p>
    <w:p w14:paraId="777B5D9E" w14:textId="354D0DAF" w:rsidR="00E3113B" w:rsidRPr="00870D59" w:rsidRDefault="009B5CEC" w:rsidP="00E3113B">
      <w:pPr>
        <w:pStyle w:val="Formula"/>
      </w:pPr>
      <m:oMath>
        <m:sSub>
          <m:sSubPr>
            <m:ctrlPr>
              <w:rPr>
                <w:rFonts w:ascii="Cambria Math" w:hAnsi="Cambria Math"/>
                <w:vertAlign w:val="subscript"/>
              </w:rPr>
            </m:ctrlPr>
          </m:sSubPr>
          <m:e>
            <m:r>
              <w:rPr>
                <w:rFonts w:ascii="Cambria Math" w:hAnsi="Cambria Math"/>
              </w:rPr>
              <m:t>ρ</m:t>
            </m:r>
          </m:e>
          <m:sub>
            <m:r>
              <m:rPr>
                <m:sty m:val="p"/>
              </m:rPr>
              <w:rPr>
                <w:rFonts w:ascii="Cambria Math" w:hAnsi="Cambria Math"/>
                <w:vertAlign w:val="subscript"/>
              </w:rPr>
              <m:t>op</m:t>
            </m:r>
          </m:sub>
        </m:sSub>
        <m:r>
          <m:rPr>
            <m:sty m:val="p"/>
          </m:rPr>
          <w:rPr>
            <w:rFonts w:ascii="Cambria Math" w:hAnsi="Cambria Math"/>
          </w:rPr>
          <m:t xml:space="preserve"> =</m:t>
        </m:r>
        <m:r>
          <w:rPr>
            <w:rFonts w:ascii="Cambria Math" w:hAnsi="Cambria Math"/>
            <w:lang w:val="pt-PT"/>
          </w:rPr>
          <m:t>a</m:t>
        </m:r>
        <m:r>
          <w:rPr>
            <w:rFonts w:ascii="Cambria Math" w:hAnsi="Cambria Math"/>
          </w:rPr>
          <m:t xml:space="preserve"> </m:t>
        </m:r>
        <m:r>
          <m:rPr>
            <m:sty m:val="p"/>
          </m:rPr>
          <w:rPr>
            <w:rFonts w:ascii="Cambria Math" w:hAnsi="Cambria Math"/>
          </w:rPr>
          <m:t>exp (</m:t>
        </m:r>
        <m:r>
          <w:rPr>
            <w:rFonts w:ascii="Cambria Math" w:hAnsi="Cambria Math"/>
            <w:lang w:val="pt-PT"/>
          </w:rPr>
          <m:t>b</m:t>
        </m:r>
        <m:r>
          <w:rPr>
            <w:rFonts w:ascii="Cambria Math" w:hAnsi="Cambria Math"/>
          </w:rPr>
          <m:t xml:space="preserve"> </m:t>
        </m:r>
        <m:sSub>
          <m:sSubPr>
            <m:ctrlPr>
              <w:rPr>
                <w:rFonts w:ascii="Cambria Math" w:hAnsi="Cambria Math"/>
                <w:vertAlign w:val="subscript"/>
              </w:rPr>
            </m:ctrlPr>
          </m:sSubPr>
          <m:e>
            <m:r>
              <w:rPr>
                <w:rFonts w:ascii="Cambria Math" w:hAnsi="Cambria Math"/>
              </w:rPr>
              <m:t>α</m:t>
            </m:r>
          </m:e>
          <m:sub>
            <m:r>
              <m:rPr>
                <m:sty m:val="p"/>
              </m:rPr>
              <w:rPr>
                <w:rFonts w:ascii="Cambria Math" w:hAnsi="Cambria Math"/>
                <w:vertAlign w:val="subscript"/>
              </w:rPr>
              <m:t>a</m:t>
            </m:r>
          </m:sub>
        </m:sSub>
        <m:r>
          <m:rPr>
            <m:sty m:val="p"/>
          </m:rPr>
          <w:rPr>
            <w:rFonts w:ascii="Cambria Math" w:hAnsi="Cambria Math"/>
          </w:rPr>
          <m:t>) +</m:t>
        </m:r>
        <m:r>
          <w:rPr>
            <w:rFonts w:ascii="Cambria Math" w:hAnsi="Cambria Math"/>
          </w:rPr>
          <m:t xml:space="preserve"> </m:t>
        </m:r>
        <m:r>
          <w:rPr>
            <w:rFonts w:ascii="Cambria Math" w:hAnsi="Cambria Math"/>
            <w:lang w:val="pt-PT"/>
          </w:rPr>
          <m:t>c</m:t>
        </m:r>
        <m:r>
          <m:rPr>
            <m:sty m:val="p"/>
          </m:rPr>
          <w:rPr>
            <w:rFonts w:ascii="Cambria Math" w:hAnsi="Cambria Math"/>
          </w:rPr>
          <m:t xml:space="preserve"> exp</m:t>
        </m:r>
        <m:d>
          <m:dPr>
            <m:ctrlPr>
              <w:rPr>
                <w:rFonts w:ascii="Cambria Math" w:hAnsi="Cambria Math"/>
              </w:rPr>
            </m:ctrlPr>
          </m:dPr>
          <m:e>
            <m:r>
              <w:rPr>
                <w:rFonts w:ascii="Cambria Math" w:hAnsi="Cambria Math"/>
                <w:lang w:val="pt-PT"/>
              </w:rPr>
              <m:t>d</m:t>
            </m:r>
            <m:r>
              <w:rPr>
                <w:rFonts w:ascii="Cambria Math" w:hAnsi="Cambria Math"/>
              </w:rPr>
              <m:t xml:space="preserve"> </m:t>
            </m:r>
            <m:sSub>
              <m:sSubPr>
                <m:ctrlPr>
                  <w:rPr>
                    <w:rFonts w:ascii="Cambria Math" w:hAnsi="Cambria Math"/>
                    <w:vertAlign w:val="subscript"/>
                  </w:rPr>
                </m:ctrlPr>
              </m:sSubPr>
              <m:e>
                <m:r>
                  <w:rPr>
                    <w:rFonts w:ascii="Cambria Math" w:hAnsi="Cambria Math"/>
                  </w:rPr>
                  <m:t>α</m:t>
                </m:r>
              </m:e>
              <m:sub>
                <m:r>
                  <m:rPr>
                    <m:sty m:val="p"/>
                  </m:rPr>
                  <w:rPr>
                    <w:rFonts w:ascii="Cambria Math" w:hAnsi="Cambria Math"/>
                    <w:vertAlign w:val="subscript"/>
                  </w:rPr>
                  <m:t>l</m:t>
                </m:r>
              </m:sub>
            </m:sSub>
          </m:e>
        </m:d>
        <m:r>
          <m:rPr>
            <m:sty m:val="p"/>
          </m:rPr>
          <w:rPr>
            <w:rFonts w:ascii="Cambria Math" w:hAnsi="Cambria Math"/>
          </w:rPr>
          <m:t xml:space="preserve"> </m:t>
        </m:r>
        <m:r>
          <w:rPr>
            <w:rFonts w:ascii="Cambria Math"/>
          </w:rPr>
          <m:t xml:space="preserve"> </m:t>
        </m:r>
      </m:oMath>
      <w:r w:rsidR="00E3113B" w:rsidRPr="00870D59">
        <w:tab/>
        <w:t>(7.</w:t>
      </w:r>
      <w:r w:rsidR="00E3113B">
        <w:t>1</w:t>
      </w:r>
      <w:r w:rsidR="00C2354A">
        <w:t>3</w:t>
      </w:r>
      <w:r w:rsidR="00E3113B" w:rsidRPr="00870D59">
        <w:t>)</w:t>
      </w:r>
    </w:p>
    <w:p w14:paraId="52C37759" w14:textId="4A7C725E" w:rsidR="00E3113B" w:rsidRDefault="00E3113B" w:rsidP="00096DC0">
      <w:pPr>
        <w:pStyle w:val="Text"/>
      </w:pPr>
      <w:r>
        <w:t>where</w:t>
      </w:r>
    </w:p>
    <w:tbl>
      <w:tblPr>
        <w:tblW w:w="0" w:type="auto"/>
        <w:tblInd w:w="534" w:type="dxa"/>
        <w:tblLook w:val="04A0" w:firstRow="1" w:lastRow="0" w:firstColumn="1" w:lastColumn="0" w:noHBand="0" w:noVBand="1"/>
      </w:tblPr>
      <w:tblGrid>
        <w:gridCol w:w="1275"/>
        <w:gridCol w:w="7938"/>
      </w:tblGrid>
      <w:tr w:rsidR="00E3113B" w:rsidRPr="00870D59" w14:paraId="30D66887" w14:textId="77777777" w:rsidTr="002061E5">
        <w:tc>
          <w:tcPr>
            <w:tcW w:w="1275" w:type="dxa"/>
            <w:shd w:val="clear" w:color="auto" w:fill="auto"/>
          </w:tcPr>
          <w:p w14:paraId="2FC68266" w14:textId="4BC1CF46" w:rsidR="00E3113B" w:rsidRPr="00523AC3" w:rsidRDefault="00C2354A" w:rsidP="002061E5">
            <w:pPr>
              <w:pStyle w:val="Tablebody"/>
              <w:rPr>
                <w:i/>
                <w:iCs/>
              </w:rPr>
            </w:pPr>
            <w:r w:rsidRPr="00132C1E">
              <w:rPr>
                <w:i/>
              </w:rPr>
              <w:t>α</w:t>
            </w:r>
            <w:r w:rsidRPr="00132C1E">
              <w:rPr>
                <w:iCs/>
                <w:vertAlign w:val="subscript"/>
              </w:rPr>
              <w:t>a</w:t>
            </w:r>
            <w:r w:rsidRPr="00132C1E">
              <w:t xml:space="preserve"> = </w:t>
            </w:r>
            <w:r w:rsidRPr="00132C1E">
              <w:rPr>
                <w:i/>
              </w:rPr>
              <w:t>l</w:t>
            </w:r>
            <w:r w:rsidRPr="00132C1E">
              <w:rPr>
                <w:iCs/>
                <w:vertAlign w:val="subscript"/>
              </w:rPr>
              <w:t>op</w:t>
            </w:r>
            <w:r w:rsidRPr="00132C1E">
              <w:rPr>
                <w:i/>
              </w:rPr>
              <w:t>h</w:t>
            </w:r>
            <w:r w:rsidRPr="00132C1E">
              <w:rPr>
                <w:iCs/>
                <w:vertAlign w:val="subscript"/>
              </w:rPr>
              <w:t>op</w:t>
            </w:r>
            <w:r w:rsidRPr="00132C1E">
              <w:t xml:space="preserve"> / </w:t>
            </w:r>
            <w:r w:rsidRPr="00132C1E">
              <w:rPr>
                <w:i/>
              </w:rPr>
              <w:t>l</w:t>
            </w:r>
            <w:r>
              <w:rPr>
                <w:iCs/>
                <w:vertAlign w:val="subscript"/>
              </w:rPr>
              <w:t>ap</w:t>
            </w:r>
            <w:r w:rsidRPr="00132C1E">
              <w:rPr>
                <w:i/>
              </w:rPr>
              <w:t xml:space="preserve"> h</w:t>
            </w:r>
            <w:r>
              <w:rPr>
                <w:iCs/>
                <w:vertAlign w:val="subscript"/>
              </w:rPr>
              <w:t>ap</w:t>
            </w:r>
          </w:p>
        </w:tc>
        <w:tc>
          <w:tcPr>
            <w:tcW w:w="7938" w:type="dxa"/>
          </w:tcPr>
          <w:p w14:paraId="6D856090" w14:textId="54F3B798" w:rsidR="00E3113B" w:rsidRPr="00870D59" w:rsidRDefault="00C2354A" w:rsidP="002061E5">
            <w:pPr>
              <w:pStyle w:val="Tablebody"/>
            </w:pPr>
            <w:r w:rsidRPr="00132C1E">
              <w:t>is the ratio of the opening's area to that of the infill panel;</w:t>
            </w:r>
          </w:p>
        </w:tc>
      </w:tr>
      <w:tr w:rsidR="00E3113B" w:rsidRPr="00870D59" w14:paraId="6CC4EBA0" w14:textId="77777777" w:rsidTr="002061E5">
        <w:tc>
          <w:tcPr>
            <w:tcW w:w="1275" w:type="dxa"/>
            <w:shd w:val="clear" w:color="auto" w:fill="auto"/>
          </w:tcPr>
          <w:p w14:paraId="2C74D265" w14:textId="4A0052B4" w:rsidR="00E3113B" w:rsidRPr="00870D59" w:rsidRDefault="00C2354A" w:rsidP="002061E5">
            <w:pPr>
              <w:pStyle w:val="Tablebody"/>
              <w:rPr>
                <w:i/>
              </w:rPr>
            </w:pPr>
            <w:r w:rsidRPr="00132C1E">
              <w:rPr>
                <w:i/>
              </w:rPr>
              <w:t>α</w:t>
            </w:r>
            <w:r w:rsidRPr="00132C1E">
              <w:rPr>
                <w:iCs/>
                <w:vertAlign w:val="subscript"/>
              </w:rPr>
              <w:t>l</w:t>
            </w:r>
            <w:r w:rsidRPr="00132C1E">
              <w:t xml:space="preserve"> = </w:t>
            </w:r>
            <w:r w:rsidRPr="00132C1E">
              <w:rPr>
                <w:i/>
              </w:rPr>
              <w:t>l</w:t>
            </w:r>
            <w:r w:rsidRPr="00132C1E">
              <w:rPr>
                <w:iCs/>
                <w:vertAlign w:val="subscript"/>
              </w:rPr>
              <w:t>op</w:t>
            </w:r>
            <w:r w:rsidRPr="00132C1E">
              <w:t xml:space="preserve"> / </w:t>
            </w:r>
            <w:r w:rsidRPr="00132C1E">
              <w:rPr>
                <w:i/>
              </w:rPr>
              <w:t>l</w:t>
            </w:r>
            <w:r>
              <w:rPr>
                <w:iCs/>
                <w:vertAlign w:val="subscript"/>
              </w:rPr>
              <w:t>ap</w:t>
            </w:r>
          </w:p>
        </w:tc>
        <w:tc>
          <w:tcPr>
            <w:tcW w:w="7938" w:type="dxa"/>
          </w:tcPr>
          <w:p w14:paraId="18B82DE2" w14:textId="6421D863" w:rsidR="00E3113B" w:rsidRPr="00870D59" w:rsidRDefault="00C2354A" w:rsidP="002061E5">
            <w:pPr>
              <w:pStyle w:val="Tablebody"/>
            </w:pPr>
            <w:r w:rsidRPr="00132C1E">
              <w:t>is the ratio of the length of the opening to the infill panel length;</w:t>
            </w:r>
          </w:p>
        </w:tc>
      </w:tr>
      <w:tr w:rsidR="00E3113B" w:rsidRPr="00870D59" w14:paraId="4371D354" w14:textId="77777777" w:rsidTr="002061E5">
        <w:tc>
          <w:tcPr>
            <w:tcW w:w="1275" w:type="dxa"/>
            <w:shd w:val="clear" w:color="auto" w:fill="auto"/>
          </w:tcPr>
          <w:p w14:paraId="59903FA0" w14:textId="77777777" w:rsidR="00E3113B" w:rsidRPr="00870D59" w:rsidRDefault="00E3113B" w:rsidP="002061E5">
            <w:pPr>
              <w:pStyle w:val="Tablebody"/>
              <w:rPr>
                <w:i/>
              </w:rPr>
            </w:pPr>
            <w:r w:rsidRPr="009C1268">
              <w:rPr>
                <w:i/>
              </w:rPr>
              <w:t>h</w:t>
            </w:r>
            <w:r w:rsidRPr="009C1268">
              <w:rPr>
                <w:iCs/>
                <w:vertAlign w:val="subscript"/>
              </w:rPr>
              <w:t>ap</w:t>
            </w:r>
          </w:p>
        </w:tc>
        <w:tc>
          <w:tcPr>
            <w:tcW w:w="7938" w:type="dxa"/>
          </w:tcPr>
          <w:p w14:paraId="0DE5C98D" w14:textId="4F3EB39B" w:rsidR="00E3113B" w:rsidRPr="00870D59" w:rsidRDefault="00C2354A" w:rsidP="002061E5">
            <w:pPr>
              <w:pStyle w:val="Tablebody"/>
            </w:pPr>
            <w:r w:rsidRPr="00132C1E">
              <w:t>is the infill panel height;</w:t>
            </w:r>
          </w:p>
        </w:tc>
      </w:tr>
      <w:tr w:rsidR="00C2354A" w:rsidRPr="00870D59" w14:paraId="50678439" w14:textId="77777777" w:rsidTr="002061E5">
        <w:tc>
          <w:tcPr>
            <w:tcW w:w="1275" w:type="dxa"/>
            <w:shd w:val="clear" w:color="auto" w:fill="auto"/>
          </w:tcPr>
          <w:p w14:paraId="36226390" w14:textId="391ADFD1" w:rsidR="00C2354A" w:rsidRPr="009C1268" w:rsidRDefault="00C2354A" w:rsidP="002061E5">
            <w:pPr>
              <w:pStyle w:val="Tablebody"/>
              <w:rPr>
                <w:i/>
              </w:rPr>
            </w:pPr>
            <w:r w:rsidRPr="00132C1E">
              <w:rPr>
                <w:i/>
              </w:rPr>
              <w:t>l</w:t>
            </w:r>
            <w:r w:rsidRPr="00132C1E">
              <w:rPr>
                <w:iCs/>
                <w:vertAlign w:val="subscript"/>
              </w:rPr>
              <w:t>op</w:t>
            </w:r>
          </w:p>
        </w:tc>
        <w:tc>
          <w:tcPr>
            <w:tcW w:w="7938" w:type="dxa"/>
          </w:tcPr>
          <w:p w14:paraId="60524D2C" w14:textId="7E5F3AD7" w:rsidR="00C2354A" w:rsidRPr="009C1268" w:rsidRDefault="00C2354A" w:rsidP="002061E5">
            <w:pPr>
              <w:pStyle w:val="Tablebody"/>
            </w:pPr>
            <w:r w:rsidRPr="00132C1E">
              <w:t>is the length of the opening;</w:t>
            </w:r>
          </w:p>
        </w:tc>
      </w:tr>
      <w:tr w:rsidR="00C2354A" w:rsidRPr="00870D59" w14:paraId="4D6167A1" w14:textId="77777777" w:rsidTr="002061E5">
        <w:tc>
          <w:tcPr>
            <w:tcW w:w="1275" w:type="dxa"/>
            <w:shd w:val="clear" w:color="auto" w:fill="auto"/>
          </w:tcPr>
          <w:p w14:paraId="019E5E77" w14:textId="4C295ECF" w:rsidR="00C2354A" w:rsidRPr="009C1268" w:rsidRDefault="00C2354A" w:rsidP="002061E5">
            <w:pPr>
              <w:pStyle w:val="Tablebody"/>
              <w:rPr>
                <w:i/>
              </w:rPr>
            </w:pPr>
            <w:r w:rsidRPr="00132C1E">
              <w:rPr>
                <w:i/>
              </w:rPr>
              <w:t>h</w:t>
            </w:r>
            <w:r w:rsidRPr="00132C1E">
              <w:rPr>
                <w:iCs/>
                <w:vertAlign w:val="subscript"/>
              </w:rPr>
              <w:t>op</w:t>
            </w:r>
          </w:p>
        </w:tc>
        <w:tc>
          <w:tcPr>
            <w:tcW w:w="7938" w:type="dxa"/>
          </w:tcPr>
          <w:p w14:paraId="339A9C0D" w14:textId="3A90D908" w:rsidR="00C2354A" w:rsidRPr="009C1268" w:rsidRDefault="00C2354A" w:rsidP="002061E5">
            <w:pPr>
              <w:pStyle w:val="Tablebody"/>
            </w:pPr>
            <w:r w:rsidRPr="00132C1E">
              <w:t>is the height of the opening;</w:t>
            </w:r>
          </w:p>
        </w:tc>
      </w:tr>
      <w:tr w:rsidR="00C2354A" w:rsidRPr="00870D59" w14:paraId="64891C5F" w14:textId="77777777" w:rsidTr="002061E5">
        <w:tc>
          <w:tcPr>
            <w:tcW w:w="1275" w:type="dxa"/>
            <w:shd w:val="clear" w:color="auto" w:fill="auto"/>
          </w:tcPr>
          <w:p w14:paraId="53CD56DE" w14:textId="20E85C89" w:rsidR="00C2354A" w:rsidRPr="009C1268" w:rsidRDefault="00C2354A" w:rsidP="002061E5">
            <w:pPr>
              <w:pStyle w:val="Tablebody"/>
              <w:rPr>
                <w:i/>
              </w:rPr>
            </w:pPr>
            <w:r w:rsidRPr="00132C1E">
              <w:rPr>
                <w:i/>
              </w:rPr>
              <w:t>a, b, c</w:t>
            </w:r>
            <w:r w:rsidRPr="00132C1E">
              <w:t xml:space="preserve"> and </w:t>
            </w:r>
            <w:r w:rsidRPr="00132C1E">
              <w:rPr>
                <w:i/>
              </w:rPr>
              <w:t>d</w:t>
            </w:r>
          </w:p>
        </w:tc>
        <w:tc>
          <w:tcPr>
            <w:tcW w:w="7938" w:type="dxa"/>
          </w:tcPr>
          <w:p w14:paraId="078A6D20" w14:textId="717B46E1" w:rsidR="00C2354A" w:rsidRPr="009C1268" w:rsidRDefault="00C2354A" w:rsidP="002061E5">
            <w:pPr>
              <w:pStyle w:val="Tablebody"/>
            </w:pPr>
            <w:r w:rsidRPr="00132C1E">
              <w:t>are coefficient</w:t>
            </w:r>
            <w:r w:rsidR="00096DC0">
              <w:t>s</w:t>
            </w:r>
            <w:r w:rsidRPr="00132C1E">
              <w:t xml:space="preserve"> which should be taken from Table 7.</w:t>
            </w:r>
            <w:r w:rsidR="00096DC0">
              <w:t>2</w:t>
            </w:r>
            <w:r w:rsidRPr="00132C1E">
              <w:t xml:space="preserve"> for unreinforced, partially reinforced and reinforced openings (see Figure 7.1).</w:t>
            </w:r>
          </w:p>
        </w:tc>
      </w:tr>
    </w:tbl>
    <w:p w14:paraId="3C57446F" w14:textId="3FC8ABF0" w:rsidR="00C2354A" w:rsidRPr="00D1484A" w:rsidRDefault="00C2354A" w:rsidP="008618F2">
      <w:pPr>
        <w:pStyle w:val="Tabletitle"/>
        <w:keepLines/>
      </w:pPr>
      <w:r w:rsidRPr="00132C1E">
        <w:lastRenderedPageBreak/>
        <w:t xml:space="preserve">Table </w:t>
      </w:r>
      <w:r>
        <w:t>7</w:t>
      </w:r>
      <w:r w:rsidRPr="00132C1E">
        <w:t>.</w:t>
      </w:r>
      <w:r w:rsidR="00096DC0">
        <w:t>2</w:t>
      </w:r>
      <w:r w:rsidRPr="00132C1E">
        <w:t> </w:t>
      </w:r>
      <w:r w:rsidRPr="00D1484A">
        <w:rPr>
          <w:rFonts w:ascii="`ÃÍœ˛" w:eastAsia="Cambria" w:hAnsi="`ÃÍœ˛" w:cs="`ÃÍœ˛"/>
          <w:lang w:eastAsia="de-DE"/>
        </w:rPr>
        <w:t>—</w:t>
      </w:r>
      <w:r w:rsidRPr="00D1484A">
        <w:t xml:space="preserve"> Coefficients </w:t>
      </w:r>
      <w:r w:rsidRPr="00D1484A">
        <w:rPr>
          <w:i/>
          <w:iCs/>
        </w:rPr>
        <w:t>a, b, c</w:t>
      </w:r>
      <w:r w:rsidRPr="00D1484A">
        <w:t xml:space="preserve"> and </w:t>
      </w:r>
      <w:r w:rsidRPr="00D1484A">
        <w:rPr>
          <w:i/>
          <w:iCs/>
        </w:rPr>
        <w:t xml:space="preserve">d </w:t>
      </w:r>
      <w:r w:rsidRPr="00D1484A">
        <w:t>for the calculation of the shear resistance of panels with openings</w:t>
      </w:r>
    </w:p>
    <w:tbl>
      <w:tblPr>
        <w:tblStyle w:val="TableGrid"/>
        <w:tblW w:w="0" w:type="auto"/>
        <w:jc w:val="center"/>
        <w:tblLook w:val="04A0" w:firstRow="1" w:lastRow="0" w:firstColumn="1" w:lastColumn="0" w:noHBand="0" w:noVBand="1"/>
      </w:tblPr>
      <w:tblGrid>
        <w:gridCol w:w="2122"/>
        <w:gridCol w:w="1275"/>
        <w:gridCol w:w="1276"/>
        <w:gridCol w:w="1559"/>
        <w:gridCol w:w="1560"/>
      </w:tblGrid>
      <w:tr w:rsidR="00C2354A" w:rsidRPr="00C2354A" w14:paraId="2F938112" w14:textId="77777777" w:rsidTr="002061E5">
        <w:trPr>
          <w:jc w:val="center"/>
        </w:trPr>
        <w:tc>
          <w:tcPr>
            <w:tcW w:w="2122" w:type="dxa"/>
          </w:tcPr>
          <w:p w14:paraId="7AE92D9D" w14:textId="77777777" w:rsidR="00C2354A" w:rsidRPr="00C2354A" w:rsidRDefault="00C2354A" w:rsidP="008618F2">
            <w:pPr>
              <w:keepNext/>
              <w:keepLines/>
              <w:autoSpaceDE w:val="0"/>
              <w:autoSpaceDN w:val="0"/>
              <w:adjustRightInd w:val="0"/>
              <w:spacing w:after="60"/>
            </w:pPr>
            <w:r w:rsidRPr="00C2354A">
              <w:t>Type of opening</w:t>
            </w:r>
          </w:p>
        </w:tc>
        <w:tc>
          <w:tcPr>
            <w:tcW w:w="1275" w:type="dxa"/>
          </w:tcPr>
          <w:p w14:paraId="5E87D153" w14:textId="77777777" w:rsidR="00C2354A" w:rsidRPr="00C2354A" w:rsidRDefault="00C2354A" w:rsidP="008618F2">
            <w:pPr>
              <w:keepNext/>
              <w:keepLines/>
              <w:autoSpaceDE w:val="0"/>
              <w:autoSpaceDN w:val="0"/>
              <w:adjustRightInd w:val="0"/>
              <w:spacing w:after="60"/>
              <w:jc w:val="center"/>
              <w:rPr>
                <w:i/>
              </w:rPr>
            </w:pPr>
            <w:r w:rsidRPr="00C2354A">
              <w:rPr>
                <w:i/>
              </w:rPr>
              <w:t>a</w:t>
            </w:r>
          </w:p>
        </w:tc>
        <w:tc>
          <w:tcPr>
            <w:tcW w:w="1276" w:type="dxa"/>
          </w:tcPr>
          <w:p w14:paraId="1B764F92" w14:textId="77777777" w:rsidR="00C2354A" w:rsidRPr="00C2354A" w:rsidRDefault="00C2354A" w:rsidP="008618F2">
            <w:pPr>
              <w:keepNext/>
              <w:keepLines/>
              <w:autoSpaceDE w:val="0"/>
              <w:autoSpaceDN w:val="0"/>
              <w:adjustRightInd w:val="0"/>
              <w:spacing w:after="60"/>
              <w:jc w:val="center"/>
              <w:rPr>
                <w:i/>
              </w:rPr>
            </w:pPr>
            <w:r w:rsidRPr="00C2354A">
              <w:rPr>
                <w:i/>
              </w:rPr>
              <w:t>b</w:t>
            </w:r>
          </w:p>
        </w:tc>
        <w:tc>
          <w:tcPr>
            <w:tcW w:w="1559" w:type="dxa"/>
          </w:tcPr>
          <w:p w14:paraId="24D75587" w14:textId="77777777" w:rsidR="00C2354A" w:rsidRPr="00C2354A" w:rsidRDefault="00C2354A" w:rsidP="008618F2">
            <w:pPr>
              <w:keepNext/>
              <w:keepLines/>
              <w:autoSpaceDE w:val="0"/>
              <w:autoSpaceDN w:val="0"/>
              <w:adjustRightInd w:val="0"/>
              <w:spacing w:after="60"/>
              <w:jc w:val="center"/>
              <w:rPr>
                <w:i/>
              </w:rPr>
            </w:pPr>
            <w:r w:rsidRPr="00C2354A">
              <w:rPr>
                <w:i/>
              </w:rPr>
              <w:t>c</w:t>
            </w:r>
          </w:p>
        </w:tc>
        <w:tc>
          <w:tcPr>
            <w:tcW w:w="1560" w:type="dxa"/>
          </w:tcPr>
          <w:p w14:paraId="73F8EC70" w14:textId="77777777" w:rsidR="00C2354A" w:rsidRPr="00C2354A" w:rsidRDefault="00C2354A" w:rsidP="008618F2">
            <w:pPr>
              <w:keepNext/>
              <w:keepLines/>
              <w:autoSpaceDE w:val="0"/>
              <w:autoSpaceDN w:val="0"/>
              <w:adjustRightInd w:val="0"/>
              <w:spacing w:after="60"/>
              <w:jc w:val="center"/>
              <w:rPr>
                <w:i/>
              </w:rPr>
            </w:pPr>
            <w:r w:rsidRPr="00C2354A">
              <w:rPr>
                <w:i/>
              </w:rPr>
              <w:t>d</w:t>
            </w:r>
          </w:p>
        </w:tc>
      </w:tr>
      <w:tr w:rsidR="00C2354A" w:rsidRPr="00C2354A" w14:paraId="6285FAB5" w14:textId="77777777" w:rsidTr="002061E5">
        <w:trPr>
          <w:jc w:val="center"/>
        </w:trPr>
        <w:tc>
          <w:tcPr>
            <w:tcW w:w="2122" w:type="dxa"/>
          </w:tcPr>
          <w:p w14:paraId="48CB5718" w14:textId="77777777" w:rsidR="00C2354A" w:rsidRPr="00C2354A" w:rsidRDefault="00C2354A" w:rsidP="008618F2">
            <w:pPr>
              <w:keepNext/>
              <w:keepLines/>
              <w:autoSpaceDE w:val="0"/>
              <w:autoSpaceDN w:val="0"/>
              <w:adjustRightInd w:val="0"/>
              <w:spacing w:after="60"/>
            </w:pPr>
            <w:r w:rsidRPr="00C2354A">
              <w:t>Non reinforced</w:t>
            </w:r>
          </w:p>
        </w:tc>
        <w:tc>
          <w:tcPr>
            <w:tcW w:w="1275" w:type="dxa"/>
          </w:tcPr>
          <w:p w14:paraId="3BD91F77" w14:textId="77777777" w:rsidR="00C2354A" w:rsidRPr="00C2354A" w:rsidRDefault="00C2354A" w:rsidP="008618F2">
            <w:pPr>
              <w:keepNext/>
              <w:keepLines/>
              <w:autoSpaceDE w:val="0"/>
              <w:autoSpaceDN w:val="0"/>
              <w:adjustRightInd w:val="0"/>
              <w:spacing w:after="60"/>
              <w:jc w:val="center"/>
            </w:pPr>
            <w:r w:rsidRPr="00C2354A">
              <w:t>0,55</w:t>
            </w:r>
          </w:p>
        </w:tc>
        <w:tc>
          <w:tcPr>
            <w:tcW w:w="1276" w:type="dxa"/>
          </w:tcPr>
          <w:p w14:paraId="1398F9B7" w14:textId="77777777" w:rsidR="00C2354A" w:rsidRPr="00C2354A" w:rsidRDefault="00C2354A" w:rsidP="008618F2">
            <w:pPr>
              <w:keepNext/>
              <w:keepLines/>
              <w:autoSpaceDE w:val="0"/>
              <w:autoSpaceDN w:val="0"/>
              <w:adjustRightInd w:val="0"/>
              <w:spacing w:after="60"/>
              <w:jc w:val="center"/>
            </w:pPr>
            <w:r w:rsidRPr="00C2354A">
              <w:t>- 0,035</w:t>
            </w:r>
          </w:p>
        </w:tc>
        <w:tc>
          <w:tcPr>
            <w:tcW w:w="1559" w:type="dxa"/>
          </w:tcPr>
          <w:p w14:paraId="6EB0A104" w14:textId="77777777" w:rsidR="00C2354A" w:rsidRPr="00C2354A" w:rsidRDefault="00C2354A" w:rsidP="008618F2">
            <w:pPr>
              <w:keepNext/>
              <w:keepLines/>
              <w:autoSpaceDE w:val="0"/>
              <w:autoSpaceDN w:val="0"/>
              <w:adjustRightInd w:val="0"/>
              <w:spacing w:after="60"/>
              <w:jc w:val="center"/>
            </w:pPr>
            <w:r w:rsidRPr="00C2354A">
              <w:t>0,44</w:t>
            </w:r>
          </w:p>
        </w:tc>
        <w:tc>
          <w:tcPr>
            <w:tcW w:w="1560" w:type="dxa"/>
          </w:tcPr>
          <w:p w14:paraId="091E17DC" w14:textId="77777777" w:rsidR="00C2354A" w:rsidRPr="00C2354A" w:rsidRDefault="00C2354A" w:rsidP="008618F2">
            <w:pPr>
              <w:keepNext/>
              <w:keepLines/>
              <w:autoSpaceDE w:val="0"/>
              <w:autoSpaceDN w:val="0"/>
              <w:adjustRightInd w:val="0"/>
              <w:spacing w:after="60"/>
              <w:jc w:val="center"/>
            </w:pPr>
            <w:r w:rsidRPr="00C2354A">
              <w:t>- 0,025</w:t>
            </w:r>
          </w:p>
        </w:tc>
      </w:tr>
      <w:tr w:rsidR="00C2354A" w:rsidRPr="00C2354A" w14:paraId="4A75701D" w14:textId="77777777" w:rsidTr="002061E5">
        <w:trPr>
          <w:jc w:val="center"/>
        </w:trPr>
        <w:tc>
          <w:tcPr>
            <w:tcW w:w="2122" w:type="dxa"/>
          </w:tcPr>
          <w:p w14:paraId="48EFDCE7" w14:textId="77777777" w:rsidR="00C2354A" w:rsidRPr="00C2354A" w:rsidRDefault="00C2354A" w:rsidP="008618F2">
            <w:pPr>
              <w:keepNext/>
              <w:keepLines/>
              <w:autoSpaceDE w:val="0"/>
              <w:autoSpaceDN w:val="0"/>
              <w:adjustRightInd w:val="0"/>
              <w:spacing w:after="60"/>
            </w:pPr>
            <w:r w:rsidRPr="00C2354A">
              <w:t>Partially reinforced</w:t>
            </w:r>
          </w:p>
        </w:tc>
        <w:tc>
          <w:tcPr>
            <w:tcW w:w="1275" w:type="dxa"/>
          </w:tcPr>
          <w:p w14:paraId="34FA5A04" w14:textId="77777777" w:rsidR="00C2354A" w:rsidRPr="00C2354A" w:rsidRDefault="00C2354A" w:rsidP="008618F2">
            <w:pPr>
              <w:keepNext/>
              <w:keepLines/>
              <w:autoSpaceDE w:val="0"/>
              <w:autoSpaceDN w:val="0"/>
              <w:adjustRightInd w:val="0"/>
              <w:spacing w:after="60"/>
              <w:jc w:val="center"/>
            </w:pPr>
            <w:r w:rsidRPr="00C2354A">
              <w:t>0,58</w:t>
            </w:r>
          </w:p>
        </w:tc>
        <w:tc>
          <w:tcPr>
            <w:tcW w:w="1276" w:type="dxa"/>
          </w:tcPr>
          <w:p w14:paraId="035C2BF7" w14:textId="77777777" w:rsidR="00C2354A" w:rsidRPr="00C2354A" w:rsidRDefault="00C2354A" w:rsidP="008618F2">
            <w:pPr>
              <w:keepNext/>
              <w:keepLines/>
              <w:autoSpaceDE w:val="0"/>
              <w:autoSpaceDN w:val="0"/>
              <w:adjustRightInd w:val="0"/>
              <w:spacing w:after="60"/>
              <w:jc w:val="center"/>
            </w:pPr>
            <w:r w:rsidRPr="00C2354A">
              <w:t>- 0,030</w:t>
            </w:r>
          </w:p>
        </w:tc>
        <w:tc>
          <w:tcPr>
            <w:tcW w:w="1559" w:type="dxa"/>
          </w:tcPr>
          <w:p w14:paraId="020F5469" w14:textId="77777777" w:rsidR="00C2354A" w:rsidRPr="00C2354A" w:rsidRDefault="00C2354A" w:rsidP="008618F2">
            <w:pPr>
              <w:keepNext/>
              <w:keepLines/>
              <w:autoSpaceDE w:val="0"/>
              <w:autoSpaceDN w:val="0"/>
              <w:adjustRightInd w:val="0"/>
              <w:spacing w:after="60"/>
              <w:jc w:val="center"/>
            </w:pPr>
            <w:r w:rsidRPr="00C2354A">
              <w:t>0,42</w:t>
            </w:r>
          </w:p>
        </w:tc>
        <w:tc>
          <w:tcPr>
            <w:tcW w:w="1560" w:type="dxa"/>
          </w:tcPr>
          <w:p w14:paraId="21260408" w14:textId="77777777" w:rsidR="00C2354A" w:rsidRPr="00C2354A" w:rsidRDefault="00C2354A" w:rsidP="008618F2">
            <w:pPr>
              <w:keepNext/>
              <w:keepLines/>
              <w:autoSpaceDE w:val="0"/>
              <w:autoSpaceDN w:val="0"/>
              <w:adjustRightInd w:val="0"/>
              <w:spacing w:after="60"/>
              <w:jc w:val="center"/>
            </w:pPr>
            <w:r w:rsidRPr="00C2354A">
              <w:t>- 0,020</w:t>
            </w:r>
          </w:p>
        </w:tc>
      </w:tr>
      <w:tr w:rsidR="00C2354A" w:rsidRPr="00C2354A" w14:paraId="17C664E3" w14:textId="77777777" w:rsidTr="002061E5">
        <w:trPr>
          <w:jc w:val="center"/>
        </w:trPr>
        <w:tc>
          <w:tcPr>
            <w:tcW w:w="2122" w:type="dxa"/>
          </w:tcPr>
          <w:p w14:paraId="165AE4C6" w14:textId="77777777" w:rsidR="00C2354A" w:rsidRPr="00C2354A" w:rsidRDefault="00C2354A" w:rsidP="002061E5">
            <w:pPr>
              <w:autoSpaceDE w:val="0"/>
              <w:autoSpaceDN w:val="0"/>
              <w:adjustRightInd w:val="0"/>
              <w:spacing w:after="60"/>
            </w:pPr>
            <w:r w:rsidRPr="00C2354A">
              <w:t>Reinforced</w:t>
            </w:r>
          </w:p>
        </w:tc>
        <w:tc>
          <w:tcPr>
            <w:tcW w:w="1275" w:type="dxa"/>
          </w:tcPr>
          <w:p w14:paraId="38074A69" w14:textId="77777777" w:rsidR="00C2354A" w:rsidRPr="00C2354A" w:rsidRDefault="00C2354A" w:rsidP="008D34BD">
            <w:pPr>
              <w:autoSpaceDE w:val="0"/>
              <w:autoSpaceDN w:val="0"/>
              <w:adjustRightInd w:val="0"/>
              <w:spacing w:after="60"/>
              <w:jc w:val="center"/>
            </w:pPr>
            <w:r w:rsidRPr="00C2354A">
              <w:t>0,63</w:t>
            </w:r>
          </w:p>
        </w:tc>
        <w:tc>
          <w:tcPr>
            <w:tcW w:w="1276" w:type="dxa"/>
          </w:tcPr>
          <w:p w14:paraId="0ABE66C1" w14:textId="77777777" w:rsidR="00C2354A" w:rsidRPr="00C2354A" w:rsidRDefault="00C2354A" w:rsidP="008D34BD">
            <w:pPr>
              <w:autoSpaceDE w:val="0"/>
              <w:autoSpaceDN w:val="0"/>
              <w:adjustRightInd w:val="0"/>
              <w:spacing w:after="60"/>
              <w:jc w:val="center"/>
            </w:pPr>
            <w:r w:rsidRPr="00C2354A">
              <w:t>- 0,020</w:t>
            </w:r>
          </w:p>
        </w:tc>
        <w:tc>
          <w:tcPr>
            <w:tcW w:w="1559" w:type="dxa"/>
          </w:tcPr>
          <w:p w14:paraId="4578ADF7" w14:textId="77777777" w:rsidR="00C2354A" w:rsidRPr="00C2354A" w:rsidRDefault="00C2354A" w:rsidP="008D34BD">
            <w:pPr>
              <w:autoSpaceDE w:val="0"/>
              <w:autoSpaceDN w:val="0"/>
              <w:adjustRightInd w:val="0"/>
              <w:spacing w:after="60"/>
              <w:jc w:val="center"/>
            </w:pPr>
            <w:r w:rsidRPr="00C2354A">
              <w:t>0,40</w:t>
            </w:r>
          </w:p>
        </w:tc>
        <w:tc>
          <w:tcPr>
            <w:tcW w:w="1560" w:type="dxa"/>
          </w:tcPr>
          <w:p w14:paraId="41B6AAE2" w14:textId="77777777" w:rsidR="00C2354A" w:rsidRPr="00C2354A" w:rsidRDefault="00C2354A" w:rsidP="008D34BD">
            <w:pPr>
              <w:autoSpaceDE w:val="0"/>
              <w:autoSpaceDN w:val="0"/>
              <w:adjustRightInd w:val="0"/>
              <w:spacing w:after="60"/>
              <w:jc w:val="center"/>
            </w:pPr>
            <w:r w:rsidRPr="00C2354A">
              <w:t>-0,010</w:t>
            </w:r>
          </w:p>
        </w:tc>
      </w:tr>
    </w:tbl>
    <w:p w14:paraId="2D35FCD2" w14:textId="0B71566A" w:rsidR="00C2354A" w:rsidRPr="00132C1E" w:rsidRDefault="00A53B8D" w:rsidP="00A53B8D">
      <w:pPr>
        <w:pStyle w:val="FigureImage"/>
      </w:pPr>
      <w:r>
        <w:rPr>
          <w:noProof/>
        </w:rPr>
        <w:drawing>
          <wp:inline distT="0" distB="0" distL="0" distR="0" wp14:anchorId="160CE778" wp14:editId="2C3FB43E">
            <wp:extent cx="5940562" cy="3273557"/>
            <wp:effectExtent l="0" t="0" r="3175" b="3175"/>
            <wp:docPr id="13" name="0002.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0002.tiff"/>
                    <pic:cNvPicPr/>
                  </pic:nvPicPr>
                  <pic:blipFill>
                    <a:blip r:link="rId17"/>
                    <a:stretch>
                      <a:fillRect/>
                    </a:stretch>
                  </pic:blipFill>
                  <pic:spPr>
                    <a:xfrm>
                      <a:off x="0" y="0"/>
                      <a:ext cx="5940562" cy="3273557"/>
                    </a:xfrm>
                    <a:prstGeom prst="rect">
                      <a:avLst/>
                    </a:prstGeom>
                  </pic:spPr>
                </pic:pic>
              </a:graphicData>
            </a:graphic>
          </wp:inline>
        </w:drawing>
      </w:r>
    </w:p>
    <w:p w14:paraId="3A279DA8" w14:textId="77EBD3BB" w:rsidR="00C2354A" w:rsidRPr="00D1484A" w:rsidRDefault="00C2354A" w:rsidP="008D34BD">
      <w:pPr>
        <w:pStyle w:val="Figuretitle"/>
      </w:pPr>
      <w:r w:rsidRPr="00132C1E">
        <w:t>Figure</w:t>
      </w:r>
      <w:r w:rsidR="008D34BD">
        <w:t xml:space="preserve"> 7.1</w:t>
      </w:r>
      <w:r w:rsidRPr="00132C1E">
        <w:t> </w:t>
      </w:r>
      <w:r w:rsidRPr="00D1484A">
        <w:rPr>
          <w:rFonts w:ascii="`ÃÍœ˛" w:eastAsia="Cambria" w:hAnsi="`ÃÍœ˛" w:cs="`ÃÍœ˛"/>
          <w:szCs w:val="22"/>
          <w:lang w:eastAsia="de-DE"/>
        </w:rPr>
        <w:t>—</w:t>
      </w:r>
      <w:r w:rsidRPr="00D1484A">
        <w:t> Types of reinforcement of infills around openings</w:t>
      </w:r>
    </w:p>
    <w:p w14:paraId="1CD7F9B2" w14:textId="77777777" w:rsidR="00C2354A" w:rsidRPr="00096DC0" w:rsidRDefault="00C2354A" w:rsidP="0080187E">
      <w:pPr>
        <w:pStyle w:val="Clause"/>
        <w:numPr>
          <w:ilvl w:val="0"/>
          <w:numId w:val="80"/>
        </w:numPr>
      </w:pPr>
      <w:bookmarkStart w:id="1025" w:name="_Toc16927664"/>
      <w:r w:rsidRPr="00D1484A">
        <w:t xml:space="preserve">The design lateral </w:t>
      </w:r>
      <w:r>
        <w:t>force</w:t>
      </w:r>
      <w:r w:rsidRPr="00D1484A">
        <w:t xml:space="preserve"> (out-of-plane) per unit </w:t>
      </w:r>
      <w:r w:rsidRPr="001C764C">
        <w:t xml:space="preserve">area </w:t>
      </w:r>
      <w:r w:rsidRPr="001C764C">
        <w:rPr>
          <w:i/>
        </w:rPr>
        <w:t>f</w:t>
      </w:r>
      <w:r w:rsidRPr="001C764C">
        <w:rPr>
          <w:iCs/>
          <w:vertAlign w:val="subscript"/>
        </w:rPr>
        <w:t>ap</w:t>
      </w:r>
      <w:r w:rsidRPr="001C764C">
        <w:t xml:space="preserve"> calculated </w:t>
      </w:r>
      <w:r w:rsidRPr="00096DC0">
        <w:t>according to 7.4.2.5(1) and (2) should not exceed the design lateral (out-of-plane) resistance.</w:t>
      </w:r>
    </w:p>
    <w:p w14:paraId="2492D5F7" w14:textId="09AE78F4" w:rsidR="00C2354A" w:rsidRPr="00096DC0" w:rsidRDefault="00C2354A" w:rsidP="0080187E">
      <w:pPr>
        <w:pStyle w:val="Clause"/>
        <w:numPr>
          <w:ilvl w:val="0"/>
          <w:numId w:val="80"/>
        </w:numPr>
      </w:pPr>
      <w:r w:rsidRPr="00096DC0">
        <w:t>The design lateral (out-of-plane) resistance may be taken as 0,5 times the flexural or the arching effect resistance as in EN</w:t>
      </w:r>
      <w:r w:rsidR="00096DC0">
        <w:t> </w:t>
      </w:r>
      <w:r w:rsidRPr="00096DC0">
        <w:t>1996-1-1:202</w:t>
      </w:r>
      <w:r w:rsidR="0063506B" w:rsidRPr="00096DC0">
        <w:t>2</w:t>
      </w:r>
      <w:r w:rsidRPr="00096DC0">
        <w:t>, 8.4.2 or 8.4.3.</w:t>
      </w:r>
    </w:p>
    <w:p w14:paraId="30273654" w14:textId="43687A60" w:rsidR="00C2354A" w:rsidRPr="00096DC0" w:rsidRDefault="00C2354A" w:rsidP="008D34BD">
      <w:pPr>
        <w:pStyle w:val="Notetext"/>
      </w:pPr>
      <w:r w:rsidRPr="00096DC0">
        <w:t>NOTE</w:t>
      </w:r>
      <w:r w:rsidRPr="00096DC0">
        <w:tab/>
        <w:t xml:space="preserve">The factor 0,5 takes into account the reduction in resistance due to the interaction between in-plane and out-of-plane action effects. More sophisticated methods relating the reduction to the drift demand are available. </w:t>
      </w:r>
    </w:p>
    <w:p w14:paraId="6B5C06EF" w14:textId="64BA5E74" w:rsidR="00C2354A" w:rsidRPr="00096DC0" w:rsidRDefault="00C2354A" w:rsidP="0080187E">
      <w:pPr>
        <w:pStyle w:val="Clause"/>
        <w:numPr>
          <w:ilvl w:val="0"/>
          <w:numId w:val="80"/>
        </w:numPr>
      </w:pPr>
      <w:r w:rsidRPr="00096DC0">
        <w:t xml:space="preserve">Connections of infill wall to the bounding frame distributed regularly along the infill perimeter should be designed to resist the horizontal seismic force </w:t>
      </w:r>
      <w:r w:rsidRPr="00096DC0">
        <w:rPr>
          <w:i/>
        </w:rPr>
        <w:t>F</w:t>
      </w:r>
      <w:r w:rsidRPr="00096DC0">
        <w:rPr>
          <w:iCs/>
          <w:vertAlign w:val="subscript"/>
        </w:rPr>
        <w:t>ap</w:t>
      </w:r>
      <w:r w:rsidRPr="00096DC0">
        <w:rPr>
          <w:iCs/>
        </w:rPr>
        <w:t xml:space="preserve"> as given in 7.2.1(3).</w:t>
      </w:r>
    </w:p>
    <w:p w14:paraId="4482F789" w14:textId="4CDDD2DA" w:rsidR="00C2354A" w:rsidRPr="00E05E29" w:rsidRDefault="00C2354A" w:rsidP="008D34BD">
      <w:pPr>
        <w:pStyle w:val="Notetext"/>
      </w:pPr>
      <w:r w:rsidRPr="00E05E29">
        <w:t>NOTE</w:t>
      </w:r>
      <w:r w:rsidRPr="00E05E29">
        <w:tab/>
        <w:t xml:space="preserve">Some measures can reduce the risk of brittle failure of infills and of out-of-plane collapse of slender panels, in particular if their slenderness ratio greater than 15. It </w:t>
      </w:r>
      <w:r w:rsidR="0023204E">
        <w:t>can</w:t>
      </w:r>
      <w:r w:rsidRPr="00E05E29">
        <w:t xml:space="preserve"> be light wire meshes anchored on the faces of the wall; cement-based mortar/plasters reinforced by multi-directional textiles applied to the masonry panel; wall ties fixed to the columns and cast into the bedding planes;</w:t>
      </w:r>
      <w:r w:rsidRPr="00E05E29">
        <w:rPr>
          <w:color w:val="FF2600"/>
        </w:rPr>
        <w:t xml:space="preserve"> </w:t>
      </w:r>
      <w:r w:rsidRPr="00E05E29">
        <w:t>reinforced masonry; trimmed edges of the openings with belts and posts.</w:t>
      </w:r>
    </w:p>
    <w:p w14:paraId="6F5F0E38" w14:textId="3C1662E8" w:rsidR="00C2354A" w:rsidRPr="005857CF" w:rsidRDefault="00C2354A" w:rsidP="0080187E">
      <w:pPr>
        <w:pStyle w:val="Clause"/>
        <w:numPr>
          <w:ilvl w:val="0"/>
          <w:numId w:val="80"/>
        </w:numPr>
      </w:pPr>
      <w:r w:rsidRPr="00E05E29">
        <w:t xml:space="preserve">Values of the design lateral resistance of the infill corresponding to special reinforcement techniques and </w:t>
      </w:r>
      <w:r w:rsidRPr="005857CF">
        <w:t>greater than those in EN</w:t>
      </w:r>
      <w:r w:rsidR="00096DC0">
        <w:t> </w:t>
      </w:r>
      <w:r w:rsidRPr="005857CF">
        <w:t>1996-1-1</w:t>
      </w:r>
      <w:r w:rsidRPr="00B00B3D">
        <w:rPr>
          <w:rFonts w:eastAsia="Cambria,Bold"/>
        </w:rPr>
        <w:t xml:space="preserve"> </w:t>
      </w:r>
      <w:r w:rsidRPr="005857CF">
        <w:t>may be used if they have been established by tests.</w:t>
      </w:r>
    </w:p>
    <w:p w14:paraId="2CB1772D" w14:textId="4C02024A" w:rsidR="00C2354A" w:rsidRDefault="00C2354A" w:rsidP="008D34BD">
      <w:pPr>
        <w:pStyle w:val="Notetext"/>
      </w:pPr>
      <w:r w:rsidRPr="00E05E29">
        <w:t>NOTE</w:t>
      </w:r>
      <w:r w:rsidRPr="00E05E29">
        <w:tab/>
      </w:r>
      <w:r w:rsidRPr="001C764C">
        <w:t>prCEN/TS</w:t>
      </w:r>
      <w:r w:rsidR="00096DC0">
        <w:t> </w:t>
      </w:r>
      <w:r w:rsidRPr="001C764C">
        <w:t>1998-</w:t>
      </w:r>
      <w:r w:rsidR="00460A67">
        <w:t xml:space="preserve">1-101 </w:t>
      </w:r>
      <w:r w:rsidRPr="00E05E29">
        <w:t>gives a loading protocol and acceptance criteria for such tests.</w:t>
      </w:r>
    </w:p>
    <w:p w14:paraId="3CC04375" w14:textId="77777777" w:rsidR="00C2354A" w:rsidRPr="00E05E29" w:rsidRDefault="00C2354A" w:rsidP="00C2354A">
      <w:pPr>
        <w:pStyle w:val="Heading3"/>
      </w:pPr>
      <w:bookmarkStart w:id="1026" w:name="_Toc50150316"/>
      <w:bookmarkStart w:id="1027" w:name="_Toc70886747"/>
      <w:bookmarkStart w:id="1028" w:name="_Toc108342261"/>
      <w:bookmarkStart w:id="1029" w:name="_Toc134197837"/>
      <w:r w:rsidRPr="00E05E29">
        <w:lastRenderedPageBreak/>
        <w:t>Design of frames with non-interacting infills</w:t>
      </w:r>
      <w:bookmarkEnd w:id="1026"/>
      <w:bookmarkEnd w:id="1027"/>
      <w:bookmarkEnd w:id="1028"/>
      <w:bookmarkEnd w:id="1029"/>
      <w:r w:rsidRPr="00E05E29">
        <w:t xml:space="preserve"> </w:t>
      </w:r>
    </w:p>
    <w:p w14:paraId="36E8BAFE" w14:textId="77777777" w:rsidR="00C2354A" w:rsidRPr="00E05E29" w:rsidRDefault="00C2354A" w:rsidP="00C2354A">
      <w:pPr>
        <w:pStyle w:val="Heading4"/>
      </w:pPr>
      <w:bookmarkStart w:id="1030" w:name="_Toc108342262"/>
      <w:r w:rsidRPr="00E05E29">
        <w:t>Basis of design</w:t>
      </w:r>
      <w:bookmarkEnd w:id="1030"/>
      <w:r w:rsidRPr="00E05E29">
        <w:t xml:space="preserve"> </w:t>
      </w:r>
      <w:bookmarkEnd w:id="1025"/>
    </w:p>
    <w:p w14:paraId="195A73CC" w14:textId="77777777" w:rsidR="00C2354A" w:rsidRPr="00E05E29" w:rsidRDefault="00C2354A" w:rsidP="0080187E">
      <w:pPr>
        <w:pStyle w:val="Clause"/>
        <w:numPr>
          <w:ilvl w:val="0"/>
          <w:numId w:val="82"/>
        </w:numPr>
      </w:pPr>
      <w:bookmarkStart w:id="1031" w:name="_Toc16927665"/>
      <w:r w:rsidRPr="00E05E29">
        <w:t>The design of non-interacting infills should be such that their contribution to the lateral stiffness and resistance of the structure against seismic actions may be neglected.</w:t>
      </w:r>
    </w:p>
    <w:p w14:paraId="3E192490" w14:textId="77777777" w:rsidR="00C2354A" w:rsidRPr="00E05E29" w:rsidRDefault="00C2354A" w:rsidP="0080187E">
      <w:pPr>
        <w:pStyle w:val="Clause"/>
        <w:numPr>
          <w:ilvl w:val="0"/>
          <w:numId w:val="82"/>
        </w:numPr>
      </w:pPr>
      <w:r w:rsidRPr="00E05E29">
        <w:t>The analysis of the structure should be made considering a bare frame structure. Infills should be considered only for their mass.</w:t>
      </w:r>
    </w:p>
    <w:p w14:paraId="659C7EC7" w14:textId="77777777" w:rsidR="00C2354A" w:rsidRPr="00E05E29" w:rsidRDefault="00C2354A" w:rsidP="0080187E">
      <w:pPr>
        <w:pStyle w:val="Clause"/>
        <w:numPr>
          <w:ilvl w:val="0"/>
          <w:numId w:val="82"/>
        </w:numPr>
      </w:pPr>
      <w:r w:rsidRPr="00E05E29">
        <w:rPr>
          <w:rFonts w:eastAsia="TimesNewRomanPSMT"/>
        </w:rPr>
        <w:t>The out-of-plane and in-plane seismic action effect on infills should be taken into account.</w:t>
      </w:r>
    </w:p>
    <w:p w14:paraId="3FB889A9" w14:textId="77777777" w:rsidR="00C2354A" w:rsidRPr="001C764C" w:rsidRDefault="00C2354A" w:rsidP="00C2354A">
      <w:pPr>
        <w:pStyle w:val="Heading4"/>
      </w:pPr>
      <w:bookmarkStart w:id="1032" w:name="_Toc108342263"/>
      <w:bookmarkEnd w:id="1031"/>
      <w:r w:rsidRPr="001C764C">
        <w:t>Detailing and in-plane verifications at SD limit state</w:t>
      </w:r>
      <w:bookmarkEnd w:id="1032"/>
      <w:r w:rsidRPr="001C764C">
        <w:t xml:space="preserve"> </w:t>
      </w:r>
    </w:p>
    <w:p w14:paraId="2585EB6B" w14:textId="77777777" w:rsidR="00C2354A" w:rsidRPr="004D0590" w:rsidRDefault="00C2354A" w:rsidP="0080187E">
      <w:pPr>
        <w:pStyle w:val="Clause"/>
        <w:numPr>
          <w:ilvl w:val="0"/>
          <w:numId w:val="83"/>
        </w:numPr>
      </w:pPr>
      <w:r w:rsidRPr="008D34BD">
        <w:rPr>
          <w:lang w:val="en-US"/>
        </w:rPr>
        <w:t xml:space="preserve">The connection between the bounding frame and infill panel </w:t>
      </w:r>
      <w:r w:rsidRPr="00704757">
        <w:t>should be such that the effects of the interaction between infill and frame up to the interstorey drift demand at SD limit state of the bare frame may be neglected</w:t>
      </w:r>
      <w:r w:rsidRPr="008D34BD">
        <w:rPr>
          <w:rFonts w:eastAsia="TimesNewRoman" w:cs="Arial"/>
        </w:rPr>
        <w:t>.</w:t>
      </w:r>
    </w:p>
    <w:p w14:paraId="1DA5253D" w14:textId="4CF50CEB" w:rsidR="00C2354A" w:rsidRPr="004D0590" w:rsidRDefault="00C2354A" w:rsidP="008D34BD">
      <w:pPr>
        <w:pStyle w:val="Notetext"/>
      </w:pPr>
      <w:bookmarkStart w:id="1033" w:name="_Hlk107813575"/>
      <w:r w:rsidRPr="00830D36">
        <w:t>NOTE</w:t>
      </w:r>
      <w:r>
        <w:tab/>
      </w:r>
      <w:r w:rsidRPr="00830D36">
        <w:t>The connection is generally a material filling the separation joint between frame and infill.</w:t>
      </w:r>
      <w:bookmarkEnd w:id="1033"/>
    </w:p>
    <w:p w14:paraId="639265EE" w14:textId="636B804E" w:rsidR="00C2354A" w:rsidRPr="00096DC0" w:rsidRDefault="00C2354A" w:rsidP="0080187E">
      <w:pPr>
        <w:pStyle w:val="Clause"/>
        <w:numPr>
          <w:ilvl w:val="0"/>
          <w:numId w:val="83"/>
        </w:numPr>
      </w:pPr>
      <w:r w:rsidRPr="008D34BD">
        <w:t xml:space="preserve">The connection should be such that the contribution of </w:t>
      </w:r>
      <w:r w:rsidRPr="00096DC0">
        <w:t>the infills is in accordance with 7.4.3.1(1).</w:t>
      </w:r>
    </w:p>
    <w:p w14:paraId="025D5453" w14:textId="49A98250" w:rsidR="00C2354A" w:rsidRPr="00096DC0" w:rsidRDefault="00C2354A" w:rsidP="00724E4E">
      <w:pPr>
        <w:pStyle w:val="Clause"/>
      </w:pPr>
      <w:r w:rsidRPr="00096DC0">
        <w:t>(2) may be considered satisfied if the closure of the gap is real</w:t>
      </w:r>
      <w:r w:rsidR="00E10A24">
        <w:t>ize</w:t>
      </w:r>
      <w:r w:rsidRPr="00096DC0">
        <w:t>d under a force which is not greater than 20</w:t>
      </w:r>
      <w:r w:rsidR="00402990">
        <w:t> </w:t>
      </w:r>
      <w:r w:rsidRPr="00096DC0">
        <w:t>% of the shear resistance of the adjacent columns.</w:t>
      </w:r>
    </w:p>
    <w:p w14:paraId="5178A71A" w14:textId="35AF26EB" w:rsidR="00C2354A" w:rsidRPr="008D34BD" w:rsidRDefault="00C2354A" w:rsidP="0080187E">
      <w:pPr>
        <w:pStyle w:val="Clause"/>
        <w:numPr>
          <w:ilvl w:val="0"/>
          <w:numId w:val="83"/>
        </w:numPr>
      </w:pPr>
      <w:r w:rsidRPr="00096DC0">
        <w:t>(1) may be considered satisfied i</w:t>
      </w:r>
      <w:r w:rsidRPr="008D34BD">
        <w:t>f the contribution of the infill panel to the lateral resistance of the structure is not greater than 20</w:t>
      </w:r>
      <w:r w:rsidR="00E4279C">
        <w:t> </w:t>
      </w:r>
      <w:r w:rsidRPr="008D34BD">
        <w:t>% of the lateral resistance of the bare frame.</w:t>
      </w:r>
    </w:p>
    <w:p w14:paraId="1CAF7E12" w14:textId="77777777" w:rsidR="00C2354A" w:rsidRPr="00096DC0" w:rsidRDefault="00C2354A" w:rsidP="008D34BD">
      <w:pPr>
        <w:pStyle w:val="Notetext"/>
      </w:pPr>
      <w:r w:rsidRPr="00E05E29">
        <w:t>NOTE</w:t>
      </w:r>
      <w:r w:rsidRPr="00E05E29">
        <w:tab/>
        <w:t xml:space="preserve">Adequately soft materials are available to </w:t>
      </w:r>
      <w:r w:rsidRPr="00096DC0">
        <w:t>satisfy (2) or (3).</w:t>
      </w:r>
    </w:p>
    <w:p w14:paraId="1384390E" w14:textId="251EAB47" w:rsidR="00C2354A" w:rsidRPr="00E05E29" w:rsidRDefault="00C2354A" w:rsidP="00C2354A">
      <w:pPr>
        <w:pStyle w:val="Heading4"/>
      </w:pPr>
      <w:bookmarkStart w:id="1034" w:name="_Toc108342264"/>
      <w:r>
        <w:t>Detailing and out</w:t>
      </w:r>
      <w:r w:rsidRPr="00E05E29">
        <w:t xml:space="preserve">-of-plane </w:t>
      </w:r>
      <w:r>
        <w:t>verifications at SD limit state</w:t>
      </w:r>
      <w:bookmarkEnd w:id="1034"/>
    </w:p>
    <w:p w14:paraId="528D909F" w14:textId="6102A724" w:rsidR="00C2354A" w:rsidRPr="00096DC0" w:rsidRDefault="00C2354A" w:rsidP="0080187E">
      <w:pPr>
        <w:pStyle w:val="Clause"/>
        <w:numPr>
          <w:ilvl w:val="0"/>
          <w:numId w:val="84"/>
        </w:numPr>
      </w:pPr>
      <w:bookmarkStart w:id="1035" w:name="_Toc16927666"/>
      <w:r w:rsidRPr="00E05E29">
        <w:t xml:space="preserve">The design out-of-plane </w:t>
      </w:r>
      <w:r>
        <w:t>force</w:t>
      </w:r>
      <w:r w:rsidRPr="00E05E29">
        <w:t xml:space="preserve"> per unit area </w:t>
      </w:r>
      <w:r w:rsidRPr="00BD4B5B">
        <w:rPr>
          <w:i/>
          <w:iCs/>
        </w:rPr>
        <w:t>f</w:t>
      </w:r>
      <w:r w:rsidRPr="00BD4B5B">
        <w:rPr>
          <w:vertAlign w:val="subscript"/>
        </w:rPr>
        <w:t>ap</w:t>
      </w:r>
      <w:r w:rsidRPr="00E05E29">
        <w:t xml:space="preserve"> should </w:t>
      </w:r>
      <w:r w:rsidRPr="00096DC0">
        <w:t>conform to 7.4.2.9(6).</w:t>
      </w:r>
    </w:p>
    <w:p w14:paraId="1BF208FE" w14:textId="77777777" w:rsidR="00C2354A" w:rsidRPr="00096DC0" w:rsidRDefault="00C2354A" w:rsidP="0080187E">
      <w:pPr>
        <w:pStyle w:val="Clause"/>
        <w:numPr>
          <w:ilvl w:val="0"/>
          <w:numId w:val="84"/>
        </w:numPr>
      </w:pPr>
      <w:r w:rsidRPr="00096DC0">
        <w:t>7.4.2.9(9) may be applied.</w:t>
      </w:r>
    </w:p>
    <w:p w14:paraId="2F4FBAF6" w14:textId="78E3BCD8" w:rsidR="00C2354A" w:rsidRPr="00096DC0" w:rsidRDefault="00C2354A" w:rsidP="0080187E">
      <w:pPr>
        <w:pStyle w:val="Clause"/>
        <w:numPr>
          <w:ilvl w:val="0"/>
          <w:numId w:val="84"/>
        </w:numPr>
      </w:pPr>
      <w:r w:rsidRPr="00096DC0">
        <w:t>The connections of infill wall to the bounding frame should be distributed regularly along the infill perimeter, or on parts of it, either laterally or on top.</w:t>
      </w:r>
    </w:p>
    <w:p w14:paraId="20C43C2C" w14:textId="695A40F3" w:rsidR="00C2354A" w:rsidRPr="00096DC0" w:rsidRDefault="00C2354A" w:rsidP="0080187E">
      <w:pPr>
        <w:pStyle w:val="Clause"/>
        <w:numPr>
          <w:ilvl w:val="0"/>
          <w:numId w:val="84"/>
        </w:numPr>
      </w:pPr>
      <w:r w:rsidRPr="00096DC0">
        <w:t xml:space="preserve">The connections should be designed to resist the resultant </w:t>
      </w:r>
      <w:r w:rsidRPr="00096DC0">
        <w:rPr>
          <w:i/>
        </w:rPr>
        <w:t>F</w:t>
      </w:r>
      <w:r w:rsidRPr="00096DC0">
        <w:rPr>
          <w:iCs/>
          <w:vertAlign w:val="subscript"/>
        </w:rPr>
        <w:t>ap</w:t>
      </w:r>
      <w:r w:rsidRPr="00096DC0">
        <w:rPr>
          <w:iCs/>
        </w:rPr>
        <w:t xml:space="preserve"> </w:t>
      </w:r>
      <w:r w:rsidRPr="00096DC0">
        <w:t>of lateral action effect as given in 7.2.1(3)</w:t>
      </w:r>
      <w:r w:rsidR="00BD4B5B" w:rsidRPr="00096DC0">
        <w:t>.</w:t>
      </w:r>
    </w:p>
    <w:p w14:paraId="23451E6E" w14:textId="4E99E3F7" w:rsidR="00C2354A" w:rsidRPr="00096DC0" w:rsidRDefault="00C2354A" w:rsidP="0080187E">
      <w:pPr>
        <w:pStyle w:val="Clause"/>
        <w:numPr>
          <w:ilvl w:val="0"/>
          <w:numId w:val="84"/>
        </w:numPr>
      </w:pPr>
      <w:r w:rsidRPr="00096DC0">
        <w:t>The connections should not induce local failure of the infill walls due to stress concentrations in the bricks or blocks.</w:t>
      </w:r>
    </w:p>
    <w:p w14:paraId="2DAD2F83" w14:textId="77777777" w:rsidR="00C2354A" w:rsidRPr="00096DC0" w:rsidRDefault="00C2354A" w:rsidP="0080187E">
      <w:pPr>
        <w:pStyle w:val="Clause"/>
        <w:numPr>
          <w:ilvl w:val="0"/>
          <w:numId w:val="84"/>
        </w:numPr>
      </w:pPr>
      <w:r w:rsidRPr="00096DC0">
        <w:t>The connections should accommodate the design interstorey drift at SD.</w:t>
      </w:r>
    </w:p>
    <w:p w14:paraId="68048E5A" w14:textId="77777777" w:rsidR="00C2354A" w:rsidRPr="00E05E29" w:rsidRDefault="00C2354A" w:rsidP="00C2354A">
      <w:pPr>
        <w:pStyle w:val="Heading2"/>
      </w:pPr>
      <w:bookmarkStart w:id="1036" w:name="_Toc40432883"/>
      <w:bookmarkStart w:id="1037" w:name="_Toc15389599"/>
      <w:bookmarkStart w:id="1038" w:name="_Toc16927667"/>
      <w:bookmarkStart w:id="1039" w:name="_Toc50150317"/>
      <w:bookmarkStart w:id="1040" w:name="_Toc70886748"/>
      <w:bookmarkStart w:id="1041" w:name="_Toc108342265"/>
      <w:bookmarkStart w:id="1042" w:name="_Toc134197838"/>
      <w:bookmarkEnd w:id="1035"/>
      <w:bookmarkEnd w:id="1036"/>
      <w:r w:rsidRPr="00E05E29">
        <w:t>Structures with claddings</w:t>
      </w:r>
      <w:bookmarkEnd w:id="1037"/>
      <w:bookmarkEnd w:id="1038"/>
      <w:bookmarkEnd w:id="1039"/>
      <w:bookmarkEnd w:id="1040"/>
      <w:bookmarkEnd w:id="1041"/>
      <w:bookmarkEnd w:id="1042"/>
    </w:p>
    <w:p w14:paraId="11D603C4" w14:textId="77777777" w:rsidR="00C2354A" w:rsidRPr="00E05E29" w:rsidRDefault="00C2354A" w:rsidP="00C2354A">
      <w:pPr>
        <w:pStyle w:val="Heading3"/>
      </w:pPr>
      <w:bookmarkStart w:id="1043" w:name="_Toc50150318"/>
      <w:bookmarkStart w:id="1044" w:name="_Toc70886749"/>
      <w:bookmarkStart w:id="1045" w:name="_Toc108342266"/>
      <w:bookmarkStart w:id="1046" w:name="_Toc134197839"/>
      <w:r w:rsidRPr="00E05E29">
        <w:t>Basis of design</w:t>
      </w:r>
      <w:bookmarkEnd w:id="1043"/>
      <w:bookmarkEnd w:id="1044"/>
      <w:bookmarkEnd w:id="1045"/>
      <w:bookmarkEnd w:id="1046"/>
    </w:p>
    <w:p w14:paraId="5A5B2D59" w14:textId="77777777" w:rsidR="00C2354A" w:rsidRPr="00E05E29" w:rsidRDefault="00C2354A" w:rsidP="0080187E">
      <w:pPr>
        <w:pStyle w:val="Clause"/>
        <w:numPr>
          <w:ilvl w:val="0"/>
          <w:numId w:val="85"/>
        </w:numPr>
      </w:pPr>
      <w:bookmarkStart w:id="1047" w:name="_Toc15389601"/>
      <w:bookmarkStart w:id="1048" w:name="_Toc16927669"/>
      <w:r w:rsidRPr="00E05E29">
        <w:t>Claddings connection systems may be either isostatic or integrated.</w:t>
      </w:r>
    </w:p>
    <w:p w14:paraId="76E7A38B" w14:textId="77777777" w:rsidR="00C2354A" w:rsidRPr="00E05E29" w:rsidRDefault="00C2354A" w:rsidP="0080187E">
      <w:pPr>
        <w:pStyle w:val="Clause"/>
        <w:numPr>
          <w:ilvl w:val="0"/>
          <w:numId w:val="85"/>
        </w:numPr>
      </w:pPr>
      <w:r w:rsidRPr="00E05E29">
        <w:t>The seismic analysis of structures with cladding panels and integrated connections should consider their influence on the global behaviour of the structure.</w:t>
      </w:r>
    </w:p>
    <w:p w14:paraId="2F7A0123" w14:textId="08B13DB8" w:rsidR="00C2354A" w:rsidRPr="00E05E29" w:rsidRDefault="00C2354A" w:rsidP="0080187E">
      <w:pPr>
        <w:pStyle w:val="Clause"/>
        <w:numPr>
          <w:ilvl w:val="0"/>
          <w:numId w:val="85"/>
        </w:numPr>
      </w:pPr>
      <w:r w:rsidRPr="00E05E29">
        <w:lastRenderedPageBreak/>
        <w:t>Out-of-plane collapse of claddings should be prevented.</w:t>
      </w:r>
    </w:p>
    <w:p w14:paraId="768A5615" w14:textId="77777777" w:rsidR="00C2354A" w:rsidRPr="00E05E29" w:rsidRDefault="00C2354A" w:rsidP="0080187E">
      <w:pPr>
        <w:pStyle w:val="Clause"/>
        <w:numPr>
          <w:ilvl w:val="0"/>
          <w:numId w:val="85"/>
        </w:numPr>
      </w:pPr>
      <w:r w:rsidRPr="00E05E29">
        <w:t>Hammering between adjacent panels and between panels and the structure should be prevented.</w:t>
      </w:r>
    </w:p>
    <w:p w14:paraId="34155093" w14:textId="78C58DF4" w:rsidR="00C2354A" w:rsidRPr="00E05E29" w:rsidRDefault="00C2354A" w:rsidP="00C2354A">
      <w:pPr>
        <w:pStyle w:val="Heading3"/>
      </w:pPr>
      <w:bookmarkStart w:id="1049" w:name="_Toc50150319"/>
      <w:bookmarkStart w:id="1050" w:name="_Toc70886750"/>
      <w:bookmarkStart w:id="1051" w:name="_Toc108342267"/>
      <w:bookmarkStart w:id="1052" w:name="_Toc134197840"/>
      <w:bookmarkEnd w:id="1047"/>
      <w:bookmarkEnd w:id="1048"/>
      <w:r w:rsidRPr="00E05E29">
        <w:t>Analysis</w:t>
      </w:r>
      <w:bookmarkStart w:id="1053" w:name="_Toc1831105"/>
      <w:bookmarkEnd w:id="1049"/>
      <w:bookmarkEnd w:id="1050"/>
      <w:bookmarkEnd w:id="1051"/>
      <w:bookmarkEnd w:id="1052"/>
    </w:p>
    <w:p w14:paraId="30C0F570" w14:textId="77777777" w:rsidR="00C2354A" w:rsidRPr="00E05E29" w:rsidRDefault="00C2354A" w:rsidP="00C2354A">
      <w:pPr>
        <w:pStyle w:val="Heading4"/>
      </w:pPr>
      <w:bookmarkStart w:id="1054" w:name="_Toc108342268"/>
      <w:r w:rsidRPr="00E05E29">
        <w:t>Analysis applicable to structures with any cladding systems</w:t>
      </w:r>
      <w:bookmarkEnd w:id="1054"/>
    </w:p>
    <w:p w14:paraId="7594A1F3" w14:textId="4AB425BA" w:rsidR="00C2354A" w:rsidRPr="00096DC0" w:rsidRDefault="00C2354A" w:rsidP="0080187E">
      <w:pPr>
        <w:pStyle w:val="Clause"/>
        <w:numPr>
          <w:ilvl w:val="0"/>
          <w:numId w:val="86"/>
        </w:numPr>
      </w:pPr>
      <w:r>
        <w:t>prEN</w:t>
      </w:r>
      <w:r w:rsidR="00096DC0">
        <w:t> </w:t>
      </w:r>
      <w:r>
        <w:t>1998-1-1:</w:t>
      </w:r>
      <w:r w:rsidRPr="00096DC0">
        <w:t xml:space="preserve">2022, </w:t>
      </w:r>
      <w:r w:rsidR="00E4279C">
        <w:t xml:space="preserve">Clause </w:t>
      </w:r>
      <w:r w:rsidRPr="00096DC0">
        <w:t>6, should be applied.</w:t>
      </w:r>
    </w:p>
    <w:p w14:paraId="6215E66E" w14:textId="77777777" w:rsidR="00C2354A" w:rsidRPr="00096DC0" w:rsidRDefault="00C2354A" w:rsidP="0080187E">
      <w:pPr>
        <w:pStyle w:val="Clause"/>
        <w:numPr>
          <w:ilvl w:val="0"/>
          <w:numId w:val="86"/>
        </w:numPr>
      </w:pPr>
      <w:r w:rsidRPr="00096DC0">
        <w:t>10.14.4 should be applied to precast concrete cladding panels.</w:t>
      </w:r>
    </w:p>
    <w:p w14:paraId="7D35ED3D" w14:textId="77777777" w:rsidR="00C2354A" w:rsidRPr="00096DC0" w:rsidRDefault="00C2354A" w:rsidP="0080187E">
      <w:pPr>
        <w:pStyle w:val="Clause"/>
        <w:numPr>
          <w:ilvl w:val="0"/>
          <w:numId w:val="86"/>
        </w:numPr>
      </w:pPr>
      <w:r w:rsidRPr="00096DC0">
        <w:t>The out-of-plane seismic action effect should be calculated according to 7.2.1.</w:t>
      </w:r>
    </w:p>
    <w:p w14:paraId="18DB30DA" w14:textId="77777777" w:rsidR="00C2354A" w:rsidRPr="00414133" w:rsidRDefault="00C2354A" w:rsidP="0080187E">
      <w:pPr>
        <w:pStyle w:val="Clause"/>
        <w:numPr>
          <w:ilvl w:val="0"/>
          <w:numId w:val="86"/>
        </w:numPr>
      </w:pPr>
      <w:r w:rsidRPr="00E05E29">
        <w:t xml:space="preserve">The </w:t>
      </w:r>
      <w:r w:rsidRPr="00AD4607">
        <w:t xml:space="preserve">design lateral load per unit area </w:t>
      </w:r>
      <w:r w:rsidRPr="00AD4607">
        <w:rPr>
          <w:i/>
        </w:rPr>
        <w:t>f</w:t>
      </w:r>
      <w:r w:rsidRPr="000C1275">
        <w:rPr>
          <w:iCs/>
          <w:vertAlign w:val="subscript"/>
        </w:rPr>
        <w:t>ap</w:t>
      </w:r>
      <w:r w:rsidRPr="00AD4607">
        <w:rPr>
          <w:i/>
          <w:vertAlign w:val="subscript"/>
        </w:rPr>
        <w:t xml:space="preserve"> </w:t>
      </w:r>
      <w:r w:rsidRPr="00AD4607">
        <w:t xml:space="preserve">may be calculated using </w:t>
      </w:r>
      <w:r w:rsidRPr="00414133">
        <w:t>Formula (7.9).</w:t>
      </w:r>
    </w:p>
    <w:p w14:paraId="2BEDE00E" w14:textId="77777777" w:rsidR="00C2354A" w:rsidRPr="00E05E29" w:rsidRDefault="00C2354A" w:rsidP="00C2354A">
      <w:pPr>
        <w:pStyle w:val="Heading4"/>
      </w:pPr>
      <w:bookmarkStart w:id="1055" w:name="_Toc108342269"/>
      <w:r w:rsidRPr="00E05E29">
        <w:t>Analysis of structures with isostatic arrangements of wall panel connections, applicable to DC1, DC2 and DC3</w:t>
      </w:r>
      <w:bookmarkEnd w:id="1055"/>
    </w:p>
    <w:p w14:paraId="5FB95027" w14:textId="77777777" w:rsidR="00C2354A" w:rsidRPr="00E05E29" w:rsidRDefault="00C2354A" w:rsidP="0080187E">
      <w:pPr>
        <w:pStyle w:val="Clause"/>
        <w:numPr>
          <w:ilvl w:val="0"/>
          <w:numId w:val="87"/>
        </w:numPr>
      </w:pPr>
      <w:r w:rsidRPr="00E05E29">
        <w:t xml:space="preserve">The analysis may use a </w:t>
      </w:r>
      <w:r w:rsidRPr="001C764C">
        <w:t xml:space="preserve">model of the primary structural system </w:t>
      </w:r>
      <w:r w:rsidRPr="00E05E29">
        <w:t>alone.</w:t>
      </w:r>
    </w:p>
    <w:p w14:paraId="6344C48D" w14:textId="77777777" w:rsidR="00C2354A" w:rsidRPr="00E05E29" w:rsidRDefault="00C2354A" w:rsidP="0080187E">
      <w:pPr>
        <w:pStyle w:val="Clause"/>
        <w:numPr>
          <w:ilvl w:val="0"/>
          <w:numId w:val="87"/>
        </w:numPr>
      </w:pPr>
      <w:r w:rsidRPr="00E05E29">
        <w:t>If the wall panels are introduced as structural members in the model, they may be modelled as prismatic elements with their weigh</w:t>
      </w:r>
      <w:bookmarkStart w:id="1056" w:name="_Hlk504459185"/>
      <w:r w:rsidRPr="00E05E29">
        <w:t>t distributed along their axis.</w:t>
      </w:r>
    </w:p>
    <w:p w14:paraId="60355400" w14:textId="77777777" w:rsidR="00C2354A" w:rsidRPr="00E05E29" w:rsidRDefault="00C2354A" w:rsidP="0080187E">
      <w:pPr>
        <w:pStyle w:val="Clause"/>
        <w:numPr>
          <w:ilvl w:val="0"/>
          <w:numId w:val="87"/>
        </w:numPr>
      </w:pPr>
      <w:r w:rsidRPr="00E05E29">
        <w:t xml:space="preserve">If the wall panels are introduced </w:t>
      </w:r>
      <w:r>
        <w:t xml:space="preserve">only </w:t>
      </w:r>
      <w:r w:rsidRPr="00E05E29">
        <w:t>as masses in the model, their total mass</w:t>
      </w:r>
      <w:r w:rsidRPr="00E05E29">
        <w:rPr>
          <w:i/>
          <w:iCs/>
        </w:rPr>
        <w:t xml:space="preserve"> </w:t>
      </w:r>
      <w:r w:rsidRPr="00E05E29">
        <w:t>should be added to that of the members restraining them.</w:t>
      </w:r>
      <w:bookmarkEnd w:id="1056"/>
    </w:p>
    <w:p w14:paraId="78E46AB9" w14:textId="77777777" w:rsidR="00C2354A" w:rsidRPr="00E05E29" w:rsidRDefault="00C2354A" w:rsidP="0080187E">
      <w:pPr>
        <w:pStyle w:val="Clause"/>
        <w:numPr>
          <w:ilvl w:val="0"/>
          <w:numId w:val="87"/>
        </w:numPr>
      </w:pPr>
      <w:r w:rsidRPr="00E05E29">
        <w:t xml:space="preserve">Cladding panels may </w:t>
      </w:r>
      <w:r w:rsidRPr="001C764C">
        <w:t xml:space="preserve">be considered </w:t>
      </w:r>
      <w:r w:rsidRPr="00096DC0">
        <w:t>to rock if 7.5.3.1(3) and 7.5.3.2 are satisfied</w:t>
      </w:r>
      <w:r w:rsidRPr="00E05E29">
        <w:t>.</w:t>
      </w:r>
    </w:p>
    <w:p w14:paraId="6DDF3C88" w14:textId="22CE98F1" w:rsidR="00C2354A" w:rsidRPr="00E05E29" w:rsidRDefault="00C2354A" w:rsidP="00C2354A">
      <w:pPr>
        <w:pStyle w:val="Heading4"/>
      </w:pPr>
      <w:bookmarkStart w:id="1057" w:name="_Toc108342270"/>
      <w:r w:rsidRPr="00E05E29">
        <w:t xml:space="preserve">Analysis of structures with integrated panels and non-dissipative panel connections, applicable </w:t>
      </w:r>
      <w:r w:rsidRPr="001C764C">
        <w:t xml:space="preserve">to structures designed in </w:t>
      </w:r>
      <w:r w:rsidRPr="00E05E29">
        <w:t>DC1 and DC2</w:t>
      </w:r>
      <w:bookmarkStart w:id="1058" w:name="_Hlk504145001"/>
      <w:bookmarkEnd w:id="1057"/>
      <w:bookmarkEnd w:id="1058"/>
    </w:p>
    <w:p w14:paraId="28221B07" w14:textId="77777777" w:rsidR="00C2354A" w:rsidRPr="00E05E29" w:rsidRDefault="00C2354A" w:rsidP="0080187E">
      <w:pPr>
        <w:pStyle w:val="Clause"/>
        <w:numPr>
          <w:ilvl w:val="0"/>
          <w:numId w:val="88"/>
        </w:numPr>
      </w:pPr>
      <w:r w:rsidRPr="00E05E29">
        <w:t>The model for the analysis should include the cladding panels and their connections to the frame and to other panels.</w:t>
      </w:r>
    </w:p>
    <w:p w14:paraId="3F73AB7E" w14:textId="77777777" w:rsidR="00C2354A" w:rsidRPr="00E05E29" w:rsidRDefault="00C2354A" w:rsidP="0080187E">
      <w:pPr>
        <w:pStyle w:val="Clause"/>
        <w:numPr>
          <w:ilvl w:val="0"/>
          <w:numId w:val="88"/>
        </w:numPr>
      </w:pPr>
      <w:r w:rsidRPr="00E05E29">
        <w:t>The stiffness of the connections may be taken into account in the model.</w:t>
      </w:r>
    </w:p>
    <w:p w14:paraId="5386D358" w14:textId="77777777" w:rsidR="00C2354A" w:rsidRPr="00E05E29" w:rsidRDefault="00C2354A" w:rsidP="0080187E">
      <w:pPr>
        <w:pStyle w:val="Clause"/>
        <w:numPr>
          <w:ilvl w:val="0"/>
          <w:numId w:val="88"/>
        </w:numPr>
      </w:pPr>
      <w:r w:rsidRPr="00E05E29">
        <w:t>Walls panels may be modelled by means of plate elements or beam-column elements.</w:t>
      </w:r>
    </w:p>
    <w:p w14:paraId="7666B740" w14:textId="77777777" w:rsidR="00C2354A" w:rsidRPr="00E05E29" w:rsidRDefault="00C2354A" w:rsidP="00C2354A">
      <w:pPr>
        <w:pStyle w:val="Heading4"/>
      </w:pPr>
      <w:bookmarkStart w:id="1059" w:name="_Toc108342271"/>
      <w:r w:rsidRPr="00E05E29">
        <w:t xml:space="preserve">Analysis of structures with integrated panels and dissipative panel connections, applicable </w:t>
      </w:r>
      <w:r w:rsidRPr="001C764C">
        <w:t xml:space="preserve">to structures designed in </w:t>
      </w:r>
      <w:r w:rsidRPr="00E05E29">
        <w:t>DC3</w:t>
      </w:r>
      <w:bookmarkEnd w:id="1059"/>
    </w:p>
    <w:p w14:paraId="5D90FBBF" w14:textId="77777777" w:rsidR="00C2354A" w:rsidRPr="00E05E29" w:rsidRDefault="00C2354A" w:rsidP="0080187E">
      <w:pPr>
        <w:pStyle w:val="Clause"/>
        <w:numPr>
          <w:ilvl w:val="0"/>
          <w:numId w:val="89"/>
        </w:numPr>
      </w:pPr>
      <w:r w:rsidRPr="00E05E29">
        <w:t>The analysis of structures with integrated panels and dissipative panel connections should be non-linear.</w:t>
      </w:r>
    </w:p>
    <w:p w14:paraId="1E16C500" w14:textId="77777777" w:rsidR="00C2354A" w:rsidRPr="00E05E29" w:rsidRDefault="00C2354A" w:rsidP="0080187E">
      <w:pPr>
        <w:pStyle w:val="Clause"/>
        <w:numPr>
          <w:ilvl w:val="0"/>
          <w:numId w:val="89"/>
        </w:numPr>
      </w:pPr>
      <w:r w:rsidRPr="00E05E29">
        <w:t>The panel connections should be represented by their constitutive laws.</w:t>
      </w:r>
    </w:p>
    <w:p w14:paraId="6A905914" w14:textId="77777777" w:rsidR="00C2354A" w:rsidRPr="00E05E29" w:rsidRDefault="00C2354A" w:rsidP="00C2354A">
      <w:pPr>
        <w:pStyle w:val="Heading3"/>
      </w:pPr>
      <w:bookmarkStart w:id="1060" w:name="_Toc15389603"/>
      <w:bookmarkStart w:id="1061" w:name="_Toc16927671"/>
      <w:bookmarkStart w:id="1062" w:name="_Toc50150320"/>
      <w:bookmarkStart w:id="1063" w:name="_Toc70886751"/>
      <w:bookmarkStart w:id="1064" w:name="_Toc108342272"/>
      <w:bookmarkStart w:id="1065" w:name="_Toc134197841"/>
      <w:r w:rsidRPr="00E05E29">
        <w:t>Cladding panels</w:t>
      </w:r>
      <w:bookmarkEnd w:id="1060"/>
      <w:bookmarkEnd w:id="1061"/>
      <w:bookmarkEnd w:id="1062"/>
      <w:bookmarkEnd w:id="1063"/>
      <w:bookmarkEnd w:id="1064"/>
      <w:bookmarkEnd w:id="1065"/>
    </w:p>
    <w:p w14:paraId="3EB64A6E" w14:textId="77777777" w:rsidR="00C2354A" w:rsidRPr="00E05E29" w:rsidRDefault="00C2354A" w:rsidP="00C2354A">
      <w:pPr>
        <w:pStyle w:val="Heading4"/>
      </w:pPr>
      <w:bookmarkStart w:id="1066" w:name="_Toc108342273"/>
      <w:r w:rsidRPr="00096DC0">
        <w:t xml:space="preserve">Verifications applicable </w:t>
      </w:r>
      <w:r w:rsidRPr="00E05E29">
        <w:t>to all types of cladding panels</w:t>
      </w:r>
      <w:bookmarkEnd w:id="1066"/>
    </w:p>
    <w:p w14:paraId="72522298" w14:textId="320DDBB8" w:rsidR="00C2354A" w:rsidRPr="00AC005B" w:rsidRDefault="00C2354A" w:rsidP="0080187E">
      <w:pPr>
        <w:pStyle w:val="Clause"/>
        <w:numPr>
          <w:ilvl w:val="0"/>
          <w:numId w:val="90"/>
        </w:numPr>
      </w:pPr>
      <w:r w:rsidRPr="00E05E29">
        <w:t>The out</w:t>
      </w:r>
      <w:r>
        <w:t>-</w:t>
      </w:r>
      <w:r w:rsidRPr="00E05E29">
        <w:t>of</w:t>
      </w:r>
      <w:r>
        <w:t>-</w:t>
      </w:r>
      <w:r w:rsidRPr="00E05E29">
        <w:t xml:space="preserve">plane resistance of claddings should be greater than the calculated action effects in bending and shear due to the design out of plane force per unit area </w:t>
      </w:r>
      <w:r w:rsidRPr="00414133">
        <w:rPr>
          <w:i/>
        </w:rPr>
        <w:t>f</w:t>
      </w:r>
      <w:r w:rsidRPr="00414133">
        <w:rPr>
          <w:iCs/>
          <w:vertAlign w:val="subscript"/>
        </w:rPr>
        <w:t>ap</w:t>
      </w:r>
      <w:r w:rsidRPr="00E05E29">
        <w:t xml:space="preserve"> calculated according to according </w:t>
      </w:r>
      <w:r w:rsidRPr="00AC005B">
        <w:t>to 7.4.2.5(2).</w:t>
      </w:r>
    </w:p>
    <w:p w14:paraId="540609BE" w14:textId="77777777" w:rsidR="00C2354A" w:rsidRPr="00E05E29" w:rsidRDefault="00C2354A" w:rsidP="0080187E">
      <w:pPr>
        <w:pStyle w:val="Clause"/>
        <w:numPr>
          <w:ilvl w:val="0"/>
          <w:numId w:val="90"/>
        </w:numPr>
      </w:pPr>
      <w:r w:rsidRPr="00E05E29">
        <w:t>The resistance of claddings to in-plane forces should be greater than the calculated action effects.</w:t>
      </w:r>
    </w:p>
    <w:p w14:paraId="06B0A6DA" w14:textId="77777777" w:rsidR="00C2354A" w:rsidRPr="00E05E29" w:rsidRDefault="00C2354A" w:rsidP="0080187E">
      <w:pPr>
        <w:pStyle w:val="Clause"/>
        <w:numPr>
          <w:ilvl w:val="0"/>
          <w:numId w:val="90"/>
        </w:numPr>
      </w:pPr>
      <w:r w:rsidRPr="00E05E29">
        <w:lastRenderedPageBreak/>
        <w:t xml:space="preserve">The resistance and deformation capacity of the connections </w:t>
      </w:r>
      <w:r w:rsidRPr="001C764C">
        <w:t xml:space="preserve">should not be smaller than </w:t>
      </w:r>
      <w:r w:rsidRPr="00E05E29">
        <w:t>the calculated action effects.</w:t>
      </w:r>
    </w:p>
    <w:p w14:paraId="41FDB118" w14:textId="77777777" w:rsidR="00C2354A" w:rsidRPr="00E05E29" w:rsidRDefault="00C2354A" w:rsidP="0080187E">
      <w:pPr>
        <w:pStyle w:val="Clause"/>
        <w:numPr>
          <w:ilvl w:val="0"/>
          <w:numId w:val="90"/>
        </w:numPr>
      </w:pPr>
      <w:r w:rsidRPr="00E05E29">
        <w:t>Friction due to compression forces other than by prestressing should be neglected in the evaluation of the resistance of connections to in-plane and out-of-plane forces.</w:t>
      </w:r>
    </w:p>
    <w:p w14:paraId="3C7FAC87" w14:textId="29844CD0" w:rsidR="00C2354A" w:rsidRPr="00AC005B" w:rsidRDefault="00C2354A" w:rsidP="00414133">
      <w:pPr>
        <w:pStyle w:val="Notetext"/>
        <w:rPr>
          <w:color w:val="000000" w:themeColor="text1"/>
        </w:rPr>
      </w:pPr>
      <w:r w:rsidRPr="00414133">
        <w:rPr>
          <w:color w:val="000000" w:themeColor="text1"/>
        </w:rPr>
        <w:t>NOTE</w:t>
      </w:r>
      <w:r w:rsidRPr="00414133">
        <w:rPr>
          <w:color w:val="000000" w:themeColor="text1"/>
        </w:rPr>
        <w:tab/>
      </w:r>
      <w:r w:rsidRPr="00AC005B">
        <w:rPr>
          <w:color w:val="000000" w:themeColor="text1"/>
        </w:rPr>
        <w:t xml:space="preserve">Additional rules specific to steel and timber cladding panels in lightweight steel structures are given in 11.14.5 and 11.14.6. Additional rules specific to framed wall timber structures with wood-based cladding panels or with other types of sheathing material panels are given in </w:t>
      </w:r>
      <w:r w:rsidRPr="00AC005B">
        <w:rPr>
          <w:rFonts w:eastAsia="Cambria,Bold" w:cs="Cambria,Bold"/>
          <w:color w:val="000000" w:themeColor="text1"/>
        </w:rPr>
        <w:t>13.8.1</w:t>
      </w:r>
      <w:r w:rsidRPr="00AC005B">
        <w:rPr>
          <w:color w:val="000000" w:themeColor="text1"/>
        </w:rPr>
        <w:t>.</w:t>
      </w:r>
    </w:p>
    <w:p w14:paraId="090A8379" w14:textId="77777777" w:rsidR="00C2354A" w:rsidRPr="00E05E29" w:rsidRDefault="00C2354A" w:rsidP="00C2354A">
      <w:pPr>
        <w:pStyle w:val="Heading4"/>
      </w:pPr>
      <w:bookmarkStart w:id="1067" w:name="_Toc108342274"/>
      <w:r w:rsidRPr="001C764C">
        <w:t xml:space="preserve">Verifications of cladding panels </w:t>
      </w:r>
      <w:r w:rsidRPr="00E05E29">
        <w:t>with isostatic connection systems</w:t>
      </w:r>
      <w:bookmarkStart w:id="1068" w:name="_Hlk15372896"/>
      <w:bookmarkEnd w:id="1067"/>
      <w:bookmarkEnd w:id="1068"/>
    </w:p>
    <w:p w14:paraId="736276EB" w14:textId="77777777" w:rsidR="00C2354A" w:rsidRPr="00E05E29" w:rsidRDefault="00C2354A" w:rsidP="00414133">
      <w:pPr>
        <w:pStyle w:val="Notetext"/>
      </w:pPr>
      <w:r w:rsidRPr="00E05E29">
        <w:t>NOTE</w:t>
      </w:r>
      <w:r w:rsidRPr="00E05E29">
        <w:tab/>
        <w:t>In isostatic systems, action effects in the cladding and in the connections are determined by gravity and inertia forces; they do not depend on relative displacements between the supporting structure and the cladding. Thermal expansion is unrestrained. In precast concrete structures, isostatic arrangements are often used for both horizontal and vertical panels.</w:t>
      </w:r>
    </w:p>
    <w:p w14:paraId="23791DE4" w14:textId="2D961F1E" w:rsidR="00C2354A" w:rsidRPr="00E05E29" w:rsidRDefault="00C2354A" w:rsidP="0080187E">
      <w:pPr>
        <w:pStyle w:val="Clause"/>
        <w:numPr>
          <w:ilvl w:val="0"/>
          <w:numId w:val="91"/>
        </w:numPr>
      </w:pPr>
      <w:r w:rsidRPr="00E05E29">
        <w:t>Isostatic connection systems may consist of pinned, seated and sliding connection devices or by a combination of those.</w:t>
      </w:r>
    </w:p>
    <w:p w14:paraId="787C8BDE" w14:textId="77777777" w:rsidR="00C2354A" w:rsidRPr="00E05E29" w:rsidRDefault="00C2354A" w:rsidP="00414133">
      <w:pPr>
        <w:pStyle w:val="Notetext"/>
      </w:pPr>
      <w:r w:rsidRPr="00E05E29">
        <w:t>NOTE</w:t>
      </w:r>
      <w:r w:rsidRPr="00E05E29">
        <w:tab/>
        <w:t>Different concepts correspond to an isostatic connection of a cladding to a structure. If the cladding is connected by a single hinge, it is a pendulum; connected by two hinges, it is a cantilever cladding; connected by two special hinges which allow, besides rotation, a free move upwards but not downwards, it is a rocking cladding; connected by one hinge and one sliding support, it is a beam cladding, either sitting or hanging.</w:t>
      </w:r>
    </w:p>
    <w:p w14:paraId="5D0EADE5" w14:textId="77777777" w:rsidR="00C2354A" w:rsidRPr="00E05E29" w:rsidRDefault="00C2354A" w:rsidP="0080187E">
      <w:pPr>
        <w:pStyle w:val="Clause"/>
        <w:numPr>
          <w:ilvl w:val="0"/>
          <w:numId w:val="91"/>
        </w:numPr>
      </w:pPr>
      <w:r w:rsidRPr="00E05E29">
        <w:t>Sliding devices should allow free alternate displacements in both directions with negligible reactions.</w:t>
      </w:r>
    </w:p>
    <w:p w14:paraId="173219EA" w14:textId="77777777" w:rsidR="00C2354A" w:rsidRPr="00AC005B" w:rsidRDefault="00C2354A" w:rsidP="0080187E">
      <w:pPr>
        <w:pStyle w:val="Clause"/>
        <w:numPr>
          <w:ilvl w:val="0"/>
          <w:numId w:val="91"/>
        </w:numPr>
      </w:pPr>
      <w:r w:rsidRPr="00E05E29">
        <w:t xml:space="preserve">The design of sliding connections should be based on the displacement between the main structure and the claddings and comply </w:t>
      </w:r>
      <w:r w:rsidRPr="00AC005B">
        <w:t>with 7.5.3.1(3).</w:t>
      </w:r>
    </w:p>
    <w:p w14:paraId="7818D2D0" w14:textId="77777777" w:rsidR="00C2354A" w:rsidRPr="00E05E29" w:rsidRDefault="00C2354A" w:rsidP="0080187E">
      <w:pPr>
        <w:pStyle w:val="Clause"/>
        <w:numPr>
          <w:ilvl w:val="0"/>
          <w:numId w:val="91"/>
        </w:numPr>
      </w:pPr>
      <w:r w:rsidRPr="00E05E29">
        <w:t>Installation of sliding devices should keep positioning deviations within the admissible linear and angular tolerances of the joint.</w:t>
      </w:r>
    </w:p>
    <w:p w14:paraId="6B5C673A" w14:textId="77777777" w:rsidR="00C2354A" w:rsidRPr="00E05E29" w:rsidRDefault="00C2354A" w:rsidP="0080187E">
      <w:pPr>
        <w:pStyle w:val="Clause"/>
        <w:numPr>
          <w:ilvl w:val="0"/>
          <w:numId w:val="91"/>
        </w:numPr>
      </w:pPr>
      <w:r w:rsidRPr="00E05E29">
        <w:t>Compatibility of displacements at the corners of a building where orthogonal panels are jointed, with or without interposed angle elements, should be verified.</w:t>
      </w:r>
    </w:p>
    <w:p w14:paraId="52F10B0A" w14:textId="77777777" w:rsidR="00C2354A" w:rsidRPr="00E05E29" w:rsidRDefault="00C2354A" w:rsidP="00C2354A">
      <w:pPr>
        <w:pStyle w:val="Heading4"/>
      </w:pPr>
      <w:bookmarkStart w:id="1069" w:name="_Toc108342275"/>
      <w:bookmarkStart w:id="1070" w:name="_Hlk15373068"/>
      <w:r w:rsidRPr="001C764C">
        <w:t xml:space="preserve">Verifications of interacting </w:t>
      </w:r>
      <w:r w:rsidRPr="00E05E29">
        <w:t>cladding panels</w:t>
      </w:r>
      <w:bookmarkEnd w:id="1069"/>
    </w:p>
    <w:bookmarkEnd w:id="1070"/>
    <w:p w14:paraId="044158ED" w14:textId="77777777" w:rsidR="00C2354A" w:rsidRPr="00E05E29" w:rsidRDefault="00C2354A" w:rsidP="00A815F9">
      <w:pPr>
        <w:pStyle w:val="Notetext"/>
      </w:pPr>
      <w:r w:rsidRPr="00E05E29">
        <w:t>NOTE 1</w:t>
      </w:r>
      <w:r w:rsidRPr="00E05E29">
        <w:tab/>
        <w:t>Integrated arrangement are recommended mainly for vertical panels. In case of horizontal panels, integrated connections applied to the columns can induce significant shear forces in the columns, which can reduce their ductility.</w:t>
      </w:r>
    </w:p>
    <w:p w14:paraId="59FD2ADA" w14:textId="1A161618" w:rsidR="00C2354A" w:rsidRPr="00E05E29" w:rsidRDefault="00C2354A" w:rsidP="00A815F9">
      <w:pPr>
        <w:pStyle w:val="Notetext"/>
      </w:pPr>
      <w:r w:rsidRPr="00E05E29">
        <w:t>NOTE 2</w:t>
      </w:r>
      <w:r w:rsidRPr="00E05E29">
        <w:tab/>
        <w:t>There are different integrated fastening schemes. Vertical panels connected to beams by two bottom and two top connections, each restraining horizontal and vertical displacement, realize a doubly fixed panel. A hinged-fixed panel can be real</w:t>
      </w:r>
      <w:r w:rsidR="00E10A24">
        <w:t>ize</w:t>
      </w:r>
      <w:r w:rsidRPr="00E05E29">
        <w:t>d by means of two bottom connections restraining horizontal and vertical displacement and two top connections restraining horizontal displacement and allowing vertical free displacements.</w:t>
      </w:r>
    </w:p>
    <w:p w14:paraId="6061D438" w14:textId="77777777" w:rsidR="00C2354A" w:rsidRPr="00E05E29" w:rsidRDefault="00C2354A" w:rsidP="0080187E">
      <w:pPr>
        <w:pStyle w:val="Clause"/>
        <w:numPr>
          <w:ilvl w:val="0"/>
          <w:numId w:val="92"/>
        </w:numPr>
      </w:pPr>
      <w:r w:rsidRPr="00E05E29">
        <w:t>Connections of integrated panels may be dissipative. Their effectiveness should be confirmed by tests.</w:t>
      </w:r>
    </w:p>
    <w:p w14:paraId="24175F2F" w14:textId="56AA70BD" w:rsidR="00C2354A" w:rsidRPr="00E05E29" w:rsidRDefault="00C2354A" w:rsidP="00A815F9">
      <w:pPr>
        <w:pStyle w:val="Notetext"/>
      </w:pPr>
      <w:r w:rsidRPr="00E05E29">
        <w:t>NOTE</w:t>
      </w:r>
      <w:r w:rsidRPr="00E05E29">
        <w:tab/>
      </w:r>
      <w:r w:rsidRPr="001C764C">
        <w:t>prCEN/TS</w:t>
      </w:r>
      <w:r w:rsidR="009C2A06">
        <w:t> </w:t>
      </w:r>
      <w:r w:rsidRPr="001C764C">
        <w:t>1998-</w:t>
      </w:r>
      <w:r w:rsidR="00460A67">
        <w:t>1-101</w:t>
      </w:r>
      <w:r w:rsidRPr="001C764C">
        <w:t xml:space="preserve"> </w:t>
      </w:r>
      <w:r w:rsidRPr="00E05E29">
        <w:t>gives a loading protocol and acceptance criteria for such tests.</w:t>
      </w:r>
    </w:p>
    <w:p w14:paraId="2FAB44B3" w14:textId="3FEE7245" w:rsidR="00C2354A" w:rsidRPr="00E05E29" w:rsidRDefault="00C2354A" w:rsidP="00E10A24">
      <w:pPr>
        <w:pStyle w:val="Heading2"/>
        <w:keepLines/>
      </w:pPr>
      <w:bookmarkStart w:id="1071" w:name="_Toc15389604"/>
      <w:bookmarkStart w:id="1072" w:name="_Toc16927672"/>
      <w:bookmarkStart w:id="1073" w:name="_Toc50150321"/>
      <w:bookmarkStart w:id="1074" w:name="_Toc70886752"/>
      <w:bookmarkStart w:id="1075" w:name="_Toc108342276"/>
      <w:bookmarkStart w:id="1076" w:name="_Toc134197842"/>
      <w:bookmarkEnd w:id="1053"/>
      <w:r w:rsidRPr="00E05E29">
        <w:lastRenderedPageBreak/>
        <w:t>Partitions</w:t>
      </w:r>
      <w:bookmarkEnd w:id="1071"/>
      <w:bookmarkEnd w:id="1072"/>
      <w:bookmarkEnd w:id="1073"/>
      <w:bookmarkEnd w:id="1074"/>
      <w:bookmarkEnd w:id="1075"/>
      <w:bookmarkEnd w:id="1076"/>
    </w:p>
    <w:p w14:paraId="58774A76" w14:textId="77777777" w:rsidR="00C2354A" w:rsidRPr="00E05E29" w:rsidRDefault="00C2354A" w:rsidP="00E10A24">
      <w:pPr>
        <w:pStyle w:val="Heading3"/>
        <w:keepLines/>
      </w:pPr>
      <w:bookmarkStart w:id="1077" w:name="_Toc15389605"/>
      <w:bookmarkStart w:id="1078" w:name="_Toc16927673"/>
      <w:bookmarkStart w:id="1079" w:name="_Toc50150322"/>
      <w:bookmarkStart w:id="1080" w:name="_Toc70886753"/>
      <w:bookmarkStart w:id="1081" w:name="_Toc108342277"/>
      <w:bookmarkStart w:id="1082" w:name="_Toc134197843"/>
      <w:r w:rsidRPr="00E05E29">
        <w:t>Basis of design</w:t>
      </w:r>
      <w:bookmarkEnd w:id="1077"/>
      <w:bookmarkEnd w:id="1078"/>
      <w:bookmarkEnd w:id="1079"/>
      <w:bookmarkEnd w:id="1080"/>
      <w:bookmarkEnd w:id="1081"/>
      <w:bookmarkEnd w:id="1082"/>
    </w:p>
    <w:p w14:paraId="73707CFC" w14:textId="6479BDA8" w:rsidR="00C2354A" w:rsidRPr="00E05E29" w:rsidRDefault="00C2354A" w:rsidP="00E10A24">
      <w:pPr>
        <w:pStyle w:val="Clause"/>
        <w:keepNext/>
        <w:keepLines/>
        <w:numPr>
          <w:ilvl w:val="0"/>
          <w:numId w:val="93"/>
        </w:numPr>
      </w:pPr>
      <w:r w:rsidRPr="00E05E29">
        <w:t>Out of plane collapse of partitions shall be prevented at SD limit state.</w:t>
      </w:r>
    </w:p>
    <w:p w14:paraId="3D77D3DF" w14:textId="77777777" w:rsidR="00C2354A" w:rsidRPr="00E05E29" w:rsidRDefault="00C2354A" w:rsidP="00E10A24">
      <w:pPr>
        <w:pStyle w:val="Clause"/>
        <w:keepNext/>
        <w:keepLines/>
        <w:numPr>
          <w:ilvl w:val="0"/>
          <w:numId w:val="93"/>
        </w:numPr>
      </w:pPr>
      <w:r w:rsidRPr="00E05E29">
        <w:t>The connections of partitions to the structure should resist seismic action effects.</w:t>
      </w:r>
    </w:p>
    <w:p w14:paraId="3907E376" w14:textId="77777777" w:rsidR="00C2354A" w:rsidRPr="001C764C" w:rsidRDefault="00C2354A" w:rsidP="00E10A24">
      <w:pPr>
        <w:pStyle w:val="Heading3"/>
        <w:keepLines/>
      </w:pPr>
      <w:bookmarkStart w:id="1083" w:name="_Toc108342278"/>
      <w:bookmarkStart w:id="1084" w:name="_Toc134197844"/>
      <w:r w:rsidRPr="001C764C">
        <w:t>Verification of partitions</w:t>
      </w:r>
      <w:bookmarkEnd w:id="1083"/>
      <w:bookmarkEnd w:id="1084"/>
    </w:p>
    <w:p w14:paraId="7EADEA59" w14:textId="77777777" w:rsidR="00C2354A" w:rsidRPr="00AC005B" w:rsidRDefault="00C2354A" w:rsidP="00E10A24">
      <w:pPr>
        <w:pStyle w:val="Clause"/>
        <w:keepNext/>
        <w:keepLines/>
        <w:numPr>
          <w:ilvl w:val="0"/>
          <w:numId w:val="94"/>
        </w:numPr>
      </w:pPr>
      <w:r w:rsidRPr="006F2F75">
        <w:t xml:space="preserve">The out-of-plane resistance of </w:t>
      </w:r>
      <w:r>
        <w:t>partition</w:t>
      </w:r>
      <w:r w:rsidRPr="006F2F75">
        <w:t xml:space="preserve">s should be greater than the calculated action effects in bending and shear due to the design out of plane force per </w:t>
      </w:r>
      <w:r w:rsidRPr="00AC005B">
        <w:t xml:space="preserve">unit area </w:t>
      </w:r>
      <w:r w:rsidRPr="00AC005B">
        <w:rPr>
          <w:i/>
          <w:iCs/>
        </w:rPr>
        <w:t>f</w:t>
      </w:r>
      <w:r w:rsidRPr="00AC005B">
        <w:rPr>
          <w:vertAlign w:val="subscript"/>
        </w:rPr>
        <w:t>ap</w:t>
      </w:r>
      <w:r w:rsidRPr="00AC005B">
        <w:t xml:space="preserve"> calculated as given in 7.4.2.5.</w:t>
      </w:r>
    </w:p>
    <w:p w14:paraId="71045948" w14:textId="2F9546F1" w:rsidR="00C2354A" w:rsidRPr="00AC005B" w:rsidRDefault="00C2354A" w:rsidP="0080187E">
      <w:pPr>
        <w:pStyle w:val="Clause"/>
        <w:numPr>
          <w:ilvl w:val="0"/>
          <w:numId w:val="94"/>
        </w:numPr>
      </w:pPr>
      <w:r w:rsidRPr="00AC005B">
        <w:t xml:space="preserve">The connections of a partition should be designed to resist the resultant </w:t>
      </w:r>
      <w:r w:rsidRPr="00AC005B">
        <w:rPr>
          <w:i/>
        </w:rPr>
        <w:t>F</w:t>
      </w:r>
      <w:r w:rsidRPr="00AC005B">
        <w:rPr>
          <w:iCs/>
          <w:vertAlign w:val="subscript"/>
        </w:rPr>
        <w:t>ap</w:t>
      </w:r>
      <w:r w:rsidRPr="00AC005B">
        <w:rPr>
          <w:iCs/>
        </w:rPr>
        <w:t xml:space="preserve"> </w:t>
      </w:r>
      <w:r w:rsidRPr="00AC005B">
        <w:t>of lateral action effect as given in 7.2.1(3).</w:t>
      </w:r>
    </w:p>
    <w:p w14:paraId="4EE21039" w14:textId="6F5EF496" w:rsidR="00C2354A" w:rsidRPr="00AC005B" w:rsidRDefault="00C2354A" w:rsidP="0080187E">
      <w:pPr>
        <w:pStyle w:val="Clause"/>
        <w:numPr>
          <w:ilvl w:val="0"/>
          <w:numId w:val="94"/>
        </w:numPr>
      </w:pPr>
      <w:r w:rsidRPr="00AC005B">
        <w:t>The connections of a partition to the bounding frame should be distributed regularly along the partition perimeter, or on parts of it, either laterally on two opposite sides or on top and bottom.</w:t>
      </w:r>
    </w:p>
    <w:p w14:paraId="5195384B" w14:textId="5EA39720" w:rsidR="00C2354A" w:rsidRDefault="00C2354A" w:rsidP="0080187E">
      <w:pPr>
        <w:pStyle w:val="Clause"/>
        <w:numPr>
          <w:ilvl w:val="0"/>
          <w:numId w:val="94"/>
        </w:numPr>
      </w:pPr>
      <w:r w:rsidRPr="00AC005B">
        <w:t>For masonry partitions, 14.6.3</w:t>
      </w:r>
      <w:r w:rsidR="004151D9" w:rsidRPr="00AC005B">
        <w:t xml:space="preserve"> </w:t>
      </w:r>
      <w:r w:rsidRPr="00AC005B">
        <w:t>shou</w:t>
      </w:r>
      <w:r w:rsidRPr="00945E62">
        <w:t>ld be applied</w:t>
      </w:r>
      <w:r>
        <w:t>.</w:t>
      </w:r>
    </w:p>
    <w:p w14:paraId="7A584D38" w14:textId="7231AC35" w:rsidR="00727FC2" w:rsidRPr="00870D59" w:rsidRDefault="00725308" w:rsidP="00727FC2">
      <w:pPr>
        <w:pStyle w:val="Heading1"/>
        <w:tabs>
          <w:tab w:val="left" w:pos="403"/>
          <w:tab w:val="left" w:pos="432"/>
          <w:tab w:val="left" w:pos="562"/>
        </w:tabs>
        <w:autoSpaceDE w:val="0"/>
        <w:autoSpaceDN w:val="0"/>
        <w:adjustRightInd w:val="0"/>
        <w:ind w:left="431" w:hanging="431"/>
        <w:rPr>
          <w:szCs w:val="24"/>
        </w:rPr>
      </w:pPr>
      <w:bookmarkStart w:id="1085" w:name="_Toc134197845"/>
      <w:r>
        <w:rPr>
          <w:color w:val="000000" w:themeColor="text1"/>
        </w:rPr>
        <w:t>Base isolated buildings</w:t>
      </w:r>
      <w:bookmarkEnd w:id="1085"/>
    </w:p>
    <w:p w14:paraId="28974D83" w14:textId="6758E70F" w:rsidR="00F744F1" w:rsidRPr="00870D59" w:rsidRDefault="00725308" w:rsidP="00F744F1">
      <w:pPr>
        <w:pStyle w:val="Heading2"/>
        <w:tabs>
          <w:tab w:val="left" w:pos="400"/>
          <w:tab w:val="left" w:pos="540"/>
          <w:tab w:val="left" w:pos="700"/>
        </w:tabs>
        <w:autoSpaceDE w:val="0"/>
        <w:autoSpaceDN w:val="0"/>
        <w:adjustRightInd w:val="0"/>
        <w:ind w:left="432" w:hanging="432"/>
        <w:rPr>
          <w:szCs w:val="24"/>
        </w:rPr>
      </w:pPr>
      <w:bookmarkStart w:id="1086" w:name="_Toc134197846"/>
      <w:r>
        <w:rPr>
          <w:color w:val="000000" w:themeColor="text1"/>
        </w:rPr>
        <w:t>Field of application</w:t>
      </w:r>
      <w:bookmarkEnd w:id="1086"/>
    </w:p>
    <w:p w14:paraId="5DA03FF0" w14:textId="1CEB68C1" w:rsidR="00583DED" w:rsidRPr="00725308" w:rsidRDefault="00AC005B" w:rsidP="0080187E">
      <w:pPr>
        <w:pStyle w:val="Clause"/>
        <w:numPr>
          <w:ilvl w:val="0"/>
          <w:numId w:val="17"/>
        </w:numPr>
        <w:rPr>
          <w:color w:val="auto"/>
        </w:rPr>
      </w:pPr>
      <w:r w:rsidRPr="00AC005B">
        <w:rPr>
          <w:bCs/>
        </w:rPr>
        <w:t>This clause</w:t>
      </w:r>
      <w:r w:rsidR="00725308" w:rsidRPr="00AC005B">
        <w:rPr>
          <w:bCs/>
        </w:rPr>
        <w:t xml:space="preserve"> should be used for the design of seismically fully isolated buildings in which the isolation system, located below the main</w:t>
      </w:r>
      <w:r w:rsidR="00725308" w:rsidRPr="00E05E29">
        <w:t xml:space="preserve"> mass of the structure, aims at reducing the seismic response of the lateral force resisting system.</w:t>
      </w:r>
    </w:p>
    <w:p w14:paraId="4FA35624" w14:textId="2CA68C5E" w:rsidR="00725308" w:rsidRPr="00AC005B" w:rsidRDefault="00725308" w:rsidP="00725308">
      <w:pPr>
        <w:pStyle w:val="Notetext"/>
      </w:pPr>
      <w:r w:rsidRPr="00E05E29">
        <w:t>NOTE</w:t>
      </w:r>
      <w:r w:rsidRPr="00E05E29">
        <w:tab/>
      </w:r>
      <w:r w:rsidR="00AC005B" w:rsidRPr="00AC005B">
        <w:t xml:space="preserve">Clause </w:t>
      </w:r>
      <w:r w:rsidRPr="00AC005B">
        <w:t xml:space="preserve">8 does not cover passive energy dissipation systems that are not arranged on a single interface but are distributed over several storeys or levels of the structure. These are covered in </w:t>
      </w:r>
      <w:r w:rsidR="00AC005B">
        <w:t xml:space="preserve">Clause </w:t>
      </w:r>
      <w:r w:rsidRPr="00AC005B">
        <w:t>9.</w:t>
      </w:r>
    </w:p>
    <w:p w14:paraId="491CEC73" w14:textId="77777777" w:rsidR="00725308" w:rsidRPr="00E05E29" w:rsidRDefault="00725308" w:rsidP="00725308">
      <w:pPr>
        <w:pStyle w:val="Heading2"/>
      </w:pPr>
      <w:bookmarkStart w:id="1087" w:name="_Toc16927678"/>
      <w:bookmarkStart w:id="1088" w:name="_Toc50150327"/>
      <w:bookmarkStart w:id="1089" w:name="_Toc70886758"/>
      <w:bookmarkStart w:id="1090" w:name="_Toc108342281"/>
      <w:bookmarkStart w:id="1091" w:name="_Toc134197847"/>
      <w:r w:rsidRPr="00E05E29">
        <w:t>Basis of design</w:t>
      </w:r>
      <w:bookmarkEnd w:id="1087"/>
      <w:bookmarkEnd w:id="1088"/>
      <w:bookmarkEnd w:id="1089"/>
      <w:bookmarkEnd w:id="1090"/>
      <w:bookmarkEnd w:id="1091"/>
    </w:p>
    <w:p w14:paraId="75A7CAB8" w14:textId="77777777" w:rsidR="00725308" w:rsidRPr="00E05E29" w:rsidRDefault="00725308" w:rsidP="00725308">
      <w:pPr>
        <w:pStyle w:val="Heading3"/>
      </w:pPr>
      <w:bookmarkStart w:id="1092" w:name="_Toc16927679"/>
      <w:bookmarkStart w:id="1093" w:name="_Toc50150328"/>
      <w:bookmarkStart w:id="1094" w:name="_Toc70886759"/>
      <w:bookmarkStart w:id="1095" w:name="_Toc108342282"/>
      <w:bookmarkStart w:id="1096" w:name="_Toc134197848"/>
      <w:r w:rsidRPr="00E05E29">
        <w:t>Compliance criteria</w:t>
      </w:r>
      <w:bookmarkEnd w:id="1092"/>
      <w:bookmarkEnd w:id="1093"/>
      <w:bookmarkEnd w:id="1094"/>
      <w:bookmarkEnd w:id="1095"/>
      <w:bookmarkEnd w:id="1096"/>
    </w:p>
    <w:p w14:paraId="4118F7F8" w14:textId="6B7E7B9D" w:rsidR="00725308" w:rsidRPr="00AC005B" w:rsidRDefault="00725308" w:rsidP="0080187E">
      <w:pPr>
        <w:pStyle w:val="Clause"/>
        <w:numPr>
          <w:ilvl w:val="0"/>
          <w:numId w:val="96"/>
        </w:numPr>
        <w:rPr>
          <w:u w:val="single"/>
        </w:rPr>
      </w:pPr>
      <w:r w:rsidRPr="00E05E29">
        <w:t xml:space="preserve">The design of base isolated buildings should comply with </w:t>
      </w:r>
      <w:r>
        <w:t>prEN</w:t>
      </w:r>
      <w:r w:rsidR="00AC005B">
        <w:t> </w:t>
      </w:r>
      <w:r w:rsidRPr="00AC005B">
        <w:t>1998-1-1:2022, 4.4, with additional rules given in 8.2.</w:t>
      </w:r>
    </w:p>
    <w:p w14:paraId="75EDBA22" w14:textId="6EA25DFE" w:rsidR="00725308" w:rsidRPr="00E05E29" w:rsidRDefault="00725308" w:rsidP="0080187E">
      <w:pPr>
        <w:pStyle w:val="Clause"/>
        <w:numPr>
          <w:ilvl w:val="0"/>
          <w:numId w:val="96"/>
        </w:numPr>
      </w:pPr>
      <w:r w:rsidRPr="00AC005B">
        <w:t>The rules given in prEN</w:t>
      </w:r>
      <w:r w:rsidR="00AC005B">
        <w:t> </w:t>
      </w:r>
      <w:r w:rsidRPr="00AC005B">
        <w:t>1998-1-1:2022, 6.8, should</w:t>
      </w:r>
      <w:r w:rsidRPr="00E05E29">
        <w:t xml:space="preserve"> be satisfied.</w:t>
      </w:r>
    </w:p>
    <w:p w14:paraId="3C0AB0C6" w14:textId="77777777" w:rsidR="00725308" w:rsidRPr="00E05E29" w:rsidRDefault="00725308" w:rsidP="00725308">
      <w:pPr>
        <w:pStyle w:val="Heading3"/>
      </w:pPr>
      <w:bookmarkStart w:id="1097" w:name="_Toc16927680"/>
      <w:bookmarkStart w:id="1098" w:name="_Toc50150329"/>
      <w:bookmarkStart w:id="1099" w:name="_Toc70886760"/>
      <w:bookmarkStart w:id="1100" w:name="_Toc108342283"/>
      <w:bookmarkStart w:id="1101" w:name="_Toc134197849"/>
      <w:r w:rsidRPr="00E05E29">
        <w:t>Control of undesirable movements</w:t>
      </w:r>
      <w:bookmarkEnd w:id="1097"/>
      <w:bookmarkEnd w:id="1098"/>
      <w:bookmarkEnd w:id="1099"/>
      <w:bookmarkEnd w:id="1100"/>
      <w:bookmarkEnd w:id="1101"/>
    </w:p>
    <w:p w14:paraId="012C70AE" w14:textId="4FD10C92" w:rsidR="00725308" w:rsidRPr="00E05E29" w:rsidRDefault="00725308" w:rsidP="0080187E">
      <w:pPr>
        <w:pStyle w:val="Clause"/>
        <w:numPr>
          <w:ilvl w:val="0"/>
          <w:numId w:val="97"/>
        </w:numPr>
      </w:pPr>
      <w:r w:rsidRPr="00E05E29">
        <w:t>To minim</w:t>
      </w:r>
      <w:r w:rsidR="00E10A24">
        <w:t>ize</w:t>
      </w:r>
      <w:r w:rsidRPr="00E05E29">
        <w:t xml:space="preserve"> torsional effects, the effective stiffness centre and the centre of damping of the isolation system should be as close as possible to the projection of the centre of the superstructure mass on the isolation interface.</w:t>
      </w:r>
    </w:p>
    <w:p w14:paraId="20EB6109" w14:textId="12B44F6E" w:rsidR="00725308" w:rsidRDefault="00725308" w:rsidP="0080187E">
      <w:pPr>
        <w:pStyle w:val="Clause"/>
        <w:numPr>
          <w:ilvl w:val="0"/>
          <w:numId w:val="97"/>
        </w:numPr>
      </w:pPr>
      <w:r w:rsidRPr="00E05E29">
        <w:t>To minim</w:t>
      </w:r>
      <w:r w:rsidR="00E10A24">
        <w:t>ize</w:t>
      </w:r>
      <w:r w:rsidRPr="00E05E29">
        <w:t xml:space="preserve"> different behaviour of isolators, the compressive stress induced in them by the permanent actions should be as uniform as possible.</w:t>
      </w:r>
    </w:p>
    <w:p w14:paraId="00F654FD" w14:textId="2D9ACCD0" w:rsidR="00725308" w:rsidRPr="00E05E29" w:rsidRDefault="00725308" w:rsidP="0080187E">
      <w:pPr>
        <w:pStyle w:val="Clause"/>
        <w:numPr>
          <w:ilvl w:val="0"/>
          <w:numId w:val="97"/>
        </w:numPr>
      </w:pPr>
      <w:r>
        <w:t>Devices should be fixed to the superstructure and the substructure by means of mechanical anchors. Anchorages should be in accordance with prEN</w:t>
      </w:r>
      <w:r w:rsidR="00AC005B">
        <w:t> </w:t>
      </w:r>
      <w:r>
        <w:t xml:space="preserve">1998-1-1:2022, Annex </w:t>
      </w:r>
      <w:r w:rsidR="5874D5DC">
        <w:t>G</w:t>
      </w:r>
      <w:r>
        <w:t>, and reliably ductile over any brittle failure modes.</w:t>
      </w:r>
    </w:p>
    <w:p w14:paraId="05272E2A" w14:textId="200D6A5F" w:rsidR="00725308" w:rsidRPr="00725308" w:rsidRDefault="00725308" w:rsidP="0080187E">
      <w:pPr>
        <w:pStyle w:val="Clause"/>
        <w:numPr>
          <w:ilvl w:val="0"/>
          <w:numId w:val="97"/>
        </w:numPr>
      </w:pPr>
      <w:r w:rsidRPr="00725308">
        <w:lastRenderedPageBreak/>
        <w:t>The isolation system should be designed so that shocks between the substructure and the isolated structure and potential torsional movements of the isolated structure are controlled by appropriate measures.</w:t>
      </w:r>
    </w:p>
    <w:p w14:paraId="4B22BE96" w14:textId="0239DA00" w:rsidR="00725308" w:rsidRDefault="00725308" w:rsidP="0080187E">
      <w:pPr>
        <w:pStyle w:val="Clause"/>
        <w:numPr>
          <w:ilvl w:val="0"/>
          <w:numId w:val="97"/>
        </w:numPr>
      </w:pPr>
      <w:r w:rsidRPr="00AC005B">
        <w:rPr>
          <w:bCs/>
        </w:rPr>
        <w:t>(4) may be considered to be satisfied if potential shock effects are avoided through suitable devices (e.g. dampers, shock</w:t>
      </w:r>
      <w:r w:rsidRPr="00E05E29">
        <w:t>-absorbers, etc.).</w:t>
      </w:r>
    </w:p>
    <w:p w14:paraId="0EF66C76" w14:textId="26B01CAF" w:rsidR="00725308" w:rsidRPr="00D9422F" w:rsidRDefault="00725308" w:rsidP="0080187E">
      <w:pPr>
        <w:pStyle w:val="Clause"/>
        <w:numPr>
          <w:ilvl w:val="0"/>
          <w:numId w:val="97"/>
        </w:numPr>
      </w:pPr>
      <w:r w:rsidRPr="00F44C62">
        <w:t>Rotation of isolator ends around horizontal axis should</w:t>
      </w:r>
      <w:r>
        <w:t xml:space="preserve"> not</w:t>
      </w:r>
      <w:r w:rsidRPr="00F44C62">
        <w:t xml:space="preserve"> be greater than 0</w:t>
      </w:r>
      <w:r>
        <w:t>,</w:t>
      </w:r>
      <w:r w:rsidRPr="00F44C62">
        <w:t>5.</w:t>
      </w:r>
    </w:p>
    <w:p w14:paraId="1EABB340" w14:textId="77777777" w:rsidR="00725308" w:rsidRPr="00E05E29" w:rsidRDefault="00725308" w:rsidP="00725308">
      <w:pPr>
        <w:pStyle w:val="Heading3"/>
      </w:pPr>
      <w:bookmarkStart w:id="1102" w:name="_Toc16927681"/>
      <w:bookmarkStart w:id="1103" w:name="_Toc50150330"/>
      <w:bookmarkStart w:id="1104" w:name="_Toc70886761"/>
      <w:bookmarkStart w:id="1105" w:name="_Toc108342284"/>
      <w:bookmarkStart w:id="1106" w:name="_Toc134197850"/>
      <w:r w:rsidRPr="00E05E29">
        <w:t>Control of differential seismic ground motions</w:t>
      </w:r>
      <w:bookmarkEnd w:id="1102"/>
      <w:bookmarkEnd w:id="1103"/>
      <w:bookmarkEnd w:id="1104"/>
      <w:bookmarkEnd w:id="1105"/>
      <w:bookmarkEnd w:id="1106"/>
    </w:p>
    <w:p w14:paraId="3C08638F" w14:textId="0C51096D" w:rsidR="00725308" w:rsidRPr="00725308" w:rsidRDefault="00725308" w:rsidP="0080187E">
      <w:pPr>
        <w:pStyle w:val="Clause"/>
        <w:numPr>
          <w:ilvl w:val="0"/>
          <w:numId w:val="98"/>
        </w:numPr>
        <w:rPr>
          <w:u w:val="single"/>
        </w:rPr>
      </w:pPr>
      <w:r w:rsidRPr="00E05E29">
        <w:t xml:space="preserve">The structural members </w:t>
      </w:r>
      <w:r>
        <w:t xml:space="preserve">and the diaphragms </w:t>
      </w:r>
      <w:r w:rsidRPr="00E05E29">
        <w:t>located above and below the isolation interface should be sufficiently rigid both horizontally and vertically, so that the effects of differential seismic ground</w:t>
      </w:r>
      <w:r w:rsidRPr="00725308">
        <w:rPr>
          <w:i/>
        </w:rPr>
        <w:t xml:space="preserve"> </w:t>
      </w:r>
      <w:r w:rsidRPr="00E05E29">
        <w:t>displacements are minim</w:t>
      </w:r>
      <w:r w:rsidR="00E10A24">
        <w:t>ize</w:t>
      </w:r>
      <w:r w:rsidRPr="00E05E29">
        <w:t>d.</w:t>
      </w:r>
    </w:p>
    <w:p w14:paraId="28E03F77" w14:textId="77777777" w:rsidR="00725308" w:rsidRPr="00E05E29" w:rsidRDefault="00725308" w:rsidP="0080187E">
      <w:pPr>
        <w:pStyle w:val="Clause"/>
        <w:numPr>
          <w:ilvl w:val="0"/>
          <w:numId w:val="98"/>
        </w:numPr>
      </w:pPr>
      <w:r w:rsidRPr="00E05E29">
        <w:t xml:space="preserve">In </w:t>
      </w:r>
      <w:r w:rsidRPr="00AC005B">
        <w:t>buildings, (1) may be</w:t>
      </w:r>
      <w:r w:rsidRPr="00E05E29">
        <w:t xml:space="preserve"> considered as satisfied if conditions a) and b) are </w:t>
      </w:r>
      <w:r>
        <w:t>satisfied</w:t>
      </w:r>
      <w:r w:rsidRPr="00E05E29">
        <w:t>:</w:t>
      </w:r>
    </w:p>
    <w:p w14:paraId="3DEF7BE4" w14:textId="77777777" w:rsidR="00725308" w:rsidRPr="00E05E29" w:rsidRDefault="00725308" w:rsidP="0080187E">
      <w:pPr>
        <w:pStyle w:val="List2"/>
        <w:numPr>
          <w:ilvl w:val="0"/>
          <w:numId w:val="99"/>
        </w:numPr>
        <w:spacing w:before="0" w:after="240" w:line="230" w:lineRule="atLeast"/>
        <w:contextualSpacing w:val="0"/>
      </w:pPr>
      <w:r w:rsidRPr="00E05E29">
        <w:t>A rigid diaphragm is provided above and under the isolation system, consisting of a reinforced concrete slab or a grid of tie-beams, designed taking into account all relevant local and global modes of buckling. This rigid diaphragm is not necessary if the structure consists of rigid boxed parts.</w:t>
      </w:r>
    </w:p>
    <w:p w14:paraId="2770B47E" w14:textId="7C181CEB" w:rsidR="00725308" w:rsidRPr="00E05E29" w:rsidRDefault="00725308" w:rsidP="0080187E">
      <w:pPr>
        <w:pStyle w:val="List2"/>
        <w:numPr>
          <w:ilvl w:val="0"/>
          <w:numId w:val="99"/>
        </w:numPr>
        <w:spacing w:before="0" w:after="240" w:line="230" w:lineRule="atLeast"/>
        <w:ind w:left="426" w:hanging="426"/>
        <w:contextualSpacing w:val="0"/>
      </w:pPr>
      <w:r w:rsidRPr="00E05E29">
        <w:t>The devices constituting the isolation system are fixed at both ends to the rigid diaphragms defined in a), either directly or, if not practicable, by means of vertical members, the relative horizontal displacement of which in the seismic design situation should be less than 5</w:t>
      </w:r>
      <w:r w:rsidR="00E4279C">
        <w:t> </w:t>
      </w:r>
      <w:r w:rsidRPr="00E05E29">
        <w:t>% of the relative displacement of the isolation system.</w:t>
      </w:r>
    </w:p>
    <w:p w14:paraId="29C9175F" w14:textId="77777777" w:rsidR="00725308" w:rsidRPr="00E05E29" w:rsidRDefault="00725308" w:rsidP="00725308">
      <w:pPr>
        <w:pStyle w:val="Heading3"/>
      </w:pPr>
      <w:bookmarkStart w:id="1107" w:name="_Toc16927682"/>
      <w:bookmarkStart w:id="1108" w:name="_Toc50150331"/>
      <w:bookmarkStart w:id="1109" w:name="_Toc70886762"/>
      <w:bookmarkStart w:id="1110" w:name="_Toc108342285"/>
      <w:bookmarkStart w:id="1111" w:name="_Toc134197851"/>
      <w:r w:rsidRPr="00E05E29">
        <w:t>Control of displacements relative to surrounding ground and constructions</w:t>
      </w:r>
      <w:bookmarkEnd w:id="1107"/>
      <w:bookmarkEnd w:id="1108"/>
      <w:bookmarkEnd w:id="1109"/>
      <w:bookmarkEnd w:id="1110"/>
      <w:bookmarkEnd w:id="1111"/>
    </w:p>
    <w:p w14:paraId="229269EF" w14:textId="77777777" w:rsidR="00725308" w:rsidRPr="00E05E29" w:rsidRDefault="00725308" w:rsidP="0080187E">
      <w:pPr>
        <w:pStyle w:val="Clause"/>
        <w:numPr>
          <w:ilvl w:val="0"/>
          <w:numId w:val="100"/>
        </w:numPr>
      </w:pPr>
      <w:r w:rsidRPr="00E05E29">
        <w:t xml:space="preserve">Sufficient space should be provided between the isolated superstructure and the surrounding ground or constructions, to allow its displacement in all directions in the seismic design situation, taking into account the amplification factor </w:t>
      </w:r>
      <w:r w:rsidRPr="00725308">
        <w:rPr>
          <w:rFonts w:ascii="Symbol" w:hAnsi="Symbol"/>
          <w:i/>
        </w:rPr>
        <w:t></w:t>
      </w:r>
      <w:r w:rsidRPr="00725308">
        <w:rPr>
          <w:vertAlign w:val="subscript"/>
        </w:rPr>
        <w:t>x</w:t>
      </w:r>
      <w:r w:rsidRPr="00E05E29">
        <w:t xml:space="preserve"> on displacement.</w:t>
      </w:r>
    </w:p>
    <w:p w14:paraId="65F6C82B" w14:textId="77777777" w:rsidR="00725308" w:rsidRPr="00E05E29" w:rsidRDefault="00725308" w:rsidP="00725308">
      <w:pPr>
        <w:pStyle w:val="Heading2"/>
      </w:pPr>
      <w:bookmarkStart w:id="1112" w:name="_Toc16927683"/>
      <w:bookmarkStart w:id="1113" w:name="_Toc50150332"/>
      <w:bookmarkStart w:id="1114" w:name="_Toc70886763"/>
      <w:bookmarkStart w:id="1115" w:name="_Toc108342286"/>
      <w:bookmarkStart w:id="1116" w:name="_Toc134197852"/>
      <w:r w:rsidRPr="00E05E29">
        <w:t>Structural analysis</w:t>
      </w:r>
      <w:bookmarkEnd w:id="1112"/>
      <w:bookmarkEnd w:id="1113"/>
      <w:bookmarkEnd w:id="1114"/>
      <w:bookmarkEnd w:id="1115"/>
      <w:bookmarkEnd w:id="1116"/>
    </w:p>
    <w:p w14:paraId="476A0B5D" w14:textId="77777777" w:rsidR="00725308" w:rsidRPr="00E05E29" w:rsidRDefault="00725308" w:rsidP="00725308">
      <w:pPr>
        <w:pStyle w:val="Heading3"/>
      </w:pPr>
      <w:bookmarkStart w:id="1117" w:name="_Toc16927684"/>
      <w:bookmarkStart w:id="1118" w:name="_Toc50150333"/>
      <w:bookmarkStart w:id="1119" w:name="_Toc70886764"/>
      <w:bookmarkStart w:id="1120" w:name="_Toc108342287"/>
      <w:bookmarkStart w:id="1121" w:name="_Toc134197853"/>
      <w:r w:rsidRPr="00E05E29">
        <w:t>General</w:t>
      </w:r>
      <w:bookmarkEnd w:id="1117"/>
      <w:bookmarkEnd w:id="1118"/>
      <w:bookmarkEnd w:id="1119"/>
      <w:bookmarkEnd w:id="1120"/>
      <w:bookmarkEnd w:id="1121"/>
    </w:p>
    <w:p w14:paraId="4A42BE49" w14:textId="0A4CC2A3" w:rsidR="00725308" w:rsidRPr="00AC005B" w:rsidRDefault="00725308" w:rsidP="0080187E">
      <w:pPr>
        <w:pStyle w:val="Clause"/>
        <w:numPr>
          <w:ilvl w:val="0"/>
          <w:numId w:val="101"/>
        </w:numPr>
      </w:pPr>
      <w:r w:rsidRPr="00E05E29">
        <w:t xml:space="preserve">Analysis methods in </w:t>
      </w:r>
      <w:r>
        <w:t>prEN</w:t>
      </w:r>
      <w:r w:rsidR="00AC005B">
        <w:t> </w:t>
      </w:r>
      <w:r>
        <w:t>1998-1-1:</w:t>
      </w:r>
      <w:r w:rsidRPr="00AC005B">
        <w:t>2022, 6.8.5, may be applied as appropriate.</w:t>
      </w:r>
    </w:p>
    <w:p w14:paraId="7D8AC5A4" w14:textId="1ECFF7E0" w:rsidR="00725308" w:rsidRPr="00AC005B" w:rsidRDefault="00725308" w:rsidP="0080187E">
      <w:pPr>
        <w:pStyle w:val="Clause"/>
        <w:numPr>
          <w:ilvl w:val="0"/>
          <w:numId w:val="101"/>
        </w:numPr>
      </w:pPr>
      <w:r w:rsidRPr="00AC005B">
        <w:t>The vertical component of the seismic action, as defined in pr</w:t>
      </w:r>
      <w:r w:rsidR="00C30FF9">
        <w:t>EN 1</w:t>
      </w:r>
      <w:r w:rsidRPr="00AC005B">
        <w:t>998-1-1:2022, 5.2.2.3, should be taken into account for base isolated buildings.</w:t>
      </w:r>
    </w:p>
    <w:p w14:paraId="4FCD1D96" w14:textId="77777777" w:rsidR="00725308" w:rsidRPr="00E05E29" w:rsidRDefault="00725308" w:rsidP="00724E4E">
      <w:pPr>
        <w:pStyle w:val="Clause"/>
      </w:pPr>
      <w:r w:rsidRPr="00E05E29">
        <w:t>Torsional effects about the vertical axis should be taken into account.</w:t>
      </w:r>
    </w:p>
    <w:p w14:paraId="0AF4EAD2" w14:textId="6866F095" w:rsidR="00725308" w:rsidRPr="00E05E29" w:rsidRDefault="00725308" w:rsidP="00724E4E">
      <w:pPr>
        <w:pStyle w:val="Clause"/>
      </w:pPr>
      <w:r w:rsidRPr="00E05E29">
        <w:t>In buildings of consequence classes CC1 or CC2, mean values of physical and mechanical properties of isolators may be used, provided that extreme (maximum or minimum) values do not differ by more than 15</w:t>
      </w:r>
      <w:r w:rsidR="00D4445A">
        <w:t> </w:t>
      </w:r>
      <w:r w:rsidRPr="00E05E29">
        <w:t>% from the mean values.</w:t>
      </w:r>
    </w:p>
    <w:p w14:paraId="70E14045" w14:textId="71698FEF" w:rsidR="00725308" w:rsidRPr="00E05E29" w:rsidRDefault="00725308" w:rsidP="00725308">
      <w:pPr>
        <w:pStyle w:val="Heading3"/>
      </w:pPr>
      <w:bookmarkStart w:id="1122" w:name="_Hlk15027532"/>
      <w:bookmarkStart w:id="1123" w:name="_Toc16927685"/>
      <w:bookmarkStart w:id="1124" w:name="_Toc50150334"/>
      <w:bookmarkStart w:id="1125" w:name="_Toc70886765"/>
      <w:bookmarkStart w:id="1126" w:name="_Toc108342288"/>
      <w:bookmarkStart w:id="1127" w:name="_Toc134197854"/>
      <w:r w:rsidRPr="00E05E29">
        <w:t>Fundamental-mode equivalent linear response-spectrum analysis</w:t>
      </w:r>
      <w:bookmarkEnd w:id="1122"/>
      <w:bookmarkEnd w:id="1123"/>
      <w:bookmarkEnd w:id="1124"/>
      <w:bookmarkEnd w:id="1125"/>
      <w:bookmarkEnd w:id="1126"/>
      <w:bookmarkEnd w:id="1127"/>
    </w:p>
    <w:p w14:paraId="0C6B89EF" w14:textId="716DE571" w:rsidR="00725308" w:rsidRPr="00AC005B" w:rsidRDefault="00725308" w:rsidP="0080187E">
      <w:pPr>
        <w:pStyle w:val="clause0"/>
        <w:numPr>
          <w:ilvl w:val="0"/>
          <w:numId w:val="95"/>
        </w:numPr>
      </w:pPr>
      <w:r w:rsidRPr="00E05E29">
        <w:t xml:space="preserve">If conditions a) to e) in </w:t>
      </w:r>
      <w:r>
        <w:t>prEN</w:t>
      </w:r>
      <w:r w:rsidR="00AC005B">
        <w:t> </w:t>
      </w:r>
      <w:r>
        <w:t>1998-1-1:</w:t>
      </w:r>
      <w:r w:rsidRPr="00AC005B">
        <w:t>2022, 6.8.5.3(2), and a) to g) are satisfied, fundamental-mode equivalent linear response-spectrum analysis may be used, in which the horizontal displacements and the torsional movement about the vertical axis are considered, but the substructures and the superstructures are assumed to behave rigidly.</w:t>
      </w:r>
    </w:p>
    <w:p w14:paraId="14975AD6" w14:textId="4E2E276E" w:rsidR="00725308" w:rsidRPr="00AC005B" w:rsidRDefault="00725308" w:rsidP="0080187E">
      <w:pPr>
        <w:pStyle w:val="List2"/>
        <w:numPr>
          <w:ilvl w:val="0"/>
          <w:numId w:val="102"/>
        </w:numPr>
        <w:spacing w:before="0" w:after="240" w:line="230" w:lineRule="atLeast"/>
        <w:contextualSpacing w:val="0"/>
        <w:rPr>
          <w:color w:val="000000"/>
        </w:rPr>
      </w:pPr>
      <w:r w:rsidRPr="00AC005B">
        <w:rPr>
          <w:color w:val="000000"/>
        </w:rPr>
        <w:lastRenderedPageBreak/>
        <w:t xml:space="preserve">the conditions </w:t>
      </w:r>
      <w:r w:rsidRPr="00AC005B">
        <w:t>for vicinity to well identified seismically active faults according to prEN</w:t>
      </w:r>
      <w:r w:rsidR="00680EF7">
        <w:t> </w:t>
      </w:r>
      <w:r w:rsidRPr="00AC005B">
        <w:t>1998</w:t>
      </w:r>
      <w:r w:rsidR="00402990">
        <w:noBreakHyphen/>
      </w:r>
      <w:r w:rsidRPr="00AC005B">
        <w:t xml:space="preserve">11:2022, </w:t>
      </w:r>
      <w:r w:rsidRPr="00AC005B">
        <w:rPr>
          <w:color w:val="000000"/>
        </w:rPr>
        <w:t>5.1.1(5), are not met;</w:t>
      </w:r>
    </w:p>
    <w:p w14:paraId="0D848263" w14:textId="3FB52061" w:rsidR="00725308" w:rsidRPr="00AC005B" w:rsidRDefault="00725308" w:rsidP="0080187E">
      <w:pPr>
        <w:pStyle w:val="List2"/>
        <w:numPr>
          <w:ilvl w:val="0"/>
          <w:numId w:val="102"/>
        </w:numPr>
        <w:spacing w:before="0" w:after="240" w:line="230" w:lineRule="atLeast"/>
        <w:contextualSpacing w:val="0"/>
      </w:pPr>
      <w:r w:rsidRPr="00AC005B">
        <w:t>the largest dimension of the superstructure in plan is not greater than 50</w:t>
      </w:r>
      <w:r w:rsidR="00680EF7">
        <w:t> </w:t>
      </w:r>
      <w:r w:rsidRPr="00AC005B">
        <w:t>m;</w:t>
      </w:r>
    </w:p>
    <w:p w14:paraId="2F8ABDBF" w14:textId="77777777" w:rsidR="00725308" w:rsidRPr="00AC005B" w:rsidRDefault="00725308" w:rsidP="0080187E">
      <w:pPr>
        <w:pStyle w:val="List2"/>
        <w:numPr>
          <w:ilvl w:val="0"/>
          <w:numId w:val="102"/>
        </w:numPr>
        <w:spacing w:before="0" w:after="240" w:line="230" w:lineRule="atLeast"/>
        <w:contextualSpacing w:val="0"/>
      </w:pPr>
      <w:r w:rsidRPr="00AC005B">
        <w:t>all devices are located above members of the substructure which support vertical loads;</w:t>
      </w:r>
    </w:p>
    <w:p w14:paraId="789E218C" w14:textId="24B2852B" w:rsidR="00725308" w:rsidRPr="00AC005B" w:rsidRDefault="00725308" w:rsidP="0080187E">
      <w:pPr>
        <w:pStyle w:val="List2"/>
        <w:numPr>
          <w:ilvl w:val="0"/>
          <w:numId w:val="102"/>
        </w:numPr>
        <w:spacing w:before="0" w:after="240" w:line="230" w:lineRule="atLeast"/>
        <w:contextualSpacing w:val="0"/>
      </w:pPr>
      <w:r w:rsidRPr="00AC005B">
        <w:t>the site is of category A or B</w:t>
      </w:r>
      <w:r w:rsidR="00680EF7">
        <w:t>;</w:t>
      </w:r>
    </w:p>
    <w:p w14:paraId="6579FDE7" w14:textId="12C584D5" w:rsidR="00725308" w:rsidRPr="00AC005B" w:rsidRDefault="00725308" w:rsidP="00402990">
      <w:pPr>
        <w:pStyle w:val="Notetext"/>
        <w:ind w:left="360"/>
      </w:pPr>
      <w:r w:rsidRPr="00AC005B">
        <w:t>NOTE</w:t>
      </w:r>
      <w:r w:rsidRPr="00AC005B">
        <w:tab/>
        <w:t>prEN</w:t>
      </w:r>
      <w:r w:rsidR="00680EF7">
        <w:t> </w:t>
      </w:r>
      <w:r w:rsidRPr="00AC005B">
        <w:t>1998-1-1:2022, 5.1.2, gives the categor</w:t>
      </w:r>
      <w:r w:rsidR="00E10A24">
        <w:t>iza</w:t>
      </w:r>
      <w:r w:rsidRPr="00AC005B">
        <w:t xml:space="preserve">tion of sites. When the site is softer than A or B, there </w:t>
      </w:r>
      <w:r w:rsidR="0084007D">
        <w:t>can</w:t>
      </w:r>
      <w:r w:rsidRPr="00AC005B">
        <w:t xml:space="preserve"> be vertical displacement and rocking that require more refined modelling including </w:t>
      </w:r>
      <w:r w:rsidR="00680EF7">
        <w:t>s</w:t>
      </w:r>
      <w:r w:rsidRPr="00AC005B">
        <w:t>oil-</w:t>
      </w:r>
      <w:r w:rsidR="00680EF7">
        <w:t>s</w:t>
      </w:r>
      <w:r w:rsidRPr="00AC005B">
        <w:t xml:space="preserve">tructure </w:t>
      </w:r>
      <w:r w:rsidR="00680EF7">
        <w:t>i</w:t>
      </w:r>
      <w:r w:rsidRPr="00AC005B">
        <w:t>nteraction (see prEN</w:t>
      </w:r>
      <w:r w:rsidR="00680EF7">
        <w:t> </w:t>
      </w:r>
      <w:r w:rsidRPr="00AC005B">
        <w:t>1998-5:2022, 8.1).</w:t>
      </w:r>
    </w:p>
    <w:p w14:paraId="140E857A" w14:textId="23034A8B" w:rsidR="00725308" w:rsidRPr="00E05E29" w:rsidRDefault="00725308" w:rsidP="0080187E">
      <w:pPr>
        <w:pStyle w:val="List2"/>
        <w:numPr>
          <w:ilvl w:val="0"/>
          <w:numId w:val="102"/>
        </w:numPr>
        <w:spacing w:before="0" w:after="240" w:line="230" w:lineRule="atLeast"/>
        <w:contextualSpacing w:val="0"/>
      </w:pPr>
      <w:r w:rsidRPr="00AC005B">
        <w:t xml:space="preserve">the effective period </w:t>
      </w:r>
      <w:r w:rsidRPr="00AC005B">
        <w:rPr>
          <w:i/>
        </w:rPr>
        <w:t>T</w:t>
      </w:r>
      <w:r w:rsidRPr="00AC005B">
        <w:rPr>
          <w:vertAlign w:val="subscript"/>
        </w:rPr>
        <w:t>eff</w:t>
      </w:r>
      <w:r w:rsidRPr="00AC005B">
        <w:t xml:space="preserve"> satisfies</w:t>
      </w:r>
      <w:r w:rsidRPr="00E05E29">
        <w:t xml:space="preserve"> Formula (8.1)</w:t>
      </w:r>
      <w:r w:rsidR="00680EF7">
        <w:t>:</w:t>
      </w:r>
    </w:p>
    <w:p w14:paraId="5DADA386" w14:textId="2DBD861A" w:rsidR="007E3D37" w:rsidRPr="00870D59" w:rsidRDefault="007E3D37" w:rsidP="007E3D37">
      <w:pPr>
        <w:pStyle w:val="Formula"/>
      </w:pPr>
      <m:oMath>
        <m:r>
          <w:rPr>
            <w:rFonts w:ascii="Cambria Math" w:hAnsi="Cambria Math"/>
          </w:rPr>
          <m:t>3</m:t>
        </m:r>
        <m:sSub>
          <m:sSubPr>
            <m:ctrlPr>
              <w:rPr>
                <w:rFonts w:ascii="Cambria Math" w:hAnsi="Cambria Math"/>
              </w:rPr>
            </m:ctrlPr>
          </m:sSubPr>
          <m:e>
            <m:r>
              <w:rPr>
                <w:rFonts w:ascii="Cambria Math" w:hAnsi="Cambria Math"/>
              </w:rPr>
              <m:t>T</m:t>
            </m:r>
          </m:e>
          <m:sub>
            <m:r>
              <m:rPr>
                <m:sty m:val="p"/>
              </m:rPr>
              <w:rPr>
                <w:rFonts w:ascii="Cambria Math" w:hAnsi="Cambria Math"/>
              </w:rPr>
              <m:t>f</m:t>
            </m:r>
          </m:sub>
        </m:sSub>
        <m:r>
          <w:rPr>
            <w:rFonts w:ascii="Cambria Math" w:hAnsi="Cambria Math"/>
          </w:rPr>
          <m:t>≤</m:t>
        </m:r>
        <m:sSub>
          <m:sSubPr>
            <m:ctrlPr>
              <w:rPr>
                <w:rFonts w:ascii="Cambria Math" w:hAnsi="Cambria Math"/>
              </w:rPr>
            </m:ctrlPr>
          </m:sSubPr>
          <m:e>
            <m:r>
              <w:rPr>
                <w:rFonts w:ascii="Cambria Math" w:hAnsi="Cambria Math"/>
              </w:rPr>
              <m:t>T</m:t>
            </m:r>
          </m:e>
          <m:sub>
            <m:r>
              <m:rPr>
                <m:sty m:val="p"/>
              </m:rPr>
              <w:rPr>
                <w:rFonts w:ascii="Cambria Math" w:hAnsi="Cambria Math"/>
              </w:rPr>
              <m:t>eff</m:t>
            </m:r>
          </m:sub>
        </m:sSub>
        <m:r>
          <w:rPr>
            <w:rFonts w:ascii="Cambria Math" w:hAnsi="Cambria Math"/>
          </w:rPr>
          <m:t>≤3 s</m:t>
        </m:r>
      </m:oMath>
      <w:r w:rsidRPr="00870D59">
        <w:tab/>
        <w:t>(</w:t>
      </w:r>
      <w:r>
        <w:t>8</w:t>
      </w:r>
      <w:r w:rsidRPr="00870D59">
        <w:t>.</w:t>
      </w:r>
      <w:r>
        <w:t>1</w:t>
      </w:r>
      <w:r w:rsidRPr="00870D59">
        <w:t>)</w:t>
      </w:r>
    </w:p>
    <w:p w14:paraId="69672C43" w14:textId="233C5DE3" w:rsidR="007E3D37" w:rsidRDefault="007E3D37" w:rsidP="00680EF7">
      <w:pPr>
        <w:pStyle w:val="Text"/>
      </w:pPr>
      <w:r>
        <w:t>where</w:t>
      </w:r>
    </w:p>
    <w:tbl>
      <w:tblPr>
        <w:tblW w:w="0" w:type="auto"/>
        <w:tblInd w:w="284" w:type="dxa"/>
        <w:tblLook w:val="04A0" w:firstRow="1" w:lastRow="0" w:firstColumn="1" w:lastColumn="0" w:noHBand="0" w:noVBand="1"/>
      </w:tblPr>
      <w:tblGrid>
        <w:gridCol w:w="1337"/>
        <w:gridCol w:w="7938"/>
      </w:tblGrid>
      <w:tr w:rsidR="007E3D37" w:rsidRPr="00680EF7" w14:paraId="4BF41172" w14:textId="77777777" w:rsidTr="00402990">
        <w:tc>
          <w:tcPr>
            <w:tcW w:w="1337" w:type="dxa"/>
            <w:shd w:val="clear" w:color="auto" w:fill="auto"/>
          </w:tcPr>
          <w:p w14:paraId="3619E55A" w14:textId="04CF8B4D" w:rsidR="007E3D37" w:rsidRPr="00680EF7" w:rsidRDefault="007E3D37" w:rsidP="002061E5">
            <w:pPr>
              <w:pStyle w:val="Tablebody"/>
              <w:rPr>
                <w:i/>
                <w:iCs/>
              </w:rPr>
            </w:pPr>
            <w:r w:rsidRPr="00680EF7">
              <w:rPr>
                <w:i/>
              </w:rPr>
              <w:t>T</w:t>
            </w:r>
            <w:r w:rsidRPr="00680EF7">
              <w:rPr>
                <w:vertAlign w:val="subscript"/>
              </w:rPr>
              <w:t>eff</w:t>
            </w:r>
          </w:p>
        </w:tc>
        <w:tc>
          <w:tcPr>
            <w:tcW w:w="7938" w:type="dxa"/>
          </w:tcPr>
          <w:p w14:paraId="1A806D76" w14:textId="77777777" w:rsidR="007E3D37" w:rsidRPr="00680EF7" w:rsidRDefault="007E3D37" w:rsidP="002061E5">
            <w:pPr>
              <w:pStyle w:val="Tablebody"/>
            </w:pPr>
            <w:r w:rsidRPr="00680EF7">
              <w:t>is the horizontal seismic force applied at the centre of the infill wall calculated as in 7.2.1(3);</w:t>
            </w:r>
          </w:p>
        </w:tc>
      </w:tr>
      <w:tr w:rsidR="007E3D37" w:rsidRPr="00680EF7" w14:paraId="04C65024" w14:textId="77777777" w:rsidTr="00402990">
        <w:tc>
          <w:tcPr>
            <w:tcW w:w="1337" w:type="dxa"/>
            <w:shd w:val="clear" w:color="auto" w:fill="auto"/>
          </w:tcPr>
          <w:p w14:paraId="6D4E2A7D" w14:textId="080A3349" w:rsidR="007E3D37" w:rsidRPr="00680EF7" w:rsidRDefault="007E3D37" w:rsidP="002061E5">
            <w:pPr>
              <w:pStyle w:val="Tablebody"/>
              <w:rPr>
                <w:i/>
              </w:rPr>
            </w:pPr>
            <w:r w:rsidRPr="00680EF7">
              <w:rPr>
                <w:i/>
              </w:rPr>
              <w:t>T</w:t>
            </w:r>
            <w:r w:rsidRPr="00680EF7">
              <w:rPr>
                <w:vertAlign w:val="subscript"/>
              </w:rPr>
              <w:t>f</w:t>
            </w:r>
          </w:p>
        </w:tc>
        <w:tc>
          <w:tcPr>
            <w:tcW w:w="7938" w:type="dxa"/>
          </w:tcPr>
          <w:p w14:paraId="6AC0E2B6" w14:textId="77777777" w:rsidR="007E3D37" w:rsidRPr="00680EF7" w:rsidRDefault="007E3D37" w:rsidP="002061E5">
            <w:pPr>
              <w:pStyle w:val="Tablebody"/>
            </w:pPr>
            <w:r w:rsidRPr="00680EF7">
              <w:t>is the length of the infill wall;</w:t>
            </w:r>
          </w:p>
        </w:tc>
      </w:tr>
    </w:tbl>
    <w:p w14:paraId="7EDE63D9" w14:textId="0EF34E38" w:rsidR="007E3D37" w:rsidRPr="00680EF7" w:rsidRDefault="007E3D37" w:rsidP="0080187E">
      <w:pPr>
        <w:pStyle w:val="List2"/>
        <w:numPr>
          <w:ilvl w:val="0"/>
          <w:numId w:val="102"/>
        </w:numPr>
        <w:spacing w:before="0" w:after="240" w:line="230" w:lineRule="atLeast"/>
        <w:contextualSpacing w:val="0"/>
      </w:pPr>
      <w:r w:rsidRPr="00680EF7">
        <w:t>the ratio between the vertical and the horizontal stiffness of the isolation system satisfies Formula</w:t>
      </w:r>
      <w:r w:rsidR="006C6A44">
        <w:t> </w:t>
      </w:r>
      <w:r w:rsidRPr="00680EF7">
        <w:t>(8.2)</w:t>
      </w:r>
      <w:r w:rsidR="00680EF7" w:rsidRPr="00680EF7">
        <w:t>:</w:t>
      </w:r>
    </w:p>
    <w:p w14:paraId="514787A6" w14:textId="7736EA28" w:rsidR="007E3D37" w:rsidRPr="00680EF7" w:rsidRDefault="009B5CEC" w:rsidP="007E3D37">
      <w:pPr>
        <w:pStyle w:val="Formula"/>
      </w:pPr>
      <m:oMath>
        <m:f>
          <m:fPr>
            <m:ctrlPr>
              <w:rPr>
                <w:rFonts w:ascii="Cambria Math" w:hAnsi="Cambria Math"/>
              </w:rPr>
            </m:ctrlPr>
          </m:fPr>
          <m:num>
            <m:sSub>
              <m:sSubPr>
                <m:ctrlPr>
                  <w:rPr>
                    <w:rFonts w:ascii="Cambria Math" w:hAnsi="Cambria Math"/>
                  </w:rPr>
                </m:ctrlPr>
              </m:sSubPr>
              <m:e>
                <m:r>
                  <w:rPr>
                    <w:rFonts w:ascii="Cambria Math" w:hAnsi="Cambria Math"/>
                  </w:rPr>
                  <m:t>K</m:t>
                </m:r>
              </m:e>
              <m:sub>
                <m:r>
                  <m:rPr>
                    <m:sty m:val="p"/>
                  </m:rPr>
                  <w:rPr>
                    <w:rFonts w:ascii="Cambria Math" w:hAnsi="Cambria Math"/>
                  </w:rPr>
                  <m:t>v</m:t>
                </m:r>
              </m:sub>
            </m:sSub>
          </m:num>
          <m:den>
            <m:sSub>
              <m:sSubPr>
                <m:ctrlPr>
                  <w:rPr>
                    <w:rFonts w:ascii="Cambria Math" w:hAnsi="Cambria Math"/>
                  </w:rPr>
                </m:ctrlPr>
              </m:sSubPr>
              <m:e>
                <m:r>
                  <w:rPr>
                    <w:rFonts w:ascii="Cambria Math" w:hAnsi="Cambria Math"/>
                  </w:rPr>
                  <m:t>K</m:t>
                </m:r>
              </m:e>
              <m:sub>
                <m:r>
                  <m:rPr>
                    <m:sty m:val="p"/>
                  </m:rPr>
                  <w:rPr>
                    <w:rFonts w:ascii="Cambria Math" w:hAnsi="Cambria Math"/>
                  </w:rPr>
                  <m:t>eff</m:t>
                </m:r>
              </m:sub>
            </m:sSub>
          </m:den>
        </m:f>
        <m:r>
          <w:rPr>
            <w:rFonts w:ascii="Cambria Math" w:hAnsi="Cambria Math"/>
          </w:rPr>
          <m:t>≥150</m:t>
        </m:r>
      </m:oMath>
      <w:r w:rsidR="007E3D37" w:rsidRPr="00680EF7">
        <w:tab/>
        <w:t>(8.2)</w:t>
      </w:r>
    </w:p>
    <w:p w14:paraId="261F7D75" w14:textId="77777777" w:rsidR="006C6A44" w:rsidRDefault="007E3D37" w:rsidP="007E3D37">
      <w:pPr>
        <w:pStyle w:val="Clause"/>
        <w:numPr>
          <w:ilvl w:val="0"/>
          <w:numId w:val="0"/>
        </w:numPr>
        <w:rPr>
          <w:szCs w:val="22"/>
        </w:rPr>
      </w:pPr>
      <w:r w:rsidRPr="00680EF7">
        <w:rPr>
          <w:szCs w:val="22"/>
        </w:rPr>
        <w:t>where</w:t>
      </w:r>
    </w:p>
    <w:p w14:paraId="402BD33B" w14:textId="16E84629" w:rsidR="007E3D37" w:rsidRPr="00680EF7" w:rsidRDefault="009B5CEC" w:rsidP="006C6A44">
      <w:pPr>
        <w:pStyle w:val="Clause"/>
        <w:numPr>
          <w:ilvl w:val="0"/>
          <w:numId w:val="0"/>
        </w:numPr>
        <w:ind w:left="360"/>
        <w:rPr>
          <w:szCs w:val="22"/>
        </w:rPr>
      </w:pPr>
      <m:oMath>
        <m:sSub>
          <m:sSubPr>
            <m:ctrlPr>
              <w:rPr>
                <w:rFonts w:ascii="Cambria Math" w:hAnsi="Cambria Math"/>
                <w:i/>
              </w:rPr>
            </m:ctrlPr>
          </m:sSubPr>
          <m:e>
            <m:r>
              <w:rPr>
                <w:rFonts w:ascii="Cambria Math" w:hAnsi="Cambria Math"/>
              </w:rPr>
              <m:t>K</m:t>
            </m:r>
          </m:e>
          <m:sub>
            <m:r>
              <m:rPr>
                <m:sty m:val="p"/>
              </m:rPr>
              <w:rPr>
                <w:rFonts w:ascii="Cambria Math" w:hAnsi="Cambria Math"/>
              </w:rPr>
              <m:t>eff</m:t>
            </m:r>
          </m:sub>
        </m:sSub>
      </m:oMath>
      <w:r w:rsidR="007E3D37" w:rsidRPr="00680EF7">
        <w:t xml:space="preserve"> is defined in prEN</w:t>
      </w:r>
      <w:r w:rsidR="00680EF7">
        <w:t> </w:t>
      </w:r>
      <w:r w:rsidR="007E3D37" w:rsidRPr="00680EF7">
        <w:t>1998-1-1:2022, 6.8.5.2(3).</w:t>
      </w:r>
    </w:p>
    <w:p w14:paraId="3C088AA7" w14:textId="2B55AA50" w:rsidR="007E3D37" w:rsidRPr="00E05E29" w:rsidRDefault="007E3D37" w:rsidP="0080187E">
      <w:pPr>
        <w:pStyle w:val="List2"/>
        <w:numPr>
          <w:ilvl w:val="0"/>
          <w:numId w:val="102"/>
        </w:numPr>
        <w:spacing w:before="0" w:after="240" w:line="230" w:lineRule="atLeast"/>
        <w:contextualSpacing w:val="0"/>
      </w:pPr>
      <w:r w:rsidRPr="007E6F67">
        <w:t xml:space="preserve">the fundamental period in the vertical direction, </w:t>
      </w:r>
      <w:r w:rsidRPr="007E6F67">
        <w:rPr>
          <w:i/>
        </w:rPr>
        <w:t>T</w:t>
      </w:r>
      <w:r w:rsidRPr="007E6F67">
        <w:rPr>
          <w:vertAlign w:val="subscript"/>
        </w:rPr>
        <w:t>V</w:t>
      </w:r>
      <w:r w:rsidRPr="00FD17CF">
        <w:t xml:space="preserve">, </w:t>
      </w:r>
      <w:r w:rsidRPr="00FD17CF">
        <w:rPr>
          <w:color w:val="000000"/>
        </w:rPr>
        <w:t>given by Formula</w:t>
      </w:r>
      <w:r w:rsidRPr="00FD17CF">
        <w:t xml:space="preserve"> (8.3)</w:t>
      </w:r>
      <w:r w:rsidRPr="00FD17CF">
        <w:rPr>
          <w:color w:val="000000"/>
        </w:rPr>
        <w:t>, is</w:t>
      </w:r>
      <w:r w:rsidRPr="00644C3D">
        <w:t xml:space="preserve"> not longer than 0,1</w:t>
      </w:r>
      <w:r w:rsidR="00680EF7">
        <w:t> </w:t>
      </w:r>
      <w:r w:rsidRPr="00644C3D">
        <w:t>s.</w:t>
      </w:r>
    </w:p>
    <w:p w14:paraId="6076AC43" w14:textId="0B3D577D" w:rsidR="007E3D37" w:rsidRPr="00870D59" w:rsidRDefault="009B5CEC" w:rsidP="007E3D37">
      <w:pPr>
        <w:pStyle w:val="Formula"/>
      </w:pPr>
      <m:oMath>
        <m:sSub>
          <m:sSubPr>
            <m:ctrlPr>
              <w:rPr>
                <w:rFonts w:ascii="Cambria Math" w:hAnsi="Cambria Math"/>
              </w:rPr>
            </m:ctrlPr>
          </m:sSubPr>
          <m:e>
            <m:r>
              <w:rPr>
                <w:rFonts w:ascii="Cambria Math" w:hAnsi="Cambria Math"/>
              </w:rPr>
              <m:t>T</m:t>
            </m:r>
          </m:e>
          <m:sub>
            <m:r>
              <m:rPr>
                <m:sty m:val="p"/>
              </m:rPr>
              <w:rPr>
                <w:rFonts w:ascii="Cambria Math" w:hAnsi="Cambria Math"/>
              </w:rPr>
              <m:t>V</m:t>
            </m:r>
          </m:sub>
        </m:sSub>
        <m:r>
          <w:rPr>
            <w:rFonts w:ascii="Cambria Math" w:hAnsi="Cambria Math"/>
          </w:rPr>
          <m:t>=2π</m:t>
        </m:r>
        <m:rad>
          <m:radPr>
            <m:degHide m:val="1"/>
            <m:ctrlPr>
              <w:rPr>
                <w:rFonts w:ascii="Cambria Math" w:hAnsi="Cambria Math"/>
              </w:rPr>
            </m:ctrlPr>
          </m:radPr>
          <m:deg/>
          <m:e>
            <m:f>
              <m:fPr>
                <m:ctrlPr>
                  <w:rPr>
                    <w:rFonts w:ascii="Cambria Math" w:hAnsi="Cambria Math"/>
                  </w:rPr>
                </m:ctrlPr>
              </m:fPr>
              <m:num>
                <m:r>
                  <w:rPr>
                    <w:rFonts w:ascii="Cambria Math" w:hAnsi="Cambria Math"/>
                  </w:rPr>
                  <m:t>M</m:t>
                </m:r>
              </m:num>
              <m:den>
                <m:sSub>
                  <m:sSubPr>
                    <m:ctrlPr>
                      <w:rPr>
                        <w:rFonts w:ascii="Cambria Math" w:hAnsi="Cambria Math"/>
                      </w:rPr>
                    </m:ctrlPr>
                  </m:sSubPr>
                  <m:e>
                    <m:r>
                      <w:rPr>
                        <w:rFonts w:ascii="Cambria Math" w:hAnsi="Cambria Math"/>
                      </w:rPr>
                      <m:t>K</m:t>
                    </m:r>
                  </m:e>
                  <m:sub>
                    <m:r>
                      <m:rPr>
                        <m:sty m:val="p"/>
                      </m:rPr>
                      <w:rPr>
                        <w:rFonts w:ascii="Cambria Math" w:hAnsi="Cambria Math"/>
                      </w:rPr>
                      <m:t>V</m:t>
                    </m:r>
                  </m:sub>
                </m:sSub>
              </m:den>
            </m:f>
          </m:e>
        </m:rad>
        <m:r>
          <w:rPr>
            <w:rFonts w:ascii="Cambria Math" w:hAnsi="Cambria Math"/>
          </w:rPr>
          <m:t xml:space="preserve">  </m:t>
        </m:r>
      </m:oMath>
      <w:r w:rsidR="007E3D37" w:rsidRPr="00870D59">
        <w:tab/>
        <w:t>(</w:t>
      </w:r>
      <w:r w:rsidR="007E3D37">
        <w:t>8</w:t>
      </w:r>
      <w:r w:rsidR="007E3D37" w:rsidRPr="00870D59">
        <w:t>.</w:t>
      </w:r>
      <w:r w:rsidR="007E3D37">
        <w:t>3</w:t>
      </w:r>
      <w:r w:rsidR="007E3D37" w:rsidRPr="00870D59">
        <w:t>)</w:t>
      </w:r>
    </w:p>
    <w:p w14:paraId="1032F894" w14:textId="77777777" w:rsidR="007E3D37" w:rsidRPr="007E6F67" w:rsidRDefault="007E3D37" w:rsidP="0080187E">
      <w:pPr>
        <w:pStyle w:val="clause0"/>
        <w:numPr>
          <w:ilvl w:val="0"/>
          <w:numId w:val="95"/>
        </w:numPr>
      </w:pPr>
      <w:r w:rsidRPr="00D1484A">
        <w:t>Displacements at every point of the structure should be calculated combining the translational and torsional rotation displacements. This should apply for the evaluation of the effect</w:t>
      </w:r>
      <w:r w:rsidRPr="007E6F67">
        <w:t>ive stiffness of each isolator.</w:t>
      </w:r>
    </w:p>
    <w:p w14:paraId="0E76EEE8" w14:textId="77777777" w:rsidR="007E3D37" w:rsidRPr="00644C3D" w:rsidRDefault="007E3D37" w:rsidP="0080187E">
      <w:pPr>
        <w:pStyle w:val="clause0"/>
        <w:numPr>
          <w:ilvl w:val="0"/>
          <w:numId w:val="95"/>
        </w:numPr>
      </w:pPr>
      <w:r w:rsidRPr="00FD17CF">
        <w:t>The inertial forces and moments should be taken into account for the verification of the isolators and their connections, and of the substructures and the superstructures.</w:t>
      </w:r>
    </w:p>
    <w:p w14:paraId="03B7EE8C" w14:textId="54A479C9" w:rsidR="007E3D37" w:rsidRDefault="007E3D37" w:rsidP="007E3D37">
      <w:pPr>
        <w:pStyle w:val="Heading2"/>
      </w:pPr>
      <w:bookmarkStart w:id="1128" w:name="_Toc16927686"/>
      <w:bookmarkStart w:id="1129" w:name="_Toc50150335"/>
      <w:bookmarkStart w:id="1130" w:name="_Toc70886766"/>
      <w:bookmarkStart w:id="1131" w:name="_Toc108342289"/>
      <w:bookmarkStart w:id="1132" w:name="_Toc134197855"/>
      <w:r w:rsidRPr="00E05E29">
        <w:t>Verification of Significant Damage Limit State</w:t>
      </w:r>
      <w:bookmarkEnd w:id="1128"/>
      <w:bookmarkEnd w:id="1129"/>
      <w:bookmarkEnd w:id="1130"/>
      <w:bookmarkEnd w:id="1131"/>
      <w:bookmarkEnd w:id="1132"/>
    </w:p>
    <w:p w14:paraId="7282CCF2" w14:textId="3D72EAF4" w:rsidR="007B3EE9" w:rsidRPr="00644C3D" w:rsidRDefault="007B3EE9" w:rsidP="0080187E">
      <w:pPr>
        <w:pStyle w:val="Clause"/>
        <w:numPr>
          <w:ilvl w:val="0"/>
          <w:numId w:val="276"/>
        </w:numPr>
      </w:pPr>
      <w:r w:rsidRPr="00E05E29">
        <w:t>The substructure shall be verified under the combination of actions in the seismic situation directly applied to it and the forces and moments transmitted to it by the isolation system.</w:t>
      </w:r>
    </w:p>
    <w:p w14:paraId="3F67CC0C" w14:textId="082E7DE7" w:rsidR="007E3D37" w:rsidRPr="00680EF7" w:rsidRDefault="007E3D37" w:rsidP="0080187E">
      <w:pPr>
        <w:pStyle w:val="Clause"/>
        <w:numPr>
          <w:ilvl w:val="0"/>
          <w:numId w:val="276"/>
        </w:numPr>
      </w:pPr>
      <w:r w:rsidRPr="00E05E29">
        <w:t xml:space="preserve">Safety verifications regarding equilibrium and resistance in the substructure and in the superstructure should be performed in accordance </w:t>
      </w:r>
      <w:r w:rsidRPr="00680EF7">
        <w:t xml:space="preserve">with </w:t>
      </w:r>
      <w:r w:rsidR="00680EF7" w:rsidRPr="00680EF7">
        <w:t xml:space="preserve">Clause </w:t>
      </w:r>
      <w:r w:rsidRPr="00680EF7">
        <w:t>6.</w:t>
      </w:r>
    </w:p>
    <w:p w14:paraId="0C0BBA7C" w14:textId="1BDF536B" w:rsidR="007E3D37" w:rsidRPr="00680EF7" w:rsidRDefault="007E3D37" w:rsidP="0080187E">
      <w:pPr>
        <w:pStyle w:val="Clause"/>
        <w:numPr>
          <w:ilvl w:val="0"/>
          <w:numId w:val="276"/>
        </w:numPr>
      </w:pPr>
      <w:r w:rsidRPr="00680EF7">
        <w:t>The structural members of the substructure and the superstructure should be designed as non-dissipative. Ductility class 1 (DC 1) may be adopted for them. Capacity design and global or local ductility conditions may be neglected.</w:t>
      </w:r>
    </w:p>
    <w:p w14:paraId="38FDDD85" w14:textId="0A014CE4" w:rsidR="007E3D37" w:rsidRPr="00680EF7" w:rsidRDefault="007E3D37" w:rsidP="0080187E">
      <w:pPr>
        <w:pStyle w:val="Clause"/>
        <w:numPr>
          <w:ilvl w:val="0"/>
          <w:numId w:val="276"/>
        </w:numPr>
      </w:pPr>
      <w:r w:rsidRPr="00680EF7">
        <w:lastRenderedPageBreak/>
        <w:t xml:space="preserve">The resistance condition of the structural members of the substructure and the superstructure may be satisfied taking into account seismic action effects calculated with </w:t>
      </w:r>
      <w:r w:rsidRPr="00680EF7">
        <w:rPr>
          <w:i/>
        </w:rPr>
        <w:t>q</w:t>
      </w:r>
      <w:r w:rsidRPr="00680EF7">
        <w:t xml:space="preserve"> = 1,5.</w:t>
      </w:r>
    </w:p>
    <w:p w14:paraId="7E28132D" w14:textId="6EEF6FD0" w:rsidR="007E3D37" w:rsidRPr="00680EF7" w:rsidRDefault="007E3D37" w:rsidP="0080187E">
      <w:pPr>
        <w:pStyle w:val="Clause"/>
        <w:numPr>
          <w:ilvl w:val="0"/>
          <w:numId w:val="276"/>
        </w:numPr>
      </w:pPr>
      <w:r w:rsidRPr="00680EF7">
        <w:t>Depending on the type of device, the resistance of the isolators and their connections to the substructure and superstructure should be verified at the SD Limit State in terms of either a) or b):</w:t>
      </w:r>
    </w:p>
    <w:p w14:paraId="627499B6" w14:textId="77777777" w:rsidR="007E3D37" w:rsidRPr="00680EF7" w:rsidRDefault="007E3D37" w:rsidP="0080187E">
      <w:pPr>
        <w:pStyle w:val="List2"/>
        <w:numPr>
          <w:ilvl w:val="0"/>
          <w:numId w:val="103"/>
        </w:numPr>
        <w:spacing w:before="0" w:after="240" w:line="230" w:lineRule="atLeast"/>
        <w:contextualSpacing w:val="0"/>
      </w:pPr>
      <w:r w:rsidRPr="00680EF7">
        <w:t>in terms of forces, taking into account the maximum and minimum vertical forces due to non-seismic actions, as well as maximum possible vertical and horizontal forces due to the seismic action, including overturning effects;</w:t>
      </w:r>
    </w:p>
    <w:p w14:paraId="2E39B868" w14:textId="77777777" w:rsidR="007E3D37" w:rsidRPr="00680EF7" w:rsidRDefault="007E3D37" w:rsidP="0080187E">
      <w:pPr>
        <w:pStyle w:val="List2"/>
        <w:numPr>
          <w:ilvl w:val="0"/>
          <w:numId w:val="103"/>
        </w:numPr>
        <w:spacing w:before="0" w:after="240" w:line="230" w:lineRule="atLeast"/>
        <w:contextualSpacing w:val="0"/>
      </w:pPr>
      <w:r w:rsidRPr="00680EF7">
        <w:t>in terms of total relative horizontal displacement between lower and upper faces of the isolator. The total horizontal displacement should include the deformation due to the design seismic action and the effects of shrinkage, creep, temperature and post tensioning (if the superstructure is prestressed).</w:t>
      </w:r>
    </w:p>
    <w:p w14:paraId="776426B9" w14:textId="03B0FFA4" w:rsidR="007E3D37" w:rsidRPr="00E05E29" w:rsidRDefault="007E3D37" w:rsidP="004C76BA">
      <w:pPr>
        <w:pStyle w:val="Notetext"/>
      </w:pPr>
      <w:r w:rsidRPr="00680EF7">
        <w:t>NOTE</w:t>
      </w:r>
      <w:r w:rsidRPr="00680EF7">
        <w:tab/>
        <w:t xml:space="preserve">The reliability factor </w:t>
      </w:r>
      <w:r w:rsidRPr="00680EF7">
        <w:rPr>
          <w:rFonts w:ascii="Symbol" w:hAnsi="Symbol"/>
          <w:i/>
        </w:rPr>
        <w:t></w:t>
      </w:r>
      <w:r w:rsidRPr="00680EF7">
        <w:rPr>
          <w:vertAlign w:val="subscript"/>
        </w:rPr>
        <w:t>x</w:t>
      </w:r>
      <w:r w:rsidRPr="00680EF7">
        <w:t xml:space="preserve"> defined in prEN</w:t>
      </w:r>
      <w:r w:rsidR="00680EF7">
        <w:t> </w:t>
      </w:r>
      <w:r w:rsidRPr="00680EF7">
        <w:t>1998-1-1:2022, 6.8.2.2, applies</w:t>
      </w:r>
      <w:r w:rsidRPr="00E05E29">
        <w:t xml:space="preserve"> to forces and displacements.</w:t>
      </w:r>
    </w:p>
    <w:p w14:paraId="7E0EE80C" w14:textId="49B5B4CB" w:rsidR="00680EF7" w:rsidRPr="00CB5EC7" w:rsidRDefault="007E3D37" w:rsidP="0080187E">
      <w:pPr>
        <w:pStyle w:val="Clause"/>
        <w:numPr>
          <w:ilvl w:val="0"/>
          <w:numId w:val="276"/>
        </w:numPr>
      </w:pPr>
      <w:r w:rsidRPr="00E05E29">
        <w:t xml:space="preserve">In buildings, ancillary elements should be analysed in </w:t>
      </w:r>
      <w:r w:rsidRPr="00680EF7">
        <w:t>accordance with 7.2, with due consideration</w:t>
      </w:r>
      <w:r w:rsidRPr="00E05E29">
        <w:t xml:space="preserve"> to the dynamic effects of the isolation.</w:t>
      </w:r>
    </w:p>
    <w:p w14:paraId="396E4BF1" w14:textId="322495A5" w:rsidR="005D7014" w:rsidRPr="00870D59" w:rsidRDefault="00780AD5" w:rsidP="008618F2">
      <w:pPr>
        <w:pStyle w:val="Heading1"/>
        <w:keepNext w:val="0"/>
        <w:tabs>
          <w:tab w:val="left" w:pos="403"/>
          <w:tab w:val="left" w:pos="432"/>
          <w:tab w:val="left" w:pos="562"/>
        </w:tabs>
        <w:autoSpaceDE w:val="0"/>
        <w:autoSpaceDN w:val="0"/>
        <w:adjustRightInd w:val="0"/>
        <w:ind w:left="431" w:hanging="431"/>
        <w:rPr>
          <w:szCs w:val="24"/>
        </w:rPr>
      </w:pPr>
      <w:bookmarkStart w:id="1133" w:name="_Toc50150336"/>
      <w:bookmarkStart w:id="1134" w:name="_Toc70886767"/>
      <w:bookmarkStart w:id="1135" w:name="_Toc108342290"/>
      <w:bookmarkStart w:id="1136" w:name="_Toc16927687"/>
      <w:bookmarkStart w:id="1137" w:name="_Toc134197856"/>
      <w:r w:rsidRPr="00E05E29">
        <w:t>Buildings with energy dissipation systems</w:t>
      </w:r>
      <w:bookmarkEnd w:id="1133"/>
      <w:bookmarkEnd w:id="1134"/>
      <w:bookmarkEnd w:id="1135"/>
      <w:bookmarkEnd w:id="1136"/>
      <w:bookmarkEnd w:id="1137"/>
    </w:p>
    <w:p w14:paraId="57642D53" w14:textId="604DABDD" w:rsidR="005D7014" w:rsidRDefault="005D7014" w:rsidP="005D7014">
      <w:pPr>
        <w:pStyle w:val="Heading2"/>
        <w:tabs>
          <w:tab w:val="left" w:pos="400"/>
          <w:tab w:val="left" w:pos="540"/>
          <w:tab w:val="left" w:pos="700"/>
        </w:tabs>
        <w:autoSpaceDE w:val="0"/>
        <w:autoSpaceDN w:val="0"/>
        <w:adjustRightInd w:val="0"/>
        <w:ind w:left="432" w:hanging="432"/>
        <w:rPr>
          <w:color w:val="000000" w:themeColor="text1"/>
        </w:rPr>
      </w:pPr>
      <w:bookmarkStart w:id="1138" w:name="_Toc134197857"/>
      <w:r w:rsidRPr="00870D59">
        <w:rPr>
          <w:color w:val="000000" w:themeColor="text1"/>
        </w:rPr>
        <w:t>General</w:t>
      </w:r>
      <w:bookmarkEnd w:id="1138"/>
    </w:p>
    <w:p w14:paraId="59D71561" w14:textId="773B9DB1" w:rsidR="00780AD5" w:rsidRPr="00E05E29" w:rsidRDefault="00680EF7" w:rsidP="0080187E">
      <w:pPr>
        <w:pStyle w:val="Clause"/>
        <w:numPr>
          <w:ilvl w:val="0"/>
          <w:numId w:val="277"/>
        </w:numPr>
      </w:pPr>
      <w:r w:rsidRPr="00680EF7">
        <w:rPr>
          <w:bCs/>
        </w:rPr>
        <w:t>This clause</w:t>
      </w:r>
      <w:r w:rsidR="00780AD5" w:rsidRPr="00680EF7">
        <w:rPr>
          <w:bCs/>
        </w:rPr>
        <w:t xml:space="preserve"> should be</w:t>
      </w:r>
      <w:r w:rsidR="00780AD5" w:rsidRPr="00E05E29">
        <w:t xml:space="preserve"> applied to the design of building structures with passive energy dissipation devices classified as displacement dependent or velocity dependent.</w:t>
      </w:r>
    </w:p>
    <w:p w14:paraId="2B5C037B" w14:textId="77777777" w:rsidR="00780AD5" w:rsidRPr="00E05E29" w:rsidRDefault="00780AD5" w:rsidP="00780AD5">
      <w:pPr>
        <w:pStyle w:val="Notetext"/>
      </w:pPr>
      <w:r w:rsidRPr="00E05E29">
        <w:t>NOTE 1</w:t>
      </w:r>
      <w:r w:rsidRPr="00E05E29">
        <w:tab/>
        <w:t>Two types of displacement-dependent energy dissipation devices are covered: (i) devices that exhibit rigid plastic behaviour; and (ii) devices that exhibit multilinear hysteresis.</w:t>
      </w:r>
    </w:p>
    <w:p w14:paraId="03FE45FA" w14:textId="77777777" w:rsidR="00780AD5" w:rsidRPr="00E05E29" w:rsidRDefault="00780AD5" w:rsidP="00780AD5">
      <w:pPr>
        <w:pStyle w:val="note1"/>
      </w:pPr>
      <w:r w:rsidRPr="00E05E29">
        <w:t>NOTE 2</w:t>
      </w:r>
      <w:r w:rsidRPr="00E05E29">
        <w:tab/>
        <w:t>Two types of velocity-dependent energy dissipation devices are covered: (i) viscoelastic (solid and fluid) devices; and (ii) viscous (fluid) devices.</w:t>
      </w:r>
    </w:p>
    <w:p w14:paraId="4CCF3574" w14:textId="4830EB24" w:rsidR="00780AD5" w:rsidRPr="00E05E29" w:rsidRDefault="00780AD5" w:rsidP="0080187E">
      <w:pPr>
        <w:pStyle w:val="Clause"/>
        <w:numPr>
          <w:ilvl w:val="0"/>
          <w:numId w:val="277"/>
        </w:numPr>
      </w:pPr>
      <w:r w:rsidRPr="00E05E29">
        <w:t>The response of displacement-dependent energy dissipation devices should be independent of velocity and frequency of excitation.</w:t>
      </w:r>
    </w:p>
    <w:p w14:paraId="44426E5E" w14:textId="77777777" w:rsidR="00780AD5" w:rsidRPr="00E05E29" w:rsidRDefault="00780AD5" w:rsidP="00780AD5">
      <w:pPr>
        <w:pStyle w:val="Notetext"/>
      </w:pPr>
      <w:r w:rsidRPr="00E05E29">
        <w:t>NOTE 1</w:t>
      </w:r>
      <w:r w:rsidRPr="00E05E29">
        <w:tab/>
        <w:t xml:space="preserve">The force-displacement relationship of a displacement-dependent energy dissipation device with rigid plastic behaviour changes its shape only if loaded above its yield force, and then deforms at approximately constant force. </w:t>
      </w:r>
    </w:p>
    <w:p w14:paraId="4390F413" w14:textId="72D93099" w:rsidR="00780AD5" w:rsidRPr="00E05E29" w:rsidRDefault="00780AD5" w:rsidP="00780AD5">
      <w:pPr>
        <w:pStyle w:val="Notetext"/>
      </w:pPr>
      <w:r w:rsidRPr="00E05E29">
        <w:t>NOTE 2</w:t>
      </w:r>
      <w:r w:rsidRPr="00E05E29">
        <w:tab/>
        <w:t>A displacement-dependent energy dissipation device with multilinear hysteresis deforms according to a linear elastic force-displacement relation characteri</w:t>
      </w:r>
      <w:r w:rsidR="006C6A44">
        <w:t>z</w:t>
      </w:r>
      <w:r w:rsidRPr="00E05E29">
        <w:t xml:space="preserve">ed by an elastic stiffness </w:t>
      </w:r>
      <w:r w:rsidRPr="00E05E29">
        <w:rPr>
          <w:i/>
        </w:rPr>
        <w:t>k</w:t>
      </w:r>
      <w:r w:rsidRPr="00E05E29">
        <w:rPr>
          <w:vertAlign w:val="subscript"/>
        </w:rPr>
        <w:t>e</w:t>
      </w:r>
      <w:r w:rsidRPr="00E05E29">
        <w:rPr>
          <w:i/>
        </w:rPr>
        <w:t xml:space="preserve"> </w:t>
      </w:r>
      <w:r w:rsidRPr="00E05E29">
        <w:t xml:space="preserve">below the yield force, and then deforms following plastic branches with stiffness smaller than </w:t>
      </w:r>
      <w:r w:rsidRPr="00E05E29">
        <w:rPr>
          <w:i/>
        </w:rPr>
        <w:t>k</w:t>
      </w:r>
      <w:r w:rsidRPr="00E05E29">
        <w:rPr>
          <w:vertAlign w:val="subscript"/>
        </w:rPr>
        <w:t>e</w:t>
      </w:r>
      <w:r w:rsidRPr="00E05E29">
        <w:rPr>
          <w:i/>
        </w:rPr>
        <w:t>.</w:t>
      </w:r>
    </w:p>
    <w:p w14:paraId="2AF05445" w14:textId="77777777" w:rsidR="00780AD5" w:rsidRPr="00E05E29" w:rsidRDefault="00780AD5" w:rsidP="00780AD5">
      <w:pPr>
        <w:pStyle w:val="Heading2"/>
      </w:pPr>
      <w:bookmarkStart w:id="1139" w:name="_Toc16927689"/>
      <w:bookmarkStart w:id="1140" w:name="_Toc50150338"/>
      <w:bookmarkStart w:id="1141" w:name="_Toc70886769"/>
      <w:bookmarkStart w:id="1142" w:name="_Toc108342292"/>
      <w:bookmarkStart w:id="1143" w:name="_Toc134197858"/>
      <w:r w:rsidRPr="00E05E29">
        <w:t>Basis of design</w:t>
      </w:r>
      <w:bookmarkEnd w:id="1139"/>
      <w:bookmarkEnd w:id="1140"/>
      <w:bookmarkEnd w:id="1141"/>
      <w:bookmarkEnd w:id="1142"/>
      <w:bookmarkEnd w:id="1143"/>
    </w:p>
    <w:p w14:paraId="60DDACF6" w14:textId="77777777" w:rsidR="00780AD5" w:rsidRPr="00E05E29" w:rsidRDefault="00780AD5" w:rsidP="00780AD5">
      <w:pPr>
        <w:pStyle w:val="Heading3"/>
      </w:pPr>
      <w:bookmarkStart w:id="1144" w:name="_Toc16927690"/>
      <w:bookmarkStart w:id="1145" w:name="_Toc50150339"/>
      <w:bookmarkStart w:id="1146" w:name="_Toc70886770"/>
      <w:bookmarkStart w:id="1147" w:name="_Toc108342293"/>
      <w:bookmarkStart w:id="1148" w:name="_Toc134197859"/>
      <w:r w:rsidRPr="00E05E29">
        <w:t>Compliance criteria</w:t>
      </w:r>
      <w:bookmarkEnd w:id="1144"/>
      <w:bookmarkEnd w:id="1145"/>
      <w:bookmarkEnd w:id="1146"/>
      <w:bookmarkEnd w:id="1147"/>
      <w:bookmarkEnd w:id="1148"/>
    </w:p>
    <w:p w14:paraId="334147AA" w14:textId="1A3F57CD" w:rsidR="00780AD5" w:rsidRPr="00680EF7" w:rsidRDefault="00780AD5" w:rsidP="0080187E">
      <w:pPr>
        <w:pStyle w:val="Clause"/>
        <w:numPr>
          <w:ilvl w:val="0"/>
          <w:numId w:val="278"/>
        </w:numPr>
      </w:pPr>
      <w:r w:rsidRPr="00E05E29">
        <w:t xml:space="preserve">If not otherwise specified, the seismic performance of the structure with an energy dissipation system should be verified </w:t>
      </w:r>
      <w:r w:rsidRPr="00680EF7">
        <w:t>according to prEN</w:t>
      </w:r>
      <w:r w:rsidR="00680EF7" w:rsidRPr="00680EF7">
        <w:t> </w:t>
      </w:r>
      <w:r w:rsidRPr="00680EF7">
        <w:t>1998-1-1:2022, 4.4.</w:t>
      </w:r>
    </w:p>
    <w:p w14:paraId="6A67069E" w14:textId="37A39DDA" w:rsidR="00780AD5" w:rsidRPr="00E05E29" w:rsidRDefault="00780AD5" w:rsidP="0080187E">
      <w:pPr>
        <w:pStyle w:val="Clause"/>
        <w:numPr>
          <w:ilvl w:val="0"/>
          <w:numId w:val="278"/>
        </w:numPr>
      </w:pPr>
      <w:r w:rsidRPr="00680EF7">
        <w:t>prEN</w:t>
      </w:r>
      <w:r w:rsidR="00680EF7" w:rsidRPr="00680EF7">
        <w:t> </w:t>
      </w:r>
      <w:r w:rsidRPr="00680EF7">
        <w:t>1998-1-1:2022, 6.8, should</w:t>
      </w:r>
      <w:r w:rsidRPr="00E05E29">
        <w:t xml:space="preserve"> be satisfied.</w:t>
      </w:r>
    </w:p>
    <w:p w14:paraId="0D75CEA4" w14:textId="3BB606BB" w:rsidR="00780AD5" w:rsidRPr="00E05E29" w:rsidRDefault="00780AD5" w:rsidP="00780AD5">
      <w:pPr>
        <w:pStyle w:val="Heading3"/>
      </w:pPr>
      <w:bookmarkStart w:id="1149" w:name="_Toc16927691"/>
      <w:bookmarkStart w:id="1150" w:name="_Toc50150340"/>
      <w:bookmarkStart w:id="1151" w:name="_Toc70886771"/>
      <w:bookmarkStart w:id="1152" w:name="_Toc108342294"/>
      <w:bookmarkStart w:id="1153" w:name="_Toc134197860"/>
      <w:r w:rsidRPr="00E05E29">
        <w:t>Main structural system</w:t>
      </w:r>
      <w:bookmarkEnd w:id="1149"/>
      <w:bookmarkEnd w:id="1150"/>
      <w:bookmarkEnd w:id="1151"/>
      <w:bookmarkEnd w:id="1152"/>
      <w:bookmarkEnd w:id="1153"/>
    </w:p>
    <w:p w14:paraId="7B852AFD" w14:textId="102EA9A1" w:rsidR="00780AD5" w:rsidRPr="00680EF7" w:rsidRDefault="00780AD5" w:rsidP="0080187E">
      <w:pPr>
        <w:pStyle w:val="Clause"/>
        <w:numPr>
          <w:ilvl w:val="0"/>
          <w:numId w:val="279"/>
        </w:numPr>
      </w:pPr>
      <w:r w:rsidRPr="00E05E29">
        <w:t xml:space="preserve">The primary seismic members of the main structural system should conform to one of the types covered </w:t>
      </w:r>
      <w:r w:rsidRPr="00680EF7">
        <w:t>in 10 to 15.</w:t>
      </w:r>
    </w:p>
    <w:p w14:paraId="3ECF1BB4" w14:textId="692E3A9C" w:rsidR="00780AD5" w:rsidRPr="00B00B3D" w:rsidRDefault="00780AD5" w:rsidP="0080187E">
      <w:pPr>
        <w:pStyle w:val="Clause"/>
        <w:numPr>
          <w:ilvl w:val="0"/>
          <w:numId w:val="279"/>
        </w:numPr>
      </w:pPr>
      <w:r w:rsidRPr="00E05E29">
        <w:lastRenderedPageBreak/>
        <w:t>The primary seismic members of the main structural system should provide a complete lateral load path; the main structural system should maintain support of the gravity loading when subjected to the displacements caused by the most unfavourable seismic design condition.</w:t>
      </w:r>
    </w:p>
    <w:p w14:paraId="2A66A288" w14:textId="77777777" w:rsidR="00780AD5" w:rsidRPr="00E05E29" w:rsidRDefault="00780AD5" w:rsidP="005C0485">
      <w:pPr>
        <w:pStyle w:val="Notetext"/>
      </w:pPr>
      <w:r w:rsidRPr="00E05E29">
        <w:t>NOTE</w:t>
      </w:r>
      <w:r w:rsidRPr="00E05E29">
        <w:tab/>
        <w:t>The main structural system includes both primary and secondary structural members.</w:t>
      </w:r>
    </w:p>
    <w:p w14:paraId="3E760297" w14:textId="77777777" w:rsidR="00780AD5" w:rsidRPr="00E05E29" w:rsidRDefault="00780AD5" w:rsidP="00780AD5">
      <w:pPr>
        <w:pStyle w:val="Heading3"/>
      </w:pPr>
      <w:bookmarkStart w:id="1154" w:name="_Toc16927692"/>
      <w:bookmarkStart w:id="1155" w:name="_Toc50150341"/>
      <w:bookmarkStart w:id="1156" w:name="_Toc70886772"/>
      <w:bookmarkStart w:id="1157" w:name="_Toc108342295"/>
      <w:bookmarkStart w:id="1158" w:name="_Toc134197861"/>
      <w:r w:rsidRPr="00E05E29">
        <w:t>Energy dissipation system</w:t>
      </w:r>
      <w:bookmarkEnd w:id="1154"/>
      <w:bookmarkEnd w:id="1155"/>
      <w:bookmarkEnd w:id="1156"/>
      <w:bookmarkEnd w:id="1157"/>
      <w:bookmarkEnd w:id="1158"/>
    </w:p>
    <w:p w14:paraId="504E23C3" w14:textId="77777777" w:rsidR="00780AD5" w:rsidRPr="00680EF7" w:rsidRDefault="00780AD5" w:rsidP="005C0485">
      <w:pPr>
        <w:pStyle w:val="Notetext"/>
      </w:pPr>
      <w:r w:rsidRPr="00E05E29">
        <w:t>NOTE</w:t>
      </w:r>
      <w:r w:rsidRPr="00E05E29">
        <w:tab/>
        <w:t xml:space="preserve">This standard does not cover the systems where conditions given </w:t>
      </w:r>
      <w:r w:rsidRPr="00680EF7">
        <w:t>in 9.2.3 are not satisfied.</w:t>
      </w:r>
    </w:p>
    <w:p w14:paraId="60BEBF90" w14:textId="0D26AAE4" w:rsidR="00780AD5" w:rsidRPr="00E05E29" w:rsidRDefault="00780AD5" w:rsidP="0080187E">
      <w:pPr>
        <w:pStyle w:val="Clause"/>
        <w:numPr>
          <w:ilvl w:val="0"/>
          <w:numId w:val="280"/>
        </w:numPr>
      </w:pPr>
      <w:r w:rsidRPr="00680EF7">
        <w:t>The yield displacement of displacement-dependent energy dissipation devices</w:t>
      </w:r>
      <w:r w:rsidRPr="00E05E29">
        <w:t xml:space="preserve"> installed in a storey, in the direction under consideration, should not be greater than 0,4 times the yield displacement of the primary seismic members of the main structural system at the same storey.</w:t>
      </w:r>
    </w:p>
    <w:p w14:paraId="10C7DB58" w14:textId="1F76A540" w:rsidR="00780AD5" w:rsidRPr="00E05E29" w:rsidRDefault="00780AD5" w:rsidP="0080187E">
      <w:pPr>
        <w:pStyle w:val="Clause"/>
        <w:numPr>
          <w:ilvl w:val="0"/>
          <w:numId w:val="280"/>
        </w:numPr>
      </w:pPr>
      <w:r w:rsidRPr="00E05E29">
        <w:t>The yield resistance to shear of displacement-dependent energy dissipation devices installed in a storey, in the direction under consideration, should not be greater than the maximum storey resistance to shear of the primary seismic members of the main structural system at the same storey.</w:t>
      </w:r>
    </w:p>
    <w:p w14:paraId="5E368540" w14:textId="25AE5979" w:rsidR="00780AD5" w:rsidRPr="00E05E29" w:rsidRDefault="00780AD5" w:rsidP="0080187E">
      <w:pPr>
        <w:pStyle w:val="Clause"/>
        <w:numPr>
          <w:ilvl w:val="0"/>
          <w:numId w:val="280"/>
        </w:numPr>
      </w:pPr>
      <w:r w:rsidRPr="00E05E29">
        <w:t>All structural members of the energy dissipation system, exclusive of the members that are common with the main structural system and exclusive of the energy dissipation devices, should remain in the elastic domain for the action effects of the design seismic action magnified by 1,5.</w:t>
      </w:r>
    </w:p>
    <w:p w14:paraId="6CA2D09F" w14:textId="7681E002" w:rsidR="00780AD5" w:rsidRPr="00E05E29" w:rsidRDefault="00780AD5" w:rsidP="00780AD5">
      <w:pPr>
        <w:pStyle w:val="Heading3"/>
      </w:pPr>
      <w:bookmarkStart w:id="1159" w:name="_Toc16927693"/>
      <w:bookmarkStart w:id="1160" w:name="_Toc50150342"/>
      <w:bookmarkStart w:id="1161" w:name="_Toc70886773"/>
      <w:bookmarkStart w:id="1162" w:name="_Toc108342296"/>
      <w:bookmarkStart w:id="1163" w:name="_Toc134197862"/>
      <w:r w:rsidRPr="00E05E29">
        <w:t>Control of torsional effects</w:t>
      </w:r>
      <w:bookmarkEnd w:id="1159"/>
      <w:bookmarkEnd w:id="1160"/>
      <w:bookmarkEnd w:id="1161"/>
      <w:bookmarkEnd w:id="1162"/>
      <w:bookmarkEnd w:id="1163"/>
    </w:p>
    <w:p w14:paraId="3D2A64F0" w14:textId="430ED5EE" w:rsidR="00780AD5" w:rsidRPr="00E05E29" w:rsidRDefault="00780AD5" w:rsidP="0080187E">
      <w:pPr>
        <w:pStyle w:val="Clause"/>
        <w:numPr>
          <w:ilvl w:val="0"/>
          <w:numId w:val="281"/>
        </w:numPr>
      </w:pPr>
      <w:r w:rsidRPr="00E05E29">
        <w:t>The in-plan distribution of energy dissipation devices should provide torsional resistance and stiffness.</w:t>
      </w:r>
    </w:p>
    <w:p w14:paraId="1E6F2AB9" w14:textId="77777777" w:rsidR="00780AD5" w:rsidRPr="00E05E29" w:rsidRDefault="00780AD5" w:rsidP="005C0485">
      <w:pPr>
        <w:pStyle w:val="Notetext"/>
      </w:pPr>
      <w:r w:rsidRPr="00E05E29">
        <w:t>NOTE</w:t>
      </w:r>
      <w:r w:rsidRPr="00E05E29">
        <w:tab/>
        <w:t>Layouts of energy dissipation devices close to the periphery of the building are more effective.</w:t>
      </w:r>
    </w:p>
    <w:p w14:paraId="29C6C563" w14:textId="77777777" w:rsidR="00780AD5" w:rsidRPr="00E05E29" w:rsidRDefault="00780AD5" w:rsidP="00780AD5">
      <w:pPr>
        <w:pStyle w:val="Heading2"/>
      </w:pPr>
      <w:bookmarkStart w:id="1164" w:name="_Toc16927694"/>
      <w:bookmarkStart w:id="1165" w:name="_Toc50150343"/>
      <w:bookmarkStart w:id="1166" w:name="_Toc70886774"/>
      <w:bookmarkStart w:id="1167" w:name="_Toc108342297"/>
      <w:bookmarkStart w:id="1168" w:name="_Toc134197863"/>
      <w:r w:rsidRPr="00E05E29">
        <w:t>Structural analysis</w:t>
      </w:r>
      <w:bookmarkEnd w:id="1164"/>
      <w:bookmarkEnd w:id="1165"/>
      <w:bookmarkEnd w:id="1166"/>
      <w:bookmarkEnd w:id="1167"/>
      <w:bookmarkEnd w:id="1168"/>
    </w:p>
    <w:p w14:paraId="498F3A0F" w14:textId="77777777" w:rsidR="00780AD5" w:rsidRPr="00E05E29" w:rsidRDefault="00780AD5" w:rsidP="00780AD5">
      <w:pPr>
        <w:pStyle w:val="Heading3"/>
      </w:pPr>
      <w:bookmarkStart w:id="1169" w:name="_Toc16927695"/>
      <w:bookmarkStart w:id="1170" w:name="_Toc50150344"/>
      <w:bookmarkStart w:id="1171" w:name="_Toc70886775"/>
      <w:bookmarkStart w:id="1172" w:name="_Toc108342298"/>
      <w:bookmarkStart w:id="1173" w:name="_Toc134197864"/>
      <w:r w:rsidRPr="00E05E29">
        <w:t>General</w:t>
      </w:r>
      <w:bookmarkEnd w:id="1169"/>
      <w:bookmarkEnd w:id="1170"/>
      <w:bookmarkEnd w:id="1171"/>
      <w:bookmarkEnd w:id="1172"/>
      <w:bookmarkEnd w:id="1173"/>
    </w:p>
    <w:p w14:paraId="16B33C26" w14:textId="2143D9B8" w:rsidR="00780AD5" w:rsidRPr="00680EF7" w:rsidRDefault="00780AD5" w:rsidP="0080187E">
      <w:pPr>
        <w:pStyle w:val="Clause"/>
        <w:numPr>
          <w:ilvl w:val="0"/>
          <w:numId w:val="282"/>
        </w:numPr>
      </w:pPr>
      <w:r w:rsidRPr="00E05E29">
        <w:t xml:space="preserve">The model should </w:t>
      </w:r>
      <w:r w:rsidRPr="00680EF7">
        <w:t>conform to 5.1 for the structural system, to prEN</w:t>
      </w:r>
      <w:r w:rsidR="00680EF7">
        <w:t> </w:t>
      </w:r>
      <w:r w:rsidRPr="00680EF7">
        <w:t xml:space="preserve">1998-1-1:2022, 6.8.2, and to 9.3 of this </w:t>
      </w:r>
      <w:r w:rsidR="006C6A44">
        <w:t>document</w:t>
      </w:r>
      <w:r w:rsidRPr="00680EF7">
        <w:t>.</w:t>
      </w:r>
    </w:p>
    <w:p w14:paraId="75174A74" w14:textId="0B6D9BD4" w:rsidR="00780AD5" w:rsidRPr="00680EF7" w:rsidRDefault="00780AD5" w:rsidP="0080187E">
      <w:pPr>
        <w:pStyle w:val="Clause"/>
        <w:numPr>
          <w:ilvl w:val="0"/>
          <w:numId w:val="282"/>
        </w:numPr>
      </w:pPr>
      <w:r w:rsidRPr="00680EF7">
        <w:t>The method described in 9.3.2 may be applied when 9.3.2.1(1) is satisfied.</w:t>
      </w:r>
    </w:p>
    <w:p w14:paraId="19903D61" w14:textId="06FFBA4F" w:rsidR="00780AD5" w:rsidRPr="00680EF7" w:rsidRDefault="00780AD5" w:rsidP="0080187E">
      <w:pPr>
        <w:pStyle w:val="Clause"/>
        <w:numPr>
          <w:ilvl w:val="0"/>
          <w:numId w:val="282"/>
        </w:numPr>
      </w:pPr>
      <w:r w:rsidRPr="00680EF7">
        <w:t>The method described in 9.3.3 may be applied when 9.3.3.1(1) is satisfied.</w:t>
      </w:r>
    </w:p>
    <w:p w14:paraId="4D8F61D1" w14:textId="1B9B1536" w:rsidR="00780AD5" w:rsidRPr="00E05E29" w:rsidRDefault="00780AD5" w:rsidP="0080187E">
      <w:pPr>
        <w:pStyle w:val="Clause"/>
        <w:numPr>
          <w:ilvl w:val="0"/>
          <w:numId w:val="282"/>
        </w:numPr>
      </w:pPr>
      <w:r w:rsidRPr="00680EF7">
        <w:t>The method described in 9.3.4 may</w:t>
      </w:r>
      <w:r w:rsidRPr="00E05E29">
        <w:t xml:space="preserve"> always be applied.</w:t>
      </w:r>
    </w:p>
    <w:p w14:paraId="10A875E1" w14:textId="3E9EAC79" w:rsidR="00780AD5" w:rsidRPr="00E05E29" w:rsidRDefault="00780AD5" w:rsidP="00780AD5">
      <w:pPr>
        <w:pStyle w:val="Heading3"/>
      </w:pPr>
      <w:bookmarkStart w:id="1174" w:name="_Toc16927696"/>
      <w:bookmarkStart w:id="1175" w:name="_Toc50150345"/>
      <w:bookmarkStart w:id="1176" w:name="_Toc70886776"/>
      <w:bookmarkStart w:id="1177" w:name="_Toc108342299"/>
      <w:bookmarkStart w:id="1178" w:name="_Toc134197865"/>
      <w:r w:rsidRPr="00E05E29">
        <w:t>Non-linear response spectrum analysis</w:t>
      </w:r>
      <w:bookmarkEnd w:id="1174"/>
      <w:bookmarkEnd w:id="1175"/>
      <w:bookmarkEnd w:id="1176"/>
      <w:bookmarkEnd w:id="1177"/>
      <w:bookmarkEnd w:id="1178"/>
    </w:p>
    <w:p w14:paraId="29BF023F" w14:textId="77777777" w:rsidR="00780AD5" w:rsidRPr="00E05E29" w:rsidRDefault="00780AD5" w:rsidP="00780AD5">
      <w:pPr>
        <w:pStyle w:val="Heading4"/>
      </w:pPr>
      <w:bookmarkStart w:id="1179" w:name="_Toc108342300"/>
      <w:r w:rsidRPr="00E05E29">
        <w:t>General</w:t>
      </w:r>
      <w:bookmarkEnd w:id="1179"/>
    </w:p>
    <w:p w14:paraId="1FC5E5A2" w14:textId="2415F711" w:rsidR="00780AD5" w:rsidRPr="00680EF7" w:rsidRDefault="00780AD5" w:rsidP="0080187E">
      <w:pPr>
        <w:pStyle w:val="Clause"/>
        <w:numPr>
          <w:ilvl w:val="0"/>
          <w:numId w:val="283"/>
        </w:numPr>
      </w:pPr>
      <w:r w:rsidRPr="00B74AD7">
        <w:t xml:space="preserve">The non-linear response spectrum analysis defined in </w:t>
      </w:r>
      <w:r>
        <w:t>prEN</w:t>
      </w:r>
      <w:r w:rsidR="00680EF7">
        <w:t> </w:t>
      </w:r>
      <w:r>
        <w:t>1998-1-1</w:t>
      </w:r>
      <w:r w:rsidRPr="00680EF7">
        <w:t>:2022, 6.8.5.4, may be used for analysis and design of building structures with velocity-dependent energy dissipation devices.</w:t>
      </w:r>
    </w:p>
    <w:p w14:paraId="06073AEB" w14:textId="3293C57B" w:rsidR="00780AD5" w:rsidRPr="00680EF7" w:rsidRDefault="00780AD5" w:rsidP="0080187E">
      <w:pPr>
        <w:pStyle w:val="Clause"/>
        <w:numPr>
          <w:ilvl w:val="0"/>
          <w:numId w:val="283"/>
        </w:numPr>
      </w:pPr>
      <w:r w:rsidRPr="00680EF7">
        <w:t>The non-linear response spectrum analysis may be used for analysis and design provided that all the conditions in a) to c) are satisfied:</w:t>
      </w:r>
    </w:p>
    <w:p w14:paraId="5E6BEC49" w14:textId="77777777" w:rsidR="00780AD5" w:rsidRPr="00680EF7" w:rsidRDefault="00780AD5" w:rsidP="0080187E">
      <w:pPr>
        <w:pStyle w:val="List2"/>
        <w:numPr>
          <w:ilvl w:val="0"/>
          <w:numId w:val="104"/>
        </w:numPr>
        <w:spacing w:before="0" w:after="240" w:line="230" w:lineRule="atLeast"/>
        <w:contextualSpacing w:val="0"/>
      </w:pPr>
      <w:r w:rsidRPr="00680EF7">
        <w:t>The floor diaphragms of the buildings are rigid in their planes in accordance with 5.1.2(2).</w:t>
      </w:r>
    </w:p>
    <w:p w14:paraId="6D549F15" w14:textId="77777777" w:rsidR="00780AD5" w:rsidRPr="00680EF7" w:rsidRDefault="00780AD5" w:rsidP="0080187E">
      <w:pPr>
        <w:pStyle w:val="List2"/>
        <w:numPr>
          <w:ilvl w:val="0"/>
          <w:numId w:val="104"/>
        </w:numPr>
        <w:spacing w:before="0" w:after="240" w:line="230" w:lineRule="atLeast"/>
        <w:contextualSpacing w:val="0"/>
      </w:pPr>
      <w:r w:rsidRPr="00680EF7">
        <w:lastRenderedPageBreak/>
        <w:t>In each direction, the energy-dissipation system has at least two energy dissipation devices in each storey, arranged in accordance with 9.2.4.</w:t>
      </w:r>
    </w:p>
    <w:p w14:paraId="6267DE6A" w14:textId="77777777" w:rsidR="00780AD5" w:rsidRPr="00680EF7" w:rsidRDefault="00780AD5" w:rsidP="0080187E">
      <w:pPr>
        <w:pStyle w:val="List2"/>
        <w:numPr>
          <w:ilvl w:val="0"/>
          <w:numId w:val="104"/>
        </w:numPr>
        <w:spacing w:before="0" w:after="240" w:line="230" w:lineRule="atLeast"/>
        <w:contextualSpacing w:val="0"/>
      </w:pPr>
      <w:r w:rsidRPr="00680EF7">
        <w:rPr>
          <w:rFonts w:asciiTheme="majorHAnsi" w:hAnsiTheme="majorHAnsi" w:cstheme="majorHAnsi"/>
          <w:color w:val="000000"/>
        </w:rPr>
        <w:t xml:space="preserve">All storeys of the building above ground level have energy dissipation devices </w:t>
      </w:r>
      <w:r w:rsidRPr="00680EF7">
        <w:t xml:space="preserve">of the same type (viscous or viscoelastic), all of them should have similar velocity exponent </w:t>
      </w:r>
      <w:r w:rsidRPr="00680EF7">
        <w:rPr>
          <w:i/>
        </w:rPr>
        <w:t xml:space="preserve">a </w:t>
      </w:r>
      <w:r w:rsidRPr="00680EF7">
        <w:t xml:space="preserve">and similar loss factor </w:t>
      </w:r>
      <w:r w:rsidRPr="00680EF7">
        <w:rPr>
          <w:rFonts w:ascii="Symbol" w:eastAsia="Symbol" w:hAnsi="Symbol" w:cs="Symbol"/>
          <w:i/>
        </w:rPr>
        <w:t></w:t>
      </w:r>
      <w:r w:rsidRPr="00680EF7">
        <w:rPr>
          <w:vertAlign w:val="subscript"/>
        </w:rPr>
        <w:t>loss</w:t>
      </w:r>
      <w:r w:rsidRPr="00680EF7">
        <w:t xml:space="preserve"> and, in case of viscoelastic type energy dissipation devices, </w:t>
      </w:r>
      <w:r w:rsidRPr="00680EF7">
        <w:rPr>
          <w:i/>
        </w:rPr>
        <w:t>a </w:t>
      </w:r>
      <w:r w:rsidRPr="00680EF7">
        <w:t>= 1.</w:t>
      </w:r>
    </w:p>
    <w:p w14:paraId="45CC7707" w14:textId="63D8CC75" w:rsidR="00780AD5" w:rsidRPr="00680EF7" w:rsidRDefault="00780AD5" w:rsidP="0080187E">
      <w:pPr>
        <w:pStyle w:val="Clause"/>
        <w:numPr>
          <w:ilvl w:val="0"/>
          <w:numId w:val="283"/>
        </w:numPr>
      </w:pPr>
      <w:r w:rsidRPr="00680EF7">
        <w:t xml:space="preserve">If one of a) to c) in (2) is not fulfilled, a </w:t>
      </w:r>
      <w:r w:rsidR="00AC5D98">
        <w:t>response</w:t>
      </w:r>
      <w:r w:rsidRPr="00680EF7">
        <w:t>-history analysis should be used.</w:t>
      </w:r>
    </w:p>
    <w:p w14:paraId="4FFF1E4F" w14:textId="6971ADDB" w:rsidR="00780AD5" w:rsidRPr="00680EF7" w:rsidRDefault="00780AD5" w:rsidP="0080187E">
      <w:pPr>
        <w:pStyle w:val="Clause"/>
        <w:numPr>
          <w:ilvl w:val="0"/>
          <w:numId w:val="283"/>
        </w:numPr>
      </w:pPr>
      <w:r w:rsidRPr="00680EF7">
        <w:t xml:space="preserve">At SD limit state, the amount of energy that can be dissipated by the primary seismic members of the main structural system on each storey </w:t>
      </w:r>
      <w:r w:rsidRPr="00680EF7">
        <w:rPr>
          <w:i/>
        </w:rPr>
        <w:t xml:space="preserve">k </w:t>
      </w:r>
      <w:r w:rsidRPr="00680EF7">
        <w:t xml:space="preserve">before it reaches the SD limit state should be greater than the maximum energy dissipation demand on the main structural system at the </w:t>
      </w:r>
      <w:r w:rsidRPr="00680EF7">
        <w:rPr>
          <w:i/>
        </w:rPr>
        <w:t>k</w:t>
      </w:r>
      <w:r w:rsidRPr="00680EF7">
        <w:t>-storey under the design seismic action.</w:t>
      </w:r>
    </w:p>
    <w:p w14:paraId="093AA394" w14:textId="4927A4B1" w:rsidR="00780AD5" w:rsidRPr="00680EF7" w:rsidRDefault="00780AD5" w:rsidP="0080187E">
      <w:pPr>
        <w:pStyle w:val="Clause"/>
        <w:numPr>
          <w:ilvl w:val="0"/>
          <w:numId w:val="283"/>
        </w:numPr>
      </w:pPr>
      <w:r w:rsidRPr="00680EF7">
        <w:t>(4) may be considered as satisfied if conditions a) to c) are satisfied:</w:t>
      </w:r>
    </w:p>
    <w:p w14:paraId="29A2274E" w14:textId="77777777" w:rsidR="00780AD5" w:rsidRPr="00680EF7" w:rsidRDefault="00780AD5" w:rsidP="0080187E">
      <w:pPr>
        <w:pStyle w:val="List2"/>
        <w:numPr>
          <w:ilvl w:val="0"/>
          <w:numId w:val="105"/>
        </w:numPr>
        <w:spacing w:before="0" w:after="240" w:line="230" w:lineRule="atLeast"/>
        <w:contextualSpacing w:val="0"/>
      </w:pPr>
      <w:r w:rsidRPr="00680EF7">
        <w:t>in DC3, the primary seismic members of the main structural system meet the global ductility conditions given in 6.2.7;</w:t>
      </w:r>
    </w:p>
    <w:p w14:paraId="4CCA9A33" w14:textId="7C142B1A" w:rsidR="00780AD5" w:rsidRPr="00E05E29" w:rsidRDefault="00780AD5" w:rsidP="0080187E">
      <w:pPr>
        <w:pStyle w:val="List2"/>
        <w:numPr>
          <w:ilvl w:val="0"/>
          <w:numId w:val="105"/>
        </w:numPr>
        <w:spacing w:before="0" w:after="240" w:line="230" w:lineRule="atLeast"/>
        <w:contextualSpacing w:val="0"/>
      </w:pPr>
      <w:r w:rsidRPr="00E05E29">
        <w:t>the primary seismic members of the main structural system meet the material dependent provisions to be categor</w:t>
      </w:r>
      <w:r w:rsidR="00E10A24">
        <w:t>ize</w:t>
      </w:r>
      <w:r w:rsidRPr="00E05E29">
        <w:t>d as ductility class DC1, DC2 or DC3;</w:t>
      </w:r>
    </w:p>
    <w:p w14:paraId="138A7F94" w14:textId="77777777" w:rsidR="00780AD5" w:rsidRPr="00680EF7" w:rsidRDefault="00780AD5" w:rsidP="0080187E">
      <w:pPr>
        <w:pStyle w:val="List2"/>
        <w:numPr>
          <w:ilvl w:val="0"/>
          <w:numId w:val="105"/>
        </w:numPr>
        <w:spacing w:before="0" w:after="240" w:line="230" w:lineRule="atLeast"/>
        <w:contextualSpacing w:val="0"/>
      </w:pPr>
      <w:r w:rsidRPr="00E05E29">
        <w:t xml:space="preserve">the displacement ductility ratio </w:t>
      </w:r>
      <w:r w:rsidRPr="00E05E29">
        <w:rPr>
          <w:rFonts w:ascii="Symbol" w:eastAsia="Symbol" w:hAnsi="Symbol" w:cs="Symbol"/>
          <w:i/>
          <w:iCs/>
        </w:rPr>
        <w:t></w:t>
      </w:r>
      <w:r w:rsidRPr="00E05E29">
        <w:rPr>
          <w:vertAlign w:val="subscript"/>
        </w:rPr>
        <w:t>f</w:t>
      </w:r>
      <w:r w:rsidRPr="00E05E29">
        <w:rPr>
          <w:i/>
          <w:iCs/>
        </w:rPr>
        <w:t>,</w:t>
      </w:r>
      <w:r w:rsidRPr="00E05E29">
        <w:rPr>
          <w:i/>
          <w:iCs/>
          <w:vertAlign w:val="subscript"/>
        </w:rPr>
        <w:t xml:space="preserve"> </w:t>
      </w:r>
      <w:r w:rsidRPr="00E05E29">
        <w:t xml:space="preserve">in the direction under consideration where </w:t>
      </w:r>
      <w:r w:rsidRPr="00E05E29">
        <w:rPr>
          <w:rFonts w:ascii="Symbol" w:eastAsia="Symbol" w:hAnsi="Symbol" w:cs="Symbol"/>
          <w:i/>
          <w:iCs/>
        </w:rPr>
        <w:t></w:t>
      </w:r>
      <w:r w:rsidRPr="00E05E29">
        <w:rPr>
          <w:vertAlign w:val="subscript"/>
        </w:rPr>
        <w:t>f</w:t>
      </w:r>
      <w:r w:rsidRPr="00E05E29">
        <w:t xml:space="preserve"> is given by Formula (9.1) and calculated in accordance with </w:t>
      </w:r>
      <w:r w:rsidRPr="00680EF7">
        <w:t xml:space="preserve">Annex D, D.2, does not exceed the highest </w:t>
      </w:r>
      <w:r w:rsidRPr="00680EF7">
        <w:rPr>
          <w:i/>
          <w:iCs/>
        </w:rPr>
        <w:t>q</w:t>
      </w:r>
      <w:r w:rsidRPr="00680EF7">
        <w:rPr>
          <w:vertAlign w:val="subscript"/>
        </w:rPr>
        <w:t>D</w:t>
      </w:r>
      <w:r w:rsidRPr="00680EF7">
        <w:t xml:space="preserve"> behaviour factor in the same direction that can be assigned to the primary seismic members of the main structural system to meet the provisions of material dependent Clauses.</w:t>
      </w:r>
    </w:p>
    <w:p w14:paraId="18410C74" w14:textId="7382B023" w:rsidR="00325DC7" w:rsidRPr="00680EF7" w:rsidRDefault="009B5CEC" w:rsidP="00325DC7">
      <w:pPr>
        <w:pStyle w:val="Formula"/>
      </w:pPr>
      <m:oMath>
        <m:sSub>
          <m:sSubPr>
            <m:ctrlPr>
              <w:rPr>
                <w:rFonts w:ascii="Cambria Math" w:hAnsi="Cambria Math"/>
              </w:rPr>
            </m:ctrlPr>
          </m:sSubPr>
          <m:e>
            <m:r>
              <w:rPr>
                <w:rFonts w:ascii="Cambria Math" w:hAnsi="Cambria Math"/>
              </w:rPr>
              <m:t>μ</m:t>
            </m:r>
          </m:e>
          <m:sub>
            <m:r>
              <m:rPr>
                <m:sty m:val="p"/>
              </m:rPr>
              <w:rPr>
                <w:rFonts w:ascii="Cambria Math" w:hAnsi="Cambria Math"/>
              </w:rPr>
              <m:t>f</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d</m:t>
                </m:r>
              </m:e>
              <m:sub>
                <m:r>
                  <m:rPr>
                    <m:sty m:val="p"/>
                  </m:rPr>
                  <w:rPr>
                    <w:rFonts w:ascii="Cambria Math" w:hAnsi="Cambria Math"/>
                  </w:rPr>
                  <m:t>roof 1</m:t>
                </m:r>
              </m:sub>
            </m:sSub>
          </m:num>
          <m:den>
            <m:sSub>
              <m:sSubPr>
                <m:ctrlPr>
                  <w:rPr>
                    <w:rFonts w:ascii="Cambria Math" w:hAnsi="Cambria Math"/>
                  </w:rPr>
                </m:ctrlPr>
              </m:sSubPr>
              <m:e>
                <m:r>
                  <w:rPr>
                    <w:rFonts w:ascii="Cambria Math" w:hAnsi="Cambria Math"/>
                  </w:rPr>
                  <m:t>d</m:t>
                </m:r>
              </m:e>
              <m:sub>
                <m:r>
                  <m:rPr>
                    <m:sty m:val="p"/>
                  </m:rPr>
                  <w:rPr>
                    <w:rFonts w:ascii="Cambria Math" w:hAnsi="Cambria Math"/>
                  </w:rPr>
                  <m:t>roofy</m:t>
                </m:r>
              </m:sub>
            </m:sSub>
          </m:den>
        </m:f>
      </m:oMath>
      <w:r w:rsidR="00325DC7" w:rsidRPr="00680EF7">
        <w:tab/>
        <w:t>(9.1)</w:t>
      </w:r>
    </w:p>
    <w:p w14:paraId="12876ED9" w14:textId="5DEA89DB" w:rsidR="00325DC7" w:rsidRPr="00680EF7" w:rsidRDefault="00325DC7" w:rsidP="00680EF7">
      <w:pPr>
        <w:pStyle w:val="Text"/>
      </w:pPr>
      <w:r w:rsidRPr="00680EF7">
        <w:t>where</w:t>
      </w:r>
    </w:p>
    <w:tbl>
      <w:tblPr>
        <w:tblW w:w="0" w:type="auto"/>
        <w:tblInd w:w="346" w:type="dxa"/>
        <w:tblLook w:val="04A0" w:firstRow="1" w:lastRow="0" w:firstColumn="1" w:lastColumn="0" w:noHBand="0" w:noVBand="1"/>
      </w:tblPr>
      <w:tblGrid>
        <w:gridCol w:w="1275"/>
        <w:gridCol w:w="7938"/>
      </w:tblGrid>
      <w:tr w:rsidR="00325DC7" w:rsidRPr="00680EF7" w14:paraId="16C84C30" w14:textId="77777777" w:rsidTr="006C6A44">
        <w:tc>
          <w:tcPr>
            <w:tcW w:w="1275" w:type="dxa"/>
            <w:shd w:val="clear" w:color="auto" w:fill="auto"/>
          </w:tcPr>
          <w:p w14:paraId="70B430DA" w14:textId="2498A2D0" w:rsidR="00325DC7" w:rsidRPr="00680EF7" w:rsidRDefault="00325DC7" w:rsidP="002061E5">
            <w:pPr>
              <w:pStyle w:val="Tablebody"/>
              <w:rPr>
                <w:i/>
                <w:iCs/>
              </w:rPr>
            </w:pPr>
            <w:r w:rsidRPr="00680EF7">
              <w:rPr>
                <w:i/>
              </w:rPr>
              <w:t>d</w:t>
            </w:r>
            <w:r w:rsidRPr="00680EF7">
              <w:rPr>
                <w:vertAlign w:val="subscript"/>
              </w:rPr>
              <w:t>roof 1</w:t>
            </w:r>
          </w:p>
        </w:tc>
        <w:tc>
          <w:tcPr>
            <w:tcW w:w="7938" w:type="dxa"/>
          </w:tcPr>
          <w:p w14:paraId="4BC319F9" w14:textId="1F3B120B" w:rsidR="00325DC7" w:rsidRPr="00680EF7" w:rsidRDefault="00325DC7" w:rsidP="002061E5">
            <w:pPr>
              <w:pStyle w:val="Tablebody"/>
            </w:pPr>
            <w:r w:rsidRPr="00680EF7">
              <w:t>is the maximum horizontal displacement relative to the ground at roof level for the first mode in the direction under consideration;</w:t>
            </w:r>
          </w:p>
        </w:tc>
      </w:tr>
      <w:tr w:rsidR="00325DC7" w:rsidRPr="00680EF7" w14:paraId="2C73BAF6" w14:textId="77777777" w:rsidTr="006C6A44">
        <w:tc>
          <w:tcPr>
            <w:tcW w:w="1275" w:type="dxa"/>
            <w:shd w:val="clear" w:color="auto" w:fill="auto"/>
          </w:tcPr>
          <w:p w14:paraId="1D1F820A" w14:textId="33B44F2E" w:rsidR="00325DC7" w:rsidRPr="00680EF7" w:rsidRDefault="009B5CEC" w:rsidP="002061E5">
            <w:pPr>
              <w:pStyle w:val="Tablebody"/>
              <w:rPr>
                <w:i/>
              </w:rPr>
            </w:pPr>
            <m:oMathPara>
              <m:oMathParaPr>
                <m:jc m:val="left"/>
              </m:oMathParaPr>
              <m:oMath>
                <m:sSub>
                  <m:sSubPr>
                    <m:ctrlPr>
                      <w:rPr>
                        <w:rFonts w:ascii="Cambria Math" w:hAnsi="Cambria Math"/>
                        <w:i/>
                      </w:rPr>
                    </m:ctrlPr>
                  </m:sSubPr>
                  <m:e>
                    <m:r>
                      <w:rPr>
                        <w:rFonts w:ascii="Cambria Math" w:hAnsi="Cambria Math"/>
                      </w:rPr>
                      <m:t>d</m:t>
                    </m:r>
                  </m:e>
                  <m:sub>
                    <m:r>
                      <m:rPr>
                        <m:sty m:val="p"/>
                      </m:rPr>
                      <w:rPr>
                        <w:rFonts w:ascii="Cambria Math" w:hAnsi="Cambria Math"/>
                      </w:rPr>
                      <m:t>roofy</m:t>
                    </m:r>
                  </m:sub>
                </m:sSub>
              </m:oMath>
            </m:oMathPara>
          </w:p>
        </w:tc>
        <w:tc>
          <w:tcPr>
            <w:tcW w:w="7938" w:type="dxa"/>
          </w:tcPr>
          <w:p w14:paraId="5CCC80BD" w14:textId="304EE255" w:rsidR="00325DC7" w:rsidRPr="00680EF7" w:rsidRDefault="00325DC7" w:rsidP="002061E5">
            <w:pPr>
              <w:pStyle w:val="Tablebody"/>
            </w:pPr>
            <w:r w:rsidRPr="00680EF7">
              <w:t>is a horizontal displacement at yield which takes different values (given in Annex D, D.2) according to the type of energy dissipation system.</w:t>
            </w:r>
          </w:p>
        </w:tc>
      </w:tr>
    </w:tbl>
    <w:p w14:paraId="1D6C04C6" w14:textId="62532670" w:rsidR="00325DC7" w:rsidRPr="00680EF7" w:rsidRDefault="00325DC7" w:rsidP="0080187E">
      <w:pPr>
        <w:pStyle w:val="Clause"/>
        <w:numPr>
          <w:ilvl w:val="0"/>
          <w:numId w:val="283"/>
        </w:numPr>
      </w:pPr>
      <w:r w:rsidRPr="00680EF7">
        <w:t xml:space="preserve">The amount of energy that can be dissipated by the energy dissipation devices installed on each storey </w:t>
      </w:r>
      <w:r w:rsidRPr="00680EF7">
        <w:rPr>
          <w:i/>
        </w:rPr>
        <w:t>k</w:t>
      </w:r>
      <w:r w:rsidRPr="00680EF7">
        <w:t xml:space="preserve"> before one of them reaches the SD limit state should be greater than the maximum energy dissipation demand on the energy dissipation system at the </w:t>
      </w:r>
      <w:r w:rsidRPr="00680EF7">
        <w:rPr>
          <w:i/>
        </w:rPr>
        <w:t>k</w:t>
      </w:r>
      <w:r w:rsidRPr="00680EF7">
        <w:t>-th storey under the design seismic action.</w:t>
      </w:r>
    </w:p>
    <w:p w14:paraId="53FFF4AC" w14:textId="6D64164E" w:rsidR="00325DC7" w:rsidRPr="00E05E29" w:rsidRDefault="00325DC7" w:rsidP="0080187E">
      <w:pPr>
        <w:pStyle w:val="Clause"/>
        <w:numPr>
          <w:ilvl w:val="0"/>
          <w:numId w:val="283"/>
        </w:numPr>
      </w:pPr>
      <w:r w:rsidRPr="00680EF7">
        <w:t xml:space="preserve">(6) may be considered as satisfied if the energy dissipation capacity of the energy dissipation devices installed on each storey </w:t>
      </w:r>
      <w:r w:rsidRPr="00680EF7">
        <w:rPr>
          <w:i/>
        </w:rPr>
        <w:t xml:space="preserve">k </w:t>
      </w:r>
      <w:r w:rsidRPr="00680EF7">
        <w:t>in the direction under conside</w:t>
      </w:r>
      <w:r w:rsidRPr="00E05E29">
        <w:t>ration when any energy dissipation device on the same storey attains its SD limit state, evaluated in accordance with EN</w:t>
      </w:r>
      <w:r w:rsidR="0075055D">
        <w:t> </w:t>
      </w:r>
      <w:r w:rsidRPr="00E05E29">
        <w:t>15129, is greater than the maximum energy dissipation demand given by Formula (9.2).</w:t>
      </w:r>
    </w:p>
    <w:p w14:paraId="5772F850" w14:textId="7D817CC8" w:rsidR="00325DC7" w:rsidRPr="00870D59" w:rsidRDefault="009B5CEC" w:rsidP="00325DC7">
      <w:pPr>
        <w:pStyle w:val="Formula"/>
      </w:pPr>
      <m:oMath>
        <m:f>
          <m:fPr>
            <m:ctrlPr>
              <w:rPr>
                <w:rFonts w:ascii="Cambria Math" w:hAnsi="Cambria Math"/>
              </w:rPr>
            </m:ctrlPr>
          </m:fPr>
          <m:num>
            <m:r>
              <w:rPr>
                <w:rFonts w:ascii="Cambria Math" w:hAnsi="Cambria Math"/>
              </w:rPr>
              <m:t>1</m:t>
            </m:r>
          </m:num>
          <m:den>
            <m:r>
              <w:rPr>
                <w:rFonts w:ascii="Cambria Math" w:hAnsi="Cambria Math"/>
              </w:rPr>
              <m:t>2</m:t>
            </m:r>
          </m:den>
        </m:f>
        <m:r>
          <w:rPr>
            <w:rFonts w:ascii="Cambria Math" w:hAnsi="Cambria Math"/>
          </w:rPr>
          <m:t>m</m:t>
        </m:r>
        <m:sSup>
          <m:sSupPr>
            <m:ctrlPr>
              <w:rPr>
                <w:rFonts w:ascii="Cambria Math" w:hAnsi="Cambria Math"/>
              </w:rPr>
            </m:ctrlPr>
          </m:sSupPr>
          <m:e>
            <m:d>
              <m:dPr>
                <m:begChr m:val="["/>
                <m:endChr m:val="]"/>
                <m:shp m:val="match"/>
                <m:ctrlPr>
                  <w:rPr>
                    <w:rFonts w:ascii="Cambria Math" w:hAnsi="Cambria Math"/>
                  </w:rPr>
                </m:ctrlPr>
              </m:dPr>
              <m:e>
                <m:f>
                  <m:fPr>
                    <m:ctrlPr>
                      <w:rPr>
                        <w:rFonts w:ascii="Cambria Math" w:hAnsi="Cambria Math"/>
                      </w:rPr>
                    </m:ctrlPr>
                  </m:fPr>
                  <m:num>
                    <m:sSub>
                      <m:sSubPr>
                        <m:ctrlPr>
                          <w:rPr>
                            <w:rFonts w:ascii="Cambria Math" w:hAnsi="Cambria Math"/>
                          </w:rPr>
                        </m:ctrlPr>
                      </m:sSubPr>
                      <m:e>
                        <m:r>
                          <w:rPr>
                            <w:rFonts w:ascii="Cambria Math" w:hAnsi="Cambria Math"/>
                          </w:rPr>
                          <m:t>T</m:t>
                        </m:r>
                      </m:e>
                      <m:sub>
                        <m:r>
                          <m:rPr>
                            <m:sty m:val="p"/>
                          </m:rPr>
                          <w:rPr>
                            <w:rFonts w:ascii="Cambria Math" w:hAnsi="Cambria Math"/>
                          </w:rPr>
                          <m:t>s1</m:t>
                        </m:r>
                      </m:sub>
                    </m:sSub>
                  </m:num>
                  <m:den>
                    <m:r>
                      <w:rPr>
                        <w:rFonts w:ascii="Cambria Math" w:hAnsi="Cambria Math"/>
                      </w:rPr>
                      <m:t>2π</m:t>
                    </m:r>
                  </m:den>
                </m:f>
                <m:sSub>
                  <m:sSubPr>
                    <m:ctrlPr>
                      <w:rPr>
                        <w:rFonts w:ascii="Cambria Math" w:hAnsi="Cambria Math"/>
                      </w:rPr>
                    </m:ctrlPr>
                  </m:sSubPr>
                  <m:e>
                    <m:r>
                      <w:rPr>
                        <w:rFonts w:ascii="Cambria Math" w:hAnsi="Cambria Math"/>
                      </w:rPr>
                      <m:t>S</m:t>
                    </m:r>
                  </m:e>
                  <m:sub>
                    <m:r>
                      <m:rPr>
                        <m:sty m:val="p"/>
                      </m:rPr>
                      <w:rPr>
                        <w:rFonts w:ascii="Cambria Math" w:hAnsi="Cambria Math"/>
                      </w:rPr>
                      <m:t>e</m:t>
                    </m:r>
                  </m:sub>
                </m:sSub>
                <m:d>
                  <m:dPr>
                    <m:ctrlPr>
                      <w:rPr>
                        <w:rFonts w:ascii="Cambria Math" w:hAnsi="Cambria Math"/>
                      </w:rPr>
                    </m:ctrlPr>
                  </m:dPr>
                  <m:e>
                    <m:sSub>
                      <m:sSubPr>
                        <m:ctrlPr>
                          <w:rPr>
                            <w:rFonts w:ascii="Cambria Math" w:hAnsi="Cambria Math"/>
                          </w:rPr>
                        </m:ctrlPr>
                      </m:sSubPr>
                      <m:e>
                        <m:r>
                          <w:rPr>
                            <w:rFonts w:ascii="Cambria Math" w:hAnsi="Cambria Math"/>
                          </w:rPr>
                          <m:t>T</m:t>
                        </m:r>
                      </m:e>
                      <m:sub>
                        <m:r>
                          <m:rPr>
                            <m:sty m:val="p"/>
                          </m:rPr>
                          <w:rPr>
                            <w:rFonts w:ascii="Cambria Math" w:hAnsi="Cambria Math"/>
                          </w:rPr>
                          <m:t>s1</m:t>
                        </m:r>
                      </m:sub>
                    </m:sSub>
                    <m:r>
                      <w:rPr>
                        <w:rFonts w:ascii="Cambria Math" w:hAnsi="Cambria Math"/>
                      </w:rPr>
                      <m:t>,5%</m:t>
                    </m:r>
                  </m:e>
                </m:d>
                <m:r>
                  <w:rPr>
                    <w:rFonts w:ascii="Cambria Math" w:hAnsi="Cambria Math"/>
                  </w:rPr>
                  <m:t> η</m:t>
                </m:r>
                <m:d>
                  <m:dPr>
                    <m:ctrlPr>
                      <w:rPr>
                        <w:rFonts w:ascii="Cambria Math" w:hAnsi="Cambria Math"/>
                      </w:rPr>
                    </m:ctrlPr>
                  </m:dPr>
                  <m:e>
                    <m:sSub>
                      <m:sSubPr>
                        <m:ctrlPr>
                          <w:rPr>
                            <w:rFonts w:ascii="Cambria Math" w:hAnsi="Cambria Math"/>
                          </w:rPr>
                        </m:ctrlPr>
                      </m:sSubPr>
                      <m:e>
                        <m:r>
                          <w:rPr>
                            <w:rFonts w:ascii="Cambria Math" w:hAnsi="Cambria Math"/>
                          </w:rPr>
                          <m:t>T</m:t>
                        </m:r>
                      </m:e>
                      <m:sub>
                        <m:r>
                          <m:rPr>
                            <m:sty m:val="p"/>
                          </m:rPr>
                          <w:rPr>
                            <w:rFonts w:ascii="Cambria Math" w:hAnsi="Cambria Math"/>
                          </w:rPr>
                          <m:t>s1</m:t>
                        </m:r>
                      </m:sub>
                    </m:sSub>
                    <m:r>
                      <w:rPr>
                        <w:rFonts w:ascii="Cambria Math" w:hAnsi="Cambria Math"/>
                      </w:rPr>
                      <m:t>,</m:t>
                    </m:r>
                    <m:sSub>
                      <m:sSubPr>
                        <m:ctrlPr>
                          <w:rPr>
                            <w:rFonts w:ascii="Cambria Math" w:hAnsi="Cambria Math"/>
                          </w:rPr>
                        </m:ctrlPr>
                      </m:sSubPr>
                      <m:e>
                        <m:r>
                          <w:rPr>
                            <w:rFonts w:ascii="Cambria Math" w:hAnsi="Cambria Math"/>
                          </w:rPr>
                          <m:t>ξ</m:t>
                        </m:r>
                      </m:e>
                      <m:sub>
                        <m:r>
                          <m:rPr>
                            <m:sty m:val="p"/>
                          </m:rPr>
                          <w:rPr>
                            <w:rFonts w:ascii="Cambria Math" w:hAnsi="Cambria Math"/>
                          </w:rPr>
                          <m:t>I</m:t>
                        </m:r>
                      </m:sub>
                    </m:sSub>
                  </m:e>
                </m:d>
              </m:e>
            </m:d>
          </m:e>
          <m:sup>
            <m:r>
              <w:rPr>
                <w:rFonts w:ascii="Cambria Math" w:hAnsi="Cambria Math"/>
              </w:rPr>
              <m:t>2</m:t>
            </m:r>
          </m:sup>
        </m:sSup>
      </m:oMath>
      <w:r w:rsidR="00325DC7" w:rsidRPr="00870D59">
        <w:tab/>
        <w:t>(</w:t>
      </w:r>
      <w:r w:rsidR="00325DC7">
        <w:t>9</w:t>
      </w:r>
      <w:r w:rsidR="00325DC7" w:rsidRPr="00870D59">
        <w:t>.</w:t>
      </w:r>
      <w:r w:rsidR="00325DC7">
        <w:t>2</w:t>
      </w:r>
      <w:r w:rsidR="00325DC7" w:rsidRPr="00870D59">
        <w:t>)</w:t>
      </w:r>
    </w:p>
    <w:p w14:paraId="70ACFFFC" w14:textId="09B77FD6" w:rsidR="00325DC7" w:rsidRDefault="00325DC7" w:rsidP="00680EF7">
      <w:pPr>
        <w:pStyle w:val="Text"/>
      </w:pPr>
      <w:r>
        <w:t>where</w:t>
      </w:r>
    </w:p>
    <w:tbl>
      <w:tblPr>
        <w:tblW w:w="0" w:type="auto"/>
        <w:tblInd w:w="346" w:type="dxa"/>
        <w:tblLook w:val="04A0" w:firstRow="1" w:lastRow="0" w:firstColumn="1" w:lastColumn="0" w:noHBand="0" w:noVBand="1"/>
      </w:tblPr>
      <w:tblGrid>
        <w:gridCol w:w="1275"/>
        <w:gridCol w:w="7938"/>
      </w:tblGrid>
      <w:tr w:rsidR="00325DC7" w:rsidRPr="00870D59" w14:paraId="50948C15" w14:textId="77777777" w:rsidTr="006C6A44">
        <w:tc>
          <w:tcPr>
            <w:tcW w:w="1275" w:type="dxa"/>
            <w:shd w:val="clear" w:color="auto" w:fill="auto"/>
          </w:tcPr>
          <w:p w14:paraId="37E5481B" w14:textId="18A9DEB3" w:rsidR="00325DC7" w:rsidRPr="00523AC3" w:rsidRDefault="00303F71" w:rsidP="002061E5">
            <w:pPr>
              <w:pStyle w:val="Tablebody"/>
              <w:rPr>
                <w:i/>
                <w:iCs/>
              </w:rPr>
            </w:pPr>
            <w:r w:rsidRPr="00D1484A">
              <w:rPr>
                <w:i/>
              </w:rPr>
              <w:t>T</w:t>
            </w:r>
            <w:r w:rsidRPr="007E6F67">
              <w:rPr>
                <w:vertAlign w:val="subscript"/>
              </w:rPr>
              <w:t>s1</w:t>
            </w:r>
          </w:p>
        </w:tc>
        <w:tc>
          <w:tcPr>
            <w:tcW w:w="7938" w:type="dxa"/>
          </w:tcPr>
          <w:p w14:paraId="720BFA77" w14:textId="629448C7" w:rsidR="00325DC7" w:rsidRPr="00303F71" w:rsidRDefault="00303F71" w:rsidP="002061E5">
            <w:pPr>
              <w:pStyle w:val="Tablebody"/>
            </w:pPr>
            <w:r w:rsidRPr="007E6F67">
              <w:t xml:space="preserve">is a period that gives the </w:t>
            </w:r>
            <w:r w:rsidRPr="00FD17CF">
              <w:t>maximum value of [</w:t>
            </w:r>
            <w:r w:rsidRPr="00FD17CF">
              <w:rPr>
                <w:i/>
              </w:rPr>
              <w:t>T</w:t>
            </w:r>
            <w:r w:rsidRPr="00FD17CF">
              <w:rPr>
                <w:vertAlign w:val="subscript"/>
              </w:rPr>
              <w:t>s1</w:t>
            </w:r>
            <w:r w:rsidRPr="00644C3D">
              <w:t>S(</w:t>
            </w:r>
            <w:r w:rsidRPr="00E05E29">
              <w:rPr>
                <w:i/>
              </w:rPr>
              <w:t>T</w:t>
            </w:r>
            <w:r w:rsidRPr="00E05E29">
              <w:rPr>
                <w:vertAlign w:val="subscript"/>
              </w:rPr>
              <w:t>s1</w:t>
            </w:r>
            <w:r w:rsidRPr="00E05E29">
              <w:t>,5%)</w:t>
            </w:r>
            <w:r w:rsidRPr="00E05E29">
              <w:rPr>
                <w:rFonts w:ascii="Symbol" w:eastAsia="Symbol" w:hAnsi="Symbol" w:cs="Symbol"/>
                <w:i/>
              </w:rPr>
              <w:t></w:t>
            </w:r>
            <w:r w:rsidRPr="00E05E29">
              <w:t>(</w:t>
            </w:r>
            <w:r w:rsidRPr="00E05E29">
              <w:rPr>
                <w:i/>
              </w:rPr>
              <w:t>T</w:t>
            </w:r>
            <w:r w:rsidRPr="00E05E29">
              <w:rPr>
                <w:vertAlign w:val="subscript"/>
              </w:rPr>
              <w:t>s1</w:t>
            </w:r>
            <w:r w:rsidRPr="00E05E29">
              <w:rPr>
                <w:i/>
              </w:rPr>
              <w:t>,</w:t>
            </w:r>
            <w:r w:rsidRPr="00E05E29">
              <w:rPr>
                <w:rFonts w:ascii="Symbol" w:eastAsia="Symbol" w:hAnsi="Symbol" w:cs="Symbol"/>
                <w:i/>
              </w:rPr>
              <w:t></w:t>
            </w:r>
            <w:r w:rsidRPr="00E05E29">
              <w:rPr>
                <w:vertAlign w:val="subscript"/>
              </w:rPr>
              <w:t>I</w:t>
            </w:r>
            <w:r w:rsidRPr="00E05E29">
              <w:t xml:space="preserve">)] between </w:t>
            </w:r>
            <w:r w:rsidRPr="00E05E29">
              <w:rPr>
                <w:i/>
              </w:rPr>
              <w:t>T</w:t>
            </w:r>
            <w:r w:rsidRPr="00E05E29">
              <w:rPr>
                <w:vertAlign w:val="subscript"/>
              </w:rPr>
              <w:t>1,e</w:t>
            </w:r>
            <w:r w:rsidRPr="00E05E29">
              <w:t xml:space="preserve"> and 1,4</w:t>
            </w:r>
            <w:r w:rsidR="00680EF7">
              <w:t> </w:t>
            </w:r>
            <w:r w:rsidRPr="00E05E29">
              <w:rPr>
                <w:i/>
              </w:rPr>
              <w:t>T</w:t>
            </w:r>
            <w:r w:rsidRPr="00E05E29">
              <w:rPr>
                <w:vertAlign w:val="subscript"/>
              </w:rPr>
              <w:t>1,e</w:t>
            </w:r>
            <w:r>
              <w:t>;</w:t>
            </w:r>
          </w:p>
        </w:tc>
      </w:tr>
      <w:tr w:rsidR="00325DC7" w:rsidRPr="00870D59" w14:paraId="691EB2B0" w14:textId="77777777" w:rsidTr="006C6A44">
        <w:tc>
          <w:tcPr>
            <w:tcW w:w="1275" w:type="dxa"/>
            <w:shd w:val="clear" w:color="auto" w:fill="auto"/>
          </w:tcPr>
          <w:p w14:paraId="6DCEEE59" w14:textId="0ECFD90A" w:rsidR="00325DC7" w:rsidRPr="00325DC7" w:rsidRDefault="00303F71" w:rsidP="002061E5">
            <w:pPr>
              <w:pStyle w:val="Tablebody"/>
              <w:rPr>
                <w:i/>
              </w:rPr>
            </w:pPr>
            <w:r w:rsidRPr="00E05E29">
              <w:rPr>
                <w:i/>
              </w:rPr>
              <w:lastRenderedPageBreak/>
              <w:t>T</w:t>
            </w:r>
            <w:r w:rsidRPr="00E05E29">
              <w:rPr>
                <w:vertAlign w:val="subscript"/>
              </w:rPr>
              <w:t>1,e</w:t>
            </w:r>
          </w:p>
        </w:tc>
        <w:tc>
          <w:tcPr>
            <w:tcW w:w="7938" w:type="dxa"/>
          </w:tcPr>
          <w:p w14:paraId="369ABBAD" w14:textId="05A53451" w:rsidR="00325DC7" w:rsidRPr="00870D59" w:rsidRDefault="00303F71" w:rsidP="002061E5">
            <w:pPr>
              <w:pStyle w:val="Tablebody"/>
            </w:pPr>
            <w:r w:rsidRPr="00E05E29">
              <w:t>is the fundamental period of the structure with energy dissipation system in elastic conditions, in the direction under consideration;</w:t>
            </w:r>
          </w:p>
        </w:tc>
      </w:tr>
      <w:tr w:rsidR="00303F71" w:rsidRPr="00870D59" w14:paraId="1EBBDE31" w14:textId="77777777" w:rsidTr="006C6A44">
        <w:tc>
          <w:tcPr>
            <w:tcW w:w="1275" w:type="dxa"/>
            <w:shd w:val="clear" w:color="auto" w:fill="auto"/>
          </w:tcPr>
          <w:p w14:paraId="2ECDE14A" w14:textId="387F375D" w:rsidR="00303F71" w:rsidRDefault="00303F71" w:rsidP="002061E5">
            <w:pPr>
              <w:pStyle w:val="Tablebody"/>
              <w:rPr>
                <w:rFonts w:eastAsia="Calibri" w:cs="Times New Roman"/>
              </w:rPr>
            </w:pPr>
            <w:r w:rsidRPr="00E05E29">
              <w:rPr>
                <w:i/>
              </w:rPr>
              <w:t>m</w:t>
            </w:r>
          </w:p>
        </w:tc>
        <w:tc>
          <w:tcPr>
            <w:tcW w:w="7938" w:type="dxa"/>
          </w:tcPr>
          <w:p w14:paraId="2B48B105" w14:textId="4039C6B6" w:rsidR="00303F71" w:rsidRPr="00D1484A" w:rsidRDefault="00303F71" w:rsidP="002061E5">
            <w:pPr>
              <w:pStyle w:val="Tablebody"/>
            </w:pPr>
            <w:r w:rsidRPr="00E05E29">
              <w:t>is the total mass of the building;</w:t>
            </w:r>
          </w:p>
        </w:tc>
      </w:tr>
      <w:tr w:rsidR="00680EF7" w:rsidRPr="00680EF7" w14:paraId="47C0561C" w14:textId="77777777" w:rsidTr="006C6A44">
        <w:tc>
          <w:tcPr>
            <w:tcW w:w="1275" w:type="dxa"/>
            <w:shd w:val="clear" w:color="auto" w:fill="auto"/>
          </w:tcPr>
          <w:p w14:paraId="43D495F8" w14:textId="307C80FE" w:rsidR="00303F71" w:rsidRPr="00680EF7" w:rsidRDefault="00303F71" w:rsidP="002061E5">
            <w:pPr>
              <w:pStyle w:val="Tablebody"/>
              <w:rPr>
                <w:rFonts w:eastAsia="Calibri" w:cs="Times New Roman"/>
              </w:rPr>
            </w:pPr>
            <w:r w:rsidRPr="00680EF7">
              <w:rPr>
                <w:i/>
              </w:rPr>
              <w:t>S</w:t>
            </w:r>
            <w:r w:rsidRPr="00680EF7">
              <w:rPr>
                <w:vertAlign w:val="subscript"/>
              </w:rPr>
              <w:t>e</w:t>
            </w:r>
            <w:r w:rsidRPr="00680EF7">
              <w:t>(</w:t>
            </w:r>
            <w:r w:rsidRPr="00680EF7">
              <w:rPr>
                <w:i/>
              </w:rPr>
              <w:t>T</w:t>
            </w:r>
            <w:r w:rsidRPr="00680EF7">
              <w:rPr>
                <w:vertAlign w:val="subscript"/>
              </w:rPr>
              <w:t>s1</w:t>
            </w:r>
            <w:r w:rsidRPr="00680EF7">
              <w:t>, 5</w:t>
            </w:r>
            <w:r w:rsidRPr="00680EF7">
              <w:rPr>
                <w:i/>
              </w:rPr>
              <w:t>%</w:t>
            </w:r>
            <w:r w:rsidRPr="00680EF7">
              <w:t>)</w:t>
            </w:r>
          </w:p>
        </w:tc>
        <w:tc>
          <w:tcPr>
            <w:tcW w:w="7938" w:type="dxa"/>
          </w:tcPr>
          <w:p w14:paraId="4D8A2528" w14:textId="4DC4D95C" w:rsidR="00303F71" w:rsidRPr="00680EF7" w:rsidRDefault="00303F71" w:rsidP="002061E5">
            <w:pPr>
              <w:pStyle w:val="Tablebody"/>
            </w:pPr>
            <w:r w:rsidRPr="00680EF7">
              <w:t>is the spectral acceleration value of the 5</w:t>
            </w:r>
            <w:r w:rsidR="006C6A44">
              <w:t> </w:t>
            </w:r>
            <w:r w:rsidRPr="00680EF7">
              <w:t>% damped elastic response spectrum given in prEN</w:t>
            </w:r>
            <w:r w:rsidR="00680EF7" w:rsidRPr="00680EF7">
              <w:t> </w:t>
            </w:r>
            <w:r w:rsidRPr="00680EF7">
              <w:t xml:space="preserve">1998-1-1:2022, 5.2.2.2(1), corresponding to a period equal to 1,4 times the fundamental period </w:t>
            </w:r>
            <w:r w:rsidRPr="00680EF7">
              <w:rPr>
                <w:i/>
              </w:rPr>
              <w:t>T</w:t>
            </w:r>
            <w:r w:rsidRPr="00680EF7">
              <w:rPr>
                <w:vertAlign w:val="subscript"/>
              </w:rPr>
              <w:t>1,e</w:t>
            </w:r>
            <w:r w:rsidRPr="00680EF7">
              <w:t>;</w:t>
            </w:r>
          </w:p>
        </w:tc>
      </w:tr>
      <w:tr w:rsidR="00680EF7" w:rsidRPr="00680EF7" w14:paraId="11C1D3CB" w14:textId="77777777" w:rsidTr="006C6A44">
        <w:tc>
          <w:tcPr>
            <w:tcW w:w="1275" w:type="dxa"/>
            <w:shd w:val="clear" w:color="auto" w:fill="auto"/>
          </w:tcPr>
          <w:p w14:paraId="143B24EE" w14:textId="1C5930FC" w:rsidR="00303F71" w:rsidRPr="00680EF7" w:rsidRDefault="00303F71" w:rsidP="002061E5">
            <w:pPr>
              <w:pStyle w:val="Tablebody"/>
              <w:rPr>
                <w:rFonts w:eastAsia="Calibri" w:cs="Times New Roman"/>
              </w:rPr>
            </w:pPr>
            <w:r w:rsidRPr="00680EF7">
              <w:rPr>
                <w:rFonts w:ascii="Symbol" w:eastAsia="Symbol" w:hAnsi="Symbol" w:cs="Symbol"/>
                <w:i/>
                <w:iCs/>
              </w:rPr>
              <w:t></w:t>
            </w:r>
            <w:r w:rsidRPr="00680EF7">
              <w:t>(</w:t>
            </w:r>
            <w:r w:rsidRPr="00680EF7">
              <w:rPr>
                <w:i/>
                <w:iCs/>
              </w:rPr>
              <w:t>T</w:t>
            </w:r>
            <w:r w:rsidRPr="00680EF7">
              <w:rPr>
                <w:vertAlign w:val="subscript"/>
              </w:rPr>
              <w:t>s1</w:t>
            </w:r>
            <w:r w:rsidRPr="00680EF7">
              <w:t>,</w:t>
            </w:r>
            <w:r w:rsidRPr="00680EF7">
              <w:rPr>
                <w:i/>
                <w:iCs/>
              </w:rPr>
              <w:t> </w:t>
            </w:r>
            <w:r w:rsidRPr="00680EF7">
              <w:rPr>
                <w:rFonts w:ascii="Symbol" w:eastAsia="Symbol" w:hAnsi="Symbol" w:cs="Symbol"/>
                <w:i/>
                <w:iCs/>
              </w:rPr>
              <w:t></w:t>
            </w:r>
            <w:r w:rsidRPr="00680EF7">
              <w:rPr>
                <w:vertAlign w:val="subscript"/>
              </w:rPr>
              <w:t>I</w:t>
            </w:r>
            <w:r w:rsidRPr="00680EF7">
              <w:t>)</w:t>
            </w:r>
          </w:p>
        </w:tc>
        <w:tc>
          <w:tcPr>
            <w:tcW w:w="7938" w:type="dxa"/>
          </w:tcPr>
          <w:p w14:paraId="3C047323" w14:textId="667AAC38" w:rsidR="00303F71" w:rsidRPr="00680EF7" w:rsidRDefault="00303F71" w:rsidP="002061E5">
            <w:pPr>
              <w:pStyle w:val="Tablebody"/>
            </w:pPr>
            <w:r w:rsidRPr="00680EF7">
              <w:t>is the damping correction factor given by prEN</w:t>
            </w:r>
            <w:r w:rsidR="00680EF7">
              <w:t> </w:t>
            </w:r>
            <w:r w:rsidRPr="00680EF7">
              <w:t xml:space="preserve">1998-1-1:2022, 5.2.2.2(12), corresponding to a period equal to 1,4 times the fundamental period </w:t>
            </w:r>
            <w:r w:rsidRPr="00680EF7">
              <w:rPr>
                <w:i/>
                <w:iCs/>
              </w:rPr>
              <w:t>T</w:t>
            </w:r>
            <w:r w:rsidRPr="00680EF7">
              <w:rPr>
                <w:vertAlign w:val="subscript"/>
              </w:rPr>
              <w:t>1,e</w:t>
            </w:r>
            <w:r w:rsidRPr="00680EF7">
              <w:t xml:space="preserve"> and to the inherent damping ratio </w:t>
            </w:r>
            <w:r w:rsidRPr="00680EF7">
              <w:rPr>
                <w:rFonts w:ascii="Symbol" w:eastAsia="Symbol" w:hAnsi="Symbol" w:cs="Symbol"/>
                <w:i/>
                <w:iCs/>
              </w:rPr>
              <w:t></w:t>
            </w:r>
            <w:r w:rsidRPr="00680EF7">
              <w:rPr>
                <w:vertAlign w:val="subscript"/>
              </w:rPr>
              <w:t>I</w:t>
            </w:r>
            <w:r w:rsidRPr="00680EF7">
              <w:rPr>
                <w:i/>
                <w:iCs/>
                <w:vertAlign w:val="subscript"/>
              </w:rPr>
              <w:t xml:space="preserve"> </w:t>
            </w:r>
            <w:r w:rsidRPr="00680EF7">
              <w:t>defined in Annex D, D.3.2.</w:t>
            </w:r>
          </w:p>
        </w:tc>
      </w:tr>
    </w:tbl>
    <w:p w14:paraId="11A23AF2" w14:textId="68BF5A44" w:rsidR="00FF22F6" w:rsidRPr="00E05E29" w:rsidRDefault="00FF22F6" w:rsidP="0080187E">
      <w:pPr>
        <w:pStyle w:val="Clause"/>
        <w:numPr>
          <w:ilvl w:val="0"/>
          <w:numId w:val="283"/>
        </w:numPr>
      </w:pPr>
      <w:r w:rsidRPr="00E05E29">
        <w:t>Every velocity-dependent device with non-negligible stiffness (e.g. viscoelastic energy dissipation devices) should be modelled with an effective stiffness corresponding to the amplitude and predominant period of its response.</w:t>
      </w:r>
    </w:p>
    <w:p w14:paraId="17BC2065" w14:textId="0FF6CCF4" w:rsidR="00FF22F6" w:rsidRPr="00E05E29" w:rsidRDefault="00FF22F6" w:rsidP="0080187E">
      <w:pPr>
        <w:pStyle w:val="Clause"/>
        <w:numPr>
          <w:ilvl w:val="0"/>
          <w:numId w:val="283"/>
        </w:numPr>
      </w:pPr>
      <w:r w:rsidRPr="00E05E29">
        <w:t>The seismic action effects in the primary seismic members of the main structural system should be calculated for both the upper-bound and lower-bound properties of the energy dissipation devices in three distinct stages: stage of maximum displacement, stage of maximum velocity, stage of maximum acceleration.</w:t>
      </w:r>
    </w:p>
    <w:p w14:paraId="27338B4C" w14:textId="77777777" w:rsidR="00FF22F6" w:rsidRPr="00E05E29" w:rsidRDefault="00FF22F6" w:rsidP="00FF22F6">
      <w:pPr>
        <w:pStyle w:val="Notetext"/>
      </w:pPr>
      <w:r w:rsidRPr="00E05E29">
        <w:t>NOTE</w:t>
      </w:r>
      <w:r w:rsidRPr="00E05E29">
        <w:tab/>
        <w:t xml:space="preserve">The design value of a seismic action effect </w:t>
      </w:r>
      <w:r w:rsidRPr="00E05E29">
        <w:rPr>
          <w:i/>
        </w:rPr>
        <w:t>E</w:t>
      </w:r>
      <w:r w:rsidRPr="00E05E29">
        <w:rPr>
          <w:vertAlign w:val="subscript"/>
        </w:rPr>
        <w:t>E</w:t>
      </w:r>
      <w:r w:rsidRPr="00E05E29">
        <w:t xml:space="preserve"> in primary members of the main structural system</w:t>
      </w:r>
      <w:r w:rsidRPr="00E05E29" w:rsidDel="006F3417">
        <w:t xml:space="preserve"> </w:t>
      </w:r>
      <w:r w:rsidRPr="00E05E29">
        <w:t xml:space="preserve">is the maximum among </w:t>
      </w:r>
      <w:r w:rsidRPr="00E05E29">
        <w:rPr>
          <w:i/>
        </w:rPr>
        <w:t>E</w:t>
      </w:r>
      <w:r w:rsidRPr="00E05E29">
        <w:rPr>
          <w:vertAlign w:val="subscript"/>
        </w:rPr>
        <w:t>E,max.disp</w:t>
      </w:r>
      <w:r w:rsidRPr="00E05E29">
        <w:rPr>
          <w:i/>
        </w:rPr>
        <w:t>,</w:t>
      </w:r>
      <w:r w:rsidRPr="00E05E29">
        <w:rPr>
          <w:i/>
          <w:vertAlign w:val="subscript"/>
        </w:rPr>
        <w:t xml:space="preserve"> </w:t>
      </w:r>
      <w:r w:rsidRPr="00E05E29">
        <w:rPr>
          <w:i/>
        </w:rPr>
        <w:t>E</w:t>
      </w:r>
      <w:r w:rsidRPr="00E05E29">
        <w:rPr>
          <w:vertAlign w:val="subscript"/>
        </w:rPr>
        <w:t>E,max.vel</w:t>
      </w:r>
      <w:r w:rsidRPr="00E05E29">
        <w:rPr>
          <w:i/>
          <w:vertAlign w:val="subscript"/>
        </w:rPr>
        <w:t xml:space="preserve"> </w:t>
      </w:r>
      <w:r w:rsidRPr="00E05E29">
        <w:rPr>
          <w:iCs/>
        </w:rPr>
        <w:t>and</w:t>
      </w:r>
      <w:r w:rsidRPr="00E05E29">
        <w:rPr>
          <w:i/>
        </w:rPr>
        <w:t xml:space="preserve"> E</w:t>
      </w:r>
      <w:r w:rsidRPr="00E05E29">
        <w:rPr>
          <w:vertAlign w:val="subscript"/>
        </w:rPr>
        <w:t>E,max.accel</w:t>
      </w:r>
      <w:r w:rsidRPr="00E05E29">
        <w:t xml:space="preserve"> obtained after combination of the corresponding effects of the seismic components.</w:t>
      </w:r>
    </w:p>
    <w:p w14:paraId="7F73BCD2" w14:textId="77777777" w:rsidR="00FF22F6" w:rsidRPr="00E05E29" w:rsidRDefault="00FF22F6" w:rsidP="00FF22F6">
      <w:pPr>
        <w:pStyle w:val="Heading4"/>
      </w:pPr>
      <w:bookmarkStart w:id="1180" w:name="_Toc108342301"/>
      <w:r w:rsidRPr="00E05E29">
        <w:t>Response in the first mode</w:t>
      </w:r>
      <w:bookmarkEnd w:id="1180"/>
    </w:p>
    <w:p w14:paraId="161FB8CE" w14:textId="3247C95C" w:rsidR="00FF22F6" w:rsidRPr="00E05E29" w:rsidRDefault="00FF22F6" w:rsidP="00FF22F6">
      <w:pPr>
        <w:pStyle w:val="Notetext"/>
      </w:pPr>
      <w:r w:rsidRPr="00E05E29">
        <w:t>NOTE</w:t>
      </w:r>
      <w:r w:rsidRPr="00E05E29">
        <w:tab/>
        <w:t>First mode or fundamental mode refers to the mode of vibration that corresponds to the largest value of the effective modal mass for the direction under consideration</w:t>
      </w:r>
    </w:p>
    <w:p w14:paraId="5A017BB2" w14:textId="77777777" w:rsidR="00FF22F6" w:rsidRPr="00E05E29" w:rsidRDefault="00FF22F6" w:rsidP="00FF22F6">
      <w:pPr>
        <w:pStyle w:val="Heading5"/>
      </w:pPr>
      <w:bookmarkStart w:id="1181" w:name="_Toc108342302"/>
      <w:r w:rsidRPr="00E05E29">
        <w:t>Elastic response</w:t>
      </w:r>
      <w:bookmarkEnd w:id="1181"/>
    </w:p>
    <w:p w14:paraId="05F332BC" w14:textId="4DFFD3BB" w:rsidR="00FF22F6" w:rsidRPr="00E05E29" w:rsidRDefault="00FF22F6" w:rsidP="0080187E">
      <w:pPr>
        <w:pStyle w:val="Clause"/>
        <w:numPr>
          <w:ilvl w:val="0"/>
          <w:numId w:val="284"/>
        </w:numPr>
      </w:pPr>
      <w:r w:rsidRPr="00E05E29">
        <w:t>The maximum displacement relative to the ground at roof level in the direction under consideration corresponding to the elastic behaviour of the structure with energy dissipation system should be calculated using Formula (9.3).</w:t>
      </w:r>
    </w:p>
    <w:p w14:paraId="05E74EAA" w14:textId="2C28C364" w:rsidR="00FF22F6" w:rsidRPr="00870D59" w:rsidRDefault="009B5CEC" w:rsidP="00FF22F6">
      <w:pPr>
        <w:pStyle w:val="Formula"/>
      </w:pPr>
      <m:oMath>
        <m:sSub>
          <m:sSubPr>
            <m:ctrlPr>
              <w:rPr>
                <w:rFonts w:ascii="Cambria Math" w:hAnsi="Cambria Math"/>
              </w:rPr>
            </m:ctrlPr>
          </m:sSubPr>
          <m:e>
            <m:r>
              <w:rPr>
                <w:rFonts w:ascii="Cambria Math" w:hAnsi="Cambria Math"/>
              </w:rPr>
              <m:t>d</m:t>
            </m:r>
          </m:e>
          <m:sub>
            <m:r>
              <m:rPr>
                <m:sty m:val="p"/>
              </m:rPr>
              <w:rPr>
                <w:rFonts w:ascii="Cambria Math" w:hAnsi="Cambria Math"/>
              </w:rPr>
              <m:t>roof 1e</m:t>
            </m:r>
          </m:sub>
        </m:sSub>
        <m:r>
          <w:rPr>
            <w:rFonts w:ascii="Cambria Math" w:hAnsi="Cambria Math"/>
          </w:rPr>
          <m:t>=</m:t>
        </m:r>
        <m:sSub>
          <m:sSubPr>
            <m:ctrlPr>
              <w:rPr>
                <w:rFonts w:ascii="Cambria Math" w:hAnsi="Cambria Math"/>
              </w:rPr>
            </m:ctrlPr>
          </m:sSubPr>
          <m:e>
            <m:r>
              <w:rPr>
                <w:rFonts w:ascii="Cambria Math" w:hAnsi="Cambria Math"/>
              </w:rPr>
              <m:t>Γ</m:t>
            </m:r>
          </m:e>
          <m:sub>
            <m:r>
              <w:rPr>
                <w:rFonts w:ascii="Cambria Math" w:hAnsi="Cambria Math"/>
              </w:rPr>
              <m:t>1</m:t>
            </m:r>
          </m:sub>
        </m:sSub>
        <m:sSub>
          <m:sSubPr>
            <m:ctrlPr>
              <w:rPr>
                <w:rFonts w:ascii="Cambria Math" w:hAnsi="Cambria Math"/>
              </w:rPr>
            </m:ctrlPr>
          </m:sSubPr>
          <m:e>
            <m:r>
              <w:rPr>
                <w:rFonts w:ascii="Cambria Math" w:hAnsi="Cambria Math"/>
              </w:rPr>
              <m:t>S</m:t>
            </m:r>
          </m:e>
          <m:sub>
            <m:r>
              <m:rPr>
                <m:sty m:val="p"/>
              </m:rPr>
              <w:rPr>
                <w:rFonts w:ascii="Cambria Math" w:hAnsi="Cambria Math"/>
              </w:rPr>
              <m:t>De</m:t>
            </m:r>
          </m:sub>
        </m:sSub>
        <m:d>
          <m:dPr>
            <m:ctrlPr>
              <w:rPr>
                <w:rFonts w:ascii="Cambria Math" w:hAnsi="Cambria Math"/>
              </w:rPr>
            </m:ctrlPr>
          </m:dPr>
          <m:e>
            <m:sSub>
              <m:sSubPr>
                <m:ctrlPr>
                  <w:rPr>
                    <w:rFonts w:ascii="Cambria Math" w:hAnsi="Cambria Math"/>
                  </w:rPr>
                </m:ctrlPr>
              </m:sSubPr>
              <m:e>
                <m:r>
                  <w:rPr>
                    <w:rFonts w:ascii="Cambria Math" w:hAnsi="Cambria Math"/>
                  </w:rPr>
                  <m:t>T</m:t>
                </m:r>
              </m:e>
              <m:sub>
                <m:r>
                  <m:rPr>
                    <m:sty m:val="p"/>
                  </m:rPr>
                  <w:rPr>
                    <w:rFonts w:ascii="Cambria Math" w:hAnsi="Cambria Math"/>
                  </w:rPr>
                  <m:t>1,e</m:t>
                </m:r>
              </m:sub>
            </m:sSub>
            <m:r>
              <w:rPr>
                <w:rFonts w:ascii="Cambria Math" w:hAnsi="Cambria Math"/>
              </w:rPr>
              <m:t>,5%</m:t>
            </m:r>
          </m:e>
        </m:d>
        <m:r>
          <w:rPr>
            <w:rFonts w:ascii="Cambria Math" w:hAnsi="Cambria Math"/>
          </w:rPr>
          <m:t> η</m:t>
        </m:r>
        <m:d>
          <m:dPr>
            <m:ctrlPr>
              <w:rPr>
                <w:rFonts w:ascii="Cambria Math" w:hAnsi="Cambria Math"/>
              </w:rPr>
            </m:ctrlPr>
          </m:dPr>
          <m:e>
            <m:sSub>
              <m:sSubPr>
                <m:ctrlPr>
                  <w:rPr>
                    <w:rFonts w:ascii="Cambria Math" w:hAnsi="Cambria Math"/>
                  </w:rPr>
                </m:ctrlPr>
              </m:sSubPr>
              <m:e>
                <m:r>
                  <w:rPr>
                    <w:rFonts w:ascii="Cambria Math" w:hAnsi="Cambria Math"/>
                  </w:rPr>
                  <m:t>T</m:t>
                </m:r>
              </m:e>
              <m:sub>
                <m:r>
                  <m:rPr>
                    <m:sty m:val="p"/>
                  </m:rPr>
                  <w:rPr>
                    <w:rFonts w:ascii="Cambria Math" w:hAnsi="Cambria Math"/>
                  </w:rPr>
                  <m:t>1,e</m:t>
                </m:r>
              </m:sub>
            </m:sSub>
            <m:r>
              <w:rPr>
                <w:rFonts w:ascii="Cambria Math" w:hAnsi="Cambria Math"/>
              </w:rPr>
              <m:t>,</m:t>
            </m:r>
            <m:sSub>
              <m:sSubPr>
                <m:ctrlPr>
                  <w:rPr>
                    <w:rFonts w:ascii="Cambria Math" w:hAnsi="Cambria Math"/>
                  </w:rPr>
                </m:ctrlPr>
              </m:sSubPr>
              <m:e>
                <m:r>
                  <w:rPr>
                    <w:rFonts w:ascii="Cambria Math" w:hAnsi="Cambria Math"/>
                  </w:rPr>
                  <m:t>ξ</m:t>
                </m:r>
              </m:e>
              <m:sub>
                <m:r>
                  <m:rPr>
                    <m:sty m:val="p"/>
                  </m:rPr>
                  <w:rPr>
                    <w:rFonts w:ascii="Cambria Math" w:hAnsi="Cambria Math"/>
                  </w:rPr>
                  <m:t>I</m:t>
                </m:r>
              </m:sub>
            </m:sSub>
            <m:d>
              <m:dPr>
                <m:ctrlPr>
                  <w:rPr>
                    <w:rFonts w:ascii="Cambria Math" w:hAnsi="Cambria Math"/>
                  </w:rPr>
                </m:ctrlPr>
              </m:dPr>
              <m:e>
                <m:f>
                  <m:fPr>
                    <m:type m:val="lin"/>
                    <m:ctrlPr>
                      <w:rPr>
                        <w:rFonts w:ascii="Cambria Math" w:hAnsi="Cambria Math"/>
                      </w:rPr>
                    </m:ctrlPr>
                  </m:fPr>
                  <m:num>
                    <m:sSub>
                      <m:sSubPr>
                        <m:ctrlPr>
                          <w:rPr>
                            <w:rFonts w:ascii="Cambria Math" w:hAnsi="Cambria Math"/>
                          </w:rPr>
                        </m:ctrlPr>
                      </m:sSubPr>
                      <m:e>
                        <m:r>
                          <w:rPr>
                            <w:rFonts w:ascii="Cambria Math" w:hAnsi="Cambria Math"/>
                          </w:rPr>
                          <m:t>T</m:t>
                        </m:r>
                      </m:e>
                      <m:sub>
                        <m:r>
                          <m:rPr>
                            <m:sty m:val="p"/>
                          </m:rPr>
                          <w:rPr>
                            <w:rFonts w:ascii="Cambria Math" w:hAnsi="Cambria Math"/>
                          </w:rPr>
                          <m:t>1,e</m:t>
                        </m:r>
                      </m:sub>
                    </m:sSub>
                  </m:num>
                  <m:den>
                    <m:sSub>
                      <m:sSubPr>
                        <m:ctrlPr>
                          <w:rPr>
                            <w:rFonts w:ascii="Cambria Math" w:hAnsi="Cambria Math"/>
                          </w:rPr>
                        </m:ctrlPr>
                      </m:sSubPr>
                      <m:e>
                        <m:r>
                          <w:rPr>
                            <w:rFonts w:ascii="Cambria Math" w:hAnsi="Cambria Math"/>
                          </w:rPr>
                          <m:t>T</m:t>
                        </m:r>
                      </m:e>
                      <m:sub>
                        <m:r>
                          <m:rPr>
                            <m:sty m:val="p"/>
                          </m:rPr>
                          <w:rPr>
                            <w:rFonts w:ascii="Cambria Math" w:hAnsi="Cambria Math"/>
                          </w:rPr>
                          <m:t>p1</m:t>
                        </m:r>
                      </m:sub>
                    </m:sSub>
                  </m:den>
                </m:f>
              </m:e>
            </m:d>
            <m:r>
              <w:rPr>
                <w:rFonts w:ascii="Cambria Math" w:hAnsi="Cambria Math"/>
              </w:rPr>
              <m:t>+</m:t>
            </m:r>
            <m:sSub>
              <m:sSubPr>
                <m:ctrlPr>
                  <w:rPr>
                    <w:rFonts w:ascii="Cambria Math" w:hAnsi="Cambria Math"/>
                  </w:rPr>
                </m:ctrlPr>
              </m:sSubPr>
              <m:e>
                <m:r>
                  <w:rPr>
                    <w:rFonts w:ascii="Cambria Math" w:hAnsi="Cambria Math"/>
                  </w:rPr>
                  <m:t>ξ</m:t>
                </m:r>
              </m:e>
              <m:sub>
                <m:r>
                  <m:rPr>
                    <m:sty m:val="p"/>
                  </m:rPr>
                  <w:rPr>
                    <w:rFonts w:ascii="Cambria Math" w:hAnsi="Cambria Math"/>
                  </w:rPr>
                  <m:t>V1</m:t>
                </m:r>
              </m:sub>
            </m:sSub>
          </m:e>
        </m:d>
      </m:oMath>
      <w:r w:rsidR="00FF22F6" w:rsidRPr="00870D59">
        <w:tab/>
        <w:t>(</w:t>
      </w:r>
      <w:r w:rsidR="00FF22F6">
        <w:t>9</w:t>
      </w:r>
      <w:r w:rsidR="00FF22F6" w:rsidRPr="00870D59">
        <w:t>.</w:t>
      </w:r>
      <w:r w:rsidR="005C5C6B">
        <w:t>3</w:t>
      </w:r>
      <w:r w:rsidR="00FF22F6" w:rsidRPr="00870D59">
        <w:t>)</w:t>
      </w:r>
    </w:p>
    <w:p w14:paraId="15C1729A" w14:textId="5FAFF015" w:rsidR="00FF22F6" w:rsidRDefault="00FF22F6" w:rsidP="00680EF7">
      <w:pPr>
        <w:pStyle w:val="Text"/>
      </w:pPr>
      <w:r>
        <w:t>where</w:t>
      </w:r>
    </w:p>
    <w:tbl>
      <w:tblPr>
        <w:tblW w:w="0" w:type="auto"/>
        <w:tblInd w:w="346" w:type="dxa"/>
        <w:tblLook w:val="04A0" w:firstRow="1" w:lastRow="0" w:firstColumn="1" w:lastColumn="0" w:noHBand="0" w:noVBand="1"/>
      </w:tblPr>
      <w:tblGrid>
        <w:gridCol w:w="1544"/>
        <w:gridCol w:w="7673"/>
      </w:tblGrid>
      <w:tr w:rsidR="00FF22F6" w:rsidRPr="00870D59" w14:paraId="0FC21EC3" w14:textId="77777777" w:rsidTr="006C6A44">
        <w:tc>
          <w:tcPr>
            <w:tcW w:w="1544" w:type="dxa"/>
            <w:shd w:val="clear" w:color="auto" w:fill="auto"/>
          </w:tcPr>
          <w:p w14:paraId="3956432E" w14:textId="4E86C18E" w:rsidR="00FF22F6" w:rsidRPr="00523AC3" w:rsidRDefault="005C5C6B" w:rsidP="002061E5">
            <w:pPr>
              <w:pStyle w:val="Tablebody"/>
              <w:rPr>
                <w:i/>
                <w:iCs/>
              </w:rPr>
            </w:pPr>
            <w:r w:rsidRPr="00D1484A">
              <w:rPr>
                <w:i/>
              </w:rPr>
              <w:t>T</w:t>
            </w:r>
            <w:r w:rsidRPr="007E6F67">
              <w:rPr>
                <w:vertAlign w:val="subscript"/>
              </w:rPr>
              <w:t>1,e</w:t>
            </w:r>
          </w:p>
        </w:tc>
        <w:tc>
          <w:tcPr>
            <w:tcW w:w="7673" w:type="dxa"/>
          </w:tcPr>
          <w:p w14:paraId="3D5C0F42" w14:textId="674BE6E8" w:rsidR="00FF22F6" w:rsidRPr="00680EF7" w:rsidRDefault="005C5C6B" w:rsidP="002061E5">
            <w:pPr>
              <w:pStyle w:val="Tablebody"/>
            </w:pPr>
            <w:r w:rsidRPr="00680EF7">
              <w:t>as in 9.3.2.1(7);</w:t>
            </w:r>
          </w:p>
        </w:tc>
      </w:tr>
      <w:tr w:rsidR="00FF22F6" w:rsidRPr="00870D59" w14:paraId="4886F6D1" w14:textId="77777777" w:rsidTr="006C6A44">
        <w:tc>
          <w:tcPr>
            <w:tcW w:w="1544" w:type="dxa"/>
            <w:shd w:val="clear" w:color="auto" w:fill="auto"/>
          </w:tcPr>
          <w:p w14:paraId="2522D2C4" w14:textId="2324ADB0" w:rsidR="00FF22F6" w:rsidRPr="00325DC7" w:rsidRDefault="005C5C6B" w:rsidP="002061E5">
            <w:pPr>
              <w:pStyle w:val="Tablebody"/>
              <w:rPr>
                <w:i/>
              </w:rPr>
            </w:pPr>
            <w:r w:rsidRPr="00644C3D">
              <w:rPr>
                <w:i/>
              </w:rPr>
              <w:t>T</w:t>
            </w:r>
            <w:r w:rsidRPr="00E05E29">
              <w:rPr>
                <w:vertAlign w:val="subscript"/>
              </w:rPr>
              <w:t>p1</w:t>
            </w:r>
          </w:p>
        </w:tc>
        <w:tc>
          <w:tcPr>
            <w:tcW w:w="7673" w:type="dxa"/>
          </w:tcPr>
          <w:p w14:paraId="43FC7E52" w14:textId="2167EC2A" w:rsidR="00FF22F6" w:rsidRPr="00680EF7" w:rsidRDefault="005C5C6B" w:rsidP="002061E5">
            <w:pPr>
              <w:pStyle w:val="Tablebody"/>
            </w:pPr>
            <w:r w:rsidRPr="00680EF7">
              <w:t>is the fundamental period of the primary seismic members of the main structural system in elastic conditions, exclusive of energy dissipation system;</w:t>
            </w:r>
          </w:p>
        </w:tc>
      </w:tr>
      <w:tr w:rsidR="005C5C6B" w:rsidRPr="00870D59" w14:paraId="077FB783" w14:textId="77777777" w:rsidTr="006C6A44">
        <w:tc>
          <w:tcPr>
            <w:tcW w:w="1544" w:type="dxa"/>
            <w:shd w:val="clear" w:color="auto" w:fill="auto"/>
          </w:tcPr>
          <w:p w14:paraId="7CB78065" w14:textId="51489B49" w:rsidR="005C5C6B" w:rsidRDefault="005C5C6B" w:rsidP="005C5C6B">
            <w:pPr>
              <w:pStyle w:val="Tablebody"/>
              <w:rPr>
                <w:rFonts w:eastAsia="Calibri" w:cs="Times New Roman"/>
              </w:rPr>
            </w:pPr>
            <w:r w:rsidRPr="00E05E29">
              <w:rPr>
                <w:rFonts w:ascii="Symbol" w:eastAsia="Symbol" w:hAnsi="Symbol" w:cs="Symbol"/>
                <w:i/>
              </w:rPr>
              <w:t></w:t>
            </w:r>
            <w:r w:rsidRPr="00E05E29">
              <w:rPr>
                <w:vertAlign w:val="subscript"/>
              </w:rPr>
              <w:t>1</w:t>
            </w:r>
          </w:p>
        </w:tc>
        <w:tc>
          <w:tcPr>
            <w:tcW w:w="7673" w:type="dxa"/>
          </w:tcPr>
          <w:p w14:paraId="26C5A60B" w14:textId="35D47C9F" w:rsidR="005C5C6B" w:rsidRPr="00680EF7" w:rsidRDefault="005C5C6B" w:rsidP="005C5C6B">
            <w:pPr>
              <w:pStyle w:val="Tablebody"/>
            </w:pPr>
            <w:r w:rsidRPr="00680EF7">
              <w:t>is the first mode participation factor of the structure with energy dissipation system in the elastic range;</w:t>
            </w:r>
          </w:p>
        </w:tc>
      </w:tr>
      <w:tr w:rsidR="005C5C6B" w:rsidRPr="00870D59" w14:paraId="2D08145B" w14:textId="77777777" w:rsidTr="006C6A44">
        <w:tc>
          <w:tcPr>
            <w:tcW w:w="1544" w:type="dxa"/>
            <w:shd w:val="clear" w:color="auto" w:fill="auto"/>
          </w:tcPr>
          <w:p w14:paraId="49AFC2F4" w14:textId="5543C24B" w:rsidR="005C5C6B" w:rsidRDefault="005C5C6B" w:rsidP="005C5C6B">
            <w:pPr>
              <w:pStyle w:val="Tablebody"/>
              <w:rPr>
                <w:rFonts w:eastAsia="Calibri" w:cs="Times New Roman"/>
              </w:rPr>
            </w:pPr>
            <w:r w:rsidRPr="00E05E29">
              <w:rPr>
                <w:rFonts w:ascii="Symbol" w:eastAsia="Symbol" w:hAnsi="Symbol" w:cs="Symbol"/>
                <w:i/>
                <w:iCs/>
              </w:rPr>
              <w:t></w:t>
            </w:r>
            <w:r w:rsidRPr="00E05E29">
              <w:rPr>
                <w:vertAlign w:val="subscript"/>
              </w:rPr>
              <w:t>I</w:t>
            </w:r>
          </w:p>
        </w:tc>
        <w:tc>
          <w:tcPr>
            <w:tcW w:w="7673" w:type="dxa"/>
          </w:tcPr>
          <w:p w14:paraId="76D6E47A" w14:textId="5B15416B" w:rsidR="005C5C6B" w:rsidRPr="00680EF7" w:rsidRDefault="005C5C6B" w:rsidP="005C5C6B">
            <w:pPr>
              <w:pStyle w:val="Tablebody"/>
            </w:pPr>
            <w:r w:rsidRPr="00680EF7">
              <w:t xml:space="preserve">is the component of effective damping of the structure due to inherent dissipation of energy by the primary seismic members of the main structural system, exclusive of the energy dissipation system, at or just below its yield displacement, </w:t>
            </w:r>
            <w:r w:rsidRPr="00680EF7">
              <w:rPr>
                <w:rFonts w:ascii="Symbol" w:eastAsia="Symbol" w:hAnsi="Symbol" w:cs="Symbol"/>
                <w:i/>
                <w:iCs/>
              </w:rPr>
              <w:t></w:t>
            </w:r>
            <w:r w:rsidRPr="00680EF7">
              <w:rPr>
                <w:vertAlign w:val="subscript"/>
              </w:rPr>
              <w:t>I</w:t>
            </w:r>
            <w:r w:rsidRPr="00680EF7">
              <w:t xml:space="preserve"> should be calculated according to Annex D, D.3.2;</w:t>
            </w:r>
          </w:p>
        </w:tc>
      </w:tr>
      <w:tr w:rsidR="005C5C6B" w:rsidRPr="00870D59" w14:paraId="4D1F27E6" w14:textId="77777777" w:rsidTr="006C6A44">
        <w:tc>
          <w:tcPr>
            <w:tcW w:w="1544" w:type="dxa"/>
            <w:shd w:val="clear" w:color="auto" w:fill="auto"/>
          </w:tcPr>
          <w:p w14:paraId="2A01C099" w14:textId="4E7F2507" w:rsidR="005C5C6B" w:rsidRDefault="005C5C6B" w:rsidP="005C5C6B">
            <w:pPr>
              <w:pStyle w:val="Tablebody"/>
              <w:rPr>
                <w:rFonts w:eastAsia="Calibri" w:cs="Times New Roman"/>
              </w:rPr>
            </w:pPr>
            <w:r w:rsidRPr="00E05E29">
              <w:rPr>
                <w:rFonts w:ascii="Symbol" w:eastAsia="Symbol" w:hAnsi="Symbol" w:cs="Symbol"/>
                <w:i/>
                <w:iCs/>
              </w:rPr>
              <w:t></w:t>
            </w:r>
            <w:r w:rsidRPr="00E05E29">
              <w:rPr>
                <w:vertAlign w:val="subscript"/>
              </w:rPr>
              <w:t>V1</w:t>
            </w:r>
          </w:p>
        </w:tc>
        <w:tc>
          <w:tcPr>
            <w:tcW w:w="7673" w:type="dxa"/>
          </w:tcPr>
          <w:p w14:paraId="204689BF" w14:textId="71F639C0" w:rsidR="005C5C6B" w:rsidRPr="00680EF7" w:rsidRDefault="005C5C6B" w:rsidP="005C5C6B">
            <w:pPr>
              <w:pStyle w:val="Tablebody"/>
            </w:pPr>
            <w:r w:rsidRPr="00680EF7">
              <w:t xml:space="preserve">is the component of effective damping of the first mode of vibration of the structure due to viscous dissipation of energy by the damping system, at or just </w:t>
            </w:r>
            <w:r w:rsidRPr="00680EF7">
              <w:lastRenderedPageBreak/>
              <w:t xml:space="preserve">below the yield displacement of the primary seismic members of the main structural system, </w:t>
            </w:r>
            <w:r w:rsidRPr="00680EF7">
              <w:rPr>
                <w:rFonts w:ascii="Symbol" w:eastAsia="Symbol" w:hAnsi="Symbol" w:cs="Symbol"/>
                <w:i/>
                <w:iCs/>
              </w:rPr>
              <w:t></w:t>
            </w:r>
            <w:r w:rsidRPr="00680EF7">
              <w:rPr>
                <w:vertAlign w:val="subscript"/>
              </w:rPr>
              <w:t>V1</w:t>
            </w:r>
            <w:r w:rsidRPr="00680EF7">
              <w:t xml:space="preserve"> should be calculated according to Annex D, D.3.2;</w:t>
            </w:r>
          </w:p>
        </w:tc>
      </w:tr>
      <w:tr w:rsidR="005C5C6B" w:rsidRPr="00870D59" w14:paraId="1EA05D0D" w14:textId="77777777" w:rsidTr="006C6A44">
        <w:tc>
          <w:tcPr>
            <w:tcW w:w="1544" w:type="dxa"/>
            <w:shd w:val="clear" w:color="auto" w:fill="auto"/>
          </w:tcPr>
          <w:p w14:paraId="79C340A7" w14:textId="32F0B528" w:rsidR="005C5C6B" w:rsidRPr="00E05E29" w:rsidRDefault="005C5C6B" w:rsidP="005C5C6B">
            <w:pPr>
              <w:pStyle w:val="Tablebody"/>
              <w:rPr>
                <w:rFonts w:ascii="Symbol" w:eastAsia="Symbol" w:hAnsi="Symbol" w:cs="Symbol"/>
                <w:i/>
                <w:iCs/>
              </w:rPr>
            </w:pPr>
            <w:r w:rsidRPr="00E05E29">
              <w:rPr>
                <w:i/>
              </w:rPr>
              <w:lastRenderedPageBreak/>
              <w:t>S</w:t>
            </w:r>
            <w:r w:rsidRPr="00E05E29">
              <w:rPr>
                <w:vertAlign w:val="subscript"/>
              </w:rPr>
              <w:t>De</w:t>
            </w:r>
            <w:r w:rsidR="00680EF7">
              <w:t xml:space="preserve"> </w:t>
            </w:r>
            <w:r w:rsidRPr="00E05E29">
              <w:t>(</w:t>
            </w:r>
            <w:r w:rsidRPr="00E05E29">
              <w:rPr>
                <w:i/>
              </w:rPr>
              <w:t>T</w:t>
            </w:r>
            <w:r w:rsidRPr="00E05E29">
              <w:rPr>
                <w:vertAlign w:val="subscript"/>
              </w:rPr>
              <w:t>1,e</w:t>
            </w:r>
            <w:r w:rsidRPr="00E05E29">
              <w:t>, </w:t>
            </w:r>
            <w:r w:rsidRPr="00E05E29">
              <w:rPr>
                <w:i/>
              </w:rPr>
              <w:t>5%</w:t>
            </w:r>
            <w:r w:rsidRPr="00E05E29">
              <w:t>)</w:t>
            </w:r>
          </w:p>
        </w:tc>
        <w:tc>
          <w:tcPr>
            <w:tcW w:w="7673" w:type="dxa"/>
          </w:tcPr>
          <w:p w14:paraId="52944ED0" w14:textId="13D38FA4" w:rsidR="005C5C6B" w:rsidRPr="00680EF7" w:rsidRDefault="005C5C6B" w:rsidP="005C5C6B">
            <w:pPr>
              <w:pStyle w:val="Tablebody"/>
            </w:pPr>
            <w:r w:rsidRPr="00680EF7">
              <w:t>is the spectral displacement value of the 5</w:t>
            </w:r>
            <w:r w:rsidR="006C6A44">
              <w:t> </w:t>
            </w:r>
            <w:r w:rsidRPr="00680EF7">
              <w:t>% damped elastic displacement response spectrum given in prEN</w:t>
            </w:r>
            <w:r w:rsidR="00680EF7">
              <w:t> </w:t>
            </w:r>
            <w:r w:rsidRPr="00680EF7">
              <w:t xml:space="preserve">1998-1-1:2022, 5.2.2.2(13), corresponding to period </w:t>
            </w:r>
            <w:r w:rsidRPr="00680EF7">
              <w:rPr>
                <w:i/>
              </w:rPr>
              <w:t>T</w:t>
            </w:r>
            <w:r w:rsidRPr="00680EF7">
              <w:rPr>
                <w:vertAlign w:val="subscript"/>
              </w:rPr>
              <w:t>1,e</w:t>
            </w:r>
            <w:r w:rsidRPr="00680EF7">
              <w:t>;</w:t>
            </w:r>
          </w:p>
        </w:tc>
      </w:tr>
      <w:tr w:rsidR="005C5C6B" w:rsidRPr="00870D59" w14:paraId="7AC1B70A" w14:textId="77777777" w:rsidTr="006C6A44">
        <w:tc>
          <w:tcPr>
            <w:tcW w:w="1544" w:type="dxa"/>
            <w:shd w:val="clear" w:color="auto" w:fill="auto"/>
          </w:tcPr>
          <w:p w14:paraId="292B6113" w14:textId="323FFDFC" w:rsidR="005C5C6B" w:rsidRPr="00E05E29" w:rsidRDefault="005C5C6B" w:rsidP="005C5C6B">
            <w:pPr>
              <w:pStyle w:val="Tablebody"/>
              <w:rPr>
                <w:rFonts w:ascii="Symbol" w:eastAsia="Symbol" w:hAnsi="Symbol" w:cs="Symbol"/>
                <w:i/>
                <w:iCs/>
              </w:rPr>
            </w:pPr>
            <w:r w:rsidRPr="00E05E29">
              <w:rPr>
                <w:rFonts w:ascii="Symbol" w:eastAsia="Symbol" w:hAnsi="Symbol" w:cs="Symbol"/>
                <w:i/>
              </w:rPr>
              <w:t></w:t>
            </w:r>
            <w:r w:rsidR="00680EF7">
              <w:rPr>
                <w:rFonts w:ascii="Symbol" w:eastAsia="Symbol" w:hAnsi="Symbol" w:cs="Symbol"/>
                <w:i/>
              </w:rPr>
              <w:t></w:t>
            </w:r>
            <w:r w:rsidRPr="00E05E29">
              <w:t>(</w:t>
            </w:r>
            <w:r w:rsidRPr="00E05E29">
              <w:rPr>
                <w:i/>
              </w:rPr>
              <w:t>T</w:t>
            </w:r>
            <w:r w:rsidRPr="00E05E29">
              <w:rPr>
                <w:vertAlign w:val="subscript"/>
              </w:rPr>
              <w:t>1,e</w:t>
            </w:r>
            <w:r w:rsidRPr="00E05E29">
              <w:t>,</w:t>
            </w:r>
            <w:r w:rsidRPr="00E05E29">
              <w:rPr>
                <w:i/>
              </w:rPr>
              <w:t> </w:t>
            </w:r>
            <w:r w:rsidRPr="00E05E29">
              <w:rPr>
                <w:rFonts w:ascii="Symbol" w:eastAsia="Symbol" w:hAnsi="Symbol" w:cs="Symbol"/>
                <w:i/>
              </w:rPr>
              <w:t></w:t>
            </w:r>
            <w:r w:rsidRPr="00E05E29">
              <w:rPr>
                <w:vertAlign w:val="subscript"/>
              </w:rPr>
              <w:t>I </w:t>
            </w:r>
            <w:r w:rsidRPr="00E05E29">
              <w:t>+</w:t>
            </w:r>
            <w:r w:rsidRPr="00E05E29">
              <w:rPr>
                <w:rFonts w:ascii="Symbol" w:eastAsia="Symbol" w:hAnsi="Symbol" w:cs="Symbol"/>
                <w:i/>
              </w:rPr>
              <w:t></w:t>
            </w:r>
            <w:r w:rsidRPr="00E05E29">
              <w:rPr>
                <w:vertAlign w:val="subscript"/>
              </w:rPr>
              <w:t>V1</w:t>
            </w:r>
            <w:r w:rsidRPr="00E05E29">
              <w:t>)</w:t>
            </w:r>
          </w:p>
        </w:tc>
        <w:tc>
          <w:tcPr>
            <w:tcW w:w="7673" w:type="dxa"/>
          </w:tcPr>
          <w:p w14:paraId="0037E10F" w14:textId="6866BA91" w:rsidR="005C5C6B" w:rsidRPr="00680EF7" w:rsidRDefault="005C5C6B" w:rsidP="005C5C6B">
            <w:pPr>
              <w:pStyle w:val="Tablebody"/>
            </w:pPr>
            <w:r w:rsidRPr="00680EF7">
              <w:t>is the value of the damping correction factor given in prEN</w:t>
            </w:r>
            <w:r w:rsidR="00680EF7">
              <w:t> </w:t>
            </w:r>
            <w:r w:rsidRPr="00680EF7">
              <w:t xml:space="preserve">1998-1-1:2022, 5.2.2.2(12), corresponding to period </w:t>
            </w:r>
            <w:r w:rsidRPr="00680EF7">
              <w:rPr>
                <w:i/>
              </w:rPr>
              <w:t>T</w:t>
            </w:r>
            <w:r w:rsidRPr="00680EF7">
              <w:rPr>
                <w:vertAlign w:val="subscript"/>
              </w:rPr>
              <w:t>1,e</w:t>
            </w:r>
            <w:r w:rsidRPr="00680EF7">
              <w:rPr>
                <w:i/>
                <w:vertAlign w:val="subscript"/>
              </w:rPr>
              <w:t xml:space="preserve"> </w:t>
            </w:r>
            <w:r w:rsidRPr="00680EF7">
              <w:t>and damping ratio (</w:t>
            </w:r>
            <w:r w:rsidRPr="00680EF7">
              <w:rPr>
                <w:rFonts w:ascii="Symbol" w:eastAsia="Symbol" w:hAnsi="Symbol" w:cs="Symbol"/>
                <w:i/>
              </w:rPr>
              <w:t></w:t>
            </w:r>
            <w:r w:rsidRPr="00680EF7">
              <w:rPr>
                <w:vertAlign w:val="subscript"/>
              </w:rPr>
              <w:t>I </w:t>
            </w:r>
            <w:r w:rsidRPr="00680EF7">
              <w:t>+</w:t>
            </w:r>
            <w:r w:rsidRPr="00680EF7">
              <w:rPr>
                <w:rFonts w:ascii="Symbol" w:eastAsia="Symbol" w:hAnsi="Symbol" w:cs="Symbol"/>
                <w:i/>
              </w:rPr>
              <w:t></w:t>
            </w:r>
            <w:r w:rsidRPr="00680EF7">
              <w:rPr>
                <w:vertAlign w:val="subscript"/>
              </w:rPr>
              <w:t>V1</w:t>
            </w:r>
            <w:r w:rsidRPr="00680EF7">
              <w:t>).</w:t>
            </w:r>
          </w:p>
        </w:tc>
      </w:tr>
    </w:tbl>
    <w:p w14:paraId="2D5141EF" w14:textId="77777777" w:rsidR="00E276D6" w:rsidRPr="00E05E29" w:rsidRDefault="00E276D6" w:rsidP="00E276D6">
      <w:pPr>
        <w:pStyle w:val="Heading5"/>
      </w:pPr>
      <w:r w:rsidRPr="00E05E29">
        <w:tab/>
      </w:r>
      <w:bookmarkStart w:id="1182" w:name="_Toc108342303"/>
      <w:r w:rsidRPr="00E05E29">
        <w:t>Inelastic response</w:t>
      </w:r>
      <w:bookmarkEnd w:id="1182"/>
    </w:p>
    <w:p w14:paraId="215B2653" w14:textId="05124FA9" w:rsidR="00E276D6" w:rsidRPr="00E05E29" w:rsidRDefault="00E276D6" w:rsidP="0080187E">
      <w:pPr>
        <w:pStyle w:val="Clause"/>
        <w:numPr>
          <w:ilvl w:val="0"/>
          <w:numId w:val="285"/>
        </w:numPr>
      </w:pPr>
      <w:r w:rsidRPr="00E05E29">
        <w:t>The maximum displacement relative to the ground at roof level in the direction under consideration for inelastic behaviour of the structure with energy dissipation system, including the elastic part, should be calculated using Formula (9.4).</w:t>
      </w:r>
    </w:p>
    <w:p w14:paraId="6C3824BE" w14:textId="462E068C" w:rsidR="00E276D6" w:rsidRPr="00870D59" w:rsidRDefault="009B5CEC" w:rsidP="00E276D6">
      <w:pPr>
        <w:pStyle w:val="Formula"/>
      </w:pPr>
      <m:oMath>
        <m:sSub>
          <m:sSubPr>
            <m:ctrlPr>
              <w:rPr>
                <w:rFonts w:ascii="Cambria Math" w:hAnsi="Cambria Math"/>
              </w:rPr>
            </m:ctrlPr>
          </m:sSubPr>
          <m:e>
            <m:r>
              <w:rPr>
                <w:rFonts w:ascii="Cambria Math" w:hAnsi="Cambria Math"/>
              </w:rPr>
              <m:t>d</m:t>
            </m:r>
          </m:e>
          <m:sub>
            <m:r>
              <m:rPr>
                <m:sty m:val="p"/>
              </m:rPr>
              <w:rPr>
                <w:rFonts w:ascii="Cambria Math" w:hAnsi="Cambria Math"/>
              </w:rPr>
              <m:t>roof 1</m:t>
            </m:r>
          </m:sub>
        </m:sSub>
        <m:r>
          <w:rPr>
            <w:rFonts w:ascii="Cambria Math" w:hAnsi="Cambria Math"/>
          </w:rPr>
          <m:t>=</m:t>
        </m:r>
        <m:sSub>
          <m:sSubPr>
            <m:ctrlPr>
              <w:rPr>
                <w:rFonts w:ascii="Cambria Math" w:hAnsi="Cambria Math"/>
              </w:rPr>
            </m:ctrlPr>
          </m:sSubPr>
          <m:e>
            <m:r>
              <w:rPr>
                <w:rFonts w:ascii="Cambria Math" w:hAnsi="Cambria Math"/>
              </w:rPr>
              <m:t>Γ</m:t>
            </m:r>
          </m:e>
          <m:sub>
            <m:r>
              <w:rPr>
                <w:rFonts w:ascii="Cambria Math" w:hAnsi="Cambria Math"/>
              </w:rPr>
              <m:t>1</m:t>
            </m:r>
          </m:sub>
        </m:sSub>
        <m:sSub>
          <m:sSubPr>
            <m:ctrlPr>
              <w:rPr>
                <w:rFonts w:ascii="Cambria Math" w:hAnsi="Cambria Math"/>
              </w:rPr>
            </m:ctrlPr>
          </m:sSubPr>
          <m:e>
            <m:r>
              <w:rPr>
                <w:rFonts w:ascii="Cambria Math" w:hAnsi="Cambria Math"/>
              </w:rPr>
              <m:t>S</m:t>
            </m:r>
          </m:e>
          <m:sub>
            <m:r>
              <m:rPr>
                <m:sty m:val="p"/>
              </m:rPr>
              <w:rPr>
                <w:rFonts w:ascii="Cambria Math" w:hAnsi="Cambria Math"/>
              </w:rPr>
              <m:t>De</m:t>
            </m:r>
          </m:sub>
        </m:sSub>
        <m:d>
          <m:dPr>
            <m:ctrlPr>
              <w:rPr>
                <w:rFonts w:ascii="Cambria Math" w:hAnsi="Cambria Math"/>
              </w:rPr>
            </m:ctrlPr>
          </m:dPr>
          <m:e>
            <m:sSub>
              <m:sSubPr>
                <m:ctrlPr>
                  <w:rPr>
                    <w:rFonts w:ascii="Cambria Math" w:hAnsi="Cambria Math"/>
                  </w:rPr>
                </m:ctrlPr>
              </m:sSubPr>
              <m:e>
                <m:r>
                  <w:rPr>
                    <w:rFonts w:ascii="Cambria Math" w:hAnsi="Cambria Math"/>
                  </w:rPr>
                  <m:t>T</m:t>
                </m:r>
              </m:e>
              <m:sub>
                <m:r>
                  <m:rPr>
                    <m:sty m:val="p"/>
                  </m:rPr>
                  <w:rPr>
                    <w:rFonts w:ascii="Cambria Math" w:hAnsi="Cambria Math"/>
                  </w:rPr>
                  <m:t>eff 1</m:t>
                </m:r>
              </m:sub>
            </m:sSub>
            <m:r>
              <w:rPr>
                <w:rFonts w:ascii="Cambria Math" w:hAnsi="Cambria Math"/>
              </w:rPr>
              <m:t>,5%</m:t>
            </m:r>
          </m:e>
        </m:d>
        <m:r>
          <w:rPr>
            <w:rFonts w:ascii="Cambria Math" w:hAnsi="Cambria Math"/>
          </w:rPr>
          <m:t> η</m:t>
        </m:r>
        <m:d>
          <m:dPr>
            <m:ctrlPr>
              <w:rPr>
                <w:rFonts w:ascii="Cambria Math" w:hAnsi="Cambria Math"/>
              </w:rPr>
            </m:ctrlPr>
          </m:dPr>
          <m:e>
            <m:sSub>
              <m:sSubPr>
                <m:ctrlPr>
                  <w:rPr>
                    <w:rFonts w:ascii="Cambria Math" w:hAnsi="Cambria Math"/>
                  </w:rPr>
                </m:ctrlPr>
              </m:sSubPr>
              <m:e>
                <m:r>
                  <w:rPr>
                    <w:rFonts w:ascii="Cambria Math" w:hAnsi="Cambria Math"/>
                  </w:rPr>
                  <m:t>T</m:t>
                </m:r>
              </m:e>
              <m:sub>
                <m:r>
                  <m:rPr>
                    <m:sty m:val="p"/>
                  </m:rPr>
                  <w:rPr>
                    <w:rFonts w:ascii="Cambria Math" w:hAnsi="Cambria Math"/>
                  </w:rPr>
                  <m:t>eff 1</m:t>
                </m:r>
              </m:sub>
            </m:sSub>
            <m:r>
              <w:rPr>
                <w:rFonts w:ascii="Cambria Math" w:hAnsi="Cambria Math"/>
              </w:rPr>
              <m:t>,</m:t>
            </m:r>
            <m:sSub>
              <m:sSubPr>
                <m:ctrlPr>
                  <w:rPr>
                    <w:rFonts w:ascii="Cambria Math" w:hAnsi="Cambria Math"/>
                  </w:rPr>
                </m:ctrlPr>
              </m:sSubPr>
              <m:e>
                <m:r>
                  <w:rPr>
                    <w:rFonts w:ascii="Cambria Math" w:hAnsi="Cambria Math"/>
                  </w:rPr>
                  <m:t>ξ</m:t>
                </m:r>
              </m:e>
              <m:sub>
                <m:r>
                  <m:rPr>
                    <m:sty m:val="p"/>
                  </m:rPr>
                  <w:rPr>
                    <w:rFonts w:ascii="Cambria Math" w:hAnsi="Cambria Math"/>
                  </w:rPr>
                  <m:t>eff 1</m:t>
                </m:r>
              </m:sub>
            </m:sSub>
          </m:e>
        </m:d>
      </m:oMath>
      <w:r w:rsidR="00E276D6" w:rsidRPr="00870D59">
        <w:tab/>
        <w:t>(</w:t>
      </w:r>
      <w:r w:rsidR="00E276D6">
        <w:t>9</w:t>
      </w:r>
      <w:r w:rsidR="00E276D6" w:rsidRPr="00870D59">
        <w:t>.</w:t>
      </w:r>
      <w:r w:rsidR="00E276D6">
        <w:t>4</w:t>
      </w:r>
      <w:r w:rsidR="00E276D6" w:rsidRPr="00870D59">
        <w:t>)</w:t>
      </w:r>
    </w:p>
    <w:p w14:paraId="40E68E33" w14:textId="7B9A506F" w:rsidR="00E276D6" w:rsidRDefault="00E276D6" w:rsidP="00680EF7">
      <w:pPr>
        <w:pStyle w:val="Text"/>
      </w:pPr>
      <w:r>
        <w:t>where</w:t>
      </w:r>
    </w:p>
    <w:tbl>
      <w:tblPr>
        <w:tblW w:w="0" w:type="auto"/>
        <w:tblInd w:w="346" w:type="dxa"/>
        <w:tblLook w:val="04A0" w:firstRow="1" w:lastRow="0" w:firstColumn="1" w:lastColumn="0" w:noHBand="0" w:noVBand="1"/>
      </w:tblPr>
      <w:tblGrid>
        <w:gridCol w:w="1451"/>
        <w:gridCol w:w="7766"/>
      </w:tblGrid>
      <w:tr w:rsidR="00E276D6" w:rsidRPr="00870D59" w14:paraId="02B1605F" w14:textId="77777777" w:rsidTr="006C6A44">
        <w:tc>
          <w:tcPr>
            <w:tcW w:w="1451" w:type="dxa"/>
            <w:shd w:val="clear" w:color="auto" w:fill="auto"/>
          </w:tcPr>
          <w:p w14:paraId="67EA1A0F" w14:textId="77AC3ED8" w:rsidR="00E276D6" w:rsidRPr="00523AC3" w:rsidRDefault="00E276D6" w:rsidP="002061E5">
            <w:pPr>
              <w:pStyle w:val="Tablebody"/>
              <w:rPr>
                <w:i/>
                <w:iCs/>
              </w:rPr>
            </w:pPr>
            <w:r w:rsidRPr="00D1484A">
              <w:rPr>
                <w:i/>
                <w:iCs/>
              </w:rPr>
              <w:t>S</w:t>
            </w:r>
            <w:r w:rsidRPr="007E6F67">
              <w:rPr>
                <w:vertAlign w:val="subscript"/>
              </w:rPr>
              <w:t>De</w:t>
            </w:r>
            <w:r w:rsidRPr="007E6F67">
              <w:rPr>
                <w:i/>
                <w:iCs/>
                <w:vertAlign w:val="subscript"/>
              </w:rPr>
              <w:t xml:space="preserve"> </w:t>
            </w:r>
            <w:r w:rsidRPr="007E6F67">
              <w:t>(</w:t>
            </w:r>
            <w:r w:rsidRPr="00FD17CF">
              <w:rPr>
                <w:i/>
                <w:iCs/>
              </w:rPr>
              <w:t>T</w:t>
            </w:r>
            <w:r w:rsidRPr="00FD17CF">
              <w:rPr>
                <w:vertAlign w:val="subscript"/>
              </w:rPr>
              <w:t>eff 1</w:t>
            </w:r>
            <w:r w:rsidRPr="00FD17CF">
              <w:t>,5</w:t>
            </w:r>
            <w:r w:rsidRPr="00644C3D">
              <w:rPr>
                <w:i/>
                <w:iCs/>
              </w:rPr>
              <w:t>%</w:t>
            </w:r>
            <w:r w:rsidRPr="00E05E29">
              <w:t>)</w:t>
            </w:r>
          </w:p>
        </w:tc>
        <w:tc>
          <w:tcPr>
            <w:tcW w:w="7766" w:type="dxa"/>
          </w:tcPr>
          <w:p w14:paraId="1AF6A1FE" w14:textId="37E30182" w:rsidR="00E276D6" w:rsidRPr="00680EF7" w:rsidRDefault="00E276D6" w:rsidP="002061E5">
            <w:pPr>
              <w:pStyle w:val="Tablebody"/>
            </w:pPr>
            <w:r w:rsidRPr="00680EF7">
              <w:t>is the spectral displacement value of the 5</w:t>
            </w:r>
            <w:r w:rsidR="00D4445A">
              <w:t> </w:t>
            </w:r>
            <w:r w:rsidRPr="00680EF7">
              <w:t>% damped elastic displacement response spectrum given in prEN</w:t>
            </w:r>
            <w:r w:rsidR="00680EF7">
              <w:t> </w:t>
            </w:r>
            <w:r w:rsidRPr="00680EF7">
              <w:t xml:space="preserve">1998-1-1:2022, 5.2.2.2(13), at period </w:t>
            </w:r>
            <w:r w:rsidRPr="00680EF7">
              <w:rPr>
                <w:i/>
                <w:iCs/>
              </w:rPr>
              <w:t>T</w:t>
            </w:r>
            <w:r w:rsidRPr="00680EF7">
              <w:rPr>
                <w:vertAlign w:val="subscript"/>
              </w:rPr>
              <w:t>eff 1</w:t>
            </w:r>
            <w:r w:rsidRPr="00680EF7">
              <w:t>; T</w:t>
            </w:r>
            <w:r w:rsidRPr="00680EF7">
              <w:rPr>
                <w:vertAlign w:val="subscript"/>
              </w:rPr>
              <w:t>eff1</w:t>
            </w:r>
            <w:r w:rsidRPr="00680EF7">
              <w:t xml:space="preserve"> should be calculated according to Annex D, D.3.1;</w:t>
            </w:r>
          </w:p>
        </w:tc>
      </w:tr>
      <w:tr w:rsidR="00E276D6" w:rsidRPr="00870D59" w14:paraId="2C45CBEC" w14:textId="77777777" w:rsidTr="006C6A44">
        <w:tc>
          <w:tcPr>
            <w:tcW w:w="1451" w:type="dxa"/>
            <w:shd w:val="clear" w:color="auto" w:fill="auto"/>
          </w:tcPr>
          <w:p w14:paraId="69CAE0D8" w14:textId="35A1B1B7" w:rsidR="00E276D6" w:rsidRPr="00325DC7" w:rsidRDefault="00E276D6" w:rsidP="00680EF7">
            <w:pPr>
              <w:pStyle w:val="Tablebody"/>
              <w:rPr>
                <w:i/>
              </w:rPr>
            </w:pPr>
            <w:r w:rsidRPr="00E05E29">
              <w:rPr>
                <w:i/>
                <w:iCs/>
              </w:rPr>
              <w:t>h</w:t>
            </w:r>
            <w:r w:rsidR="00680EF7">
              <w:rPr>
                <w:i/>
                <w:iCs/>
              </w:rPr>
              <w:t xml:space="preserve"> </w:t>
            </w:r>
            <w:r w:rsidRPr="00E05E29">
              <w:t>(</w:t>
            </w:r>
            <w:r w:rsidRPr="00E05E29">
              <w:rPr>
                <w:i/>
                <w:iCs/>
              </w:rPr>
              <w:t>T</w:t>
            </w:r>
            <w:r w:rsidRPr="00E05E29">
              <w:rPr>
                <w:vertAlign w:val="subscript"/>
              </w:rPr>
              <w:t>eff 1</w:t>
            </w:r>
            <w:r w:rsidRPr="00E05E29">
              <w:rPr>
                <w:i/>
                <w:iCs/>
              </w:rPr>
              <w:t>,</w:t>
            </w:r>
            <w:r w:rsidRPr="00E05E29">
              <w:rPr>
                <w:rFonts w:ascii="Symbol" w:eastAsia="Symbol" w:hAnsi="Symbol" w:cs="Symbol"/>
                <w:i/>
                <w:iCs/>
              </w:rPr>
              <w:t></w:t>
            </w:r>
            <w:r w:rsidRPr="00E05E29">
              <w:rPr>
                <w:vertAlign w:val="subscript"/>
              </w:rPr>
              <w:t>eff 1</w:t>
            </w:r>
            <w:r w:rsidRPr="00E05E29">
              <w:t>)</w:t>
            </w:r>
          </w:p>
        </w:tc>
        <w:tc>
          <w:tcPr>
            <w:tcW w:w="7766" w:type="dxa"/>
          </w:tcPr>
          <w:p w14:paraId="2720B17D" w14:textId="3EDFA533" w:rsidR="00E276D6" w:rsidRPr="00680EF7" w:rsidRDefault="004C3C2F" w:rsidP="002061E5">
            <w:pPr>
              <w:pStyle w:val="Tablebody"/>
            </w:pPr>
            <w:r w:rsidRPr="00680EF7">
              <w:t xml:space="preserve">is the value of the damping correction factor given in 5.2.2.2(12), corresponding to the period </w:t>
            </w:r>
            <w:r w:rsidRPr="00680EF7">
              <w:rPr>
                <w:i/>
                <w:iCs/>
              </w:rPr>
              <w:t>T</w:t>
            </w:r>
            <w:r w:rsidRPr="00680EF7">
              <w:rPr>
                <w:vertAlign w:val="subscript"/>
              </w:rPr>
              <w:t>eff 1</w:t>
            </w:r>
            <w:r w:rsidRPr="00680EF7">
              <w:rPr>
                <w:i/>
                <w:iCs/>
                <w:vertAlign w:val="subscript"/>
              </w:rPr>
              <w:t xml:space="preserve"> </w:t>
            </w:r>
            <w:r w:rsidRPr="00680EF7">
              <w:t xml:space="preserve">and damping ratio </w:t>
            </w:r>
            <w:r w:rsidRPr="00680EF7">
              <w:rPr>
                <w:rFonts w:ascii="Symbol" w:eastAsia="Symbol" w:hAnsi="Symbol" w:cs="Symbol"/>
                <w:i/>
                <w:iCs/>
              </w:rPr>
              <w:t></w:t>
            </w:r>
            <w:r w:rsidRPr="00680EF7">
              <w:rPr>
                <w:vertAlign w:val="subscript"/>
              </w:rPr>
              <w:t>eff 1</w:t>
            </w:r>
            <w:r w:rsidRPr="00680EF7">
              <w:t xml:space="preserve">; </w:t>
            </w:r>
            <w:r w:rsidRPr="00680EF7">
              <w:rPr>
                <w:rFonts w:ascii="Symbol" w:eastAsia="Symbol" w:hAnsi="Symbol" w:cs="Symbol"/>
              </w:rPr>
              <w:t></w:t>
            </w:r>
            <w:r w:rsidRPr="00680EF7">
              <w:rPr>
                <w:vertAlign w:val="subscript"/>
              </w:rPr>
              <w:t>eff1</w:t>
            </w:r>
            <w:r w:rsidRPr="00680EF7">
              <w:t xml:space="preserve"> should be calculated according to Annex D, D.3.2.</w:t>
            </w:r>
          </w:p>
        </w:tc>
      </w:tr>
    </w:tbl>
    <w:p w14:paraId="397F4D24" w14:textId="3A589CFC" w:rsidR="004C3C2F" w:rsidRPr="004030A7" w:rsidRDefault="004C3C2F" w:rsidP="0080187E">
      <w:pPr>
        <w:pStyle w:val="Clause"/>
        <w:numPr>
          <w:ilvl w:val="0"/>
          <w:numId w:val="285"/>
        </w:numPr>
        <w:rPr>
          <w:rFonts w:eastAsia="Calibri"/>
        </w:rPr>
      </w:pPr>
      <w:r w:rsidRPr="004030A7">
        <w:rPr>
          <w:rFonts w:eastAsia="Calibri"/>
        </w:rPr>
        <w:t xml:space="preserve">The base shear of the structure with energy dissipation system at roof displacement </w:t>
      </w:r>
      <w:r w:rsidRPr="004030A7">
        <w:rPr>
          <w:rFonts w:eastAsia="Calibri"/>
          <w:i/>
        </w:rPr>
        <w:t>d</w:t>
      </w:r>
      <w:r w:rsidRPr="004030A7">
        <w:rPr>
          <w:rFonts w:eastAsia="Calibri"/>
          <w:vertAlign w:val="subscript"/>
        </w:rPr>
        <w:t>roof1</w:t>
      </w:r>
      <w:r w:rsidRPr="004030A7">
        <w:rPr>
          <w:rFonts w:eastAsia="Calibri"/>
        </w:rPr>
        <w:t xml:space="preserve"> </w:t>
      </w:r>
      <w:r w:rsidRPr="00E05E29">
        <w:t>in the direction under consideration</w:t>
      </w:r>
      <w:r w:rsidRPr="004030A7">
        <w:rPr>
          <w:rFonts w:eastAsia="Calibri"/>
        </w:rPr>
        <w:t xml:space="preserve"> may be obtained by either a) or b):</w:t>
      </w:r>
    </w:p>
    <w:p w14:paraId="63BF3033" w14:textId="77777777" w:rsidR="004C3C2F" w:rsidRPr="00680EF7" w:rsidRDefault="004C3C2F" w:rsidP="0080187E">
      <w:pPr>
        <w:pStyle w:val="List2"/>
        <w:numPr>
          <w:ilvl w:val="0"/>
          <w:numId w:val="106"/>
        </w:numPr>
        <w:spacing w:before="0" w:after="240" w:line="230" w:lineRule="atLeast"/>
        <w:ind w:left="426" w:hanging="426"/>
        <w:contextualSpacing w:val="0"/>
      </w:pPr>
      <w:r w:rsidRPr="00E05E29">
        <w:rPr>
          <w:color w:val="000000" w:themeColor="text1"/>
        </w:rPr>
        <w:t xml:space="preserve">By summing i) the base shear </w:t>
      </w:r>
      <w:r w:rsidRPr="00E05E29">
        <w:rPr>
          <w:rFonts w:eastAsiaTheme="minorEastAsia"/>
          <w:i/>
          <w:color w:val="000000" w:themeColor="text1"/>
        </w:rPr>
        <w:t>V</w:t>
      </w:r>
      <w:r w:rsidRPr="00E05E29">
        <w:rPr>
          <w:rFonts w:eastAsiaTheme="minorEastAsia"/>
          <w:color w:val="000000" w:themeColor="text1"/>
          <w:vertAlign w:val="subscript"/>
        </w:rPr>
        <w:t>py1</w:t>
      </w:r>
      <w:r w:rsidRPr="00E05E29">
        <w:rPr>
          <w:color w:val="000000" w:themeColor="text1"/>
        </w:rPr>
        <w:t xml:space="preserve"> associated with the formation of a plastic mechanism in the primary </w:t>
      </w:r>
      <w:r w:rsidRPr="00E05E29">
        <w:t xml:space="preserve">seismic members of the main structural system, obtained with a pattern of loads proportional to first mode, and ii) the base shear exerted by the viscoelastic dampers corresponding to the roof </w:t>
      </w:r>
      <w:r w:rsidRPr="00680EF7">
        <w:t xml:space="preserve">displacement </w:t>
      </w:r>
      <w:r w:rsidRPr="00680EF7">
        <w:rPr>
          <w:i/>
        </w:rPr>
        <w:t>d</w:t>
      </w:r>
      <w:r w:rsidRPr="00680EF7">
        <w:rPr>
          <w:vertAlign w:val="subscript"/>
        </w:rPr>
        <w:t>roof 1</w:t>
      </w:r>
      <w:r w:rsidRPr="00680EF7">
        <w:t xml:space="preserve"> given in (1).</w:t>
      </w:r>
    </w:p>
    <w:p w14:paraId="38A8F15D" w14:textId="7D58BEA2" w:rsidR="004C3C2F" w:rsidRDefault="004C3C2F" w:rsidP="004C3C2F">
      <w:pPr>
        <w:pStyle w:val="Notetext"/>
      </w:pPr>
      <w:r w:rsidRPr="00132C1E">
        <w:t>NOTE</w:t>
      </w:r>
      <w:r w:rsidRPr="00132C1E">
        <w:tab/>
      </w:r>
      <w:r w:rsidRPr="00D1484A">
        <w:rPr>
          <w:i/>
        </w:rPr>
        <w:t>V</w:t>
      </w:r>
      <w:r w:rsidRPr="00D1484A">
        <w:rPr>
          <w:vertAlign w:val="subscript"/>
        </w:rPr>
        <w:t>py 1</w:t>
      </w:r>
      <w:r w:rsidRPr="00D1484A">
        <w:t xml:space="preserve"> obtained by a plastic analysis and the base shear force sustained by the elastic component of the viscoelastic dampers for the roof displacement </w:t>
      </w:r>
      <w:r w:rsidRPr="00D1484A">
        <w:rPr>
          <w:i/>
        </w:rPr>
        <w:t>d</w:t>
      </w:r>
      <w:r w:rsidRPr="00D1484A">
        <w:rPr>
          <w:vertAlign w:val="subscript"/>
        </w:rPr>
        <w:t>roof 1</w:t>
      </w:r>
      <w:r w:rsidRPr="00D1484A">
        <w:rPr>
          <w:i/>
          <w:vertAlign w:val="subscript"/>
        </w:rPr>
        <w:t xml:space="preserve"> </w:t>
      </w:r>
      <w:r w:rsidRPr="007E6F67">
        <w:t>are both calculated assuming a displacement according to the first mode.</w:t>
      </w:r>
      <w:r w:rsidRPr="00FD17CF">
        <w:t xml:space="preserve"> The meaning of </w:t>
      </w:r>
      <w:r w:rsidRPr="00FD17CF">
        <w:rPr>
          <w:i/>
          <w:iCs/>
        </w:rPr>
        <w:t>V</w:t>
      </w:r>
      <w:r w:rsidRPr="00644C3D">
        <w:rPr>
          <w:vertAlign w:val="subscript"/>
        </w:rPr>
        <w:t>py1</w:t>
      </w:r>
      <w:r w:rsidRPr="00E05E29">
        <w:t xml:space="preserve"> and other variables is shown in Figure 9.1.</w:t>
      </w:r>
    </w:p>
    <w:p w14:paraId="444058A6" w14:textId="3823A7CE" w:rsidR="004C3C2F" w:rsidRPr="00E05E29" w:rsidRDefault="00415B69" w:rsidP="00896EA6">
      <w:pPr>
        <w:pStyle w:val="FigureImage"/>
      </w:pPr>
      <w:r>
        <w:rPr>
          <w:noProof/>
        </w:rPr>
        <w:lastRenderedPageBreak/>
        <w:drawing>
          <wp:inline distT="0" distB="0" distL="0" distR="0" wp14:anchorId="4AE94E9F" wp14:editId="2F839659">
            <wp:extent cx="4320547" cy="3055625"/>
            <wp:effectExtent l="0" t="0" r="3810" b="0"/>
            <wp:docPr id="31" name="0003.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0003.tiff"/>
                    <pic:cNvPicPr/>
                  </pic:nvPicPr>
                  <pic:blipFill>
                    <a:blip r:link="rId18"/>
                    <a:stretch>
                      <a:fillRect/>
                    </a:stretch>
                  </pic:blipFill>
                  <pic:spPr>
                    <a:xfrm>
                      <a:off x="0" y="0"/>
                      <a:ext cx="4320547" cy="3055625"/>
                    </a:xfrm>
                    <a:prstGeom prst="rect">
                      <a:avLst/>
                    </a:prstGeom>
                  </pic:spPr>
                </pic:pic>
              </a:graphicData>
            </a:graphic>
          </wp:inline>
        </w:drawing>
      </w:r>
    </w:p>
    <w:p w14:paraId="7395A64D" w14:textId="2AE1F269" w:rsidR="004C3C2F" w:rsidRPr="004C3C2F" w:rsidRDefault="004C3C2F" w:rsidP="004C3C2F">
      <w:pPr>
        <w:pStyle w:val="Figuretitle"/>
      </w:pPr>
      <w:r w:rsidRPr="004C3C2F">
        <w:t xml:space="preserve">Figure 9.1 — Roof displacement </w:t>
      </w:r>
      <w:r w:rsidRPr="004C3C2F">
        <w:rPr>
          <w:i/>
          <w:iCs/>
        </w:rPr>
        <w:t>d</w:t>
      </w:r>
      <w:r w:rsidRPr="004C3C2F">
        <w:rPr>
          <w:vertAlign w:val="subscript"/>
        </w:rPr>
        <w:t>roof</w:t>
      </w:r>
      <w:r w:rsidRPr="004C3C2F">
        <w:t xml:space="preserve"> vs. base shear force </w:t>
      </w:r>
      <w:r w:rsidRPr="004C3C2F">
        <w:rPr>
          <w:i/>
          <w:iCs/>
        </w:rPr>
        <w:t>V</w:t>
      </w:r>
      <w:r w:rsidRPr="004C3C2F">
        <w:rPr>
          <w:vertAlign w:val="subscript"/>
        </w:rPr>
        <w:t>b</w:t>
      </w:r>
      <w:r w:rsidRPr="004C3C2F">
        <w:t xml:space="preserve"> of the structure with energy dissipation system; (a) is the overall curve of the structure with energy dissipation system; (b) is the contribution of the main structure; (c) is the contribution of the elastic part of the viscoelastic dampers</w:t>
      </w:r>
    </w:p>
    <w:p w14:paraId="4F19DB8C" w14:textId="77777777" w:rsidR="004C3C2F" w:rsidRPr="00E05E29" w:rsidRDefault="004C3C2F" w:rsidP="0080187E">
      <w:pPr>
        <w:pStyle w:val="List2"/>
        <w:numPr>
          <w:ilvl w:val="0"/>
          <w:numId w:val="106"/>
        </w:numPr>
        <w:spacing w:before="0" w:after="240" w:line="230" w:lineRule="atLeast"/>
        <w:ind w:left="426" w:hanging="426"/>
        <w:contextualSpacing w:val="0"/>
      </w:pPr>
      <w:r w:rsidRPr="00E05E29">
        <w:t xml:space="preserve">Conducting a pushover analysis with a model that includes the primary seismic members of the main structural system and the storage stiffness </w:t>
      </w:r>
      <w:r w:rsidRPr="00E05E29">
        <w:rPr>
          <w:i/>
        </w:rPr>
        <w:t>K</w:t>
      </w:r>
      <w:r w:rsidRPr="00E05E29">
        <w:rPr>
          <w:vertAlign w:val="subscript"/>
        </w:rPr>
        <w:t>k,</w:t>
      </w:r>
      <w:r w:rsidRPr="00E05E29">
        <w:rPr>
          <w:i/>
          <w:vertAlign w:val="subscript"/>
        </w:rPr>
        <w:t>j</w:t>
      </w:r>
      <w:r w:rsidRPr="00E05E29">
        <w:t xml:space="preserve"> of the viscoelastic-type energy dissipation devices evaluated at the fundamental period </w:t>
      </w:r>
      <w:r w:rsidRPr="00E05E29">
        <w:rPr>
          <w:i/>
        </w:rPr>
        <w:t>T</w:t>
      </w:r>
      <w:r w:rsidRPr="00E05E29">
        <w:rPr>
          <w:vertAlign w:val="subscript"/>
        </w:rPr>
        <w:t>1</w:t>
      </w:r>
      <w:r w:rsidRPr="00E05E29">
        <w:t>.</w:t>
      </w:r>
    </w:p>
    <w:p w14:paraId="2E086234" w14:textId="37959B68" w:rsidR="004C3C2F" w:rsidRPr="002675C1" w:rsidRDefault="004C3C2F" w:rsidP="002675C1">
      <w:pPr>
        <w:pStyle w:val="Notetext"/>
      </w:pPr>
      <w:r w:rsidRPr="002675C1">
        <w:t>NOTE</w:t>
      </w:r>
      <w:r w:rsidRPr="002675C1">
        <w:tab/>
      </w:r>
      <w:r w:rsidRPr="00680EF7">
        <w:rPr>
          <w:i/>
          <w:iCs/>
        </w:rPr>
        <w:t>K</w:t>
      </w:r>
      <w:r w:rsidRPr="00680EF7">
        <w:rPr>
          <w:vertAlign w:val="subscript"/>
        </w:rPr>
        <w:t>k,j</w:t>
      </w:r>
      <w:r w:rsidRPr="002675C1">
        <w:t xml:space="preserve"> = </w:t>
      </w:r>
      <w:r w:rsidRPr="00680EF7">
        <w:rPr>
          <w:i/>
          <w:iCs/>
        </w:rPr>
        <w:t>G</w:t>
      </w:r>
      <w:r w:rsidRPr="002675C1">
        <w:t xml:space="preserve">’ </w:t>
      </w:r>
      <w:r w:rsidRPr="00680EF7">
        <w:rPr>
          <w:i/>
          <w:iCs/>
        </w:rPr>
        <w:t>s</w:t>
      </w:r>
      <w:r w:rsidRPr="00680EF7">
        <w:rPr>
          <w:vertAlign w:val="subscript"/>
        </w:rPr>
        <w:t>f</w:t>
      </w:r>
      <w:r w:rsidRPr="002675C1">
        <w:t xml:space="preserve">  where </w:t>
      </w:r>
      <w:r w:rsidRPr="00680EF7">
        <w:rPr>
          <w:i/>
          <w:iCs/>
        </w:rPr>
        <w:t>G</w:t>
      </w:r>
      <w:r w:rsidRPr="002675C1">
        <w:t xml:space="preserve">’ is the storage shear moduli of the damper and </w:t>
      </w:r>
      <w:r w:rsidR="00680EF7" w:rsidRPr="00680EF7">
        <w:rPr>
          <w:i/>
          <w:iCs/>
        </w:rPr>
        <w:t>s</w:t>
      </w:r>
      <w:r w:rsidR="00680EF7" w:rsidRPr="00680EF7">
        <w:rPr>
          <w:vertAlign w:val="subscript"/>
        </w:rPr>
        <w:t>f</w:t>
      </w:r>
      <w:r w:rsidRPr="002675C1">
        <w:t xml:space="preserve"> is a shape factor, both provided by the producer of the damper according to EN</w:t>
      </w:r>
      <w:r w:rsidR="002D0B58">
        <w:t> </w:t>
      </w:r>
      <w:r w:rsidRPr="002675C1">
        <w:t>15129.</w:t>
      </w:r>
    </w:p>
    <w:p w14:paraId="12AC1E4A" w14:textId="3EAAEB8D" w:rsidR="004C3C2F" w:rsidRPr="00E05E29" w:rsidRDefault="004C3C2F" w:rsidP="0080187E">
      <w:pPr>
        <w:pStyle w:val="Clause"/>
        <w:numPr>
          <w:ilvl w:val="0"/>
          <w:numId w:val="285"/>
        </w:numPr>
      </w:pPr>
      <w:r w:rsidRPr="00E05E29">
        <w:t xml:space="preserve">If, for the roof displacement </w:t>
      </w:r>
      <w:r w:rsidRPr="004030A7">
        <w:rPr>
          <w:i/>
        </w:rPr>
        <w:t>d</w:t>
      </w:r>
      <w:r w:rsidRPr="004030A7">
        <w:rPr>
          <w:vertAlign w:val="subscript"/>
        </w:rPr>
        <w:t>roof 1</w:t>
      </w:r>
      <w:r w:rsidRPr="00E05E29">
        <w:t>, the base shear of the structure with energy dissipation system in the direction under consideration, is less than 0,95</w:t>
      </w:r>
      <w:r w:rsidRPr="004030A7">
        <w:rPr>
          <w:i/>
        </w:rPr>
        <w:t>V</w:t>
      </w:r>
      <w:r w:rsidRPr="004030A7">
        <w:rPr>
          <w:vertAlign w:val="subscript"/>
        </w:rPr>
        <w:t>b1max</w:t>
      </w:r>
      <w:r w:rsidRPr="00E05E29">
        <w:t xml:space="preserve"> or greater than 1,05</w:t>
      </w:r>
      <w:r w:rsidRPr="004030A7">
        <w:rPr>
          <w:i/>
        </w:rPr>
        <w:t>V</w:t>
      </w:r>
      <w:r w:rsidRPr="004030A7">
        <w:rPr>
          <w:vertAlign w:val="subscript"/>
        </w:rPr>
        <w:t>b1max</w:t>
      </w:r>
      <w:r w:rsidRPr="00E05E29">
        <w:t xml:space="preserve">, where </w:t>
      </w:r>
      <w:r w:rsidRPr="004030A7">
        <w:rPr>
          <w:i/>
        </w:rPr>
        <w:t>V</w:t>
      </w:r>
      <w:r w:rsidRPr="004030A7">
        <w:rPr>
          <w:vertAlign w:val="subscript"/>
        </w:rPr>
        <w:t>b1max</w:t>
      </w:r>
      <w:r w:rsidRPr="00E05E29">
        <w:t xml:space="preserve"> is given by Formula (9.5), an iterative procedure should be applied by varying </w:t>
      </w:r>
      <w:r w:rsidRPr="004030A7">
        <w:rPr>
          <w:i/>
        </w:rPr>
        <w:t>d</w:t>
      </w:r>
      <w:r w:rsidRPr="004030A7">
        <w:rPr>
          <w:vertAlign w:val="subscript"/>
        </w:rPr>
        <w:t>roof 1</w:t>
      </w:r>
      <w:r w:rsidRPr="00E05E29">
        <w:t>.</w:t>
      </w:r>
    </w:p>
    <w:p w14:paraId="15474248" w14:textId="12659871" w:rsidR="00CF06C7" w:rsidRPr="00870D59" w:rsidRDefault="009B5CEC" w:rsidP="006C6A44">
      <w:pPr>
        <w:pStyle w:val="Formula"/>
        <w:keepNext/>
        <w:keepLines/>
      </w:pPr>
      <m:oMath>
        <m:sSub>
          <m:sSubPr>
            <m:ctrlPr>
              <w:rPr>
                <w:rFonts w:ascii="Cambria Math" w:hAnsi="Cambria Math"/>
              </w:rPr>
            </m:ctrlPr>
          </m:sSubPr>
          <m:e>
            <m:r>
              <w:rPr>
                <w:rFonts w:ascii="Cambria Math" w:hAnsi="Cambria Math"/>
              </w:rPr>
              <m:t>V</m:t>
            </m:r>
          </m:e>
          <m:sub>
            <m:r>
              <m:rPr>
                <m:sty m:val="p"/>
              </m:rPr>
              <w:rPr>
                <w:rFonts w:ascii="Cambria Math" w:hAnsi="Cambria Math"/>
              </w:rPr>
              <m:t>b1 max</m:t>
            </m:r>
          </m:sub>
        </m:sSub>
        <m:r>
          <w:rPr>
            <w:rFonts w:ascii="Cambria Math" w:hAnsi="Cambria Math"/>
          </w:rPr>
          <m:t>=</m:t>
        </m:r>
        <m:sSub>
          <m:sSubPr>
            <m:ctrlPr>
              <w:rPr>
                <w:rFonts w:ascii="Cambria Math" w:hAnsi="Cambria Math"/>
              </w:rPr>
            </m:ctrlPr>
          </m:sSubPr>
          <m:e>
            <m:r>
              <w:rPr>
                <w:rFonts w:ascii="Cambria Math" w:hAnsi="Cambria Math"/>
              </w:rPr>
              <m:t>m</m:t>
            </m:r>
          </m:e>
          <m:sub>
            <m:r>
              <m:rPr>
                <m:sty m:val="p"/>
              </m:rPr>
              <w:rPr>
                <w:rFonts w:ascii="Cambria Math" w:hAnsi="Cambria Math"/>
              </w:rPr>
              <m:t>eff</m:t>
            </m:r>
            <m:r>
              <w:rPr>
                <w:rFonts w:ascii="Cambria Math" w:hAnsi="Cambria Math"/>
              </w:rPr>
              <m:t xml:space="preserve"> 1</m:t>
            </m:r>
          </m:sub>
        </m:sSub>
        <m:sSub>
          <m:sSubPr>
            <m:ctrlPr>
              <w:rPr>
                <w:rFonts w:ascii="Cambria Math" w:hAnsi="Cambria Math"/>
              </w:rPr>
            </m:ctrlPr>
          </m:sSubPr>
          <m:e>
            <m:r>
              <w:rPr>
                <w:rFonts w:ascii="Cambria Math" w:hAnsi="Cambria Math"/>
              </w:rPr>
              <m:t>S</m:t>
            </m:r>
          </m:e>
          <m:sub>
            <m:r>
              <w:rPr>
                <w:rFonts w:ascii="Cambria Math" w:hAnsi="Cambria Math"/>
              </w:rPr>
              <m:t>e</m:t>
            </m:r>
          </m:sub>
        </m:sSub>
        <m:d>
          <m:dPr>
            <m:ctrlPr>
              <w:rPr>
                <w:rFonts w:ascii="Cambria Math" w:hAnsi="Cambria Math"/>
              </w:rPr>
            </m:ctrlPr>
          </m:dPr>
          <m:e>
            <m:sSub>
              <m:sSubPr>
                <m:ctrlPr>
                  <w:rPr>
                    <w:rFonts w:ascii="Cambria Math" w:hAnsi="Cambria Math"/>
                  </w:rPr>
                </m:ctrlPr>
              </m:sSubPr>
              <m:e>
                <m:r>
                  <w:rPr>
                    <w:rFonts w:ascii="Cambria Math" w:hAnsi="Cambria Math"/>
                  </w:rPr>
                  <m:t>T</m:t>
                </m:r>
              </m:e>
              <m:sub>
                <m:r>
                  <m:rPr>
                    <m:sty m:val="p"/>
                  </m:rPr>
                  <w:rPr>
                    <w:rFonts w:ascii="Cambria Math" w:hAnsi="Cambria Math"/>
                  </w:rPr>
                  <m:t>eff 1</m:t>
                </m:r>
              </m:sub>
            </m:sSub>
            <m:r>
              <w:rPr>
                <w:rFonts w:ascii="Cambria Math" w:hAnsi="Cambria Math"/>
              </w:rPr>
              <m:t>,5%</m:t>
            </m:r>
          </m:e>
        </m:d>
        <m:r>
          <w:rPr>
            <w:rFonts w:ascii="Cambria Math" w:hAnsi="Cambria Math"/>
          </w:rPr>
          <m:t> η</m:t>
        </m:r>
        <m:d>
          <m:dPr>
            <m:ctrlPr>
              <w:rPr>
                <w:rFonts w:ascii="Cambria Math" w:hAnsi="Cambria Math"/>
              </w:rPr>
            </m:ctrlPr>
          </m:dPr>
          <m:e>
            <m:sSub>
              <m:sSubPr>
                <m:ctrlPr>
                  <w:rPr>
                    <w:rFonts w:ascii="Cambria Math" w:hAnsi="Cambria Math"/>
                  </w:rPr>
                </m:ctrlPr>
              </m:sSubPr>
              <m:e>
                <m:r>
                  <w:rPr>
                    <w:rFonts w:ascii="Cambria Math" w:hAnsi="Cambria Math"/>
                  </w:rPr>
                  <m:t>T</m:t>
                </m:r>
              </m:e>
              <m:sub>
                <m:r>
                  <m:rPr>
                    <m:sty m:val="p"/>
                  </m:rPr>
                  <w:rPr>
                    <w:rFonts w:ascii="Cambria Math" w:hAnsi="Cambria Math"/>
                  </w:rPr>
                  <m:t>eff 1</m:t>
                </m:r>
              </m:sub>
            </m:sSub>
            <m:r>
              <w:rPr>
                <w:rFonts w:ascii="Cambria Math" w:hAnsi="Cambria Math"/>
              </w:rPr>
              <m:t>,</m:t>
            </m:r>
            <m:sSub>
              <m:sSubPr>
                <m:ctrlPr>
                  <w:rPr>
                    <w:rFonts w:ascii="Cambria Math" w:hAnsi="Cambria Math"/>
                  </w:rPr>
                </m:ctrlPr>
              </m:sSubPr>
              <m:e>
                <m:r>
                  <w:rPr>
                    <w:rFonts w:ascii="Cambria Math" w:hAnsi="Cambria Math"/>
                  </w:rPr>
                  <m:t>ξ</m:t>
                </m:r>
              </m:e>
              <m:sub>
                <m:r>
                  <m:rPr>
                    <m:sty m:val="p"/>
                  </m:rPr>
                  <w:rPr>
                    <w:rFonts w:ascii="Cambria Math" w:hAnsi="Cambria Math"/>
                  </w:rPr>
                  <m:t>eff 1</m:t>
                </m:r>
              </m:sub>
            </m:sSub>
          </m:e>
        </m:d>
      </m:oMath>
      <w:r w:rsidR="00CF06C7" w:rsidRPr="00870D59">
        <w:tab/>
        <w:t>(</w:t>
      </w:r>
      <w:r w:rsidR="00CF06C7">
        <w:t>9</w:t>
      </w:r>
      <w:r w:rsidR="00CF06C7" w:rsidRPr="00870D59">
        <w:t>.</w:t>
      </w:r>
      <w:r w:rsidR="002675C1">
        <w:t>5</w:t>
      </w:r>
      <w:r w:rsidR="00CF06C7" w:rsidRPr="00870D59">
        <w:t>)</w:t>
      </w:r>
    </w:p>
    <w:p w14:paraId="69C6874A" w14:textId="6A0CA75C" w:rsidR="00CF06C7" w:rsidRDefault="00CF06C7" w:rsidP="002D0B58">
      <w:pPr>
        <w:pStyle w:val="Text"/>
      </w:pPr>
      <w:r>
        <w:t>where</w:t>
      </w:r>
    </w:p>
    <w:tbl>
      <w:tblPr>
        <w:tblW w:w="0" w:type="auto"/>
        <w:tblInd w:w="346" w:type="dxa"/>
        <w:tblLook w:val="04A0" w:firstRow="1" w:lastRow="0" w:firstColumn="1" w:lastColumn="0" w:noHBand="0" w:noVBand="1"/>
      </w:tblPr>
      <w:tblGrid>
        <w:gridCol w:w="1350"/>
        <w:gridCol w:w="7867"/>
      </w:tblGrid>
      <w:tr w:rsidR="00CF06C7" w:rsidRPr="00870D59" w14:paraId="58579C25" w14:textId="77777777" w:rsidTr="006C6A44">
        <w:tc>
          <w:tcPr>
            <w:tcW w:w="1350" w:type="dxa"/>
            <w:shd w:val="clear" w:color="auto" w:fill="auto"/>
          </w:tcPr>
          <w:p w14:paraId="00411880" w14:textId="569CAA64" w:rsidR="00CF06C7" w:rsidRPr="00523AC3" w:rsidRDefault="00CF06C7" w:rsidP="002061E5">
            <w:pPr>
              <w:pStyle w:val="Tablebody"/>
              <w:rPr>
                <w:i/>
                <w:iCs/>
              </w:rPr>
            </w:pPr>
            <w:r w:rsidRPr="00D1484A">
              <w:rPr>
                <w:i/>
              </w:rPr>
              <w:t>m</w:t>
            </w:r>
            <w:r w:rsidRPr="007E6F67">
              <w:rPr>
                <w:vertAlign w:val="subscript"/>
              </w:rPr>
              <w:t>eff 1</w:t>
            </w:r>
          </w:p>
        </w:tc>
        <w:tc>
          <w:tcPr>
            <w:tcW w:w="7867" w:type="dxa"/>
          </w:tcPr>
          <w:p w14:paraId="5C558837" w14:textId="057501DB" w:rsidR="00CF06C7" w:rsidRPr="00303F71" w:rsidRDefault="00CF06C7" w:rsidP="002061E5">
            <w:pPr>
              <w:pStyle w:val="Tablebody"/>
            </w:pPr>
            <w:r w:rsidRPr="00E05E29">
              <w:t>is the first mode effective mass of the structure with energy dissipation system in the elastic range, in the direction under consideration;</w:t>
            </w:r>
          </w:p>
        </w:tc>
      </w:tr>
      <w:tr w:rsidR="00CF06C7" w:rsidRPr="00870D59" w14:paraId="3152A25B" w14:textId="77777777" w:rsidTr="006C6A44">
        <w:tc>
          <w:tcPr>
            <w:tcW w:w="1350" w:type="dxa"/>
            <w:shd w:val="clear" w:color="auto" w:fill="auto"/>
          </w:tcPr>
          <w:p w14:paraId="340E0A77" w14:textId="32555674" w:rsidR="00CF06C7" w:rsidRPr="00325DC7" w:rsidRDefault="00CF06C7" w:rsidP="002061E5">
            <w:pPr>
              <w:pStyle w:val="Tablebody"/>
              <w:rPr>
                <w:i/>
              </w:rPr>
            </w:pPr>
            <w:r w:rsidRPr="00E05E29">
              <w:rPr>
                <w:i/>
              </w:rPr>
              <w:t>S</w:t>
            </w:r>
            <w:r w:rsidRPr="00E05E29">
              <w:rPr>
                <w:vertAlign w:val="subscript"/>
              </w:rPr>
              <w:t>e</w:t>
            </w:r>
            <w:r w:rsidRPr="00E05E29">
              <w:t>(</w:t>
            </w:r>
            <w:r w:rsidRPr="00E05E29">
              <w:rPr>
                <w:i/>
              </w:rPr>
              <w:t>T</w:t>
            </w:r>
            <w:r w:rsidRPr="00E05E29">
              <w:rPr>
                <w:vertAlign w:val="subscript"/>
              </w:rPr>
              <w:t>eff 1</w:t>
            </w:r>
            <w:r w:rsidRPr="00E05E29">
              <w:t>, 5</w:t>
            </w:r>
            <w:r w:rsidRPr="00E05E29">
              <w:rPr>
                <w:i/>
              </w:rPr>
              <w:t>%</w:t>
            </w:r>
            <w:r w:rsidRPr="00E05E29">
              <w:t>)</w:t>
            </w:r>
          </w:p>
        </w:tc>
        <w:tc>
          <w:tcPr>
            <w:tcW w:w="7867" w:type="dxa"/>
          </w:tcPr>
          <w:p w14:paraId="19B43499" w14:textId="24DC116E" w:rsidR="00CF06C7" w:rsidRPr="00870D59" w:rsidRDefault="00CF06C7" w:rsidP="002061E5">
            <w:pPr>
              <w:pStyle w:val="Tablebody"/>
            </w:pPr>
            <w:r w:rsidRPr="00E05E29">
              <w:t>is the spectral acceleration value</w:t>
            </w:r>
            <w:r w:rsidRPr="00E05E29" w:rsidDel="000049E9">
              <w:t xml:space="preserve"> </w:t>
            </w:r>
            <w:r w:rsidRPr="00E05E29">
              <w:t>of the 5</w:t>
            </w:r>
            <w:r w:rsidR="006C6A44">
              <w:t> </w:t>
            </w:r>
            <w:r w:rsidRPr="00E05E29">
              <w:t xml:space="preserve">% damped elastic acceleration response spectrum given in </w:t>
            </w:r>
            <w:r>
              <w:t>prEN</w:t>
            </w:r>
            <w:r w:rsidR="002D0B58">
              <w:t> </w:t>
            </w:r>
            <w:r>
              <w:t>1998-1-1:2022</w:t>
            </w:r>
            <w:r w:rsidRPr="002D0B58">
              <w:t>, 5.2.2.2(1), corresponding</w:t>
            </w:r>
            <w:r w:rsidRPr="00E05E29">
              <w:t xml:space="preserve"> to period </w:t>
            </w:r>
            <w:r w:rsidRPr="00E05E29">
              <w:rPr>
                <w:i/>
              </w:rPr>
              <w:t>T</w:t>
            </w:r>
            <w:r w:rsidRPr="00E05E29">
              <w:rPr>
                <w:vertAlign w:val="subscript"/>
              </w:rPr>
              <w:t>eff 1</w:t>
            </w:r>
            <w:r w:rsidRPr="00E05E29">
              <w:t>.</w:t>
            </w:r>
          </w:p>
        </w:tc>
      </w:tr>
    </w:tbl>
    <w:p w14:paraId="179037C3" w14:textId="57C19BB4" w:rsidR="00CF06C7" w:rsidRPr="00E05E29" w:rsidRDefault="00CF06C7" w:rsidP="00CF06C7">
      <w:pPr>
        <w:pStyle w:val="note1"/>
        <w:rPr>
          <w:rFonts w:eastAsiaTheme="minorEastAsia"/>
        </w:rPr>
      </w:pPr>
      <w:r w:rsidRPr="00E05E29">
        <w:t>NOTE</w:t>
      </w:r>
      <w:r w:rsidRPr="00E05E29">
        <w:tab/>
        <w:t>To obtain the response in the first mode, the structure is ideal</w:t>
      </w:r>
      <w:r w:rsidR="00E10A24">
        <w:t>ize</w:t>
      </w:r>
      <w:r w:rsidRPr="00E05E29">
        <w:t xml:space="preserve">d with an equivalent SDOF system of period </w:t>
      </w:r>
      <w:r w:rsidRPr="00E05E29">
        <w:rPr>
          <w:i/>
        </w:rPr>
        <w:t>T</w:t>
      </w:r>
      <w:r w:rsidRPr="00E05E29">
        <w:rPr>
          <w:vertAlign w:val="subscript"/>
        </w:rPr>
        <w:t>eff 1</w:t>
      </w:r>
      <w:r w:rsidRPr="00E05E29">
        <w:rPr>
          <w:i/>
        </w:rPr>
        <w:t xml:space="preserve"> </w:t>
      </w:r>
      <w:r w:rsidRPr="00E05E29">
        <w:t xml:space="preserve">and damping ratio </w:t>
      </w:r>
      <w:r w:rsidRPr="00E05E29">
        <w:rPr>
          <w:rFonts w:ascii="Symbol" w:eastAsia="Symbol" w:hAnsi="Symbol" w:cs="Symbol"/>
          <w:i/>
        </w:rPr>
        <w:t></w:t>
      </w:r>
      <w:r w:rsidRPr="00E05E29">
        <w:rPr>
          <w:vertAlign w:val="subscript"/>
        </w:rPr>
        <w:t>eff 1</w:t>
      </w:r>
      <w:r w:rsidRPr="00E05E29">
        <w:t xml:space="preserve">. </w:t>
      </w:r>
      <w:r w:rsidRPr="00E05E29">
        <w:rPr>
          <w:i/>
        </w:rPr>
        <w:t>T</w:t>
      </w:r>
      <w:r w:rsidRPr="00E05E29">
        <w:rPr>
          <w:vertAlign w:val="subscript"/>
        </w:rPr>
        <w:t>eff 1</w:t>
      </w:r>
      <w:r w:rsidRPr="00E05E29">
        <w:rPr>
          <w:i/>
          <w:vertAlign w:val="subscript"/>
        </w:rPr>
        <w:t xml:space="preserve"> </w:t>
      </w:r>
      <w:r w:rsidRPr="00E05E29">
        <w:t xml:space="preserve">is associated with a secant stiffness </w:t>
      </w:r>
      <w:r w:rsidRPr="00E05E29">
        <w:rPr>
          <w:i/>
        </w:rPr>
        <w:t>k</w:t>
      </w:r>
      <w:r w:rsidRPr="00E05E29">
        <w:rPr>
          <w:vertAlign w:val="subscript"/>
        </w:rPr>
        <w:t>eff</w:t>
      </w:r>
      <w:r w:rsidRPr="00E05E29">
        <w:rPr>
          <w:i/>
        </w:rPr>
        <w:t xml:space="preserve"> </w:t>
      </w:r>
      <w:r w:rsidRPr="00E05E29">
        <w:t xml:space="preserve">determined from the capacity curve of the structure determined as described in </w:t>
      </w:r>
      <w:r>
        <w:t>prEN</w:t>
      </w:r>
      <w:r w:rsidR="002D0B58">
        <w:t> </w:t>
      </w:r>
      <w:r>
        <w:t>1998-1-1:2022</w:t>
      </w:r>
      <w:r w:rsidRPr="002D0B58">
        <w:t>, 6.5.2, with</w:t>
      </w:r>
      <w:r w:rsidRPr="00E05E29">
        <w:t xml:space="preserve"> the control node located at roof level. </w:t>
      </w:r>
      <w:r w:rsidRPr="00E05E29">
        <w:rPr>
          <w:rFonts w:eastAsiaTheme="minorEastAsia"/>
          <w:i/>
        </w:rPr>
        <w:t>d</w:t>
      </w:r>
      <w:r w:rsidRPr="00E05E29">
        <w:rPr>
          <w:rFonts w:eastAsiaTheme="minorEastAsia"/>
          <w:vertAlign w:val="subscript"/>
        </w:rPr>
        <w:t>roof 1</w:t>
      </w:r>
      <w:r w:rsidRPr="00E05E29">
        <w:rPr>
          <w:rFonts w:eastAsiaTheme="minorEastAsia"/>
        </w:rPr>
        <w:t xml:space="preserve"> is the (target) displacement of the capacity curve associated with </w:t>
      </w:r>
      <w:r w:rsidRPr="00E05E29">
        <w:rPr>
          <w:i/>
        </w:rPr>
        <w:t>k</w:t>
      </w:r>
      <w:r w:rsidRPr="00E05E29">
        <w:rPr>
          <w:vertAlign w:val="subscript"/>
        </w:rPr>
        <w:t>eff</w:t>
      </w:r>
      <w:r w:rsidRPr="00E05E29">
        <w:t>.</w:t>
      </w:r>
      <w:r w:rsidRPr="00E05E29">
        <w:rPr>
          <w:rFonts w:eastAsiaTheme="minorEastAsia"/>
        </w:rPr>
        <w:t xml:space="preserve"> The iteration is needed due to the fact that </w:t>
      </w:r>
      <w:r w:rsidRPr="00E05E29">
        <w:rPr>
          <w:i/>
        </w:rPr>
        <w:t>T</w:t>
      </w:r>
      <w:r w:rsidRPr="00E05E29">
        <w:rPr>
          <w:vertAlign w:val="subscript"/>
        </w:rPr>
        <w:t>eff 1</w:t>
      </w:r>
      <w:r w:rsidRPr="00E05E29">
        <w:t xml:space="preserve"> and </w:t>
      </w:r>
      <w:r w:rsidRPr="00E05E29">
        <w:rPr>
          <w:rFonts w:ascii="Symbol" w:eastAsia="Symbol" w:hAnsi="Symbol" w:cs="Symbol"/>
          <w:i/>
        </w:rPr>
        <w:t></w:t>
      </w:r>
      <w:r w:rsidRPr="00E05E29">
        <w:rPr>
          <w:vertAlign w:val="subscript"/>
        </w:rPr>
        <w:t>eff 1</w:t>
      </w:r>
      <w:r w:rsidRPr="00E05E29">
        <w:t xml:space="preserve"> depend on the ductility ratio </w:t>
      </w:r>
      <w:r w:rsidRPr="00E05E29">
        <w:rPr>
          <w:rFonts w:ascii="Symbol" w:hAnsi="Symbol"/>
          <w:i/>
        </w:rPr>
        <w:t></w:t>
      </w:r>
      <w:r w:rsidRPr="00E05E29">
        <w:rPr>
          <w:vertAlign w:val="subscript"/>
        </w:rPr>
        <w:t>f</w:t>
      </w:r>
      <w:r w:rsidRPr="00E05E29">
        <w:t>.</w:t>
      </w:r>
    </w:p>
    <w:p w14:paraId="12B7F7F4" w14:textId="16E217FA" w:rsidR="00CF06C7" w:rsidRPr="00E05E29" w:rsidRDefault="00CF06C7" w:rsidP="00CF06C7">
      <w:pPr>
        <w:pStyle w:val="Heading5"/>
      </w:pPr>
      <w:r w:rsidRPr="00E05E29">
        <w:tab/>
      </w:r>
      <w:bookmarkStart w:id="1183" w:name="_Toc108342304"/>
      <w:r w:rsidRPr="00E05E29">
        <w:t>Maximum response displacement</w:t>
      </w:r>
      <w:bookmarkEnd w:id="1183"/>
    </w:p>
    <w:p w14:paraId="36B00363" w14:textId="1FABF675" w:rsidR="00CF06C7" w:rsidRPr="00E05E29" w:rsidRDefault="00CF06C7" w:rsidP="0080187E">
      <w:pPr>
        <w:pStyle w:val="Clause"/>
        <w:numPr>
          <w:ilvl w:val="0"/>
          <w:numId w:val="286"/>
        </w:numPr>
      </w:pPr>
      <w:r w:rsidRPr="00E05E29">
        <w:t xml:space="preserve">The maximum horizontal displacements at </w:t>
      </w:r>
      <w:r w:rsidRPr="00E748C0">
        <w:rPr>
          <w:i/>
        </w:rPr>
        <w:t>i</w:t>
      </w:r>
      <w:r w:rsidRPr="00E05E29">
        <w:t>-th floor relative to the ground, in the direction under consideration, should be calculated with Formula (9.6).</w:t>
      </w:r>
    </w:p>
    <w:p w14:paraId="1EB01190" w14:textId="053E337E" w:rsidR="002675C1" w:rsidRPr="00870D59" w:rsidRDefault="009B5CEC" w:rsidP="002675C1">
      <w:pPr>
        <w:pStyle w:val="Formula"/>
      </w:pPr>
      <m:oMath>
        <m:sSub>
          <m:sSubPr>
            <m:ctrlPr>
              <w:rPr>
                <w:rFonts w:ascii="Cambria Math" w:hAnsi="Cambria Math"/>
              </w:rPr>
            </m:ctrlPr>
          </m:sSubPr>
          <m:e>
            <m:r>
              <w:rPr>
                <w:rFonts w:ascii="Cambria Math" w:hAnsi="Cambria Math"/>
              </w:rPr>
              <m:t>d</m:t>
            </m:r>
          </m:e>
          <m:sub>
            <m:r>
              <m:rPr>
                <m:sty m:val="p"/>
              </m:rPr>
              <w:rPr>
                <w:rFonts w:ascii="Cambria Math" w:hAnsi="Cambria Math"/>
              </w:rPr>
              <m:t>i1</m:t>
            </m:r>
          </m:sub>
        </m:sSub>
        <m:r>
          <w:rPr>
            <w:rFonts w:ascii="Cambria Math" w:hAnsi="Cambria Math"/>
          </w:rPr>
          <m:t>=max⁡{</m:t>
        </m:r>
        <m:sSub>
          <m:sSubPr>
            <m:ctrlPr>
              <w:rPr>
                <w:rFonts w:ascii="Cambria Math" w:hAnsi="Cambria Math"/>
              </w:rPr>
            </m:ctrlPr>
          </m:sSubPr>
          <m:e>
            <m:r>
              <w:rPr>
                <w:rFonts w:ascii="Cambria Math" w:hAnsi="Cambria Math"/>
              </w:rPr>
              <m:t>d</m:t>
            </m:r>
          </m:e>
          <m:sub>
            <m:r>
              <m:rPr>
                <m:sty m:val="p"/>
              </m:rPr>
              <w:rPr>
                <w:rFonts w:ascii="Cambria Math" w:hAnsi="Cambria Math"/>
              </w:rPr>
              <m:t>roof1</m:t>
            </m:r>
          </m:sub>
        </m:sSub>
        <m:r>
          <w:rPr>
            <w:rFonts w:ascii="Cambria Math" w:hAnsi="Cambria Math"/>
          </w:rPr>
          <m:t>,</m:t>
        </m:r>
        <m:sSub>
          <m:sSubPr>
            <m:ctrlPr>
              <w:rPr>
                <w:rFonts w:ascii="Cambria Math" w:hAnsi="Cambria Math"/>
              </w:rPr>
            </m:ctrlPr>
          </m:sSubPr>
          <m:e>
            <m:r>
              <w:rPr>
                <w:rFonts w:ascii="Cambria Math" w:hAnsi="Cambria Math"/>
              </w:rPr>
              <m:t>d</m:t>
            </m:r>
          </m:e>
          <m:sub>
            <m:r>
              <m:rPr>
                <m:sty m:val="p"/>
              </m:rPr>
              <w:rPr>
                <w:rFonts w:ascii="Cambria Math" w:hAnsi="Cambria Math"/>
              </w:rPr>
              <m:t>roof1e</m:t>
            </m:r>
          </m:sub>
        </m:sSub>
        <m:r>
          <w:rPr>
            <w:rFonts w:ascii="Cambria Math" w:hAnsi="Cambria Math"/>
          </w:rPr>
          <m:t>}</m:t>
        </m:r>
        <m:sSub>
          <m:sSubPr>
            <m:ctrlPr>
              <w:rPr>
                <w:rFonts w:ascii="Cambria Math" w:hAnsi="Cambria Math"/>
              </w:rPr>
            </m:ctrlPr>
          </m:sSubPr>
          <m:e>
            <m:r>
              <w:rPr>
                <w:rFonts w:ascii="Cambria Math" w:hAnsi="Cambria Math"/>
              </w:rPr>
              <m:t>ϕ</m:t>
            </m:r>
          </m:e>
          <m:sub>
            <m:r>
              <m:rPr>
                <m:sty m:val="p"/>
              </m:rPr>
              <w:rPr>
                <w:rFonts w:ascii="Cambria Math" w:hAnsi="Cambria Math"/>
              </w:rPr>
              <m:t>i1</m:t>
            </m:r>
          </m:sub>
        </m:sSub>
      </m:oMath>
      <w:r w:rsidR="002675C1" w:rsidRPr="00870D59">
        <w:tab/>
        <w:t>(</w:t>
      </w:r>
      <w:r w:rsidR="002675C1">
        <w:t>9</w:t>
      </w:r>
      <w:r w:rsidR="002675C1" w:rsidRPr="00870D59">
        <w:t>.</w:t>
      </w:r>
      <w:r w:rsidR="002675C1">
        <w:t>6</w:t>
      </w:r>
      <w:r w:rsidR="002675C1" w:rsidRPr="00870D59">
        <w:t>)</w:t>
      </w:r>
    </w:p>
    <w:p w14:paraId="639E7670" w14:textId="027D6A23" w:rsidR="002675C1" w:rsidRDefault="002675C1" w:rsidP="002D0B58">
      <w:pPr>
        <w:pStyle w:val="Text"/>
      </w:pPr>
      <w:r>
        <w:t>where</w:t>
      </w:r>
    </w:p>
    <w:tbl>
      <w:tblPr>
        <w:tblW w:w="0" w:type="auto"/>
        <w:tblInd w:w="346" w:type="dxa"/>
        <w:tblLook w:val="04A0" w:firstRow="1" w:lastRow="0" w:firstColumn="1" w:lastColumn="0" w:noHBand="0" w:noVBand="1"/>
      </w:tblPr>
      <w:tblGrid>
        <w:gridCol w:w="1344"/>
        <w:gridCol w:w="7873"/>
      </w:tblGrid>
      <w:tr w:rsidR="002675C1" w:rsidRPr="00870D59" w14:paraId="35C7464A" w14:textId="77777777" w:rsidTr="006C6A44">
        <w:tc>
          <w:tcPr>
            <w:tcW w:w="1344" w:type="dxa"/>
            <w:shd w:val="clear" w:color="auto" w:fill="auto"/>
          </w:tcPr>
          <w:p w14:paraId="513283B6" w14:textId="0E456604" w:rsidR="002675C1" w:rsidRPr="00523AC3" w:rsidRDefault="002675C1" w:rsidP="002061E5">
            <w:pPr>
              <w:pStyle w:val="Tablebody"/>
              <w:rPr>
                <w:i/>
                <w:iCs/>
              </w:rPr>
            </w:pPr>
            <w:r w:rsidRPr="00D1484A">
              <w:rPr>
                <w:rFonts w:ascii="Symbol" w:eastAsia="Symbol" w:hAnsi="Symbol" w:cs="Symbol"/>
                <w:i/>
              </w:rPr>
              <w:t></w:t>
            </w:r>
            <w:r w:rsidRPr="007E6F67">
              <w:rPr>
                <w:i/>
                <w:vertAlign w:val="subscript"/>
              </w:rPr>
              <w:t>i</w:t>
            </w:r>
            <w:r w:rsidRPr="007E6F67">
              <w:rPr>
                <w:vertAlign w:val="subscript"/>
              </w:rPr>
              <w:t>1</w:t>
            </w:r>
          </w:p>
        </w:tc>
        <w:tc>
          <w:tcPr>
            <w:tcW w:w="7873" w:type="dxa"/>
          </w:tcPr>
          <w:p w14:paraId="19F3B72F" w14:textId="60A0FCF4" w:rsidR="002675C1" w:rsidRPr="00303F71" w:rsidRDefault="002675C1" w:rsidP="002061E5">
            <w:pPr>
              <w:pStyle w:val="Tablebody"/>
            </w:pPr>
            <w:r w:rsidRPr="007E6F67">
              <w:t xml:space="preserve">is the component of the first mode </w:t>
            </w:r>
            <w:r w:rsidRPr="002D0B58">
              <w:t xml:space="preserve">vector </w:t>
            </w:r>
            <w:r w:rsidRPr="002D0B58">
              <w:rPr>
                <w:rFonts w:ascii="Symbol" w:eastAsia="Symbol" w:hAnsi="Symbol" w:cs="Symbol"/>
                <w:i/>
                <w:iCs/>
              </w:rPr>
              <w:t></w:t>
            </w:r>
            <w:r w:rsidRPr="002D0B58">
              <w:rPr>
                <w:vertAlign w:val="subscript"/>
              </w:rPr>
              <w:t>1</w:t>
            </w:r>
            <w:r w:rsidR="002D0B58">
              <w:t xml:space="preserve"> a</w:t>
            </w:r>
            <w:r w:rsidRPr="002D0B58">
              <w:t xml:space="preserve">t the </w:t>
            </w:r>
            <w:r w:rsidRPr="002D0B58">
              <w:rPr>
                <w:i/>
              </w:rPr>
              <w:t>i</w:t>
            </w:r>
            <w:r w:rsidRPr="002D0B58">
              <w:t xml:space="preserve">-th floor of the structure with energy dissipation system in the elastic range, in the direction under consideration; </w:t>
            </w:r>
            <w:r w:rsidRPr="002D0B58">
              <w:rPr>
                <w:rFonts w:ascii="Symbol" w:eastAsia="Symbol" w:hAnsi="Symbol" w:cs="Symbol"/>
                <w:i/>
                <w:iCs/>
              </w:rPr>
              <w:t></w:t>
            </w:r>
            <w:r w:rsidRPr="002D0B58">
              <w:rPr>
                <w:vertAlign w:val="subscript"/>
              </w:rPr>
              <w:t>1</w:t>
            </w:r>
            <w:r w:rsidR="002D0B58">
              <w:t xml:space="preserve"> s</w:t>
            </w:r>
            <w:r w:rsidRPr="002D0B58">
              <w:t>hould be normal</w:t>
            </w:r>
            <w:r w:rsidR="00E10A24">
              <w:t>ize</w:t>
            </w:r>
            <w:r w:rsidRPr="00E05E29">
              <w:t>d so that at roof level the value is unity;</w:t>
            </w:r>
          </w:p>
        </w:tc>
      </w:tr>
      <w:tr w:rsidR="002675C1" w:rsidRPr="00870D59" w14:paraId="43EBC5D3" w14:textId="77777777" w:rsidTr="006C6A44">
        <w:tc>
          <w:tcPr>
            <w:tcW w:w="1344" w:type="dxa"/>
            <w:shd w:val="clear" w:color="auto" w:fill="auto"/>
          </w:tcPr>
          <w:p w14:paraId="38E051E9" w14:textId="476CB476" w:rsidR="002675C1" w:rsidRPr="00325DC7" w:rsidRDefault="002675C1" w:rsidP="002061E5">
            <w:pPr>
              <w:pStyle w:val="Tablebody"/>
              <w:rPr>
                <w:i/>
              </w:rPr>
            </w:pPr>
            <w:r w:rsidRPr="00E05E29">
              <w:rPr>
                <w:i/>
              </w:rPr>
              <w:t>d</w:t>
            </w:r>
            <w:r w:rsidRPr="00E05E29">
              <w:rPr>
                <w:vertAlign w:val="subscript"/>
              </w:rPr>
              <w:t>roof1e</w:t>
            </w:r>
          </w:p>
        </w:tc>
        <w:tc>
          <w:tcPr>
            <w:tcW w:w="7873" w:type="dxa"/>
          </w:tcPr>
          <w:p w14:paraId="10B326FF" w14:textId="15C4F186" w:rsidR="002675C1" w:rsidRPr="00870D59" w:rsidRDefault="002675C1" w:rsidP="002061E5">
            <w:pPr>
              <w:pStyle w:val="Tablebody"/>
            </w:pPr>
            <w:r w:rsidRPr="00E05E29">
              <w:t xml:space="preserve">is defined </w:t>
            </w:r>
            <w:r w:rsidRPr="002D0B58">
              <w:t>in 9.3.2.2.1(1).</w:t>
            </w:r>
          </w:p>
        </w:tc>
      </w:tr>
    </w:tbl>
    <w:p w14:paraId="604CAC76" w14:textId="174142CB" w:rsidR="00E05FFB" w:rsidRPr="00E05E29" w:rsidRDefault="00E05FFB" w:rsidP="0080187E">
      <w:pPr>
        <w:pStyle w:val="Clause"/>
        <w:numPr>
          <w:ilvl w:val="0"/>
          <w:numId w:val="286"/>
        </w:numPr>
      </w:pPr>
      <w:r w:rsidRPr="00E05E29">
        <w:t xml:space="preserve">The design lateral force at </w:t>
      </w:r>
      <w:r w:rsidRPr="004030A7">
        <w:rPr>
          <w:i/>
        </w:rPr>
        <w:t>i</w:t>
      </w:r>
      <w:r w:rsidRPr="00E05E29">
        <w:t>-th floor in the direction under consideration should be calculated using Formula (9.7).</w:t>
      </w:r>
    </w:p>
    <w:p w14:paraId="79316032" w14:textId="2D4B232B" w:rsidR="00E05FFB" w:rsidRPr="00870D59" w:rsidRDefault="009B5CEC" w:rsidP="00E05FFB">
      <w:pPr>
        <w:pStyle w:val="Formula"/>
      </w:pPr>
      <m:oMath>
        <m:sSub>
          <m:sSubPr>
            <m:ctrlPr>
              <w:rPr>
                <w:rFonts w:ascii="Cambria Math" w:hAnsi="Cambria Math"/>
              </w:rPr>
            </m:ctrlPr>
          </m:sSubPr>
          <m:e>
            <m:r>
              <w:rPr>
                <w:rFonts w:ascii="Cambria Math" w:hAnsi="Cambria Math"/>
              </w:rPr>
              <m:t>F</m:t>
            </m:r>
          </m:e>
          <m:sub>
            <m:r>
              <m:rPr>
                <m:sty m:val="p"/>
              </m:rPr>
              <w:rPr>
                <w:rFonts w:ascii="Cambria Math" w:hAnsi="Cambria Math"/>
              </w:rPr>
              <m:t>i1</m:t>
            </m:r>
          </m:sub>
        </m:sSub>
        <m:r>
          <w:rPr>
            <w:rFonts w:ascii="Cambria Math" w:hAnsi="Cambria Math"/>
          </w:rPr>
          <m:t>=</m:t>
        </m:r>
        <m:sSub>
          <m:sSubPr>
            <m:ctrlPr>
              <w:rPr>
                <w:rFonts w:ascii="Cambria Math" w:hAnsi="Cambria Math"/>
              </w:rPr>
            </m:ctrlPr>
          </m:sSubPr>
          <m:e>
            <m:r>
              <w:rPr>
                <w:rFonts w:ascii="Cambria Math" w:hAnsi="Cambria Math"/>
              </w:rPr>
              <m:t>m</m:t>
            </m:r>
          </m:e>
          <m:sub>
            <m:r>
              <m:rPr>
                <m:sty m:val="p"/>
              </m:rPr>
              <w:rPr>
                <w:rFonts w:ascii="Cambria Math" w:hAnsi="Cambria Math"/>
              </w:rPr>
              <m:t>i</m:t>
            </m:r>
          </m:sub>
        </m:sSub>
        <m:sSub>
          <m:sSubPr>
            <m:ctrlPr>
              <w:rPr>
                <w:rFonts w:ascii="Cambria Math" w:hAnsi="Cambria Math"/>
              </w:rPr>
            </m:ctrlPr>
          </m:sSubPr>
          <m:e>
            <m:r>
              <w:rPr>
                <w:rFonts w:ascii="Cambria Math" w:hAnsi="Cambria Math"/>
              </w:rPr>
              <m:t xml:space="preserve"> ϕ</m:t>
            </m:r>
          </m:e>
          <m:sub>
            <m:r>
              <m:rPr>
                <m:sty m:val="p"/>
              </m:rPr>
              <w:rPr>
                <w:rFonts w:ascii="Cambria Math" w:hAnsi="Cambria Math"/>
              </w:rPr>
              <m:t>i1</m:t>
            </m:r>
          </m:sub>
        </m:sSub>
        <m:sSub>
          <m:sSubPr>
            <m:ctrlPr>
              <w:rPr>
                <w:rFonts w:ascii="Cambria Math" w:hAnsi="Cambria Math"/>
              </w:rPr>
            </m:ctrlPr>
          </m:sSubPr>
          <m:e>
            <m:r>
              <w:rPr>
                <w:rFonts w:ascii="Cambria Math" w:hAnsi="Cambria Math"/>
              </w:rPr>
              <m:t>Γ</m:t>
            </m:r>
          </m:e>
          <m:sub>
            <m:r>
              <w:rPr>
                <w:rFonts w:ascii="Cambria Math" w:hAnsi="Cambria Math"/>
              </w:rPr>
              <m:t>1</m:t>
            </m:r>
          </m:sub>
        </m:sSub>
        <m:sSub>
          <m:sSubPr>
            <m:ctrlPr>
              <w:rPr>
                <w:rFonts w:ascii="Cambria Math" w:hAnsi="Cambria Math"/>
              </w:rPr>
            </m:ctrlPr>
          </m:sSubPr>
          <m:e>
            <m:r>
              <w:rPr>
                <w:rFonts w:ascii="Cambria Math" w:hAnsi="Cambria Math"/>
              </w:rPr>
              <m:t>S</m:t>
            </m:r>
          </m:e>
          <m:sub>
            <m:r>
              <m:rPr>
                <m:sty m:val="p"/>
              </m:rPr>
              <w:rPr>
                <w:rFonts w:ascii="Cambria Math" w:hAnsi="Cambria Math"/>
              </w:rPr>
              <m:t>e</m:t>
            </m:r>
          </m:sub>
        </m:sSub>
        <m:d>
          <m:dPr>
            <m:ctrlPr>
              <w:rPr>
                <w:rFonts w:ascii="Cambria Math" w:hAnsi="Cambria Math"/>
              </w:rPr>
            </m:ctrlPr>
          </m:dPr>
          <m:e>
            <m:sSub>
              <m:sSubPr>
                <m:ctrlPr>
                  <w:rPr>
                    <w:rFonts w:ascii="Cambria Math" w:hAnsi="Cambria Math"/>
                  </w:rPr>
                </m:ctrlPr>
              </m:sSubPr>
              <m:e>
                <m:r>
                  <w:rPr>
                    <w:rFonts w:ascii="Cambria Math" w:hAnsi="Cambria Math"/>
                  </w:rPr>
                  <m:t>T</m:t>
                </m:r>
              </m:e>
              <m:sub>
                <m:r>
                  <m:rPr>
                    <m:sty m:val="p"/>
                  </m:rPr>
                  <w:rPr>
                    <w:rFonts w:ascii="Cambria Math" w:hAnsi="Cambria Math"/>
                  </w:rPr>
                  <m:t>eff 1</m:t>
                </m:r>
              </m:sub>
            </m:sSub>
            <m:r>
              <w:rPr>
                <w:rFonts w:ascii="Cambria Math" w:hAnsi="Cambria Math"/>
              </w:rPr>
              <m:t>,5%</m:t>
            </m:r>
          </m:e>
        </m:d>
        <m:r>
          <w:rPr>
            <w:rFonts w:ascii="Cambria Math" w:hAnsi="Cambria Math"/>
          </w:rPr>
          <m:t> η</m:t>
        </m:r>
        <m:d>
          <m:dPr>
            <m:ctrlPr>
              <w:rPr>
                <w:rFonts w:ascii="Cambria Math" w:hAnsi="Cambria Math"/>
              </w:rPr>
            </m:ctrlPr>
          </m:dPr>
          <m:e>
            <m:sSub>
              <m:sSubPr>
                <m:ctrlPr>
                  <w:rPr>
                    <w:rFonts w:ascii="Cambria Math" w:hAnsi="Cambria Math"/>
                  </w:rPr>
                </m:ctrlPr>
              </m:sSubPr>
              <m:e>
                <m:r>
                  <w:rPr>
                    <w:rFonts w:ascii="Cambria Math" w:hAnsi="Cambria Math"/>
                  </w:rPr>
                  <m:t>T</m:t>
                </m:r>
              </m:e>
              <m:sub>
                <m:r>
                  <m:rPr>
                    <m:sty m:val="p"/>
                  </m:rPr>
                  <w:rPr>
                    <w:rFonts w:ascii="Cambria Math" w:hAnsi="Cambria Math"/>
                  </w:rPr>
                  <m:t>eff 1</m:t>
                </m:r>
              </m:sub>
            </m:sSub>
            <m:r>
              <w:rPr>
                <w:rFonts w:ascii="Cambria Math" w:hAnsi="Cambria Math"/>
              </w:rPr>
              <m:t>,</m:t>
            </m:r>
            <m:sSub>
              <m:sSubPr>
                <m:ctrlPr>
                  <w:rPr>
                    <w:rFonts w:ascii="Cambria Math" w:hAnsi="Cambria Math"/>
                  </w:rPr>
                </m:ctrlPr>
              </m:sSubPr>
              <m:e>
                <m:r>
                  <w:rPr>
                    <w:rFonts w:ascii="Cambria Math" w:hAnsi="Cambria Math"/>
                  </w:rPr>
                  <m:t>ξ</m:t>
                </m:r>
              </m:e>
              <m:sub>
                <m:r>
                  <m:rPr>
                    <m:sty m:val="p"/>
                  </m:rPr>
                  <w:rPr>
                    <w:rFonts w:ascii="Cambria Math" w:hAnsi="Cambria Math"/>
                  </w:rPr>
                  <m:t>eff 1</m:t>
                </m:r>
              </m:sub>
            </m:sSub>
          </m:e>
        </m:d>
        <m:r>
          <w:rPr>
            <w:rFonts w:ascii="Cambria Math" w:hAnsi="Cambria Math"/>
          </w:rPr>
          <m:t>/</m:t>
        </m:r>
        <m:sSub>
          <m:sSubPr>
            <m:ctrlPr>
              <w:rPr>
                <w:rFonts w:ascii="Cambria Math" w:hAnsi="Cambria Math"/>
              </w:rPr>
            </m:ctrlPr>
          </m:sSubPr>
          <m:e>
            <m:r>
              <w:rPr>
                <w:rFonts w:ascii="Cambria Math" w:hAnsi="Cambria Math"/>
              </w:rPr>
              <m:t>q</m:t>
            </m:r>
          </m:e>
          <m:sub>
            <m:r>
              <m:rPr>
                <m:sty m:val="p"/>
              </m:rPr>
              <w:rPr>
                <w:rFonts w:ascii="Cambria Math" w:hAnsi="Cambria Math"/>
              </w:rPr>
              <m:t>R</m:t>
            </m:r>
          </m:sub>
        </m:sSub>
        <m:sSub>
          <m:sSubPr>
            <m:ctrlPr>
              <w:rPr>
                <w:rFonts w:ascii="Cambria Math" w:hAnsi="Cambria Math"/>
              </w:rPr>
            </m:ctrlPr>
          </m:sSubPr>
          <m:e>
            <m:r>
              <w:rPr>
                <w:rFonts w:ascii="Cambria Math" w:hAnsi="Cambria Math"/>
              </w:rPr>
              <m:t>q</m:t>
            </m:r>
          </m:e>
          <m:sub>
            <m:r>
              <m:rPr>
                <m:sty m:val="p"/>
              </m:rPr>
              <w:rPr>
                <w:rFonts w:ascii="Cambria Math" w:hAnsi="Cambria Math"/>
              </w:rPr>
              <m:t>S</m:t>
            </m:r>
          </m:sub>
        </m:sSub>
      </m:oMath>
      <w:r w:rsidR="00E05FFB" w:rsidRPr="00870D59">
        <w:tab/>
        <w:t>(</w:t>
      </w:r>
      <w:r w:rsidR="00E05FFB">
        <w:t>9</w:t>
      </w:r>
      <w:r w:rsidR="00E05FFB" w:rsidRPr="00870D59">
        <w:t>.</w:t>
      </w:r>
      <w:r w:rsidR="00E05FFB">
        <w:t>7</w:t>
      </w:r>
      <w:r w:rsidR="00E05FFB" w:rsidRPr="00870D59">
        <w:t>)</w:t>
      </w:r>
    </w:p>
    <w:p w14:paraId="764449E8" w14:textId="205D81E8" w:rsidR="00E05FFB" w:rsidRDefault="00E05FFB" w:rsidP="002D0B58">
      <w:pPr>
        <w:pStyle w:val="Text"/>
      </w:pPr>
      <w:r>
        <w:t>where</w:t>
      </w:r>
    </w:p>
    <w:tbl>
      <w:tblPr>
        <w:tblW w:w="0" w:type="auto"/>
        <w:tblInd w:w="346" w:type="dxa"/>
        <w:tblLook w:val="04A0" w:firstRow="1" w:lastRow="0" w:firstColumn="1" w:lastColumn="0" w:noHBand="0" w:noVBand="1"/>
      </w:tblPr>
      <w:tblGrid>
        <w:gridCol w:w="1342"/>
        <w:gridCol w:w="7875"/>
      </w:tblGrid>
      <w:tr w:rsidR="00E05FFB" w:rsidRPr="00870D59" w14:paraId="16E4AFBC" w14:textId="77777777" w:rsidTr="006C6A44">
        <w:tc>
          <w:tcPr>
            <w:tcW w:w="1342" w:type="dxa"/>
            <w:shd w:val="clear" w:color="auto" w:fill="auto"/>
          </w:tcPr>
          <w:p w14:paraId="34D45147" w14:textId="09A41AF8" w:rsidR="00E05FFB" w:rsidRPr="00523AC3" w:rsidRDefault="00E05FFB" w:rsidP="002061E5">
            <w:pPr>
              <w:pStyle w:val="Tablebody"/>
              <w:rPr>
                <w:i/>
                <w:iCs/>
              </w:rPr>
            </w:pPr>
            <w:r w:rsidRPr="00D1484A">
              <w:rPr>
                <w:i/>
              </w:rPr>
              <w:t>m</w:t>
            </w:r>
            <w:r w:rsidRPr="001C3607">
              <w:rPr>
                <w:iCs/>
                <w:vertAlign w:val="subscript"/>
              </w:rPr>
              <w:t>i</w:t>
            </w:r>
          </w:p>
        </w:tc>
        <w:tc>
          <w:tcPr>
            <w:tcW w:w="7875" w:type="dxa"/>
          </w:tcPr>
          <w:p w14:paraId="503EDE58" w14:textId="2FC10034" w:rsidR="00E05FFB" w:rsidRPr="00303F71" w:rsidRDefault="00E05FFB" w:rsidP="002061E5">
            <w:pPr>
              <w:pStyle w:val="Tablebody"/>
            </w:pPr>
            <w:r w:rsidRPr="00E05E29">
              <w:t xml:space="preserve">is the mass of level </w:t>
            </w:r>
            <w:r w:rsidRPr="00E05E29">
              <w:rPr>
                <w:i/>
              </w:rPr>
              <w:t>i</w:t>
            </w:r>
            <w:r w:rsidRPr="00E05E29">
              <w:t>;</w:t>
            </w:r>
          </w:p>
        </w:tc>
      </w:tr>
      <w:tr w:rsidR="00E05FFB" w:rsidRPr="00870D59" w14:paraId="0A4F1272" w14:textId="77777777" w:rsidTr="006C6A44">
        <w:tc>
          <w:tcPr>
            <w:tcW w:w="1342" w:type="dxa"/>
            <w:shd w:val="clear" w:color="auto" w:fill="auto"/>
          </w:tcPr>
          <w:p w14:paraId="5E368A00" w14:textId="47720AA0" w:rsidR="00E05FFB" w:rsidRPr="00325DC7" w:rsidRDefault="00E05FFB" w:rsidP="002061E5">
            <w:pPr>
              <w:pStyle w:val="Tablebody"/>
              <w:rPr>
                <w:i/>
              </w:rPr>
            </w:pPr>
            <w:r w:rsidRPr="00E05E29">
              <w:rPr>
                <w:i/>
              </w:rPr>
              <w:t>q</w:t>
            </w:r>
            <w:r w:rsidRPr="00E05E29">
              <w:rPr>
                <w:vertAlign w:val="subscript"/>
              </w:rPr>
              <w:t>R</w:t>
            </w:r>
            <w:r w:rsidRPr="00E05E29">
              <w:t xml:space="preserve"> and </w:t>
            </w:r>
            <w:r w:rsidRPr="00E05E29">
              <w:rPr>
                <w:i/>
              </w:rPr>
              <w:t>q</w:t>
            </w:r>
            <w:r w:rsidRPr="00E05E29">
              <w:rPr>
                <w:vertAlign w:val="subscript"/>
              </w:rPr>
              <w:t>S</w:t>
            </w:r>
          </w:p>
        </w:tc>
        <w:tc>
          <w:tcPr>
            <w:tcW w:w="7875" w:type="dxa"/>
          </w:tcPr>
          <w:p w14:paraId="6D58FF82" w14:textId="3EB95161" w:rsidR="00E05FFB" w:rsidRPr="00870D59" w:rsidRDefault="00E05FFB" w:rsidP="002061E5">
            <w:pPr>
              <w:pStyle w:val="Tablebody"/>
            </w:pPr>
            <w:r w:rsidRPr="00E05E29">
              <w:t>are behaviour factor components of the main structural system.</w:t>
            </w:r>
          </w:p>
        </w:tc>
      </w:tr>
    </w:tbl>
    <w:p w14:paraId="01768EE8" w14:textId="77777777" w:rsidR="00E05FFB" w:rsidRPr="00E05E29" w:rsidRDefault="00E05FFB" w:rsidP="00E05FFB">
      <w:pPr>
        <w:pStyle w:val="Notetext"/>
      </w:pPr>
      <w:r w:rsidRPr="00E05E29">
        <w:t>NOTE</w:t>
      </w:r>
      <w:r w:rsidRPr="00E05E29">
        <w:tab/>
        <w:t xml:space="preserve">The forces given by Formula (9.7) are used to calculate the contribution of the first mode to the design value of the </w:t>
      </w:r>
      <w:r w:rsidRPr="002D0B58">
        <w:t>action effects in the primary seismic members of the main structural system at the stage of maximum displacement (see 9.3.2.4 (1)).</w:t>
      </w:r>
    </w:p>
    <w:p w14:paraId="3C550B36" w14:textId="46A795E9" w:rsidR="00E05FFB" w:rsidRPr="00E05E29" w:rsidRDefault="00E05FFB" w:rsidP="0080187E">
      <w:pPr>
        <w:pStyle w:val="Clause"/>
        <w:numPr>
          <w:ilvl w:val="0"/>
          <w:numId w:val="286"/>
        </w:numPr>
      </w:pPr>
      <w:r w:rsidRPr="00E05E29">
        <w:t xml:space="preserve">The axial elastic force component </w:t>
      </w:r>
      <w:r w:rsidRPr="004030A7">
        <w:rPr>
          <w:i/>
        </w:rPr>
        <w:t>N</w:t>
      </w:r>
      <w:r w:rsidRPr="002D0B58">
        <w:rPr>
          <w:vertAlign w:val="subscript"/>
        </w:rPr>
        <w:t>ej</w:t>
      </w:r>
      <w:r w:rsidRPr="004030A7">
        <w:rPr>
          <w:vertAlign w:val="subscript"/>
        </w:rPr>
        <w:t>1</w:t>
      </w:r>
      <w:r w:rsidRPr="00E05E29">
        <w:t xml:space="preserve"> in a viscoelastic-type energy dissipation device </w:t>
      </w:r>
      <w:r w:rsidRPr="004030A7">
        <w:rPr>
          <w:i/>
        </w:rPr>
        <w:t xml:space="preserve">j </w:t>
      </w:r>
      <w:r w:rsidRPr="00E05E29">
        <w:t xml:space="preserve">installed in the </w:t>
      </w:r>
      <w:r w:rsidRPr="004030A7">
        <w:rPr>
          <w:i/>
        </w:rPr>
        <w:t>k</w:t>
      </w:r>
      <w:r w:rsidRPr="00E05E29">
        <w:t>-th storey should be calculated using Formula (9.8).</w:t>
      </w:r>
    </w:p>
    <w:p w14:paraId="2BFE9B50" w14:textId="25DA6CE8" w:rsidR="00E05FFB" w:rsidRPr="00870D59" w:rsidRDefault="009B5CEC" w:rsidP="00E05FFB">
      <w:pPr>
        <w:pStyle w:val="Formula"/>
      </w:pPr>
      <m:oMath>
        <m:sSub>
          <m:sSubPr>
            <m:ctrlPr>
              <w:rPr>
                <w:rFonts w:ascii="Cambria Math" w:hAnsi="Cambria Math"/>
              </w:rPr>
            </m:ctrlPr>
          </m:sSubPr>
          <m:e>
            <m:r>
              <w:rPr>
                <w:rFonts w:ascii="Cambria Math" w:hAnsi="Cambria Math"/>
              </w:rPr>
              <m:t>N</m:t>
            </m:r>
          </m:e>
          <m:sub>
            <m:r>
              <m:rPr>
                <m:sty m:val="p"/>
              </m:rPr>
              <w:rPr>
                <w:rFonts w:ascii="Cambria Math" w:hAnsi="Cambria Math"/>
              </w:rPr>
              <m:t>ej1</m:t>
            </m:r>
          </m:sub>
        </m:sSub>
        <m:r>
          <w:rPr>
            <w:rFonts w:ascii="Cambria Math" w:hAnsi="Cambria Math"/>
          </w:rPr>
          <m:t>=</m:t>
        </m:r>
        <m:sSub>
          <m:sSubPr>
            <m:ctrlPr>
              <w:rPr>
                <w:rFonts w:ascii="Cambria Math" w:hAnsi="Cambria Math"/>
              </w:rPr>
            </m:ctrlPr>
          </m:sSubPr>
          <m:e>
            <m:r>
              <w:rPr>
                <w:rFonts w:ascii="Cambria Math" w:hAnsi="Cambria Math"/>
              </w:rPr>
              <m:t>K</m:t>
            </m:r>
          </m:e>
          <m:sub>
            <m:r>
              <m:rPr>
                <m:sty m:val="p"/>
              </m:rPr>
              <w:rPr>
                <w:rFonts w:ascii="Cambria Math" w:hAnsi="Cambria Math"/>
              </w:rPr>
              <m:t>k,j</m:t>
            </m:r>
          </m:sub>
        </m:sSub>
        <m:sSub>
          <m:sSubPr>
            <m:ctrlPr>
              <w:rPr>
                <w:rFonts w:ascii="Cambria Math" w:hAnsi="Cambria Math"/>
              </w:rPr>
            </m:ctrlPr>
          </m:sSubPr>
          <m:e>
            <m:r>
              <w:rPr>
                <w:rFonts w:ascii="Cambria Math" w:hAnsi="Cambria Math"/>
              </w:rPr>
              <m:t>Δd</m:t>
            </m:r>
          </m:e>
          <m:sub>
            <m:r>
              <m:rPr>
                <m:sty m:val="p"/>
              </m:rPr>
              <w:rPr>
                <w:rFonts w:ascii="Cambria Math" w:hAnsi="Cambria Math"/>
              </w:rPr>
              <m:t>j1</m:t>
            </m:r>
          </m:sub>
        </m:sSub>
      </m:oMath>
      <w:r w:rsidR="00E05FFB">
        <w:rPr>
          <w:rFonts w:eastAsiaTheme="minorEastAsia"/>
        </w:rPr>
        <w:t xml:space="preserve"> </w:t>
      </w:r>
      <w:r w:rsidR="00E05FFB" w:rsidRPr="00870D59">
        <w:tab/>
        <w:t>(</w:t>
      </w:r>
      <w:r w:rsidR="00E05FFB">
        <w:t>9</w:t>
      </w:r>
      <w:r w:rsidR="00E05FFB" w:rsidRPr="00870D59">
        <w:t>.</w:t>
      </w:r>
      <w:r w:rsidR="00E05FFB">
        <w:t>8</w:t>
      </w:r>
      <w:r w:rsidR="00E05FFB" w:rsidRPr="00870D59">
        <w:t>)</w:t>
      </w:r>
    </w:p>
    <w:p w14:paraId="61990A07" w14:textId="3E4D55CF" w:rsidR="00E05FFB" w:rsidRDefault="00E05FFB" w:rsidP="002D0B58">
      <w:pPr>
        <w:pStyle w:val="Text"/>
      </w:pPr>
      <w:r>
        <w:t>where</w:t>
      </w:r>
    </w:p>
    <w:tbl>
      <w:tblPr>
        <w:tblW w:w="0" w:type="auto"/>
        <w:tblInd w:w="346" w:type="dxa"/>
        <w:tblLook w:val="04A0" w:firstRow="1" w:lastRow="0" w:firstColumn="1" w:lastColumn="0" w:noHBand="0" w:noVBand="1"/>
      </w:tblPr>
      <w:tblGrid>
        <w:gridCol w:w="1342"/>
        <w:gridCol w:w="7875"/>
      </w:tblGrid>
      <w:tr w:rsidR="00E05FFB" w:rsidRPr="00870D59" w14:paraId="2A47E5AF" w14:textId="77777777" w:rsidTr="006C6A44">
        <w:tc>
          <w:tcPr>
            <w:tcW w:w="1342" w:type="dxa"/>
            <w:shd w:val="clear" w:color="auto" w:fill="auto"/>
          </w:tcPr>
          <w:p w14:paraId="472290B3" w14:textId="59ACF1DC" w:rsidR="00E05FFB" w:rsidRPr="00523AC3" w:rsidRDefault="00E05FFB" w:rsidP="002061E5">
            <w:pPr>
              <w:pStyle w:val="Tablebody"/>
              <w:rPr>
                <w:i/>
                <w:iCs/>
              </w:rPr>
            </w:pPr>
            <w:r w:rsidRPr="002D0B58">
              <w:rPr>
                <w:rFonts w:ascii="Symbol" w:eastAsia="Symbol" w:hAnsi="Symbol" w:cs="Symbol"/>
                <w:i/>
                <w:iCs/>
              </w:rPr>
              <w:t></w:t>
            </w:r>
            <w:r w:rsidRPr="007E6F67">
              <w:rPr>
                <w:i/>
              </w:rPr>
              <w:t>d</w:t>
            </w:r>
            <w:r w:rsidRPr="005F691E">
              <w:rPr>
                <w:vertAlign w:val="subscript"/>
              </w:rPr>
              <w:t>j1</w:t>
            </w:r>
          </w:p>
        </w:tc>
        <w:tc>
          <w:tcPr>
            <w:tcW w:w="7875" w:type="dxa"/>
          </w:tcPr>
          <w:p w14:paraId="1415FAEC" w14:textId="06F5B68B" w:rsidR="00E05FFB" w:rsidRPr="00303F71" w:rsidRDefault="00E05FFB" w:rsidP="002061E5">
            <w:pPr>
              <w:pStyle w:val="Tablebody"/>
            </w:pPr>
            <w:r w:rsidRPr="00E05E29">
              <w:t>is the relative displacement of the two ends of the energy dissipation device measured along its axis;</w:t>
            </w:r>
          </w:p>
        </w:tc>
      </w:tr>
      <w:tr w:rsidR="00E05FFB" w:rsidRPr="00870D59" w14:paraId="0D6F3259" w14:textId="77777777" w:rsidTr="006C6A44">
        <w:tc>
          <w:tcPr>
            <w:tcW w:w="1342" w:type="dxa"/>
            <w:shd w:val="clear" w:color="auto" w:fill="auto"/>
          </w:tcPr>
          <w:p w14:paraId="23433C06" w14:textId="40FD0299" w:rsidR="00E05FFB" w:rsidRPr="00325DC7" w:rsidRDefault="00E05FFB" w:rsidP="002061E5">
            <w:pPr>
              <w:pStyle w:val="Tablebody"/>
              <w:rPr>
                <w:i/>
              </w:rPr>
            </w:pPr>
            <w:r w:rsidRPr="00E05E29">
              <w:rPr>
                <w:i/>
              </w:rPr>
              <w:t>K</w:t>
            </w:r>
            <w:r w:rsidRPr="005F691E">
              <w:rPr>
                <w:vertAlign w:val="subscript"/>
              </w:rPr>
              <w:t>k,j</w:t>
            </w:r>
          </w:p>
        </w:tc>
        <w:tc>
          <w:tcPr>
            <w:tcW w:w="7875" w:type="dxa"/>
          </w:tcPr>
          <w:p w14:paraId="656276AA" w14:textId="51C60EFD" w:rsidR="00E05FFB" w:rsidRPr="00870D59" w:rsidRDefault="00E05FFB" w:rsidP="002061E5">
            <w:pPr>
              <w:pStyle w:val="Tablebody"/>
            </w:pPr>
            <w:r w:rsidRPr="00E05E29">
              <w:t xml:space="preserve">is the axial elastic storage stiffness component of the viscoelastic energy dissipation device </w:t>
            </w:r>
            <w:r w:rsidRPr="00E05E29">
              <w:rPr>
                <w:i/>
              </w:rPr>
              <w:t>j</w:t>
            </w:r>
            <w:r w:rsidRPr="00E05E29">
              <w:t xml:space="preserve"> installed at the </w:t>
            </w:r>
            <w:r w:rsidRPr="00E05E29">
              <w:rPr>
                <w:i/>
              </w:rPr>
              <w:t>k</w:t>
            </w:r>
            <w:r w:rsidRPr="00E05E29">
              <w:t xml:space="preserve">-th storey, </w:t>
            </w:r>
            <w:r w:rsidRPr="00E05E29">
              <w:rPr>
                <w:szCs w:val="24"/>
              </w:rPr>
              <w:t>corresponding to the first mode of vibration</w:t>
            </w:r>
            <w:r w:rsidRPr="00E05E29">
              <w:t>.</w:t>
            </w:r>
          </w:p>
        </w:tc>
      </w:tr>
    </w:tbl>
    <w:p w14:paraId="7DEB4AF5" w14:textId="627FCBA4" w:rsidR="00E05FFB" w:rsidRDefault="00E05FFB" w:rsidP="00E05FFB">
      <w:pPr>
        <w:pStyle w:val="Notetext"/>
      </w:pPr>
      <w:r w:rsidRPr="00E05FFB">
        <w:t>NOTE</w:t>
      </w:r>
      <w:r w:rsidRPr="00E05FFB">
        <w:tab/>
      </w:r>
      <w:r w:rsidRPr="00E05E29">
        <w:t>The elastic forces in the viscoelastic dampers given by Formula (9.8) are used in conjunction with Formula (9.11) to determine the maximum forces in the dampers. These maximum forces are used to verify the damper</w:t>
      </w:r>
      <w:r w:rsidRPr="00E05FFB">
        <w:t>.</w:t>
      </w:r>
    </w:p>
    <w:p w14:paraId="2A2735E6" w14:textId="7BC1A399" w:rsidR="00E05FFB" w:rsidRPr="00E05E29" w:rsidRDefault="00E05FFB" w:rsidP="00E05FFB">
      <w:pPr>
        <w:pStyle w:val="Heading5"/>
      </w:pPr>
      <w:bookmarkStart w:id="1184" w:name="_Toc108342305"/>
      <w:r w:rsidRPr="00E05E29">
        <w:t>Maximum response velocity</w:t>
      </w:r>
      <w:bookmarkEnd w:id="1184"/>
    </w:p>
    <w:p w14:paraId="1FE40BC8" w14:textId="54EDC489" w:rsidR="00E05FFB" w:rsidRPr="00E05E29" w:rsidRDefault="00E05FFB" w:rsidP="0080187E">
      <w:pPr>
        <w:pStyle w:val="Clause"/>
        <w:numPr>
          <w:ilvl w:val="0"/>
          <w:numId w:val="287"/>
        </w:numPr>
      </w:pPr>
      <w:r w:rsidRPr="00E05E29">
        <w:t xml:space="preserve">The maximum horizontal velocity at a given floor relative to the ground should be calculated by multiplying the maximum horizontal displacement relative to the ground at the same floor </w:t>
      </w:r>
      <w:r w:rsidRPr="00E748C0">
        <w:rPr>
          <w:i/>
        </w:rPr>
        <w:t>d</w:t>
      </w:r>
      <w:r w:rsidRPr="00E748C0">
        <w:rPr>
          <w:i/>
          <w:vertAlign w:val="subscript"/>
        </w:rPr>
        <w:t>i</w:t>
      </w:r>
      <w:r w:rsidRPr="00E748C0">
        <w:rPr>
          <w:vertAlign w:val="subscript"/>
        </w:rPr>
        <w:t>1</w:t>
      </w:r>
      <w:r w:rsidRPr="00E05E29">
        <w:t xml:space="preserve"> </w:t>
      </w:r>
      <w:r w:rsidRPr="00E748C0">
        <w:rPr>
          <w:rFonts w:eastAsiaTheme="minorEastAsia"/>
        </w:rPr>
        <w:t xml:space="preserve">given by Formula (9.6) </w:t>
      </w:r>
      <w:r w:rsidRPr="00E05E29">
        <w:t>by (2</w:t>
      </w:r>
      <w:r w:rsidRPr="00E748C0">
        <w:rPr>
          <w:rFonts w:ascii="Symbol" w:eastAsia="Symbol" w:hAnsi="Symbol" w:cs="Symbol"/>
        </w:rPr>
        <w:t></w:t>
      </w:r>
      <w:r w:rsidRPr="00E05E29">
        <w:t>/</w:t>
      </w:r>
      <w:r w:rsidRPr="00E748C0">
        <w:rPr>
          <w:i/>
        </w:rPr>
        <w:t>T</w:t>
      </w:r>
      <w:r w:rsidRPr="00E748C0">
        <w:rPr>
          <w:vertAlign w:val="subscript"/>
        </w:rPr>
        <w:t>eff 1</w:t>
      </w:r>
      <w:r w:rsidRPr="00E05E29">
        <w:t xml:space="preserve">) and by the correction factor for velocity </w:t>
      </w:r>
      <w:r w:rsidRPr="00E748C0">
        <w:rPr>
          <w:i/>
        </w:rPr>
        <w:t>CFV</w:t>
      </w:r>
      <w:r w:rsidRPr="00E05E29">
        <w:t xml:space="preserve"> given by Formula (9.9).</w:t>
      </w:r>
    </w:p>
    <w:p w14:paraId="77AA700A" w14:textId="6F584178" w:rsidR="00E05FFB" w:rsidRPr="00870D59" w:rsidRDefault="00E05FFB" w:rsidP="00E05FFB">
      <w:pPr>
        <w:pStyle w:val="Formula"/>
      </w:pPr>
      <m:oMath>
        <m:r>
          <w:rPr>
            <w:rFonts w:ascii="Cambria Math" w:hAnsi="Cambria Math"/>
          </w:rPr>
          <m:t>CFV=0,88+1,25 </m:t>
        </m:r>
        <m:sSub>
          <m:sSubPr>
            <m:ctrlPr>
              <w:rPr>
                <w:rFonts w:ascii="Cambria Math" w:hAnsi="Cambria Math"/>
              </w:rPr>
            </m:ctrlPr>
          </m:sSubPr>
          <m:e>
            <m:r>
              <w:rPr>
                <w:rFonts w:ascii="Cambria Math" w:hAnsi="Cambria Math"/>
              </w:rPr>
              <m:t>ξ</m:t>
            </m:r>
          </m:e>
          <m:sub>
            <m:r>
              <m:rPr>
                <m:sty m:val="p"/>
              </m:rPr>
              <w:rPr>
                <w:rFonts w:ascii="Cambria Math" w:hAnsi="Cambria Math"/>
              </w:rPr>
              <m:t>eff 1</m:t>
            </m:r>
          </m:sub>
        </m:sSub>
        <m:r>
          <w:rPr>
            <w:rFonts w:ascii="Cambria Math" w:hAnsi="Cambria Math"/>
          </w:rPr>
          <m:t>-</m:t>
        </m:r>
        <m:d>
          <m:dPr>
            <m:ctrlPr>
              <w:rPr>
                <w:rFonts w:ascii="Cambria Math" w:hAnsi="Cambria Math"/>
              </w:rPr>
            </m:ctrlPr>
          </m:dPr>
          <m:e>
            <m:r>
              <w:rPr>
                <w:rFonts w:ascii="Cambria Math" w:hAnsi="Cambria Math"/>
              </w:rPr>
              <m:t>0,29+1,63 </m:t>
            </m:r>
            <m:sSub>
              <m:sSubPr>
                <m:ctrlPr>
                  <w:rPr>
                    <w:rFonts w:ascii="Cambria Math" w:hAnsi="Cambria Math"/>
                  </w:rPr>
                </m:ctrlPr>
              </m:sSubPr>
              <m:e>
                <m:r>
                  <w:rPr>
                    <w:rFonts w:ascii="Cambria Math" w:hAnsi="Cambria Math"/>
                  </w:rPr>
                  <m:t>ξ</m:t>
                </m:r>
              </m:e>
              <m:sub>
                <m:r>
                  <m:rPr>
                    <m:sty m:val="p"/>
                  </m:rPr>
                  <w:rPr>
                    <w:rFonts w:ascii="Cambria Math" w:hAnsi="Cambria Math"/>
                  </w:rPr>
                  <m:t>eff 1</m:t>
                </m:r>
              </m:sub>
            </m:sSub>
          </m:e>
        </m:d>
        <m:r>
          <w:rPr>
            <w:rFonts w:ascii="Cambria Math" w:hAnsi="Cambria Math"/>
          </w:rPr>
          <m:t> exp</m:t>
        </m:r>
        <m:d>
          <m:dPr>
            <m:ctrlPr>
              <w:rPr>
                <w:rFonts w:ascii="Cambria Math" w:hAnsi="Cambria Math"/>
              </w:rPr>
            </m:ctrlPr>
          </m:dPr>
          <m:e>
            <m:f>
              <m:fPr>
                <m:ctrlPr>
                  <w:rPr>
                    <w:rFonts w:ascii="Cambria Math" w:hAnsi="Cambria Math"/>
                  </w:rPr>
                </m:ctrlPr>
              </m:fPr>
              <m:num>
                <m:r>
                  <w:rPr>
                    <w:rFonts w:ascii="Cambria Math" w:hAnsi="Cambria Math"/>
                  </w:rPr>
                  <m:t>-</m:t>
                </m:r>
                <m:sSub>
                  <m:sSubPr>
                    <m:ctrlPr>
                      <w:rPr>
                        <w:rFonts w:ascii="Cambria Math" w:hAnsi="Cambria Math"/>
                      </w:rPr>
                    </m:ctrlPr>
                  </m:sSubPr>
                  <m:e>
                    <m:r>
                      <w:rPr>
                        <w:rFonts w:ascii="Cambria Math" w:hAnsi="Cambria Math"/>
                      </w:rPr>
                      <m:t>T</m:t>
                    </m:r>
                  </m:e>
                  <m:sub>
                    <m:r>
                      <m:rPr>
                        <m:sty m:val="p"/>
                      </m:rPr>
                      <w:rPr>
                        <w:rFonts w:ascii="Cambria Math" w:hAnsi="Cambria Math"/>
                      </w:rPr>
                      <m:t>eff 1</m:t>
                    </m:r>
                  </m:sub>
                </m:sSub>
              </m:num>
              <m:den>
                <m:r>
                  <w:rPr>
                    <w:rFonts w:ascii="Cambria Math" w:hAnsi="Cambria Math"/>
                  </w:rPr>
                  <m:t>0,75+1,53 </m:t>
                </m:r>
                <m:sSub>
                  <m:sSubPr>
                    <m:ctrlPr>
                      <w:rPr>
                        <w:rFonts w:ascii="Cambria Math" w:hAnsi="Cambria Math"/>
                      </w:rPr>
                    </m:ctrlPr>
                  </m:sSubPr>
                  <m:e>
                    <m:r>
                      <w:rPr>
                        <w:rFonts w:ascii="Cambria Math" w:hAnsi="Cambria Math"/>
                      </w:rPr>
                      <m:t>ξ</m:t>
                    </m:r>
                  </m:e>
                  <m:sub>
                    <m:r>
                      <m:rPr>
                        <m:sty m:val="p"/>
                      </m:rPr>
                      <w:rPr>
                        <w:rFonts w:ascii="Cambria Math" w:hAnsi="Cambria Math"/>
                      </w:rPr>
                      <m:t>eff 1</m:t>
                    </m:r>
                  </m:sub>
                </m:sSub>
              </m:den>
            </m:f>
          </m:e>
        </m:d>
        <m:r>
          <w:rPr>
            <w:rFonts w:ascii="Cambria Math" w:hAnsi="Cambria Math"/>
          </w:rPr>
          <m:t>≥1</m:t>
        </m:r>
      </m:oMath>
      <w:r w:rsidRPr="00870D59">
        <w:tab/>
        <w:t>(</w:t>
      </w:r>
      <w:r>
        <w:t>9</w:t>
      </w:r>
      <w:r w:rsidRPr="00870D59">
        <w:t>.</w:t>
      </w:r>
      <w:r>
        <w:t>9</w:t>
      </w:r>
      <w:r w:rsidRPr="00870D59">
        <w:t>)</w:t>
      </w:r>
    </w:p>
    <w:p w14:paraId="2F695E6C" w14:textId="266210E4" w:rsidR="00E979DE" w:rsidRPr="00E05E29" w:rsidRDefault="00E979DE" w:rsidP="0080187E">
      <w:pPr>
        <w:pStyle w:val="Clause"/>
        <w:numPr>
          <w:ilvl w:val="0"/>
          <w:numId w:val="287"/>
        </w:numPr>
      </w:pPr>
      <w:r w:rsidRPr="00D1484A">
        <w:t xml:space="preserve">The axial viscous damping force component in energy dissipation device </w:t>
      </w:r>
      <w:r w:rsidRPr="004030A7">
        <w:rPr>
          <w:i/>
          <w:iCs/>
        </w:rPr>
        <w:t>j, N</w:t>
      </w:r>
      <w:r w:rsidRPr="004030A7">
        <w:rPr>
          <w:vertAlign w:val="subscript"/>
        </w:rPr>
        <w:t>v</w:t>
      </w:r>
      <w:r w:rsidRPr="004030A7">
        <w:rPr>
          <w:i/>
          <w:iCs/>
          <w:vertAlign w:val="subscript"/>
        </w:rPr>
        <w:t>j</w:t>
      </w:r>
      <w:r w:rsidRPr="004030A7">
        <w:rPr>
          <w:vertAlign w:val="subscript"/>
        </w:rPr>
        <w:t>1</w:t>
      </w:r>
      <w:r w:rsidRPr="00FD17CF">
        <w:t xml:space="preserve">, should be determined </w:t>
      </w:r>
      <w:r w:rsidRPr="00644C3D">
        <w:t xml:space="preserve">using </w:t>
      </w:r>
      <w:r w:rsidRPr="00E05E29">
        <w:t>Formula (9.10).</w:t>
      </w:r>
    </w:p>
    <w:p w14:paraId="6923D508" w14:textId="6E7B95D2" w:rsidR="00E979DE" w:rsidRPr="00870D59" w:rsidRDefault="009B5CEC" w:rsidP="00E979DE">
      <w:pPr>
        <w:pStyle w:val="Formula"/>
      </w:pPr>
      <m:oMath>
        <m:sSub>
          <m:sSubPr>
            <m:ctrlPr>
              <w:rPr>
                <w:rFonts w:ascii="Cambria Math" w:hAnsi="Cambria Math"/>
              </w:rPr>
            </m:ctrlPr>
          </m:sSubPr>
          <m:e>
            <m:r>
              <w:rPr>
                <w:rFonts w:ascii="Cambria Math" w:hAnsi="Cambria Math"/>
              </w:rPr>
              <m:t>N</m:t>
            </m:r>
          </m:e>
          <m:sub>
            <m:r>
              <m:rPr>
                <m:sty m:val="p"/>
              </m:rPr>
              <w:rPr>
                <w:rFonts w:ascii="Cambria Math" w:hAnsi="Cambria Math"/>
              </w:rPr>
              <m:t>vj1</m:t>
            </m:r>
          </m:sub>
        </m:sSub>
        <m:r>
          <w:rPr>
            <w:rFonts w:ascii="Cambria Math" w:hAnsi="Cambria Math"/>
          </w:rPr>
          <m:t>=</m:t>
        </m:r>
        <m:sSub>
          <m:sSubPr>
            <m:ctrlPr>
              <w:rPr>
                <w:rFonts w:ascii="Cambria Math" w:hAnsi="Cambria Math"/>
              </w:rPr>
            </m:ctrlPr>
          </m:sSubPr>
          <m:e>
            <m:r>
              <w:rPr>
                <w:rFonts w:ascii="Cambria Math" w:hAnsi="Cambria Math"/>
              </w:rPr>
              <m:t>C</m:t>
            </m:r>
          </m:e>
          <m:sub>
            <m:r>
              <m:rPr>
                <m:sty m:val="p"/>
              </m:rPr>
              <w:rPr>
                <w:rFonts w:ascii="Cambria Math" w:hAnsi="Cambria Math"/>
              </w:rPr>
              <m:t>j</m:t>
            </m:r>
          </m:sub>
        </m:sSub>
        <m:sSup>
          <m:sSupPr>
            <m:ctrlPr>
              <w:rPr>
                <w:rFonts w:ascii="Cambria Math" w:hAnsi="Cambria Math"/>
              </w:rPr>
            </m:ctrlPr>
          </m:sSupPr>
          <m:e>
            <m:d>
              <m:dPr>
                <m:ctrlPr>
                  <w:rPr>
                    <w:rFonts w:ascii="Cambria Math" w:hAnsi="Cambria Math"/>
                  </w:rPr>
                </m:ctrlPr>
              </m:dPr>
              <m:e>
                <m:sSub>
                  <m:sSubPr>
                    <m:ctrlPr>
                      <w:rPr>
                        <w:rFonts w:ascii="Cambria Math" w:hAnsi="Cambria Math"/>
                      </w:rPr>
                    </m:ctrlPr>
                  </m:sSubPr>
                  <m:e>
                    <m:r>
                      <w:rPr>
                        <w:rFonts w:ascii="Cambria Math" w:hAnsi="Cambria Math"/>
                      </w:rPr>
                      <m:t>Δv</m:t>
                    </m:r>
                  </m:e>
                  <m:sub>
                    <m:r>
                      <m:rPr>
                        <m:sty m:val="p"/>
                      </m:rPr>
                      <w:rPr>
                        <w:rFonts w:ascii="Cambria Math" w:hAnsi="Cambria Math"/>
                      </w:rPr>
                      <m:t>j1</m:t>
                    </m:r>
                  </m:sub>
                </m:sSub>
              </m:e>
            </m:d>
          </m:e>
          <m:sup>
            <m:sSub>
              <m:sSubPr>
                <m:ctrlPr>
                  <w:rPr>
                    <w:rFonts w:ascii="Cambria Math" w:hAnsi="Cambria Math"/>
                  </w:rPr>
                </m:ctrlPr>
              </m:sSubPr>
              <m:e>
                <m:r>
                  <w:rPr>
                    <w:rFonts w:ascii="Cambria Math" w:hAnsi="Cambria Math"/>
                  </w:rPr>
                  <m:t>α</m:t>
                </m:r>
              </m:e>
              <m:sub>
                <m:r>
                  <m:rPr>
                    <m:sty m:val="p"/>
                  </m:rPr>
                  <w:rPr>
                    <w:rFonts w:ascii="Cambria Math" w:hAnsi="Cambria Math"/>
                  </w:rPr>
                  <m:t>ve</m:t>
                </m:r>
              </m:sub>
            </m:sSub>
          </m:sup>
        </m:sSup>
      </m:oMath>
      <w:r w:rsidR="00E979DE" w:rsidRPr="00870D59">
        <w:tab/>
        <w:t>(</w:t>
      </w:r>
      <w:r w:rsidR="00E979DE">
        <w:t>9</w:t>
      </w:r>
      <w:r w:rsidR="00E979DE" w:rsidRPr="00870D59">
        <w:t>.</w:t>
      </w:r>
      <w:r w:rsidR="00E979DE">
        <w:t>10</w:t>
      </w:r>
      <w:r w:rsidR="00E979DE" w:rsidRPr="00870D59">
        <w:t>)</w:t>
      </w:r>
    </w:p>
    <w:p w14:paraId="60991B87" w14:textId="6A2995F5" w:rsidR="00E05FFB" w:rsidRDefault="00675EBA" w:rsidP="002D0B58">
      <w:pPr>
        <w:pStyle w:val="Text"/>
      </w:pPr>
      <w:r>
        <w:t>where</w:t>
      </w:r>
    </w:p>
    <w:tbl>
      <w:tblPr>
        <w:tblW w:w="0" w:type="auto"/>
        <w:tblInd w:w="346" w:type="dxa"/>
        <w:tblLook w:val="04A0" w:firstRow="1" w:lastRow="0" w:firstColumn="1" w:lastColumn="0" w:noHBand="0" w:noVBand="1"/>
      </w:tblPr>
      <w:tblGrid>
        <w:gridCol w:w="1343"/>
        <w:gridCol w:w="7874"/>
      </w:tblGrid>
      <w:tr w:rsidR="00E05FFB" w:rsidRPr="00870D59" w14:paraId="5E2373FA" w14:textId="77777777" w:rsidTr="006C6A44">
        <w:tc>
          <w:tcPr>
            <w:tcW w:w="1343" w:type="dxa"/>
            <w:shd w:val="clear" w:color="auto" w:fill="auto"/>
          </w:tcPr>
          <w:p w14:paraId="6CC1F975" w14:textId="7750B886" w:rsidR="00E05FFB" w:rsidRPr="00523AC3" w:rsidRDefault="00E979DE" w:rsidP="002061E5">
            <w:pPr>
              <w:pStyle w:val="Tablebody"/>
              <w:rPr>
                <w:i/>
                <w:iCs/>
              </w:rPr>
            </w:pPr>
            <w:r w:rsidRPr="00D1484A">
              <w:rPr>
                <w:rFonts w:ascii="Symbol" w:eastAsia="Symbol" w:hAnsi="Symbol" w:cs="Symbol"/>
              </w:rPr>
              <w:lastRenderedPageBreak/>
              <w:t></w:t>
            </w:r>
            <w:r w:rsidRPr="00D1484A">
              <w:rPr>
                <w:i/>
              </w:rPr>
              <w:t>v</w:t>
            </w:r>
            <w:r w:rsidRPr="001C3607">
              <w:rPr>
                <w:iCs/>
                <w:vertAlign w:val="subscript"/>
              </w:rPr>
              <w:t>j1</w:t>
            </w:r>
          </w:p>
        </w:tc>
        <w:tc>
          <w:tcPr>
            <w:tcW w:w="7874" w:type="dxa"/>
          </w:tcPr>
          <w:p w14:paraId="688C0187" w14:textId="1F084B8E" w:rsidR="00E05FFB" w:rsidRPr="002D0B58" w:rsidRDefault="00E979DE" w:rsidP="002061E5">
            <w:pPr>
              <w:pStyle w:val="Tablebody"/>
            </w:pPr>
            <w:r w:rsidRPr="002D0B58">
              <w:t xml:space="preserve">is the relative velocity between each end of the energy dissipation device </w:t>
            </w:r>
            <w:r w:rsidRPr="002D0B58">
              <w:rPr>
                <w:i/>
              </w:rPr>
              <w:t>j</w:t>
            </w:r>
            <w:r w:rsidRPr="002D0B58">
              <w:t xml:space="preserve"> measured along </w:t>
            </w:r>
            <w:r w:rsidRPr="002D0B58">
              <w:rPr>
                <w:color w:val="000000" w:themeColor="text1"/>
              </w:rPr>
              <w:t xml:space="preserve">its axis; it is obtained multiplying </w:t>
            </w:r>
            <w:r w:rsidRPr="002D0B58">
              <w:rPr>
                <w:rFonts w:ascii="Symbol" w:eastAsia="Symbol" w:hAnsi="Symbol" w:cs="Symbol"/>
              </w:rPr>
              <w:t></w:t>
            </w:r>
            <w:r w:rsidRPr="002D0B58">
              <w:rPr>
                <w:i/>
              </w:rPr>
              <w:t>d</w:t>
            </w:r>
            <w:r w:rsidRPr="002D0B58">
              <w:rPr>
                <w:iCs/>
                <w:vertAlign w:val="subscript"/>
              </w:rPr>
              <w:t>j1</w:t>
            </w:r>
            <w:r w:rsidRPr="002D0B58">
              <w:rPr>
                <w:color w:val="000000" w:themeColor="text1"/>
              </w:rPr>
              <w:t xml:space="preserve"> given in 9.3.2.2.3(3) by (2</w:t>
            </w:r>
            <w:r w:rsidRPr="002D0B58">
              <w:rPr>
                <w:rFonts w:ascii="Symbol" w:eastAsia="Symbol" w:hAnsi="Symbol" w:cs="Symbol"/>
                <w:color w:val="000000" w:themeColor="text1"/>
              </w:rPr>
              <w:t></w:t>
            </w:r>
            <w:r w:rsidRPr="002D0B58">
              <w:rPr>
                <w:color w:val="000000" w:themeColor="text1"/>
              </w:rPr>
              <w:t>/</w:t>
            </w:r>
            <w:r w:rsidRPr="002D0B58">
              <w:rPr>
                <w:i/>
                <w:color w:val="000000" w:themeColor="text1"/>
              </w:rPr>
              <w:t>T</w:t>
            </w:r>
            <w:r w:rsidRPr="002D0B58">
              <w:rPr>
                <w:color w:val="000000" w:themeColor="text1"/>
                <w:vertAlign w:val="subscript"/>
              </w:rPr>
              <w:t>eff 1</w:t>
            </w:r>
            <w:r w:rsidRPr="002D0B58">
              <w:rPr>
                <w:color w:val="000000" w:themeColor="text1"/>
              </w:rPr>
              <w:t xml:space="preserve">) and by the correction factor </w:t>
            </w:r>
            <w:r w:rsidRPr="002D0B58">
              <w:rPr>
                <w:i/>
                <w:color w:val="000000" w:themeColor="text1"/>
              </w:rPr>
              <w:t>CFV</w:t>
            </w:r>
            <w:r w:rsidRPr="002D0B58">
              <w:rPr>
                <w:color w:val="000000" w:themeColor="text1"/>
              </w:rPr>
              <w:t xml:space="preserve"> given by Formula (9.9)</w:t>
            </w:r>
            <w:r w:rsidRPr="002D0B58">
              <w:rPr>
                <w:rFonts w:eastAsiaTheme="minorEastAsia"/>
                <w:color w:val="000000" w:themeColor="text1"/>
              </w:rPr>
              <w:t>;</w:t>
            </w:r>
          </w:p>
        </w:tc>
      </w:tr>
      <w:tr w:rsidR="00E05FFB" w:rsidRPr="00870D59" w14:paraId="2F75CAB1" w14:textId="77777777" w:rsidTr="006C6A44">
        <w:tc>
          <w:tcPr>
            <w:tcW w:w="1343" w:type="dxa"/>
            <w:shd w:val="clear" w:color="auto" w:fill="auto"/>
          </w:tcPr>
          <w:p w14:paraId="11253928" w14:textId="422D7715" w:rsidR="00E05FFB" w:rsidRPr="00325DC7" w:rsidRDefault="00E979DE" w:rsidP="002061E5">
            <w:pPr>
              <w:pStyle w:val="Tablebody"/>
              <w:rPr>
                <w:i/>
              </w:rPr>
            </w:pPr>
            <w:r w:rsidRPr="00E05E29">
              <w:rPr>
                <w:rFonts w:ascii="Symbol" w:hAnsi="Symbol"/>
                <w:i/>
              </w:rPr>
              <w:t></w:t>
            </w:r>
            <w:r w:rsidRPr="00E05E29">
              <w:rPr>
                <w:iCs/>
                <w:vertAlign w:val="subscript"/>
              </w:rPr>
              <w:t>ve</w:t>
            </w:r>
          </w:p>
        </w:tc>
        <w:tc>
          <w:tcPr>
            <w:tcW w:w="7874" w:type="dxa"/>
          </w:tcPr>
          <w:p w14:paraId="5C0E6642" w14:textId="7A86AF43" w:rsidR="00E05FFB" w:rsidRPr="002D0B58" w:rsidRDefault="00E979DE" w:rsidP="002061E5">
            <w:pPr>
              <w:pStyle w:val="Tablebody"/>
            </w:pPr>
            <w:r w:rsidRPr="002D0B58">
              <w:t>is the velocity exponent of the velocity-dependent energy dissipation devices, provided by the producer of the device;</w:t>
            </w:r>
          </w:p>
        </w:tc>
      </w:tr>
      <w:tr w:rsidR="00E979DE" w:rsidRPr="00870D59" w14:paraId="6D7DB880" w14:textId="77777777" w:rsidTr="006C6A44">
        <w:tc>
          <w:tcPr>
            <w:tcW w:w="1343" w:type="dxa"/>
            <w:shd w:val="clear" w:color="auto" w:fill="auto"/>
          </w:tcPr>
          <w:p w14:paraId="31CF639C" w14:textId="54479D70" w:rsidR="00E979DE" w:rsidRPr="00E05E29" w:rsidRDefault="00E979DE" w:rsidP="002061E5">
            <w:pPr>
              <w:pStyle w:val="Tablebody"/>
              <w:rPr>
                <w:rFonts w:ascii="Symbol" w:hAnsi="Symbol"/>
                <w:i/>
              </w:rPr>
            </w:pPr>
            <w:r w:rsidRPr="00E05E29">
              <w:rPr>
                <w:i/>
              </w:rPr>
              <w:t>C</w:t>
            </w:r>
            <w:r w:rsidRPr="001C3607">
              <w:rPr>
                <w:iCs/>
                <w:vertAlign w:val="subscript"/>
              </w:rPr>
              <w:t>j</w:t>
            </w:r>
          </w:p>
        </w:tc>
        <w:tc>
          <w:tcPr>
            <w:tcW w:w="7874" w:type="dxa"/>
          </w:tcPr>
          <w:p w14:paraId="7C2D3601" w14:textId="3A08ABAF" w:rsidR="00E979DE" w:rsidRPr="00E05E29" w:rsidRDefault="00E979DE" w:rsidP="002061E5">
            <w:pPr>
              <w:pStyle w:val="Tablebody"/>
            </w:pPr>
            <w:r w:rsidRPr="00E05E29">
              <w:t xml:space="preserve">is the damping coefficient of the velocity-dependent energy dissipation device </w:t>
            </w:r>
            <w:r w:rsidRPr="00E05E29">
              <w:rPr>
                <w:i/>
              </w:rPr>
              <w:t>j</w:t>
            </w:r>
            <w:r w:rsidRPr="00E05E29">
              <w:t>, provided by the producer of the device.</w:t>
            </w:r>
          </w:p>
        </w:tc>
      </w:tr>
    </w:tbl>
    <w:p w14:paraId="49DBA4D0" w14:textId="69381195" w:rsidR="00E979DE" w:rsidRPr="00E05E29" w:rsidRDefault="00E979DE" w:rsidP="0080187E">
      <w:pPr>
        <w:pStyle w:val="Clause"/>
        <w:numPr>
          <w:ilvl w:val="0"/>
          <w:numId w:val="287"/>
        </w:numPr>
      </w:pPr>
      <w:r w:rsidRPr="00E05E29">
        <w:t xml:space="preserve">The maximum axial force </w:t>
      </w:r>
      <w:r w:rsidRPr="004030A7">
        <w:rPr>
          <w:i/>
          <w:iCs/>
        </w:rPr>
        <w:t>N</w:t>
      </w:r>
      <w:r w:rsidRPr="004030A7">
        <w:rPr>
          <w:vertAlign w:val="subscript"/>
        </w:rPr>
        <w:t>j1</w:t>
      </w:r>
      <w:r w:rsidRPr="00E05E29">
        <w:t xml:space="preserve"> in energy dissipation device </w:t>
      </w:r>
      <w:r w:rsidRPr="004030A7">
        <w:rPr>
          <w:i/>
          <w:iCs/>
        </w:rPr>
        <w:t>j</w:t>
      </w:r>
      <w:r w:rsidRPr="00E05E29">
        <w:t xml:space="preserve"> should be calculated using Formula (9.11).</w:t>
      </w:r>
    </w:p>
    <w:p w14:paraId="5BD13648" w14:textId="43A0A769" w:rsidR="00E979DE" w:rsidRPr="00870D59" w:rsidRDefault="009B5CEC" w:rsidP="00E979DE">
      <w:pPr>
        <w:pStyle w:val="Formula"/>
      </w:pPr>
      <m:oMath>
        <m:sSub>
          <m:sSubPr>
            <m:ctrlPr>
              <w:rPr>
                <w:rFonts w:ascii="Cambria Math" w:hAnsi="Cambria Math"/>
                <w:vertAlign w:val="subscript"/>
              </w:rPr>
            </m:ctrlPr>
          </m:sSubPr>
          <m:e>
            <m:r>
              <w:rPr>
                <w:rFonts w:ascii="Cambria Math" w:hAnsi="Cambria Math"/>
              </w:rPr>
              <m:t>N</m:t>
            </m:r>
          </m:e>
          <m:sub>
            <m:r>
              <m:rPr>
                <m:sty m:val="p"/>
              </m:rPr>
              <w:rPr>
                <w:rFonts w:ascii="Cambria Math" w:hAnsi="Cambria Math"/>
                <w:vertAlign w:val="subscript"/>
              </w:rPr>
              <m:t>j1</m:t>
            </m:r>
          </m:sub>
        </m:sSub>
        <m:r>
          <m:rPr>
            <m:sty m:val="p"/>
          </m:rPr>
          <w:rPr>
            <w:rFonts w:ascii="Cambria Math" w:hAnsi="Cambria Math"/>
          </w:rPr>
          <m:t>=cos(</m:t>
        </m:r>
        <m:sSup>
          <m:sSupPr>
            <m:ctrlPr>
              <w:rPr>
                <w:rFonts w:ascii="Cambria Math" w:hAnsi="Cambria Math"/>
                <w:vertAlign w:val="superscript"/>
              </w:rPr>
            </m:ctrlPr>
          </m:sSupPr>
          <m:e>
            <m:r>
              <m:rPr>
                <m:sty m:val="p"/>
              </m:rPr>
              <w:rPr>
                <w:rFonts w:ascii="Cambria Math" w:hAnsi="Cambria Math"/>
              </w:rPr>
              <m:t>tan</m:t>
            </m:r>
          </m:e>
          <m:sup>
            <m:r>
              <m:rPr>
                <m:sty m:val="p"/>
              </m:rPr>
              <w:rPr>
                <w:rFonts w:ascii="Cambria Math" w:hAnsi="Cambria Math"/>
                <w:vertAlign w:val="superscript"/>
              </w:rPr>
              <m:t>-1</m:t>
            </m:r>
          </m:sup>
        </m:sSup>
        <m:sSub>
          <m:sSubPr>
            <m:ctrlPr>
              <w:rPr>
                <w:rFonts w:ascii="Cambria Math" w:eastAsia="Symbol" w:hAnsi="Cambria Math" w:cs="Symbol"/>
                <w:i/>
              </w:rPr>
            </m:ctrlPr>
          </m:sSubPr>
          <m:e>
            <m:r>
              <w:rPr>
                <w:rFonts w:ascii="Cambria Math" w:eastAsia="Symbol" w:hAnsi="Cambria Math" w:cs="Symbol"/>
              </w:rPr>
              <m:t>η</m:t>
            </m:r>
          </m:e>
          <m:sub>
            <m:r>
              <m:rPr>
                <m:sty m:val="p"/>
              </m:rPr>
              <w:rPr>
                <w:rFonts w:ascii="Cambria Math" w:hAnsi="Cambria Math"/>
                <w:vertAlign w:val="subscript"/>
              </w:rPr>
              <m:t>loss</m:t>
            </m:r>
          </m:sub>
        </m:sSub>
        <m:r>
          <m:rPr>
            <m:sty m:val="p"/>
          </m:rPr>
          <w:rPr>
            <w:rFonts w:ascii="Cambria Math" w:hAnsi="Cambria Math"/>
          </w:rPr>
          <m:t>)</m:t>
        </m:r>
        <m:d>
          <m:dPr>
            <m:begChr m:val="|"/>
            <m:endChr m:val="|"/>
            <m:ctrlPr>
              <w:rPr>
                <w:rFonts w:ascii="Cambria Math" w:hAnsi="Cambria Math"/>
              </w:rPr>
            </m:ctrlPr>
          </m:dPr>
          <m:e>
            <m:sSub>
              <m:sSubPr>
                <m:ctrlPr>
                  <w:rPr>
                    <w:rFonts w:ascii="Cambria Math" w:hAnsi="Cambria Math"/>
                    <w:i/>
                  </w:rPr>
                </m:ctrlPr>
              </m:sSubPr>
              <m:e>
                <m:r>
                  <w:rPr>
                    <w:rFonts w:ascii="Cambria Math" w:hAnsi="Cambria Math"/>
                  </w:rPr>
                  <m:t>N</m:t>
                </m:r>
              </m:e>
              <m:sub>
                <m:r>
                  <m:rPr>
                    <m:sty m:val="p"/>
                  </m:rPr>
                  <w:rPr>
                    <w:rFonts w:ascii="Cambria Math" w:hAnsi="Cambria Math"/>
                    <w:vertAlign w:val="subscript"/>
                  </w:rPr>
                  <m:t>ej1</m:t>
                </m:r>
              </m:sub>
            </m:sSub>
          </m:e>
        </m:d>
        <m:r>
          <m:rPr>
            <m:sty m:val="p"/>
          </m:rPr>
          <w:rPr>
            <w:rFonts w:ascii="Cambria Math" w:hAnsi="Cambria Math"/>
          </w:rPr>
          <m:t xml:space="preserve"> + sin(</m:t>
        </m:r>
        <m:sSup>
          <m:sSupPr>
            <m:ctrlPr>
              <w:rPr>
                <w:rFonts w:ascii="Cambria Math" w:hAnsi="Cambria Math"/>
                <w:vertAlign w:val="superscript"/>
              </w:rPr>
            </m:ctrlPr>
          </m:sSupPr>
          <m:e>
            <m:r>
              <m:rPr>
                <m:sty m:val="p"/>
              </m:rPr>
              <w:rPr>
                <w:rFonts w:ascii="Cambria Math" w:hAnsi="Cambria Math"/>
              </w:rPr>
              <m:t>tan</m:t>
            </m:r>
          </m:e>
          <m:sup>
            <m:r>
              <m:rPr>
                <m:sty m:val="p"/>
              </m:rPr>
              <w:rPr>
                <w:rFonts w:ascii="Cambria Math" w:hAnsi="Cambria Math"/>
                <w:vertAlign w:val="superscript"/>
              </w:rPr>
              <m:t>-1</m:t>
            </m:r>
          </m:sup>
        </m:sSup>
        <m:sSub>
          <m:sSubPr>
            <m:ctrlPr>
              <w:rPr>
                <w:rFonts w:ascii="Cambria Math" w:eastAsia="Symbol" w:hAnsi="Cambria Math" w:cs="Symbol"/>
                <w:i/>
              </w:rPr>
            </m:ctrlPr>
          </m:sSubPr>
          <m:e>
            <m:r>
              <w:rPr>
                <w:rFonts w:ascii="Cambria Math" w:eastAsia="Symbol" w:hAnsi="Cambria Math" w:cs="Symbol"/>
              </w:rPr>
              <m:t>η</m:t>
            </m:r>
          </m:e>
          <m:sub>
            <m:r>
              <m:rPr>
                <m:sty m:val="p"/>
              </m:rPr>
              <w:rPr>
                <w:rFonts w:ascii="Cambria Math" w:hAnsi="Cambria Math"/>
                <w:vertAlign w:val="subscript"/>
              </w:rPr>
              <m:t>loss</m:t>
            </m:r>
          </m:sub>
        </m:sSub>
        <m:r>
          <m:rPr>
            <m:sty m:val="p"/>
          </m:rPr>
          <w:rPr>
            <w:rFonts w:ascii="Cambria Math" w:hAnsi="Cambria Math"/>
          </w:rPr>
          <m:t>)</m:t>
        </m:r>
        <m:d>
          <m:dPr>
            <m:begChr m:val="|"/>
            <m:endChr m:val="|"/>
            <m:ctrlPr>
              <w:rPr>
                <w:rFonts w:ascii="Cambria Math" w:hAnsi="Cambria Math"/>
              </w:rPr>
            </m:ctrlPr>
          </m:dPr>
          <m:e>
            <m:sSub>
              <m:sSubPr>
                <m:ctrlPr>
                  <w:rPr>
                    <w:rFonts w:ascii="Cambria Math" w:hAnsi="Cambria Math"/>
                    <w:i/>
                  </w:rPr>
                </m:ctrlPr>
              </m:sSubPr>
              <m:e>
                <m:r>
                  <w:rPr>
                    <w:rFonts w:ascii="Cambria Math" w:hAnsi="Cambria Math"/>
                  </w:rPr>
                  <m:t>N</m:t>
                </m:r>
              </m:e>
              <m:sub>
                <m:r>
                  <m:rPr>
                    <m:sty m:val="p"/>
                  </m:rPr>
                  <w:rPr>
                    <w:rFonts w:ascii="Cambria Math" w:hAnsi="Cambria Math"/>
                  </w:rPr>
                  <m:t>vj1</m:t>
                </m:r>
              </m:sub>
            </m:sSub>
          </m:e>
        </m:d>
      </m:oMath>
      <w:r w:rsidR="00E979DE" w:rsidRPr="00870D59">
        <w:tab/>
        <w:t>(</w:t>
      </w:r>
      <w:r w:rsidR="00E979DE">
        <w:t>9</w:t>
      </w:r>
      <w:r w:rsidR="00E979DE" w:rsidRPr="00870D59">
        <w:t>.</w:t>
      </w:r>
      <w:r w:rsidR="00E979DE">
        <w:t>11</w:t>
      </w:r>
      <w:r w:rsidR="00E979DE" w:rsidRPr="00870D59">
        <w:t>)</w:t>
      </w:r>
    </w:p>
    <w:p w14:paraId="041C5D93" w14:textId="15208480" w:rsidR="00E979DE" w:rsidRDefault="00675EBA" w:rsidP="002D0B58">
      <w:pPr>
        <w:pStyle w:val="Text"/>
      </w:pPr>
      <w:r>
        <w:t>where</w:t>
      </w:r>
    </w:p>
    <w:tbl>
      <w:tblPr>
        <w:tblW w:w="0" w:type="auto"/>
        <w:tblInd w:w="346" w:type="dxa"/>
        <w:tblLook w:val="04A0" w:firstRow="1" w:lastRow="0" w:firstColumn="1" w:lastColumn="0" w:noHBand="0" w:noVBand="1"/>
      </w:tblPr>
      <w:tblGrid>
        <w:gridCol w:w="1343"/>
        <w:gridCol w:w="7874"/>
      </w:tblGrid>
      <w:tr w:rsidR="00E979DE" w:rsidRPr="00870D59" w14:paraId="152A0834" w14:textId="77777777" w:rsidTr="006C6A44">
        <w:tc>
          <w:tcPr>
            <w:tcW w:w="1343" w:type="dxa"/>
            <w:shd w:val="clear" w:color="auto" w:fill="auto"/>
          </w:tcPr>
          <w:p w14:paraId="4F3E75B7" w14:textId="62136704" w:rsidR="00E979DE" w:rsidRPr="00523AC3" w:rsidRDefault="00D736B6" w:rsidP="002061E5">
            <w:pPr>
              <w:pStyle w:val="Tablebody"/>
              <w:rPr>
                <w:i/>
                <w:iCs/>
              </w:rPr>
            </w:pPr>
            <w:r w:rsidRPr="00E05E29">
              <w:rPr>
                <w:rFonts w:ascii="Symbol" w:eastAsia="Symbol" w:hAnsi="Symbol" w:cs="Symbol"/>
                <w:i/>
              </w:rPr>
              <w:t></w:t>
            </w:r>
            <w:r w:rsidRPr="00E05E29">
              <w:rPr>
                <w:vertAlign w:val="subscript"/>
              </w:rPr>
              <w:t>loss</w:t>
            </w:r>
          </w:p>
        </w:tc>
        <w:tc>
          <w:tcPr>
            <w:tcW w:w="7874" w:type="dxa"/>
          </w:tcPr>
          <w:p w14:paraId="2A36D8DB" w14:textId="7CBAEA30" w:rsidR="00E979DE" w:rsidRPr="00303F71" w:rsidRDefault="00D736B6" w:rsidP="002061E5">
            <w:pPr>
              <w:pStyle w:val="Tablebody"/>
            </w:pPr>
            <w:r w:rsidRPr="00E05E29">
              <w:t>is the loss factor of viscoelastic energy dissipation devices</w:t>
            </w:r>
            <w:r w:rsidRPr="00E05E29">
              <w:rPr>
                <w:iCs/>
              </w:rPr>
              <w:t>;</w:t>
            </w:r>
          </w:p>
        </w:tc>
      </w:tr>
      <w:tr w:rsidR="00E979DE" w:rsidRPr="00870D59" w14:paraId="7383E2FC" w14:textId="77777777" w:rsidTr="006C6A44">
        <w:tc>
          <w:tcPr>
            <w:tcW w:w="1343" w:type="dxa"/>
            <w:shd w:val="clear" w:color="auto" w:fill="auto"/>
          </w:tcPr>
          <w:p w14:paraId="088960AD" w14:textId="4B49E5F6" w:rsidR="00E979DE" w:rsidRPr="00325DC7" w:rsidRDefault="00D736B6" w:rsidP="002061E5">
            <w:pPr>
              <w:pStyle w:val="Tablebody"/>
              <w:rPr>
                <w:i/>
              </w:rPr>
            </w:pPr>
            <w:r w:rsidRPr="00E05E29">
              <w:rPr>
                <w:i/>
              </w:rPr>
              <w:t>N</w:t>
            </w:r>
            <w:r w:rsidRPr="00E05E29">
              <w:rPr>
                <w:vertAlign w:val="subscript"/>
              </w:rPr>
              <w:t>e</w:t>
            </w:r>
            <w:r w:rsidRPr="005F691E">
              <w:rPr>
                <w:vertAlign w:val="subscript"/>
              </w:rPr>
              <w:t>j</w:t>
            </w:r>
            <w:r w:rsidRPr="00E05E29">
              <w:rPr>
                <w:vertAlign w:val="subscript"/>
              </w:rPr>
              <w:t xml:space="preserve">1 </w:t>
            </w:r>
            <w:r w:rsidRPr="00E05E29">
              <w:t xml:space="preserve">and </w:t>
            </w:r>
            <w:r w:rsidRPr="00E05E29">
              <w:rPr>
                <w:i/>
              </w:rPr>
              <w:t>N</w:t>
            </w:r>
            <w:r w:rsidRPr="00E05E29">
              <w:rPr>
                <w:vertAlign w:val="subscript"/>
              </w:rPr>
              <w:t>v</w:t>
            </w:r>
            <w:r w:rsidRPr="005F691E">
              <w:rPr>
                <w:vertAlign w:val="subscript"/>
              </w:rPr>
              <w:t>j</w:t>
            </w:r>
            <w:r w:rsidRPr="00E05E29">
              <w:rPr>
                <w:vertAlign w:val="subscript"/>
              </w:rPr>
              <w:t>1</w:t>
            </w:r>
          </w:p>
        </w:tc>
        <w:tc>
          <w:tcPr>
            <w:tcW w:w="7874" w:type="dxa"/>
          </w:tcPr>
          <w:p w14:paraId="194E7FA7" w14:textId="32789695" w:rsidR="00E979DE" w:rsidRPr="00870D59" w:rsidRDefault="00D736B6" w:rsidP="002061E5">
            <w:pPr>
              <w:pStyle w:val="Tablebody"/>
            </w:pPr>
            <w:r w:rsidRPr="00E05E29">
              <w:t>are given by Formulas (9.8) and (9.10) respectively.</w:t>
            </w:r>
          </w:p>
        </w:tc>
      </w:tr>
    </w:tbl>
    <w:p w14:paraId="16BFB447" w14:textId="77777777" w:rsidR="00D736B6" w:rsidRPr="00E05E29" w:rsidRDefault="00D736B6" w:rsidP="00D736B6">
      <w:pPr>
        <w:pStyle w:val="Notetext"/>
      </w:pPr>
      <w:r w:rsidRPr="00E05E29">
        <w:t>NOTE 1</w:t>
      </w:r>
      <w:r w:rsidRPr="00E05E29">
        <w:tab/>
        <w:t xml:space="preserve">In viscous-type energy dissipation devices </w:t>
      </w:r>
      <w:r w:rsidRPr="00E05E29">
        <w:rPr>
          <w:i/>
        </w:rPr>
        <w:t>N</w:t>
      </w:r>
      <w:r w:rsidRPr="00E05E29">
        <w:rPr>
          <w:vertAlign w:val="subscript"/>
        </w:rPr>
        <w:t>e</w:t>
      </w:r>
      <w:r w:rsidRPr="005F691E">
        <w:rPr>
          <w:vertAlign w:val="subscript"/>
        </w:rPr>
        <w:t>j</w:t>
      </w:r>
      <w:r w:rsidRPr="00E05E29">
        <w:rPr>
          <w:vertAlign w:val="subscript"/>
        </w:rPr>
        <w:t>1</w:t>
      </w:r>
      <w:r w:rsidRPr="00E05E29">
        <w:t xml:space="preserve"> = 0 and sin(tan</w:t>
      </w:r>
      <w:r w:rsidRPr="00E05E29">
        <w:rPr>
          <w:vertAlign w:val="superscript"/>
        </w:rPr>
        <w:t>-1</w:t>
      </w:r>
      <w:r w:rsidRPr="00E05E29">
        <w:rPr>
          <w:rFonts w:ascii="Symbol" w:eastAsia="Symbol" w:hAnsi="Symbol" w:cs="Symbol"/>
          <w:i/>
        </w:rPr>
        <w:t></w:t>
      </w:r>
      <w:r w:rsidRPr="00E05E29">
        <w:rPr>
          <w:vertAlign w:val="subscript"/>
        </w:rPr>
        <w:t>loss</w:t>
      </w:r>
      <w:r w:rsidRPr="00E05E29">
        <w:t>) = 1.</w:t>
      </w:r>
    </w:p>
    <w:p w14:paraId="5373C3A9" w14:textId="77777777" w:rsidR="00D736B6" w:rsidRPr="00E05E29" w:rsidRDefault="00D736B6" w:rsidP="00D736B6">
      <w:pPr>
        <w:pStyle w:val="Notetext"/>
      </w:pPr>
      <w:r w:rsidRPr="00E05E29">
        <w:t>NOTE 2</w:t>
      </w:r>
      <w:r w:rsidRPr="00E05E29">
        <w:tab/>
      </w:r>
      <w:r w:rsidRPr="00E05E29">
        <w:rPr>
          <w:rFonts w:ascii="Symbol" w:eastAsia="Symbol" w:hAnsi="Symbol" w:cs="Symbol"/>
          <w:i/>
        </w:rPr>
        <w:t></w:t>
      </w:r>
      <w:r w:rsidRPr="00E05E29">
        <w:rPr>
          <w:vertAlign w:val="subscript"/>
        </w:rPr>
        <w:t xml:space="preserve">loss </w:t>
      </w:r>
      <w:r w:rsidRPr="00E05E29">
        <w:t>is provided by the producer of the damping device.</w:t>
      </w:r>
    </w:p>
    <w:p w14:paraId="1B260942" w14:textId="77777777" w:rsidR="00D736B6" w:rsidRPr="00E05E29" w:rsidRDefault="00D736B6" w:rsidP="00D736B6">
      <w:pPr>
        <w:pStyle w:val="Heading5"/>
      </w:pPr>
      <w:bookmarkStart w:id="1185" w:name="_Toc108342306"/>
      <w:r w:rsidRPr="00E05E29">
        <w:t>Maximum response acceleration</w:t>
      </w:r>
      <w:bookmarkEnd w:id="1185"/>
      <w:r w:rsidRPr="00E05E29">
        <w:t xml:space="preserve"> </w:t>
      </w:r>
    </w:p>
    <w:p w14:paraId="1D3DDACE" w14:textId="026F71FA" w:rsidR="00D736B6" w:rsidRPr="00E05E29" w:rsidRDefault="00D736B6" w:rsidP="0080187E">
      <w:pPr>
        <w:pStyle w:val="Clause"/>
        <w:numPr>
          <w:ilvl w:val="0"/>
          <w:numId w:val="288"/>
        </w:numPr>
      </w:pPr>
      <w:r w:rsidRPr="00E05E29">
        <w:t xml:space="preserve">The design value of a seismic action effect at stage of maximum acceleration </w:t>
      </w:r>
      <w:r w:rsidRPr="00E748C0">
        <w:rPr>
          <w:i/>
        </w:rPr>
        <w:t>E</w:t>
      </w:r>
      <w:r w:rsidRPr="00E748C0">
        <w:rPr>
          <w:vertAlign w:val="subscript"/>
        </w:rPr>
        <w:t>Ei,max,.acc</w:t>
      </w:r>
      <w:r w:rsidRPr="00E05E29">
        <w:t xml:space="preserve"> in the direction under consideration should be obtained weighting the responses at stages of maximum displacement </w:t>
      </w:r>
      <w:r w:rsidRPr="00E748C0">
        <w:rPr>
          <w:i/>
        </w:rPr>
        <w:t>E</w:t>
      </w:r>
      <w:r w:rsidRPr="00E748C0">
        <w:rPr>
          <w:iCs/>
          <w:vertAlign w:val="subscript"/>
        </w:rPr>
        <w:t>Ei,max,disp</w:t>
      </w:r>
      <w:r w:rsidRPr="00E748C0">
        <w:rPr>
          <w:iCs/>
        </w:rPr>
        <w:t xml:space="preserve"> </w:t>
      </w:r>
      <w:r w:rsidRPr="00E05E29">
        <w:t xml:space="preserve">and of maximum velocity </w:t>
      </w:r>
      <w:r w:rsidRPr="00E748C0">
        <w:rPr>
          <w:i/>
        </w:rPr>
        <w:t>E</w:t>
      </w:r>
      <w:r w:rsidRPr="00E748C0">
        <w:rPr>
          <w:iCs/>
          <w:vertAlign w:val="subscript"/>
        </w:rPr>
        <w:t>Ei,max,vel</w:t>
      </w:r>
      <w:r w:rsidRPr="00E748C0">
        <w:rPr>
          <w:i/>
        </w:rPr>
        <w:t xml:space="preserve"> </w:t>
      </w:r>
      <w:r w:rsidRPr="00E05E29">
        <w:t>according to Formula (9.12).</w:t>
      </w:r>
    </w:p>
    <w:p w14:paraId="2F8218AA" w14:textId="5B74001E" w:rsidR="00090087" w:rsidRPr="00870D59" w:rsidRDefault="009B5CEC" w:rsidP="00090087">
      <w:pPr>
        <w:pStyle w:val="Formula"/>
      </w:pPr>
      <m:oMath>
        <m:sSub>
          <m:sSubPr>
            <m:ctrlPr>
              <w:rPr>
                <w:rFonts w:ascii="Cambria Math" w:hAnsi="Cambria Math"/>
              </w:rPr>
            </m:ctrlPr>
          </m:sSubPr>
          <m:e>
            <m:r>
              <w:rPr>
                <w:rFonts w:ascii="Cambria Math" w:hAnsi="Cambria Math"/>
              </w:rPr>
              <m:t>E</m:t>
            </m:r>
          </m:e>
          <m:sub>
            <m:r>
              <m:rPr>
                <m:sty m:val="p"/>
              </m:rPr>
              <w:rPr>
                <w:rFonts w:ascii="Cambria Math" w:hAnsi="Cambria Math"/>
              </w:rPr>
              <m:t>Ei,max,acc</m:t>
            </m:r>
          </m:sub>
        </m:sSub>
        <m:r>
          <w:rPr>
            <w:rFonts w:ascii="Cambria Math" w:hAnsi="Cambria Math"/>
          </w:rPr>
          <m:t>=</m:t>
        </m:r>
        <m:sSub>
          <m:sSubPr>
            <m:ctrlPr>
              <w:rPr>
                <w:rFonts w:ascii="Cambria Math" w:hAnsi="Cambria Math"/>
              </w:rPr>
            </m:ctrlPr>
          </m:sSubPr>
          <m:e>
            <m:r>
              <w:rPr>
                <w:rFonts w:ascii="Cambria Math" w:hAnsi="Cambria Math"/>
              </w:rPr>
              <m:t>CF</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E</m:t>
            </m:r>
          </m:e>
          <m:sub>
            <m:r>
              <m:rPr>
                <m:sty m:val="p"/>
              </m:rPr>
              <w:rPr>
                <w:rFonts w:ascii="Cambria Math" w:hAnsi="Cambria Math"/>
              </w:rPr>
              <m:t>Ei,max,disp</m:t>
            </m:r>
          </m:sub>
        </m:sSub>
        <m:r>
          <w:rPr>
            <w:rFonts w:ascii="Cambria Math" w:hAnsi="Cambria Math"/>
          </w:rPr>
          <m:t>+</m:t>
        </m:r>
        <m:sSub>
          <m:sSubPr>
            <m:ctrlPr>
              <w:rPr>
                <w:rFonts w:ascii="Cambria Math" w:hAnsi="Cambria Math"/>
              </w:rPr>
            </m:ctrlPr>
          </m:sSubPr>
          <m:e>
            <m:r>
              <w:rPr>
                <w:rFonts w:ascii="Cambria Math" w:hAnsi="Cambria Math"/>
              </w:rPr>
              <m:t>CF</m:t>
            </m:r>
          </m:e>
          <m:sub>
            <m:r>
              <w:rPr>
                <w:rFonts w:ascii="Cambria Math" w:hAnsi="Cambria Math"/>
              </w:rPr>
              <m:t>2</m:t>
            </m:r>
          </m:sub>
        </m:sSub>
        <m:r>
          <w:rPr>
            <w:rFonts w:ascii="Cambria Math" w:hAnsi="Cambria Math"/>
          </w:rPr>
          <m:t>×</m:t>
        </m:r>
        <m:sSub>
          <m:sSubPr>
            <m:ctrlPr>
              <w:rPr>
                <w:rFonts w:ascii="Cambria Math" w:hAnsi="Cambria Math"/>
              </w:rPr>
            </m:ctrlPr>
          </m:sSubPr>
          <m:e>
            <m:r>
              <w:rPr>
                <w:rFonts w:ascii="Cambria Math" w:hAnsi="Cambria Math"/>
              </w:rPr>
              <m:t>E</m:t>
            </m:r>
          </m:e>
          <m:sub>
            <m:r>
              <m:rPr>
                <m:sty m:val="p"/>
              </m:rPr>
              <w:rPr>
                <w:rFonts w:ascii="Cambria Math" w:hAnsi="Cambria Math"/>
              </w:rPr>
              <m:t>Ei,max,vel</m:t>
            </m:r>
            <m:r>
              <w:rPr>
                <w:rFonts w:ascii="Cambria Math" w:hAnsi="Cambria Math"/>
              </w:rPr>
              <m:t xml:space="preserve"> </m:t>
            </m:r>
          </m:sub>
        </m:sSub>
      </m:oMath>
      <w:r w:rsidR="00090087" w:rsidRPr="00870D59">
        <w:tab/>
        <w:t>(</w:t>
      </w:r>
      <w:r w:rsidR="00090087">
        <w:t>9</w:t>
      </w:r>
      <w:r w:rsidR="00090087" w:rsidRPr="00870D59">
        <w:t>.</w:t>
      </w:r>
      <w:r w:rsidR="00090087">
        <w:t>12</w:t>
      </w:r>
      <w:r w:rsidR="00090087" w:rsidRPr="00870D59">
        <w:t>)</w:t>
      </w:r>
    </w:p>
    <w:p w14:paraId="2CF8F6EB" w14:textId="44CCADA1" w:rsidR="00090087" w:rsidRDefault="00675EBA" w:rsidP="002D0B58">
      <w:pPr>
        <w:pStyle w:val="Text"/>
      </w:pPr>
      <w:r>
        <w:t>where</w:t>
      </w:r>
    </w:p>
    <w:tbl>
      <w:tblPr>
        <w:tblW w:w="0" w:type="auto"/>
        <w:tblInd w:w="346" w:type="dxa"/>
        <w:tblLook w:val="04A0" w:firstRow="1" w:lastRow="0" w:firstColumn="1" w:lastColumn="0" w:noHBand="0" w:noVBand="1"/>
      </w:tblPr>
      <w:tblGrid>
        <w:gridCol w:w="1342"/>
        <w:gridCol w:w="7875"/>
      </w:tblGrid>
      <w:tr w:rsidR="00090087" w:rsidRPr="00870D59" w14:paraId="74EE859F" w14:textId="77777777" w:rsidTr="006C6A44">
        <w:tc>
          <w:tcPr>
            <w:tcW w:w="1342" w:type="dxa"/>
            <w:shd w:val="clear" w:color="auto" w:fill="auto"/>
          </w:tcPr>
          <w:p w14:paraId="662561F2" w14:textId="317859C7" w:rsidR="00090087" w:rsidRPr="00523AC3" w:rsidRDefault="00090087" w:rsidP="002061E5">
            <w:pPr>
              <w:pStyle w:val="Tablebody"/>
              <w:rPr>
                <w:i/>
                <w:iCs/>
              </w:rPr>
            </w:pPr>
            <w:r w:rsidRPr="00D1484A">
              <w:rPr>
                <w:i/>
              </w:rPr>
              <w:t>CF</w:t>
            </w:r>
            <w:r w:rsidRPr="007E6F67">
              <w:rPr>
                <w:vertAlign w:val="subscript"/>
              </w:rPr>
              <w:t>1</w:t>
            </w:r>
          </w:p>
        </w:tc>
        <w:tc>
          <w:tcPr>
            <w:tcW w:w="7875" w:type="dxa"/>
          </w:tcPr>
          <w:p w14:paraId="432B732E" w14:textId="78CEB130" w:rsidR="00090087" w:rsidRPr="00303F71" w:rsidRDefault="00090087" w:rsidP="002061E5">
            <w:pPr>
              <w:pStyle w:val="Tablebody"/>
            </w:pPr>
            <w:r w:rsidRPr="00E05E29">
              <w:t>is given by Formulas (9.13) to (9.16)</w:t>
            </w:r>
            <w:r w:rsidR="002D0B58">
              <w:t>:</w:t>
            </w:r>
          </w:p>
        </w:tc>
      </w:tr>
    </w:tbl>
    <w:p w14:paraId="400999FF" w14:textId="04146FB8" w:rsidR="00090087" w:rsidRPr="00870D59" w:rsidRDefault="00090087" w:rsidP="00A30651">
      <w:pPr>
        <w:pStyle w:val="Formula"/>
        <w:tabs>
          <w:tab w:val="clear" w:pos="9749"/>
          <w:tab w:val="left" w:pos="3686"/>
          <w:tab w:val="right" w:pos="4253"/>
          <w:tab w:val="right" w:pos="9751"/>
        </w:tabs>
      </w:pPr>
      <w:r w:rsidRPr="00E05E29">
        <w:t>if</w:t>
      </w:r>
      <w:r w:rsidRPr="00E05E29">
        <w:rPr>
          <w:i/>
        </w:rPr>
        <w:t xml:space="preserve"> </w:t>
      </w:r>
      <w:r w:rsidRPr="00E05E29">
        <w:rPr>
          <w:rFonts w:ascii="Symbol" w:eastAsia="Symbol" w:hAnsi="Symbol" w:cs="Symbol"/>
          <w:i/>
        </w:rPr>
        <w:t></w:t>
      </w:r>
      <w:r w:rsidRPr="00E05E29">
        <w:rPr>
          <w:vertAlign w:val="subscript"/>
        </w:rPr>
        <w:t>f</w:t>
      </w:r>
      <w:r w:rsidRPr="00E05E29">
        <w:rPr>
          <w:i/>
          <w:vertAlign w:val="subscript"/>
        </w:rPr>
        <w:t xml:space="preserve">  </w:t>
      </w:r>
      <w:r w:rsidRPr="00E05E29">
        <w:rPr>
          <w:rFonts w:ascii="Symbol" w:eastAsia="Symbol" w:hAnsi="Symbol" w:cs="Symbol"/>
        </w:rPr>
        <w:t></w:t>
      </w:r>
      <w:r w:rsidRPr="00E05E29">
        <w:t xml:space="preserve"> 1 and </w:t>
      </w:r>
      <w:r w:rsidRPr="00E05E29">
        <w:rPr>
          <w:rFonts w:ascii="Symbol" w:hAnsi="Symbol"/>
          <w:i/>
        </w:rPr>
        <w:t></w:t>
      </w:r>
      <w:r w:rsidRPr="00E05E29">
        <w:rPr>
          <w:iCs/>
          <w:vertAlign w:val="subscript"/>
        </w:rPr>
        <w:t>ve</w:t>
      </w:r>
      <w:r w:rsidRPr="00E05E29">
        <w:rPr>
          <w:i/>
        </w:rPr>
        <w:t xml:space="preserve"> </w:t>
      </w:r>
      <w:r w:rsidRPr="00E05E29">
        <w:rPr>
          <w:rFonts w:ascii="Symbol" w:eastAsia="Symbol" w:hAnsi="Symbol" w:cs="Symbol"/>
        </w:rPr>
        <w:t></w:t>
      </w:r>
      <w:r w:rsidRPr="00E05E29">
        <w:t xml:space="preserve"> 0,25:</w:t>
      </w:r>
      <w:r w:rsidRPr="00870D59">
        <w:tab/>
      </w:r>
      <w:r w:rsidRPr="00E05E29">
        <w:rPr>
          <w:i/>
        </w:rPr>
        <w:t>CF</w:t>
      </w:r>
      <w:r w:rsidRPr="00E05E29">
        <w:rPr>
          <w:vertAlign w:val="subscript"/>
        </w:rPr>
        <w:t>1</w:t>
      </w:r>
      <w:r w:rsidRPr="00E05E29">
        <w:rPr>
          <w:i/>
          <w:vertAlign w:val="subscript"/>
        </w:rPr>
        <w:t> </w:t>
      </w:r>
      <w:r w:rsidRPr="00E05E29">
        <w:rPr>
          <w:i/>
        </w:rPr>
        <w:t>= </w:t>
      </w:r>
      <w:r w:rsidRPr="00E05E29">
        <w:t>1</w:t>
      </w:r>
      <w:r w:rsidRPr="00870D59">
        <w:tab/>
        <w:t>(</w:t>
      </w:r>
      <w:r>
        <w:t>9</w:t>
      </w:r>
      <w:r w:rsidRPr="00870D59">
        <w:t>.</w:t>
      </w:r>
      <w:r>
        <w:t>13</w:t>
      </w:r>
      <w:r w:rsidRPr="00870D59">
        <w:t>)</w:t>
      </w:r>
    </w:p>
    <w:p w14:paraId="11DA6919" w14:textId="1F0EA4A3" w:rsidR="00090087" w:rsidRPr="00870D59" w:rsidRDefault="00090087" w:rsidP="00A30651">
      <w:pPr>
        <w:pStyle w:val="Formula"/>
        <w:tabs>
          <w:tab w:val="clear" w:pos="9749"/>
          <w:tab w:val="right" w:pos="3686"/>
          <w:tab w:val="right" w:pos="4253"/>
          <w:tab w:val="right" w:pos="9747"/>
        </w:tabs>
      </w:pPr>
      <w:r w:rsidRPr="00D1484A">
        <w:t>if</w:t>
      </w:r>
      <w:r w:rsidRPr="00D1484A">
        <w:rPr>
          <w:i/>
        </w:rPr>
        <w:t xml:space="preserve"> </w:t>
      </w:r>
      <w:r w:rsidRPr="00D1484A">
        <w:rPr>
          <w:rFonts w:ascii="Symbol" w:eastAsia="Symbol" w:hAnsi="Symbol" w:cs="Symbol"/>
          <w:i/>
        </w:rPr>
        <w:t></w:t>
      </w:r>
      <w:r w:rsidRPr="00D1484A">
        <w:rPr>
          <w:vertAlign w:val="subscript"/>
        </w:rPr>
        <w:t>f</w:t>
      </w:r>
      <w:r w:rsidRPr="00D1484A">
        <w:rPr>
          <w:i/>
        </w:rPr>
        <w:t xml:space="preserve"> </w:t>
      </w:r>
      <w:r w:rsidRPr="00D1484A">
        <w:rPr>
          <w:rFonts w:ascii="Symbol" w:eastAsia="Symbol" w:hAnsi="Symbol" w:cs="Symbol"/>
        </w:rPr>
        <w:t></w:t>
      </w:r>
      <w:r w:rsidRPr="00D1484A">
        <w:t xml:space="preserve"> 1 and 0,25 &lt; </w:t>
      </w:r>
      <w:r w:rsidRPr="00D1484A">
        <w:rPr>
          <w:rFonts w:ascii="Symbol" w:hAnsi="Symbol"/>
          <w:i/>
        </w:rPr>
        <w:t></w:t>
      </w:r>
      <w:r w:rsidRPr="00D1484A">
        <w:rPr>
          <w:iCs/>
          <w:vertAlign w:val="subscript"/>
        </w:rPr>
        <w:t>ve</w:t>
      </w:r>
      <w:r w:rsidR="00A30651" w:rsidRPr="00E05E29">
        <w:t>:</w:t>
      </w:r>
      <w:r w:rsidR="00A30651">
        <w:tab/>
      </w:r>
      <w:r w:rsidR="00A30651">
        <w:tab/>
      </w:r>
      <w:r w:rsidRPr="00D1484A">
        <w:rPr>
          <w:i/>
        </w:rPr>
        <w:t>CF</w:t>
      </w:r>
      <w:r w:rsidRPr="00D1484A">
        <w:rPr>
          <w:vertAlign w:val="subscript"/>
        </w:rPr>
        <w:t>1</w:t>
      </w:r>
      <w:r w:rsidRPr="007E6F67">
        <w:t>=cos</w:t>
      </w:r>
      <w:r w:rsidRPr="007E6F67">
        <w:rPr>
          <w:rFonts w:ascii="Symbol" w:eastAsia="Symbol" w:hAnsi="Symbol" w:cs="Symbol"/>
          <w:i/>
        </w:rPr>
        <w:t></w:t>
      </w:r>
      <w:r w:rsidRPr="007E6F67">
        <w:rPr>
          <w:iCs/>
          <w:vertAlign w:val="subscript"/>
        </w:rPr>
        <w:t>lag</w:t>
      </w:r>
      <w:r w:rsidRPr="00FD17CF">
        <w:rPr>
          <w:rFonts w:ascii="Symbol" w:eastAsia="Symbol" w:hAnsi="Symbol" w:cs="Symbol"/>
        </w:rPr>
        <w:t></w:t>
      </w:r>
      <w:r w:rsidRPr="00FD17CF">
        <w:t>0,5</w:t>
      </w:r>
      <w:r w:rsidRPr="00870D59">
        <w:tab/>
        <w:t>(</w:t>
      </w:r>
      <w:r>
        <w:t>9</w:t>
      </w:r>
      <w:r w:rsidRPr="00870D59">
        <w:t>.</w:t>
      </w:r>
      <w:r>
        <w:t>14</w:t>
      </w:r>
      <w:r w:rsidRPr="00870D59">
        <w:t>)</w:t>
      </w:r>
    </w:p>
    <w:p w14:paraId="02FE928B" w14:textId="0FCEBCF0" w:rsidR="00090087" w:rsidRPr="00870D59" w:rsidRDefault="00A30651" w:rsidP="00A30651">
      <w:pPr>
        <w:pStyle w:val="Formula"/>
        <w:tabs>
          <w:tab w:val="clear" w:pos="9749"/>
          <w:tab w:val="left" w:pos="3686"/>
          <w:tab w:val="right" w:pos="9751"/>
        </w:tabs>
      </w:pPr>
      <w:r w:rsidRPr="00D1484A">
        <w:t>if</w:t>
      </w:r>
      <w:r w:rsidRPr="00D1484A">
        <w:rPr>
          <w:i/>
        </w:rPr>
        <w:t xml:space="preserve"> </w:t>
      </w:r>
      <w:r w:rsidRPr="00D1484A">
        <w:t xml:space="preserve">1 </w:t>
      </w:r>
      <w:r w:rsidRPr="00D1484A">
        <w:rPr>
          <w:i/>
        </w:rPr>
        <w:t xml:space="preserve">&lt; </w:t>
      </w:r>
      <w:r w:rsidRPr="00D1484A">
        <w:rPr>
          <w:rFonts w:ascii="Symbol" w:eastAsia="Symbol" w:hAnsi="Symbol" w:cs="Symbol"/>
          <w:i/>
        </w:rPr>
        <w:t></w:t>
      </w:r>
      <w:r w:rsidRPr="00D1484A">
        <w:rPr>
          <w:vertAlign w:val="subscript"/>
        </w:rPr>
        <w:t>f</w:t>
      </w:r>
      <w:r w:rsidRPr="00D1484A">
        <w:rPr>
          <w:i/>
        </w:rPr>
        <w:t xml:space="preserve">  </w:t>
      </w:r>
      <w:r w:rsidRPr="00D1484A">
        <w:t>&lt; 1/cos</w:t>
      </w:r>
      <w:r w:rsidRPr="00D1484A">
        <w:rPr>
          <w:rFonts w:ascii="Symbol" w:eastAsia="Symbol" w:hAnsi="Symbol" w:cs="Symbol"/>
          <w:i/>
        </w:rPr>
        <w:t></w:t>
      </w:r>
      <w:r w:rsidRPr="00D1484A">
        <w:rPr>
          <w:iCs/>
          <w:vertAlign w:val="subscript"/>
        </w:rPr>
        <w:t>lag</w:t>
      </w:r>
      <w:r w:rsidRPr="00D1484A">
        <w:t>:</w:t>
      </w:r>
      <w:r>
        <w:tab/>
      </w:r>
      <w:r w:rsidRPr="00D1484A">
        <w:rPr>
          <w:i/>
        </w:rPr>
        <w:t>CF</w:t>
      </w:r>
      <w:r w:rsidRPr="007E6F67">
        <w:rPr>
          <w:vertAlign w:val="subscript"/>
        </w:rPr>
        <w:t>1</w:t>
      </w:r>
      <w:r w:rsidRPr="007E6F67">
        <w:rPr>
          <w:i/>
          <w:vertAlign w:val="subscript"/>
        </w:rPr>
        <w:t xml:space="preserve"> </w:t>
      </w:r>
      <w:r w:rsidRPr="007E6F67">
        <w:t xml:space="preserve">= </w:t>
      </w:r>
      <w:r w:rsidRPr="00FD17CF">
        <w:rPr>
          <w:rFonts w:ascii="Symbol" w:eastAsia="Symbol" w:hAnsi="Symbol" w:cs="Symbol"/>
          <w:i/>
        </w:rPr>
        <w:t></w:t>
      </w:r>
      <w:r w:rsidRPr="00FD17CF">
        <w:rPr>
          <w:vertAlign w:val="subscript"/>
        </w:rPr>
        <w:t>f  </w:t>
      </w:r>
      <w:r w:rsidRPr="00FD17CF">
        <w:t>cos</w:t>
      </w:r>
      <w:r w:rsidRPr="00644C3D">
        <w:rPr>
          <w:rFonts w:ascii="Symbol" w:eastAsia="Symbol" w:hAnsi="Symbol" w:cs="Symbol"/>
          <w:i/>
        </w:rPr>
        <w:t></w:t>
      </w:r>
      <w:r w:rsidRPr="00E05E29">
        <w:rPr>
          <w:iCs/>
          <w:vertAlign w:val="subscript"/>
        </w:rPr>
        <w:t>lag</w:t>
      </w:r>
      <w:r w:rsidR="00090087" w:rsidRPr="00870D59">
        <w:tab/>
        <w:t>(</w:t>
      </w:r>
      <w:r w:rsidR="00090087">
        <w:t>9</w:t>
      </w:r>
      <w:r w:rsidR="00090087" w:rsidRPr="00870D59">
        <w:t>.</w:t>
      </w:r>
      <w:r w:rsidR="00090087">
        <w:t>15</w:t>
      </w:r>
      <w:r w:rsidR="00090087" w:rsidRPr="00870D59">
        <w:t>)</w:t>
      </w:r>
    </w:p>
    <w:p w14:paraId="7B488348" w14:textId="2052484E" w:rsidR="00090087" w:rsidRPr="00870D59" w:rsidRDefault="00A30651" w:rsidP="000231A4">
      <w:pPr>
        <w:pStyle w:val="Formula"/>
        <w:tabs>
          <w:tab w:val="clear" w:pos="9749"/>
          <w:tab w:val="left" w:pos="3686"/>
          <w:tab w:val="right" w:pos="3969"/>
          <w:tab w:val="right" w:pos="9747"/>
        </w:tabs>
      </w:pPr>
      <w:r w:rsidRPr="00D1484A">
        <w:t>if</w:t>
      </w:r>
      <w:r w:rsidRPr="00D1484A">
        <w:rPr>
          <w:i/>
        </w:rPr>
        <w:t xml:space="preserve"> </w:t>
      </w:r>
      <w:r w:rsidRPr="00D1484A">
        <w:rPr>
          <w:rFonts w:ascii="Symbol" w:eastAsia="Symbol" w:hAnsi="Symbol" w:cs="Symbol"/>
          <w:i/>
        </w:rPr>
        <w:t></w:t>
      </w:r>
      <w:r w:rsidRPr="00D1484A">
        <w:rPr>
          <w:vertAlign w:val="subscript"/>
        </w:rPr>
        <w:t>f</w:t>
      </w:r>
      <w:r w:rsidRPr="00D1484A">
        <w:rPr>
          <w:i/>
        </w:rPr>
        <w:t xml:space="preserve"> </w:t>
      </w:r>
      <w:r w:rsidRPr="00D1484A">
        <w:rPr>
          <w:rFonts w:ascii="Symbol" w:eastAsia="Symbol" w:hAnsi="Symbol" w:cs="Symbol"/>
        </w:rPr>
        <w:t></w:t>
      </w:r>
      <w:r w:rsidRPr="00D1484A">
        <w:t xml:space="preserve"> 1/cos</w:t>
      </w:r>
      <w:r w:rsidRPr="00D1484A">
        <w:rPr>
          <w:rFonts w:ascii="Symbol" w:eastAsia="Symbol" w:hAnsi="Symbol" w:cs="Symbol"/>
          <w:i/>
        </w:rPr>
        <w:t></w:t>
      </w:r>
      <w:r w:rsidRPr="00D1484A">
        <w:rPr>
          <w:iCs/>
          <w:vertAlign w:val="subscript"/>
        </w:rPr>
        <w:t>lag</w:t>
      </w:r>
      <w:r w:rsidRPr="00D1484A">
        <w:t>:</w:t>
      </w:r>
      <w:r w:rsidRPr="00A30651">
        <w:t xml:space="preserve"> </w:t>
      </w:r>
      <w:r>
        <w:tab/>
      </w:r>
      <w:r w:rsidRPr="00D1484A">
        <w:rPr>
          <w:i/>
        </w:rPr>
        <w:t>CF</w:t>
      </w:r>
      <w:r w:rsidRPr="007E6F67">
        <w:rPr>
          <w:vertAlign w:val="subscript"/>
        </w:rPr>
        <w:t>1</w:t>
      </w:r>
      <w:r w:rsidRPr="007E6F67">
        <w:rPr>
          <w:i/>
          <w:vertAlign w:val="subscript"/>
        </w:rPr>
        <w:t xml:space="preserve"> </w:t>
      </w:r>
      <w:r w:rsidRPr="007E6F67">
        <w:t>= 1</w:t>
      </w:r>
      <w:r w:rsidR="00090087" w:rsidRPr="00870D59">
        <w:tab/>
        <w:t>(</w:t>
      </w:r>
      <w:r w:rsidR="00090087">
        <w:t>9</w:t>
      </w:r>
      <w:r w:rsidR="00090087" w:rsidRPr="00870D59">
        <w:t>.</w:t>
      </w:r>
      <w:r w:rsidR="00090087">
        <w:t>16</w:t>
      </w:r>
      <w:r w:rsidR="00090087" w:rsidRPr="00870D59">
        <w:t>)</w:t>
      </w:r>
    </w:p>
    <w:tbl>
      <w:tblPr>
        <w:tblW w:w="0" w:type="auto"/>
        <w:tblInd w:w="346" w:type="dxa"/>
        <w:tblLook w:val="04A0" w:firstRow="1" w:lastRow="0" w:firstColumn="1" w:lastColumn="0" w:noHBand="0" w:noVBand="1"/>
      </w:tblPr>
      <w:tblGrid>
        <w:gridCol w:w="1342"/>
        <w:gridCol w:w="7875"/>
      </w:tblGrid>
      <w:tr w:rsidR="000231A4" w:rsidRPr="00870D59" w14:paraId="013B52D2" w14:textId="77777777" w:rsidTr="006C6A44">
        <w:tc>
          <w:tcPr>
            <w:tcW w:w="1342" w:type="dxa"/>
            <w:shd w:val="clear" w:color="auto" w:fill="auto"/>
          </w:tcPr>
          <w:p w14:paraId="69880D07" w14:textId="03804FF8" w:rsidR="000231A4" w:rsidRPr="00523AC3" w:rsidRDefault="000231A4" w:rsidP="002061E5">
            <w:pPr>
              <w:pStyle w:val="Tablebody"/>
              <w:rPr>
                <w:i/>
                <w:iCs/>
              </w:rPr>
            </w:pPr>
            <w:r w:rsidRPr="00D1484A">
              <w:rPr>
                <w:i/>
              </w:rPr>
              <w:t>CF</w:t>
            </w:r>
            <w:r w:rsidRPr="00D1484A">
              <w:rPr>
                <w:vertAlign w:val="subscript"/>
              </w:rPr>
              <w:t>2</w:t>
            </w:r>
          </w:p>
        </w:tc>
        <w:tc>
          <w:tcPr>
            <w:tcW w:w="7875" w:type="dxa"/>
          </w:tcPr>
          <w:p w14:paraId="2368A980" w14:textId="6EE2F77F" w:rsidR="000231A4" w:rsidRPr="00303F71" w:rsidRDefault="0046704A" w:rsidP="002061E5">
            <w:pPr>
              <w:pStyle w:val="Tablebody"/>
            </w:pPr>
            <w:r w:rsidRPr="00E05E29">
              <w:t>is given by Formulas (9.17) to (9.19)</w:t>
            </w:r>
            <w:r w:rsidR="002D0B58">
              <w:t>:</w:t>
            </w:r>
          </w:p>
        </w:tc>
      </w:tr>
    </w:tbl>
    <w:p w14:paraId="5BE4E20F" w14:textId="7173EFA4" w:rsidR="000231A4" w:rsidRPr="00870D59" w:rsidRDefault="0046704A" w:rsidP="000231A4">
      <w:pPr>
        <w:pStyle w:val="Formula"/>
        <w:tabs>
          <w:tab w:val="clear" w:pos="9749"/>
          <w:tab w:val="left" w:pos="3686"/>
          <w:tab w:val="right" w:pos="4253"/>
          <w:tab w:val="right" w:pos="9751"/>
        </w:tabs>
      </w:pPr>
      <w:r w:rsidRPr="00E05E29">
        <w:t xml:space="preserve">if </w:t>
      </w:r>
      <w:r w:rsidRPr="00E05E29">
        <w:rPr>
          <w:rFonts w:ascii="Symbol" w:hAnsi="Symbol"/>
          <w:i/>
        </w:rPr>
        <w:t></w:t>
      </w:r>
      <w:r w:rsidRPr="00E05E29">
        <w:rPr>
          <w:iCs/>
          <w:vertAlign w:val="subscript"/>
        </w:rPr>
        <w:t>ve</w:t>
      </w:r>
      <w:r w:rsidRPr="00E05E29">
        <w:rPr>
          <w:i/>
        </w:rPr>
        <w:t xml:space="preserve"> </w:t>
      </w:r>
      <w:r w:rsidRPr="00E05E29">
        <w:rPr>
          <w:rFonts w:ascii="Symbol" w:eastAsia="Symbol" w:hAnsi="Symbol" w:cs="Symbol"/>
        </w:rPr>
        <w:t></w:t>
      </w:r>
      <w:r w:rsidRPr="00E05E29">
        <w:t xml:space="preserve"> 0,25</w:t>
      </w:r>
      <w:r w:rsidR="000231A4" w:rsidRPr="00E05E29">
        <w:t>:</w:t>
      </w:r>
      <w:r w:rsidR="000231A4" w:rsidRPr="00870D59">
        <w:tab/>
      </w:r>
      <w:r w:rsidRPr="00E05E29">
        <w:rPr>
          <w:i/>
        </w:rPr>
        <w:t>CF</w:t>
      </w:r>
      <w:r w:rsidRPr="00E05E29">
        <w:rPr>
          <w:vertAlign w:val="subscript"/>
        </w:rPr>
        <w:t>2</w:t>
      </w:r>
      <w:r w:rsidRPr="00E05E29">
        <w:rPr>
          <w:i/>
          <w:vertAlign w:val="subscript"/>
        </w:rPr>
        <w:t xml:space="preserve"> </w:t>
      </w:r>
      <w:r w:rsidRPr="00E05E29">
        <w:t>= 1</w:t>
      </w:r>
      <w:r w:rsidR="000231A4" w:rsidRPr="00870D59">
        <w:tab/>
        <w:t>(</w:t>
      </w:r>
      <w:r w:rsidR="000231A4">
        <w:t>9</w:t>
      </w:r>
      <w:r w:rsidR="000231A4" w:rsidRPr="00870D59">
        <w:t>.</w:t>
      </w:r>
      <w:r w:rsidR="000231A4">
        <w:t>1</w:t>
      </w:r>
      <w:r>
        <w:t>7</w:t>
      </w:r>
      <w:r w:rsidR="000231A4" w:rsidRPr="00870D59">
        <w:t>)</w:t>
      </w:r>
    </w:p>
    <w:p w14:paraId="76C133E3" w14:textId="07BD6583" w:rsidR="000231A4" w:rsidRPr="00870D59" w:rsidRDefault="0046704A" w:rsidP="000231A4">
      <w:pPr>
        <w:pStyle w:val="Formula"/>
        <w:tabs>
          <w:tab w:val="clear" w:pos="9749"/>
          <w:tab w:val="right" w:pos="3686"/>
          <w:tab w:val="right" w:pos="4253"/>
          <w:tab w:val="right" w:pos="9747"/>
        </w:tabs>
      </w:pPr>
      <w:r w:rsidRPr="00D1484A">
        <w:t xml:space="preserve">if 0,25 &lt; </w:t>
      </w:r>
      <w:r w:rsidRPr="00D1484A">
        <w:rPr>
          <w:rFonts w:ascii="Symbol" w:hAnsi="Symbol"/>
          <w:i/>
        </w:rPr>
        <w:t></w:t>
      </w:r>
      <w:r w:rsidRPr="00D1484A">
        <w:rPr>
          <w:iCs/>
          <w:vertAlign w:val="subscript"/>
        </w:rPr>
        <w:t>ve</w:t>
      </w:r>
      <w:r w:rsidRPr="00D1484A">
        <w:rPr>
          <w:i/>
        </w:rPr>
        <w:t xml:space="preserve"> </w:t>
      </w:r>
      <w:r w:rsidRPr="00D1484A">
        <w:rPr>
          <w:rFonts w:ascii="Symbol" w:eastAsia="Symbol" w:hAnsi="Symbol" w:cs="Symbol"/>
        </w:rPr>
        <w:t></w:t>
      </w:r>
      <w:r w:rsidRPr="00D1484A">
        <w:t>1</w:t>
      </w:r>
      <w:r w:rsidR="000231A4" w:rsidRPr="00E05E29">
        <w:t>:</w:t>
      </w:r>
      <w:r w:rsidR="000231A4">
        <w:tab/>
      </w:r>
      <w:r w:rsidR="000231A4">
        <w:tab/>
      </w:r>
      <w:r w:rsidRPr="00D1484A">
        <w:rPr>
          <w:i/>
        </w:rPr>
        <w:t>CF</w:t>
      </w:r>
      <w:r w:rsidRPr="00D1484A">
        <w:rPr>
          <w:vertAlign w:val="subscript"/>
        </w:rPr>
        <w:t>2</w:t>
      </w:r>
      <w:r w:rsidRPr="007E6F67">
        <w:rPr>
          <w:i/>
          <w:vertAlign w:val="subscript"/>
        </w:rPr>
        <w:t xml:space="preserve"> </w:t>
      </w:r>
      <w:r w:rsidRPr="007E6F67">
        <w:t>= (sin</w:t>
      </w:r>
      <w:r w:rsidRPr="007E6F67">
        <w:rPr>
          <w:rFonts w:ascii="Symbol" w:eastAsia="Symbol" w:hAnsi="Symbol" w:cs="Symbol"/>
          <w:i/>
        </w:rPr>
        <w:t></w:t>
      </w:r>
      <w:r w:rsidRPr="00FD17CF">
        <w:rPr>
          <w:iCs/>
          <w:vertAlign w:val="subscript"/>
        </w:rPr>
        <w:t>lag</w:t>
      </w:r>
      <w:r w:rsidRPr="00FD17CF">
        <w:t>)</w:t>
      </w:r>
      <w:r w:rsidRPr="001C3607">
        <w:rPr>
          <w:rFonts w:ascii="Symbol" w:hAnsi="Symbol"/>
          <w:i/>
          <w:vertAlign w:val="superscript"/>
        </w:rPr>
        <w:t></w:t>
      </w:r>
      <w:r w:rsidRPr="001C3607">
        <w:rPr>
          <w:iCs/>
          <w:vertAlign w:val="superscript"/>
        </w:rPr>
        <w:t>ve</w:t>
      </w:r>
      <w:r w:rsidR="000231A4" w:rsidRPr="00870D59">
        <w:tab/>
        <w:t>(</w:t>
      </w:r>
      <w:r w:rsidR="000231A4">
        <w:t>9</w:t>
      </w:r>
      <w:r w:rsidR="000231A4" w:rsidRPr="00870D59">
        <w:t>.</w:t>
      </w:r>
      <w:r w:rsidR="000231A4">
        <w:t>1</w:t>
      </w:r>
      <w:r>
        <w:t>8</w:t>
      </w:r>
      <w:r w:rsidR="000231A4" w:rsidRPr="00870D59">
        <w:t>)</w:t>
      </w:r>
    </w:p>
    <w:p w14:paraId="6CF079FB" w14:textId="07EBFAAE" w:rsidR="000231A4" w:rsidRPr="00870D59" w:rsidRDefault="0046704A" w:rsidP="000231A4">
      <w:pPr>
        <w:pStyle w:val="Formula"/>
        <w:tabs>
          <w:tab w:val="clear" w:pos="9749"/>
          <w:tab w:val="left" w:pos="3686"/>
          <w:tab w:val="right" w:pos="9751"/>
        </w:tabs>
      </w:pPr>
      <w:r w:rsidRPr="00D1484A">
        <w:t>if</w:t>
      </w:r>
      <w:r w:rsidRPr="00D1484A">
        <w:rPr>
          <w:i/>
        </w:rPr>
        <w:t xml:space="preserve"> </w:t>
      </w:r>
      <w:r w:rsidRPr="00D1484A">
        <w:rPr>
          <w:rFonts w:ascii="Symbol" w:hAnsi="Symbol"/>
          <w:i/>
        </w:rPr>
        <w:t></w:t>
      </w:r>
      <w:r w:rsidRPr="00D1484A">
        <w:rPr>
          <w:iCs/>
          <w:vertAlign w:val="subscript"/>
        </w:rPr>
        <w:t>ve</w:t>
      </w:r>
      <w:r w:rsidRPr="00D1484A">
        <w:rPr>
          <w:i/>
        </w:rPr>
        <w:t> </w:t>
      </w:r>
      <w:r w:rsidRPr="00D1484A">
        <w:t>&gt; 1</w:t>
      </w:r>
      <w:r w:rsidR="000231A4" w:rsidRPr="00D1484A">
        <w:t>:</w:t>
      </w:r>
      <w:r w:rsidR="000231A4">
        <w:tab/>
      </w:r>
      <w:r w:rsidRPr="00D1484A">
        <w:rPr>
          <w:i/>
        </w:rPr>
        <w:t>CF</w:t>
      </w:r>
      <w:r w:rsidRPr="007E6F67">
        <w:rPr>
          <w:vertAlign w:val="subscript"/>
        </w:rPr>
        <w:t>2</w:t>
      </w:r>
      <w:r w:rsidRPr="007E6F67">
        <w:rPr>
          <w:i/>
          <w:vertAlign w:val="subscript"/>
        </w:rPr>
        <w:t xml:space="preserve"> </w:t>
      </w:r>
      <w:r w:rsidRPr="007E6F67">
        <w:t>= sin</w:t>
      </w:r>
      <w:r w:rsidRPr="00FD17CF">
        <w:rPr>
          <w:rFonts w:ascii="Symbol" w:eastAsia="Symbol" w:hAnsi="Symbol" w:cs="Symbol"/>
          <w:i/>
        </w:rPr>
        <w:t></w:t>
      </w:r>
      <w:r w:rsidRPr="00FD17CF">
        <w:rPr>
          <w:iCs/>
          <w:vertAlign w:val="subscript"/>
        </w:rPr>
        <w:t>lag</w:t>
      </w:r>
      <w:r w:rsidR="000231A4" w:rsidRPr="00870D59">
        <w:tab/>
        <w:t>(</w:t>
      </w:r>
      <w:r w:rsidR="000231A4">
        <w:t>9</w:t>
      </w:r>
      <w:r w:rsidR="000231A4" w:rsidRPr="00870D59">
        <w:t>.</w:t>
      </w:r>
      <w:r w:rsidR="000231A4">
        <w:t>1</w:t>
      </w:r>
      <w:r>
        <w:t>9</w:t>
      </w:r>
      <w:r w:rsidR="000231A4" w:rsidRPr="00870D59">
        <w:t>)</w:t>
      </w:r>
    </w:p>
    <w:tbl>
      <w:tblPr>
        <w:tblW w:w="0" w:type="auto"/>
        <w:tblInd w:w="346" w:type="dxa"/>
        <w:tblLook w:val="04A0" w:firstRow="1" w:lastRow="0" w:firstColumn="1" w:lastColumn="0" w:noHBand="0" w:noVBand="1"/>
      </w:tblPr>
      <w:tblGrid>
        <w:gridCol w:w="1342"/>
        <w:gridCol w:w="7875"/>
      </w:tblGrid>
      <w:tr w:rsidR="0046704A" w:rsidRPr="002D0B58" w14:paraId="4D0E2FC5" w14:textId="77777777" w:rsidTr="006C6A44">
        <w:tc>
          <w:tcPr>
            <w:tcW w:w="1342" w:type="dxa"/>
            <w:shd w:val="clear" w:color="auto" w:fill="auto"/>
          </w:tcPr>
          <w:p w14:paraId="6D64CB4B" w14:textId="7859EB3F" w:rsidR="0046704A" w:rsidRPr="002D0B58" w:rsidRDefault="0046704A" w:rsidP="002061E5">
            <w:pPr>
              <w:pStyle w:val="Tablebody"/>
              <w:rPr>
                <w:i/>
                <w:iCs/>
              </w:rPr>
            </w:pPr>
            <w:r w:rsidRPr="002D0B58">
              <w:rPr>
                <w:i/>
              </w:rPr>
              <w:t>m</w:t>
            </w:r>
            <w:r w:rsidRPr="002D0B58">
              <w:rPr>
                <w:vertAlign w:val="subscript"/>
              </w:rPr>
              <w:t>f</w:t>
            </w:r>
          </w:p>
        </w:tc>
        <w:tc>
          <w:tcPr>
            <w:tcW w:w="7875" w:type="dxa"/>
          </w:tcPr>
          <w:p w14:paraId="4ED7EF8F" w14:textId="4F2E5EEF" w:rsidR="0046704A" w:rsidRPr="002D0B58" w:rsidRDefault="0046704A" w:rsidP="002061E5">
            <w:pPr>
              <w:pStyle w:val="Tablebody"/>
            </w:pPr>
            <w:r w:rsidRPr="002D0B58">
              <w:t>is the displacement ductility factor defined in 9.3.2.1(4);</w:t>
            </w:r>
          </w:p>
        </w:tc>
      </w:tr>
      <w:tr w:rsidR="0046704A" w:rsidRPr="002D0B58" w14:paraId="3E3C47D1" w14:textId="77777777" w:rsidTr="006C6A44">
        <w:tc>
          <w:tcPr>
            <w:tcW w:w="1342" w:type="dxa"/>
            <w:shd w:val="clear" w:color="auto" w:fill="auto"/>
          </w:tcPr>
          <w:p w14:paraId="04574A53" w14:textId="61E7E914" w:rsidR="0046704A" w:rsidRPr="002D0B58" w:rsidRDefault="0046704A" w:rsidP="002061E5">
            <w:pPr>
              <w:pStyle w:val="Tablebody"/>
              <w:rPr>
                <w:i/>
              </w:rPr>
            </w:pPr>
            <w:r w:rsidRPr="002D0B58">
              <w:rPr>
                <w:rFonts w:ascii="Symbol" w:hAnsi="Symbol"/>
                <w:i/>
              </w:rPr>
              <w:t></w:t>
            </w:r>
            <w:r w:rsidRPr="002D0B58">
              <w:rPr>
                <w:iCs/>
                <w:vertAlign w:val="subscript"/>
              </w:rPr>
              <w:t>ve</w:t>
            </w:r>
          </w:p>
        </w:tc>
        <w:tc>
          <w:tcPr>
            <w:tcW w:w="7875" w:type="dxa"/>
          </w:tcPr>
          <w:p w14:paraId="23CB02EF" w14:textId="5FD8567B" w:rsidR="0046704A" w:rsidRPr="002D0B58" w:rsidRDefault="0046704A" w:rsidP="002061E5">
            <w:pPr>
              <w:pStyle w:val="Tablebody"/>
            </w:pPr>
            <w:r w:rsidRPr="002D0B58">
              <w:rPr>
                <w:iCs/>
              </w:rPr>
              <w:t>is defined in 9.3.2.4(2);</w:t>
            </w:r>
          </w:p>
        </w:tc>
      </w:tr>
      <w:tr w:rsidR="0046704A" w:rsidRPr="002D0B58" w14:paraId="08F35F69" w14:textId="77777777" w:rsidTr="006C6A44">
        <w:tc>
          <w:tcPr>
            <w:tcW w:w="1342" w:type="dxa"/>
            <w:shd w:val="clear" w:color="auto" w:fill="auto"/>
          </w:tcPr>
          <w:p w14:paraId="365964DB" w14:textId="429C7765" w:rsidR="0046704A" w:rsidRPr="002D0B58" w:rsidRDefault="0046704A" w:rsidP="002061E5">
            <w:pPr>
              <w:pStyle w:val="Tablebody"/>
              <w:rPr>
                <w:i/>
              </w:rPr>
            </w:pPr>
            <w:r w:rsidRPr="002D0B58">
              <w:rPr>
                <w:rFonts w:ascii="Symbol" w:eastAsia="Symbol" w:hAnsi="Symbol" w:cs="Symbol"/>
                <w:i/>
              </w:rPr>
              <w:t></w:t>
            </w:r>
            <w:r w:rsidRPr="002D0B58">
              <w:rPr>
                <w:iCs/>
                <w:vertAlign w:val="subscript"/>
              </w:rPr>
              <w:t>lag</w:t>
            </w:r>
          </w:p>
        </w:tc>
        <w:tc>
          <w:tcPr>
            <w:tcW w:w="7875" w:type="dxa"/>
          </w:tcPr>
          <w:p w14:paraId="1E7EFE6D" w14:textId="2061D398" w:rsidR="0046704A" w:rsidRPr="002D0B58" w:rsidRDefault="0046704A" w:rsidP="002061E5">
            <w:pPr>
              <w:pStyle w:val="Tablebody"/>
            </w:pPr>
            <w:r w:rsidRPr="002D0B58">
              <w:t>is a phase lag angle that should be calculated with Formula (9.20)</w:t>
            </w:r>
            <w:r w:rsidR="002D0B58">
              <w:t>:</w:t>
            </w:r>
          </w:p>
        </w:tc>
      </w:tr>
    </w:tbl>
    <w:p w14:paraId="35DA35DA" w14:textId="70F61D08" w:rsidR="002262C7" w:rsidRPr="002D0B58" w:rsidRDefault="009B5CEC" w:rsidP="002262C7">
      <w:pPr>
        <w:pStyle w:val="Formula"/>
      </w:pPr>
      <m:oMath>
        <m:sSub>
          <m:sSubPr>
            <m:ctrlPr>
              <w:rPr>
                <w:rFonts w:ascii="Cambria Math" w:hAnsi="Cambria Math"/>
              </w:rPr>
            </m:ctrlPr>
          </m:sSubPr>
          <m:e>
            <m:r>
              <w:rPr>
                <w:rFonts w:ascii="Cambria Math" w:hAnsi="Cambria Math"/>
              </w:rPr>
              <m:t>δ</m:t>
            </m:r>
          </m:e>
          <m:sub>
            <m:r>
              <m:rPr>
                <m:sty m:val="p"/>
              </m:rPr>
              <w:rPr>
                <w:rFonts w:ascii="Cambria Math" w:hAnsi="Cambria Math"/>
              </w:rPr>
              <m:t>lag</m:t>
            </m:r>
          </m:sub>
        </m:sSub>
        <m:r>
          <w:rPr>
            <w:rFonts w:ascii="Cambria Math" w:hAnsi="Cambria Math"/>
          </w:rPr>
          <m:t>=</m:t>
        </m:r>
        <m:sSup>
          <m:sSupPr>
            <m:ctrlPr>
              <w:rPr>
                <w:rFonts w:ascii="Cambria Math" w:hAnsi="Cambria Math"/>
              </w:rPr>
            </m:ctrlPr>
          </m:sSupPr>
          <m:e>
            <m:d>
              <m:dPr>
                <m:begChr m:val="["/>
                <m:endChr m:val="]"/>
                <m:ctrlPr>
                  <w:rPr>
                    <w:rFonts w:ascii="Cambria Math" w:hAnsi="Cambria Math"/>
                  </w:rPr>
                </m:ctrlPr>
              </m:dPr>
              <m:e>
                <m:f>
                  <m:fPr>
                    <m:ctrlPr>
                      <w:rPr>
                        <w:rFonts w:ascii="Cambria Math" w:hAnsi="Cambria Math"/>
                      </w:rPr>
                    </m:ctrlPr>
                  </m:fPr>
                  <m:num>
                    <m:r>
                      <w:rPr>
                        <w:rFonts w:ascii="Cambria Math" w:hAnsi="Cambria Math"/>
                      </w:rPr>
                      <m:t>2π</m:t>
                    </m:r>
                    <m:sSub>
                      <m:sSubPr>
                        <m:ctrlPr>
                          <w:rPr>
                            <w:rFonts w:ascii="Cambria Math" w:hAnsi="Cambria Math"/>
                          </w:rPr>
                        </m:ctrlPr>
                      </m:sSubPr>
                      <m:e>
                        <m:r>
                          <w:rPr>
                            <w:rFonts w:ascii="Cambria Math" w:hAnsi="Cambria Math"/>
                          </w:rPr>
                          <m:t>α</m:t>
                        </m:r>
                      </m:e>
                      <m:sub>
                        <m:r>
                          <m:rPr>
                            <m:sty m:val="p"/>
                          </m:rPr>
                          <w:rPr>
                            <w:rFonts w:ascii="Cambria Math" w:hAnsi="Cambria Math"/>
                          </w:rPr>
                          <m:t>ve</m:t>
                        </m:r>
                      </m:sub>
                    </m:sSub>
                  </m:num>
                  <m:den>
                    <m:r>
                      <w:rPr>
                        <w:rFonts w:ascii="Cambria Math" w:hAnsi="Cambria Math"/>
                      </w:rPr>
                      <m:t>2,1+1,9 exp</m:t>
                    </m:r>
                    <m:d>
                      <m:dPr>
                        <m:ctrlPr>
                          <w:rPr>
                            <w:rFonts w:ascii="Cambria Math" w:hAnsi="Cambria Math"/>
                          </w:rPr>
                        </m:ctrlPr>
                      </m:dPr>
                      <m:e>
                        <m:r>
                          <w:rPr>
                            <w:rFonts w:ascii="Cambria Math" w:hAnsi="Cambria Math"/>
                          </w:rPr>
                          <m:t>-0,6</m:t>
                        </m:r>
                        <m:sSub>
                          <m:sSubPr>
                            <m:ctrlPr>
                              <w:rPr>
                                <w:rFonts w:ascii="Cambria Math" w:hAnsi="Cambria Math"/>
                              </w:rPr>
                            </m:ctrlPr>
                          </m:sSubPr>
                          <m:e>
                            <m:r>
                              <w:rPr>
                                <w:rFonts w:ascii="Cambria Math" w:hAnsi="Cambria Math"/>
                              </w:rPr>
                              <m:t>α</m:t>
                            </m:r>
                          </m:e>
                          <m:sub>
                            <m:r>
                              <m:rPr>
                                <m:sty m:val="p"/>
                              </m:rPr>
                              <w:rPr>
                                <w:rFonts w:ascii="Cambria Math" w:hAnsi="Cambria Math"/>
                              </w:rPr>
                              <m:t>ve</m:t>
                            </m:r>
                          </m:sub>
                        </m:sSub>
                      </m:e>
                    </m:d>
                  </m:den>
                </m:f>
                <m:d>
                  <m:dPr>
                    <m:ctrlPr>
                      <w:rPr>
                        <w:rFonts w:ascii="Cambria Math" w:hAnsi="Cambria Math"/>
                      </w:rPr>
                    </m:ctrlPr>
                  </m:dPr>
                  <m:e>
                    <m:sSub>
                      <m:sSubPr>
                        <m:ctrlPr>
                          <w:rPr>
                            <w:rFonts w:ascii="Cambria Math" w:hAnsi="Cambria Math"/>
                          </w:rPr>
                        </m:ctrlPr>
                      </m:sSubPr>
                      <m:e>
                        <m:r>
                          <w:rPr>
                            <w:rFonts w:ascii="Cambria Math" w:hAnsi="Cambria Math"/>
                          </w:rPr>
                          <m:t>ξ</m:t>
                        </m:r>
                      </m:e>
                      <m:sub>
                        <m:r>
                          <m:rPr>
                            <m:sty m:val="p"/>
                          </m:rPr>
                          <w:rPr>
                            <w:rFonts w:ascii="Cambria Math" w:hAnsi="Cambria Math"/>
                          </w:rPr>
                          <m:t>eff 1</m:t>
                        </m:r>
                      </m:sub>
                    </m:sSub>
                    <m:r>
                      <w:rPr>
                        <w:rFonts w:ascii="Cambria Math" w:hAnsi="Cambria Math"/>
                      </w:rPr>
                      <m:t>-</m:t>
                    </m:r>
                    <m:sSub>
                      <m:sSubPr>
                        <m:ctrlPr>
                          <w:rPr>
                            <w:rFonts w:ascii="Cambria Math" w:hAnsi="Cambria Math"/>
                          </w:rPr>
                        </m:ctrlPr>
                      </m:sSubPr>
                      <m:e>
                        <m:r>
                          <w:rPr>
                            <w:rFonts w:ascii="Cambria Math" w:hAnsi="Cambria Math"/>
                          </w:rPr>
                          <m:t>ξ</m:t>
                        </m:r>
                      </m:e>
                      <m:sub>
                        <m:r>
                          <m:rPr>
                            <m:sty m:val="p"/>
                          </m:rPr>
                          <w:rPr>
                            <w:rFonts w:ascii="Cambria Math" w:hAnsi="Cambria Math"/>
                          </w:rPr>
                          <m:t>H</m:t>
                        </m:r>
                      </m:sub>
                    </m:sSub>
                  </m:e>
                </m:d>
              </m:e>
            </m:d>
          </m:e>
          <m:sup>
            <m:f>
              <m:fPr>
                <m:ctrlPr>
                  <w:rPr>
                    <w:rFonts w:ascii="Cambria Math" w:hAnsi="Cambria Math"/>
                  </w:rPr>
                </m:ctrlPr>
              </m:fPr>
              <m:num>
                <m:r>
                  <w:rPr>
                    <w:rFonts w:ascii="Cambria Math" w:hAnsi="Cambria Math"/>
                  </w:rPr>
                  <m:t>1</m:t>
                </m:r>
              </m:num>
              <m:den>
                <m:r>
                  <w:rPr>
                    <w:rFonts w:ascii="Cambria Math" w:hAnsi="Cambria Math"/>
                  </w:rPr>
                  <m:t>2-</m:t>
                </m:r>
                <m:sSub>
                  <m:sSubPr>
                    <m:ctrlPr>
                      <w:rPr>
                        <w:rFonts w:ascii="Cambria Math" w:hAnsi="Cambria Math"/>
                      </w:rPr>
                    </m:ctrlPr>
                  </m:sSubPr>
                  <m:e>
                    <m:r>
                      <w:rPr>
                        <w:rFonts w:ascii="Cambria Math" w:hAnsi="Cambria Math"/>
                      </w:rPr>
                      <m:t>α</m:t>
                    </m:r>
                  </m:e>
                  <m:sub>
                    <m:r>
                      <w:rPr>
                        <w:rFonts w:ascii="Cambria Math" w:hAnsi="Cambria Math"/>
                      </w:rPr>
                      <m:t>ve</m:t>
                    </m:r>
                  </m:sub>
                </m:sSub>
              </m:den>
            </m:f>
          </m:sup>
        </m:sSup>
      </m:oMath>
      <w:r w:rsidR="002262C7" w:rsidRPr="002D0B58">
        <w:tab/>
        <w:t>(9.20)</w:t>
      </w:r>
    </w:p>
    <w:p w14:paraId="0F50C1D7" w14:textId="40FC1AD0" w:rsidR="002262C7" w:rsidRPr="002D0B58" w:rsidRDefault="00675EBA" w:rsidP="002D0B58">
      <w:pPr>
        <w:pStyle w:val="Text"/>
      </w:pPr>
      <w:r w:rsidRPr="002D0B58">
        <w:t>where</w:t>
      </w:r>
      <w:r w:rsidR="002D0B58">
        <w:t xml:space="preserve"> </w:t>
      </w:r>
      <w:r w:rsidR="002D0B58" w:rsidRPr="002D0B58">
        <w:rPr>
          <w:rFonts w:ascii="Symbol" w:eastAsia="Symbol" w:hAnsi="Symbol" w:cs="Symbol"/>
          <w:i/>
          <w:iCs/>
        </w:rPr>
        <w:t></w:t>
      </w:r>
      <w:r w:rsidR="002D0B58" w:rsidRPr="002D0B58">
        <w:rPr>
          <w:vertAlign w:val="subscript"/>
        </w:rPr>
        <w:t>H</w:t>
      </w:r>
      <w:r w:rsidR="002D0B58">
        <w:t xml:space="preserve"> </w:t>
      </w:r>
      <w:r w:rsidR="002D0B58" w:rsidRPr="002D0B58">
        <w:t xml:space="preserve">is the component of effective damping of the structure in the direction under consideration, due to post-yield hysteretic behaviour of the primary seismic members of the main structural system associated with the ductility factor </w:t>
      </w:r>
      <w:r w:rsidR="002D0B58" w:rsidRPr="002D0B58">
        <w:rPr>
          <w:rFonts w:ascii="Symbol" w:eastAsia="Symbol" w:hAnsi="Symbol" w:cs="Symbol"/>
          <w:i/>
          <w:iCs/>
        </w:rPr>
        <w:t></w:t>
      </w:r>
      <w:r w:rsidR="002D0B58" w:rsidRPr="002D0B58">
        <w:rPr>
          <w:vertAlign w:val="subscript"/>
        </w:rPr>
        <w:t>f</w:t>
      </w:r>
      <w:r w:rsidR="002D0B58" w:rsidRPr="002D0B58">
        <w:t>, calculated in accordance with Annex D, D.3.2.</w:t>
      </w:r>
    </w:p>
    <w:p w14:paraId="53A30B6F" w14:textId="11098832" w:rsidR="004B67E2" w:rsidRPr="00E05E29" w:rsidRDefault="004B67E2" w:rsidP="004B67E2">
      <w:pPr>
        <w:pStyle w:val="Heading4"/>
      </w:pPr>
      <w:bookmarkStart w:id="1186" w:name="_Toc108342307"/>
      <w:r w:rsidRPr="00E05E29">
        <w:t>Response in higher modes</w:t>
      </w:r>
      <w:bookmarkEnd w:id="1186"/>
    </w:p>
    <w:p w14:paraId="30FA73AC" w14:textId="577E79C2" w:rsidR="004B67E2" w:rsidRPr="00E05E29" w:rsidRDefault="004B67E2" w:rsidP="0080187E">
      <w:pPr>
        <w:pStyle w:val="Clause"/>
        <w:numPr>
          <w:ilvl w:val="0"/>
          <w:numId w:val="289"/>
        </w:numPr>
      </w:pPr>
      <w:r w:rsidRPr="00E05E29">
        <w:t>The response of the structure in higher modes of vibration (</w:t>
      </w:r>
      <w:r w:rsidRPr="00CB6D42">
        <w:rPr>
          <w:i/>
          <w:iCs/>
        </w:rPr>
        <w:t xml:space="preserve">m </w:t>
      </w:r>
      <w:r w:rsidRPr="00E05E29">
        <w:t xml:space="preserve">&gt; 1) in the direction under consideration should be obtained assuming that: (i) the primary seismic members of the main structural system remain elastic; and (ii) the nonlinear viscous-type energy dissipation devices behave as linear with an effective damping coefficient </w:t>
      </w:r>
      <w:r w:rsidRPr="00CB6D42">
        <w:rPr>
          <w:i/>
          <w:iCs/>
        </w:rPr>
        <w:t>C</w:t>
      </w:r>
      <w:r w:rsidRPr="00CB6D42">
        <w:rPr>
          <w:vertAlign w:val="subscript"/>
        </w:rPr>
        <w:t>eff </w:t>
      </w:r>
      <w:r w:rsidRPr="00CB6D42">
        <w:rPr>
          <w:i/>
          <w:iCs/>
          <w:vertAlign w:val="subscript"/>
        </w:rPr>
        <w:t>j</w:t>
      </w:r>
      <w:r w:rsidRPr="00E05E29">
        <w:t xml:space="preserve"> given by Formula (9.2</w:t>
      </w:r>
      <w:r>
        <w:t>1</w:t>
      </w:r>
      <w:r w:rsidRPr="00E05E29">
        <w:t>).</w:t>
      </w:r>
    </w:p>
    <w:p w14:paraId="72E301A6" w14:textId="47966512" w:rsidR="004B67E2" w:rsidRPr="00870D59" w:rsidRDefault="009B5CEC" w:rsidP="004B67E2">
      <w:pPr>
        <w:pStyle w:val="Formula"/>
      </w:pPr>
      <m:oMath>
        <m:sSub>
          <m:sSubPr>
            <m:ctrlPr>
              <w:rPr>
                <w:rFonts w:ascii="Cambria Math" w:hAnsi="Cambria Math"/>
              </w:rPr>
            </m:ctrlPr>
          </m:sSubPr>
          <m:e>
            <m:r>
              <w:rPr>
                <w:rFonts w:ascii="Cambria Math" w:hAnsi="Cambria Math"/>
              </w:rPr>
              <m:t>C</m:t>
            </m:r>
          </m:e>
          <m:sub>
            <m:r>
              <m:rPr>
                <m:sty m:val="p"/>
              </m:rPr>
              <w:rPr>
                <w:rFonts w:ascii="Cambria Math" w:hAnsi="Cambria Math"/>
              </w:rPr>
              <m:t>eff j</m:t>
            </m:r>
          </m:sub>
        </m:sSub>
        <m:r>
          <w:rPr>
            <w:rFonts w:ascii="Cambria Math" w:hAnsi="Cambria Math"/>
          </w:rPr>
          <m:t>=</m:t>
        </m:r>
        <m:sSub>
          <m:sSubPr>
            <m:ctrlPr>
              <w:rPr>
                <w:rFonts w:ascii="Cambria Math" w:hAnsi="Cambria Math"/>
              </w:rPr>
            </m:ctrlPr>
          </m:sSubPr>
          <m:e>
            <m:r>
              <w:rPr>
                <w:rFonts w:ascii="Cambria Math" w:hAnsi="Cambria Math"/>
              </w:rPr>
              <m:t>α</m:t>
            </m:r>
          </m:e>
          <m:sub>
            <m:r>
              <m:rPr>
                <m:sty m:val="p"/>
              </m:rPr>
              <w:rPr>
                <w:rFonts w:ascii="Cambria Math" w:hAnsi="Cambria Math"/>
              </w:rPr>
              <m:t>ve</m:t>
            </m:r>
          </m:sub>
        </m:sSub>
        <m:r>
          <w:rPr>
            <w:rFonts w:ascii="Cambria Math" w:hAnsi="Cambria Math"/>
          </w:rPr>
          <m:t xml:space="preserve"> </m:t>
        </m:r>
        <m:sSub>
          <m:sSubPr>
            <m:ctrlPr>
              <w:rPr>
                <w:rFonts w:ascii="Cambria Math" w:hAnsi="Cambria Math"/>
              </w:rPr>
            </m:ctrlPr>
          </m:sSubPr>
          <m:e>
            <m:r>
              <w:rPr>
                <w:rFonts w:ascii="Cambria Math" w:hAnsi="Cambria Math"/>
              </w:rPr>
              <m:t>C</m:t>
            </m:r>
          </m:e>
          <m:sub>
            <m:r>
              <m:rPr>
                <m:sty m:val="p"/>
              </m:rPr>
              <w:rPr>
                <w:rFonts w:ascii="Cambria Math" w:hAnsi="Cambria Math"/>
              </w:rPr>
              <m:t>j</m:t>
            </m:r>
          </m:sub>
        </m:sSub>
        <m:r>
          <w:rPr>
            <w:rFonts w:ascii="Cambria Math" w:hAnsi="Cambria Math"/>
          </w:rPr>
          <m:t xml:space="preserve"> </m:t>
        </m:r>
        <m:sSup>
          <m:sSupPr>
            <m:ctrlPr>
              <w:rPr>
                <w:rFonts w:ascii="Cambria Math" w:hAnsi="Cambria Math"/>
              </w:rPr>
            </m:ctrlPr>
          </m:sSupPr>
          <m:e>
            <m:r>
              <w:rPr>
                <w:rFonts w:ascii="Cambria Math" w:hAnsi="Cambria Math"/>
              </w:rPr>
              <m:t>(</m:t>
            </m:r>
            <m:sSub>
              <m:sSubPr>
                <m:ctrlPr>
                  <w:rPr>
                    <w:rFonts w:ascii="Cambria Math" w:hAnsi="Cambria Math"/>
                  </w:rPr>
                </m:ctrlPr>
              </m:sSubPr>
              <m:e>
                <m:r>
                  <w:rPr>
                    <w:rFonts w:ascii="Cambria Math" w:hAnsi="Cambria Math"/>
                  </w:rPr>
                  <m:t>∆v</m:t>
                </m:r>
              </m:e>
              <m:sub>
                <m:r>
                  <m:rPr>
                    <m:sty m:val="p"/>
                  </m:rPr>
                  <w:rPr>
                    <w:rFonts w:ascii="Cambria Math" w:hAnsi="Cambria Math"/>
                  </w:rPr>
                  <m:t>j</m:t>
                </m:r>
                <m:r>
                  <w:rPr>
                    <w:rFonts w:ascii="Cambria Math" w:hAnsi="Cambria Math"/>
                  </w:rPr>
                  <m:t>1</m:t>
                </m:r>
              </m:sub>
            </m:sSub>
            <m:r>
              <w:rPr>
                <w:rFonts w:ascii="Cambria Math" w:hAnsi="Cambria Math"/>
              </w:rPr>
              <m:t>)</m:t>
            </m:r>
          </m:e>
          <m:sup>
            <m:sSub>
              <m:sSubPr>
                <m:ctrlPr>
                  <w:rPr>
                    <w:rFonts w:ascii="Cambria Math" w:hAnsi="Cambria Math"/>
                  </w:rPr>
                </m:ctrlPr>
              </m:sSubPr>
              <m:e>
                <m:r>
                  <w:rPr>
                    <w:rFonts w:ascii="Cambria Math" w:hAnsi="Cambria Math"/>
                  </w:rPr>
                  <m:t>α</m:t>
                </m:r>
              </m:e>
              <m:sub>
                <m:r>
                  <w:rPr>
                    <w:rFonts w:ascii="Cambria Math" w:hAnsi="Cambria Math"/>
                  </w:rPr>
                  <m:t>ve</m:t>
                </m:r>
              </m:sub>
            </m:sSub>
            <m:r>
              <w:rPr>
                <w:rFonts w:ascii="Cambria Math" w:hAnsi="Cambria Math"/>
              </w:rPr>
              <m:t>-1</m:t>
            </m:r>
          </m:sup>
        </m:sSup>
      </m:oMath>
      <w:r w:rsidR="004B67E2" w:rsidRPr="00870D59">
        <w:tab/>
        <w:t>(</w:t>
      </w:r>
      <w:r w:rsidR="004B67E2">
        <w:t>9</w:t>
      </w:r>
      <w:r w:rsidR="004B67E2" w:rsidRPr="00870D59">
        <w:t>.</w:t>
      </w:r>
      <w:r w:rsidR="004B67E2">
        <w:t>21</w:t>
      </w:r>
      <w:r w:rsidR="004B67E2" w:rsidRPr="00870D59">
        <w:t>)</w:t>
      </w:r>
    </w:p>
    <w:p w14:paraId="09C341C8" w14:textId="577480CE" w:rsidR="004B67E2" w:rsidRPr="002D0B58" w:rsidRDefault="004B67E2" w:rsidP="004B67E2">
      <w:pPr>
        <w:pStyle w:val="Clause"/>
        <w:numPr>
          <w:ilvl w:val="0"/>
          <w:numId w:val="0"/>
        </w:numPr>
        <w:rPr>
          <w:szCs w:val="22"/>
        </w:rPr>
      </w:pPr>
      <w:r>
        <w:rPr>
          <w:bCs/>
          <w:szCs w:val="22"/>
        </w:rPr>
        <w:t>where</w:t>
      </w:r>
      <w:r>
        <w:rPr>
          <w:lang w:eastAsia="en-US"/>
        </w:rPr>
        <w:t xml:space="preserve"> </w:t>
      </w:r>
      <m:oMath>
        <m:r>
          <m:rPr>
            <m:sty m:val="p"/>
          </m:rPr>
          <w:rPr>
            <w:rFonts w:ascii="Cambria Math" w:hAnsi="Cambria Math"/>
            <w:lang w:eastAsia="en-US"/>
          </w:rPr>
          <m:t>Δ</m:t>
        </m:r>
        <m:sSub>
          <m:sSubPr>
            <m:ctrlPr>
              <w:rPr>
                <w:rFonts w:ascii="Cambria Math" w:hAnsi="Cambria Math"/>
                <w:i/>
                <w:lang w:eastAsia="en-US"/>
              </w:rPr>
            </m:ctrlPr>
          </m:sSubPr>
          <m:e>
            <m:r>
              <w:rPr>
                <w:rFonts w:ascii="Cambria Math" w:hAnsi="Cambria Math"/>
                <w:lang w:eastAsia="en-US"/>
              </w:rPr>
              <m:t>v</m:t>
            </m:r>
          </m:e>
          <m:sub>
            <m:r>
              <m:rPr>
                <m:sty m:val="p"/>
              </m:rPr>
              <w:rPr>
                <w:rFonts w:ascii="Cambria Math" w:hAnsi="Cambria Math"/>
                <w:lang w:eastAsia="en-US"/>
              </w:rPr>
              <m:t>j1</m:t>
            </m:r>
          </m:sub>
        </m:sSub>
      </m:oMath>
      <w:r w:rsidRPr="00132C1E">
        <w:rPr>
          <w:lang w:eastAsia="en-US"/>
        </w:rPr>
        <w:t xml:space="preserve"> is given </w:t>
      </w:r>
      <w:r w:rsidRPr="002D0B58">
        <w:rPr>
          <w:lang w:eastAsia="en-US"/>
        </w:rPr>
        <w:t>in 9.3.2.2.3(2).</w:t>
      </w:r>
    </w:p>
    <w:p w14:paraId="7E6E5A3D" w14:textId="356FEBA5" w:rsidR="004B67E2" w:rsidRPr="00E05E29" w:rsidRDefault="004B67E2" w:rsidP="0080187E">
      <w:pPr>
        <w:pStyle w:val="Clause"/>
        <w:numPr>
          <w:ilvl w:val="0"/>
          <w:numId w:val="289"/>
        </w:numPr>
      </w:pPr>
      <w:r w:rsidRPr="00D1484A">
        <w:t xml:space="preserve">The response at the stages of maximum displacement, maximum velocity and maximum acceleration in the higher mode </w:t>
      </w:r>
      <w:r w:rsidRPr="004030A7">
        <w:rPr>
          <w:i/>
        </w:rPr>
        <w:t>m</w:t>
      </w:r>
      <w:r w:rsidRPr="00D1484A">
        <w:t xml:space="preserve"> in the direction under consideration </w:t>
      </w:r>
      <w:r w:rsidRPr="007E6F67">
        <w:t>should be calculated as in the first mode using Formula</w:t>
      </w:r>
      <w:r w:rsidR="006C6A44">
        <w:t>e</w:t>
      </w:r>
      <w:r w:rsidRPr="00FD17CF">
        <w:t xml:space="preserve"> (9.3), (9.4), (9.6) to (9.20) and Formulas of Annex D, replacing the subscript 1</w:t>
      </w:r>
      <w:r w:rsidRPr="004030A7">
        <w:rPr>
          <w:i/>
        </w:rPr>
        <w:t xml:space="preserve"> </w:t>
      </w:r>
      <w:r w:rsidRPr="00E05E29">
        <w:t xml:space="preserve">that indicates the first mode with subscript </w:t>
      </w:r>
      <w:r w:rsidRPr="004030A7">
        <w:rPr>
          <w:i/>
        </w:rPr>
        <w:t>m</w:t>
      </w:r>
      <w:r w:rsidRPr="00E05E29">
        <w:t xml:space="preserve"> for the </w:t>
      </w:r>
      <w:r w:rsidRPr="004030A7">
        <w:rPr>
          <w:i/>
        </w:rPr>
        <w:t>m</w:t>
      </w:r>
      <w:r w:rsidRPr="00E05E29">
        <w:t>-th mode, and modifying the Formula</w:t>
      </w:r>
      <w:r w:rsidR="006C6A44">
        <w:t>e</w:t>
      </w:r>
      <w:r w:rsidRPr="00E05E29">
        <w:t xml:space="preserve"> as given in a) to i):</w:t>
      </w:r>
    </w:p>
    <w:p w14:paraId="6A88C367" w14:textId="77777777" w:rsidR="004B67E2" w:rsidRPr="00E05E29" w:rsidRDefault="004B67E2" w:rsidP="0080187E">
      <w:pPr>
        <w:pStyle w:val="List2"/>
        <w:numPr>
          <w:ilvl w:val="0"/>
          <w:numId w:val="107"/>
        </w:numPr>
        <w:spacing w:before="0" w:after="240" w:line="230" w:lineRule="atLeast"/>
        <w:contextualSpacing w:val="0"/>
      </w:pPr>
      <w:r w:rsidRPr="00E05E29">
        <w:rPr>
          <w:rFonts w:ascii="Symbol" w:eastAsia="Symbol" w:hAnsi="Symbol" w:cs="Symbol"/>
          <w:i/>
        </w:rPr>
        <w:t></w:t>
      </w:r>
      <w:r w:rsidRPr="00E05E29">
        <w:rPr>
          <w:vertAlign w:val="subscript"/>
        </w:rPr>
        <w:t>f</w:t>
      </w:r>
      <w:r w:rsidRPr="00E05E29">
        <w:rPr>
          <w:i/>
          <w:vertAlign w:val="subscript"/>
        </w:rPr>
        <w:t xml:space="preserve"> </w:t>
      </w:r>
      <w:r w:rsidRPr="00E05E29">
        <w:t xml:space="preserve"> should be taken equal to 1;</w:t>
      </w:r>
    </w:p>
    <w:p w14:paraId="1BBD4054" w14:textId="77777777" w:rsidR="004B67E2" w:rsidRPr="00E05E29" w:rsidRDefault="004B67E2" w:rsidP="0080187E">
      <w:pPr>
        <w:pStyle w:val="List2"/>
        <w:numPr>
          <w:ilvl w:val="0"/>
          <w:numId w:val="107"/>
        </w:numPr>
        <w:spacing w:before="0" w:after="240" w:line="230" w:lineRule="atLeast"/>
        <w:contextualSpacing w:val="0"/>
      </w:pPr>
      <w:r w:rsidRPr="00E05E29">
        <w:rPr>
          <w:rFonts w:ascii="Symbol" w:eastAsia="Symbol" w:hAnsi="Symbol" w:cs="Symbol"/>
          <w:i/>
          <w:iCs/>
        </w:rPr>
        <w:t></w:t>
      </w:r>
      <w:r w:rsidRPr="00E05E29">
        <w:rPr>
          <w:vertAlign w:val="subscript"/>
        </w:rPr>
        <w:t>ve</w:t>
      </w:r>
      <w:r w:rsidRPr="00E05E29">
        <w:t xml:space="preserve"> should be taken equal to 1 for all energy-dissipation devices</w:t>
      </w:r>
      <w:r w:rsidRPr="00E05E29">
        <w:rPr>
          <w:rFonts w:ascii="Times New Roman" w:eastAsiaTheme="minorEastAsia" w:hAnsi="Times New Roman"/>
        </w:rPr>
        <w:t xml:space="preserve"> for the response in the first mode</w:t>
      </w:r>
      <w:r w:rsidRPr="00E05E29">
        <w:t>;</w:t>
      </w:r>
    </w:p>
    <w:p w14:paraId="46599E4C" w14:textId="77777777" w:rsidR="004B67E2" w:rsidRPr="00E05E29" w:rsidRDefault="004B67E2" w:rsidP="0080187E">
      <w:pPr>
        <w:pStyle w:val="List2"/>
        <w:numPr>
          <w:ilvl w:val="0"/>
          <w:numId w:val="107"/>
        </w:numPr>
        <w:spacing w:before="0" w:after="240" w:line="230" w:lineRule="atLeast"/>
        <w:contextualSpacing w:val="0"/>
      </w:pPr>
      <w:r w:rsidRPr="00E05E29">
        <w:rPr>
          <w:i/>
        </w:rPr>
        <w:t>C</w:t>
      </w:r>
      <w:r w:rsidRPr="00E05E29">
        <w:rPr>
          <w:i/>
          <w:vertAlign w:val="subscript"/>
        </w:rPr>
        <w:t xml:space="preserve">j </w:t>
      </w:r>
      <w:r w:rsidRPr="00E05E29">
        <w:t xml:space="preserve"> should be taken equal to </w:t>
      </w:r>
      <w:r w:rsidRPr="00E05E29">
        <w:rPr>
          <w:i/>
        </w:rPr>
        <w:t>C</w:t>
      </w:r>
      <w:r w:rsidRPr="00E05E29">
        <w:rPr>
          <w:vertAlign w:val="subscript"/>
        </w:rPr>
        <w:t>eff</w:t>
      </w:r>
      <w:r w:rsidRPr="00E05E29">
        <w:rPr>
          <w:i/>
          <w:vertAlign w:val="subscript"/>
        </w:rPr>
        <w:t> j</w:t>
      </w:r>
      <w:r w:rsidRPr="00E05E29">
        <w:t xml:space="preserve"> given by Formula (9.21);</w:t>
      </w:r>
    </w:p>
    <w:p w14:paraId="771AA3E5" w14:textId="77777777" w:rsidR="004B67E2" w:rsidRPr="00E05E29" w:rsidRDefault="004B67E2" w:rsidP="0080187E">
      <w:pPr>
        <w:pStyle w:val="List2"/>
        <w:numPr>
          <w:ilvl w:val="0"/>
          <w:numId w:val="107"/>
        </w:numPr>
        <w:spacing w:before="0" w:after="240" w:line="230" w:lineRule="atLeast"/>
        <w:contextualSpacing w:val="0"/>
      </w:pPr>
      <w:r w:rsidRPr="00E05E29">
        <w:rPr>
          <w:i/>
        </w:rPr>
        <w:t>T</w:t>
      </w:r>
      <w:r w:rsidRPr="00E05E29">
        <w:rPr>
          <w:vertAlign w:val="subscript"/>
        </w:rPr>
        <w:t>1,e</w:t>
      </w:r>
      <w:r w:rsidRPr="00E05E29">
        <w:rPr>
          <w:i/>
        </w:rPr>
        <w:t xml:space="preserve"> </w:t>
      </w:r>
      <w:r w:rsidRPr="00E05E29">
        <w:t xml:space="preserve">should be replaced by the </w:t>
      </w:r>
      <w:r w:rsidRPr="00E05E29">
        <w:rPr>
          <w:i/>
        </w:rPr>
        <w:t>m</w:t>
      </w:r>
      <w:r w:rsidRPr="00E05E29">
        <w:t xml:space="preserve">-th mode period of the structure with energy-dissipation system in elastic conditions </w:t>
      </w:r>
      <w:r w:rsidRPr="00E05E29">
        <w:rPr>
          <w:i/>
        </w:rPr>
        <w:t>T</w:t>
      </w:r>
      <w:r w:rsidRPr="00E05E29">
        <w:rPr>
          <w:i/>
          <w:vertAlign w:val="subscript"/>
        </w:rPr>
        <w:t>m</w:t>
      </w:r>
      <w:r w:rsidRPr="00E05E29">
        <w:t>;</w:t>
      </w:r>
    </w:p>
    <w:p w14:paraId="540E83AC" w14:textId="77777777" w:rsidR="004B67E2" w:rsidRPr="00E05E29" w:rsidRDefault="004B67E2" w:rsidP="0080187E">
      <w:pPr>
        <w:pStyle w:val="List2"/>
        <w:numPr>
          <w:ilvl w:val="0"/>
          <w:numId w:val="107"/>
        </w:numPr>
        <w:spacing w:before="0" w:after="240" w:line="230" w:lineRule="atLeast"/>
        <w:contextualSpacing w:val="0"/>
      </w:pPr>
      <w:r w:rsidRPr="00E05E29">
        <w:rPr>
          <w:i/>
        </w:rPr>
        <w:t>T</w:t>
      </w:r>
      <w:r w:rsidRPr="00E05E29">
        <w:rPr>
          <w:vertAlign w:val="subscript"/>
        </w:rPr>
        <w:t>p1</w:t>
      </w:r>
      <w:r w:rsidRPr="00E05E29">
        <w:rPr>
          <w:i/>
        </w:rPr>
        <w:t xml:space="preserve"> </w:t>
      </w:r>
      <w:r w:rsidRPr="00E05E29">
        <w:t xml:space="preserve">should be replaced by the </w:t>
      </w:r>
      <w:r w:rsidRPr="00E05E29">
        <w:rPr>
          <w:i/>
        </w:rPr>
        <w:t>m-th</w:t>
      </w:r>
      <w:r w:rsidRPr="00E05E29">
        <w:t xml:space="preserve"> mode period of the main structural system in elastic conditions </w:t>
      </w:r>
      <w:r w:rsidRPr="00E05E29">
        <w:rPr>
          <w:i/>
        </w:rPr>
        <w:t>T</w:t>
      </w:r>
      <w:r w:rsidRPr="00E05E29">
        <w:rPr>
          <w:vertAlign w:val="subscript"/>
        </w:rPr>
        <w:t>p</w:t>
      </w:r>
      <w:r w:rsidRPr="00E05E29">
        <w:rPr>
          <w:i/>
          <w:vertAlign w:val="subscript"/>
        </w:rPr>
        <w:t>m</w:t>
      </w:r>
      <w:r w:rsidRPr="00E05E29">
        <w:t>;</w:t>
      </w:r>
    </w:p>
    <w:p w14:paraId="4BDE4483" w14:textId="77777777" w:rsidR="004B67E2" w:rsidRPr="002D0B58" w:rsidRDefault="004B67E2" w:rsidP="0080187E">
      <w:pPr>
        <w:pStyle w:val="List2"/>
        <w:numPr>
          <w:ilvl w:val="0"/>
          <w:numId w:val="107"/>
        </w:numPr>
        <w:spacing w:before="0" w:after="240" w:line="230" w:lineRule="atLeast"/>
        <w:contextualSpacing w:val="0"/>
      </w:pPr>
      <w:r w:rsidRPr="00E05E29">
        <w:rPr>
          <w:rFonts w:ascii="Symbol" w:eastAsia="Symbol" w:hAnsi="Symbol" w:cs="Symbol"/>
          <w:bCs/>
          <w:i/>
          <w:iCs/>
        </w:rPr>
        <w:t></w:t>
      </w:r>
      <w:r w:rsidRPr="00E05E29">
        <w:rPr>
          <w:bCs/>
          <w:vertAlign w:val="subscript"/>
        </w:rPr>
        <w:t>i1</w:t>
      </w:r>
      <w:r w:rsidRPr="00E05E29">
        <w:rPr>
          <w:b/>
        </w:rPr>
        <w:t xml:space="preserve"> </w:t>
      </w:r>
      <w:r w:rsidRPr="00E05E29">
        <w:t xml:space="preserve">should be replaced with the component </w:t>
      </w:r>
      <w:r w:rsidRPr="00E05E29">
        <w:rPr>
          <w:rFonts w:ascii="Symbol" w:eastAsia="Symbol" w:hAnsi="Symbol" w:cs="Symbol"/>
          <w:i/>
          <w:sz w:val="24"/>
          <w:szCs w:val="24"/>
        </w:rPr>
        <w:t></w:t>
      </w:r>
      <w:r w:rsidRPr="00E05E29">
        <w:rPr>
          <w:iCs/>
          <w:sz w:val="24"/>
          <w:szCs w:val="24"/>
          <w:vertAlign w:val="subscript"/>
        </w:rPr>
        <w:t>im</w:t>
      </w:r>
      <w:r w:rsidRPr="00E05E29">
        <w:t xml:space="preserve"> of </w:t>
      </w:r>
      <w:r w:rsidRPr="002D0B58">
        <w:t xml:space="preserve">the </w:t>
      </w:r>
      <w:r w:rsidRPr="002D0B58">
        <w:rPr>
          <w:i/>
        </w:rPr>
        <w:t>m</w:t>
      </w:r>
      <w:r w:rsidRPr="002D0B58">
        <w:t xml:space="preserve">-th mode </w:t>
      </w:r>
      <w:r w:rsidRPr="002D0B58">
        <w:rPr>
          <w:rFonts w:ascii="Symbol" w:eastAsia="Symbol" w:hAnsi="Symbol" w:cs="Symbol"/>
          <w:i/>
          <w:iCs/>
        </w:rPr>
        <w:t></w:t>
      </w:r>
      <w:r w:rsidRPr="002D0B58">
        <w:rPr>
          <w:vertAlign w:val="subscript"/>
        </w:rPr>
        <w:t>m</w:t>
      </w:r>
      <w:r w:rsidRPr="002D0B58">
        <w:t xml:space="preserve"> </w:t>
      </w:r>
      <w:r w:rsidRPr="002D0B58">
        <w:rPr>
          <w:szCs w:val="18"/>
        </w:rPr>
        <w:t xml:space="preserve">at the </w:t>
      </w:r>
      <w:r w:rsidRPr="002D0B58">
        <w:rPr>
          <w:i/>
          <w:szCs w:val="18"/>
        </w:rPr>
        <w:t>i</w:t>
      </w:r>
      <w:r w:rsidRPr="002D0B58">
        <w:rPr>
          <w:szCs w:val="18"/>
        </w:rPr>
        <w:t xml:space="preserve">-th floor </w:t>
      </w:r>
      <w:r w:rsidRPr="002D0B58">
        <w:t xml:space="preserve">of the structure with energy dissipation system in </w:t>
      </w:r>
      <w:r w:rsidRPr="002D0B58">
        <w:rPr>
          <w:szCs w:val="18"/>
        </w:rPr>
        <w:t>the elastic range, in the direction under consideration</w:t>
      </w:r>
      <w:r w:rsidRPr="002D0B58">
        <w:t xml:space="preserve">; </w:t>
      </w:r>
      <w:r w:rsidRPr="002D0B58">
        <w:rPr>
          <w:rFonts w:ascii="Symbol" w:eastAsia="Symbol" w:hAnsi="Symbol" w:cs="Symbol"/>
          <w:i/>
          <w:iCs/>
        </w:rPr>
        <w:t></w:t>
      </w:r>
      <w:r w:rsidRPr="002D0B58">
        <w:rPr>
          <w:vertAlign w:val="subscript"/>
        </w:rPr>
        <w:t xml:space="preserve">m </w:t>
      </w:r>
      <w:r w:rsidRPr="002D0B58">
        <w:t>should be normalized so that it equals 1 at the roof level;</w:t>
      </w:r>
    </w:p>
    <w:p w14:paraId="28F72611" w14:textId="77777777" w:rsidR="004B67E2" w:rsidRPr="002D0B58" w:rsidRDefault="004B67E2" w:rsidP="0080187E">
      <w:pPr>
        <w:pStyle w:val="List2"/>
        <w:numPr>
          <w:ilvl w:val="0"/>
          <w:numId w:val="107"/>
        </w:numPr>
        <w:spacing w:before="0" w:after="240" w:line="230" w:lineRule="atLeast"/>
        <w:contextualSpacing w:val="0"/>
      </w:pPr>
      <w:r w:rsidRPr="002D0B58">
        <w:rPr>
          <w:rFonts w:ascii="Symbol" w:eastAsia="Symbol" w:hAnsi="Symbol" w:cs="Symbol"/>
          <w:i/>
        </w:rPr>
        <w:t></w:t>
      </w:r>
      <w:r w:rsidRPr="002D0B58">
        <w:rPr>
          <w:vertAlign w:val="subscript"/>
        </w:rPr>
        <w:t>1</w:t>
      </w:r>
      <w:r w:rsidRPr="002D0B58">
        <w:t xml:space="preserve"> should be replaced by the </w:t>
      </w:r>
      <w:r w:rsidRPr="002D0B58">
        <w:rPr>
          <w:i/>
        </w:rPr>
        <w:t>m</w:t>
      </w:r>
      <w:r w:rsidRPr="002D0B58">
        <w:t xml:space="preserve">-th mode participation factor </w:t>
      </w:r>
      <w:r w:rsidRPr="002D0B58">
        <w:rPr>
          <w:rFonts w:ascii="Symbol" w:eastAsia="Symbol" w:hAnsi="Symbol" w:cs="Symbol"/>
          <w:i/>
        </w:rPr>
        <w:t></w:t>
      </w:r>
      <w:r w:rsidRPr="002D0B58">
        <w:rPr>
          <w:i/>
          <w:vertAlign w:val="subscript"/>
        </w:rPr>
        <w:t>m</w:t>
      </w:r>
      <w:r w:rsidRPr="002D0B58">
        <w:t xml:space="preserve"> of the structure with energy dissipation system in </w:t>
      </w:r>
      <w:r w:rsidRPr="002D0B58">
        <w:rPr>
          <w:szCs w:val="18"/>
        </w:rPr>
        <w:t>the elastic range, in the direction under consideration</w:t>
      </w:r>
      <w:r w:rsidRPr="002D0B58">
        <w:t>;</w:t>
      </w:r>
    </w:p>
    <w:p w14:paraId="2C7C10CD" w14:textId="75B9D78F" w:rsidR="004B67E2" w:rsidRPr="002D0B58" w:rsidRDefault="004B67E2" w:rsidP="0080187E">
      <w:pPr>
        <w:pStyle w:val="List2"/>
        <w:numPr>
          <w:ilvl w:val="0"/>
          <w:numId w:val="107"/>
        </w:numPr>
        <w:spacing w:before="0" w:after="240" w:line="230" w:lineRule="atLeast"/>
        <w:contextualSpacing w:val="0"/>
      </w:pPr>
      <w:r w:rsidRPr="002D0B58">
        <w:rPr>
          <w:i/>
        </w:rPr>
        <w:t>q</w:t>
      </w:r>
      <w:r w:rsidRPr="002D0B58">
        <w:rPr>
          <w:vertAlign w:val="subscript"/>
        </w:rPr>
        <w:t>R</w:t>
      </w:r>
      <w:r w:rsidRPr="002D0B58">
        <w:rPr>
          <w:i/>
        </w:rPr>
        <w:t>q</w:t>
      </w:r>
      <w:r w:rsidRPr="002D0B58">
        <w:rPr>
          <w:vertAlign w:val="subscript"/>
        </w:rPr>
        <w:t>S</w:t>
      </w:r>
      <w:r w:rsidRPr="002D0B58">
        <w:rPr>
          <w:i/>
        </w:rPr>
        <w:t xml:space="preserve"> </w:t>
      </w:r>
      <w:r w:rsidRPr="002D0B58">
        <w:t>should be taken equal to 1</w:t>
      </w:r>
      <w:r w:rsidR="006C6A44">
        <w:t>;</w:t>
      </w:r>
    </w:p>
    <w:p w14:paraId="2E9D4BE9" w14:textId="1CAD6471" w:rsidR="004B67E2" w:rsidRPr="002D0B58" w:rsidRDefault="004B67E2" w:rsidP="0080187E">
      <w:pPr>
        <w:pStyle w:val="List2"/>
        <w:numPr>
          <w:ilvl w:val="0"/>
          <w:numId w:val="107"/>
        </w:numPr>
        <w:spacing w:before="0" w:after="240" w:line="230" w:lineRule="atLeast"/>
        <w:contextualSpacing w:val="0"/>
      </w:pPr>
      <w:r w:rsidRPr="002D0B58">
        <w:t xml:space="preserve">For the determination of </w:t>
      </w:r>
      <w:r w:rsidRPr="002D0B58">
        <w:rPr>
          <w:i/>
        </w:rPr>
        <w:t>CF</w:t>
      </w:r>
      <w:r w:rsidRPr="002D0B58">
        <w:rPr>
          <w:vertAlign w:val="subscript"/>
        </w:rPr>
        <w:t>1</w:t>
      </w:r>
      <w:r w:rsidRPr="002D0B58">
        <w:t xml:space="preserve">, the ductility demand should be taken equal to that of the fundamental mode </w:t>
      </w:r>
      <w:r w:rsidRPr="002D0B58">
        <w:rPr>
          <w:rFonts w:ascii="Symbol" w:eastAsia="Symbol" w:hAnsi="Symbol" w:cs="Symbol"/>
          <w:i/>
        </w:rPr>
        <w:t></w:t>
      </w:r>
      <w:r w:rsidRPr="002D0B58">
        <w:rPr>
          <w:vertAlign w:val="subscript"/>
        </w:rPr>
        <w:t>f</w:t>
      </w:r>
      <w:r w:rsidR="006C6A44">
        <w:t>;</w:t>
      </w:r>
    </w:p>
    <w:p w14:paraId="6375EF67" w14:textId="77777777" w:rsidR="004B67E2" w:rsidRPr="00E05E29" w:rsidRDefault="004B67E2" w:rsidP="0080187E">
      <w:pPr>
        <w:pStyle w:val="Clause"/>
        <w:numPr>
          <w:ilvl w:val="0"/>
          <w:numId w:val="289"/>
        </w:numPr>
      </w:pPr>
      <w:r w:rsidRPr="002D0B58">
        <w:t>9.3.2.2.1(4) should not be applied</w:t>
      </w:r>
      <w:r w:rsidRPr="00E05E29">
        <w:t xml:space="preserve"> for higher modes.</w:t>
      </w:r>
    </w:p>
    <w:p w14:paraId="3E6E2061" w14:textId="26404C45" w:rsidR="004B67E2" w:rsidRPr="00E05E29" w:rsidRDefault="004B67E2" w:rsidP="004B67E2">
      <w:pPr>
        <w:pStyle w:val="Heading4"/>
      </w:pPr>
      <w:bookmarkStart w:id="1187" w:name="_Toc108342308"/>
      <w:r w:rsidRPr="00E05E29">
        <w:t>Combination of modal responses</w:t>
      </w:r>
      <w:bookmarkEnd w:id="1187"/>
    </w:p>
    <w:p w14:paraId="21DCFA8A" w14:textId="0C1B00E4" w:rsidR="004B67E2" w:rsidRPr="00FF65C4" w:rsidRDefault="004B67E2" w:rsidP="0080187E">
      <w:pPr>
        <w:pStyle w:val="Clause"/>
        <w:numPr>
          <w:ilvl w:val="0"/>
          <w:numId w:val="290"/>
        </w:numPr>
      </w:pPr>
      <w:r w:rsidRPr="00FF65C4">
        <w:t xml:space="preserve">At the stage of maximum displacement, the design value of the action effects in the primary seismic members of the main structural system should be calculated by combining in accordance with </w:t>
      </w:r>
      <w:r w:rsidRPr="00FF65C4">
        <w:lastRenderedPageBreak/>
        <w:t>prEN</w:t>
      </w:r>
      <w:r w:rsidR="002D0B58">
        <w:t> </w:t>
      </w:r>
      <w:r w:rsidRPr="00FF65C4">
        <w:t xml:space="preserve">1998-1-1:2022, 6.4.3.2, the action effects obtained for each mode by applying to the model of the structure with energy dissipation system the design lateral forces </w:t>
      </w:r>
      <w:r w:rsidRPr="00AC5D98">
        <w:rPr>
          <w:i/>
          <w:iCs/>
        </w:rPr>
        <w:t>F</w:t>
      </w:r>
      <w:r w:rsidRPr="00AC5D98">
        <w:rPr>
          <w:vertAlign w:val="subscript"/>
        </w:rPr>
        <w:t>i1</w:t>
      </w:r>
      <w:r w:rsidRPr="00FF65C4">
        <w:t xml:space="preserve"> given by Formula (9.7) for the first mode, and the design lateral forces calculated in accordance with 9.3.2.3 for higher modes. Torsional effects should be included.</w:t>
      </w:r>
    </w:p>
    <w:p w14:paraId="358436AE" w14:textId="77777777" w:rsidR="004B67E2" w:rsidRPr="00E05E29" w:rsidRDefault="004B67E2" w:rsidP="00B16B2C">
      <w:pPr>
        <w:pStyle w:val="Notetext"/>
      </w:pPr>
      <w:r w:rsidRPr="00E05E29">
        <w:t>NOTE</w:t>
      </w:r>
      <w:r w:rsidRPr="00E05E29">
        <w:tab/>
        <w:t>At the stage of maximum displacement, the viscous damping force components of the energy dissipation devices are zero, but the elastic force components of the viscoelastic dampers are not and the model accounts for them.</w:t>
      </w:r>
    </w:p>
    <w:p w14:paraId="2C32940B" w14:textId="2FBCD0C1" w:rsidR="004B67E2" w:rsidRPr="00E05E29" w:rsidRDefault="004B67E2" w:rsidP="0080187E">
      <w:pPr>
        <w:pStyle w:val="Clause"/>
        <w:numPr>
          <w:ilvl w:val="0"/>
          <w:numId w:val="290"/>
        </w:numPr>
      </w:pPr>
      <w:r w:rsidRPr="00E05E29">
        <w:t xml:space="preserve">At the stage of maximum velocity, the design value of the action effects in the primary seismic members of the main structural system and in the elements of the energy dissipation system exclusive of the energy dissipation devices should be calculated, combining in accordance with </w:t>
      </w:r>
      <w:r>
        <w:t>prEN</w:t>
      </w:r>
      <w:r w:rsidR="00AC5D98">
        <w:t> </w:t>
      </w:r>
      <w:r>
        <w:t>1998-1-1:2022</w:t>
      </w:r>
      <w:r w:rsidRPr="00E05E29">
        <w:t xml:space="preserve">, </w:t>
      </w:r>
      <w:r w:rsidRPr="00AC5D98">
        <w:rPr>
          <w:bCs/>
        </w:rPr>
        <w:t>6.4.3.2, the action effects obtained for each mode by applying to the model the axial viscous damping force components of the energy dissipation devices</w:t>
      </w:r>
      <w:r w:rsidRPr="00AC5D98">
        <w:rPr>
          <w:bCs/>
          <w:i/>
        </w:rPr>
        <w:t xml:space="preserve"> N</w:t>
      </w:r>
      <w:r w:rsidRPr="00AC5D98">
        <w:rPr>
          <w:bCs/>
          <w:vertAlign w:val="subscript"/>
        </w:rPr>
        <w:t>v</w:t>
      </w:r>
      <w:r w:rsidRPr="00AC5D98">
        <w:rPr>
          <w:bCs/>
          <w:i/>
          <w:vertAlign w:val="subscript"/>
        </w:rPr>
        <w:t>j</w:t>
      </w:r>
      <w:r w:rsidRPr="00AC5D98">
        <w:rPr>
          <w:bCs/>
          <w:vertAlign w:val="subscript"/>
        </w:rPr>
        <w:t>1</w:t>
      </w:r>
      <w:r w:rsidRPr="00AC5D98">
        <w:rPr>
          <w:bCs/>
        </w:rPr>
        <w:t xml:space="preserve"> given by Formula (9.10) for the first mode and the axial viscous damping force components of the energy dissipation devices calculated in accordance with 9.3.2.3 for the higher modes. These forces should be applied at the points of attachment of the devices and</w:t>
      </w:r>
      <w:r w:rsidRPr="00E05E29">
        <w:t xml:space="preserve"> in the directions consistent with the deformed shape of the building at maximum displacement. The inertia forces at each floor level should be applied concurrently with the viscous component of forces so that the displacement of each floor is zero.</w:t>
      </w:r>
    </w:p>
    <w:p w14:paraId="2B6633E1" w14:textId="3C7F8DEB" w:rsidR="004B67E2" w:rsidRPr="00AC5D98" w:rsidRDefault="004B67E2" w:rsidP="0080187E">
      <w:pPr>
        <w:pStyle w:val="Clause"/>
        <w:numPr>
          <w:ilvl w:val="0"/>
          <w:numId w:val="290"/>
        </w:numPr>
        <w:rPr>
          <w:bCs/>
        </w:rPr>
      </w:pPr>
      <w:r w:rsidRPr="00E05E29">
        <w:t xml:space="preserve">At the stage of maximum acceleration, the design value of the action effects in the primary seismic members of the main structural system and in the elements of the energy dissipation system exclusive of the energy dissipation devices should be calculated combining in accordance with </w:t>
      </w:r>
      <w:r>
        <w:t>prEN</w:t>
      </w:r>
      <w:r w:rsidR="00AC5D98">
        <w:t> </w:t>
      </w:r>
      <w:r>
        <w:t>1998-1-1:2022</w:t>
      </w:r>
      <w:r w:rsidRPr="00E05E29">
        <w:t xml:space="preserve">, </w:t>
      </w:r>
      <w:r w:rsidRPr="00AC5D98">
        <w:rPr>
          <w:bCs/>
        </w:rPr>
        <w:t xml:space="preserve">6.4.3.2, the action effects for each mode as the sum of the action effects obtained at the stage of maximum displacement times </w:t>
      </w:r>
      <w:r w:rsidRPr="00AC5D98">
        <w:rPr>
          <w:bCs/>
          <w:i/>
        </w:rPr>
        <w:t>CF</w:t>
      </w:r>
      <w:r w:rsidRPr="00AC5D98">
        <w:rPr>
          <w:bCs/>
          <w:vertAlign w:val="subscript"/>
        </w:rPr>
        <w:t>1</w:t>
      </w:r>
      <w:r w:rsidRPr="00AC5D98">
        <w:rPr>
          <w:bCs/>
        </w:rPr>
        <w:t xml:space="preserve"> and of the action effects obtained at the stage of maximum velocity times </w:t>
      </w:r>
      <w:r w:rsidRPr="00AC5D98">
        <w:rPr>
          <w:bCs/>
          <w:i/>
        </w:rPr>
        <w:t>CF</w:t>
      </w:r>
      <w:r w:rsidRPr="00AC5D98">
        <w:rPr>
          <w:bCs/>
          <w:vertAlign w:val="subscript"/>
        </w:rPr>
        <w:t>2</w:t>
      </w:r>
      <w:r w:rsidRPr="00AC5D98">
        <w:rPr>
          <w:bCs/>
        </w:rPr>
        <w:t xml:space="preserve">. Factors </w:t>
      </w:r>
      <w:r w:rsidRPr="00AC5D98">
        <w:rPr>
          <w:bCs/>
          <w:i/>
        </w:rPr>
        <w:t>CF</w:t>
      </w:r>
      <w:r w:rsidRPr="00AC5D98">
        <w:rPr>
          <w:bCs/>
          <w:vertAlign w:val="subscript"/>
        </w:rPr>
        <w:t>1</w:t>
      </w:r>
      <w:r w:rsidRPr="00AC5D98">
        <w:rPr>
          <w:bCs/>
        </w:rPr>
        <w:t xml:space="preserve"> and </w:t>
      </w:r>
      <w:r w:rsidRPr="00AC5D98">
        <w:rPr>
          <w:bCs/>
          <w:i/>
        </w:rPr>
        <w:t>CF</w:t>
      </w:r>
      <w:r w:rsidRPr="00AC5D98">
        <w:rPr>
          <w:bCs/>
          <w:vertAlign w:val="subscript"/>
        </w:rPr>
        <w:t>2</w:t>
      </w:r>
      <w:r w:rsidRPr="00AC5D98">
        <w:rPr>
          <w:bCs/>
          <w:i/>
          <w:vertAlign w:val="subscript"/>
        </w:rPr>
        <w:t xml:space="preserve"> </w:t>
      </w:r>
      <w:r w:rsidRPr="00AC5D98">
        <w:rPr>
          <w:bCs/>
        </w:rPr>
        <w:t>should be calculated in accordance with 9.3.2.2.4(1).</w:t>
      </w:r>
    </w:p>
    <w:p w14:paraId="0AE0F5F7" w14:textId="7B24D8BC" w:rsidR="004B67E2" w:rsidRPr="00AC5D98" w:rsidRDefault="004B67E2" w:rsidP="0080187E">
      <w:pPr>
        <w:pStyle w:val="Clause"/>
        <w:numPr>
          <w:ilvl w:val="0"/>
          <w:numId w:val="290"/>
        </w:numPr>
        <w:rPr>
          <w:bCs/>
        </w:rPr>
      </w:pPr>
      <w:r w:rsidRPr="00AC5D98">
        <w:rPr>
          <w:bCs/>
        </w:rPr>
        <w:t>The design force in a velocity-dependent energy dissipation device should be based on the maximum force in the device obtained combining in accordance with prEN</w:t>
      </w:r>
      <w:r w:rsidR="00AC5D98">
        <w:rPr>
          <w:bCs/>
        </w:rPr>
        <w:t> </w:t>
      </w:r>
      <w:r w:rsidRPr="00AC5D98">
        <w:rPr>
          <w:bCs/>
        </w:rPr>
        <w:t xml:space="preserve">1998-1-1:2022, 6.4.3.2, the maximum axial force of the energy dissipation device </w:t>
      </w:r>
      <w:r w:rsidRPr="00AC5D98">
        <w:rPr>
          <w:bCs/>
          <w:i/>
        </w:rPr>
        <w:t>N</w:t>
      </w:r>
      <w:r w:rsidRPr="00AC5D98">
        <w:rPr>
          <w:bCs/>
          <w:iCs/>
          <w:vertAlign w:val="subscript"/>
        </w:rPr>
        <w:t>j</w:t>
      </w:r>
      <w:r w:rsidRPr="00AC5D98">
        <w:rPr>
          <w:bCs/>
          <w:vertAlign w:val="subscript"/>
        </w:rPr>
        <w:t>1</w:t>
      </w:r>
      <w:r w:rsidRPr="00AC5D98">
        <w:rPr>
          <w:bCs/>
        </w:rPr>
        <w:t xml:space="preserve"> obtained with Formula (9.11) for the first mode and the maximum axial force of the energy dissipation device calculated in accordance with 9.3.2.3 for the higher modes. Torsional effects should be included.</w:t>
      </w:r>
    </w:p>
    <w:p w14:paraId="7348B32F" w14:textId="0EF38C9F" w:rsidR="004B67E2" w:rsidRPr="00D1484A" w:rsidRDefault="004B67E2" w:rsidP="0080187E">
      <w:pPr>
        <w:pStyle w:val="Clause"/>
        <w:numPr>
          <w:ilvl w:val="0"/>
          <w:numId w:val="290"/>
        </w:numPr>
      </w:pPr>
      <w:r w:rsidRPr="00AC5D98">
        <w:rPr>
          <w:bCs/>
        </w:rPr>
        <w:t>At the stage of maximum displacement, the design value of the action effect in the elements of the energy dissipation system, exclusive of the elements that are common with the main structural system and exclusive of the energy dissipation devices, should be calculated combining in accordance with prEN</w:t>
      </w:r>
      <w:r w:rsidR="00AC5D98">
        <w:rPr>
          <w:bCs/>
        </w:rPr>
        <w:t> </w:t>
      </w:r>
      <w:r w:rsidRPr="00AC5D98">
        <w:rPr>
          <w:bCs/>
        </w:rPr>
        <w:t xml:space="preserve">1998-1-1:2022, 6.4.3.2, the action effects obtained for each mode by applying  to the model of the structure with energy dissipation system the design lateral forces </w:t>
      </w:r>
      <w:r w:rsidRPr="00AC5D98">
        <w:rPr>
          <w:bCs/>
          <w:i/>
        </w:rPr>
        <w:t>F</w:t>
      </w:r>
      <w:r w:rsidRPr="00AC5D98">
        <w:rPr>
          <w:bCs/>
          <w:iCs/>
          <w:vertAlign w:val="subscript"/>
        </w:rPr>
        <w:t>i</w:t>
      </w:r>
      <w:r w:rsidRPr="00AC5D98">
        <w:rPr>
          <w:bCs/>
          <w:vertAlign w:val="subscript"/>
        </w:rPr>
        <w:t>1</w:t>
      </w:r>
      <w:r w:rsidRPr="00AC5D98">
        <w:rPr>
          <w:bCs/>
        </w:rPr>
        <w:t xml:space="preserve"> given by Formula (9.7) times </w:t>
      </w:r>
      <w:r w:rsidRPr="00AC5D98">
        <w:rPr>
          <w:bCs/>
          <w:i/>
        </w:rPr>
        <w:t>q</w:t>
      </w:r>
      <w:r w:rsidRPr="00AC5D98">
        <w:rPr>
          <w:bCs/>
          <w:vertAlign w:val="subscript"/>
        </w:rPr>
        <w:t>R</w:t>
      </w:r>
      <w:r w:rsidRPr="00AC5D98">
        <w:rPr>
          <w:bCs/>
        </w:rPr>
        <w:t> </w:t>
      </w:r>
      <w:r w:rsidRPr="00AC5D98">
        <w:rPr>
          <w:bCs/>
          <w:i/>
        </w:rPr>
        <w:t>q</w:t>
      </w:r>
      <w:r w:rsidRPr="00AC5D98">
        <w:rPr>
          <w:bCs/>
          <w:vertAlign w:val="subscript"/>
        </w:rPr>
        <w:t>S</w:t>
      </w:r>
      <w:r w:rsidRPr="00AC5D98">
        <w:rPr>
          <w:bCs/>
        </w:rPr>
        <w:t xml:space="preserve"> for the first mode, and the design lateral forces </w:t>
      </w:r>
      <w:r w:rsidRPr="00AC5D98">
        <w:rPr>
          <w:bCs/>
          <w:i/>
        </w:rPr>
        <w:t>F</w:t>
      </w:r>
      <w:r w:rsidRPr="00AC5D98">
        <w:rPr>
          <w:bCs/>
          <w:iCs/>
          <w:vertAlign w:val="subscript"/>
        </w:rPr>
        <w:t>im</w:t>
      </w:r>
      <w:r w:rsidRPr="00AC5D98">
        <w:rPr>
          <w:bCs/>
        </w:rPr>
        <w:t xml:space="preserve"> calculated in accordance with 9.3.2.3 for the higher modes. Torsional effects should be included. prEN</w:t>
      </w:r>
      <w:r w:rsidR="00AC5D98">
        <w:rPr>
          <w:bCs/>
        </w:rPr>
        <w:t> </w:t>
      </w:r>
      <w:r w:rsidRPr="00AC5D98">
        <w:rPr>
          <w:bCs/>
        </w:rPr>
        <w:t>1998-1-1:2022, 6.4.3.1(2), (3), and (4), should</w:t>
      </w:r>
      <w:r w:rsidRPr="00132C1E">
        <w:t xml:space="preserve"> be applied.</w:t>
      </w:r>
    </w:p>
    <w:p w14:paraId="470F0397" w14:textId="1B27BBAA" w:rsidR="004B67E2" w:rsidRPr="00D1484A" w:rsidRDefault="004B67E2" w:rsidP="004B67E2">
      <w:pPr>
        <w:pStyle w:val="Heading4"/>
      </w:pPr>
      <w:bookmarkStart w:id="1188" w:name="_Toc108342309"/>
      <w:r w:rsidRPr="00D1484A">
        <w:t>Torsional effects</w:t>
      </w:r>
      <w:bookmarkEnd w:id="1188"/>
    </w:p>
    <w:p w14:paraId="260998E4" w14:textId="7D80EF5E" w:rsidR="004B67E2" w:rsidRPr="00AC5D98" w:rsidRDefault="004B67E2" w:rsidP="0080187E">
      <w:pPr>
        <w:pStyle w:val="Clause"/>
        <w:numPr>
          <w:ilvl w:val="0"/>
          <w:numId w:val="291"/>
        </w:numPr>
      </w:pPr>
      <w:r w:rsidRPr="007E6F67">
        <w:t xml:space="preserve">Torsional effects should be considered in accordance </w:t>
      </w:r>
      <w:r w:rsidRPr="00AC5D98">
        <w:t>with 5.2(3) by setting the horizontal force acting on the considered storey in a given direction equal to the design lateral forces given by Formula</w:t>
      </w:r>
      <w:r w:rsidR="006C6A44">
        <w:t> </w:t>
      </w:r>
      <w:r w:rsidRPr="00AC5D98">
        <w:t>(9.7) for the first mode, or to the design lateral forces calculated in accordance with 9.3.2.3 for the higher modes.</w:t>
      </w:r>
    </w:p>
    <w:p w14:paraId="593B1EEB" w14:textId="306667A9" w:rsidR="004B67E2" w:rsidRPr="00E05E29" w:rsidRDefault="004B67E2" w:rsidP="004B67E2">
      <w:pPr>
        <w:pStyle w:val="Heading3"/>
      </w:pPr>
      <w:bookmarkStart w:id="1189" w:name="_Toc50150346"/>
      <w:bookmarkStart w:id="1190" w:name="_Toc70886777"/>
      <w:bookmarkStart w:id="1191" w:name="_Toc108342310"/>
      <w:bookmarkStart w:id="1192" w:name="_Toc134197866"/>
      <w:r w:rsidRPr="00E05E29">
        <w:lastRenderedPageBreak/>
        <w:t>Energy-balance based analysis</w:t>
      </w:r>
      <w:bookmarkStart w:id="1193" w:name="_Toc16927697"/>
      <w:bookmarkEnd w:id="1189"/>
      <w:bookmarkEnd w:id="1190"/>
      <w:bookmarkEnd w:id="1191"/>
      <w:bookmarkEnd w:id="1193"/>
      <w:bookmarkEnd w:id="1192"/>
    </w:p>
    <w:p w14:paraId="4C1E1123" w14:textId="63A38533" w:rsidR="004B67E2" w:rsidRPr="00E05E29" w:rsidRDefault="004B67E2" w:rsidP="004B67E2">
      <w:pPr>
        <w:pStyle w:val="Heading4"/>
      </w:pPr>
      <w:bookmarkStart w:id="1194" w:name="_Toc108342311"/>
      <w:r w:rsidRPr="00E05E29">
        <w:t>General</w:t>
      </w:r>
      <w:bookmarkEnd w:id="1194"/>
    </w:p>
    <w:p w14:paraId="3884378B" w14:textId="3D2D9BA4" w:rsidR="004B67E2" w:rsidRPr="00E05E29" w:rsidRDefault="004B67E2" w:rsidP="0080187E">
      <w:pPr>
        <w:pStyle w:val="Clause"/>
        <w:numPr>
          <w:ilvl w:val="0"/>
          <w:numId w:val="292"/>
        </w:numPr>
      </w:pPr>
      <w:r w:rsidRPr="00E05E29">
        <w:t>The energy-balance based analysis may be used for analysis and design of building structures with displacement-dependent energy-dissipation devices.</w:t>
      </w:r>
    </w:p>
    <w:p w14:paraId="4353A271" w14:textId="724AE0B2" w:rsidR="004B67E2" w:rsidRPr="00E05E29" w:rsidRDefault="004B67E2" w:rsidP="004B67E2">
      <w:pPr>
        <w:pStyle w:val="note1"/>
      </w:pPr>
      <w:r w:rsidRPr="00E05E29">
        <w:t>NOTE</w:t>
      </w:r>
      <w:r w:rsidRPr="00E05E29">
        <w:tab/>
        <w:t xml:space="preserve">Energy-balance based analysis applies energy concepts through the basic formula </w:t>
      </w:r>
      <w:r w:rsidRPr="00E05E29">
        <w:rPr>
          <w:i/>
        </w:rPr>
        <w:t>E</w:t>
      </w:r>
      <w:r w:rsidRPr="00E05E29">
        <w:rPr>
          <w:vertAlign w:val="subscript"/>
        </w:rPr>
        <w:t>I</w:t>
      </w:r>
      <w:r w:rsidRPr="00E05E29">
        <w:t> = </w:t>
      </w:r>
      <w:r w:rsidRPr="00E05E29">
        <w:rPr>
          <w:i/>
        </w:rPr>
        <w:t>E</w:t>
      </w:r>
      <w:r w:rsidRPr="00E05E29">
        <w:rPr>
          <w:vertAlign w:val="subscript"/>
        </w:rPr>
        <w:t>k</w:t>
      </w:r>
      <w:r w:rsidRPr="00E05E29">
        <w:t> + </w:t>
      </w:r>
      <w:r w:rsidRPr="00E05E29">
        <w:rPr>
          <w:i/>
        </w:rPr>
        <w:t>E</w:t>
      </w:r>
      <w:r w:rsidRPr="00E05E29">
        <w:rPr>
          <w:vertAlign w:val="subscript"/>
        </w:rPr>
        <w:t>s</w:t>
      </w:r>
      <w:r w:rsidRPr="00E05E29">
        <w:t> + </w:t>
      </w:r>
      <w:r w:rsidRPr="00E05E29">
        <w:rPr>
          <w:i/>
        </w:rPr>
        <w:t>E</w:t>
      </w:r>
      <w:r w:rsidRPr="00E05E29">
        <w:rPr>
          <w:rFonts w:ascii="Symbol" w:eastAsia="Symbol" w:hAnsi="Symbol" w:cs="Symbol"/>
          <w:vertAlign w:val="subscript"/>
        </w:rPr>
        <w:t></w:t>
      </w:r>
      <w:r w:rsidRPr="00E05E29">
        <w:t> + </w:t>
      </w:r>
      <w:r w:rsidRPr="00E05E29">
        <w:rPr>
          <w:i/>
        </w:rPr>
        <w:t>E</w:t>
      </w:r>
      <w:r w:rsidRPr="00E05E29">
        <w:rPr>
          <w:vertAlign w:val="subscript"/>
        </w:rPr>
        <w:t>H</w:t>
      </w:r>
      <w:r w:rsidRPr="00E05E29">
        <w:t xml:space="preserve">, where </w:t>
      </w:r>
      <w:r w:rsidRPr="00E05E29">
        <w:rPr>
          <w:i/>
        </w:rPr>
        <w:t>E</w:t>
      </w:r>
      <w:r w:rsidRPr="00E05E29">
        <w:rPr>
          <w:vertAlign w:val="subscript"/>
        </w:rPr>
        <w:t>I</w:t>
      </w:r>
      <w:r w:rsidRPr="00E05E29">
        <w:t xml:space="preserve"> is the energy input at the foundation, </w:t>
      </w:r>
      <w:r w:rsidRPr="00E05E29">
        <w:rPr>
          <w:i/>
        </w:rPr>
        <w:t>E</w:t>
      </w:r>
      <w:r w:rsidRPr="00E05E29">
        <w:rPr>
          <w:vertAlign w:val="subscript"/>
        </w:rPr>
        <w:t>k</w:t>
      </w:r>
      <w:r w:rsidRPr="00E05E29">
        <w:t xml:space="preserve"> the kinetic energy, </w:t>
      </w:r>
      <w:r w:rsidRPr="00E05E29">
        <w:rPr>
          <w:i/>
        </w:rPr>
        <w:t>E</w:t>
      </w:r>
      <w:r w:rsidRPr="00E05E29">
        <w:rPr>
          <w:vertAlign w:val="subscript"/>
        </w:rPr>
        <w:t>s</w:t>
      </w:r>
      <w:r w:rsidRPr="00E05E29">
        <w:t xml:space="preserve"> the fully recoverable elastic strain energy, </w:t>
      </w:r>
      <w:r w:rsidRPr="00E05E29">
        <w:rPr>
          <w:i/>
        </w:rPr>
        <w:t>E</w:t>
      </w:r>
      <w:r w:rsidRPr="00E05E29">
        <w:rPr>
          <w:rFonts w:ascii="Symbol" w:eastAsia="Symbol" w:hAnsi="Symbol" w:cs="Symbol"/>
          <w:vertAlign w:val="subscript"/>
        </w:rPr>
        <w:t></w:t>
      </w:r>
      <w:r w:rsidRPr="00E05E29">
        <w:t xml:space="preserve"> the viscous damping energy and </w:t>
      </w:r>
      <w:r w:rsidRPr="00E05E29">
        <w:rPr>
          <w:i/>
        </w:rPr>
        <w:t>E</w:t>
      </w:r>
      <w:r w:rsidRPr="00E05E29">
        <w:rPr>
          <w:vertAlign w:val="subscript"/>
        </w:rPr>
        <w:t>H</w:t>
      </w:r>
      <w:r w:rsidRPr="00E05E29">
        <w:t xml:space="preserve"> the energy dissipated through hysteretic plastic deformation. </w:t>
      </w:r>
      <w:r w:rsidRPr="00E05E29">
        <w:rPr>
          <w:i/>
        </w:rPr>
        <w:t>E</w:t>
      </w:r>
      <w:r w:rsidRPr="00E05E29">
        <w:rPr>
          <w:vertAlign w:val="subscript"/>
        </w:rPr>
        <w:t>H</w:t>
      </w:r>
      <w:r w:rsidRPr="00E05E29">
        <w:rPr>
          <w:i/>
          <w:vertAlign w:val="subscript"/>
        </w:rPr>
        <w:t xml:space="preserve"> </w:t>
      </w:r>
      <w:r w:rsidRPr="00E05E29">
        <w:t xml:space="preserve">is the sum of the energy dissipated by the primary seismic members of the main system, </w:t>
      </w:r>
      <w:r w:rsidRPr="00E05E29">
        <w:rPr>
          <w:i/>
        </w:rPr>
        <w:t>E</w:t>
      </w:r>
      <w:r w:rsidRPr="00E05E29">
        <w:rPr>
          <w:vertAlign w:val="subscript"/>
        </w:rPr>
        <w:t>pH</w:t>
      </w:r>
      <w:r w:rsidRPr="00E05E29">
        <w:t xml:space="preserve">, and by the energy dissipation devices, </w:t>
      </w:r>
      <w:r w:rsidRPr="00E05E29">
        <w:rPr>
          <w:i/>
        </w:rPr>
        <w:t>E</w:t>
      </w:r>
      <w:r w:rsidRPr="00E05E29">
        <w:rPr>
          <w:vertAlign w:val="subscript"/>
        </w:rPr>
        <w:t>dH</w:t>
      </w:r>
      <w:r w:rsidR="00CB6D42">
        <w:t>.</w:t>
      </w:r>
    </w:p>
    <w:p w14:paraId="7A8BA5CF" w14:textId="1888CD37" w:rsidR="004B67E2" w:rsidRPr="00E05E29" w:rsidRDefault="004B67E2" w:rsidP="0080187E">
      <w:pPr>
        <w:pStyle w:val="Clause"/>
        <w:numPr>
          <w:ilvl w:val="0"/>
          <w:numId w:val="292"/>
        </w:numPr>
      </w:pPr>
      <w:r w:rsidRPr="00E05E29">
        <w:t>The energy-balance based analysis may be used for analysis and design provided that the conditions in a) to c) are satisfied.</w:t>
      </w:r>
    </w:p>
    <w:p w14:paraId="5A64F174" w14:textId="231235ED" w:rsidR="004B67E2" w:rsidRPr="00AC5D98" w:rsidRDefault="004B67E2" w:rsidP="0080187E">
      <w:pPr>
        <w:pStyle w:val="List2"/>
        <w:numPr>
          <w:ilvl w:val="0"/>
          <w:numId w:val="108"/>
        </w:numPr>
        <w:spacing w:before="0" w:after="240" w:line="230" w:lineRule="atLeast"/>
        <w:contextualSpacing w:val="0"/>
      </w:pPr>
      <w:r w:rsidRPr="00E05E29">
        <w:t xml:space="preserve">The floor diaphragms of the buildings are rigid in their planes in </w:t>
      </w:r>
      <w:r w:rsidRPr="00AC5D98">
        <w:t>accordance with 5.1.2(2)</w:t>
      </w:r>
      <w:r w:rsidR="00AC5D98">
        <w:t>;</w:t>
      </w:r>
    </w:p>
    <w:p w14:paraId="6D8FE7B3" w14:textId="2AC17F9E" w:rsidR="004B67E2" w:rsidRPr="00AC5D98" w:rsidRDefault="004B67E2" w:rsidP="0080187E">
      <w:pPr>
        <w:pStyle w:val="List2"/>
        <w:numPr>
          <w:ilvl w:val="0"/>
          <w:numId w:val="108"/>
        </w:numPr>
        <w:spacing w:before="0" w:after="240" w:line="230" w:lineRule="atLeast"/>
        <w:contextualSpacing w:val="0"/>
      </w:pPr>
      <w:r w:rsidRPr="00AC5D98">
        <w:t>In the direction under consideration, the energy-dissipation system has at least two energy dissipation devices in each storey, arranged in accordance with 9.2.4</w:t>
      </w:r>
      <w:r w:rsidR="00AC5D98">
        <w:t>;</w:t>
      </w:r>
    </w:p>
    <w:p w14:paraId="44B8A1D5" w14:textId="77777777" w:rsidR="004B67E2" w:rsidRPr="00AC5D98" w:rsidRDefault="004B67E2" w:rsidP="0080187E">
      <w:pPr>
        <w:pStyle w:val="List2"/>
        <w:numPr>
          <w:ilvl w:val="0"/>
          <w:numId w:val="108"/>
        </w:numPr>
        <w:spacing w:before="0" w:after="240" w:line="230" w:lineRule="atLeast"/>
        <w:contextualSpacing w:val="0"/>
      </w:pPr>
      <w:r w:rsidRPr="00AC5D98">
        <w:rPr>
          <w:rFonts w:asciiTheme="majorHAnsi" w:hAnsiTheme="majorHAnsi" w:cstheme="majorHAnsi"/>
          <w:color w:val="000000"/>
        </w:rPr>
        <w:t>All storeys of the building above ground level have energy dissipation devices.</w:t>
      </w:r>
    </w:p>
    <w:p w14:paraId="7A25401E" w14:textId="79FA369C" w:rsidR="004B67E2" w:rsidRPr="00E05E29" w:rsidRDefault="004B67E2" w:rsidP="0080187E">
      <w:pPr>
        <w:pStyle w:val="Clause"/>
        <w:numPr>
          <w:ilvl w:val="0"/>
          <w:numId w:val="292"/>
        </w:numPr>
      </w:pPr>
      <w:r w:rsidRPr="00AC5D98">
        <w:t xml:space="preserve">If at least one of the conditions a) to c) in (2) is not fulfilled, a </w:t>
      </w:r>
      <w:r w:rsidR="00AC5D98">
        <w:t>response</w:t>
      </w:r>
      <w:r w:rsidRPr="00E05E29">
        <w:t>-history analysis should be used.</w:t>
      </w:r>
    </w:p>
    <w:p w14:paraId="0219B3A4" w14:textId="566BE3CE" w:rsidR="004B67E2" w:rsidRPr="00E05E29" w:rsidRDefault="004B67E2" w:rsidP="0080187E">
      <w:pPr>
        <w:pStyle w:val="Clause"/>
        <w:numPr>
          <w:ilvl w:val="0"/>
          <w:numId w:val="292"/>
        </w:numPr>
      </w:pPr>
      <w:r w:rsidRPr="00E05E29">
        <w:t>The stiffness of displacement-dependent energy dissipation devices should be modelled with an effective stiffness that represents the force in the energy dissipating device at the response displacement of interest (e.g. design interstorey drift). Alternatively, design forces in these devices may be applied as external loads, in which case the stiffness of the energy dissipation devices may be neglected in the model.</w:t>
      </w:r>
    </w:p>
    <w:p w14:paraId="2F0D4E0E" w14:textId="44A1F36C" w:rsidR="004B67E2" w:rsidRPr="00E05E29" w:rsidRDefault="004B67E2" w:rsidP="0080187E">
      <w:pPr>
        <w:pStyle w:val="Clause"/>
        <w:numPr>
          <w:ilvl w:val="0"/>
          <w:numId w:val="292"/>
        </w:numPr>
      </w:pPr>
      <w:r w:rsidRPr="00E05E29">
        <w:t>The amount of energy that the structure can absorb in the direction under consideration while the primary seismic members of the main structural system remain within</w:t>
      </w:r>
      <w:r w:rsidRPr="004030A7">
        <w:rPr>
          <w:color w:val="000000"/>
        </w:rPr>
        <w:t xml:space="preserve"> the elastic domain</w:t>
      </w:r>
      <w:r w:rsidRPr="00E05E29" w:rsidDel="000C5F93">
        <w:t xml:space="preserve"> </w:t>
      </w:r>
      <w:r w:rsidRPr="00E05E29">
        <w:t>should exceed one-fourth of the amount of input energy in the building due to the reference seismic action.</w:t>
      </w:r>
    </w:p>
    <w:p w14:paraId="2C7840C3" w14:textId="57A47A80" w:rsidR="004B67E2" w:rsidRPr="00E05E29" w:rsidRDefault="004B67E2" w:rsidP="00BE520A">
      <w:pPr>
        <w:pStyle w:val="Notetext"/>
      </w:pPr>
      <w:r w:rsidRPr="00E05E29">
        <w:t>NOTE</w:t>
      </w:r>
      <w:r w:rsidRPr="00E05E29">
        <w:tab/>
        <w:t>This provision is intended to avoid the damage in the primary seismic members of the main system under low intensity earthquakes characteri</w:t>
      </w:r>
      <w:r w:rsidR="006C6A44">
        <w:t>z</w:t>
      </w:r>
      <w:r w:rsidRPr="00E05E29">
        <w:t>ed by an amount of energy (</w:t>
      </w:r>
      <w:r w:rsidRPr="00E05E29">
        <w:rPr>
          <w:i/>
        </w:rPr>
        <w:t>E</w:t>
      </w:r>
      <w:r w:rsidRPr="00E05E29">
        <w:rPr>
          <w:vertAlign w:val="subscript"/>
        </w:rPr>
        <w:t>I</w:t>
      </w:r>
      <w:r w:rsidRPr="00E05E29">
        <w:rPr>
          <w:i/>
        </w:rPr>
        <w:t> - E</w:t>
      </w:r>
      <w:r w:rsidRPr="00E05E29">
        <w:rPr>
          <w:rFonts w:ascii="Symbol" w:eastAsia="Symbol" w:hAnsi="Symbol" w:cs="Symbol"/>
          <w:vertAlign w:val="subscript"/>
        </w:rPr>
        <w:t></w:t>
      </w:r>
      <w:r w:rsidRPr="00E05E29">
        <w:t>) equal to one fourth of the corresponding value in case of the design earthquake.</w:t>
      </w:r>
    </w:p>
    <w:p w14:paraId="1C5942DF" w14:textId="5E38EE3A" w:rsidR="004B67E2" w:rsidRPr="00E05E29" w:rsidRDefault="004B67E2" w:rsidP="0080187E">
      <w:pPr>
        <w:pStyle w:val="Clause"/>
        <w:numPr>
          <w:ilvl w:val="0"/>
          <w:numId w:val="292"/>
        </w:numPr>
      </w:pPr>
      <w:r w:rsidRPr="00E21BDE">
        <w:rPr>
          <w:bCs/>
        </w:rPr>
        <w:t>(5) may</w:t>
      </w:r>
      <w:r w:rsidRPr="00E05E29">
        <w:t xml:space="preserve"> be considered satisfied if the condition given by Formula (9.22) is satisfied.</w:t>
      </w:r>
    </w:p>
    <w:p w14:paraId="2CF93487" w14:textId="4D34E042" w:rsidR="00BE520A" w:rsidRPr="00870D59" w:rsidRDefault="009B5CEC" w:rsidP="00BE520A">
      <w:pPr>
        <w:pStyle w:val="Formula"/>
      </w:pPr>
      <m:oMath>
        <m:sSub>
          <m:sSubPr>
            <m:ctrlPr>
              <w:rPr>
                <w:rFonts w:ascii="Cambria Math" w:hAnsi="Cambria Math"/>
              </w:rPr>
            </m:ctrlPr>
          </m:sSubPr>
          <m:e>
            <m:r>
              <w:rPr>
                <w:rFonts w:ascii="Cambria Math" w:hAnsi="Cambria Math"/>
              </w:rPr>
              <m:t>E</m:t>
            </m:r>
          </m:e>
          <m:sub>
            <m:r>
              <m:rPr>
                <m:sty m:val="p"/>
              </m:rPr>
              <w:rPr>
                <w:rFonts w:ascii="Cambria Math" w:hAnsi="Cambria Math"/>
              </w:rPr>
              <m:t>e</m:t>
            </m:r>
          </m:sub>
        </m:sSub>
        <m:r>
          <w:rPr>
            <w:rFonts w:ascii="Cambria Math" w:hAnsi="Cambria Math"/>
          </w:rPr>
          <m:t>≥</m:t>
        </m:r>
        <m:f>
          <m:fPr>
            <m:ctrlPr>
              <w:rPr>
                <w:rFonts w:ascii="Cambria Math" w:hAnsi="Cambria Math"/>
              </w:rPr>
            </m:ctrlPr>
          </m:fPr>
          <m:num>
            <m:r>
              <w:rPr>
                <w:rFonts w:ascii="Cambria Math" w:hAnsi="Cambria Math"/>
              </w:rPr>
              <m:t>1</m:t>
            </m:r>
          </m:num>
          <m:den>
            <m:r>
              <w:rPr>
                <w:rFonts w:ascii="Cambria Math" w:hAnsi="Cambria Math"/>
              </w:rPr>
              <m:t>4</m:t>
            </m:r>
          </m:den>
        </m:f>
        <m:f>
          <m:fPr>
            <m:ctrlPr>
              <w:rPr>
                <w:rFonts w:ascii="Cambria Math" w:hAnsi="Cambria Math"/>
              </w:rPr>
            </m:ctrlPr>
          </m:fPr>
          <m:num>
            <m:r>
              <w:rPr>
                <w:rFonts w:ascii="Cambria Math" w:hAnsi="Cambria Math"/>
              </w:rPr>
              <m:t>1</m:t>
            </m:r>
          </m:num>
          <m:den>
            <m:r>
              <w:rPr>
                <w:rFonts w:ascii="Cambria Math" w:hAnsi="Cambria Math"/>
              </w:rPr>
              <m:t>2</m:t>
            </m:r>
          </m:den>
        </m:f>
        <m:r>
          <w:rPr>
            <w:rFonts w:ascii="Cambria Math" w:hAnsi="Cambria Math"/>
          </w:rPr>
          <m:t>m</m:t>
        </m:r>
        <m:sSup>
          <m:sSupPr>
            <m:ctrlPr>
              <w:rPr>
                <w:rFonts w:ascii="Cambria Math" w:hAnsi="Cambria Math"/>
              </w:rPr>
            </m:ctrlPr>
          </m:sSupPr>
          <m:e>
            <m:d>
              <m:dPr>
                <m:begChr m:val="["/>
                <m:endChr m:val="]"/>
                <m:ctrlPr>
                  <w:rPr>
                    <w:rFonts w:ascii="Cambria Math" w:hAnsi="Cambria Math"/>
                  </w:rPr>
                </m:ctrlPr>
              </m:dPr>
              <m:e>
                <m:f>
                  <m:fPr>
                    <m:ctrlPr>
                      <w:rPr>
                        <w:rFonts w:ascii="Cambria Math" w:hAnsi="Cambria Math"/>
                      </w:rPr>
                    </m:ctrlPr>
                  </m:fPr>
                  <m:num>
                    <m:sSub>
                      <m:sSubPr>
                        <m:ctrlPr>
                          <w:rPr>
                            <w:rFonts w:ascii="Cambria Math" w:hAnsi="Cambria Math"/>
                          </w:rPr>
                        </m:ctrlPr>
                      </m:sSubPr>
                      <m:e>
                        <m:r>
                          <w:rPr>
                            <w:rFonts w:ascii="Cambria Math" w:hAnsi="Cambria Math"/>
                          </w:rPr>
                          <m:t>T</m:t>
                        </m:r>
                      </m:e>
                      <m:sub>
                        <m:r>
                          <w:rPr>
                            <w:rFonts w:ascii="Cambria Math" w:hAnsi="Cambria Math"/>
                          </w:rPr>
                          <m:t>1</m:t>
                        </m:r>
                      </m:sub>
                    </m:sSub>
                  </m:num>
                  <m:den>
                    <m:r>
                      <w:rPr>
                        <w:rFonts w:ascii="Cambria Math" w:hAnsi="Cambria Math"/>
                      </w:rPr>
                      <m:t>2π</m:t>
                    </m:r>
                  </m:den>
                </m:f>
                <m:sSub>
                  <m:sSubPr>
                    <m:ctrlPr>
                      <w:rPr>
                        <w:rFonts w:ascii="Cambria Math" w:hAnsi="Cambria Math"/>
                      </w:rPr>
                    </m:ctrlPr>
                  </m:sSubPr>
                  <m:e>
                    <m:r>
                      <w:rPr>
                        <w:rFonts w:ascii="Cambria Math" w:hAnsi="Cambria Math"/>
                      </w:rPr>
                      <m:t>S</m:t>
                    </m:r>
                  </m:e>
                  <m:sub>
                    <m:r>
                      <m:rPr>
                        <m:sty m:val="p"/>
                      </m:rPr>
                      <w:rPr>
                        <w:rFonts w:ascii="Cambria Math" w:hAnsi="Cambria Math"/>
                      </w:rPr>
                      <m:t>e</m:t>
                    </m:r>
                  </m:sub>
                </m:sSub>
                <m:d>
                  <m:dPr>
                    <m:ctrlPr>
                      <w:rPr>
                        <w:rFonts w:ascii="Cambria Math" w:hAnsi="Cambria Math"/>
                      </w:rPr>
                    </m:ctrlPr>
                  </m:dPr>
                  <m:e>
                    <m:sSub>
                      <m:sSubPr>
                        <m:ctrlPr>
                          <w:rPr>
                            <w:rFonts w:ascii="Cambria Math" w:hAnsi="Cambria Math"/>
                          </w:rPr>
                        </m:ctrlPr>
                      </m:sSubPr>
                      <m:e>
                        <m:r>
                          <w:rPr>
                            <w:rFonts w:ascii="Cambria Math" w:hAnsi="Cambria Math"/>
                          </w:rPr>
                          <m:t>T</m:t>
                        </m:r>
                      </m:e>
                      <m:sub>
                        <m:r>
                          <m:rPr>
                            <m:sty m:val="p"/>
                          </m:rPr>
                          <w:rPr>
                            <w:rFonts w:ascii="Cambria Math" w:hAnsi="Cambria Math"/>
                          </w:rPr>
                          <m:t>1,e</m:t>
                        </m:r>
                      </m:sub>
                    </m:sSub>
                    <m:r>
                      <w:rPr>
                        <w:rFonts w:ascii="Cambria Math" w:hAnsi="Cambria Math"/>
                      </w:rPr>
                      <m:t>,5%</m:t>
                    </m:r>
                  </m:e>
                </m:d>
                <m:r>
                  <w:rPr>
                    <w:rFonts w:ascii="Cambria Math" w:hAnsi="Cambria Math"/>
                  </w:rPr>
                  <m:t>η</m:t>
                </m:r>
                <m:d>
                  <m:dPr>
                    <m:ctrlPr>
                      <w:rPr>
                        <w:rFonts w:ascii="Cambria Math" w:hAnsi="Cambria Math"/>
                      </w:rPr>
                    </m:ctrlPr>
                  </m:dPr>
                  <m:e>
                    <m:sSub>
                      <m:sSubPr>
                        <m:ctrlPr>
                          <w:rPr>
                            <w:rFonts w:ascii="Cambria Math" w:hAnsi="Cambria Math"/>
                          </w:rPr>
                        </m:ctrlPr>
                      </m:sSubPr>
                      <m:e>
                        <m:r>
                          <w:rPr>
                            <w:rFonts w:ascii="Cambria Math" w:hAnsi="Cambria Math"/>
                          </w:rPr>
                          <m:t>T</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ξ</m:t>
                        </m:r>
                      </m:e>
                      <m:sub>
                        <m:r>
                          <m:rPr>
                            <m:sty m:val="p"/>
                          </m:rPr>
                          <w:rPr>
                            <w:rFonts w:ascii="Cambria Math" w:hAnsi="Cambria Math"/>
                          </w:rPr>
                          <m:t>I</m:t>
                        </m:r>
                      </m:sub>
                    </m:sSub>
                  </m:e>
                </m:d>
              </m:e>
            </m:d>
          </m:e>
          <m:sup>
            <m:r>
              <w:rPr>
                <w:rFonts w:ascii="Cambria Math" w:hAnsi="Cambria Math"/>
              </w:rPr>
              <m:t>2</m:t>
            </m:r>
          </m:sup>
        </m:sSup>
      </m:oMath>
      <w:r w:rsidR="00BE520A" w:rsidRPr="00870D59">
        <w:tab/>
        <w:t>(</w:t>
      </w:r>
      <w:r w:rsidR="00BE520A">
        <w:t>9</w:t>
      </w:r>
      <w:r w:rsidR="00BE520A" w:rsidRPr="00870D59">
        <w:t>.</w:t>
      </w:r>
      <w:r w:rsidR="00BE520A">
        <w:t>22</w:t>
      </w:r>
      <w:r w:rsidR="00BE520A" w:rsidRPr="00870D59">
        <w:t>)</w:t>
      </w:r>
    </w:p>
    <w:p w14:paraId="6F60F31C" w14:textId="78644871" w:rsidR="00BE520A" w:rsidRDefault="00675EBA" w:rsidP="00E21BDE">
      <w:pPr>
        <w:pStyle w:val="Text"/>
      </w:pPr>
      <w:r>
        <w:t>where</w:t>
      </w:r>
    </w:p>
    <w:tbl>
      <w:tblPr>
        <w:tblW w:w="0" w:type="auto"/>
        <w:tblInd w:w="346" w:type="dxa"/>
        <w:tblLook w:val="04A0" w:firstRow="1" w:lastRow="0" w:firstColumn="1" w:lastColumn="0" w:noHBand="0" w:noVBand="1"/>
      </w:tblPr>
      <w:tblGrid>
        <w:gridCol w:w="1344"/>
        <w:gridCol w:w="7873"/>
      </w:tblGrid>
      <w:tr w:rsidR="00BE520A" w:rsidRPr="00870D59" w14:paraId="01D7685A" w14:textId="77777777" w:rsidTr="006C6A44">
        <w:tc>
          <w:tcPr>
            <w:tcW w:w="1344" w:type="dxa"/>
            <w:shd w:val="clear" w:color="auto" w:fill="auto"/>
          </w:tcPr>
          <w:p w14:paraId="755B71BB" w14:textId="7A865CBF" w:rsidR="00BE520A" w:rsidRPr="00523AC3" w:rsidRDefault="00BE520A" w:rsidP="002061E5">
            <w:pPr>
              <w:pStyle w:val="Tablebody"/>
              <w:rPr>
                <w:i/>
                <w:iCs/>
              </w:rPr>
            </w:pPr>
            <w:r w:rsidRPr="007E6F67">
              <w:rPr>
                <w:i/>
              </w:rPr>
              <w:t>m</w:t>
            </w:r>
          </w:p>
        </w:tc>
        <w:tc>
          <w:tcPr>
            <w:tcW w:w="7873" w:type="dxa"/>
          </w:tcPr>
          <w:p w14:paraId="5026F6D0" w14:textId="6506667C" w:rsidR="00BE520A" w:rsidRPr="00303F71" w:rsidRDefault="00BE520A" w:rsidP="002061E5">
            <w:pPr>
              <w:pStyle w:val="Tablebody"/>
            </w:pPr>
            <w:r w:rsidRPr="00E05E29">
              <w:t>is the total mass of the building;</w:t>
            </w:r>
          </w:p>
        </w:tc>
      </w:tr>
      <w:tr w:rsidR="00BE520A" w:rsidRPr="00E21BDE" w14:paraId="409C68FF" w14:textId="77777777" w:rsidTr="006C6A44">
        <w:tc>
          <w:tcPr>
            <w:tcW w:w="1344" w:type="dxa"/>
            <w:shd w:val="clear" w:color="auto" w:fill="auto"/>
          </w:tcPr>
          <w:p w14:paraId="3FCAEF8E" w14:textId="092D040B" w:rsidR="00BE520A" w:rsidRPr="00E21BDE" w:rsidRDefault="00BE520A" w:rsidP="002061E5">
            <w:pPr>
              <w:pStyle w:val="Tablebody"/>
              <w:rPr>
                <w:i/>
              </w:rPr>
            </w:pPr>
            <w:r w:rsidRPr="00E21BDE">
              <w:rPr>
                <w:i/>
                <w:iCs/>
              </w:rPr>
              <w:t>E</w:t>
            </w:r>
            <w:r w:rsidRPr="00E21BDE">
              <w:rPr>
                <w:vertAlign w:val="subscript"/>
              </w:rPr>
              <w:t>e</w:t>
            </w:r>
          </w:p>
        </w:tc>
        <w:tc>
          <w:tcPr>
            <w:tcW w:w="7873" w:type="dxa"/>
          </w:tcPr>
          <w:p w14:paraId="6754F087" w14:textId="5FDDB3DB" w:rsidR="00BE520A" w:rsidRPr="00E21BDE" w:rsidRDefault="00BE520A" w:rsidP="002061E5">
            <w:pPr>
              <w:pStyle w:val="Tablebody"/>
            </w:pPr>
            <w:r w:rsidRPr="00E21BDE">
              <w:t>is the amount of energy</w:t>
            </w:r>
            <w:r w:rsidRPr="00E21BDE">
              <w:rPr>
                <w:i/>
                <w:iCs/>
              </w:rPr>
              <w:t xml:space="preserve"> </w:t>
            </w:r>
            <w:r w:rsidRPr="00E21BDE">
              <w:t xml:space="preserve">that the structure with energy dissipation system can store in form of elastic strain energy and absorb in form of plastic strain energy dissipated by the dampers while the primary seismic members of the main structural system remain in the </w:t>
            </w:r>
            <w:r w:rsidRPr="00E21BDE">
              <w:rPr>
                <w:color w:val="000000" w:themeColor="text1"/>
              </w:rPr>
              <w:t>elastic range,</w:t>
            </w:r>
            <w:r w:rsidRPr="00E21BDE">
              <w:t xml:space="preserve"> in the direction under consideration, calculated according to Annex D, D.4.1;</w:t>
            </w:r>
          </w:p>
        </w:tc>
      </w:tr>
      <w:tr w:rsidR="00BE520A" w:rsidRPr="00E21BDE" w14:paraId="1A8BD557" w14:textId="77777777" w:rsidTr="006C6A44">
        <w:tc>
          <w:tcPr>
            <w:tcW w:w="1344" w:type="dxa"/>
            <w:shd w:val="clear" w:color="auto" w:fill="auto"/>
          </w:tcPr>
          <w:p w14:paraId="1C939E6E" w14:textId="5DA1E36E" w:rsidR="00BE520A" w:rsidRPr="00E21BDE" w:rsidRDefault="00BE520A" w:rsidP="002061E5">
            <w:pPr>
              <w:pStyle w:val="Tablebody"/>
              <w:rPr>
                <w:i/>
                <w:iCs/>
              </w:rPr>
            </w:pPr>
            <w:r w:rsidRPr="00E21BDE">
              <w:rPr>
                <w:i/>
                <w:szCs w:val="24"/>
              </w:rPr>
              <w:t>S</w:t>
            </w:r>
            <w:r w:rsidRPr="00E21BDE">
              <w:rPr>
                <w:szCs w:val="24"/>
                <w:vertAlign w:val="subscript"/>
              </w:rPr>
              <w:t>e</w:t>
            </w:r>
            <w:r w:rsidRPr="00E21BDE">
              <w:rPr>
                <w:i/>
                <w:szCs w:val="24"/>
                <w:vertAlign w:val="subscript"/>
              </w:rPr>
              <w:t xml:space="preserve"> </w:t>
            </w:r>
            <w:r w:rsidRPr="00E21BDE">
              <w:rPr>
                <w:iCs/>
                <w:szCs w:val="24"/>
              </w:rPr>
              <w:t>(</w:t>
            </w:r>
            <w:r w:rsidRPr="00E21BDE">
              <w:rPr>
                <w:i/>
                <w:szCs w:val="24"/>
              </w:rPr>
              <w:t>T</w:t>
            </w:r>
            <w:r w:rsidRPr="00E21BDE">
              <w:rPr>
                <w:szCs w:val="24"/>
                <w:vertAlign w:val="subscript"/>
              </w:rPr>
              <w:t xml:space="preserve">1,e </w:t>
            </w:r>
            <w:r w:rsidRPr="00E21BDE">
              <w:rPr>
                <w:i/>
                <w:szCs w:val="24"/>
              </w:rPr>
              <w:t>,</w:t>
            </w:r>
            <w:r w:rsidRPr="00E21BDE">
              <w:rPr>
                <w:szCs w:val="24"/>
              </w:rPr>
              <w:t> 5</w:t>
            </w:r>
            <w:r w:rsidRPr="00E21BDE">
              <w:rPr>
                <w:iCs/>
                <w:szCs w:val="24"/>
              </w:rPr>
              <w:t>%)</w:t>
            </w:r>
          </w:p>
        </w:tc>
        <w:tc>
          <w:tcPr>
            <w:tcW w:w="7873" w:type="dxa"/>
          </w:tcPr>
          <w:p w14:paraId="6631AB77" w14:textId="5BFC553E" w:rsidR="00BE520A" w:rsidRPr="00E21BDE" w:rsidRDefault="00BE520A" w:rsidP="002061E5">
            <w:pPr>
              <w:pStyle w:val="Tablebody"/>
            </w:pPr>
            <w:r w:rsidRPr="00E21BDE">
              <w:rPr>
                <w:szCs w:val="24"/>
              </w:rPr>
              <w:t xml:space="preserve">is the </w:t>
            </w:r>
            <w:r w:rsidRPr="00E21BDE">
              <w:t>spectral acceleration value</w:t>
            </w:r>
            <w:r w:rsidRPr="00E21BDE" w:rsidDel="000049E9">
              <w:t xml:space="preserve"> </w:t>
            </w:r>
            <w:r w:rsidRPr="00E21BDE">
              <w:rPr>
                <w:szCs w:val="24"/>
              </w:rPr>
              <w:t>of the 5</w:t>
            </w:r>
            <w:r w:rsidR="006C6A44">
              <w:rPr>
                <w:szCs w:val="24"/>
              </w:rPr>
              <w:t> </w:t>
            </w:r>
            <w:r w:rsidRPr="00E21BDE">
              <w:rPr>
                <w:szCs w:val="24"/>
              </w:rPr>
              <w:t xml:space="preserve">% damped elastic response spectrum given in </w:t>
            </w:r>
            <w:r w:rsidRPr="00E21BDE">
              <w:t xml:space="preserve">prEN 1998-1-1:2022, </w:t>
            </w:r>
            <w:r w:rsidRPr="00E21BDE">
              <w:rPr>
                <w:szCs w:val="24"/>
              </w:rPr>
              <w:t xml:space="preserve">5.2.2.2(1), corresponding to period </w:t>
            </w:r>
            <w:r w:rsidRPr="00E21BDE">
              <w:rPr>
                <w:i/>
                <w:szCs w:val="24"/>
              </w:rPr>
              <w:t>T</w:t>
            </w:r>
            <w:r w:rsidRPr="00E21BDE">
              <w:rPr>
                <w:szCs w:val="24"/>
                <w:vertAlign w:val="subscript"/>
              </w:rPr>
              <w:t>1</w:t>
            </w:r>
            <w:r w:rsidRPr="00E21BDE">
              <w:rPr>
                <w:szCs w:val="24"/>
              </w:rPr>
              <w:t>;</w:t>
            </w:r>
          </w:p>
        </w:tc>
      </w:tr>
      <w:tr w:rsidR="00BE520A" w:rsidRPr="00E21BDE" w14:paraId="04A6B5A0" w14:textId="77777777" w:rsidTr="006C6A44">
        <w:tc>
          <w:tcPr>
            <w:tcW w:w="1344" w:type="dxa"/>
            <w:shd w:val="clear" w:color="auto" w:fill="auto"/>
          </w:tcPr>
          <w:p w14:paraId="01842DAC" w14:textId="4CFF7A76" w:rsidR="00BE520A" w:rsidRPr="00E21BDE" w:rsidRDefault="00BE520A" w:rsidP="002061E5">
            <w:pPr>
              <w:pStyle w:val="Tablebody"/>
              <w:rPr>
                <w:i/>
              </w:rPr>
            </w:pPr>
            <w:r w:rsidRPr="00E21BDE">
              <w:rPr>
                <w:rFonts w:ascii="Symbol" w:eastAsia="Symbol" w:hAnsi="Symbol" w:cs="Symbol"/>
                <w:i/>
                <w:iCs/>
              </w:rPr>
              <w:lastRenderedPageBreak/>
              <w:t></w:t>
            </w:r>
            <w:r w:rsidRPr="00E21BDE">
              <w:t>(</w:t>
            </w:r>
            <w:r w:rsidRPr="00E21BDE">
              <w:rPr>
                <w:i/>
                <w:iCs/>
              </w:rPr>
              <w:t>T</w:t>
            </w:r>
            <w:r w:rsidRPr="00E21BDE">
              <w:rPr>
                <w:vertAlign w:val="subscript"/>
              </w:rPr>
              <w:t xml:space="preserve">1,e </w:t>
            </w:r>
            <w:r w:rsidRPr="00E21BDE">
              <w:t>,</w:t>
            </w:r>
            <w:r w:rsidRPr="00E21BDE">
              <w:rPr>
                <w:i/>
                <w:iCs/>
              </w:rPr>
              <w:t> </w:t>
            </w:r>
            <w:r w:rsidRPr="00E21BDE">
              <w:rPr>
                <w:rFonts w:ascii="Symbol" w:eastAsia="Symbol" w:hAnsi="Symbol" w:cs="Symbol"/>
                <w:i/>
                <w:iCs/>
              </w:rPr>
              <w:t></w:t>
            </w:r>
            <w:r w:rsidRPr="00E21BDE">
              <w:rPr>
                <w:vertAlign w:val="subscript"/>
              </w:rPr>
              <w:t>I</w:t>
            </w:r>
            <w:r w:rsidRPr="00E21BDE">
              <w:t>)</w:t>
            </w:r>
          </w:p>
        </w:tc>
        <w:tc>
          <w:tcPr>
            <w:tcW w:w="7873" w:type="dxa"/>
          </w:tcPr>
          <w:p w14:paraId="46D8C267" w14:textId="4BCF996C" w:rsidR="00BE520A" w:rsidRPr="00E21BDE" w:rsidRDefault="00BE520A" w:rsidP="002061E5">
            <w:pPr>
              <w:pStyle w:val="Tablebody"/>
            </w:pPr>
            <w:r w:rsidRPr="00E21BDE">
              <w:t xml:space="preserve">is the value of the damping correction factor in prEN 1998-1-1:2022, 5.2.2.2(12), corresponding to period </w:t>
            </w:r>
            <w:r w:rsidRPr="00E21BDE">
              <w:rPr>
                <w:i/>
                <w:iCs/>
              </w:rPr>
              <w:t>T</w:t>
            </w:r>
            <w:r w:rsidRPr="00E21BDE">
              <w:rPr>
                <w:vertAlign w:val="subscript"/>
              </w:rPr>
              <w:t>1</w:t>
            </w:r>
            <w:r w:rsidRPr="00E21BDE">
              <w:rPr>
                <w:i/>
                <w:iCs/>
                <w:vertAlign w:val="subscript"/>
              </w:rPr>
              <w:t xml:space="preserve"> </w:t>
            </w:r>
            <w:r w:rsidRPr="00E21BDE">
              <w:t xml:space="preserve">and inherent damping ratio </w:t>
            </w:r>
            <w:r w:rsidRPr="00E21BDE">
              <w:rPr>
                <w:rFonts w:ascii="Symbol" w:eastAsia="Symbol" w:hAnsi="Symbol" w:cs="Symbol"/>
                <w:i/>
                <w:iCs/>
              </w:rPr>
              <w:t></w:t>
            </w:r>
            <w:r w:rsidRPr="00E21BDE">
              <w:rPr>
                <w:vertAlign w:val="subscript"/>
              </w:rPr>
              <w:t>I</w:t>
            </w:r>
            <w:r w:rsidRPr="00E21BDE">
              <w:t xml:space="preserve"> in accordance with Annex D, D.3.2.</w:t>
            </w:r>
          </w:p>
        </w:tc>
      </w:tr>
    </w:tbl>
    <w:p w14:paraId="742B5698" w14:textId="0FF86A92" w:rsidR="00E21BDE" w:rsidRDefault="00E21BDE" w:rsidP="00E21BDE">
      <w:pPr>
        <w:pStyle w:val="Notetext"/>
      </w:pPr>
      <w:r w:rsidRPr="00E21BDE">
        <w:t>NOTE</w:t>
      </w:r>
      <w:r w:rsidRPr="00E21BDE">
        <w:tab/>
        <w:t xml:space="preserve">In the basic energy-balance Formula, </w:t>
      </w:r>
      <w:r w:rsidRPr="00E21BDE">
        <w:rPr>
          <w:i/>
        </w:rPr>
        <w:t>E</w:t>
      </w:r>
      <w:r w:rsidRPr="00E21BDE">
        <w:rPr>
          <w:vertAlign w:val="subscript"/>
        </w:rPr>
        <w:t>e</w:t>
      </w:r>
      <w:r w:rsidRPr="00E21BDE">
        <w:t xml:space="preserve"> represents the sum </w:t>
      </w:r>
      <w:r w:rsidRPr="00E21BDE">
        <w:rPr>
          <w:i/>
        </w:rPr>
        <w:t>E</w:t>
      </w:r>
      <w:r w:rsidRPr="00E21BDE">
        <w:rPr>
          <w:vertAlign w:val="subscript"/>
        </w:rPr>
        <w:t>k</w:t>
      </w:r>
      <w:r w:rsidRPr="00E21BDE">
        <w:rPr>
          <w:i/>
        </w:rPr>
        <w:t> + E</w:t>
      </w:r>
      <w:r w:rsidRPr="00E21BDE">
        <w:rPr>
          <w:vertAlign w:val="subscript"/>
        </w:rPr>
        <w:t>s</w:t>
      </w:r>
      <w:r w:rsidRPr="00E21BDE">
        <w:rPr>
          <w:i/>
        </w:rPr>
        <w:t> +E</w:t>
      </w:r>
      <w:r w:rsidRPr="00E21BDE">
        <w:rPr>
          <w:vertAlign w:val="subscript"/>
        </w:rPr>
        <w:t>H</w:t>
      </w:r>
      <w:r w:rsidRPr="00E21BDE">
        <w:t xml:space="preserve"> special</w:t>
      </w:r>
      <w:r w:rsidR="00E10A24">
        <w:t>ize</w:t>
      </w:r>
      <w:r w:rsidRPr="00E21BDE">
        <w:t xml:space="preserve">d for a low intensity earthquake for which the primary seismic members of the main system remain elastic (i.e. </w:t>
      </w:r>
      <w:r w:rsidRPr="00E21BDE">
        <w:rPr>
          <w:i/>
        </w:rPr>
        <w:t>E</w:t>
      </w:r>
      <w:r w:rsidRPr="00E21BDE">
        <w:rPr>
          <w:vertAlign w:val="subscript"/>
        </w:rPr>
        <w:t>H</w:t>
      </w:r>
      <w:r w:rsidRPr="00E21BDE">
        <w:t> = </w:t>
      </w:r>
      <w:r w:rsidRPr="00E21BDE">
        <w:rPr>
          <w:i/>
        </w:rPr>
        <w:t>E</w:t>
      </w:r>
      <w:r w:rsidRPr="00E21BDE">
        <w:rPr>
          <w:vertAlign w:val="subscript"/>
        </w:rPr>
        <w:t>dH</w:t>
      </w:r>
      <w:r w:rsidRPr="00E21BDE">
        <w:t xml:space="preserve"> and </w:t>
      </w:r>
      <w:r w:rsidRPr="00E21BDE">
        <w:rPr>
          <w:i/>
        </w:rPr>
        <w:t>E</w:t>
      </w:r>
      <w:r w:rsidRPr="00E21BDE">
        <w:rPr>
          <w:vertAlign w:val="subscript"/>
        </w:rPr>
        <w:t>pH</w:t>
      </w:r>
      <w:r w:rsidRPr="00E21BDE">
        <w:t> = 0).</w:t>
      </w:r>
    </w:p>
    <w:p w14:paraId="797FD450" w14:textId="447FC167" w:rsidR="00BE520A" w:rsidRPr="00E21BDE" w:rsidRDefault="00BE520A" w:rsidP="0080187E">
      <w:pPr>
        <w:pStyle w:val="Clause"/>
        <w:numPr>
          <w:ilvl w:val="0"/>
          <w:numId w:val="292"/>
        </w:numPr>
      </w:pPr>
      <w:r w:rsidRPr="00E21BDE">
        <w:t xml:space="preserve">The amount of energy that the primary seismic members of the main structural system at the </w:t>
      </w:r>
      <w:r w:rsidRPr="00E21BDE">
        <w:rPr>
          <w:i/>
          <w:iCs/>
        </w:rPr>
        <w:t>k</w:t>
      </w:r>
      <w:r w:rsidRPr="00E21BDE">
        <w:t xml:space="preserve">-th storey can dissipate in the direction under consideration before reaching the SD limit state should be greater than the maximum energy dissipation demand on the primary seismic members of the main structural system at the </w:t>
      </w:r>
      <w:r w:rsidRPr="00E21BDE">
        <w:rPr>
          <w:i/>
          <w:iCs/>
        </w:rPr>
        <w:t>k</w:t>
      </w:r>
      <w:r w:rsidRPr="00E21BDE">
        <w:t>-th storey under the design seismic action.</w:t>
      </w:r>
    </w:p>
    <w:p w14:paraId="3800ED7C" w14:textId="00D6AF2E" w:rsidR="00BE520A" w:rsidRPr="00E05E29" w:rsidRDefault="00BE520A" w:rsidP="0080187E">
      <w:pPr>
        <w:pStyle w:val="Clause"/>
        <w:numPr>
          <w:ilvl w:val="0"/>
          <w:numId w:val="292"/>
        </w:numPr>
      </w:pPr>
      <w:r w:rsidRPr="00E21BDE">
        <w:t>(7) may be considered satisfie</w:t>
      </w:r>
      <w:r w:rsidRPr="00E05E29">
        <w:t xml:space="preserve">d at SD limit state if the condition given by Formula (9.23) is satisfied at each storey </w:t>
      </w:r>
      <w:r w:rsidRPr="004030A7">
        <w:rPr>
          <w:i/>
          <w:iCs/>
        </w:rPr>
        <w:t>k</w:t>
      </w:r>
      <w:r w:rsidRPr="00E05E29">
        <w:t>.</w:t>
      </w:r>
    </w:p>
    <w:p w14:paraId="4E71F388" w14:textId="29FB4DFF" w:rsidR="00BE520A" w:rsidRPr="00870D59" w:rsidRDefault="009B5CEC" w:rsidP="00BE520A">
      <w:pPr>
        <w:pStyle w:val="Formula"/>
      </w:pPr>
      <m:oMath>
        <m:sSub>
          <m:sSubPr>
            <m:ctrlPr>
              <w:rPr>
                <w:rFonts w:ascii="Cambria Math" w:hAnsi="Cambria Math"/>
              </w:rPr>
            </m:ctrlPr>
          </m:sSubPr>
          <m:e>
            <m:r>
              <w:rPr>
                <w:rFonts w:ascii="Cambria Math" w:hAnsi="Cambria Math"/>
              </w:rPr>
              <m:t>E</m:t>
            </m:r>
          </m:e>
          <m:sub>
            <m:r>
              <m:rPr>
                <m:sty m:val="p"/>
              </m:rPr>
              <w:rPr>
                <w:rFonts w:ascii="Cambria Math" w:hAnsi="Cambria Math"/>
              </w:rPr>
              <m:t>pH,k,SD</m:t>
            </m:r>
          </m:sub>
        </m:sSub>
        <m:r>
          <w:rPr>
            <w:rFonts w:ascii="Cambria Math" w:hAnsi="Cambria Math"/>
          </w:rPr>
          <m:t>≥</m:t>
        </m:r>
        <m:sSub>
          <m:sSubPr>
            <m:ctrlPr>
              <w:rPr>
                <w:rFonts w:ascii="Cambria Math" w:hAnsi="Cambria Math"/>
              </w:rPr>
            </m:ctrlPr>
          </m:sSubPr>
          <m:e>
            <m:r>
              <w:rPr>
                <w:rFonts w:ascii="Cambria Math" w:hAnsi="Cambria Math"/>
              </w:rPr>
              <m:t>E</m:t>
            </m:r>
          </m:e>
          <m:sub>
            <m:r>
              <m:rPr>
                <m:sty m:val="p"/>
              </m:rPr>
              <w:rPr>
                <w:rFonts w:ascii="Cambria Math" w:hAnsi="Cambria Math"/>
              </w:rPr>
              <m:t>pH,k,max</m:t>
            </m:r>
          </m:sub>
        </m:sSub>
      </m:oMath>
      <w:r w:rsidR="00BE520A" w:rsidRPr="00870D59">
        <w:tab/>
        <w:t>(</w:t>
      </w:r>
      <w:r w:rsidR="00BE520A">
        <w:t>9</w:t>
      </w:r>
      <w:r w:rsidR="00BE520A" w:rsidRPr="00870D59">
        <w:t>.</w:t>
      </w:r>
      <w:r w:rsidR="00BE520A">
        <w:t>23</w:t>
      </w:r>
      <w:r w:rsidR="00BE520A" w:rsidRPr="00870D59">
        <w:t>)</w:t>
      </w:r>
    </w:p>
    <w:p w14:paraId="04987968" w14:textId="2C274373" w:rsidR="00BE520A" w:rsidRDefault="00675EBA" w:rsidP="00E21BDE">
      <w:pPr>
        <w:pStyle w:val="Text"/>
      </w:pPr>
      <w:r>
        <w:t>where</w:t>
      </w:r>
    </w:p>
    <w:tbl>
      <w:tblPr>
        <w:tblW w:w="0" w:type="auto"/>
        <w:tblInd w:w="346" w:type="dxa"/>
        <w:tblLook w:val="04A0" w:firstRow="1" w:lastRow="0" w:firstColumn="1" w:lastColumn="0" w:noHBand="0" w:noVBand="1"/>
      </w:tblPr>
      <w:tblGrid>
        <w:gridCol w:w="1345"/>
        <w:gridCol w:w="7872"/>
      </w:tblGrid>
      <w:tr w:rsidR="00BE520A" w:rsidRPr="00870D59" w14:paraId="5BA906E7" w14:textId="77777777" w:rsidTr="006C6A44">
        <w:tc>
          <w:tcPr>
            <w:tcW w:w="1345" w:type="dxa"/>
            <w:shd w:val="clear" w:color="auto" w:fill="auto"/>
          </w:tcPr>
          <w:p w14:paraId="68764BD1" w14:textId="726BD0A4" w:rsidR="00BE520A" w:rsidRPr="00523AC3" w:rsidRDefault="00FE00B3" w:rsidP="002061E5">
            <w:pPr>
              <w:pStyle w:val="Tablebody"/>
              <w:rPr>
                <w:i/>
                <w:iCs/>
              </w:rPr>
            </w:pPr>
            <w:r w:rsidRPr="007E6F67">
              <w:rPr>
                <w:i/>
              </w:rPr>
              <w:t>p</w:t>
            </w:r>
          </w:p>
        </w:tc>
        <w:tc>
          <w:tcPr>
            <w:tcW w:w="7872" w:type="dxa"/>
          </w:tcPr>
          <w:p w14:paraId="1D47843E" w14:textId="2065D6EE" w:rsidR="00BE520A" w:rsidRPr="00303F71" w:rsidRDefault="00FE00B3" w:rsidP="002061E5">
            <w:pPr>
              <w:pStyle w:val="Tablebody"/>
            </w:pPr>
            <w:r w:rsidRPr="007E6F67">
              <w:t xml:space="preserve">index standing for primary seismic </w:t>
            </w:r>
            <w:r w:rsidRPr="00FD17CF">
              <w:t>members;</w:t>
            </w:r>
          </w:p>
        </w:tc>
      </w:tr>
      <w:tr w:rsidR="00BE520A" w:rsidRPr="00E21BDE" w14:paraId="2BB55E2C" w14:textId="77777777" w:rsidTr="006C6A44">
        <w:tc>
          <w:tcPr>
            <w:tcW w:w="1345" w:type="dxa"/>
            <w:shd w:val="clear" w:color="auto" w:fill="auto"/>
          </w:tcPr>
          <w:p w14:paraId="7E7AB796" w14:textId="66645DD9" w:rsidR="00BE520A" w:rsidRPr="00E21BDE" w:rsidRDefault="00FE00B3" w:rsidP="002061E5">
            <w:pPr>
              <w:pStyle w:val="Tablebody"/>
              <w:rPr>
                <w:i/>
              </w:rPr>
            </w:pPr>
            <w:r w:rsidRPr="00E21BDE">
              <w:rPr>
                <w:i/>
                <w:szCs w:val="24"/>
              </w:rPr>
              <w:t>E</w:t>
            </w:r>
            <w:r w:rsidRPr="00E21BDE">
              <w:rPr>
                <w:szCs w:val="24"/>
                <w:vertAlign w:val="subscript"/>
              </w:rPr>
              <w:t>pH,k,SD</w:t>
            </w:r>
          </w:p>
        </w:tc>
        <w:tc>
          <w:tcPr>
            <w:tcW w:w="7872" w:type="dxa"/>
          </w:tcPr>
          <w:p w14:paraId="44E1F65E" w14:textId="0E11D8D2" w:rsidR="00BE520A" w:rsidRPr="00E21BDE" w:rsidRDefault="00FE00B3" w:rsidP="002061E5">
            <w:pPr>
              <w:pStyle w:val="Tablebody"/>
            </w:pPr>
            <w:r w:rsidRPr="00E21BDE">
              <w:rPr>
                <w:szCs w:val="24"/>
              </w:rPr>
              <w:t>is</w:t>
            </w:r>
            <w:r w:rsidRPr="00E21BDE">
              <w:t xml:space="preserve"> the amount of energy that can be dissipated by the primary seismic members of the main structural system at the </w:t>
            </w:r>
            <w:r w:rsidRPr="00E21BDE">
              <w:rPr>
                <w:i/>
              </w:rPr>
              <w:t>k</w:t>
            </w:r>
            <w:r w:rsidRPr="00E21BDE">
              <w:t>-th storey in the direction under consideration before reaching the SD limit state as specified in (9);</w:t>
            </w:r>
          </w:p>
        </w:tc>
      </w:tr>
      <w:tr w:rsidR="00FE00B3" w:rsidRPr="00E21BDE" w14:paraId="5023544F" w14:textId="77777777" w:rsidTr="006C6A44">
        <w:tc>
          <w:tcPr>
            <w:tcW w:w="1345" w:type="dxa"/>
            <w:shd w:val="clear" w:color="auto" w:fill="auto"/>
          </w:tcPr>
          <w:p w14:paraId="17CE619F" w14:textId="2817EAB0" w:rsidR="00FE00B3" w:rsidRPr="00E21BDE" w:rsidRDefault="00FE00B3" w:rsidP="002061E5">
            <w:pPr>
              <w:pStyle w:val="Tablebody"/>
              <w:rPr>
                <w:i/>
                <w:szCs w:val="24"/>
              </w:rPr>
            </w:pPr>
            <w:r w:rsidRPr="00E21BDE">
              <w:rPr>
                <w:i/>
                <w:iCs/>
              </w:rPr>
              <w:t>E</w:t>
            </w:r>
            <w:r w:rsidRPr="00E21BDE">
              <w:rPr>
                <w:vertAlign w:val="subscript"/>
              </w:rPr>
              <w:t>pH,k,max</w:t>
            </w:r>
          </w:p>
        </w:tc>
        <w:tc>
          <w:tcPr>
            <w:tcW w:w="7872" w:type="dxa"/>
          </w:tcPr>
          <w:p w14:paraId="6383BE2B" w14:textId="4F09828E" w:rsidR="00FE00B3" w:rsidRPr="00E21BDE" w:rsidRDefault="00FE00B3" w:rsidP="002061E5">
            <w:pPr>
              <w:pStyle w:val="Tablebody"/>
            </w:pPr>
            <w:r w:rsidRPr="00E21BDE">
              <w:t xml:space="preserve">is the maximum energy dissipation demand at the </w:t>
            </w:r>
            <w:r w:rsidRPr="00E21BDE">
              <w:rPr>
                <w:i/>
                <w:iCs/>
              </w:rPr>
              <w:t>k-</w:t>
            </w:r>
            <w:r w:rsidRPr="00E21BDE">
              <w:t>th storey in the primary seismic members of the main structural system under the design earthquake, according to Annex D, D.4.3.</w:t>
            </w:r>
          </w:p>
        </w:tc>
      </w:tr>
    </w:tbl>
    <w:p w14:paraId="64382328" w14:textId="77777777" w:rsidR="00FE00B3" w:rsidRPr="00E21BDE" w:rsidRDefault="00FE00B3" w:rsidP="00FE00B3">
      <w:pPr>
        <w:pStyle w:val="Notetext"/>
      </w:pPr>
      <w:r w:rsidRPr="00E21BDE">
        <w:t>NOTE</w:t>
      </w:r>
      <w:r w:rsidRPr="00E21BDE">
        <w:tab/>
        <w:t>Formula (9.23) can be checked and satisfied without need to assign a ductility class to the primary seismic members of the main structural system and without need to meet the global ductility provision of 6.2.5(9).</w:t>
      </w:r>
    </w:p>
    <w:p w14:paraId="58A9B030" w14:textId="3D42D94E" w:rsidR="00FE00B3" w:rsidRPr="00E21BDE" w:rsidRDefault="00FE00B3" w:rsidP="0080187E">
      <w:pPr>
        <w:pStyle w:val="Clause"/>
        <w:numPr>
          <w:ilvl w:val="0"/>
          <w:numId w:val="292"/>
        </w:numPr>
      </w:pPr>
      <w:r w:rsidRPr="00E21BDE">
        <w:rPr>
          <w:i/>
          <w:iCs/>
        </w:rPr>
        <w:t>E</w:t>
      </w:r>
      <w:r w:rsidRPr="00E21BDE">
        <w:rPr>
          <w:vertAlign w:val="subscript"/>
        </w:rPr>
        <w:t>pH,k,SD</w:t>
      </w:r>
      <w:r w:rsidRPr="00E21BDE">
        <w:rPr>
          <w:i/>
          <w:iCs/>
        </w:rPr>
        <w:t xml:space="preserve"> </w:t>
      </w:r>
      <w:r w:rsidRPr="00E21BDE">
        <w:t xml:space="preserve">should be taken as a value not exceeding the amount of energy that can be dissipated by the primary seismic members of the main structural system at the </w:t>
      </w:r>
      <w:r w:rsidRPr="00E21BDE">
        <w:rPr>
          <w:i/>
          <w:iCs/>
        </w:rPr>
        <w:t>k</w:t>
      </w:r>
      <w:r w:rsidRPr="00E21BDE">
        <w:t>-th storey in the direction under consideration under cyclic deformations, until any primary seismic member of the main structural system attains the SD limit state.</w:t>
      </w:r>
    </w:p>
    <w:p w14:paraId="00D9088B" w14:textId="4897568F" w:rsidR="00FE00B3" w:rsidRPr="00E21BDE" w:rsidRDefault="00FE00B3" w:rsidP="0080187E">
      <w:pPr>
        <w:pStyle w:val="Clause"/>
        <w:numPr>
          <w:ilvl w:val="0"/>
          <w:numId w:val="292"/>
        </w:numPr>
      </w:pPr>
      <w:r w:rsidRPr="00E21BDE">
        <w:t>As an alternative to (8) and (9), (7) may be considered satisfied if conditions a) to c) are satisfied:</w:t>
      </w:r>
    </w:p>
    <w:p w14:paraId="21296D94" w14:textId="65058EA0" w:rsidR="00FE00B3" w:rsidRPr="00E21BDE" w:rsidRDefault="00FE00B3" w:rsidP="0080187E">
      <w:pPr>
        <w:pStyle w:val="List2"/>
        <w:numPr>
          <w:ilvl w:val="0"/>
          <w:numId w:val="109"/>
        </w:numPr>
        <w:spacing w:before="0" w:after="240" w:line="230" w:lineRule="atLeast"/>
        <w:contextualSpacing w:val="0"/>
      </w:pPr>
      <w:r w:rsidRPr="00E21BDE">
        <w:t>In DC3, the primary seismic members of the main structural system meet the global ductility conditions prescribed in 6.2.7</w:t>
      </w:r>
      <w:r w:rsidR="00E21BDE">
        <w:t>;</w:t>
      </w:r>
    </w:p>
    <w:p w14:paraId="4D5D7945" w14:textId="56F8F619" w:rsidR="00FE00B3" w:rsidRPr="00E05E29" w:rsidRDefault="00FE00B3" w:rsidP="0080187E">
      <w:pPr>
        <w:pStyle w:val="List2"/>
        <w:numPr>
          <w:ilvl w:val="0"/>
          <w:numId w:val="109"/>
        </w:numPr>
        <w:spacing w:before="0" w:after="240" w:line="230" w:lineRule="atLeast"/>
        <w:contextualSpacing w:val="0"/>
      </w:pPr>
      <w:r w:rsidRPr="00E21BDE">
        <w:t xml:space="preserve">the primary seismic members of the main structural system meet the conditions in </w:t>
      </w:r>
      <w:r w:rsidR="006C6A44">
        <w:t xml:space="preserve">Clauses </w:t>
      </w:r>
      <w:r w:rsidRPr="00E21BDE">
        <w:t>10 to 15 to</w:t>
      </w:r>
      <w:r w:rsidRPr="00E05E29">
        <w:t xml:space="preserve"> be categori</w:t>
      </w:r>
      <w:r w:rsidR="006C6A44">
        <w:t>z</w:t>
      </w:r>
      <w:r w:rsidRPr="00E05E29">
        <w:t>ed as ductility class DC1, DC2 or DC3;</w:t>
      </w:r>
    </w:p>
    <w:p w14:paraId="16021B62" w14:textId="77777777" w:rsidR="00FE00B3" w:rsidRPr="00E21BDE" w:rsidRDefault="00FE00B3" w:rsidP="0080187E">
      <w:pPr>
        <w:pStyle w:val="List2"/>
        <w:numPr>
          <w:ilvl w:val="0"/>
          <w:numId w:val="109"/>
        </w:numPr>
        <w:spacing w:before="0" w:after="240" w:line="230" w:lineRule="atLeast"/>
        <w:contextualSpacing w:val="0"/>
      </w:pPr>
      <w:r w:rsidRPr="00E05E29">
        <w:t xml:space="preserve">the displacement </w:t>
      </w:r>
      <w:r w:rsidRPr="00E21BDE">
        <w:t xml:space="preserve">ductility ratio </w:t>
      </w:r>
      <w:r w:rsidRPr="00E21BDE">
        <w:rPr>
          <w:rFonts w:ascii="Symbol" w:eastAsia="Symbol" w:hAnsi="Symbol" w:cs="Symbol"/>
          <w:i/>
        </w:rPr>
        <w:t></w:t>
      </w:r>
      <w:r w:rsidRPr="00E21BDE">
        <w:rPr>
          <w:iCs/>
          <w:vertAlign w:val="subscript"/>
        </w:rPr>
        <w:t>f</w:t>
      </w:r>
      <w:r w:rsidRPr="00E21BDE">
        <w:rPr>
          <w:vertAlign w:val="subscript"/>
        </w:rPr>
        <w:t>,</w:t>
      </w:r>
      <w:r w:rsidRPr="00E21BDE">
        <w:t>, in the direction under consideration, calculated in accordance with 9.3.2.1(5), where d</w:t>
      </w:r>
      <w:r w:rsidRPr="00E21BDE">
        <w:rPr>
          <w:vertAlign w:val="subscript"/>
        </w:rPr>
        <w:t>roof1</w:t>
      </w:r>
      <w:r w:rsidRPr="00E21BDE">
        <w:t xml:space="preserve"> is the value of </w:t>
      </w:r>
      <w:r w:rsidRPr="00E21BDE">
        <w:rPr>
          <w:i/>
          <w:iCs/>
        </w:rPr>
        <w:t>d</w:t>
      </w:r>
      <w:r w:rsidRPr="00E21BDE">
        <w:rPr>
          <w:vertAlign w:val="subscript"/>
        </w:rPr>
        <w:t>i1</w:t>
      </w:r>
      <w:r w:rsidRPr="00E21BDE">
        <w:t xml:space="preserve"> given in 9.3.3.2(2) at roof level, does not exceed the highest </w:t>
      </w:r>
      <w:r w:rsidRPr="00E21BDE">
        <w:rPr>
          <w:i/>
        </w:rPr>
        <w:t>q</w:t>
      </w:r>
      <w:r w:rsidRPr="00E21BDE">
        <w:rPr>
          <w:vertAlign w:val="subscript"/>
        </w:rPr>
        <w:t>D</w:t>
      </w:r>
      <w:r w:rsidRPr="00E21BDE">
        <w:rPr>
          <w:i/>
        </w:rPr>
        <w:t xml:space="preserve"> </w:t>
      </w:r>
      <w:r w:rsidRPr="00E21BDE">
        <w:t>behaviour factor that can be assigned to the main structural system to meet the requirements of 10 to 15.</w:t>
      </w:r>
    </w:p>
    <w:p w14:paraId="69E12929" w14:textId="0FA5459B" w:rsidR="00FE00B3" w:rsidRPr="00E21BDE" w:rsidRDefault="00FE00B3" w:rsidP="0080187E">
      <w:pPr>
        <w:pStyle w:val="Clause"/>
        <w:numPr>
          <w:ilvl w:val="0"/>
          <w:numId w:val="292"/>
        </w:numPr>
      </w:pPr>
      <w:r w:rsidRPr="00E21BDE">
        <w:t xml:space="preserve">The amount of energy that the energy dissipation system at the </w:t>
      </w:r>
      <w:r w:rsidRPr="00E21BDE">
        <w:rPr>
          <w:i/>
          <w:iCs/>
        </w:rPr>
        <w:t>k</w:t>
      </w:r>
      <w:r w:rsidRPr="00E21BDE">
        <w:t xml:space="preserve">-th storey can dissipate in the direction under consideration before it reaches the SD limit state should be greater than the maximum energy dissipation demand on the energy dissipation system at the </w:t>
      </w:r>
      <w:r w:rsidRPr="00E21BDE">
        <w:rPr>
          <w:i/>
          <w:iCs/>
        </w:rPr>
        <w:t>k</w:t>
      </w:r>
      <w:r w:rsidRPr="00E21BDE">
        <w:t>-th storey under the reference seismic action.</w:t>
      </w:r>
    </w:p>
    <w:p w14:paraId="7DF4EA53" w14:textId="67834E79" w:rsidR="00FE00B3" w:rsidRPr="00E21BDE" w:rsidRDefault="00FE00B3" w:rsidP="0080187E">
      <w:pPr>
        <w:pStyle w:val="Clause"/>
        <w:numPr>
          <w:ilvl w:val="0"/>
          <w:numId w:val="292"/>
        </w:numPr>
      </w:pPr>
      <w:r w:rsidRPr="00E21BDE">
        <w:lastRenderedPageBreak/>
        <w:t xml:space="preserve">(11) </w:t>
      </w:r>
      <w:r w:rsidR="0075055D">
        <w:t>may be</w:t>
      </w:r>
      <w:r w:rsidRPr="00E21BDE">
        <w:t xml:space="preserve"> considered satisfied if the condition given by Formula (9.24) is satisfied at SD limit state at each storey </w:t>
      </w:r>
      <w:r w:rsidRPr="00E21BDE">
        <w:rPr>
          <w:i/>
          <w:iCs/>
        </w:rPr>
        <w:t>k</w:t>
      </w:r>
      <w:r w:rsidRPr="00E21BDE">
        <w:t>.</w:t>
      </w:r>
    </w:p>
    <w:p w14:paraId="129FDD3B" w14:textId="17DF710B" w:rsidR="00FE00B3" w:rsidRPr="00E21BDE" w:rsidRDefault="009B5CEC" w:rsidP="00FE00B3">
      <w:pPr>
        <w:pStyle w:val="Formula"/>
      </w:pPr>
      <m:oMath>
        <m:sSub>
          <m:sSubPr>
            <m:ctrlPr>
              <w:rPr>
                <w:rFonts w:ascii="Cambria Math" w:hAnsi="Cambria Math"/>
              </w:rPr>
            </m:ctrlPr>
          </m:sSubPr>
          <m:e>
            <m:r>
              <w:rPr>
                <w:rFonts w:ascii="Cambria Math" w:hAnsi="Cambria Math"/>
              </w:rPr>
              <m:t>E</m:t>
            </m:r>
          </m:e>
          <m:sub>
            <m:r>
              <m:rPr>
                <m:sty m:val="p"/>
              </m:rPr>
              <w:rPr>
                <w:rFonts w:ascii="Cambria Math" w:hAnsi="Cambria Math"/>
              </w:rPr>
              <m:t>dH,k,SD</m:t>
            </m:r>
          </m:sub>
        </m:sSub>
        <m:r>
          <w:rPr>
            <w:rFonts w:ascii="Cambria Math" w:hAnsi="Cambria Math"/>
          </w:rPr>
          <m:t>≥</m:t>
        </m:r>
        <m:sSub>
          <m:sSubPr>
            <m:ctrlPr>
              <w:rPr>
                <w:rFonts w:ascii="Cambria Math" w:hAnsi="Cambria Math"/>
              </w:rPr>
            </m:ctrlPr>
          </m:sSubPr>
          <m:e>
            <m:r>
              <w:rPr>
                <w:rFonts w:ascii="Cambria Math" w:hAnsi="Cambria Math"/>
              </w:rPr>
              <m:t>E</m:t>
            </m:r>
          </m:e>
          <m:sub>
            <m:r>
              <m:rPr>
                <m:sty m:val="p"/>
              </m:rPr>
              <w:rPr>
                <w:rFonts w:ascii="Cambria Math" w:hAnsi="Cambria Math"/>
              </w:rPr>
              <m:t>dH,k,max</m:t>
            </m:r>
          </m:sub>
        </m:sSub>
      </m:oMath>
      <w:r w:rsidR="00FE00B3" w:rsidRPr="00E21BDE">
        <w:tab/>
        <w:t>(9.24)</w:t>
      </w:r>
    </w:p>
    <w:p w14:paraId="19F6DDE1" w14:textId="10891A6D" w:rsidR="00FE00B3" w:rsidRPr="00E21BDE" w:rsidRDefault="00675EBA" w:rsidP="00E21BDE">
      <w:pPr>
        <w:pStyle w:val="Text"/>
      </w:pPr>
      <w:r w:rsidRPr="00E21BDE">
        <w:t>where</w:t>
      </w:r>
    </w:p>
    <w:tbl>
      <w:tblPr>
        <w:tblW w:w="0" w:type="auto"/>
        <w:tblInd w:w="346" w:type="dxa"/>
        <w:tblLook w:val="04A0" w:firstRow="1" w:lastRow="0" w:firstColumn="1" w:lastColumn="0" w:noHBand="0" w:noVBand="1"/>
      </w:tblPr>
      <w:tblGrid>
        <w:gridCol w:w="1345"/>
        <w:gridCol w:w="7872"/>
      </w:tblGrid>
      <w:tr w:rsidR="00FE00B3" w:rsidRPr="00E21BDE" w14:paraId="793E121E" w14:textId="77777777" w:rsidTr="006C6A44">
        <w:tc>
          <w:tcPr>
            <w:tcW w:w="1345" w:type="dxa"/>
            <w:shd w:val="clear" w:color="auto" w:fill="auto"/>
          </w:tcPr>
          <w:p w14:paraId="2EAAB21E" w14:textId="61ADB2B6" w:rsidR="00FE00B3" w:rsidRPr="00E21BDE" w:rsidRDefault="00FE00B3" w:rsidP="002061E5">
            <w:pPr>
              <w:pStyle w:val="Tablebody"/>
              <w:rPr>
                <w:i/>
                <w:iCs/>
              </w:rPr>
            </w:pPr>
            <w:r w:rsidRPr="00E21BDE">
              <w:rPr>
                <w:i/>
              </w:rPr>
              <w:t>d</w:t>
            </w:r>
          </w:p>
        </w:tc>
        <w:tc>
          <w:tcPr>
            <w:tcW w:w="7872" w:type="dxa"/>
          </w:tcPr>
          <w:p w14:paraId="657FF745" w14:textId="560AD83C" w:rsidR="00FE00B3" w:rsidRPr="00E21BDE" w:rsidRDefault="00FE00B3" w:rsidP="002061E5">
            <w:pPr>
              <w:pStyle w:val="Tablebody"/>
            </w:pPr>
            <w:r w:rsidRPr="00E21BDE">
              <w:t>index standing for device;</w:t>
            </w:r>
          </w:p>
        </w:tc>
      </w:tr>
      <w:tr w:rsidR="00FE00B3" w:rsidRPr="00E21BDE" w14:paraId="76EFDE8A" w14:textId="77777777" w:rsidTr="006C6A44">
        <w:tc>
          <w:tcPr>
            <w:tcW w:w="1345" w:type="dxa"/>
            <w:shd w:val="clear" w:color="auto" w:fill="auto"/>
          </w:tcPr>
          <w:p w14:paraId="5D49F2FF" w14:textId="544A765C" w:rsidR="00FE00B3" w:rsidRPr="00E21BDE" w:rsidRDefault="00FE00B3" w:rsidP="002061E5">
            <w:pPr>
              <w:pStyle w:val="Tablebody"/>
              <w:rPr>
                <w:i/>
              </w:rPr>
            </w:pPr>
            <w:r w:rsidRPr="00E21BDE">
              <w:rPr>
                <w:i/>
              </w:rPr>
              <w:t>E</w:t>
            </w:r>
            <w:r w:rsidRPr="00E21BDE">
              <w:rPr>
                <w:vertAlign w:val="subscript"/>
              </w:rPr>
              <w:t>dH,</w:t>
            </w:r>
            <w:r w:rsidRPr="00E21BDE">
              <w:rPr>
                <w:i/>
                <w:vertAlign w:val="subscript"/>
              </w:rPr>
              <w:t>k,</w:t>
            </w:r>
            <w:r w:rsidRPr="00E21BDE">
              <w:rPr>
                <w:vertAlign w:val="subscript"/>
              </w:rPr>
              <w:t>SD</w:t>
            </w:r>
          </w:p>
        </w:tc>
        <w:tc>
          <w:tcPr>
            <w:tcW w:w="7872" w:type="dxa"/>
          </w:tcPr>
          <w:p w14:paraId="78FC0244" w14:textId="5A64FFE7" w:rsidR="00FE00B3" w:rsidRPr="00E21BDE" w:rsidRDefault="00FE00B3" w:rsidP="002061E5">
            <w:pPr>
              <w:pStyle w:val="Tablebody"/>
            </w:pPr>
            <w:r w:rsidRPr="00E21BDE">
              <w:t xml:space="preserve">is the amount of energy that can be dissipated by the energy dissipation devices at the </w:t>
            </w:r>
            <w:r w:rsidRPr="00E21BDE">
              <w:rPr>
                <w:i/>
              </w:rPr>
              <w:t>k</w:t>
            </w:r>
            <w:r w:rsidRPr="00E21BDE">
              <w:t>-th storey in the direction under consideration under cyclic deformations when any energy dissipation device on the storey attains its SD limit state evaluated in accordance with EN 15129;</w:t>
            </w:r>
          </w:p>
        </w:tc>
      </w:tr>
      <w:tr w:rsidR="00FE00B3" w:rsidRPr="00E21BDE" w14:paraId="51FA1467" w14:textId="77777777" w:rsidTr="006C6A44">
        <w:tc>
          <w:tcPr>
            <w:tcW w:w="1345" w:type="dxa"/>
            <w:shd w:val="clear" w:color="auto" w:fill="auto"/>
          </w:tcPr>
          <w:p w14:paraId="6B394D70" w14:textId="122C6CC7" w:rsidR="00FE00B3" w:rsidRPr="00E21BDE" w:rsidRDefault="00FE00B3" w:rsidP="002061E5">
            <w:pPr>
              <w:pStyle w:val="Tablebody"/>
              <w:rPr>
                <w:i/>
                <w:szCs w:val="24"/>
              </w:rPr>
            </w:pPr>
            <w:r w:rsidRPr="00E21BDE">
              <w:rPr>
                <w:i/>
                <w:iCs/>
              </w:rPr>
              <w:t>E</w:t>
            </w:r>
            <w:r w:rsidRPr="00E21BDE">
              <w:rPr>
                <w:vertAlign w:val="subscript"/>
              </w:rPr>
              <w:t>dH,</w:t>
            </w:r>
            <w:r w:rsidRPr="00E21BDE">
              <w:rPr>
                <w:i/>
                <w:iCs/>
                <w:vertAlign w:val="subscript"/>
              </w:rPr>
              <w:t>k</w:t>
            </w:r>
            <w:r w:rsidRPr="00E21BDE">
              <w:rPr>
                <w:vertAlign w:val="subscript"/>
              </w:rPr>
              <w:t>,max</w:t>
            </w:r>
          </w:p>
        </w:tc>
        <w:tc>
          <w:tcPr>
            <w:tcW w:w="7872" w:type="dxa"/>
          </w:tcPr>
          <w:p w14:paraId="105CC4E4" w14:textId="4DF733EA" w:rsidR="00FE00B3" w:rsidRPr="00E21BDE" w:rsidRDefault="00FE00B3" w:rsidP="002061E5">
            <w:pPr>
              <w:pStyle w:val="Tablebody"/>
            </w:pPr>
            <w:r w:rsidRPr="00E21BDE">
              <w:t xml:space="preserve">is the maximum energy dissipation demand on the energy dissipation system at the </w:t>
            </w:r>
            <w:r w:rsidRPr="00E21BDE">
              <w:rPr>
                <w:i/>
                <w:iCs/>
              </w:rPr>
              <w:t>k</w:t>
            </w:r>
            <w:r w:rsidRPr="00E21BDE">
              <w:t>-th storey under the seismic action, calculated in accordance with Annex D, D.4.4.</w:t>
            </w:r>
          </w:p>
        </w:tc>
      </w:tr>
    </w:tbl>
    <w:p w14:paraId="6BC9BD42" w14:textId="35F52BE5" w:rsidR="00FE00B3" w:rsidRPr="00E05E29" w:rsidRDefault="00FE00B3" w:rsidP="0080187E">
      <w:pPr>
        <w:pStyle w:val="Clause"/>
        <w:numPr>
          <w:ilvl w:val="0"/>
          <w:numId w:val="292"/>
        </w:numPr>
      </w:pPr>
      <w:r w:rsidRPr="00E05E29">
        <w:t>The design value of seismic action effects in the primary seismic members of the main structural system should be calculated for both the upper- and lower-bound properties of the energy dissipation devices at the stage of maximum displacement.</w:t>
      </w:r>
    </w:p>
    <w:p w14:paraId="356E77E6" w14:textId="24EE49D0" w:rsidR="00FE00B3" w:rsidRPr="00E05E29" w:rsidRDefault="00FE00B3" w:rsidP="00FE00B3">
      <w:pPr>
        <w:pStyle w:val="Heading4"/>
      </w:pPr>
      <w:bookmarkStart w:id="1195" w:name="_Toc108342312"/>
      <w:r w:rsidRPr="00E05E29">
        <w:t>Response in the first mode</w:t>
      </w:r>
      <w:bookmarkEnd w:id="1195"/>
      <w:r w:rsidRPr="00E05E29">
        <w:t xml:space="preserve"> </w:t>
      </w:r>
    </w:p>
    <w:p w14:paraId="69FA942F" w14:textId="5986DD71" w:rsidR="00FE00B3" w:rsidRPr="00E05E29" w:rsidRDefault="00FE00B3" w:rsidP="00FE00B3">
      <w:pPr>
        <w:pStyle w:val="Notetext"/>
      </w:pPr>
      <w:r w:rsidRPr="00E05E29">
        <w:t>NOTE</w:t>
      </w:r>
      <w:r w:rsidRPr="00E05E29">
        <w:tab/>
        <w:t>First mode refers to the mode of vibration that corresponds to the largest value of the effective modal mass for the direction under consideration.</w:t>
      </w:r>
    </w:p>
    <w:p w14:paraId="4D13C2EA" w14:textId="03DA9438" w:rsidR="00FE00B3" w:rsidRPr="00E05E29" w:rsidRDefault="00FE00B3" w:rsidP="0080187E">
      <w:pPr>
        <w:pStyle w:val="Clause"/>
        <w:numPr>
          <w:ilvl w:val="0"/>
          <w:numId w:val="293"/>
        </w:numPr>
      </w:pPr>
      <w:r w:rsidRPr="00E05E29">
        <w:t xml:space="preserve">The maximum interstorey drift at the </w:t>
      </w:r>
      <w:r w:rsidRPr="00CB6D42">
        <w:rPr>
          <w:i/>
        </w:rPr>
        <w:t>k-</w:t>
      </w:r>
      <w:r w:rsidRPr="00E05E29">
        <w:t xml:space="preserve">th storey </w:t>
      </w:r>
      <w:r w:rsidRPr="00CB6D42">
        <w:rPr>
          <w:i/>
        </w:rPr>
        <w:t>d</w:t>
      </w:r>
      <w:r w:rsidRPr="00CB6D42">
        <w:rPr>
          <w:vertAlign w:val="subscript"/>
        </w:rPr>
        <w:t>r,</w:t>
      </w:r>
      <w:r w:rsidRPr="00CB6D42">
        <w:rPr>
          <w:i/>
          <w:vertAlign w:val="subscript"/>
        </w:rPr>
        <w:t>k</w:t>
      </w:r>
      <w:r w:rsidRPr="00CB6D42">
        <w:rPr>
          <w:vertAlign w:val="subscript"/>
        </w:rPr>
        <w:t>1</w:t>
      </w:r>
      <w:r w:rsidRPr="00E05E29">
        <w:t>, in the direction under consideration, for inelastic behaviour of the main structural system including the elastic part should be determined by Formula (9.25).</w:t>
      </w:r>
    </w:p>
    <w:p w14:paraId="778DE8CD" w14:textId="585EF7E0" w:rsidR="00FE00B3" w:rsidRPr="00870D59" w:rsidRDefault="009B5CEC" w:rsidP="00FE00B3">
      <w:pPr>
        <w:pStyle w:val="Formula"/>
      </w:pPr>
      <m:oMath>
        <m:sSub>
          <m:sSubPr>
            <m:ctrlPr>
              <w:rPr>
                <w:rFonts w:ascii="Cambria Math" w:hAnsi="Cambria Math"/>
              </w:rPr>
            </m:ctrlPr>
          </m:sSubPr>
          <m:e>
            <m:r>
              <w:rPr>
                <w:rFonts w:ascii="Cambria Math" w:hAnsi="Cambria Math"/>
              </w:rPr>
              <m:t>d</m:t>
            </m:r>
          </m:e>
          <m:sub>
            <m:r>
              <m:rPr>
                <m:sty m:val="p"/>
              </m:rPr>
              <w:rPr>
                <w:rFonts w:ascii="Cambria Math" w:hAnsi="Cambria Math"/>
              </w:rPr>
              <m:t>r,k,1</m:t>
            </m:r>
          </m:sub>
        </m:sSub>
        <m:r>
          <w:rPr>
            <w:rFonts w:ascii="Cambria Math" w:hAnsi="Cambria Math"/>
          </w:rPr>
          <m:t>=</m:t>
        </m:r>
        <m:sSub>
          <m:sSubPr>
            <m:ctrlPr>
              <w:rPr>
                <w:rFonts w:ascii="Cambria Math" w:hAnsi="Cambria Math"/>
              </w:rPr>
            </m:ctrlPr>
          </m:sSubPr>
          <m:e>
            <m:r>
              <w:rPr>
                <w:rFonts w:ascii="Cambria Math" w:hAnsi="Cambria Math"/>
              </w:rPr>
              <m:t>d</m:t>
            </m:r>
          </m:e>
          <m:sub>
            <m:r>
              <m:rPr>
                <m:sty m:val="p"/>
              </m:rPr>
              <w:rPr>
                <w:rFonts w:ascii="Cambria Math" w:hAnsi="Cambria Math"/>
              </w:rPr>
              <m:t>py,k</m:t>
            </m:r>
          </m:sub>
        </m:sSub>
        <m:r>
          <w:rPr>
            <w:rFonts w:ascii="Cambria Math" w:hAnsi="Cambria Math"/>
          </w:rPr>
          <m:t>+</m:t>
        </m:r>
        <m:d>
          <m:dPr>
            <m:begChr m:val="{"/>
            <m:endChr m:val="}"/>
            <m:ctrlPr>
              <w:rPr>
                <w:rFonts w:ascii="Cambria Math" w:hAnsi="Cambria Math"/>
              </w:rPr>
            </m:ctrlPr>
          </m:dPr>
          <m:e>
            <m:f>
              <m:fPr>
                <m:ctrlPr>
                  <w:rPr>
                    <w:rFonts w:ascii="Cambria Math" w:hAnsi="Cambria Math"/>
                  </w:rPr>
                </m:ctrlPr>
              </m:fPr>
              <m:num>
                <m:sSub>
                  <m:sSubPr>
                    <m:ctrlPr>
                      <w:rPr>
                        <w:rFonts w:ascii="Cambria Math" w:hAnsi="Cambria Math"/>
                      </w:rPr>
                    </m:ctrlPr>
                  </m:sSubPr>
                  <m:e>
                    <m:r>
                      <w:rPr>
                        <w:rFonts w:ascii="Cambria Math" w:hAnsi="Cambria Math"/>
                      </w:rPr>
                      <m:t>E</m:t>
                    </m:r>
                  </m:e>
                  <m:sub>
                    <m:r>
                      <m:rPr>
                        <m:sty m:val="p"/>
                      </m:rPr>
                      <w:rPr>
                        <w:rFonts w:ascii="Cambria Math" w:hAnsi="Cambria Math"/>
                      </w:rPr>
                      <m:t>H,k</m:t>
                    </m:r>
                  </m:sub>
                </m:sSub>
              </m:num>
              <m:den>
                <m:d>
                  <m:dPr>
                    <m:begChr m:val="["/>
                    <m:endChr m:val="]"/>
                    <m:ctrlPr>
                      <w:rPr>
                        <w:rFonts w:ascii="Cambria Math" w:hAnsi="Cambria Math"/>
                      </w:rPr>
                    </m:ctrlPr>
                  </m:dPr>
                  <m:e>
                    <m:r>
                      <w:rPr>
                        <w:rFonts w:ascii="Cambria Math" w:hAnsi="Cambria Math"/>
                      </w:rPr>
                      <m:t>4</m:t>
                    </m:r>
                    <m:d>
                      <m:dPr>
                        <m:ctrlPr>
                          <w:rPr>
                            <w:rFonts w:ascii="Cambria Math" w:hAnsi="Cambria Math"/>
                          </w:rPr>
                        </m:ctrlPr>
                      </m:dPr>
                      <m:e>
                        <m:sSub>
                          <m:sSubPr>
                            <m:ctrlPr>
                              <w:rPr>
                                <w:rFonts w:ascii="Cambria Math" w:hAnsi="Cambria Math"/>
                              </w:rPr>
                            </m:ctrlPr>
                          </m:sSubPr>
                          <m:e>
                            <m:r>
                              <w:rPr>
                                <w:rFonts w:ascii="Cambria Math" w:hAnsi="Cambria Math"/>
                              </w:rPr>
                              <m:t>V</m:t>
                            </m:r>
                          </m:e>
                          <m:sub>
                            <m:r>
                              <m:rPr>
                                <m:sty m:val="p"/>
                              </m:rPr>
                              <w:rPr>
                                <w:rFonts w:ascii="Cambria Math" w:hAnsi="Cambria Math"/>
                              </w:rPr>
                              <m:t>py,k</m:t>
                            </m:r>
                          </m:sub>
                        </m:sSub>
                        <m:r>
                          <w:rPr>
                            <w:rFonts w:ascii="Cambria Math" w:hAnsi="Cambria Math"/>
                          </w:rPr>
                          <m:t>+</m:t>
                        </m:r>
                        <m:sSub>
                          <m:sSubPr>
                            <m:ctrlPr>
                              <w:rPr>
                                <w:rFonts w:ascii="Cambria Math" w:hAnsi="Cambria Math"/>
                              </w:rPr>
                            </m:ctrlPr>
                          </m:sSubPr>
                          <m:e>
                            <m:r>
                              <w:rPr>
                                <w:rFonts w:ascii="Cambria Math" w:hAnsi="Cambria Math"/>
                              </w:rPr>
                              <m:t>V</m:t>
                            </m:r>
                          </m:e>
                          <m:sub>
                            <m:r>
                              <m:rPr>
                                <m:sty m:val="p"/>
                              </m:rPr>
                              <w:rPr>
                                <w:rFonts w:ascii="Cambria Math" w:hAnsi="Cambria Math"/>
                              </w:rPr>
                              <m:t>dy,k</m:t>
                            </m:r>
                          </m:sub>
                        </m:sSub>
                      </m:e>
                    </m:d>
                  </m:e>
                </m:d>
              </m:den>
            </m:f>
          </m:e>
        </m:d>
      </m:oMath>
      <w:r w:rsidR="00FE00B3" w:rsidRPr="00870D59">
        <w:tab/>
        <w:t>(</w:t>
      </w:r>
      <w:r w:rsidR="00FE00B3">
        <w:t>9</w:t>
      </w:r>
      <w:r w:rsidR="00FE00B3" w:rsidRPr="00870D59">
        <w:t>.</w:t>
      </w:r>
      <w:r w:rsidR="00FE00B3">
        <w:t>25</w:t>
      </w:r>
      <w:r w:rsidR="00FE00B3" w:rsidRPr="00870D59">
        <w:t>)</w:t>
      </w:r>
    </w:p>
    <w:p w14:paraId="1A290A58" w14:textId="60643B92" w:rsidR="00FE00B3" w:rsidRDefault="00675EBA" w:rsidP="00E21BDE">
      <w:pPr>
        <w:pStyle w:val="Text"/>
      </w:pPr>
      <w:r>
        <w:t>where</w:t>
      </w:r>
    </w:p>
    <w:tbl>
      <w:tblPr>
        <w:tblW w:w="0" w:type="auto"/>
        <w:tblInd w:w="346" w:type="dxa"/>
        <w:tblLook w:val="04A0" w:firstRow="1" w:lastRow="0" w:firstColumn="1" w:lastColumn="0" w:noHBand="0" w:noVBand="1"/>
      </w:tblPr>
      <w:tblGrid>
        <w:gridCol w:w="1342"/>
        <w:gridCol w:w="7875"/>
      </w:tblGrid>
      <w:tr w:rsidR="00FE00B3" w:rsidRPr="00870D59" w14:paraId="358CD123" w14:textId="77777777" w:rsidTr="006C6A44">
        <w:tc>
          <w:tcPr>
            <w:tcW w:w="1342" w:type="dxa"/>
            <w:shd w:val="clear" w:color="auto" w:fill="auto"/>
          </w:tcPr>
          <w:p w14:paraId="337E8DD6" w14:textId="23D1E854" w:rsidR="00FE00B3" w:rsidRPr="00523AC3" w:rsidRDefault="00FE00B3" w:rsidP="002061E5">
            <w:pPr>
              <w:pStyle w:val="Tablebody"/>
              <w:rPr>
                <w:i/>
                <w:iCs/>
              </w:rPr>
            </w:pPr>
            <w:r w:rsidRPr="00D1484A">
              <w:rPr>
                <w:i/>
                <w:iCs/>
              </w:rPr>
              <w:t>E</w:t>
            </w:r>
            <w:r w:rsidRPr="00D1484A">
              <w:rPr>
                <w:vertAlign w:val="subscript"/>
              </w:rPr>
              <w:t>H,</w:t>
            </w:r>
            <w:r w:rsidRPr="00D1484A">
              <w:rPr>
                <w:i/>
                <w:iCs/>
                <w:vertAlign w:val="subscript"/>
              </w:rPr>
              <w:t>k</w:t>
            </w:r>
          </w:p>
        </w:tc>
        <w:tc>
          <w:tcPr>
            <w:tcW w:w="7875" w:type="dxa"/>
          </w:tcPr>
          <w:p w14:paraId="1914299B" w14:textId="764418BD" w:rsidR="00FE00B3" w:rsidRPr="00E21BDE" w:rsidRDefault="005439C2" w:rsidP="002061E5">
            <w:pPr>
              <w:pStyle w:val="Tablebody"/>
            </w:pPr>
            <w:r w:rsidRPr="00E21BDE">
              <w:t xml:space="preserve">is the required amount of energy dissipation in form of plastic strain energy on the </w:t>
            </w:r>
            <w:r w:rsidRPr="00E21BDE">
              <w:rPr>
                <w:i/>
                <w:iCs/>
              </w:rPr>
              <w:t>k</w:t>
            </w:r>
            <w:r w:rsidRPr="00E21BDE">
              <w:t>-th storey of the building, in the direction under consideration, as a result of the design seismic action, and should be calculated according to Annex D, D.4.2;</w:t>
            </w:r>
          </w:p>
        </w:tc>
      </w:tr>
      <w:tr w:rsidR="00FE00B3" w:rsidRPr="00870D59" w14:paraId="45B67D24" w14:textId="77777777" w:rsidTr="006C6A44">
        <w:tc>
          <w:tcPr>
            <w:tcW w:w="1342" w:type="dxa"/>
            <w:shd w:val="clear" w:color="auto" w:fill="auto"/>
          </w:tcPr>
          <w:p w14:paraId="763FFD89" w14:textId="3A3A2570" w:rsidR="00FE00B3" w:rsidRPr="00325DC7" w:rsidRDefault="005439C2" w:rsidP="002061E5">
            <w:pPr>
              <w:pStyle w:val="Tablebody"/>
              <w:rPr>
                <w:i/>
              </w:rPr>
            </w:pPr>
            <w:r w:rsidRPr="00E05E29">
              <w:rPr>
                <w:i/>
              </w:rPr>
              <w:t>V</w:t>
            </w:r>
            <w:r w:rsidRPr="00E05E29">
              <w:rPr>
                <w:vertAlign w:val="subscript"/>
              </w:rPr>
              <w:t>dy,</w:t>
            </w:r>
            <w:r w:rsidRPr="00E05E29">
              <w:rPr>
                <w:i/>
                <w:vertAlign w:val="subscript"/>
              </w:rPr>
              <w:t>k</w:t>
            </w:r>
          </w:p>
        </w:tc>
        <w:tc>
          <w:tcPr>
            <w:tcW w:w="7875" w:type="dxa"/>
          </w:tcPr>
          <w:p w14:paraId="0FEE5819" w14:textId="7651CE78" w:rsidR="00FE00B3" w:rsidRPr="00E21BDE" w:rsidRDefault="005439C2" w:rsidP="002061E5">
            <w:pPr>
              <w:pStyle w:val="Tablebody"/>
            </w:pPr>
            <w:r w:rsidRPr="00E21BDE">
              <w:t xml:space="preserve">is the </w:t>
            </w:r>
            <w:r w:rsidRPr="00E21BDE">
              <w:rPr>
                <w:i/>
              </w:rPr>
              <w:t>k-</w:t>
            </w:r>
            <w:r w:rsidRPr="00E21BDE">
              <w:t>th storey yield shear of the energy dissipation system in the direction under consideration;</w:t>
            </w:r>
          </w:p>
        </w:tc>
      </w:tr>
      <w:tr w:rsidR="00FE00B3" w:rsidRPr="00870D59" w14:paraId="6FC7BAAD" w14:textId="77777777" w:rsidTr="006C6A44">
        <w:tc>
          <w:tcPr>
            <w:tcW w:w="1342" w:type="dxa"/>
            <w:shd w:val="clear" w:color="auto" w:fill="auto"/>
          </w:tcPr>
          <w:p w14:paraId="04EBA18D" w14:textId="32CD08FE" w:rsidR="00FE00B3" w:rsidRPr="00644C3D" w:rsidRDefault="005439C2" w:rsidP="002061E5">
            <w:pPr>
              <w:pStyle w:val="Tablebody"/>
              <w:rPr>
                <w:i/>
                <w:szCs w:val="24"/>
              </w:rPr>
            </w:pPr>
            <w:r w:rsidRPr="00E05E29">
              <w:rPr>
                <w:i/>
              </w:rPr>
              <w:t>V</w:t>
            </w:r>
            <w:r w:rsidRPr="00E05E29">
              <w:rPr>
                <w:vertAlign w:val="subscript"/>
              </w:rPr>
              <w:t>py,</w:t>
            </w:r>
            <w:r w:rsidRPr="00E05E29">
              <w:rPr>
                <w:i/>
                <w:vertAlign w:val="subscript"/>
              </w:rPr>
              <w:t>k</w:t>
            </w:r>
          </w:p>
        </w:tc>
        <w:tc>
          <w:tcPr>
            <w:tcW w:w="7875" w:type="dxa"/>
          </w:tcPr>
          <w:p w14:paraId="5EA15F09" w14:textId="58E95CA3" w:rsidR="00FE00B3" w:rsidRPr="00E21BDE" w:rsidRDefault="005439C2" w:rsidP="002061E5">
            <w:pPr>
              <w:pStyle w:val="Tablebody"/>
            </w:pPr>
            <w:r w:rsidRPr="00E21BDE">
              <w:t xml:space="preserve">is the </w:t>
            </w:r>
            <w:r w:rsidRPr="00E21BDE">
              <w:rPr>
                <w:i/>
              </w:rPr>
              <w:t>k</w:t>
            </w:r>
            <w:r w:rsidRPr="00E21BDE">
              <w:t>-th storey yield shear corresponding to the formation of a plastic mechanism in the primary seismic members of the main structural system in the direction under consideration;</w:t>
            </w:r>
          </w:p>
        </w:tc>
      </w:tr>
      <w:tr w:rsidR="005439C2" w:rsidRPr="00870D59" w14:paraId="716C265F" w14:textId="77777777" w:rsidTr="006C6A44">
        <w:tc>
          <w:tcPr>
            <w:tcW w:w="1342" w:type="dxa"/>
            <w:shd w:val="clear" w:color="auto" w:fill="auto"/>
          </w:tcPr>
          <w:p w14:paraId="097E3A09" w14:textId="7CD387F8" w:rsidR="005439C2" w:rsidRPr="00E05E29" w:rsidRDefault="005439C2" w:rsidP="002061E5">
            <w:pPr>
              <w:pStyle w:val="Tablebody"/>
              <w:rPr>
                <w:i/>
              </w:rPr>
            </w:pPr>
            <w:r w:rsidRPr="00E05E29">
              <w:rPr>
                <w:i/>
              </w:rPr>
              <w:t>d</w:t>
            </w:r>
            <w:r w:rsidRPr="00E05E29">
              <w:rPr>
                <w:vertAlign w:val="subscript"/>
              </w:rPr>
              <w:t>py,</w:t>
            </w:r>
            <w:r w:rsidRPr="00E05E29">
              <w:rPr>
                <w:i/>
                <w:vertAlign w:val="subscript"/>
              </w:rPr>
              <w:t>k</w:t>
            </w:r>
          </w:p>
        </w:tc>
        <w:tc>
          <w:tcPr>
            <w:tcW w:w="7875" w:type="dxa"/>
          </w:tcPr>
          <w:p w14:paraId="4A852869" w14:textId="6EE1BF11" w:rsidR="005439C2" w:rsidRPr="00E05E29" w:rsidRDefault="005439C2" w:rsidP="002061E5">
            <w:pPr>
              <w:pStyle w:val="Tablebody"/>
            </w:pPr>
            <w:r w:rsidRPr="00E05E29">
              <w:t xml:space="preserve">is the </w:t>
            </w:r>
            <w:r w:rsidRPr="00E05E29">
              <w:rPr>
                <w:i/>
              </w:rPr>
              <w:t>k</w:t>
            </w:r>
            <w:r w:rsidRPr="00E05E29">
              <w:t>-th storey drift corresponding to the formation of a plastic mechanism in the primary seismic members of the main structural system in the direction under consideration.</w:t>
            </w:r>
          </w:p>
        </w:tc>
      </w:tr>
    </w:tbl>
    <w:p w14:paraId="0C447B16" w14:textId="7F648C2B" w:rsidR="005439C2" w:rsidRPr="00FD17CF" w:rsidRDefault="005439C2" w:rsidP="005439C2">
      <w:pPr>
        <w:pStyle w:val="Notetext"/>
      </w:pPr>
      <w:r w:rsidRPr="00E05E29">
        <w:rPr>
          <w:sz w:val="22"/>
        </w:rPr>
        <w:t>NOTE</w:t>
      </w:r>
      <w:r w:rsidRPr="00E05E29">
        <w:rPr>
          <w:sz w:val="22"/>
        </w:rPr>
        <w:tab/>
      </w:r>
      <w:r w:rsidRPr="00E05E29">
        <w:t xml:space="preserve">The meaning of </w:t>
      </w:r>
      <w:r w:rsidRPr="00E05E29">
        <w:rPr>
          <w:i/>
        </w:rPr>
        <w:t>V</w:t>
      </w:r>
      <w:r w:rsidRPr="00E05E29">
        <w:rPr>
          <w:vertAlign w:val="subscript"/>
        </w:rPr>
        <w:t>dy,</w:t>
      </w:r>
      <w:r w:rsidRPr="00E05E29">
        <w:rPr>
          <w:i/>
          <w:vertAlign w:val="subscript"/>
        </w:rPr>
        <w:t>k</w:t>
      </w:r>
      <w:r w:rsidRPr="00E05E29">
        <w:rPr>
          <w:i/>
        </w:rPr>
        <w:t xml:space="preserve"> , V</w:t>
      </w:r>
      <w:r w:rsidRPr="00E05E29">
        <w:rPr>
          <w:vertAlign w:val="subscript"/>
        </w:rPr>
        <w:t>py,</w:t>
      </w:r>
      <w:r w:rsidRPr="00E05E29">
        <w:rPr>
          <w:i/>
          <w:vertAlign w:val="subscript"/>
        </w:rPr>
        <w:t xml:space="preserve">k </w:t>
      </w:r>
      <w:r w:rsidRPr="00E05E29">
        <w:rPr>
          <w:i/>
        </w:rPr>
        <w:t>, d</w:t>
      </w:r>
      <w:r w:rsidRPr="00E05E29">
        <w:rPr>
          <w:vertAlign w:val="subscript"/>
        </w:rPr>
        <w:t>py,</w:t>
      </w:r>
      <w:r w:rsidRPr="00E05E29">
        <w:rPr>
          <w:i/>
          <w:vertAlign w:val="subscript"/>
        </w:rPr>
        <w:t>k</w:t>
      </w:r>
      <w:r w:rsidRPr="00E05E29">
        <w:t xml:space="preserve">  and other variables is shown in Figure 9.2 that represents the typical relationship between the interstorey drift </w:t>
      </w:r>
      <m:oMath>
        <m:sSub>
          <m:sSubPr>
            <m:ctrlPr>
              <w:rPr>
                <w:rFonts w:ascii="Cambria Math" w:hAnsi="Cambria Math"/>
                <w:i/>
              </w:rPr>
            </m:ctrlPr>
          </m:sSubPr>
          <m:e>
            <m:r>
              <w:rPr>
                <w:rFonts w:ascii="Cambria Math" w:hAnsi="Cambria Math"/>
              </w:rPr>
              <m:t>d</m:t>
            </m:r>
          </m:e>
          <m:sub>
            <m:r>
              <m:rPr>
                <m:sty m:val="p"/>
              </m:rPr>
              <w:rPr>
                <w:rFonts w:ascii="Cambria Math" w:hAnsi="Cambria Math"/>
              </w:rPr>
              <m:t>r,</m:t>
            </m:r>
            <m:r>
              <w:rPr>
                <w:rFonts w:ascii="Cambria Math" w:hAnsi="Cambria Math"/>
              </w:rPr>
              <m:t>k</m:t>
            </m:r>
            <m:r>
              <m:rPr>
                <m:sty m:val="p"/>
              </m:rPr>
              <w:rPr>
                <w:rFonts w:ascii="Cambria Math" w:hAnsi="Cambria Math"/>
              </w:rPr>
              <m:t>,1</m:t>
            </m:r>
          </m:sub>
        </m:sSub>
      </m:oMath>
      <w:r w:rsidRPr="00132C1E">
        <w:t xml:space="preserve"> and the storey shear </w:t>
      </w:r>
      <w:r w:rsidRPr="00D1484A">
        <w:rPr>
          <w:i/>
        </w:rPr>
        <w:t>V</w:t>
      </w:r>
      <w:r w:rsidRPr="00D1484A">
        <w:rPr>
          <w:i/>
          <w:vertAlign w:val="subscript"/>
        </w:rPr>
        <w:t xml:space="preserve">k </w:t>
      </w:r>
      <w:r w:rsidRPr="00D1484A">
        <w:t xml:space="preserve">at a given storey </w:t>
      </w:r>
      <w:r w:rsidRPr="00D1484A">
        <w:rPr>
          <w:i/>
        </w:rPr>
        <w:t>k</w:t>
      </w:r>
      <w:r w:rsidRPr="00D1484A">
        <w:t xml:space="preserve">. </w:t>
      </w:r>
      <w:r w:rsidRPr="00D1484A">
        <w:rPr>
          <w:i/>
        </w:rPr>
        <w:t>V</w:t>
      </w:r>
      <w:r w:rsidRPr="00D1484A">
        <w:rPr>
          <w:iCs/>
          <w:vertAlign w:val="subscript"/>
        </w:rPr>
        <w:t>pyk</w:t>
      </w:r>
      <w:r w:rsidRPr="00D1484A">
        <w:rPr>
          <w:iCs/>
        </w:rPr>
        <w:t xml:space="preserve"> and</w:t>
      </w:r>
      <w:r w:rsidRPr="00D1484A">
        <w:rPr>
          <w:i/>
        </w:rPr>
        <w:t xml:space="preserve"> d</w:t>
      </w:r>
      <w:r w:rsidRPr="00D1484A">
        <w:rPr>
          <w:iCs/>
          <w:vertAlign w:val="subscript"/>
        </w:rPr>
        <w:t>pyk</w:t>
      </w:r>
      <w:r w:rsidRPr="007E6F67">
        <w:t xml:space="preserve"> can be obtained conducting a pushover analysis or with approximate formulas, in both cases for a pattern of lateral loads proportional to the first mode</w:t>
      </w:r>
    </w:p>
    <w:p w14:paraId="3A32AA59" w14:textId="6903204F" w:rsidR="005439C2" w:rsidRPr="00132C1E" w:rsidRDefault="00415B69" w:rsidP="00415B69">
      <w:pPr>
        <w:pStyle w:val="FigureImage"/>
      </w:pPr>
      <w:r>
        <w:rPr>
          <w:noProof/>
        </w:rPr>
        <w:lastRenderedPageBreak/>
        <w:drawing>
          <wp:inline distT="0" distB="0" distL="0" distR="0" wp14:anchorId="37FB6CB6" wp14:editId="76D56A88">
            <wp:extent cx="2880365" cy="2817881"/>
            <wp:effectExtent l="0" t="0" r="0" b="1905"/>
            <wp:docPr id="33" name="0004.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0004.tiff"/>
                    <pic:cNvPicPr/>
                  </pic:nvPicPr>
                  <pic:blipFill>
                    <a:blip r:link="rId19"/>
                    <a:stretch>
                      <a:fillRect/>
                    </a:stretch>
                  </pic:blipFill>
                  <pic:spPr>
                    <a:xfrm>
                      <a:off x="0" y="0"/>
                      <a:ext cx="2880365" cy="2817881"/>
                    </a:xfrm>
                    <a:prstGeom prst="rect">
                      <a:avLst/>
                    </a:prstGeom>
                  </pic:spPr>
                </pic:pic>
              </a:graphicData>
            </a:graphic>
          </wp:inline>
        </w:drawing>
      </w:r>
    </w:p>
    <w:p w14:paraId="44BDEA61" w14:textId="11EB5C34" w:rsidR="005439C2" w:rsidRPr="005439C2" w:rsidRDefault="005439C2" w:rsidP="005439C2">
      <w:pPr>
        <w:pStyle w:val="Figuretitle"/>
      </w:pPr>
      <w:r w:rsidRPr="005439C2">
        <w:t xml:space="preserve">Figure </w:t>
      </w:r>
      <w:r>
        <w:t>9</w:t>
      </w:r>
      <w:r w:rsidRPr="005439C2">
        <w:t xml:space="preserve">.2 — Interstorey drift </w:t>
      </w:r>
      <m:oMath>
        <m:sSub>
          <m:sSubPr>
            <m:ctrlPr>
              <w:rPr>
                <w:rFonts w:ascii="Cambria Math" w:hAnsi="Cambria Math"/>
              </w:rPr>
            </m:ctrlPr>
          </m:sSubPr>
          <m:e>
            <m:r>
              <m:rPr>
                <m:sty m:val="bi"/>
              </m:rPr>
              <w:rPr>
                <w:rFonts w:ascii="Cambria Math" w:hAnsi="Cambria Math"/>
              </w:rPr>
              <m:t>d</m:t>
            </m:r>
          </m:e>
          <m:sub>
            <m:r>
              <m:rPr>
                <m:sty m:val="b"/>
              </m:rPr>
              <w:rPr>
                <w:rFonts w:ascii="Cambria Math" w:hAnsi="Cambria Math"/>
              </w:rPr>
              <m:t>r,</m:t>
            </m:r>
            <m:r>
              <m:rPr>
                <m:sty m:val="bi"/>
              </m:rPr>
              <w:rPr>
                <w:rFonts w:ascii="Cambria Math" w:hAnsi="Cambria Math"/>
              </w:rPr>
              <m:t>k</m:t>
            </m:r>
            <m:r>
              <m:rPr>
                <m:sty m:val="b"/>
              </m:rPr>
              <w:rPr>
                <w:rFonts w:ascii="Cambria Math" w:hAnsi="Cambria Math"/>
              </w:rPr>
              <m:t>,1</m:t>
            </m:r>
          </m:sub>
        </m:sSub>
      </m:oMath>
      <w:r w:rsidRPr="005439C2">
        <w:t xml:space="preserve"> vs. storey shear </w:t>
      </w:r>
      <w:r w:rsidRPr="005439C2">
        <w:rPr>
          <w:i/>
          <w:iCs/>
        </w:rPr>
        <w:t>V</w:t>
      </w:r>
      <w:r w:rsidRPr="005439C2">
        <w:rPr>
          <w:vertAlign w:val="subscript"/>
        </w:rPr>
        <w:t>k</w:t>
      </w:r>
      <w:r w:rsidRPr="005439C2">
        <w:t xml:space="preserve"> at a given storey </w:t>
      </w:r>
      <w:r w:rsidRPr="005439C2">
        <w:rPr>
          <w:i/>
          <w:iCs/>
        </w:rPr>
        <w:t>k</w:t>
      </w:r>
      <w:r w:rsidRPr="005439C2">
        <w:t xml:space="preserve">. </w:t>
      </w:r>
      <w:r w:rsidRPr="005439C2">
        <w:rPr>
          <w:i/>
          <w:iCs/>
        </w:rPr>
        <w:t>V</w:t>
      </w:r>
      <w:r w:rsidRPr="005439C2">
        <w:rPr>
          <w:vertAlign w:val="subscript"/>
        </w:rPr>
        <w:t>py,k</w:t>
      </w:r>
      <w:r w:rsidRPr="005439C2">
        <w:t xml:space="preserve"> is the storey shear of primary seismic members of main structural system; </w:t>
      </w:r>
      <w:r w:rsidRPr="005439C2">
        <w:rPr>
          <w:i/>
          <w:iCs/>
        </w:rPr>
        <w:t>V</w:t>
      </w:r>
      <w:r w:rsidRPr="005439C2">
        <w:rPr>
          <w:vertAlign w:val="subscript"/>
        </w:rPr>
        <w:t>dy,k</w:t>
      </w:r>
      <w:r w:rsidRPr="005439C2">
        <w:t xml:space="preserve"> is the storey shear provided by the energy-dissipation devices at the </w:t>
      </w:r>
      <w:r w:rsidRPr="005439C2">
        <w:rPr>
          <w:i/>
          <w:iCs/>
        </w:rPr>
        <w:t>k</w:t>
      </w:r>
      <w:r w:rsidRPr="005439C2">
        <w:t>-th storey</w:t>
      </w:r>
    </w:p>
    <w:p w14:paraId="44D5611B" w14:textId="45E435CC" w:rsidR="005439C2" w:rsidRPr="00E05E29" w:rsidRDefault="005439C2" w:rsidP="0080187E">
      <w:pPr>
        <w:pStyle w:val="Clause"/>
        <w:numPr>
          <w:ilvl w:val="0"/>
          <w:numId w:val="293"/>
        </w:numPr>
      </w:pPr>
      <w:r w:rsidRPr="00E05E29">
        <w:t xml:space="preserve">The maximum horizontal displacements at </w:t>
      </w:r>
      <w:r w:rsidRPr="004030A7">
        <w:rPr>
          <w:i/>
        </w:rPr>
        <w:t>i</w:t>
      </w:r>
      <w:r w:rsidRPr="004030A7">
        <w:rPr>
          <w:iCs/>
        </w:rPr>
        <w:t>-th</w:t>
      </w:r>
      <w:r w:rsidRPr="00E05E29">
        <w:t xml:space="preserve"> floor relative to the ground, in the direction under consideration, for inelastic behaviour of the main structural system and including the elastic part, should be calculated with Formula (9.26), where the summation extends to all the storeys below the </w:t>
      </w:r>
      <w:r w:rsidRPr="004030A7">
        <w:rPr>
          <w:i/>
        </w:rPr>
        <w:t>i</w:t>
      </w:r>
      <w:r w:rsidRPr="00E05E29">
        <w:t>-th floor.</w:t>
      </w:r>
    </w:p>
    <w:p w14:paraId="50A0C989" w14:textId="62503F2A" w:rsidR="005439C2" w:rsidRPr="00870D59" w:rsidRDefault="009B5CEC" w:rsidP="005439C2">
      <w:pPr>
        <w:pStyle w:val="Formula"/>
      </w:pPr>
      <m:oMath>
        <m:sSub>
          <m:sSubPr>
            <m:ctrlPr>
              <w:rPr>
                <w:rFonts w:ascii="Cambria Math" w:hAnsi="Cambria Math"/>
              </w:rPr>
            </m:ctrlPr>
          </m:sSubPr>
          <m:e>
            <m:r>
              <w:rPr>
                <w:rFonts w:ascii="Cambria Math" w:hAnsi="Cambria Math"/>
              </w:rPr>
              <m:t>d</m:t>
            </m:r>
          </m:e>
          <m:sub>
            <m:r>
              <w:rPr>
                <w:rFonts w:ascii="Cambria Math" w:hAnsi="Cambria Math"/>
              </w:rPr>
              <m:t>i1</m:t>
            </m:r>
          </m:sub>
        </m:sSub>
        <m:r>
          <w:rPr>
            <w:rFonts w:ascii="Cambria Math" w:hAnsi="Cambria Math"/>
          </w:rPr>
          <m:t>=</m:t>
        </m:r>
        <m:nary>
          <m:naryPr>
            <m:chr m:val="∑"/>
            <m:limLoc m:val="undOvr"/>
            <m:ctrlPr>
              <w:rPr>
                <w:rFonts w:ascii="Cambria Math" w:hAnsi="Cambria Math"/>
              </w:rPr>
            </m:ctrlPr>
          </m:naryPr>
          <m:sub>
            <m:r>
              <w:rPr>
                <w:rFonts w:ascii="Cambria Math" w:hAnsi="Cambria Math"/>
              </w:rPr>
              <m:t>k=1</m:t>
            </m:r>
          </m:sub>
          <m:sup>
            <m:r>
              <w:rPr>
                <w:rFonts w:ascii="Cambria Math" w:hAnsi="Cambria Math"/>
              </w:rPr>
              <m:t>k=i</m:t>
            </m:r>
          </m:sup>
          <m:e>
            <m:sSub>
              <m:sSubPr>
                <m:ctrlPr>
                  <w:rPr>
                    <w:rFonts w:ascii="Cambria Math" w:hAnsi="Cambria Math"/>
                  </w:rPr>
                </m:ctrlPr>
              </m:sSubPr>
              <m:e>
                <m:r>
                  <w:rPr>
                    <w:rFonts w:ascii="Cambria Math" w:hAnsi="Cambria Math"/>
                  </w:rPr>
                  <m:t>d</m:t>
                </m:r>
              </m:e>
              <m:sub>
                <m:r>
                  <m:rPr>
                    <m:sty m:val="p"/>
                  </m:rPr>
                  <w:rPr>
                    <w:rFonts w:ascii="Cambria Math" w:hAnsi="Cambria Math"/>
                  </w:rPr>
                  <m:t>r,k,1</m:t>
                </m:r>
              </m:sub>
            </m:sSub>
          </m:e>
        </m:nary>
      </m:oMath>
      <w:r w:rsidR="005439C2" w:rsidRPr="00870D59">
        <w:tab/>
        <w:t>(</w:t>
      </w:r>
      <w:r w:rsidR="005439C2">
        <w:t>9</w:t>
      </w:r>
      <w:r w:rsidR="005439C2" w:rsidRPr="00870D59">
        <w:t>.</w:t>
      </w:r>
      <w:r w:rsidR="005439C2">
        <w:t>26</w:t>
      </w:r>
      <w:r w:rsidR="005439C2" w:rsidRPr="00870D59">
        <w:t>)</w:t>
      </w:r>
    </w:p>
    <w:p w14:paraId="2E664EF3" w14:textId="4326C412" w:rsidR="005439C2" w:rsidRPr="00E05E29" w:rsidRDefault="005439C2" w:rsidP="0080187E">
      <w:pPr>
        <w:pStyle w:val="Clause"/>
        <w:numPr>
          <w:ilvl w:val="0"/>
          <w:numId w:val="293"/>
        </w:numPr>
      </w:pPr>
      <w:r w:rsidRPr="00D1484A">
        <w:t xml:space="preserve">The design seismic force acting on the structure with energy-dissipation system at the </w:t>
      </w:r>
      <w:r w:rsidRPr="004030A7">
        <w:rPr>
          <w:i/>
        </w:rPr>
        <w:t>i</w:t>
      </w:r>
      <w:r w:rsidRPr="007E6F67">
        <w:t xml:space="preserve">-th floor level located above storey </w:t>
      </w:r>
      <w:r w:rsidRPr="004030A7">
        <w:rPr>
          <w:i/>
        </w:rPr>
        <w:t xml:space="preserve">k </w:t>
      </w:r>
      <w:r w:rsidRPr="00FD17CF">
        <w:t xml:space="preserve">and below storey </w:t>
      </w:r>
      <w:r w:rsidRPr="004030A7">
        <w:rPr>
          <w:i/>
        </w:rPr>
        <w:t>k</w:t>
      </w:r>
      <w:r w:rsidRPr="00E05E29">
        <w:t>+1, in the direction of interest, should be calculated using Formula (9.27).</w:t>
      </w:r>
    </w:p>
    <w:p w14:paraId="35CF8FB1" w14:textId="5F50B694" w:rsidR="005439C2" w:rsidRPr="00870D59" w:rsidRDefault="009B5CEC" w:rsidP="005439C2">
      <w:pPr>
        <w:pStyle w:val="Formula"/>
      </w:pPr>
      <m:oMath>
        <m:sSub>
          <m:sSubPr>
            <m:ctrlPr>
              <w:rPr>
                <w:rFonts w:ascii="Cambria Math" w:hAnsi="Cambria Math"/>
              </w:rPr>
            </m:ctrlPr>
          </m:sSubPr>
          <m:e>
            <m:r>
              <w:rPr>
                <w:rFonts w:ascii="Cambria Math" w:hAnsi="Cambria Math"/>
              </w:rPr>
              <m:t>F</m:t>
            </m:r>
          </m:e>
          <m:sub>
            <m:r>
              <w:rPr>
                <w:rFonts w:ascii="Cambria Math" w:hAnsi="Cambria Math"/>
              </w:rPr>
              <m:t>i1</m:t>
            </m:r>
          </m:sub>
        </m:sSub>
        <m:r>
          <w:rPr>
            <w:rFonts w:ascii="Cambria Math" w:hAnsi="Cambria Math"/>
          </w:rPr>
          <m:t>=</m:t>
        </m:r>
        <m:d>
          <m:dPr>
            <m:ctrlPr>
              <w:rPr>
                <w:rFonts w:ascii="Cambria Math" w:hAnsi="Cambria Math"/>
              </w:rPr>
            </m:ctrlPr>
          </m:dPr>
          <m:e>
            <m:sSub>
              <m:sSubPr>
                <m:ctrlPr>
                  <w:rPr>
                    <w:rFonts w:ascii="Cambria Math" w:hAnsi="Cambria Math"/>
                  </w:rPr>
                </m:ctrlPr>
              </m:sSubPr>
              <m:e>
                <m:r>
                  <w:rPr>
                    <w:rFonts w:ascii="Cambria Math" w:hAnsi="Cambria Math"/>
                  </w:rPr>
                  <m:t>V</m:t>
                </m:r>
              </m:e>
              <m:sub>
                <m:r>
                  <w:rPr>
                    <w:rFonts w:ascii="Cambria Math" w:hAnsi="Cambria Math"/>
                  </w:rPr>
                  <m:t>pD,1</m:t>
                </m:r>
              </m:sub>
            </m:sSub>
            <m:r>
              <w:rPr>
                <w:rFonts w:ascii="Cambria Math" w:hAnsi="Cambria Math"/>
              </w:rPr>
              <m:t>+</m:t>
            </m:r>
            <m:sSub>
              <m:sSubPr>
                <m:ctrlPr>
                  <w:rPr>
                    <w:rFonts w:ascii="Cambria Math" w:hAnsi="Cambria Math"/>
                  </w:rPr>
                </m:ctrlPr>
              </m:sSubPr>
              <m:e>
                <m:r>
                  <w:rPr>
                    <w:rFonts w:ascii="Cambria Math" w:hAnsi="Cambria Math"/>
                  </w:rPr>
                  <m:t>V</m:t>
                </m:r>
              </m:e>
              <m:sub>
                <m:r>
                  <w:rPr>
                    <w:rFonts w:ascii="Cambria Math" w:hAnsi="Cambria Math"/>
                  </w:rPr>
                  <m:t>dy,1</m:t>
                </m:r>
              </m:sub>
            </m:sSub>
          </m:e>
        </m:d>
        <m:d>
          <m:dPr>
            <m:begChr m:val="{"/>
            <m:endChr m:val="}"/>
            <m:ctrlPr>
              <w:rPr>
                <w:rFonts w:ascii="Cambria Math" w:eastAsia="Calibri" w:hAnsi="Cambria Math"/>
              </w:rPr>
            </m:ctrlPr>
          </m:dPr>
          <m:e>
            <m:d>
              <m:dPr>
                <m:begChr m:val="["/>
                <m:endChr m:val="]"/>
                <m:ctrlPr>
                  <w:rPr>
                    <w:rFonts w:ascii="Cambria Math" w:eastAsia="Calibri" w:hAnsi="Cambria Math"/>
                  </w:rPr>
                </m:ctrlPr>
              </m:dPr>
              <m:e>
                <m:sSub>
                  <m:sSubPr>
                    <m:ctrlPr>
                      <w:rPr>
                        <w:rFonts w:ascii="Cambria Math" w:eastAsia="Calibri" w:hAnsi="Cambria Math"/>
                      </w:rPr>
                    </m:ctrlPr>
                  </m:sSubPr>
                  <m:e>
                    <m:acc>
                      <m:accPr>
                        <m:chr m:val="̅"/>
                        <m:ctrlPr>
                          <w:rPr>
                            <w:rFonts w:ascii="Cambria Math" w:eastAsia="Calibri" w:hAnsi="Cambria Math"/>
                          </w:rPr>
                        </m:ctrlPr>
                      </m:accPr>
                      <m:e>
                        <m:r>
                          <w:rPr>
                            <w:rFonts w:ascii="Cambria Math" w:hAnsi="Cambria Math"/>
                          </w:rPr>
                          <m:t>m</m:t>
                        </m:r>
                      </m:e>
                    </m:acc>
                  </m:e>
                  <m:sub>
                    <m:r>
                      <w:rPr>
                        <w:rFonts w:ascii="Cambria Math" w:hAnsi="Cambria Math"/>
                      </w:rPr>
                      <m:t>k</m:t>
                    </m:r>
                  </m:sub>
                </m:sSub>
                <m:r>
                  <w:rPr>
                    <w:rFonts w:ascii="Cambria Math" w:hAnsi="Cambria Math"/>
                  </w:rPr>
                  <m:t>+</m:t>
                </m:r>
                <m:f>
                  <m:fPr>
                    <m:ctrlPr>
                      <w:rPr>
                        <w:rFonts w:ascii="Cambria Math" w:eastAsia="Calibri" w:hAnsi="Cambria Math"/>
                      </w:rPr>
                    </m:ctrlPr>
                  </m:fPr>
                  <m:num>
                    <m:r>
                      <w:rPr>
                        <w:rFonts w:ascii="Cambria Math" w:hAnsi="Cambria Math"/>
                      </w:rPr>
                      <m:t>2</m:t>
                    </m:r>
                    <m:sSub>
                      <m:sSubPr>
                        <m:ctrlPr>
                          <w:rPr>
                            <w:rFonts w:ascii="Cambria Math" w:eastAsia="Calibri" w:hAnsi="Cambria Math"/>
                          </w:rPr>
                        </m:ctrlPr>
                      </m:sSubPr>
                      <m:e>
                        <m:r>
                          <w:rPr>
                            <w:rFonts w:ascii="Cambria Math" w:hAnsi="Cambria Math"/>
                          </w:rPr>
                          <m:t>T</m:t>
                        </m:r>
                      </m:e>
                      <m:sub>
                        <m:r>
                          <w:rPr>
                            <w:rFonts w:ascii="Cambria Math" w:hAnsi="Cambria Math"/>
                          </w:rPr>
                          <m:t>1</m:t>
                        </m:r>
                      </m:sub>
                    </m:sSub>
                  </m:num>
                  <m:den>
                    <m:r>
                      <w:rPr>
                        <w:rFonts w:ascii="Cambria Math" w:hAnsi="Cambria Math"/>
                      </w:rPr>
                      <m:t>1+3</m:t>
                    </m:r>
                    <m:sSub>
                      <m:sSubPr>
                        <m:ctrlPr>
                          <w:rPr>
                            <w:rFonts w:ascii="Cambria Math" w:eastAsia="Calibri" w:hAnsi="Cambria Math"/>
                          </w:rPr>
                        </m:ctrlPr>
                      </m:sSubPr>
                      <m:e>
                        <m:r>
                          <w:rPr>
                            <w:rFonts w:ascii="Cambria Math" w:hAnsi="Cambria Math"/>
                          </w:rPr>
                          <m:t>T</m:t>
                        </m:r>
                      </m:e>
                      <m:sub>
                        <m:r>
                          <w:rPr>
                            <w:rFonts w:ascii="Cambria Math" w:hAnsi="Cambria Math"/>
                          </w:rPr>
                          <m:t>1</m:t>
                        </m:r>
                      </m:sub>
                    </m:sSub>
                  </m:den>
                </m:f>
                <m:d>
                  <m:dPr>
                    <m:ctrlPr>
                      <w:rPr>
                        <w:rFonts w:ascii="Cambria Math" w:hAnsi="Cambria Math"/>
                      </w:rPr>
                    </m:ctrlPr>
                  </m:dPr>
                  <m:e>
                    <m:rad>
                      <m:radPr>
                        <m:degHide m:val="1"/>
                        <m:ctrlPr>
                          <w:rPr>
                            <w:rFonts w:ascii="Cambria Math" w:eastAsia="Calibri" w:hAnsi="Cambria Math"/>
                          </w:rPr>
                        </m:ctrlPr>
                      </m:radPr>
                      <m:deg/>
                      <m:e>
                        <m:sSub>
                          <m:sSubPr>
                            <m:ctrlPr>
                              <w:rPr>
                                <w:rFonts w:ascii="Cambria Math" w:eastAsia="Calibri" w:hAnsi="Cambria Math"/>
                              </w:rPr>
                            </m:ctrlPr>
                          </m:sSubPr>
                          <m:e>
                            <m:acc>
                              <m:accPr>
                                <m:chr m:val="̅"/>
                                <m:ctrlPr>
                                  <w:rPr>
                                    <w:rFonts w:ascii="Cambria Math" w:eastAsia="Calibri" w:hAnsi="Cambria Math"/>
                                  </w:rPr>
                                </m:ctrlPr>
                              </m:accPr>
                              <m:e>
                                <m:r>
                                  <w:rPr>
                                    <w:rFonts w:ascii="Cambria Math" w:hAnsi="Cambria Math"/>
                                  </w:rPr>
                                  <m:t>m</m:t>
                                </m:r>
                              </m:e>
                            </m:acc>
                          </m:e>
                          <m:sub>
                            <m:r>
                              <w:rPr>
                                <w:rFonts w:ascii="Cambria Math" w:hAnsi="Cambria Math"/>
                              </w:rPr>
                              <m:t>k</m:t>
                            </m:r>
                          </m:sub>
                        </m:sSub>
                      </m:e>
                    </m:rad>
                    <m:r>
                      <w:rPr>
                        <w:rFonts w:ascii="Cambria Math" w:hAnsi="Cambria Math"/>
                      </w:rPr>
                      <m:t>-</m:t>
                    </m:r>
                    <m:sSubSup>
                      <m:sSubSupPr>
                        <m:ctrlPr>
                          <w:rPr>
                            <w:rFonts w:ascii="Cambria Math" w:eastAsia="Calibri" w:hAnsi="Cambria Math"/>
                          </w:rPr>
                        </m:ctrlPr>
                      </m:sSubSupPr>
                      <m:e>
                        <m:acc>
                          <m:accPr>
                            <m:chr m:val="̅"/>
                            <m:ctrlPr>
                              <w:rPr>
                                <w:rFonts w:ascii="Cambria Math" w:eastAsia="Calibri" w:hAnsi="Cambria Math"/>
                              </w:rPr>
                            </m:ctrlPr>
                          </m:accPr>
                          <m:e>
                            <m:r>
                              <w:rPr>
                                <w:rFonts w:ascii="Cambria Math" w:hAnsi="Cambria Math"/>
                              </w:rPr>
                              <m:t>m</m:t>
                            </m:r>
                          </m:e>
                        </m:acc>
                      </m:e>
                      <m:sub>
                        <m:r>
                          <w:rPr>
                            <w:rFonts w:ascii="Cambria Math" w:hAnsi="Cambria Math"/>
                          </w:rPr>
                          <m:t>k</m:t>
                        </m:r>
                      </m:sub>
                      <m:sup>
                        <m:r>
                          <w:rPr>
                            <w:rFonts w:ascii="Cambria Math" w:hAnsi="Cambria Math"/>
                          </w:rPr>
                          <m:t>2</m:t>
                        </m:r>
                      </m:sup>
                    </m:sSubSup>
                  </m:e>
                </m:d>
              </m:e>
            </m:d>
            <m:r>
              <w:rPr>
                <w:rFonts w:ascii="Cambria Math" w:hAnsi="Cambria Math"/>
              </w:rPr>
              <m:t>-</m:t>
            </m:r>
            <m:d>
              <m:dPr>
                <m:begChr m:val="["/>
                <m:endChr m:val="]"/>
                <m:ctrlPr>
                  <w:rPr>
                    <w:rFonts w:ascii="Cambria Math" w:eastAsia="Calibri" w:hAnsi="Cambria Math"/>
                  </w:rPr>
                </m:ctrlPr>
              </m:dPr>
              <m:e>
                <m:sSub>
                  <m:sSubPr>
                    <m:ctrlPr>
                      <w:rPr>
                        <w:rFonts w:ascii="Cambria Math" w:eastAsia="Calibri" w:hAnsi="Cambria Math"/>
                      </w:rPr>
                    </m:ctrlPr>
                  </m:sSubPr>
                  <m:e>
                    <m:acc>
                      <m:accPr>
                        <m:chr m:val="̅"/>
                        <m:ctrlPr>
                          <w:rPr>
                            <w:rFonts w:ascii="Cambria Math" w:eastAsia="Calibri" w:hAnsi="Cambria Math"/>
                          </w:rPr>
                        </m:ctrlPr>
                      </m:accPr>
                      <m:e>
                        <m:r>
                          <w:rPr>
                            <w:rFonts w:ascii="Cambria Math" w:hAnsi="Cambria Math"/>
                          </w:rPr>
                          <m:t>m</m:t>
                        </m:r>
                      </m:e>
                    </m:acc>
                  </m:e>
                  <m:sub>
                    <m:r>
                      <w:rPr>
                        <w:rFonts w:ascii="Cambria Math" w:hAnsi="Cambria Math"/>
                      </w:rPr>
                      <m:t>k+1</m:t>
                    </m:r>
                  </m:sub>
                </m:sSub>
                <m:r>
                  <w:rPr>
                    <w:rFonts w:ascii="Cambria Math" w:hAnsi="Cambria Math"/>
                  </w:rPr>
                  <m:t>+</m:t>
                </m:r>
                <m:f>
                  <m:fPr>
                    <m:ctrlPr>
                      <w:rPr>
                        <w:rFonts w:ascii="Cambria Math" w:eastAsia="Calibri" w:hAnsi="Cambria Math"/>
                      </w:rPr>
                    </m:ctrlPr>
                  </m:fPr>
                  <m:num>
                    <m:r>
                      <w:rPr>
                        <w:rFonts w:ascii="Cambria Math" w:hAnsi="Cambria Math"/>
                      </w:rPr>
                      <m:t>2</m:t>
                    </m:r>
                    <m:sSub>
                      <m:sSubPr>
                        <m:ctrlPr>
                          <w:rPr>
                            <w:rFonts w:ascii="Cambria Math" w:eastAsia="Calibri" w:hAnsi="Cambria Math"/>
                          </w:rPr>
                        </m:ctrlPr>
                      </m:sSubPr>
                      <m:e>
                        <m:r>
                          <w:rPr>
                            <w:rFonts w:ascii="Cambria Math" w:hAnsi="Cambria Math"/>
                          </w:rPr>
                          <m:t>T</m:t>
                        </m:r>
                      </m:e>
                      <m:sub>
                        <m:r>
                          <w:rPr>
                            <w:rFonts w:ascii="Cambria Math" w:hAnsi="Cambria Math"/>
                          </w:rPr>
                          <m:t>1</m:t>
                        </m:r>
                      </m:sub>
                    </m:sSub>
                  </m:num>
                  <m:den>
                    <m:r>
                      <w:rPr>
                        <w:rFonts w:ascii="Cambria Math" w:hAnsi="Cambria Math"/>
                      </w:rPr>
                      <m:t>1+3</m:t>
                    </m:r>
                    <m:sSub>
                      <m:sSubPr>
                        <m:ctrlPr>
                          <w:rPr>
                            <w:rFonts w:ascii="Cambria Math" w:eastAsia="Calibri" w:hAnsi="Cambria Math"/>
                          </w:rPr>
                        </m:ctrlPr>
                      </m:sSubPr>
                      <m:e>
                        <m:r>
                          <w:rPr>
                            <w:rFonts w:ascii="Cambria Math" w:hAnsi="Cambria Math"/>
                          </w:rPr>
                          <m:t>T</m:t>
                        </m:r>
                      </m:e>
                      <m:sub>
                        <m:r>
                          <w:rPr>
                            <w:rFonts w:ascii="Cambria Math" w:hAnsi="Cambria Math"/>
                          </w:rPr>
                          <m:t>1</m:t>
                        </m:r>
                      </m:sub>
                    </m:sSub>
                  </m:den>
                </m:f>
                <m:d>
                  <m:dPr>
                    <m:ctrlPr>
                      <w:rPr>
                        <w:rFonts w:ascii="Cambria Math" w:hAnsi="Cambria Math"/>
                      </w:rPr>
                    </m:ctrlPr>
                  </m:dPr>
                  <m:e>
                    <m:rad>
                      <m:radPr>
                        <m:degHide m:val="1"/>
                        <m:ctrlPr>
                          <w:rPr>
                            <w:rFonts w:ascii="Cambria Math" w:eastAsia="Calibri" w:hAnsi="Cambria Math"/>
                          </w:rPr>
                        </m:ctrlPr>
                      </m:radPr>
                      <m:deg/>
                      <m:e>
                        <m:sSub>
                          <m:sSubPr>
                            <m:ctrlPr>
                              <w:rPr>
                                <w:rFonts w:ascii="Cambria Math" w:eastAsia="Calibri" w:hAnsi="Cambria Math"/>
                              </w:rPr>
                            </m:ctrlPr>
                          </m:sSubPr>
                          <m:e>
                            <m:acc>
                              <m:accPr>
                                <m:chr m:val="̅"/>
                                <m:ctrlPr>
                                  <w:rPr>
                                    <w:rFonts w:ascii="Cambria Math" w:eastAsia="Calibri" w:hAnsi="Cambria Math"/>
                                  </w:rPr>
                                </m:ctrlPr>
                              </m:accPr>
                              <m:e>
                                <m:r>
                                  <w:rPr>
                                    <w:rFonts w:ascii="Cambria Math" w:hAnsi="Cambria Math"/>
                                  </w:rPr>
                                  <m:t>m</m:t>
                                </m:r>
                              </m:e>
                            </m:acc>
                          </m:e>
                          <m:sub>
                            <m:r>
                              <w:rPr>
                                <w:rFonts w:ascii="Cambria Math" w:hAnsi="Cambria Math"/>
                              </w:rPr>
                              <m:t>k+1</m:t>
                            </m:r>
                          </m:sub>
                        </m:sSub>
                      </m:e>
                    </m:rad>
                    <m:r>
                      <w:rPr>
                        <w:rFonts w:ascii="Cambria Math" w:hAnsi="Cambria Math"/>
                      </w:rPr>
                      <m:t>-</m:t>
                    </m:r>
                    <m:sSubSup>
                      <m:sSubSupPr>
                        <m:ctrlPr>
                          <w:rPr>
                            <w:rFonts w:ascii="Cambria Math" w:eastAsia="Calibri" w:hAnsi="Cambria Math"/>
                          </w:rPr>
                        </m:ctrlPr>
                      </m:sSubSupPr>
                      <m:e>
                        <m:acc>
                          <m:accPr>
                            <m:chr m:val="̅"/>
                            <m:ctrlPr>
                              <w:rPr>
                                <w:rFonts w:ascii="Cambria Math" w:eastAsia="Calibri" w:hAnsi="Cambria Math"/>
                              </w:rPr>
                            </m:ctrlPr>
                          </m:accPr>
                          <m:e>
                            <m:r>
                              <w:rPr>
                                <w:rFonts w:ascii="Cambria Math" w:hAnsi="Cambria Math"/>
                              </w:rPr>
                              <m:t>m</m:t>
                            </m:r>
                          </m:e>
                        </m:acc>
                      </m:e>
                      <m:sub>
                        <m:r>
                          <w:rPr>
                            <w:rFonts w:ascii="Cambria Math" w:hAnsi="Cambria Math"/>
                          </w:rPr>
                          <m:t>k+1</m:t>
                        </m:r>
                      </m:sub>
                      <m:sup>
                        <m:r>
                          <w:rPr>
                            <w:rFonts w:ascii="Cambria Math" w:hAnsi="Cambria Math"/>
                          </w:rPr>
                          <m:t>2</m:t>
                        </m:r>
                      </m:sup>
                    </m:sSubSup>
                  </m:e>
                </m:d>
              </m:e>
            </m:d>
          </m:e>
        </m:d>
      </m:oMath>
      <w:r w:rsidR="005439C2" w:rsidRPr="00870D59">
        <w:tab/>
        <w:t>(</w:t>
      </w:r>
      <w:r w:rsidR="005439C2">
        <w:t>9</w:t>
      </w:r>
      <w:r w:rsidR="005439C2" w:rsidRPr="00870D59">
        <w:t>.</w:t>
      </w:r>
      <w:r w:rsidR="005439C2">
        <w:t>27</w:t>
      </w:r>
      <w:r w:rsidR="005439C2" w:rsidRPr="00870D59">
        <w:t>)</w:t>
      </w:r>
    </w:p>
    <w:p w14:paraId="76C8505D" w14:textId="5210E9C1" w:rsidR="005439C2" w:rsidRDefault="00675EBA" w:rsidP="00E21BDE">
      <w:pPr>
        <w:pStyle w:val="Text"/>
      </w:pPr>
      <w:r>
        <w:t>where</w:t>
      </w:r>
    </w:p>
    <w:tbl>
      <w:tblPr>
        <w:tblW w:w="0" w:type="auto"/>
        <w:tblInd w:w="346" w:type="dxa"/>
        <w:tblLook w:val="04A0" w:firstRow="1" w:lastRow="0" w:firstColumn="1" w:lastColumn="0" w:noHBand="0" w:noVBand="1"/>
      </w:tblPr>
      <w:tblGrid>
        <w:gridCol w:w="1343"/>
        <w:gridCol w:w="7874"/>
      </w:tblGrid>
      <w:tr w:rsidR="005439C2" w:rsidRPr="00870D59" w14:paraId="65B243BF" w14:textId="77777777" w:rsidTr="006C6A44">
        <w:tc>
          <w:tcPr>
            <w:tcW w:w="1343" w:type="dxa"/>
            <w:shd w:val="clear" w:color="auto" w:fill="auto"/>
          </w:tcPr>
          <w:p w14:paraId="7DC00288" w14:textId="74A654F9" w:rsidR="005439C2" w:rsidRPr="00523AC3" w:rsidRDefault="00EB63FC" w:rsidP="002061E5">
            <w:pPr>
              <w:pStyle w:val="Tablebody"/>
              <w:rPr>
                <w:i/>
                <w:iCs/>
              </w:rPr>
            </w:pPr>
            <w:r w:rsidRPr="00D1484A">
              <w:rPr>
                <w:i/>
              </w:rPr>
              <w:t>V</w:t>
            </w:r>
            <w:r w:rsidRPr="007E6F67">
              <w:rPr>
                <w:vertAlign w:val="subscript"/>
              </w:rPr>
              <w:t>pD,1</w:t>
            </w:r>
          </w:p>
        </w:tc>
        <w:tc>
          <w:tcPr>
            <w:tcW w:w="7874" w:type="dxa"/>
          </w:tcPr>
          <w:p w14:paraId="4A2E1A42" w14:textId="13F80228" w:rsidR="005439C2" w:rsidRPr="00303F71" w:rsidRDefault="00EB63FC" w:rsidP="002061E5">
            <w:pPr>
              <w:pStyle w:val="Tablebody"/>
            </w:pPr>
            <w:r w:rsidRPr="00E05E29">
              <w:t>is the maximum base shear that can be resisted by the primary seismic members of the main structural system within the elastic domain in the direction under consideration;</w:t>
            </w:r>
          </w:p>
        </w:tc>
      </w:tr>
      <w:tr w:rsidR="005439C2" w:rsidRPr="00870D59" w14:paraId="2A91C89F" w14:textId="77777777" w:rsidTr="006C6A44">
        <w:tc>
          <w:tcPr>
            <w:tcW w:w="1343" w:type="dxa"/>
            <w:shd w:val="clear" w:color="auto" w:fill="auto"/>
          </w:tcPr>
          <w:p w14:paraId="02DDD433" w14:textId="3DA0BF18" w:rsidR="005439C2" w:rsidRPr="00325DC7" w:rsidRDefault="00EB63FC" w:rsidP="002061E5">
            <w:pPr>
              <w:pStyle w:val="Tablebody"/>
              <w:rPr>
                <w:i/>
              </w:rPr>
            </w:pPr>
            <w:r w:rsidRPr="00E05E29">
              <w:rPr>
                <w:i/>
              </w:rPr>
              <w:t>V</w:t>
            </w:r>
            <w:r w:rsidRPr="00E05E29">
              <w:rPr>
                <w:vertAlign w:val="subscript"/>
              </w:rPr>
              <w:t>dy,1</w:t>
            </w:r>
          </w:p>
        </w:tc>
        <w:tc>
          <w:tcPr>
            <w:tcW w:w="7874" w:type="dxa"/>
          </w:tcPr>
          <w:p w14:paraId="13226BE4" w14:textId="25663728" w:rsidR="005439C2" w:rsidRPr="00870D59" w:rsidRDefault="00EB63FC" w:rsidP="002061E5">
            <w:pPr>
              <w:pStyle w:val="Tablebody"/>
            </w:pPr>
            <w:r w:rsidRPr="00E05E29">
              <w:t xml:space="preserve">is </w:t>
            </w:r>
            <w:r w:rsidRPr="00E05E29">
              <w:rPr>
                <w:rFonts w:ascii="Times New Roman" w:hAnsi="Times New Roman"/>
                <w:sz w:val="24"/>
                <w:szCs w:val="24"/>
              </w:rPr>
              <w:t>the base storey yield shear of the energy dissipation system</w:t>
            </w:r>
            <w:r w:rsidRPr="00E05E29">
              <w:t xml:space="preserve"> in the direction under consideration</w:t>
            </w:r>
            <w:r w:rsidRPr="00E05E29">
              <w:rPr>
                <w:rFonts w:ascii="Times New Roman" w:hAnsi="Times New Roman"/>
                <w:sz w:val="24"/>
                <w:szCs w:val="24"/>
              </w:rPr>
              <w:t>;</w:t>
            </w:r>
          </w:p>
        </w:tc>
      </w:tr>
      <w:tr w:rsidR="005439C2" w:rsidRPr="00870D59" w14:paraId="66A9292C" w14:textId="77777777" w:rsidTr="006C6A44">
        <w:tc>
          <w:tcPr>
            <w:tcW w:w="1343" w:type="dxa"/>
            <w:shd w:val="clear" w:color="auto" w:fill="auto"/>
          </w:tcPr>
          <w:p w14:paraId="35CA4E7C" w14:textId="7F84745C" w:rsidR="005439C2" w:rsidRPr="00EB63FC" w:rsidRDefault="009B5CEC" w:rsidP="002061E5">
            <w:pPr>
              <w:pStyle w:val="Tablebody"/>
              <w:rPr>
                <w:i/>
                <w:szCs w:val="24"/>
              </w:rPr>
            </w:pPr>
            <m:oMathPara>
              <m:oMathParaPr>
                <m:jc m:val="left"/>
              </m:oMathParaPr>
              <m:oMath>
                <m:sSub>
                  <m:sSubPr>
                    <m:ctrlPr>
                      <w:rPr>
                        <w:rFonts w:ascii="Cambria Math" w:hAnsi="Cambria Math"/>
                        <w:i/>
                      </w:rPr>
                    </m:ctrlPr>
                  </m:sSubPr>
                  <m:e>
                    <m:acc>
                      <m:accPr>
                        <m:chr m:val="̅"/>
                        <m:ctrlPr>
                          <w:rPr>
                            <w:rFonts w:ascii="Cambria Math" w:hAnsi="Cambria Math"/>
                            <w:i/>
                          </w:rPr>
                        </m:ctrlPr>
                      </m:accPr>
                      <m:e>
                        <m:r>
                          <w:rPr>
                            <w:rFonts w:ascii="Cambria Math" w:hAnsi="Cambria Math"/>
                          </w:rPr>
                          <m:t>m</m:t>
                        </m:r>
                      </m:e>
                    </m:acc>
                  </m:e>
                  <m:sub>
                    <m:r>
                      <w:rPr>
                        <w:rFonts w:ascii="Cambria Math" w:hAnsi="Cambria Math"/>
                      </w:rPr>
                      <m:t>k</m:t>
                    </m:r>
                  </m:sub>
                </m:sSub>
              </m:oMath>
            </m:oMathPara>
          </w:p>
        </w:tc>
        <w:tc>
          <w:tcPr>
            <w:tcW w:w="7874" w:type="dxa"/>
          </w:tcPr>
          <w:p w14:paraId="2D31B2E8" w14:textId="22231307" w:rsidR="005439C2" w:rsidRPr="00E05E29" w:rsidRDefault="00E21BDE" w:rsidP="002061E5">
            <w:pPr>
              <w:pStyle w:val="Tablebody"/>
            </w:pPr>
            <m:oMath>
              <m:r>
                <w:rPr>
                  <w:rFonts w:ascii="Cambria Math" w:hAnsi="Cambria Math"/>
                </w:rPr>
                <m:t>=</m:t>
              </m:r>
              <m:nary>
                <m:naryPr>
                  <m:chr m:val="∑"/>
                  <m:limLoc m:val="undOvr"/>
                  <m:ctrlPr>
                    <w:rPr>
                      <w:rFonts w:ascii="Cambria Math" w:hAnsi="Cambria Math"/>
                      <w:i/>
                    </w:rPr>
                  </m:ctrlPr>
                </m:naryPr>
                <m:sub>
                  <m:r>
                    <w:rPr>
                      <w:rFonts w:ascii="Cambria Math" w:hAnsi="Cambria Math"/>
                    </w:rPr>
                    <m:t>l=k</m:t>
                  </m:r>
                </m:sub>
                <m:sup>
                  <m:r>
                    <m:rPr>
                      <m:sty m:val="p"/>
                    </m:rPr>
                    <w:rPr>
                      <w:rFonts w:ascii="Cambria Math" w:hAnsi="Cambria Math"/>
                    </w:rPr>
                    <m:t>N</m:t>
                  </m:r>
                </m:sup>
                <m:e>
                  <m:sSub>
                    <m:sSubPr>
                      <m:ctrlPr>
                        <w:rPr>
                          <w:rFonts w:ascii="Cambria Math" w:hAnsi="Cambria Math"/>
                          <w:i/>
                        </w:rPr>
                      </m:ctrlPr>
                    </m:sSubPr>
                    <m:e>
                      <m:r>
                        <w:rPr>
                          <w:rFonts w:ascii="Cambria Math" w:hAnsi="Cambria Math"/>
                        </w:rPr>
                        <m:t>m</m:t>
                      </m:r>
                    </m:e>
                    <m:sub>
                      <m:r>
                        <w:rPr>
                          <w:rFonts w:ascii="Cambria Math" w:hAnsi="Cambria Math"/>
                        </w:rPr>
                        <m:t>l</m:t>
                      </m:r>
                    </m:sub>
                  </m:sSub>
                  <m:r>
                    <w:rPr>
                      <w:rFonts w:ascii="Cambria Math" w:hAnsi="Cambria Math"/>
                    </w:rPr>
                    <m:t>/m</m:t>
                  </m:r>
                </m:e>
              </m:nary>
            </m:oMath>
            <w:r>
              <w:t xml:space="preserve">, </w:t>
            </w:r>
            <w:r w:rsidR="00EB63FC" w:rsidRPr="00132C1E">
              <w:t xml:space="preserve">is the mass above the </w:t>
            </w:r>
            <w:r w:rsidR="00EB63FC" w:rsidRPr="00D1484A">
              <w:rPr>
                <w:i/>
              </w:rPr>
              <w:t>k</w:t>
            </w:r>
            <w:r w:rsidR="00EB63FC" w:rsidRPr="00D1484A">
              <w:t>-th storey normal</w:t>
            </w:r>
            <w:r w:rsidR="00E10A24">
              <w:t>ize</w:t>
            </w:r>
            <w:r w:rsidR="00EB63FC" w:rsidRPr="00D1484A">
              <w:t>d by the total mass of the building.</w:t>
            </w:r>
          </w:p>
        </w:tc>
      </w:tr>
    </w:tbl>
    <w:p w14:paraId="7AF20FE0" w14:textId="6115C8B9" w:rsidR="00EB63FC" w:rsidRPr="00D1484A" w:rsidRDefault="00EB63FC" w:rsidP="00EB63FC">
      <w:pPr>
        <w:pStyle w:val="Heading4"/>
      </w:pPr>
      <w:bookmarkStart w:id="1196" w:name="_Toc108342313"/>
      <w:r w:rsidRPr="00D1484A">
        <w:t>Response in higher modes</w:t>
      </w:r>
      <w:bookmarkEnd w:id="1196"/>
    </w:p>
    <w:p w14:paraId="3357F871" w14:textId="57A227D1" w:rsidR="00EB63FC" w:rsidRPr="00E05E29" w:rsidRDefault="00EB63FC" w:rsidP="0080187E">
      <w:pPr>
        <w:pStyle w:val="Clause"/>
        <w:numPr>
          <w:ilvl w:val="0"/>
          <w:numId w:val="294"/>
        </w:numPr>
      </w:pPr>
      <w:r w:rsidRPr="007E6F67">
        <w:t>The response in higher modes (</w:t>
      </w:r>
      <w:r w:rsidRPr="00CB6D42">
        <w:rPr>
          <w:i/>
        </w:rPr>
        <w:t xml:space="preserve">m </w:t>
      </w:r>
      <w:r w:rsidRPr="00FD17CF">
        <w:t>&gt; 1) should be obtained using modal analysis, assuming elastic response fo</w:t>
      </w:r>
      <w:r w:rsidRPr="00644C3D">
        <w:t xml:space="preserve">r the primary seismic </w:t>
      </w:r>
      <w:r w:rsidRPr="00E05E29">
        <w:t>members and the displacement-dependent energy dissipation devices.</w:t>
      </w:r>
    </w:p>
    <w:p w14:paraId="50E2C876" w14:textId="3080EA40" w:rsidR="00EB63FC" w:rsidRPr="00E21BDE" w:rsidRDefault="00EB63FC" w:rsidP="0080187E">
      <w:pPr>
        <w:pStyle w:val="Clause"/>
        <w:numPr>
          <w:ilvl w:val="0"/>
          <w:numId w:val="294"/>
        </w:numPr>
      </w:pPr>
      <w:r w:rsidRPr="00E05E29">
        <w:t xml:space="preserve">The response at the stage of maximum displacement in the higher mode </w:t>
      </w:r>
      <w:r w:rsidRPr="004030A7">
        <w:rPr>
          <w:i/>
          <w:iCs/>
        </w:rPr>
        <w:t>m</w:t>
      </w:r>
      <w:r w:rsidRPr="00E05E29">
        <w:t xml:space="preserve"> should be calculated with Formula</w:t>
      </w:r>
      <w:r w:rsidR="006C6A44">
        <w:t>e</w:t>
      </w:r>
      <w:r w:rsidRPr="00E05E29">
        <w:t xml:space="preserve"> (9.3), (9.4), (9.6) and (9.7) and Formula</w:t>
      </w:r>
      <w:r w:rsidR="006C6A44">
        <w:t>e</w:t>
      </w:r>
      <w:r w:rsidRPr="00E05E29">
        <w:t xml:space="preserve"> of </w:t>
      </w:r>
      <w:r w:rsidRPr="00E21BDE">
        <w:t>Annex D, D.4, replacing the subscript 1</w:t>
      </w:r>
      <w:r w:rsidRPr="00E21BDE">
        <w:rPr>
          <w:i/>
          <w:iCs/>
        </w:rPr>
        <w:t xml:space="preserve"> </w:t>
      </w:r>
      <w:r w:rsidRPr="00E21BDE">
        <w:t xml:space="preserve">that indicate the first mode with subscript </w:t>
      </w:r>
      <w:r w:rsidRPr="00E21BDE">
        <w:rPr>
          <w:i/>
          <w:iCs/>
        </w:rPr>
        <w:t>m</w:t>
      </w:r>
      <w:r w:rsidRPr="00E21BDE">
        <w:t xml:space="preserve"> and modifying formulas as given in a) to f):</w:t>
      </w:r>
    </w:p>
    <w:p w14:paraId="273146A9" w14:textId="77777777" w:rsidR="00EB63FC" w:rsidRPr="00E21BDE" w:rsidRDefault="00EB63FC" w:rsidP="0080187E">
      <w:pPr>
        <w:pStyle w:val="List2"/>
        <w:numPr>
          <w:ilvl w:val="0"/>
          <w:numId w:val="110"/>
        </w:numPr>
        <w:spacing w:before="0" w:after="240" w:line="230" w:lineRule="atLeast"/>
        <w:contextualSpacing w:val="0"/>
      </w:pPr>
      <w:r w:rsidRPr="00E21BDE">
        <w:rPr>
          <w:rFonts w:ascii="Symbol" w:eastAsia="Symbol" w:hAnsi="Symbol" w:cs="Symbol"/>
          <w:i/>
        </w:rPr>
        <w:lastRenderedPageBreak/>
        <w:t></w:t>
      </w:r>
      <w:r w:rsidRPr="00E21BDE">
        <w:rPr>
          <w:vertAlign w:val="subscript"/>
        </w:rPr>
        <w:t>v1</w:t>
      </w:r>
      <w:r w:rsidRPr="00E21BDE">
        <w:rPr>
          <w:i/>
          <w:vertAlign w:val="subscript"/>
        </w:rPr>
        <w:t xml:space="preserve"> </w:t>
      </w:r>
      <w:r w:rsidRPr="00E21BDE">
        <w:t>should be taken equal to zero;</w:t>
      </w:r>
    </w:p>
    <w:p w14:paraId="28709B89" w14:textId="77777777" w:rsidR="00EB63FC" w:rsidRPr="00E21BDE" w:rsidRDefault="00EB63FC" w:rsidP="0080187E">
      <w:pPr>
        <w:pStyle w:val="List2"/>
        <w:numPr>
          <w:ilvl w:val="0"/>
          <w:numId w:val="110"/>
        </w:numPr>
        <w:spacing w:before="0" w:after="240" w:line="230" w:lineRule="atLeast"/>
        <w:contextualSpacing w:val="0"/>
      </w:pPr>
      <w:r w:rsidRPr="00E21BDE">
        <w:rPr>
          <w:i/>
        </w:rPr>
        <w:t>T</w:t>
      </w:r>
      <w:r w:rsidRPr="00E21BDE">
        <w:rPr>
          <w:vertAlign w:val="subscript"/>
        </w:rPr>
        <w:t>1,e</w:t>
      </w:r>
      <w:r w:rsidRPr="00E21BDE">
        <w:rPr>
          <w:i/>
        </w:rPr>
        <w:t xml:space="preserve"> </w:t>
      </w:r>
      <w:r w:rsidRPr="00E21BDE">
        <w:t xml:space="preserve">and </w:t>
      </w:r>
      <w:r w:rsidRPr="00E21BDE">
        <w:rPr>
          <w:i/>
        </w:rPr>
        <w:t>T</w:t>
      </w:r>
      <w:r w:rsidRPr="00E21BDE">
        <w:rPr>
          <w:vertAlign w:val="subscript"/>
        </w:rPr>
        <w:t>eff,1</w:t>
      </w:r>
      <w:r w:rsidRPr="00E21BDE">
        <w:t xml:space="preserve"> should be replaced by the </w:t>
      </w:r>
      <w:r w:rsidRPr="00E21BDE">
        <w:rPr>
          <w:i/>
        </w:rPr>
        <w:t>m</w:t>
      </w:r>
      <w:r w:rsidRPr="00E21BDE">
        <w:t xml:space="preserve">-th mode period of the structure with energy-dissipation system in elastic conditions </w:t>
      </w:r>
      <w:r w:rsidRPr="00E21BDE">
        <w:rPr>
          <w:i/>
        </w:rPr>
        <w:t>T</w:t>
      </w:r>
      <w:r w:rsidRPr="00E21BDE">
        <w:rPr>
          <w:i/>
          <w:vertAlign w:val="subscript"/>
        </w:rPr>
        <w:t>m</w:t>
      </w:r>
      <w:r w:rsidRPr="00E21BDE">
        <w:t>;</w:t>
      </w:r>
    </w:p>
    <w:p w14:paraId="030B9DF5" w14:textId="77777777" w:rsidR="00EB63FC" w:rsidRPr="00E21BDE" w:rsidRDefault="00EB63FC" w:rsidP="0080187E">
      <w:pPr>
        <w:pStyle w:val="List2"/>
        <w:numPr>
          <w:ilvl w:val="0"/>
          <w:numId w:val="110"/>
        </w:numPr>
        <w:spacing w:before="0" w:after="240" w:line="230" w:lineRule="atLeast"/>
        <w:contextualSpacing w:val="0"/>
      </w:pPr>
      <w:r w:rsidRPr="00E21BDE">
        <w:rPr>
          <w:rFonts w:ascii="Symbol" w:eastAsia="Symbol" w:hAnsi="Symbol" w:cs="Symbol"/>
          <w:i/>
          <w:iCs/>
        </w:rPr>
        <w:t></w:t>
      </w:r>
      <w:r w:rsidRPr="00E21BDE">
        <w:rPr>
          <w:vertAlign w:val="subscript"/>
        </w:rPr>
        <w:t>i1</w:t>
      </w:r>
      <w:r w:rsidRPr="00E21BDE">
        <w:t xml:space="preserve"> should be replaced with the component </w:t>
      </w:r>
      <w:r w:rsidRPr="00E21BDE">
        <w:rPr>
          <w:rFonts w:ascii="Symbol" w:eastAsia="Symbol" w:hAnsi="Symbol" w:cs="Symbol"/>
          <w:i/>
          <w:sz w:val="24"/>
          <w:szCs w:val="24"/>
        </w:rPr>
        <w:t></w:t>
      </w:r>
      <w:r w:rsidRPr="00E21BDE">
        <w:rPr>
          <w:iCs/>
          <w:sz w:val="24"/>
          <w:szCs w:val="24"/>
          <w:vertAlign w:val="subscript"/>
        </w:rPr>
        <w:t>im</w:t>
      </w:r>
      <w:r w:rsidRPr="00E21BDE">
        <w:t xml:space="preserve"> of the </w:t>
      </w:r>
      <w:r w:rsidRPr="00E21BDE">
        <w:rPr>
          <w:i/>
        </w:rPr>
        <w:t>m</w:t>
      </w:r>
      <w:r w:rsidRPr="00E21BDE">
        <w:t>-th mode</w:t>
      </w:r>
      <w:r w:rsidRPr="00E21BDE">
        <w:rPr>
          <w:rFonts w:ascii="Symbol" w:eastAsia="Symbol" w:hAnsi="Symbol" w:cs="Symbol"/>
          <w:i/>
          <w:iCs/>
        </w:rPr>
        <w:t></w:t>
      </w:r>
      <w:r w:rsidRPr="00E21BDE">
        <w:rPr>
          <w:i/>
          <w:vertAlign w:val="subscript"/>
        </w:rPr>
        <w:t>m</w:t>
      </w:r>
      <w:r w:rsidRPr="00E21BDE">
        <w:t xml:space="preserve"> </w:t>
      </w:r>
      <w:r w:rsidRPr="00E21BDE">
        <w:rPr>
          <w:szCs w:val="18"/>
        </w:rPr>
        <w:t xml:space="preserve">at the </w:t>
      </w:r>
      <w:r w:rsidRPr="00E21BDE">
        <w:rPr>
          <w:i/>
          <w:szCs w:val="18"/>
        </w:rPr>
        <w:t>i</w:t>
      </w:r>
      <w:r w:rsidRPr="00E21BDE">
        <w:rPr>
          <w:szCs w:val="18"/>
        </w:rPr>
        <w:t xml:space="preserve">-th floor </w:t>
      </w:r>
      <w:r w:rsidRPr="00E21BDE">
        <w:t xml:space="preserve">of the structure with energy dissipation system in </w:t>
      </w:r>
      <w:r w:rsidRPr="00E21BDE">
        <w:rPr>
          <w:szCs w:val="18"/>
        </w:rPr>
        <w:t>the elastic range, in the direction under consideration</w:t>
      </w:r>
      <w:r w:rsidRPr="00E21BDE">
        <w:t xml:space="preserve">. </w:t>
      </w:r>
      <w:r w:rsidRPr="00E21BDE">
        <w:rPr>
          <w:rFonts w:ascii="Symbol" w:eastAsia="Symbol" w:hAnsi="Symbol" w:cs="Symbol"/>
          <w:i/>
          <w:iCs/>
        </w:rPr>
        <w:t></w:t>
      </w:r>
      <w:r w:rsidRPr="00E21BDE">
        <w:rPr>
          <w:i/>
          <w:vertAlign w:val="subscript"/>
        </w:rPr>
        <w:t>m</w:t>
      </w:r>
      <w:r w:rsidRPr="00E21BDE" w:rsidDel="000759ED">
        <w:t xml:space="preserve"> </w:t>
      </w:r>
      <w:r w:rsidRPr="00E21BDE">
        <w:t>should be normalized so that the value at roof level is unity;</w:t>
      </w:r>
    </w:p>
    <w:p w14:paraId="6FB7628B" w14:textId="77777777" w:rsidR="00EB63FC" w:rsidRPr="00E21BDE" w:rsidRDefault="00EB63FC" w:rsidP="0080187E">
      <w:pPr>
        <w:pStyle w:val="List2"/>
        <w:numPr>
          <w:ilvl w:val="0"/>
          <w:numId w:val="110"/>
        </w:numPr>
        <w:spacing w:before="0" w:after="240" w:line="230" w:lineRule="atLeast"/>
        <w:contextualSpacing w:val="0"/>
      </w:pPr>
      <w:r w:rsidRPr="00E21BDE">
        <w:rPr>
          <w:rFonts w:ascii="Symbol" w:eastAsia="Symbol" w:hAnsi="Symbol" w:cs="Symbol"/>
          <w:i/>
          <w:iCs/>
        </w:rPr>
        <w:t></w:t>
      </w:r>
      <w:r w:rsidRPr="00E21BDE">
        <w:rPr>
          <w:vertAlign w:val="subscript"/>
        </w:rPr>
        <w:t>eff1</w:t>
      </w:r>
      <w:r w:rsidRPr="00E21BDE">
        <w:rPr>
          <w:i/>
          <w:iCs/>
          <w:vertAlign w:val="subscript"/>
        </w:rPr>
        <w:t xml:space="preserve"> </w:t>
      </w:r>
      <w:r w:rsidRPr="00E21BDE">
        <w:t xml:space="preserve">should be replaced by the inherent damping ratio </w:t>
      </w:r>
      <w:r w:rsidRPr="00E21BDE">
        <w:rPr>
          <w:rFonts w:ascii="Symbol" w:eastAsia="Symbol" w:hAnsi="Symbol" w:cs="Symbol"/>
          <w:i/>
          <w:iCs/>
        </w:rPr>
        <w:t></w:t>
      </w:r>
      <w:r w:rsidRPr="00E21BDE">
        <w:rPr>
          <w:vertAlign w:val="subscript"/>
        </w:rPr>
        <w:t>I</w:t>
      </w:r>
      <w:r w:rsidRPr="00E21BDE">
        <w:t xml:space="preserve"> calculated according to Annex D, D3.2;</w:t>
      </w:r>
    </w:p>
    <w:p w14:paraId="694C6495" w14:textId="77777777" w:rsidR="00EB63FC" w:rsidRPr="00E21BDE" w:rsidRDefault="00EB63FC" w:rsidP="0080187E">
      <w:pPr>
        <w:pStyle w:val="List2"/>
        <w:numPr>
          <w:ilvl w:val="0"/>
          <w:numId w:val="110"/>
        </w:numPr>
        <w:spacing w:before="0" w:after="240" w:line="230" w:lineRule="atLeast"/>
        <w:contextualSpacing w:val="0"/>
      </w:pPr>
      <w:r w:rsidRPr="00E21BDE">
        <w:rPr>
          <w:rFonts w:ascii="Symbol" w:eastAsia="Symbol" w:hAnsi="Symbol" w:cs="Symbol"/>
          <w:i/>
        </w:rPr>
        <w:t></w:t>
      </w:r>
      <w:r w:rsidRPr="00E21BDE">
        <w:rPr>
          <w:vertAlign w:val="subscript"/>
        </w:rPr>
        <w:t>1</w:t>
      </w:r>
      <w:r w:rsidRPr="00E21BDE">
        <w:t xml:space="preserve"> should be replaced with the </w:t>
      </w:r>
      <w:r w:rsidRPr="00E21BDE">
        <w:rPr>
          <w:i/>
        </w:rPr>
        <w:t>m</w:t>
      </w:r>
      <w:r w:rsidRPr="00E21BDE">
        <w:t xml:space="preserve">-th mode participation factor </w:t>
      </w:r>
      <w:r w:rsidRPr="00E21BDE">
        <w:rPr>
          <w:rFonts w:ascii="Symbol" w:eastAsia="Symbol" w:hAnsi="Symbol" w:cs="Symbol"/>
          <w:i/>
        </w:rPr>
        <w:t></w:t>
      </w:r>
      <w:r w:rsidRPr="00E21BDE">
        <w:rPr>
          <w:i/>
          <w:vertAlign w:val="subscript"/>
        </w:rPr>
        <w:t>m</w:t>
      </w:r>
      <w:r w:rsidRPr="00E21BDE">
        <w:t xml:space="preserve"> of the structure with energy dissipation system in </w:t>
      </w:r>
      <w:r w:rsidRPr="00E21BDE">
        <w:rPr>
          <w:szCs w:val="18"/>
        </w:rPr>
        <w:t>the elastic range, in the direction under consideration</w:t>
      </w:r>
      <w:r w:rsidRPr="00E21BDE">
        <w:t>;</w:t>
      </w:r>
    </w:p>
    <w:p w14:paraId="32BBA33D" w14:textId="77777777" w:rsidR="00EB63FC" w:rsidRPr="00E21BDE" w:rsidRDefault="00EB63FC" w:rsidP="0080187E">
      <w:pPr>
        <w:pStyle w:val="List2"/>
        <w:numPr>
          <w:ilvl w:val="0"/>
          <w:numId w:val="110"/>
        </w:numPr>
        <w:spacing w:before="0" w:after="240" w:line="230" w:lineRule="atLeast"/>
        <w:contextualSpacing w:val="0"/>
      </w:pPr>
      <w:r w:rsidRPr="00E21BDE">
        <w:rPr>
          <w:i/>
        </w:rPr>
        <w:t>q</w:t>
      </w:r>
      <w:r w:rsidRPr="00E21BDE">
        <w:rPr>
          <w:vertAlign w:val="subscript"/>
        </w:rPr>
        <w:t>R</w:t>
      </w:r>
      <w:r w:rsidRPr="00E21BDE">
        <w:rPr>
          <w:i/>
          <w:vertAlign w:val="subscript"/>
        </w:rPr>
        <w:t> </w:t>
      </w:r>
      <w:r w:rsidRPr="00E21BDE">
        <w:rPr>
          <w:i/>
        </w:rPr>
        <w:t>q</w:t>
      </w:r>
      <w:r w:rsidRPr="00E21BDE">
        <w:rPr>
          <w:vertAlign w:val="subscript"/>
        </w:rPr>
        <w:t>S</w:t>
      </w:r>
      <w:r w:rsidRPr="00E21BDE">
        <w:rPr>
          <w:i/>
        </w:rPr>
        <w:t xml:space="preserve"> </w:t>
      </w:r>
      <w:r w:rsidRPr="00E21BDE">
        <w:t>should be taken equal to 1.</w:t>
      </w:r>
    </w:p>
    <w:p w14:paraId="63721F58" w14:textId="1A6ADF68" w:rsidR="00EB63FC" w:rsidRPr="00E05E29" w:rsidRDefault="00EB63FC" w:rsidP="006C09AB">
      <w:pPr>
        <w:pStyle w:val="Notetext"/>
      </w:pPr>
      <w:r w:rsidRPr="00E05E29">
        <w:t>NOTE</w:t>
      </w:r>
      <w:r w:rsidRPr="00E05E29">
        <w:tab/>
        <w:t>With the modifications a) to f), Formula</w:t>
      </w:r>
      <w:r w:rsidR="006C6A44">
        <w:t>e</w:t>
      </w:r>
      <w:r w:rsidRPr="00E05E29">
        <w:t xml:space="preserve"> (9.2) and (9.3) give always the same value, i.e. </w:t>
      </w:r>
      <w:r w:rsidRPr="00E05E29">
        <w:rPr>
          <w:i/>
        </w:rPr>
        <w:t>d</w:t>
      </w:r>
      <w:r w:rsidRPr="00E05E29">
        <w:rPr>
          <w:vertAlign w:val="subscript"/>
        </w:rPr>
        <w:t>roof1e</w:t>
      </w:r>
      <w:r w:rsidRPr="00E05E29">
        <w:rPr>
          <w:i/>
          <w:vertAlign w:val="subscript"/>
        </w:rPr>
        <w:t> </w:t>
      </w:r>
      <w:r w:rsidRPr="00E05E29">
        <w:t>= </w:t>
      </w:r>
      <w:r w:rsidRPr="00E05E29">
        <w:rPr>
          <w:i/>
        </w:rPr>
        <w:t>d</w:t>
      </w:r>
      <w:r w:rsidRPr="00E05E29">
        <w:rPr>
          <w:vertAlign w:val="subscript"/>
        </w:rPr>
        <w:t>roof1</w:t>
      </w:r>
      <w:r w:rsidRPr="00E05E29">
        <w:t>.</w:t>
      </w:r>
    </w:p>
    <w:p w14:paraId="2C29580C" w14:textId="77777777" w:rsidR="00EB63FC" w:rsidRPr="00E05E29" w:rsidRDefault="00EB63FC" w:rsidP="00EB63FC">
      <w:pPr>
        <w:pStyle w:val="Heading4"/>
      </w:pPr>
      <w:bookmarkStart w:id="1197" w:name="_Toc108342314"/>
      <w:r w:rsidRPr="00E05E29">
        <w:t>Combination of modal responses</w:t>
      </w:r>
      <w:bookmarkEnd w:id="1197"/>
    </w:p>
    <w:p w14:paraId="49239F79" w14:textId="592825EC" w:rsidR="00EB63FC" w:rsidRPr="00F51FD4" w:rsidRDefault="00EB63FC" w:rsidP="0080187E">
      <w:pPr>
        <w:pStyle w:val="Clause"/>
        <w:numPr>
          <w:ilvl w:val="0"/>
          <w:numId w:val="295"/>
        </w:numPr>
      </w:pPr>
      <w:r w:rsidRPr="00F51FD4">
        <w:t xml:space="preserve">The design value of action effects in the </w:t>
      </w:r>
      <w:r w:rsidRPr="00E21BDE">
        <w:t>primary seismic members of the main structural system should be calculated by combining, in accordance with prEN</w:t>
      </w:r>
      <w:r w:rsidR="00E21BDE" w:rsidRPr="00E21BDE">
        <w:t> </w:t>
      </w:r>
      <w:r w:rsidRPr="00E21BDE">
        <w:t xml:space="preserve">1998-1-1:2022, 6.4.3.2, the action effects obtained for each mode by applying to the structural model with the energy dissipation system the design lateral forces </w:t>
      </w:r>
      <w:r w:rsidRPr="00E21BDE">
        <w:rPr>
          <w:i/>
        </w:rPr>
        <w:t>F</w:t>
      </w:r>
      <w:r w:rsidRPr="00E21BDE">
        <w:rPr>
          <w:iCs/>
          <w:vertAlign w:val="subscript"/>
        </w:rPr>
        <w:t>i</w:t>
      </w:r>
      <w:r w:rsidRPr="00E21BDE">
        <w:rPr>
          <w:vertAlign w:val="subscript"/>
        </w:rPr>
        <w:t>1</w:t>
      </w:r>
      <w:r w:rsidRPr="00E21BDE">
        <w:t xml:space="preserve"> given by Formula (9.27) for the first mode, and those in accordance with 9.3.3.3 for</w:t>
      </w:r>
      <w:r w:rsidRPr="00F51FD4">
        <w:t xml:space="preserve"> the higher ones.</w:t>
      </w:r>
    </w:p>
    <w:p w14:paraId="76A9B9FF" w14:textId="669ABF03" w:rsidR="00EB63FC" w:rsidRPr="00E21BDE" w:rsidRDefault="00EB63FC" w:rsidP="0080187E">
      <w:pPr>
        <w:pStyle w:val="Clause"/>
        <w:numPr>
          <w:ilvl w:val="0"/>
          <w:numId w:val="295"/>
        </w:numPr>
      </w:pPr>
      <w:r w:rsidRPr="00644C3D">
        <w:t xml:space="preserve">The design displacement in a displacement-dependent energy dissipation device should be based on </w:t>
      </w:r>
      <w:r w:rsidRPr="00196951">
        <w:t xml:space="preserve">the maximum displacement obtained by combining, in accordance </w:t>
      </w:r>
      <w:r w:rsidRPr="00E21BDE">
        <w:t>with prEN</w:t>
      </w:r>
      <w:r w:rsidR="00E21BDE" w:rsidRPr="00E21BDE">
        <w:t> </w:t>
      </w:r>
      <w:r w:rsidRPr="00E21BDE">
        <w:t>1998-1-1:2022, 6.4.3.2, the relative displacement between the two ends of the device along its axis calculated for the first mode on the basis of Formula (9.25) and the relative displacement due to the higher modes in accordance with 9.3.3.3.</w:t>
      </w:r>
    </w:p>
    <w:p w14:paraId="6851720E" w14:textId="3D61CEFD" w:rsidR="00EB63FC" w:rsidRPr="00E21BDE" w:rsidRDefault="00EB63FC" w:rsidP="0080187E">
      <w:pPr>
        <w:pStyle w:val="Clause"/>
        <w:numPr>
          <w:ilvl w:val="0"/>
          <w:numId w:val="295"/>
        </w:numPr>
      </w:pPr>
      <w:r w:rsidRPr="00E21BDE">
        <w:t>Design values of action effects in the energy dissipation system, except of elements common with the main structural system and of the energy dissipation devices, should be calculated combining in accordance with prEN</w:t>
      </w:r>
      <w:r w:rsidR="00E21BDE" w:rsidRPr="00E21BDE">
        <w:t> </w:t>
      </w:r>
      <w:r w:rsidRPr="00E21BDE">
        <w:t xml:space="preserve">1998-1-1:2022, 6.4.3.2, the action effects obtained for each mode by applying to the structural model with the energy dissipation system the design seismic forces </w:t>
      </w:r>
      <w:r w:rsidRPr="00E21BDE">
        <w:rPr>
          <w:i/>
        </w:rPr>
        <w:t>F</w:t>
      </w:r>
      <w:r w:rsidRPr="00E21BDE">
        <w:rPr>
          <w:iCs/>
          <w:vertAlign w:val="subscript"/>
        </w:rPr>
        <w:t>i1</w:t>
      </w:r>
      <w:r w:rsidRPr="00E21BDE">
        <w:t xml:space="preserve"> given by Formula (9.27) multiplied by {</w:t>
      </w:r>
      <w:r w:rsidRPr="00E21BDE">
        <w:rPr>
          <w:i/>
        </w:rPr>
        <w:t>q</w:t>
      </w:r>
      <w:r w:rsidRPr="00E21BDE">
        <w:rPr>
          <w:vertAlign w:val="subscript"/>
        </w:rPr>
        <w:t>R</w:t>
      </w:r>
      <w:r w:rsidRPr="00E21BDE">
        <w:rPr>
          <w:i/>
        </w:rPr>
        <w:t>q</w:t>
      </w:r>
      <w:r w:rsidRPr="00E21BDE">
        <w:rPr>
          <w:vertAlign w:val="subscript"/>
        </w:rPr>
        <w:t>S</w:t>
      </w:r>
      <w:r w:rsidRPr="00E21BDE">
        <w:t>[1+(</w:t>
      </w:r>
      <w:r w:rsidRPr="00E21BDE">
        <w:rPr>
          <w:i/>
        </w:rPr>
        <w:t>V</w:t>
      </w:r>
      <w:r w:rsidRPr="00E21BDE">
        <w:rPr>
          <w:vertAlign w:val="subscript"/>
        </w:rPr>
        <w:t>dy,1</w:t>
      </w:r>
      <w:r w:rsidRPr="00E21BDE">
        <w:t>/</w:t>
      </w:r>
      <w:r w:rsidRPr="00E21BDE">
        <w:rPr>
          <w:i/>
        </w:rPr>
        <w:t>V</w:t>
      </w:r>
      <w:r w:rsidRPr="00E21BDE">
        <w:rPr>
          <w:vertAlign w:val="subscript"/>
        </w:rPr>
        <w:t>py,1</w:t>
      </w:r>
      <w:r w:rsidRPr="00E21BDE">
        <w:t>)]/[1+</w:t>
      </w:r>
      <w:r w:rsidRPr="00E21BDE">
        <w:rPr>
          <w:i/>
        </w:rPr>
        <w:t>q</w:t>
      </w:r>
      <w:r w:rsidRPr="00E21BDE">
        <w:rPr>
          <w:vertAlign w:val="subscript"/>
        </w:rPr>
        <w:t>R</w:t>
      </w:r>
      <w:r w:rsidRPr="00E21BDE">
        <w:rPr>
          <w:i/>
        </w:rPr>
        <w:t>q</w:t>
      </w:r>
      <w:r w:rsidRPr="00E21BDE">
        <w:rPr>
          <w:vertAlign w:val="subscript"/>
        </w:rPr>
        <w:t>S</w:t>
      </w:r>
      <w:r w:rsidRPr="00E21BDE">
        <w:t>(</w:t>
      </w:r>
      <w:r w:rsidRPr="00E21BDE">
        <w:rPr>
          <w:i/>
        </w:rPr>
        <w:t>V</w:t>
      </w:r>
      <w:r w:rsidRPr="00E21BDE">
        <w:rPr>
          <w:vertAlign w:val="subscript"/>
        </w:rPr>
        <w:t>dy,1</w:t>
      </w:r>
      <w:r w:rsidRPr="00E21BDE">
        <w:t>/</w:t>
      </w:r>
      <w:r w:rsidRPr="00E21BDE">
        <w:rPr>
          <w:i/>
        </w:rPr>
        <w:t>V</w:t>
      </w:r>
      <w:r w:rsidRPr="00E21BDE">
        <w:rPr>
          <w:vertAlign w:val="subscript"/>
        </w:rPr>
        <w:t>py,1</w:t>
      </w:r>
      <w:r w:rsidRPr="00E21BDE">
        <w:t>)]} for the first mode, and those from 9.3.3.3 for the higher ones.</w:t>
      </w:r>
    </w:p>
    <w:p w14:paraId="17917E32" w14:textId="1CBDFFD3" w:rsidR="00EB63FC" w:rsidRPr="00E21BDE" w:rsidRDefault="00EB63FC" w:rsidP="0080187E">
      <w:pPr>
        <w:pStyle w:val="Clause"/>
        <w:numPr>
          <w:ilvl w:val="0"/>
          <w:numId w:val="295"/>
        </w:numPr>
      </w:pPr>
      <w:r w:rsidRPr="00E21BDE">
        <w:t>prEN</w:t>
      </w:r>
      <w:r w:rsidR="00E21BDE" w:rsidRPr="00E21BDE">
        <w:t> </w:t>
      </w:r>
      <w:r w:rsidRPr="00E21BDE">
        <w:t>1998-1-1:2022, 6.4.3.1(2) to (4), should be applied.</w:t>
      </w:r>
    </w:p>
    <w:p w14:paraId="43A30859" w14:textId="5F0374D3" w:rsidR="00EB63FC" w:rsidRPr="000D2CFA" w:rsidRDefault="00EB63FC" w:rsidP="006C09AB">
      <w:pPr>
        <w:pStyle w:val="Notetext"/>
        <w:rPr>
          <w:color w:val="000000"/>
        </w:rPr>
      </w:pPr>
      <w:r w:rsidRPr="00E21BDE">
        <w:t>NOTE</w:t>
      </w:r>
      <w:r w:rsidRPr="00E21BDE">
        <w:tab/>
        <w:t xml:space="preserve">The energy dissipation system includes: (i) elements that can be common with the main structural system; </w:t>
      </w:r>
      <w:r w:rsidR="006C09AB" w:rsidRPr="00E21BDE">
        <w:t>their</w:t>
      </w:r>
      <w:r w:rsidRPr="00E21BDE">
        <w:t xml:space="preserve"> calculation is made in accordance with 9.4.3.4(1) (see also 9.5(1))</w:t>
      </w:r>
      <w:r w:rsidR="00E21BDE" w:rsidRPr="00E21BDE">
        <w:t>;</w:t>
      </w:r>
      <w:r w:rsidRPr="00E21BDE">
        <w:t xml:space="preserve"> (ii) the energy dissipation devices; their calculation is made in accordance with 9.3.3.4(2)</w:t>
      </w:r>
      <w:r w:rsidR="00E21BDE" w:rsidRPr="00E21BDE">
        <w:t>;</w:t>
      </w:r>
      <w:r w:rsidRPr="00E21BDE">
        <w:t xml:space="preserve"> (iii) elements required to transfer the</w:t>
      </w:r>
      <w:r w:rsidRPr="00E21BDE">
        <w:rPr>
          <w:color w:val="000000"/>
        </w:rPr>
        <w:t xml:space="preserve"> forces from the energy dissipation devices to the main structural system and to the base of the structure</w:t>
      </w:r>
      <w:r w:rsidRPr="00E21BDE">
        <w:t xml:space="preserve">; their calculation </w:t>
      </w:r>
      <w:r w:rsidRPr="00E21BDE">
        <w:rPr>
          <w:color w:val="000000"/>
        </w:rPr>
        <w:t>is made in accordance with 9.3.3.4(3). The magnific</w:t>
      </w:r>
      <w:r w:rsidRPr="00132C1E">
        <w:rPr>
          <w:color w:val="000000"/>
        </w:rPr>
        <w:t xml:space="preserve">ation factor </w:t>
      </w:r>
      <w:r w:rsidRPr="00132C1E">
        <w:t>{</w:t>
      </w:r>
      <w:r w:rsidRPr="00132C1E">
        <w:rPr>
          <w:i/>
        </w:rPr>
        <w:t>q</w:t>
      </w:r>
      <w:r w:rsidRPr="00132C1E">
        <w:rPr>
          <w:vertAlign w:val="subscript"/>
        </w:rPr>
        <w:t>R</w:t>
      </w:r>
      <w:r w:rsidRPr="00132C1E">
        <w:rPr>
          <w:i/>
        </w:rPr>
        <w:t>q</w:t>
      </w:r>
      <w:r w:rsidRPr="00132C1E">
        <w:rPr>
          <w:vertAlign w:val="subscript"/>
        </w:rPr>
        <w:t>S</w:t>
      </w:r>
      <w:r w:rsidRPr="00132C1E">
        <w:t>[1+(</w:t>
      </w:r>
      <w:r w:rsidRPr="00132C1E">
        <w:rPr>
          <w:i/>
        </w:rPr>
        <w:t>V</w:t>
      </w:r>
      <w:r w:rsidRPr="00132C1E">
        <w:rPr>
          <w:vertAlign w:val="subscript"/>
        </w:rPr>
        <w:t>dy,1</w:t>
      </w:r>
      <w:r w:rsidRPr="00132C1E">
        <w:t>/</w:t>
      </w:r>
      <w:r w:rsidRPr="00132C1E">
        <w:rPr>
          <w:i/>
        </w:rPr>
        <w:t>V</w:t>
      </w:r>
      <w:r w:rsidRPr="00132C1E">
        <w:rPr>
          <w:vertAlign w:val="subscript"/>
        </w:rPr>
        <w:t>py,1</w:t>
      </w:r>
      <w:r w:rsidRPr="00132C1E">
        <w:t>)]/[1+</w:t>
      </w:r>
      <w:r w:rsidRPr="00132C1E">
        <w:rPr>
          <w:i/>
        </w:rPr>
        <w:t>q</w:t>
      </w:r>
      <w:r w:rsidRPr="00132C1E">
        <w:rPr>
          <w:vertAlign w:val="subscript"/>
        </w:rPr>
        <w:t>R</w:t>
      </w:r>
      <w:r w:rsidRPr="00132C1E">
        <w:rPr>
          <w:i/>
        </w:rPr>
        <w:t>q</w:t>
      </w:r>
      <w:r w:rsidRPr="00132C1E">
        <w:rPr>
          <w:vertAlign w:val="subscript"/>
        </w:rPr>
        <w:t>S</w:t>
      </w:r>
      <w:r w:rsidRPr="00132C1E">
        <w:t>(</w:t>
      </w:r>
      <w:r w:rsidRPr="00132C1E">
        <w:rPr>
          <w:i/>
        </w:rPr>
        <w:t>V</w:t>
      </w:r>
      <w:r w:rsidRPr="00132C1E">
        <w:rPr>
          <w:vertAlign w:val="subscript"/>
        </w:rPr>
        <w:t>dy,1</w:t>
      </w:r>
      <w:r w:rsidRPr="00132C1E">
        <w:t>/</w:t>
      </w:r>
      <w:r w:rsidRPr="00132C1E">
        <w:rPr>
          <w:i/>
        </w:rPr>
        <w:t>V</w:t>
      </w:r>
      <w:r w:rsidRPr="00132C1E">
        <w:rPr>
          <w:vertAlign w:val="subscript"/>
        </w:rPr>
        <w:t>py,1</w:t>
      </w:r>
      <w:r w:rsidRPr="00132C1E">
        <w:t>)]}</w:t>
      </w:r>
      <w:r w:rsidRPr="00132C1E">
        <w:rPr>
          <w:color w:val="000000"/>
        </w:rPr>
        <w:t xml:space="preserve">applied in the calculation of the latter removes reductions of the design value of the action effects due to overstrength. </w:t>
      </w:r>
    </w:p>
    <w:p w14:paraId="60842369" w14:textId="77777777" w:rsidR="00EB63FC" w:rsidRPr="00132C1E" w:rsidRDefault="00EB63FC" w:rsidP="00EB63FC">
      <w:pPr>
        <w:pStyle w:val="Heading4"/>
      </w:pPr>
      <w:bookmarkStart w:id="1198" w:name="_Toc108342315"/>
      <w:r w:rsidRPr="00132C1E">
        <w:t>Torsional effects</w:t>
      </w:r>
      <w:bookmarkEnd w:id="1198"/>
    </w:p>
    <w:p w14:paraId="484F4E42" w14:textId="345BAD2C" w:rsidR="00EB63FC" w:rsidRPr="00132C1E" w:rsidRDefault="00EB63FC" w:rsidP="0080187E">
      <w:pPr>
        <w:pStyle w:val="Clause"/>
        <w:numPr>
          <w:ilvl w:val="0"/>
          <w:numId w:val="296"/>
        </w:numPr>
      </w:pPr>
      <w:r w:rsidRPr="00132C1E">
        <w:t xml:space="preserve">Torsional effects should be considered in accordance with </w:t>
      </w:r>
      <w:r w:rsidRPr="00E21BDE">
        <w:rPr>
          <w:bCs/>
        </w:rPr>
        <w:t>5.2(3) setting the horizontal force acting on the considered storey in a given direction equal to the design lateral forces given by Formula (9.27) for the first mode, or to the design lateral forces calculated in accordance with 9.3.3.3</w:t>
      </w:r>
      <w:r w:rsidRPr="00132C1E">
        <w:t xml:space="preserve"> for the higher modes.</w:t>
      </w:r>
    </w:p>
    <w:p w14:paraId="257A0F06" w14:textId="64ADE661" w:rsidR="00EB63FC" w:rsidRPr="00132C1E" w:rsidRDefault="00EB63FC" w:rsidP="00EB63FC">
      <w:pPr>
        <w:pStyle w:val="Heading3"/>
      </w:pPr>
      <w:bookmarkStart w:id="1199" w:name="_Toc16927698"/>
      <w:bookmarkStart w:id="1200" w:name="_Toc50150347"/>
      <w:bookmarkStart w:id="1201" w:name="_Toc70886778"/>
      <w:bookmarkStart w:id="1202" w:name="_Toc108342316"/>
      <w:bookmarkStart w:id="1203" w:name="_Toc134197867"/>
      <w:r w:rsidRPr="00132C1E">
        <w:lastRenderedPageBreak/>
        <w:t>Non-linear response history analysis</w:t>
      </w:r>
      <w:bookmarkEnd w:id="1199"/>
      <w:bookmarkEnd w:id="1200"/>
      <w:bookmarkEnd w:id="1201"/>
      <w:bookmarkEnd w:id="1202"/>
      <w:bookmarkEnd w:id="1203"/>
    </w:p>
    <w:p w14:paraId="569F12E0" w14:textId="4A84D080" w:rsidR="00EB63FC" w:rsidRPr="00132C1E" w:rsidRDefault="00EB63FC" w:rsidP="0080187E">
      <w:pPr>
        <w:pStyle w:val="Clause"/>
        <w:numPr>
          <w:ilvl w:val="0"/>
          <w:numId w:val="297"/>
        </w:numPr>
      </w:pPr>
      <w:r>
        <w:t>prEN</w:t>
      </w:r>
      <w:r w:rsidR="00E21BDE">
        <w:t> </w:t>
      </w:r>
      <w:r w:rsidRPr="00E21BDE">
        <w:t>1998-1-1:2022, 6.6 and 6.8.5.5, should</w:t>
      </w:r>
      <w:r w:rsidRPr="00132C1E">
        <w:t xml:space="preserve"> be applied.</w:t>
      </w:r>
    </w:p>
    <w:p w14:paraId="2FA3EFF8" w14:textId="5177A4CA" w:rsidR="00EB63FC" w:rsidRPr="00132C1E" w:rsidRDefault="00EB63FC" w:rsidP="00EB63FC">
      <w:pPr>
        <w:pStyle w:val="Heading3"/>
      </w:pPr>
      <w:bookmarkStart w:id="1204" w:name="_Toc16927699"/>
      <w:bookmarkStart w:id="1205" w:name="_Toc50150348"/>
      <w:bookmarkStart w:id="1206" w:name="_Toc70886779"/>
      <w:bookmarkStart w:id="1207" w:name="_Toc108342317"/>
      <w:bookmarkStart w:id="1208" w:name="_Toc134197868"/>
      <w:r w:rsidRPr="00132C1E">
        <w:t>Combination of the effects of the components of seismic action</w:t>
      </w:r>
      <w:bookmarkEnd w:id="1204"/>
      <w:bookmarkEnd w:id="1205"/>
      <w:bookmarkEnd w:id="1206"/>
      <w:bookmarkEnd w:id="1207"/>
      <w:bookmarkEnd w:id="1208"/>
    </w:p>
    <w:p w14:paraId="3F39D9B5" w14:textId="76BB73AA" w:rsidR="00EB63FC" w:rsidRPr="00132C1E" w:rsidRDefault="00EB63FC" w:rsidP="0080187E">
      <w:pPr>
        <w:pStyle w:val="Clause"/>
        <w:numPr>
          <w:ilvl w:val="0"/>
          <w:numId w:val="298"/>
        </w:numPr>
      </w:pPr>
      <w:r>
        <w:t>prEN</w:t>
      </w:r>
      <w:r w:rsidR="00E21BDE">
        <w:t> </w:t>
      </w:r>
      <w:r>
        <w:t>1998-1-1:2022</w:t>
      </w:r>
      <w:r w:rsidRPr="00E21BDE">
        <w:t>, 6.4.4, should</w:t>
      </w:r>
      <w:r w:rsidRPr="00132C1E">
        <w:t xml:space="preserve"> be applied.</w:t>
      </w:r>
    </w:p>
    <w:p w14:paraId="2961BBB6" w14:textId="67132123" w:rsidR="00EB63FC" w:rsidRPr="00132C1E" w:rsidRDefault="00EB63FC" w:rsidP="00EB63FC">
      <w:pPr>
        <w:pStyle w:val="Heading2"/>
      </w:pPr>
      <w:bookmarkStart w:id="1209" w:name="_Toc16927700"/>
      <w:bookmarkStart w:id="1210" w:name="_Toc50150349"/>
      <w:bookmarkStart w:id="1211" w:name="_Toc70886780"/>
      <w:bookmarkStart w:id="1212" w:name="_Toc108342318"/>
      <w:bookmarkStart w:id="1213" w:name="_Toc134197869"/>
      <w:r w:rsidRPr="00132C1E">
        <w:t>Verification to Limit States</w:t>
      </w:r>
      <w:bookmarkEnd w:id="1209"/>
      <w:bookmarkEnd w:id="1210"/>
      <w:bookmarkEnd w:id="1211"/>
      <w:bookmarkEnd w:id="1212"/>
      <w:bookmarkEnd w:id="1213"/>
    </w:p>
    <w:p w14:paraId="256B0F7C" w14:textId="77777777" w:rsidR="00EB63FC" w:rsidRPr="00132C1E" w:rsidRDefault="00EB63FC" w:rsidP="00EB63FC">
      <w:pPr>
        <w:pStyle w:val="Heading3"/>
      </w:pPr>
      <w:bookmarkStart w:id="1214" w:name="_Toc16927701"/>
      <w:bookmarkStart w:id="1215" w:name="_Toc50150350"/>
      <w:bookmarkStart w:id="1216" w:name="_Toc70886781"/>
      <w:bookmarkStart w:id="1217" w:name="_Toc108342319"/>
      <w:bookmarkStart w:id="1218" w:name="_Toc134197870"/>
      <w:r w:rsidRPr="00132C1E">
        <w:t>General</w:t>
      </w:r>
      <w:bookmarkEnd w:id="1214"/>
      <w:bookmarkEnd w:id="1215"/>
      <w:bookmarkEnd w:id="1216"/>
      <w:bookmarkEnd w:id="1217"/>
      <w:bookmarkEnd w:id="1218"/>
    </w:p>
    <w:p w14:paraId="173DBDC6" w14:textId="77777777" w:rsidR="00EB63FC" w:rsidRPr="00132C1E" w:rsidRDefault="00EB63FC" w:rsidP="0080187E">
      <w:pPr>
        <w:pStyle w:val="Clause"/>
        <w:numPr>
          <w:ilvl w:val="0"/>
          <w:numId w:val="299"/>
        </w:numPr>
      </w:pPr>
      <w:r w:rsidRPr="00132C1E">
        <w:t>Structural members that are common to the main structural system and to the energy dissipation system should be considered as part of the main structural system in the verifications.</w:t>
      </w:r>
    </w:p>
    <w:p w14:paraId="36A61179" w14:textId="66496F8B" w:rsidR="00EB63FC" w:rsidRPr="00132C1E" w:rsidRDefault="00EB63FC" w:rsidP="00EB63FC">
      <w:pPr>
        <w:pStyle w:val="Heading3"/>
      </w:pPr>
      <w:bookmarkStart w:id="1219" w:name="_Toc50150351"/>
      <w:bookmarkStart w:id="1220" w:name="_Toc70886782"/>
      <w:bookmarkStart w:id="1221" w:name="_Toc108342320"/>
      <w:bookmarkStart w:id="1222" w:name="_Toc134197871"/>
      <w:bookmarkStart w:id="1223" w:name="_Toc16927702"/>
      <w:r w:rsidRPr="00132C1E">
        <w:t>Verification to Significant Damage (SD) limit state</w:t>
      </w:r>
      <w:bookmarkEnd w:id="1219"/>
      <w:bookmarkEnd w:id="1220"/>
      <w:bookmarkEnd w:id="1221"/>
      <w:bookmarkEnd w:id="1222"/>
      <w:r w:rsidRPr="00132C1E">
        <w:t xml:space="preserve"> </w:t>
      </w:r>
      <w:bookmarkEnd w:id="1223"/>
    </w:p>
    <w:p w14:paraId="1BF91FCF" w14:textId="77777777" w:rsidR="00EB63FC" w:rsidRPr="00E21BDE" w:rsidRDefault="00EB63FC" w:rsidP="0080187E">
      <w:pPr>
        <w:pStyle w:val="Clause"/>
        <w:numPr>
          <w:ilvl w:val="0"/>
          <w:numId w:val="300"/>
        </w:numPr>
      </w:pPr>
      <w:r>
        <w:t>V</w:t>
      </w:r>
      <w:r w:rsidRPr="00132C1E">
        <w:t xml:space="preserve">erifications regarding equilibrium and resistance of the primary seismic members of the main structural system as well as seismic joints should comply </w:t>
      </w:r>
      <w:r w:rsidRPr="00E21BDE">
        <w:t>with 6.2.2 to 6.2.8.</w:t>
      </w:r>
    </w:p>
    <w:p w14:paraId="3F45FB4D" w14:textId="143F3CD8" w:rsidR="00EB63FC" w:rsidRPr="00E21BDE" w:rsidRDefault="00EB63FC" w:rsidP="0080187E">
      <w:pPr>
        <w:pStyle w:val="Clause"/>
        <w:numPr>
          <w:ilvl w:val="0"/>
          <w:numId w:val="300"/>
        </w:numPr>
      </w:pPr>
      <w:r w:rsidRPr="00E21BDE">
        <w:t>The primary seismic members of the main structural system should be verified according to prEN</w:t>
      </w:r>
      <w:r w:rsidR="00E21BDE">
        <w:t> </w:t>
      </w:r>
      <w:r w:rsidRPr="00E21BDE">
        <w:t>1998-1-1:2022, 6.7.2. In case of structures with velocity-dependent energy dissipation devices, the verification should be performed at the stages of maximum displacement, maximum velocity and maximum acceleration, using the effects of the design seismic actions calculated according to 9.3.2.4. In case of structures with displacement-dependent energy dissipation devices the verification should be performed at the stage of maximum displacement using the design seismic actions calculated according to 9.3.3.4.</w:t>
      </w:r>
    </w:p>
    <w:p w14:paraId="7AC68E2A" w14:textId="1535D3D1" w:rsidR="00EB63FC" w:rsidRPr="00132C1E" w:rsidRDefault="00EB63FC" w:rsidP="0080187E">
      <w:pPr>
        <w:pStyle w:val="Clause"/>
        <w:numPr>
          <w:ilvl w:val="0"/>
          <w:numId w:val="300"/>
        </w:numPr>
      </w:pPr>
      <w:r w:rsidRPr="00E21BDE">
        <w:t>All components of the energy dissipation system should be verified according to prEN</w:t>
      </w:r>
      <w:r w:rsidR="00E21BDE">
        <w:t> </w:t>
      </w:r>
      <w:r w:rsidRPr="00E21BDE">
        <w:t>1998</w:t>
      </w:r>
      <w:r w:rsidR="005447C2">
        <w:noBreakHyphen/>
      </w:r>
      <w:r w:rsidRPr="00E21BDE">
        <w:t>1</w:t>
      </w:r>
      <w:r w:rsidR="006C6A44">
        <w:noBreakHyphen/>
      </w:r>
      <w:r w:rsidRPr="00E21BDE">
        <w:t>1:2022, 6.7.2(1), taking into account 6.9.1(3), (4), (5), and 9.2.3(4). Verification</w:t>
      </w:r>
      <w:r w:rsidRPr="00132C1E">
        <w:t xml:space="preserve"> should be made in terms of forces in velocity-dependent energy dissipation devices, of displacements in displacement-dependent ones and of forces in the other components of the energy dissipation system.</w:t>
      </w:r>
    </w:p>
    <w:p w14:paraId="2E48CF41" w14:textId="5FC55530" w:rsidR="00EB63FC" w:rsidRPr="00132C1E" w:rsidRDefault="00EB63FC" w:rsidP="00EB63FC">
      <w:pPr>
        <w:pStyle w:val="Heading3"/>
      </w:pPr>
      <w:bookmarkStart w:id="1224" w:name="_Toc16927703"/>
      <w:bookmarkStart w:id="1225" w:name="_Toc50150352"/>
      <w:bookmarkStart w:id="1226" w:name="_Toc70886783"/>
      <w:bookmarkStart w:id="1227" w:name="_Toc108342321"/>
      <w:bookmarkStart w:id="1228" w:name="_Toc134197872"/>
      <w:r w:rsidRPr="00132C1E">
        <w:t>Verification to Near Collapse (NC) limit state</w:t>
      </w:r>
      <w:bookmarkEnd w:id="1224"/>
      <w:bookmarkEnd w:id="1225"/>
      <w:bookmarkEnd w:id="1226"/>
      <w:bookmarkEnd w:id="1227"/>
      <w:bookmarkEnd w:id="1228"/>
    </w:p>
    <w:p w14:paraId="3A43BCF7" w14:textId="77777777" w:rsidR="00EB63FC" w:rsidRPr="00E21BDE" w:rsidRDefault="00EB63FC" w:rsidP="0080187E">
      <w:pPr>
        <w:pStyle w:val="Clause"/>
        <w:numPr>
          <w:ilvl w:val="0"/>
          <w:numId w:val="301"/>
        </w:numPr>
        <w:rPr>
          <w:bCs/>
        </w:rPr>
      </w:pPr>
      <w:r w:rsidRPr="00E21BDE">
        <w:rPr>
          <w:bCs/>
        </w:rPr>
        <w:t>6.3.1 should be applied to the primary seismic members of the main structural system.</w:t>
      </w:r>
    </w:p>
    <w:p w14:paraId="53B52D17" w14:textId="77777777" w:rsidR="00EB63FC" w:rsidRPr="00E21BDE" w:rsidRDefault="00EB63FC" w:rsidP="0080187E">
      <w:pPr>
        <w:pStyle w:val="Clause"/>
        <w:numPr>
          <w:ilvl w:val="0"/>
          <w:numId w:val="301"/>
        </w:numPr>
        <w:rPr>
          <w:bCs/>
        </w:rPr>
      </w:pPr>
      <w:r w:rsidRPr="00E21BDE">
        <w:rPr>
          <w:bCs/>
        </w:rPr>
        <w:t xml:space="preserve">It should be verified that, under the specified seismic action, the amount of energy that can be dissipated by the energy dissipation devices of each storey </w:t>
      </w:r>
      <w:r w:rsidRPr="00E21BDE">
        <w:rPr>
          <w:bCs/>
          <w:i/>
        </w:rPr>
        <w:t>k</w:t>
      </w:r>
      <w:r w:rsidRPr="00E21BDE">
        <w:rPr>
          <w:bCs/>
        </w:rPr>
        <w:t xml:space="preserve"> in the direction under consideration before one of them reaches the NC limit state is greater than the maximum energy dissipation demand </w:t>
      </w:r>
      <w:r w:rsidRPr="00E21BDE">
        <w:rPr>
          <w:bCs/>
          <w:szCs w:val="18"/>
        </w:rPr>
        <w:t>in the same direction</w:t>
      </w:r>
      <w:r w:rsidRPr="00E21BDE">
        <w:rPr>
          <w:bCs/>
        </w:rPr>
        <w:t xml:space="preserve"> on the energy dissipation system at the </w:t>
      </w:r>
      <w:r w:rsidRPr="00E21BDE">
        <w:rPr>
          <w:bCs/>
          <w:i/>
        </w:rPr>
        <w:t>k</w:t>
      </w:r>
      <w:r w:rsidRPr="00E21BDE">
        <w:rPr>
          <w:bCs/>
        </w:rPr>
        <w:t>-th storey.</w:t>
      </w:r>
    </w:p>
    <w:p w14:paraId="688FB1A1" w14:textId="79B2B5E1" w:rsidR="00EB63FC" w:rsidRPr="00E21BDE" w:rsidRDefault="00EB63FC" w:rsidP="0080187E">
      <w:pPr>
        <w:pStyle w:val="Clause"/>
        <w:numPr>
          <w:ilvl w:val="0"/>
          <w:numId w:val="301"/>
        </w:numPr>
        <w:rPr>
          <w:bCs/>
        </w:rPr>
      </w:pPr>
      <w:r w:rsidRPr="00E21BDE">
        <w:rPr>
          <w:bCs/>
        </w:rPr>
        <w:t xml:space="preserve">In case of velocity-dependent energy dissipation devices, (2) may be considered satisfied if the energy dissipation capacity of the energy dissipation devices of each storey </w:t>
      </w:r>
      <w:r w:rsidRPr="00E21BDE">
        <w:rPr>
          <w:bCs/>
          <w:i/>
        </w:rPr>
        <w:t>k</w:t>
      </w:r>
      <w:r w:rsidRPr="00E21BDE">
        <w:rPr>
          <w:bCs/>
        </w:rPr>
        <w:t xml:space="preserve"> at the point in the response when any energy dissipation device on that storey attains its NC limit state, evaluated in accordance with EN</w:t>
      </w:r>
      <w:r w:rsidR="0075055D">
        <w:rPr>
          <w:bCs/>
        </w:rPr>
        <w:t> </w:t>
      </w:r>
      <w:r w:rsidRPr="00E21BDE">
        <w:rPr>
          <w:bCs/>
        </w:rPr>
        <w:t xml:space="preserve">15129, is greater than the maximum energy dissipation demand given by Formula (9.2) for the spectral acceleration value </w:t>
      </w:r>
      <w:r w:rsidRPr="00E21BDE">
        <w:rPr>
          <w:bCs/>
          <w:i/>
        </w:rPr>
        <w:t>S</w:t>
      </w:r>
      <w:r w:rsidRPr="00E21BDE">
        <w:rPr>
          <w:bCs/>
          <w:vertAlign w:val="subscript"/>
        </w:rPr>
        <w:t>e</w:t>
      </w:r>
      <w:r w:rsidRPr="00E21BDE">
        <w:rPr>
          <w:bCs/>
        </w:rPr>
        <w:t xml:space="preserve"> corresponding to the design seismic action associated to NC.</w:t>
      </w:r>
    </w:p>
    <w:p w14:paraId="6B9E6B5E" w14:textId="70395ED5" w:rsidR="00EB63FC" w:rsidRPr="00E21BDE" w:rsidRDefault="00EB63FC" w:rsidP="0080187E">
      <w:pPr>
        <w:pStyle w:val="Clause"/>
        <w:numPr>
          <w:ilvl w:val="0"/>
          <w:numId w:val="301"/>
        </w:numPr>
        <w:rPr>
          <w:bCs/>
        </w:rPr>
      </w:pPr>
      <w:r w:rsidRPr="00E21BDE">
        <w:rPr>
          <w:bCs/>
        </w:rPr>
        <w:t xml:space="preserve">In case of displacement-dependent energy dissipation devices, (2) may be considered satisfied if the energy dissipation capacity of the energy dissipation devices installed on each storey </w:t>
      </w:r>
      <w:r w:rsidRPr="00E21BDE">
        <w:rPr>
          <w:bCs/>
          <w:i/>
          <w:iCs/>
        </w:rPr>
        <w:t>s</w:t>
      </w:r>
      <w:r w:rsidRPr="00E21BDE">
        <w:rPr>
          <w:bCs/>
        </w:rPr>
        <w:t xml:space="preserve"> at the point in the response when any energy dissipation device on that storey attains its NC limit state evaluated in accordance with EN</w:t>
      </w:r>
      <w:r w:rsidR="0075055D">
        <w:rPr>
          <w:bCs/>
        </w:rPr>
        <w:t> </w:t>
      </w:r>
      <w:r w:rsidRPr="00E21BDE">
        <w:rPr>
          <w:bCs/>
        </w:rPr>
        <w:t xml:space="preserve">15129, is greater than </w:t>
      </w:r>
      <w:r w:rsidRPr="00E21BDE">
        <w:rPr>
          <w:bCs/>
          <w:i/>
          <w:iCs/>
        </w:rPr>
        <w:t>E</w:t>
      </w:r>
      <w:r w:rsidRPr="00E21BDE">
        <w:rPr>
          <w:bCs/>
          <w:vertAlign w:val="subscript"/>
        </w:rPr>
        <w:t>dH,</w:t>
      </w:r>
      <w:r w:rsidRPr="00E21BDE">
        <w:rPr>
          <w:bCs/>
          <w:i/>
          <w:iCs/>
          <w:vertAlign w:val="subscript"/>
        </w:rPr>
        <w:t>k,</w:t>
      </w:r>
      <w:r w:rsidRPr="00E21BDE">
        <w:rPr>
          <w:bCs/>
          <w:vertAlign w:val="subscript"/>
        </w:rPr>
        <w:t>max</w:t>
      </w:r>
      <w:r w:rsidRPr="00E21BDE">
        <w:rPr>
          <w:bCs/>
        </w:rPr>
        <w:t xml:space="preserve"> calculated in accordance with Annex D, D.4.4, for the spectral acceleration value </w:t>
      </w:r>
      <w:r w:rsidRPr="00E21BDE">
        <w:rPr>
          <w:bCs/>
          <w:i/>
          <w:iCs/>
        </w:rPr>
        <w:t>S</w:t>
      </w:r>
      <w:r w:rsidRPr="00E21BDE">
        <w:rPr>
          <w:bCs/>
          <w:i/>
          <w:iCs/>
          <w:vertAlign w:val="subscript"/>
        </w:rPr>
        <w:t>e</w:t>
      </w:r>
      <w:r w:rsidRPr="00E21BDE">
        <w:rPr>
          <w:bCs/>
        </w:rPr>
        <w:t xml:space="preserve"> corresponding to the design seismic action associated to NC.</w:t>
      </w:r>
    </w:p>
    <w:p w14:paraId="3789D4FC" w14:textId="77777777" w:rsidR="00EB63FC" w:rsidRPr="00132C1E" w:rsidRDefault="00EB63FC" w:rsidP="0080187E">
      <w:pPr>
        <w:pStyle w:val="Clause"/>
        <w:numPr>
          <w:ilvl w:val="0"/>
          <w:numId w:val="301"/>
        </w:numPr>
      </w:pPr>
      <w:r w:rsidRPr="00E21BDE">
        <w:rPr>
          <w:bCs/>
        </w:rPr>
        <w:lastRenderedPageBreak/>
        <w:t>It should be verified that, under the corresponding design seismic action, all the st</w:t>
      </w:r>
      <w:r w:rsidRPr="00132C1E">
        <w:t>ructural members of the energy dissipation system, exclusive of the elements that are common with the main structural system and of the energy dissipation devices, remain in the elastic range.</w:t>
      </w:r>
    </w:p>
    <w:p w14:paraId="3DBC8750" w14:textId="4DDA0248" w:rsidR="00EB63FC" w:rsidRPr="00132C1E" w:rsidRDefault="00EB63FC" w:rsidP="00EB63FC">
      <w:pPr>
        <w:pStyle w:val="Heading3"/>
      </w:pPr>
      <w:bookmarkStart w:id="1229" w:name="_Toc16927704"/>
      <w:bookmarkStart w:id="1230" w:name="_Toc50150353"/>
      <w:bookmarkStart w:id="1231" w:name="_Toc70886784"/>
      <w:bookmarkStart w:id="1232" w:name="_Toc108342322"/>
      <w:bookmarkStart w:id="1233" w:name="_Toc134197873"/>
      <w:r w:rsidRPr="00132C1E">
        <w:t>Verification to Damage Limitation (DL) limit state</w:t>
      </w:r>
      <w:bookmarkEnd w:id="1229"/>
      <w:bookmarkEnd w:id="1230"/>
      <w:bookmarkEnd w:id="1231"/>
      <w:bookmarkEnd w:id="1232"/>
      <w:bookmarkEnd w:id="1233"/>
    </w:p>
    <w:p w14:paraId="049FD1A5" w14:textId="77777777" w:rsidR="00EB63FC" w:rsidRPr="00E21BDE" w:rsidRDefault="00EB63FC" w:rsidP="0080187E">
      <w:pPr>
        <w:pStyle w:val="Clause"/>
        <w:numPr>
          <w:ilvl w:val="0"/>
          <w:numId w:val="302"/>
        </w:numPr>
      </w:pPr>
      <w:r w:rsidRPr="00132C1E">
        <w:t xml:space="preserve">At the DL limit </w:t>
      </w:r>
      <w:r w:rsidRPr="00E21BDE">
        <w:t>state, 6.3.2 should be applied to the primary seismic members of the main structural system.</w:t>
      </w:r>
    </w:p>
    <w:p w14:paraId="023A68A8" w14:textId="4C739727" w:rsidR="00EB63FC" w:rsidRPr="00132C1E" w:rsidRDefault="00EB63FC" w:rsidP="00EB63FC">
      <w:pPr>
        <w:pStyle w:val="Heading3"/>
      </w:pPr>
      <w:bookmarkStart w:id="1234" w:name="_Toc16927705"/>
      <w:bookmarkStart w:id="1235" w:name="_Toc50150354"/>
      <w:bookmarkStart w:id="1236" w:name="_Toc70886785"/>
      <w:bookmarkStart w:id="1237" w:name="_Toc108342323"/>
      <w:bookmarkStart w:id="1238" w:name="_Toc134197874"/>
      <w:r w:rsidRPr="00132C1E">
        <w:t xml:space="preserve">Verification of </w:t>
      </w:r>
      <w:r>
        <w:t xml:space="preserve">fully </w:t>
      </w:r>
      <w:r w:rsidRPr="00132C1E">
        <w:t>Operational (OP) limit state</w:t>
      </w:r>
      <w:bookmarkEnd w:id="1234"/>
      <w:bookmarkEnd w:id="1235"/>
      <w:bookmarkEnd w:id="1236"/>
      <w:bookmarkEnd w:id="1237"/>
      <w:bookmarkEnd w:id="1238"/>
    </w:p>
    <w:p w14:paraId="15CDB3F9" w14:textId="77777777" w:rsidR="00EB63FC" w:rsidRPr="00132C1E" w:rsidRDefault="00EB63FC" w:rsidP="0080187E">
      <w:pPr>
        <w:pStyle w:val="Clause"/>
        <w:numPr>
          <w:ilvl w:val="0"/>
          <w:numId w:val="303"/>
        </w:numPr>
      </w:pPr>
      <w:r w:rsidRPr="00132C1E">
        <w:t xml:space="preserve">At OP limit </w:t>
      </w:r>
      <w:r w:rsidRPr="00E21BDE">
        <w:t>state, 6.3.3 should</w:t>
      </w:r>
      <w:r w:rsidRPr="00132C1E">
        <w:t xml:space="preserve"> be applied to the primary seismic members of the main structural system.</w:t>
      </w:r>
    </w:p>
    <w:p w14:paraId="0DB005C7" w14:textId="5AC3B8B7" w:rsidR="008210CC" w:rsidRPr="00870D59" w:rsidRDefault="00867F5F" w:rsidP="00FA7C8E">
      <w:pPr>
        <w:pStyle w:val="Heading1"/>
        <w:tabs>
          <w:tab w:val="left" w:pos="403"/>
          <w:tab w:val="left" w:pos="432"/>
          <w:tab w:val="left" w:pos="562"/>
        </w:tabs>
        <w:autoSpaceDE w:val="0"/>
        <w:autoSpaceDN w:val="0"/>
        <w:adjustRightInd w:val="0"/>
        <w:ind w:left="431" w:hanging="431"/>
        <w:rPr>
          <w:szCs w:val="24"/>
        </w:rPr>
      </w:pPr>
      <w:bookmarkStart w:id="1239" w:name="_Ref24385177"/>
      <w:bookmarkStart w:id="1240" w:name="_Ref24388165"/>
      <w:bookmarkStart w:id="1241" w:name="_Toc95037512"/>
      <w:bookmarkStart w:id="1242" w:name="_Toc96894811"/>
      <w:bookmarkStart w:id="1243" w:name="_Toc134197875"/>
      <w:r w:rsidRPr="00870D59">
        <w:t xml:space="preserve">Specific rules for </w:t>
      </w:r>
      <w:bookmarkEnd w:id="1239"/>
      <w:bookmarkEnd w:id="1240"/>
      <w:bookmarkEnd w:id="1241"/>
      <w:bookmarkEnd w:id="1242"/>
      <w:r w:rsidR="00DC701F">
        <w:t>concrete buildings</w:t>
      </w:r>
      <w:bookmarkEnd w:id="1243"/>
    </w:p>
    <w:p w14:paraId="34DA6CCC" w14:textId="39F90B5C" w:rsidR="008210CC" w:rsidRPr="00870D59" w:rsidRDefault="008210CC" w:rsidP="008210CC">
      <w:pPr>
        <w:pStyle w:val="Heading2"/>
        <w:tabs>
          <w:tab w:val="left" w:pos="400"/>
          <w:tab w:val="left" w:pos="540"/>
          <w:tab w:val="left" w:pos="700"/>
        </w:tabs>
        <w:autoSpaceDE w:val="0"/>
        <w:autoSpaceDN w:val="0"/>
        <w:adjustRightInd w:val="0"/>
        <w:ind w:left="432" w:hanging="432"/>
        <w:rPr>
          <w:szCs w:val="24"/>
        </w:rPr>
      </w:pPr>
      <w:bookmarkStart w:id="1244" w:name="_Toc134197876"/>
      <w:r w:rsidRPr="00870D59">
        <w:rPr>
          <w:color w:val="000000" w:themeColor="text1"/>
        </w:rPr>
        <w:t>General</w:t>
      </w:r>
      <w:bookmarkEnd w:id="1244"/>
    </w:p>
    <w:p w14:paraId="495545CB" w14:textId="7D490022" w:rsidR="00DC701F" w:rsidRPr="00E21BDE" w:rsidRDefault="00E21BDE" w:rsidP="0080187E">
      <w:pPr>
        <w:pStyle w:val="Clause"/>
        <w:numPr>
          <w:ilvl w:val="0"/>
          <w:numId w:val="304"/>
        </w:numPr>
        <w:rPr>
          <w:bCs/>
        </w:rPr>
      </w:pPr>
      <w:r w:rsidRPr="00E21BDE">
        <w:rPr>
          <w:bCs/>
        </w:rPr>
        <w:t>This clause</w:t>
      </w:r>
      <w:r w:rsidR="00DC701F" w:rsidRPr="00E21BDE">
        <w:rPr>
          <w:bCs/>
        </w:rPr>
        <w:t xml:space="preserve"> should be applied to the design and the verification of reinforced and prestressed concrete buildings, both monolithic cast-in-situ and precast, henceforth called concrete buildings, in seismic regions.</w:t>
      </w:r>
    </w:p>
    <w:p w14:paraId="67636352" w14:textId="2DFF281D" w:rsidR="00DC701F" w:rsidRPr="00E21BDE" w:rsidRDefault="00E21BDE" w:rsidP="0080187E">
      <w:pPr>
        <w:pStyle w:val="Clause"/>
        <w:numPr>
          <w:ilvl w:val="0"/>
          <w:numId w:val="304"/>
        </w:numPr>
        <w:rPr>
          <w:bCs/>
        </w:rPr>
      </w:pPr>
      <w:r w:rsidRPr="00E21BDE">
        <w:rPr>
          <w:bCs/>
        </w:rPr>
        <w:t>This clause</w:t>
      </w:r>
      <w:r w:rsidR="00DC701F" w:rsidRPr="00E21BDE">
        <w:rPr>
          <w:bCs/>
        </w:rPr>
        <w:t xml:space="preserve"> should be applied as a complement to </w:t>
      </w:r>
      <w:r w:rsidR="00BA7AEE">
        <w:rPr>
          <w:bCs/>
        </w:rPr>
        <w:t>F</w:t>
      </w:r>
      <w:r w:rsidR="00DC701F" w:rsidRPr="00E21BDE">
        <w:rPr>
          <w:bCs/>
        </w:rPr>
        <w:t>prEN</w:t>
      </w:r>
      <w:r w:rsidRPr="00E21BDE">
        <w:rPr>
          <w:bCs/>
        </w:rPr>
        <w:t> </w:t>
      </w:r>
      <w:r w:rsidR="00DC701F" w:rsidRPr="00E21BDE">
        <w:rPr>
          <w:bCs/>
        </w:rPr>
        <w:t>1992-1-1.</w:t>
      </w:r>
    </w:p>
    <w:p w14:paraId="6AE6342D" w14:textId="48BEAC28" w:rsidR="00DC701F" w:rsidRPr="00E21BDE" w:rsidRDefault="00E21BDE" w:rsidP="0080187E">
      <w:pPr>
        <w:pStyle w:val="Clause"/>
        <w:numPr>
          <w:ilvl w:val="0"/>
          <w:numId w:val="304"/>
        </w:numPr>
        <w:rPr>
          <w:bCs/>
        </w:rPr>
      </w:pPr>
      <w:r w:rsidRPr="00E21BDE">
        <w:rPr>
          <w:bCs/>
        </w:rPr>
        <w:t xml:space="preserve">This clause </w:t>
      </w:r>
      <w:r w:rsidR="00DC701F" w:rsidRPr="00E21BDE">
        <w:rPr>
          <w:bCs/>
        </w:rPr>
        <w:t xml:space="preserve">should be applied to the design of structural members and the detailing of their critical regions. Outside the critical regions, detailing of structural members should satisfy </w:t>
      </w:r>
      <w:r w:rsidR="00BA7AEE">
        <w:rPr>
          <w:bCs/>
        </w:rPr>
        <w:t>F</w:t>
      </w:r>
      <w:r w:rsidR="00DC701F" w:rsidRPr="00E21BDE">
        <w:rPr>
          <w:bCs/>
        </w:rPr>
        <w:t>prEN</w:t>
      </w:r>
      <w:r>
        <w:rPr>
          <w:bCs/>
        </w:rPr>
        <w:t> </w:t>
      </w:r>
      <w:r w:rsidR="00DC701F" w:rsidRPr="00E21BDE">
        <w:rPr>
          <w:bCs/>
        </w:rPr>
        <w:t>1992-1-1.</w:t>
      </w:r>
    </w:p>
    <w:p w14:paraId="1C6C9810" w14:textId="371C363E" w:rsidR="00DC701F" w:rsidRPr="00E21BDE" w:rsidRDefault="00BA7AEE" w:rsidP="0080187E">
      <w:pPr>
        <w:pStyle w:val="Clause"/>
        <w:numPr>
          <w:ilvl w:val="0"/>
          <w:numId w:val="304"/>
        </w:numPr>
        <w:rPr>
          <w:bCs/>
        </w:rPr>
      </w:pPr>
      <w:r>
        <w:rPr>
          <w:bCs/>
        </w:rPr>
        <w:t>F</w:t>
      </w:r>
      <w:r w:rsidR="00DC701F" w:rsidRPr="00E21BDE">
        <w:rPr>
          <w:bCs/>
        </w:rPr>
        <w:t>prEN</w:t>
      </w:r>
      <w:r w:rsidR="00E21BDE">
        <w:rPr>
          <w:bCs/>
        </w:rPr>
        <w:t> </w:t>
      </w:r>
      <w:r w:rsidR="00DC701F" w:rsidRPr="00E21BDE">
        <w:rPr>
          <w:bCs/>
        </w:rPr>
        <w:t>1992-1-1, prEN</w:t>
      </w:r>
      <w:r w:rsidR="00E21BDE">
        <w:rPr>
          <w:bCs/>
        </w:rPr>
        <w:t> </w:t>
      </w:r>
      <w:r w:rsidR="00DC701F" w:rsidRPr="00E21BDE">
        <w:rPr>
          <w:bCs/>
        </w:rPr>
        <w:t xml:space="preserve">1998-5:2022, </w:t>
      </w:r>
      <w:r w:rsidR="006633B5">
        <w:rPr>
          <w:bCs/>
        </w:rPr>
        <w:t xml:space="preserve">Clause </w:t>
      </w:r>
      <w:r w:rsidR="00DC701F" w:rsidRPr="00E21BDE">
        <w:rPr>
          <w:bCs/>
        </w:rPr>
        <w:t xml:space="preserve">9, and 10.15 of this </w:t>
      </w:r>
      <w:r w:rsidR="006C6A44">
        <w:rPr>
          <w:bCs/>
        </w:rPr>
        <w:t>document</w:t>
      </w:r>
      <w:r w:rsidR="00DC701F" w:rsidRPr="00E21BDE">
        <w:rPr>
          <w:bCs/>
        </w:rPr>
        <w:t xml:space="preserve"> should be applied to the design of concrete foundation members, such as footings, tie-beams, foundation beams, foundation slabs, foundation walls, pile caps and piles, as well as of connections between such members, or between them and vertical concrete members, and the verification of sliding and bearing capacity.</w:t>
      </w:r>
    </w:p>
    <w:p w14:paraId="0D125F14" w14:textId="7BFB5127" w:rsidR="00DC701F" w:rsidRPr="00E21BDE" w:rsidRDefault="00DC701F" w:rsidP="0080187E">
      <w:pPr>
        <w:pStyle w:val="Clause"/>
        <w:numPr>
          <w:ilvl w:val="0"/>
          <w:numId w:val="304"/>
        </w:numPr>
        <w:rPr>
          <w:bCs/>
        </w:rPr>
      </w:pPr>
      <w:r w:rsidRPr="00E21BDE">
        <w:rPr>
          <w:bCs/>
        </w:rPr>
        <w:t>Seismic design for DC1, adopted according to the seismic action indices limits in 10.4.3, should comply with 10.2.</w:t>
      </w:r>
      <w:r w:rsidRPr="00E21BDE">
        <w:rPr>
          <w:bCs/>
          <w:color w:val="auto"/>
        </w:rPr>
        <w:t>2, 10.3.2</w:t>
      </w:r>
      <w:r w:rsidRPr="00E21BDE">
        <w:rPr>
          <w:bCs/>
        </w:rPr>
        <w:t>, 10.3.4, 10.4.2.1, 10.4.3, 10.4.4 and 10.7(1), (3) and (4).</w:t>
      </w:r>
    </w:p>
    <w:p w14:paraId="14D63DC3" w14:textId="6B8966C2" w:rsidR="00DC701F" w:rsidRPr="00E21BDE" w:rsidRDefault="00DC701F" w:rsidP="0080187E">
      <w:pPr>
        <w:pStyle w:val="Clause"/>
        <w:numPr>
          <w:ilvl w:val="0"/>
          <w:numId w:val="304"/>
        </w:numPr>
        <w:rPr>
          <w:bCs/>
        </w:rPr>
      </w:pPr>
      <w:r w:rsidRPr="00E21BDE">
        <w:rPr>
          <w:bCs/>
        </w:rPr>
        <w:t xml:space="preserve">Seismic design for DC2 and DC3, adopted according to the seismic action indices limits in 10.4.3, should comply with </w:t>
      </w:r>
      <w:r w:rsidR="00E21BDE">
        <w:rPr>
          <w:bCs/>
        </w:rPr>
        <w:t xml:space="preserve">Clause </w:t>
      </w:r>
      <w:r w:rsidRPr="00E21BDE">
        <w:rPr>
          <w:bCs/>
        </w:rPr>
        <w:t>10.</w:t>
      </w:r>
    </w:p>
    <w:p w14:paraId="7A0C1DDB" w14:textId="2D50F2BE" w:rsidR="00DC701F" w:rsidRPr="00E21BDE" w:rsidRDefault="00DC701F" w:rsidP="0080187E">
      <w:pPr>
        <w:pStyle w:val="Clause"/>
        <w:numPr>
          <w:ilvl w:val="0"/>
          <w:numId w:val="304"/>
        </w:numPr>
        <w:rPr>
          <w:bCs/>
        </w:rPr>
      </w:pPr>
      <w:r w:rsidRPr="00E21BDE">
        <w:rPr>
          <w:bCs/>
        </w:rPr>
        <w:t>prEN</w:t>
      </w:r>
      <w:r w:rsidR="00E21BDE">
        <w:rPr>
          <w:bCs/>
        </w:rPr>
        <w:t> </w:t>
      </w:r>
      <w:r w:rsidRPr="00E21BDE">
        <w:rPr>
          <w:bCs/>
        </w:rPr>
        <w:t>1998-1-1:2022, 4.1(7), may be used if the conditions in 10.4.1(6) and 10.4.2.1(2) and (3) are satisfied.</w:t>
      </w:r>
    </w:p>
    <w:p w14:paraId="3DE2475B" w14:textId="0DD365A9" w:rsidR="00DC701F" w:rsidRPr="009407F9" w:rsidRDefault="00DC701F" w:rsidP="0080187E">
      <w:pPr>
        <w:pStyle w:val="Clause"/>
        <w:numPr>
          <w:ilvl w:val="0"/>
          <w:numId w:val="304"/>
        </w:numPr>
      </w:pPr>
      <w:r w:rsidRPr="00E21BDE">
        <w:rPr>
          <w:bCs/>
        </w:rPr>
        <w:t>For the stiffness of members considered in the analysis, 5.1.3 should</w:t>
      </w:r>
      <w:r w:rsidRPr="00581773">
        <w:t xml:space="preserve"> be satisfied</w:t>
      </w:r>
      <w:r>
        <w:t>.</w:t>
      </w:r>
    </w:p>
    <w:p w14:paraId="2CD83E02" w14:textId="376107FB" w:rsidR="00DC701F" w:rsidRPr="00132C1E" w:rsidRDefault="00DC701F" w:rsidP="00DC701F">
      <w:pPr>
        <w:pStyle w:val="Heading2"/>
      </w:pPr>
      <w:bookmarkStart w:id="1245" w:name="_Toc17934178"/>
      <w:bookmarkStart w:id="1246" w:name="_Toc50150357"/>
      <w:bookmarkStart w:id="1247" w:name="_Toc70886788"/>
      <w:bookmarkStart w:id="1248" w:name="_Toc108342326"/>
      <w:bookmarkStart w:id="1249" w:name="_Toc134197877"/>
      <w:r w:rsidRPr="00132C1E">
        <w:t>Basis of design and design criteria</w:t>
      </w:r>
      <w:bookmarkEnd w:id="1245"/>
      <w:bookmarkEnd w:id="1246"/>
      <w:bookmarkEnd w:id="1247"/>
      <w:bookmarkEnd w:id="1248"/>
      <w:bookmarkEnd w:id="1249"/>
    </w:p>
    <w:p w14:paraId="7ECFA54B" w14:textId="77777777" w:rsidR="00DC701F" w:rsidRPr="00132C1E" w:rsidRDefault="00DC701F" w:rsidP="00DC701F">
      <w:pPr>
        <w:pStyle w:val="Heading3"/>
      </w:pPr>
      <w:bookmarkStart w:id="1250" w:name="_Toc17934179"/>
      <w:bookmarkStart w:id="1251" w:name="_Toc50150358"/>
      <w:bookmarkStart w:id="1252" w:name="_Toc70886789"/>
      <w:bookmarkStart w:id="1253" w:name="_Toc108342327"/>
      <w:bookmarkStart w:id="1254" w:name="_Toc134197878"/>
      <w:r w:rsidRPr="00132C1E">
        <w:t>General rules on design action effects</w:t>
      </w:r>
      <w:bookmarkEnd w:id="1250"/>
      <w:bookmarkEnd w:id="1251"/>
      <w:bookmarkEnd w:id="1252"/>
      <w:bookmarkEnd w:id="1253"/>
      <w:bookmarkEnd w:id="1254"/>
    </w:p>
    <w:p w14:paraId="7F0534E4" w14:textId="078F3960" w:rsidR="00DC701F" w:rsidRPr="00E21BDE" w:rsidRDefault="00DC701F" w:rsidP="0080187E">
      <w:pPr>
        <w:pStyle w:val="Clause"/>
        <w:numPr>
          <w:ilvl w:val="0"/>
          <w:numId w:val="305"/>
        </w:numPr>
      </w:pPr>
      <w:r w:rsidRPr="004F74EA">
        <w:t xml:space="preserve">With the exception of ductile walls and large walls, to </w:t>
      </w:r>
      <w:r w:rsidRPr="00E21BDE">
        <w:t>which 10.8.2 and 10.9.2 should be applied, the design values of bending moments and axial forces should be obtained from the analysis of the structure in the seismic design situation according to EN</w:t>
      </w:r>
      <w:r w:rsidR="00E21BDE">
        <w:t> </w:t>
      </w:r>
      <w:r w:rsidRPr="00E21BDE">
        <w:t>1990:202</w:t>
      </w:r>
      <w:r w:rsidR="006455AE">
        <w:t>3</w:t>
      </w:r>
      <w:r w:rsidRPr="00E21BDE">
        <w:t>, 8.4.3.5, taking into account second order effects in accordance with 6.2.4, and the capacity design provisions of 6.2.7(2).</w:t>
      </w:r>
    </w:p>
    <w:p w14:paraId="05CAF868" w14:textId="1F4BE40A" w:rsidR="00DC701F" w:rsidRPr="00E21BDE" w:rsidRDefault="00DC701F" w:rsidP="00724E4E">
      <w:pPr>
        <w:pStyle w:val="Clause"/>
      </w:pPr>
      <w:r w:rsidRPr="00E21BDE">
        <w:t>In addition to (1), the design values of axial forces in columns should comply with 10.6.2(1).</w:t>
      </w:r>
    </w:p>
    <w:p w14:paraId="56A85EB5" w14:textId="528276BF" w:rsidR="00DC701F" w:rsidRPr="00E21BDE" w:rsidRDefault="00DC701F" w:rsidP="00724E4E">
      <w:pPr>
        <w:pStyle w:val="Clause"/>
      </w:pPr>
      <w:r w:rsidRPr="00E21BDE">
        <w:lastRenderedPageBreak/>
        <w:t xml:space="preserve">Redistribution of bending moments in accordance with </w:t>
      </w:r>
      <w:r w:rsidR="0026060E">
        <w:t>PrEN 1992-1-1:2021</w:t>
      </w:r>
      <w:r w:rsidRPr="00E21BDE">
        <w:t xml:space="preserve">, </w:t>
      </w:r>
      <w:r w:rsidR="00B3572F" w:rsidRPr="00E21BDE">
        <w:t>7.3.2</w:t>
      </w:r>
      <w:r w:rsidRPr="00E21BDE">
        <w:t>, may be used.</w:t>
      </w:r>
    </w:p>
    <w:p w14:paraId="1446370C" w14:textId="41F7975D" w:rsidR="00DC701F" w:rsidRPr="00E21BDE" w:rsidRDefault="00DC701F" w:rsidP="00724E4E">
      <w:pPr>
        <w:pStyle w:val="Clause"/>
      </w:pPr>
      <w:r w:rsidRPr="00E21BDE">
        <w:t>The design values of shear forces of primary seismic beams, columns, ductile walls and large walls, should be determined in accordance with 10.5.3, 10.6.2, 10.8.2 and 10.9.2, respectively.</w:t>
      </w:r>
    </w:p>
    <w:p w14:paraId="64BA9369" w14:textId="0690C823" w:rsidR="00DC701F" w:rsidRPr="004030A7" w:rsidRDefault="00DC701F" w:rsidP="00724E4E">
      <w:pPr>
        <w:pStyle w:val="Clause"/>
        <w:rPr>
          <w:rFonts w:eastAsia="Cambria"/>
        </w:rPr>
      </w:pPr>
      <w:r w:rsidRPr="00E21BDE">
        <w:t>The condition in 5.3.5.1(3) may be considered as satisfied in reinforced concrete large walls buildings if the number of storeys is no more than three and if the average aspect (height to width) ratio of structural walls is smaller than</w:t>
      </w:r>
      <w:r w:rsidRPr="00CE7F18">
        <w:t xml:space="preserve"> 1,0.</w:t>
      </w:r>
    </w:p>
    <w:p w14:paraId="64B60AFE" w14:textId="6FA3FA31" w:rsidR="00DC701F" w:rsidRPr="00132C1E" w:rsidRDefault="00DC701F" w:rsidP="00DC701F">
      <w:pPr>
        <w:pStyle w:val="Heading3"/>
      </w:pPr>
      <w:bookmarkStart w:id="1255" w:name="_Toc15632537"/>
      <w:bookmarkStart w:id="1256" w:name="_Toc15661534"/>
      <w:bookmarkStart w:id="1257" w:name="_Toc16091384"/>
      <w:bookmarkStart w:id="1258" w:name="_Toc16531623"/>
      <w:bookmarkStart w:id="1259" w:name="_Toc16590481"/>
      <w:bookmarkStart w:id="1260" w:name="_Toc16598342"/>
      <w:bookmarkStart w:id="1261" w:name="_Toc17934180"/>
      <w:bookmarkStart w:id="1262" w:name="_Toc50150359"/>
      <w:bookmarkStart w:id="1263" w:name="_Toc70886790"/>
      <w:bookmarkStart w:id="1264" w:name="_Toc108342328"/>
      <w:bookmarkStart w:id="1265" w:name="_Toc134197879"/>
      <w:bookmarkEnd w:id="1255"/>
      <w:bookmarkEnd w:id="1256"/>
      <w:bookmarkEnd w:id="1257"/>
      <w:bookmarkEnd w:id="1258"/>
      <w:bookmarkEnd w:id="1259"/>
      <w:bookmarkEnd w:id="1260"/>
      <w:r w:rsidRPr="00132C1E">
        <w:t>Local resistance condition</w:t>
      </w:r>
      <w:bookmarkEnd w:id="1261"/>
      <w:bookmarkEnd w:id="1262"/>
      <w:bookmarkEnd w:id="1263"/>
      <w:bookmarkEnd w:id="1264"/>
      <w:bookmarkEnd w:id="1265"/>
    </w:p>
    <w:p w14:paraId="36D0A909" w14:textId="569502D6" w:rsidR="00DC701F" w:rsidRPr="00C87487" w:rsidRDefault="00DC701F" w:rsidP="0080187E">
      <w:pPr>
        <w:pStyle w:val="Clause"/>
        <w:numPr>
          <w:ilvl w:val="0"/>
          <w:numId w:val="306"/>
        </w:numPr>
      </w:pPr>
      <w:r w:rsidRPr="00C87487">
        <w:t>All critical regions of the structure should satisfy prEN</w:t>
      </w:r>
      <w:r w:rsidR="00E21BDE">
        <w:t> </w:t>
      </w:r>
      <w:r w:rsidRPr="00C87487">
        <w:t>1998-1-1:2022, 6.7.1(1) and (2).</w:t>
      </w:r>
    </w:p>
    <w:p w14:paraId="7DF19449" w14:textId="4F89007B" w:rsidR="00DC701F" w:rsidRPr="00132C1E" w:rsidRDefault="00DC701F" w:rsidP="00DC701F">
      <w:pPr>
        <w:pStyle w:val="Heading3"/>
      </w:pPr>
      <w:bookmarkStart w:id="1266" w:name="_Toc17934181"/>
      <w:bookmarkStart w:id="1267" w:name="_Toc50150360"/>
      <w:bookmarkStart w:id="1268" w:name="_Toc70886791"/>
      <w:bookmarkStart w:id="1269" w:name="_Toc108342329"/>
      <w:bookmarkStart w:id="1270" w:name="_Toc134197880"/>
      <w:r w:rsidRPr="00132C1E">
        <w:t>Local ductility condition</w:t>
      </w:r>
      <w:bookmarkEnd w:id="1266"/>
      <w:bookmarkEnd w:id="1267"/>
      <w:bookmarkEnd w:id="1268"/>
      <w:bookmarkEnd w:id="1269"/>
      <w:bookmarkEnd w:id="1270"/>
    </w:p>
    <w:p w14:paraId="37D2A271" w14:textId="16993E27" w:rsidR="00DC701F" w:rsidRPr="00E21BDE" w:rsidRDefault="00DC701F" w:rsidP="0080187E">
      <w:pPr>
        <w:pStyle w:val="Clause"/>
        <w:numPr>
          <w:ilvl w:val="0"/>
          <w:numId w:val="307"/>
        </w:numPr>
      </w:pPr>
      <w:r w:rsidRPr="004F74EA">
        <w:t xml:space="preserve">For the required overall ductility of the structure to be achieved, the potential regions for plastic hinge formation, to be defined for each type of building member, should satisfy the conditions a) and b), in addition to the material properties </w:t>
      </w:r>
      <w:r w:rsidRPr="00E21BDE">
        <w:t>provisions in 10.3.1 and 10.3.3:</w:t>
      </w:r>
    </w:p>
    <w:p w14:paraId="26AE8E83" w14:textId="77777777" w:rsidR="00DC701F" w:rsidRPr="00E21BDE" w:rsidRDefault="00DC701F" w:rsidP="0080187E">
      <w:pPr>
        <w:pStyle w:val="List2"/>
        <w:numPr>
          <w:ilvl w:val="0"/>
          <w:numId w:val="112"/>
        </w:numPr>
        <w:spacing w:before="0" w:after="240" w:line="230" w:lineRule="atLeast"/>
        <w:contextualSpacing w:val="0"/>
      </w:pPr>
      <w:r w:rsidRPr="00E21BDE">
        <w:t>a sufficient ductility and plastic rotation capacity should be provided in all critical regions of primary seismic members (at column ends, depending on the potential for plastic hinge formation there) (see (2));</w:t>
      </w:r>
    </w:p>
    <w:p w14:paraId="119DF9AE" w14:textId="3613DA21" w:rsidR="00DC701F" w:rsidRPr="00E21BDE" w:rsidRDefault="00DC701F" w:rsidP="0080187E">
      <w:pPr>
        <w:pStyle w:val="List2"/>
        <w:numPr>
          <w:ilvl w:val="0"/>
          <w:numId w:val="112"/>
        </w:numPr>
        <w:spacing w:before="0" w:after="240" w:line="230" w:lineRule="atLeast"/>
        <w:contextualSpacing w:val="0"/>
      </w:pPr>
      <w:r w:rsidRPr="00E21BDE">
        <w:t>local buckling of compressed steel bars in potential plastic hinge regions of primary seismic members should be prevented by applying relevant provisions in 10.5.4, 10.6.3, 10.7, 10.8.3 and 10.9.3.</w:t>
      </w:r>
    </w:p>
    <w:p w14:paraId="748043A0" w14:textId="64EF7D80" w:rsidR="00DC701F" w:rsidRPr="004030A7" w:rsidRDefault="00DC701F" w:rsidP="00724E4E">
      <w:pPr>
        <w:pStyle w:val="Clause"/>
      </w:pPr>
      <w:r w:rsidRPr="00E21BDE">
        <w:t xml:space="preserve">To satisfy (1)a), the product of the global displacement ductility factor, taken equal to the product of the components of the behaviour factor </w:t>
      </w:r>
      <w:r w:rsidRPr="00E21BDE">
        <w:rPr>
          <w:i/>
          <w:iCs/>
        </w:rPr>
        <w:t>q</w:t>
      </w:r>
      <w:r w:rsidRPr="00E21BDE">
        <w:rPr>
          <w:vertAlign w:val="subscript"/>
        </w:rPr>
        <w:t>R</w:t>
      </w:r>
      <w:r w:rsidRPr="00E21BDE">
        <w:t xml:space="preserve"> and </w:t>
      </w:r>
      <w:r w:rsidRPr="00E21BDE">
        <w:rPr>
          <w:i/>
          <w:iCs/>
        </w:rPr>
        <w:t>q</w:t>
      </w:r>
      <w:r w:rsidRPr="00E21BDE">
        <w:rPr>
          <w:vertAlign w:val="subscript"/>
        </w:rPr>
        <w:t>D</w:t>
      </w:r>
      <w:r w:rsidRPr="00E21BDE">
        <w:t xml:space="preserve"> and the chord rotation at yielding of each member end, determined according to prEN</w:t>
      </w:r>
      <w:r w:rsidR="00E21BDE">
        <w:t> </w:t>
      </w:r>
      <w:r w:rsidRPr="00E21BDE">
        <w:t>1998-1-1:2022, 7.2.2.1.1, should not exceed the chord rotation for the SD Limit State given in prEN</w:t>
      </w:r>
      <w:r w:rsidR="00E21BDE">
        <w:t> </w:t>
      </w:r>
      <w:r w:rsidRPr="00E21BDE">
        <w:t>1998-1-1:2022, Formula</w:t>
      </w:r>
      <w:r w:rsidRPr="004030A7">
        <w:t xml:space="preserve"> (6.32).</w:t>
      </w:r>
    </w:p>
    <w:p w14:paraId="77AF52E6" w14:textId="07AB430A" w:rsidR="00DC701F" w:rsidRPr="00132C1E" w:rsidRDefault="00DC701F" w:rsidP="00DC701F">
      <w:pPr>
        <w:pStyle w:val="Heading3"/>
      </w:pPr>
      <w:bookmarkStart w:id="1271" w:name="_Toc17934182"/>
      <w:bookmarkStart w:id="1272" w:name="_Toc50150361"/>
      <w:bookmarkStart w:id="1273" w:name="_Toc70886792"/>
      <w:bookmarkStart w:id="1274" w:name="_Toc108342330"/>
      <w:bookmarkStart w:id="1275" w:name="_Toc134197881"/>
      <w:r w:rsidRPr="00132C1E">
        <w:t>Capacity design rule for moment resisting frames</w:t>
      </w:r>
      <w:bookmarkEnd w:id="1271"/>
      <w:bookmarkEnd w:id="1272"/>
      <w:bookmarkEnd w:id="1273"/>
      <w:bookmarkEnd w:id="1274"/>
      <w:bookmarkEnd w:id="1275"/>
    </w:p>
    <w:p w14:paraId="1C0C3279" w14:textId="0AF9945D" w:rsidR="00DC701F" w:rsidRPr="00E21BDE" w:rsidRDefault="00DC701F" w:rsidP="0080187E">
      <w:pPr>
        <w:pStyle w:val="Clause"/>
        <w:numPr>
          <w:ilvl w:val="0"/>
          <w:numId w:val="308"/>
        </w:numPr>
      </w:pPr>
      <w:r w:rsidRPr="00132C1E">
        <w:t xml:space="preserve">In accordance </w:t>
      </w:r>
      <w:r w:rsidRPr="00E21BDE">
        <w:t>with 6.2.6 and 6.2.7, brittle failure or other undesirable mechanisms (e.g. a soft-storey mechanism, shear failure of members or joints, plastic hinging in foundation members intended to remain elastic) shall be prevented, by deriving the design action effects of selected regions from equilibrium conditions, assuming that plastic hinges with their possible overstrength have formed in adjacent areas.</w:t>
      </w:r>
    </w:p>
    <w:p w14:paraId="1AF91B9C" w14:textId="48AE8B11" w:rsidR="00DC701F" w:rsidRPr="00E21BDE" w:rsidRDefault="00DC701F" w:rsidP="00724E4E">
      <w:pPr>
        <w:pStyle w:val="Clause"/>
      </w:pPr>
      <w:r w:rsidRPr="00E21BDE">
        <w:t>The primary seismic columns of moment resisting frame and moment resisting frame-equivalent concrete structures should satisfy 6.2.7(</w:t>
      </w:r>
      <w:r w:rsidRPr="00E21BDE">
        <w:rPr>
          <w:color w:val="auto"/>
        </w:rPr>
        <w:t xml:space="preserve">2) </w:t>
      </w:r>
      <w:r w:rsidRPr="00E21BDE">
        <w:t>for DC3, and in the situations listed in 6.2.6(9) for DC2, except in cases a) to c) for DC3, and b) for DC2:</w:t>
      </w:r>
    </w:p>
    <w:p w14:paraId="61A4E65E" w14:textId="5059B8EC" w:rsidR="00DC701F" w:rsidRPr="00E21BDE" w:rsidRDefault="00DC701F" w:rsidP="0080187E">
      <w:pPr>
        <w:pStyle w:val="List2"/>
        <w:numPr>
          <w:ilvl w:val="0"/>
          <w:numId w:val="113"/>
        </w:numPr>
        <w:spacing w:before="0" w:after="240" w:line="230" w:lineRule="atLeast"/>
        <w:contextualSpacing w:val="0"/>
      </w:pPr>
      <w:r w:rsidRPr="00E21BDE">
        <w:t>in one column out of every four columns in a plane moment resisting frame, if its seismic acting shear force does not exceed 25</w:t>
      </w:r>
      <w:r w:rsidR="006C6A44">
        <w:t> </w:t>
      </w:r>
      <w:r w:rsidRPr="00E21BDE">
        <w:t>% of the total seismic shear force in the set of columns;</w:t>
      </w:r>
    </w:p>
    <w:p w14:paraId="0E2694EB" w14:textId="5C7E758F" w:rsidR="00DC701F" w:rsidRPr="00E21BDE" w:rsidRDefault="00DC701F" w:rsidP="0080187E">
      <w:pPr>
        <w:pStyle w:val="List2"/>
        <w:numPr>
          <w:ilvl w:val="0"/>
          <w:numId w:val="113"/>
        </w:numPr>
        <w:spacing w:before="0" w:after="240" w:line="230" w:lineRule="atLeast"/>
        <w:contextualSpacing w:val="0"/>
      </w:pPr>
      <w:r w:rsidRPr="00E21BDE">
        <w:t>at the bottom storey of two-storey buildings, if the normal</w:t>
      </w:r>
      <w:r w:rsidR="00E10A24">
        <w:t>ize</w:t>
      </w:r>
      <w:r w:rsidRPr="00E21BDE">
        <w:t xml:space="preserve">d axial load </w:t>
      </w:r>
      <w:r w:rsidRPr="00E21BDE">
        <w:rPr>
          <w:i/>
        </w:rPr>
        <w:t>ν</w:t>
      </w:r>
      <w:r w:rsidRPr="00E21BDE">
        <w:rPr>
          <w:vertAlign w:val="subscript"/>
        </w:rPr>
        <w:t>d</w:t>
      </w:r>
      <w:r w:rsidRPr="00E21BDE">
        <w:t xml:space="preserve"> in the seismic design situation does not exceed 0,3 in any column;</w:t>
      </w:r>
    </w:p>
    <w:p w14:paraId="792BBD01" w14:textId="77777777" w:rsidR="00DC701F" w:rsidRPr="00E21BDE" w:rsidRDefault="00DC701F" w:rsidP="0080187E">
      <w:pPr>
        <w:pStyle w:val="List2"/>
        <w:numPr>
          <w:ilvl w:val="0"/>
          <w:numId w:val="113"/>
        </w:numPr>
        <w:spacing w:before="0" w:after="240" w:line="230" w:lineRule="atLeast"/>
        <w:contextualSpacing w:val="0"/>
      </w:pPr>
      <w:r w:rsidRPr="00E21BDE">
        <w:t>at the base of discontinued columns (see 10.5.2) supported by primary seismic beams.</w:t>
      </w:r>
    </w:p>
    <w:p w14:paraId="1DFED410" w14:textId="1E80B9C8" w:rsidR="00DC701F" w:rsidRPr="00132C1E" w:rsidRDefault="00DC701F" w:rsidP="00724E4E">
      <w:pPr>
        <w:pStyle w:val="Clause"/>
      </w:pPr>
      <w:r w:rsidRPr="00E21BDE">
        <w:t>On each side of a beam, slab reinforcement parallel to the beam and within an effective width up to one-quarter of the beam’s clear span, or up to mid-distance to the nearest parallel beam, or to the edge of the slab, whichever is smallest, should be assumed</w:t>
      </w:r>
      <w:r w:rsidRPr="00132C1E">
        <w:t xml:space="preserve"> to contribute to the beam flexural capacity taken </w:t>
      </w:r>
      <w:r w:rsidRPr="00132C1E">
        <w:lastRenderedPageBreak/>
        <w:t>into account for the calculation of Σ</w:t>
      </w:r>
      <w:r w:rsidRPr="004030A7">
        <w:rPr>
          <w:rFonts w:ascii="AODJCD+TimesNewRoman,Italic" w:hAnsi="AODJCD+TimesNewRoman,Italic" w:cs="AODJCD+TimesNewRoman,Italic"/>
          <w:i/>
        </w:rPr>
        <w:t>M</w:t>
      </w:r>
      <w:r w:rsidRPr="004030A7">
        <w:rPr>
          <w:sz w:val="16"/>
          <w:szCs w:val="16"/>
          <w:vertAlign w:val="subscript"/>
        </w:rPr>
        <w:t>Rb</w:t>
      </w:r>
      <w:r w:rsidRPr="00132C1E">
        <w:t xml:space="preserve"> in Formula (</w:t>
      </w:r>
      <w:r w:rsidR="00DD0423">
        <w:t>6.</w:t>
      </w:r>
      <w:r w:rsidR="000345C6">
        <w:t>5</w:t>
      </w:r>
      <w:r w:rsidRPr="00132C1E">
        <w:t>), if it is anchored beyond the beam section at the face of the joint.</w:t>
      </w:r>
    </w:p>
    <w:p w14:paraId="541A37A9" w14:textId="53A9BF31" w:rsidR="00DC701F" w:rsidRPr="00132C1E" w:rsidRDefault="00DC701F" w:rsidP="00DC701F">
      <w:pPr>
        <w:pStyle w:val="Heading2"/>
      </w:pPr>
      <w:bookmarkStart w:id="1276" w:name="_Toc17934183"/>
      <w:bookmarkStart w:id="1277" w:name="_Toc50150362"/>
      <w:bookmarkStart w:id="1278" w:name="_Toc70886793"/>
      <w:bookmarkStart w:id="1279" w:name="_Toc108342331"/>
      <w:bookmarkStart w:id="1280" w:name="_Toc134197882"/>
      <w:r w:rsidRPr="00132C1E">
        <w:t>Materials requirements</w:t>
      </w:r>
      <w:bookmarkEnd w:id="1276"/>
      <w:bookmarkEnd w:id="1277"/>
      <w:bookmarkEnd w:id="1278"/>
      <w:bookmarkEnd w:id="1279"/>
      <w:bookmarkEnd w:id="1280"/>
    </w:p>
    <w:p w14:paraId="0CD64409" w14:textId="77777777" w:rsidR="00DC701F" w:rsidRPr="00132C1E" w:rsidRDefault="00DC701F" w:rsidP="00DC701F">
      <w:pPr>
        <w:pStyle w:val="Heading3"/>
      </w:pPr>
      <w:bookmarkStart w:id="1281" w:name="_Toc50150363"/>
      <w:bookmarkStart w:id="1282" w:name="_Toc70886794"/>
      <w:bookmarkStart w:id="1283" w:name="_Toc108342332"/>
      <w:bookmarkStart w:id="1284" w:name="_Toc134197883"/>
      <w:bookmarkStart w:id="1285" w:name="_Toc17934184"/>
      <w:r w:rsidRPr="00132C1E">
        <w:t>General</w:t>
      </w:r>
      <w:bookmarkEnd w:id="1281"/>
      <w:bookmarkEnd w:id="1282"/>
      <w:bookmarkEnd w:id="1283"/>
      <w:bookmarkEnd w:id="1284"/>
    </w:p>
    <w:p w14:paraId="12FCC77E" w14:textId="483E147D" w:rsidR="00DC701F" w:rsidRPr="00446008" w:rsidRDefault="00DC701F" w:rsidP="0080187E">
      <w:pPr>
        <w:pStyle w:val="Clause"/>
        <w:numPr>
          <w:ilvl w:val="0"/>
          <w:numId w:val="309"/>
        </w:numPr>
      </w:pPr>
      <w:r w:rsidRPr="00132C1E">
        <w:t xml:space="preserve">In primary beams and columns and in the critical regions of ductile walls of DC2 or DC3, reinforcing steel </w:t>
      </w:r>
      <w:r w:rsidRPr="00446008">
        <w:t xml:space="preserve">of ductility class B or C in </w:t>
      </w:r>
      <w:r w:rsidR="0026060E">
        <w:t>PrEN 1992-1-1:2021</w:t>
      </w:r>
      <w:r w:rsidRPr="00446008">
        <w:t>, Table 5.5, should be used.</w:t>
      </w:r>
    </w:p>
    <w:p w14:paraId="067DE56C" w14:textId="2F1EDC2E" w:rsidR="00DC701F" w:rsidRPr="00132C1E" w:rsidRDefault="00DC701F" w:rsidP="00DC701F">
      <w:pPr>
        <w:pStyle w:val="Heading3"/>
      </w:pPr>
      <w:bookmarkStart w:id="1286" w:name="_Toc50150364"/>
      <w:bookmarkStart w:id="1287" w:name="_Toc70886795"/>
      <w:bookmarkStart w:id="1288" w:name="_Toc108342333"/>
      <w:bookmarkStart w:id="1289" w:name="_Toc134197884"/>
      <w:r w:rsidRPr="00132C1E">
        <w:t>Design for DC1</w:t>
      </w:r>
      <w:bookmarkEnd w:id="1285"/>
      <w:bookmarkEnd w:id="1286"/>
      <w:bookmarkEnd w:id="1287"/>
      <w:bookmarkEnd w:id="1288"/>
      <w:bookmarkEnd w:id="1289"/>
    </w:p>
    <w:p w14:paraId="26D72000" w14:textId="3B6E2DCF" w:rsidR="00DC701F" w:rsidRPr="00132C1E" w:rsidRDefault="00DC701F" w:rsidP="0080187E">
      <w:pPr>
        <w:pStyle w:val="Clause"/>
        <w:numPr>
          <w:ilvl w:val="0"/>
          <w:numId w:val="310"/>
        </w:numPr>
      </w:pPr>
      <w:r w:rsidRPr="00132C1E">
        <w:t>Concrete of a class lower than C16 should not be used in primary seismic members.</w:t>
      </w:r>
    </w:p>
    <w:p w14:paraId="25F36995" w14:textId="6A0DF104" w:rsidR="00DC701F" w:rsidRPr="00132C1E" w:rsidRDefault="00DC701F" w:rsidP="00DC701F">
      <w:pPr>
        <w:pStyle w:val="Heading3"/>
      </w:pPr>
      <w:bookmarkStart w:id="1290" w:name="_Toc17934185"/>
      <w:bookmarkStart w:id="1291" w:name="_Toc50150365"/>
      <w:bookmarkStart w:id="1292" w:name="_Toc70886796"/>
      <w:bookmarkStart w:id="1293" w:name="_Toc108342334"/>
      <w:bookmarkStart w:id="1294" w:name="_Toc134197885"/>
      <w:r w:rsidRPr="00132C1E">
        <w:t>Design for DC2 and DC3</w:t>
      </w:r>
      <w:bookmarkEnd w:id="1290"/>
      <w:bookmarkEnd w:id="1291"/>
      <w:bookmarkEnd w:id="1292"/>
      <w:bookmarkEnd w:id="1293"/>
      <w:bookmarkEnd w:id="1294"/>
    </w:p>
    <w:p w14:paraId="06263AD8" w14:textId="62A7AA31" w:rsidR="00DC701F" w:rsidRPr="00132C1E" w:rsidRDefault="00DC701F" w:rsidP="0080187E">
      <w:pPr>
        <w:pStyle w:val="Clause"/>
        <w:numPr>
          <w:ilvl w:val="0"/>
          <w:numId w:val="311"/>
        </w:numPr>
      </w:pPr>
      <w:r w:rsidRPr="00132C1E">
        <w:t>Concrete of a class lower than C20 should not be used in primary seismic members.</w:t>
      </w:r>
    </w:p>
    <w:p w14:paraId="03AC2F6A" w14:textId="553912A9" w:rsidR="00DC701F" w:rsidRPr="00132C1E" w:rsidRDefault="00DC701F" w:rsidP="00724E4E">
      <w:pPr>
        <w:pStyle w:val="Clause"/>
      </w:pPr>
      <w:r w:rsidRPr="00132C1E">
        <w:t>Ribbed bars should be used as reinforcing steel in critical regions of primary seismic members.</w:t>
      </w:r>
    </w:p>
    <w:p w14:paraId="7FA398CC" w14:textId="18172ABA" w:rsidR="00DC701F" w:rsidRPr="00132C1E" w:rsidRDefault="00DC701F" w:rsidP="00DC701F">
      <w:pPr>
        <w:pStyle w:val="Heading3"/>
      </w:pPr>
      <w:bookmarkStart w:id="1295" w:name="_Toc17934186"/>
      <w:bookmarkStart w:id="1296" w:name="_Toc50150366"/>
      <w:bookmarkStart w:id="1297" w:name="_Toc70886797"/>
      <w:bookmarkStart w:id="1298" w:name="_Toc108342335"/>
      <w:bookmarkStart w:id="1299" w:name="_Toc134197886"/>
      <w:r w:rsidRPr="00132C1E">
        <w:t>Safety verifications</w:t>
      </w:r>
      <w:bookmarkEnd w:id="1295"/>
      <w:bookmarkEnd w:id="1296"/>
      <w:bookmarkEnd w:id="1297"/>
      <w:bookmarkEnd w:id="1298"/>
      <w:bookmarkEnd w:id="1299"/>
    </w:p>
    <w:p w14:paraId="4229B927" w14:textId="2F657C98" w:rsidR="00DC701F" w:rsidRPr="00132C1E" w:rsidRDefault="00DC701F" w:rsidP="0080187E">
      <w:pPr>
        <w:pStyle w:val="Clause"/>
        <w:numPr>
          <w:ilvl w:val="0"/>
          <w:numId w:val="312"/>
        </w:numPr>
      </w:pPr>
      <w:r w:rsidRPr="00132C1E">
        <w:t xml:space="preserve">For the Significant Damage (SD) limit state verifications, partial factors for concrete and steel strengths </w:t>
      </w:r>
      <w:r w:rsidRPr="00E96AA6">
        <w:rPr>
          <w:i/>
          <w:iCs/>
        </w:rPr>
        <w:t>γ</w:t>
      </w:r>
      <w:r w:rsidRPr="00E96AA6">
        <w:rPr>
          <w:sz w:val="16"/>
          <w:szCs w:val="16"/>
          <w:vertAlign w:val="subscript"/>
        </w:rPr>
        <w:t>c</w:t>
      </w:r>
      <w:r w:rsidRPr="00132C1E">
        <w:t xml:space="preserve"> and </w:t>
      </w:r>
      <w:r w:rsidRPr="00E96AA6">
        <w:rPr>
          <w:i/>
          <w:iCs/>
        </w:rPr>
        <w:t>γ</w:t>
      </w:r>
      <w:r w:rsidRPr="00E96AA6">
        <w:rPr>
          <w:sz w:val="16"/>
          <w:szCs w:val="16"/>
          <w:vertAlign w:val="subscript"/>
        </w:rPr>
        <w:t>s</w:t>
      </w:r>
      <w:r w:rsidRPr="00132C1E">
        <w:t xml:space="preserve"> not smaller than 1 should be used.</w:t>
      </w:r>
    </w:p>
    <w:p w14:paraId="55B0EE80" w14:textId="77777777" w:rsidR="00DC701F" w:rsidRPr="00132C1E" w:rsidRDefault="00DC701F" w:rsidP="00727AF8">
      <w:pPr>
        <w:pStyle w:val="Notetext"/>
      </w:pPr>
      <w:r w:rsidRPr="00132C1E">
        <w:t>NOTE</w:t>
      </w:r>
      <w:r w:rsidRPr="00132C1E">
        <w:tab/>
      </w:r>
      <w:r w:rsidRPr="00132C1E">
        <w:rPr>
          <w:i/>
        </w:rPr>
        <w:t>γ</w:t>
      </w:r>
      <w:r w:rsidRPr="00132C1E">
        <w:rPr>
          <w:vertAlign w:val="subscript"/>
        </w:rPr>
        <w:t>c</w:t>
      </w:r>
      <w:r w:rsidRPr="00132C1E">
        <w:t xml:space="preserve"> and </w:t>
      </w:r>
      <w:r w:rsidRPr="00132C1E">
        <w:rPr>
          <w:i/>
        </w:rPr>
        <w:t>γ</w:t>
      </w:r>
      <w:r w:rsidRPr="00132C1E">
        <w:rPr>
          <w:vertAlign w:val="subscript"/>
        </w:rPr>
        <w:t>s</w:t>
      </w:r>
      <w:r w:rsidRPr="00132C1E">
        <w:t xml:space="preserve"> are equal to 1,5 and 1,15 respectively, unless the National Annex gives different values for use in a country.</w:t>
      </w:r>
    </w:p>
    <w:p w14:paraId="7FBA7C76" w14:textId="77777777" w:rsidR="00DC701F" w:rsidRPr="00132C1E" w:rsidRDefault="00DC701F" w:rsidP="00DC701F">
      <w:pPr>
        <w:pStyle w:val="Heading2"/>
      </w:pPr>
      <w:bookmarkStart w:id="1300" w:name="_Toc15632545"/>
      <w:bookmarkStart w:id="1301" w:name="_Toc15661542"/>
      <w:bookmarkStart w:id="1302" w:name="_Toc16091392"/>
      <w:bookmarkStart w:id="1303" w:name="_Toc16531631"/>
      <w:bookmarkStart w:id="1304" w:name="_Toc16590489"/>
      <w:bookmarkStart w:id="1305" w:name="_Toc16598350"/>
      <w:bookmarkStart w:id="1306" w:name="_Toc536865108"/>
      <w:bookmarkStart w:id="1307" w:name="_Toc536865423"/>
      <w:bookmarkStart w:id="1308" w:name="_Toc536865738"/>
      <w:bookmarkStart w:id="1309" w:name="_Toc536866053"/>
      <w:bookmarkStart w:id="1310" w:name="_Toc536866368"/>
      <w:bookmarkStart w:id="1311" w:name="_Toc536866683"/>
      <w:bookmarkStart w:id="1312" w:name="_Toc536866998"/>
      <w:bookmarkStart w:id="1313" w:name="_Toc536867313"/>
      <w:bookmarkStart w:id="1314" w:name="_Toc536867596"/>
      <w:bookmarkStart w:id="1315" w:name="_Toc536867879"/>
      <w:bookmarkStart w:id="1316" w:name="_Toc536868776"/>
      <w:bookmarkStart w:id="1317" w:name="_Toc536869107"/>
      <w:bookmarkStart w:id="1318" w:name="_Toc127950"/>
      <w:bookmarkStart w:id="1319" w:name="_Toc128344"/>
      <w:bookmarkStart w:id="1320" w:name="_Toc128738"/>
      <w:bookmarkStart w:id="1321" w:name="_Toc129132"/>
      <w:bookmarkStart w:id="1322" w:name="_Toc129526"/>
      <w:bookmarkStart w:id="1323" w:name="_Toc129919"/>
      <w:bookmarkStart w:id="1324" w:name="_Toc130313"/>
      <w:bookmarkStart w:id="1325" w:name="_Toc130707"/>
      <w:bookmarkStart w:id="1326" w:name="_Toc131101"/>
      <w:bookmarkStart w:id="1327" w:name="_Toc288996"/>
      <w:bookmarkStart w:id="1328" w:name="_Toc338162"/>
      <w:bookmarkStart w:id="1329" w:name="_Toc705594"/>
      <w:bookmarkStart w:id="1330" w:name="_Toc706580"/>
      <w:bookmarkStart w:id="1331" w:name="_Toc708889"/>
      <w:bookmarkStart w:id="1332" w:name="_Toc710254"/>
      <w:bookmarkStart w:id="1333" w:name="_Toc970273"/>
      <w:bookmarkStart w:id="1334" w:name="_Toc970648"/>
      <w:bookmarkStart w:id="1335" w:name="_Toc1135348"/>
      <w:bookmarkStart w:id="1336" w:name="_Toc1165662"/>
      <w:bookmarkStart w:id="1337" w:name="_Toc1207727"/>
      <w:bookmarkStart w:id="1338" w:name="_Toc1408343"/>
      <w:bookmarkStart w:id="1339" w:name="_Toc536865109"/>
      <w:bookmarkStart w:id="1340" w:name="_Toc536865424"/>
      <w:bookmarkStart w:id="1341" w:name="_Toc536865739"/>
      <w:bookmarkStart w:id="1342" w:name="_Toc536866054"/>
      <w:bookmarkStart w:id="1343" w:name="_Toc536866369"/>
      <w:bookmarkStart w:id="1344" w:name="_Toc536866684"/>
      <w:bookmarkStart w:id="1345" w:name="_Toc536866999"/>
      <w:bookmarkStart w:id="1346" w:name="_Toc536867314"/>
      <w:bookmarkStart w:id="1347" w:name="_Toc536867597"/>
      <w:bookmarkStart w:id="1348" w:name="_Toc536867880"/>
      <w:bookmarkStart w:id="1349" w:name="_Toc536868777"/>
      <w:bookmarkStart w:id="1350" w:name="_Toc536869108"/>
      <w:bookmarkStart w:id="1351" w:name="_Toc127951"/>
      <w:bookmarkStart w:id="1352" w:name="_Toc128345"/>
      <w:bookmarkStart w:id="1353" w:name="_Toc128739"/>
      <w:bookmarkStart w:id="1354" w:name="_Toc129133"/>
      <w:bookmarkStart w:id="1355" w:name="_Toc129527"/>
      <w:bookmarkStart w:id="1356" w:name="_Toc129920"/>
      <w:bookmarkStart w:id="1357" w:name="_Toc130314"/>
      <w:bookmarkStart w:id="1358" w:name="_Toc130708"/>
      <w:bookmarkStart w:id="1359" w:name="_Toc131102"/>
      <w:bookmarkStart w:id="1360" w:name="_Toc288997"/>
      <w:bookmarkStart w:id="1361" w:name="_Toc338163"/>
      <w:bookmarkStart w:id="1362" w:name="_Toc705595"/>
      <w:bookmarkStart w:id="1363" w:name="_Toc706581"/>
      <w:bookmarkStart w:id="1364" w:name="_Toc708890"/>
      <w:bookmarkStart w:id="1365" w:name="_Toc710255"/>
      <w:bookmarkStart w:id="1366" w:name="_Toc970274"/>
      <w:bookmarkStart w:id="1367" w:name="_Toc970649"/>
      <w:bookmarkStart w:id="1368" w:name="_Toc1135349"/>
      <w:bookmarkStart w:id="1369" w:name="_Toc1165663"/>
      <w:bookmarkStart w:id="1370" w:name="_Toc1207728"/>
      <w:bookmarkStart w:id="1371" w:name="_Toc1408344"/>
      <w:bookmarkStart w:id="1372" w:name="_Toc536865110"/>
      <w:bookmarkStart w:id="1373" w:name="_Toc536865425"/>
      <w:bookmarkStart w:id="1374" w:name="_Toc536865740"/>
      <w:bookmarkStart w:id="1375" w:name="_Toc536866055"/>
      <w:bookmarkStart w:id="1376" w:name="_Toc536866370"/>
      <w:bookmarkStart w:id="1377" w:name="_Toc536866685"/>
      <w:bookmarkStart w:id="1378" w:name="_Toc536867000"/>
      <w:bookmarkStart w:id="1379" w:name="_Toc536867315"/>
      <w:bookmarkStart w:id="1380" w:name="_Toc536867598"/>
      <w:bookmarkStart w:id="1381" w:name="_Toc536867881"/>
      <w:bookmarkStart w:id="1382" w:name="_Toc536868778"/>
      <w:bookmarkStart w:id="1383" w:name="_Toc536869109"/>
      <w:bookmarkStart w:id="1384" w:name="_Toc127952"/>
      <w:bookmarkStart w:id="1385" w:name="_Toc128346"/>
      <w:bookmarkStart w:id="1386" w:name="_Toc128740"/>
      <w:bookmarkStart w:id="1387" w:name="_Toc129134"/>
      <w:bookmarkStart w:id="1388" w:name="_Toc129528"/>
      <w:bookmarkStart w:id="1389" w:name="_Toc129921"/>
      <w:bookmarkStart w:id="1390" w:name="_Toc130315"/>
      <w:bookmarkStart w:id="1391" w:name="_Toc130709"/>
      <w:bookmarkStart w:id="1392" w:name="_Toc131103"/>
      <w:bookmarkStart w:id="1393" w:name="_Toc288998"/>
      <w:bookmarkStart w:id="1394" w:name="_Toc338164"/>
      <w:bookmarkStart w:id="1395" w:name="_Toc705596"/>
      <w:bookmarkStart w:id="1396" w:name="_Toc706582"/>
      <w:bookmarkStart w:id="1397" w:name="_Toc708891"/>
      <w:bookmarkStart w:id="1398" w:name="_Toc710256"/>
      <w:bookmarkStart w:id="1399" w:name="_Toc970275"/>
      <w:bookmarkStart w:id="1400" w:name="_Toc970650"/>
      <w:bookmarkStart w:id="1401" w:name="_Toc1135350"/>
      <w:bookmarkStart w:id="1402" w:name="_Toc1165664"/>
      <w:bookmarkStart w:id="1403" w:name="_Toc1207729"/>
      <w:bookmarkStart w:id="1404" w:name="_Toc1408345"/>
      <w:bookmarkStart w:id="1405" w:name="_Toc508229065"/>
      <w:bookmarkStart w:id="1406" w:name="_Toc508229066"/>
      <w:bookmarkStart w:id="1407" w:name="_Toc508229067"/>
      <w:bookmarkStart w:id="1408" w:name="_Toc508229068"/>
      <w:bookmarkStart w:id="1409" w:name="_Toc508229069"/>
      <w:bookmarkStart w:id="1410" w:name="_Toc508229070"/>
      <w:bookmarkStart w:id="1411" w:name="_Toc508229071"/>
      <w:bookmarkStart w:id="1412" w:name="_Toc508229072"/>
      <w:bookmarkStart w:id="1413" w:name="_Toc536865111"/>
      <w:bookmarkStart w:id="1414" w:name="_Toc536865426"/>
      <w:bookmarkStart w:id="1415" w:name="_Toc536865741"/>
      <w:bookmarkStart w:id="1416" w:name="_Toc536866056"/>
      <w:bookmarkStart w:id="1417" w:name="_Toc536866371"/>
      <w:bookmarkStart w:id="1418" w:name="_Toc536866686"/>
      <w:bookmarkStart w:id="1419" w:name="_Toc536867001"/>
      <w:bookmarkStart w:id="1420" w:name="_Toc536867316"/>
      <w:bookmarkStart w:id="1421" w:name="_Toc536867599"/>
      <w:bookmarkStart w:id="1422" w:name="_Toc536867882"/>
      <w:bookmarkStart w:id="1423" w:name="_Toc536868779"/>
      <w:bookmarkStart w:id="1424" w:name="_Toc536869110"/>
      <w:bookmarkStart w:id="1425" w:name="_Toc127953"/>
      <w:bookmarkStart w:id="1426" w:name="_Toc128347"/>
      <w:bookmarkStart w:id="1427" w:name="_Toc128741"/>
      <w:bookmarkStart w:id="1428" w:name="_Toc129135"/>
      <w:bookmarkStart w:id="1429" w:name="_Toc129529"/>
      <w:bookmarkStart w:id="1430" w:name="_Toc129922"/>
      <w:bookmarkStart w:id="1431" w:name="_Toc130316"/>
      <w:bookmarkStart w:id="1432" w:name="_Toc130710"/>
      <w:bookmarkStart w:id="1433" w:name="_Toc131104"/>
      <w:bookmarkStart w:id="1434" w:name="_Toc288999"/>
      <w:bookmarkStart w:id="1435" w:name="_Toc338165"/>
      <w:bookmarkStart w:id="1436" w:name="_Toc705597"/>
      <w:bookmarkStart w:id="1437" w:name="_Toc706583"/>
      <w:bookmarkStart w:id="1438" w:name="_Toc708892"/>
      <w:bookmarkStart w:id="1439" w:name="_Toc710257"/>
      <w:bookmarkStart w:id="1440" w:name="_Toc970276"/>
      <w:bookmarkStart w:id="1441" w:name="_Toc970651"/>
      <w:bookmarkStart w:id="1442" w:name="_Toc1135351"/>
      <w:bookmarkStart w:id="1443" w:name="_Toc1165665"/>
      <w:bookmarkStart w:id="1444" w:name="_Toc1207730"/>
      <w:bookmarkStart w:id="1445" w:name="_Toc1408346"/>
      <w:bookmarkStart w:id="1446" w:name="_Toc536865112"/>
      <w:bookmarkStart w:id="1447" w:name="_Toc536865427"/>
      <w:bookmarkStart w:id="1448" w:name="_Toc536865742"/>
      <w:bookmarkStart w:id="1449" w:name="_Toc536866057"/>
      <w:bookmarkStart w:id="1450" w:name="_Toc536866372"/>
      <w:bookmarkStart w:id="1451" w:name="_Toc536866687"/>
      <w:bookmarkStart w:id="1452" w:name="_Toc536867002"/>
      <w:bookmarkStart w:id="1453" w:name="_Toc536867317"/>
      <w:bookmarkStart w:id="1454" w:name="_Toc536867600"/>
      <w:bookmarkStart w:id="1455" w:name="_Toc536867883"/>
      <w:bookmarkStart w:id="1456" w:name="_Toc536868780"/>
      <w:bookmarkStart w:id="1457" w:name="_Toc536869111"/>
      <w:bookmarkStart w:id="1458" w:name="_Toc127954"/>
      <w:bookmarkStart w:id="1459" w:name="_Toc128348"/>
      <w:bookmarkStart w:id="1460" w:name="_Toc128742"/>
      <w:bookmarkStart w:id="1461" w:name="_Toc129136"/>
      <w:bookmarkStart w:id="1462" w:name="_Toc129530"/>
      <w:bookmarkStart w:id="1463" w:name="_Toc129923"/>
      <w:bookmarkStart w:id="1464" w:name="_Toc130317"/>
      <w:bookmarkStart w:id="1465" w:name="_Toc130711"/>
      <w:bookmarkStart w:id="1466" w:name="_Toc131105"/>
      <w:bookmarkStart w:id="1467" w:name="_Toc289000"/>
      <w:bookmarkStart w:id="1468" w:name="_Toc338166"/>
      <w:bookmarkStart w:id="1469" w:name="_Toc705598"/>
      <w:bookmarkStart w:id="1470" w:name="_Toc706584"/>
      <w:bookmarkStart w:id="1471" w:name="_Toc708893"/>
      <w:bookmarkStart w:id="1472" w:name="_Toc710258"/>
      <w:bookmarkStart w:id="1473" w:name="_Toc970277"/>
      <w:bookmarkStart w:id="1474" w:name="_Toc970652"/>
      <w:bookmarkStart w:id="1475" w:name="_Toc1135352"/>
      <w:bookmarkStart w:id="1476" w:name="_Toc1165666"/>
      <w:bookmarkStart w:id="1477" w:name="_Toc1207731"/>
      <w:bookmarkStart w:id="1478" w:name="_Toc1408347"/>
      <w:bookmarkStart w:id="1479" w:name="_Toc536865113"/>
      <w:bookmarkStart w:id="1480" w:name="_Toc536865428"/>
      <w:bookmarkStart w:id="1481" w:name="_Toc536865743"/>
      <w:bookmarkStart w:id="1482" w:name="_Toc536866058"/>
      <w:bookmarkStart w:id="1483" w:name="_Toc536866373"/>
      <w:bookmarkStart w:id="1484" w:name="_Toc536866688"/>
      <w:bookmarkStart w:id="1485" w:name="_Toc536867003"/>
      <w:bookmarkStart w:id="1486" w:name="_Toc536867318"/>
      <w:bookmarkStart w:id="1487" w:name="_Toc536867601"/>
      <w:bookmarkStart w:id="1488" w:name="_Toc536867884"/>
      <w:bookmarkStart w:id="1489" w:name="_Toc536868781"/>
      <w:bookmarkStart w:id="1490" w:name="_Toc536869112"/>
      <w:bookmarkStart w:id="1491" w:name="_Toc127955"/>
      <w:bookmarkStart w:id="1492" w:name="_Toc128349"/>
      <w:bookmarkStart w:id="1493" w:name="_Toc128743"/>
      <w:bookmarkStart w:id="1494" w:name="_Toc129137"/>
      <w:bookmarkStart w:id="1495" w:name="_Toc129531"/>
      <w:bookmarkStart w:id="1496" w:name="_Toc129924"/>
      <w:bookmarkStart w:id="1497" w:name="_Toc130318"/>
      <w:bookmarkStart w:id="1498" w:name="_Toc130712"/>
      <w:bookmarkStart w:id="1499" w:name="_Toc131106"/>
      <w:bookmarkStart w:id="1500" w:name="_Toc289001"/>
      <w:bookmarkStart w:id="1501" w:name="_Toc338167"/>
      <w:bookmarkStart w:id="1502" w:name="_Toc705599"/>
      <w:bookmarkStart w:id="1503" w:name="_Toc706585"/>
      <w:bookmarkStart w:id="1504" w:name="_Toc708894"/>
      <w:bookmarkStart w:id="1505" w:name="_Toc710259"/>
      <w:bookmarkStart w:id="1506" w:name="_Toc970278"/>
      <w:bookmarkStart w:id="1507" w:name="_Toc970653"/>
      <w:bookmarkStart w:id="1508" w:name="_Toc1135353"/>
      <w:bookmarkStart w:id="1509" w:name="_Toc1165667"/>
      <w:bookmarkStart w:id="1510" w:name="_Toc1207732"/>
      <w:bookmarkStart w:id="1511" w:name="_Toc1408348"/>
      <w:bookmarkStart w:id="1512" w:name="_Toc536865114"/>
      <w:bookmarkStart w:id="1513" w:name="_Toc536865429"/>
      <w:bookmarkStart w:id="1514" w:name="_Toc536865744"/>
      <w:bookmarkStart w:id="1515" w:name="_Toc536866059"/>
      <w:bookmarkStart w:id="1516" w:name="_Toc536866374"/>
      <w:bookmarkStart w:id="1517" w:name="_Toc536866689"/>
      <w:bookmarkStart w:id="1518" w:name="_Toc536867004"/>
      <w:bookmarkStart w:id="1519" w:name="_Toc536867319"/>
      <w:bookmarkStart w:id="1520" w:name="_Toc536867602"/>
      <w:bookmarkStart w:id="1521" w:name="_Toc536867885"/>
      <w:bookmarkStart w:id="1522" w:name="_Toc536868782"/>
      <w:bookmarkStart w:id="1523" w:name="_Toc536869113"/>
      <w:bookmarkStart w:id="1524" w:name="_Toc127956"/>
      <w:bookmarkStart w:id="1525" w:name="_Toc128350"/>
      <w:bookmarkStart w:id="1526" w:name="_Toc128744"/>
      <w:bookmarkStart w:id="1527" w:name="_Toc129138"/>
      <w:bookmarkStart w:id="1528" w:name="_Toc129532"/>
      <w:bookmarkStart w:id="1529" w:name="_Toc129925"/>
      <w:bookmarkStart w:id="1530" w:name="_Toc130319"/>
      <w:bookmarkStart w:id="1531" w:name="_Toc130713"/>
      <w:bookmarkStart w:id="1532" w:name="_Toc131107"/>
      <w:bookmarkStart w:id="1533" w:name="_Toc289002"/>
      <w:bookmarkStart w:id="1534" w:name="_Toc338168"/>
      <w:bookmarkStart w:id="1535" w:name="_Toc705600"/>
      <w:bookmarkStart w:id="1536" w:name="_Toc706586"/>
      <w:bookmarkStart w:id="1537" w:name="_Toc708895"/>
      <w:bookmarkStart w:id="1538" w:name="_Toc710260"/>
      <w:bookmarkStart w:id="1539" w:name="_Toc970279"/>
      <w:bookmarkStart w:id="1540" w:name="_Toc970654"/>
      <w:bookmarkStart w:id="1541" w:name="_Toc1135354"/>
      <w:bookmarkStart w:id="1542" w:name="_Toc1165668"/>
      <w:bookmarkStart w:id="1543" w:name="_Toc1207733"/>
      <w:bookmarkStart w:id="1544" w:name="_Toc1408349"/>
      <w:bookmarkStart w:id="1545" w:name="_Toc536865115"/>
      <w:bookmarkStart w:id="1546" w:name="_Toc536865430"/>
      <w:bookmarkStart w:id="1547" w:name="_Toc536865745"/>
      <w:bookmarkStart w:id="1548" w:name="_Toc536866060"/>
      <w:bookmarkStart w:id="1549" w:name="_Toc536866375"/>
      <w:bookmarkStart w:id="1550" w:name="_Toc536866690"/>
      <w:bookmarkStart w:id="1551" w:name="_Toc536867005"/>
      <w:bookmarkStart w:id="1552" w:name="_Toc536867320"/>
      <w:bookmarkStart w:id="1553" w:name="_Toc536867603"/>
      <w:bookmarkStart w:id="1554" w:name="_Toc536867886"/>
      <w:bookmarkStart w:id="1555" w:name="_Toc536868783"/>
      <w:bookmarkStart w:id="1556" w:name="_Toc536869114"/>
      <w:bookmarkStart w:id="1557" w:name="_Toc127957"/>
      <w:bookmarkStart w:id="1558" w:name="_Toc128351"/>
      <w:bookmarkStart w:id="1559" w:name="_Toc128745"/>
      <w:bookmarkStart w:id="1560" w:name="_Toc129139"/>
      <w:bookmarkStart w:id="1561" w:name="_Toc129533"/>
      <w:bookmarkStart w:id="1562" w:name="_Toc129926"/>
      <w:bookmarkStart w:id="1563" w:name="_Toc130320"/>
      <w:bookmarkStart w:id="1564" w:name="_Toc130714"/>
      <w:bookmarkStart w:id="1565" w:name="_Toc131108"/>
      <w:bookmarkStart w:id="1566" w:name="_Toc289003"/>
      <w:bookmarkStart w:id="1567" w:name="_Toc338169"/>
      <w:bookmarkStart w:id="1568" w:name="_Toc705601"/>
      <w:bookmarkStart w:id="1569" w:name="_Toc706587"/>
      <w:bookmarkStart w:id="1570" w:name="_Toc708896"/>
      <w:bookmarkStart w:id="1571" w:name="_Toc710261"/>
      <w:bookmarkStart w:id="1572" w:name="_Toc970280"/>
      <w:bookmarkStart w:id="1573" w:name="_Toc970655"/>
      <w:bookmarkStart w:id="1574" w:name="_Toc1135355"/>
      <w:bookmarkStart w:id="1575" w:name="_Toc1165669"/>
      <w:bookmarkStart w:id="1576" w:name="_Toc1207734"/>
      <w:bookmarkStart w:id="1577" w:name="_Toc1408350"/>
      <w:bookmarkStart w:id="1578" w:name="_Toc536865116"/>
      <w:bookmarkStart w:id="1579" w:name="_Toc536865431"/>
      <w:bookmarkStart w:id="1580" w:name="_Toc536865746"/>
      <w:bookmarkStart w:id="1581" w:name="_Toc536866061"/>
      <w:bookmarkStart w:id="1582" w:name="_Toc536866376"/>
      <w:bookmarkStart w:id="1583" w:name="_Toc536866691"/>
      <w:bookmarkStart w:id="1584" w:name="_Toc536867006"/>
      <w:bookmarkStart w:id="1585" w:name="_Toc536867321"/>
      <w:bookmarkStart w:id="1586" w:name="_Toc536867604"/>
      <w:bookmarkStart w:id="1587" w:name="_Toc536867887"/>
      <w:bookmarkStart w:id="1588" w:name="_Toc536868784"/>
      <w:bookmarkStart w:id="1589" w:name="_Toc536869115"/>
      <w:bookmarkStart w:id="1590" w:name="_Toc127958"/>
      <w:bookmarkStart w:id="1591" w:name="_Toc128352"/>
      <w:bookmarkStart w:id="1592" w:name="_Toc128746"/>
      <w:bookmarkStart w:id="1593" w:name="_Toc129140"/>
      <w:bookmarkStart w:id="1594" w:name="_Toc129534"/>
      <w:bookmarkStart w:id="1595" w:name="_Toc129927"/>
      <w:bookmarkStart w:id="1596" w:name="_Toc130321"/>
      <w:bookmarkStart w:id="1597" w:name="_Toc130715"/>
      <w:bookmarkStart w:id="1598" w:name="_Toc131109"/>
      <w:bookmarkStart w:id="1599" w:name="_Toc289004"/>
      <w:bookmarkStart w:id="1600" w:name="_Toc338170"/>
      <w:bookmarkStart w:id="1601" w:name="_Toc705602"/>
      <w:bookmarkStart w:id="1602" w:name="_Toc706588"/>
      <w:bookmarkStart w:id="1603" w:name="_Toc708897"/>
      <w:bookmarkStart w:id="1604" w:name="_Toc710262"/>
      <w:bookmarkStart w:id="1605" w:name="_Toc970281"/>
      <w:bookmarkStart w:id="1606" w:name="_Toc970656"/>
      <w:bookmarkStart w:id="1607" w:name="_Toc1135356"/>
      <w:bookmarkStart w:id="1608" w:name="_Toc1165670"/>
      <w:bookmarkStart w:id="1609" w:name="_Toc1207735"/>
      <w:bookmarkStart w:id="1610" w:name="_Toc1408351"/>
      <w:bookmarkStart w:id="1611" w:name="_Toc536865117"/>
      <w:bookmarkStart w:id="1612" w:name="_Toc536865432"/>
      <w:bookmarkStart w:id="1613" w:name="_Toc536865747"/>
      <w:bookmarkStart w:id="1614" w:name="_Toc536866062"/>
      <w:bookmarkStart w:id="1615" w:name="_Toc536866377"/>
      <w:bookmarkStart w:id="1616" w:name="_Toc536866692"/>
      <w:bookmarkStart w:id="1617" w:name="_Toc536867007"/>
      <w:bookmarkStart w:id="1618" w:name="_Toc536867322"/>
      <w:bookmarkStart w:id="1619" w:name="_Toc536867605"/>
      <w:bookmarkStart w:id="1620" w:name="_Toc536867888"/>
      <w:bookmarkStart w:id="1621" w:name="_Toc536868785"/>
      <w:bookmarkStart w:id="1622" w:name="_Toc536869116"/>
      <w:bookmarkStart w:id="1623" w:name="_Toc127959"/>
      <w:bookmarkStart w:id="1624" w:name="_Toc128353"/>
      <w:bookmarkStart w:id="1625" w:name="_Toc128747"/>
      <w:bookmarkStart w:id="1626" w:name="_Toc129141"/>
      <w:bookmarkStart w:id="1627" w:name="_Toc129535"/>
      <w:bookmarkStart w:id="1628" w:name="_Toc129928"/>
      <w:bookmarkStart w:id="1629" w:name="_Toc130322"/>
      <w:bookmarkStart w:id="1630" w:name="_Toc130716"/>
      <w:bookmarkStart w:id="1631" w:name="_Toc131110"/>
      <w:bookmarkStart w:id="1632" w:name="_Toc289005"/>
      <w:bookmarkStart w:id="1633" w:name="_Toc338171"/>
      <w:bookmarkStart w:id="1634" w:name="_Toc705603"/>
      <w:bookmarkStart w:id="1635" w:name="_Toc706589"/>
      <w:bookmarkStart w:id="1636" w:name="_Toc708898"/>
      <w:bookmarkStart w:id="1637" w:name="_Toc710263"/>
      <w:bookmarkStart w:id="1638" w:name="_Toc970282"/>
      <w:bookmarkStart w:id="1639" w:name="_Toc970657"/>
      <w:bookmarkStart w:id="1640" w:name="_Toc1135357"/>
      <w:bookmarkStart w:id="1641" w:name="_Toc1165671"/>
      <w:bookmarkStart w:id="1642" w:name="_Toc1207736"/>
      <w:bookmarkStart w:id="1643" w:name="_Toc1408352"/>
      <w:bookmarkStart w:id="1644" w:name="_Toc536865118"/>
      <w:bookmarkStart w:id="1645" w:name="_Toc536865433"/>
      <w:bookmarkStart w:id="1646" w:name="_Toc536865748"/>
      <w:bookmarkStart w:id="1647" w:name="_Toc536866063"/>
      <w:bookmarkStart w:id="1648" w:name="_Toc536866378"/>
      <w:bookmarkStart w:id="1649" w:name="_Toc536866693"/>
      <w:bookmarkStart w:id="1650" w:name="_Toc536867008"/>
      <w:bookmarkStart w:id="1651" w:name="_Toc536867323"/>
      <w:bookmarkStart w:id="1652" w:name="_Toc536867606"/>
      <w:bookmarkStart w:id="1653" w:name="_Toc536867889"/>
      <w:bookmarkStart w:id="1654" w:name="_Toc536868786"/>
      <w:bookmarkStart w:id="1655" w:name="_Toc536869117"/>
      <w:bookmarkStart w:id="1656" w:name="_Toc127960"/>
      <w:bookmarkStart w:id="1657" w:name="_Toc128354"/>
      <w:bookmarkStart w:id="1658" w:name="_Toc128748"/>
      <w:bookmarkStart w:id="1659" w:name="_Toc129142"/>
      <w:bookmarkStart w:id="1660" w:name="_Toc129536"/>
      <w:bookmarkStart w:id="1661" w:name="_Toc129929"/>
      <w:bookmarkStart w:id="1662" w:name="_Toc130323"/>
      <w:bookmarkStart w:id="1663" w:name="_Toc130717"/>
      <w:bookmarkStart w:id="1664" w:name="_Toc131111"/>
      <w:bookmarkStart w:id="1665" w:name="_Toc289006"/>
      <w:bookmarkStart w:id="1666" w:name="_Toc338172"/>
      <w:bookmarkStart w:id="1667" w:name="_Toc705604"/>
      <w:bookmarkStart w:id="1668" w:name="_Toc706590"/>
      <w:bookmarkStart w:id="1669" w:name="_Toc708899"/>
      <w:bookmarkStart w:id="1670" w:name="_Toc710264"/>
      <w:bookmarkStart w:id="1671" w:name="_Toc970283"/>
      <w:bookmarkStart w:id="1672" w:name="_Toc970658"/>
      <w:bookmarkStart w:id="1673" w:name="_Toc1135358"/>
      <w:bookmarkStart w:id="1674" w:name="_Toc1165672"/>
      <w:bookmarkStart w:id="1675" w:name="_Toc1207737"/>
      <w:bookmarkStart w:id="1676" w:name="_Toc1408353"/>
      <w:bookmarkStart w:id="1677" w:name="_Toc536865119"/>
      <w:bookmarkStart w:id="1678" w:name="_Toc536865434"/>
      <w:bookmarkStart w:id="1679" w:name="_Toc536865749"/>
      <w:bookmarkStart w:id="1680" w:name="_Toc536866064"/>
      <w:bookmarkStart w:id="1681" w:name="_Toc536866379"/>
      <w:bookmarkStart w:id="1682" w:name="_Toc536866694"/>
      <w:bookmarkStart w:id="1683" w:name="_Toc536867009"/>
      <w:bookmarkStart w:id="1684" w:name="_Toc536867324"/>
      <w:bookmarkStart w:id="1685" w:name="_Toc536867607"/>
      <w:bookmarkStart w:id="1686" w:name="_Toc536867890"/>
      <w:bookmarkStart w:id="1687" w:name="_Toc536868787"/>
      <w:bookmarkStart w:id="1688" w:name="_Toc536869118"/>
      <w:bookmarkStart w:id="1689" w:name="_Toc127961"/>
      <w:bookmarkStart w:id="1690" w:name="_Toc128355"/>
      <w:bookmarkStart w:id="1691" w:name="_Toc128749"/>
      <w:bookmarkStart w:id="1692" w:name="_Toc129143"/>
      <w:bookmarkStart w:id="1693" w:name="_Toc129537"/>
      <w:bookmarkStart w:id="1694" w:name="_Toc129930"/>
      <w:bookmarkStart w:id="1695" w:name="_Toc130324"/>
      <w:bookmarkStart w:id="1696" w:name="_Toc130718"/>
      <w:bookmarkStart w:id="1697" w:name="_Toc131112"/>
      <w:bookmarkStart w:id="1698" w:name="_Toc289007"/>
      <w:bookmarkStart w:id="1699" w:name="_Toc338173"/>
      <w:bookmarkStart w:id="1700" w:name="_Toc705605"/>
      <w:bookmarkStart w:id="1701" w:name="_Toc706591"/>
      <w:bookmarkStart w:id="1702" w:name="_Toc708900"/>
      <w:bookmarkStart w:id="1703" w:name="_Toc710265"/>
      <w:bookmarkStart w:id="1704" w:name="_Toc970284"/>
      <w:bookmarkStart w:id="1705" w:name="_Toc970659"/>
      <w:bookmarkStart w:id="1706" w:name="_Toc1135359"/>
      <w:bookmarkStart w:id="1707" w:name="_Toc1165673"/>
      <w:bookmarkStart w:id="1708" w:name="_Toc1207738"/>
      <w:bookmarkStart w:id="1709" w:name="_Toc1408354"/>
      <w:bookmarkStart w:id="1710" w:name="_Toc536865120"/>
      <w:bookmarkStart w:id="1711" w:name="_Toc536865435"/>
      <w:bookmarkStart w:id="1712" w:name="_Toc536865750"/>
      <w:bookmarkStart w:id="1713" w:name="_Toc536866065"/>
      <w:bookmarkStart w:id="1714" w:name="_Toc536866380"/>
      <w:bookmarkStart w:id="1715" w:name="_Toc536866695"/>
      <w:bookmarkStart w:id="1716" w:name="_Toc536867010"/>
      <w:bookmarkStart w:id="1717" w:name="_Toc536867325"/>
      <w:bookmarkStart w:id="1718" w:name="_Toc536867608"/>
      <w:bookmarkStart w:id="1719" w:name="_Toc536867891"/>
      <w:bookmarkStart w:id="1720" w:name="_Toc536868788"/>
      <w:bookmarkStart w:id="1721" w:name="_Toc536869119"/>
      <w:bookmarkStart w:id="1722" w:name="_Toc127962"/>
      <w:bookmarkStart w:id="1723" w:name="_Toc128356"/>
      <w:bookmarkStart w:id="1724" w:name="_Toc128750"/>
      <w:bookmarkStart w:id="1725" w:name="_Toc129144"/>
      <w:bookmarkStart w:id="1726" w:name="_Toc129538"/>
      <w:bookmarkStart w:id="1727" w:name="_Toc129931"/>
      <w:bookmarkStart w:id="1728" w:name="_Toc130325"/>
      <w:bookmarkStart w:id="1729" w:name="_Toc130719"/>
      <w:bookmarkStart w:id="1730" w:name="_Toc131113"/>
      <w:bookmarkStart w:id="1731" w:name="_Toc289008"/>
      <w:bookmarkStart w:id="1732" w:name="_Toc338174"/>
      <w:bookmarkStart w:id="1733" w:name="_Toc705606"/>
      <w:bookmarkStart w:id="1734" w:name="_Toc706592"/>
      <w:bookmarkStart w:id="1735" w:name="_Toc708901"/>
      <w:bookmarkStart w:id="1736" w:name="_Toc710266"/>
      <w:bookmarkStart w:id="1737" w:name="_Toc970285"/>
      <w:bookmarkStart w:id="1738" w:name="_Toc970660"/>
      <w:bookmarkStart w:id="1739" w:name="_Toc1135360"/>
      <w:bookmarkStart w:id="1740" w:name="_Toc1165674"/>
      <w:bookmarkStart w:id="1741" w:name="_Toc1207739"/>
      <w:bookmarkStart w:id="1742" w:name="_Toc1408355"/>
      <w:bookmarkStart w:id="1743" w:name="_Toc536865121"/>
      <w:bookmarkStart w:id="1744" w:name="_Toc536865436"/>
      <w:bookmarkStart w:id="1745" w:name="_Toc536865751"/>
      <w:bookmarkStart w:id="1746" w:name="_Toc536866066"/>
      <w:bookmarkStart w:id="1747" w:name="_Toc536866381"/>
      <w:bookmarkStart w:id="1748" w:name="_Toc536866696"/>
      <w:bookmarkStart w:id="1749" w:name="_Toc536867011"/>
      <w:bookmarkStart w:id="1750" w:name="_Toc536867326"/>
      <w:bookmarkStart w:id="1751" w:name="_Toc536867609"/>
      <w:bookmarkStart w:id="1752" w:name="_Toc536867892"/>
      <w:bookmarkStart w:id="1753" w:name="_Toc536868789"/>
      <w:bookmarkStart w:id="1754" w:name="_Toc536869120"/>
      <w:bookmarkStart w:id="1755" w:name="_Toc127963"/>
      <w:bookmarkStart w:id="1756" w:name="_Toc128357"/>
      <w:bookmarkStart w:id="1757" w:name="_Toc128751"/>
      <w:bookmarkStart w:id="1758" w:name="_Toc129145"/>
      <w:bookmarkStart w:id="1759" w:name="_Toc129539"/>
      <w:bookmarkStart w:id="1760" w:name="_Toc129932"/>
      <w:bookmarkStart w:id="1761" w:name="_Toc130326"/>
      <w:bookmarkStart w:id="1762" w:name="_Toc130720"/>
      <w:bookmarkStart w:id="1763" w:name="_Toc131114"/>
      <w:bookmarkStart w:id="1764" w:name="_Toc289009"/>
      <w:bookmarkStart w:id="1765" w:name="_Toc338175"/>
      <w:bookmarkStart w:id="1766" w:name="_Toc705607"/>
      <w:bookmarkStart w:id="1767" w:name="_Toc706593"/>
      <w:bookmarkStart w:id="1768" w:name="_Toc708902"/>
      <w:bookmarkStart w:id="1769" w:name="_Toc710267"/>
      <w:bookmarkStart w:id="1770" w:name="_Toc970286"/>
      <w:bookmarkStart w:id="1771" w:name="_Toc970661"/>
      <w:bookmarkStart w:id="1772" w:name="_Toc1135361"/>
      <w:bookmarkStart w:id="1773" w:name="_Toc1165675"/>
      <w:bookmarkStart w:id="1774" w:name="_Toc1207740"/>
      <w:bookmarkStart w:id="1775" w:name="_Toc1408356"/>
      <w:bookmarkStart w:id="1776" w:name="_Toc536865122"/>
      <w:bookmarkStart w:id="1777" w:name="_Toc536865437"/>
      <w:bookmarkStart w:id="1778" w:name="_Toc536865752"/>
      <w:bookmarkStart w:id="1779" w:name="_Toc536866067"/>
      <w:bookmarkStart w:id="1780" w:name="_Toc536866382"/>
      <w:bookmarkStart w:id="1781" w:name="_Toc536866697"/>
      <w:bookmarkStart w:id="1782" w:name="_Toc536867012"/>
      <w:bookmarkStart w:id="1783" w:name="_Toc536867327"/>
      <w:bookmarkStart w:id="1784" w:name="_Toc536867610"/>
      <w:bookmarkStart w:id="1785" w:name="_Toc536867893"/>
      <w:bookmarkStart w:id="1786" w:name="_Toc536868790"/>
      <w:bookmarkStart w:id="1787" w:name="_Toc536869121"/>
      <w:bookmarkStart w:id="1788" w:name="_Toc127964"/>
      <w:bookmarkStart w:id="1789" w:name="_Toc128358"/>
      <w:bookmarkStart w:id="1790" w:name="_Toc128752"/>
      <w:bookmarkStart w:id="1791" w:name="_Toc129146"/>
      <w:bookmarkStart w:id="1792" w:name="_Toc129540"/>
      <w:bookmarkStart w:id="1793" w:name="_Toc129933"/>
      <w:bookmarkStart w:id="1794" w:name="_Toc130327"/>
      <w:bookmarkStart w:id="1795" w:name="_Toc130721"/>
      <w:bookmarkStart w:id="1796" w:name="_Toc131115"/>
      <w:bookmarkStart w:id="1797" w:name="_Toc289010"/>
      <w:bookmarkStart w:id="1798" w:name="_Toc338176"/>
      <w:bookmarkStart w:id="1799" w:name="_Toc705608"/>
      <w:bookmarkStart w:id="1800" w:name="_Toc706594"/>
      <w:bookmarkStart w:id="1801" w:name="_Toc708903"/>
      <w:bookmarkStart w:id="1802" w:name="_Toc710268"/>
      <w:bookmarkStart w:id="1803" w:name="_Toc970287"/>
      <w:bookmarkStart w:id="1804" w:name="_Toc970662"/>
      <w:bookmarkStart w:id="1805" w:name="_Toc1135362"/>
      <w:bookmarkStart w:id="1806" w:name="_Toc1165676"/>
      <w:bookmarkStart w:id="1807" w:name="_Toc1207741"/>
      <w:bookmarkStart w:id="1808" w:name="_Toc1408357"/>
      <w:bookmarkStart w:id="1809" w:name="_Toc536865123"/>
      <w:bookmarkStart w:id="1810" w:name="_Toc536865438"/>
      <w:bookmarkStart w:id="1811" w:name="_Toc536865753"/>
      <w:bookmarkStart w:id="1812" w:name="_Toc536866068"/>
      <w:bookmarkStart w:id="1813" w:name="_Toc536866383"/>
      <w:bookmarkStart w:id="1814" w:name="_Toc536866698"/>
      <w:bookmarkStart w:id="1815" w:name="_Toc536867013"/>
      <w:bookmarkStart w:id="1816" w:name="_Toc536867328"/>
      <w:bookmarkStart w:id="1817" w:name="_Toc536867611"/>
      <w:bookmarkStart w:id="1818" w:name="_Toc536867894"/>
      <w:bookmarkStart w:id="1819" w:name="_Toc536868791"/>
      <w:bookmarkStart w:id="1820" w:name="_Toc536869122"/>
      <w:bookmarkStart w:id="1821" w:name="_Toc127965"/>
      <w:bookmarkStart w:id="1822" w:name="_Toc128359"/>
      <w:bookmarkStart w:id="1823" w:name="_Toc128753"/>
      <w:bookmarkStart w:id="1824" w:name="_Toc129147"/>
      <w:bookmarkStart w:id="1825" w:name="_Toc129541"/>
      <w:bookmarkStart w:id="1826" w:name="_Toc129934"/>
      <w:bookmarkStart w:id="1827" w:name="_Toc130328"/>
      <w:bookmarkStart w:id="1828" w:name="_Toc130722"/>
      <w:bookmarkStart w:id="1829" w:name="_Toc131116"/>
      <w:bookmarkStart w:id="1830" w:name="_Toc289011"/>
      <w:bookmarkStart w:id="1831" w:name="_Toc338177"/>
      <w:bookmarkStart w:id="1832" w:name="_Toc705609"/>
      <w:bookmarkStart w:id="1833" w:name="_Toc706595"/>
      <w:bookmarkStart w:id="1834" w:name="_Toc708904"/>
      <w:bookmarkStart w:id="1835" w:name="_Toc710269"/>
      <w:bookmarkStart w:id="1836" w:name="_Toc970288"/>
      <w:bookmarkStart w:id="1837" w:name="_Toc970663"/>
      <w:bookmarkStart w:id="1838" w:name="_Toc1135363"/>
      <w:bookmarkStart w:id="1839" w:name="_Toc1165677"/>
      <w:bookmarkStart w:id="1840" w:name="_Toc1207742"/>
      <w:bookmarkStart w:id="1841" w:name="_Toc1408358"/>
      <w:bookmarkStart w:id="1842" w:name="_Toc525304752"/>
      <w:bookmarkStart w:id="1843" w:name="_Toc525367931"/>
      <w:bookmarkStart w:id="1844" w:name="_Toc526237969"/>
      <w:bookmarkStart w:id="1845" w:name="_Toc526242437"/>
      <w:bookmarkStart w:id="1846" w:name="_Toc526318292"/>
      <w:bookmarkStart w:id="1847" w:name="_Toc526318384"/>
      <w:bookmarkStart w:id="1848" w:name="_Toc526318476"/>
      <w:bookmarkStart w:id="1849" w:name="_Toc529627505"/>
      <w:bookmarkStart w:id="1850" w:name="_Toc533172141"/>
      <w:bookmarkStart w:id="1851" w:name="_Toc534451404"/>
      <w:bookmarkStart w:id="1852" w:name="_Toc534451677"/>
      <w:bookmarkStart w:id="1853" w:name="_Toc534451950"/>
      <w:bookmarkStart w:id="1854" w:name="_Toc534452790"/>
      <w:bookmarkStart w:id="1855" w:name="_Toc534629215"/>
      <w:bookmarkStart w:id="1856" w:name="_Toc534629489"/>
      <w:bookmarkStart w:id="1857" w:name="_Toc534649258"/>
      <w:bookmarkStart w:id="1858" w:name="_Toc534715317"/>
      <w:bookmarkStart w:id="1859" w:name="_Toc534734454"/>
      <w:bookmarkStart w:id="1860" w:name="_Toc534734730"/>
      <w:bookmarkStart w:id="1861" w:name="_Toc536717394"/>
      <w:bookmarkStart w:id="1862" w:name="_Toc536862571"/>
      <w:bookmarkStart w:id="1863" w:name="_Toc536863940"/>
      <w:bookmarkStart w:id="1864" w:name="_Toc536864327"/>
      <w:bookmarkStart w:id="1865" w:name="_Toc536864828"/>
      <w:bookmarkStart w:id="1866" w:name="_Toc536865124"/>
      <w:bookmarkStart w:id="1867" w:name="_Toc536865439"/>
      <w:bookmarkStart w:id="1868" w:name="_Toc536865754"/>
      <w:bookmarkStart w:id="1869" w:name="_Toc536866069"/>
      <w:bookmarkStart w:id="1870" w:name="_Toc536866384"/>
      <w:bookmarkStart w:id="1871" w:name="_Toc536866699"/>
      <w:bookmarkStart w:id="1872" w:name="_Toc536867014"/>
      <w:bookmarkStart w:id="1873" w:name="_Toc536867329"/>
      <w:bookmarkStart w:id="1874" w:name="_Toc536867612"/>
      <w:bookmarkStart w:id="1875" w:name="_Toc536867895"/>
      <w:bookmarkStart w:id="1876" w:name="_Toc536868792"/>
      <w:bookmarkStart w:id="1877" w:name="_Toc536869123"/>
      <w:bookmarkStart w:id="1878" w:name="_Toc127966"/>
      <w:bookmarkStart w:id="1879" w:name="_Toc128360"/>
      <w:bookmarkStart w:id="1880" w:name="_Toc128754"/>
      <w:bookmarkStart w:id="1881" w:name="_Toc129148"/>
      <w:bookmarkStart w:id="1882" w:name="_Toc129542"/>
      <w:bookmarkStart w:id="1883" w:name="_Toc129935"/>
      <w:bookmarkStart w:id="1884" w:name="_Toc130329"/>
      <w:bookmarkStart w:id="1885" w:name="_Toc130723"/>
      <w:bookmarkStart w:id="1886" w:name="_Toc131117"/>
      <w:bookmarkStart w:id="1887" w:name="_Toc289012"/>
      <w:bookmarkStart w:id="1888" w:name="_Toc338178"/>
      <w:bookmarkStart w:id="1889" w:name="_Toc705610"/>
      <w:bookmarkStart w:id="1890" w:name="_Toc706596"/>
      <w:bookmarkStart w:id="1891" w:name="_Toc708905"/>
      <w:bookmarkStart w:id="1892" w:name="_Toc710270"/>
      <w:bookmarkStart w:id="1893" w:name="_Toc970289"/>
      <w:bookmarkStart w:id="1894" w:name="_Toc970664"/>
      <w:bookmarkStart w:id="1895" w:name="_Toc1135364"/>
      <w:bookmarkStart w:id="1896" w:name="_Toc1165678"/>
      <w:bookmarkStart w:id="1897" w:name="_Toc1207743"/>
      <w:bookmarkStart w:id="1898" w:name="_Toc1408359"/>
      <w:bookmarkStart w:id="1899" w:name="_Toc536865125"/>
      <w:bookmarkStart w:id="1900" w:name="_Toc536865440"/>
      <w:bookmarkStart w:id="1901" w:name="_Toc536865755"/>
      <w:bookmarkStart w:id="1902" w:name="_Toc536866070"/>
      <w:bookmarkStart w:id="1903" w:name="_Toc536866385"/>
      <w:bookmarkStart w:id="1904" w:name="_Toc536866700"/>
      <w:bookmarkStart w:id="1905" w:name="_Toc536867015"/>
      <w:bookmarkStart w:id="1906" w:name="_Toc536867330"/>
      <w:bookmarkStart w:id="1907" w:name="_Toc536867613"/>
      <w:bookmarkStart w:id="1908" w:name="_Toc536867896"/>
      <w:bookmarkStart w:id="1909" w:name="_Toc536868793"/>
      <w:bookmarkStart w:id="1910" w:name="_Toc536869124"/>
      <w:bookmarkStart w:id="1911" w:name="_Toc127967"/>
      <w:bookmarkStart w:id="1912" w:name="_Toc128361"/>
      <w:bookmarkStart w:id="1913" w:name="_Toc128755"/>
      <w:bookmarkStart w:id="1914" w:name="_Toc129149"/>
      <w:bookmarkStart w:id="1915" w:name="_Toc129543"/>
      <w:bookmarkStart w:id="1916" w:name="_Toc129936"/>
      <w:bookmarkStart w:id="1917" w:name="_Toc130330"/>
      <w:bookmarkStart w:id="1918" w:name="_Toc130724"/>
      <w:bookmarkStart w:id="1919" w:name="_Toc131118"/>
      <w:bookmarkStart w:id="1920" w:name="_Toc289013"/>
      <w:bookmarkStart w:id="1921" w:name="_Toc338179"/>
      <w:bookmarkStart w:id="1922" w:name="_Toc705611"/>
      <w:bookmarkStart w:id="1923" w:name="_Toc706597"/>
      <w:bookmarkStart w:id="1924" w:name="_Toc708906"/>
      <w:bookmarkStart w:id="1925" w:name="_Toc710271"/>
      <w:bookmarkStart w:id="1926" w:name="_Toc970290"/>
      <w:bookmarkStart w:id="1927" w:name="_Toc970665"/>
      <w:bookmarkStart w:id="1928" w:name="_Toc1135365"/>
      <w:bookmarkStart w:id="1929" w:name="_Toc1165679"/>
      <w:bookmarkStart w:id="1930" w:name="_Toc1207744"/>
      <w:bookmarkStart w:id="1931" w:name="_Toc1408360"/>
      <w:bookmarkStart w:id="1932" w:name="_Toc536865126"/>
      <w:bookmarkStart w:id="1933" w:name="_Toc536865441"/>
      <w:bookmarkStart w:id="1934" w:name="_Toc536865756"/>
      <w:bookmarkStart w:id="1935" w:name="_Toc536866071"/>
      <w:bookmarkStart w:id="1936" w:name="_Toc536866386"/>
      <w:bookmarkStart w:id="1937" w:name="_Toc536866701"/>
      <w:bookmarkStart w:id="1938" w:name="_Toc536867016"/>
      <w:bookmarkStart w:id="1939" w:name="_Toc536867331"/>
      <w:bookmarkStart w:id="1940" w:name="_Toc536867614"/>
      <w:bookmarkStart w:id="1941" w:name="_Toc536867897"/>
      <w:bookmarkStart w:id="1942" w:name="_Toc536868794"/>
      <w:bookmarkStart w:id="1943" w:name="_Toc536869125"/>
      <w:bookmarkStart w:id="1944" w:name="_Toc127968"/>
      <w:bookmarkStart w:id="1945" w:name="_Toc128362"/>
      <w:bookmarkStart w:id="1946" w:name="_Toc128756"/>
      <w:bookmarkStart w:id="1947" w:name="_Toc129150"/>
      <w:bookmarkStart w:id="1948" w:name="_Toc129544"/>
      <w:bookmarkStart w:id="1949" w:name="_Toc129937"/>
      <w:bookmarkStart w:id="1950" w:name="_Toc130331"/>
      <w:bookmarkStart w:id="1951" w:name="_Toc130725"/>
      <w:bookmarkStart w:id="1952" w:name="_Toc131119"/>
      <w:bookmarkStart w:id="1953" w:name="_Toc289014"/>
      <w:bookmarkStart w:id="1954" w:name="_Toc338180"/>
      <w:bookmarkStart w:id="1955" w:name="_Toc705612"/>
      <w:bookmarkStart w:id="1956" w:name="_Toc706598"/>
      <w:bookmarkStart w:id="1957" w:name="_Toc708907"/>
      <w:bookmarkStart w:id="1958" w:name="_Toc710272"/>
      <w:bookmarkStart w:id="1959" w:name="_Toc970291"/>
      <w:bookmarkStart w:id="1960" w:name="_Toc970666"/>
      <w:bookmarkStart w:id="1961" w:name="_Toc1135366"/>
      <w:bookmarkStart w:id="1962" w:name="_Toc1165680"/>
      <w:bookmarkStart w:id="1963" w:name="_Toc1207745"/>
      <w:bookmarkStart w:id="1964" w:name="_Toc1408361"/>
      <w:bookmarkStart w:id="1965" w:name="_Toc536865127"/>
      <w:bookmarkStart w:id="1966" w:name="_Toc536865442"/>
      <w:bookmarkStart w:id="1967" w:name="_Toc536865757"/>
      <w:bookmarkStart w:id="1968" w:name="_Toc536866072"/>
      <w:bookmarkStart w:id="1969" w:name="_Toc536866387"/>
      <w:bookmarkStart w:id="1970" w:name="_Toc536866702"/>
      <w:bookmarkStart w:id="1971" w:name="_Toc536867017"/>
      <w:bookmarkStart w:id="1972" w:name="_Toc536867332"/>
      <w:bookmarkStart w:id="1973" w:name="_Toc536867615"/>
      <w:bookmarkStart w:id="1974" w:name="_Toc536867898"/>
      <w:bookmarkStart w:id="1975" w:name="_Toc536868795"/>
      <w:bookmarkStart w:id="1976" w:name="_Toc536869126"/>
      <w:bookmarkStart w:id="1977" w:name="_Toc127969"/>
      <w:bookmarkStart w:id="1978" w:name="_Toc128363"/>
      <w:bookmarkStart w:id="1979" w:name="_Toc128757"/>
      <w:bookmarkStart w:id="1980" w:name="_Toc129151"/>
      <w:bookmarkStart w:id="1981" w:name="_Toc129545"/>
      <w:bookmarkStart w:id="1982" w:name="_Toc129938"/>
      <w:bookmarkStart w:id="1983" w:name="_Toc130332"/>
      <w:bookmarkStart w:id="1984" w:name="_Toc130726"/>
      <w:bookmarkStart w:id="1985" w:name="_Toc131120"/>
      <w:bookmarkStart w:id="1986" w:name="_Toc289015"/>
      <w:bookmarkStart w:id="1987" w:name="_Toc338181"/>
      <w:bookmarkStart w:id="1988" w:name="_Toc705613"/>
      <w:bookmarkStart w:id="1989" w:name="_Toc706599"/>
      <w:bookmarkStart w:id="1990" w:name="_Toc708908"/>
      <w:bookmarkStart w:id="1991" w:name="_Toc710273"/>
      <w:bookmarkStart w:id="1992" w:name="_Toc970292"/>
      <w:bookmarkStart w:id="1993" w:name="_Toc970667"/>
      <w:bookmarkStart w:id="1994" w:name="_Toc1135367"/>
      <w:bookmarkStart w:id="1995" w:name="_Toc1165681"/>
      <w:bookmarkStart w:id="1996" w:name="_Toc1207746"/>
      <w:bookmarkStart w:id="1997" w:name="_Toc1408362"/>
      <w:bookmarkStart w:id="1998" w:name="_Toc536865128"/>
      <w:bookmarkStart w:id="1999" w:name="_Toc536865443"/>
      <w:bookmarkStart w:id="2000" w:name="_Toc536865758"/>
      <w:bookmarkStart w:id="2001" w:name="_Toc536866073"/>
      <w:bookmarkStart w:id="2002" w:name="_Toc536866388"/>
      <w:bookmarkStart w:id="2003" w:name="_Toc536866703"/>
      <w:bookmarkStart w:id="2004" w:name="_Toc536867018"/>
      <w:bookmarkStart w:id="2005" w:name="_Toc536867333"/>
      <w:bookmarkStart w:id="2006" w:name="_Toc536867616"/>
      <w:bookmarkStart w:id="2007" w:name="_Toc536867899"/>
      <w:bookmarkStart w:id="2008" w:name="_Toc536868796"/>
      <w:bookmarkStart w:id="2009" w:name="_Toc536869127"/>
      <w:bookmarkStart w:id="2010" w:name="_Toc127970"/>
      <w:bookmarkStart w:id="2011" w:name="_Toc128364"/>
      <w:bookmarkStart w:id="2012" w:name="_Toc128758"/>
      <w:bookmarkStart w:id="2013" w:name="_Toc129152"/>
      <w:bookmarkStart w:id="2014" w:name="_Toc129546"/>
      <w:bookmarkStart w:id="2015" w:name="_Toc129939"/>
      <w:bookmarkStart w:id="2016" w:name="_Toc130333"/>
      <w:bookmarkStart w:id="2017" w:name="_Toc130727"/>
      <w:bookmarkStart w:id="2018" w:name="_Toc131121"/>
      <w:bookmarkStart w:id="2019" w:name="_Toc289016"/>
      <w:bookmarkStart w:id="2020" w:name="_Toc338182"/>
      <w:bookmarkStart w:id="2021" w:name="_Toc705614"/>
      <w:bookmarkStart w:id="2022" w:name="_Toc706600"/>
      <w:bookmarkStart w:id="2023" w:name="_Toc708909"/>
      <w:bookmarkStart w:id="2024" w:name="_Toc710274"/>
      <w:bookmarkStart w:id="2025" w:name="_Toc970293"/>
      <w:bookmarkStart w:id="2026" w:name="_Toc970668"/>
      <w:bookmarkStart w:id="2027" w:name="_Toc1135368"/>
      <w:bookmarkStart w:id="2028" w:name="_Toc1165682"/>
      <w:bookmarkStart w:id="2029" w:name="_Toc1207747"/>
      <w:bookmarkStart w:id="2030" w:name="_Toc1408363"/>
      <w:bookmarkStart w:id="2031" w:name="_Toc522279679"/>
      <w:bookmarkStart w:id="2032" w:name="_Toc17934187"/>
      <w:bookmarkStart w:id="2033" w:name="_Toc50150367"/>
      <w:bookmarkStart w:id="2034" w:name="_Toc70886798"/>
      <w:bookmarkStart w:id="2035" w:name="_Toc108342336"/>
      <w:bookmarkStart w:id="2036" w:name="_Toc134197887"/>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r w:rsidRPr="00132C1E">
        <w:t>Structural types, behaviour factors, limits of seismic action, limits of drift</w:t>
      </w:r>
      <w:bookmarkEnd w:id="2031"/>
      <w:bookmarkEnd w:id="2032"/>
      <w:bookmarkEnd w:id="2033"/>
      <w:r w:rsidRPr="00132C1E">
        <w:t xml:space="preserve"> and partial factors for the displacement-based approach</w:t>
      </w:r>
      <w:bookmarkEnd w:id="2034"/>
      <w:bookmarkEnd w:id="2035"/>
      <w:bookmarkEnd w:id="2036"/>
    </w:p>
    <w:p w14:paraId="3045C483" w14:textId="77777777" w:rsidR="00DC701F" w:rsidRPr="00132C1E" w:rsidRDefault="00DC701F" w:rsidP="00DC701F">
      <w:pPr>
        <w:pStyle w:val="Heading3"/>
      </w:pPr>
      <w:bookmarkStart w:id="2037" w:name="_Toc522279680"/>
      <w:bookmarkStart w:id="2038" w:name="_Toc17934188"/>
      <w:bookmarkStart w:id="2039" w:name="_Toc50150368"/>
      <w:bookmarkStart w:id="2040" w:name="_Toc70886799"/>
      <w:bookmarkStart w:id="2041" w:name="_Toc108342337"/>
      <w:bookmarkStart w:id="2042" w:name="_Toc134197888"/>
      <w:r w:rsidRPr="00132C1E">
        <w:t>Structural types</w:t>
      </w:r>
      <w:bookmarkEnd w:id="2037"/>
      <w:bookmarkEnd w:id="2038"/>
      <w:bookmarkEnd w:id="2039"/>
      <w:bookmarkEnd w:id="2040"/>
      <w:bookmarkEnd w:id="2041"/>
      <w:bookmarkEnd w:id="2042"/>
    </w:p>
    <w:p w14:paraId="7F90A2FD" w14:textId="34F74B3D" w:rsidR="00DC701F" w:rsidRPr="00132C1E" w:rsidRDefault="00DC701F" w:rsidP="0080187E">
      <w:pPr>
        <w:pStyle w:val="Clause"/>
        <w:numPr>
          <w:ilvl w:val="0"/>
          <w:numId w:val="313"/>
        </w:numPr>
      </w:pPr>
      <w:r w:rsidRPr="00132C1E">
        <w:t xml:space="preserve">Concrete </w:t>
      </w:r>
      <w:r w:rsidRPr="00C359CE">
        <w:t xml:space="preserve">buildings designed to be dissipative should be </w:t>
      </w:r>
      <w:r w:rsidRPr="00132C1E">
        <w:t>classified into one of the structural types given in a) to i), according to their behaviour under horizontal seismic actions:</w:t>
      </w:r>
    </w:p>
    <w:p w14:paraId="6AC9B619" w14:textId="3E87B2AC" w:rsidR="00DC701F" w:rsidRPr="00132C1E" w:rsidRDefault="00DC701F" w:rsidP="0080187E">
      <w:pPr>
        <w:pStyle w:val="List2"/>
        <w:numPr>
          <w:ilvl w:val="0"/>
          <w:numId w:val="114"/>
        </w:numPr>
        <w:spacing w:before="0" w:after="240" w:line="230" w:lineRule="atLeast"/>
        <w:contextualSpacing w:val="0"/>
      </w:pPr>
      <w:r w:rsidRPr="00132C1E">
        <w:t xml:space="preserve">Moment resisting frame structure: structure in which both the vertical and lateral loads are mainly resisted by </w:t>
      </w:r>
      <w:r w:rsidRPr="00680A34">
        <w:rPr>
          <w:color w:val="000000" w:themeColor="text1"/>
        </w:rPr>
        <w:t xml:space="preserve">plane </w:t>
      </w:r>
      <w:r w:rsidRPr="00132C1E">
        <w:t>concrete moment resisting frames, whose shear resistance at the building base exceeds 65</w:t>
      </w:r>
      <w:r w:rsidR="006C6A44">
        <w:t> </w:t>
      </w:r>
      <w:r w:rsidRPr="00132C1E">
        <w:t>% of the total shear resistance of the whole structure (</w:t>
      </w:r>
      <w:r w:rsidRPr="00132C1E">
        <w:rPr>
          <w:i/>
          <w:iCs/>
        </w:rPr>
        <w:t>V</w:t>
      </w:r>
      <w:r w:rsidRPr="00132C1E">
        <w:rPr>
          <w:vertAlign w:val="subscript"/>
        </w:rPr>
        <w:t>Rd,MRF</w:t>
      </w:r>
      <w:r w:rsidRPr="00132C1E">
        <w:t>/</w:t>
      </w:r>
      <w:r w:rsidRPr="00132C1E">
        <w:rPr>
          <w:i/>
          <w:iCs/>
        </w:rPr>
        <w:t>V</w:t>
      </w:r>
      <w:r w:rsidRPr="00132C1E">
        <w:rPr>
          <w:vertAlign w:val="subscript"/>
        </w:rPr>
        <w:t>Rd,total</w:t>
      </w:r>
      <w:r w:rsidRPr="00132C1E">
        <w:t xml:space="preserve"> </w:t>
      </w:r>
      <w:r w:rsidRPr="00132C1E">
        <w:rPr>
          <w:rFonts w:ascii="Symbol" w:eastAsia="Symbol" w:hAnsi="Symbol" w:cs="Symbol"/>
        </w:rPr>
        <w:t></w:t>
      </w:r>
      <w:r w:rsidRPr="00132C1E">
        <w:t xml:space="preserve"> 65</w:t>
      </w:r>
      <w:r w:rsidR="006C6A44">
        <w:t> </w:t>
      </w:r>
      <w:r w:rsidRPr="00132C1E">
        <w:t>%)</w:t>
      </w:r>
      <w:r w:rsidR="00417F28">
        <w:t>;</w:t>
      </w:r>
    </w:p>
    <w:p w14:paraId="575BD664" w14:textId="411242F7" w:rsidR="00DC701F" w:rsidRPr="00132C1E" w:rsidRDefault="00DC701F" w:rsidP="0080187E">
      <w:pPr>
        <w:pStyle w:val="List2"/>
        <w:numPr>
          <w:ilvl w:val="0"/>
          <w:numId w:val="114"/>
        </w:numPr>
        <w:spacing w:before="0" w:after="240" w:line="230" w:lineRule="atLeast"/>
        <w:contextualSpacing w:val="0"/>
      </w:pPr>
      <w:r w:rsidRPr="00132C1E">
        <w:t>Dual structure (moment resisting frame-equivalent or wall-equivalent): structure in which the resistance to lateral loads is contributed to in part by the moment resisting frame structure and in part by ductile walls, coupled or uncoupled (</w:t>
      </w:r>
      <w:r w:rsidRPr="00132C1E">
        <w:rPr>
          <w:i/>
          <w:iCs/>
        </w:rPr>
        <w:t>V</w:t>
      </w:r>
      <w:r w:rsidRPr="00132C1E">
        <w:rPr>
          <w:vertAlign w:val="subscript"/>
        </w:rPr>
        <w:t>Rd,MRF</w:t>
      </w:r>
      <w:r w:rsidRPr="00132C1E">
        <w:t>/</w:t>
      </w:r>
      <w:r w:rsidRPr="00132C1E">
        <w:rPr>
          <w:i/>
          <w:iCs/>
        </w:rPr>
        <w:t>V</w:t>
      </w:r>
      <w:r w:rsidRPr="00132C1E">
        <w:rPr>
          <w:vertAlign w:val="subscript"/>
        </w:rPr>
        <w:t>Rd,total</w:t>
      </w:r>
      <w:r w:rsidRPr="00132C1E">
        <w:t xml:space="preserve"> = 35</w:t>
      </w:r>
      <w:r w:rsidR="006C6A44">
        <w:t> </w:t>
      </w:r>
      <w:r w:rsidRPr="00132C1E">
        <w:t>% to 65</w:t>
      </w:r>
      <w:r w:rsidR="006C6A44">
        <w:t> </w:t>
      </w:r>
      <w:r w:rsidRPr="00132C1E">
        <w:t>%)</w:t>
      </w:r>
      <w:r w:rsidR="00417F28">
        <w:t>;</w:t>
      </w:r>
    </w:p>
    <w:p w14:paraId="793C9729" w14:textId="34571F9E" w:rsidR="00DC701F" w:rsidRPr="00132C1E" w:rsidRDefault="00DC701F" w:rsidP="0080187E">
      <w:pPr>
        <w:pStyle w:val="List2"/>
        <w:numPr>
          <w:ilvl w:val="0"/>
          <w:numId w:val="114"/>
        </w:numPr>
        <w:spacing w:before="0" w:after="240" w:line="230" w:lineRule="atLeast"/>
        <w:contextualSpacing w:val="0"/>
      </w:pPr>
      <w:r w:rsidRPr="00132C1E">
        <w:t>Moment resisting frame-equivalent dual structures: those in which the shear resistance of the moment resisting frames at the building base is greater than 50</w:t>
      </w:r>
      <w:r w:rsidR="006C6A44">
        <w:t> </w:t>
      </w:r>
      <w:r w:rsidRPr="00132C1E">
        <w:t>% of the total (</w:t>
      </w:r>
      <w:r w:rsidRPr="00132C1E">
        <w:rPr>
          <w:i/>
          <w:iCs/>
        </w:rPr>
        <w:t>V</w:t>
      </w:r>
      <w:r w:rsidRPr="00132C1E">
        <w:rPr>
          <w:vertAlign w:val="subscript"/>
        </w:rPr>
        <w:t>Rd,MRF</w:t>
      </w:r>
      <w:r w:rsidRPr="00132C1E">
        <w:t>/</w:t>
      </w:r>
      <w:r w:rsidRPr="00132C1E">
        <w:rPr>
          <w:i/>
          <w:iCs/>
        </w:rPr>
        <w:t>V</w:t>
      </w:r>
      <w:r w:rsidRPr="00132C1E">
        <w:rPr>
          <w:vertAlign w:val="subscript"/>
        </w:rPr>
        <w:t>Rd,total</w:t>
      </w:r>
      <w:r w:rsidRPr="00132C1E">
        <w:t xml:space="preserve"> = 50</w:t>
      </w:r>
      <w:r w:rsidR="006C6A44">
        <w:t> </w:t>
      </w:r>
      <w:r w:rsidRPr="00132C1E">
        <w:t>% to 65</w:t>
      </w:r>
      <w:r w:rsidR="006C6A44">
        <w:t> </w:t>
      </w:r>
      <w:r w:rsidRPr="00132C1E">
        <w:t>%)</w:t>
      </w:r>
      <w:r w:rsidR="00417F28">
        <w:t>;</w:t>
      </w:r>
    </w:p>
    <w:p w14:paraId="2480021F" w14:textId="52912801" w:rsidR="00DC701F" w:rsidRPr="00132C1E" w:rsidRDefault="00DC701F" w:rsidP="0080187E">
      <w:pPr>
        <w:pStyle w:val="List2"/>
        <w:numPr>
          <w:ilvl w:val="0"/>
          <w:numId w:val="114"/>
        </w:numPr>
        <w:spacing w:before="0" w:after="240" w:line="230" w:lineRule="atLeast"/>
        <w:contextualSpacing w:val="0"/>
      </w:pPr>
      <w:r w:rsidRPr="00132C1E">
        <w:t>Wall-equivalent dual structures: those in which the shear resistance of ductile walls at the building base is greater than 50</w:t>
      </w:r>
      <w:r w:rsidR="006C6A44">
        <w:t> </w:t>
      </w:r>
      <w:r w:rsidRPr="00132C1E">
        <w:t>% of the total (</w:t>
      </w:r>
      <w:r w:rsidRPr="00132C1E">
        <w:rPr>
          <w:i/>
          <w:iCs/>
        </w:rPr>
        <w:t>V</w:t>
      </w:r>
      <w:r w:rsidRPr="00132C1E">
        <w:rPr>
          <w:vertAlign w:val="subscript"/>
        </w:rPr>
        <w:t>Rd,MRF</w:t>
      </w:r>
      <w:r w:rsidRPr="00132C1E">
        <w:t>/</w:t>
      </w:r>
      <w:r w:rsidRPr="00132C1E">
        <w:rPr>
          <w:i/>
          <w:iCs/>
        </w:rPr>
        <w:t>V</w:t>
      </w:r>
      <w:r w:rsidRPr="00132C1E">
        <w:rPr>
          <w:vertAlign w:val="subscript"/>
        </w:rPr>
        <w:t>Rd,total</w:t>
      </w:r>
      <w:r w:rsidRPr="00132C1E">
        <w:t xml:space="preserve"> = 35</w:t>
      </w:r>
      <w:r w:rsidR="006C6A44">
        <w:t> </w:t>
      </w:r>
      <w:r w:rsidRPr="00132C1E">
        <w:t>% to 50</w:t>
      </w:r>
      <w:r w:rsidR="006C6A44">
        <w:t> </w:t>
      </w:r>
      <w:r w:rsidRPr="00132C1E">
        <w:t>%)</w:t>
      </w:r>
      <w:r w:rsidR="00417F28">
        <w:t>;</w:t>
      </w:r>
    </w:p>
    <w:p w14:paraId="5DDE2D69" w14:textId="33E65DB6" w:rsidR="00DC701F" w:rsidRPr="00132C1E" w:rsidRDefault="00DC701F" w:rsidP="0080187E">
      <w:pPr>
        <w:pStyle w:val="List2"/>
        <w:numPr>
          <w:ilvl w:val="0"/>
          <w:numId w:val="114"/>
        </w:numPr>
        <w:spacing w:before="0" w:after="240" w:line="230" w:lineRule="atLeast"/>
        <w:contextualSpacing w:val="0"/>
      </w:pPr>
      <w:r w:rsidRPr="00132C1E">
        <w:t>Wall structures (coupled or uncoupled): those in which lateral loads are mainly resisted by concrete ductile walls, coupled or uncoupled, whose shear resistance at the building base exceeds 65</w:t>
      </w:r>
      <w:r w:rsidR="006C6A44">
        <w:t> </w:t>
      </w:r>
      <w:r w:rsidRPr="00132C1E">
        <w:t>% of the total shear resistance (</w:t>
      </w:r>
      <w:r w:rsidRPr="00132C1E">
        <w:rPr>
          <w:i/>
          <w:iCs/>
        </w:rPr>
        <w:t>V</w:t>
      </w:r>
      <w:r w:rsidRPr="00132C1E">
        <w:rPr>
          <w:vertAlign w:val="subscript"/>
        </w:rPr>
        <w:t>Rd,walls</w:t>
      </w:r>
      <w:r w:rsidRPr="00132C1E">
        <w:t>/</w:t>
      </w:r>
      <w:r w:rsidRPr="00132C1E">
        <w:rPr>
          <w:i/>
          <w:iCs/>
        </w:rPr>
        <w:t>V</w:t>
      </w:r>
      <w:r w:rsidRPr="00132C1E">
        <w:rPr>
          <w:vertAlign w:val="subscript"/>
        </w:rPr>
        <w:t>Rd,total</w:t>
      </w:r>
      <w:r w:rsidRPr="00132C1E">
        <w:t xml:space="preserve"> </w:t>
      </w:r>
      <w:r w:rsidRPr="00132C1E">
        <w:rPr>
          <w:rFonts w:ascii="Symbol" w:eastAsia="Symbol" w:hAnsi="Symbol" w:cs="Symbol"/>
        </w:rPr>
        <w:t></w:t>
      </w:r>
      <w:r w:rsidRPr="00132C1E">
        <w:t xml:space="preserve"> 65</w:t>
      </w:r>
      <w:r w:rsidR="006C6A44">
        <w:t> </w:t>
      </w:r>
      <w:r w:rsidRPr="00132C1E">
        <w:t>%)</w:t>
      </w:r>
      <w:r w:rsidR="00417F28">
        <w:t>;</w:t>
      </w:r>
    </w:p>
    <w:p w14:paraId="2F81004B" w14:textId="1ED91F5D" w:rsidR="00DC701F" w:rsidRPr="00132C1E" w:rsidRDefault="00DC701F" w:rsidP="0080187E">
      <w:pPr>
        <w:pStyle w:val="List2"/>
        <w:numPr>
          <w:ilvl w:val="0"/>
          <w:numId w:val="114"/>
        </w:numPr>
        <w:spacing w:before="0" w:after="240" w:line="230" w:lineRule="atLeast"/>
        <w:contextualSpacing w:val="0"/>
      </w:pPr>
      <w:r w:rsidRPr="00132C1E">
        <w:lastRenderedPageBreak/>
        <w:t>Coupled walls structures: ductile wall structure in which at least 50</w:t>
      </w:r>
      <w:r w:rsidR="006C6A44">
        <w:t> </w:t>
      </w:r>
      <w:r w:rsidRPr="00132C1E">
        <w:t>% of the total shear resistance is provided by walls; comprising two or more single ductile walls, connected by a regular pattern of ductile beams (</w:t>
      </w:r>
      <w:r>
        <w:t>“</w:t>
      </w:r>
      <w:r w:rsidRPr="00132C1E">
        <w:t>coupling beams</w:t>
      </w:r>
      <w:r>
        <w:t>”</w:t>
      </w:r>
      <w:r w:rsidRPr="00132C1E">
        <w:t>), where at least 25</w:t>
      </w:r>
      <w:r w:rsidR="006C6A44">
        <w:t> </w:t>
      </w:r>
      <w:r w:rsidRPr="00132C1E">
        <w:t>% of the total overturning moment at the base is supported by frame action of the vertical walls (“coupled walls”) to the coupling beams</w:t>
      </w:r>
      <w:r w:rsidR="00417F28">
        <w:t>;</w:t>
      </w:r>
    </w:p>
    <w:p w14:paraId="02F50D59" w14:textId="0A9503B6" w:rsidR="00DC701F" w:rsidRPr="00132C1E" w:rsidRDefault="00DC701F" w:rsidP="0080187E">
      <w:pPr>
        <w:pStyle w:val="List2"/>
        <w:numPr>
          <w:ilvl w:val="0"/>
          <w:numId w:val="114"/>
        </w:numPr>
        <w:spacing w:before="0" w:after="240" w:line="230" w:lineRule="atLeast"/>
        <w:contextualSpacing w:val="0"/>
      </w:pPr>
      <w:r w:rsidRPr="00132C1E">
        <w:t>Large walls structures: wall structures with at least two large walls in the horizontal direction of interest, which collectively support at least 20</w:t>
      </w:r>
      <w:r w:rsidR="006C6A44">
        <w:t> </w:t>
      </w:r>
      <w:r w:rsidRPr="00132C1E">
        <w:t xml:space="preserve">% of the total gravity load and have a fundamental fixed base period </w:t>
      </w:r>
      <w:r w:rsidRPr="00132C1E">
        <w:rPr>
          <w:rFonts w:ascii="AODJCD+TimesNewRoman,Italic" w:hAnsi="AODJCD+TimesNewRoman,Italic" w:cs="AODJCD+TimesNewRoman,Italic"/>
          <w:i/>
          <w:iCs/>
        </w:rPr>
        <w:t>T</w:t>
      </w:r>
      <w:r w:rsidRPr="00132C1E">
        <w:rPr>
          <w:sz w:val="16"/>
          <w:szCs w:val="16"/>
        </w:rPr>
        <w:t>1</w:t>
      </w:r>
      <w:r w:rsidRPr="00132C1E">
        <w:t xml:space="preserve"> not greater than </w:t>
      </w:r>
      <w:r w:rsidRPr="00132C1E">
        <w:rPr>
          <w:i/>
          <w:iCs/>
        </w:rPr>
        <w:t>T</w:t>
      </w:r>
      <w:r w:rsidRPr="00132C1E">
        <w:rPr>
          <w:vertAlign w:val="subscript"/>
        </w:rPr>
        <w:t>c</w:t>
      </w:r>
      <w:r w:rsidRPr="00132C1E">
        <w:t xml:space="preserve">. It is sufficient to have only one wall meeting these conditions in one of the two directions, provided that: (a) the basic value of the behaviour factor, </w:t>
      </w:r>
      <w:r w:rsidRPr="00132C1E">
        <w:rPr>
          <w:rFonts w:eastAsia="Cambria"/>
          <w:i/>
          <w:iCs/>
        </w:rPr>
        <w:t>q</w:t>
      </w:r>
      <w:r w:rsidRPr="00132C1E">
        <w:t>, in that direction is divided by a factor of 1,5 over the value in Table 10.1 and (b) there are at least two walls meeting these conditions in the orthogonal direction</w:t>
      </w:r>
      <w:r w:rsidR="00417F28">
        <w:t>;</w:t>
      </w:r>
    </w:p>
    <w:p w14:paraId="0E0DC97B" w14:textId="6E96CB38" w:rsidR="00DC701F" w:rsidRPr="00C359CE" w:rsidRDefault="00DC701F" w:rsidP="0080187E">
      <w:pPr>
        <w:pStyle w:val="List2"/>
        <w:numPr>
          <w:ilvl w:val="0"/>
          <w:numId w:val="114"/>
        </w:numPr>
        <w:spacing w:before="0" w:after="240" w:line="230" w:lineRule="atLeast"/>
        <w:contextualSpacing w:val="0"/>
      </w:pPr>
      <w:r w:rsidRPr="00132C1E">
        <w:t xml:space="preserve">Flat </w:t>
      </w:r>
      <w:r w:rsidRPr="00C359CE">
        <w:t>slab structure: those composed of flat slabs and columns considered as primary seismic members which contribute to the resistance to lateral loads by a slab-column mechanism</w:t>
      </w:r>
      <w:r w:rsidR="00417F28">
        <w:t>;</w:t>
      </w:r>
    </w:p>
    <w:p w14:paraId="41F7255D" w14:textId="11BC1731" w:rsidR="00DC701F" w:rsidRDefault="00DC701F" w:rsidP="0080187E">
      <w:pPr>
        <w:pStyle w:val="List2"/>
        <w:numPr>
          <w:ilvl w:val="0"/>
          <w:numId w:val="114"/>
        </w:numPr>
        <w:spacing w:before="0" w:after="240" w:line="230" w:lineRule="atLeast"/>
        <w:contextualSpacing w:val="0"/>
      </w:pPr>
      <w:r w:rsidRPr="00132C1E">
        <w:t>Inverted pendulum structures: those in which 50</w:t>
      </w:r>
      <w:r w:rsidR="006C6A44">
        <w:t> </w:t>
      </w:r>
      <w:r w:rsidRPr="00132C1E">
        <w:t>% or more of the mass is in the upper third of the height of the structure, or in which the dissipation of energy takes place mainly at the base of a single building member.</w:t>
      </w:r>
    </w:p>
    <w:p w14:paraId="41613BAC" w14:textId="70333CF0" w:rsidR="00DC701F" w:rsidRPr="00132C1E" w:rsidRDefault="00DC701F" w:rsidP="00724E4E">
      <w:pPr>
        <w:pStyle w:val="Clause"/>
      </w:pPr>
      <w:r w:rsidRPr="00132C1E">
        <w:t>Concrete buildings may be classified to one structural type in one horizontal direction and to another in the other direction.</w:t>
      </w:r>
    </w:p>
    <w:p w14:paraId="4A3B1BFC" w14:textId="78B5AAF6" w:rsidR="00DC701F" w:rsidRPr="00417F28" w:rsidRDefault="00DC701F" w:rsidP="00724E4E">
      <w:pPr>
        <w:pStyle w:val="Clause"/>
      </w:pPr>
      <w:r w:rsidRPr="00132C1E">
        <w:t xml:space="preserve">If, in one direction, a structure does not qualify as a large walls structure according </w:t>
      </w:r>
      <w:r w:rsidRPr="00417F28">
        <w:t>to (1)g), then all of its walls in that direction should be designed and detailed as ductile walls, and the foundations should be designed to fix the rotation at their base.</w:t>
      </w:r>
    </w:p>
    <w:p w14:paraId="58AD7EF8" w14:textId="035BEF8C" w:rsidR="00DC701F" w:rsidRPr="00417F28" w:rsidRDefault="00DC701F" w:rsidP="00724E4E">
      <w:pPr>
        <w:pStyle w:val="Clause"/>
      </w:pPr>
      <w:bookmarkStart w:id="2043" w:name="_Hlk82068531"/>
      <w:r w:rsidRPr="00417F28">
        <w:t>Buildings in which the stiff vertical earthquake resisting structures are located near the perimeter in plan, with a balanced stiffness distribution between parallel sides (Figure 10.1), may be considered to have the torsional rigidity which is necessary to be classified as not torsionally flexible (see 4.4.3(1)), without analytical verification</w:t>
      </w:r>
      <w:bookmarkEnd w:id="2043"/>
      <w:r w:rsidRPr="00417F28">
        <w:t>.</w:t>
      </w:r>
    </w:p>
    <w:p w14:paraId="12ECC391" w14:textId="3C750846" w:rsidR="00DC701F" w:rsidRPr="00132C1E" w:rsidRDefault="0004784A" w:rsidP="0004784A">
      <w:pPr>
        <w:pStyle w:val="FigureImage"/>
      </w:pPr>
      <w:r>
        <w:rPr>
          <w:noProof/>
        </w:rPr>
        <w:drawing>
          <wp:inline distT="0" distB="0" distL="0" distR="0" wp14:anchorId="70CB4808" wp14:editId="3755E78B">
            <wp:extent cx="2229612" cy="1235964"/>
            <wp:effectExtent l="0" t="0" r="0" b="2540"/>
            <wp:docPr id="3" name="0005.tiff"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005.tiff" descr="A picture containing background pattern&#10;&#10;Description automatically generated"/>
                    <pic:cNvPicPr/>
                  </pic:nvPicPr>
                  <pic:blipFill>
                    <a:blip r:link="rId20"/>
                    <a:stretch>
                      <a:fillRect/>
                    </a:stretch>
                  </pic:blipFill>
                  <pic:spPr>
                    <a:xfrm>
                      <a:off x="0" y="0"/>
                      <a:ext cx="2229612" cy="1235964"/>
                    </a:xfrm>
                    <a:prstGeom prst="rect">
                      <a:avLst/>
                    </a:prstGeom>
                  </pic:spPr>
                </pic:pic>
              </a:graphicData>
            </a:graphic>
          </wp:inline>
        </w:drawing>
      </w:r>
    </w:p>
    <w:p w14:paraId="2017527E" w14:textId="6142B8A4" w:rsidR="00DC701F" w:rsidRPr="00FD17CF" w:rsidRDefault="00DC701F" w:rsidP="00680A34">
      <w:pPr>
        <w:pStyle w:val="Figuretitle"/>
      </w:pPr>
      <w:r w:rsidRPr="00D1484A">
        <w:t xml:space="preserve">Figure </w:t>
      </w:r>
      <w:r w:rsidR="00680A34">
        <w:t>10</w:t>
      </w:r>
      <w:r w:rsidRPr="00132C1E">
        <w:t>.</w:t>
      </w:r>
      <w:r w:rsidR="00680A34">
        <w:t>1</w:t>
      </w:r>
      <w:r w:rsidRPr="00132C1E">
        <w:t> </w:t>
      </w:r>
      <w:r w:rsidRPr="00D1484A">
        <w:rPr>
          <w:rFonts w:ascii="`ÃÍœ˛" w:eastAsia="Cambria" w:hAnsi="`ÃÍœ˛" w:cs="`ÃÍœ˛"/>
          <w:szCs w:val="22"/>
          <w:lang w:eastAsia="de-DE"/>
        </w:rPr>
        <w:t>—</w:t>
      </w:r>
      <w:r w:rsidRPr="00D1484A">
        <w:t> Concrete buildings with vertical member</w:t>
      </w:r>
      <w:r w:rsidRPr="007E6F67">
        <w:t>s mainly located near the perimeter and a balanced stiffness distribution between parallel sides</w:t>
      </w:r>
    </w:p>
    <w:p w14:paraId="39C463D2" w14:textId="5796B3BB" w:rsidR="00DC701F" w:rsidRDefault="00DC701F" w:rsidP="00724E4E">
      <w:pPr>
        <w:pStyle w:val="Clause"/>
      </w:pPr>
      <w:r w:rsidRPr="00644C3D">
        <w:t xml:space="preserve">One-storey moment resisting frame structures with column tops connected (rigidly or hinged) along both main directions </w:t>
      </w:r>
      <w:r w:rsidRPr="00E05E29">
        <w:t>and with the value of the column normal</w:t>
      </w:r>
      <w:r w:rsidR="00E10A24">
        <w:t>ize</w:t>
      </w:r>
      <w:r w:rsidRPr="00E05E29">
        <w:t xml:space="preserve">d axial load </w:t>
      </w:r>
      <w:r w:rsidRPr="004030A7">
        <w:rPr>
          <w:i/>
        </w:rPr>
        <w:t>ν</w:t>
      </w:r>
      <w:r w:rsidRPr="004030A7">
        <w:rPr>
          <w:vertAlign w:val="subscript"/>
        </w:rPr>
        <w:t>d</w:t>
      </w:r>
      <w:r w:rsidRPr="00E05E29">
        <w:t xml:space="preserve"> in the seismic design situation nowhere exceeding 0,3, may be classified as moment resisting frame structures. Otherwise, they should be classified as inverted pendulum structures.</w:t>
      </w:r>
    </w:p>
    <w:p w14:paraId="3E364409" w14:textId="636CD7A1" w:rsidR="00DC701F" w:rsidRPr="00417F28" w:rsidRDefault="00DC701F" w:rsidP="00724E4E">
      <w:pPr>
        <w:pStyle w:val="Clause"/>
      </w:pPr>
      <w:r w:rsidRPr="0077671E">
        <w:t xml:space="preserve">Structural </w:t>
      </w:r>
      <w:r w:rsidRPr="009407F9">
        <w:t xml:space="preserve">systems which cannot be assigned to </w:t>
      </w:r>
      <w:r w:rsidRPr="00417F28">
        <w:t>one of the types in (1) may be used; they should be designed for strength according to 10.4.2.1(3).</w:t>
      </w:r>
    </w:p>
    <w:p w14:paraId="42DCD174" w14:textId="11487DF5" w:rsidR="00DC701F" w:rsidRPr="00E05E29" w:rsidRDefault="00DC701F" w:rsidP="00DC701F">
      <w:pPr>
        <w:pStyle w:val="Heading3"/>
      </w:pPr>
      <w:bookmarkStart w:id="2044" w:name="_Toc529627510"/>
      <w:bookmarkStart w:id="2045" w:name="_Toc533172146"/>
      <w:bookmarkStart w:id="2046" w:name="_Toc534451409"/>
      <w:bookmarkStart w:id="2047" w:name="_Toc534451682"/>
      <w:bookmarkStart w:id="2048" w:name="_Toc534451955"/>
      <w:bookmarkStart w:id="2049" w:name="_Toc534452795"/>
      <w:bookmarkStart w:id="2050" w:name="_Toc534629220"/>
      <w:bookmarkStart w:id="2051" w:name="_Toc534629494"/>
      <w:bookmarkStart w:id="2052" w:name="_Toc534649263"/>
      <w:bookmarkStart w:id="2053" w:name="_Toc534715322"/>
      <w:bookmarkStart w:id="2054" w:name="_Toc534734459"/>
      <w:bookmarkStart w:id="2055" w:name="_Toc534734735"/>
      <w:bookmarkStart w:id="2056" w:name="_Toc536717399"/>
      <w:bookmarkStart w:id="2057" w:name="_Toc536862576"/>
      <w:bookmarkStart w:id="2058" w:name="_Toc536863945"/>
      <w:bookmarkStart w:id="2059" w:name="_Toc536864332"/>
      <w:bookmarkStart w:id="2060" w:name="_Toc536864833"/>
      <w:bookmarkStart w:id="2061" w:name="_Toc536865132"/>
      <w:bookmarkStart w:id="2062" w:name="_Toc536865447"/>
      <w:bookmarkStart w:id="2063" w:name="_Toc536865762"/>
      <w:bookmarkStart w:id="2064" w:name="_Toc536866077"/>
      <w:bookmarkStart w:id="2065" w:name="_Toc536866392"/>
      <w:bookmarkStart w:id="2066" w:name="_Toc536866707"/>
      <w:bookmarkStart w:id="2067" w:name="_Toc536867022"/>
      <w:bookmarkStart w:id="2068" w:name="_Toc536867337"/>
      <w:bookmarkStart w:id="2069" w:name="_Toc536867620"/>
      <w:bookmarkStart w:id="2070" w:name="_Toc536867903"/>
      <w:bookmarkStart w:id="2071" w:name="_Toc536868800"/>
      <w:bookmarkStart w:id="2072" w:name="_Toc536869131"/>
      <w:bookmarkStart w:id="2073" w:name="_Toc127974"/>
      <w:bookmarkStart w:id="2074" w:name="_Toc128368"/>
      <w:bookmarkStart w:id="2075" w:name="_Toc128762"/>
      <w:bookmarkStart w:id="2076" w:name="_Toc129156"/>
      <w:bookmarkStart w:id="2077" w:name="_Toc129550"/>
      <w:bookmarkStart w:id="2078" w:name="_Toc129943"/>
      <w:bookmarkStart w:id="2079" w:name="_Toc130337"/>
      <w:bookmarkStart w:id="2080" w:name="_Toc130731"/>
      <w:bookmarkStart w:id="2081" w:name="_Toc131125"/>
      <w:bookmarkStart w:id="2082" w:name="_Toc289020"/>
      <w:bookmarkStart w:id="2083" w:name="_Toc338186"/>
      <w:bookmarkStart w:id="2084" w:name="_Toc705618"/>
      <w:bookmarkStart w:id="2085" w:name="_Toc706604"/>
      <w:bookmarkStart w:id="2086" w:name="_Toc708913"/>
      <w:bookmarkStart w:id="2087" w:name="_Toc710278"/>
      <w:bookmarkStart w:id="2088" w:name="_Toc970297"/>
      <w:bookmarkStart w:id="2089" w:name="_Toc970672"/>
      <w:bookmarkStart w:id="2090" w:name="_Toc1135372"/>
      <w:bookmarkStart w:id="2091" w:name="_Toc1165686"/>
      <w:bookmarkStart w:id="2092" w:name="_Toc1207751"/>
      <w:bookmarkStart w:id="2093" w:name="_Toc1408367"/>
      <w:bookmarkStart w:id="2094" w:name="_Toc508229080"/>
      <w:bookmarkStart w:id="2095" w:name="_Toc522279682"/>
      <w:bookmarkStart w:id="2096" w:name="_Toc17934190"/>
      <w:bookmarkStart w:id="2097" w:name="_Toc50150369"/>
      <w:bookmarkStart w:id="2098" w:name="_Toc70886800"/>
      <w:bookmarkStart w:id="2099" w:name="_Toc108342338"/>
      <w:bookmarkStart w:id="2100" w:name="_Toc134197889"/>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r w:rsidRPr="00E05E29">
        <w:lastRenderedPageBreak/>
        <w:t>Behaviour factor for horizontal components of the seismic action in force-based analysis</w:t>
      </w:r>
      <w:bookmarkEnd w:id="2095"/>
      <w:bookmarkEnd w:id="2096"/>
      <w:bookmarkEnd w:id="2097"/>
      <w:bookmarkEnd w:id="2098"/>
      <w:bookmarkEnd w:id="2099"/>
      <w:bookmarkEnd w:id="2100"/>
    </w:p>
    <w:p w14:paraId="2C5C3438" w14:textId="77777777" w:rsidR="00DC701F" w:rsidRPr="00E05E29" w:rsidRDefault="00DC701F" w:rsidP="00DC701F">
      <w:pPr>
        <w:pStyle w:val="Heading4"/>
      </w:pPr>
      <w:bookmarkStart w:id="2101" w:name="_Toc522279683"/>
      <w:bookmarkStart w:id="2102" w:name="_Toc108342339"/>
      <w:r w:rsidRPr="00E05E29">
        <w:t>Design for DC1</w:t>
      </w:r>
      <w:bookmarkEnd w:id="2101"/>
      <w:bookmarkEnd w:id="2102"/>
    </w:p>
    <w:p w14:paraId="684C2374" w14:textId="3551D53A" w:rsidR="00DC701F" w:rsidRPr="00417F28" w:rsidRDefault="00DC701F" w:rsidP="0080187E">
      <w:pPr>
        <w:pStyle w:val="Clause"/>
        <w:numPr>
          <w:ilvl w:val="0"/>
          <w:numId w:val="314"/>
        </w:numPr>
        <w:rPr>
          <w:bCs/>
        </w:rPr>
      </w:pPr>
      <w:r w:rsidRPr="00F734A9">
        <w:t xml:space="preserve">In the design of structural systems of the types in </w:t>
      </w:r>
      <w:r w:rsidRPr="00417F28">
        <w:rPr>
          <w:bCs/>
        </w:rPr>
        <w:t xml:space="preserve">10.4.1(1) a) to j), a behaviour factor </w:t>
      </w:r>
      <w:r w:rsidRPr="00417F28">
        <w:rPr>
          <w:rFonts w:eastAsia="Cambria"/>
          <w:bCs/>
          <w:i/>
          <w:iCs/>
        </w:rPr>
        <w:t>q</w:t>
      </w:r>
      <w:r w:rsidRPr="00417F28">
        <w:rPr>
          <w:rFonts w:eastAsia="Cambria"/>
          <w:bCs/>
        </w:rPr>
        <w:t xml:space="preserve"> equal to </w:t>
      </w:r>
      <w:r w:rsidRPr="00417F28">
        <w:rPr>
          <w:bCs/>
        </w:rPr>
        <w:t>1,5 may be used, regardless of the regularity.</w:t>
      </w:r>
    </w:p>
    <w:p w14:paraId="4BF9148C" w14:textId="584D8C50" w:rsidR="00DC701F" w:rsidRPr="00417F28" w:rsidRDefault="00DC701F" w:rsidP="00724E4E">
      <w:pPr>
        <w:pStyle w:val="Clause"/>
        <w:rPr>
          <w:bCs/>
        </w:rPr>
      </w:pPr>
      <w:r w:rsidRPr="00417F28">
        <w:rPr>
          <w:bCs/>
        </w:rPr>
        <w:t>10.2.2, 10.3.1, 10.3.2, 10.3.4, 10.4.4 and 10.7(1), (3) and (4), should be satisfied.</w:t>
      </w:r>
    </w:p>
    <w:p w14:paraId="2D961EEB" w14:textId="3BE9A4D8" w:rsidR="00DC701F" w:rsidRPr="00E05E29" w:rsidRDefault="00DC701F" w:rsidP="00724E4E">
      <w:pPr>
        <w:pStyle w:val="Clause"/>
      </w:pPr>
      <w:r w:rsidRPr="00417F28">
        <w:rPr>
          <w:bCs/>
        </w:rPr>
        <w:t>prEN</w:t>
      </w:r>
      <w:r w:rsidR="00417F28">
        <w:rPr>
          <w:bCs/>
        </w:rPr>
        <w:t> </w:t>
      </w:r>
      <w:r w:rsidRPr="00417F28">
        <w:rPr>
          <w:bCs/>
        </w:rPr>
        <w:t xml:space="preserve">1998-1-1:2022, 4.1(7), may be used without limitation of the seismic action index </w:t>
      </w:r>
      <w:r w:rsidRPr="00417F28">
        <w:rPr>
          <w:bCs/>
          <w:i/>
          <w:iCs/>
        </w:rPr>
        <w:t>S</w:t>
      </w:r>
      <w:r w:rsidRPr="00417F28">
        <w:rPr>
          <w:bCs/>
          <w:vertAlign w:val="subscript"/>
        </w:rPr>
        <w:t>δ</w:t>
      </w:r>
      <w:r w:rsidRPr="00417F28">
        <w:rPr>
          <w:bCs/>
        </w:rPr>
        <w:t xml:space="preserve"> in the design of structural systems which cannot be assigned to one of the types in 10.4.1(1) a) to i), provided that the conditions in (2) are satisfied</w:t>
      </w:r>
      <w:r w:rsidRPr="00A61D04">
        <w:t>.</w:t>
      </w:r>
    </w:p>
    <w:p w14:paraId="732CF1F6" w14:textId="04DE5BBA" w:rsidR="00DC701F" w:rsidRPr="00E05E29" w:rsidRDefault="00DC701F" w:rsidP="00DC701F">
      <w:pPr>
        <w:pStyle w:val="Heading4"/>
      </w:pPr>
      <w:bookmarkStart w:id="2103" w:name="_Toc522279684"/>
      <w:bookmarkStart w:id="2104" w:name="_Toc108342340"/>
      <w:r w:rsidRPr="00E05E29">
        <w:t>Design for DC2 and DC3</w:t>
      </w:r>
      <w:bookmarkEnd w:id="2103"/>
      <w:bookmarkEnd w:id="2104"/>
    </w:p>
    <w:p w14:paraId="1E4B6D58" w14:textId="4F9507F1" w:rsidR="00DC701F" w:rsidRPr="00E05E29" w:rsidRDefault="00DC701F" w:rsidP="0080187E">
      <w:pPr>
        <w:pStyle w:val="Clause"/>
        <w:numPr>
          <w:ilvl w:val="0"/>
          <w:numId w:val="315"/>
        </w:numPr>
      </w:pPr>
      <w:r w:rsidRPr="00E05E29">
        <w:t xml:space="preserve">Except as given </w:t>
      </w:r>
      <w:r w:rsidRPr="00417F28">
        <w:t>in 10.14.1</w:t>
      </w:r>
      <w:r w:rsidRPr="00E05E29">
        <w:t xml:space="preserve"> for precast structures, the default values of the behaviour factor components </w:t>
      </w:r>
      <w:r w:rsidRPr="00E96AA6">
        <w:rPr>
          <w:i/>
          <w:iCs/>
        </w:rPr>
        <w:t>q</w:t>
      </w:r>
      <w:r w:rsidRPr="00E96AA6">
        <w:rPr>
          <w:vertAlign w:val="subscript"/>
        </w:rPr>
        <w:t>R</w:t>
      </w:r>
      <w:r w:rsidRPr="00E05E29">
        <w:t xml:space="preserve"> and </w:t>
      </w:r>
      <w:r w:rsidRPr="00E96AA6">
        <w:rPr>
          <w:i/>
          <w:iCs/>
        </w:rPr>
        <w:t>q</w:t>
      </w:r>
      <w:r w:rsidRPr="00E96AA6">
        <w:rPr>
          <w:vertAlign w:val="subscript"/>
        </w:rPr>
        <w:t>D</w:t>
      </w:r>
      <w:r w:rsidRPr="00E05E29">
        <w:t xml:space="preserve">, and of the behaviour factor </w:t>
      </w:r>
      <w:r w:rsidRPr="00E96AA6">
        <w:rPr>
          <w:i/>
          <w:iCs/>
        </w:rPr>
        <w:t>q</w:t>
      </w:r>
      <w:r w:rsidRPr="00E05E29">
        <w:t>, are given in Table 10.1.</w:t>
      </w:r>
    </w:p>
    <w:p w14:paraId="4EAE8FED" w14:textId="5D9C4F84" w:rsidR="00DC701F" w:rsidRPr="00680A34" w:rsidRDefault="00DC701F" w:rsidP="00680A34">
      <w:pPr>
        <w:pStyle w:val="Tabletitle"/>
      </w:pPr>
      <w:bookmarkStart w:id="2105" w:name="_Ref523223682"/>
      <w:r w:rsidRPr="00680A34">
        <w:t xml:space="preserve">Table </w:t>
      </w:r>
      <w:r w:rsidR="00680A34">
        <w:t>10</w:t>
      </w:r>
      <w:r w:rsidRPr="00680A34">
        <w:t>.</w:t>
      </w:r>
      <w:bookmarkEnd w:id="2105"/>
      <w:r w:rsidR="00680A34">
        <w:t>1</w:t>
      </w:r>
      <w:r w:rsidRPr="00680A34">
        <w:t> — Default values of the behaviour factors</w:t>
      </w:r>
    </w:p>
    <w:tbl>
      <w:tblPr>
        <w:tblW w:w="97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3382"/>
        <w:gridCol w:w="1134"/>
        <w:gridCol w:w="850"/>
        <w:gridCol w:w="709"/>
        <w:gridCol w:w="851"/>
        <w:gridCol w:w="850"/>
      </w:tblGrid>
      <w:tr w:rsidR="00417F28" w:rsidRPr="00132C1E" w14:paraId="2204837E" w14:textId="77777777" w:rsidTr="002061E5">
        <w:trPr>
          <w:trHeight w:val="27"/>
          <w:jc w:val="center"/>
        </w:trPr>
        <w:tc>
          <w:tcPr>
            <w:tcW w:w="5362" w:type="dxa"/>
            <w:gridSpan w:val="2"/>
            <w:vMerge w:val="restart"/>
            <w:tcBorders>
              <w:top w:val="single" w:sz="4" w:space="0" w:color="auto"/>
              <w:left w:val="single" w:sz="4" w:space="0" w:color="auto"/>
              <w:right w:val="single" w:sz="4" w:space="0" w:color="auto"/>
            </w:tcBorders>
            <w:shd w:val="clear" w:color="auto" w:fill="auto"/>
            <w:vAlign w:val="center"/>
          </w:tcPr>
          <w:p w14:paraId="0145F7F5" w14:textId="7E4CF4D3" w:rsidR="00417F28" w:rsidRPr="00417F28" w:rsidRDefault="00417F28" w:rsidP="00417F28">
            <w:pPr>
              <w:pStyle w:val="Tablebody"/>
              <w:rPr>
                <w:b/>
                <w:bCs/>
              </w:rPr>
            </w:pPr>
            <w:r w:rsidRPr="00417F28">
              <w:rPr>
                <w:b/>
                <w:bCs/>
              </w:rPr>
              <w:t>Structural type</w:t>
            </w:r>
          </w:p>
        </w:tc>
        <w:tc>
          <w:tcPr>
            <w:tcW w:w="1134" w:type="dxa"/>
            <w:tcBorders>
              <w:top w:val="single" w:sz="4" w:space="0" w:color="auto"/>
              <w:left w:val="single" w:sz="4" w:space="0" w:color="auto"/>
              <w:bottom w:val="nil"/>
              <w:right w:val="single" w:sz="4" w:space="0" w:color="auto"/>
            </w:tcBorders>
            <w:shd w:val="clear" w:color="auto" w:fill="auto"/>
            <w:vAlign w:val="center"/>
          </w:tcPr>
          <w:p w14:paraId="74462E8B" w14:textId="77777777" w:rsidR="00417F28" w:rsidRPr="00417F28" w:rsidRDefault="00417F28" w:rsidP="00417F28">
            <w:pPr>
              <w:pStyle w:val="Tablebody"/>
              <w:jc w:val="center"/>
              <w:rPr>
                <w:b/>
                <w:bCs/>
                <w:i/>
              </w:rPr>
            </w:pPr>
            <w:r w:rsidRPr="00417F28">
              <w:rPr>
                <w:b/>
                <w:bCs/>
                <w:i/>
              </w:rPr>
              <w:t>q</w:t>
            </w:r>
            <w:r w:rsidRPr="00417F28">
              <w:rPr>
                <w:b/>
                <w:bCs/>
                <w:vertAlign w:val="subscript"/>
              </w:rPr>
              <w:t>R</w:t>
            </w:r>
          </w:p>
        </w:tc>
        <w:tc>
          <w:tcPr>
            <w:tcW w:w="1559" w:type="dxa"/>
            <w:gridSpan w:val="2"/>
            <w:tcBorders>
              <w:left w:val="single" w:sz="4" w:space="0" w:color="auto"/>
            </w:tcBorders>
            <w:shd w:val="clear" w:color="auto" w:fill="auto"/>
            <w:vAlign w:val="center"/>
          </w:tcPr>
          <w:p w14:paraId="437481B5" w14:textId="77777777" w:rsidR="00417F28" w:rsidRPr="00417F28" w:rsidRDefault="00417F28" w:rsidP="00417F28">
            <w:pPr>
              <w:pStyle w:val="Tablebody"/>
              <w:jc w:val="center"/>
              <w:rPr>
                <w:b/>
                <w:bCs/>
                <w:i/>
              </w:rPr>
            </w:pPr>
            <w:r w:rsidRPr="00417F28">
              <w:rPr>
                <w:b/>
                <w:bCs/>
                <w:i/>
              </w:rPr>
              <w:t>q</w:t>
            </w:r>
            <w:r w:rsidRPr="00417F28">
              <w:rPr>
                <w:b/>
                <w:bCs/>
                <w:vertAlign w:val="subscript"/>
              </w:rPr>
              <w:t>D</w:t>
            </w:r>
          </w:p>
        </w:tc>
        <w:tc>
          <w:tcPr>
            <w:tcW w:w="1701" w:type="dxa"/>
            <w:gridSpan w:val="2"/>
          </w:tcPr>
          <w:p w14:paraId="67A0E1D4" w14:textId="77777777" w:rsidR="00417F28" w:rsidRPr="00417F28" w:rsidRDefault="00417F28" w:rsidP="00417F28">
            <w:pPr>
              <w:pStyle w:val="Tablebody"/>
              <w:jc w:val="center"/>
              <w:rPr>
                <w:b/>
                <w:bCs/>
                <w:i/>
              </w:rPr>
            </w:pPr>
            <w:r w:rsidRPr="00417F28">
              <w:rPr>
                <w:b/>
                <w:bCs/>
                <w:i/>
              </w:rPr>
              <w:t>q = q</w:t>
            </w:r>
            <w:r w:rsidRPr="00417F28">
              <w:rPr>
                <w:b/>
                <w:bCs/>
                <w:vertAlign w:val="subscript"/>
              </w:rPr>
              <w:t>R</w:t>
            </w:r>
            <w:r w:rsidRPr="00417F28">
              <w:rPr>
                <w:b/>
                <w:bCs/>
                <w:i/>
              </w:rPr>
              <w:t> q</w:t>
            </w:r>
            <w:r w:rsidRPr="00417F28">
              <w:rPr>
                <w:b/>
                <w:bCs/>
                <w:vertAlign w:val="subscript"/>
              </w:rPr>
              <w:t>S</w:t>
            </w:r>
            <w:r w:rsidRPr="00417F28">
              <w:rPr>
                <w:b/>
                <w:bCs/>
                <w:i/>
              </w:rPr>
              <w:t> q</w:t>
            </w:r>
            <w:r w:rsidRPr="00417F28">
              <w:rPr>
                <w:b/>
                <w:bCs/>
                <w:vertAlign w:val="subscript"/>
              </w:rPr>
              <w:t>D</w:t>
            </w:r>
          </w:p>
        </w:tc>
      </w:tr>
      <w:tr w:rsidR="00417F28" w:rsidRPr="00132C1E" w14:paraId="53040393" w14:textId="77777777" w:rsidTr="002061E5">
        <w:trPr>
          <w:jc w:val="center"/>
        </w:trPr>
        <w:tc>
          <w:tcPr>
            <w:tcW w:w="5362" w:type="dxa"/>
            <w:gridSpan w:val="2"/>
            <w:vMerge/>
            <w:tcBorders>
              <w:left w:val="single" w:sz="4" w:space="0" w:color="auto"/>
              <w:bottom w:val="single" w:sz="4" w:space="0" w:color="auto"/>
              <w:right w:val="single" w:sz="4" w:space="0" w:color="auto"/>
            </w:tcBorders>
            <w:shd w:val="clear" w:color="auto" w:fill="auto"/>
          </w:tcPr>
          <w:p w14:paraId="71F72AFB" w14:textId="77777777" w:rsidR="00417F28" w:rsidRPr="00D1484A" w:rsidRDefault="00417F28" w:rsidP="00417F28">
            <w:pPr>
              <w:pStyle w:val="Tablebody"/>
            </w:pPr>
          </w:p>
        </w:tc>
        <w:tc>
          <w:tcPr>
            <w:tcW w:w="1134" w:type="dxa"/>
            <w:tcBorders>
              <w:top w:val="nil"/>
              <w:left w:val="single" w:sz="4" w:space="0" w:color="auto"/>
              <w:bottom w:val="single" w:sz="4" w:space="0" w:color="auto"/>
              <w:right w:val="single" w:sz="4" w:space="0" w:color="auto"/>
            </w:tcBorders>
            <w:shd w:val="clear" w:color="auto" w:fill="auto"/>
          </w:tcPr>
          <w:p w14:paraId="3238DA24" w14:textId="77777777" w:rsidR="00417F28" w:rsidRPr="00417F28" w:rsidRDefault="00417F28" w:rsidP="00417F28">
            <w:pPr>
              <w:pStyle w:val="Tablebody"/>
              <w:jc w:val="center"/>
              <w:rPr>
                <w:b/>
                <w:bCs/>
              </w:rPr>
            </w:pPr>
          </w:p>
        </w:tc>
        <w:tc>
          <w:tcPr>
            <w:tcW w:w="850" w:type="dxa"/>
            <w:tcBorders>
              <w:left w:val="single" w:sz="4" w:space="0" w:color="auto"/>
            </w:tcBorders>
            <w:shd w:val="clear" w:color="auto" w:fill="auto"/>
            <w:vAlign w:val="center"/>
          </w:tcPr>
          <w:p w14:paraId="4A1573C4" w14:textId="77777777" w:rsidR="00417F28" w:rsidRPr="00417F28" w:rsidRDefault="00417F28" w:rsidP="00417F28">
            <w:pPr>
              <w:pStyle w:val="Tablebody"/>
              <w:jc w:val="center"/>
              <w:rPr>
                <w:b/>
                <w:bCs/>
              </w:rPr>
            </w:pPr>
            <w:r w:rsidRPr="00417F28">
              <w:rPr>
                <w:b/>
                <w:bCs/>
              </w:rPr>
              <w:t>DC2</w:t>
            </w:r>
          </w:p>
        </w:tc>
        <w:tc>
          <w:tcPr>
            <w:tcW w:w="709" w:type="dxa"/>
            <w:shd w:val="clear" w:color="auto" w:fill="auto"/>
            <w:vAlign w:val="center"/>
          </w:tcPr>
          <w:p w14:paraId="3406F421" w14:textId="77777777" w:rsidR="00417F28" w:rsidRPr="00417F28" w:rsidRDefault="00417F28" w:rsidP="00417F28">
            <w:pPr>
              <w:pStyle w:val="Tablebody"/>
              <w:jc w:val="center"/>
              <w:rPr>
                <w:b/>
                <w:bCs/>
              </w:rPr>
            </w:pPr>
            <w:r w:rsidRPr="00417F28">
              <w:rPr>
                <w:b/>
                <w:bCs/>
              </w:rPr>
              <w:t>DC3</w:t>
            </w:r>
          </w:p>
        </w:tc>
        <w:tc>
          <w:tcPr>
            <w:tcW w:w="851" w:type="dxa"/>
            <w:vAlign w:val="center"/>
          </w:tcPr>
          <w:p w14:paraId="09D06C3C" w14:textId="77777777" w:rsidR="00417F28" w:rsidRPr="00417F28" w:rsidRDefault="00417F28" w:rsidP="00417F28">
            <w:pPr>
              <w:pStyle w:val="Tablebody"/>
              <w:jc w:val="center"/>
              <w:rPr>
                <w:b/>
                <w:bCs/>
              </w:rPr>
            </w:pPr>
            <w:r w:rsidRPr="00417F28">
              <w:rPr>
                <w:b/>
                <w:bCs/>
              </w:rPr>
              <w:t>DC2</w:t>
            </w:r>
          </w:p>
        </w:tc>
        <w:tc>
          <w:tcPr>
            <w:tcW w:w="850" w:type="dxa"/>
            <w:vAlign w:val="center"/>
          </w:tcPr>
          <w:p w14:paraId="1BD4EFE6" w14:textId="77777777" w:rsidR="00417F28" w:rsidRPr="00417F28" w:rsidRDefault="00417F28" w:rsidP="00417F28">
            <w:pPr>
              <w:pStyle w:val="Tablebody"/>
              <w:jc w:val="center"/>
              <w:rPr>
                <w:b/>
                <w:bCs/>
              </w:rPr>
            </w:pPr>
            <w:r w:rsidRPr="00417F28">
              <w:rPr>
                <w:b/>
                <w:bCs/>
              </w:rPr>
              <w:t>DC3</w:t>
            </w:r>
          </w:p>
        </w:tc>
      </w:tr>
      <w:tr w:rsidR="00DC701F" w:rsidRPr="00132C1E" w14:paraId="2BCCF981" w14:textId="77777777" w:rsidTr="00417F28">
        <w:trPr>
          <w:jc w:val="center"/>
        </w:trPr>
        <w:tc>
          <w:tcPr>
            <w:tcW w:w="1980" w:type="dxa"/>
            <w:vMerge w:val="restart"/>
            <w:tcBorders>
              <w:top w:val="single" w:sz="4" w:space="0" w:color="auto"/>
            </w:tcBorders>
            <w:shd w:val="clear" w:color="auto" w:fill="auto"/>
            <w:vAlign w:val="center"/>
          </w:tcPr>
          <w:p w14:paraId="06D58511" w14:textId="264DBF3C" w:rsidR="00DC701F" w:rsidRPr="00AA0EDF" w:rsidRDefault="00DC701F" w:rsidP="00417F28">
            <w:pPr>
              <w:pStyle w:val="Tablebody"/>
              <w:jc w:val="left"/>
            </w:pPr>
            <w:r w:rsidRPr="00AA0EDF">
              <w:t>Moment resisting frame or</w:t>
            </w:r>
            <w:r w:rsidRPr="00AA0EDF">
              <w:br/>
              <w:t>moment resisting frame-equivalent dual structures</w:t>
            </w:r>
          </w:p>
        </w:tc>
        <w:tc>
          <w:tcPr>
            <w:tcW w:w="3382" w:type="dxa"/>
            <w:tcBorders>
              <w:top w:val="single" w:sz="4" w:space="0" w:color="auto"/>
            </w:tcBorders>
            <w:shd w:val="clear" w:color="auto" w:fill="auto"/>
            <w:vAlign w:val="center"/>
          </w:tcPr>
          <w:p w14:paraId="485EA0C3" w14:textId="77777777" w:rsidR="00DC701F" w:rsidRPr="00E05E29" w:rsidRDefault="00DC701F" w:rsidP="00417F28">
            <w:pPr>
              <w:pStyle w:val="Tablebody"/>
              <w:jc w:val="left"/>
            </w:pPr>
            <w:r w:rsidRPr="007E6F67">
              <w:t xml:space="preserve">multi-storey, multi-bay moment resisting </w:t>
            </w:r>
            <w:r w:rsidRPr="00644C3D">
              <w:t>frames or moment resisting frame-equivalent dual structures</w:t>
            </w:r>
          </w:p>
        </w:tc>
        <w:tc>
          <w:tcPr>
            <w:tcW w:w="1134" w:type="dxa"/>
            <w:tcBorders>
              <w:top w:val="single" w:sz="4" w:space="0" w:color="auto"/>
            </w:tcBorders>
            <w:shd w:val="clear" w:color="auto" w:fill="auto"/>
            <w:vAlign w:val="center"/>
          </w:tcPr>
          <w:p w14:paraId="714A2C88" w14:textId="77777777" w:rsidR="00DC701F" w:rsidRPr="00E05E29" w:rsidRDefault="00DC701F" w:rsidP="00417F28">
            <w:pPr>
              <w:pStyle w:val="Tablebody"/>
              <w:jc w:val="center"/>
            </w:pPr>
            <w:r w:rsidRPr="00E05E29">
              <w:t>1,3</w:t>
            </w:r>
          </w:p>
        </w:tc>
        <w:tc>
          <w:tcPr>
            <w:tcW w:w="850" w:type="dxa"/>
            <w:vMerge w:val="restart"/>
            <w:shd w:val="clear" w:color="auto" w:fill="auto"/>
            <w:vAlign w:val="center"/>
          </w:tcPr>
          <w:p w14:paraId="459B597D" w14:textId="77777777" w:rsidR="00DC701F" w:rsidRPr="00E05E29" w:rsidRDefault="00DC701F" w:rsidP="00417F28">
            <w:pPr>
              <w:pStyle w:val="Tablebody"/>
              <w:jc w:val="center"/>
            </w:pPr>
            <w:r w:rsidRPr="00E05E29">
              <w:t>1,3</w:t>
            </w:r>
          </w:p>
        </w:tc>
        <w:tc>
          <w:tcPr>
            <w:tcW w:w="709" w:type="dxa"/>
            <w:vMerge w:val="restart"/>
            <w:shd w:val="clear" w:color="auto" w:fill="auto"/>
            <w:vAlign w:val="center"/>
          </w:tcPr>
          <w:p w14:paraId="73C4E274" w14:textId="77777777" w:rsidR="00DC701F" w:rsidRPr="00E05E29" w:rsidRDefault="00DC701F" w:rsidP="00417F28">
            <w:pPr>
              <w:pStyle w:val="Tablebody"/>
              <w:jc w:val="center"/>
            </w:pPr>
            <w:r w:rsidRPr="00E05E29">
              <w:t>2,0</w:t>
            </w:r>
          </w:p>
        </w:tc>
        <w:tc>
          <w:tcPr>
            <w:tcW w:w="851" w:type="dxa"/>
            <w:vAlign w:val="center"/>
          </w:tcPr>
          <w:p w14:paraId="6330785F" w14:textId="77777777" w:rsidR="00DC701F" w:rsidRPr="00E05E29" w:rsidRDefault="00DC701F" w:rsidP="00417F28">
            <w:pPr>
              <w:pStyle w:val="Tablebody"/>
              <w:jc w:val="center"/>
            </w:pPr>
            <w:r w:rsidRPr="00E05E29">
              <w:t>2,5</w:t>
            </w:r>
          </w:p>
        </w:tc>
        <w:tc>
          <w:tcPr>
            <w:tcW w:w="850" w:type="dxa"/>
            <w:vAlign w:val="center"/>
          </w:tcPr>
          <w:p w14:paraId="5586B4A5" w14:textId="77777777" w:rsidR="00DC701F" w:rsidRPr="00E05E29" w:rsidRDefault="00DC701F" w:rsidP="00417F28">
            <w:pPr>
              <w:pStyle w:val="Tablebody"/>
              <w:jc w:val="center"/>
            </w:pPr>
            <w:r w:rsidRPr="00E05E29">
              <w:t>3,9</w:t>
            </w:r>
          </w:p>
        </w:tc>
      </w:tr>
      <w:tr w:rsidR="00DC701F" w:rsidRPr="00132C1E" w14:paraId="77E3FE8D" w14:textId="77777777" w:rsidTr="00417F28">
        <w:trPr>
          <w:jc w:val="center"/>
        </w:trPr>
        <w:tc>
          <w:tcPr>
            <w:tcW w:w="1980" w:type="dxa"/>
            <w:vMerge/>
            <w:shd w:val="clear" w:color="auto" w:fill="auto"/>
            <w:vAlign w:val="center"/>
          </w:tcPr>
          <w:p w14:paraId="718CA25A" w14:textId="77777777" w:rsidR="00DC701F" w:rsidRPr="00132C1E" w:rsidRDefault="00DC701F" w:rsidP="00417F28">
            <w:pPr>
              <w:pStyle w:val="Tablebody"/>
            </w:pPr>
          </w:p>
        </w:tc>
        <w:tc>
          <w:tcPr>
            <w:tcW w:w="3382" w:type="dxa"/>
            <w:shd w:val="clear" w:color="auto" w:fill="auto"/>
            <w:vAlign w:val="center"/>
          </w:tcPr>
          <w:p w14:paraId="3B3D4464" w14:textId="77777777" w:rsidR="00DC701F" w:rsidRPr="00132C1E" w:rsidRDefault="00DC701F" w:rsidP="00417F28">
            <w:pPr>
              <w:pStyle w:val="Tablebody"/>
              <w:jc w:val="left"/>
            </w:pPr>
            <w:r w:rsidRPr="00132C1E">
              <w:t>multi-storey, one-bay moment resisting frames</w:t>
            </w:r>
          </w:p>
        </w:tc>
        <w:tc>
          <w:tcPr>
            <w:tcW w:w="1134" w:type="dxa"/>
            <w:shd w:val="clear" w:color="auto" w:fill="auto"/>
            <w:vAlign w:val="center"/>
          </w:tcPr>
          <w:p w14:paraId="3875872C" w14:textId="77777777" w:rsidR="00DC701F" w:rsidRPr="00132C1E" w:rsidRDefault="00DC701F" w:rsidP="00417F28">
            <w:pPr>
              <w:pStyle w:val="Tablebody"/>
              <w:jc w:val="center"/>
            </w:pPr>
            <w:r w:rsidRPr="00132C1E">
              <w:t>1,2</w:t>
            </w:r>
          </w:p>
        </w:tc>
        <w:tc>
          <w:tcPr>
            <w:tcW w:w="850" w:type="dxa"/>
            <w:vMerge/>
            <w:shd w:val="clear" w:color="auto" w:fill="auto"/>
            <w:vAlign w:val="center"/>
          </w:tcPr>
          <w:p w14:paraId="0FCF6A78" w14:textId="77777777" w:rsidR="00DC701F" w:rsidRPr="00132C1E" w:rsidRDefault="00DC701F" w:rsidP="00417F28">
            <w:pPr>
              <w:pStyle w:val="Tablebody"/>
              <w:jc w:val="center"/>
            </w:pPr>
          </w:p>
        </w:tc>
        <w:tc>
          <w:tcPr>
            <w:tcW w:w="709" w:type="dxa"/>
            <w:vMerge/>
            <w:shd w:val="clear" w:color="auto" w:fill="auto"/>
            <w:vAlign w:val="center"/>
          </w:tcPr>
          <w:p w14:paraId="23343C03" w14:textId="77777777" w:rsidR="00DC701F" w:rsidRPr="00132C1E" w:rsidRDefault="00DC701F" w:rsidP="00417F28">
            <w:pPr>
              <w:pStyle w:val="Tablebody"/>
              <w:jc w:val="center"/>
            </w:pPr>
          </w:p>
        </w:tc>
        <w:tc>
          <w:tcPr>
            <w:tcW w:w="851" w:type="dxa"/>
            <w:vAlign w:val="center"/>
          </w:tcPr>
          <w:p w14:paraId="25EEFE55" w14:textId="77777777" w:rsidR="00DC701F" w:rsidRPr="00132C1E" w:rsidRDefault="00DC701F" w:rsidP="00417F28">
            <w:pPr>
              <w:pStyle w:val="Tablebody"/>
              <w:jc w:val="center"/>
            </w:pPr>
            <w:r w:rsidRPr="00132C1E">
              <w:t>2,3</w:t>
            </w:r>
          </w:p>
        </w:tc>
        <w:tc>
          <w:tcPr>
            <w:tcW w:w="850" w:type="dxa"/>
            <w:vAlign w:val="center"/>
          </w:tcPr>
          <w:p w14:paraId="5C9FC20B" w14:textId="77777777" w:rsidR="00DC701F" w:rsidRPr="00132C1E" w:rsidRDefault="00DC701F" w:rsidP="00417F28">
            <w:pPr>
              <w:pStyle w:val="Tablebody"/>
              <w:jc w:val="center"/>
            </w:pPr>
            <w:r w:rsidRPr="00132C1E">
              <w:t>3,6</w:t>
            </w:r>
          </w:p>
        </w:tc>
      </w:tr>
      <w:tr w:rsidR="00DC701F" w:rsidRPr="00132C1E" w14:paraId="6D081C77" w14:textId="77777777" w:rsidTr="00417F28">
        <w:trPr>
          <w:trHeight w:val="31"/>
          <w:jc w:val="center"/>
        </w:trPr>
        <w:tc>
          <w:tcPr>
            <w:tcW w:w="1980" w:type="dxa"/>
            <w:vMerge/>
            <w:shd w:val="clear" w:color="auto" w:fill="auto"/>
            <w:vAlign w:val="center"/>
          </w:tcPr>
          <w:p w14:paraId="00A97045" w14:textId="77777777" w:rsidR="00DC701F" w:rsidRPr="00132C1E" w:rsidRDefault="00DC701F" w:rsidP="00417F28">
            <w:pPr>
              <w:pStyle w:val="Tablebody"/>
            </w:pPr>
          </w:p>
        </w:tc>
        <w:tc>
          <w:tcPr>
            <w:tcW w:w="3382" w:type="dxa"/>
            <w:shd w:val="clear" w:color="auto" w:fill="auto"/>
            <w:vAlign w:val="center"/>
          </w:tcPr>
          <w:p w14:paraId="7F44C315" w14:textId="77777777" w:rsidR="00DC701F" w:rsidRPr="00132C1E" w:rsidRDefault="00DC701F" w:rsidP="00417F28">
            <w:pPr>
              <w:pStyle w:val="Tablebody"/>
              <w:jc w:val="left"/>
            </w:pPr>
            <w:r w:rsidRPr="00132C1E">
              <w:t>one-storey moment resisting frames</w:t>
            </w:r>
          </w:p>
        </w:tc>
        <w:tc>
          <w:tcPr>
            <w:tcW w:w="1134" w:type="dxa"/>
            <w:shd w:val="clear" w:color="auto" w:fill="auto"/>
            <w:vAlign w:val="center"/>
          </w:tcPr>
          <w:p w14:paraId="0BFCE96E" w14:textId="77777777" w:rsidR="00DC701F" w:rsidRPr="00132C1E" w:rsidRDefault="00DC701F" w:rsidP="00417F28">
            <w:pPr>
              <w:pStyle w:val="Tablebody"/>
              <w:jc w:val="center"/>
            </w:pPr>
            <w:r w:rsidRPr="00132C1E">
              <w:t>1,1</w:t>
            </w:r>
          </w:p>
        </w:tc>
        <w:tc>
          <w:tcPr>
            <w:tcW w:w="850" w:type="dxa"/>
            <w:vMerge/>
            <w:shd w:val="clear" w:color="auto" w:fill="auto"/>
            <w:vAlign w:val="center"/>
          </w:tcPr>
          <w:p w14:paraId="0093D617" w14:textId="77777777" w:rsidR="00DC701F" w:rsidRPr="00132C1E" w:rsidRDefault="00DC701F" w:rsidP="00417F28">
            <w:pPr>
              <w:pStyle w:val="Tablebody"/>
              <w:jc w:val="center"/>
            </w:pPr>
          </w:p>
        </w:tc>
        <w:tc>
          <w:tcPr>
            <w:tcW w:w="709" w:type="dxa"/>
            <w:vMerge/>
            <w:tcBorders>
              <w:bottom w:val="single" w:sz="4" w:space="0" w:color="auto"/>
            </w:tcBorders>
            <w:shd w:val="clear" w:color="auto" w:fill="auto"/>
            <w:vAlign w:val="center"/>
          </w:tcPr>
          <w:p w14:paraId="4288DB84" w14:textId="77777777" w:rsidR="00DC701F" w:rsidRPr="00132C1E" w:rsidRDefault="00DC701F" w:rsidP="00417F28">
            <w:pPr>
              <w:pStyle w:val="Tablebody"/>
              <w:jc w:val="center"/>
            </w:pPr>
          </w:p>
        </w:tc>
        <w:tc>
          <w:tcPr>
            <w:tcW w:w="851" w:type="dxa"/>
            <w:vAlign w:val="center"/>
          </w:tcPr>
          <w:p w14:paraId="175A2269" w14:textId="77777777" w:rsidR="00DC701F" w:rsidRPr="00132C1E" w:rsidRDefault="00DC701F" w:rsidP="00417F28">
            <w:pPr>
              <w:pStyle w:val="Tablebody"/>
              <w:jc w:val="center"/>
            </w:pPr>
            <w:r w:rsidRPr="00132C1E">
              <w:t>2,1</w:t>
            </w:r>
          </w:p>
        </w:tc>
        <w:tc>
          <w:tcPr>
            <w:tcW w:w="850" w:type="dxa"/>
            <w:vAlign w:val="center"/>
          </w:tcPr>
          <w:p w14:paraId="77E6D1B6" w14:textId="77777777" w:rsidR="00DC701F" w:rsidRPr="00132C1E" w:rsidRDefault="00DC701F" w:rsidP="00417F28">
            <w:pPr>
              <w:pStyle w:val="Tablebody"/>
              <w:jc w:val="center"/>
            </w:pPr>
            <w:r w:rsidRPr="00132C1E">
              <w:t>3,3</w:t>
            </w:r>
          </w:p>
        </w:tc>
      </w:tr>
      <w:tr w:rsidR="00AA0EDF" w:rsidRPr="00AA0EDF" w14:paraId="7FD70EDD" w14:textId="77777777" w:rsidTr="00417F28">
        <w:trPr>
          <w:trHeight w:val="31"/>
          <w:jc w:val="center"/>
        </w:trPr>
        <w:tc>
          <w:tcPr>
            <w:tcW w:w="1980" w:type="dxa"/>
            <w:shd w:val="clear" w:color="auto" w:fill="auto"/>
            <w:vAlign w:val="center"/>
          </w:tcPr>
          <w:p w14:paraId="6B38EA0E" w14:textId="4A46D172" w:rsidR="00DC701F" w:rsidRPr="00E73017" w:rsidRDefault="00DC701F" w:rsidP="00417F28">
            <w:pPr>
              <w:pStyle w:val="Tablebody"/>
              <w:jc w:val="left"/>
            </w:pPr>
            <w:r w:rsidRPr="00E73017">
              <w:t xml:space="preserve">Moment resisting frame or </w:t>
            </w:r>
            <w:r w:rsidR="00417F28">
              <w:br/>
            </w:r>
            <w:r w:rsidRPr="00E73017">
              <w:t>moment resisting frame-equivalent dual structures with interacting masonry infills</w:t>
            </w:r>
          </w:p>
        </w:tc>
        <w:tc>
          <w:tcPr>
            <w:tcW w:w="3382" w:type="dxa"/>
            <w:shd w:val="clear" w:color="auto" w:fill="auto"/>
            <w:vAlign w:val="center"/>
          </w:tcPr>
          <w:p w14:paraId="0177F96D" w14:textId="77777777" w:rsidR="00DC701F" w:rsidRPr="00E73017" w:rsidRDefault="00DC701F" w:rsidP="00417F28">
            <w:pPr>
              <w:pStyle w:val="Tablebody"/>
            </w:pPr>
          </w:p>
        </w:tc>
        <w:tc>
          <w:tcPr>
            <w:tcW w:w="1134" w:type="dxa"/>
            <w:shd w:val="clear" w:color="auto" w:fill="auto"/>
            <w:vAlign w:val="center"/>
          </w:tcPr>
          <w:p w14:paraId="72A87215" w14:textId="77777777" w:rsidR="00DC701F" w:rsidRPr="00E73017" w:rsidRDefault="00DC701F" w:rsidP="00417F28">
            <w:pPr>
              <w:pStyle w:val="Tablebody"/>
              <w:jc w:val="center"/>
            </w:pPr>
            <w:r w:rsidRPr="00E73017">
              <w:t>1,1</w:t>
            </w:r>
          </w:p>
        </w:tc>
        <w:tc>
          <w:tcPr>
            <w:tcW w:w="850" w:type="dxa"/>
            <w:shd w:val="clear" w:color="auto" w:fill="auto"/>
            <w:vAlign w:val="center"/>
          </w:tcPr>
          <w:p w14:paraId="432D8545" w14:textId="77777777" w:rsidR="00DC701F" w:rsidRPr="00E73017" w:rsidRDefault="00DC701F" w:rsidP="00417F28">
            <w:pPr>
              <w:pStyle w:val="Tablebody"/>
              <w:jc w:val="center"/>
            </w:pPr>
            <w:r w:rsidRPr="00E73017">
              <w:t>1,2</w:t>
            </w:r>
          </w:p>
        </w:tc>
        <w:tc>
          <w:tcPr>
            <w:tcW w:w="709" w:type="dxa"/>
            <w:tcBorders>
              <w:bottom w:val="single" w:sz="4" w:space="0" w:color="auto"/>
            </w:tcBorders>
            <w:shd w:val="clear" w:color="auto" w:fill="auto"/>
            <w:vAlign w:val="center"/>
          </w:tcPr>
          <w:p w14:paraId="445E6DD3" w14:textId="3D0D5364" w:rsidR="00DC701F" w:rsidRPr="00680A34" w:rsidRDefault="00DC701F" w:rsidP="00417F28">
            <w:pPr>
              <w:pStyle w:val="Tablebody"/>
              <w:jc w:val="center"/>
              <w:rPr>
                <w:strike/>
              </w:rPr>
            </w:pPr>
            <w:r w:rsidRPr="00680A34">
              <w:t>1,4</w:t>
            </w:r>
          </w:p>
        </w:tc>
        <w:tc>
          <w:tcPr>
            <w:tcW w:w="851" w:type="dxa"/>
            <w:vAlign w:val="center"/>
          </w:tcPr>
          <w:p w14:paraId="75A8159C" w14:textId="2B612EA2" w:rsidR="00DC701F" w:rsidRPr="00E73017" w:rsidRDefault="00DC701F" w:rsidP="00417F28">
            <w:pPr>
              <w:pStyle w:val="Tablebody"/>
              <w:jc w:val="center"/>
            </w:pPr>
            <w:r w:rsidRPr="00E73017">
              <w:t>2,0</w:t>
            </w:r>
          </w:p>
        </w:tc>
        <w:tc>
          <w:tcPr>
            <w:tcW w:w="850" w:type="dxa"/>
            <w:vAlign w:val="center"/>
          </w:tcPr>
          <w:p w14:paraId="4C51F955" w14:textId="79B207B4" w:rsidR="00DC701F" w:rsidRPr="00AA0EDF" w:rsidRDefault="00DC701F" w:rsidP="00417F28">
            <w:pPr>
              <w:pStyle w:val="Tablebody"/>
              <w:jc w:val="center"/>
            </w:pPr>
            <w:r w:rsidRPr="00AA0EDF">
              <w:t>2,3</w:t>
            </w:r>
          </w:p>
        </w:tc>
      </w:tr>
      <w:tr w:rsidR="00DC701F" w:rsidRPr="00132C1E" w14:paraId="68C8598E" w14:textId="77777777" w:rsidTr="00417F28">
        <w:trPr>
          <w:trHeight w:val="127"/>
          <w:jc w:val="center"/>
        </w:trPr>
        <w:tc>
          <w:tcPr>
            <w:tcW w:w="1980" w:type="dxa"/>
            <w:vMerge w:val="restart"/>
            <w:shd w:val="clear" w:color="auto" w:fill="auto"/>
            <w:vAlign w:val="center"/>
          </w:tcPr>
          <w:p w14:paraId="78621E15" w14:textId="19DDDF07" w:rsidR="00DC701F" w:rsidRPr="00E73017" w:rsidRDefault="00DC701F" w:rsidP="00417F28">
            <w:pPr>
              <w:pStyle w:val="Tablebody"/>
              <w:jc w:val="left"/>
            </w:pPr>
            <w:r w:rsidRPr="00E73017">
              <w:t>Wall or</w:t>
            </w:r>
            <w:r w:rsidRPr="00E73017">
              <w:br/>
              <w:t>wall-equivalent dual structures</w:t>
            </w:r>
          </w:p>
        </w:tc>
        <w:tc>
          <w:tcPr>
            <w:tcW w:w="3382" w:type="dxa"/>
            <w:shd w:val="clear" w:color="auto" w:fill="auto"/>
            <w:vAlign w:val="center"/>
          </w:tcPr>
          <w:p w14:paraId="6728F7C0" w14:textId="77777777" w:rsidR="00DC701F" w:rsidRPr="00E73017" w:rsidRDefault="00DC701F" w:rsidP="00417F28">
            <w:pPr>
              <w:pStyle w:val="Tablebody"/>
            </w:pPr>
            <w:r w:rsidRPr="00E73017">
              <w:t>wall-equivalent dual structures</w:t>
            </w:r>
          </w:p>
        </w:tc>
        <w:tc>
          <w:tcPr>
            <w:tcW w:w="1134" w:type="dxa"/>
            <w:shd w:val="clear" w:color="auto" w:fill="auto"/>
            <w:vAlign w:val="center"/>
          </w:tcPr>
          <w:p w14:paraId="29B55EC9" w14:textId="77777777" w:rsidR="00DC701F" w:rsidRPr="00E73017" w:rsidRDefault="00DC701F" w:rsidP="00417F28">
            <w:pPr>
              <w:pStyle w:val="Tablebody"/>
              <w:jc w:val="center"/>
            </w:pPr>
            <w:r w:rsidRPr="00E73017">
              <w:t>1,2</w:t>
            </w:r>
          </w:p>
        </w:tc>
        <w:tc>
          <w:tcPr>
            <w:tcW w:w="850" w:type="dxa"/>
            <w:tcBorders>
              <w:right w:val="single" w:sz="4" w:space="0" w:color="auto"/>
            </w:tcBorders>
            <w:shd w:val="clear" w:color="auto" w:fill="auto"/>
            <w:vAlign w:val="center"/>
          </w:tcPr>
          <w:p w14:paraId="2E021D49" w14:textId="77777777" w:rsidR="00DC701F" w:rsidRPr="00E73017" w:rsidRDefault="00DC701F" w:rsidP="00417F28">
            <w:pPr>
              <w:pStyle w:val="Tablebody"/>
              <w:jc w:val="center"/>
            </w:pPr>
            <w:r w:rsidRPr="00E73017">
              <w:t>1,3</w:t>
            </w:r>
          </w:p>
        </w:tc>
        <w:tc>
          <w:tcPr>
            <w:tcW w:w="709" w:type="dxa"/>
            <w:tcBorders>
              <w:top w:val="single" w:sz="4" w:space="0" w:color="auto"/>
              <w:left w:val="single" w:sz="4" w:space="0" w:color="auto"/>
              <w:bottom w:val="nil"/>
              <w:right w:val="single" w:sz="4" w:space="0" w:color="auto"/>
            </w:tcBorders>
            <w:shd w:val="clear" w:color="auto" w:fill="auto"/>
            <w:vAlign w:val="center"/>
          </w:tcPr>
          <w:p w14:paraId="222A5250" w14:textId="77777777" w:rsidR="00DC701F" w:rsidRPr="00E73017" w:rsidRDefault="00DC701F" w:rsidP="00417F28">
            <w:pPr>
              <w:pStyle w:val="Tablebody"/>
              <w:jc w:val="center"/>
            </w:pPr>
          </w:p>
        </w:tc>
        <w:tc>
          <w:tcPr>
            <w:tcW w:w="851" w:type="dxa"/>
            <w:tcBorders>
              <w:left w:val="single" w:sz="4" w:space="0" w:color="auto"/>
            </w:tcBorders>
            <w:vAlign w:val="center"/>
          </w:tcPr>
          <w:p w14:paraId="4CA483E7" w14:textId="77777777" w:rsidR="00DC701F" w:rsidRPr="00E73017" w:rsidRDefault="00DC701F" w:rsidP="00417F28">
            <w:pPr>
              <w:pStyle w:val="Tablebody"/>
              <w:jc w:val="center"/>
            </w:pPr>
            <w:r w:rsidRPr="00E73017">
              <w:t>2,3</w:t>
            </w:r>
          </w:p>
        </w:tc>
        <w:tc>
          <w:tcPr>
            <w:tcW w:w="850" w:type="dxa"/>
            <w:vAlign w:val="center"/>
          </w:tcPr>
          <w:p w14:paraId="5E6521A3" w14:textId="77777777" w:rsidR="00DC701F" w:rsidRPr="00E73017" w:rsidRDefault="00DC701F" w:rsidP="00417F28">
            <w:pPr>
              <w:pStyle w:val="Tablebody"/>
              <w:jc w:val="center"/>
            </w:pPr>
            <w:r w:rsidRPr="00E73017">
              <w:t>3,6</w:t>
            </w:r>
          </w:p>
        </w:tc>
      </w:tr>
      <w:tr w:rsidR="00DC701F" w:rsidRPr="00132C1E" w14:paraId="786D0134" w14:textId="77777777" w:rsidTr="00417F28">
        <w:trPr>
          <w:jc w:val="center"/>
        </w:trPr>
        <w:tc>
          <w:tcPr>
            <w:tcW w:w="1980" w:type="dxa"/>
            <w:vMerge/>
            <w:shd w:val="clear" w:color="auto" w:fill="auto"/>
            <w:vAlign w:val="center"/>
          </w:tcPr>
          <w:p w14:paraId="692099A4" w14:textId="77777777" w:rsidR="00DC701F" w:rsidRPr="00132C1E" w:rsidRDefault="00DC701F" w:rsidP="00417F28">
            <w:pPr>
              <w:pStyle w:val="Tablebody"/>
            </w:pPr>
          </w:p>
        </w:tc>
        <w:tc>
          <w:tcPr>
            <w:tcW w:w="3382" w:type="dxa"/>
            <w:shd w:val="clear" w:color="auto" w:fill="auto"/>
            <w:vAlign w:val="center"/>
          </w:tcPr>
          <w:p w14:paraId="22B3087D" w14:textId="77777777" w:rsidR="00DC701F" w:rsidRPr="00132C1E" w:rsidRDefault="00DC701F" w:rsidP="00417F28">
            <w:pPr>
              <w:pStyle w:val="Tablebody"/>
            </w:pPr>
            <w:r w:rsidRPr="00132C1E">
              <w:t>coupled walls structures</w:t>
            </w:r>
          </w:p>
        </w:tc>
        <w:tc>
          <w:tcPr>
            <w:tcW w:w="1134" w:type="dxa"/>
            <w:shd w:val="clear" w:color="auto" w:fill="auto"/>
            <w:vAlign w:val="center"/>
          </w:tcPr>
          <w:p w14:paraId="49596A11" w14:textId="77777777" w:rsidR="00DC701F" w:rsidRPr="00132C1E" w:rsidRDefault="00DC701F" w:rsidP="00417F28">
            <w:pPr>
              <w:pStyle w:val="Tablebody"/>
              <w:jc w:val="center"/>
            </w:pPr>
            <w:r w:rsidRPr="00132C1E">
              <w:t>1,2</w:t>
            </w:r>
          </w:p>
        </w:tc>
        <w:tc>
          <w:tcPr>
            <w:tcW w:w="850" w:type="dxa"/>
            <w:tcBorders>
              <w:right w:val="single" w:sz="4" w:space="0" w:color="auto"/>
            </w:tcBorders>
            <w:shd w:val="clear" w:color="auto" w:fill="auto"/>
            <w:vAlign w:val="center"/>
          </w:tcPr>
          <w:p w14:paraId="0646F308" w14:textId="77777777" w:rsidR="00DC701F" w:rsidRPr="00132C1E" w:rsidRDefault="00DC701F" w:rsidP="00417F28">
            <w:pPr>
              <w:pStyle w:val="Tablebody"/>
              <w:jc w:val="center"/>
            </w:pPr>
            <w:r w:rsidRPr="00132C1E">
              <w:t>1,4</w:t>
            </w:r>
          </w:p>
        </w:tc>
        <w:tc>
          <w:tcPr>
            <w:tcW w:w="709" w:type="dxa"/>
            <w:tcBorders>
              <w:top w:val="nil"/>
              <w:left w:val="single" w:sz="4" w:space="0" w:color="auto"/>
              <w:bottom w:val="nil"/>
              <w:right w:val="single" w:sz="4" w:space="0" w:color="auto"/>
            </w:tcBorders>
            <w:shd w:val="clear" w:color="auto" w:fill="auto"/>
            <w:vAlign w:val="center"/>
          </w:tcPr>
          <w:p w14:paraId="6AE6401D" w14:textId="77777777" w:rsidR="00DC701F" w:rsidRPr="00132C1E" w:rsidRDefault="00DC701F" w:rsidP="00417F28">
            <w:pPr>
              <w:pStyle w:val="Tablebody"/>
              <w:jc w:val="center"/>
            </w:pPr>
            <w:r w:rsidRPr="00132C1E">
              <w:t>2,0</w:t>
            </w:r>
          </w:p>
        </w:tc>
        <w:tc>
          <w:tcPr>
            <w:tcW w:w="851" w:type="dxa"/>
            <w:tcBorders>
              <w:left w:val="single" w:sz="4" w:space="0" w:color="auto"/>
            </w:tcBorders>
            <w:vAlign w:val="center"/>
          </w:tcPr>
          <w:p w14:paraId="1E3679F2" w14:textId="77777777" w:rsidR="00DC701F" w:rsidRPr="00132C1E" w:rsidRDefault="00DC701F" w:rsidP="00417F28">
            <w:pPr>
              <w:pStyle w:val="Tablebody"/>
              <w:jc w:val="center"/>
            </w:pPr>
            <w:r w:rsidRPr="00132C1E">
              <w:t>2,5</w:t>
            </w:r>
          </w:p>
        </w:tc>
        <w:tc>
          <w:tcPr>
            <w:tcW w:w="850" w:type="dxa"/>
            <w:vAlign w:val="center"/>
          </w:tcPr>
          <w:p w14:paraId="2AF0F17D" w14:textId="77777777" w:rsidR="00DC701F" w:rsidRPr="00132C1E" w:rsidRDefault="00DC701F" w:rsidP="00417F28">
            <w:pPr>
              <w:pStyle w:val="Tablebody"/>
              <w:jc w:val="center"/>
            </w:pPr>
            <w:r w:rsidRPr="00132C1E">
              <w:t>3,6</w:t>
            </w:r>
          </w:p>
        </w:tc>
      </w:tr>
      <w:tr w:rsidR="00DC701F" w:rsidRPr="00132C1E" w14:paraId="6E2C8230" w14:textId="77777777" w:rsidTr="00417F28">
        <w:trPr>
          <w:trHeight w:val="136"/>
          <w:jc w:val="center"/>
        </w:trPr>
        <w:tc>
          <w:tcPr>
            <w:tcW w:w="1980" w:type="dxa"/>
            <w:vMerge/>
            <w:shd w:val="clear" w:color="auto" w:fill="auto"/>
            <w:vAlign w:val="center"/>
          </w:tcPr>
          <w:p w14:paraId="08D41BF5" w14:textId="77777777" w:rsidR="00DC701F" w:rsidRPr="00132C1E" w:rsidRDefault="00DC701F" w:rsidP="00417F28">
            <w:pPr>
              <w:pStyle w:val="Tablebody"/>
            </w:pPr>
          </w:p>
        </w:tc>
        <w:tc>
          <w:tcPr>
            <w:tcW w:w="3382" w:type="dxa"/>
            <w:tcBorders>
              <w:bottom w:val="single" w:sz="4" w:space="0" w:color="auto"/>
            </w:tcBorders>
            <w:shd w:val="clear" w:color="auto" w:fill="auto"/>
            <w:vAlign w:val="center"/>
          </w:tcPr>
          <w:p w14:paraId="4C41476A" w14:textId="77777777" w:rsidR="00DC701F" w:rsidRPr="00132C1E" w:rsidRDefault="00DC701F" w:rsidP="00417F28">
            <w:pPr>
              <w:pStyle w:val="Tablebody"/>
            </w:pPr>
            <w:r w:rsidRPr="00132C1E">
              <w:t>uncoupled walls structures</w:t>
            </w:r>
          </w:p>
        </w:tc>
        <w:tc>
          <w:tcPr>
            <w:tcW w:w="1134" w:type="dxa"/>
            <w:tcBorders>
              <w:bottom w:val="single" w:sz="4" w:space="0" w:color="auto"/>
            </w:tcBorders>
            <w:shd w:val="clear" w:color="auto" w:fill="auto"/>
            <w:vAlign w:val="center"/>
          </w:tcPr>
          <w:p w14:paraId="7F5D9D4C" w14:textId="77777777" w:rsidR="00DC701F" w:rsidRPr="00132C1E" w:rsidRDefault="00DC701F" w:rsidP="00417F28">
            <w:pPr>
              <w:pStyle w:val="Tablebody"/>
              <w:jc w:val="center"/>
            </w:pPr>
            <w:r w:rsidRPr="00132C1E">
              <w:t>1,0</w:t>
            </w:r>
          </w:p>
        </w:tc>
        <w:tc>
          <w:tcPr>
            <w:tcW w:w="850" w:type="dxa"/>
            <w:tcBorders>
              <w:bottom w:val="single" w:sz="4" w:space="0" w:color="auto"/>
              <w:right w:val="single" w:sz="4" w:space="0" w:color="auto"/>
            </w:tcBorders>
            <w:shd w:val="clear" w:color="auto" w:fill="auto"/>
            <w:vAlign w:val="center"/>
          </w:tcPr>
          <w:p w14:paraId="45686D1D" w14:textId="77777777" w:rsidR="00DC701F" w:rsidRPr="00132C1E" w:rsidRDefault="00DC701F" w:rsidP="00417F28">
            <w:pPr>
              <w:pStyle w:val="Tablebody"/>
              <w:jc w:val="center"/>
            </w:pPr>
            <w:r w:rsidRPr="00132C1E">
              <w:t>1,3</w:t>
            </w:r>
          </w:p>
        </w:tc>
        <w:tc>
          <w:tcPr>
            <w:tcW w:w="709" w:type="dxa"/>
            <w:tcBorders>
              <w:top w:val="nil"/>
              <w:left w:val="single" w:sz="4" w:space="0" w:color="auto"/>
              <w:bottom w:val="single" w:sz="4" w:space="0" w:color="auto"/>
              <w:right w:val="single" w:sz="4" w:space="0" w:color="auto"/>
            </w:tcBorders>
            <w:shd w:val="clear" w:color="auto" w:fill="auto"/>
            <w:vAlign w:val="center"/>
          </w:tcPr>
          <w:p w14:paraId="522EB8CB" w14:textId="77777777" w:rsidR="00DC701F" w:rsidRPr="00132C1E" w:rsidRDefault="00DC701F" w:rsidP="00417F28">
            <w:pPr>
              <w:pStyle w:val="Tablebody"/>
              <w:jc w:val="center"/>
            </w:pPr>
          </w:p>
        </w:tc>
        <w:tc>
          <w:tcPr>
            <w:tcW w:w="851" w:type="dxa"/>
            <w:tcBorders>
              <w:left w:val="single" w:sz="4" w:space="0" w:color="auto"/>
              <w:bottom w:val="single" w:sz="4" w:space="0" w:color="auto"/>
            </w:tcBorders>
            <w:vAlign w:val="center"/>
          </w:tcPr>
          <w:p w14:paraId="6574139E" w14:textId="77777777" w:rsidR="00DC701F" w:rsidRPr="00132C1E" w:rsidRDefault="00DC701F" w:rsidP="00417F28">
            <w:pPr>
              <w:pStyle w:val="Tablebody"/>
              <w:jc w:val="center"/>
            </w:pPr>
            <w:r w:rsidRPr="00132C1E">
              <w:t>2,0</w:t>
            </w:r>
          </w:p>
        </w:tc>
        <w:tc>
          <w:tcPr>
            <w:tcW w:w="850" w:type="dxa"/>
            <w:tcBorders>
              <w:bottom w:val="single" w:sz="4" w:space="0" w:color="auto"/>
            </w:tcBorders>
            <w:vAlign w:val="center"/>
          </w:tcPr>
          <w:p w14:paraId="3121865E" w14:textId="77777777" w:rsidR="00DC701F" w:rsidRPr="00132C1E" w:rsidRDefault="00DC701F" w:rsidP="00417F28">
            <w:pPr>
              <w:pStyle w:val="Tablebody"/>
              <w:jc w:val="center"/>
            </w:pPr>
            <w:r w:rsidRPr="00132C1E">
              <w:t>3,0</w:t>
            </w:r>
          </w:p>
        </w:tc>
      </w:tr>
      <w:tr w:rsidR="00DC701F" w:rsidRPr="00132C1E" w14:paraId="068B6406" w14:textId="77777777" w:rsidTr="00417F28">
        <w:trPr>
          <w:trHeight w:val="136"/>
          <w:jc w:val="center"/>
        </w:trPr>
        <w:tc>
          <w:tcPr>
            <w:tcW w:w="1980" w:type="dxa"/>
            <w:vMerge/>
            <w:tcBorders>
              <w:bottom w:val="single" w:sz="4" w:space="0" w:color="auto"/>
            </w:tcBorders>
            <w:shd w:val="clear" w:color="auto" w:fill="auto"/>
            <w:vAlign w:val="center"/>
          </w:tcPr>
          <w:p w14:paraId="3C8B5490" w14:textId="77777777" w:rsidR="00DC701F" w:rsidRPr="00132C1E" w:rsidRDefault="00DC701F" w:rsidP="00417F28">
            <w:pPr>
              <w:pStyle w:val="Tablebody"/>
            </w:pPr>
          </w:p>
        </w:tc>
        <w:tc>
          <w:tcPr>
            <w:tcW w:w="3382" w:type="dxa"/>
            <w:tcBorders>
              <w:bottom w:val="single" w:sz="4" w:space="0" w:color="auto"/>
            </w:tcBorders>
            <w:shd w:val="clear" w:color="auto" w:fill="auto"/>
            <w:vAlign w:val="center"/>
          </w:tcPr>
          <w:p w14:paraId="4837EC28" w14:textId="77777777" w:rsidR="00DC701F" w:rsidRPr="00132C1E" w:rsidRDefault="00DC701F" w:rsidP="00417F28">
            <w:pPr>
              <w:pStyle w:val="Tablebody"/>
            </w:pPr>
            <w:r w:rsidRPr="00132C1E">
              <w:t>large walls structures</w:t>
            </w:r>
          </w:p>
        </w:tc>
        <w:tc>
          <w:tcPr>
            <w:tcW w:w="1134" w:type="dxa"/>
            <w:shd w:val="clear" w:color="auto" w:fill="auto"/>
            <w:vAlign w:val="center"/>
          </w:tcPr>
          <w:p w14:paraId="246B9E30" w14:textId="77777777" w:rsidR="00DC701F" w:rsidRPr="00132C1E" w:rsidRDefault="00DC701F" w:rsidP="00417F28">
            <w:pPr>
              <w:pStyle w:val="Tablebody"/>
              <w:jc w:val="center"/>
            </w:pPr>
            <w:r w:rsidRPr="00132C1E">
              <w:t>--</w:t>
            </w:r>
          </w:p>
        </w:tc>
        <w:tc>
          <w:tcPr>
            <w:tcW w:w="1559" w:type="dxa"/>
            <w:gridSpan w:val="2"/>
            <w:shd w:val="clear" w:color="auto" w:fill="auto"/>
            <w:vAlign w:val="center"/>
          </w:tcPr>
          <w:p w14:paraId="4FA0613E" w14:textId="77777777" w:rsidR="00DC701F" w:rsidRPr="00132C1E" w:rsidRDefault="00DC701F" w:rsidP="00417F28">
            <w:pPr>
              <w:pStyle w:val="Tablebody"/>
              <w:jc w:val="center"/>
            </w:pPr>
            <w:r w:rsidRPr="00132C1E">
              <w:t>--</w:t>
            </w:r>
          </w:p>
        </w:tc>
        <w:tc>
          <w:tcPr>
            <w:tcW w:w="1701" w:type="dxa"/>
            <w:gridSpan w:val="2"/>
            <w:vAlign w:val="center"/>
          </w:tcPr>
          <w:p w14:paraId="56BF5E24" w14:textId="77777777" w:rsidR="00DC701F" w:rsidRPr="00132C1E" w:rsidRDefault="00DC701F" w:rsidP="00417F28">
            <w:pPr>
              <w:pStyle w:val="Tablebody"/>
              <w:jc w:val="center"/>
            </w:pPr>
            <w:r w:rsidRPr="00132C1E">
              <w:t>3,0 </w:t>
            </w:r>
            <w:r w:rsidRPr="00132C1E">
              <w:rPr>
                <w:i/>
              </w:rPr>
              <w:t>k</w:t>
            </w:r>
            <w:r w:rsidRPr="00132C1E">
              <w:rPr>
                <w:vertAlign w:val="subscript"/>
              </w:rPr>
              <w:t>w</w:t>
            </w:r>
          </w:p>
        </w:tc>
      </w:tr>
      <w:tr w:rsidR="00DC701F" w:rsidRPr="00132C1E" w14:paraId="0F33BEA6" w14:textId="77777777" w:rsidTr="00417F28">
        <w:trPr>
          <w:trHeight w:val="136"/>
          <w:jc w:val="center"/>
        </w:trPr>
        <w:tc>
          <w:tcPr>
            <w:tcW w:w="1980" w:type="dxa"/>
            <w:tcBorders>
              <w:top w:val="single" w:sz="4" w:space="0" w:color="auto"/>
              <w:left w:val="single" w:sz="4" w:space="0" w:color="auto"/>
              <w:bottom w:val="single" w:sz="4" w:space="0" w:color="auto"/>
              <w:right w:val="nil"/>
            </w:tcBorders>
            <w:shd w:val="clear" w:color="auto" w:fill="auto"/>
            <w:vAlign w:val="center"/>
          </w:tcPr>
          <w:p w14:paraId="2C88DE99" w14:textId="77777777" w:rsidR="00DC701F" w:rsidRPr="00D1484A" w:rsidRDefault="00DC701F" w:rsidP="00417F28">
            <w:pPr>
              <w:pStyle w:val="Tablebody"/>
              <w:jc w:val="left"/>
            </w:pPr>
            <w:r w:rsidRPr="00132C1E">
              <w:t>Flat slab structures</w:t>
            </w:r>
          </w:p>
        </w:tc>
        <w:tc>
          <w:tcPr>
            <w:tcW w:w="3382" w:type="dxa"/>
            <w:tcBorders>
              <w:top w:val="single" w:sz="4" w:space="0" w:color="auto"/>
              <w:left w:val="nil"/>
              <w:bottom w:val="single" w:sz="4" w:space="0" w:color="auto"/>
              <w:right w:val="single" w:sz="4" w:space="0" w:color="auto"/>
            </w:tcBorders>
            <w:shd w:val="clear" w:color="auto" w:fill="auto"/>
            <w:vAlign w:val="center"/>
          </w:tcPr>
          <w:p w14:paraId="19D051B3" w14:textId="77777777" w:rsidR="00DC701F" w:rsidRPr="00D1484A" w:rsidRDefault="00DC701F" w:rsidP="00417F28">
            <w:pPr>
              <w:pStyle w:val="Tablebody"/>
            </w:pPr>
          </w:p>
        </w:tc>
        <w:tc>
          <w:tcPr>
            <w:tcW w:w="1134" w:type="dxa"/>
            <w:tcBorders>
              <w:left w:val="single" w:sz="4" w:space="0" w:color="auto"/>
            </w:tcBorders>
            <w:shd w:val="clear" w:color="auto" w:fill="auto"/>
            <w:vAlign w:val="center"/>
          </w:tcPr>
          <w:p w14:paraId="67DB09C1" w14:textId="77777777" w:rsidR="00DC701F" w:rsidRPr="007E6F67" w:rsidRDefault="00DC701F" w:rsidP="00417F28">
            <w:pPr>
              <w:pStyle w:val="Tablebody"/>
              <w:jc w:val="center"/>
            </w:pPr>
            <w:r w:rsidRPr="007E6F67">
              <w:t>1,1</w:t>
            </w:r>
          </w:p>
        </w:tc>
        <w:tc>
          <w:tcPr>
            <w:tcW w:w="850" w:type="dxa"/>
            <w:shd w:val="clear" w:color="auto" w:fill="auto"/>
            <w:vAlign w:val="center"/>
          </w:tcPr>
          <w:p w14:paraId="59122720" w14:textId="77777777" w:rsidR="00DC701F" w:rsidRPr="00E05E29" w:rsidRDefault="00DC701F" w:rsidP="00417F28">
            <w:pPr>
              <w:pStyle w:val="Tablebody"/>
              <w:jc w:val="center"/>
            </w:pPr>
            <w:r w:rsidRPr="00644C3D">
              <w:t>1,2</w:t>
            </w:r>
          </w:p>
        </w:tc>
        <w:tc>
          <w:tcPr>
            <w:tcW w:w="709" w:type="dxa"/>
            <w:shd w:val="clear" w:color="auto" w:fill="auto"/>
            <w:vAlign w:val="center"/>
          </w:tcPr>
          <w:p w14:paraId="2873D3B0" w14:textId="77777777" w:rsidR="00DC701F" w:rsidRPr="002144A0" w:rsidRDefault="00DC701F" w:rsidP="00417F28">
            <w:pPr>
              <w:pStyle w:val="Tablebody"/>
              <w:jc w:val="center"/>
            </w:pPr>
            <w:r w:rsidRPr="00196951">
              <w:t>--</w:t>
            </w:r>
          </w:p>
        </w:tc>
        <w:tc>
          <w:tcPr>
            <w:tcW w:w="851" w:type="dxa"/>
            <w:vAlign w:val="center"/>
          </w:tcPr>
          <w:p w14:paraId="7E8CD156" w14:textId="77777777" w:rsidR="00DC701F" w:rsidRPr="00C52095" w:rsidRDefault="00DC701F" w:rsidP="00417F28">
            <w:pPr>
              <w:pStyle w:val="Tablebody"/>
              <w:jc w:val="center"/>
            </w:pPr>
            <w:r w:rsidRPr="002144A0">
              <w:t>2,0</w:t>
            </w:r>
          </w:p>
        </w:tc>
        <w:tc>
          <w:tcPr>
            <w:tcW w:w="850" w:type="dxa"/>
            <w:vAlign w:val="center"/>
          </w:tcPr>
          <w:p w14:paraId="7B47DE9A" w14:textId="77777777" w:rsidR="00DC701F" w:rsidRPr="007754C9" w:rsidRDefault="00DC701F" w:rsidP="00417F28">
            <w:pPr>
              <w:pStyle w:val="Tablebody"/>
              <w:jc w:val="center"/>
            </w:pPr>
            <w:r w:rsidRPr="00C52095">
              <w:t>--</w:t>
            </w:r>
          </w:p>
        </w:tc>
      </w:tr>
    </w:tbl>
    <w:p w14:paraId="4F258DCB" w14:textId="1D4DE9E5" w:rsidR="00DC701F" w:rsidRPr="00FD17CF" w:rsidRDefault="00DC701F" w:rsidP="00724E4E">
      <w:pPr>
        <w:pStyle w:val="Clause"/>
      </w:pPr>
      <w:r w:rsidRPr="00D1484A">
        <w:t xml:space="preserve">To account for the prevailing failure mode in large walls structures, the behaviour factor </w:t>
      </w:r>
      <w:r w:rsidRPr="004030A7">
        <w:rPr>
          <w:i/>
        </w:rPr>
        <w:t>q</w:t>
      </w:r>
      <w:r w:rsidRPr="00D1484A">
        <w:t xml:space="preserve"> should be </w:t>
      </w:r>
      <w:r w:rsidRPr="00E73017">
        <w:t xml:space="preserve">calculated by multiplying the value of </w:t>
      </w:r>
      <w:r w:rsidRPr="004030A7">
        <w:rPr>
          <w:i/>
          <w:iCs/>
        </w:rPr>
        <w:t>q</w:t>
      </w:r>
      <w:r w:rsidRPr="00E73017">
        <w:t xml:space="preserve"> given in Table 10.1 by the factor </w:t>
      </w:r>
      <w:r w:rsidRPr="004030A7">
        <w:rPr>
          <w:i/>
        </w:rPr>
        <w:t>k</w:t>
      </w:r>
      <w:r w:rsidRPr="004030A7">
        <w:rPr>
          <w:vertAlign w:val="subscript"/>
        </w:rPr>
        <w:t>w</w:t>
      </w:r>
      <w:r w:rsidRPr="00E73017">
        <w:t xml:space="preserve"> </w:t>
      </w:r>
      <w:r w:rsidRPr="007E6F67">
        <w:t>given by Formula (10.1)</w:t>
      </w:r>
    </w:p>
    <w:p w14:paraId="7296F4AC" w14:textId="6FE2FF57" w:rsidR="008210CC" w:rsidRPr="00870D59" w:rsidRDefault="009B5CEC" w:rsidP="008210CC">
      <w:pPr>
        <w:pStyle w:val="Formula"/>
        <w:spacing w:before="240"/>
      </w:pPr>
      <m:oMath>
        <m:sSub>
          <m:sSubPr>
            <m:ctrlPr>
              <w:rPr>
                <w:rFonts w:ascii="Cambria Math" w:hAnsi="Cambria Math"/>
              </w:rPr>
            </m:ctrlPr>
          </m:sSubPr>
          <m:e>
            <m:r>
              <w:rPr>
                <w:rFonts w:ascii="Cambria Math" w:hAnsi="Cambria Math"/>
              </w:rPr>
              <m:t>k</m:t>
            </m:r>
          </m:e>
          <m:sub>
            <m:r>
              <m:rPr>
                <m:sty m:val="p"/>
              </m:rPr>
              <w:rPr>
                <w:rFonts w:ascii="Cambria Math" w:hAnsi="Cambria Math"/>
              </w:rPr>
              <m:t>w</m:t>
            </m:r>
          </m:sub>
        </m:sSub>
        <m:r>
          <w:rPr>
            <w:rFonts w:ascii="Cambria Math" w:hAnsi="Cambria Math"/>
          </w:rPr>
          <m:t>=</m:t>
        </m:r>
        <m:d>
          <m:dPr>
            <m:begChr m:val="{"/>
            <m:endChr m:val=""/>
            <m:ctrlPr>
              <w:rPr>
                <w:rFonts w:ascii="Cambria Math" w:hAnsi="Cambria Math"/>
              </w:rPr>
            </m:ctrlPr>
          </m:dPr>
          <m:e>
            <m:m>
              <m:mPr>
                <m:mcs>
                  <m:mc>
                    <m:mcPr>
                      <m:count m:val="2"/>
                      <m:mcJc m:val="center"/>
                    </m:mcPr>
                  </m:mc>
                </m:mcs>
                <m:ctrlPr>
                  <w:rPr>
                    <w:rFonts w:ascii="Cambria Math" w:hAnsi="Cambria Math"/>
                  </w:rPr>
                </m:ctrlPr>
              </m:mPr>
              <m:mr>
                <m:e>
                  <m:r>
                    <w:rPr>
                      <w:rFonts w:ascii="Cambria Math" w:hAnsi="Cambria Math"/>
                    </w:rPr>
                    <m:t xml:space="preserve">0,5              </m:t>
                  </m:r>
                </m:e>
                <m:e>
                  <m:r>
                    <w:rPr>
                      <w:rFonts w:ascii="Cambria Math" w:hAnsi="Cambria Math"/>
                    </w:rPr>
                    <m:t xml:space="preserve">if </m:t>
                  </m:r>
                  <m:sSub>
                    <m:sSubPr>
                      <m:ctrlPr>
                        <w:rPr>
                          <w:rFonts w:ascii="Cambria Math" w:hAnsi="Cambria Math"/>
                        </w:rPr>
                      </m:ctrlPr>
                    </m:sSubPr>
                    <m:e>
                      <m:r>
                        <w:rPr>
                          <w:rFonts w:ascii="Cambria Math" w:hAnsi="Cambria Math"/>
                        </w:rPr>
                        <m:t>α</m:t>
                      </m:r>
                    </m:e>
                    <m:sub>
                      <m:r>
                        <w:rPr>
                          <w:rFonts w:ascii="Cambria Math" w:hAnsi="Cambria Math"/>
                        </w:rPr>
                        <m:t>0</m:t>
                      </m:r>
                    </m:sub>
                  </m:sSub>
                  <m:r>
                    <w:rPr>
                      <w:rFonts w:ascii="Cambria Math" w:hAnsi="Cambria Math"/>
                    </w:rPr>
                    <m:t xml:space="preserve">≤0,5            </m:t>
                  </m:r>
                </m:e>
              </m:mr>
              <m:mr>
                <m:e>
                  <m:d>
                    <m:dPr>
                      <m:ctrlPr>
                        <w:rPr>
                          <w:rFonts w:ascii="Cambria Math" w:hAnsi="Cambria Math"/>
                        </w:rPr>
                      </m:ctrlPr>
                    </m:dPr>
                    <m:e>
                      <m:r>
                        <w:rPr>
                          <w:rFonts w:ascii="Cambria Math" w:hAnsi="Cambria Math"/>
                        </w:rPr>
                        <m:t>1+</m:t>
                      </m:r>
                      <m:sSub>
                        <m:sSubPr>
                          <m:ctrlPr>
                            <w:rPr>
                              <w:rFonts w:ascii="Cambria Math" w:hAnsi="Cambria Math"/>
                            </w:rPr>
                          </m:ctrlPr>
                        </m:sSubPr>
                        <m:e>
                          <m:r>
                            <w:rPr>
                              <w:rFonts w:ascii="Cambria Math" w:hAnsi="Cambria Math"/>
                            </w:rPr>
                            <m:t>α</m:t>
                          </m:r>
                        </m:e>
                        <m:sub>
                          <m:r>
                            <w:rPr>
                              <w:rFonts w:ascii="Cambria Math" w:hAnsi="Cambria Math"/>
                            </w:rPr>
                            <m:t>0</m:t>
                          </m:r>
                        </m:sub>
                      </m:sSub>
                    </m:e>
                  </m:d>
                  <m:r>
                    <w:rPr>
                      <w:rFonts w:ascii="Cambria Math" w:hAnsi="Cambria Math"/>
                    </w:rPr>
                    <m:t>/3</m:t>
                  </m:r>
                </m:e>
                <m:e>
                  <m:r>
                    <w:rPr>
                      <w:rFonts w:ascii="Cambria Math" w:hAnsi="Cambria Math"/>
                    </w:rPr>
                    <m:t xml:space="preserve">if </m:t>
                  </m:r>
                  <m:sSub>
                    <m:sSubPr>
                      <m:ctrlPr>
                        <w:rPr>
                          <w:rFonts w:ascii="Cambria Math" w:hAnsi="Cambria Math"/>
                        </w:rPr>
                      </m:ctrlPr>
                    </m:sSubPr>
                    <m:e>
                      <m:r>
                        <w:rPr>
                          <w:rFonts w:ascii="Cambria Math" w:hAnsi="Cambria Math"/>
                        </w:rPr>
                        <m:t>0,5&lt;α</m:t>
                      </m:r>
                    </m:e>
                    <m:sub>
                      <m:r>
                        <w:rPr>
                          <w:rFonts w:ascii="Cambria Math" w:hAnsi="Cambria Math"/>
                        </w:rPr>
                        <m:t>0</m:t>
                      </m:r>
                    </m:sub>
                  </m:sSub>
                  <m:r>
                    <w:rPr>
                      <w:rFonts w:ascii="Cambria Math" w:hAnsi="Cambria Math"/>
                    </w:rPr>
                    <m:t>&lt;2,0</m:t>
                  </m:r>
                </m:e>
              </m:mr>
              <m:mr>
                <m:e>
                  <m:r>
                    <w:rPr>
                      <w:rFonts w:ascii="Cambria Math" w:hAnsi="Cambria Math"/>
                    </w:rPr>
                    <m:t xml:space="preserve">1,0              </m:t>
                  </m:r>
                </m:e>
                <m:e>
                  <m:r>
                    <w:rPr>
                      <w:rFonts w:ascii="Cambria Math" w:hAnsi="Cambria Math"/>
                    </w:rPr>
                    <m:t xml:space="preserve">if </m:t>
                  </m:r>
                  <m:sSub>
                    <m:sSubPr>
                      <m:ctrlPr>
                        <w:rPr>
                          <w:rFonts w:ascii="Cambria Math" w:hAnsi="Cambria Math"/>
                        </w:rPr>
                      </m:ctrlPr>
                    </m:sSubPr>
                    <m:e>
                      <m:r>
                        <w:rPr>
                          <w:rFonts w:ascii="Cambria Math" w:hAnsi="Cambria Math"/>
                        </w:rPr>
                        <m:t>α</m:t>
                      </m:r>
                    </m:e>
                    <m:sub>
                      <m:r>
                        <w:rPr>
                          <w:rFonts w:ascii="Cambria Math" w:hAnsi="Cambria Math"/>
                        </w:rPr>
                        <m:t>0</m:t>
                      </m:r>
                    </m:sub>
                  </m:sSub>
                  <m:r>
                    <w:rPr>
                      <w:rFonts w:ascii="Cambria Math" w:hAnsi="Cambria Math"/>
                    </w:rPr>
                    <m:t xml:space="preserve">≥2,0            </m:t>
                  </m:r>
                </m:e>
              </m:mr>
            </m:m>
          </m:e>
        </m:d>
      </m:oMath>
      <w:r w:rsidR="008210CC" w:rsidRPr="00870D59">
        <w:tab/>
        <w:t>(10.1)</w:t>
      </w:r>
    </w:p>
    <w:p w14:paraId="2435606C" w14:textId="6DEB434D" w:rsidR="008210CC" w:rsidRPr="00870D59" w:rsidRDefault="008210CC" w:rsidP="008210CC">
      <w:pPr>
        <w:pStyle w:val="Text"/>
      </w:pPr>
      <w:r w:rsidRPr="00870D59">
        <w:t>where</w:t>
      </w:r>
      <w:r w:rsidR="00417F28">
        <w:t xml:space="preserve"> </w:t>
      </w:r>
      <w:r w:rsidR="00417F28" w:rsidRPr="007E6F67">
        <w:rPr>
          <w:i/>
        </w:rPr>
        <w:t>α</w:t>
      </w:r>
      <w:r w:rsidR="00417F28" w:rsidRPr="007E6F67">
        <w:rPr>
          <w:vertAlign w:val="subscript"/>
        </w:rPr>
        <w:t>0</w:t>
      </w:r>
      <w:r w:rsidR="00417F28">
        <w:t xml:space="preserve"> </w:t>
      </w:r>
      <w:r w:rsidR="00417F28" w:rsidRPr="00FD17CF">
        <w:t>is the prevailing aspect ratio (height-to-length ratio) of the walls of the structural system, which may be calculated by Formula (10.2)</w:t>
      </w:r>
      <w:r w:rsidR="00417F28">
        <w:t>.</w:t>
      </w:r>
    </w:p>
    <w:p w14:paraId="758282D7" w14:textId="1038C5F3" w:rsidR="009E6511" w:rsidRPr="00870D59" w:rsidRDefault="009B5CEC" w:rsidP="009E6511">
      <w:pPr>
        <w:pStyle w:val="Formula"/>
        <w:spacing w:before="240"/>
      </w:pPr>
      <m:oMath>
        <m:sSub>
          <m:sSubPr>
            <m:ctrlPr>
              <w:rPr>
                <w:rFonts w:ascii="Cambria Math" w:hAnsi="Cambria Math"/>
              </w:rPr>
            </m:ctrlPr>
          </m:sSubPr>
          <m:e>
            <m:r>
              <w:rPr>
                <w:rFonts w:ascii="Cambria Math" w:hAnsi="Cambria Math"/>
              </w:rPr>
              <m:t>α</m:t>
            </m:r>
          </m:e>
          <m:sub>
            <m:r>
              <w:rPr>
                <w:rFonts w:ascii="Cambria Math" w:hAnsi="Cambria Math"/>
              </w:rPr>
              <m:t>0</m:t>
            </m:r>
          </m:sub>
        </m:sSub>
        <m:r>
          <w:rPr>
            <w:rFonts w:ascii="Cambria Math" w:hAnsi="Cambria Math"/>
          </w:rPr>
          <m:t>=</m:t>
        </m:r>
        <m:f>
          <m:fPr>
            <m:type m:val="lin"/>
            <m:ctrlPr>
              <w:rPr>
                <w:rFonts w:ascii="Cambria Math" w:hAnsi="Cambria Math"/>
              </w:rPr>
            </m:ctrlPr>
          </m:fPr>
          <m:num>
            <m:nary>
              <m:naryPr>
                <m:chr m:val="∑"/>
                <m:limLoc m:val="undOvr"/>
                <m:subHide m:val="1"/>
                <m:supHide m:val="1"/>
                <m:ctrlPr>
                  <w:rPr>
                    <w:rFonts w:ascii="Cambria Math" w:hAnsi="Cambria Math"/>
                  </w:rPr>
                </m:ctrlPr>
              </m:naryPr>
              <m:sub/>
              <m:sup/>
              <m:e>
                <m:sSub>
                  <m:sSubPr>
                    <m:ctrlPr>
                      <w:rPr>
                        <w:rFonts w:ascii="Cambria Math" w:hAnsi="Cambria Math"/>
                      </w:rPr>
                    </m:ctrlPr>
                  </m:sSubPr>
                  <m:e>
                    <m:r>
                      <w:rPr>
                        <w:rFonts w:ascii="Cambria Math" w:hAnsi="Cambria Math"/>
                      </w:rPr>
                      <m:t>h</m:t>
                    </m:r>
                  </m:e>
                  <m:sub>
                    <m:r>
                      <m:rPr>
                        <m:sty m:val="p"/>
                      </m:rPr>
                      <w:rPr>
                        <w:rFonts w:ascii="Cambria Math" w:hAnsi="Cambria Math"/>
                      </w:rPr>
                      <m:t>wi</m:t>
                    </m:r>
                  </m:sub>
                </m:sSub>
              </m:e>
            </m:nary>
          </m:num>
          <m:den>
            <m:nary>
              <m:naryPr>
                <m:chr m:val="∑"/>
                <m:limLoc m:val="undOvr"/>
                <m:subHide m:val="1"/>
                <m:supHide m:val="1"/>
                <m:ctrlPr>
                  <w:rPr>
                    <w:rFonts w:ascii="Cambria Math" w:hAnsi="Cambria Math"/>
                  </w:rPr>
                </m:ctrlPr>
              </m:naryPr>
              <m:sub/>
              <m:sup/>
              <m:e>
                <m:sSub>
                  <m:sSubPr>
                    <m:ctrlPr>
                      <w:rPr>
                        <w:rFonts w:ascii="Cambria Math" w:hAnsi="Cambria Math"/>
                      </w:rPr>
                    </m:ctrlPr>
                  </m:sSubPr>
                  <m:e>
                    <m:r>
                      <w:rPr>
                        <w:rFonts w:ascii="Cambria Math" w:hAnsi="Cambria Math"/>
                      </w:rPr>
                      <m:t>l</m:t>
                    </m:r>
                  </m:e>
                  <m:sub>
                    <m:r>
                      <m:rPr>
                        <m:sty m:val="p"/>
                      </m:rPr>
                      <w:rPr>
                        <w:rFonts w:ascii="Cambria Math" w:hAnsi="Cambria Math"/>
                      </w:rPr>
                      <m:t>wi</m:t>
                    </m:r>
                  </m:sub>
                </m:sSub>
              </m:e>
            </m:nary>
          </m:den>
        </m:f>
      </m:oMath>
      <w:r w:rsidR="009E6511" w:rsidRPr="00870D59">
        <w:tab/>
        <w:t>(10.2)</w:t>
      </w:r>
    </w:p>
    <w:p w14:paraId="2AE255D6" w14:textId="77777777" w:rsidR="009E6511" w:rsidRPr="00417F28" w:rsidRDefault="009E6511" w:rsidP="00417F28">
      <w:pPr>
        <w:pStyle w:val="Text"/>
      </w:pPr>
      <w:r w:rsidRPr="00417F28">
        <w:t>where</w:t>
      </w:r>
    </w:p>
    <w:tbl>
      <w:tblPr>
        <w:tblW w:w="0" w:type="auto"/>
        <w:tblInd w:w="346" w:type="dxa"/>
        <w:tblLook w:val="04A0" w:firstRow="1" w:lastRow="0" w:firstColumn="1" w:lastColumn="0" w:noHBand="0" w:noVBand="1"/>
      </w:tblPr>
      <w:tblGrid>
        <w:gridCol w:w="1275"/>
        <w:gridCol w:w="7938"/>
      </w:tblGrid>
      <w:tr w:rsidR="009E6511" w:rsidRPr="00870D59" w14:paraId="0A038BFC" w14:textId="77777777" w:rsidTr="0080187E">
        <w:tc>
          <w:tcPr>
            <w:tcW w:w="1275" w:type="dxa"/>
          </w:tcPr>
          <w:p w14:paraId="4803C397" w14:textId="251DCB59" w:rsidR="009E6511" w:rsidRPr="00870D59" w:rsidRDefault="00AA0EDF" w:rsidP="002061E5">
            <w:pPr>
              <w:spacing w:after="60"/>
              <w:rPr>
                <w:rFonts w:eastAsia="Times New Roman" w:cs="Cambria"/>
                <w:szCs w:val="20"/>
                <w:lang w:eastAsia="fr-FR"/>
              </w:rPr>
            </w:pPr>
            <w:r w:rsidRPr="00D1484A">
              <w:rPr>
                <w:i/>
              </w:rPr>
              <w:t>h</w:t>
            </w:r>
            <w:r w:rsidRPr="007E6F67">
              <w:rPr>
                <w:vertAlign w:val="subscript"/>
              </w:rPr>
              <w:t>wi</w:t>
            </w:r>
          </w:p>
        </w:tc>
        <w:tc>
          <w:tcPr>
            <w:tcW w:w="7938" w:type="dxa"/>
          </w:tcPr>
          <w:p w14:paraId="53735152" w14:textId="5D0FD980" w:rsidR="009E6511" w:rsidRPr="00870D59" w:rsidRDefault="00AA0EDF" w:rsidP="002061E5">
            <w:pPr>
              <w:spacing w:after="60"/>
              <w:rPr>
                <w:rFonts w:eastAsia="Times New Roman" w:cs="Cambria"/>
                <w:szCs w:val="20"/>
                <w:lang w:eastAsia="fr-FR"/>
              </w:rPr>
            </w:pPr>
            <w:r w:rsidRPr="007E6F67">
              <w:t xml:space="preserve">is the height of wall </w:t>
            </w:r>
            <w:r w:rsidRPr="00FD17CF">
              <w:rPr>
                <w:i/>
              </w:rPr>
              <w:t>i</w:t>
            </w:r>
            <w:r w:rsidRPr="00FD17CF">
              <w:t>;</w:t>
            </w:r>
          </w:p>
        </w:tc>
      </w:tr>
      <w:tr w:rsidR="009E6511" w:rsidRPr="00870D59" w14:paraId="45746A2C" w14:textId="77777777" w:rsidTr="0080187E">
        <w:tc>
          <w:tcPr>
            <w:tcW w:w="1275" w:type="dxa"/>
          </w:tcPr>
          <w:p w14:paraId="451E0A2E" w14:textId="40C94385" w:rsidR="009E6511" w:rsidRPr="00870D59" w:rsidRDefault="00AA0EDF" w:rsidP="002061E5">
            <w:pPr>
              <w:spacing w:after="60"/>
              <w:rPr>
                <w:rFonts w:ascii="Symbol" w:hAnsi="Symbol"/>
                <w:i/>
                <w:color w:val="000000" w:themeColor="text1"/>
              </w:rPr>
            </w:pPr>
            <w:r w:rsidRPr="00644C3D">
              <w:rPr>
                <w:i/>
              </w:rPr>
              <w:t>l</w:t>
            </w:r>
            <w:r w:rsidRPr="00E05E29">
              <w:rPr>
                <w:vertAlign w:val="subscript"/>
              </w:rPr>
              <w:t>wi</w:t>
            </w:r>
          </w:p>
        </w:tc>
        <w:tc>
          <w:tcPr>
            <w:tcW w:w="7938" w:type="dxa"/>
          </w:tcPr>
          <w:p w14:paraId="2C795310" w14:textId="471E68DE" w:rsidR="009E6511" w:rsidRPr="00870D59" w:rsidRDefault="00AA0EDF" w:rsidP="002061E5">
            <w:pPr>
              <w:spacing w:after="60"/>
              <w:rPr>
                <w:color w:val="000000" w:themeColor="text1"/>
              </w:rPr>
            </w:pPr>
            <w:r w:rsidRPr="00E05E29">
              <w:t xml:space="preserve">is the length of the section of wall </w:t>
            </w:r>
            <w:r w:rsidRPr="00E05E29">
              <w:rPr>
                <w:i/>
              </w:rPr>
              <w:t>i</w:t>
            </w:r>
            <w:r w:rsidRPr="00E05E29">
              <w:t>.</w:t>
            </w:r>
          </w:p>
        </w:tc>
      </w:tr>
    </w:tbl>
    <w:p w14:paraId="10BA7E5A" w14:textId="2D514E2C" w:rsidR="00047513" w:rsidRPr="00417F28" w:rsidRDefault="00047513" w:rsidP="00724E4E">
      <w:pPr>
        <w:pStyle w:val="Clause"/>
      </w:pPr>
      <w:r w:rsidRPr="00E05E29">
        <w:t xml:space="preserve">The </w:t>
      </w:r>
      <w:r w:rsidRPr="00417F28">
        <w:t xml:space="preserve">behaviour factor </w:t>
      </w:r>
      <w:r w:rsidRPr="00417F28">
        <w:rPr>
          <w:rFonts w:eastAsia="Cambria"/>
          <w:i/>
          <w:iCs/>
        </w:rPr>
        <w:t>q</w:t>
      </w:r>
      <w:r w:rsidRPr="00417F28">
        <w:t xml:space="preserve"> should be reduced for structures non-regular in elevation (see 4.4.4.2(1)) according to 5.3.2(2) and for torsionally flexible structures (see 4.4.3(1)) according to 5.3.2(5), but a minimum value of 1,5 may be adopted for </w:t>
      </w:r>
      <w:r w:rsidRPr="00417F28">
        <w:rPr>
          <w:i/>
          <w:iCs/>
        </w:rPr>
        <w:t>q</w:t>
      </w:r>
      <w:r w:rsidRPr="00417F28">
        <w:t>.</w:t>
      </w:r>
    </w:p>
    <w:p w14:paraId="5D8DEC0E" w14:textId="2330B701" w:rsidR="00047513" w:rsidRPr="00E05E29" w:rsidRDefault="00047513" w:rsidP="00724E4E">
      <w:pPr>
        <w:pStyle w:val="Clause"/>
      </w:pPr>
      <w:r w:rsidRPr="00417F28">
        <w:t>For inverted pendulum</w:t>
      </w:r>
      <w:r w:rsidRPr="00E05E29">
        <w:t xml:space="preserve"> structures, 1,5 should be used for the behaviour factor </w:t>
      </w:r>
      <w:r w:rsidRPr="004030A7">
        <w:rPr>
          <w:i/>
        </w:rPr>
        <w:t>q</w:t>
      </w:r>
      <w:r w:rsidRPr="00E05E29">
        <w:t>.</w:t>
      </w:r>
    </w:p>
    <w:p w14:paraId="28A5B91E" w14:textId="21EDF3C6" w:rsidR="00047513" w:rsidRPr="00E05E29" w:rsidRDefault="00047513" w:rsidP="00047513">
      <w:pPr>
        <w:pStyle w:val="Heading3"/>
      </w:pPr>
      <w:bookmarkStart w:id="2106" w:name="_Toc17934191"/>
      <w:bookmarkStart w:id="2107" w:name="_Toc50150370"/>
      <w:bookmarkStart w:id="2108" w:name="_Toc70886801"/>
      <w:bookmarkStart w:id="2109" w:name="_Toc108342341"/>
      <w:bookmarkStart w:id="2110" w:name="_Toc134197890"/>
      <w:r w:rsidRPr="00E05E29">
        <w:t>Limits of seismic action for design to DC1, DC2 and DC3</w:t>
      </w:r>
      <w:bookmarkEnd w:id="2106"/>
      <w:bookmarkEnd w:id="2107"/>
      <w:bookmarkEnd w:id="2108"/>
      <w:bookmarkEnd w:id="2109"/>
      <w:bookmarkEnd w:id="2110"/>
    </w:p>
    <w:p w14:paraId="78BB7A2E" w14:textId="679B9D4C" w:rsidR="00047513" w:rsidRPr="00E05E29" w:rsidRDefault="00047513" w:rsidP="0080187E">
      <w:pPr>
        <w:pStyle w:val="Clause"/>
        <w:numPr>
          <w:ilvl w:val="0"/>
          <w:numId w:val="316"/>
        </w:numPr>
      </w:pPr>
      <w:bookmarkStart w:id="2111" w:name="_Hlk90454978"/>
      <w:r w:rsidRPr="00E05E29">
        <w:t xml:space="preserve">Seismic design for DC1 should not be adopted in cases a) and b): </w:t>
      </w:r>
    </w:p>
    <w:p w14:paraId="4B4B1F16" w14:textId="77777777" w:rsidR="00047513" w:rsidRPr="00E05E29" w:rsidRDefault="00047513" w:rsidP="0080187E">
      <w:pPr>
        <w:pStyle w:val="List2"/>
        <w:numPr>
          <w:ilvl w:val="0"/>
          <w:numId w:val="115"/>
        </w:numPr>
        <w:spacing w:before="0" w:after="240" w:line="230" w:lineRule="atLeast"/>
        <w:contextualSpacing w:val="0"/>
      </w:pPr>
      <w:r w:rsidRPr="00E05E29">
        <w:t xml:space="preserve">for moment resisting frame </w:t>
      </w:r>
      <w:r w:rsidRPr="00E73017">
        <w:t xml:space="preserve">structures with or without interacting infills, for dual structures (moment resisting frame-equivalent or wall-equivalent, with or without interacting infills) and for flat slab structures: if </w:t>
      </w:r>
      <w:r w:rsidRPr="00E73017">
        <w:rPr>
          <w:i/>
          <w:iCs/>
        </w:rPr>
        <w:t>S</w:t>
      </w:r>
      <w:r w:rsidRPr="00E73017">
        <w:rPr>
          <w:vertAlign w:val="subscript"/>
        </w:rPr>
        <w:t>δ</w:t>
      </w:r>
      <w:r w:rsidRPr="00E73017">
        <w:t xml:space="preserve"> &gt; 2,5 m/s</w:t>
      </w:r>
      <w:r w:rsidRPr="00E73017">
        <w:rPr>
          <w:vertAlign w:val="superscript"/>
        </w:rPr>
        <w:t>2</w:t>
      </w:r>
      <w:r w:rsidRPr="00E73017">
        <w:t>;</w:t>
      </w:r>
    </w:p>
    <w:p w14:paraId="1BF469E2" w14:textId="310899AF" w:rsidR="00047513" w:rsidRPr="00417F28" w:rsidRDefault="00047513" w:rsidP="0080187E">
      <w:pPr>
        <w:pStyle w:val="List2"/>
        <w:numPr>
          <w:ilvl w:val="0"/>
          <w:numId w:val="115"/>
        </w:numPr>
        <w:tabs>
          <w:tab w:val="num" w:pos="0"/>
        </w:tabs>
        <w:spacing w:before="0" w:after="240" w:line="230" w:lineRule="atLeast"/>
        <w:contextualSpacing w:val="0"/>
      </w:pPr>
      <w:r w:rsidRPr="00E05E29">
        <w:t>for wall structures</w:t>
      </w:r>
      <w:r>
        <w:t>:</w:t>
      </w:r>
      <w:r w:rsidRPr="00E05E29">
        <w:t xml:space="preserve"> </w:t>
      </w:r>
      <w:r>
        <w:t>if</w:t>
      </w:r>
      <w:r w:rsidRPr="00E05E29">
        <w:t xml:space="preserve"> </w:t>
      </w:r>
      <w:r w:rsidRPr="00E05E29">
        <w:rPr>
          <w:i/>
          <w:iCs/>
        </w:rPr>
        <w:t>S</w:t>
      </w:r>
      <w:r w:rsidRPr="00E05E29">
        <w:rPr>
          <w:vertAlign w:val="subscript"/>
        </w:rPr>
        <w:t>δ</w:t>
      </w:r>
      <w:r w:rsidRPr="00E05E29">
        <w:t xml:space="preserve"> &gt; 5,0 m/s</w:t>
      </w:r>
      <w:r w:rsidRPr="00E05E29">
        <w:rPr>
          <w:vertAlign w:val="superscript"/>
        </w:rPr>
        <w:t>2</w:t>
      </w:r>
      <w:r w:rsidRPr="00E05E29">
        <w:t xml:space="preserve"> (see </w:t>
      </w:r>
      <w:r>
        <w:t>prEN</w:t>
      </w:r>
      <w:r w:rsidR="00417F28">
        <w:t> </w:t>
      </w:r>
      <w:r>
        <w:t>1998-1-1</w:t>
      </w:r>
      <w:r w:rsidRPr="00417F28">
        <w:t>:2022, 4.1(4)).</w:t>
      </w:r>
    </w:p>
    <w:p w14:paraId="0A8EC33E" w14:textId="57EE57FB" w:rsidR="00047513" w:rsidRPr="00417F28" w:rsidRDefault="00047513" w:rsidP="00724E4E">
      <w:pPr>
        <w:pStyle w:val="Clause"/>
      </w:pPr>
      <w:bookmarkStart w:id="2112" w:name="_Hlk90455000"/>
      <w:bookmarkEnd w:id="2111"/>
      <w:r w:rsidRPr="00417F28">
        <w:t xml:space="preserve">For </w:t>
      </w:r>
      <w:r w:rsidRPr="00417F28">
        <w:rPr>
          <w:i/>
          <w:iCs/>
        </w:rPr>
        <w:t>S</w:t>
      </w:r>
      <w:r w:rsidRPr="00417F28">
        <w:rPr>
          <w:vertAlign w:val="subscript"/>
        </w:rPr>
        <w:t>δ</w:t>
      </w:r>
      <w:r w:rsidRPr="00417F28">
        <w:t xml:space="preserve"> &gt; 5,0 m/s</w:t>
      </w:r>
      <w:r w:rsidRPr="00417F28">
        <w:rPr>
          <w:vertAlign w:val="superscript"/>
        </w:rPr>
        <w:t>2</w:t>
      </w:r>
      <w:r w:rsidRPr="00417F28">
        <w:t>, moment resisting frame structures with or without interacting infills should be designed for DC3.</w:t>
      </w:r>
    </w:p>
    <w:p w14:paraId="21E4E795" w14:textId="6DB21D2F" w:rsidR="00047513" w:rsidRPr="00417F28" w:rsidRDefault="00047513" w:rsidP="00724E4E">
      <w:pPr>
        <w:pStyle w:val="Clause"/>
      </w:pPr>
      <w:r w:rsidRPr="00417F28">
        <w:t xml:space="preserve">Flat slab structures should not be adopted for </w:t>
      </w:r>
      <w:r w:rsidRPr="00417F28">
        <w:rPr>
          <w:i/>
          <w:iCs/>
        </w:rPr>
        <w:t>S</w:t>
      </w:r>
      <w:r w:rsidRPr="00417F28">
        <w:rPr>
          <w:vertAlign w:val="subscript"/>
        </w:rPr>
        <w:t>δ</w:t>
      </w:r>
      <w:r w:rsidRPr="00417F28">
        <w:t xml:space="preserve"> &gt; 5,0 m/s</w:t>
      </w:r>
      <w:r w:rsidRPr="00417F28">
        <w:rPr>
          <w:vertAlign w:val="superscript"/>
        </w:rPr>
        <w:t>2</w:t>
      </w:r>
      <w:r w:rsidRPr="00417F28">
        <w:t>.</w:t>
      </w:r>
    </w:p>
    <w:p w14:paraId="65951299" w14:textId="65168E94" w:rsidR="00047513" w:rsidRPr="00417F28" w:rsidRDefault="00047513" w:rsidP="00724E4E">
      <w:pPr>
        <w:pStyle w:val="Clause"/>
      </w:pPr>
      <w:r w:rsidRPr="00417F28">
        <w:t>Flat slab structures should not be designed for DC3.</w:t>
      </w:r>
    </w:p>
    <w:p w14:paraId="22F75EC3" w14:textId="2D68C35F" w:rsidR="00047513" w:rsidRPr="00417F28" w:rsidRDefault="00047513" w:rsidP="00724E4E">
      <w:pPr>
        <w:pStyle w:val="Clause"/>
      </w:pPr>
      <w:r w:rsidRPr="00417F28">
        <w:t xml:space="preserve">With the exceptions of (2) to (4), seismic design for DC2 and DC3 may be adopted for all levels of </w:t>
      </w:r>
      <w:r w:rsidRPr="00417F28">
        <w:rPr>
          <w:i/>
          <w:iCs/>
        </w:rPr>
        <w:t>S</w:t>
      </w:r>
      <w:r w:rsidRPr="00417F28">
        <w:rPr>
          <w:vertAlign w:val="subscript"/>
        </w:rPr>
        <w:t>δ</w:t>
      </w:r>
      <w:r w:rsidRPr="00417F28">
        <w:t xml:space="preserve"> and structural types.</w:t>
      </w:r>
    </w:p>
    <w:p w14:paraId="06FB16E4" w14:textId="47AD62DA" w:rsidR="00047513" w:rsidRPr="00E05E29" w:rsidRDefault="00047513" w:rsidP="00047513">
      <w:pPr>
        <w:pStyle w:val="Heading3"/>
      </w:pPr>
      <w:bookmarkStart w:id="2113" w:name="_Toc17934192"/>
      <w:bookmarkStart w:id="2114" w:name="_Toc50150371"/>
      <w:bookmarkStart w:id="2115" w:name="_Toc70886802"/>
      <w:bookmarkStart w:id="2116" w:name="_Toc108342342"/>
      <w:bookmarkStart w:id="2117" w:name="_Toc134197891"/>
      <w:bookmarkEnd w:id="2112"/>
      <w:r w:rsidRPr="00E05E29">
        <w:t>Limits of drift</w:t>
      </w:r>
      <w:bookmarkEnd w:id="2113"/>
      <w:bookmarkEnd w:id="2114"/>
      <w:bookmarkEnd w:id="2115"/>
      <w:bookmarkEnd w:id="2116"/>
      <w:bookmarkEnd w:id="2117"/>
    </w:p>
    <w:p w14:paraId="69A9D735" w14:textId="5171CEF8" w:rsidR="00047513" w:rsidRPr="00417F28" w:rsidRDefault="00047513" w:rsidP="0080187E">
      <w:pPr>
        <w:pStyle w:val="Clause"/>
        <w:numPr>
          <w:ilvl w:val="0"/>
          <w:numId w:val="317"/>
        </w:numPr>
      </w:pPr>
      <w:r w:rsidRPr="00E73017">
        <w:t xml:space="preserve">For structural systems of the types in 10.4.1(1) </w:t>
      </w:r>
      <w:r w:rsidRPr="00417F28">
        <w:t xml:space="preserve">a) to i), the interstorey drift at SD limit state according to 6.2.5(1) should be limited to: </w:t>
      </w:r>
      <w:r w:rsidRPr="00417F28">
        <w:rPr>
          <w:i/>
          <w:iCs/>
        </w:rPr>
        <w:t>d</w:t>
      </w:r>
      <w:r w:rsidRPr="00417F28">
        <w:rPr>
          <w:vertAlign w:val="subscript"/>
        </w:rPr>
        <w:t>r,SD</w:t>
      </w:r>
      <w:r w:rsidRPr="00417F28">
        <w:t xml:space="preserve"> ≤ 0,02 </w:t>
      </w:r>
      <w:r w:rsidRPr="00417F28">
        <w:rPr>
          <w:i/>
          <w:iCs/>
        </w:rPr>
        <w:t>h</w:t>
      </w:r>
      <w:r w:rsidRPr="00417F28">
        <w:rPr>
          <w:vertAlign w:val="subscript"/>
        </w:rPr>
        <w:t>s</w:t>
      </w:r>
      <w:r w:rsidRPr="00417F28">
        <w:t xml:space="preserve"> where </w:t>
      </w:r>
      <w:r w:rsidRPr="00417F28">
        <w:rPr>
          <w:i/>
          <w:iCs/>
        </w:rPr>
        <w:t>d</w:t>
      </w:r>
      <w:r w:rsidRPr="00417F28">
        <w:rPr>
          <w:vertAlign w:val="subscript"/>
        </w:rPr>
        <w:t>r,SD</w:t>
      </w:r>
      <w:r w:rsidRPr="00417F28">
        <w:t xml:space="preserve"> is defined in 6.2.4(1) and</w:t>
      </w:r>
      <w:r w:rsidRPr="00417F28">
        <w:rPr>
          <w:rFonts w:eastAsia="Cambria"/>
        </w:rPr>
        <w:t xml:space="preserve"> </w:t>
      </w:r>
      <w:r w:rsidRPr="00417F28">
        <w:rPr>
          <w:rFonts w:eastAsia="Cambria"/>
          <w:i/>
          <w:iCs/>
        </w:rPr>
        <w:t>h</w:t>
      </w:r>
      <w:r w:rsidRPr="00417F28">
        <w:rPr>
          <w:rFonts w:eastAsia="Cambria"/>
          <w:sz w:val="16"/>
          <w:szCs w:val="16"/>
          <w:vertAlign w:val="subscript"/>
        </w:rPr>
        <w:t>s</w:t>
      </w:r>
      <w:r w:rsidRPr="00417F28">
        <w:t xml:space="preserve"> is the storey height.</w:t>
      </w:r>
    </w:p>
    <w:p w14:paraId="33B1F6CE" w14:textId="6F56925F" w:rsidR="00047513" w:rsidRPr="00047513" w:rsidRDefault="00047513" w:rsidP="00724E4E">
      <w:pPr>
        <w:pStyle w:val="Clause"/>
      </w:pPr>
      <w:bookmarkStart w:id="2118" w:name="_Hlk99609925"/>
      <w:r w:rsidRPr="00417F28">
        <w:t>For moment resisting frames with interacting infills, 7.4.2.1 should</w:t>
      </w:r>
      <w:r w:rsidRPr="00047513">
        <w:t xml:space="preserve"> be applied.</w:t>
      </w:r>
    </w:p>
    <w:bookmarkEnd w:id="2118"/>
    <w:p w14:paraId="4D55FB8D" w14:textId="06B17779" w:rsidR="00047513" w:rsidRPr="00E05E29" w:rsidRDefault="00047513" w:rsidP="00724E4E">
      <w:pPr>
        <w:pStyle w:val="Clause"/>
      </w:pPr>
      <w:r w:rsidRPr="00162CB3">
        <w:t xml:space="preserve">For all other structures, </w:t>
      </w:r>
      <w:r w:rsidRPr="004030A7">
        <w:rPr>
          <w:i/>
          <w:iCs/>
        </w:rPr>
        <w:t>d</w:t>
      </w:r>
      <w:r w:rsidRPr="004030A7">
        <w:rPr>
          <w:vertAlign w:val="subscript"/>
        </w:rPr>
        <w:t xml:space="preserve">r,SD </w:t>
      </w:r>
      <w:r w:rsidRPr="00162CB3">
        <w:t xml:space="preserve">should be limited to 0,015 </w:t>
      </w:r>
      <w:r w:rsidRPr="004030A7">
        <w:rPr>
          <w:i/>
          <w:iCs/>
        </w:rPr>
        <w:t>h</w:t>
      </w:r>
      <w:r w:rsidRPr="004030A7">
        <w:rPr>
          <w:vertAlign w:val="subscript"/>
        </w:rPr>
        <w:t>s</w:t>
      </w:r>
      <w:r w:rsidRPr="00162CB3">
        <w:t>.</w:t>
      </w:r>
    </w:p>
    <w:p w14:paraId="76A02B55" w14:textId="77777777" w:rsidR="00047513" w:rsidRPr="00E05E29" w:rsidRDefault="00047513" w:rsidP="00047513">
      <w:pPr>
        <w:pStyle w:val="Heading3"/>
      </w:pPr>
      <w:bookmarkStart w:id="2119" w:name="_Toc536862578"/>
      <w:bookmarkStart w:id="2120" w:name="_Toc536863947"/>
      <w:bookmarkStart w:id="2121" w:name="_Toc536864334"/>
      <w:bookmarkStart w:id="2122" w:name="_Toc536864835"/>
      <w:bookmarkStart w:id="2123" w:name="_Toc536865135"/>
      <w:bookmarkStart w:id="2124" w:name="_Toc536865450"/>
      <w:bookmarkStart w:id="2125" w:name="_Toc536865765"/>
      <w:bookmarkStart w:id="2126" w:name="_Toc536866080"/>
      <w:bookmarkStart w:id="2127" w:name="_Toc536866395"/>
      <w:bookmarkStart w:id="2128" w:name="_Toc536866710"/>
      <w:bookmarkStart w:id="2129" w:name="_Toc536867025"/>
      <w:bookmarkStart w:id="2130" w:name="_Toc536867340"/>
      <w:bookmarkStart w:id="2131" w:name="_Toc536867623"/>
      <w:bookmarkStart w:id="2132" w:name="_Toc536867906"/>
      <w:bookmarkStart w:id="2133" w:name="_Toc536868803"/>
      <w:bookmarkStart w:id="2134" w:name="_Toc536869134"/>
      <w:bookmarkStart w:id="2135" w:name="_Toc127977"/>
      <w:bookmarkStart w:id="2136" w:name="_Toc128371"/>
      <w:bookmarkStart w:id="2137" w:name="_Toc128765"/>
      <w:bookmarkStart w:id="2138" w:name="_Toc129159"/>
      <w:bookmarkStart w:id="2139" w:name="_Toc129553"/>
      <w:bookmarkStart w:id="2140" w:name="_Toc129946"/>
      <w:bookmarkStart w:id="2141" w:name="_Toc130340"/>
      <w:bookmarkStart w:id="2142" w:name="_Toc130734"/>
      <w:bookmarkStart w:id="2143" w:name="_Toc131128"/>
      <w:bookmarkStart w:id="2144" w:name="_Toc289023"/>
      <w:bookmarkStart w:id="2145" w:name="_Toc338189"/>
      <w:bookmarkStart w:id="2146" w:name="_Toc705621"/>
      <w:bookmarkStart w:id="2147" w:name="_Toc706607"/>
      <w:bookmarkStart w:id="2148" w:name="_Toc708916"/>
      <w:bookmarkStart w:id="2149" w:name="_Toc710281"/>
      <w:bookmarkStart w:id="2150" w:name="_Toc970300"/>
      <w:bookmarkStart w:id="2151" w:name="_Toc970675"/>
      <w:bookmarkStart w:id="2152" w:name="_Toc1135375"/>
      <w:bookmarkStart w:id="2153" w:name="_Toc1165689"/>
      <w:bookmarkStart w:id="2154" w:name="_Toc1207754"/>
      <w:bookmarkStart w:id="2155" w:name="_Toc1408370"/>
      <w:bookmarkStart w:id="2156" w:name="_Toc529627512"/>
      <w:bookmarkStart w:id="2157" w:name="_Toc533172148"/>
      <w:bookmarkStart w:id="2158" w:name="_Toc534451411"/>
      <w:bookmarkStart w:id="2159" w:name="_Toc534451684"/>
      <w:bookmarkStart w:id="2160" w:name="_Toc534451957"/>
      <w:bookmarkStart w:id="2161" w:name="_Toc534452797"/>
      <w:bookmarkStart w:id="2162" w:name="_Toc534629222"/>
      <w:bookmarkStart w:id="2163" w:name="_Toc534629496"/>
      <w:bookmarkStart w:id="2164" w:name="_Toc534649265"/>
      <w:bookmarkStart w:id="2165" w:name="_Toc534715324"/>
      <w:bookmarkStart w:id="2166" w:name="_Toc534734461"/>
      <w:bookmarkStart w:id="2167" w:name="_Toc534734737"/>
      <w:bookmarkStart w:id="2168" w:name="_Toc536717401"/>
      <w:bookmarkStart w:id="2169" w:name="_Toc536862579"/>
      <w:bookmarkStart w:id="2170" w:name="_Toc536863948"/>
      <w:bookmarkStart w:id="2171" w:name="_Toc536864335"/>
      <w:bookmarkStart w:id="2172" w:name="_Toc536864836"/>
      <w:bookmarkStart w:id="2173" w:name="_Toc536865136"/>
      <w:bookmarkStart w:id="2174" w:name="_Toc536865451"/>
      <w:bookmarkStart w:id="2175" w:name="_Toc536865766"/>
      <w:bookmarkStart w:id="2176" w:name="_Toc536866081"/>
      <w:bookmarkStart w:id="2177" w:name="_Toc536866396"/>
      <w:bookmarkStart w:id="2178" w:name="_Toc536866711"/>
      <w:bookmarkStart w:id="2179" w:name="_Toc536867026"/>
      <w:bookmarkStart w:id="2180" w:name="_Toc536867341"/>
      <w:bookmarkStart w:id="2181" w:name="_Toc536867624"/>
      <w:bookmarkStart w:id="2182" w:name="_Toc536867907"/>
      <w:bookmarkStart w:id="2183" w:name="_Toc536868804"/>
      <w:bookmarkStart w:id="2184" w:name="_Toc536869135"/>
      <w:bookmarkStart w:id="2185" w:name="_Toc127978"/>
      <w:bookmarkStart w:id="2186" w:name="_Toc128372"/>
      <w:bookmarkStart w:id="2187" w:name="_Toc128766"/>
      <w:bookmarkStart w:id="2188" w:name="_Toc129160"/>
      <w:bookmarkStart w:id="2189" w:name="_Toc129554"/>
      <w:bookmarkStart w:id="2190" w:name="_Toc129947"/>
      <w:bookmarkStart w:id="2191" w:name="_Toc130341"/>
      <w:bookmarkStart w:id="2192" w:name="_Toc130735"/>
      <w:bookmarkStart w:id="2193" w:name="_Toc131129"/>
      <w:bookmarkStart w:id="2194" w:name="_Toc289024"/>
      <w:bookmarkStart w:id="2195" w:name="_Toc338190"/>
      <w:bookmarkStart w:id="2196" w:name="_Toc705622"/>
      <w:bookmarkStart w:id="2197" w:name="_Toc706608"/>
      <w:bookmarkStart w:id="2198" w:name="_Toc708917"/>
      <w:bookmarkStart w:id="2199" w:name="_Toc710282"/>
      <w:bookmarkStart w:id="2200" w:name="_Toc970301"/>
      <w:bookmarkStart w:id="2201" w:name="_Toc970676"/>
      <w:bookmarkStart w:id="2202" w:name="_Toc1135376"/>
      <w:bookmarkStart w:id="2203" w:name="_Toc1165690"/>
      <w:bookmarkStart w:id="2204" w:name="_Toc1207755"/>
      <w:bookmarkStart w:id="2205" w:name="_Toc1408371"/>
      <w:bookmarkStart w:id="2206" w:name="_Toc529627513"/>
      <w:bookmarkStart w:id="2207" w:name="_Toc533172149"/>
      <w:bookmarkStart w:id="2208" w:name="_Toc534451412"/>
      <w:bookmarkStart w:id="2209" w:name="_Toc534451685"/>
      <w:bookmarkStart w:id="2210" w:name="_Toc534451958"/>
      <w:bookmarkStart w:id="2211" w:name="_Toc534452798"/>
      <w:bookmarkStart w:id="2212" w:name="_Toc534629223"/>
      <w:bookmarkStart w:id="2213" w:name="_Toc534629497"/>
      <w:bookmarkStart w:id="2214" w:name="_Toc534649266"/>
      <w:bookmarkStart w:id="2215" w:name="_Toc534715325"/>
      <w:bookmarkStart w:id="2216" w:name="_Toc534734462"/>
      <w:bookmarkStart w:id="2217" w:name="_Toc534734738"/>
      <w:bookmarkStart w:id="2218" w:name="_Toc536717402"/>
      <w:bookmarkStart w:id="2219" w:name="_Toc536862580"/>
      <w:bookmarkStart w:id="2220" w:name="_Toc536863949"/>
      <w:bookmarkStart w:id="2221" w:name="_Toc536864336"/>
      <w:bookmarkStart w:id="2222" w:name="_Toc536864837"/>
      <w:bookmarkStart w:id="2223" w:name="_Toc536865137"/>
      <w:bookmarkStart w:id="2224" w:name="_Toc536865452"/>
      <w:bookmarkStart w:id="2225" w:name="_Toc536865767"/>
      <w:bookmarkStart w:id="2226" w:name="_Toc536866082"/>
      <w:bookmarkStart w:id="2227" w:name="_Toc536866397"/>
      <w:bookmarkStart w:id="2228" w:name="_Toc536866712"/>
      <w:bookmarkStart w:id="2229" w:name="_Toc536867027"/>
      <w:bookmarkStart w:id="2230" w:name="_Toc536867342"/>
      <w:bookmarkStart w:id="2231" w:name="_Toc536867625"/>
      <w:bookmarkStart w:id="2232" w:name="_Toc536867908"/>
      <w:bookmarkStart w:id="2233" w:name="_Toc536868805"/>
      <w:bookmarkStart w:id="2234" w:name="_Toc536869136"/>
      <w:bookmarkStart w:id="2235" w:name="_Toc127979"/>
      <w:bookmarkStart w:id="2236" w:name="_Toc128373"/>
      <w:bookmarkStart w:id="2237" w:name="_Toc128767"/>
      <w:bookmarkStart w:id="2238" w:name="_Toc129161"/>
      <w:bookmarkStart w:id="2239" w:name="_Toc129555"/>
      <w:bookmarkStart w:id="2240" w:name="_Toc129948"/>
      <w:bookmarkStart w:id="2241" w:name="_Toc130342"/>
      <w:bookmarkStart w:id="2242" w:name="_Toc130736"/>
      <w:bookmarkStart w:id="2243" w:name="_Toc131130"/>
      <w:bookmarkStart w:id="2244" w:name="_Toc289025"/>
      <w:bookmarkStart w:id="2245" w:name="_Toc338191"/>
      <w:bookmarkStart w:id="2246" w:name="_Toc705623"/>
      <w:bookmarkStart w:id="2247" w:name="_Toc706609"/>
      <w:bookmarkStart w:id="2248" w:name="_Toc708918"/>
      <w:bookmarkStart w:id="2249" w:name="_Toc710283"/>
      <w:bookmarkStart w:id="2250" w:name="_Toc970302"/>
      <w:bookmarkStart w:id="2251" w:name="_Toc970677"/>
      <w:bookmarkStart w:id="2252" w:name="_Toc1135377"/>
      <w:bookmarkStart w:id="2253" w:name="_Toc1165691"/>
      <w:bookmarkStart w:id="2254" w:name="_Toc1207756"/>
      <w:bookmarkStart w:id="2255" w:name="_Toc1408372"/>
      <w:bookmarkStart w:id="2256" w:name="_Toc529627514"/>
      <w:bookmarkStart w:id="2257" w:name="_Toc533172150"/>
      <w:bookmarkStart w:id="2258" w:name="_Toc534451413"/>
      <w:bookmarkStart w:id="2259" w:name="_Toc534451686"/>
      <w:bookmarkStart w:id="2260" w:name="_Toc534451959"/>
      <w:bookmarkStart w:id="2261" w:name="_Toc534452799"/>
      <w:bookmarkStart w:id="2262" w:name="_Toc534629224"/>
      <w:bookmarkStart w:id="2263" w:name="_Toc534629498"/>
      <w:bookmarkStart w:id="2264" w:name="_Toc534649267"/>
      <w:bookmarkStart w:id="2265" w:name="_Toc534715326"/>
      <w:bookmarkStart w:id="2266" w:name="_Toc534734463"/>
      <w:bookmarkStart w:id="2267" w:name="_Toc534734739"/>
      <w:bookmarkStart w:id="2268" w:name="_Toc536717403"/>
      <w:bookmarkStart w:id="2269" w:name="_Toc536862581"/>
      <w:bookmarkStart w:id="2270" w:name="_Toc536863950"/>
      <w:bookmarkStart w:id="2271" w:name="_Toc536864337"/>
      <w:bookmarkStart w:id="2272" w:name="_Toc536864838"/>
      <w:bookmarkStart w:id="2273" w:name="_Toc536865138"/>
      <w:bookmarkStart w:id="2274" w:name="_Toc536865453"/>
      <w:bookmarkStart w:id="2275" w:name="_Toc536865768"/>
      <w:bookmarkStart w:id="2276" w:name="_Toc536866083"/>
      <w:bookmarkStart w:id="2277" w:name="_Toc536866398"/>
      <w:bookmarkStart w:id="2278" w:name="_Toc536866713"/>
      <w:bookmarkStart w:id="2279" w:name="_Toc536867028"/>
      <w:bookmarkStart w:id="2280" w:name="_Toc536867343"/>
      <w:bookmarkStart w:id="2281" w:name="_Toc536867626"/>
      <w:bookmarkStart w:id="2282" w:name="_Toc536867909"/>
      <w:bookmarkStart w:id="2283" w:name="_Toc536868806"/>
      <w:bookmarkStart w:id="2284" w:name="_Toc536869137"/>
      <w:bookmarkStart w:id="2285" w:name="_Toc127980"/>
      <w:bookmarkStart w:id="2286" w:name="_Toc128374"/>
      <w:bookmarkStart w:id="2287" w:name="_Toc128768"/>
      <w:bookmarkStart w:id="2288" w:name="_Toc129162"/>
      <w:bookmarkStart w:id="2289" w:name="_Toc129556"/>
      <w:bookmarkStart w:id="2290" w:name="_Toc129949"/>
      <w:bookmarkStart w:id="2291" w:name="_Toc130343"/>
      <w:bookmarkStart w:id="2292" w:name="_Toc130737"/>
      <w:bookmarkStart w:id="2293" w:name="_Toc131131"/>
      <w:bookmarkStart w:id="2294" w:name="_Toc289026"/>
      <w:bookmarkStart w:id="2295" w:name="_Toc338192"/>
      <w:bookmarkStart w:id="2296" w:name="_Toc705624"/>
      <w:bookmarkStart w:id="2297" w:name="_Toc706610"/>
      <w:bookmarkStart w:id="2298" w:name="_Toc708919"/>
      <w:bookmarkStart w:id="2299" w:name="_Toc710284"/>
      <w:bookmarkStart w:id="2300" w:name="_Toc970303"/>
      <w:bookmarkStart w:id="2301" w:name="_Toc970678"/>
      <w:bookmarkStart w:id="2302" w:name="_Toc1135378"/>
      <w:bookmarkStart w:id="2303" w:name="_Toc1165692"/>
      <w:bookmarkStart w:id="2304" w:name="_Toc1207757"/>
      <w:bookmarkStart w:id="2305" w:name="_Toc1408373"/>
      <w:bookmarkStart w:id="2306" w:name="_Toc529627515"/>
      <w:bookmarkStart w:id="2307" w:name="_Toc533172151"/>
      <w:bookmarkStart w:id="2308" w:name="_Toc534451414"/>
      <w:bookmarkStart w:id="2309" w:name="_Toc534451687"/>
      <w:bookmarkStart w:id="2310" w:name="_Toc534451960"/>
      <w:bookmarkStart w:id="2311" w:name="_Toc534452800"/>
      <w:bookmarkStart w:id="2312" w:name="_Toc534629225"/>
      <w:bookmarkStart w:id="2313" w:name="_Toc534629499"/>
      <w:bookmarkStart w:id="2314" w:name="_Toc534649268"/>
      <w:bookmarkStart w:id="2315" w:name="_Toc534715327"/>
      <w:bookmarkStart w:id="2316" w:name="_Toc534734464"/>
      <w:bookmarkStart w:id="2317" w:name="_Toc534734740"/>
      <w:bookmarkStart w:id="2318" w:name="_Toc536717404"/>
      <w:bookmarkStart w:id="2319" w:name="_Toc536862582"/>
      <w:bookmarkStart w:id="2320" w:name="_Toc536863951"/>
      <w:bookmarkStart w:id="2321" w:name="_Toc536864338"/>
      <w:bookmarkStart w:id="2322" w:name="_Toc536864839"/>
      <w:bookmarkStart w:id="2323" w:name="_Toc536865139"/>
      <w:bookmarkStart w:id="2324" w:name="_Toc536865454"/>
      <w:bookmarkStart w:id="2325" w:name="_Toc536865769"/>
      <w:bookmarkStart w:id="2326" w:name="_Toc536866084"/>
      <w:bookmarkStart w:id="2327" w:name="_Toc536866399"/>
      <w:bookmarkStart w:id="2328" w:name="_Toc536866714"/>
      <w:bookmarkStart w:id="2329" w:name="_Toc536867029"/>
      <w:bookmarkStart w:id="2330" w:name="_Toc536867344"/>
      <w:bookmarkStart w:id="2331" w:name="_Toc536867627"/>
      <w:bookmarkStart w:id="2332" w:name="_Toc536867910"/>
      <w:bookmarkStart w:id="2333" w:name="_Toc536868807"/>
      <w:bookmarkStart w:id="2334" w:name="_Toc536869138"/>
      <w:bookmarkStart w:id="2335" w:name="_Toc127981"/>
      <w:bookmarkStart w:id="2336" w:name="_Toc128375"/>
      <w:bookmarkStart w:id="2337" w:name="_Toc128769"/>
      <w:bookmarkStart w:id="2338" w:name="_Toc129163"/>
      <w:bookmarkStart w:id="2339" w:name="_Toc129557"/>
      <w:bookmarkStart w:id="2340" w:name="_Toc129950"/>
      <w:bookmarkStart w:id="2341" w:name="_Toc130344"/>
      <w:bookmarkStart w:id="2342" w:name="_Toc130738"/>
      <w:bookmarkStart w:id="2343" w:name="_Toc131132"/>
      <w:bookmarkStart w:id="2344" w:name="_Toc289027"/>
      <w:bookmarkStart w:id="2345" w:name="_Toc338193"/>
      <w:bookmarkStart w:id="2346" w:name="_Toc705625"/>
      <w:bookmarkStart w:id="2347" w:name="_Toc706611"/>
      <w:bookmarkStart w:id="2348" w:name="_Toc708920"/>
      <w:bookmarkStart w:id="2349" w:name="_Toc710285"/>
      <w:bookmarkStart w:id="2350" w:name="_Toc970304"/>
      <w:bookmarkStart w:id="2351" w:name="_Toc970679"/>
      <w:bookmarkStart w:id="2352" w:name="_Toc1135379"/>
      <w:bookmarkStart w:id="2353" w:name="_Toc1165693"/>
      <w:bookmarkStart w:id="2354" w:name="_Toc1207758"/>
      <w:bookmarkStart w:id="2355" w:name="_Toc1408374"/>
      <w:bookmarkStart w:id="2356" w:name="_Toc529627516"/>
      <w:bookmarkStart w:id="2357" w:name="_Toc533172152"/>
      <w:bookmarkStart w:id="2358" w:name="_Toc534451415"/>
      <w:bookmarkStart w:id="2359" w:name="_Toc534451688"/>
      <w:bookmarkStart w:id="2360" w:name="_Toc534451961"/>
      <w:bookmarkStart w:id="2361" w:name="_Toc534452801"/>
      <w:bookmarkStart w:id="2362" w:name="_Toc534629226"/>
      <w:bookmarkStart w:id="2363" w:name="_Toc534629500"/>
      <w:bookmarkStart w:id="2364" w:name="_Toc534649269"/>
      <w:bookmarkStart w:id="2365" w:name="_Toc534715328"/>
      <w:bookmarkStart w:id="2366" w:name="_Toc534734465"/>
      <w:bookmarkStart w:id="2367" w:name="_Toc534734741"/>
      <w:bookmarkStart w:id="2368" w:name="_Toc536717405"/>
      <w:bookmarkStart w:id="2369" w:name="_Toc536862583"/>
      <w:bookmarkStart w:id="2370" w:name="_Toc536863952"/>
      <w:bookmarkStart w:id="2371" w:name="_Toc536864339"/>
      <w:bookmarkStart w:id="2372" w:name="_Toc536864840"/>
      <w:bookmarkStart w:id="2373" w:name="_Toc536865140"/>
      <w:bookmarkStart w:id="2374" w:name="_Toc536865455"/>
      <w:bookmarkStart w:id="2375" w:name="_Toc536865770"/>
      <w:bookmarkStart w:id="2376" w:name="_Toc536866085"/>
      <w:bookmarkStart w:id="2377" w:name="_Toc536866400"/>
      <w:bookmarkStart w:id="2378" w:name="_Toc536866715"/>
      <w:bookmarkStart w:id="2379" w:name="_Toc536867030"/>
      <w:bookmarkStart w:id="2380" w:name="_Toc536867345"/>
      <w:bookmarkStart w:id="2381" w:name="_Toc536867628"/>
      <w:bookmarkStart w:id="2382" w:name="_Toc536867911"/>
      <w:bookmarkStart w:id="2383" w:name="_Toc536868808"/>
      <w:bookmarkStart w:id="2384" w:name="_Toc536869139"/>
      <w:bookmarkStart w:id="2385" w:name="_Toc127982"/>
      <w:bookmarkStart w:id="2386" w:name="_Toc128376"/>
      <w:bookmarkStart w:id="2387" w:name="_Toc128770"/>
      <w:bookmarkStart w:id="2388" w:name="_Toc129164"/>
      <w:bookmarkStart w:id="2389" w:name="_Toc129558"/>
      <w:bookmarkStart w:id="2390" w:name="_Toc129951"/>
      <w:bookmarkStart w:id="2391" w:name="_Toc130345"/>
      <w:bookmarkStart w:id="2392" w:name="_Toc130739"/>
      <w:bookmarkStart w:id="2393" w:name="_Toc131133"/>
      <w:bookmarkStart w:id="2394" w:name="_Toc289028"/>
      <w:bookmarkStart w:id="2395" w:name="_Toc338194"/>
      <w:bookmarkStart w:id="2396" w:name="_Toc705626"/>
      <w:bookmarkStart w:id="2397" w:name="_Toc706612"/>
      <w:bookmarkStart w:id="2398" w:name="_Toc708921"/>
      <w:bookmarkStart w:id="2399" w:name="_Toc710286"/>
      <w:bookmarkStart w:id="2400" w:name="_Toc970305"/>
      <w:bookmarkStart w:id="2401" w:name="_Toc970680"/>
      <w:bookmarkStart w:id="2402" w:name="_Toc1135380"/>
      <w:bookmarkStart w:id="2403" w:name="_Toc1165694"/>
      <w:bookmarkStart w:id="2404" w:name="_Toc1207759"/>
      <w:bookmarkStart w:id="2405" w:name="_Toc1408375"/>
      <w:bookmarkStart w:id="2406" w:name="_Toc536865141"/>
      <w:bookmarkStart w:id="2407" w:name="_Toc536865456"/>
      <w:bookmarkStart w:id="2408" w:name="_Toc536865771"/>
      <w:bookmarkStart w:id="2409" w:name="_Toc536866086"/>
      <w:bookmarkStart w:id="2410" w:name="_Toc536866401"/>
      <w:bookmarkStart w:id="2411" w:name="_Toc536866716"/>
      <w:bookmarkStart w:id="2412" w:name="_Toc536867031"/>
      <w:bookmarkStart w:id="2413" w:name="_Toc536867346"/>
      <w:bookmarkStart w:id="2414" w:name="_Toc536867629"/>
      <w:bookmarkStart w:id="2415" w:name="_Toc536867912"/>
      <w:bookmarkStart w:id="2416" w:name="_Toc536868809"/>
      <w:bookmarkStart w:id="2417" w:name="_Toc536869140"/>
      <w:bookmarkStart w:id="2418" w:name="_Toc127983"/>
      <w:bookmarkStart w:id="2419" w:name="_Toc128377"/>
      <w:bookmarkStart w:id="2420" w:name="_Toc128771"/>
      <w:bookmarkStart w:id="2421" w:name="_Toc129165"/>
      <w:bookmarkStart w:id="2422" w:name="_Toc129559"/>
      <w:bookmarkStart w:id="2423" w:name="_Toc129952"/>
      <w:bookmarkStart w:id="2424" w:name="_Toc130346"/>
      <w:bookmarkStart w:id="2425" w:name="_Toc130740"/>
      <w:bookmarkStart w:id="2426" w:name="_Toc131134"/>
      <w:bookmarkStart w:id="2427" w:name="_Toc289029"/>
      <w:bookmarkStart w:id="2428" w:name="_Toc338195"/>
      <w:bookmarkStart w:id="2429" w:name="_Toc705627"/>
      <w:bookmarkStart w:id="2430" w:name="_Toc706613"/>
      <w:bookmarkStart w:id="2431" w:name="_Toc708922"/>
      <w:bookmarkStart w:id="2432" w:name="_Toc710287"/>
      <w:bookmarkStart w:id="2433" w:name="_Toc970306"/>
      <w:bookmarkStart w:id="2434" w:name="_Toc970681"/>
      <w:bookmarkStart w:id="2435" w:name="_Toc1135381"/>
      <w:bookmarkStart w:id="2436" w:name="_Toc1165695"/>
      <w:bookmarkStart w:id="2437" w:name="_Toc1207760"/>
      <w:bookmarkStart w:id="2438" w:name="_Toc1408376"/>
      <w:bookmarkStart w:id="2439" w:name="_Toc525304759"/>
      <w:bookmarkStart w:id="2440" w:name="_Toc525367938"/>
      <w:bookmarkStart w:id="2441" w:name="_Toc526237976"/>
      <w:bookmarkStart w:id="2442" w:name="_Toc526242444"/>
      <w:bookmarkStart w:id="2443" w:name="_Toc526318299"/>
      <w:bookmarkStart w:id="2444" w:name="_Toc526318391"/>
      <w:bookmarkStart w:id="2445" w:name="_Toc526318483"/>
      <w:bookmarkStart w:id="2446" w:name="_Toc529627518"/>
      <w:bookmarkStart w:id="2447" w:name="_Toc533172154"/>
      <w:bookmarkStart w:id="2448" w:name="_Toc534451417"/>
      <w:bookmarkStart w:id="2449" w:name="_Toc534451690"/>
      <w:bookmarkStart w:id="2450" w:name="_Toc534451963"/>
      <w:bookmarkStart w:id="2451" w:name="_Toc534452803"/>
      <w:bookmarkStart w:id="2452" w:name="_Toc534629228"/>
      <w:bookmarkStart w:id="2453" w:name="_Toc534629502"/>
      <w:bookmarkStart w:id="2454" w:name="_Toc534649271"/>
      <w:bookmarkStart w:id="2455" w:name="_Toc534715330"/>
      <w:bookmarkStart w:id="2456" w:name="_Toc534734467"/>
      <w:bookmarkStart w:id="2457" w:name="_Toc534734743"/>
      <w:bookmarkStart w:id="2458" w:name="_Toc536717407"/>
      <w:bookmarkStart w:id="2459" w:name="_Toc536862585"/>
      <w:bookmarkStart w:id="2460" w:name="_Toc536863954"/>
      <w:bookmarkStart w:id="2461" w:name="_Toc536864341"/>
      <w:bookmarkStart w:id="2462" w:name="_Toc536864842"/>
      <w:bookmarkStart w:id="2463" w:name="_Toc536865142"/>
      <w:bookmarkStart w:id="2464" w:name="_Toc536865457"/>
      <w:bookmarkStart w:id="2465" w:name="_Toc536865772"/>
      <w:bookmarkStart w:id="2466" w:name="_Toc536866087"/>
      <w:bookmarkStart w:id="2467" w:name="_Toc536866402"/>
      <w:bookmarkStart w:id="2468" w:name="_Toc536866717"/>
      <w:bookmarkStart w:id="2469" w:name="_Toc536867032"/>
      <w:bookmarkStart w:id="2470" w:name="_Toc536867347"/>
      <w:bookmarkStart w:id="2471" w:name="_Toc536867630"/>
      <w:bookmarkStart w:id="2472" w:name="_Toc536867913"/>
      <w:bookmarkStart w:id="2473" w:name="_Toc536868810"/>
      <w:bookmarkStart w:id="2474" w:name="_Toc536869141"/>
      <w:bookmarkStart w:id="2475" w:name="_Toc127984"/>
      <w:bookmarkStart w:id="2476" w:name="_Toc128378"/>
      <w:bookmarkStart w:id="2477" w:name="_Toc128772"/>
      <w:bookmarkStart w:id="2478" w:name="_Toc129166"/>
      <w:bookmarkStart w:id="2479" w:name="_Toc129560"/>
      <w:bookmarkStart w:id="2480" w:name="_Toc129953"/>
      <w:bookmarkStart w:id="2481" w:name="_Toc130347"/>
      <w:bookmarkStart w:id="2482" w:name="_Toc130741"/>
      <w:bookmarkStart w:id="2483" w:name="_Toc131135"/>
      <w:bookmarkStart w:id="2484" w:name="_Toc289030"/>
      <w:bookmarkStart w:id="2485" w:name="_Toc338196"/>
      <w:bookmarkStart w:id="2486" w:name="_Toc705628"/>
      <w:bookmarkStart w:id="2487" w:name="_Toc706614"/>
      <w:bookmarkStart w:id="2488" w:name="_Toc708923"/>
      <w:bookmarkStart w:id="2489" w:name="_Toc710288"/>
      <w:bookmarkStart w:id="2490" w:name="_Toc970307"/>
      <w:bookmarkStart w:id="2491" w:name="_Toc970682"/>
      <w:bookmarkStart w:id="2492" w:name="_Toc1135382"/>
      <w:bookmarkStart w:id="2493" w:name="_Toc1165696"/>
      <w:bookmarkStart w:id="2494" w:name="_Toc1207761"/>
      <w:bookmarkStart w:id="2495" w:name="_Toc1408377"/>
      <w:bookmarkStart w:id="2496" w:name="_Toc525304760"/>
      <w:bookmarkStart w:id="2497" w:name="_Toc525367939"/>
      <w:bookmarkStart w:id="2498" w:name="_Toc526237977"/>
      <w:bookmarkStart w:id="2499" w:name="_Toc526242445"/>
      <w:bookmarkStart w:id="2500" w:name="_Toc526318300"/>
      <w:bookmarkStart w:id="2501" w:name="_Toc526318392"/>
      <w:bookmarkStart w:id="2502" w:name="_Toc526318484"/>
      <w:bookmarkStart w:id="2503" w:name="_Toc529627519"/>
      <w:bookmarkStart w:id="2504" w:name="_Toc533172155"/>
      <w:bookmarkStart w:id="2505" w:name="_Toc534451418"/>
      <w:bookmarkStart w:id="2506" w:name="_Toc534451691"/>
      <w:bookmarkStart w:id="2507" w:name="_Toc534451964"/>
      <w:bookmarkStart w:id="2508" w:name="_Toc534452804"/>
      <w:bookmarkStart w:id="2509" w:name="_Toc534629229"/>
      <w:bookmarkStart w:id="2510" w:name="_Toc534629503"/>
      <w:bookmarkStart w:id="2511" w:name="_Toc534649272"/>
      <w:bookmarkStart w:id="2512" w:name="_Toc534715331"/>
      <w:bookmarkStart w:id="2513" w:name="_Toc534734468"/>
      <w:bookmarkStart w:id="2514" w:name="_Toc534734744"/>
      <w:bookmarkStart w:id="2515" w:name="_Toc536717408"/>
      <w:bookmarkStart w:id="2516" w:name="_Toc536862586"/>
      <w:bookmarkStart w:id="2517" w:name="_Toc536863955"/>
      <w:bookmarkStart w:id="2518" w:name="_Toc536864342"/>
      <w:bookmarkStart w:id="2519" w:name="_Toc536864843"/>
      <w:bookmarkStart w:id="2520" w:name="_Toc536865143"/>
      <w:bookmarkStart w:id="2521" w:name="_Toc536865458"/>
      <w:bookmarkStart w:id="2522" w:name="_Toc536865773"/>
      <w:bookmarkStart w:id="2523" w:name="_Toc536866088"/>
      <w:bookmarkStart w:id="2524" w:name="_Toc536866403"/>
      <w:bookmarkStart w:id="2525" w:name="_Toc536866718"/>
      <w:bookmarkStart w:id="2526" w:name="_Toc536867033"/>
      <w:bookmarkStart w:id="2527" w:name="_Toc536867348"/>
      <w:bookmarkStart w:id="2528" w:name="_Toc536867631"/>
      <w:bookmarkStart w:id="2529" w:name="_Toc536867914"/>
      <w:bookmarkStart w:id="2530" w:name="_Toc536868811"/>
      <w:bookmarkStart w:id="2531" w:name="_Toc536869142"/>
      <w:bookmarkStart w:id="2532" w:name="_Toc127985"/>
      <w:bookmarkStart w:id="2533" w:name="_Toc128379"/>
      <w:bookmarkStart w:id="2534" w:name="_Toc128773"/>
      <w:bookmarkStart w:id="2535" w:name="_Toc129167"/>
      <w:bookmarkStart w:id="2536" w:name="_Toc129561"/>
      <w:bookmarkStart w:id="2537" w:name="_Toc129954"/>
      <w:bookmarkStart w:id="2538" w:name="_Toc130348"/>
      <w:bookmarkStart w:id="2539" w:name="_Toc130742"/>
      <w:bookmarkStart w:id="2540" w:name="_Toc131136"/>
      <w:bookmarkStart w:id="2541" w:name="_Toc289031"/>
      <w:bookmarkStart w:id="2542" w:name="_Toc338197"/>
      <w:bookmarkStart w:id="2543" w:name="_Toc705629"/>
      <w:bookmarkStart w:id="2544" w:name="_Toc706615"/>
      <w:bookmarkStart w:id="2545" w:name="_Toc708924"/>
      <w:bookmarkStart w:id="2546" w:name="_Toc710289"/>
      <w:bookmarkStart w:id="2547" w:name="_Toc970308"/>
      <w:bookmarkStart w:id="2548" w:name="_Toc970683"/>
      <w:bookmarkStart w:id="2549" w:name="_Toc1135383"/>
      <w:bookmarkStart w:id="2550" w:name="_Toc1165697"/>
      <w:bookmarkStart w:id="2551" w:name="_Toc1207762"/>
      <w:bookmarkStart w:id="2552" w:name="_Toc1408378"/>
      <w:bookmarkStart w:id="2553" w:name="_Toc525304761"/>
      <w:bookmarkStart w:id="2554" w:name="_Toc525367940"/>
      <w:bookmarkStart w:id="2555" w:name="_Toc526237978"/>
      <w:bookmarkStart w:id="2556" w:name="_Toc526242446"/>
      <w:bookmarkStart w:id="2557" w:name="_Toc526318301"/>
      <w:bookmarkStart w:id="2558" w:name="_Toc526318393"/>
      <w:bookmarkStart w:id="2559" w:name="_Toc526318485"/>
      <w:bookmarkStart w:id="2560" w:name="_Toc529627520"/>
      <w:bookmarkStart w:id="2561" w:name="_Toc533172156"/>
      <w:bookmarkStart w:id="2562" w:name="_Toc534451419"/>
      <w:bookmarkStart w:id="2563" w:name="_Toc534451692"/>
      <w:bookmarkStart w:id="2564" w:name="_Toc534451965"/>
      <w:bookmarkStart w:id="2565" w:name="_Toc534452805"/>
      <w:bookmarkStart w:id="2566" w:name="_Toc534629230"/>
      <w:bookmarkStart w:id="2567" w:name="_Toc534629504"/>
      <w:bookmarkStart w:id="2568" w:name="_Toc534649273"/>
      <w:bookmarkStart w:id="2569" w:name="_Toc534715332"/>
      <w:bookmarkStart w:id="2570" w:name="_Toc534734469"/>
      <w:bookmarkStart w:id="2571" w:name="_Toc534734745"/>
      <w:bookmarkStart w:id="2572" w:name="_Toc536717409"/>
      <w:bookmarkStart w:id="2573" w:name="_Toc536862587"/>
      <w:bookmarkStart w:id="2574" w:name="_Toc536863956"/>
      <w:bookmarkStart w:id="2575" w:name="_Toc536864343"/>
      <w:bookmarkStart w:id="2576" w:name="_Toc536864844"/>
      <w:bookmarkStart w:id="2577" w:name="_Toc536865144"/>
      <w:bookmarkStart w:id="2578" w:name="_Toc536865459"/>
      <w:bookmarkStart w:id="2579" w:name="_Toc536865774"/>
      <w:bookmarkStart w:id="2580" w:name="_Toc536866089"/>
      <w:bookmarkStart w:id="2581" w:name="_Toc536866404"/>
      <w:bookmarkStart w:id="2582" w:name="_Toc536866719"/>
      <w:bookmarkStart w:id="2583" w:name="_Toc536867034"/>
      <w:bookmarkStart w:id="2584" w:name="_Toc536867349"/>
      <w:bookmarkStart w:id="2585" w:name="_Toc536867632"/>
      <w:bookmarkStart w:id="2586" w:name="_Toc536867915"/>
      <w:bookmarkStart w:id="2587" w:name="_Toc536868812"/>
      <w:bookmarkStart w:id="2588" w:name="_Toc536869143"/>
      <w:bookmarkStart w:id="2589" w:name="_Toc127986"/>
      <w:bookmarkStart w:id="2590" w:name="_Toc128380"/>
      <w:bookmarkStart w:id="2591" w:name="_Toc128774"/>
      <w:bookmarkStart w:id="2592" w:name="_Toc129168"/>
      <w:bookmarkStart w:id="2593" w:name="_Toc129562"/>
      <w:bookmarkStart w:id="2594" w:name="_Toc129955"/>
      <w:bookmarkStart w:id="2595" w:name="_Toc130349"/>
      <w:bookmarkStart w:id="2596" w:name="_Toc130743"/>
      <w:bookmarkStart w:id="2597" w:name="_Toc131137"/>
      <w:bookmarkStart w:id="2598" w:name="_Toc289032"/>
      <w:bookmarkStart w:id="2599" w:name="_Toc338198"/>
      <w:bookmarkStart w:id="2600" w:name="_Toc705630"/>
      <w:bookmarkStart w:id="2601" w:name="_Toc706616"/>
      <w:bookmarkStart w:id="2602" w:name="_Toc708925"/>
      <w:bookmarkStart w:id="2603" w:name="_Toc710290"/>
      <w:bookmarkStart w:id="2604" w:name="_Toc970309"/>
      <w:bookmarkStart w:id="2605" w:name="_Toc970684"/>
      <w:bookmarkStart w:id="2606" w:name="_Toc1135384"/>
      <w:bookmarkStart w:id="2607" w:name="_Toc1165698"/>
      <w:bookmarkStart w:id="2608" w:name="_Toc1207763"/>
      <w:bookmarkStart w:id="2609" w:name="_Toc1408379"/>
      <w:bookmarkStart w:id="2610" w:name="_Toc522209772"/>
      <w:bookmarkStart w:id="2611" w:name="_Toc522209878"/>
      <w:bookmarkStart w:id="2612" w:name="_Toc522211910"/>
      <w:bookmarkStart w:id="2613" w:name="_Toc522212652"/>
      <w:bookmarkStart w:id="2614" w:name="_Toc522279687"/>
      <w:bookmarkStart w:id="2615" w:name="_Toc522209773"/>
      <w:bookmarkStart w:id="2616" w:name="_Toc522209879"/>
      <w:bookmarkStart w:id="2617" w:name="_Toc522211911"/>
      <w:bookmarkStart w:id="2618" w:name="_Toc522212653"/>
      <w:bookmarkStart w:id="2619" w:name="_Toc522279688"/>
      <w:bookmarkStart w:id="2620" w:name="_Toc536865145"/>
      <w:bookmarkStart w:id="2621" w:name="_Toc536865460"/>
      <w:bookmarkStart w:id="2622" w:name="_Toc536865775"/>
      <w:bookmarkStart w:id="2623" w:name="_Toc536866090"/>
      <w:bookmarkStart w:id="2624" w:name="_Toc536866405"/>
      <w:bookmarkStart w:id="2625" w:name="_Toc536866720"/>
      <w:bookmarkStart w:id="2626" w:name="_Toc536867035"/>
      <w:bookmarkStart w:id="2627" w:name="_Toc536867350"/>
      <w:bookmarkStart w:id="2628" w:name="_Toc536867633"/>
      <w:bookmarkStart w:id="2629" w:name="_Toc536867916"/>
      <w:bookmarkStart w:id="2630" w:name="_Toc536868813"/>
      <w:bookmarkStart w:id="2631" w:name="_Toc536869144"/>
      <w:bookmarkStart w:id="2632" w:name="_Toc127987"/>
      <w:bookmarkStart w:id="2633" w:name="_Toc128381"/>
      <w:bookmarkStart w:id="2634" w:name="_Toc128775"/>
      <w:bookmarkStart w:id="2635" w:name="_Toc129169"/>
      <w:bookmarkStart w:id="2636" w:name="_Toc129563"/>
      <w:bookmarkStart w:id="2637" w:name="_Toc129956"/>
      <w:bookmarkStart w:id="2638" w:name="_Toc130350"/>
      <w:bookmarkStart w:id="2639" w:name="_Toc130744"/>
      <w:bookmarkStart w:id="2640" w:name="_Toc131138"/>
      <w:bookmarkStart w:id="2641" w:name="_Toc289033"/>
      <w:bookmarkStart w:id="2642" w:name="_Toc338199"/>
      <w:bookmarkStart w:id="2643" w:name="_Toc705631"/>
      <w:bookmarkStart w:id="2644" w:name="_Toc706617"/>
      <w:bookmarkStart w:id="2645" w:name="_Toc708926"/>
      <w:bookmarkStart w:id="2646" w:name="_Toc710291"/>
      <w:bookmarkStart w:id="2647" w:name="_Toc970310"/>
      <w:bookmarkStart w:id="2648" w:name="_Toc970685"/>
      <w:bookmarkStart w:id="2649" w:name="_Toc1135385"/>
      <w:bookmarkStart w:id="2650" w:name="_Toc1165699"/>
      <w:bookmarkStart w:id="2651" w:name="_Toc1207764"/>
      <w:bookmarkStart w:id="2652" w:name="_Toc1408380"/>
      <w:bookmarkStart w:id="2653" w:name="_Toc536865146"/>
      <w:bookmarkStart w:id="2654" w:name="_Toc536865461"/>
      <w:bookmarkStart w:id="2655" w:name="_Toc536865776"/>
      <w:bookmarkStart w:id="2656" w:name="_Toc536866091"/>
      <w:bookmarkStart w:id="2657" w:name="_Toc536866406"/>
      <w:bookmarkStart w:id="2658" w:name="_Toc536866721"/>
      <w:bookmarkStart w:id="2659" w:name="_Toc536867036"/>
      <w:bookmarkStart w:id="2660" w:name="_Toc536867351"/>
      <w:bookmarkStart w:id="2661" w:name="_Toc536867634"/>
      <w:bookmarkStart w:id="2662" w:name="_Toc536867917"/>
      <w:bookmarkStart w:id="2663" w:name="_Toc536868814"/>
      <w:bookmarkStart w:id="2664" w:name="_Toc536869145"/>
      <w:bookmarkStart w:id="2665" w:name="_Toc127988"/>
      <w:bookmarkStart w:id="2666" w:name="_Toc128382"/>
      <w:bookmarkStart w:id="2667" w:name="_Toc128776"/>
      <w:bookmarkStart w:id="2668" w:name="_Toc129170"/>
      <w:bookmarkStart w:id="2669" w:name="_Toc129564"/>
      <w:bookmarkStart w:id="2670" w:name="_Toc129957"/>
      <w:bookmarkStart w:id="2671" w:name="_Toc130351"/>
      <w:bookmarkStart w:id="2672" w:name="_Toc130745"/>
      <w:bookmarkStart w:id="2673" w:name="_Toc131139"/>
      <w:bookmarkStart w:id="2674" w:name="_Toc289034"/>
      <w:bookmarkStart w:id="2675" w:name="_Toc338200"/>
      <w:bookmarkStart w:id="2676" w:name="_Toc705632"/>
      <w:bookmarkStart w:id="2677" w:name="_Toc706618"/>
      <w:bookmarkStart w:id="2678" w:name="_Toc708927"/>
      <w:bookmarkStart w:id="2679" w:name="_Toc710292"/>
      <w:bookmarkStart w:id="2680" w:name="_Toc970311"/>
      <w:bookmarkStart w:id="2681" w:name="_Toc970686"/>
      <w:bookmarkStart w:id="2682" w:name="_Toc1135386"/>
      <w:bookmarkStart w:id="2683" w:name="_Toc1165700"/>
      <w:bookmarkStart w:id="2684" w:name="_Toc1207765"/>
      <w:bookmarkStart w:id="2685" w:name="_Toc1408381"/>
      <w:bookmarkStart w:id="2686" w:name="_Toc536865147"/>
      <w:bookmarkStart w:id="2687" w:name="_Toc536865462"/>
      <w:bookmarkStart w:id="2688" w:name="_Toc536865777"/>
      <w:bookmarkStart w:id="2689" w:name="_Toc536866092"/>
      <w:bookmarkStart w:id="2690" w:name="_Toc536866407"/>
      <w:bookmarkStart w:id="2691" w:name="_Toc536866722"/>
      <w:bookmarkStart w:id="2692" w:name="_Toc536867037"/>
      <w:bookmarkStart w:id="2693" w:name="_Toc536867352"/>
      <w:bookmarkStart w:id="2694" w:name="_Toc536867635"/>
      <w:bookmarkStart w:id="2695" w:name="_Toc536867918"/>
      <w:bookmarkStart w:id="2696" w:name="_Toc536868815"/>
      <w:bookmarkStart w:id="2697" w:name="_Toc536869146"/>
      <w:bookmarkStart w:id="2698" w:name="_Toc127989"/>
      <w:bookmarkStart w:id="2699" w:name="_Toc128383"/>
      <w:bookmarkStart w:id="2700" w:name="_Toc128777"/>
      <w:bookmarkStart w:id="2701" w:name="_Toc129171"/>
      <w:bookmarkStart w:id="2702" w:name="_Toc129565"/>
      <w:bookmarkStart w:id="2703" w:name="_Toc129958"/>
      <w:bookmarkStart w:id="2704" w:name="_Toc130352"/>
      <w:bookmarkStart w:id="2705" w:name="_Toc130746"/>
      <w:bookmarkStart w:id="2706" w:name="_Toc131140"/>
      <w:bookmarkStart w:id="2707" w:name="_Toc289035"/>
      <w:bookmarkStart w:id="2708" w:name="_Toc338201"/>
      <w:bookmarkStart w:id="2709" w:name="_Toc705633"/>
      <w:bookmarkStart w:id="2710" w:name="_Toc706619"/>
      <w:bookmarkStart w:id="2711" w:name="_Toc708928"/>
      <w:bookmarkStart w:id="2712" w:name="_Toc710293"/>
      <w:bookmarkStart w:id="2713" w:name="_Toc970312"/>
      <w:bookmarkStart w:id="2714" w:name="_Toc970687"/>
      <w:bookmarkStart w:id="2715" w:name="_Toc1135387"/>
      <w:bookmarkStart w:id="2716" w:name="_Toc1165701"/>
      <w:bookmarkStart w:id="2717" w:name="_Toc1207766"/>
      <w:bookmarkStart w:id="2718" w:name="_Toc1408382"/>
      <w:bookmarkStart w:id="2719" w:name="_Toc536865148"/>
      <w:bookmarkStart w:id="2720" w:name="_Toc536865463"/>
      <w:bookmarkStart w:id="2721" w:name="_Toc536865778"/>
      <w:bookmarkStart w:id="2722" w:name="_Toc536866093"/>
      <w:bookmarkStart w:id="2723" w:name="_Toc536866408"/>
      <w:bookmarkStart w:id="2724" w:name="_Toc536866723"/>
      <w:bookmarkStart w:id="2725" w:name="_Toc536867038"/>
      <w:bookmarkStart w:id="2726" w:name="_Toc536867353"/>
      <w:bookmarkStart w:id="2727" w:name="_Toc536867636"/>
      <w:bookmarkStart w:id="2728" w:name="_Toc536867919"/>
      <w:bookmarkStart w:id="2729" w:name="_Toc536868816"/>
      <w:bookmarkStart w:id="2730" w:name="_Toc536869147"/>
      <w:bookmarkStart w:id="2731" w:name="_Toc127990"/>
      <w:bookmarkStart w:id="2732" w:name="_Toc128384"/>
      <w:bookmarkStart w:id="2733" w:name="_Toc128778"/>
      <w:bookmarkStart w:id="2734" w:name="_Toc129172"/>
      <w:bookmarkStart w:id="2735" w:name="_Toc129566"/>
      <w:bookmarkStart w:id="2736" w:name="_Toc129959"/>
      <w:bookmarkStart w:id="2737" w:name="_Toc130353"/>
      <w:bookmarkStart w:id="2738" w:name="_Toc130747"/>
      <w:bookmarkStart w:id="2739" w:name="_Toc131141"/>
      <w:bookmarkStart w:id="2740" w:name="_Toc289036"/>
      <w:bookmarkStart w:id="2741" w:name="_Toc338202"/>
      <w:bookmarkStart w:id="2742" w:name="_Toc705634"/>
      <w:bookmarkStart w:id="2743" w:name="_Toc706620"/>
      <w:bookmarkStart w:id="2744" w:name="_Toc708929"/>
      <w:bookmarkStart w:id="2745" w:name="_Toc710294"/>
      <w:bookmarkStart w:id="2746" w:name="_Toc970313"/>
      <w:bookmarkStart w:id="2747" w:name="_Toc970688"/>
      <w:bookmarkStart w:id="2748" w:name="_Toc1135388"/>
      <w:bookmarkStart w:id="2749" w:name="_Toc1165702"/>
      <w:bookmarkStart w:id="2750" w:name="_Toc1207767"/>
      <w:bookmarkStart w:id="2751" w:name="_Toc1408383"/>
      <w:bookmarkStart w:id="2752" w:name="_Toc536865149"/>
      <w:bookmarkStart w:id="2753" w:name="_Toc536865464"/>
      <w:bookmarkStart w:id="2754" w:name="_Toc536865779"/>
      <w:bookmarkStart w:id="2755" w:name="_Toc536866094"/>
      <w:bookmarkStart w:id="2756" w:name="_Toc536866409"/>
      <w:bookmarkStart w:id="2757" w:name="_Toc536866724"/>
      <w:bookmarkStart w:id="2758" w:name="_Toc536867039"/>
      <w:bookmarkStart w:id="2759" w:name="_Toc536867354"/>
      <w:bookmarkStart w:id="2760" w:name="_Toc536867637"/>
      <w:bookmarkStart w:id="2761" w:name="_Toc536867920"/>
      <w:bookmarkStart w:id="2762" w:name="_Toc536868817"/>
      <w:bookmarkStart w:id="2763" w:name="_Toc536869148"/>
      <w:bookmarkStart w:id="2764" w:name="_Toc127991"/>
      <w:bookmarkStart w:id="2765" w:name="_Toc128385"/>
      <w:bookmarkStart w:id="2766" w:name="_Toc128779"/>
      <w:bookmarkStart w:id="2767" w:name="_Toc129173"/>
      <w:bookmarkStart w:id="2768" w:name="_Toc129567"/>
      <w:bookmarkStart w:id="2769" w:name="_Toc129960"/>
      <w:bookmarkStart w:id="2770" w:name="_Toc130354"/>
      <w:bookmarkStart w:id="2771" w:name="_Toc130748"/>
      <w:bookmarkStart w:id="2772" w:name="_Toc131142"/>
      <w:bookmarkStart w:id="2773" w:name="_Toc289037"/>
      <w:bookmarkStart w:id="2774" w:name="_Toc338203"/>
      <w:bookmarkStart w:id="2775" w:name="_Toc705635"/>
      <w:bookmarkStart w:id="2776" w:name="_Toc706621"/>
      <w:bookmarkStart w:id="2777" w:name="_Toc708930"/>
      <w:bookmarkStart w:id="2778" w:name="_Toc710295"/>
      <w:bookmarkStart w:id="2779" w:name="_Toc970314"/>
      <w:bookmarkStart w:id="2780" w:name="_Toc970689"/>
      <w:bookmarkStart w:id="2781" w:name="_Toc1135389"/>
      <w:bookmarkStart w:id="2782" w:name="_Toc1165703"/>
      <w:bookmarkStart w:id="2783" w:name="_Toc1207768"/>
      <w:bookmarkStart w:id="2784" w:name="_Toc1408384"/>
      <w:bookmarkStart w:id="2785" w:name="_Toc536865150"/>
      <w:bookmarkStart w:id="2786" w:name="_Toc536865465"/>
      <w:bookmarkStart w:id="2787" w:name="_Toc536865780"/>
      <w:bookmarkStart w:id="2788" w:name="_Toc536866095"/>
      <w:bookmarkStart w:id="2789" w:name="_Toc536866410"/>
      <w:bookmarkStart w:id="2790" w:name="_Toc536866725"/>
      <w:bookmarkStart w:id="2791" w:name="_Toc536867040"/>
      <w:bookmarkStart w:id="2792" w:name="_Toc536867355"/>
      <w:bookmarkStart w:id="2793" w:name="_Toc536867638"/>
      <w:bookmarkStart w:id="2794" w:name="_Toc536867921"/>
      <w:bookmarkStart w:id="2795" w:name="_Toc536868818"/>
      <w:bookmarkStart w:id="2796" w:name="_Toc536869149"/>
      <w:bookmarkStart w:id="2797" w:name="_Toc127992"/>
      <w:bookmarkStart w:id="2798" w:name="_Toc128386"/>
      <w:bookmarkStart w:id="2799" w:name="_Toc128780"/>
      <w:bookmarkStart w:id="2800" w:name="_Toc129174"/>
      <w:bookmarkStart w:id="2801" w:name="_Toc129568"/>
      <w:bookmarkStart w:id="2802" w:name="_Toc129961"/>
      <w:bookmarkStart w:id="2803" w:name="_Toc130355"/>
      <w:bookmarkStart w:id="2804" w:name="_Toc130749"/>
      <w:bookmarkStart w:id="2805" w:name="_Toc131143"/>
      <w:bookmarkStart w:id="2806" w:name="_Toc289038"/>
      <w:bookmarkStart w:id="2807" w:name="_Toc338204"/>
      <w:bookmarkStart w:id="2808" w:name="_Toc705636"/>
      <w:bookmarkStart w:id="2809" w:name="_Toc706622"/>
      <w:bookmarkStart w:id="2810" w:name="_Toc708931"/>
      <w:bookmarkStart w:id="2811" w:name="_Toc710296"/>
      <w:bookmarkStart w:id="2812" w:name="_Toc970315"/>
      <w:bookmarkStart w:id="2813" w:name="_Toc970690"/>
      <w:bookmarkStart w:id="2814" w:name="_Toc1135390"/>
      <w:bookmarkStart w:id="2815" w:name="_Toc1165704"/>
      <w:bookmarkStart w:id="2816" w:name="_Toc1207769"/>
      <w:bookmarkStart w:id="2817" w:name="_Toc1408385"/>
      <w:bookmarkStart w:id="2818" w:name="_Toc536865151"/>
      <w:bookmarkStart w:id="2819" w:name="_Toc536865466"/>
      <w:bookmarkStart w:id="2820" w:name="_Toc536865781"/>
      <w:bookmarkStart w:id="2821" w:name="_Toc536866096"/>
      <w:bookmarkStart w:id="2822" w:name="_Toc536866411"/>
      <w:bookmarkStart w:id="2823" w:name="_Toc536866726"/>
      <w:bookmarkStart w:id="2824" w:name="_Toc536867041"/>
      <w:bookmarkStart w:id="2825" w:name="_Toc536867356"/>
      <w:bookmarkStart w:id="2826" w:name="_Toc536867639"/>
      <w:bookmarkStart w:id="2827" w:name="_Toc536867922"/>
      <w:bookmarkStart w:id="2828" w:name="_Toc536868819"/>
      <w:bookmarkStart w:id="2829" w:name="_Toc536869150"/>
      <w:bookmarkStart w:id="2830" w:name="_Toc127993"/>
      <w:bookmarkStart w:id="2831" w:name="_Toc128387"/>
      <w:bookmarkStart w:id="2832" w:name="_Toc128781"/>
      <w:bookmarkStart w:id="2833" w:name="_Toc129175"/>
      <w:bookmarkStart w:id="2834" w:name="_Toc129569"/>
      <w:bookmarkStart w:id="2835" w:name="_Toc129962"/>
      <w:bookmarkStart w:id="2836" w:name="_Toc130356"/>
      <w:bookmarkStart w:id="2837" w:name="_Toc130750"/>
      <w:bookmarkStart w:id="2838" w:name="_Toc131144"/>
      <w:bookmarkStart w:id="2839" w:name="_Toc289039"/>
      <w:bookmarkStart w:id="2840" w:name="_Toc338205"/>
      <w:bookmarkStart w:id="2841" w:name="_Toc705637"/>
      <w:bookmarkStart w:id="2842" w:name="_Toc706623"/>
      <w:bookmarkStart w:id="2843" w:name="_Toc708932"/>
      <w:bookmarkStart w:id="2844" w:name="_Toc710297"/>
      <w:bookmarkStart w:id="2845" w:name="_Toc970316"/>
      <w:bookmarkStart w:id="2846" w:name="_Toc970691"/>
      <w:bookmarkStart w:id="2847" w:name="_Toc1135391"/>
      <w:bookmarkStart w:id="2848" w:name="_Toc1165705"/>
      <w:bookmarkStart w:id="2849" w:name="_Toc1207770"/>
      <w:bookmarkStart w:id="2850" w:name="_Toc1408386"/>
      <w:bookmarkStart w:id="2851" w:name="_Toc536865152"/>
      <w:bookmarkStart w:id="2852" w:name="_Toc536865467"/>
      <w:bookmarkStart w:id="2853" w:name="_Toc536865782"/>
      <w:bookmarkStart w:id="2854" w:name="_Toc536866097"/>
      <w:bookmarkStart w:id="2855" w:name="_Toc536866412"/>
      <w:bookmarkStart w:id="2856" w:name="_Toc536866727"/>
      <w:bookmarkStart w:id="2857" w:name="_Toc536867042"/>
      <w:bookmarkStart w:id="2858" w:name="_Toc536867357"/>
      <w:bookmarkStart w:id="2859" w:name="_Toc536867640"/>
      <w:bookmarkStart w:id="2860" w:name="_Toc536867923"/>
      <w:bookmarkStart w:id="2861" w:name="_Toc536868820"/>
      <w:bookmarkStart w:id="2862" w:name="_Toc536869151"/>
      <w:bookmarkStart w:id="2863" w:name="_Toc127994"/>
      <w:bookmarkStart w:id="2864" w:name="_Toc128388"/>
      <w:bookmarkStart w:id="2865" w:name="_Toc128782"/>
      <w:bookmarkStart w:id="2866" w:name="_Toc129176"/>
      <w:bookmarkStart w:id="2867" w:name="_Toc129570"/>
      <w:bookmarkStart w:id="2868" w:name="_Toc129963"/>
      <w:bookmarkStart w:id="2869" w:name="_Toc130357"/>
      <w:bookmarkStart w:id="2870" w:name="_Toc130751"/>
      <w:bookmarkStart w:id="2871" w:name="_Toc131145"/>
      <w:bookmarkStart w:id="2872" w:name="_Toc289040"/>
      <w:bookmarkStart w:id="2873" w:name="_Toc338206"/>
      <w:bookmarkStart w:id="2874" w:name="_Toc705638"/>
      <w:bookmarkStart w:id="2875" w:name="_Toc706624"/>
      <w:bookmarkStart w:id="2876" w:name="_Toc708933"/>
      <w:bookmarkStart w:id="2877" w:name="_Toc710298"/>
      <w:bookmarkStart w:id="2878" w:name="_Toc970317"/>
      <w:bookmarkStart w:id="2879" w:name="_Toc970692"/>
      <w:bookmarkStart w:id="2880" w:name="_Toc1135392"/>
      <w:bookmarkStart w:id="2881" w:name="_Toc1165706"/>
      <w:bookmarkStart w:id="2882" w:name="_Toc1207771"/>
      <w:bookmarkStart w:id="2883" w:name="_Toc1408387"/>
      <w:bookmarkStart w:id="2884" w:name="_Toc536865153"/>
      <w:bookmarkStart w:id="2885" w:name="_Toc536865468"/>
      <w:bookmarkStart w:id="2886" w:name="_Toc536865783"/>
      <w:bookmarkStart w:id="2887" w:name="_Toc536866098"/>
      <w:bookmarkStart w:id="2888" w:name="_Toc536866413"/>
      <w:bookmarkStart w:id="2889" w:name="_Toc536866728"/>
      <w:bookmarkStart w:id="2890" w:name="_Toc536867043"/>
      <w:bookmarkStart w:id="2891" w:name="_Toc536867358"/>
      <w:bookmarkStart w:id="2892" w:name="_Toc536867641"/>
      <w:bookmarkStart w:id="2893" w:name="_Toc536867924"/>
      <w:bookmarkStart w:id="2894" w:name="_Toc536868821"/>
      <w:bookmarkStart w:id="2895" w:name="_Toc536869152"/>
      <w:bookmarkStart w:id="2896" w:name="_Toc127995"/>
      <w:bookmarkStart w:id="2897" w:name="_Toc128389"/>
      <w:bookmarkStart w:id="2898" w:name="_Toc128783"/>
      <w:bookmarkStart w:id="2899" w:name="_Toc129177"/>
      <w:bookmarkStart w:id="2900" w:name="_Toc129571"/>
      <w:bookmarkStart w:id="2901" w:name="_Toc129964"/>
      <w:bookmarkStart w:id="2902" w:name="_Toc130358"/>
      <w:bookmarkStart w:id="2903" w:name="_Toc130752"/>
      <w:bookmarkStart w:id="2904" w:name="_Toc131146"/>
      <w:bookmarkStart w:id="2905" w:name="_Toc289041"/>
      <w:bookmarkStart w:id="2906" w:name="_Toc338207"/>
      <w:bookmarkStart w:id="2907" w:name="_Toc705639"/>
      <w:bookmarkStart w:id="2908" w:name="_Toc706625"/>
      <w:bookmarkStart w:id="2909" w:name="_Toc708934"/>
      <w:bookmarkStart w:id="2910" w:name="_Toc710299"/>
      <w:bookmarkStart w:id="2911" w:name="_Toc970318"/>
      <w:bookmarkStart w:id="2912" w:name="_Toc970693"/>
      <w:bookmarkStart w:id="2913" w:name="_Toc1135393"/>
      <w:bookmarkStart w:id="2914" w:name="_Toc1165707"/>
      <w:bookmarkStart w:id="2915" w:name="_Toc1207772"/>
      <w:bookmarkStart w:id="2916" w:name="_Toc1408388"/>
      <w:bookmarkStart w:id="2917" w:name="_Toc536865154"/>
      <w:bookmarkStart w:id="2918" w:name="_Toc536865469"/>
      <w:bookmarkStart w:id="2919" w:name="_Toc536865784"/>
      <w:bookmarkStart w:id="2920" w:name="_Toc536866099"/>
      <w:bookmarkStart w:id="2921" w:name="_Toc536866414"/>
      <w:bookmarkStart w:id="2922" w:name="_Toc536866729"/>
      <w:bookmarkStart w:id="2923" w:name="_Toc536867044"/>
      <w:bookmarkStart w:id="2924" w:name="_Toc536867359"/>
      <w:bookmarkStart w:id="2925" w:name="_Toc536867642"/>
      <w:bookmarkStart w:id="2926" w:name="_Toc536867925"/>
      <w:bookmarkStart w:id="2927" w:name="_Toc536868822"/>
      <w:bookmarkStart w:id="2928" w:name="_Toc536869153"/>
      <w:bookmarkStart w:id="2929" w:name="_Toc127996"/>
      <w:bookmarkStart w:id="2930" w:name="_Toc128390"/>
      <w:bookmarkStart w:id="2931" w:name="_Toc128784"/>
      <w:bookmarkStart w:id="2932" w:name="_Toc129178"/>
      <w:bookmarkStart w:id="2933" w:name="_Toc129572"/>
      <w:bookmarkStart w:id="2934" w:name="_Toc129965"/>
      <w:bookmarkStart w:id="2935" w:name="_Toc130359"/>
      <w:bookmarkStart w:id="2936" w:name="_Toc130753"/>
      <w:bookmarkStart w:id="2937" w:name="_Toc131147"/>
      <w:bookmarkStart w:id="2938" w:name="_Toc289042"/>
      <w:bookmarkStart w:id="2939" w:name="_Toc338208"/>
      <w:bookmarkStart w:id="2940" w:name="_Toc705640"/>
      <w:bookmarkStart w:id="2941" w:name="_Toc706626"/>
      <w:bookmarkStart w:id="2942" w:name="_Toc708935"/>
      <w:bookmarkStart w:id="2943" w:name="_Toc710300"/>
      <w:bookmarkStart w:id="2944" w:name="_Toc970319"/>
      <w:bookmarkStart w:id="2945" w:name="_Toc970694"/>
      <w:bookmarkStart w:id="2946" w:name="_Toc1135394"/>
      <w:bookmarkStart w:id="2947" w:name="_Toc1165708"/>
      <w:bookmarkStart w:id="2948" w:name="_Toc1207773"/>
      <w:bookmarkStart w:id="2949" w:name="_Toc1408389"/>
      <w:bookmarkStart w:id="2950" w:name="_Toc519013097"/>
      <w:bookmarkStart w:id="2951" w:name="_Toc522209776"/>
      <w:bookmarkStart w:id="2952" w:name="_Toc522209882"/>
      <w:bookmarkStart w:id="2953" w:name="_Toc522211914"/>
      <w:bookmarkStart w:id="2954" w:name="_Toc522212656"/>
      <w:bookmarkStart w:id="2955" w:name="_Toc522279691"/>
      <w:bookmarkStart w:id="2956" w:name="_Toc536865155"/>
      <w:bookmarkStart w:id="2957" w:name="_Toc536865470"/>
      <w:bookmarkStart w:id="2958" w:name="_Toc536865785"/>
      <w:bookmarkStart w:id="2959" w:name="_Toc536866100"/>
      <w:bookmarkStart w:id="2960" w:name="_Toc536866415"/>
      <w:bookmarkStart w:id="2961" w:name="_Toc536866730"/>
      <w:bookmarkStart w:id="2962" w:name="_Toc536867045"/>
      <w:bookmarkStart w:id="2963" w:name="_Toc536867360"/>
      <w:bookmarkStart w:id="2964" w:name="_Toc536867643"/>
      <w:bookmarkStart w:id="2965" w:name="_Toc536867926"/>
      <w:bookmarkStart w:id="2966" w:name="_Toc536868823"/>
      <w:bookmarkStart w:id="2967" w:name="_Toc536869154"/>
      <w:bookmarkStart w:id="2968" w:name="_Toc127997"/>
      <w:bookmarkStart w:id="2969" w:name="_Toc128391"/>
      <w:bookmarkStart w:id="2970" w:name="_Toc128785"/>
      <w:bookmarkStart w:id="2971" w:name="_Toc129179"/>
      <w:bookmarkStart w:id="2972" w:name="_Toc129573"/>
      <w:bookmarkStart w:id="2973" w:name="_Toc129966"/>
      <w:bookmarkStart w:id="2974" w:name="_Toc130360"/>
      <w:bookmarkStart w:id="2975" w:name="_Toc130754"/>
      <w:bookmarkStart w:id="2976" w:name="_Toc131148"/>
      <w:bookmarkStart w:id="2977" w:name="_Toc289043"/>
      <w:bookmarkStart w:id="2978" w:name="_Toc338209"/>
      <w:bookmarkStart w:id="2979" w:name="_Toc705641"/>
      <w:bookmarkStart w:id="2980" w:name="_Toc706627"/>
      <w:bookmarkStart w:id="2981" w:name="_Toc708936"/>
      <w:bookmarkStart w:id="2982" w:name="_Toc710301"/>
      <w:bookmarkStart w:id="2983" w:name="_Toc970320"/>
      <w:bookmarkStart w:id="2984" w:name="_Toc970695"/>
      <w:bookmarkStart w:id="2985" w:name="_Toc1135395"/>
      <w:bookmarkStart w:id="2986" w:name="_Toc1165709"/>
      <w:bookmarkStart w:id="2987" w:name="_Toc1207774"/>
      <w:bookmarkStart w:id="2988" w:name="_Toc1408390"/>
      <w:bookmarkStart w:id="2989" w:name="_Toc536865156"/>
      <w:bookmarkStart w:id="2990" w:name="_Toc536865471"/>
      <w:bookmarkStart w:id="2991" w:name="_Toc536865786"/>
      <w:bookmarkStart w:id="2992" w:name="_Toc536866101"/>
      <w:bookmarkStart w:id="2993" w:name="_Toc536866416"/>
      <w:bookmarkStart w:id="2994" w:name="_Toc536866731"/>
      <w:bookmarkStart w:id="2995" w:name="_Toc536867046"/>
      <w:bookmarkStart w:id="2996" w:name="_Toc536867361"/>
      <w:bookmarkStart w:id="2997" w:name="_Toc536867644"/>
      <w:bookmarkStart w:id="2998" w:name="_Toc536867927"/>
      <w:bookmarkStart w:id="2999" w:name="_Toc536868824"/>
      <w:bookmarkStart w:id="3000" w:name="_Toc536869155"/>
      <w:bookmarkStart w:id="3001" w:name="_Toc127998"/>
      <w:bookmarkStart w:id="3002" w:name="_Toc128392"/>
      <w:bookmarkStart w:id="3003" w:name="_Toc128786"/>
      <w:bookmarkStart w:id="3004" w:name="_Toc129180"/>
      <w:bookmarkStart w:id="3005" w:name="_Toc129574"/>
      <w:bookmarkStart w:id="3006" w:name="_Toc129967"/>
      <w:bookmarkStart w:id="3007" w:name="_Toc130361"/>
      <w:bookmarkStart w:id="3008" w:name="_Toc130755"/>
      <w:bookmarkStart w:id="3009" w:name="_Toc131149"/>
      <w:bookmarkStart w:id="3010" w:name="_Toc289044"/>
      <w:bookmarkStart w:id="3011" w:name="_Toc338210"/>
      <w:bookmarkStart w:id="3012" w:name="_Toc705642"/>
      <w:bookmarkStart w:id="3013" w:name="_Toc706628"/>
      <w:bookmarkStart w:id="3014" w:name="_Toc708937"/>
      <w:bookmarkStart w:id="3015" w:name="_Toc710302"/>
      <w:bookmarkStart w:id="3016" w:name="_Toc970321"/>
      <w:bookmarkStart w:id="3017" w:name="_Toc970696"/>
      <w:bookmarkStart w:id="3018" w:name="_Toc1135396"/>
      <w:bookmarkStart w:id="3019" w:name="_Toc1165710"/>
      <w:bookmarkStart w:id="3020" w:name="_Toc1207775"/>
      <w:bookmarkStart w:id="3021" w:name="_Toc1408391"/>
      <w:bookmarkStart w:id="3022" w:name="_Toc536865157"/>
      <w:bookmarkStart w:id="3023" w:name="_Toc536865472"/>
      <w:bookmarkStart w:id="3024" w:name="_Toc536865787"/>
      <w:bookmarkStart w:id="3025" w:name="_Toc536866102"/>
      <w:bookmarkStart w:id="3026" w:name="_Toc536866417"/>
      <w:bookmarkStart w:id="3027" w:name="_Toc536866732"/>
      <w:bookmarkStart w:id="3028" w:name="_Toc536867047"/>
      <w:bookmarkStart w:id="3029" w:name="_Toc536867362"/>
      <w:bookmarkStart w:id="3030" w:name="_Toc536867645"/>
      <w:bookmarkStart w:id="3031" w:name="_Toc536867928"/>
      <w:bookmarkStart w:id="3032" w:name="_Toc536868825"/>
      <w:bookmarkStart w:id="3033" w:name="_Toc536869156"/>
      <w:bookmarkStart w:id="3034" w:name="_Toc127999"/>
      <w:bookmarkStart w:id="3035" w:name="_Toc128393"/>
      <w:bookmarkStart w:id="3036" w:name="_Toc128787"/>
      <w:bookmarkStart w:id="3037" w:name="_Toc129181"/>
      <w:bookmarkStart w:id="3038" w:name="_Toc129575"/>
      <w:bookmarkStart w:id="3039" w:name="_Toc129968"/>
      <w:bookmarkStart w:id="3040" w:name="_Toc130362"/>
      <w:bookmarkStart w:id="3041" w:name="_Toc130756"/>
      <w:bookmarkStart w:id="3042" w:name="_Toc131150"/>
      <w:bookmarkStart w:id="3043" w:name="_Toc289045"/>
      <w:bookmarkStart w:id="3044" w:name="_Toc338211"/>
      <w:bookmarkStart w:id="3045" w:name="_Toc705643"/>
      <w:bookmarkStart w:id="3046" w:name="_Toc706629"/>
      <w:bookmarkStart w:id="3047" w:name="_Toc708938"/>
      <w:bookmarkStart w:id="3048" w:name="_Toc710303"/>
      <w:bookmarkStart w:id="3049" w:name="_Toc970322"/>
      <w:bookmarkStart w:id="3050" w:name="_Toc970697"/>
      <w:bookmarkStart w:id="3051" w:name="_Toc1135397"/>
      <w:bookmarkStart w:id="3052" w:name="_Toc1165711"/>
      <w:bookmarkStart w:id="3053" w:name="_Toc1207776"/>
      <w:bookmarkStart w:id="3054" w:name="_Toc1408392"/>
      <w:bookmarkStart w:id="3055" w:name="_Toc536865158"/>
      <w:bookmarkStart w:id="3056" w:name="_Toc536865473"/>
      <w:bookmarkStart w:id="3057" w:name="_Toc536865788"/>
      <w:bookmarkStart w:id="3058" w:name="_Toc536866103"/>
      <w:bookmarkStart w:id="3059" w:name="_Toc536866418"/>
      <w:bookmarkStart w:id="3060" w:name="_Toc536866733"/>
      <w:bookmarkStart w:id="3061" w:name="_Toc536867048"/>
      <w:bookmarkStart w:id="3062" w:name="_Toc536867363"/>
      <w:bookmarkStart w:id="3063" w:name="_Toc536867646"/>
      <w:bookmarkStart w:id="3064" w:name="_Toc536867929"/>
      <w:bookmarkStart w:id="3065" w:name="_Toc536868826"/>
      <w:bookmarkStart w:id="3066" w:name="_Toc536869157"/>
      <w:bookmarkStart w:id="3067" w:name="_Toc128000"/>
      <w:bookmarkStart w:id="3068" w:name="_Toc128394"/>
      <w:bookmarkStart w:id="3069" w:name="_Toc128788"/>
      <w:bookmarkStart w:id="3070" w:name="_Toc129182"/>
      <w:bookmarkStart w:id="3071" w:name="_Toc129576"/>
      <w:bookmarkStart w:id="3072" w:name="_Toc129969"/>
      <w:bookmarkStart w:id="3073" w:name="_Toc130363"/>
      <w:bookmarkStart w:id="3074" w:name="_Toc130757"/>
      <w:bookmarkStart w:id="3075" w:name="_Toc131151"/>
      <w:bookmarkStart w:id="3076" w:name="_Toc289046"/>
      <w:bookmarkStart w:id="3077" w:name="_Toc338212"/>
      <w:bookmarkStart w:id="3078" w:name="_Toc705644"/>
      <w:bookmarkStart w:id="3079" w:name="_Toc706630"/>
      <w:bookmarkStart w:id="3080" w:name="_Toc708939"/>
      <w:bookmarkStart w:id="3081" w:name="_Toc710304"/>
      <w:bookmarkStart w:id="3082" w:name="_Toc970323"/>
      <w:bookmarkStart w:id="3083" w:name="_Toc970698"/>
      <w:bookmarkStart w:id="3084" w:name="_Toc1135398"/>
      <w:bookmarkStart w:id="3085" w:name="_Toc1165712"/>
      <w:bookmarkStart w:id="3086" w:name="_Toc1207777"/>
      <w:bookmarkStart w:id="3087" w:name="_Toc1408393"/>
      <w:bookmarkStart w:id="3088" w:name="_Toc536865159"/>
      <w:bookmarkStart w:id="3089" w:name="_Toc536865474"/>
      <w:bookmarkStart w:id="3090" w:name="_Toc536865789"/>
      <w:bookmarkStart w:id="3091" w:name="_Toc536866104"/>
      <w:bookmarkStart w:id="3092" w:name="_Toc536866419"/>
      <w:bookmarkStart w:id="3093" w:name="_Toc536866734"/>
      <w:bookmarkStart w:id="3094" w:name="_Toc536867049"/>
      <w:bookmarkStart w:id="3095" w:name="_Toc536867364"/>
      <w:bookmarkStart w:id="3096" w:name="_Toc536867647"/>
      <w:bookmarkStart w:id="3097" w:name="_Toc536867930"/>
      <w:bookmarkStart w:id="3098" w:name="_Toc536868827"/>
      <w:bookmarkStart w:id="3099" w:name="_Toc536869158"/>
      <w:bookmarkStart w:id="3100" w:name="_Toc128001"/>
      <w:bookmarkStart w:id="3101" w:name="_Toc128395"/>
      <w:bookmarkStart w:id="3102" w:name="_Toc128789"/>
      <w:bookmarkStart w:id="3103" w:name="_Toc129183"/>
      <w:bookmarkStart w:id="3104" w:name="_Toc129577"/>
      <w:bookmarkStart w:id="3105" w:name="_Toc129970"/>
      <w:bookmarkStart w:id="3106" w:name="_Toc130364"/>
      <w:bookmarkStart w:id="3107" w:name="_Toc130758"/>
      <w:bookmarkStart w:id="3108" w:name="_Toc131152"/>
      <w:bookmarkStart w:id="3109" w:name="_Toc289047"/>
      <w:bookmarkStart w:id="3110" w:name="_Toc338213"/>
      <w:bookmarkStart w:id="3111" w:name="_Toc705645"/>
      <w:bookmarkStart w:id="3112" w:name="_Toc706631"/>
      <w:bookmarkStart w:id="3113" w:name="_Toc708940"/>
      <w:bookmarkStart w:id="3114" w:name="_Toc710305"/>
      <w:bookmarkStart w:id="3115" w:name="_Toc970324"/>
      <w:bookmarkStart w:id="3116" w:name="_Toc970699"/>
      <w:bookmarkStart w:id="3117" w:name="_Toc1135399"/>
      <w:bookmarkStart w:id="3118" w:name="_Toc1165713"/>
      <w:bookmarkStart w:id="3119" w:name="_Toc1207778"/>
      <w:bookmarkStart w:id="3120" w:name="_Toc1408394"/>
      <w:bookmarkStart w:id="3121" w:name="_Toc536865160"/>
      <w:bookmarkStart w:id="3122" w:name="_Toc536865475"/>
      <w:bookmarkStart w:id="3123" w:name="_Toc536865790"/>
      <w:bookmarkStart w:id="3124" w:name="_Toc536866105"/>
      <w:bookmarkStart w:id="3125" w:name="_Toc536866420"/>
      <w:bookmarkStart w:id="3126" w:name="_Toc536866735"/>
      <w:bookmarkStart w:id="3127" w:name="_Toc536867050"/>
      <w:bookmarkStart w:id="3128" w:name="_Toc536867365"/>
      <w:bookmarkStart w:id="3129" w:name="_Toc536867648"/>
      <w:bookmarkStart w:id="3130" w:name="_Toc536867931"/>
      <w:bookmarkStart w:id="3131" w:name="_Toc536868828"/>
      <w:bookmarkStart w:id="3132" w:name="_Toc536869159"/>
      <w:bookmarkStart w:id="3133" w:name="_Toc128002"/>
      <w:bookmarkStart w:id="3134" w:name="_Toc128396"/>
      <w:bookmarkStart w:id="3135" w:name="_Toc128790"/>
      <w:bookmarkStart w:id="3136" w:name="_Toc129184"/>
      <w:bookmarkStart w:id="3137" w:name="_Toc129578"/>
      <w:bookmarkStart w:id="3138" w:name="_Toc129971"/>
      <w:bookmarkStart w:id="3139" w:name="_Toc130365"/>
      <w:bookmarkStart w:id="3140" w:name="_Toc130759"/>
      <w:bookmarkStart w:id="3141" w:name="_Toc131153"/>
      <w:bookmarkStart w:id="3142" w:name="_Toc289048"/>
      <w:bookmarkStart w:id="3143" w:name="_Toc338214"/>
      <w:bookmarkStart w:id="3144" w:name="_Toc705646"/>
      <w:bookmarkStart w:id="3145" w:name="_Toc706632"/>
      <w:bookmarkStart w:id="3146" w:name="_Toc708941"/>
      <w:bookmarkStart w:id="3147" w:name="_Toc710306"/>
      <w:bookmarkStart w:id="3148" w:name="_Toc970325"/>
      <w:bookmarkStart w:id="3149" w:name="_Toc970700"/>
      <w:bookmarkStart w:id="3150" w:name="_Toc1135400"/>
      <w:bookmarkStart w:id="3151" w:name="_Toc1165714"/>
      <w:bookmarkStart w:id="3152" w:name="_Toc1207779"/>
      <w:bookmarkStart w:id="3153" w:name="_Toc1408395"/>
      <w:bookmarkStart w:id="3154" w:name="_Toc536865161"/>
      <w:bookmarkStart w:id="3155" w:name="_Toc536865476"/>
      <w:bookmarkStart w:id="3156" w:name="_Toc536865791"/>
      <w:bookmarkStart w:id="3157" w:name="_Toc536866106"/>
      <w:bookmarkStart w:id="3158" w:name="_Toc536866421"/>
      <w:bookmarkStart w:id="3159" w:name="_Toc536866736"/>
      <w:bookmarkStart w:id="3160" w:name="_Toc536867051"/>
      <w:bookmarkStart w:id="3161" w:name="_Toc536867366"/>
      <w:bookmarkStart w:id="3162" w:name="_Toc536867649"/>
      <w:bookmarkStart w:id="3163" w:name="_Toc536867932"/>
      <w:bookmarkStart w:id="3164" w:name="_Toc536868829"/>
      <w:bookmarkStart w:id="3165" w:name="_Toc536869160"/>
      <w:bookmarkStart w:id="3166" w:name="_Toc128003"/>
      <w:bookmarkStart w:id="3167" w:name="_Toc128397"/>
      <w:bookmarkStart w:id="3168" w:name="_Toc128791"/>
      <w:bookmarkStart w:id="3169" w:name="_Toc129185"/>
      <w:bookmarkStart w:id="3170" w:name="_Toc129579"/>
      <w:bookmarkStart w:id="3171" w:name="_Toc129972"/>
      <w:bookmarkStart w:id="3172" w:name="_Toc130366"/>
      <w:bookmarkStart w:id="3173" w:name="_Toc130760"/>
      <w:bookmarkStart w:id="3174" w:name="_Toc131154"/>
      <w:bookmarkStart w:id="3175" w:name="_Toc289049"/>
      <w:bookmarkStart w:id="3176" w:name="_Toc338215"/>
      <w:bookmarkStart w:id="3177" w:name="_Toc705647"/>
      <w:bookmarkStart w:id="3178" w:name="_Toc706633"/>
      <w:bookmarkStart w:id="3179" w:name="_Toc708942"/>
      <w:bookmarkStart w:id="3180" w:name="_Toc710307"/>
      <w:bookmarkStart w:id="3181" w:name="_Toc970326"/>
      <w:bookmarkStart w:id="3182" w:name="_Toc970701"/>
      <w:bookmarkStart w:id="3183" w:name="_Toc1135401"/>
      <w:bookmarkStart w:id="3184" w:name="_Toc1165715"/>
      <w:bookmarkStart w:id="3185" w:name="_Toc1207780"/>
      <w:bookmarkStart w:id="3186" w:name="_Toc1408396"/>
      <w:bookmarkStart w:id="3187" w:name="_Toc536865162"/>
      <w:bookmarkStart w:id="3188" w:name="_Toc536865477"/>
      <w:bookmarkStart w:id="3189" w:name="_Toc536865792"/>
      <w:bookmarkStart w:id="3190" w:name="_Toc536866107"/>
      <w:bookmarkStart w:id="3191" w:name="_Toc536866422"/>
      <w:bookmarkStart w:id="3192" w:name="_Toc536866737"/>
      <w:bookmarkStart w:id="3193" w:name="_Toc536867052"/>
      <w:bookmarkStart w:id="3194" w:name="_Toc536867367"/>
      <w:bookmarkStart w:id="3195" w:name="_Toc536867650"/>
      <w:bookmarkStart w:id="3196" w:name="_Toc536867933"/>
      <w:bookmarkStart w:id="3197" w:name="_Toc536868830"/>
      <w:bookmarkStart w:id="3198" w:name="_Toc536869161"/>
      <w:bookmarkStart w:id="3199" w:name="_Toc128004"/>
      <w:bookmarkStart w:id="3200" w:name="_Toc128398"/>
      <w:bookmarkStart w:id="3201" w:name="_Toc128792"/>
      <w:bookmarkStart w:id="3202" w:name="_Toc129186"/>
      <w:bookmarkStart w:id="3203" w:name="_Toc129580"/>
      <w:bookmarkStart w:id="3204" w:name="_Toc129973"/>
      <w:bookmarkStart w:id="3205" w:name="_Toc130367"/>
      <w:bookmarkStart w:id="3206" w:name="_Toc130761"/>
      <w:bookmarkStart w:id="3207" w:name="_Toc131155"/>
      <w:bookmarkStart w:id="3208" w:name="_Toc289050"/>
      <w:bookmarkStart w:id="3209" w:name="_Toc338216"/>
      <w:bookmarkStart w:id="3210" w:name="_Toc705648"/>
      <w:bookmarkStart w:id="3211" w:name="_Toc706634"/>
      <w:bookmarkStart w:id="3212" w:name="_Toc708943"/>
      <w:bookmarkStart w:id="3213" w:name="_Toc710308"/>
      <w:bookmarkStart w:id="3214" w:name="_Toc970327"/>
      <w:bookmarkStart w:id="3215" w:name="_Toc970702"/>
      <w:bookmarkStart w:id="3216" w:name="_Toc1135402"/>
      <w:bookmarkStart w:id="3217" w:name="_Toc1165716"/>
      <w:bookmarkStart w:id="3218" w:name="_Toc1207781"/>
      <w:bookmarkStart w:id="3219" w:name="_Toc1408397"/>
      <w:bookmarkStart w:id="3220" w:name="_Toc525367944"/>
      <w:bookmarkStart w:id="3221" w:name="_Toc526237982"/>
      <w:bookmarkStart w:id="3222" w:name="_Toc526242450"/>
      <w:bookmarkStart w:id="3223" w:name="_Toc526318305"/>
      <w:bookmarkStart w:id="3224" w:name="_Toc526318397"/>
      <w:bookmarkStart w:id="3225" w:name="_Toc526318489"/>
      <w:bookmarkStart w:id="3226" w:name="_Toc529627524"/>
      <w:bookmarkStart w:id="3227" w:name="_Toc533172160"/>
      <w:bookmarkStart w:id="3228" w:name="_Toc534451423"/>
      <w:bookmarkStart w:id="3229" w:name="_Toc534451696"/>
      <w:bookmarkStart w:id="3230" w:name="_Toc534451969"/>
      <w:bookmarkStart w:id="3231" w:name="_Toc534452809"/>
      <w:bookmarkStart w:id="3232" w:name="_Toc534629234"/>
      <w:bookmarkStart w:id="3233" w:name="_Toc534629508"/>
      <w:bookmarkStart w:id="3234" w:name="_Toc534649277"/>
      <w:bookmarkStart w:id="3235" w:name="_Toc534715336"/>
      <w:bookmarkStart w:id="3236" w:name="_Toc534734473"/>
      <w:bookmarkStart w:id="3237" w:name="_Toc534734749"/>
      <w:bookmarkStart w:id="3238" w:name="_Toc536717413"/>
      <w:bookmarkStart w:id="3239" w:name="_Toc536862591"/>
      <w:bookmarkStart w:id="3240" w:name="_Toc536863960"/>
      <w:bookmarkStart w:id="3241" w:name="_Toc536864347"/>
      <w:bookmarkStart w:id="3242" w:name="_Toc536864848"/>
      <w:bookmarkStart w:id="3243" w:name="_Toc536865163"/>
      <w:bookmarkStart w:id="3244" w:name="_Toc536865478"/>
      <w:bookmarkStart w:id="3245" w:name="_Toc536865793"/>
      <w:bookmarkStart w:id="3246" w:name="_Toc536866108"/>
      <w:bookmarkStart w:id="3247" w:name="_Toc536866423"/>
      <w:bookmarkStart w:id="3248" w:name="_Toc536866738"/>
      <w:bookmarkStart w:id="3249" w:name="_Toc536867053"/>
      <w:bookmarkStart w:id="3250" w:name="_Toc536867368"/>
      <w:bookmarkStart w:id="3251" w:name="_Toc536867651"/>
      <w:bookmarkStart w:id="3252" w:name="_Toc536867934"/>
      <w:bookmarkStart w:id="3253" w:name="_Toc536868831"/>
      <w:bookmarkStart w:id="3254" w:name="_Toc536869162"/>
      <w:bookmarkStart w:id="3255" w:name="_Toc128005"/>
      <w:bookmarkStart w:id="3256" w:name="_Toc128399"/>
      <w:bookmarkStart w:id="3257" w:name="_Toc128793"/>
      <w:bookmarkStart w:id="3258" w:name="_Toc129187"/>
      <w:bookmarkStart w:id="3259" w:name="_Toc129581"/>
      <w:bookmarkStart w:id="3260" w:name="_Toc129974"/>
      <w:bookmarkStart w:id="3261" w:name="_Toc130368"/>
      <w:bookmarkStart w:id="3262" w:name="_Toc130762"/>
      <w:bookmarkStart w:id="3263" w:name="_Toc131156"/>
      <w:bookmarkStart w:id="3264" w:name="_Toc289051"/>
      <w:bookmarkStart w:id="3265" w:name="_Toc338217"/>
      <w:bookmarkStart w:id="3266" w:name="_Toc705649"/>
      <w:bookmarkStart w:id="3267" w:name="_Toc706635"/>
      <w:bookmarkStart w:id="3268" w:name="_Toc708944"/>
      <w:bookmarkStart w:id="3269" w:name="_Toc710309"/>
      <w:bookmarkStart w:id="3270" w:name="_Toc970328"/>
      <w:bookmarkStart w:id="3271" w:name="_Toc970703"/>
      <w:bookmarkStart w:id="3272" w:name="_Toc1135403"/>
      <w:bookmarkStart w:id="3273" w:name="_Toc1165717"/>
      <w:bookmarkStart w:id="3274" w:name="_Toc1207782"/>
      <w:bookmarkStart w:id="3275" w:name="_Toc1408398"/>
      <w:bookmarkStart w:id="3276" w:name="_Toc525367951"/>
      <w:bookmarkStart w:id="3277" w:name="_Toc526237989"/>
      <w:bookmarkStart w:id="3278" w:name="_Toc526242457"/>
      <w:bookmarkStart w:id="3279" w:name="_Toc526318312"/>
      <w:bookmarkStart w:id="3280" w:name="_Toc526318404"/>
      <w:bookmarkStart w:id="3281" w:name="_Toc526318496"/>
      <w:bookmarkStart w:id="3282" w:name="_Toc529627531"/>
      <w:bookmarkStart w:id="3283" w:name="_Toc533172167"/>
      <w:bookmarkStart w:id="3284" w:name="_Toc534451430"/>
      <w:bookmarkStart w:id="3285" w:name="_Toc534451703"/>
      <w:bookmarkStart w:id="3286" w:name="_Toc534451976"/>
      <w:bookmarkStart w:id="3287" w:name="_Toc534452816"/>
      <w:bookmarkStart w:id="3288" w:name="_Toc534629241"/>
      <w:bookmarkStart w:id="3289" w:name="_Toc534629515"/>
      <w:bookmarkStart w:id="3290" w:name="_Toc534649284"/>
      <w:bookmarkStart w:id="3291" w:name="_Toc534715343"/>
      <w:bookmarkStart w:id="3292" w:name="_Toc534734480"/>
      <w:bookmarkStart w:id="3293" w:name="_Toc534734756"/>
      <w:bookmarkStart w:id="3294" w:name="_Toc536717420"/>
      <w:bookmarkStart w:id="3295" w:name="_Toc536862598"/>
      <w:bookmarkStart w:id="3296" w:name="_Toc536863967"/>
      <w:bookmarkStart w:id="3297" w:name="_Toc536864354"/>
      <w:bookmarkStart w:id="3298" w:name="_Toc536864855"/>
      <w:bookmarkStart w:id="3299" w:name="_Toc536865170"/>
      <w:bookmarkStart w:id="3300" w:name="_Toc536865485"/>
      <w:bookmarkStart w:id="3301" w:name="_Toc536865800"/>
      <w:bookmarkStart w:id="3302" w:name="_Toc536866115"/>
      <w:bookmarkStart w:id="3303" w:name="_Toc536866430"/>
      <w:bookmarkStart w:id="3304" w:name="_Toc536866745"/>
      <w:bookmarkStart w:id="3305" w:name="_Toc536867060"/>
      <w:bookmarkStart w:id="3306" w:name="_Toc536867375"/>
      <w:bookmarkStart w:id="3307" w:name="_Toc536867658"/>
      <w:bookmarkStart w:id="3308" w:name="_Toc536867941"/>
      <w:bookmarkStart w:id="3309" w:name="_Toc536868838"/>
      <w:bookmarkStart w:id="3310" w:name="_Toc536869169"/>
      <w:bookmarkStart w:id="3311" w:name="_Toc128012"/>
      <w:bookmarkStart w:id="3312" w:name="_Toc128406"/>
      <w:bookmarkStart w:id="3313" w:name="_Toc128800"/>
      <w:bookmarkStart w:id="3314" w:name="_Toc129194"/>
      <w:bookmarkStart w:id="3315" w:name="_Toc129588"/>
      <w:bookmarkStart w:id="3316" w:name="_Toc129981"/>
      <w:bookmarkStart w:id="3317" w:name="_Toc130375"/>
      <w:bookmarkStart w:id="3318" w:name="_Toc130769"/>
      <w:bookmarkStart w:id="3319" w:name="_Toc131163"/>
      <w:bookmarkStart w:id="3320" w:name="_Toc289058"/>
      <w:bookmarkStart w:id="3321" w:name="_Toc338224"/>
      <w:bookmarkStart w:id="3322" w:name="_Toc705656"/>
      <w:bookmarkStart w:id="3323" w:name="_Toc706642"/>
      <w:bookmarkStart w:id="3324" w:name="_Toc708951"/>
      <w:bookmarkStart w:id="3325" w:name="_Toc710316"/>
      <w:bookmarkStart w:id="3326" w:name="_Toc970335"/>
      <w:bookmarkStart w:id="3327" w:name="_Toc970710"/>
      <w:bookmarkStart w:id="3328" w:name="_Toc1135410"/>
      <w:bookmarkStart w:id="3329" w:name="_Toc1165724"/>
      <w:bookmarkStart w:id="3330" w:name="_Toc1207789"/>
      <w:bookmarkStart w:id="3331" w:name="_Toc1408405"/>
      <w:bookmarkStart w:id="3332" w:name="_Toc525367952"/>
      <w:bookmarkStart w:id="3333" w:name="_Toc526237990"/>
      <w:bookmarkStart w:id="3334" w:name="_Toc526242458"/>
      <w:bookmarkStart w:id="3335" w:name="_Toc526318313"/>
      <w:bookmarkStart w:id="3336" w:name="_Toc526318405"/>
      <w:bookmarkStart w:id="3337" w:name="_Toc526318497"/>
      <w:bookmarkStart w:id="3338" w:name="_Toc529627532"/>
      <w:bookmarkStart w:id="3339" w:name="_Toc533172168"/>
      <w:bookmarkStart w:id="3340" w:name="_Toc534451431"/>
      <w:bookmarkStart w:id="3341" w:name="_Toc534451704"/>
      <w:bookmarkStart w:id="3342" w:name="_Toc534451977"/>
      <w:bookmarkStart w:id="3343" w:name="_Toc534452817"/>
      <w:bookmarkStart w:id="3344" w:name="_Toc534629242"/>
      <w:bookmarkStart w:id="3345" w:name="_Toc534629516"/>
      <w:bookmarkStart w:id="3346" w:name="_Toc534649285"/>
      <w:bookmarkStart w:id="3347" w:name="_Toc534715344"/>
      <w:bookmarkStart w:id="3348" w:name="_Toc534734481"/>
      <w:bookmarkStart w:id="3349" w:name="_Toc534734757"/>
      <w:bookmarkStart w:id="3350" w:name="_Toc536717421"/>
      <w:bookmarkStart w:id="3351" w:name="_Toc536862599"/>
      <w:bookmarkStart w:id="3352" w:name="_Toc536863968"/>
      <w:bookmarkStart w:id="3353" w:name="_Toc536864355"/>
      <w:bookmarkStart w:id="3354" w:name="_Toc536864856"/>
      <w:bookmarkStart w:id="3355" w:name="_Toc536865171"/>
      <w:bookmarkStart w:id="3356" w:name="_Toc536865486"/>
      <w:bookmarkStart w:id="3357" w:name="_Toc536865801"/>
      <w:bookmarkStart w:id="3358" w:name="_Toc536866116"/>
      <w:bookmarkStart w:id="3359" w:name="_Toc536866431"/>
      <w:bookmarkStart w:id="3360" w:name="_Toc536866746"/>
      <w:bookmarkStart w:id="3361" w:name="_Toc536867061"/>
      <w:bookmarkStart w:id="3362" w:name="_Toc536867376"/>
      <w:bookmarkStart w:id="3363" w:name="_Toc536867659"/>
      <w:bookmarkStart w:id="3364" w:name="_Toc536867942"/>
      <w:bookmarkStart w:id="3365" w:name="_Toc536868839"/>
      <w:bookmarkStart w:id="3366" w:name="_Toc536869170"/>
      <w:bookmarkStart w:id="3367" w:name="_Toc128013"/>
      <w:bookmarkStart w:id="3368" w:name="_Toc128407"/>
      <w:bookmarkStart w:id="3369" w:name="_Toc128801"/>
      <w:bookmarkStart w:id="3370" w:name="_Toc129195"/>
      <w:bookmarkStart w:id="3371" w:name="_Toc129589"/>
      <w:bookmarkStart w:id="3372" w:name="_Toc129982"/>
      <w:bookmarkStart w:id="3373" w:name="_Toc130376"/>
      <w:bookmarkStart w:id="3374" w:name="_Toc130770"/>
      <w:bookmarkStart w:id="3375" w:name="_Toc131164"/>
      <w:bookmarkStart w:id="3376" w:name="_Toc289059"/>
      <w:bookmarkStart w:id="3377" w:name="_Toc338225"/>
      <w:bookmarkStart w:id="3378" w:name="_Toc705657"/>
      <w:bookmarkStart w:id="3379" w:name="_Toc706643"/>
      <w:bookmarkStart w:id="3380" w:name="_Toc708952"/>
      <w:bookmarkStart w:id="3381" w:name="_Toc710317"/>
      <w:bookmarkStart w:id="3382" w:name="_Toc970336"/>
      <w:bookmarkStart w:id="3383" w:name="_Toc970711"/>
      <w:bookmarkStart w:id="3384" w:name="_Toc1135411"/>
      <w:bookmarkStart w:id="3385" w:name="_Toc1165725"/>
      <w:bookmarkStart w:id="3386" w:name="_Toc1207790"/>
      <w:bookmarkStart w:id="3387" w:name="_Toc1408406"/>
      <w:bookmarkStart w:id="3388" w:name="_Toc508229089"/>
      <w:bookmarkStart w:id="3389" w:name="_Toc508229090"/>
      <w:bookmarkStart w:id="3390" w:name="_Toc508229091"/>
      <w:bookmarkStart w:id="3391" w:name="_Toc508229092"/>
      <w:bookmarkStart w:id="3392" w:name="_Toc508229093"/>
      <w:bookmarkStart w:id="3393" w:name="_Toc508229094"/>
      <w:bookmarkStart w:id="3394" w:name="_Toc508229095"/>
      <w:bookmarkStart w:id="3395" w:name="_Toc508229096"/>
      <w:bookmarkStart w:id="3396" w:name="_Toc508229097"/>
      <w:bookmarkStart w:id="3397" w:name="_Toc508229098"/>
      <w:bookmarkStart w:id="3398" w:name="_Toc508229100"/>
      <w:bookmarkStart w:id="3399" w:name="_Toc508229102"/>
      <w:bookmarkStart w:id="3400" w:name="_Toc508229103"/>
      <w:bookmarkStart w:id="3401" w:name="_Toc508229104"/>
      <w:bookmarkStart w:id="3402" w:name="_Toc508229105"/>
      <w:bookmarkStart w:id="3403" w:name="_Toc508229106"/>
      <w:bookmarkStart w:id="3404" w:name="_Toc508229107"/>
      <w:bookmarkStart w:id="3405" w:name="_Toc508229108"/>
      <w:bookmarkStart w:id="3406" w:name="_Toc529627533"/>
      <w:bookmarkStart w:id="3407" w:name="_Toc533172169"/>
      <w:bookmarkStart w:id="3408" w:name="_Toc534451432"/>
      <w:bookmarkStart w:id="3409" w:name="_Toc534451705"/>
      <w:bookmarkStart w:id="3410" w:name="_Toc534451978"/>
      <w:bookmarkStart w:id="3411" w:name="_Toc534452818"/>
      <w:bookmarkStart w:id="3412" w:name="_Toc534629243"/>
      <w:bookmarkStart w:id="3413" w:name="_Toc534629517"/>
      <w:bookmarkStart w:id="3414" w:name="_Toc534649286"/>
      <w:bookmarkStart w:id="3415" w:name="_Toc534715345"/>
      <w:bookmarkStart w:id="3416" w:name="_Toc534734482"/>
      <w:bookmarkStart w:id="3417" w:name="_Toc534734758"/>
      <w:bookmarkStart w:id="3418" w:name="_Toc536717422"/>
      <w:bookmarkStart w:id="3419" w:name="_Toc536862600"/>
      <w:bookmarkStart w:id="3420" w:name="_Toc536863969"/>
      <w:bookmarkStart w:id="3421" w:name="_Toc536864356"/>
      <w:bookmarkStart w:id="3422" w:name="_Toc536864857"/>
      <w:bookmarkStart w:id="3423" w:name="_Toc536865172"/>
      <w:bookmarkStart w:id="3424" w:name="_Toc536865487"/>
      <w:bookmarkStart w:id="3425" w:name="_Toc536865802"/>
      <w:bookmarkStart w:id="3426" w:name="_Toc536866117"/>
      <w:bookmarkStart w:id="3427" w:name="_Toc536866432"/>
      <w:bookmarkStart w:id="3428" w:name="_Toc536866747"/>
      <w:bookmarkStart w:id="3429" w:name="_Toc536867062"/>
      <w:bookmarkStart w:id="3430" w:name="_Toc536867377"/>
      <w:bookmarkStart w:id="3431" w:name="_Toc536867660"/>
      <w:bookmarkStart w:id="3432" w:name="_Toc536867943"/>
      <w:bookmarkStart w:id="3433" w:name="_Toc536868840"/>
      <w:bookmarkStart w:id="3434" w:name="_Toc536869171"/>
      <w:bookmarkStart w:id="3435" w:name="_Toc128014"/>
      <w:bookmarkStart w:id="3436" w:name="_Toc128408"/>
      <w:bookmarkStart w:id="3437" w:name="_Toc128802"/>
      <w:bookmarkStart w:id="3438" w:name="_Toc129196"/>
      <w:bookmarkStart w:id="3439" w:name="_Toc129590"/>
      <w:bookmarkStart w:id="3440" w:name="_Toc129983"/>
      <w:bookmarkStart w:id="3441" w:name="_Toc130377"/>
      <w:bookmarkStart w:id="3442" w:name="_Toc130771"/>
      <w:bookmarkStart w:id="3443" w:name="_Toc131165"/>
      <w:bookmarkStart w:id="3444" w:name="_Toc289060"/>
      <w:bookmarkStart w:id="3445" w:name="_Toc338226"/>
      <w:bookmarkStart w:id="3446" w:name="_Toc705658"/>
      <w:bookmarkStart w:id="3447" w:name="_Toc706644"/>
      <w:bookmarkStart w:id="3448" w:name="_Toc708953"/>
      <w:bookmarkStart w:id="3449" w:name="_Toc710318"/>
      <w:bookmarkStart w:id="3450" w:name="_Toc970337"/>
      <w:bookmarkStart w:id="3451" w:name="_Toc970712"/>
      <w:bookmarkStart w:id="3452" w:name="_Toc1135412"/>
      <w:bookmarkStart w:id="3453" w:name="_Toc1165726"/>
      <w:bookmarkStart w:id="3454" w:name="_Toc1207791"/>
      <w:bookmarkStart w:id="3455" w:name="_Toc1408407"/>
      <w:bookmarkStart w:id="3456" w:name="_Toc529627534"/>
      <w:bookmarkStart w:id="3457" w:name="_Toc533172170"/>
      <w:bookmarkStart w:id="3458" w:name="_Toc534451433"/>
      <w:bookmarkStart w:id="3459" w:name="_Toc534451706"/>
      <w:bookmarkStart w:id="3460" w:name="_Toc534451979"/>
      <w:bookmarkStart w:id="3461" w:name="_Toc534452819"/>
      <w:bookmarkStart w:id="3462" w:name="_Toc534629244"/>
      <w:bookmarkStart w:id="3463" w:name="_Toc534629518"/>
      <w:bookmarkStart w:id="3464" w:name="_Toc534649287"/>
      <w:bookmarkStart w:id="3465" w:name="_Toc534715346"/>
      <w:bookmarkStart w:id="3466" w:name="_Toc534734483"/>
      <w:bookmarkStart w:id="3467" w:name="_Toc534734759"/>
      <w:bookmarkStart w:id="3468" w:name="_Toc536717423"/>
      <w:bookmarkStart w:id="3469" w:name="_Toc536862601"/>
      <w:bookmarkStart w:id="3470" w:name="_Toc536863970"/>
      <w:bookmarkStart w:id="3471" w:name="_Toc536864357"/>
      <w:bookmarkStart w:id="3472" w:name="_Toc536864858"/>
      <w:bookmarkStart w:id="3473" w:name="_Toc536865173"/>
      <w:bookmarkStart w:id="3474" w:name="_Toc536865488"/>
      <w:bookmarkStart w:id="3475" w:name="_Toc536865803"/>
      <w:bookmarkStart w:id="3476" w:name="_Toc536866118"/>
      <w:bookmarkStart w:id="3477" w:name="_Toc536866433"/>
      <w:bookmarkStart w:id="3478" w:name="_Toc536866748"/>
      <w:bookmarkStart w:id="3479" w:name="_Toc536867063"/>
      <w:bookmarkStart w:id="3480" w:name="_Toc536867378"/>
      <w:bookmarkStart w:id="3481" w:name="_Toc536867661"/>
      <w:bookmarkStart w:id="3482" w:name="_Toc536867944"/>
      <w:bookmarkStart w:id="3483" w:name="_Toc536868841"/>
      <w:bookmarkStart w:id="3484" w:name="_Toc536869172"/>
      <w:bookmarkStart w:id="3485" w:name="_Toc128015"/>
      <w:bookmarkStart w:id="3486" w:name="_Toc128409"/>
      <w:bookmarkStart w:id="3487" w:name="_Toc128803"/>
      <w:bookmarkStart w:id="3488" w:name="_Toc129197"/>
      <w:bookmarkStart w:id="3489" w:name="_Toc129591"/>
      <w:bookmarkStart w:id="3490" w:name="_Toc129984"/>
      <w:bookmarkStart w:id="3491" w:name="_Toc130378"/>
      <w:bookmarkStart w:id="3492" w:name="_Toc130772"/>
      <w:bookmarkStart w:id="3493" w:name="_Toc131166"/>
      <w:bookmarkStart w:id="3494" w:name="_Toc289061"/>
      <w:bookmarkStart w:id="3495" w:name="_Toc338227"/>
      <w:bookmarkStart w:id="3496" w:name="_Toc705659"/>
      <w:bookmarkStart w:id="3497" w:name="_Toc706645"/>
      <w:bookmarkStart w:id="3498" w:name="_Toc708954"/>
      <w:bookmarkStart w:id="3499" w:name="_Toc710319"/>
      <w:bookmarkStart w:id="3500" w:name="_Toc970338"/>
      <w:bookmarkStart w:id="3501" w:name="_Toc970713"/>
      <w:bookmarkStart w:id="3502" w:name="_Toc1135413"/>
      <w:bookmarkStart w:id="3503" w:name="_Toc1165727"/>
      <w:bookmarkStart w:id="3504" w:name="_Toc1207792"/>
      <w:bookmarkStart w:id="3505" w:name="_Toc1408408"/>
      <w:bookmarkStart w:id="3506" w:name="_Toc529627535"/>
      <w:bookmarkStart w:id="3507" w:name="_Toc533172171"/>
      <w:bookmarkStart w:id="3508" w:name="_Toc534451434"/>
      <w:bookmarkStart w:id="3509" w:name="_Toc534451707"/>
      <w:bookmarkStart w:id="3510" w:name="_Toc534451980"/>
      <w:bookmarkStart w:id="3511" w:name="_Toc534452820"/>
      <w:bookmarkStart w:id="3512" w:name="_Toc534629245"/>
      <w:bookmarkStart w:id="3513" w:name="_Toc534629519"/>
      <w:bookmarkStart w:id="3514" w:name="_Toc534649288"/>
      <w:bookmarkStart w:id="3515" w:name="_Toc534715347"/>
      <w:bookmarkStart w:id="3516" w:name="_Toc534734484"/>
      <w:bookmarkStart w:id="3517" w:name="_Toc534734760"/>
      <w:bookmarkStart w:id="3518" w:name="_Toc536717424"/>
      <w:bookmarkStart w:id="3519" w:name="_Toc536862602"/>
      <w:bookmarkStart w:id="3520" w:name="_Toc536863971"/>
      <w:bookmarkStart w:id="3521" w:name="_Toc536864358"/>
      <w:bookmarkStart w:id="3522" w:name="_Toc536864859"/>
      <w:bookmarkStart w:id="3523" w:name="_Toc536865174"/>
      <w:bookmarkStart w:id="3524" w:name="_Toc536865489"/>
      <w:bookmarkStart w:id="3525" w:name="_Toc536865804"/>
      <w:bookmarkStart w:id="3526" w:name="_Toc536866119"/>
      <w:bookmarkStart w:id="3527" w:name="_Toc536866434"/>
      <w:bookmarkStart w:id="3528" w:name="_Toc536866749"/>
      <w:bookmarkStart w:id="3529" w:name="_Toc536867064"/>
      <w:bookmarkStart w:id="3530" w:name="_Toc536867379"/>
      <w:bookmarkStart w:id="3531" w:name="_Toc536867662"/>
      <w:bookmarkStart w:id="3532" w:name="_Toc536867945"/>
      <w:bookmarkStart w:id="3533" w:name="_Toc536868842"/>
      <w:bookmarkStart w:id="3534" w:name="_Toc536869173"/>
      <w:bookmarkStart w:id="3535" w:name="_Toc128016"/>
      <w:bookmarkStart w:id="3536" w:name="_Toc128410"/>
      <w:bookmarkStart w:id="3537" w:name="_Toc128804"/>
      <w:bookmarkStart w:id="3538" w:name="_Toc129198"/>
      <w:bookmarkStart w:id="3539" w:name="_Toc129592"/>
      <w:bookmarkStart w:id="3540" w:name="_Toc129985"/>
      <w:bookmarkStart w:id="3541" w:name="_Toc130379"/>
      <w:bookmarkStart w:id="3542" w:name="_Toc130773"/>
      <w:bookmarkStart w:id="3543" w:name="_Toc131167"/>
      <w:bookmarkStart w:id="3544" w:name="_Toc289062"/>
      <w:bookmarkStart w:id="3545" w:name="_Toc338228"/>
      <w:bookmarkStart w:id="3546" w:name="_Toc705660"/>
      <w:bookmarkStart w:id="3547" w:name="_Toc706646"/>
      <w:bookmarkStart w:id="3548" w:name="_Toc708955"/>
      <w:bookmarkStart w:id="3549" w:name="_Toc710320"/>
      <w:bookmarkStart w:id="3550" w:name="_Toc970339"/>
      <w:bookmarkStart w:id="3551" w:name="_Toc970714"/>
      <w:bookmarkStart w:id="3552" w:name="_Toc1135414"/>
      <w:bookmarkStart w:id="3553" w:name="_Toc1165728"/>
      <w:bookmarkStart w:id="3554" w:name="_Toc1207793"/>
      <w:bookmarkStart w:id="3555" w:name="_Toc1408409"/>
      <w:bookmarkStart w:id="3556" w:name="_Toc529627536"/>
      <w:bookmarkStart w:id="3557" w:name="_Toc533172172"/>
      <w:bookmarkStart w:id="3558" w:name="_Toc534451435"/>
      <w:bookmarkStart w:id="3559" w:name="_Toc534451708"/>
      <w:bookmarkStart w:id="3560" w:name="_Toc534451981"/>
      <w:bookmarkStart w:id="3561" w:name="_Toc534452821"/>
      <w:bookmarkStart w:id="3562" w:name="_Toc534629246"/>
      <w:bookmarkStart w:id="3563" w:name="_Toc534629520"/>
      <w:bookmarkStart w:id="3564" w:name="_Toc534649289"/>
      <w:bookmarkStart w:id="3565" w:name="_Toc534715348"/>
      <w:bookmarkStart w:id="3566" w:name="_Toc534734485"/>
      <w:bookmarkStart w:id="3567" w:name="_Toc534734761"/>
      <w:bookmarkStart w:id="3568" w:name="_Toc536717425"/>
      <w:bookmarkStart w:id="3569" w:name="_Toc536862603"/>
      <w:bookmarkStart w:id="3570" w:name="_Toc536863972"/>
      <w:bookmarkStart w:id="3571" w:name="_Toc536864359"/>
      <w:bookmarkStart w:id="3572" w:name="_Toc536864860"/>
      <w:bookmarkStart w:id="3573" w:name="_Toc536865175"/>
      <w:bookmarkStart w:id="3574" w:name="_Toc536865490"/>
      <w:bookmarkStart w:id="3575" w:name="_Toc536865805"/>
      <w:bookmarkStart w:id="3576" w:name="_Toc536866120"/>
      <w:bookmarkStart w:id="3577" w:name="_Toc536866435"/>
      <w:bookmarkStart w:id="3578" w:name="_Toc536866750"/>
      <w:bookmarkStart w:id="3579" w:name="_Toc536867065"/>
      <w:bookmarkStart w:id="3580" w:name="_Toc536867380"/>
      <w:bookmarkStart w:id="3581" w:name="_Toc536867663"/>
      <w:bookmarkStart w:id="3582" w:name="_Toc536867946"/>
      <w:bookmarkStart w:id="3583" w:name="_Toc536868843"/>
      <w:bookmarkStart w:id="3584" w:name="_Toc536869174"/>
      <w:bookmarkStart w:id="3585" w:name="_Toc128017"/>
      <w:bookmarkStart w:id="3586" w:name="_Toc128411"/>
      <w:bookmarkStart w:id="3587" w:name="_Toc128805"/>
      <w:bookmarkStart w:id="3588" w:name="_Toc129199"/>
      <w:bookmarkStart w:id="3589" w:name="_Toc129593"/>
      <w:bookmarkStart w:id="3590" w:name="_Toc129986"/>
      <w:bookmarkStart w:id="3591" w:name="_Toc130380"/>
      <w:bookmarkStart w:id="3592" w:name="_Toc130774"/>
      <w:bookmarkStart w:id="3593" w:name="_Toc131168"/>
      <w:bookmarkStart w:id="3594" w:name="_Toc289063"/>
      <w:bookmarkStart w:id="3595" w:name="_Toc338229"/>
      <w:bookmarkStart w:id="3596" w:name="_Toc705661"/>
      <w:bookmarkStart w:id="3597" w:name="_Toc706647"/>
      <w:bookmarkStart w:id="3598" w:name="_Toc708956"/>
      <w:bookmarkStart w:id="3599" w:name="_Toc710321"/>
      <w:bookmarkStart w:id="3600" w:name="_Toc970340"/>
      <w:bookmarkStart w:id="3601" w:name="_Toc970715"/>
      <w:bookmarkStart w:id="3602" w:name="_Toc1135415"/>
      <w:bookmarkStart w:id="3603" w:name="_Toc1165729"/>
      <w:bookmarkStart w:id="3604" w:name="_Toc1207794"/>
      <w:bookmarkStart w:id="3605" w:name="_Toc1408410"/>
      <w:bookmarkStart w:id="3606" w:name="_Toc529627537"/>
      <w:bookmarkStart w:id="3607" w:name="_Toc533172173"/>
      <w:bookmarkStart w:id="3608" w:name="_Toc534451436"/>
      <w:bookmarkStart w:id="3609" w:name="_Toc534451709"/>
      <w:bookmarkStart w:id="3610" w:name="_Toc534451982"/>
      <w:bookmarkStart w:id="3611" w:name="_Toc534452822"/>
      <w:bookmarkStart w:id="3612" w:name="_Toc534629247"/>
      <w:bookmarkStart w:id="3613" w:name="_Toc534629521"/>
      <w:bookmarkStart w:id="3614" w:name="_Toc534649290"/>
      <w:bookmarkStart w:id="3615" w:name="_Toc534715349"/>
      <w:bookmarkStart w:id="3616" w:name="_Toc534734486"/>
      <w:bookmarkStart w:id="3617" w:name="_Toc534734762"/>
      <w:bookmarkStart w:id="3618" w:name="_Toc536717426"/>
      <w:bookmarkStart w:id="3619" w:name="_Toc536862604"/>
      <w:bookmarkStart w:id="3620" w:name="_Toc536863973"/>
      <w:bookmarkStart w:id="3621" w:name="_Toc536864360"/>
      <w:bookmarkStart w:id="3622" w:name="_Toc536864861"/>
      <w:bookmarkStart w:id="3623" w:name="_Toc536865176"/>
      <w:bookmarkStart w:id="3624" w:name="_Toc536865491"/>
      <w:bookmarkStart w:id="3625" w:name="_Toc536865806"/>
      <w:bookmarkStart w:id="3626" w:name="_Toc536866121"/>
      <w:bookmarkStart w:id="3627" w:name="_Toc536866436"/>
      <w:bookmarkStart w:id="3628" w:name="_Toc536866751"/>
      <w:bookmarkStart w:id="3629" w:name="_Toc536867066"/>
      <w:bookmarkStart w:id="3630" w:name="_Toc536867381"/>
      <w:bookmarkStart w:id="3631" w:name="_Toc536867664"/>
      <w:bookmarkStart w:id="3632" w:name="_Toc536867947"/>
      <w:bookmarkStart w:id="3633" w:name="_Toc536868844"/>
      <w:bookmarkStart w:id="3634" w:name="_Toc536869175"/>
      <w:bookmarkStart w:id="3635" w:name="_Toc128018"/>
      <w:bookmarkStart w:id="3636" w:name="_Toc128412"/>
      <w:bookmarkStart w:id="3637" w:name="_Toc128806"/>
      <w:bookmarkStart w:id="3638" w:name="_Toc129200"/>
      <w:bookmarkStart w:id="3639" w:name="_Toc129594"/>
      <w:bookmarkStart w:id="3640" w:name="_Toc129987"/>
      <w:bookmarkStart w:id="3641" w:name="_Toc130381"/>
      <w:bookmarkStart w:id="3642" w:name="_Toc130775"/>
      <w:bookmarkStart w:id="3643" w:name="_Toc131169"/>
      <w:bookmarkStart w:id="3644" w:name="_Toc289064"/>
      <w:bookmarkStart w:id="3645" w:name="_Toc338230"/>
      <w:bookmarkStart w:id="3646" w:name="_Toc705662"/>
      <w:bookmarkStart w:id="3647" w:name="_Toc706648"/>
      <w:bookmarkStart w:id="3648" w:name="_Toc708957"/>
      <w:bookmarkStart w:id="3649" w:name="_Toc710322"/>
      <w:bookmarkStart w:id="3650" w:name="_Toc970341"/>
      <w:bookmarkStart w:id="3651" w:name="_Toc970716"/>
      <w:bookmarkStart w:id="3652" w:name="_Toc1135416"/>
      <w:bookmarkStart w:id="3653" w:name="_Toc1165730"/>
      <w:bookmarkStart w:id="3654" w:name="_Toc1207795"/>
      <w:bookmarkStart w:id="3655" w:name="_Toc1408411"/>
      <w:bookmarkStart w:id="3656" w:name="_Toc529627538"/>
      <w:bookmarkStart w:id="3657" w:name="_Toc533172174"/>
      <w:bookmarkStart w:id="3658" w:name="_Toc534451437"/>
      <w:bookmarkStart w:id="3659" w:name="_Toc534451710"/>
      <w:bookmarkStart w:id="3660" w:name="_Toc534451983"/>
      <w:bookmarkStart w:id="3661" w:name="_Toc534452823"/>
      <w:bookmarkStart w:id="3662" w:name="_Toc534629248"/>
      <w:bookmarkStart w:id="3663" w:name="_Toc534629522"/>
      <w:bookmarkStart w:id="3664" w:name="_Toc534649291"/>
      <w:bookmarkStart w:id="3665" w:name="_Toc534715350"/>
      <w:bookmarkStart w:id="3666" w:name="_Toc534734487"/>
      <w:bookmarkStart w:id="3667" w:name="_Toc534734763"/>
      <w:bookmarkStart w:id="3668" w:name="_Toc536717427"/>
      <w:bookmarkStart w:id="3669" w:name="_Toc536862605"/>
      <w:bookmarkStart w:id="3670" w:name="_Toc536863974"/>
      <w:bookmarkStart w:id="3671" w:name="_Toc536864361"/>
      <w:bookmarkStart w:id="3672" w:name="_Toc536864862"/>
      <w:bookmarkStart w:id="3673" w:name="_Toc536865177"/>
      <w:bookmarkStart w:id="3674" w:name="_Toc536865492"/>
      <w:bookmarkStart w:id="3675" w:name="_Toc536865807"/>
      <w:bookmarkStart w:id="3676" w:name="_Toc536866122"/>
      <w:bookmarkStart w:id="3677" w:name="_Toc536866437"/>
      <w:bookmarkStart w:id="3678" w:name="_Toc536866752"/>
      <w:bookmarkStart w:id="3679" w:name="_Toc536867067"/>
      <w:bookmarkStart w:id="3680" w:name="_Toc536867382"/>
      <w:bookmarkStart w:id="3681" w:name="_Toc536867665"/>
      <w:bookmarkStart w:id="3682" w:name="_Toc536867948"/>
      <w:bookmarkStart w:id="3683" w:name="_Toc536868845"/>
      <w:bookmarkStart w:id="3684" w:name="_Toc536869176"/>
      <w:bookmarkStart w:id="3685" w:name="_Toc128019"/>
      <w:bookmarkStart w:id="3686" w:name="_Toc128413"/>
      <w:bookmarkStart w:id="3687" w:name="_Toc128807"/>
      <w:bookmarkStart w:id="3688" w:name="_Toc129201"/>
      <w:bookmarkStart w:id="3689" w:name="_Toc129595"/>
      <w:bookmarkStart w:id="3690" w:name="_Toc129988"/>
      <w:bookmarkStart w:id="3691" w:name="_Toc130382"/>
      <w:bookmarkStart w:id="3692" w:name="_Toc130776"/>
      <w:bookmarkStart w:id="3693" w:name="_Toc131170"/>
      <w:bookmarkStart w:id="3694" w:name="_Toc289065"/>
      <w:bookmarkStart w:id="3695" w:name="_Toc338231"/>
      <w:bookmarkStart w:id="3696" w:name="_Toc705663"/>
      <w:bookmarkStart w:id="3697" w:name="_Toc706649"/>
      <w:bookmarkStart w:id="3698" w:name="_Toc708958"/>
      <w:bookmarkStart w:id="3699" w:name="_Toc710323"/>
      <w:bookmarkStart w:id="3700" w:name="_Toc970342"/>
      <w:bookmarkStart w:id="3701" w:name="_Toc970717"/>
      <w:bookmarkStart w:id="3702" w:name="_Toc1135417"/>
      <w:bookmarkStart w:id="3703" w:name="_Toc1165731"/>
      <w:bookmarkStart w:id="3704" w:name="_Toc1207796"/>
      <w:bookmarkStart w:id="3705" w:name="_Toc1408412"/>
      <w:bookmarkStart w:id="3706" w:name="_Toc529627539"/>
      <w:bookmarkStart w:id="3707" w:name="_Toc533172175"/>
      <w:bookmarkStart w:id="3708" w:name="_Toc534451438"/>
      <w:bookmarkStart w:id="3709" w:name="_Toc534451711"/>
      <w:bookmarkStart w:id="3710" w:name="_Toc534451984"/>
      <w:bookmarkStart w:id="3711" w:name="_Toc534452824"/>
      <w:bookmarkStart w:id="3712" w:name="_Toc534629249"/>
      <w:bookmarkStart w:id="3713" w:name="_Toc534629523"/>
      <w:bookmarkStart w:id="3714" w:name="_Toc534649292"/>
      <w:bookmarkStart w:id="3715" w:name="_Toc534715351"/>
      <w:bookmarkStart w:id="3716" w:name="_Toc534734488"/>
      <w:bookmarkStart w:id="3717" w:name="_Toc534734764"/>
      <w:bookmarkStart w:id="3718" w:name="_Toc536717428"/>
      <w:bookmarkStart w:id="3719" w:name="_Toc536862606"/>
      <w:bookmarkStart w:id="3720" w:name="_Toc536863975"/>
      <w:bookmarkStart w:id="3721" w:name="_Toc536864362"/>
      <w:bookmarkStart w:id="3722" w:name="_Toc536864863"/>
      <w:bookmarkStart w:id="3723" w:name="_Toc536865178"/>
      <w:bookmarkStart w:id="3724" w:name="_Toc536865493"/>
      <w:bookmarkStart w:id="3725" w:name="_Toc536865808"/>
      <w:bookmarkStart w:id="3726" w:name="_Toc536866123"/>
      <w:bookmarkStart w:id="3727" w:name="_Toc536866438"/>
      <w:bookmarkStart w:id="3728" w:name="_Toc536866753"/>
      <w:bookmarkStart w:id="3729" w:name="_Toc536867068"/>
      <w:bookmarkStart w:id="3730" w:name="_Toc536867383"/>
      <w:bookmarkStart w:id="3731" w:name="_Toc536867666"/>
      <w:bookmarkStart w:id="3732" w:name="_Toc536867949"/>
      <w:bookmarkStart w:id="3733" w:name="_Toc536868846"/>
      <w:bookmarkStart w:id="3734" w:name="_Toc536869177"/>
      <w:bookmarkStart w:id="3735" w:name="_Toc128020"/>
      <w:bookmarkStart w:id="3736" w:name="_Toc128414"/>
      <w:bookmarkStart w:id="3737" w:name="_Toc128808"/>
      <w:bookmarkStart w:id="3738" w:name="_Toc129202"/>
      <w:bookmarkStart w:id="3739" w:name="_Toc129596"/>
      <w:bookmarkStart w:id="3740" w:name="_Toc129989"/>
      <w:bookmarkStart w:id="3741" w:name="_Toc130383"/>
      <w:bookmarkStart w:id="3742" w:name="_Toc130777"/>
      <w:bookmarkStart w:id="3743" w:name="_Toc131171"/>
      <w:bookmarkStart w:id="3744" w:name="_Toc289066"/>
      <w:bookmarkStart w:id="3745" w:name="_Toc338232"/>
      <w:bookmarkStart w:id="3746" w:name="_Toc705664"/>
      <w:bookmarkStart w:id="3747" w:name="_Toc706650"/>
      <w:bookmarkStart w:id="3748" w:name="_Toc708959"/>
      <w:bookmarkStart w:id="3749" w:name="_Toc710324"/>
      <w:bookmarkStart w:id="3750" w:name="_Toc970343"/>
      <w:bookmarkStart w:id="3751" w:name="_Toc970718"/>
      <w:bookmarkStart w:id="3752" w:name="_Toc1135418"/>
      <w:bookmarkStart w:id="3753" w:name="_Toc1165732"/>
      <w:bookmarkStart w:id="3754" w:name="_Toc1207797"/>
      <w:bookmarkStart w:id="3755" w:name="_Toc1408413"/>
      <w:bookmarkStart w:id="3756" w:name="_Toc529627540"/>
      <w:bookmarkStart w:id="3757" w:name="_Toc533172176"/>
      <w:bookmarkStart w:id="3758" w:name="_Toc534451439"/>
      <w:bookmarkStart w:id="3759" w:name="_Toc534451712"/>
      <w:bookmarkStart w:id="3760" w:name="_Toc534451985"/>
      <w:bookmarkStart w:id="3761" w:name="_Toc534452825"/>
      <w:bookmarkStart w:id="3762" w:name="_Toc534629250"/>
      <w:bookmarkStart w:id="3763" w:name="_Toc534629524"/>
      <w:bookmarkStart w:id="3764" w:name="_Toc534649293"/>
      <w:bookmarkStart w:id="3765" w:name="_Toc534715352"/>
      <w:bookmarkStart w:id="3766" w:name="_Toc534734489"/>
      <w:bookmarkStart w:id="3767" w:name="_Toc534734765"/>
      <w:bookmarkStart w:id="3768" w:name="_Toc536717429"/>
      <w:bookmarkStart w:id="3769" w:name="_Toc536862607"/>
      <w:bookmarkStart w:id="3770" w:name="_Toc536863976"/>
      <w:bookmarkStart w:id="3771" w:name="_Toc536864363"/>
      <w:bookmarkStart w:id="3772" w:name="_Toc536864864"/>
      <w:bookmarkStart w:id="3773" w:name="_Toc536865179"/>
      <w:bookmarkStart w:id="3774" w:name="_Toc536865494"/>
      <w:bookmarkStart w:id="3775" w:name="_Toc536865809"/>
      <w:bookmarkStart w:id="3776" w:name="_Toc536866124"/>
      <w:bookmarkStart w:id="3777" w:name="_Toc536866439"/>
      <w:bookmarkStart w:id="3778" w:name="_Toc536866754"/>
      <w:bookmarkStart w:id="3779" w:name="_Toc536867069"/>
      <w:bookmarkStart w:id="3780" w:name="_Toc536867384"/>
      <w:bookmarkStart w:id="3781" w:name="_Toc536867667"/>
      <w:bookmarkStart w:id="3782" w:name="_Toc536867950"/>
      <w:bookmarkStart w:id="3783" w:name="_Toc536868847"/>
      <w:bookmarkStart w:id="3784" w:name="_Toc536869178"/>
      <w:bookmarkStart w:id="3785" w:name="_Toc128021"/>
      <w:bookmarkStart w:id="3786" w:name="_Toc128415"/>
      <w:bookmarkStart w:id="3787" w:name="_Toc128809"/>
      <w:bookmarkStart w:id="3788" w:name="_Toc129203"/>
      <w:bookmarkStart w:id="3789" w:name="_Toc129597"/>
      <w:bookmarkStart w:id="3790" w:name="_Toc129990"/>
      <w:bookmarkStart w:id="3791" w:name="_Toc130384"/>
      <w:bookmarkStart w:id="3792" w:name="_Toc130778"/>
      <w:bookmarkStart w:id="3793" w:name="_Toc131172"/>
      <w:bookmarkStart w:id="3794" w:name="_Toc289067"/>
      <w:bookmarkStart w:id="3795" w:name="_Toc338233"/>
      <w:bookmarkStart w:id="3796" w:name="_Toc705665"/>
      <w:bookmarkStart w:id="3797" w:name="_Toc706651"/>
      <w:bookmarkStart w:id="3798" w:name="_Toc708960"/>
      <w:bookmarkStart w:id="3799" w:name="_Toc710325"/>
      <w:bookmarkStart w:id="3800" w:name="_Toc970344"/>
      <w:bookmarkStart w:id="3801" w:name="_Toc970719"/>
      <w:bookmarkStart w:id="3802" w:name="_Toc1135419"/>
      <w:bookmarkStart w:id="3803" w:name="_Toc1165733"/>
      <w:bookmarkStart w:id="3804" w:name="_Toc1207798"/>
      <w:bookmarkStart w:id="3805" w:name="_Toc1408414"/>
      <w:bookmarkStart w:id="3806" w:name="_Toc529627541"/>
      <w:bookmarkStart w:id="3807" w:name="_Toc533172177"/>
      <w:bookmarkStart w:id="3808" w:name="_Toc534451440"/>
      <w:bookmarkStart w:id="3809" w:name="_Toc534451713"/>
      <w:bookmarkStart w:id="3810" w:name="_Toc534451986"/>
      <w:bookmarkStart w:id="3811" w:name="_Toc534452826"/>
      <w:bookmarkStart w:id="3812" w:name="_Toc534629251"/>
      <w:bookmarkStart w:id="3813" w:name="_Toc534629525"/>
      <w:bookmarkStart w:id="3814" w:name="_Toc534649294"/>
      <w:bookmarkStart w:id="3815" w:name="_Toc534715353"/>
      <w:bookmarkStart w:id="3816" w:name="_Toc534734490"/>
      <w:bookmarkStart w:id="3817" w:name="_Toc534734766"/>
      <w:bookmarkStart w:id="3818" w:name="_Toc536717430"/>
      <w:bookmarkStart w:id="3819" w:name="_Toc536862608"/>
      <w:bookmarkStart w:id="3820" w:name="_Toc536863977"/>
      <w:bookmarkStart w:id="3821" w:name="_Toc536864364"/>
      <w:bookmarkStart w:id="3822" w:name="_Toc536864865"/>
      <w:bookmarkStart w:id="3823" w:name="_Toc536865180"/>
      <w:bookmarkStart w:id="3824" w:name="_Toc536865495"/>
      <w:bookmarkStart w:id="3825" w:name="_Toc536865810"/>
      <w:bookmarkStart w:id="3826" w:name="_Toc536866125"/>
      <w:bookmarkStart w:id="3827" w:name="_Toc536866440"/>
      <w:bookmarkStart w:id="3828" w:name="_Toc536866755"/>
      <w:bookmarkStart w:id="3829" w:name="_Toc536867070"/>
      <w:bookmarkStart w:id="3830" w:name="_Toc536867385"/>
      <w:bookmarkStart w:id="3831" w:name="_Toc536867668"/>
      <w:bookmarkStart w:id="3832" w:name="_Toc536867951"/>
      <w:bookmarkStart w:id="3833" w:name="_Toc536868848"/>
      <w:bookmarkStart w:id="3834" w:name="_Toc536869179"/>
      <w:bookmarkStart w:id="3835" w:name="_Toc128022"/>
      <w:bookmarkStart w:id="3836" w:name="_Toc128416"/>
      <w:bookmarkStart w:id="3837" w:name="_Toc128810"/>
      <w:bookmarkStart w:id="3838" w:name="_Toc129204"/>
      <w:bookmarkStart w:id="3839" w:name="_Toc129598"/>
      <w:bookmarkStart w:id="3840" w:name="_Toc129991"/>
      <w:bookmarkStart w:id="3841" w:name="_Toc130385"/>
      <w:bookmarkStart w:id="3842" w:name="_Toc130779"/>
      <w:bookmarkStart w:id="3843" w:name="_Toc131173"/>
      <w:bookmarkStart w:id="3844" w:name="_Toc289068"/>
      <w:bookmarkStart w:id="3845" w:name="_Toc338234"/>
      <w:bookmarkStart w:id="3846" w:name="_Toc705666"/>
      <w:bookmarkStart w:id="3847" w:name="_Toc706652"/>
      <w:bookmarkStart w:id="3848" w:name="_Toc708961"/>
      <w:bookmarkStart w:id="3849" w:name="_Toc710326"/>
      <w:bookmarkStart w:id="3850" w:name="_Toc970345"/>
      <w:bookmarkStart w:id="3851" w:name="_Toc970720"/>
      <w:bookmarkStart w:id="3852" w:name="_Toc1135420"/>
      <w:bookmarkStart w:id="3853" w:name="_Toc1165734"/>
      <w:bookmarkStart w:id="3854" w:name="_Toc1207799"/>
      <w:bookmarkStart w:id="3855" w:name="_Toc1408415"/>
      <w:bookmarkStart w:id="3856" w:name="_Toc529627542"/>
      <w:bookmarkStart w:id="3857" w:name="_Toc533172178"/>
      <w:bookmarkStart w:id="3858" w:name="_Toc534451441"/>
      <w:bookmarkStart w:id="3859" w:name="_Toc534451714"/>
      <w:bookmarkStart w:id="3860" w:name="_Toc534451987"/>
      <w:bookmarkStart w:id="3861" w:name="_Toc534452827"/>
      <w:bookmarkStart w:id="3862" w:name="_Toc534629252"/>
      <w:bookmarkStart w:id="3863" w:name="_Toc534629526"/>
      <w:bookmarkStart w:id="3864" w:name="_Toc534649295"/>
      <w:bookmarkStart w:id="3865" w:name="_Toc534715354"/>
      <w:bookmarkStart w:id="3866" w:name="_Toc534734491"/>
      <w:bookmarkStart w:id="3867" w:name="_Toc534734767"/>
      <w:bookmarkStart w:id="3868" w:name="_Toc536717431"/>
      <w:bookmarkStart w:id="3869" w:name="_Toc536862609"/>
      <w:bookmarkStart w:id="3870" w:name="_Toc536863978"/>
      <w:bookmarkStart w:id="3871" w:name="_Toc536864365"/>
      <w:bookmarkStart w:id="3872" w:name="_Toc536864866"/>
      <w:bookmarkStart w:id="3873" w:name="_Toc536865181"/>
      <w:bookmarkStart w:id="3874" w:name="_Toc536865496"/>
      <w:bookmarkStart w:id="3875" w:name="_Toc536865811"/>
      <w:bookmarkStart w:id="3876" w:name="_Toc536866126"/>
      <w:bookmarkStart w:id="3877" w:name="_Toc536866441"/>
      <w:bookmarkStart w:id="3878" w:name="_Toc536866756"/>
      <w:bookmarkStart w:id="3879" w:name="_Toc536867071"/>
      <w:bookmarkStart w:id="3880" w:name="_Toc536867386"/>
      <w:bookmarkStart w:id="3881" w:name="_Toc536867669"/>
      <w:bookmarkStart w:id="3882" w:name="_Toc536867952"/>
      <w:bookmarkStart w:id="3883" w:name="_Toc536868849"/>
      <w:bookmarkStart w:id="3884" w:name="_Toc536869180"/>
      <w:bookmarkStart w:id="3885" w:name="_Toc128023"/>
      <w:bookmarkStart w:id="3886" w:name="_Toc128417"/>
      <w:bookmarkStart w:id="3887" w:name="_Toc128811"/>
      <w:bookmarkStart w:id="3888" w:name="_Toc129205"/>
      <w:bookmarkStart w:id="3889" w:name="_Toc129599"/>
      <w:bookmarkStart w:id="3890" w:name="_Toc129992"/>
      <w:bookmarkStart w:id="3891" w:name="_Toc130386"/>
      <w:bookmarkStart w:id="3892" w:name="_Toc130780"/>
      <w:bookmarkStart w:id="3893" w:name="_Toc131174"/>
      <w:bookmarkStart w:id="3894" w:name="_Toc289069"/>
      <w:bookmarkStart w:id="3895" w:name="_Toc338235"/>
      <w:bookmarkStart w:id="3896" w:name="_Toc705667"/>
      <w:bookmarkStart w:id="3897" w:name="_Toc706653"/>
      <w:bookmarkStart w:id="3898" w:name="_Toc708962"/>
      <w:bookmarkStart w:id="3899" w:name="_Toc710327"/>
      <w:bookmarkStart w:id="3900" w:name="_Toc970346"/>
      <w:bookmarkStart w:id="3901" w:name="_Toc970721"/>
      <w:bookmarkStart w:id="3902" w:name="_Toc1135421"/>
      <w:bookmarkStart w:id="3903" w:name="_Toc1165735"/>
      <w:bookmarkStart w:id="3904" w:name="_Toc1207800"/>
      <w:bookmarkStart w:id="3905" w:name="_Toc1408416"/>
      <w:bookmarkStart w:id="3906" w:name="_Toc529627543"/>
      <w:bookmarkStart w:id="3907" w:name="_Toc533172179"/>
      <w:bookmarkStart w:id="3908" w:name="_Toc534451442"/>
      <w:bookmarkStart w:id="3909" w:name="_Toc534451715"/>
      <w:bookmarkStart w:id="3910" w:name="_Toc534451988"/>
      <w:bookmarkStart w:id="3911" w:name="_Toc534452828"/>
      <w:bookmarkStart w:id="3912" w:name="_Toc534629253"/>
      <w:bookmarkStart w:id="3913" w:name="_Toc534629527"/>
      <w:bookmarkStart w:id="3914" w:name="_Toc534649296"/>
      <w:bookmarkStart w:id="3915" w:name="_Toc534715355"/>
      <w:bookmarkStart w:id="3916" w:name="_Toc534734492"/>
      <w:bookmarkStart w:id="3917" w:name="_Toc534734768"/>
      <w:bookmarkStart w:id="3918" w:name="_Toc536717432"/>
      <w:bookmarkStart w:id="3919" w:name="_Toc536862610"/>
      <w:bookmarkStart w:id="3920" w:name="_Toc536863979"/>
      <w:bookmarkStart w:id="3921" w:name="_Toc536864366"/>
      <w:bookmarkStart w:id="3922" w:name="_Toc536864867"/>
      <w:bookmarkStart w:id="3923" w:name="_Toc536865182"/>
      <w:bookmarkStart w:id="3924" w:name="_Toc536865497"/>
      <w:bookmarkStart w:id="3925" w:name="_Toc536865812"/>
      <w:bookmarkStart w:id="3926" w:name="_Toc536866127"/>
      <w:bookmarkStart w:id="3927" w:name="_Toc536866442"/>
      <w:bookmarkStart w:id="3928" w:name="_Toc536866757"/>
      <w:bookmarkStart w:id="3929" w:name="_Toc536867072"/>
      <w:bookmarkStart w:id="3930" w:name="_Toc536867387"/>
      <w:bookmarkStart w:id="3931" w:name="_Toc536867670"/>
      <w:bookmarkStart w:id="3932" w:name="_Toc536867953"/>
      <w:bookmarkStart w:id="3933" w:name="_Toc536868850"/>
      <w:bookmarkStart w:id="3934" w:name="_Toc536869181"/>
      <w:bookmarkStart w:id="3935" w:name="_Toc128024"/>
      <w:bookmarkStart w:id="3936" w:name="_Toc128418"/>
      <w:bookmarkStart w:id="3937" w:name="_Toc128812"/>
      <w:bookmarkStart w:id="3938" w:name="_Toc129206"/>
      <w:bookmarkStart w:id="3939" w:name="_Toc129600"/>
      <w:bookmarkStart w:id="3940" w:name="_Toc129993"/>
      <w:bookmarkStart w:id="3941" w:name="_Toc130387"/>
      <w:bookmarkStart w:id="3942" w:name="_Toc130781"/>
      <w:bookmarkStart w:id="3943" w:name="_Toc131175"/>
      <w:bookmarkStart w:id="3944" w:name="_Toc289070"/>
      <w:bookmarkStart w:id="3945" w:name="_Toc338236"/>
      <w:bookmarkStart w:id="3946" w:name="_Toc705668"/>
      <w:bookmarkStart w:id="3947" w:name="_Toc706654"/>
      <w:bookmarkStart w:id="3948" w:name="_Toc708963"/>
      <w:bookmarkStart w:id="3949" w:name="_Toc710328"/>
      <w:bookmarkStart w:id="3950" w:name="_Toc970347"/>
      <w:bookmarkStart w:id="3951" w:name="_Toc970722"/>
      <w:bookmarkStart w:id="3952" w:name="_Toc1135422"/>
      <w:bookmarkStart w:id="3953" w:name="_Toc1165736"/>
      <w:bookmarkStart w:id="3954" w:name="_Toc1207801"/>
      <w:bookmarkStart w:id="3955" w:name="_Toc1408417"/>
      <w:bookmarkStart w:id="3956" w:name="_Toc529627544"/>
      <w:bookmarkStart w:id="3957" w:name="_Toc533172180"/>
      <w:bookmarkStart w:id="3958" w:name="_Toc534451443"/>
      <w:bookmarkStart w:id="3959" w:name="_Toc534451716"/>
      <w:bookmarkStart w:id="3960" w:name="_Toc534451989"/>
      <w:bookmarkStart w:id="3961" w:name="_Toc534452829"/>
      <w:bookmarkStart w:id="3962" w:name="_Toc534629254"/>
      <w:bookmarkStart w:id="3963" w:name="_Toc534629528"/>
      <w:bookmarkStart w:id="3964" w:name="_Toc534649297"/>
      <w:bookmarkStart w:id="3965" w:name="_Toc534715356"/>
      <w:bookmarkStart w:id="3966" w:name="_Toc534734493"/>
      <w:bookmarkStart w:id="3967" w:name="_Toc534734769"/>
      <w:bookmarkStart w:id="3968" w:name="_Toc536717433"/>
      <w:bookmarkStart w:id="3969" w:name="_Toc536862611"/>
      <w:bookmarkStart w:id="3970" w:name="_Toc536863980"/>
      <w:bookmarkStart w:id="3971" w:name="_Toc536864367"/>
      <w:bookmarkStart w:id="3972" w:name="_Toc536864868"/>
      <w:bookmarkStart w:id="3973" w:name="_Toc536865183"/>
      <w:bookmarkStart w:id="3974" w:name="_Toc536865498"/>
      <w:bookmarkStart w:id="3975" w:name="_Toc536865813"/>
      <w:bookmarkStart w:id="3976" w:name="_Toc536866128"/>
      <w:bookmarkStart w:id="3977" w:name="_Toc536866443"/>
      <w:bookmarkStart w:id="3978" w:name="_Toc536866758"/>
      <w:bookmarkStart w:id="3979" w:name="_Toc536867073"/>
      <w:bookmarkStart w:id="3980" w:name="_Toc536867388"/>
      <w:bookmarkStart w:id="3981" w:name="_Toc536867671"/>
      <w:bookmarkStart w:id="3982" w:name="_Toc536867954"/>
      <w:bookmarkStart w:id="3983" w:name="_Toc536868851"/>
      <w:bookmarkStart w:id="3984" w:name="_Toc536869182"/>
      <w:bookmarkStart w:id="3985" w:name="_Toc128025"/>
      <w:bookmarkStart w:id="3986" w:name="_Toc128419"/>
      <w:bookmarkStart w:id="3987" w:name="_Toc128813"/>
      <w:bookmarkStart w:id="3988" w:name="_Toc129207"/>
      <w:bookmarkStart w:id="3989" w:name="_Toc129601"/>
      <w:bookmarkStart w:id="3990" w:name="_Toc129994"/>
      <w:bookmarkStart w:id="3991" w:name="_Toc130388"/>
      <w:bookmarkStart w:id="3992" w:name="_Toc130782"/>
      <w:bookmarkStart w:id="3993" w:name="_Toc131176"/>
      <w:bookmarkStart w:id="3994" w:name="_Toc289071"/>
      <w:bookmarkStart w:id="3995" w:name="_Toc338237"/>
      <w:bookmarkStart w:id="3996" w:name="_Toc705669"/>
      <w:bookmarkStart w:id="3997" w:name="_Toc706655"/>
      <w:bookmarkStart w:id="3998" w:name="_Toc708964"/>
      <w:bookmarkStart w:id="3999" w:name="_Toc710329"/>
      <w:bookmarkStart w:id="4000" w:name="_Toc970348"/>
      <w:bookmarkStart w:id="4001" w:name="_Toc970723"/>
      <w:bookmarkStart w:id="4002" w:name="_Toc1135423"/>
      <w:bookmarkStart w:id="4003" w:name="_Toc1165737"/>
      <w:bookmarkStart w:id="4004" w:name="_Toc1207802"/>
      <w:bookmarkStart w:id="4005" w:name="_Toc1408418"/>
      <w:bookmarkStart w:id="4006" w:name="_Toc529627548"/>
      <w:bookmarkStart w:id="4007" w:name="_Toc533172184"/>
      <w:bookmarkStart w:id="4008" w:name="_Toc534451447"/>
      <w:bookmarkStart w:id="4009" w:name="_Toc534451720"/>
      <w:bookmarkStart w:id="4010" w:name="_Toc534451993"/>
      <w:bookmarkStart w:id="4011" w:name="_Toc534452833"/>
      <w:bookmarkStart w:id="4012" w:name="_Toc534629258"/>
      <w:bookmarkStart w:id="4013" w:name="_Toc534629532"/>
      <w:bookmarkStart w:id="4014" w:name="_Toc534649301"/>
      <w:bookmarkStart w:id="4015" w:name="_Toc534715360"/>
      <w:bookmarkStart w:id="4016" w:name="_Toc534734497"/>
      <w:bookmarkStart w:id="4017" w:name="_Toc534734773"/>
      <w:bookmarkStart w:id="4018" w:name="_Toc536717437"/>
      <w:bookmarkStart w:id="4019" w:name="_Toc536862615"/>
      <w:bookmarkStart w:id="4020" w:name="_Toc536863984"/>
      <w:bookmarkStart w:id="4021" w:name="_Toc536864371"/>
      <w:bookmarkStart w:id="4022" w:name="_Toc536864872"/>
      <w:bookmarkStart w:id="4023" w:name="_Toc536865187"/>
      <w:bookmarkStart w:id="4024" w:name="_Toc536865502"/>
      <w:bookmarkStart w:id="4025" w:name="_Toc536865817"/>
      <w:bookmarkStart w:id="4026" w:name="_Toc536866132"/>
      <w:bookmarkStart w:id="4027" w:name="_Toc536866447"/>
      <w:bookmarkStart w:id="4028" w:name="_Toc536866762"/>
      <w:bookmarkStart w:id="4029" w:name="_Toc536867077"/>
      <w:bookmarkStart w:id="4030" w:name="_Toc536867392"/>
      <w:bookmarkStart w:id="4031" w:name="_Toc536867675"/>
      <w:bookmarkStart w:id="4032" w:name="_Toc536867958"/>
      <w:bookmarkStart w:id="4033" w:name="_Toc536868855"/>
      <w:bookmarkStart w:id="4034" w:name="_Toc536869186"/>
      <w:bookmarkStart w:id="4035" w:name="_Toc128029"/>
      <w:bookmarkStart w:id="4036" w:name="_Toc128423"/>
      <w:bookmarkStart w:id="4037" w:name="_Toc128817"/>
      <w:bookmarkStart w:id="4038" w:name="_Toc129211"/>
      <w:bookmarkStart w:id="4039" w:name="_Toc129605"/>
      <w:bookmarkStart w:id="4040" w:name="_Toc129998"/>
      <w:bookmarkStart w:id="4041" w:name="_Toc130392"/>
      <w:bookmarkStart w:id="4042" w:name="_Toc130786"/>
      <w:bookmarkStart w:id="4043" w:name="_Toc131180"/>
      <w:bookmarkStart w:id="4044" w:name="_Toc289075"/>
      <w:bookmarkStart w:id="4045" w:name="_Toc338241"/>
      <w:bookmarkStart w:id="4046" w:name="_Toc705673"/>
      <w:bookmarkStart w:id="4047" w:name="_Toc706659"/>
      <w:bookmarkStart w:id="4048" w:name="_Toc708968"/>
      <w:bookmarkStart w:id="4049" w:name="_Toc710333"/>
      <w:bookmarkStart w:id="4050" w:name="_Toc970352"/>
      <w:bookmarkStart w:id="4051" w:name="_Toc970727"/>
      <w:bookmarkStart w:id="4052" w:name="_Toc1135427"/>
      <w:bookmarkStart w:id="4053" w:name="_Toc1165741"/>
      <w:bookmarkStart w:id="4054" w:name="_Toc1207806"/>
      <w:bookmarkStart w:id="4055" w:name="_Toc1408422"/>
      <w:bookmarkStart w:id="4056" w:name="_Toc529627552"/>
      <w:bookmarkStart w:id="4057" w:name="_Toc533172188"/>
      <w:bookmarkStart w:id="4058" w:name="_Toc534451451"/>
      <w:bookmarkStart w:id="4059" w:name="_Toc534451724"/>
      <w:bookmarkStart w:id="4060" w:name="_Toc534451997"/>
      <w:bookmarkStart w:id="4061" w:name="_Toc534452837"/>
      <w:bookmarkStart w:id="4062" w:name="_Toc534629262"/>
      <w:bookmarkStart w:id="4063" w:name="_Toc534629536"/>
      <w:bookmarkStart w:id="4064" w:name="_Toc534649305"/>
      <w:bookmarkStart w:id="4065" w:name="_Toc534715364"/>
      <w:bookmarkStart w:id="4066" w:name="_Toc534734501"/>
      <w:bookmarkStart w:id="4067" w:name="_Toc534734777"/>
      <w:bookmarkStart w:id="4068" w:name="_Toc536717441"/>
      <w:bookmarkStart w:id="4069" w:name="_Toc536862619"/>
      <w:bookmarkStart w:id="4070" w:name="_Toc536863988"/>
      <w:bookmarkStart w:id="4071" w:name="_Toc536864375"/>
      <w:bookmarkStart w:id="4072" w:name="_Toc536864876"/>
      <w:bookmarkStart w:id="4073" w:name="_Toc536865191"/>
      <w:bookmarkStart w:id="4074" w:name="_Toc536865506"/>
      <w:bookmarkStart w:id="4075" w:name="_Toc536865821"/>
      <w:bookmarkStart w:id="4076" w:name="_Toc536866136"/>
      <w:bookmarkStart w:id="4077" w:name="_Toc536866451"/>
      <w:bookmarkStart w:id="4078" w:name="_Toc536866766"/>
      <w:bookmarkStart w:id="4079" w:name="_Toc536867081"/>
      <w:bookmarkStart w:id="4080" w:name="_Toc536867396"/>
      <w:bookmarkStart w:id="4081" w:name="_Toc536867679"/>
      <w:bookmarkStart w:id="4082" w:name="_Toc536867962"/>
      <w:bookmarkStart w:id="4083" w:name="_Toc536868859"/>
      <w:bookmarkStart w:id="4084" w:name="_Toc536869190"/>
      <w:bookmarkStart w:id="4085" w:name="_Toc128033"/>
      <w:bookmarkStart w:id="4086" w:name="_Toc128427"/>
      <w:bookmarkStart w:id="4087" w:name="_Toc128821"/>
      <w:bookmarkStart w:id="4088" w:name="_Toc129215"/>
      <w:bookmarkStart w:id="4089" w:name="_Toc129609"/>
      <w:bookmarkStart w:id="4090" w:name="_Toc130002"/>
      <w:bookmarkStart w:id="4091" w:name="_Toc130396"/>
      <w:bookmarkStart w:id="4092" w:name="_Toc130790"/>
      <w:bookmarkStart w:id="4093" w:name="_Toc131184"/>
      <w:bookmarkStart w:id="4094" w:name="_Toc289079"/>
      <w:bookmarkStart w:id="4095" w:name="_Toc338245"/>
      <w:bookmarkStart w:id="4096" w:name="_Toc705677"/>
      <w:bookmarkStart w:id="4097" w:name="_Toc706663"/>
      <w:bookmarkStart w:id="4098" w:name="_Toc708972"/>
      <w:bookmarkStart w:id="4099" w:name="_Toc710337"/>
      <w:bookmarkStart w:id="4100" w:name="_Toc970356"/>
      <w:bookmarkStart w:id="4101" w:name="_Toc970731"/>
      <w:bookmarkStart w:id="4102" w:name="_Toc1135431"/>
      <w:bookmarkStart w:id="4103" w:name="_Toc1165745"/>
      <w:bookmarkStart w:id="4104" w:name="_Toc1207810"/>
      <w:bookmarkStart w:id="4105" w:name="_Toc1408426"/>
      <w:bookmarkStart w:id="4106" w:name="_Toc529627553"/>
      <w:bookmarkStart w:id="4107" w:name="_Toc533172189"/>
      <w:bookmarkStart w:id="4108" w:name="_Toc534451452"/>
      <w:bookmarkStart w:id="4109" w:name="_Toc534451725"/>
      <w:bookmarkStart w:id="4110" w:name="_Toc534451998"/>
      <w:bookmarkStart w:id="4111" w:name="_Toc534452838"/>
      <w:bookmarkStart w:id="4112" w:name="_Toc534629263"/>
      <w:bookmarkStart w:id="4113" w:name="_Toc534629537"/>
      <w:bookmarkStart w:id="4114" w:name="_Toc534649306"/>
      <w:bookmarkStart w:id="4115" w:name="_Toc534715365"/>
      <w:bookmarkStart w:id="4116" w:name="_Toc534734502"/>
      <w:bookmarkStart w:id="4117" w:name="_Toc534734778"/>
      <w:bookmarkStart w:id="4118" w:name="_Toc536717442"/>
      <w:bookmarkStart w:id="4119" w:name="_Toc536862620"/>
      <w:bookmarkStart w:id="4120" w:name="_Toc536863989"/>
      <w:bookmarkStart w:id="4121" w:name="_Toc536864376"/>
      <w:bookmarkStart w:id="4122" w:name="_Toc536864877"/>
      <w:bookmarkStart w:id="4123" w:name="_Toc536865192"/>
      <w:bookmarkStart w:id="4124" w:name="_Toc536865507"/>
      <w:bookmarkStart w:id="4125" w:name="_Toc536865822"/>
      <w:bookmarkStart w:id="4126" w:name="_Toc536866137"/>
      <w:bookmarkStart w:id="4127" w:name="_Toc536866452"/>
      <w:bookmarkStart w:id="4128" w:name="_Toc536866767"/>
      <w:bookmarkStart w:id="4129" w:name="_Toc536867082"/>
      <w:bookmarkStart w:id="4130" w:name="_Toc536867397"/>
      <w:bookmarkStart w:id="4131" w:name="_Toc536867680"/>
      <w:bookmarkStart w:id="4132" w:name="_Toc536867963"/>
      <w:bookmarkStart w:id="4133" w:name="_Toc536868860"/>
      <w:bookmarkStart w:id="4134" w:name="_Toc536869191"/>
      <w:bookmarkStart w:id="4135" w:name="_Toc128034"/>
      <w:bookmarkStart w:id="4136" w:name="_Toc128428"/>
      <w:bookmarkStart w:id="4137" w:name="_Toc128822"/>
      <w:bookmarkStart w:id="4138" w:name="_Toc129216"/>
      <w:bookmarkStart w:id="4139" w:name="_Toc129610"/>
      <w:bookmarkStart w:id="4140" w:name="_Toc130003"/>
      <w:bookmarkStart w:id="4141" w:name="_Toc130397"/>
      <w:bookmarkStart w:id="4142" w:name="_Toc130791"/>
      <w:bookmarkStart w:id="4143" w:name="_Toc131185"/>
      <w:bookmarkStart w:id="4144" w:name="_Toc289080"/>
      <w:bookmarkStart w:id="4145" w:name="_Toc338246"/>
      <w:bookmarkStart w:id="4146" w:name="_Toc705678"/>
      <w:bookmarkStart w:id="4147" w:name="_Toc706664"/>
      <w:bookmarkStart w:id="4148" w:name="_Toc708973"/>
      <w:bookmarkStart w:id="4149" w:name="_Toc710338"/>
      <w:bookmarkStart w:id="4150" w:name="_Toc970357"/>
      <w:bookmarkStart w:id="4151" w:name="_Toc970732"/>
      <w:bookmarkStart w:id="4152" w:name="_Toc1135432"/>
      <w:bookmarkStart w:id="4153" w:name="_Toc1165746"/>
      <w:bookmarkStart w:id="4154" w:name="_Toc1207811"/>
      <w:bookmarkStart w:id="4155" w:name="_Toc1408427"/>
      <w:bookmarkStart w:id="4156" w:name="_Toc529627554"/>
      <w:bookmarkStart w:id="4157" w:name="_Toc533172190"/>
      <w:bookmarkStart w:id="4158" w:name="_Toc534451453"/>
      <w:bookmarkStart w:id="4159" w:name="_Toc534451726"/>
      <w:bookmarkStart w:id="4160" w:name="_Toc534451999"/>
      <w:bookmarkStart w:id="4161" w:name="_Toc534452839"/>
      <w:bookmarkStart w:id="4162" w:name="_Toc534629264"/>
      <w:bookmarkStart w:id="4163" w:name="_Toc534629538"/>
      <w:bookmarkStart w:id="4164" w:name="_Toc534649307"/>
      <w:bookmarkStart w:id="4165" w:name="_Toc534715366"/>
      <w:bookmarkStart w:id="4166" w:name="_Toc534734503"/>
      <w:bookmarkStart w:id="4167" w:name="_Toc534734779"/>
      <w:bookmarkStart w:id="4168" w:name="_Toc536717443"/>
      <w:bookmarkStart w:id="4169" w:name="_Toc536862621"/>
      <w:bookmarkStart w:id="4170" w:name="_Toc536863990"/>
      <w:bookmarkStart w:id="4171" w:name="_Toc536864377"/>
      <w:bookmarkStart w:id="4172" w:name="_Toc536864878"/>
      <w:bookmarkStart w:id="4173" w:name="_Toc536865193"/>
      <w:bookmarkStart w:id="4174" w:name="_Toc536865508"/>
      <w:bookmarkStart w:id="4175" w:name="_Toc536865823"/>
      <w:bookmarkStart w:id="4176" w:name="_Toc536866138"/>
      <w:bookmarkStart w:id="4177" w:name="_Toc536866453"/>
      <w:bookmarkStart w:id="4178" w:name="_Toc536866768"/>
      <w:bookmarkStart w:id="4179" w:name="_Toc536867083"/>
      <w:bookmarkStart w:id="4180" w:name="_Toc536867398"/>
      <w:bookmarkStart w:id="4181" w:name="_Toc536867681"/>
      <w:bookmarkStart w:id="4182" w:name="_Toc536867964"/>
      <w:bookmarkStart w:id="4183" w:name="_Toc536868861"/>
      <w:bookmarkStart w:id="4184" w:name="_Toc536869192"/>
      <w:bookmarkStart w:id="4185" w:name="_Toc128035"/>
      <w:bookmarkStart w:id="4186" w:name="_Toc128429"/>
      <w:bookmarkStart w:id="4187" w:name="_Toc128823"/>
      <w:bookmarkStart w:id="4188" w:name="_Toc129217"/>
      <w:bookmarkStart w:id="4189" w:name="_Toc129611"/>
      <w:bookmarkStart w:id="4190" w:name="_Toc130004"/>
      <w:bookmarkStart w:id="4191" w:name="_Toc130398"/>
      <w:bookmarkStart w:id="4192" w:name="_Toc130792"/>
      <w:bookmarkStart w:id="4193" w:name="_Toc131186"/>
      <w:bookmarkStart w:id="4194" w:name="_Toc289081"/>
      <w:bookmarkStart w:id="4195" w:name="_Toc338247"/>
      <w:bookmarkStart w:id="4196" w:name="_Toc705679"/>
      <w:bookmarkStart w:id="4197" w:name="_Toc706665"/>
      <w:bookmarkStart w:id="4198" w:name="_Toc708974"/>
      <w:bookmarkStart w:id="4199" w:name="_Toc710339"/>
      <w:bookmarkStart w:id="4200" w:name="_Toc970358"/>
      <w:bookmarkStart w:id="4201" w:name="_Toc970733"/>
      <w:bookmarkStart w:id="4202" w:name="_Toc1135433"/>
      <w:bookmarkStart w:id="4203" w:name="_Toc1165747"/>
      <w:bookmarkStart w:id="4204" w:name="_Toc1207812"/>
      <w:bookmarkStart w:id="4205" w:name="_Toc1408428"/>
      <w:bookmarkStart w:id="4206" w:name="_Toc529627555"/>
      <w:bookmarkStart w:id="4207" w:name="_Toc533172191"/>
      <w:bookmarkStart w:id="4208" w:name="_Toc534451454"/>
      <w:bookmarkStart w:id="4209" w:name="_Toc534451727"/>
      <w:bookmarkStart w:id="4210" w:name="_Toc534452000"/>
      <w:bookmarkStart w:id="4211" w:name="_Toc534452840"/>
      <w:bookmarkStart w:id="4212" w:name="_Toc534629265"/>
      <w:bookmarkStart w:id="4213" w:name="_Toc534629539"/>
      <w:bookmarkStart w:id="4214" w:name="_Toc534649308"/>
      <w:bookmarkStart w:id="4215" w:name="_Toc534715367"/>
      <w:bookmarkStart w:id="4216" w:name="_Toc534734504"/>
      <w:bookmarkStart w:id="4217" w:name="_Toc534734780"/>
      <w:bookmarkStart w:id="4218" w:name="_Toc536717444"/>
      <w:bookmarkStart w:id="4219" w:name="_Toc536862622"/>
      <w:bookmarkStart w:id="4220" w:name="_Toc536863991"/>
      <w:bookmarkStart w:id="4221" w:name="_Toc536864378"/>
      <w:bookmarkStart w:id="4222" w:name="_Toc536864879"/>
      <w:bookmarkStart w:id="4223" w:name="_Toc536865194"/>
      <w:bookmarkStart w:id="4224" w:name="_Toc536865509"/>
      <w:bookmarkStart w:id="4225" w:name="_Toc536865824"/>
      <w:bookmarkStart w:id="4226" w:name="_Toc536866139"/>
      <w:bookmarkStart w:id="4227" w:name="_Toc536866454"/>
      <w:bookmarkStart w:id="4228" w:name="_Toc536866769"/>
      <w:bookmarkStart w:id="4229" w:name="_Toc536867084"/>
      <w:bookmarkStart w:id="4230" w:name="_Toc536867399"/>
      <w:bookmarkStart w:id="4231" w:name="_Toc536867682"/>
      <w:bookmarkStart w:id="4232" w:name="_Toc536867965"/>
      <w:bookmarkStart w:id="4233" w:name="_Toc536868862"/>
      <w:bookmarkStart w:id="4234" w:name="_Toc536869193"/>
      <w:bookmarkStart w:id="4235" w:name="_Toc128036"/>
      <w:bookmarkStart w:id="4236" w:name="_Toc128430"/>
      <w:bookmarkStart w:id="4237" w:name="_Toc128824"/>
      <w:bookmarkStart w:id="4238" w:name="_Toc129218"/>
      <w:bookmarkStart w:id="4239" w:name="_Toc129612"/>
      <w:bookmarkStart w:id="4240" w:name="_Toc130005"/>
      <w:bookmarkStart w:id="4241" w:name="_Toc130399"/>
      <w:bookmarkStart w:id="4242" w:name="_Toc130793"/>
      <w:bookmarkStart w:id="4243" w:name="_Toc131187"/>
      <w:bookmarkStart w:id="4244" w:name="_Toc289082"/>
      <w:bookmarkStart w:id="4245" w:name="_Toc338248"/>
      <w:bookmarkStart w:id="4246" w:name="_Toc705680"/>
      <w:bookmarkStart w:id="4247" w:name="_Toc706666"/>
      <w:bookmarkStart w:id="4248" w:name="_Toc708975"/>
      <w:bookmarkStart w:id="4249" w:name="_Toc710340"/>
      <w:bookmarkStart w:id="4250" w:name="_Toc970359"/>
      <w:bookmarkStart w:id="4251" w:name="_Toc970734"/>
      <w:bookmarkStart w:id="4252" w:name="_Toc1135434"/>
      <w:bookmarkStart w:id="4253" w:name="_Toc1165748"/>
      <w:bookmarkStart w:id="4254" w:name="_Toc1207813"/>
      <w:bookmarkStart w:id="4255" w:name="_Toc1408429"/>
      <w:bookmarkStart w:id="4256" w:name="_Toc529627556"/>
      <w:bookmarkStart w:id="4257" w:name="_Toc533172192"/>
      <w:bookmarkStart w:id="4258" w:name="_Toc534451455"/>
      <w:bookmarkStart w:id="4259" w:name="_Toc534451728"/>
      <w:bookmarkStart w:id="4260" w:name="_Toc534452001"/>
      <w:bookmarkStart w:id="4261" w:name="_Toc534452841"/>
      <w:bookmarkStart w:id="4262" w:name="_Toc534629266"/>
      <w:bookmarkStart w:id="4263" w:name="_Toc534629540"/>
      <w:bookmarkStart w:id="4264" w:name="_Toc534649309"/>
      <w:bookmarkStart w:id="4265" w:name="_Toc534715368"/>
      <w:bookmarkStart w:id="4266" w:name="_Toc534734505"/>
      <w:bookmarkStart w:id="4267" w:name="_Toc534734781"/>
      <w:bookmarkStart w:id="4268" w:name="_Toc536717445"/>
      <w:bookmarkStart w:id="4269" w:name="_Toc536862623"/>
      <w:bookmarkStart w:id="4270" w:name="_Toc536863992"/>
      <w:bookmarkStart w:id="4271" w:name="_Toc536864379"/>
      <w:bookmarkStart w:id="4272" w:name="_Toc536864880"/>
      <w:bookmarkStart w:id="4273" w:name="_Toc536865195"/>
      <w:bookmarkStart w:id="4274" w:name="_Toc536865510"/>
      <w:bookmarkStart w:id="4275" w:name="_Toc536865825"/>
      <w:bookmarkStart w:id="4276" w:name="_Toc536866140"/>
      <w:bookmarkStart w:id="4277" w:name="_Toc536866455"/>
      <w:bookmarkStart w:id="4278" w:name="_Toc536866770"/>
      <w:bookmarkStart w:id="4279" w:name="_Toc536867085"/>
      <w:bookmarkStart w:id="4280" w:name="_Toc536867400"/>
      <w:bookmarkStart w:id="4281" w:name="_Toc536867683"/>
      <w:bookmarkStart w:id="4282" w:name="_Toc536867966"/>
      <w:bookmarkStart w:id="4283" w:name="_Toc536868863"/>
      <w:bookmarkStart w:id="4284" w:name="_Toc536869194"/>
      <w:bookmarkStart w:id="4285" w:name="_Toc128037"/>
      <w:bookmarkStart w:id="4286" w:name="_Toc128431"/>
      <w:bookmarkStart w:id="4287" w:name="_Toc128825"/>
      <w:bookmarkStart w:id="4288" w:name="_Toc129219"/>
      <w:bookmarkStart w:id="4289" w:name="_Toc129613"/>
      <w:bookmarkStart w:id="4290" w:name="_Toc130006"/>
      <w:bookmarkStart w:id="4291" w:name="_Toc130400"/>
      <w:bookmarkStart w:id="4292" w:name="_Toc130794"/>
      <w:bookmarkStart w:id="4293" w:name="_Toc131188"/>
      <w:bookmarkStart w:id="4294" w:name="_Toc289083"/>
      <w:bookmarkStart w:id="4295" w:name="_Toc338249"/>
      <w:bookmarkStart w:id="4296" w:name="_Toc705681"/>
      <w:bookmarkStart w:id="4297" w:name="_Toc706667"/>
      <w:bookmarkStart w:id="4298" w:name="_Toc708976"/>
      <w:bookmarkStart w:id="4299" w:name="_Toc710341"/>
      <w:bookmarkStart w:id="4300" w:name="_Toc970360"/>
      <w:bookmarkStart w:id="4301" w:name="_Toc970735"/>
      <w:bookmarkStart w:id="4302" w:name="_Toc1135435"/>
      <w:bookmarkStart w:id="4303" w:name="_Toc1165749"/>
      <w:bookmarkStart w:id="4304" w:name="_Toc1207814"/>
      <w:bookmarkStart w:id="4305" w:name="_Toc1408430"/>
      <w:bookmarkStart w:id="4306" w:name="_Toc529627557"/>
      <w:bookmarkStart w:id="4307" w:name="_Toc533172193"/>
      <w:bookmarkStart w:id="4308" w:name="_Toc534451456"/>
      <w:bookmarkStart w:id="4309" w:name="_Toc534451729"/>
      <w:bookmarkStart w:id="4310" w:name="_Toc534452002"/>
      <w:bookmarkStart w:id="4311" w:name="_Toc534452842"/>
      <w:bookmarkStart w:id="4312" w:name="_Toc534629267"/>
      <w:bookmarkStart w:id="4313" w:name="_Toc534629541"/>
      <w:bookmarkStart w:id="4314" w:name="_Toc534649310"/>
      <w:bookmarkStart w:id="4315" w:name="_Toc534715369"/>
      <w:bookmarkStart w:id="4316" w:name="_Toc534734506"/>
      <w:bookmarkStart w:id="4317" w:name="_Toc534734782"/>
      <w:bookmarkStart w:id="4318" w:name="_Toc536717446"/>
      <w:bookmarkStart w:id="4319" w:name="_Toc536862624"/>
      <w:bookmarkStart w:id="4320" w:name="_Toc536863993"/>
      <w:bookmarkStart w:id="4321" w:name="_Toc536864380"/>
      <w:bookmarkStart w:id="4322" w:name="_Toc536864881"/>
      <w:bookmarkStart w:id="4323" w:name="_Toc536865196"/>
      <w:bookmarkStart w:id="4324" w:name="_Toc536865511"/>
      <w:bookmarkStart w:id="4325" w:name="_Toc536865826"/>
      <w:bookmarkStart w:id="4326" w:name="_Toc536866141"/>
      <w:bookmarkStart w:id="4327" w:name="_Toc536866456"/>
      <w:bookmarkStart w:id="4328" w:name="_Toc536866771"/>
      <w:bookmarkStart w:id="4329" w:name="_Toc536867086"/>
      <w:bookmarkStart w:id="4330" w:name="_Toc536867401"/>
      <w:bookmarkStart w:id="4331" w:name="_Toc536867684"/>
      <w:bookmarkStart w:id="4332" w:name="_Toc536867967"/>
      <w:bookmarkStart w:id="4333" w:name="_Toc536868864"/>
      <w:bookmarkStart w:id="4334" w:name="_Toc536869195"/>
      <w:bookmarkStart w:id="4335" w:name="_Toc128038"/>
      <w:bookmarkStart w:id="4336" w:name="_Toc128432"/>
      <w:bookmarkStart w:id="4337" w:name="_Toc128826"/>
      <w:bookmarkStart w:id="4338" w:name="_Toc129220"/>
      <w:bookmarkStart w:id="4339" w:name="_Toc129614"/>
      <w:bookmarkStart w:id="4340" w:name="_Toc130007"/>
      <w:bookmarkStart w:id="4341" w:name="_Toc130401"/>
      <w:bookmarkStart w:id="4342" w:name="_Toc130795"/>
      <w:bookmarkStart w:id="4343" w:name="_Toc131189"/>
      <w:bookmarkStart w:id="4344" w:name="_Toc289084"/>
      <w:bookmarkStart w:id="4345" w:name="_Toc338250"/>
      <w:bookmarkStart w:id="4346" w:name="_Toc705682"/>
      <w:bookmarkStart w:id="4347" w:name="_Toc706668"/>
      <w:bookmarkStart w:id="4348" w:name="_Toc708977"/>
      <w:bookmarkStart w:id="4349" w:name="_Toc710342"/>
      <w:bookmarkStart w:id="4350" w:name="_Toc970361"/>
      <w:bookmarkStart w:id="4351" w:name="_Toc970736"/>
      <w:bookmarkStart w:id="4352" w:name="_Toc1135436"/>
      <w:bookmarkStart w:id="4353" w:name="_Toc1165750"/>
      <w:bookmarkStart w:id="4354" w:name="_Toc1207815"/>
      <w:bookmarkStart w:id="4355" w:name="_Toc1408431"/>
      <w:bookmarkStart w:id="4356" w:name="_Toc529627558"/>
      <w:bookmarkStart w:id="4357" w:name="_Toc533172194"/>
      <w:bookmarkStart w:id="4358" w:name="_Toc534451457"/>
      <w:bookmarkStart w:id="4359" w:name="_Toc534451730"/>
      <w:bookmarkStart w:id="4360" w:name="_Toc534452003"/>
      <w:bookmarkStart w:id="4361" w:name="_Toc534452843"/>
      <w:bookmarkStart w:id="4362" w:name="_Toc534629268"/>
      <w:bookmarkStart w:id="4363" w:name="_Toc534629542"/>
      <w:bookmarkStart w:id="4364" w:name="_Toc534649311"/>
      <w:bookmarkStart w:id="4365" w:name="_Toc534715370"/>
      <w:bookmarkStart w:id="4366" w:name="_Toc534734507"/>
      <w:bookmarkStart w:id="4367" w:name="_Toc534734783"/>
      <w:bookmarkStart w:id="4368" w:name="_Toc536717447"/>
      <w:bookmarkStart w:id="4369" w:name="_Toc536862625"/>
      <w:bookmarkStart w:id="4370" w:name="_Toc536863994"/>
      <w:bookmarkStart w:id="4371" w:name="_Toc536864381"/>
      <w:bookmarkStart w:id="4372" w:name="_Toc536864882"/>
      <w:bookmarkStart w:id="4373" w:name="_Toc536865197"/>
      <w:bookmarkStart w:id="4374" w:name="_Toc536865512"/>
      <w:bookmarkStart w:id="4375" w:name="_Toc536865827"/>
      <w:bookmarkStart w:id="4376" w:name="_Toc536866142"/>
      <w:bookmarkStart w:id="4377" w:name="_Toc536866457"/>
      <w:bookmarkStart w:id="4378" w:name="_Toc536866772"/>
      <w:bookmarkStart w:id="4379" w:name="_Toc536867087"/>
      <w:bookmarkStart w:id="4380" w:name="_Toc536867402"/>
      <w:bookmarkStart w:id="4381" w:name="_Toc536867685"/>
      <w:bookmarkStart w:id="4382" w:name="_Toc536867968"/>
      <w:bookmarkStart w:id="4383" w:name="_Toc536868865"/>
      <w:bookmarkStart w:id="4384" w:name="_Toc536869196"/>
      <w:bookmarkStart w:id="4385" w:name="_Toc128039"/>
      <w:bookmarkStart w:id="4386" w:name="_Toc128433"/>
      <w:bookmarkStart w:id="4387" w:name="_Toc128827"/>
      <w:bookmarkStart w:id="4388" w:name="_Toc129221"/>
      <w:bookmarkStart w:id="4389" w:name="_Toc129615"/>
      <w:bookmarkStart w:id="4390" w:name="_Toc130008"/>
      <w:bookmarkStart w:id="4391" w:name="_Toc130402"/>
      <w:bookmarkStart w:id="4392" w:name="_Toc130796"/>
      <w:bookmarkStart w:id="4393" w:name="_Toc131190"/>
      <w:bookmarkStart w:id="4394" w:name="_Toc289085"/>
      <w:bookmarkStart w:id="4395" w:name="_Toc338251"/>
      <w:bookmarkStart w:id="4396" w:name="_Toc705683"/>
      <w:bookmarkStart w:id="4397" w:name="_Toc706669"/>
      <w:bookmarkStart w:id="4398" w:name="_Toc708978"/>
      <w:bookmarkStart w:id="4399" w:name="_Toc710343"/>
      <w:bookmarkStart w:id="4400" w:name="_Toc970362"/>
      <w:bookmarkStart w:id="4401" w:name="_Toc970737"/>
      <w:bookmarkStart w:id="4402" w:name="_Toc1135437"/>
      <w:bookmarkStart w:id="4403" w:name="_Toc1165751"/>
      <w:bookmarkStart w:id="4404" w:name="_Toc1207816"/>
      <w:bookmarkStart w:id="4405" w:name="_Toc1408432"/>
      <w:bookmarkStart w:id="4406" w:name="_Toc529627559"/>
      <w:bookmarkStart w:id="4407" w:name="_Toc533172195"/>
      <w:bookmarkStart w:id="4408" w:name="_Toc534451458"/>
      <w:bookmarkStart w:id="4409" w:name="_Toc534451731"/>
      <w:bookmarkStart w:id="4410" w:name="_Toc534452004"/>
      <w:bookmarkStart w:id="4411" w:name="_Toc534452844"/>
      <w:bookmarkStart w:id="4412" w:name="_Toc534629269"/>
      <w:bookmarkStart w:id="4413" w:name="_Toc534629543"/>
      <w:bookmarkStart w:id="4414" w:name="_Toc534649312"/>
      <w:bookmarkStart w:id="4415" w:name="_Toc534715371"/>
      <w:bookmarkStart w:id="4416" w:name="_Toc534734508"/>
      <w:bookmarkStart w:id="4417" w:name="_Toc534734784"/>
      <w:bookmarkStart w:id="4418" w:name="_Toc536717448"/>
      <w:bookmarkStart w:id="4419" w:name="_Toc536862626"/>
      <w:bookmarkStart w:id="4420" w:name="_Toc536863995"/>
      <w:bookmarkStart w:id="4421" w:name="_Toc536864382"/>
      <w:bookmarkStart w:id="4422" w:name="_Toc536864883"/>
      <w:bookmarkStart w:id="4423" w:name="_Toc536865198"/>
      <w:bookmarkStart w:id="4424" w:name="_Toc536865513"/>
      <w:bookmarkStart w:id="4425" w:name="_Toc536865828"/>
      <w:bookmarkStart w:id="4426" w:name="_Toc536866143"/>
      <w:bookmarkStart w:id="4427" w:name="_Toc536866458"/>
      <w:bookmarkStart w:id="4428" w:name="_Toc536866773"/>
      <w:bookmarkStart w:id="4429" w:name="_Toc536867088"/>
      <w:bookmarkStart w:id="4430" w:name="_Toc536867403"/>
      <w:bookmarkStart w:id="4431" w:name="_Toc536867686"/>
      <w:bookmarkStart w:id="4432" w:name="_Toc536867969"/>
      <w:bookmarkStart w:id="4433" w:name="_Toc536868866"/>
      <w:bookmarkStart w:id="4434" w:name="_Toc536869197"/>
      <w:bookmarkStart w:id="4435" w:name="_Toc128040"/>
      <w:bookmarkStart w:id="4436" w:name="_Toc128434"/>
      <w:bookmarkStart w:id="4437" w:name="_Toc128828"/>
      <w:bookmarkStart w:id="4438" w:name="_Toc129222"/>
      <w:bookmarkStart w:id="4439" w:name="_Toc129616"/>
      <w:bookmarkStart w:id="4440" w:name="_Toc130009"/>
      <w:bookmarkStart w:id="4441" w:name="_Toc130403"/>
      <w:bookmarkStart w:id="4442" w:name="_Toc130797"/>
      <w:bookmarkStart w:id="4443" w:name="_Toc131191"/>
      <w:bookmarkStart w:id="4444" w:name="_Toc289086"/>
      <w:bookmarkStart w:id="4445" w:name="_Toc338252"/>
      <w:bookmarkStart w:id="4446" w:name="_Toc705684"/>
      <w:bookmarkStart w:id="4447" w:name="_Toc706670"/>
      <w:bookmarkStart w:id="4448" w:name="_Toc708979"/>
      <w:bookmarkStart w:id="4449" w:name="_Toc710344"/>
      <w:bookmarkStart w:id="4450" w:name="_Toc970363"/>
      <w:bookmarkStart w:id="4451" w:name="_Toc970738"/>
      <w:bookmarkStart w:id="4452" w:name="_Toc1135438"/>
      <w:bookmarkStart w:id="4453" w:name="_Toc1165752"/>
      <w:bookmarkStart w:id="4454" w:name="_Toc1207817"/>
      <w:bookmarkStart w:id="4455" w:name="_Toc1408433"/>
      <w:bookmarkStart w:id="4456" w:name="_Toc529627560"/>
      <w:bookmarkStart w:id="4457" w:name="_Toc533172196"/>
      <w:bookmarkStart w:id="4458" w:name="_Toc534451459"/>
      <w:bookmarkStart w:id="4459" w:name="_Toc534451732"/>
      <w:bookmarkStart w:id="4460" w:name="_Toc534452005"/>
      <w:bookmarkStart w:id="4461" w:name="_Toc534452845"/>
      <w:bookmarkStart w:id="4462" w:name="_Toc534629270"/>
      <w:bookmarkStart w:id="4463" w:name="_Toc534629544"/>
      <w:bookmarkStart w:id="4464" w:name="_Toc534649313"/>
      <w:bookmarkStart w:id="4465" w:name="_Toc534715372"/>
      <w:bookmarkStart w:id="4466" w:name="_Toc534734509"/>
      <w:bookmarkStart w:id="4467" w:name="_Toc534734785"/>
      <w:bookmarkStart w:id="4468" w:name="_Toc536717449"/>
      <w:bookmarkStart w:id="4469" w:name="_Toc536862627"/>
      <w:bookmarkStart w:id="4470" w:name="_Toc536863996"/>
      <w:bookmarkStart w:id="4471" w:name="_Toc536864383"/>
      <w:bookmarkStart w:id="4472" w:name="_Toc536864884"/>
      <w:bookmarkStart w:id="4473" w:name="_Toc536865199"/>
      <w:bookmarkStart w:id="4474" w:name="_Toc536865514"/>
      <w:bookmarkStart w:id="4475" w:name="_Toc536865829"/>
      <w:bookmarkStart w:id="4476" w:name="_Toc536866144"/>
      <w:bookmarkStart w:id="4477" w:name="_Toc536866459"/>
      <w:bookmarkStart w:id="4478" w:name="_Toc536866774"/>
      <w:bookmarkStart w:id="4479" w:name="_Toc536867089"/>
      <w:bookmarkStart w:id="4480" w:name="_Toc536867404"/>
      <w:bookmarkStart w:id="4481" w:name="_Toc536867687"/>
      <w:bookmarkStart w:id="4482" w:name="_Toc536867970"/>
      <w:bookmarkStart w:id="4483" w:name="_Toc536868867"/>
      <w:bookmarkStart w:id="4484" w:name="_Toc536869198"/>
      <w:bookmarkStart w:id="4485" w:name="_Toc128041"/>
      <w:bookmarkStart w:id="4486" w:name="_Toc128435"/>
      <w:bookmarkStart w:id="4487" w:name="_Toc128829"/>
      <w:bookmarkStart w:id="4488" w:name="_Toc129223"/>
      <w:bookmarkStart w:id="4489" w:name="_Toc129617"/>
      <w:bookmarkStart w:id="4490" w:name="_Toc130010"/>
      <w:bookmarkStart w:id="4491" w:name="_Toc130404"/>
      <w:bookmarkStart w:id="4492" w:name="_Toc130798"/>
      <w:bookmarkStart w:id="4493" w:name="_Toc131192"/>
      <w:bookmarkStart w:id="4494" w:name="_Toc289087"/>
      <w:bookmarkStart w:id="4495" w:name="_Toc338253"/>
      <w:bookmarkStart w:id="4496" w:name="_Toc705685"/>
      <w:bookmarkStart w:id="4497" w:name="_Toc706671"/>
      <w:bookmarkStart w:id="4498" w:name="_Toc708980"/>
      <w:bookmarkStart w:id="4499" w:name="_Toc710345"/>
      <w:bookmarkStart w:id="4500" w:name="_Toc970364"/>
      <w:bookmarkStart w:id="4501" w:name="_Toc970739"/>
      <w:bookmarkStart w:id="4502" w:name="_Toc1135439"/>
      <w:bookmarkStart w:id="4503" w:name="_Toc1165753"/>
      <w:bookmarkStart w:id="4504" w:name="_Toc1207818"/>
      <w:bookmarkStart w:id="4505" w:name="_Toc1408434"/>
      <w:bookmarkStart w:id="4506" w:name="_Toc529627561"/>
      <w:bookmarkStart w:id="4507" w:name="_Toc533172197"/>
      <w:bookmarkStart w:id="4508" w:name="_Toc534451460"/>
      <w:bookmarkStart w:id="4509" w:name="_Toc534451733"/>
      <w:bookmarkStart w:id="4510" w:name="_Toc534452006"/>
      <w:bookmarkStart w:id="4511" w:name="_Toc534452846"/>
      <w:bookmarkStart w:id="4512" w:name="_Toc534629271"/>
      <w:bookmarkStart w:id="4513" w:name="_Toc534629545"/>
      <w:bookmarkStart w:id="4514" w:name="_Toc534649314"/>
      <w:bookmarkStart w:id="4515" w:name="_Toc534715373"/>
      <w:bookmarkStart w:id="4516" w:name="_Toc534734510"/>
      <w:bookmarkStart w:id="4517" w:name="_Toc534734786"/>
      <w:bookmarkStart w:id="4518" w:name="_Toc536717450"/>
      <w:bookmarkStart w:id="4519" w:name="_Toc536862628"/>
      <w:bookmarkStart w:id="4520" w:name="_Toc536863997"/>
      <w:bookmarkStart w:id="4521" w:name="_Toc536864384"/>
      <w:bookmarkStart w:id="4522" w:name="_Toc536864885"/>
      <w:bookmarkStart w:id="4523" w:name="_Toc536865200"/>
      <w:bookmarkStart w:id="4524" w:name="_Toc536865515"/>
      <w:bookmarkStart w:id="4525" w:name="_Toc536865830"/>
      <w:bookmarkStart w:id="4526" w:name="_Toc536866145"/>
      <w:bookmarkStart w:id="4527" w:name="_Toc536866460"/>
      <w:bookmarkStart w:id="4528" w:name="_Toc536866775"/>
      <w:bookmarkStart w:id="4529" w:name="_Toc536867090"/>
      <w:bookmarkStart w:id="4530" w:name="_Toc536867405"/>
      <w:bookmarkStart w:id="4531" w:name="_Toc536867688"/>
      <w:bookmarkStart w:id="4532" w:name="_Toc536867971"/>
      <w:bookmarkStart w:id="4533" w:name="_Toc536868868"/>
      <w:bookmarkStart w:id="4534" w:name="_Toc536869199"/>
      <w:bookmarkStart w:id="4535" w:name="_Toc128042"/>
      <w:bookmarkStart w:id="4536" w:name="_Toc128436"/>
      <w:bookmarkStart w:id="4537" w:name="_Toc128830"/>
      <w:bookmarkStart w:id="4538" w:name="_Toc129224"/>
      <w:bookmarkStart w:id="4539" w:name="_Toc129618"/>
      <w:bookmarkStart w:id="4540" w:name="_Toc130011"/>
      <w:bookmarkStart w:id="4541" w:name="_Toc130405"/>
      <w:bookmarkStart w:id="4542" w:name="_Toc130799"/>
      <w:bookmarkStart w:id="4543" w:name="_Toc131193"/>
      <w:bookmarkStart w:id="4544" w:name="_Toc289088"/>
      <w:bookmarkStart w:id="4545" w:name="_Toc338254"/>
      <w:bookmarkStart w:id="4546" w:name="_Toc705686"/>
      <w:bookmarkStart w:id="4547" w:name="_Toc706672"/>
      <w:bookmarkStart w:id="4548" w:name="_Toc708981"/>
      <w:bookmarkStart w:id="4549" w:name="_Toc710346"/>
      <w:bookmarkStart w:id="4550" w:name="_Toc970365"/>
      <w:bookmarkStart w:id="4551" w:name="_Toc970740"/>
      <w:bookmarkStart w:id="4552" w:name="_Toc1135440"/>
      <w:bookmarkStart w:id="4553" w:name="_Toc1165754"/>
      <w:bookmarkStart w:id="4554" w:name="_Toc1207819"/>
      <w:bookmarkStart w:id="4555" w:name="_Toc1408435"/>
      <w:bookmarkStart w:id="4556" w:name="_Toc529627562"/>
      <w:bookmarkStart w:id="4557" w:name="_Toc533172198"/>
      <w:bookmarkStart w:id="4558" w:name="_Toc534451461"/>
      <w:bookmarkStart w:id="4559" w:name="_Toc534451734"/>
      <w:bookmarkStart w:id="4560" w:name="_Toc534452007"/>
      <w:bookmarkStart w:id="4561" w:name="_Toc534452847"/>
      <w:bookmarkStart w:id="4562" w:name="_Toc534629272"/>
      <w:bookmarkStart w:id="4563" w:name="_Toc534629546"/>
      <w:bookmarkStart w:id="4564" w:name="_Toc534649315"/>
      <w:bookmarkStart w:id="4565" w:name="_Toc534715374"/>
      <w:bookmarkStart w:id="4566" w:name="_Toc534734511"/>
      <w:bookmarkStart w:id="4567" w:name="_Toc534734787"/>
      <w:bookmarkStart w:id="4568" w:name="_Toc536717451"/>
      <w:bookmarkStart w:id="4569" w:name="_Toc536862629"/>
      <w:bookmarkStart w:id="4570" w:name="_Toc536863998"/>
      <w:bookmarkStart w:id="4571" w:name="_Toc536864385"/>
      <w:bookmarkStart w:id="4572" w:name="_Toc536864886"/>
      <w:bookmarkStart w:id="4573" w:name="_Toc536865201"/>
      <w:bookmarkStart w:id="4574" w:name="_Toc536865516"/>
      <w:bookmarkStart w:id="4575" w:name="_Toc536865831"/>
      <w:bookmarkStart w:id="4576" w:name="_Toc536866146"/>
      <w:bookmarkStart w:id="4577" w:name="_Toc536866461"/>
      <w:bookmarkStart w:id="4578" w:name="_Toc536866776"/>
      <w:bookmarkStart w:id="4579" w:name="_Toc536867091"/>
      <w:bookmarkStart w:id="4580" w:name="_Toc536867406"/>
      <w:bookmarkStart w:id="4581" w:name="_Toc536867689"/>
      <w:bookmarkStart w:id="4582" w:name="_Toc536867972"/>
      <w:bookmarkStart w:id="4583" w:name="_Toc536868869"/>
      <w:bookmarkStart w:id="4584" w:name="_Toc536869200"/>
      <w:bookmarkStart w:id="4585" w:name="_Toc128043"/>
      <w:bookmarkStart w:id="4586" w:name="_Toc128437"/>
      <w:bookmarkStart w:id="4587" w:name="_Toc128831"/>
      <w:bookmarkStart w:id="4588" w:name="_Toc129225"/>
      <w:bookmarkStart w:id="4589" w:name="_Toc129619"/>
      <w:bookmarkStart w:id="4590" w:name="_Toc130012"/>
      <w:bookmarkStart w:id="4591" w:name="_Toc130406"/>
      <w:bookmarkStart w:id="4592" w:name="_Toc130800"/>
      <w:bookmarkStart w:id="4593" w:name="_Toc131194"/>
      <w:bookmarkStart w:id="4594" w:name="_Toc289089"/>
      <w:bookmarkStart w:id="4595" w:name="_Toc338255"/>
      <w:bookmarkStart w:id="4596" w:name="_Toc705687"/>
      <w:bookmarkStart w:id="4597" w:name="_Toc706673"/>
      <w:bookmarkStart w:id="4598" w:name="_Toc708982"/>
      <w:bookmarkStart w:id="4599" w:name="_Toc710347"/>
      <w:bookmarkStart w:id="4600" w:name="_Toc970366"/>
      <w:bookmarkStart w:id="4601" w:name="_Toc970741"/>
      <w:bookmarkStart w:id="4602" w:name="_Toc1135441"/>
      <w:bookmarkStart w:id="4603" w:name="_Toc1165755"/>
      <w:bookmarkStart w:id="4604" w:name="_Toc1207820"/>
      <w:bookmarkStart w:id="4605" w:name="_Toc1408436"/>
      <w:bookmarkStart w:id="4606" w:name="_Toc529627563"/>
      <w:bookmarkStart w:id="4607" w:name="_Toc533172199"/>
      <w:bookmarkStart w:id="4608" w:name="_Toc534451462"/>
      <w:bookmarkStart w:id="4609" w:name="_Toc534451735"/>
      <w:bookmarkStart w:id="4610" w:name="_Toc534452008"/>
      <w:bookmarkStart w:id="4611" w:name="_Toc534452848"/>
      <w:bookmarkStart w:id="4612" w:name="_Toc534629273"/>
      <w:bookmarkStart w:id="4613" w:name="_Toc534629547"/>
      <w:bookmarkStart w:id="4614" w:name="_Toc534649316"/>
      <w:bookmarkStart w:id="4615" w:name="_Toc534715375"/>
      <w:bookmarkStart w:id="4616" w:name="_Toc534734512"/>
      <w:bookmarkStart w:id="4617" w:name="_Toc534734788"/>
      <w:bookmarkStart w:id="4618" w:name="_Toc536717452"/>
      <w:bookmarkStart w:id="4619" w:name="_Toc536862630"/>
      <w:bookmarkStart w:id="4620" w:name="_Toc536863999"/>
      <w:bookmarkStart w:id="4621" w:name="_Toc536864386"/>
      <w:bookmarkStart w:id="4622" w:name="_Toc536864887"/>
      <w:bookmarkStart w:id="4623" w:name="_Toc536865202"/>
      <w:bookmarkStart w:id="4624" w:name="_Toc536865517"/>
      <w:bookmarkStart w:id="4625" w:name="_Toc536865832"/>
      <w:bookmarkStart w:id="4626" w:name="_Toc536866147"/>
      <w:bookmarkStart w:id="4627" w:name="_Toc536866462"/>
      <w:bookmarkStart w:id="4628" w:name="_Toc536866777"/>
      <w:bookmarkStart w:id="4629" w:name="_Toc536867092"/>
      <w:bookmarkStart w:id="4630" w:name="_Toc536867407"/>
      <w:bookmarkStart w:id="4631" w:name="_Toc536867690"/>
      <w:bookmarkStart w:id="4632" w:name="_Toc536867973"/>
      <w:bookmarkStart w:id="4633" w:name="_Toc536868870"/>
      <w:bookmarkStart w:id="4634" w:name="_Toc536869201"/>
      <w:bookmarkStart w:id="4635" w:name="_Toc128044"/>
      <w:bookmarkStart w:id="4636" w:name="_Toc128438"/>
      <w:bookmarkStart w:id="4637" w:name="_Toc128832"/>
      <w:bookmarkStart w:id="4638" w:name="_Toc129226"/>
      <w:bookmarkStart w:id="4639" w:name="_Toc129620"/>
      <w:bookmarkStart w:id="4640" w:name="_Toc130013"/>
      <w:bookmarkStart w:id="4641" w:name="_Toc130407"/>
      <w:bookmarkStart w:id="4642" w:name="_Toc130801"/>
      <w:bookmarkStart w:id="4643" w:name="_Toc131195"/>
      <w:bookmarkStart w:id="4644" w:name="_Toc289090"/>
      <w:bookmarkStart w:id="4645" w:name="_Toc338256"/>
      <w:bookmarkStart w:id="4646" w:name="_Toc705688"/>
      <w:bookmarkStart w:id="4647" w:name="_Toc706674"/>
      <w:bookmarkStart w:id="4648" w:name="_Toc708983"/>
      <w:bookmarkStart w:id="4649" w:name="_Toc710348"/>
      <w:bookmarkStart w:id="4650" w:name="_Toc970367"/>
      <w:bookmarkStart w:id="4651" w:name="_Toc970742"/>
      <w:bookmarkStart w:id="4652" w:name="_Toc1135442"/>
      <w:bookmarkStart w:id="4653" w:name="_Toc1165756"/>
      <w:bookmarkStart w:id="4654" w:name="_Toc1207821"/>
      <w:bookmarkStart w:id="4655" w:name="_Toc1408437"/>
      <w:bookmarkStart w:id="4656" w:name="_Toc529627568"/>
      <w:bookmarkStart w:id="4657" w:name="_Toc533172204"/>
      <w:bookmarkStart w:id="4658" w:name="_Toc534451467"/>
      <w:bookmarkStart w:id="4659" w:name="_Toc534451740"/>
      <w:bookmarkStart w:id="4660" w:name="_Toc534452013"/>
      <w:bookmarkStart w:id="4661" w:name="_Toc534452853"/>
      <w:bookmarkStart w:id="4662" w:name="_Toc534629278"/>
      <w:bookmarkStart w:id="4663" w:name="_Toc534629552"/>
      <w:bookmarkStart w:id="4664" w:name="_Toc534649321"/>
      <w:bookmarkStart w:id="4665" w:name="_Toc534715380"/>
      <w:bookmarkStart w:id="4666" w:name="_Toc534734517"/>
      <w:bookmarkStart w:id="4667" w:name="_Toc534734793"/>
      <w:bookmarkStart w:id="4668" w:name="_Toc536717457"/>
      <w:bookmarkStart w:id="4669" w:name="_Toc536862635"/>
      <w:bookmarkStart w:id="4670" w:name="_Toc536864004"/>
      <w:bookmarkStart w:id="4671" w:name="_Toc536864391"/>
      <w:bookmarkStart w:id="4672" w:name="_Toc536864892"/>
      <w:bookmarkStart w:id="4673" w:name="_Toc536865207"/>
      <w:bookmarkStart w:id="4674" w:name="_Toc536865522"/>
      <w:bookmarkStart w:id="4675" w:name="_Toc536865837"/>
      <w:bookmarkStart w:id="4676" w:name="_Toc536866152"/>
      <w:bookmarkStart w:id="4677" w:name="_Toc536866467"/>
      <w:bookmarkStart w:id="4678" w:name="_Toc536866782"/>
      <w:bookmarkStart w:id="4679" w:name="_Toc536867097"/>
      <w:bookmarkStart w:id="4680" w:name="_Toc536867412"/>
      <w:bookmarkStart w:id="4681" w:name="_Toc536867695"/>
      <w:bookmarkStart w:id="4682" w:name="_Toc536867978"/>
      <w:bookmarkStart w:id="4683" w:name="_Toc536868875"/>
      <w:bookmarkStart w:id="4684" w:name="_Toc536869206"/>
      <w:bookmarkStart w:id="4685" w:name="_Toc128049"/>
      <w:bookmarkStart w:id="4686" w:name="_Toc128443"/>
      <w:bookmarkStart w:id="4687" w:name="_Toc128837"/>
      <w:bookmarkStart w:id="4688" w:name="_Toc129231"/>
      <w:bookmarkStart w:id="4689" w:name="_Toc129625"/>
      <w:bookmarkStart w:id="4690" w:name="_Toc130018"/>
      <w:bookmarkStart w:id="4691" w:name="_Toc130412"/>
      <w:bookmarkStart w:id="4692" w:name="_Toc130806"/>
      <w:bookmarkStart w:id="4693" w:name="_Toc131200"/>
      <w:bookmarkStart w:id="4694" w:name="_Toc289095"/>
      <w:bookmarkStart w:id="4695" w:name="_Toc338261"/>
      <w:bookmarkStart w:id="4696" w:name="_Toc705693"/>
      <w:bookmarkStart w:id="4697" w:name="_Toc706679"/>
      <w:bookmarkStart w:id="4698" w:name="_Toc708988"/>
      <w:bookmarkStart w:id="4699" w:name="_Toc710353"/>
      <w:bookmarkStart w:id="4700" w:name="_Toc970372"/>
      <w:bookmarkStart w:id="4701" w:name="_Toc970747"/>
      <w:bookmarkStart w:id="4702" w:name="_Toc1135447"/>
      <w:bookmarkStart w:id="4703" w:name="_Toc1165761"/>
      <w:bookmarkStart w:id="4704" w:name="_Toc1207826"/>
      <w:bookmarkStart w:id="4705" w:name="_Toc1408442"/>
      <w:bookmarkStart w:id="4706" w:name="_Toc529627573"/>
      <w:bookmarkStart w:id="4707" w:name="_Toc533172209"/>
      <w:bookmarkStart w:id="4708" w:name="_Toc534451472"/>
      <w:bookmarkStart w:id="4709" w:name="_Toc534451745"/>
      <w:bookmarkStart w:id="4710" w:name="_Toc534452018"/>
      <w:bookmarkStart w:id="4711" w:name="_Toc534452858"/>
      <w:bookmarkStart w:id="4712" w:name="_Toc534629283"/>
      <w:bookmarkStart w:id="4713" w:name="_Toc534629557"/>
      <w:bookmarkStart w:id="4714" w:name="_Toc534649326"/>
      <w:bookmarkStart w:id="4715" w:name="_Toc534715385"/>
      <w:bookmarkStart w:id="4716" w:name="_Toc534734522"/>
      <w:bookmarkStart w:id="4717" w:name="_Toc534734798"/>
      <w:bookmarkStart w:id="4718" w:name="_Toc536717462"/>
      <w:bookmarkStart w:id="4719" w:name="_Toc536862640"/>
      <w:bookmarkStart w:id="4720" w:name="_Toc536864009"/>
      <w:bookmarkStart w:id="4721" w:name="_Toc536864396"/>
      <w:bookmarkStart w:id="4722" w:name="_Toc536864897"/>
      <w:bookmarkStart w:id="4723" w:name="_Toc536865212"/>
      <w:bookmarkStart w:id="4724" w:name="_Toc536865527"/>
      <w:bookmarkStart w:id="4725" w:name="_Toc536865842"/>
      <w:bookmarkStart w:id="4726" w:name="_Toc536866157"/>
      <w:bookmarkStart w:id="4727" w:name="_Toc536866472"/>
      <w:bookmarkStart w:id="4728" w:name="_Toc536866787"/>
      <w:bookmarkStart w:id="4729" w:name="_Toc536867102"/>
      <w:bookmarkStart w:id="4730" w:name="_Toc536867417"/>
      <w:bookmarkStart w:id="4731" w:name="_Toc536867700"/>
      <w:bookmarkStart w:id="4732" w:name="_Toc536867983"/>
      <w:bookmarkStart w:id="4733" w:name="_Toc536868880"/>
      <w:bookmarkStart w:id="4734" w:name="_Toc536869211"/>
      <w:bookmarkStart w:id="4735" w:name="_Toc128054"/>
      <w:bookmarkStart w:id="4736" w:name="_Toc128448"/>
      <w:bookmarkStart w:id="4737" w:name="_Toc128842"/>
      <w:bookmarkStart w:id="4738" w:name="_Toc129236"/>
      <w:bookmarkStart w:id="4739" w:name="_Toc129630"/>
      <w:bookmarkStart w:id="4740" w:name="_Toc130023"/>
      <w:bookmarkStart w:id="4741" w:name="_Toc130417"/>
      <w:bookmarkStart w:id="4742" w:name="_Toc130811"/>
      <w:bookmarkStart w:id="4743" w:name="_Toc131205"/>
      <w:bookmarkStart w:id="4744" w:name="_Toc289100"/>
      <w:bookmarkStart w:id="4745" w:name="_Toc338266"/>
      <w:bookmarkStart w:id="4746" w:name="_Toc705698"/>
      <w:bookmarkStart w:id="4747" w:name="_Toc706684"/>
      <w:bookmarkStart w:id="4748" w:name="_Toc708993"/>
      <w:bookmarkStart w:id="4749" w:name="_Toc710358"/>
      <w:bookmarkStart w:id="4750" w:name="_Toc970377"/>
      <w:bookmarkStart w:id="4751" w:name="_Toc970752"/>
      <w:bookmarkStart w:id="4752" w:name="_Toc1135452"/>
      <w:bookmarkStart w:id="4753" w:name="_Toc1165766"/>
      <w:bookmarkStart w:id="4754" w:name="_Toc1207831"/>
      <w:bookmarkStart w:id="4755" w:name="_Toc1408447"/>
      <w:bookmarkStart w:id="4756" w:name="_Toc529627580"/>
      <w:bookmarkStart w:id="4757" w:name="_Toc533172216"/>
      <w:bookmarkStart w:id="4758" w:name="_Toc534451479"/>
      <w:bookmarkStart w:id="4759" w:name="_Toc534451752"/>
      <w:bookmarkStart w:id="4760" w:name="_Toc534452025"/>
      <w:bookmarkStart w:id="4761" w:name="_Toc534452865"/>
      <w:bookmarkStart w:id="4762" w:name="_Toc534629290"/>
      <w:bookmarkStart w:id="4763" w:name="_Toc534629564"/>
      <w:bookmarkStart w:id="4764" w:name="_Toc534649333"/>
      <w:bookmarkStart w:id="4765" w:name="_Toc534715392"/>
      <w:bookmarkStart w:id="4766" w:name="_Toc534734529"/>
      <w:bookmarkStart w:id="4767" w:name="_Toc534734805"/>
      <w:bookmarkStart w:id="4768" w:name="_Toc536717469"/>
      <w:bookmarkStart w:id="4769" w:name="_Toc536862647"/>
      <w:bookmarkStart w:id="4770" w:name="_Toc536864016"/>
      <w:bookmarkStart w:id="4771" w:name="_Toc536864403"/>
      <w:bookmarkStart w:id="4772" w:name="_Toc536864904"/>
      <w:bookmarkStart w:id="4773" w:name="_Toc536865219"/>
      <w:bookmarkStart w:id="4774" w:name="_Toc536865534"/>
      <w:bookmarkStart w:id="4775" w:name="_Toc536865849"/>
      <w:bookmarkStart w:id="4776" w:name="_Toc536866164"/>
      <w:bookmarkStart w:id="4777" w:name="_Toc536866479"/>
      <w:bookmarkStart w:id="4778" w:name="_Toc536866794"/>
      <w:bookmarkStart w:id="4779" w:name="_Toc536867109"/>
      <w:bookmarkStart w:id="4780" w:name="_Toc536867424"/>
      <w:bookmarkStart w:id="4781" w:name="_Toc536867707"/>
      <w:bookmarkStart w:id="4782" w:name="_Toc536867990"/>
      <w:bookmarkStart w:id="4783" w:name="_Toc536868887"/>
      <w:bookmarkStart w:id="4784" w:name="_Toc536869218"/>
      <w:bookmarkStart w:id="4785" w:name="_Toc128061"/>
      <w:bookmarkStart w:id="4786" w:name="_Toc128455"/>
      <w:bookmarkStart w:id="4787" w:name="_Toc128849"/>
      <w:bookmarkStart w:id="4788" w:name="_Toc129243"/>
      <w:bookmarkStart w:id="4789" w:name="_Toc129637"/>
      <w:bookmarkStart w:id="4790" w:name="_Toc130030"/>
      <w:bookmarkStart w:id="4791" w:name="_Toc130424"/>
      <w:bookmarkStart w:id="4792" w:name="_Toc130818"/>
      <w:bookmarkStart w:id="4793" w:name="_Toc131212"/>
      <w:bookmarkStart w:id="4794" w:name="_Toc289107"/>
      <w:bookmarkStart w:id="4795" w:name="_Toc338273"/>
      <w:bookmarkStart w:id="4796" w:name="_Toc705705"/>
      <w:bookmarkStart w:id="4797" w:name="_Toc706691"/>
      <w:bookmarkStart w:id="4798" w:name="_Toc709000"/>
      <w:bookmarkStart w:id="4799" w:name="_Toc710365"/>
      <w:bookmarkStart w:id="4800" w:name="_Toc970384"/>
      <w:bookmarkStart w:id="4801" w:name="_Toc970759"/>
      <w:bookmarkStart w:id="4802" w:name="_Toc1135459"/>
      <w:bookmarkStart w:id="4803" w:name="_Toc1165773"/>
      <w:bookmarkStart w:id="4804" w:name="_Toc1207838"/>
      <w:bookmarkStart w:id="4805" w:name="_Toc1408454"/>
      <w:bookmarkStart w:id="4806" w:name="_Toc529627587"/>
      <w:bookmarkStart w:id="4807" w:name="_Toc533172223"/>
      <w:bookmarkStart w:id="4808" w:name="_Toc534451486"/>
      <w:bookmarkStart w:id="4809" w:name="_Toc534451759"/>
      <w:bookmarkStart w:id="4810" w:name="_Toc534452032"/>
      <w:bookmarkStart w:id="4811" w:name="_Toc534452872"/>
      <w:bookmarkStart w:id="4812" w:name="_Toc534629297"/>
      <w:bookmarkStart w:id="4813" w:name="_Toc534629571"/>
      <w:bookmarkStart w:id="4814" w:name="_Toc534649340"/>
      <w:bookmarkStart w:id="4815" w:name="_Toc534715399"/>
      <w:bookmarkStart w:id="4816" w:name="_Toc534734536"/>
      <w:bookmarkStart w:id="4817" w:name="_Toc534734812"/>
      <w:bookmarkStart w:id="4818" w:name="_Toc536717476"/>
      <w:bookmarkStart w:id="4819" w:name="_Toc536862654"/>
      <w:bookmarkStart w:id="4820" w:name="_Toc536864023"/>
      <w:bookmarkStart w:id="4821" w:name="_Toc536864410"/>
      <w:bookmarkStart w:id="4822" w:name="_Toc536864911"/>
      <w:bookmarkStart w:id="4823" w:name="_Toc536865226"/>
      <w:bookmarkStart w:id="4824" w:name="_Toc536865541"/>
      <w:bookmarkStart w:id="4825" w:name="_Toc536865856"/>
      <w:bookmarkStart w:id="4826" w:name="_Toc536866171"/>
      <w:bookmarkStart w:id="4827" w:name="_Toc536866486"/>
      <w:bookmarkStart w:id="4828" w:name="_Toc536866801"/>
      <w:bookmarkStart w:id="4829" w:name="_Toc536867116"/>
      <w:bookmarkStart w:id="4830" w:name="_Toc536867431"/>
      <w:bookmarkStart w:id="4831" w:name="_Toc536867714"/>
      <w:bookmarkStart w:id="4832" w:name="_Toc536867997"/>
      <w:bookmarkStart w:id="4833" w:name="_Toc536868894"/>
      <w:bookmarkStart w:id="4834" w:name="_Toc536869225"/>
      <w:bookmarkStart w:id="4835" w:name="_Toc128068"/>
      <w:bookmarkStart w:id="4836" w:name="_Toc128462"/>
      <w:bookmarkStart w:id="4837" w:name="_Toc128856"/>
      <w:bookmarkStart w:id="4838" w:name="_Toc129250"/>
      <w:bookmarkStart w:id="4839" w:name="_Toc129644"/>
      <w:bookmarkStart w:id="4840" w:name="_Toc130037"/>
      <w:bookmarkStart w:id="4841" w:name="_Toc130431"/>
      <w:bookmarkStart w:id="4842" w:name="_Toc130825"/>
      <w:bookmarkStart w:id="4843" w:name="_Toc131219"/>
      <w:bookmarkStart w:id="4844" w:name="_Toc289114"/>
      <w:bookmarkStart w:id="4845" w:name="_Toc338280"/>
      <w:bookmarkStart w:id="4846" w:name="_Toc705712"/>
      <w:bookmarkStart w:id="4847" w:name="_Toc706698"/>
      <w:bookmarkStart w:id="4848" w:name="_Toc709007"/>
      <w:bookmarkStart w:id="4849" w:name="_Toc710372"/>
      <w:bookmarkStart w:id="4850" w:name="_Toc970391"/>
      <w:bookmarkStart w:id="4851" w:name="_Toc970766"/>
      <w:bookmarkStart w:id="4852" w:name="_Toc1135466"/>
      <w:bookmarkStart w:id="4853" w:name="_Toc1165780"/>
      <w:bookmarkStart w:id="4854" w:name="_Toc1207845"/>
      <w:bookmarkStart w:id="4855" w:name="_Toc1408461"/>
      <w:bookmarkStart w:id="4856" w:name="_Toc529627598"/>
      <w:bookmarkStart w:id="4857" w:name="_Toc533172234"/>
      <w:bookmarkStart w:id="4858" w:name="_Toc534451497"/>
      <w:bookmarkStart w:id="4859" w:name="_Toc534451770"/>
      <w:bookmarkStart w:id="4860" w:name="_Toc534452043"/>
      <w:bookmarkStart w:id="4861" w:name="_Toc534452883"/>
      <w:bookmarkStart w:id="4862" w:name="_Toc534629308"/>
      <w:bookmarkStart w:id="4863" w:name="_Toc534629582"/>
      <w:bookmarkStart w:id="4864" w:name="_Toc534649351"/>
      <w:bookmarkStart w:id="4865" w:name="_Toc534715410"/>
      <w:bookmarkStart w:id="4866" w:name="_Toc534734547"/>
      <w:bookmarkStart w:id="4867" w:name="_Toc534734823"/>
      <w:bookmarkStart w:id="4868" w:name="_Toc536717487"/>
      <w:bookmarkStart w:id="4869" w:name="_Toc536862665"/>
      <w:bookmarkStart w:id="4870" w:name="_Toc536864034"/>
      <w:bookmarkStart w:id="4871" w:name="_Toc536864421"/>
      <w:bookmarkStart w:id="4872" w:name="_Toc536864922"/>
      <w:bookmarkStart w:id="4873" w:name="_Toc536865237"/>
      <w:bookmarkStart w:id="4874" w:name="_Toc536865552"/>
      <w:bookmarkStart w:id="4875" w:name="_Toc536865867"/>
      <w:bookmarkStart w:id="4876" w:name="_Toc536866182"/>
      <w:bookmarkStart w:id="4877" w:name="_Toc536866497"/>
      <w:bookmarkStart w:id="4878" w:name="_Toc536866812"/>
      <w:bookmarkStart w:id="4879" w:name="_Toc536867127"/>
      <w:bookmarkStart w:id="4880" w:name="_Toc536867442"/>
      <w:bookmarkStart w:id="4881" w:name="_Toc536867725"/>
      <w:bookmarkStart w:id="4882" w:name="_Toc536868008"/>
      <w:bookmarkStart w:id="4883" w:name="_Toc536868905"/>
      <w:bookmarkStart w:id="4884" w:name="_Toc536869236"/>
      <w:bookmarkStart w:id="4885" w:name="_Toc128079"/>
      <w:bookmarkStart w:id="4886" w:name="_Toc128473"/>
      <w:bookmarkStart w:id="4887" w:name="_Toc128867"/>
      <w:bookmarkStart w:id="4888" w:name="_Toc129261"/>
      <w:bookmarkStart w:id="4889" w:name="_Toc129655"/>
      <w:bookmarkStart w:id="4890" w:name="_Toc130048"/>
      <w:bookmarkStart w:id="4891" w:name="_Toc130442"/>
      <w:bookmarkStart w:id="4892" w:name="_Toc130836"/>
      <w:bookmarkStart w:id="4893" w:name="_Toc131230"/>
      <w:bookmarkStart w:id="4894" w:name="_Toc289125"/>
      <w:bookmarkStart w:id="4895" w:name="_Toc338291"/>
      <w:bookmarkStart w:id="4896" w:name="_Toc705723"/>
      <w:bookmarkStart w:id="4897" w:name="_Toc706709"/>
      <w:bookmarkStart w:id="4898" w:name="_Toc709018"/>
      <w:bookmarkStart w:id="4899" w:name="_Toc710383"/>
      <w:bookmarkStart w:id="4900" w:name="_Toc970402"/>
      <w:bookmarkStart w:id="4901" w:name="_Toc970777"/>
      <w:bookmarkStart w:id="4902" w:name="_Toc1135477"/>
      <w:bookmarkStart w:id="4903" w:name="_Toc1165791"/>
      <w:bookmarkStart w:id="4904" w:name="_Toc1207856"/>
      <w:bookmarkStart w:id="4905" w:name="_Toc1408472"/>
      <w:bookmarkStart w:id="4906" w:name="_Toc529627603"/>
      <w:bookmarkStart w:id="4907" w:name="_Toc533172239"/>
      <w:bookmarkStart w:id="4908" w:name="_Toc534451502"/>
      <w:bookmarkStart w:id="4909" w:name="_Toc534451775"/>
      <w:bookmarkStart w:id="4910" w:name="_Toc534452048"/>
      <w:bookmarkStart w:id="4911" w:name="_Toc534452888"/>
      <w:bookmarkStart w:id="4912" w:name="_Toc534629313"/>
      <w:bookmarkStart w:id="4913" w:name="_Toc534629587"/>
      <w:bookmarkStart w:id="4914" w:name="_Toc534649356"/>
      <w:bookmarkStart w:id="4915" w:name="_Toc534715415"/>
      <w:bookmarkStart w:id="4916" w:name="_Toc534734552"/>
      <w:bookmarkStart w:id="4917" w:name="_Toc534734828"/>
      <w:bookmarkStart w:id="4918" w:name="_Toc536717492"/>
      <w:bookmarkStart w:id="4919" w:name="_Toc536862670"/>
      <w:bookmarkStart w:id="4920" w:name="_Toc536864039"/>
      <w:bookmarkStart w:id="4921" w:name="_Toc536864426"/>
      <w:bookmarkStart w:id="4922" w:name="_Toc536864927"/>
      <w:bookmarkStart w:id="4923" w:name="_Toc536865242"/>
      <w:bookmarkStart w:id="4924" w:name="_Toc536865557"/>
      <w:bookmarkStart w:id="4925" w:name="_Toc536865872"/>
      <w:bookmarkStart w:id="4926" w:name="_Toc536866187"/>
      <w:bookmarkStart w:id="4927" w:name="_Toc536866502"/>
      <w:bookmarkStart w:id="4928" w:name="_Toc536866817"/>
      <w:bookmarkStart w:id="4929" w:name="_Toc536867132"/>
      <w:bookmarkStart w:id="4930" w:name="_Toc536867447"/>
      <w:bookmarkStart w:id="4931" w:name="_Toc536867730"/>
      <w:bookmarkStart w:id="4932" w:name="_Toc536868013"/>
      <w:bookmarkStart w:id="4933" w:name="_Toc536868910"/>
      <w:bookmarkStart w:id="4934" w:name="_Toc536869241"/>
      <w:bookmarkStart w:id="4935" w:name="_Toc128084"/>
      <w:bookmarkStart w:id="4936" w:name="_Toc128478"/>
      <w:bookmarkStart w:id="4937" w:name="_Toc128872"/>
      <w:bookmarkStart w:id="4938" w:name="_Toc129266"/>
      <w:bookmarkStart w:id="4939" w:name="_Toc129660"/>
      <w:bookmarkStart w:id="4940" w:name="_Toc130053"/>
      <w:bookmarkStart w:id="4941" w:name="_Toc130447"/>
      <w:bookmarkStart w:id="4942" w:name="_Toc130841"/>
      <w:bookmarkStart w:id="4943" w:name="_Toc131235"/>
      <w:bookmarkStart w:id="4944" w:name="_Toc289130"/>
      <w:bookmarkStart w:id="4945" w:name="_Toc338296"/>
      <w:bookmarkStart w:id="4946" w:name="_Toc705728"/>
      <w:bookmarkStart w:id="4947" w:name="_Toc706714"/>
      <w:bookmarkStart w:id="4948" w:name="_Toc709023"/>
      <w:bookmarkStart w:id="4949" w:name="_Toc710388"/>
      <w:bookmarkStart w:id="4950" w:name="_Toc970407"/>
      <w:bookmarkStart w:id="4951" w:name="_Toc970782"/>
      <w:bookmarkStart w:id="4952" w:name="_Toc1135482"/>
      <w:bookmarkStart w:id="4953" w:name="_Toc1165796"/>
      <w:bookmarkStart w:id="4954" w:name="_Toc1207861"/>
      <w:bookmarkStart w:id="4955" w:name="_Toc1408477"/>
      <w:bookmarkStart w:id="4956" w:name="_Toc529627608"/>
      <w:bookmarkStart w:id="4957" w:name="_Toc533172244"/>
      <w:bookmarkStart w:id="4958" w:name="_Toc534451507"/>
      <w:bookmarkStart w:id="4959" w:name="_Toc534451780"/>
      <w:bookmarkStart w:id="4960" w:name="_Toc534452053"/>
      <w:bookmarkStart w:id="4961" w:name="_Toc534452893"/>
      <w:bookmarkStart w:id="4962" w:name="_Toc534629318"/>
      <w:bookmarkStart w:id="4963" w:name="_Toc534629592"/>
      <w:bookmarkStart w:id="4964" w:name="_Toc534649361"/>
      <w:bookmarkStart w:id="4965" w:name="_Toc534715420"/>
      <w:bookmarkStart w:id="4966" w:name="_Toc534734557"/>
      <w:bookmarkStart w:id="4967" w:name="_Toc534734833"/>
      <w:bookmarkStart w:id="4968" w:name="_Toc536717497"/>
      <w:bookmarkStart w:id="4969" w:name="_Toc536862675"/>
      <w:bookmarkStart w:id="4970" w:name="_Toc536864044"/>
      <w:bookmarkStart w:id="4971" w:name="_Toc536864431"/>
      <w:bookmarkStart w:id="4972" w:name="_Toc536864932"/>
      <w:bookmarkStart w:id="4973" w:name="_Toc536865247"/>
      <w:bookmarkStart w:id="4974" w:name="_Toc536865562"/>
      <w:bookmarkStart w:id="4975" w:name="_Toc536865877"/>
      <w:bookmarkStart w:id="4976" w:name="_Toc536866192"/>
      <w:bookmarkStart w:id="4977" w:name="_Toc536866507"/>
      <w:bookmarkStart w:id="4978" w:name="_Toc536866822"/>
      <w:bookmarkStart w:id="4979" w:name="_Toc536867137"/>
      <w:bookmarkStart w:id="4980" w:name="_Toc536867452"/>
      <w:bookmarkStart w:id="4981" w:name="_Toc536867735"/>
      <w:bookmarkStart w:id="4982" w:name="_Toc536868018"/>
      <w:bookmarkStart w:id="4983" w:name="_Toc536868915"/>
      <w:bookmarkStart w:id="4984" w:name="_Toc536869246"/>
      <w:bookmarkStart w:id="4985" w:name="_Toc128089"/>
      <w:bookmarkStart w:id="4986" w:name="_Toc128483"/>
      <w:bookmarkStart w:id="4987" w:name="_Toc128877"/>
      <w:bookmarkStart w:id="4988" w:name="_Toc129271"/>
      <w:bookmarkStart w:id="4989" w:name="_Toc129665"/>
      <w:bookmarkStart w:id="4990" w:name="_Toc130058"/>
      <w:bookmarkStart w:id="4991" w:name="_Toc130452"/>
      <w:bookmarkStart w:id="4992" w:name="_Toc130846"/>
      <w:bookmarkStart w:id="4993" w:name="_Toc131240"/>
      <w:bookmarkStart w:id="4994" w:name="_Toc289135"/>
      <w:bookmarkStart w:id="4995" w:name="_Toc338301"/>
      <w:bookmarkStart w:id="4996" w:name="_Toc705733"/>
      <w:bookmarkStart w:id="4997" w:name="_Toc706719"/>
      <w:bookmarkStart w:id="4998" w:name="_Toc709028"/>
      <w:bookmarkStart w:id="4999" w:name="_Toc710393"/>
      <w:bookmarkStart w:id="5000" w:name="_Toc970412"/>
      <w:bookmarkStart w:id="5001" w:name="_Toc970787"/>
      <w:bookmarkStart w:id="5002" w:name="_Toc1135487"/>
      <w:bookmarkStart w:id="5003" w:name="_Toc1165801"/>
      <w:bookmarkStart w:id="5004" w:name="_Toc1207866"/>
      <w:bookmarkStart w:id="5005" w:name="_Toc1408482"/>
      <w:bookmarkStart w:id="5006" w:name="_Toc529627613"/>
      <w:bookmarkStart w:id="5007" w:name="_Toc533172249"/>
      <w:bookmarkStart w:id="5008" w:name="_Toc534451512"/>
      <w:bookmarkStart w:id="5009" w:name="_Toc534451785"/>
      <w:bookmarkStart w:id="5010" w:name="_Toc534452058"/>
      <w:bookmarkStart w:id="5011" w:name="_Toc534452898"/>
      <w:bookmarkStart w:id="5012" w:name="_Toc534629323"/>
      <w:bookmarkStart w:id="5013" w:name="_Toc534629597"/>
      <w:bookmarkStart w:id="5014" w:name="_Toc534649366"/>
      <w:bookmarkStart w:id="5015" w:name="_Toc534715425"/>
      <w:bookmarkStart w:id="5016" w:name="_Toc534734562"/>
      <w:bookmarkStart w:id="5017" w:name="_Toc534734838"/>
      <w:bookmarkStart w:id="5018" w:name="_Toc536717502"/>
      <w:bookmarkStart w:id="5019" w:name="_Toc536862680"/>
      <w:bookmarkStart w:id="5020" w:name="_Toc536864049"/>
      <w:bookmarkStart w:id="5021" w:name="_Toc536864436"/>
      <w:bookmarkStart w:id="5022" w:name="_Toc536864937"/>
      <w:bookmarkStart w:id="5023" w:name="_Toc536865252"/>
      <w:bookmarkStart w:id="5024" w:name="_Toc536865567"/>
      <w:bookmarkStart w:id="5025" w:name="_Toc536865882"/>
      <w:bookmarkStart w:id="5026" w:name="_Toc536866197"/>
      <w:bookmarkStart w:id="5027" w:name="_Toc536866512"/>
      <w:bookmarkStart w:id="5028" w:name="_Toc536866827"/>
      <w:bookmarkStart w:id="5029" w:name="_Toc536867142"/>
      <w:bookmarkStart w:id="5030" w:name="_Toc536867457"/>
      <w:bookmarkStart w:id="5031" w:name="_Toc536867740"/>
      <w:bookmarkStart w:id="5032" w:name="_Toc536868023"/>
      <w:bookmarkStart w:id="5033" w:name="_Toc536868920"/>
      <w:bookmarkStart w:id="5034" w:name="_Toc536869251"/>
      <w:bookmarkStart w:id="5035" w:name="_Toc128094"/>
      <w:bookmarkStart w:id="5036" w:name="_Toc128488"/>
      <w:bookmarkStart w:id="5037" w:name="_Toc128882"/>
      <w:bookmarkStart w:id="5038" w:name="_Toc129276"/>
      <w:bookmarkStart w:id="5039" w:name="_Toc129670"/>
      <w:bookmarkStart w:id="5040" w:name="_Toc130063"/>
      <w:bookmarkStart w:id="5041" w:name="_Toc130457"/>
      <w:bookmarkStart w:id="5042" w:name="_Toc130851"/>
      <w:bookmarkStart w:id="5043" w:name="_Toc131245"/>
      <w:bookmarkStart w:id="5044" w:name="_Toc289140"/>
      <w:bookmarkStart w:id="5045" w:name="_Toc338306"/>
      <w:bookmarkStart w:id="5046" w:name="_Toc705738"/>
      <w:bookmarkStart w:id="5047" w:name="_Toc706724"/>
      <w:bookmarkStart w:id="5048" w:name="_Toc709033"/>
      <w:bookmarkStart w:id="5049" w:name="_Toc710398"/>
      <w:bookmarkStart w:id="5050" w:name="_Toc970417"/>
      <w:bookmarkStart w:id="5051" w:name="_Toc970792"/>
      <w:bookmarkStart w:id="5052" w:name="_Toc1135492"/>
      <w:bookmarkStart w:id="5053" w:name="_Toc1165806"/>
      <w:bookmarkStart w:id="5054" w:name="_Toc1207871"/>
      <w:bookmarkStart w:id="5055" w:name="_Toc1408487"/>
      <w:bookmarkStart w:id="5056" w:name="_Toc529627618"/>
      <w:bookmarkStart w:id="5057" w:name="_Toc533172254"/>
      <w:bookmarkStart w:id="5058" w:name="_Toc534451517"/>
      <w:bookmarkStart w:id="5059" w:name="_Toc534451790"/>
      <w:bookmarkStart w:id="5060" w:name="_Toc534452063"/>
      <w:bookmarkStart w:id="5061" w:name="_Toc534452903"/>
      <w:bookmarkStart w:id="5062" w:name="_Toc534629328"/>
      <w:bookmarkStart w:id="5063" w:name="_Toc534629602"/>
      <w:bookmarkStart w:id="5064" w:name="_Toc534649371"/>
      <w:bookmarkStart w:id="5065" w:name="_Toc534715430"/>
      <w:bookmarkStart w:id="5066" w:name="_Toc534734567"/>
      <w:bookmarkStart w:id="5067" w:name="_Toc534734843"/>
      <w:bookmarkStart w:id="5068" w:name="_Toc536717507"/>
      <w:bookmarkStart w:id="5069" w:name="_Toc536862685"/>
      <w:bookmarkStart w:id="5070" w:name="_Toc536864054"/>
      <w:bookmarkStart w:id="5071" w:name="_Toc536864441"/>
      <w:bookmarkStart w:id="5072" w:name="_Toc536864942"/>
      <w:bookmarkStart w:id="5073" w:name="_Toc536865257"/>
      <w:bookmarkStart w:id="5074" w:name="_Toc536865572"/>
      <w:bookmarkStart w:id="5075" w:name="_Toc536865887"/>
      <w:bookmarkStart w:id="5076" w:name="_Toc536866202"/>
      <w:bookmarkStart w:id="5077" w:name="_Toc536866517"/>
      <w:bookmarkStart w:id="5078" w:name="_Toc536866832"/>
      <w:bookmarkStart w:id="5079" w:name="_Toc536867147"/>
      <w:bookmarkStart w:id="5080" w:name="_Toc536867462"/>
      <w:bookmarkStart w:id="5081" w:name="_Toc536867745"/>
      <w:bookmarkStart w:id="5082" w:name="_Toc536868028"/>
      <w:bookmarkStart w:id="5083" w:name="_Toc536868925"/>
      <w:bookmarkStart w:id="5084" w:name="_Toc536869256"/>
      <w:bookmarkStart w:id="5085" w:name="_Toc128099"/>
      <w:bookmarkStart w:id="5086" w:name="_Toc128493"/>
      <w:bookmarkStart w:id="5087" w:name="_Toc128887"/>
      <w:bookmarkStart w:id="5088" w:name="_Toc129281"/>
      <w:bookmarkStart w:id="5089" w:name="_Toc129675"/>
      <w:bookmarkStart w:id="5090" w:name="_Toc130068"/>
      <w:bookmarkStart w:id="5091" w:name="_Toc130462"/>
      <w:bookmarkStart w:id="5092" w:name="_Toc130856"/>
      <w:bookmarkStart w:id="5093" w:name="_Toc131250"/>
      <w:bookmarkStart w:id="5094" w:name="_Toc289145"/>
      <w:bookmarkStart w:id="5095" w:name="_Toc338311"/>
      <w:bookmarkStart w:id="5096" w:name="_Toc705743"/>
      <w:bookmarkStart w:id="5097" w:name="_Toc706729"/>
      <w:bookmarkStart w:id="5098" w:name="_Toc709038"/>
      <w:bookmarkStart w:id="5099" w:name="_Toc710403"/>
      <w:bookmarkStart w:id="5100" w:name="_Toc970422"/>
      <w:bookmarkStart w:id="5101" w:name="_Toc970797"/>
      <w:bookmarkStart w:id="5102" w:name="_Toc1135497"/>
      <w:bookmarkStart w:id="5103" w:name="_Toc1165811"/>
      <w:bookmarkStart w:id="5104" w:name="_Toc1207876"/>
      <w:bookmarkStart w:id="5105" w:name="_Toc1408492"/>
      <w:bookmarkStart w:id="5106" w:name="_Toc529627619"/>
      <w:bookmarkStart w:id="5107" w:name="_Toc533172255"/>
      <w:bookmarkStart w:id="5108" w:name="_Toc534451518"/>
      <w:bookmarkStart w:id="5109" w:name="_Toc534451791"/>
      <w:bookmarkStart w:id="5110" w:name="_Toc534452064"/>
      <w:bookmarkStart w:id="5111" w:name="_Toc534452904"/>
      <w:bookmarkStart w:id="5112" w:name="_Toc534629329"/>
      <w:bookmarkStart w:id="5113" w:name="_Toc534629603"/>
      <w:bookmarkStart w:id="5114" w:name="_Toc534649372"/>
      <w:bookmarkStart w:id="5115" w:name="_Toc534715431"/>
      <w:bookmarkStart w:id="5116" w:name="_Toc534734568"/>
      <w:bookmarkStart w:id="5117" w:name="_Toc534734844"/>
      <w:bookmarkStart w:id="5118" w:name="_Toc536717508"/>
      <w:bookmarkStart w:id="5119" w:name="_Toc536862686"/>
      <w:bookmarkStart w:id="5120" w:name="_Toc536864055"/>
      <w:bookmarkStart w:id="5121" w:name="_Toc536864442"/>
      <w:bookmarkStart w:id="5122" w:name="_Toc536864943"/>
      <w:bookmarkStart w:id="5123" w:name="_Toc536865258"/>
      <w:bookmarkStart w:id="5124" w:name="_Toc536865573"/>
      <w:bookmarkStart w:id="5125" w:name="_Toc536865888"/>
      <w:bookmarkStart w:id="5126" w:name="_Toc536866203"/>
      <w:bookmarkStart w:id="5127" w:name="_Toc536866518"/>
      <w:bookmarkStart w:id="5128" w:name="_Toc536866833"/>
      <w:bookmarkStart w:id="5129" w:name="_Toc536867148"/>
      <w:bookmarkStart w:id="5130" w:name="_Toc536867463"/>
      <w:bookmarkStart w:id="5131" w:name="_Toc536867746"/>
      <w:bookmarkStart w:id="5132" w:name="_Toc536868029"/>
      <w:bookmarkStart w:id="5133" w:name="_Toc536868926"/>
      <w:bookmarkStart w:id="5134" w:name="_Toc536869257"/>
      <w:bookmarkStart w:id="5135" w:name="_Toc128100"/>
      <w:bookmarkStart w:id="5136" w:name="_Toc128494"/>
      <w:bookmarkStart w:id="5137" w:name="_Toc128888"/>
      <w:bookmarkStart w:id="5138" w:name="_Toc129282"/>
      <w:bookmarkStart w:id="5139" w:name="_Toc129676"/>
      <w:bookmarkStart w:id="5140" w:name="_Toc130069"/>
      <w:bookmarkStart w:id="5141" w:name="_Toc130463"/>
      <w:bookmarkStart w:id="5142" w:name="_Toc130857"/>
      <w:bookmarkStart w:id="5143" w:name="_Toc131251"/>
      <w:bookmarkStart w:id="5144" w:name="_Toc289146"/>
      <w:bookmarkStart w:id="5145" w:name="_Toc338312"/>
      <w:bookmarkStart w:id="5146" w:name="_Toc705744"/>
      <w:bookmarkStart w:id="5147" w:name="_Toc706730"/>
      <w:bookmarkStart w:id="5148" w:name="_Toc709039"/>
      <w:bookmarkStart w:id="5149" w:name="_Toc710404"/>
      <w:bookmarkStart w:id="5150" w:name="_Toc970423"/>
      <w:bookmarkStart w:id="5151" w:name="_Toc970798"/>
      <w:bookmarkStart w:id="5152" w:name="_Toc1135498"/>
      <w:bookmarkStart w:id="5153" w:name="_Toc1165812"/>
      <w:bookmarkStart w:id="5154" w:name="_Toc1207877"/>
      <w:bookmarkStart w:id="5155" w:name="_Toc1408493"/>
      <w:bookmarkStart w:id="5156" w:name="_Toc529627620"/>
      <w:bookmarkStart w:id="5157" w:name="_Toc533172256"/>
      <w:bookmarkStart w:id="5158" w:name="_Toc534451519"/>
      <w:bookmarkStart w:id="5159" w:name="_Toc534451792"/>
      <w:bookmarkStart w:id="5160" w:name="_Toc534452065"/>
      <w:bookmarkStart w:id="5161" w:name="_Toc534452905"/>
      <w:bookmarkStart w:id="5162" w:name="_Toc534629330"/>
      <w:bookmarkStart w:id="5163" w:name="_Toc534629604"/>
      <w:bookmarkStart w:id="5164" w:name="_Toc534649373"/>
      <w:bookmarkStart w:id="5165" w:name="_Toc534715432"/>
      <w:bookmarkStart w:id="5166" w:name="_Toc534734569"/>
      <w:bookmarkStart w:id="5167" w:name="_Toc534734845"/>
      <w:bookmarkStart w:id="5168" w:name="_Toc536717509"/>
      <w:bookmarkStart w:id="5169" w:name="_Toc536862687"/>
      <w:bookmarkStart w:id="5170" w:name="_Toc536864056"/>
      <w:bookmarkStart w:id="5171" w:name="_Toc536864443"/>
      <w:bookmarkStart w:id="5172" w:name="_Toc536864944"/>
      <w:bookmarkStart w:id="5173" w:name="_Toc536865259"/>
      <w:bookmarkStart w:id="5174" w:name="_Toc536865574"/>
      <w:bookmarkStart w:id="5175" w:name="_Toc536865889"/>
      <w:bookmarkStart w:id="5176" w:name="_Toc536866204"/>
      <w:bookmarkStart w:id="5177" w:name="_Toc536866519"/>
      <w:bookmarkStart w:id="5178" w:name="_Toc536866834"/>
      <w:bookmarkStart w:id="5179" w:name="_Toc536867149"/>
      <w:bookmarkStart w:id="5180" w:name="_Toc536867464"/>
      <w:bookmarkStart w:id="5181" w:name="_Toc536867747"/>
      <w:bookmarkStart w:id="5182" w:name="_Toc536868030"/>
      <w:bookmarkStart w:id="5183" w:name="_Toc536868927"/>
      <w:bookmarkStart w:id="5184" w:name="_Toc536869258"/>
      <w:bookmarkStart w:id="5185" w:name="_Toc128101"/>
      <w:bookmarkStart w:id="5186" w:name="_Toc128495"/>
      <w:bookmarkStart w:id="5187" w:name="_Toc128889"/>
      <w:bookmarkStart w:id="5188" w:name="_Toc129283"/>
      <w:bookmarkStart w:id="5189" w:name="_Toc129677"/>
      <w:bookmarkStart w:id="5190" w:name="_Toc130070"/>
      <w:bookmarkStart w:id="5191" w:name="_Toc130464"/>
      <w:bookmarkStart w:id="5192" w:name="_Toc130858"/>
      <w:bookmarkStart w:id="5193" w:name="_Toc131252"/>
      <w:bookmarkStart w:id="5194" w:name="_Toc289147"/>
      <w:bookmarkStart w:id="5195" w:name="_Toc338313"/>
      <w:bookmarkStart w:id="5196" w:name="_Toc705745"/>
      <w:bookmarkStart w:id="5197" w:name="_Toc706731"/>
      <w:bookmarkStart w:id="5198" w:name="_Toc709040"/>
      <w:bookmarkStart w:id="5199" w:name="_Toc710405"/>
      <w:bookmarkStart w:id="5200" w:name="_Toc970424"/>
      <w:bookmarkStart w:id="5201" w:name="_Toc970799"/>
      <w:bookmarkStart w:id="5202" w:name="_Toc1135499"/>
      <w:bookmarkStart w:id="5203" w:name="_Toc1165813"/>
      <w:bookmarkStart w:id="5204" w:name="_Toc1207878"/>
      <w:bookmarkStart w:id="5205" w:name="_Toc1408494"/>
      <w:bookmarkStart w:id="5206" w:name="_Toc529627621"/>
      <w:bookmarkStart w:id="5207" w:name="_Toc533172257"/>
      <w:bookmarkStart w:id="5208" w:name="_Toc534451520"/>
      <w:bookmarkStart w:id="5209" w:name="_Toc534451793"/>
      <w:bookmarkStart w:id="5210" w:name="_Toc534452066"/>
      <w:bookmarkStart w:id="5211" w:name="_Toc534452906"/>
      <w:bookmarkStart w:id="5212" w:name="_Toc534629331"/>
      <w:bookmarkStart w:id="5213" w:name="_Toc534629605"/>
      <w:bookmarkStart w:id="5214" w:name="_Toc534649374"/>
      <w:bookmarkStart w:id="5215" w:name="_Toc534715433"/>
      <w:bookmarkStart w:id="5216" w:name="_Toc534734570"/>
      <w:bookmarkStart w:id="5217" w:name="_Toc534734846"/>
      <w:bookmarkStart w:id="5218" w:name="_Toc536717510"/>
      <w:bookmarkStart w:id="5219" w:name="_Toc536862688"/>
      <w:bookmarkStart w:id="5220" w:name="_Toc536864057"/>
      <w:bookmarkStart w:id="5221" w:name="_Toc536864444"/>
      <w:bookmarkStart w:id="5222" w:name="_Toc536864945"/>
      <w:bookmarkStart w:id="5223" w:name="_Toc536865260"/>
      <w:bookmarkStart w:id="5224" w:name="_Toc536865575"/>
      <w:bookmarkStart w:id="5225" w:name="_Toc536865890"/>
      <w:bookmarkStart w:id="5226" w:name="_Toc536866205"/>
      <w:bookmarkStart w:id="5227" w:name="_Toc536866520"/>
      <w:bookmarkStart w:id="5228" w:name="_Toc536866835"/>
      <w:bookmarkStart w:id="5229" w:name="_Toc536867150"/>
      <w:bookmarkStart w:id="5230" w:name="_Toc536867465"/>
      <w:bookmarkStart w:id="5231" w:name="_Toc536867748"/>
      <w:bookmarkStart w:id="5232" w:name="_Toc536868031"/>
      <w:bookmarkStart w:id="5233" w:name="_Toc536868928"/>
      <w:bookmarkStart w:id="5234" w:name="_Toc536869259"/>
      <w:bookmarkStart w:id="5235" w:name="_Toc128102"/>
      <w:bookmarkStart w:id="5236" w:name="_Toc128496"/>
      <w:bookmarkStart w:id="5237" w:name="_Toc128890"/>
      <w:bookmarkStart w:id="5238" w:name="_Toc129284"/>
      <w:bookmarkStart w:id="5239" w:name="_Toc129678"/>
      <w:bookmarkStart w:id="5240" w:name="_Toc130071"/>
      <w:bookmarkStart w:id="5241" w:name="_Toc130465"/>
      <w:bookmarkStart w:id="5242" w:name="_Toc130859"/>
      <w:bookmarkStart w:id="5243" w:name="_Toc131253"/>
      <w:bookmarkStart w:id="5244" w:name="_Toc289148"/>
      <w:bookmarkStart w:id="5245" w:name="_Toc338314"/>
      <w:bookmarkStart w:id="5246" w:name="_Toc705746"/>
      <w:bookmarkStart w:id="5247" w:name="_Toc706732"/>
      <w:bookmarkStart w:id="5248" w:name="_Toc709041"/>
      <w:bookmarkStart w:id="5249" w:name="_Toc710406"/>
      <w:bookmarkStart w:id="5250" w:name="_Toc970425"/>
      <w:bookmarkStart w:id="5251" w:name="_Toc970800"/>
      <w:bookmarkStart w:id="5252" w:name="_Toc1135500"/>
      <w:bookmarkStart w:id="5253" w:name="_Toc1165814"/>
      <w:bookmarkStart w:id="5254" w:name="_Toc1207879"/>
      <w:bookmarkStart w:id="5255" w:name="_Toc1408495"/>
      <w:bookmarkStart w:id="5256" w:name="_Toc529627622"/>
      <w:bookmarkStart w:id="5257" w:name="_Toc533172258"/>
      <w:bookmarkStart w:id="5258" w:name="_Toc534451521"/>
      <w:bookmarkStart w:id="5259" w:name="_Toc534451794"/>
      <w:bookmarkStart w:id="5260" w:name="_Toc534452067"/>
      <w:bookmarkStart w:id="5261" w:name="_Toc534452907"/>
      <w:bookmarkStart w:id="5262" w:name="_Toc534629332"/>
      <w:bookmarkStart w:id="5263" w:name="_Toc534629606"/>
      <w:bookmarkStart w:id="5264" w:name="_Toc534649375"/>
      <w:bookmarkStart w:id="5265" w:name="_Toc534715434"/>
      <w:bookmarkStart w:id="5266" w:name="_Toc534734571"/>
      <w:bookmarkStart w:id="5267" w:name="_Toc534734847"/>
      <w:bookmarkStart w:id="5268" w:name="_Toc536717511"/>
      <w:bookmarkStart w:id="5269" w:name="_Toc536862689"/>
      <w:bookmarkStart w:id="5270" w:name="_Toc536864058"/>
      <w:bookmarkStart w:id="5271" w:name="_Toc536864445"/>
      <w:bookmarkStart w:id="5272" w:name="_Toc536864946"/>
      <w:bookmarkStart w:id="5273" w:name="_Toc536865261"/>
      <w:bookmarkStart w:id="5274" w:name="_Toc536865576"/>
      <w:bookmarkStart w:id="5275" w:name="_Toc536865891"/>
      <w:bookmarkStart w:id="5276" w:name="_Toc536866206"/>
      <w:bookmarkStart w:id="5277" w:name="_Toc536866521"/>
      <w:bookmarkStart w:id="5278" w:name="_Toc536866836"/>
      <w:bookmarkStart w:id="5279" w:name="_Toc536867151"/>
      <w:bookmarkStart w:id="5280" w:name="_Toc536867466"/>
      <w:bookmarkStart w:id="5281" w:name="_Toc536867749"/>
      <w:bookmarkStart w:id="5282" w:name="_Toc536868032"/>
      <w:bookmarkStart w:id="5283" w:name="_Toc536868929"/>
      <w:bookmarkStart w:id="5284" w:name="_Toc536869260"/>
      <w:bookmarkStart w:id="5285" w:name="_Toc128103"/>
      <w:bookmarkStart w:id="5286" w:name="_Toc128497"/>
      <w:bookmarkStart w:id="5287" w:name="_Toc128891"/>
      <w:bookmarkStart w:id="5288" w:name="_Toc129285"/>
      <w:bookmarkStart w:id="5289" w:name="_Toc129679"/>
      <w:bookmarkStart w:id="5290" w:name="_Toc130072"/>
      <w:bookmarkStart w:id="5291" w:name="_Toc130466"/>
      <w:bookmarkStart w:id="5292" w:name="_Toc130860"/>
      <w:bookmarkStart w:id="5293" w:name="_Toc131254"/>
      <w:bookmarkStart w:id="5294" w:name="_Toc289149"/>
      <w:bookmarkStart w:id="5295" w:name="_Toc338315"/>
      <w:bookmarkStart w:id="5296" w:name="_Toc705747"/>
      <w:bookmarkStart w:id="5297" w:name="_Toc706733"/>
      <w:bookmarkStart w:id="5298" w:name="_Toc709042"/>
      <w:bookmarkStart w:id="5299" w:name="_Toc710407"/>
      <w:bookmarkStart w:id="5300" w:name="_Toc970426"/>
      <w:bookmarkStart w:id="5301" w:name="_Toc970801"/>
      <w:bookmarkStart w:id="5302" w:name="_Toc1135501"/>
      <w:bookmarkStart w:id="5303" w:name="_Toc1165815"/>
      <w:bookmarkStart w:id="5304" w:name="_Toc1207880"/>
      <w:bookmarkStart w:id="5305" w:name="_Toc1408496"/>
      <w:bookmarkStart w:id="5306" w:name="_Toc529627623"/>
      <w:bookmarkStart w:id="5307" w:name="_Toc533172259"/>
      <w:bookmarkStart w:id="5308" w:name="_Toc534451522"/>
      <w:bookmarkStart w:id="5309" w:name="_Toc534451795"/>
      <w:bookmarkStart w:id="5310" w:name="_Toc534452068"/>
      <w:bookmarkStart w:id="5311" w:name="_Toc534452908"/>
      <w:bookmarkStart w:id="5312" w:name="_Toc534629333"/>
      <w:bookmarkStart w:id="5313" w:name="_Toc534629607"/>
      <w:bookmarkStart w:id="5314" w:name="_Toc534649376"/>
      <w:bookmarkStart w:id="5315" w:name="_Toc534715435"/>
      <w:bookmarkStart w:id="5316" w:name="_Toc534734572"/>
      <w:bookmarkStart w:id="5317" w:name="_Toc534734848"/>
      <w:bookmarkStart w:id="5318" w:name="_Toc536717512"/>
      <w:bookmarkStart w:id="5319" w:name="_Toc536862690"/>
      <w:bookmarkStart w:id="5320" w:name="_Toc536864059"/>
      <w:bookmarkStart w:id="5321" w:name="_Toc536864446"/>
      <w:bookmarkStart w:id="5322" w:name="_Toc536864947"/>
      <w:bookmarkStart w:id="5323" w:name="_Toc536865262"/>
      <w:bookmarkStart w:id="5324" w:name="_Toc536865577"/>
      <w:bookmarkStart w:id="5325" w:name="_Toc536865892"/>
      <w:bookmarkStart w:id="5326" w:name="_Toc536866207"/>
      <w:bookmarkStart w:id="5327" w:name="_Toc536866522"/>
      <w:bookmarkStart w:id="5328" w:name="_Toc536866837"/>
      <w:bookmarkStart w:id="5329" w:name="_Toc536867152"/>
      <w:bookmarkStart w:id="5330" w:name="_Toc536867467"/>
      <w:bookmarkStart w:id="5331" w:name="_Toc536867750"/>
      <w:bookmarkStart w:id="5332" w:name="_Toc536868033"/>
      <w:bookmarkStart w:id="5333" w:name="_Toc536868930"/>
      <w:bookmarkStart w:id="5334" w:name="_Toc536869261"/>
      <w:bookmarkStart w:id="5335" w:name="_Toc128104"/>
      <w:bookmarkStart w:id="5336" w:name="_Toc128498"/>
      <w:bookmarkStart w:id="5337" w:name="_Toc128892"/>
      <w:bookmarkStart w:id="5338" w:name="_Toc129286"/>
      <w:bookmarkStart w:id="5339" w:name="_Toc129680"/>
      <w:bookmarkStart w:id="5340" w:name="_Toc130073"/>
      <w:bookmarkStart w:id="5341" w:name="_Toc130467"/>
      <w:bookmarkStart w:id="5342" w:name="_Toc130861"/>
      <w:bookmarkStart w:id="5343" w:name="_Toc131255"/>
      <w:bookmarkStart w:id="5344" w:name="_Toc289150"/>
      <w:bookmarkStart w:id="5345" w:name="_Toc338316"/>
      <w:bookmarkStart w:id="5346" w:name="_Toc705748"/>
      <w:bookmarkStart w:id="5347" w:name="_Toc706734"/>
      <w:bookmarkStart w:id="5348" w:name="_Toc709043"/>
      <w:bookmarkStart w:id="5349" w:name="_Toc710408"/>
      <w:bookmarkStart w:id="5350" w:name="_Toc970427"/>
      <w:bookmarkStart w:id="5351" w:name="_Toc970802"/>
      <w:bookmarkStart w:id="5352" w:name="_Toc1135502"/>
      <w:bookmarkStart w:id="5353" w:name="_Toc1165816"/>
      <w:bookmarkStart w:id="5354" w:name="_Toc1207881"/>
      <w:bookmarkStart w:id="5355" w:name="_Toc1408497"/>
      <w:bookmarkStart w:id="5356" w:name="_Toc529627624"/>
      <w:bookmarkStart w:id="5357" w:name="_Toc533172260"/>
      <w:bookmarkStart w:id="5358" w:name="_Toc534451523"/>
      <w:bookmarkStart w:id="5359" w:name="_Toc534451796"/>
      <w:bookmarkStart w:id="5360" w:name="_Toc534452069"/>
      <w:bookmarkStart w:id="5361" w:name="_Toc534452909"/>
      <w:bookmarkStart w:id="5362" w:name="_Toc534629334"/>
      <w:bookmarkStart w:id="5363" w:name="_Toc534629608"/>
      <w:bookmarkStart w:id="5364" w:name="_Toc534649377"/>
      <w:bookmarkStart w:id="5365" w:name="_Toc534715436"/>
      <w:bookmarkStart w:id="5366" w:name="_Toc534734573"/>
      <w:bookmarkStart w:id="5367" w:name="_Toc534734849"/>
      <w:bookmarkStart w:id="5368" w:name="_Toc536717513"/>
      <w:bookmarkStart w:id="5369" w:name="_Toc536862691"/>
      <w:bookmarkStart w:id="5370" w:name="_Toc536864060"/>
      <w:bookmarkStart w:id="5371" w:name="_Toc536864447"/>
      <w:bookmarkStart w:id="5372" w:name="_Toc536864948"/>
      <w:bookmarkStart w:id="5373" w:name="_Toc536865263"/>
      <w:bookmarkStart w:id="5374" w:name="_Toc536865578"/>
      <w:bookmarkStart w:id="5375" w:name="_Toc536865893"/>
      <w:bookmarkStart w:id="5376" w:name="_Toc536866208"/>
      <w:bookmarkStart w:id="5377" w:name="_Toc536866523"/>
      <w:bookmarkStart w:id="5378" w:name="_Toc536866838"/>
      <w:bookmarkStart w:id="5379" w:name="_Toc536867153"/>
      <w:bookmarkStart w:id="5380" w:name="_Toc536867468"/>
      <w:bookmarkStart w:id="5381" w:name="_Toc536867751"/>
      <w:bookmarkStart w:id="5382" w:name="_Toc536868034"/>
      <w:bookmarkStart w:id="5383" w:name="_Toc536868931"/>
      <w:bookmarkStart w:id="5384" w:name="_Toc536869262"/>
      <w:bookmarkStart w:id="5385" w:name="_Toc128105"/>
      <w:bookmarkStart w:id="5386" w:name="_Toc128499"/>
      <w:bookmarkStart w:id="5387" w:name="_Toc128893"/>
      <w:bookmarkStart w:id="5388" w:name="_Toc129287"/>
      <w:bookmarkStart w:id="5389" w:name="_Toc129681"/>
      <w:bookmarkStart w:id="5390" w:name="_Toc130074"/>
      <w:bookmarkStart w:id="5391" w:name="_Toc130468"/>
      <w:bookmarkStart w:id="5392" w:name="_Toc130862"/>
      <w:bookmarkStart w:id="5393" w:name="_Toc131256"/>
      <w:bookmarkStart w:id="5394" w:name="_Toc289151"/>
      <w:bookmarkStart w:id="5395" w:name="_Toc338317"/>
      <w:bookmarkStart w:id="5396" w:name="_Toc705749"/>
      <w:bookmarkStart w:id="5397" w:name="_Toc706735"/>
      <w:bookmarkStart w:id="5398" w:name="_Toc709044"/>
      <w:bookmarkStart w:id="5399" w:name="_Toc710409"/>
      <w:bookmarkStart w:id="5400" w:name="_Toc970428"/>
      <w:bookmarkStart w:id="5401" w:name="_Toc970803"/>
      <w:bookmarkStart w:id="5402" w:name="_Toc1135503"/>
      <w:bookmarkStart w:id="5403" w:name="_Toc1165817"/>
      <w:bookmarkStart w:id="5404" w:name="_Toc1207882"/>
      <w:bookmarkStart w:id="5405" w:name="_Toc1408498"/>
      <w:bookmarkStart w:id="5406" w:name="_Toc529627625"/>
      <w:bookmarkStart w:id="5407" w:name="_Toc533172261"/>
      <w:bookmarkStart w:id="5408" w:name="_Toc534451524"/>
      <w:bookmarkStart w:id="5409" w:name="_Toc534451797"/>
      <w:bookmarkStart w:id="5410" w:name="_Toc534452070"/>
      <w:bookmarkStart w:id="5411" w:name="_Toc534452910"/>
      <w:bookmarkStart w:id="5412" w:name="_Toc534629335"/>
      <w:bookmarkStart w:id="5413" w:name="_Toc534629609"/>
      <w:bookmarkStart w:id="5414" w:name="_Toc534649378"/>
      <w:bookmarkStart w:id="5415" w:name="_Toc534715437"/>
      <w:bookmarkStart w:id="5416" w:name="_Toc534734574"/>
      <w:bookmarkStart w:id="5417" w:name="_Toc534734850"/>
      <w:bookmarkStart w:id="5418" w:name="_Toc536717514"/>
      <w:bookmarkStart w:id="5419" w:name="_Toc536862692"/>
      <w:bookmarkStart w:id="5420" w:name="_Toc536864061"/>
      <w:bookmarkStart w:id="5421" w:name="_Toc536864448"/>
      <w:bookmarkStart w:id="5422" w:name="_Toc536864949"/>
      <w:bookmarkStart w:id="5423" w:name="_Toc536865264"/>
      <w:bookmarkStart w:id="5424" w:name="_Toc536865579"/>
      <w:bookmarkStart w:id="5425" w:name="_Toc536865894"/>
      <w:bookmarkStart w:id="5426" w:name="_Toc536866209"/>
      <w:bookmarkStart w:id="5427" w:name="_Toc536866524"/>
      <w:bookmarkStart w:id="5428" w:name="_Toc536866839"/>
      <w:bookmarkStart w:id="5429" w:name="_Toc536867154"/>
      <w:bookmarkStart w:id="5430" w:name="_Toc536867469"/>
      <w:bookmarkStart w:id="5431" w:name="_Toc536867752"/>
      <w:bookmarkStart w:id="5432" w:name="_Toc536868035"/>
      <w:bookmarkStart w:id="5433" w:name="_Toc536868932"/>
      <w:bookmarkStart w:id="5434" w:name="_Toc536869263"/>
      <w:bookmarkStart w:id="5435" w:name="_Toc128106"/>
      <w:bookmarkStart w:id="5436" w:name="_Toc128500"/>
      <w:bookmarkStart w:id="5437" w:name="_Toc128894"/>
      <w:bookmarkStart w:id="5438" w:name="_Toc129288"/>
      <w:bookmarkStart w:id="5439" w:name="_Toc129682"/>
      <w:bookmarkStart w:id="5440" w:name="_Toc130075"/>
      <w:bookmarkStart w:id="5441" w:name="_Toc130469"/>
      <w:bookmarkStart w:id="5442" w:name="_Toc130863"/>
      <w:bookmarkStart w:id="5443" w:name="_Toc131257"/>
      <w:bookmarkStart w:id="5444" w:name="_Toc289152"/>
      <w:bookmarkStart w:id="5445" w:name="_Toc338318"/>
      <w:bookmarkStart w:id="5446" w:name="_Toc705750"/>
      <w:bookmarkStart w:id="5447" w:name="_Toc706736"/>
      <w:bookmarkStart w:id="5448" w:name="_Toc709045"/>
      <w:bookmarkStart w:id="5449" w:name="_Toc710410"/>
      <w:bookmarkStart w:id="5450" w:name="_Toc970429"/>
      <w:bookmarkStart w:id="5451" w:name="_Toc970804"/>
      <w:bookmarkStart w:id="5452" w:name="_Toc1135504"/>
      <w:bookmarkStart w:id="5453" w:name="_Toc1165818"/>
      <w:bookmarkStart w:id="5454" w:name="_Toc1207883"/>
      <w:bookmarkStart w:id="5455" w:name="_Toc1408499"/>
      <w:bookmarkStart w:id="5456" w:name="_Toc529627626"/>
      <w:bookmarkStart w:id="5457" w:name="_Toc533172262"/>
      <w:bookmarkStart w:id="5458" w:name="_Toc534451525"/>
      <w:bookmarkStart w:id="5459" w:name="_Toc534451798"/>
      <w:bookmarkStart w:id="5460" w:name="_Toc534452071"/>
      <w:bookmarkStart w:id="5461" w:name="_Toc534452911"/>
      <w:bookmarkStart w:id="5462" w:name="_Toc534629336"/>
      <w:bookmarkStart w:id="5463" w:name="_Toc534629610"/>
      <w:bookmarkStart w:id="5464" w:name="_Toc534649379"/>
      <w:bookmarkStart w:id="5465" w:name="_Toc534715438"/>
      <w:bookmarkStart w:id="5466" w:name="_Toc534734575"/>
      <w:bookmarkStart w:id="5467" w:name="_Toc534734851"/>
      <w:bookmarkStart w:id="5468" w:name="_Toc536717515"/>
      <w:bookmarkStart w:id="5469" w:name="_Toc536862693"/>
      <w:bookmarkStart w:id="5470" w:name="_Toc536864062"/>
      <w:bookmarkStart w:id="5471" w:name="_Toc536864449"/>
      <w:bookmarkStart w:id="5472" w:name="_Toc536864950"/>
      <w:bookmarkStart w:id="5473" w:name="_Toc536865265"/>
      <w:bookmarkStart w:id="5474" w:name="_Toc536865580"/>
      <w:bookmarkStart w:id="5475" w:name="_Toc536865895"/>
      <w:bookmarkStart w:id="5476" w:name="_Toc536866210"/>
      <w:bookmarkStart w:id="5477" w:name="_Toc536866525"/>
      <w:bookmarkStart w:id="5478" w:name="_Toc536866840"/>
      <w:bookmarkStart w:id="5479" w:name="_Toc536867155"/>
      <w:bookmarkStart w:id="5480" w:name="_Toc536867470"/>
      <w:bookmarkStart w:id="5481" w:name="_Toc536867753"/>
      <w:bookmarkStart w:id="5482" w:name="_Toc536868036"/>
      <w:bookmarkStart w:id="5483" w:name="_Toc536868933"/>
      <w:bookmarkStart w:id="5484" w:name="_Toc536869264"/>
      <w:bookmarkStart w:id="5485" w:name="_Toc128107"/>
      <w:bookmarkStart w:id="5486" w:name="_Toc128501"/>
      <w:bookmarkStart w:id="5487" w:name="_Toc128895"/>
      <w:bookmarkStart w:id="5488" w:name="_Toc129289"/>
      <w:bookmarkStart w:id="5489" w:name="_Toc129683"/>
      <w:bookmarkStart w:id="5490" w:name="_Toc130076"/>
      <w:bookmarkStart w:id="5491" w:name="_Toc130470"/>
      <w:bookmarkStart w:id="5492" w:name="_Toc130864"/>
      <w:bookmarkStart w:id="5493" w:name="_Toc131258"/>
      <w:bookmarkStart w:id="5494" w:name="_Toc289153"/>
      <w:bookmarkStart w:id="5495" w:name="_Toc338319"/>
      <w:bookmarkStart w:id="5496" w:name="_Toc705751"/>
      <w:bookmarkStart w:id="5497" w:name="_Toc706737"/>
      <w:bookmarkStart w:id="5498" w:name="_Toc709046"/>
      <w:bookmarkStart w:id="5499" w:name="_Toc710411"/>
      <w:bookmarkStart w:id="5500" w:name="_Toc970430"/>
      <w:bookmarkStart w:id="5501" w:name="_Toc970805"/>
      <w:bookmarkStart w:id="5502" w:name="_Toc1135505"/>
      <w:bookmarkStart w:id="5503" w:name="_Toc1165819"/>
      <w:bookmarkStart w:id="5504" w:name="_Toc1207884"/>
      <w:bookmarkStart w:id="5505" w:name="_Toc1408500"/>
      <w:bookmarkStart w:id="5506" w:name="_Toc525367956"/>
      <w:bookmarkStart w:id="5507" w:name="_Toc526237994"/>
      <w:bookmarkStart w:id="5508" w:name="_Toc526242462"/>
      <w:bookmarkStart w:id="5509" w:name="_Toc526318317"/>
      <w:bookmarkStart w:id="5510" w:name="_Toc526318409"/>
      <w:bookmarkStart w:id="5511" w:name="_Toc526318501"/>
      <w:bookmarkStart w:id="5512" w:name="_Toc529627627"/>
      <w:bookmarkStart w:id="5513" w:name="_Toc533172263"/>
      <w:bookmarkStart w:id="5514" w:name="_Toc534451526"/>
      <w:bookmarkStart w:id="5515" w:name="_Toc534451799"/>
      <w:bookmarkStart w:id="5516" w:name="_Toc534452072"/>
      <w:bookmarkStart w:id="5517" w:name="_Toc534452912"/>
      <w:bookmarkStart w:id="5518" w:name="_Toc534629337"/>
      <w:bookmarkStart w:id="5519" w:name="_Toc534629611"/>
      <w:bookmarkStart w:id="5520" w:name="_Toc534649380"/>
      <w:bookmarkStart w:id="5521" w:name="_Toc534715439"/>
      <w:bookmarkStart w:id="5522" w:name="_Toc534734576"/>
      <w:bookmarkStart w:id="5523" w:name="_Toc534734852"/>
      <w:bookmarkStart w:id="5524" w:name="_Toc536717516"/>
      <w:bookmarkStart w:id="5525" w:name="_Toc536862694"/>
      <w:bookmarkStart w:id="5526" w:name="_Toc536864063"/>
      <w:bookmarkStart w:id="5527" w:name="_Toc536864450"/>
      <w:bookmarkStart w:id="5528" w:name="_Toc536864951"/>
      <w:bookmarkStart w:id="5529" w:name="_Toc536865266"/>
      <w:bookmarkStart w:id="5530" w:name="_Toc536865581"/>
      <w:bookmarkStart w:id="5531" w:name="_Toc536865896"/>
      <w:bookmarkStart w:id="5532" w:name="_Toc536866211"/>
      <w:bookmarkStart w:id="5533" w:name="_Toc536866526"/>
      <w:bookmarkStart w:id="5534" w:name="_Toc536866841"/>
      <w:bookmarkStart w:id="5535" w:name="_Toc536867156"/>
      <w:bookmarkStart w:id="5536" w:name="_Toc536867471"/>
      <w:bookmarkStart w:id="5537" w:name="_Toc536867754"/>
      <w:bookmarkStart w:id="5538" w:name="_Toc536868037"/>
      <w:bookmarkStart w:id="5539" w:name="_Toc536868934"/>
      <w:bookmarkStart w:id="5540" w:name="_Toc536869265"/>
      <w:bookmarkStart w:id="5541" w:name="_Toc128108"/>
      <w:bookmarkStart w:id="5542" w:name="_Toc128502"/>
      <w:bookmarkStart w:id="5543" w:name="_Toc128896"/>
      <w:bookmarkStart w:id="5544" w:name="_Toc129290"/>
      <w:bookmarkStart w:id="5545" w:name="_Toc129684"/>
      <w:bookmarkStart w:id="5546" w:name="_Toc130077"/>
      <w:bookmarkStart w:id="5547" w:name="_Toc130471"/>
      <w:bookmarkStart w:id="5548" w:name="_Toc130865"/>
      <w:bookmarkStart w:id="5549" w:name="_Toc131259"/>
      <w:bookmarkStart w:id="5550" w:name="_Toc289154"/>
      <w:bookmarkStart w:id="5551" w:name="_Toc338320"/>
      <w:bookmarkStart w:id="5552" w:name="_Toc705752"/>
      <w:bookmarkStart w:id="5553" w:name="_Toc706738"/>
      <w:bookmarkStart w:id="5554" w:name="_Toc709047"/>
      <w:bookmarkStart w:id="5555" w:name="_Toc710412"/>
      <w:bookmarkStart w:id="5556" w:name="_Toc970431"/>
      <w:bookmarkStart w:id="5557" w:name="_Toc970806"/>
      <w:bookmarkStart w:id="5558" w:name="_Toc1135506"/>
      <w:bookmarkStart w:id="5559" w:name="_Toc1165820"/>
      <w:bookmarkStart w:id="5560" w:name="_Toc1207885"/>
      <w:bookmarkStart w:id="5561" w:name="_Toc1408501"/>
      <w:bookmarkStart w:id="5562" w:name="_Toc525367960"/>
      <w:bookmarkStart w:id="5563" w:name="_Toc526237998"/>
      <w:bookmarkStart w:id="5564" w:name="_Toc526242466"/>
      <w:bookmarkStart w:id="5565" w:name="_Toc526318321"/>
      <w:bookmarkStart w:id="5566" w:name="_Toc526318413"/>
      <w:bookmarkStart w:id="5567" w:name="_Toc526318505"/>
      <w:bookmarkStart w:id="5568" w:name="_Toc529627631"/>
      <w:bookmarkStart w:id="5569" w:name="_Toc533172267"/>
      <w:bookmarkStart w:id="5570" w:name="_Toc534451530"/>
      <w:bookmarkStart w:id="5571" w:name="_Toc534451803"/>
      <w:bookmarkStart w:id="5572" w:name="_Toc534452076"/>
      <w:bookmarkStart w:id="5573" w:name="_Toc534452916"/>
      <w:bookmarkStart w:id="5574" w:name="_Toc534629341"/>
      <w:bookmarkStart w:id="5575" w:name="_Toc534629615"/>
      <w:bookmarkStart w:id="5576" w:name="_Toc534649384"/>
      <w:bookmarkStart w:id="5577" w:name="_Toc534715443"/>
      <w:bookmarkStart w:id="5578" w:name="_Toc534734580"/>
      <w:bookmarkStart w:id="5579" w:name="_Toc534734856"/>
      <w:bookmarkStart w:id="5580" w:name="_Toc536717520"/>
      <w:bookmarkStart w:id="5581" w:name="_Toc536862698"/>
      <w:bookmarkStart w:id="5582" w:name="_Toc536864067"/>
      <w:bookmarkStart w:id="5583" w:name="_Toc536864454"/>
      <w:bookmarkStart w:id="5584" w:name="_Toc536864955"/>
      <w:bookmarkStart w:id="5585" w:name="_Toc536865270"/>
      <w:bookmarkStart w:id="5586" w:name="_Toc536865585"/>
      <w:bookmarkStart w:id="5587" w:name="_Toc536865900"/>
      <w:bookmarkStart w:id="5588" w:name="_Toc536866215"/>
      <w:bookmarkStart w:id="5589" w:name="_Toc536866530"/>
      <w:bookmarkStart w:id="5590" w:name="_Toc536866845"/>
      <w:bookmarkStart w:id="5591" w:name="_Toc536867160"/>
      <w:bookmarkStart w:id="5592" w:name="_Toc536867475"/>
      <w:bookmarkStart w:id="5593" w:name="_Toc536867758"/>
      <w:bookmarkStart w:id="5594" w:name="_Toc536868041"/>
      <w:bookmarkStart w:id="5595" w:name="_Toc536868938"/>
      <w:bookmarkStart w:id="5596" w:name="_Toc536869269"/>
      <w:bookmarkStart w:id="5597" w:name="_Toc128112"/>
      <w:bookmarkStart w:id="5598" w:name="_Toc128506"/>
      <w:bookmarkStart w:id="5599" w:name="_Toc128900"/>
      <w:bookmarkStart w:id="5600" w:name="_Toc129294"/>
      <w:bookmarkStart w:id="5601" w:name="_Toc129688"/>
      <w:bookmarkStart w:id="5602" w:name="_Toc130081"/>
      <w:bookmarkStart w:id="5603" w:name="_Toc130475"/>
      <w:bookmarkStart w:id="5604" w:name="_Toc130869"/>
      <w:bookmarkStart w:id="5605" w:name="_Toc131263"/>
      <w:bookmarkStart w:id="5606" w:name="_Toc289158"/>
      <w:bookmarkStart w:id="5607" w:name="_Toc338324"/>
      <w:bookmarkStart w:id="5608" w:name="_Toc705756"/>
      <w:bookmarkStart w:id="5609" w:name="_Toc706742"/>
      <w:bookmarkStart w:id="5610" w:name="_Toc709051"/>
      <w:bookmarkStart w:id="5611" w:name="_Toc710416"/>
      <w:bookmarkStart w:id="5612" w:name="_Toc970435"/>
      <w:bookmarkStart w:id="5613" w:name="_Toc970810"/>
      <w:bookmarkStart w:id="5614" w:name="_Toc1135510"/>
      <w:bookmarkStart w:id="5615" w:name="_Toc1165824"/>
      <w:bookmarkStart w:id="5616" w:name="_Toc1207889"/>
      <w:bookmarkStart w:id="5617" w:name="_Toc1408505"/>
      <w:bookmarkStart w:id="5618" w:name="_Toc529627632"/>
      <w:bookmarkStart w:id="5619" w:name="_Toc533172268"/>
      <w:bookmarkStart w:id="5620" w:name="_Toc534451531"/>
      <w:bookmarkStart w:id="5621" w:name="_Toc534451804"/>
      <w:bookmarkStart w:id="5622" w:name="_Toc534452077"/>
      <w:bookmarkStart w:id="5623" w:name="_Toc534452917"/>
      <w:bookmarkStart w:id="5624" w:name="_Toc534629342"/>
      <w:bookmarkStart w:id="5625" w:name="_Toc534629616"/>
      <w:bookmarkStart w:id="5626" w:name="_Toc534649385"/>
      <w:bookmarkStart w:id="5627" w:name="_Toc534715444"/>
      <w:bookmarkStart w:id="5628" w:name="_Toc534734581"/>
      <w:bookmarkStart w:id="5629" w:name="_Toc534734857"/>
      <w:bookmarkStart w:id="5630" w:name="_Toc536717521"/>
      <w:bookmarkStart w:id="5631" w:name="_Toc536862699"/>
      <w:bookmarkStart w:id="5632" w:name="_Toc536864068"/>
      <w:bookmarkStart w:id="5633" w:name="_Toc536864455"/>
      <w:bookmarkStart w:id="5634" w:name="_Toc536864956"/>
      <w:bookmarkStart w:id="5635" w:name="_Toc536865271"/>
      <w:bookmarkStart w:id="5636" w:name="_Toc536865586"/>
      <w:bookmarkStart w:id="5637" w:name="_Toc536865901"/>
      <w:bookmarkStart w:id="5638" w:name="_Toc536866216"/>
      <w:bookmarkStart w:id="5639" w:name="_Toc536866531"/>
      <w:bookmarkStart w:id="5640" w:name="_Toc536866846"/>
      <w:bookmarkStart w:id="5641" w:name="_Toc536867161"/>
      <w:bookmarkStart w:id="5642" w:name="_Toc536867476"/>
      <w:bookmarkStart w:id="5643" w:name="_Toc536867759"/>
      <w:bookmarkStart w:id="5644" w:name="_Toc536868042"/>
      <w:bookmarkStart w:id="5645" w:name="_Toc536868939"/>
      <w:bookmarkStart w:id="5646" w:name="_Toc536869270"/>
      <w:bookmarkStart w:id="5647" w:name="_Toc128113"/>
      <w:bookmarkStart w:id="5648" w:name="_Toc128507"/>
      <w:bookmarkStart w:id="5649" w:name="_Toc128901"/>
      <w:bookmarkStart w:id="5650" w:name="_Toc129295"/>
      <w:bookmarkStart w:id="5651" w:name="_Toc129689"/>
      <w:bookmarkStart w:id="5652" w:name="_Toc130082"/>
      <w:bookmarkStart w:id="5653" w:name="_Toc130476"/>
      <w:bookmarkStart w:id="5654" w:name="_Toc130870"/>
      <w:bookmarkStart w:id="5655" w:name="_Toc131264"/>
      <w:bookmarkStart w:id="5656" w:name="_Toc289159"/>
      <w:bookmarkStart w:id="5657" w:name="_Toc338325"/>
      <w:bookmarkStart w:id="5658" w:name="_Toc705757"/>
      <w:bookmarkStart w:id="5659" w:name="_Toc706743"/>
      <w:bookmarkStart w:id="5660" w:name="_Toc709052"/>
      <w:bookmarkStart w:id="5661" w:name="_Toc710417"/>
      <w:bookmarkStart w:id="5662" w:name="_Toc970436"/>
      <w:bookmarkStart w:id="5663" w:name="_Toc970811"/>
      <w:bookmarkStart w:id="5664" w:name="_Toc1135511"/>
      <w:bookmarkStart w:id="5665" w:name="_Toc1165825"/>
      <w:bookmarkStart w:id="5666" w:name="_Toc1207890"/>
      <w:bookmarkStart w:id="5667" w:name="_Toc1408506"/>
      <w:bookmarkStart w:id="5668" w:name="_Toc529627633"/>
      <w:bookmarkStart w:id="5669" w:name="_Toc533172269"/>
      <w:bookmarkStart w:id="5670" w:name="_Toc534451532"/>
      <w:bookmarkStart w:id="5671" w:name="_Toc534451805"/>
      <w:bookmarkStart w:id="5672" w:name="_Toc534452078"/>
      <w:bookmarkStart w:id="5673" w:name="_Toc534452918"/>
      <w:bookmarkStart w:id="5674" w:name="_Toc534629343"/>
      <w:bookmarkStart w:id="5675" w:name="_Toc534629617"/>
      <w:bookmarkStart w:id="5676" w:name="_Toc534649386"/>
      <w:bookmarkStart w:id="5677" w:name="_Toc534715445"/>
      <w:bookmarkStart w:id="5678" w:name="_Toc534734582"/>
      <w:bookmarkStart w:id="5679" w:name="_Toc534734858"/>
      <w:bookmarkStart w:id="5680" w:name="_Toc536717522"/>
      <w:bookmarkStart w:id="5681" w:name="_Toc536862700"/>
      <w:bookmarkStart w:id="5682" w:name="_Toc536864069"/>
      <w:bookmarkStart w:id="5683" w:name="_Toc536864456"/>
      <w:bookmarkStart w:id="5684" w:name="_Toc536864957"/>
      <w:bookmarkStart w:id="5685" w:name="_Toc536865272"/>
      <w:bookmarkStart w:id="5686" w:name="_Toc536865587"/>
      <w:bookmarkStart w:id="5687" w:name="_Toc536865902"/>
      <w:bookmarkStart w:id="5688" w:name="_Toc536866217"/>
      <w:bookmarkStart w:id="5689" w:name="_Toc536866532"/>
      <w:bookmarkStart w:id="5690" w:name="_Toc536866847"/>
      <w:bookmarkStart w:id="5691" w:name="_Toc536867162"/>
      <w:bookmarkStart w:id="5692" w:name="_Toc536867477"/>
      <w:bookmarkStart w:id="5693" w:name="_Toc536867760"/>
      <w:bookmarkStart w:id="5694" w:name="_Toc536868043"/>
      <w:bookmarkStart w:id="5695" w:name="_Toc536868940"/>
      <w:bookmarkStart w:id="5696" w:name="_Toc536869271"/>
      <w:bookmarkStart w:id="5697" w:name="_Toc128114"/>
      <w:bookmarkStart w:id="5698" w:name="_Toc128508"/>
      <w:bookmarkStart w:id="5699" w:name="_Toc128902"/>
      <w:bookmarkStart w:id="5700" w:name="_Toc129296"/>
      <w:bookmarkStart w:id="5701" w:name="_Toc129690"/>
      <w:bookmarkStart w:id="5702" w:name="_Toc130083"/>
      <w:bookmarkStart w:id="5703" w:name="_Toc130477"/>
      <w:bookmarkStart w:id="5704" w:name="_Toc130871"/>
      <w:bookmarkStart w:id="5705" w:name="_Toc131265"/>
      <w:bookmarkStart w:id="5706" w:name="_Toc289160"/>
      <w:bookmarkStart w:id="5707" w:name="_Toc338326"/>
      <w:bookmarkStart w:id="5708" w:name="_Toc705758"/>
      <w:bookmarkStart w:id="5709" w:name="_Toc706744"/>
      <w:bookmarkStart w:id="5710" w:name="_Toc709053"/>
      <w:bookmarkStart w:id="5711" w:name="_Toc710418"/>
      <w:bookmarkStart w:id="5712" w:name="_Toc970437"/>
      <w:bookmarkStart w:id="5713" w:name="_Toc970812"/>
      <w:bookmarkStart w:id="5714" w:name="_Toc1135512"/>
      <w:bookmarkStart w:id="5715" w:name="_Toc1165826"/>
      <w:bookmarkStart w:id="5716" w:name="_Toc1207891"/>
      <w:bookmarkStart w:id="5717" w:name="_Toc1408507"/>
      <w:bookmarkStart w:id="5718" w:name="_Toc529627634"/>
      <w:bookmarkStart w:id="5719" w:name="_Toc533172270"/>
      <w:bookmarkStart w:id="5720" w:name="_Toc534451533"/>
      <w:bookmarkStart w:id="5721" w:name="_Toc534451806"/>
      <w:bookmarkStart w:id="5722" w:name="_Toc534452079"/>
      <w:bookmarkStart w:id="5723" w:name="_Toc534452919"/>
      <w:bookmarkStart w:id="5724" w:name="_Toc534629344"/>
      <w:bookmarkStart w:id="5725" w:name="_Toc534629618"/>
      <w:bookmarkStart w:id="5726" w:name="_Toc534649387"/>
      <w:bookmarkStart w:id="5727" w:name="_Toc534715446"/>
      <w:bookmarkStart w:id="5728" w:name="_Toc534734583"/>
      <w:bookmarkStart w:id="5729" w:name="_Toc534734859"/>
      <w:bookmarkStart w:id="5730" w:name="_Toc536717523"/>
      <w:bookmarkStart w:id="5731" w:name="_Toc536862701"/>
      <w:bookmarkStart w:id="5732" w:name="_Toc536864070"/>
      <w:bookmarkStart w:id="5733" w:name="_Toc536864457"/>
      <w:bookmarkStart w:id="5734" w:name="_Toc536864958"/>
      <w:bookmarkStart w:id="5735" w:name="_Toc536865273"/>
      <w:bookmarkStart w:id="5736" w:name="_Toc536865588"/>
      <w:bookmarkStart w:id="5737" w:name="_Toc536865903"/>
      <w:bookmarkStart w:id="5738" w:name="_Toc536866218"/>
      <w:bookmarkStart w:id="5739" w:name="_Toc536866533"/>
      <w:bookmarkStart w:id="5740" w:name="_Toc536866848"/>
      <w:bookmarkStart w:id="5741" w:name="_Toc536867163"/>
      <w:bookmarkStart w:id="5742" w:name="_Toc536867478"/>
      <w:bookmarkStart w:id="5743" w:name="_Toc536867761"/>
      <w:bookmarkStart w:id="5744" w:name="_Toc536868044"/>
      <w:bookmarkStart w:id="5745" w:name="_Toc536868941"/>
      <w:bookmarkStart w:id="5746" w:name="_Toc536869272"/>
      <w:bookmarkStart w:id="5747" w:name="_Toc128115"/>
      <w:bookmarkStart w:id="5748" w:name="_Toc128509"/>
      <w:bookmarkStart w:id="5749" w:name="_Toc128903"/>
      <w:bookmarkStart w:id="5750" w:name="_Toc129297"/>
      <w:bookmarkStart w:id="5751" w:name="_Toc129691"/>
      <w:bookmarkStart w:id="5752" w:name="_Toc130084"/>
      <w:bookmarkStart w:id="5753" w:name="_Toc130478"/>
      <w:bookmarkStart w:id="5754" w:name="_Toc130872"/>
      <w:bookmarkStart w:id="5755" w:name="_Toc131266"/>
      <w:bookmarkStart w:id="5756" w:name="_Toc289161"/>
      <w:bookmarkStart w:id="5757" w:name="_Toc338327"/>
      <w:bookmarkStart w:id="5758" w:name="_Toc705759"/>
      <w:bookmarkStart w:id="5759" w:name="_Toc706745"/>
      <w:bookmarkStart w:id="5760" w:name="_Toc709054"/>
      <w:bookmarkStart w:id="5761" w:name="_Toc710419"/>
      <w:bookmarkStart w:id="5762" w:name="_Toc970438"/>
      <w:bookmarkStart w:id="5763" w:name="_Toc970813"/>
      <w:bookmarkStart w:id="5764" w:name="_Toc1135513"/>
      <w:bookmarkStart w:id="5765" w:name="_Toc1165827"/>
      <w:bookmarkStart w:id="5766" w:name="_Toc1207892"/>
      <w:bookmarkStart w:id="5767" w:name="_Toc1408508"/>
      <w:bookmarkStart w:id="5768" w:name="_Toc529627635"/>
      <w:bookmarkStart w:id="5769" w:name="_Toc533172271"/>
      <w:bookmarkStart w:id="5770" w:name="_Toc534451534"/>
      <w:bookmarkStart w:id="5771" w:name="_Toc534451807"/>
      <w:bookmarkStart w:id="5772" w:name="_Toc534452080"/>
      <w:bookmarkStart w:id="5773" w:name="_Toc534452920"/>
      <w:bookmarkStart w:id="5774" w:name="_Toc534629345"/>
      <w:bookmarkStart w:id="5775" w:name="_Toc534629619"/>
      <w:bookmarkStart w:id="5776" w:name="_Toc534649388"/>
      <w:bookmarkStart w:id="5777" w:name="_Toc534715447"/>
      <w:bookmarkStart w:id="5778" w:name="_Toc534734584"/>
      <w:bookmarkStart w:id="5779" w:name="_Toc534734860"/>
      <w:bookmarkStart w:id="5780" w:name="_Toc536717524"/>
      <w:bookmarkStart w:id="5781" w:name="_Toc536862702"/>
      <w:bookmarkStart w:id="5782" w:name="_Toc536864071"/>
      <w:bookmarkStart w:id="5783" w:name="_Toc536864458"/>
      <w:bookmarkStart w:id="5784" w:name="_Toc536864959"/>
      <w:bookmarkStart w:id="5785" w:name="_Toc536865274"/>
      <w:bookmarkStart w:id="5786" w:name="_Toc536865589"/>
      <w:bookmarkStart w:id="5787" w:name="_Toc536865904"/>
      <w:bookmarkStart w:id="5788" w:name="_Toc536866219"/>
      <w:bookmarkStart w:id="5789" w:name="_Toc536866534"/>
      <w:bookmarkStart w:id="5790" w:name="_Toc536866849"/>
      <w:bookmarkStart w:id="5791" w:name="_Toc536867164"/>
      <w:bookmarkStart w:id="5792" w:name="_Toc536867479"/>
      <w:bookmarkStart w:id="5793" w:name="_Toc536867762"/>
      <w:bookmarkStart w:id="5794" w:name="_Toc536868045"/>
      <w:bookmarkStart w:id="5795" w:name="_Toc536868942"/>
      <w:bookmarkStart w:id="5796" w:name="_Toc536869273"/>
      <w:bookmarkStart w:id="5797" w:name="_Toc128116"/>
      <w:bookmarkStart w:id="5798" w:name="_Toc128510"/>
      <w:bookmarkStart w:id="5799" w:name="_Toc128904"/>
      <w:bookmarkStart w:id="5800" w:name="_Toc129298"/>
      <w:bookmarkStart w:id="5801" w:name="_Toc129692"/>
      <w:bookmarkStart w:id="5802" w:name="_Toc130085"/>
      <w:bookmarkStart w:id="5803" w:name="_Toc130479"/>
      <w:bookmarkStart w:id="5804" w:name="_Toc130873"/>
      <w:bookmarkStart w:id="5805" w:name="_Toc131267"/>
      <w:bookmarkStart w:id="5806" w:name="_Toc289162"/>
      <w:bookmarkStart w:id="5807" w:name="_Toc338328"/>
      <w:bookmarkStart w:id="5808" w:name="_Toc705760"/>
      <w:bookmarkStart w:id="5809" w:name="_Toc706746"/>
      <w:bookmarkStart w:id="5810" w:name="_Toc709055"/>
      <w:bookmarkStart w:id="5811" w:name="_Toc710420"/>
      <w:bookmarkStart w:id="5812" w:name="_Toc970439"/>
      <w:bookmarkStart w:id="5813" w:name="_Toc970814"/>
      <w:bookmarkStart w:id="5814" w:name="_Toc1135514"/>
      <w:bookmarkStart w:id="5815" w:name="_Toc1165828"/>
      <w:bookmarkStart w:id="5816" w:name="_Toc1207893"/>
      <w:bookmarkStart w:id="5817" w:name="_Toc1408509"/>
      <w:bookmarkStart w:id="5818" w:name="_Toc529627636"/>
      <w:bookmarkStart w:id="5819" w:name="_Toc533172272"/>
      <w:bookmarkStart w:id="5820" w:name="_Toc534451535"/>
      <w:bookmarkStart w:id="5821" w:name="_Toc534451808"/>
      <w:bookmarkStart w:id="5822" w:name="_Toc534452081"/>
      <w:bookmarkStart w:id="5823" w:name="_Toc534452921"/>
      <w:bookmarkStart w:id="5824" w:name="_Toc534629346"/>
      <w:bookmarkStart w:id="5825" w:name="_Toc534629620"/>
      <w:bookmarkStart w:id="5826" w:name="_Toc534649389"/>
      <w:bookmarkStart w:id="5827" w:name="_Toc534715448"/>
      <w:bookmarkStart w:id="5828" w:name="_Toc534734585"/>
      <w:bookmarkStart w:id="5829" w:name="_Toc534734861"/>
      <w:bookmarkStart w:id="5830" w:name="_Toc536717525"/>
      <w:bookmarkStart w:id="5831" w:name="_Toc536862703"/>
      <w:bookmarkStart w:id="5832" w:name="_Toc536864072"/>
      <w:bookmarkStart w:id="5833" w:name="_Toc536864459"/>
      <w:bookmarkStart w:id="5834" w:name="_Toc536864960"/>
      <w:bookmarkStart w:id="5835" w:name="_Toc536865275"/>
      <w:bookmarkStart w:id="5836" w:name="_Toc536865590"/>
      <w:bookmarkStart w:id="5837" w:name="_Toc536865905"/>
      <w:bookmarkStart w:id="5838" w:name="_Toc536866220"/>
      <w:bookmarkStart w:id="5839" w:name="_Toc536866535"/>
      <w:bookmarkStart w:id="5840" w:name="_Toc536866850"/>
      <w:bookmarkStart w:id="5841" w:name="_Toc536867165"/>
      <w:bookmarkStart w:id="5842" w:name="_Toc536867480"/>
      <w:bookmarkStart w:id="5843" w:name="_Toc536867763"/>
      <w:bookmarkStart w:id="5844" w:name="_Toc536868046"/>
      <w:bookmarkStart w:id="5845" w:name="_Toc536868943"/>
      <w:bookmarkStart w:id="5846" w:name="_Toc536869274"/>
      <w:bookmarkStart w:id="5847" w:name="_Toc128117"/>
      <w:bookmarkStart w:id="5848" w:name="_Toc128511"/>
      <w:bookmarkStart w:id="5849" w:name="_Toc128905"/>
      <w:bookmarkStart w:id="5850" w:name="_Toc129299"/>
      <w:bookmarkStart w:id="5851" w:name="_Toc129693"/>
      <w:bookmarkStart w:id="5852" w:name="_Toc130086"/>
      <w:bookmarkStart w:id="5853" w:name="_Toc130480"/>
      <w:bookmarkStart w:id="5854" w:name="_Toc130874"/>
      <w:bookmarkStart w:id="5855" w:name="_Toc131268"/>
      <w:bookmarkStart w:id="5856" w:name="_Toc289163"/>
      <w:bookmarkStart w:id="5857" w:name="_Toc338329"/>
      <w:bookmarkStart w:id="5858" w:name="_Toc705761"/>
      <w:bookmarkStart w:id="5859" w:name="_Toc706747"/>
      <w:bookmarkStart w:id="5860" w:name="_Toc709056"/>
      <w:bookmarkStart w:id="5861" w:name="_Toc710421"/>
      <w:bookmarkStart w:id="5862" w:name="_Toc970440"/>
      <w:bookmarkStart w:id="5863" w:name="_Toc970815"/>
      <w:bookmarkStart w:id="5864" w:name="_Toc1135515"/>
      <w:bookmarkStart w:id="5865" w:name="_Toc1165829"/>
      <w:bookmarkStart w:id="5866" w:name="_Toc1207894"/>
      <w:bookmarkStart w:id="5867" w:name="_Toc1408510"/>
      <w:bookmarkStart w:id="5868" w:name="_Toc529627637"/>
      <w:bookmarkStart w:id="5869" w:name="_Toc533172273"/>
      <w:bookmarkStart w:id="5870" w:name="_Toc534451536"/>
      <w:bookmarkStart w:id="5871" w:name="_Toc534451809"/>
      <w:bookmarkStart w:id="5872" w:name="_Toc534452082"/>
      <w:bookmarkStart w:id="5873" w:name="_Toc534452922"/>
      <w:bookmarkStart w:id="5874" w:name="_Toc534629347"/>
      <w:bookmarkStart w:id="5875" w:name="_Toc534629621"/>
      <w:bookmarkStart w:id="5876" w:name="_Toc534649390"/>
      <w:bookmarkStart w:id="5877" w:name="_Toc534715449"/>
      <w:bookmarkStart w:id="5878" w:name="_Toc534734586"/>
      <w:bookmarkStart w:id="5879" w:name="_Toc534734862"/>
      <w:bookmarkStart w:id="5880" w:name="_Toc536717526"/>
      <w:bookmarkStart w:id="5881" w:name="_Toc536862704"/>
      <w:bookmarkStart w:id="5882" w:name="_Toc536864073"/>
      <w:bookmarkStart w:id="5883" w:name="_Toc536864460"/>
      <w:bookmarkStart w:id="5884" w:name="_Toc536864961"/>
      <w:bookmarkStart w:id="5885" w:name="_Toc536865276"/>
      <w:bookmarkStart w:id="5886" w:name="_Toc536865591"/>
      <w:bookmarkStart w:id="5887" w:name="_Toc536865906"/>
      <w:bookmarkStart w:id="5888" w:name="_Toc536866221"/>
      <w:bookmarkStart w:id="5889" w:name="_Toc536866536"/>
      <w:bookmarkStart w:id="5890" w:name="_Toc536866851"/>
      <w:bookmarkStart w:id="5891" w:name="_Toc536867166"/>
      <w:bookmarkStart w:id="5892" w:name="_Toc536867481"/>
      <w:bookmarkStart w:id="5893" w:name="_Toc536867764"/>
      <w:bookmarkStart w:id="5894" w:name="_Toc536868047"/>
      <w:bookmarkStart w:id="5895" w:name="_Toc536868944"/>
      <w:bookmarkStart w:id="5896" w:name="_Toc536869275"/>
      <w:bookmarkStart w:id="5897" w:name="_Toc128118"/>
      <w:bookmarkStart w:id="5898" w:name="_Toc128512"/>
      <w:bookmarkStart w:id="5899" w:name="_Toc128906"/>
      <w:bookmarkStart w:id="5900" w:name="_Toc129300"/>
      <w:bookmarkStart w:id="5901" w:name="_Toc129694"/>
      <w:bookmarkStart w:id="5902" w:name="_Toc130087"/>
      <w:bookmarkStart w:id="5903" w:name="_Toc130481"/>
      <w:bookmarkStart w:id="5904" w:name="_Toc130875"/>
      <w:bookmarkStart w:id="5905" w:name="_Toc131269"/>
      <w:bookmarkStart w:id="5906" w:name="_Toc289164"/>
      <w:bookmarkStart w:id="5907" w:name="_Toc338330"/>
      <w:bookmarkStart w:id="5908" w:name="_Toc705762"/>
      <w:bookmarkStart w:id="5909" w:name="_Toc706748"/>
      <w:bookmarkStart w:id="5910" w:name="_Toc709057"/>
      <w:bookmarkStart w:id="5911" w:name="_Toc710422"/>
      <w:bookmarkStart w:id="5912" w:name="_Toc970441"/>
      <w:bookmarkStart w:id="5913" w:name="_Toc970816"/>
      <w:bookmarkStart w:id="5914" w:name="_Toc1135516"/>
      <w:bookmarkStart w:id="5915" w:name="_Toc1165830"/>
      <w:bookmarkStart w:id="5916" w:name="_Toc1207895"/>
      <w:bookmarkStart w:id="5917" w:name="_Toc1408511"/>
      <w:bookmarkStart w:id="5918" w:name="_Toc529627638"/>
      <w:bookmarkStart w:id="5919" w:name="_Toc533172274"/>
      <w:bookmarkStart w:id="5920" w:name="_Toc534451537"/>
      <w:bookmarkStart w:id="5921" w:name="_Toc534451810"/>
      <w:bookmarkStart w:id="5922" w:name="_Toc534452083"/>
      <w:bookmarkStart w:id="5923" w:name="_Toc534452923"/>
      <w:bookmarkStart w:id="5924" w:name="_Toc534629348"/>
      <w:bookmarkStart w:id="5925" w:name="_Toc534629622"/>
      <w:bookmarkStart w:id="5926" w:name="_Toc534649391"/>
      <w:bookmarkStart w:id="5927" w:name="_Toc534715450"/>
      <w:bookmarkStart w:id="5928" w:name="_Toc534734587"/>
      <w:bookmarkStart w:id="5929" w:name="_Toc534734863"/>
      <w:bookmarkStart w:id="5930" w:name="_Toc536717527"/>
      <w:bookmarkStart w:id="5931" w:name="_Toc536862705"/>
      <w:bookmarkStart w:id="5932" w:name="_Toc536864074"/>
      <w:bookmarkStart w:id="5933" w:name="_Toc536864461"/>
      <w:bookmarkStart w:id="5934" w:name="_Toc536864962"/>
      <w:bookmarkStart w:id="5935" w:name="_Toc536865277"/>
      <w:bookmarkStart w:id="5936" w:name="_Toc536865592"/>
      <w:bookmarkStart w:id="5937" w:name="_Toc536865907"/>
      <w:bookmarkStart w:id="5938" w:name="_Toc536866222"/>
      <w:bookmarkStart w:id="5939" w:name="_Toc536866537"/>
      <w:bookmarkStart w:id="5940" w:name="_Toc536866852"/>
      <w:bookmarkStart w:id="5941" w:name="_Toc536867167"/>
      <w:bookmarkStart w:id="5942" w:name="_Toc536867482"/>
      <w:bookmarkStart w:id="5943" w:name="_Toc536867765"/>
      <w:bookmarkStart w:id="5944" w:name="_Toc536868048"/>
      <w:bookmarkStart w:id="5945" w:name="_Toc536868945"/>
      <w:bookmarkStart w:id="5946" w:name="_Toc536869276"/>
      <w:bookmarkStart w:id="5947" w:name="_Toc128119"/>
      <w:bookmarkStart w:id="5948" w:name="_Toc128513"/>
      <w:bookmarkStart w:id="5949" w:name="_Toc128907"/>
      <w:bookmarkStart w:id="5950" w:name="_Toc129301"/>
      <w:bookmarkStart w:id="5951" w:name="_Toc129695"/>
      <w:bookmarkStart w:id="5952" w:name="_Toc130088"/>
      <w:bookmarkStart w:id="5953" w:name="_Toc130482"/>
      <w:bookmarkStart w:id="5954" w:name="_Toc130876"/>
      <w:bookmarkStart w:id="5955" w:name="_Toc131270"/>
      <w:bookmarkStart w:id="5956" w:name="_Toc289165"/>
      <w:bookmarkStart w:id="5957" w:name="_Toc338331"/>
      <w:bookmarkStart w:id="5958" w:name="_Toc705763"/>
      <w:bookmarkStart w:id="5959" w:name="_Toc706749"/>
      <w:bookmarkStart w:id="5960" w:name="_Toc709058"/>
      <w:bookmarkStart w:id="5961" w:name="_Toc710423"/>
      <w:bookmarkStart w:id="5962" w:name="_Toc970442"/>
      <w:bookmarkStart w:id="5963" w:name="_Toc970817"/>
      <w:bookmarkStart w:id="5964" w:name="_Toc1135517"/>
      <w:bookmarkStart w:id="5965" w:name="_Toc1165831"/>
      <w:bookmarkStart w:id="5966" w:name="_Toc1207896"/>
      <w:bookmarkStart w:id="5967" w:name="_Toc1408512"/>
      <w:bookmarkStart w:id="5968" w:name="_Toc529627642"/>
      <w:bookmarkStart w:id="5969" w:name="_Toc533172278"/>
      <w:bookmarkStart w:id="5970" w:name="_Toc534451541"/>
      <w:bookmarkStart w:id="5971" w:name="_Toc534451814"/>
      <w:bookmarkStart w:id="5972" w:name="_Toc534452087"/>
      <w:bookmarkStart w:id="5973" w:name="_Toc534452927"/>
      <w:bookmarkStart w:id="5974" w:name="_Toc534629352"/>
      <w:bookmarkStart w:id="5975" w:name="_Toc534629626"/>
      <w:bookmarkStart w:id="5976" w:name="_Toc534649395"/>
      <w:bookmarkStart w:id="5977" w:name="_Toc534715454"/>
      <w:bookmarkStart w:id="5978" w:name="_Toc534734591"/>
      <w:bookmarkStart w:id="5979" w:name="_Toc534734867"/>
      <w:bookmarkStart w:id="5980" w:name="_Toc536717531"/>
      <w:bookmarkStart w:id="5981" w:name="_Toc536862709"/>
      <w:bookmarkStart w:id="5982" w:name="_Toc536864078"/>
      <w:bookmarkStart w:id="5983" w:name="_Toc536864465"/>
      <w:bookmarkStart w:id="5984" w:name="_Toc536864966"/>
      <w:bookmarkStart w:id="5985" w:name="_Toc536865281"/>
      <w:bookmarkStart w:id="5986" w:name="_Toc536865596"/>
      <w:bookmarkStart w:id="5987" w:name="_Toc536865911"/>
      <w:bookmarkStart w:id="5988" w:name="_Toc536866226"/>
      <w:bookmarkStart w:id="5989" w:name="_Toc536866541"/>
      <w:bookmarkStart w:id="5990" w:name="_Toc536866856"/>
      <w:bookmarkStart w:id="5991" w:name="_Toc536867171"/>
      <w:bookmarkStart w:id="5992" w:name="_Toc536867486"/>
      <w:bookmarkStart w:id="5993" w:name="_Toc536867769"/>
      <w:bookmarkStart w:id="5994" w:name="_Toc536868052"/>
      <w:bookmarkStart w:id="5995" w:name="_Toc536868949"/>
      <w:bookmarkStart w:id="5996" w:name="_Toc536869280"/>
      <w:bookmarkStart w:id="5997" w:name="_Toc128123"/>
      <w:bookmarkStart w:id="5998" w:name="_Toc128517"/>
      <w:bookmarkStart w:id="5999" w:name="_Toc128911"/>
      <w:bookmarkStart w:id="6000" w:name="_Toc129305"/>
      <w:bookmarkStart w:id="6001" w:name="_Toc129699"/>
      <w:bookmarkStart w:id="6002" w:name="_Toc130092"/>
      <w:bookmarkStart w:id="6003" w:name="_Toc130486"/>
      <w:bookmarkStart w:id="6004" w:name="_Toc130880"/>
      <w:bookmarkStart w:id="6005" w:name="_Toc131274"/>
      <w:bookmarkStart w:id="6006" w:name="_Toc289169"/>
      <w:bookmarkStart w:id="6007" w:name="_Toc338335"/>
      <w:bookmarkStart w:id="6008" w:name="_Toc705767"/>
      <w:bookmarkStart w:id="6009" w:name="_Toc706753"/>
      <w:bookmarkStart w:id="6010" w:name="_Toc709062"/>
      <w:bookmarkStart w:id="6011" w:name="_Toc710427"/>
      <w:bookmarkStart w:id="6012" w:name="_Toc970446"/>
      <w:bookmarkStart w:id="6013" w:name="_Toc970821"/>
      <w:bookmarkStart w:id="6014" w:name="_Toc1135521"/>
      <w:bookmarkStart w:id="6015" w:name="_Toc1165835"/>
      <w:bookmarkStart w:id="6016" w:name="_Toc1207900"/>
      <w:bookmarkStart w:id="6017" w:name="_Toc1408516"/>
      <w:bookmarkStart w:id="6018" w:name="_Toc529627643"/>
      <w:bookmarkStart w:id="6019" w:name="_Toc533172279"/>
      <w:bookmarkStart w:id="6020" w:name="_Toc534451542"/>
      <w:bookmarkStart w:id="6021" w:name="_Toc534451815"/>
      <w:bookmarkStart w:id="6022" w:name="_Toc534452088"/>
      <w:bookmarkStart w:id="6023" w:name="_Toc534452928"/>
      <w:bookmarkStart w:id="6024" w:name="_Toc534629353"/>
      <w:bookmarkStart w:id="6025" w:name="_Toc534629627"/>
      <w:bookmarkStart w:id="6026" w:name="_Toc534649396"/>
      <w:bookmarkStart w:id="6027" w:name="_Toc534715455"/>
      <w:bookmarkStart w:id="6028" w:name="_Toc534734592"/>
      <w:bookmarkStart w:id="6029" w:name="_Toc534734868"/>
      <w:bookmarkStart w:id="6030" w:name="_Toc536717532"/>
      <w:bookmarkStart w:id="6031" w:name="_Toc536862710"/>
      <w:bookmarkStart w:id="6032" w:name="_Toc536864079"/>
      <w:bookmarkStart w:id="6033" w:name="_Toc536864466"/>
      <w:bookmarkStart w:id="6034" w:name="_Toc536864967"/>
      <w:bookmarkStart w:id="6035" w:name="_Toc536865282"/>
      <w:bookmarkStart w:id="6036" w:name="_Toc536865597"/>
      <w:bookmarkStart w:id="6037" w:name="_Toc536865912"/>
      <w:bookmarkStart w:id="6038" w:name="_Toc536866227"/>
      <w:bookmarkStart w:id="6039" w:name="_Toc536866542"/>
      <w:bookmarkStart w:id="6040" w:name="_Toc536866857"/>
      <w:bookmarkStart w:id="6041" w:name="_Toc536867172"/>
      <w:bookmarkStart w:id="6042" w:name="_Toc536867487"/>
      <w:bookmarkStart w:id="6043" w:name="_Toc536867770"/>
      <w:bookmarkStart w:id="6044" w:name="_Toc536868053"/>
      <w:bookmarkStart w:id="6045" w:name="_Toc536868950"/>
      <w:bookmarkStart w:id="6046" w:name="_Toc536869281"/>
      <w:bookmarkStart w:id="6047" w:name="_Toc128124"/>
      <w:bookmarkStart w:id="6048" w:name="_Toc128518"/>
      <w:bookmarkStart w:id="6049" w:name="_Toc128912"/>
      <w:bookmarkStart w:id="6050" w:name="_Toc129306"/>
      <w:bookmarkStart w:id="6051" w:name="_Toc129700"/>
      <w:bookmarkStart w:id="6052" w:name="_Toc130093"/>
      <w:bookmarkStart w:id="6053" w:name="_Toc130487"/>
      <w:bookmarkStart w:id="6054" w:name="_Toc130881"/>
      <w:bookmarkStart w:id="6055" w:name="_Toc131275"/>
      <w:bookmarkStart w:id="6056" w:name="_Toc289170"/>
      <w:bookmarkStart w:id="6057" w:name="_Toc338336"/>
      <w:bookmarkStart w:id="6058" w:name="_Toc705768"/>
      <w:bookmarkStart w:id="6059" w:name="_Toc706754"/>
      <w:bookmarkStart w:id="6060" w:name="_Toc709063"/>
      <w:bookmarkStart w:id="6061" w:name="_Toc710428"/>
      <w:bookmarkStart w:id="6062" w:name="_Toc970447"/>
      <w:bookmarkStart w:id="6063" w:name="_Toc970822"/>
      <w:bookmarkStart w:id="6064" w:name="_Toc1135522"/>
      <w:bookmarkStart w:id="6065" w:name="_Toc1165836"/>
      <w:bookmarkStart w:id="6066" w:name="_Toc1207901"/>
      <w:bookmarkStart w:id="6067" w:name="_Toc1408517"/>
      <w:bookmarkStart w:id="6068" w:name="_Toc529627647"/>
      <w:bookmarkStart w:id="6069" w:name="_Toc533172283"/>
      <w:bookmarkStart w:id="6070" w:name="_Toc534451546"/>
      <w:bookmarkStart w:id="6071" w:name="_Toc534451819"/>
      <w:bookmarkStart w:id="6072" w:name="_Toc534452092"/>
      <w:bookmarkStart w:id="6073" w:name="_Toc534452932"/>
      <w:bookmarkStart w:id="6074" w:name="_Toc534629357"/>
      <w:bookmarkStart w:id="6075" w:name="_Toc534629631"/>
      <w:bookmarkStart w:id="6076" w:name="_Toc534649400"/>
      <w:bookmarkStart w:id="6077" w:name="_Toc534715459"/>
      <w:bookmarkStart w:id="6078" w:name="_Toc534734596"/>
      <w:bookmarkStart w:id="6079" w:name="_Toc534734872"/>
      <w:bookmarkStart w:id="6080" w:name="_Toc536717536"/>
      <w:bookmarkStart w:id="6081" w:name="_Toc536862714"/>
      <w:bookmarkStart w:id="6082" w:name="_Toc536864083"/>
      <w:bookmarkStart w:id="6083" w:name="_Toc536864470"/>
      <w:bookmarkStart w:id="6084" w:name="_Toc536864971"/>
      <w:bookmarkStart w:id="6085" w:name="_Toc536865286"/>
      <w:bookmarkStart w:id="6086" w:name="_Toc536865601"/>
      <w:bookmarkStart w:id="6087" w:name="_Toc536865916"/>
      <w:bookmarkStart w:id="6088" w:name="_Toc536866231"/>
      <w:bookmarkStart w:id="6089" w:name="_Toc536866546"/>
      <w:bookmarkStart w:id="6090" w:name="_Toc536866861"/>
      <w:bookmarkStart w:id="6091" w:name="_Toc536867176"/>
      <w:bookmarkStart w:id="6092" w:name="_Toc536867491"/>
      <w:bookmarkStart w:id="6093" w:name="_Toc536867774"/>
      <w:bookmarkStart w:id="6094" w:name="_Toc536868057"/>
      <w:bookmarkStart w:id="6095" w:name="_Toc536868954"/>
      <w:bookmarkStart w:id="6096" w:name="_Toc536869285"/>
      <w:bookmarkStart w:id="6097" w:name="_Toc128128"/>
      <w:bookmarkStart w:id="6098" w:name="_Toc128522"/>
      <w:bookmarkStart w:id="6099" w:name="_Toc128916"/>
      <w:bookmarkStart w:id="6100" w:name="_Toc129310"/>
      <w:bookmarkStart w:id="6101" w:name="_Toc129704"/>
      <w:bookmarkStart w:id="6102" w:name="_Toc130097"/>
      <w:bookmarkStart w:id="6103" w:name="_Toc130491"/>
      <w:bookmarkStart w:id="6104" w:name="_Toc130885"/>
      <w:bookmarkStart w:id="6105" w:name="_Toc131279"/>
      <w:bookmarkStart w:id="6106" w:name="_Toc289174"/>
      <w:bookmarkStart w:id="6107" w:name="_Toc338340"/>
      <w:bookmarkStart w:id="6108" w:name="_Toc705772"/>
      <w:bookmarkStart w:id="6109" w:name="_Toc706758"/>
      <w:bookmarkStart w:id="6110" w:name="_Toc709067"/>
      <w:bookmarkStart w:id="6111" w:name="_Toc710432"/>
      <w:bookmarkStart w:id="6112" w:name="_Toc970451"/>
      <w:bookmarkStart w:id="6113" w:name="_Toc970826"/>
      <w:bookmarkStart w:id="6114" w:name="_Toc1135526"/>
      <w:bookmarkStart w:id="6115" w:name="_Toc1165840"/>
      <w:bookmarkStart w:id="6116" w:name="_Toc1207905"/>
      <w:bookmarkStart w:id="6117" w:name="_Toc1408521"/>
      <w:bookmarkStart w:id="6118" w:name="_Toc529627648"/>
      <w:bookmarkStart w:id="6119" w:name="_Toc533172284"/>
      <w:bookmarkStart w:id="6120" w:name="_Toc534451547"/>
      <w:bookmarkStart w:id="6121" w:name="_Toc534451820"/>
      <w:bookmarkStart w:id="6122" w:name="_Toc534452093"/>
      <w:bookmarkStart w:id="6123" w:name="_Toc534452933"/>
      <w:bookmarkStart w:id="6124" w:name="_Toc534629358"/>
      <w:bookmarkStart w:id="6125" w:name="_Toc534629632"/>
      <w:bookmarkStart w:id="6126" w:name="_Toc534649401"/>
      <w:bookmarkStart w:id="6127" w:name="_Toc534715460"/>
      <w:bookmarkStart w:id="6128" w:name="_Toc534734597"/>
      <w:bookmarkStart w:id="6129" w:name="_Toc534734873"/>
      <w:bookmarkStart w:id="6130" w:name="_Toc536717537"/>
      <w:bookmarkStart w:id="6131" w:name="_Toc536862715"/>
      <w:bookmarkStart w:id="6132" w:name="_Toc536864084"/>
      <w:bookmarkStart w:id="6133" w:name="_Toc536864471"/>
      <w:bookmarkStart w:id="6134" w:name="_Toc536864972"/>
      <w:bookmarkStart w:id="6135" w:name="_Toc536865287"/>
      <w:bookmarkStart w:id="6136" w:name="_Toc536865602"/>
      <w:bookmarkStart w:id="6137" w:name="_Toc536865917"/>
      <w:bookmarkStart w:id="6138" w:name="_Toc536866232"/>
      <w:bookmarkStart w:id="6139" w:name="_Toc536866547"/>
      <w:bookmarkStart w:id="6140" w:name="_Toc536866862"/>
      <w:bookmarkStart w:id="6141" w:name="_Toc536867177"/>
      <w:bookmarkStart w:id="6142" w:name="_Toc536867492"/>
      <w:bookmarkStart w:id="6143" w:name="_Toc536867775"/>
      <w:bookmarkStart w:id="6144" w:name="_Toc536868058"/>
      <w:bookmarkStart w:id="6145" w:name="_Toc536868955"/>
      <w:bookmarkStart w:id="6146" w:name="_Toc536869286"/>
      <w:bookmarkStart w:id="6147" w:name="_Toc128129"/>
      <w:bookmarkStart w:id="6148" w:name="_Toc128523"/>
      <w:bookmarkStart w:id="6149" w:name="_Toc128917"/>
      <w:bookmarkStart w:id="6150" w:name="_Toc129311"/>
      <w:bookmarkStart w:id="6151" w:name="_Toc129705"/>
      <w:bookmarkStart w:id="6152" w:name="_Toc130098"/>
      <w:bookmarkStart w:id="6153" w:name="_Toc130492"/>
      <w:bookmarkStart w:id="6154" w:name="_Toc130886"/>
      <w:bookmarkStart w:id="6155" w:name="_Toc131280"/>
      <w:bookmarkStart w:id="6156" w:name="_Toc289175"/>
      <w:bookmarkStart w:id="6157" w:name="_Toc338341"/>
      <w:bookmarkStart w:id="6158" w:name="_Toc705773"/>
      <w:bookmarkStart w:id="6159" w:name="_Toc706759"/>
      <w:bookmarkStart w:id="6160" w:name="_Toc709068"/>
      <w:bookmarkStart w:id="6161" w:name="_Toc710433"/>
      <w:bookmarkStart w:id="6162" w:name="_Toc970452"/>
      <w:bookmarkStart w:id="6163" w:name="_Toc970827"/>
      <w:bookmarkStart w:id="6164" w:name="_Toc1135527"/>
      <w:bookmarkStart w:id="6165" w:name="_Toc1165841"/>
      <w:bookmarkStart w:id="6166" w:name="_Toc1207906"/>
      <w:bookmarkStart w:id="6167" w:name="_Toc1408522"/>
      <w:bookmarkStart w:id="6168" w:name="_Toc529627649"/>
      <w:bookmarkStart w:id="6169" w:name="_Toc533172285"/>
      <w:bookmarkStart w:id="6170" w:name="_Toc534451548"/>
      <w:bookmarkStart w:id="6171" w:name="_Toc534451821"/>
      <w:bookmarkStart w:id="6172" w:name="_Toc534452094"/>
      <w:bookmarkStart w:id="6173" w:name="_Toc534452934"/>
      <w:bookmarkStart w:id="6174" w:name="_Toc534629359"/>
      <w:bookmarkStart w:id="6175" w:name="_Toc534629633"/>
      <w:bookmarkStart w:id="6176" w:name="_Toc534649402"/>
      <w:bookmarkStart w:id="6177" w:name="_Toc534715461"/>
      <w:bookmarkStart w:id="6178" w:name="_Toc534734598"/>
      <w:bookmarkStart w:id="6179" w:name="_Toc534734874"/>
      <w:bookmarkStart w:id="6180" w:name="_Toc536717538"/>
      <w:bookmarkStart w:id="6181" w:name="_Toc536862716"/>
      <w:bookmarkStart w:id="6182" w:name="_Toc536864085"/>
      <w:bookmarkStart w:id="6183" w:name="_Toc536864472"/>
      <w:bookmarkStart w:id="6184" w:name="_Toc536864973"/>
      <w:bookmarkStart w:id="6185" w:name="_Toc536865288"/>
      <w:bookmarkStart w:id="6186" w:name="_Toc536865603"/>
      <w:bookmarkStart w:id="6187" w:name="_Toc536865918"/>
      <w:bookmarkStart w:id="6188" w:name="_Toc536866233"/>
      <w:bookmarkStart w:id="6189" w:name="_Toc536866548"/>
      <w:bookmarkStart w:id="6190" w:name="_Toc536866863"/>
      <w:bookmarkStart w:id="6191" w:name="_Toc536867178"/>
      <w:bookmarkStart w:id="6192" w:name="_Toc536867493"/>
      <w:bookmarkStart w:id="6193" w:name="_Toc536867776"/>
      <w:bookmarkStart w:id="6194" w:name="_Toc536868059"/>
      <w:bookmarkStart w:id="6195" w:name="_Toc536868956"/>
      <w:bookmarkStart w:id="6196" w:name="_Toc536869287"/>
      <w:bookmarkStart w:id="6197" w:name="_Toc128130"/>
      <w:bookmarkStart w:id="6198" w:name="_Toc128524"/>
      <w:bookmarkStart w:id="6199" w:name="_Toc128918"/>
      <w:bookmarkStart w:id="6200" w:name="_Toc129312"/>
      <w:bookmarkStart w:id="6201" w:name="_Toc129706"/>
      <w:bookmarkStart w:id="6202" w:name="_Toc130099"/>
      <w:bookmarkStart w:id="6203" w:name="_Toc130493"/>
      <w:bookmarkStart w:id="6204" w:name="_Toc130887"/>
      <w:bookmarkStart w:id="6205" w:name="_Toc131281"/>
      <w:bookmarkStart w:id="6206" w:name="_Toc289176"/>
      <w:bookmarkStart w:id="6207" w:name="_Toc338342"/>
      <w:bookmarkStart w:id="6208" w:name="_Toc705774"/>
      <w:bookmarkStart w:id="6209" w:name="_Toc706760"/>
      <w:bookmarkStart w:id="6210" w:name="_Toc709069"/>
      <w:bookmarkStart w:id="6211" w:name="_Toc710434"/>
      <w:bookmarkStart w:id="6212" w:name="_Toc970453"/>
      <w:bookmarkStart w:id="6213" w:name="_Toc970828"/>
      <w:bookmarkStart w:id="6214" w:name="_Toc1135528"/>
      <w:bookmarkStart w:id="6215" w:name="_Toc1165842"/>
      <w:bookmarkStart w:id="6216" w:name="_Toc1207907"/>
      <w:bookmarkStart w:id="6217" w:name="_Toc1408523"/>
      <w:bookmarkStart w:id="6218" w:name="_Toc529627650"/>
      <w:bookmarkStart w:id="6219" w:name="_Toc533172286"/>
      <w:bookmarkStart w:id="6220" w:name="_Toc534451549"/>
      <w:bookmarkStart w:id="6221" w:name="_Toc534451822"/>
      <w:bookmarkStart w:id="6222" w:name="_Toc534452095"/>
      <w:bookmarkStart w:id="6223" w:name="_Toc534452935"/>
      <w:bookmarkStart w:id="6224" w:name="_Toc534629360"/>
      <w:bookmarkStart w:id="6225" w:name="_Toc534629634"/>
      <w:bookmarkStart w:id="6226" w:name="_Toc534649403"/>
      <w:bookmarkStart w:id="6227" w:name="_Toc534715462"/>
      <w:bookmarkStart w:id="6228" w:name="_Toc534734599"/>
      <w:bookmarkStart w:id="6229" w:name="_Toc534734875"/>
      <w:bookmarkStart w:id="6230" w:name="_Toc536717539"/>
      <w:bookmarkStart w:id="6231" w:name="_Toc536862717"/>
      <w:bookmarkStart w:id="6232" w:name="_Toc536864086"/>
      <w:bookmarkStart w:id="6233" w:name="_Toc536864473"/>
      <w:bookmarkStart w:id="6234" w:name="_Toc536864974"/>
      <w:bookmarkStart w:id="6235" w:name="_Toc536865289"/>
      <w:bookmarkStart w:id="6236" w:name="_Toc536865604"/>
      <w:bookmarkStart w:id="6237" w:name="_Toc536865919"/>
      <w:bookmarkStart w:id="6238" w:name="_Toc536866234"/>
      <w:bookmarkStart w:id="6239" w:name="_Toc536866549"/>
      <w:bookmarkStart w:id="6240" w:name="_Toc536866864"/>
      <w:bookmarkStart w:id="6241" w:name="_Toc536867179"/>
      <w:bookmarkStart w:id="6242" w:name="_Toc536867494"/>
      <w:bookmarkStart w:id="6243" w:name="_Toc536867777"/>
      <w:bookmarkStart w:id="6244" w:name="_Toc536868060"/>
      <w:bookmarkStart w:id="6245" w:name="_Toc536868957"/>
      <w:bookmarkStart w:id="6246" w:name="_Toc536869288"/>
      <w:bookmarkStart w:id="6247" w:name="_Toc128131"/>
      <w:bookmarkStart w:id="6248" w:name="_Toc128525"/>
      <w:bookmarkStart w:id="6249" w:name="_Toc128919"/>
      <w:bookmarkStart w:id="6250" w:name="_Toc129313"/>
      <w:bookmarkStart w:id="6251" w:name="_Toc129707"/>
      <w:bookmarkStart w:id="6252" w:name="_Toc130100"/>
      <w:bookmarkStart w:id="6253" w:name="_Toc130494"/>
      <w:bookmarkStart w:id="6254" w:name="_Toc130888"/>
      <w:bookmarkStart w:id="6255" w:name="_Toc131282"/>
      <w:bookmarkStart w:id="6256" w:name="_Toc289177"/>
      <w:bookmarkStart w:id="6257" w:name="_Toc338343"/>
      <w:bookmarkStart w:id="6258" w:name="_Toc705775"/>
      <w:bookmarkStart w:id="6259" w:name="_Toc706761"/>
      <w:bookmarkStart w:id="6260" w:name="_Toc709070"/>
      <w:bookmarkStart w:id="6261" w:name="_Toc710435"/>
      <w:bookmarkStart w:id="6262" w:name="_Toc970454"/>
      <w:bookmarkStart w:id="6263" w:name="_Toc970829"/>
      <w:bookmarkStart w:id="6264" w:name="_Toc1135529"/>
      <w:bookmarkStart w:id="6265" w:name="_Toc1165843"/>
      <w:bookmarkStart w:id="6266" w:name="_Toc1207908"/>
      <w:bookmarkStart w:id="6267" w:name="_Toc1408524"/>
      <w:bookmarkStart w:id="6268" w:name="_Toc529627651"/>
      <w:bookmarkStart w:id="6269" w:name="_Toc533172287"/>
      <w:bookmarkStart w:id="6270" w:name="_Toc534451550"/>
      <w:bookmarkStart w:id="6271" w:name="_Toc534451823"/>
      <w:bookmarkStart w:id="6272" w:name="_Toc534452096"/>
      <w:bookmarkStart w:id="6273" w:name="_Toc534452936"/>
      <w:bookmarkStart w:id="6274" w:name="_Toc534629361"/>
      <w:bookmarkStart w:id="6275" w:name="_Toc534629635"/>
      <w:bookmarkStart w:id="6276" w:name="_Toc534649404"/>
      <w:bookmarkStart w:id="6277" w:name="_Toc534715463"/>
      <w:bookmarkStart w:id="6278" w:name="_Toc534734600"/>
      <w:bookmarkStart w:id="6279" w:name="_Toc534734876"/>
      <w:bookmarkStart w:id="6280" w:name="_Toc536717540"/>
      <w:bookmarkStart w:id="6281" w:name="_Toc536862718"/>
      <w:bookmarkStart w:id="6282" w:name="_Toc536864087"/>
      <w:bookmarkStart w:id="6283" w:name="_Toc536864474"/>
      <w:bookmarkStart w:id="6284" w:name="_Toc536864975"/>
      <w:bookmarkStart w:id="6285" w:name="_Toc536865290"/>
      <w:bookmarkStart w:id="6286" w:name="_Toc536865605"/>
      <w:bookmarkStart w:id="6287" w:name="_Toc536865920"/>
      <w:bookmarkStart w:id="6288" w:name="_Toc536866235"/>
      <w:bookmarkStart w:id="6289" w:name="_Toc536866550"/>
      <w:bookmarkStart w:id="6290" w:name="_Toc536866865"/>
      <w:bookmarkStart w:id="6291" w:name="_Toc536867180"/>
      <w:bookmarkStart w:id="6292" w:name="_Toc536867495"/>
      <w:bookmarkStart w:id="6293" w:name="_Toc536867778"/>
      <w:bookmarkStart w:id="6294" w:name="_Toc536868061"/>
      <w:bookmarkStart w:id="6295" w:name="_Toc536868958"/>
      <w:bookmarkStart w:id="6296" w:name="_Toc536869289"/>
      <w:bookmarkStart w:id="6297" w:name="_Toc128132"/>
      <w:bookmarkStart w:id="6298" w:name="_Toc128526"/>
      <w:bookmarkStart w:id="6299" w:name="_Toc128920"/>
      <w:bookmarkStart w:id="6300" w:name="_Toc129314"/>
      <w:bookmarkStart w:id="6301" w:name="_Toc129708"/>
      <w:bookmarkStart w:id="6302" w:name="_Toc130101"/>
      <w:bookmarkStart w:id="6303" w:name="_Toc130495"/>
      <w:bookmarkStart w:id="6304" w:name="_Toc130889"/>
      <w:bookmarkStart w:id="6305" w:name="_Toc131283"/>
      <w:bookmarkStart w:id="6306" w:name="_Toc289178"/>
      <w:bookmarkStart w:id="6307" w:name="_Toc338344"/>
      <w:bookmarkStart w:id="6308" w:name="_Toc705776"/>
      <w:bookmarkStart w:id="6309" w:name="_Toc706762"/>
      <w:bookmarkStart w:id="6310" w:name="_Toc709071"/>
      <w:bookmarkStart w:id="6311" w:name="_Toc710436"/>
      <w:bookmarkStart w:id="6312" w:name="_Toc970455"/>
      <w:bookmarkStart w:id="6313" w:name="_Toc970830"/>
      <w:bookmarkStart w:id="6314" w:name="_Toc1135530"/>
      <w:bookmarkStart w:id="6315" w:name="_Toc1165844"/>
      <w:bookmarkStart w:id="6316" w:name="_Toc1207909"/>
      <w:bookmarkStart w:id="6317" w:name="_Toc1408525"/>
      <w:bookmarkStart w:id="6318" w:name="_Toc529627652"/>
      <w:bookmarkStart w:id="6319" w:name="_Toc533172288"/>
      <w:bookmarkStart w:id="6320" w:name="_Toc534451551"/>
      <w:bookmarkStart w:id="6321" w:name="_Toc534451824"/>
      <w:bookmarkStart w:id="6322" w:name="_Toc534452097"/>
      <w:bookmarkStart w:id="6323" w:name="_Toc534452937"/>
      <w:bookmarkStart w:id="6324" w:name="_Toc534629362"/>
      <w:bookmarkStart w:id="6325" w:name="_Toc534629636"/>
      <w:bookmarkStart w:id="6326" w:name="_Toc534649405"/>
      <w:bookmarkStart w:id="6327" w:name="_Toc534715464"/>
      <w:bookmarkStart w:id="6328" w:name="_Toc534734601"/>
      <w:bookmarkStart w:id="6329" w:name="_Toc534734877"/>
      <w:bookmarkStart w:id="6330" w:name="_Toc536717541"/>
      <w:bookmarkStart w:id="6331" w:name="_Toc536862719"/>
      <w:bookmarkStart w:id="6332" w:name="_Toc536864088"/>
      <w:bookmarkStart w:id="6333" w:name="_Toc536864475"/>
      <w:bookmarkStart w:id="6334" w:name="_Toc536864976"/>
      <w:bookmarkStart w:id="6335" w:name="_Toc536865291"/>
      <w:bookmarkStart w:id="6336" w:name="_Toc536865606"/>
      <w:bookmarkStart w:id="6337" w:name="_Toc536865921"/>
      <w:bookmarkStart w:id="6338" w:name="_Toc536866236"/>
      <w:bookmarkStart w:id="6339" w:name="_Toc536866551"/>
      <w:bookmarkStart w:id="6340" w:name="_Toc536866866"/>
      <w:bookmarkStart w:id="6341" w:name="_Toc536867181"/>
      <w:bookmarkStart w:id="6342" w:name="_Toc536867496"/>
      <w:bookmarkStart w:id="6343" w:name="_Toc536867779"/>
      <w:bookmarkStart w:id="6344" w:name="_Toc536868062"/>
      <w:bookmarkStart w:id="6345" w:name="_Toc536868959"/>
      <w:bookmarkStart w:id="6346" w:name="_Toc536869290"/>
      <w:bookmarkStart w:id="6347" w:name="_Toc128133"/>
      <w:bookmarkStart w:id="6348" w:name="_Toc128527"/>
      <w:bookmarkStart w:id="6349" w:name="_Toc128921"/>
      <w:bookmarkStart w:id="6350" w:name="_Toc129315"/>
      <w:bookmarkStart w:id="6351" w:name="_Toc129709"/>
      <w:bookmarkStart w:id="6352" w:name="_Toc130102"/>
      <w:bookmarkStart w:id="6353" w:name="_Toc130496"/>
      <w:bookmarkStart w:id="6354" w:name="_Toc130890"/>
      <w:bookmarkStart w:id="6355" w:name="_Toc131284"/>
      <w:bookmarkStart w:id="6356" w:name="_Toc289179"/>
      <w:bookmarkStart w:id="6357" w:name="_Toc338345"/>
      <w:bookmarkStart w:id="6358" w:name="_Toc705777"/>
      <w:bookmarkStart w:id="6359" w:name="_Toc706763"/>
      <w:bookmarkStart w:id="6360" w:name="_Toc709072"/>
      <w:bookmarkStart w:id="6361" w:name="_Toc710437"/>
      <w:bookmarkStart w:id="6362" w:name="_Toc970456"/>
      <w:bookmarkStart w:id="6363" w:name="_Toc970831"/>
      <w:bookmarkStart w:id="6364" w:name="_Toc1135531"/>
      <w:bookmarkStart w:id="6365" w:name="_Toc1165845"/>
      <w:bookmarkStart w:id="6366" w:name="_Toc1207910"/>
      <w:bookmarkStart w:id="6367" w:name="_Toc1408526"/>
      <w:bookmarkStart w:id="6368" w:name="_Toc529627653"/>
      <w:bookmarkStart w:id="6369" w:name="_Toc533172289"/>
      <w:bookmarkStart w:id="6370" w:name="_Toc534451552"/>
      <w:bookmarkStart w:id="6371" w:name="_Toc534451825"/>
      <w:bookmarkStart w:id="6372" w:name="_Toc534452098"/>
      <w:bookmarkStart w:id="6373" w:name="_Toc534452938"/>
      <w:bookmarkStart w:id="6374" w:name="_Toc534629363"/>
      <w:bookmarkStart w:id="6375" w:name="_Toc534629637"/>
      <w:bookmarkStart w:id="6376" w:name="_Toc534649406"/>
      <w:bookmarkStart w:id="6377" w:name="_Toc534715465"/>
      <w:bookmarkStart w:id="6378" w:name="_Toc534734602"/>
      <w:bookmarkStart w:id="6379" w:name="_Toc534734878"/>
      <w:bookmarkStart w:id="6380" w:name="_Toc536717542"/>
      <w:bookmarkStart w:id="6381" w:name="_Toc536862720"/>
      <w:bookmarkStart w:id="6382" w:name="_Toc536864089"/>
      <w:bookmarkStart w:id="6383" w:name="_Toc536864476"/>
      <w:bookmarkStart w:id="6384" w:name="_Toc536864977"/>
      <w:bookmarkStart w:id="6385" w:name="_Toc536865292"/>
      <w:bookmarkStart w:id="6386" w:name="_Toc536865607"/>
      <w:bookmarkStart w:id="6387" w:name="_Toc536865922"/>
      <w:bookmarkStart w:id="6388" w:name="_Toc536866237"/>
      <w:bookmarkStart w:id="6389" w:name="_Toc536866552"/>
      <w:bookmarkStart w:id="6390" w:name="_Toc536866867"/>
      <w:bookmarkStart w:id="6391" w:name="_Toc536867182"/>
      <w:bookmarkStart w:id="6392" w:name="_Toc536867497"/>
      <w:bookmarkStart w:id="6393" w:name="_Toc536867780"/>
      <w:bookmarkStart w:id="6394" w:name="_Toc536868063"/>
      <w:bookmarkStart w:id="6395" w:name="_Toc536868960"/>
      <w:bookmarkStart w:id="6396" w:name="_Toc536869291"/>
      <w:bookmarkStart w:id="6397" w:name="_Toc128134"/>
      <w:bookmarkStart w:id="6398" w:name="_Toc128528"/>
      <w:bookmarkStart w:id="6399" w:name="_Toc128922"/>
      <w:bookmarkStart w:id="6400" w:name="_Toc129316"/>
      <w:bookmarkStart w:id="6401" w:name="_Toc129710"/>
      <w:bookmarkStart w:id="6402" w:name="_Toc130103"/>
      <w:bookmarkStart w:id="6403" w:name="_Toc130497"/>
      <w:bookmarkStart w:id="6404" w:name="_Toc130891"/>
      <w:bookmarkStart w:id="6405" w:name="_Toc131285"/>
      <w:bookmarkStart w:id="6406" w:name="_Toc289180"/>
      <w:bookmarkStart w:id="6407" w:name="_Toc338346"/>
      <w:bookmarkStart w:id="6408" w:name="_Toc705778"/>
      <w:bookmarkStart w:id="6409" w:name="_Toc706764"/>
      <w:bookmarkStart w:id="6410" w:name="_Toc709073"/>
      <w:bookmarkStart w:id="6411" w:name="_Toc710438"/>
      <w:bookmarkStart w:id="6412" w:name="_Toc970457"/>
      <w:bookmarkStart w:id="6413" w:name="_Toc970832"/>
      <w:bookmarkStart w:id="6414" w:name="_Toc1135532"/>
      <w:bookmarkStart w:id="6415" w:name="_Toc1165846"/>
      <w:bookmarkStart w:id="6416" w:name="_Toc1207911"/>
      <w:bookmarkStart w:id="6417" w:name="_Toc1408527"/>
      <w:bookmarkStart w:id="6418" w:name="_Toc508229116"/>
      <w:bookmarkStart w:id="6419" w:name="_Toc529627654"/>
      <w:bookmarkStart w:id="6420" w:name="_Toc533172290"/>
      <w:bookmarkStart w:id="6421" w:name="_Toc534451553"/>
      <w:bookmarkStart w:id="6422" w:name="_Toc534451826"/>
      <w:bookmarkStart w:id="6423" w:name="_Toc534452099"/>
      <w:bookmarkStart w:id="6424" w:name="_Toc534452939"/>
      <w:bookmarkStart w:id="6425" w:name="_Toc534629364"/>
      <w:bookmarkStart w:id="6426" w:name="_Toc534629638"/>
      <w:bookmarkStart w:id="6427" w:name="_Toc534649407"/>
      <w:bookmarkStart w:id="6428" w:name="_Toc534715466"/>
      <w:bookmarkStart w:id="6429" w:name="_Toc534734603"/>
      <w:bookmarkStart w:id="6430" w:name="_Toc534734879"/>
      <w:bookmarkStart w:id="6431" w:name="_Toc536717543"/>
      <w:bookmarkStart w:id="6432" w:name="_Toc536862721"/>
      <w:bookmarkStart w:id="6433" w:name="_Toc536864090"/>
      <w:bookmarkStart w:id="6434" w:name="_Toc536864477"/>
      <w:bookmarkStart w:id="6435" w:name="_Toc536864978"/>
      <w:bookmarkStart w:id="6436" w:name="_Toc536865293"/>
      <w:bookmarkStart w:id="6437" w:name="_Toc536865608"/>
      <w:bookmarkStart w:id="6438" w:name="_Toc536865923"/>
      <w:bookmarkStart w:id="6439" w:name="_Toc536866238"/>
      <w:bookmarkStart w:id="6440" w:name="_Toc536866553"/>
      <w:bookmarkStart w:id="6441" w:name="_Toc536866868"/>
      <w:bookmarkStart w:id="6442" w:name="_Toc536867183"/>
      <w:bookmarkStart w:id="6443" w:name="_Toc536867498"/>
      <w:bookmarkStart w:id="6444" w:name="_Toc536867781"/>
      <w:bookmarkStart w:id="6445" w:name="_Toc536868064"/>
      <w:bookmarkStart w:id="6446" w:name="_Toc536868961"/>
      <w:bookmarkStart w:id="6447" w:name="_Toc536869292"/>
      <w:bookmarkStart w:id="6448" w:name="_Toc128135"/>
      <w:bookmarkStart w:id="6449" w:name="_Toc128529"/>
      <w:bookmarkStart w:id="6450" w:name="_Toc128923"/>
      <w:bookmarkStart w:id="6451" w:name="_Toc129317"/>
      <w:bookmarkStart w:id="6452" w:name="_Toc129711"/>
      <w:bookmarkStart w:id="6453" w:name="_Toc130104"/>
      <w:bookmarkStart w:id="6454" w:name="_Toc130498"/>
      <w:bookmarkStart w:id="6455" w:name="_Toc130892"/>
      <w:bookmarkStart w:id="6456" w:name="_Toc131286"/>
      <w:bookmarkStart w:id="6457" w:name="_Toc289181"/>
      <w:bookmarkStart w:id="6458" w:name="_Toc338347"/>
      <w:bookmarkStart w:id="6459" w:name="_Toc705779"/>
      <w:bookmarkStart w:id="6460" w:name="_Toc706765"/>
      <w:bookmarkStart w:id="6461" w:name="_Toc709074"/>
      <w:bookmarkStart w:id="6462" w:name="_Toc710439"/>
      <w:bookmarkStart w:id="6463" w:name="_Toc970458"/>
      <w:bookmarkStart w:id="6464" w:name="_Toc970833"/>
      <w:bookmarkStart w:id="6465" w:name="_Toc1135533"/>
      <w:bookmarkStart w:id="6466" w:name="_Toc1165847"/>
      <w:bookmarkStart w:id="6467" w:name="_Toc1207912"/>
      <w:bookmarkStart w:id="6468" w:name="_Toc1408528"/>
      <w:bookmarkStart w:id="6469" w:name="_Toc529627655"/>
      <w:bookmarkStart w:id="6470" w:name="_Toc533172291"/>
      <w:bookmarkStart w:id="6471" w:name="_Toc534451554"/>
      <w:bookmarkStart w:id="6472" w:name="_Toc534451827"/>
      <w:bookmarkStart w:id="6473" w:name="_Toc534452100"/>
      <w:bookmarkStart w:id="6474" w:name="_Toc534452940"/>
      <w:bookmarkStart w:id="6475" w:name="_Toc534629365"/>
      <w:bookmarkStart w:id="6476" w:name="_Toc534629639"/>
      <w:bookmarkStart w:id="6477" w:name="_Toc534649408"/>
      <w:bookmarkStart w:id="6478" w:name="_Toc534715467"/>
      <w:bookmarkStart w:id="6479" w:name="_Toc534734604"/>
      <w:bookmarkStart w:id="6480" w:name="_Toc534734880"/>
      <w:bookmarkStart w:id="6481" w:name="_Toc536717544"/>
      <w:bookmarkStart w:id="6482" w:name="_Toc536862722"/>
      <w:bookmarkStart w:id="6483" w:name="_Toc536864091"/>
      <w:bookmarkStart w:id="6484" w:name="_Toc536864478"/>
      <w:bookmarkStart w:id="6485" w:name="_Toc536864979"/>
      <w:bookmarkStart w:id="6486" w:name="_Toc536865294"/>
      <w:bookmarkStart w:id="6487" w:name="_Toc536865609"/>
      <w:bookmarkStart w:id="6488" w:name="_Toc536865924"/>
      <w:bookmarkStart w:id="6489" w:name="_Toc536866239"/>
      <w:bookmarkStart w:id="6490" w:name="_Toc536866554"/>
      <w:bookmarkStart w:id="6491" w:name="_Toc536866869"/>
      <w:bookmarkStart w:id="6492" w:name="_Toc536867184"/>
      <w:bookmarkStart w:id="6493" w:name="_Toc536867499"/>
      <w:bookmarkStart w:id="6494" w:name="_Toc536867782"/>
      <w:bookmarkStart w:id="6495" w:name="_Toc536868065"/>
      <w:bookmarkStart w:id="6496" w:name="_Toc536868962"/>
      <w:bookmarkStart w:id="6497" w:name="_Toc536869293"/>
      <w:bookmarkStart w:id="6498" w:name="_Toc128136"/>
      <w:bookmarkStart w:id="6499" w:name="_Toc128530"/>
      <w:bookmarkStart w:id="6500" w:name="_Toc128924"/>
      <w:bookmarkStart w:id="6501" w:name="_Toc129318"/>
      <w:bookmarkStart w:id="6502" w:name="_Toc129712"/>
      <w:bookmarkStart w:id="6503" w:name="_Toc130105"/>
      <w:bookmarkStart w:id="6504" w:name="_Toc130499"/>
      <w:bookmarkStart w:id="6505" w:name="_Toc130893"/>
      <w:bookmarkStart w:id="6506" w:name="_Toc131287"/>
      <w:bookmarkStart w:id="6507" w:name="_Toc289182"/>
      <w:bookmarkStart w:id="6508" w:name="_Toc338348"/>
      <w:bookmarkStart w:id="6509" w:name="_Toc705780"/>
      <w:bookmarkStart w:id="6510" w:name="_Toc706766"/>
      <w:bookmarkStart w:id="6511" w:name="_Toc709075"/>
      <w:bookmarkStart w:id="6512" w:name="_Toc710440"/>
      <w:bookmarkStart w:id="6513" w:name="_Toc970459"/>
      <w:bookmarkStart w:id="6514" w:name="_Toc970834"/>
      <w:bookmarkStart w:id="6515" w:name="_Toc1135534"/>
      <w:bookmarkStart w:id="6516" w:name="_Toc1165848"/>
      <w:bookmarkStart w:id="6517" w:name="_Toc1207913"/>
      <w:bookmarkStart w:id="6518" w:name="_Toc1408529"/>
      <w:bookmarkStart w:id="6519" w:name="_Toc529627656"/>
      <w:bookmarkStart w:id="6520" w:name="_Toc533172292"/>
      <w:bookmarkStart w:id="6521" w:name="_Toc534451555"/>
      <w:bookmarkStart w:id="6522" w:name="_Toc534451828"/>
      <w:bookmarkStart w:id="6523" w:name="_Toc534452101"/>
      <w:bookmarkStart w:id="6524" w:name="_Toc534452941"/>
      <w:bookmarkStart w:id="6525" w:name="_Toc534629366"/>
      <w:bookmarkStart w:id="6526" w:name="_Toc534629640"/>
      <w:bookmarkStart w:id="6527" w:name="_Toc534649409"/>
      <w:bookmarkStart w:id="6528" w:name="_Toc534715468"/>
      <w:bookmarkStart w:id="6529" w:name="_Toc534734605"/>
      <w:bookmarkStart w:id="6530" w:name="_Toc534734881"/>
      <w:bookmarkStart w:id="6531" w:name="_Toc536717545"/>
      <w:bookmarkStart w:id="6532" w:name="_Toc536862723"/>
      <w:bookmarkStart w:id="6533" w:name="_Toc536864092"/>
      <w:bookmarkStart w:id="6534" w:name="_Toc536864479"/>
      <w:bookmarkStart w:id="6535" w:name="_Toc536864980"/>
      <w:bookmarkStart w:id="6536" w:name="_Toc536865295"/>
      <w:bookmarkStart w:id="6537" w:name="_Toc536865610"/>
      <w:bookmarkStart w:id="6538" w:name="_Toc536865925"/>
      <w:bookmarkStart w:id="6539" w:name="_Toc536866240"/>
      <w:bookmarkStart w:id="6540" w:name="_Toc536866555"/>
      <w:bookmarkStart w:id="6541" w:name="_Toc536866870"/>
      <w:bookmarkStart w:id="6542" w:name="_Toc536867185"/>
      <w:bookmarkStart w:id="6543" w:name="_Toc536867500"/>
      <w:bookmarkStart w:id="6544" w:name="_Toc536867783"/>
      <w:bookmarkStart w:id="6545" w:name="_Toc536868066"/>
      <w:bookmarkStart w:id="6546" w:name="_Toc536868963"/>
      <w:bookmarkStart w:id="6547" w:name="_Toc536869294"/>
      <w:bookmarkStart w:id="6548" w:name="_Toc128137"/>
      <w:bookmarkStart w:id="6549" w:name="_Toc128531"/>
      <w:bookmarkStart w:id="6550" w:name="_Toc128925"/>
      <w:bookmarkStart w:id="6551" w:name="_Toc129319"/>
      <w:bookmarkStart w:id="6552" w:name="_Toc129713"/>
      <w:bookmarkStart w:id="6553" w:name="_Toc130106"/>
      <w:bookmarkStart w:id="6554" w:name="_Toc130500"/>
      <w:bookmarkStart w:id="6555" w:name="_Toc130894"/>
      <w:bookmarkStart w:id="6556" w:name="_Toc131288"/>
      <w:bookmarkStart w:id="6557" w:name="_Toc289183"/>
      <w:bookmarkStart w:id="6558" w:name="_Toc338349"/>
      <w:bookmarkStart w:id="6559" w:name="_Toc705781"/>
      <w:bookmarkStart w:id="6560" w:name="_Toc706767"/>
      <w:bookmarkStart w:id="6561" w:name="_Toc709076"/>
      <w:bookmarkStart w:id="6562" w:name="_Toc710441"/>
      <w:bookmarkStart w:id="6563" w:name="_Toc970460"/>
      <w:bookmarkStart w:id="6564" w:name="_Toc970835"/>
      <w:bookmarkStart w:id="6565" w:name="_Toc1135535"/>
      <w:bookmarkStart w:id="6566" w:name="_Toc1165849"/>
      <w:bookmarkStart w:id="6567" w:name="_Toc1207914"/>
      <w:bookmarkStart w:id="6568" w:name="_Toc1408530"/>
      <w:bookmarkStart w:id="6569" w:name="_Toc529627657"/>
      <w:bookmarkStart w:id="6570" w:name="_Toc533172293"/>
      <w:bookmarkStart w:id="6571" w:name="_Toc534451556"/>
      <w:bookmarkStart w:id="6572" w:name="_Toc534451829"/>
      <w:bookmarkStart w:id="6573" w:name="_Toc534452102"/>
      <w:bookmarkStart w:id="6574" w:name="_Toc534452942"/>
      <w:bookmarkStart w:id="6575" w:name="_Toc534629367"/>
      <w:bookmarkStart w:id="6576" w:name="_Toc534629641"/>
      <w:bookmarkStart w:id="6577" w:name="_Toc534649410"/>
      <w:bookmarkStart w:id="6578" w:name="_Toc534715469"/>
      <w:bookmarkStart w:id="6579" w:name="_Toc534734606"/>
      <w:bookmarkStart w:id="6580" w:name="_Toc534734882"/>
      <w:bookmarkStart w:id="6581" w:name="_Toc536717546"/>
      <w:bookmarkStart w:id="6582" w:name="_Toc536862724"/>
      <w:bookmarkStart w:id="6583" w:name="_Toc536864093"/>
      <w:bookmarkStart w:id="6584" w:name="_Toc536864480"/>
      <w:bookmarkStart w:id="6585" w:name="_Toc536864981"/>
      <w:bookmarkStart w:id="6586" w:name="_Toc536865296"/>
      <w:bookmarkStart w:id="6587" w:name="_Toc536865611"/>
      <w:bookmarkStart w:id="6588" w:name="_Toc536865926"/>
      <w:bookmarkStart w:id="6589" w:name="_Toc536866241"/>
      <w:bookmarkStart w:id="6590" w:name="_Toc536866556"/>
      <w:bookmarkStart w:id="6591" w:name="_Toc536866871"/>
      <w:bookmarkStart w:id="6592" w:name="_Toc536867186"/>
      <w:bookmarkStart w:id="6593" w:name="_Toc536867501"/>
      <w:bookmarkStart w:id="6594" w:name="_Toc536867784"/>
      <w:bookmarkStart w:id="6595" w:name="_Toc536868067"/>
      <w:bookmarkStart w:id="6596" w:name="_Toc536868964"/>
      <w:bookmarkStart w:id="6597" w:name="_Toc536869295"/>
      <w:bookmarkStart w:id="6598" w:name="_Toc128138"/>
      <w:bookmarkStart w:id="6599" w:name="_Toc128532"/>
      <w:bookmarkStart w:id="6600" w:name="_Toc128926"/>
      <w:bookmarkStart w:id="6601" w:name="_Toc129320"/>
      <w:bookmarkStart w:id="6602" w:name="_Toc129714"/>
      <w:bookmarkStart w:id="6603" w:name="_Toc130107"/>
      <w:bookmarkStart w:id="6604" w:name="_Toc130501"/>
      <w:bookmarkStart w:id="6605" w:name="_Toc130895"/>
      <w:bookmarkStart w:id="6606" w:name="_Toc131289"/>
      <w:bookmarkStart w:id="6607" w:name="_Toc289184"/>
      <w:bookmarkStart w:id="6608" w:name="_Toc338350"/>
      <w:bookmarkStart w:id="6609" w:name="_Toc705782"/>
      <w:bookmarkStart w:id="6610" w:name="_Toc706768"/>
      <w:bookmarkStart w:id="6611" w:name="_Toc709077"/>
      <w:bookmarkStart w:id="6612" w:name="_Toc710442"/>
      <w:bookmarkStart w:id="6613" w:name="_Toc970461"/>
      <w:bookmarkStart w:id="6614" w:name="_Toc970836"/>
      <w:bookmarkStart w:id="6615" w:name="_Toc1135536"/>
      <w:bookmarkStart w:id="6616" w:name="_Toc1165850"/>
      <w:bookmarkStart w:id="6617" w:name="_Toc1207915"/>
      <w:bookmarkStart w:id="6618" w:name="_Toc1408531"/>
      <w:bookmarkStart w:id="6619" w:name="_Toc529627658"/>
      <w:bookmarkStart w:id="6620" w:name="_Toc533172294"/>
      <w:bookmarkStart w:id="6621" w:name="_Toc534451557"/>
      <w:bookmarkStart w:id="6622" w:name="_Toc534451830"/>
      <w:bookmarkStart w:id="6623" w:name="_Toc534452103"/>
      <w:bookmarkStart w:id="6624" w:name="_Toc534452943"/>
      <w:bookmarkStart w:id="6625" w:name="_Toc534629368"/>
      <w:bookmarkStart w:id="6626" w:name="_Toc534629642"/>
      <w:bookmarkStart w:id="6627" w:name="_Toc534649411"/>
      <w:bookmarkStart w:id="6628" w:name="_Toc534715470"/>
      <w:bookmarkStart w:id="6629" w:name="_Toc534734607"/>
      <w:bookmarkStart w:id="6630" w:name="_Toc534734883"/>
      <w:bookmarkStart w:id="6631" w:name="_Toc536717547"/>
      <w:bookmarkStart w:id="6632" w:name="_Toc536862725"/>
      <w:bookmarkStart w:id="6633" w:name="_Toc536864094"/>
      <w:bookmarkStart w:id="6634" w:name="_Toc536864481"/>
      <w:bookmarkStart w:id="6635" w:name="_Toc536864982"/>
      <w:bookmarkStart w:id="6636" w:name="_Toc536865297"/>
      <w:bookmarkStart w:id="6637" w:name="_Toc536865612"/>
      <w:bookmarkStart w:id="6638" w:name="_Toc536865927"/>
      <w:bookmarkStart w:id="6639" w:name="_Toc536866242"/>
      <w:bookmarkStart w:id="6640" w:name="_Toc536866557"/>
      <w:bookmarkStart w:id="6641" w:name="_Toc536866872"/>
      <w:bookmarkStart w:id="6642" w:name="_Toc536867187"/>
      <w:bookmarkStart w:id="6643" w:name="_Toc536867502"/>
      <w:bookmarkStart w:id="6644" w:name="_Toc536867785"/>
      <w:bookmarkStart w:id="6645" w:name="_Toc536868068"/>
      <w:bookmarkStart w:id="6646" w:name="_Toc536868965"/>
      <w:bookmarkStart w:id="6647" w:name="_Toc536869296"/>
      <w:bookmarkStart w:id="6648" w:name="_Toc128139"/>
      <w:bookmarkStart w:id="6649" w:name="_Toc128533"/>
      <w:bookmarkStart w:id="6650" w:name="_Toc128927"/>
      <w:bookmarkStart w:id="6651" w:name="_Toc129321"/>
      <w:bookmarkStart w:id="6652" w:name="_Toc129715"/>
      <w:bookmarkStart w:id="6653" w:name="_Toc130108"/>
      <w:bookmarkStart w:id="6654" w:name="_Toc130502"/>
      <w:bookmarkStart w:id="6655" w:name="_Toc130896"/>
      <w:bookmarkStart w:id="6656" w:name="_Toc131290"/>
      <w:bookmarkStart w:id="6657" w:name="_Toc289185"/>
      <w:bookmarkStart w:id="6658" w:name="_Toc338351"/>
      <w:bookmarkStart w:id="6659" w:name="_Toc705783"/>
      <w:bookmarkStart w:id="6660" w:name="_Toc706769"/>
      <w:bookmarkStart w:id="6661" w:name="_Toc709078"/>
      <w:bookmarkStart w:id="6662" w:name="_Toc710443"/>
      <w:bookmarkStart w:id="6663" w:name="_Toc970462"/>
      <w:bookmarkStart w:id="6664" w:name="_Toc970837"/>
      <w:bookmarkStart w:id="6665" w:name="_Toc1135537"/>
      <w:bookmarkStart w:id="6666" w:name="_Toc1165851"/>
      <w:bookmarkStart w:id="6667" w:name="_Toc1207916"/>
      <w:bookmarkStart w:id="6668" w:name="_Toc1408532"/>
      <w:bookmarkStart w:id="6669" w:name="_Toc519013107"/>
      <w:bookmarkStart w:id="6670" w:name="_Toc522209786"/>
      <w:bookmarkStart w:id="6671" w:name="_Toc522209892"/>
      <w:bookmarkStart w:id="6672" w:name="_Toc522211924"/>
      <w:bookmarkStart w:id="6673" w:name="_Toc522212666"/>
      <w:bookmarkStart w:id="6674" w:name="_Toc522279701"/>
      <w:bookmarkStart w:id="6675" w:name="_Toc519013108"/>
      <w:bookmarkStart w:id="6676" w:name="_Toc522209787"/>
      <w:bookmarkStart w:id="6677" w:name="_Toc522209893"/>
      <w:bookmarkStart w:id="6678" w:name="_Toc522211925"/>
      <w:bookmarkStart w:id="6679" w:name="_Toc522212667"/>
      <w:bookmarkStart w:id="6680" w:name="_Toc522279702"/>
      <w:bookmarkStart w:id="6681" w:name="_Toc519013109"/>
      <w:bookmarkStart w:id="6682" w:name="_Toc522209788"/>
      <w:bookmarkStart w:id="6683" w:name="_Toc522209894"/>
      <w:bookmarkStart w:id="6684" w:name="_Toc522211926"/>
      <w:bookmarkStart w:id="6685" w:name="_Toc522212668"/>
      <w:bookmarkStart w:id="6686" w:name="_Toc522279703"/>
      <w:bookmarkStart w:id="6687" w:name="_Toc529627659"/>
      <w:bookmarkStart w:id="6688" w:name="_Toc533172295"/>
      <w:bookmarkStart w:id="6689" w:name="_Toc534451558"/>
      <w:bookmarkStart w:id="6690" w:name="_Toc534451831"/>
      <w:bookmarkStart w:id="6691" w:name="_Toc534452104"/>
      <w:bookmarkStart w:id="6692" w:name="_Toc534452944"/>
      <w:bookmarkStart w:id="6693" w:name="_Toc534629369"/>
      <w:bookmarkStart w:id="6694" w:name="_Toc534629643"/>
      <w:bookmarkStart w:id="6695" w:name="_Toc534649412"/>
      <w:bookmarkStart w:id="6696" w:name="_Toc534715471"/>
      <w:bookmarkStart w:id="6697" w:name="_Toc534734608"/>
      <w:bookmarkStart w:id="6698" w:name="_Toc534734884"/>
      <w:bookmarkStart w:id="6699" w:name="_Toc536717548"/>
      <w:bookmarkStart w:id="6700" w:name="_Toc536862726"/>
      <w:bookmarkStart w:id="6701" w:name="_Toc536864095"/>
      <w:bookmarkStart w:id="6702" w:name="_Toc536864482"/>
      <w:bookmarkStart w:id="6703" w:name="_Toc536864983"/>
      <w:bookmarkStart w:id="6704" w:name="_Toc536865298"/>
      <w:bookmarkStart w:id="6705" w:name="_Toc536865613"/>
      <w:bookmarkStart w:id="6706" w:name="_Toc536865928"/>
      <w:bookmarkStart w:id="6707" w:name="_Toc536866243"/>
      <w:bookmarkStart w:id="6708" w:name="_Toc536866558"/>
      <w:bookmarkStart w:id="6709" w:name="_Toc536866873"/>
      <w:bookmarkStart w:id="6710" w:name="_Toc536867188"/>
      <w:bookmarkStart w:id="6711" w:name="_Toc536867503"/>
      <w:bookmarkStart w:id="6712" w:name="_Toc536867786"/>
      <w:bookmarkStart w:id="6713" w:name="_Toc536868069"/>
      <w:bookmarkStart w:id="6714" w:name="_Toc536868966"/>
      <w:bookmarkStart w:id="6715" w:name="_Toc536869297"/>
      <w:bookmarkStart w:id="6716" w:name="_Toc128140"/>
      <w:bookmarkStart w:id="6717" w:name="_Toc128534"/>
      <w:bookmarkStart w:id="6718" w:name="_Toc128928"/>
      <w:bookmarkStart w:id="6719" w:name="_Toc129322"/>
      <w:bookmarkStart w:id="6720" w:name="_Toc129716"/>
      <w:bookmarkStart w:id="6721" w:name="_Toc130109"/>
      <w:bookmarkStart w:id="6722" w:name="_Toc130503"/>
      <w:bookmarkStart w:id="6723" w:name="_Toc130897"/>
      <w:bookmarkStart w:id="6724" w:name="_Toc131291"/>
      <w:bookmarkStart w:id="6725" w:name="_Toc289186"/>
      <w:bookmarkStart w:id="6726" w:name="_Toc338352"/>
      <w:bookmarkStart w:id="6727" w:name="_Toc705784"/>
      <w:bookmarkStart w:id="6728" w:name="_Toc706770"/>
      <w:bookmarkStart w:id="6729" w:name="_Toc709079"/>
      <w:bookmarkStart w:id="6730" w:name="_Toc710444"/>
      <w:bookmarkStart w:id="6731" w:name="_Toc970463"/>
      <w:bookmarkStart w:id="6732" w:name="_Toc970838"/>
      <w:bookmarkStart w:id="6733" w:name="_Toc1135538"/>
      <w:bookmarkStart w:id="6734" w:name="_Toc1165852"/>
      <w:bookmarkStart w:id="6735" w:name="_Toc1207917"/>
      <w:bookmarkStart w:id="6736" w:name="_Toc1408533"/>
      <w:bookmarkStart w:id="6737" w:name="_Toc529627660"/>
      <w:bookmarkStart w:id="6738" w:name="_Toc533172296"/>
      <w:bookmarkStart w:id="6739" w:name="_Toc534451559"/>
      <w:bookmarkStart w:id="6740" w:name="_Toc534451832"/>
      <w:bookmarkStart w:id="6741" w:name="_Toc534452105"/>
      <w:bookmarkStart w:id="6742" w:name="_Toc534452945"/>
      <w:bookmarkStart w:id="6743" w:name="_Toc534629370"/>
      <w:bookmarkStart w:id="6744" w:name="_Toc534629644"/>
      <w:bookmarkStart w:id="6745" w:name="_Toc534649413"/>
      <w:bookmarkStart w:id="6746" w:name="_Toc534715472"/>
      <w:bookmarkStart w:id="6747" w:name="_Toc534734609"/>
      <w:bookmarkStart w:id="6748" w:name="_Toc534734885"/>
      <w:bookmarkStart w:id="6749" w:name="_Toc536717549"/>
      <w:bookmarkStart w:id="6750" w:name="_Toc536862727"/>
      <w:bookmarkStart w:id="6751" w:name="_Toc536864096"/>
      <w:bookmarkStart w:id="6752" w:name="_Toc536864483"/>
      <w:bookmarkStart w:id="6753" w:name="_Toc536864984"/>
      <w:bookmarkStart w:id="6754" w:name="_Toc536865299"/>
      <w:bookmarkStart w:id="6755" w:name="_Toc536865614"/>
      <w:bookmarkStart w:id="6756" w:name="_Toc536865929"/>
      <w:bookmarkStart w:id="6757" w:name="_Toc536866244"/>
      <w:bookmarkStart w:id="6758" w:name="_Toc536866559"/>
      <w:bookmarkStart w:id="6759" w:name="_Toc536866874"/>
      <w:bookmarkStart w:id="6760" w:name="_Toc536867189"/>
      <w:bookmarkStart w:id="6761" w:name="_Toc536867504"/>
      <w:bookmarkStart w:id="6762" w:name="_Toc536867787"/>
      <w:bookmarkStart w:id="6763" w:name="_Toc536868070"/>
      <w:bookmarkStart w:id="6764" w:name="_Toc536868967"/>
      <w:bookmarkStart w:id="6765" w:name="_Toc536869298"/>
      <w:bookmarkStart w:id="6766" w:name="_Toc128141"/>
      <w:bookmarkStart w:id="6767" w:name="_Toc128535"/>
      <w:bookmarkStart w:id="6768" w:name="_Toc128929"/>
      <w:bookmarkStart w:id="6769" w:name="_Toc129323"/>
      <w:bookmarkStart w:id="6770" w:name="_Toc129717"/>
      <w:bookmarkStart w:id="6771" w:name="_Toc130110"/>
      <w:bookmarkStart w:id="6772" w:name="_Toc130504"/>
      <w:bookmarkStart w:id="6773" w:name="_Toc130898"/>
      <w:bookmarkStart w:id="6774" w:name="_Toc131292"/>
      <w:bookmarkStart w:id="6775" w:name="_Toc289187"/>
      <w:bookmarkStart w:id="6776" w:name="_Toc338353"/>
      <w:bookmarkStart w:id="6777" w:name="_Toc705785"/>
      <w:bookmarkStart w:id="6778" w:name="_Toc706771"/>
      <w:bookmarkStart w:id="6779" w:name="_Toc709080"/>
      <w:bookmarkStart w:id="6780" w:name="_Toc710445"/>
      <w:bookmarkStart w:id="6781" w:name="_Toc970464"/>
      <w:bookmarkStart w:id="6782" w:name="_Toc970839"/>
      <w:bookmarkStart w:id="6783" w:name="_Toc1135539"/>
      <w:bookmarkStart w:id="6784" w:name="_Toc1165853"/>
      <w:bookmarkStart w:id="6785" w:name="_Toc1207918"/>
      <w:bookmarkStart w:id="6786" w:name="_Toc1408534"/>
      <w:bookmarkStart w:id="6787" w:name="_Toc70886803"/>
      <w:bookmarkStart w:id="6788" w:name="_Toc108342343"/>
      <w:bookmarkStart w:id="6789" w:name="_Toc134197892"/>
      <w:bookmarkStart w:id="6790" w:name="_Toc522279705"/>
      <w:bookmarkStart w:id="6791" w:name="_Toc17934193"/>
      <w:bookmarkStart w:id="6792" w:name="_Toc50150372"/>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r w:rsidRPr="00E05E29">
        <w:t>Partial factors on resistances for the displacement-based approach</w:t>
      </w:r>
      <w:bookmarkEnd w:id="6787"/>
      <w:bookmarkEnd w:id="6788"/>
      <w:bookmarkEnd w:id="6789"/>
    </w:p>
    <w:p w14:paraId="79AB5748" w14:textId="1E9CCB58" w:rsidR="00047513" w:rsidRPr="00417F28" w:rsidRDefault="00047513" w:rsidP="0080187E">
      <w:pPr>
        <w:pStyle w:val="Clause"/>
        <w:numPr>
          <w:ilvl w:val="0"/>
          <w:numId w:val="318"/>
        </w:numPr>
      </w:pPr>
      <w:r w:rsidRPr="00E05E29">
        <w:t>In case a displacement-based approach is used, local general</w:t>
      </w:r>
      <w:r w:rsidR="00E10A24">
        <w:t>ize</w:t>
      </w:r>
      <w:r w:rsidRPr="00E05E29">
        <w:t xml:space="preserve">d deformations, according to case a) of </w:t>
      </w:r>
      <w:r>
        <w:t>prEN</w:t>
      </w:r>
      <w:r w:rsidR="00417F28">
        <w:t> </w:t>
      </w:r>
      <w:r>
        <w:t>1998-1-1:</w:t>
      </w:r>
      <w:r w:rsidRPr="00417F28">
        <w:t>2022, 6.7.1(2), should be used for verification of ductile mechanisms to SD and NC.</w:t>
      </w:r>
    </w:p>
    <w:p w14:paraId="3D406BA7" w14:textId="6C5289AE" w:rsidR="00047513" w:rsidRPr="00417F28" w:rsidRDefault="00047513" w:rsidP="00724E4E">
      <w:pPr>
        <w:pStyle w:val="Clause"/>
      </w:pPr>
      <w:r w:rsidRPr="00417F28">
        <w:lastRenderedPageBreak/>
        <w:t>For beams and columns in frames detailed according to this standard, deformation criteria and shear strength should be taken as given in prEN</w:t>
      </w:r>
      <w:r w:rsidR="00417F28">
        <w:t> </w:t>
      </w:r>
      <w:r w:rsidRPr="00417F28">
        <w:t>1998-1-1:2022, 7.2.</w:t>
      </w:r>
    </w:p>
    <w:p w14:paraId="6B6EC14E" w14:textId="7EBF7968" w:rsidR="00047513" w:rsidRDefault="00047513" w:rsidP="00724E4E">
      <w:pPr>
        <w:pStyle w:val="Clause"/>
        <w:rPr>
          <w:color w:val="auto"/>
        </w:rPr>
      </w:pPr>
      <w:r w:rsidRPr="00DF0AAA">
        <w:rPr>
          <w:color w:val="auto"/>
        </w:rPr>
        <w:t xml:space="preserve">For beams and columns and walls in frames detailed according to this standard, the </w:t>
      </w:r>
      <w:r w:rsidR="00DF0AAA" w:rsidRPr="00DF0AAA">
        <w:rPr>
          <w:color w:val="auto"/>
        </w:rPr>
        <w:t>total logarithmic standard deviation of the resistance model</w:t>
      </w:r>
      <w:r w:rsidRPr="00DF0AAA">
        <w:rPr>
          <w:color w:val="auto"/>
        </w:rPr>
        <w:t xml:space="preserve"> required to calculate the partial factors on chord rotation (see prEN</w:t>
      </w:r>
      <w:r w:rsidR="00DF0AAA" w:rsidRPr="00DF0AAA">
        <w:rPr>
          <w:color w:val="auto"/>
        </w:rPr>
        <w:t> </w:t>
      </w:r>
      <w:r w:rsidRPr="00DF0AAA">
        <w:rPr>
          <w:color w:val="auto"/>
        </w:rPr>
        <w:t>1998-1-1:2022, 6.7.2(2)) and shear strength (see prEN</w:t>
      </w:r>
      <w:r w:rsidR="00DF0AAA" w:rsidRPr="00DF0AAA">
        <w:rPr>
          <w:color w:val="auto"/>
        </w:rPr>
        <w:t> </w:t>
      </w:r>
      <w:r w:rsidRPr="00DF0AAA">
        <w:rPr>
          <w:color w:val="auto"/>
        </w:rPr>
        <w:t xml:space="preserve">1998-1-1:2022, 6.7.2(3)) at SD </w:t>
      </w:r>
      <w:r w:rsidR="00DF0AAA" w:rsidRPr="00DF0AAA">
        <w:rPr>
          <w:color w:val="auto"/>
        </w:rPr>
        <w:t xml:space="preserve">and NC </w:t>
      </w:r>
      <w:r w:rsidRPr="00DF0AAA">
        <w:rPr>
          <w:color w:val="auto"/>
        </w:rPr>
        <w:t xml:space="preserve">according to </w:t>
      </w:r>
      <w:r w:rsidR="00417F28" w:rsidRPr="00DF0AAA">
        <w:rPr>
          <w:color w:val="auto"/>
        </w:rPr>
        <w:t>6.2.3(3)</w:t>
      </w:r>
      <w:r w:rsidRPr="00DF0AAA">
        <w:rPr>
          <w:color w:val="auto"/>
        </w:rPr>
        <w:t xml:space="preserve"> </w:t>
      </w:r>
      <w:r w:rsidR="00DF0AAA" w:rsidRPr="00DF0AAA">
        <w:rPr>
          <w:color w:val="auto"/>
        </w:rPr>
        <w:t>are given in Table 10.</w:t>
      </w:r>
      <w:r w:rsidR="00DF0AAA">
        <w:rPr>
          <w:color w:val="auto"/>
        </w:rPr>
        <w:t>2</w:t>
      </w:r>
      <w:r w:rsidR="00DF0AAA" w:rsidRPr="00DF0AAA">
        <w:rPr>
          <w:color w:val="auto"/>
        </w:rPr>
        <w:t>, depending on cross-section shape. Values of the partial factors at SD and NC are given in Table 10.</w:t>
      </w:r>
      <w:r w:rsidR="00DF0AAA">
        <w:rPr>
          <w:color w:val="auto"/>
        </w:rPr>
        <w:t>3</w:t>
      </w:r>
      <w:r w:rsidR="00DF0AAA" w:rsidRPr="00DF0AAA">
        <w:rPr>
          <w:color w:val="auto"/>
        </w:rPr>
        <w:t xml:space="preserve"> (NDP)</w:t>
      </w:r>
      <w:r w:rsidRPr="00DF0AAA">
        <w:rPr>
          <w:color w:val="auto"/>
        </w:rPr>
        <w:t>.</w:t>
      </w:r>
    </w:p>
    <w:p w14:paraId="69135EF5" w14:textId="72B7E044" w:rsidR="00DF0AAA" w:rsidRPr="00DF0AAA" w:rsidRDefault="00DF0AAA" w:rsidP="0080187E">
      <w:pPr>
        <w:pStyle w:val="Tabletitle"/>
        <w:keepLines/>
      </w:pPr>
      <w:r w:rsidRPr="00DF0AAA">
        <w:t xml:space="preserve">Table 10.2 — Total logarithmic standard deviation </w:t>
      </w:r>
      <w:r w:rsidRPr="00DF0AAA">
        <w:rPr>
          <w:rFonts w:ascii="Symbol" w:hAnsi="Symbol"/>
          <w:i/>
          <w:iCs/>
        </w:rPr>
        <w:t></w:t>
      </w:r>
      <w:r w:rsidRPr="00DF0AAA">
        <w:rPr>
          <w:vertAlign w:val="subscript"/>
        </w:rPr>
        <w:t>lnR</w:t>
      </w:r>
      <w:r w:rsidRPr="00DF0AAA">
        <w:t xml:space="preserve"> of the resistance model</w:t>
      </w:r>
    </w:p>
    <w:tbl>
      <w:tblPr>
        <w:tblStyle w:val="TableGrid"/>
        <w:tblW w:w="0" w:type="auto"/>
        <w:jc w:val="center"/>
        <w:tblLayout w:type="fixed"/>
        <w:tblLook w:val="04A0" w:firstRow="1" w:lastRow="0" w:firstColumn="1" w:lastColumn="0" w:noHBand="0" w:noVBand="1"/>
      </w:tblPr>
      <w:tblGrid>
        <w:gridCol w:w="1614"/>
        <w:gridCol w:w="1873"/>
        <w:gridCol w:w="1134"/>
      </w:tblGrid>
      <w:tr w:rsidR="00DF0AAA" w:rsidRPr="00DF0AAA" w14:paraId="25EC4F8C" w14:textId="77777777" w:rsidTr="00DF0AAA">
        <w:trPr>
          <w:jc w:val="center"/>
        </w:trPr>
        <w:tc>
          <w:tcPr>
            <w:tcW w:w="1614" w:type="dxa"/>
            <w:vAlign w:val="center"/>
          </w:tcPr>
          <w:p w14:paraId="21E53951" w14:textId="77777777" w:rsidR="00DF0AAA" w:rsidRPr="00DF0AAA" w:rsidRDefault="00DF0AAA" w:rsidP="0080187E">
            <w:pPr>
              <w:pStyle w:val="Tablebody"/>
              <w:keepNext/>
              <w:keepLines/>
              <w:jc w:val="center"/>
              <w:rPr>
                <w:b/>
                <w:bCs/>
              </w:rPr>
            </w:pPr>
            <w:r w:rsidRPr="00DF0AAA">
              <w:rPr>
                <w:b/>
                <w:bCs/>
              </w:rPr>
              <w:t>Section shape</w:t>
            </w:r>
          </w:p>
        </w:tc>
        <w:tc>
          <w:tcPr>
            <w:tcW w:w="1873" w:type="dxa"/>
            <w:vAlign w:val="center"/>
          </w:tcPr>
          <w:p w14:paraId="71D4B004" w14:textId="77777777" w:rsidR="00DF0AAA" w:rsidRPr="00DF0AAA" w:rsidRDefault="00DF0AAA" w:rsidP="0080187E">
            <w:pPr>
              <w:pStyle w:val="Tablebody"/>
              <w:keepNext/>
              <w:keepLines/>
              <w:jc w:val="center"/>
              <w:rPr>
                <w:b/>
                <w:bCs/>
              </w:rPr>
            </w:pPr>
            <w:r w:rsidRPr="00DF0AAA">
              <w:rPr>
                <w:rFonts w:ascii="Calibri" w:hAnsi="Calibri" w:cs="Calibri"/>
                <w:b/>
                <w:bCs/>
              </w:rPr>
              <w:t xml:space="preserve">Chord rotation </w:t>
            </w:r>
            <w:r w:rsidRPr="00B15F96">
              <w:rPr>
                <w:rFonts w:ascii="Symbol" w:hAnsi="Symbol" w:cs="Calibri"/>
                <w:b/>
                <w:bCs/>
                <w:i/>
                <w:iCs/>
              </w:rPr>
              <w:t></w:t>
            </w:r>
            <w:r w:rsidRPr="00DF0AAA">
              <w:rPr>
                <w:rFonts w:ascii="Calibri" w:hAnsi="Calibri" w:cs="Calibri"/>
                <w:b/>
                <w:bCs/>
                <w:vertAlign w:val="subscript"/>
              </w:rPr>
              <w:t>u</w:t>
            </w:r>
          </w:p>
        </w:tc>
        <w:tc>
          <w:tcPr>
            <w:tcW w:w="1134" w:type="dxa"/>
            <w:vAlign w:val="center"/>
          </w:tcPr>
          <w:p w14:paraId="07717042" w14:textId="77777777" w:rsidR="00DF0AAA" w:rsidRPr="00DF0AAA" w:rsidRDefault="00DF0AAA" w:rsidP="0080187E">
            <w:pPr>
              <w:pStyle w:val="Tablebody"/>
              <w:keepNext/>
              <w:keepLines/>
              <w:jc w:val="center"/>
              <w:rPr>
                <w:b/>
                <w:bCs/>
              </w:rPr>
            </w:pPr>
            <w:r w:rsidRPr="00DF0AAA">
              <w:rPr>
                <w:rFonts w:ascii="Calibri" w:hAnsi="Calibri" w:cs="Calibri"/>
                <w:b/>
                <w:bCs/>
              </w:rPr>
              <w:t>Shear</w:t>
            </w:r>
          </w:p>
        </w:tc>
      </w:tr>
      <w:tr w:rsidR="00DF0AAA" w:rsidRPr="0080187E" w14:paraId="7B580C1F" w14:textId="77777777" w:rsidTr="00DF0AAA">
        <w:trPr>
          <w:jc w:val="center"/>
        </w:trPr>
        <w:tc>
          <w:tcPr>
            <w:tcW w:w="1614" w:type="dxa"/>
            <w:vAlign w:val="bottom"/>
          </w:tcPr>
          <w:p w14:paraId="75B470D8" w14:textId="77777777" w:rsidR="00DF0AAA" w:rsidRPr="0080187E" w:rsidRDefault="00DF0AAA" w:rsidP="0080187E">
            <w:pPr>
              <w:pStyle w:val="Tablebody"/>
              <w:keepNext/>
              <w:keepLines/>
              <w:jc w:val="center"/>
            </w:pPr>
            <w:r w:rsidRPr="0080187E">
              <w:t>Rectangular</w:t>
            </w:r>
          </w:p>
        </w:tc>
        <w:tc>
          <w:tcPr>
            <w:tcW w:w="1873" w:type="dxa"/>
            <w:vAlign w:val="bottom"/>
          </w:tcPr>
          <w:p w14:paraId="2659F725" w14:textId="77777777" w:rsidR="00DF0AAA" w:rsidRPr="0080187E" w:rsidRDefault="00DF0AAA" w:rsidP="0080187E">
            <w:pPr>
              <w:pStyle w:val="Tablebody"/>
              <w:keepNext/>
              <w:keepLines/>
              <w:jc w:val="center"/>
            </w:pPr>
            <w:r w:rsidRPr="0080187E">
              <w:t>0,45</w:t>
            </w:r>
          </w:p>
        </w:tc>
        <w:tc>
          <w:tcPr>
            <w:tcW w:w="1134" w:type="dxa"/>
            <w:vAlign w:val="bottom"/>
          </w:tcPr>
          <w:p w14:paraId="646B16D6" w14:textId="77777777" w:rsidR="00DF0AAA" w:rsidRPr="0080187E" w:rsidRDefault="00DF0AAA" w:rsidP="0080187E">
            <w:pPr>
              <w:pStyle w:val="Tablebody"/>
              <w:keepNext/>
              <w:keepLines/>
              <w:jc w:val="center"/>
            </w:pPr>
            <w:r w:rsidRPr="0080187E">
              <w:t>0,35</w:t>
            </w:r>
          </w:p>
        </w:tc>
      </w:tr>
      <w:tr w:rsidR="00DF0AAA" w:rsidRPr="0080187E" w14:paraId="05221337" w14:textId="77777777" w:rsidTr="00DF0AAA">
        <w:trPr>
          <w:jc w:val="center"/>
        </w:trPr>
        <w:tc>
          <w:tcPr>
            <w:tcW w:w="1614" w:type="dxa"/>
            <w:vAlign w:val="bottom"/>
          </w:tcPr>
          <w:p w14:paraId="7BD5EF2E" w14:textId="77777777" w:rsidR="00DF0AAA" w:rsidRPr="0080187E" w:rsidRDefault="00DF0AAA" w:rsidP="00DF0AAA">
            <w:pPr>
              <w:pStyle w:val="Tablebody"/>
              <w:jc w:val="center"/>
            </w:pPr>
            <w:r w:rsidRPr="0080187E">
              <w:t>Hollow</w:t>
            </w:r>
          </w:p>
        </w:tc>
        <w:tc>
          <w:tcPr>
            <w:tcW w:w="1873" w:type="dxa"/>
            <w:vAlign w:val="bottom"/>
          </w:tcPr>
          <w:p w14:paraId="5945A388" w14:textId="77777777" w:rsidR="00DF0AAA" w:rsidRPr="0080187E" w:rsidRDefault="00DF0AAA" w:rsidP="00DF0AAA">
            <w:pPr>
              <w:pStyle w:val="Tablebody"/>
              <w:jc w:val="center"/>
            </w:pPr>
            <w:r w:rsidRPr="0080187E">
              <w:t>0,45</w:t>
            </w:r>
          </w:p>
        </w:tc>
        <w:tc>
          <w:tcPr>
            <w:tcW w:w="1134" w:type="dxa"/>
            <w:vAlign w:val="bottom"/>
          </w:tcPr>
          <w:p w14:paraId="5F9F80EE" w14:textId="77777777" w:rsidR="00DF0AAA" w:rsidRPr="0080187E" w:rsidRDefault="00DF0AAA" w:rsidP="00DF0AAA">
            <w:pPr>
              <w:pStyle w:val="Tablebody"/>
              <w:jc w:val="center"/>
            </w:pPr>
            <w:r w:rsidRPr="0080187E">
              <w:t>0,35</w:t>
            </w:r>
          </w:p>
        </w:tc>
      </w:tr>
      <w:tr w:rsidR="00DF0AAA" w:rsidRPr="0080187E" w14:paraId="0FFC36FF" w14:textId="77777777" w:rsidTr="00DF0AAA">
        <w:trPr>
          <w:jc w:val="center"/>
        </w:trPr>
        <w:tc>
          <w:tcPr>
            <w:tcW w:w="1614" w:type="dxa"/>
            <w:vAlign w:val="bottom"/>
          </w:tcPr>
          <w:p w14:paraId="0747D5EA" w14:textId="77777777" w:rsidR="00DF0AAA" w:rsidRPr="0080187E" w:rsidRDefault="00DF0AAA" w:rsidP="00DF0AAA">
            <w:pPr>
              <w:pStyle w:val="Tablebody"/>
              <w:jc w:val="center"/>
            </w:pPr>
            <w:r w:rsidRPr="0080187E">
              <w:t>Circular</w:t>
            </w:r>
          </w:p>
        </w:tc>
        <w:tc>
          <w:tcPr>
            <w:tcW w:w="1873" w:type="dxa"/>
            <w:vAlign w:val="bottom"/>
          </w:tcPr>
          <w:p w14:paraId="69E61692" w14:textId="77777777" w:rsidR="00DF0AAA" w:rsidRPr="0080187E" w:rsidRDefault="00DF0AAA" w:rsidP="00DF0AAA">
            <w:pPr>
              <w:pStyle w:val="Tablebody"/>
              <w:jc w:val="center"/>
            </w:pPr>
            <w:r w:rsidRPr="0080187E">
              <w:t>0,35</w:t>
            </w:r>
          </w:p>
        </w:tc>
        <w:tc>
          <w:tcPr>
            <w:tcW w:w="1134" w:type="dxa"/>
            <w:vAlign w:val="bottom"/>
          </w:tcPr>
          <w:p w14:paraId="3AFCD175" w14:textId="77777777" w:rsidR="00DF0AAA" w:rsidRPr="0080187E" w:rsidRDefault="00DF0AAA" w:rsidP="00DF0AAA">
            <w:pPr>
              <w:pStyle w:val="Tablebody"/>
              <w:jc w:val="center"/>
            </w:pPr>
            <w:r w:rsidRPr="0080187E">
              <w:t>0,30</w:t>
            </w:r>
          </w:p>
        </w:tc>
      </w:tr>
    </w:tbl>
    <w:p w14:paraId="098BBC4A" w14:textId="772AA55F" w:rsidR="00DF0AAA" w:rsidRPr="00B15F96" w:rsidRDefault="00DF0AAA" w:rsidP="00DF0AAA">
      <w:pPr>
        <w:pStyle w:val="Tabletitle"/>
      </w:pPr>
      <w:r w:rsidRPr="00B15F96">
        <w:t>Table 10.3 (NDP) — </w:t>
      </w:r>
      <w:r w:rsidR="00B15F96" w:rsidRPr="00B15F96">
        <w:t>Partial factors at SD and NC</w:t>
      </w:r>
    </w:p>
    <w:tbl>
      <w:tblPr>
        <w:tblStyle w:val="TableGrid"/>
        <w:tblW w:w="0" w:type="auto"/>
        <w:jc w:val="center"/>
        <w:tblLayout w:type="fixed"/>
        <w:tblLook w:val="04A0" w:firstRow="1" w:lastRow="0" w:firstColumn="1" w:lastColumn="0" w:noHBand="0" w:noVBand="1"/>
      </w:tblPr>
      <w:tblGrid>
        <w:gridCol w:w="2095"/>
        <w:gridCol w:w="1329"/>
        <w:gridCol w:w="1134"/>
        <w:gridCol w:w="1134"/>
        <w:gridCol w:w="1134"/>
      </w:tblGrid>
      <w:tr w:rsidR="00B15F96" w:rsidRPr="00804159" w14:paraId="4B1E77AA" w14:textId="77777777" w:rsidTr="00B15F96">
        <w:trPr>
          <w:jc w:val="center"/>
        </w:trPr>
        <w:tc>
          <w:tcPr>
            <w:tcW w:w="2095" w:type="dxa"/>
            <w:vMerge w:val="restart"/>
            <w:vAlign w:val="center"/>
          </w:tcPr>
          <w:p w14:paraId="5C72DAA7" w14:textId="77777777" w:rsidR="00B15F96" w:rsidRPr="00B15F96" w:rsidRDefault="00B15F96" w:rsidP="00B15F96">
            <w:pPr>
              <w:pStyle w:val="Tablebody"/>
              <w:jc w:val="center"/>
              <w:rPr>
                <w:b/>
                <w:bCs/>
              </w:rPr>
            </w:pPr>
            <w:r w:rsidRPr="00B15F96">
              <w:rPr>
                <w:b/>
                <w:bCs/>
              </w:rPr>
              <w:t>Section shape</w:t>
            </w:r>
          </w:p>
        </w:tc>
        <w:tc>
          <w:tcPr>
            <w:tcW w:w="2463" w:type="dxa"/>
            <w:gridSpan w:val="2"/>
            <w:vAlign w:val="center"/>
          </w:tcPr>
          <w:p w14:paraId="3D3B14C1" w14:textId="77777777" w:rsidR="00B15F96" w:rsidRPr="00B15F96" w:rsidRDefault="00B15F96" w:rsidP="00B15F96">
            <w:pPr>
              <w:pStyle w:val="Tablebody"/>
              <w:jc w:val="center"/>
              <w:rPr>
                <w:b/>
                <w:bCs/>
              </w:rPr>
            </w:pPr>
            <w:r w:rsidRPr="00B15F96">
              <w:rPr>
                <w:rFonts w:ascii="Calibri" w:hAnsi="Calibri" w:cs="Calibri"/>
                <w:b/>
                <w:bCs/>
              </w:rPr>
              <w:t xml:space="preserve">Chord rotation </w:t>
            </w:r>
            <w:r w:rsidRPr="00B15F96">
              <w:rPr>
                <w:rFonts w:ascii="Symbol" w:hAnsi="Symbol" w:cs="Calibri"/>
                <w:b/>
                <w:bCs/>
                <w:i/>
                <w:iCs/>
              </w:rPr>
              <w:t></w:t>
            </w:r>
            <w:r w:rsidRPr="00B15F96">
              <w:rPr>
                <w:rFonts w:ascii="Calibri" w:hAnsi="Calibri" w:cs="Calibri"/>
                <w:b/>
                <w:bCs/>
                <w:vertAlign w:val="subscript"/>
              </w:rPr>
              <w:t>u</w:t>
            </w:r>
          </w:p>
        </w:tc>
        <w:tc>
          <w:tcPr>
            <w:tcW w:w="2268" w:type="dxa"/>
            <w:gridSpan w:val="2"/>
            <w:vAlign w:val="center"/>
          </w:tcPr>
          <w:p w14:paraId="1E981305" w14:textId="77777777" w:rsidR="00B15F96" w:rsidRPr="00B15F96" w:rsidRDefault="00B15F96" w:rsidP="00B15F96">
            <w:pPr>
              <w:pStyle w:val="Tablebody"/>
              <w:jc w:val="center"/>
              <w:rPr>
                <w:b/>
                <w:bCs/>
              </w:rPr>
            </w:pPr>
            <w:r w:rsidRPr="00B15F96">
              <w:rPr>
                <w:b/>
                <w:bCs/>
              </w:rPr>
              <w:t>Shear</w:t>
            </w:r>
          </w:p>
        </w:tc>
      </w:tr>
      <w:tr w:rsidR="00B15F96" w:rsidRPr="00804159" w14:paraId="533061C8" w14:textId="77777777" w:rsidTr="00B15F96">
        <w:trPr>
          <w:jc w:val="center"/>
        </w:trPr>
        <w:tc>
          <w:tcPr>
            <w:tcW w:w="2095" w:type="dxa"/>
            <w:vMerge/>
            <w:vAlign w:val="center"/>
          </w:tcPr>
          <w:p w14:paraId="6AE18E38" w14:textId="77777777" w:rsidR="00B15F96" w:rsidRPr="00804159" w:rsidRDefault="00B15F96" w:rsidP="00B15F96">
            <w:pPr>
              <w:pStyle w:val="Tablebody"/>
              <w:jc w:val="center"/>
            </w:pPr>
          </w:p>
        </w:tc>
        <w:tc>
          <w:tcPr>
            <w:tcW w:w="1329" w:type="dxa"/>
            <w:vAlign w:val="center"/>
          </w:tcPr>
          <w:p w14:paraId="6A19F5E6" w14:textId="77777777" w:rsidR="00B15F96" w:rsidRPr="00B15F96" w:rsidRDefault="00B15F96" w:rsidP="00B15F96">
            <w:pPr>
              <w:pStyle w:val="Tablebody"/>
              <w:jc w:val="center"/>
              <w:rPr>
                <w:b/>
                <w:bCs/>
              </w:rPr>
            </w:pPr>
            <w:r w:rsidRPr="00B15F96">
              <w:rPr>
                <w:b/>
                <w:bCs/>
              </w:rPr>
              <w:t>SD</w:t>
            </w:r>
          </w:p>
        </w:tc>
        <w:tc>
          <w:tcPr>
            <w:tcW w:w="1134" w:type="dxa"/>
            <w:vAlign w:val="center"/>
          </w:tcPr>
          <w:p w14:paraId="00FB66A1" w14:textId="77777777" w:rsidR="00B15F96" w:rsidRPr="00B15F96" w:rsidRDefault="00B15F96" w:rsidP="00B15F96">
            <w:pPr>
              <w:pStyle w:val="Tablebody"/>
              <w:jc w:val="center"/>
              <w:rPr>
                <w:b/>
                <w:bCs/>
              </w:rPr>
            </w:pPr>
            <w:r w:rsidRPr="00B15F96">
              <w:rPr>
                <w:b/>
                <w:bCs/>
              </w:rPr>
              <w:t>NC</w:t>
            </w:r>
          </w:p>
        </w:tc>
        <w:tc>
          <w:tcPr>
            <w:tcW w:w="1134" w:type="dxa"/>
            <w:vAlign w:val="center"/>
          </w:tcPr>
          <w:p w14:paraId="479CDB72" w14:textId="77777777" w:rsidR="00B15F96" w:rsidRPr="00B15F96" w:rsidRDefault="00B15F96" w:rsidP="00B15F96">
            <w:pPr>
              <w:pStyle w:val="Tablebody"/>
              <w:jc w:val="center"/>
              <w:rPr>
                <w:b/>
                <w:bCs/>
              </w:rPr>
            </w:pPr>
            <w:r w:rsidRPr="00B15F96">
              <w:rPr>
                <w:b/>
                <w:bCs/>
              </w:rPr>
              <w:t>SD</w:t>
            </w:r>
          </w:p>
        </w:tc>
        <w:tc>
          <w:tcPr>
            <w:tcW w:w="1134" w:type="dxa"/>
            <w:vAlign w:val="center"/>
          </w:tcPr>
          <w:p w14:paraId="679B7DA7" w14:textId="77777777" w:rsidR="00B15F96" w:rsidRPr="00B15F96" w:rsidRDefault="00B15F96" w:rsidP="00B15F96">
            <w:pPr>
              <w:pStyle w:val="Tablebody"/>
              <w:jc w:val="center"/>
              <w:rPr>
                <w:b/>
                <w:bCs/>
              </w:rPr>
            </w:pPr>
            <w:r w:rsidRPr="00B15F96">
              <w:rPr>
                <w:b/>
                <w:bCs/>
              </w:rPr>
              <w:t>NC</w:t>
            </w:r>
          </w:p>
        </w:tc>
      </w:tr>
      <w:tr w:rsidR="00B15F96" w:rsidRPr="0080187E" w14:paraId="5482047E" w14:textId="77777777" w:rsidTr="00B15F96">
        <w:trPr>
          <w:jc w:val="center"/>
        </w:trPr>
        <w:tc>
          <w:tcPr>
            <w:tcW w:w="2095" w:type="dxa"/>
            <w:vAlign w:val="center"/>
          </w:tcPr>
          <w:p w14:paraId="02242800" w14:textId="77777777" w:rsidR="00B15F96" w:rsidRPr="0080187E" w:rsidRDefault="00B15F96" w:rsidP="00B15F96">
            <w:pPr>
              <w:pStyle w:val="Tablebody"/>
              <w:jc w:val="center"/>
            </w:pPr>
            <w:r w:rsidRPr="0080187E">
              <w:t>Rectangular, hollow</w:t>
            </w:r>
          </w:p>
        </w:tc>
        <w:tc>
          <w:tcPr>
            <w:tcW w:w="1329" w:type="dxa"/>
            <w:vAlign w:val="center"/>
          </w:tcPr>
          <w:p w14:paraId="401F4285" w14:textId="77777777" w:rsidR="00B15F96" w:rsidRPr="0080187E" w:rsidRDefault="00B15F96" w:rsidP="00B15F96">
            <w:pPr>
              <w:pStyle w:val="Tablebody"/>
              <w:jc w:val="center"/>
            </w:pPr>
            <w:r w:rsidRPr="0080187E">
              <w:t>1,8</w:t>
            </w:r>
          </w:p>
        </w:tc>
        <w:tc>
          <w:tcPr>
            <w:tcW w:w="1134" w:type="dxa"/>
            <w:vAlign w:val="center"/>
          </w:tcPr>
          <w:p w14:paraId="0A47BCD7" w14:textId="77777777" w:rsidR="00B15F96" w:rsidRPr="0080187E" w:rsidRDefault="00B15F96" w:rsidP="00B15F96">
            <w:pPr>
              <w:pStyle w:val="Tablebody"/>
              <w:jc w:val="center"/>
            </w:pPr>
            <w:r w:rsidRPr="0080187E">
              <w:t>2,3</w:t>
            </w:r>
          </w:p>
        </w:tc>
        <w:tc>
          <w:tcPr>
            <w:tcW w:w="1134" w:type="dxa"/>
            <w:vAlign w:val="center"/>
          </w:tcPr>
          <w:p w14:paraId="7D244A63" w14:textId="77777777" w:rsidR="00B15F96" w:rsidRPr="0080187E" w:rsidRDefault="00B15F96" w:rsidP="00B15F96">
            <w:pPr>
              <w:pStyle w:val="Tablebody"/>
              <w:jc w:val="center"/>
            </w:pPr>
            <w:r w:rsidRPr="0080187E">
              <w:t>1,6</w:t>
            </w:r>
          </w:p>
        </w:tc>
        <w:tc>
          <w:tcPr>
            <w:tcW w:w="1134" w:type="dxa"/>
            <w:vAlign w:val="center"/>
          </w:tcPr>
          <w:p w14:paraId="7446A056" w14:textId="77777777" w:rsidR="00B15F96" w:rsidRPr="0080187E" w:rsidRDefault="00B15F96" w:rsidP="00B15F96">
            <w:pPr>
              <w:pStyle w:val="Tablebody"/>
              <w:jc w:val="center"/>
            </w:pPr>
            <w:r w:rsidRPr="0080187E">
              <w:t>1,9</w:t>
            </w:r>
          </w:p>
        </w:tc>
      </w:tr>
      <w:tr w:rsidR="00B15F96" w:rsidRPr="0080187E" w14:paraId="373CAA9E" w14:textId="77777777" w:rsidTr="00B15F96">
        <w:trPr>
          <w:jc w:val="center"/>
        </w:trPr>
        <w:tc>
          <w:tcPr>
            <w:tcW w:w="2095" w:type="dxa"/>
            <w:vAlign w:val="center"/>
          </w:tcPr>
          <w:p w14:paraId="1AF33C5A" w14:textId="77777777" w:rsidR="00B15F96" w:rsidRPr="0080187E" w:rsidRDefault="00B15F96" w:rsidP="00B15F96">
            <w:pPr>
              <w:pStyle w:val="Tablebody"/>
              <w:jc w:val="center"/>
            </w:pPr>
            <w:r w:rsidRPr="0080187E">
              <w:t>Circular</w:t>
            </w:r>
          </w:p>
        </w:tc>
        <w:tc>
          <w:tcPr>
            <w:tcW w:w="1329" w:type="dxa"/>
            <w:vAlign w:val="center"/>
          </w:tcPr>
          <w:p w14:paraId="005F15BA" w14:textId="77777777" w:rsidR="00B15F96" w:rsidRPr="0080187E" w:rsidRDefault="00B15F96" w:rsidP="00B15F96">
            <w:pPr>
              <w:pStyle w:val="Tablebody"/>
              <w:jc w:val="center"/>
            </w:pPr>
            <w:r w:rsidRPr="0080187E">
              <w:t>1,6</w:t>
            </w:r>
          </w:p>
        </w:tc>
        <w:tc>
          <w:tcPr>
            <w:tcW w:w="1134" w:type="dxa"/>
            <w:vAlign w:val="center"/>
          </w:tcPr>
          <w:p w14:paraId="5AD1298E" w14:textId="77777777" w:rsidR="00B15F96" w:rsidRPr="0080187E" w:rsidRDefault="00B15F96" w:rsidP="00B15F96">
            <w:pPr>
              <w:pStyle w:val="Tablebody"/>
              <w:jc w:val="center"/>
            </w:pPr>
            <w:r w:rsidRPr="0080187E">
              <w:t>1,9</w:t>
            </w:r>
          </w:p>
        </w:tc>
        <w:tc>
          <w:tcPr>
            <w:tcW w:w="1134" w:type="dxa"/>
            <w:vAlign w:val="center"/>
          </w:tcPr>
          <w:p w14:paraId="25341424" w14:textId="77777777" w:rsidR="00B15F96" w:rsidRPr="0080187E" w:rsidRDefault="00B15F96" w:rsidP="00B15F96">
            <w:pPr>
              <w:pStyle w:val="Tablebody"/>
              <w:jc w:val="center"/>
            </w:pPr>
            <w:r w:rsidRPr="0080187E">
              <w:t>1,5</w:t>
            </w:r>
          </w:p>
        </w:tc>
        <w:tc>
          <w:tcPr>
            <w:tcW w:w="1134" w:type="dxa"/>
            <w:vAlign w:val="center"/>
          </w:tcPr>
          <w:p w14:paraId="59F56BFD" w14:textId="77777777" w:rsidR="00B15F96" w:rsidRPr="0080187E" w:rsidRDefault="00B15F96" w:rsidP="00B15F96">
            <w:pPr>
              <w:pStyle w:val="Tablebody"/>
              <w:jc w:val="center"/>
            </w:pPr>
            <w:r w:rsidRPr="0080187E">
              <w:t>1,75</w:t>
            </w:r>
          </w:p>
        </w:tc>
      </w:tr>
    </w:tbl>
    <w:p w14:paraId="12A199AC" w14:textId="164AF88B" w:rsidR="00DF0AAA" w:rsidRDefault="00B15F96" w:rsidP="00B15F96">
      <w:pPr>
        <w:pStyle w:val="Notetext"/>
      </w:pPr>
      <w:r>
        <w:t>NOTE</w:t>
      </w:r>
      <w:r>
        <w:tab/>
        <w:t xml:space="preserve">The values in Table 10.3 (NDP) are computed with the values of </w:t>
      </w:r>
      <w:r w:rsidRPr="00B1355D">
        <w:rPr>
          <w:rFonts w:ascii="Symbol" w:hAnsi="Symbol"/>
          <w:i/>
        </w:rPr>
        <w:t></w:t>
      </w:r>
      <w:r w:rsidRPr="00B1355D">
        <w:rPr>
          <w:vertAlign w:val="subscript"/>
        </w:rPr>
        <w:t>t,LS,</w:t>
      </w:r>
      <w:r>
        <w:rPr>
          <w:vertAlign w:val="subscript"/>
        </w:rPr>
        <w:t>2</w:t>
      </w:r>
      <w:r w:rsidRPr="00B1355D">
        <w:t xml:space="preserve"> </w:t>
      </w:r>
      <w:r>
        <w:t xml:space="preserve">(i.e. CC2) </w:t>
      </w:r>
      <w:r w:rsidRPr="00B1355D">
        <w:t>suggested in prEN</w:t>
      </w:r>
      <w:r>
        <w:t> </w:t>
      </w:r>
      <w:r w:rsidRPr="00B1355D">
        <w:t>1998-1-1:</w:t>
      </w:r>
      <w:r w:rsidRPr="00B15F96">
        <w:t>2022, F.3. Values</w:t>
      </w:r>
      <w:r>
        <w:t xml:space="preserve"> for CC other than CC2 can be calculated according to the note in 6.2.3(3)</w:t>
      </w:r>
      <w:r w:rsidRPr="001D5B78">
        <w:t>.</w:t>
      </w:r>
      <w:r>
        <w:t xml:space="preserve"> If the </w:t>
      </w:r>
      <w:r w:rsidRPr="001D5B78">
        <w:t xml:space="preserve">National Annex gives different values </w:t>
      </w:r>
      <w:r>
        <w:t xml:space="preserve">of </w:t>
      </w:r>
      <w:r w:rsidRPr="00B1355D">
        <w:rPr>
          <w:rFonts w:ascii="Symbol" w:hAnsi="Symbol"/>
          <w:i/>
        </w:rPr>
        <w:t></w:t>
      </w:r>
      <w:r w:rsidRPr="00B1355D">
        <w:rPr>
          <w:vertAlign w:val="subscript"/>
        </w:rPr>
        <w:t>t,LS,CC</w:t>
      </w:r>
      <w:r w:rsidRPr="001D5B78">
        <w:t xml:space="preserve"> for use in a country</w:t>
      </w:r>
      <w:r>
        <w:t xml:space="preserve">, the partial factors </w:t>
      </w:r>
      <w:r w:rsidR="00155F8D">
        <w:t xml:space="preserve">can </w:t>
      </w:r>
      <w:r>
        <w:t>be updated according to the note in 6.2.3(3)</w:t>
      </w:r>
      <w:r w:rsidRPr="001D5B78">
        <w:t>.</w:t>
      </w:r>
    </w:p>
    <w:p w14:paraId="35C3D179" w14:textId="0966D6DE" w:rsidR="00047513" w:rsidRPr="00132C1E" w:rsidRDefault="00047513" w:rsidP="00047513">
      <w:pPr>
        <w:pStyle w:val="Heading2"/>
      </w:pPr>
      <w:bookmarkStart w:id="6793" w:name="_Toc70886804"/>
      <w:bookmarkStart w:id="6794" w:name="_Toc108342344"/>
      <w:bookmarkStart w:id="6795" w:name="_Toc134197893"/>
      <w:r w:rsidRPr="007754C9">
        <w:t>Beams</w:t>
      </w:r>
      <w:bookmarkEnd w:id="6790"/>
      <w:bookmarkEnd w:id="6791"/>
      <w:bookmarkEnd w:id="6792"/>
      <w:bookmarkEnd w:id="6793"/>
      <w:bookmarkEnd w:id="6794"/>
      <w:bookmarkEnd w:id="6795"/>
    </w:p>
    <w:p w14:paraId="3447CDBF" w14:textId="77777777" w:rsidR="00047513" w:rsidRPr="00132C1E" w:rsidRDefault="00047513" w:rsidP="00047513">
      <w:pPr>
        <w:pStyle w:val="Heading3"/>
      </w:pPr>
      <w:bookmarkStart w:id="6796" w:name="_Toc522279706"/>
      <w:bookmarkStart w:id="6797" w:name="_Toc17934194"/>
      <w:bookmarkStart w:id="6798" w:name="_Toc50150373"/>
      <w:bookmarkStart w:id="6799" w:name="_Toc70886805"/>
      <w:bookmarkStart w:id="6800" w:name="_Toc108342345"/>
      <w:bookmarkStart w:id="6801" w:name="_Toc134197894"/>
      <w:r w:rsidRPr="00132C1E">
        <w:t>Geometrical and other provisions</w:t>
      </w:r>
      <w:bookmarkEnd w:id="6796"/>
      <w:bookmarkEnd w:id="6797"/>
      <w:bookmarkEnd w:id="6798"/>
      <w:bookmarkEnd w:id="6799"/>
      <w:bookmarkEnd w:id="6800"/>
      <w:bookmarkEnd w:id="6801"/>
    </w:p>
    <w:p w14:paraId="41ACFA78" w14:textId="0FA40DE0" w:rsidR="00047513" w:rsidRPr="00132C1E" w:rsidRDefault="00047513" w:rsidP="0080187E">
      <w:pPr>
        <w:pStyle w:val="Clause"/>
        <w:numPr>
          <w:ilvl w:val="0"/>
          <w:numId w:val="319"/>
        </w:numPr>
      </w:pPr>
      <w:r w:rsidRPr="00132C1E">
        <w:t>Prismatic concrete members should be designed as beams when subjected mainly to transverse loads and to a normal</w:t>
      </w:r>
      <w:r w:rsidR="00E10A24">
        <w:t>ize</w:t>
      </w:r>
      <w:r w:rsidRPr="00132C1E">
        <w:t xml:space="preserve">d design axial force in the seismic design situation </w:t>
      </w:r>
      <w:r w:rsidRPr="007B6DA6">
        <w:rPr>
          <w:i/>
        </w:rPr>
        <w:t>ν</w:t>
      </w:r>
      <w:r w:rsidRPr="007B6DA6">
        <w:rPr>
          <w:vertAlign w:val="subscript"/>
        </w:rPr>
        <w:t>d</w:t>
      </w:r>
      <w:r w:rsidRPr="00132C1E">
        <w:t xml:space="preserve"> = </w:t>
      </w:r>
      <w:r w:rsidRPr="007B6DA6">
        <w:rPr>
          <w:i/>
        </w:rPr>
        <w:t>N</w:t>
      </w:r>
      <w:r w:rsidRPr="007B6DA6">
        <w:rPr>
          <w:vertAlign w:val="subscript"/>
        </w:rPr>
        <w:t>Ed</w:t>
      </w:r>
      <w:r w:rsidRPr="00132C1E">
        <w:t>/(</w:t>
      </w:r>
      <w:r w:rsidRPr="007B6DA6">
        <w:rPr>
          <w:i/>
        </w:rPr>
        <w:t>A</w:t>
      </w:r>
      <w:r w:rsidRPr="007B6DA6">
        <w:rPr>
          <w:vertAlign w:val="subscript"/>
        </w:rPr>
        <w:t>c</w:t>
      </w:r>
      <w:r w:rsidRPr="00132C1E">
        <w:t> </w:t>
      </w:r>
      <w:r w:rsidRPr="007B6DA6">
        <w:rPr>
          <w:i/>
        </w:rPr>
        <w:t>f</w:t>
      </w:r>
      <w:r w:rsidRPr="007B6DA6">
        <w:rPr>
          <w:vertAlign w:val="subscript"/>
        </w:rPr>
        <w:t>cd</w:t>
      </w:r>
      <w:r w:rsidRPr="00132C1E">
        <w:t>) not greater than 0,1.</w:t>
      </w:r>
    </w:p>
    <w:p w14:paraId="24119E85" w14:textId="2ACDA8ED" w:rsidR="00047513" w:rsidRPr="00132C1E" w:rsidRDefault="00047513" w:rsidP="00724E4E">
      <w:pPr>
        <w:pStyle w:val="Clause"/>
      </w:pPr>
      <w:r w:rsidRPr="00132C1E">
        <w:t xml:space="preserve">The eccentricity of the primary seismic beam axis relative to that of the column into which it frames should not be greater than </w:t>
      </w:r>
      <w:r w:rsidRPr="004030A7">
        <w:rPr>
          <w:i/>
        </w:rPr>
        <w:t>b</w:t>
      </w:r>
      <w:r w:rsidRPr="004030A7">
        <w:rPr>
          <w:vertAlign w:val="subscript"/>
        </w:rPr>
        <w:t>max</w:t>
      </w:r>
      <w:r w:rsidRPr="00132C1E">
        <w:t xml:space="preserve">/3, where </w:t>
      </w:r>
      <w:r w:rsidRPr="004030A7">
        <w:rPr>
          <w:i/>
        </w:rPr>
        <w:t>b</w:t>
      </w:r>
      <w:r w:rsidRPr="004030A7">
        <w:rPr>
          <w:vertAlign w:val="subscript"/>
        </w:rPr>
        <w:t>max</w:t>
      </w:r>
      <w:r w:rsidRPr="00132C1E">
        <w:t xml:space="preserve"> is the largest cross-sectional dimension of the column normal to the longitudinal axis of the beam.</w:t>
      </w:r>
    </w:p>
    <w:p w14:paraId="52FB0E63" w14:textId="2ED66869" w:rsidR="00047513" w:rsidRPr="00417F28" w:rsidRDefault="00047513" w:rsidP="00724E4E">
      <w:pPr>
        <w:pStyle w:val="Clause"/>
      </w:pPr>
      <w:r w:rsidRPr="00132C1E">
        <w:t xml:space="preserve">The width </w:t>
      </w:r>
      <w:r w:rsidRPr="004030A7">
        <w:rPr>
          <w:i/>
        </w:rPr>
        <w:t>b</w:t>
      </w:r>
      <w:r w:rsidRPr="00132C1E">
        <w:t xml:space="preserve"> of the primary seismic beam should not be greater than the minimum of </w:t>
      </w:r>
      <w:r w:rsidRPr="004030A7">
        <w:rPr>
          <w:i/>
        </w:rPr>
        <w:t>b</w:t>
      </w:r>
      <w:r w:rsidRPr="004030A7">
        <w:rPr>
          <w:vertAlign w:val="subscript"/>
        </w:rPr>
        <w:t>max</w:t>
      </w:r>
      <w:r w:rsidRPr="00132C1E">
        <w:t>+</w:t>
      </w:r>
      <w:r w:rsidRPr="004030A7">
        <w:rPr>
          <w:i/>
        </w:rPr>
        <w:t>h</w:t>
      </w:r>
      <w:r w:rsidRPr="00132C1E">
        <w:t xml:space="preserve"> and 2</w:t>
      </w:r>
      <w:r w:rsidRPr="004030A7">
        <w:rPr>
          <w:i/>
        </w:rPr>
        <w:t>b</w:t>
      </w:r>
      <w:r w:rsidRPr="004030A7">
        <w:rPr>
          <w:vertAlign w:val="subscript"/>
        </w:rPr>
        <w:t>max</w:t>
      </w:r>
      <w:r w:rsidRPr="00132C1E">
        <w:t xml:space="preserve">, where </w:t>
      </w:r>
      <w:r w:rsidRPr="004030A7">
        <w:rPr>
          <w:i/>
        </w:rPr>
        <w:t>h</w:t>
      </w:r>
      <w:r w:rsidRPr="00132C1E">
        <w:t xml:space="preserve"> is the beam depth and </w:t>
      </w:r>
      <w:r w:rsidRPr="004030A7">
        <w:rPr>
          <w:i/>
        </w:rPr>
        <w:t>b</w:t>
      </w:r>
      <w:r w:rsidRPr="004030A7">
        <w:rPr>
          <w:vertAlign w:val="subscript"/>
        </w:rPr>
        <w:t>max</w:t>
      </w:r>
      <w:r w:rsidRPr="00132C1E">
        <w:t xml:space="preserve"> is as </w:t>
      </w:r>
      <w:r w:rsidRPr="00417F28">
        <w:t>defined in (2).</w:t>
      </w:r>
    </w:p>
    <w:p w14:paraId="0463BD0B" w14:textId="61735E8C" w:rsidR="00047513" w:rsidRPr="00446008" w:rsidRDefault="00047513" w:rsidP="00724E4E">
      <w:pPr>
        <w:pStyle w:val="Clause"/>
      </w:pPr>
      <w:r w:rsidRPr="00417F28">
        <w:t xml:space="preserve">The effective flange width of beams cast monolithically with the slab may be taken in the model for the analysis equal to the constant value specified in </w:t>
      </w:r>
      <w:r w:rsidR="0026060E">
        <w:t>PrEN 1992-1-1:2021</w:t>
      </w:r>
      <w:r w:rsidRPr="00417F28">
        <w:t xml:space="preserve">, </w:t>
      </w:r>
      <w:r w:rsidR="00B3572F" w:rsidRPr="00417F28">
        <w:t>7.2.3(4)</w:t>
      </w:r>
      <w:r w:rsidRPr="00417F28">
        <w:t>, for the</w:t>
      </w:r>
      <w:r w:rsidRPr="00446008">
        <w:t xml:space="preserve"> whole span.</w:t>
      </w:r>
    </w:p>
    <w:p w14:paraId="0157F0A5" w14:textId="31374EB8" w:rsidR="00047513" w:rsidRPr="00132C1E" w:rsidRDefault="00047513" w:rsidP="00047513">
      <w:pPr>
        <w:pStyle w:val="Heading3"/>
      </w:pPr>
      <w:bookmarkStart w:id="6802" w:name="_Toc519013114"/>
      <w:bookmarkStart w:id="6803" w:name="_Toc522209792"/>
      <w:bookmarkStart w:id="6804" w:name="_Toc522209898"/>
      <w:bookmarkStart w:id="6805" w:name="_Toc522211930"/>
      <w:bookmarkStart w:id="6806" w:name="_Toc522212672"/>
      <w:bookmarkStart w:id="6807" w:name="_Toc522279707"/>
      <w:bookmarkStart w:id="6808" w:name="_Toc522279708"/>
      <w:bookmarkStart w:id="6809" w:name="_Toc17934195"/>
      <w:bookmarkStart w:id="6810" w:name="_Toc50150374"/>
      <w:bookmarkStart w:id="6811" w:name="_Toc70886806"/>
      <w:bookmarkStart w:id="6812" w:name="_Toc108342346"/>
      <w:bookmarkStart w:id="6813" w:name="_Toc134197895"/>
      <w:bookmarkEnd w:id="6802"/>
      <w:bookmarkEnd w:id="6803"/>
      <w:bookmarkEnd w:id="6804"/>
      <w:bookmarkEnd w:id="6805"/>
      <w:bookmarkEnd w:id="6806"/>
      <w:bookmarkEnd w:id="6807"/>
      <w:r w:rsidRPr="00132C1E">
        <w:t>Specific rules for beams supporting discontinued vertical members</w:t>
      </w:r>
      <w:bookmarkEnd w:id="6808"/>
      <w:bookmarkEnd w:id="6809"/>
      <w:bookmarkEnd w:id="6810"/>
      <w:bookmarkEnd w:id="6811"/>
      <w:bookmarkEnd w:id="6812"/>
      <w:bookmarkEnd w:id="6813"/>
    </w:p>
    <w:p w14:paraId="25B78C69" w14:textId="3DDBDA8E" w:rsidR="00047513" w:rsidRPr="00417F28" w:rsidRDefault="00047513" w:rsidP="0080187E">
      <w:pPr>
        <w:pStyle w:val="Clause"/>
        <w:numPr>
          <w:ilvl w:val="0"/>
          <w:numId w:val="320"/>
        </w:numPr>
      </w:pPr>
      <w:r w:rsidRPr="00132C1E">
        <w:t xml:space="preserve">Structural walls should not be supported on beams, unless </w:t>
      </w:r>
      <w:r>
        <w:t>the beams are designed as</w:t>
      </w:r>
      <w:r w:rsidRPr="00132C1E">
        <w:t xml:space="preserve"> transfer </w:t>
      </w:r>
      <w:r>
        <w:t>zones</w:t>
      </w:r>
      <w:r w:rsidRPr="00132C1E">
        <w:t xml:space="preserve"> in the seismic design situation according </w:t>
      </w:r>
      <w:r w:rsidRPr="00417F28">
        <w:t>to 6.2.11 and 10.15.</w:t>
      </w:r>
    </w:p>
    <w:p w14:paraId="0D9260E8" w14:textId="365C6017" w:rsidR="00047513" w:rsidRPr="00417F28" w:rsidRDefault="00047513" w:rsidP="0080187E">
      <w:pPr>
        <w:pStyle w:val="Clause"/>
      </w:pPr>
      <w:r w:rsidRPr="00417F28">
        <w:lastRenderedPageBreak/>
        <w:t>For a primary seismic beam which support discontinued columns, conditions a) and b) should be fulfilled:</w:t>
      </w:r>
    </w:p>
    <w:p w14:paraId="439C4B35" w14:textId="77777777" w:rsidR="00047513" w:rsidRPr="00417F28" w:rsidRDefault="00047513" w:rsidP="0080187E">
      <w:pPr>
        <w:pStyle w:val="List2"/>
        <w:numPr>
          <w:ilvl w:val="0"/>
          <w:numId w:val="116"/>
        </w:numPr>
        <w:spacing w:before="0" w:after="240" w:line="230" w:lineRule="atLeast"/>
        <w:ind w:left="426" w:hanging="426"/>
        <w:contextualSpacing w:val="0"/>
      </w:pPr>
      <w:r w:rsidRPr="00417F28">
        <w:t>there should be no eccentricity of the column axis relative to that of the beam;</w:t>
      </w:r>
    </w:p>
    <w:p w14:paraId="5DFE04CF" w14:textId="77777777" w:rsidR="00047513" w:rsidRPr="00417F28" w:rsidRDefault="00047513" w:rsidP="0080187E">
      <w:pPr>
        <w:pStyle w:val="List2"/>
        <w:numPr>
          <w:ilvl w:val="0"/>
          <w:numId w:val="116"/>
        </w:numPr>
        <w:tabs>
          <w:tab w:val="num" w:pos="0"/>
        </w:tabs>
        <w:spacing w:before="0" w:after="240" w:line="230" w:lineRule="atLeast"/>
        <w:ind w:left="426" w:hanging="426"/>
        <w:contextualSpacing w:val="0"/>
      </w:pPr>
      <w:r w:rsidRPr="00417F28">
        <w:t>the beam should be supported by at least two direct supports, such as walls or columns directly founded, unless the beam is part of the transfer structure designed according to 6.2.11 and 10.15.</w:t>
      </w:r>
    </w:p>
    <w:p w14:paraId="750B658B" w14:textId="2AD0F25F" w:rsidR="00047513" w:rsidRPr="00132C1E" w:rsidRDefault="00047513" w:rsidP="00724E4E">
      <w:pPr>
        <w:pStyle w:val="Clause"/>
      </w:pPr>
      <w:r w:rsidRPr="00417F28">
        <w:t>10.5.4.2(2) should be ap</w:t>
      </w:r>
      <w:r w:rsidRPr="00132C1E">
        <w:t>plied.</w:t>
      </w:r>
    </w:p>
    <w:p w14:paraId="5143785C" w14:textId="7B6BEAC5" w:rsidR="00047513" w:rsidRPr="00132C1E" w:rsidRDefault="00047513" w:rsidP="00047513">
      <w:pPr>
        <w:pStyle w:val="Heading3"/>
      </w:pPr>
      <w:bookmarkStart w:id="6814" w:name="_Toc522279709"/>
      <w:bookmarkStart w:id="6815" w:name="_Toc17934196"/>
      <w:bookmarkStart w:id="6816" w:name="_Toc50150375"/>
      <w:bookmarkStart w:id="6817" w:name="_Toc70886807"/>
      <w:bookmarkStart w:id="6818" w:name="_Toc108342347"/>
      <w:bookmarkStart w:id="6819" w:name="_Toc134197896"/>
      <w:r w:rsidRPr="00132C1E">
        <w:t>Design action effects</w:t>
      </w:r>
      <w:bookmarkEnd w:id="6814"/>
      <w:bookmarkEnd w:id="6815"/>
      <w:bookmarkEnd w:id="6816"/>
      <w:bookmarkEnd w:id="6817"/>
      <w:bookmarkEnd w:id="6818"/>
      <w:bookmarkEnd w:id="6819"/>
    </w:p>
    <w:p w14:paraId="246D4CCC" w14:textId="70647842" w:rsidR="00047513" w:rsidRPr="00132C1E" w:rsidRDefault="00047513" w:rsidP="0080187E">
      <w:pPr>
        <w:pStyle w:val="Clause"/>
        <w:numPr>
          <w:ilvl w:val="0"/>
          <w:numId w:val="321"/>
        </w:numPr>
      </w:pPr>
      <w:r w:rsidRPr="00132C1E">
        <w:t xml:space="preserve">For DC2 and DC3, in primary seismic beams of all structural types, with clear length </w:t>
      </w:r>
      <w:r w:rsidRPr="007B6DA6">
        <w:rPr>
          <w:i/>
        </w:rPr>
        <w:t>l</w:t>
      </w:r>
      <w:r w:rsidRPr="007B6DA6">
        <w:rPr>
          <w:vertAlign w:val="subscript"/>
        </w:rPr>
        <w:t>cl</w:t>
      </w:r>
      <w:r w:rsidRPr="00132C1E">
        <w:t xml:space="preserve">, the design values of shear forces </w:t>
      </w:r>
      <w:r w:rsidRPr="007B6DA6">
        <w:rPr>
          <w:i/>
        </w:rPr>
        <w:t>V</w:t>
      </w:r>
      <w:r w:rsidRPr="007B6DA6">
        <w:rPr>
          <w:vertAlign w:val="subscript"/>
        </w:rPr>
        <w:t>i,d</w:t>
      </w:r>
      <w:r w:rsidRPr="00132C1E">
        <w:t xml:space="preserve"> should be determined on the basis of the equilibrium of the beam under the effects of actions in a) and b) (Figure 10.2a):</w:t>
      </w:r>
    </w:p>
    <w:p w14:paraId="1027ECC1" w14:textId="77777777" w:rsidR="00047513" w:rsidRPr="00132C1E" w:rsidRDefault="00047513" w:rsidP="0080187E">
      <w:pPr>
        <w:pStyle w:val="List2"/>
        <w:numPr>
          <w:ilvl w:val="0"/>
          <w:numId w:val="117"/>
        </w:numPr>
        <w:spacing w:before="0" w:after="240" w:line="230" w:lineRule="atLeast"/>
        <w:contextualSpacing w:val="0"/>
      </w:pPr>
      <w:r w:rsidRPr="00132C1E">
        <w:t>the transverse load acting on it in the seismic design situation;</w:t>
      </w:r>
    </w:p>
    <w:p w14:paraId="66B255E4" w14:textId="77777777" w:rsidR="00047513" w:rsidRPr="00132C1E" w:rsidRDefault="00047513" w:rsidP="0080187E">
      <w:pPr>
        <w:pStyle w:val="List2"/>
        <w:numPr>
          <w:ilvl w:val="0"/>
          <w:numId w:val="117"/>
        </w:numPr>
        <w:tabs>
          <w:tab w:val="num" w:pos="0"/>
        </w:tabs>
        <w:spacing w:before="0" w:after="240" w:line="230" w:lineRule="atLeast"/>
        <w:contextualSpacing w:val="0"/>
      </w:pPr>
      <w:r w:rsidRPr="00132C1E">
        <w:t xml:space="preserve">end moments </w:t>
      </w:r>
      <w:r w:rsidRPr="00132C1E">
        <w:rPr>
          <w:i/>
        </w:rPr>
        <w:t>M</w:t>
      </w:r>
      <w:r w:rsidRPr="00132C1E">
        <w:rPr>
          <w:vertAlign w:val="subscript"/>
        </w:rPr>
        <w:t>i,d</w:t>
      </w:r>
      <w:r w:rsidRPr="00132C1E">
        <w:t xml:space="preserve"> (with </w:t>
      </w:r>
      <w:r w:rsidRPr="00132C1E">
        <w:rPr>
          <w:i/>
        </w:rPr>
        <w:t>i</w:t>
      </w:r>
      <w:r w:rsidRPr="00132C1E">
        <w:t xml:space="preserve"> = 1, 2 denoting the ends of the beam), as given by Formula (10.3), corresponding to plastic hinge formation at the ends of the beam or, if they form there first (as in the </w:t>
      </w:r>
      <w:r w:rsidRPr="00417F28">
        <w:t>exceptions in 10.2.4(2) for frame</w:t>
      </w:r>
      <w:r w:rsidRPr="00132C1E">
        <w:t xml:space="preserve"> or frame-equivalent structures), in the vertical members connected to the joints into which the beam ends frame, for positive and negative directions of seismic demand (Figure 10.2b):</w:t>
      </w:r>
    </w:p>
    <w:p w14:paraId="6FCDA9BF" w14:textId="20018F90" w:rsidR="00BB7214" w:rsidRPr="00870D59" w:rsidRDefault="009B5CEC" w:rsidP="00BB7214">
      <w:pPr>
        <w:pStyle w:val="Formula"/>
        <w:spacing w:before="240"/>
      </w:pPr>
      <m:oMath>
        <m:sSub>
          <m:sSubPr>
            <m:ctrlPr>
              <w:rPr>
                <w:rFonts w:ascii="Cambria Math" w:hAnsi="Cambria Math"/>
              </w:rPr>
            </m:ctrlPr>
          </m:sSubPr>
          <m:e>
            <m:r>
              <w:rPr>
                <w:rFonts w:ascii="Cambria Math" w:hAnsi="Cambria Math"/>
              </w:rPr>
              <m:t>M</m:t>
            </m:r>
          </m:e>
          <m:sub>
            <m:r>
              <m:rPr>
                <m:sty m:val="p"/>
              </m:rPr>
              <w:rPr>
                <w:rFonts w:ascii="Cambria Math" w:hAnsi="Cambria Math"/>
              </w:rPr>
              <m:t>i,d</m:t>
            </m:r>
          </m:sub>
        </m:sSub>
        <m:r>
          <w:rPr>
            <w:rFonts w:ascii="Cambria Math" w:hAnsi="Cambria Math"/>
          </w:rPr>
          <m:t>=</m:t>
        </m:r>
        <m:d>
          <m:dPr>
            <m:begChr m:val="{"/>
            <m:endChr m:val=""/>
            <m:ctrlPr>
              <w:rPr>
                <w:rFonts w:ascii="Cambria Math" w:hAnsi="Cambria Math"/>
              </w:rPr>
            </m:ctrlPr>
          </m:dPr>
          <m:e>
            <m:m>
              <m:mPr>
                <m:mcs>
                  <m:mc>
                    <m:mcPr>
                      <m:count m:val="2"/>
                      <m:mcJc m:val="center"/>
                    </m:mcPr>
                  </m:mc>
                </m:mcs>
                <m:ctrlPr>
                  <w:rPr>
                    <w:rFonts w:ascii="Cambria Math" w:hAnsi="Cambria Math"/>
                  </w:rPr>
                </m:ctrlPr>
              </m:mPr>
              <m:mr>
                <m:e>
                  <m:sSub>
                    <m:sSubPr>
                      <m:ctrlPr>
                        <w:rPr>
                          <w:rFonts w:ascii="Cambria Math" w:hAnsi="Cambria Math"/>
                        </w:rPr>
                      </m:ctrlPr>
                    </m:sSubPr>
                    <m:e>
                      <m:sSub>
                        <m:sSubPr>
                          <m:ctrlPr>
                            <w:rPr>
                              <w:rFonts w:ascii="Cambria Math" w:hAnsi="Cambria Math"/>
                            </w:rPr>
                          </m:ctrlPr>
                        </m:sSubPr>
                        <m:e>
                          <m:r>
                            <w:rPr>
                              <w:rFonts w:ascii="Cambria Math" w:hAnsi="Cambria Math"/>
                            </w:rPr>
                            <m:t>γ</m:t>
                          </m:r>
                        </m:e>
                        <m:sub>
                          <m:r>
                            <m:rPr>
                              <m:sty m:val="p"/>
                            </m:rPr>
                            <w:rPr>
                              <w:rFonts w:ascii="Cambria Math" w:hAnsi="Cambria Math"/>
                            </w:rPr>
                            <m:t>Rd</m:t>
                          </m:r>
                        </m:sub>
                      </m:sSub>
                      <m:r>
                        <w:rPr>
                          <w:rFonts w:ascii="Cambria Math" w:hAnsi="Cambria Math"/>
                        </w:rPr>
                        <m:t>M</m:t>
                      </m:r>
                    </m:e>
                    <m:sub>
                      <m:r>
                        <m:rPr>
                          <m:sty m:val="p"/>
                        </m:rPr>
                        <w:rPr>
                          <w:rFonts w:ascii="Cambria Math" w:hAnsi="Cambria Math"/>
                        </w:rPr>
                        <m:t>Rd,b,i</m:t>
                      </m:r>
                    </m:sub>
                  </m:sSub>
                  <m:r>
                    <w:rPr>
                      <w:rFonts w:ascii="Cambria Math" w:hAnsi="Cambria Math"/>
                    </w:rPr>
                    <m:t xml:space="preserve">                             </m:t>
                  </m:r>
                </m:e>
                <m:e>
                  <m:r>
                    <w:rPr>
                      <w:rFonts w:ascii="Cambria Math" w:hAnsi="Cambria Math"/>
                    </w:rPr>
                    <m:t xml:space="preserve">  if  </m:t>
                  </m:r>
                  <m:sSub>
                    <m:sSubPr>
                      <m:ctrlPr>
                        <w:rPr>
                          <w:rFonts w:ascii="Cambria Math" w:hAnsi="Cambria Math"/>
                        </w:rPr>
                      </m:ctrlPr>
                    </m:sSubPr>
                    <m:e>
                      <m:r>
                        <w:rPr>
                          <w:rFonts w:ascii="Cambria Math" w:hAnsi="Cambria Math"/>
                        </w:rPr>
                        <m:t>∑M</m:t>
                      </m:r>
                    </m:e>
                    <m:sub>
                      <m:r>
                        <m:rPr>
                          <m:sty m:val="p"/>
                        </m:rPr>
                        <w:rPr>
                          <w:rFonts w:ascii="Cambria Math" w:hAnsi="Cambria Math"/>
                        </w:rPr>
                        <m:t>Rd,b</m:t>
                      </m:r>
                    </m:sub>
                  </m:sSub>
                  <m:r>
                    <w:rPr>
                      <w:rFonts w:ascii="Cambria Math" w:hAnsi="Cambria Math"/>
                    </w:rPr>
                    <m:t>&lt;</m:t>
                  </m:r>
                  <m:sSub>
                    <m:sSubPr>
                      <m:ctrlPr>
                        <w:rPr>
                          <w:rFonts w:ascii="Cambria Math" w:hAnsi="Cambria Math"/>
                        </w:rPr>
                      </m:ctrlPr>
                    </m:sSubPr>
                    <m:e>
                      <m:r>
                        <w:rPr>
                          <w:rFonts w:ascii="Cambria Math" w:hAnsi="Cambria Math"/>
                        </w:rPr>
                        <m:t>∑M</m:t>
                      </m:r>
                    </m:e>
                    <m:sub>
                      <m:r>
                        <m:rPr>
                          <m:sty m:val="p"/>
                        </m:rPr>
                        <w:rPr>
                          <w:rFonts w:ascii="Cambria Math" w:hAnsi="Cambria Math"/>
                        </w:rPr>
                        <m:t>Rd,c</m:t>
                      </m:r>
                    </m:sub>
                  </m:sSub>
                  <m:r>
                    <w:rPr>
                      <w:rFonts w:ascii="Cambria Math" w:hAnsi="Cambria Math"/>
                    </w:rPr>
                    <m:t xml:space="preserve"> </m:t>
                  </m:r>
                </m:e>
              </m:mr>
              <m:mr>
                <m:e>
                  <m:sSub>
                    <m:sSubPr>
                      <m:ctrlPr>
                        <w:rPr>
                          <w:rFonts w:ascii="Cambria Math" w:hAnsi="Cambria Math"/>
                        </w:rPr>
                      </m:ctrlPr>
                    </m:sSubPr>
                    <m:e>
                      <m:r>
                        <w:rPr>
                          <w:rFonts w:ascii="Cambria Math" w:hAnsi="Cambria Math"/>
                        </w:rPr>
                        <m:t>γ</m:t>
                      </m:r>
                    </m:e>
                    <m:sub>
                      <m:r>
                        <m:rPr>
                          <m:sty m:val="p"/>
                        </m:rPr>
                        <w:rPr>
                          <w:rFonts w:ascii="Cambria Math" w:hAnsi="Cambria Math"/>
                        </w:rPr>
                        <m:t>Rd</m:t>
                      </m:r>
                    </m:sub>
                  </m:sSub>
                  <m:sSub>
                    <m:sSubPr>
                      <m:ctrlPr>
                        <w:rPr>
                          <w:rFonts w:ascii="Cambria Math" w:hAnsi="Cambria Math"/>
                        </w:rPr>
                      </m:ctrlPr>
                    </m:sSubPr>
                    <m:e>
                      <m:r>
                        <w:rPr>
                          <w:rFonts w:ascii="Cambria Math" w:hAnsi="Cambria Math"/>
                        </w:rPr>
                        <m:t>M</m:t>
                      </m:r>
                    </m:e>
                    <m:sub>
                      <m:r>
                        <m:rPr>
                          <m:sty m:val="p"/>
                        </m:rPr>
                        <w:rPr>
                          <w:rFonts w:ascii="Cambria Math" w:hAnsi="Cambria Math"/>
                        </w:rPr>
                        <m:t>Rd,b,i</m:t>
                      </m:r>
                    </m:sub>
                  </m:sSub>
                  <m:d>
                    <m:dPr>
                      <m:ctrlPr>
                        <w:rPr>
                          <w:rFonts w:ascii="Cambria Math" w:hAnsi="Cambria Math"/>
                        </w:rPr>
                      </m:ctrlPr>
                    </m:dPr>
                    <m:e>
                      <m:f>
                        <m:fPr>
                          <m:type m:val="lin"/>
                          <m:ctrlPr>
                            <w:rPr>
                              <w:rFonts w:ascii="Cambria Math" w:hAnsi="Cambria Math"/>
                            </w:rPr>
                          </m:ctrlPr>
                        </m:fPr>
                        <m:num>
                          <m:sSub>
                            <m:sSubPr>
                              <m:ctrlPr>
                                <w:rPr>
                                  <w:rFonts w:ascii="Cambria Math" w:hAnsi="Cambria Math"/>
                                </w:rPr>
                              </m:ctrlPr>
                            </m:sSubPr>
                            <m:e>
                              <m:r>
                                <w:rPr>
                                  <w:rFonts w:ascii="Cambria Math" w:hAnsi="Cambria Math"/>
                                </w:rPr>
                                <m:t>∑M</m:t>
                              </m:r>
                            </m:e>
                            <m:sub>
                              <m:r>
                                <m:rPr>
                                  <m:sty m:val="p"/>
                                </m:rPr>
                                <w:rPr>
                                  <w:rFonts w:ascii="Cambria Math" w:hAnsi="Cambria Math"/>
                                </w:rPr>
                                <m:t>Rc</m:t>
                              </m:r>
                            </m:sub>
                          </m:sSub>
                        </m:num>
                        <m:den>
                          <m:sSub>
                            <m:sSubPr>
                              <m:ctrlPr>
                                <w:rPr>
                                  <w:rFonts w:ascii="Cambria Math" w:hAnsi="Cambria Math"/>
                                </w:rPr>
                              </m:ctrlPr>
                            </m:sSubPr>
                            <m:e>
                              <m:r>
                                <w:rPr>
                                  <w:rFonts w:ascii="Cambria Math" w:hAnsi="Cambria Math"/>
                                </w:rPr>
                                <m:t>∑M</m:t>
                              </m:r>
                            </m:e>
                            <m:sub>
                              <m:r>
                                <m:rPr>
                                  <m:sty m:val="p"/>
                                </m:rPr>
                                <w:rPr>
                                  <w:rFonts w:ascii="Cambria Math" w:hAnsi="Cambria Math"/>
                                </w:rPr>
                                <m:t>Rb</m:t>
                              </m:r>
                            </m:sub>
                          </m:sSub>
                        </m:den>
                      </m:f>
                    </m:e>
                  </m:d>
                </m:e>
                <m:e>
                  <m:r>
                    <w:rPr>
                      <w:rFonts w:ascii="Cambria Math" w:hAnsi="Cambria Math"/>
                    </w:rPr>
                    <m:t xml:space="preserve">   if  </m:t>
                  </m:r>
                  <m:sSub>
                    <m:sSubPr>
                      <m:ctrlPr>
                        <w:rPr>
                          <w:rFonts w:ascii="Cambria Math" w:hAnsi="Cambria Math"/>
                        </w:rPr>
                      </m:ctrlPr>
                    </m:sSubPr>
                    <m:e>
                      <m:r>
                        <w:rPr>
                          <w:rFonts w:ascii="Cambria Math" w:hAnsi="Cambria Math"/>
                        </w:rPr>
                        <m:t>∑M</m:t>
                      </m:r>
                    </m:e>
                    <m:sub>
                      <m:r>
                        <m:rPr>
                          <m:sty m:val="p"/>
                        </m:rPr>
                        <w:rPr>
                          <w:rFonts w:ascii="Cambria Math" w:hAnsi="Cambria Math"/>
                        </w:rPr>
                        <m:t>Rd,b</m:t>
                      </m:r>
                    </m:sub>
                  </m:sSub>
                  <m:r>
                    <w:rPr>
                      <w:rFonts w:ascii="Cambria Math" w:hAnsi="Cambria Math"/>
                    </w:rPr>
                    <m:t>&gt;</m:t>
                  </m:r>
                  <m:sSub>
                    <m:sSubPr>
                      <m:ctrlPr>
                        <w:rPr>
                          <w:rFonts w:ascii="Cambria Math" w:hAnsi="Cambria Math"/>
                        </w:rPr>
                      </m:ctrlPr>
                    </m:sSubPr>
                    <m:e>
                      <m:r>
                        <w:rPr>
                          <w:rFonts w:ascii="Cambria Math" w:hAnsi="Cambria Math"/>
                        </w:rPr>
                        <m:t>∑M</m:t>
                      </m:r>
                    </m:e>
                    <m:sub>
                      <m:r>
                        <m:rPr>
                          <m:sty m:val="p"/>
                        </m:rPr>
                        <w:rPr>
                          <w:rFonts w:ascii="Cambria Math" w:hAnsi="Cambria Math"/>
                        </w:rPr>
                        <m:t>Rd,c</m:t>
                      </m:r>
                    </m:sub>
                  </m:sSub>
                  <m:r>
                    <w:rPr>
                      <w:rFonts w:ascii="Cambria Math" w:hAnsi="Cambria Math"/>
                    </w:rPr>
                    <m:t xml:space="preserve">  </m:t>
                  </m:r>
                </m:e>
              </m:mr>
            </m:m>
          </m:e>
        </m:d>
      </m:oMath>
      <w:r w:rsidR="00BB7214" w:rsidRPr="00870D59">
        <w:tab/>
        <w:t>(10.3)</w:t>
      </w:r>
    </w:p>
    <w:p w14:paraId="37ECFF1C" w14:textId="77777777" w:rsidR="009E6511" w:rsidRPr="00870D59" w:rsidRDefault="009E6511" w:rsidP="009E6511">
      <w:pPr>
        <w:pStyle w:val="Text"/>
      </w:pPr>
      <w:r w:rsidRPr="00870D59">
        <w:t>where</w:t>
      </w:r>
    </w:p>
    <w:tbl>
      <w:tblPr>
        <w:tblW w:w="0" w:type="auto"/>
        <w:tblInd w:w="284" w:type="dxa"/>
        <w:tblLook w:val="04A0" w:firstRow="1" w:lastRow="0" w:firstColumn="1" w:lastColumn="0" w:noHBand="0" w:noVBand="1"/>
      </w:tblPr>
      <w:tblGrid>
        <w:gridCol w:w="1337"/>
        <w:gridCol w:w="7938"/>
      </w:tblGrid>
      <w:tr w:rsidR="009E6511" w:rsidRPr="00870D59" w14:paraId="5A31BA06" w14:textId="77777777" w:rsidTr="0080187E">
        <w:tc>
          <w:tcPr>
            <w:tcW w:w="1337" w:type="dxa"/>
          </w:tcPr>
          <w:p w14:paraId="1A03AFD6" w14:textId="63013DF0" w:rsidR="009E6511" w:rsidRPr="00870D59" w:rsidRDefault="00083681" w:rsidP="002061E5">
            <w:pPr>
              <w:spacing w:after="60"/>
              <w:rPr>
                <w:rFonts w:eastAsia="Times New Roman" w:cs="Cambria"/>
                <w:szCs w:val="20"/>
                <w:lang w:eastAsia="fr-FR"/>
              </w:rPr>
            </w:pPr>
            <w:r w:rsidRPr="00D1484A">
              <w:rPr>
                <w:i/>
              </w:rPr>
              <w:t>γ</w:t>
            </w:r>
            <w:r w:rsidRPr="007E6F67">
              <w:rPr>
                <w:vertAlign w:val="subscript"/>
              </w:rPr>
              <w:t>Rd</w:t>
            </w:r>
          </w:p>
        </w:tc>
        <w:tc>
          <w:tcPr>
            <w:tcW w:w="7938" w:type="dxa"/>
          </w:tcPr>
          <w:p w14:paraId="1A7D7657" w14:textId="394CD859" w:rsidR="009E6511" w:rsidRPr="00870D59" w:rsidRDefault="00083681" w:rsidP="002061E5">
            <w:pPr>
              <w:spacing w:after="60"/>
              <w:rPr>
                <w:rFonts w:eastAsia="Times New Roman" w:cs="Cambria"/>
                <w:szCs w:val="20"/>
                <w:lang w:eastAsia="fr-FR"/>
              </w:rPr>
            </w:pPr>
            <w:r w:rsidRPr="007E6F67">
              <w:t xml:space="preserve">is </w:t>
            </w:r>
            <w:r w:rsidRPr="00FD17CF">
              <w:t xml:space="preserve">a factor accounting for possible overstrength due to steel strain hardening and confinement of the concrete of the compression zone, </w:t>
            </w:r>
            <w:r w:rsidRPr="00644C3D">
              <w:t>which may be taken equal to 1,1 for DC2 and 1,15 for DC3</w:t>
            </w:r>
            <w:r w:rsidRPr="00E05E29">
              <w:t>;</w:t>
            </w:r>
          </w:p>
        </w:tc>
      </w:tr>
      <w:tr w:rsidR="009E6511" w:rsidRPr="00870D59" w14:paraId="7ABA0EC0" w14:textId="77777777" w:rsidTr="0080187E">
        <w:tc>
          <w:tcPr>
            <w:tcW w:w="1337" w:type="dxa"/>
          </w:tcPr>
          <w:p w14:paraId="40BA70E4" w14:textId="73257CEA" w:rsidR="009E6511" w:rsidRPr="00870D59" w:rsidRDefault="00083681" w:rsidP="002061E5">
            <w:pPr>
              <w:spacing w:after="60"/>
              <w:rPr>
                <w:rFonts w:ascii="Symbol" w:hAnsi="Symbol"/>
                <w:i/>
                <w:color w:val="000000" w:themeColor="text1"/>
              </w:rPr>
            </w:pPr>
            <w:r w:rsidRPr="00E05E29">
              <w:rPr>
                <w:i/>
              </w:rPr>
              <w:t>M</w:t>
            </w:r>
            <w:r w:rsidRPr="00E05E29">
              <w:rPr>
                <w:vertAlign w:val="subscript"/>
              </w:rPr>
              <w:t>Rd,b,i</w:t>
            </w:r>
          </w:p>
        </w:tc>
        <w:tc>
          <w:tcPr>
            <w:tcW w:w="7938" w:type="dxa"/>
          </w:tcPr>
          <w:p w14:paraId="4B89A635" w14:textId="4B959FB6" w:rsidR="009E6511" w:rsidRPr="00417F28" w:rsidRDefault="00083681" w:rsidP="002A19CA">
            <w:pPr>
              <w:rPr>
                <w:color w:val="000000" w:themeColor="text1"/>
              </w:rPr>
            </w:pPr>
            <w:r w:rsidRPr="00417F28">
              <w:t xml:space="preserve">is the design value of the beam resisting moment at end </w:t>
            </w:r>
            <w:r w:rsidRPr="00417F28">
              <w:rPr>
                <w:rFonts w:ascii="AODJCD+TimesNewRoman,Italic" w:hAnsi="AODJCD+TimesNewRoman,Italic" w:cs="AODJCD+TimesNewRoman,Italic"/>
                <w:i/>
              </w:rPr>
              <w:t>i</w:t>
            </w:r>
            <w:r w:rsidRPr="00417F28">
              <w:rPr>
                <w:rFonts w:ascii="AODJCD+TimesNewRoman,Italic" w:hAnsi="AODJCD+TimesNewRoman,Italic" w:cs="AODJCD+TimesNewRoman,Italic"/>
              </w:rPr>
              <w:t xml:space="preserve"> </w:t>
            </w:r>
            <w:r w:rsidRPr="00417F28">
              <w:t>in the sense of bending moment considered, taking into account the slab reinforcement within an effective width defined in 10.2.4(3);</w:t>
            </w:r>
          </w:p>
        </w:tc>
      </w:tr>
      <w:tr w:rsidR="00083681" w:rsidRPr="00870D59" w14:paraId="14C16691" w14:textId="77777777" w:rsidTr="0080187E">
        <w:tc>
          <w:tcPr>
            <w:tcW w:w="1337" w:type="dxa"/>
          </w:tcPr>
          <w:p w14:paraId="40B98E16" w14:textId="377F2903" w:rsidR="00083681" w:rsidRDefault="00083681" w:rsidP="002061E5">
            <w:pPr>
              <w:spacing w:after="60"/>
            </w:pPr>
            <w:r w:rsidRPr="00E05E29">
              <w:t>Σ</w:t>
            </w:r>
            <w:r w:rsidRPr="00E05E29">
              <w:rPr>
                <w:i/>
              </w:rPr>
              <w:t>M</w:t>
            </w:r>
            <w:r w:rsidRPr="00E05E29">
              <w:rPr>
                <w:vertAlign w:val="subscript"/>
              </w:rPr>
              <w:t>Rd,c</w:t>
            </w:r>
          </w:p>
        </w:tc>
        <w:tc>
          <w:tcPr>
            <w:tcW w:w="7938" w:type="dxa"/>
          </w:tcPr>
          <w:p w14:paraId="298CAC79" w14:textId="039A1954" w:rsidR="00083681" w:rsidRPr="00417F28" w:rsidRDefault="00083681" w:rsidP="002A19CA">
            <w:r w:rsidRPr="00417F28">
              <w:t xml:space="preserve">is the sum of the design values of the resisting moments of the columns framing into the joint (see </w:t>
            </w:r>
            <w:r w:rsidRPr="00417F28">
              <w:rPr>
                <w:rFonts w:ascii="AOAJGP+TimesNewRoman,Bold" w:hAnsi="AOAJGP+TimesNewRoman,Bold" w:cs="AOAJGP+TimesNewRoman,Bold"/>
              </w:rPr>
              <w:t>6.2.7(2)</w:t>
            </w:r>
            <w:r w:rsidRPr="00417F28">
              <w:t>), corresponding to the column axial force(s) in the seismic design situation for the considered sense of beam bending;</w:t>
            </w:r>
          </w:p>
        </w:tc>
      </w:tr>
      <w:tr w:rsidR="00083681" w:rsidRPr="00870D59" w14:paraId="55399062" w14:textId="77777777" w:rsidTr="0080187E">
        <w:tc>
          <w:tcPr>
            <w:tcW w:w="1337" w:type="dxa"/>
          </w:tcPr>
          <w:p w14:paraId="3A1FE3F3" w14:textId="751C1F8F" w:rsidR="00083681" w:rsidRDefault="00083681" w:rsidP="002061E5">
            <w:pPr>
              <w:spacing w:after="60"/>
            </w:pPr>
            <w:r w:rsidRPr="00E05E29">
              <w:t>Σ</w:t>
            </w:r>
            <w:r w:rsidRPr="00E05E29">
              <w:rPr>
                <w:i/>
                <w:iCs/>
              </w:rPr>
              <w:t>M</w:t>
            </w:r>
            <w:r w:rsidRPr="00E05E29">
              <w:rPr>
                <w:vertAlign w:val="subscript"/>
              </w:rPr>
              <w:t>Rd,b</w:t>
            </w:r>
          </w:p>
        </w:tc>
        <w:tc>
          <w:tcPr>
            <w:tcW w:w="7938" w:type="dxa"/>
          </w:tcPr>
          <w:p w14:paraId="7478B15F" w14:textId="50EE8DC2" w:rsidR="00083681" w:rsidRPr="00417F28" w:rsidRDefault="00083681" w:rsidP="002A19CA">
            <w:r w:rsidRPr="00417F28">
              <w:t xml:space="preserve">is the sum of the design values of resisting moments of the beams framing into the joint (see </w:t>
            </w:r>
            <w:r w:rsidRPr="00417F28">
              <w:rPr>
                <w:rFonts w:eastAsia="Cambria"/>
              </w:rPr>
              <w:t>6.2.7(2))</w:t>
            </w:r>
            <w:r w:rsidRPr="00417F28">
              <w:t>.</w:t>
            </w:r>
          </w:p>
        </w:tc>
      </w:tr>
    </w:tbl>
    <w:p w14:paraId="672E5A8A" w14:textId="55EE3695" w:rsidR="00083681" w:rsidRDefault="00EA5F83" w:rsidP="00EA5F83">
      <w:pPr>
        <w:pStyle w:val="FigureImage"/>
      </w:pPr>
      <w:r>
        <w:rPr>
          <w:noProof/>
        </w:rPr>
        <w:lastRenderedPageBreak/>
        <w:drawing>
          <wp:inline distT="0" distB="0" distL="0" distR="0" wp14:anchorId="2EB0C4C7" wp14:editId="6109D294">
            <wp:extent cx="4680212" cy="3518922"/>
            <wp:effectExtent l="0" t="0" r="6350" b="0"/>
            <wp:docPr id="16" name="0006.tiff"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0006.tiff" descr="Shape&#10;&#10;Description automatically generated with medium confidence"/>
                    <pic:cNvPicPr/>
                  </pic:nvPicPr>
                  <pic:blipFill>
                    <a:blip r:link="rId21"/>
                    <a:stretch>
                      <a:fillRect/>
                    </a:stretch>
                  </pic:blipFill>
                  <pic:spPr>
                    <a:xfrm>
                      <a:off x="0" y="0"/>
                      <a:ext cx="4680212" cy="3518922"/>
                    </a:xfrm>
                    <a:prstGeom prst="rect">
                      <a:avLst/>
                    </a:prstGeom>
                  </pic:spPr>
                </pic:pic>
              </a:graphicData>
            </a:graphic>
          </wp:inline>
        </w:drawing>
      </w:r>
    </w:p>
    <w:p w14:paraId="11BFC555" w14:textId="4B819822" w:rsidR="00083681" w:rsidRPr="007E6F67" w:rsidRDefault="00083681" w:rsidP="00083681">
      <w:pPr>
        <w:pStyle w:val="Figuretitle"/>
      </w:pPr>
      <w:r w:rsidRPr="00132C1E">
        <w:t xml:space="preserve">Figure </w:t>
      </w:r>
      <w:r>
        <w:t>10</w:t>
      </w:r>
      <w:r w:rsidRPr="00132C1E">
        <w:t>.</w:t>
      </w:r>
      <w:r>
        <w:t>2</w:t>
      </w:r>
      <w:r w:rsidRPr="00132C1E">
        <w:t> </w:t>
      </w:r>
      <w:r w:rsidRPr="00D1484A">
        <w:rPr>
          <w:rFonts w:ascii="`ÃÍœ˛" w:eastAsia="Cambria" w:hAnsi="`ÃÍœ˛" w:cs="`ÃÍœ˛"/>
          <w:szCs w:val="22"/>
          <w:lang w:eastAsia="de-DE"/>
        </w:rPr>
        <w:t>—</w:t>
      </w:r>
      <w:r w:rsidRPr="00D1484A">
        <w:t xml:space="preserve"> Capacity design shear forces on beams: </w:t>
      </w:r>
      <w:r w:rsidR="00EA5F83">
        <w:t>(</w:t>
      </w:r>
      <w:r w:rsidRPr="00D1484A">
        <w:t xml:space="preserve">a) determination of design shear forces; </w:t>
      </w:r>
      <w:r w:rsidR="00EA5F83">
        <w:t>(</w:t>
      </w:r>
      <w:r w:rsidRPr="00D1484A">
        <w:t>b) design end moment</w:t>
      </w:r>
    </w:p>
    <w:p w14:paraId="05020076" w14:textId="6381B890" w:rsidR="00083681" w:rsidRPr="00E05E29" w:rsidRDefault="00083681" w:rsidP="00724E4E">
      <w:pPr>
        <w:pStyle w:val="Clause"/>
      </w:pPr>
      <w:r w:rsidRPr="00644C3D">
        <w:t xml:space="preserve">At a beam end </w:t>
      </w:r>
      <w:r w:rsidRPr="004030A7">
        <w:rPr>
          <w:i/>
        </w:rPr>
        <w:t>i</w:t>
      </w:r>
      <w:r w:rsidRPr="00E05E29">
        <w:t xml:space="preserve"> supported by another beam, instead of framing into a vertical member, the beam end moment </w:t>
      </w:r>
      <w:r w:rsidRPr="004030A7">
        <w:rPr>
          <w:i/>
        </w:rPr>
        <w:t>M</w:t>
      </w:r>
      <w:r w:rsidRPr="004030A7">
        <w:rPr>
          <w:vertAlign w:val="subscript"/>
        </w:rPr>
        <w:t>i,d</w:t>
      </w:r>
      <w:r w:rsidRPr="00E05E29">
        <w:t xml:space="preserve"> there may be taken equal to the moment at the beam end section obtained from the analysis in the seismic design situation.</w:t>
      </w:r>
    </w:p>
    <w:p w14:paraId="38D85348" w14:textId="6E333330" w:rsidR="00083681" w:rsidRPr="00E05E29" w:rsidRDefault="00083681" w:rsidP="00083681">
      <w:pPr>
        <w:pStyle w:val="Heading3"/>
      </w:pPr>
      <w:bookmarkStart w:id="6820" w:name="_Toc522279711"/>
      <w:bookmarkStart w:id="6821" w:name="_Toc17934197"/>
      <w:bookmarkStart w:id="6822" w:name="_Toc50150376"/>
      <w:bookmarkStart w:id="6823" w:name="_Toc70886808"/>
      <w:bookmarkStart w:id="6824" w:name="_Toc108342348"/>
      <w:bookmarkStart w:id="6825" w:name="_Toc134197897"/>
      <w:r w:rsidRPr="00E05E29">
        <w:t>SD limit state verifications and detailing</w:t>
      </w:r>
      <w:bookmarkEnd w:id="6820"/>
      <w:bookmarkEnd w:id="6821"/>
      <w:bookmarkEnd w:id="6822"/>
      <w:bookmarkEnd w:id="6823"/>
      <w:bookmarkEnd w:id="6824"/>
      <w:bookmarkEnd w:id="6825"/>
    </w:p>
    <w:p w14:paraId="5DFFD5A2" w14:textId="77777777" w:rsidR="00083681" w:rsidRPr="00E05E29" w:rsidRDefault="00083681" w:rsidP="00083681">
      <w:pPr>
        <w:pStyle w:val="Heading4"/>
      </w:pPr>
      <w:bookmarkStart w:id="6826" w:name="_Toc522279712"/>
      <w:bookmarkStart w:id="6827" w:name="_Toc108342349"/>
      <w:r w:rsidRPr="00E05E29">
        <w:t>Resistance in bending and shear</w:t>
      </w:r>
      <w:bookmarkEnd w:id="6826"/>
      <w:bookmarkEnd w:id="6827"/>
    </w:p>
    <w:p w14:paraId="3AB397F2" w14:textId="2E178396" w:rsidR="00083681" w:rsidRPr="00417F28" w:rsidRDefault="00083681" w:rsidP="0080187E">
      <w:pPr>
        <w:pStyle w:val="Clause"/>
        <w:numPr>
          <w:ilvl w:val="0"/>
          <w:numId w:val="322"/>
        </w:numPr>
      </w:pPr>
      <w:r w:rsidRPr="00446008">
        <w:t xml:space="preserve">The bending resistance should </w:t>
      </w:r>
      <w:r w:rsidRPr="00417F28">
        <w:t>be calculated in accordance with prEN 1992-1-1:202</w:t>
      </w:r>
      <w:r w:rsidR="003E05D6" w:rsidRPr="00417F28">
        <w:t>2</w:t>
      </w:r>
      <w:r w:rsidRPr="00417F28">
        <w:t>, 8.1.</w:t>
      </w:r>
    </w:p>
    <w:p w14:paraId="16D8EE91" w14:textId="21FF0B56" w:rsidR="00083681" w:rsidRPr="00417F28" w:rsidRDefault="00083681" w:rsidP="00724E4E">
      <w:pPr>
        <w:pStyle w:val="Clause"/>
      </w:pPr>
      <w:r w:rsidRPr="00417F28">
        <w:t xml:space="preserve">The shear resistance should be calculated in accordance with </w:t>
      </w:r>
      <w:r w:rsidR="0026060E">
        <w:t>PrEN 1992-1-1:2021</w:t>
      </w:r>
      <w:r w:rsidRPr="00417F28">
        <w:t>, 8.2, as modified in prEN</w:t>
      </w:r>
      <w:r w:rsidR="00417F28">
        <w:t> </w:t>
      </w:r>
      <w:r w:rsidRPr="00417F28">
        <w:t>1998-1-1:2022, 7.2.3.</w:t>
      </w:r>
    </w:p>
    <w:p w14:paraId="1B44E760" w14:textId="77777777" w:rsidR="00083681" w:rsidRPr="00E05E29" w:rsidRDefault="00083681" w:rsidP="00083681">
      <w:pPr>
        <w:pStyle w:val="Heading4"/>
      </w:pPr>
      <w:r w:rsidRPr="00E05E29">
        <w:rPr>
          <w:sz w:val="20"/>
        </w:rPr>
        <w:t xml:space="preserve"> </w:t>
      </w:r>
      <w:bookmarkStart w:id="6828" w:name="_Toc522279713"/>
      <w:bookmarkStart w:id="6829" w:name="_Toc108342350"/>
      <w:r w:rsidRPr="00E05E29">
        <w:t>Detailing for local ductility</w:t>
      </w:r>
      <w:bookmarkEnd w:id="6828"/>
      <w:bookmarkEnd w:id="6829"/>
    </w:p>
    <w:p w14:paraId="3D6D1847" w14:textId="26416ABB" w:rsidR="00083681" w:rsidRPr="00E05E29" w:rsidRDefault="00083681" w:rsidP="0080187E">
      <w:pPr>
        <w:pStyle w:val="Clause"/>
        <w:numPr>
          <w:ilvl w:val="0"/>
          <w:numId w:val="323"/>
        </w:numPr>
      </w:pPr>
      <w:r w:rsidRPr="00E05E29">
        <w:t xml:space="preserve">The regions of a primary seismic beam up to a distance </w:t>
      </w:r>
      <w:r w:rsidRPr="007B6DA6">
        <w:rPr>
          <w:i/>
        </w:rPr>
        <w:t>l</w:t>
      </w:r>
      <w:r w:rsidRPr="007B6DA6">
        <w:rPr>
          <w:vertAlign w:val="subscript"/>
        </w:rPr>
        <w:t>cr</w:t>
      </w:r>
      <w:r w:rsidRPr="00E05E29">
        <w:t xml:space="preserve"> = </w:t>
      </w:r>
      <w:r w:rsidRPr="007B6DA6">
        <w:rPr>
          <w:i/>
        </w:rPr>
        <w:t>h</w:t>
      </w:r>
      <w:r w:rsidRPr="00E05E29">
        <w:t xml:space="preserve"> (where </w:t>
      </w:r>
      <w:r w:rsidRPr="007B6DA6">
        <w:rPr>
          <w:i/>
        </w:rPr>
        <w:t>h</w:t>
      </w:r>
      <w:r w:rsidRPr="00E05E29">
        <w:t xml:space="preserve"> denotes the beam depth) from an end cross-section where the beam frames into a beam-column joint, as well as from both sides of any other cross-section liable to yield in the seismic design situation, should be considered as critical regions.</w:t>
      </w:r>
    </w:p>
    <w:p w14:paraId="1D4943CC" w14:textId="3D85C004" w:rsidR="00083681" w:rsidRPr="00E05E29" w:rsidRDefault="00083681" w:rsidP="00724E4E">
      <w:pPr>
        <w:pStyle w:val="Clause"/>
      </w:pPr>
      <w:r w:rsidRPr="00E05E29">
        <w:t>In primary seismic beams supporting discontinued (cut-off) vertical members, the regions up to a distance of 2</w:t>
      </w:r>
      <w:r w:rsidRPr="004030A7">
        <w:rPr>
          <w:i/>
        </w:rPr>
        <w:t>h</w:t>
      </w:r>
      <w:r w:rsidRPr="00E05E29">
        <w:t xml:space="preserve"> on each side of the supported vertical member should be considered as being critical regions.</w:t>
      </w:r>
    </w:p>
    <w:p w14:paraId="1EBAA115" w14:textId="4F241D1D" w:rsidR="00083681" w:rsidRPr="00E05E29" w:rsidRDefault="00083681" w:rsidP="00724E4E">
      <w:pPr>
        <w:pStyle w:val="Clause"/>
      </w:pPr>
      <w:r w:rsidRPr="00E05E29">
        <w:t xml:space="preserve">Along the entire length of a primary seismic beam, the reinforcement ratio of the tension zone, </w:t>
      </w:r>
      <w:r w:rsidRPr="004030A7">
        <w:rPr>
          <w:i/>
        </w:rPr>
        <w:t>ρ</w:t>
      </w:r>
      <w:r w:rsidRPr="004030A7">
        <w:rPr>
          <w:vertAlign w:val="subscript"/>
        </w:rPr>
        <w:t>l</w:t>
      </w:r>
      <w:r w:rsidRPr="00E05E29">
        <w:t xml:space="preserve">, should not be smaller than the minimum value </w:t>
      </w:r>
      <w:r w:rsidRPr="004030A7">
        <w:rPr>
          <w:i/>
        </w:rPr>
        <w:t>ρ</w:t>
      </w:r>
      <w:r w:rsidRPr="004030A7">
        <w:rPr>
          <w:vertAlign w:val="subscript"/>
        </w:rPr>
        <w:t>l,min</w:t>
      </w:r>
      <w:r w:rsidRPr="00E05E29">
        <w:t xml:space="preserve"> given by Formula (10.4).</w:t>
      </w:r>
    </w:p>
    <w:p w14:paraId="6D559BEE" w14:textId="7AB58C4F" w:rsidR="001B7DBE" w:rsidRPr="00870D59" w:rsidRDefault="009B5CEC" w:rsidP="001B7DBE">
      <w:pPr>
        <w:pStyle w:val="Formula"/>
        <w:spacing w:before="240"/>
      </w:pPr>
      <m:oMath>
        <m:sSub>
          <m:sSubPr>
            <m:ctrlPr>
              <w:rPr>
                <w:rFonts w:ascii="Cambria Math" w:hAnsi="Cambria Math"/>
              </w:rPr>
            </m:ctrlPr>
          </m:sSubPr>
          <m:e>
            <m:r>
              <w:rPr>
                <w:rFonts w:ascii="Cambria Math" w:hAnsi="Cambria Math"/>
              </w:rPr>
              <m:t>ρ</m:t>
            </m:r>
          </m:e>
          <m:sub>
            <m:r>
              <m:rPr>
                <m:sty m:val="p"/>
              </m:rPr>
              <w:rPr>
                <w:rFonts w:ascii="Cambria Math" w:hAnsi="Cambria Math"/>
              </w:rPr>
              <m:t>l,min</m:t>
            </m:r>
          </m:sub>
        </m:sSub>
        <m:r>
          <w:rPr>
            <w:rFonts w:ascii="Cambria Math" w:hAnsi="Cambria Math"/>
          </w:rPr>
          <m:t>=0,5</m:t>
        </m:r>
        <m:d>
          <m:dPr>
            <m:ctrlPr>
              <w:rPr>
                <w:rFonts w:ascii="Cambria Math" w:hAnsi="Cambria Math"/>
              </w:rPr>
            </m:ctrlPr>
          </m:dPr>
          <m:e>
            <m:f>
              <m:fPr>
                <m:type m:val="lin"/>
                <m:ctrlPr>
                  <w:rPr>
                    <w:rFonts w:ascii="Cambria Math" w:hAnsi="Cambria Math"/>
                  </w:rPr>
                </m:ctrlPr>
              </m:fPr>
              <m:num>
                <m:sSub>
                  <m:sSubPr>
                    <m:ctrlPr>
                      <w:rPr>
                        <w:rFonts w:ascii="Cambria Math" w:hAnsi="Cambria Math"/>
                      </w:rPr>
                    </m:ctrlPr>
                  </m:sSubPr>
                  <m:e>
                    <m:r>
                      <w:rPr>
                        <w:rFonts w:ascii="Cambria Math" w:hAnsi="Cambria Math"/>
                      </w:rPr>
                      <m:t>f</m:t>
                    </m:r>
                  </m:e>
                  <m:sub>
                    <m:r>
                      <m:rPr>
                        <m:sty m:val="p"/>
                      </m:rPr>
                      <w:rPr>
                        <w:rFonts w:ascii="Cambria Math" w:hAnsi="Cambria Math"/>
                      </w:rPr>
                      <m:t>ctm</m:t>
                    </m:r>
                  </m:sub>
                </m:sSub>
              </m:num>
              <m:den>
                <m:sSub>
                  <m:sSubPr>
                    <m:ctrlPr>
                      <w:rPr>
                        <w:rFonts w:ascii="Cambria Math" w:hAnsi="Cambria Math"/>
                      </w:rPr>
                    </m:ctrlPr>
                  </m:sSubPr>
                  <m:e>
                    <m:r>
                      <w:rPr>
                        <w:rFonts w:ascii="Cambria Math" w:hAnsi="Cambria Math"/>
                      </w:rPr>
                      <m:t>f</m:t>
                    </m:r>
                  </m:e>
                  <m:sub>
                    <m:r>
                      <m:rPr>
                        <m:sty m:val="p"/>
                      </m:rPr>
                      <w:rPr>
                        <w:rFonts w:ascii="Cambria Math" w:hAnsi="Cambria Math"/>
                      </w:rPr>
                      <m:t>yk</m:t>
                    </m:r>
                  </m:sub>
                </m:sSub>
              </m:den>
            </m:f>
          </m:e>
        </m:d>
      </m:oMath>
      <w:r w:rsidR="001B7DBE" w:rsidRPr="00870D59">
        <w:tab/>
        <w:t>(10.</w:t>
      </w:r>
      <w:r w:rsidR="001B7DBE">
        <w:t>4</w:t>
      </w:r>
      <w:r w:rsidR="001B7DBE" w:rsidRPr="00870D59">
        <w:t>)</w:t>
      </w:r>
    </w:p>
    <w:p w14:paraId="66319E1D" w14:textId="20BFF026" w:rsidR="001B7DBE" w:rsidRPr="00644C3D" w:rsidRDefault="001B7DBE" w:rsidP="00417F28">
      <w:pPr>
        <w:pStyle w:val="Text"/>
      </w:pPr>
      <w:r w:rsidRPr="00D1484A">
        <w:lastRenderedPageBreak/>
        <w:t xml:space="preserve">Alternatively to the explicit calculation of </w:t>
      </w:r>
      <w:r w:rsidRPr="00D1484A">
        <w:rPr>
          <w:i/>
        </w:rPr>
        <w:t>ρ</w:t>
      </w:r>
      <w:r w:rsidRPr="00D1484A">
        <w:rPr>
          <w:vertAlign w:val="subscript"/>
        </w:rPr>
        <w:t>l,min</w:t>
      </w:r>
      <w:r w:rsidRPr="00D1484A">
        <w:t xml:space="preserve"> given by Formula </w:t>
      </w:r>
      <w:r w:rsidRPr="007E6F67">
        <w:t>(10.4</w:t>
      </w:r>
      <w:r w:rsidRPr="00FD17CF">
        <w:t>), the values in Table 10.</w:t>
      </w:r>
      <w:r w:rsidR="00A5424C">
        <w:t>4</w:t>
      </w:r>
      <w:r w:rsidRPr="00FD17CF">
        <w:t xml:space="preserve"> may be used.</w:t>
      </w:r>
    </w:p>
    <w:p w14:paraId="188BBA18" w14:textId="26A1FD17" w:rsidR="001B7DBE" w:rsidRPr="00D1484A" w:rsidRDefault="001B7DBE" w:rsidP="00B25B54">
      <w:pPr>
        <w:pStyle w:val="Tabletitle"/>
      </w:pPr>
      <w:bookmarkStart w:id="6830" w:name="_Ref523384218"/>
      <w:r w:rsidRPr="00644C3D">
        <w:t xml:space="preserve">Table </w:t>
      </w:r>
      <w:r w:rsidR="00B25B54">
        <w:t>10</w:t>
      </w:r>
      <w:r w:rsidRPr="001457E2">
        <w:t>.</w:t>
      </w:r>
      <w:bookmarkEnd w:id="6830"/>
      <w:r w:rsidR="00A5424C">
        <w:t>4</w:t>
      </w:r>
      <w:r w:rsidRPr="001457E2">
        <w:t> </w:t>
      </w:r>
      <w:r w:rsidRPr="00132C1E">
        <w:t>— </w:t>
      </w:r>
      <w:r w:rsidRPr="00D1484A">
        <w:t>Minimum longitudinal reinforcement ratio in tension zones of beams (</w:t>
      </w:r>
      <w:r w:rsidRPr="00D1484A">
        <w:rPr>
          <w:i/>
        </w:rPr>
        <w:t>ρ</w:t>
      </w:r>
      <w:r w:rsidRPr="00D1484A">
        <w:rPr>
          <w:vertAlign w:val="subscript"/>
        </w:rPr>
        <w:t>l,min</w:t>
      </w:r>
      <w:r w:rsidRPr="00D1484A">
        <w:t>)</w:t>
      </w:r>
    </w:p>
    <w:tbl>
      <w:tblPr>
        <w:tblW w:w="4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5"/>
        <w:gridCol w:w="1227"/>
        <w:gridCol w:w="1228"/>
      </w:tblGrid>
      <w:tr w:rsidR="001B7DBE" w:rsidRPr="00B25B54" w14:paraId="433730B8" w14:textId="77777777" w:rsidTr="002061E5">
        <w:trPr>
          <w:jc w:val="center"/>
        </w:trPr>
        <w:tc>
          <w:tcPr>
            <w:tcW w:w="1595" w:type="dxa"/>
            <w:tcBorders>
              <w:top w:val="nil"/>
              <w:left w:val="nil"/>
            </w:tcBorders>
            <w:shd w:val="clear" w:color="auto" w:fill="auto"/>
            <w:vAlign w:val="center"/>
          </w:tcPr>
          <w:p w14:paraId="436EF25A" w14:textId="77777777" w:rsidR="001B7DBE" w:rsidRPr="00B25B54" w:rsidRDefault="001B7DBE" w:rsidP="00BD3F09">
            <w:pPr>
              <w:pStyle w:val="Tablebody"/>
            </w:pPr>
          </w:p>
        </w:tc>
        <w:tc>
          <w:tcPr>
            <w:tcW w:w="2455" w:type="dxa"/>
            <w:gridSpan w:val="2"/>
            <w:shd w:val="clear" w:color="auto" w:fill="auto"/>
            <w:vAlign w:val="center"/>
          </w:tcPr>
          <w:p w14:paraId="1254330D" w14:textId="77777777" w:rsidR="001B7DBE" w:rsidRPr="00BD3F09" w:rsidRDefault="001B7DBE" w:rsidP="00BD3F09">
            <w:pPr>
              <w:pStyle w:val="Tablebody"/>
              <w:jc w:val="center"/>
              <w:rPr>
                <w:b/>
                <w:bCs/>
              </w:rPr>
            </w:pPr>
            <w:r w:rsidRPr="00BD3F09">
              <w:rPr>
                <w:b/>
                <w:bCs/>
              </w:rPr>
              <w:t>Steel grade</w:t>
            </w:r>
          </w:p>
        </w:tc>
      </w:tr>
      <w:tr w:rsidR="001B7DBE" w:rsidRPr="00B25B54" w14:paraId="72F744AD" w14:textId="77777777" w:rsidTr="00BD3F09">
        <w:trPr>
          <w:jc w:val="center"/>
        </w:trPr>
        <w:tc>
          <w:tcPr>
            <w:tcW w:w="1595" w:type="dxa"/>
            <w:shd w:val="clear" w:color="auto" w:fill="auto"/>
          </w:tcPr>
          <w:p w14:paraId="3754E91F" w14:textId="77777777" w:rsidR="001B7DBE" w:rsidRPr="00BD3F09" w:rsidRDefault="001B7DBE" w:rsidP="00BD3F09">
            <w:pPr>
              <w:pStyle w:val="Tablebody"/>
              <w:jc w:val="center"/>
              <w:rPr>
                <w:b/>
                <w:bCs/>
              </w:rPr>
            </w:pPr>
            <w:r w:rsidRPr="00BD3F09">
              <w:rPr>
                <w:b/>
                <w:bCs/>
              </w:rPr>
              <w:t>Concrete grade</w:t>
            </w:r>
          </w:p>
        </w:tc>
        <w:tc>
          <w:tcPr>
            <w:tcW w:w="1227" w:type="dxa"/>
            <w:shd w:val="clear" w:color="auto" w:fill="auto"/>
            <w:vAlign w:val="center"/>
          </w:tcPr>
          <w:p w14:paraId="4F8021C7" w14:textId="77777777" w:rsidR="001B7DBE" w:rsidRPr="00BD3F09" w:rsidRDefault="001B7DBE" w:rsidP="00BD3F09">
            <w:pPr>
              <w:pStyle w:val="Tablebody"/>
              <w:jc w:val="center"/>
              <w:rPr>
                <w:b/>
                <w:bCs/>
              </w:rPr>
            </w:pPr>
            <w:r w:rsidRPr="00BD3F09">
              <w:rPr>
                <w:b/>
                <w:bCs/>
              </w:rPr>
              <w:t>B400</w:t>
            </w:r>
          </w:p>
        </w:tc>
        <w:tc>
          <w:tcPr>
            <w:tcW w:w="1228" w:type="dxa"/>
            <w:shd w:val="clear" w:color="auto" w:fill="auto"/>
            <w:vAlign w:val="center"/>
          </w:tcPr>
          <w:p w14:paraId="019CAF21" w14:textId="77777777" w:rsidR="001B7DBE" w:rsidRPr="00BD3F09" w:rsidRDefault="001B7DBE" w:rsidP="00BD3F09">
            <w:pPr>
              <w:pStyle w:val="Tablebody"/>
              <w:jc w:val="center"/>
              <w:rPr>
                <w:b/>
                <w:bCs/>
              </w:rPr>
            </w:pPr>
            <w:r w:rsidRPr="00BD3F09">
              <w:rPr>
                <w:b/>
                <w:bCs/>
              </w:rPr>
              <w:t>B500</w:t>
            </w:r>
          </w:p>
        </w:tc>
      </w:tr>
      <w:tr w:rsidR="001B7DBE" w:rsidRPr="00B25B54" w14:paraId="634C870C" w14:textId="77777777" w:rsidTr="00BD3F09">
        <w:trPr>
          <w:jc w:val="center"/>
        </w:trPr>
        <w:tc>
          <w:tcPr>
            <w:tcW w:w="1595" w:type="dxa"/>
            <w:shd w:val="clear" w:color="auto" w:fill="auto"/>
            <w:vAlign w:val="center"/>
          </w:tcPr>
          <w:p w14:paraId="131289D4" w14:textId="77777777" w:rsidR="001B7DBE" w:rsidRPr="00BD3F09" w:rsidRDefault="001B7DBE" w:rsidP="00BD3F09">
            <w:pPr>
              <w:pStyle w:val="Tablebody"/>
              <w:jc w:val="center"/>
              <w:rPr>
                <w:b/>
                <w:bCs/>
              </w:rPr>
            </w:pPr>
            <w:r w:rsidRPr="00BD3F09">
              <w:rPr>
                <w:b/>
                <w:bCs/>
              </w:rPr>
              <w:t>C20-C25</w:t>
            </w:r>
          </w:p>
        </w:tc>
        <w:tc>
          <w:tcPr>
            <w:tcW w:w="1227" w:type="dxa"/>
            <w:shd w:val="clear" w:color="auto" w:fill="auto"/>
            <w:vAlign w:val="center"/>
          </w:tcPr>
          <w:p w14:paraId="493E3519" w14:textId="3AA854FD" w:rsidR="001B7DBE" w:rsidRPr="00B25B54" w:rsidRDefault="001B7DBE" w:rsidP="00BD3F09">
            <w:pPr>
              <w:pStyle w:val="Tablebody"/>
              <w:jc w:val="center"/>
            </w:pPr>
            <w:r w:rsidRPr="00B25B54">
              <w:t>0,35</w:t>
            </w:r>
            <w:r w:rsidR="0080187E">
              <w:t> </w:t>
            </w:r>
            <w:r w:rsidRPr="00B25B54">
              <w:t>%</w:t>
            </w:r>
          </w:p>
        </w:tc>
        <w:tc>
          <w:tcPr>
            <w:tcW w:w="1228" w:type="dxa"/>
            <w:shd w:val="clear" w:color="auto" w:fill="auto"/>
            <w:vAlign w:val="center"/>
          </w:tcPr>
          <w:p w14:paraId="7287EAED" w14:textId="281BEF2F" w:rsidR="001B7DBE" w:rsidRPr="00B25B54" w:rsidRDefault="001B7DBE" w:rsidP="00BD3F09">
            <w:pPr>
              <w:pStyle w:val="Tablebody"/>
              <w:jc w:val="center"/>
            </w:pPr>
            <w:r w:rsidRPr="00B25B54">
              <w:t>0,25</w:t>
            </w:r>
            <w:r w:rsidR="0080187E">
              <w:t> </w:t>
            </w:r>
            <w:r w:rsidRPr="00B25B54">
              <w:t>%</w:t>
            </w:r>
          </w:p>
        </w:tc>
      </w:tr>
      <w:tr w:rsidR="001B7DBE" w:rsidRPr="00B25B54" w14:paraId="698BA874" w14:textId="77777777" w:rsidTr="00BD3F09">
        <w:trPr>
          <w:jc w:val="center"/>
        </w:trPr>
        <w:tc>
          <w:tcPr>
            <w:tcW w:w="1595" w:type="dxa"/>
            <w:shd w:val="clear" w:color="auto" w:fill="auto"/>
            <w:vAlign w:val="center"/>
          </w:tcPr>
          <w:p w14:paraId="09E5C86E" w14:textId="77777777" w:rsidR="001B7DBE" w:rsidRPr="00BD3F09" w:rsidRDefault="001B7DBE" w:rsidP="00BD3F09">
            <w:pPr>
              <w:pStyle w:val="Tablebody"/>
              <w:jc w:val="center"/>
              <w:rPr>
                <w:b/>
                <w:bCs/>
              </w:rPr>
            </w:pPr>
            <w:r w:rsidRPr="00BD3F09">
              <w:rPr>
                <w:b/>
                <w:bCs/>
              </w:rPr>
              <w:t>C30-C45</w:t>
            </w:r>
          </w:p>
        </w:tc>
        <w:tc>
          <w:tcPr>
            <w:tcW w:w="1227" w:type="dxa"/>
            <w:shd w:val="clear" w:color="auto" w:fill="auto"/>
            <w:vAlign w:val="center"/>
          </w:tcPr>
          <w:p w14:paraId="4F46DB1C" w14:textId="66D1322B" w:rsidR="001B7DBE" w:rsidRPr="00B25B54" w:rsidRDefault="001B7DBE" w:rsidP="00BD3F09">
            <w:pPr>
              <w:pStyle w:val="Tablebody"/>
              <w:jc w:val="center"/>
            </w:pPr>
            <w:r w:rsidRPr="00B25B54">
              <w:t>0,50</w:t>
            </w:r>
            <w:r w:rsidR="0080187E">
              <w:t> </w:t>
            </w:r>
            <w:r w:rsidRPr="00B25B54">
              <w:t>%</w:t>
            </w:r>
          </w:p>
        </w:tc>
        <w:tc>
          <w:tcPr>
            <w:tcW w:w="1228" w:type="dxa"/>
            <w:shd w:val="clear" w:color="auto" w:fill="auto"/>
            <w:vAlign w:val="center"/>
          </w:tcPr>
          <w:p w14:paraId="6C508F05" w14:textId="45B767F5" w:rsidR="001B7DBE" w:rsidRPr="00B25B54" w:rsidRDefault="001B7DBE" w:rsidP="00BD3F09">
            <w:pPr>
              <w:pStyle w:val="Tablebody"/>
              <w:jc w:val="center"/>
            </w:pPr>
            <w:r w:rsidRPr="00B25B54">
              <w:t>0,35</w:t>
            </w:r>
            <w:r w:rsidR="0080187E">
              <w:t> </w:t>
            </w:r>
            <w:r w:rsidRPr="00B25B54">
              <w:t>%</w:t>
            </w:r>
          </w:p>
        </w:tc>
      </w:tr>
      <w:tr w:rsidR="001B7DBE" w:rsidRPr="00B25B54" w14:paraId="3B8A7A28" w14:textId="77777777" w:rsidTr="00BD3F09">
        <w:trPr>
          <w:jc w:val="center"/>
        </w:trPr>
        <w:tc>
          <w:tcPr>
            <w:tcW w:w="1595" w:type="dxa"/>
            <w:shd w:val="clear" w:color="auto" w:fill="auto"/>
            <w:vAlign w:val="center"/>
          </w:tcPr>
          <w:p w14:paraId="2DCA4AE0" w14:textId="77777777" w:rsidR="001B7DBE" w:rsidRPr="00BD3F09" w:rsidRDefault="001B7DBE" w:rsidP="00BD3F09">
            <w:pPr>
              <w:pStyle w:val="Tablebody"/>
              <w:jc w:val="center"/>
              <w:rPr>
                <w:b/>
                <w:bCs/>
              </w:rPr>
            </w:pPr>
            <w:r w:rsidRPr="00BD3F09">
              <w:rPr>
                <w:b/>
                <w:bCs/>
              </w:rPr>
              <w:t>C50-C90</w:t>
            </w:r>
          </w:p>
        </w:tc>
        <w:tc>
          <w:tcPr>
            <w:tcW w:w="1227" w:type="dxa"/>
            <w:shd w:val="clear" w:color="auto" w:fill="auto"/>
            <w:vAlign w:val="center"/>
          </w:tcPr>
          <w:p w14:paraId="44A739F5" w14:textId="027E87AC" w:rsidR="001B7DBE" w:rsidRPr="00B25B54" w:rsidRDefault="001B7DBE" w:rsidP="00BD3F09">
            <w:pPr>
              <w:pStyle w:val="Tablebody"/>
              <w:jc w:val="center"/>
            </w:pPr>
            <w:r w:rsidRPr="00B25B54">
              <w:t>0,60</w:t>
            </w:r>
            <w:r w:rsidR="0080187E">
              <w:t> </w:t>
            </w:r>
            <w:r w:rsidRPr="00B25B54">
              <w:t>%</w:t>
            </w:r>
          </w:p>
        </w:tc>
        <w:tc>
          <w:tcPr>
            <w:tcW w:w="1228" w:type="dxa"/>
            <w:shd w:val="clear" w:color="auto" w:fill="auto"/>
            <w:vAlign w:val="center"/>
          </w:tcPr>
          <w:p w14:paraId="5E6749E3" w14:textId="4B27821D" w:rsidR="001B7DBE" w:rsidRPr="00B25B54" w:rsidRDefault="001B7DBE" w:rsidP="00BD3F09">
            <w:pPr>
              <w:pStyle w:val="Tablebody"/>
              <w:jc w:val="center"/>
            </w:pPr>
            <w:r w:rsidRPr="00B25B54">
              <w:t>0,45</w:t>
            </w:r>
            <w:r w:rsidR="0080187E">
              <w:t> </w:t>
            </w:r>
            <w:r w:rsidRPr="00B25B54">
              <w:t>%</w:t>
            </w:r>
          </w:p>
        </w:tc>
      </w:tr>
    </w:tbl>
    <w:p w14:paraId="4A7D3190" w14:textId="4573A827" w:rsidR="001B7DBE" w:rsidRPr="007E6F67" w:rsidRDefault="001B7DBE" w:rsidP="00724E4E">
      <w:pPr>
        <w:pStyle w:val="Clause"/>
      </w:pPr>
      <w:r w:rsidRPr="00D1484A">
        <w:t>At the compression zone of critical regions of primary seismic beams, reinforcement not smaller than half of the reinforcement provided at the tension zone should be placed.</w:t>
      </w:r>
    </w:p>
    <w:p w14:paraId="3FE343C5" w14:textId="53A682D9" w:rsidR="001B7DBE" w:rsidRDefault="001B7DBE" w:rsidP="00724E4E">
      <w:pPr>
        <w:pStyle w:val="Clause"/>
      </w:pPr>
      <w:r w:rsidRPr="00FD17CF">
        <w:t xml:space="preserve">The tension reinforcement ratio should not exceed a maximum value </w:t>
      </w:r>
      <w:r w:rsidRPr="004030A7">
        <w:rPr>
          <w:i/>
        </w:rPr>
        <w:t>ρ</w:t>
      </w:r>
      <w:r w:rsidRPr="004030A7">
        <w:rPr>
          <w:vertAlign w:val="subscript"/>
        </w:rPr>
        <w:t>l,max</w:t>
      </w:r>
      <w:r w:rsidRPr="00E05E29">
        <w:t xml:space="preserve"> in Table </w:t>
      </w:r>
      <w:r w:rsidRPr="001457E2">
        <w:t>10.</w:t>
      </w:r>
      <w:r w:rsidR="00A5424C">
        <w:t>5</w:t>
      </w:r>
      <w:r w:rsidRPr="001457E2">
        <w:t xml:space="preserve">, where </w:t>
      </w:r>
      <w:r w:rsidRPr="004030A7">
        <w:rPr>
          <w:i/>
        </w:rPr>
        <w:t>ρ</w:t>
      </w:r>
      <w:r w:rsidRPr="004030A7">
        <w:rPr>
          <w:vertAlign w:val="subscript"/>
        </w:rPr>
        <w:t>l</w:t>
      </w:r>
      <w:r w:rsidR="00BD3F09">
        <w:t>’</w:t>
      </w:r>
      <w:r w:rsidRPr="001457E2">
        <w:t xml:space="preserve"> is the reinforcement ratio in the compression zone. For beams with reinforcing steel grade B450, the maximum tension reinforcement ratio may be obtained by linear interpolation of the values in Table 10.</w:t>
      </w:r>
      <w:r w:rsidR="00A5424C">
        <w:t>4</w:t>
      </w:r>
      <w:r w:rsidRPr="001457E2">
        <w:t>.</w:t>
      </w:r>
    </w:p>
    <w:p w14:paraId="0CABA9F9" w14:textId="50CA4A77" w:rsidR="001B7DBE" w:rsidRPr="007B6DA6" w:rsidRDefault="001B7DBE" w:rsidP="007B6DA6">
      <w:pPr>
        <w:pStyle w:val="Tabletitle"/>
      </w:pPr>
      <w:bookmarkStart w:id="6831" w:name="_Ref523236022"/>
      <w:r w:rsidRPr="007B6DA6">
        <w:t xml:space="preserve">Table </w:t>
      </w:r>
      <w:r w:rsidR="001C0836" w:rsidRPr="007B6DA6">
        <w:t>10</w:t>
      </w:r>
      <w:r w:rsidRPr="007B6DA6">
        <w:t>.</w:t>
      </w:r>
      <w:bookmarkEnd w:id="6831"/>
      <w:r w:rsidR="00A5424C">
        <w:t>5</w:t>
      </w:r>
      <w:r w:rsidRPr="007B6DA6">
        <w:t> — Maximum longitudinal reinforcement ratio in tension zones of beams (</w:t>
      </w:r>
      <w:r w:rsidRPr="005B0BF0">
        <w:rPr>
          <w:i/>
          <w:iCs/>
        </w:rPr>
        <w:t>ρ</w:t>
      </w:r>
      <w:r w:rsidRPr="005B0BF0">
        <w:rPr>
          <w:vertAlign w:val="subscript"/>
        </w:rPr>
        <w:t>l,max</w:t>
      </w:r>
      <w:r w:rsidRPr="007B6DA6">
        <w:t>)</w:t>
      </w:r>
    </w:p>
    <w:tbl>
      <w:tblPr>
        <w:tblW w:w="64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5"/>
        <w:gridCol w:w="1268"/>
        <w:gridCol w:w="1187"/>
        <w:gridCol w:w="1187"/>
        <w:gridCol w:w="1187"/>
      </w:tblGrid>
      <w:tr w:rsidR="001B7DBE" w:rsidRPr="001C0836" w14:paraId="039C6A5B" w14:textId="77777777" w:rsidTr="00BD3F09">
        <w:trPr>
          <w:jc w:val="center"/>
        </w:trPr>
        <w:tc>
          <w:tcPr>
            <w:tcW w:w="1595" w:type="dxa"/>
            <w:tcBorders>
              <w:top w:val="nil"/>
              <w:left w:val="nil"/>
              <w:bottom w:val="nil"/>
              <w:right w:val="single" w:sz="4" w:space="0" w:color="auto"/>
            </w:tcBorders>
            <w:shd w:val="clear" w:color="auto" w:fill="auto"/>
            <w:vAlign w:val="center"/>
          </w:tcPr>
          <w:p w14:paraId="30A45AEC" w14:textId="77777777" w:rsidR="001B7DBE" w:rsidRPr="001C0836" w:rsidRDefault="001B7DBE" w:rsidP="00BD3F09">
            <w:pPr>
              <w:pStyle w:val="Tablebody"/>
              <w:jc w:val="center"/>
            </w:pPr>
          </w:p>
        </w:tc>
        <w:tc>
          <w:tcPr>
            <w:tcW w:w="2455" w:type="dxa"/>
            <w:gridSpan w:val="2"/>
            <w:tcBorders>
              <w:left w:val="single" w:sz="4" w:space="0" w:color="auto"/>
            </w:tcBorders>
            <w:shd w:val="clear" w:color="auto" w:fill="auto"/>
            <w:vAlign w:val="center"/>
          </w:tcPr>
          <w:p w14:paraId="2C40E2AE" w14:textId="77777777" w:rsidR="001B7DBE" w:rsidRPr="00BD3F09" w:rsidRDefault="001B7DBE" w:rsidP="00BD3F09">
            <w:pPr>
              <w:pStyle w:val="Tablebody"/>
              <w:jc w:val="center"/>
              <w:rPr>
                <w:b/>
                <w:bCs/>
              </w:rPr>
            </w:pPr>
            <w:r w:rsidRPr="00BD3F09">
              <w:rPr>
                <w:b/>
                <w:bCs/>
              </w:rPr>
              <w:t>DC2</w:t>
            </w:r>
          </w:p>
        </w:tc>
        <w:tc>
          <w:tcPr>
            <w:tcW w:w="2374" w:type="dxa"/>
            <w:gridSpan w:val="2"/>
            <w:vAlign w:val="center"/>
          </w:tcPr>
          <w:p w14:paraId="504509F9" w14:textId="77777777" w:rsidR="001B7DBE" w:rsidRPr="00BD3F09" w:rsidRDefault="001B7DBE" w:rsidP="00BD3F09">
            <w:pPr>
              <w:pStyle w:val="Tablebody"/>
              <w:jc w:val="center"/>
              <w:rPr>
                <w:b/>
                <w:bCs/>
              </w:rPr>
            </w:pPr>
            <w:r w:rsidRPr="00BD3F09">
              <w:rPr>
                <w:b/>
                <w:bCs/>
              </w:rPr>
              <w:t>DC3</w:t>
            </w:r>
          </w:p>
        </w:tc>
      </w:tr>
      <w:tr w:rsidR="001B7DBE" w:rsidRPr="001C0836" w14:paraId="7DDB3963" w14:textId="77777777" w:rsidTr="00BD3F09">
        <w:trPr>
          <w:jc w:val="center"/>
        </w:trPr>
        <w:tc>
          <w:tcPr>
            <w:tcW w:w="1595" w:type="dxa"/>
            <w:tcBorders>
              <w:top w:val="nil"/>
              <w:left w:val="nil"/>
            </w:tcBorders>
            <w:shd w:val="clear" w:color="auto" w:fill="auto"/>
            <w:vAlign w:val="center"/>
          </w:tcPr>
          <w:p w14:paraId="22A8D0D2" w14:textId="77777777" w:rsidR="001B7DBE" w:rsidRPr="001C0836" w:rsidRDefault="001B7DBE" w:rsidP="00BD3F09">
            <w:pPr>
              <w:pStyle w:val="Tablebody"/>
              <w:jc w:val="center"/>
            </w:pPr>
          </w:p>
        </w:tc>
        <w:tc>
          <w:tcPr>
            <w:tcW w:w="2455" w:type="dxa"/>
            <w:gridSpan w:val="2"/>
            <w:shd w:val="clear" w:color="auto" w:fill="auto"/>
            <w:vAlign w:val="center"/>
          </w:tcPr>
          <w:p w14:paraId="415FBEC3" w14:textId="77777777" w:rsidR="001B7DBE" w:rsidRPr="00BD3F09" w:rsidRDefault="001B7DBE" w:rsidP="00BD3F09">
            <w:pPr>
              <w:pStyle w:val="Tablebody"/>
              <w:jc w:val="center"/>
              <w:rPr>
                <w:b/>
                <w:bCs/>
              </w:rPr>
            </w:pPr>
            <w:r w:rsidRPr="00BD3F09">
              <w:rPr>
                <w:b/>
                <w:bCs/>
              </w:rPr>
              <w:t>Steel grade</w:t>
            </w:r>
          </w:p>
        </w:tc>
        <w:tc>
          <w:tcPr>
            <w:tcW w:w="2374" w:type="dxa"/>
            <w:gridSpan w:val="2"/>
            <w:vAlign w:val="center"/>
          </w:tcPr>
          <w:p w14:paraId="11261AB5" w14:textId="77777777" w:rsidR="001B7DBE" w:rsidRPr="00BD3F09" w:rsidRDefault="001B7DBE" w:rsidP="00BD3F09">
            <w:pPr>
              <w:pStyle w:val="Tablebody"/>
              <w:jc w:val="center"/>
              <w:rPr>
                <w:b/>
                <w:bCs/>
              </w:rPr>
            </w:pPr>
            <w:r w:rsidRPr="00BD3F09">
              <w:rPr>
                <w:b/>
                <w:bCs/>
              </w:rPr>
              <w:t>Steel grade</w:t>
            </w:r>
          </w:p>
        </w:tc>
      </w:tr>
      <w:tr w:rsidR="001B7DBE" w:rsidRPr="001C0836" w14:paraId="2355229B" w14:textId="77777777" w:rsidTr="00BD3F09">
        <w:trPr>
          <w:jc w:val="center"/>
        </w:trPr>
        <w:tc>
          <w:tcPr>
            <w:tcW w:w="1595" w:type="dxa"/>
            <w:shd w:val="clear" w:color="auto" w:fill="auto"/>
            <w:vAlign w:val="center"/>
          </w:tcPr>
          <w:p w14:paraId="5E358E8A" w14:textId="77777777" w:rsidR="001B7DBE" w:rsidRPr="00BD3F09" w:rsidRDefault="001B7DBE" w:rsidP="00BD3F09">
            <w:pPr>
              <w:pStyle w:val="Tablebody"/>
              <w:jc w:val="center"/>
              <w:rPr>
                <w:b/>
                <w:bCs/>
              </w:rPr>
            </w:pPr>
            <w:r w:rsidRPr="00BD3F09">
              <w:rPr>
                <w:b/>
                <w:bCs/>
              </w:rPr>
              <w:t>Concrete grade</w:t>
            </w:r>
          </w:p>
        </w:tc>
        <w:tc>
          <w:tcPr>
            <w:tcW w:w="1268" w:type="dxa"/>
            <w:shd w:val="clear" w:color="auto" w:fill="auto"/>
            <w:vAlign w:val="center"/>
          </w:tcPr>
          <w:p w14:paraId="47AA1C79" w14:textId="77777777" w:rsidR="001B7DBE" w:rsidRPr="00BD3F09" w:rsidRDefault="001B7DBE" w:rsidP="00BD3F09">
            <w:pPr>
              <w:pStyle w:val="Tablebody"/>
              <w:jc w:val="center"/>
              <w:rPr>
                <w:b/>
                <w:bCs/>
              </w:rPr>
            </w:pPr>
            <w:r w:rsidRPr="00BD3F09">
              <w:rPr>
                <w:b/>
                <w:bCs/>
              </w:rPr>
              <w:t>B400</w:t>
            </w:r>
          </w:p>
        </w:tc>
        <w:tc>
          <w:tcPr>
            <w:tcW w:w="1187" w:type="dxa"/>
            <w:shd w:val="clear" w:color="auto" w:fill="auto"/>
            <w:vAlign w:val="center"/>
          </w:tcPr>
          <w:p w14:paraId="64132DB7" w14:textId="77777777" w:rsidR="001B7DBE" w:rsidRPr="00BD3F09" w:rsidRDefault="001B7DBE" w:rsidP="00BD3F09">
            <w:pPr>
              <w:pStyle w:val="Tablebody"/>
              <w:jc w:val="center"/>
              <w:rPr>
                <w:b/>
                <w:bCs/>
              </w:rPr>
            </w:pPr>
            <w:r w:rsidRPr="00BD3F09">
              <w:rPr>
                <w:b/>
                <w:bCs/>
              </w:rPr>
              <w:t>B500</w:t>
            </w:r>
          </w:p>
        </w:tc>
        <w:tc>
          <w:tcPr>
            <w:tcW w:w="1187" w:type="dxa"/>
            <w:vAlign w:val="center"/>
          </w:tcPr>
          <w:p w14:paraId="4ECDA490" w14:textId="77777777" w:rsidR="001B7DBE" w:rsidRPr="00BD3F09" w:rsidRDefault="001B7DBE" w:rsidP="00BD3F09">
            <w:pPr>
              <w:pStyle w:val="Tablebody"/>
              <w:jc w:val="center"/>
              <w:rPr>
                <w:b/>
                <w:bCs/>
              </w:rPr>
            </w:pPr>
            <w:r w:rsidRPr="00BD3F09">
              <w:rPr>
                <w:b/>
                <w:bCs/>
              </w:rPr>
              <w:t>B400</w:t>
            </w:r>
          </w:p>
        </w:tc>
        <w:tc>
          <w:tcPr>
            <w:tcW w:w="1187" w:type="dxa"/>
            <w:vAlign w:val="center"/>
          </w:tcPr>
          <w:p w14:paraId="422F1569" w14:textId="77777777" w:rsidR="001B7DBE" w:rsidRPr="00BD3F09" w:rsidRDefault="001B7DBE" w:rsidP="00BD3F09">
            <w:pPr>
              <w:pStyle w:val="Tablebody"/>
              <w:jc w:val="center"/>
              <w:rPr>
                <w:b/>
                <w:bCs/>
              </w:rPr>
            </w:pPr>
            <w:r w:rsidRPr="00BD3F09">
              <w:rPr>
                <w:b/>
                <w:bCs/>
              </w:rPr>
              <w:t>B500</w:t>
            </w:r>
          </w:p>
        </w:tc>
      </w:tr>
      <w:tr w:rsidR="001B7DBE" w:rsidRPr="001C0836" w14:paraId="76B1FCD7" w14:textId="77777777" w:rsidTr="00BD3F09">
        <w:trPr>
          <w:jc w:val="center"/>
        </w:trPr>
        <w:tc>
          <w:tcPr>
            <w:tcW w:w="1595" w:type="dxa"/>
            <w:shd w:val="clear" w:color="auto" w:fill="auto"/>
            <w:vAlign w:val="center"/>
          </w:tcPr>
          <w:p w14:paraId="141D5666" w14:textId="77777777" w:rsidR="001B7DBE" w:rsidRPr="00BD3F09" w:rsidRDefault="001B7DBE" w:rsidP="00BD3F09">
            <w:pPr>
              <w:pStyle w:val="Tablebody"/>
              <w:jc w:val="center"/>
              <w:rPr>
                <w:b/>
                <w:bCs/>
              </w:rPr>
            </w:pPr>
            <w:r w:rsidRPr="00BD3F09">
              <w:rPr>
                <w:b/>
                <w:bCs/>
              </w:rPr>
              <w:t>C20-C25</w:t>
            </w:r>
          </w:p>
        </w:tc>
        <w:tc>
          <w:tcPr>
            <w:tcW w:w="1268" w:type="dxa"/>
            <w:shd w:val="clear" w:color="auto" w:fill="auto"/>
            <w:vAlign w:val="center"/>
          </w:tcPr>
          <w:p w14:paraId="44884279" w14:textId="65A693D9" w:rsidR="001B7DBE" w:rsidRPr="001C0836" w:rsidRDefault="00BD3F09" w:rsidP="00BD3F09">
            <w:pPr>
              <w:pStyle w:val="Tablebody"/>
              <w:jc w:val="center"/>
            </w:pPr>
            <w:r w:rsidRPr="004030A7">
              <w:rPr>
                <w:i/>
              </w:rPr>
              <w:t>ρ</w:t>
            </w:r>
            <w:r w:rsidRPr="004030A7">
              <w:rPr>
                <w:vertAlign w:val="subscript"/>
              </w:rPr>
              <w:t>l</w:t>
            </w:r>
            <w:r>
              <w:t>’</w:t>
            </w:r>
            <w:r w:rsidR="001B7DBE" w:rsidRPr="001C0836">
              <w:t xml:space="preserve"> + 0,7</w:t>
            </w:r>
            <w:r w:rsidR="0080187E">
              <w:t> </w:t>
            </w:r>
            <w:r w:rsidR="001B7DBE" w:rsidRPr="001C0836">
              <w:t>%</w:t>
            </w:r>
          </w:p>
        </w:tc>
        <w:tc>
          <w:tcPr>
            <w:tcW w:w="1187" w:type="dxa"/>
            <w:shd w:val="clear" w:color="auto" w:fill="auto"/>
            <w:vAlign w:val="center"/>
          </w:tcPr>
          <w:p w14:paraId="3A6AF75F" w14:textId="3F522255" w:rsidR="001B7DBE" w:rsidRPr="001C0836" w:rsidRDefault="00BD3F09" w:rsidP="00BD3F09">
            <w:pPr>
              <w:pStyle w:val="Tablebody"/>
              <w:jc w:val="center"/>
            </w:pPr>
            <w:r w:rsidRPr="004030A7">
              <w:rPr>
                <w:i/>
              </w:rPr>
              <w:t>ρ</w:t>
            </w:r>
            <w:r w:rsidRPr="004030A7">
              <w:rPr>
                <w:vertAlign w:val="subscript"/>
              </w:rPr>
              <w:t>l</w:t>
            </w:r>
            <w:r>
              <w:t>’</w:t>
            </w:r>
            <w:r w:rsidR="001B7DBE" w:rsidRPr="001C0836">
              <w:t xml:space="preserve"> + 0,5</w:t>
            </w:r>
            <w:r w:rsidR="0080187E">
              <w:t> </w:t>
            </w:r>
            <w:r w:rsidR="001B7DBE" w:rsidRPr="001C0836">
              <w:t>%</w:t>
            </w:r>
          </w:p>
        </w:tc>
        <w:tc>
          <w:tcPr>
            <w:tcW w:w="1187" w:type="dxa"/>
            <w:vAlign w:val="center"/>
          </w:tcPr>
          <w:p w14:paraId="34A0C211" w14:textId="6852A4AE" w:rsidR="001B7DBE" w:rsidRPr="001C0836" w:rsidRDefault="00BD3F09" w:rsidP="00BD3F09">
            <w:pPr>
              <w:pStyle w:val="Tablebody"/>
              <w:jc w:val="center"/>
            </w:pPr>
            <w:r w:rsidRPr="004030A7">
              <w:rPr>
                <w:i/>
              </w:rPr>
              <w:t>ρ</w:t>
            </w:r>
            <w:r w:rsidRPr="004030A7">
              <w:rPr>
                <w:vertAlign w:val="subscript"/>
              </w:rPr>
              <w:t>l</w:t>
            </w:r>
            <w:r>
              <w:t>’</w:t>
            </w:r>
            <w:r w:rsidR="001B7DBE" w:rsidRPr="001C0836">
              <w:t xml:space="preserve"> + 0,5</w:t>
            </w:r>
            <w:r w:rsidR="0080187E">
              <w:t> </w:t>
            </w:r>
            <w:r w:rsidR="001B7DBE" w:rsidRPr="001C0836">
              <w:t>%</w:t>
            </w:r>
          </w:p>
        </w:tc>
        <w:tc>
          <w:tcPr>
            <w:tcW w:w="1187" w:type="dxa"/>
            <w:vAlign w:val="center"/>
          </w:tcPr>
          <w:p w14:paraId="1641D5C1" w14:textId="52B394FF" w:rsidR="001B7DBE" w:rsidRPr="001C0836" w:rsidRDefault="00BD3F09" w:rsidP="00BD3F09">
            <w:pPr>
              <w:pStyle w:val="Tablebody"/>
              <w:jc w:val="center"/>
            </w:pPr>
            <w:r w:rsidRPr="004030A7">
              <w:rPr>
                <w:i/>
              </w:rPr>
              <w:t>ρ</w:t>
            </w:r>
            <w:r w:rsidRPr="004030A7">
              <w:rPr>
                <w:vertAlign w:val="subscript"/>
              </w:rPr>
              <w:t>l</w:t>
            </w:r>
            <w:r>
              <w:t xml:space="preserve">’ </w:t>
            </w:r>
            <w:r w:rsidR="001B7DBE" w:rsidRPr="001C0836">
              <w:t>+ 0,3</w:t>
            </w:r>
            <w:r w:rsidR="0080187E">
              <w:t> </w:t>
            </w:r>
            <w:r w:rsidR="001B7DBE" w:rsidRPr="001C0836">
              <w:t>%</w:t>
            </w:r>
          </w:p>
        </w:tc>
      </w:tr>
      <w:tr w:rsidR="001B7DBE" w:rsidRPr="001C0836" w14:paraId="7C153F44" w14:textId="77777777" w:rsidTr="00BD3F09">
        <w:trPr>
          <w:jc w:val="center"/>
        </w:trPr>
        <w:tc>
          <w:tcPr>
            <w:tcW w:w="1595" w:type="dxa"/>
            <w:shd w:val="clear" w:color="auto" w:fill="auto"/>
            <w:vAlign w:val="center"/>
          </w:tcPr>
          <w:p w14:paraId="253DB8FF" w14:textId="77777777" w:rsidR="001B7DBE" w:rsidRPr="00BD3F09" w:rsidRDefault="001B7DBE" w:rsidP="00BD3F09">
            <w:pPr>
              <w:pStyle w:val="Tablebody"/>
              <w:jc w:val="center"/>
              <w:rPr>
                <w:b/>
                <w:bCs/>
              </w:rPr>
            </w:pPr>
            <w:r w:rsidRPr="00BD3F09">
              <w:rPr>
                <w:b/>
                <w:bCs/>
              </w:rPr>
              <w:t>C30-C45</w:t>
            </w:r>
          </w:p>
        </w:tc>
        <w:tc>
          <w:tcPr>
            <w:tcW w:w="1268" w:type="dxa"/>
            <w:shd w:val="clear" w:color="auto" w:fill="auto"/>
            <w:vAlign w:val="center"/>
          </w:tcPr>
          <w:p w14:paraId="4BEECFE6" w14:textId="4282CFB6" w:rsidR="001B7DBE" w:rsidRPr="001C0836" w:rsidRDefault="00BD3F09" w:rsidP="00BD3F09">
            <w:pPr>
              <w:pStyle w:val="Tablebody"/>
              <w:jc w:val="center"/>
            </w:pPr>
            <w:r w:rsidRPr="004030A7">
              <w:rPr>
                <w:i/>
              </w:rPr>
              <w:t>ρ</w:t>
            </w:r>
            <w:r w:rsidRPr="004030A7">
              <w:rPr>
                <w:vertAlign w:val="subscript"/>
              </w:rPr>
              <w:t>l</w:t>
            </w:r>
            <w:r>
              <w:t>’</w:t>
            </w:r>
            <w:r w:rsidR="001B7DBE" w:rsidRPr="001C0836">
              <w:t xml:space="preserve"> + 1,2</w:t>
            </w:r>
            <w:r w:rsidR="0080187E">
              <w:t> </w:t>
            </w:r>
            <w:r w:rsidR="001B7DBE" w:rsidRPr="001C0836">
              <w:t>%</w:t>
            </w:r>
          </w:p>
        </w:tc>
        <w:tc>
          <w:tcPr>
            <w:tcW w:w="1187" w:type="dxa"/>
            <w:shd w:val="clear" w:color="auto" w:fill="auto"/>
            <w:vAlign w:val="center"/>
          </w:tcPr>
          <w:p w14:paraId="23AA8C6A" w14:textId="4CFBFCB5" w:rsidR="001B7DBE" w:rsidRPr="001C0836" w:rsidRDefault="00BD3F09" w:rsidP="00BD3F09">
            <w:pPr>
              <w:pStyle w:val="Tablebody"/>
              <w:jc w:val="center"/>
            </w:pPr>
            <w:r w:rsidRPr="004030A7">
              <w:rPr>
                <w:i/>
              </w:rPr>
              <w:t>ρ</w:t>
            </w:r>
            <w:r w:rsidRPr="004030A7">
              <w:rPr>
                <w:vertAlign w:val="subscript"/>
              </w:rPr>
              <w:t>l</w:t>
            </w:r>
            <w:r>
              <w:t xml:space="preserve">’ </w:t>
            </w:r>
            <w:r w:rsidR="001B7DBE" w:rsidRPr="001C0836">
              <w:t>+ 0,8</w:t>
            </w:r>
            <w:r w:rsidR="0080187E">
              <w:t> </w:t>
            </w:r>
            <w:r w:rsidR="001B7DBE" w:rsidRPr="001C0836">
              <w:t>%</w:t>
            </w:r>
          </w:p>
        </w:tc>
        <w:tc>
          <w:tcPr>
            <w:tcW w:w="1187" w:type="dxa"/>
            <w:vAlign w:val="center"/>
          </w:tcPr>
          <w:p w14:paraId="60D97A86" w14:textId="458490C9" w:rsidR="001B7DBE" w:rsidRPr="001C0836" w:rsidRDefault="00BD3F09" w:rsidP="00BD3F09">
            <w:pPr>
              <w:pStyle w:val="Tablebody"/>
              <w:jc w:val="center"/>
            </w:pPr>
            <w:r w:rsidRPr="004030A7">
              <w:rPr>
                <w:i/>
              </w:rPr>
              <w:t>ρ</w:t>
            </w:r>
            <w:r w:rsidRPr="004030A7">
              <w:rPr>
                <w:vertAlign w:val="subscript"/>
              </w:rPr>
              <w:t>l</w:t>
            </w:r>
            <w:r>
              <w:t>’</w:t>
            </w:r>
            <w:r w:rsidR="001B7DBE" w:rsidRPr="001C0836">
              <w:t xml:space="preserve"> + 1,0</w:t>
            </w:r>
            <w:r w:rsidR="0080187E">
              <w:t> </w:t>
            </w:r>
            <w:r w:rsidR="001B7DBE" w:rsidRPr="001C0836">
              <w:t>%</w:t>
            </w:r>
          </w:p>
        </w:tc>
        <w:tc>
          <w:tcPr>
            <w:tcW w:w="1187" w:type="dxa"/>
            <w:vAlign w:val="center"/>
          </w:tcPr>
          <w:p w14:paraId="123E537B" w14:textId="4E67D9F2" w:rsidR="001B7DBE" w:rsidRPr="001C0836" w:rsidRDefault="00BD3F09" w:rsidP="00BD3F09">
            <w:pPr>
              <w:pStyle w:val="Tablebody"/>
              <w:jc w:val="center"/>
            </w:pPr>
            <w:r w:rsidRPr="004030A7">
              <w:rPr>
                <w:i/>
              </w:rPr>
              <w:t>ρ</w:t>
            </w:r>
            <w:r w:rsidRPr="004030A7">
              <w:rPr>
                <w:vertAlign w:val="subscript"/>
              </w:rPr>
              <w:t>l</w:t>
            </w:r>
            <w:r>
              <w:t>’</w:t>
            </w:r>
            <w:r w:rsidR="001B7DBE" w:rsidRPr="001C0836">
              <w:t xml:space="preserve"> + 0,6</w:t>
            </w:r>
            <w:r w:rsidR="0080187E">
              <w:t> </w:t>
            </w:r>
            <w:r w:rsidR="001B7DBE" w:rsidRPr="001C0836">
              <w:t>%</w:t>
            </w:r>
          </w:p>
        </w:tc>
      </w:tr>
      <w:tr w:rsidR="001B7DBE" w:rsidRPr="001C0836" w14:paraId="36C0EB62" w14:textId="77777777" w:rsidTr="00BD3F09">
        <w:trPr>
          <w:jc w:val="center"/>
        </w:trPr>
        <w:tc>
          <w:tcPr>
            <w:tcW w:w="1595" w:type="dxa"/>
            <w:shd w:val="clear" w:color="auto" w:fill="auto"/>
            <w:vAlign w:val="center"/>
          </w:tcPr>
          <w:p w14:paraId="56290CA3" w14:textId="77777777" w:rsidR="001B7DBE" w:rsidRPr="00BD3F09" w:rsidRDefault="001B7DBE" w:rsidP="00BD3F09">
            <w:pPr>
              <w:pStyle w:val="Tablebody"/>
              <w:jc w:val="center"/>
              <w:rPr>
                <w:b/>
                <w:bCs/>
              </w:rPr>
            </w:pPr>
            <w:r w:rsidRPr="00BD3F09">
              <w:rPr>
                <w:b/>
                <w:bCs/>
              </w:rPr>
              <w:t>C50-C90</w:t>
            </w:r>
          </w:p>
        </w:tc>
        <w:tc>
          <w:tcPr>
            <w:tcW w:w="1268" w:type="dxa"/>
            <w:shd w:val="clear" w:color="auto" w:fill="auto"/>
            <w:vAlign w:val="center"/>
          </w:tcPr>
          <w:p w14:paraId="7FD6A9A5" w14:textId="2F6757D4" w:rsidR="001B7DBE" w:rsidRPr="001C0836" w:rsidRDefault="00BD3F09" w:rsidP="00BD3F09">
            <w:pPr>
              <w:pStyle w:val="Tablebody"/>
              <w:jc w:val="center"/>
            </w:pPr>
            <w:r w:rsidRPr="004030A7">
              <w:rPr>
                <w:i/>
              </w:rPr>
              <w:t>ρ</w:t>
            </w:r>
            <w:r w:rsidRPr="004030A7">
              <w:rPr>
                <w:vertAlign w:val="subscript"/>
              </w:rPr>
              <w:t>l</w:t>
            </w:r>
            <w:r>
              <w:t>’</w:t>
            </w:r>
            <w:r w:rsidR="001B7DBE" w:rsidRPr="001C0836">
              <w:t xml:space="preserve"> + 1,7</w:t>
            </w:r>
            <w:r w:rsidR="0080187E">
              <w:t> </w:t>
            </w:r>
            <w:r w:rsidR="001B7DBE" w:rsidRPr="001C0836">
              <w:t>%</w:t>
            </w:r>
          </w:p>
        </w:tc>
        <w:tc>
          <w:tcPr>
            <w:tcW w:w="1187" w:type="dxa"/>
            <w:shd w:val="clear" w:color="auto" w:fill="auto"/>
            <w:vAlign w:val="center"/>
          </w:tcPr>
          <w:p w14:paraId="69371660" w14:textId="7A1A7FD2" w:rsidR="001B7DBE" w:rsidRPr="001C0836" w:rsidRDefault="00BD3F09" w:rsidP="00BD3F09">
            <w:pPr>
              <w:pStyle w:val="Tablebody"/>
              <w:jc w:val="center"/>
            </w:pPr>
            <w:r w:rsidRPr="004030A7">
              <w:rPr>
                <w:i/>
              </w:rPr>
              <w:t>ρ</w:t>
            </w:r>
            <w:r w:rsidRPr="004030A7">
              <w:rPr>
                <w:vertAlign w:val="subscript"/>
              </w:rPr>
              <w:t>l</w:t>
            </w:r>
            <w:r>
              <w:t>’</w:t>
            </w:r>
            <w:r w:rsidR="001B7DBE" w:rsidRPr="001C0836">
              <w:t xml:space="preserve"> + 1,2</w:t>
            </w:r>
            <w:r w:rsidR="0080187E">
              <w:t> </w:t>
            </w:r>
            <w:r w:rsidR="001B7DBE" w:rsidRPr="001C0836">
              <w:t>%</w:t>
            </w:r>
          </w:p>
        </w:tc>
        <w:tc>
          <w:tcPr>
            <w:tcW w:w="1187" w:type="dxa"/>
            <w:vAlign w:val="center"/>
          </w:tcPr>
          <w:p w14:paraId="01624F66" w14:textId="09B351B4" w:rsidR="001B7DBE" w:rsidRPr="001C0836" w:rsidRDefault="00BD3F09" w:rsidP="00BD3F09">
            <w:pPr>
              <w:pStyle w:val="Tablebody"/>
              <w:jc w:val="center"/>
            </w:pPr>
            <w:r w:rsidRPr="004030A7">
              <w:rPr>
                <w:i/>
              </w:rPr>
              <w:t>ρ</w:t>
            </w:r>
            <w:r w:rsidRPr="004030A7">
              <w:rPr>
                <w:vertAlign w:val="subscript"/>
              </w:rPr>
              <w:t>l</w:t>
            </w:r>
            <w:r>
              <w:t>’</w:t>
            </w:r>
            <w:r w:rsidR="001B7DBE" w:rsidRPr="001C0836">
              <w:t xml:space="preserve"> + 1,5</w:t>
            </w:r>
            <w:r w:rsidR="0080187E">
              <w:t> </w:t>
            </w:r>
            <w:r w:rsidR="001B7DBE" w:rsidRPr="001C0836">
              <w:t>%</w:t>
            </w:r>
          </w:p>
        </w:tc>
        <w:tc>
          <w:tcPr>
            <w:tcW w:w="1187" w:type="dxa"/>
            <w:vAlign w:val="center"/>
          </w:tcPr>
          <w:p w14:paraId="338CAC76" w14:textId="0120F48E" w:rsidR="001B7DBE" w:rsidRPr="001C0836" w:rsidRDefault="00BD3F09" w:rsidP="00BD3F09">
            <w:pPr>
              <w:pStyle w:val="Tablebody"/>
              <w:jc w:val="center"/>
            </w:pPr>
            <w:r w:rsidRPr="004030A7">
              <w:rPr>
                <w:i/>
              </w:rPr>
              <w:t>ρ</w:t>
            </w:r>
            <w:r w:rsidRPr="004030A7">
              <w:rPr>
                <w:vertAlign w:val="subscript"/>
              </w:rPr>
              <w:t>l</w:t>
            </w:r>
            <w:r>
              <w:t>’</w:t>
            </w:r>
            <w:r w:rsidR="001B7DBE" w:rsidRPr="001C0836">
              <w:t xml:space="preserve"> + 1,0</w:t>
            </w:r>
            <w:r w:rsidR="0080187E">
              <w:t> </w:t>
            </w:r>
            <w:r w:rsidR="001B7DBE" w:rsidRPr="001C0836">
              <w:t>%</w:t>
            </w:r>
          </w:p>
        </w:tc>
      </w:tr>
    </w:tbl>
    <w:p w14:paraId="2212DCA4" w14:textId="5ACB0A76" w:rsidR="001B7DBE" w:rsidRPr="00D1484A" w:rsidRDefault="001B7DBE" w:rsidP="00724E4E">
      <w:pPr>
        <w:pStyle w:val="Clause"/>
      </w:pPr>
      <w:r w:rsidRPr="00D1484A">
        <w:t>Within the critical regions of primary seismic beams, hoops should satisfy the conditions in a) to d):</w:t>
      </w:r>
    </w:p>
    <w:p w14:paraId="48A74D0E" w14:textId="20FE8F66" w:rsidR="001B7DBE" w:rsidRPr="007E6F67" w:rsidRDefault="001C0836" w:rsidP="0080187E">
      <w:pPr>
        <w:pStyle w:val="List2"/>
        <w:numPr>
          <w:ilvl w:val="0"/>
          <w:numId w:val="119"/>
        </w:numPr>
        <w:spacing w:before="0" w:after="240" w:line="230" w:lineRule="atLeast"/>
        <w:contextualSpacing w:val="0"/>
      </w:pPr>
      <w:r w:rsidRPr="00D1484A">
        <w:t xml:space="preserve">the </w:t>
      </w:r>
      <w:r w:rsidR="00EB30A2">
        <w:t>d</w:t>
      </w:r>
      <w:r>
        <w:t>iameter</w:t>
      </w:r>
      <w:r w:rsidRPr="00D1484A">
        <w:t xml:space="preserve"> </w:t>
      </w:r>
      <w:r w:rsidRPr="00D1484A">
        <w:rPr>
          <w:i/>
        </w:rPr>
        <w:t>d</w:t>
      </w:r>
      <w:r w:rsidRPr="00D1484A">
        <w:rPr>
          <w:vertAlign w:val="subscript"/>
        </w:rPr>
        <w:t>bw</w:t>
      </w:r>
      <w:r w:rsidRPr="00D1484A">
        <w:t xml:space="preserve"> of the hoops should not be smaller than</w:t>
      </w:r>
      <w:r w:rsidRPr="007E6F67">
        <w:t xml:space="preserve"> 6 mm</w:t>
      </w:r>
      <w:r w:rsidR="001B7DBE" w:rsidRPr="007E6F67">
        <w:t>;</w:t>
      </w:r>
    </w:p>
    <w:p w14:paraId="5543E4E1" w14:textId="77777777" w:rsidR="001B7DBE" w:rsidRPr="00E05E29" w:rsidRDefault="001B7DBE" w:rsidP="0080187E">
      <w:pPr>
        <w:pStyle w:val="List2"/>
        <w:numPr>
          <w:ilvl w:val="0"/>
          <w:numId w:val="119"/>
        </w:numPr>
        <w:spacing w:before="0" w:after="240" w:line="230" w:lineRule="atLeast"/>
        <w:contextualSpacing w:val="0"/>
      </w:pPr>
      <w:r w:rsidRPr="00FD17CF">
        <w:t>the spacing</w:t>
      </w:r>
      <w:r w:rsidRPr="00FD17CF">
        <w:rPr>
          <w:rFonts w:eastAsia="Cambria"/>
        </w:rPr>
        <w:t xml:space="preserve"> </w:t>
      </w:r>
      <w:r w:rsidRPr="00644C3D">
        <w:rPr>
          <w:rFonts w:eastAsia="Cambria"/>
          <w:i/>
          <w:iCs/>
        </w:rPr>
        <w:t>s</w:t>
      </w:r>
      <w:r w:rsidRPr="00E05E29">
        <w:rPr>
          <w:rFonts w:eastAsia="Cambria"/>
        </w:rPr>
        <w:t xml:space="preserve"> </w:t>
      </w:r>
      <w:r w:rsidRPr="00E05E29">
        <w:t>of hoops should not exceed:</w:t>
      </w:r>
    </w:p>
    <w:p w14:paraId="28B080EE" w14:textId="1CE93935" w:rsidR="001B7DBE" w:rsidRPr="00132C1E" w:rsidRDefault="001B7DBE" w:rsidP="0080187E">
      <w:pPr>
        <w:pStyle w:val="ListParagraph"/>
        <w:numPr>
          <w:ilvl w:val="0"/>
          <w:numId w:val="118"/>
        </w:numPr>
        <w:spacing w:before="120" w:after="220"/>
        <w:ind w:left="714" w:hanging="357"/>
        <w:contextualSpacing w:val="0"/>
      </w:pPr>
      <w:r w:rsidRPr="00196951">
        <w:t xml:space="preserve">for DC2: </w:t>
      </w:r>
      <w:r w:rsidRPr="0080187E">
        <w:rPr>
          <w:i/>
        </w:rPr>
        <w:t>s</w:t>
      </w:r>
      <w:r w:rsidRPr="002144A0">
        <w:t xml:space="preserve"> = min{</w:t>
      </w:r>
      <w:r w:rsidRPr="0080187E">
        <w:rPr>
          <w:i/>
        </w:rPr>
        <w:t>h</w:t>
      </w:r>
      <w:r w:rsidRPr="00C52095">
        <w:t>/4; 30</w:t>
      </w:r>
      <w:r w:rsidRPr="0080187E">
        <w:rPr>
          <w:i/>
        </w:rPr>
        <w:t>d</w:t>
      </w:r>
      <w:r w:rsidRPr="0080187E">
        <w:rPr>
          <w:vertAlign w:val="subscript"/>
        </w:rPr>
        <w:t>bw</w:t>
      </w:r>
      <w:r w:rsidRPr="00132C1E">
        <w:t>; 12</w:t>
      </w:r>
      <w:r w:rsidRPr="0080187E">
        <w:rPr>
          <w:i/>
        </w:rPr>
        <w:t>d</w:t>
      </w:r>
      <w:r w:rsidRPr="0080187E">
        <w:rPr>
          <w:vertAlign w:val="subscript"/>
        </w:rPr>
        <w:t>bL,min</w:t>
      </w:r>
      <w:r w:rsidRPr="00132C1E">
        <w:t>};</w:t>
      </w:r>
    </w:p>
    <w:p w14:paraId="164EE13D" w14:textId="3CFEEF36" w:rsidR="001B7DBE" w:rsidRPr="00132C1E" w:rsidRDefault="001B7DBE" w:rsidP="0080187E">
      <w:pPr>
        <w:pStyle w:val="ListParagraph"/>
        <w:numPr>
          <w:ilvl w:val="0"/>
          <w:numId w:val="118"/>
        </w:numPr>
        <w:spacing w:before="120" w:after="220"/>
        <w:ind w:left="714" w:hanging="357"/>
        <w:contextualSpacing w:val="0"/>
      </w:pPr>
      <w:r w:rsidRPr="00132C1E">
        <w:t xml:space="preserve">for DC3: </w:t>
      </w:r>
      <w:r w:rsidRPr="0080187E">
        <w:rPr>
          <w:i/>
        </w:rPr>
        <w:t>s</w:t>
      </w:r>
      <w:r w:rsidRPr="00132C1E">
        <w:t xml:space="preserve"> = min{</w:t>
      </w:r>
      <w:r w:rsidRPr="0080187E">
        <w:rPr>
          <w:i/>
        </w:rPr>
        <w:t>h</w:t>
      </w:r>
      <w:r w:rsidRPr="00132C1E">
        <w:t>/4; 24</w:t>
      </w:r>
      <w:r w:rsidRPr="0080187E">
        <w:rPr>
          <w:i/>
        </w:rPr>
        <w:t>d</w:t>
      </w:r>
      <w:r w:rsidRPr="0080187E">
        <w:rPr>
          <w:vertAlign w:val="subscript"/>
        </w:rPr>
        <w:t>bw</w:t>
      </w:r>
      <w:r w:rsidRPr="00132C1E">
        <w:t>; 8</w:t>
      </w:r>
      <w:r w:rsidRPr="0080187E">
        <w:rPr>
          <w:i/>
        </w:rPr>
        <w:t>d</w:t>
      </w:r>
      <w:r w:rsidRPr="0080187E">
        <w:rPr>
          <w:vertAlign w:val="subscript"/>
        </w:rPr>
        <w:t>bL,min</w:t>
      </w:r>
      <w:r w:rsidRPr="00132C1E">
        <w:t>},</w:t>
      </w:r>
    </w:p>
    <w:p w14:paraId="0601E356" w14:textId="77777777" w:rsidR="001C0836" w:rsidRPr="00870D59" w:rsidRDefault="001C0836" w:rsidP="001C0836">
      <w:pPr>
        <w:pStyle w:val="Text"/>
      </w:pPr>
      <w:r w:rsidRPr="00870D59">
        <w:t>where</w:t>
      </w:r>
    </w:p>
    <w:tbl>
      <w:tblPr>
        <w:tblW w:w="0" w:type="auto"/>
        <w:tblInd w:w="284" w:type="dxa"/>
        <w:tblLook w:val="04A0" w:firstRow="1" w:lastRow="0" w:firstColumn="1" w:lastColumn="0" w:noHBand="0" w:noVBand="1"/>
      </w:tblPr>
      <w:tblGrid>
        <w:gridCol w:w="1525"/>
        <w:gridCol w:w="7938"/>
      </w:tblGrid>
      <w:tr w:rsidR="001C0836" w:rsidRPr="00870D59" w14:paraId="2EEF5C5D" w14:textId="77777777" w:rsidTr="0080187E">
        <w:tc>
          <w:tcPr>
            <w:tcW w:w="1525" w:type="dxa"/>
          </w:tcPr>
          <w:p w14:paraId="117B1331" w14:textId="3F772C63" w:rsidR="001C0836" w:rsidRPr="00870D59" w:rsidRDefault="001C0836" w:rsidP="0080187E">
            <w:pPr>
              <w:rPr>
                <w:rFonts w:eastAsia="Times New Roman" w:cs="Cambria"/>
                <w:szCs w:val="20"/>
                <w:lang w:eastAsia="fr-FR"/>
              </w:rPr>
            </w:pPr>
            <w:r w:rsidRPr="00132C1E">
              <w:rPr>
                <w:i/>
              </w:rPr>
              <w:t>d</w:t>
            </w:r>
            <w:r w:rsidRPr="00132C1E">
              <w:rPr>
                <w:vertAlign w:val="subscript"/>
              </w:rPr>
              <w:t>bL,min</w:t>
            </w:r>
          </w:p>
        </w:tc>
        <w:tc>
          <w:tcPr>
            <w:tcW w:w="7938" w:type="dxa"/>
          </w:tcPr>
          <w:p w14:paraId="399BF413" w14:textId="23E0092F" w:rsidR="001C0836" w:rsidRPr="00870D59" w:rsidRDefault="001C0836" w:rsidP="0080187E">
            <w:pPr>
              <w:rPr>
                <w:rFonts w:eastAsia="Times New Roman" w:cs="Cambria"/>
                <w:szCs w:val="20"/>
                <w:lang w:eastAsia="fr-FR"/>
              </w:rPr>
            </w:pPr>
            <w:r w:rsidRPr="00132C1E">
              <w:t xml:space="preserve">is the minimum longitudinal bar </w:t>
            </w:r>
            <w:r w:rsidR="00EB30A2">
              <w:t>d</w:t>
            </w:r>
            <w:r>
              <w:t>iameter</w:t>
            </w:r>
            <w:r w:rsidRPr="00132C1E">
              <w:t>;</w:t>
            </w:r>
          </w:p>
        </w:tc>
      </w:tr>
      <w:tr w:rsidR="001C0836" w:rsidRPr="00870D59" w14:paraId="1A93DC85" w14:textId="77777777" w:rsidTr="0080187E">
        <w:tc>
          <w:tcPr>
            <w:tcW w:w="1525" w:type="dxa"/>
          </w:tcPr>
          <w:p w14:paraId="2FB71EFF" w14:textId="1AFF4C3B" w:rsidR="001C0836" w:rsidRPr="00870D59" w:rsidRDefault="001C0836" w:rsidP="0080187E">
            <w:pPr>
              <w:rPr>
                <w:rFonts w:ascii="Symbol" w:hAnsi="Symbol"/>
                <w:i/>
                <w:color w:val="000000" w:themeColor="text1"/>
              </w:rPr>
            </w:pPr>
            <w:r w:rsidRPr="00132C1E">
              <w:rPr>
                <w:i/>
                <w:iCs/>
              </w:rPr>
              <w:t>h</w:t>
            </w:r>
          </w:p>
        </w:tc>
        <w:tc>
          <w:tcPr>
            <w:tcW w:w="7938" w:type="dxa"/>
          </w:tcPr>
          <w:p w14:paraId="1F2CF3DB" w14:textId="5AF596C0" w:rsidR="001C0836" w:rsidRPr="00870D59" w:rsidRDefault="001C0836" w:rsidP="0080187E">
            <w:pPr>
              <w:spacing w:after="200"/>
              <w:rPr>
                <w:color w:val="000000" w:themeColor="text1"/>
              </w:rPr>
            </w:pPr>
            <w:r w:rsidRPr="00132C1E">
              <w:t>is the beam depth.</w:t>
            </w:r>
          </w:p>
        </w:tc>
      </w:tr>
    </w:tbl>
    <w:p w14:paraId="6BAAF3BD" w14:textId="77777777" w:rsidR="001B7DBE" w:rsidRPr="00132C1E" w:rsidRDefault="001B7DBE" w:rsidP="0080187E">
      <w:pPr>
        <w:pStyle w:val="List2"/>
        <w:numPr>
          <w:ilvl w:val="0"/>
          <w:numId w:val="119"/>
        </w:numPr>
        <w:spacing w:before="0" w:after="240" w:line="230" w:lineRule="atLeast"/>
        <w:contextualSpacing w:val="0"/>
      </w:pPr>
      <w:r w:rsidRPr="00132C1E">
        <w:t>the distance of the first hoop to the beam end section should not be greater than 50 mm (Figure 10.3).</w:t>
      </w:r>
    </w:p>
    <w:p w14:paraId="185595F8" w14:textId="77777777" w:rsidR="001B7DBE" w:rsidRPr="00132C1E" w:rsidRDefault="001B7DBE" w:rsidP="0080187E">
      <w:pPr>
        <w:pStyle w:val="List2"/>
        <w:numPr>
          <w:ilvl w:val="0"/>
          <w:numId w:val="119"/>
        </w:numPr>
        <w:spacing w:before="0" w:after="240" w:line="230" w:lineRule="atLeast"/>
        <w:contextualSpacing w:val="0"/>
      </w:pPr>
      <w:r w:rsidRPr="00BD3F09">
        <w:t>10.11.1(2)</w:t>
      </w:r>
      <w:r w:rsidRPr="00132C1E">
        <w:t xml:space="preserve"> should be satisfied.</w:t>
      </w:r>
    </w:p>
    <w:p w14:paraId="26670BC2" w14:textId="516A94AC" w:rsidR="001B7DBE" w:rsidRPr="00132C1E" w:rsidRDefault="00EA5F83" w:rsidP="00EA5F83">
      <w:pPr>
        <w:pStyle w:val="FigureImage"/>
      </w:pPr>
      <w:r>
        <w:rPr>
          <w:noProof/>
        </w:rPr>
        <w:lastRenderedPageBreak/>
        <w:drawing>
          <wp:inline distT="0" distB="0" distL="0" distR="0" wp14:anchorId="00D663E1" wp14:editId="0E9D81AE">
            <wp:extent cx="4680212" cy="1796799"/>
            <wp:effectExtent l="0" t="0" r="6350" b="0"/>
            <wp:docPr id="34" name="0007.tiff"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0007.tiff" descr="Shape&#10;&#10;Description automatically generated with medium confidence"/>
                    <pic:cNvPicPr/>
                  </pic:nvPicPr>
                  <pic:blipFill>
                    <a:blip r:link="rId22"/>
                    <a:stretch>
                      <a:fillRect/>
                    </a:stretch>
                  </pic:blipFill>
                  <pic:spPr>
                    <a:xfrm>
                      <a:off x="0" y="0"/>
                      <a:ext cx="4680212" cy="1796799"/>
                    </a:xfrm>
                    <a:prstGeom prst="rect">
                      <a:avLst/>
                    </a:prstGeom>
                  </pic:spPr>
                </pic:pic>
              </a:graphicData>
            </a:graphic>
          </wp:inline>
        </w:drawing>
      </w:r>
    </w:p>
    <w:p w14:paraId="5A3AE1F3" w14:textId="07D2655F" w:rsidR="001B7DBE" w:rsidRPr="00D1484A" w:rsidRDefault="001B7DBE" w:rsidP="001C0836">
      <w:pPr>
        <w:pStyle w:val="Figuretitle"/>
        <w:rPr>
          <w:highlight w:val="yellow"/>
        </w:rPr>
      </w:pPr>
      <w:r w:rsidRPr="00D1484A">
        <w:t>Figure</w:t>
      </w:r>
      <w:r w:rsidR="001C0836">
        <w:t> 10</w:t>
      </w:r>
      <w:r w:rsidRPr="00132C1E">
        <w:t>.</w:t>
      </w:r>
      <w:r w:rsidR="001C0836">
        <w:t>3</w:t>
      </w:r>
      <w:r w:rsidRPr="00132C1E">
        <w:t> </w:t>
      </w:r>
      <w:r w:rsidRPr="00D1484A">
        <w:rPr>
          <w:rFonts w:ascii="`ÃÍœ˛" w:eastAsia="Cambria" w:hAnsi="`ÃÍœ˛" w:cs="`ÃÍœ˛"/>
          <w:szCs w:val="22"/>
          <w:lang w:eastAsia="de-DE"/>
        </w:rPr>
        <w:t>—</w:t>
      </w:r>
      <w:r w:rsidRPr="00D1484A">
        <w:t> Transverse reinforcement in critical regions of beams</w:t>
      </w:r>
    </w:p>
    <w:p w14:paraId="1FFB0444" w14:textId="77777777" w:rsidR="001B7DBE" w:rsidRPr="007E6F67" w:rsidRDefault="001B7DBE" w:rsidP="001B7DBE">
      <w:pPr>
        <w:pStyle w:val="Heading2"/>
      </w:pPr>
      <w:bookmarkStart w:id="6832" w:name="_Toc522279715"/>
      <w:bookmarkStart w:id="6833" w:name="_Toc17934198"/>
      <w:bookmarkStart w:id="6834" w:name="_Toc50150377"/>
      <w:bookmarkStart w:id="6835" w:name="_Toc70886809"/>
      <w:bookmarkStart w:id="6836" w:name="_Toc108342351"/>
      <w:bookmarkStart w:id="6837" w:name="_Toc134197898"/>
      <w:r w:rsidRPr="007E6F67">
        <w:t>Columns</w:t>
      </w:r>
      <w:bookmarkEnd w:id="6832"/>
      <w:bookmarkEnd w:id="6833"/>
      <w:bookmarkEnd w:id="6834"/>
      <w:bookmarkEnd w:id="6835"/>
      <w:bookmarkEnd w:id="6836"/>
      <w:bookmarkEnd w:id="6837"/>
    </w:p>
    <w:p w14:paraId="7BDF6823" w14:textId="77777777" w:rsidR="001B7DBE" w:rsidRPr="00E05E29" w:rsidRDefault="001B7DBE" w:rsidP="001B7DBE">
      <w:pPr>
        <w:pStyle w:val="Heading3"/>
      </w:pPr>
      <w:bookmarkStart w:id="6838" w:name="_Toc522279716"/>
      <w:bookmarkStart w:id="6839" w:name="_Toc17934199"/>
      <w:bookmarkStart w:id="6840" w:name="_Toc50150378"/>
      <w:bookmarkStart w:id="6841" w:name="_Toc70886810"/>
      <w:bookmarkStart w:id="6842" w:name="_Toc108342352"/>
      <w:bookmarkStart w:id="6843" w:name="_Toc134197899"/>
      <w:r w:rsidRPr="00644C3D">
        <w:t xml:space="preserve">Geometrical and other </w:t>
      </w:r>
      <w:r w:rsidRPr="00E05E29">
        <w:t>provisions</w:t>
      </w:r>
      <w:bookmarkEnd w:id="6838"/>
      <w:bookmarkEnd w:id="6839"/>
      <w:bookmarkEnd w:id="6840"/>
      <w:bookmarkEnd w:id="6841"/>
      <w:bookmarkEnd w:id="6842"/>
      <w:bookmarkEnd w:id="6843"/>
    </w:p>
    <w:p w14:paraId="44AAF2D6" w14:textId="7410967D" w:rsidR="001B7DBE" w:rsidRPr="00E05E29" w:rsidRDefault="001B7DBE" w:rsidP="0080187E">
      <w:pPr>
        <w:pStyle w:val="Clause"/>
        <w:numPr>
          <w:ilvl w:val="0"/>
          <w:numId w:val="324"/>
        </w:numPr>
      </w:pPr>
      <w:r w:rsidRPr="00E05E29">
        <w:t xml:space="preserve">Prismatic concrete members with a depth to width ratio </w:t>
      </w:r>
      <w:r w:rsidRPr="007B6DA6">
        <w:rPr>
          <w:i/>
        </w:rPr>
        <w:t>h</w:t>
      </w:r>
      <w:r w:rsidRPr="007B6DA6">
        <w:rPr>
          <w:vertAlign w:val="subscript"/>
        </w:rPr>
        <w:t>c</w:t>
      </w:r>
      <w:r w:rsidRPr="00E05E29">
        <w:t>/</w:t>
      </w:r>
      <w:r w:rsidRPr="007B6DA6">
        <w:rPr>
          <w:i/>
        </w:rPr>
        <w:t>b</w:t>
      </w:r>
      <w:r w:rsidRPr="007B6DA6">
        <w:rPr>
          <w:vertAlign w:val="subscript"/>
        </w:rPr>
        <w:t>c</w:t>
      </w:r>
      <w:r w:rsidRPr="00E05E29">
        <w:t xml:space="preserve"> not greater than </w:t>
      </w:r>
      <w:r w:rsidRPr="005373C7">
        <w:t>4</w:t>
      </w:r>
      <w:r w:rsidRPr="00E05E29">
        <w:t xml:space="preserve"> should be designed as columns when supporting gravity loads by axial compression or when subjected to a normal</w:t>
      </w:r>
      <w:r w:rsidR="00E10A24">
        <w:t>ize</w:t>
      </w:r>
      <w:r w:rsidRPr="00E05E29">
        <w:t xml:space="preserve">d design compression axial force in the seismic design situation </w:t>
      </w:r>
      <w:r w:rsidRPr="007B6DA6">
        <w:rPr>
          <w:i/>
        </w:rPr>
        <w:t>ν</w:t>
      </w:r>
      <w:r w:rsidRPr="007B6DA6">
        <w:rPr>
          <w:vertAlign w:val="subscript"/>
        </w:rPr>
        <w:t>d</w:t>
      </w:r>
      <w:r w:rsidRPr="00E05E29">
        <w:t> = </w:t>
      </w:r>
      <w:r w:rsidRPr="007B6DA6">
        <w:rPr>
          <w:i/>
        </w:rPr>
        <w:t>N</w:t>
      </w:r>
      <w:r w:rsidRPr="007B6DA6">
        <w:rPr>
          <w:vertAlign w:val="subscript"/>
        </w:rPr>
        <w:t>Ed</w:t>
      </w:r>
      <w:r w:rsidRPr="00E05E29">
        <w:t>/(</w:t>
      </w:r>
      <w:r w:rsidRPr="007B6DA6">
        <w:rPr>
          <w:i/>
        </w:rPr>
        <w:t>A</w:t>
      </w:r>
      <w:r w:rsidRPr="007B6DA6">
        <w:rPr>
          <w:vertAlign w:val="subscript"/>
        </w:rPr>
        <w:t>c</w:t>
      </w:r>
      <w:r w:rsidRPr="007B6DA6">
        <w:rPr>
          <w:i/>
        </w:rPr>
        <w:t> f</w:t>
      </w:r>
      <w:r w:rsidRPr="007B6DA6">
        <w:rPr>
          <w:vertAlign w:val="subscript"/>
        </w:rPr>
        <w:t>cd</w:t>
      </w:r>
      <w:r w:rsidRPr="00E05E29">
        <w:t>) greater or equal to 0,1.</w:t>
      </w:r>
    </w:p>
    <w:p w14:paraId="6D32D9C6" w14:textId="013AC532" w:rsidR="001B7DBE" w:rsidRPr="00E05E29" w:rsidRDefault="001B7DBE" w:rsidP="00724E4E">
      <w:pPr>
        <w:pStyle w:val="Clause"/>
      </w:pPr>
      <w:r w:rsidRPr="00E05E29">
        <w:t>The minimum cross-sectional dimension of primary seismic columns should not be smaller than a) or b):</w:t>
      </w:r>
    </w:p>
    <w:p w14:paraId="52D97F8F" w14:textId="77777777" w:rsidR="001B7DBE" w:rsidRPr="00BD3F09" w:rsidRDefault="001B7DBE" w:rsidP="0080187E">
      <w:pPr>
        <w:pStyle w:val="List2"/>
        <w:numPr>
          <w:ilvl w:val="0"/>
          <w:numId w:val="120"/>
        </w:numPr>
        <w:spacing w:before="0" w:after="240" w:line="230" w:lineRule="atLeast"/>
        <w:contextualSpacing w:val="0"/>
      </w:pPr>
      <w:r w:rsidRPr="00E05E29">
        <w:t xml:space="preserve">If </w:t>
      </w:r>
      <w:r w:rsidRPr="00E05E29">
        <w:rPr>
          <w:i/>
          <w:iCs/>
        </w:rPr>
        <w:t>θ</w:t>
      </w:r>
      <w:r w:rsidRPr="00E05E29">
        <w:t xml:space="preserve"> </w:t>
      </w:r>
      <w:r w:rsidRPr="00E05E29">
        <w:rPr>
          <w:rFonts w:eastAsia="Cambria"/>
        </w:rPr>
        <w:t>≤ 0,05: 200 mm</w:t>
      </w:r>
      <w:r w:rsidRPr="00E05E29">
        <w:t xml:space="preserve"> (where </w:t>
      </w:r>
      <w:r w:rsidRPr="00E05E29">
        <w:rPr>
          <w:i/>
          <w:iCs/>
        </w:rPr>
        <w:t xml:space="preserve">θ </w:t>
      </w:r>
      <w:r w:rsidRPr="00E05E29">
        <w:t xml:space="preserve">is </w:t>
      </w:r>
      <w:r w:rsidRPr="00BD3F09">
        <w:t>defined in 6.2.4(1)).</w:t>
      </w:r>
    </w:p>
    <w:p w14:paraId="7CFF69E3" w14:textId="77777777" w:rsidR="001B7DBE" w:rsidRPr="00E05E29" w:rsidRDefault="001B7DBE" w:rsidP="0080187E">
      <w:pPr>
        <w:pStyle w:val="List2"/>
        <w:numPr>
          <w:ilvl w:val="0"/>
          <w:numId w:val="120"/>
        </w:numPr>
        <w:spacing w:before="0" w:after="240" w:line="230" w:lineRule="atLeast"/>
        <w:contextualSpacing w:val="0"/>
      </w:pPr>
      <w:r w:rsidRPr="00E05E29">
        <w:rPr>
          <w:bCs/>
        </w:rPr>
        <w:t xml:space="preserve">If </w:t>
      </w:r>
      <w:r w:rsidRPr="00E05E29">
        <w:rPr>
          <w:i/>
          <w:iCs/>
        </w:rPr>
        <w:t>θ</w:t>
      </w:r>
      <w:r w:rsidRPr="00E05E29">
        <w:t xml:space="preserve"> &gt; 0,05: the maximum of:</w:t>
      </w:r>
    </w:p>
    <w:p w14:paraId="6D8E1A9B" w14:textId="017F7AA3" w:rsidR="001B7DBE" w:rsidRPr="00E05E29" w:rsidRDefault="001B7DBE" w:rsidP="0080187E">
      <w:pPr>
        <w:pStyle w:val="ListNumber"/>
        <w:numPr>
          <w:ilvl w:val="0"/>
          <w:numId w:val="638"/>
        </w:numPr>
        <w:spacing w:before="0" w:after="240" w:line="230" w:lineRule="atLeast"/>
        <w:ind w:hanging="388"/>
        <w:contextualSpacing w:val="0"/>
      </w:pPr>
      <w:r w:rsidRPr="00E05E29">
        <w:t>one tenth of the longer distance between the point of contraflexure of the deflected shape and the ends of the column, for bending within a plane parallel to the column dimension considered;</w:t>
      </w:r>
    </w:p>
    <w:p w14:paraId="7F9F90EF" w14:textId="77777777" w:rsidR="001B7DBE" w:rsidRPr="00E05E29" w:rsidRDefault="001B7DBE" w:rsidP="0080187E">
      <w:pPr>
        <w:pStyle w:val="ListNumber"/>
        <w:numPr>
          <w:ilvl w:val="0"/>
          <w:numId w:val="638"/>
        </w:numPr>
        <w:spacing w:before="0" w:after="240" w:line="230" w:lineRule="atLeast"/>
        <w:ind w:hanging="388"/>
        <w:contextualSpacing w:val="0"/>
      </w:pPr>
      <w:r w:rsidRPr="00E05E29">
        <w:t>200 mm for DC2 or 250 mm for DC3.</w:t>
      </w:r>
    </w:p>
    <w:p w14:paraId="27881EEE" w14:textId="77777777" w:rsidR="001B7DBE" w:rsidRPr="00E05E29" w:rsidRDefault="001B7DBE" w:rsidP="001B7DBE">
      <w:pPr>
        <w:pStyle w:val="Heading3"/>
      </w:pPr>
      <w:bookmarkStart w:id="6844" w:name="_Toc15632559"/>
      <w:bookmarkStart w:id="6845" w:name="_Toc15661556"/>
      <w:bookmarkStart w:id="6846" w:name="_Toc16091406"/>
      <w:bookmarkStart w:id="6847" w:name="_Toc16531645"/>
      <w:bookmarkStart w:id="6848" w:name="_Toc16590503"/>
      <w:bookmarkStart w:id="6849" w:name="_Toc16598364"/>
      <w:bookmarkStart w:id="6850" w:name="_Toc522279717"/>
      <w:bookmarkStart w:id="6851" w:name="_Toc17934200"/>
      <w:bookmarkStart w:id="6852" w:name="_Toc50150379"/>
      <w:bookmarkStart w:id="6853" w:name="_Toc70886811"/>
      <w:bookmarkStart w:id="6854" w:name="_Toc108342353"/>
      <w:bookmarkStart w:id="6855" w:name="_Toc134197900"/>
      <w:bookmarkEnd w:id="6844"/>
      <w:bookmarkEnd w:id="6845"/>
      <w:bookmarkEnd w:id="6846"/>
      <w:bookmarkEnd w:id="6847"/>
      <w:bookmarkEnd w:id="6848"/>
      <w:bookmarkEnd w:id="6849"/>
      <w:r w:rsidRPr="00E05E29">
        <w:t>Design action effects</w:t>
      </w:r>
      <w:bookmarkEnd w:id="6850"/>
      <w:bookmarkEnd w:id="6851"/>
      <w:bookmarkEnd w:id="6852"/>
      <w:bookmarkEnd w:id="6853"/>
      <w:bookmarkEnd w:id="6854"/>
      <w:bookmarkEnd w:id="6855"/>
    </w:p>
    <w:p w14:paraId="2C175EEA" w14:textId="28353A14" w:rsidR="001B7DBE" w:rsidRPr="00E05E29" w:rsidRDefault="001B7DBE" w:rsidP="0080187E">
      <w:pPr>
        <w:pStyle w:val="Clause"/>
        <w:numPr>
          <w:ilvl w:val="0"/>
          <w:numId w:val="325"/>
        </w:numPr>
      </w:pPr>
      <w:r w:rsidRPr="00E05E29">
        <w:t>In primary seismic columns of DC2 and DC3 the design column axial force should be obtained from Formula (10.5).</w:t>
      </w:r>
    </w:p>
    <w:p w14:paraId="50BAA340" w14:textId="25487387" w:rsidR="00AE23F5" w:rsidRPr="00870D59" w:rsidRDefault="009B5CEC" w:rsidP="00AE23F5">
      <w:pPr>
        <w:pStyle w:val="Formula"/>
        <w:spacing w:before="240"/>
      </w:pPr>
      <m:oMath>
        <m:sSub>
          <m:sSubPr>
            <m:ctrlPr>
              <w:rPr>
                <w:rFonts w:ascii="Cambria Math" w:hAnsi="Cambria Math"/>
              </w:rPr>
            </m:ctrlPr>
          </m:sSubPr>
          <m:e>
            <m:r>
              <w:rPr>
                <w:rFonts w:ascii="Cambria Math" w:hAnsi="Cambria Math"/>
              </w:rPr>
              <m:t>N</m:t>
            </m:r>
          </m:e>
          <m:sub>
            <m:r>
              <m:rPr>
                <m:sty m:val="p"/>
              </m:rPr>
              <w:rPr>
                <w:rFonts w:ascii="Cambria Math" w:hAnsi="Cambria Math"/>
              </w:rPr>
              <m:t>Ed,i</m:t>
            </m:r>
          </m:sub>
        </m:sSub>
        <m:r>
          <w:rPr>
            <w:rFonts w:ascii="Cambria Math" w:hAnsi="Cambria Math"/>
          </w:rPr>
          <m:t>=</m:t>
        </m:r>
        <m:sSub>
          <m:sSubPr>
            <m:ctrlPr>
              <w:rPr>
                <w:rFonts w:ascii="Cambria Math" w:hAnsi="Cambria Math"/>
              </w:rPr>
            </m:ctrlPr>
          </m:sSubPr>
          <m:e>
            <m:r>
              <w:rPr>
                <w:rFonts w:ascii="Cambria Math" w:hAnsi="Cambria Math"/>
              </w:rPr>
              <m:t>N</m:t>
            </m:r>
          </m:e>
          <m:sub>
            <m:r>
              <m:rPr>
                <m:sty m:val="p"/>
              </m:rPr>
              <w:rPr>
                <w:rFonts w:ascii="Cambria Math" w:hAnsi="Cambria Math"/>
              </w:rPr>
              <m:t>Ed,G,i</m:t>
            </m:r>
          </m:sub>
        </m:sSub>
        <m:r>
          <m:rPr>
            <m:nor/>
          </m:rPr>
          <m:t>”+</m:t>
        </m:r>
        <m:r>
          <w:rPr>
            <w:rFonts w:ascii="Cambria Math" w:hAnsi="Cambria Math"/>
          </w:rPr>
          <m:t>” Ω</m:t>
        </m:r>
        <m:sSub>
          <m:sSubPr>
            <m:ctrlPr>
              <w:rPr>
                <w:rFonts w:ascii="Cambria Math" w:hAnsi="Cambria Math"/>
              </w:rPr>
            </m:ctrlPr>
          </m:sSubPr>
          <m:e>
            <m:r>
              <w:rPr>
                <w:rFonts w:ascii="Cambria Math" w:hAnsi="Cambria Math"/>
              </w:rPr>
              <m:t> N</m:t>
            </m:r>
          </m:e>
          <m:sub>
            <m:r>
              <m:rPr>
                <m:sty m:val="p"/>
              </m:rPr>
              <w:rPr>
                <w:rFonts w:ascii="Cambria Math" w:hAnsi="Cambria Math"/>
              </w:rPr>
              <m:t>Ed,E,i</m:t>
            </m:r>
          </m:sub>
        </m:sSub>
      </m:oMath>
      <w:r w:rsidR="00AE23F5" w:rsidRPr="00870D59">
        <w:tab/>
        <w:t>(10.</w:t>
      </w:r>
      <w:r w:rsidR="001955E8">
        <w:t>5</w:t>
      </w:r>
      <w:r w:rsidR="00AE23F5" w:rsidRPr="00870D59">
        <w:t>)</w:t>
      </w:r>
    </w:p>
    <w:p w14:paraId="2315A2FF" w14:textId="77777777" w:rsidR="00AE23F5" w:rsidRPr="00870D59" w:rsidRDefault="00AE23F5" w:rsidP="00AE23F5">
      <w:pPr>
        <w:pStyle w:val="Text"/>
      </w:pPr>
      <w:r w:rsidRPr="00870D59">
        <w:t>where</w:t>
      </w:r>
    </w:p>
    <w:tbl>
      <w:tblPr>
        <w:tblW w:w="0" w:type="auto"/>
        <w:tblInd w:w="346" w:type="dxa"/>
        <w:tblLook w:val="04A0" w:firstRow="1" w:lastRow="0" w:firstColumn="1" w:lastColumn="0" w:noHBand="0" w:noVBand="1"/>
      </w:tblPr>
      <w:tblGrid>
        <w:gridCol w:w="1275"/>
        <w:gridCol w:w="7938"/>
      </w:tblGrid>
      <w:tr w:rsidR="00AE23F5" w:rsidRPr="00870D59" w14:paraId="2F9B2E43" w14:textId="77777777" w:rsidTr="0080187E">
        <w:tc>
          <w:tcPr>
            <w:tcW w:w="1275" w:type="dxa"/>
          </w:tcPr>
          <w:p w14:paraId="101AD4D3" w14:textId="1103C6E0" w:rsidR="00AE23F5" w:rsidRPr="00870D59" w:rsidRDefault="001955E8" w:rsidP="002061E5">
            <w:pPr>
              <w:spacing w:after="60"/>
              <w:rPr>
                <w:rFonts w:eastAsia="Times New Roman" w:cs="Cambria"/>
                <w:szCs w:val="20"/>
                <w:lang w:eastAsia="fr-FR"/>
              </w:rPr>
            </w:pPr>
            <w:r w:rsidRPr="00D1484A">
              <w:rPr>
                <w:i/>
                <w:iCs/>
              </w:rPr>
              <w:t>N</w:t>
            </w:r>
            <w:r w:rsidRPr="00D1484A">
              <w:rPr>
                <w:vertAlign w:val="subscript"/>
              </w:rPr>
              <w:t>Ed,G,</w:t>
            </w:r>
            <w:r>
              <w:rPr>
                <w:vertAlign w:val="subscript"/>
              </w:rPr>
              <w:t>i</w:t>
            </w:r>
          </w:p>
        </w:tc>
        <w:tc>
          <w:tcPr>
            <w:tcW w:w="7938" w:type="dxa"/>
          </w:tcPr>
          <w:p w14:paraId="7063615D" w14:textId="71262A85" w:rsidR="00AE23F5" w:rsidRPr="00870D59" w:rsidRDefault="001955E8" w:rsidP="002061E5">
            <w:pPr>
              <w:spacing w:after="60"/>
              <w:rPr>
                <w:rFonts w:eastAsia="Times New Roman" w:cs="Cambria"/>
                <w:szCs w:val="20"/>
                <w:lang w:eastAsia="fr-FR"/>
              </w:rPr>
            </w:pPr>
            <w:r w:rsidRPr="00D1484A">
              <w:t>is the column axial force fraction due to the gravity loads in the seismic design situation;</w:t>
            </w:r>
          </w:p>
        </w:tc>
      </w:tr>
      <w:tr w:rsidR="00AE23F5" w:rsidRPr="00870D59" w14:paraId="27F31824" w14:textId="77777777" w:rsidTr="0080187E">
        <w:tc>
          <w:tcPr>
            <w:tcW w:w="1275" w:type="dxa"/>
          </w:tcPr>
          <w:p w14:paraId="6F4A9562" w14:textId="7C43F838" w:rsidR="00AE23F5" w:rsidRPr="00870D59" w:rsidRDefault="001955E8" w:rsidP="002061E5">
            <w:pPr>
              <w:spacing w:after="60"/>
              <w:rPr>
                <w:rFonts w:ascii="Symbol" w:hAnsi="Symbol"/>
                <w:i/>
                <w:color w:val="000000" w:themeColor="text1"/>
              </w:rPr>
            </w:pPr>
            <w:r w:rsidRPr="00D1484A">
              <w:rPr>
                <w:i/>
                <w:iCs/>
              </w:rPr>
              <w:t>N</w:t>
            </w:r>
            <w:r w:rsidRPr="007E6F67">
              <w:rPr>
                <w:vertAlign w:val="subscript"/>
              </w:rPr>
              <w:t>Ed,E,</w:t>
            </w:r>
            <w:r>
              <w:rPr>
                <w:vertAlign w:val="subscript"/>
              </w:rPr>
              <w:t>i</w:t>
            </w:r>
          </w:p>
        </w:tc>
        <w:tc>
          <w:tcPr>
            <w:tcW w:w="7938" w:type="dxa"/>
          </w:tcPr>
          <w:p w14:paraId="1B51B0AA" w14:textId="448D5A85" w:rsidR="00AE23F5" w:rsidRPr="00870D59" w:rsidRDefault="001955E8" w:rsidP="002061E5">
            <w:pPr>
              <w:rPr>
                <w:color w:val="000000" w:themeColor="text1"/>
              </w:rPr>
            </w:pPr>
            <w:r w:rsidRPr="00E05E29">
              <w:t>is the column axial force fraction due to the seismic action in the seismic design situation;</w:t>
            </w:r>
          </w:p>
        </w:tc>
      </w:tr>
      <w:tr w:rsidR="00AE23F5" w:rsidRPr="00870D59" w14:paraId="14F25FFD" w14:textId="77777777" w:rsidTr="0080187E">
        <w:tc>
          <w:tcPr>
            <w:tcW w:w="1275" w:type="dxa"/>
          </w:tcPr>
          <w:p w14:paraId="33F1E144" w14:textId="72CE9EBD" w:rsidR="00AE23F5" w:rsidRDefault="001955E8" w:rsidP="002061E5">
            <w:pPr>
              <w:spacing w:after="60"/>
            </w:pPr>
            <w:r w:rsidRPr="00E05E29">
              <w:rPr>
                <w:i/>
                <w:iCs/>
              </w:rPr>
              <w:t>Ω</w:t>
            </w:r>
          </w:p>
        </w:tc>
        <w:tc>
          <w:tcPr>
            <w:tcW w:w="7938" w:type="dxa"/>
          </w:tcPr>
          <w:p w14:paraId="615BAC6B" w14:textId="20F8DC0F" w:rsidR="00AE23F5" w:rsidRPr="00870D59" w:rsidRDefault="001955E8" w:rsidP="002061E5">
            <w:r w:rsidRPr="00E05E29">
              <w:t>is the magnification factor of the column axial force, which may be taken equal to 2,0;</w:t>
            </w:r>
          </w:p>
        </w:tc>
      </w:tr>
      <w:tr w:rsidR="00AE23F5" w:rsidRPr="00870D59" w14:paraId="68FA989A" w14:textId="77777777" w:rsidTr="0080187E">
        <w:tc>
          <w:tcPr>
            <w:tcW w:w="1275" w:type="dxa"/>
          </w:tcPr>
          <w:p w14:paraId="31591B97" w14:textId="2F880DFC" w:rsidR="00AE23F5" w:rsidRDefault="001955E8" w:rsidP="002061E5">
            <w:pPr>
              <w:spacing w:after="60"/>
            </w:pPr>
            <w:r>
              <w:t>“</w:t>
            </w:r>
            <w:r w:rsidRPr="00E05E29">
              <w:t>+</w:t>
            </w:r>
            <w:r>
              <w:t>”</w:t>
            </w:r>
          </w:p>
        </w:tc>
        <w:tc>
          <w:tcPr>
            <w:tcW w:w="7938" w:type="dxa"/>
          </w:tcPr>
          <w:p w14:paraId="42844FEA" w14:textId="750D70A2" w:rsidR="00AE23F5" w:rsidRPr="00870D59" w:rsidRDefault="001955E8" w:rsidP="002061E5">
            <w:r w:rsidRPr="00E05E29">
              <w:t>means combined with + or – sign.</w:t>
            </w:r>
          </w:p>
        </w:tc>
      </w:tr>
    </w:tbl>
    <w:p w14:paraId="4F7831FB" w14:textId="77CA3409" w:rsidR="001955E8" w:rsidRPr="00E05E29" w:rsidRDefault="001955E8" w:rsidP="00724E4E">
      <w:pPr>
        <w:pStyle w:val="Clause"/>
      </w:pPr>
      <w:r w:rsidRPr="00E05E29">
        <w:lastRenderedPageBreak/>
        <w:t>For DC2 and DC3, in primary seismic columns</w:t>
      </w:r>
      <w:r w:rsidRPr="004030A7">
        <w:rPr>
          <w:vertAlign w:val="subscript"/>
        </w:rPr>
        <w:t>,</w:t>
      </w:r>
      <w:r w:rsidRPr="00E05E29">
        <w:t xml:space="preserve"> the design shear forces </w:t>
      </w:r>
      <w:r w:rsidRPr="004030A7">
        <w:rPr>
          <w:i/>
        </w:rPr>
        <w:t>V</w:t>
      </w:r>
      <w:r w:rsidRPr="004030A7">
        <w:rPr>
          <w:vertAlign w:val="subscript"/>
        </w:rPr>
        <w:t>i,d</w:t>
      </w:r>
      <w:r w:rsidRPr="00E05E29">
        <w:t xml:space="preserve"> should be determined on the basis of equilibrium of the column under end moments </w:t>
      </w:r>
      <w:r w:rsidRPr="004030A7">
        <w:rPr>
          <w:i/>
        </w:rPr>
        <w:t>M</w:t>
      </w:r>
      <w:r w:rsidRPr="004030A7">
        <w:rPr>
          <w:vertAlign w:val="subscript"/>
        </w:rPr>
        <w:t>i,d</w:t>
      </w:r>
      <w:r w:rsidRPr="00E05E29">
        <w:t xml:space="preserve"> (</w:t>
      </w:r>
      <w:r w:rsidRPr="004030A7">
        <w:rPr>
          <w:rFonts w:ascii="AODJCD+TimesNewRoman,Italic" w:hAnsi="AODJCD+TimesNewRoman,Italic" w:cs="AODJCD+TimesNewRoman,Italic"/>
          <w:i/>
        </w:rPr>
        <w:t>i</w:t>
      </w:r>
      <w:r w:rsidRPr="004030A7">
        <w:rPr>
          <w:rFonts w:ascii="AODJCD+TimesNewRoman,Italic" w:hAnsi="AODJCD+TimesNewRoman,Italic" w:cs="AODJCD+TimesNewRoman,Italic"/>
        </w:rPr>
        <w:t xml:space="preserve"> </w:t>
      </w:r>
      <w:r w:rsidRPr="00E05E29">
        <w:t>= 1, 2 denoting the end sections), calculated from Formula (10.6), corresponding to plastic hinge formation for positive and negative directions of the response (Figure 10.4):</w:t>
      </w:r>
    </w:p>
    <w:p w14:paraId="701267DA" w14:textId="208DFF2C" w:rsidR="001955E8" w:rsidRPr="00870D59" w:rsidRDefault="009B5CEC" w:rsidP="001955E8">
      <w:pPr>
        <w:pStyle w:val="Formula"/>
        <w:spacing w:before="240"/>
      </w:pPr>
      <m:oMath>
        <m:sSub>
          <m:sSubPr>
            <m:ctrlPr>
              <w:rPr>
                <w:rFonts w:ascii="Cambria Math" w:hAnsi="Cambria Math"/>
              </w:rPr>
            </m:ctrlPr>
          </m:sSubPr>
          <m:e>
            <m:r>
              <w:rPr>
                <w:rFonts w:ascii="Cambria Math" w:hAnsi="Cambria Math"/>
              </w:rPr>
              <m:t>M</m:t>
            </m:r>
          </m:e>
          <m:sub>
            <m:r>
              <m:rPr>
                <m:sty m:val="p"/>
              </m:rPr>
              <w:rPr>
                <w:rFonts w:ascii="Cambria Math" w:hAnsi="Cambria Math"/>
              </w:rPr>
              <m:t>i,d</m:t>
            </m:r>
          </m:sub>
        </m:sSub>
        <m:r>
          <w:rPr>
            <w:rFonts w:ascii="Cambria Math" w:hAnsi="Cambria Math"/>
          </w:rPr>
          <m:t>=</m:t>
        </m:r>
        <m:d>
          <m:dPr>
            <m:begChr m:val="{"/>
            <m:endChr m:val=""/>
            <m:ctrlPr>
              <w:rPr>
                <w:rFonts w:ascii="Cambria Math" w:hAnsi="Cambria Math"/>
              </w:rPr>
            </m:ctrlPr>
          </m:dPr>
          <m:e>
            <m:m>
              <m:mPr>
                <m:mcs>
                  <m:mc>
                    <m:mcPr>
                      <m:count m:val="2"/>
                      <m:mcJc m:val="center"/>
                    </m:mcPr>
                  </m:mc>
                </m:mcs>
                <m:ctrlPr>
                  <w:rPr>
                    <w:rFonts w:ascii="Cambria Math" w:hAnsi="Cambria Math"/>
                  </w:rPr>
                </m:ctrlPr>
              </m:mPr>
              <m:mr>
                <m:e>
                  <m:sSub>
                    <m:sSubPr>
                      <m:ctrlPr>
                        <w:rPr>
                          <w:rFonts w:ascii="Cambria Math" w:hAnsi="Cambria Math"/>
                        </w:rPr>
                      </m:ctrlPr>
                    </m:sSubPr>
                    <m:e>
                      <m:r>
                        <w:rPr>
                          <w:rFonts w:ascii="Cambria Math" w:hAnsi="Cambria Math"/>
                        </w:rPr>
                        <m:t>γ</m:t>
                      </m:r>
                    </m:e>
                    <m:sub>
                      <m:r>
                        <m:rPr>
                          <m:sty m:val="p"/>
                        </m:rPr>
                        <w:rPr>
                          <w:rFonts w:ascii="Cambria Math" w:hAnsi="Cambria Math"/>
                        </w:rPr>
                        <m:t>Rd</m:t>
                      </m:r>
                    </m:sub>
                  </m:sSub>
                  <m:sSub>
                    <m:sSubPr>
                      <m:ctrlPr>
                        <w:rPr>
                          <w:rFonts w:ascii="Cambria Math" w:hAnsi="Cambria Math"/>
                        </w:rPr>
                      </m:ctrlPr>
                    </m:sSubPr>
                    <m:e>
                      <m:r>
                        <w:rPr>
                          <w:rFonts w:ascii="Cambria Math" w:hAnsi="Cambria Math"/>
                        </w:rPr>
                        <m:t>M</m:t>
                      </m:r>
                    </m:e>
                    <m:sub>
                      <m:r>
                        <m:rPr>
                          <m:sty m:val="p"/>
                        </m:rPr>
                        <w:rPr>
                          <w:rFonts w:ascii="Cambria Math" w:hAnsi="Cambria Math"/>
                        </w:rPr>
                        <m:t>Rd,c,i</m:t>
                      </m:r>
                    </m:sub>
                  </m:sSub>
                  <m:d>
                    <m:dPr>
                      <m:ctrlPr>
                        <w:rPr>
                          <w:rFonts w:ascii="Cambria Math" w:hAnsi="Cambria Math"/>
                        </w:rPr>
                      </m:ctrlPr>
                    </m:dPr>
                    <m:e>
                      <m:f>
                        <m:fPr>
                          <m:type m:val="lin"/>
                          <m:ctrlPr>
                            <w:rPr>
                              <w:rFonts w:ascii="Cambria Math" w:hAnsi="Cambria Math"/>
                            </w:rPr>
                          </m:ctrlPr>
                        </m:fPr>
                        <m:num>
                          <m:sSub>
                            <m:sSubPr>
                              <m:ctrlPr>
                                <w:rPr>
                                  <w:rFonts w:ascii="Cambria Math" w:hAnsi="Cambria Math"/>
                                </w:rPr>
                              </m:ctrlPr>
                            </m:sSubPr>
                            <m:e>
                              <m:r>
                                <w:rPr>
                                  <w:rFonts w:ascii="Cambria Math" w:hAnsi="Cambria Math"/>
                                </w:rPr>
                                <m:t>∑M</m:t>
                              </m:r>
                            </m:e>
                            <m:sub>
                              <m:r>
                                <m:rPr>
                                  <m:sty m:val="p"/>
                                </m:rPr>
                                <w:rPr>
                                  <w:rFonts w:ascii="Cambria Math" w:hAnsi="Cambria Math"/>
                                </w:rPr>
                                <m:t>Rdb</m:t>
                              </m:r>
                            </m:sub>
                          </m:sSub>
                        </m:num>
                        <m:den>
                          <m:sSub>
                            <m:sSubPr>
                              <m:ctrlPr>
                                <w:rPr>
                                  <w:rFonts w:ascii="Cambria Math" w:hAnsi="Cambria Math"/>
                                </w:rPr>
                              </m:ctrlPr>
                            </m:sSubPr>
                            <m:e>
                              <m:r>
                                <w:rPr>
                                  <w:rFonts w:ascii="Cambria Math" w:hAnsi="Cambria Math"/>
                                </w:rPr>
                                <m:t>∑M</m:t>
                              </m:r>
                            </m:e>
                            <m:sub>
                              <m:r>
                                <m:rPr>
                                  <m:sty m:val="p"/>
                                </m:rPr>
                                <w:rPr>
                                  <w:rFonts w:ascii="Cambria Math" w:hAnsi="Cambria Math"/>
                                </w:rPr>
                                <m:t>Rdc</m:t>
                              </m:r>
                            </m:sub>
                          </m:sSub>
                        </m:den>
                      </m:f>
                    </m:e>
                  </m:d>
                </m:e>
                <m:e>
                  <m:r>
                    <w:rPr>
                      <w:rFonts w:ascii="Cambria Math" w:hAnsi="Cambria Math"/>
                    </w:rPr>
                    <m:t xml:space="preserve">  if  </m:t>
                  </m:r>
                  <m:sSub>
                    <m:sSubPr>
                      <m:ctrlPr>
                        <w:rPr>
                          <w:rFonts w:ascii="Cambria Math" w:hAnsi="Cambria Math"/>
                        </w:rPr>
                      </m:ctrlPr>
                    </m:sSubPr>
                    <m:e>
                      <m:r>
                        <w:rPr>
                          <w:rFonts w:ascii="Cambria Math" w:hAnsi="Cambria Math"/>
                        </w:rPr>
                        <m:t>∑M</m:t>
                      </m:r>
                    </m:e>
                    <m:sub>
                      <m:r>
                        <m:rPr>
                          <m:sty m:val="p"/>
                        </m:rPr>
                        <w:rPr>
                          <w:rFonts w:ascii="Cambria Math" w:hAnsi="Cambria Math"/>
                        </w:rPr>
                        <m:t>Rd,b</m:t>
                      </m:r>
                    </m:sub>
                  </m:sSub>
                  <m:r>
                    <w:rPr>
                      <w:rFonts w:ascii="Cambria Math" w:hAnsi="Cambria Math"/>
                    </w:rPr>
                    <m:t>&lt;</m:t>
                  </m:r>
                  <m:sSub>
                    <m:sSubPr>
                      <m:ctrlPr>
                        <w:rPr>
                          <w:rFonts w:ascii="Cambria Math" w:hAnsi="Cambria Math"/>
                        </w:rPr>
                      </m:ctrlPr>
                    </m:sSubPr>
                    <m:e>
                      <m:r>
                        <w:rPr>
                          <w:rFonts w:ascii="Cambria Math" w:hAnsi="Cambria Math"/>
                        </w:rPr>
                        <m:t>∑M</m:t>
                      </m:r>
                    </m:e>
                    <m:sub>
                      <m:r>
                        <m:rPr>
                          <m:sty m:val="p"/>
                        </m:rPr>
                        <w:rPr>
                          <w:rFonts w:ascii="Cambria Math" w:hAnsi="Cambria Math"/>
                        </w:rPr>
                        <m:t>Rd,c</m:t>
                      </m:r>
                    </m:sub>
                  </m:sSub>
                </m:e>
              </m:mr>
              <m:mr>
                <m:e>
                  <m:sSub>
                    <m:sSubPr>
                      <m:ctrlPr>
                        <w:rPr>
                          <w:rFonts w:ascii="Cambria Math" w:hAnsi="Cambria Math"/>
                        </w:rPr>
                      </m:ctrlPr>
                    </m:sSubPr>
                    <m:e>
                      <m:r>
                        <w:rPr>
                          <w:rFonts w:ascii="Cambria Math" w:hAnsi="Cambria Math"/>
                        </w:rPr>
                        <m:t>γ</m:t>
                      </m:r>
                    </m:e>
                    <m:sub>
                      <m:r>
                        <m:rPr>
                          <m:sty m:val="p"/>
                        </m:rPr>
                        <w:rPr>
                          <w:rFonts w:ascii="Cambria Math" w:hAnsi="Cambria Math"/>
                        </w:rPr>
                        <m:t>Rd</m:t>
                      </m:r>
                    </m:sub>
                  </m:sSub>
                  <m:sSub>
                    <m:sSubPr>
                      <m:ctrlPr>
                        <w:rPr>
                          <w:rFonts w:ascii="Cambria Math" w:hAnsi="Cambria Math"/>
                        </w:rPr>
                      </m:ctrlPr>
                    </m:sSubPr>
                    <m:e>
                      <m:r>
                        <w:rPr>
                          <w:rFonts w:ascii="Cambria Math" w:hAnsi="Cambria Math"/>
                        </w:rPr>
                        <m:t>M</m:t>
                      </m:r>
                    </m:e>
                    <m:sub>
                      <m:r>
                        <m:rPr>
                          <m:sty m:val="p"/>
                        </m:rPr>
                        <w:rPr>
                          <w:rFonts w:ascii="Cambria Math" w:hAnsi="Cambria Math"/>
                        </w:rPr>
                        <m:t>Rd,c,i</m:t>
                      </m:r>
                    </m:sub>
                  </m:sSub>
                  <m:r>
                    <w:rPr>
                      <w:rFonts w:ascii="Cambria Math" w:hAnsi="Cambria Math"/>
                    </w:rPr>
                    <m:t xml:space="preserve">                             </m:t>
                  </m:r>
                </m:e>
                <m:e>
                  <m:r>
                    <w:rPr>
                      <w:rFonts w:ascii="Cambria Math" w:hAnsi="Cambria Math"/>
                    </w:rPr>
                    <m:t xml:space="preserve">   if </m:t>
                  </m:r>
                  <m:sSub>
                    <m:sSubPr>
                      <m:ctrlPr>
                        <w:rPr>
                          <w:rFonts w:ascii="Cambria Math" w:hAnsi="Cambria Math"/>
                        </w:rPr>
                      </m:ctrlPr>
                    </m:sSubPr>
                    <m:e>
                      <m:r>
                        <w:rPr>
                          <w:rFonts w:ascii="Cambria Math" w:hAnsi="Cambria Math"/>
                        </w:rPr>
                        <m:t xml:space="preserve"> ∑M</m:t>
                      </m:r>
                    </m:e>
                    <m:sub>
                      <m:r>
                        <m:rPr>
                          <m:sty m:val="p"/>
                        </m:rPr>
                        <w:rPr>
                          <w:rFonts w:ascii="Cambria Math" w:hAnsi="Cambria Math"/>
                        </w:rPr>
                        <m:t>Rd,b</m:t>
                      </m:r>
                    </m:sub>
                  </m:sSub>
                  <m:r>
                    <w:rPr>
                      <w:rFonts w:ascii="Cambria Math" w:hAnsi="Cambria Math"/>
                    </w:rPr>
                    <m:t>&gt;</m:t>
                  </m:r>
                  <m:sSub>
                    <m:sSubPr>
                      <m:ctrlPr>
                        <w:rPr>
                          <w:rFonts w:ascii="Cambria Math" w:hAnsi="Cambria Math"/>
                        </w:rPr>
                      </m:ctrlPr>
                    </m:sSubPr>
                    <m:e>
                      <m:r>
                        <w:rPr>
                          <w:rFonts w:ascii="Cambria Math" w:hAnsi="Cambria Math"/>
                        </w:rPr>
                        <m:t>∑M</m:t>
                      </m:r>
                    </m:e>
                    <m:sub>
                      <m:r>
                        <m:rPr>
                          <m:sty m:val="p"/>
                        </m:rPr>
                        <w:rPr>
                          <w:rFonts w:ascii="Cambria Math" w:hAnsi="Cambria Math"/>
                        </w:rPr>
                        <m:t>Rd,c</m:t>
                      </m:r>
                    </m:sub>
                  </m:sSub>
                </m:e>
              </m:mr>
            </m:m>
          </m:e>
        </m:d>
      </m:oMath>
      <w:r w:rsidR="001955E8" w:rsidRPr="00870D59">
        <w:tab/>
        <w:t>(10.</w:t>
      </w:r>
      <w:r w:rsidR="001955E8">
        <w:t>6</w:t>
      </w:r>
      <w:r w:rsidR="001955E8" w:rsidRPr="00870D59">
        <w:t>)</w:t>
      </w:r>
    </w:p>
    <w:p w14:paraId="0D2700E6" w14:textId="77777777" w:rsidR="001955E8" w:rsidRPr="00870D59" w:rsidRDefault="001955E8" w:rsidP="001955E8">
      <w:pPr>
        <w:pStyle w:val="Text"/>
      </w:pPr>
      <w:r w:rsidRPr="00870D59">
        <w:t>where</w:t>
      </w:r>
    </w:p>
    <w:tbl>
      <w:tblPr>
        <w:tblW w:w="0" w:type="auto"/>
        <w:tblInd w:w="346" w:type="dxa"/>
        <w:tblLook w:val="04A0" w:firstRow="1" w:lastRow="0" w:firstColumn="1" w:lastColumn="0" w:noHBand="0" w:noVBand="1"/>
      </w:tblPr>
      <w:tblGrid>
        <w:gridCol w:w="1275"/>
        <w:gridCol w:w="7938"/>
      </w:tblGrid>
      <w:tr w:rsidR="001955E8" w:rsidRPr="00870D59" w14:paraId="2CF47166" w14:textId="77777777" w:rsidTr="0080187E">
        <w:tc>
          <w:tcPr>
            <w:tcW w:w="1275" w:type="dxa"/>
          </w:tcPr>
          <w:p w14:paraId="2C5A1DD8" w14:textId="2E74280A" w:rsidR="001955E8" w:rsidRPr="00870D59" w:rsidRDefault="001955E8" w:rsidP="002061E5">
            <w:pPr>
              <w:spacing w:after="60"/>
              <w:rPr>
                <w:rFonts w:eastAsia="Times New Roman" w:cs="Cambria"/>
                <w:szCs w:val="20"/>
                <w:lang w:eastAsia="fr-FR"/>
              </w:rPr>
            </w:pPr>
            <w:r w:rsidRPr="00D1484A">
              <w:rPr>
                <w:i/>
                <w:iCs/>
              </w:rPr>
              <w:t>γ</w:t>
            </w:r>
            <w:r w:rsidRPr="00D1484A">
              <w:rPr>
                <w:vertAlign w:val="subscript"/>
              </w:rPr>
              <w:t>Rd</w:t>
            </w:r>
          </w:p>
        </w:tc>
        <w:tc>
          <w:tcPr>
            <w:tcW w:w="7938" w:type="dxa"/>
          </w:tcPr>
          <w:p w14:paraId="1837BA58" w14:textId="64CEB464" w:rsidR="001955E8" w:rsidRPr="00870D59" w:rsidRDefault="001955E8" w:rsidP="002061E5">
            <w:pPr>
              <w:spacing w:after="60"/>
              <w:rPr>
                <w:rFonts w:eastAsia="Times New Roman" w:cs="Cambria"/>
                <w:szCs w:val="20"/>
                <w:lang w:eastAsia="fr-FR"/>
              </w:rPr>
            </w:pPr>
            <w:r w:rsidRPr="00D1484A">
              <w:t>accounts for overstrength due to strain hardening and confinement and</w:t>
            </w:r>
            <w:r w:rsidRPr="007E6F67">
              <w:t xml:space="preserve"> may be taken equal to 1,1;</w:t>
            </w:r>
          </w:p>
        </w:tc>
      </w:tr>
      <w:tr w:rsidR="001955E8" w:rsidRPr="00870D59" w14:paraId="2591ABE1" w14:textId="77777777" w:rsidTr="0080187E">
        <w:tc>
          <w:tcPr>
            <w:tcW w:w="1275" w:type="dxa"/>
          </w:tcPr>
          <w:p w14:paraId="38AF2F12" w14:textId="085108D2" w:rsidR="001955E8" w:rsidRPr="00870D59" w:rsidRDefault="001955E8" w:rsidP="002061E5">
            <w:pPr>
              <w:spacing w:after="60"/>
              <w:rPr>
                <w:rFonts w:ascii="Symbol" w:hAnsi="Symbol"/>
                <w:i/>
                <w:color w:val="000000" w:themeColor="text1"/>
              </w:rPr>
            </w:pPr>
            <w:r w:rsidRPr="00644C3D">
              <w:rPr>
                <w:i/>
                <w:iCs/>
              </w:rPr>
              <w:t>M</w:t>
            </w:r>
            <w:r w:rsidRPr="00E05E29">
              <w:rPr>
                <w:vertAlign w:val="subscript"/>
              </w:rPr>
              <w:t>Rd,c,i</w:t>
            </w:r>
          </w:p>
        </w:tc>
        <w:tc>
          <w:tcPr>
            <w:tcW w:w="7938" w:type="dxa"/>
          </w:tcPr>
          <w:p w14:paraId="33AD9749" w14:textId="226D543A" w:rsidR="001955E8" w:rsidRPr="00870D59" w:rsidRDefault="001955E8" w:rsidP="002061E5">
            <w:pPr>
              <w:rPr>
                <w:color w:val="000000" w:themeColor="text1"/>
              </w:rPr>
            </w:pPr>
            <w:r w:rsidRPr="00E05E29">
              <w:t xml:space="preserve">is the design value of the column resisting moment at end </w:t>
            </w:r>
            <w:r w:rsidRPr="00E05E29">
              <w:rPr>
                <w:i/>
                <w:iCs/>
              </w:rPr>
              <w:t>i</w:t>
            </w:r>
            <w:r w:rsidRPr="00E05E29">
              <w:t>.</w:t>
            </w:r>
          </w:p>
        </w:tc>
      </w:tr>
      <w:tr w:rsidR="001955E8" w:rsidRPr="00870D59" w14:paraId="14F8980A" w14:textId="77777777" w:rsidTr="0080187E">
        <w:tc>
          <w:tcPr>
            <w:tcW w:w="1275" w:type="dxa"/>
          </w:tcPr>
          <w:p w14:paraId="607BA0D7" w14:textId="23B4C3E1" w:rsidR="001955E8" w:rsidRDefault="001955E8" w:rsidP="00BD3F09">
            <w:pPr>
              <w:spacing w:after="60"/>
              <w:jc w:val="left"/>
            </w:pPr>
            <w:r w:rsidRPr="00E05E29">
              <w:t>Σ</w:t>
            </w:r>
            <w:r w:rsidRPr="00E05E29">
              <w:rPr>
                <w:i/>
                <w:iCs/>
              </w:rPr>
              <w:t>M</w:t>
            </w:r>
            <w:r w:rsidRPr="00E05E29">
              <w:rPr>
                <w:vertAlign w:val="subscript"/>
              </w:rPr>
              <w:t>Rd,c</w:t>
            </w:r>
            <w:r w:rsidRPr="00E05E29">
              <w:t xml:space="preserve"> and Σ</w:t>
            </w:r>
            <w:r w:rsidRPr="00E05E29">
              <w:rPr>
                <w:i/>
                <w:iCs/>
              </w:rPr>
              <w:t>M</w:t>
            </w:r>
            <w:r w:rsidRPr="00E05E29">
              <w:rPr>
                <w:vertAlign w:val="subscript"/>
              </w:rPr>
              <w:t>Rd,b</w:t>
            </w:r>
          </w:p>
        </w:tc>
        <w:tc>
          <w:tcPr>
            <w:tcW w:w="7938" w:type="dxa"/>
          </w:tcPr>
          <w:p w14:paraId="01D64A9A" w14:textId="6662101E" w:rsidR="001955E8" w:rsidRPr="00870D59" w:rsidRDefault="001955E8" w:rsidP="002061E5">
            <w:r w:rsidRPr="00E05E29">
              <w:t xml:space="preserve">are defined </w:t>
            </w:r>
            <w:r w:rsidRPr="00BD3F09">
              <w:t xml:space="preserve">in </w:t>
            </w:r>
            <w:r w:rsidRPr="00BD3F09">
              <w:rPr>
                <w:rFonts w:eastAsia="Cambria"/>
              </w:rPr>
              <w:t>10.5.3.1(1)b).</w:t>
            </w:r>
          </w:p>
        </w:tc>
      </w:tr>
    </w:tbl>
    <w:p w14:paraId="72E7A3AB" w14:textId="08B6D3D5" w:rsidR="001955E8" w:rsidRPr="00E05E29" w:rsidRDefault="001955E8" w:rsidP="00724E4E">
      <w:pPr>
        <w:pStyle w:val="Clause"/>
      </w:pPr>
      <w:r w:rsidRPr="00E05E29">
        <w:t>The value</w:t>
      </w:r>
      <w:r w:rsidRPr="004030A7">
        <w:rPr>
          <w:strike/>
        </w:rPr>
        <w:t>s</w:t>
      </w:r>
      <w:r w:rsidRPr="00E05E29">
        <w:t xml:space="preserve"> of </w:t>
      </w:r>
      <w:r w:rsidRPr="004030A7">
        <w:rPr>
          <w:i/>
          <w:iCs/>
        </w:rPr>
        <w:t>M</w:t>
      </w:r>
      <w:r w:rsidRPr="004030A7">
        <w:rPr>
          <w:vertAlign w:val="subscript"/>
        </w:rPr>
        <w:t>Rd,c,i</w:t>
      </w:r>
      <w:r w:rsidRPr="00E05E29">
        <w:t xml:space="preserve"> and Σ</w:t>
      </w:r>
      <w:r w:rsidRPr="004030A7">
        <w:rPr>
          <w:i/>
          <w:iCs/>
        </w:rPr>
        <w:t>M</w:t>
      </w:r>
      <w:r w:rsidRPr="004030A7">
        <w:rPr>
          <w:vertAlign w:val="subscript"/>
        </w:rPr>
        <w:t>Rd,c</w:t>
      </w:r>
      <w:r w:rsidRPr="00E05E29">
        <w:t xml:space="preserve"> should correspond to the column axial force </w:t>
      </w:r>
      <w:r w:rsidRPr="004030A7">
        <w:rPr>
          <w:i/>
          <w:iCs/>
        </w:rPr>
        <w:t>N</w:t>
      </w:r>
      <w:r w:rsidRPr="004030A7">
        <w:rPr>
          <w:i/>
          <w:iCs/>
          <w:vertAlign w:val="subscript"/>
        </w:rPr>
        <w:t>Ed,I</w:t>
      </w:r>
      <w:r w:rsidRPr="00E05E29">
        <w:t xml:space="preserve"> from Formula (10.5) for the considered sense of seismic response.</w:t>
      </w:r>
    </w:p>
    <w:p w14:paraId="3B7ED00E" w14:textId="5199826E" w:rsidR="001955E8" w:rsidRPr="00132C1E" w:rsidRDefault="00EA5F83" w:rsidP="00EA5F83">
      <w:pPr>
        <w:pStyle w:val="FigureImage"/>
      </w:pPr>
      <w:r>
        <w:rPr>
          <w:noProof/>
        </w:rPr>
        <w:drawing>
          <wp:inline distT="0" distB="0" distL="0" distR="0" wp14:anchorId="092D8BFB" wp14:editId="3977483F">
            <wp:extent cx="1260350" cy="3185165"/>
            <wp:effectExtent l="0" t="0" r="0" b="0"/>
            <wp:docPr id="35" name="0008.tiff"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0008.tiff" descr="Shape&#10;&#10;Description automatically generated with low confidence"/>
                    <pic:cNvPicPr/>
                  </pic:nvPicPr>
                  <pic:blipFill>
                    <a:blip r:link="rId23"/>
                    <a:stretch>
                      <a:fillRect/>
                    </a:stretch>
                  </pic:blipFill>
                  <pic:spPr>
                    <a:xfrm>
                      <a:off x="0" y="0"/>
                      <a:ext cx="1260350" cy="3185165"/>
                    </a:xfrm>
                    <a:prstGeom prst="rect">
                      <a:avLst/>
                    </a:prstGeom>
                  </pic:spPr>
                </pic:pic>
              </a:graphicData>
            </a:graphic>
          </wp:inline>
        </w:drawing>
      </w:r>
    </w:p>
    <w:p w14:paraId="0B008986" w14:textId="00F49A29" w:rsidR="001955E8" w:rsidRPr="00D1484A" w:rsidRDefault="001955E8" w:rsidP="001955E8">
      <w:pPr>
        <w:pStyle w:val="Figuretitle"/>
      </w:pPr>
      <w:r w:rsidRPr="00D1484A">
        <w:t xml:space="preserve">Figure </w:t>
      </w:r>
      <w:r>
        <w:t>10</w:t>
      </w:r>
      <w:r w:rsidRPr="00132C1E">
        <w:t>.</w:t>
      </w:r>
      <w:r>
        <w:t>4</w:t>
      </w:r>
      <w:r w:rsidRPr="00132C1E">
        <w:t> </w:t>
      </w:r>
      <w:r w:rsidRPr="00D1484A">
        <w:rPr>
          <w:rFonts w:ascii="`ÃÍœ˛" w:eastAsia="Cambria" w:hAnsi="`ÃÍœ˛" w:cs="`ÃÍœ˛"/>
          <w:szCs w:val="22"/>
          <w:lang w:eastAsia="de-DE"/>
        </w:rPr>
        <w:t>—</w:t>
      </w:r>
      <w:r w:rsidRPr="00D1484A">
        <w:t> Determination of capacity design shear forces in columns</w:t>
      </w:r>
    </w:p>
    <w:p w14:paraId="2EA88464" w14:textId="77777777" w:rsidR="001955E8" w:rsidRPr="00FD17CF" w:rsidRDefault="001955E8" w:rsidP="001955E8">
      <w:pPr>
        <w:pStyle w:val="Heading3"/>
      </w:pPr>
      <w:bookmarkStart w:id="6856" w:name="_Toc522279719"/>
      <w:bookmarkStart w:id="6857" w:name="_Toc17934201"/>
      <w:bookmarkStart w:id="6858" w:name="_Toc50150380"/>
      <w:bookmarkStart w:id="6859" w:name="_Toc70886812"/>
      <w:bookmarkStart w:id="6860" w:name="_Toc108342354"/>
      <w:bookmarkStart w:id="6861" w:name="_Toc134197901"/>
      <w:r w:rsidRPr="007E6F67">
        <w:t>SD limit state verifications and detailing</w:t>
      </w:r>
      <w:bookmarkEnd w:id="6856"/>
      <w:bookmarkEnd w:id="6857"/>
      <w:bookmarkEnd w:id="6858"/>
      <w:bookmarkEnd w:id="6859"/>
      <w:bookmarkEnd w:id="6860"/>
      <w:bookmarkEnd w:id="6861"/>
    </w:p>
    <w:p w14:paraId="11EBB856" w14:textId="77777777" w:rsidR="001955E8" w:rsidRPr="00E05E29" w:rsidRDefault="001955E8" w:rsidP="001955E8">
      <w:pPr>
        <w:pStyle w:val="Heading4"/>
      </w:pPr>
      <w:bookmarkStart w:id="6862" w:name="_Toc522279720"/>
      <w:bookmarkStart w:id="6863" w:name="_Toc108342355"/>
      <w:r w:rsidRPr="00644C3D">
        <w:t>Resistance in bending and shear</w:t>
      </w:r>
      <w:bookmarkEnd w:id="6862"/>
      <w:bookmarkEnd w:id="6863"/>
    </w:p>
    <w:p w14:paraId="1B0B8413" w14:textId="718517FE" w:rsidR="001955E8" w:rsidRPr="00E05E29" w:rsidRDefault="001955E8" w:rsidP="0080187E">
      <w:pPr>
        <w:pStyle w:val="Clause"/>
        <w:numPr>
          <w:ilvl w:val="0"/>
          <w:numId w:val="326"/>
        </w:numPr>
      </w:pPr>
      <w:r w:rsidRPr="00E05E29">
        <w:t>In primary seismic columns, the normal</w:t>
      </w:r>
      <w:r w:rsidR="00E10A24">
        <w:t>ize</w:t>
      </w:r>
      <w:r w:rsidRPr="00E05E29">
        <w:t xml:space="preserve">d axial force </w:t>
      </w:r>
      <w:r w:rsidRPr="007B6DA6">
        <w:rPr>
          <w:i/>
          <w:iCs/>
        </w:rPr>
        <w:t>ν</w:t>
      </w:r>
      <w:r w:rsidRPr="007B6DA6">
        <w:rPr>
          <w:vertAlign w:val="subscript"/>
        </w:rPr>
        <w:t>d</w:t>
      </w:r>
      <w:r w:rsidRPr="00E05E29">
        <w:t xml:space="preserve"> based in Formula (10.5) should not exceed:</w:t>
      </w:r>
    </w:p>
    <w:p w14:paraId="23D695A9" w14:textId="3999CEB4" w:rsidR="001955E8" w:rsidRPr="00E05E29" w:rsidRDefault="0080187E" w:rsidP="0080187E">
      <w:pPr>
        <w:spacing w:before="120" w:after="220"/>
      </w:pPr>
      <w:r>
        <w:t>a)</w:t>
      </w:r>
      <w:r>
        <w:tab/>
      </w:r>
      <w:r w:rsidR="001955E8" w:rsidRPr="00E05E29">
        <w:t>for DC2: 0,65;</w:t>
      </w:r>
    </w:p>
    <w:p w14:paraId="7A38362E" w14:textId="3E62AB78" w:rsidR="001955E8" w:rsidRPr="00E05E29" w:rsidRDefault="0080187E" w:rsidP="0080187E">
      <w:pPr>
        <w:spacing w:before="120" w:after="220"/>
      </w:pPr>
      <w:r>
        <w:t>b)</w:t>
      </w:r>
      <w:r>
        <w:tab/>
      </w:r>
      <w:r w:rsidR="001955E8" w:rsidRPr="00E05E29">
        <w:t>for DC3: 0,55.</w:t>
      </w:r>
    </w:p>
    <w:p w14:paraId="59836EFB" w14:textId="75B0C51E" w:rsidR="001955E8" w:rsidRPr="00E05E29" w:rsidRDefault="001955E8" w:rsidP="00724E4E">
      <w:pPr>
        <w:pStyle w:val="Clause"/>
      </w:pPr>
      <w:r w:rsidRPr="00E05E29">
        <w:lastRenderedPageBreak/>
        <w:t xml:space="preserve">The </w:t>
      </w:r>
      <w:r>
        <w:t xml:space="preserve">resistance to combined bending moment and axial force and to </w:t>
      </w:r>
      <w:r w:rsidRPr="00E05E29">
        <w:t xml:space="preserve">shear </w:t>
      </w:r>
      <w:r>
        <w:t>action effects in the seismic design situation</w:t>
      </w:r>
      <w:r w:rsidRPr="00E05E29">
        <w:t xml:space="preserve"> should be calculated in accordance with </w:t>
      </w:r>
      <w:r w:rsidR="0080187E">
        <w:t>p</w:t>
      </w:r>
      <w:r w:rsidR="0026060E">
        <w:t>rEN 1992-1-1:2021</w:t>
      </w:r>
      <w:r>
        <w:t xml:space="preserve">, </w:t>
      </w:r>
      <w:r w:rsidRPr="00BD3F09">
        <w:rPr>
          <w:bCs/>
        </w:rPr>
        <w:t>8.1 and 8.2.</w:t>
      </w:r>
    </w:p>
    <w:p w14:paraId="22457F28" w14:textId="6140ADCD" w:rsidR="001955E8" w:rsidRPr="00E05E29" w:rsidRDefault="001955E8" w:rsidP="001955E8">
      <w:pPr>
        <w:pStyle w:val="Heading4"/>
      </w:pPr>
      <w:bookmarkStart w:id="6864" w:name="_Toc522279721"/>
      <w:bookmarkStart w:id="6865" w:name="_Toc108342356"/>
      <w:r w:rsidRPr="00E05E29">
        <w:t>Detailing for local ductility</w:t>
      </w:r>
      <w:bookmarkEnd w:id="6864"/>
      <w:bookmarkEnd w:id="6865"/>
    </w:p>
    <w:p w14:paraId="5F2BF18E" w14:textId="6EE5F727" w:rsidR="001955E8" w:rsidRPr="00E05E29" w:rsidRDefault="001955E8" w:rsidP="0080187E">
      <w:pPr>
        <w:pStyle w:val="Clause"/>
        <w:numPr>
          <w:ilvl w:val="0"/>
          <w:numId w:val="327"/>
        </w:numPr>
      </w:pPr>
      <w:r w:rsidRPr="00E05E29">
        <w:t xml:space="preserve">The total longitudinal reinforcement ratio </w:t>
      </w:r>
      <w:r w:rsidRPr="007B6DA6">
        <w:rPr>
          <w:i/>
          <w:iCs/>
        </w:rPr>
        <w:t>ρ</w:t>
      </w:r>
      <w:r w:rsidRPr="007B6DA6">
        <w:rPr>
          <w:vertAlign w:val="subscript"/>
        </w:rPr>
        <w:t>l</w:t>
      </w:r>
      <w:r w:rsidRPr="00E05E29">
        <w:t xml:space="preserve"> should not be less than 1</w:t>
      </w:r>
      <w:r w:rsidR="0080187E">
        <w:t> </w:t>
      </w:r>
      <w:r w:rsidRPr="00E05E29">
        <w:t>% and not greater than 4</w:t>
      </w:r>
      <w:r w:rsidR="0080187E">
        <w:t> </w:t>
      </w:r>
      <w:r w:rsidRPr="00E05E29">
        <w:t>%.</w:t>
      </w:r>
    </w:p>
    <w:p w14:paraId="33DEAE20" w14:textId="0F4E426E" w:rsidR="001955E8" w:rsidRPr="00E05E29" w:rsidRDefault="001955E8" w:rsidP="00724E4E">
      <w:pPr>
        <w:pStyle w:val="Clause"/>
      </w:pPr>
      <w:r w:rsidRPr="00E05E29">
        <w:t xml:space="preserve">The </w:t>
      </w:r>
      <w:r w:rsidRPr="001457E2">
        <w:t xml:space="preserve">diameter of the </w:t>
      </w:r>
      <w:r w:rsidRPr="00E05E29">
        <w:t>longitudinal bars should not be smaller than 12 mm.</w:t>
      </w:r>
    </w:p>
    <w:p w14:paraId="00CADDCA" w14:textId="0A4A49CB" w:rsidR="001955E8" w:rsidRPr="00E05E29" w:rsidRDefault="001955E8" w:rsidP="00724E4E">
      <w:pPr>
        <w:pStyle w:val="Clause"/>
      </w:pPr>
      <w:r w:rsidRPr="00E05E29">
        <w:t>In symmetrical cross sections, symmetrical reinforcement should be provided (</w:t>
      </w:r>
      <w:r w:rsidRPr="004030A7">
        <w:rPr>
          <w:i/>
          <w:iCs/>
        </w:rPr>
        <w:t>ρ</w:t>
      </w:r>
      <w:r w:rsidRPr="004030A7">
        <w:rPr>
          <w:vertAlign w:val="subscript"/>
        </w:rPr>
        <w:t>l</w:t>
      </w:r>
      <w:r w:rsidRPr="00E05E29">
        <w:t xml:space="preserve"> = </w:t>
      </w:r>
      <w:r w:rsidR="00BD3F09" w:rsidRPr="004030A7">
        <w:rPr>
          <w:i/>
        </w:rPr>
        <w:t>ρ</w:t>
      </w:r>
      <w:r w:rsidR="00BD3F09" w:rsidRPr="004030A7">
        <w:rPr>
          <w:vertAlign w:val="subscript"/>
        </w:rPr>
        <w:t>l</w:t>
      </w:r>
      <w:r w:rsidR="00BD3F09">
        <w:t>’</w:t>
      </w:r>
      <w:r w:rsidRPr="00E05E29">
        <w:t>).</w:t>
      </w:r>
    </w:p>
    <w:p w14:paraId="01AB51E6" w14:textId="3B48ED38" w:rsidR="001955E8" w:rsidRPr="00E05E29" w:rsidRDefault="001955E8" w:rsidP="00724E4E">
      <w:pPr>
        <w:pStyle w:val="Clause"/>
      </w:pPr>
      <w:r w:rsidRPr="00E05E29">
        <w:t>At least one intermediate bar should be provided between corner bars along each column side.</w:t>
      </w:r>
    </w:p>
    <w:p w14:paraId="24718AEC" w14:textId="77C161BF" w:rsidR="001955E8" w:rsidRPr="00E05E29" w:rsidRDefault="001955E8" w:rsidP="00724E4E">
      <w:pPr>
        <w:pStyle w:val="Clause"/>
      </w:pPr>
      <w:r w:rsidRPr="00E05E29">
        <w:t xml:space="preserve">The region up to a distance </w:t>
      </w:r>
      <w:r w:rsidRPr="004030A7">
        <w:rPr>
          <w:i/>
        </w:rPr>
        <w:t>l</w:t>
      </w:r>
      <w:r w:rsidRPr="004030A7">
        <w:rPr>
          <w:vertAlign w:val="subscript"/>
        </w:rPr>
        <w:t>cr</w:t>
      </w:r>
      <w:r w:rsidRPr="00E05E29">
        <w:t xml:space="preserve"> given by Formula (10.7) from an end section of a primary seismic column should be considered a critical region:</w:t>
      </w:r>
    </w:p>
    <w:p w14:paraId="5A0CA252" w14:textId="11769982" w:rsidR="00B9625D" w:rsidRPr="00870D59" w:rsidRDefault="009B5CEC" w:rsidP="00B9625D">
      <w:pPr>
        <w:pStyle w:val="Formula"/>
        <w:spacing w:before="240"/>
      </w:pPr>
      <m:oMath>
        <m:sSub>
          <m:sSubPr>
            <m:ctrlPr>
              <w:rPr>
                <w:rFonts w:ascii="Cambria Math" w:hAnsi="Cambria Math"/>
              </w:rPr>
            </m:ctrlPr>
          </m:sSubPr>
          <m:e>
            <m:r>
              <w:rPr>
                <w:rFonts w:ascii="Cambria Math" w:hAnsi="Cambria Math"/>
              </w:rPr>
              <m:t>l</m:t>
            </m:r>
          </m:e>
          <m:sub>
            <m:r>
              <m:rPr>
                <m:sty m:val="p"/>
              </m:rPr>
              <w:rPr>
                <w:rFonts w:ascii="Cambria Math" w:hAnsi="Cambria Math"/>
              </w:rPr>
              <m:t>cr</m:t>
            </m:r>
          </m:sub>
        </m:sSub>
        <m:r>
          <w:rPr>
            <w:rFonts w:ascii="Cambria Math" w:hAnsi="Cambria Math"/>
          </w:rPr>
          <m:t>=max</m:t>
        </m:r>
        <m:d>
          <m:dPr>
            <m:begChr m:val="{"/>
            <m:endChr m:val="}"/>
            <m:ctrlPr>
              <w:rPr>
                <w:rFonts w:ascii="Cambria Math" w:hAnsi="Cambria Math"/>
              </w:rPr>
            </m:ctrlPr>
          </m:dPr>
          <m:e>
            <m:sSub>
              <m:sSubPr>
                <m:ctrlPr>
                  <w:rPr>
                    <w:rFonts w:ascii="Cambria Math" w:hAnsi="Cambria Math"/>
                  </w:rPr>
                </m:ctrlPr>
              </m:sSubPr>
              <m:e>
                <m:r>
                  <w:rPr>
                    <w:rFonts w:ascii="Cambria Math" w:hAnsi="Cambria Math"/>
                  </w:rPr>
                  <m:t>b</m:t>
                </m:r>
              </m:e>
              <m:sub>
                <m:r>
                  <m:rPr>
                    <m:sty m:val="p"/>
                  </m:rPr>
                  <w:rPr>
                    <w:rFonts w:ascii="Cambria Math" w:hAnsi="Cambria Math"/>
                  </w:rPr>
                  <m:t>max</m:t>
                </m:r>
              </m:sub>
            </m:sSub>
            <m:r>
              <w:rPr>
                <w:rFonts w:ascii="Cambria Math" w:hAnsi="Cambria Math"/>
              </w:rPr>
              <m:t>;</m:t>
            </m:r>
            <m:f>
              <m:fPr>
                <m:type m:val="lin"/>
                <m:ctrlPr>
                  <w:rPr>
                    <w:rFonts w:ascii="Cambria Math" w:hAnsi="Cambria Math"/>
                  </w:rPr>
                </m:ctrlPr>
              </m:fPr>
              <m:num>
                <m:sSub>
                  <m:sSubPr>
                    <m:ctrlPr>
                      <w:rPr>
                        <w:rFonts w:ascii="Cambria Math" w:hAnsi="Cambria Math"/>
                      </w:rPr>
                    </m:ctrlPr>
                  </m:sSubPr>
                  <m:e>
                    <m:r>
                      <w:rPr>
                        <w:rFonts w:ascii="Cambria Math" w:hAnsi="Cambria Math"/>
                      </w:rPr>
                      <m:t>l</m:t>
                    </m:r>
                  </m:e>
                  <m:sub>
                    <m:r>
                      <m:rPr>
                        <m:sty m:val="p"/>
                      </m:rPr>
                      <w:rPr>
                        <w:rFonts w:ascii="Cambria Math" w:hAnsi="Cambria Math"/>
                      </w:rPr>
                      <m:t>cl</m:t>
                    </m:r>
                  </m:sub>
                </m:sSub>
              </m:num>
              <m:den>
                <m:r>
                  <w:rPr>
                    <w:rFonts w:ascii="Cambria Math" w:hAnsi="Cambria Math"/>
                  </w:rPr>
                  <m:t>6</m:t>
                </m:r>
              </m:den>
            </m:f>
            <m:r>
              <w:rPr>
                <w:rFonts w:ascii="Cambria Math" w:hAnsi="Cambria Math"/>
              </w:rPr>
              <m:t>;0,45 m</m:t>
            </m:r>
          </m:e>
        </m:d>
      </m:oMath>
      <w:r w:rsidR="00B9625D" w:rsidRPr="00870D59">
        <w:tab/>
        <w:t>(10.</w:t>
      </w:r>
      <w:r w:rsidR="00B9625D">
        <w:t>7</w:t>
      </w:r>
      <w:r w:rsidR="00B9625D" w:rsidRPr="00870D59">
        <w:t>)</w:t>
      </w:r>
    </w:p>
    <w:p w14:paraId="31BC1276" w14:textId="77777777" w:rsidR="00B9625D" w:rsidRPr="00870D59" w:rsidRDefault="00B9625D" w:rsidP="00B9625D">
      <w:pPr>
        <w:pStyle w:val="Text"/>
      </w:pPr>
      <w:r w:rsidRPr="00870D59">
        <w:t>where</w:t>
      </w:r>
    </w:p>
    <w:tbl>
      <w:tblPr>
        <w:tblW w:w="0" w:type="auto"/>
        <w:tblInd w:w="346" w:type="dxa"/>
        <w:tblLook w:val="04A0" w:firstRow="1" w:lastRow="0" w:firstColumn="1" w:lastColumn="0" w:noHBand="0" w:noVBand="1"/>
      </w:tblPr>
      <w:tblGrid>
        <w:gridCol w:w="1275"/>
        <w:gridCol w:w="7938"/>
      </w:tblGrid>
      <w:tr w:rsidR="00B9625D" w:rsidRPr="00870D59" w14:paraId="5991101D" w14:textId="77777777" w:rsidTr="0080187E">
        <w:tc>
          <w:tcPr>
            <w:tcW w:w="1275" w:type="dxa"/>
          </w:tcPr>
          <w:p w14:paraId="171CF736" w14:textId="47F251A6" w:rsidR="00B9625D" w:rsidRPr="00870D59" w:rsidRDefault="006B37D7" w:rsidP="002061E5">
            <w:pPr>
              <w:spacing w:after="60"/>
              <w:rPr>
                <w:rFonts w:eastAsia="Times New Roman" w:cs="Cambria"/>
                <w:szCs w:val="20"/>
                <w:lang w:eastAsia="fr-FR"/>
              </w:rPr>
            </w:pPr>
            <w:r w:rsidRPr="00D1484A">
              <w:rPr>
                <w:i/>
                <w:iCs/>
              </w:rPr>
              <w:t>b</w:t>
            </w:r>
            <w:r w:rsidRPr="00D1484A">
              <w:rPr>
                <w:vertAlign w:val="subscript"/>
              </w:rPr>
              <w:t>max</w:t>
            </w:r>
          </w:p>
        </w:tc>
        <w:tc>
          <w:tcPr>
            <w:tcW w:w="7938" w:type="dxa"/>
          </w:tcPr>
          <w:p w14:paraId="4D448AE3" w14:textId="7F84F22C" w:rsidR="00B9625D" w:rsidRPr="00870D59" w:rsidRDefault="006B37D7" w:rsidP="002061E5">
            <w:pPr>
              <w:spacing w:after="60"/>
              <w:rPr>
                <w:rFonts w:eastAsia="Times New Roman" w:cs="Cambria"/>
                <w:szCs w:val="20"/>
                <w:lang w:eastAsia="fr-FR"/>
              </w:rPr>
            </w:pPr>
            <w:r w:rsidRPr="00D1484A">
              <w:t>is the largest cross-sectional dimension of the column;</w:t>
            </w:r>
          </w:p>
        </w:tc>
      </w:tr>
      <w:tr w:rsidR="00B9625D" w:rsidRPr="00870D59" w14:paraId="7E6F47E7" w14:textId="77777777" w:rsidTr="0080187E">
        <w:tc>
          <w:tcPr>
            <w:tcW w:w="1275" w:type="dxa"/>
          </w:tcPr>
          <w:p w14:paraId="2D2406B9" w14:textId="2A7F0332" w:rsidR="00B9625D" w:rsidRPr="00870D59" w:rsidRDefault="006B37D7" w:rsidP="002061E5">
            <w:pPr>
              <w:spacing w:after="60"/>
              <w:rPr>
                <w:rFonts w:ascii="Symbol" w:hAnsi="Symbol"/>
                <w:i/>
                <w:color w:val="000000" w:themeColor="text1"/>
              </w:rPr>
            </w:pPr>
            <w:r w:rsidRPr="00D1484A">
              <w:rPr>
                <w:i/>
                <w:iCs/>
              </w:rPr>
              <w:t>l</w:t>
            </w:r>
            <w:r w:rsidRPr="007E6F67">
              <w:rPr>
                <w:vertAlign w:val="subscript"/>
              </w:rPr>
              <w:t>cl</w:t>
            </w:r>
          </w:p>
        </w:tc>
        <w:tc>
          <w:tcPr>
            <w:tcW w:w="7938" w:type="dxa"/>
          </w:tcPr>
          <w:p w14:paraId="5A22A70B" w14:textId="6CA34FBB" w:rsidR="00B9625D" w:rsidRPr="00870D59" w:rsidRDefault="006B37D7" w:rsidP="002061E5">
            <w:pPr>
              <w:rPr>
                <w:color w:val="000000" w:themeColor="text1"/>
              </w:rPr>
            </w:pPr>
            <w:r w:rsidRPr="007E6F67">
              <w:t xml:space="preserve">is </w:t>
            </w:r>
            <w:r w:rsidRPr="00FD17CF">
              <w:t>the clear length of the column.</w:t>
            </w:r>
          </w:p>
        </w:tc>
      </w:tr>
    </w:tbl>
    <w:p w14:paraId="36848BDC" w14:textId="05B7D433" w:rsidR="006B37D7" w:rsidRPr="00E05E29" w:rsidRDefault="006B37D7" w:rsidP="00724E4E">
      <w:pPr>
        <w:pStyle w:val="Clause"/>
      </w:pPr>
      <w:r w:rsidRPr="00644C3D">
        <w:t xml:space="preserve">If </w:t>
      </w:r>
      <w:r w:rsidRPr="004030A7">
        <w:rPr>
          <w:i/>
        </w:rPr>
        <w:t>l</w:t>
      </w:r>
      <w:r w:rsidRPr="004030A7">
        <w:rPr>
          <w:vertAlign w:val="subscript"/>
        </w:rPr>
        <w:t>cl</w:t>
      </w:r>
      <w:r w:rsidRPr="00E05E29">
        <w:t>/</w:t>
      </w:r>
      <w:r w:rsidRPr="004030A7">
        <w:rPr>
          <w:i/>
        </w:rPr>
        <w:t>b</w:t>
      </w:r>
      <w:r w:rsidRPr="004030A7">
        <w:rPr>
          <w:vertAlign w:val="subscript"/>
        </w:rPr>
        <w:t>max</w:t>
      </w:r>
      <w:r w:rsidRPr="00E05E29">
        <w:t xml:space="preserve"> &lt; 3, the entire height of the primary seismic column should be taken as critical region.</w:t>
      </w:r>
    </w:p>
    <w:p w14:paraId="15F64899" w14:textId="76429E4C" w:rsidR="006B37D7" w:rsidRPr="00E05E29" w:rsidRDefault="006B37D7" w:rsidP="00724E4E">
      <w:pPr>
        <w:pStyle w:val="Clause"/>
      </w:pPr>
      <w:r w:rsidRPr="00E05E29">
        <w:t xml:space="preserve">In a critical region of a primary seismic column, hoops and cross-ties, of at least 6 mm in </w:t>
      </w:r>
      <w:r w:rsidR="007E5C9E">
        <w:t>d</w:t>
      </w:r>
      <w:r>
        <w:t>iameter</w:t>
      </w:r>
      <w:r w:rsidRPr="00E05E29">
        <w:t xml:space="preserve"> or </w:t>
      </w:r>
      <w:r w:rsidRPr="004030A7">
        <w:rPr>
          <w:i/>
          <w:iCs/>
        </w:rPr>
        <w:t>d</w:t>
      </w:r>
      <w:r w:rsidRPr="004030A7">
        <w:rPr>
          <w:vertAlign w:val="subscript"/>
        </w:rPr>
        <w:t>bL,min</w:t>
      </w:r>
      <w:r w:rsidRPr="00E05E29">
        <w:t>/4, whichever is greater, should be provided with a pattern such that the cross-section benefits from confinement (examples in Figure </w:t>
      </w:r>
      <w:r w:rsidRPr="00BD3F09">
        <w:t>10.5a). 10.11.1(2) should</w:t>
      </w:r>
      <w:r w:rsidRPr="00E05E29">
        <w:t xml:space="preserve"> be satisfied. The spacing, </w:t>
      </w:r>
      <w:r w:rsidRPr="004030A7">
        <w:rPr>
          <w:rFonts w:eastAsia="Cambria"/>
          <w:i/>
          <w:iCs/>
        </w:rPr>
        <w:t>s</w:t>
      </w:r>
      <w:r w:rsidRPr="00E05E29">
        <w:t>, of hoops and cross-ties (Figure 10.5b) should not exceed:</w:t>
      </w:r>
    </w:p>
    <w:p w14:paraId="244BC89C" w14:textId="347A05AD" w:rsidR="006B37D7" w:rsidRPr="00E05E29" w:rsidRDefault="0080187E" w:rsidP="0080187E">
      <w:pPr>
        <w:spacing w:before="120" w:after="220"/>
      </w:pPr>
      <w:r>
        <w:t>a)</w:t>
      </w:r>
      <w:r>
        <w:tab/>
      </w:r>
      <w:r w:rsidR="006B37D7" w:rsidRPr="00E05E29">
        <w:t xml:space="preserve">for DC2: </w:t>
      </w:r>
      <w:r w:rsidR="006B37D7" w:rsidRPr="0080187E">
        <w:rPr>
          <w:i/>
          <w:iCs/>
        </w:rPr>
        <w:t>s</w:t>
      </w:r>
      <w:r w:rsidR="006B37D7" w:rsidRPr="00E05E29">
        <w:t xml:space="preserve"> ≤ min{</w:t>
      </w:r>
      <w:r w:rsidR="006B37D7" w:rsidRPr="0080187E">
        <w:rPr>
          <w:i/>
          <w:iCs/>
        </w:rPr>
        <w:t>b</w:t>
      </w:r>
      <w:r w:rsidR="006B37D7" w:rsidRPr="0080187E">
        <w:rPr>
          <w:vertAlign w:val="subscript"/>
        </w:rPr>
        <w:t>0C</w:t>
      </w:r>
      <w:r w:rsidR="006B37D7" w:rsidRPr="00E05E29">
        <w:t>/2; 200 mm; 9</w:t>
      </w:r>
      <w:r w:rsidR="006B37D7" w:rsidRPr="0080187E">
        <w:rPr>
          <w:i/>
          <w:iCs/>
        </w:rPr>
        <w:t>d</w:t>
      </w:r>
      <w:r w:rsidR="006B37D7" w:rsidRPr="0080187E">
        <w:rPr>
          <w:vertAlign w:val="subscript"/>
        </w:rPr>
        <w:t>bL,min</w:t>
      </w:r>
      <w:r w:rsidR="006B37D7" w:rsidRPr="00E05E29">
        <w:t>};</w:t>
      </w:r>
    </w:p>
    <w:p w14:paraId="0A5BD6E7" w14:textId="6D97B4EF" w:rsidR="006B37D7" w:rsidRPr="00E05E29" w:rsidRDefault="0080187E" w:rsidP="0080187E">
      <w:pPr>
        <w:spacing w:before="120" w:after="220"/>
      </w:pPr>
      <w:r>
        <w:t>b)</w:t>
      </w:r>
      <w:r>
        <w:tab/>
      </w:r>
      <w:r w:rsidR="006B37D7" w:rsidRPr="00E05E29">
        <w:t xml:space="preserve">for DC3: </w:t>
      </w:r>
      <w:r w:rsidR="006B37D7" w:rsidRPr="0080187E">
        <w:rPr>
          <w:i/>
          <w:iCs/>
        </w:rPr>
        <w:t>s</w:t>
      </w:r>
      <w:r w:rsidR="006B37D7" w:rsidRPr="00E05E29">
        <w:t xml:space="preserve"> ≤ min{</w:t>
      </w:r>
      <w:r w:rsidR="006B37D7" w:rsidRPr="0080187E">
        <w:rPr>
          <w:i/>
          <w:iCs/>
        </w:rPr>
        <w:t>b</w:t>
      </w:r>
      <w:r w:rsidR="006B37D7" w:rsidRPr="0080187E">
        <w:rPr>
          <w:vertAlign w:val="subscript"/>
        </w:rPr>
        <w:t>0C</w:t>
      </w:r>
      <w:r w:rsidR="006B37D7" w:rsidRPr="00E05E29">
        <w:t>/2; 175 mm; 8</w:t>
      </w:r>
      <w:r w:rsidR="006B37D7" w:rsidRPr="0080187E">
        <w:rPr>
          <w:i/>
          <w:iCs/>
        </w:rPr>
        <w:t>d</w:t>
      </w:r>
      <w:r w:rsidR="006B37D7" w:rsidRPr="0080187E">
        <w:rPr>
          <w:vertAlign w:val="subscript"/>
        </w:rPr>
        <w:t>bL,min</w:t>
      </w:r>
      <w:r w:rsidR="006B37D7" w:rsidRPr="00E05E29">
        <w:t>}</w:t>
      </w:r>
      <w:r w:rsidR="00BD3F09">
        <w:t>;</w:t>
      </w:r>
    </w:p>
    <w:p w14:paraId="06ED07D8" w14:textId="77777777" w:rsidR="006B37D7" w:rsidRPr="00870D59" w:rsidRDefault="006B37D7" w:rsidP="006B37D7">
      <w:pPr>
        <w:pStyle w:val="Text"/>
      </w:pPr>
      <w:r w:rsidRPr="00870D59">
        <w:t>where</w:t>
      </w:r>
    </w:p>
    <w:tbl>
      <w:tblPr>
        <w:tblW w:w="0" w:type="auto"/>
        <w:tblInd w:w="346" w:type="dxa"/>
        <w:tblLook w:val="04A0" w:firstRow="1" w:lastRow="0" w:firstColumn="1" w:lastColumn="0" w:noHBand="0" w:noVBand="1"/>
      </w:tblPr>
      <w:tblGrid>
        <w:gridCol w:w="1275"/>
        <w:gridCol w:w="7938"/>
      </w:tblGrid>
      <w:tr w:rsidR="006B37D7" w:rsidRPr="00870D59" w14:paraId="13078374" w14:textId="77777777" w:rsidTr="0080187E">
        <w:tc>
          <w:tcPr>
            <w:tcW w:w="1275" w:type="dxa"/>
          </w:tcPr>
          <w:p w14:paraId="4E52ABA1" w14:textId="69AD98FE" w:rsidR="006B37D7" w:rsidRPr="00870D59" w:rsidRDefault="006B37D7" w:rsidP="002061E5">
            <w:pPr>
              <w:spacing w:after="60"/>
              <w:rPr>
                <w:rFonts w:eastAsia="Times New Roman" w:cs="Cambria"/>
                <w:szCs w:val="20"/>
                <w:lang w:eastAsia="fr-FR"/>
              </w:rPr>
            </w:pPr>
            <w:r w:rsidRPr="00E05E29">
              <w:rPr>
                <w:i/>
                <w:iCs/>
              </w:rPr>
              <w:t>b</w:t>
            </w:r>
            <w:r w:rsidRPr="00E05E29">
              <w:rPr>
                <w:vertAlign w:val="subscript"/>
              </w:rPr>
              <w:t>0C</w:t>
            </w:r>
          </w:p>
        </w:tc>
        <w:tc>
          <w:tcPr>
            <w:tcW w:w="7938" w:type="dxa"/>
          </w:tcPr>
          <w:p w14:paraId="548F283D" w14:textId="23FB0A55" w:rsidR="006B37D7" w:rsidRPr="00870D59" w:rsidRDefault="006B37D7" w:rsidP="002061E5">
            <w:pPr>
              <w:spacing w:after="60"/>
              <w:rPr>
                <w:rFonts w:eastAsia="Times New Roman" w:cs="Cambria"/>
                <w:szCs w:val="20"/>
                <w:lang w:eastAsia="fr-FR"/>
              </w:rPr>
            </w:pPr>
            <w:r w:rsidRPr="00E05E29">
              <w:t>is the smallest dimension of the concrete core (to the centreline of the hoops) (Figure 10.5a);</w:t>
            </w:r>
          </w:p>
        </w:tc>
      </w:tr>
      <w:tr w:rsidR="006B37D7" w:rsidRPr="00870D59" w14:paraId="17E032B5" w14:textId="77777777" w:rsidTr="0080187E">
        <w:tc>
          <w:tcPr>
            <w:tcW w:w="1275" w:type="dxa"/>
          </w:tcPr>
          <w:p w14:paraId="224AC412" w14:textId="2D65BED5" w:rsidR="006B37D7" w:rsidRPr="00870D59" w:rsidRDefault="006B37D7" w:rsidP="002061E5">
            <w:pPr>
              <w:spacing w:after="60"/>
              <w:rPr>
                <w:rFonts w:ascii="Symbol" w:hAnsi="Symbol"/>
                <w:i/>
                <w:color w:val="000000" w:themeColor="text1"/>
              </w:rPr>
            </w:pPr>
            <w:r w:rsidRPr="00E05E29">
              <w:rPr>
                <w:i/>
              </w:rPr>
              <w:t>d</w:t>
            </w:r>
            <w:r w:rsidRPr="00E05E29">
              <w:rPr>
                <w:vertAlign w:val="subscript"/>
              </w:rPr>
              <w:t>bL,min</w:t>
            </w:r>
          </w:p>
        </w:tc>
        <w:tc>
          <w:tcPr>
            <w:tcW w:w="7938" w:type="dxa"/>
          </w:tcPr>
          <w:p w14:paraId="2950B298" w14:textId="7963C846" w:rsidR="006B37D7" w:rsidRPr="00870D59" w:rsidRDefault="006B37D7" w:rsidP="002061E5">
            <w:pPr>
              <w:rPr>
                <w:color w:val="000000" w:themeColor="text1"/>
              </w:rPr>
            </w:pPr>
            <w:r w:rsidRPr="00E05E29">
              <w:rPr>
                <w:rFonts w:asciiTheme="majorHAnsi" w:hAnsiTheme="majorHAnsi"/>
              </w:rPr>
              <w:t>is the minimum</w:t>
            </w:r>
            <w:r w:rsidRPr="00E05E29">
              <w:rPr>
                <w:rFonts w:asciiTheme="majorHAnsi" w:hAnsiTheme="majorHAnsi" w:cs="AOAOEB+TimesNewRoman"/>
              </w:rPr>
              <w:t xml:space="preserve"> </w:t>
            </w:r>
            <w:r w:rsidR="007E5C9E">
              <w:rPr>
                <w:rFonts w:asciiTheme="majorHAnsi" w:hAnsiTheme="majorHAnsi" w:cs="AOAOEB+TimesNewRoman"/>
              </w:rPr>
              <w:t>d</w:t>
            </w:r>
            <w:r>
              <w:rPr>
                <w:rFonts w:asciiTheme="majorHAnsi" w:hAnsiTheme="majorHAnsi" w:cs="AOAOEB+TimesNewRoman"/>
              </w:rPr>
              <w:t>iameter</w:t>
            </w:r>
            <w:r w:rsidRPr="00E05E29">
              <w:rPr>
                <w:rFonts w:asciiTheme="majorHAnsi" w:hAnsiTheme="majorHAnsi" w:cs="AOAOEB+TimesNewRoman"/>
              </w:rPr>
              <w:t xml:space="preserve"> of the longitudinal bars.</w:t>
            </w:r>
          </w:p>
        </w:tc>
      </w:tr>
    </w:tbl>
    <w:p w14:paraId="63F898D1" w14:textId="75E8906C" w:rsidR="006B37D7" w:rsidRPr="00BD3F09" w:rsidRDefault="006B37D7" w:rsidP="00724E4E">
      <w:pPr>
        <w:pStyle w:val="Clause"/>
      </w:pPr>
      <w:r w:rsidRPr="00E05E29">
        <w:t xml:space="preserve">The distance between consecutive longitudinal bars engaged by hoops or cross-ties should not exceed </w:t>
      </w:r>
      <w:r w:rsidRPr="00446008">
        <w:t xml:space="preserve">250 mm for DC2 and 200 mm for DC3, taking into </w:t>
      </w:r>
      <w:r w:rsidRPr="00BD3F09">
        <w:t xml:space="preserve">account </w:t>
      </w:r>
      <w:r w:rsidR="0026060E">
        <w:t>PrEN 1992-1-1:2021</w:t>
      </w:r>
      <w:r w:rsidRPr="00BD3F09">
        <w:t>, 12.</w:t>
      </w:r>
      <w:r w:rsidR="003E05D6" w:rsidRPr="00BD3F09">
        <w:t>6</w:t>
      </w:r>
      <w:r w:rsidRPr="00BD3F09">
        <w:t>.</w:t>
      </w:r>
    </w:p>
    <w:p w14:paraId="6D0E5B78" w14:textId="623F9A72" w:rsidR="008C2587" w:rsidRDefault="008C2587" w:rsidP="008C2587">
      <w:pPr>
        <w:pStyle w:val="FigureImage"/>
      </w:pPr>
      <w:r>
        <w:rPr>
          <w:noProof/>
        </w:rPr>
        <w:lastRenderedPageBreak/>
        <w:drawing>
          <wp:inline distT="0" distB="0" distL="0" distR="0" wp14:anchorId="3D14F2DD" wp14:editId="5029A531">
            <wp:extent cx="5399541" cy="4437895"/>
            <wp:effectExtent l="0" t="0" r="0" b="1270"/>
            <wp:docPr id="37" name="0009.tiff"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0009.tiff" descr="Shape&#10;&#10;Description automatically generated with medium confidence"/>
                    <pic:cNvPicPr/>
                  </pic:nvPicPr>
                  <pic:blipFill>
                    <a:blip r:link="rId24"/>
                    <a:stretch>
                      <a:fillRect/>
                    </a:stretch>
                  </pic:blipFill>
                  <pic:spPr>
                    <a:xfrm>
                      <a:off x="0" y="0"/>
                      <a:ext cx="5399541" cy="4437895"/>
                    </a:xfrm>
                    <a:prstGeom prst="rect">
                      <a:avLst/>
                    </a:prstGeom>
                  </pic:spPr>
                </pic:pic>
              </a:graphicData>
            </a:graphic>
          </wp:inline>
        </w:drawing>
      </w:r>
    </w:p>
    <w:p w14:paraId="7764DA6F" w14:textId="7FE77206" w:rsidR="00282C2D" w:rsidRPr="00FD17CF" w:rsidRDefault="00282C2D" w:rsidP="00282C2D">
      <w:pPr>
        <w:pStyle w:val="Figuretitle"/>
      </w:pPr>
      <w:r w:rsidRPr="00132C1E">
        <w:t xml:space="preserve">Figure </w:t>
      </w:r>
      <w:r>
        <w:t>10.5</w:t>
      </w:r>
      <w:r w:rsidRPr="00132C1E">
        <w:t> — </w:t>
      </w:r>
      <w:r w:rsidRPr="00D1484A">
        <w:t xml:space="preserve">Transverse reinforcement in columns: </w:t>
      </w:r>
      <w:r w:rsidR="008C2587">
        <w:t>(</w:t>
      </w:r>
      <w:r w:rsidRPr="00D1484A">
        <w:t>a) examples of hoops and cross-ties pattern and confined concrete core</w:t>
      </w:r>
      <w:r w:rsidRPr="007E6F67">
        <w:t xml:space="preserve">; </w:t>
      </w:r>
      <w:r w:rsidR="008C2587">
        <w:t>(</w:t>
      </w:r>
      <w:r w:rsidRPr="007E6F67">
        <w:t>b) critical regions</w:t>
      </w:r>
    </w:p>
    <w:p w14:paraId="731CC0BE" w14:textId="301C30D9" w:rsidR="00282C2D" w:rsidRPr="00E05E29" w:rsidRDefault="00282C2D" w:rsidP="00724E4E">
      <w:pPr>
        <w:pStyle w:val="Clause"/>
      </w:pPr>
      <w:r w:rsidRPr="00644C3D">
        <w:t>A minimum value of mechanical volumetric ratio of confining hoops within the critical regions</w:t>
      </w:r>
      <w:r w:rsidRPr="00E05E29">
        <w:t>, given by Formula (10.8), should be provided within all critical regions in the primary seismic columns equal to:</w:t>
      </w:r>
    </w:p>
    <w:p w14:paraId="311B32EF" w14:textId="71FA056D" w:rsidR="00282C2D" w:rsidRPr="00E05E29" w:rsidRDefault="0033057E" w:rsidP="0033057E">
      <w:pPr>
        <w:spacing w:before="120" w:after="220"/>
      </w:pPr>
      <w:r>
        <w:t>a)</w:t>
      </w:r>
      <w:r>
        <w:tab/>
      </w:r>
      <w:r w:rsidR="00282C2D" w:rsidRPr="00E05E29">
        <w:t>for DC2: 0,05;</w:t>
      </w:r>
    </w:p>
    <w:p w14:paraId="7B7DC2AD" w14:textId="136052EC" w:rsidR="00282C2D" w:rsidRPr="00E05E29" w:rsidRDefault="0033057E" w:rsidP="0033057E">
      <w:pPr>
        <w:spacing w:before="120" w:after="220"/>
      </w:pPr>
      <w:r>
        <w:t>b)</w:t>
      </w:r>
      <w:r>
        <w:tab/>
      </w:r>
      <w:r w:rsidR="00282C2D" w:rsidRPr="00E05E29">
        <w:t>for DC3: 0,08.</w:t>
      </w:r>
    </w:p>
    <w:p w14:paraId="23F7AF73" w14:textId="1D81A8FA" w:rsidR="00BC44E4" w:rsidRPr="00870D59" w:rsidRDefault="009B5CEC" w:rsidP="00BC44E4">
      <w:pPr>
        <w:pStyle w:val="Formula"/>
        <w:spacing w:before="240"/>
      </w:pPr>
      <m:oMath>
        <m:sSub>
          <m:sSubPr>
            <m:ctrlPr>
              <w:rPr>
                <w:rFonts w:ascii="Cambria Math" w:hAnsi="Cambria Math"/>
              </w:rPr>
            </m:ctrlPr>
          </m:sSubPr>
          <m:e>
            <m:r>
              <w:rPr>
                <w:rFonts w:ascii="Cambria Math" w:hAnsi="Cambria Math"/>
              </w:rPr>
              <m:t>ω</m:t>
            </m:r>
          </m:e>
          <m:sub>
            <m:r>
              <m:rPr>
                <m:sty m:val="p"/>
              </m:rPr>
              <w:rPr>
                <w:rFonts w:ascii="Cambria Math" w:hAnsi="Cambria Math"/>
              </w:rPr>
              <m:t>wd</m:t>
            </m:r>
          </m:sub>
        </m:sSub>
        <m:r>
          <w:rPr>
            <w:rFonts w:ascii="Cambria Math" w:hAnsi="Cambria Math"/>
          </w:rPr>
          <m:t>=</m:t>
        </m:r>
        <m:f>
          <m:fPr>
            <m:ctrlPr>
              <w:rPr>
                <w:rFonts w:ascii="Cambria Math" w:hAnsi="Cambria Math"/>
              </w:rPr>
            </m:ctrlPr>
          </m:fPr>
          <m:num>
            <m:r>
              <w:rPr>
                <w:rFonts w:ascii="Cambria Math" w:hAnsi="Cambria Math"/>
              </w:rPr>
              <m:t>volume of confining hoops</m:t>
            </m:r>
          </m:num>
          <m:den>
            <m:r>
              <w:rPr>
                <w:rFonts w:ascii="Cambria Math" w:hAnsi="Cambria Math"/>
              </w:rPr>
              <m:t>volume of concrete core</m:t>
            </m:r>
          </m:den>
        </m:f>
        <m:r>
          <w:rPr>
            <w:rFonts w:ascii="Cambria Math" w:hAnsi="Cambria Math"/>
          </w:rPr>
          <m:t> </m:t>
        </m:r>
        <m:f>
          <m:fPr>
            <m:type m:val="lin"/>
            <m:ctrlPr>
              <w:rPr>
                <w:rFonts w:ascii="Cambria Math" w:hAnsi="Cambria Math"/>
              </w:rPr>
            </m:ctrlPr>
          </m:fPr>
          <m:num>
            <m:sSub>
              <m:sSubPr>
                <m:ctrlPr>
                  <w:rPr>
                    <w:rFonts w:ascii="Cambria Math" w:hAnsi="Cambria Math"/>
                  </w:rPr>
                </m:ctrlPr>
              </m:sSubPr>
              <m:e>
                <m:r>
                  <w:rPr>
                    <w:rFonts w:ascii="Cambria Math" w:hAnsi="Cambria Math"/>
                  </w:rPr>
                  <m:t>f</m:t>
                </m:r>
              </m:e>
              <m:sub>
                <m:r>
                  <m:rPr>
                    <m:sty m:val="p"/>
                  </m:rPr>
                  <w:rPr>
                    <w:rFonts w:ascii="Cambria Math" w:hAnsi="Cambria Math"/>
                  </w:rPr>
                  <m:t>ywd</m:t>
                </m:r>
              </m:sub>
            </m:sSub>
          </m:num>
          <m:den>
            <m:sSub>
              <m:sSubPr>
                <m:ctrlPr>
                  <w:rPr>
                    <w:rFonts w:ascii="Cambria Math" w:hAnsi="Cambria Math"/>
                  </w:rPr>
                </m:ctrlPr>
              </m:sSubPr>
              <m:e>
                <m:r>
                  <w:rPr>
                    <w:rFonts w:ascii="Cambria Math" w:hAnsi="Cambria Math"/>
                  </w:rPr>
                  <m:t>f</m:t>
                </m:r>
              </m:e>
              <m:sub>
                <m:r>
                  <m:rPr>
                    <m:sty m:val="p"/>
                  </m:rPr>
                  <w:rPr>
                    <w:rFonts w:ascii="Cambria Math" w:hAnsi="Cambria Math"/>
                  </w:rPr>
                  <m:t>cd</m:t>
                </m:r>
              </m:sub>
            </m:sSub>
          </m:den>
        </m:f>
      </m:oMath>
      <w:r w:rsidR="00BC44E4" w:rsidRPr="00870D59">
        <w:tab/>
        <w:t>(10.</w:t>
      </w:r>
      <w:r w:rsidR="00BC44E4">
        <w:t>8</w:t>
      </w:r>
      <w:r w:rsidR="00BC44E4" w:rsidRPr="00870D59">
        <w:t>)</w:t>
      </w:r>
    </w:p>
    <w:p w14:paraId="62E4DED0" w14:textId="6C911852" w:rsidR="00BC44E4" w:rsidRPr="00FD17CF" w:rsidRDefault="00BC44E4" w:rsidP="00724E4E">
      <w:pPr>
        <w:pStyle w:val="Clause"/>
      </w:pPr>
      <w:r w:rsidRPr="00D1484A">
        <w:t>The mechanical volumetric ratio of confining hoops of columns with rectangular cross sections with dissimilar amount of reinforcement in the two directions should be taken from Formula (10.</w:t>
      </w:r>
      <w:r w:rsidRPr="007E6F67">
        <w:t>9).</w:t>
      </w:r>
    </w:p>
    <w:p w14:paraId="5B98A0D1" w14:textId="460A0700" w:rsidR="00BC44E4" w:rsidRPr="00870D59" w:rsidRDefault="009B5CEC" w:rsidP="00BC44E4">
      <w:pPr>
        <w:pStyle w:val="Formula"/>
        <w:spacing w:before="240"/>
      </w:pPr>
      <m:oMath>
        <m:sSub>
          <m:sSubPr>
            <m:ctrlPr>
              <w:rPr>
                <w:rFonts w:ascii="Cambria Math" w:hAnsi="Cambria Math"/>
              </w:rPr>
            </m:ctrlPr>
          </m:sSubPr>
          <m:e>
            <m:r>
              <w:rPr>
                <w:rFonts w:ascii="Cambria Math" w:hAnsi="Cambria Math"/>
              </w:rPr>
              <m:t>ω</m:t>
            </m:r>
          </m:e>
          <m:sub>
            <m:r>
              <m:rPr>
                <m:sty m:val="p"/>
              </m:rPr>
              <w:rPr>
                <w:rFonts w:ascii="Cambria Math" w:hAnsi="Cambria Math"/>
              </w:rPr>
              <m:t>wd</m:t>
            </m:r>
          </m:sub>
        </m:sSub>
        <m:r>
          <w:rPr>
            <w:rFonts w:ascii="Cambria Math" w:hAnsi="Cambria Math"/>
          </w:rPr>
          <m:t>=2 min</m:t>
        </m:r>
        <m:d>
          <m:dPr>
            <m:begChr m:val="{"/>
            <m:endChr m:val="}"/>
            <m:ctrlPr>
              <w:rPr>
                <w:rFonts w:ascii="Cambria Math" w:hAnsi="Cambria Math"/>
              </w:rPr>
            </m:ctrlPr>
          </m:dPr>
          <m:e>
            <m:sSub>
              <m:sSubPr>
                <m:ctrlPr>
                  <w:rPr>
                    <w:rFonts w:ascii="Cambria Math" w:hAnsi="Cambria Math"/>
                  </w:rPr>
                </m:ctrlPr>
              </m:sSubPr>
              <m:e>
                <m:r>
                  <w:rPr>
                    <w:rFonts w:ascii="Cambria Math" w:hAnsi="Cambria Math"/>
                  </w:rPr>
                  <m:t>ρ</m:t>
                </m:r>
              </m:e>
              <m:sub>
                <m:r>
                  <m:rPr>
                    <m:sty m:val="p"/>
                  </m:rPr>
                  <w:rPr>
                    <w:rFonts w:ascii="Cambria Math" w:hAnsi="Cambria Math"/>
                  </w:rPr>
                  <m:t>w,x</m:t>
                </m:r>
              </m:sub>
            </m:sSub>
            <m:r>
              <w:rPr>
                <w:rFonts w:ascii="Cambria Math" w:hAnsi="Cambria Math"/>
              </w:rPr>
              <m:t>,</m:t>
            </m:r>
            <m:sSub>
              <m:sSubPr>
                <m:ctrlPr>
                  <w:rPr>
                    <w:rFonts w:ascii="Cambria Math" w:hAnsi="Cambria Math"/>
                  </w:rPr>
                </m:ctrlPr>
              </m:sSubPr>
              <m:e>
                <m:r>
                  <w:rPr>
                    <w:rFonts w:ascii="Cambria Math" w:hAnsi="Cambria Math"/>
                  </w:rPr>
                  <m:t>ρ</m:t>
                </m:r>
              </m:e>
              <m:sub>
                <m:r>
                  <m:rPr>
                    <m:sty m:val="p"/>
                  </m:rPr>
                  <w:rPr>
                    <w:rFonts w:ascii="Cambria Math" w:hAnsi="Cambria Math"/>
                  </w:rPr>
                  <m:t>w,y</m:t>
                </m:r>
              </m:sub>
            </m:sSub>
          </m:e>
        </m:d>
        <m:r>
          <w:rPr>
            <w:rFonts w:ascii="Cambria Math" w:hAnsi="Cambria Math"/>
          </w:rPr>
          <m:t> </m:t>
        </m:r>
        <m:f>
          <m:fPr>
            <m:type m:val="lin"/>
            <m:ctrlPr>
              <w:rPr>
                <w:rFonts w:ascii="Cambria Math" w:hAnsi="Cambria Math"/>
              </w:rPr>
            </m:ctrlPr>
          </m:fPr>
          <m:num>
            <m:sSub>
              <m:sSubPr>
                <m:ctrlPr>
                  <w:rPr>
                    <w:rFonts w:ascii="Cambria Math" w:hAnsi="Cambria Math"/>
                  </w:rPr>
                </m:ctrlPr>
              </m:sSubPr>
              <m:e>
                <m:r>
                  <w:rPr>
                    <w:rFonts w:ascii="Cambria Math" w:hAnsi="Cambria Math"/>
                  </w:rPr>
                  <m:t>f</m:t>
                </m:r>
              </m:e>
              <m:sub>
                <m:r>
                  <m:rPr>
                    <m:sty m:val="p"/>
                  </m:rPr>
                  <w:rPr>
                    <w:rFonts w:ascii="Cambria Math" w:hAnsi="Cambria Math"/>
                  </w:rPr>
                  <m:t>ywd</m:t>
                </m:r>
              </m:sub>
            </m:sSub>
          </m:num>
          <m:den>
            <m:sSub>
              <m:sSubPr>
                <m:ctrlPr>
                  <w:rPr>
                    <w:rFonts w:ascii="Cambria Math" w:hAnsi="Cambria Math"/>
                  </w:rPr>
                </m:ctrlPr>
              </m:sSubPr>
              <m:e>
                <m:r>
                  <w:rPr>
                    <w:rFonts w:ascii="Cambria Math" w:hAnsi="Cambria Math"/>
                  </w:rPr>
                  <m:t>f</m:t>
                </m:r>
              </m:e>
              <m:sub>
                <m:r>
                  <m:rPr>
                    <m:sty m:val="p"/>
                  </m:rPr>
                  <w:rPr>
                    <w:rFonts w:ascii="Cambria Math" w:hAnsi="Cambria Math"/>
                  </w:rPr>
                  <m:t>cd</m:t>
                </m:r>
              </m:sub>
            </m:sSub>
          </m:den>
        </m:f>
      </m:oMath>
      <w:r w:rsidR="00BC44E4" w:rsidRPr="00870D59">
        <w:tab/>
        <w:t>(10.</w:t>
      </w:r>
      <w:r w:rsidR="00BC44E4">
        <w:t>9</w:t>
      </w:r>
      <w:r w:rsidR="00BC44E4" w:rsidRPr="00870D59">
        <w:t>)</w:t>
      </w:r>
    </w:p>
    <w:p w14:paraId="7A24F171" w14:textId="77777777" w:rsidR="00BC44E4" w:rsidRPr="00644C3D" w:rsidRDefault="00BC44E4" w:rsidP="00BD3F09">
      <w:pPr>
        <w:pStyle w:val="Text"/>
      </w:pPr>
      <w:r w:rsidRPr="00D1484A">
        <w:t xml:space="preserve">where </w:t>
      </w:r>
      <w:r w:rsidRPr="00D1484A">
        <w:rPr>
          <w:i/>
        </w:rPr>
        <w:t>ρ</w:t>
      </w:r>
      <w:r w:rsidRPr="00D1484A">
        <w:rPr>
          <w:vertAlign w:val="subscript"/>
        </w:rPr>
        <w:t>w,x</w:t>
      </w:r>
      <w:r w:rsidRPr="00D1484A">
        <w:t xml:space="preserve"> and </w:t>
      </w:r>
      <w:r w:rsidRPr="00D1484A">
        <w:rPr>
          <w:i/>
        </w:rPr>
        <w:t>ρ</w:t>
      </w:r>
      <w:r w:rsidRPr="00D1484A">
        <w:rPr>
          <w:vertAlign w:val="subscript"/>
        </w:rPr>
        <w:t>w,y</w:t>
      </w:r>
      <w:r w:rsidRPr="00D1484A">
        <w:t xml:space="preserve"> are the volumetric ratios of confining hoop legs in the perpendicular directions </w:t>
      </w:r>
      <w:r w:rsidRPr="00D1484A">
        <w:rPr>
          <w:i/>
        </w:rPr>
        <w:t>x</w:t>
      </w:r>
      <w:r w:rsidRPr="007E6F67">
        <w:t xml:space="preserve"> and </w:t>
      </w:r>
      <w:r w:rsidRPr="00FD17CF">
        <w:rPr>
          <w:i/>
        </w:rPr>
        <w:t>y</w:t>
      </w:r>
      <w:r w:rsidRPr="00FD17CF">
        <w:t>.</w:t>
      </w:r>
    </w:p>
    <w:p w14:paraId="764F6A31" w14:textId="77777777" w:rsidR="00BC44E4" w:rsidRPr="00E05E29" w:rsidRDefault="00BC44E4" w:rsidP="00BC44E4">
      <w:pPr>
        <w:pStyle w:val="Heading2"/>
      </w:pPr>
      <w:bookmarkStart w:id="6866" w:name="_Toc525367975"/>
      <w:bookmarkStart w:id="6867" w:name="_Toc526238013"/>
      <w:bookmarkStart w:id="6868" w:name="_Toc526242481"/>
      <w:bookmarkStart w:id="6869" w:name="_Toc526318336"/>
      <w:bookmarkStart w:id="6870" w:name="_Toc526318428"/>
      <w:bookmarkStart w:id="6871" w:name="_Toc526318520"/>
      <w:bookmarkStart w:id="6872" w:name="_Toc529627671"/>
      <w:bookmarkStart w:id="6873" w:name="_Toc533172307"/>
      <w:bookmarkStart w:id="6874" w:name="_Toc534451570"/>
      <w:bookmarkStart w:id="6875" w:name="_Toc534451843"/>
      <w:bookmarkStart w:id="6876" w:name="_Toc534452116"/>
      <w:bookmarkStart w:id="6877" w:name="_Toc534452956"/>
      <w:bookmarkStart w:id="6878" w:name="_Toc534629381"/>
      <w:bookmarkStart w:id="6879" w:name="_Toc534629655"/>
      <w:bookmarkStart w:id="6880" w:name="_Toc534649424"/>
      <w:bookmarkStart w:id="6881" w:name="_Toc534715483"/>
      <w:bookmarkStart w:id="6882" w:name="_Toc534734620"/>
      <w:bookmarkStart w:id="6883" w:name="_Toc534734896"/>
      <w:bookmarkStart w:id="6884" w:name="_Toc536717560"/>
      <w:bookmarkStart w:id="6885" w:name="_Toc536862738"/>
      <w:bookmarkStart w:id="6886" w:name="_Toc536864106"/>
      <w:bookmarkStart w:id="6887" w:name="_Toc536864493"/>
      <w:bookmarkStart w:id="6888" w:name="_Toc536864994"/>
      <w:bookmarkStart w:id="6889" w:name="_Toc536865309"/>
      <w:bookmarkStart w:id="6890" w:name="_Toc536865624"/>
      <w:bookmarkStart w:id="6891" w:name="_Toc536865939"/>
      <w:bookmarkStart w:id="6892" w:name="_Toc536866254"/>
      <w:bookmarkStart w:id="6893" w:name="_Toc536866569"/>
      <w:bookmarkStart w:id="6894" w:name="_Toc536866884"/>
      <w:bookmarkStart w:id="6895" w:name="_Toc536867199"/>
      <w:bookmarkStart w:id="6896" w:name="_Toc536867514"/>
      <w:bookmarkStart w:id="6897" w:name="_Toc536867797"/>
      <w:bookmarkStart w:id="6898" w:name="_Toc536868080"/>
      <w:bookmarkStart w:id="6899" w:name="_Toc536868977"/>
      <w:bookmarkStart w:id="6900" w:name="_Toc536869308"/>
      <w:bookmarkStart w:id="6901" w:name="_Toc128151"/>
      <w:bookmarkStart w:id="6902" w:name="_Toc128545"/>
      <w:bookmarkStart w:id="6903" w:name="_Toc128939"/>
      <w:bookmarkStart w:id="6904" w:name="_Toc129333"/>
      <w:bookmarkStart w:id="6905" w:name="_Toc129727"/>
      <w:bookmarkStart w:id="6906" w:name="_Toc130120"/>
      <w:bookmarkStart w:id="6907" w:name="_Toc130514"/>
      <w:bookmarkStart w:id="6908" w:name="_Toc130908"/>
      <w:bookmarkStart w:id="6909" w:name="_Toc131302"/>
      <w:bookmarkStart w:id="6910" w:name="_Toc289197"/>
      <w:bookmarkStart w:id="6911" w:name="_Toc338363"/>
      <w:bookmarkStart w:id="6912" w:name="_Toc705795"/>
      <w:bookmarkStart w:id="6913" w:name="_Toc706781"/>
      <w:bookmarkStart w:id="6914" w:name="_Toc709090"/>
      <w:bookmarkStart w:id="6915" w:name="_Toc710455"/>
      <w:bookmarkStart w:id="6916" w:name="_Toc970474"/>
      <w:bookmarkStart w:id="6917" w:name="_Toc970849"/>
      <w:bookmarkStart w:id="6918" w:name="_Toc1135549"/>
      <w:bookmarkStart w:id="6919" w:name="_Toc1165863"/>
      <w:bookmarkStart w:id="6920" w:name="_Toc1207928"/>
      <w:bookmarkStart w:id="6921" w:name="_Toc1408544"/>
      <w:bookmarkStart w:id="6922" w:name="_Toc522279722"/>
      <w:bookmarkStart w:id="6923" w:name="_Toc17934202"/>
      <w:bookmarkStart w:id="6924" w:name="_Toc50150381"/>
      <w:bookmarkStart w:id="6925" w:name="_Toc70886813"/>
      <w:bookmarkStart w:id="6926" w:name="_Toc108342357"/>
      <w:bookmarkStart w:id="6927" w:name="_Toc134197902"/>
      <w:bookmarkEnd w:id="6866"/>
      <w:bookmarkEnd w:id="6867"/>
      <w:bookmarkEnd w:id="6868"/>
      <w:bookmarkEnd w:id="6869"/>
      <w:bookmarkEnd w:id="6870"/>
      <w:bookmarkEnd w:id="6871"/>
      <w:bookmarkEnd w:id="6872"/>
      <w:bookmarkEnd w:id="6873"/>
      <w:bookmarkEnd w:id="6874"/>
      <w:bookmarkEnd w:id="6875"/>
      <w:bookmarkEnd w:id="6876"/>
      <w:bookmarkEnd w:id="6877"/>
      <w:bookmarkEnd w:id="6878"/>
      <w:bookmarkEnd w:id="6879"/>
      <w:bookmarkEnd w:id="6880"/>
      <w:bookmarkEnd w:id="6881"/>
      <w:bookmarkEnd w:id="6882"/>
      <w:bookmarkEnd w:id="6883"/>
      <w:bookmarkEnd w:id="6884"/>
      <w:bookmarkEnd w:id="6885"/>
      <w:bookmarkEnd w:id="6886"/>
      <w:bookmarkEnd w:id="6887"/>
      <w:bookmarkEnd w:id="6888"/>
      <w:bookmarkEnd w:id="6889"/>
      <w:bookmarkEnd w:id="6890"/>
      <w:bookmarkEnd w:id="6891"/>
      <w:bookmarkEnd w:id="6892"/>
      <w:bookmarkEnd w:id="6893"/>
      <w:bookmarkEnd w:id="6894"/>
      <w:bookmarkEnd w:id="6895"/>
      <w:bookmarkEnd w:id="6896"/>
      <w:bookmarkEnd w:id="6897"/>
      <w:bookmarkEnd w:id="6898"/>
      <w:bookmarkEnd w:id="6899"/>
      <w:bookmarkEnd w:id="6900"/>
      <w:bookmarkEnd w:id="6901"/>
      <w:bookmarkEnd w:id="6902"/>
      <w:bookmarkEnd w:id="6903"/>
      <w:bookmarkEnd w:id="6904"/>
      <w:bookmarkEnd w:id="6905"/>
      <w:bookmarkEnd w:id="6906"/>
      <w:bookmarkEnd w:id="6907"/>
      <w:bookmarkEnd w:id="6908"/>
      <w:bookmarkEnd w:id="6909"/>
      <w:bookmarkEnd w:id="6910"/>
      <w:bookmarkEnd w:id="6911"/>
      <w:bookmarkEnd w:id="6912"/>
      <w:bookmarkEnd w:id="6913"/>
      <w:bookmarkEnd w:id="6914"/>
      <w:bookmarkEnd w:id="6915"/>
      <w:bookmarkEnd w:id="6916"/>
      <w:bookmarkEnd w:id="6917"/>
      <w:bookmarkEnd w:id="6918"/>
      <w:bookmarkEnd w:id="6919"/>
      <w:bookmarkEnd w:id="6920"/>
      <w:bookmarkEnd w:id="6921"/>
      <w:r w:rsidRPr="00E05E29">
        <w:t>Beam-column joints</w:t>
      </w:r>
      <w:bookmarkEnd w:id="6922"/>
      <w:bookmarkEnd w:id="6923"/>
      <w:bookmarkEnd w:id="6924"/>
      <w:bookmarkEnd w:id="6925"/>
      <w:bookmarkEnd w:id="6926"/>
      <w:bookmarkEnd w:id="6927"/>
    </w:p>
    <w:p w14:paraId="5FA9DA9A" w14:textId="490AAEDD" w:rsidR="00BC44E4" w:rsidRPr="007C36A5" w:rsidRDefault="00BC44E4" w:rsidP="0080187E">
      <w:pPr>
        <w:pStyle w:val="Clause"/>
        <w:numPr>
          <w:ilvl w:val="0"/>
          <w:numId w:val="328"/>
        </w:numPr>
      </w:pPr>
      <w:r w:rsidRPr="00E05E29">
        <w:t xml:space="preserve">For DC1, the horizontal confinement reinforcement in beam-column joints should not be smaller than that of the </w:t>
      </w:r>
      <w:r w:rsidRPr="007C36A5">
        <w:t>columns framing into the joint, with the exception in (3).</w:t>
      </w:r>
    </w:p>
    <w:p w14:paraId="12342914" w14:textId="6B504660" w:rsidR="00BC44E4" w:rsidRPr="007C36A5" w:rsidRDefault="00BC44E4" w:rsidP="00724E4E">
      <w:pPr>
        <w:pStyle w:val="Clause"/>
      </w:pPr>
      <w:r w:rsidRPr="007C36A5">
        <w:lastRenderedPageBreak/>
        <w:t>For DC2 and DC3, the horizontal confinement reinforcement in beam-column joints should not be smaller than that specified in 10.6.3.2(7) to (10) for the critical regions of columns, with the exception in (3). 10.11.1(2) should be satisfied.</w:t>
      </w:r>
    </w:p>
    <w:p w14:paraId="7618A3A7" w14:textId="01A8D26E" w:rsidR="00BC44E4" w:rsidRPr="007C36A5" w:rsidRDefault="00BC44E4" w:rsidP="00724E4E">
      <w:pPr>
        <w:pStyle w:val="Clause"/>
      </w:pPr>
      <w:r w:rsidRPr="007C36A5">
        <w:t>If beams frame into all four sides of the joint and their width is at least three-quarters of the parallel cross-sectional dimension of the column, the spacing of the horizontal confinement reinforcement in the joint may be increased to twice that specified in (1) and (2), but should not exceed 150 mm.</w:t>
      </w:r>
    </w:p>
    <w:p w14:paraId="2A4B3122" w14:textId="449D7BAF" w:rsidR="00BC44E4" w:rsidRPr="007C36A5" w:rsidRDefault="00BC44E4" w:rsidP="00724E4E">
      <w:pPr>
        <w:pStyle w:val="Clause"/>
      </w:pPr>
      <w:r w:rsidRPr="007C36A5">
        <w:t>For DC1, DC2 and DC3, at least one intermediate vertical bar should be provided between column corner bars at each side of the primary beam-column joint.</w:t>
      </w:r>
    </w:p>
    <w:p w14:paraId="21A8BBBF" w14:textId="6DDF632C" w:rsidR="00BC44E4" w:rsidRPr="007C36A5" w:rsidRDefault="00BC44E4" w:rsidP="00724E4E">
      <w:pPr>
        <w:pStyle w:val="Clause"/>
      </w:pPr>
      <w:r w:rsidRPr="007C36A5">
        <w:t>For DC3, unless (6) is used, the verification of the joint should be done according to prEN</w:t>
      </w:r>
      <w:r w:rsidR="007C36A5">
        <w:t> </w:t>
      </w:r>
      <w:r w:rsidRPr="007C36A5">
        <w:t>1998</w:t>
      </w:r>
      <w:r w:rsidR="0033057E">
        <w:noBreakHyphen/>
      </w:r>
      <w:r w:rsidRPr="007C36A5">
        <w:t>1</w:t>
      </w:r>
      <w:r w:rsidR="0033057E">
        <w:noBreakHyphen/>
      </w:r>
      <w:r w:rsidRPr="007C36A5">
        <w:t>1:2022, 7.2.4, with the modifications in a) to d):</w:t>
      </w:r>
    </w:p>
    <w:p w14:paraId="6137526B" w14:textId="58DB6BF4" w:rsidR="00BC44E4" w:rsidRPr="00C264A3" w:rsidRDefault="00BC44E4" w:rsidP="0080187E">
      <w:pPr>
        <w:pStyle w:val="List2"/>
        <w:numPr>
          <w:ilvl w:val="0"/>
          <w:numId w:val="121"/>
        </w:numPr>
        <w:spacing w:before="0" w:after="240" w:line="230" w:lineRule="atLeast"/>
        <w:contextualSpacing w:val="0"/>
      </w:pPr>
      <w:r w:rsidRPr="007C36A5">
        <w:t>The mean values of resistances</w:t>
      </w:r>
      <w:r>
        <w:t xml:space="preserve"> are replaced by their design values: </w:t>
      </w:r>
      <m:oMath>
        <m:sSub>
          <m:sSubPr>
            <m:ctrlPr>
              <w:rPr>
                <w:rFonts w:ascii="Cambria Math" w:hAnsi="Cambria Math"/>
              </w:rPr>
            </m:ctrlPr>
          </m:sSubPr>
          <m:e>
            <m:r>
              <w:rPr>
                <w:rFonts w:ascii="Cambria Math" w:hAnsi="Cambria Math"/>
              </w:rPr>
              <m:t>V</m:t>
            </m:r>
          </m:e>
          <m:sub>
            <m:r>
              <m:rPr>
                <m:sty m:val="p"/>
              </m:rPr>
              <w:rPr>
                <w:rFonts w:ascii="Cambria Math" w:hAnsi="Cambria Math"/>
              </w:rPr>
              <m:t>Rj,cr</m:t>
            </m:r>
          </m:sub>
        </m:sSub>
      </m:oMath>
      <w:r>
        <w:t xml:space="preserve"> by </w:t>
      </w:r>
      <m:oMath>
        <m:sSub>
          <m:sSubPr>
            <m:ctrlPr>
              <w:rPr>
                <w:rFonts w:ascii="Cambria Math" w:hAnsi="Cambria Math"/>
              </w:rPr>
            </m:ctrlPr>
          </m:sSubPr>
          <m:e>
            <m:r>
              <w:rPr>
                <w:rFonts w:ascii="Cambria Math" w:hAnsi="Cambria Math"/>
              </w:rPr>
              <m:t>V</m:t>
            </m:r>
          </m:e>
          <m:sub>
            <m:r>
              <m:rPr>
                <m:sty m:val="p"/>
              </m:rPr>
              <w:rPr>
                <w:rFonts w:ascii="Cambria Math" w:hAnsi="Cambria Math"/>
              </w:rPr>
              <m:t>Rdj,cr</m:t>
            </m:r>
          </m:sub>
        </m:sSub>
      </m:oMath>
      <w:r>
        <w:t xml:space="preserve">, </w:t>
      </w:r>
      <m:oMath>
        <m:sSub>
          <m:sSubPr>
            <m:ctrlPr>
              <w:rPr>
                <w:rFonts w:ascii="Cambria Math" w:hAnsi="Cambria Math"/>
                <w:i/>
              </w:rPr>
            </m:ctrlPr>
          </m:sSubPr>
          <m:e>
            <m:r>
              <w:rPr>
                <w:rFonts w:ascii="Cambria Math" w:hAnsi="Cambria Math"/>
              </w:rPr>
              <m:t>V</m:t>
            </m:r>
          </m:e>
          <m:sub>
            <m:r>
              <m:rPr>
                <m:sty m:val="p"/>
              </m:rPr>
              <w:rPr>
                <w:rFonts w:ascii="Cambria Math" w:hAnsi="Cambria Math"/>
              </w:rPr>
              <m:t>Rj,min</m:t>
            </m:r>
          </m:sub>
        </m:sSub>
      </m:oMath>
      <w:r>
        <w:t xml:space="preserve"> by </w:t>
      </w:r>
      <m:oMath>
        <m:sSub>
          <m:sSubPr>
            <m:ctrlPr>
              <w:rPr>
                <w:rFonts w:ascii="Cambria Math" w:hAnsi="Cambria Math"/>
                <w:i/>
              </w:rPr>
            </m:ctrlPr>
          </m:sSubPr>
          <m:e>
            <m:r>
              <w:rPr>
                <w:rFonts w:ascii="Cambria Math" w:hAnsi="Cambria Math"/>
              </w:rPr>
              <m:t>V</m:t>
            </m:r>
          </m:e>
          <m:sub>
            <m:r>
              <m:rPr>
                <m:sty m:val="p"/>
              </m:rPr>
              <w:rPr>
                <w:rFonts w:ascii="Cambria Math" w:hAnsi="Cambria Math"/>
              </w:rPr>
              <m:t>Rdj,min</m:t>
            </m:r>
          </m:sub>
        </m:sSub>
      </m:oMath>
      <w:r>
        <w:t xml:space="preserve">, </w:t>
      </w:r>
      <m:oMath>
        <m:sSub>
          <m:sSubPr>
            <m:ctrlPr>
              <w:rPr>
                <w:rFonts w:ascii="Cambria Math" w:hAnsi="Cambria Math"/>
                <w:i/>
              </w:rPr>
            </m:ctrlPr>
          </m:sSubPr>
          <m:e>
            <m:r>
              <w:rPr>
                <w:rFonts w:ascii="Cambria Math" w:hAnsi="Cambria Math"/>
              </w:rPr>
              <m:t>V</m:t>
            </m:r>
          </m:e>
          <m:sub>
            <m:r>
              <m:rPr>
                <m:sty m:val="p"/>
              </m:rPr>
              <w:rPr>
                <w:rFonts w:ascii="Cambria Math" w:hAnsi="Cambria Math"/>
              </w:rPr>
              <m:t>Rj,min</m:t>
            </m:r>
          </m:sub>
        </m:sSub>
      </m:oMath>
      <w:r>
        <w:t xml:space="preserve"> by </w:t>
      </w:r>
      <m:oMath>
        <m:sSub>
          <m:sSubPr>
            <m:ctrlPr>
              <w:rPr>
                <w:rFonts w:ascii="Cambria Math" w:hAnsi="Cambria Math"/>
                <w:i/>
              </w:rPr>
            </m:ctrlPr>
          </m:sSubPr>
          <m:e>
            <m:r>
              <w:rPr>
                <w:rFonts w:ascii="Cambria Math" w:hAnsi="Cambria Math"/>
              </w:rPr>
              <m:t>V</m:t>
            </m:r>
          </m:e>
          <m:sub>
            <m:r>
              <m:rPr>
                <m:sty m:val="p"/>
              </m:rPr>
              <w:rPr>
                <w:rFonts w:ascii="Cambria Math" w:hAnsi="Cambria Math"/>
              </w:rPr>
              <m:t>Rdj,min</m:t>
            </m:r>
          </m:sub>
        </m:sSub>
      </m:oMath>
      <w:r>
        <w:t xml:space="preserve">, </w:t>
      </w:r>
      <m:oMath>
        <m:sSub>
          <m:sSubPr>
            <m:ctrlPr>
              <w:rPr>
                <w:rFonts w:ascii="Cambria Math" w:hAnsi="Cambria Math"/>
                <w:i/>
              </w:rPr>
            </m:ctrlPr>
          </m:sSubPr>
          <m:e>
            <m:r>
              <w:rPr>
                <w:rFonts w:ascii="Cambria Math" w:hAnsi="Cambria Math"/>
              </w:rPr>
              <m:t>V</m:t>
            </m:r>
          </m:e>
          <m:sub>
            <m:r>
              <m:rPr>
                <m:sty m:val="p"/>
              </m:rPr>
              <w:rPr>
                <w:rFonts w:ascii="Cambria Math" w:hAnsi="Cambria Math"/>
              </w:rPr>
              <m:t>Rj,h</m:t>
            </m:r>
          </m:sub>
        </m:sSub>
      </m:oMath>
      <w:r>
        <w:t xml:space="preserve"> by </w:t>
      </w:r>
      <m:oMath>
        <m:sSub>
          <m:sSubPr>
            <m:ctrlPr>
              <w:rPr>
                <w:rFonts w:ascii="Cambria Math" w:hAnsi="Cambria Math"/>
                <w:i/>
              </w:rPr>
            </m:ctrlPr>
          </m:sSubPr>
          <m:e>
            <m:r>
              <w:rPr>
                <w:rFonts w:ascii="Cambria Math" w:hAnsi="Cambria Math"/>
              </w:rPr>
              <m:t>V</m:t>
            </m:r>
          </m:e>
          <m:sub>
            <m:r>
              <m:rPr>
                <m:sty m:val="p"/>
              </m:rPr>
              <w:rPr>
                <w:rFonts w:ascii="Cambria Math" w:hAnsi="Cambria Math"/>
              </w:rPr>
              <m:t>Rdj,h</m:t>
            </m:r>
          </m:sub>
        </m:sSub>
      </m:oMath>
      <w:r>
        <w:t xml:space="preserve">, </w:t>
      </w:r>
      <w:r w:rsidRPr="00E05E29">
        <w:rPr>
          <w:i/>
          <w:iCs/>
        </w:rPr>
        <w:t>V</w:t>
      </w:r>
      <w:r w:rsidRPr="00E05E29">
        <w:rPr>
          <w:vertAlign w:val="subscript"/>
        </w:rPr>
        <w:t>Rj,c</w:t>
      </w:r>
      <w:r>
        <w:t xml:space="preserve"> by </w:t>
      </w:r>
      <w:r w:rsidRPr="00E05E29">
        <w:rPr>
          <w:i/>
          <w:iCs/>
        </w:rPr>
        <w:t>V</w:t>
      </w:r>
      <w:r w:rsidRPr="00E05E29">
        <w:rPr>
          <w:vertAlign w:val="subscript"/>
        </w:rPr>
        <w:t>Rdj,c</w:t>
      </w:r>
      <w:r w:rsidRPr="00C56B44">
        <w:t xml:space="preserve">, </w:t>
      </w:r>
      <w:r w:rsidRPr="00D1484A">
        <w:rPr>
          <w:i/>
          <w:iCs/>
        </w:rPr>
        <w:t>V</w:t>
      </w:r>
      <w:r w:rsidRPr="00D1484A">
        <w:rPr>
          <w:vertAlign w:val="subscript"/>
        </w:rPr>
        <w:t>Rj,v</w:t>
      </w:r>
      <w:r>
        <w:t xml:space="preserve"> by </w:t>
      </w:r>
      <w:r w:rsidRPr="00D1484A">
        <w:rPr>
          <w:i/>
          <w:iCs/>
        </w:rPr>
        <w:t>V</w:t>
      </w:r>
      <w:r w:rsidRPr="00D1484A">
        <w:rPr>
          <w:vertAlign w:val="subscript"/>
        </w:rPr>
        <w:t>Rdj,v</w:t>
      </w:r>
      <w:r w:rsidR="007C36A5">
        <w:t>;</w:t>
      </w:r>
    </w:p>
    <w:p w14:paraId="2261D061" w14:textId="095FD1FE" w:rsidR="00BC44E4" w:rsidRDefault="00BC44E4" w:rsidP="0080187E">
      <w:pPr>
        <w:pStyle w:val="List2"/>
        <w:numPr>
          <w:ilvl w:val="0"/>
          <w:numId w:val="121"/>
        </w:numPr>
        <w:spacing w:before="0" w:after="240" w:line="230" w:lineRule="atLeast"/>
        <w:contextualSpacing w:val="0"/>
      </w:pPr>
      <w:r>
        <w:t xml:space="preserve">The characteristic value of the steel yield strength </w:t>
      </w:r>
      <w:r w:rsidRPr="007B1837">
        <w:rPr>
          <w:i/>
          <w:iCs/>
        </w:rPr>
        <w:t>f</w:t>
      </w:r>
      <w:r w:rsidRPr="007B1837">
        <w:rPr>
          <w:vertAlign w:val="subscript"/>
        </w:rPr>
        <w:t>yk</w:t>
      </w:r>
      <w:r>
        <w:t xml:space="preserve"> (or </w:t>
      </w:r>
      <w:r w:rsidRPr="00D1484A">
        <w:rPr>
          <w:i/>
        </w:rPr>
        <w:t>f</w:t>
      </w:r>
      <w:r w:rsidRPr="00D1484A">
        <w:rPr>
          <w:vertAlign w:val="subscript"/>
        </w:rPr>
        <w:t>y</w:t>
      </w:r>
      <w:r>
        <w:rPr>
          <w:vertAlign w:val="subscript"/>
        </w:rPr>
        <w:t>k</w:t>
      </w:r>
      <w:r w:rsidRPr="00D1484A">
        <w:rPr>
          <w:vertAlign w:val="subscript"/>
        </w:rPr>
        <w:t>,h</w:t>
      </w:r>
      <w:r>
        <w:t xml:space="preserve"> or</w:t>
      </w:r>
      <w:r w:rsidRPr="00D1484A">
        <w:t xml:space="preserve"> </w:t>
      </w:r>
      <w:r w:rsidRPr="00D1484A">
        <w:rPr>
          <w:i/>
        </w:rPr>
        <w:t>f</w:t>
      </w:r>
      <w:r w:rsidRPr="00D1484A">
        <w:rPr>
          <w:vertAlign w:val="subscript"/>
        </w:rPr>
        <w:t>y</w:t>
      </w:r>
      <w:r>
        <w:rPr>
          <w:vertAlign w:val="subscript"/>
        </w:rPr>
        <w:t>k</w:t>
      </w:r>
      <w:r w:rsidRPr="00D1484A">
        <w:rPr>
          <w:vertAlign w:val="subscript"/>
        </w:rPr>
        <w:t>,v</w:t>
      </w:r>
      <w:r>
        <w:t xml:space="preserve">) </w:t>
      </w:r>
      <w:r w:rsidR="007C36A5">
        <w:t>is</w:t>
      </w:r>
      <w:r>
        <w:t xml:space="preserve"> replaced by the corresponding design value </w:t>
      </w:r>
      <m:oMath>
        <m:sSub>
          <m:sSubPr>
            <m:ctrlPr>
              <w:rPr>
                <w:rFonts w:ascii="Cambria Math" w:hAnsi="Cambria Math"/>
                <w:i/>
              </w:rPr>
            </m:ctrlPr>
          </m:sSubPr>
          <m:e>
            <m:r>
              <w:rPr>
                <w:rFonts w:ascii="Cambria Math" w:hAnsi="Cambria Math"/>
              </w:rPr>
              <m:t>f</m:t>
            </m:r>
          </m:e>
          <m:sub>
            <m:r>
              <m:rPr>
                <m:sty m:val="p"/>
              </m:rPr>
              <w:rPr>
                <w:rFonts w:ascii="Cambria Math" w:hAnsi="Cambria Math"/>
              </w:rPr>
              <m:t>yd</m:t>
            </m:r>
          </m:sub>
        </m:sSub>
      </m:oMath>
      <w:r>
        <w:t xml:space="preserve"> (or </w:t>
      </w:r>
      <w:r w:rsidRPr="00D1484A">
        <w:rPr>
          <w:i/>
        </w:rPr>
        <w:t>f</w:t>
      </w:r>
      <w:r w:rsidRPr="00D1484A">
        <w:rPr>
          <w:vertAlign w:val="subscript"/>
        </w:rPr>
        <w:t>yd,h</w:t>
      </w:r>
      <w:r>
        <w:t xml:space="preserve"> or</w:t>
      </w:r>
      <w:r w:rsidRPr="00D1484A">
        <w:t xml:space="preserve"> </w:t>
      </w:r>
      <w:r w:rsidRPr="00D1484A">
        <w:rPr>
          <w:i/>
        </w:rPr>
        <w:t>f</w:t>
      </w:r>
      <w:r w:rsidRPr="00D1484A">
        <w:rPr>
          <w:vertAlign w:val="subscript"/>
        </w:rPr>
        <w:t>yd,v</w:t>
      </w:r>
      <w:r>
        <w:t>)</w:t>
      </w:r>
      <w:r w:rsidR="007C36A5">
        <w:t>;</w:t>
      </w:r>
    </w:p>
    <w:p w14:paraId="1D83D63B" w14:textId="59694FC3" w:rsidR="00BC44E4" w:rsidRDefault="00BC44E4" w:rsidP="0080187E">
      <w:pPr>
        <w:pStyle w:val="List2"/>
        <w:numPr>
          <w:ilvl w:val="0"/>
          <w:numId w:val="121"/>
        </w:numPr>
        <w:spacing w:before="0" w:after="240" w:line="230" w:lineRule="atLeast"/>
        <w:contextualSpacing w:val="0"/>
      </w:pPr>
      <w:r>
        <w:t>The</w:t>
      </w:r>
      <w:r w:rsidRPr="00F253F3">
        <w:t xml:space="preserve"> mean </w:t>
      </w:r>
      <w:r>
        <w:t xml:space="preserve">value of concrete strength </w:t>
      </w:r>
      <m:oMath>
        <m:sSub>
          <m:sSubPr>
            <m:ctrlPr>
              <w:rPr>
                <w:rFonts w:ascii="Cambria Math" w:hAnsi="Cambria Math"/>
                <w:i/>
              </w:rPr>
            </m:ctrlPr>
          </m:sSubPr>
          <m:e>
            <m:r>
              <w:rPr>
                <w:rFonts w:ascii="Cambria Math" w:hAnsi="Cambria Math"/>
              </w:rPr>
              <m:t>f</m:t>
            </m:r>
          </m:e>
          <m:sub>
            <m:r>
              <m:rPr>
                <m:sty m:val="p"/>
              </m:rPr>
              <w:rPr>
                <w:rFonts w:ascii="Cambria Math" w:hAnsi="Cambria Math"/>
              </w:rPr>
              <m:t>cm</m:t>
            </m:r>
          </m:sub>
        </m:sSub>
      </m:oMath>
      <w:r>
        <w:t xml:space="preserve"> </w:t>
      </w:r>
      <w:r w:rsidR="007C36A5">
        <w:t>is</w:t>
      </w:r>
      <w:r>
        <w:t xml:space="preserve"> replaced by the design value </w:t>
      </w:r>
      <m:oMath>
        <m:sSub>
          <m:sSubPr>
            <m:ctrlPr>
              <w:rPr>
                <w:rFonts w:ascii="Cambria Math" w:hAnsi="Cambria Math"/>
                <w:i/>
              </w:rPr>
            </m:ctrlPr>
          </m:sSubPr>
          <m:e>
            <m:r>
              <w:rPr>
                <w:rFonts w:ascii="Cambria Math" w:hAnsi="Cambria Math"/>
              </w:rPr>
              <m:t>f</m:t>
            </m:r>
          </m:e>
          <m:sub>
            <m:r>
              <m:rPr>
                <m:sty m:val="p"/>
              </m:rPr>
              <w:rPr>
                <w:rFonts w:ascii="Cambria Math" w:hAnsi="Cambria Math"/>
              </w:rPr>
              <m:t>cd</m:t>
            </m:r>
          </m:sub>
        </m:sSub>
      </m:oMath>
      <w:r w:rsidR="007C36A5">
        <w:t>;</w:t>
      </w:r>
    </w:p>
    <w:p w14:paraId="65BE69BA" w14:textId="72125371" w:rsidR="00BC44E4" w:rsidRDefault="00BC44E4" w:rsidP="0080187E">
      <w:pPr>
        <w:pStyle w:val="List2"/>
        <w:numPr>
          <w:ilvl w:val="0"/>
          <w:numId w:val="121"/>
        </w:numPr>
        <w:spacing w:before="0" w:after="240" w:line="230" w:lineRule="atLeast"/>
        <w:contextualSpacing w:val="0"/>
      </w:pPr>
      <w:r>
        <w:t xml:space="preserve">The mean value of concrete tensile strength </w:t>
      </w:r>
      <m:oMath>
        <m:sSub>
          <m:sSubPr>
            <m:ctrlPr>
              <w:rPr>
                <w:rFonts w:ascii="Cambria Math" w:hAnsi="Cambria Math"/>
              </w:rPr>
            </m:ctrlPr>
          </m:sSubPr>
          <m:e>
            <m:r>
              <w:rPr>
                <w:rFonts w:ascii="Cambria Math" w:hAnsi="Cambria Math"/>
              </w:rPr>
              <m:t>f</m:t>
            </m:r>
          </m:e>
          <m:sub>
            <m:r>
              <m:rPr>
                <m:sty m:val="p"/>
              </m:rPr>
              <w:rPr>
                <w:rFonts w:ascii="Cambria Math" w:hAnsi="Cambria Math"/>
              </w:rPr>
              <m:t>ctm</m:t>
            </m:r>
          </m:sub>
        </m:sSub>
      </m:oMath>
      <w:r>
        <w:t xml:space="preserve"> </w:t>
      </w:r>
      <w:r w:rsidR="007C36A5">
        <w:t>is</w:t>
      </w:r>
      <w:r>
        <w:t xml:space="preserve"> replaced by the design value </w:t>
      </w:r>
      <m:oMath>
        <m:sSub>
          <m:sSubPr>
            <m:ctrlPr>
              <w:rPr>
                <w:rFonts w:ascii="Cambria Math" w:hAnsi="Cambria Math"/>
              </w:rPr>
            </m:ctrlPr>
          </m:sSubPr>
          <m:e>
            <m:r>
              <w:rPr>
                <w:rFonts w:ascii="Cambria Math" w:hAnsi="Cambria Math"/>
              </w:rPr>
              <m:t>f</m:t>
            </m:r>
          </m:e>
          <m:sub>
            <m:r>
              <m:rPr>
                <m:sty m:val="p"/>
              </m:rPr>
              <w:rPr>
                <w:rFonts w:ascii="Cambria Math" w:hAnsi="Cambria Math"/>
              </w:rPr>
              <m:t>ctd</m:t>
            </m:r>
          </m:sub>
        </m:sSub>
      </m:oMath>
      <w:r w:rsidR="007C36A5">
        <w:t>.</w:t>
      </w:r>
    </w:p>
    <w:p w14:paraId="54EAEBAC" w14:textId="02265FE3" w:rsidR="00BC44E4" w:rsidRPr="007176CF" w:rsidRDefault="00BC44E4" w:rsidP="00724E4E">
      <w:pPr>
        <w:pStyle w:val="Clause"/>
      </w:pPr>
      <w:r w:rsidRPr="007176CF">
        <w:t xml:space="preserve">Alternatively </w:t>
      </w:r>
      <w:r w:rsidRPr="007C36A5">
        <w:t>to (5), the values in Table 10.</w:t>
      </w:r>
      <w:r w:rsidR="00A5424C">
        <w:t>6</w:t>
      </w:r>
      <w:r w:rsidRPr="007C36A5">
        <w:t xml:space="preserve"> may be taken as minimum horizontal shear reinforcement ratio in joints (</w:t>
      </w:r>
      <w:r w:rsidRPr="007C36A5">
        <w:rPr>
          <w:i/>
          <w:iCs/>
        </w:rPr>
        <w:t>ρ</w:t>
      </w:r>
      <w:r w:rsidRPr="007C36A5">
        <w:rPr>
          <w:vertAlign w:val="subscript"/>
        </w:rPr>
        <w:t>sh</w:t>
      </w:r>
      <w:r>
        <w:t> </w:t>
      </w:r>
      <w:r w:rsidRPr="004030A7">
        <w:rPr>
          <w:rFonts w:ascii="Symbol" w:hAnsi="Symbol"/>
        </w:rPr>
        <w:t></w:t>
      </w:r>
      <w:r>
        <w:t> </w:t>
      </w:r>
      <w:r w:rsidRPr="004030A7">
        <w:rPr>
          <w:i/>
          <w:iCs/>
        </w:rPr>
        <w:t>A</w:t>
      </w:r>
      <w:r w:rsidRPr="004030A7">
        <w:rPr>
          <w:vertAlign w:val="subscript"/>
        </w:rPr>
        <w:t>sh</w:t>
      </w:r>
      <w:r w:rsidRPr="007176CF">
        <w:t>/(</w:t>
      </w:r>
      <w:r w:rsidRPr="004030A7">
        <w:rPr>
          <w:i/>
          <w:iCs/>
        </w:rPr>
        <w:t>b</w:t>
      </w:r>
      <w:r w:rsidRPr="004030A7">
        <w:rPr>
          <w:vertAlign w:val="subscript"/>
        </w:rPr>
        <w:t>j,ef</w:t>
      </w:r>
      <w:r>
        <w:t> </w:t>
      </w:r>
      <w:r w:rsidRPr="004030A7">
        <w:rPr>
          <w:i/>
          <w:iCs/>
        </w:rPr>
        <w:t>h</w:t>
      </w:r>
      <w:r>
        <w:t> </w:t>
      </w:r>
      <w:r w:rsidRPr="004030A7">
        <w:rPr>
          <w:i/>
          <w:iCs/>
        </w:rPr>
        <w:t>b</w:t>
      </w:r>
      <w:r w:rsidRPr="007176CF">
        <w:t>)), when a) to f) are satisfied:</w:t>
      </w:r>
    </w:p>
    <w:p w14:paraId="535FFCED" w14:textId="77777777" w:rsidR="00BC44E4" w:rsidRPr="007176CF" w:rsidRDefault="00BC44E4" w:rsidP="0080187E">
      <w:pPr>
        <w:pStyle w:val="List2"/>
        <w:numPr>
          <w:ilvl w:val="0"/>
          <w:numId w:val="122"/>
        </w:numPr>
        <w:spacing w:before="0" w:after="240" w:line="230" w:lineRule="atLeast"/>
        <w:contextualSpacing w:val="0"/>
      </w:pPr>
      <w:r w:rsidRPr="007176CF">
        <w:t xml:space="preserve">Axial load ratio: </w:t>
      </w:r>
      <w:r w:rsidRPr="007176CF">
        <w:rPr>
          <w:rFonts w:ascii="Symbol" w:hAnsi="Symbol" w:cs="Symbol"/>
          <w:i/>
          <w:sz w:val="23"/>
          <w:szCs w:val="23"/>
        </w:rPr>
        <w:t></w:t>
      </w:r>
      <w:r w:rsidRPr="007176CF">
        <w:t xml:space="preserve"> </w:t>
      </w:r>
      <w:r>
        <w:t> </w:t>
      </w:r>
      <w:r w:rsidRPr="007176CF">
        <w:t xml:space="preserve">≥ 0,1 for interior joints; and 0,1 ≤ </w:t>
      </w:r>
      <w:r w:rsidRPr="007176CF">
        <w:rPr>
          <w:rFonts w:ascii="Symbol" w:hAnsi="Symbol" w:cs="Symbol"/>
          <w:i/>
          <w:sz w:val="23"/>
          <w:szCs w:val="23"/>
        </w:rPr>
        <w:t></w:t>
      </w:r>
      <w:r w:rsidRPr="007176CF">
        <w:t xml:space="preserve"> ≤ 0,25 for exterior joints</w:t>
      </w:r>
      <w:r>
        <w:t>;</w:t>
      </w:r>
    </w:p>
    <w:p w14:paraId="2476E8F7" w14:textId="77777777" w:rsidR="00BC44E4" w:rsidRPr="007176CF" w:rsidRDefault="00BC44E4" w:rsidP="0080187E">
      <w:pPr>
        <w:pStyle w:val="List2"/>
        <w:numPr>
          <w:ilvl w:val="0"/>
          <w:numId w:val="122"/>
        </w:numPr>
        <w:tabs>
          <w:tab w:val="num" w:pos="0"/>
        </w:tabs>
        <w:spacing w:before="0" w:after="240" w:line="230" w:lineRule="atLeast"/>
        <w:contextualSpacing w:val="0"/>
      </w:pPr>
      <w:r w:rsidRPr="007176CF">
        <w:rPr>
          <w:i/>
        </w:rPr>
        <w:t>b</w:t>
      </w:r>
      <w:r w:rsidRPr="007176CF">
        <w:rPr>
          <w:vertAlign w:val="subscript"/>
        </w:rPr>
        <w:t>b</w:t>
      </w:r>
      <w:r w:rsidRPr="007176CF">
        <w:t xml:space="preserve"> ≤ </w:t>
      </w:r>
      <w:r w:rsidRPr="007176CF">
        <w:rPr>
          <w:i/>
        </w:rPr>
        <w:t>b</w:t>
      </w:r>
      <w:r w:rsidRPr="007176CF">
        <w:rPr>
          <w:vertAlign w:val="subscript"/>
        </w:rPr>
        <w:t>c</w:t>
      </w:r>
      <w:r>
        <w:t>;</w:t>
      </w:r>
    </w:p>
    <w:p w14:paraId="00D40F8B" w14:textId="77777777" w:rsidR="00BC44E4" w:rsidRPr="007176CF" w:rsidRDefault="00BC44E4" w:rsidP="0080187E">
      <w:pPr>
        <w:pStyle w:val="List2"/>
        <w:numPr>
          <w:ilvl w:val="0"/>
          <w:numId w:val="122"/>
        </w:numPr>
        <w:tabs>
          <w:tab w:val="num" w:pos="0"/>
        </w:tabs>
        <w:spacing w:before="0" w:after="240" w:line="230" w:lineRule="atLeast"/>
        <w:contextualSpacing w:val="0"/>
      </w:pPr>
      <w:r w:rsidRPr="007176CF">
        <w:t>0</w:t>
      </w:r>
      <w:r>
        <w:t>,</w:t>
      </w:r>
      <w:r w:rsidRPr="007176CF">
        <w:t xml:space="preserve">20 m ≤ </w:t>
      </w:r>
      <w:r w:rsidRPr="007176CF">
        <w:rPr>
          <w:i/>
        </w:rPr>
        <w:t>b</w:t>
      </w:r>
      <w:r w:rsidRPr="007176CF">
        <w:rPr>
          <w:vertAlign w:val="subscript"/>
        </w:rPr>
        <w:t>b</w:t>
      </w:r>
      <w:r w:rsidRPr="007176CF">
        <w:t xml:space="preserve"> ≤ 0</w:t>
      </w:r>
      <w:r>
        <w:t>,</w:t>
      </w:r>
      <w:r w:rsidRPr="007176CF">
        <w:t>40 m</w:t>
      </w:r>
      <w:r>
        <w:t>;</w:t>
      </w:r>
    </w:p>
    <w:p w14:paraId="626509BB" w14:textId="77777777" w:rsidR="00BC44E4" w:rsidRPr="007176CF" w:rsidRDefault="00BC44E4" w:rsidP="0080187E">
      <w:pPr>
        <w:pStyle w:val="List2"/>
        <w:numPr>
          <w:ilvl w:val="0"/>
          <w:numId w:val="122"/>
        </w:numPr>
        <w:tabs>
          <w:tab w:val="num" w:pos="0"/>
        </w:tabs>
        <w:spacing w:before="0" w:after="240" w:line="230" w:lineRule="atLeast"/>
        <w:contextualSpacing w:val="0"/>
      </w:pPr>
      <w:r w:rsidRPr="007176CF">
        <w:t>0</w:t>
      </w:r>
      <w:r>
        <w:t>,</w:t>
      </w:r>
      <w:r w:rsidRPr="007176CF">
        <w:t xml:space="preserve">30 m ≤ </w:t>
      </w:r>
      <w:r w:rsidRPr="007176CF">
        <w:rPr>
          <w:i/>
        </w:rPr>
        <w:t>h</w:t>
      </w:r>
      <w:r w:rsidRPr="007176CF">
        <w:rPr>
          <w:vertAlign w:val="subscript"/>
        </w:rPr>
        <w:t>b</w:t>
      </w:r>
      <w:r w:rsidRPr="007176CF">
        <w:t xml:space="preserve"> ≤ 0</w:t>
      </w:r>
      <w:r>
        <w:t>,</w:t>
      </w:r>
      <w:r w:rsidRPr="007176CF">
        <w:t>60 m</w:t>
      </w:r>
      <w:r>
        <w:t>;</w:t>
      </w:r>
    </w:p>
    <w:p w14:paraId="59333AA7" w14:textId="77777777" w:rsidR="00BC44E4" w:rsidRPr="007176CF" w:rsidRDefault="00BC44E4" w:rsidP="0080187E">
      <w:pPr>
        <w:pStyle w:val="List2"/>
        <w:numPr>
          <w:ilvl w:val="0"/>
          <w:numId w:val="122"/>
        </w:numPr>
        <w:tabs>
          <w:tab w:val="num" w:pos="0"/>
        </w:tabs>
        <w:spacing w:before="0" w:after="240" w:line="230" w:lineRule="atLeast"/>
        <w:contextualSpacing w:val="0"/>
      </w:pPr>
      <w:r w:rsidRPr="007176CF">
        <w:t>0</w:t>
      </w:r>
      <w:r>
        <w:t>,</w:t>
      </w:r>
      <w:r w:rsidRPr="007176CF">
        <w:t xml:space="preserve">30 m ≤ </w:t>
      </w:r>
      <w:r w:rsidRPr="007176CF">
        <w:rPr>
          <w:i/>
        </w:rPr>
        <w:t>b</w:t>
      </w:r>
      <w:r w:rsidRPr="007176CF">
        <w:rPr>
          <w:vertAlign w:val="subscript"/>
        </w:rPr>
        <w:t>c</w:t>
      </w:r>
      <w:r w:rsidRPr="007176CF">
        <w:t xml:space="preserve"> ≤ 0</w:t>
      </w:r>
      <w:r>
        <w:t>,</w:t>
      </w:r>
      <w:r w:rsidRPr="007176CF">
        <w:t>60 m</w:t>
      </w:r>
      <w:r>
        <w:t>;</w:t>
      </w:r>
    </w:p>
    <w:p w14:paraId="1D5DF74E" w14:textId="77777777" w:rsidR="00BC44E4" w:rsidRPr="007176CF" w:rsidRDefault="00BC44E4" w:rsidP="0080187E">
      <w:pPr>
        <w:pStyle w:val="List2"/>
        <w:numPr>
          <w:ilvl w:val="0"/>
          <w:numId w:val="122"/>
        </w:numPr>
        <w:tabs>
          <w:tab w:val="num" w:pos="0"/>
        </w:tabs>
        <w:spacing w:before="0" w:after="240" w:line="230" w:lineRule="atLeast"/>
        <w:contextualSpacing w:val="0"/>
      </w:pPr>
      <w:r w:rsidRPr="007176CF">
        <w:t>0</w:t>
      </w:r>
      <w:r>
        <w:t>,</w:t>
      </w:r>
      <w:r w:rsidRPr="007176CF">
        <w:t xml:space="preserve">30 m ≤ </w:t>
      </w:r>
      <w:r w:rsidRPr="007176CF">
        <w:rPr>
          <w:i/>
        </w:rPr>
        <w:t>h</w:t>
      </w:r>
      <w:r w:rsidRPr="007176CF">
        <w:rPr>
          <w:vertAlign w:val="subscript"/>
        </w:rPr>
        <w:t>c</w:t>
      </w:r>
      <w:r w:rsidRPr="007176CF">
        <w:t xml:space="preserve"> ≤ 0</w:t>
      </w:r>
      <w:r>
        <w:t>,</w:t>
      </w:r>
      <w:r w:rsidRPr="007176CF">
        <w:t>60 m</w:t>
      </w:r>
      <w:r>
        <w:t>.</w:t>
      </w:r>
    </w:p>
    <w:p w14:paraId="38E52E9F" w14:textId="2F1B7B33" w:rsidR="00BC44E4" w:rsidRPr="007B6DA6" w:rsidRDefault="00BC44E4" w:rsidP="005447C2">
      <w:pPr>
        <w:pStyle w:val="Tabletitle"/>
        <w:keepLines/>
      </w:pPr>
      <w:r w:rsidRPr="007B6DA6">
        <w:lastRenderedPageBreak/>
        <w:t>Table 10.</w:t>
      </w:r>
      <w:r w:rsidR="00A5424C">
        <w:t>6</w:t>
      </w:r>
      <w:r w:rsidRPr="007B6DA6">
        <w:t xml:space="preserve"> </w:t>
      </w:r>
      <w:r w:rsidR="008B2C21" w:rsidRPr="00132C1E">
        <w:t>—</w:t>
      </w:r>
      <w:r w:rsidRPr="007B6DA6">
        <w:t xml:space="preserve"> Minimum horizontal reinforcement ratio in beam-column joints (</w:t>
      </w:r>
      <w:r w:rsidRPr="007B6DA6">
        <w:rPr>
          <w:i/>
          <w:iCs/>
        </w:rPr>
        <w:t>ρ</w:t>
      </w:r>
      <w:r w:rsidRPr="007B6DA6">
        <w:rPr>
          <w:vertAlign w:val="subscript"/>
        </w:rPr>
        <w:t>sh</w:t>
      </w:r>
      <w:r w:rsidRPr="007B6DA6">
        <w:t>)</w:t>
      </w:r>
    </w:p>
    <w:tbl>
      <w:tblPr>
        <w:tblW w:w="92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8"/>
        <w:gridCol w:w="1134"/>
        <w:gridCol w:w="1842"/>
        <w:gridCol w:w="1276"/>
        <w:gridCol w:w="1276"/>
        <w:gridCol w:w="1417"/>
        <w:gridCol w:w="1276"/>
      </w:tblGrid>
      <w:tr w:rsidR="00BC44E4" w:rsidRPr="00C264A3" w14:paraId="39C360D4" w14:textId="77777777" w:rsidTr="007C36A5">
        <w:trPr>
          <w:trHeight w:val="287"/>
        </w:trPr>
        <w:tc>
          <w:tcPr>
            <w:tcW w:w="998" w:type="dxa"/>
            <w:tcBorders>
              <w:top w:val="nil"/>
              <w:left w:val="nil"/>
              <w:bottom w:val="nil"/>
              <w:right w:val="single" w:sz="4" w:space="0" w:color="auto"/>
            </w:tcBorders>
          </w:tcPr>
          <w:p w14:paraId="4B3A67F2" w14:textId="77777777" w:rsidR="00BC44E4" w:rsidRPr="00C264A3" w:rsidRDefault="00BC44E4" w:rsidP="005447C2">
            <w:pPr>
              <w:keepNext/>
              <w:keepLines/>
              <w:spacing w:after="60"/>
              <w:ind w:right="-106"/>
            </w:pPr>
          </w:p>
        </w:tc>
        <w:tc>
          <w:tcPr>
            <w:tcW w:w="1134" w:type="dxa"/>
            <w:vMerge w:val="restart"/>
            <w:tcBorders>
              <w:left w:val="single" w:sz="4" w:space="0" w:color="auto"/>
            </w:tcBorders>
            <w:shd w:val="clear" w:color="auto" w:fill="auto"/>
            <w:vAlign w:val="center"/>
          </w:tcPr>
          <w:p w14:paraId="1AB2951E" w14:textId="77777777" w:rsidR="00BC44E4" w:rsidRPr="007C36A5" w:rsidRDefault="00BC44E4" w:rsidP="005447C2">
            <w:pPr>
              <w:keepNext/>
              <w:keepLines/>
              <w:spacing w:after="60"/>
              <w:ind w:right="-106"/>
              <w:rPr>
                <w:b/>
                <w:bCs/>
              </w:rPr>
            </w:pPr>
            <w:r w:rsidRPr="007C36A5">
              <w:rPr>
                <w:b/>
                <w:bCs/>
              </w:rPr>
              <w:t>Concrete grade</w:t>
            </w:r>
          </w:p>
        </w:tc>
        <w:tc>
          <w:tcPr>
            <w:tcW w:w="1842" w:type="dxa"/>
            <w:vMerge w:val="restart"/>
            <w:vAlign w:val="center"/>
          </w:tcPr>
          <w:p w14:paraId="500F7072" w14:textId="34CBB6B1" w:rsidR="00BC44E4" w:rsidRPr="007C36A5" w:rsidRDefault="00BC44E4" w:rsidP="005447C2">
            <w:pPr>
              <w:keepNext/>
              <w:keepLines/>
              <w:spacing w:after="60"/>
              <w:ind w:left="31"/>
              <w:jc w:val="center"/>
            </w:pPr>
            <w:r w:rsidRPr="007C36A5">
              <w:t>Top (</w:t>
            </w:r>
            <w:r w:rsidRPr="007C36A5">
              <w:rPr>
                <w:i/>
                <w:iCs/>
              </w:rPr>
              <w:t>ρ</w:t>
            </w:r>
            <w:r w:rsidRPr="007C36A5">
              <w:rPr>
                <w:iCs/>
                <w:vertAlign w:val="subscript"/>
              </w:rPr>
              <w:t>s1</w:t>
            </w:r>
            <w:r w:rsidRPr="007C36A5">
              <w:t>) and bottom (</w:t>
            </w:r>
            <w:r w:rsidRPr="007C36A5">
              <w:rPr>
                <w:i/>
                <w:iCs/>
              </w:rPr>
              <w:t>ρ</w:t>
            </w:r>
            <w:r w:rsidRPr="007C36A5">
              <w:rPr>
                <w:iCs/>
                <w:vertAlign w:val="subscript"/>
              </w:rPr>
              <w:t>s2</w:t>
            </w:r>
            <w:r w:rsidRPr="007C36A5">
              <w:t>) beam longitudinal reinforcement ratio of beams generating shear in the joints</w:t>
            </w:r>
          </w:p>
        </w:tc>
        <w:tc>
          <w:tcPr>
            <w:tcW w:w="5245" w:type="dxa"/>
            <w:gridSpan w:val="4"/>
          </w:tcPr>
          <w:p w14:paraId="7B59A95D" w14:textId="77777777" w:rsidR="00BC44E4" w:rsidRPr="007C36A5" w:rsidRDefault="00BC44E4" w:rsidP="005447C2">
            <w:pPr>
              <w:keepNext/>
              <w:keepLines/>
              <w:spacing w:after="60"/>
              <w:ind w:left="-104"/>
              <w:jc w:val="center"/>
              <w:rPr>
                <w:b/>
                <w:bCs/>
              </w:rPr>
            </w:pPr>
            <w:r w:rsidRPr="007C36A5">
              <w:rPr>
                <w:b/>
                <w:bCs/>
              </w:rPr>
              <w:t>Steel grade</w:t>
            </w:r>
          </w:p>
        </w:tc>
      </w:tr>
      <w:tr w:rsidR="00BC44E4" w:rsidRPr="00C264A3" w14:paraId="079F8002" w14:textId="77777777" w:rsidTr="007C36A5">
        <w:trPr>
          <w:trHeight w:val="287"/>
        </w:trPr>
        <w:tc>
          <w:tcPr>
            <w:tcW w:w="998" w:type="dxa"/>
            <w:tcBorders>
              <w:top w:val="nil"/>
              <w:left w:val="nil"/>
              <w:bottom w:val="nil"/>
              <w:right w:val="single" w:sz="4" w:space="0" w:color="auto"/>
            </w:tcBorders>
          </w:tcPr>
          <w:p w14:paraId="17666B3A" w14:textId="77777777" w:rsidR="00BC44E4" w:rsidRPr="00C264A3" w:rsidRDefault="00BC44E4" w:rsidP="005447C2">
            <w:pPr>
              <w:keepNext/>
              <w:keepLines/>
              <w:spacing w:after="60"/>
              <w:ind w:right="-106"/>
            </w:pPr>
          </w:p>
        </w:tc>
        <w:tc>
          <w:tcPr>
            <w:tcW w:w="1134" w:type="dxa"/>
            <w:vMerge/>
            <w:tcBorders>
              <w:left w:val="single" w:sz="4" w:space="0" w:color="auto"/>
            </w:tcBorders>
            <w:shd w:val="clear" w:color="auto" w:fill="auto"/>
          </w:tcPr>
          <w:p w14:paraId="4F2C4B1D" w14:textId="77777777" w:rsidR="00BC44E4" w:rsidRPr="007C36A5" w:rsidRDefault="00BC44E4" w:rsidP="005447C2">
            <w:pPr>
              <w:keepNext/>
              <w:keepLines/>
              <w:spacing w:after="60"/>
              <w:ind w:right="-106"/>
              <w:rPr>
                <w:b/>
                <w:bCs/>
              </w:rPr>
            </w:pPr>
          </w:p>
        </w:tc>
        <w:tc>
          <w:tcPr>
            <w:tcW w:w="1842" w:type="dxa"/>
            <w:vMerge/>
          </w:tcPr>
          <w:p w14:paraId="714A7677" w14:textId="77777777" w:rsidR="00BC44E4" w:rsidRPr="00C264A3" w:rsidRDefault="00BC44E4" w:rsidP="005447C2">
            <w:pPr>
              <w:keepNext/>
              <w:keepLines/>
              <w:spacing w:after="60"/>
              <w:ind w:left="31"/>
              <w:jc w:val="center"/>
            </w:pPr>
          </w:p>
        </w:tc>
        <w:tc>
          <w:tcPr>
            <w:tcW w:w="2552" w:type="dxa"/>
            <w:gridSpan w:val="2"/>
          </w:tcPr>
          <w:p w14:paraId="50AFB8C1" w14:textId="77777777" w:rsidR="00BC44E4" w:rsidRPr="007C36A5" w:rsidRDefault="00BC44E4" w:rsidP="005447C2">
            <w:pPr>
              <w:keepNext/>
              <w:keepLines/>
              <w:spacing w:after="60"/>
              <w:ind w:left="-104"/>
              <w:jc w:val="center"/>
              <w:rPr>
                <w:b/>
                <w:bCs/>
              </w:rPr>
            </w:pPr>
            <w:r w:rsidRPr="007C36A5">
              <w:rPr>
                <w:b/>
                <w:bCs/>
              </w:rPr>
              <w:t>B400</w:t>
            </w:r>
          </w:p>
        </w:tc>
        <w:tc>
          <w:tcPr>
            <w:tcW w:w="2693" w:type="dxa"/>
            <w:gridSpan w:val="2"/>
          </w:tcPr>
          <w:p w14:paraId="004F91F8" w14:textId="77777777" w:rsidR="00BC44E4" w:rsidRPr="007C36A5" w:rsidRDefault="00BC44E4" w:rsidP="005447C2">
            <w:pPr>
              <w:keepNext/>
              <w:keepLines/>
              <w:spacing w:after="60"/>
              <w:ind w:left="-104"/>
              <w:jc w:val="center"/>
              <w:rPr>
                <w:b/>
                <w:bCs/>
              </w:rPr>
            </w:pPr>
            <w:r w:rsidRPr="007C36A5">
              <w:rPr>
                <w:b/>
                <w:bCs/>
              </w:rPr>
              <w:t>B500</w:t>
            </w:r>
          </w:p>
        </w:tc>
      </w:tr>
      <w:tr w:rsidR="00BC44E4" w:rsidRPr="00C264A3" w14:paraId="26E5294F" w14:textId="77777777" w:rsidTr="007C36A5">
        <w:trPr>
          <w:trHeight w:val="287"/>
        </w:trPr>
        <w:tc>
          <w:tcPr>
            <w:tcW w:w="998" w:type="dxa"/>
            <w:tcBorders>
              <w:top w:val="nil"/>
              <w:left w:val="nil"/>
              <w:bottom w:val="single" w:sz="4" w:space="0" w:color="auto"/>
              <w:right w:val="single" w:sz="4" w:space="0" w:color="auto"/>
            </w:tcBorders>
          </w:tcPr>
          <w:p w14:paraId="0CFE86F3" w14:textId="77777777" w:rsidR="00BC44E4" w:rsidRPr="00C264A3" w:rsidRDefault="00BC44E4" w:rsidP="005447C2">
            <w:pPr>
              <w:keepNext/>
              <w:keepLines/>
              <w:spacing w:after="60"/>
              <w:ind w:right="-106"/>
            </w:pPr>
          </w:p>
        </w:tc>
        <w:tc>
          <w:tcPr>
            <w:tcW w:w="1134" w:type="dxa"/>
            <w:vMerge/>
            <w:tcBorders>
              <w:left w:val="single" w:sz="4" w:space="0" w:color="auto"/>
            </w:tcBorders>
            <w:shd w:val="clear" w:color="auto" w:fill="auto"/>
          </w:tcPr>
          <w:p w14:paraId="1B8BDF4D" w14:textId="77777777" w:rsidR="00BC44E4" w:rsidRPr="007C36A5" w:rsidRDefault="00BC44E4" w:rsidP="005447C2">
            <w:pPr>
              <w:keepNext/>
              <w:keepLines/>
              <w:spacing w:after="60"/>
              <w:ind w:right="-106"/>
              <w:rPr>
                <w:b/>
                <w:bCs/>
              </w:rPr>
            </w:pPr>
          </w:p>
        </w:tc>
        <w:tc>
          <w:tcPr>
            <w:tcW w:w="1842" w:type="dxa"/>
            <w:vMerge/>
          </w:tcPr>
          <w:p w14:paraId="60025F0C" w14:textId="77777777" w:rsidR="00BC44E4" w:rsidRPr="00C264A3" w:rsidRDefault="00BC44E4" w:rsidP="005447C2">
            <w:pPr>
              <w:keepNext/>
              <w:keepLines/>
              <w:spacing w:after="60"/>
              <w:ind w:left="31"/>
              <w:jc w:val="center"/>
            </w:pPr>
          </w:p>
        </w:tc>
        <w:tc>
          <w:tcPr>
            <w:tcW w:w="1276" w:type="dxa"/>
            <w:vAlign w:val="center"/>
          </w:tcPr>
          <w:p w14:paraId="56052CA5" w14:textId="77777777" w:rsidR="00BC44E4" w:rsidRPr="00C264A3" w:rsidRDefault="00BC44E4" w:rsidP="005447C2">
            <w:pPr>
              <w:keepNext/>
              <w:keepLines/>
              <w:spacing w:after="60"/>
              <w:ind w:left="-104"/>
              <w:jc w:val="center"/>
            </w:pPr>
            <w:r w:rsidRPr="00C264A3">
              <w:t xml:space="preserve">0,75 ≤ </w:t>
            </w:r>
            <w:r w:rsidRPr="00C264A3">
              <w:rPr>
                <w:i/>
                <w:iCs/>
              </w:rPr>
              <w:t>h</w:t>
            </w:r>
            <w:r w:rsidRPr="00C264A3">
              <w:rPr>
                <w:vertAlign w:val="subscript"/>
              </w:rPr>
              <w:t>c</w:t>
            </w:r>
            <w:r w:rsidRPr="00C264A3">
              <w:t>/</w:t>
            </w:r>
            <w:r w:rsidRPr="00C264A3">
              <w:rPr>
                <w:i/>
                <w:iCs/>
              </w:rPr>
              <w:t>h</w:t>
            </w:r>
            <w:r w:rsidRPr="00C264A3">
              <w:rPr>
                <w:vertAlign w:val="subscript"/>
              </w:rPr>
              <w:t>b</w:t>
            </w:r>
            <w:r w:rsidRPr="00C264A3">
              <w:t xml:space="preserve"> &lt; 1,25</w:t>
            </w:r>
          </w:p>
        </w:tc>
        <w:tc>
          <w:tcPr>
            <w:tcW w:w="1276" w:type="dxa"/>
            <w:shd w:val="clear" w:color="auto" w:fill="auto"/>
            <w:vAlign w:val="center"/>
          </w:tcPr>
          <w:p w14:paraId="1F8E9541" w14:textId="77777777" w:rsidR="00BC44E4" w:rsidRPr="00C264A3" w:rsidRDefault="00BC44E4" w:rsidP="005447C2">
            <w:pPr>
              <w:keepNext/>
              <w:keepLines/>
              <w:spacing w:after="60"/>
              <w:ind w:left="-104"/>
              <w:jc w:val="center"/>
            </w:pPr>
            <w:r w:rsidRPr="00C264A3">
              <w:t xml:space="preserve">1,25 ≤ </w:t>
            </w:r>
            <w:r w:rsidRPr="00C264A3">
              <w:rPr>
                <w:i/>
                <w:iCs/>
              </w:rPr>
              <w:t>h</w:t>
            </w:r>
            <w:r w:rsidRPr="00C264A3">
              <w:rPr>
                <w:vertAlign w:val="subscript"/>
              </w:rPr>
              <w:t>c</w:t>
            </w:r>
            <w:r w:rsidRPr="00C264A3">
              <w:t>/</w:t>
            </w:r>
            <w:r w:rsidRPr="00C264A3">
              <w:rPr>
                <w:i/>
                <w:iCs/>
              </w:rPr>
              <w:t>h</w:t>
            </w:r>
            <w:r w:rsidRPr="00C264A3">
              <w:rPr>
                <w:vertAlign w:val="subscript"/>
              </w:rPr>
              <w:t>b</w:t>
            </w:r>
            <w:r w:rsidRPr="00C264A3">
              <w:t xml:space="preserve"> ≤ 2,0</w:t>
            </w:r>
          </w:p>
        </w:tc>
        <w:tc>
          <w:tcPr>
            <w:tcW w:w="1417" w:type="dxa"/>
            <w:vAlign w:val="center"/>
          </w:tcPr>
          <w:p w14:paraId="3C0093E3" w14:textId="77777777" w:rsidR="00BC44E4" w:rsidRPr="00C264A3" w:rsidRDefault="00BC44E4" w:rsidP="005447C2">
            <w:pPr>
              <w:keepNext/>
              <w:keepLines/>
              <w:spacing w:after="60"/>
              <w:ind w:left="32"/>
              <w:jc w:val="center"/>
            </w:pPr>
            <w:r w:rsidRPr="00C264A3">
              <w:t xml:space="preserve">0,75 ≤ </w:t>
            </w:r>
            <w:r w:rsidRPr="00C264A3">
              <w:rPr>
                <w:i/>
                <w:iCs/>
              </w:rPr>
              <w:t>h</w:t>
            </w:r>
            <w:r w:rsidRPr="00C264A3">
              <w:rPr>
                <w:vertAlign w:val="subscript"/>
              </w:rPr>
              <w:t>c</w:t>
            </w:r>
            <w:r w:rsidRPr="00C264A3">
              <w:t>/</w:t>
            </w:r>
            <w:r w:rsidRPr="00C264A3">
              <w:rPr>
                <w:i/>
                <w:iCs/>
              </w:rPr>
              <w:t>h</w:t>
            </w:r>
            <w:r w:rsidRPr="00C264A3">
              <w:rPr>
                <w:vertAlign w:val="subscript"/>
              </w:rPr>
              <w:t>b</w:t>
            </w:r>
            <w:r w:rsidRPr="00C264A3">
              <w:t xml:space="preserve"> &lt; 1,25</w:t>
            </w:r>
          </w:p>
        </w:tc>
        <w:tc>
          <w:tcPr>
            <w:tcW w:w="1276" w:type="dxa"/>
            <w:shd w:val="clear" w:color="auto" w:fill="auto"/>
            <w:vAlign w:val="center"/>
          </w:tcPr>
          <w:p w14:paraId="7D364AEC" w14:textId="77777777" w:rsidR="00BC44E4" w:rsidRPr="00C264A3" w:rsidRDefault="00BC44E4" w:rsidP="005447C2">
            <w:pPr>
              <w:keepNext/>
              <w:keepLines/>
              <w:spacing w:after="60"/>
              <w:ind w:left="-104"/>
              <w:jc w:val="center"/>
            </w:pPr>
            <w:r w:rsidRPr="00C264A3">
              <w:t xml:space="preserve">1,25 ≤ </w:t>
            </w:r>
            <w:r w:rsidRPr="00C264A3">
              <w:rPr>
                <w:i/>
                <w:iCs/>
              </w:rPr>
              <w:t>h</w:t>
            </w:r>
            <w:r w:rsidRPr="00C264A3">
              <w:rPr>
                <w:i/>
                <w:iCs/>
                <w:vertAlign w:val="subscript"/>
              </w:rPr>
              <w:t>c</w:t>
            </w:r>
            <w:r w:rsidRPr="00C264A3">
              <w:t>/</w:t>
            </w:r>
            <w:r w:rsidRPr="00C264A3">
              <w:rPr>
                <w:i/>
                <w:iCs/>
              </w:rPr>
              <w:t>h</w:t>
            </w:r>
            <w:r w:rsidRPr="00C264A3">
              <w:rPr>
                <w:vertAlign w:val="subscript"/>
              </w:rPr>
              <w:t>b</w:t>
            </w:r>
            <w:r w:rsidRPr="00C264A3">
              <w:t xml:space="preserve"> ≤ 2,0</w:t>
            </w:r>
          </w:p>
        </w:tc>
      </w:tr>
      <w:tr w:rsidR="00BC44E4" w:rsidRPr="00C264A3" w14:paraId="30B3E7B6" w14:textId="77777777" w:rsidTr="007C36A5">
        <w:trPr>
          <w:trHeight w:val="296"/>
        </w:trPr>
        <w:tc>
          <w:tcPr>
            <w:tcW w:w="998" w:type="dxa"/>
            <w:vMerge w:val="restart"/>
            <w:tcBorders>
              <w:top w:val="single" w:sz="4" w:space="0" w:color="auto"/>
            </w:tcBorders>
            <w:vAlign w:val="center"/>
          </w:tcPr>
          <w:p w14:paraId="406E92FE" w14:textId="77777777" w:rsidR="00BC44E4" w:rsidRPr="007C36A5" w:rsidRDefault="00BC44E4" w:rsidP="005447C2">
            <w:pPr>
              <w:keepNext/>
              <w:keepLines/>
              <w:spacing w:after="60"/>
              <w:ind w:right="-106"/>
              <w:rPr>
                <w:b/>
                <w:bCs/>
              </w:rPr>
            </w:pPr>
            <w:r w:rsidRPr="007C36A5">
              <w:rPr>
                <w:b/>
                <w:bCs/>
              </w:rPr>
              <w:t>Interior beam-column joints</w:t>
            </w:r>
          </w:p>
        </w:tc>
        <w:tc>
          <w:tcPr>
            <w:tcW w:w="1134" w:type="dxa"/>
            <w:vMerge w:val="restart"/>
            <w:shd w:val="clear" w:color="auto" w:fill="auto"/>
            <w:vAlign w:val="center"/>
          </w:tcPr>
          <w:p w14:paraId="6D09E533" w14:textId="77777777" w:rsidR="00BC44E4" w:rsidRPr="007C36A5" w:rsidRDefault="00BC44E4" w:rsidP="005447C2">
            <w:pPr>
              <w:keepNext/>
              <w:keepLines/>
              <w:spacing w:after="60"/>
              <w:ind w:right="-106"/>
              <w:rPr>
                <w:b/>
                <w:bCs/>
              </w:rPr>
            </w:pPr>
            <w:r w:rsidRPr="007C36A5">
              <w:rPr>
                <w:b/>
                <w:bCs/>
              </w:rPr>
              <w:t>C20-C25</w:t>
            </w:r>
          </w:p>
        </w:tc>
        <w:tc>
          <w:tcPr>
            <w:tcW w:w="1842" w:type="dxa"/>
            <w:vAlign w:val="center"/>
          </w:tcPr>
          <w:p w14:paraId="2FAAC7F2" w14:textId="31F37BAE" w:rsidR="00BC44E4" w:rsidRPr="00C264A3" w:rsidRDefault="00BC44E4" w:rsidP="005447C2">
            <w:pPr>
              <w:keepNext/>
              <w:keepLines/>
              <w:spacing w:after="60"/>
              <w:ind w:left="31"/>
              <w:jc w:val="center"/>
            </w:pPr>
            <w:r w:rsidRPr="00C264A3">
              <w:rPr>
                <w:i/>
                <w:iCs/>
              </w:rPr>
              <w:t>ρ</w:t>
            </w:r>
            <w:r w:rsidRPr="00C264A3">
              <w:rPr>
                <w:vertAlign w:val="subscript"/>
              </w:rPr>
              <w:t>s1</w:t>
            </w:r>
            <w:r w:rsidRPr="00C264A3">
              <w:t xml:space="preserve"> + </w:t>
            </w:r>
            <w:r w:rsidRPr="00C264A3">
              <w:rPr>
                <w:i/>
                <w:iCs/>
              </w:rPr>
              <w:t>ρ</w:t>
            </w:r>
            <w:r w:rsidRPr="00C264A3">
              <w:rPr>
                <w:vertAlign w:val="subscript"/>
              </w:rPr>
              <w:t>s2</w:t>
            </w:r>
            <w:r w:rsidRPr="00C264A3">
              <w:t xml:space="preserve"> ≤ 0,8</w:t>
            </w:r>
            <w:r w:rsidR="005447C2">
              <w:t> </w:t>
            </w:r>
            <w:r w:rsidRPr="00C264A3">
              <w:t>%</w:t>
            </w:r>
          </w:p>
        </w:tc>
        <w:tc>
          <w:tcPr>
            <w:tcW w:w="1276" w:type="dxa"/>
            <w:vAlign w:val="center"/>
          </w:tcPr>
          <w:p w14:paraId="45C5507A" w14:textId="6E31FD7F" w:rsidR="00BC44E4" w:rsidRPr="00C264A3" w:rsidRDefault="00BC44E4" w:rsidP="005447C2">
            <w:pPr>
              <w:keepNext/>
              <w:keepLines/>
              <w:spacing w:after="60"/>
              <w:ind w:left="-104"/>
              <w:jc w:val="center"/>
            </w:pPr>
            <w:r w:rsidRPr="00C264A3">
              <w:t>0,45</w:t>
            </w:r>
            <w:r w:rsidR="005447C2">
              <w:t> </w:t>
            </w:r>
            <w:r w:rsidRPr="00C264A3">
              <w:t>%</w:t>
            </w:r>
          </w:p>
        </w:tc>
        <w:tc>
          <w:tcPr>
            <w:tcW w:w="1276" w:type="dxa"/>
            <w:shd w:val="clear" w:color="auto" w:fill="auto"/>
            <w:vAlign w:val="center"/>
          </w:tcPr>
          <w:p w14:paraId="3DAD2FB0" w14:textId="5B72B997" w:rsidR="00BC44E4" w:rsidRPr="00C264A3" w:rsidRDefault="00BC44E4" w:rsidP="005447C2">
            <w:pPr>
              <w:keepNext/>
              <w:keepLines/>
              <w:spacing w:after="60"/>
              <w:ind w:left="-104"/>
              <w:jc w:val="center"/>
            </w:pPr>
            <w:r w:rsidRPr="00C264A3">
              <w:t>0,40</w:t>
            </w:r>
            <w:r w:rsidR="005447C2">
              <w:t> </w:t>
            </w:r>
            <w:r w:rsidRPr="00C264A3">
              <w:t>%</w:t>
            </w:r>
          </w:p>
        </w:tc>
        <w:tc>
          <w:tcPr>
            <w:tcW w:w="1417" w:type="dxa"/>
            <w:vAlign w:val="center"/>
          </w:tcPr>
          <w:p w14:paraId="380B44D6" w14:textId="282C0992" w:rsidR="00BC44E4" w:rsidRPr="00C264A3" w:rsidRDefault="00BC44E4" w:rsidP="005447C2">
            <w:pPr>
              <w:keepNext/>
              <w:keepLines/>
              <w:spacing w:after="60"/>
              <w:ind w:left="-104"/>
              <w:jc w:val="center"/>
            </w:pPr>
            <w:r w:rsidRPr="00C264A3">
              <w:t>0,55</w:t>
            </w:r>
            <w:r w:rsidR="005447C2">
              <w:t> </w:t>
            </w:r>
            <w:r w:rsidRPr="00C264A3">
              <w:t>%</w:t>
            </w:r>
          </w:p>
        </w:tc>
        <w:tc>
          <w:tcPr>
            <w:tcW w:w="1276" w:type="dxa"/>
            <w:shd w:val="clear" w:color="auto" w:fill="auto"/>
            <w:vAlign w:val="center"/>
          </w:tcPr>
          <w:p w14:paraId="235C8DAD" w14:textId="7B8CD0B9" w:rsidR="00BC44E4" w:rsidRPr="00C264A3" w:rsidRDefault="00BC44E4" w:rsidP="005447C2">
            <w:pPr>
              <w:keepNext/>
              <w:keepLines/>
              <w:spacing w:after="60"/>
              <w:ind w:left="-104"/>
              <w:jc w:val="center"/>
            </w:pPr>
            <w:r w:rsidRPr="00C264A3">
              <w:t>0,45</w:t>
            </w:r>
            <w:r w:rsidR="005447C2">
              <w:t> </w:t>
            </w:r>
            <w:r w:rsidRPr="00C264A3">
              <w:t>%</w:t>
            </w:r>
          </w:p>
        </w:tc>
      </w:tr>
      <w:tr w:rsidR="00BC44E4" w:rsidRPr="00C264A3" w14:paraId="252C8A44" w14:textId="77777777" w:rsidTr="007C36A5">
        <w:trPr>
          <w:trHeight w:val="337"/>
        </w:trPr>
        <w:tc>
          <w:tcPr>
            <w:tcW w:w="998" w:type="dxa"/>
            <w:vMerge/>
            <w:vAlign w:val="center"/>
          </w:tcPr>
          <w:p w14:paraId="00CCFDFF" w14:textId="77777777" w:rsidR="00BC44E4" w:rsidRPr="007C36A5" w:rsidRDefault="00BC44E4" w:rsidP="005447C2">
            <w:pPr>
              <w:keepNext/>
              <w:keepLines/>
              <w:spacing w:after="60"/>
              <w:ind w:right="-106"/>
              <w:rPr>
                <w:b/>
                <w:bCs/>
              </w:rPr>
            </w:pPr>
          </w:p>
        </w:tc>
        <w:tc>
          <w:tcPr>
            <w:tcW w:w="1134" w:type="dxa"/>
            <w:vMerge/>
            <w:shd w:val="clear" w:color="auto" w:fill="auto"/>
            <w:vAlign w:val="center"/>
          </w:tcPr>
          <w:p w14:paraId="5338E10C" w14:textId="77777777" w:rsidR="00BC44E4" w:rsidRPr="007C36A5" w:rsidRDefault="00BC44E4" w:rsidP="005447C2">
            <w:pPr>
              <w:keepNext/>
              <w:keepLines/>
              <w:spacing w:after="60"/>
              <w:ind w:right="-106"/>
              <w:rPr>
                <w:b/>
                <w:bCs/>
              </w:rPr>
            </w:pPr>
          </w:p>
        </w:tc>
        <w:tc>
          <w:tcPr>
            <w:tcW w:w="1842" w:type="dxa"/>
            <w:vAlign w:val="center"/>
          </w:tcPr>
          <w:p w14:paraId="481E7927" w14:textId="384208F5" w:rsidR="00BC44E4" w:rsidRPr="00C264A3" w:rsidRDefault="00BC44E4" w:rsidP="005447C2">
            <w:pPr>
              <w:keepNext/>
              <w:keepLines/>
              <w:spacing w:after="60"/>
              <w:ind w:left="31"/>
              <w:jc w:val="center"/>
            </w:pPr>
            <w:r w:rsidRPr="00C264A3">
              <w:t>0,8</w:t>
            </w:r>
            <w:r w:rsidR="00D4445A">
              <w:t> </w:t>
            </w:r>
            <w:r w:rsidRPr="00C264A3">
              <w:t xml:space="preserve">% &lt; </w:t>
            </w:r>
            <w:r w:rsidRPr="00C264A3">
              <w:rPr>
                <w:i/>
                <w:iCs/>
              </w:rPr>
              <w:t>ρ</w:t>
            </w:r>
            <w:r w:rsidRPr="00C264A3">
              <w:rPr>
                <w:vertAlign w:val="subscript"/>
              </w:rPr>
              <w:t>s1</w:t>
            </w:r>
            <w:r w:rsidRPr="00C264A3">
              <w:t xml:space="preserve"> + </w:t>
            </w:r>
            <w:r w:rsidRPr="00C264A3">
              <w:rPr>
                <w:i/>
                <w:iCs/>
              </w:rPr>
              <w:t>ρ</w:t>
            </w:r>
            <w:r w:rsidRPr="00C264A3">
              <w:rPr>
                <w:vertAlign w:val="subscript"/>
              </w:rPr>
              <w:t>s2</w:t>
            </w:r>
            <w:r w:rsidRPr="00C264A3">
              <w:t xml:space="preserve"> ≤ 1,2</w:t>
            </w:r>
            <w:r w:rsidR="005447C2">
              <w:t> </w:t>
            </w:r>
            <w:r w:rsidRPr="00C264A3">
              <w:t>%</w:t>
            </w:r>
          </w:p>
        </w:tc>
        <w:tc>
          <w:tcPr>
            <w:tcW w:w="1276" w:type="dxa"/>
            <w:vAlign w:val="center"/>
          </w:tcPr>
          <w:p w14:paraId="541AB2C5" w14:textId="0ED6DD30" w:rsidR="00BC44E4" w:rsidRPr="00C264A3" w:rsidRDefault="00BC44E4" w:rsidP="005447C2">
            <w:pPr>
              <w:keepNext/>
              <w:keepLines/>
              <w:spacing w:after="60"/>
              <w:ind w:left="-104"/>
              <w:jc w:val="center"/>
            </w:pPr>
            <w:r w:rsidRPr="00C264A3">
              <w:t>0,90</w:t>
            </w:r>
            <w:r w:rsidR="005447C2">
              <w:t> </w:t>
            </w:r>
            <w:r w:rsidRPr="00C264A3">
              <w:t>%</w:t>
            </w:r>
          </w:p>
        </w:tc>
        <w:tc>
          <w:tcPr>
            <w:tcW w:w="1276" w:type="dxa"/>
            <w:shd w:val="clear" w:color="auto" w:fill="auto"/>
            <w:vAlign w:val="center"/>
          </w:tcPr>
          <w:p w14:paraId="1F491519" w14:textId="5B46C4BF" w:rsidR="00BC44E4" w:rsidRPr="00C264A3" w:rsidRDefault="00BC44E4" w:rsidP="005447C2">
            <w:pPr>
              <w:keepNext/>
              <w:keepLines/>
              <w:spacing w:after="60"/>
              <w:ind w:left="-104"/>
              <w:jc w:val="center"/>
            </w:pPr>
            <w:r w:rsidRPr="00C264A3">
              <w:t>0,80</w:t>
            </w:r>
            <w:r w:rsidR="005447C2">
              <w:t> </w:t>
            </w:r>
            <w:r w:rsidRPr="00C264A3">
              <w:t>%</w:t>
            </w:r>
          </w:p>
        </w:tc>
        <w:tc>
          <w:tcPr>
            <w:tcW w:w="1417" w:type="dxa"/>
            <w:vAlign w:val="center"/>
          </w:tcPr>
          <w:p w14:paraId="51BB1847" w14:textId="3C77F77D" w:rsidR="00BC44E4" w:rsidRPr="00C264A3" w:rsidRDefault="00BC44E4" w:rsidP="005447C2">
            <w:pPr>
              <w:keepNext/>
              <w:keepLines/>
              <w:spacing w:after="60"/>
              <w:ind w:left="-104"/>
              <w:jc w:val="center"/>
            </w:pPr>
            <w:r w:rsidRPr="00C264A3">
              <w:t>1,00</w:t>
            </w:r>
            <w:r w:rsidR="005447C2">
              <w:t> </w:t>
            </w:r>
            <w:r w:rsidRPr="00C264A3">
              <w:t>%</w:t>
            </w:r>
          </w:p>
        </w:tc>
        <w:tc>
          <w:tcPr>
            <w:tcW w:w="1276" w:type="dxa"/>
            <w:shd w:val="clear" w:color="auto" w:fill="auto"/>
            <w:vAlign w:val="center"/>
          </w:tcPr>
          <w:p w14:paraId="119F3E7A" w14:textId="6430436A" w:rsidR="00BC44E4" w:rsidRPr="00C264A3" w:rsidRDefault="00BC44E4" w:rsidP="005447C2">
            <w:pPr>
              <w:keepNext/>
              <w:keepLines/>
              <w:spacing w:after="60"/>
              <w:ind w:left="-104"/>
              <w:jc w:val="center"/>
            </w:pPr>
            <w:r w:rsidRPr="00C264A3">
              <w:t>0,85</w:t>
            </w:r>
            <w:r w:rsidR="005447C2">
              <w:t> </w:t>
            </w:r>
            <w:r w:rsidRPr="00C264A3">
              <w:t>%</w:t>
            </w:r>
          </w:p>
        </w:tc>
      </w:tr>
      <w:tr w:rsidR="00BC44E4" w:rsidRPr="00C264A3" w14:paraId="717FB49D" w14:textId="77777777" w:rsidTr="007C36A5">
        <w:trPr>
          <w:trHeight w:val="337"/>
        </w:trPr>
        <w:tc>
          <w:tcPr>
            <w:tcW w:w="998" w:type="dxa"/>
            <w:vMerge/>
            <w:vAlign w:val="center"/>
          </w:tcPr>
          <w:p w14:paraId="38C1122B" w14:textId="77777777" w:rsidR="00BC44E4" w:rsidRPr="007C36A5" w:rsidRDefault="00BC44E4" w:rsidP="002061E5">
            <w:pPr>
              <w:spacing w:after="60"/>
              <w:ind w:right="-106"/>
              <w:rPr>
                <w:b/>
                <w:bCs/>
              </w:rPr>
            </w:pPr>
          </w:p>
        </w:tc>
        <w:tc>
          <w:tcPr>
            <w:tcW w:w="1134" w:type="dxa"/>
            <w:vMerge w:val="restart"/>
            <w:shd w:val="clear" w:color="auto" w:fill="auto"/>
            <w:vAlign w:val="center"/>
          </w:tcPr>
          <w:p w14:paraId="61E2CFB0" w14:textId="77777777" w:rsidR="00BC44E4" w:rsidRPr="007C36A5" w:rsidRDefault="00BC44E4" w:rsidP="002061E5">
            <w:pPr>
              <w:spacing w:after="60"/>
              <w:ind w:right="-106"/>
              <w:rPr>
                <w:rFonts w:ascii="Calibri" w:hAnsi="Calibri"/>
                <w:b/>
                <w:bCs/>
              </w:rPr>
            </w:pPr>
            <w:r w:rsidRPr="007C36A5">
              <w:rPr>
                <w:b/>
                <w:bCs/>
              </w:rPr>
              <w:t>C30-C45</w:t>
            </w:r>
          </w:p>
        </w:tc>
        <w:tc>
          <w:tcPr>
            <w:tcW w:w="1842" w:type="dxa"/>
            <w:vAlign w:val="center"/>
          </w:tcPr>
          <w:p w14:paraId="55468B7F" w14:textId="4C5BBB07" w:rsidR="00BC44E4" w:rsidRPr="00C264A3" w:rsidRDefault="00BC44E4" w:rsidP="002061E5">
            <w:pPr>
              <w:spacing w:after="60"/>
              <w:ind w:left="31"/>
              <w:jc w:val="center"/>
            </w:pPr>
            <w:r w:rsidRPr="00C264A3">
              <w:rPr>
                <w:i/>
                <w:iCs/>
              </w:rPr>
              <w:t>ρ</w:t>
            </w:r>
            <w:r w:rsidRPr="00C264A3">
              <w:rPr>
                <w:vertAlign w:val="subscript"/>
              </w:rPr>
              <w:t>s1</w:t>
            </w:r>
            <w:r w:rsidRPr="00C264A3">
              <w:t xml:space="preserve"> + </w:t>
            </w:r>
            <w:r w:rsidRPr="00C264A3">
              <w:rPr>
                <w:i/>
                <w:iCs/>
              </w:rPr>
              <w:t>ρ</w:t>
            </w:r>
            <w:r w:rsidRPr="00C264A3">
              <w:rPr>
                <w:vertAlign w:val="subscript"/>
              </w:rPr>
              <w:t>s2</w:t>
            </w:r>
            <w:r w:rsidRPr="00C264A3">
              <w:t xml:space="preserve"> ≤ 0,8</w:t>
            </w:r>
            <w:r w:rsidR="005447C2">
              <w:t> </w:t>
            </w:r>
            <w:r w:rsidRPr="00C264A3">
              <w:t>%</w:t>
            </w:r>
          </w:p>
        </w:tc>
        <w:tc>
          <w:tcPr>
            <w:tcW w:w="1276" w:type="dxa"/>
            <w:vAlign w:val="center"/>
          </w:tcPr>
          <w:p w14:paraId="0E626AF2" w14:textId="63F02B37" w:rsidR="00BC44E4" w:rsidRPr="00C264A3" w:rsidRDefault="00BC44E4" w:rsidP="002061E5">
            <w:pPr>
              <w:spacing w:after="60"/>
              <w:ind w:left="-104"/>
              <w:jc w:val="center"/>
            </w:pPr>
            <w:r w:rsidRPr="00C264A3">
              <w:t>0,40</w:t>
            </w:r>
            <w:r w:rsidR="005447C2">
              <w:t> </w:t>
            </w:r>
            <w:r w:rsidRPr="00C264A3">
              <w:t>%</w:t>
            </w:r>
          </w:p>
        </w:tc>
        <w:tc>
          <w:tcPr>
            <w:tcW w:w="1276" w:type="dxa"/>
            <w:shd w:val="clear" w:color="auto" w:fill="auto"/>
            <w:vAlign w:val="center"/>
          </w:tcPr>
          <w:p w14:paraId="70AD774A" w14:textId="44F6CCFF" w:rsidR="00BC44E4" w:rsidRPr="00C264A3" w:rsidRDefault="00BC44E4" w:rsidP="002061E5">
            <w:pPr>
              <w:spacing w:after="60"/>
              <w:ind w:left="-104"/>
              <w:jc w:val="center"/>
            </w:pPr>
            <w:r w:rsidRPr="00C264A3">
              <w:t>0,40</w:t>
            </w:r>
            <w:r w:rsidR="005447C2">
              <w:t> </w:t>
            </w:r>
            <w:r w:rsidRPr="00C264A3">
              <w:t>%</w:t>
            </w:r>
          </w:p>
        </w:tc>
        <w:tc>
          <w:tcPr>
            <w:tcW w:w="1417" w:type="dxa"/>
            <w:vAlign w:val="center"/>
          </w:tcPr>
          <w:p w14:paraId="49C6469F" w14:textId="615E3AE5" w:rsidR="00BC44E4" w:rsidRPr="00C264A3" w:rsidRDefault="00BC44E4" w:rsidP="002061E5">
            <w:pPr>
              <w:spacing w:after="60"/>
              <w:ind w:left="-104"/>
              <w:jc w:val="center"/>
            </w:pPr>
            <w:r w:rsidRPr="00C264A3">
              <w:t>0,45</w:t>
            </w:r>
            <w:r w:rsidR="005447C2">
              <w:t> </w:t>
            </w:r>
            <w:r w:rsidRPr="00C264A3">
              <w:t>%</w:t>
            </w:r>
          </w:p>
        </w:tc>
        <w:tc>
          <w:tcPr>
            <w:tcW w:w="1276" w:type="dxa"/>
            <w:shd w:val="clear" w:color="auto" w:fill="auto"/>
            <w:vAlign w:val="center"/>
          </w:tcPr>
          <w:p w14:paraId="56901B9A" w14:textId="2A971D3D" w:rsidR="00BC44E4" w:rsidRPr="00C264A3" w:rsidRDefault="00BC44E4" w:rsidP="002061E5">
            <w:pPr>
              <w:spacing w:after="60"/>
              <w:ind w:left="-104"/>
              <w:jc w:val="center"/>
            </w:pPr>
            <w:r w:rsidRPr="00C264A3">
              <w:t>0,45</w:t>
            </w:r>
            <w:r w:rsidR="005447C2">
              <w:t> </w:t>
            </w:r>
            <w:r w:rsidRPr="00C264A3">
              <w:t>%</w:t>
            </w:r>
          </w:p>
        </w:tc>
      </w:tr>
      <w:tr w:rsidR="00BC44E4" w:rsidRPr="00C264A3" w14:paraId="2E5E4F3B" w14:textId="77777777" w:rsidTr="007C36A5">
        <w:trPr>
          <w:trHeight w:val="329"/>
        </w:trPr>
        <w:tc>
          <w:tcPr>
            <w:tcW w:w="998" w:type="dxa"/>
            <w:vMerge/>
            <w:vAlign w:val="center"/>
          </w:tcPr>
          <w:p w14:paraId="4B40EACA" w14:textId="77777777" w:rsidR="00BC44E4" w:rsidRPr="007C36A5" w:rsidRDefault="00BC44E4" w:rsidP="002061E5">
            <w:pPr>
              <w:spacing w:after="60"/>
              <w:ind w:right="-106"/>
              <w:rPr>
                <w:b/>
                <w:bCs/>
              </w:rPr>
            </w:pPr>
          </w:p>
        </w:tc>
        <w:tc>
          <w:tcPr>
            <w:tcW w:w="1134" w:type="dxa"/>
            <w:vMerge/>
            <w:shd w:val="clear" w:color="auto" w:fill="auto"/>
            <w:vAlign w:val="center"/>
          </w:tcPr>
          <w:p w14:paraId="147C15B0" w14:textId="77777777" w:rsidR="00BC44E4" w:rsidRPr="007C36A5" w:rsidRDefault="00BC44E4" w:rsidP="002061E5">
            <w:pPr>
              <w:spacing w:after="60"/>
              <w:ind w:right="-106"/>
              <w:rPr>
                <w:b/>
                <w:bCs/>
              </w:rPr>
            </w:pPr>
          </w:p>
        </w:tc>
        <w:tc>
          <w:tcPr>
            <w:tcW w:w="1842" w:type="dxa"/>
            <w:vAlign w:val="center"/>
          </w:tcPr>
          <w:p w14:paraId="7758AD4B" w14:textId="2F38FCAB" w:rsidR="00BC44E4" w:rsidRPr="00C264A3" w:rsidRDefault="00BC44E4" w:rsidP="002061E5">
            <w:pPr>
              <w:spacing w:after="60"/>
              <w:ind w:left="31"/>
              <w:jc w:val="center"/>
            </w:pPr>
            <w:r w:rsidRPr="00C264A3">
              <w:t>0,8</w:t>
            </w:r>
            <w:r w:rsidR="00D4445A">
              <w:t> </w:t>
            </w:r>
            <w:r w:rsidRPr="00C264A3">
              <w:t xml:space="preserve">% &lt; </w:t>
            </w:r>
            <w:r w:rsidRPr="00C264A3">
              <w:rPr>
                <w:i/>
                <w:iCs/>
              </w:rPr>
              <w:t>ρ</w:t>
            </w:r>
            <w:r w:rsidRPr="00C264A3">
              <w:rPr>
                <w:vertAlign w:val="subscript"/>
              </w:rPr>
              <w:t>s1</w:t>
            </w:r>
            <w:r w:rsidRPr="00C264A3">
              <w:t xml:space="preserve"> + </w:t>
            </w:r>
            <w:r w:rsidRPr="00C264A3">
              <w:rPr>
                <w:i/>
                <w:iCs/>
              </w:rPr>
              <w:t>ρ</w:t>
            </w:r>
            <w:r w:rsidRPr="00C264A3">
              <w:rPr>
                <w:vertAlign w:val="subscript"/>
              </w:rPr>
              <w:t>s2</w:t>
            </w:r>
            <w:r w:rsidRPr="00C264A3">
              <w:t xml:space="preserve"> ≤ 1,2</w:t>
            </w:r>
            <w:r w:rsidR="005447C2">
              <w:t> </w:t>
            </w:r>
            <w:r w:rsidRPr="00C264A3">
              <w:t>%</w:t>
            </w:r>
          </w:p>
        </w:tc>
        <w:tc>
          <w:tcPr>
            <w:tcW w:w="1276" w:type="dxa"/>
            <w:vAlign w:val="center"/>
          </w:tcPr>
          <w:p w14:paraId="1FFD0478" w14:textId="0FB6C057" w:rsidR="00BC44E4" w:rsidRPr="00C264A3" w:rsidRDefault="00BC44E4" w:rsidP="005447C2">
            <w:pPr>
              <w:spacing w:after="60"/>
              <w:ind w:left="-110"/>
              <w:jc w:val="center"/>
            </w:pPr>
            <w:r w:rsidRPr="00C264A3">
              <w:t>0,80</w:t>
            </w:r>
            <w:r w:rsidR="005447C2">
              <w:t> </w:t>
            </w:r>
            <w:r w:rsidRPr="00C264A3">
              <w:t>%</w:t>
            </w:r>
          </w:p>
        </w:tc>
        <w:tc>
          <w:tcPr>
            <w:tcW w:w="1276" w:type="dxa"/>
            <w:shd w:val="clear" w:color="auto" w:fill="auto"/>
            <w:vAlign w:val="center"/>
          </w:tcPr>
          <w:p w14:paraId="48A12A90" w14:textId="4B2324E8" w:rsidR="00BC44E4" w:rsidRPr="00C264A3" w:rsidRDefault="00BC44E4" w:rsidP="002061E5">
            <w:pPr>
              <w:spacing w:after="60"/>
              <w:ind w:left="-104"/>
              <w:jc w:val="center"/>
            </w:pPr>
            <w:r w:rsidRPr="00C264A3">
              <w:t>0,65</w:t>
            </w:r>
            <w:r w:rsidR="005447C2">
              <w:t> </w:t>
            </w:r>
            <w:r w:rsidRPr="00C264A3">
              <w:t>%</w:t>
            </w:r>
          </w:p>
        </w:tc>
        <w:tc>
          <w:tcPr>
            <w:tcW w:w="1417" w:type="dxa"/>
            <w:vAlign w:val="center"/>
          </w:tcPr>
          <w:p w14:paraId="69EAAE47" w14:textId="77063DC7" w:rsidR="00BC44E4" w:rsidRPr="00C264A3" w:rsidRDefault="00BC44E4" w:rsidP="002061E5">
            <w:pPr>
              <w:spacing w:after="60"/>
              <w:ind w:left="-104"/>
              <w:jc w:val="center"/>
            </w:pPr>
            <w:r w:rsidRPr="00C264A3">
              <w:t>0,85</w:t>
            </w:r>
            <w:r w:rsidR="005447C2">
              <w:t> </w:t>
            </w:r>
            <w:r w:rsidRPr="00C264A3">
              <w:t>%</w:t>
            </w:r>
          </w:p>
        </w:tc>
        <w:tc>
          <w:tcPr>
            <w:tcW w:w="1276" w:type="dxa"/>
            <w:shd w:val="clear" w:color="auto" w:fill="auto"/>
            <w:vAlign w:val="center"/>
          </w:tcPr>
          <w:p w14:paraId="6B2CBD12" w14:textId="02497DF0" w:rsidR="00BC44E4" w:rsidRPr="00C264A3" w:rsidRDefault="00BC44E4" w:rsidP="002061E5">
            <w:pPr>
              <w:spacing w:after="60"/>
              <w:ind w:left="-104"/>
              <w:jc w:val="center"/>
            </w:pPr>
            <w:r w:rsidRPr="00C264A3">
              <w:t>0,70</w:t>
            </w:r>
            <w:r w:rsidR="005447C2">
              <w:t> </w:t>
            </w:r>
            <w:r w:rsidRPr="00C264A3">
              <w:t>%</w:t>
            </w:r>
          </w:p>
        </w:tc>
      </w:tr>
      <w:tr w:rsidR="00BC44E4" w:rsidRPr="00C264A3" w14:paraId="480B647E" w14:textId="77777777" w:rsidTr="007C36A5">
        <w:trPr>
          <w:trHeight w:val="337"/>
        </w:trPr>
        <w:tc>
          <w:tcPr>
            <w:tcW w:w="998" w:type="dxa"/>
            <w:vMerge/>
            <w:vAlign w:val="center"/>
          </w:tcPr>
          <w:p w14:paraId="73124F4A" w14:textId="77777777" w:rsidR="00BC44E4" w:rsidRPr="007C36A5" w:rsidRDefault="00BC44E4" w:rsidP="002061E5">
            <w:pPr>
              <w:spacing w:after="60"/>
              <w:ind w:right="-106"/>
              <w:rPr>
                <w:b/>
                <w:bCs/>
              </w:rPr>
            </w:pPr>
          </w:p>
        </w:tc>
        <w:tc>
          <w:tcPr>
            <w:tcW w:w="1134" w:type="dxa"/>
            <w:vMerge w:val="restart"/>
            <w:shd w:val="clear" w:color="auto" w:fill="auto"/>
            <w:vAlign w:val="center"/>
          </w:tcPr>
          <w:p w14:paraId="2078C751" w14:textId="77777777" w:rsidR="00BC44E4" w:rsidRPr="007C36A5" w:rsidRDefault="00BC44E4" w:rsidP="002061E5">
            <w:pPr>
              <w:spacing w:after="60"/>
              <w:ind w:right="-106"/>
              <w:rPr>
                <w:b/>
                <w:bCs/>
              </w:rPr>
            </w:pPr>
            <w:r w:rsidRPr="007C36A5">
              <w:rPr>
                <w:b/>
                <w:bCs/>
              </w:rPr>
              <w:t>C50-C90</w:t>
            </w:r>
          </w:p>
        </w:tc>
        <w:tc>
          <w:tcPr>
            <w:tcW w:w="1842" w:type="dxa"/>
            <w:vAlign w:val="center"/>
          </w:tcPr>
          <w:p w14:paraId="54832499" w14:textId="7F2EB7B5" w:rsidR="00BC44E4" w:rsidRPr="00C264A3" w:rsidRDefault="00BC44E4" w:rsidP="002061E5">
            <w:pPr>
              <w:spacing w:after="60"/>
              <w:ind w:left="31"/>
              <w:jc w:val="center"/>
            </w:pPr>
            <w:r w:rsidRPr="00C264A3">
              <w:rPr>
                <w:i/>
                <w:iCs/>
              </w:rPr>
              <w:t>ρ</w:t>
            </w:r>
            <w:r w:rsidRPr="00C264A3">
              <w:rPr>
                <w:vertAlign w:val="subscript"/>
              </w:rPr>
              <w:t>s1</w:t>
            </w:r>
            <w:r w:rsidRPr="00C264A3">
              <w:t xml:space="preserve"> + </w:t>
            </w:r>
            <w:r w:rsidRPr="00C264A3">
              <w:rPr>
                <w:i/>
                <w:iCs/>
              </w:rPr>
              <w:t>ρ</w:t>
            </w:r>
            <w:r w:rsidRPr="00C264A3">
              <w:rPr>
                <w:vertAlign w:val="subscript"/>
              </w:rPr>
              <w:t>s2</w:t>
            </w:r>
            <w:r w:rsidRPr="00C264A3">
              <w:t xml:space="preserve"> ≤ 0,8</w:t>
            </w:r>
            <w:r w:rsidR="005447C2">
              <w:t> </w:t>
            </w:r>
            <w:r w:rsidRPr="00C264A3">
              <w:t>%</w:t>
            </w:r>
          </w:p>
        </w:tc>
        <w:tc>
          <w:tcPr>
            <w:tcW w:w="1276" w:type="dxa"/>
            <w:vAlign w:val="center"/>
          </w:tcPr>
          <w:p w14:paraId="461FE7EF" w14:textId="70FD7789" w:rsidR="00BC44E4" w:rsidRPr="00C264A3" w:rsidRDefault="00BC44E4" w:rsidP="002061E5">
            <w:pPr>
              <w:spacing w:after="60"/>
              <w:ind w:left="-104"/>
              <w:jc w:val="center"/>
            </w:pPr>
            <w:r w:rsidRPr="00C264A3">
              <w:t>0,40</w:t>
            </w:r>
            <w:r w:rsidR="005447C2">
              <w:t> </w:t>
            </w:r>
            <w:r w:rsidRPr="00C264A3">
              <w:t>%</w:t>
            </w:r>
          </w:p>
        </w:tc>
        <w:tc>
          <w:tcPr>
            <w:tcW w:w="1276" w:type="dxa"/>
            <w:shd w:val="clear" w:color="auto" w:fill="auto"/>
            <w:vAlign w:val="center"/>
          </w:tcPr>
          <w:p w14:paraId="51119A4F" w14:textId="1E4BC30E" w:rsidR="00BC44E4" w:rsidRPr="00C264A3" w:rsidRDefault="00BC44E4" w:rsidP="002061E5">
            <w:pPr>
              <w:spacing w:after="60"/>
              <w:ind w:left="-104"/>
              <w:jc w:val="center"/>
            </w:pPr>
            <w:r w:rsidRPr="00C264A3">
              <w:t>0,40</w:t>
            </w:r>
            <w:r w:rsidR="005447C2">
              <w:t> </w:t>
            </w:r>
            <w:r w:rsidRPr="00C264A3">
              <w:t>%</w:t>
            </w:r>
          </w:p>
        </w:tc>
        <w:tc>
          <w:tcPr>
            <w:tcW w:w="1417" w:type="dxa"/>
            <w:vAlign w:val="center"/>
          </w:tcPr>
          <w:p w14:paraId="2B59A46A" w14:textId="457CEC49" w:rsidR="00BC44E4" w:rsidRPr="00C264A3" w:rsidRDefault="00BC44E4" w:rsidP="002061E5">
            <w:pPr>
              <w:spacing w:after="60"/>
              <w:ind w:left="-104"/>
              <w:jc w:val="center"/>
            </w:pPr>
            <w:r w:rsidRPr="00C264A3">
              <w:t>0,45</w:t>
            </w:r>
            <w:r w:rsidR="005447C2">
              <w:t> </w:t>
            </w:r>
            <w:r w:rsidRPr="00C264A3">
              <w:t>%</w:t>
            </w:r>
          </w:p>
        </w:tc>
        <w:tc>
          <w:tcPr>
            <w:tcW w:w="1276" w:type="dxa"/>
            <w:shd w:val="clear" w:color="auto" w:fill="auto"/>
            <w:vAlign w:val="center"/>
          </w:tcPr>
          <w:p w14:paraId="29053693" w14:textId="58710C52" w:rsidR="00BC44E4" w:rsidRPr="00C264A3" w:rsidRDefault="00BC44E4" w:rsidP="002061E5">
            <w:pPr>
              <w:spacing w:after="60"/>
              <w:ind w:left="-104"/>
              <w:jc w:val="center"/>
            </w:pPr>
            <w:r w:rsidRPr="00C264A3">
              <w:t>0,45</w:t>
            </w:r>
            <w:r w:rsidR="005447C2">
              <w:t> </w:t>
            </w:r>
            <w:r w:rsidRPr="00C264A3">
              <w:t>%</w:t>
            </w:r>
          </w:p>
        </w:tc>
      </w:tr>
      <w:tr w:rsidR="00BC44E4" w:rsidRPr="00C264A3" w14:paraId="35A3A4AB" w14:textId="77777777" w:rsidTr="007C36A5">
        <w:trPr>
          <w:trHeight w:val="329"/>
        </w:trPr>
        <w:tc>
          <w:tcPr>
            <w:tcW w:w="998" w:type="dxa"/>
            <w:vMerge/>
            <w:vAlign w:val="center"/>
          </w:tcPr>
          <w:p w14:paraId="781B0D5D" w14:textId="77777777" w:rsidR="00BC44E4" w:rsidRPr="007C36A5" w:rsidRDefault="00BC44E4" w:rsidP="002061E5">
            <w:pPr>
              <w:spacing w:after="60"/>
              <w:ind w:right="-106"/>
              <w:rPr>
                <w:b/>
                <w:bCs/>
              </w:rPr>
            </w:pPr>
          </w:p>
        </w:tc>
        <w:tc>
          <w:tcPr>
            <w:tcW w:w="1134" w:type="dxa"/>
            <w:vMerge/>
            <w:shd w:val="clear" w:color="auto" w:fill="auto"/>
            <w:vAlign w:val="center"/>
          </w:tcPr>
          <w:p w14:paraId="40DC8F96" w14:textId="77777777" w:rsidR="00BC44E4" w:rsidRPr="007C36A5" w:rsidRDefault="00BC44E4" w:rsidP="002061E5">
            <w:pPr>
              <w:spacing w:after="60"/>
              <w:ind w:right="-106"/>
              <w:rPr>
                <w:b/>
                <w:bCs/>
              </w:rPr>
            </w:pPr>
          </w:p>
        </w:tc>
        <w:tc>
          <w:tcPr>
            <w:tcW w:w="1842" w:type="dxa"/>
            <w:vAlign w:val="center"/>
          </w:tcPr>
          <w:p w14:paraId="687D4F6C" w14:textId="71B7B21D" w:rsidR="00BC44E4" w:rsidRPr="00C264A3" w:rsidRDefault="00BC44E4" w:rsidP="002061E5">
            <w:pPr>
              <w:spacing w:after="60"/>
              <w:ind w:left="31"/>
              <w:jc w:val="center"/>
            </w:pPr>
            <w:r w:rsidRPr="00C264A3">
              <w:t>0,8</w:t>
            </w:r>
            <w:r w:rsidR="00D4445A">
              <w:t> </w:t>
            </w:r>
            <w:r w:rsidRPr="00C264A3">
              <w:t xml:space="preserve">% &lt; </w:t>
            </w:r>
            <w:r w:rsidRPr="00C264A3">
              <w:rPr>
                <w:i/>
                <w:iCs/>
              </w:rPr>
              <w:t>ρ</w:t>
            </w:r>
            <w:r w:rsidRPr="00C264A3">
              <w:rPr>
                <w:vertAlign w:val="subscript"/>
              </w:rPr>
              <w:t>s1</w:t>
            </w:r>
            <w:r w:rsidRPr="00C264A3">
              <w:t xml:space="preserve"> + </w:t>
            </w:r>
            <w:r w:rsidRPr="00C264A3">
              <w:rPr>
                <w:i/>
                <w:iCs/>
              </w:rPr>
              <w:t>ρ</w:t>
            </w:r>
            <w:r w:rsidRPr="00C264A3">
              <w:rPr>
                <w:vertAlign w:val="subscript"/>
              </w:rPr>
              <w:t>s2</w:t>
            </w:r>
            <w:r w:rsidRPr="00C264A3">
              <w:t xml:space="preserve"> ≤ 1,2</w:t>
            </w:r>
            <w:r w:rsidR="005447C2">
              <w:t> </w:t>
            </w:r>
            <w:r w:rsidRPr="00C264A3">
              <w:t>%</w:t>
            </w:r>
          </w:p>
        </w:tc>
        <w:tc>
          <w:tcPr>
            <w:tcW w:w="1276" w:type="dxa"/>
            <w:vAlign w:val="center"/>
          </w:tcPr>
          <w:p w14:paraId="2A5CCB96" w14:textId="46DFA9DF" w:rsidR="00BC44E4" w:rsidRPr="00C264A3" w:rsidRDefault="00BC44E4" w:rsidP="002061E5">
            <w:pPr>
              <w:spacing w:after="60"/>
              <w:ind w:left="-104"/>
              <w:jc w:val="center"/>
            </w:pPr>
            <w:r w:rsidRPr="00C264A3">
              <w:t>0,55</w:t>
            </w:r>
            <w:r w:rsidR="005447C2">
              <w:t> </w:t>
            </w:r>
            <w:r w:rsidRPr="00C264A3">
              <w:t>%</w:t>
            </w:r>
          </w:p>
        </w:tc>
        <w:tc>
          <w:tcPr>
            <w:tcW w:w="1276" w:type="dxa"/>
            <w:shd w:val="clear" w:color="auto" w:fill="auto"/>
            <w:vAlign w:val="center"/>
          </w:tcPr>
          <w:p w14:paraId="44FAFBCE" w14:textId="5B86C3B4" w:rsidR="00BC44E4" w:rsidRPr="00C264A3" w:rsidRDefault="00BC44E4" w:rsidP="002061E5">
            <w:pPr>
              <w:spacing w:after="60"/>
              <w:ind w:left="-104"/>
              <w:jc w:val="center"/>
            </w:pPr>
            <w:r w:rsidRPr="00C264A3">
              <w:t>0,45</w:t>
            </w:r>
            <w:r w:rsidR="005447C2">
              <w:t> </w:t>
            </w:r>
            <w:r w:rsidRPr="00C264A3">
              <w:t>%</w:t>
            </w:r>
          </w:p>
        </w:tc>
        <w:tc>
          <w:tcPr>
            <w:tcW w:w="1417" w:type="dxa"/>
            <w:vAlign w:val="center"/>
          </w:tcPr>
          <w:p w14:paraId="6B9ADE28" w14:textId="6481830F" w:rsidR="00BC44E4" w:rsidRPr="00C264A3" w:rsidRDefault="00BC44E4" w:rsidP="002061E5">
            <w:pPr>
              <w:spacing w:after="60"/>
              <w:ind w:left="-104"/>
              <w:jc w:val="center"/>
            </w:pPr>
            <w:r w:rsidRPr="00C264A3">
              <w:t>0,70</w:t>
            </w:r>
            <w:r w:rsidR="005447C2">
              <w:t> </w:t>
            </w:r>
            <w:r w:rsidRPr="00C264A3">
              <w:t>%</w:t>
            </w:r>
          </w:p>
        </w:tc>
        <w:tc>
          <w:tcPr>
            <w:tcW w:w="1276" w:type="dxa"/>
            <w:shd w:val="clear" w:color="auto" w:fill="auto"/>
            <w:vAlign w:val="center"/>
          </w:tcPr>
          <w:p w14:paraId="2F4999F2" w14:textId="03F27F1C" w:rsidR="00BC44E4" w:rsidRPr="00C264A3" w:rsidRDefault="00BC44E4" w:rsidP="002061E5">
            <w:pPr>
              <w:spacing w:after="60"/>
              <w:ind w:left="-104"/>
              <w:jc w:val="center"/>
            </w:pPr>
            <w:r w:rsidRPr="00C264A3">
              <w:t>0,55</w:t>
            </w:r>
            <w:r w:rsidR="005447C2">
              <w:t> </w:t>
            </w:r>
            <w:r w:rsidRPr="00C264A3">
              <w:t>%</w:t>
            </w:r>
          </w:p>
        </w:tc>
      </w:tr>
      <w:tr w:rsidR="00BC44E4" w:rsidRPr="00C264A3" w14:paraId="68B145CF" w14:textId="77777777" w:rsidTr="007C36A5">
        <w:trPr>
          <w:trHeight w:val="329"/>
        </w:trPr>
        <w:tc>
          <w:tcPr>
            <w:tcW w:w="998" w:type="dxa"/>
            <w:vMerge w:val="restart"/>
            <w:vAlign w:val="center"/>
          </w:tcPr>
          <w:p w14:paraId="61F10019" w14:textId="77777777" w:rsidR="00BC44E4" w:rsidRPr="007C36A5" w:rsidRDefault="00BC44E4" w:rsidP="002061E5">
            <w:pPr>
              <w:spacing w:after="60"/>
              <w:ind w:right="-106"/>
              <w:rPr>
                <w:b/>
                <w:bCs/>
              </w:rPr>
            </w:pPr>
            <w:r w:rsidRPr="007C36A5">
              <w:rPr>
                <w:b/>
                <w:bCs/>
              </w:rPr>
              <w:t>Exterior beam-column joints</w:t>
            </w:r>
          </w:p>
        </w:tc>
        <w:tc>
          <w:tcPr>
            <w:tcW w:w="1134" w:type="dxa"/>
            <w:vMerge w:val="restart"/>
            <w:shd w:val="clear" w:color="auto" w:fill="auto"/>
            <w:vAlign w:val="center"/>
          </w:tcPr>
          <w:p w14:paraId="759D9FF6" w14:textId="77777777" w:rsidR="00BC44E4" w:rsidRPr="007C36A5" w:rsidRDefault="00BC44E4" w:rsidP="002061E5">
            <w:pPr>
              <w:spacing w:after="60"/>
              <w:ind w:right="-106"/>
              <w:rPr>
                <w:b/>
                <w:bCs/>
              </w:rPr>
            </w:pPr>
            <w:r w:rsidRPr="007C36A5">
              <w:rPr>
                <w:b/>
                <w:bCs/>
              </w:rPr>
              <w:t>C20-C25</w:t>
            </w:r>
          </w:p>
        </w:tc>
        <w:tc>
          <w:tcPr>
            <w:tcW w:w="1842" w:type="dxa"/>
            <w:vAlign w:val="center"/>
          </w:tcPr>
          <w:p w14:paraId="3B0E9B40" w14:textId="6A4995BB" w:rsidR="00BC44E4" w:rsidRPr="00C264A3" w:rsidDel="00043553" w:rsidRDefault="00BC44E4" w:rsidP="002061E5">
            <w:pPr>
              <w:spacing w:after="60"/>
              <w:ind w:left="31"/>
              <w:jc w:val="center"/>
            </w:pPr>
            <w:r w:rsidRPr="00C264A3">
              <w:t>max{</w:t>
            </w:r>
            <w:r w:rsidRPr="00C264A3">
              <w:rPr>
                <w:i/>
                <w:iCs/>
              </w:rPr>
              <w:t>ρ</w:t>
            </w:r>
            <w:r w:rsidRPr="00C264A3">
              <w:rPr>
                <w:vertAlign w:val="subscript"/>
              </w:rPr>
              <w:t>s1</w:t>
            </w:r>
            <w:r w:rsidRPr="00C264A3">
              <w:t>;</w:t>
            </w:r>
            <w:r w:rsidRPr="00C264A3">
              <w:rPr>
                <w:i/>
                <w:iCs/>
              </w:rPr>
              <w:t xml:space="preserve"> ρ</w:t>
            </w:r>
            <w:r w:rsidRPr="00C264A3">
              <w:rPr>
                <w:vertAlign w:val="subscript"/>
              </w:rPr>
              <w:t>s2</w:t>
            </w:r>
            <w:r w:rsidRPr="00C264A3">
              <w:t>} ≤ 0,6</w:t>
            </w:r>
            <w:r w:rsidR="005447C2">
              <w:t> </w:t>
            </w:r>
            <w:r w:rsidRPr="00C264A3">
              <w:t>%</w:t>
            </w:r>
          </w:p>
        </w:tc>
        <w:tc>
          <w:tcPr>
            <w:tcW w:w="1276" w:type="dxa"/>
            <w:vAlign w:val="center"/>
          </w:tcPr>
          <w:p w14:paraId="3A66BBE5" w14:textId="0D84A775" w:rsidR="00BC44E4" w:rsidRPr="00C264A3" w:rsidDel="00043553" w:rsidRDefault="00BC44E4" w:rsidP="002061E5">
            <w:pPr>
              <w:spacing w:after="60"/>
              <w:ind w:left="-104"/>
              <w:jc w:val="center"/>
            </w:pPr>
            <w:r w:rsidRPr="00C264A3">
              <w:t>0,45</w:t>
            </w:r>
            <w:r w:rsidR="005447C2">
              <w:t> </w:t>
            </w:r>
            <w:r w:rsidRPr="00C264A3">
              <w:t>%</w:t>
            </w:r>
          </w:p>
        </w:tc>
        <w:tc>
          <w:tcPr>
            <w:tcW w:w="1276" w:type="dxa"/>
            <w:shd w:val="clear" w:color="auto" w:fill="auto"/>
            <w:vAlign w:val="center"/>
          </w:tcPr>
          <w:p w14:paraId="12430B46" w14:textId="5C0EC581" w:rsidR="00BC44E4" w:rsidRPr="00C264A3" w:rsidDel="00043553" w:rsidRDefault="00BC44E4" w:rsidP="002061E5">
            <w:pPr>
              <w:spacing w:after="60"/>
              <w:ind w:left="-104"/>
              <w:jc w:val="center"/>
            </w:pPr>
            <w:r w:rsidRPr="00C264A3">
              <w:t>0,35</w:t>
            </w:r>
            <w:r w:rsidR="005447C2">
              <w:t> </w:t>
            </w:r>
            <w:r w:rsidRPr="00C264A3">
              <w:t>%</w:t>
            </w:r>
          </w:p>
        </w:tc>
        <w:tc>
          <w:tcPr>
            <w:tcW w:w="1417" w:type="dxa"/>
            <w:vAlign w:val="center"/>
          </w:tcPr>
          <w:p w14:paraId="3114300E" w14:textId="578DCEC8" w:rsidR="00BC44E4" w:rsidRPr="00C264A3" w:rsidDel="00043553" w:rsidRDefault="00BC44E4" w:rsidP="002061E5">
            <w:pPr>
              <w:spacing w:after="60"/>
              <w:ind w:left="-104"/>
              <w:jc w:val="center"/>
            </w:pPr>
            <w:r w:rsidRPr="00C264A3">
              <w:t>0,50</w:t>
            </w:r>
            <w:r w:rsidR="005447C2">
              <w:t> </w:t>
            </w:r>
            <w:r w:rsidRPr="00C264A3">
              <w:t>%</w:t>
            </w:r>
          </w:p>
        </w:tc>
        <w:tc>
          <w:tcPr>
            <w:tcW w:w="1276" w:type="dxa"/>
            <w:shd w:val="clear" w:color="auto" w:fill="auto"/>
            <w:vAlign w:val="center"/>
          </w:tcPr>
          <w:p w14:paraId="6E8468B1" w14:textId="09030D12" w:rsidR="00BC44E4" w:rsidRPr="00C264A3" w:rsidDel="00043553" w:rsidRDefault="00BC44E4" w:rsidP="002061E5">
            <w:pPr>
              <w:spacing w:after="60"/>
              <w:ind w:left="-104"/>
              <w:jc w:val="center"/>
            </w:pPr>
            <w:r w:rsidRPr="00C264A3">
              <w:t>0,45</w:t>
            </w:r>
            <w:r w:rsidR="005447C2">
              <w:t> </w:t>
            </w:r>
            <w:r w:rsidRPr="00C264A3">
              <w:t>%</w:t>
            </w:r>
          </w:p>
        </w:tc>
      </w:tr>
      <w:tr w:rsidR="00BC44E4" w:rsidRPr="00C264A3" w14:paraId="1B670DBE" w14:textId="77777777" w:rsidTr="007C36A5">
        <w:trPr>
          <w:trHeight w:val="329"/>
        </w:trPr>
        <w:tc>
          <w:tcPr>
            <w:tcW w:w="998" w:type="dxa"/>
            <w:vMerge/>
          </w:tcPr>
          <w:p w14:paraId="73D00B9C" w14:textId="77777777" w:rsidR="00BC44E4" w:rsidRPr="00C264A3" w:rsidRDefault="00BC44E4" w:rsidP="002061E5">
            <w:pPr>
              <w:spacing w:after="60"/>
              <w:ind w:right="-106"/>
            </w:pPr>
          </w:p>
        </w:tc>
        <w:tc>
          <w:tcPr>
            <w:tcW w:w="1134" w:type="dxa"/>
            <w:vMerge/>
            <w:shd w:val="clear" w:color="auto" w:fill="auto"/>
            <w:vAlign w:val="center"/>
          </w:tcPr>
          <w:p w14:paraId="0F5A51B7" w14:textId="77777777" w:rsidR="00BC44E4" w:rsidRPr="007C36A5" w:rsidRDefault="00BC44E4" w:rsidP="002061E5">
            <w:pPr>
              <w:spacing w:after="60"/>
              <w:ind w:right="-106"/>
              <w:rPr>
                <w:b/>
                <w:bCs/>
              </w:rPr>
            </w:pPr>
          </w:p>
        </w:tc>
        <w:tc>
          <w:tcPr>
            <w:tcW w:w="1842" w:type="dxa"/>
            <w:vAlign w:val="center"/>
          </w:tcPr>
          <w:p w14:paraId="16FD9EA4" w14:textId="789AB58B" w:rsidR="00BC44E4" w:rsidRPr="00C264A3" w:rsidDel="00043553" w:rsidRDefault="00BC44E4" w:rsidP="002061E5">
            <w:pPr>
              <w:spacing w:after="60"/>
              <w:ind w:left="31"/>
              <w:jc w:val="center"/>
            </w:pPr>
            <w:r w:rsidRPr="00C264A3">
              <w:t>0,6</w:t>
            </w:r>
            <w:r w:rsidR="00D4445A">
              <w:t> </w:t>
            </w:r>
            <w:r w:rsidRPr="00C264A3">
              <w:t>% &lt; max{</w:t>
            </w:r>
            <w:r w:rsidRPr="00C264A3">
              <w:rPr>
                <w:i/>
                <w:iCs/>
              </w:rPr>
              <w:t>ρ</w:t>
            </w:r>
            <w:r w:rsidRPr="00C264A3">
              <w:rPr>
                <w:vertAlign w:val="subscript"/>
              </w:rPr>
              <w:t>s1</w:t>
            </w:r>
            <w:r w:rsidRPr="00C264A3">
              <w:t>;</w:t>
            </w:r>
            <w:r w:rsidRPr="00C264A3">
              <w:rPr>
                <w:i/>
                <w:iCs/>
              </w:rPr>
              <w:t xml:space="preserve"> ρ</w:t>
            </w:r>
            <w:r w:rsidRPr="00C264A3">
              <w:rPr>
                <w:vertAlign w:val="subscript"/>
              </w:rPr>
              <w:t>s2</w:t>
            </w:r>
            <w:r w:rsidRPr="00C264A3">
              <w:t>} ≤ 0,8</w:t>
            </w:r>
            <w:r w:rsidR="005447C2">
              <w:t> </w:t>
            </w:r>
            <w:r w:rsidRPr="00C264A3">
              <w:t>%</w:t>
            </w:r>
          </w:p>
        </w:tc>
        <w:tc>
          <w:tcPr>
            <w:tcW w:w="1276" w:type="dxa"/>
            <w:vAlign w:val="center"/>
          </w:tcPr>
          <w:p w14:paraId="1ABBC628" w14:textId="3518E602" w:rsidR="00BC44E4" w:rsidRPr="00C264A3" w:rsidDel="00043553" w:rsidRDefault="00BC44E4" w:rsidP="002061E5">
            <w:pPr>
              <w:spacing w:after="60"/>
              <w:ind w:left="-104"/>
              <w:jc w:val="center"/>
            </w:pPr>
            <w:r w:rsidRPr="00C264A3">
              <w:t>0,70</w:t>
            </w:r>
            <w:r w:rsidR="005447C2">
              <w:t> </w:t>
            </w:r>
            <w:r w:rsidRPr="00C264A3">
              <w:t>%</w:t>
            </w:r>
          </w:p>
        </w:tc>
        <w:tc>
          <w:tcPr>
            <w:tcW w:w="1276" w:type="dxa"/>
            <w:shd w:val="clear" w:color="auto" w:fill="auto"/>
            <w:vAlign w:val="center"/>
          </w:tcPr>
          <w:p w14:paraId="30ADB86F" w14:textId="3DBBBC08" w:rsidR="00BC44E4" w:rsidRPr="00C264A3" w:rsidDel="00043553" w:rsidRDefault="00BC44E4" w:rsidP="002061E5">
            <w:pPr>
              <w:spacing w:after="60"/>
              <w:ind w:left="-104"/>
              <w:jc w:val="center"/>
            </w:pPr>
            <w:r w:rsidRPr="00C264A3">
              <w:t>0,60</w:t>
            </w:r>
            <w:r w:rsidR="005447C2">
              <w:t> </w:t>
            </w:r>
            <w:r w:rsidRPr="00C264A3">
              <w:t>%</w:t>
            </w:r>
          </w:p>
        </w:tc>
        <w:tc>
          <w:tcPr>
            <w:tcW w:w="1417" w:type="dxa"/>
            <w:vAlign w:val="center"/>
          </w:tcPr>
          <w:p w14:paraId="1389543E" w14:textId="7642C3EB" w:rsidR="00BC44E4" w:rsidRPr="00C264A3" w:rsidDel="00043553" w:rsidRDefault="00BC44E4" w:rsidP="002061E5">
            <w:pPr>
              <w:spacing w:after="60"/>
              <w:ind w:left="-104"/>
              <w:jc w:val="center"/>
            </w:pPr>
            <w:r w:rsidRPr="00C264A3">
              <w:t>0,70</w:t>
            </w:r>
            <w:r w:rsidR="005447C2">
              <w:t> </w:t>
            </w:r>
            <w:r w:rsidRPr="00C264A3">
              <w:t>%</w:t>
            </w:r>
          </w:p>
        </w:tc>
        <w:tc>
          <w:tcPr>
            <w:tcW w:w="1276" w:type="dxa"/>
            <w:shd w:val="clear" w:color="auto" w:fill="auto"/>
            <w:vAlign w:val="center"/>
          </w:tcPr>
          <w:p w14:paraId="167180CE" w14:textId="55193258" w:rsidR="00BC44E4" w:rsidRPr="00C264A3" w:rsidDel="00043553" w:rsidRDefault="00BC44E4" w:rsidP="002061E5">
            <w:pPr>
              <w:spacing w:after="60"/>
              <w:ind w:left="-104"/>
              <w:jc w:val="center"/>
            </w:pPr>
            <w:r w:rsidRPr="00C264A3">
              <w:t>0,65</w:t>
            </w:r>
            <w:r w:rsidR="005447C2">
              <w:t> </w:t>
            </w:r>
            <w:r w:rsidRPr="00C264A3">
              <w:t>%</w:t>
            </w:r>
          </w:p>
        </w:tc>
      </w:tr>
      <w:tr w:rsidR="00BC44E4" w:rsidRPr="00C264A3" w14:paraId="679C6737" w14:textId="77777777" w:rsidTr="007C36A5">
        <w:trPr>
          <w:trHeight w:val="329"/>
        </w:trPr>
        <w:tc>
          <w:tcPr>
            <w:tcW w:w="998" w:type="dxa"/>
            <w:vMerge/>
          </w:tcPr>
          <w:p w14:paraId="5B87009F" w14:textId="77777777" w:rsidR="00BC44E4" w:rsidRPr="00C264A3" w:rsidRDefault="00BC44E4" w:rsidP="002061E5">
            <w:pPr>
              <w:spacing w:after="60"/>
              <w:ind w:right="-106"/>
            </w:pPr>
          </w:p>
        </w:tc>
        <w:tc>
          <w:tcPr>
            <w:tcW w:w="1134" w:type="dxa"/>
            <w:vMerge w:val="restart"/>
            <w:shd w:val="clear" w:color="auto" w:fill="auto"/>
            <w:vAlign w:val="center"/>
          </w:tcPr>
          <w:p w14:paraId="652FC25B" w14:textId="77777777" w:rsidR="00BC44E4" w:rsidRPr="007C36A5" w:rsidRDefault="00BC44E4" w:rsidP="002061E5">
            <w:pPr>
              <w:spacing w:after="60"/>
              <w:ind w:right="-106"/>
              <w:rPr>
                <w:b/>
                <w:bCs/>
              </w:rPr>
            </w:pPr>
            <w:r w:rsidRPr="007C36A5">
              <w:rPr>
                <w:b/>
                <w:bCs/>
              </w:rPr>
              <w:t>C30-C45</w:t>
            </w:r>
          </w:p>
        </w:tc>
        <w:tc>
          <w:tcPr>
            <w:tcW w:w="1842" w:type="dxa"/>
            <w:vAlign w:val="center"/>
          </w:tcPr>
          <w:p w14:paraId="743FFACB" w14:textId="60F0A26C" w:rsidR="00BC44E4" w:rsidRPr="00C264A3" w:rsidDel="00043553" w:rsidRDefault="00BC44E4" w:rsidP="002061E5">
            <w:pPr>
              <w:spacing w:after="60"/>
              <w:ind w:left="31"/>
              <w:jc w:val="center"/>
            </w:pPr>
            <w:r w:rsidRPr="00C264A3">
              <w:t>max{</w:t>
            </w:r>
            <w:r w:rsidRPr="00C264A3">
              <w:rPr>
                <w:i/>
                <w:iCs/>
              </w:rPr>
              <w:t>ρ</w:t>
            </w:r>
            <w:r w:rsidRPr="00C264A3">
              <w:rPr>
                <w:vertAlign w:val="subscript"/>
              </w:rPr>
              <w:t>s1</w:t>
            </w:r>
            <w:r w:rsidRPr="00C264A3">
              <w:t>;</w:t>
            </w:r>
            <w:r w:rsidRPr="00C264A3">
              <w:rPr>
                <w:i/>
                <w:iCs/>
              </w:rPr>
              <w:t xml:space="preserve"> ρ</w:t>
            </w:r>
            <w:r w:rsidRPr="00C264A3">
              <w:rPr>
                <w:vertAlign w:val="subscript"/>
              </w:rPr>
              <w:t>s2</w:t>
            </w:r>
            <w:r w:rsidRPr="00C264A3">
              <w:t>} ≤ 0,6</w:t>
            </w:r>
            <w:r w:rsidR="005447C2">
              <w:t> </w:t>
            </w:r>
            <w:r w:rsidRPr="00C264A3">
              <w:t>%</w:t>
            </w:r>
          </w:p>
        </w:tc>
        <w:tc>
          <w:tcPr>
            <w:tcW w:w="1276" w:type="dxa"/>
            <w:vAlign w:val="center"/>
          </w:tcPr>
          <w:p w14:paraId="55852080" w14:textId="173C9E8A" w:rsidR="00BC44E4" w:rsidRPr="00C264A3" w:rsidDel="00043553" w:rsidRDefault="00BC44E4" w:rsidP="002061E5">
            <w:pPr>
              <w:spacing w:after="60"/>
              <w:ind w:left="-104"/>
              <w:jc w:val="center"/>
            </w:pPr>
            <w:r w:rsidRPr="00C264A3">
              <w:t>0,40</w:t>
            </w:r>
            <w:r w:rsidR="005447C2">
              <w:t> </w:t>
            </w:r>
            <w:r w:rsidRPr="00C264A3">
              <w:t>%</w:t>
            </w:r>
          </w:p>
        </w:tc>
        <w:tc>
          <w:tcPr>
            <w:tcW w:w="1276" w:type="dxa"/>
            <w:shd w:val="clear" w:color="auto" w:fill="auto"/>
            <w:vAlign w:val="center"/>
          </w:tcPr>
          <w:p w14:paraId="6F3CB7EC" w14:textId="66295466" w:rsidR="00BC44E4" w:rsidRPr="00C264A3" w:rsidDel="00043553" w:rsidRDefault="00BC44E4" w:rsidP="002061E5">
            <w:pPr>
              <w:spacing w:after="60"/>
              <w:ind w:left="-104"/>
              <w:jc w:val="center"/>
            </w:pPr>
            <w:r w:rsidRPr="00C264A3">
              <w:t>0,40</w:t>
            </w:r>
            <w:r w:rsidR="005447C2">
              <w:t> </w:t>
            </w:r>
            <w:r w:rsidRPr="00C264A3">
              <w:t>%</w:t>
            </w:r>
          </w:p>
        </w:tc>
        <w:tc>
          <w:tcPr>
            <w:tcW w:w="1417" w:type="dxa"/>
            <w:vAlign w:val="center"/>
          </w:tcPr>
          <w:p w14:paraId="0768C862" w14:textId="7A62F279" w:rsidR="00BC44E4" w:rsidRPr="00C264A3" w:rsidDel="00043553" w:rsidRDefault="00BC44E4" w:rsidP="002061E5">
            <w:pPr>
              <w:spacing w:after="60"/>
              <w:ind w:left="-104"/>
              <w:jc w:val="center"/>
            </w:pPr>
            <w:r w:rsidRPr="00C264A3">
              <w:t>0,40</w:t>
            </w:r>
            <w:r w:rsidR="005447C2">
              <w:t> </w:t>
            </w:r>
            <w:r w:rsidRPr="00C264A3">
              <w:t>%</w:t>
            </w:r>
          </w:p>
        </w:tc>
        <w:tc>
          <w:tcPr>
            <w:tcW w:w="1276" w:type="dxa"/>
            <w:shd w:val="clear" w:color="auto" w:fill="auto"/>
            <w:vAlign w:val="center"/>
          </w:tcPr>
          <w:p w14:paraId="59DBFD97" w14:textId="42AD4CC2" w:rsidR="00BC44E4" w:rsidRPr="00C264A3" w:rsidDel="00043553" w:rsidRDefault="00BC44E4" w:rsidP="002061E5">
            <w:pPr>
              <w:spacing w:after="60"/>
              <w:ind w:left="-104"/>
              <w:jc w:val="center"/>
            </w:pPr>
            <w:r w:rsidRPr="00C264A3">
              <w:t>0,40</w:t>
            </w:r>
            <w:r w:rsidR="005447C2">
              <w:t> </w:t>
            </w:r>
            <w:r w:rsidRPr="00C264A3">
              <w:t>%</w:t>
            </w:r>
          </w:p>
        </w:tc>
      </w:tr>
      <w:tr w:rsidR="00BC44E4" w:rsidRPr="00C264A3" w14:paraId="3B73D7DE" w14:textId="77777777" w:rsidTr="007C36A5">
        <w:trPr>
          <w:trHeight w:val="329"/>
        </w:trPr>
        <w:tc>
          <w:tcPr>
            <w:tcW w:w="998" w:type="dxa"/>
            <w:vMerge/>
          </w:tcPr>
          <w:p w14:paraId="76308F41" w14:textId="77777777" w:rsidR="00BC44E4" w:rsidRPr="00C264A3" w:rsidRDefault="00BC44E4" w:rsidP="002061E5">
            <w:pPr>
              <w:spacing w:after="60"/>
              <w:ind w:right="-106"/>
            </w:pPr>
          </w:p>
        </w:tc>
        <w:tc>
          <w:tcPr>
            <w:tcW w:w="1134" w:type="dxa"/>
            <w:vMerge/>
            <w:shd w:val="clear" w:color="auto" w:fill="auto"/>
            <w:vAlign w:val="center"/>
          </w:tcPr>
          <w:p w14:paraId="3FF4AE7E" w14:textId="77777777" w:rsidR="00BC44E4" w:rsidRPr="007C36A5" w:rsidRDefault="00BC44E4" w:rsidP="002061E5">
            <w:pPr>
              <w:spacing w:after="60"/>
              <w:ind w:right="-106"/>
              <w:rPr>
                <w:b/>
                <w:bCs/>
              </w:rPr>
            </w:pPr>
          </w:p>
        </w:tc>
        <w:tc>
          <w:tcPr>
            <w:tcW w:w="1842" w:type="dxa"/>
            <w:vAlign w:val="center"/>
          </w:tcPr>
          <w:p w14:paraId="28D6F79C" w14:textId="6233A116" w:rsidR="00BC44E4" w:rsidRPr="00C264A3" w:rsidDel="00043553" w:rsidRDefault="00BC44E4" w:rsidP="002061E5">
            <w:pPr>
              <w:spacing w:after="60"/>
              <w:ind w:left="31"/>
              <w:jc w:val="center"/>
            </w:pPr>
            <w:r w:rsidRPr="00C264A3">
              <w:t>0,6</w:t>
            </w:r>
            <w:r w:rsidR="00D4445A">
              <w:t> </w:t>
            </w:r>
            <w:r w:rsidRPr="00C264A3">
              <w:t>% &lt; max{</w:t>
            </w:r>
            <w:r w:rsidRPr="00C264A3">
              <w:rPr>
                <w:i/>
                <w:iCs/>
              </w:rPr>
              <w:t>ρ</w:t>
            </w:r>
            <w:r w:rsidRPr="00C264A3">
              <w:rPr>
                <w:vertAlign w:val="subscript"/>
              </w:rPr>
              <w:t>s1</w:t>
            </w:r>
            <w:r w:rsidRPr="00C264A3">
              <w:t>;</w:t>
            </w:r>
            <w:r w:rsidRPr="00C264A3">
              <w:rPr>
                <w:i/>
                <w:iCs/>
              </w:rPr>
              <w:t xml:space="preserve"> ρ</w:t>
            </w:r>
            <w:r w:rsidRPr="00C264A3">
              <w:rPr>
                <w:vertAlign w:val="subscript"/>
              </w:rPr>
              <w:t>s2</w:t>
            </w:r>
            <w:r w:rsidRPr="00C264A3">
              <w:t>} ≤ 0,8</w:t>
            </w:r>
            <w:r w:rsidR="005447C2">
              <w:t> </w:t>
            </w:r>
            <w:r w:rsidRPr="00C264A3">
              <w:t>%</w:t>
            </w:r>
          </w:p>
        </w:tc>
        <w:tc>
          <w:tcPr>
            <w:tcW w:w="1276" w:type="dxa"/>
            <w:vAlign w:val="center"/>
          </w:tcPr>
          <w:p w14:paraId="59E5DB5C" w14:textId="0B9AD65F" w:rsidR="00BC44E4" w:rsidRPr="00C264A3" w:rsidDel="00043553" w:rsidRDefault="00BC44E4" w:rsidP="002061E5">
            <w:pPr>
              <w:spacing w:after="60"/>
              <w:ind w:left="-104"/>
              <w:jc w:val="center"/>
            </w:pPr>
            <w:r w:rsidRPr="00C264A3">
              <w:t>0,60</w:t>
            </w:r>
            <w:r w:rsidR="005447C2">
              <w:t> </w:t>
            </w:r>
            <w:r w:rsidRPr="00C264A3">
              <w:t>%</w:t>
            </w:r>
          </w:p>
        </w:tc>
        <w:tc>
          <w:tcPr>
            <w:tcW w:w="1276" w:type="dxa"/>
            <w:shd w:val="clear" w:color="auto" w:fill="auto"/>
            <w:vAlign w:val="center"/>
          </w:tcPr>
          <w:p w14:paraId="621D4165" w14:textId="5A97B08F" w:rsidR="00BC44E4" w:rsidRPr="00C264A3" w:rsidDel="00043553" w:rsidRDefault="00BC44E4" w:rsidP="002061E5">
            <w:pPr>
              <w:spacing w:after="60"/>
              <w:ind w:left="-104"/>
              <w:jc w:val="center"/>
            </w:pPr>
            <w:r w:rsidRPr="00C264A3">
              <w:t>0,50</w:t>
            </w:r>
            <w:r w:rsidR="005447C2">
              <w:t> </w:t>
            </w:r>
            <w:r w:rsidRPr="00C264A3">
              <w:t>%</w:t>
            </w:r>
          </w:p>
        </w:tc>
        <w:tc>
          <w:tcPr>
            <w:tcW w:w="1417" w:type="dxa"/>
            <w:vAlign w:val="center"/>
          </w:tcPr>
          <w:p w14:paraId="1762ABE4" w14:textId="40FCFF92" w:rsidR="00BC44E4" w:rsidRPr="00C264A3" w:rsidDel="00043553" w:rsidRDefault="00BC44E4" w:rsidP="002061E5">
            <w:pPr>
              <w:spacing w:after="60"/>
              <w:ind w:left="-104"/>
              <w:jc w:val="center"/>
            </w:pPr>
            <w:r w:rsidRPr="00C264A3">
              <w:t>0,65</w:t>
            </w:r>
            <w:r w:rsidR="005447C2">
              <w:t> </w:t>
            </w:r>
            <w:r w:rsidRPr="00C264A3">
              <w:t>%</w:t>
            </w:r>
          </w:p>
        </w:tc>
        <w:tc>
          <w:tcPr>
            <w:tcW w:w="1276" w:type="dxa"/>
            <w:shd w:val="clear" w:color="auto" w:fill="auto"/>
            <w:vAlign w:val="center"/>
          </w:tcPr>
          <w:p w14:paraId="3F690865" w14:textId="0D6692CF" w:rsidR="00BC44E4" w:rsidRPr="00C264A3" w:rsidDel="00043553" w:rsidRDefault="00BC44E4" w:rsidP="002061E5">
            <w:pPr>
              <w:spacing w:after="60"/>
              <w:ind w:left="-104"/>
              <w:jc w:val="center"/>
            </w:pPr>
            <w:r w:rsidRPr="00C264A3">
              <w:t>0,55</w:t>
            </w:r>
            <w:r w:rsidR="005447C2">
              <w:t> </w:t>
            </w:r>
            <w:r w:rsidRPr="00C264A3">
              <w:t>%</w:t>
            </w:r>
          </w:p>
        </w:tc>
      </w:tr>
      <w:tr w:rsidR="00BC44E4" w:rsidRPr="00C264A3" w14:paraId="53E2356C" w14:textId="77777777" w:rsidTr="007C36A5">
        <w:trPr>
          <w:trHeight w:val="329"/>
        </w:trPr>
        <w:tc>
          <w:tcPr>
            <w:tcW w:w="998" w:type="dxa"/>
            <w:vMerge/>
          </w:tcPr>
          <w:p w14:paraId="662D3CEF" w14:textId="77777777" w:rsidR="00BC44E4" w:rsidRPr="00C264A3" w:rsidRDefault="00BC44E4" w:rsidP="002061E5">
            <w:pPr>
              <w:spacing w:after="60"/>
              <w:ind w:right="-106"/>
            </w:pPr>
          </w:p>
        </w:tc>
        <w:tc>
          <w:tcPr>
            <w:tcW w:w="1134" w:type="dxa"/>
            <w:vMerge w:val="restart"/>
            <w:shd w:val="clear" w:color="auto" w:fill="auto"/>
            <w:vAlign w:val="center"/>
          </w:tcPr>
          <w:p w14:paraId="70877C21" w14:textId="77777777" w:rsidR="00BC44E4" w:rsidRPr="007C36A5" w:rsidRDefault="00BC44E4" w:rsidP="002061E5">
            <w:pPr>
              <w:spacing w:after="60"/>
              <w:ind w:right="-106"/>
              <w:rPr>
                <w:b/>
                <w:bCs/>
              </w:rPr>
            </w:pPr>
            <w:r w:rsidRPr="007C36A5">
              <w:rPr>
                <w:b/>
                <w:bCs/>
              </w:rPr>
              <w:t>C50-C90</w:t>
            </w:r>
          </w:p>
        </w:tc>
        <w:tc>
          <w:tcPr>
            <w:tcW w:w="1842" w:type="dxa"/>
            <w:vAlign w:val="center"/>
          </w:tcPr>
          <w:p w14:paraId="18B1FFFE" w14:textId="38763955" w:rsidR="00BC44E4" w:rsidRPr="00C264A3" w:rsidDel="00043553" w:rsidRDefault="00BC44E4" w:rsidP="002061E5">
            <w:pPr>
              <w:spacing w:after="60"/>
              <w:ind w:left="31"/>
              <w:jc w:val="center"/>
            </w:pPr>
            <w:r w:rsidRPr="00C264A3">
              <w:t>max{</w:t>
            </w:r>
            <w:r w:rsidRPr="00C264A3">
              <w:rPr>
                <w:i/>
                <w:iCs/>
              </w:rPr>
              <w:t>ρ</w:t>
            </w:r>
            <w:r w:rsidRPr="00C264A3">
              <w:rPr>
                <w:vertAlign w:val="subscript"/>
              </w:rPr>
              <w:t>s1</w:t>
            </w:r>
            <w:r w:rsidRPr="00C264A3">
              <w:t>;</w:t>
            </w:r>
            <w:r w:rsidRPr="00C264A3">
              <w:rPr>
                <w:i/>
                <w:iCs/>
              </w:rPr>
              <w:t xml:space="preserve"> ρ</w:t>
            </w:r>
            <w:r w:rsidRPr="00C264A3">
              <w:rPr>
                <w:vertAlign w:val="subscript"/>
              </w:rPr>
              <w:t>s2</w:t>
            </w:r>
            <w:r w:rsidRPr="00C264A3">
              <w:t>} ≤ 0,6</w:t>
            </w:r>
            <w:r w:rsidR="005447C2">
              <w:t> </w:t>
            </w:r>
            <w:r w:rsidRPr="00C264A3">
              <w:t>%</w:t>
            </w:r>
          </w:p>
        </w:tc>
        <w:tc>
          <w:tcPr>
            <w:tcW w:w="1276" w:type="dxa"/>
            <w:vAlign w:val="center"/>
          </w:tcPr>
          <w:p w14:paraId="7FB66C71" w14:textId="4E1EC3DE" w:rsidR="00BC44E4" w:rsidRPr="00C264A3" w:rsidDel="00043553" w:rsidRDefault="00BC44E4" w:rsidP="002061E5">
            <w:pPr>
              <w:spacing w:after="60"/>
              <w:ind w:left="-104"/>
              <w:jc w:val="center"/>
            </w:pPr>
            <w:r w:rsidRPr="00C264A3">
              <w:t>0,40</w:t>
            </w:r>
            <w:r w:rsidR="005447C2">
              <w:t> </w:t>
            </w:r>
            <w:r w:rsidRPr="00C264A3">
              <w:t>%</w:t>
            </w:r>
          </w:p>
        </w:tc>
        <w:tc>
          <w:tcPr>
            <w:tcW w:w="1276" w:type="dxa"/>
            <w:shd w:val="clear" w:color="auto" w:fill="auto"/>
            <w:vAlign w:val="center"/>
          </w:tcPr>
          <w:p w14:paraId="146B1B99" w14:textId="085D402F" w:rsidR="00BC44E4" w:rsidRPr="00C264A3" w:rsidDel="00043553" w:rsidRDefault="00BC44E4" w:rsidP="002061E5">
            <w:pPr>
              <w:spacing w:after="60"/>
              <w:ind w:left="-104"/>
              <w:jc w:val="center"/>
            </w:pPr>
            <w:r w:rsidRPr="00C264A3">
              <w:t>0,40</w:t>
            </w:r>
            <w:r w:rsidR="005447C2">
              <w:t> </w:t>
            </w:r>
            <w:r w:rsidRPr="00C264A3">
              <w:t>%</w:t>
            </w:r>
          </w:p>
        </w:tc>
        <w:tc>
          <w:tcPr>
            <w:tcW w:w="1417" w:type="dxa"/>
            <w:vAlign w:val="center"/>
          </w:tcPr>
          <w:p w14:paraId="6C0E6976" w14:textId="44E5685E" w:rsidR="00BC44E4" w:rsidRPr="00C264A3" w:rsidDel="00043553" w:rsidRDefault="00BC44E4" w:rsidP="002061E5">
            <w:pPr>
              <w:spacing w:after="60"/>
              <w:ind w:left="-104"/>
              <w:jc w:val="center"/>
            </w:pPr>
            <w:r w:rsidRPr="00C264A3">
              <w:t>0,40</w:t>
            </w:r>
            <w:r w:rsidR="005447C2">
              <w:t> </w:t>
            </w:r>
            <w:r w:rsidRPr="00C264A3">
              <w:t>%</w:t>
            </w:r>
          </w:p>
        </w:tc>
        <w:tc>
          <w:tcPr>
            <w:tcW w:w="1276" w:type="dxa"/>
            <w:shd w:val="clear" w:color="auto" w:fill="auto"/>
            <w:vAlign w:val="center"/>
          </w:tcPr>
          <w:p w14:paraId="7FF0CC80" w14:textId="331ACAFE" w:rsidR="00BC44E4" w:rsidRPr="00C264A3" w:rsidDel="00043553" w:rsidRDefault="00BC44E4" w:rsidP="002061E5">
            <w:pPr>
              <w:spacing w:after="60"/>
              <w:ind w:left="-104"/>
              <w:jc w:val="center"/>
            </w:pPr>
            <w:r w:rsidRPr="00C264A3">
              <w:t>0,40</w:t>
            </w:r>
            <w:r w:rsidR="005447C2">
              <w:t> </w:t>
            </w:r>
            <w:r w:rsidRPr="00C264A3">
              <w:t>%</w:t>
            </w:r>
          </w:p>
        </w:tc>
      </w:tr>
      <w:tr w:rsidR="00BC44E4" w:rsidRPr="00C264A3" w14:paraId="26F85DF8" w14:textId="77777777" w:rsidTr="007C36A5">
        <w:trPr>
          <w:trHeight w:val="329"/>
        </w:trPr>
        <w:tc>
          <w:tcPr>
            <w:tcW w:w="998" w:type="dxa"/>
            <w:vMerge/>
          </w:tcPr>
          <w:p w14:paraId="282851DE" w14:textId="77777777" w:rsidR="00BC44E4" w:rsidRPr="00C264A3" w:rsidRDefault="00BC44E4" w:rsidP="002061E5">
            <w:pPr>
              <w:spacing w:after="60"/>
              <w:ind w:left="-104"/>
            </w:pPr>
          </w:p>
        </w:tc>
        <w:tc>
          <w:tcPr>
            <w:tcW w:w="1134" w:type="dxa"/>
            <w:vMerge/>
            <w:shd w:val="clear" w:color="auto" w:fill="auto"/>
            <w:vAlign w:val="center"/>
          </w:tcPr>
          <w:p w14:paraId="2DD97F20" w14:textId="77777777" w:rsidR="00BC44E4" w:rsidRPr="00C264A3" w:rsidRDefault="00BC44E4" w:rsidP="002061E5">
            <w:pPr>
              <w:spacing w:after="60"/>
              <w:ind w:left="-104"/>
            </w:pPr>
          </w:p>
        </w:tc>
        <w:tc>
          <w:tcPr>
            <w:tcW w:w="1842" w:type="dxa"/>
            <w:vAlign w:val="center"/>
          </w:tcPr>
          <w:p w14:paraId="0BEEC16D" w14:textId="64DC8951" w:rsidR="00BC44E4" w:rsidRPr="00C264A3" w:rsidDel="00043553" w:rsidRDefault="00BC44E4" w:rsidP="002061E5">
            <w:pPr>
              <w:spacing w:after="60"/>
              <w:ind w:left="31"/>
              <w:jc w:val="center"/>
            </w:pPr>
            <w:r w:rsidRPr="00C264A3">
              <w:t>0,6</w:t>
            </w:r>
            <w:r w:rsidR="005447C2">
              <w:t> </w:t>
            </w:r>
            <w:r w:rsidRPr="00C264A3">
              <w:t>% &lt; max{</w:t>
            </w:r>
            <w:r w:rsidRPr="00C264A3">
              <w:rPr>
                <w:i/>
                <w:iCs/>
              </w:rPr>
              <w:t>ρ</w:t>
            </w:r>
            <w:r w:rsidRPr="00C264A3">
              <w:rPr>
                <w:vertAlign w:val="subscript"/>
              </w:rPr>
              <w:t>s1</w:t>
            </w:r>
            <w:r w:rsidRPr="00C264A3">
              <w:t>;</w:t>
            </w:r>
            <w:r w:rsidRPr="00C264A3">
              <w:rPr>
                <w:i/>
                <w:iCs/>
              </w:rPr>
              <w:t xml:space="preserve"> ρ</w:t>
            </w:r>
            <w:r w:rsidRPr="00C264A3">
              <w:rPr>
                <w:vertAlign w:val="subscript"/>
              </w:rPr>
              <w:t>s2</w:t>
            </w:r>
            <w:r w:rsidRPr="00C264A3">
              <w:t>} ≤ 0,8</w:t>
            </w:r>
            <w:r w:rsidR="005447C2">
              <w:t> </w:t>
            </w:r>
            <w:r w:rsidRPr="00C264A3">
              <w:t>%</w:t>
            </w:r>
          </w:p>
        </w:tc>
        <w:tc>
          <w:tcPr>
            <w:tcW w:w="1276" w:type="dxa"/>
            <w:vAlign w:val="center"/>
          </w:tcPr>
          <w:p w14:paraId="617F1B0F" w14:textId="0D4CEED2" w:rsidR="00BC44E4" w:rsidRPr="00C264A3" w:rsidDel="00043553" w:rsidRDefault="00BC44E4" w:rsidP="002061E5">
            <w:pPr>
              <w:spacing w:after="60"/>
              <w:ind w:left="-104"/>
              <w:jc w:val="center"/>
            </w:pPr>
            <w:r w:rsidRPr="00C264A3">
              <w:t>0,45</w:t>
            </w:r>
            <w:r w:rsidR="005447C2">
              <w:t> </w:t>
            </w:r>
            <w:r w:rsidRPr="00C264A3">
              <w:t>%</w:t>
            </w:r>
          </w:p>
        </w:tc>
        <w:tc>
          <w:tcPr>
            <w:tcW w:w="1276" w:type="dxa"/>
            <w:shd w:val="clear" w:color="auto" w:fill="auto"/>
            <w:vAlign w:val="center"/>
          </w:tcPr>
          <w:p w14:paraId="643DEB95" w14:textId="7C740391" w:rsidR="00BC44E4" w:rsidRPr="00C264A3" w:rsidDel="00043553" w:rsidRDefault="00BC44E4" w:rsidP="002061E5">
            <w:pPr>
              <w:spacing w:after="60"/>
              <w:ind w:left="-104"/>
              <w:jc w:val="center"/>
            </w:pPr>
            <w:r w:rsidRPr="00C264A3">
              <w:t>0,40</w:t>
            </w:r>
            <w:r w:rsidR="005447C2">
              <w:t> </w:t>
            </w:r>
            <w:r w:rsidRPr="00C264A3">
              <w:t>%</w:t>
            </w:r>
          </w:p>
        </w:tc>
        <w:tc>
          <w:tcPr>
            <w:tcW w:w="1417" w:type="dxa"/>
            <w:vAlign w:val="center"/>
          </w:tcPr>
          <w:p w14:paraId="3683AADD" w14:textId="2FE1C04E" w:rsidR="00BC44E4" w:rsidRPr="00C264A3" w:rsidDel="00043553" w:rsidRDefault="00BC44E4" w:rsidP="002061E5">
            <w:pPr>
              <w:spacing w:after="60"/>
              <w:ind w:left="-104"/>
              <w:jc w:val="center"/>
            </w:pPr>
            <w:r w:rsidRPr="00C264A3">
              <w:t>0,55</w:t>
            </w:r>
            <w:r w:rsidR="005447C2">
              <w:t> </w:t>
            </w:r>
            <w:r w:rsidRPr="00C264A3">
              <w:t>%</w:t>
            </w:r>
          </w:p>
        </w:tc>
        <w:tc>
          <w:tcPr>
            <w:tcW w:w="1276" w:type="dxa"/>
            <w:shd w:val="clear" w:color="auto" w:fill="auto"/>
            <w:vAlign w:val="center"/>
          </w:tcPr>
          <w:p w14:paraId="743EC429" w14:textId="25EA4A2B" w:rsidR="00BC44E4" w:rsidRPr="00C264A3" w:rsidDel="00043553" w:rsidRDefault="00BC44E4" w:rsidP="002061E5">
            <w:pPr>
              <w:spacing w:after="60"/>
              <w:ind w:left="-104"/>
              <w:jc w:val="center"/>
            </w:pPr>
            <w:r w:rsidRPr="00C264A3">
              <w:t>0,45</w:t>
            </w:r>
            <w:r w:rsidR="005447C2">
              <w:t> </w:t>
            </w:r>
            <w:r w:rsidRPr="00C264A3">
              <w:t>%</w:t>
            </w:r>
          </w:p>
        </w:tc>
      </w:tr>
    </w:tbl>
    <w:p w14:paraId="2139BD5A" w14:textId="77777777" w:rsidR="00BC44E4" w:rsidRPr="00E05E29" w:rsidRDefault="00BC44E4" w:rsidP="00BC44E4">
      <w:pPr>
        <w:pStyle w:val="Heading2"/>
      </w:pPr>
      <w:bookmarkStart w:id="6928" w:name="_Toc536717562"/>
      <w:bookmarkStart w:id="6929" w:name="_Toc536862740"/>
      <w:bookmarkStart w:id="6930" w:name="_Toc536864108"/>
      <w:bookmarkStart w:id="6931" w:name="_Toc536864495"/>
      <w:bookmarkStart w:id="6932" w:name="_Toc536864996"/>
      <w:bookmarkStart w:id="6933" w:name="_Toc536865311"/>
      <w:bookmarkStart w:id="6934" w:name="_Toc536865626"/>
      <w:bookmarkStart w:id="6935" w:name="_Toc536865941"/>
      <w:bookmarkStart w:id="6936" w:name="_Toc536866256"/>
      <w:bookmarkStart w:id="6937" w:name="_Toc536866571"/>
      <w:bookmarkStart w:id="6938" w:name="_Toc536866886"/>
      <w:bookmarkStart w:id="6939" w:name="_Toc536867201"/>
      <w:bookmarkStart w:id="6940" w:name="_Toc536867516"/>
      <w:bookmarkStart w:id="6941" w:name="_Toc536867799"/>
      <w:bookmarkStart w:id="6942" w:name="_Toc536868082"/>
      <w:bookmarkStart w:id="6943" w:name="_Toc536868979"/>
      <w:bookmarkStart w:id="6944" w:name="_Toc536869310"/>
      <w:bookmarkStart w:id="6945" w:name="_Toc128153"/>
      <w:bookmarkStart w:id="6946" w:name="_Toc128547"/>
      <w:bookmarkStart w:id="6947" w:name="_Toc128941"/>
      <w:bookmarkStart w:id="6948" w:name="_Toc129335"/>
      <w:bookmarkStart w:id="6949" w:name="_Toc129729"/>
      <w:bookmarkStart w:id="6950" w:name="_Toc130122"/>
      <w:bookmarkStart w:id="6951" w:name="_Toc130516"/>
      <w:bookmarkStart w:id="6952" w:name="_Toc130910"/>
      <w:bookmarkStart w:id="6953" w:name="_Toc131304"/>
      <w:bookmarkStart w:id="6954" w:name="_Toc289199"/>
      <w:bookmarkStart w:id="6955" w:name="_Toc338365"/>
      <w:bookmarkStart w:id="6956" w:name="_Toc705797"/>
      <w:bookmarkStart w:id="6957" w:name="_Toc706783"/>
      <w:bookmarkStart w:id="6958" w:name="_Toc709092"/>
      <w:bookmarkStart w:id="6959" w:name="_Toc710457"/>
      <w:bookmarkStart w:id="6960" w:name="_Toc970476"/>
      <w:bookmarkStart w:id="6961" w:name="_Toc970851"/>
      <w:bookmarkStart w:id="6962" w:name="_Toc1135551"/>
      <w:bookmarkStart w:id="6963" w:name="_Toc1165865"/>
      <w:bookmarkStart w:id="6964" w:name="_Toc1207930"/>
      <w:bookmarkStart w:id="6965" w:name="_Toc1408546"/>
      <w:bookmarkStart w:id="6966" w:name="_Toc529627674"/>
      <w:bookmarkStart w:id="6967" w:name="_Toc533172310"/>
      <w:bookmarkStart w:id="6968" w:name="_Toc534451573"/>
      <w:bookmarkStart w:id="6969" w:name="_Toc534451846"/>
      <w:bookmarkStart w:id="6970" w:name="_Toc534452119"/>
      <w:bookmarkStart w:id="6971" w:name="_Toc534452959"/>
      <w:bookmarkStart w:id="6972" w:name="_Toc534629384"/>
      <w:bookmarkStart w:id="6973" w:name="_Toc534629658"/>
      <w:bookmarkStart w:id="6974" w:name="_Toc534649427"/>
      <w:bookmarkStart w:id="6975" w:name="_Toc534715486"/>
      <w:bookmarkStart w:id="6976" w:name="_Toc534734623"/>
      <w:bookmarkStart w:id="6977" w:name="_Toc534734899"/>
      <w:bookmarkStart w:id="6978" w:name="_Toc536717563"/>
      <w:bookmarkStart w:id="6979" w:name="_Toc536862741"/>
      <w:bookmarkStart w:id="6980" w:name="_Toc536864109"/>
      <w:bookmarkStart w:id="6981" w:name="_Toc536864496"/>
      <w:bookmarkStart w:id="6982" w:name="_Toc536864997"/>
      <w:bookmarkStart w:id="6983" w:name="_Toc536865312"/>
      <w:bookmarkStart w:id="6984" w:name="_Toc536865627"/>
      <w:bookmarkStart w:id="6985" w:name="_Toc536865942"/>
      <w:bookmarkStart w:id="6986" w:name="_Toc536866257"/>
      <w:bookmarkStart w:id="6987" w:name="_Toc536866572"/>
      <w:bookmarkStart w:id="6988" w:name="_Toc536866887"/>
      <w:bookmarkStart w:id="6989" w:name="_Toc536867202"/>
      <w:bookmarkStart w:id="6990" w:name="_Toc536867517"/>
      <w:bookmarkStart w:id="6991" w:name="_Toc536867800"/>
      <w:bookmarkStart w:id="6992" w:name="_Toc536868083"/>
      <w:bookmarkStart w:id="6993" w:name="_Toc536868980"/>
      <w:bookmarkStart w:id="6994" w:name="_Toc536869311"/>
      <w:bookmarkStart w:id="6995" w:name="_Toc128154"/>
      <w:bookmarkStart w:id="6996" w:name="_Toc128548"/>
      <w:bookmarkStart w:id="6997" w:name="_Toc128942"/>
      <w:bookmarkStart w:id="6998" w:name="_Toc129336"/>
      <w:bookmarkStart w:id="6999" w:name="_Toc129730"/>
      <w:bookmarkStart w:id="7000" w:name="_Toc130123"/>
      <w:bookmarkStart w:id="7001" w:name="_Toc130517"/>
      <w:bookmarkStart w:id="7002" w:name="_Toc130911"/>
      <w:bookmarkStart w:id="7003" w:name="_Toc131305"/>
      <w:bookmarkStart w:id="7004" w:name="_Toc289200"/>
      <w:bookmarkStart w:id="7005" w:name="_Toc338366"/>
      <w:bookmarkStart w:id="7006" w:name="_Toc705798"/>
      <w:bookmarkStart w:id="7007" w:name="_Toc706784"/>
      <w:bookmarkStart w:id="7008" w:name="_Toc709093"/>
      <w:bookmarkStart w:id="7009" w:name="_Toc710458"/>
      <w:bookmarkStart w:id="7010" w:name="_Toc970477"/>
      <w:bookmarkStart w:id="7011" w:name="_Toc970852"/>
      <w:bookmarkStart w:id="7012" w:name="_Toc1135552"/>
      <w:bookmarkStart w:id="7013" w:name="_Toc1165866"/>
      <w:bookmarkStart w:id="7014" w:name="_Toc1207931"/>
      <w:bookmarkStart w:id="7015" w:name="_Toc1408547"/>
      <w:bookmarkStart w:id="7016" w:name="_Toc529627675"/>
      <w:bookmarkStart w:id="7017" w:name="_Toc533172311"/>
      <w:bookmarkStart w:id="7018" w:name="_Toc534451574"/>
      <w:bookmarkStart w:id="7019" w:name="_Toc534451847"/>
      <w:bookmarkStart w:id="7020" w:name="_Toc534452120"/>
      <w:bookmarkStart w:id="7021" w:name="_Toc534452960"/>
      <w:bookmarkStart w:id="7022" w:name="_Toc534629385"/>
      <w:bookmarkStart w:id="7023" w:name="_Toc534629659"/>
      <w:bookmarkStart w:id="7024" w:name="_Toc534649428"/>
      <w:bookmarkStart w:id="7025" w:name="_Toc534715487"/>
      <w:bookmarkStart w:id="7026" w:name="_Toc534734624"/>
      <w:bookmarkStart w:id="7027" w:name="_Toc534734900"/>
      <w:bookmarkStart w:id="7028" w:name="_Toc536717564"/>
      <w:bookmarkStart w:id="7029" w:name="_Toc536862742"/>
      <w:bookmarkStart w:id="7030" w:name="_Toc536864110"/>
      <w:bookmarkStart w:id="7031" w:name="_Toc536864497"/>
      <w:bookmarkStart w:id="7032" w:name="_Toc536864998"/>
      <w:bookmarkStart w:id="7033" w:name="_Toc536865313"/>
      <w:bookmarkStart w:id="7034" w:name="_Toc536865628"/>
      <w:bookmarkStart w:id="7035" w:name="_Toc536865943"/>
      <w:bookmarkStart w:id="7036" w:name="_Toc536866258"/>
      <w:bookmarkStart w:id="7037" w:name="_Toc536866573"/>
      <w:bookmarkStart w:id="7038" w:name="_Toc536866888"/>
      <w:bookmarkStart w:id="7039" w:name="_Toc536867203"/>
      <w:bookmarkStart w:id="7040" w:name="_Toc536867518"/>
      <w:bookmarkStart w:id="7041" w:name="_Toc536867801"/>
      <w:bookmarkStart w:id="7042" w:name="_Toc536868084"/>
      <w:bookmarkStart w:id="7043" w:name="_Toc536868981"/>
      <w:bookmarkStart w:id="7044" w:name="_Toc536869312"/>
      <w:bookmarkStart w:id="7045" w:name="_Toc128155"/>
      <w:bookmarkStart w:id="7046" w:name="_Toc128549"/>
      <w:bookmarkStart w:id="7047" w:name="_Toc128943"/>
      <w:bookmarkStart w:id="7048" w:name="_Toc129337"/>
      <w:bookmarkStart w:id="7049" w:name="_Toc129731"/>
      <w:bookmarkStart w:id="7050" w:name="_Toc130124"/>
      <w:bookmarkStart w:id="7051" w:name="_Toc130518"/>
      <w:bookmarkStart w:id="7052" w:name="_Toc130912"/>
      <w:bookmarkStart w:id="7053" w:name="_Toc131306"/>
      <w:bookmarkStart w:id="7054" w:name="_Toc289201"/>
      <w:bookmarkStart w:id="7055" w:name="_Toc338367"/>
      <w:bookmarkStart w:id="7056" w:name="_Toc705799"/>
      <w:bookmarkStart w:id="7057" w:name="_Toc706785"/>
      <w:bookmarkStart w:id="7058" w:name="_Toc709094"/>
      <w:bookmarkStart w:id="7059" w:name="_Toc710459"/>
      <w:bookmarkStart w:id="7060" w:name="_Toc970478"/>
      <w:bookmarkStart w:id="7061" w:name="_Toc970853"/>
      <w:bookmarkStart w:id="7062" w:name="_Toc1135553"/>
      <w:bookmarkStart w:id="7063" w:name="_Toc1165867"/>
      <w:bookmarkStart w:id="7064" w:name="_Toc1207932"/>
      <w:bookmarkStart w:id="7065" w:name="_Toc1408548"/>
      <w:bookmarkStart w:id="7066" w:name="_Toc529627676"/>
      <w:bookmarkStart w:id="7067" w:name="_Toc533172312"/>
      <w:bookmarkStart w:id="7068" w:name="_Toc534451575"/>
      <w:bookmarkStart w:id="7069" w:name="_Toc534451848"/>
      <w:bookmarkStart w:id="7070" w:name="_Toc534452121"/>
      <w:bookmarkStart w:id="7071" w:name="_Toc534452961"/>
      <w:bookmarkStart w:id="7072" w:name="_Toc534629386"/>
      <w:bookmarkStart w:id="7073" w:name="_Toc534629660"/>
      <w:bookmarkStart w:id="7074" w:name="_Toc534649429"/>
      <w:bookmarkStart w:id="7075" w:name="_Toc534715488"/>
      <w:bookmarkStart w:id="7076" w:name="_Toc534734625"/>
      <w:bookmarkStart w:id="7077" w:name="_Toc534734901"/>
      <w:bookmarkStart w:id="7078" w:name="_Toc536717565"/>
      <w:bookmarkStart w:id="7079" w:name="_Toc536862743"/>
      <w:bookmarkStart w:id="7080" w:name="_Toc536864111"/>
      <w:bookmarkStart w:id="7081" w:name="_Toc536864498"/>
      <w:bookmarkStart w:id="7082" w:name="_Toc536864999"/>
      <w:bookmarkStart w:id="7083" w:name="_Toc536865314"/>
      <w:bookmarkStart w:id="7084" w:name="_Toc536865629"/>
      <w:bookmarkStart w:id="7085" w:name="_Toc536865944"/>
      <w:bookmarkStart w:id="7086" w:name="_Toc536866259"/>
      <w:bookmarkStart w:id="7087" w:name="_Toc536866574"/>
      <w:bookmarkStart w:id="7088" w:name="_Toc536866889"/>
      <w:bookmarkStart w:id="7089" w:name="_Toc536867204"/>
      <w:bookmarkStart w:id="7090" w:name="_Toc536867519"/>
      <w:bookmarkStart w:id="7091" w:name="_Toc536867802"/>
      <w:bookmarkStart w:id="7092" w:name="_Toc536868085"/>
      <w:bookmarkStart w:id="7093" w:name="_Toc536868982"/>
      <w:bookmarkStart w:id="7094" w:name="_Toc536869313"/>
      <w:bookmarkStart w:id="7095" w:name="_Toc128156"/>
      <w:bookmarkStart w:id="7096" w:name="_Toc128550"/>
      <w:bookmarkStart w:id="7097" w:name="_Toc128944"/>
      <w:bookmarkStart w:id="7098" w:name="_Toc129338"/>
      <w:bookmarkStart w:id="7099" w:name="_Toc129732"/>
      <w:bookmarkStart w:id="7100" w:name="_Toc130125"/>
      <w:bookmarkStart w:id="7101" w:name="_Toc130519"/>
      <w:bookmarkStart w:id="7102" w:name="_Toc130913"/>
      <w:bookmarkStart w:id="7103" w:name="_Toc131307"/>
      <w:bookmarkStart w:id="7104" w:name="_Toc289202"/>
      <w:bookmarkStart w:id="7105" w:name="_Toc338368"/>
      <w:bookmarkStart w:id="7106" w:name="_Toc705800"/>
      <w:bookmarkStart w:id="7107" w:name="_Toc706786"/>
      <w:bookmarkStart w:id="7108" w:name="_Toc709095"/>
      <w:bookmarkStart w:id="7109" w:name="_Toc710460"/>
      <w:bookmarkStart w:id="7110" w:name="_Toc970479"/>
      <w:bookmarkStart w:id="7111" w:name="_Toc970854"/>
      <w:bookmarkStart w:id="7112" w:name="_Toc1135554"/>
      <w:bookmarkStart w:id="7113" w:name="_Toc1165868"/>
      <w:bookmarkStart w:id="7114" w:name="_Toc1207933"/>
      <w:bookmarkStart w:id="7115" w:name="_Toc1408549"/>
      <w:bookmarkStart w:id="7116" w:name="_Toc529627677"/>
      <w:bookmarkStart w:id="7117" w:name="_Toc533172313"/>
      <w:bookmarkStart w:id="7118" w:name="_Toc534451576"/>
      <w:bookmarkStart w:id="7119" w:name="_Toc534451849"/>
      <w:bookmarkStart w:id="7120" w:name="_Toc534452122"/>
      <w:bookmarkStart w:id="7121" w:name="_Toc534452962"/>
      <w:bookmarkStart w:id="7122" w:name="_Toc534629387"/>
      <w:bookmarkStart w:id="7123" w:name="_Toc534629661"/>
      <w:bookmarkStart w:id="7124" w:name="_Toc534649430"/>
      <w:bookmarkStart w:id="7125" w:name="_Toc534715489"/>
      <w:bookmarkStart w:id="7126" w:name="_Toc534734626"/>
      <w:bookmarkStart w:id="7127" w:name="_Toc534734902"/>
      <w:bookmarkStart w:id="7128" w:name="_Toc536717566"/>
      <w:bookmarkStart w:id="7129" w:name="_Toc536862744"/>
      <w:bookmarkStart w:id="7130" w:name="_Toc536864112"/>
      <w:bookmarkStart w:id="7131" w:name="_Toc536864499"/>
      <w:bookmarkStart w:id="7132" w:name="_Toc536865000"/>
      <w:bookmarkStart w:id="7133" w:name="_Toc536865315"/>
      <w:bookmarkStart w:id="7134" w:name="_Toc536865630"/>
      <w:bookmarkStart w:id="7135" w:name="_Toc536865945"/>
      <w:bookmarkStart w:id="7136" w:name="_Toc536866260"/>
      <w:bookmarkStart w:id="7137" w:name="_Toc536866575"/>
      <w:bookmarkStart w:id="7138" w:name="_Toc536866890"/>
      <w:bookmarkStart w:id="7139" w:name="_Toc536867205"/>
      <w:bookmarkStart w:id="7140" w:name="_Toc536867520"/>
      <w:bookmarkStart w:id="7141" w:name="_Toc536867803"/>
      <w:bookmarkStart w:id="7142" w:name="_Toc536868086"/>
      <w:bookmarkStart w:id="7143" w:name="_Toc536868983"/>
      <w:bookmarkStart w:id="7144" w:name="_Toc536869314"/>
      <w:bookmarkStart w:id="7145" w:name="_Toc128157"/>
      <w:bookmarkStart w:id="7146" w:name="_Toc128551"/>
      <w:bookmarkStart w:id="7147" w:name="_Toc128945"/>
      <w:bookmarkStart w:id="7148" w:name="_Toc129339"/>
      <w:bookmarkStart w:id="7149" w:name="_Toc129733"/>
      <w:bookmarkStart w:id="7150" w:name="_Toc130126"/>
      <w:bookmarkStart w:id="7151" w:name="_Toc130520"/>
      <w:bookmarkStart w:id="7152" w:name="_Toc130914"/>
      <w:bookmarkStart w:id="7153" w:name="_Toc131308"/>
      <w:bookmarkStart w:id="7154" w:name="_Toc289203"/>
      <w:bookmarkStart w:id="7155" w:name="_Toc338369"/>
      <w:bookmarkStart w:id="7156" w:name="_Toc705801"/>
      <w:bookmarkStart w:id="7157" w:name="_Toc706787"/>
      <w:bookmarkStart w:id="7158" w:name="_Toc709096"/>
      <w:bookmarkStart w:id="7159" w:name="_Toc710461"/>
      <w:bookmarkStart w:id="7160" w:name="_Toc970480"/>
      <w:bookmarkStart w:id="7161" w:name="_Toc970855"/>
      <w:bookmarkStart w:id="7162" w:name="_Toc1135555"/>
      <w:bookmarkStart w:id="7163" w:name="_Toc1165869"/>
      <w:bookmarkStart w:id="7164" w:name="_Toc1207934"/>
      <w:bookmarkStart w:id="7165" w:name="_Toc1408550"/>
      <w:bookmarkStart w:id="7166" w:name="_Toc529627678"/>
      <w:bookmarkStart w:id="7167" w:name="_Toc533172314"/>
      <w:bookmarkStart w:id="7168" w:name="_Toc534451577"/>
      <w:bookmarkStart w:id="7169" w:name="_Toc534451850"/>
      <w:bookmarkStart w:id="7170" w:name="_Toc534452123"/>
      <w:bookmarkStart w:id="7171" w:name="_Toc534452963"/>
      <w:bookmarkStart w:id="7172" w:name="_Toc534629388"/>
      <w:bookmarkStart w:id="7173" w:name="_Toc534629662"/>
      <w:bookmarkStart w:id="7174" w:name="_Toc534649431"/>
      <w:bookmarkStart w:id="7175" w:name="_Toc534715490"/>
      <w:bookmarkStart w:id="7176" w:name="_Toc534734627"/>
      <w:bookmarkStart w:id="7177" w:name="_Toc534734903"/>
      <w:bookmarkStart w:id="7178" w:name="_Toc536717567"/>
      <w:bookmarkStart w:id="7179" w:name="_Toc536862745"/>
      <w:bookmarkStart w:id="7180" w:name="_Toc536864113"/>
      <w:bookmarkStart w:id="7181" w:name="_Toc536864500"/>
      <w:bookmarkStart w:id="7182" w:name="_Toc536865001"/>
      <w:bookmarkStart w:id="7183" w:name="_Toc536865316"/>
      <w:bookmarkStart w:id="7184" w:name="_Toc536865631"/>
      <w:bookmarkStart w:id="7185" w:name="_Toc536865946"/>
      <w:bookmarkStart w:id="7186" w:name="_Toc536866261"/>
      <w:bookmarkStart w:id="7187" w:name="_Toc536866576"/>
      <w:bookmarkStart w:id="7188" w:name="_Toc536866891"/>
      <w:bookmarkStart w:id="7189" w:name="_Toc536867206"/>
      <w:bookmarkStart w:id="7190" w:name="_Toc536867521"/>
      <w:bookmarkStart w:id="7191" w:name="_Toc536867804"/>
      <w:bookmarkStart w:id="7192" w:name="_Toc536868087"/>
      <w:bookmarkStart w:id="7193" w:name="_Toc536868984"/>
      <w:bookmarkStart w:id="7194" w:name="_Toc536869315"/>
      <w:bookmarkStart w:id="7195" w:name="_Toc128158"/>
      <w:bookmarkStart w:id="7196" w:name="_Toc128552"/>
      <w:bookmarkStart w:id="7197" w:name="_Toc128946"/>
      <w:bookmarkStart w:id="7198" w:name="_Toc129340"/>
      <w:bookmarkStart w:id="7199" w:name="_Toc129734"/>
      <w:bookmarkStart w:id="7200" w:name="_Toc130127"/>
      <w:bookmarkStart w:id="7201" w:name="_Toc130521"/>
      <w:bookmarkStart w:id="7202" w:name="_Toc130915"/>
      <w:bookmarkStart w:id="7203" w:name="_Toc131309"/>
      <w:bookmarkStart w:id="7204" w:name="_Toc289204"/>
      <w:bookmarkStart w:id="7205" w:name="_Toc338370"/>
      <w:bookmarkStart w:id="7206" w:name="_Toc705802"/>
      <w:bookmarkStart w:id="7207" w:name="_Toc706788"/>
      <w:bookmarkStart w:id="7208" w:name="_Toc709097"/>
      <w:bookmarkStart w:id="7209" w:name="_Toc710462"/>
      <w:bookmarkStart w:id="7210" w:name="_Toc970481"/>
      <w:bookmarkStart w:id="7211" w:name="_Toc970856"/>
      <w:bookmarkStart w:id="7212" w:name="_Toc1135556"/>
      <w:bookmarkStart w:id="7213" w:name="_Toc1165870"/>
      <w:bookmarkStart w:id="7214" w:name="_Toc1207935"/>
      <w:bookmarkStart w:id="7215" w:name="_Toc1408551"/>
      <w:bookmarkStart w:id="7216" w:name="_Toc529627679"/>
      <w:bookmarkStart w:id="7217" w:name="_Toc533172315"/>
      <w:bookmarkStart w:id="7218" w:name="_Toc534451578"/>
      <w:bookmarkStart w:id="7219" w:name="_Toc534451851"/>
      <w:bookmarkStart w:id="7220" w:name="_Toc534452124"/>
      <w:bookmarkStart w:id="7221" w:name="_Toc534452964"/>
      <w:bookmarkStart w:id="7222" w:name="_Toc534629389"/>
      <w:bookmarkStart w:id="7223" w:name="_Toc534629663"/>
      <w:bookmarkStart w:id="7224" w:name="_Toc534649432"/>
      <w:bookmarkStart w:id="7225" w:name="_Toc534715491"/>
      <w:bookmarkStart w:id="7226" w:name="_Toc534734628"/>
      <w:bookmarkStart w:id="7227" w:name="_Toc534734904"/>
      <w:bookmarkStart w:id="7228" w:name="_Toc536717568"/>
      <w:bookmarkStart w:id="7229" w:name="_Toc536862746"/>
      <w:bookmarkStart w:id="7230" w:name="_Toc536864114"/>
      <w:bookmarkStart w:id="7231" w:name="_Toc536864501"/>
      <w:bookmarkStart w:id="7232" w:name="_Toc536865002"/>
      <w:bookmarkStart w:id="7233" w:name="_Toc536865317"/>
      <w:bookmarkStart w:id="7234" w:name="_Toc536865632"/>
      <w:bookmarkStart w:id="7235" w:name="_Toc536865947"/>
      <w:bookmarkStart w:id="7236" w:name="_Toc536866262"/>
      <w:bookmarkStart w:id="7237" w:name="_Toc536866577"/>
      <w:bookmarkStart w:id="7238" w:name="_Toc536866892"/>
      <w:bookmarkStart w:id="7239" w:name="_Toc536867207"/>
      <w:bookmarkStart w:id="7240" w:name="_Toc536867522"/>
      <w:bookmarkStart w:id="7241" w:name="_Toc536867805"/>
      <w:bookmarkStart w:id="7242" w:name="_Toc536868088"/>
      <w:bookmarkStart w:id="7243" w:name="_Toc536868985"/>
      <w:bookmarkStart w:id="7244" w:name="_Toc536869316"/>
      <w:bookmarkStart w:id="7245" w:name="_Toc128159"/>
      <w:bookmarkStart w:id="7246" w:name="_Toc128553"/>
      <w:bookmarkStart w:id="7247" w:name="_Toc128947"/>
      <w:bookmarkStart w:id="7248" w:name="_Toc129341"/>
      <w:bookmarkStart w:id="7249" w:name="_Toc129735"/>
      <w:bookmarkStart w:id="7250" w:name="_Toc130128"/>
      <w:bookmarkStart w:id="7251" w:name="_Toc130522"/>
      <w:bookmarkStart w:id="7252" w:name="_Toc130916"/>
      <w:bookmarkStart w:id="7253" w:name="_Toc131310"/>
      <w:bookmarkStart w:id="7254" w:name="_Toc289205"/>
      <w:bookmarkStart w:id="7255" w:name="_Toc338371"/>
      <w:bookmarkStart w:id="7256" w:name="_Toc705803"/>
      <w:bookmarkStart w:id="7257" w:name="_Toc706789"/>
      <w:bookmarkStart w:id="7258" w:name="_Toc709098"/>
      <w:bookmarkStart w:id="7259" w:name="_Toc710463"/>
      <w:bookmarkStart w:id="7260" w:name="_Toc970482"/>
      <w:bookmarkStart w:id="7261" w:name="_Toc970857"/>
      <w:bookmarkStart w:id="7262" w:name="_Toc1135557"/>
      <w:bookmarkStart w:id="7263" w:name="_Toc1165871"/>
      <w:bookmarkStart w:id="7264" w:name="_Toc1207936"/>
      <w:bookmarkStart w:id="7265" w:name="_Toc1408552"/>
      <w:bookmarkStart w:id="7266" w:name="_Toc529627680"/>
      <w:bookmarkStart w:id="7267" w:name="_Toc533172316"/>
      <w:bookmarkStart w:id="7268" w:name="_Toc534451579"/>
      <w:bookmarkStart w:id="7269" w:name="_Toc534451852"/>
      <w:bookmarkStart w:id="7270" w:name="_Toc534452125"/>
      <w:bookmarkStart w:id="7271" w:name="_Toc534452965"/>
      <w:bookmarkStart w:id="7272" w:name="_Toc534629390"/>
      <w:bookmarkStart w:id="7273" w:name="_Toc534629664"/>
      <w:bookmarkStart w:id="7274" w:name="_Toc534649433"/>
      <w:bookmarkStart w:id="7275" w:name="_Toc534715492"/>
      <w:bookmarkStart w:id="7276" w:name="_Toc534734629"/>
      <w:bookmarkStart w:id="7277" w:name="_Toc534734905"/>
      <w:bookmarkStart w:id="7278" w:name="_Toc536717569"/>
      <w:bookmarkStart w:id="7279" w:name="_Toc536862747"/>
      <w:bookmarkStart w:id="7280" w:name="_Toc536864115"/>
      <w:bookmarkStart w:id="7281" w:name="_Toc536864502"/>
      <w:bookmarkStart w:id="7282" w:name="_Toc536865003"/>
      <w:bookmarkStart w:id="7283" w:name="_Toc536865318"/>
      <w:bookmarkStart w:id="7284" w:name="_Toc536865633"/>
      <w:bookmarkStart w:id="7285" w:name="_Toc536865948"/>
      <w:bookmarkStart w:id="7286" w:name="_Toc536866263"/>
      <w:bookmarkStart w:id="7287" w:name="_Toc536866578"/>
      <w:bookmarkStart w:id="7288" w:name="_Toc536866893"/>
      <w:bookmarkStart w:id="7289" w:name="_Toc536867208"/>
      <w:bookmarkStart w:id="7290" w:name="_Toc536867523"/>
      <w:bookmarkStart w:id="7291" w:name="_Toc536867806"/>
      <w:bookmarkStart w:id="7292" w:name="_Toc536868089"/>
      <w:bookmarkStart w:id="7293" w:name="_Toc536868986"/>
      <w:bookmarkStart w:id="7294" w:name="_Toc536869317"/>
      <w:bookmarkStart w:id="7295" w:name="_Toc128160"/>
      <w:bookmarkStart w:id="7296" w:name="_Toc128554"/>
      <w:bookmarkStart w:id="7297" w:name="_Toc128948"/>
      <w:bookmarkStart w:id="7298" w:name="_Toc129342"/>
      <w:bookmarkStart w:id="7299" w:name="_Toc129736"/>
      <w:bookmarkStart w:id="7300" w:name="_Toc130129"/>
      <w:bookmarkStart w:id="7301" w:name="_Toc130523"/>
      <w:bookmarkStart w:id="7302" w:name="_Toc130917"/>
      <w:bookmarkStart w:id="7303" w:name="_Toc131311"/>
      <w:bookmarkStart w:id="7304" w:name="_Toc289206"/>
      <w:bookmarkStart w:id="7305" w:name="_Toc338372"/>
      <w:bookmarkStart w:id="7306" w:name="_Toc705804"/>
      <w:bookmarkStart w:id="7307" w:name="_Toc706790"/>
      <w:bookmarkStart w:id="7308" w:name="_Toc709099"/>
      <w:bookmarkStart w:id="7309" w:name="_Toc710464"/>
      <w:bookmarkStart w:id="7310" w:name="_Toc970483"/>
      <w:bookmarkStart w:id="7311" w:name="_Toc970858"/>
      <w:bookmarkStart w:id="7312" w:name="_Toc1135558"/>
      <w:bookmarkStart w:id="7313" w:name="_Toc1165872"/>
      <w:bookmarkStart w:id="7314" w:name="_Toc1207937"/>
      <w:bookmarkStart w:id="7315" w:name="_Toc1408553"/>
      <w:bookmarkStart w:id="7316" w:name="_Toc529627681"/>
      <w:bookmarkStart w:id="7317" w:name="_Toc533172317"/>
      <w:bookmarkStart w:id="7318" w:name="_Toc534451580"/>
      <w:bookmarkStart w:id="7319" w:name="_Toc534451853"/>
      <w:bookmarkStart w:id="7320" w:name="_Toc534452126"/>
      <w:bookmarkStart w:id="7321" w:name="_Toc534452966"/>
      <w:bookmarkStart w:id="7322" w:name="_Toc534629391"/>
      <w:bookmarkStart w:id="7323" w:name="_Toc534629665"/>
      <w:bookmarkStart w:id="7324" w:name="_Toc534649434"/>
      <w:bookmarkStart w:id="7325" w:name="_Toc534715493"/>
      <w:bookmarkStart w:id="7326" w:name="_Toc534734630"/>
      <w:bookmarkStart w:id="7327" w:name="_Toc534734906"/>
      <w:bookmarkStart w:id="7328" w:name="_Toc536717570"/>
      <w:bookmarkStart w:id="7329" w:name="_Toc536862748"/>
      <w:bookmarkStart w:id="7330" w:name="_Toc536864116"/>
      <w:bookmarkStart w:id="7331" w:name="_Toc536864503"/>
      <w:bookmarkStart w:id="7332" w:name="_Toc536865004"/>
      <w:bookmarkStart w:id="7333" w:name="_Toc536865319"/>
      <w:bookmarkStart w:id="7334" w:name="_Toc536865634"/>
      <w:bookmarkStart w:id="7335" w:name="_Toc536865949"/>
      <w:bookmarkStart w:id="7336" w:name="_Toc536866264"/>
      <w:bookmarkStart w:id="7337" w:name="_Toc536866579"/>
      <w:bookmarkStart w:id="7338" w:name="_Toc536866894"/>
      <w:bookmarkStart w:id="7339" w:name="_Toc536867209"/>
      <w:bookmarkStart w:id="7340" w:name="_Toc536867524"/>
      <w:bookmarkStart w:id="7341" w:name="_Toc536867807"/>
      <w:bookmarkStart w:id="7342" w:name="_Toc536868090"/>
      <w:bookmarkStart w:id="7343" w:name="_Toc536868987"/>
      <w:bookmarkStart w:id="7344" w:name="_Toc536869318"/>
      <w:bookmarkStart w:id="7345" w:name="_Toc128161"/>
      <w:bookmarkStart w:id="7346" w:name="_Toc128555"/>
      <w:bookmarkStart w:id="7347" w:name="_Toc128949"/>
      <w:bookmarkStart w:id="7348" w:name="_Toc129343"/>
      <w:bookmarkStart w:id="7349" w:name="_Toc129737"/>
      <w:bookmarkStart w:id="7350" w:name="_Toc130130"/>
      <w:bookmarkStart w:id="7351" w:name="_Toc130524"/>
      <w:bookmarkStart w:id="7352" w:name="_Toc130918"/>
      <w:bookmarkStart w:id="7353" w:name="_Toc131312"/>
      <w:bookmarkStart w:id="7354" w:name="_Toc289207"/>
      <w:bookmarkStart w:id="7355" w:name="_Toc338373"/>
      <w:bookmarkStart w:id="7356" w:name="_Toc705805"/>
      <w:bookmarkStart w:id="7357" w:name="_Toc706791"/>
      <w:bookmarkStart w:id="7358" w:name="_Toc709100"/>
      <w:bookmarkStart w:id="7359" w:name="_Toc710465"/>
      <w:bookmarkStart w:id="7360" w:name="_Toc970484"/>
      <w:bookmarkStart w:id="7361" w:name="_Toc970859"/>
      <w:bookmarkStart w:id="7362" w:name="_Toc1135559"/>
      <w:bookmarkStart w:id="7363" w:name="_Toc1165873"/>
      <w:bookmarkStart w:id="7364" w:name="_Toc1207938"/>
      <w:bookmarkStart w:id="7365" w:name="_Toc1408554"/>
      <w:bookmarkStart w:id="7366" w:name="_Toc529627682"/>
      <w:bookmarkStart w:id="7367" w:name="_Toc533172318"/>
      <w:bookmarkStart w:id="7368" w:name="_Toc534451581"/>
      <w:bookmarkStart w:id="7369" w:name="_Toc534451854"/>
      <w:bookmarkStart w:id="7370" w:name="_Toc534452127"/>
      <w:bookmarkStart w:id="7371" w:name="_Toc534452967"/>
      <w:bookmarkStart w:id="7372" w:name="_Toc534629392"/>
      <w:bookmarkStart w:id="7373" w:name="_Toc534629666"/>
      <w:bookmarkStart w:id="7374" w:name="_Toc534649435"/>
      <w:bookmarkStart w:id="7375" w:name="_Toc534715494"/>
      <w:bookmarkStart w:id="7376" w:name="_Toc534734631"/>
      <w:bookmarkStart w:id="7377" w:name="_Toc534734907"/>
      <w:bookmarkStart w:id="7378" w:name="_Toc536717571"/>
      <w:bookmarkStart w:id="7379" w:name="_Toc536862749"/>
      <w:bookmarkStart w:id="7380" w:name="_Toc536864117"/>
      <w:bookmarkStart w:id="7381" w:name="_Toc536864504"/>
      <w:bookmarkStart w:id="7382" w:name="_Toc536865005"/>
      <w:bookmarkStart w:id="7383" w:name="_Toc536865320"/>
      <w:bookmarkStart w:id="7384" w:name="_Toc536865635"/>
      <w:bookmarkStart w:id="7385" w:name="_Toc536865950"/>
      <w:bookmarkStart w:id="7386" w:name="_Toc536866265"/>
      <w:bookmarkStart w:id="7387" w:name="_Toc536866580"/>
      <w:bookmarkStart w:id="7388" w:name="_Toc536866895"/>
      <w:bookmarkStart w:id="7389" w:name="_Toc536867210"/>
      <w:bookmarkStart w:id="7390" w:name="_Toc536867525"/>
      <w:bookmarkStart w:id="7391" w:name="_Toc536867808"/>
      <w:bookmarkStart w:id="7392" w:name="_Toc536868091"/>
      <w:bookmarkStart w:id="7393" w:name="_Toc536868988"/>
      <w:bookmarkStart w:id="7394" w:name="_Toc536869319"/>
      <w:bookmarkStart w:id="7395" w:name="_Toc128162"/>
      <w:bookmarkStart w:id="7396" w:name="_Toc128556"/>
      <w:bookmarkStart w:id="7397" w:name="_Toc128950"/>
      <w:bookmarkStart w:id="7398" w:name="_Toc129344"/>
      <w:bookmarkStart w:id="7399" w:name="_Toc129738"/>
      <w:bookmarkStart w:id="7400" w:name="_Toc130131"/>
      <w:bookmarkStart w:id="7401" w:name="_Toc130525"/>
      <w:bookmarkStart w:id="7402" w:name="_Toc130919"/>
      <w:bookmarkStart w:id="7403" w:name="_Toc131313"/>
      <w:bookmarkStart w:id="7404" w:name="_Toc289208"/>
      <w:bookmarkStart w:id="7405" w:name="_Toc338374"/>
      <w:bookmarkStart w:id="7406" w:name="_Toc705806"/>
      <w:bookmarkStart w:id="7407" w:name="_Toc706792"/>
      <w:bookmarkStart w:id="7408" w:name="_Toc709101"/>
      <w:bookmarkStart w:id="7409" w:name="_Toc710466"/>
      <w:bookmarkStart w:id="7410" w:name="_Toc970485"/>
      <w:bookmarkStart w:id="7411" w:name="_Toc970860"/>
      <w:bookmarkStart w:id="7412" w:name="_Toc1135560"/>
      <w:bookmarkStart w:id="7413" w:name="_Toc1165874"/>
      <w:bookmarkStart w:id="7414" w:name="_Toc1207939"/>
      <w:bookmarkStart w:id="7415" w:name="_Toc1408555"/>
      <w:bookmarkStart w:id="7416" w:name="_Toc522279726"/>
      <w:bookmarkStart w:id="7417" w:name="_Toc17934203"/>
      <w:bookmarkStart w:id="7418" w:name="_Toc50150382"/>
      <w:bookmarkStart w:id="7419" w:name="_Toc70886814"/>
      <w:bookmarkStart w:id="7420" w:name="_Toc108342358"/>
      <w:bookmarkStart w:id="7421" w:name="_Toc134197903"/>
      <w:bookmarkEnd w:id="6928"/>
      <w:bookmarkEnd w:id="6929"/>
      <w:bookmarkEnd w:id="6930"/>
      <w:bookmarkEnd w:id="6931"/>
      <w:bookmarkEnd w:id="6932"/>
      <w:bookmarkEnd w:id="6933"/>
      <w:bookmarkEnd w:id="6934"/>
      <w:bookmarkEnd w:id="6935"/>
      <w:bookmarkEnd w:id="6936"/>
      <w:bookmarkEnd w:id="6937"/>
      <w:bookmarkEnd w:id="6938"/>
      <w:bookmarkEnd w:id="6939"/>
      <w:bookmarkEnd w:id="6940"/>
      <w:bookmarkEnd w:id="6941"/>
      <w:bookmarkEnd w:id="6942"/>
      <w:bookmarkEnd w:id="6943"/>
      <w:bookmarkEnd w:id="6944"/>
      <w:bookmarkEnd w:id="6945"/>
      <w:bookmarkEnd w:id="6946"/>
      <w:bookmarkEnd w:id="6947"/>
      <w:bookmarkEnd w:id="6948"/>
      <w:bookmarkEnd w:id="6949"/>
      <w:bookmarkEnd w:id="6950"/>
      <w:bookmarkEnd w:id="6951"/>
      <w:bookmarkEnd w:id="6952"/>
      <w:bookmarkEnd w:id="6953"/>
      <w:bookmarkEnd w:id="6954"/>
      <w:bookmarkEnd w:id="6955"/>
      <w:bookmarkEnd w:id="6956"/>
      <w:bookmarkEnd w:id="6957"/>
      <w:bookmarkEnd w:id="6958"/>
      <w:bookmarkEnd w:id="6959"/>
      <w:bookmarkEnd w:id="6960"/>
      <w:bookmarkEnd w:id="6961"/>
      <w:bookmarkEnd w:id="6962"/>
      <w:bookmarkEnd w:id="6963"/>
      <w:bookmarkEnd w:id="6964"/>
      <w:bookmarkEnd w:id="6965"/>
      <w:bookmarkEnd w:id="6966"/>
      <w:bookmarkEnd w:id="6967"/>
      <w:bookmarkEnd w:id="6968"/>
      <w:bookmarkEnd w:id="6969"/>
      <w:bookmarkEnd w:id="6970"/>
      <w:bookmarkEnd w:id="6971"/>
      <w:bookmarkEnd w:id="6972"/>
      <w:bookmarkEnd w:id="6973"/>
      <w:bookmarkEnd w:id="6974"/>
      <w:bookmarkEnd w:id="6975"/>
      <w:bookmarkEnd w:id="6976"/>
      <w:bookmarkEnd w:id="6977"/>
      <w:bookmarkEnd w:id="6978"/>
      <w:bookmarkEnd w:id="6979"/>
      <w:bookmarkEnd w:id="6980"/>
      <w:bookmarkEnd w:id="6981"/>
      <w:bookmarkEnd w:id="6982"/>
      <w:bookmarkEnd w:id="6983"/>
      <w:bookmarkEnd w:id="6984"/>
      <w:bookmarkEnd w:id="6985"/>
      <w:bookmarkEnd w:id="6986"/>
      <w:bookmarkEnd w:id="6987"/>
      <w:bookmarkEnd w:id="6988"/>
      <w:bookmarkEnd w:id="6989"/>
      <w:bookmarkEnd w:id="6990"/>
      <w:bookmarkEnd w:id="6991"/>
      <w:bookmarkEnd w:id="6992"/>
      <w:bookmarkEnd w:id="6993"/>
      <w:bookmarkEnd w:id="6994"/>
      <w:bookmarkEnd w:id="6995"/>
      <w:bookmarkEnd w:id="6996"/>
      <w:bookmarkEnd w:id="6997"/>
      <w:bookmarkEnd w:id="6998"/>
      <w:bookmarkEnd w:id="6999"/>
      <w:bookmarkEnd w:id="7000"/>
      <w:bookmarkEnd w:id="7001"/>
      <w:bookmarkEnd w:id="7002"/>
      <w:bookmarkEnd w:id="7003"/>
      <w:bookmarkEnd w:id="7004"/>
      <w:bookmarkEnd w:id="7005"/>
      <w:bookmarkEnd w:id="7006"/>
      <w:bookmarkEnd w:id="7007"/>
      <w:bookmarkEnd w:id="7008"/>
      <w:bookmarkEnd w:id="7009"/>
      <w:bookmarkEnd w:id="7010"/>
      <w:bookmarkEnd w:id="7011"/>
      <w:bookmarkEnd w:id="7012"/>
      <w:bookmarkEnd w:id="7013"/>
      <w:bookmarkEnd w:id="7014"/>
      <w:bookmarkEnd w:id="7015"/>
      <w:bookmarkEnd w:id="7016"/>
      <w:bookmarkEnd w:id="7017"/>
      <w:bookmarkEnd w:id="7018"/>
      <w:bookmarkEnd w:id="7019"/>
      <w:bookmarkEnd w:id="7020"/>
      <w:bookmarkEnd w:id="7021"/>
      <w:bookmarkEnd w:id="7022"/>
      <w:bookmarkEnd w:id="7023"/>
      <w:bookmarkEnd w:id="7024"/>
      <w:bookmarkEnd w:id="7025"/>
      <w:bookmarkEnd w:id="7026"/>
      <w:bookmarkEnd w:id="7027"/>
      <w:bookmarkEnd w:id="7028"/>
      <w:bookmarkEnd w:id="7029"/>
      <w:bookmarkEnd w:id="7030"/>
      <w:bookmarkEnd w:id="7031"/>
      <w:bookmarkEnd w:id="7032"/>
      <w:bookmarkEnd w:id="7033"/>
      <w:bookmarkEnd w:id="7034"/>
      <w:bookmarkEnd w:id="7035"/>
      <w:bookmarkEnd w:id="7036"/>
      <w:bookmarkEnd w:id="7037"/>
      <w:bookmarkEnd w:id="7038"/>
      <w:bookmarkEnd w:id="7039"/>
      <w:bookmarkEnd w:id="7040"/>
      <w:bookmarkEnd w:id="7041"/>
      <w:bookmarkEnd w:id="7042"/>
      <w:bookmarkEnd w:id="7043"/>
      <w:bookmarkEnd w:id="7044"/>
      <w:bookmarkEnd w:id="7045"/>
      <w:bookmarkEnd w:id="7046"/>
      <w:bookmarkEnd w:id="7047"/>
      <w:bookmarkEnd w:id="7048"/>
      <w:bookmarkEnd w:id="7049"/>
      <w:bookmarkEnd w:id="7050"/>
      <w:bookmarkEnd w:id="7051"/>
      <w:bookmarkEnd w:id="7052"/>
      <w:bookmarkEnd w:id="7053"/>
      <w:bookmarkEnd w:id="7054"/>
      <w:bookmarkEnd w:id="7055"/>
      <w:bookmarkEnd w:id="7056"/>
      <w:bookmarkEnd w:id="7057"/>
      <w:bookmarkEnd w:id="7058"/>
      <w:bookmarkEnd w:id="7059"/>
      <w:bookmarkEnd w:id="7060"/>
      <w:bookmarkEnd w:id="7061"/>
      <w:bookmarkEnd w:id="7062"/>
      <w:bookmarkEnd w:id="7063"/>
      <w:bookmarkEnd w:id="7064"/>
      <w:bookmarkEnd w:id="7065"/>
      <w:bookmarkEnd w:id="7066"/>
      <w:bookmarkEnd w:id="7067"/>
      <w:bookmarkEnd w:id="7068"/>
      <w:bookmarkEnd w:id="7069"/>
      <w:bookmarkEnd w:id="7070"/>
      <w:bookmarkEnd w:id="7071"/>
      <w:bookmarkEnd w:id="7072"/>
      <w:bookmarkEnd w:id="7073"/>
      <w:bookmarkEnd w:id="7074"/>
      <w:bookmarkEnd w:id="7075"/>
      <w:bookmarkEnd w:id="7076"/>
      <w:bookmarkEnd w:id="7077"/>
      <w:bookmarkEnd w:id="7078"/>
      <w:bookmarkEnd w:id="7079"/>
      <w:bookmarkEnd w:id="7080"/>
      <w:bookmarkEnd w:id="7081"/>
      <w:bookmarkEnd w:id="7082"/>
      <w:bookmarkEnd w:id="7083"/>
      <w:bookmarkEnd w:id="7084"/>
      <w:bookmarkEnd w:id="7085"/>
      <w:bookmarkEnd w:id="7086"/>
      <w:bookmarkEnd w:id="7087"/>
      <w:bookmarkEnd w:id="7088"/>
      <w:bookmarkEnd w:id="7089"/>
      <w:bookmarkEnd w:id="7090"/>
      <w:bookmarkEnd w:id="7091"/>
      <w:bookmarkEnd w:id="7092"/>
      <w:bookmarkEnd w:id="7093"/>
      <w:bookmarkEnd w:id="7094"/>
      <w:bookmarkEnd w:id="7095"/>
      <w:bookmarkEnd w:id="7096"/>
      <w:bookmarkEnd w:id="7097"/>
      <w:bookmarkEnd w:id="7098"/>
      <w:bookmarkEnd w:id="7099"/>
      <w:bookmarkEnd w:id="7100"/>
      <w:bookmarkEnd w:id="7101"/>
      <w:bookmarkEnd w:id="7102"/>
      <w:bookmarkEnd w:id="7103"/>
      <w:bookmarkEnd w:id="7104"/>
      <w:bookmarkEnd w:id="7105"/>
      <w:bookmarkEnd w:id="7106"/>
      <w:bookmarkEnd w:id="7107"/>
      <w:bookmarkEnd w:id="7108"/>
      <w:bookmarkEnd w:id="7109"/>
      <w:bookmarkEnd w:id="7110"/>
      <w:bookmarkEnd w:id="7111"/>
      <w:bookmarkEnd w:id="7112"/>
      <w:bookmarkEnd w:id="7113"/>
      <w:bookmarkEnd w:id="7114"/>
      <w:bookmarkEnd w:id="7115"/>
      <w:bookmarkEnd w:id="7116"/>
      <w:bookmarkEnd w:id="7117"/>
      <w:bookmarkEnd w:id="7118"/>
      <w:bookmarkEnd w:id="7119"/>
      <w:bookmarkEnd w:id="7120"/>
      <w:bookmarkEnd w:id="7121"/>
      <w:bookmarkEnd w:id="7122"/>
      <w:bookmarkEnd w:id="7123"/>
      <w:bookmarkEnd w:id="7124"/>
      <w:bookmarkEnd w:id="7125"/>
      <w:bookmarkEnd w:id="7126"/>
      <w:bookmarkEnd w:id="7127"/>
      <w:bookmarkEnd w:id="7128"/>
      <w:bookmarkEnd w:id="7129"/>
      <w:bookmarkEnd w:id="7130"/>
      <w:bookmarkEnd w:id="7131"/>
      <w:bookmarkEnd w:id="7132"/>
      <w:bookmarkEnd w:id="7133"/>
      <w:bookmarkEnd w:id="7134"/>
      <w:bookmarkEnd w:id="7135"/>
      <w:bookmarkEnd w:id="7136"/>
      <w:bookmarkEnd w:id="7137"/>
      <w:bookmarkEnd w:id="7138"/>
      <w:bookmarkEnd w:id="7139"/>
      <w:bookmarkEnd w:id="7140"/>
      <w:bookmarkEnd w:id="7141"/>
      <w:bookmarkEnd w:id="7142"/>
      <w:bookmarkEnd w:id="7143"/>
      <w:bookmarkEnd w:id="7144"/>
      <w:bookmarkEnd w:id="7145"/>
      <w:bookmarkEnd w:id="7146"/>
      <w:bookmarkEnd w:id="7147"/>
      <w:bookmarkEnd w:id="7148"/>
      <w:bookmarkEnd w:id="7149"/>
      <w:bookmarkEnd w:id="7150"/>
      <w:bookmarkEnd w:id="7151"/>
      <w:bookmarkEnd w:id="7152"/>
      <w:bookmarkEnd w:id="7153"/>
      <w:bookmarkEnd w:id="7154"/>
      <w:bookmarkEnd w:id="7155"/>
      <w:bookmarkEnd w:id="7156"/>
      <w:bookmarkEnd w:id="7157"/>
      <w:bookmarkEnd w:id="7158"/>
      <w:bookmarkEnd w:id="7159"/>
      <w:bookmarkEnd w:id="7160"/>
      <w:bookmarkEnd w:id="7161"/>
      <w:bookmarkEnd w:id="7162"/>
      <w:bookmarkEnd w:id="7163"/>
      <w:bookmarkEnd w:id="7164"/>
      <w:bookmarkEnd w:id="7165"/>
      <w:bookmarkEnd w:id="7166"/>
      <w:bookmarkEnd w:id="7167"/>
      <w:bookmarkEnd w:id="7168"/>
      <w:bookmarkEnd w:id="7169"/>
      <w:bookmarkEnd w:id="7170"/>
      <w:bookmarkEnd w:id="7171"/>
      <w:bookmarkEnd w:id="7172"/>
      <w:bookmarkEnd w:id="7173"/>
      <w:bookmarkEnd w:id="7174"/>
      <w:bookmarkEnd w:id="7175"/>
      <w:bookmarkEnd w:id="7176"/>
      <w:bookmarkEnd w:id="7177"/>
      <w:bookmarkEnd w:id="7178"/>
      <w:bookmarkEnd w:id="7179"/>
      <w:bookmarkEnd w:id="7180"/>
      <w:bookmarkEnd w:id="7181"/>
      <w:bookmarkEnd w:id="7182"/>
      <w:bookmarkEnd w:id="7183"/>
      <w:bookmarkEnd w:id="7184"/>
      <w:bookmarkEnd w:id="7185"/>
      <w:bookmarkEnd w:id="7186"/>
      <w:bookmarkEnd w:id="7187"/>
      <w:bookmarkEnd w:id="7188"/>
      <w:bookmarkEnd w:id="7189"/>
      <w:bookmarkEnd w:id="7190"/>
      <w:bookmarkEnd w:id="7191"/>
      <w:bookmarkEnd w:id="7192"/>
      <w:bookmarkEnd w:id="7193"/>
      <w:bookmarkEnd w:id="7194"/>
      <w:bookmarkEnd w:id="7195"/>
      <w:bookmarkEnd w:id="7196"/>
      <w:bookmarkEnd w:id="7197"/>
      <w:bookmarkEnd w:id="7198"/>
      <w:bookmarkEnd w:id="7199"/>
      <w:bookmarkEnd w:id="7200"/>
      <w:bookmarkEnd w:id="7201"/>
      <w:bookmarkEnd w:id="7202"/>
      <w:bookmarkEnd w:id="7203"/>
      <w:bookmarkEnd w:id="7204"/>
      <w:bookmarkEnd w:id="7205"/>
      <w:bookmarkEnd w:id="7206"/>
      <w:bookmarkEnd w:id="7207"/>
      <w:bookmarkEnd w:id="7208"/>
      <w:bookmarkEnd w:id="7209"/>
      <w:bookmarkEnd w:id="7210"/>
      <w:bookmarkEnd w:id="7211"/>
      <w:bookmarkEnd w:id="7212"/>
      <w:bookmarkEnd w:id="7213"/>
      <w:bookmarkEnd w:id="7214"/>
      <w:bookmarkEnd w:id="7215"/>
      <w:bookmarkEnd w:id="7216"/>
      <w:bookmarkEnd w:id="7217"/>
      <w:bookmarkEnd w:id="7218"/>
      <w:bookmarkEnd w:id="7219"/>
      <w:bookmarkEnd w:id="7220"/>
      <w:bookmarkEnd w:id="7221"/>
      <w:bookmarkEnd w:id="7222"/>
      <w:bookmarkEnd w:id="7223"/>
      <w:bookmarkEnd w:id="7224"/>
      <w:bookmarkEnd w:id="7225"/>
      <w:bookmarkEnd w:id="7226"/>
      <w:bookmarkEnd w:id="7227"/>
      <w:bookmarkEnd w:id="7228"/>
      <w:bookmarkEnd w:id="7229"/>
      <w:bookmarkEnd w:id="7230"/>
      <w:bookmarkEnd w:id="7231"/>
      <w:bookmarkEnd w:id="7232"/>
      <w:bookmarkEnd w:id="7233"/>
      <w:bookmarkEnd w:id="7234"/>
      <w:bookmarkEnd w:id="7235"/>
      <w:bookmarkEnd w:id="7236"/>
      <w:bookmarkEnd w:id="7237"/>
      <w:bookmarkEnd w:id="7238"/>
      <w:bookmarkEnd w:id="7239"/>
      <w:bookmarkEnd w:id="7240"/>
      <w:bookmarkEnd w:id="7241"/>
      <w:bookmarkEnd w:id="7242"/>
      <w:bookmarkEnd w:id="7243"/>
      <w:bookmarkEnd w:id="7244"/>
      <w:bookmarkEnd w:id="7245"/>
      <w:bookmarkEnd w:id="7246"/>
      <w:bookmarkEnd w:id="7247"/>
      <w:bookmarkEnd w:id="7248"/>
      <w:bookmarkEnd w:id="7249"/>
      <w:bookmarkEnd w:id="7250"/>
      <w:bookmarkEnd w:id="7251"/>
      <w:bookmarkEnd w:id="7252"/>
      <w:bookmarkEnd w:id="7253"/>
      <w:bookmarkEnd w:id="7254"/>
      <w:bookmarkEnd w:id="7255"/>
      <w:bookmarkEnd w:id="7256"/>
      <w:bookmarkEnd w:id="7257"/>
      <w:bookmarkEnd w:id="7258"/>
      <w:bookmarkEnd w:id="7259"/>
      <w:bookmarkEnd w:id="7260"/>
      <w:bookmarkEnd w:id="7261"/>
      <w:bookmarkEnd w:id="7262"/>
      <w:bookmarkEnd w:id="7263"/>
      <w:bookmarkEnd w:id="7264"/>
      <w:bookmarkEnd w:id="7265"/>
      <w:bookmarkEnd w:id="7266"/>
      <w:bookmarkEnd w:id="7267"/>
      <w:bookmarkEnd w:id="7268"/>
      <w:bookmarkEnd w:id="7269"/>
      <w:bookmarkEnd w:id="7270"/>
      <w:bookmarkEnd w:id="7271"/>
      <w:bookmarkEnd w:id="7272"/>
      <w:bookmarkEnd w:id="7273"/>
      <w:bookmarkEnd w:id="7274"/>
      <w:bookmarkEnd w:id="7275"/>
      <w:bookmarkEnd w:id="7276"/>
      <w:bookmarkEnd w:id="7277"/>
      <w:bookmarkEnd w:id="7278"/>
      <w:bookmarkEnd w:id="7279"/>
      <w:bookmarkEnd w:id="7280"/>
      <w:bookmarkEnd w:id="7281"/>
      <w:bookmarkEnd w:id="7282"/>
      <w:bookmarkEnd w:id="7283"/>
      <w:bookmarkEnd w:id="7284"/>
      <w:bookmarkEnd w:id="7285"/>
      <w:bookmarkEnd w:id="7286"/>
      <w:bookmarkEnd w:id="7287"/>
      <w:bookmarkEnd w:id="7288"/>
      <w:bookmarkEnd w:id="7289"/>
      <w:bookmarkEnd w:id="7290"/>
      <w:bookmarkEnd w:id="7291"/>
      <w:bookmarkEnd w:id="7292"/>
      <w:bookmarkEnd w:id="7293"/>
      <w:bookmarkEnd w:id="7294"/>
      <w:bookmarkEnd w:id="7295"/>
      <w:bookmarkEnd w:id="7296"/>
      <w:bookmarkEnd w:id="7297"/>
      <w:bookmarkEnd w:id="7298"/>
      <w:bookmarkEnd w:id="7299"/>
      <w:bookmarkEnd w:id="7300"/>
      <w:bookmarkEnd w:id="7301"/>
      <w:bookmarkEnd w:id="7302"/>
      <w:bookmarkEnd w:id="7303"/>
      <w:bookmarkEnd w:id="7304"/>
      <w:bookmarkEnd w:id="7305"/>
      <w:bookmarkEnd w:id="7306"/>
      <w:bookmarkEnd w:id="7307"/>
      <w:bookmarkEnd w:id="7308"/>
      <w:bookmarkEnd w:id="7309"/>
      <w:bookmarkEnd w:id="7310"/>
      <w:bookmarkEnd w:id="7311"/>
      <w:bookmarkEnd w:id="7312"/>
      <w:bookmarkEnd w:id="7313"/>
      <w:bookmarkEnd w:id="7314"/>
      <w:bookmarkEnd w:id="7315"/>
      <w:bookmarkEnd w:id="7316"/>
      <w:bookmarkEnd w:id="7317"/>
      <w:bookmarkEnd w:id="7318"/>
      <w:bookmarkEnd w:id="7319"/>
      <w:bookmarkEnd w:id="7320"/>
      <w:bookmarkEnd w:id="7321"/>
      <w:bookmarkEnd w:id="7322"/>
      <w:bookmarkEnd w:id="7323"/>
      <w:bookmarkEnd w:id="7324"/>
      <w:bookmarkEnd w:id="7325"/>
      <w:bookmarkEnd w:id="7326"/>
      <w:bookmarkEnd w:id="7327"/>
      <w:bookmarkEnd w:id="7328"/>
      <w:bookmarkEnd w:id="7329"/>
      <w:bookmarkEnd w:id="7330"/>
      <w:bookmarkEnd w:id="7331"/>
      <w:bookmarkEnd w:id="7332"/>
      <w:bookmarkEnd w:id="7333"/>
      <w:bookmarkEnd w:id="7334"/>
      <w:bookmarkEnd w:id="7335"/>
      <w:bookmarkEnd w:id="7336"/>
      <w:bookmarkEnd w:id="7337"/>
      <w:bookmarkEnd w:id="7338"/>
      <w:bookmarkEnd w:id="7339"/>
      <w:bookmarkEnd w:id="7340"/>
      <w:bookmarkEnd w:id="7341"/>
      <w:bookmarkEnd w:id="7342"/>
      <w:bookmarkEnd w:id="7343"/>
      <w:bookmarkEnd w:id="7344"/>
      <w:bookmarkEnd w:id="7345"/>
      <w:bookmarkEnd w:id="7346"/>
      <w:bookmarkEnd w:id="7347"/>
      <w:bookmarkEnd w:id="7348"/>
      <w:bookmarkEnd w:id="7349"/>
      <w:bookmarkEnd w:id="7350"/>
      <w:bookmarkEnd w:id="7351"/>
      <w:bookmarkEnd w:id="7352"/>
      <w:bookmarkEnd w:id="7353"/>
      <w:bookmarkEnd w:id="7354"/>
      <w:bookmarkEnd w:id="7355"/>
      <w:bookmarkEnd w:id="7356"/>
      <w:bookmarkEnd w:id="7357"/>
      <w:bookmarkEnd w:id="7358"/>
      <w:bookmarkEnd w:id="7359"/>
      <w:bookmarkEnd w:id="7360"/>
      <w:bookmarkEnd w:id="7361"/>
      <w:bookmarkEnd w:id="7362"/>
      <w:bookmarkEnd w:id="7363"/>
      <w:bookmarkEnd w:id="7364"/>
      <w:bookmarkEnd w:id="7365"/>
      <w:bookmarkEnd w:id="7366"/>
      <w:bookmarkEnd w:id="7367"/>
      <w:bookmarkEnd w:id="7368"/>
      <w:bookmarkEnd w:id="7369"/>
      <w:bookmarkEnd w:id="7370"/>
      <w:bookmarkEnd w:id="7371"/>
      <w:bookmarkEnd w:id="7372"/>
      <w:bookmarkEnd w:id="7373"/>
      <w:bookmarkEnd w:id="7374"/>
      <w:bookmarkEnd w:id="7375"/>
      <w:bookmarkEnd w:id="7376"/>
      <w:bookmarkEnd w:id="7377"/>
      <w:bookmarkEnd w:id="7378"/>
      <w:bookmarkEnd w:id="7379"/>
      <w:bookmarkEnd w:id="7380"/>
      <w:bookmarkEnd w:id="7381"/>
      <w:bookmarkEnd w:id="7382"/>
      <w:bookmarkEnd w:id="7383"/>
      <w:bookmarkEnd w:id="7384"/>
      <w:bookmarkEnd w:id="7385"/>
      <w:bookmarkEnd w:id="7386"/>
      <w:bookmarkEnd w:id="7387"/>
      <w:bookmarkEnd w:id="7388"/>
      <w:bookmarkEnd w:id="7389"/>
      <w:bookmarkEnd w:id="7390"/>
      <w:bookmarkEnd w:id="7391"/>
      <w:bookmarkEnd w:id="7392"/>
      <w:bookmarkEnd w:id="7393"/>
      <w:bookmarkEnd w:id="7394"/>
      <w:bookmarkEnd w:id="7395"/>
      <w:bookmarkEnd w:id="7396"/>
      <w:bookmarkEnd w:id="7397"/>
      <w:bookmarkEnd w:id="7398"/>
      <w:bookmarkEnd w:id="7399"/>
      <w:bookmarkEnd w:id="7400"/>
      <w:bookmarkEnd w:id="7401"/>
      <w:bookmarkEnd w:id="7402"/>
      <w:bookmarkEnd w:id="7403"/>
      <w:bookmarkEnd w:id="7404"/>
      <w:bookmarkEnd w:id="7405"/>
      <w:bookmarkEnd w:id="7406"/>
      <w:bookmarkEnd w:id="7407"/>
      <w:bookmarkEnd w:id="7408"/>
      <w:bookmarkEnd w:id="7409"/>
      <w:bookmarkEnd w:id="7410"/>
      <w:bookmarkEnd w:id="7411"/>
      <w:bookmarkEnd w:id="7412"/>
      <w:bookmarkEnd w:id="7413"/>
      <w:bookmarkEnd w:id="7414"/>
      <w:bookmarkEnd w:id="7415"/>
      <w:r w:rsidRPr="00E05E29">
        <w:t>Ductile walls</w:t>
      </w:r>
      <w:bookmarkEnd w:id="7416"/>
      <w:bookmarkEnd w:id="7417"/>
      <w:bookmarkEnd w:id="7418"/>
      <w:bookmarkEnd w:id="7419"/>
      <w:bookmarkEnd w:id="7420"/>
      <w:bookmarkEnd w:id="7421"/>
    </w:p>
    <w:p w14:paraId="3F21D965" w14:textId="77777777" w:rsidR="00BC44E4" w:rsidRPr="00E05E29" w:rsidRDefault="00BC44E4" w:rsidP="00BC44E4">
      <w:pPr>
        <w:pStyle w:val="Heading3"/>
      </w:pPr>
      <w:bookmarkStart w:id="7422" w:name="_Toc522279727"/>
      <w:bookmarkStart w:id="7423" w:name="_Toc17934204"/>
      <w:bookmarkStart w:id="7424" w:name="_Toc50150383"/>
      <w:bookmarkStart w:id="7425" w:name="_Toc70886815"/>
      <w:bookmarkStart w:id="7426" w:name="_Toc108342359"/>
      <w:bookmarkStart w:id="7427" w:name="_Toc134197904"/>
      <w:r w:rsidRPr="00E05E29">
        <w:t>Geometrical and other constraints</w:t>
      </w:r>
      <w:bookmarkEnd w:id="7422"/>
      <w:bookmarkEnd w:id="7423"/>
      <w:bookmarkEnd w:id="7424"/>
      <w:bookmarkEnd w:id="7425"/>
      <w:bookmarkEnd w:id="7426"/>
      <w:bookmarkEnd w:id="7427"/>
    </w:p>
    <w:p w14:paraId="109DDE45" w14:textId="1EE1B0CF" w:rsidR="00BC44E4" w:rsidRPr="00E05E29" w:rsidRDefault="00BC44E4" w:rsidP="0080187E">
      <w:pPr>
        <w:pStyle w:val="Clause"/>
        <w:numPr>
          <w:ilvl w:val="0"/>
          <w:numId w:val="329"/>
        </w:numPr>
      </w:pPr>
      <w:r w:rsidRPr="00E05E29">
        <w:t xml:space="preserve">Concrete walls are defined as the vertical members which have an elongated cross-section with a length to thickness ratio </w:t>
      </w:r>
      <w:r w:rsidRPr="00F02441">
        <w:rPr>
          <w:i/>
          <w:iCs/>
        </w:rPr>
        <w:t>l</w:t>
      </w:r>
      <w:r w:rsidRPr="00F02441">
        <w:rPr>
          <w:vertAlign w:val="subscript"/>
        </w:rPr>
        <w:t>w</w:t>
      </w:r>
      <w:r w:rsidRPr="00E05E29">
        <w:t>/</w:t>
      </w:r>
      <w:r w:rsidRPr="00F02441">
        <w:rPr>
          <w:i/>
          <w:iCs/>
        </w:rPr>
        <w:t>b</w:t>
      </w:r>
      <w:r w:rsidRPr="00F02441">
        <w:rPr>
          <w:vertAlign w:val="subscript"/>
        </w:rPr>
        <w:t>w</w:t>
      </w:r>
      <w:r w:rsidRPr="00E05E29">
        <w:t xml:space="preserve"> greater than 4.</w:t>
      </w:r>
    </w:p>
    <w:p w14:paraId="1364CA19" w14:textId="743DCF93" w:rsidR="00BC44E4" w:rsidRPr="004F7301" w:rsidRDefault="00BC44E4" w:rsidP="00724E4E">
      <w:pPr>
        <w:pStyle w:val="Clause"/>
      </w:pPr>
      <w:r w:rsidRPr="00E05E29">
        <w:t xml:space="preserve">Concrete ductile walls should be fixed at the base so that the relative rotation of their base with respect to the rest of the structure is prevented and should be designed and detailed to dissipate energy in a flexural plastic hinge zone free of </w:t>
      </w:r>
      <w:r>
        <w:t xml:space="preserve">large </w:t>
      </w:r>
      <w:r w:rsidRPr="00E05E29">
        <w:t>openings or large perforations just above their base</w:t>
      </w:r>
      <w:r w:rsidRPr="004F7301">
        <w:t xml:space="preserve"> and at levels where the change in wall length </w:t>
      </w:r>
      <w:r w:rsidRPr="004F7301">
        <w:rPr>
          <w:rFonts w:eastAsia="Cambria"/>
          <w:i/>
          <w:iCs/>
        </w:rPr>
        <w:t>l</w:t>
      </w:r>
      <w:r w:rsidRPr="004F7301">
        <w:rPr>
          <w:rFonts w:eastAsia="Cambria"/>
          <w:vertAlign w:val="subscript"/>
        </w:rPr>
        <w:t>w</w:t>
      </w:r>
      <w:r w:rsidRPr="004F7301">
        <w:t xml:space="preserve"> is greater than 30</w:t>
      </w:r>
      <w:r w:rsidR="005447C2">
        <w:t> </w:t>
      </w:r>
      <w:r w:rsidRPr="004F7301">
        <w:t>%</w:t>
      </w:r>
      <w:r w:rsidRPr="00E05E29">
        <w:t>.</w:t>
      </w:r>
    </w:p>
    <w:p w14:paraId="1CA9CA12" w14:textId="38F15C4E" w:rsidR="00BC44E4" w:rsidRPr="007C36A5" w:rsidRDefault="00BC44E4" w:rsidP="004030A7">
      <w:pPr>
        <w:pStyle w:val="Notetext"/>
      </w:pPr>
      <w:r w:rsidRPr="00E05E29">
        <w:t>NOTE</w:t>
      </w:r>
      <w:r w:rsidR="004030A7">
        <w:tab/>
      </w:r>
      <w:r w:rsidRPr="00E05E29">
        <w:t xml:space="preserve">Limits of the dimensions of perforations are </w:t>
      </w:r>
      <w:r w:rsidRPr="007C36A5">
        <w:t>given in 10.8.3.3(2).</w:t>
      </w:r>
    </w:p>
    <w:p w14:paraId="38B9D5BA" w14:textId="5348CA9E" w:rsidR="00BC44E4" w:rsidRPr="007C36A5" w:rsidRDefault="00BC44E4" w:rsidP="00724E4E">
      <w:pPr>
        <w:pStyle w:val="Clause"/>
      </w:pPr>
      <w:r w:rsidRPr="007C36A5">
        <w:t xml:space="preserve">The thickness of the web, </w:t>
      </w:r>
      <w:r w:rsidRPr="007C36A5">
        <w:rPr>
          <w:i/>
          <w:iCs/>
        </w:rPr>
        <w:t>b</w:t>
      </w:r>
      <w:r w:rsidRPr="007C36A5">
        <w:rPr>
          <w:vertAlign w:val="subscript"/>
        </w:rPr>
        <w:t>w0</w:t>
      </w:r>
      <w:r w:rsidRPr="007C36A5">
        <w:t>, should satisfy Formula (10.10).</w:t>
      </w:r>
    </w:p>
    <w:p w14:paraId="3940B918" w14:textId="3B035FEE" w:rsidR="004030A7" w:rsidRPr="007C36A5" w:rsidRDefault="009B5CEC" w:rsidP="004030A7">
      <w:pPr>
        <w:pStyle w:val="Formula"/>
        <w:spacing w:before="240"/>
      </w:pPr>
      <m:oMath>
        <m:sSub>
          <m:sSubPr>
            <m:ctrlPr>
              <w:rPr>
                <w:rFonts w:ascii="Cambria Math" w:hAnsi="Cambria Math"/>
              </w:rPr>
            </m:ctrlPr>
          </m:sSubPr>
          <m:e>
            <m:r>
              <w:rPr>
                <w:rFonts w:ascii="Cambria Math" w:hAnsi="Cambria Math"/>
              </w:rPr>
              <m:t>b</m:t>
            </m:r>
          </m:e>
          <m:sub>
            <m:r>
              <m:rPr>
                <m:sty m:val="p"/>
              </m:rPr>
              <w:rPr>
                <w:rFonts w:ascii="Cambria Math" w:hAnsi="Cambria Math"/>
              </w:rPr>
              <m:t>w0</m:t>
            </m:r>
          </m:sub>
        </m:sSub>
        <m:r>
          <w:rPr>
            <w:rFonts w:ascii="Cambria Math" w:hAnsi="Cambria Math"/>
          </w:rPr>
          <m:t>≥max</m:t>
        </m:r>
        <m:d>
          <m:dPr>
            <m:begChr m:val="{"/>
            <m:endChr m:val="}"/>
            <m:ctrlPr>
              <w:rPr>
                <w:rFonts w:ascii="Cambria Math" w:hAnsi="Cambria Math"/>
              </w:rPr>
            </m:ctrlPr>
          </m:dPr>
          <m:e>
            <m:r>
              <w:rPr>
                <w:rFonts w:ascii="Cambria Math" w:hAnsi="Cambria Math"/>
              </w:rPr>
              <m:t xml:space="preserve">0,15 m; </m:t>
            </m:r>
            <m:sSub>
              <m:sSubPr>
                <m:ctrlPr>
                  <w:rPr>
                    <w:rFonts w:ascii="Cambria Math" w:hAnsi="Cambria Math"/>
                  </w:rPr>
                </m:ctrlPr>
              </m:sSubPr>
              <m:e>
                <m:r>
                  <w:rPr>
                    <w:rFonts w:ascii="Cambria Math" w:hAnsi="Cambria Math"/>
                  </w:rPr>
                  <m:t>h</m:t>
                </m:r>
              </m:e>
              <m:sub>
                <m:r>
                  <m:rPr>
                    <m:sty m:val="p"/>
                  </m:rPr>
                  <w:rPr>
                    <w:rFonts w:ascii="Cambria Math" w:hAnsi="Cambria Math"/>
                  </w:rPr>
                  <m:t>s,cl</m:t>
                </m:r>
              </m:sub>
            </m:sSub>
            <m:r>
              <w:rPr>
                <w:rFonts w:ascii="Cambria Math" w:hAnsi="Cambria Math"/>
              </w:rPr>
              <m:t xml:space="preserve">/20; </m:t>
            </m:r>
            <m:f>
              <m:fPr>
                <m:type m:val="lin"/>
                <m:ctrlPr>
                  <w:rPr>
                    <w:rFonts w:ascii="Cambria Math" w:hAnsi="Cambria Math"/>
                  </w:rPr>
                </m:ctrlPr>
              </m:fPr>
              <m:num>
                <m:sSub>
                  <m:sSubPr>
                    <m:ctrlPr>
                      <w:rPr>
                        <w:rFonts w:ascii="Cambria Math" w:hAnsi="Cambria Math"/>
                      </w:rPr>
                    </m:ctrlPr>
                  </m:sSubPr>
                  <m:e>
                    <m:r>
                      <w:rPr>
                        <w:rFonts w:ascii="Cambria Math" w:hAnsi="Cambria Math"/>
                      </w:rPr>
                      <m:t>l</m:t>
                    </m:r>
                  </m:e>
                  <m:sub>
                    <m:r>
                      <m:rPr>
                        <m:sty m:val="p"/>
                      </m:rPr>
                      <w:rPr>
                        <w:rFonts w:ascii="Cambria Math" w:hAnsi="Cambria Math"/>
                      </w:rPr>
                      <m:t>w</m:t>
                    </m:r>
                  </m:sub>
                </m:sSub>
              </m:num>
              <m:den>
                <m:r>
                  <w:rPr>
                    <w:rFonts w:ascii="Cambria Math" w:hAnsi="Cambria Math"/>
                  </w:rPr>
                  <m:t>40</m:t>
                </m:r>
              </m:den>
            </m:f>
          </m:e>
        </m:d>
      </m:oMath>
      <w:r w:rsidR="004030A7" w:rsidRPr="007C36A5">
        <w:tab/>
        <w:t>(10.9)</w:t>
      </w:r>
    </w:p>
    <w:p w14:paraId="4462CE5E" w14:textId="77777777" w:rsidR="004030A7" w:rsidRPr="007C36A5" w:rsidRDefault="004030A7" w:rsidP="004030A7">
      <w:pPr>
        <w:spacing w:after="240"/>
      </w:pPr>
      <w:r w:rsidRPr="007C36A5">
        <w:t xml:space="preserve">where </w:t>
      </w:r>
      <w:r w:rsidRPr="007C36A5">
        <w:rPr>
          <w:i/>
        </w:rPr>
        <w:t>h</w:t>
      </w:r>
      <w:r w:rsidRPr="007C36A5">
        <w:rPr>
          <w:vertAlign w:val="subscript"/>
        </w:rPr>
        <w:t>s,cl</w:t>
      </w:r>
      <w:r w:rsidRPr="007C36A5">
        <w:t xml:space="preserve"> is the clear storey height.</w:t>
      </w:r>
    </w:p>
    <w:p w14:paraId="1D93B61B" w14:textId="056FB16D" w:rsidR="004030A7" w:rsidRPr="007C36A5" w:rsidRDefault="004030A7" w:rsidP="00724E4E">
      <w:pPr>
        <w:pStyle w:val="Clause"/>
      </w:pPr>
      <w:r w:rsidRPr="007C36A5">
        <w:t>Openings not regularly arranged to form coupled walls should be avoided in primary seismic walls, unless their effect is either insignificant or accounted for in the analysis, dimensioning and detailing.</w:t>
      </w:r>
    </w:p>
    <w:p w14:paraId="46BDE800" w14:textId="77777777" w:rsidR="004030A7" w:rsidRPr="007C36A5" w:rsidRDefault="004030A7" w:rsidP="004030A7">
      <w:pPr>
        <w:pStyle w:val="note1"/>
      </w:pPr>
      <w:r w:rsidRPr="007C36A5">
        <w:t>NOTE</w:t>
      </w:r>
      <w:r w:rsidRPr="007C36A5">
        <w:tab/>
        <w:t>The conditions for insignificant effect of not regularly arranged openings are given in 10.8.3.3(6) and (7).</w:t>
      </w:r>
    </w:p>
    <w:p w14:paraId="7E7A18B2" w14:textId="77777777" w:rsidR="004030A7" w:rsidRPr="00E05E29" w:rsidRDefault="004030A7" w:rsidP="004030A7">
      <w:pPr>
        <w:pStyle w:val="Heading3"/>
      </w:pPr>
      <w:bookmarkStart w:id="7428" w:name="_Toc522279728"/>
      <w:bookmarkStart w:id="7429" w:name="_Toc17934205"/>
      <w:bookmarkStart w:id="7430" w:name="_Toc50150384"/>
      <w:bookmarkStart w:id="7431" w:name="_Toc70886816"/>
      <w:bookmarkStart w:id="7432" w:name="_Toc108342360"/>
      <w:bookmarkStart w:id="7433" w:name="_Toc134197905"/>
      <w:r w:rsidRPr="00E05E29">
        <w:t>Design action effects</w:t>
      </w:r>
      <w:bookmarkEnd w:id="7428"/>
      <w:bookmarkEnd w:id="7429"/>
      <w:bookmarkEnd w:id="7430"/>
      <w:bookmarkEnd w:id="7431"/>
      <w:bookmarkEnd w:id="7432"/>
      <w:bookmarkEnd w:id="7433"/>
    </w:p>
    <w:p w14:paraId="2D12568E" w14:textId="5AE9C6E0" w:rsidR="004030A7" w:rsidRPr="00F02441" w:rsidRDefault="004030A7" w:rsidP="0080187E">
      <w:pPr>
        <w:pStyle w:val="Clause"/>
        <w:numPr>
          <w:ilvl w:val="0"/>
          <w:numId w:val="330"/>
        </w:numPr>
        <w:rPr>
          <w:rFonts w:eastAsia="Cambria"/>
        </w:rPr>
      </w:pPr>
      <w:r w:rsidRPr="00E05E29">
        <w:t>Seismic action effects may be redistributed between primary seismic walls up to 30</w:t>
      </w:r>
      <w:r w:rsidR="00E10A24">
        <w:t xml:space="preserve"> </w:t>
      </w:r>
      <w:r w:rsidRPr="00E05E29">
        <w:t xml:space="preserve">%, provided that the total resistance is not reduced. Shear forces should be redistributed along with bending moments, so that in the individual walls the ratio of bending moment to shear force is not </w:t>
      </w:r>
      <w:r w:rsidRPr="00F02441">
        <w:rPr>
          <w:rFonts w:eastAsia="Cambria"/>
        </w:rPr>
        <w:t>changed by more than 20</w:t>
      </w:r>
      <w:r w:rsidR="00E10A24">
        <w:rPr>
          <w:rFonts w:eastAsia="Cambria"/>
        </w:rPr>
        <w:t> </w:t>
      </w:r>
      <w:r w:rsidRPr="00F02441">
        <w:rPr>
          <w:rFonts w:eastAsia="Cambria"/>
        </w:rPr>
        <w:t>%</w:t>
      </w:r>
      <w:r w:rsidRPr="00E05E29">
        <w:t>. If the variation of the axial force is large, as e.g. in coupled walls, bending moments and shear forces should be redistributed from the wall(s) which are under low compression or in net tension, to those which are under greater compression.</w:t>
      </w:r>
    </w:p>
    <w:p w14:paraId="338F6306" w14:textId="02512D6C" w:rsidR="004030A7" w:rsidRPr="007C36A5" w:rsidRDefault="004030A7" w:rsidP="00724E4E">
      <w:pPr>
        <w:pStyle w:val="Clause"/>
      </w:pPr>
      <w:r w:rsidRPr="00E05E29">
        <w:t xml:space="preserve">In coupled walls, as defined </w:t>
      </w:r>
      <w:r w:rsidRPr="007C36A5">
        <w:t>in 10.4(1)f), seismic action effects may be redistributed between coupling beams of different storeys up to 20</w:t>
      </w:r>
      <w:r w:rsidR="005447C2">
        <w:t> </w:t>
      </w:r>
      <w:r w:rsidRPr="007C36A5">
        <w:t>%, provided that the seismic axial force at the base of each individual wall is not affected.</w:t>
      </w:r>
    </w:p>
    <w:p w14:paraId="1ED6A410" w14:textId="5C923C8E" w:rsidR="004030A7" w:rsidRPr="00E05E29" w:rsidRDefault="004030A7" w:rsidP="00724E4E">
      <w:pPr>
        <w:pStyle w:val="Clause"/>
      </w:pPr>
      <w:r w:rsidRPr="007C36A5">
        <w:t xml:space="preserve">The flexural resistance of the wall at its base should not be lower than the design moment </w:t>
      </w:r>
      <w:r w:rsidRPr="007C36A5">
        <w:rPr>
          <w:i/>
          <w:iCs/>
        </w:rPr>
        <w:t>M’</w:t>
      </w:r>
      <w:r w:rsidRPr="007C36A5">
        <w:rPr>
          <w:vertAlign w:val="subscript"/>
        </w:rPr>
        <w:t>Edw,base</w:t>
      </w:r>
      <w:r w:rsidRPr="007C36A5">
        <w:t xml:space="preserve"> from the analysis. Elsewhere along the height of the wall, the design moment </w:t>
      </w:r>
      <w:r w:rsidRPr="007C36A5">
        <w:rPr>
          <w:i/>
          <w:iCs/>
        </w:rPr>
        <w:t>M</w:t>
      </w:r>
      <w:r w:rsidRPr="007C36A5">
        <w:rPr>
          <w:vertAlign w:val="subscript"/>
        </w:rPr>
        <w:t>Edw</w:t>
      </w:r>
      <w:r w:rsidRPr="007C36A5">
        <w:t xml:space="preserve"> should be given by a vertically displaced (tension shift) envelope of the bending moment diagram from the analysis, with the value at the base section replaced by the flexural overstrength moment, </w:t>
      </w:r>
      <w:r w:rsidRPr="007C36A5">
        <w:rPr>
          <w:i/>
          <w:iCs/>
        </w:rPr>
        <w:t>M</w:t>
      </w:r>
      <w:r w:rsidRPr="007C36A5">
        <w:rPr>
          <w:vertAlign w:val="subscript"/>
        </w:rPr>
        <w:t>0</w:t>
      </w:r>
      <w:r w:rsidRPr="007C36A5">
        <w:t> = </w:t>
      </w:r>
      <w:r w:rsidRPr="007C36A5">
        <w:rPr>
          <w:i/>
          <w:iCs/>
        </w:rPr>
        <w:t>γ</w:t>
      </w:r>
      <w:r w:rsidRPr="007C36A5">
        <w:rPr>
          <w:vertAlign w:val="subscript"/>
        </w:rPr>
        <w:t>Rd</w:t>
      </w:r>
      <w:r w:rsidRPr="007C36A5">
        <w:rPr>
          <w:i/>
          <w:iCs/>
        </w:rPr>
        <w:t>M</w:t>
      </w:r>
      <w:r w:rsidRPr="007C36A5">
        <w:rPr>
          <w:vertAlign w:val="subscript"/>
        </w:rPr>
        <w:t>Rdw,base</w:t>
      </w:r>
      <w:r w:rsidRPr="007C36A5">
        <w:t xml:space="preserve">, with </w:t>
      </w:r>
      <w:r w:rsidRPr="007C36A5">
        <w:rPr>
          <w:i/>
          <w:iCs/>
        </w:rPr>
        <w:t>γ</w:t>
      </w:r>
      <w:r w:rsidRPr="007C36A5">
        <w:rPr>
          <w:i/>
          <w:iCs/>
          <w:vertAlign w:val="subscript"/>
        </w:rPr>
        <w:t>Rd</w:t>
      </w:r>
      <w:r w:rsidRPr="007C36A5">
        <w:t xml:space="preserve"> = 1,2, where </w:t>
      </w:r>
      <w:r w:rsidRPr="007C36A5">
        <w:rPr>
          <w:i/>
          <w:iCs/>
        </w:rPr>
        <w:t>M</w:t>
      </w:r>
      <w:r w:rsidRPr="007C36A5">
        <w:rPr>
          <w:vertAlign w:val="subscript"/>
        </w:rPr>
        <w:t>Rdw,base</w:t>
      </w:r>
      <w:r w:rsidRPr="007C36A5">
        <w:t xml:space="preserve"> is the flexural resistance of the wall at the base section including the vertical web reinforcement. Within the critical height of the wall, defined in 10.8.3.2(1), the design moment should be taken equal to </w:t>
      </w:r>
      <w:r w:rsidRPr="007C36A5">
        <w:rPr>
          <w:i/>
          <w:iCs/>
        </w:rPr>
        <w:t>M</w:t>
      </w:r>
      <w:r w:rsidRPr="007C36A5">
        <w:rPr>
          <w:vertAlign w:val="subscript"/>
        </w:rPr>
        <w:t>Rdw,base</w:t>
      </w:r>
      <w:r w:rsidRPr="007C36A5">
        <w:t>. The tension shift and the critical height of the wall</w:t>
      </w:r>
      <w:r w:rsidRPr="00E05E29">
        <w:t xml:space="preserve"> should be consistent with the strut inclination taken in the SD limit state verification for shear (Figure 10.</w:t>
      </w:r>
      <w:r>
        <w:t>6</w:t>
      </w:r>
      <w:r w:rsidRPr="00E05E29">
        <w:t>).</w:t>
      </w:r>
    </w:p>
    <w:p w14:paraId="59AB46FC" w14:textId="6DA29966" w:rsidR="006D7C0C" w:rsidRDefault="006D7C0C" w:rsidP="006D7C0C">
      <w:pPr>
        <w:pStyle w:val="FigureImage"/>
      </w:pPr>
      <w:r>
        <w:rPr>
          <w:noProof/>
        </w:rPr>
        <w:lastRenderedPageBreak/>
        <w:drawing>
          <wp:inline distT="0" distB="0" distL="0" distR="0" wp14:anchorId="11E3C156" wp14:editId="73D80588">
            <wp:extent cx="5940562" cy="3424434"/>
            <wp:effectExtent l="0" t="0" r="3175" b="0"/>
            <wp:docPr id="38" name="0010.tiff"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0010.tiff" descr="Diagram&#10;&#10;Description automatically generated"/>
                    <pic:cNvPicPr/>
                  </pic:nvPicPr>
                  <pic:blipFill>
                    <a:blip r:link="rId25"/>
                    <a:stretch>
                      <a:fillRect/>
                    </a:stretch>
                  </pic:blipFill>
                  <pic:spPr>
                    <a:xfrm>
                      <a:off x="0" y="0"/>
                      <a:ext cx="5940562" cy="3424434"/>
                    </a:xfrm>
                    <a:prstGeom prst="rect">
                      <a:avLst/>
                    </a:prstGeom>
                  </pic:spPr>
                </pic:pic>
              </a:graphicData>
            </a:graphic>
          </wp:inline>
        </w:drawing>
      </w:r>
    </w:p>
    <w:p w14:paraId="020E7367" w14:textId="712954E8" w:rsidR="004030A7" w:rsidRPr="00FD17CF" w:rsidRDefault="004030A7" w:rsidP="001C5446">
      <w:pPr>
        <w:pStyle w:val="KeyTitle"/>
      </w:pPr>
      <w:r w:rsidRPr="007E6F67">
        <w:t>Key</w:t>
      </w:r>
    </w:p>
    <w:tbl>
      <w:tblPr>
        <w:tblStyle w:val="TableGrid"/>
        <w:tblW w:w="464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5"/>
        <w:gridCol w:w="3679"/>
      </w:tblGrid>
      <w:tr w:rsidR="009B45B4" w:rsidRPr="009B45B4" w14:paraId="487C4E91" w14:textId="77777777" w:rsidTr="001C5446">
        <w:tc>
          <w:tcPr>
            <w:tcW w:w="965" w:type="dxa"/>
          </w:tcPr>
          <w:p w14:paraId="7F6DE46C" w14:textId="77777777" w:rsidR="009B45B4" w:rsidRPr="009B45B4" w:rsidRDefault="009B45B4" w:rsidP="008618F2">
            <w:pPr>
              <w:pStyle w:val="KeyText"/>
              <w:spacing w:before="0"/>
            </w:pPr>
            <w:r w:rsidRPr="009B45B4">
              <w:rPr>
                <w:i/>
              </w:rPr>
              <w:t>M’</w:t>
            </w:r>
            <w:r w:rsidRPr="009B45B4">
              <w:rPr>
                <w:vertAlign w:val="subscript"/>
              </w:rPr>
              <w:t>Edw</w:t>
            </w:r>
          </w:p>
        </w:tc>
        <w:tc>
          <w:tcPr>
            <w:tcW w:w="3679" w:type="dxa"/>
          </w:tcPr>
          <w:p w14:paraId="35E0F14F" w14:textId="77777777" w:rsidR="009B45B4" w:rsidRPr="009B45B4" w:rsidRDefault="009B45B4" w:rsidP="008618F2">
            <w:pPr>
              <w:pStyle w:val="KeyText"/>
              <w:spacing w:before="0"/>
            </w:pPr>
            <w:r w:rsidRPr="009B45B4">
              <w:t>moment diagram from analysis</w:t>
            </w:r>
          </w:p>
        </w:tc>
      </w:tr>
      <w:tr w:rsidR="009B45B4" w:rsidRPr="009B45B4" w14:paraId="43CBF528" w14:textId="77777777" w:rsidTr="001C5446">
        <w:tc>
          <w:tcPr>
            <w:tcW w:w="965" w:type="dxa"/>
          </w:tcPr>
          <w:p w14:paraId="63DEF826" w14:textId="77777777" w:rsidR="009B45B4" w:rsidRPr="009B45B4" w:rsidRDefault="009B45B4" w:rsidP="008618F2">
            <w:pPr>
              <w:pStyle w:val="KeyText"/>
              <w:spacing w:before="0"/>
            </w:pPr>
            <w:r w:rsidRPr="009B45B4">
              <w:rPr>
                <w:i/>
              </w:rPr>
              <w:t>M</w:t>
            </w:r>
            <w:r w:rsidRPr="009B45B4">
              <w:rPr>
                <w:vertAlign w:val="subscript"/>
              </w:rPr>
              <w:t>Rdw,base</w:t>
            </w:r>
          </w:p>
        </w:tc>
        <w:tc>
          <w:tcPr>
            <w:tcW w:w="3679" w:type="dxa"/>
          </w:tcPr>
          <w:p w14:paraId="7BE2C416" w14:textId="77777777" w:rsidR="009B45B4" w:rsidRPr="009B45B4" w:rsidRDefault="009B45B4" w:rsidP="008618F2">
            <w:pPr>
              <w:pStyle w:val="KeyText"/>
              <w:spacing w:before="0"/>
            </w:pPr>
            <w:r w:rsidRPr="009B45B4">
              <w:t>flexural resistance at the base section</w:t>
            </w:r>
          </w:p>
        </w:tc>
      </w:tr>
      <w:tr w:rsidR="009B45B4" w:rsidRPr="009B45B4" w14:paraId="1F5E049D" w14:textId="77777777" w:rsidTr="001C5446">
        <w:tc>
          <w:tcPr>
            <w:tcW w:w="965" w:type="dxa"/>
          </w:tcPr>
          <w:p w14:paraId="0288DD7F" w14:textId="77777777" w:rsidR="009B45B4" w:rsidRPr="009B45B4" w:rsidRDefault="009B45B4" w:rsidP="008618F2">
            <w:pPr>
              <w:pStyle w:val="KeyText"/>
              <w:spacing w:before="0"/>
            </w:pPr>
            <w:r w:rsidRPr="009B45B4">
              <w:rPr>
                <w:i/>
              </w:rPr>
              <w:t>M</w:t>
            </w:r>
            <w:r w:rsidRPr="009B45B4">
              <w:rPr>
                <w:vertAlign w:val="subscript"/>
              </w:rPr>
              <w:t>Edw</w:t>
            </w:r>
          </w:p>
        </w:tc>
        <w:tc>
          <w:tcPr>
            <w:tcW w:w="3679" w:type="dxa"/>
          </w:tcPr>
          <w:p w14:paraId="57A5FC12" w14:textId="77777777" w:rsidR="009B45B4" w:rsidRPr="009B45B4" w:rsidRDefault="009B45B4" w:rsidP="008618F2">
            <w:pPr>
              <w:pStyle w:val="KeyText"/>
              <w:spacing w:before="0"/>
            </w:pPr>
            <w:r w:rsidRPr="009B45B4">
              <w:t>design moment envelope</w:t>
            </w:r>
          </w:p>
        </w:tc>
      </w:tr>
      <w:tr w:rsidR="009B45B4" w:rsidRPr="009B45B4" w14:paraId="43FEC040" w14:textId="77777777" w:rsidTr="001C5446">
        <w:tc>
          <w:tcPr>
            <w:tcW w:w="965" w:type="dxa"/>
          </w:tcPr>
          <w:p w14:paraId="74E3BBD8" w14:textId="77777777" w:rsidR="009B45B4" w:rsidRPr="009B45B4" w:rsidRDefault="009B45B4" w:rsidP="008618F2">
            <w:pPr>
              <w:pStyle w:val="KeyText"/>
              <w:spacing w:before="0"/>
            </w:pPr>
            <w:r w:rsidRPr="009B45B4">
              <w:rPr>
                <w:i/>
              </w:rPr>
              <w:t>h</w:t>
            </w:r>
            <w:r w:rsidRPr="009B45B4">
              <w:rPr>
                <w:vertAlign w:val="subscript"/>
              </w:rPr>
              <w:t>cr</w:t>
            </w:r>
          </w:p>
        </w:tc>
        <w:tc>
          <w:tcPr>
            <w:tcW w:w="3679" w:type="dxa"/>
          </w:tcPr>
          <w:p w14:paraId="5FAA523D" w14:textId="77777777" w:rsidR="009B45B4" w:rsidRPr="009B45B4" w:rsidRDefault="009B45B4" w:rsidP="008618F2">
            <w:pPr>
              <w:pStyle w:val="KeyText"/>
              <w:spacing w:before="0"/>
            </w:pPr>
            <w:r w:rsidRPr="009B45B4">
              <w:t>critical height</w:t>
            </w:r>
          </w:p>
        </w:tc>
      </w:tr>
    </w:tbl>
    <w:p w14:paraId="1F223C55" w14:textId="6BE3A44E" w:rsidR="004030A7" w:rsidRPr="00D1484A" w:rsidRDefault="004030A7" w:rsidP="009B45B4">
      <w:pPr>
        <w:pStyle w:val="Figuretitle"/>
      </w:pPr>
      <w:r w:rsidRPr="00132C1E">
        <w:t>Figure</w:t>
      </w:r>
      <w:r w:rsidR="009B45B4">
        <w:t>10</w:t>
      </w:r>
      <w:r w:rsidRPr="00132C1E">
        <w:t>.</w:t>
      </w:r>
      <w:r>
        <w:t>6</w:t>
      </w:r>
      <w:r w:rsidRPr="00132C1E">
        <w:t> </w:t>
      </w:r>
      <w:r w:rsidRPr="00D1484A">
        <w:rPr>
          <w:rFonts w:ascii="`ÃÍœ˛" w:eastAsia="Cambria" w:hAnsi="`ÃÍœ˛" w:cs="`ÃÍœ˛"/>
          <w:lang w:eastAsia="de-DE"/>
        </w:rPr>
        <w:t>—</w:t>
      </w:r>
      <w:r w:rsidRPr="00D1484A">
        <w:t xml:space="preserve"> Design envelope of bending moments in ductile walls: </w:t>
      </w:r>
      <w:r w:rsidR="008C2587">
        <w:t>(</w:t>
      </w:r>
      <w:r w:rsidRPr="00D1484A">
        <w:t xml:space="preserve">a) cantilever wall structures; </w:t>
      </w:r>
      <w:r w:rsidR="008C2587">
        <w:t>(</w:t>
      </w:r>
      <w:r w:rsidRPr="00D1484A">
        <w:t>b) dual structures</w:t>
      </w:r>
    </w:p>
    <w:p w14:paraId="7F713DA0" w14:textId="3C84EDCD" w:rsidR="004030A7" w:rsidRPr="00E05E29" w:rsidRDefault="004030A7" w:rsidP="00724E4E">
      <w:pPr>
        <w:pStyle w:val="Clause"/>
      </w:pPr>
      <w:r w:rsidRPr="00FD17CF">
        <w:t>In</w:t>
      </w:r>
      <w:r>
        <w:t xml:space="preserve"> ductile</w:t>
      </w:r>
      <w:r w:rsidRPr="00FD17CF">
        <w:t xml:space="preserve"> </w:t>
      </w:r>
      <w:r w:rsidRPr="001457E2">
        <w:t xml:space="preserve">walls, when the force-based approach is used, the design </w:t>
      </w:r>
      <w:r w:rsidRPr="00FD17CF">
        <w:t xml:space="preserve">shear force </w:t>
      </w:r>
      <w:r w:rsidRPr="00FD17CF">
        <w:rPr>
          <w:i/>
          <w:iCs/>
        </w:rPr>
        <w:t>V</w:t>
      </w:r>
      <w:r w:rsidRPr="00FD17CF">
        <w:rPr>
          <w:vertAlign w:val="subscript"/>
        </w:rPr>
        <w:t>Edw</w:t>
      </w:r>
      <w:r w:rsidRPr="00644C3D">
        <w:t xml:space="preserve"> at level </w:t>
      </w:r>
      <w:r w:rsidRPr="00E05E29">
        <w:rPr>
          <w:i/>
          <w:iCs/>
        </w:rPr>
        <w:t>z</w:t>
      </w:r>
      <w:r w:rsidRPr="00E05E29">
        <w:t xml:space="preserve"> should be derived from Formula (10.</w:t>
      </w:r>
      <w:r>
        <w:t>1</w:t>
      </w:r>
      <w:r w:rsidRPr="00E05E29">
        <w:t>1).</w:t>
      </w:r>
    </w:p>
    <w:p w14:paraId="2A3E60F0" w14:textId="13986C7F" w:rsidR="009B45B4" w:rsidRPr="00870D59" w:rsidRDefault="009B5CEC" w:rsidP="009B45B4">
      <w:pPr>
        <w:pStyle w:val="Formula"/>
        <w:spacing w:before="240"/>
      </w:pPr>
      <m:oMath>
        <m:sSub>
          <m:sSubPr>
            <m:ctrlPr>
              <w:rPr>
                <w:rFonts w:ascii="Cambria Math" w:hAnsi="Cambria Math"/>
              </w:rPr>
            </m:ctrlPr>
          </m:sSubPr>
          <m:e>
            <m:r>
              <w:rPr>
                <w:rFonts w:ascii="Cambria Math" w:hAnsi="Cambria Math"/>
              </w:rPr>
              <m:t>V</m:t>
            </m:r>
          </m:e>
          <m:sub>
            <m:r>
              <m:rPr>
                <m:sty m:val="p"/>
              </m:rPr>
              <w:rPr>
                <w:rFonts w:ascii="Cambria Math" w:hAnsi="Cambria Math"/>
              </w:rPr>
              <m:t>Edw</m:t>
            </m:r>
          </m:sub>
        </m:sSub>
        <m:r>
          <w:rPr>
            <w:rFonts w:ascii="Cambria Math" w:hAnsi="Cambria Math"/>
          </w:rPr>
          <m:t>(z)=ε(z) </m:t>
        </m:r>
        <m:sSubSup>
          <m:sSubSupPr>
            <m:ctrlPr>
              <w:rPr>
                <w:rFonts w:ascii="Cambria Math" w:eastAsia="Calibri" w:hAnsi="Cambria Math"/>
              </w:rPr>
            </m:ctrlPr>
          </m:sSubSupPr>
          <m:e>
            <m:r>
              <w:rPr>
                <w:rFonts w:ascii="Cambria Math" w:hAnsi="Cambria Math"/>
              </w:rPr>
              <m:t>V</m:t>
            </m:r>
          </m:e>
          <m:sub>
            <m:r>
              <m:rPr>
                <m:sty m:val="p"/>
              </m:rPr>
              <w:rPr>
                <w:rFonts w:ascii="Cambria Math" w:hAnsi="Cambria Math"/>
              </w:rPr>
              <m:t>Edw,1</m:t>
            </m:r>
          </m:sub>
          <m:sup>
            <m:r>
              <m:rPr>
                <m:sty m:val="p"/>
              </m:rPr>
              <w:rPr>
                <w:rFonts w:ascii="Cambria Math" w:hAnsi="Cambria Math"/>
              </w:rPr>
              <m:t>'</m:t>
            </m:r>
          </m:sup>
        </m:sSubSup>
        <m:d>
          <m:dPr>
            <m:ctrlPr>
              <w:rPr>
                <w:rFonts w:ascii="Cambria Math" w:hAnsi="Cambria Math"/>
              </w:rPr>
            </m:ctrlPr>
          </m:dPr>
          <m:e>
            <m:r>
              <w:rPr>
                <w:rFonts w:ascii="Cambria Math" w:hAnsi="Cambria Math"/>
              </w:rPr>
              <m:t>z</m:t>
            </m:r>
          </m:e>
        </m:d>
        <m:r>
          <w:rPr>
            <w:rFonts w:ascii="Cambria Math" w:hAnsi="Cambria Math"/>
          </w:rPr>
          <m:t>≤q </m:t>
        </m:r>
        <m:sSubSup>
          <m:sSubSupPr>
            <m:ctrlPr>
              <w:rPr>
                <w:rFonts w:ascii="Cambria Math" w:eastAsia="Calibri" w:hAnsi="Cambria Math"/>
              </w:rPr>
            </m:ctrlPr>
          </m:sSubSupPr>
          <m:e>
            <m:r>
              <w:rPr>
                <w:rFonts w:ascii="Cambria Math" w:hAnsi="Cambria Math"/>
              </w:rPr>
              <m:t>V</m:t>
            </m:r>
          </m:e>
          <m:sub>
            <m:r>
              <m:rPr>
                <m:sty m:val="p"/>
              </m:rPr>
              <w:rPr>
                <w:rFonts w:ascii="Cambria Math" w:hAnsi="Cambria Math"/>
              </w:rPr>
              <m:t>Edw</m:t>
            </m:r>
          </m:sub>
          <m:sup>
            <m:r>
              <m:rPr>
                <m:sty m:val="p"/>
              </m:rPr>
              <w:rPr>
                <w:rFonts w:ascii="Cambria Math" w:hAnsi="Cambria Math"/>
              </w:rPr>
              <m:t>'</m:t>
            </m:r>
          </m:sup>
        </m:sSubSup>
        <m:d>
          <m:dPr>
            <m:ctrlPr>
              <w:rPr>
                <w:rFonts w:ascii="Cambria Math" w:hAnsi="Cambria Math"/>
              </w:rPr>
            </m:ctrlPr>
          </m:dPr>
          <m:e>
            <m:r>
              <w:rPr>
                <w:rFonts w:ascii="Cambria Math" w:hAnsi="Cambria Math"/>
              </w:rPr>
              <m:t>z</m:t>
            </m:r>
          </m:e>
        </m:d>
      </m:oMath>
      <w:r w:rsidR="009B45B4" w:rsidRPr="00870D59">
        <w:tab/>
        <w:t>(10.</w:t>
      </w:r>
      <w:r w:rsidR="009B45B4">
        <w:t>11</w:t>
      </w:r>
      <w:r w:rsidR="009B45B4" w:rsidRPr="00870D59">
        <w:t>)</w:t>
      </w:r>
    </w:p>
    <w:p w14:paraId="3619A7BD" w14:textId="77777777" w:rsidR="009B45B4" w:rsidRPr="00870D59" w:rsidRDefault="009B45B4" w:rsidP="009B45B4">
      <w:pPr>
        <w:pStyle w:val="Text"/>
      </w:pPr>
      <w:r w:rsidRPr="00870D59">
        <w:t>where</w:t>
      </w:r>
    </w:p>
    <w:tbl>
      <w:tblPr>
        <w:tblW w:w="0" w:type="auto"/>
        <w:tblInd w:w="346" w:type="dxa"/>
        <w:tblLook w:val="04A0" w:firstRow="1" w:lastRow="0" w:firstColumn="1" w:lastColumn="0" w:noHBand="0" w:noVBand="1"/>
      </w:tblPr>
      <w:tblGrid>
        <w:gridCol w:w="1275"/>
        <w:gridCol w:w="7938"/>
      </w:tblGrid>
      <w:tr w:rsidR="009B45B4" w:rsidRPr="00870D59" w14:paraId="1AC94F99" w14:textId="77777777" w:rsidTr="001C5446">
        <w:tc>
          <w:tcPr>
            <w:tcW w:w="1275" w:type="dxa"/>
          </w:tcPr>
          <w:p w14:paraId="1144BB41" w14:textId="526D612A" w:rsidR="009B45B4" w:rsidRPr="00870D59" w:rsidRDefault="009B45B4" w:rsidP="002061E5">
            <w:pPr>
              <w:spacing w:after="60"/>
              <w:rPr>
                <w:rFonts w:eastAsia="Times New Roman" w:cs="Cambria"/>
                <w:szCs w:val="20"/>
                <w:lang w:eastAsia="fr-FR"/>
              </w:rPr>
            </w:pPr>
            <w:r w:rsidRPr="00D1484A">
              <w:rPr>
                <w:i/>
                <w:iCs/>
              </w:rPr>
              <w:t>V’</w:t>
            </w:r>
            <w:r w:rsidRPr="00D1484A">
              <w:rPr>
                <w:vertAlign w:val="subscript"/>
              </w:rPr>
              <w:t>Edw</w:t>
            </w:r>
            <w:r w:rsidRPr="00D1484A">
              <w:t>(</w:t>
            </w:r>
            <w:r w:rsidRPr="00D1484A">
              <w:rPr>
                <w:i/>
                <w:iCs/>
              </w:rPr>
              <w:t>z</w:t>
            </w:r>
            <w:r w:rsidRPr="00D1484A">
              <w:t>)</w:t>
            </w:r>
          </w:p>
        </w:tc>
        <w:tc>
          <w:tcPr>
            <w:tcW w:w="7938" w:type="dxa"/>
          </w:tcPr>
          <w:p w14:paraId="14D06BEE" w14:textId="1E118FF9" w:rsidR="009B45B4" w:rsidRPr="00870D59" w:rsidRDefault="009B45B4" w:rsidP="002061E5">
            <w:pPr>
              <w:spacing w:after="60"/>
              <w:rPr>
                <w:rFonts w:eastAsia="Times New Roman" w:cs="Cambria"/>
                <w:szCs w:val="20"/>
                <w:lang w:eastAsia="fr-FR"/>
              </w:rPr>
            </w:pPr>
            <w:r w:rsidRPr="00D1484A">
              <w:t xml:space="preserve">is the shear force at level </w:t>
            </w:r>
            <w:r w:rsidRPr="00D1484A">
              <w:rPr>
                <w:i/>
                <w:iCs/>
              </w:rPr>
              <w:t>z</w:t>
            </w:r>
            <w:r w:rsidRPr="00D1484A">
              <w:t xml:space="preserve"> </w:t>
            </w:r>
            <w:r w:rsidRPr="007E6F67">
              <w:rPr>
                <w:rFonts w:eastAsia="Cambria"/>
              </w:rPr>
              <w:t>calculated as the combination of shear force in all modes</w:t>
            </w:r>
            <w:r w:rsidRPr="00FD17CF">
              <w:t xml:space="preserve"> from the analysis;</w:t>
            </w:r>
          </w:p>
        </w:tc>
      </w:tr>
      <w:tr w:rsidR="009B45B4" w:rsidRPr="00870D59" w14:paraId="42C0EEC7" w14:textId="77777777" w:rsidTr="001C5446">
        <w:tc>
          <w:tcPr>
            <w:tcW w:w="1275" w:type="dxa"/>
          </w:tcPr>
          <w:p w14:paraId="37FF54A8" w14:textId="5635E466" w:rsidR="009B45B4" w:rsidRPr="00870D59" w:rsidRDefault="009B45B4" w:rsidP="002061E5">
            <w:pPr>
              <w:spacing w:after="60"/>
              <w:rPr>
                <w:rFonts w:ascii="Symbol" w:hAnsi="Symbol"/>
                <w:i/>
                <w:color w:val="000000" w:themeColor="text1"/>
              </w:rPr>
            </w:pPr>
            <w:r w:rsidRPr="00644C3D">
              <w:rPr>
                <w:i/>
                <w:iCs/>
              </w:rPr>
              <w:t>V’</w:t>
            </w:r>
            <w:r w:rsidRPr="00E05E29">
              <w:rPr>
                <w:vertAlign w:val="subscript"/>
              </w:rPr>
              <w:t>Edw,1</w:t>
            </w:r>
            <w:r w:rsidRPr="00E05E29">
              <w:t>(</w:t>
            </w:r>
            <w:r w:rsidRPr="00E05E29">
              <w:rPr>
                <w:i/>
                <w:iCs/>
              </w:rPr>
              <w:t>z</w:t>
            </w:r>
            <w:r w:rsidRPr="00E05E29">
              <w:t>)</w:t>
            </w:r>
          </w:p>
        </w:tc>
        <w:tc>
          <w:tcPr>
            <w:tcW w:w="7938" w:type="dxa"/>
          </w:tcPr>
          <w:p w14:paraId="595F9416" w14:textId="5840D8A7" w:rsidR="009B45B4" w:rsidRPr="00870D59" w:rsidRDefault="009B45B4" w:rsidP="002061E5">
            <w:pPr>
              <w:rPr>
                <w:color w:val="000000" w:themeColor="text1"/>
              </w:rPr>
            </w:pPr>
            <w:r w:rsidRPr="00E05E29">
              <w:t xml:space="preserve">is the shear force at level </w:t>
            </w:r>
            <w:r w:rsidRPr="00E05E29">
              <w:rPr>
                <w:i/>
                <w:iCs/>
              </w:rPr>
              <w:t>z</w:t>
            </w:r>
            <w:r w:rsidRPr="00E05E29">
              <w:t xml:space="preserve"> </w:t>
            </w:r>
            <w:r w:rsidRPr="00E05E29">
              <w:rPr>
                <w:rFonts w:eastAsia="Cambria"/>
              </w:rPr>
              <w:t xml:space="preserve">calculated by the analysis; if a </w:t>
            </w:r>
            <w:r w:rsidRPr="001457E2">
              <w:rPr>
                <w:rFonts w:eastAsia="Cambria"/>
              </w:rPr>
              <w:t xml:space="preserve">modal response spectrum analysis is used, </w:t>
            </w:r>
            <w:r w:rsidRPr="001457E2">
              <w:rPr>
                <w:i/>
                <w:iCs/>
              </w:rPr>
              <w:t>V’</w:t>
            </w:r>
            <w:r w:rsidRPr="001457E2">
              <w:rPr>
                <w:vertAlign w:val="subscript"/>
              </w:rPr>
              <w:t>Edw,1</w:t>
            </w:r>
            <w:r w:rsidRPr="001457E2">
              <w:t>(</w:t>
            </w:r>
            <w:r w:rsidRPr="001457E2">
              <w:rPr>
                <w:i/>
                <w:iCs/>
              </w:rPr>
              <w:t>z</w:t>
            </w:r>
            <w:r w:rsidRPr="001457E2">
              <w:t>)</w:t>
            </w:r>
            <w:r w:rsidRPr="001457E2">
              <w:rPr>
                <w:rFonts w:eastAsia="Cambria"/>
              </w:rPr>
              <w:t xml:space="preserve"> is the effect due to the mode with the largest participating mass in the direction of </w:t>
            </w:r>
            <w:r w:rsidRPr="001457E2">
              <w:rPr>
                <w:i/>
                <w:iCs/>
              </w:rPr>
              <w:t>V</w:t>
            </w:r>
            <w:r w:rsidRPr="001457E2">
              <w:rPr>
                <w:vertAlign w:val="subscript"/>
              </w:rPr>
              <w:t>Edw</w:t>
            </w:r>
            <w:r w:rsidRPr="001457E2">
              <w:rPr>
                <w:rFonts w:eastAsia="Cambria"/>
              </w:rPr>
              <w:t>;</w:t>
            </w:r>
          </w:p>
        </w:tc>
      </w:tr>
      <w:tr w:rsidR="009B45B4" w:rsidRPr="00870D59" w14:paraId="7E2C22F1" w14:textId="77777777" w:rsidTr="001C5446">
        <w:tc>
          <w:tcPr>
            <w:tcW w:w="1275" w:type="dxa"/>
          </w:tcPr>
          <w:p w14:paraId="79BE4626" w14:textId="4E3CA9C4" w:rsidR="009B45B4" w:rsidRPr="00D1484A" w:rsidRDefault="009B45B4" w:rsidP="002061E5">
            <w:pPr>
              <w:spacing w:after="60"/>
              <w:rPr>
                <w:i/>
                <w:iCs/>
              </w:rPr>
            </w:pPr>
            <w:r w:rsidRPr="00E05E29">
              <w:rPr>
                <w:i/>
                <w:iCs/>
              </w:rPr>
              <w:t>q</w:t>
            </w:r>
          </w:p>
        </w:tc>
        <w:tc>
          <w:tcPr>
            <w:tcW w:w="7938" w:type="dxa"/>
          </w:tcPr>
          <w:p w14:paraId="13960AE1" w14:textId="3D85DEA3" w:rsidR="009B45B4" w:rsidRPr="007E6F67" w:rsidRDefault="009B45B4" w:rsidP="002061E5">
            <w:r w:rsidRPr="00E05E29">
              <w:t>is the behaviour factor used in the design;</w:t>
            </w:r>
          </w:p>
        </w:tc>
      </w:tr>
      <w:tr w:rsidR="009B45B4" w:rsidRPr="00870D59" w14:paraId="6A58C9D4" w14:textId="77777777" w:rsidTr="001C5446">
        <w:tc>
          <w:tcPr>
            <w:tcW w:w="1275" w:type="dxa"/>
          </w:tcPr>
          <w:p w14:paraId="6C24508D" w14:textId="6FF34800" w:rsidR="009B45B4" w:rsidRPr="00D1484A" w:rsidRDefault="009B45B4" w:rsidP="002061E5">
            <w:pPr>
              <w:spacing w:after="60"/>
              <w:rPr>
                <w:i/>
                <w:iCs/>
              </w:rPr>
            </w:pPr>
            <w:r w:rsidRPr="00E05E29">
              <w:rPr>
                <w:i/>
                <w:iCs/>
              </w:rPr>
              <w:t>ε</w:t>
            </w:r>
            <w:r w:rsidRPr="00E05E29">
              <w:t>(</w:t>
            </w:r>
            <w:r w:rsidRPr="00E05E29">
              <w:rPr>
                <w:i/>
                <w:iCs/>
              </w:rPr>
              <w:t>z</w:t>
            </w:r>
            <w:r w:rsidRPr="00E05E29">
              <w:t>)</w:t>
            </w:r>
          </w:p>
        </w:tc>
        <w:tc>
          <w:tcPr>
            <w:tcW w:w="7938" w:type="dxa"/>
          </w:tcPr>
          <w:p w14:paraId="4833127B" w14:textId="67542387" w:rsidR="009B45B4" w:rsidRPr="007E6F67" w:rsidRDefault="009B45B4" w:rsidP="002061E5">
            <w:r w:rsidRPr="00E05E29">
              <w:t>is the shear magnification factor from Formula (10.</w:t>
            </w:r>
            <w:r>
              <w:t>1</w:t>
            </w:r>
            <w:r w:rsidRPr="00E05E29">
              <w:t xml:space="preserve">2), but not smaller than 1,5 nor greater than </w:t>
            </w:r>
            <w:r w:rsidRPr="00E05E29">
              <w:rPr>
                <w:i/>
                <w:iCs/>
              </w:rPr>
              <w:t>q</w:t>
            </w:r>
            <m:oMath>
              <m:sSubSup>
                <m:sSubSupPr>
                  <m:ctrlPr>
                    <w:rPr>
                      <w:rFonts w:ascii="Cambria Math" w:hAnsi="Cambria Math"/>
                      <w:i/>
                    </w:rPr>
                  </m:ctrlPr>
                </m:sSubSupPr>
                <m:e>
                  <m:r>
                    <w:rPr>
                      <w:rFonts w:ascii="Cambria Math" w:hAnsi="Cambria Math"/>
                    </w:rPr>
                    <m:t> V</m:t>
                  </m:r>
                </m:e>
                <m:sub>
                  <m:r>
                    <m:rPr>
                      <m:sty m:val="p"/>
                    </m:rPr>
                    <w:rPr>
                      <w:rFonts w:ascii="Cambria Math" w:hAnsi="Cambria Math"/>
                    </w:rPr>
                    <m:t>Edw</m:t>
                  </m:r>
                </m:sub>
                <m:sup>
                  <m:r>
                    <w:rPr>
                      <w:rFonts w:ascii="Cambria Math" w:hAnsi="Cambria Math"/>
                    </w:rPr>
                    <m:t>'</m:t>
                  </m:r>
                </m:sup>
              </m:sSubSup>
              <m:r>
                <w:rPr>
                  <w:rFonts w:ascii="Cambria Math" w:hAnsi="Cambria Math"/>
                </w:rPr>
                <m:t>/</m:t>
              </m:r>
              <m:sSubSup>
                <m:sSubSupPr>
                  <m:ctrlPr>
                    <w:rPr>
                      <w:rFonts w:ascii="Cambria Math" w:hAnsi="Cambria Math"/>
                      <w:i/>
                    </w:rPr>
                  </m:ctrlPr>
                </m:sSubSupPr>
                <m:e>
                  <m:r>
                    <w:rPr>
                      <w:rFonts w:ascii="Cambria Math" w:hAnsi="Cambria Math"/>
                    </w:rPr>
                    <m:t>V</m:t>
                  </m:r>
                </m:e>
                <m:sub>
                  <m:r>
                    <m:rPr>
                      <m:sty m:val="p"/>
                    </m:rPr>
                    <w:rPr>
                      <w:rFonts w:ascii="Cambria Math" w:hAnsi="Cambria Math"/>
                    </w:rPr>
                    <m:t>Edw,1</m:t>
                  </m:r>
                </m:sub>
                <m:sup>
                  <m:r>
                    <w:rPr>
                      <w:rFonts w:ascii="Cambria Math" w:hAnsi="Cambria Math"/>
                    </w:rPr>
                    <m:t>'</m:t>
                  </m:r>
                </m:sup>
              </m:sSubSup>
            </m:oMath>
            <w:r w:rsidRPr="00132C1E">
              <w:t>;</w:t>
            </w:r>
          </w:p>
        </w:tc>
      </w:tr>
    </w:tbl>
    <w:p w14:paraId="1F75AB55" w14:textId="5C82371C" w:rsidR="009B45B4" w:rsidRPr="00870D59" w:rsidRDefault="009B45B4" w:rsidP="009B45B4">
      <w:pPr>
        <w:pStyle w:val="Formula"/>
        <w:spacing w:before="240"/>
      </w:pPr>
      <m:oMath>
        <m:r>
          <w:rPr>
            <w:rFonts w:ascii="Cambria Math" w:hAnsi="Cambria Math"/>
          </w:rPr>
          <m:t>ε</m:t>
        </m:r>
        <m:d>
          <m:dPr>
            <m:ctrlPr>
              <w:rPr>
                <w:rFonts w:ascii="Cambria Math" w:hAnsi="Cambria Math"/>
              </w:rPr>
            </m:ctrlPr>
          </m:dPr>
          <m:e>
            <m:r>
              <w:rPr>
                <w:rFonts w:ascii="Cambria Math" w:hAnsi="Cambria Math"/>
              </w:rPr>
              <m:t>z</m:t>
            </m:r>
          </m:e>
        </m:d>
        <m:r>
          <w:rPr>
            <w:rFonts w:ascii="Cambria Math" w:hAnsi="Cambria Math"/>
          </w:rPr>
          <m:t>=</m:t>
        </m:r>
        <m:rad>
          <m:radPr>
            <m:degHide m:val="1"/>
            <m:ctrlPr>
              <w:rPr>
                <w:rFonts w:ascii="Cambria Math" w:hAnsi="Cambria Math"/>
              </w:rPr>
            </m:ctrlPr>
          </m:radPr>
          <m:deg/>
          <m:e>
            <m:sSup>
              <m:sSupPr>
                <m:ctrlPr>
                  <w:rPr>
                    <w:rFonts w:ascii="Cambria Math" w:hAnsi="Cambria Math"/>
                  </w:rPr>
                </m:ctrlPr>
              </m:sSupPr>
              <m:e>
                <m:d>
                  <m:dPr>
                    <m:ctrlPr>
                      <w:rPr>
                        <w:rFonts w:ascii="Cambria Math" w:hAnsi="Cambria Math"/>
                      </w:rPr>
                    </m:ctrlPr>
                  </m:dPr>
                  <m:e>
                    <m:f>
                      <m:fPr>
                        <m:ctrlPr>
                          <w:rPr>
                            <w:rFonts w:ascii="Cambria Math" w:hAnsi="Cambria Math"/>
                          </w:rPr>
                        </m:ctrlPr>
                      </m:fPr>
                      <m:num>
                        <m:sSub>
                          <m:sSubPr>
                            <m:ctrlPr>
                              <w:rPr>
                                <w:rFonts w:ascii="Cambria Math" w:hAnsi="Cambria Math"/>
                                <w:i/>
                              </w:rPr>
                            </m:ctrlPr>
                          </m:sSubPr>
                          <m:e>
                            <m:r>
                              <w:rPr>
                                <w:rFonts w:ascii="Cambria Math" w:hAnsi="Cambria Math"/>
                              </w:rPr>
                              <m:t>γ</m:t>
                            </m:r>
                          </m:e>
                          <m:sub>
                            <m:r>
                              <m:rPr>
                                <m:sty m:val="p"/>
                              </m:rPr>
                              <w:rPr>
                                <w:rFonts w:ascii="Cambria Math" w:hAnsi="Cambria Math"/>
                              </w:rPr>
                              <m:t>Rd</m:t>
                            </m:r>
                          </m:sub>
                        </m:sSub>
                        <m:sSub>
                          <m:sSubPr>
                            <m:ctrlPr>
                              <w:rPr>
                                <w:rFonts w:ascii="Cambria Math" w:hAnsi="Cambria Math"/>
                              </w:rPr>
                            </m:ctrlPr>
                          </m:sSubPr>
                          <m:e>
                            <m:r>
                              <w:rPr>
                                <w:rFonts w:ascii="Cambria Math" w:hAnsi="Cambria Math"/>
                              </w:rPr>
                              <m:t>M</m:t>
                            </m:r>
                          </m:e>
                          <m:sub>
                            <m:r>
                              <m:rPr>
                                <m:sty m:val="p"/>
                              </m:rPr>
                              <w:rPr>
                                <w:rFonts w:ascii="Cambria Math" w:hAnsi="Cambria Math"/>
                              </w:rPr>
                              <m:t>Rdw,base</m:t>
                            </m:r>
                          </m:sub>
                        </m:sSub>
                      </m:num>
                      <m:den>
                        <m:sSubSup>
                          <m:sSubSupPr>
                            <m:ctrlPr>
                              <w:rPr>
                                <w:rFonts w:ascii="Cambria Math" w:hAnsi="Cambria Math"/>
                              </w:rPr>
                            </m:ctrlPr>
                          </m:sSubSupPr>
                          <m:e>
                            <m:r>
                              <w:rPr>
                                <w:rFonts w:ascii="Cambria Math" w:hAnsi="Cambria Math"/>
                              </w:rPr>
                              <m:t>M</m:t>
                            </m:r>
                          </m:e>
                          <m:sub>
                            <m:r>
                              <m:rPr>
                                <m:sty m:val="p"/>
                              </m:rPr>
                              <w:rPr>
                                <w:rFonts w:ascii="Cambria Math" w:hAnsi="Cambria Math"/>
                              </w:rPr>
                              <m:t>Edw,base</m:t>
                            </m:r>
                          </m:sub>
                          <m:sup>
                            <m:r>
                              <m:rPr>
                                <m:sty m:val="p"/>
                              </m:rPr>
                              <w:rPr>
                                <w:rFonts w:ascii="Cambria Math" w:hAnsi="Cambria Math"/>
                              </w:rPr>
                              <m:t>'</m:t>
                            </m:r>
                          </m:sup>
                        </m:sSubSup>
                      </m:den>
                    </m:f>
                  </m:e>
                </m:d>
              </m:e>
              <m:sup>
                <m:r>
                  <w:rPr>
                    <w:rFonts w:ascii="Cambria Math" w:hAnsi="Cambria Math"/>
                  </w:rPr>
                  <m:t>2</m:t>
                </m:r>
              </m:sup>
            </m:sSup>
            <m:r>
              <w:rPr>
                <w:rFonts w:ascii="Cambria Math" w:hAnsi="Cambria Math"/>
              </w:rPr>
              <m:t>+</m:t>
            </m:r>
            <m:sSub>
              <m:sSubPr>
                <m:ctrlPr>
                  <w:rPr>
                    <w:rFonts w:ascii="Cambria Math" w:hAnsi="Cambria Math"/>
                  </w:rPr>
                </m:ctrlPr>
              </m:sSubPr>
              <m:e>
                <m:r>
                  <w:rPr>
                    <w:rFonts w:ascii="Cambria Math" w:hAnsi="Cambria Math"/>
                  </w:rPr>
                  <m:t>m</m:t>
                </m:r>
              </m:e>
              <m:sub>
                <m:r>
                  <m:rPr>
                    <m:sty m:val="p"/>
                  </m:rPr>
                  <w:rPr>
                    <w:rFonts w:ascii="Cambria Math" w:hAnsi="Cambria Math"/>
                  </w:rPr>
                  <m:t>s</m:t>
                </m:r>
              </m:sub>
            </m:sSub>
            <m:d>
              <m:dPr>
                <m:ctrlPr>
                  <w:rPr>
                    <w:rFonts w:ascii="Cambria Math" w:hAnsi="Cambria Math"/>
                  </w:rPr>
                </m:ctrlPr>
              </m:dPr>
              <m:e>
                <m:r>
                  <w:rPr>
                    <w:rFonts w:ascii="Cambria Math" w:hAnsi="Cambria Math"/>
                  </w:rPr>
                  <m:t>z</m:t>
                </m:r>
              </m:e>
            </m:d>
            <m:sSup>
              <m:sSupPr>
                <m:ctrlPr>
                  <w:rPr>
                    <w:rFonts w:ascii="Cambria Math" w:hAnsi="Cambria Math"/>
                  </w:rPr>
                </m:ctrlPr>
              </m:sSupPr>
              <m:e>
                <m:d>
                  <m:dPr>
                    <m:ctrlPr>
                      <w:rPr>
                        <w:rFonts w:ascii="Cambria Math" w:hAnsi="Cambria Math"/>
                      </w:rPr>
                    </m:ctrlPr>
                  </m:dPr>
                  <m:e>
                    <m:f>
                      <m:fPr>
                        <m:ctrlPr>
                          <w:rPr>
                            <w:rFonts w:ascii="Cambria Math" w:hAnsi="Cambria Math"/>
                          </w:rPr>
                        </m:ctrlPr>
                      </m:fPr>
                      <m:num>
                        <m:r>
                          <w:rPr>
                            <w:rFonts w:ascii="Cambria Math" w:hAnsi="Cambria Math"/>
                          </w:rPr>
                          <m:t>q</m:t>
                        </m:r>
                        <m:sSub>
                          <m:sSubPr>
                            <m:ctrlPr>
                              <w:rPr>
                                <w:rFonts w:ascii="Cambria Math" w:hAnsi="Cambria Math"/>
                              </w:rPr>
                            </m:ctrlPr>
                          </m:sSubPr>
                          <m:e>
                            <m:r>
                              <w:rPr>
                                <w:rFonts w:ascii="Cambria Math" w:hAnsi="Cambria Math"/>
                              </w:rPr>
                              <m:t>S</m:t>
                            </m:r>
                          </m:e>
                          <m:sub>
                            <m:r>
                              <m:rPr>
                                <m:sty m:val="p"/>
                              </m:rPr>
                              <w:rPr>
                                <w:rFonts w:ascii="Cambria Math" w:hAnsi="Cambria Math"/>
                              </w:rPr>
                              <m:t>e</m:t>
                            </m:r>
                          </m:sub>
                        </m:sSub>
                        <m:d>
                          <m:dPr>
                            <m:ctrlPr>
                              <w:rPr>
                                <w:rFonts w:ascii="Cambria Math" w:hAnsi="Cambria Math"/>
                              </w:rPr>
                            </m:ctrlPr>
                          </m:dPr>
                          <m:e>
                            <m:sSub>
                              <m:sSubPr>
                                <m:ctrlPr>
                                  <w:rPr>
                                    <w:rFonts w:ascii="Cambria Math" w:hAnsi="Cambria Math"/>
                                  </w:rPr>
                                </m:ctrlPr>
                              </m:sSubPr>
                              <m:e>
                                <m:r>
                                  <w:rPr>
                                    <w:rFonts w:ascii="Cambria Math" w:hAnsi="Cambria Math"/>
                                  </w:rPr>
                                  <m:t>T</m:t>
                                </m:r>
                              </m:e>
                              <m:sub>
                                <m:r>
                                  <m:rPr>
                                    <m:sty m:val="p"/>
                                  </m:rPr>
                                  <w:rPr>
                                    <w:rFonts w:ascii="Cambria Math" w:hAnsi="Cambria Math"/>
                                  </w:rPr>
                                  <m:t>C</m:t>
                                </m:r>
                              </m:sub>
                            </m:sSub>
                          </m:e>
                        </m:d>
                      </m:num>
                      <m:den>
                        <m:sSub>
                          <m:sSubPr>
                            <m:ctrlPr>
                              <w:rPr>
                                <w:rFonts w:ascii="Cambria Math" w:hAnsi="Cambria Math"/>
                              </w:rPr>
                            </m:ctrlPr>
                          </m:sSubPr>
                          <m:e>
                            <m:r>
                              <w:rPr>
                                <w:rFonts w:ascii="Cambria Math" w:hAnsi="Cambria Math"/>
                              </w:rPr>
                              <m:t>S</m:t>
                            </m:r>
                          </m:e>
                          <m:sub>
                            <m:r>
                              <m:rPr>
                                <m:sty m:val="p"/>
                              </m:rPr>
                              <w:rPr>
                                <w:rFonts w:ascii="Cambria Math" w:hAnsi="Cambria Math"/>
                              </w:rPr>
                              <m:t>e</m:t>
                            </m:r>
                          </m:sub>
                        </m:sSub>
                        <m:d>
                          <m:dPr>
                            <m:ctrlPr>
                              <w:rPr>
                                <w:rFonts w:ascii="Cambria Math" w:hAnsi="Cambria Math"/>
                              </w:rPr>
                            </m:ctrlPr>
                          </m:dPr>
                          <m:e>
                            <m:sSub>
                              <m:sSubPr>
                                <m:ctrlPr>
                                  <w:rPr>
                                    <w:rFonts w:ascii="Cambria Math" w:hAnsi="Cambria Math"/>
                                  </w:rPr>
                                </m:ctrlPr>
                              </m:sSubPr>
                              <m:e>
                                <m:r>
                                  <w:rPr>
                                    <w:rFonts w:ascii="Cambria Math" w:hAnsi="Cambria Math"/>
                                  </w:rPr>
                                  <m:t>T</m:t>
                                </m:r>
                              </m:e>
                              <m:sub>
                                <m:r>
                                  <w:rPr>
                                    <w:rFonts w:ascii="Cambria Math" w:hAnsi="Cambria Math"/>
                                  </w:rPr>
                                  <m:t>1</m:t>
                                </m:r>
                              </m:sub>
                            </m:sSub>
                          </m:e>
                        </m:d>
                      </m:den>
                    </m:f>
                  </m:e>
                </m:d>
              </m:e>
              <m:sup>
                <m:r>
                  <w:rPr>
                    <w:rFonts w:ascii="Cambria Math" w:hAnsi="Cambria Math"/>
                  </w:rPr>
                  <m:t>2</m:t>
                </m:r>
              </m:sup>
            </m:sSup>
          </m:e>
        </m:rad>
      </m:oMath>
      <w:r w:rsidRPr="00870D59">
        <w:tab/>
        <w:t>(10.</w:t>
      </w:r>
      <w:r>
        <w:t>12</w:t>
      </w:r>
      <w:r w:rsidRPr="00870D59">
        <w:t>)</w:t>
      </w:r>
    </w:p>
    <w:tbl>
      <w:tblPr>
        <w:tblW w:w="0" w:type="auto"/>
        <w:tblInd w:w="534" w:type="dxa"/>
        <w:tblLook w:val="04A0" w:firstRow="1" w:lastRow="0" w:firstColumn="1" w:lastColumn="0" w:noHBand="0" w:noVBand="1"/>
      </w:tblPr>
      <w:tblGrid>
        <w:gridCol w:w="1275"/>
        <w:gridCol w:w="7938"/>
      </w:tblGrid>
      <w:tr w:rsidR="009B45B4" w:rsidRPr="00870D59" w14:paraId="35F25C7B" w14:textId="77777777" w:rsidTr="002061E5">
        <w:tc>
          <w:tcPr>
            <w:tcW w:w="1275" w:type="dxa"/>
          </w:tcPr>
          <w:p w14:paraId="637F4166" w14:textId="7888AAD3" w:rsidR="009B45B4" w:rsidRPr="00870D59" w:rsidRDefault="00836114" w:rsidP="002061E5">
            <w:pPr>
              <w:spacing w:after="60"/>
              <w:rPr>
                <w:rFonts w:eastAsia="Times New Roman" w:cs="Cambria"/>
                <w:szCs w:val="20"/>
                <w:lang w:eastAsia="fr-FR"/>
              </w:rPr>
            </w:pPr>
            <w:r w:rsidRPr="00D1484A">
              <w:rPr>
                <w:i/>
                <w:iCs/>
              </w:rPr>
              <w:lastRenderedPageBreak/>
              <w:t>M’</w:t>
            </w:r>
            <w:r w:rsidRPr="00D1484A">
              <w:rPr>
                <w:vertAlign w:val="subscript"/>
              </w:rPr>
              <w:t>Edw,base</w:t>
            </w:r>
          </w:p>
        </w:tc>
        <w:tc>
          <w:tcPr>
            <w:tcW w:w="7938" w:type="dxa"/>
          </w:tcPr>
          <w:p w14:paraId="23FCD7DF" w14:textId="2F33CAB6" w:rsidR="009B45B4" w:rsidRPr="00870D59" w:rsidRDefault="00836114" w:rsidP="002061E5">
            <w:pPr>
              <w:spacing w:after="60"/>
              <w:rPr>
                <w:rFonts w:eastAsia="Times New Roman" w:cs="Cambria"/>
                <w:szCs w:val="20"/>
                <w:lang w:eastAsia="fr-FR"/>
              </w:rPr>
            </w:pPr>
            <w:r w:rsidRPr="00D1484A">
              <w:t>is the design moment at the base of the wall (from analysis);</w:t>
            </w:r>
          </w:p>
        </w:tc>
      </w:tr>
      <w:tr w:rsidR="009B45B4" w:rsidRPr="00870D59" w14:paraId="630F51BB" w14:textId="77777777" w:rsidTr="002061E5">
        <w:tc>
          <w:tcPr>
            <w:tcW w:w="1275" w:type="dxa"/>
          </w:tcPr>
          <w:p w14:paraId="2DD2A5B0" w14:textId="504ACD2A" w:rsidR="009B45B4" w:rsidRPr="00870D59" w:rsidRDefault="00836114" w:rsidP="002061E5">
            <w:pPr>
              <w:spacing w:after="60"/>
              <w:rPr>
                <w:rFonts w:ascii="Symbol" w:hAnsi="Symbol"/>
                <w:i/>
                <w:color w:val="000000" w:themeColor="text1"/>
              </w:rPr>
            </w:pPr>
            <w:r w:rsidRPr="00D1484A">
              <w:rPr>
                <w:i/>
                <w:iCs/>
              </w:rPr>
              <w:t>M</w:t>
            </w:r>
            <w:r w:rsidRPr="00D1484A">
              <w:rPr>
                <w:vertAlign w:val="subscript"/>
              </w:rPr>
              <w:t>Rdw,base</w:t>
            </w:r>
          </w:p>
        </w:tc>
        <w:tc>
          <w:tcPr>
            <w:tcW w:w="7938" w:type="dxa"/>
          </w:tcPr>
          <w:p w14:paraId="052B23F6" w14:textId="6C642D7C" w:rsidR="009B45B4" w:rsidRPr="00870D59" w:rsidRDefault="00836114" w:rsidP="002061E5">
            <w:pPr>
              <w:rPr>
                <w:color w:val="000000" w:themeColor="text1"/>
              </w:rPr>
            </w:pPr>
            <w:r w:rsidRPr="00D1484A">
              <w:t xml:space="preserve">is the design moment of </w:t>
            </w:r>
            <w:r w:rsidRPr="007E6F67">
              <w:t>resistance at the base of the wall;</w:t>
            </w:r>
          </w:p>
        </w:tc>
      </w:tr>
      <w:tr w:rsidR="009B45B4" w:rsidRPr="00870D59" w14:paraId="3FFBBD96" w14:textId="77777777" w:rsidTr="002061E5">
        <w:tc>
          <w:tcPr>
            <w:tcW w:w="1275" w:type="dxa"/>
          </w:tcPr>
          <w:p w14:paraId="5DBF6A11" w14:textId="543CA0FD" w:rsidR="009B45B4" w:rsidRPr="00D1484A" w:rsidRDefault="00836114" w:rsidP="002061E5">
            <w:pPr>
              <w:spacing w:after="60"/>
              <w:rPr>
                <w:i/>
                <w:iCs/>
              </w:rPr>
            </w:pPr>
            <w:r w:rsidRPr="00644C3D">
              <w:rPr>
                <w:i/>
                <w:iCs/>
              </w:rPr>
              <w:t>γ</w:t>
            </w:r>
            <w:r w:rsidRPr="00E05E29">
              <w:rPr>
                <w:vertAlign w:val="subscript"/>
              </w:rPr>
              <w:t>Rd</w:t>
            </w:r>
          </w:p>
        </w:tc>
        <w:tc>
          <w:tcPr>
            <w:tcW w:w="7938" w:type="dxa"/>
          </w:tcPr>
          <w:p w14:paraId="1355070A" w14:textId="47EA17A0" w:rsidR="009B45B4" w:rsidRPr="007E6F67" w:rsidRDefault="00836114" w:rsidP="002061E5">
            <w:r w:rsidRPr="00E05E29">
              <w:t>accounts for overstrength due to steel strain-hardening and may be taken equal to 1,2;</w:t>
            </w:r>
          </w:p>
        </w:tc>
      </w:tr>
      <w:tr w:rsidR="009B45B4" w:rsidRPr="00870D59" w14:paraId="2C9BA0BB" w14:textId="77777777" w:rsidTr="002061E5">
        <w:tc>
          <w:tcPr>
            <w:tcW w:w="1275" w:type="dxa"/>
          </w:tcPr>
          <w:p w14:paraId="37A4EAC0" w14:textId="2967ED7E" w:rsidR="009B45B4" w:rsidRPr="00D1484A" w:rsidRDefault="00836114" w:rsidP="002061E5">
            <w:pPr>
              <w:spacing w:after="60"/>
              <w:rPr>
                <w:i/>
                <w:iCs/>
              </w:rPr>
            </w:pPr>
            <w:r w:rsidRPr="00E05E29">
              <w:rPr>
                <w:i/>
                <w:iCs/>
              </w:rPr>
              <w:t>S</w:t>
            </w:r>
            <w:r w:rsidRPr="00E05E29">
              <w:rPr>
                <w:vertAlign w:val="subscript"/>
              </w:rPr>
              <w:t>e</w:t>
            </w:r>
            <w:r w:rsidRPr="00836114">
              <w:t>(</w:t>
            </w:r>
            <w:r w:rsidRPr="00E05E29">
              <w:rPr>
                <w:i/>
                <w:iCs/>
              </w:rPr>
              <w:t>T</w:t>
            </w:r>
            <w:r w:rsidRPr="00836114">
              <w:t>)</w:t>
            </w:r>
          </w:p>
        </w:tc>
        <w:tc>
          <w:tcPr>
            <w:tcW w:w="7938" w:type="dxa"/>
          </w:tcPr>
          <w:p w14:paraId="4CCE97A0" w14:textId="731E21BD" w:rsidR="009B45B4" w:rsidRPr="007E6F67" w:rsidRDefault="00836114" w:rsidP="002061E5">
            <w:r w:rsidRPr="00E05E29">
              <w:t>is the ordinate of the elastic response spectrum;</w:t>
            </w:r>
          </w:p>
        </w:tc>
      </w:tr>
      <w:tr w:rsidR="00836114" w:rsidRPr="00870D59" w14:paraId="37550405" w14:textId="77777777" w:rsidTr="002061E5">
        <w:tc>
          <w:tcPr>
            <w:tcW w:w="1275" w:type="dxa"/>
          </w:tcPr>
          <w:p w14:paraId="0F6D7C6C" w14:textId="2A7CD3D4" w:rsidR="00836114" w:rsidRPr="00E05E29" w:rsidRDefault="00836114" w:rsidP="002061E5">
            <w:pPr>
              <w:spacing w:after="60"/>
              <w:rPr>
                <w:i/>
                <w:iCs/>
              </w:rPr>
            </w:pPr>
            <w:r w:rsidRPr="00E05E29">
              <w:rPr>
                <w:i/>
                <w:iCs/>
              </w:rPr>
              <w:t>T</w:t>
            </w:r>
            <w:r w:rsidRPr="00E05E29">
              <w:rPr>
                <w:vertAlign w:val="subscript"/>
              </w:rPr>
              <w:t>C</w:t>
            </w:r>
          </w:p>
        </w:tc>
        <w:tc>
          <w:tcPr>
            <w:tcW w:w="7938" w:type="dxa"/>
          </w:tcPr>
          <w:p w14:paraId="764B06E9" w14:textId="57C98EF4" w:rsidR="00836114" w:rsidRPr="00E05E29" w:rsidRDefault="00836114" w:rsidP="002061E5">
            <w:r w:rsidRPr="00E05E29">
              <w:t>is the upper corner period of the constant spectral acceleration range;</w:t>
            </w:r>
          </w:p>
        </w:tc>
      </w:tr>
      <w:tr w:rsidR="00836114" w:rsidRPr="00870D59" w14:paraId="79758146" w14:textId="77777777" w:rsidTr="002061E5">
        <w:tc>
          <w:tcPr>
            <w:tcW w:w="1275" w:type="dxa"/>
          </w:tcPr>
          <w:p w14:paraId="6682915C" w14:textId="6B9BF1D3" w:rsidR="00836114" w:rsidRPr="00E05E29" w:rsidRDefault="00836114" w:rsidP="002061E5">
            <w:pPr>
              <w:spacing w:after="60"/>
              <w:rPr>
                <w:i/>
                <w:iCs/>
              </w:rPr>
            </w:pPr>
            <w:r w:rsidRPr="00E05E29">
              <w:rPr>
                <w:i/>
                <w:iCs/>
              </w:rPr>
              <w:t>T</w:t>
            </w:r>
            <w:r w:rsidRPr="00E05E29">
              <w:rPr>
                <w:vertAlign w:val="subscript"/>
              </w:rPr>
              <w:t>1</w:t>
            </w:r>
          </w:p>
        </w:tc>
        <w:tc>
          <w:tcPr>
            <w:tcW w:w="7938" w:type="dxa"/>
          </w:tcPr>
          <w:p w14:paraId="3A0F567B" w14:textId="654BC1EE" w:rsidR="00836114" w:rsidRPr="00E05E29" w:rsidRDefault="00836114" w:rsidP="002061E5">
            <w:r w:rsidRPr="00E05E29">
              <w:t xml:space="preserve">is the period of the mode with the largest participating mass in the direction of </w:t>
            </w:r>
            <w:r w:rsidRPr="00E05E29">
              <w:rPr>
                <w:i/>
                <w:iCs/>
              </w:rPr>
              <w:t>V</w:t>
            </w:r>
            <w:r w:rsidRPr="00E05E29">
              <w:rPr>
                <w:vertAlign w:val="subscript"/>
              </w:rPr>
              <w:t>Edw</w:t>
            </w:r>
            <w:r w:rsidRPr="00E05E29">
              <w:t>;</w:t>
            </w:r>
          </w:p>
        </w:tc>
      </w:tr>
      <w:tr w:rsidR="00836114" w:rsidRPr="00870D59" w14:paraId="47119B9C" w14:textId="77777777" w:rsidTr="002061E5">
        <w:tc>
          <w:tcPr>
            <w:tcW w:w="1275" w:type="dxa"/>
          </w:tcPr>
          <w:p w14:paraId="48259E06" w14:textId="02AEC632" w:rsidR="00836114" w:rsidRPr="00E05E29" w:rsidRDefault="00836114" w:rsidP="002061E5">
            <w:pPr>
              <w:spacing w:after="60"/>
              <w:rPr>
                <w:i/>
                <w:iCs/>
              </w:rPr>
            </w:pPr>
            <w:r w:rsidRPr="00E05E29">
              <w:rPr>
                <w:i/>
                <w:iCs/>
              </w:rPr>
              <w:t>m</w:t>
            </w:r>
            <w:r w:rsidRPr="00021375">
              <w:rPr>
                <w:vertAlign w:val="subscript"/>
              </w:rPr>
              <w:t>s</w:t>
            </w:r>
            <w:r w:rsidRPr="00836114">
              <w:rPr>
                <w:vertAlign w:val="subscript"/>
              </w:rPr>
              <w:t xml:space="preserve"> </w:t>
            </w:r>
            <w:r w:rsidRPr="00836114">
              <w:t>(</w:t>
            </w:r>
            <w:r w:rsidRPr="00E05E29">
              <w:rPr>
                <w:i/>
                <w:iCs/>
              </w:rPr>
              <w:t>z</w:t>
            </w:r>
            <w:r w:rsidRPr="00836114">
              <w:t>)</w:t>
            </w:r>
          </w:p>
        </w:tc>
        <w:tc>
          <w:tcPr>
            <w:tcW w:w="7938" w:type="dxa"/>
          </w:tcPr>
          <w:p w14:paraId="662C2844" w14:textId="1D56B4E9" w:rsidR="00836114" w:rsidRPr="00E05E29" w:rsidRDefault="00836114" w:rsidP="002061E5">
            <w:r w:rsidRPr="00E05E29">
              <w:t xml:space="preserve">is a factor varying along the height of the wall, </w:t>
            </w:r>
            <w:r w:rsidRPr="00E05E29">
              <w:rPr>
                <w:i/>
                <w:iCs/>
              </w:rPr>
              <w:t>h</w:t>
            </w:r>
            <w:r w:rsidRPr="00021375">
              <w:rPr>
                <w:vertAlign w:val="subscript"/>
              </w:rPr>
              <w:t>w</w:t>
            </w:r>
            <w:r w:rsidRPr="00E05E29">
              <w:t>, as given by Formula (10.</w:t>
            </w:r>
            <w:r>
              <w:t>1</w:t>
            </w:r>
            <w:r w:rsidRPr="00E05E29">
              <w:t>3)</w:t>
            </w:r>
            <w:r>
              <w:t>.</w:t>
            </w:r>
          </w:p>
        </w:tc>
      </w:tr>
    </w:tbl>
    <w:p w14:paraId="412C3D7E" w14:textId="52495B5E" w:rsidR="00836114" w:rsidRPr="00870D59" w:rsidRDefault="009B5CEC" w:rsidP="00836114">
      <w:pPr>
        <w:pStyle w:val="Formula"/>
        <w:spacing w:before="240"/>
      </w:pPr>
      <m:oMath>
        <m:sSub>
          <m:sSubPr>
            <m:ctrlPr>
              <w:rPr>
                <w:rFonts w:ascii="Cambria Math" w:hAnsi="Cambria Math"/>
              </w:rPr>
            </m:ctrlPr>
          </m:sSubPr>
          <m:e>
            <m:r>
              <w:rPr>
                <w:rFonts w:ascii="Cambria Math" w:hAnsi="Cambria Math"/>
              </w:rPr>
              <m:t>m</m:t>
            </m:r>
          </m:e>
          <m:sub>
            <m:r>
              <w:rPr>
                <w:rFonts w:ascii="Cambria Math" w:hAnsi="Cambria Math"/>
              </w:rPr>
              <m:t>s</m:t>
            </m:r>
          </m:sub>
        </m:sSub>
        <m:r>
          <w:rPr>
            <w:rFonts w:ascii="Cambria Math" w:hAnsi="Cambria Math"/>
          </w:rPr>
          <m:t>(z)=</m:t>
        </m:r>
        <m:d>
          <m:dPr>
            <m:begChr m:val="{"/>
            <m:endChr m:val=""/>
            <m:ctrlPr>
              <w:rPr>
                <w:rFonts w:ascii="Cambria Math" w:hAnsi="Cambria Math"/>
              </w:rPr>
            </m:ctrlPr>
          </m:dPr>
          <m:e>
            <m:m>
              <m:mPr>
                <m:mcs>
                  <m:mc>
                    <m:mcPr>
                      <m:count m:val="2"/>
                      <m:mcJc m:val="center"/>
                    </m:mcPr>
                  </m:mc>
                </m:mcs>
                <m:ctrlPr>
                  <w:rPr>
                    <w:rFonts w:ascii="Cambria Math" w:hAnsi="Cambria Math"/>
                  </w:rPr>
                </m:ctrlPr>
              </m:mPr>
              <m:mr>
                <m:e>
                  <m:r>
                    <w:rPr>
                      <w:rFonts w:ascii="Cambria Math" w:hAnsi="Cambria Math"/>
                    </w:rPr>
                    <m:t>0,10</m:t>
                  </m:r>
                </m:e>
                <m:e>
                  <m:r>
                    <w:rPr>
                      <w:rFonts w:ascii="Cambria Math" w:hAnsi="Cambria Math"/>
                    </w:rPr>
                    <m:t>for 0≤z≤0,33</m:t>
                  </m:r>
                  <m:sSub>
                    <m:sSubPr>
                      <m:ctrlPr>
                        <w:rPr>
                          <w:rFonts w:ascii="Cambria Math" w:hAnsi="Cambria Math"/>
                        </w:rPr>
                      </m:ctrlPr>
                    </m:sSubPr>
                    <m:e>
                      <m:r>
                        <w:rPr>
                          <w:rFonts w:ascii="Cambria Math" w:hAnsi="Cambria Math"/>
                        </w:rPr>
                        <m:t>h</m:t>
                      </m:r>
                    </m:e>
                    <m:sub>
                      <m:r>
                        <m:rPr>
                          <m:sty m:val="p"/>
                        </m:rPr>
                        <w:rPr>
                          <w:rFonts w:ascii="Cambria Math" w:hAnsi="Cambria Math"/>
                        </w:rPr>
                        <m:t>w</m:t>
                      </m:r>
                    </m:sub>
                  </m:sSub>
                  <m:r>
                    <w:rPr>
                      <w:rFonts w:ascii="Cambria Math" w:hAnsi="Cambria Math"/>
                    </w:rPr>
                    <m:t xml:space="preserve">           </m:t>
                  </m:r>
                </m:e>
              </m:mr>
              <m:mr>
                <m:e>
                  <m:r>
                    <w:rPr>
                      <w:rFonts w:ascii="Cambria Math" w:hAnsi="Cambria Math"/>
                    </w:rPr>
                    <m:t>0,05</m:t>
                  </m:r>
                </m:e>
                <m:e>
                  <m:r>
                    <w:rPr>
                      <w:rFonts w:ascii="Cambria Math" w:hAnsi="Cambria Math"/>
                    </w:rPr>
                    <m:t>for 0,33</m:t>
                  </m:r>
                  <m:sSub>
                    <m:sSubPr>
                      <m:ctrlPr>
                        <w:rPr>
                          <w:rFonts w:ascii="Cambria Math" w:hAnsi="Cambria Math"/>
                        </w:rPr>
                      </m:ctrlPr>
                    </m:sSubPr>
                    <m:e>
                      <m:r>
                        <w:rPr>
                          <w:rFonts w:ascii="Cambria Math" w:hAnsi="Cambria Math"/>
                        </w:rPr>
                        <m:t>h</m:t>
                      </m:r>
                    </m:e>
                    <m:sub>
                      <m:r>
                        <m:rPr>
                          <m:sty m:val="p"/>
                        </m:rPr>
                        <w:rPr>
                          <w:rFonts w:ascii="Cambria Math" w:hAnsi="Cambria Math"/>
                        </w:rPr>
                        <m:t>w</m:t>
                      </m:r>
                    </m:sub>
                  </m:sSub>
                  <m:r>
                    <w:rPr>
                      <w:rFonts w:ascii="Cambria Math" w:hAnsi="Cambria Math"/>
                    </w:rPr>
                    <m:t>&lt;z&lt;0,67</m:t>
                  </m:r>
                  <m:sSub>
                    <m:sSubPr>
                      <m:ctrlPr>
                        <w:rPr>
                          <w:rFonts w:ascii="Cambria Math" w:hAnsi="Cambria Math"/>
                        </w:rPr>
                      </m:ctrlPr>
                    </m:sSubPr>
                    <m:e>
                      <m:r>
                        <w:rPr>
                          <w:rFonts w:ascii="Cambria Math" w:hAnsi="Cambria Math"/>
                        </w:rPr>
                        <m:t>h</m:t>
                      </m:r>
                    </m:e>
                    <m:sub>
                      <m:r>
                        <m:rPr>
                          <m:sty m:val="p"/>
                        </m:rPr>
                        <w:rPr>
                          <w:rFonts w:ascii="Cambria Math" w:hAnsi="Cambria Math"/>
                        </w:rPr>
                        <m:t>w</m:t>
                      </m:r>
                    </m:sub>
                  </m:sSub>
                </m:e>
              </m:mr>
              <m:mr>
                <m:e>
                  <m:r>
                    <w:rPr>
                      <w:rFonts w:ascii="Cambria Math" w:hAnsi="Cambria Math"/>
                    </w:rPr>
                    <m:t>0,25</m:t>
                  </m:r>
                </m:e>
                <m:e>
                  <m:r>
                    <w:rPr>
                      <w:rFonts w:ascii="Cambria Math" w:hAnsi="Cambria Math"/>
                    </w:rPr>
                    <m:t>for 0,67</m:t>
                  </m:r>
                  <m:sSub>
                    <m:sSubPr>
                      <m:ctrlPr>
                        <w:rPr>
                          <w:rFonts w:ascii="Cambria Math" w:hAnsi="Cambria Math"/>
                        </w:rPr>
                      </m:ctrlPr>
                    </m:sSubPr>
                    <m:e>
                      <m:r>
                        <w:rPr>
                          <w:rFonts w:ascii="Cambria Math" w:hAnsi="Cambria Math"/>
                        </w:rPr>
                        <m:t>h</m:t>
                      </m:r>
                    </m:e>
                    <m:sub>
                      <m:r>
                        <m:rPr>
                          <m:sty m:val="p"/>
                        </m:rPr>
                        <w:rPr>
                          <w:rFonts w:ascii="Cambria Math" w:hAnsi="Cambria Math"/>
                        </w:rPr>
                        <m:t>w</m:t>
                      </m:r>
                    </m:sub>
                  </m:sSub>
                  <m:r>
                    <w:rPr>
                      <w:rFonts w:ascii="Cambria Math" w:hAnsi="Cambria Math"/>
                    </w:rPr>
                    <m:t>≤z≤</m:t>
                  </m:r>
                  <m:sSub>
                    <m:sSubPr>
                      <m:ctrlPr>
                        <w:rPr>
                          <w:rFonts w:ascii="Cambria Math" w:hAnsi="Cambria Math"/>
                        </w:rPr>
                      </m:ctrlPr>
                    </m:sSubPr>
                    <m:e>
                      <m:r>
                        <w:rPr>
                          <w:rFonts w:ascii="Cambria Math" w:hAnsi="Cambria Math"/>
                        </w:rPr>
                        <m:t>h</m:t>
                      </m:r>
                    </m:e>
                    <m:sub>
                      <m:r>
                        <m:rPr>
                          <m:sty m:val="p"/>
                        </m:rPr>
                        <w:rPr>
                          <w:rFonts w:ascii="Cambria Math" w:hAnsi="Cambria Math"/>
                        </w:rPr>
                        <m:t>w</m:t>
                      </m:r>
                    </m:sub>
                  </m:sSub>
                  <m:r>
                    <w:rPr>
                      <w:rFonts w:ascii="Cambria Math" w:hAnsi="Cambria Math"/>
                    </w:rPr>
                    <m:t xml:space="preserve">        </m:t>
                  </m:r>
                </m:e>
              </m:mr>
            </m:m>
          </m:e>
        </m:d>
      </m:oMath>
      <w:r w:rsidR="00836114" w:rsidRPr="00870D59">
        <w:tab/>
        <w:t>(10.</w:t>
      </w:r>
      <w:r w:rsidR="00836114">
        <w:t>13</w:t>
      </w:r>
      <w:r w:rsidR="00836114" w:rsidRPr="00870D59">
        <w:t>)</w:t>
      </w:r>
    </w:p>
    <w:p w14:paraId="43F78A54" w14:textId="5FBC279D" w:rsidR="00836114" w:rsidRPr="00FD17CF" w:rsidRDefault="00836114" w:rsidP="00724E4E">
      <w:pPr>
        <w:pStyle w:val="Clause"/>
      </w:pPr>
      <w:r w:rsidRPr="00D1484A">
        <w:t>For DC2, alternatively to Formula (10.</w:t>
      </w:r>
      <w:r>
        <w:t>1</w:t>
      </w:r>
      <w:r w:rsidRPr="00D1484A">
        <w:t xml:space="preserve">2), </w:t>
      </w:r>
      <w:r w:rsidRPr="00D1484A">
        <w:rPr>
          <w:i/>
          <w:iCs/>
        </w:rPr>
        <w:t>ε</w:t>
      </w:r>
      <w:r w:rsidRPr="00D1484A">
        <w:t>(</w:t>
      </w:r>
      <w:r w:rsidRPr="00D1484A">
        <w:rPr>
          <w:i/>
          <w:iCs/>
        </w:rPr>
        <w:t>z</w:t>
      </w:r>
      <w:r w:rsidRPr="00D1484A">
        <w:t xml:space="preserve">) may be assumed equal to </w:t>
      </w:r>
      <w:r w:rsidRPr="007E6F67">
        <w:rPr>
          <w:i/>
          <w:iCs/>
        </w:rPr>
        <w:t>q</w:t>
      </w:r>
      <w:r w:rsidRPr="00FD17CF">
        <w:rPr>
          <w:iCs/>
        </w:rPr>
        <w:t>.</w:t>
      </w:r>
    </w:p>
    <w:p w14:paraId="0A82A371" w14:textId="5048923E" w:rsidR="00836114" w:rsidRPr="00E05E29" w:rsidRDefault="00836114" w:rsidP="00724E4E">
      <w:pPr>
        <w:pStyle w:val="Clause"/>
      </w:pPr>
      <w:r w:rsidRPr="00E05E29">
        <w:t xml:space="preserve">In walls in dual structures, the design shear forces </w:t>
      </w:r>
      <w:r w:rsidRPr="00E05E29">
        <w:rPr>
          <w:i/>
          <w:iCs/>
        </w:rPr>
        <w:t>V</w:t>
      </w:r>
      <w:r w:rsidRPr="00E05E29">
        <w:rPr>
          <w:vertAlign w:val="subscript"/>
        </w:rPr>
        <w:t>Edw,env</w:t>
      </w:r>
      <w:r w:rsidRPr="00E05E29">
        <w:t xml:space="preserve"> should be in accordance with Figure 10.</w:t>
      </w:r>
      <w:r>
        <w:t>7</w:t>
      </w:r>
      <w:r w:rsidRPr="00E05E29">
        <w:t>.</w:t>
      </w:r>
    </w:p>
    <w:p w14:paraId="50C4E13E" w14:textId="3EB06F14" w:rsidR="00836114" w:rsidRPr="00132C1E" w:rsidRDefault="003357C1" w:rsidP="00813B05">
      <w:pPr>
        <w:pStyle w:val="FigureImage"/>
      </w:pPr>
      <w:r>
        <w:rPr>
          <w:noProof/>
        </w:rPr>
        <w:drawing>
          <wp:inline distT="0" distB="0" distL="0" distR="0" wp14:anchorId="11A22FDB" wp14:editId="4235AF53">
            <wp:extent cx="2159512" cy="2202184"/>
            <wp:effectExtent l="0" t="0" r="0" b="7620"/>
            <wp:docPr id="42" name="0011.tiff"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0011.tiff" descr="Shape&#10;&#10;Description automatically generated with medium confidence"/>
                    <pic:cNvPicPr/>
                  </pic:nvPicPr>
                  <pic:blipFill>
                    <a:blip r:link="rId26"/>
                    <a:stretch>
                      <a:fillRect/>
                    </a:stretch>
                  </pic:blipFill>
                  <pic:spPr>
                    <a:xfrm>
                      <a:off x="0" y="0"/>
                      <a:ext cx="2159512" cy="2202184"/>
                    </a:xfrm>
                    <a:prstGeom prst="rect">
                      <a:avLst/>
                    </a:prstGeom>
                  </pic:spPr>
                </pic:pic>
              </a:graphicData>
            </a:graphic>
          </wp:inline>
        </w:drawing>
      </w:r>
    </w:p>
    <w:p w14:paraId="2C01F465" w14:textId="565BA71A" w:rsidR="00836114" w:rsidRPr="00836114" w:rsidRDefault="00836114" w:rsidP="00813B05">
      <w:pPr>
        <w:pStyle w:val="KeyTitle"/>
      </w:pPr>
      <w:r w:rsidRPr="00836114">
        <w:t>Key</w:t>
      </w:r>
    </w:p>
    <w:tbl>
      <w:tblPr>
        <w:tblStyle w:val="TableGrid"/>
        <w:tblW w:w="662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0"/>
        <w:gridCol w:w="5769"/>
      </w:tblGrid>
      <w:tr w:rsidR="00836114" w:rsidRPr="00836114" w14:paraId="0BA5DDEC" w14:textId="77777777" w:rsidTr="001C5446">
        <w:tc>
          <w:tcPr>
            <w:tcW w:w="860" w:type="dxa"/>
          </w:tcPr>
          <w:p w14:paraId="62099D9B" w14:textId="77777777" w:rsidR="00836114" w:rsidRPr="00836114" w:rsidRDefault="00836114" w:rsidP="008618F2">
            <w:pPr>
              <w:pStyle w:val="KeyText"/>
              <w:spacing w:before="0"/>
            </w:pPr>
            <w:r w:rsidRPr="00836114">
              <w:rPr>
                <w:i/>
              </w:rPr>
              <w:t>V’</w:t>
            </w:r>
            <w:r w:rsidRPr="00836114">
              <w:rPr>
                <w:vertAlign w:val="subscript"/>
              </w:rPr>
              <w:t>Edw</w:t>
            </w:r>
          </w:p>
        </w:tc>
        <w:tc>
          <w:tcPr>
            <w:tcW w:w="5769" w:type="dxa"/>
          </w:tcPr>
          <w:p w14:paraId="25F03820" w14:textId="77777777" w:rsidR="00836114" w:rsidRPr="00836114" w:rsidRDefault="00836114" w:rsidP="008618F2">
            <w:pPr>
              <w:pStyle w:val="KeyText"/>
              <w:spacing w:before="0"/>
            </w:pPr>
            <w:r w:rsidRPr="00836114">
              <w:t>shear diagram from analysis</w:t>
            </w:r>
          </w:p>
        </w:tc>
      </w:tr>
      <w:tr w:rsidR="00836114" w:rsidRPr="00836114" w14:paraId="4F05418F" w14:textId="77777777" w:rsidTr="001C5446">
        <w:tc>
          <w:tcPr>
            <w:tcW w:w="860" w:type="dxa"/>
          </w:tcPr>
          <w:p w14:paraId="753F6658" w14:textId="77777777" w:rsidR="00836114" w:rsidRPr="00836114" w:rsidRDefault="00836114" w:rsidP="008618F2">
            <w:pPr>
              <w:pStyle w:val="KeyText"/>
              <w:spacing w:before="0"/>
            </w:pPr>
            <w:r w:rsidRPr="00836114">
              <w:rPr>
                <w:i/>
              </w:rPr>
              <w:t>V</w:t>
            </w:r>
            <w:r w:rsidRPr="00836114">
              <w:rPr>
                <w:vertAlign w:val="subscript"/>
              </w:rPr>
              <w:t>Edw</w:t>
            </w:r>
          </w:p>
        </w:tc>
        <w:tc>
          <w:tcPr>
            <w:tcW w:w="5769" w:type="dxa"/>
          </w:tcPr>
          <w:p w14:paraId="1C464657" w14:textId="77777777" w:rsidR="00836114" w:rsidRPr="00836114" w:rsidRDefault="00836114" w:rsidP="008618F2">
            <w:pPr>
              <w:pStyle w:val="KeyText"/>
              <w:spacing w:before="0"/>
            </w:pPr>
            <w:r w:rsidRPr="00836114">
              <w:t xml:space="preserve">magnified shear diagram (obtained </w:t>
            </w:r>
            <w:r w:rsidRPr="00813B05">
              <w:t>from (4))</w:t>
            </w:r>
          </w:p>
        </w:tc>
      </w:tr>
      <w:tr w:rsidR="00836114" w:rsidRPr="00836114" w14:paraId="46AC77D7" w14:textId="77777777" w:rsidTr="001C5446">
        <w:tc>
          <w:tcPr>
            <w:tcW w:w="860" w:type="dxa"/>
          </w:tcPr>
          <w:p w14:paraId="17B0EF81" w14:textId="77777777" w:rsidR="00836114" w:rsidRPr="00836114" w:rsidRDefault="00836114" w:rsidP="008618F2">
            <w:pPr>
              <w:pStyle w:val="KeyText"/>
              <w:spacing w:before="0"/>
            </w:pPr>
            <w:r w:rsidRPr="00836114">
              <w:rPr>
                <w:i/>
              </w:rPr>
              <w:t>V</w:t>
            </w:r>
            <w:r w:rsidRPr="00836114">
              <w:rPr>
                <w:vertAlign w:val="subscript"/>
              </w:rPr>
              <w:t>Edw,env</w:t>
            </w:r>
          </w:p>
        </w:tc>
        <w:tc>
          <w:tcPr>
            <w:tcW w:w="5769" w:type="dxa"/>
          </w:tcPr>
          <w:p w14:paraId="79E0F88F" w14:textId="77777777" w:rsidR="00836114" w:rsidRPr="00836114" w:rsidRDefault="00836114" w:rsidP="008618F2">
            <w:pPr>
              <w:pStyle w:val="KeyText"/>
              <w:spacing w:before="0"/>
            </w:pPr>
            <w:r w:rsidRPr="00836114">
              <w:t>design shear envelope</w:t>
            </w:r>
          </w:p>
        </w:tc>
      </w:tr>
      <w:tr w:rsidR="00836114" w:rsidRPr="00836114" w14:paraId="708F7BA1" w14:textId="77777777" w:rsidTr="001C5446">
        <w:tc>
          <w:tcPr>
            <w:tcW w:w="860" w:type="dxa"/>
          </w:tcPr>
          <w:p w14:paraId="617E508A" w14:textId="77777777" w:rsidR="00836114" w:rsidRPr="00836114" w:rsidRDefault="00836114" w:rsidP="008618F2">
            <w:pPr>
              <w:pStyle w:val="KeyText"/>
              <w:spacing w:before="0"/>
            </w:pPr>
            <w:r w:rsidRPr="00836114">
              <w:rPr>
                <w:i/>
              </w:rPr>
              <w:t>h</w:t>
            </w:r>
            <w:r w:rsidRPr="00836114">
              <w:rPr>
                <w:vertAlign w:val="subscript"/>
              </w:rPr>
              <w:t>w</w:t>
            </w:r>
          </w:p>
        </w:tc>
        <w:tc>
          <w:tcPr>
            <w:tcW w:w="5769" w:type="dxa"/>
          </w:tcPr>
          <w:p w14:paraId="45E4AB61" w14:textId="77777777" w:rsidR="00836114" w:rsidRPr="00836114" w:rsidRDefault="00836114" w:rsidP="008618F2">
            <w:pPr>
              <w:pStyle w:val="KeyText"/>
              <w:spacing w:before="0"/>
              <w:rPr>
                <w:i/>
              </w:rPr>
            </w:pPr>
            <w:r w:rsidRPr="00836114">
              <w:t>wall height</w:t>
            </w:r>
          </w:p>
        </w:tc>
      </w:tr>
      <w:tr w:rsidR="00836114" w:rsidRPr="00836114" w14:paraId="3173748E" w14:textId="77777777" w:rsidTr="001C5446">
        <w:tc>
          <w:tcPr>
            <w:tcW w:w="860" w:type="dxa"/>
          </w:tcPr>
          <w:p w14:paraId="4B86D60F" w14:textId="77777777" w:rsidR="00836114" w:rsidRPr="00836114" w:rsidRDefault="00836114" w:rsidP="008618F2">
            <w:pPr>
              <w:pStyle w:val="KeyText"/>
              <w:spacing w:before="0"/>
            </w:pPr>
            <w:r w:rsidRPr="00836114">
              <w:rPr>
                <w:i/>
              </w:rPr>
              <w:t>V</w:t>
            </w:r>
            <w:r w:rsidRPr="00836114">
              <w:rPr>
                <w:vertAlign w:val="subscript"/>
              </w:rPr>
              <w:t>Edw,base</w:t>
            </w:r>
          </w:p>
        </w:tc>
        <w:tc>
          <w:tcPr>
            <w:tcW w:w="5769" w:type="dxa"/>
          </w:tcPr>
          <w:p w14:paraId="0ECEDFFC" w14:textId="77777777" w:rsidR="00836114" w:rsidRPr="00836114" w:rsidRDefault="00836114" w:rsidP="008618F2">
            <w:pPr>
              <w:pStyle w:val="KeyText"/>
              <w:spacing w:before="0"/>
            </w:pPr>
            <w:r w:rsidRPr="00836114">
              <w:t>design shear at the base of the wall</w:t>
            </w:r>
          </w:p>
        </w:tc>
      </w:tr>
      <w:tr w:rsidR="00836114" w:rsidRPr="00836114" w14:paraId="6EF26EEA" w14:textId="77777777" w:rsidTr="001C5446">
        <w:tc>
          <w:tcPr>
            <w:tcW w:w="860" w:type="dxa"/>
          </w:tcPr>
          <w:p w14:paraId="354B334B" w14:textId="77777777" w:rsidR="00836114" w:rsidRPr="00836114" w:rsidRDefault="00836114" w:rsidP="008618F2">
            <w:pPr>
              <w:pStyle w:val="KeyText"/>
              <w:spacing w:before="0"/>
              <w:rPr>
                <w:i/>
              </w:rPr>
            </w:pPr>
            <w:r w:rsidRPr="00836114">
              <w:rPr>
                <w:i/>
              </w:rPr>
              <w:t>V</w:t>
            </w:r>
            <w:r w:rsidRPr="00836114">
              <w:rPr>
                <w:vertAlign w:val="subscript"/>
              </w:rPr>
              <w:t>Edw,top</w:t>
            </w:r>
          </w:p>
        </w:tc>
        <w:tc>
          <w:tcPr>
            <w:tcW w:w="5769" w:type="dxa"/>
          </w:tcPr>
          <w:p w14:paraId="20FB9792" w14:textId="77777777" w:rsidR="00836114" w:rsidRPr="00836114" w:rsidRDefault="00836114" w:rsidP="008618F2">
            <w:pPr>
              <w:pStyle w:val="KeyText"/>
              <w:spacing w:before="0"/>
            </w:pPr>
            <w:r w:rsidRPr="00836114">
              <w:t>design shear at the top of the wall (</w:t>
            </w:r>
            <w:r w:rsidRPr="00836114">
              <w:rPr>
                <w:i/>
              </w:rPr>
              <w:t>V</w:t>
            </w:r>
            <w:r w:rsidRPr="00836114">
              <w:rPr>
                <w:vertAlign w:val="subscript"/>
              </w:rPr>
              <w:t>Edw,top</w:t>
            </w:r>
            <w:r w:rsidRPr="00836114">
              <w:t xml:space="preserve"> </w:t>
            </w:r>
            <w:r w:rsidRPr="00836114">
              <w:rPr>
                <w:i/>
              </w:rPr>
              <w:t>≥ V</w:t>
            </w:r>
            <w:r w:rsidRPr="00836114">
              <w:rPr>
                <w:vertAlign w:val="subscript"/>
              </w:rPr>
              <w:t>Edw,base</w:t>
            </w:r>
            <w:r w:rsidRPr="00836114">
              <w:t>/2)</w:t>
            </w:r>
          </w:p>
        </w:tc>
      </w:tr>
    </w:tbl>
    <w:p w14:paraId="6595EDA8" w14:textId="73D5FFCD" w:rsidR="00836114" w:rsidRPr="00D1484A" w:rsidRDefault="00836114" w:rsidP="00836114">
      <w:pPr>
        <w:pStyle w:val="Figuretitle"/>
      </w:pPr>
      <w:r w:rsidRPr="00132C1E">
        <w:t>Figure</w:t>
      </w:r>
      <w:r>
        <w:t>10</w:t>
      </w:r>
      <w:r w:rsidRPr="00132C1E">
        <w:t>. </w:t>
      </w:r>
      <w:r>
        <w:t>7</w:t>
      </w:r>
      <w:r w:rsidRPr="00D1484A">
        <w:rPr>
          <w:rFonts w:ascii="`ÃÍœ˛" w:eastAsia="Cambria" w:hAnsi="`ÃÍœ˛" w:cs="`ÃÍœ˛"/>
          <w:lang w:eastAsia="de-DE"/>
        </w:rPr>
        <w:t>—</w:t>
      </w:r>
      <w:r w:rsidRPr="00D1484A">
        <w:t> Design envelope of the shear forces for ductile walls in dual structures</w:t>
      </w:r>
    </w:p>
    <w:p w14:paraId="43CB408A" w14:textId="77777777" w:rsidR="00836114" w:rsidRPr="007E6F67" w:rsidRDefault="00836114" w:rsidP="00836114">
      <w:pPr>
        <w:pStyle w:val="Heading3"/>
      </w:pPr>
      <w:bookmarkStart w:id="7434" w:name="_Toc522279729"/>
      <w:bookmarkStart w:id="7435" w:name="_Toc17934206"/>
      <w:bookmarkStart w:id="7436" w:name="_Toc50150385"/>
      <w:bookmarkStart w:id="7437" w:name="_Toc70886817"/>
      <w:bookmarkStart w:id="7438" w:name="_Toc108342361"/>
      <w:bookmarkStart w:id="7439" w:name="_Toc134197906"/>
      <w:r w:rsidRPr="00D1484A">
        <w:t>SD limit state verifications and detailing</w:t>
      </w:r>
      <w:bookmarkEnd w:id="7434"/>
      <w:bookmarkEnd w:id="7435"/>
      <w:bookmarkEnd w:id="7436"/>
      <w:bookmarkEnd w:id="7437"/>
      <w:bookmarkEnd w:id="7438"/>
      <w:bookmarkEnd w:id="7439"/>
    </w:p>
    <w:p w14:paraId="6777C74C" w14:textId="77777777" w:rsidR="00836114" w:rsidRPr="00644C3D" w:rsidRDefault="00836114" w:rsidP="00836114">
      <w:pPr>
        <w:pStyle w:val="Heading4"/>
      </w:pPr>
      <w:bookmarkStart w:id="7440" w:name="_Toc522279730"/>
      <w:bookmarkStart w:id="7441" w:name="_Toc108342362"/>
      <w:r w:rsidRPr="00FD17CF">
        <w:t>Resistance in bending, shear and sliding shear</w:t>
      </w:r>
      <w:bookmarkEnd w:id="7440"/>
      <w:bookmarkEnd w:id="7441"/>
    </w:p>
    <w:p w14:paraId="79258E4A" w14:textId="75F96CDA" w:rsidR="00836114" w:rsidRPr="007C36A5" w:rsidRDefault="00836114" w:rsidP="0080187E">
      <w:pPr>
        <w:pStyle w:val="Clause"/>
        <w:numPr>
          <w:ilvl w:val="0"/>
          <w:numId w:val="331"/>
        </w:numPr>
      </w:pPr>
      <w:r w:rsidRPr="00446008">
        <w:t xml:space="preserve">Flexural resistance should be calculated according to </w:t>
      </w:r>
      <w:r w:rsidR="0026060E">
        <w:t>PrEN 1992-1-1:2021</w:t>
      </w:r>
      <w:r w:rsidRPr="007C36A5">
        <w:t>, 8.1 and 8.2, unless specified otherwise in (2) to (6), using the value of the axial force from the analysis in the seismic design situation.</w:t>
      </w:r>
    </w:p>
    <w:p w14:paraId="30D0AB5D" w14:textId="44806A49" w:rsidR="00836114" w:rsidRPr="00E05E29" w:rsidRDefault="00836114" w:rsidP="00724E4E">
      <w:pPr>
        <w:pStyle w:val="Clause"/>
      </w:pPr>
      <w:r w:rsidRPr="00E05E29">
        <w:lastRenderedPageBreak/>
        <w:t>Vertical web reinforcement should be taken into account in the moment resistance of wall sections.</w:t>
      </w:r>
    </w:p>
    <w:p w14:paraId="504AD9A3" w14:textId="0D7A428C" w:rsidR="00836114" w:rsidRPr="00E05E29" w:rsidRDefault="00836114" w:rsidP="00724E4E">
      <w:pPr>
        <w:pStyle w:val="Clause"/>
      </w:pPr>
      <w:r w:rsidRPr="00E05E29">
        <w:t>Composite wall sections consisting of connected or intersecting rectangular segments (T-, L-, U-, I- or similar sections) should be taken as integral units, consisting of a web or webs parallel, or approximately parallel, to the direction of the acting seismic shear force and a flange or flanges normal, or approximately normal, to it. In the calculation of the moment resistance and in the analysis (considering the properties of the cracked cross-section), the effective flange width on each side of a web should be taken to extend from the web face by the minimum of a) and b):</w:t>
      </w:r>
    </w:p>
    <w:p w14:paraId="628C2DA9" w14:textId="77777777" w:rsidR="00836114" w:rsidRPr="00E05E29" w:rsidRDefault="00836114" w:rsidP="0080187E">
      <w:pPr>
        <w:pStyle w:val="List2"/>
        <w:numPr>
          <w:ilvl w:val="0"/>
          <w:numId w:val="123"/>
        </w:numPr>
        <w:spacing w:before="0" w:after="240" w:line="230" w:lineRule="atLeast"/>
        <w:contextualSpacing w:val="0"/>
      </w:pPr>
      <w:r w:rsidRPr="00E05E29">
        <w:t>the actual flange width;</w:t>
      </w:r>
    </w:p>
    <w:p w14:paraId="36C0985E" w14:textId="77777777" w:rsidR="00836114" w:rsidRPr="00E05E29" w:rsidRDefault="00836114" w:rsidP="0080187E">
      <w:pPr>
        <w:pStyle w:val="List2"/>
        <w:numPr>
          <w:ilvl w:val="0"/>
          <w:numId w:val="123"/>
        </w:numPr>
        <w:spacing w:before="0" w:after="240" w:line="230" w:lineRule="atLeast"/>
        <w:contextualSpacing w:val="0"/>
      </w:pPr>
      <w:r w:rsidRPr="00E05E29">
        <w:t>one-half of the distance to an adjacent web of the wall.</w:t>
      </w:r>
    </w:p>
    <w:p w14:paraId="15A21E2D" w14:textId="1E2F9184" w:rsidR="00836114" w:rsidRPr="00E05E29" w:rsidRDefault="00836114" w:rsidP="00724E4E">
      <w:pPr>
        <w:pStyle w:val="Clause"/>
      </w:pPr>
      <w:r w:rsidRPr="00E05E29">
        <w:t>In primary seismic walls, the normal</w:t>
      </w:r>
      <w:r w:rsidR="00E10A24">
        <w:t>ize</w:t>
      </w:r>
      <w:r w:rsidRPr="00E05E29">
        <w:t xml:space="preserve">d design axial load </w:t>
      </w:r>
      <w:r w:rsidRPr="00502341">
        <w:rPr>
          <w:i/>
          <w:iCs/>
        </w:rPr>
        <w:t>ν</w:t>
      </w:r>
      <w:r w:rsidRPr="00502341">
        <w:rPr>
          <w:vertAlign w:val="subscript"/>
        </w:rPr>
        <w:t>d</w:t>
      </w:r>
      <w:r w:rsidRPr="00E05E29">
        <w:t xml:space="preserve"> in the seismic design situation should not exceed:</w:t>
      </w:r>
    </w:p>
    <w:p w14:paraId="076C5787" w14:textId="119D376A" w:rsidR="00836114" w:rsidRPr="00E05E29" w:rsidRDefault="001C5446" w:rsidP="001C5446">
      <w:pPr>
        <w:spacing w:before="120" w:after="220"/>
      </w:pPr>
      <w:r>
        <w:t>a)</w:t>
      </w:r>
      <w:r>
        <w:tab/>
      </w:r>
      <w:r w:rsidR="00836114" w:rsidRPr="00E05E29">
        <w:t>for DC2: 0,40;</w:t>
      </w:r>
    </w:p>
    <w:p w14:paraId="62668BD7" w14:textId="1E57B084" w:rsidR="00836114" w:rsidRPr="00E05E29" w:rsidRDefault="001C5446" w:rsidP="001C5446">
      <w:pPr>
        <w:spacing w:before="120" w:after="220"/>
      </w:pPr>
      <w:r>
        <w:t>b)</w:t>
      </w:r>
      <w:r>
        <w:tab/>
      </w:r>
      <w:r w:rsidR="00836114" w:rsidRPr="00E05E29">
        <w:t>for DC3: 0,35.</w:t>
      </w:r>
    </w:p>
    <w:p w14:paraId="130FA0FB" w14:textId="5AFCE8FF" w:rsidR="00836114" w:rsidRPr="007C36A5" w:rsidRDefault="00836114" w:rsidP="00724E4E">
      <w:pPr>
        <w:pStyle w:val="Clause"/>
        <w:rPr>
          <w:rFonts w:eastAsia="Cambria"/>
        </w:rPr>
      </w:pPr>
      <w:r w:rsidRPr="00E05E29">
        <w:t xml:space="preserve">The shear resistance should be calculated </w:t>
      </w:r>
      <w:r w:rsidRPr="007C36A5">
        <w:t>in accordance with 10.5.4.1(2).</w:t>
      </w:r>
    </w:p>
    <w:p w14:paraId="599F89E9" w14:textId="26E2EC1C" w:rsidR="00836114" w:rsidRPr="00E05E29" w:rsidRDefault="00836114" w:rsidP="00881E88">
      <w:pPr>
        <w:pStyle w:val="Notetext"/>
      </w:pPr>
      <w:r w:rsidRPr="00E05E29">
        <w:t>NOTE</w:t>
      </w:r>
      <w:r w:rsidRPr="00E05E29">
        <w:tab/>
      </w:r>
      <w:r w:rsidRPr="001457E2">
        <w:t>prCEN/TS</w:t>
      </w:r>
      <w:r w:rsidR="007C36A5">
        <w:t> </w:t>
      </w:r>
      <w:r w:rsidRPr="001457E2">
        <w:t>1998-</w:t>
      </w:r>
      <w:r w:rsidR="00460A67">
        <w:t xml:space="preserve">1-101 </w:t>
      </w:r>
      <w:r w:rsidRPr="00E05E29">
        <w:t>gives a loading protocol and acceptance criteria for experimental tests devoted to the determination of the shear resistance at the interfaces.</w:t>
      </w:r>
    </w:p>
    <w:p w14:paraId="587A897B" w14:textId="77777777" w:rsidR="00836114" w:rsidRPr="00E05E29" w:rsidRDefault="00836114" w:rsidP="00836114">
      <w:pPr>
        <w:pStyle w:val="Heading4"/>
      </w:pPr>
      <w:bookmarkStart w:id="7442" w:name="_Toc522279731"/>
      <w:bookmarkStart w:id="7443" w:name="_Toc108342363"/>
      <w:bookmarkStart w:id="7444" w:name="_Hlk54763702"/>
      <w:r w:rsidRPr="00E05E29">
        <w:t>Detailing for local ductility</w:t>
      </w:r>
      <w:bookmarkEnd w:id="7442"/>
      <w:bookmarkEnd w:id="7443"/>
    </w:p>
    <w:bookmarkEnd w:id="7444"/>
    <w:p w14:paraId="6FF92BB7" w14:textId="04D9595C" w:rsidR="00836114" w:rsidRPr="00E05E29" w:rsidRDefault="00836114" w:rsidP="0080187E">
      <w:pPr>
        <w:pStyle w:val="Clause"/>
        <w:numPr>
          <w:ilvl w:val="0"/>
          <w:numId w:val="332"/>
        </w:numPr>
      </w:pPr>
      <w:r w:rsidRPr="00E05E29">
        <w:t xml:space="preserve">The height of the critical region </w:t>
      </w:r>
      <w:r w:rsidRPr="00F02441">
        <w:rPr>
          <w:i/>
        </w:rPr>
        <w:t>h</w:t>
      </w:r>
      <w:r w:rsidRPr="00F02441">
        <w:rPr>
          <w:vertAlign w:val="subscript"/>
        </w:rPr>
        <w:t>cr</w:t>
      </w:r>
      <w:r w:rsidRPr="00E05E29">
        <w:t xml:space="preserve"> above the base of the wall (defined as the top of the foundation or of a rigid basement) may be taken from Formula (10.</w:t>
      </w:r>
      <w:r>
        <w:t>1</w:t>
      </w:r>
      <w:r w:rsidRPr="00E05E29">
        <w:t>4).</w:t>
      </w:r>
    </w:p>
    <w:p w14:paraId="390D0A49" w14:textId="49B7E70E" w:rsidR="00881E88" w:rsidRPr="00870D59" w:rsidRDefault="009B5CEC" w:rsidP="00881E88">
      <w:pPr>
        <w:pStyle w:val="Formula"/>
        <w:spacing w:before="240"/>
      </w:pPr>
      <m:oMath>
        <m:sSub>
          <m:sSubPr>
            <m:ctrlPr>
              <w:rPr>
                <w:rFonts w:ascii="Cambria Math" w:hAnsi="Cambria Math"/>
              </w:rPr>
            </m:ctrlPr>
          </m:sSubPr>
          <m:e>
            <m:r>
              <w:rPr>
                <w:rFonts w:ascii="Cambria Math" w:hAnsi="Cambria Math"/>
              </w:rPr>
              <m:t>h</m:t>
            </m:r>
          </m:e>
          <m:sub>
            <m:r>
              <m:rPr>
                <m:sty m:val="p"/>
              </m:rPr>
              <w:rPr>
                <w:rFonts w:ascii="Cambria Math" w:hAnsi="Cambria Math"/>
              </w:rPr>
              <m:t>cr</m:t>
            </m:r>
          </m:sub>
        </m:sSub>
        <m:r>
          <w:rPr>
            <w:rFonts w:ascii="Cambria Math" w:hAnsi="Cambria Math"/>
          </w:rPr>
          <m:t>=max</m:t>
        </m:r>
        <m:d>
          <m:dPr>
            <m:begChr m:val="{"/>
            <m:endChr m:val="}"/>
            <m:ctrlPr>
              <w:rPr>
                <w:rFonts w:ascii="Cambria Math" w:hAnsi="Cambria Math"/>
              </w:rPr>
            </m:ctrlPr>
          </m:dPr>
          <m:e>
            <m:sSub>
              <m:sSubPr>
                <m:ctrlPr>
                  <w:rPr>
                    <w:rFonts w:ascii="Cambria Math" w:hAnsi="Cambria Math"/>
                  </w:rPr>
                </m:ctrlPr>
              </m:sSubPr>
              <m:e>
                <m:r>
                  <w:rPr>
                    <w:rFonts w:ascii="Cambria Math" w:hAnsi="Cambria Math"/>
                  </w:rPr>
                  <m:t>l</m:t>
                </m:r>
              </m:e>
              <m:sub>
                <m:r>
                  <m:rPr>
                    <m:sty m:val="p"/>
                  </m:rPr>
                  <w:rPr>
                    <w:rFonts w:ascii="Cambria Math" w:hAnsi="Cambria Math"/>
                  </w:rPr>
                  <m:t>w</m:t>
                </m:r>
              </m:sub>
            </m:sSub>
            <m:r>
              <w:rPr>
                <w:rFonts w:ascii="Cambria Math" w:hAnsi="Cambria Math"/>
              </w:rPr>
              <m:t xml:space="preserve">; </m:t>
            </m:r>
            <m:sSub>
              <m:sSubPr>
                <m:ctrlPr>
                  <w:rPr>
                    <w:rFonts w:ascii="Cambria Math" w:hAnsi="Cambria Math"/>
                  </w:rPr>
                </m:ctrlPr>
              </m:sSubPr>
              <m:e>
                <m:r>
                  <w:rPr>
                    <w:rFonts w:ascii="Cambria Math" w:hAnsi="Cambria Math"/>
                  </w:rPr>
                  <m:t>h</m:t>
                </m:r>
              </m:e>
              <m:sub>
                <m:r>
                  <m:rPr>
                    <m:sty m:val="p"/>
                  </m:rPr>
                  <w:rPr>
                    <w:rFonts w:ascii="Cambria Math" w:hAnsi="Cambria Math"/>
                  </w:rPr>
                  <m:t>w</m:t>
                </m:r>
              </m:sub>
            </m:sSub>
            <m:r>
              <w:rPr>
                <w:rFonts w:ascii="Cambria Math" w:hAnsi="Cambria Math"/>
              </w:rPr>
              <m:t>/6</m:t>
            </m:r>
          </m:e>
        </m:d>
      </m:oMath>
      <w:r w:rsidR="00881E88" w:rsidRPr="00870D59">
        <w:tab/>
        <w:t>(10.</w:t>
      </w:r>
      <w:r w:rsidR="00881E88">
        <w:t>14</w:t>
      </w:r>
      <w:r w:rsidR="00881E88" w:rsidRPr="00870D59">
        <w:t>)</w:t>
      </w:r>
    </w:p>
    <w:p w14:paraId="4450585A" w14:textId="60CF7B4E" w:rsidR="00881E88" w:rsidRPr="00870D59" w:rsidRDefault="00881E88" w:rsidP="00881E88">
      <w:pPr>
        <w:pStyle w:val="Text"/>
      </w:pPr>
      <w:r w:rsidRPr="00D1484A">
        <w:t>with the limitation given by Formula (10.</w:t>
      </w:r>
      <w:r>
        <w:t>1</w:t>
      </w:r>
      <w:r w:rsidRPr="00D1484A">
        <w:t>5).</w:t>
      </w:r>
    </w:p>
    <w:p w14:paraId="77802727" w14:textId="12A6455D" w:rsidR="00881E88" w:rsidRPr="00870D59" w:rsidRDefault="009B5CEC" w:rsidP="00881E88">
      <w:pPr>
        <w:pStyle w:val="Formula"/>
        <w:spacing w:before="240"/>
      </w:pPr>
      <m:oMath>
        <m:sSub>
          <m:sSubPr>
            <m:ctrlPr>
              <w:rPr>
                <w:rFonts w:ascii="Cambria Math" w:hAnsi="Cambria Math"/>
              </w:rPr>
            </m:ctrlPr>
          </m:sSubPr>
          <m:e>
            <m:r>
              <w:rPr>
                <w:rFonts w:ascii="Cambria Math" w:hAnsi="Cambria Math"/>
              </w:rPr>
              <m:t>h</m:t>
            </m:r>
          </m:e>
          <m:sub>
            <m:r>
              <m:rPr>
                <m:sty m:val="p"/>
              </m:rPr>
              <w:rPr>
                <w:rFonts w:ascii="Cambria Math" w:hAnsi="Cambria Math"/>
              </w:rPr>
              <m:t>cr</m:t>
            </m:r>
          </m:sub>
        </m:sSub>
        <m:r>
          <w:rPr>
            <w:rFonts w:ascii="Cambria Math" w:hAnsi="Cambria Math"/>
          </w:rPr>
          <m:t>≤</m:t>
        </m:r>
        <m:d>
          <m:dPr>
            <m:begChr m:val="{"/>
            <m:endChr m:val=""/>
            <m:ctrlPr>
              <w:rPr>
                <w:rFonts w:ascii="Cambria Math" w:hAnsi="Cambria Math"/>
              </w:rPr>
            </m:ctrlPr>
          </m:dPr>
          <m:e>
            <m:eqArr>
              <m:eqArrPr>
                <m:ctrlPr>
                  <w:rPr>
                    <w:rFonts w:ascii="Cambria Math" w:hAnsi="Cambria Math"/>
                  </w:rPr>
                </m:ctrlPr>
              </m:eqArrPr>
              <m:e>
                <m:r>
                  <w:rPr>
                    <w:rFonts w:ascii="Cambria Math" w:hAnsi="Cambria Math"/>
                  </w:rPr>
                  <m:t>2</m:t>
                </m:r>
                <m:sSub>
                  <m:sSubPr>
                    <m:ctrlPr>
                      <w:rPr>
                        <w:rFonts w:ascii="Cambria Math" w:hAnsi="Cambria Math"/>
                      </w:rPr>
                    </m:ctrlPr>
                  </m:sSubPr>
                  <m:e>
                    <m:r>
                      <w:rPr>
                        <w:rFonts w:ascii="Cambria Math" w:hAnsi="Cambria Math"/>
                      </w:rPr>
                      <m:t>l</m:t>
                    </m:r>
                  </m:e>
                  <m:sub>
                    <m:r>
                      <m:rPr>
                        <m:sty m:val="p"/>
                      </m:rPr>
                      <w:rPr>
                        <w:rFonts w:ascii="Cambria Math" w:hAnsi="Cambria Math"/>
                      </w:rPr>
                      <m:t>w</m:t>
                    </m:r>
                    <m:r>
                      <w:rPr>
                        <w:rFonts w:ascii="Cambria Math" w:hAnsi="Cambria Math"/>
                      </w:rPr>
                      <m:t xml:space="preserve">                                </m:t>
                    </m:r>
                  </m:sub>
                </m:sSub>
              </m:e>
              <m:e>
                <m:d>
                  <m:dPr>
                    <m:begChr m:val="{"/>
                    <m:endChr m:val=""/>
                    <m:ctrlPr>
                      <w:rPr>
                        <w:rFonts w:ascii="Cambria Math" w:hAnsi="Cambria Math"/>
                      </w:rPr>
                    </m:ctrlPr>
                  </m:dPr>
                  <m:e>
                    <m:m>
                      <m:mPr>
                        <m:mcs>
                          <m:mc>
                            <m:mcPr>
                              <m:count m:val="2"/>
                              <m:mcJc m:val="center"/>
                            </m:mcPr>
                          </m:mc>
                        </m:mcs>
                        <m:ctrlPr>
                          <w:rPr>
                            <w:rFonts w:ascii="Cambria Math" w:hAnsi="Cambria Math"/>
                          </w:rPr>
                        </m:ctrlPr>
                      </m:mPr>
                      <m:mr>
                        <m:e>
                          <m:sSub>
                            <m:sSubPr>
                              <m:ctrlPr>
                                <w:rPr>
                                  <w:rFonts w:ascii="Cambria Math" w:hAnsi="Cambria Math"/>
                                </w:rPr>
                              </m:ctrlPr>
                            </m:sSubPr>
                            <m:e>
                              <m:r>
                                <w:rPr>
                                  <w:rFonts w:ascii="Cambria Math" w:hAnsi="Cambria Math"/>
                                </w:rPr>
                                <m:t>h</m:t>
                              </m:r>
                            </m:e>
                            <m:sub>
                              <m:r>
                                <m:rPr>
                                  <m:sty m:val="p"/>
                                </m:rPr>
                                <w:rPr>
                                  <w:rFonts w:ascii="Cambria Math" w:hAnsi="Cambria Math"/>
                                </w:rPr>
                                <m:t>s</m:t>
                              </m:r>
                            </m:sub>
                          </m:sSub>
                          <m:r>
                            <w:rPr>
                              <w:rFonts w:ascii="Cambria Math" w:hAnsi="Cambria Math"/>
                            </w:rPr>
                            <m:t xml:space="preserve">   </m:t>
                          </m:r>
                        </m:e>
                        <m:e>
                          <m:r>
                            <w:rPr>
                              <w:rFonts w:ascii="Cambria Math" w:hAnsi="Cambria Math"/>
                            </w:rPr>
                            <m:t>if n≤6</m:t>
                          </m:r>
                        </m:e>
                      </m:mr>
                      <m:mr>
                        <m:e>
                          <m:r>
                            <w:rPr>
                              <w:rFonts w:ascii="Cambria Math" w:hAnsi="Cambria Math"/>
                            </w:rPr>
                            <m:t>2</m:t>
                          </m:r>
                          <m:sSub>
                            <m:sSubPr>
                              <m:ctrlPr>
                                <w:rPr>
                                  <w:rFonts w:ascii="Cambria Math" w:hAnsi="Cambria Math"/>
                                </w:rPr>
                              </m:ctrlPr>
                            </m:sSubPr>
                            <m:e>
                              <m:r>
                                <w:rPr>
                                  <w:rFonts w:ascii="Cambria Math" w:hAnsi="Cambria Math"/>
                                </w:rPr>
                                <m:t>h</m:t>
                              </m:r>
                            </m:e>
                            <m:sub>
                              <m:r>
                                <m:rPr>
                                  <m:sty m:val="p"/>
                                </m:rPr>
                                <w:rPr>
                                  <w:rFonts w:ascii="Cambria Math" w:hAnsi="Cambria Math"/>
                                </w:rPr>
                                <m:t>s</m:t>
                              </m:r>
                            </m:sub>
                          </m:sSub>
                        </m:e>
                        <m:e>
                          <m:r>
                            <w:rPr>
                              <w:rFonts w:ascii="Cambria Math" w:hAnsi="Cambria Math"/>
                            </w:rPr>
                            <m:t>if n≥7</m:t>
                          </m:r>
                        </m:e>
                      </m:mr>
                    </m:m>
                  </m:e>
                </m:d>
              </m:e>
            </m:eqArr>
          </m:e>
        </m:d>
      </m:oMath>
      <w:r w:rsidR="00881E88" w:rsidRPr="00870D59">
        <w:tab/>
        <w:t>(10.</w:t>
      </w:r>
      <w:r w:rsidR="00881E88">
        <w:t>15</w:t>
      </w:r>
      <w:r w:rsidR="00881E88" w:rsidRPr="00870D59">
        <w:t>)</w:t>
      </w:r>
    </w:p>
    <w:p w14:paraId="37C5F3D7" w14:textId="77777777" w:rsidR="00881E88" w:rsidRPr="00FD17CF" w:rsidRDefault="00881E88" w:rsidP="00881E88">
      <w:pPr>
        <w:spacing w:after="240"/>
      </w:pPr>
      <w:r w:rsidRPr="00D1484A">
        <w:t xml:space="preserve">where </w:t>
      </w:r>
      <w:r w:rsidRPr="00D1484A">
        <w:rPr>
          <w:i/>
        </w:rPr>
        <w:t>h</w:t>
      </w:r>
      <w:r w:rsidRPr="002B0931">
        <w:rPr>
          <w:iCs/>
          <w:vertAlign w:val="subscript"/>
        </w:rPr>
        <w:t>s</w:t>
      </w:r>
      <w:r w:rsidRPr="00D1484A">
        <w:t xml:space="preserve"> is the storey height and </w:t>
      </w:r>
      <w:r w:rsidRPr="00D1484A">
        <w:rPr>
          <w:i/>
        </w:rPr>
        <w:t>n</w:t>
      </w:r>
      <w:r w:rsidRPr="00D1484A">
        <w:t xml:space="preserve"> is the number of storeys of the </w:t>
      </w:r>
      <w:r w:rsidRPr="007E6F67">
        <w:t>wall</w:t>
      </w:r>
      <w:r w:rsidRPr="00FD17CF">
        <w:t>.</w:t>
      </w:r>
    </w:p>
    <w:p w14:paraId="4028428B" w14:textId="2145DFB0" w:rsidR="00881E88" w:rsidRPr="00E05E29" w:rsidRDefault="00881E88" w:rsidP="00724E4E">
      <w:pPr>
        <w:pStyle w:val="Clause"/>
      </w:pPr>
      <w:r w:rsidRPr="007C36A5">
        <w:rPr>
          <w:rFonts w:eastAsia="Cambria"/>
          <w:bCs/>
        </w:rPr>
        <w:t xml:space="preserve">10.6.3.2(1), (2), (7), (8), (9) and (10) </w:t>
      </w:r>
      <w:r w:rsidRPr="007C36A5">
        <w:rPr>
          <w:bCs/>
        </w:rPr>
        <w:t xml:space="preserve">should be applied within boundary elements of the wall extending vertically over the height </w:t>
      </w:r>
      <w:r w:rsidRPr="007C36A5">
        <w:rPr>
          <w:bCs/>
          <w:i/>
          <w:iCs/>
        </w:rPr>
        <w:t>h</w:t>
      </w:r>
      <w:r w:rsidRPr="007C36A5">
        <w:rPr>
          <w:bCs/>
          <w:vertAlign w:val="subscript"/>
        </w:rPr>
        <w:t>cr</w:t>
      </w:r>
      <w:r w:rsidRPr="007C36A5">
        <w:rPr>
          <w:bCs/>
        </w:rPr>
        <w:t xml:space="preserve"> of the critical region as defined in </w:t>
      </w:r>
      <w:r w:rsidRPr="007C36A5">
        <w:rPr>
          <w:rFonts w:ascii="AOAJGP+TimesNewRoman,Bold" w:hAnsi="AOAJGP+TimesNewRoman,Bold" w:cs="AOAJGP+TimesNewRoman,Bold"/>
          <w:bCs/>
        </w:rPr>
        <w:t>(1),</w:t>
      </w:r>
      <w:r w:rsidRPr="00502341">
        <w:rPr>
          <w:rFonts w:ascii="AOAJGP+TimesNewRoman,Bold" w:hAnsi="AOAJGP+TimesNewRoman,Bold" w:cs="AOAJGP+TimesNewRoman,Bold"/>
        </w:rPr>
        <w:t xml:space="preserve"> </w:t>
      </w:r>
      <w:r w:rsidRPr="00E05E29">
        <w:t xml:space="preserve">and horizontally along a length </w:t>
      </w:r>
      <w:r w:rsidRPr="00502341">
        <w:rPr>
          <w:i/>
          <w:iCs/>
        </w:rPr>
        <w:t>l</w:t>
      </w:r>
      <w:r w:rsidRPr="00502341">
        <w:rPr>
          <w:vertAlign w:val="subscript"/>
        </w:rPr>
        <w:t>c</w:t>
      </w:r>
      <w:r w:rsidRPr="00E05E29">
        <w:t xml:space="preserve"> measured from the extreme compression fibre in the confined part of the wall up to a length not smaller than 0,15</w:t>
      </w:r>
      <w:r w:rsidRPr="00502341">
        <w:rPr>
          <w:i/>
          <w:iCs/>
        </w:rPr>
        <w:t>l</w:t>
      </w:r>
      <w:r w:rsidRPr="00502341">
        <w:rPr>
          <w:vertAlign w:val="subscript"/>
        </w:rPr>
        <w:t>w</w:t>
      </w:r>
      <w:r w:rsidRPr="00E05E29">
        <w:t xml:space="preserve"> and 1,5</w:t>
      </w:r>
      <w:r w:rsidRPr="00502341">
        <w:rPr>
          <w:i/>
          <w:iCs/>
        </w:rPr>
        <w:t>b</w:t>
      </w:r>
      <w:r w:rsidRPr="00502341">
        <w:rPr>
          <w:vertAlign w:val="subscript"/>
        </w:rPr>
        <w:t>w</w:t>
      </w:r>
      <w:r w:rsidRPr="00E05E29">
        <w:t xml:space="preserve"> (Figure 10.</w:t>
      </w:r>
      <w:r>
        <w:t>8</w:t>
      </w:r>
      <w:r w:rsidRPr="00E05E29">
        <w:t>).</w:t>
      </w:r>
    </w:p>
    <w:p w14:paraId="638D9441" w14:textId="5B20868C" w:rsidR="00881E88" w:rsidRPr="00132C1E" w:rsidRDefault="00CF33EC" w:rsidP="00CF33EC">
      <w:pPr>
        <w:pStyle w:val="FigureImage"/>
      </w:pPr>
      <w:r>
        <w:rPr>
          <w:noProof/>
        </w:rPr>
        <w:drawing>
          <wp:inline distT="0" distB="0" distL="0" distR="0" wp14:anchorId="09D69A14" wp14:editId="0639F388">
            <wp:extent cx="4680212" cy="1280162"/>
            <wp:effectExtent l="0" t="0" r="6350" b="0"/>
            <wp:docPr id="45" name="0012.tiff"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0012.tiff" descr="Shape&#10;&#10;Description automatically generated with medium confidence"/>
                    <pic:cNvPicPr/>
                  </pic:nvPicPr>
                  <pic:blipFill>
                    <a:blip r:link="rId27"/>
                    <a:stretch>
                      <a:fillRect/>
                    </a:stretch>
                  </pic:blipFill>
                  <pic:spPr>
                    <a:xfrm>
                      <a:off x="0" y="0"/>
                      <a:ext cx="4680212" cy="1280162"/>
                    </a:xfrm>
                    <a:prstGeom prst="rect">
                      <a:avLst/>
                    </a:prstGeom>
                  </pic:spPr>
                </pic:pic>
              </a:graphicData>
            </a:graphic>
          </wp:inline>
        </w:drawing>
      </w:r>
    </w:p>
    <w:p w14:paraId="497D5F93" w14:textId="105E3FDD" w:rsidR="00881E88" w:rsidRPr="00D1484A" w:rsidRDefault="00881E88" w:rsidP="00881E88">
      <w:pPr>
        <w:pStyle w:val="Figuretitle"/>
      </w:pPr>
      <w:r w:rsidRPr="00D1484A">
        <w:t xml:space="preserve">Figure </w:t>
      </w:r>
      <w:r>
        <w:t>10</w:t>
      </w:r>
      <w:r w:rsidRPr="00132C1E">
        <w:t>.</w:t>
      </w:r>
      <w:r>
        <w:t>8</w:t>
      </w:r>
      <w:r w:rsidRPr="00132C1E">
        <w:t> </w:t>
      </w:r>
      <w:r w:rsidRPr="00D1484A">
        <w:rPr>
          <w:rFonts w:ascii="`ÃÍœ˛" w:eastAsia="Cambria" w:hAnsi="`ÃÍœ˛" w:cs="`ÃÍœ˛"/>
          <w:szCs w:val="22"/>
          <w:lang w:eastAsia="de-DE"/>
        </w:rPr>
        <w:t>—</w:t>
      </w:r>
      <w:r w:rsidRPr="00D1484A">
        <w:t> Confined boundary element of free-edge wall end</w:t>
      </w:r>
    </w:p>
    <w:p w14:paraId="69C85BB3" w14:textId="10A31E6F" w:rsidR="00881E88" w:rsidRPr="00E05E29" w:rsidRDefault="00881E88" w:rsidP="00724E4E">
      <w:pPr>
        <w:pStyle w:val="Clause"/>
      </w:pPr>
      <w:r w:rsidRPr="00D1484A">
        <w:lastRenderedPageBreak/>
        <w:t xml:space="preserve">Confined boundary element </w:t>
      </w:r>
      <w:r w:rsidRPr="007E6F67">
        <w:t>may be omitted</w:t>
      </w:r>
      <w:r w:rsidRPr="00FD17CF">
        <w:t xml:space="preserve"> over wall flanges with thickness </w:t>
      </w:r>
      <w:r w:rsidRPr="00502341">
        <w:rPr>
          <w:i/>
        </w:rPr>
        <w:t>b</w:t>
      </w:r>
      <w:r w:rsidRPr="00502341">
        <w:rPr>
          <w:vertAlign w:val="subscript"/>
        </w:rPr>
        <w:t>f</w:t>
      </w:r>
      <w:r w:rsidRPr="00644C3D">
        <w:t> </w:t>
      </w:r>
      <w:r w:rsidRPr="00E05E29">
        <w:t>≥ </w:t>
      </w:r>
      <w:r w:rsidRPr="00502341">
        <w:rPr>
          <w:i/>
        </w:rPr>
        <w:t>h</w:t>
      </w:r>
      <w:r w:rsidRPr="00502341">
        <w:rPr>
          <w:vertAlign w:val="subscript"/>
        </w:rPr>
        <w:t>s,cl</w:t>
      </w:r>
      <w:r w:rsidRPr="00E05E29">
        <w:t xml:space="preserve">/15 and width </w:t>
      </w:r>
      <w:r w:rsidRPr="00502341">
        <w:rPr>
          <w:i/>
        </w:rPr>
        <w:t>l</w:t>
      </w:r>
      <w:r w:rsidRPr="00502341">
        <w:rPr>
          <w:vertAlign w:val="subscript"/>
        </w:rPr>
        <w:t>f</w:t>
      </w:r>
      <w:r w:rsidRPr="00E05E29">
        <w:t> ≥ </w:t>
      </w:r>
      <w:r w:rsidRPr="00502341">
        <w:rPr>
          <w:i/>
        </w:rPr>
        <w:t>h</w:t>
      </w:r>
      <w:r w:rsidRPr="00502341">
        <w:rPr>
          <w:vertAlign w:val="subscript"/>
        </w:rPr>
        <w:t>s,cl</w:t>
      </w:r>
      <w:r w:rsidRPr="00E05E29">
        <w:t>/5 (Figure 10.</w:t>
      </w:r>
      <w:r>
        <w:t>9</w:t>
      </w:r>
      <w:r w:rsidRPr="00E05E29">
        <w:t xml:space="preserve">), where </w:t>
      </w:r>
      <w:r w:rsidRPr="00502341">
        <w:rPr>
          <w:i/>
        </w:rPr>
        <w:t>h</w:t>
      </w:r>
      <w:r w:rsidRPr="00502341">
        <w:rPr>
          <w:vertAlign w:val="subscript"/>
        </w:rPr>
        <w:t>s,cl</w:t>
      </w:r>
      <w:r w:rsidRPr="00E05E29">
        <w:t xml:space="preserve"> denotes the clear storey height.</w:t>
      </w:r>
    </w:p>
    <w:p w14:paraId="4672BEF0" w14:textId="77777777" w:rsidR="00881E88" w:rsidRPr="00E05E29" w:rsidRDefault="00881E88" w:rsidP="00881E88">
      <w:pPr>
        <w:pStyle w:val="Notetext"/>
      </w:pPr>
      <w:r w:rsidRPr="00E05E29">
        <w:t>NOTE</w:t>
      </w:r>
      <w:r w:rsidRPr="00E05E29">
        <w:tab/>
        <w:t>Confined boundary elements can be required at the ends of such flanges against out-of-plane bending.</w:t>
      </w:r>
    </w:p>
    <w:p w14:paraId="3B13E005" w14:textId="73ECD86A" w:rsidR="00881E88" w:rsidRPr="00132C1E" w:rsidRDefault="00CF33EC" w:rsidP="00CF33EC">
      <w:pPr>
        <w:pStyle w:val="FigureImage"/>
      </w:pPr>
      <w:r>
        <w:rPr>
          <w:noProof/>
        </w:rPr>
        <w:drawing>
          <wp:inline distT="0" distB="0" distL="0" distR="0" wp14:anchorId="60375311" wp14:editId="22CEC669">
            <wp:extent cx="2880365" cy="2182372"/>
            <wp:effectExtent l="0" t="0" r="0" b="8890"/>
            <wp:docPr id="57" name="0013.tiff"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0013.tiff" descr="A picture containing logo&#10;&#10;Description automatically generated"/>
                    <pic:cNvPicPr/>
                  </pic:nvPicPr>
                  <pic:blipFill>
                    <a:blip r:link="rId28"/>
                    <a:stretch>
                      <a:fillRect/>
                    </a:stretch>
                  </pic:blipFill>
                  <pic:spPr>
                    <a:xfrm>
                      <a:off x="0" y="0"/>
                      <a:ext cx="2880365" cy="2182372"/>
                    </a:xfrm>
                    <a:prstGeom prst="rect">
                      <a:avLst/>
                    </a:prstGeom>
                  </pic:spPr>
                </pic:pic>
              </a:graphicData>
            </a:graphic>
          </wp:inline>
        </w:drawing>
      </w:r>
    </w:p>
    <w:p w14:paraId="0485E9B3" w14:textId="4DBEE1DE" w:rsidR="00881E88" w:rsidRPr="00D1484A" w:rsidRDefault="00881E88" w:rsidP="00881E88">
      <w:pPr>
        <w:pStyle w:val="Figuretitle"/>
      </w:pPr>
      <w:r w:rsidRPr="00D1484A">
        <w:t xml:space="preserve">Figure </w:t>
      </w:r>
      <w:r>
        <w:t>10</w:t>
      </w:r>
      <w:r w:rsidRPr="00132C1E">
        <w:t>.</w:t>
      </w:r>
      <w:r>
        <w:t>9</w:t>
      </w:r>
      <w:r w:rsidRPr="00132C1E">
        <w:t> </w:t>
      </w:r>
      <w:r w:rsidRPr="00D1484A">
        <w:rPr>
          <w:rFonts w:ascii="`ÃÍœ˛" w:eastAsia="Cambria" w:hAnsi="`ÃÍœ˛" w:cs="`ÃÍœ˛"/>
          <w:lang w:eastAsia="de-DE"/>
        </w:rPr>
        <w:t>—</w:t>
      </w:r>
      <w:r w:rsidRPr="00D1484A">
        <w:t> Confined boundary element not needed at wall end with large transverse flange</w:t>
      </w:r>
    </w:p>
    <w:p w14:paraId="20632F40" w14:textId="5CD34457" w:rsidR="00881E88" w:rsidRPr="00E05E29" w:rsidRDefault="00881E88" w:rsidP="00724E4E">
      <w:pPr>
        <w:pStyle w:val="Clause"/>
      </w:pPr>
      <w:r w:rsidRPr="00FD17CF">
        <w:t>In the boundary elements of walls, every other longitudinal bar should be</w:t>
      </w:r>
      <w:r w:rsidRPr="00644C3D">
        <w:t xml:space="preserve"> engaged by a hoop or cross-tie.</w:t>
      </w:r>
    </w:p>
    <w:p w14:paraId="18187F12" w14:textId="46DEF6AD" w:rsidR="00881E88" w:rsidRPr="00E05E29" w:rsidRDefault="00881E88" w:rsidP="00724E4E">
      <w:pPr>
        <w:pStyle w:val="Clause"/>
      </w:pPr>
      <w:r w:rsidRPr="00E05E29">
        <w:t xml:space="preserve">The thickness </w:t>
      </w:r>
      <w:r w:rsidRPr="00502341">
        <w:rPr>
          <w:i/>
        </w:rPr>
        <w:t>b</w:t>
      </w:r>
      <w:r w:rsidRPr="00502341">
        <w:rPr>
          <w:vertAlign w:val="subscript"/>
        </w:rPr>
        <w:t>w</w:t>
      </w:r>
      <w:r w:rsidRPr="00E05E29">
        <w:t xml:space="preserve"> of confined parts of walls (boundary elements) should satisfy a) to c) (Figure</w:t>
      </w:r>
      <w:r w:rsidR="001C5446">
        <w:t> </w:t>
      </w:r>
      <w:r w:rsidRPr="00E05E29">
        <w:t>10.1</w:t>
      </w:r>
      <w:r>
        <w:t>0</w:t>
      </w:r>
      <w:r w:rsidRPr="00E05E29">
        <w:t>):</w:t>
      </w:r>
    </w:p>
    <w:p w14:paraId="7ECFA0B0" w14:textId="77777777" w:rsidR="00881E88" w:rsidRPr="00E05E29" w:rsidRDefault="00881E88" w:rsidP="0080187E">
      <w:pPr>
        <w:pStyle w:val="List2"/>
        <w:numPr>
          <w:ilvl w:val="0"/>
          <w:numId w:val="125"/>
        </w:numPr>
        <w:spacing w:before="0" w:after="240" w:line="230" w:lineRule="atLeast"/>
        <w:contextualSpacing w:val="0"/>
      </w:pPr>
      <w:r w:rsidRPr="00E05E29">
        <w:rPr>
          <w:i/>
        </w:rPr>
        <w:t>b</w:t>
      </w:r>
      <w:r w:rsidRPr="00E05E29">
        <w:rPr>
          <w:vertAlign w:val="subscript"/>
        </w:rPr>
        <w:t>w</w:t>
      </w:r>
      <w:r w:rsidRPr="00E05E29">
        <w:t xml:space="preserve"> should not be smaller than 200 mm;</w:t>
      </w:r>
    </w:p>
    <w:p w14:paraId="7E548741" w14:textId="77777777" w:rsidR="00881E88" w:rsidRPr="00E05E29" w:rsidRDefault="00881E88" w:rsidP="0080187E">
      <w:pPr>
        <w:pStyle w:val="List2"/>
        <w:numPr>
          <w:ilvl w:val="0"/>
          <w:numId w:val="125"/>
        </w:numPr>
        <w:spacing w:before="0" w:after="240" w:line="230" w:lineRule="atLeast"/>
        <w:contextualSpacing w:val="0"/>
      </w:pPr>
      <w:r w:rsidRPr="00E05E29">
        <w:t>if the length of the confined part does not exceed the maximum of 2</w:t>
      </w:r>
      <w:r w:rsidRPr="00E05E29">
        <w:rPr>
          <w:i/>
          <w:iCs/>
        </w:rPr>
        <w:t>b</w:t>
      </w:r>
      <w:r w:rsidRPr="00E05E29">
        <w:rPr>
          <w:vertAlign w:val="subscript"/>
        </w:rPr>
        <w:t>w</w:t>
      </w:r>
      <w:r w:rsidRPr="00E05E29">
        <w:t xml:space="preserve"> and 0,2</w:t>
      </w:r>
      <w:r w:rsidRPr="00E05E29">
        <w:rPr>
          <w:i/>
          <w:iCs/>
        </w:rPr>
        <w:t>l</w:t>
      </w:r>
      <w:r w:rsidRPr="00E05E29">
        <w:rPr>
          <w:vertAlign w:val="subscript"/>
        </w:rPr>
        <w:t>w</w:t>
      </w:r>
      <w:r w:rsidRPr="00E05E29">
        <w:t xml:space="preserve">, </w:t>
      </w:r>
      <w:r w:rsidRPr="00E05E29">
        <w:rPr>
          <w:i/>
          <w:iCs/>
        </w:rPr>
        <w:t>b</w:t>
      </w:r>
      <w:r w:rsidRPr="00E05E29">
        <w:rPr>
          <w:vertAlign w:val="subscript"/>
        </w:rPr>
        <w:t>w</w:t>
      </w:r>
      <w:r w:rsidRPr="00E05E29">
        <w:t xml:space="preserve"> should not be smaller than </w:t>
      </w:r>
      <w:r w:rsidRPr="00E05E29">
        <w:rPr>
          <w:i/>
          <w:iCs/>
        </w:rPr>
        <w:t>h</w:t>
      </w:r>
      <w:r w:rsidRPr="00E05E29">
        <w:rPr>
          <w:vertAlign w:val="subscript"/>
        </w:rPr>
        <w:t>s,cl</w:t>
      </w:r>
      <w:r w:rsidRPr="00E05E29">
        <w:rPr>
          <w:i/>
          <w:iCs/>
        </w:rPr>
        <w:t>/</w:t>
      </w:r>
      <w:r w:rsidRPr="00E05E29">
        <w:t xml:space="preserve">15, where </w:t>
      </w:r>
      <w:r w:rsidRPr="00E05E29">
        <w:rPr>
          <w:i/>
          <w:iCs/>
        </w:rPr>
        <w:t>h</w:t>
      </w:r>
      <w:r w:rsidRPr="00E05E29">
        <w:rPr>
          <w:vertAlign w:val="subscript"/>
        </w:rPr>
        <w:t>s,cl</w:t>
      </w:r>
      <w:r w:rsidRPr="00E05E29">
        <w:t xml:space="preserve"> is the clear storey height;</w:t>
      </w:r>
    </w:p>
    <w:p w14:paraId="0BD5CA9E" w14:textId="77777777" w:rsidR="00881E88" w:rsidRPr="00E05E29" w:rsidRDefault="00881E88" w:rsidP="0080187E">
      <w:pPr>
        <w:pStyle w:val="List2"/>
        <w:numPr>
          <w:ilvl w:val="0"/>
          <w:numId w:val="125"/>
        </w:numPr>
        <w:spacing w:before="0" w:after="240" w:line="230" w:lineRule="atLeast"/>
        <w:contextualSpacing w:val="0"/>
      </w:pPr>
      <w:r w:rsidRPr="00E05E29">
        <w:t>if the length of the confined part exceeds both 2</w:t>
      </w:r>
      <w:r w:rsidRPr="00E05E29">
        <w:rPr>
          <w:i/>
          <w:iCs/>
        </w:rPr>
        <w:t>b</w:t>
      </w:r>
      <w:r w:rsidRPr="00E05E29">
        <w:rPr>
          <w:vertAlign w:val="subscript"/>
        </w:rPr>
        <w:t>w</w:t>
      </w:r>
      <w:r w:rsidRPr="00E05E29">
        <w:t xml:space="preserve"> and 0,2</w:t>
      </w:r>
      <w:r w:rsidRPr="00E05E29">
        <w:rPr>
          <w:i/>
          <w:iCs/>
        </w:rPr>
        <w:t>l</w:t>
      </w:r>
      <w:r w:rsidRPr="00E05E29">
        <w:rPr>
          <w:vertAlign w:val="subscript"/>
        </w:rPr>
        <w:t>w</w:t>
      </w:r>
      <w:r w:rsidRPr="00E05E29">
        <w:t xml:space="preserve">, </w:t>
      </w:r>
      <w:r w:rsidRPr="00E05E29">
        <w:rPr>
          <w:i/>
          <w:iCs/>
        </w:rPr>
        <w:t>b</w:t>
      </w:r>
      <w:r w:rsidRPr="00E05E29">
        <w:rPr>
          <w:vertAlign w:val="subscript"/>
        </w:rPr>
        <w:t>w</w:t>
      </w:r>
      <w:r w:rsidRPr="00E05E29">
        <w:t xml:space="preserve"> should not be smaller than </w:t>
      </w:r>
      <w:r w:rsidRPr="00E05E29">
        <w:rPr>
          <w:i/>
          <w:iCs/>
        </w:rPr>
        <w:t>h</w:t>
      </w:r>
      <w:r w:rsidRPr="00E05E29">
        <w:rPr>
          <w:vertAlign w:val="subscript"/>
        </w:rPr>
        <w:t>s,cl</w:t>
      </w:r>
      <w:r w:rsidRPr="00E05E29">
        <w:t>/10.</w:t>
      </w:r>
    </w:p>
    <w:p w14:paraId="23CAC892" w14:textId="479039BD" w:rsidR="00881E88" w:rsidRPr="00132C1E" w:rsidRDefault="00CF33EC" w:rsidP="00CF33EC">
      <w:pPr>
        <w:pStyle w:val="FigureImage"/>
        <w:rPr>
          <w:highlight w:val="green"/>
        </w:rPr>
      </w:pPr>
      <w:r>
        <w:rPr>
          <w:noProof/>
        </w:rPr>
        <w:drawing>
          <wp:inline distT="0" distB="0" distL="0" distR="0" wp14:anchorId="0303D37E" wp14:editId="224BD570">
            <wp:extent cx="5039876" cy="1751079"/>
            <wp:effectExtent l="0" t="0" r="8890" b="1905"/>
            <wp:docPr id="64" name="0014.tiff"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0014.tiff" descr="Shape&#10;&#10;Description automatically generated with medium confidence"/>
                    <pic:cNvPicPr/>
                  </pic:nvPicPr>
                  <pic:blipFill>
                    <a:blip r:link="rId29"/>
                    <a:stretch>
                      <a:fillRect/>
                    </a:stretch>
                  </pic:blipFill>
                  <pic:spPr>
                    <a:xfrm>
                      <a:off x="0" y="0"/>
                      <a:ext cx="5039876" cy="1751079"/>
                    </a:xfrm>
                    <a:prstGeom prst="rect">
                      <a:avLst/>
                    </a:prstGeom>
                  </pic:spPr>
                </pic:pic>
              </a:graphicData>
            </a:graphic>
          </wp:inline>
        </w:drawing>
      </w:r>
    </w:p>
    <w:p w14:paraId="357D5338" w14:textId="206034E2" w:rsidR="00881E88" w:rsidRPr="00D1484A" w:rsidRDefault="00881E88" w:rsidP="00D11385">
      <w:pPr>
        <w:pStyle w:val="Figuretitle"/>
      </w:pPr>
      <w:r w:rsidRPr="00D1484A">
        <w:t xml:space="preserve">Figure </w:t>
      </w:r>
      <w:r w:rsidR="00D11385">
        <w:t>10</w:t>
      </w:r>
      <w:r w:rsidRPr="00132C1E">
        <w:t>.</w:t>
      </w:r>
      <w:r>
        <w:t>10</w:t>
      </w:r>
      <w:r w:rsidRPr="00132C1E">
        <w:t> </w:t>
      </w:r>
      <w:r w:rsidRPr="00D1484A">
        <w:rPr>
          <w:rFonts w:ascii="`ÃÍœ˛" w:eastAsia="Cambria" w:hAnsi="`ÃÍœ˛" w:cs="`ÃÍœ˛"/>
          <w:lang w:eastAsia="de-DE"/>
        </w:rPr>
        <w:t>—</w:t>
      </w:r>
      <w:r w:rsidRPr="00D1484A">
        <w:t> Minimum thickness of confined boundary elements</w:t>
      </w:r>
    </w:p>
    <w:p w14:paraId="23EE5E71" w14:textId="7CD1DD81" w:rsidR="00881E88" w:rsidRPr="007C36A5" w:rsidRDefault="00881E88" w:rsidP="00724E4E">
      <w:pPr>
        <w:pStyle w:val="Clause"/>
      </w:pPr>
      <w:r w:rsidRPr="00D1484A">
        <w:t xml:space="preserve">The relevant rules of </w:t>
      </w:r>
      <w:r w:rsidR="0026060E">
        <w:t>PrEN 1992-1-1:2021</w:t>
      </w:r>
      <w:r w:rsidRPr="007C36A5">
        <w:t>, 12.7, regarding vertical, horizontal and transverse reinforcement in the wall, should be applied, complemented with (7) to (13).</w:t>
      </w:r>
    </w:p>
    <w:p w14:paraId="0AA9D964" w14:textId="0470C410" w:rsidR="00881E88" w:rsidRPr="00E05E29" w:rsidRDefault="00881E88" w:rsidP="00724E4E">
      <w:pPr>
        <w:pStyle w:val="Clause"/>
      </w:pPr>
      <w:r w:rsidRPr="007C36A5">
        <w:t>In the critical region of the wall, the total vertical reinforcement ratio should not be smaller than 0,25</w:t>
      </w:r>
      <w:r w:rsidR="001C5446">
        <w:t> </w:t>
      </w:r>
      <w:r w:rsidRPr="007C36A5">
        <w:t>% and the horizontal reinforcement ratio at each wall face should not be smaller than 0,125</w:t>
      </w:r>
      <w:r w:rsidR="001C5446">
        <w:t> </w:t>
      </w:r>
      <w:r w:rsidRPr="007C36A5">
        <w:t>%. 10.11.1(2) should be satisfie</w:t>
      </w:r>
      <w:r w:rsidRPr="00E05E29">
        <w:t>d.</w:t>
      </w:r>
    </w:p>
    <w:p w14:paraId="3105779E" w14:textId="71978420" w:rsidR="00881E88" w:rsidRPr="00E05E29" w:rsidRDefault="00881E88" w:rsidP="00724E4E">
      <w:pPr>
        <w:pStyle w:val="Clause"/>
      </w:pPr>
      <w:r w:rsidRPr="00E05E29">
        <w:lastRenderedPageBreak/>
        <w:t>In the critical region of the wall, the distance between consecutive vertical and horizontal bars should not exceed 300 mm for DC2 or 250 mm for DC3.</w:t>
      </w:r>
    </w:p>
    <w:p w14:paraId="39CABB45" w14:textId="5CB4A91F" w:rsidR="00881E88" w:rsidRPr="00E05E29" w:rsidRDefault="00881E88" w:rsidP="00724E4E">
      <w:pPr>
        <w:pStyle w:val="Clause"/>
      </w:pPr>
      <w:r w:rsidRPr="00E05E29">
        <w:t>In the critical region of the wall, horizontal reinforcement contributing to shear strength should be continuous</w:t>
      </w:r>
      <w:r>
        <w:t xml:space="preserve">, without </w:t>
      </w:r>
      <w:r w:rsidRPr="00682761">
        <w:t xml:space="preserve">lapping of </w:t>
      </w:r>
      <w:r w:rsidRPr="001457E2">
        <w:t xml:space="preserve">bar outside of the boundary zones, and </w:t>
      </w:r>
      <w:r>
        <w:t xml:space="preserve">their </w:t>
      </w:r>
      <w:r w:rsidRPr="00E05E29">
        <w:t>distribut</w:t>
      </w:r>
      <w:r>
        <w:t>ion should be</w:t>
      </w:r>
      <w:r w:rsidRPr="00E05E29">
        <w:t xml:space="preserve"> uniform.</w:t>
      </w:r>
    </w:p>
    <w:p w14:paraId="317F1BDC" w14:textId="02DAAEF8" w:rsidR="00881E88" w:rsidRPr="007C36A5" w:rsidRDefault="00881E88" w:rsidP="00724E4E">
      <w:pPr>
        <w:pStyle w:val="Clause"/>
      </w:pPr>
      <w:r w:rsidRPr="00502341">
        <w:t>Vertical reinforcement should be extended of at least 0,8</w:t>
      </w:r>
      <w:r w:rsidRPr="00502341">
        <w:rPr>
          <w:i/>
          <w:iCs/>
        </w:rPr>
        <w:t>l</w:t>
      </w:r>
      <w:r w:rsidRPr="00502341">
        <w:rPr>
          <w:vertAlign w:val="subscript"/>
        </w:rPr>
        <w:t>w</w:t>
      </w:r>
      <w:r w:rsidRPr="00502341">
        <w:t xml:space="preserve"> beyond the wall section at which it is calculated that no reinforcement for flexure </w:t>
      </w:r>
      <w:r w:rsidR="007C36A5">
        <w:t>is</w:t>
      </w:r>
      <w:r w:rsidRPr="00502341">
        <w:t xml:space="preserve"> necessary</w:t>
      </w:r>
      <w:r w:rsidRPr="00E05E29">
        <w:t xml:space="preserve"> At locations where yielding of vertical </w:t>
      </w:r>
      <w:r w:rsidRPr="00446008">
        <w:t xml:space="preserve">reinforcement </w:t>
      </w:r>
      <w:r w:rsidRPr="007C36A5">
        <w:t xml:space="preserve">is likely to occur, anchorage lengths should be 1,25 times the values obtained from </w:t>
      </w:r>
      <w:r w:rsidR="001C5446">
        <w:t>p</w:t>
      </w:r>
      <w:r w:rsidR="0026060E">
        <w:t>rEN</w:t>
      </w:r>
      <w:r w:rsidR="001C5446">
        <w:t> </w:t>
      </w:r>
      <w:r w:rsidR="0026060E">
        <w:t>1992-1-1:2021</w:t>
      </w:r>
      <w:r w:rsidRPr="007C36A5">
        <w:t>, 11.4.2(2) and (3).</w:t>
      </w:r>
    </w:p>
    <w:p w14:paraId="745C9FEF" w14:textId="1A7721CF" w:rsidR="00881E88" w:rsidRPr="007C36A5" w:rsidRDefault="00881E88" w:rsidP="00724E4E">
      <w:pPr>
        <w:pStyle w:val="Clause"/>
      </w:pPr>
      <w:r w:rsidRPr="007C36A5">
        <w:t>Above the critical region of the wall, the vertical reinforcement ratio should be at least 0,5</w:t>
      </w:r>
      <w:r w:rsidR="001C5446">
        <w:t> </w:t>
      </w:r>
      <w:r w:rsidRPr="007C36A5">
        <w:t xml:space="preserve">% in the parts of the section where under the seismic design situation the compressive strain </w:t>
      </w:r>
      <w:r w:rsidRPr="007C36A5">
        <w:rPr>
          <w:i/>
        </w:rPr>
        <w:t>ε</w:t>
      </w:r>
      <w:r w:rsidRPr="007C36A5">
        <w:rPr>
          <w:vertAlign w:val="subscript"/>
        </w:rPr>
        <w:t>c</w:t>
      </w:r>
      <w:r w:rsidRPr="007C36A5">
        <w:t xml:space="preserve"> exceeds 0,002.</w:t>
      </w:r>
    </w:p>
    <w:p w14:paraId="20708BF0" w14:textId="7FFBAD4D" w:rsidR="00881E88" w:rsidRPr="007C36A5" w:rsidRDefault="00881E88" w:rsidP="00724E4E">
      <w:pPr>
        <w:pStyle w:val="Clause"/>
      </w:pPr>
      <w:r w:rsidRPr="007C36A5">
        <w:t>The confining reinforcement of boundary elements should be extended 300 mm below the bottom of the critical region if the boundary element is not near the edge of a footing and over the anchor length if the boundary element is near the edge of a footing.</w:t>
      </w:r>
    </w:p>
    <w:p w14:paraId="18B53042" w14:textId="17FAF634" w:rsidR="00881E88" w:rsidRPr="00446008" w:rsidRDefault="00881E88" w:rsidP="00724E4E">
      <w:pPr>
        <w:pStyle w:val="Clause"/>
      </w:pPr>
      <w:r w:rsidRPr="007C36A5">
        <w:t xml:space="preserve">The transverse reinforcement of the boundary elements in </w:t>
      </w:r>
      <w:r w:rsidRPr="007C36A5">
        <w:rPr>
          <w:rFonts w:eastAsia="Cambria"/>
        </w:rPr>
        <w:t xml:space="preserve">(2) to (5) </w:t>
      </w:r>
      <w:r w:rsidRPr="007C36A5">
        <w:t>may be determined according to prEN 1992-1-1:202</w:t>
      </w:r>
      <w:r w:rsidR="00FF5451" w:rsidRPr="007C36A5">
        <w:t>2</w:t>
      </w:r>
      <w:r w:rsidRPr="007C36A5">
        <w:t>, 12.</w:t>
      </w:r>
      <w:r w:rsidR="00FF5451" w:rsidRPr="007C36A5">
        <w:t>6</w:t>
      </w:r>
      <w:r w:rsidRPr="007C36A5">
        <w:t>, alone, if one of</w:t>
      </w:r>
      <w:r w:rsidRPr="00446008">
        <w:t xml:space="preserve"> the conditions in a) or b) is fulfilled:</w:t>
      </w:r>
    </w:p>
    <w:p w14:paraId="7A09250C" w14:textId="48A5F4BA" w:rsidR="00881E88" w:rsidRPr="00E05E29" w:rsidRDefault="00881E88" w:rsidP="0080187E">
      <w:pPr>
        <w:pStyle w:val="List2"/>
        <w:numPr>
          <w:ilvl w:val="0"/>
          <w:numId w:val="126"/>
        </w:numPr>
        <w:spacing w:before="0" w:after="240" w:line="230" w:lineRule="atLeast"/>
        <w:contextualSpacing w:val="0"/>
        <w:rPr>
          <w:rFonts w:eastAsia="Cambria"/>
        </w:rPr>
      </w:pPr>
      <w:r w:rsidRPr="00E05E29">
        <w:t>the value of the normal</w:t>
      </w:r>
      <w:r w:rsidR="00E10A24">
        <w:t>ize</w:t>
      </w:r>
      <w:r w:rsidRPr="00E05E29">
        <w:t xml:space="preserve">d design axial force </w:t>
      </w:r>
      <w:r w:rsidRPr="00E05E29">
        <w:rPr>
          <w:i/>
          <w:iCs/>
        </w:rPr>
        <w:t>ν</w:t>
      </w:r>
      <w:r w:rsidRPr="00E05E29">
        <w:rPr>
          <w:vertAlign w:val="subscript"/>
        </w:rPr>
        <w:t>d</w:t>
      </w:r>
      <w:r w:rsidRPr="00E05E29">
        <w:t xml:space="preserve"> in the seismic design situation is not greater than 0,15;</w:t>
      </w:r>
    </w:p>
    <w:p w14:paraId="4BDF2BBA" w14:textId="3EA06223" w:rsidR="00881E88" w:rsidRPr="00E05E29" w:rsidRDefault="00881E88" w:rsidP="0080187E">
      <w:pPr>
        <w:pStyle w:val="List2"/>
        <w:numPr>
          <w:ilvl w:val="0"/>
          <w:numId w:val="126"/>
        </w:numPr>
        <w:spacing w:before="0" w:after="240" w:line="230" w:lineRule="atLeast"/>
        <w:contextualSpacing w:val="0"/>
        <w:rPr>
          <w:rFonts w:eastAsia="Cambria"/>
        </w:rPr>
      </w:pPr>
      <w:r w:rsidRPr="00E05E29">
        <w:t xml:space="preserve">the value of </w:t>
      </w:r>
      <w:r w:rsidRPr="00E05E29">
        <w:rPr>
          <w:i/>
          <w:iCs/>
        </w:rPr>
        <w:t>ν</w:t>
      </w:r>
      <w:r w:rsidRPr="00E05E29">
        <w:rPr>
          <w:vertAlign w:val="subscript"/>
        </w:rPr>
        <w:t>d</w:t>
      </w:r>
      <w:r w:rsidRPr="00E05E29">
        <w:t xml:space="preserve"> in the seismic design situation is not greater than 0,20 and either:</w:t>
      </w:r>
    </w:p>
    <w:p w14:paraId="4B9D6DD7" w14:textId="4ADF591E" w:rsidR="00881E88" w:rsidRPr="00E05E29" w:rsidRDefault="00881E88" w:rsidP="001C5446">
      <w:pPr>
        <w:pStyle w:val="List"/>
        <w:numPr>
          <w:ilvl w:val="0"/>
          <w:numId w:val="124"/>
        </w:numPr>
        <w:spacing w:before="0" w:after="240" w:line="230" w:lineRule="atLeast"/>
        <w:ind w:left="851" w:hanging="284"/>
        <w:contextualSpacing w:val="0"/>
        <w:rPr>
          <w:rFonts w:eastAsia="Cambria"/>
        </w:rPr>
      </w:pPr>
      <w:r w:rsidRPr="00E05E29">
        <w:t xml:space="preserve">in a force-based approach, the behaviour factor </w:t>
      </w:r>
      <w:r w:rsidRPr="00E05E29">
        <w:rPr>
          <w:i/>
          <w:iCs/>
        </w:rPr>
        <w:t>q</w:t>
      </w:r>
      <w:r w:rsidRPr="00E05E29">
        <w:t xml:space="preserve"> used in the analysis is reduced by 15</w:t>
      </w:r>
      <w:r w:rsidR="001C5446">
        <w:t> </w:t>
      </w:r>
      <w:r w:rsidRPr="00E05E29">
        <w:t>%;</w:t>
      </w:r>
    </w:p>
    <w:p w14:paraId="718BA0D4" w14:textId="3CBD7286" w:rsidR="00881E88" w:rsidRPr="00E05E29" w:rsidRDefault="00881E88" w:rsidP="001C5446">
      <w:pPr>
        <w:pStyle w:val="List"/>
        <w:numPr>
          <w:ilvl w:val="0"/>
          <w:numId w:val="124"/>
        </w:numPr>
        <w:spacing w:before="0" w:after="240" w:line="230" w:lineRule="atLeast"/>
        <w:ind w:left="851" w:hanging="284"/>
        <w:contextualSpacing w:val="0"/>
      </w:pPr>
      <w:r w:rsidRPr="00E05E29">
        <w:t>in a displacement-based approach, the displacement demand at SD is increased of 15</w:t>
      </w:r>
      <w:r w:rsidR="001C5446">
        <w:t> </w:t>
      </w:r>
      <w:r w:rsidRPr="00E05E29">
        <w:t>%.</w:t>
      </w:r>
    </w:p>
    <w:p w14:paraId="14A5C90C" w14:textId="72A00B9E" w:rsidR="00881E88" w:rsidRPr="00E05E29" w:rsidRDefault="00881E88" w:rsidP="00724E4E">
      <w:pPr>
        <w:pStyle w:val="Clause"/>
      </w:pPr>
      <w:r w:rsidRPr="00E05E29">
        <w:t>Where confinement boundary elements are provided, the horizontal web reinforcement should be anchored by hooks or bends in the confined core of the boundary elements at not less than 150 mm from the end of the section. If the horizontal web reinforcement is not more than the transverse reinforcement of the boundary element parallel to it, it may terminate with a straight anchorage provided that the boundary element has sufficient length to accommodate it.</w:t>
      </w:r>
    </w:p>
    <w:p w14:paraId="371E97B8" w14:textId="0C84DF9A" w:rsidR="00881E88" w:rsidRPr="00E05E29" w:rsidRDefault="00881E88" w:rsidP="00881E88">
      <w:pPr>
        <w:pStyle w:val="Heading4"/>
      </w:pPr>
      <w:bookmarkStart w:id="7445" w:name="_Toc108342364"/>
      <w:r w:rsidRPr="00E05E29">
        <w:t>Openings and coupling beams in ductile walls</w:t>
      </w:r>
      <w:bookmarkEnd w:id="7445"/>
    </w:p>
    <w:p w14:paraId="2BAF36D3" w14:textId="19968E43" w:rsidR="00881E88" w:rsidRPr="00E05E29" w:rsidRDefault="00881E88" w:rsidP="0080187E">
      <w:pPr>
        <w:pStyle w:val="Clause"/>
        <w:numPr>
          <w:ilvl w:val="0"/>
          <w:numId w:val="333"/>
        </w:numPr>
      </w:pPr>
      <w:r w:rsidRPr="00E05E29">
        <w:t xml:space="preserve">Perforations </w:t>
      </w:r>
      <w:r>
        <w:t xml:space="preserve">and openings </w:t>
      </w:r>
      <w:r w:rsidRPr="00E05E29">
        <w:t>in the critical region should satisfy a) to e)</w:t>
      </w:r>
      <w:r>
        <w:t xml:space="preserve">, unless </w:t>
      </w:r>
      <w:r w:rsidRPr="00B00B3D">
        <w:t>(9)</w:t>
      </w:r>
      <w:r>
        <w:t xml:space="preserve"> is satisfied</w:t>
      </w:r>
      <w:r w:rsidRPr="00E05E29">
        <w:t>:</w:t>
      </w:r>
    </w:p>
    <w:p w14:paraId="7BD71357" w14:textId="77777777" w:rsidR="00881E88" w:rsidRPr="00E05E29" w:rsidRDefault="00881E88" w:rsidP="0080187E">
      <w:pPr>
        <w:pStyle w:val="List2"/>
        <w:numPr>
          <w:ilvl w:val="0"/>
          <w:numId w:val="127"/>
        </w:numPr>
        <w:spacing w:before="0" w:after="240" w:line="230" w:lineRule="atLeast"/>
        <w:contextualSpacing w:val="0"/>
      </w:pPr>
      <w:r w:rsidRPr="00E05E29">
        <w:t>there should not be more than two perforations;</w:t>
      </w:r>
    </w:p>
    <w:p w14:paraId="050DF6E2" w14:textId="77777777" w:rsidR="00881E88" w:rsidRPr="00E05E29" w:rsidRDefault="00881E88" w:rsidP="0080187E">
      <w:pPr>
        <w:pStyle w:val="List2"/>
        <w:numPr>
          <w:ilvl w:val="0"/>
          <w:numId w:val="127"/>
        </w:numPr>
        <w:spacing w:before="0" w:after="240" w:line="230" w:lineRule="atLeast"/>
        <w:contextualSpacing w:val="0"/>
      </w:pPr>
      <w:r w:rsidRPr="00E05E29">
        <w:t>their height and width should both be smaller than 0,05 </w:t>
      </w:r>
      <w:r w:rsidRPr="00E05E29">
        <w:rPr>
          <w:i/>
        </w:rPr>
        <w:t>l</w:t>
      </w:r>
      <w:r w:rsidRPr="00E05E29">
        <w:rPr>
          <w:vertAlign w:val="subscript"/>
        </w:rPr>
        <w:t>w</w:t>
      </w:r>
      <w:r w:rsidRPr="00E05E29">
        <w:t>;</w:t>
      </w:r>
    </w:p>
    <w:p w14:paraId="03C4DC66" w14:textId="77777777" w:rsidR="00881E88" w:rsidRPr="00E05E29" w:rsidRDefault="00881E88" w:rsidP="0080187E">
      <w:pPr>
        <w:pStyle w:val="List2"/>
        <w:numPr>
          <w:ilvl w:val="0"/>
          <w:numId w:val="127"/>
        </w:numPr>
        <w:spacing w:before="0" w:after="240" w:line="230" w:lineRule="atLeast"/>
        <w:contextualSpacing w:val="0"/>
      </w:pPr>
      <w:r w:rsidRPr="00E05E29">
        <w:t xml:space="preserve">they should be in the central third of </w:t>
      </w:r>
      <w:r w:rsidRPr="00E05E29">
        <w:rPr>
          <w:i/>
        </w:rPr>
        <w:t>l</w:t>
      </w:r>
      <w:r w:rsidRPr="00E05E29">
        <w:rPr>
          <w:vertAlign w:val="subscript"/>
        </w:rPr>
        <w:t>w</w:t>
      </w:r>
      <w:r w:rsidRPr="00E05E29">
        <w:t>;</w:t>
      </w:r>
    </w:p>
    <w:p w14:paraId="3247F38C" w14:textId="77777777" w:rsidR="00881E88" w:rsidRPr="00E05E29" w:rsidRDefault="00881E88" w:rsidP="0080187E">
      <w:pPr>
        <w:pStyle w:val="List2"/>
        <w:numPr>
          <w:ilvl w:val="0"/>
          <w:numId w:val="127"/>
        </w:numPr>
        <w:spacing w:before="0" w:after="240" w:line="230" w:lineRule="atLeast"/>
        <w:contextualSpacing w:val="0"/>
      </w:pPr>
      <w:r w:rsidRPr="00E05E29">
        <w:t>the distance between centres of perforations should be smaller than 0,2 </w:t>
      </w:r>
      <w:r w:rsidRPr="00E05E29">
        <w:rPr>
          <w:i/>
        </w:rPr>
        <w:t>l</w:t>
      </w:r>
      <w:r w:rsidRPr="00E05E29">
        <w:rPr>
          <w:vertAlign w:val="subscript"/>
        </w:rPr>
        <w:t>w</w:t>
      </w:r>
      <w:r w:rsidRPr="00E05E29">
        <w:t>;</w:t>
      </w:r>
    </w:p>
    <w:p w14:paraId="0D570812" w14:textId="21D3CA28" w:rsidR="00881E88" w:rsidRPr="00E05E29" w:rsidRDefault="00881E88" w:rsidP="0080187E">
      <w:pPr>
        <w:pStyle w:val="List2"/>
        <w:numPr>
          <w:ilvl w:val="0"/>
          <w:numId w:val="127"/>
        </w:numPr>
        <w:spacing w:before="0" w:after="240" w:line="230" w:lineRule="atLeast"/>
        <w:contextualSpacing w:val="0"/>
      </w:pPr>
      <w:r w:rsidRPr="00E05E29">
        <w:t xml:space="preserve">hairpin U reinforcement or crossties should be placed at each interruption of the face layers reinforcement by the perforations and they should have the same </w:t>
      </w:r>
      <w:r w:rsidR="00EB30A2">
        <w:t>d</w:t>
      </w:r>
      <w:r>
        <w:t>iameter</w:t>
      </w:r>
      <w:r w:rsidRPr="00E05E29">
        <w:t xml:space="preserve"> as the face layers reinforcement.</w:t>
      </w:r>
    </w:p>
    <w:p w14:paraId="5EDD5595" w14:textId="3FDC6799" w:rsidR="00881E88" w:rsidRPr="00E57AF8" w:rsidRDefault="00881E88" w:rsidP="00724E4E">
      <w:pPr>
        <w:pStyle w:val="Clause"/>
      </w:pPr>
      <w:r w:rsidRPr="00E57AF8">
        <w:t>Around openings, ties should be provided which should not be less than given in a) and b):</w:t>
      </w:r>
    </w:p>
    <w:p w14:paraId="6C291410" w14:textId="31CBFA2F" w:rsidR="00881E88" w:rsidRPr="00E05E29" w:rsidRDefault="00881E88" w:rsidP="0080187E">
      <w:pPr>
        <w:pStyle w:val="List2"/>
        <w:numPr>
          <w:ilvl w:val="0"/>
          <w:numId w:val="128"/>
        </w:numPr>
        <w:spacing w:before="0" w:after="240" w:line="230" w:lineRule="atLeast"/>
        <w:contextualSpacing w:val="0"/>
      </w:pPr>
      <w:bookmarkStart w:id="7446" w:name="_Hlk55287967"/>
      <w:r w:rsidRPr="00E05E29">
        <w:lastRenderedPageBreak/>
        <w:t>on both sides of openings</w:t>
      </w:r>
      <w:r>
        <w:t xml:space="preserve"> greater than 1 m</w:t>
      </w:r>
      <w:r>
        <w:rPr>
          <w:vertAlign w:val="superscript"/>
        </w:rPr>
        <w:t>2</w:t>
      </w:r>
      <w:r w:rsidRPr="00E05E29">
        <w:t xml:space="preserve">, vertical boundary elements extending to the storey above and consisting </w:t>
      </w:r>
      <w:r w:rsidR="007C36A5">
        <w:t>of</w:t>
      </w:r>
      <w:r w:rsidRPr="00E05E29">
        <w:t xml:space="preserve"> not less than four 10 mm </w:t>
      </w:r>
      <w:r w:rsidR="00EB30A2">
        <w:t>d</w:t>
      </w:r>
      <w:r>
        <w:t>iameter</w:t>
      </w:r>
      <w:r w:rsidRPr="00E05E29">
        <w:t xml:space="preserve"> bars in DC2 or four 12 mm </w:t>
      </w:r>
      <w:r w:rsidR="00EB30A2">
        <w:t>d</w:t>
      </w:r>
      <w:r>
        <w:t>iameter</w:t>
      </w:r>
      <w:r w:rsidRPr="00E05E29">
        <w:t xml:space="preserve"> bars in DC3;</w:t>
      </w:r>
      <w:r w:rsidR="000B0881">
        <w:t xml:space="preserve"> </w:t>
      </w:r>
      <w:r w:rsidRPr="00E05E29">
        <w:t>on both sides of openings</w:t>
      </w:r>
      <w:r>
        <w:t xml:space="preserve"> up to 1 m</w:t>
      </w:r>
      <w:r>
        <w:rPr>
          <w:vertAlign w:val="superscript"/>
        </w:rPr>
        <w:t>2</w:t>
      </w:r>
      <w:r w:rsidRPr="00E05E29">
        <w:t xml:space="preserve">, vertical ties not less than two 10 mm </w:t>
      </w:r>
      <w:r w:rsidR="00EB30A2">
        <w:t>d</w:t>
      </w:r>
      <w:r>
        <w:t>iameter</w:t>
      </w:r>
      <w:r w:rsidRPr="00E05E29">
        <w:t xml:space="preserve"> bars in DC2 or two 12 mm </w:t>
      </w:r>
      <w:r w:rsidR="00EB30A2">
        <w:t>d</w:t>
      </w:r>
      <w:r>
        <w:t>iameter</w:t>
      </w:r>
      <w:r w:rsidRPr="00E05E29">
        <w:t xml:space="preserve"> bars in DC3</w:t>
      </w:r>
      <w:r>
        <w:t>;</w:t>
      </w:r>
    </w:p>
    <w:p w14:paraId="7EF388F8" w14:textId="2758A817" w:rsidR="00881E88" w:rsidRPr="00E05E29" w:rsidRDefault="00881E88" w:rsidP="0080187E">
      <w:pPr>
        <w:pStyle w:val="List2"/>
        <w:numPr>
          <w:ilvl w:val="0"/>
          <w:numId w:val="128"/>
        </w:numPr>
        <w:tabs>
          <w:tab w:val="num" w:pos="0"/>
        </w:tabs>
        <w:spacing w:before="0" w:after="240" w:line="230" w:lineRule="atLeast"/>
        <w:contextualSpacing w:val="0"/>
      </w:pPr>
      <w:r w:rsidRPr="00E05E29">
        <w:t xml:space="preserve">above and below openings, horizontal ties consisting </w:t>
      </w:r>
      <w:r w:rsidR="007C36A5">
        <w:t>of</w:t>
      </w:r>
      <w:r w:rsidRPr="00E05E29">
        <w:t xml:space="preserve"> not less than two 10 mm </w:t>
      </w:r>
      <w:r w:rsidR="00EB30A2">
        <w:t>d</w:t>
      </w:r>
      <w:r>
        <w:t>iameter</w:t>
      </w:r>
      <w:r w:rsidRPr="00E05E29">
        <w:t xml:space="preserve"> bars in DC2 or two 12 mm </w:t>
      </w:r>
      <w:r w:rsidR="00EB30A2">
        <w:t>d</w:t>
      </w:r>
      <w:r>
        <w:t>iameter</w:t>
      </w:r>
      <w:r w:rsidRPr="00E05E29">
        <w:t xml:space="preserve"> bars in DC3</w:t>
      </w:r>
      <w:r>
        <w:t>.</w:t>
      </w:r>
    </w:p>
    <w:bookmarkEnd w:id="7446"/>
    <w:p w14:paraId="5FDA864E" w14:textId="60A1305D" w:rsidR="00881E88" w:rsidRPr="007C36A5" w:rsidRDefault="00881E88" w:rsidP="00724E4E">
      <w:pPr>
        <w:pStyle w:val="Clause"/>
      </w:pPr>
      <w:r w:rsidRPr="00E05E29">
        <w:t xml:space="preserve">Vertical bars </w:t>
      </w:r>
      <w:r w:rsidRPr="007C36A5">
        <w:t xml:space="preserve">satisfying (2) should be engaged by hoops or crossties with a </w:t>
      </w:r>
      <w:r w:rsidR="00EB30A2" w:rsidRPr="007C36A5">
        <w:t>d</w:t>
      </w:r>
      <w:r w:rsidRPr="007C36A5">
        <w:t xml:space="preserve">iameter of not less than 6 mm or one-third of the vertical bar smallest </w:t>
      </w:r>
      <w:r w:rsidR="00EB30A2" w:rsidRPr="007C36A5">
        <w:t>d</w:t>
      </w:r>
      <w:r w:rsidRPr="007C36A5">
        <w:t xml:space="preserve">iameter, </w:t>
      </w:r>
      <w:r w:rsidRPr="007C36A5">
        <w:rPr>
          <w:i/>
          <w:iCs/>
        </w:rPr>
        <w:t>d</w:t>
      </w:r>
      <w:r w:rsidRPr="007C36A5">
        <w:rPr>
          <w:vertAlign w:val="subscript"/>
        </w:rPr>
        <w:t>bL</w:t>
      </w:r>
      <w:r w:rsidRPr="007C36A5">
        <w:t xml:space="preserve">, whichever is greater. Hoops and crossties should be at a vertical spacing </w:t>
      </w:r>
      <w:r w:rsidRPr="007C36A5">
        <w:rPr>
          <w:i/>
          <w:iCs/>
        </w:rPr>
        <w:t>s</w:t>
      </w:r>
      <w:r w:rsidRPr="007C36A5">
        <w:t xml:space="preserve"> of not more than 100 mm or 8</w:t>
      </w:r>
      <w:r w:rsidRPr="007C36A5">
        <w:rPr>
          <w:i/>
          <w:iCs/>
        </w:rPr>
        <w:t>d</w:t>
      </w:r>
      <w:r w:rsidRPr="007C36A5">
        <w:rPr>
          <w:vertAlign w:val="subscript"/>
        </w:rPr>
        <w:t>bL</w:t>
      </w:r>
      <w:r w:rsidRPr="007C36A5">
        <w:t>, whichever is less.</w:t>
      </w:r>
    </w:p>
    <w:p w14:paraId="5D5F540C" w14:textId="7A3FDC1A" w:rsidR="00881E88" w:rsidRPr="007C36A5" w:rsidRDefault="00881E88" w:rsidP="00724E4E">
      <w:pPr>
        <w:pStyle w:val="Clause"/>
      </w:pPr>
      <w:r w:rsidRPr="007C36A5">
        <w:t>The effect of the openings should be considered in the analysis of the structure and in the design of walls, unless (5) is satisfied.</w:t>
      </w:r>
    </w:p>
    <w:p w14:paraId="2D2837E9" w14:textId="756AB6F3" w:rsidR="00881E88" w:rsidRPr="007C36A5" w:rsidRDefault="00881E88" w:rsidP="00724E4E">
      <w:pPr>
        <w:pStyle w:val="Clause"/>
      </w:pPr>
      <w:r w:rsidRPr="007C36A5">
        <w:t>If in a wall the openings are not aligned vertically and if, at each storey, the area of openings is less than 10</w:t>
      </w:r>
      <w:r w:rsidR="001C5446">
        <w:t> </w:t>
      </w:r>
      <w:r w:rsidRPr="007C36A5">
        <w:t xml:space="preserve">% of the area of the wall at that storey, calculated as the product of the wall length </w:t>
      </w:r>
      <w:r w:rsidRPr="007C36A5">
        <w:rPr>
          <w:i/>
          <w:iCs/>
        </w:rPr>
        <w:t>l</w:t>
      </w:r>
      <w:r w:rsidRPr="007C36A5">
        <w:rPr>
          <w:vertAlign w:val="subscript"/>
        </w:rPr>
        <w:t>w</w:t>
      </w:r>
      <w:r w:rsidRPr="007C36A5">
        <w:t xml:space="preserve"> by the storey height </w:t>
      </w:r>
      <w:r w:rsidRPr="007C36A5">
        <w:rPr>
          <w:i/>
          <w:iCs/>
        </w:rPr>
        <w:t>h</w:t>
      </w:r>
      <w:r w:rsidRPr="007C36A5">
        <w:rPr>
          <w:vertAlign w:val="subscript"/>
        </w:rPr>
        <w:t xml:space="preserve">s </w:t>
      </w:r>
      <w:r w:rsidRPr="007C36A5">
        <w:t>, the analysis of the structure may ignore the influence of the openings in that wall.</w:t>
      </w:r>
    </w:p>
    <w:p w14:paraId="7AF5C087" w14:textId="396BECBE" w:rsidR="00881E88" w:rsidRPr="007C36A5" w:rsidRDefault="00881E88" w:rsidP="00724E4E">
      <w:pPr>
        <w:pStyle w:val="Clause"/>
      </w:pPr>
      <w:r w:rsidRPr="007C36A5">
        <w:t>To be considered not aligned vertically, openings at each storey should be such that any vertical line intersecting them does not intersect an opening neither in the storey immediately above, nor in the one below.</w:t>
      </w:r>
    </w:p>
    <w:p w14:paraId="40E807E9" w14:textId="1547D057" w:rsidR="00881E88" w:rsidRPr="007C36A5" w:rsidRDefault="00881E88" w:rsidP="00724E4E">
      <w:pPr>
        <w:pStyle w:val="Clause"/>
      </w:pPr>
      <w:r w:rsidRPr="007C36A5">
        <w:t>If (6) applies, the action effect in the wall may be calculated considering a strut and tie model around openings, complying with prEN 1992-1-1:2021, 8.5.</w:t>
      </w:r>
    </w:p>
    <w:p w14:paraId="20843BB4" w14:textId="15B35FE6" w:rsidR="00881E88" w:rsidRPr="007C36A5" w:rsidRDefault="00881E88" w:rsidP="00724E4E">
      <w:pPr>
        <w:pStyle w:val="Clause"/>
      </w:pPr>
      <w:r w:rsidRPr="007C36A5">
        <w:t xml:space="preserve">The resistance and detailing of struts and ties in (7) should satisfy </w:t>
      </w:r>
      <w:r w:rsidR="001C5446">
        <w:t>p</w:t>
      </w:r>
      <w:r w:rsidR="0026060E">
        <w:t>rEN 1992-1-1:2021</w:t>
      </w:r>
      <w:r w:rsidRPr="007C36A5">
        <w:t xml:space="preserve">, 8.5; compression struts in which the stress due to the design seismic action </w:t>
      </w:r>
      <w:r w:rsidRPr="007C36A5">
        <w:rPr>
          <w:i/>
          <w:iCs/>
        </w:rPr>
        <w:t>E</w:t>
      </w:r>
      <w:r w:rsidRPr="007C36A5">
        <w:rPr>
          <w:vertAlign w:val="subscript"/>
        </w:rPr>
        <w:t>d</w:t>
      </w:r>
      <w:r w:rsidRPr="007C36A5">
        <w:t xml:space="preserve"> is greater than 0,2 </w:t>
      </w:r>
      <w:r w:rsidRPr="007C36A5">
        <w:rPr>
          <w:i/>
          <w:iCs/>
        </w:rPr>
        <w:t>f</w:t>
      </w:r>
      <w:r w:rsidRPr="007C36A5">
        <w:rPr>
          <w:vertAlign w:val="subscript"/>
        </w:rPr>
        <w:t>cd</w:t>
      </w:r>
      <w:r w:rsidRPr="007C36A5">
        <w:t xml:space="preserve"> should be confined by means of closed stirrups or crossties connecting the two face layers of reinforcement.</w:t>
      </w:r>
    </w:p>
    <w:p w14:paraId="0BF33BDD" w14:textId="4CD14A4A" w:rsidR="00881E88" w:rsidRPr="007C36A5" w:rsidRDefault="00881E88" w:rsidP="00724E4E">
      <w:pPr>
        <w:pStyle w:val="Clause"/>
      </w:pPr>
      <w:r w:rsidRPr="007C36A5">
        <w:t xml:space="preserve">If in a wall the openings are aligned vertically, the structure should be considered as being two walls coupled by beams with a clear length equal to the width of the openings and a depth equal to the distance from the top of an opening to the bottom of the opening at the storey above and 10.5.3 and 10.5.4 should be satisfied for the action effects </w:t>
      </w:r>
      <w:r w:rsidRPr="007C36A5">
        <w:rPr>
          <w:i/>
          <w:iCs/>
        </w:rPr>
        <w:t>M</w:t>
      </w:r>
      <w:r w:rsidRPr="007C36A5">
        <w:rPr>
          <w:vertAlign w:val="subscript"/>
        </w:rPr>
        <w:t>Edcb</w:t>
      </w:r>
      <w:r w:rsidRPr="007C36A5">
        <w:rPr>
          <w:i/>
          <w:iCs/>
        </w:rPr>
        <w:t xml:space="preserve"> </w:t>
      </w:r>
      <w:r w:rsidRPr="007C36A5">
        <w:t>and</w:t>
      </w:r>
      <w:r w:rsidRPr="007C36A5">
        <w:rPr>
          <w:i/>
          <w:iCs/>
        </w:rPr>
        <w:t xml:space="preserve"> V</w:t>
      </w:r>
      <w:r w:rsidRPr="007C36A5">
        <w:rPr>
          <w:vertAlign w:val="subscript"/>
        </w:rPr>
        <w:t>Edcb</w:t>
      </w:r>
      <w:r w:rsidRPr="007C36A5">
        <w:t xml:space="preserve"> which are the moment and shear in the coupling beam calculated by the analysis.</w:t>
      </w:r>
    </w:p>
    <w:p w14:paraId="0D4C4E1A" w14:textId="141BDD84" w:rsidR="00881E88" w:rsidRPr="007C36A5" w:rsidRDefault="00881E88" w:rsidP="00724E4E">
      <w:pPr>
        <w:pStyle w:val="Clause"/>
      </w:pPr>
      <w:r w:rsidRPr="007C36A5">
        <w:t xml:space="preserve">In (9), the coupling beams may be analysed in a strut and tie model under the shear action effects </w:t>
      </w:r>
      <w:r w:rsidRPr="007C36A5">
        <w:rPr>
          <w:i/>
          <w:iCs/>
        </w:rPr>
        <w:t>V</w:t>
      </w:r>
      <w:r w:rsidRPr="007C36A5">
        <w:rPr>
          <w:vertAlign w:val="subscript"/>
        </w:rPr>
        <w:t>Edcb</w:t>
      </w:r>
      <w:r w:rsidRPr="007C36A5">
        <w:t xml:space="preserve"> acting vertically at its ends.</w:t>
      </w:r>
    </w:p>
    <w:p w14:paraId="435CF37E" w14:textId="0C0DC242" w:rsidR="00881E88" w:rsidRPr="007C36A5" w:rsidRDefault="00881E88" w:rsidP="00724E4E">
      <w:pPr>
        <w:pStyle w:val="Clause"/>
      </w:pPr>
      <w:r w:rsidRPr="007C36A5">
        <w:t xml:space="preserve">If the resistance to shear requires diagonal reinforcement of the coupling beams, these reinforcement should consist of a minimum of four bars anchored in the walls to develop </w:t>
      </w:r>
      <w:r w:rsidRPr="007C36A5">
        <w:rPr>
          <w:i/>
          <w:iCs/>
        </w:rPr>
        <w:t>f</w:t>
      </w:r>
      <w:r w:rsidRPr="007C36A5">
        <w:rPr>
          <w:i/>
          <w:iCs/>
          <w:vertAlign w:val="subscript"/>
        </w:rPr>
        <w:t>yd </w:t>
      </w:r>
      <w:r w:rsidRPr="007C36A5">
        <w:t>; reinforcement transverse to these diagonals should be provided in compliance with 10.5.4.2(6).</w:t>
      </w:r>
    </w:p>
    <w:p w14:paraId="5FF5FD84" w14:textId="06E22563" w:rsidR="00881E88" w:rsidRPr="007C36A5" w:rsidRDefault="00881E88" w:rsidP="00724E4E">
      <w:pPr>
        <w:pStyle w:val="Clause"/>
      </w:pPr>
      <w:r w:rsidRPr="007C36A5">
        <w:t>The reinforcement transverse to the diagonals in (11) should be as in a) or b):</w:t>
      </w:r>
    </w:p>
    <w:p w14:paraId="7B0B9B7F" w14:textId="77777777" w:rsidR="00881E88" w:rsidRPr="007C36A5" w:rsidRDefault="00881E88" w:rsidP="0080187E">
      <w:pPr>
        <w:pStyle w:val="List2"/>
        <w:numPr>
          <w:ilvl w:val="0"/>
          <w:numId w:val="129"/>
        </w:numPr>
        <w:spacing w:before="0" w:after="240" w:line="230" w:lineRule="atLeast"/>
        <w:contextualSpacing w:val="0"/>
      </w:pPr>
      <w:r w:rsidRPr="007C36A5">
        <w:t>hoops enclosing separately each group of four diagonal bars satisfying 10.6.3.2(7) to 10.6.3.2(10);</w:t>
      </w:r>
    </w:p>
    <w:p w14:paraId="07596295" w14:textId="77777777" w:rsidR="00881E88" w:rsidRPr="00E05E29" w:rsidRDefault="00881E88" w:rsidP="0080187E">
      <w:pPr>
        <w:pStyle w:val="List2"/>
        <w:numPr>
          <w:ilvl w:val="0"/>
          <w:numId w:val="129"/>
        </w:numPr>
        <w:tabs>
          <w:tab w:val="num" w:pos="0"/>
        </w:tabs>
        <w:spacing w:before="0" w:after="240" w:line="230" w:lineRule="atLeast"/>
        <w:contextualSpacing w:val="0"/>
      </w:pPr>
      <w:r w:rsidRPr="007C36A5">
        <w:t>stirrups enclosing the entire cross section of the coupling beam completed by crossties to satisfy 10.6.3.2(7) to (10)</w:t>
      </w:r>
      <w:r w:rsidRPr="00E05E29">
        <w:t>.</w:t>
      </w:r>
    </w:p>
    <w:p w14:paraId="0B27A2F5" w14:textId="77777777" w:rsidR="00881E88" w:rsidRPr="00E05E29" w:rsidRDefault="00881E88" w:rsidP="00881E88">
      <w:pPr>
        <w:pStyle w:val="Heading4"/>
      </w:pPr>
      <w:bookmarkStart w:id="7447" w:name="_Toc108342365"/>
      <w:r w:rsidRPr="00E05E29">
        <w:t>Tying systems</w:t>
      </w:r>
      <w:bookmarkEnd w:id="7447"/>
    </w:p>
    <w:p w14:paraId="0AA346A8" w14:textId="322FF05C" w:rsidR="00881E88" w:rsidRPr="007C36A5" w:rsidRDefault="00881E88" w:rsidP="0080187E">
      <w:pPr>
        <w:pStyle w:val="Clause"/>
        <w:numPr>
          <w:ilvl w:val="0"/>
          <w:numId w:val="334"/>
        </w:numPr>
      </w:pPr>
      <w:bookmarkStart w:id="7448" w:name="_Hlk55287075"/>
      <w:r w:rsidRPr="00E05E29">
        <w:t xml:space="preserve">Outside of boundary elements, bars in the form of continuous steel ties, horizontal or vertical, should be </w:t>
      </w:r>
      <w:r w:rsidRPr="00446008">
        <w:t xml:space="preserve">provided, as given in a) to c), but not less than those specified in </w:t>
      </w:r>
      <w:r w:rsidR="0026060E">
        <w:t>PrEN 1992-1-1:2021</w:t>
      </w:r>
      <w:r w:rsidRPr="007C36A5">
        <w:t>, 12.9:</w:t>
      </w:r>
    </w:p>
    <w:bookmarkEnd w:id="7448"/>
    <w:p w14:paraId="34DA509B" w14:textId="203E94FB" w:rsidR="00881E88" w:rsidRPr="00E05E29" w:rsidRDefault="00881E88" w:rsidP="0080187E">
      <w:pPr>
        <w:pStyle w:val="List2"/>
        <w:numPr>
          <w:ilvl w:val="0"/>
          <w:numId w:val="130"/>
        </w:numPr>
        <w:spacing w:before="0" w:after="240" w:line="230" w:lineRule="atLeast"/>
        <w:contextualSpacing w:val="0"/>
      </w:pPr>
      <w:r w:rsidRPr="00E05E29">
        <w:lastRenderedPageBreak/>
        <w:t xml:space="preserve">along all intersections of walls and along the connections of walls with flanges: not less than four vertical bars with 10 mm </w:t>
      </w:r>
      <w:r w:rsidR="007E5C9E">
        <w:t>d</w:t>
      </w:r>
      <w:r>
        <w:t>iameter</w:t>
      </w:r>
      <w:r w:rsidRPr="00E05E29">
        <w:t>;</w:t>
      </w:r>
    </w:p>
    <w:p w14:paraId="36531F47" w14:textId="77777777" w:rsidR="00881E88" w:rsidRPr="00E05E29" w:rsidRDefault="00881E88" w:rsidP="0080187E">
      <w:pPr>
        <w:pStyle w:val="List2"/>
        <w:numPr>
          <w:ilvl w:val="0"/>
          <w:numId w:val="130"/>
        </w:numPr>
        <w:tabs>
          <w:tab w:val="num" w:pos="0"/>
        </w:tabs>
        <w:spacing w:before="0" w:after="240" w:line="230" w:lineRule="atLeast"/>
        <w:contextualSpacing w:val="0"/>
      </w:pPr>
      <w:r w:rsidRPr="00E05E29">
        <w:t>an effectively continuous peripheral tie with at least 300 mm</w:t>
      </w:r>
      <w:r w:rsidRPr="00E05E29">
        <w:rPr>
          <w:vertAlign w:val="superscript"/>
        </w:rPr>
        <w:t>2</w:t>
      </w:r>
      <w:r w:rsidRPr="00E05E29">
        <w:t xml:space="preserve"> cross-sectional area at each floor and roof level;</w:t>
      </w:r>
    </w:p>
    <w:p w14:paraId="2DE3BFE2" w14:textId="77777777" w:rsidR="00881E88" w:rsidRPr="00E05E29" w:rsidRDefault="00881E88" w:rsidP="0080187E">
      <w:pPr>
        <w:pStyle w:val="List2"/>
        <w:numPr>
          <w:ilvl w:val="0"/>
          <w:numId w:val="130"/>
        </w:numPr>
        <w:tabs>
          <w:tab w:val="num" w:pos="0"/>
        </w:tabs>
        <w:spacing w:before="0" w:after="240" w:line="230" w:lineRule="atLeast"/>
        <w:contextualSpacing w:val="0"/>
      </w:pPr>
      <w:r w:rsidRPr="00E05E29">
        <w:t>a horizontal tie at interior wall-floor connections with a cross sectional area of at least max {150 mm</w:t>
      </w:r>
      <w:r w:rsidRPr="00E05E29">
        <w:rPr>
          <w:vertAlign w:val="superscript"/>
        </w:rPr>
        <w:t>2</w:t>
      </w:r>
      <w:r w:rsidRPr="00E05E29">
        <w:t>; 28 </w:t>
      </w:r>
      <w:r w:rsidRPr="00E05E29">
        <w:rPr>
          <w:i/>
          <w:iCs/>
        </w:rPr>
        <w:t>L</w:t>
      </w:r>
      <w:r w:rsidRPr="00E05E29">
        <w:t xml:space="preserve">}, where </w:t>
      </w:r>
      <w:r w:rsidRPr="00E05E29">
        <w:rPr>
          <w:i/>
          <w:iCs/>
        </w:rPr>
        <w:t>L</w:t>
      </w:r>
      <w:r w:rsidRPr="00E05E29">
        <w:t xml:space="preserve"> is the distance between the horizontal tie and the adjacent wall, in met</w:t>
      </w:r>
      <w:r>
        <w:t>re</w:t>
      </w:r>
      <w:r w:rsidRPr="00E05E29">
        <w:t>s.</w:t>
      </w:r>
    </w:p>
    <w:p w14:paraId="154519D2" w14:textId="77777777" w:rsidR="00881E88" w:rsidRPr="00E05E29" w:rsidRDefault="00881E88" w:rsidP="00881E88">
      <w:pPr>
        <w:pStyle w:val="Heading2"/>
      </w:pPr>
      <w:bookmarkStart w:id="7449" w:name="_Toc16091414"/>
      <w:bookmarkStart w:id="7450" w:name="_Toc16531653"/>
      <w:bookmarkStart w:id="7451" w:name="_Toc16590511"/>
      <w:bookmarkStart w:id="7452" w:name="_Toc16598372"/>
      <w:bookmarkStart w:id="7453" w:name="_Toc522209818"/>
      <w:bookmarkStart w:id="7454" w:name="_Toc522209924"/>
      <w:bookmarkStart w:id="7455" w:name="_Toc522211956"/>
      <w:bookmarkStart w:id="7456" w:name="_Toc522212698"/>
      <w:bookmarkStart w:id="7457" w:name="_Toc522279733"/>
      <w:bookmarkStart w:id="7458" w:name="_Toc522279734"/>
      <w:bookmarkStart w:id="7459" w:name="_Toc17934207"/>
      <w:bookmarkStart w:id="7460" w:name="_Toc50150386"/>
      <w:bookmarkStart w:id="7461" w:name="_Toc70886818"/>
      <w:bookmarkStart w:id="7462" w:name="_Toc108342366"/>
      <w:bookmarkStart w:id="7463" w:name="_Toc134197907"/>
      <w:bookmarkEnd w:id="7449"/>
      <w:bookmarkEnd w:id="7450"/>
      <w:bookmarkEnd w:id="7451"/>
      <w:bookmarkEnd w:id="7452"/>
      <w:bookmarkEnd w:id="7453"/>
      <w:bookmarkEnd w:id="7454"/>
      <w:bookmarkEnd w:id="7455"/>
      <w:bookmarkEnd w:id="7456"/>
      <w:bookmarkEnd w:id="7457"/>
      <w:r w:rsidRPr="00E05E29">
        <w:t>Large walls</w:t>
      </w:r>
      <w:bookmarkEnd w:id="7458"/>
      <w:bookmarkEnd w:id="7459"/>
      <w:bookmarkEnd w:id="7460"/>
      <w:bookmarkEnd w:id="7461"/>
      <w:bookmarkEnd w:id="7462"/>
      <w:bookmarkEnd w:id="7463"/>
    </w:p>
    <w:p w14:paraId="16FC432A" w14:textId="77777777" w:rsidR="00881E88" w:rsidRPr="00E05E29" w:rsidRDefault="00881E88" w:rsidP="00881E88">
      <w:pPr>
        <w:pStyle w:val="Heading3"/>
      </w:pPr>
      <w:bookmarkStart w:id="7464" w:name="_Toc522279735"/>
      <w:bookmarkStart w:id="7465" w:name="_Toc17934208"/>
      <w:bookmarkStart w:id="7466" w:name="_Toc50150387"/>
      <w:bookmarkStart w:id="7467" w:name="_Toc70886819"/>
      <w:bookmarkStart w:id="7468" w:name="_Toc108342367"/>
      <w:bookmarkStart w:id="7469" w:name="_Toc134197908"/>
      <w:r w:rsidRPr="00E05E29">
        <w:t>Geometrical provisions</w:t>
      </w:r>
      <w:bookmarkEnd w:id="7464"/>
      <w:bookmarkEnd w:id="7465"/>
      <w:bookmarkEnd w:id="7466"/>
      <w:bookmarkEnd w:id="7467"/>
      <w:bookmarkEnd w:id="7468"/>
      <w:bookmarkEnd w:id="7469"/>
    </w:p>
    <w:p w14:paraId="66A96CBC" w14:textId="02A76965" w:rsidR="00881E88" w:rsidRPr="00E05E29" w:rsidRDefault="00881E88" w:rsidP="0080187E">
      <w:pPr>
        <w:pStyle w:val="Clause"/>
        <w:numPr>
          <w:ilvl w:val="0"/>
          <w:numId w:val="335"/>
        </w:numPr>
      </w:pPr>
      <w:bookmarkStart w:id="7470" w:name="_Hlk54763972"/>
      <w:r w:rsidRPr="00E05E29">
        <w:t xml:space="preserve">Concrete large walls should have a horizontal dimension </w:t>
      </w:r>
      <w:r w:rsidRPr="000B0881">
        <w:rPr>
          <w:i/>
        </w:rPr>
        <w:t>l</w:t>
      </w:r>
      <w:r w:rsidRPr="000B0881">
        <w:rPr>
          <w:vertAlign w:val="subscript"/>
        </w:rPr>
        <w:t>w</w:t>
      </w:r>
      <w:r w:rsidRPr="00E05E29">
        <w:t xml:space="preserve"> at least equal to 4,0 m or to two-thirds of the height of the wall</w:t>
      </w:r>
      <w:r w:rsidRPr="000B0881">
        <w:rPr>
          <w:i/>
        </w:rPr>
        <w:t xml:space="preserve"> h</w:t>
      </w:r>
      <w:r w:rsidRPr="000B0881">
        <w:rPr>
          <w:vertAlign w:val="subscript"/>
        </w:rPr>
        <w:t>w</w:t>
      </w:r>
      <w:r w:rsidRPr="00E05E29">
        <w:t>, whichever is less.</w:t>
      </w:r>
    </w:p>
    <w:bookmarkEnd w:id="7470"/>
    <w:p w14:paraId="0CBD5745" w14:textId="77777777" w:rsidR="00881E88" w:rsidRPr="00E05E29" w:rsidRDefault="00881E88" w:rsidP="00971E73">
      <w:pPr>
        <w:pStyle w:val="Notetext"/>
      </w:pPr>
      <w:r w:rsidRPr="00E05E29">
        <w:t>NOTE</w:t>
      </w:r>
      <w:r w:rsidRPr="00E05E29">
        <w:tab/>
        <w:t>A concrete large wall, due to its dimensions, or to lack-of-fixity at the base, or to connection with large transverse walls cannot form a plastic hinge at the base and plastic hinging cannot be an effective energy dissipation mechanism. It develops limited cracking and non-linear behaviour in the seismic design situation.</w:t>
      </w:r>
    </w:p>
    <w:p w14:paraId="56C9A5EA" w14:textId="6B830761" w:rsidR="00881E88" w:rsidRPr="00E05E29" w:rsidRDefault="00881E88" w:rsidP="00724E4E">
      <w:pPr>
        <w:pStyle w:val="Clause"/>
      </w:pPr>
      <w:r w:rsidRPr="00A443B5">
        <w:rPr>
          <w:rFonts w:eastAsia="Cambria"/>
          <w:bCs/>
        </w:rPr>
        <w:t>10.8.1(3) should</w:t>
      </w:r>
      <w:r w:rsidRPr="00502341">
        <w:rPr>
          <w:rFonts w:eastAsia="Cambria"/>
        </w:rPr>
        <w:t xml:space="preserve"> be a</w:t>
      </w:r>
      <w:r w:rsidRPr="00E05E29">
        <w:t>pplied to large walls.</w:t>
      </w:r>
    </w:p>
    <w:p w14:paraId="10EEF686" w14:textId="180B5585" w:rsidR="00881E88" w:rsidRPr="00E05E29" w:rsidRDefault="00881E88" w:rsidP="00881E88">
      <w:pPr>
        <w:pStyle w:val="Heading3"/>
      </w:pPr>
      <w:bookmarkStart w:id="7471" w:name="_Toc522279736"/>
      <w:bookmarkStart w:id="7472" w:name="_Toc17934209"/>
      <w:bookmarkStart w:id="7473" w:name="_Toc50150388"/>
      <w:bookmarkStart w:id="7474" w:name="_Toc70886820"/>
      <w:bookmarkStart w:id="7475" w:name="_Toc108342368"/>
      <w:bookmarkStart w:id="7476" w:name="_Toc134197909"/>
      <w:r w:rsidRPr="00E05E29">
        <w:t>Design action effects</w:t>
      </w:r>
      <w:bookmarkEnd w:id="7471"/>
      <w:bookmarkEnd w:id="7472"/>
      <w:bookmarkEnd w:id="7473"/>
      <w:bookmarkEnd w:id="7474"/>
      <w:bookmarkEnd w:id="7475"/>
      <w:bookmarkEnd w:id="7476"/>
    </w:p>
    <w:p w14:paraId="3A743777" w14:textId="5A50141F" w:rsidR="00881E88" w:rsidRPr="00E05E29" w:rsidRDefault="00881E88" w:rsidP="0080187E">
      <w:pPr>
        <w:pStyle w:val="Clause"/>
        <w:numPr>
          <w:ilvl w:val="0"/>
          <w:numId w:val="336"/>
        </w:numPr>
      </w:pPr>
      <w:r w:rsidRPr="00E05E29">
        <w:t>The additional dynamic axial forces developing in large walls due to geometrical non-linearities or contact effects, should be taken into account in the SD limit state verification of the wall for bending with axial force.</w:t>
      </w:r>
    </w:p>
    <w:p w14:paraId="1780A055" w14:textId="1D72B11B" w:rsidR="00881E88" w:rsidRPr="00A443B5" w:rsidRDefault="00881E88" w:rsidP="00724E4E">
      <w:pPr>
        <w:pStyle w:val="Clause"/>
      </w:pPr>
      <w:r w:rsidRPr="00E05E29">
        <w:t xml:space="preserve">Unless a response-history non-linear analysis takes into account the </w:t>
      </w:r>
      <w:r w:rsidRPr="00A443B5">
        <w:t>effects listed in (1), the additional dynamic axial forces may be taken as being 50</w:t>
      </w:r>
      <w:r w:rsidR="001C5446">
        <w:t> </w:t>
      </w:r>
      <w:r w:rsidRPr="00A443B5">
        <w:t>% of the axial force due to the gravity loads in the seismic design situation, with a plus or a minus sign, whichever is most unfavourable.</w:t>
      </w:r>
    </w:p>
    <w:p w14:paraId="3C939706" w14:textId="7EF4B694" w:rsidR="00881E88" w:rsidRPr="00A443B5" w:rsidRDefault="00881E88" w:rsidP="00724E4E">
      <w:pPr>
        <w:pStyle w:val="Clause"/>
      </w:pPr>
      <w:r w:rsidRPr="00A443B5">
        <w:t xml:space="preserve">The dynamic axial force in </w:t>
      </w:r>
      <w:r w:rsidRPr="00A443B5">
        <w:rPr>
          <w:rFonts w:eastAsia="Cambria"/>
        </w:rPr>
        <w:t xml:space="preserve">(1) and (2) </w:t>
      </w:r>
      <w:r w:rsidRPr="00A443B5">
        <w:t>may be neglected in cases a) or b), as appropriate:</w:t>
      </w:r>
    </w:p>
    <w:p w14:paraId="05159939" w14:textId="77777777" w:rsidR="00881E88" w:rsidRPr="00A443B5" w:rsidRDefault="00881E88" w:rsidP="0080187E">
      <w:pPr>
        <w:pStyle w:val="List2"/>
        <w:numPr>
          <w:ilvl w:val="0"/>
          <w:numId w:val="131"/>
        </w:numPr>
        <w:spacing w:before="0" w:after="240" w:line="230" w:lineRule="atLeast"/>
        <w:contextualSpacing w:val="0"/>
        <w:rPr>
          <w:rFonts w:eastAsia="Cambria"/>
        </w:rPr>
      </w:pPr>
      <w:r w:rsidRPr="00A443B5">
        <w:t xml:space="preserve">if the force-based approach is used and the behaviour factor </w:t>
      </w:r>
      <w:r w:rsidRPr="00A443B5">
        <w:rPr>
          <w:i/>
          <w:iCs/>
        </w:rPr>
        <w:t>q</w:t>
      </w:r>
      <w:r w:rsidRPr="00A443B5">
        <w:t xml:space="preserve"> does not exceed 2,0;</w:t>
      </w:r>
    </w:p>
    <w:p w14:paraId="28A3E398" w14:textId="54011546" w:rsidR="00881E88" w:rsidRPr="00A443B5" w:rsidRDefault="00881E88" w:rsidP="0080187E">
      <w:pPr>
        <w:pStyle w:val="List2"/>
        <w:numPr>
          <w:ilvl w:val="0"/>
          <w:numId w:val="131"/>
        </w:numPr>
        <w:tabs>
          <w:tab w:val="num" w:pos="0"/>
        </w:tabs>
        <w:spacing w:before="0" w:after="240" w:line="230" w:lineRule="atLeast"/>
        <w:contextualSpacing w:val="0"/>
      </w:pPr>
      <w:r w:rsidRPr="00A443B5">
        <w:t>if the displacement-based approach is used and the geometrical non-linearity not accounted for, if the displacement on the force-displacement curve does not exceed 150</w:t>
      </w:r>
      <w:r w:rsidR="001C5446">
        <w:t> </w:t>
      </w:r>
      <w:r w:rsidRPr="00A443B5">
        <w:t>% of the elastic limit, as defined in pr</w:t>
      </w:r>
      <w:r w:rsidR="00C30FF9">
        <w:t>EN 1</w:t>
      </w:r>
      <w:r w:rsidRPr="00A443B5">
        <w:t>998-1-1, 6.5.3.</w:t>
      </w:r>
    </w:p>
    <w:p w14:paraId="325F076D" w14:textId="672D5D2B" w:rsidR="00881E88" w:rsidRPr="00A443B5" w:rsidRDefault="00881E88" w:rsidP="00724E4E">
      <w:pPr>
        <w:pStyle w:val="Clause"/>
      </w:pPr>
      <w:r w:rsidRPr="00A443B5">
        <w:t xml:space="preserve">To ensure that flexural yielding precedes attainment of the SD limit state in shear, the shear force </w:t>
      </w:r>
      <m:oMath>
        <m:sSubSup>
          <m:sSubSupPr>
            <m:ctrlPr>
              <w:rPr>
                <w:rFonts w:ascii="Cambria Math" w:hAnsi="Cambria Math"/>
                <w:i/>
              </w:rPr>
            </m:ctrlPr>
          </m:sSubSupPr>
          <m:e>
            <m:r>
              <w:rPr>
                <w:rFonts w:ascii="Cambria Math" w:hAnsi="Cambria Math"/>
              </w:rPr>
              <m:t>V</m:t>
            </m:r>
          </m:e>
          <m:sub>
            <m:r>
              <m:rPr>
                <m:sty m:val="p"/>
              </m:rPr>
              <w:rPr>
                <w:rFonts w:ascii="Cambria Math" w:hAnsi="Cambria Math"/>
              </w:rPr>
              <m:t>Ed</m:t>
            </m:r>
          </m:sub>
          <m:sup>
            <m:r>
              <w:rPr>
                <w:rFonts w:ascii="Cambria Math" w:hAnsi="Cambria Math"/>
              </w:rPr>
              <m:t>'</m:t>
            </m:r>
          </m:sup>
        </m:sSubSup>
      </m:oMath>
      <w:r w:rsidRPr="00A443B5">
        <w:t xml:space="preserve"> from the analysis should be increased.</w:t>
      </w:r>
    </w:p>
    <w:p w14:paraId="02ACA5D6" w14:textId="4EEC6016" w:rsidR="00881E88" w:rsidRPr="00A443B5" w:rsidRDefault="00881E88" w:rsidP="00724E4E">
      <w:pPr>
        <w:pStyle w:val="Clause"/>
      </w:pPr>
      <w:r w:rsidRPr="00A443B5">
        <w:t xml:space="preserve">(4) may be considered satisfied if at every storey of the wall the design shear force </w:t>
      </w:r>
      <w:r w:rsidRPr="00A443B5">
        <w:rPr>
          <w:i/>
          <w:iCs/>
        </w:rPr>
        <w:t>V</w:t>
      </w:r>
      <w:r w:rsidRPr="00A443B5">
        <w:rPr>
          <w:vertAlign w:val="subscript"/>
        </w:rPr>
        <w:t>Ed</w:t>
      </w:r>
      <w:r w:rsidRPr="00A443B5">
        <w:t xml:space="preserve"> is obtained from a) or b), as appropriate:</w:t>
      </w:r>
    </w:p>
    <w:p w14:paraId="3462AFED" w14:textId="77777777" w:rsidR="00881E88" w:rsidRPr="00E05E29" w:rsidRDefault="00881E88" w:rsidP="0080187E">
      <w:pPr>
        <w:pStyle w:val="List2"/>
        <w:numPr>
          <w:ilvl w:val="0"/>
          <w:numId w:val="132"/>
        </w:numPr>
        <w:spacing w:before="0" w:after="240" w:line="230" w:lineRule="atLeast"/>
        <w:contextualSpacing w:val="0"/>
      </w:pPr>
      <w:r w:rsidRPr="00644C3D">
        <w:t>In the force-based approach, using</w:t>
      </w:r>
      <w:r w:rsidRPr="00E05E29">
        <w:t xml:space="preserve"> Formula (10.</w:t>
      </w:r>
      <w:r>
        <w:t>1</w:t>
      </w:r>
      <w:r w:rsidRPr="00E05E29">
        <w:t>6).</w:t>
      </w:r>
    </w:p>
    <w:p w14:paraId="39DDBB1B" w14:textId="057C14C7" w:rsidR="006224E0" w:rsidRPr="00870D59" w:rsidRDefault="009B5CEC" w:rsidP="006224E0">
      <w:pPr>
        <w:pStyle w:val="Formula"/>
        <w:spacing w:before="240"/>
      </w:pPr>
      <m:oMath>
        <m:sSub>
          <m:sSubPr>
            <m:ctrlPr>
              <w:rPr>
                <w:rFonts w:ascii="Cambria Math" w:hAnsi="Cambria Math"/>
              </w:rPr>
            </m:ctrlPr>
          </m:sSubPr>
          <m:e>
            <m:r>
              <w:rPr>
                <w:rFonts w:ascii="Cambria Math" w:hAnsi="Cambria Math"/>
              </w:rPr>
              <m:t>V</m:t>
            </m:r>
          </m:e>
          <m:sub>
            <m:r>
              <m:rPr>
                <m:sty m:val="p"/>
              </m:rPr>
              <w:rPr>
                <w:rFonts w:ascii="Cambria Math" w:hAnsi="Cambria Math"/>
              </w:rPr>
              <m:t>Ed</m:t>
            </m:r>
          </m:sub>
        </m:sSub>
        <m:r>
          <w:rPr>
            <w:rFonts w:ascii="Cambria Math" w:hAnsi="Cambria Math"/>
          </w:rPr>
          <m:t>=</m:t>
        </m:r>
        <m:f>
          <m:fPr>
            <m:ctrlPr>
              <w:rPr>
                <w:rFonts w:ascii="Cambria Math" w:hAnsi="Cambria Math"/>
              </w:rPr>
            </m:ctrlPr>
          </m:fPr>
          <m:num>
            <m:r>
              <w:rPr>
                <w:rFonts w:ascii="Cambria Math" w:hAnsi="Cambria Math"/>
              </w:rPr>
              <m:t>q+1</m:t>
            </m:r>
          </m:num>
          <m:den>
            <m:r>
              <w:rPr>
                <w:rFonts w:ascii="Cambria Math" w:hAnsi="Cambria Math"/>
              </w:rPr>
              <m:t>2</m:t>
            </m:r>
          </m:den>
        </m:f>
        <m:sSubSup>
          <m:sSubSupPr>
            <m:ctrlPr>
              <w:rPr>
                <w:rFonts w:ascii="Cambria Math" w:hAnsi="Cambria Math"/>
              </w:rPr>
            </m:ctrlPr>
          </m:sSubSupPr>
          <m:e>
            <m:r>
              <w:rPr>
                <w:rFonts w:ascii="Cambria Math" w:hAnsi="Cambria Math"/>
              </w:rPr>
              <m:t>V</m:t>
            </m:r>
          </m:e>
          <m:sub>
            <m:r>
              <m:rPr>
                <m:sty m:val="p"/>
              </m:rPr>
              <w:rPr>
                <w:rFonts w:ascii="Cambria Math" w:hAnsi="Cambria Math"/>
              </w:rPr>
              <m:t>Ed</m:t>
            </m:r>
          </m:sub>
          <m:sup>
            <m:r>
              <w:rPr>
                <w:rFonts w:ascii="Cambria Math" w:hAnsi="Cambria Math"/>
              </w:rPr>
              <m:t>'</m:t>
            </m:r>
          </m:sup>
        </m:sSubSup>
      </m:oMath>
      <w:r w:rsidR="006224E0" w:rsidRPr="00870D59">
        <w:tab/>
        <w:t>(10.</w:t>
      </w:r>
      <w:r w:rsidR="006224E0">
        <w:t>16</w:t>
      </w:r>
      <w:r w:rsidR="006224E0" w:rsidRPr="00870D59">
        <w:t>)</w:t>
      </w:r>
    </w:p>
    <w:p w14:paraId="736A7A93" w14:textId="77777777" w:rsidR="006224E0" w:rsidRPr="00D1484A" w:rsidRDefault="006224E0" w:rsidP="0080187E">
      <w:pPr>
        <w:pStyle w:val="List2"/>
        <w:numPr>
          <w:ilvl w:val="0"/>
          <w:numId w:val="132"/>
        </w:numPr>
        <w:tabs>
          <w:tab w:val="num" w:pos="0"/>
        </w:tabs>
        <w:spacing w:before="0" w:after="240" w:line="230" w:lineRule="atLeast"/>
        <w:contextualSpacing w:val="0"/>
      </w:pPr>
      <w:r w:rsidRPr="00D1484A">
        <w:t>In the displacement-based approach</w:t>
      </w:r>
      <w:r w:rsidRPr="001457E2">
        <w:t xml:space="preserve">, the amplification factor should be taken as </w:t>
      </w:r>
      <w:r w:rsidRPr="001457E2">
        <w:rPr>
          <w:rFonts w:ascii="Symbol" w:hAnsi="Symbol"/>
          <w:i/>
          <w:iCs/>
        </w:rPr>
        <w:t></w:t>
      </w:r>
      <w:r w:rsidRPr="001457E2">
        <w:rPr>
          <w:vertAlign w:val="subscript"/>
        </w:rPr>
        <w:t>Rd</w:t>
      </w:r>
      <w:r w:rsidRPr="001457E2">
        <w:t> = 1,3.</w:t>
      </w:r>
    </w:p>
    <w:p w14:paraId="56ED6179" w14:textId="28DAC524" w:rsidR="006224E0" w:rsidRPr="00E05E29" w:rsidRDefault="006224E0" w:rsidP="00724E4E">
      <w:pPr>
        <w:pStyle w:val="Clause"/>
      </w:pPr>
      <w:r w:rsidRPr="00D1484A">
        <w:t xml:space="preserve">When using a non-linear static analysis of large walls structures, the elastic stiffness </w:t>
      </w:r>
      <w:r w:rsidRPr="00502341">
        <w:rPr>
          <w:i/>
          <w:iCs/>
        </w:rPr>
        <w:t>k</w:t>
      </w:r>
      <w:r w:rsidRPr="00D1484A">
        <w:t>* of a bilinear ideal</w:t>
      </w:r>
      <w:r w:rsidR="00E10A24">
        <w:t>iza</w:t>
      </w:r>
      <w:r w:rsidRPr="00D1484A">
        <w:t xml:space="preserve">tion as in </w:t>
      </w:r>
      <w:r>
        <w:t>prEN</w:t>
      </w:r>
      <w:r w:rsidR="00A443B5">
        <w:t> </w:t>
      </w:r>
      <w:r>
        <w:t>1998-1-1:</w:t>
      </w:r>
      <w:r w:rsidRPr="00A443B5">
        <w:t>2022, 6.5.3(2), should</w:t>
      </w:r>
      <w:r w:rsidRPr="00E05E29">
        <w:t xml:space="preserve"> correspond to their uncracked stiffness.</w:t>
      </w:r>
    </w:p>
    <w:p w14:paraId="6BC13366" w14:textId="74E087FF" w:rsidR="006224E0" w:rsidRPr="002144A0" w:rsidRDefault="006224E0" w:rsidP="006224E0">
      <w:pPr>
        <w:pStyle w:val="Heading3"/>
      </w:pPr>
      <w:bookmarkStart w:id="7477" w:name="_Toc16091418"/>
      <w:bookmarkStart w:id="7478" w:name="_Toc16531657"/>
      <w:bookmarkStart w:id="7479" w:name="_Toc16590515"/>
      <w:bookmarkStart w:id="7480" w:name="_Toc16598376"/>
      <w:bookmarkStart w:id="7481" w:name="_Toc522279737"/>
      <w:bookmarkStart w:id="7482" w:name="_Toc17934210"/>
      <w:bookmarkStart w:id="7483" w:name="_Toc50150389"/>
      <w:bookmarkStart w:id="7484" w:name="_Toc70886821"/>
      <w:bookmarkStart w:id="7485" w:name="_Toc108342369"/>
      <w:bookmarkStart w:id="7486" w:name="_Toc134197910"/>
      <w:bookmarkEnd w:id="7477"/>
      <w:bookmarkEnd w:id="7478"/>
      <w:bookmarkEnd w:id="7479"/>
      <w:bookmarkEnd w:id="7480"/>
      <w:r w:rsidRPr="00196951">
        <w:lastRenderedPageBreak/>
        <w:t xml:space="preserve">SD limit state </w:t>
      </w:r>
      <w:r w:rsidRPr="002144A0">
        <w:t>verifications and detailing</w:t>
      </w:r>
      <w:bookmarkEnd w:id="7481"/>
      <w:bookmarkEnd w:id="7482"/>
      <w:bookmarkEnd w:id="7483"/>
      <w:bookmarkEnd w:id="7484"/>
      <w:bookmarkEnd w:id="7485"/>
      <w:bookmarkEnd w:id="7486"/>
    </w:p>
    <w:p w14:paraId="6DDDC517" w14:textId="77777777" w:rsidR="006224E0" w:rsidRPr="00C52095" w:rsidRDefault="006224E0" w:rsidP="006224E0">
      <w:pPr>
        <w:pStyle w:val="Heading4"/>
      </w:pPr>
      <w:bookmarkStart w:id="7487" w:name="_Toc522279738"/>
      <w:bookmarkStart w:id="7488" w:name="_Toc108342370"/>
      <w:r w:rsidRPr="00C52095">
        <w:t>Resistance in bending</w:t>
      </w:r>
      <w:bookmarkEnd w:id="7487"/>
      <w:bookmarkEnd w:id="7488"/>
    </w:p>
    <w:p w14:paraId="6FDEF911" w14:textId="5931BA12" w:rsidR="006224E0" w:rsidRPr="00A443B5" w:rsidRDefault="006224E0" w:rsidP="0080187E">
      <w:pPr>
        <w:pStyle w:val="Clause"/>
        <w:numPr>
          <w:ilvl w:val="0"/>
          <w:numId w:val="337"/>
        </w:numPr>
        <w:rPr>
          <w:bCs/>
        </w:rPr>
      </w:pPr>
      <w:r w:rsidRPr="00E60A1F">
        <w:t xml:space="preserve">The SD limit state in bending with axial force should be verified according to </w:t>
      </w:r>
      <w:r w:rsidR="001C5446">
        <w:t>p</w:t>
      </w:r>
      <w:r w:rsidR="0026060E">
        <w:t>rEN 1992-1-1:2021</w:t>
      </w:r>
      <w:r w:rsidRPr="00E60A1F">
        <w:t xml:space="preserve">, </w:t>
      </w:r>
      <w:r w:rsidRPr="00A443B5">
        <w:rPr>
          <w:bCs/>
        </w:rPr>
        <w:t>8.1.</w:t>
      </w:r>
    </w:p>
    <w:p w14:paraId="5805E8CD" w14:textId="73AF44F2" w:rsidR="006224E0" w:rsidRPr="00E60A1F" w:rsidRDefault="006224E0" w:rsidP="00724E4E">
      <w:pPr>
        <w:pStyle w:val="Clause"/>
      </w:pPr>
      <w:r w:rsidRPr="00E60A1F">
        <w:t>Normal stresses in the concrete shall be limited, to prevent out-of-plane instability of the wall.</w:t>
      </w:r>
    </w:p>
    <w:p w14:paraId="75C0E267" w14:textId="6C586ED9" w:rsidR="006224E0" w:rsidRPr="00A443B5" w:rsidRDefault="006224E0" w:rsidP="00724E4E">
      <w:pPr>
        <w:pStyle w:val="Clause"/>
        <w:rPr>
          <w:bCs/>
        </w:rPr>
      </w:pPr>
      <w:r w:rsidRPr="00A443B5">
        <w:rPr>
          <w:rFonts w:eastAsia="Cambria"/>
          <w:bCs/>
        </w:rPr>
        <w:t>(2)</w:t>
      </w:r>
      <w:r w:rsidRPr="00A443B5">
        <w:rPr>
          <w:bCs/>
        </w:rPr>
        <w:t xml:space="preserve"> may be satisfied on the basis of the rules of </w:t>
      </w:r>
      <w:r w:rsidR="00BA7AEE">
        <w:rPr>
          <w:bCs/>
        </w:rPr>
        <w:t>prEN 1992-1-1:202</w:t>
      </w:r>
      <w:r w:rsidR="0026060E">
        <w:rPr>
          <w:bCs/>
        </w:rPr>
        <w:t>1</w:t>
      </w:r>
      <w:r w:rsidRPr="00A443B5">
        <w:rPr>
          <w:bCs/>
        </w:rPr>
        <w:t>, 7.</w:t>
      </w:r>
      <w:r w:rsidR="00F64EFE" w:rsidRPr="00A443B5">
        <w:rPr>
          <w:bCs/>
        </w:rPr>
        <w:t>4</w:t>
      </w:r>
      <w:r w:rsidRPr="00A443B5">
        <w:rPr>
          <w:bCs/>
        </w:rPr>
        <w:t>, for second</w:t>
      </w:r>
      <w:r w:rsidR="00A443B5">
        <w:rPr>
          <w:bCs/>
        </w:rPr>
        <w:t>-</w:t>
      </w:r>
      <w:r w:rsidRPr="00A443B5">
        <w:rPr>
          <w:bCs/>
        </w:rPr>
        <w:t>order effects.</w:t>
      </w:r>
    </w:p>
    <w:p w14:paraId="03BA72C5" w14:textId="4225A993" w:rsidR="006224E0" w:rsidRPr="00E60A1F" w:rsidRDefault="006224E0" w:rsidP="00724E4E">
      <w:pPr>
        <w:pStyle w:val="Clause"/>
      </w:pPr>
      <w:r w:rsidRPr="00A443B5">
        <w:rPr>
          <w:bCs/>
        </w:rPr>
        <w:t xml:space="preserve">In the SD limit state, verification for bending with axial force taking into account the dynamic axial force defined in </w:t>
      </w:r>
      <w:r w:rsidRPr="00A443B5">
        <w:rPr>
          <w:rFonts w:eastAsia="Cambria"/>
          <w:bCs/>
        </w:rPr>
        <w:t>10.9.2(1) and (2) may be performed in modifying the mean strain in the section, while keeping constant the curvature;</w:t>
      </w:r>
      <w:r w:rsidRPr="00A443B5">
        <w:rPr>
          <w:bCs/>
        </w:rPr>
        <w:t xml:space="preserve"> the limiting strain </w:t>
      </w:r>
      <w:r w:rsidRPr="00A443B5">
        <w:rPr>
          <w:bCs/>
          <w:i/>
          <w:iCs/>
        </w:rPr>
        <w:t>ε</w:t>
      </w:r>
      <w:r w:rsidRPr="00A443B5">
        <w:rPr>
          <w:bCs/>
          <w:sz w:val="16"/>
          <w:szCs w:val="16"/>
          <w:vertAlign w:val="subscript"/>
        </w:rPr>
        <w:t>cu</w:t>
      </w:r>
      <w:r w:rsidRPr="00A443B5">
        <w:rPr>
          <w:bCs/>
          <w:sz w:val="16"/>
          <w:szCs w:val="16"/>
        </w:rPr>
        <w:t xml:space="preserve"> </w:t>
      </w:r>
      <w:r w:rsidRPr="00A443B5">
        <w:rPr>
          <w:bCs/>
        </w:rPr>
        <w:t xml:space="preserve">may be increased to a greater value in accordance with </w:t>
      </w:r>
      <w:r w:rsidR="001C5446">
        <w:rPr>
          <w:bCs/>
        </w:rPr>
        <w:t>p</w:t>
      </w:r>
      <w:r w:rsidR="0026060E">
        <w:rPr>
          <w:bCs/>
        </w:rPr>
        <w:t>rEN 1992-1-1:20211</w:t>
      </w:r>
      <w:r w:rsidRPr="00A443B5">
        <w:rPr>
          <w:bCs/>
        </w:rPr>
        <w:t xml:space="preserve">, </w:t>
      </w:r>
      <w:r w:rsidRPr="00A443B5">
        <w:rPr>
          <w:rFonts w:eastAsia="Cambria"/>
          <w:bCs/>
        </w:rPr>
        <w:t>8.1.4</w:t>
      </w:r>
      <w:r w:rsidRPr="00A443B5">
        <w:rPr>
          <w:bCs/>
        </w:rPr>
        <w:t>, provided</w:t>
      </w:r>
      <w:r w:rsidRPr="00E60A1F">
        <w:t xml:space="preserve"> that spalling of the unconfined concrete cover is taken into account in the verification.</w:t>
      </w:r>
    </w:p>
    <w:p w14:paraId="22D1B208" w14:textId="3AFC3A27" w:rsidR="006224E0" w:rsidRPr="00E60A1F" w:rsidRDefault="006224E0" w:rsidP="006224E0">
      <w:pPr>
        <w:pStyle w:val="Heading4"/>
      </w:pPr>
      <w:bookmarkStart w:id="7489" w:name="_Toc522279739"/>
      <w:bookmarkStart w:id="7490" w:name="_Toc108342371"/>
      <w:r w:rsidRPr="00E60A1F">
        <w:t>Resistance in shear and sliding shear</w:t>
      </w:r>
      <w:bookmarkEnd w:id="7489"/>
      <w:bookmarkEnd w:id="7490"/>
    </w:p>
    <w:p w14:paraId="61A794CD" w14:textId="2A245884" w:rsidR="006224E0" w:rsidRPr="00A443B5" w:rsidRDefault="006224E0" w:rsidP="0080187E">
      <w:pPr>
        <w:pStyle w:val="Clause"/>
        <w:numPr>
          <w:ilvl w:val="0"/>
          <w:numId w:val="338"/>
        </w:numPr>
      </w:pPr>
      <w:r w:rsidRPr="00E60A1F">
        <w:t xml:space="preserve">Wherever the </w:t>
      </w:r>
      <w:r w:rsidRPr="00A443B5">
        <w:t xml:space="preserve">value of </w:t>
      </w:r>
      <w:r w:rsidR="00095ED2" w:rsidRPr="00A443B5">
        <w:rPr>
          <w:i/>
          <w:iCs/>
        </w:rPr>
        <w:t>τ</w:t>
      </w:r>
      <w:r w:rsidRPr="00A443B5">
        <w:rPr>
          <w:vertAlign w:val="subscript"/>
        </w:rPr>
        <w:t>Ed</w:t>
      </w:r>
      <w:r w:rsidRPr="00A443B5">
        <w:t xml:space="preserve"> </w:t>
      </w:r>
      <w:r w:rsidR="00095ED2" w:rsidRPr="00A443B5">
        <w:t xml:space="preserve">calculated </w:t>
      </w:r>
      <w:r w:rsidRPr="00A443B5">
        <w:t xml:space="preserve">from </w:t>
      </w:r>
      <w:r w:rsidR="00095ED2" w:rsidRPr="00A443B5">
        <w:rPr>
          <w:i/>
          <w:iCs/>
        </w:rPr>
        <w:t>V</w:t>
      </w:r>
      <w:r w:rsidR="00095ED2" w:rsidRPr="00A443B5">
        <w:rPr>
          <w:vertAlign w:val="subscript"/>
        </w:rPr>
        <w:t>Ed</w:t>
      </w:r>
      <w:r w:rsidR="00095ED2" w:rsidRPr="00A443B5">
        <w:t xml:space="preserve"> in </w:t>
      </w:r>
      <w:r w:rsidRPr="00A443B5">
        <w:rPr>
          <w:rFonts w:eastAsia="Cambria"/>
        </w:rPr>
        <w:t>10.9.2(5)</w:t>
      </w:r>
      <w:r w:rsidR="00095ED2" w:rsidRPr="00A443B5">
        <w:t xml:space="preserve"> in accordance with </w:t>
      </w:r>
      <w:r w:rsidR="00BA7AEE">
        <w:t>prEN 1992-1-1:202</w:t>
      </w:r>
      <w:r w:rsidR="0026060E">
        <w:t>1</w:t>
      </w:r>
      <w:r w:rsidR="00095ED2" w:rsidRPr="00A443B5">
        <w:t xml:space="preserve">, 8.2.1(3) </w:t>
      </w:r>
      <w:r w:rsidRPr="00A443B5">
        <w:t xml:space="preserve">is less than the design value of shear resistance without shear reinforcement, </w:t>
      </w:r>
      <w:r w:rsidR="00095ED2" w:rsidRPr="00A443B5">
        <w:rPr>
          <w:i/>
          <w:iCs/>
        </w:rPr>
        <w:t>τ</w:t>
      </w:r>
      <w:r w:rsidRPr="00A443B5">
        <w:rPr>
          <w:vertAlign w:val="subscript"/>
        </w:rPr>
        <w:t>Rd,c</w:t>
      </w:r>
      <w:r w:rsidRPr="00A443B5">
        <w:t xml:space="preserve"> in </w:t>
      </w:r>
      <w:r w:rsidR="001C5446">
        <w:t>p</w:t>
      </w:r>
      <w:r w:rsidR="0026060E">
        <w:t>rEN</w:t>
      </w:r>
      <w:r w:rsidR="001C5446">
        <w:t> </w:t>
      </w:r>
      <w:r w:rsidR="0026060E">
        <w:t>1992</w:t>
      </w:r>
      <w:r w:rsidR="001C5446">
        <w:noBreakHyphen/>
      </w:r>
      <w:r w:rsidR="0026060E">
        <w:t>1-1:2021</w:t>
      </w:r>
      <w:r w:rsidRPr="00A443B5">
        <w:t xml:space="preserve">, </w:t>
      </w:r>
      <w:r w:rsidRPr="00A443B5">
        <w:rPr>
          <w:rFonts w:eastAsia="Cambria"/>
        </w:rPr>
        <w:t>8.2</w:t>
      </w:r>
      <w:r w:rsidRPr="00A443B5">
        <w:t xml:space="preserve">, the web minimum shear reinforcement ratio </w:t>
      </w:r>
      <w:r w:rsidRPr="00A443B5">
        <w:rPr>
          <w:i/>
          <w:iCs/>
        </w:rPr>
        <w:t>ρ</w:t>
      </w:r>
      <w:r w:rsidRPr="00A443B5">
        <w:rPr>
          <w:vertAlign w:val="subscript"/>
        </w:rPr>
        <w:t>w,min</w:t>
      </w:r>
      <w:r w:rsidRPr="00A443B5">
        <w:t xml:space="preserve"> may be omitted.</w:t>
      </w:r>
    </w:p>
    <w:p w14:paraId="750469A4" w14:textId="77777777" w:rsidR="006224E0" w:rsidRPr="00A443B5" w:rsidRDefault="006224E0" w:rsidP="003E2D3E">
      <w:pPr>
        <w:pStyle w:val="Notetext"/>
      </w:pPr>
      <w:r w:rsidRPr="00A443B5">
        <w:t>NOTE</w:t>
      </w:r>
      <w:r w:rsidRPr="00A443B5">
        <w:tab/>
        <w:t xml:space="preserve">This is due to the safety margin provided by the magnification of design shear forces in </w:t>
      </w:r>
      <w:r w:rsidRPr="00A443B5">
        <w:rPr>
          <w:rFonts w:ascii="AOAJGP+TimesNewRoman,Bold" w:hAnsi="AOAJGP+TimesNewRoman,Bold" w:cs="AOAJGP+TimesNewRoman,Bold"/>
        </w:rPr>
        <w:t>10.9.2(4)</w:t>
      </w:r>
      <w:r w:rsidRPr="00A443B5">
        <w:t xml:space="preserve"> and </w:t>
      </w:r>
      <w:r w:rsidRPr="00A443B5">
        <w:rPr>
          <w:rFonts w:ascii="AOAJGP+TimesNewRoman,Bold" w:hAnsi="AOAJGP+TimesNewRoman,Bold" w:cs="AOAJGP+TimesNewRoman,Bold"/>
        </w:rPr>
        <w:t xml:space="preserve">(5) </w:t>
      </w:r>
      <w:r w:rsidRPr="00A443B5">
        <w:t>and because the response (including possible inclined cracking) is deformation controlled.</w:t>
      </w:r>
    </w:p>
    <w:p w14:paraId="4555AB5E" w14:textId="52DD50B3" w:rsidR="006224E0" w:rsidRPr="00A443B5" w:rsidRDefault="006224E0" w:rsidP="00724E4E">
      <w:pPr>
        <w:pStyle w:val="Clause"/>
      </w:pPr>
      <w:r w:rsidRPr="00A443B5">
        <w:t xml:space="preserve">Wherever the condition </w:t>
      </w:r>
      <w:r w:rsidR="00095ED2" w:rsidRPr="00A443B5">
        <w:rPr>
          <w:i/>
          <w:iCs/>
        </w:rPr>
        <w:t>τ</w:t>
      </w:r>
      <w:r w:rsidRPr="00A443B5">
        <w:rPr>
          <w:vertAlign w:val="subscript"/>
        </w:rPr>
        <w:t>Ed</w:t>
      </w:r>
      <w:r w:rsidRPr="00A443B5">
        <w:t xml:space="preserve"> ≤ </w:t>
      </w:r>
      <w:r w:rsidR="00095ED2" w:rsidRPr="00A443B5">
        <w:rPr>
          <w:i/>
          <w:iCs/>
        </w:rPr>
        <w:t>τ</w:t>
      </w:r>
      <w:r w:rsidRPr="00A443B5">
        <w:rPr>
          <w:vertAlign w:val="subscript"/>
        </w:rPr>
        <w:t>Rd,c</w:t>
      </w:r>
      <w:r w:rsidRPr="00A443B5">
        <w:t xml:space="preserve"> is not fulfilled, web shear reinforcement should be calculated in accordance with </w:t>
      </w:r>
      <w:r w:rsidR="00BA7AEE">
        <w:t>prEN 1992-1-1:202</w:t>
      </w:r>
      <w:r w:rsidR="0026060E">
        <w:t>1</w:t>
      </w:r>
      <w:r w:rsidRPr="00A443B5">
        <w:t>, 8.2.3, on the basis of a variable inclination truss model, or a strut-and-tie model, whichever is most appropriate for the particular geometry of the wall.</w:t>
      </w:r>
    </w:p>
    <w:p w14:paraId="029C197B" w14:textId="0359B8EE" w:rsidR="006224E0" w:rsidRPr="00A443B5" w:rsidRDefault="006224E0" w:rsidP="00724E4E">
      <w:pPr>
        <w:pStyle w:val="Clause"/>
      </w:pPr>
      <w:r w:rsidRPr="00A443B5">
        <w:t>If a strut-and-tie model is used, the strut width should take into account any openings in the wall and should not exceed 0,25</w:t>
      </w:r>
      <w:r w:rsidRPr="00A443B5">
        <w:rPr>
          <w:i/>
        </w:rPr>
        <w:t>l</w:t>
      </w:r>
      <w:r w:rsidRPr="00A443B5">
        <w:rPr>
          <w:vertAlign w:val="subscript"/>
        </w:rPr>
        <w:t>w</w:t>
      </w:r>
      <w:r w:rsidRPr="00A443B5">
        <w:t xml:space="preserve"> or 4</w:t>
      </w:r>
      <w:r w:rsidRPr="00A443B5">
        <w:rPr>
          <w:i/>
        </w:rPr>
        <w:t>b</w:t>
      </w:r>
      <w:r w:rsidRPr="00A443B5">
        <w:rPr>
          <w:vertAlign w:val="subscript"/>
        </w:rPr>
        <w:t>w0</w:t>
      </w:r>
      <w:r w:rsidRPr="00A443B5">
        <w:t xml:space="preserve">, whichever is smaller, where </w:t>
      </w:r>
      <w:r w:rsidRPr="00A443B5">
        <w:rPr>
          <w:i/>
        </w:rPr>
        <w:t>l</w:t>
      </w:r>
      <w:r w:rsidRPr="00A443B5">
        <w:rPr>
          <w:vertAlign w:val="subscript"/>
        </w:rPr>
        <w:t>w</w:t>
      </w:r>
      <w:r w:rsidRPr="00A443B5">
        <w:t xml:space="preserve"> is the wall length and </w:t>
      </w:r>
      <w:r w:rsidRPr="00A443B5">
        <w:rPr>
          <w:i/>
        </w:rPr>
        <w:t>b</w:t>
      </w:r>
      <w:r w:rsidRPr="00A443B5">
        <w:rPr>
          <w:vertAlign w:val="subscript"/>
        </w:rPr>
        <w:t>w0</w:t>
      </w:r>
      <w:r w:rsidRPr="00A443B5">
        <w:t xml:space="preserve"> the web thickness.</w:t>
      </w:r>
    </w:p>
    <w:p w14:paraId="398A3F7A" w14:textId="2FC91709" w:rsidR="006224E0" w:rsidRPr="00502341" w:rsidRDefault="006224E0" w:rsidP="00724E4E">
      <w:pPr>
        <w:pStyle w:val="Clause"/>
        <w:rPr>
          <w:rFonts w:eastAsia="Cambria"/>
        </w:rPr>
      </w:pPr>
      <w:r w:rsidRPr="00A443B5">
        <w:t>prEN</w:t>
      </w:r>
      <w:r w:rsidR="00A443B5">
        <w:t> </w:t>
      </w:r>
      <w:r w:rsidRPr="00A443B5">
        <w:t>1998-1-1:2022, 7.2.3(8), should</w:t>
      </w:r>
      <w:r w:rsidRPr="00132C1E">
        <w:t xml:space="preserve"> be applied.</w:t>
      </w:r>
    </w:p>
    <w:p w14:paraId="07B20338" w14:textId="12720CBF" w:rsidR="006224E0" w:rsidRPr="00132C1E" w:rsidRDefault="006224E0" w:rsidP="006224E0">
      <w:pPr>
        <w:pStyle w:val="Heading4"/>
      </w:pPr>
      <w:bookmarkStart w:id="7491" w:name="_Toc522279740"/>
      <w:bookmarkStart w:id="7492" w:name="_Toc108342372"/>
      <w:r w:rsidRPr="00132C1E">
        <w:t>Detailing for local ductility</w:t>
      </w:r>
      <w:bookmarkEnd w:id="7491"/>
      <w:bookmarkEnd w:id="7492"/>
    </w:p>
    <w:p w14:paraId="533221EE" w14:textId="55424C17" w:rsidR="006224E0" w:rsidRPr="00132C1E" w:rsidRDefault="006224E0" w:rsidP="0080187E">
      <w:pPr>
        <w:pStyle w:val="Clause"/>
        <w:numPr>
          <w:ilvl w:val="0"/>
          <w:numId w:val="339"/>
        </w:numPr>
      </w:pPr>
      <w:r w:rsidRPr="00132C1E">
        <w:t>The amount of vertical reinforcement placed in the wall should not unnecessarily exceed the amount required for the verification of the SD limit state in flexure with axial load and for the integrity of concrete.</w:t>
      </w:r>
    </w:p>
    <w:p w14:paraId="454C9634" w14:textId="157B521E" w:rsidR="006224E0" w:rsidRPr="00A443B5" w:rsidRDefault="006224E0" w:rsidP="00724E4E">
      <w:pPr>
        <w:pStyle w:val="Clause"/>
      </w:pPr>
      <w:r w:rsidRPr="00132C1E">
        <w:t xml:space="preserve">The wall </w:t>
      </w:r>
      <w:r w:rsidRPr="00A443B5">
        <w:t xml:space="preserve">vertical reinforcement should be at least the minimal reinforcement of flexural members given in </w:t>
      </w:r>
      <w:r w:rsidR="001C5446">
        <w:t>p</w:t>
      </w:r>
      <w:r w:rsidR="0026060E">
        <w:t>rEN 1992-1-1:2021</w:t>
      </w:r>
      <w:r w:rsidRPr="00A443B5">
        <w:t>, 12.</w:t>
      </w:r>
      <w:r w:rsidR="00095ED2" w:rsidRPr="00A443B5">
        <w:t>2</w:t>
      </w:r>
      <w:r w:rsidRPr="00A443B5">
        <w:t>(2) and (3), or the minimum vertical wall reinforcement given in prEN</w:t>
      </w:r>
      <w:r w:rsidR="001C5446">
        <w:t> </w:t>
      </w:r>
      <w:r w:rsidRPr="00A443B5">
        <w:t>1992-1-1:202</w:t>
      </w:r>
      <w:r w:rsidR="00AE173D" w:rsidRPr="00A443B5">
        <w:t>2</w:t>
      </w:r>
      <w:r w:rsidRPr="00A443B5">
        <w:t>, 12.</w:t>
      </w:r>
      <w:r w:rsidR="00AE173D" w:rsidRPr="00A443B5">
        <w:t>7(2) and (3)</w:t>
      </w:r>
      <w:r w:rsidRPr="00A443B5">
        <w:t>, whichever is greater.</w:t>
      </w:r>
    </w:p>
    <w:p w14:paraId="262B3491" w14:textId="720FDC3B" w:rsidR="006224E0" w:rsidRPr="00132C1E" w:rsidRDefault="006224E0" w:rsidP="00724E4E">
      <w:pPr>
        <w:pStyle w:val="Clause"/>
      </w:pPr>
      <w:r w:rsidRPr="00A443B5">
        <w:t>Vertical bars for the verification of the SD</w:t>
      </w:r>
      <w:r w:rsidRPr="00132C1E">
        <w:t xml:space="preserve"> limit state in bending with axial force should be concentrated in boundary elements at the ends of the cross-section. These boundary elements should extend in the direction of the length </w:t>
      </w:r>
      <w:r w:rsidRPr="00502341">
        <w:rPr>
          <w:i/>
          <w:iCs/>
        </w:rPr>
        <w:t>l</w:t>
      </w:r>
      <w:r w:rsidRPr="00502341">
        <w:rPr>
          <w:vertAlign w:val="subscript"/>
        </w:rPr>
        <w:t>w</w:t>
      </w:r>
      <w:r w:rsidRPr="00132C1E">
        <w:t xml:space="preserve"> over a length not smaller than </w:t>
      </w:r>
      <w:r w:rsidRPr="00502341">
        <w:rPr>
          <w:i/>
          <w:iCs/>
        </w:rPr>
        <w:t>b</w:t>
      </w:r>
      <w:r w:rsidRPr="00502341">
        <w:rPr>
          <w:vertAlign w:val="subscript"/>
        </w:rPr>
        <w:t>w0</w:t>
      </w:r>
      <w:r w:rsidRPr="00132C1E">
        <w:t xml:space="preserve"> or 3</w:t>
      </w:r>
      <w:r w:rsidRPr="00502341">
        <w:rPr>
          <w:i/>
          <w:iCs/>
        </w:rPr>
        <w:t>b</w:t>
      </w:r>
      <w:r w:rsidRPr="00502341">
        <w:rPr>
          <w:vertAlign w:val="subscript"/>
        </w:rPr>
        <w:t>w0</w:t>
      </w:r>
      <w:r w:rsidRPr="00502341">
        <w:rPr>
          <w:i/>
          <w:iCs/>
        </w:rPr>
        <w:t>σ</w:t>
      </w:r>
      <w:r w:rsidRPr="00502341">
        <w:rPr>
          <w:vertAlign w:val="subscript"/>
        </w:rPr>
        <w:t>cm/</w:t>
      </w:r>
      <w:r w:rsidRPr="00502341">
        <w:rPr>
          <w:i/>
          <w:iCs/>
        </w:rPr>
        <w:t>f</w:t>
      </w:r>
      <w:r w:rsidRPr="00502341">
        <w:rPr>
          <w:vertAlign w:val="subscript"/>
        </w:rPr>
        <w:t>cd</w:t>
      </w:r>
      <w:r w:rsidRPr="00132C1E">
        <w:t xml:space="preserve">, whichever is greater, where </w:t>
      </w:r>
      <w:r w:rsidRPr="00502341">
        <w:rPr>
          <w:i/>
          <w:iCs/>
        </w:rPr>
        <w:t>σ</w:t>
      </w:r>
      <w:r w:rsidRPr="00502341">
        <w:rPr>
          <w:vertAlign w:val="subscript"/>
        </w:rPr>
        <w:t>cm</w:t>
      </w:r>
      <w:r w:rsidRPr="00132C1E">
        <w:t xml:space="preserve"> is the mean value of the concrete stress in the compression zone in the SD limit state of bending with axial force. They should be anchored to develop </w:t>
      </w:r>
      <w:r w:rsidRPr="00502341">
        <w:rPr>
          <w:i/>
          <w:iCs/>
        </w:rPr>
        <w:t>f</w:t>
      </w:r>
      <w:r w:rsidRPr="00502341">
        <w:rPr>
          <w:vertAlign w:val="subscript"/>
        </w:rPr>
        <w:t>yd</w:t>
      </w:r>
      <w:r w:rsidRPr="00132C1E">
        <w:t>.</w:t>
      </w:r>
    </w:p>
    <w:p w14:paraId="628C52D3" w14:textId="68485FCF" w:rsidR="006224E0" w:rsidRPr="00132C1E" w:rsidRDefault="006224E0" w:rsidP="00724E4E">
      <w:pPr>
        <w:pStyle w:val="Clause"/>
      </w:pPr>
      <w:r w:rsidRPr="00132C1E">
        <w:t xml:space="preserve">The vertical reinforcement in each </w:t>
      </w:r>
      <w:r w:rsidRPr="00A443B5">
        <w:t>boundary element mentioned in (3) should</w:t>
      </w:r>
      <w:r w:rsidRPr="00132C1E">
        <w:t xml:space="preserve"> not be less than four bars with 12 mm </w:t>
      </w:r>
      <w:r w:rsidR="007E5C9E">
        <w:t>d</w:t>
      </w:r>
      <w:r>
        <w:t>iameter</w:t>
      </w:r>
      <w:r w:rsidRPr="00132C1E">
        <w:t xml:space="preserve"> in the lower storey of the building, or 10mm in all other storeys.</w:t>
      </w:r>
    </w:p>
    <w:p w14:paraId="3C5252AD" w14:textId="31329B96" w:rsidR="006224E0" w:rsidRPr="00132C1E" w:rsidRDefault="006224E0" w:rsidP="00724E4E">
      <w:pPr>
        <w:pStyle w:val="Clause"/>
      </w:pPr>
      <w:r w:rsidRPr="00132C1E">
        <w:lastRenderedPageBreak/>
        <w:t xml:space="preserve">When in any storey the length </w:t>
      </w:r>
      <w:r w:rsidRPr="00502341">
        <w:rPr>
          <w:i/>
          <w:iCs/>
        </w:rPr>
        <w:t>l</w:t>
      </w:r>
      <w:r w:rsidRPr="00502341">
        <w:rPr>
          <w:vertAlign w:val="subscript"/>
        </w:rPr>
        <w:t>w</w:t>
      </w:r>
      <w:r w:rsidRPr="00132C1E">
        <w:t xml:space="preserve"> of the wall is reduced over that of the storey below by more than one-third of the storey height </w:t>
      </w:r>
      <w:r w:rsidRPr="00502341">
        <w:rPr>
          <w:i/>
          <w:iCs/>
        </w:rPr>
        <w:t>h</w:t>
      </w:r>
      <w:r w:rsidRPr="00502341">
        <w:rPr>
          <w:vertAlign w:val="subscript"/>
        </w:rPr>
        <w:t>s</w:t>
      </w:r>
      <w:r w:rsidRPr="00132C1E">
        <w:t xml:space="preserve">, this storey should be considered a critical region and the vertical reinforcement in each boundary element of this storey should not be less than four bars with 12 mm </w:t>
      </w:r>
      <w:r w:rsidR="007E5C9E">
        <w:t>d</w:t>
      </w:r>
      <w:r>
        <w:t>iameter</w:t>
      </w:r>
      <w:r w:rsidRPr="00132C1E">
        <w:t xml:space="preserve"> and they should be anchored in the storeys above and below.</w:t>
      </w:r>
    </w:p>
    <w:p w14:paraId="3D3A9183" w14:textId="5D4E2A5D" w:rsidR="006224E0" w:rsidRPr="00A443B5" w:rsidRDefault="006224E0" w:rsidP="00724E4E">
      <w:pPr>
        <w:pStyle w:val="Clause"/>
        <w:rPr>
          <w:bCs/>
        </w:rPr>
      </w:pPr>
      <w:r w:rsidRPr="00A443B5">
        <w:rPr>
          <w:bCs/>
        </w:rPr>
        <w:t>10.8.3.3(3) and (4) and 10.8.3.4 should be applied.</w:t>
      </w:r>
    </w:p>
    <w:p w14:paraId="0AED2031" w14:textId="123B609D" w:rsidR="006224E0" w:rsidRPr="00132C1E" w:rsidRDefault="006224E0" w:rsidP="00724E4E">
      <w:pPr>
        <w:pStyle w:val="Clause"/>
      </w:pPr>
      <w:r w:rsidRPr="00A443B5">
        <w:rPr>
          <w:bCs/>
        </w:rPr>
        <w:t xml:space="preserve">Vertical bars for the verification of the SD limit state in bending with axial force in accordance with (3) should be engaged by hoops or crossties with a </w:t>
      </w:r>
      <w:r w:rsidR="007E5C9E" w:rsidRPr="00A443B5">
        <w:rPr>
          <w:bCs/>
        </w:rPr>
        <w:t>d</w:t>
      </w:r>
      <w:r w:rsidRPr="00A443B5">
        <w:rPr>
          <w:bCs/>
        </w:rPr>
        <w:t xml:space="preserve">iameter of not less than 6 mm and one-third of the vertical bar with smallest </w:t>
      </w:r>
      <w:r w:rsidR="007E5C9E" w:rsidRPr="00A443B5">
        <w:rPr>
          <w:bCs/>
        </w:rPr>
        <w:t>d</w:t>
      </w:r>
      <w:r w:rsidRPr="00A443B5">
        <w:rPr>
          <w:bCs/>
        </w:rPr>
        <w:t>iameter</w:t>
      </w:r>
      <w:r w:rsidRPr="00132C1E">
        <w:t xml:space="preserve">, </w:t>
      </w:r>
      <w:r w:rsidRPr="00502341">
        <w:rPr>
          <w:i/>
          <w:iCs/>
        </w:rPr>
        <w:t>d</w:t>
      </w:r>
      <w:r w:rsidRPr="00502341">
        <w:rPr>
          <w:vertAlign w:val="subscript"/>
        </w:rPr>
        <w:t>bL</w:t>
      </w:r>
      <w:r w:rsidRPr="00132C1E">
        <w:t xml:space="preserve">, whichever is greater. Hoops and crossties should be at a vertical spacing </w:t>
      </w:r>
      <w:r w:rsidRPr="00502341">
        <w:rPr>
          <w:i/>
          <w:iCs/>
        </w:rPr>
        <w:t>s</w:t>
      </w:r>
      <w:r w:rsidRPr="00132C1E">
        <w:t xml:space="preserve"> not greater than 100 mm or 8</w:t>
      </w:r>
      <w:r w:rsidRPr="00502341">
        <w:rPr>
          <w:i/>
          <w:iCs/>
        </w:rPr>
        <w:t>d</w:t>
      </w:r>
      <w:r w:rsidRPr="00502341">
        <w:rPr>
          <w:vertAlign w:val="subscript"/>
        </w:rPr>
        <w:t>bL</w:t>
      </w:r>
      <w:r w:rsidRPr="00132C1E">
        <w:t>, whichever is less.</w:t>
      </w:r>
    </w:p>
    <w:p w14:paraId="45F8A3DC" w14:textId="6BD271AE" w:rsidR="006224E0" w:rsidRPr="00132C1E" w:rsidRDefault="006224E0" w:rsidP="006224E0">
      <w:pPr>
        <w:pStyle w:val="Heading2"/>
      </w:pPr>
      <w:bookmarkStart w:id="7493" w:name="_Toc16091420"/>
      <w:bookmarkStart w:id="7494" w:name="_Toc16531659"/>
      <w:bookmarkStart w:id="7495" w:name="_Toc16590517"/>
      <w:bookmarkStart w:id="7496" w:name="_Toc16598378"/>
      <w:bookmarkStart w:id="7497" w:name="_Toc17934211"/>
      <w:bookmarkStart w:id="7498" w:name="_Toc50150390"/>
      <w:bookmarkStart w:id="7499" w:name="_Toc70886822"/>
      <w:bookmarkStart w:id="7500" w:name="_Toc108342373"/>
      <w:bookmarkStart w:id="7501" w:name="_Toc134197911"/>
      <w:bookmarkEnd w:id="7493"/>
      <w:bookmarkEnd w:id="7494"/>
      <w:bookmarkEnd w:id="7495"/>
      <w:bookmarkEnd w:id="7496"/>
      <w:r w:rsidRPr="00132C1E">
        <w:t>Flat slabs</w:t>
      </w:r>
      <w:bookmarkEnd w:id="7497"/>
      <w:bookmarkEnd w:id="7498"/>
      <w:bookmarkEnd w:id="7499"/>
      <w:bookmarkEnd w:id="7500"/>
      <w:bookmarkEnd w:id="7501"/>
    </w:p>
    <w:p w14:paraId="6EB30144" w14:textId="77777777" w:rsidR="006224E0" w:rsidRPr="00132C1E" w:rsidRDefault="006224E0" w:rsidP="006224E0">
      <w:pPr>
        <w:pStyle w:val="Heading3"/>
      </w:pPr>
      <w:bookmarkStart w:id="7502" w:name="_Toc17934212"/>
      <w:bookmarkStart w:id="7503" w:name="_Toc50150391"/>
      <w:bookmarkStart w:id="7504" w:name="_Toc70886823"/>
      <w:bookmarkStart w:id="7505" w:name="_Toc108342374"/>
      <w:bookmarkStart w:id="7506" w:name="_Toc134197912"/>
      <w:r w:rsidRPr="00132C1E">
        <w:t>Basis of design</w:t>
      </w:r>
      <w:bookmarkEnd w:id="7502"/>
      <w:bookmarkEnd w:id="7503"/>
      <w:bookmarkEnd w:id="7504"/>
      <w:bookmarkEnd w:id="7505"/>
      <w:bookmarkEnd w:id="7506"/>
    </w:p>
    <w:p w14:paraId="64447F71" w14:textId="77777777" w:rsidR="006224E0" w:rsidRPr="00132C1E" w:rsidRDefault="006224E0" w:rsidP="003E2D3E">
      <w:pPr>
        <w:pStyle w:val="Notetext"/>
      </w:pPr>
      <w:r w:rsidRPr="00132C1E">
        <w:t>NOTE</w:t>
      </w:r>
      <w:r w:rsidRPr="00132C1E">
        <w:tab/>
        <w:t>A concrete flat slab is a two-way slab (solid or waffle), with constant thickness or with drop panels, supported directly on columns (with or without capitals) or walls.</w:t>
      </w:r>
    </w:p>
    <w:p w14:paraId="32DA0810" w14:textId="2EF2D0AA" w:rsidR="006224E0" w:rsidRPr="00A443B5" w:rsidRDefault="006224E0" w:rsidP="0080187E">
      <w:pPr>
        <w:pStyle w:val="Clause"/>
        <w:numPr>
          <w:ilvl w:val="0"/>
          <w:numId w:val="340"/>
        </w:numPr>
        <w:rPr>
          <w:bCs/>
        </w:rPr>
      </w:pPr>
      <w:r w:rsidRPr="00A443B5">
        <w:rPr>
          <w:bCs/>
        </w:rPr>
        <w:t>10.10 should be applied to cast-in-place flat slabs considered as primary seismic members, in flat slab structures.</w:t>
      </w:r>
    </w:p>
    <w:p w14:paraId="71742ADF" w14:textId="77777777" w:rsidR="006224E0" w:rsidRPr="00A443B5" w:rsidRDefault="006224E0" w:rsidP="003E2D3E">
      <w:pPr>
        <w:pStyle w:val="Notetext"/>
        <w:rPr>
          <w:bCs/>
        </w:rPr>
      </w:pPr>
      <w:r w:rsidRPr="00A443B5">
        <w:rPr>
          <w:bCs/>
        </w:rPr>
        <w:t>NOTE</w:t>
      </w:r>
      <w:r w:rsidRPr="00A443B5">
        <w:rPr>
          <w:bCs/>
        </w:rPr>
        <w:tab/>
        <w:t>Use of edge beams framing into supports or short slab overhangs improves the seismic behaviour of slab connections to edge and corner supports in terms of punching shear and reduces the flexural reinforcement.</w:t>
      </w:r>
    </w:p>
    <w:p w14:paraId="109D9DC8" w14:textId="343BE073" w:rsidR="006224E0" w:rsidRPr="00A443B5" w:rsidRDefault="006224E0" w:rsidP="00724E4E">
      <w:pPr>
        <w:pStyle w:val="Clause"/>
        <w:rPr>
          <w:bCs/>
        </w:rPr>
      </w:pPr>
      <w:r w:rsidRPr="00A443B5">
        <w:rPr>
          <w:bCs/>
        </w:rPr>
        <w:t>Vertical supporting members should be arranged in a regular pattern in two orthogonal horizontal directions.</w:t>
      </w:r>
    </w:p>
    <w:p w14:paraId="09BAC35F" w14:textId="781E7BAF" w:rsidR="006224E0" w:rsidRPr="00A443B5" w:rsidRDefault="006224E0" w:rsidP="00724E4E">
      <w:pPr>
        <w:pStyle w:val="Clause"/>
        <w:rPr>
          <w:rFonts w:eastAsia="Cambria"/>
          <w:bCs/>
        </w:rPr>
      </w:pPr>
      <w:r w:rsidRPr="00A443B5">
        <w:rPr>
          <w:bCs/>
        </w:rPr>
        <w:t xml:space="preserve">The connection of flat slabs to edge and corner columns should use the full section of </w:t>
      </w:r>
      <w:r w:rsidRPr="00A443B5">
        <w:rPr>
          <w:rFonts w:eastAsia="Cambria"/>
          <w:bCs/>
        </w:rPr>
        <w:t>the vertical supporting members</w:t>
      </w:r>
      <w:r w:rsidRPr="00A443B5">
        <w:rPr>
          <w:bCs/>
        </w:rPr>
        <w:t xml:space="preserve"> and should have edge beams.</w:t>
      </w:r>
    </w:p>
    <w:p w14:paraId="5CE5D273" w14:textId="3709FBED" w:rsidR="006224E0" w:rsidRPr="00A443B5" w:rsidRDefault="006224E0" w:rsidP="00724E4E">
      <w:pPr>
        <w:pStyle w:val="Clause"/>
        <w:rPr>
          <w:bCs/>
        </w:rPr>
      </w:pPr>
      <w:r w:rsidRPr="00A443B5">
        <w:rPr>
          <w:bCs/>
        </w:rPr>
        <w:t>The thickness of each flat slab should not be smaller than 3,5</w:t>
      </w:r>
      <w:r w:rsidR="001C5446">
        <w:rPr>
          <w:bCs/>
        </w:rPr>
        <w:t> </w:t>
      </w:r>
      <w:r w:rsidRPr="00A443B5">
        <w:rPr>
          <w:bCs/>
        </w:rPr>
        <w:t>% of its largest span.</w:t>
      </w:r>
    </w:p>
    <w:p w14:paraId="77C775CB" w14:textId="5DBE0D25" w:rsidR="006224E0" w:rsidRPr="00A443B5" w:rsidRDefault="006224E0" w:rsidP="00724E4E">
      <w:pPr>
        <w:pStyle w:val="Clause"/>
        <w:rPr>
          <w:bCs/>
        </w:rPr>
      </w:pPr>
      <w:r w:rsidRPr="00A443B5">
        <w:rPr>
          <w:bCs/>
        </w:rPr>
        <w:t xml:space="preserve">In waffle flat slabs, a solid area with constant thickness should be adopted up to a distance from the column or wall support not less than 3 times the effective depth </w:t>
      </w:r>
      <w:r w:rsidRPr="00A443B5">
        <w:rPr>
          <w:bCs/>
          <w:i/>
          <w:iCs/>
        </w:rPr>
        <w:t>d</w:t>
      </w:r>
      <w:r w:rsidRPr="00A443B5">
        <w:rPr>
          <w:bCs/>
          <w:vertAlign w:val="subscript"/>
        </w:rPr>
        <w:t>v</w:t>
      </w:r>
      <w:r w:rsidRPr="00A443B5">
        <w:rPr>
          <w:bCs/>
        </w:rPr>
        <w:t xml:space="preserve"> of the slab.</w:t>
      </w:r>
    </w:p>
    <w:p w14:paraId="39FEDBCA" w14:textId="7FA00611" w:rsidR="006224E0" w:rsidRPr="00A443B5" w:rsidRDefault="006224E0" w:rsidP="00724E4E">
      <w:pPr>
        <w:pStyle w:val="Clause"/>
        <w:rPr>
          <w:bCs/>
        </w:rPr>
      </w:pPr>
      <w:r w:rsidRPr="00A443B5">
        <w:rPr>
          <w:bCs/>
        </w:rPr>
        <w:t xml:space="preserve">Openings in flat slabs should be avoided at a distance from the column or wall support less than the shear-resisting effective depth </w:t>
      </w:r>
      <w:r w:rsidRPr="00A443B5">
        <w:rPr>
          <w:bCs/>
          <w:i/>
          <w:iCs/>
        </w:rPr>
        <w:t>d</w:t>
      </w:r>
      <w:r w:rsidRPr="00A443B5">
        <w:rPr>
          <w:bCs/>
          <w:vertAlign w:val="subscript"/>
        </w:rPr>
        <w:t>v</w:t>
      </w:r>
      <w:r w:rsidRPr="00A443B5">
        <w:rPr>
          <w:bCs/>
        </w:rPr>
        <w:t xml:space="preserve"> of the slab or the drop panel. In the presence of openings at a distance from the column or wall support up to 5,5 times the shear-resisting effective depth </w:t>
      </w:r>
      <w:r w:rsidRPr="00A443B5">
        <w:rPr>
          <w:bCs/>
          <w:i/>
          <w:iCs/>
        </w:rPr>
        <w:t>d</w:t>
      </w:r>
      <w:r w:rsidRPr="00A443B5">
        <w:rPr>
          <w:bCs/>
          <w:vertAlign w:val="subscript"/>
        </w:rPr>
        <w:t>v</w:t>
      </w:r>
      <w:r w:rsidRPr="00A443B5">
        <w:rPr>
          <w:bCs/>
        </w:rPr>
        <w:t xml:space="preserve"> of the slab or the drop panel, the reduction of the control perimeter according with </w:t>
      </w:r>
      <w:r w:rsidR="0026060E">
        <w:rPr>
          <w:bCs/>
        </w:rPr>
        <w:t>prEN 1992-1-1:2021</w:t>
      </w:r>
      <w:r w:rsidRPr="00A443B5">
        <w:rPr>
          <w:bCs/>
        </w:rPr>
        <w:t>, 8.4.2(3) and Figure 8.19, should be adopted.</w:t>
      </w:r>
    </w:p>
    <w:p w14:paraId="0142B5B8" w14:textId="4C6F7578" w:rsidR="006224E0" w:rsidRPr="00EA0089" w:rsidRDefault="006224E0" w:rsidP="00724E4E">
      <w:pPr>
        <w:pStyle w:val="Clause"/>
      </w:pPr>
      <w:bookmarkStart w:id="7507" w:name="_Hlk90641377"/>
      <w:r w:rsidRPr="00A443B5">
        <w:rPr>
          <w:bCs/>
        </w:rPr>
        <w:t>In a model of a flat-slab frame as a moment resisting</w:t>
      </w:r>
      <w:r w:rsidRPr="00EA0089">
        <w:t xml:space="preserve"> frame in 3D for linear or nonlinear analysis, “equivalent beams” which are prismatic elements connecting adjacent columns may be used; their properties should satisfy a) to e):</w:t>
      </w:r>
    </w:p>
    <w:p w14:paraId="77420571" w14:textId="7D979B3C" w:rsidR="006224E0" w:rsidRPr="00EA0089" w:rsidRDefault="006224E0" w:rsidP="0080187E">
      <w:pPr>
        <w:pStyle w:val="List2"/>
        <w:numPr>
          <w:ilvl w:val="0"/>
          <w:numId w:val="133"/>
        </w:numPr>
        <w:spacing w:before="0" w:after="240" w:line="230" w:lineRule="atLeast"/>
        <w:contextualSpacing w:val="0"/>
      </w:pPr>
      <w:r w:rsidRPr="00EA0089">
        <w:t xml:space="preserve"> </w:t>
      </w:r>
      <w:r>
        <w:t xml:space="preserve">a </w:t>
      </w:r>
      <w:r w:rsidRPr="00EA0089">
        <w:t>theoretical span equal to the axial distance between the columns’ centroids;</w:t>
      </w:r>
    </w:p>
    <w:p w14:paraId="3AD7C9B2" w14:textId="3B087E03" w:rsidR="006224E0" w:rsidRPr="00EA0089" w:rsidRDefault="006224E0" w:rsidP="0080187E">
      <w:pPr>
        <w:pStyle w:val="List2"/>
        <w:numPr>
          <w:ilvl w:val="0"/>
          <w:numId w:val="133"/>
        </w:numPr>
        <w:spacing w:before="0" w:after="240" w:line="230" w:lineRule="atLeast"/>
        <w:contextualSpacing w:val="0"/>
      </w:pPr>
      <w:r w:rsidRPr="00EA0089">
        <w:t>a cross-sectional depth equal to the slab thickness;</w:t>
      </w:r>
    </w:p>
    <w:p w14:paraId="03618A9C" w14:textId="42221FBD" w:rsidR="006224E0" w:rsidRPr="00EA0089" w:rsidRDefault="006224E0" w:rsidP="0080187E">
      <w:pPr>
        <w:pStyle w:val="List2"/>
        <w:numPr>
          <w:ilvl w:val="0"/>
          <w:numId w:val="133"/>
        </w:numPr>
        <w:spacing w:before="0" w:after="240" w:line="230" w:lineRule="atLeast"/>
        <w:contextualSpacing w:val="0"/>
      </w:pPr>
      <w:r w:rsidRPr="00EA0089">
        <w:t>a concrete strength equal to that of the slab;</w:t>
      </w:r>
    </w:p>
    <w:p w14:paraId="500F2716" w14:textId="60535C85" w:rsidR="006224E0" w:rsidRPr="00EA0089" w:rsidRDefault="006224E0" w:rsidP="0080187E">
      <w:pPr>
        <w:pStyle w:val="List2"/>
        <w:numPr>
          <w:ilvl w:val="0"/>
          <w:numId w:val="133"/>
        </w:numPr>
        <w:spacing w:before="0" w:after="240" w:line="230" w:lineRule="atLeast"/>
        <w:contextualSpacing w:val="0"/>
      </w:pPr>
      <w:r w:rsidRPr="00EA0089">
        <w:t xml:space="preserve">a half-width on each side of the axis joining the columns centroids equal to the smallest of 1) to 3): 1) the distance to the slab’s edge; 2) one-half the axial distance to the nearest parallel “equivalent beam”; </w:t>
      </w:r>
      <w:r w:rsidRPr="00EA0089">
        <w:lastRenderedPageBreak/>
        <w:t>3) the sum of one-half the cross-sectional dimension of the column transverse to the axis of the equivalent beam, and one-fifth of the clear span between the columns;</w:t>
      </w:r>
    </w:p>
    <w:p w14:paraId="705B5B78" w14:textId="5CF94F0A" w:rsidR="006224E0" w:rsidRPr="00EA0089" w:rsidRDefault="006224E0" w:rsidP="0080187E">
      <w:pPr>
        <w:pStyle w:val="List2"/>
        <w:numPr>
          <w:ilvl w:val="0"/>
          <w:numId w:val="133"/>
        </w:numPr>
        <w:spacing w:before="0" w:after="240" w:line="230" w:lineRule="atLeast"/>
        <w:contextualSpacing w:val="0"/>
      </w:pPr>
      <w:r w:rsidRPr="00EA0089">
        <w:t>top and bottom reinforcement ratios, reinforcement grade and cover to reinforcement within the width of the “equivalent beam” equal to those in the support strip between the connected columns (see Figure 10.11).</w:t>
      </w:r>
      <w:bookmarkEnd w:id="7507"/>
    </w:p>
    <w:p w14:paraId="7BD0FAAF" w14:textId="6AFA5BE6" w:rsidR="006224E0" w:rsidRPr="00502341" w:rsidRDefault="006224E0" w:rsidP="00724E4E">
      <w:pPr>
        <w:pStyle w:val="Clause"/>
      </w:pPr>
      <w:r w:rsidRPr="00502341">
        <w:t>If the entire flat slab is simulated with plate models, the elastic flexural and shear stiffness properties of the flat slab used in the analysis should take into account cracking.</w:t>
      </w:r>
    </w:p>
    <w:p w14:paraId="1B2E0197" w14:textId="40178F1F" w:rsidR="006224E0" w:rsidRPr="00502341" w:rsidRDefault="006224E0" w:rsidP="00724E4E">
      <w:pPr>
        <w:pStyle w:val="Clause"/>
      </w:pPr>
      <w:r w:rsidRPr="00A443B5">
        <w:rPr>
          <w:bCs/>
        </w:rPr>
        <w:t>(8) may</w:t>
      </w:r>
      <w:r w:rsidRPr="00502341">
        <w:t xml:space="preserve"> be satisfied by taking elastic flexural and shear stiffness of the flat slab equal to one-fourth of their uncracked stiffness</w:t>
      </w:r>
      <w:r w:rsidR="00CC4897" w:rsidRPr="00502341">
        <w:t>.</w:t>
      </w:r>
    </w:p>
    <w:p w14:paraId="4EFFB4A1" w14:textId="54E518ED" w:rsidR="006224E0" w:rsidRPr="00132C1E" w:rsidRDefault="006224E0" w:rsidP="006224E0">
      <w:pPr>
        <w:pStyle w:val="Heading3"/>
      </w:pPr>
      <w:bookmarkStart w:id="7508" w:name="_Toc15632573"/>
      <w:bookmarkStart w:id="7509" w:name="_Toc15661570"/>
      <w:bookmarkStart w:id="7510" w:name="_Toc16091423"/>
      <w:bookmarkStart w:id="7511" w:name="_Toc16531662"/>
      <w:bookmarkStart w:id="7512" w:name="_Toc16590520"/>
      <w:bookmarkStart w:id="7513" w:name="_Toc16598381"/>
      <w:bookmarkStart w:id="7514" w:name="_Toc17934213"/>
      <w:bookmarkStart w:id="7515" w:name="_Toc50150392"/>
      <w:bookmarkStart w:id="7516" w:name="_Toc70886824"/>
      <w:bookmarkStart w:id="7517" w:name="_Toc108342375"/>
      <w:bookmarkStart w:id="7518" w:name="_Toc134197913"/>
      <w:bookmarkEnd w:id="7508"/>
      <w:bookmarkEnd w:id="7509"/>
      <w:bookmarkEnd w:id="7510"/>
      <w:bookmarkEnd w:id="7511"/>
      <w:bookmarkEnd w:id="7512"/>
      <w:bookmarkEnd w:id="7513"/>
      <w:r w:rsidRPr="00132C1E">
        <w:t>SD limit state verifications and detailing</w:t>
      </w:r>
      <w:bookmarkEnd w:id="7514"/>
      <w:bookmarkEnd w:id="7515"/>
      <w:bookmarkEnd w:id="7516"/>
      <w:bookmarkEnd w:id="7517"/>
      <w:bookmarkEnd w:id="7518"/>
    </w:p>
    <w:p w14:paraId="42C155DC" w14:textId="220CF7F1" w:rsidR="006224E0" w:rsidRPr="00132C1E" w:rsidRDefault="006224E0" w:rsidP="0080187E">
      <w:pPr>
        <w:pStyle w:val="Clause"/>
        <w:numPr>
          <w:ilvl w:val="0"/>
          <w:numId w:val="341"/>
        </w:numPr>
      </w:pPr>
      <w:r w:rsidRPr="00132C1E">
        <w:t>Flexural reinforcement should be concentrated over the supporting columns and walls and in slab strips between adjacent supports called support strips.</w:t>
      </w:r>
    </w:p>
    <w:p w14:paraId="0E07BCCE" w14:textId="66909983" w:rsidR="006224E0" w:rsidRPr="00132C1E" w:rsidRDefault="006224E0" w:rsidP="00724E4E">
      <w:pPr>
        <w:pStyle w:val="Clause"/>
      </w:pPr>
      <w:r w:rsidRPr="00132C1E">
        <w:t>Support strip width (Figure 10.1</w:t>
      </w:r>
      <w:r>
        <w:t>1</w:t>
      </w:r>
      <w:r w:rsidRPr="00132C1E">
        <w:t>) should be taken as the maximum of a) and b):</w:t>
      </w:r>
    </w:p>
    <w:p w14:paraId="59E2E32E" w14:textId="15128153" w:rsidR="006224E0" w:rsidRPr="00132C1E" w:rsidRDefault="006224E0" w:rsidP="0080187E">
      <w:pPr>
        <w:pStyle w:val="List2"/>
        <w:numPr>
          <w:ilvl w:val="0"/>
          <w:numId w:val="134"/>
        </w:numPr>
        <w:spacing w:before="0" w:after="240" w:line="230" w:lineRule="atLeast"/>
        <w:contextualSpacing w:val="0"/>
      </w:pPr>
      <w:r w:rsidRPr="00132C1E">
        <w:t>the sum of 25</w:t>
      </w:r>
      <w:r w:rsidR="001C5446">
        <w:t> </w:t>
      </w:r>
      <w:r w:rsidRPr="00132C1E">
        <w:t>% of the panel width on each side of the column or wall centreline;</w:t>
      </w:r>
    </w:p>
    <w:p w14:paraId="70324C53" w14:textId="77777777" w:rsidR="006224E0" w:rsidRPr="00132C1E" w:rsidRDefault="006224E0" w:rsidP="0080187E">
      <w:pPr>
        <w:pStyle w:val="List2"/>
        <w:numPr>
          <w:ilvl w:val="0"/>
          <w:numId w:val="134"/>
        </w:numPr>
        <w:spacing w:before="0" w:after="240" w:line="230" w:lineRule="atLeast"/>
        <w:contextualSpacing w:val="0"/>
      </w:pPr>
      <w:r w:rsidRPr="00132C1E">
        <w:t>the dimension of the supporting vertical member perpendicular to the support strip.</w:t>
      </w:r>
    </w:p>
    <w:p w14:paraId="54A70C94" w14:textId="545E22EF" w:rsidR="006224E0" w:rsidRPr="00132C1E" w:rsidRDefault="006224E0" w:rsidP="00724E4E">
      <w:pPr>
        <w:pStyle w:val="Clause"/>
      </w:pPr>
      <w:r w:rsidRPr="00132C1E">
        <w:t>The slab top and bottom flexural reinforcement to resist the full hogging and sagging moments in the slab at the ULS in the seismic design situation should be placed within the support strip.</w:t>
      </w:r>
    </w:p>
    <w:p w14:paraId="279A707E" w14:textId="3A6F1DB1" w:rsidR="006224E0" w:rsidRPr="00132C1E" w:rsidRDefault="006224E0" w:rsidP="00724E4E">
      <w:pPr>
        <w:pStyle w:val="Clause"/>
      </w:pPr>
      <w:r w:rsidRPr="00132C1E">
        <w:t>A minimum flexural reinforcement should be provided in the support strips, according to a) to c):</w:t>
      </w:r>
    </w:p>
    <w:p w14:paraId="6ADA6CBC" w14:textId="77777777" w:rsidR="006224E0" w:rsidRPr="00132C1E" w:rsidRDefault="006224E0" w:rsidP="0080187E">
      <w:pPr>
        <w:pStyle w:val="List2"/>
        <w:numPr>
          <w:ilvl w:val="0"/>
          <w:numId w:val="135"/>
        </w:numPr>
        <w:spacing w:before="0" w:after="240" w:line="230" w:lineRule="atLeast"/>
        <w:contextualSpacing w:val="0"/>
      </w:pPr>
      <w:r w:rsidRPr="00132C1E">
        <w:t>over the whole span, top reinforcement of not less than one-fourth of the top reinforcement at the supports;</w:t>
      </w:r>
    </w:p>
    <w:p w14:paraId="588A55C4" w14:textId="77777777" w:rsidR="006224E0" w:rsidRPr="00132C1E" w:rsidRDefault="006224E0" w:rsidP="0080187E">
      <w:pPr>
        <w:pStyle w:val="List2"/>
        <w:numPr>
          <w:ilvl w:val="0"/>
          <w:numId w:val="135"/>
        </w:numPr>
        <w:spacing w:before="0" w:after="240" w:line="230" w:lineRule="atLeast"/>
        <w:contextualSpacing w:val="0"/>
      </w:pPr>
      <w:r w:rsidRPr="00132C1E">
        <w:t>over the whole span, bottom reinforcement of not less than one-third of the top reinforcement at the supports;</w:t>
      </w:r>
    </w:p>
    <w:p w14:paraId="4E092894" w14:textId="77777777" w:rsidR="006224E0" w:rsidRPr="00132C1E" w:rsidRDefault="006224E0" w:rsidP="0080187E">
      <w:pPr>
        <w:pStyle w:val="List2"/>
        <w:numPr>
          <w:ilvl w:val="0"/>
          <w:numId w:val="135"/>
        </w:numPr>
        <w:spacing w:before="0" w:after="240" w:line="230" w:lineRule="atLeast"/>
        <w:contextualSpacing w:val="0"/>
      </w:pPr>
      <w:r w:rsidRPr="00132C1E">
        <w:t>at the face of the column or wall, bottom reinforcement of not less than the mid-span bottom reinforcement.</w:t>
      </w:r>
    </w:p>
    <w:p w14:paraId="50669094" w14:textId="53D2D43C" w:rsidR="006224E0" w:rsidRPr="00132C1E" w:rsidRDefault="006224E0" w:rsidP="00724E4E">
      <w:pPr>
        <w:pStyle w:val="Clause"/>
      </w:pPr>
      <w:r w:rsidRPr="00132C1E">
        <w:t>In the slab strip between two support strips (Figure 10.1</w:t>
      </w:r>
      <w:r>
        <w:t>1</w:t>
      </w:r>
      <w:r w:rsidRPr="00132C1E">
        <w:t>), called “middle strip”, bottom flexural reinforcement over its intersection with the support strip in the orthogonal direction of not less than half of its mid-span bottom reinforcement should be provided.</w:t>
      </w:r>
    </w:p>
    <w:p w14:paraId="09C55D4E" w14:textId="5E159AC1" w:rsidR="006224E0" w:rsidRPr="00132C1E" w:rsidRDefault="004F6B4A" w:rsidP="004F6B4A">
      <w:pPr>
        <w:pStyle w:val="FigureImage"/>
      </w:pPr>
      <w:r>
        <w:rPr>
          <w:noProof/>
        </w:rPr>
        <w:lastRenderedPageBreak/>
        <w:drawing>
          <wp:inline distT="0" distB="0" distL="0" distR="0" wp14:anchorId="7DDECE94" wp14:editId="3D60109A">
            <wp:extent cx="4680212" cy="4130047"/>
            <wp:effectExtent l="0" t="0" r="6350" b="3810"/>
            <wp:docPr id="67" name="0015.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0015.tiff"/>
                    <pic:cNvPicPr/>
                  </pic:nvPicPr>
                  <pic:blipFill>
                    <a:blip r:link="rId30"/>
                    <a:stretch>
                      <a:fillRect/>
                    </a:stretch>
                  </pic:blipFill>
                  <pic:spPr>
                    <a:xfrm>
                      <a:off x="0" y="0"/>
                      <a:ext cx="4680212" cy="4130047"/>
                    </a:xfrm>
                    <a:prstGeom prst="rect">
                      <a:avLst/>
                    </a:prstGeom>
                  </pic:spPr>
                </pic:pic>
              </a:graphicData>
            </a:graphic>
          </wp:inline>
        </w:drawing>
      </w:r>
    </w:p>
    <w:p w14:paraId="73991D26" w14:textId="77777777" w:rsidR="006224E0" w:rsidRPr="008D4A90" w:rsidRDefault="006224E0" w:rsidP="00CF33EC">
      <w:pPr>
        <w:pStyle w:val="KeyTitle"/>
      </w:pPr>
      <w:r w:rsidRPr="008D4A90">
        <w:t>Key</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0"/>
        <w:gridCol w:w="1845"/>
      </w:tblGrid>
      <w:tr w:rsidR="006224E0" w:rsidRPr="008D4A90" w14:paraId="41530128" w14:textId="77777777" w:rsidTr="001C5446">
        <w:tc>
          <w:tcPr>
            <w:tcW w:w="390" w:type="dxa"/>
          </w:tcPr>
          <w:p w14:paraId="54003443" w14:textId="77777777" w:rsidR="006224E0" w:rsidRPr="006C66D7" w:rsidRDefault="006224E0" w:rsidP="008618F2">
            <w:pPr>
              <w:pStyle w:val="KeyText"/>
              <w:spacing w:before="0"/>
              <w:rPr>
                <w:i/>
                <w:iCs/>
              </w:rPr>
            </w:pPr>
            <w:r w:rsidRPr="006C66D7">
              <w:rPr>
                <w:i/>
                <w:iCs/>
              </w:rPr>
              <w:t>A</w:t>
            </w:r>
          </w:p>
        </w:tc>
        <w:tc>
          <w:tcPr>
            <w:tcW w:w="1845" w:type="dxa"/>
          </w:tcPr>
          <w:p w14:paraId="26E1D91D" w14:textId="77777777" w:rsidR="006224E0" w:rsidRPr="008D4A90" w:rsidRDefault="006224E0" w:rsidP="008618F2">
            <w:pPr>
              <w:pStyle w:val="KeyText"/>
              <w:spacing w:before="0"/>
            </w:pPr>
            <w:r w:rsidRPr="008D4A90">
              <w:t>support strip</w:t>
            </w:r>
          </w:p>
        </w:tc>
      </w:tr>
      <w:tr w:rsidR="006224E0" w:rsidRPr="008D4A90" w14:paraId="7CF15FA4" w14:textId="77777777" w:rsidTr="001C5446">
        <w:tc>
          <w:tcPr>
            <w:tcW w:w="390" w:type="dxa"/>
          </w:tcPr>
          <w:p w14:paraId="28602A48" w14:textId="77777777" w:rsidR="006224E0" w:rsidRPr="006C66D7" w:rsidRDefault="006224E0" w:rsidP="008618F2">
            <w:pPr>
              <w:pStyle w:val="KeyText"/>
              <w:spacing w:before="0"/>
              <w:rPr>
                <w:i/>
                <w:iCs/>
              </w:rPr>
            </w:pPr>
            <w:r w:rsidRPr="006C66D7">
              <w:rPr>
                <w:i/>
                <w:iCs/>
              </w:rPr>
              <w:t>B</w:t>
            </w:r>
          </w:p>
        </w:tc>
        <w:tc>
          <w:tcPr>
            <w:tcW w:w="1845" w:type="dxa"/>
          </w:tcPr>
          <w:p w14:paraId="0C42E254" w14:textId="77777777" w:rsidR="006224E0" w:rsidRPr="008D4A90" w:rsidRDefault="006224E0" w:rsidP="008618F2">
            <w:pPr>
              <w:pStyle w:val="KeyText"/>
              <w:spacing w:before="0"/>
            </w:pPr>
            <w:r w:rsidRPr="008D4A90">
              <w:t>middle strip</w:t>
            </w:r>
          </w:p>
        </w:tc>
      </w:tr>
      <w:tr w:rsidR="006224E0" w:rsidRPr="008D4A90" w14:paraId="701273CC" w14:textId="77777777" w:rsidTr="001C5446">
        <w:tc>
          <w:tcPr>
            <w:tcW w:w="390" w:type="dxa"/>
          </w:tcPr>
          <w:p w14:paraId="52EF2072" w14:textId="77777777" w:rsidR="006224E0" w:rsidRPr="006C66D7" w:rsidRDefault="006224E0" w:rsidP="008618F2">
            <w:pPr>
              <w:pStyle w:val="KeyText"/>
              <w:spacing w:before="0"/>
              <w:rPr>
                <w:i/>
                <w:iCs/>
              </w:rPr>
            </w:pPr>
            <w:r w:rsidRPr="006C66D7">
              <w:rPr>
                <w:i/>
                <w:iCs/>
              </w:rPr>
              <w:t>C</w:t>
            </w:r>
          </w:p>
        </w:tc>
        <w:tc>
          <w:tcPr>
            <w:tcW w:w="1845" w:type="dxa"/>
          </w:tcPr>
          <w:p w14:paraId="3ABC97A5" w14:textId="77777777" w:rsidR="006224E0" w:rsidRPr="008D4A90" w:rsidRDefault="006224E0" w:rsidP="008618F2">
            <w:pPr>
              <w:pStyle w:val="KeyText"/>
              <w:spacing w:before="0"/>
            </w:pPr>
            <w:r w:rsidRPr="008D4A90">
              <w:t>internal support</w:t>
            </w:r>
          </w:p>
        </w:tc>
      </w:tr>
      <w:tr w:rsidR="006224E0" w:rsidRPr="008D4A90" w14:paraId="78E982F6" w14:textId="77777777" w:rsidTr="001C5446">
        <w:tc>
          <w:tcPr>
            <w:tcW w:w="390" w:type="dxa"/>
          </w:tcPr>
          <w:p w14:paraId="0EF157AB" w14:textId="77777777" w:rsidR="006224E0" w:rsidRPr="006C66D7" w:rsidRDefault="006224E0" w:rsidP="008618F2">
            <w:pPr>
              <w:pStyle w:val="KeyText"/>
              <w:spacing w:before="0"/>
              <w:rPr>
                <w:i/>
                <w:iCs/>
              </w:rPr>
            </w:pPr>
            <w:r w:rsidRPr="006C66D7">
              <w:rPr>
                <w:i/>
                <w:iCs/>
              </w:rPr>
              <w:t>D</w:t>
            </w:r>
          </w:p>
        </w:tc>
        <w:tc>
          <w:tcPr>
            <w:tcW w:w="1845" w:type="dxa"/>
          </w:tcPr>
          <w:p w14:paraId="5BBCE6A7" w14:textId="77777777" w:rsidR="006224E0" w:rsidRPr="008D4A90" w:rsidRDefault="006224E0" w:rsidP="008618F2">
            <w:pPr>
              <w:pStyle w:val="KeyText"/>
              <w:spacing w:before="0"/>
            </w:pPr>
            <w:r w:rsidRPr="008D4A90">
              <w:t>external support</w:t>
            </w:r>
          </w:p>
        </w:tc>
      </w:tr>
    </w:tbl>
    <w:p w14:paraId="3151FF98" w14:textId="714E7949" w:rsidR="006224E0" w:rsidRPr="00D1484A" w:rsidRDefault="006224E0" w:rsidP="008D4A90">
      <w:pPr>
        <w:pStyle w:val="Figuretitle"/>
      </w:pPr>
      <w:r w:rsidRPr="00132C1E">
        <w:t xml:space="preserve">Figure </w:t>
      </w:r>
      <w:r w:rsidR="008D4A90">
        <w:t>10</w:t>
      </w:r>
      <w:r w:rsidRPr="00132C1E">
        <w:t>. </w:t>
      </w:r>
      <w:r>
        <w:t>11</w:t>
      </w:r>
      <w:r w:rsidRPr="00D1484A">
        <w:rPr>
          <w:rFonts w:ascii="`ÃÍœ˛" w:eastAsia="Cambria" w:hAnsi="`ÃÍœ˛" w:cs="`ÃÍœ˛"/>
          <w:szCs w:val="22"/>
          <w:lang w:eastAsia="de-DE"/>
        </w:rPr>
        <w:t>—</w:t>
      </w:r>
      <w:r w:rsidRPr="00D1484A">
        <w:t> Support-strips, middle strips and slab effective width for one direction</w:t>
      </w:r>
    </w:p>
    <w:p w14:paraId="31C7372C" w14:textId="5A24DFD5" w:rsidR="006224E0" w:rsidRPr="00A443B5" w:rsidRDefault="006224E0" w:rsidP="00724E4E">
      <w:pPr>
        <w:pStyle w:val="Clause"/>
      </w:pPr>
      <w:r w:rsidRPr="007E6F67">
        <w:t xml:space="preserve">In each direction, the slab top and bottom flexural reinforcement corresponding to the moments transferred from the slab to the supports should be placed </w:t>
      </w:r>
      <w:r w:rsidRPr="00A443B5">
        <w:t xml:space="preserve">within the effective slab width </w:t>
      </w:r>
      <w:r w:rsidRPr="00A443B5">
        <w:rPr>
          <w:i/>
        </w:rPr>
        <w:t>b</w:t>
      </w:r>
      <w:r w:rsidRPr="00A443B5">
        <w:rPr>
          <w:vertAlign w:val="subscript"/>
        </w:rPr>
        <w:t>ef</w:t>
      </w:r>
      <w:r w:rsidRPr="00A443B5">
        <w:t xml:space="preserve"> defined in (7).</w:t>
      </w:r>
    </w:p>
    <w:p w14:paraId="429C5B5E" w14:textId="53ABC6A5" w:rsidR="006224E0" w:rsidRPr="00A443B5" w:rsidRDefault="006224E0" w:rsidP="00724E4E">
      <w:pPr>
        <w:pStyle w:val="Clause"/>
      </w:pPr>
      <w:r w:rsidRPr="00A443B5">
        <w:t xml:space="preserve">The effective slab width </w:t>
      </w:r>
      <w:r w:rsidRPr="00A443B5">
        <w:rPr>
          <w:i/>
        </w:rPr>
        <w:t>b</w:t>
      </w:r>
      <w:r w:rsidRPr="00A443B5">
        <w:rPr>
          <w:vertAlign w:val="subscript"/>
        </w:rPr>
        <w:t>ef</w:t>
      </w:r>
      <w:r w:rsidRPr="00A443B5">
        <w:t xml:space="preserve"> should be taken as the width of the column, column capital or wall plus, on each side of the support, the column or wall depth or the slab overhang length </w:t>
      </w:r>
      <w:r w:rsidRPr="00A443B5">
        <w:rPr>
          <w:i/>
        </w:rPr>
        <w:t>a</w:t>
      </w:r>
      <w:r w:rsidRPr="00A443B5">
        <w:t xml:space="preserve">, but not exceeding on each side 1,5 times the slab or drop panel shear-resisting effective depth </w:t>
      </w:r>
      <w:r w:rsidRPr="00A443B5">
        <w:rPr>
          <w:i/>
        </w:rPr>
        <w:t>d</w:t>
      </w:r>
      <w:r w:rsidRPr="00A443B5">
        <w:rPr>
          <w:vertAlign w:val="subscript"/>
        </w:rPr>
        <w:t>v</w:t>
      </w:r>
      <w:r w:rsidRPr="00A443B5">
        <w:t xml:space="preserve"> (see Figure 10.11 for </w:t>
      </w:r>
      <w:r w:rsidRPr="00A443B5">
        <w:rPr>
          <w:i/>
        </w:rPr>
        <w:t>b</w:t>
      </w:r>
      <w:r w:rsidRPr="00A443B5">
        <w:rPr>
          <w:vertAlign w:val="subscript"/>
        </w:rPr>
        <w:t>ef</w:t>
      </w:r>
      <w:r w:rsidRPr="00A443B5">
        <w:t>).</w:t>
      </w:r>
    </w:p>
    <w:p w14:paraId="0369EA76" w14:textId="23C04EAD" w:rsidR="006224E0" w:rsidRPr="00A443B5" w:rsidRDefault="006224E0" w:rsidP="00724E4E">
      <w:pPr>
        <w:pStyle w:val="Clause"/>
      </w:pPr>
      <w:r w:rsidRPr="00A443B5">
        <w:t xml:space="preserve">For internal slab-support connections, the slab top and bottom flexural reinforcement corresponding to the fraction of the hogging and sagging design moment in the slab transferred by flexure to the support in the seismic design situation should be placed within the effective slab width </w:t>
      </w:r>
      <w:r w:rsidRPr="00A443B5">
        <w:rPr>
          <w:i/>
        </w:rPr>
        <w:t>b</w:t>
      </w:r>
      <w:r w:rsidRPr="00A443B5">
        <w:rPr>
          <w:vertAlign w:val="subscript"/>
        </w:rPr>
        <w:t>ef</w:t>
      </w:r>
      <w:r w:rsidRPr="00A443B5">
        <w:t>. This reinforcement should not be less than 50</w:t>
      </w:r>
      <w:r w:rsidR="001C5446">
        <w:t> </w:t>
      </w:r>
      <w:r w:rsidRPr="00A443B5">
        <w:t>% of the reinforcement in (3).</w:t>
      </w:r>
    </w:p>
    <w:p w14:paraId="11546505" w14:textId="48876923" w:rsidR="006224E0" w:rsidRPr="00A443B5" w:rsidRDefault="006224E0" w:rsidP="00724E4E">
      <w:pPr>
        <w:pStyle w:val="Clause"/>
      </w:pPr>
      <w:r w:rsidRPr="00A443B5">
        <w:t xml:space="preserve">For external slab-support connections, the slab top and bottom flexural reinforcement required to resist the total hogging and sagging design moments in the slab in the seismic design situation should be placed within the effective slab width </w:t>
      </w:r>
      <w:r w:rsidRPr="00A443B5">
        <w:rPr>
          <w:i/>
        </w:rPr>
        <w:t>b</w:t>
      </w:r>
      <w:r w:rsidRPr="00A443B5">
        <w:rPr>
          <w:vertAlign w:val="subscript"/>
        </w:rPr>
        <w:t>ef</w:t>
      </w:r>
      <w:r w:rsidRPr="00A443B5">
        <w:t xml:space="preserve"> and should be anchored at the support according to 10.11.2.</w:t>
      </w:r>
    </w:p>
    <w:p w14:paraId="6DB43479" w14:textId="349F2A40" w:rsidR="006224E0" w:rsidRPr="00A443B5" w:rsidRDefault="006224E0" w:rsidP="00724E4E">
      <w:pPr>
        <w:pStyle w:val="Clause"/>
      </w:pPr>
      <w:r w:rsidRPr="00E05E29">
        <w:t xml:space="preserve">In addition </w:t>
      </w:r>
      <w:r w:rsidRPr="00A443B5">
        <w:t>to (3) to (9), the slab bottom reinforcement over the column or wall support width should satisfy a) and b) in each direction (Figure 10.12):</w:t>
      </w:r>
    </w:p>
    <w:p w14:paraId="354E06FC" w14:textId="2D6B9BF1" w:rsidR="006224E0" w:rsidRPr="00A443B5" w:rsidRDefault="006224E0" w:rsidP="008D4A90">
      <w:pPr>
        <w:pStyle w:val="Notetext"/>
      </w:pPr>
      <w:r w:rsidRPr="00A443B5">
        <w:lastRenderedPageBreak/>
        <w:t>NOTE</w:t>
      </w:r>
      <w:r w:rsidRPr="00A443B5">
        <w:tab/>
        <w:t>This reinforcement is termed “integrity reinforcement”.</w:t>
      </w:r>
    </w:p>
    <w:p w14:paraId="0D6EC34C" w14:textId="1EEDDF0E" w:rsidR="006224E0" w:rsidRPr="00A443B5" w:rsidRDefault="006224E0" w:rsidP="0080187E">
      <w:pPr>
        <w:pStyle w:val="List2"/>
        <w:numPr>
          <w:ilvl w:val="0"/>
          <w:numId w:val="136"/>
        </w:numPr>
        <w:spacing w:before="0" w:after="240" w:line="230" w:lineRule="atLeast"/>
        <w:contextualSpacing w:val="0"/>
      </w:pPr>
      <w:r w:rsidRPr="00A443B5">
        <w:t xml:space="preserve">a minimum of four continuous bars with </w:t>
      </w:r>
      <w:r w:rsidR="007E5C9E" w:rsidRPr="00A443B5">
        <w:t>d</w:t>
      </w:r>
      <w:r w:rsidRPr="00A443B5">
        <w:t>iameter not greater than 0,12</w:t>
      </w:r>
      <w:r w:rsidRPr="00A443B5">
        <w:rPr>
          <w:i/>
        </w:rPr>
        <w:t>d</w:t>
      </w:r>
      <w:r w:rsidRPr="00A443B5">
        <w:rPr>
          <w:vertAlign w:val="subscript"/>
        </w:rPr>
        <w:t>v</w:t>
      </w:r>
      <w:r w:rsidRPr="00A443B5">
        <w:t xml:space="preserve"> should be placed over the support width with an anchor length from the support face not smaller than </w:t>
      </w:r>
      <w:r w:rsidRPr="00A443B5">
        <w:rPr>
          <w:i/>
        </w:rPr>
        <w:t>d</w:t>
      </w:r>
      <w:r w:rsidRPr="00A443B5">
        <w:rPr>
          <w:vertAlign w:val="subscript"/>
        </w:rPr>
        <w:t>v</w:t>
      </w:r>
      <w:r w:rsidRPr="00A443B5">
        <w:t>+</w:t>
      </w:r>
      <w:r w:rsidRPr="00A443B5">
        <w:rPr>
          <w:i/>
        </w:rPr>
        <w:t>l</w:t>
      </w:r>
      <w:r w:rsidRPr="00A443B5">
        <w:rPr>
          <w:vertAlign w:val="subscript"/>
        </w:rPr>
        <w:t>b</w:t>
      </w:r>
      <w:r w:rsidRPr="00A443B5">
        <w:t xml:space="preserve">, where </w:t>
      </w:r>
      <w:r w:rsidRPr="00A443B5">
        <w:rPr>
          <w:i/>
        </w:rPr>
        <w:t>d</w:t>
      </w:r>
      <w:r w:rsidRPr="00A443B5">
        <w:rPr>
          <w:vertAlign w:val="subscript"/>
        </w:rPr>
        <w:t>v</w:t>
      </w:r>
      <w:r w:rsidRPr="00A443B5">
        <w:t xml:space="preserve"> is the slab or drop panel shear-resisting effective depth at the support face, and </w:t>
      </w:r>
      <w:r w:rsidRPr="00A443B5">
        <w:rPr>
          <w:i/>
        </w:rPr>
        <w:t>l</w:t>
      </w:r>
      <w:r w:rsidRPr="00A443B5">
        <w:rPr>
          <w:vertAlign w:val="subscript"/>
        </w:rPr>
        <w:t>b</w:t>
      </w:r>
      <w:r w:rsidRPr="00A443B5">
        <w:t xml:space="preserve"> the anchorage length;</w:t>
      </w:r>
    </w:p>
    <w:p w14:paraId="6D46F49A" w14:textId="77777777" w:rsidR="006224E0" w:rsidRPr="00A443B5" w:rsidRDefault="006224E0" w:rsidP="0080187E">
      <w:pPr>
        <w:pStyle w:val="List2"/>
        <w:numPr>
          <w:ilvl w:val="0"/>
          <w:numId w:val="136"/>
        </w:numPr>
        <w:spacing w:before="0" w:after="240" w:line="230" w:lineRule="atLeast"/>
        <w:contextualSpacing w:val="0"/>
      </w:pPr>
      <w:r w:rsidRPr="00A443B5">
        <w:t xml:space="preserve">the vertical force resistance it provides, </w:t>
      </w:r>
      <w:r w:rsidRPr="00A443B5">
        <w:rPr>
          <w:i/>
        </w:rPr>
        <w:t>V</w:t>
      </w:r>
      <w:r w:rsidRPr="00A443B5">
        <w:rPr>
          <w:vertAlign w:val="subscript"/>
        </w:rPr>
        <w:t>Rd,int</w:t>
      </w:r>
      <w:r w:rsidRPr="00A443B5">
        <w:t>, from Formula (10.17), should be greater than the vertical load transferred to the support.</w:t>
      </w:r>
    </w:p>
    <w:p w14:paraId="6407C9D4" w14:textId="746AA205" w:rsidR="008D4A90" w:rsidRPr="00A443B5" w:rsidRDefault="009B5CEC" w:rsidP="008D4A90">
      <w:pPr>
        <w:pStyle w:val="Formula"/>
        <w:spacing w:before="240"/>
      </w:pPr>
      <m:oMath>
        <m:sSub>
          <m:sSubPr>
            <m:ctrlPr>
              <w:rPr>
                <w:rFonts w:ascii="Cambria Math" w:hAnsi="Cambria Math"/>
              </w:rPr>
            </m:ctrlPr>
          </m:sSubPr>
          <m:e>
            <m:r>
              <w:rPr>
                <w:rFonts w:ascii="Cambria Math" w:hAnsi="Cambria Math"/>
              </w:rPr>
              <m:t>V</m:t>
            </m:r>
          </m:e>
          <m:sub>
            <m:r>
              <m:rPr>
                <m:sty m:val="p"/>
              </m:rPr>
              <w:rPr>
                <w:rFonts w:ascii="Cambria Math" w:hAnsi="Cambria Math"/>
              </w:rPr>
              <m:t>Rd,int</m:t>
            </m:r>
          </m:sub>
        </m:sSub>
        <m:r>
          <w:rPr>
            <w:rFonts w:ascii="Cambria Math" w:hAnsi="Cambria Math"/>
          </w:rPr>
          <m:t>=</m:t>
        </m:r>
        <m:nary>
          <m:naryPr>
            <m:chr m:val="∑"/>
            <m:limLoc m:val="undOvr"/>
            <m:subHide m:val="1"/>
            <m:supHide m:val="1"/>
            <m:ctrlPr>
              <w:rPr>
                <w:rFonts w:ascii="Cambria Math" w:hAnsi="Cambria Math"/>
              </w:rPr>
            </m:ctrlPr>
          </m:naryPr>
          <m:sub/>
          <m:sup/>
          <m:e>
            <m:sSub>
              <m:sSubPr>
                <m:ctrlPr>
                  <w:rPr>
                    <w:rFonts w:ascii="Cambria Math" w:hAnsi="Cambria Math"/>
                  </w:rPr>
                </m:ctrlPr>
              </m:sSubPr>
              <m:e>
                <m:r>
                  <w:rPr>
                    <w:rFonts w:ascii="Cambria Math" w:hAnsi="Cambria Math"/>
                  </w:rPr>
                  <m:t>A</m:t>
                </m:r>
              </m:e>
              <m:sub>
                <m:r>
                  <m:rPr>
                    <m:sty m:val="p"/>
                  </m:rPr>
                  <w:rPr>
                    <w:rFonts w:ascii="Cambria Math" w:hAnsi="Cambria Math"/>
                  </w:rPr>
                  <m:t>s,int</m:t>
                </m:r>
              </m:sub>
            </m:sSub>
          </m:e>
        </m:nary>
        <m:sSub>
          <m:sSubPr>
            <m:ctrlPr>
              <w:rPr>
                <w:rFonts w:ascii="Cambria Math" w:hAnsi="Cambria Math"/>
              </w:rPr>
            </m:ctrlPr>
          </m:sSubPr>
          <m:e>
            <m:r>
              <w:rPr>
                <w:rFonts w:ascii="Cambria Math" w:hAnsi="Cambria Math"/>
              </w:rPr>
              <m:t>f</m:t>
            </m:r>
          </m:e>
          <m:sub>
            <m:r>
              <m:rPr>
                <m:sty m:val="p"/>
              </m:rPr>
              <w:rPr>
                <w:rFonts w:ascii="Cambria Math" w:hAnsi="Cambria Math"/>
              </w:rPr>
              <m:t>yd</m:t>
            </m:r>
          </m:sub>
        </m:sSub>
        <m:r>
          <w:rPr>
            <w:rFonts w:ascii="Cambria Math" w:hAnsi="Cambria Math"/>
          </w:rPr>
          <m:t>k</m:t>
        </m:r>
        <m:func>
          <m:funcPr>
            <m:ctrlPr>
              <w:rPr>
                <w:rFonts w:ascii="Cambria Math" w:hAnsi="Cambria Math"/>
              </w:rPr>
            </m:ctrlPr>
          </m:funcPr>
          <m:fName>
            <m:r>
              <w:rPr>
                <w:rFonts w:ascii="Cambria Math" w:hAnsi="Cambria Math"/>
              </w:rPr>
              <m:t>sin</m:t>
            </m:r>
          </m:fName>
          <m:e>
            <m:sSub>
              <m:sSubPr>
                <m:ctrlPr>
                  <w:rPr>
                    <w:rFonts w:ascii="Cambria Math" w:hAnsi="Cambria Math"/>
                  </w:rPr>
                </m:ctrlPr>
              </m:sSubPr>
              <m:e>
                <m:r>
                  <w:rPr>
                    <w:rFonts w:ascii="Cambria Math" w:hAnsi="Cambria Math"/>
                  </w:rPr>
                  <m:t>α</m:t>
                </m:r>
              </m:e>
              <m:sub>
                <m:r>
                  <m:rPr>
                    <m:sty m:val="p"/>
                  </m:rPr>
                  <w:rPr>
                    <w:rFonts w:ascii="Cambria Math" w:hAnsi="Cambria Math"/>
                  </w:rPr>
                  <m:t>ult</m:t>
                </m:r>
              </m:sub>
            </m:sSub>
          </m:e>
        </m:func>
        <m:r>
          <w:rPr>
            <w:rFonts w:ascii="Cambria Math" w:hAnsi="Cambria Math"/>
          </w:rPr>
          <m:t>≤</m:t>
        </m:r>
        <m:f>
          <m:fPr>
            <m:ctrlPr>
              <w:rPr>
                <w:rFonts w:ascii="Cambria Math" w:hAnsi="Cambria Math"/>
              </w:rPr>
            </m:ctrlPr>
          </m:fPr>
          <m:num>
            <m:r>
              <w:rPr>
                <w:rFonts w:ascii="Cambria Math" w:hAnsi="Cambria Math"/>
              </w:rPr>
              <m:t>0,5</m:t>
            </m:r>
            <m:rad>
              <m:radPr>
                <m:degHide m:val="1"/>
                <m:ctrlPr>
                  <w:rPr>
                    <w:rFonts w:ascii="Cambria Math" w:hAnsi="Cambria Math"/>
                  </w:rPr>
                </m:ctrlPr>
              </m:radPr>
              <m:deg/>
              <m:e>
                <m:sSub>
                  <m:sSubPr>
                    <m:ctrlPr>
                      <w:rPr>
                        <w:rFonts w:ascii="Cambria Math" w:hAnsi="Cambria Math"/>
                      </w:rPr>
                    </m:ctrlPr>
                  </m:sSubPr>
                  <m:e>
                    <m:r>
                      <w:rPr>
                        <w:rFonts w:ascii="Cambria Math" w:hAnsi="Cambria Math"/>
                      </w:rPr>
                      <m:t>f</m:t>
                    </m:r>
                  </m:e>
                  <m:sub>
                    <m:r>
                      <m:rPr>
                        <m:sty m:val="p"/>
                      </m:rPr>
                      <w:rPr>
                        <w:rFonts w:ascii="Cambria Math" w:hAnsi="Cambria Math"/>
                      </w:rPr>
                      <m:t>ck</m:t>
                    </m:r>
                  </m:sub>
                </m:sSub>
              </m:e>
            </m:rad>
          </m:num>
          <m:den>
            <m:sSub>
              <m:sSubPr>
                <m:ctrlPr>
                  <w:rPr>
                    <w:rFonts w:ascii="Cambria Math" w:hAnsi="Cambria Math"/>
                  </w:rPr>
                </m:ctrlPr>
              </m:sSubPr>
              <m:e>
                <m:r>
                  <w:rPr>
                    <w:rFonts w:ascii="Cambria Math" w:hAnsi="Cambria Math"/>
                  </w:rPr>
                  <m:t>γ</m:t>
                </m:r>
              </m:e>
              <m:sub>
                <m:r>
                  <m:rPr>
                    <m:sty m:val="p"/>
                  </m:rPr>
                  <w:rPr>
                    <w:rFonts w:ascii="Cambria Math" w:hAnsi="Cambria Math"/>
                  </w:rPr>
                  <m:t>c</m:t>
                </m:r>
              </m:sub>
            </m:sSub>
          </m:den>
        </m:f>
        <m:sSub>
          <m:sSubPr>
            <m:ctrlPr>
              <w:rPr>
                <w:rFonts w:ascii="Cambria Math" w:hAnsi="Cambria Math"/>
              </w:rPr>
            </m:ctrlPr>
          </m:sSubPr>
          <m:e>
            <m:r>
              <w:rPr>
                <w:rFonts w:ascii="Cambria Math" w:hAnsi="Cambria Math"/>
              </w:rPr>
              <m:t>d</m:t>
            </m:r>
          </m:e>
          <m:sub>
            <m:r>
              <m:rPr>
                <m:sty m:val="p"/>
              </m:rPr>
              <w:rPr>
                <w:rFonts w:ascii="Cambria Math" w:hAnsi="Cambria Math"/>
              </w:rPr>
              <m:t>v</m:t>
            </m:r>
          </m:sub>
        </m:sSub>
        <m:sSub>
          <m:sSubPr>
            <m:ctrlPr>
              <w:rPr>
                <w:rFonts w:ascii="Cambria Math" w:hAnsi="Cambria Math"/>
              </w:rPr>
            </m:ctrlPr>
          </m:sSubPr>
          <m:e>
            <m:r>
              <w:rPr>
                <w:rFonts w:ascii="Cambria Math" w:hAnsi="Cambria Math"/>
              </w:rPr>
              <m:t>b</m:t>
            </m:r>
          </m:e>
          <m:sub>
            <m:r>
              <m:rPr>
                <m:sty m:val="p"/>
              </m:rPr>
              <w:rPr>
                <w:rFonts w:ascii="Cambria Math" w:hAnsi="Cambria Math"/>
              </w:rPr>
              <m:t>int</m:t>
            </m:r>
          </m:sub>
        </m:sSub>
        <m:r>
          <w:rPr>
            <w:rFonts w:ascii="Cambria Math" w:hAnsi="Cambria Math"/>
          </w:rPr>
          <m:t xml:space="preserve">      </m:t>
        </m:r>
      </m:oMath>
      <w:r w:rsidR="008D4A90" w:rsidRPr="00A443B5">
        <w:tab/>
        <w:t>(10.17)</w:t>
      </w:r>
    </w:p>
    <w:p w14:paraId="7EBDA90A" w14:textId="6F9A2AAE" w:rsidR="00834F14" w:rsidRPr="00A443B5" w:rsidRDefault="00675EBA">
      <w:r w:rsidRPr="00A443B5">
        <w:t>where</w:t>
      </w:r>
    </w:p>
    <w:tbl>
      <w:tblPr>
        <w:tblW w:w="0" w:type="auto"/>
        <w:tblInd w:w="346" w:type="dxa"/>
        <w:tblLook w:val="04A0" w:firstRow="1" w:lastRow="0" w:firstColumn="1" w:lastColumn="0" w:noHBand="0" w:noVBand="1"/>
      </w:tblPr>
      <w:tblGrid>
        <w:gridCol w:w="1275"/>
        <w:gridCol w:w="7938"/>
      </w:tblGrid>
      <w:tr w:rsidR="008D4A90" w:rsidRPr="00A443B5" w14:paraId="7C2C9AAA" w14:textId="77777777" w:rsidTr="009B7FB1">
        <w:tc>
          <w:tcPr>
            <w:tcW w:w="1275" w:type="dxa"/>
          </w:tcPr>
          <w:p w14:paraId="19D6A6B4" w14:textId="22166320" w:rsidR="008D4A90" w:rsidRPr="00A443B5" w:rsidRDefault="00834F14" w:rsidP="002061E5">
            <w:pPr>
              <w:spacing w:after="60"/>
              <w:rPr>
                <w:rFonts w:eastAsia="Times New Roman" w:cs="Cambria"/>
                <w:szCs w:val="20"/>
                <w:lang w:eastAsia="fr-FR"/>
              </w:rPr>
            </w:pPr>
            <w:r w:rsidRPr="00A443B5">
              <w:rPr>
                <w:i/>
                <w:iCs/>
              </w:rPr>
              <w:t>A</w:t>
            </w:r>
            <w:r w:rsidRPr="00A443B5">
              <w:rPr>
                <w:vertAlign w:val="subscript"/>
              </w:rPr>
              <w:t>s,int</w:t>
            </w:r>
          </w:p>
        </w:tc>
        <w:tc>
          <w:tcPr>
            <w:tcW w:w="7938" w:type="dxa"/>
          </w:tcPr>
          <w:p w14:paraId="5AC61551" w14:textId="40FF8658" w:rsidR="008D4A90" w:rsidRPr="00A443B5" w:rsidRDefault="00834F14" w:rsidP="002061E5">
            <w:pPr>
              <w:spacing w:after="60"/>
              <w:rPr>
                <w:rFonts w:eastAsia="Times New Roman" w:cs="Cambria"/>
                <w:szCs w:val="20"/>
                <w:lang w:eastAsia="fr-FR"/>
              </w:rPr>
            </w:pPr>
            <w:r w:rsidRPr="00A443B5">
              <w:t>is the integrity reinforcement’s cross-sectional area;</w:t>
            </w:r>
          </w:p>
        </w:tc>
      </w:tr>
      <w:tr w:rsidR="008D4A90" w:rsidRPr="00A443B5" w14:paraId="227428F0" w14:textId="77777777" w:rsidTr="009B7FB1">
        <w:tc>
          <w:tcPr>
            <w:tcW w:w="1275" w:type="dxa"/>
          </w:tcPr>
          <w:p w14:paraId="56366E95" w14:textId="72BFBAB7" w:rsidR="008D4A90" w:rsidRPr="00A443B5" w:rsidRDefault="00834F14" w:rsidP="002061E5">
            <w:pPr>
              <w:spacing w:after="60"/>
              <w:rPr>
                <w:rFonts w:ascii="Symbol" w:hAnsi="Symbol"/>
                <w:i/>
                <w:color w:val="000000" w:themeColor="text1"/>
              </w:rPr>
            </w:pPr>
            <w:r w:rsidRPr="00A443B5">
              <w:rPr>
                <w:i/>
                <w:iCs/>
              </w:rPr>
              <w:t>f</w:t>
            </w:r>
            <w:r w:rsidRPr="00A443B5">
              <w:rPr>
                <w:vertAlign w:val="subscript"/>
              </w:rPr>
              <w:t>yd</w:t>
            </w:r>
          </w:p>
        </w:tc>
        <w:tc>
          <w:tcPr>
            <w:tcW w:w="7938" w:type="dxa"/>
          </w:tcPr>
          <w:p w14:paraId="013D29AB" w14:textId="71993906" w:rsidR="008D4A90" w:rsidRPr="00A443B5" w:rsidRDefault="00834F14" w:rsidP="002061E5">
            <w:pPr>
              <w:rPr>
                <w:color w:val="000000" w:themeColor="text1"/>
              </w:rPr>
            </w:pPr>
            <w:r w:rsidRPr="00A443B5">
              <w:t>is the design yield strength of the steel;</w:t>
            </w:r>
          </w:p>
        </w:tc>
      </w:tr>
      <w:tr w:rsidR="008D4A90" w:rsidRPr="00A443B5" w14:paraId="7130A052" w14:textId="77777777" w:rsidTr="009B7FB1">
        <w:tc>
          <w:tcPr>
            <w:tcW w:w="1275" w:type="dxa"/>
          </w:tcPr>
          <w:p w14:paraId="5D535248" w14:textId="4A07884F" w:rsidR="008D4A90" w:rsidRPr="00A443B5" w:rsidRDefault="00834F14" w:rsidP="002061E5">
            <w:pPr>
              <w:spacing w:after="60"/>
              <w:rPr>
                <w:i/>
                <w:iCs/>
              </w:rPr>
            </w:pPr>
            <w:r w:rsidRPr="00A443B5">
              <w:rPr>
                <w:i/>
                <w:iCs/>
              </w:rPr>
              <w:t>k</w:t>
            </w:r>
          </w:p>
        </w:tc>
        <w:tc>
          <w:tcPr>
            <w:tcW w:w="7938" w:type="dxa"/>
          </w:tcPr>
          <w:p w14:paraId="60888A5B" w14:textId="3915BE5A" w:rsidR="008D4A90" w:rsidRPr="00A443B5" w:rsidRDefault="00834F14" w:rsidP="002061E5">
            <w:r w:rsidRPr="00A443B5">
              <w:t>is the characteristic tensile strength to yield strength ratio of the reinforcement (</w:t>
            </w:r>
            <w:r w:rsidRPr="00A443B5">
              <w:rPr>
                <w:i/>
                <w:iCs/>
              </w:rPr>
              <w:t>f</w:t>
            </w:r>
            <w:r w:rsidRPr="00A443B5">
              <w:rPr>
                <w:vertAlign w:val="subscript"/>
              </w:rPr>
              <w:t>t</w:t>
            </w:r>
            <w:r w:rsidRPr="00A443B5">
              <w:t>/</w:t>
            </w:r>
            <w:r w:rsidRPr="00A443B5">
              <w:rPr>
                <w:i/>
                <w:iCs/>
              </w:rPr>
              <w:t>f</w:t>
            </w:r>
            <w:r w:rsidRPr="00A443B5">
              <w:rPr>
                <w:vertAlign w:val="subscript"/>
              </w:rPr>
              <w:t>y</w:t>
            </w:r>
            <w:r w:rsidRPr="00A443B5">
              <w:t>)</w:t>
            </w:r>
            <w:r w:rsidRPr="00A443B5">
              <w:rPr>
                <w:vertAlign w:val="subscript"/>
              </w:rPr>
              <w:t>k</w:t>
            </w:r>
            <w:r w:rsidRPr="00A443B5">
              <w:t xml:space="preserve"> defined in prEN 1992-1-1:202</w:t>
            </w:r>
            <w:r w:rsidR="0026060E">
              <w:t>1</w:t>
            </w:r>
            <w:r w:rsidRPr="00A443B5">
              <w:t>, 5.2.2(</w:t>
            </w:r>
            <w:r w:rsidR="00AE173D" w:rsidRPr="00A443B5">
              <w:t>1</w:t>
            </w:r>
            <w:r w:rsidRPr="00A443B5">
              <w:t>), Table 5.5;</w:t>
            </w:r>
          </w:p>
        </w:tc>
      </w:tr>
      <w:tr w:rsidR="008D4A90" w:rsidRPr="00A443B5" w14:paraId="0682D9E5" w14:textId="77777777" w:rsidTr="009B7FB1">
        <w:tc>
          <w:tcPr>
            <w:tcW w:w="1275" w:type="dxa"/>
          </w:tcPr>
          <w:p w14:paraId="71834CC4" w14:textId="20066323" w:rsidR="008D4A90" w:rsidRPr="00A443B5" w:rsidRDefault="00834F14" w:rsidP="002061E5">
            <w:pPr>
              <w:spacing w:after="60"/>
              <w:rPr>
                <w:i/>
                <w:iCs/>
              </w:rPr>
            </w:pPr>
            <w:r w:rsidRPr="00A443B5">
              <w:rPr>
                <w:i/>
                <w:iCs/>
              </w:rPr>
              <w:t>α</w:t>
            </w:r>
            <w:r w:rsidRPr="00A443B5">
              <w:rPr>
                <w:vertAlign w:val="subscript"/>
              </w:rPr>
              <w:t>ult</w:t>
            </w:r>
          </w:p>
        </w:tc>
        <w:tc>
          <w:tcPr>
            <w:tcW w:w="7938" w:type="dxa"/>
          </w:tcPr>
          <w:p w14:paraId="5524F975" w14:textId="3788BAA6" w:rsidR="008D4A90" w:rsidRPr="00A443B5" w:rsidRDefault="00834F14" w:rsidP="002061E5">
            <w:r w:rsidRPr="00A443B5">
              <w:t>is the angle between the integrity bars and the slab plane at failure (</w:t>
            </w:r>
            <w:r w:rsidRPr="00A443B5">
              <w:rPr>
                <w:i/>
                <w:iCs/>
              </w:rPr>
              <w:t>α</w:t>
            </w:r>
            <w:r w:rsidRPr="00A443B5">
              <w:rPr>
                <w:vertAlign w:val="subscript"/>
              </w:rPr>
              <w:t xml:space="preserve">ult </w:t>
            </w:r>
            <w:r w:rsidRPr="00A443B5">
              <w:t xml:space="preserve">= 20° for reinforcing steel of ductility class B; </w:t>
            </w:r>
            <w:r w:rsidRPr="00A443B5">
              <w:rPr>
                <w:i/>
                <w:iCs/>
              </w:rPr>
              <w:t>α</w:t>
            </w:r>
            <w:r w:rsidRPr="00A443B5">
              <w:rPr>
                <w:vertAlign w:val="subscript"/>
              </w:rPr>
              <w:t xml:space="preserve">ult </w:t>
            </w:r>
            <w:r w:rsidRPr="00A443B5">
              <w:t>= 25° for reinforcing steel of ductility class C);</w:t>
            </w:r>
          </w:p>
        </w:tc>
      </w:tr>
      <w:tr w:rsidR="008D4A90" w:rsidRPr="00A443B5" w14:paraId="3CA2D737" w14:textId="77777777" w:rsidTr="009B7FB1">
        <w:tc>
          <w:tcPr>
            <w:tcW w:w="1275" w:type="dxa"/>
          </w:tcPr>
          <w:p w14:paraId="64EDD83E" w14:textId="7C76979C" w:rsidR="008D4A90" w:rsidRPr="00A443B5" w:rsidRDefault="00834F14" w:rsidP="002061E5">
            <w:pPr>
              <w:spacing w:after="60"/>
              <w:rPr>
                <w:i/>
                <w:iCs/>
              </w:rPr>
            </w:pPr>
            <w:r w:rsidRPr="00A443B5">
              <w:rPr>
                <w:i/>
                <w:iCs/>
              </w:rPr>
              <w:t>f</w:t>
            </w:r>
            <w:r w:rsidRPr="00A443B5">
              <w:rPr>
                <w:vertAlign w:val="subscript"/>
              </w:rPr>
              <w:t>ck</w:t>
            </w:r>
          </w:p>
        </w:tc>
        <w:tc>
          <w:tcPr>
            <w:tcW w:w="7938" w:type="dxa"/>
          </w:tcPr>
          <w:p w14:paraId="138DA941" w14:textId="01E102B9" w:rsidR="008D4A90" w:rsidRPr="00A443B5" w:rsidRDefault="00834F14" w:rsidP="002061E5">
            <w:r w:rsidRPr="00A443B5">
              <w:t>is the characteristic compressive resistance of concrete;</w:t>
            </w:r>
          </w:p>
        </w:tc>
      </w:tr>
      <w:tr w:rsidR="008D4A90" w:rsidRPr="00A443B5" w14:paraId="770B1516" w14:textId="77777777" w:rsidTr="009B7FB1">
        <w:tc>
          <w:tcPr>
            <w:tcW w:w="1275" w:type="dxa"/>
          </w:tcPr>
          <w:p w14:paraId="4E272016" w14:textId="35635289" w:rsidR="008D4A90" w:rsidRPr="00A443B5" w:rsidRDefault="00834F14" w:rsidP="002061E5">
            <w:pPr>
              <w:spacing w:after="60"/>
              <w:rPr>
                <w:i/>
                <w:iCs/>
              </w:rPr>
            </w:pPr>
            <w:r w:rsidRPr="00A443B5">
              <w:rPr>
                <w:i/>
                <w:iCs/>
              </w:rPr>
              <w:t>γ</w:t>
            </w:r>
            <w:r w:rsidRPr="00A443B5">
              <w:rPr>
                <w:sz w:val="16"/>
                <w:szCs w:val="16"/>
                <w:vertAlign w:val="subscript"/>
              </w:rPr>
              <w:t>c</w:t>
            </w:r>
          </w:p>
        </w:tc>
        <w:tc>
          <w:tcPr>
            <w:tcW w:w="7938" w:type="dxa"/>
          </w:tcPr>
          <w:p w14:paraId="4E06D44B" w14:textId="645C2AD5" w:rsidR="008D4A90" w:rsidRPr="00A443B5" w:rsidRDefault="00834F14" w:rsidP="002061E5">
            <w:r w:rsidRPr="00A443B5">
              <w:t>is the partial factor for concrete, according to 10.3.4(1);</w:t>
            </w:r>
          </w:p>
        </w:tc>
      </w:tr>
      <w:tr w:rsidR="008D4A90" w:rsidRPr="00870D59" w14:paraId="29DCA2A0" w14:textId="77777777" w:rsidTr="009B7FB1">
        <w:tc>
          <w:tcPr>
            <w:tcW w:w="1275" w:type="dxa"/>
          </w:tcPr>
          <w:p w14:paraId="7F34F702" w14:textId="0E6CB862" w:rsidR="008D4A90" w:rsidRPr="00E05E29" w:rsidRDefault="00834F14" w:rsidP="002061E5">
            <w:pPr>
              <w:spacing w:after="60"/>
              <w:rPr>
                <w:i/>
                <w:iCs/>
              </w:rPr>
            </w:pPr>
            <w:r w:rsidRPr="00E05E29">
              <w:rPr>
                <w:i/>
                <w:iCs/>
              </w:rPr>
              <w:t>b</w:t>
            </w:r>
            <w:r w:rsidRPr="00E05E29">
              <w:rPr>
                <w:vertAlign w:val="subscript"/>
              </w:rPr>
              <w:t>int</w:t>
            </w:r>
          </w:p>
        </w:tc>
        <w:tc>
          <w:tcPr>
            <w:tcW w:w="7938" w:type="dxa"/>
          </w:tcPr>
          <w:p w14:paraId="2DF4F80C" w14:textId="59B4EE64" w:rsidR="008D4A90" w:rsidRPr="00E05E29" w:rsidRDefault="00834F14" w:rsidP="002061E5">
            <w:r w:rsidRPr="00E05E29">
              <w:t>is the control perimeter activated by the integrity reinforcement from Formula</w:t>
            </w:r>
            <w:r w:rsidR="009B7FB1">
              <w:t> </w:t>
            </w:r>
            <w:r w:rsidRPr="00E05E29">
              <w:t>(10.</w:t>
            </w:r>
            <w:r>
              <w:t>1</w:t>
            </w:r>
            <w:r w:rsidRPr="00E05E29">
              <w:t>8);</w:t>
            </w:r>
          </w:p>
        </w:tc>
      </w:tr>
    </w:tbl>
    <w:p w14:paraId="1057ABCB" w14:textId="4605C581" w:rsidR="008D4A90" w:rsidRDefault="009B5CEC" w:rsidP="008D4A90">
      <w:pPr>
        <w:pStyle w:val="Formula"/>
        <w:spacing w:before="240"/>
      </w:pPr>
      <m:oMath>
        <m:sSub>
          <m:sSubPr>
            <m:ctrlPr>
              <w:rPr>
                <w:rFonts w:ascii="Cambria Math" w:hAnsi="Cambria Math"/>
              </w:rPr>
            </m:ctrlPr>
          </m:sSubPr>
          <m:e>
            <m:r>
              <w:rPr>
                <w:rFonts w:ascii="Cambria Math" w:hAnsi="Cambria Math"/>
              </w:rPr>
              <m:t>b</m:t>
            </m:r>
          </m:e>
          <m:sub>
            <m:r>
              <m:rPr>
                <m:sty m:val="p"/>
              </m:rPr>
              <w:rPr>
                <w:rFonts w:ascii="Cambria Math" w:hAnsi="Cambria Math"/>
              </w:rPr>
              <m:t>int</m:t>
            </m:r>
          </m:sub>
        </m:sSub>
        <m:r>
          <w:rPr>
            <w:rFonts w:ascii="Cambria Math" w:hAnsi="Cambria Math"/>
          </w:rPr>
          <m:t>=</m:t>
        </m:r>
        <m:nary>
          <m:naryPr>
            <m:chr m:val="∑"/>
            <m:limLoc m:val="undOvr"/>
            <m:subHide m:val="1"/>
            <m:supHide m:val="1"/>
            <m:ctrlPr>
              <w:rPr>
                <w:rFonts w:ascii="Cambria Math" w:hAnsi="Cambria Math"/>
              </w:rPr>
            </m:ctrlPr>
          </m:naryPr>
          <m:sub/>
          <m:sup/>
          <m:e>
            <m:d>
              <m:dPr>
                <m:ctrlPr>
                  <w:rPr>
                    <w:rFonts w:ascii="Cambria Math" w:hAnsi="Cambria Math"/>
                  </w:rPr>
                </m:ctrlPr>
              </m:dPr>
              <m:e>
                <m:sSub>
                  <m:sSubPr>
                    <m:ctrlPr>
                      <w:rPr>
                        <w:rFonts w:ascii="Cambria Math" w:hAnsi="Cambria Math"/>
                      </w:rPr>
                    </m:ctrlPr>
                  </m:sSubPr>
                  <m:e>
                    <m:r>
                      <w:rPr>
                        <w:rFonts w:ascii="Cambria Math" w:hAnsi="Cambria Math"/>
                      </w:rPr>
                      <m:t>s</m:t>
                    </m:r>
                  </m:e>
                  <m:sub>
                    <m:r>
                      <m:rPr>
                        <m:sty m:val="p"/>
                      </m:rPr>
                      <w:rPr>
                        <w:rFonts w:ascii="Cambria Math" w:hAnsi="Cambria Math"/>
                      </w:rPr>
                      <m:t>int</m:t>
                    </m:r>
                  </m:sub>
                </m:sSub>
                <m:r>
                  <w:rPr>
                    <w:rFonts w:ascii="Cambria Math" w:hAnsi="Cambria Math"/>
                  </w:rPr>
                  <m:t>+</m:t>
                </m:r>
                <m:f>
                  <m:fPr>
                    <m:ctrlPr>
                      <w:rPr>
                        <w:rFonts w:ascii="Cambria Math" w:hAnsi="Cambria Math"/>
                      </w:rPr>
                    </m:ctrlPr>
                  </m:fPr>
                  <m:num>
                    <m:r>
                      <w:rPr>
                        <w:rFonts w:ascii="Cambria Math" w:hAnsi="Cambria Math"/>
                      </w:rPr>
                      <m:t>π</m:t>
                    </m:r>
                  </m:num>
                  <m:den>
                    <m:r>
                      <w:rPr>
                        <w:rFonts w:ascii="Cambria Math" w:hAnsi="Cambria Math"/>
                      </w:rPr>
                      <m:t>2</m:t>
                    </m:r>
                  </m:den>
                </m:f>
                <m:sSub>
                  <m:sSubPr>
                    <m:ctrlPr>
                      <w:rPr>
                        <w:rFonts w:ascii="Cambria Math" w:hAnsi="Cambria Math"/>
                      </w:rPr>
                    </m:ctrlPr>
                  </m:sSubPr>
                  <m:e>
                    <m:r>
                      <w:rPr>
                        <w:rFonts w:ascii="Cambria Math" w:hAnsi="Cambria Math"/>
                      </w:rPr>
                      <m:t>d</m:t>
                    </m:r>
                  </m:e>
                  <m:sub>
                    <m:r>
                      <m:rPr>
                        <m:sty m:val="p"/>
                      </m:rPr>
                      <w:rPr>
                        <w:rFonts w:ascii="Cambria Math" w:hAnsi="Cambria Math"/>
                      </w:rPr>
                      <m:t>v</m:t>
                    </m:r>
                  </m:sub>
                </m:sSub>
              </m:e>
            </m:d>
          </m:e>
        </m:nary>
        <m:r>
          <w:rPr>
            <w:rFonts w:ascii="Cambria Math" w:hAnsi="Cambria Math"/>
          </w:rPr>
          <m:t xml:space="preserve"> </m:t>
        </m:r>
      </m:oMath>
      <w:r w:rsidR="008D4A90" w:rsidRPr="00870D59">
        <w:tab/>
        <w:t>(10.</w:t>
      </w:r>
      <w:r w:rsidR="008D4A90">
        <w:t>1</w:t>
      </w:r>
      <w:r w:rsidR="004F0C21">
        <w:t>8</w:t>
      </w:r>
      <w:r w:rsidR="008D4A90" w:rsidRPr="00870D59">
        <w:t>)</w:t>
      </w:r>
    </w:p>
    <w:p w14:paraId="54C2D62C" w14:textId="77777777" w:rsidR="009B7FB1" w:rsidRPr="00A443B5" w:rsidRDefault="009B7FB1" w:rsidP="009B7FB1">
      <w:r w:rsidRPr="00A443B5">
        <w:t>where</w:t>
      </w:r>
    </w:p>
    <w:tbl>
      <w:tblPr>
        <w:tblW w:w="0" w:type="auto"/>
        <w:tblInd w:w="346" w:type="dxa"/>
        <w:tblLook w:val="04A0" w:firstRow="1" w:lastRow="0" w:firstColumn="1" w:lastColumn="0" w:noHBand="0" w:noVBand="1"/>
      </w:tblPr>
      <w:tblGrid>
        <w:gridCol w:w="1275"/>
        <w:gridCol w:w="7938"/>
      </w:tblGrid>
      <w:tr w:rsidR="00834F14" w:rsidRPr="00870D59" w14:paraId="4D4EF7B5" w14:textId="77777777" w:rsidTr="009B7FB1">
        <w:tc>
          <w:tcPr>
            <w:tcW w:w="1275" w:type="dxa"/>
          </w:tcPr>
          <w:p w14:paraId="2487F11C" w14:textId="6CD77565" w:rsidR="00834F14" w:rsidRPr="00E05E29" w:rsidRDefault="00834F14" w:rsidP="002061E5">
            <w:pPr>
              <w:spacing w:after="60"/>
              <w:rPr>
                <w:i/>
                <w:iCs/>
              </w:rPr>
            </w:pPr>
            <w:r w:rsidRPr="00D1484A">
              <w:rPr>
                <w:i/>
                <w:iCs/>
              </w:rPr>
              <w:t>s</w:t>
            </w:r>
            <w:r w:rsidRPr="00D1484A">
              <w:rPr>
                <w:vertAlign w:val="subscript"/>
              </w:rPr>
              <w:t>int</w:t>
            </w:r>
          </w:p>
        </w:tc>
        <w:tc>
          <w:tcPr>
            <w:tcW w:w="7938" w:type="dxa"/>
          </w:tcPr>
          <w:p w14:paraId="0E397520" w14:textId="5FA44937" w:rsidR="00834F14" w:rsidRPr="00E05E29" w:rsidRDefault="00834F14" w:rsidP="002061E5">
            <w:r w:rsidRPr="00D1484A">
              <w:t>is the width of the integrity bars group at each support face (Figure 10.1</w:t>
            </w:r>
            <w:r>
              <w:t>2</w:t>
            </w:r>
            <w:r w:rsidRPr="00D1484A">
              <w:t>).</w:t>
            </w:r>
          </w:p>
        </w:tc>
      </w:tr>
    </w:tbl>
    <w:p w14:paraId="25091DA1" w14:textId="756E9789" w:rsidR="00834F14" w:rsidRPr="00132C1E" w:rsidRDefault="004F6B4A" w:rsidP="004F6B4A">
      <w:pPr>
        <w:pStyle w:val="FigureImage"/>
      </w:pPr>
      <w:r>
        <w:rPr>
          <w:noProof/>
        </w:rPr>
        <w:lastRenderedPageBreak/>
        <w:drawing>
          <wp:inline distT="0" distB="0" distL="0" distR="0" wp14:anchorId="2EB85DA7" wp14:editId="4D2CB6F3">
            <wp:extent cx="3599694" cy="3756666"/>
            <wp:effectExtent l="0" t="0" r="1270" b="0"/>
            <wp:docPr id="68" name="0016.tiff"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0016.tiff" descr="A picture containing graphical user interface&#10;&#10;Description automatically generated"/>
                    <pic:cNvPicPr/>
                  </pic:nvPicPr>
                  <pic:blipFill>
                    <a:blip r:link="rId31"/>
                    <a:stretch>
                      <a:fillRect/>
                    </a:stretch>
                  </pic:blipFill>
                  <pic:spPr>
                    <a:xfrm>
                      <a:off x="0" y="0"/>
                      <a:ext cx="3599694" cy="3756666"/>
                    </a:xfrm>
                    <a:prstGeom prst="rect">
                      <a:avLst/>
                    </a:prstGeom>
                  </pic:spPr>
                </pic:pic>
              </a:graphicData>
            </a:graphic>
          </wp:inline>
        </w:drawing>
      </w:r>
    </w:p>
    <w:p w14:paraId="69C27696" w14:textId="66657259" w:rsidR="00834F14" w:rsidRPr="00D1484A" w:rsidRDefault="00834F14" w:rsidP="00B137B9">
      <w:pPr>
        <w:pStyle w:val="Figuretitle"/>
      </w:pPr>
      <w:r w:rsidRPr="00D1484A">
        <w:t>Figure</w:t>
      </w:r>
      <w:r w:rsidR="00B137B9">
        <w:t> 10</w:t>
      </w:r>
      <w:r w:rsidRPr="00132C1E">
        <w:t>.</w:t>
      </w:r>
      <w:r>
        <w:t>12</w:t>
      </w:r>
      <w:r w:rsidR="00B137B9">
        <w:t> </w:t>
      </w:r>
      <w:r w:rsidRPr="00D1484A">
        <w:rPr>
          <w:rFonts w:ascii="`ÃÍœ˛" w:eastAsia="Cambria" w:hAnsi="`ÃÍœ˛" w:cs="`ÃÍœ˛"/>
          <w:szCs w:val="22"/>
          <w:lang w:eastAsia="de-DE"/>
        </w:rPr>
        <w:t>—</w:t>
      </w:r>
      <w:r w:rsidRPr="00D1484A">
        <w:t> Integrity reinforcement</w:t>
      </w:r>
    </w:p>
    <w:p w14:paraId="644C552C" w14:textId="7A706C3C" w:rsidR="00834F14" w:rsidRPr="00205B72" w:rsidRDefault="00834F14" w:rsidP="00724E4E">
      <w:pPr>
        <w:pStyle w:val="Clause"/>
      </w:pPr>
      <w:r w:rsidRPr="007E6F67">
        <w:t xml:space="preserve">Punching shear resistance </w:t>
      </w:r>
      <w:r w:rsidRPr="00205B72">
        <w:t xml:space="preserve">should be verified in all slab-column, slab-wall connections and drop panel borders, based on the control perimeter </w:t>
      </w:r>
      <w:r w:rsidRPr="00205B72">
        <w:rPr>
          <w:i/>
          <w:iCs/>
        </w:rPr>
        <w:t>b</w:t>
      </w:r>
      <w:r w:rsidRPr="00205B72">
        <w:rPr>
          <w:vertAlign w:val="subscript"/>
        </w:rPr>
        <w:t>0</w:t>
      </w:r>
      <w:r w:rsidR="00D74450" w:rsidRPr="00205B72">
        <w:rPr>
          <w:vertAlign w:val="subscript"/>
        </w:rPr>
        <w:t>,5</w:t>
      </w:r>
      <w:r w:rsidRPr="00205B72">
        <w:t xml:space="preserve"> defined in </w:t>
      </w:r>
      <w:r w:rsidR="0026060E">
        <w:t>prEN 1992-1-1:2021</w:t>
      </w:r>
      <w:r w:rsidRPr="00205B72">
        <w:t xml:space="preserve">, 8.4.2(2) and (3), where the slab or drop panel shear effective depth </w:t>
      </w:r>
      <w:r w:rsidRPr="00205B72">
        <w:rPr>
          <w:i/>
          <w:iCs/>
        </w:rPr>
        <w:t>d</w:t>
      </w:r>
      <w:r w:rsidRPr="00205B72">
        <w:rPr>
          <w:vertAlign w:val="subscript"/>
        </w:rPr>
        <w:t>v</w:t>
      </w:r>
      <w:r w:rsidRPr="00205B72">
        <w:t xml:space="preserve"> should be determined according to </w:t>
      </w:r>
      <w:r w:rsidR="0026060E">
        <w:t>prEN 1992-1-1:2021</w:t>
      </w:r>
      <w:r w:rsidRPr="00205B72">
        <w:t>, 8.4.2(1).</w:t>
      </w:r>
    </w:p>
    <w:p w14:paraId="0699C093" w14:textId="63D4F97E" w:rsidR="00B137B9" w:rsidRPr="00205B72" w:rsidRDefault="00B137B9" w:rsidP="00724E4E">
      <w:pPr>
        <w:pStyle w:val="Clause"/>
      </w:pPr>
      <w:r w:rsidRPr="00205B72">
        <w:t xml:space="preserve">Punching shear should be verified considering the eccentricity of the shear forces, according to </w:t>
      </w:r>
      <w:r w:rsidR="0026060E">
        <w:t>prEN</w:t>
      </w:r>
      <w:r w:rsidR="009B7FB1">
        <w:t> </w:t>
      </w:r>
      <w:r w:rsidR="0026060E">
        <w:t>1992-1-1:2021</w:t>
      </w:r>
      <w:r w:rsidRPr="00205B72">
        <w:t>, 8.4.2(6) to (</w:t>
      </w:r>
      <w:r w:rsidR="00D74450" w:rsidRPr="00205B72">
        <w:t>8</w:t>
      </w:r>
      <w:r w:rsidRPr="00205B72">
        <w:t xml:space="preserve">) </w:t>
      </w:r>
      <w:r w:rsidRPr="00205B72">
        <w:rPr>
          <w:rFonts w:eastAsiaTheme="minorEastAsia"/>
        </w:rPr>
        <w:t xml:space="preserve">using for all types of support the refined value of eccentricity </w:t>
      </w:r>
      <w:r w:rsidRPr="00205B72">
        <w:rPr>
          <w:rFonts w:eastAsiaTheme="minorEastAsia"/>
          <w:i/>
          <w:iCs/>
        </w:rPr>
        <w:t>e</w:t>
      </w:r>
      <w:r w:rsidRPr="00205B72">
        <w:rPr>
          <w:rFonts w:eastAsiaTheme="minorEastAsia"/>
          <w:vertAlign w:val="subscript"/>
        </w:rPr>
        <w:t>b</w:t>
      </w:r>
      <w:r w:rsidRPr="00205B72">
        <w:rPr>
          <w:rFonts w:eastAsiaTheme="minorEastAsia"/>
        </w:rPr>
        <w:t xml:space="preserve"> of the shear force for internal columns as given in </w:t>
      </w:r>
      <w:r w:rsidR="0026060E">
        <w:rPr>
          <w:rFonts w:eastAsiaTheme="minorEastAsia"/>
        </w:rPr>
        <w:t>prEN 1992-1-1:2021</w:t>
      </w:r>
      <w:r w:rsidRPr="00205B72">
        <w:rPr>
          <w:rFonts w:eastAsiaTheme="minorEastAsia"/>
        </w:rPr>
        <w:t xml:space="preserve">, 8.4.2(6), Table 8.3. The components </w:t>
      </w:r>
      <w:r w:rsidRPr="00205B72">
        <w:rPr>
          <w:rFonts w:eastAsiaTheme="minorEastAsia"/>
          <w:i/>
          <w:iCs/>
        </w:rPr>
        <w:t>e</w:t>
      </w:r>
      <w:r w:rsidRPr="00205B72">
        <w:rPr>
          <w:rFonts w:eastAsiaTheme="minorEastAsia"/>
          <w:vertAlign w:val="subscript"/>
        </w:rPr>
        <w:t xml:space="preserve">b,x </w:t>
      </w:r>
      <w:r w:rsidRPr="00205B72">
        <w:rPr>
          <w:rFonts w:eastAsiaTheme="minorEastAsia"/>
        </w:rPr>
        <w:t xml:space="preserve">and </w:t>
      </w:r>
      <w:r w:rsidRPr="00205B72">
        <w:rPr>
          <w:rFonts w:eastAsiaTheme="minorEastAsia"/>
          <w:i/>
          <w:iCs/>
        </w:rPr>
        <w:t>e</w:t>
      </w:r>
      <w:r w:rsidRPr="00205B72">
        <w:rPr>
          <w:rFonts w:eastAsiaTheme="minorEastAsia"/>
          <w:vertAlign w:val="subscript"/>
        </w:rPr>
        <w:t xml:space="preserve">b,y </w:t>
      </w:r>
      <w:r w:rsidRPr="00205B72">
        <w:rPr>
          <w:rFonts w:eastAsiaTheme="minorEastAsia"/>
        </w:rPr>
        <w:t>of the eccentricity should be calculated from capacity design moments, determined in each one of two orthogonal directions of the supporting column as the smaller of a) and b):</w:t>
      </w:r>
    </w:p>
    <w:p w14:paraId="5B2229C5" w14:textId="52169DDC" w:rsidR="00834F14" w:rsidRPr="00205B72" w:rsidRDefault="00834F14" w:rsidP="0080187E">
      <w:pPr>
        <w:pStyle w:val="List2"/>
        <w:numPr>
          <w:ilvl w:val="0"/>
          <w:numId w:val="137"/>
        </w:numPr>
        <w:spacing w:before="0" w:after="240" w:line="230" w:lineRule="atLeast"/>
        <w:contextualSpacing w:val="0"/>
        <w:rPr>
          <w:rFonts w:cs="Arial"/>
        </w:rPr>
      </w:pPr>
      <w:bookmarkStart w:id="7519" w:name="_Hlk90642120"/>
      <w:r w:rsidRPr="00205B72">
        <w:rPr>
          <w:rFonts w:cs="Arial"/>
        </w:rPr>
        <w:t xml:space="preserve">The sum of design values of moment resistances </w:t>
      </w:r>
      <w:r w:rsidRPr="00205B72">
        <w:rPr>
          <w:rFonts w:cs="Arial"/>
          <w:lang w:val="en-US"/>
        </w:rPr>
        <w:t>of the supporting column</w:t>
      </w:r>
      <w:r w:rsidRPr="00205B72">
        <w:rPr>
          <w:rFonts w:cs="Arial"/>
        </w:rPr>
        <w:t xml:space="preserve"> at the interfaces with the slab above and below its joint with the column;</w:t>
      </w:r>
    </w:p>
    <w:p w14:paraId="48A94D8C" w14:textId="1536D222" w:rsidR="00834F14" w:rsidRPr="00205B72" w:rsidRDefault="00834F14" w:rsidP="0080187E">
      <w:pPr>
        <w:pStyle w:val="List2"/>
        <w:numPr>
          <w:ilvl w:val="0"/>
          <w:numId w:val="137"/>
        </w:numPr>
        <w:spacing w:before="0" w:after="240" w:line="230" w:lineRule="atLeast"/>
        <w:contextualSpacing w:val="0"/>
        <w:rPr>
          <w:rFonts w:cs="Arial"/>
          <w:lang w:val="en-US"/>
        </w:rPr>
      </w:pPr>
      <w:r w:rsidRPr="00205B72">
        <w:t>The slab’s flexural resistance at a support section normal to the plane of bending calculated according to 1) or 2): 1) 80</w:t>
      </w:r>
      <w:r w:rsidR="009B7FB1">
        <w:t> </w:t>
      </w:r>
      <w:r w:rsidRPr="00205B72">
        <w:t>% of the sum of design values of sagging and hogging moment resistances of the full width of the slab tributary to an interior joint with the column or 75</w:t>
      </w:r>
      <w:r w:rsidR="009B7FB1">
        <w:t> </w:t>
      </w:r>
      <w:r w:rsidRPr="00205B72">
        <w:t>% of the hogging moment resistance at edge joints in the direction of bending; 2) at interior</w:t>
      </w:r>
      <w:r w:rsidRPr="00205B72">
        <w:rPr>
          <w:lang w:val="en-US"/>
        </w:rPr>
        <w:t xml:space="preserve"> columns,</w:t>
      </w:r>
      <w:r w:rsidRPr="00205B72">
        <w:t xml:space="preserve"> as 1.25-times the sum of design values of sagging and hogging moment resistances of the support sections of “equivalent beams” per 10.10.1(7)  framing into opposite sides </w:t>
      </w:r>
      <w:r w:rsidRPr="00205B72">
        <w:rPr>
          <w:lang w:val="en-US"/>
        </w:rPr>
        <w:t>of the column</w:t>
      </w:r>
      <w:r w:rsidRPr="00205B72">
        <w:t xml:space="preserve"> in the plane of bending; at edge </w:t>
      </w:r>
      <w:r w:rsidRPr="00205B72">
        <w:rPr>
          <w:lang w:val="en-US"/>
        </w:rPr>
        <w:t>columns,</w:t>
      </w:r>
      <w:r w:rsidRPr="00205B72">
        <w:t xml:space="preserve"> the design value of hogging moment resistance of the support section of the equivalent beam per 10.10.1(7) connected to</w:t>
      </w:r>
      <w:r w:rsidRPr="00205B72">
        <w:rPr>
          <w:lang w:val="en-US"/>
        </w:rPr>
        <w:t xml:space="preserve"> the column</w:t>
      </w:r>
      <w:r w:rsidRPr="00205B72">
        <w:t>.</w:t>
      </w:r>
      <w:bookmarkEnd w:id="7519"/>
    </w:p>
    <w:p w14:paraId="2210CBAD" w14:textId="67A00C3B" w:rsidR="00834F14" w:rsidRPr="00502341" w:rsidRDefault="00BA7AEE" w:rsidP="00724E4E">
      <w:pPr>
        <w:pStyle w:val="Clause"/>
        <w:rPr>
          <w:lang w:val="en-US"/>
        </w:rPr>
      </w:pPr>
      <w:r>
        <w:t>prEN 1992-1-1:202</w:t>
      </w:r>
      <w:r w:rsidR="001D3649">
        <w:t>1</w:t>
      </w:r>
      <w:r w:rsidR="00834F14" w:rsidRPr="00205B72">
        <w:t>, 8.4, as modified in (12) should be used for the verification of flat slabs in punching shear at SD.</w:t>
      </w:r>
      <w:r w:rsidR="00D74450" w:rsidRPr="00205B72">
        <w:t xml:space="preserve"> </w:t>
      </w:r>
      <w:r w:rsidR="00834F14" w:rsidRPr="00205B72">
        <w:t>Punching shear reinforc</w:t>
      </w:r>
      <w:r w:rsidR="00834F14" w:rsidRPr="003F2C10">
        <w:t xml:space="preserve">ement may be omitted when the maximum design punching shear stress </w:t>
      </w:r>
      <w:r w:rsidR="00834F14" w:rsidRPr="00502341">
        <w:rPr>
          <w:i/>
          <w:iCs/>
        </w:rPr>
        <w:t>τ</w:t>
      </w:r>
      <w:r w:rsidR="00834F14" w:rsidRPr="00502341">
        <w:rPr>
          <w:vertAlign w:val="subscript"/>
        </w:rPr>
        <w:t>Ed</w:t>
      </w:r>
      <w:r w:rsidR="00834F14" w:rsidRPr="003F2C10">
        <w:t xml:space="preserve"> in the control perimeter in the seismic design situation satisfies Formula</w:t>
      </w:r>
      <w:r w:rsidR="009B7FB1">
        <w:t> </w:t>
      </w:r>
      <w:r w:rsidR="00834F14" w:rsidRPr="003F2C10">
        <w:t>(10.19).</w:t>
      </w:r>
    </w:p>
    <w:p w14:paraId="0087431C" w14:textId="7C2A46FA" w:rsidR="00B137B9" w:rsidRPr="00205B72" w:rsidRDefault="00B137B9" w:rsidP="00724E4E">
      <w:pPr>
        <w:pStyle w:val="Clause"/>
        <w:rPr>
          <w:lang w:val="en-US"/>
        </w:rPr>
      </w:pPr>
      <w:r>
        <w:lastRenderedPageBreak/>
        <w:t>A</w:t>
      </w:r>
      <w:r w:rsidRPr="00DA3A9A">
        <w:t xml:space="preserve">t joints </w:t>
      </w:r>
      <w:r w:rsidRPr="00205B72">
        <w:t xml:space="preserve">with columns surrounded by others in all directions, the punching shear resistance in </w:t>
      </w:r>
      <w:r w:rsidR="00BA7AEE">
        <w:t>prEN 1992-1-1:202</w:t>
      </w:r>
      <w:r w:rsidR="001D3649">
        <w:t>1</w:t>
      </w:r>
      <w:r w:rsidRPr="00205B72">
        <w:t>, 8.4.3, Formula (8.</w:t>
      </w:r>
      <w:r w:rsidR="00D74450" w:rsidRPr="00205B72">
        <w:t>94</w:t>
      </w:r>
      <w:r w:rsidRPr="00205B72">
        <w:t xml:space="preserve">), may be multiplied by </w:t>
      </w:r>
      <w:r w:rsidRPr="00205B72">
        <w:rPr>
          <w:i/>
          <w:iCs/>
          <w:lang w:val="fr-FR"/>
        </w:rPr>
        <w:t>η</w:t>
      </w:r>
      <w:r w:rsidRPr="00205B72">
        <w:rPr>
          <w:vertAlign w:val="subscript"/>
        </w:rPr>
        <w:t>pm</w:t>
      </w:r>
      <w:r w:rsidRPr="00205B72">
        <w:t xml:space="preserve"> as given in Formula (10.19a):</w:t>
      </w:r>
    </w:p>
    <w:p w14:paraId="692433EA" w14:textId="3ACEE00D" w:rsidR="00B137B9" w:rsidRPr="00205B72" w:rsidRDefault="009B5CEC" w:rsidP="00B137B9">
      <w:pPr>
        <w:pStyle w:val="Formula"/>
        <w:spacing w:before="240"/>
      </w:pPr>
      <m:oMath>
        <m:sSub>
          <m:sSubPr>
            <m:ctrlPr>
              <w:rPr>
                <w:rFonts w:ascii="Cambria Math" w:hAnsi="Cambria Math"/>
              </w:rPr>
            </m:ctrlPr>
          </m:sSubPr>
          <m:e>
            <m:r>
              <w:rPr>
                <w:rFonts w:ascii="Cambria Math" w:hAnsi="Cambria Math"/>
              </w:rPr>
              <m:t>η</m:t>
            </m:r>
          </m:e>
          <m:sub>
            <m:r>
              <m:rPr>
                <m:sty m:val="p"/>
              </m:rPr>
              <w:rPr>
                <w:rFonts w:ascii="Cambria Math" w:hAnsi="Cambria Math"/>
              </w:rPr>
              <m:t>pm</m:t>
            </m:r>
          </m:sub>
        </m:sSub>
        <m:r>
          <m:rPr>
            <m:sty m:val="p"/>
          </m:rPr>
          <w:rPr>
            <w:rFonts w:ascii="Cambria Math" w:hAnsi="Cambria Math"/>
          </w:rPr>
          <m:t>=</m:t>
        </m:r>
        <m:rad>
          <m:radPr>
            <m:degHide m:val="1"/>
            <m:ctrlPr>
              <w:rPr>
                <w:rFonts w:ascii="Cambria Math" w:hAnsi="Cambria Math"/>
              </w:rPr>
            </m:ctrlPr>
          </m:radPr>
          <m:deg/>
          <m:e>
            <m:f>
              <m:fPr>
                <m:ctrlPr>
                  <w:rPr>
                    <w:rFonts w:ascii="Cambria Math" w:hAnsi="Cambria Math"/>
                  </w:rPr>
                </m:ctrlPr>
              </m:fPr>
              <m:num>
                <m:r>
                  <w:rPr>
                    <w:rFonts w:ascii="Cambria Math" w:hAnsi="Cambria Math"/>
                  </w:rPr>
                  <m:t>h</m:t>
                </m:r>
              </m:num>
              <m:den>
                <m:sSub>
                  <m:sSubPr>
                    <m:ctrlPr>
                      <w:rPr>
                        <w:rFonts w:ascii="Cambria Math" w:hAnsi="Cambria Math"/>
                      </w:rPr>
                    </m:ctrlPr>
                  </m:sSubPr>
                  <m:e>
                    <m:r>
                      <w:rPr>
                        <w:rFonts w:ascii="Cambria Math" w:hAnsi="Cambria Math"/>
                      </w:rPr>
                      <m:t>d</m:t>
                    </m:r>
                  </m:e>
                  <m:sub>
                    <m:r>
                      <m:rPr>
                        <m:sty m:val="p"/>
                      </m:rPr>
                      <w:rPr>
                        <w:rFonts w:ascii="Cambria Math" w:hAnsi="Cambria Math"/>
                      </w:rPr>
                      <m:t>v</m:t>
                    </m:r>
                  </m:sub>
                </m:sSub>
              </m:den>
            </m:f>
          </m:e>
        </m:rad>
        <m:sSup>
          <m:sSupPr>
            <m:ctrlPr>
              <w:rPr>
                <w:rFonts w:ascii="Cambria Math" w:hAnsi="Cambria Math"/>
              </w:rPr>
            </m:ctrlPr>
          </m:sSupPr>
          <m:e>
            <m:d>
              <m:dPr>
                <m:ctrlPr>
                  <w:rPr>
                    <w:rFonts w:ascii="Cambria Math" w:hAnsi="Cambria Math"/>
                  </w:rPr>
                </m:ctrlPr>
              </m:dPr>
              <m:e>
                <m:r>
                  <m:rPr>
                    <m:sty m:val="p"/>
                  </m:rPr>
                  <w:rPr>
                    <w:rFonts w:ascii="Cambria Math" w:hAnsi="Cambria Math"/>
                  </w:rPr>
                  <m:t>1,2</m:t>
                </m:r>
                <m:f>
                  <m:fPr>
                    <m:ctrlPr>
                      <w:rPr>
                        <w:rFonts w:ascii="Cambria Math" w:hAnsi="Cambria Math"/>
                      </w:rPr>
                    </m:ctrlPr>
                  </m:fPr>
                  <m:num>
                    <m:rad>
                      <m:radPr>
                        <m:degHide m:val="1"/>
                        <m:ctrlPr>
                          <w:rPr>
                            <w:rFonts w:ascii="Cambria Math" w:hAnsi="Cambria Math"/>
                          </w:rPr>
                        </m:ctrlPr>
                      </m:radPr>
                      <m:deg/>
                      <m:e>
                        <m:sSub>
                          <m:sSubPr>
                            <m:ctrlPr>
                              <w:rPr>
                                <w:rFonts w:ascii="Cambria Math" w:hAnsi="Cambria Math"/>
                              </w:rPr>
                            </m:ctrlPr>
                          </m:sSubPr>
                          <m:e>
                            <m:r>
                              <w:rPr>
                                <w:rFonts w:ascii="Cambria Math" w:hAnsi="Cambria Math"/>
                              </w:rPr>
                              <m:t>f</m:t>
                            </m:r>
                          </m:e>
                          <m:sub>
                            <m:r>
                              <m:rPr>
                                <m:sty m:val="p"/>
                              </m:rPr>
                              <w:rPr>
                                <w:rFonts w:ascii="Cambria Math" w:hAnsi="Cambria Math"/>
                              </w:rPr>
                              <m:t>ck</m:t>
                            </m:r>
                          </m:sub>
                        </m:sSub>
                      </m:e>
                    </m:rad>
                  </m:num>
                  <m:den>
                    <m:sSub>
                      <m:sSubPr>
                        <m:ctrlPr>
                          <w:rPr>
                            <w:rFonts w:ascii="Cambria Math" w:hAnsi="Cambria Math"/>
                          </w:rPr>
                        </m:ctrlPr>
                      </m:sSubPr>
                      <m:e>
                        <m:r>
                          <w:rPr>
                            <w:rFonts w:ascii="Cambria Math" w:hAnsi="Cambria Math"/>
                          </w:rPr>
                          <m:t>ρ</m:t>
                        </m:r>
                      </m:e>
                      <m:sub>
                        <m:r>
                          <w:rPr>
                            <w:rFonts w:ascii="Cambria Math" w:hAnsi="Cambria Math"/>
                          </w:rPr>
                          <m:t>l</m:t>
                        </m:r>
                      </m:sub>
                    </m:sSub>
                    <m:sSub>
                      <m:sSubPr>
                        <m:ctrlPr>
                          <w:rPr>
                            <w:rFonts w:ascii="Cambria Math" w:hAnsi="Cambria Math"/>
                          </w:rPr>
                        </m:ctrlPr>
                      </m:sSubPr>
                      <m:e>
                        <m:r>
                          <w:rPr>
                            <w:rFonts w:ascii="Cambria Math" w:hAnsi="Cambria Math"/>
                          </w:rPr>
                          <m:t>f</m:t>
                        </m:r>
                      </m:e>
                      <m:sub>
                        <m:r>
                          <m:rPr>
                            <m:sty m:val="p"/>
                          </m:rPr>
                          <w:rPr>
                            <w:rFonts w:ascii="Cambria Math" w:hAnsi="Cambria Math"/>
                          </w:rPr>
                          <m:t>yk</m:t>
                        </m:r>
                      </m:sub>
                    </m:sSub>
                  </m:den>
                </m:f>
              </m:e>
            </m:d>
          </m:e>
          <m:sup>
            <m:f>
              <m:fPr>
                <m:ctrlPr>
                  <w:rPr>
                    <w:rFonts w:ascii="Cambria Math" w:hAnsi="Cambria Math"/>
                  </w:rPr>
                </m:ctrlPr>
              </m:fPr>
              <m:num>
                <m:r>
                  <m:rPr>
                    <m:sty m:val="p"/>
                  </m:rPr>
                  <w:rPr>
                    <w:rFonts w:ascii="Cambria Math" w:hAnsi="Cambria Math"/>
                  </w:rPr>
                  <m:t>1</m:t>
                </m:r>
              </m:num>
              <m:den>
                <m:r>
                  <m:rPr>
                    <m:sty m:val="p"/>
                  </m:rPr>
                  <w:rPr>
                    <w:rFonts w:ascii="Cambria Math" w:hAnsi="Cambria Math"/>
                  </w:rPr>
                  <m:t>4</m:t>
                </m:r>
              </m:den>
            </m:f>
          </m:sup>
        </m:sSup>
        <m:r>
          <m:rPr>
            <m:sty m:val="p"/>
          </m:rPr>
          <w:rPr>
            <w:rFonts w:ascii="Cambria Math" w:hAnsi="Cambria Math"/>
          </w:rPr>
          <m:t xml:space="preserve">≥ 1 </m:t>
        </m:r>
        <m:r>
          <w:rPr>
            <w:rFonts w:ascii="Cambria Math" w:hAnsi="Cambria Math"/>
          </w:rPr>
          <m:t xml:space="preserve"> </m:t>
        </m:r>
      </m:oMath>
      <w:r w:rsidR="00B137B9" w:rsidRPr="00205B72">
        <w:tab/>
        <w:t>(10.19)</w:t>
      </w:r>
    </w:p>
    <w:p w14:paraId="5A9ABAD4" w14:textId="468F1E07" w:rsidR="00B137B9" w:rsidRPr="00205B72" w:rsidRDefault="0026060E" w:rsidP="00724E4E">
      <w:pPr>
        <w:pStyle w:val="Clause"/>
      </w:pPr>
      <w:r w:rsidRPr="00205B72">
        <w:t>Alternatively,</w:t>
      </w:r>
      <w:r w:rsidR="00B137B9" w:rsidRPr="00205B72">
        <w:t xml:space="preserve"> to (13) and </w:t>
      </w:r>
      <w:r>
        <w:t>prEN 1992-1-1:2021</w:t>
      </w:r>
      <w:r w:rsidR="00B137B9" w:rsidRPr="00205B72">
        <w:t xml:space="preserve">, 8.4, as modified in (12) to (14), the flat slab may be verified in punching shear at SD according to the modifications to </w:t>
      </w:r>
      <w:r>
        <w:t>prEN 1992-1-1:2021</w:t>
      </w:r>
      <w:r w:rsidR="00B137B9" w:rsidRPr="00205B72">
        <w:t>, 8.4 given in (16) and (17).</w:t>
      </w:r>
    </w:p>
    <w:p w14:paraId="7CFE4754" w14:textId="7B7FCFE6" w:rsidR="00B137B9" w:rsidRPr="00205B72" w:rsidRDefault="00B137B9" w:rsidP="00724E4E">
      <w:pPr>
        <w:pStyle w:val="Clause"/>
        <w:rPr>
          <w:lang w:val="en-US"/>
        </w:rPr>
      </w:pPr>
      <w:r w:rsidRPr="00205B72">
        <w:t xml:space="preserve">The punching shear resistance in slabs without shear reinforcement should be calculated with </w:t>
      </w:r>
      <w:r w:rsidR="009A7B0F" w:rsidRPr="00205B72">
        <w:t>Formula</w:t>
      </w:r>
      <w:r w:rsidRPr="00205B72">
        <w:t xml:space="preserve"> (10.20), instead of </w:t>
      </w:r>
      <w:r w:rsidR="0026060E">
        <w:t>prEN 1992-1-1:2021</w:t>
      </w:r>
      <w:r w:rsidRPr="00205B72">
        <w:rPr>
          <w:lang w:val="en-US"/>
        </w:rPr>
        <w:t>,</w:t>
      </w:r>
      <w:r w:rsidRPr="00205B72">
        <w:t xml:space="preserve"> Formula (8.</w:t>
      </w:r>
      <w:r w:rsidR="00755A8E" w:rsidRPr="00205B72">
        <w:t>94</w:t>
      </w:r>
      <w:r w:rsidRPr="00205B72">
        <w:t>):</w:t>
      </w:r>
    </w:p>
    <w:p w14:paraId="0855C350" w14:textId="1753E79A" w:rsidR="00B137B9" w:rsidRPr="00205B72" w:rsidRDefault="009B5CEC" w:rsidP="00B137B9">
      <w:pPr>
        <w:pStyle w:val="Formula"/>
        <w:spacing w:before="240"/>
      </w:pPr>
      <m:oMath>
        <m:sSub>
          <m:sSubPr>
            <m:ctrlPr>
              <w:rPr>
                <w:rFonts w:ascii="Cambria Math" w:hAnsi="Cambria Math"/>
              </w:rPr>
            </m:ctrlPr>
          </m:sSubPr>
          <m:e>
            <m:r>
              <w:rPr>
                <w:rFonts w:ascii="Cambria Math" w:hAnsi="Cambria Math"/>
              </w:rPr>
              <m:t>τ</m:t>
            </m:r>
          </m:e>
          <m:sub>
            <m:r>
              <m:rPr>
                <m:sty m:val="p"/>
              </m:rPr>
              <w:rPr>
                <w:rFonts w:ascii="Cambria Math" w:hAnsi="Cambria Math"/>
              </w:rPr>
              <m:t>Rd,c</m:t>
            </m:r>
          </m:sub>
        </m:sSub>
        <m:r>
          <m:rPr>
            <m:sty m:val="p"/>
          </m:rPr>
          <w:rPr>
            <w:rFonts w:ascii="Cambria Math" w:hAnsi="Cambria Math"/>
          </w:rPr>
          <m:t>=</m:t>
        </m:r>
        <m:f>
          <m:fPr>
            <m:ctrlPr>
              <w:rPr>
                <w:rFonts w:ascii="Cambria Math" w:hAnsi="Cambria Math"/>
              </w:rPr>
            </m:ctrlPr>
          </m:fPr>
          <m:num>
            <m:r>
              <m:rPr>
                <m:sty m:val="p"/>
              </m:rPr>
              <w:rPr>
                <w:rFonts w:ascii="Cambria Math" w:hAnsi="Cambria Math"/>
              </w:rPr>
              <m:t>0,4</m:t>
            </m:r>
            <m:sSubSup>
              <m:sSubSupPr>
                <m:ctrlPr>
                  <w:rPr>
                    <w:rFonts w:ascii="Cambria Math" w:hAnsi="Cambria Math"/>
                  </w:rPr>
                </m:ctrlPr>
              </m:sSubSupPr>
              <m:e>
                <m:d>
                  <m:dPr>
                    <m:ctrlPr>
                      <w:rPr>
                        <w:rFonts w:ascii="Cambria Math" w:hAnsi="Cambria Math"/>
                      </w:rPr>
                    </m:ctrlPr>
                  </m:dPr>
                  <m:e>
                    <m:r>
                      <m:rPr>
                        <m:sty m:val="p"/>
                      </m:rPr>
                      <w:rPr>
                        <w:rFonts w:ascii="Cambria Math" w:hAnsi="Cambria Math"/>
                      </w:rPr>
                      <m:t>100</m:t>
                    </m:r>
                    <m:sSub>
                      <m:sSubPr>
                        <m:ctrlPr>
                          <w:rPr>
                            <w:rFonts w:ascii="Cambria Math" w:hAnsi="Cambria Math"/>
                          </w:rPr>
                        </m:ctrlPr>
                      </m:sSubPr>
                      <m:e>
                        <m:r>
                          <w:rPr>
                            <w:rFonts w:ascii="Cambria Math" w:hAnsi="Cambria Math"/>
                          </w:rPr>
                          <m:t>ρ</m:t>
                        </m:r>
                      </m:e>
                      <m:sub>
                        <m:r>
                          <w:rPr>
                            <w:rFonts w:ascii="Cambria Math" w:hAnsi="Cambria Math"/>
                          </w:rPr>
                          <m:t>l</m:t>
                        </m:r>
                      </m:sub>
                    </m:sSub>
                  </m:e>
                </m:d>
              </m:e>
              <m:sub/>
              <m:sup>
                <m:r>
                  <m:rPr>
                    <m:sty m:val="p"/>
                  </m:rPr>
                  <w:rPr>
                    <w:rFonts w:ascii="Cambria Math" w:hAnsi="Cambria Math"/>
                  </w:rPr>
                  <m:t>1/3</m:t>
                </m:r>
              </m:sup>
            </m:sSubSup>
          </m:num>
          <m:den>
            <m:sSub>
              <m:sSubPr>
                <m:ctrlPr>
                  <w:rPr>
                    <w:rFonts w:ascii="Cambria Math" w:hAnsi="Cambria Math"/>
                  </w:rPr>
                </m:ctrlPr>
              </m:sSubPr>
              <m:e>
                <m:r>
                  <w:rPr>
                    <w:rFonts w:ascii="Cambria Math" w:hAnsi="Cambria Math"/>
                  </w:rPr>
                  <m:t>γ</m:t>
                </m:r>
              </m:e>
              <m:sub>
                <m:r>
                  <w:rPr>
                    <w:rFonts w:ascii="Cambria Math" w:hAnsi="Cambria Math"/>
                  </w:rPr>
                  <m:t>V</m:t>
                </m:r>
              </m:sub>
            </m:sSub>
          </m:den>
        </m:f>
        <m:rad>
          <m:radPr>
            <m:degHide m:val="1"/>
            <m:ctrlPr>
              <w:rPr>
                <w:rFonts w:ascii="Cambria Math" w:hAnsi="Cambria Math"/>
              </w:rPr>
            </m:ctrlPr>
          </m:radPr>
          <m:deg/>
          <m:e>
            <m:sSub>
              <m:sSubPr>
                <m:ctrlPr>
                  <w:rPr>
                    <w:rFonts w:ascii="Cambria Math" w:hAnsi="Cambria Math"/>
                  </w:rPr>
                </m:ctrlPr>
              </m:sSubPr>
              <m:e>
                <m:r>
                  <w:rPr>
                    <w:rFonts w:ascii="Cambria Math" w:hAnsi="Cambria Math"/>
                  </w:rPr>
                  <m:t>f</m:t>
                </m:r>
              </m:e>
              <m:sub>
                <m:r>
                  <m:rPr>
                    <m:sty m:val="p"/>
                  </m:rPr>
                  <w:rPr>
                    <w:rFonts w:ascii="Cambria Math" w:hAnsi="Cambria Math"/>
                  </w:rPr>
                  <m:t>ck</m:t>
                </m:r>
              </m:sub>
            </m:sSub>
          </m:e>
        </m:rad>
        <m:r>
          <w:rPr>
            <w:rFonts w:ascii="Cambria Math" w:hAnsi="Cambria Math"/>
          </w:rPr>
          <m:t xml:space="preserve"> </m:t>
        </m:r>
      </m:oMath>
      <w:r w:rsidR="00B137B9" w:rsidRPr="00205B72">
        <w:tab/>
        <w:t>(10.20)</w:t>
      </w:r>
    </w:p>
    <w:p w14:paraId="62ED9700" w14:textId="7157B731" w:rsidR="00B137B9" w:rsidRPr="00205B72" w:rsidRDefault="00B137B9" w:rsidP="00516474">
      <w:pPr>
        <w:pStyle w:val="Text"/>
      </w:pPr>
      <w:r w:rsidRPr="00205B72">
        <w:t xml:space="preserve">where the symbols are as defined in </w:t>
      </w:r>
      <w:r w:rsidR="0026060E">
        <w:t>prEN 1992-1-1:2021</w:t>
      </w:r>
      <w:r w:rsidRPr="00205B72">
        <w:t>, 8.4.3(1), with the reinforcement ratio referring to the tension (i.e., top) face of the slab.</w:t>
      </w:r>
    </w:p>
    <w:p w14:paraId="4FC6C89F" w14:textId="28EE4C9D" w:rsidR="00B137B9" w:rsidRPr="00205B72" w:rsidRDefault="00B137B9" w:rsidP="00724E4E">
      <w:pPr>
        <w:pStyle w:val="Clause"/>
      </w:pPr>
      <w:r w:rsidRPr="00205B72">
        <w:t>For slabs with shear reinforcement, the constant values given by Formula</w:t>
      </w:r>
      <w:r w:rsidR="009B7FB1">
        <w:t>e</w:t>
      </w:r>
      <w:r w:rsidRPr="00205B72">
        <w:t xml:space="preserve"> (10.21) and (10.22) should be used in </w:t>
      </w:r>
      <w:r w:rsidR="0026060E">
        <w:t>prEN 1992-1-1:2021</w:t>
      </w:r>
      <w:r w:rsidRPr="00205B72">
        <w:t>, 8.4.4, Formulas (8.</w:t>
      </w:r>
      <w:r w:rsidR="00203AA9" w:rsidRPr="00205B72">
        <w:t>104</w:t>
      </w:r>
      <w:r w:rsidRPr="00205B72">
        <w:t>) and (8.</w:t>
      </w:r>
      <w:r w:rsidR="00203AA9" w:rsidRPr="00205B72">
        <w:t>112</w:t>
      </w:r>
      <w:r w:rsidRPr="00205B72">
        <w:t>):</w:t>
      </w:r>
    </w:p>
    <w:p w14:paraId="214C0C9E" w14:textId="7B674DC9" w:rsidR="00B137B9" w:rsidRPr="00205B72" w:rsidRDefault="009B5CEC" w:rsidP="00B137B9">
      <w:pPr>
        <w:pStyle w:val="Formula"/>
        <w:spacing w:before="240"/>
      </w:pPr>
      <m:oMath>
        <m:sSub>
          <m:sSubPr>
            <m:ctrlPr>
              <w:rPr>
                <w:rFonts w:ascii="Cambria Math" w:hAnsi="Cambria Math"/>
              </w:rPr>
            </m:ctrlPr>
          </m:sSubPr>
          <m:e>
            <m:r>
              <w:rPr>
                <w:rFonts w:ascii="Cambria Math" w:hAnsi="Cambria Math"/>
              </w:rPr>
              <m:t>η</m:t>
            </m:r>
          </m:e>
          <m:sub>
            <m:r>
              <m:rPr>
                <m:sty m:val="p"/>
              </m:rPr>
              <w:rPr>
                <w:rFonts w:ascii="Cambria Math" w:hAnsi="Cambria Math"/>
              </w:rPr>
              <m:t>c</m:t>
            </m:r>
          </m:sub>
        </m:sSub>
        <m:r>
          <w:rPr>
            <w:rFonts w:ascii="Cambria Math" w:hAnsi="Cambria Math"/>
          </w:rPr>
          <m:t>=1,0</m:t>
        </m:r>
      </m:oMath>
      <w:r w:rsidR="00B137B9" w:rsidRPr="00205B72">
        <w:tab/>
        <w:t>(10.21)</w:t>
      </w:r>
    </w:p>
    <w:p w14:paraId="48AFBEE1" w14:textId="60835EA2" w:rsidR="00B137B9" w:rsidRPr="00205B72" w:rsidRDefault="009B5CEC" w:rsidP="00B137B9">
      <w:pPr>
        <w:pStyle w:val="Formula"/>
        <w:spacing w:before="240"/>
      </w:pPr>
      <m:oMath>
        <m:sSub>
          <m:sSubPr>
            <m:ctrlPr>
              <w:rPr>
                <w:rFonts w:ascii="Cambria Math" w:hAnsi="Cambria Math"/>
              </w:rPr>
            </m:ctrlPr>
          </m:sSubPr>
          <m:e>
            <m:r>
              <w:rPr>
                <w:rFonts w:ascii="Cambria Math" w:hAnsi="Cambria Math"/>
              </w:rPr>
              <m:t>η</m:t>
            </m:r>
          </m:e>
          <m:sub>
            <m:r>
              <m:rPr>
                <m:sty m:val="p"/>
              </m:rPr>
              <w:rPr>
                <w:rFonts w:ascii="Cambria Math" w:hAnsi="Cambria Math"/>
              </w:rPr>
              <m:t>s</m:t>
            </m:r>
          </m:sub>
        </m:sSub>
        <m:r>
          <w:rPr>
            <w:rFonts w:ascii="Cambria Math" w:hAnsi="Cambria Math"/>
          </w:rPr>
          <m:t xml:space="preserve">=0,8 </m:t>
        </m:r>
      </m:oMath>
      <w:r w:rsidR="00B137B9" w:rsidRPr="00205B72">
        <w:tab/>
        <w:t>(10.22)</w:t>
      </w:r>
    </w:p>
    <w:p w14:paraId="14264015" w14:textId="3F2462FD" w:rsidR="00E20FA2" w:rsidRPr="00205B72" w:rsidRDefault="00E20FA2" w:rsidP="00724E4E">
      <w:pPr>
        <w:pStyle w:val="Clause"/>
      </w:pPr>
      <w:r w:rsidRPr="00205B72">
        <w:t xml:space="preserve">Formula (10.23) should be used instead of </w:t>
      </w:r>
      <w:r w:rsidR="0026060E">
        <w:rPr>
          <w:lang w:val="en-US"/>
        </w:rPr>
        <w:t>prEN 1992-1-1:2021</w:t>
      </w:r>
      <w:r w:rsidRPr="00205B72">
        <w:rPr>
          <w:lang w:val="en-US"/>
        </w:rPr>
        <w:t>, 8.4.4(</w:t>
      </w:r>
      <w:r w:rsidR="00203AA9" w:rsidRPr="00205B72">
        <w:rPr>
          <w:lang w:val="en-US"/>
        </w:rPr>
        <w:t>5</w:t>
      </w:r>
      <w:r w:rsidRPr="00205B72">
        <w:rPr>
          <w:lang w:val="en-US"/>
        </w:rPr>
        <w:t>),</w:t>
      </w:r>
      <w:r w:rsidRPr="00205B72">
        <w:t xml:space="preserve"> Formula (8.</w:t>
      </w:r>
      <w:r w:rsidR="00203AA9" w:rsidRPr="00205B72">
        <w:t>102</w:t>
      </w:r>
      <w:r w:rsidRPr="00205B72">
        <w:t>):</w:t>
      </w:r>
    </w:p>
    <w:p w14:paraId="1D4C330B" w14:textId="53654356" w:rsidR="00E20FA2" w:rsidRPr="00205B72" w:rsidRDefault="009B5CEC" w:rsidP="00E20FA2">
      <w:pPr>
        <w:pStyle w:val="Formula"/>
        <w:spacing w:before="240"/>
      </w:pPr>
      <m:oMath>
        <m:sSub>
          <m:sSubPr>
            <m:ctrlPr>
              <w:rPr>
                <w:rFonts w:ascii="Cambria Math" w:hAnsi="Cambria Math"/>
              </w:rPr>
            </m:ctrlPr>
          </m:sSubPr>
          <m:e>
            <m:r>
              <w:rPr>
                <w:rFonts w:ascii="Cambria Math" w:hAnsi="Cambria Math"/>
              </w:rPr>
              <m:t>τ</m:t>
            </m:r>
          </m:e>
          <m:sub>
            <m:r>
              <m:rPr>
                <m:sty m:val="p"/>
              </m:rPr>
              <w:rPr>
                <w:rFonts w:ascii="Cambria Math" w:hAnsi="Cambria Math"/>
              </w:rPr>
              <m:t>Rd,max</m:t>
            </m:r>
          </m:sub>
        </m:sSub>
        <m:r>
          <w:rPr>
            <w:rFonts w:ascii="Cambria Math" w:hAnsi="Cambria Math"/>
          </w:rPr>
          <m:t>=</m:t>
        </m:r>
        <m:sSub>
          <m:sSubPr>
            <m:ctrlPr>
              <w:rPr>
                <w:rFonts w:ascii="Cambria Math" w:hAnsi="Cambria Math"/>
              </w:rPr>
            </m:ctrlPr>
          </m:sSubPr>
          <m:e>
            <m:sSubSup>
              <m:sSubSupPr>
                <m:ctrlPr>
                  <w:rPr>
                    <w:rFonts w:ascii="Cambria Math" w:hAnsi="Cambria Math"/>
                  </w:rPr>
                </m:ctrlPr>
              </m:sSubSupPr>
              <m:e>
                <m:r>
                  <w:rPr>
                    <w:rFonts w:ascii="Cambria Math" w:hAnsi="Cambria Math"/>
                  </w:rPr>
                  <m:t>η</m:t>
                </m:r>
              </m:e>
              <m:sub>
                <m:r>
                  <m:rPr>
                    <m:sty m:val="p"/>
                  </m:rPr>
                  <w:rPr>
                    <w:rFonts w:ascii="Cambria Math" w:hAnsi="Cambria Math"/>
                  </w:rPr>
                  <m:t>sys</m:t>
                </m:r>
              </m:sub>
              <m:sup>
                <m:r>
                  <w:rPr>
                    <w:rFonts w:ascii="Cambria Math" w:hAnsi="Cambria Math"/>
                  </w:rPr>
                  <m:t>1/2</m:t>
                </m:r>
              </m:sup>
            </m:sSubSup>
            <m:r>
              <w:rPr>
                <w:rFonts w:ascii="Cambria Math" w:hAnsi="Cambria Math"/>
              </w:rPr>
              <m:t>τ</m:t>
            </m:r>
          </m:e>
          <m:sub>
            <m:r>
              <m:rPr>
                <m:sty m:val="p"/>
              </m:rPr>
              <w:rPr>
                <w:rFonts w:ascii="Cambria Math" w:hAnsi="Cambria Math"/>
              </w:rPr>
              <m:t>Rd,c</m:t>
            </m:r>
          </m:sub>
        </m:sSub>
        <m:r>
          <w:rPr>
            <w:rFonts w:ascii="Cambria Math" w:hAnsi="Cambria Math"/>
          </w:rPr>
          <m:t xml:space="preserve"> </m:t>
        </m:r>
      </m:oMath>
      <w:r w:rsidR="00E20FA2" w:rsidRPr="00205B72">
        <w:tab/>
        <w:t>(10.23)</w:t>
      </w:r>
    </w:p>
    <w:p w14:paraId="7189C977" w14:textId="71F66CCF" w:rsidR="00E20FA2" w:rsidRPr="00205B72" w:rsidRDefault="00E20FA2" w:rsidP="00516474">
      <w:pPr>
        <w:pStyle w:val="Text"/>
      </w:pPr>
      <w:r w:rsidRPr="00205B72">
        <w:t xml:space="preserve">where </w:t>
      </w:r>
      <w:r w:rsidRPr="00205B72">
        <w:rPr>
          <w:i/>
        </w:rPr>
        <w:t>η</w:t>
      </w:r>
      <w:r w:rsidRPr="00205B72">
        <w:rPr>
          <w:vertAlign w:val="subscript"/>
        </w:rPr>
        <w:t>sys</w:t>
      </w:r>
      <w:r w:rsidRPr="00205B72">
        <w:t xml:space="preserve"> is given by </w:t>
      </w:r>
      <w:r w:rsidR="0026060E">
        <w:t>prEN 1992-1-1:2021</w:t>
      </w:r>
      <w:r w:rsidRPr="00205B72">
        <w:t>, 8.4.4(3), Formula (8.</w:t>
      </w:r>
      <w:r w:rsidR="00E96373" w:rsidRPr="00205B72">
        <w:t>110</w:t>
      </w:r>
      <w:r w:rsidRPr="00205B72">
        <w:t>)</w:t>
      </w:r>
      <w:r w:rsidR="00E96373" w:rsidRPr="00205B72">
        <w:t xml:space="preserve"> and (8.111)</w:t>
      </w:r>
      <w:r w:rsidRPr="00205B72">
        <w:t>.</w:t>
      </w:r>
    </w:p>
    <w:p w14:paraId="4E02D39D" w14:textId="7B040CB8" w:rsidR="00E20FA2" w:rsidRPr="00205B72" w:rsidRDefault="00E20FA2" w:rsidP="00E20FA2">
      <w:pPr>
        <w:pStyle w:val="Notetext"/>
      </w:pPr>
      <w:r w:rsidRPr="00205B72">
        <w:t>NOTE</w:t>
      </w:r>
      <w:r w:rsidRPr="00205B72">
        <w:tab/>
        <w:t xml:space="preserve">Reference is made only to </w:t>
      </w:r>
      <w:r w:rsidR="0026060E">
        <w:t>prEN 1992-1-1:2021</w:t>
      </w:r>
      <w:r w:rsidRPr="00205B72">
        <w:t xml:space="preserve">, 8.4, but (14) and the alternative approach in (15), (16) are a simplifying adaptation of the provisions of </w:t>
      </w:r>
      <w:r w:rsidR="0026060E">
        <w:t>prEN 1992-1-1:2021</w:t>
      </w:r>
      <w:r w:rsidRPr="00205B72">
        <w:t>, Annex I, to punching shear under reversed moments.</w:t>
      </w:r>
    </w:p>
    <w:p w14:paraId="5D7D11C3" w14:textId="6568E8FA" w:rsidR="00E20FA2" w:rsidRPr="00205B72" w:rsidRDefault="00E20FA2" w:rsidP="00724E4E">
      <w:pPr>
        <w:pStyle w:val="Clause"/>
      </w:pPr>
      <w:r w:rsidRPr="00205B72">
        <w:t xml:space="preserve">Punching shear reinforcement detailing should follow </w:t>
      </w:r>
      <w:r w:rsidR="0026060E">
        <w:t>prEN 1992-1-1:2021</w:t>
      </w:r>
      <w:r w:rsidRPr="00205B72">
        <w:t>, 12.</w:t>
      </w:r>
      <w:r w:rsidR="00370A0C" w:rsidRPr="00205B72">
        <w:t>5.1</w:t>
      </w:r>
      <w:r w:rsidRPr="00205B72">
        <w:t>(1) and (2), but bent-up bars or other type of inclined reinforcement should not be used.</w:t>
      </w:r>
    </w:p>
    <w:p w14:paraId="221F5CFA" w14:textId="06B6CFFD" w:rsidR="00E20FA2" w:rsidRPr="00E05E29" w:rsidRDefault="00E20FA2" w:rsidP="00724E4E">
      <w:pPr>
        <w:pStyle w:val="Clause"/>
      </w:pPr>
      <w:r w:rsidRPr="00205B72">
        <w:t xml:space="preserve">The </w:t>
      </w:r>
      <w:bookmarkStart w:id="7520" w:name="_Hlk38715727"/>
      <w:r w:rsidRPr="00205B72">
        <w:t xml:space="preserve">radial spacing </w:t>
      </w:r>
      <w:r w:rsidRPr="00205B72">
        <w:rPr>
          <w:i/>
          <w:iCs/>
        </w:rPr>
        <w:t>s</w:t>
      </w:r>
      <w:r w:rsidRPr="00205B72">
        <w:t xml:space="preserve"> of the punching shear reinforcement link legs </w:t>
      </w:r>
      <w:bookmarkEnd w:id="7520"/>
      <w:r w:rsidRPr="00205B72">
        <w:t>should not exceed 0,5</w:t>
      </w:r>
      <w:r w:rsidRPr="00205B72">
        <w:rPr>
          <w:i/>
          <w:iCs/>
        </w:rPr>
        <w:t>d</w:t>
      </w:r>
      <w:r w:rsidRPr="00205B72">
        <w:rPr>
          <w:vertAlign w:val="subscript"/>
        </w:rPr>
        <w:t>v</w:t>
      </w:r>
      <w:r w:rsidRPr="00205B72">
        <w:t>, and the first line of link legs should be placed no farther than 0,25</w:t>
      </w:r>
      <w:r w:rsidRPr="00205B72">
        <w:rPr>
          <w:i/>
          <w:iCs/>
        </w:rPr>
        <w:t>d</w:t>
      </w:r>
      <w:r w:rsidRPr="00205B72">
        <w:rPr>
          <w:vertAlign w:val="subscript"/>
        </w:rPr>
        <w:t>v</w:t>
      </w:r>
      <w:r w:rsidRPr="00205B72">
        <w:t xml:space="preserve"> from</w:t>
      </w:r>
      <w:r w:rsidRPr="00E05E29">
        <w:t xml:space="preserve"> the support face (Figure 10.1</w:t>
      </w:r>
      <w:r>
        <w:t>3</w:t>
      </w:r>
      <w:r w:rsidRPr="00E05E29">
        <w:t>).</w:t>
      </w:r>
    </w:p>
    <w:p w14:paraId="283EB551" w14:textId="4967E400" w:rsidR="00E20FA2" w:rsidRPr="00132C1E" w:rsidRDefault="004F6B4A" w:rsidP="004F6B4A">
      <w:pPr>
        <w:pStyle w:val="FigureImage"/>
      </w:pPr>
      <w:r>
        <w:rPr>
          <w:noProof/>
        </w:rPr>
        <w:drawing>
          <wp:inline distT="0" distB="0" distL="0" distR="0" wp14:anchorId="31A29F61" wp14:editId="72AA581A">
            <wp:extent cx="4320547" cy="1662687"/>
            <wp:effectExtent l="0" t="0" r="3810" b="0"/>
            <wp:docPr id="70" name="0017.tiff"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0017.tiff" descr="Shape&#10;&#10;Description automatically generated with medium confidence"/>
                    <pic:cNvPicPr/>
                  </pic:nvPicPr>
                  <pic:blipFill>
                    <a:blip r:link="rId32"/>
                    <a:stretch>
                      <a:fillRect/>
                    </a:stretch>
                  </pic:blipFill>
                  <pic:spPr>
                    <a:xfrm>
                      <a:off x="0" y="0"/>
                      <a:ext cx="4320547" cy="1662687"/>
                    </a:xfrm>
                    <a:prstGeom prst="rect">
                      <a:avLst/>
                    </a:prstGeom>
                  </pic:spPr>
                </pic:pic>
              </a:graphicData>
            </a:graphic>
          </wp:inline>
        </w:drawing>
      </w:r>
    </w:p>
    <w:p w14:paraId="08BEBDBE" w14:textId="17FA3D74" w:rsidR="00E20FA2" w:rsidRPr="00D1484A" w:rsidRDefault="00E20FA2" w:rsidP="00E20FA2">
      <w:pPr>
        <w:pStyle w:val="Figuretitle"/>
      </w:pPr>
      <w:r w:rsidRPr="00D1484A">
        <w:t xml:space="preserve">Figure </w:t>
      </w:r>
      <w:r>
        <w:t>10</w:t>
      </w:r>
      <w:r w:rsidRPr="00132C1E">
        <w:t>.</w:t>
      </w:r>
      <w:r>
        <w:t>13</w:t>
      </w:r>
      <w:r w:rsidRPr="00132C1E">
        <w:t> </w:t>
      </w:r>
      <w:r w:rsidRPr="00D1484A">
        <w:rPr>
          <w:rFonts w:ascii="`ÃÍœ˛" w:eastAsia="Cambria" w:hAnsi="`ÃÍœ˛" w:cs="`ÃÍœ˛"/>
          <w:szCs w:val="22"/>
          <w:lang w:eastAsia="de-DE"/>
        </w:rPr>
        <w:t>—</w:t>
      </w:r>
      <w:r w:rsidRPr="00D1484A">
        <w:t> Punching shear reinforcement within critical sections of flat slabs</w:t>
      </w:r>
    </w:p>
    <w:p w14:paraId="1881E948" w14:textId="77777777" w:rsidR="00E20FA2" w:rsidRPr="007E6F67" w:rsidRDefault="00E20FA2" w:rsidP="00E20FA2">
      <w:pPr>
        <w:pStyle w:val="Heading2"/>
      </w:pPr>
      <w:bookmarkStart w:id="7521" w:name="_Toc17934214"/>
      <w:bookmarkStart w:id="7522" w:name="_Toc50150393"/>
      <w:bookmarkStart w:id="7523" w:name="_Toc70886825"/>
      <w:bookmarkStart w:id="7524" w:name="_Toc108342376"/>
      <w:bookmarkStart w:id="7525" w:name="_Toc134197914"/>
      <w:r w:rsidRPr="00D1484A">
        <w:lastRenderedPageBreak/>
        <w:t>Provisions for anchorages and laps</w:t>
      </w:r>
      <w:bookmarkEnd w:id="7521"/>
      <w:bookmarkEnd w:id="7522"/>
      <w:bookmarkEnd w:id="7523"/>
      <w:bookmarkEnd w:id="7524"/>
      <w:bookmarkEnd w:id="7525"/>
    </w:p>
    <w:p w14:paraId="4ADF3F08" w14:textId="77777777" w:rsidR="00E20FA2" w:rsidRPr="00E05E29" w:rsidRDefault="00E20FA2" w:rsidP="00E20FA2">
      <w:pPr>
        <w:pStyle w:val="Heading3"/>
      </w:pPr>
      <w:bookmarkStart w:id="7526" w:name="_Toc17934215"/>
      <w:bookmarkStart w:id="7527" w:name="_Toc50150394"/>
      <w:bookmarkStart w:id="7528" w:name="_Toc70886826"/>
      <w:bookmarkStart w:id="7529" w:name="_Toc108342377"/>
      <w:bookmarkStart w:id="7530" w:name="_Toc134197915"/>
      <w:r w:rsidRPr="00644C3D">
        <w:t>General</w:t>
      </w:r>
      <w:bookmarkEnd w:id="7526"/>
      <w:bookmarkEnd w:id="7527"/>
      <w:bookmarkEnd w:id="7528"/>
      <w:bookmarkEnd w:id="7529"/>
      <w:bookmarkEnd w:id="7530"/>
    </w:p>
    <w:p w14:paraId="7181E182" w14:textId="04BE9BA9" w:rsidR="00E20FA2" w:rsidRPr="00205B72" w:rsidRDefault="0026060E" w:rsidP="0080187E">
      <w:pPr>
        <w:pStyle w:val="Clause"/>
        <w:numPr>
          <w:ilvl w:val="0"/>
          <w:numId w:val="342"/>
        </w:numPr>
      </w:pPr>
      <w:r>
        <w:t>prEN 1992-1-1:2021</w:t>
      </w:r>
      <w:r w:rsidR="00E20FA2" w:rsidRPr="00205B72">
        <w:t>, 11.4 and 11.5, for the detailing of reinforcement should be applied for DC2 and DC3, complemented with (2), 10.11.2 and 10.11.3.</w:t>
      </w:r>
    </w:p>
    <w:p w14:paraId="1EB51CA2" w14:textId="6D13F7C7" w:rsidR="00E20FA2" w:rsidRPr="00205B72" w:rsidRDefault="00E20FA2" w:rsidP="00724E4E">
      <w:pPr>
        <w:pStyle w:val="Clause"/>
      </w:pPr>
      <w:r w:rsidRPr="00205B72">
        <w:t xml:space="preserve">For the transverse reinforcement in beams, columns, beam-column joints, walls or slabs, </w:t>
      </w:r>
      <w:bookmarkStart w:id="7531" w:name="_Hlk82079756"/>
      <w:r w:rsidRPr="00205B72">
        <w:t xml:space="preserve">closed stirrups with 135° hooks </w:t>
      </w:r>
      <w:bookmarkEnd w:id="7531"/>
      <w:r w:rsidRPr="00205B72">
        <w:t>and extensions of 10-diametre length should be used. Crossties should also be closed with 135° hooks and extensions of 10-diametre length.</w:t>
      </w:r>
    </w:p>
    <w:p w14:paraId="14FB6FBB" w14:textId="3215742C" w:rsidR="00E20FA2" w:rsidRPr="00205B72" w:rsidRDefault="00E20FA2" w:rsidP="00724E4E">
      <w:pPr>
        <w:pStyle w:val="Clause"/>
      </w:pPr>
      <w:r w:rsidRPr="00205B72">
        <w:rPr>
          <w:shd w:val="clear" w:color="auto" w:fill="FDFCFA"/>
        </w:rPr>
        <w:t>The anchorage length of beam or column bars anchored within beam-column joints should be measured from a point on the bar at a distance 5</w:t>
      </w:r>
      <w:r w:rsidRPr="00205B72">
        <w:rPr>
          <w:i/>
          <w:iCs/>
          <w:shd w:val="clear" w:color="auto" w:fill="FDFCFA"/>
        </w:rPr>
        <w:t>d</w:t>
      </w:r>
      <w:r w:rsidRPr="00205B72">
        <w:rPr>
          <w:shd w:val="clear" w:color="auto" w:fill="FDFCFA"/>
          <w:vertAlign w:val="subscript"/>
        </w:rPr>
        <w:t>bL</w:t>
      </w:r>
      <w:r w:rsidRPr="00205B72">
        <w:rPr>
          <w:shd w:val="clear" w:color="auto" w:fill="FDFCFA"/>
        </w:rPr>
        <w:t xml:space="preserve"> inside the face of the joint (see Figure 10.14a an example of a beam bar anchorage).</w:t>
      </w:r>
    </w:p>
    <w:p w14:paraId="2CCD9BCE" w14:textId="40B82415" w:rsidR="00E20FA2" w:rsidRPr="00205B72" w:rsidRDefault="00E20FA2" w:rsidP="00E20FA2">
      <w:pPr>
        <w:pStyle w:val="Notetext"/>
        <w:rPr>
          <w:shd w:val="clear" w:color="auto" w:fill="FDFCFA"/>
        </w:rPr>
      </w:pPr>
      <w:r w:rsidRPr="00205B72">
        <w:rPr>
          <w:shd w:val="clear" w:color="auto" w:fill="FDFCFA"/>
        </w:rPr>
        <w:t>NOTE</w:t>
      </w:r>
      <w:r w:rsidRPr="00205B72">
        <w:rPr>
          <w:shd w:val="clear" w:color="auto" w:fill="FDFCFA"/>
        </w:rPr>
        <w:tab/>
        <w:t>(3) takes into account the yield penetration due to cyclic post-elastic deformations.</w:t>
      </w:r>
    </w:p>
    <w:p w14:paraId="66DF0A85" w14:textId="0603796B" w:rsidR="00E20FA2" w:rsidRPr="00205B72" w:rsidRDefault="00E20FA2" w:rsidP="00724E4E">
      <w:pPr>
        <w:pStyle w:val="Clause"/>
        <w:rPr>
          <w:shd w:val="clear" w:color="auto" w:fill="FDFCFA"/>
        </w:rPr>
      </w:pPr>
      <w:r w:rsidRPr="00205B72">
        <w:rPr>
          <w:shd w:val="clear" w:color="auto" w:fill="FDFCFA"/>
        </w:rPr>
        <w:t>When post-installed bars are used, 10.11 should be applied and they should satisfy a) and b):</w:t>
      </w:r>
    </w:p>
    <w:p w14:paraId="15A3849C" w14:textId="77777777" w:rsidR="00E20FA2" w:rsidRPr="00205B72" w:rsidRDefault="00E20FA2" w:rsidP="0080187E">
      <w:pPr>
        <w:pStyle w:val="List2"/>
        <w:numPr>
          <w:ilvl w:val="0"/>
          <w:numId w:val="138"/>
        </w:numPr>
        <w:spacing w:before="0" w:after="240" w:line="230" w:lineRule="atLeast"/>
        <w:contextualSpacing w:val="0"/>
        <w:rPr>
          <w:shd w:val="clear" w:color="auto" w:fill="FDFCFA"/>
        </w:rPr>
      </w:pPr>
      <w:r w:rsidRPr="00205B72">
        <w:rPr>
          <w:shd w:val="clear" w:color="auto" w:fill="FDFCFA"/>
        </w:rPr>
        <w:t>they should not be used in critical zones;</w:t>
      </w:r>
    </w:p>
    <w:p w14:paraId="3D23048D" w14:textId="58FDEC8A" w:rsidR="00E20FA2" w:rsidRPr="00205B72" w:rsidRDefault="00E20FA2" w:rsidP="0080187E">
      <w:pPr>
        <w:pStyle w:val="List2"/>
        <w:numPr>
          <w:ilvl w:val="0"/>
          <w:numId w:val="138"/>
        </w:numPr>
        <w:spacing w:before="0" w:after="240" w:line="230" w:lineRule="atLeast"/>
        <w:contextualSpacing w:val="0"/>
        <w:rPr>
          <w:shd w:val="clear" w:color="auto" w:fill="FDFCFA"/>
        </w:rPr>
      </w:pPr>
      <w:r w:rsidRPr="00205B72">
        <w:rPr>
          <w:shd w:val="clear" w:color="auto" w:fill="FDFCFA"/>
        </w:rPr>
        <w:t xml:space="preserve">the anchoring system should comply with </w:t>
      </w:r>
      <w:r w:rsidR="0026060E">
        <w:rPr>
          <w:shd w:val="clear" w:color="auto" w:fill="FDFCFA"/>
        </w:rPr>
        <w:t>prEN 1992-1-1:2021</w:t>
      </w:r>
      <w:r w:rsidRPr="00205B72">
        <w:rPr>
          <w:shd w:val="clear" w:color="auto" w:fill="FDFCFA"/>
        </w:rPr>
        <w:t>, Annex C, C</w:t>
      </w:r>
      <w:r w:rsidR="009B7FB1">
        <w:rPr>
          <w:shd w:val="clear" w:color="auto" w:fill="FDFCFA"/>
        </w:rPr>
        <w:t>.</w:t>
      </w:r>
      <w:r w:rsidRPr="00205B72">
        <w:rPr>
          <w:shd w:val="clear" w:color="auto" w:fill="FDFCFA"/>
        </w:rPr>
        <w:t>8.</w:t>
      </w:r>
    </w:p>
    <w:p w14:paraId="037271B0" w14:textId="77777777" w:rsidR="00E20FA2" w:rsidRPr="00E05E29" w:rsidRDefault="00E20FA2" w:rsidP="00E20FA2">
      <w:pPr>
        <w:pStyle w:val="Heading3"/>
      </w:pPr>
      <w:bookmarkStart w:id="7532" w:name="_Toc17934216"/>
      <w:bookmarkStart w:id="7533" w:name="_Toc50150395"/>
      <w:bookmarkStart w:id="7534" w:name="_Toc70886827"/>
      <w:bookmarkStart w:id="7535" w:name="_Toc108342378"/>
      <w:bookmarkStart w:id="7536" w:name="_Toc134197916"/>
      <w:r w:rsidRPr="00E05E29">
        <w:t>Anchorage of reinforcement in beams</w:t>
      </w:r>
      <w:bookmarkEnd w:id="7532"/>
      <w:bookmarkEnd w:id="7533"/>
      <w:bookmarkEnd w:id="7534"/>
      <w:bookmarkEnd w:id="7535"/>
      <w:bookmarkEnd w:id="7536"/>
    </w:p>
    <w:p w14:paraId="588025F5" w14:textId="2DA78F5F" w:rsidR="00E20FA2" w:rsidRPr="00E05E29" w:rsidRDefault="00E20FA2" w:rsidP="0080187E">
      <w:pPr>
        <w:pStyle w:val="Clause"/>
        <w:numPr>
          <w:ilvl w:val="0"/>
          <w:numId w:val="343"/>
        </w:numPr>
      </w:pPr>
      <w:r w:rsidRPr="00E05E29">
        <w:t>The part of beam longitudinal reinforcement bent in beam-column joints for anchorage should always be placed inside the corresponding column hoops.</w:t>
      </w:r>
    </w:p>
    <w:p w14:paraId="473D0A9C" w14:textId="6DFA21E4" w:rsidR="00E20FA2" w:rsidRPr="00E05E29" w:rsidRDefault="00E20FA2" w:rsidP="00724E4E">
      <w:pPr>
        <w:pStyle w:val="Clause"/>
      </w:pPr>
      <w:r w:rsidRPr="00E05E29">
        <w:t xml:space="preserve">To prevent bond failure, the </w:t>
      </w:r>
      <w:r w:rsidR="007E5C9E">
        <w:t>d</w:t>
      </w:r>
      <w:r>
        <w:t>iameter</w:t>
      </w:r>
      <w:r w:rsidRPr="00E05E29">
        <w:t xml:space="preserve"> </w:t>
      </w:r>
      <w:r w:rsidRPr="00502341">
        <w:rPr>
          <w:rFonts w:ascii="AODJCD+TimesNewRoman,Italic" w:hAnsi="AODJCD+TimesNewRoman,Italic" w:cs="AODJCD+TimesNewRoman,Italic"/>
          <w:i/>
        </w:rPr>
        <w:t>d</w:t>
      </w:r>
      <w:r w:rsidRPr="00502341">
        <w:rPr>
          <w:sz w:val="16"/>
          <w:szCs w:val="16"/>
          <w:vertAlign w:val="subscript"/>
        </w:rPr>
        <w:t>bL</w:t>
      </w:r>
      <w:r w:rsidRPr="00E05E29">
        <w:t xml:space="preserve"> of beam longitudinal bars crossing beam-column joints should be limited in accordance with a) or b), as appropriate:</w:t>
      </w:r>
    </w:p>
    <w:p w14:paraId="0BCCDE03" w14:textId="77777777" w:rsidR="00E20FA2" w:rsidRPr="00E05E29" w:rsidRDefault="00E20FA2" w:rsidP="0080187E">
      <w:pPr>
        <w:pStyle w:val="List2"/>
        <w:numPr>
          <w:ilvl w:val="0"/>
          <w:numId w:val="139"/>
        </w:numPr>
        <w:spacing w:before="0" w:after="240" w:line="230" w:lineRule="atLeast"/>
        <w:contextualSpacing w:val="0"/>
      </w:pPr>
      <w:r w:rsidRPr="00E05E29">
        <w:t>for interior beam-column joints, Formula (10.</w:t>
      </w:r>
      <w:r>
        <w:t>24</w:t>
      </w:r>
      <w:r w:rsidRPr="00E05E29">
        <w:t>):</w:t>
      </w:r>
    </w:p>
    <w:p w14:paraId="63DE70B7" w14:textId="4856AABC" w:rsidR="00E20FA2" w:rsidRPr="00870D59" w:rsidRDefault="009B5CEC" w:rsidP="00E20FA2">
      <w:pPr>
        <w:pStyle w:val="Formula"/>
        <w:spacing w:before="240"/>
      </w:pPr>
      <m:oMath>
        <m:f>
          <m:fPr>
            <m:ctrlPr>
              <w:rPr>
                <w:rFonts w:ascii="Cambria Math" w:hAnsi="Cambria Math"/>
              </w:rPr>
            </m:ctrlPr>
          </m:fPr>
          <m:num>
            <m:sSub>
              <m:sSubPr>
                <m:ctrlPr>
                  <w:rPr>
                    <w:rFonts w:ascii="Cambria Math" w:hAnsi="Cambria Math"/>
                  </w:rPr>
                </m:ctrlPr>
              </m:sSubPr>
              <m:e>
                <m:r>
                  <w:rPr>
                    <w:rFonts w:ascii="Cambria Math" w:hAnsi="Cambria Math"/>
                  </w:rPr>
                  <m:t>d</m:t>
                </m:r>
              </m:e>
              <m:sub>
                <m:r>
                  <m:rPr>
                    <m:sty m:val="p"/>
                  </m:rPr>
                  <w:rPr>
                    <w:rFonts w:ascii="Cambria Math" w:hAnsi="Cambria Math"/>
                  </w:rPr>
                  <m:t>bL</m:t>
                </m:r>
              </m:sub>
            </m:sSub>
          </m:num>
          <m:den>
            <m:sSub>
              <m:sSubPr>
                <m:ctrlPr>
                  <w:rPr>
                    <w:rFonts w:ascii="Cambria Math" w:hAnsi="Cambria Math"/>
                  </w:rPr>
                </m:ctrlPr>
              </m:sSubPr>
              <m:e>
                <m:r>
                  <w:rPr>
                    <w:rFonts w:ascii="Cambria Math" w:hAnsi="Cambria Math"/>
                  </w:rPr>
                  <m:t>h</m:t>
                </m:r>
              </m:e>
              <m:sub>
                <m:r>
                  <m:rPr>
                    <m:sty m:val="p"/>
                  </m:rPr>
                  <w:rPr>
                    <w:rFonts w:ascii="Cambria Math" w:hAnsi="Cambria Math"/>
                  </w:rPr>
                  <m:t>c</m:t>
                </m:r>
              </m:sub>
            </m:sSub>
          </m:den>
        </m:f>
        <m:r>
          <w:rPr>
            <w:rFonts w:ascii="Cambria Math" w:hAnsi="Cambria Math"/>
          </w:rPr>
          <m:t>≤</m:t>
        </m:r>
        <m:f>
          <m:fPr>
            <m:ctrlPr>
              <w:rPr>
                <w:rFonts w:ascii="Cambria Math" w:hAnsi="Cambria Math"/>
              </w:rPr>
            </m:ctrlPr>
          </m:fPr>
          <m:num>
            <m:r>
              <w:rPr>
                <w:rFonts w:ascii="Cambria Math" w:hAnsi="Cambria Math"/>
              </w:rPr>
              <m:t>7,5 </m:t>
            </m:r>
            <m:sSub>
              <m:sSubPr>
                <m:ctrlPr>
                  <w:rPr>
                    <w:rFonts w:ascii="Cambria Math" w:hAnsi="Cambria Math"/>
                  </w:rPr>
                </m:ctrlPr>
              </m:sSubPr>
              <m:e>
                <m:r>
                  <w:rPr>
                    <w:rFonts w:ascii="Cambria Math" w:hAnsi="Cambria Math"/>
                  </w:rPr>
                  <m:t>f</m:t>
                </m:r>
              </m:e>
              <m:sub>
                <m:r>
                  <m:rPr>
                    <m:sty m:val="p"/>
                  </m:rPr>
                  <w:rPr>
                    <w:rFonts w:ascii="Cambria Math" w:hAnsi="Cambria Math"/>
                  </w:rPr>
                  <m:t>ctm</m:t>
                </m:r>
              </m:sub>
            </m:sSub>
          </m:num>
          <m:den>
            <m:sSub>
              <m:sSubPr>
                <m:ctrlPr>
                  <w:rPr>
                    <w:rFonts w:ascii="Cambria Math" w:hAnsi="Cambria Math"/>
                  </w:rPr>
                </m:ctrlPr>
              </m:sSubPr>
              <m:e>
                <m:r>
                  <w:rPr>
                    <w:rFonts w:ascii="Cambria Math" w:hAnsi="Cambria Math"/>
                  </w:rPr>
                  <m:t>γ</m:t>
                </m:r>
              </m:e>
              <m:sub>
                <m:r>
                  <m:rPr>
                    <m:sty m:val="p"/>
                  </m:rPr>
                  <w:rPr>
                    <w:rFonts w:ascii="Cambria Math" w:hAnsi="Cambria Math"/>
                  </w:rPr>
                  <m:t>Rd</m:t>
                </m:r>
              </m:sub>
            </m:sSub>
            <m:r>
              <w:rPr>
                <w:rFonts w:ascii="Cambria Math" w:hAnsi="Cambria Math"/>
              </w:rPr>
              <m:t> </m:t>
            </m:r>
            <m:sSub>
              <m:sSubPr>
                <m:ctrlPr>
                  <w:rPr>
                    <w:rFonts w:ascii="Cambria Math" w:hAnsi="Cambria Math"/>
                  </w:rPr>
                </m:ctrlPr>
              </m:sSubPr>
              <m:e>
                <m:r>
                  <w:rPr>
                    <w:rFonts w:ascii="Cambria Math" w:hAnsi="Cambria Math"/>
                  </w:rPr>
                  <m:t>f</m:t>
                </m:r>
              </m:e>
              <m:sub>
                <m:r>
                  <m:rPr>
                    <m:sty m:val="p"/>
                  </m:rPr>
                  <w:rPr>
                    <w:rFonts w:ascii="Cambria Math" w:hAnsi="Cambria Math"/>
                  </w:rPr>
                  <m:t>yd</m:t>
                </m:r>
              </m:sub>
            </m:sSub>
          </m:den>
        </m:f>
        <m:f>
          <m:fPr>
            <m:ctrlPr>
              <w:rPr>
                <w:rFonts w:ascii="Cambria Math" w:hAnsi="Cambria Math"/>
              </w:rPr>
            </m:ctrlPr>
          </m:fPr>
          <m:num>
            <m:r>
              <w:rPr>
                <w:rFonts w:ascii="Cambria Math" w:hAnsi="Cambria Math"/>
              </w:rPr>
              <m:t>1+0,8 </m:t>
            </m:r>
            <m:sSub>
              <m:sSubPr>
                <m:ctrlPr>
                  <w:rPr>
                    <w:rFonts w:ascii="Cambria Math" w:hAnsi="Cambria Math"/>
                  </w:rPr>
                </m:ctrlPr>
              </m:sSubPr>
              <m:e>
                <m:r>
                  <w:rPr>
                    <w:rFonts w:ascii="Cambria Math" w:hAnsi="Cambria Math"/>
                  </w:rPr>
                  <m:t>ν</m:t>
                </m:r>
              </m:e>
              <m:sub>
                <m:r>
                  <m:rPr>
                    <m:sty m:val="p"/>
                  </m:rPr>
                  <w:rPr>
                    <w:rFonts w:ascii="Cambria Math" w:hAnsi="Cambria Math"/>
                  </w:rPr>
                  <m:t>d</m:t>
                </m:r>
              </m:sub>
            </m:sSub>
          </m:num>
          <m:den>
            <m:r>
              <w:rPr>
                <w:rFonts w:ascii="Cambria Math" w:hAnsi="Cambria Math"/>
              </w:rPr>
              <m:t>1+</m:t>
            </m:r>
            <m:f>
              <m:fPr>
                <m:ctrlPr>
                  <w:rPr>
                    <w:rFonts w:ascii="Cambria Math" w:hAnsi="Cambria Math"/>
                  </w:rPr>
                </m:ctrlPr>
              </m:fPr>
              <m:num>
                <m:r>
                  <m:rPr>
                    <m:sty m:val="p"/>
                  </m:rPr>
                  <w:rPr>
                    <w:rFonts w:ascii="Cambria Math" w:hAnsi="Cambria Math"/>
                  </w:rPr>
                  <m:t>0,75</m:t>
                </m:r>
                <m:sSub>
                  <m:sSubPr>
                    <m:ctrlPr>
                      <w:rPr>
                        <w:rFonts w:ascii="Cambria Math" w:hAnsi="Cambria Math"/>
                      </w:rPr>
                    </m:ctrlPr>
                  </m:sSubPr>
                  <m:e>
                    <m:r>
                      <w:rPr>
                        <w:rFonts w:ascii="Cambria Math" w:hAnsi="Cambria Math"/>
                      </w:rPr>
                      <m:t>k</m:t>
                    </m:r>
                  </m:e>
                  <m:sub>
                    <m:r>
                      <m:rPr>
                        <m:sty m:val="p"/>
                      </m:rPr>
                      <w:rPr>
                        <w:rFonts w:ascii="Cambria Math" w:hAnsi="Cambria Math"/>
                      </w:rPr>
                      <m:t>D</m:t>
                    </m:r>
                  </m:sub>
                </m:sSub>
                <m:r>
                  <w:rPr>
                    <w:rFonts w:ascii="Cambria Math" w:hAnsi="Cambria Math"/>
                  </w:rPr>
                  <m:t> </m:t>
                </m:r>
                <m:sSub>
                  <m:sSubPr>
                    <m:ctrlPr>
                      <w:rPr>
                        <w:rFonts w:ascii="Cambria Math" w:hAnsi="Cambria Math"/>
                      </w:rPr>
                    </m:ctrlPr>
                  </m:sSubPr>
                  <m:e>
                    <m:sSup>
                      <m:sSupPr>
                        <m:ctrlPr>
                          <w:rPr>
                            <w:rFonts w:ascii="Cambria Math" w:hAnsi="Cambria Math"/>
                          </w:rPr>
                        </m:ctrlPr>
                      </m:sSupPr>
                      <m:e>
                        <m:r>
                          <w:rPr>
                            <w:rFonts w:ascii="Cambria Math" w:hAnsi="Cambria Math"/>
                          </w:rPr>
                          <m:t>ρ</m:t>
                        </m:r>
                      </m:e>
                      <m:sup>
                        <m:r>
                          <w:rPr>
                            <w:rFonts w:ascii="Cambria Math" w:hAnsi="Cambria Math"/>
                          </w:rPr>
                          <m:t>'</m:t>
                        </m:r>
                      </m:sup>
                    </m:sSup>
                  </m:e>
                  <m:sub>
                    <m:r>
                      <m:rPr>
                        <m:sty m:val="p"/>
                      </m:rPr>
                      <w:rPr>
                        <w:rFonts w:ascii="Cambria Math" w:hAnsi="Cambria Math"/>
                      </w:rPr>
                      <m:t>l</m:t>
                    </m:r>
                  </m:sub>
                </m:sSub>
              </m:num>
              <m:den>
                <m:sSub>
                  <m:sSubPr>
                    <m:ctrlPr>
                      <w:rPr>
                        <w:rFonts w:ascii="Cambria Math" w:hAnsi="Cambria Math"/>
                      </w:rPr>
                    </m:ctrlPr>
                  </m:sSubPr>
                  <m:e>
                    <m:r>
                      <w:rPr>
                        <w:rFonts w:ascii="Cambria Math" w:hAnsi="Cambria Math"/>
                      </w:rPr>
                      <m:t>ρ</m:t>
                    </m:r>
                  </m:e>
                  <m:sub>
                    <m:r>
                      <m:rPr>
                        <m:sty m:val="p"/>
                      </m:rPr>
                      <w:rPr>
                        <w:rFonts w:ascii="Cambria Math" w:hAnsi="Cambria Math"/>
                      </w:rPr>
                      <m:t>l,max</m:t>
                    </m:r>
                  </m:sub>
                </m:sSub>
              </m:den>
            </m:f>
          </m:den>
        </m:f>
      </m:oMath>
      <w:r w:rsidR="00E20FA2" w:rsidRPr="00870D59">
        <w:tab/>
        <w:t>(10.</w:t>
      </w:r>
      <w:r w:rsidR="00E20FA2">
        <w:t>24</w:t>
      </w:r>
      <w:r w:rsidR="00E20FA2" w:rsidRPr="00870D59">
        <w:t>)</w:t>
      </w:r>
    </w:p>
    <w:p w14:paraId="60172415" w14:textId="77777777" w:rsidR="00E20FA2" w:rsidRPr="00D1484A" w:rsidRDefault="00E20FA2" w:rsidP="0080187E">
      <w:pPr>
        <w:pStyle w:val="List2"/>
        <w:numPr>
          <w:ilvl w:val="0"/>
          <w:numId w:val="139"/>
        </w:numPr>
        <w:spacing w:before="0" w:after="240" w:line="230" w:lineRule="atLeast"/>
        <w:contextualSpacing w:val="0"/>
      </w:pPr>
      <w:r w:rsidRPr="00D1484A">
        <w:t>for exterior beam-column joints, Formula (10.</w:t>
      </w:r>
      <w:r>
        <w:t>25</w:t>
      </w:r>
      <w:r w:rsidRPr="00D1484A">
        <w:t>):</w:t>
      </w:r>
    </w:p>
    <w:p w14:paraId="5E24FB0F" w14:textId="66A4A8F1" w:rsidR="00E20FA2" w:rsidRPr="00870D59" w:rsidRDefault="009B5CEC" w:rsidP="00E20FA2">
      <w:pPr>
        <w:pStyle w:val="Formula"/>
        <w:spacing w:before="240"/>
      </w:pPr>
      <m:oMath>
        <m:f>
          <m:fPr>
            <m:ctrlPr>
              <w:rPr>
                <w:rFonts w:ascii="Cambria Math" w:hAnsi="Cambria Math"/>
              </w:rPr>
            </m:ctrlPr>
          </m:fPr>
          <m:num>
            <m:sSub>
              <m:sSubPr>
                <m:ctrlPr>
                  <w:rPr>
                    <w:rFonts w:ascii="Cambria Math" w:hAnsi="Cambria Math"/>
                  </w:rPr>
                </m:ctrlPr>
              </m:sSubPr>
              <m:e>
                <m:r>
                  <w:rPr>
                    <w:rFonts w:ascii="Cambria Math" w:hAnsi="Cambria Math"/>
                  </w:rPr>
                  <m:t>d</m:t>
                </m:r>
              </m:e>
              <m:sub>
                <m:r>
                  <m:rPr>
                    <m:sty m:val="p"/>
                  </m:rPr>
                  <w:rPr>
                    <w:rFonts w:ascii="Cambria Math" w:hAnsi="Cambria Math"/>
                  </w:rPr>
                  <m:t>bL</m:t>
                </m:r>
              </m:sub>
            </m:sSub>
          </m:num>
          <m:den>
            <m:sSub>
              <m:sSubPr>
                <m:ctrlPr>
                  <w:rPr>
                    <w:rFonts w:ascii="Cambria Math" w:hAnsi="Cambria Math"/>
                  </w:rPr>
                </m:ctrlPr>
              </m:sSubPr>
              <m:e>
                <m:r>
                  <w:rPr>
                    <w:rFonts w:ascii="Cambria Math" w:hAnsi="Cambria Math"/>
                  </w:rPr>
                  <m:t>h</m:t>
                </m:r>
              </m:e>
              <m:sub>
                <m:r>
                  <m:rPr>
                    <m:sty m:val="p"/>
                  </m:rPr>
                  <w:rPr>
                    <w:rFonts w:ascii="Cambria Math" w:hAnsi="Cambria Math"/>
                  </w:rPr>
                  <m:t>c</m:t>
                </m:r>
              </m:sub>
            </m:sSub>
          </m:den>
        </m:f>
        <m:r>
          <w:rPr>
            <w:rFonts w:ascii="Cambria Math" w:hAnsi="Cambria Math"/>
          </w:rPr>
          <m:t>≤</m:t>
        </m:r>
        <m:f>
          <m:fPr>
            <m:ctrlPr>
              <w:rPr>
                <w:rFonts w:ascii="Cambria Math" w:hAnsi="Cambria Math"/>
              </w:rPr>
            </m:ctrlPr>
          </m:fPr>
          <m:num>
            <m:r>
              <w:rPr>
                <w:rFonts w:ascii="Cambria Math" w:hAnsi="Cambria Math"/>
              </w:rPr>
              <m:t>7,5 </m:t>
            </m:r>
            <m:sSub>
              <m:sSubPr>
                <m:ctrlPr>
                  <w:rPr>
                    <w:rFonts w:ascii="Cambria Math" w:hAnsi="Cambria Math"/>
                  </w:rPr>
                </m:ctrlPr>
              </m:sSubPr>
              <m:e>
                <m:r>
                  <w:rPr>
                    <w:rFonts w:ascii="Cambria Math" w:hAnsi="Cambria Math"/>
                  </w:rPr>
                  <m:t>f</m:t>
                </m:r>
              </m:e>
              <m:sub>
                <m:r>
                  <m:rPr>
                    <m:sty m:val="p"/>
                  </m:rPr>
                  <w:rPr>
                    <w:rFonts w:ascii="Cambria Math" w:hAnsi="Cambria Math"/>
                  </w:rPr>
                  <m:t>ctm</m:t>
                </m:r>
              </m:sub>
            </m:sSub>
          </m:num>
          <m:den>
            <m:sSub>
              <m:sSubPr>
                <m:ctrlPr>
                  <w:rPr>
                    <w:rFonts w:ascii="Cambria Math" w:hAnsi="Cambria Math"/>
                  </w:rPr>
                </m:ctrlPr>
              </m:sSubPr>
              <m:e>
                <m:r>
                  <w:rPr>
                    <w:rFonts w:ascii="Cambria Math" w:hAnsi="Cambria Math"/>
                  </w:rPr>
                  <m:t>γ</m:t>
                </m:r>
              </m:e>
              <m:sub>
                <m:r>
                  <m:rPr>
                    <m:sty m:val="p"/>
                  </m:rPr>
                  <w:rPr>
                    <w:rFonts w:ascii="Cambria Math" w:hAnsi="Cambria Math"/>
                  </w:rPr>
                  <m:t>Rd</m:t>
                </m:r>
              </m:sub>
            </m:sSub>
            <m:r>
              <w:rPr>
                <w:rFonts w:ascii="Cambria Math" w:hAnsi="Cambria Math"/>
              </w:rPr>
              <m:t> </m:t>
            </m:r>
            <m:sSub>
              <m:sSubPr>
                <m:ctrlPr>
                  <w:rPr>
                    <w:rFonts w:ascii="Cambria Math" w:hAnsi="Cambria Math"/>
                  </w:rPr>
                </m:ctrlPr>
              </m:sSubPr>
              <m:e>
                <m:r>
                  <w:rPr>
                    <w:rFonts w:ascii="Cambria Math" w:hAnsi="Cambria Math"/>
                  </w:rPr>
                  <m:t>f</m:t>
                </m:r>
              </m:e>
              <m:sub>
                <m:r>
                  <m:rPr>
                    <m:sty m:val="p"/>
                  </m:rPr>
                  <w:rPr>
                    <w:rFonts w:ascii="Cambria Math" w:hAnsi="Cambria Math"/>
                  </w:rPr>
                  <m:t>yd</m:t>
                </m:r>
              </m:sub>
            </m:sSub>
          </m:den>
        </m:f>
        <m:d>
          <m:dPr>
            <m:ctrlPr>
              <w:rPr>
                <w:rFonts w:ascii="Cambria Math" w:hAnsi="Cambria Math"/>
              </w:rPr>
            </m:ctrlPr>
          </m:dPr>
          <m:e>
            <m:r>
              <w:rPr>
                <w:rFonts w:ascii="Cambria Math" w:hAnsi="Cambria Math"/>
              </w:rPr>
              <m:t>1+0,8 </m:t>
            </m:r>
            <m:sSub>
              <m:sSubPr>
                <m:ctrlPr>
                  <w:rPr>
                    <w:rFonts w:ascii="Cambria Math" w:hAnsi="Cambria Math"/>
                  </w:rPr>
                </m:ctrlPr>
              </m:sSubPr>
              <m:e>
                <m:r>
                  <w:rPr>
                    <w:rFonts w:ascii="Cambria Math" w:hAnsi="Cambria Math"/>
                  </w:rPr>
                  <m:t>ν</m:t>
                </m:r>
              </m:e>
              <m:sub>
                <m:r>
                  <w:rPr>
                    <w:rFonts w:ascii="Cambria Math" w:hAnsi="Cambria Math"/>
                  </w:rPr>
                  <m:t>d</m:t>
                </m:r>
              </m:sub>
            </m:sSub>
          </m:e>
        </m:d>
      </m:oMath>
      <w:r w:rsidR="00E20FA2" w:rsidRPr="00870D59">
        <w:tab/>
        <w:t>(10.</w:t>
      </w:r>
      <w:r w:rsidR="00E20FA2">
        <w:t>25</w:t>
      </w:r>
      <w:r w:rsidR="00E20FA2" w:rsidRPr="00870D59">
        <w:t>)</w:t>
      </w:r>
    </w:p>
    <w:p w14:paraId="4BC060CA" w14:textId="0798CA06" w:rsidR="00E20FA2" w:rsidRDefault="00675EBA" w:rsidP="00E20FA2">
      <w:r>
        <w:t>where</w:t>
      </w:r>
    </w:p>
    <w:tbl>
      <w:tblPr>
        <w:tblW w:w="0" w:type="auto"/>
        <w:tblInd w:w="346" w:type="dxa"/>
        <w:tblLook w:val="04A0" w:firstRow="1" w:lastRow="0" w:firstColumn="1" w:lastColumn="0" w:noHBand="0" w:noVBand="1"/>
      </w:tblPr>
      <w:tblGrid>
        <w:gridCol w:w="1275"/>
        <w:gridCol w:w="7938"/>
      </w:tblGrid>
      <w:tr w:rsidR="00E20FA2" w:rsidRPr="00870D59" w14:paraId="4CE0E75A" w14:textId="77777777" w:rsidTr="009B7FB1">
        <w:tc>
          <w:tcPr>
            <w:tcW w:w="1275" w:type="dxa"/>
          </w:tcPr>
          <w:p w14:paraId="2E4E0644" w14:textId="2A2E6786" w:rsidR="00E20FA2" w:rsidRPr="00870D59" w:rsidRDefault="003A1DC8" w:rsidP="002061E5">
            <w:pPr>
              <w:spacing w:after="60"/>
              <w:rPr>
                <w:rFonts w:eastAsia="Times New Roman" w:cs="Cambria"/>
                <w:szCs w:val="20"/>
                <w:lang w:eastAsia="fr-FR"/>
              </w:rPr>
            </w:pPr>
            <w:r w:rsidRPr="00D1484A">
              <w:rPr>
                <w:rFonts w:ascii="AODJCD+TimesNewRoman,Italic" w:hAnsi="AODJCD+TimesNewRoman,Italic" w:cs="AODJCD+TimesNewRoman,Italic"/>
                <w:i/>
                <w:iCs/>
              </w:rPr>
              <w:t>h</w:t>
            </w:r>
            <w:r w:rsidRPr="00D1484A">
              <w:rPr>
                <w:sz w:val="16"/>
                <w:szCs w:val="16"/>
                <w:vertAlign w:val="subscript"/>
              </w:rPr>
              <w:t>c</w:t>
            </w:r>
          </w:p>
        </w:tc>
        <w:tc>
          <w:tcPr>
            <w:tcW w:w="7938" w:type="dxa"/>
          </w:tcPr>
          <w:p w14:paraId="0253333A" w14:textId="37185D8C" w:rsidR="00E20FA2" w:rsidRPr="00870D59" w:rsidRDefault="00265677" w:rsidP="002061E5">
            <w:pPr>
              <w:spacing w:after="60"/>
              <w:rPr>
                <w:rFonts w:eastAsia="Times New Roman" w:cs="Cambria"/>
                <w:szCs w:val="20"/>
                <w:lang w:eastAsia="fr-FR"/>
              </w:rPr>
            </w:pPr>
            <w:r w:rsidRPr="00D1484A">
              <w:t>is the cross-sectional dimension of the column parallel to the bars;</w:t>
            </w:r>
          </w:p>
        </w:tc>
      </w:tr>
      <w:tr w:rsidR="00E20FA2" w:rsidRPr="00870D59" w14:paraId="0DBC2248" w14:textId="77777777" w:rsidTr="009B7FB1">
        <w:tc>
          <w:tcPr>
            <w:tcW w:w="1275" w:type="dxa"/>
          </w:tcPr>
          <w:p w14:paraId="6B1832C6" w14:textId="0983A70A" w:rsidR="00E20FA2" w:rsidRPr="00870D59" w:rsidRDefault="003A1DC8" w:rsidP="002061E5">
            <w:pPr>
              <w:spacing w:after="60"/>
              <w:rPr>
                <w:rFonts w:ascii="Symbol" w:hAnsi="Symbol"/>
                <w:i/>
                <w:color w:val="000000" w:themeColor="text1"/>
              </w:rPr>
            </w:pPr>
            <w:r w:rsidRPr="00D1484A">
              <w:rPr>
                <w:rFonts w:ascii="AODJCD+TimesNewRoman,Italic" w:hAnsi="AODJCD+TimesNewRoman,Italic" w:cs="AODJCD+TimesNewRoman,Italic"/>
                <w:i/>
                <w:iCs/>
              </w:rPr>
              <w:t>f</w:t>
            </w:r>
            <w:r w:rsidRPr="007E6F67">
              <w:rPr>
                <w:sz w:val="16"/>
                <w:szCs w:val="16"/>
                <w:vertAlign w:val="subscript"/>
              </w:rPr>
              <w:t>ctm</w:t>
            </w:r>
          </w:p>
        </w:tc>
        <w:tc>
          <w:tcPr>
            <w:tcW w:w="7938" w:type="dxa"/>
          </w:tcPr>
          <w:p w14:paraId="1A60C6ED" w14:textId="54839CB4" w:rsidR="00E20FA2" w:rsidRPr="00870D59" w:rsidRDefault="00265677" w:rsidP="002061E5">
            <w:pPr>
              <w:rPr>
                <w:color w:val="000000" w:themeColor="text1"/>
              </w:rPr>
            </w:pPr>
            <w:r w:rsidRPr="00FD17CF">
              <w:t>is the mean value of the tensile strength of concrete;</w:t>
            </w:r>
          </w:p>
        </w:tc>
      </w:tr>
      <w:tr w:rsidR="00E20FA2" w:rsidRPr="00870D59" w14:paraId="6340068C" w14:textId="77777777" w:rsidTr="009B7FB1">
        <w:tc>
          <w:tcPr>
            <w:tcW w:w="1275" w:type="dxa"/>
          </w:tcPr>
          <w:p w14:paraId="057BCFC5" w14:textId="15FA9645" w:rsidR="00E20FA2" w:rsidRPr="00D1484A" w:rsidRDefault="003A1DC8" w:rsidP="002061E5">
            <w:pPr>
              <w:spacing w:after="60"/>
              <w:rPr>
                <w:i/>
                <w:iCs/>
              </w:rPr>
            </w:pPr>
            <w:r w:rsidRPr="00644C3D">
              <w:rPr>
                <w:rFonts w:ascii="AODJCD+TimesNewRoman,Italic" w:hAnsi="AODJCD+TimesNewRoman,Italic" w:cs="AODJCD+TimesNewRoman,Italic"/>
                <w:i/>
                <w:iCs/>
              </w:rPr>
              <w:t>f</w:t>
            </w:r>
            <w:r w:rsidRPr="00E05E29">
              <w:rPr>
                <w:sz w:val="16"/>
                <w:szCs w:val="16"/>
                <w:vertAlign w:val="subscript"/>
              </w:rPr>
              <w:t>yd</w:t>
            </w:r>
          </w:p>
        </w:tc>
        <w:tc>
          <w:tcPr>
            <w:tcW w:w="7938" w:type="dxa"/>
          </w:tcPr>
          <w:p w14:paraId="79DE6119" w14:textId="0492EA8F" w:rsidR="00E20FA2" w:rsidRPr="007E6F67" w:rsidRDefault="00265677" w:rsidP="002061E5">
            <w:r w:rsidRPr="00E05E29">
              <w:t>is the design yield strength of steel reinforcement;</w:t>
            </w:r>
          </w:p>
        </w:tc>
      </w:tr>
      <w:tr w:rsidR="00E20FA2" w:rsidRPr="00870D59" w14:paraId="63881CCE" w14:textId="77777777" w:rsidTr="009B7FB1">
        <w:tc>
          <w:tcPr>
            <w:tcW w:w="1275" w:type="dxa"/>
          </w:tcPr>
          <w:p w14:paraId="2A481C7A" w14:textId="02EE07F2" w:rsidR="00E20FA2" w:rsidRPr="00D1484A" w:rsidRDefault="003A1DC8" w:rsidP="002061E5">
            <w:pPr>
              <w:spacing w:after="60"/>
              <w:rPr>
                <w:i/>
                <w:iCs/>
              </w:rPr>
            </w:pPr>
            <w:r w:rsidRPr="00E05E29">
              <w:rPr>
                <w:i/>
              </w:rPr>
              <w:t>ν</w:t>
            </w:r>
            <w:r w:rsidRPr="00E05E29">
              <w:rPr>
                <w:sz w:val="16"/>
                <w:szCs w:val="16"/>
                <w:vertAlign w:val="subscript"/>
              </w:rPr>
              <w:t>d</w:t>
            </w:r>
          </w:p>
        </w:tc>
        <w:tc>
          <w:tcPr>
            <w:tcW w:w="7938" w:type="dxa"/>
          </w:tcPr>
          <w:p w14:paraId="2B793236" w14:textId="212A272C" w:rsidR="00E20FA2" w:rsidRPr="007E6F67" w:rsidRDefault="00265677" w:rsidP="002061E5">
            <w:r w:rsidRPr="00E05E29">
              <w:t xml:space="preserve">= </w:t>
            </w:r>
            <w:r w:rsidRPr="00E05E29">
              <w:rPr>
                <w:rFonts w:ascii="AODJCD+TimesNewRoman,Italic" w:hAnsi="AODJCD+TimesNewRoman,Italic" w:cs="AODJCD+TimesNewRoman,Italic"/>
                <w:i/>
              </w:rPr>
              <w:t>N</w:t>
            </w:r>
            <w:r w:rsidRPr="00E05E29">
              <w:rPr>
                <w:sz w:val="16"/>
                <w:szCs w:val="16"/>
                <w:vertAlign w:val="subscript"/>
              </w:rPr>
              <w:t>Ed</w:t>
            </w:r>
            <w:r w:rsidRPr="00E05E29">
              <w:t>/(</w:t>
            </w:r>
            <w:r w:rsidRPr="00E05E29">
              <w:rPr>
                <w:rFonts w:ascii="AODJCD+TimesNewRoman,Italic" w:hAnsi="AODJCD+TimesNewRoman,Italic" w:cs="AODJCD+TimesNewRoman,Italic"/>
                <w:i/>
              </w:rPr>
              <w:t>f</w:t>
            </w:r>
            <w:r w:rsidRPr="00E05E29">
              <w:rPr>
                <w:sz w:val="16"/>
                <w:szCs w:val="16"/>
                <w:vertAlign w:val="subscript"/>
              </w:rPr>
              <w:t>cd</w:t>
            </w:r>
            <w:r w:rsidRPr="00E05E29">
              <w:t> </w:t>
            </w:r>
            <w:r w:rsidRPr="00E05E29">
              <w:rPr>
                <w:rFonts w:ascii="AODJCD+TimesNewRoman,Italic" w:hAnsi="AODJCD+TimesNewRoman,Italic" w:cs="AODJCD+TimesNewRoman,Italic"/>
                <w:i/>
              </w:rPr>
              <w:t>A</w:t>
            </w:r>
            <w:r w:rsidRPr="00E05E29">
              <w:rPr>
                <w:sz w:val="16"/>
                <w:szCs w:val="16"/>
                <w:vertAlign w:val="subscript"/>
              </w:rPr>
              <w:t>c</w:t>
            </w:r>
            <w:r w:rsidRPr="00E05E29">
              <w:t>) is the normal</w:t>
            </w:r>
            <w:r w:rsidR="00E10A24">
              <w:t>ize</w:t>
            </w:r>
            <w:r w:rsidRPr="00E05E29">
              <w:t>d axial force in the column above the joint in the seismic design situation;</w:t>
            </w:r>
          </w:p>
        </w:tc>
      </w:tr>
      <w:tr w:rsidR="00E20FA2" w:rsidRPr="00870D59" w14:paraId="7615D09B" w14:textId="77777777" w:rsidTr="009B7FB1">
        <w:tc>
          <w:tcPr>
            <w:tcW w:w="1275" w:type="dxa"/>
          </w:tcPr>
          <w:p w14:paraId="77C5E6D8" w14:textId="4FD33089" w:rsidR="00E20FA2" w:rsidRPr="00E05E29" w:rsidRDefault="003A1DC8" w:rsidP="002061E5">
            <w:pPr>
              <w:spacing w:after="60"/>
              <w:rPr>
                <w:i/>
                <w:iCs/>
              </w:rPr>
            </w:pPr>
            <w:r w:rsidRPr="00E05E29">
              <w:rPr>
                <w:rFonts w:ascii="AODJCD+TimesNewRoman,Italic" w:hAnsi="AODJCD+TimesNewRoman,Italic" w:cs="AODJCD+TimesNewRoman,Italic"/>
                <w:i/>
                <w:iCs/>
              </w:rPr>
              <w:t>k</w:t>
            </w:r>
            <w:r w:rsidRPr="00E05E29">
              <w:rPr>
                <w:sz w:val="16"/>
                <w:szCs w:val="16"/>
                <w:vertAlign w:val="subscript"/>
              </w:rPr>
              <w:t>D</w:t>
            </w:r>
          </w:p>
        </w:tc>
        <w:tc>
          <w:tcPr>
            <w:tcW w:w="7938" w:type="dxa"/>
          </w:tcPr>
          <w:p w14:paraId="7E35EEC4" w14:textId="34B16AE4" w:rsidR="00E20FA2" w:rsidRPr="00E05E29" w:rsidRDefault="00265677" w:rsidP="002061E5">
            <w:r w:rsidRPr="00E05E29">
              <w:t>is the factor reflecting the ductility class equal to 1/2 for DC2 and to 2/3 for DC3;</w:t>
            </w:r>
          </w:p>
        </w:tc>
      </w:tr>
      <w:tr w:rsidR="00E20FA2" w:rsidRPr="00870D59" w14:paraId="1340E36B" w14:textId="77777777" w:rsidTr="009B7FB1">
        <w:tc>
          <w:tcPr>
            <w:tcW w:w="1275" w:type="dxa"/>
          </w:tcPr>
          <w:p w14:paraId="3DF0D0CE" w14:textId="69C707B9" w:rsidR="00E20FA2" w:rsidRPr="00E05E29" w:rsidRDefault="003A1DC8" w:rsidP="002061E5">
            <w:pPr>
              <w:spacing w:after="60"/>
              <w:rPr>
                <w:i/>
                <w:iCs/>
              </w:rPr>
            </w:pPr>
            <w:r w:rsidRPr="00E05E29">
              <w:rPr>
                <w:i/>
                <w:iCs/>
              </w:rPr>
              <w:t>ρ’</w:t>
            </w:r>
            <w:r w:rsidRPr="00E05E29">
              <w:rPr>
                <w:rFonts w:ascii="AODJCD+TimesNewRoman,Italic" w:hAnsi="AODJCD+TimesNewRoman,Italic" w:cs="AODJCD+TimesNewRoman,Italic"/>
                <w:vertAlign w:val="subscript"/>
              </w:rPr>
              <w:t>l</w:t>
            </w:r>
          </w:p>
        </w:tc>
        <w:tc>
          <w:tcPr>
            <w:tcW w:w="7938" w:type="dxa"/>
          </w:tcPr>
          <w:p w14:paraId="5A874A79" w14:textId="4B6B7A94" w:rsidR="00E20FA2" w:rsidRPr="00E05E29" w:rsidRDefault="00265677" w:rsidP="002061E5">
            <w:r w:rsidRPr="00E05E29">
              <w:t>is the compression steel ratio of the beam bars passing through the joint;</w:t>
            </w:r>
          </w:p>
        </w:tc>
      </w:tr>
      <w:tr w:rsidR="00E20FA2" w:rsidRPr="00205B72" w14:paraId="3A386FCB" w14:textId="77777777" w:rsidTr="009B7FB1">
        <w:tc>
          <w:tcPr>
            <w:tcW w:w="1275" w:type="dxa"/>
          </w:tcPr>
          <w:p w14:paraId="3B614315" w14:textId="3F554D77" w:rsidR="00E20FA2" w:rsidRPr="00205B72" w:rsidRDefault="003A1DC8" w:rsidP="002061E5">
            <w:pPr>
              <w:spacing w:after="60"/>
              <w:rPr>
                <w:i/>
                <w:iCs/>
              </w:rPr>
            </w:pPr>
            <w:r w:rsidRPr="00205B72">
              <w:rPr>
                <w:i/>
                <w:iCs/>
              </w:rPr>
              <w:lastRenderedPageBreak/>
              <w:t>ρ</w:t>
            </w:r>
            <w:r w:rsidRPr="00205B72">
              <w:rPr>
                <w:vertAlign w:val="subscript"/>
              </w:rPr>
              <w:t>l,</w:t>
            </w:r>
            <w:r w:rsidRPr="00205B72">
              <w:rPr>
                <w:sz w:val="16"/>
                <w:szCs w:val="16"/>
                <w:vertAlign w:val="subscript"/>
              </w:rPr>
              <w:t>max</w:t>
            </w:r>
          </w:p>
        </w:tc>
        <w:tc>
          <w:tcPr>
            <w:tcW w:w="7938" w:type="dxa"/>
          </w:tcPr>
          <w:p w14:paraId="1D5753D9" w14:textId="101BE764" w:rsidR="00E20FA2" w:rsidRPr="00205B72" w:rsidRDefault="00265677" w:rsidP="002061E5">
            <w:r w:rsidRPr="00205B72">
              <w:t>is the maximum allowed tension steel ratio (see 10.5.4.2(5));</w:t>
            </w:r>
          </w:p>
        </w:tc>
      </w:tr>
      <w:tr w:rsidR="003A1DC8" w:rsidRPr="00205B72" w14:paraId="0C8E91D4" w14:textId="77777777" w:rsidTr="009B7FB1">
        <w:tc>
          <w:tcPr>
            <w:tcW w:w="1275" w:type="dxa"/>
          </w:tcPr>
          <w:p w14:paraId="5A628E01" w14:textId="2AF4DC63" w:rsidR="003A1DC8" w:rsidRPr="00205B72" w:rsidRDefault="003A1DC8" w:rsidP="002061E5">
            <w:pPr>
              <w:spacing w:after="60"/>
              <w:rPr>
                <w:i/>
                <w:iCs/>
              </w:rPr>
            </w:pPr>
            <w:r w:rsidRPr="00205B72">
              <w:rPr>
                <w:i/>
                <w:iCs/>
              </w:rPr>
              <w:t>γ</w:t>
            </w:r>
            <w:r w:rsidRPr="00205B72">
              <w:rPr>
                <w:vertAlign w:val="subscript"/>
              </w:rPr>
              <w:t>Rd</w:t>
            </w:r>
          </w:p>
        </w:tc>
        <w:tc>
          <w:tcPr>
            <w:tcW w:w="7938" w:type="dxa"/>
          </w:tcPr>
          <w:p w14:paraId="11EEADCF" w14:textId="0AFF4361" w:rsidR="003A1DC8" w:rsidRPr="00205B72" w:rsidRDefault="00265677" w:rsidP="002061E5">
            <w:r w:rsidRPr="00205B72">
              <w:t>accounts for overstrength due to strain-hardening and may be taken equal to 1,1 for DC2 and 1,2 for DC3.</w:t>
            </w:r>
          </w:p>
        </w:tc>
      </w:tr>
    </w:tbl>
    <w:p w14:paraId="1AB46894" w14:textId="35802894" w:rsidR="00265677" w:rsidRPr="00205B72" w:rsidRDefault="00265677" w:rsidP="00724E4E">
      <w:pPr>
        <w:pStyle w:val="Clause"/>
      </w:pPr>
      <w:r w:rsidRPr="00205B72">
        <w:t>The limitations in (2) may be disregarded for diagonal bars crossing joints.</w:t>
      </w:r>
    </w:p>
    <w:p w14:paraId="161CC3FE" w14:textId="2C6BF86E" w:rsidR="00265677" w:rsidRPr="00E05E29" w:rsidRDefault="00265677" w:rsidP="00724E4E">
      <w:pPr>
        <w:pStyle w:val="Clause"/>
      </w:pPr>
      <w:r w:rsidRPr="00205B72">
        <w:t xml:space="preserve">Alternatively to the explicit calculation of </w:t>
      </w:r>
      <w:r w:rsidRPr="00205B72">
        <w:rPr>
          <w:i/>
          <w:iCs/>
        </w:rPr>
        <w:t>d</w:t>
      </w:r>
      <w:r w:rsidRPr="00205B72">
        <w:rPr>
          <w:vertAlign w:val="subscript"/>
        </w:rPr>
        <w:t>bL</w:t>
      </w:r>
      <w:r w:rsidRPr="00205B72">
        <w:t xml:space="preserve"> given by Formulas (10.20) and (10.21), the values in Table 10.</w:t>
      </w:r>
      <w:r w:rsidR="00A5424C">
        <w:t>7</w:t>
      </w:r>
      <w:r w:rsidRPr="00205B72">
        <w:t xml:space="preserve"> may be used, for reinforcing steel of ductility class B or C, when</w:t>
      </w:r>
      <w:r w:rsidRPr="00E05E29">
        <w:t xml:space="preserve"> a) and b) are satisfied:</w:t>
      </w:r>
    </w:p>
    <w:p w14:paraId="6897B306" w14:textId="5F8DC4E1" w:rsidR="00265677" w:rsidRPr="00E05E29" w:rsidRDefault="00265677" w:rsidP="0080187E">
      <w:pPr>
        <w:pStyle w:val="List2"/>
        <w:numPr>
          <w:ilvl w:val="0"/>
          <w:numId w:val="140"/>
        </w:numPr>
        <w:spacing w:before="0" w:after="240" w:line="230" w:lineRule="atLeast"/>
        <w:contextualSpacing w:val="0"/>
      </w:pPr>
      <w:r w:rsidRPr="00E05E29">
        <w:t>if the normali</w:t>
      </w:r>
      <w:r w:rsidR="009B7FB1">
        <w:t>z</w:t>
      </w:r>
      <w:r w:rsidRPr="00E05E29">
        <w:t>ed design axial force in the column is not less than 0,15;</w:t>
      </w:r>
    </w:p>
    <w:p w14:paraId="1EBBDF86" w14:textId="5CC6DC34" w:rsidR="00265677" w:rsidRPr="00E05E29" w:rsidRDefault="00265677" w:rsidP="0080187E">
      <w:pPr>
        <w:pStyle w:val="List2"/>
        <w:numPr>
          <w:ilvl w:val="0"/>
          <w:numId w:val="140"/>
        </w:numPr>
        <w:spacing w:before="0" w:after="240" w:line="230" w:lineRule="atLeast"/>
        <w:contextualSpacing w:val="0"/>
      </w:pPr>
      <w:r w:rsidRPr="00E05E29">
        <w:t>at interior beam-column joints, if the ratio of beam compression bars crossing the joint is less than 1</w:t>
      </w:r>
      <w:r w:rsidR="009B7FB1">
        <w:t> </w:t>
      </w:r>
      <w:r w:rsidRPr="00E05E29">
        <w:t>%.</w:t>
      </w:r>
    </w:p>
    <w:p w14:paraId="287AD233" w14:textId="6CDC53D3" w:rsidR="00265677" w:rsidRPr="00D1484A" w:rsidRDefault="00265677" w:rsidP="007D07A7">
      <w:pPr>
        <w:pStyle w:val="Tabletitle"/>
      </w:pPr>
      <w:bookmarkStart w:id="7537" w:name="_Ref529626447"/>
      <w:r w:rsidRPr="00E05E29">
        <w:t xml:space="preserve">Table </w:t>
      </w:r>
      <w:r w:rsidR="007D07A7">
        <w:t>10</w:t>
      </w:r>
      <w:r w:rsidRPr="00D6416E">
        <w:t>.</w:t>
      </w:r>
      <w:bookmarkEnd w:id="7537"/>
      <w:r w:rsidR="00A5424C">
        <w:t>7</w:t>
      </w:r>
      <w:r w:rsidRPr="00D6416E">
        <w:t> </w:t>
      </w:r>
      <w:r w:rsidRPr="00132C1E">
        <w:t>— </w:t>
      </w:r>
      <w:r w:rsidRPr="00D1484A">
        <w:t xml:space="preserve">Maximum </w:t>
      </w:r>
      <w:r w:rsidR="007E5C9E">
        <w:t>d</w:t>
      </w:r>
      <w:r>
        <w:t>iameter</w:t>
      </w:r>
      <w:r w:rsidRPr="00D1484A">
        <w:t xml:space="preserve"> of beam longitudinal bars passing through beam-column joints</w:t>
      </w:r>
    </w:p>
    <w:tbl>
      <w:tblPr>
        <w:tblW w:w="9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5"/>
        <w:gridCol w:w="1440"/>
        <w:gridCol w:w="3330"/>
        <w:gridCol w:w="3330"/>
      </w:tblGrid>
      <w:tr w:rsidR="00265677" w:rsidRPr="007D07A7" w14:paraId="3C60570A" w14:textId="77777777" w:rsidTr="002061E5">
        <w:trPr>
          <w:jc w:val="center"/>
        </w:trPr>
        <w:tc>
          <w:tcPr>
            <w:tcW w:w="1325" w:type="dxa"/>
            <w:vMerge w:val="restart"/>
            <w:shd w:val="clear" w:color="auto" w:fill="auto"/>
            <w:vAlign w:val="center"/>
          </w:tcPr>
          <w:p w14:paraId="0ADEC30D" w14:textId="77777777" w:rsidR="00265677" w:rsidRPr="00205B72" w:rsidRDefault="00265677" w:rsidP="002061E5">
            <w:pPr>
              <w:spacing w:after="60"/>
              <w:rPr>
                <w:b/>
                <w:bCs/>
              </w:rPr>
            </w:pPr>
            <w:r w:rsidRPr="00205B72">
              <w:rPr>
                <w:b/>
                <w:bCs/>
              </w:rPr>
              <w:t>Interior beam-column joints</w:t>
            </w:r>
          </w:p>
        </w:tc>
        <w:tc>
          <w:tcPr>
            <w:tcW w:w="1440" w:type="dxa"/>
            <w:vMerge w:val="restart"/>
            <w:shd w:val="clear" w:color="auto" w:fill="auto"/>
            <w:vAlign w:val="center"/>
          </w:tcPr>
          <w:p w14:paraId="1EED7901" w14:textId="77777777" w:rsidR="00265677" w:rsidRPr="00205B72" w:rsidRDefault="00265677" w:rsidP="00205B72">
            <w:pPr>
              <w:spacing w:after="60"/>
              <w:jc w:val="center"/>
              <w:rPr>
                <w:b/>
                <w:bCs/>
              </w:rPr>
            </w:pPr>
            <w:r w:rsidRPr="00205B72">
              <w:rPr>
                <w:b/>
                <w:bCs/>
              </w:rPr>
              <w:t>Concrete grade</w:t>
            </w:r>
          </w:p>
        </w:tc>
        <w:tc>
          <w:tcPr>
            <w:tcW w:w="6660" w:type="dxa"/>
            <w:gridSpan w:val="2"/>
            <w:shd w:val="clear" w:color="auto" w:fill="auto"/>
            <w:vAlign w:val="center"/>
          </w:tcPr>
          <w:p w14:paraId="1747E672" w14:textId="77777777" w:rsidR="00265677" w:rsidRPr="00205B72" w:rsidRDefault="00265677" w:rsidP="002061E5">
            <w:pPr>
              <w:spacing w:after="60"/>
              <w:jc w:val="center"/>
              <w:rPr>
                <w:b/>
                <w:bCs/>
              </w:rPr>
            </w:pPr>
            <w:r w:rsidRPr="00205B72">
              <w:rPr>
                <w:b/>
                <w:bCs/>
              </w:rPr>
              <w:t xml:space="preserve">Steel grade </w:t>
            </w:r>
          </w:p>
        </w:tc>
      </w:tr>
      <w:tr w:rsidR="00265677" w:rsidRPr="007D07A7" w14:paraId="062072E7" w14:textId="77777777" w:rsidTr="002061E5">
        <w:trPr>
          <w:jc w:val="center"/>
        </w:trPr>
        <w:tc>
          <w:tcPr>
            <w:tcW w:w="1325" w:type="dxa"/>
            <w:vMerge/>
            <w:shd w:val="clear" w:color="auto" w:fill="auto"/>
          </w:tcPr>
          <w:p w14:paraId="56F7FA3E" w14:textId="77777777" w:rsidR="00265677" w:rsidRPr="00205B72" w:rsidRDefault="00265677" w:rsidP="002061E5">
            <w:pPr>
              <w:spacing w:after="60"/>
              <w:rPr>
                <w:b/>
                <w:bCs/>
              </w:rPr>
            </w:pPr>
          </w:p>
        </w:tc>
        <w:tc>
          <w:tcPr>
            <w:tcW w:w="1440" w:type="dxa"/>
            <w:vMerge/>
            <w:shd w:val="clear" w:color="auto" w:fill="auto"/>
          </w:tcPr>
          <w:p w14:paraId="0247EDAD" w14:textId="77777777" w:rsidR="00265677" w:rsidRPr="00205B72" w:rsidRDefault="00265677" w:rsidP="00205B72">
            <w:pPr>
              <w:spacing w:after="60"/>
              <w:jc w:val="center"/>
              <w:rPr>
                <w:b/>
                <w:bCs/>
              </w:rPr>
            </w:pPr>
          </w:p>
        </w:tc>
        <w:tc>
          <w:tcPr>
            <w:tcW w:w="3330" w:type="dxa"/>
            <w:shd w:val="clear" w:color="auto" w:fill="auto"/>
            <w:vAlign w:val="center"/>
          </w:tcPr>
          <w:p w14:paraId="1C75AE76" w14:textId="77777777" w:rsidR="00265677" w:rsidRPr="00205B72" w:rsidRDefault="00265677" w:rsidP="002061E5">
            <w:pPr>
              <w:spacing w:after="60"/>
              <w:jc w:val="center"/>
              <w:rPr>
                <w:b/>
                <w:bCs/>
              </w:rPr>
            </w:pPr>
            <w:r w:rsidRPr="00205B72">
              <w:rPr>
                <w:b/>
                <w:bCs/>
              </w:rPr>
              <w:t>B400</w:t>
            </w:r>
          </w:p>
        </w:tc>
        <w:tc>
          <w:tcPr>
            <w:tcW w:w="3330" w:type="dxa"/>
            <w:shd w:val="clear" w:color="auto" w:fill="auto"/>
            <w:vAlign w:val="center"/>
          </w:tcPr>
          <w:p w14:paraId="69B2A994" w14:textId="77777777" w:rsidR="00265677" w:rsidRPr="00205B72" w:rsidRDefault="00265677" w:rsidP="002061E5">
            <w:pPr>
              <w:spacing w:after="60"/>
              <w:jc w:val="center"/>
              <w:rPr>
                <w:b/>
                <w:bCs/>
              </w:rPr>
            </w:pPr>
            <w:r w:rsidRPr="00205B72">
              <w:rPr>
                <w:b/>
                <w:bCs/>
              </w:rPr>
              <w:t>B500</w:t>
            </w:r>
          </w:p>
        </w:tc>
      </w:tr>
      <w:tr w:rsidR="00265677" w:rsidRPr="007D07A7" w14:paraId="1DC1A8AA" w14:textId="77777777" w:rsidTr="002061E5">
        <w:trPr>
          <w:jc w:val="center"/>
        </w:trPr>
        <w:tc>
          <w:tcPr>
            <w:tcW w:w="1325" w:type="dxa"/>
            <w:vMerge/>
            <w:shd w:val="clear" w:color="auto" w:fill="auto"/>
          </w:tcPr>
          <w:p w14:paraId="25E4BD1E" w14:textId="77777777" w:rsidR="00265677" w:rsidRPr="00205B72" w:rsidRDefault="00265677" w:rsidP="002061E5">
            <w:pPr>
              <w:spacing w:after="60"/>
              <w:rPr>
                <w:b/>
                <w:bCs/>
              </w:rPr>
            </w:pPr>
          </w:p>
        </w:tc>
        <w:tc>
          <w:tcPr>
            <w:tcW w:w="1440" w:type="dxa"/>
            <w:shd w:val="clear" w:color="auto" w:fill="auto"/>
            <w:vAlign w:val="center"/>
          </w:tcPr>
          <w:p w14:paraId="53380063" w14:textId="77777777" w:rsidR="00265677" w:rsidRPr="00205B72" w:rsidRDefault="00265677" w:rsidP="00205B72">
            <w:pPr>
              <w:spacing w:after="60"/>
              <w:jc w:val="center"/>
              <w:rPr>
                <w:b/>
                <w:bCs/>
              </w:rPr>
            </w:pPr>
            <w:r w:rsidRPr="00205B72">
              <w:rPr>
                <w:b/>
                <w:bCs/>
              </w:rPr>
              <w:t>C20-C25</w:t>
            </w:r>
          </w:p>
        </w:tc>
        <w:tc>
          <w:tcPr>
            <w:tcW w:w="3330" w:type="dxa"/>
            <w:shd w:val="clear" w:color="auto" w:fill="auto"/>
            <w:vAlign w:val="center"/>
          </w:tcPr>
          <w:p w14:paraId="2673C3A9" w14:textId="53FAA961" w:rsidR="00265677" w:rsidRPr="007D07A7" w:rsidRDefault="00265677" w:rsidP="002061E5">
            <w:pPr>
              <w:spacing w:after="60"/>
              <w:jc w:val="center"/>
            </w:pPr>
            <w:r w:rsidRPr="007D07A7">
              <w:t xml:space="preserve">DC2: </w:t>
            </w:r>
            <w:r w:rsidRPr="007D07A7">
              <w:rPr>
                <w:i/>
              </w:rPr>
              <w:t>d</w:t>
            </w:r>
            <w:r w:rsidRPr="007D07A7">
              <w:rPr>
                <w:vertAlign w:val="subscript"/>
              </w:rPr>
              <w:t>bL</w:t>
            </w:r>
            <w:r w:rsidRPr="007D07A7">
              <w:t xml:space="preserve"> ≤ 4,0</w:t>
            </w:r>
            <w:r w:rsidR="009B7FB1">
              <w:t xml:space="preserve"> </w:t>
            </w:r>
            <w:r w:rsidRPr="007D07A7">
              <w:t xml:space="preserve">% </w:t>
            </w:r>
            <w:r w:rsidRPr="007D07A7">
              <w:rPr>
                <w:i/>
              </w:rPr>
              <w:t>h</w:t>
            </w:r>
            <w:r w:rsidRPr="007D07A7">
              <w:rPr>
                <w:vertAlign w:val="subscript"/>
              </w:rPr>
              <w:t>c</w:t>
            </w:r>
          </w:p>
          <w:p w14:paraId="4226013D" w14:textId="5240DD0E" w:rsidR="00265677" w:rsidRPr="007D07A7" w:rsidRDefault="00265677" w:rsidP="002061E5">
            <w:pPr>
              <w:spacing w:after="60"/>
              <w:jc w:val="center"/>
            </w:pPr>
            <w:r w:rsidRPr="007D07A7">
              <w:t xml:space="preserve">DC3: </w:t>
            </w:r>
            <w:r w:rsidRPr="007D07A7">
              <w:rPr>
                <w:i/>
              </w:rPr>
              <w:t>d</w:t>
            </w:r>
            <w:r w:rsidRPr="007D07A7">
              <w:rPr>
                <w:vertAlign w:val="subscript"/>
              </w:rPr>
              <w:t>bL</w:t>
            </w:r>
            <w:r w:rsidRPr="007D07A7">
              <w:t xml:space="preserve"> ≤ 3,0</w:t>
            </w:r>
            <w:r w:rsidR="009B7FB1">
              <w:t xml:space="preserve"> </w:t>
            </w:r>
            <w:r w:rsidRPr="007D07A7">
              <w:t xml:space="preserve">% </w:t>
            </w:r>
            <w:r w:rsidRPr="007D07A7">
              <w:rPr>
                <w:i/>
              </w:rPr>
              <w:t>h</w:t>
            </w:r>
            <w:r w:rsidRPr="007D07A7">
              <w:rPr>
                <w:vertAlign w:val="subscript"/>
              </w:rPr>
              <w:t>c</w:t>
            </w:r>
          </w:p>
        </w:tc>
        <w:tc>
          <w:tcPr>
            <w:tcW w:w="3330" w:type="dxa"/>
            <w:shd w:val="clear" w:color="auto" w:fill="auto"/>
            <w:vAlign w:val="center"/>
          </w:tcPr>
          <w:p w14:paraId="470A48A4" w14:textId="22CFEBA4" w:rsidR="00265677" w:rsidRPr="007D07A7" w:rsidRDefault="00265677" w:rsidP="002061E5">
            <w:pPr>
              <w:spacing w:after="60"/>
              <w:jc w:val="center"/>
            </w:pPr>
            <w:r w:rsidRPr="007D07A7">
              <w:t xml:space="preserve">DC2: </w:t>
            </w:r>
            <w:r w:rsidRPr="007D07A7">
              <w:rPr>
                <w:i/>
              </w:rPr>
              <w:t>d</w:t>
            </w:r>
            <w:r w:rsidRPr="007D07A7">
              <w:rPr>
                <w:vertAlign w:val="subscript"/>
              </w:rPr>
              <w:t>bL</w:t>
            </w:r>
            <w:r w:rsidRPr="007D07A7">
              <w:t xml:space="preserve"> ≤ 3,0</w:t>
            </w:r>
            <w:r w:rsidR="009B7FB1">
              <w:t xml:space="preserve"> </w:t>
            </w:r>
            <w:r w:rsidRPr="007D07A7">
              <w:t xml:space="preserve">% </w:t>
            </w:r>
            <w:r w:rsidRPr="007D07A7">
              <w:rPr>
                <w:i/>
              </w:rPr>
              <w:t>h</w:t>
            </w:r>
            <w:r w:rsidRPr="007D07A7">
              <w:rPr>
                <w:vertAlign w:val="subscript"/>
              </w:rPr>
              <w:t>c</w:t>
            </w:r>
          </w:p>
          <w:p w14:paraId="7091A05B" w14:textId="1D8FC839" w:rsidR="00265677" w:rsidRPr="007D07A7" w:rsidRDefault="00265677" w:rsidP="002061E5">
            <w:pPr>
              <w:spacing w:after="60"/>
              <w:jc w:val="center"/>
            </w:pPr>
            <w:r w:rsidRPr="007D07A7">
              <w:t xml:space="preserve">DC3: </w:t>
            </w:r>
            <w:r w:rsidRPr="007D07A7">
              <w:rPr>
                <w:i/>
              </w:rPr>
              <w:t>d</w:t>
            </w:r>
            <w:r w:rsidRPr="007D07A7">
              <w:rPr>
                <w:vertAlign w:val="subscript"/>
              </w:rPr>
              <w:t>bL</w:t>
            </w:r>
            <w:r w:rsidRPr="007D07A7">
              <w:t xml:space="preserve"> ≤ 2,0</w:t>
            </w:r>
            <w:r w:rsidR="009B7FB1">
              <w:t xml:space="preserve"> </w:t>
            </w:r>
            <w:r w:rsidRPr="007D07A7">
              <w:t xml:space="preserve">% </w:t>
            </w:r>
            <w:r w:rsidRPr="007D07A7">
              <w:rPr>
                <w:i/>
              </w:rPr>
              <w:t>h</w:t>
            </w:r>
            <w:r w:rsidRPr="007D07A7">
              <w:rPr>
                <w:vertAlign w:val="subscript"/>
              </w:rPr>
              <w:t>c</w:t>
            </w:r>
          </w:p>
        </w:tc>
      </w:tr>
      <w:tr w:rsidR="00265677" w:rsidRPr="007D07A7" w14:paraId="5BDA2A31" w14:textId="77777777" w:rsidTr="002061E5">
        <w:trPr>
          <w:jc w:val="center"/>
        </w:trPr>
        <w:tc>
          <w:tcPr>
            <w:tcW w:w="1325" w:type="dxa"/>
            <w:vMerge/>
            <w:shd w:val="clear" w:color="auto" w:fill="auto"/>
          </w:tcPr>
          <w:p w14:paraId="297040ED" w14:textId="77777777" w:rsidR="00265677" w:rsidRPr="00205B72" w:rsidRDefault="00265677" w:rsidP="002061E5">
            <w:pPr>
              <w:spacing w:after="60"/>
              <w:rPr>
                <w:b/>
                <w:bCs/>
              </w:rPr>
            </w:pPr>
          </w:p>
        </w:tc>
        <w:tc>
          <w:tcPr>
            <w:tcW w:w="1440" w:type="dxa"/>
            <w:shd w:val="clear" w:color="auto" w:fill="auto"/>
            <w:vAlign w:val="center"/>
          </w:tcPr>
          <w:p w14:paraId="52777C4B" w14:textId="77777777" w:rsidR="00265677" w:rsidRPr="00205B72" w:rsidRDefault="00265677" w:rsidP="00205B72">
            <w:pPr>
              <w:spacing w:after="60"/>
              <w:jc w:val="center"/>
              <w:rPr>
                <w:b/>
                <w:bCs/>
              </w:rPr>
            </w:pPr>
            <w:r w:rsidRPr="00205B72">
              <w:rPr>
                <w:b/>
                <w:bCs/>
              </w:rPr>
              <w:t>C30-C45</w:t>
            </w:r>
          </w:p>
        </w:tc>
        <w:tc>
          <w:tcPr>
            <w:tcW w:w="3330" w:type="dxa"/>
            <w:shd w:val="clear" w:color="auto" w:fill="auto"/>
            <w:vAlign w:val="center"/>
          </w:tcPr>
          <w:p w14:paraId="4CE82BED" w14:textId="1D6D54BB" w:rsidR="00265677" w:rsidRPr="007D07A7" w:rsidRDefault="00265677" w:rsidP="002061E5">
            <w:pPr>
              <w:spacing w:after="60"/>
              <w:jc w:val="center"/>
            </w:pPr>
            <w:r w:rsidRPr="007D07A7">
              <w:t xml:space="preserve">DC2: </w:t>
            </w:r>
            <w:r w:rsidRPr="007D07A7">
              <w:rPr>
                <w:i/>
              </w:rPr>
              <w:t>d</w:t>
            </w:r>
            <w:r w:rsidRPr="007D07A7">
              <w:rPr>
                <w:vertAlign w:val="subscript"/>
              </w:rPr>
              <w:t>bL</w:t>
            </w:r>
            <w:r w:rsidRPr="007D07A7">
              <w:t xml:space="preserve"> ≤ 6,0</w:t>
            </w:r>
            <w:r w:rsidR="009B7FB1">
              <w:t xml:space="preserve"> </w:t>
            </w:r>
            <w:r w:rsidRPr="007D07A7">
              <w:t xml:space="preserve">% </w:t>
            </w:r>
            <w:r w:rsidRPr="007D07A7">
              <w:rPr>
                <w:i/>
              </w:rPr>
              <w:t>h</w:t>
            </w:r>
            <w:r w:rsidRPr="007D07A7">
              <w:rPr>
                <w:vertAlign w:val="subscript"/>
              </w:rPr>
              <w:t>c</w:t>
            </w:r>
          </w:p>
          <w:p w14:paraId="01EA0568" w14:textId="065839F7" w:rsidR="00265677" w:rsidRPr="007D07A7" w:rsidRDefault="00265677" w:rsidP="002061E5">
            <w:pPr>
              <w:spacing w:after="60"/>
              <w:jc w:val="center"/>
            </w:pPr>
            <w:r w:rsidRPr="007D07A7">
              <w:t xml:space="preserve">DC3: </w:t>
            </w:r>
            <w:r w:rsidRPr="007D07A7">
              <w:rPr>
                <w:i/>
              </w:rPr>
              <w:t>d</w:t>
            </w:r>
            <w:r w:rsidRPr="007D07A7">
              <w:rPr>
                <w:vertAlign w:val="subscript"/>
              </w:rPr>
              <w:t>bL</w:t>
            </w:r>
            <w:r w:rsidRPr="007D07A7">
              <w:t xml:space="preserve"> ≤ 4,5</w:t>
            </w:r>
            <w:r w:rsidR="009B7FB1">
              <w:t xml:space="preserve"> </w:t>
            </w:r>
            <w:r w:rsidRPr="007D07A7">
              <w:t xml:space="preserve">% </w:t>
            </w:r>
            <w:r w:rsidRPr="007D07A7">
              <w:rPr>
                <w:i/>
              </w:rPr>
              <w:t>h</w:t>
            </w:r>
            <w:r w:rsidRPr="007D07A7">
              <w:rPr>
                <w:vertAlign w:val="subscript"/>
              </w:rPr>
              <w:t>c</w:t>
            </w:r>
          </w:p>
        </w:tc>
        <w:tc>
          <w:tcPr>
            <w:tcW w:w="3330" w:type="dxa"/>
            <w:shd w:val="clear" w:color="auto" w:fill="auto"/>
            <w:vAlign w:val="center"/>
          </w:tcPr>
          <w:p w14:paraId="09DE2640" w14:textId="3000FDC9" w:rsidR="00265677" w:rsidRPr="007D07A7" w:rsidRDefault="00265677" w:rsidP="002061E5">
            <w:pPr>
              <w:spacing w:after="60"/>
              <w:jc w:val="center"/>
            </w:pPr>
            <w:r w:rsidRPr="007D07A7">
              <w:t xml:space="preserve">DC2: </w:t>
            </w:r>
            <w:r w:rsidRPr="007D07A7">
              <w:rPr>
                <w:i/>
              </w:rPr>
              <w:t>d</w:t>
            </w:r>
            <w:r w:rsidRPr="007D07A7">
              <w:rPr>
                <w:vertAlign w:val="subscript"/>
              </w:rPr>
              <w:t>bL</w:t>
            </w:r>
            <w:r w:rsidRPr="007D07A7">
              <w:t xml:space="preserve"> ≤ 5,0</w:t>
            </w:r>
            <w:r w:rsidR="009B7FB1">
              <w:t xml:space="preserve"> </w:t>
            </w:r>
            <w:r w:rsidRPr="007D07A7">
              <w:t xml:space="preserve">% </w:t>
            </w:r>
            <w:r w:rsidRPr="007D07A7">
              <w:rPr>
                <w:i/>
              </w:rPr>
              <w:t>h</w:t>
            </w:r>
            <w:r w:rsidRPr="007D07A7">
              <w:rPr>
                <w:vertAlign w:val="subscript"/>
              </w:rPr>
              <w:t>c</w:t>
            </w:r>
          </w:p>
          <w:p w14:paraId="2A6E12F6" w14:textId="3114E202" w:rsidR="00265677" w:rsidRPr="007D07A7" w:rsidRDefault="00265677" w:rsidP="002061E5">
            <w:pPr>
              <w:spacing w:after="60"/>
              <w:jc w:val="center"/>
            </w:pPr>
            <w:r w:rsidRPr="007D07A7">
              <w:t xml:space="preserve">DC3: </w:t>
            </w:r>
            <w:r w:rsidRPr="007D07A7">
              <w:rPr>
                <w:i/>
              </w:rPr>
              <w:t>d</w:t>
            </w:r>
            <w:r w:rsidRPr="007D07A7">
              <w:rPr>
                <w:vertAlign w:val="subscript"/>
              </w:rPr>
              <w:t>bL</w:t>
            </w:r>
            <w:r w:rsidRPr="007D07A7">
              <w:t xml:space="preserve"> ≤ 3,5</w:t>
            </w:r>
            <w:r w:rsidR="009B7FB1">
              <w:t xml:space="preserve"> </w:t>
            </w:r>
            <w:r w:rsidRPr="007D07A7">
              <w:t xml:space="preserve">% </w:t>
            </w:r>
            <w:r w:rsidRPr="007D07A7">
              <w:rPr>
                <w:i/>
              </w:rPr>
              <w:t>h</w:t>
            </w:r>
            <w:r w:rsidRPr="007D07A7">
              <w:rPr>
                <w:vertAlign w:val="subscript"/>
              </w:rPr>
              <w:t>c</w:t>
            </w:r>
          </w:p>
        </w:tc>
      </w:tr>
      <w:tr w:rsidR="00265677" w:rsidRPr="007D07A7" w14:paraId="05CA1342" w14:textId="77777777" w:rsidTr="002061E5">
        <w:trPr>
          <w:jc w:val="center"/>
        </w:trPr>
        <w:tc>
          <w:tcPr>
            <w:tcW w:w="1325" w:type="dxa"/>
            <w:vMerge/>
            <w:shd w:val="clear" w:color="auto" w:fill="auto"/>
          </w:tcPr>
          <w:p w14:paraId="5B918BA7" w14:textId="77777777" w:rsidR="00265677" w:rsidRPr="00205B72" w:rsidRDefault="00265677" w:rsidP="002061E5">
            <w:pPr>
              <w:spacing w:after="60"/>
              <w:rPr>
                <w:b/>
                <w:bCs/>
              </w:rPr>
            </w:pPr>
          </w:p>
        </w:tc>
        <w:tc>
          <w:tcPr>
            <w:tcW w:w="1440" w:type="dxa"/>
            <w:shd w:val="clear" w:color="auto" w:fill="auto"/>
            <w:vAlign w:val="center"/>
          </w:tcPr>
          <w:p w14:paraId="79A772C3" w14:textId="77777777" w:rsidR="00265677" w:rsidRPr="00205B72" w:rsidRDefault="00265677" w:rsidP="00205B72">
            <w:pPr>
              <w:spacing w:after="60"/>
              <w:jc w:val="center"/>
              <w:rPr>
                <w:b/>
                <w:bCs/>
              </w:rPr>
            </w:pPr>
            <w:r w:rsidRPr="00205B72">
              <w:rPr>
                <w:b/>
                <w:bCs/>
              </w:rPr>
              <w:t>C50-C90</w:t>
            </w:r>
          </w:p>
        </w:tc>
        <w:tc>
          <w:tcPr>
            <w:tcW w:w="3330" w:type="dxa"/>
            <w:shd w:val="clear" w:color="auto" w:fill="auto"/>
            <w:vAlign w:val="center"/>
          </w:tcPr>
          <w:p w14:paraId="27EA8EAA" w14:textId="01B47CC5" w:rsidR="00265677" w:rsidRPr="007D07A7" w:rsidRDefault="00265677" w:rsidP="002061E5">
            <w:pPr>
              <w:spacing w:after="60"/>
              <w:jc w:val="center"/>
            </w:pPr>
            <w:r w:rsidRPr="007D07A7">
              <w:t xml:space="preserve">DC2: </w:t>
            </w:r>
            <w:r w:rsidRPr="007D07A7">
              <w:rPr>
                <w:i/>
              </w:rPr>
              <w:t>d</w:t>
            </w:r>
            <w:r w:rsidRPr="007D07A7">
              <w:rPr>
                <w:vertAlign w:val="subscript"/>
              </w:rPr>
              <w:t>bL</w:t>
            </w:r>
            <w:r w:rsidRPr="007D07A7">
              <w:t xml:space="preserve"> ≤ 8,5</w:t>
            </w:r>
            <w:r w:rsidR="009B7FB1">
              <w:t xml:space="preserve"> </w:t>
            </w:r>
            <w:r w:rsidRPr="007D07A7">
              <w:t xml:space="preserve">% </w:t>
            </w:r>
            <w:r w:rsidRPr="007D07A7">
              <w:rPr>
                <w:i/>
              </w:rPr>
              <w:t>h</w:t>
            </w:r>
            <w:r w:rsidRPr="007D07A7">
              <w:rPr>
                <w:vertAlign w:val="subscript"/>
              </w:rPr>
              <w:t>c</w:t>
            </w:r>
          </w:p>
          <w:p w14:paraId="6C6FD1EB" w14:textId="04234259" w:rsidR="00265677" w:rsidRPr="007D07A7" w:rsidRDefault="00265677" w:rsidP="002061E5">
            <w:pPr>
              <w:spacing w:after="60"/>
              <w:jc w:val="center"/>
            </w:pPr>
            <w:r w:rsidRPr="007D07A7">
              <w:t xml:space="preserve">DC3: </w:t>
            </w:r>
            <w:r w:rsidRPr="007D07A7">
              <w:rPr>
                <w:i/>
              </w:rPr>
              <w:t>d</w:t>
            </w:r>
            <w:r w:rsidRPr="007D07A7">
              <w:rPr>
                <w:vertAlign w:val="subscript"/>
              </w:rPr>
              <w:t>bL</w:t>
            </w:r>
            <w:r w:rsidRPr="007D07A7">
              <w:t xml:space="preserve"> ≤ 7,0</w:t>
            </w:r>
            <w:r w:rsidR="009B7FB1">
              <w:t xml:space="preserve"> </w:t>
            </w:r>
            <w:r w:rsidRPr="007D07A7">
              <w:t xml:space="preserve">% </w:t>
            </w:r>
            <w:r w:rsidRPr="007D07A7">
              <w:rPr>
                <w:i/>
              </w:rPr>
              <w:t>h</w:t>
            </w:r>
            <w:r w:rsidRPr="007D07A7">
              <w:rPr>
                <w:vertAlign w:val="subscript"/>
              </w:rPr>
              <w:t>c</w:t>
            </w:r>
          </w:p>
        </w:tc>
        <w:tc>
          <w:tcPr>
            <w:tcW w:w="3330" w:type="dxa"/>
            <w:shd w:val="clear" w:color="auto" w:fill="auto"/>
            <w:vAlign w:val="center"/>
          </w:tcPr>
          <w:p w14:paraId="18D50D20" w14:textId="092F4657" w:rsidR="00265677" w:rsidRPr="007D07A7" w:rsidRDefault="00265677" w:rsidP="002061E5">
            <w:pPr>
              <w:spacing w:after="60"/>
              <w:jc w:val="center"/>
            </w:pPr>
            <w:r w:rsidRPr="007D07A7">
              <w:t xml:space="preserve">DC2: </w:t>
            </w:r>
            <w:r w:rsidRPr="007D07A7">
              <w:rPr>
                <w:i/>
              </w:rPr>
              <w:t>d</w:t>
            </w:r>
            <w:r w:rsidRPr="007D07A7">
              <w:rPr>
                <w:vertAlign w:val="subscript"/>
              </w:rPr>
              <w:t>bL</w:t>
            </w:r>
            <w:r w:rsidRPr="007D07A7">
              <w:t xml:space="preserve"> ≤ 7,0</w:t>
            </w:r>
            <w:r w:rsidR="009B7FB1">
              <w:t xml:space="preserve"> </w:t>
            </w:r>
            <w:r w:rsidRPr="007D07A7">
              <w:t xml:space="preserve">% </w:t>
            </w:r>
            <w:r w:rsidRPr="007D07A7">
              <w:rPr>
                <w:i/>
              </w:rPr>
              <w:t>h</w:t>
            </w:r>
            <w:r w:rsidRPr="007D07A7">
              <w:rPr>
                <w:vertAlign w:val="subscript"/>
              </w:rPr>
              <w:t>c</w:t>
            </w:r>
          </w:p>
          <w:p w14:paraId="406535B4" w14:textId="75AA2263" w:rsidR="00265677" w:rsidRPr="007D07A7" w:rsidRDefault="00265677" w:rsidP="002061E5">
            <w:pPr>
              <w:spacing w:after="60"/>
              <w:jc w:val="center"/>
            </w:pPr>
            <w:r w:rsidRPr="007D07A7">
              <w:t xml:space="preserve">DC3: </w:t>
            </w:r>
            <w:r w:rsidRPr="007D07A7">
              <w:rPr>
                <w:i/>
              </w:rPr>
              <w:t>d</w:t>
            </w:r>
            <w:r w:rsidRPr="007D07A7">
              <w:rPr>
                <w:vertAlign w:val="subscript"/>
              </w:rPr>
              <w:t>bL</w:t>
            </w:r>
            <w:r w:rsidRPr="007D07A7">
              <w:t xml:space="preserve"> ≤ 5,5</w:t>
            </w:r>
            <w:r w:rsidR="009B7FB1">
              <w:t xml:space="preserve"> </w:t>
            </w:r>
            <w:r w:rsidRPr="007D07A7">
              <w:t xml:space="preserve">% </w:t>
            </w:r>
            <w:r w:rsidRPr="007D07A7">
              <w:rPr>
                <w:i/>
              </w:rPr>
              <w:t>h</w:t>
            </w:r>
            <w:r w:rsidRPr="007D07A7">
              <w:rPr>
                <w:vertAlign w:val="subscript"/>
              </w:rPr>
              <w:t>c</w:t>
            </w:r>
          </w:p>
        </w:tc>
      </w:tr>
      <w:tr w:rsidR="00205B72" w:rsidRPr="007D07A7" w14:paraId="08EE23E3" w14:textId="77777777" w:rsidTr="002061E5">
        <w:trPr>
          <w:jc w:val="center"/>
        </w:trPr>
        <w:tc>
          <w:tcPr>
            <w:tcW w:w="1325" w:type="dxa"/>
            <w:vMerge w:val="restart"/>
            <w:shd w:val="clear" w:color="auto" w:fill="auto"/>
          </w:tcPr>
          <w:p w14:paraId="46C9CA45" w14:textId="393BAE0F" w:rsidR="00205B72" w:rsidRPr="00205B72" w:rsidRDefault="00205B72" w:rsidP="002061E5">
            <w:pPr>
              <w:spacing w:after="60"/>
              <w:rPr>
                <w:b/>
                <w:bCs/>
              </w:rPr>
            </w:pPr>
            <w:r w:rsidRPr="00205B72">
              <w:rPr>
                <w:b/>
                <w:bCs/>
              </w:rPr>
              <w:t>Exterior beam-column joints</w:t>
            </w:r>
          </w:p>
        </w:tc>
        <w:tc>
          <w:tcPr>
            <w:tcW w:w="1440" w:type="dxa"/>
            <w:shd w:val="clear" w:color="auto" w:fill="auto"/>
            <w:vAlign w:val="center"/>
          </w:tcPr>
          <w:p w14:paraId="46619C6C" w14:textId="77777777" w:rsidR="00205B72" w:rsidRPr="00205B72" w:rsidRDefault="00205B72" w:rsidP="00205B72">
            <w:pPr>
              <w:spacing w:after="60"/>
              <w:jc w:val="center"/>
              <w:rPr>
                <w:b/>
                <w:bCs/>
              </w:rPr>
            </w:pPr>
            <w:r w:rsidRPr="00205B72">
              <w:rPr>
                <w:b/>
                <w:bCs/>
              </w:rPr>
              <w:t>C20-C25</w:t>
            </w:r>
          </w:p>
        </w:tc>
        <w:tc>
          <w:tcPr>
            <w:tcW w:w="3330" w:type="dxa"/>
            <w:shd w:val="clear" w:color="auto" w:fill="auto"/>
            <w:vAlign w:val="center"/>
          </w:tcPr>
          <w:p w14:paraId="29BAAF88" w14:textId="57B50D53" w:rsidR="00205B72" w:rsidRPr="007D07A7" w:rsidRDefault="00205B72" w:rsidP="002061E5">
            <w:pPr>
              <w:spacing w:after="60"/>
              <w:jc w:val="center"/>
            </w:pPr>
            <w:r w:rsidRPr="007D07A7">
              <w:t xml:space="preserve">DC2 or DC3: </w:t>
            </w:r>
            <w:r w:rsidRPr="007D07A7">
              <w:rPr>
                <w:i/>
              </w:rPr>
              <w:t>d</w:t>
            </w:r>
            <w:r w:rsidRPr="007D07A7">
              <w:rPr>
                <w:vertAlign w:val="subscript"/>
              </w:rPr>
              <w:t>bL</w:t>
            </w:r>
            <w:r w:rsidRPr="007D07A7">
              <w:t xml:space="preserve"> ≤ 4,5</w:t>
            </w:r>
            <w:r w:rsidR="009B7FB1">
              <w:t xml:space="preserve"> </w:t>
            </w:r>
            <w:r w:rsidRPr="007D07A7">
              <w:t xml:space="preserve">% </w:t>
            </w:r>
            <w:r w:rsidRPr="007D07A7">
              <w:rPr>
                <w:i/>
              </w:rPr>
              <w:t>h</w:t>
            </w:r>
            <w:r w:rsidRPr="007D07A7">
              <w:rPr>
                <w:vertAlign w:val="subscript"/>
              </w:rPr>
              <w:t>c</w:t>
            </w:r>
          </w:p>
        </w:tc>
        <w:tc>
          <w:tcPr>
            <w:tcW w:w="3330" w:type="dxa"/>
            <w:shd w:val="clear" w:color="auto" w:fill="auto"/>
            <w:vAlign w:val="center"/>
          </w:tcPr>
          <w:p w14:paraId="79ECB524" w14:textId="1AF6254E" w:rsidR="00205B72" w:rsidRPr="007D07A7" w:rsidRDefault="00205B72" w:rsidP="002061E5">
            <w:pPr>
              <w:spacing w:after="60"/>
              <w:jc w:val="center"/>
            </w:pPr>
            <w:r w:rsidRPr="007D07A7">
              <w:t xml:space="preserve">DC2 or DC3: </w:t>
            </w:r>
            <w:r w:rsidRPr="007D07A7">
              <w:rPr>
                <w:i/>
              </w:rPr>
              <w:t>d</w:t>
            </w:r>
            <w:r w:rsidRPr="007D07A7">
              <w:rPr>
                <w:vertAlign w:val="subscript"/>
              </w:rPr>
              <w:t>bL</w:t>
            </w:r>
            <w:r w:rsidRPr="007D07A7">
              <w:t xml:space="preserve"> ≤ 3,5</w:t>
            </w:r>
            <w:r w:rsidR="009B7FB1">
              <w:t xml:space="preserve"> </w:t>
            </w:r>
            <w:r w:rsidRPr="007D07A7">
              <w:t xml:space="preserve">% </w:t>
            </w:r>
            <w:r w:rsidRPr="007D07A7">
              <w:rPr>
                <w:i/>
              </w:rPr>
              <w:t>h</w:t>
            </w:r>
            <w:r w:rsidRPr="007D07A7">
              <w:rPr>
                <w:vertAlign w:val="subscript"/>
              </w:rPr>
              <w:t>c</w:t>
            </w:r>
          </w:p>
        </w:tc>
      </w:tr>
      <w:tr w:rsidR="00205B72" w:rsidRPr="007D07A7" w14:paraId="4CBAC007" w14:textId="77777777" w:rsidTr="002061E5">
        <w:trPr>
          <w:jc w:val="center"/>
        </w:trPr>
        <w:tc>
          <w:tcPr>
            <w:tcW w:w="1325" w:type="dxa"/>
            <w:vMerge/>
            <w:shd w:val="clear" w:color="auto" w:fill="auto"/>
          </w:tcPr>
          <w:p w14:paraId="32E36E0B" w14:textId="77777777" w:rsidR="00205B72" w:rsidRPr="00205B72" w:rsidRDefault="00205B72" w:rsidP="002061E5">
            <w:pPr>
              <w:spacing w:after="60"/>
              <w:rPr>
                <w:b/>
                <w:bCs/>
              </w:rPr>
            </w:pPr>
          </w:p>
        </w:tc>
        <w:tc>
          <w:tcPr>
            <w:tcW w:w="1440" w:type="dxa"/>
            <w:shd w:val="clear" w:color="auto" w:fill="auto"/>
            <w:vAlign w:val="center"/>
          </w:tcPr>
          <w:p w14:paraId="5A0166C6" w14:textId="77777777" w:rsidR="00205B72" w:rsidRPr="00205B72" w:rsidRDefault="00205B72" w:rsidP="00205B72">
            <w:pPr>
              <w:spacing w:after="60"/>
              <w:jc w:val="center"/>
              <w:rPr>
                <w:b/>
                <w:bCs/>
              </w:rPr>
            </w:pPr>
            <w:r w:rsidRPr="00205B72">
              <w:rPr>
                <w:b/>
                <w:bCs/>
              </w:rPr>
              <w:t>C30-C45</w:t>
            </w:r>
          </w:p>
        </w:tc>
        <w:tc>
          <w:tcPr>
            <w:tcW w:w="3330" w:type="dxa"/>
            <w:shd w:val="clear" w:color="auto" w:fill="auto"/>
            <w:vAlign w:val="center"/>
          </w:tcPr>
          <w:p w14:paraId="02D09E6A" w14:textId="57CD1470" w:rsidR="00205B72" w:rsidRPr="007D07A7" w:rsidRDefault="00205B72" w:rsidP="002061E5">
            <w:pPr>
              <w:spacing w:after="60"/>
              <w:jc w:val="center"/>
            </w:pPr>
            <w:r w:rsidRPr="007D07A7">
              <w:t xml:space="preserve">DC2 or DC3: </w:t>
            </w:r>
            <w:r w:rsidRPr="007D07A7">
              <w:rPr>
                <w:i/>
              </w:rPr>
              <w:t>d</w:t>
            </w:r>
            <w:r w:rsidRPr="007D07A7">
              <w:rPr>
                <w:vertAlign w:val="subscript"/>
              </w:rPr>
              <w:t>bL</w:t>
            </w:r>
            <w:r w:rsidRPr="007D07A7">
              <w:t xml:space="preserve"> ≤ 6,5</w:t>
            </w:r>
            <w:r w:rsidR="009B7FB1">
              <w:t xml:space="preserve"> </w:t>
            </w:r>
            <w:r w:rsidRPr="007D07A7">
              <w:t xml:space="preserve">% </w:t>
            </w:r>
            <w:r w:rsidRPr="007D07A7">
              <w:rPr>
                <w:i/>
              </w:rPr>
              <w:t>h</w:t>
            </w:r>
            <w:r w:rsidRPr="007D07A7">
              <w:rPr>
                <w:vertAlign w:val="subscript"/>
              </w:rPr>
              <w:t>c</w:t>
            </w:r>
          </w:p>
        </w:tc>
        <w:tc>
          <w:tcPr>
            <w:tcW w:w="3330" w:type="dxa"/>
            <w:shd w:val="clear" w:color="auto" w:fill="auto"/>
            <w:vAlign w:val="center"/>
          </w:tcPr>
          <w:p w14:paraId="1859EBE0" w14:textId="7001E631" w:rsidR="00205B72" w:rsidRPr="007D07A7" w:rsidRDefault="00205B72" w:rsidP="002061E5">
            <w:pPr>
              <w:spacing w:after="60"/>
              <w:jc w:val="center"/>
            </w:pPr>
            <w:r w:rsidRPr="007D07A7">
              <w:t xml:space="preserve">DC2 or DC3: </w:t>
            </w:r>
            <w:r w:rsidRPr="007D07A7">
              <w:rPr>
                <w:i/>
              </w:rPr>
              <w:t>d</w:t>
            </w:r>
            <w:r w:rsidRPr="007D07A7">
              <w:rPr>
                <w:vertAlign w:val="subscript"/>
              </w:rPr>
              <w:t>bL</w:t>
            </w:r>
            <w:r w:rsidRPr="007D07A7">
              <w:t xml:space="preserve"> ≤ 5,5</w:t>
            </w:r>
            <w:r w:rsidR="009B7FB1">
              <w:t xml:space="preserve"> </w:t>
            </w:r>
            <w:r w:rsidRPr="007D07A7">
              <w:t xml:space="preserve">% </w:t>
            </w:r>
            <w:r w:rsidRPr="007D07A7">
              <w:rPr>
                <w:i/>
              </w:rPr>
              <w:t>h</w:t>
            </w:r>
            <w:r w:rsidRPr="007D07A7">
              <w:rPr>
                <w:vertAlign w:val="subscript"/>
              </w:rPr>
              <w:t>c</w:t>
            </w:r>
          </w:p>
        </w:tc>
      </w:tr>
      <w:tr w:rsidR="00205B72" w:rsidRPr="007D07A7" w14:paraId="77BA48ED" w14:textId="77777777" w:rsidTr="002061E5">
        <w:trPr>
          <w:jc w:val="center"/>
        </w:trPr>
        <w:tc>
          <w:tcPr>
            <w:tcW w:w="1325" w:type="dxa"/>
            <w:vMerge/>
            <w:shd w:val="clear" w:color="auto" w:fill="auto"/>
          </w:tcPr>
          <w:p w14:paraId="33659A3F" w14:textId="77777777" w:rsidR="00205B72" w:rsidRPr="00205B72" w:rsidRDefault="00205B72" w:rsidP="002061E5">
            <w:pPr>
              <w:spacing w:after="60"/>
              <w:rPr>
                <w:b/>
                <w:bCs/>
              </w:rPr>
            </w:pPr>
          </w:p>
        </w:tc>
        <w:tc>
          <w:tcPr>
            <w:tcW w:w="1440" w:type="dxa"/>
            <w:shd w:val="clear" w:color="auto" w:fill="auto"/>
            <w:vAlign w:val="center"/>
          </w:tcPr>
          <w:p w14:paraId="5BDB2439" w14:textId="77777777" w:rsidR="00205B72" w:rsidRPr="00205B72" w:rsidRDefault="00205B72" w:rsidP="00205B72">
            <w:pPr>
              <w:spacing w:after="60"/>
              <w:jc w:val="center"/>
              <w:rPr>
                <w:b/>
                <w:bCs/>
              </w:rPr>
            </w:pPr>
            <w:r w:rsidRPr="00205B72">
              <w:rPr>
                <w:b/>
                <w:bCs/>
              </w:rPr>
              <w:t>C50-C90</w:t>
            </w:r>
          </w:p>
        </w:tc>
        <w:tc>
          <w:tcPr>
            <w:tcW w:w="3330" w:type="dxa"/>
            <w:shd w:val="clear" w:color="auto" w:fill="auto"/>
            <w:vAlign w:val="center"/>
          </w:tcPr>
          <w:p w14:paraId="01098789" w14:textId="719601CC" w:rsidR="00205B72" w:rsidRPr="007D07A7" w:rsidRDefault="00205B72" w:rsidP="002061E5">
            <w:pPr>
              <w:spacing w:after="60"/>
              <w:jc w:val="center"/>
            </w:pPr>
            <w:r w:rsidRPr="007D07A7">
              <w:t xml:space="preserve">DC2 or DC3: </w:t>
            </w:r>
            <w:r w:rsidRPr="007D07A7">
              <w:rPr>
                <w:i/>
              </w:rPr>
              <w:t>d</w:t>
            </w:r>
            <w:r w:rsidRPr="007D07A7">
              <w:rPr>
                <w:vertAlign w:val="subscript"/>
              </w:rPr>
              <w:t>bL</w:t>
            </w:r>
            <w:r w:rsidRPr="007D07A7">
              <w:t xml:space="preserve"> ≤ 9,5</w:t>
            </w:r>
            <w:r w:rsidR="009B7FB1">
              <w:t xml:space="preserve"> </w:t>
            </w:r>
            <w:r w:rsidRPr="007D07A7">
              <w:t xml:space="preserve">% </w:t>
            </w:r>
            <w:r w:rsidRPr="007D07A7">
              <w:rPr>
                <w:i/>
              </w:rPr>
              <w:t>h</w:t>
            </w:r>
            <w:r w:rsidRPr="007D07A7">
              <w:rPr>
                <w:vertAlign w:val="subscript"/>
              </w:rPr>
              <w:t>c</w:t>
            </w:r>
          </w:p>
        </w:tc>
        <w:tc>
          <w:tcPr>
            <w:tcW w:w="3330" w:type="dxa"/>
            <w:shd w:val="clear" w:color="auto" w:fill="auto"/>
            <w:vAlign w:val="center"/>
          </w:tcPr>
          <w:p w14:paraId="65A14AAA" w14:textId="13E8E33C" w:rsidR="00205B72" w:rsidRPr="007D07A7" w:rsidRDefault="00205B72" w:rsidP="002061E5">
            <w:pPr>
              <w:spacing w:after="60"/>
              <w:jc w:val="center"/>
            </w:pPr>
            <w:r w:rsidRPr="007D07A7">
              <w:t xml:space="preserve">DC2 or DC3: </w:t>
            </w:r>
            <w:r w:rsidRPr="007D07A7">
              <w:rPr>
                <w:i/>
              </w:rPr>
              <w:t>d</w:t>
            </w:r>
            <w:r w:rsidRPr="007D07A7">
              <w:rPr>
                <w:vertAlign w:val="subscript"/>
              </w:rPr>
              <w:t>bL</w:t>
            </w:r>
            <w:r w:rsidRPr="007D07A7">
              <w:t xml:space="preserve"> ≤ 7,5</w:t>
            </w:r>
            <w:r w:rsidR="009B7FB1">
              <w:t xml:space="preserve"> </w:t>
            </w:r>
            <w:r w:rsidRPr="007D07A7">
              <w:t xml:space="preserve">% </w:t>
            </w:r>
            <w:r w:rsidRPr="007D07A7">
              <w:rPr>
                <w:i/>
              </w:rPr>
              <w:t>h</w:t>
            </w:r>
            <w:r w:rsidRPr="007D07A7">
              <w:rPr>
                <w:vertAlign w:val="subscript"/>
              </w:rPr>
              <w:t>c</w:t>
            </w:r>
          </w:p>
        </w:tc>
      </w:tr>
    </w:tbl>
    <w:p w14:paraId="408CAA5A" w14:textId="1ECA591B" w:rsidR="00265677" w:rsidRPr="00205B72" w:rsidRDefault="00265677" w:rsidP="00724E4E">
      <w:pPr>
        <w:pStyle w:val="Clause"/>
      </w:pPr>
      <w:r w:rsidRPr="00205B72">
        <w:t xml:space="preserve">If </w:t>
      </w:r>
      <w:r w:rsidRPr="00205B72">
        <w:rPr>
          <w:rFonts w:eastAsia="Cambria"/>
        </w:rPr>
        <w:t xml:space="preserve">(2) </w:t>
      </w:r>
      <w:r w:rsidRPr="00205B72">
        <w:t xml:space="preserve">cannot be satisfied in exterior beam-column joints because the depth, </w:t>
      </w:r>
      <w:r w:rsidRPr="00205B72">
        <w:rPr>
          <w:i/>
          <w:iCs/>
        </w:rPr>
        <w:t>h</w:t>
      </w:r>
      <w:r w:rsidRPr="00205B72">
        <w:rPr>
          <w:vertAlign w:val="subscript"/>
        </w:rPr>
        <w:t>c</w:t>
      </w:r>
      <w:r w:rsidRPr="00205B72">
        <w:t>, of the column parallel to the bars is too shallow, one of the additional measures in a) to c) may be taken, to ensure anchorage of the longitudinal reinforcement of beams:</w:t>
      </w:r>
    </w:p>
    <w:p w14:paraId="6F701B14" w14:textId="77777777" w:rsidR="00265677" w:rsidRPr="00205B72" w:rsidRDefault="00265677" w:rsidP="0080187E">
      <w:pPr>
        <w:pStyle w:val="List2"/>
        <w:numPr>
          <w:ilvl w:val="0"/>
          <w:numId w:val="141"/>
        </w:numPr>
        <w:spacing w:before="0" w:after="240" w:line="230" w:lineRule="atLeast"/>
        <w:contextualSpacing w:val="0"/>
      </w:pPr>
      <w:r w:rsidRPr="00205B72">
        <w:t>the beam or slab may be extended horizontally in the form of exterior stubs (Figure 10.14a);</w:t>
      </w:r>
    </w:p>
    <w:p w14:paraId="3ACBCD0C" w14:textId="3446BA31" w:rsidR="00265677" w:rsidRPr="00205B72" w:rsidRDefault="00265677" w:rsidP="0080187E">
      <w:pPr>
        <w:pStyle w:val="List2"/>
        <w:numPr>
          <w:ilvl w:val="0"/>
          <w:numId w:val="141"/>
        </w:numPr>
        <w:spacing w:before="0" w:after="240" w:line="230" w:lineRule="atLeast"/>
        <w:contextualSpacing w:val="0"/>
      </w:pPr>
      <w:r w:rsidRPr="00205B72">
        <w:t xml:space="preserve">headed bars according to </w:t>
      </w:r>
      <w:r w:rsidR="0026060E">
        <w:t>prEN 1992-1-1:2021</w:t>
      </w:r>
      <w:r w:rsidRPr="00205B72">
        <w:t>, 11.4.</w:t>
      </w:r>
      <w:r w:rsidR="00621408" w:rsidRPr="00205B72">
        <w:t>7</w:t>
      </w:r>
      <w:r w:rsidRPr="00205B72">
        <w:t>, may be used (Figure 10.14b);</w:t>
      </w:r>
    </w:p>
    <w:p w14:paraId="378605B9" w14:textId="1861C704" w:rsidR="00265677" w:rsidRPr="00D908FC" w:rsidRDefault="00265677" w:rsidP="0080187E">
      <w:pPr>
        <w:pStyle w:val="List2"/>
        <w:numPr>
          <w:ilvl w:val="0"/>
          <w:numId w:val="141"/>
        </w:numPr>
        <w:spacing w:before="0" w:after="240" w:line="230" w:lineRule="atLeast"/>
        <w:contextualSpacing w:val="0"/>
      </w:pPr>
      <w:r w:rsidRPr="00205B72">
        <w:t xml:space="preserve">bends according to </w:t>
      </w:r>
      <w:r w:rsidR="0026060E">
        <w:t>prEN 1992-1-1:2021</w:t>
      </w:r>
      <w:r w:rsidRPr="00205B72">
        <w:t>, 11.4.4, and transverse</w:t>
      </w:r>
      <w:r w:rsidRPr="00D908FC">
        <w:t xml:space="preserve"> reinforcement placed tightly inside the bend of the bars may be added (Figure 10.14c).</w:t>
      </w:r>
    </w:p>
    <w:p w14:paraId="2B96652C" w14:textId="176C0783" w:rsidR="00265677" w:rsidRPr="00132C1E" w:rsidRDefault="001858FD" w:rsidP="001858FD">
      <w:pPr>
        <w:pStyle w:val="FigureImage"/>
      </w:pPr>
      <w:r>
        <w:rPr>
          <w:noProof/>
        </w:rPr>
        <w:lastRenderedPageBreak/>
        <w:drawing>
          <wp:inline distT="0" distB="0" distL="0" distR="0" wp14:anchorId="2668E52A" wp14:editId="5F8F31B8">
            <wp:extent cx="5940562" cy="2254000"/>
            <wp:effectExtent l="0" t="0" r="3175" b="0"/>
            <wp:docPr id="72" name="0018.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0018.tiff"/>
                    <pic:cNvPicPr/>
                  </pic:nvPicPr>
                  <pic:blipFill>
                    <a:blip r:link="rId33"/>
                    <a:stretch>
                      <a:fillRect/>
                    </a:stretch>
                  </pic:blipFill>
                  <pic:spPr>
                    <a:xfrm>
                      <a:off x="0" y="0"/>
                      <a:ext cx="5940562" cy="2254000"/>
                    </a:xfrm>
                    <a:prstGeom prst="rect">
                      <a:avLst/>
                    </a:prstGeom>
                  </pic:spPr>
                </pic:pic>
              </a:graphicData>
            </a:graphic>
          </wp:inline>
        </w:drawing>
      </w:r>
    </w:p>
    <w:p w14:paraId="73382F94" w14:textId="77777777" w:rsidR="00265677" w:rsidRPr="007D07A7" w:rsidRDefault="00265677" w:rsidP="001858FD">
      <w:pPr>
        <w:pStyle w:val="KeyTitle"/>
      </w:pPr>
      <w:r w:rsidRPr="007D07A7">
        <w:t>Key</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0"/>
        <w:gridCol w:w="2695"/>
      </w:tblGrid>
      <w:tr w:rsidR="00265677" w:rsidRPr="007D07A7" w14:paraId="6C4AFE2D" w14:textId="77777777" w:rsidTr="009B7FB1">
        <w:tc>
          <w:tcPr>
            <w:tcW w:w="390" w:type="dxa"/>
          </w:tcPr>
          <w:p w14:paraId="4D8639A0" w14:textId="77777777" w:rsidR="00265677" w:rsidRPr="008618F2" w:rsidRDefault="00265677" w:rsidP="008618F2">
            <w:pPr>
              <w:pStyle w:val="KeyText"/>
              <w:spacing w:before="0"/>
              <w:rPr>
                <w:iCs/>
              </w:rPr>
            </w:pPr>
            <w:r w:rsidRPr="008618F2">
              <w:rPr>
                <w:iCs/>
              </w:rPr>
              <w:t>A</w:t>
            </w:r>
          </w:p>
        </w:tc>
        <w:tc>
          <w:tcPr>
            <w:tcW w:w="2695" w:type="dxa"/>
          </w:tcPr>
          <w:p w14:paraId="315D8884" w14:textId="77777777" w:rsidR="00265677" w:rsidRPr="008618F2" w:rsidRDefault="00265677" w:rsidP="008618F2">
            <w:pPr>
              <w:pStyle w:val="KeyText"/>
              <w:spacing w:before="0"/>
            </w:pPr>
            <w:r w:rsidRPr="008618F2">
              <w:t>anchor plate</w:t>
            </w:r>
          </w:p>
        </w:tc>
      </w:tr>
      <w:tr w:rsidR="00265677" w:rsidRPr="007D07A7" w14:paraId="2A6A5502" w14:textId="77777777" w:rsidTr="009B7FB1">
        <w:tc>
          <w:tcPr>
            <w:tcW w:w="390" w:type="dxa"/>
          </w:tcPr>
          <w:p w14:paraId="1405F677" w14:textId="77777777" w:rsidR="00265677" w:rsidRPr="008618F2" w:rsidRDefault="00265677" w:rsidP="008618F2">
            <w:pPr>
              <w:pStyle w:val="KeyText"/>
              <w:spacing w:before="0"/>
              <w:rPr>
                <w:iCs/>
              </w:rPr>
            </w:pPr>
            <w:r w:rsidRPr="008618F2">
              <w:rPr>
                <w:iCs/>
              </w:rPr>
              <w:t>B</w:t>
            </w:r>
          </w:p>
        </w:tc>
        <w:tc>
          <w:tcPr>
            <w:tcW w:w="2695" w:type="dxa"/>
          </w:tcPr>
          <w:p w14:paraId="43CCFF48" w14:textId="77777777" w:rsidR="00265677" w:rsidRPr="008618F2" w:rsidRDefault="00265677" w:rsidP="008618F2">
            <w:pPr>
              <w:pStyle w:val="KeyText"/>
              <w:spacing w:before="0"/>
            </w:pPr>
            <w:r w:rsidRPr="008618F2">
              <w:t>hoops around column bars</w:t>
            </w:r>
          </w:p>
        </w:tc>
      </w:tr>
    </w:tbl>
    <w:p w14:paraId="4C4BFE20" w14:textId="1A49CAC8" w:rsidR="00265677" w:rsidRPr="00D1484A" w:rsidRDefault="00265677" w:rsidP="007D07A7">
      <w:pPr>
        <w:pStyle w:val="Figuretitle"/>
      </w:pPr>
      <w:r w:rsidRPr="00132C1E">
        <w:t xml:space="preserve">Figure </w:t>
      </w:r>
      <w:r w:rsidR="007D07A7">
        <w:t>10</w:t>
      </w:r>
      <w:r w:rsidRPr="00132C1E">
        <w:t>.</w:t>
      </w:r>
      <w:r>
        <w:t>14</w:t>
      </w:r>
      <w:r w:rsidRPr="00132C1E">
        <w:t> </w:t>
      </w:r>
      <w:r w:rsidRPr="00D1484A">
        <w:rPr>
          <w:rFonts w:ascii="`ÃÍœ˛" w:eastAsia="Cambria" w:hAnsi="`ÃÍœ˛" w:cs="`ÃÍœ˛"/>
          <w:szCs w:val="22"/>
          <w:lang w:eastAsia="de-DE"/>
        </w:rPr>
        <w:t>—</w:t>
      </w:r>
      <w:r w:rsidRPr="00D1484A">
        <w:t> Additional measures for anchorage in exterior beam-column joints</w:t>
      </w:r>
    </w:p>
    <w:p w14:paraId="1A60E7A5" w14:textId="53C92EA9" w:rsidR="00265677" w:rsidRPr="00205B72" w:rsidRDefault="00265677" w:rsidP="00724E4E">
      <w:pPr>
        <w:pStyle w:val="Clause"/>
      </w:pPr>
      <w:r w:rsidRPr="007E6F67">
        <w:t xml:space="preserve">Top or bottom bars </w:t>
      </w:r>
      <w:r w:rsidRPr="00FD17CF">
        <w:t xml:space="preserve">crossing interior joints should </w:t>
      </w:r>
      <w:r w:rsidRPr="00205B72">
        <w:t xml:space="preserve">be anchored in the members framing into the joint beyond a distance not less than </w:t>
      </w:r>
      <w:r w:rsidRPr="00205B72">
        <w:rPr>
          <w:rFonts w:ascii="AODJCD+TimesNewRoman,Italic" w:hAnsi="AODJCD+TimesNewRoman,Italic" w:cs="AODJCD+TimesNewRoman,Italic"/>
          <w:i/>
          <w:iCs/>
        </w:rPr>
        <w:t>l</w:t>
      </w:r>
      <w:r w:rsidRPr="00205B72">
        <w:rPr>
          <w:sz w:val="16"/>
          <w:szCs w:val="16"/>
        </w:rPr>
        <w:t>cr</w:t>
      </w:r>
      <w:r w:rsidRPr="00205B72">
        <w:t xml:space="preserve"> (length of critical region, see </w:t>
      </w:r>
      <w:r w:rsidRPr="00205B72">
        <w:rPr>
          <w:rFonts w:eastAsia="Cambria"/>
        </w:rPr>
        <w:t xml:space="preserve">10.5.4.2(1)) </w:t>
      </w:r>
      <w:r w:rsidRPr="00205B72">
        <w:t>from the face of the joint.</w:t>
      </w:r>
    </w:p>
    <w:p w14:paraId="12A36C80" w14:textId="3AB6A907" w:rsidR="00265677" w:rsidRPr="00E05E29" w:rsidRDefault="00265677" w:rsidP="00265677">
      <w:pPr>
        <w:pStyle w:val="Heading3"/>
      </w:pPr>
      <w:bookmarkStart w:id="7538" w:name="_Toc17934217"/>
      <w:bookmarkStart w:id="7539" w:name="_Toc50150396"/>
      <w:bookmarkStart w:id="7540" w:name="_Toc70886828"/>
      <w:bookmarkStart w:id="7541" w:name="_Toc108342379"/>
      <w:bookmarkStart w:id="7542" w:name="_Toc134197917"/>
      <w:r w:rsidRPr="00E05E29">
        <w:t>Laps and mechanical couplers</w:t>
      </w:r>
      <w:bookmarkEnd w:id="7538"/>
      <w:bookmarkEnd w:id="7539"/>
      <w:bookmarkEnd w:id="7540"/>
      <w:bookmarkEnd w:id="7541"/>
      <w:bookmarkEnd w:id="7542"/>
    </w:p>
    <w:p w14:paraId="22862FE3" w14:textId="489E0A4D" w:rsidR="00265677" w:rsidRDefault="00265677" w:rsidP="0080187E">
      <w:pPr>
        <w:pStyle w:val="Clause"/>
        <w:numPr>
          <w:ilvl w:val="0"/>
          <w:numId w:val="344"/>
        </w:numPr>
      </w:pPr>
      <w:r w:rsidRPr="00E05E29">
        <w:t>There should not be laps in the critical regions of beams.</w:t>
      </w:r>
    </w:p>
    <w:p w14:paraId="10E7D296" w14:textId="77777777" w:rsidR="00265677" w:rsidRPr="00205B72" w:rsidRDefault="00265677" w:rsidP="00724E4E">
      <w:pPr>
        <w:pStyle w:val="Clause"/>
      </w:pPr>
      <w:r w:rsidRPr="00E05E29">
        <w:t>There should not be any lap-splicing by welding within the critical regions of structural members.</w:t>
      </w:r>
      <w:r w:rsidRPr="00502341">
        <w:t xml:space="preserve"> For lap-splicing by welding outside of the critical regions within a distance of twice the member depth from the critical regions of primary seismic columns and beams, the design resistance of the welded splices should not be smaller than 1,25 times the design yield </w:t>
      </w:r>
      <w:r w:rsidRPr="00205B72">
        <w:t>strength of the bars they connect.</w:t>
      </w:r>
    </w:p>
    <w:p w14:paraId="28868408" w14:textId="71FDF52D" w:rsidR="00265677" w:rsidRPr="00205B72" w:rsidRDefault="00265677" w:rsidP="00724E4E">
      <w:pPr>
        <w:pStyle w:val="Clause"/>
      </w:pPr>
      <w:r w:rsidRPr="00205B72">
        <w:t>There should not be splicing by mechanical couplers in the critical regions of primary seismic columns and beams and within a distance of twice the member depth from the critical regions, unless (4) is satisfied.</w:t>
      </w:r>
    </w:p>
    <w:p w14:paraId="4B8401F2" w14:textId="36B3AAF2" w:rsidR="00265677" w:rsidRPr="00205B72" w:rsidRDefault="00265677" w:rsidP="00724E4E">
      <w:pPr>
        <w:pStyle w:val="Clause"/>
      </w:pPr>
      <w:r w:rsidRPr="00205B72">
        <w:t>There may be splicing by mechanical couplers in the critical regions of primary seismic walls or within a distance of twice the member depth from the critical regions of primary seismic columns and beams, if the devices are qualified by testing for the seismic design situation and if the yielding and the failure of the lapped bars are obtained before those of the coupler in all tests.</w:t>
      </w:r>
    </w:p>
    <w:p w14:paraId="224B6EFE" w14:textId="10B0E37F" w:rsidR="00265677" w:rsidRPr="00205B72" w:rsidRDefault="00265677" w:rsidP="007D07A7">
      <w:pPr>
        <w:pStyle w:val="Notetext"/>
      </w:pPr>
      <w:r w:rsidRPr="00205B72">
        <w:t>NOTE 1</w:t>
      </w:r>
      <w:r w:rsidR="007D07A7" w:rsidRPr="00205B72">
        <w:tab/>
      </w:r>
      <w:r w:rsidRPr="00205B72">
        <w:t>(4) is a capacity design rule to assure that the bar will yield first and that no failure occurs in the splicing system while the bar elongates in the plastic domain.</w:t>
      </w:r>
    </w:p>
    <w:p w14:paraId="42EDC417" w14:textId="0D832837" w:rsidR="00265677" w:rsidRPr="00205B72" w:rsidRDefault="00265677" w:rsidP="007D07A7">
      <w:pPr>
        <w:pStyle w:val="Notetext"/>
      </w:pPr>
      <w:r w:rsidRPr="00205B72">
        <w:t>NOTE 2</w:t>
      </w:r>
      <w:r w:rsidRPr="00205B72">
        <w:tab/>
        <w:t>prCEN/TS</w:t>
      </w:r>
      <w:r w:rsidR="009C2A06">
        <w:t> </w:t>
      </w:r>
      <w:r w:rsidRPr="00205B72">
        <w:t>1998-</w:t>
      </w:r>
      <w:r w:rsidR="00460A67">
        <w:t xml:space="preserve">1-101 </w:t>
      </w:r>
      <w:r w:rsidRPr="00205B72">
        <w:t>gives a loading protocol and acceptance criteria for such tests.</w:t>
      </w:r>
    </w:p>
    <w:p w14:paraId="36887A93" w14:textId="35C3D9B8" w:rsidR="00265677" w:rsidRPr="00205B72" w:rsidRDefault="00265677" w:rsidP="00724E4E">
      <w:pPr>
        <w:pStyle w:val="Clause"/>
      </w:pPr>
      <w:r w:rsidRPr="00205B72">
        <w:t xml:space="preserve">The transverse reinforcement to be provided within the lap length should be calculated in accordance with </w:t>
      </w:r>
      <w:r w:rsidR="0026060E">
        <w:t>prEN 1992-1-1:2021</w:t>
      </w:r>
      <w:r w:rsidRPr="00205B72">
        <w:t>, 11.5. In addition, a) to c) should be satisfied:</w:t>
      </w:r>
    </w:p>
    <w:p w14:paraId="2CD33989" w14:textId="77777777" w:rsidR="00265677" w:rsidRPr="00E05E29" w:rsidRDefault="00265677" w:rsidP="0080187E">
      <w:pPr>
        <w:pStyle w:val="List2"/>
        <w:numPr>
          <w:ilvl w:val="0"/>
          <w:numId w:val="142"/>
        </w:numPr>
        <w:spacing w:before="0" w:after="240" w:line="230" w:lineRule="atLeast"/>
        <w:contextualSpacing w:val="0"/>
      </w:pPr>
      <w:r w:rsidRPr="00205B72">
        <w:t>if the anchored and the continuing bar are arranged in a</w:t>
      </w:r>
      <w:r w:rsidRPr="00E05E29">
        <w:t xml:space="preserve"> plane parallel to the transverse reinforcement, the total area of all lapped bars, Σ</w:t>
      </w:r>
      <w:r w:rsidRPr="00E05E29">
        <w:rPr>
          <w:rFonts w:ascii="AODJCD+TimesNewRoman,Italic" w:hAnsi="AODJCD+TimesNewRoman,Italic" w:cs="AODJCD+TimesNewRoman,Italic"/>
          <w:i/>
          <w:iCs/>
        </w:rPr>
        <w:t>a</w:t>
      </w:r>
      <w:r w:rsidRPr="00E05E29">
        <w:rPr>
          <w:sz w:val="16"/>
          <w:szCs w:val="16"/>
        </w:rPr>
        <w:t>sL</w:t>
      </w:r>
      <w:r w:rsidRPr="00E05E29">
        <w:t>, should be used in the calculation of the transverse reinforcement;</w:t>
      </w:r>
    </w:p>
    <w:p w14:paraId="3E531855" w14:textId="77777777" w:rsidR="00265677" w:rsidRPr="00E05E29" w:rsidRDefault="00265677" w:rsidP="0080187E">
      <w:pPr>
        <w:pStyle w:val="List2"/>
        <w:numPr>
          <w:ilvl w:val="0"/>
          <w:numId w:val="142"/>
        </w:numPr>
        <w:spacing w:before="0" w:after="240" w:line="230" w:lineRule="atLeast"/>
        <w:contextualSpacing w:val="0"/>
      </w:pPr>
      <w:r w:rsidRPr="00E05E29">
        <w:lastRenderedPageBreak/>
        <w:t xml:space="preserve">if the anchored and the continuing bar are arranged within a plane normal to the transverse reinforcement, the area of transverse reinforcement should be calculated on the basis of the area of the greater lapped longitudinal bar, </w:t>
      </w:r>
      <w:r w:rsidRPr="00E05E29">
        <w:rPr>
          <w:i/>
        </w:rPr>
        <w:t>A</w:t>
      </w:r>
      <w:r w:rsidRPr="00E05E29">
        <w:rPr>
          <w:vertAlign w:val="subscript"/>
        </w:rPr>
        <w:t>sL</w:t>
      </w:r>
      <w:r w:rsidRPr="00E05E29">
        <w:t>;</w:t>
      </w:r>
    </w:p>
    <w:p w14:paraId="14D94D5F" w14:textId="77777777" w:rsidR="00265677" w:rsidRPr="00E05E29" w:rsidRDefault="00265677" w:rsidP="0080187E">
      <w:pPr>
        <w:pStyle w:val="List2"/>
        <w:numPr>
          <w:ilvl w:val="0"/>
          <w:numId w:val="142"/>
        </w:numPr>
        <w:spacing w:before="0" w:after="240" w:line="230" w:lineRule="atLeast"/>
        <w:contextualSpacing w:val="0"/>
      </w:pPr>
      <w:bookmarkStart w:id="7543" w:name="_Hlk49605086"/>
      <w:r w:rsidRPr="00E05E29">
        <w:t xml:space="preserve">the spacing, </w:t>
      </w:r>
      <w:r w:rsidRPr="00E05E29">
        <w:rPr>
          <w:rFonts w:eastAsia="Cambria"/>
          <w:i/>
          <w:iCs/>
        </w:rPr>
        <w:t>s</w:t>
      </w:r>
      <w:r w:rsidRPr="00E05E29">
        <w:rPr>
          <w:rFonts w:eastAsia="Cambria"/>
          <w:vertAlign w:val="subscript"/>
        </w:rPr>
        <w:t>lap</w:t>
      </w:r>
      <w:r w:rsidRPr="00E05E29">
        <w:rPr>
          <w:rFonts w:eastAsia="Cambria"/>
        </w:rPr>
        <w:t>,</w:t>
      </w:r>
      <w:r w:rsidRPr="00E05E29">
        <w:t xml:space="preserve"> of the transverse reinforcement in the lap zone </w:t>
      </w:r>
      <w:bookmarkEnd w:id="7543"/>
      <w:r w:rsidRPr="00E05E29">
        <w:t>(in mm) should not exceed the value given by Formula (10.</w:t>
      </w:r>
      <w:r>
        <w:t>26</w:t>
      </w:r>
      <w:r w:rsidRPr="00E05E29">
        <w:t>).</w:t>
      </w:r>
    </w:p>
    <w:p w14:paraId="0E7585BF" w14:textId="77D10C3B" w:rsidR="007D07A7" w:rsidRPr="00870D59" w:rsidRDefault="009B5CEC" w:rsidP="007D07A7">
      <w:pPr>
        <w:pStyle w:val="Formula"/>
        <w:spacing w:before="240"/>
      </w:pPr>
      <m:oMath>
        <m:sSub>
          <m:sSubPr>
            <m:ctrlPr>
              <w:rPr>
                <w:rFonts w:ascii="Cambria Math" w:hAnsi="Cambria Math"/>
              </w:rPr>
            </m:ctrlPr>
          </m:sSubPr>
          <m:e>
            <m:r>
              <w:rPr>
                <w:rFonts w:ascii="Cambria Math" w:hAnsi="Cambria Math"/>
              </w:rPr>
              <m:t>s</m:t>
            </m:r>
          </m:e>
          <m:sub>
            <m:r>
              <m:rPr>
                <m:sty m:val="p"/>
              </m:rPr>
              <w:rPr>
                <w:rFonts w:ascii="Cambria Math" w:hAnsi="Cambria Math"/>
              </w:rPr>
              <m:t>lap</m:t>
            </m:r>
          </m:sub>
        </m:sSub>
        <m:r>
          <w:rPr>
            <w:rFonts w:ascii="Cambria Math" w:hAnsi="Cambria Math"/>
          </w:rPr>
          <m:t>=</m:t>
        </m:r>
        <m:r>
          <m:rPr>
            <m:nor/>
          </m:rPr>
          <m:t>min</m:t>
        </m:r>
        <m:d>
          <m:dPr>
            <m:begChr m:val="{"/>
            <m:endChr m:val="}"/>
            <m:ctrlPr>
              <w:rPr>
                <w:rFonts w:ascii="Cambria Math" w:hAnsi="Cambria Math"/>
              </w:rPr>
            </m:ctrlPr>
          </m:dPr>
          <m:e>
            <m:f>
              <m:fPr>
                <m:type m:val="lin"/>
                <m:ctrlPr>
                  <w:rPr>
                    <w:rFonts w:ascii="Cambria Math" w:hAnsi="Cambria Math"/>
                  </w:rPr>
                </m:ctrlPr>
              </m:fPr>
              <m:num>
                <m:r>
                  <w:rPr>
                    <w:rFonts w:ascii="Cambria Math" w:hAnsi="Cambria Math"/>
                  </w:rPr>
                  <m:t>h</m:t>
                </m:r>
              </m:num>
              <m:den>
                <m:r>
                  <w:rPr>
                    <w:rFonts w:ascii="Cambria Math" w:hAnsi="Cambria Math"/>
                  </w:rPr>
                  <m:t>4</m:t>
                </m:r>
              </m:den>
            </m:f>
            <m:r>
              <w:rPr>
                <w:rFonts w:ascii="Cambria Math" w:hAnsi="Cambria Math"/>
              </w:rPr>
              <m:t>;100</m:t>
            </m:r>
          </m:e>
        </m:d>
      </m:oMath>
      <w:r w:rsidR="007D07A7" w:rsidRPr="00870D59">
        <w:tab/>
        <w:t>(10.</w:t>
      </w:r>
      <w:r w:rsidR="007D07A7">
        <w:t>2</w:t>
      </w:r>
      <w:r w:rsidR="00EE42E7">
        <w:t>6</w:t>
      </w:r>
      <w:r w:rsidR="007D07A7" w:rsidRPr="00870D59">
        <w:t>)</w:t>
      </w:r>
    </w:p>
    <w:p w14:paraId="3AA6D53C" w14:textId="77777777" w:rsidR="00EE42E7" w:rsidRPr="007E6F67" w:rsidRDefault="00EE42E7" w:rsidP="00EE42E7">
      <w:pPr>
        <w:autoSpaceDE w:val="0"/>
        <w:autoSpaceDN w:val="0"/>
        <w:adjustRightInd w:val="0"/>
        <w:spacing w:after="240"/>
      </w:pPr>
      <w:r w:rsidRPr="00D1484A">
        <w:t xml:space="preserve">where </w:t>
      </w:r>
      <w:r w:rsidRPr="00D1484A">
        <w:rPr>
          <w:i/>
        </w:rPr>
        <w:t>h</w:t>
      </w:r>
      <w:r w:rsidRPr="00D1484A">
        <w:t xml:space="preserve"> is the minimum cross-sectional dimension (</w:t>
      </w:r>
      <w:r w:rsidRPr="00D1484A">
        <w:rPr>
          <w:i/>
          <w:iCs/>
        </w:rPr>
        <w:t>s</w:t>
      </w:r>
      <w:r w:rsidRPr="00D1484A">
        <w:t xml:space="preserve"> and </w:t>
      </w:r>
      <w:r w:rsidRPr="00D1484A">
        <w:rPr>
          <w:i/>
          <w:iCs/>
        </w:rPr>
        <w:t>h</w:t>
      </w:r>
      <w:r w:rsidRPr="00D1484A">
        <w:t xml:space="preserve"> in mm).</w:t>
      </w:r>
    </w:p>
    <w:p w14:paraId="2D4F2C33" w14:textId="35844714" w:rsidR="00EE42E7" w:rsidRPr="00E05E29" w:rsidRDefault="00EE42E7" w:rsidP="00724E4E">
      <w:pPr>
        <w:pStyle w:val="Clause"/>
      </w:pPr>
      <w:r w:rsidRPr="00FD17CF">
        <w:t xml:space="preserve">The required area of transverse reinforcement </w:t>
      </w:r>
      <w:r w:rsidRPr="00502341">
        <w:rPr>
          <w:i/>
          <w:iCs/>
        </w:rPr>
        <w:t>A</w:t>
      </w:r>
      <w:r w:rsidRPr="00502341">
        <w:rPr>
          <w:vertAlign w:val="subscript"/>
        </w:rPr>
        <w:t>st</w:t>
      </w:r>
      <w:r w:rsidRPr="00E05E29">
        <w:t xml:space="preserve"> within the lap zone of the longitudinal reinforcement </w:t>
      </w:r>
      <w:r w:rsidRPr="00D908FC">
        <w:t xml:space="preserve">of columns spliced at the same location (as defined in </w:t>
      </w:r>
      <w:r w:rsidR="0026060E">
        <w:t>prEN 1992-1-1:2021</w:t>
      </w:r>
      <w:r w:rsidRPr="00205B72">
        <w:t>, 11.5),</w:t>
      </w:r>
      <w:r w:rsidRPr="00D908FC">
        <w:t xml:space="preserve"> or of the longitudinal</w:t>
      </w:r>
      <w:r w:rsidRPr="00E05E29">
        <w:t xml:space="preserve"> reinforcement of boundary elements in walls, may be calculated with Formula (10.</w:t>
      </w:r>
      <w:r>
        <w:t>27</w:t>
      </w:r>
      <w:r w:rsidRPr="00E05E29">
        <w:t>).</w:t>
      </w:r>
    </w:p>
    <w:p w14:paraId="7D3E9A59" w14:textId="787E82DC" w:rsidR="00EE42E7" w:rsidRPr="00870D59" w:rsidRDefault="009B5CEC" w:rsidP="00EE42E7">
      <w:pPr>
        <w:pStyle w:val="Formula"/>
        <w:spacing w:before="240"/>
      </w:pPr>
      <m:oMath>
        <m:sSub>
          <m:sSubPr>
            <m:ctrlPr>
              <w:rPr>
                <w:rFonts w:ascii="Cambria Math" w:hAnsi="Cambria Math"/>
              </w:rPr>
            </m:ctrlPr>
          </m:sSubPr>
          <m:e>
            <m:r>
              <w:rPr>
                <w:rFonts w:ascii="Cambria Math" w:hAnsi="Cambria Math"/>
              </w:rPr>
              <m:t>A</m:t>
            </m:r>
          </m:e>
          <m:sub>
            <m:r>
              <m:rPr>
                <m:sty m:val="p"/>
              </m:rPr>
              <w:rPr>
                <w:rFonts w:ascii="Cambria Math" w:hAnsi="Cambria Math"/>
              </w:rPr>
              <m:t>st</m:t>
            </m:r>
          </m:sub>
        </m:sSub>
        <m:r>
          <w:rPr>
            <w:rFonts w:ascii="Cambria Math" w:hAnsi="Cambria Math"/>
          </w:rPr>
          <m:t>=s </m:t>
        </m:r>
        <m:d>
          <m:dPr>
            <m:ctrlPr>
              <w:rPr>
                <w:rFonts w:ascii="Cambria Math" w:hAnsi="Cambria Math"/>
              </w:rPr>
            </m:ctrlPr>
          </m:dPr>
          <m:e>
            <m:f>
              <m:fPr>
                <m:type m:val="lin"/>
                <m:ctrlPr>
                  <w:rPr>
                    <w:rFonts w:ascii="Cambria Math" w:hAnsi="Cambria Math"/>
                  </w:rPr>
                </m:ctrlPr>
              </m:fPr>
              <m:num>
                <m:sSub>
                  <m:sSubPr>
                    <m:ctrlPr>
                      <w:rPr>
                        <w:rFonts w:ascii="Cambria Math" w:hAnsi="Cambria Math"/>
                      </w:rPr>
                    </m:ctrlPr>
                  </m:sSubPr>
                  <m:e>
                    <m:r>
                      <w:rPr>
                        <w:rFonts w:ascii="Cambria Math" w:hAnsi="Cambria Math"/>
                      </w:rPr>
                      <m:t>d</m:t>
                    </m:r>
                  </m:e>
                  <m:sub>
                    <m:r>
                      <m:rPr>
                        <m:sty m:val="p"/>
                      </m:rPr>
                      <w:rPr>
                        <w:rFonts w:ascii="Cambria Math" w:hAnsi="Cambria Math"/>
                      </w:rPr>
                      <m:t>bL</m:t>
                    </m:r>
                  </m:sub>
                </m:sSub>
              </m:num>
              <m:den>
                <m:r>
                  <w:rPr>
                    <w:rFonts w:ascii="Cambria Math" w:hAnsi="Cambria Math"/>
                  </w:rPr>
                  <m:t>50</m:t>
                </m:r>
              </m:den>
            </m:f>
          </m:e>
        </m:d>
        <m:d>
          <m:dPr>
            <m:ctrlPr>
              <w:rPr>
                <w:rFonts w:ascii="Cambria Math" w:hAnsi="Cambria Math"/>
              </w:rPr>
            </m:ctrlPr>
          </m:dPr>
          <m:e>
            <m:f>
              <m:fPr>
                <m:type m:val="lin"/>
                <m:ctrlPr>
                  <w:rPr>
                    <w:rFonts w:ascii="Cambria Math" w:hAnsi="Cambria Math"/>
                  </w:rPr>
                </m:ctrlPr>
              </m:fPr>
              <m:num>
                <m:sSub>
                  <m:sSubPr>
                    <m:ctrlPr>
                      <w:rPr>
                        <w:rFonts w:ascii="Cambria Math" w:hAnsi="Cambria Math"/>
                      </w:rPr>
                    </m:ctrlPr>
                  </m:sSubPr>
                  <m:e>
                    <m:r>
                      <w:rPr>
                        <w:rFonts w:ascii="Cambria Math" w:hAnsi="Cambria Math"/>
                      </w:rPr>
                      <m:t>f</m:t>
                    </m:r>
                  </m:e>
                  <m:sub>
                    <m:r>
                      <m:rPr>
                        <m:sty m:val="p"/>
                      </m:rPr>
                      <w:rPr>
                        <w:rFonts w:ascii="Cambria Math" w:hAnsi="Cambria Math"/>
                      </w:rPr>
                      <m:t>yd</m:t>
                    </m:r>
                  </m:sub>
                </m:sSub>
              </m:num>
              <m:den>
                <m:sSub>
                  <m:sSubPr>
                    <m:ctrlPr>
                      <w:rPr>
                        <w:rFonts w:ascii="Cambria Math" w:hAnsi="Cambria Math"/>
                      </w:rPr>
                    </m:ctrlPr>
                  </m:sSubPr>
                  <m:e>
                    <m:r>
                      <w:rPr>
                        <w:rFonts w:ascii="Cambria Math" w:hAnsi="Cambria Math"/>
                      </w:rPr>
                      <m:t>f</m:t>
                    </m:r>
                  </m:e>
                  <m:sub>
                    <m:r>
                      <m:rPr>
                        <m:sty m:val="p"/>
                      </m:rPr>
                      <w:rPr>
                        <w:rFonts w:ascii="Cambria Math" w:hAnsi="Cambria Math"/>
                      </w:rPr>
                      <m:t>ywd</m:t>
                    </m:r>
                  </m:sub>
                </m:sSub>
              </m:den>
            </m:f>
          </m:e>
        </m:d>
      </m:oMath>
      <w:r w:rsidR="00EE42E7" w:rsidRPr="00870D59">
        <w:tab/>
        <w:t>(10.</w:t>
      </w:r>
      <w:r w:rsidR="00EE42E7">
        <w:t>27</w:t>
      </w:r>
      <w:r w:rsidR="00EE42E7" w:rsidRPr="00870D59">
        <w:t>)</w:t>
      </w:r>
    </w:p>
    <w:p w14:paraId="65B43281" w14:textId="6DE24DD4" w:rsidR="00EE42E7" w:rsidRDefault="00675EBA" w:rsidP="00EE42E7">
      <w:r>
        <w:t>where</w:t>
      </w:r>
    </w:p>
    <w:tbl>
      <w:tblPr>
        <w:tblW w:w="0" w:type="auto"/>
        <w:tblInd w:w="346" w:type="dxa"/>
        <w:tblLook w:val="04A0" w:firstRow="1" w:lastRow="0" w:firstColumn="1" w:lastColumn="0" w:noHBand="0" w:noVBand="1"/>
      </w:tblPr>
      <w:tblGrid>
        <w:gridCol w:w="1275"/>
        <w:gridCol w:w="7938"/>
      </w:tblGrid>
      <w:tr w:rsidR="00EE42E7" w:rsidRPr="00870D59" w14:paraId="04EAFC8F" w14:textId="77777777" w:rsidTr="009B7FB1">
        <w:tc>
          <w:tcPr>
            <w:tcW w:w="1275" w:type="dxa"/>
          </w:tcPr>
          <w:p w14:paraId="4D02678A" w14:textId="1843333D" w:rsidR="00EE42E7" w:rsidRPr="00870D59" w:rsidRDefault="00EE42E7" w:rsidP="002061E5">
            <w:pPr>
              <w:spacing w:after="60"/>
              <w:rPr>
                <w:rFonts w:eastAsia="Times New Roman" w:cs="Cambria"/>
                <w:szCs w:val="20"/>
                <w:lang w:eastAsia="fr-FR"/>
              </w:rPr>
            </w:pPr>
            <w:r w:rsidRPr="00D1484A">
              <w:rPr>
                <w:i/>
                <w:iCs/>
              </w:rPr>
              <w:t>A</w:t>
            </w:r>
            <w:r w:rsidRPr="00D1484A">
              <w:rPr>
                <w:vertAlign w:val="subscript"/>
              </w:rPr>
              <w:t>st</w:t>
            </w:r>
          </w:p>
        </w:tc>
        <w:tc>
          <w:tcPr>
            <w:tcW w:w="7938" w:type="dxa"/>
          </w:tcPr>
          <w:p w14:paraId="704AE974" w14:textId="7F0534AA" w:rsidR="00EE42E7" w:rsidRPr="00870D59" w:rsidRDefault="00EE42E7" w:rsidP="002061E5">
            <w:pPr>
              <w:spacing w:after="60"/>
              <w:rPr>
                <w:rFonts w:eastAsia="Times New Roman" w:cs="Cambria"/>
                <w:szCs w:val="20"/>
                <w:lang w:eastAsia="fr-FR"/>
              </w:rPr>
            </w:pPr>
            <w:r w:rsidRPr="00D1484A">
              <w:t>is the area of one leg of the transverse reinforcement;</w:t>
            </w:r>
          </w:p>
        </w:tc>
      </w:tr>
      <w:tr w:rsidR="00EE42E7" w:rsidRPr="00870D59" w14:paraId="4D626D03" w14:textId="77777777" w:rsidTr="009B7FB1">
        <w:tc>
          <w:tcPr>
            <w:tcW w:w="1275" w:type="dxa"/>
          </w:tcPr>
          <w:p w14:paraId="45E79F57" w14:textId="37266D8B" w:rsidR="00EE42E7" w:rsidRPr="00870D59" w:rsidRDefault="00EE42E7" w:rsidP="002061E5">
            <w:pPr>
              <w:spacing w:after="60"/>
              <w:rPr>
                <w:rFonts w:ascii="Symbol" w:hAnsi="Symbol"/>
                <w:i/>
                <w:color w:val="000000" w:themeColor="text1"/>
              </w:rPr>
            </w:pPr>
            <w:r w:rsidRPr="007E6F67">
              <w:rPr>
                <w:i/>
                <w:iCs/>
              </w:rPr>
              <w:t>d</w:t>
            </w:r>
            <w:r w:rsidRPr="00FD17CF">
              <w:rPr>
                <w:vertAlign w:val="subscript"/>
              </w:rPr>
              <w:t>bL</w:t>
            </w:r>
          </w:p>
        </w:tc>
        <w:tc>
          <w:tcPr>
            <w:tcW w:w="7938" w:type="dxa"/>
          </w:tcPr>
          <w:p w14:paraId="61D89895" w14:textId="70059D59" w:rsidR="00EE42E7" w:rsidRPr="00870D59" w:rsidRDefault="00EE42E7" w:rsidP="002061E5">
            <w:pPr>
              <w:rPr>
                <w:color w:val="000000" w:themeColor="text1"/>
              </w:rPr>
            </w:pPr>
            <w:r w:rsidRPr="00FD17CF">
              <w:t xml:space="preserve">is the </w:t>
            </w:r>
            <w:r w:rsidR="007E5C9E">
              <w:t>d</w:t>
            </w:r>
            <w:r>
              <w:t>iameter</w:t>
            </w:r>
            <w:r w:rsidRPr="00FD17CF">
              <w:t xml:space="preserve"> of the lapped longitudinal bars;</w:t>
            </w:r>
          </w:p>
        </w:tc>
      </w:tr>
      <w:tr w:rsidR="00EE42E7" w:rsidRPr="00870D59" w14:paraId="1A306C82" w14:textId="77777777" w:rsidTr="009B7FB1">
        <w:tc>
          <w:tcPr>
            <w:tcW w:w="1275" w:type="dxa"/>
          </w:tcPr>
          <w:p w14:paraId="53FCE09C" w14:textId="45A6FD37" w:rsidR="00EE42E7" w:rsidRPr="00D1484A" w:rsidRDefault="00EE42E7" w:rsidP="002061E5">
            <w:pPr>
              <w:spacing w:after="60"/>
              <w:rPr>
                <w:i/>
                <w:iCs/>
              </w:rPr>
            </w:pPr>
            <w:r w:rsidRPr="00644C3D">
              <w:rPr>
                <w:i/>
                <w:iCs/>
              </w:rPr>
              <w:t>s</w:t>
            </w:r>
          </w:p>
        </w:tc>
        <w:tc>
          <w:tcPr>
            <w:tcW w:w="7938" w:type="dxa"/>
          </w:tcPr>
          <w:p w14:paraId="27419651" w14:textId="10CDBE21" w:rsidR="00EE42E7" w:rsidRPr="007E6F67" w:rsidRDefault="00EE42E7" w:rsidP="002061E5">
            <w:r w:rsidRPr="00E05E29">
              <w:t>is the spacing of the transverse reinforcement;</w:t>
            </w:r>
          </w:p>
        </w:tc>
      </w:tr>
      <w:tr w:rsidR="00EE42E7" w:rsidRPr="00870D59" w14:paraId="78BF0BFB" w14:textId="77777777" w:rsidTr="009B7FB1">
        <w:tc>
          <w:tcPr>
            <w:tcW w:w="1275" w:type="dxa"/>
          </w:tcPr>
          <w:p w14:paraId="4EBF6ADA" w14:textId="6067C968" w:rsidR="00EE42E7" w:rsidRPr="00D1484A" w:rsidRDefault="00EE42E7" w:rsidP="002061E5">
            <w:pPr>
              <w:spacing w:after="60"/>
              <w:rPr>
                <w:i/>
                <w:iCs/>
              </w:rPr>
            </w:pPr>
            <w:r w:rsidRPr="00E05E29">
              <w:rPr>
                <w:i/>
                <w:iCs/>
              </w:rPr>
              <w:t>f</w:t>
            </w:r>
            <w:r w:rsidRPr="00E05E29">
              <w:rPr>
                <w:vertAlign w:val="subscript"/>
              </w:rPr>
              <w:t>yd</w:t>
            </w:r>
          </w:p>
        </w:tc>
        <w:tc>
          <w:tcPr>
            <w:tcW w:w="7938" w:type="dxa"/>
          </w:tcPr>
          <w:p w14:paraId="20730CCE" w14:textId="41BC0060" w:rsidR="00EE42E7" w:rsidRPr="007E6F67" w:rsidRDefault="00EE42E7" w:rsidP="002061E5">
            <w:r w:rsidRPr="00E05E29">
              <w:t>is the design yield strength of the longitudinal reinforcement;</w:t>
            </w:r>
          </w:p>
        </w:tc>
      </w:tr>
      <w:tr w:rsidR="00EE42E7" w:rsidRPr="00870D59" w14:paraId="22183334" w14:textId="77777777" w:rsidTr="009B7FB1">
        <w:tc>
          <w:tcPr>
            <w:tcW w:w="1275" w:type="dxa"/>
          </w:tcPr>
          <w:p w14:paraId="543B9185" w14:textId="51F5F8D8" w:rsidR="00EE42E7" w:rsidRPr="00E05E29" w:rsidRDefault="00EE42E7" w:rsidP="002061E5">
            <w:pPr>
              <w:spacing w:after="60"/>
              <w:rPr>
                <w:i/>
                <w:iCs/>
              </w:rPr>
            </w:pPr>
            <w:r w:rsidRPr="00E05E29">
              <w:rPr>
                <w:i/>
                <w:iCs/>
              </w:rPr>
              <w:t>f</w:t>
            </w:r>
            <w:r w:rsidRPr="00E05E29">
              <w:rPr>
                <w:vertAlign w:val="subscript"/>
              </w:rPr>
              <w:t>ywd</w:t>
            </w:r>
          </w:p>
        </w:tc>
        <w:tc>
          <w:tcPr>
            <w:tcW w:w="7938" w:type="dxa"/>
          </w:tcPr>
          <w:p w14:paraId="0C4A868B" w14:textId="595641D4" w:rsidR="00EE42E7" w:rsidRPr="00E05E29" w:rsidRDefault="00EE42E7" w:rsidP="002061E5">
            <w:r w:rsidRPr="00E05E29">
              <w:t>is the design yield strength of the transverse reinforcement.</w:t>
            </w:r>
          </w:p>
        </w:tc>
      </w:tr>
    </w:tbl>
    <w:p w14:paraId="333DBCE4" w14:textId="77777777" w:rsidR="009A5DA1" w:rsidRPr="00190DAA" w:rsidRDefault="009A5DA1" w:rsidP="009A5DA1">
      <w:pPr>
        <w:pStyle w:val="Heading2"/>
      </w:pPr>
      <w:bookmarkStart w:id="7544" w:name="_Toc17934218"/>
      <w:bookmarkStart w:id="7545" w:name="_Toc50150397"/>
      <w:bookmarkStart w:id="7546" w:name="_Toc70886829"/>
      <w:bookmarkStart w:id="7547" w:name="_Toc108342380"/>
      <w:bookmarkStart w:id="7548" w:name="_Toc134197918"/>
      <w:r w:rsidRPr="00190DAA">
        <w:t>Provisions for concrete diaphragms</w:t>
      </w:r>
      <w:bookmarkEnd w:id="7544"/>
      <w:bookmarkEnd w:id="7545"/>
      <w:bookmarkEnd w:id="7546"/>
      <w:bookmarkEnd w:id="7547"/>
      <w:bookmarkEnd w:id="7548"/>
    </w:p>
    <w:p w14:paraId="62844D85" w14:textId="77777777" w:rsidR="009A5DA1" w:rsidRPr="00190DAA" w:rsidRDefault="009A5DA1" w:rsidP="009A5DA1">
      <w:pPr>
        <w:pStyle w:val="Heading3"/>
      </w:pPr>
      <w:bookmarkStart w:id="7549" w:name="_Toc17934219"/>
      <w:bookmarkStart w:id="7550" w:name="_Toc50150398"/>
      <w:bookmarkStart w:id="7551" w:name="_Toc70886830"/>
      <w:bookmarkStart w:id="7552" w:name="_Toc108342381"/>
      <w:bookmarkStart w:id="7553" w:name="_Toc134197919"/>
      <w:r w:rsidRPr="00190DAA">
        <w:t>Cast in place diaphragms</w:t>
      </w:r>
      <w:bookmarkEnd w:id="7549"/>
      <w:bookmarkEnd w:id="7550"/>
      <w:bookmarkEnd w:id="7551"/>
      <w:bookmarkEnd w:id="7552"/>
      <w:bookmarkEnd w:id="7553"/>
    </w:p>
    <w:p w14:paraId="089EC73A" w14:textId="2EA79EF0" w:rsidR="009A5DA1" w:rsidRPr="00190DAA" w:rsidRDefault="009A5DA1" w:rsidP="0080187E">
      <w:pPr>
        <w:pStyle w:val="Clause"/>
        <w:numPr>
          <w:ilvl w:val="0"/>
          <w:numId w:val="345"/>
        </w:numPr>
      </w:pPr>
      <w:r w:rsidRPr="00E05E29">
        <w:t xml:space="preserve">A solid reinforced concrete slab may be considered as a rigid diaphragm, </w:t>
      </w:r>
      <w:r w:rsidRPr="00190DAA">
        <w:t xml:space="preserve">as defined in 5.1.3(6), if its thickness is not less than 70 mm and if it is reinforced in both horizontal directions with at least the minimum reinforcement specified in </w:t>
      </w:r>
      <w:r w:rsidR="0026060E">
        <w:t>prEN 1992-1-1:2021</w:t>
      </w:r>
      <w:r w:rsidRPr="00190DAA">
        <w:t>, 12.</w:t>
      </w:r>
      <w:r w:rsidR="00621408" w:rsidRPr="00190DAA">
        <w:t>4</w:t>
      </w:r>
      <w:r w:rsidRPr="00190DAA">
        <w:t>.1(1).</w:t>
      </w:r>
    </w:p>
    <w:p w14:paraId="4E4DC2BA" w14:textId="6F891A67" w:rsidR="009A5DA1" w:rsidRPr="00190DAA" w:rsidRDefault="009A5DA1" w:rsidP="009A5DA1">
      <w:pPr>
        <w:pStyle w:val="Notetext"/>
      </w:pPr>
      <w:r w:rsidRPr="00190DAA">
        <w:t>NOTE</w:t>
      </w:r>
      <w:r w:rsidRPr="00190DAA">
        <w:tab/>
        <w:t xml:space="preserve">A solid slab is defined </w:t>
      </w:r>
      <w:r w:rsidR="0026060E">
        <w:t>prEN 1992-1-1:2021</w:t>
      </w:r>
      <w:r w:rsidRPr="00190DAA">
        <w:t>, 3.1</w:t>
      </w:r>
      <w:r w:rsidR="00621408" w:rsidRPr="00190DAA">
        <w:t>.79</w:t>
      </w:r>
      <w:r w:rsidRPr="00190DAA">
        <w:t>, as a slab without voids or ribs within its full depth.</w:t>
      </w:r>
    </w:p>
    <w:p w14:paraId="18343E6D" w14:textId="5C4F235B" w:rsidR="009A5DA1" w:rsidRPr="00190DAA" w:rsidRDefault="009A5DA1" w:rsidP="00724E4E">
      <w:pPr>
        <w:pStyle w:val="Clause"/>
      </w:pPr>
      <w:r w:rsidRPr="00190DAA">
        <w:t>A cast-in-place topping on a precast floor or roof structure may be considered as a rigid diaphragm, if a) to d) are fulfilled:</w:t>
      </w:r>
    </w:p>
    <w:p w14:paraId="274BA1CF" w14:textId="77777777" w:rsidR="009A5DA1" w:rsidRPr="00190DAA" w:rsidRDefault="009A5DA1" w:rsidP="0080187E">
      <w:pPr>
        <w:pStyle w:val="List2"/>
        <w:numPr>
          <w:ilvl w:val="0"/>
          <w:numId w:val="143"/>
        </w:numPr>
        <w:spacing w:before="0" w:after="240" w:line="230" w:lineRule="atLeast"/>
        <w:contextualSpacing w:val="0"/>
      </w:pPr>
      <w:r w:rsidRPr="00190DAA">
        <w:t>the thickness of the topping layer is not less than 40 mm for span between supports not longer than 8 m, or 50 mm for longer spans;</w:t>
      </w:r>
    </w:p>
    <w:p w14:paraId="1B8B3D3F" w14:textId="17772262" w:rsidR="009A5DA1" w:rsidRPr="00190DAA" w:rsidRDefault="009A5DA1" w:rsidP="0080187E">
      <w:pPr>
        <w:pStyle w:val="List2"/>
        <w:numPr>
          <w:ilvl w:val="0"/>
          <w:numId w:val="143"/>
        </w:numPr>
        <w:spacing w:before="0" w:after="240" w:line="230" w:lineRule="atLeast"/>
        <w:contextualSpacing w:val="0"/>
      </w:pPr>
      <w:r w:rsidRPr="00190DAA">
        <w:rPr>
          <w:rFonts w:cs="Courier New"/>
          <w:color w:val="333333"/>
          <w:shd w:val="clear" w:color="auto" w:fill="FDFCFA"/>
        </w:rPr>
        <w:t xml:space="preserve">its mesh reinforcement is connected to the beams or walls supporting the </w:t>
      </w:r>
      <w:r w:rsidR="00E915D0" w:rsidRPr="00190DAA">
        <w:rPr>
          <w:rFonts w:cs="Courier New"/>
          <w:color w:val="333333"/>
          <w:shd w:val="clear" w:color="auto" w:fill="FDFCFA"/>
        </w:rPr>
        <w:t>diaphragm;</w:t>
      </w:r>
    </w:p>
    <w:p w14:paraId="47B95275" w14:textId="77777777" w:rsidR="009A5DA1" w:rsidRPr="00190DAA" w:rsidRDefault="009A5DA1" w:rsidP="0080187E">
      <w:pPr>
        <w:pStyle w:val="List2"/>
        <w:numPr>
          <w:ilvl w:val="0"/>
          <w:numId w:val="143"/>
        </w:numPr>
        <w:spacing w:before="0" w:after="240" w:line="230" w:lineRule="atLeast"/>
        <w:contextualSpacing w:val="0"/>
      </w:pPr>
      <w:r w:rsidRPr="00190DAA">
        <w:t>it is designed to provide alone the required diaphragm stiffness and resistance, according to 6.2.8;</w:t>
      </w:r>
    </w:p>
    <w:p w14:paraId="2B9D31AA" w14:textId="77777777" w:rsidR="009A5DA1" w:rsidRPr="00190DAA" w:rsidRDefault="009A5DA1" w:rsidP="0080187E">
      <w:pPr>
        <w:pStyle w:val="List2"/>
        <w:numPr>
          <w:ilvl w:val="0"/>
          <w:numId w:val="143"/>
        </w:numPr>
        <w:spacing w:before="0" w:after="240" w:line="230" w:lineRule="atLeast"/>
        <w:contextualSpacing w:val="0"/>
      </w:pPr>
      <w:r w:rsidRPr="00190DAA">
        <w:t>it is cast over a clean, rough substrate, or connected to it through shear connectors.</w:t>
      </w:r>
    </w:p>
    <w:p w14:paraId="48871475" w14:textId="630C42CE" w:rsidR="009A5DA1" w:rsidRPr="00190DAA" w:rsidRDefault="009A5DA1" w:rsidP="00724E4E">
      <w:pPr>
        <w:pStyle w:val="Clause"/>
      </w:pPr>
      <w:r w:rsidRPr="00190DAA">
        <w:t>Design action effects should take into account overstrength according to 6.2.8.</w:t>
      </w:r>
    </w:p>
    <w:p w14:paraId="0128B435" w14:textId="79C6CA9D" w:rsidR="009A5DA1" w:rsidRPr="00502341" w:rsidRDefault="009A5DA1" w:rsidP="00724E4E">
      <w:pPr>
        <w:pStyle w:val="Clause"/>
        <w:rPr>
          <w:rFonts w:eastAsia="Cambria"/>
        </w:rPr>
      </w:pPr>
      <w:r w:rsidRPr="00D908FC">
        <w:t xml:space="preserve">The design resistances should be derived in accordance with </w:t>
      </w:r>
      <w:r w:rsidR="0026060E">
        <w:t>prEN 1992-1-1:2021</w:t>
      </w:r>
      <w:r w:rsidRPr="00190DAA">
        <w:rPr>
          <w:rFonts w:eastAsia="Cambria"/>
        </w:rPr>
        <w:t xml:space="preserve">, 12.4, </w:t>
      </w:r>
      <w:r w:rsidR="000D573F" w:rsidRPr="00190DAA">
        <w:rPr>
          <w:rFonts w:eastAsia="Cambria"/>
        </w:rPr>
        <w:t xml:space="preserve">12.5, </w:t>
      </w:r>
      <w:r w:rsidRPr="00190DAA">
        <w:rPr>
          <w:rFonts w:eastAsia="Cambria"/>
        </w:rPr>
        <w:t>12.9.2 and 13.6</w:t>
      </w:r>
      <w:r w:rsidRPr="00190DAA">
        <w:t>.</w:t>
      </w:r>
    </w:p>
    <w:p w14:paraId="119617B8" w14:textId="6DDC9B7A" w:rsidR="009A5DA1" w:rsidRPr="00D908FC" w:rsidRDefault="009A5DA1" w:rsidP="009A5DA1">
      <w:pPr>
        <w:pStyle w:val="Heading3"/>
      </w:pPr>
      <w:bookmarkStart w:id="7554" w:name="_Toc17934220"/>
      <w:bookmarkStart w:id="7555" w:name="_Toc50150399"/>
      <w:bookmarkStart w:id="7556" w:name="_Toc70886831"/>
      <w:bookmarkStart w:id="7557" w:name="_Toc108342382"/>
      <w:bookmarkStart w:id="7558" w:name="_Toc134197920"/>
      <w:r w:rsidRPr="00D908FC">
        <w:lastRenderedPageBreak/>
        <w:t>Precast concrete diaphragms</w:t>
      </w:r>
      <w:bookmarkEnd w:id="7554"/>
      <w:bookmarkEnd w:id="7555"/>
      <w:bookmarkEnd w:id="7556"/>
      <w:bookmarkEnd w:id="7557"/>
      <w:bookmarkEnd w:id="7558"/>
    </w:p>
    <w:p w14:paraId="4618A5BE" w14:textId="5A57EA23" w:rsidR="009A5DA1" w:rsidRPr="00190DAA" w:rsidRDefault="009A5DA1" w:rsidP="0080187E">
      <w:pPr>
        <w:pStyle w:val="Clause"/>
        <w:numPr>
          <w:ilvl w:val="0"/>
          <w:numId w:val="639"/>
        </w:numPr>
        <w:rPr>
          <w:bCs/>
        </w:rPr>
      </w:pPr>
      <w:r w:rsidRPr="00190DAA">
        <w:rPr>
          <w:bCs/>
        </w:rPr>
        <w:t xml:space="preserve">10.14 should be applied in addition to 10.12.1 and </w:t>
      </w:r>
      <w:r w:rsidR="0026060E">
        <w:rPr>
          <w:bCs/>
        </w:rPr>
        <w:t>prEN 1992-1-1:2021</w:t>
      </w:r>
      <w:r w:rsidRPr="00190DAA">
        <w:rPr>
          <w:bCs/>
        </w:rPr>
        <w:t>, 13.6.2.</w:t>
      </w:r>
    </w:p>
    <w:p w14:paraId="3A9B3C55" w14:textId="3FC92B58" w:rsidR="009A5DA1" w:rsidRPr="00E05E29" w:rsidRDefault="009A5DA1" w:rsidP="009A5DA1">
      <w:pPr>
        <w:pStyle w:val="Heading2"/>
      </w:pPr>
      <w:bookmarkStart w:id="7559" w:name="_Toc534629412"/>
      <w:bookmarkStart w:id="7560" w:name="_Toc534629686"/>
      <w:bookmarkStart w:id="7561" w:name="_Toc534649455"/>
      <w:bookmarkStart w:id="7562" w:name="_Toc534715514"/>
      <w:bookmarkStart w:id="7563" w:name="_Toc534734652"/>
      <w:bookmarkStart w:id="7564" w:name="_Toc534734928"/>
      <w:bookmarkStart w:id="7565" w:name="_Toc536717593"/>
      <w:bookmarkStart w:id="7566" w:name="_Toc536862770"/>
      <w:bookmarkStart w:id="7567" w:name="_Toc536864138"/>
      <w:bookmarkStart w:id="7568" w:name="_Toc536864525"/>
      <w:bookmarkStart w:id="7569" w:name="_Toc536865026"/>
      <w:bookmarkStart w:id="7570" w:name="_Toc536865341"/>
      <w:bookmarkStart w:id="7571" w:name="_Toc536865656"/>
      <w:bookmarkStart w:id="7572" w:name="_Toc536865971"/>
      <w:bookmarkStart w:id="7573" w:name="_Toc536866286"/>
      <w:bookmarkStart w:id="7574" w:name="_Toc536866601"/>
      <w:bookmarkStart w:id="7575" w:name="_Toc536866916"/>
      <w:bookmarkStart w:id="7576" w:name="_Toc536867231"/>
      <w:bookmarkStart w:id="7577" w:name="_Toc536867546"/>
      <w:bookmarkStart w:id="7578" w:name="_Toc536867829"/>
      <w:bookmarkStart w:id="7579" w:name="_Toc536868112"/>
      <w:bookmarkStart w:id="7580" w:name="_Toc536869009"/>
      <w:bookmarkStart w:id="7581" w:name="_Toc536869340"/>
      <w:bookmarkStart w:id="7582" w:name="_Toc128183"/>
      <w:bookmarkStart w:id="7583" w:name="_Toc128577"/>
      <w:bookmarkStart w:id="7584" w:name="_Toc128971"/>
      <w:bookmarkStart w:id="7585" w:name="_Toc129365"/>
      <w:bookmarkStart w:id="7586" w:name="_Toc129759"/>
      <w:bookmarkStart w:id="7587" w:name="_Toc130152"/>
      <w:bookmarkStart w:id="7588" w:name="_Toc130546"/>
      <w:bookmarkStart w:id="7589" w:name="_Toc130940"/>
      <w:bookmarkStart w:id="7590" w:name="_Toc131334"/>
      <w:bookmarkStart w:id="7591" w:name="_Toc289229"/>
      <w:bookmarkStart w:id="7592" w:name="_Toc338395"/>
      <w:bookmarkStart w:id="7593" w:name="_Toc705827"/>
      <w:bookmarkStart w:id="7594" w:name="_Toc706813"/>
      <w:bookmarkStart w:id="7595" w:name="_Toc709122"/>
      <w:bookmarkStart w:id="7596" w:name="_Toc710487"/>
      <w:bookmarkStart w:id="7597" w:name="_Toc970504"/>
      <w:bookmarkStart w:id="7598" w:name="_Toc970879"/>
      <w:bookmarkStart w:id="7599" w:name="_Toc1135579"/>
      <w:bookmarkStart w:id="7600" w:name="_Toc1165893"/>
      <w:bookmarkStart w:id="7601" w:name="_Toc1207958"/>
      <w:bookmarkStart w:id="7602" w:name="_Toc1408574"/>
      <w:bookmarkStart w:id="7603" w:name="_Toc970505"/>
      <w:bookmarkStart w:id="7604" w:name="_Toc970880"/>
      <w:bookmarkStart w:id="7605" w:name="_Toc1135580"/>
      <w:bookmarkStart w:id="7606" w:name="_Toc1165894"/>
      <w:bookmarkStart w:id="7607" w:name="_Toc1207959"/>
      <w:bookmarkStart w:id="7608" w:name="_Toc1408575"/>
      <w:bookmarkStart w:id="7609" w:name="_Toc970506"/>
      <w:bookmarkStart w:id="7610" w:name="_Toc970881"/>
      <w:bookmarkStart w:id="7611" w:name="_Toc1135581"/>
      <w:bookmarkStart w:id="7612" w:name="_Toc1165895"/>
      <w:bookmarkStart w:id="7613" w:name="_Toc1207960"/>
      <w:bookmarkStart w:id="7614" w:name="_Toc1408576"/>
      <w:bookmarkStart w:id="7615" w:name="_Toc970507"/>
      <w:bookmarkStart w:id="7616" w:name="_Toc970882"/>
      <w:bookmarkStart w:id="7617" w:name="_Toc1135582"/>
      <w:bookmarkStart w:id="7618" w:name="_Toc1165896"/>
      <w:bookmarkStart w:id="7619" w:name="_Toc1207961"/>
      <w:bookmarkStart w:id="7620" w:name="_Toc1408577"/>
      <w:bookmarkStart w:id="7621" w:name="_Toc970508"/>
      <w:bookmarkStart w:id="7622" w:name="_Toc970883"/>
      <w:bookmarkStart w:id="7623" w:name="_Toc1135583"/>
      <w:bookmarkStart w:id="7624" w:name="_Toc1165897"/>
      <w:bookmarkStart w:id="7625" w:name="_Toc1207962"/>
      <w:bookmarkStart w:id="7626" w:name="_Toc1408578"/>
      <w:bookmarkStart w:id="7627" w:name="_Toc508229168"/>
      <w:bookmarkStart w:id="7628" w:name="_Toc508229169"/>
      <w:bookmarkStart w:id="7629" w:name="_Toc508229170"/>
      <w:bookmarkStart w:id="7630" w:name="_Toc508229171"/>
      <w:bookmarkStart w:id="7631" w:name="_Toc508229172"/>
      <w:bookmarkStart w:id="7632" w:name="_Toc508229173"/>
      <w:bookmarkStart w:id="7633" w:name="_Toc508229174"/>
      <w:bookmarkStart w:id="7634" w:name="_Toc508229175"/>
      <w:bookmarkStart w:id="7635" w:name="_Toc508229176"/>
      <w:bookmarkStart w:id="7636" w:name="_Toc508229177"/>
      <w:bookmarkStart w:id="7637" w:name="_Toc508229178"/>
      <w:bookmarkStart w:id="7638" w:name="_Toc508229181"/>
      <w:bookmarkStart w:id="7639" w:name="_Toc508229182"/>
      <w:bookmarkStart w:id="7640" w:name="_Toc508229183"/>
      <w:bookmarkStart w:id="7641" w:name="_Toc508229184"/>
      <w:bookmarkStart w:id="7642" w:name="_Toc508229185"/>
      <w:bookmarkStart w:id="7643" w:name="_Toc508229186"/>
      <w:bookmarkStart w:id="7644" w:name="_Toc508229187"/>
      <w:bookmarkStart w:id="7645" w:name="_Toc508229188"/>
      <w:bookmarkStart w:id="7646" w:name="_Toc508229189"/>
      <w:bookmarkStart w:id="7647" w:name="_Toc533172339"/>
      <w:bookmarkStart w:id="7648" w:name="_Toc534451602"/>
      <w:bookmarkStart w:id="7649" w:name="_Toc534451875"/>
      <w:bookmarkStart w:id="7650" w:name="_Toc534452148"/>
      <w:bookmarkStart w:id="7651" w:name="_Toc534452988"/>
      <w:bookmarkStart w:id="7652" w:name="_Toc534629414"/>
      <w:bookmarkStart w:id="7653" w:name="_Toc534629688"/>
      <w:bookmarkStart w:id="7654" w:name="_Toc534649457"/>
      <w:bookmarkStart w:id="7655" w:name="_Toc534715516"/>
      <w:bookmarkStart w:id="7656" w:name="_Toc534734654"/>
      <w:bookmarkStart w:id="7657" w:name="_Toc534734930"/>
      <w:bookmarkStart w:id="7658" w:name="_Toc536717595"/>
      <w:bookmarkStart w:id="7659" w:name="_Toc536862772"/>
      <w:bookmarkStart w:id="7660" w:name="_Toc536864140"/>
      <w:bookmarkStart w:id="7661" w:name="_Toc536864527"/>
      <w:bookmarkStart w:id="7662" w:name="_Toc536865028"/>
      <w:bookmarkStart w:id="7663" w:name="_Toc536865343"/>
      <w:bookmarkStart w:id="7664" w:name="_Toc536865658"/>
      <w:bookmarkStart w:id="7665" w:name="_Toc536865973"/>
      <w:bookmarkStart w:id="7666" w:name="_Toc536866288"/>
      <w:bookmarkStart w:id="7667" w:name="_Toc536866603"/>
      <w:bookmarkStart w:id="7668" w:name="_Toc536866918"/>
      <w:bookmarkStart w:id="7669" w:name="_Toc536867233"/>
      <w:bookmarkStart w:id="7670" w:name="_Toc536867548"/>
      <w:bookmarkStart w:id="7671" w:name="_Toc536867831"/>
      <w:bookmarkStart w:id="7672" w:name="_Toc536868114"/>
      <w:bookmarkStart w:id="7673" w:name="_Toc536869011"/>
      <w:bookmarkStart w:id="7674" w:name="_Toc536869342"/>
      <w:bookmarkStart w:id="7675" w:name="_Toc128185"/>
      <w:bookmarkStart w:id="7676" w:name="_Toc128579"/>
      <w:bookmarkStart w:id="7677" w:name="_Toc128973"/>
      <w:bookmarkStart w:id="7678" w:name="_Toc129367"/>
      <w:bookmarkStart w:id="7679" w:name="_Toc129761"/>
      <w:bookmarkStart w:id="7680" w:name="_Toc130154"/>
      <w:bookmarkStart w:id="7681" w:name="_Toc130548"/>
      <w:bookmarkStart w:id="7682" w:name="_Toc130942"/>
      <w:bookmarkStart w:id="7683" w:name="_Toc131336"/>
      <w:bookmarkStart w:id="7684" w:name="_Toc289231"/>
      <w:bookmarkStart w:id="7685" w:name="_Toc338397"/>
      <w:bookmarkStart w:id="7686" w:name="_Toc705829"/>
      <w:bookmarkStart w:id="7687" w:name="_Toc706815"/>
      <w:bookmarkStart w:id="7688" w:name="_Toc709124"/>
      <w:bookmarkStart w:id="7689" w:name="_Toc710489"/>
      <w:bookmarkStart w:id="7690" w:name="_Toc970509"/>
      <w:bookmarkStart w:id="7691" w:name="_Toc970884"/>
      <w:bookmarkStart w:id="7692" w:name="_Toc1135584"/>
      <w:bookmarkStart w:id="7693" w:name="_Toc1165898"/>
      <w:bookmarkStart w:id="7694" w:name="_Toc1207963"/>
      <w:bookmarkStart w:id="7695" w:name="_Toc1408579"/>
      <w:bookmarkStart w:id="7696" w:name="_Toc533172340"/>
      <w:bookmarkStart w:id="7697" w:name="_Toc534451603"/>
      <w:bookmarkStart w:id="7698" w:name="_Toc534451876"/>
      <w:bookmarkStart w:id="7699" w:name="_Toc534452149"/>
      <w:bookmarkStart w:id="7700" w:name="_Toc534452989"/>
      <w:bookmarkStart w:id="7701" w:name="_Toc534629415"/>
      <w:bookmarkStart w:id="7702" w:name="_Toc534629689"/>
      <w:bookmarkStart w:id="7703" w:name="_Toc534649458"/>
      <w:bookmarkStart w:id="7704" w:name="_Toc534715517"/>
      <w:bookmarkStart w:id="7705" w:name="_Toc534734655"/>
      <w:bookmarkStart w:id="7706" w:name="_Toc534734931"/>
      <w:bookmarkStart w:id="7707" w:name="_Toc536717596"/>
      <w:bookmarkStart w:id="7708" w:name="_Toc536862773"/>
      <w:bookmarkStart w:id="7709" w:name="_Toc536864141"/>
      <w:bookmarkStart w:id="7710" w:name="_Toc536864528"/>
      <w:bookmarkStart w:id="7711" w:name="_Toc536865029"/>
      <w:bookmarkStart w:id="7712" w:name="_Toc536865344"/>
      <w:bookmarkStart w:id="7713" w:name="_Toc536865659"/>
      <w:bookmarkStart w:id="7714" w:name="_Toc536865974"/>
      <w:bookmarkStart w:id="7715" w:name="_Toc536866289"/>
      <w:bookmarkStart w:id="7716" w:name="_Toc536866604"/>
      <w:bookmarkStart w:id="7717" w:name="_Toc536866919"/>
      <w:bookmarkStart w:id="7718" w:name="_Toc536867234"/>
      <w:bookmarkStart w:id="7719" w:name="_Toc536867549"/>
      <w:bookmarkStart w:id="7720" w:name="_Toc536867832"/>
      <w:bookmarkStart w:id="7721" w:name="_Toc536868115"/>
      <w:bookmarkStart w:id="7722" w:name="_Toc536869012"/>
      <w:bookmarkStart w:id="7723" w:name="_Toc536869343"/>
      <w:bookmarkStart w:id="7724" w:name="_Toc128186"/>
      <w:bookmarkStart w:id="7725" w:name="_Toc128580"/>
      <w:bookmarkStart w:id="7726" w:name="_Toc128974"/>
      <w:bookmarkStart w:id="7727" w:name="_Toc129368"/>
      <w:bookmarkStart w:id="7728" w:name="_Toc129762"/>
      <w:bookmarkStart w:id="7729" w:name="_Toc130155"/>
      <w:bookmarkStart w:id="7730" w:name="_Toc130549"/>
      <w:bookmarkStart w:id="7731" w:name="_Toc130943"/>
      <w:bookmarkStart w:id="7732" w:name="_Toc131337"/>
      <w:bookmarkStart w:id="7733" w:name="_Toc289232"/>
      <w:bookmarkStart w:id="7734" w:name="_Toc338398"/>
      <w:bookmarkStart w:id="7735" w:name="_Toc705830"/>
      <w:bookmarkStart w:id="7736" w:name="_Toc706816"/>
      <w:bookmarkStart w:id="7737" w:name="_Toc709125"/>
      <w:bookmarkStart w:id="7738" w:name="_Toc710490"/>
      <w:bookmarkStart w:id="7739" w:name="_Toc970510"/>
      <w:bookmarkStart w:id="7740" w:name="_Toc970885"/>
      <w:bookmarkStart w:id="7741" w:name="_Toc1135585"/>
      <w:bookmarkStart w:id="7742" w:name="_Toc1165899"/>
      <w:bookmarkStart w:id="7743" w:name="_Toc1207964"/>
      <w:bookmarkStart w:id="7744" w:name="_Toc1408580"/>
      <w:bookmarkStart w:id="7745" w:name="_Toc533172341"/>
      <w:bookmarkStart w:id="7746" w:name="_Toc534451604"/>
      <w:bookmarkStart w:id="7747" w:name="_Toc534451877"/>
      <w:bookmarkStart w:id="7748" w:name="_Toc534452150"/>
      <w:bookmarkStart w:id="7749" w:name="_Toc534452990"/>
      <w:bookmarkStart w:id="7750" w:name="_Toc534629416"/>
      <w:bookmarkStart w:id="7751" w:name="_Toc534629690"/>
      <w:bookmarkStart w:id="7752" w:name="_Toc534649459"/>
      <w:bookmarkStart w:id="7753" w:name="_Toc534715518"/>
      <w:bookmarkStart w:id="7754" w:name="_Toc534734656"/>
      <w:bookmarkStart w:id="7755" w:name="_Toc534734932"/>
      <w:bookmarkStart w:id="7756" w:name="_Toc536717597"/>
      <w:bookmarkStart w:id="7757" w:name="_Toc536862774"/>
      <w:bookmarkStart w:id="7758" w:name="_Toc536864142"/>
      <w:bookmarkStart w:id="7759" w:name="_Toc536864529"/>
      <w:bookmarkStart w:id="7760" w:name="_Toc536865030"/>
      <w:bookmarkStart w:id="7761" w:name="_Toc536865345"/>
      <w:bookmarkStart w:id="7762" w:name="_Toc536865660"/>
      <w:bookmarkStart w:id="7763" w:name="_Toc536865975"/>
      <w:bookmarkStart w:id="7764" w:name="_Toc536866290"/>
      <w:bookmarkStart w:id="7765" w:name="_Toc536866605"/>
      <w:bookmarkStart w:id="7766" w:name="_Toc536866920"/>
      <w:bookmarkStart w:id="7767" w:name="_Toc536867235"/>
      <w:bookmarkStart w:id="7768" w:name="_Toc536867550"/>
      <w:bookmarkStart w:id="7769" w:name="_Toc536867833"/>
      <w:bookmarkStart w:id="7770" w:name="_Toc536868116"/>
      <w:bookmarkStart w:id="7771" w:name="_Toc536869013"/>
      <w:bookmarkStart w:id="7772" w:name="_Toc536869344"/>
      <w:bookmarkStart w:id="7773" w:name="_Toc128187"/>
      <w:bookmarkStart w:id="7774" w:name="_Toc128581"/>
      <w:bookmarkStart w:id="7775" w:name="_Toc128975"/>
      <w:bookmarkStart w:id="7776" w:name="_Toc129369"/>
      <w:bookmarkStart w:id="7777" w:name="_Toc129763"/>
      <w:bookmarkStart w:id="7778" w:name="_Toc130156"/>
      <w:bookmarkStart w:id="7779" w:name="_Toc130550"/>
      <w:bookmarkStart w:id="7780" w:name="_Toc130944"/>
      <w:bookmarkStart w:id="7781" w:name="_Toc131338"/>
      <w:bookmarkStart w:id="7782" w:name="_Toc289233"/>
      <w:bookmarkStart w:id="7783" w:name="_Toc338399"/>
      <w:bookmarkStart w:id="7784" w:name="_Toc705831"/>
      <w:bookmarkStart w:id="7785" w:name="_Toc706817"/>
      <w:bookmarkStart w:id="7786" w:name="_Toc709126"/>
      <w:bookmarkStart w:id="7787" w:name="_Toc710491"/>
      <w:bookmarkStart w:id="7788" w:name="_Toc970511"/>
      <w:bookmarkStart w:id="7789" w:name="_Toc970886"/>
      <w:bookmarkStart w:id="7790" w:name="_Toc1135586"/>
      <w:bookmarkStart w:id="7791" w:name="_Toc1165900"/>
      <w:bookmarkStart w:id="7792" w:name="_Toc1207965"/>
      <w:bookmarkStart w:id="7793" w:name="_Toc1408581"/>
      <w:bookmarkStart w:id="7794" w:name="_Toc533172342"/>
      <w:bookmarkStart w:id="7795" w:name="_Toc534451605"/>
      <w:bookmarkStart w:id="7796" w:name="_Toc534451878"/>
      <w:bookmarkStart w:id="7797" w:name="_Toc534452151"/>
      <w:bookmarkStart w:id="7798" w:name="_Toc534452991"/>
      <w:bookmarkStart w:id="7799" w:name="_Toc534629417"/>
      <w:bookmarkStart w:id="7800" w:name="_Toc534629691"/>
      <w:bookmarkStart w:id="7801" w:name="_Toc534649460"/>
      <w:bookmarkStart w:id="7802" w:name="_Toc534715519"/>
      <w:bookmarkStart w:id="7803" w:name="_Toc534734657"/>
      <w:bookmarkStart w:id="7804" w:name="_Toc534734933"/>
      <w:bookmarkStart w:id="7805" w:name="_Toc536717598"/>
      <w:bookmarkStart w:id="7806" w:name="_Toc536862775"/>
      <w:bookmarkStart w:id="7807" w:name="_Toc536864143"/>
      <w:bookmarkStart w:id="7808" w:name="_Toc536864530"/>
      <w:bookmarkStart w:id="7809" w:name="_Toc536865031"/>
      <w:bookmarkStart w:id="7810" w:name="_Toc536865346"/>
      <w:bookmarkStart w:id="7811" w:name="_Toc536865661"/>
      <w:bookmarkStart w:id="7812" w:name="_Toc536865976"/>
      <w:bookmarkStart w:id="7813" w:name="_Toc536866291"/>
      <w:bookmarkStart w:id="7814" w:name="_Toc536866606"/>
      <w:bookmarkStart w:id="7815" w:name="_Toc536866921"/>
      <w:bookmarkStart w:id="7816" w:name="_Toc536867236"/>
      <w:bookmarkStart w:id="7817" w:name="_Toc536867551"/>
      <w:bookmarkStart w:id="7818" w:name="_Toc536867834"/>
      <w:bookmarkStart w:id="7819" w:name="_Toc536868117"/>
      <w:bookmarkStart w:id="7820" w:name="_Toc536869014"/>
      <w:bookmarkStart w:id="7821" w:name="_Toc536869345"/>
      <w:bookmarkStart w:id="7822" w:name="_Toc128188"/>
      <w:bookmarkStart w:id="7823" w:name="_Toc128582"/>
      <w:bookmarkStart w:id="7824" w:name="_Toc128976"/>
      <w:bookmarkStart w:id="7825" w:name="_Toc129370"/>
      <w:bookmarkStart w:id="7826" w:name="_Toc129764"/>
      <w:bookmarkStart w:id="7827" w:name="_Toc130157"/>
      <w:bookmarkStart w:id="7828" w:name="_Toc130551"/>
      <w:bookmarkStart w:id="7829" w:name="_Toc130945"/>
      <w:bookmarkStart w:id="7830" w:name="_Toc131339"/>
      <w:bookmarkStart w:id="7831" w:name="_Toc289234"/>
      <w:bookmarkStart w:id="7832" w:name="_Toc338400"/>
      <w:bookmarkStart w:id="7833" w:name="_Toc705832"/>
      <w:bookmarkStart w:id="7834" w:name="_Toc706818"/>
      <w:bookmarkStart w:id="7835" w:name="_Toc709127"/>
      <w:bookmarkStart w:id="7836" w:name="_Toc710492"/>
      <w:bookmarkStart w:id="7837" w:name="_Toc970512"/>
      <w:bookmarkStart w:id="7838" w:name="_Toc970887"/>
      <w:bookmarkStart w:id="7839" w:name="_Toc1135587"/>
      <w:bookmarkStart w:id="7840" w:name="_Toc1165901"/>
      <w:bookmarkStart w:id="7841" w:name="_Toc1207966"/>
      <w:bookmarkStart w:id="7842" w:name="_Toc1408582"/>
      <w:bookmarkStart w:id="7843" w:name="_Toc533172343"/>
      <w:bookmarkStart w:id="7844" w:name="_Toc534451606"/>
      <w:bookmarkStart w:id="7845" w:name="_Toc534451879"/>
      <w:bookmarkStart w:id="7846" w:name="_Toc534452152"/>
      <w:bookmarkStart w:id="7847" w:name="_Toc534452992"/>
      <w:bookmarkStart w:id="7848" w:name="_Toc534629418"/>
      <w:bookmarkStart w:id="7849" w:name="_Toc534629692"/>
      <w:bookmarkStart w:id="7850" w:name="_Toc534649461"/>
      <w:bookmarkStart w:id="7851" w:name="_Toc534715520"/>
      <w:bookmarkStart w:id="7852" w:name="_Toc534734658"/>
      <w:bookmarkStart w:id="7853" w:name="_Toc534734934"/>
      <w:bookmarkStart w:id="7854" w:name="_Toc536717599"/>
      <w:bookmarkStart w:id="7855" w:name="_Toc536862776"/>
      <w:bookmarkStart w:id="7856" w:name="_Toc536864144"/>
      <w:bookmarkStart w:id="7857" w:name="_Toc536864531"/>
      <w:bookmarkStart w:id="7858" w:name="_Toc536865032"/>
      <w:bookmarkStart w:id="7859" w:name="_Toc536865347"/>
      <w:bookmarkStart w:id="7860" w:name="_Toc536865662"/>
      <w:bookmarkStart w:id="7861" w:name="_Toc536865977"/>
      <w:bookmarkStart w:id="7862" w:name="_Toc536866292"/>
      <w:bookmarkStart w:id="7863" w:name="_Toc536866607"/>
      <w:bookmarkStart w:id="7864" w:name="_Toc536866922"/>
      <w:bookmarkStart w:id="7865" w:name="_Toc536867237"/>
      <w:bookmarkStart w:id="7866" w:name="_Toc536867552"/>
      <w:bookmarkStart w:id="7867" w:name="_Toc536867835"/>
      <w:bookmarkStart w:id="7868" w:name="_Toc536868118"/>
      <w:bookmarkStart w:id="7869" w:name="_Toc536869015"/>
      <w:bookmarkStart w:id="7870" w:name="_Toc536869346"/>
      <w:bookmarkStart w:id="7871" w:name="_Toc128189"/>
      <w:bookmarkStart w:id="7872" w:name="_Toc128583"/>
      <w:bookmarkStart w:id="7873" w:name="_Toc128977"/>
      <w:bookmarkStart w:id="7874" w:name="_Toc129371"/>
      <w:bookmarkStart w:id="7875" w:name="_Toc129765"/>
      <w:bookmarkStart w:id="7876" w:name="_Toc130158"/>
      <w:bookmarkStart w:id="7877" w:name="_Toc130552"/>
      <w:bookmarkStart w:id="7878" w:name="_Toc130946"/>
      <w:bookmarkStart w:id="7879" w:name="_Toc131340"/>
      <w:bookmarkStart w:id="7880" w:name="_Toc289235"/>
      <w:bookmarkStart w:id="7881" w:name="_Toc338401"/>
      <w:bookmarkStart w:id="7882" w:name="_Toc705833"/>
      <w:bookmarkStart w:id="7883" w:name="_Toc706819"/>
      <w:bookmarkStart w:id="7884" w:name="_Toc709128"/>
      <w:bookmarkStart w:id="7885" w:name="_Toc710493"/>
      <w:bookmarkStart w:id="7886" w:name="_Toc970513"/>
      <w:bookmarkStart w:id="7887" w:name="_Toc970888"/>
      <w:bookmarkStart w:id="7888" w:name="_Toc1135588"/>
      <w:bookmarkStart w:id="7889" w:name="_Toc1165902"/>
      <w:bookmarkStart w:id="7890" w:name="_Toc1207967"/>
      <w:bookmarkStart w:id="7891" w:name="_Toc1408583"/>
      <w:bookmarkStart w:id="7892" w:name="_Toc533172344"/>
      <w:bookmarkStart w:id="7893" w:name="_Toc534451607"/>
      <w:bookmarkStart w:id="7894" w:name="_Toc534451880"/>
      <w:bookmarkStart w:id="7895" w:name="_Toc534452153"/>
      <w:bookmarkStart w:id="7896" w:name="_Toc534452993"/>
      <w:bookmarkStart w:id="7897" w:name="_Toc534629419"/>
      <w:bookmarkStart w:id="7898" w:name="_Toc534629693"/>
      <w:bookmarkStart w:id="7899" w:name="_Toc534649462"/>
      <w:bookmarkStart w:id="7900" w:name="_Toc534715521"/>
      <w:bookmarkStart w:id="7901" w:name="_Toc534734659"/>
      <w:bookmarkStart w:id="7902" w:name="_Toc534734935"/>
      <w:bookmarkStart w:id="7903" w:name="_Toc536717600"/>
      <w:bookmarkStart w:id="7904" w:name="_Toc536862777"/>
      <w:bookmarkStart w:id="7905" w:name="_Toc536864145"/>
      <w:bookmarkStart w:id="7906" w:name="_Toc536864532"/>
      <w:bookmarkStart w:id="7907" w:name="_Toc536865033"/>
      <w:bookmarkStart w:id="7908" w:name="_Toc536865348"/>
      <w:bookmarkStart w:id="7909" w:name="_Toc536865663"/>
      <w:bookmarkStart w:id="7910" w:name="_Toc536865978"/>
      <w:bookmarkStart w:id="7911" w:name="_Toc536866293"/>
      <w:bookmarkStart w:id="7912" w:name="_Toc536866608"/>
      <w:bookmarkStart w:id="7913" w:name="_Toc536866923"/>
      <w:bookmarkStart w:id="7914" w:name="_Toc536867238"/>
      <w:bookmarkStart w:id="7915" w:name="_Toc536867553"/>
      <w:bookmarkStart w:id="7916" w:name="_Toc536867836"/>
      <w:bookmarkStart w:id="7917" w:name="_Toc536868119"/>
      <w:bookmarkStart w:id="7918" w:name="_Toc536869016"/>
      <w:bookmarkStart w:id="7919" w:name="_Toc536869347"/>
      <w:bookmarkStart w:id="7920" w:name="_Toc128190"/>
      <w:bookmarkStart w:id="7921" w:name="_Toc128584"/>
      <w:bookmarkStart w:id="7922" w:name="_Toc128978"/>
      <w:bookmarkStart w:id="7923" w:name="_Toc129372"/>
      <w:bookmarkStart w:id="7924" w:name="_Toc129766"/>
      <w:bookmarkStart w:id="7925" w:name="_Toc130159"/>
      <w:bookmarkStart w:id="7926" w:name="_Toc130553"/>
      <w:bookmarkStart w:id="7927" w:name="_Toc130947"/>
      <w:bookmarkStart w:id="7928" w:name="_Toc131341"/>
      <w:bookmarkStart w:id="7929" w:name="_Toc289236"/>
      <w:bookmarkStart w:id="7930" w:name="_Toc338402"/>
      <w:bookmarkStart w:id="7931" w:name="_Toc705834"/>
      <w:bookmarkStart w:id="7932" w:name="_Toc706820"/>
      <w:bookmarkStart w:id="7933" w:name="_Toc709129"/>
      <w:bookmarkStart w:id="7934" w:name="_Toc710494"/>
      <w:bookmarkStart w:id="7935" w:name="_Toc970514"/>
      <w:bookmarkStart w:id="7936" w:name="_Toc970889"/>
      <w:bookmarkStart w:id="7937" w:name="_Toc1135589"/>
      <w:bookmarkStart w:id="7938" w:name="_Toc1165903"/>
      <w:bookmarkStart w:id="7939" w:name="_Toc1207968"/>
      <w:bookmarkStart w:id="7940" w:name="_Toc1408584"/>
      <w:bookmarkStart w:id="7941" w:name="_Toc533172345"/>
      <w:bookmarkStart w:id="7942" w:name="_Toc534451608"/>
      <w:bookmarkStart w:id="7943" w:name="_Toc534451881"/>
      <w:bookmarkStart w:id="7944" w:name="_Toc534452154"/>
      <w:bookmarkStart w:id="7945" w:name="_Toc534452994"/>
      <w:bookmarkStart w:id="7946" w:name="_Toc534629420"/>
      <w:bookmarkStart w:id="7947" w:name="_Toc534629694"/>
      <w:bookmarkStart w:id="7948" w:name="_Toc534649463"/>
      <w:bookmarkStart w:id="7949" w:name="_Toc534715522"/>
      <w:bookmarkStart w:id="7950" w:name="_Toc534734660"/>
      <w:bookmarkStart w:id="7951" w:name="_Toc534734936"/>
      <w:bookmarkStart w:id="7952" w:name="_Toc536717601"/>
      <w:bookmarkStart w:id="7953" w:name="_Toc536862778"/>
      <w:bookmarkStart w:id="7954" w:name="_Toc536864146"/>
      <w:bookmarkStart w:id="7955" w:name="_Toc536864533"/>
      <w:bookmarkStart w:id="7956" w:name="_Toc536865034"/>
      <w:bookmarkStart w:id="7957" w:name="_Toc536865349"/>
      <w:bookmarkStart w:id="7958" w:name="_Toc536865664"/>
      <w:bookmarkStart w:id="7959" w:name="_Toc536865979"/>
      <w:bookmarkStart w:id="7960" w:name="_Toc536866294"/>
      <w:bookmarkStart w:id="7961" w:name="_Toc536866609"/>
      <w:bookmarkStart w:id="7962" w:name="_Toc536866924"/>
      <w:bookmarkStart w:id="7963" w:name="_Toc536867239"/>
      <w:bookmarkStart w:id="7964" w:name="_Toc536867554"/>
      <w:bookmarkStart w:id="7965" w:name="_Toc536867837"/>
      <w:bookmarkStart w:id="7966" w:name="_Toc536868120"/>
      <w:bookmarkStart w:id="7967" w:name="_Toc536869017"/>
      <w:bookmarkStart w:id="7968" w:name="_Toc536869348"/>
      <w:bookmarkStart w:id="7969" w:name="_Toc128191"/>
      <w:bookmarkStart w:id="7970" w:name="_Toc128585"/>
      <w:bookmarkStart w:id="7971" w:name="_Toc128979"/>
      <w:bookmarkStart w:id="7972" w:name="_Toc129373"/>
      <w:bookmarkStart w:id="7973" w:name="_Toc129767"/>
      <w:bookmarkStart w:id="7974" w:name="_Toc130160"/>
      <w:bookmarkStart w:id="7975" w:name="_Toc130554"/>
      <w:bookmarkStart w:id="7976" w:name="_Toc130948"/>
      <w:bookmarkStart w:id="7977" w:name="_Toc131342"/>
      <w:bookmarkStart w:id="7978" w:name="_Toc289237"/>
      <w:bookmarkStart w:id="7979" w:name="_Toc338403"/>
      <w:bookmarkStart w:id="7980" w:name="_Toc705835"/>
      <w:bookmarkStart w:id="7981" w:name="_Toc706821"/>
      <w:bookmarkStart w:id="7982" w:name="_Toc709130"/>
      <w:bookmarkStart w:id="7983" w:name="_Toc710495"/>
      <w:bookmarkStart w:id="7984" w:name="_Toc970515"/>
      <w:bookmarkStart w:id="7985" w:name="_Toc970890"/>
      <w:bookmarkStart w:id="7986" w:name="_Toc1135590"/>
      <w:bookmarkStart w:id="7987" w:name="_Toc1165904"/>
      <w:bookmarkStart w:id="7988" w:name="_Toc1207969"/>
      <w:bookmarkStart w:id="7989" w:name="_Toc1408585"/>
      <w:bookmarkStart w:id="7990" w:name="_Toc533172346"/>
      <w:bookmarkStart w:id="7991" w:name="_Toc534451609"/>
      <w:bookmarkStart w:id="7992" w:name="_Toc534451882"/>
      <w:bookmarkStart w:id="7993" w:name="_Toc534452155"/>
      <w:bookmarkStart w:id="7994" w:name="_Toc534452995"/>
      <w:bookmarkStart w:id="7995" w:name="_Toc534629421"/>
      <w:bookmarkStart w:id="7996" w:name="_Toc534629695"/>
      <w:bookmarkStart w:id="7997" w:name="_Toc534649464"/>
      <w:bookmarkStart w:id="7998" w:name="_Toc534715523"/>
      <w:bookmarkStart w:id="7999" w:name="_Toc534734661"/>
      <w:bookmarkStart w:id="8000" w:name="_Toc534734937"/>
      <w:bookmarkStart w:id="8001" w:name="_Toc536717602"/>
      <w:bookmarkStart w:id="8002" w:name="_Toc536862779"/>
      <w:bookmarkStart w:id="8003" w:name="_Toc536864147"/>
      <w:bookmarkStart w:id="8004" w:name="_Toc536864534"/>
      <w:bookmarkStart w:id="8005" w:name="_Toc536865035"/>
      <w:bookmarkStart w:id="8006" w:name="_Toc536865350"/>
      <w:bookmarkStart w:id="8007" w:name="_Toc536865665"/>
      <w:bookmarkStart w:id="8008" w:name="_Toc536865980"/>
      <w:bookmarkStart w:id="8009" w:name="_Toc536866295"/>
      <w:bookmarkStart w:id="8010" w:name="_Toc536866610"/>
      <w:bookmarkStart w:id="8011" w:name="_Toc536866925"/>
      <w:bookmarkStart w:id="8012" w:name="_Toc536867240"/>
      <w:bookmarkStart w:id="8013" w:name="_Toc536867555"/>
      <w:bookmarkStart w:id="8014" w:name="_Toc536867838"/>
      <w:bookmarkStart w:id="8015" w:name="_Toc536868121"/>
      <w:bookmarkStart w:id="8016" w:name="_Toc536869018"/>
      <w:bookmarkStart w:id="8017" w:name="_Toc536869349"/>
      <w:bookmarkStart w:id="8018" w:name="_Toc128192"/>
      <w:bookmarkStart w:id="8019" w:name="_Toc128586"/>
      <w:bookmarkStart w:id="8020" w:name="_Toc128980"/>
      <w:bookmarkStart w:id="8021" w:name="_Toc129374"/>
      <w:bookmarkStart w:id="8022" w:name="_Toc129768"/>
      <w:bookmarkStart w:id="8023" w:name="_Toc130161"/>
      <w:bookmarkStart w:id="8024" w:name="_Toc130555"/>
      <w:bookmarkStart w:id="8025" w:name="_Toc130949"/>
      <w:bookmarkStart w:id="8026" w:name="_Toc131343"/>
      <w:bookmarkStart w:id="8027" w:name="_Toc289238"/>
      <w:bookmarkStart w:id="8028" w:name="_Toc338404"/>
      <w:bookmarkStart w:id="8029" w:name="_Toc705836"/>
      <w:bookmarkStart w:id="8030" w:name="_Toc706822"/>
      <w:bookmarkStart w:id="8031" w:name="_Toc709131"/>
      <w:bookmarkStart w:id="8032" w:name="_Toc710496"/>
      <w:bookmarkStart w:id="8033" w:name="_Toc970516"/>
      <w:bookmarkStart w:id="8034" w:name="_Toc970891"/>
      <w:bookmarkStart w:id="8035" w:name="_Toc1135591"/>
      <w:bookmarkStart w:id="8036" w:name="_Toc1165905"/>
      <w:bookmarkStart w:id="8037" w:name="_Toc1207970"/>
      <w:bookmarkStart w:id="8038" w:name="_Toc1408586"/>
      <w:bookmarkStart w:id="8039" w:name="_Toc533172347"/>
      <w:bookmarkStart w:id="8040" w:name="_Toc534451610"/>
      <w:bookmarkStart w:id="8041" w:name="_Toc534451883"/>
      <w:bookmarkStart w:id="8042" w:name="_Toc534452156"/>
      <w:bookmarkStart w:id="8043" w:name="_Toc534452996"/>
      <w:bookmarkStart w:id="8044" w:name="_Toc534629422"/>
      <w:bookmarkStart w:id="8045" w:name="_Toc534629696"/>
      <w:bookmarkStart w:id="8046" w:name="_Toc534649465"/>
      <w:bookmarkStart w:id="8047" w:name="_Toc534715524"/>
      <w:bookmarkStart w:id="8048" w:name="_Toc534734662"/>
      <w:bookmarkStart w:id="8049" w:name="_Toc534734938"/>
      <w:bookmarkStart w:id="8050" w:name="_Toc536717603"/>
      <w:bookmarkStart w:id="8051" w:name="_Toc536862780"/>
      <w:bookmarkStart w:id="8052" w:name="_Toc536864148"/>
      <w:bookmarkStart w:id="8053" w:name="_Toc536864535"/>
      <w:bookmarkStart w:id="8054" w:name="_Toc536865036"/>
      <w:bookmarkStart w:id="8055" w:name="_Toc536865351"/>
      <w:bookmarkStart w:id="8056" w:name="_Toc536865666"/>
      <w:bookmarkStart w:id="8057" w:name="_Toc536865981"/>
      <w:bookmarkStart w:id="8058" w:name="_Toc536866296"/>
      <w:bookmarkStart w:id="8059" w:name="_Toc536866611"/>
      <w:bookmarkStart w:id="8060" w:name="_Toc536866926"/>
      <w:bookmarkStart w:id="8061" w:name="_Toc536867241"/>
      <w:bookmarkStart w:id="8062" w:name="_Toc536867556"/>
      <w:bookmarkStart w:id="8063" w:name="_Toc536867839"/>
      <w:bookmarkStart w:id="8064" w:name="_Toc536868122"/>
      <w:bookmarkStart w:id="8065" w:name="_Toc536869019"/>
      <w:bookmarkStart w:id="8066" w:name="_Toc536869350"/>
      <w:bookmarkStart w:id="8067" w:name="_Toc128193"/>
      <w:bookmarkStart w:id="8068" w:name="_Toc128587"/>
      <w:bookmarkStart w:id="8069" w:name="_Toc128981"/>
      <w:bookmarkStart w:id="8070" w:name="_Toc129375"/>
      <w:bookmarkStart w:id="8071" w:name="_Toc129769"/>
      <w:bookmarkStart w:id="8072" w:name="_Toc130162"/>
      <w:bookmarkStart w:id="8073" w:name="_Toc130556"/>
      <w:bookmarkStart w:id="8074" w:name="_Toc130950"/>
      <w:bookmarkStart w:id="8075" w:name="_Toc131344"/>
      <w:bookmarkStart w:id="8076" w:name="_Toc289239"/>
      <w:bookmarkStart w:id="8077" w:name="_Toc338405"/>
      <w:bookmarkStart w:id="8078" w:name="_Toc705837"/>
      <w:bookmarkStart w:id="8079" w:name="_Toc706823"/>
      <w:bookmarkStart w:id="8080" w:name="_Toc709132"/>
      <w:bookmarkStart w:id="8081" w:name="_Toc710497"/>
      <w:bookmarkStart w:id="8082" w:name="_Toc970517"/>
      <w:bookmarkStart w:id="8083" w:name="_Toc970892"/>
      <w:bookmarkStart w:id="8084" w:name="_Toc1135592"/>
      <w:bookmarkStart w:id="8085" w:name="_Toc1165906"/>
      <w:bookmarkStart w:id="8086" w:name="_Toc1207971"/>
      <w:bookmarkStart w:id="8087" w:name="_Toc1408587"/>
      <w:bookmarkStart w:id="8088" w:name="_Toc533172348"/>
      <w:bookmarkStart w:id="8089" w:name="_Toc534451611"/>
      <w:bookmarkStart w:id="8090" w:name="_Toc534451884"/>
      <w:bookmarkStart w:id="8091" w:name="_Toc534452157"/>
      <w:bookmarkStart w:id="8092" w:name="_Toc534452997"/>
      <w:bookmarkStart w:id="8093" w:name="_Toc534629423"/>
      <w:bookmarkStart w:id="8094" w:name="_Toc534629697"/>
      <w:bookmarkStart w:id="8095" w:name="_Toc534649466"/>
      <w:bookmarkStart w:id="8096" w:name="_Toc534715525"/>
      <w:bookmarkStart w:id="8097" w:name="_Toc534734663"/>
      <w:bookmarkStart w:id="8098" w:name="_Toc534734939"/>
      <w:bookmarkStart w:id="8099" w:name="_Toc536717604"/>
      <w:bookmarkStart w:id="8100" w:name="_Toc536862781"/>
      <w:bookmarkStart w:id="8101" w:name="_Toc536864149"/>
      <w:bookmarkStart w:id="8102" w:name="_Toc536864536"/>
      <w:bookmarkStart w:id="8103" w:name="_Toc536865037"/>
      <w:bookmarkStart w:id="8104" w:name="_Toc536865352"/>
      <w:bookmarkStart w:id="8105" w:name="_Toc536865667"/>
      <w:bookmarkStart w:id="8106" w:name="_Toc536865982"/>
      <w:bookmarkStart w:id="8107" w:name="_Toc536866297"/>
      <w:bookmarkStart w:id="8108" w:name="_Toc536866612"/>
      <w:bookmarkStart w:id="8109" w:name="_Toc536866927"/>
      <w:bookmarkStart w:id="8110" w:name="_Toc536867242"/>
      <w:bookmarkStart w:id="8111" w:name="_Toc536867557"/>
      <w:bookmarkStart w:id="8112" w:name="_Toc536867840"/>
      <w:bookmarkStart w:id="8113" w:name="_Toc536868123"/>
      <w:bookmarkStart w:id="8114" w:name="_Toc536869020"/>
      <w:bookmarkStart w:id="8115" w:name="_Toc536869351"/>
      <w:bookmarkStart w:id="8116" w:name="_Toc128194"/>
      <w:bookmarkStart w:id="8117" w:name="_Toc128588"/>
      <w:bookmarkStart w:id="8118" w:name="_Toc128982"/>
      <w:bookmarkStart w:id="8119" w:name="_Toc129376"/>
      <w:bookmarkStart w:id="8120" w:name="_Toc129770"/>
      <w:bookmarkStart w:id="8121" w:name="_Toc130163"/>
      <w:bookmarkStart w:id="8122" w:name="_Toc130557"/>
      <w:bookmarkStart w:id="8123" w:name="_Toc130951"/>
      <w:bookmarkStart w:id="8124" w:name="_Toc131345"/>
      <w:bookmarkStart w:id="8125" w:name="_Toc289240"/>
      <w:bookmarkStart w:id="8126" w:name="_Toc338406"/>
      <w:bookmarkStart w:id="8127" w:name="_Toc705838"/>
      <w:bookmarkStart w:id="8128" w:name="_Toc706824"/>
      <w:bookmarkStart w:id="8129" w:name="_Toc709133"/>
      <w:bookmarkStart w:id="8130" w:name="_Toc710498"/>
      <w:bookmarkStart w:id="8131" w:name="_Toc970518"/>
      <w:bookmarkStart w:id="8132" w:name="_Toc970893"/>
      <w:bookmarkStart w:id="8133" w:name="_Toc1135593"/>
      <w:bookmarkStart w:id="8134" w:name="_Toc1165907"/>
      <w:bookmarkStart w:id="8135" w:name="_Toc1207972"/>
      <w:bookmarkStart w:id="8136" w:name="_Toc1408588"/>
      <w:bookmarkStart w:id="8137" w:name="_Toc522209828"/>
      <w:bookmarkStart w:id="8138" w:name="_Toc522209934"/>
      <w:bookmarkStart w:id="8139" w:name="_Toc522211966"/>
      <w:bookmarkStart w:id="8140" w:name="_Toc522212708"/>
      <w:bookmarkStart w:id="8141" w:name="_Toc522279743"/>
      <w:bookmarkStart w:id="8142" w:name="_Toc522279744"/>
      <w:bookmarkStart w:id="8143" w:name="_Toc17934221"/>
      <w:bookmarkStart w:id="8144" w:name="_Toc50150400"/>
      <w:bookmarkStart w:id="8145" w:name="_Toc70886832"/>
      <w:bookmarkStart w:id="8146" w:name="_Toc108342383"/>
      <w:bookmarkStart w:id="8147" w:name="_Toc134197921"/>
      <w:bookmarkEnd w:id="7559"/>
      <w:bookmarkEnd w:id="7560"/>
      <w:bookmarkEnd w:id="7561"/>
      <w:bookmarkEnd w:id="7562"/>
      <w:bookmarkEnd w:id="7563"/>
      <w:bookmarkEnd w:id="7564"/>
      <w:bookmarkEnd w:id="7565"/>
      <w:bookmarkEnd w:id="7566"/>
      <w:bookmarkEnd w:id="7567"/>
      <w:bookmarkEnd w:id="7568"/>
      <w:bookmarkEnd w:id="7569"/>
      <w:bookmarkEnd w:id="7570"/>
      <w:bookmarkEnd w:id="7571"/>
      <w:bookmarkEnd w:id="7572"/>
      <w:bookmarkEnd w:id="7573"/>
      <w:bookmarkEnd w:id="7574"/>
      <w:bookmarkEnd w:id="7575"/>
      <w:bookmarkEnd w:id="7576"/>
      <w:bookmarkEnd w:id="7577"/>
      <w:bookmarkEnd w:id="7578"/>
      <w:bookmarkEnd w:id="7579"/>
      <w:bookmarkEnd w:id="7580"/>
      <w:bookmarkEnd w:id="7581"/>
      <w:bookmarkEnd w:id="7582"/>
      <w:bookmarkEnd w:id="7583"/>
      <w:bookmarkEnd w:id="7584"/>
      <w:bookmarkEnd w:id="7585"/>
      <w:bookmarkEnd w:id="7586"/>
      <w:bookmarkEnd w:id="7587"/>
      <w:bookmarkEnd w:id="7588"/>
      <w:bookmarkEnd w:id="7589"/>
      <w:bookmarkEnd w:id="7590"/>
      <w:bookmarkEnd w:id="7591"/>
      <w:bookmarkEnd w:id="7592"/>
      <w:bookmarkEnd w:id="7593"/>
      <w:bookmarkEnd w:id="7594"/>
      <w:bookmarkEnd w:id="7595"/>
      <w:bookmarkEnd w:id="7596"/>
      <w:bookmarkEnd w:id="7597"/>
      <w:bookmarkEnd w:id="7598"/>
      <w:bookmarkEnd w:id="7599"/>
      <w:bookmarkEnd w:id="7600"/>
      <w:bookmarkEnd w:id="7601"/>
      <w:bookmarkEnd w:id="7602"/>
      <w:bookmarkEnd w:id="7603"/>
      <w:bookmarkEnd w:id="7604"/>
      <w:bookmarkEnd w:id="7605"/>
      <w:bookmarkEnd w:id="7606"/>
      <w:bookmarkEnd w:id="7607"/>
      <w:bookmarkEnd w:id="7608"/>
      <w:bookmarkEnd w:id="7609"/>
      <w:bookmarkEnd w:id="7610"/>
      <w:bookmarkEnd w:id="7611"/>
      <w:bookmarkEnd w:id="7612"/>
      <w:bookmarkEnd w:id="7613"/>
      <w:bookmarkEnd w:id="7614"/>
      <w:bookmarkEnd w:id="7615"/>
      <w:bookmarkEnd w:id="7616"/>
      <w:bookmarkEnd w:id="7617"/>
      <w:bookmarkEnd w:id="7618"/>
      <w:bookmarkEnd w:id="7619"/>
      <w:bookmarkEnd w:id="7620"/>
      <w:bookmarkEnd w:id="7621"/>
      <w:bookmarkEnd w:id="7622"/>
      <w:bookmarkEnd w:id="7623"/>
      <w:bookmarkEnd w:id="7624"/>
      <w:bookmarkEnd w:id="7625"/>
      <w:bookmarkEnd w:id="7626"/>
      <w:bookmarkEnd w:id="7627"/>
      <w:bookmarkEnd w:id="7628"/>
      <w:bookmarkEnd w:id="7629"/>
      <w:bookmarkEnd w:id="7630"/>
      <w:bookmarkEnd w:id="7631"/>
      <w:bookmarkEnd w:id="7632"/>
      <w:bookmarkEnd w:id="7633"/>
      <w:bookmarkEnd w:id="7634"/>
      <w:bookmarkEnd w:id="7635"/>
      <w:bookmarkEnd w:id="7636"/>
      <w:bookmarkEnd w:id="7637"/>
      <w:bookmarkEnd w:id="7638"/>
      <w:bookmarkEnd w:id="7639"/>
      <w:bookmarkEnd w:id="7640"/>
      <w:bookmarkEnd w:id="7641"/>
      <w:bookmarkEnd w:id="7642"/>
      <w:bookmarkEnd w:id="7643"/>
      <w:bookmarkEnd w:id="7644"/>
      <w:bookmarkEnd w:id="7645"/>
      <w:bookmarkEnd w:id="7646"/>
      <w:bookmarkEnd w:id="7647"/>
      <w:bookmarkEnd w:id="7648"/>
      <w:bookmarkEnd w:id="7649"/>
      <w:bookmarkEnd w:id="7650"/>
      <w:bookmarkEnd w:id="7651"/>
      <w:bookmarkEnd w:id="7652"/>
      <w:bookmarkEnd w:id="7653"/>
      <w:bookmarkEnd w:id="7654"/>
      <w:bookmarkEnd w:id="7655"/>
      <w:bookmarkEnd w:id="7656"/>
      <w:bookmarkEnd w:id="7657"/>
      <w:bookmarkEnd w:id="7658"/>
      <w:bookmarkEnd w:id="7659"/>
      <w:bookmarkEnd w:id="7660"/>
      <w:bookmarkEnd w:id="7661"/>
      <w:bookmarkEnd w:id="7662"/>
      <w:bookmarkEnd w:id="7663"/>
      <w:bookmarkEnd w:id="7664"/>
      <w:bookmarkEnd w:id="7665"/>
      <w:bookmarkEnd w:id="7666"/>
      <w:bookmarkEnd w:id="7667"/>
      <w:bookmarkEnd w:id="7668"/>
      <w:bookmarkEnd w:id="7669"/>
      <w:bookmarkEnd w:id="7670"/>
      <w:bookmarkEnd w:id="7671"/>
      <w:bookmarkEnd w:id="7672"/>
      <w:bookmarkEnd w:id="7673"/>
      <w:bookmarkEnd w:id="7674"/>
      <w:bookmarkEnd w:id="7675"/>
      <w:bookmarkEnd w:id="7676"/>
      <w:bookmarkEnd w:id="7677"/>
      <w:bookmarkEnd w:id="7678"/>
      <w:bookmarkEnd w:id="7679"/>
      <w:bookmarkEnd w:id="7680"/>
      <w:bookmarkEnd w:id="7681"/>
      <w:bookmarkEnd w:id="7682"/>
      <w:bookmarkEnd w:id="7683"/>
      <w:bookmarkEnd w:id="7684"/>
      <w:bookmarkEnd w:id="7685"/>
      <w:bookmarkEnd w:id="7686"/>
      <w:bookmarkEnd w:id="7687"/>
      <w:bookmarkEnd w:id="7688"/>
      <w:bookmarkEnd w:id="7689"/>
      <w:bookmarkEnd w:id="7690"/>
      <w:bookmarkEnd w:id="7691"/>
      <w:bookmarkEnd w:id="7692"/>
      <w:bookmarkEnd w:id="7693"/>
      <w:bookmarkEnd w:id="7694"/>
      <w:bookmarkEnd w:id="7695"/>
      <w:bookmarkEnd w:id="7696"/>
      <w:bookmarkEnd w:id="7697"/>
      <w:bookmarkEnd w:id="7698"/>
      <w:bookmarkEnd w:id="7699"/>
      <w:bookmarkEnd w:id="7700"/>
      <w:bookmarkEnd w:id="7701"/>
      <w:bookmarkEnd w:id="7702"/>
      <w:bookmarkEnd w:id="7703"/>
      <w:bookmarkEnd w:id="7704"/>
      <w:bookmarkEnd w:id="7705"/>
      <w:bookmarkEnd w:id="7706"/>
      <w:bookmarkEnd w:id="7707"/>
      <w:bookmarkEnd w:id="7708"/>
      <w:bookmarkEnd w:id="7709"/>
      <w:bookmarkEnd w:id="7710"/>
      <w:bookmarkEnd w:id="7711"/>
      <w:bookmarkEnd w:id="7712"/>
      <w:bookmarkEnd w:id="7713"/>
      <w:bookmarkEnd w:id="7714"/>
      <w:bookmarkEnd w:id="7715"/>
      <w:bookmarkEnd w:id="7716"/>
      <w:bookmarkEnd w:id="7717"/>
      <w:bookmarkEnd w:id="7718"/>
      <w:bookmarkEnd w:id="7719"/>
      <w:bookmarkEnd w:id="7720"/>
      <w:bookmarkEnd w:id="7721"/>
      <w:bookmarkEnd w:id="7722"/>
      <w:bookmarkEnd w:id="7723"/>
      <w:bookmarkEnd w:id="7724"/>
      <w:bookmarkEnd w:id="7725"/>
      <w:bookmarkEnd w:id="7726"/>
      <w:bookmarkEnd w:id="7727"/>
      <w:bookmarkEnd w:id="7728"/>
      <w:bookmarkEnd w:id="7729"/>
      <w:bookmarkEnd w:id="7730"/>
      <w:bookmarkEnd w:id="7731"/>
      <w:bookmarkEnd w:id="7732"/>
      <w:bookmarkEnd w:id="7733"/>
      <w:bookmarkEnd w:id="7734"/>
      <w:bookmarkEnd w:id="7735"/>
      <w:bookmarkEnd w:id="7736"/>
      <w:bookmarkEnd w:id="7737"/>
      <w:bookmarkEnd w:id="7738"/>
      <w:bookmarkEnd w:id="7739"/>
      <w:bookmarkEnd w:id="7740"/>
      <w:bookmarkEnd w:id="7741"/>
      <w:bookmarkEnd w:id="7742"/>
      <w:bookmarkEnd w:id="7743"/>
      <w:bookmarkEnd w:id="7744"/>
      <w:bookmarkEnd w:id="7745"/>
      <w:bookmarkEnd w:id="7746"/>
      <w:bookmarkEnd w:id="7747"/>
      <w:bookmarkEnd w:id="7748"/>
      <w:bookmarkEnd w:id="7749"/>
      <w:bookmarkEnd w:id="7750"/>
      <w:bookmarkEnd w:id="7751"/>
      <w:bookmarkEnd w:id="7752"/>
      <w:bookmarkEnd w:id="7753"/>
      <w:bookmarkEnd w:id="7754"/>
      <w:bookmarkEnd w:id="7755"/>
      <w:bookmarkEnd w:id="7756"/>
      <w:bookmarkEnd w:id="7757"/>
      <w:bookmarkEnd w:id="7758"/>
      <w:bookmarkEnd w:id="7759"/>
      <w:bookmarkEnd w:id="7760"/>
      <w:bookmarkEnd w:id="7761"/>
      <w:bookmarkEnd w:id="7762"/>
      <w:bookmarkEnd w:id="7763"/>
      <w:bookmarkEnd w:id="7764"/>
      <w:bookmarkEnd w:id="7765"/>
      <w:bookmarkEnd w:id="7766"/>
      <w:bookmarkEnd w:id="7767"/>
      <w:bookmarkEnd w:id="7768"/>
      <w:bookmarkEnd w:id="7769"/>
      <w:bookmarkEnd w:id="7770"/>
      <w:bookmarkEnd w:id="7771"/>
      <w:bookmarkEnd w:id="7772"/>
      <w:bookmarkEnd w:id="7773"/>
      <w:bookmarkEnd w:id="7774"/>
      <w:bookmarkEnd w:id="7775"/>
      <w:bookmarkEnd w:id="7776"/>
      <w:bookmarkEnd w:id="7777"/>
      <w:bookmarkEnd w:id="7778"/>
      <w:bookmarkEnd w:id="7779"/>
      <w:bookmarkEnd w:id="7780"/>
      <w:bookmarkEnd w:id="7781"/>
      <w:bookmarkEnd w:id="7782"/>
      <w:bookmarkEnd w:id="7783"/>
      <w:bookmarkEnd w:id="7784"/>
      <w:bookmarkEnd w:id="7785"/>
      <w:bookmarkEnd w:id="7786"/>
      <w:bookmarkEnd w:id="7787"/>
      <w:bookmarkEnd w:id="7788"/>
      <w:bookmarkEnd w:id="7789"/>
      <w:bookmarkEnd w:id="7790"/>
      <w:bookmarkEnd w:id="7791"/>
      <w:bookmarkEnd w:id="7792"/>
      <w:bookmarkEnd w:id="7793"/>
      <w:bookmarkEnd w:id="7794"/>
      <w:bookmarkEnd w:id="7795"/>
      <w:bookmarkEnd w:id="7796"/>
      <w:bookmarkEnd w:id="7797"/>
      <w:bookmarkEnd w:id="7798"/>
      <w:bookmarkEnd w:id="7799"/>
      <w:bookmarkEnd w:id="7800"/>
      <w:bookmarkEnd w:id="7801"/>
      <w:bookmarkEnd w:id="7802"/>
      <w:bookmarkEnd w:id="7803"/>
      <w:bookmarkEnd w:id="7804"/>
      <w:bookmarkEnd w:id="7805"/>
      <w:bookmarkEnd w:id="7806"/>
      <w:bookmarkEnd w:id="7807"/>
      <w:bookmarkEnd w:id="7808"/>
      <w:bookmarkEnd w:id="7809"/>
      <w:bookmarkEnd w:id="7810"/>
      <w:bookmarkEnd w:id="7811"/>
      <w:bookmarkEnd w:id="7812"/>
      <w:bookmarkEnd w:id="7813"/>
      <w:bookmarkEnd w:id="7814"/>
      <w:bookmarkEnd w:id="7815"/>
      <w:bookmarkEnd w:id="7816"/>
      <w:bookmarkEnd w:id="7817"/>
      <w:bookmarkEnd w:id="7818"/>
      <w:bookmarkEnd w:id="7819"/>
      <w:bookmarkEnd w:id="7820"/>
      <w:bookmarkEnd w:id="7821"/>
      <w:bookmarkEnd w:id="7822"/>
      <w:bookmarkEnd w:id="7823"/>
      <w:bookmarkEnd w:id="7824"/>
      <w:bookmarkEnd w:id="7825"/>
      <w:bookmarkEnd w:id="7826"/>
      <w:bookmarkEnd w:id="7827"/>
      <w:bookmarkEnd w:id="7828"/>
      <w:bookmarkEnd w:id="7829"/>
      <w:bookmarkEnd w:id="7830"/>
      <w:bookmarkEnd w:id="7831"/>
      <w:bookmarkEnd w:id="7832"/>
      <w:bookmarkEnd w:id="7833"/>
      <w:bookmarkEnd w:id="7834"/>
      <w:bookmarkEnd w:id="7835"/>
      <w:bookmarkEnd w:id="7836"/>
      <w:bookmarkEnd w:id="7837"/>
      <w:bookmarkEnd w:id="7838"/>
      <w:bookmarkEnd w:id="7839"/>
      <w:bookmarkEnd w:id="7840"/>
      <w:bookmarkEnd w:id="7841"/>
      <w:bookmarkEnd w:id="7842"/>
      <w:bookmarkEnd w:id="7843"/>
      <w:bookmarkEnd w:id="7844"/>
      <w:bookmarkEnd w:id="7845"/>
      <w:bookmarkEnd w:id="7846"/>
      <w:bookmarkEnd w:id="7847"/>
      <w:bookmarkEnd w:id="7848"/>
      <w:bookmarkEnd w:id="7849"/>
      <w:bookmarkEnd w:id="7850"/>
      <w:bookmarkEnd w:id="7851"/>
      <w:bookmarkEnd w:id="7852"/>
      <w:bookmarkEnd w:id="7853"/>
      <w:bookmarkEnd w:id="7854"/>
      <w:bookmarkEnd w:id="7855"/>
      <w:bookmarkEnd w:id="7856"/>
      <w:bookmarkEnd w:id="7857"/>
      <w:bookmarkEnd w:id="7858"/>
      <w:bookmarkEnd w:id="7859"/>
      <w:bookmarkEnd w:id="7860"/>
      <w:bookmarkEnd w:id="7861"/>
      <w:bookmarkEnd w:id="7862"/>
      <w:bookmarkEnd w:id="7863"/>
      <w:bookmarkEnd w:id="7864"/>
      <w:bookmarkEnd w:id="7865"/>
      <w:bookmarkEnd w:id="7866"/>
      <w:bookmarkEnd w:id="7867"/>
      <w:bookmarkEnd w:id="7868"/>
      <w:bookmarkEnd w:id="7869"/>
      <w:bookmarkEnd w:id="7870"/>
      <w:bookmarkEnd w:id="7871"/>
      <w:bookmarkEnd w:id="7872"/>
      <w:bookmarkEnd w:id="7873"/>
      <w:bookmarkEnd w:id="7874"/>
      <w:bookmarkEnd w:id="7875"/>
      <w:bookmarkEnd w:id="7876"/>
      <w:bookmarkEnd w:id="7877"/>
      <w:bookmarkEnd w:id="7878"/>
      <w:bookmarkEnd w:id="7879"/>
      <w:bookmarkEnd w:id="7880"/>
      <w:bookmarkEnd w:id="7881"/>
      <w:bookmarkEnd w:id="7882"/>
      <w:bookmarkEnd w:id="7883"/>
      <w:bookmarkEnd w:id="7884"/>
      <w:bookmarkEnd w:id="7885"/>
      <w:bookmarkEnd w:id="7886"/>
      <w:bookmarkEnd w:id="7887"/>
      <w:bookmarkEnd w:id="7888"/>
      <w:bookmarkEnd w:id="7889"/>
      <w:bookmarkEnd w:id="7890"/>
      <w:bookmarkEnd w:id="7891"/>
      <w:bookmarkEnd w:id="7892"/>
      <w:bookmarkEnd w:id="7893"/>
      <w:bookmarkEnd w:id="7894"/>
      <w:bookmarkEnd w:id="7895"/>
      <w:bookmarkEnd w:id="7896"/>
      <w:bookmarkEnd w:id="7897"/>
      <w:bookmarkEnd w:id="7898"/>
      <w:bookmarkEnd w:id="7899"/>
      <w:bookmarkEnd w:id="7900"/>
      <w:bookmarkEnd w:id="7901"/>
      <w:bookmarkEnd w:id="7902"/>
      <w:bookmarkEnd w:id="7903"/>
      <w:bookmarkEnd w:id="7904"/>
      <w:bookmarkEnd w:id="7905"/>
      <w:bookmarkEnd w:id="7906"/>
      <w:bookmarkEnd w:id="7907"/>
      <w:bookmarkEnd w:id="7908"/>
      <w:bookmarkEnd w:id="7909"/>
      <w:bookmarkEnd w:id="7910"/>
      <w:bookmarkEnd w:id="7911"/>
      <w:bookmarkEnd w:id="7912"/>
      <w:bookmarkEnd w:id="7913"/>
      <w:bookmarkEnd w:id="7914"/>
      <w:bookmarkEnd w:id="7915"/>
      <w:bookmarkEnd w:id="7916"/>
      <w:bookmarkEnd w:id="7917"/>
      <w:bookmarkEnd w:id="7918"/>
      <w:bookmarkEnd w:id="7919"/>
      <w:bookmarkEnd w:id="7920"/>
      <w:bookmarkEnd w:id="7921"/>
      <w:bookmarkEnd w:id="7922"/>
      <w:bookmarkEnd w:id="7923"/>
      <w:bookmarkEnd w:id="7924"/>
      <w:bookmarkEnd w:id="7925"/>
      <w:bookmarkEnd w:id="7926"/>
      <w:bookmarkEnd w:id="7927"/>
      <w:bookmarkEnd w:id="7928"/>
      <w:bookmarkEnd w:id="7929"/>
      <w:bookmarkEnd w:id="7930"/>
      <w:bookmarkEnd w:id="7931"/>
      <w:bookmarkEnd w:id="7932"/>
      <w:bookmarkEnd w:id="7933"/>
      <w:bookmarkEnd w:id="7934"/>
      <w:bookmarkEnd w:id="7935"/>
      <w:bookmarkEnd w:id="7936"/>
      <w:bookmarkEnd w:id="7937"/>
      <w:bookmarkEnd w:id="7938"/>
      <w:bookmarkEnd w:id="7939"/>
      <w:bookmarkEnd w:id="7940"/>
      <w:bookmarkEnd w:id="7941"/>
      <w:bookmarkEnd w:id="7942"/>
      <w:bookmarkEnd w:id="7943"/>
      <w:bookmarkEnd w:id="7944"/>
      <w:bookmarkEnd w:id="7945"/>
      <w:bookmarkEnd w:id="7946"/>
      <w:bookmarkEnd w:id="7947"/>
      <w:bookmarkEnd w:id="7948"/>
      <w:bookmarkEnd w:id="7949"/>
      <w:bookmarkEnd w:id="7950"/>
      <w:bookmarkEnd w:id="7951"/>
      <w:bookmarkEnd w:id="7952"/>
      <w:bookmarkEnd w:id="7953"/>
      <w:bookmarkEnd w:id="7954"/>
      <w:bookmarkEnd w:id="7955"/>
      <w:bookmarkEnd w:id="7956"/>
      <w:bookmarkEnd w:id="7957"/>
      <w:bookmarkEnd w:id="7958"/>
      <w:bookmarkEnd w:id="7959"/>
      <w:bookmarkEnd w:id="7960"/>
      <w:bookmarkEnd w:id="7961"/>
      <w:bookmarkEnd w:id="7962"/>
      <w:bookmarkEnd w:id="7963"/>
      <w:bookmarkEnd w:id="7964"/>
      <w:bookmarkEnd w:id="7965"/>
      <w:bookmarkEnd w:id="7966"/>
      <w:bookmarkEnd w:id="7967"/>
      <w:bookmarkEnd w:id="7968"/>
      <w:bookmarkEnd w:id="7969"/>
      <w:bookmarkEnd w:id="7970"/>
      <w:bookmarkEnd w:id="7971"/>
      <w:bookmarkEnd w:id="7972"/>
      <w:bookmarkEnd w:id="7973"/>
      <w:bookmarkEnd w:id="7974"/>
      <w:bookmarkEnd w:id="7975"/>
      <w:bookmarkEnd w:id="7976"/>
      <w:bookmarkEnd w:id="7977"/>
      <w:bookmarkEnd w:id="7978"/>
      <w:bookmarkEnd w:id="7979"/>
      <w:bookmarkEnd w:id="7980"/>
      <w:bookmarkEnd w:id="7981"/>
      <w:bookmarkEnd w:id="7982"/>
      <w:bookmarkEnd w:id="7983"/>
      <w:bookmarkEnd w:id="7984"/>
      <w:bookmarkEnd w:id="7985"/>
      <w:bookmarkEnd w:id="7986"/>
      <w:bookmarkEnd w:id="7987"/>
      <w:bookmarkEnd w:id="7988"/>
      <w:bookmarkEnd w:id="7989"/>
      <w:bookmarkEnd w:id="7990"/>
      <w:bookmarkEnd w:id="7991"/>
      <w:bookmarkEnd w:id="7992"/>
      <w:bookmarkEnd w:id="7993"/>
      <w:bookmarkEnd w:id="7994"/>
      <w:bookmarkEnd w:id="7995"/>
      <w:bookmarkEnd w:id="7996"/>
      <w:bookmarkEnd w:id="7997"/>
      <w:bookmarkEnd w:id="7998"/>
      <w:bookmarkEnd w:id="7999"/>
      <w:bookmarkEnd w:id="8000"/>
      <w:bookmarkEnd w:id="8001"/>
      <w:bookmarkEnd w:id="8002"/>
      <w:bookmarkEnd w:id="8003"/>
      <w:bookmarkEnd w:id="8004"/>
      <w:bookmarkEnd w:id="8005"/>
      <w:bookmarkEnd w:id="8006"/>
      <w:bookmarkEnd w:id="8007"/>
      <w:bookmarkEnd w:id="8008"/>
      <w:bookmarkEnd w:id="8009"/>
      <w:bookmarkEnd w:id="8010"/>
      <w:bookmarkEnd w:id="8011"/>
      <w:bookmarkEnd w:id="8012"/>
      <w:bookmarkEnd w:id="8013"/>
      <w:bookmarkEnd w:id="8014"/>
      <w:bookmarkEnd w:id="8015"/>
      <w:bookmarkEnd w:id="8016"/>
      <w:bookmarkEnd w:id="8017"/>
      <w:bookmarkEnd w:id="8018"/>
      <w:bookmarkEnd w:id="8019"/>
      <w:bookmarkEnd w:id="8020"/>
      <w:bookmarkEnd w:id="8021"/>
      <w:bookmarkEnd w:id="8022"/>
      <w:bookmarkEnd w:id="8023"/>
      <w:bookmarkEnd w:id="8024"/>
      <w:bookmarkEnd w:id="8025"/>
      <w:bookmarkEnd w:id="8026"/>
      <w:bookmarkEnd w:id="8027"/>
      <w:bookmarkEnd w:id="8028"/>
      <w:bookmarkEnd w:id="8029"/>
      <w:bookmarkEnd w:id="8030"/>
      <w:bookmarkEnd w:id="8031"/>
      <w:bookmarkEnd w:id="8032"/>
      <w:bookmarkEnd w:id="8033"/>
      <w:bookmarkEnd w:id="8034"/>
      <w:bookmarkEnd w:id="8035"/>
      <w:bookmarkEnd w:id="8036"/>
      <w:bookmarkEnd w:id="8037"/>
      <w:bookmarkEnd w:id="8038"/>
      <w:bookmarkEnd w:id="8039"/>
      <w:bookmarkEnd w:id="8040"/>
      <w:bookmarkEnd w:id="8041"/>
      <w:bookmarkEnd w:id="8042"/>
      <w:bookmarkEnd w:id="8043"/>
      <w:bookmarkEnd w:id="8044"/>
      <w:bookmarkEnd w:id="8045"/>
      <w:bookmarkEnd w:id="8046"/>
      <w:bookmarkEnd w:id="8047"/>
      <w:bookmarkEnd w:id="8048"/>
      <w:bookmarkEnd w:id="8049"/>
      <w:bookmarkEnd w:id="8050"/>
      <w:bookmarkEnd w:id="8051"/>
      <w:bookmarkEnd w:id="8052"/>
      <w:bookmarkEnd w:id="8053"/>
      <w:bookmarkEnd w:id="8054"/>
      <w:bookmarkEnd w:id="8055"/>
      <w:bookmarkEnd w:id="8056"/>
      <w:bookmarkEnd w:id="8057"/>
      <w:bookmarkEnd w:id="8058"/>
      <w:bookmarkEnd w:id="8059"/>
      <w:bookmarkEnd w:id="8060"/>
      <w:bookmarkEnd w:id="8061"/>
      <w:bookmarkEnd w:id="8062"/>
      <w:bookmarkEnd w:id="8063"/>
      <w:bookmarkEnd w:id="8064"/>
      <w:bookmarkEnd w:id="8065"/>
      <w:bookmarkEnd w:id="8066"/>
      <w:bookmarkEnd w:id="8067"/>
      <w:bookmarkEnd w:id="8068"/>
      <w:bookmarkEnd w:id="8069"/>
      <w:bookmarkEnd w:id="8070"/>
      <w:bookmarkEnd w:id="8071"/>
      <w:bookmarkEnd w:id="8072"/>
      <w:bookmarkEnd w:id="8073"/>
      <w:bookmarkEnd w:id="8074"/>
      <w:bookmarkEnd w:id="8075"/>
      <w:bookmarkEnd w:id="8076"/>
      <w:bookmarkEnd w:id="8077"/>
      <w:bookmarkEnd w:id="8078"/>
      <w:bookmarkEnd w:id="8079"/>
      <w:bookmarkEnd w:id="8080"/>
      <w:bookmarkEnd w:id="8081"/>
      <w:bookmarkEnd w:id="8082"/>
      <w:bookmarkEnd w:id="8083"/>
      <w:bookmarkEnd w:id="8084"/>
      <w:bookmarkEnd w:id="8085"/>
      <w:bookmarkEnd w:id="8086"/>
      <w:bookmarkEnd w:id="8087"/>
      <w:bookmarkEnd w:id="8088"/>
      <w:bookmarkEnd w:id="8089"/>
      <w:bookmarkEnd w:id="8090"/>
      <w:bookmarkEnd w:id="8091"/>
      <w:bookmarkEnd w:id="8092"/>
      <w:bookmarkEnd w:id="8093"/>
      <w:bookmarkEnd w:id="8094"/>
      <w:bookmarkEnd w:id="8095"/>
      <w:bookmarkEnd w:id="8096"/>
      <w:bookmarkEnd w:id="8097"/>
      <w:bookmarkEnd w:id="8098"/>
      <w:bookmarkEnd w:id="8099"/>
      <w:bookmarkEnd w:id="8100"/>
      <w:bookmarkEnd w:id="8101"/>
      <w:bookmarkEnd w:id="8102"/>
      <w:bookmarkEnd w:id="8103"/>
      <w:bookmarkEnd w:id="8104"/>
      <w:bookmarkEnd w:id="8105"/>
      <w:bookmarkEnd w:id="8106"/>
      <w:bookmarkEnd w:id="8107"/>
      <w:bookmarkEnd w:id="8108"/>
      <w:bookmarkEnd w:id="8109"/>
      <w:bookmarkEnd w:id="8110"/>
      <w:bookmarkEnd w:id="8111"/>
      <w:bookmarkEnd w:id="8112"/>
      <w:bookmarkEnd w:id="8113"/>
      <w:bookmarkEnd w:id="8114"/>
      <w:bookmarkEnd w:id="8115"/>
      <w:bookmarkEnd w:id="8116"/>
      <w:bookmarkEnd w:id="8117"/>
      <w:bookmarkEnd w:id="8118"/>
      <w:bookmarkEnd w:id="8119"/>
      <w:bookmarkEnd w:id="8120"/>
      <w:bookmarkEnd w:id="8121"/>
      <w:bookmarkEnd w:id="8122"/>
      <w:bookmarkEnd w:id="8123"/>
      <w:bookmarkEnd w:id="8124"/>
      <w:bookmarkEnd w:id="8125"/>
      <w:bookmarkEnd w:id="8126"/>
      <w:bookmarkEnd w:id="8127"/>
      <w:bookmarkEnd w:id="8128"/>
      <w:bookmarkEnd w:id="8129"/>
      <w:bookmarkEnd w:id="8130"/>
      <w:bookmarkEnd w:id="8131"/>
      <w:bookmarkEnd w:id="8132"/>
      <w:bookmarkEnd w:id="8133"/>
      <w:bookmarkEnd w:id="8134"/>
      <w:bookmarkEnd w:id="8135"/>
      <w:bookmarkEnd w:id="8136"/>
      <w:bookmarkEnd w:id="8137"/>
      <w:bookmarkEnd w:id="8138"/>
      <w:bookmarkEnd w:id="8139"/>
      <w:bookmarkEnd w:id="8140"/>
      <w:bookmarkEnd w:id="8141"/>
      <w:r w:rsidRPr="00E05E29">
        <w:t>Prestressed concrete</w:t>
      </w:r>
      <w:bookmarkEnd w:id="8142"/>
      <w:bookmarkEnd w:id="8143"/>
      <w:bookmarkEnd w:id="8144"/>
      <w:bookmarkEnd w:id="8145"/>
      <w:bookmarkEnd w:id="8146"/>
      <w:bookmarkEnd w:id="8147"/>
    </w:p>
    <w:p w14:paraId="706663FD" w14:textId="2AF07F6A" w:rsidR="009A5DA1" w:rsidRPr="00190DAA" w:rsidRDefault="009A5DA1" w:rsidP="0080187E">
      <w:pPr>
        <w:pStyle w:val="Clause"/>
        <w:numPr>
          <w:ilvl w:val="0"/>
          <w:numId w:val="346"/>
        </w:numPr>
      </w:pPr>
      <w:r w:rsidRPr="00E05E29">
        <w:t xml:space="preserve">Prestressed concrete beams and columns </w:t>
      </w:r>
      <w:r w:rsidRPr="00190DAA">
        <w:t>should be designed according to 10.5 and 10.6, adding to the calculated action effects the hyperstatic axial force and bending moment generated by prestress.</w:t>
      </w:r>
    </w:p>
    <w:p w14:paraId="2316DC52" w14:textId="6754C02D" w:rsidR="009A5DA1" w:rsidRPr="00190DAA" w:rsidRDefault="009A5DA1" w:rsidP="00724E4E">
      <w:pPr>
        <w:pStyle w:val="Clause"/>
      </w:pPr>
      <w:r w:rsidRPr="00190DAA">
        <w:t>In the design of prestressed concrete beams and columns, the vertical component of the seismic action should be taken into account according to 4.2(2).</w:t>
      </w:r>
    </w:p>
    <w:p w14:paraId="3F0EEF8F" w14:textId="395D60CE" w:rsidR="009A5DA1" w:rsidRPr="00E05E29" w:rsidRDefault="009A5DA1" w:rsidP="00724E4E">
      <w:pPr>
        <w:pStyle w:val="Clause"/>
      </w:pPr>
      <w:r w:rsidRPr="00190DAA">
        <w:t>Bonded prestressing tendons should not be used in</w:t>
      </w:r>
      <w:r w:rsidRPr="00E05E29">
        <w:t xml:space="preserve"> critical regions of primary seismic members.</w:t>
      </w:r>
    </w:p>
    <w:p w14:paraId="3B091C83" w14:textId="4E578C3C" w:rsidR="009A5DA1" w:rsidRPr="00E05E29" w:rsidRDefault="009A5DA1" w:rsidP="00724E4E">
      <w:pPr>
        <w:pStyle w:val="Clause"/>
      </w:pPr>
      <w:r w:rsidRPr="00E05E29">
        <w:t>Anchorage of the prestressing tendons (bonded or unbonded) should not be located in the critical regions of primary seismic members.</w:t>
      </w:r>
    </w:p>
    <w:p w14:paraId="6797A614" w14:textId="127F7C1D" w:rsidR="009A5DA1" w:rsidRPr="00E05E29" w:rsidRDefault="009A5DA1" w:rsidP="009A5DA1">
      <w:pPr>
        <w:pStyle w:val="Heading2"/>
      </w:pPr>
      <w:bookmarkStart w:id="8148" w:name="_Toc970520"/>
      <w:bookmarkStart w:id="8149" w:name="_Toc970895"/>
      <w:bookmarkStart w:id="8150" w:name="_Toc1135595"/>
      <w:bookmarkStart w:id="8151" w:name="_Toc1165909"/>
      <w:bookmarkStart w:id="8152" w:name="_Toc1207974"/>
      <w:bookmarkStart w:id="8153" w:name="_Toc1408590"/>
      <w:bookmarkStart w:id="8154" w:name="_Toc522279745"/>
      <w:bookmarkStart w:id="8155" w:name="_Toc17934222"/>
      <w:bookmarkStart w:id="8156" w:name="_Toc50150401"/>
      <w:bookmarkStart w:id="8157" w:name="_Toc70886833"/>
      <w:bookmarkStart w:id="8158" w:name="_Toc108342384"/>
      <w:bookmarkStart w:id="8159" w:name="_Toc134197922"/>
      <w:bookmarkEnd w:id="8148"/>
      <w:bookmarkEnd w:id="8149"/>
      <w:bookmarkEnd w:id="8150"/>
      <w:bookmarkEnd w:id="8151"/>
      <w:bookmarkEnd w:id="8152"/>
      <w:bookmarkEnd w:id="8153"/>
      <w:r w:rsidRPr="00E05E29">
        <w:t>Precast concrete structures</w:t>
      </w:r>
      <w:bookmarkEnd w:id="8154"/>
      <w:bookmarkEnd w:id="8155"/>
      <w:bookmarkEnd w:id="8156"/>
      <w:bookmarkEnd w:id="8157"/>
      <w:bookmarkEnd w:id="8158"/>
      <w:bookmarkEnd w:id="8159"/>
    </w:p>
    <w:p w14:paraId="3FCB3AF6" w14:textId="77777777" w:rsidR="009A5DA1" w:rsidRPr="00E05E29" w:rsidRDefault="009A5DA1" w:rsidP="009A5DA1">
      <w:pPr>
        <w:pStyle w:val="Heading3"/>
      </w:pPr>
      <w:bookmarkStart w:id="8160" w:name="_Toc522279746"/>
      <w:bookmarkStart w:id="8161" w:name="_Toc17934223"/>
      <w:bookmarkStart w:id="8162" w:name="_Toc50150402"/>
      <w:bookmarkStart w:id="8163" w:name="_Toc70886834"/>
      <w:bookmarkStart w:id="8164" w:name="_Toc108342385"/>
      <w:bookmarkStart w:id="8165" w:name="_Toc134197923"/>
      <w:r w:rsidRPr="00E05E29">
        <w:t xml:space="preserve">Structural types and behaviour factor </w:t>
      </w:r>
      <w:r w:rsidRPr="00E05E29">
        <w:rPr>
          <w:i/>
          <w:iCs/>
        </w:rPr>
        <w:t>q</w:t>
      </w:r>
      <w:bookmarkEnd w:id="8160"/>
      <w:bookmarkEnd w:id="8161"/>
      <w:bookmarkEnd w:id="8162"/>
      <w:bookmarkEnd w:id="8163"/>
      <w:bookmarkEnd w:id="8164"/>
      <w:bookmarkEnd w:id="8165"/>
    </w:p>
    <w:p w14:paraId="72A1C635" w14:textId="01418563" w:rsidR="009A5DA1" w:rsidRPr="00190DAA" w:rsidRDefault="009A5DA1" w:rsidP="0080187E">
      <w:pPr>
        <w:pStyle w:val="Clause"/>
        <w:numPr>
          <w:ilvl w:val="0"/>
          <w:numId w:val="347"/>
        </w:numPr>
        <w:rPr>
          <w:bCs/>
        </w:rPr>
      </w:pPr>
      <w:r w:rsidRPr="00190DAA">
        <w:rPr>
          <w:bCs/>
        </w:rPr>
        <w:t>10.14 should be applied to all structural types defined in 10.4.1, to wall panel structures and to cell structures (precast monolithic room cell structures). Structures may be made partly or fully of precast members.</w:t>
      </w:r>
    </w:p>
    <w:p w14:paraId="433DCD19" w14:textId="03612AE5" w:rsidR="009A5DA1" w:rsidRPr="00190DAA" w:rsidRDefault="009A5DA1" w:rsidP="00724E4E">
      <w:pPr>
        <w:pStyle w:val="Clause"/>
        <w:rPr>
          <w:bCs/>
        </w:rPr>
      </w:pPr>
      <w:r w:rsidRPr="00190DAA">
        <w:rPr>
          <w:bCs/>
        </w:rPr>
        <w:t>Beam to column joints should be considered as strong partial strength joints for moment resisting frames in Table 10.</w:t>
      </w:r>
      <w:r w:rsidR="00A5424C">
        <w:rPr>
          <w:bCs/>
        </w:rPr>
        <w:t>8</w:t>
      </w:r>
      <w:r w:rsidRPr="00190DAA">
        <w:rPr>
          <w:bCs/>
        </w:rPr>
        <w:t xml:space="preserve"> if they are character</w:t>
      </w:r>
      <w:r w:rsidR="00E10A24">
        <w:rPr>
          <w:bCs/>
        </w:rPr>
        <w:t>ize</w:t>
      </w:r>
      <w:r w:rsidRPr="00190DAA">
        <w:rPr>
          <w:bCs/>
        </w:rPr>
        <w:t xml:space="preserve">d by a design moment of resistance </w:t>
      </w:r>
      <w:r w:rsidRPr="00190DAA">
        <w:rPr>
          <w:bCs/>
          <w:i/>
          <w:iCs/>
        </w:rPr>
        <w:t>M</w:t>
      </w:r>
      <w:r w:rsidRPr="00190DAA">
        <w:rPr>
          <w:bCs/>
          <w:vertAlign w:val="subscript"/>
        </w:rPr>
        <w:t>Rd</w:t>
      </w:r>
      <w:r w:rsidRPr="00190DAA">
        <w:rPr>
          <w:bCs/>
        </w:rPr>
        <w:t xml:space="preserve"> greater than  </w:t>
      </w:r>
      <w:r w:rsidRPr="00190DAA">
        <w:rPr>
          <w:bCs/>
          <w:i/>
          <w:iCs/>
        </w:rPr>
        <w:t>M</w:t>
      </w:r>
      <w:r w:rsidRPr="00190DAA">
        <w:rPr>
          <w:bCs/>
          <w:vertAlign w:val="subscript"/>
        </w:rPr>
        <w:t>Rd,inf</w:t>
      </w:r>
      <w:r w:rsidRPr="00190DAA">
        <w:rPr>
          <w:bCs/>
        </w:rPr>
        <w:t xml:space="preserve">/2, where </w:t>
      </w:r>
      <w:r w:rsidRPr="00190DAA">
        <w:rPr>
          <w:bCs/>
          <w:i/>
          <w:iCs/>
        </w:rPr>
        <w:t>M</w:t>
      </w:r>
      <w:r w:rsidRPr="00190DAA">
        <w:rPr>
          <w:bCs/>
          <w:vertAlign w:val="subscript"/>
        </w:rPr>
        <w:t>Rd,inf</w:t>
      </w:r>
      <w:r w:rsidRPr="00190DAA">
        <w:rPr>
          <w:bCs/>
        </w:rPr>
        <w:t xml:space="preserve"> is the moment resistance at the bottom of the connected column; beam to column joints should be considered as weak partial strength joints for moment resisting frames in Table 10.</w:t>
      </w:r>
      <w:r w:rsidR="00A5424C">
        <w:rPr>
          <w:bCs/>
        </w:rPr>
        <w:t>8</w:t>
      </w:r>
      <w:r w:rsidRPr="00190DAA">
        <w:rPr>
          <w:bCs/>
        </w:rPr>
        <w:t xml:space="preserve"> if they are character</w:t>
      </w:r>
      <w:r w:rsidR="00E10A24">
        <w:rPr>
          <w:bCs/>
        </w:rPr>
        <w:t>ize</w:t>
      </w:r>
      <w:r w:rsidRPr="00190DAA">
        <w:rPr>
          <w:bCs/>
        </w:rPr>
        <w:t xml:space="preserve">d by a design moment of resistance </w:t>
      </w:r>
      <w:r w:rsidRPr="00190DAA">
        <w:rPr>
          <w:bCs/>
          <w:i/>
          <w:iCs/>
        </w:rPr>
        <w:t>M</w:t>
      </w:r>
      <w:r w:rsidRPr="00190DAA">
        <w:rPr>
          <w:bCs/>
          <w:vertAlign w:val="subscript"/>
        </w:rPr>
        <w:t>Rd</w:t>
      </w:r>
      <w:r w:rsidRPr="00190DAA">
        <w:rPr>
          <w:bCs/>
        </w:rPr>
        <w:t xml:space="preserve"> smaller than </w:t>
      </w:r>
      <w:r w:rsidRPr="00190DAA">
        <w:rPr>
          <w:bCs/>
          <w:i/>
          <w:iCs/>
        </w:rPr>
        <w:t>M</w:t>
      </w:r>
      <w:r w:rsidRPr="00190DAA">
        <w:rPr>
          <w:bCs/>
          <w:vertAlign w:val="subscript"/>
        </w:rPr>
        <w:t>Rd,inf</w:t>
      </w:r>
      <w:r w:rsidRPr="00190DAA">
        <w:rPr>
          <w:bCs/>
        </w:rPr>
        <w:t>/2.</w:t>
      </w:r>
    </w:p>
    <w:p w14:paraId="34F21D03" w14:textId="77777777" w:rsidR="009A5DA1" w:rsidRPr="00190DAA" w:rsidRDefault="009A5DA1" w:rsidP="008205AE">
      <w:pPr>
        <w:pStyle w:val="Notetext"/>
        <w:rPr>
          <w:bCs/>
        </w:rPr>
      </w:pPr>
      <w:r w:rsidRPr="00190DAA">
        <w:rPr>
          <w:bCs/>
        </w:rPr>
        <w:t>NOTE</w:t>
      </w:r>
      <w:r w:rsidRPr="00190DAA">
        <w:rPr>
          <w:bCs/>
        </w:rPr>
        <w:tab/>
        <w:t xml:space="preserve">Weak partial strength joints </w:t>
      </w:r>
      <w:r w:rsidRPr="00190DAA">
        <w:rPr>
          <w:rFonts w:eastAsia="Cambria,Bold" w:cstheme="minorHAnsi"/>
          <w:bCs/>
        </w:rPr>
        <w:t xml:space="preserve">developing negligible bending </w:t>
      </w:r>
      <w:r w:rsidRPr="00190DAA">
        <w:rPr>
          <w:bCs/>
        </w:rPr>
        <w:t>moments, like for instance dowel type joints, are called nominally pinned joints.</w:t>
      </w:r>
    </w:p>
    <w:p w14:paraId="474FC944" w14:textId="2327DAEE" w:rsidR="009A5DA1" w:rsidRPr="00190DAA" w:rsidRDefault="009A5DA1" w:rsidP="00724E4E">
      <w:pPr>
        <w:pStyle w:val="Clause"/>
        <w:rPr>
          <w:bCs/>
        </w:rPr>
      </w:pPr>
      <w:r w:rsidRPr="00190DAA">
        <w:rPr>
          <w:bCs/>
        </w:rPr>
        <w:t xml:space="preserve">The rotational capacity </w:t>
      </w:r>
      <w:r w:rsidRPr="00190DAA">
        <w:rPr>
          <w:bCs/>
          <w:i/>
          <w:iCs/>
        </w:rPr>
        <w:t>θ</w:t>
      </w:r>
      <w:r w:rsidRPr="00190DAA">
        <w:rPr>
          <w:bCs/>
          <w:vertAlign w:val="subscript"/>
        </w:rPr>
        <w:t>tot</w:t>
      </w:r>
      <w:r w:rsidRPr="00190DAA">
        <w:rPr>
          <w:bCs/>
        </w:rPr>
        <w:t xml:space="preserve"> of strong and weak partial strength joints for moment resisting frames should not be smaller than 25 mrad in DC2 and 35 mrad in DC3.</w:t>
      </w:r>
      <w:r w:rsidRPr="00190DAA">
        <w:rPr>
          <w:rFonts w:eastAsia="Cambria"/>
          <w:bCs/>
        </w:rPr>
        <w:t xml:space="preserve"> The rotational capacity </w:t>
      </w:r>
      <w:r w:rsidRPr="00190DAA">
        <w:rPr>
          <w:rFonts w:eastAsia="Cambria"/>
          <w:bCs/>
          <w:i/>
          <w:iCs/>
        </w:rPr>
        <w:t>θ</w:t>
      </w:r>
      <w:r w:rsidRPr="00190DAA">
        <w:rPr>
          <w:rFonts w:eastAsia="Cambria"/>
          <w:bCs/>
          <w:vertAlign w:val="subscript"/>
        </w:rPr>
        <w:t>tot</w:t>
      </w:r>
      <w:r w:rsidRPr="00190DAA">
        <w:rPr>
          <w:rFonts w:eastAsia="Cambria"/>
          <w:bCs/>
        </w:rPr>
        <w:t xml:space="preserve"> should be established by tests.</w:t>
      </w:r>
    </w:p>
    <w:p w14:paraId="5AE912FD" w14:textId="50A916E7" w:rsidR="009A5DA1" w:rsidRPr="00190DAA" w:rsidRDefault="009A5DA1" w:rsidP="008205AE">
      <w:pPr>
        <w:pStyle w:val="Notetext"/>
        <w:rPr>
          <w:bCs/>
        </w:rPr>
      </w:pPr>
      <w:r w:rsidRPr="00190DAA">
        <w:rPr>
          <w:bCs/>
        </w:rPr>
        <w:t>NOTE</w:t>
      </w:r>
      <w:r w:rsidRPr="00190DAA">
        <w:rPr>
          <w:bCs/>
        </w:rPr>
        <w:tab/>
        <w:t xml:space="preserve">The rotational capacity </w:t>
      </w:r>
      <w:r w:rsidRPr="00190DAA">
        <w:rPr>
          <w:bCs/>
          <w:i/>
          <w:iCs/>
        </w:rPr>
        <w:t>θ</w:t>
      </w:r>
      <w:r w:rsidRPr="00190DAA">
        <w:rPr>
          <w:bCs/>
          <w:vertAlign w:val="subscript"/>
        </w:rPr>
        <w:t>tot</w:t>
      </w:r>
      <w:r w:rsidRPr="00190DAA">
        <w:rPr>
          <w:bCs/>
        </w:rPr>
        <w:t xml:space="preserve"> can be defined experimentally using prCEN/TS</w:t>
      </w:r>
      <w:r w:rsidR="00A5424C">
        <w:rPr>
          <w:bCs/>
        </w:rPr>
        <w:t> </w:t>
      </w:r>
      <w:r w:rsidRPr="00190DAA">
        <w:rPr>
          <w:bCs/>
        </w:rPr>
        <w:t>1998-</w:t>
      </w:r>
      <w:r w:rsidR="00460A67">
        <w:rPr>
          <w:bCs/>
        </w:rPr>
        <w:t xml:space="preserve">1-101 </w:t>
      </w:r>
      <w:r w:rsidRPr="00190DAA">
        <w:rPr>
          <w:bCs/>
        </w:rPr>
        <w:t>loading protocol and acceptance criteria.</w:t>
      </w:r>
    </w:p>
    <w:p w14:paraId="3A8A5338" w14:textId="2F781121" w:rsidR="009A5DA1" w:rsidRPr="00E05E29" w:rsidRDefault="009A5DA1" w:rsidP="00724E4E">
      <w:pPr>
        <w:pStyle w:val="Clause"/>
      </w:pPr>
      <w:r w:rsidRPr="00E05E29">
        <w:t xml:space="preserve">The values of the behaviour factor components </w:t>
      </w:r>
      <w:r w:rsidRPr="00502341">
        <w:rPr>
          <w:i/>
          <w:iCs/>
        </w:rPr>
        <w:t>q</w:t>
      </w:r>
      <w:r w:rsidRPr="00502341">
        <w:rPr>
          <w:vertAlign w:val="subscript"/>
        </w:rPr>
        <w:t>R</w:t>
      </w:r>
      <w:r w:rsidRPr="00E05E29">
        <w:t xml:space="preserve">, </w:t>
      </w:r>
      <w:r w:rsidRPr="00502341">
        <w:rPr>
          <w:i/>
          <w:iCs/>
        </w:rPr>
        <w:t>q</w:t>
      </w:r>
      <w:r w:rsidRPr="00502341">
        <w:rPr>
          <w:vertAlign w:val="subscript"/>
        </w:rPr>
        <w:t>D</w:t>
      </w:r>
      <w:r w:rsidRPr="00E05E29">
        <w:t xml:space="preserve"> and </w:t>
      </w:r>
      <w:r w:rsidRPr="00502341">
        <w:rPr>
          <w:i/>
          <w:iCs/>
        </w:rPr>
        <w:t>q</w:t>
      </w:r>
      <w:r w:rsidRPr="00E05E29">
        <w:t xml:space="preserve"> defined in Table 10</w:t>
      </w:r>
      <w:r w:rsidRPr="00D6416E">
        <w:t>.</w:t>
      </w:r>
      <w:r w:rsidR="00A5424C">
        <w:t>8</w:t>
      </w:r>
      <w:r w:rsidRPr="00D6416E">
        <w:t xml:space="preserve"> </w:t>
      </w:r>
      <w:r w:rsidRPr="00E05E29">
        <w:t>should be applied.</w:t>
      </w:r>
    </w:p>
    <w:p w14:paraId="67A766FB" w14:textId="29BADB2D" w:rsidR="009A5DA1" w:rsidRPr="008205AE" w:rsidRDefault="009A5DA1" w:rsidP="009B7FB1">
      <w:pPr>
        <w:pStyle w:val="Tabletitle"/>
        <w:keepLines/>
      </w:pPr>
      <w:r w:rsidRPr="008205AE">
        <w:t xml:space="preserve">Table </w:t>
      </w:r>
      <w:r w:rsidR="008205AE">
        <w:t>10</w:t>
      </w:r>
      <w:r w:rsidRPr="008205AE">
        <w:t>.</w:t>
      </w:r>
      <w:r w:rsidR="00A5424C">
        <w:t>8</w:t>
      </w:r>
      <w:r w:rsidR="00502341">
        <w:t> </w:t>
      </w:r>
      <w:r w:rsidRPr="008205AE">
        <w:t>— Default values of the behaviour factors of precast concrete structures</w:t>
      </w:r>
    </w:p>
    <w:tbl>
      <w:tblPr>
        <w:tblW w:w="100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5068"/>
        <w:gridCol w:w="680"/>
        <w:gridCol w:w="681"/>
        <w:gridCol w:w="681"/>
        <w:gridCol w:w="681"/>
        <w:gridCol w:w="682"/>
      </w:tblGrid>
      <w:tr w:rsidR="00190DAA" w:rsidRPr="008205AE" w14:paraId="5CBF1D8A" w14:textId="77777777" w:rsidTr="002061E5">
        <w:trPr>
          <w:trHeight w:val="27"/>
          <w:jc w:val="center"/>
        </w:trPr>
        <w:tc>
          <w:tcPr>
            <w:tcW w:w="6627" w:type="dxa"/>
            <w:gridSpan w:val="2"/>
            <w:vMerge w:val="restart"/>
            <w:tcBorders>
              <w:top w:val="single" w:sz="4" w:space="0" w:color="auto"/>
              <w:left w:val="single" w:sz="4" w:space="0" w:color="auto"/>
              <w:right w:val="single" w:sz="4" w:space="0" w:color="auto"/>
            </w:tcBorders>
            <w:shd w:val="clear" w:color="auto" w:fill="auto"/>
            <w:vAlign w:val="center"/>
          </w:tcPr>
          <w:p w14:paraId="0DA19F28" w14:textId="67567848" w:rsidR="00190DAA" w:rsidRPr="00190DAA" w:rsidRDefault="00190DAA" w:rsidP="009B7FB1">
            <w:pPr>
              <w:keepNext/>
              <w:keepLines/>
              <w:spacing w:after="60"/>
              <w:rPr>
                <w:rFonts w:asciiTheme="majorHAnsi" w:hAnsiTheme="majorHAnsi"/>
                <w:b/>
                <w:bCs/>
                <w:sz w:val="20"/>
                <w:szCs w:val="20"/>
              </w:rPr>
            </w:pPr>
            <w:r w:rsidRPr="00190DAA">
              <w:rPr>
                <w:rFonts w:asciiTheme="majorHAnsi" w:hAnsiTheme="majorHAnsi"/>
                <w:b/>
                <w:bCs/>
                <w:sz w:val="20"/>
                <w:szCs w:val="20"/>
              </w:rPr>
              <w:t>Structural type</w:t>
            </w:r>
          </w:p>
        </w:tc>
        <w:tc>
          <w:tcPr>
            <w:tcW w:w="680" w:type="dxa"/>
            <w:tcBorders>
              <w:left w:val="single" w:sz="4" w:space="0" w:color="auto"/>
              <w:bottom w:val="nil"/>
            </w:tcBorders>
            <w:shd w:val="clear" w:color="auto" w:fill="auto"/>
            <w:vAlign w:val="center"/>
          </w:tcPr>
          <w:p w14:paraId="0C637263" w14:textId="77777777" w:rsidR="00190DAA" w:rsidRPr="00190DAA" w:rsidRDefault="00190DAA" w:rsidP="009B7FB1">
            <w:pPr>
              <w:keepNext/>
              <w:keepLines/>
              <w:spacing w:after="60"/>
              <w:jc w:val="center"/>
              <w:rPr>
                <w:rFonts w:asciiTheme="majorHAnsi" w:hAnsiTheme="majorHAnsi"/>
                <w:b/>
                <w:bCs/>
                <w:i/>
                <w:sz w:val="20"/>
                <w:szCs w:val="20"/>
              </w:rPr>
            </w:pPr>
            <w:r w:rsidRPr="00190DAA">
              <w:rPr>
                <w:rFonts w:asciiTheme="majorHAnsi" w:hAnsiTheme="majorHAnsi"/>
                <w:b/>
                <w:bCs/>
                <w:i/>
                <w:sz w:val="20"/>
                <w:szCs w:val="20"/>
              </w:rPr>
              <w:t>q</w:t>
            </w:r>
            <w:r w:rsidRPr="00190DAA">
              <w:rPr>
                <w:rFonts w:asciiTheme="majorHAnsi" w:hAnsiTheme="majorHAnsi"/>
                <w:b/>
                <w:bCs/>
                <w:sz w:val="20"/>
                <w:szCs w:val="20"/>
                <w:vertAlign w:val="subscript"/>
              </w:rPr>
              <w:t>R</w:t>
            </w:r>
          </w:p>
        </w:tc>
        <w:tc>
          <w:tcPr>
            <w:tcW w:w="1362" w:type="dxa"/>
            <w:gridSpan w:val="2"/>
            <w:shd w:val="clear" w:color="auto" w:fill="auto"/>
            <w:vAlign w:val="center"/>
          </w:tcPr>
          <w:p w14:paraId="5E2803EC" w14:textId="77777777" w:rsidR="00190DAA" w:rsidRPr="00190DAA" w:rsidRDefault="00190DAA" w:rsidP="009B7FB1">
            <w:pPr>
              <w:keepNext/>
              <w:keepLines/>
              <w:spacing w:after="60"/>
              <w:jc w:val="center"/>
              <w:rPr>
                <w:rFonts w:asciiTheme="majorHAnsi" w:hAnsiTheme="majorHAnsi"/>
                <w:b/>
                <w:bCs/>
                <w:i/>
                <w:sz w:val="20"/>
                <w:szCs w:val="20"/>
              </w:rPr>
            </w:pPr>
            <w:r w:rsidRPr="00190DAA">
              <w:rPr>
                <w:rFonts w:asciiTheme="majorHAnsi" w:hAnsiTheme="majorHAnsi"/>
                <w:b/>
                <w:bCs/>
                <w:i/>
                <w:sz w:val="20"/>
                <w:szCs w:val="20"/>
              </w:rPr>
              <w:t>q</w:t>
            </w:r>
            <w:r w:rsidRPr="00190DAA">
              <w:rPr>
                <w:rFonts w:asciiTheme="majorHAnsi" w:hAnsiTheme="majorHAnsi"/>
                <w:b/>
                <w:bCs/>
                <w:sz w:val="20"/>
                <w:szCs w:val="20"/>
                <w:vertAlign w:val="subscript"/>
              </w:rPr>
              <w:t>D</w:t>
            </w:r>
          </w:p>
        </w:tc>
        <w:tc>
          <w:tcPr>
            <w:tcW w:w="1363" w:type="dxa"/>
            <w:gridSpan w:val="2"/>
            <w:vAlign w:val="center"/>
          </w:tcPr>
          <w:p w14:paraId="402B6B45" w14:textId="77777777" w:rsidR="00190DAA" w:rsidRPr="00190DAA" w:rsidRDefault="00190DAA" w:rsidP="009B7FB1">
            <w:pPr>
              <w:keepNext/>
              <w:keepLines/>
              <w:spacing w:after="60"/>
              <w:jc w:val="center"/>
              <w:rPr>
                <w:rFonts w:asciiTheme="majorHAnsi" w:hAnsiTheme="majorHAnsi"/>
                <w:b/>
                <w:bCs/>
                <w:i/>
                <w:sz w:val="20"/>
                <w:szCs w:val="20"/>
              </w:rPr>
            </w:pPr>
            <w:r w:rsidRPr="00190DAA">
              <w:rPr>
                <w:rFonts w:asciiTheme="majorHAnsi" w:hAnsiTheme="majorHAnsi"/>
                <w:b/>
                <w:bCs/>
                <w:i/>
                <w:sz w:val="20"/>
                <w:szCs w:val="20"/>
              </w:rPr>
              <w:t>q = q</w:t>
            </w:r>
            <w:r w:rsidRPr="00190DAA">
              <w:rPr>
                <w:rFonts w:asciiTheme="majorHAnsi" w:hAnsiTheme="majorHAnsi"/>
                <w:b/>
                <w:bCs/>
                <w:sz w:val="20"/>
                <w:szCs w:val="20"/>
                <w:vertAlign w:val="subscript"/>
              </w:rPr>
              <w:t>R</w:t>
            </w:r>
            <w:r w:rsidRPr="00190DAA">
              <w:rPr>
                <w:rFonts w:asciiTheme="majorHAnsi" w:hAnsiTheme="majorHAnsi"/>
                <w:b/>
                <w:bCs/>
                <w:i/>
                <w:sz w:val="20"/>
                <w:szCs w:val="20"/>
              </w:rPr>
              <w:t> q</w:t>
            </w:r>
            <w:r w:rsidRPr="00190DAA">
              <w:rPr>
                <w:rFonts w:asciiTheme="majorHAnsi" w:hAnsiTheme="majorHAnsi"/>
                <w:b/>
                <w:bCs/>
                <w:sz w:val="20"/>
                <w:szCs w:val="20"/>
                <w:vertAlign w:val="subscript"/>
              </w:rPr>
              <w:t>S</w:t>
            </w:r>
            <w:r w:rsidRPr="00190DAA">
              <w:rPr>
                <w:rFonts w:asciiTheme="majorHAnsi" w:hAnsiTheme="majorHAnsi"/>
                <w:b/>
                <w:bCs/>
                <w:i/>
                <w:sz w:val="20"/>
                <w:szCs w:val="20"/>
              </w:rPr>
              <w:t> q</w:t>
            </w:r>
            <w:r w:rsidRPr="00190DAA">
              <w:rPr>
                <w:rFonts w:asciiTheme="majorHAnsi" w:hAnsiTheme="majorHAnsi"/>
                <w:b/>
                <w:bCs/>
                <w:sz w:val="20"/>
                <w:szCs w:val="20"/>
                <w:vertAlign w:val="subscript"/>
              </w:rPr>
              <w:t>D</w:t>
            </w:r>
          </w:p>
        </w:tc>
      </w:tr>
      <w:tr w:rsidR="00190DAA" w:rsidRPr="008205AE" w14:paraId="5DD712C8" w14:textId="77777777" w:rsidTr="002061E5">
        <w:trPr>
          <w:jc w:val="center"/>
        </w:trPr>
        <w:tc>
          <w:tcPr>
            <w:tcW w:w="6627" w:type="dxa"/>
            <w:gridSpan w:val="2"/>
            <w:vMerge/>
            <w:tcBorders>
              <w:left w:val="single" w:sz="4" w:space="0" w:color="auto"/>
              <w:bottom w:val="single" w:sz="4" w:space="0" w:color="auto"/>
              <w:right w:val="single" w:sz="4" w:space="0" w:color="auto"/>
            </w:tcBorders>
            <w:shd w:val="clear" w:color="auto" w:fill="auto"/>
          </w:tcPr>
          <w:p w14:paraId="02BD9A23" w14:textId="77777777" w:rsidR="00190DAA" w:rsidRPr="00190DAA" w:rsidRDefault="00190DAA" w:rsidP="009B7FB1">
            <w:pPr>
              <w:keepNext/>
              <w:keepLines/>
              <w:spacing w:after="60"/>
              <w:rPr>
                <w:rFonts w:asciiTheme="majorHAnsi" w:hAnsiTheme="majorHAnsi"/>
                <w:b/>
                <w:bCs/>
                <w:sz w:val="20"/>
                <w:szCs w:val="20"/>
              </w:rPr>
            </w:pPr>
          </w:p>
        </w:tc>
        <w:tc>
          <w:tcPr>
            <w:tcW w:w="680" w:type="dxa"/>
            <w:tcBorders>
              <w:top w:val="nil"/>
              <w:left w:val="single" w:sz="4" w:space="0" w:color="auto"/>
            </w:tcBorders>
            <w:shd w:val="clear" w:color="auto" w:fill="auto"/>
          </w:tcPr>
          <w:p w14:paraId="3ECED009" w14:textId="77777777" w:rsidR="00190DAA" w:rsidRPr="00190DAA" w:rsidRDefault="00190DAA" w:rsidP="009B7FB1">
            <w:pPr>
              <w:keepNext/>
              <w:keepLines/>
              <w:spacing w:after="60"/>
              <w:jc w:val="center"/>
              <w:rPr>
                <w:rFonts w:asciiTheme="majorHAnsi" w:hAnsiTheme="majorHAnsi"/>
                <w:b/>
                <w:bCs/>
                <w:sz w:val="20"/>
                <w:szCs w:val="20"/>
              </w:rPr>
            </w:pPr>
          </w:p>
        </w:tc>
        <w:tc>
          <w:tcPr>
            <w:tcW w:w="681" w:type="dxa"/>
            <w:shd w:val="clear" w:color="auto" w:fill="auto"/>
            <w:vAlign w:val="center"/>
          </w:tcPr>
          <w:p w14:paraId="1F0FC044" w14:textId="77777777" w:rsidR="00190DAA" w:rsidRPr="00190DAA" w:rsidRDefault="00190DAA" w:rsidP="009B7FB1">
            <w:pPr>
              <w:keepNext/>
              <w:keepLines/>
              <w:spacing w:after="60"/>
              <w:jc w:val="center"/>
              <w:rPr>
                <w:rFonts w:asciiTheme="majorHAnsi" w:hAnsiTheme="majorHAnsi"/>
                <w:b/>
                <w:bCs/>
                <w:sz w:val="20"/>
                <w:szCs w:val="20"/>
              </w:rPr>
            </w:pPr>
            <w:r w:rsidRPr="00190DAA">
              <w:rPr>
                <w:rFonts w:asciiTheme="majorHAnsi" w:hAnsiTheme="majorHAnsi"/>
                <w:b/>
                <w:bCs/>
                <w:sz w:val="20"/>
                <w:szCs w:val="20"/>
              </w:rPr>
              <w:t>DC2</w:t>
            </w:r>
          </w:p>
        </w:tc>
        <w:tc>
          <w:tcPr>
            <w:tcW w:w="681" w:type="dxa"/>
            <w:shd w:val="clear" w:color="auto" w:fill="auto"/>
            <w:vAlign w:val="center"/>
          </w:tcPr>
          <w:p w14:paraId="3A4FB6C3" w14:textId="77777777" w:rsidR="00190DAA" w:rsidRPr="00190DAA" w:rsidRDefault="00190DAA" w:rsidP="009B7FB1">
            <w:pPr>
              <w:keepNext/>
              <w:keepLines/>
              <w:spacing w:after="60"/>
              <w:jc w:val="center"/>
              <w:rPr>
                <w:rFonts w:asciiTheme="majorHAnsi" w:hAnsiTheme="majorHAnsi"/>
                <w:b/>
                <w:bCs/>
                <w:sz w:val="20"/>
                <w:szCs w:val="20"/>
              </w:rPr>
            </w:pPr>
            <w:r w:rsidRPr="00190DAA">
              <w:rPr>
                <w:rFonts w:asciiTheme="majorHAnsi" w:hAnsiTheme="majorHAnsi"/>
                <w:b/>
                <w:bCs/>
                <w:sz w:val="20"/>
                <w:szCs w:val="20"/>
              </w:rPr>
              <w:t>DC3</w:t>
            </w:r>
          </w:p>
        </w:tc>
        <w:tc>
          <w:tcPr>
            <w:tcW w:w="681" w:type="dxa"/>
            <w:vAlign w:val="center"/>
          </w:tcPr>
          <w:p w14:paraId="1F232A50" w14:textId="77777777" w:rsidR="00190DAA" w:rsidRPr="00190DAA" w:rsidRDefault="00190DAA" w:rsidP="009B7FB1">
            <w:pPr>
              <w:keepNext/>
              <w:keepLines/>
              <w:spacing w:after="60"/>
              <w:jc w:val="center"/>
              <w:rPr>
                <w:rFonts w:asciiTheme="majorHAnsi" w:hAnsiTheme="majorHAnsi"/>
                <w:b/>
                <w:bCs/>
                <w:sz w:val="20"/>
                <w:szCs w:val="20"/>
              </w:rPr>
            </w:pPr>
            <w:r w:rsidRPr="00190DAA">
              <w:rPr>
                <w:rFonts w:asciiTheme="majorHAnsi" w:hAnsiTheme="majorHAnsi"/>
                <w:b/>
                <w:bCs/>
                <w:sz w:val="20"/>
                <w:szCs w:val="20"/>
              </w:rPr>
              <w:t>DC2</w:t>
            </w:r>
          </w:p>
        </w:tc>
        <w:tc>
          <w:tcPr>
            <w:tcW w:w="682" w:type="dxa"/>
            <w:vAlign w:val="center"/>
          </w:tcPr>
          <w:p w14:paraId="231AFFE1" w14:textId="77777777" w:rsidR="00190DAA" w:rsidRPr="00190DAA" w:rsidRDefault="00190DAA" w:rsidP="009B7FB1">
            <w:pPr>
              <w:keepNext/>
              <w:keepLines/>
              <w:spacing w:after="60"/>
              <w:jc w:val="center"/>
              <w:rPr>
                <w:rFonts w:asciiTheme="majorHAnsi" w:hAnsiTheme="majorHAnsi"/>
                <w:b/>
                <w:bCs/>
                <w:sz w:val="20"/>
                <w:szCs w:val="20"/>
              </w:rPr>
            </w:pPr>
            <w:r w:rsidRPr="00190DAA">
              <w:rPr>
                <w:rFonts w:asciiTheme="majorHAnsi" w:hAnsiTheme="majorHAnsi"/>
                <w:b/>
                <w:bCs/>
                <w:sz w:val="20"/>
                <w:szCs w:val="20"/>
              </w:rPr>
              <w:t>DC3</w:t>
            </w:r>
          </w:p>
        </w:tc>
      </w:tr>
      <w:tr w:rsidR="009A5DA1" w:rsidRPr="008205AE" w14:paraId="4E8ADEAE" w14:textId="77777777" w:rsidTr="008205AE">
        <w:trPr>
          <w:jc w:val="center"/>
        </w:trPr>
        <w:tc>
          <w:tcPr>
            <w:tcW w:w="1559" w:type="dxa"/>
            <w:vMerge w:val="restart"/>
            <w:tcBorders>
              <w:top w:val="single" w:sz="4" w:space="0" w:color="auto"/>
            </w:tcBorders>
            <w:shd w:val="clear" w:color="auto" w:fill="auto"/>
            <w:vAlign w:val="center"/>
          </w:tcPr>
          <w:p w14:paraId="1EF87DC4" w14:textId="77777777" w:rsidR="009A5DA1" w:rsidRPr="008205AE" w:rsidRDefault="009A5DA1" w:rsidP="009B7FB1">
            <w:pPr>
              <w:keepNext/>
              <w:keepLines/>
              <w:rPr>
                <w:rFonts w:asciiTheme="majorHAnsi" w:hAnsiTheme="majorHAnsi"/>
                <w:sz w:val="20"/>
                <w:szCs w:val="20"/>
              </w:rPr>
            </w:pPr>
            <w:r w:rsidRPr="008205AE">
              <w:rPr>
                <w:rFonts w:asciiTheme="majorHAnsi" w:hAnsiTheme="majorHAnsi"/>
                <w:sz w:val="20"/>
                <w:szCs w:val="20"/>
              </w:rPr>
              <w:t>Moment resisting frame or</w:t>
            </w:r>
            <w:r w:rsidRPr="008205AE">
              <w:rPr>
                <w:rFonts w:asciiTheme="majorHAnsi" w:hAnsiTheme="majorHAnsi"/>
                <w:sz w:val="20"/>
                <w:szCs w:val="20"/>
              </w:rPr>
              <w:br/>
              <w:t>moment resisting frame-equivalent dual structures</w:t>
            </w:r>
          </w:p>
        </w:tc>
        <w:tc>
          <w:tcPr>
            <w:tcW w:w="5068" w:type="dxa"/>
            <w:tcBorders>
              <w:top w:val="single" w:sz="4" w:space="0" w:color="auto"/>
            </w:tcBorders>
            <w:shd w:val="clear" w:color="auto" w:fill="auto"/>
            <w:vAlign w:val="center"/>
          </w:tcPr>
          <w:p w14:paraId="3DFD8C63" w14:textId="77777777" w:rsidR="009A5DA1" w:rsidRPr="008205AE" w:rsidRDefault="009A5DA1" w:rsidP="009B7FB1">
            <w:pPr>
              <w:keepNext/>
              <w:keepLines/>
              <w:rPr>
                <w:rFonts w:asciiTheme="majorHAnsi" w:hAnsiTheme="majorHAnsi"/>
                <w:sz w:val="20"/>
                <w:szCs w:val="20"/>
              </w:rPr>
            </w:pPr>
            <w:r w:rsidRPr="008205AE">
              <w:rPr>
                <w:rFonts w:asciiTheme="majorHAnsi" w:hAnsiTheme="majorHAnsi"/>
                <w:sz w:val="20"/>
                <w:szCs w:val="20"/>
              </w:rPr>
              <w:t>Multi-storey, multi-bay moment resisting frames or moment resisting frame-equivalent dual structures with beams with strong partial strength joints or rigid joints without cladding or with isostatic cladding</w:t>
            </w:r>
          </w:p>
        </w:tc>
        <w:tc>
          <w:tcPr>
            <w:tcW w:w="680" w:type="dxa"/>
            <w:shd w:val="clear" w:color="auto" w:fill="auto"/>
            <w:vAlign w:val="center"/>
          </w:tcPr>
          <w:p w14:paraId="42FF970B" w14:textId="77777777" w:rsidR="009A5DA1" w:rsidRPr="008205AE" w:rsidRDefault="009A5DA1" w:rsidP="009B7FB1">
            <w:pPr>
              <w:keepNext/>
              <w:keepLines/>
              <w:spacing w:after="60"/>
              <w:jc w:val="center"/>
              <w:rPr>
                <w:rFonts w:asciiTheme="majorHAnsi" w:hAnsiTheme="majorHAnsi"/>
                <w:sz w:val="20"/>
                <w:szCs w:val="20"/>
              </w:rPr>
            </w:pPr>
            <w:r w:rsidRPr="008205AE">
              <w:rPr>
                <w:rFonts w:asciiTheme="majorHAnsi" w:hAnsiTheme="majorHAnsi"/>
                <w:sz w:val="20"/>
                <w:szCs w:val="20"/>
              </w:rPr>
              <w:t>1,3</w:t>
            </w:r>
          </w:p>
        </w:tc>
        <w:tc>
          <w:tcPr>
            <w:tcW w:w="681" w:type="dxa"/>
            <w:vMerge w:val="restart"/>
            <w:shd w:val="clear" w:color="auto" w:fill="auto"/>
            <w:vAlign w:val="center"/>
          </w:tcPr>
          <w:p w14:paraId="62525C1B" w14:textId="77777777" w:rsidR="009A5DA1" w:rsidRPr="008205AE" w:rsidRDefault="009A5DA1" w:rsidP="009B7FB1">
            <w:pPr>
              <w:keepNext/>
              <w:keepLines/>
              <w:spacing w:after="60"/>
              <w:jc w:val="center"/>
              <w:rPr>
                <w:rFonts w:asciiTheme="majorHAnsi" w:hAnsiTheme="majorHAnsi"/>
                <w:sz w:val="20"/>
                <w:szCs w:val="20"/>
              </w:rPr>
            </w:pPr>
            <w:r w:rsidRPr="008205AE">
              <w:rPr>
                <w:rFonts w:asciiTheme="majorHAnsi" w:hAnsiTheme="majorHAnsi"/>
                <w:sz w:val="20"/>
                <w:szCs w:val="20"/>
              </w:rPr>
              <w:t>1,3</w:t>
            </w:r>
          </w:p>
        </w:tc>
        <w:tc>
          <w:tcPr>
            <w:tcW w:w="681" w:type="dxa"/>
            <w:vMerge w:val="restart"/>
            <w:shd w:val="clear" w:color="auto" w:fill="auto"/>
            <w:vAlign w:val="center"/>
          </w:tcPr>
          <w:p w14:paraId="0CA47338" w14:textId="77777777" w:rsidR="009A5DA1" w:rsidRPr="008205AE" w:rsidRDefault="009A5DA1" w:rsidP="009B7FB1">
            <w:pPr>
              <w:keepNext/>
              <w:keepLines/>
              <w:spacing w:after="60"/>
              <w:jc w:val="center"/>
              <w:rPr>
                <w:rFonts w:asciiTheme="majorHAnsi" w:hAnsiTheme="majorHAnsi"/>
                <w:sz w:val="20"/>
                <w:szCs w:val="20"/>
              </w:rPr>
            </w:pPr>
            <w:r w:rsidRPr="008205AE">
              <w:rPr>
                <w:rFonts w:asciiTheme="majorHAnsi" w:hAnsiTheme="majorHAnsi"/>
                <w:sz w:val="20"/>
                <w:szCs w:val="20"/>
              </w:rPr>
              <w:t>2,0</w:t>
            </w:r>
          </w:p>
        </w:tc>
        <w:tc>
          <w:tcPr>
            <w:tcW w:w="681" w:type="dxa"/>
            <w:vAlign w:val="center"/>
          </w:tcPr>
          <w:p w14:paraId="1BE4E50B" w14:textId="77777777" w:rsidR="009A5DA1" w:rsidRPr="008205AE" w:rsidRDefault="009A5DA1" w:rsidP="009B7FB1">
            <w:pPr>
              <w:keepNext/>
              <w:keepLines/>
              <w:spacing w:after="60"/>
              <w:jc w:val="center"/>
              <w:rPr>
                <w:rFonts w:asciiTheme="majorHAnsi" w:hAnsiTheme="majorHAnsi"/>
                <w:sz w:val="20"/>
                <w:szCs w:val="20"/>
              </w:rPr>
            </w:pPr>
            <w:r w:rsidRPr="008205AE">
              <w:rPr>
                <w:rFonts w:asciiTheme="majorHAnsi" w:hAnsiTheme="majorHAnsi"/>
                <w:sz w:val="20"/>
                <w:szCs w:val="20"/>
              </w:rPr>
              <w:t>2,5</w:t>
            </w:r>
          </w:p>
        </w:tc>
        <w:tc>
          <w:tcPr>
            <w:tcW w:w="682" w:type="dxa"/>
            <w:vAlign w:val="center"/>
          </w:tcPr>
          <w:p w14:paraId="3733853A" w14:textId="77777777" w:rsidR="009A5DA1" w:rsidRPr="008205AE" w:rsidRDefault="009A5DA1" w:rsidP="009B7FB1">
            <w:pPr>
              <w:keepNext/>
              <w:keepLines/>
              <w:spacing w:after="60"/>
              <w:jc w:val="center"/>
              <w:rPr>
                <w:rFonts w:asciiTheme="majorHAnsi" w:hAnsiTheme="majorHAnsi"/>
                <w:sz w:val="20"/>
                <w:szCs w:val="20"/>
              </w:rPr>
            </w:pPr>
            <w:r w:rsidRPr="008205AE">
              <w:rPr>
                <w:rFonts w:asciiTheme="majorHAnsi" w:hAnsiTheme="majorHAnsi"/>
                <w:sz w:val="20"/>
                <w:szCs w:val="20"/>
              </w:rPr>
              <w:t>3,9</w:t>
            </w:r>
          </w:p>
        </w:tc>
      </w:tr>
      <w:tr w:rsidR="009A5DA1" w:rsidRPr="008205AE" w14:paraId="6BCADCE9" w14:textId="77777777" w:rsidTr="008205AE">
        <w:trPr>
          <w:jc w:val="center"/>
        </w:trPr>
        <w:tc>
          <w:tcPr>
            <w:tcW w:w="1559" w:type="dxa"/>
            <w:vMerge/>
            <w:vAlign w:val="center"/>
          </w:tcPr>
          <w:p w14:paraId="408DA688" w14:textId="77777777" w:rsidR="009A5DA1" w:rsidRPr="008205AE" w:rsidRDefault="009A5DA1" w:rsidP="002061E5">
            <w:pPr>
              <w:rPr>
                <w:rFonts w:asciiTheme="majorHAnsi" w:hAnsiTheme="majorHAnsi"/>
                <w:sz w:val="20"/>
                <w:szCs w:val="20"/>
              </w:rPr>
            </w:pPr>
          </w:p>
        </w:tc>
        <w:tc>
          <w:tcPr>
            <w:tcW w:w="5068" w:type="dxa"/>
            <w:shd w:val="clear" w:color="auto" w:fill="auto"/>
            <w:vAlign w:val="center"/>
          </w:tcPr>
          <w:p w14:paraId="153A89C6" w14:textId="77777777" w:rsidR="009A5DA1" w:rsidRPr="008205AE" w:rsidRDefault="009A5DA1" w:rsidP="002061E5">
            <w:pPr>
              <w:rPr>
                <w:rFonts w:asciiTheme="majorHAnsi" w:hAnsiTheme="majorHAnsi"/>
                <w:sz w:val="20"/>
                <w:szCs w:val="20"/>
              </w:rPr>
            </w:pPr>
            <w:r w:rsidRPr="008205AE">
              <w:rPr>
                <w:rFonts w:asciiTheme="majorHAnsi" w:hAnsiTheme="majorHAnsi"/>
                <w:sz w:val="20"/>
                <w:szCs w:val="20"/>
              </w:rPr>
              <w:t>Multi-storey, one-bay moment resisting frames with strong partial strength joints or rigid joints without cladding or with isostatic cladding</w:t>
            </w:r>
          </w:p>
        </w:tc>
        <w:tc>
          <w:tcPr>
            <w:tcW w:w="680" w:type="dxa"/>
            <w:shd w:val="clear" w:color="auto" w:fill="auto"/>
            <w:vAlign w:val="center"/>
          </w:tcPr>
          <w:p w14:paraId="01C426A8" w14:textId="77777777" w:rsidR="009A5DA1" w:rsidRPr="008205AE" w:rsidRDefault="009A5DA1" w:rsidP="002061E5">
            <w:pPr>
              <w:spacing w:after="60"/>
              <w:jc w:val="center"/>
              <w:rPr>
                <w:rFonts w:asciiTheme="majorHAnsi" w:hAnsiTheme="majorHAnsi"/>
                <w:sz w:val="20"/>
                <w:szCs w:val="20"/>
              </w:rPr>
            </w:pPr>
            <w:r w:rsidRPr="008205AE">
              <w:rPr>
                <w:rFonts w:asciiTheme="majorHAnsi" w:hAnsiTheme="majorHAnsi"/>
                <w:sz w:val="20"/>
                <w:szCs w:val="20"/>
              </w:rPr>
              <w:t>1,2</w:t>
            </w:r>
          </w:p>
        </w:tc>
        <w:tc>
          <w:tcPr>
            <w:tcW w:w="681" w:type="dxa"/>
            <w:vMerge/>
            <w:vAlign w:val="center"/>
          </w:tcPr>
          <w:p w14:paraId="5D0BB792" w14:textId="77777777" w:rsidR="009A5DA1" w:rsidRPr="008205AE" w:rsidRDefault="009A5DA1" w:rsidP="002061E5">
            <w:pPr>
              <w:spacing w:after="60"/>
              <w:jc w:val="center"/>
              <w:rPr>
                <w:rFonts w:asciiTheme="majorHAnsi" w:hAnsiTheme="majorHAnsi"/>
                <w:sz w:val="20"/>
                <w:szCs w:val="20"/>
              </w:rPr>
            </w:pPr>
          </w:p>
        </w:tc>
        <w:tc>
          <w:tcPr>
            <w:tcW w:w="681" w:type="dxa"/>
            <w:vMerge/>
            <w:vAlign w:val="center"/>
          </w:tcPr>
          <w:p w14:paraId="258E5341" w14:textId="77777777" w:rsidR="009A5DA1" w:rsidRPr="008205AE" w:rsidRDefault="009A5DA1" w:rsidP="002061E5">
            <w:pPr>
              <w:spacing w:after="60"/>
              <w:jc w:val="center"/>
              <w:rPr>
                <w:rFonts w:asciiTheme="majorHAnsi" w:hAnsiTheme="majorHAnsi"/>
                <w:sz w:val="20"/>
                <w:szCs w:val="20"/>
              </w:rPr>
            </w:pPr>
          </w:p>
        </w:tc>
        <w:tc>
          <w:tcPr>
            <w:tcW w:w="681" w:type="dxa"/>
            <w:vAlign w:val="center"/>
          </w:tcPr>
          <w:p w14:paraId="601CAEB7" w14:textId="77777777" w:rsidR="009A5DA1" w:rsidRPr="008205AE" w:rsidRDefault="009A5DA1" w:rsidP="002061E5">
            <w:pPr>
              <w:spacing w:after="60"/>
              <w:jc w:val="center"/>
              <w:rPr>
                <w:rFonts w:asciiTheme="majorHAnsi" w:hAnsiTheme="majorHAnsi"/>
                <w:sz w:val="20"/>
                <w:szCs w:val="20"/>
              </w:rPr>
            </w:pPr>
            <w:r w:rsidRPr="008205AE">
              <w:rPr>
                <w:rFonts w:asciiTheme="majorHAnsi" w:hAnsiTheme="majorHAnsi"/>
                <w:sz w:val="20"/>
                <w:szCs w:val="20"/>
              </w:rPr>
              <w:t>2,3</w:t>
            </w:r>
          </w:p>
        </w:tc>
        <w:tc>
          <w:tcPr>
            <w:tcW w:w="682" w:type="dxa"/>
            <w:vAlign w:val="center"/>
          </w:tcPr>
          <w:p w14:paraId="476794F9" w14:textId="77777777" w:rsidR="009A5DA1" w:rsidRPr="008205AE" w:rsidRDefault="009A5DA1" w:rsidP="002061E5">
            <w:pPr>
              <w:spacing w:after="60"/>
              <w:jc w:val="center"/>
              <w:rPr>
                <w:rFonts w:asciiTheme="majorHAnsi" w:hAnsiTheme="majorHAnsi"/>
                <w:sz w:val="20"/>
                <w:szCs w:val="20"/>
              </w:rPr>
            </w:pPr>
            <w:r w:rsidRPr="008205AE">
              <w:rPr>
                <w:rFonts w:asciiTheme="majorHAnsi" w:hAnsiTheme="majorHAnsi"/>
                <w:sz w:val="20"/>
                <w:szCs w:val="20"/>
              </w:rPr>
              <w:t>3,6</w:t>
            </w:r>
          </w:p>
        </w:tc>
      </w:tr>
      <w:tr w:rsidR="009A5DA1" w:rsidRPr="008205AE" w14:paraId="636C51B6" w14:textId="77777777" w:rsidTr="008205AE">
        <w:trPr>
          <w:trHeight w:val="31"/>
          <w:jc w:val="center"/>
        </w:trPr>
        <w:tc>
          <w:tcPr>
            <w:tcW w:w="1559" w:type="dxa"/>
            <w:vMerge/>
            <w:vAlign w:val="center"/>
          </w:tcPr>
          <w:p w14:paraId="6089C948" w14:textId="77777777" w:rsidR="009A5DA1" w:rsidRPr="008205AE" w:rsidRDefault="009A5DA1" w:rsidP="002061E5">
            <w:pPr>
              <w:rPr>
                <w:rFonts w:asciiTheme="majorHAnsi" w:hAnsiTheme="majorHAnsi"/>
                <w:sz w:val="20"/>
                <w:szCs w:val="20"/>
              </w:rPr>
            </w:pPr>
          </w:p>
        </w:tc>
        <w:tc>
          <w:tcPr>
            <w:tcW w:w="5068" w:type="dxa"/>
            <w:shd w:val="clear" w:color="auto" w:fill="auto"/>
            <w:vAlign w:val="center"/>
          </w:tcPr>
          <w:p w14:paraId="20FBCC10" w14:textId="77777777" w:rsidR="009A5DA1" w:rsidRPr="008205AE" w:rsidRDefault="009A5DA1" w:rsidP="002061E5">
            <w:pPr>
              <w:rPr>
                <w:rFonts w:asciiTheme="majorHAnsi" w:hAnsiTheme="majorHAnsi"/>
                <w:sz w:val="20"/>
                <w:szCs w:val="20"/>
              </w:rPr>
            </w:pPr>
            <w:r w:rsidRPr="008205AE">
              <w:rPr>
                <w:rFonts w:asciiTheme="majorHAnsi" w:hAnsiTheme="majorHAnsi"/>
                <w:sz w:val="20"/>
                <w:szCs w:val="20"/>
              </w:rPr>
              <w:t>One-storey moment resisting frames with strong partial strength joints or rigid joints without cladding or with isostatic cladding</w:t>
            </w:r>
          </w:p>
        </w:tc>
        <w:tc>
          <w:tcPr>
            <w:tcW w:w="680" w:type="dxa"/>
            <w:shd w:val="clear" w:color="auto" w:fill="auto"/>
            <w:vAlign w:val="center"/>
          </w:tcPr>
          <w:p w14:paraId="76D053C8" w14:textId="77777777" w:rsidR="009A5DA1" w:rsidRPr="008205AE" w:rsidRDefault="009A5DA1" w:rsidP="002061E5">
            <w:pPr>
              <w:spacing w:after="60"/>
              <w:jc w:val="center"/>
              <w:rPr>
                <w:rFonts w:asciiTheme="majorHAnsi" w:hAnsiTheme="majorHAnsi"/>
                <w:sz w:val="20"/>
                <w:szCs w:val="20"/>
              </w:rPr>
            </w:pPr>
            <w:r w:rsidRPr="008205AE">
              <w:rPr>
                <w:rFonts w:asciiTheme="majorHAnsi" w:hAnsiTheme="majorHAnsi"/>
                <w:sz w:val="20"/>
                <w:szCs w:val="20"/>
              </w:rPr>
              <w:t>1,1</w:t>
            </w:r>
          </w:p>
        </w:tc>
        <w:tc>
          <w:tcPr>
            <w:tcW w:w="681" w:type="dxa"/>
            <w:vMerge/>
            <w:vAlign w:val="center"/>
          </w:tcPr>
          <w:p w14:paraId="312B14EC" w14:textId="77777777" w:rsidR="009A5DA1" w:rsidRPr="008205AE" w:rsidRDefault="009A5DA1" w:rsidP="002061E5">
            <w:pPr>
              <w:spacing w:after="60"/>
              <w:jc w:val="center"/>
              <w:rPr>
                <w:rFonts w:asciiTheme="majorHAnsi" w:hAnsiTheme="majorHAnsi"/>
                <w:sz w:val="20"/>
                <w:szCs w:val="20"/>
              </w:rPr>
            </w:pPr>
          </w:p>
        </w:tc>
        <w:tc>
          <w:tcPr>
            <w:tcW w:w="681" w:type="dxa"/>
            <w:vMerge/>
            <w:vAlign w:val="center"/>
          </w:tcPr>
          <w:p w14:paraId="5CCE5F8C" w14:textId="77777777" w:rsidR="009A5DA1" w:rsidRPr="008205AE" w:rsidRDefault="009A5DA1" w:rsidP="002061E5">
            <w:pPr>
              <w:spacing w:after="60"/>
              <w:jc w:val="center"/>
              <w:rPr>
                <w:rFonts w:asciiTheme="majorHAnsi" w:hAnsiTheme="majorHAnsi"/>
                <w:sz w:val="20"/>
                <w:szCs w:val="20"/>
              </w:rPr>
            </w:pPr>
          </w:p>
        </w:tc>
        <w:tc>
          <w:tcPr>
            <w:tcW w:w="681" w:type="dxa"/>
            <w:vAlign w:val="center"/>
          </w:tcPr>
          <w:p w14:paraId="74347870" w14:textId="77777777" w:rsidR="009A5DA1" w:rsidRPr="008205AE" w:rsidRDefault="009A5DA1" w:rsidP="002061E5">
            <w:pPr>
              <w:spacing w:after="60"/>
              <w:jc w:val="center"/>
              <w:rPr>
                <w:rFonts w:asciiTheme="majorHAnsi" w:hAnsiTheme="majorHAnsi"/>
                <w:sz w:val="20"/>
                <w:szCs w:val="20"/>
              </w:rPr>
            </w:pPr>
            <w:r w:rsidRPr="008205AE">
              <w:rPr>
                <w:rFonts w:asciiTheme="majorHAnsi" w:hAnsiTheme="majorHAnsi"/>
                <w:sz w:val="20"/>
                <w:szCs w:val="20"/>
              </w:rPr>
              <w:t>2,1</w:t>
            </w:r>
          </w:p>
        </w:tc>
        <w:tc>
          <w:tcPr>
            <w:tcW w:w="682" w:type="dxa"/>
            <w:vAlign w:val="center"/>
          </w:tcPr>
          <w:p w14:paraId="1BFD6730" w14:textId="77777777" w:rsidR="009A5DA1" w:rsidRPr="008205AE" w:rsidRDefault="009A5DA1" w:rsidP="002061E5">
            <w:pPr>
              <w:spacing w:after="60"/>
              <w:jc w:val="center"/>
              <w:rPr>
                <w:rFonts w:asciiTheme="majorHAnsi" w:hAnsiTheme="majorHAnsi"/>
                <w:sz w:val="20"/>
                <w:szCs w:val="20"/>
              </w:rPr>
            </w:pPr>
            <w:r w:rsidRPr="008205AE">
              <w:rPr>
                <w:rFonts w:asciiTheme="majorHAnsi" w:hAnsiTheme="majorHAnsi"/>
                <w:sz w:val="20"/>
                <w:szCs w:val="20"/>
              </w:rPr>
              <w:t>3,3</w:t>
            </w:r>
          </w:p>
        </w:tc>
      </w:tr>
      <w:tr w:rsidR="009A5DA1" w:rsidRPr="008205AE" w14:paraId="3FA8E19B" w14:textId="77777777" w:rsidTr="008205AE">
        <w:trPr>
          <w:trHeight w:val="31"/>
          <w:jc w:val="center"/>
        </w:trPr>
        <w:tc>
          <w:tcPr>
            <w:tcW w:w="1559" w:type="dxa"/>
            <w:vMerge/>
            <w:vAlign w:val="center"/>
          </w:tcPr>
          <w:p w14:paraId="4D879293" w14:textId="77777777" w:rsidR="009A5DA1" w:rsidRPr="008205AE" w:rsidRDefault="009A5DA1" w:rsidP="002061E5">
            <w:pPr>
              <w:rPr>
                <w:rFonts w:asciiTheme="majorHAnsi" w:hAnsiTheme="majorHAnsi"/>
                <w:sz w:val="20"/>
                <w:szCs w:val="20"/>
              </w:rPr>
            </w:pPr>
          </w:p>
        </w:tc>
        <w:tc>
          <w:tcPr>
            <w:tcW w:w="5068" w:type="dxa"/>
            <w:shd w:val="clear" w:color="auto" w:fill="auto"/>
            <w:vAlign w:val="center"/>
          </w:tcPr>
          <w:p w14:paraId="650EFAF9" w14:textId="77777777" w:rsidR="009A5DA1" w:rsidRPr="008205AE" w:rsidRDefault="009A5DA1" w:rsidP="002061E5">
            <w:pPr>
              <w:rPr>
                <w:rFonts w:asciiTheme="majorHAnsi" w:hAnsiTheme="majorHAnsi"/>
                <w:sz w:val="20"/>
                <w:szCs w:val="20"/>
              </w:rPr>
            </w:pPr>
            <w:r w:rsidRPr="008205AE">
              <w:rPr>
                <w:rFonts w:asciiTheme="majorHAnsi" w:hAnsiTheme="majorHAnsi"/>
                <w:sz w:val="20"/>
                <w:szCs w:val="20"/>
              </w:rPr>
              <w:t xml:space="preserve">One-storey one bay or multi-bay, moment resisting frames with beams with weak joints without cladding or with isostatic cladding and </w:t>
            </w:r>
            <w:r w:rsidRPr="008205AE">
              <w:rPr>
                <w:rFonts w:asciiTheme="majorHAnsi" w:eastAsia="Cambria,Italic" w:hAnsiTheme="majorHAnsi"/>
                <w:i/>
                <w:iCs/>
                <w:sz w:val="20"/>
                <w:szCs w:val="20"/>
              </w:rPr>
              <w:t>ν</w:t>
            </w:r>
            <w:r w:rsidRPr="008205AE">
              <w:rPr>
                <w:rFonts w:asciiTheme="majorHAnsi" w:eastAsia="Cambria,Bold" w:hAnsiTheme="majorHAnsi"/>
                <w:sz w:val="20"/>
                <w:szCs w:val="20"/>
                <w:vertAlign w:val="subscript"/>
              </w:rPr>
              <w:t>d</w:t>
            </w:r>
            <w:r w:rsidRPr="008205AE">
              <w:rPr>
                <w:rFonts w:asciiTheme="majorHAnsi" w:eastAsia="Cambria,Bold" w:hAnsiTheme="majorHAnsi"/>
                <w:sz w:val="20"/>
                <w:szCs w:val="20"/>
              </w:rPr>
              <w:t xml:space="preserve"> ≤ 0,3</w:t>
            </w:r>
          </w:p>
        </w:tc>
        <w:tc>
          <w:tcPr>
            <w:tcW w:w="680" w:type="dxa"/>
            <w:shd w:val="clear" w:color="auto" w:fill="auto"/>
            <w:vAlign w:val="center"/>
          </w:tcPr>
          <w:p w14:paraId="0ABF200A" w14:textId="77777777" w:rsidR="009A5DA1" w:rsidRPr="008205AE" w:rsidRDefault="009A5DA1" w:rsidP="002061E5">
            <w:pPr>
              <w:spacing w:after="60"/>
              <w:jc w:val="center"/>
              <w:rPr>
                <w:rFonts w:asciiTheme="majorHAnsi" w:hAnsiTheme="majorHAnsi"/>
                <w:sz w:val="20"/>
                <w:szCs w:val="20"/>
              </w:rPr>
            </w:pPr>
            <w:r w:rsidRPr="008205AE">
              <w:rPr>
                <w:rFonts w:asciiTheme="majorHAnsi" w:hAnsiTheme="majorHAnsi"/>
                <w:sz w:val="20"/>
                <w:szCs w:val="20"/>
              </w:rPr>
              <w:t>1,1</w:t>
            </w:r>
          </w:p>
        </w:tc>
        <w:tc>
          <w:tcPr>
            <w:tcW w:w="681" w:type="dxa"/>
            <w:shd w:val="clear" w:color="auto" w:fill="auto"/>
            <w:vAlign w:val="center"/>
          </w:tcPr>
          <w:p w14:paraId="613CE397" w14:textId="77777777" w:rsidR="009A5DA1" w:rsidRPr="008205AE" w:rsidRDefault="009A5DA1" w:rsidP="002061E5">
            <w:pPr>
              <w:spacing w:after="60"/>
              <w:jc w:val="center"/>
              <w:rPr>
                <w:rFonts w:asciiTheme="majorHAnsi" w:hAnsiTheme="majorHAnsi"/>
                <w:sz w:val="20"/>
                <w:szCs w:val="20"/>
              </w:rPr>
            </w:pPr>
            <w:r w:rsidRPr="008205AE">
              <w:rPr>
                <w:rFonts w:asciiTheme="majorHAnsi" w:hAnsiTheme="majorHAnsi"/>
                <w:sz w:val="20"/>
                <w:szCs w:val="20"/>
              </w:rPr>
              <w:t>1,3</w:t>
            </w:r>
          </w:p>
        </w:tc>
        <w:tc>
          <w:tcPr>
            <w:tcW w:w="681" w:type="dxa"/>
            <w:shd w:val="clear" w:color="auto" w:fill="auto"/>
            <w:vAlign w:val="center"/>
          </w:tcPr>
          <w:p w14:paraId="77F40E64" w14:textId="77777777" w:rsidR="009A5DA1" w:rsidRPr="008205AE" w:rsidRDefault="009A5DA1" w:rsidP="002061E5">
            <w:pPr>
              <w:spacing w:after="60"/>
              <w:jc w:val="center"/>
              <w:rPr>
                <w:rFonts w:asciiTheme="majorHAnsi" w:hAnsiTheme="majorHAnsi"/>
                <w:sz w:val="20"/>
                <w:szCs w:val="20"/>
              </w:rPr>
            </w:pPr>
            <w:r w:rsidRPr="008205AE">
              <w:rPr>
                <w:rFonts w:asciiTheme="majorHAnsi" w:hAnsiTheme="majorHAnsi"/>
                <w:sz w:val="20"/>
                <w:szCs w:val="20"/>
              </w:rPr>
              <w:t>2,1</w:t>
            </w:r>
          </w:p>
        </w:tc>
        <w:tc>
          <w:tcPr>
            <w:tcW w:w="681" w:type="dxa"/>
            <w:vAlign w:val="center"/>
          </w:tcPr>
          <w:p w14:paraId="68D8F9CD" w14:textId="77777777" w:rsidR="009A5DA1" w:rsidRPr="008205AE" w:rsidRDefault="009A5DA1" w:rsidP="002061E5">
            <w:pPr>
              <w:spacing w:after="60"/>
              <w:jc w:val="center"/>
              <w:rPr>
                <w:rFonts w:asciiTheme="majorHAnsi" w:hAnsiTheme="majorHAnsi"/>
                <w:sz w:val="20"/>
                <w:szCs w:val="20"/>
              </w:rPr>
            </w:pPr>
            <w:r w:rsidRPr="008205AE">
              <w:rPr>
                <w:rFonts w:asciiTheme="majorHAnsi" w:hAnsiTheme="majorHAnsi"/>
                <w:sz w:val="20"/>
                <w:szCs w:val="20"/>
              </w:rPr>
              <w:t>2,1</w:t>
            </w:r>
          </w:p>
        </w:tc>
        <w:tc>
          <w:tcPr>
            <w:tcW w:w="682" w:type="dxa"/>
            <w:vAlign w:val="center"/>
          </w:tcPr>
          <w:p w14:paraId="66F427D4" w14:textId="77777777" w:rsidR="009A5DA1" w:rsidRPr="008205AE" w:rsidRDefault="009A5DA1" w:rsidP="002061E5">
            <w:pPr>
              <w:spacing w:after="60"/>
              <w:jc w:val="center"/>
              <w:rPr>
                <w:rFonts w:asciiTheme="majorHAnsi" w:hAnsiTheme="majorHAnsi"/>
                <w:sz w:val="20"/>
                <w:szCs w:val="20"/>
              </w:rPr>
            </w:pPr>
            <w:r w:rsidRPr="008205AE">
              <w:rPr>
                <w:rFonts w:asciiTheme="majorHAnsi" w:hAnsiTheme="majorHAnsi"/>
                <w:sz w:val="20"/>
                <w:szCs w:val="20"/>
              </w:rPr>
              <w:t>3,0</w:t>
            </w:r>
          </w:p>
        </w:tc>
      </w:tr>
      <w:tr w:rsidR="009A5DA1" w:rsidRPr="008205AE" w14:paraId="3EAE0D11" w14:textId="77777777" w:rsidTr="008205AE">
        <w:trPr>
          <w:trHeight w:val="31"/>
          <w:jc w:val="center"/>
        </w:trPr>
        <w:tc>
          <w:tcPr>
            <w:tcW w:w="1559" w:type="dxa"/>
            <w:vMerge/>
            <w:vAlign w:val="center"/>
          </w:tcPr>
          <w:p w14:paraId="4CE3DF3C" w14:textId="77777777" w:rsidR="009A5DA1" w:rsidRPr="008205AE" w:rsidRDefault="009A5DA1" w:rsidP="002061E5">
            <w:pPr>
              <w:rPr>
                <w:rFonts w:asciiTheme="majorHAnsi" w:hAnsiTheme="majorHAnsi"/>
                <w:sz w:val="20"/>
                <w:szCs w:val="20"/>
              </w:rPr>
            </w:pPr>
          </w:p>
        </w:tc>
        <w:tc>
          <w:tcPr>
            <w:tcW w:w="5068" w:type="dxa"/>
            <w:shd w:val="clear" w:color="auto" w:fill="auto"/>
            <w:vAlign w:val="center"/>
          </w:tcPr>
          <w:p w14:paraId="5CF7D829" w14:textId="77777777" w:rsidR="009A5DA1" w:rsidRPr="008205AE" w:rsidRDefault="009A5DA1" w:rsidP="002061E5">
            <w:pPr>
              <w:rPr>
                <w:rFonts w:asciiTheme="majorHAnsi" w:hAnsiTheme="majorHAnsi"/>
                <w:sz w:val="20"/>
                <w:szCs w:val="20"/>
              </w:rPr>
            </w:pPr>
            <w:r w:rsidRPr="008205AE">
              <w:rPr>
                <w:rFonts w:asciiTheme="majorHAnsi" w:hAnsiTheme="majorHAnsi"/>
                <w:sz w:val="20"/>
                <w:szCs w:val="20"/>
              </w:rPr>
              <w:t xml:space="preserve">Multi-storey, one bay or multi-bay, moment resisting frames with beams with weak joints without cladding or with isostatic cladding and </w:t>
            </w:r>
            <w:r w:rsidRPr="008205AE">
              <w:rPr>
                <w:rFonts w:asciiTheme="majorHAnsi" w:eastAsia="Cambria,Italic" w:hAnsiTheme="majorHAnsi"/>
                <w:i/>
                <w:iCs/>
                <w:sz w:val="20"/>
                <w:szCs w:val="20"/>
              </w:rPr>
              <w:t>ν</w:t>
            </w:r>
            <w:r w:rsidRPr="008205AE">
              <w:rPr>
                <w:rFonts w:asciiTheme="majorHAnsi" w:eastAsia="Cambria,Bold" w:hAnsiTheme="majorHAnsi"/>
                <w:sz w:val="20"/>
                <w:szCs w:val="20"/>
                <w:vertAlign w:val="subscript"/>
              </w:rPr>
              <w:t>d</w:t>
            </w:r>
            <w:r w:rsidRPr="008205AE">
              <w:rPr>
                <w:rFonts w:asciiTheme="majorHAnsi" w:eastAsia="Cambria,Bold" w:hAnsiTheme="majorHAnsi"/>
                <w:sz w:val="20"/>
                <w:szCs w:val="20"/>
              </w:rPr>
              <w:t xml:space="preserve"> ≤ 0,3</w:t>
            </w:r>
          </w:p>
        </w:tc>
        <w:tc>
          <w:tcPr>
            <w:tcW w:w="680" w:type="dxa"/>
            <w:shd w:val="clear" w:color="auto" w:fill="auto"/>
            <w:vAlign w:val="center"/>
          </w:tcPr>
          <w:p w14:paraId="2B2C9528" w14:textId="77777777" w:rsidR="009A5DA1" w:rsidRPr="008205AE" w:rsidRDefault="009A5DA1" w:rsidP="002061E5">
            <w:pPr>
              <w:spacing w:after="60"/>
              <w:jc w:val="center"/>
              <w:rPr>
                <w:rFonts w:asciiTheme="majorHAnsi" w:hAnsiTheme="majorHAnsi"/>
                <w:sz w:val="20"/>
                <w:szCs w:val="20"/>
              </w:rPr>
            </w:pPr>
            <w:r w:rsidRPr="008205AE">
              <w:rPr>
                <w:rFonts w:asciiTheme="majorHAnsi" w:hAnsiTheme="majorHAnsi"/>
                <w:sz w:val="20"/>
                <w:szCs w:val="20"/>
              </w:rPr>
              <w:t>1,1</w:t>
            </w:r>
          </w:p>
        </w:tc>
        <w:tc>
          <w:tcPr>
            <w:tcW w:w="681" w:type="dxa"/>
            <w:shd w:val="clear" w:color="auto" w:fill="auto"/>
            <w:vAlign w:val="center"/>
          </w:tcPr>
          <w:p w14:paraId="6862E776" w14:textId="77777777" w:rsidR="009A5DA1" w:rsidRPr="008205AE" w:rsidRDefault="009A5DA1" w:rsidP="002061E5">
            <w:pPr>
              <w:spacing w:after="60"/>
              <w:jc w:val="center"/>
              <w:rPr>
                <w:rFonts w:asciiTheme="majorHAnsi" w:hAnsiTheme="majorHAnsi"/>
                <w:sz w:val="20"/>
                <w:szCs w:val="20"/>
              </w:rPr>
            </w:pPr>
            <w:r w:rsidRPr="008205AE">
              <w:rPr>
                <w:rFonts w:asciiTheme="majorHAnsi" w:hAnsiTheme="majorHAnsi"/>
                <w:sz w:val="20"/>
                <w:szCs w:val="20"/>
              </w:rPr>
              <w:t>NA*</w:t>
            </w:r>
          </w:p>
        </w:tc>
        <w:tc>
          <w:tcPr>
            <w:tcW w:w="681" w:type="dxa"/>
            <w:shd w:val="clear" w:color="auto" w:fill="auto"/>
            <w:vAlign w:val="center"/>
          </w:tcPr>
          <w:p w14:paraId="35568218" w14:textId="77777777" w:rsidR="009A5DA1" w:rsidRPr="008205AE" w:rsidRDefault="009A5DA1" w:rsidP="002061E5">
            <w:pPr>
              <w:spacing w:after="60"/>
              <w:jc w:val="center"/>
              <w:rPr>
                <w:rFonts w:asciiTheme="majorHAnsi" w:hAnsiTheme="majorHAnsi"/>
                <w:sz w:val="20"/>
                <w:szCs w:val="20"/>
              </w:rPr>
            </w:pPr>
            <w:r w:rsidRPr="008205AE">
              <w:rPr>
                <w:rFonts w:asciiTheme="majorHAnsi" w:hAnsiTheme="majorHAnsi"/>
                <w:sz w:val="20"/>
                <w:szCs w:val="20"/>
              </w:rPr>
              <w:t>2,1</w:t>
            </w:r>
          </w:p>
        </w:tc>
        <w:tc>
          <w:tcPr>
            <w:tcW w:w="681" w:type="dxa"/>
            <w:vAlign w:val="center"/>
          </w:tcPr>
          <w:p w14:paraId="52C99F98" w14:textId="77777777" w:rsidR="009A5DA1" w:rsidRPr="008205AE" w:rsidRDefault="009A5DA1" w:rsidP="002061E5">
            <w:pPr>
              <w:spacing w:after="60"/>
              <w:jc w:val="center"/>
              <w:rPr>
                <w:rFonts w:asciiTheme="majorHAnsi" w:hAnsiTheme="majorHAnsi"/>
                <w:sz w:val="20"/>
                <w:szCs w:val="20"/>
              </w:rPr>
            </w:pPr>
            <w:r w:rsidRPr="008205AE">
              <w:rPr>
                <w:rFonts w:asciiTheme="majorHAnsi" w:hAnsiTheme="majorHAnsi"/>
                <w:sz w:val="20"/>
                <w:szCs w:val="20"/>
              </w:rPr>
              <w:t>NA*</w:t>
            </w:r>
          </w:p>
        </w:tc>
        <w:tc>
          <w:tcPr>
            <w:tcW w:w="682" w:type="dxa"/>
            <w:vAlign w:val="center"/>
          </w:tcPr>
          <w:p w14:paraId="1BFC71FF" w14:textId="77777777" w:rsidR="009A5DA1" w:rsidRPr="008205AE" w:rsidRDefault="009A5DA1" w:rsidP="002061E5">
            <w:pPr>
              <w:spacing w:after="60"/>
              <w:jc w:val="center"/>
              <w:rPr>
                <w:rFonts w:asciiTheme="majorHAnsi" w:hAnsiTheme="majorHAnsi"/>
                <w:sz w:val="20"/>
                <w:szCs w:val="20"/>
              </w:rPr>
            </w:pPr>
            <w:r w:rsidRPr="008205AE">
              <w:rPr>
                <w:rFonts w:asciiTheme="majorHAnsi" w:hAnsiTheme="majorHAnsi"/>
                <w:sz w:val="20"/>
                <w:szCs w:val="20"/>
              </w:rPr>
              <w:t>2,0</w:t>
            </w:r>
          </w:p>
        </w:tc>
      </w:tr>
      <w:tr w:rsidR="009A5DA1" w:rsidRPr="008205AE" w14:paraId="0AFE377E" w14:textId="77777777" w:rsidTr="008205AE">
        <w:trPr>
          <w:trHeight w:val="31"/>
          <w:jc w:val="center"/>
        </w:trPr>
        <w:tc>
          <w:tcPr>
            <w:tcW w:w="1559" w:type="dxa"/>
            <w:vMerge/>
            <w:vAlign w:val="center"/>
          </w:tcPr>
          <w:p w14:paraId="36381F51" w14:textId="77777777" w:rsidR="009A5DA1" w:rsidRPr="008205AE" w:rsidRDefault="009A5DA1" w:rsidP="002061E5">
            <w:pPr>
              <w:rPr>
                <w:rFonts w:asciiTheme="majorHAnsi" w:hAnsiTheme="majorHAnsi"/>
                <w:sz w:val="20"/>
                <w:szCs w:val="20"/>
              </w:rPr>
            </w:pPr>
          </w:p>
        </w:tc>
        <w:tc>
          <w:tcPr>
            <w:tcW w:w="5068" w:type="dxa"/>
            <w:shd w:val="clear" w:color="auto" w:fill="auto"/>
            <w:vAlign w:val="center"/>
          </w:tcPr>
          <w:p w14:paraId="22162D9C" w14:textId="77777777" w:rsidR="009A5DA1" w:rsidRPr="008205AE" w:rsidRDefault="009A5DA1" w:rsidP="002061E5">
            <w:pPr>
              <w:rPr>
                <w:rFonts w:asciiTheme="majorHAnsi" w:hAnsiTheme="majorHAnsi"/>
                <w:sz w:val="20"/>
                <w:szCs w:val="20"/>
              </w:rPr>
            </w:pPr>
            <w:r w:rsidRPr="008205AE">
              <w:rPr>
                <w:rFonts w:asciiTheme="majorHAnsi" w:hAnsiTheme="majorHAnsi"/>
                <w:sz w:val="20"/>
                <w:szCs w:val="20"/>
              </w:rPr>
              <w:t xml:space="preserve">One-storey one bay or multi-bay, or multi-storey, one bay or multi-bay moment resisting frames with beams with weak joints without cladding or with isostatic cladding and </w:t>
            </w:r>
            <w:r w:rsidRPr="008205AE">
              <w:rPr>
                <w:rFonts w:asciiTheme="majorHAnsi" w:eastAsia="Cambria,Italic" w:hAnsiTheme="majorHAnsi"/>
                <w:i/>
                <w:iCs/>
                <w:sz w:val="20"/>
                <w:szCs w:val="20"/>
              </w:rPr>
              <w:t>ν</w:t>
            </w:r>
            <w:r w:rsidRPr="008205AE">
              <w:rPr>
                <w:rFonts w:asciiTheme="majorHAnsi" w:eastAsia="Cambria,Bold" w:hAnsiTheme="majorHAnsi"/>
                <w:sz w:val="20"/>
                <w:szCs w:val="20"/>
                <w:vertAlign w:val="subscript"/>
              </w:rPr>
              <w:t>d</w:t>
            </w:r>
            <w:r w:rsidRPr="008205AE">
              <w:rPr>
                <w:rFonts w:asciiTheme="majorHAnsi" w:eastAsia="Cambria,Bold" w:hAnsiTheme="majorHAnsi"/>
                <w:sz w:val="20"/>
                <w:szCs w:val="20"/>
              </w:rPr>
              <w:t xml:space="preserve"> &gt; 0,3</w:t>
            </w:r>
          </w:p>
        </w:tc>
        <w:tc>
          <w:tcPr>
            <w:tcW w:w="3405" w:type="dxa"/>
            <w:gridSpan w:val="5"/>
            <w:shd w:val="clear" w:color="auto" w:fill="auto"/>
            <w:vAlign w:val="center"/>
          </w:tcPr>
          <w:p w14:paraId="47E08294" w14:textId="77777777" w:rsidR="009A5DA1" w:rsidRPr="008205AE" w:rsidRDefault="009A5DA1" w:rsidP="002061E5">
            <w:pPr>
              <w:spacing w:after="60"/>
              <w:jc w:val="center"/>
              <w:rPr>
                <w:rFonts w:asciiTheme="majorHAnsi" w:hAnsiTheme="majorHAnsi"/>
                <w:sz w:val="20"/>
                <w:szCs w:val="20"/>
              </w:rPr>
            </w:pPr>
            <w:r w:rsidRPr="008205AE">
              <w:rPr>
                <w:rFonts w:asciiTheme="majorHAnsi" w:hAnsiTheme="majorHAnsi"/>
                <w:sz w:val="20"/>
                <w:szCs w:val="20"/>
              </w:rPr>
              <w:t>NA**</w:t>
            </w:r>
          </w:p>
        </w:tc>
      </w:tr>
      <w:tr w:rsidR="009A5DA1" w:rsidRPr="008205AE" w14:paraId="01B53106" w14:textId="77777777" w:rsidTr="008205AE">
        <w:trPr>
          <w:trHeight w:val="239"/>
          <w:jc w:val="center"/>
        </w:trPr>
        <w:tc>
          <w:tcPr>
            <w:tcW w:w="1559" w:type="dxa"/>
            <w:vMerge w:val="restart"/>
            <w:shd w:val="clear" w:color="auto" w:fill="auto"/>
            <w:vAlign w:val="center"/>
          </w:tcPr>
          <w:p w14:paraId="55A39A70" w14:textId="77777777" w:rsidR="009A5DA1" w:rsidRPr="008205AE" w:rsidRDefault="009A5DA1" w:rsidP="002061E5">
            <w:pPr>
              <w:rPr>
                <w:rFonts w:asciiTheme="majorHAnsi" w:hAnsiTheme="majorHAnsi"/>
                <w:sz w:val="20"/>
                <w:szCs w:val="20"/>
              </w:rPr>
            </w:pPr>
            <w:r w:rsidRPr="008205AE">
              <w:rPr>
                <w:rFonts w:asciiTheme="majorHAnsi" w:hAnsiTheme="majorHAnsi"/>
                <w:sz w:val="20"/>
                <w:szCs w:val="20"/>
              </w:rPr>
              <w:t>Wall- or</w:t>
            </w:r>
            <w:r w:rsidRPr="008205AE">
              <w:rPr>
                <w:rFonts w:asciiTheme="majorHAnsi" w:hAnsiTheme="majorHAnsi"/>
                <w:sz w:val="20"/>
                <w:szCs w:val="20"/>
              </w:rPr>
              <w:br/>
              <w:t>wall-equivalent dual structures</w:t>
            </w:r>
          </w:p>
        </w:tc>
        <w:tc>
          <w:tcPr>
            <w:tcW w:w="5068" w:type="dxa"/>
            <w:shd w:val="clear" w:color="auto" w:fill="auto"/>
            <w:vAlign w:val="center"/>
          </w:tcPr>
          <w:p w14:paraId="0068A756" w14:textId="77777777" w:rsidR="009A5DA1" w:rsidRPr="008205AE" w:rsidRDefault="009A5DA1" w:rsidP="002061E5">
            <w:pPr>
              <w:rPr>
                <w:rFonts w:asciiTheme="majorHAnsi" w:hAnsiTheme="majorHAnsi"/>
                <w:sz w:val="20"/>
                <w:szCs w:val="20"/>
              </w:rPr>
            </w:pPr>
            <w:r w:rsidRPr="008205AE">
              <w:rPr>
                <w:rFonts w:asciiTheme="majorHAnsi" w:hAnsiTheme="majorHAnsi"/>
                <w:sz w:val="20"/>
                <w:szCs w:val="20"/>
              </w:rPr>
              <w:t>Wall-equivalent dual structures with strong partial strength joints or rigid joints with or without cladding</w:t>
            </w:r>
          </w:p>
        </w:tc>
        <w:tc>
          <w:tcPr>
            <w:tcW w:w="680" w:type="dxa"/>
            <w:shd w:val="clear" w:color="auto" w:fill="auto"/>
            <w:vAlign w:val="center"/>
          </w:tcPr>
          <w:p w14:paraId="49E85041" w14:textId="77777777" w:rsidR="009A5DA1" w:rsidRPr="008205AE" w:rsidRDefault="009A5DA1" w:rsidP="002061E5">
            <w:pPr>
              <w:spacing w:after="60"/>
              <w:jc w:val="center"/>
              <w:rPr>
                <w:rFonts w:asciiTheme="majorHAnsi" w:hAnsiTheme="majorHAnsi"/>
                <w:sz w:val="20"/>
                <w:szCs w:val="20"/>
              </w:rPr>
            </w:pPr>
            <w:r w:rsidRPr="008205AE">
              <w:rPr>
                <w:rFonts w:asciiTheme="majorHAnsi" w:hAnsiTheme="majorHAnsi"/>
                <w:sz w:val="20"/>
                <w:szCs w:val="20"/>
              </w:rPr>
              <w:t>1,2</w:t>
            </w:r>
          </w:p>
        </w:tc>
        <w:tc>
          <w:tcPr>
            <w:tcW w:w="681" w:type="dxa"/>
            <w:shd w:val="clear" w:color="auto" w:fill="auto"/>
            <w:vAlign w:val="center"/>
          </w:tcPr>
          <w:p w14:paraId="705BA86D" w14:textId="77777777" w:rsidR="009A5DA1" w:rsidRPr="008205AE" w:rsidRDefault="009A5DA1" w:rsidP="002061E5">
            <w:pPr>
              <w:spacing w:after="60"/>
              <w:jc w:val="center"/>
              <w:rPr>
                <w:rFonts w:asciiTheme="majorHAnsi" w:hAnsiTheme="majorHAnsi"/>
                <w:sz w:val="20"/>
                <w:szCs w:val="20"/>
              </w:rPr>
            </w:pPr>
            <w:r w:rsidRPr="008205AE">
              <w:rPr>
                <w:rFonts w:asciiTheme="majorHAnsi" w:hAnsiTheme="majorHAnsi"/>
                <w:sz w:val="20"/>
                <w:szCs w:val="20"/>
              </w:rPr>
              <w:t>1,3</w:t>
            </w:r>
          </w:p>
        </w:tc>
        <w:tc>
          <w:tcPr>
            <w:tcW w:w="681" w:type="dxa"/>
            <w:vMerge w:val="restart"/>
            <w:shd w:val="clear" w:color="auto" w:fill="auto"/>
            <w:vAlign w:val="center"/>
          </w:tcPr>
          <w:p w14:paraId="07594B85" w14:textId="77777777" w:rsidR="009A5DA1" w:rsidRPr="008205AE" w:rsidRDefault="009A5DA1" w:rsidP="002061E5">
            <w:pPr>
              <w:spacing w:after="60"/>
              <w:jc w:val="center"/>
              <w:rPr>
                <w:rFonts w:asciiTheme="majorHAnsi" w:hAnsiTheme="majorHAnsi"/>
                <w:sz w:val="20"/>
                <w:szCs w:val="20"/>
              </w:rPr>
            </w:pPr>
            <w:r w:rsidRPr="008205AE">
              <w:rPr>
                <w:rFonts w:asciiTheme="majorHAnsi" w:hAnsiTheme="majorHAnsi"/>
                <w:sz w:val="20"/>
                <w:szCs w:val="20"/>
              </w:rPr>
              <w:t>2,0</w:t>
            </w:r>
          </w:p>
        </w:tc>
        <w:tc>
          <w:tcPr>
            <w:tcW w:w="681" w:type="dxa"/>
            <w:vAlign w:val="center"/>
          </w:tcPr>
          <w:p w14:paraId="07B2F2C7" w14:textId="77777777" w:rsidR="009A5DA1" w:rsidRPr="008205AE" w:rsidRDefault="009A5DA1" w:rsidP="002061E5">
            <w:pPr>
              <w:spacing w:after="60"/>
              <w:jc w:val="center"/>
              <w:rPr>
                <w:rFonts w:asciiTheme="majorHAnsi" w:hAnsiTheme="majorHAnsi"/>
                <w:sz w:val="20"/>
                <w:szCs w:val="20"/>
              </w:rPr>
            </w:pPr>
            <w:r w:rsidRPr="008205AE">
              <w:rPr>
                <w:rFonts w:asciiTheme="majorHAnsi" w:hAnsiTheme="majorHAnsi"/>
                <w:sz w:val="20"/>
                <w:szCs w:val="20"/>
              </w:rPr>
              <w:t>2,3</w:t>
            </w:r>
          </w:p>
        </w:tc>
        <w:tc>
          <w:tcPr>
            <w:tcW w:w="682" w:type="dxa"/>
            <w:vAlign w:val="center"/>
          </w:tcPr>
          <w:p w14:paraId="77187E60" w14:textId="77777777" w:rsidR="009A5DA1" w:rsidRPr="008205AE" w:rsidRDefault="009A5DA1" w:rsidP="002061E5">
            <w:pPr>
              <w:spacing w:after="60"/>
              <w:jc w:val="center"/>
              <w:rPr>
                <w:rFonts w:asciiTheme="majorHAnsi" w:hAnsiTheme="majorHAnsi"/>
                <w:sz w:val="20"/>
                <w:szCs w:val="20"/>
              </w:rPr>
            </w:pPr>
            <w:r w:rsidRPr="008205AE">
              <w:rPr>
                <w:rFonts w:asciiTheme="majorHAnsi" w:hAnsiTheme="majorHAnsi"/>
                <w:sz w:val="20"/>
                <w:szCs w:val="20"/>
              </w:rPr>
              <w:t>3,6</w:t>
            </w:r>
          </w:p>
        </w:tc>
      </w:tr>
      <w:tr w:rsidR="009A5DA1" w:rsidRPr="008205AE" w14:paraId="470BD9FA" w14:textId="77777777" w:rsidTr="008205AE">
        <w:trPr>
          <w:jc w:val="center"/>
        </w:trPr>
        <w:tc>
          <w:tcPr>
            <w:tcW w:w="1559" w:type="dxa"/>
            <w:vMerge/>
            <w:vAlign w:val="center"/>
          </w:tcPr>
          <w:p w14:paraId="1F26684E" w14:textId="77777777" w:rsidR="009A5DA1" w:rsidRPr="008205AE" w:rsidRDefault="009A5DA1" w:rsidP="002061E5">
            <w:pPr>
              <w:rPr>
                <w:rFonts w:asciiTheme="majorHAnsi" w:hAnsiTheme="majorHAnsi"/>
                <w:sz w:val="20"/>
                <w:szCs w:val="20"/>
              </w:rPr>
            </w:pPr>
          </w:p>
        </w:tc>
        <w:tc>
          <w:tcPr>
            <w:tcW w:w="5068" w:type="dxa"/>
            <w:shd w:val="clear" w:color="auto" w:fill="auto"/>
            <w:vAlign w:val="center"/>
          </w:tcPr>
          <w:p w14:paraId="1F7C49DD" w14:textId="77777777" w:rsidR="009A5DA1" w:rsidRPr="008205AE" w:rsidRDefault="009A5DA1" w:rsidP="002061E5">
            <w:pPr>
              <w:rPr>
                <w:rFonts w:asciiTheme="majorHAnsi" w:hAnsiTheme="majorHAnsi"/>
                <w:sz w:val="20"/>
                <w:szCs w:val="20"/>
              </w:rPr>
            </w:pPr>
            <w:r w:rsidRPr="008205AE">
              <w:rPr>
                <w:rFonts w:asciiTheme="majorHAnsi" w:hAnsiTheme="majorHAnsi"/>
                <w:sz w:val="20"/>
                <w:szCs w:val="20"/>
              </w:rPr>
              <w:t>Coupled wall structures with strong partial strength joints or rigid joints with or without cladding</w:t>
            </w:r>
          </w:p>
        </w:tc>
        <w:tc>
          <w:tcPr>
            <w:tcW w:w="680" w:type="dxa"/>
            <w:shd w:val="clear" w:color="auto" w:fill="auto"/>
            <w:vAlign w:val="center"/>
          </w:tcPr>
          <w:p w14:paraId="7E2A5F60" w14:textId="77777777" w:rsidR="009A5DA1" w:rsidRPr="008205AE" w:rsidRDefault="009A5DA1" w:rsidP="002061E5">
            <w:pPr>
              <w:spacing w:after="60"/>
              <w:jc w:val="center"/>
              <w:rPr>
                <w:rFonts w:asciiTheme="majorHAnsi" w:hAnsiTheme="majorHAnsi"/>
                <w:sz w:val="20"/>
                <w:szCs w:val="20"/>
              </w:rPr>
            </w:pPr>
            <w:r w:rsidRPr="008205AE">
              <w:rPr>
                <w:rFonts w:asciiTheme="majorHAnsi" w:hAnsiTheme="majorHAnsi"/>
                <w:sz w:val="20"/>
                <w:szCs w:val="20"/>
              </w:rPr>
              <w:t>1,2</w:t>
            </w:r>
          </w:p>
        </w:tc>
        <w:tc>
          <w:tcPr>
            <w:tcW w:w="681" w:type="dxa"/>
            <w:shd w:val="clear" w:color="auto" w:fill="auto"/>
            <w:vAlign w:val="center"/>
          </w:tcPr>
          <w:p w14:paraId="3A99D9A4" w14:textId="77777777" w:rsidR="009A5DA1" w:rsidRPr="008205AE" w:rsidRDefault="009A5DA1" w:rsidP="002061E5">
            <w:pPr>
              <w:spacing w:after="60"/>
              <w:jc w:val="center"/>
              <w:rPr>
                <w:rFonts w:asciiTheme="majorHAnsi" w:hAnsiTheme="majorHAnsi"/>
                <w:sz w:val="20"/>
                <w:szCs w:val="20"/>
              </w:rPr>
            </w:pPr>
            <w:r w:rsidRPr="008205AE">
              <w:rPr>
                <w:rFonts w:asciiTheme="majorHAnsi" w:hAnsiTheme="majorHAnsi"/>
                <w:sz w:val="20"/>
                <w:szCs w:val="20"/>
              </w:rPr>
              <w:t>1,4</w:t>
            </w:r>
          </w:p>
        </w:tc>
        <w:tc>
          <w:tcPr>
            <w:tcW w:w="681" w:type="dxa"/>
            <w:vMerge/>
            <w:vAlign w:val="center"/>
          </w:tcPr>
          <w:p w14:paraId="3B3F347B" w14:textId="77777777" w:rsidR="009A5DA1" w:rsidRPr="008205AE" w:rsidRDefault="009A5DA1" w:rsidP="002061E5">
            <w:pPr>
              <w:spacing w:after="60"/>
              <w:jc w:val="center"/>
              <w:rPr>
                <w:rFonts w:asciiTheme="majorHAnsi" w:hAnsiTheme="majorHAnsi"/>
                <w:sz w:val="20"/>
                <w:szCs w:val="20"/>
              </w:rPr>
            </w:pPr>
          </w:p>
        </w:tc>
        <w:tc>
          <w:tcPr>
            <w:tcW w:w="681" w:type="dxa"/>
            <w:vAlign w:val="center"/>
          </w:tcPr>
          <w:p w14:paraId="02CD2C9A" w14:textId="77777777" w:rsidR="009A5DA1" w:rsidRPr="008205AE" w:rsidRDefault="009A5DA1" w:rsidP="002061E5">
            <w:pPr>
              <w:spacing w:after="60"/>
              <w:jc w:val="center"/>
              <w:rPr>
                <w:rFonts w:asciiTheme="majorHAnsi" w:hAnsiTheme="majorHAnsi"/>
                <w:sz w:val="20"/>
                <w:szCs w:val="20"/>
              </w:rPr>
            </w:pPr>
            <w:r w:rsidRPr="008205AE">
              <w:rPr>
                <w:rFonts w:asciiTheme="majorHAnsi" w:hAnsiTheme="majorHAnsi"/>
                <w:sz w:val="20"/>
                <w:szCs w:val="20"/>
              </w:rPr>
              <w:t>2,5</w:t>
            </w:r>
          </w:p>
        </w:tc>
        <w:tc>
          <w:tcPr>
            <w:tcW w:w="682" w:type="dxa"/>
            <w:vAlign w:val="center"/>
          </w:tcPr>
          <w:p w14:paraId="1434C23A" w14:textId="77777777" w:rsidR="009A5DA1" w:rsidRPr="008205AE" w:rsidRDefault="009A5DA1" w:rsidP="002061E5">
            <w:pPr>
              <w:spacing w:after="60"/>
              <w:jc w:val="center"/>
              <w:rPr>
                <w:rFonts w:asciiTheme="majorHAnsi" w:hAnsiTheme="majorHAnsi"/>
                <w:sz w:val="20"/>
                <w:szCs w:val="20"/>
              </w:rPr>
            </w:pPr>
            <w:r w:rsidRPr="008205AE">
              <w:rPr>
                <w:rFonts w:asciiTheme="majorHAnsi" w:hAnsiTheme="majorHAnsi"/>
                <w:sz w:val="20"/>
                <w:szCs w:val="20"/>
              </w:rPr>
              <w:t>3,6</w:t>
            </w:r>
          </w:p>
        </w:tc>
      </w:tr>
      <w:tr w:rsidR="009A5DA1" w:rsidRPr="008205AE" w14:paraId="1A30324B" w14:textId="77777777" w:rsidTr="008205AE">
        <w:trPr>
          <w:trHeight w:val="136"/>
          <w:jc w:val="center"/>
        </w:trPr>
        <w:tc>
          <w:tcPr>
            <w:tcW w:w="1559" w:type="dxa"/>
            <w:vMerge/>
            <w:vAlign w:val="center"/>
          </w:tcPr>
          <w:p w14:paraId="2CB6316D" w14:textId="77777777" w:rsidR="009A5DA1" w:rsidRPr="008205AE" w:rsidRDefault="009A5DA1" w:rsidP="002061E5">
            <w:pPr>
              <w:rPr>
                <w:rFonts w:asciiTheme="majorHAnsi" w:hAnsiTheme="majorHAnsi"/>
                <w:sz w:val="20"/>
                <w:szCs w:val="20"/>
              </w:rPr>
            </w:pPr>
          </w:p>
        </w:tc>
        <w:tc>
          <w:tcPr>
            <w:tcW w:w="5068" w:type="dxa"/>
            <w:tcBorders>
              <w:bottom w:val="single" w:sz="4" w:space="0" w:color="auto"/>
            </w:tcBorders>
            <w:shd w:val="clear" w:color="auto" w:fill="auto"/>
            <w:vAlign w:val="center"/>
          </w:tcPr>
          <w:p w14:paraId="6492E1C3" w14:textId="77777777" w:rsidR="009A5DA1" w:rsidRPr="008205AE" w:rsidRDefault="009A5DA1" w:rsidP="002061E5">
            <w:pPr>
              <w:rPr>
                <w:rFonts w:asciiTheme="majorHAnsi" w:hAnsiTheme="majorHAnsi"/>
                <w:sz w:val="20"/>
                <w:szCs w:val="20"/>
              </w:rPr>
            </w:pPr>
            <w:r w:rsidRPr="008205AE">
              <w:rPr>
                <w:rFonts w:asciiTheme="majorHAnsi" w:hAnsiTheme="majorHAnsi"/>
                <w:sz w:val="20"/>
                <w:szCs w:val="20"/>
              </w:rPr>
              <w:t>Uncoupled wall structure with only two uncoupled walls per horizontal direction, with or without cladding and other uncoupled wall structure, with or without cladding</w:t>
            </w:r>
          </w:p>
        </w:tc>
        <w:tc>
          <w:tcPr>
            <w:tcW w:w="680" w:type="dxa"/>
            <w:tcBorders>
              <w:bottom w:val="single" w:sz="4" w:space="0" w:color="auto"/>
            </w:tcBorders>
            <w:shd w:val="clear" w:color="auto" w:fill="auto"/>
            <w:vAlign w:val="center"/>
          </w:tcPr>
          <w:p w14:paraId="71EBD466" w14:textId="77777777" w:rsidR="009A5DA1" w:rsidRPr="008205AE" w:rsidRDefault="009A5DA1" w:rsidP="002061E5">
            <w:pPr>
              <w:spacing w:after="60"/>
              <w:jc w:val="center"/>
              <w:rPr>
                <w:rFonts w:asciiTheme="majorHAnsi" w:hAnsiTheme="majorHAnsi"/>
                <w:sz w:val="20"/>
                <w:szCs w:val="20"/>
              </w:rPr>
            </w:pPr>
            <w:r w:rsidRPr="008205AE">
              <w:rPr>
                <w:rFonts w:asciiTheme="majorHAnsi" w:hAnsiTheme="majorHAnsi"/>
                <w:sz w:val="20"/>
                <w:szCs w:val="20"/>
              </w:rPr>
              <w:t>1,0</w:t>
            </w:r>
          </w:p>
        </w:tc>
        <w:tc>
          <w:tcPr>
            <w:tcW w:w="681" w:type="dxa"/>
            <w:tcBorders>
              <w:bottom w:val="single" w:sz="4" w:space="0" w:color="auto"/>
            </w:tcBorders>
            <w:shd w:val="clear" w:color="auto" w:fill="auto"/>
            <w:vAlign w:val="center"/>
          </w:tcPr>
          <w:p w14:paraId="7F402FBB" w14:textId="77777777" w:rsidR="009A5DA1" w:rsidRPr="008205AE" w:rsidRDefault="009A5DA1" w:rsidP="002061E5">
            <w:pPr>
              <w:spacing w:after="60"/>
              <w:jc w:val="center"/>
              <w:rPr>
                <w:rFonts w:asciiTheme="majorHAnsi" w:hAnsiTheme="majorHAnsi"/>
                <w:sz w:val="20"/>
                <w:szCs w:val="20"/>
              </w:rPr>
            </w:pPr>
            <w:r w:rsidRPr="008205AE">
              <w:rPr>
                <w:rFonts w:asciiTheme="majorHAnsi" w:hAnsiTheme="majorHAnsi"/>
                <w:sz w:val="20"/>
                <w:szCs w:val="20"/>
              </w:rPr>
              <w:t>1,3</w:t>
            </w:r>
          </w:p>
        </w:tc>
        <w:tc>
          <w:tcPr>
            <w:tcW w:w="681" w:type="dxa"/>
            <w:vMerge/>
            <w:vAlign w:val="center"/>
          </w:tcPr>
          <w:p w14:paraId="5C7421AD" w14:textId="77777777" w:rsidR="009A5DA1" w:rsidRPr="008205AE" w:rsidRDefault="009A5DA1" w:rsidP="002061E5">
            <w:pPr>
              <w:spacing w:after="60"/>
              <w:jc w:val="center"/>
              <w:rPr>
                <w:rFonts w:asciiTheme="majorHAnsi" w:hAnsiTheme="majorHAnsi"/>
                <w:sz w:val="20"/>
                <w:szCs w:val="20"/>
              </w:rPr>
            </w:pPr>
          </w:p>
        </w:tc>
        <w:tc>
          <w:tcPr>
            <w:tcW w:w="681" w:type="dxa"/>
            <w:tcBorders>
              <w:bottom w:val="single" w:sz="4" w:space="0" w:color="auto"/>
            </w:tcBorders>
            <w:vAlign w:val="center"/>
          </w:tcPr>
          <w:p w14:paraId="6E3CD6B7" w14:textId="77777777" w:rsidR="009A5DA1" w:rsidRPr="008205AE" w:rsidRDefault="009A5DA1" w:rsidP="002061E5">
            <w:pPr>
              <w:spacing w:after="60"/>
              <w:jc w:val="center"/>
              <w:rPr>
                <w:rFonts w:asciiTheme="majorHAnsi" w:hAnsiTheme="majorHAnsi"/>
                <w:sz w:val="20"/>
                <w:szCs w:val="20"/>
              </w:rPr>
            </w:pPr>
            <w:r w:rsidRPr="008205AE">
              <w:rPr>
                <w:rFonts w:asciiTheme="majorHAnsi" w:hAnsiTheme="majorHAnsi"/>
                <w:sz w:val="20"/>
                <w:szCs w:val="20"/>
              </w:rPr>
              <w:t>2,0</w:t>
            </w:r>
          </w:p>
        </w:tc>
        <w:tc>
          <w:tcPr>
            <w:tcW w:w="682" w:type="dxa"/>
            <w:tcBorders>
              <w:bottom w:val="single" w:sz="4" w:space="0" w:color="auto"/>
            </w:tcBorders>
            <w:vAlign w:val="center"/>
          </w:tcPr>
          <w:p w14:paraId="2F0627C3" w14:textId="77777777" w:rsidR="009A5DA1" w:rsidRPr="008205AE" w:rsidRDefault="009A5DA1" w:rsidP="002061E5">
            <w:pPr>
              <w:spacing w:after="60"/>
              <w:jc w:val="center"/>
              <w:rPr>
                <w:rFonts w:asciiTheme="majorHAnsi" w:hAnsiTheme="majorHAnsi"/>
                <w:sz w:val="20"/>
                <w:szCs w:val="20"/>
              </w:rPr>
            </w:pPr>
            <w:r w:rsidRPr="008205AE">
              <w:rPr>
                <w:rFonts w:asciiTheme="majorHAnsi" w:hAnsiTheme="majorHAnsi"/>
                <w:sz w:val="20"/>
                <w:szCs w:val="20"/>
              </w:rPr>
              <w:t>3,0</w:t>
            </w:r>
          </w:p>
        </w:tc>
      </w:tr>
      <w:tr w:rsidR="009A5DA1" w:rsidRPr="008205AE" w14:paraId="26C1ED96" w14:textId="77777777" w:rsidTr="008205AE">
        <w:trPr>
          <w:trHeight w:val="136"/>
          <w:jc w:val="center"/>
        </w:trPr>
        <w:tc>
          <w:tcPr>
            <w:tcW w:w="1559" w:type="dxa"/>
            <w:vMerge/>
            <w:vAlign w:val="center"/>
          </w:tcPr>
          <w:p w14:paraId="4606218A" w14:textId="77777777" w:rsidR="009A5DA1" w:rsidRPr="008205AE" w:rsidRDefault="009A5DA1" w:rsidP="002061E5">
            <w:pPr>
              <w:rPr>
                <w:rFonts w:asciiTheme="majorHAnsi" w:hAnsiTheme="majorHAnsi"/>
                <w:sz w:val="20"/>
                <w:szCs w:val="20"/>
              </w:rPr>
            </w:pPr>
          </w:p>
        </w:tc>
        <w:tc>
          <w:tcPr>
            <w:tcW w:w="5068" w:type="dxa"/>
            <w:tcBorders>
              <w:bottom w:val="single" w:sz="4" w:space="0" w:color="auto"/>
            </w:tcBorders>
            <w:shd w:val="clear" w:color="auto" w:fill="auto"/>
            <w:vAlign w:val="center"/>
          </w:tcPr>
          <w:p w14:paraId="7441911B" w14:textId="77777777" w:rsidR="009A5DA1" w:rsidRPr="008205AE" w:rsidRDefault="009A5DA1" w:rsidP="002061E5">
            <w:pPr>
              <w:rPr>
                <w:rFonts w:asciiTheme="majorHAnsi" w:hAnsiTheme="majorHAnsi"/>
                <w:sz w:val="20"/>
                <w:szCs w:val="20"/>
              </w:rPr>
            </w:pPr>
            <w:r w:rsidRPr="008205AE">
              <w:rPr>
                <w:rFonts w:asciiTheme="majorHAnsi" w:hAnsiTheme="majorHAnsi"/>
                <w:sz w:val="20"/>
                <w:szCs w:val="20"/>
              </w:rPr>
              <w:t>Multi-storey moment resisting frame with beams simply supported or with weak partial strength connections and with integrated cladding</w:t>
            </w:r>
          </w:p>
        </w:tc>
        <w:tc>
          <w:tcPr>
            <w:tcW w:w="680" w:type="dxa"/>
            <w:tcBorders>
              <w:bottom w:val="single" w:sz="4" w:space="0" w:color="auto"/>
            </w:tcBorders>
            <w:shd w:val="clear" w:color="auto" w:fill="auto"/>
            <w:vAlign w:val="center"/>
          </w:tcPr>
          <w:p w14:paraId="1268C12E" w14:textId="77777777" w:rsidR="009A5DA1" w:rsidRPr="008205AE" w:rsidRDefault="009A5DA1" w:rsidP="002061E5">
            <w:pPr>
              <w:spacing w:after="60"/>
              <w:jc w:val="center"/>
              <w:rPr>
                <w:rFonts w:asciiTheme="majorHAnsi" w:hAnsiTheme="majorHAnsi"/>
                <w:sz w:val="20"/>
                <w:szCs w:val="20"/>
              </w:rPr>
            </w:pPr>
            <w:r w:rsidRPr="008205AE">
              <w:rPr>
                <w:rFonts w:asciiTheme="majorHAnsi" w:hAnsiTheme="majorHAnsi"/>
                <w:sz w:val="20"/>
                <w:szCs w:val="20"/>
              </w:rPr>
              <w:t>1,2</w:t>
            </w:r>
          </w:p>
        </w:tc>
        <w:tc>
          <w:tcPr>
            <w:tcW w:w="681" w:type="dxa"/>
            <w:tcBorders>
              <w:bottom w:val="single" w:sz="4" w:space="0" w:color="auto"/>
            </w:tcBorders>
            <w:shd w:val="clear" w:color="auto" w:fill="auto"/>
            <w:vAlign w:val="center"/>
          </w:tcPr>
          <w:p w14:paraId="57C7CBAA" w14:textId="77777777" w:rsidR="009A5DA1" w:rsidRPr="008205AE" w:rsidRDefault="009A5DA1" w:rsidP="002061E5">
            <w:pPr>
              <w:spacing w:after="60"/>
              <w:jc w:val="center"/>
              <w:rPr>
                <w:rFonts w:asciiTheme="majorHAnsi" w:hAnsiTheme="majorHAnsi"/>
                <w:sz w:val="20"/>
                <w:szCs w:val="20"/>
              </w:rPr>
            </w:pPr>
            <w:r w:rsidRPr="008205AE">
              <w:rPr>
                <w:rFonts w:asciiTheme="majorHAnsi" w:hAnsiTheme="majorHAnsi"/>
                <w:sz w:val="20"/>
                <w:szCs w:val="20"/>
              </w:rPr>
              <w:t>1,3</w:t>
            </w:r>
          </w:p>
        </w:tc>
        <w:tc>
          <w:tcPr>
            <w:tcW w:w="681" w:type="dxa"/>
            <w:tcBorders>
              <w:bottom w:val="single" w:sz="4" w:space="0" w:color="auto"/>
            </w:tcBorders>
            <w:shd w:val="clear" w:color="auto" w:fill="auto"/>
            <w:vAlign w:val="center"/>
          </w:tcPr>
          <w:p w14:paraId="26DD1D50" w14:textId="77777777" w:rsidR="009A5DA1" w:rsidRPr="008205AE" w:rsidRDefault="009A5DA1" w:rsidP="002061E5">
            <w:pPr>
              <w:spacing w:after="60"/>
              <w:jc w:val="center"/>
              <w:rPr>
                <w:rFonts w:asciiTheme="majorHAnsi" w:hAnsiTheme="majorHAnsi"/>
                <w:sz w:val="20"/>
                <w:szCs w:val="20"/>
              </w:rPr>
            </w:pPr>
            <w:r w:rsidRPr="008205AE">
              <w:rPr>
                <w:rFonts w:asciiTheme="majorHAnsi" w:hAnsiTheme="majorHAnsi"/>
                <w:sz w:val="20"/>
                <w:szCs w:val="20"/>
              </w:rPr>
              <w:t>NA*</w:t>
            </w:r>
          </w:p>
        </w:tc>
        <w:tc>
          <w:tcPr>
            <w:tcW w:w="681" w:type="dxa"/>
            <w:tcBorders>
              <w:bottom w:val="single" w:sz="4" w:space="0" w:color="auto"/>
            </w:tcBorders>
            <w:vAlign w:val="center"/>
          </w:tcPr>
          <w:p w14:paraId="0BBA56C4" w14:textId="77777777" w:rsidR="009A5DA1" w:rsidRPr="008205AE" w:rsidRDefault="009A5DA1" w:rsidP="002061E5">
            <w:pPr>
              <w:spacing w:after="60"/>
              <w:jc w:val="center"/>
              <w:rPr>
                <w:rFonts w:asciiTheme="majorHAnsi" w:hAnsiTheme="majorHAnsi"/>
                <w:sz w:val="20"/>
                <w:szCs w:val="20"/>
              </w:rPr>
            </w:pPr>
            <w:r w:rsidRPr="008205AE">
              <w:rPr>
                <w:rFonts w:asciiTheme="majorHAnsi" w:hAnsiTheme="majorHAnsi"/>
                <w:sz w:val="20"/>
                <w:szCs w:val="20"/>
              </w:rPr>
              <w:t>2,3</w:t>
            </w:r>
          </w:p>
        </w:tc>
        <w:tc>
          <w:tcPr>
            <w:tcW w:w="682" w:type="dxa"/>
            <w:tcBorders>
              <w:bottom w:val="single" w:sz="4" w:space="0" w:color="auto"/>
            </w:tcBorders>
            <w:vAlign w:val="center"/>
          </w:tcPr>
          <w:p w14:paraId="069F425F" w14:textId="77777777" w:rsidR="009A5DA1" w:rsidRPr="008205AE" w:rsidRDefault="009A5DA1" w:rsidP="002061E5">
            <w:pPr>
              <w:spacing w:after="60"/>
              <w:jc w:val="center"/>
              <w:rPr>
                <w:rFonts w:asciiTheme="majorHAnsi" w:hAnsiTheme="majorHAnsi"/>
                <w:sz w:val="20"/>
                <w:szCs w:val="20"/>
              </w:rPr>
            </w:pPr>
            <w:r w:rsidRPr="008205AE">
              <w:rPr>
                <w:rFonts w:asciiTheme="majorHAnsi" w:hAnsiTheme="majorHAnsi"/>
                <w:sz w:val="20"/>
                <w:szCs w:val="20"/>
              </w:rPr>
              <w:t>NA*</w:t>
            </w:r>
          </w:p>
        </w:tc>
      </w:tr>
      <w:tr w:rsidR="009A5DA1" w:rsidRPr="008205AE" w14:paraId="2F7C0781" w14:textId="77777777" w:rsidTr="008205AE">
        <w:trPr>
          <w:trHeight w:val="136"/>
          <w:jc w:val="center"/>
        </w:trPr>
        <w:tc>
          <w:tcPr>
            <w:tcW w:w="1559" w:type="dxa"/>
            <w:vMerge/>
            <w:vAlign w:val="center"/>
          </w:tcPr>
          <w:p w14:paraId="78C45A5F" w14:textId="77777777" w:rsidR="009A5DA1" w:rsidRPr="008205AE" w:rsidRDefault="009A5DA1" w:rsidP="002061E5">
            <w:pPr>
              <w:rPr>
                <w:rFonts w:asciiTheme="majorHAnsi" w:hAnsiTheme="majorHAnsi"/>
                <w:sz w:val="20"/>
                <w:szCs w:val="20"/>
              </w:rPr>
            </w:pPr>
          </w:p>
        </w:tc>
        <w:tc>
          <w:tcPr>
            <w:tcW w:w="5068" w:type="dxa"/>
            <w:tcBorders>
              <w:bottom w:val="single" w:sz="4" w:space="0" w:color="auto"/>
            </w:tcBorders>
            <w:shd w:val="clear" w:color="auto" w:fill="auto"/>
            <w:vAlign w:val="center"/>
          </w:tcPr>
          <w:p w14:paraId="1FCBE846" w14:textId="77777777" w:rsidR="009A5DA1" w:rsidRPr="008205AE" w:rsidRDefault="009A5DA1" w:rsidP="002061E5">
            <w:pPr>
              <w:rPr>
                <w:rFonts w:asciiTheme="majorHAnsi" w:hAnsiTheme="majorHAnsi"/>
                <w:sz w:val="20"/>
                <w:szCs w:val="20"/>
              </w:rPr>
            </w:pPr>
            <w:r w:rsidRPr="008205AE">
              <w:rPr>
                <w:rFonts w:asciiTheme="majorHAnsi" w:hAnsiTheme="majorHAnsi"/>
                <w:sz w:val="20"/>
                <w:szCs w:val="20"/>
              </w:rPr>
              <w:t>Multi-storey moment resisting frame with beams with strong partial strength connections and with integrated cladding</w:t>
            </w:r>
          </w:p>
        </w:tc>
        <w:tc>
          <w:tcPr>
            <w:tcW w:w="680" w:type="dxa"/>
            <w:tcBorders>
              <w:bottom w:val="single" w:sz="4" w:space="0" w:color="auto"/>
            </w:tcBorders>
            <w:shd w:val="clear" w:color="auto" w:fill="auto"/>
            <w:vAlign w:val="center"/>
          </w:tcPr>
          <w:p w14:paraId="6C9A7F59" w14:textId="77777777" w:rsidR="009A5DA1" w:rsidRPr="008205AE" w:rsidRDefault="009A5DA1" w:rsidP="002061E5">
            <w:pPr>
              <w:spacing w:after="60"/>
              <w:jc w:val="center"/>
              <w:rPr>
                <w:rFonts w:asciiTheme="majorHAnsi" w:hAnsiTheme="majorHAnsi"/>
                <w:sz w:val="20"/>
                <w:szCs w:val="20"/>
              </w:rPr>
            </w:pPr>
            <w:r w:rsidRPr="008205AE">
              <w:rPr>
                <w:rFonts w:asciiTheme="majorHAnsi" w:hAnsiTheme="majorHAnsi"/>
                <w:sz w:val="20"/>
                <w:szCs w:val="20"/>
              </w:rPr>
              <w:t>1,2</w:t>
            </w:r>
          </w:p>
        </w:tc>
        <w:tc>
          <w:tcPr>
            <w:tcW w:w="681" w:type="dxa"/>
            <w:tcBorders>
              <w:bottom w:val="single" w:sz="4" w:space="0" w:color="auto"/>
            </w:tcBorders>
            <w:shd w:val="clear" w:color="auto" w:fill="auto"/>
            <w:vAlign w:val="center"/>
          </w:tcPr>
          <w:p w14:paraId="7E1462D4" w14:textId="77777777" w:rsidR="009A5DA1" w:rsidRPr="008205AE" w:rsidRDefault="009A5DA1" w:rsidP="002061E5">
            <w:pPr>
              <w:spacing w:after="60"/>
              <w:jc w:val="center"/>
              <w:rPr>
                <w:rFonts w:asciiTheme="majorHAnsi" w:hAnsiTheme="majorHAnsi"/>
                <w:sz w:val="20"/>
                <w:szCs w:val="20"/>
              </w:rPr>
            </w:pPr>
            <w:r w:rsidRPr="008205AE">
              <w:rPr>
                <w:rFonts w:asciiTheme="majorHAnsi" w:hAnsiTheme="majorHAnsi"/>
                <w:sz w:val="20"/>
                <w:szCs w:val="20"/>
              </w:rPr>
              <w:t>1,4</w:t>
            </w:r>
          </w:p>
        </w:tc>
        <w:tc>
          <w:tcPr>
            <w:tcW w:w="681" w:type="dxa"/>
            <w:tcBorders>
              <w:bottom w:val="single" w:sz="4" w:space="0" w:color="auto"/>
            </w:tcBorders>
            <w:shd w:val="clear" w:color="auto" w:fill="auto"/>
            <w:vAlign w:val="center"/>
          </w:tcPr>
          <w:p w14:paraId="6F2055A0" w14:textId="77777777" w:rsidR="009A5DA1" w:rsidRPr="008205AE" w:rsidRDefault="009A5DA1" w:rsidP="002061E5">
            <w:pPr>
              <w:spacing w:after="60"/>
              <w:jc w:val="center"/>
              <w:rPr>
                <w:rFonts w:asciiTheme="majorHAnsi" w:hAnsiTheme="majorHAnsi"/>
                <w:sz w:val="20"/>
                <w:szCs w:val="20"/>
              </w:rPr>
            </w:pPr>
            <w:r w:rsidRPr="008205AE">
              <w:rPr>
                <w:rFonts w:asciiTheme="majorHAnsi" w:hAnsiTheme="majorHAnsi"/>
                <w:sz w:val="20"/>
                <w:szCs w:val="20"/>
              </w:rPr>
              <w:t>NA*</w:t>
            </w:r>
          </w:p>
        </w:tc>
        <w:tc>
          <w:tcPr>
            <w:tcW w:w="681" w:type="dxa"/>
            <w:tcBorders>
              <w:bottom w:val="single" w:sz="4" w:space="0" w:color="auto"/>
            </w:tcBorders>
            <w:vAlign w:val="center"/>
          </w:tcPr>
          <w:p w14:paraId="4681C9A5" w14:textId="77777777" w:rsidR="009A5DA1" w:rsidRPr="008205AE" w:rsidRDefault="009A5DA1" w:rsidP="002061E5">
            <w:pPr>
              <w:spacing w:after="60"/>
              <w:jc w:val="center"/>
              <w:rPr>
                <w:rFonts w:asciiTheme="majorHAnsi" w:hAnsiTheme="majorHAnsi"/>
                <w:sz w:val="20"/>
                <w:szCs w:val="20"/>
              </w:rPr>
            </w:pPr>
            <w:r w:rsidRPr="008205AE">
              <w:rPr>
                <w:rFonts w:asciiTheme="majorHAnsi" w:hAnsiTheme="majorHAnsi"/>
                <w:sz w:val="20"/>
                <w:szCs w:val="20"/>
              </w:rPr>
              <w:t>2,5</w:t>
            </w:r>
          </w:p>
        </w:tc>
        <w:tc>
          <w:tcPr>
            <w:tcW w:w="682" w:type="dxa"/>
            <w:tcBorders>
              <w:bottom w:val="single" w:sz="4" w:space="0" w:color="auto"/>
            </w:tcBorders>
            <w:vAlign w:val="center"/>
          </w:tcPr>
          <w:p w14:paraId="7C2195C8" w14:textId="77777777" w:rsidR="009A5DA1" w:rsidRPr="008205AE" w:rsidRDefault="009A5DA1" w:rsidP="002061E5">
            <w:pPr>
              <w:spacing w:after="60"/>
              <w:jc w:val="center"/>
              <w:rPr>
                <w:rFonts w:asciiTheme="majorHAnsi" w:hAnsiTheme="majorHAnsi"/>
                <w:sz w:val="20"/>
                <w:szCs w:val="20"/>
              </w:rPr>
            </w:pPr>
            <w:r w:rsidRPr="008205AE">
              <w:rPr>
                <w:rFonts w:asciiTheme="majorHAnsi" w:hAnsiTheme="majorHAnsi"/>
                <w:sz w:val="20"/>
                <w:szCs w:val="20"/>
              </w:rPr>
              <w:t>NA*</w:t>
            </w:r>
          </w:p>
        </w:tc>
      </w:tr>
      <w:tr w:rsidR="009A5DA1" w:rsidRPr="008205AE" w14:paraId="5542329A" w14:textId="77777777" w:rsidTr="008205AE">
        <w:trPr>
          <w:trHeight w:val="136"/>
          <w:jc w:val="center"/>
        </w:trPr>
        <w:tc>
          <w:tcPr>
            <w:tcW w:w="6627" w:type="dxa"/>
            <w:gridSpan w:val="2"/>
            <w:shd w:val="clear" w:color="auto" w:fill="auto"/>
            <w:vAlign w:val="center"/>
          </w:tcPr>
          <w:p w14:paraId="44389E6E" w14:textId="69C40E84" w:rsidR="009A5DA1" w:rsidRPr="008205AE" w:rsidRDefault="009A5DA1" w:rsidP="002061E5">
            <w:pPr>
              <w:rPr>
                <w:sz w:val="20"/>
                <w:szCs w:val="20"/>
              </w:rPr>
            </w:pPr>
            <w:r w:rsidRPr="008205AE">
              <w:rPr>
                <w:rFonts w:eastAsia="Cambria,Bold"/>
                <w:sz w:val="20"/>
                <w:szCs w:val="20"/>
              </w:rPr>
              <w:t>Large walls structures and cell structures (</w:t>
            </w:r>
            <w:r w:rsidRPr="008205AE">
              <w:rPr>
                <w:sz w:val="20"/>
                <w:szCs w:val="20"/>
              </w:rPr>
              <w:t xml:space="preserve">factor </w:t>
            </w:r>
            <w:r w:rsidRPr="008205AE">
              <w:rPr>
                <w:i/>
                <w:iCs/>
                <w:sz w:val="20"/>
                <w:szCs w:val="20"/>
              </w:rPr>
              <w:t>k</w:t>
            </w:r>
            <w:r w:rsidRPr="008205AE">
              <w:rPr>
                <w:sz w:val="20"/>
                <w:szCs w:val="20"/>
                <w:vertAlign w:val="subscript"/>
              </w:rPr>
              <w:t>w</w:t>
            </w:r>
            <w:r w:rsidRPr="008205AE">
              <w:rPr>
                <w:sz w:val="20"/>
                <w:szCs w:val="20"/>
              </w:rPr>
              <w:t xml:space="preserve"> given by Formula</w:t>
            </w:r>
            <w:r w:rsidR="009B7FB1">
              <w:rPr>
                <w:sz w:val="20"/>
                <w:szCs w:val="20"/>
              </w:rPr>
              <w:t> </w:t>
            </w:r>
            <w:r w:rsidRPr="008205AE">
              <w:rPr>
                <w:sz w:val="20"/>
                <w:szCs w:val="20"/>
              </w:rPr>
              <w:t>(10.1))</w:t>
            </w:r>
          </w:p>
        </w:tc>
        <w:tc>
          <w:tcPr>
            <w:tcW w:w="680" w:type="dxa"/>
            <w:shd w:val="clear" w:color="auto" w:fill="auto"/>
            <w:vAlign w:val="center"/>
          </w:tcPr>
          <w:p w14:paraId="4B22AF23" w14:textId="77777777" w:rsidR="009A5DA1" w:rsidRPr="008205AE" w:rsidRDefault="009A5DA1" w:rsidP="002061E5">
            <w:pPr>
              <w:spacing w:after="60"/>
              <w:jc w:val="center"/>
              <w:rPr>
                <w:rFonts w:asciiTheme="majorHAnsi" w:hAnsiTheme="majorHAnsi"/>
                <w:sz w:val="20"/>
                <w:szCs w:val="20"/>
              </w:rPr>
            </w:pPr>
            <w:r w:rsidRPr="008205AE">
              <w:rPr>
                <w:rFonts w:asciiTheme="majorHAnsi" w:hAnsiTheme="majorHAnsi"/>
                <w:sz w:val="20"/>
                <w:szCs w:val="20"/>
              </w:rPr>
              <w:t>-</w:t>
            </w:r>
          </w:p>
        </w:tc>
        <w:tc>
          <w:tcPr>
            <w:tcW w:w="681" w:type="dxa"/>
            <w:shd w:val="clear" w:color="auto" w:fill="auto"/>
            <w:vAlign w:val="center"/>
          </w:tcPr>
          <w:p w14:paraId="0CA5AF01" w14:textId="77777777" w:rsidR="009A5DA1" w:rsidRPr="008205AE" w:rsidRDefault="009A5DA1" w:rsidP="002061E5">
            <w:pPr>
              <w:spacing w:after="60"/>
              <w:jc w:val="center"/>
              <w:rPr>
                <w:rFonts w:asciiTheme="majorHAnsi" w:hAnsiTheme="majorHAnsi"/>
                <w:sz w:val="20"/>
                <w:szCs w:val="20"/>
              </w:rPr>
            </w:pPr>
            <w:r w:rsidRPr="008205AE">
              <w:rPr>
                <w:rFonts w:asciiTheme="majorHAnsi" w:hAnsiTheme="majorHAnsi"/>
                <w:sz w:val="20"/>
                <w:szCs w:val="20"/>
              </w:rPr>
              <w:t>-</w:t>
            </w:r>
          </w:p>
        </w:tc>
        <w:tc>
          <w:tcPr>
            <w:tcW w:w="681" w:type="dxa"/>
            <w:shd w:val="clear" w:color="auto" w:fill="auto"/>
            <w:vAlign w:val="center"/>
          </w:tcPr>
          <w:p w14:paraId="4B37724F" w14:textId="77777777" w:rsidR="009A5DA1" w:rsidRPr="008205AE" w:rsidRDefault="009A5DA1" w:rsidP="002061E5">
            <w:pPr>
              <w:spacing w:after="60"/>
              <w:jc w:val="center"/>
              <w:rPr>
                <w:rFonts w:asciiTheme="majorHAnsi" w:hAnsiTheme="majorHAnsi"/>
                <w:sz w:val="20"/>
                <w:szCs w:val="20"/>
              </w:rPr>
            </w:pPr>
            <w:r w:rsidRPr="008205AE">
              <w:rPr>
                <w:rFonts w:asciiTheme="majorHAnsi" w:hAnsiTheme="majorHAnsi"/>
                <w:sz w:val="20"/>
                <w:szCs w:val="20"/>
              </w:rPr>
              <w:t>-</w:t>
            </w:r>
          </w:p>
        </w:tc>
        <w:tc>
          <w:tcPr>
            <w:tcW w:w="681" w:type="dxa"/>
            <w:vAlign w:val="center"/>
          </w:tcPr>
          <w:p w14:paraId="29291C57" w14:textId="77777777" w:rsidR="009A5DA1" w:rsidRPr="008205AE" w:rsidRDefault="009A5DA1" w:rsidP="002061E5">
            <w:pPr>
              <w:spacing w:after="60"/>
              <w:jc w:val="center"/>
              <w:rPr>
                <w:sz w:val="20"/>
                <w:szCs w:val="20"/>
              </w:rPr>
            </w:pPr>
            <w:r w:rsidRPr="008205AE">
              <w:rPr>
                <w:rFonts w:eastAsia="Cambria,Bold"/>
                <w:sz w:val="20"/>
                <w:szCs w:val="20"/>
              </w:rPr>
              <w:t>3</w:t>
            </w:r>
            <w:r w:rsidRPr="008205AE">
              <w:rPr>
                <w:rFonts w:eastAsia="Cambria,Bold"/>
                <w:i/>
                <w:iCs/>
                <w:sz w:val="20"/>
                <w:szCs w:val="20"/>
              </w:rPr>
              <w:t>k</w:t>
            </w:r>
            <w:r w:rsidRPr="008205AE">
              <w:rPr>
                <w:rFonts w:eastAsia="Cambria,Bold"/>
                <w:i/>
                <w:iCs/>
                <w:sz w:val="20"/>
                <w:szCs w:val="20"/>
                <w:vertAlign w:val="subscript"/>
              </w:rPr>
              <w:t>w</w:t>
            </w:r>
          </w:p>
        </w:tc>
        <w:tc>
          <w:tcPr>
            <w:tcW w:w="682" w:type="dxa"/>
            <w:vAlign w:val="center"/>
          </w:tcPr>
          <w:p w14:paraId="2930EEB4" w14:textId="77777777" w:rsidR="009A5DA1" w:rsidRPr="008205AE" w:rsidRDefault="009A5DA1" w:rsidP="002061E5">
            <w:pPr>
              <w:spacing w:after="60"/>
              <w:jc w:val="center"/>
              <w:rPr>
                <w:sz w:val="20"/>
                <w:szCs w:val="20"/>
              </w:rPr>
            </w:pPr>
            <w:r w:rsidRPr="008205AE">
              <w:rPr>
                <w:rFonts w:eastAsia="Cambria,Bold"/>
                <w:sz w:val="20"/>
                <w:szCs w:val="20"/>
              </w:rPr>
              <w:t>3</w:t>
            </w:r>
            <w:r w:rsidRPr="008205AE">
              <w:rPr>
                <w:rFonts w:eastAsia="Cambria,Bold"/>
                <w:i/>
                <w:iCs/>
                <w:sz w:val="20"/>
                <w:szCs w:val="20"/>
              </w:rPr>
              <w:t>k</w:t>
            </w:r>
            <w:r w:rsidRPr="008205AE">
              <w:rPr>
                <w:rFonts w:eastAsia="Cambria,Bold"/>
                <w:i/>
                <w:iCs/>
                <w:sz w:val="20"/>
                <w:szCs w:val="20"/>
                <w:vertAlign w:val="subscript"/>
              </w:rPr>
              <w:t>w</w:t>
            </w:r>
          </w:p>
        </w:tc>
      </w:tr>
      <w:tr w:rsidR="009A5DA1" w:rsidRPr="008205AE" w14:paraId="69E4B037" w14:textId="77777777" w:rsidTr="008205AE">
        <w:trPr>
          <w:trHeight w:val="467"/>
          <w:jc w:val="center"/>
        </w:trPr>
        <w:tc>
          <w:tcPr>
            <w:tcW w:w="10032" w:type="dxa"/>
            <w:gridSpan w:val="7"/>
            <w:shd w:val="clear" w:color="auto" w:fill="auto"/>
            <w:vAlign w:val="center"/>
          </w:tcPr>
          <w:p w14:paraId="679C1529" w14:textId="77777777" w:rsidR="009A5DA1" w:rsidRPr="008205AE" w:rsidRDefault="009A5DA1" w:rsidP="008205AE">
            <w:pPr>
              <w:jc w:val="left"/>
              <w:rPr>
                <w:rFonts w:eastAsia="Cambria,Bold"/>
                <w:sz w:val="20"/>
                <w:szCs w:val="20"/>
              </w:rPr>
            </w:pPr>
            <w:r w:rsidRPr="008205AE">
              <w:rPr>
                <w:rFonts w:cstheme="minorHAnsi"/>
                <w:sz w:val="20"/>
                <w:szCs w:val="20"/>
              </w:rPr>
              <w:t>NA*: Not Applicable</w:t>
            </w:r>
            <w:r w:rsidRPr="008205AE">
              <w:rPr>
                <w:rFonts w:cstheme="minorHAnsi"/>
                <w:sz w:val="20"/>
                <w:szCs w:val="20"/>
              </w:rPr>
              <w:tab/>
            </w:r>
            <w:r w:rsidRPr="008205AE">
              <w:rPr>
                <w:rFonts w:cstheme="minorHAnsi"/>
                <w:sz w:val="20"/>
                <w:szCs w:val="20"/>
              </w:rPr>
              <w:tab/>
              <w:t xml:space="preserve">NA**: </w:t>
            </w:r>
            <w:r w:rsidRPr="008205AE">
              <w:rPr>
                <w:rFonts w:asciiTheme="majorHAnsi" w:hAnsiTheme="majorHAnsi"/>
                <w:sz w:val="20"/>
                <w:szCs w:val="20"/>
              </w:rPr>
              <w:t>Inverted pendulum</w:t>
            </w:r>
            <w:r w:rsidRPr="008205AE">
              <w:rPr>
                <w:rFonts w:cstheme="minorHAnsi"/>
                <w:sz w:val="20"/>
                <w:szCs w:val="20"/>
              </w:rPr>
              <w:t xml:space="preserve"> – DC1 design only</w:t>
            </w:r>
          </w:p>
        </w:tc>
      </w:tr>
    </w:tbl>
    <w:p w14:paraId="05492485" w14:textId="77777777" w:rsidR="009A5DA1" w:rsidRPr="007E6F67" w:rsidRDefault="009A5DA1" w:rsidP="009A5DA1">
      <w:pPr>
        <w:pStyle w:val="Heading3"/>
      </w:pPr>
      <w:bookmarkStart w:id="8166" w:name="_Toc533172352"/>
      <w:bookmarkStart w:id="8167" w:name="_Toc534451615"/>
      <w:bookmarkStart w:id="8168" w:name="_Toc534451888"/>
      <w:bookmarkStart w:id="8169" w:name="_Toc534452161"/>
      <w:bookmarkStart w:id="8170" w:name="_Toc534453001"/>
      <w:bookmarkStart w:id="8171" w:name="_Toc534629427"/>
      <w:bookmarkStart w:id="8172" w:name="_Toc534629701"/>
      <w:bookmarkStart w:id="8173" w:name="_Toc534649470"/>
      <w:bookmarkStart w:id="8174" w:name="_Toc534715529"/>
      <w:bookmarkStart w:id="8175" w:name="_Toc534734667"/>
      <w:bookmarkStart w:id="8176" w:name="_Toc534734943"/>
      <w:bookmarkStart w:id="8177" w:name="_Toc536717608"/>
      <w:bookmarkStart w:id="8178" w:name="_Toc536862785"/>
      <w:bookmarkStart w:id="8179" w:name="_Toc536864153"/>
      <w:bookmarkStart w:id="8180" w:name="_Toc536864540"/>
      <w:bookmarkStart w:id="8181" w:name="_Toc536865041"/>
      <w:bookmarkStart w:id="8182" w:name="_Toc536865356"/>
      <w:bookmarkStart w:id="8183" w:name="_Toc536865671"/>
      <w:bookmarkStart w:id="8184" w:name="_Toc536865986"/>
      <w:bookmarkStart w:id="8185" w:name="_Toc536866301"/>
      <w:bookmarkStart w:id="8186" w:name="_Toc536866616"/>
      <w:bookmarkStart w:id="8187" w:name="_Toc536866931"/>
      <w:bookmarkStart w:id="8188" w:name="_Toc536867246"/>
      <w:bookmarkStart w:id="8189" w:name="_Toc536867561"/>
      <w:bookmarkStart w:id="8190" w:name="_Toc536867844"/>
      <w:bookmarkStart w:id="8191" w:name="_Toc536868127"/>
      <w:bookmarkStart w:id="8192" w:name="_Toc536869024"/>
      <w:bookmarkStart w:id="8193" w:name="_Toc536869355"/>
      <w:bookmarkStart w:id="8194" w:name="_Toc128198"/>
      <w:bookmarkStart w:id="8195" w:name="_Toc128592"/>
      <w:bookmarkStart w:id="8196" w:name="_Toc128986"/>
      <w:bookmarkStart w:id="8197" w:name="_Toc129380"/>
      <w:bookmarkStart w:id="8198" w:name="_Toc129774"/>
      <w:bookmarkStart w:id="8199" w:name="_Toc130167"/>
      <w:bookmarkStart w:id="8200" w:name="_Toc130561"/>
      <w:bookmarkStart w:id="8201" w:name="_Toc130955"/>
      <w:bookmarkStart w:id="8202" w:name="_Toc131349"/>
      <w:bookmarkStart w:id="8203" w:name="_Toc289244"/>
      <w:bookmarkStart w:id="8204" w:name="_Toc338410"/>
      <w:bookmarkStart w:id="8205" w:name="_Toc705842"/>
      <w:bookmarkStart w:id="8206" w:name="_Toc706828"/>
      <w:bookmarkStart w:id="8207" w:name="_Toc709137"/>
      <w:bookmarkStart w:id="8208" w:name="_Toc710502"/>
      <w:bookmarkStart w:id="8209" w:name="_Toc970523"/>
      <w:bookmarkStart w:id="8210" w:name="_Toc970898"/>
      <w:bookmarkStart w:id="8211" w:name="_Toc1135598"/>
      <w:bookmarkStart w:id="8212" w:name="_Toc1165912"/>
      <w:bookmarkStart w:id="8213" w:name="_Toc1207977"/>
      <w:bookmarkStart w:id="8214" w:name="_Toc1408593"/>
      <w:bookmarkStart w:id="8215" w:name="_Toc533172353"/>
      <w:bookmarkStart w:id="8216" w:name="_Toc534451616"/>
      <w:bookmarkStart w:id="8217" w:name="_Toc534451889"/>
      <w:bookmarkStart w:id="8218" w:name="_Toc534452162"/>
      <w:bookmarkStart w:id="8219" w:name="_Toc534453002"/>
      <w:bookmarkStart w:id="8220" w:name="_Toc534629428"/>
      <w:bookmarkStart w:id="8221" w:name="_Toc534629702"/>
      <w:bookmarkStart w:id="8222" w:name="_Toc534649471"/>
      <w:bookmarkStart w:id="8223" w:name="_Toc534715530"/>
      <w:bookmarkStart w:id="8224" w:name="_Toc534734668"/>
      <w:bookmarkStart w:id="8225" w:name="_Toc534734944"/>
      <w:bookmarkStart w:id="8226" w:name="_Toc536717609"/>
      <w:bookmarkStart w:id="8227" w:name="_Toc536862786"/>
      <w:bookmarkStart w:id="8228" w:name="_Toc536864154"/>
      <w:bookmarkStart w:id="8229" w:name="_Toc536864541"/>
      <w:bookmarkStart w:id="8230" w:name="_Toc536865042"/>
      <w:bookmarkStart w:id="8231" w:name="_Toc536865357"/>
      <w:bookmarkStart w:id="8232" w:name="_Toc536865672"/>
      <w:bookmarkStart w:id="8233" w:name="_Toc536865987"/>
      <w:bookmarkStart w:id="8234" w:name="_Toc536866302"/>
      <w:bookmarkStart w:id="8235" w:name="_Toc536866617"/>
      <w:bookmarkStart w:id="8236" w:name="_Toc536866932"/>
      <w:bookmarkStart w:id="8237" w:name="_Toc536867247"/>
      <w:bookmarkStart w:id="8238" w:name="_Toc536867562"/>
      <w:bookmarkStart w:id="8239" w:name="_Toc536867845"/>
      <w:bookmarkStart w:id="8240" w:name="_Toc536868128"/>
      <w:bookmarkStart w:id="8241" w:name="_Toc536869025"/>
      <w:bookmarkStart w:id="8242" w:name="_Toc536869356"/>
      <w:bookmarkStart w:id="8243" w:name="_Toc128199"/>
      <w:bookmarkStart w:id="8244" w:name="_Toc128593"/>
      <w:bookmarkStart w:id="8245" w:name="_Toc128987"/>
      <w:bookmarkStart w:id="8246" w:name="_Toc129381"/>
      <w:bookmarkStart w:id="8247" w:name="_Toc129775"/>
      <w:bookmarkStart w:id="8248" w:name="_Toc130168"/>
      <w:bookmarkStart w:id="8249" w:name="_Toc130562"/>
      <w:bookmarkStart w:id="8250" w:name="_Toc130956"/>
      <w:bookmarkStart w:id="8251" w:name="_Toc131350"/>
      <w:bookmarkStart w:id="8252" w:name="_Toc289245"/>
      <w:bookmarkStart w:id="8253" w:name="_Toc338411"/>
      <w:bookmarkStart w:id="8254" w:name="_Toc705843"/>
      <w:bookmarkStart w:id="8255" w:name="_Toc706829"/>
      <w:bookmarkStart w:id="8256" w:name="_Toc709138"/>
      <w:bookmarkStart w:id="8257" w:name="_Toc710503"/>
      <w:bookmarkStart w:id="8258" w:name="_Toc970524"/>
      <w:bookmarkStart w:id="8259" w:name="_Toc970899"/>
      <w:bookmarkStart w:id="8260" w:name="_Toc1135599"/>
      <w:bookmarkStart w:id="8261" w:name="_Toc1165913"/>
      <w:bookmarkStart w:id="8262" w:name="_Toc1207978"/>
      <w:bookmarkStart w:id="8263" w:name="_Toc1408594"/>
      <w:bookmarkStart w:id="8264" w:name="_Toc522279747"/>
      <w:bookmarkStart w:id="8265" w:name="_Toc17934224"/>
      <w:bookmarkStart w:id="8266" w:name="_Toc50150403"/>
      <w:bookmarkStart w:id="8267" w:name="_Toc70886835"/>
      <w:bookmarkStart w:id="8268" w:name="_Toc108342386"/>
      <w:bookmarkStart w:id="8269" w:name="_Toc134197924"/>
      <w:bookmarkEnd w:id="8166"/>
      <w:bookmarkEnd w:id="8167"/>
      <w:bookmarkEnd w:id="8168"/>
      <w:bookmarkEnd w:id="8169"/>
      <w:bookmarkEnd w:id="8170"/>
      <w:bookmarkEnd w:id="8171"/>
      <w:bookmarkEnd w:id="8172"/>
      <w:bookmarkEnd w:id="8173"/>
      <w:bookmarkEnd w:id="8174"/>
      <w:bookmarkEnd w:id="8175"/>
      <w:bookmarkEnd w:id="8176"/>
      <w:bookmarkEnd w:id="8177"/>
      <w:bookmarkEnd w:id="8178"/>
      <w:bookmarkEnd w:id="8179"/>
      <w:bookmarkEnd w:id="8180"/>
      <w:bookmarkEnd w:id="8181"/>
      <w:bookmarkEnd w:id="8182"/>
      <w:bookmarkEnd w:id="8183"/>
      <w:bookmarkEnd w:id="8184"/>
      <w:bookmarkEnd w:id="8185"/>
      <w:bookmarkEnd w:id="8186"/>
      <w:bookmarkEnd w:id="8187"/>
      <w:bookmarkEnd w:id="8188"/>
      <w:bookmarkEnd w:id="8189"/>
      <w:bookmarkEnd w:id="8190"/>
      <w:bookmarkEnd w:id="8191"/>
      <w:bookmarkEnd w:id="8192"/>
      <w:bookmarkEnd w:id="8193"/>
      <w:bookmarkEnd w:id="8194"/>
      <w:bookmarkEnd w:id="8195"/>
      <w:bookmarkEnd w:id="8196"/>
      <w:bookmarkEnd w:id="8197"/>
      <w:bookmarkEnd w:id="8198"/>
      <w:bookmarkEnd w:id="8199"/>
      <w:bookmarkEnd w:id="8200"/>
      <w:bookmarkEnd w:id="8201"/>
      <w:bookmarkEnd w:id="8202"/>
      <w:bookmarkEnd w:id="8203"/>
      <w:bookmarkEnd w:id="8204"/>
      <w:bookmarkEnd w:id="8205"/>
      <w:bookmarkEnd w:id="8206"/>
      <w:bookmarkEnd w:id="8207"/>
      <w:bookmarkEnd w:id="8208"/>
      <w:bookmarkEnd w:id="8209"/>
      <w:bookmarkEnd w:id="8210"/>
      <w:bookmarkEnd w:id="8211"/>
      <w:bookmarkEnd w:id="8212"/>
      <w:bookmarkEnd w:id="8213"/>
      <w:bookmarkEnd w:id="8214"/>
      <w:bookmarkEnd w:id="8215"/>
      <w:bookmarkEnd w:id="8216"/>
      <w:bookmarkEnd w:id="8217"/>
      <w:bookmarkEnd w:id="8218"/>
      <w:bookmarkEnd w:id="8219"/>
      <w:bookmarkEnd w:id="8220"/>
      <w:bookmarkEnd w:id="8221"/>
      <w:bookmarkEnd w:id="8222"/>
      <w:bookmarkEnd w:id="8223"/>
      <w:bookmarkEnd w:id="8224"/>
      <w:bookmarkEnd w:id="8225"/>
      <w:bookmarkEnd w:id="8226"/>
      <w:bookmarkEnd w:id="8227"/>
      <w:bookmarkEnd w:id="8228"/>
      <w:bookmarkEnd w:id="8229"/>
      <w:bookmarkEnd w:id="8230"/>
      <w:bookmarkEnd w:id="8231"/>
      <w:bookmarkEnd w:id="8232"/>
      <w:bookmarkEnd w:id="8233"/>
      <w:bookmarkEnd w:id="8234"/>
      <w:bookmarkEnd w:id="8235"/>
      <w:bookmarkEnd w:id="8236"/>
      <w:bookmarkEnd w:id="8237"/>
      <w:bookmarkEnd w:id="8238"/>
      <w:bookmarkEnd w:id="8239"/>
      <w:bookmarkEnd w:id="8240"/>
      <w:bookmarkEnd w:id="8241"/>
      <w:bookmarkEnd w:id="8242"/>
      <w:bookmarkEnd w:id="8243"/>
      <w:bookmarkEnd w:id="8244"/>
      <w:bookmarkEnd w:id="8245"/>
      <w:bookmarkEnd w:id="8246"/>
      <w:bookmarkEnd w:id="8247"/>
      <w:bookmarkEnd w:id="8248"/>
      <w:bookmarkEnd w:id="8249"/>
      <w:bookmarkEnd w:id="8250"/>
      <w:bookmarkEnd w:id="8251"/>
      <w:bookmarkEnd w:id="8252"/>
      <w:bookmarkEnd w:id="8253"/>
      <w:bookmarkEnd w:id="8254"/>
      <w:bookmarkEnd w:id="8255"/>
      <w:bookmarkEnd w:id="8256"/>
      <w:bookmarkEnd w:id="8257"/>
      <w:bookmarkEnd w:id="8258"/>
      <w:bookmarkEnd w:id="8259"/>
      <w:bookmarkEnd w:id="8260"/>
      <w:bookmarkEnd w:id="8261"/>
      <w:bookmarkEnd w:id="8262"/>
      <w:bookmarkEnd w:id="8263"/>
      <w:r w:rsidRPr="00D1484A">
        <w:t>Rules applicable to all structural types and to DC1, DC2 and DC3</w:t>
      </w:r>
      <w:bookmarkEnd w:id="8264"/>
      <w:bookmarkEnd w:id="8265"/>
      <w:bookmarkEnd w:id="8266"/>
      <w:bookmarkEnd w:id="8267"/>
      <w:bookmarkEnd w:id="8268"/>
      <w:bookmarkEnd w:id="8269"/>
    </w:p>
    <w:p w14:paraId="620AC36D" w14:textId="3E7D34BA" w:rsidR="009A5DA1" w:rsidRPr="00190DAA" w:rsidRDefault="009A5DA1" w:rsidP="0080187E">
      <w:pPr>
        <w:pStyle w:val="Clause"/>
        <w:numPr>
          <w:ilvl w:val="0"/>
          <w:numId w:val="348"/>
        </w:numPr>
      </w:pPr>
      <w:r w:rsidRPr="00E05E29">
        <w:t>Unless otherwise specified</w:t>
      </w:r>
      <w:r w:rsidRPr="00190DAA">
        <w:t>, 10.1 to 10.13 and 10.15 should be applied, complemented with 10.14.</w:t>
      </w:r>
    </w:p>
    <w:p w14:paraId="51F826E1" w14:textId="645C9311" w:rsidR="009A5DA1" w:rsidRPr="00190DAA" w:rsidRDefault="009A5DA1" w:rsidP="00724E4E">
      <w:pPr>
        <w:pStyle w:val="Clause"/>
      </w:pPr>
      <w:r w:rsidRPr="00190DAA">
        <w:t>The models for analysis should comply with a) to i):</w:t>
      </w:r>
    </w:p>
    <w:p w14:paraId="37F8705D" w14:textId="77777777" w:rsidR="009A5DA1" w:rsidRPr="00190DAA" w:rsidRDefault="009A5DA1" w:rsidP="0080187E">
      <w:pPr>
        <w:pStyle w:val="List2"/>
        <w:numPr>
          <w:ilvl w:val="0"/>
          <w:numId w:val="144"/>
        </w:numPr>
        <w:spacing w:before="0" w:after="240" w:line="230" w:lineRule="atLeast"/>
        <w:contextualSpacing w:val="0"/>
      </w:pPr>
      <w:r w:rsidRPr="00190DAA">
        <w:t>the eccentricities between members should be modelled;</w:t>
      </w:r>
    </w:p>
    <w:p w14:paraId="50FB6578" w14:textId="77777777" w:rsidR="009A5DA1" w:rsidRPr="00190DAA" w:rsidRDefault="009A5DA1" w:rsidP="0080187E">
      <w:pPr>
        <w:pStyle w:val="List2"/>
        <w:numPr>
          <w:ilvl w:val="0"/>
          <w:numId w:val="144"/>
        </w:numPr>
        <w:spacing w:before="0" w:after="240" w:line="230" w:lineRule="atLeast"/>
        <w:contextualSpacing w:val="0"/>
      </w:pPr>
      <w:r w:rsidRPr="00190DAA">
        <w:t>the joints between the members should be represented with their degrees of freedom in the different planes;</w:t>
      </w:r>
    </w:p>
    <w:p w14:paraId="57708396" w14:textId="2FA5F9B7" w:rsidR="009A5DA1" w:rsidRPr="00190DAA" w:rsidRDefault="009A5DA1" w:rsidP="0080187E">
      <w:pPr>
        <w:pStyle w:val="List2"/>
        <w:numPr>
          <w:ilvl w:val="0"/>
          <w:numId w:val="144"/>
        </w:numPr>
        <w:spacing w:before="0" w:after="240" w:line="230" w:lineRule="atLeast"/>
        <w:contextualSpacing w:val="0"/>
      </w:pPr>
      <w:r w:rsidRPr="00190DAA">
        <w:t>the joints should be character</w:t>
      </w:r>
      <w:r w:rsidR="00E10A24">
        <w:t>ize</w:t>
      </w:r>
      <w:r w:rsidRPr="00190DAA">
        <w:t xml:space="preserve">d by parameters related to the type of analysis as </w:t>
      </w:r>
      <w:r w:rsidRPr="00190DAA">
        <w:rPr>
          <w:rFonts w:eastAsia="Cambria" w:cs="Segoe UI"/>
          <w:color w:val="000000" w:themeColor="text1"/>
          <w:lang w:eastAsia="de-DE"/>
        </w:rPr>
        <w:t>defined in prEN</w:t>
      </w:r>
      <w:r w:rsidR="009B7FB1">
        <w:rPr>
          <w:rFonts w:eastAsia="Cambria" w:cs="Segoe UI"/>
          <w:color w:val="000000" w:themeColor="text1"/>
          <w:lang w:eastAsia="de-DE"/>
        </w:rPr>
        <w:t> </w:t>
      </w:r>
      <w:r w:rsidRPr="00190DAA">
        <w:rPr>
          <w:rFonts w:eastAsia="Cambria" w:cs="Segoe UI"/>
          <w:color w:val="000000" w:themeColor="text1"/>
          <w:lang w:eastAsia="de-DE"/>
        </w:rPr>
        <w:t>1998-1-1:2022, 6.2</w:t>
      </w:r>
      <w:r w:rsidRPr="00190DAA">
        <w:t>;</w:t>
      </w:r>
    </w:p>
    <w:p w14:paraId="1274E6EA" w14:textId="77777777" w:rsidR="009A5DA1" w:rsidRPr="00132C1E" w:rsidRDefault="009A5DA1" w:rsidP="0080187E">
      <w:pPr>
        <w:pStyle w:val="List2"/>
        <w:numPr>
          <w:ilvl w:val="0"/>
          <w:numId w:val="144"/>
        </w:numPr>
        <w:spacing w:before="0" w:after="240" w:line="230" w:lineRule="atLeast"/>
        <w:contextualSpacing w:val="0"/>
      </w:pPr>
      <w:r w:rsidRPr="00132C1E">
        <w:t>the data on joints required for the analysis and for verifications should be based on experimental evidence or on models based on such experimental evidence;</w:t>
      </w:r>
    </w:p>
    <w:p w14:paraId="29CB552F" w14:textId="77777777" w:rsidR="009A5DA1" w:rsidRPr="00132C1E" w:rsidRDefault="009A5DA1" w:rsidP="0080187E">
      <w:pPr>
        <w:pStyle w:val="List2"/>
        <w:numPr>
          <w:ilvl w:val="0"/>
          <w:numId w:val="144"/>
        </w:numPr>
        <w:spacing w:before="0" w:after="240" w:line="230" w:lineRule="atLeast"/>
        <w:contextualSpacing w:val="0"/>
      </w:pPr>
      <w:r w:rsidRPr="00132C1E">
        <w:lastRenderedPageBreak/>
        <w:t>experimental evidence may be based on existing data; if such data is not available, they should be established by experiments;</w:t>
      </w:r>
    </w:p>
    <w:p w14:paraId="788FAC0F" w14:textId="00081B30" w:rsidR="009A5DA1" w:rsidRPr="00132C1E" w:rsidRDefault="009A5DA1" w:rsidP="009B7FB1">
      <w:pPr>
        <w:pStyle w:val="Notetext"/>
        <w:tabs>
          <w:tab w:val="left" w:pos="1134"/>
        </w:tabs>
        <w:ind w:left="360"/>
      </w:pPr>
      <w:r w:rsidRPr="00132C1E">
        <w:t>NOTE</w:t>
      </w:r>
      <w:r w:rsidRPr="00132C1E">
        <w:tab/>
      </w:r>
      <w:r w:rsidRPr="00D6416E">
        <w:t>pr</w:t>
      </w:r>
      <w:r>
        <w:t>C</w:t>
      </w:r>
      <w:r w:rsidRPr="00D6416E">
        <w:t>EN/TS</w:t>
      </w:r>
      <w:r w:rsidR="009C2A06">
        <w:t> </w:t>
      </w:r>
      <w:r w:rsidRPr="00D6416E">
        <w:t>1998-</w:t>
      </w:r>
      <w:r w:rsidR="00460A67">
        <w:t xml:space="preserve">1-101 </w:t>
      </w:r>
      <w:r w:rsidRPr="00132C1E">
        <w:t>gives information concerning cyclic testing of components.</w:t>
      </w:r>
    </w:p>
    <w:p w14:paraId="3AC8C04C" w14:textId="77777777" w:rsidR="009A5DA1" w:rsidRPr="00132C1E" w:rsidRDefault="009A5DA1" w:rsidP="0080187E">
      <w:pPr>
        <w:pStyle w:val="List2"/>
        <w:numPr>
          <w:ilvl w:val="0"/>
          <w:numId w:val="144"/>
        </w:numPr>
        <w:spacing w:before="0" w:after="240" w:line="230" w:lineRule="atLeast"/>
        <w:contextualSpacing w:val="0"/>
      </w:pPr>
      <w:r w:rsidRPr="00132C1E">
        <w:t>the in-plane flexibility of the floors and roof precast members, the flexibility of the joints of floors and roof members to the beams and the flexibility of peripheral beams in the horizontal plane should be taken into account in the model;</w:t>
      </w:r>
    </w:p>
    <w:p w14:paraId="4285FF66" w14:textId="77777777" w:rsidR="009A5DA1" w:rsidRPr="00132C1E" w:rsidRDefault="009A5DA1" w:rsidP="0080187E">
      <w:pPr>
        <w:pStyle w:val="List2"/>
        <w:numPr>
          <w:ilvl w:val="0"/>
          <w:numId w:val="144"/>
        </w:numPr>
        <w:spacing w:before="0" w:after="240" w:line="230" w:lineRule="atLeast"/>
        <w:contextualSpacing w:val="0"/>
        <w:rPr>
          <w:rFonts w:eastAsia="Cambria"/>
        </w:rPr>
      </w:pPr>
      <w:r w:rsidRPr="00132C1E">
        <w:t xml:space="preserve">the effect of rocking panels attached to the main structure by means of isostatic </w:t>
      </w:r>
      <w:r w:rsidRPr="00132C1E">
        <w:rPr>
          <w:rFonts w:eastAsia="Cambria"/>
        </w:rPr>
        <w:t>connection system</w:t>
      </w:r>
      <w:r w:rsidRPr="00132C1E">
        <w:t xml:space="preserve"> and of the interaction between rocking panels on the response of the whole building should be taken into account;</w:t>
      </w:r>
    </w:p>
    <w:p w14:paraId="29A3B317" w14:textId="2B300024" w:rsidR="009A5DA1" w:rsidRPr="00190DAA" w:rsidRDefault="009A5DA1" w:rsidP="009B7FB1">
      <w:pPr>
        <w:pStyle w:val="Notetext"/>
        <w:tabs>
          <w:tab w:val="left" w:pos="1134"/>
        </w:tabs>
        <w:ind w:left="360"/>
      </w:pPr>
      <w:r w:rsidRPr="004E7881">
        <w:t>NOTE</w:t>
      </w:r>
      <w:r w:rsidR="00502341">
        <w:tab/>
      </w:r>
      <w:r w:rsidRPr="004E7881">
        <w:t xml:space="preserve">Isostatic connection systems are defined </w:t>
      </w:r>
      <w:r w:rsidRPr="00190DAA">
        <w:t>in 3.1.16.</w:t>
      </w:r>
    </w:p>
    <w:p w14:paraId="081A3454" w14:textId="6F003264" w:rsidR="009A5DA1" w:rsidRPr="00190DAA" w:rsidRDefault="009A5DA1" w:rsidP="0080187E">
      <w:pPr>
        <w:pStyle w:val="List2"/>
        <w:numPr>
          <w:ilvl w:val="0"/>
          <w:numId w:val="144"/>
        </w:numPr>
        <w:spacing w:before="0" w:after="240" w:line="230" w:lineRule="atLeast"/>
        <w:contextualSpacing w:val="0"/>
      </w:pPr>
      <w:r w:rsidRPr="00190DAA">
        <w:t>if the diaphragm’s horizontal displacements in the seismic design situation calculated considering the in-plane flexibility of the diaphragm nowhere exceed by more than 10</w:t>
      </w:r>
      <w:r w:rsidR="00D4445A">
        <w:t> </w:t>
      </w:r>
      <w:r w:rsidRPr="00190DAA">
        <w:t>% those found with a rigid diaphragm assumption, then the diaphragm may be taken as rigid;</w:t>
      </w:r>
    </w:p>
    <w:p w14:paraId="70562C1E" w14:textId="2BEAEE79" w:rsidR="009A5DA1" w:rsidRPr="00190DAA" w:rsidRDefault="009A5DA1" w:rsidP="0080187E">
      <w:pPr>
        <w:pStyle w:val="List2"/>
        <w:numPr>
          <w:ilvl w:val="0"/>
          <w:numId w:val="144"/>
        </w:numPr>
        <w:spacing w:before="0" w:after="240" w:line="230" w:lineRule="atLeast"/>
        <w:contextualSpacing w:val="0"/>
      </w:pPr>
      <w:r w:rsidRPr="00190DAA">
        <w:t>diaphragms real</w:t>
      </w:r>
      <w:r w:rsidR="00E10A24">
        <w:t>ize</w:t>
      </w:r>
      <w:r w:rsidRPr="00190DAA">
        <w:t>d by reinforced concrete topping cast in place over precast concrete members and complying with 10.12</w:t>
      </w:r>
      <w:r w:rsidRPr="00190DAA">
        <w:rPr>
          <w:rFonts w:ascii="Calibri" w:eastAsia="Cambria,Bold" w:hAnsi="Calibri" w:cs="Calibri"/>
        </w:rPr>
        <w:t xml:space="preserve"> </w:t>
      </w:r>
      <w:r w:rsidRPr="00190DAA">
        <w:rPr>
          <w:lang w:val="en-US"/>
        </w:rPr>
        <w:t>a, c), d) and with topping reinforcement properly connected to the vertical resisting elements</w:t>
      </w:r>
      <w:r w:rsidRPr="00190DAA">
        <w:t xml:space="preserve"> may be considered as rigid.</w:t>
      </w:r>
    </w:p>
    <w:p w14:paraId="34E75E2E" w14:textId="4E82E8AA" w:rsidR="009A5DA1" w:rsidRPr="00190DAA" w:rsidRDefault="009A5DA1" w:rsidP="00724E4E">
      <w:pPr>
        <w:pStyle w:val="Clause"/>
      </w:pPr>
      <w:r w:rsidRPr="00190DAA">
        <w:t>If diaphragms do not comply with the limit of deformability defined in (2)h) or with (2)i), the model of the structure should be 3D and the method of analysis should be either modal response spectrum analysis or pushover analysis or dynamic non-linear analysis.</w:t>
      </w:r>
    </w:p>
    <w:p w14:paraId="2B14D81D" w14:textId="0F249468" w:rsidR="009A5DA1" w:rsidRPr="00190DAA" w:rsidRDefault="009A5DA1" w:rsidP="00724E4E">
      <w:pPr>
        <w:pStyle w:val="Clause"/>
      </w:pPr>
      <w:r w:rsidRPr="00190DAA">
        <w:t>The method of analysis of multi storey precast structures should be either modal response spectrum analysis or pushover analysis or response-history</w:t>
      </w:r>
      <w:r w:rsidRPr="00190DAA" w:rsidDel="00110220">
        <w:t xml:space="preserve"> </w:t>
      </w:r>
      <w:r w:rsidRPr="00190DAA">
        <w:t>analysis.</w:t>
      </w:r>
    </w:p>
    <w:p w14:paraId="59B39C5D" w14:textId="79BE195A" w:rsidR="009A5DA1" w:rsidRPr="00190DAA" w:rsidRDefault="009A5DA1" w:rsidP="00724E4E">
      <w:pPr>
        <w:pStyle w:val="Clause"/>
        <w:rPr>
          <w:rFonts w:eastAsia="Cambria"/>
        </w:rPr>
      </w:pPr>
      <w:r w:rsidRPr="00190DAA">
        <w:t xml:space="preserve">Shear resistance at cast in place to precast interface and at precast-to-precast interfaces should be verified using </w:t>
      </w:r>
      <w:r w:rsidR="0026060E">
        <w:t>prEN 1992-1-1:2021</w:t>
      </w:r>
      <w:r w:rsidRPr="00190DAA">
        <w:t>, 8.2.6.</w:t>
      </w:r>
    </w:p>
    <w:p w14:paraId="5A826EBB" w14:textId="6D52CC1D" w:rsidR="009A5DA1" w:rsidRPr="00190DAA" w:rsidRDefault="009A5DA1" w:rsidP="00724E4E">
      <w:pPr>
        <w:pStyle w:val="Clause"/>
      </w:pPr>
      <w:r w:rsidRPr="00190DAA">
        <w:t xml:space="preserve">In (5), the calculation of the compressive stress </w:t>
      </w:r>
      <w:r w:rsidRPr="00190DAA">
        <w:rPr>
          <w:i/>
          <w:iCs/>
        </w:rPr>
        <w:t>σ</w:t>
      </w:r>
      <w:r w:rsidRPr="00190DAA">
        <w:rPr>
          <w:vertAlign w:val="subscript"/>
        </w:rPr>
        <w:t>N</w:t>
      </w:r>
      <w:r w:rsidRPr="00190DAA">
        <w:t xml:space="preserve"> used in </w:t>
      </w:r>
      <w:r w:rsidR="0026060E">
        <w:t>prEN 1992-1-1:2021</w:t>
      </w:r>
      <w:r w:rsidRPr="00190DAA">
        <w:t>, Formula</w:t>
      </w:r>
      <w:r w:rsidR="009B7FB1">
        <w:t>e</w:t>
      </w:r>
      <w:r w:rsidRPr="00190DAA">
        <w:t xml:space="preserve"> (8.</w:t>
      </w:r>
      <w:r w:rsidR="00370DE8" w:rsidRPr="00190DAA">
        <w:t>76</w:t>
      </w:r>
      <w:r w:rsidRPr="00190DAA">
        <w:t>) and (8.</w:t>
      </w:r>
      <w:r w:rsidR="00370DE8" w:rsidRPr="00190DAA">
        <w:t>77</w:t>
      </w:r>
      <w:r w:rsidRPr="00190DAA">
        <w:t xml:space="preserve">), should take into account the reduction of </w:t>
      </w:r>
      <w:r w:rsidRPr="00190DAA">
        <w:rPr>
          <w:i/>
          <w:iCs/>
        </w:rPr>
        <w:t>σ</w:t>
      </w:r>
      <w:r w:rsidRPr="00190DAA">
        <w:rPr>
          <w:vertAlign w:val="subscript"/>
        </w:rPr>
        <w:t>N</w:t>
      </w:r>
      <w:r w:rsidRPr="00190DAA">
        <w:t xml:space="preserve"> due to the vertical component of the design seismic action as given in prEN</w:t>
      </w:r>
      <w:r w:rsidR="002F2685">
        <w:t> </w:t>
      </w:r>
      <w:r w:rsidRPr="00190DAA">
        <w:t>1998-1-1:2022, 6.4.1(7).</w:t>
      </w:r>
    </w:p>
    <w:p w14:paraId="58DED8B2" w14:textId="11ED6CE0" w:rsidR="009A5DA1" w:rsidRPr="00190DAA" w:rsidRDefault="009A5DA1" w:rsidP="00502341">
      <w:pPr>
        <w:pStyle w:val="Notetext"/>
      </w:pPr>
      <w:r w:rsidRPr="00190DAA">
        <w:t>NOTE</w:t>
      </w:r>
      <w:r w:rsidRPr="00190DAA">
        <w:tab/>
        <w:t>Rules are given for the design of dowel joints</w:t>
      </w:r>
      <w:r w:rsidR="00AC1EFB">
        <w:t>,</w:t>
      </w:r>
      <w:r w:rsidRPr="00190DAA">
        <w:t xml:space="preserve"> for the design of joints between precast concrete structural members in ISO</w:t>
      </w:r>
      <w:r w:rsidR="002F2685">
        <w:t> </w:t>
      </w:r>
      <w:r w:rsidRPr="00190DAA">
        <w:t>20987</w:t>
      </w:r>
      <w:r w:rsidR="0026060E">
        <w:t xml:space="preserve"> </w:t>
      </w:r>
      <w:r w:rsidRPr="00190DAA">
        <w:t xml:space="preserve">and for the design of joints of concrete claddings to concrete structures in </w:t>
      </w:r>
      <w:r w:rsidRPr="00190DAA">
        <w:rPr>
          <w:color w:val="000000"/>
          <w:lang w:eastAsia="fr-BE"/>
        </w:rPr>
        <w:t>ISO</w:t>
      </w:r>
      <w:r w:rsidR="002F2685">
        <w:rPr>
          <w:color w:val="000000"/>
          <w:lang w:eastAsia="fr-BE"/>
        </w:rPr>
        <w:t> </w:t>
      </w:r>
      <w:r w:rsidRPr="00190DAA">
        <w:rPr>
          <w:color w:val="000000"/>
          <w:lang w:eastAsia="fr-BE"/>
        </w:rPr>
        <w:t>22502</w:t>
      </w:r>
      <w:r w:rsidRPr="00190DAA">
        <w:t>.</w:t>
      </w:r>
    </w:p>
    <w:p w14:paraId="782BF98E" w14:textId="53199899" w:rsidR="009A5DA1" w:rsidRPr="00132C1E" w:rsidRDefault="009A5DA1" w:rsidP="00724E4E">
      <w:pPr>
        <w:pStyle w:val="Clause"/>
      </w:pPr>
      <w:r w:rsidRPr="00190DAA">
        <w:t>Data for verification of action effects calculated through non-linear pushover or response-history</w:t>
      </w:r>
      <w:r w:rsidRPr="00190DAA" w:rsidDel="00110220">
        <w:t xml:space="preserve"> </w:t>
      </w:r>
      <w:r w:rsidRPr="00190DAA">
        <w:t>analysis should be as given in prEN</w:t>
      </w:r>
      <w:r w:rsidR="002F2685">
        <w:t> </w:t>
      </w:r>
      <w:r w:rsidRPr="00190DAA">
        <w:t>1998-1-1 for concrete joint zones and for</w:t>
      </w:r>
      <w:r w:rsidRPr="00132C1E">
        <w:t xml:space="preserve"> dowel joints.</w:t>
      </w:r>
    </w:p>
    <w:p w14:paraId="4A11B512" w14:textId="770BE81E" w:rsidR="009A5DA1" w:rsidRPr="00132C1E" w:rsidRDefault="009A5DA1" w:rsidP="009A5DA1">
      <w:pPr>
        <w:pStyle w:val="Heading3"/>
      </w:pPr>
      <w:bookmarkStart w:id="8270" w:name="_Toc522279748"/>
      <w:bookmarkStart w:id="8271" w:name="_Toc17934225"/>
      <w:bookmarkStart w:id="8272" w:name="_Toc50150404"/>
      <w:bookmarkStart w:id="8273" w:name="_Toc70886836"/>
      <w:bookmarkStart w:id="8274" w:name="_Toc108342387"/>
      <w:bookmarkStart w:id="8275" w:name="_Toc134197925"/>
      <w:r w:rsidRPr="00132C1E">
        <w:t>Precast moment resisting frames</w:t>
      </w:r>
      <w:bookmarkEnd w:id="8270"/>
      <w:bookmarkEnd w:id="8271"/>
      <w:bookmarkEnd w:id="8272"/>
      <w:bookmarkEnd w:id="8273"/>
      <w:bookmarkEnd w:id="8274"/>
      <w:bookmarkEnd w:id="8275"/>
    </w:p>
    <w:p w14:paraId="245C5061" w14:textId="77777777" w:rsidR="009A5DA1" w:rsidRPr="00132C1E" w:rsidRDefault="009A5DA1" w:rsidP="009A5DA1">
      <w:pPr>
        <w:pStyle w:val="Heading4"/>
      </w:pPr>
      <w:bookmarkStart w:id="8276" w:name="_Toc522279749"/>
      <w:bookmarkStart w:id="8277" w:name="_Toc108342388"/>
      <w:r w:rsidRPr="00132C1E">
        <w:t>Rules applicable to DC1, DC2 and DC3</w:t>
      </w:r>
      <w:bookmarkEnd w:id="8276"/>
      <w:bookmarkEnd w:id="8277"/>
    </w:p>
    <w:p w14:paraId="04844EBE" w14:textId="0324D133" w:rsidR="009A5DA1" w:rsidRPr="00132C1E" w:rsidRDefault="009A5DA1" w:rsidP="0080187E">
      <w:pPr>
        <w:pStyle w:val="Clause"/>
        <w:numPr>
          <w:ilvl w:val="0"/>
          <w:numId w:val="349"/>
        </w:numPr>
      </w:pPr>
      <w:r w:rsidRPr="00132C1E">
        <w:t>Precast beams and columns of precast moment resisting frames may be connected by cast in place concrete zones or by other types of joints.</w:t>
      </w:r>
    </w:p>
    <w:p w14:paraId="62CD76A9" w14:textId="34A933A5" w:rsidR="009A5DA1" w:rsidRPr="00132C1E" w:rsidRDefault="009A5DA1" w:rsidP="00724E4E">
      <w:pPr>
        <w:pStyle w:val="Clause"/>
      </w:pPr>
      <w:r w:rsidRPr="00ED30DF">
        <w:t xml:space="preserve">Cast in place concrete joints should conform to the detailing for local ductility and the relevant </w:t>
      </w:r>
      <w:r>
        <w:t>requirements</w:t>
      </w:r>
      <w:r w:rsidRPr="00ED30DF">
        <w:t xml:space="preserve"> of </w:t>
      </w:r>
      <w:r w:rsidRPr="00B00B3D">
        <w:t xml:space="preserve">10.1 </w:t>
      </w:r>
      <w:r w:rsidRPr="00ED30DF">
        <w:t xml:space="preserve">to </w:t>
      </w:r>
      <w:r w:rsidRPr="00B00B3D">
        <w:t>10.13</w:t>
      </w:r>
      <w:r w:rsidRPr="00ED30DF">
        <w:t xml:space="preserve">. Other types </w:t>
      </w:r>
      <w:r>
        <w:t>of j</w:t>
      </w:r>
      <w:r w:rsidRPr="00132C1E">
        <w:t xml:space="preserve">oints may be strong or weak partial strength joints as defined in </w:t>
      </w:r>
      <w:r w:rsidRPr="00B00B3D">
        <w:t>10.14.1</w:t>
      </w:r>
      <w:r w:rsidRPr="00132C1E">
        <w:t>.</w:t>
      </w:r>
    </w:p>
    <w:p w14:paraId="7F4E0E9A" w14:textId="35A2ED7F" w:rsidR="009A5DA1" w:rsidRPr="00132C1E" w:rsidRDefault="009A5DA1" w:rsidP="00724E4E">
      <w:pPr>
        <w:pStyle w:val="Clause"/>
      </w:pPr>
      <w:r w:rsidRPr="00132C1E">
        <w:lastRenderedPageBreak/>
        <w:t>In precast moment resisting frames with weak partial strength or nominally pinned beam-to-column joints</w:t>
      </w:r>
      <w:r w:rsidRPr="00ED30DF">
        <w:rPr>
          <w:rFonts w:ascii="Calibri" w:eastAsia="Cambria,Bold" w:hAnsi="Calibri" w:cs="Calibri"/>
        </w:rPr>
        <w:t xml:space="preserve"> </w:t>
      </w:r>
      <w:r w:rsidRPr="00ED30DF">
        <w:t>or beam-to-floor element joints</w:t>
      </w:r>
      <w:r w:rsidRPr="00132C1E">
        <w:t>, columns should be fully fixed against translation and rotation at their base.</w:t>
      </w:r>
    </w:p>
    <w:p w14:paraId="709328A5" w14:textId="17764ED6" w:rsidR="009A5DA1" w:rsidRPr="00132C1E" w:rsidRDefault="009A5DA1" w:rsidP="00724E4E">
      <w:pPr>
        <w:pStyle w:val="Clause"/>
      </w:pPr>
      <w:r w:rsidRPr="00132C1E">
        <w:t>The shear resistance of structural members in the vicinity of joints and of all types of joints should be verified for 1,5</w:t>
      </w:r>
      <w:r w:rsidRPr="00132C1E">
        <w:rPr>
          <w:i/>
        </w:rPr>
        <w:t>V</w:t>
      </w:r>
      <w:r w:rsidRPr="00132C1E">
        <w:rPr>
          <w:vertAlign w:val="subscript"/>
        </w:rPr>
        <w:t>Ed</w:t>
      </w:r>
      <w:r w:rsidRPr="00132C1E">
        <w:t xml:space="preserve">, where </w:t>
      </w:r>
      <w:r w:rsidRPr="00132C1E">
        <w:rPr>
          <w:i/>
        </w:rPr>
        <w:t>V</w:t>
      </w:r>
      <w:r w:rsidRPr="00132C1E">
        <w:rPr>
          <w:vertAlign w:val="subscript"/>
        </w:rPr>
        <w:t>Ed</w:t>
      </w:r>
      <w:r w:rsidRPr="00132C1E">
        <w:t xml:space="preserve"> is the shear action effect calculated at the joints in the seismic design situation.</w:t>
      </w:r>
    </w:p>
    <w:p w14:paraId="588B4823" w14:textId="30BB2975" w:rsidR="009A5DA1" w:rsidRPr="00132C1E" w:rsidRDefault="009A5DA1" w:rsidP="009A5DA1">
      <w:pPr>
        <w:pStyle w:val="Heading4"/>
      </w:pPr>
      <w:r w:rsidRPr="00132C1E">
        <w:tab/>
      </w:r>
      <w:bookmarkStart w:id="8278" w:name="_Toc522279751"/>
      <w:bookmarkStart w:id="8279" w:name="_Toc108342389"/>
      <w:r>
        <w:t>Verification in</w:t>
      </w:r>
      <w:r w:rsidRPr="00132C1E">
        <w:t xml:space="preserve"> DC1</w:t>
      </w:r>
      <w:bookmarkEnd w:id="8278"/>
      <w:bookmarkEnd w:id="8279"/>
    </w:p>
    <w:p w14:paraId="3E90A160" w14:textId="4E6BD775" w:rsidR="00502341" w:rsidRDefault="009A5DA1" w:rsidP="0080187E">
      <w:pPr>
        <w:pStyle w:val="Clause"/>
        <w:numPr>
          <w:ilvl w:val="0"/>
          <w:numId w:val="350"/>
        </w:numPr>
      </w:pPr>
      <w:r w:rsidRPr="00132C1E">
        <w:t xml:space="preserve">The design shear </w:t>
      </w:r>
      <w:r w:rsidRPr="00190DAA">
        <w:rPr>
          <w:i/>
        </w:rPr>
        <w:t>V</w:t>
      </w:r>
      <w:r w:rsidRPr="00190DAA">
        <w:rPr>
          <w:vertAlign w:val="subscript"/>
        </w:rPr>
        <w:t>Ed</w:t>
      </w:r>
      <w:r w:rsidRPr="00132C1E">
        <w:t xml:space="preserve"> in </w:t>
      </w:r>
      <w:r w:rsidRPr="004F74EA">
        <w:t xml:space="preserve">weak partial strength or nominally pinned connections at supports of beams and at supports of floor members </w:t>
      </w:r>
      <w:r w:rsidRPr="00132C1E">
        <w:t xml:space="preserve">should not be smaller than </w:t>
      </w:r>
      <w:r w:rsidRPr="00190DAA">
        <w:rPr>
          <w:i/>
        </w:rPr>
        <w:t>ΔM</w:t>
      </w:r>
      <w:r w:rsidRPr="00190DAA">
        <w:rPr>
          <w:vertAlign w:val="subscript"/>
        </w:rPr>
        <w:t>Ed</w:t>
      </w:r>
      <w:r w:rsidRPr="00132C1E">
        <w:t>/</w:t>
      </w:r>
      <w:r w:rsidRPr="00190DAA">
        <w:rPr>
          <w:i/>
        </w:rPr>
        <w:t>h</w:t>
      </w:r>
      <w:r w:rsidRPr="00190DAA">
        <w:rPr>
          <w:vertAlign w:val="subscript"/>
        </w:rPr>
        <w:t>s,cl</w:t>
      </w:r>
      <w:r w:rsidRPr="00132C1E">
        <w:t>,</w:t>
      </w:r>
      <w:r w:rsidR="00190DAA">
        <w:t xml:space="preserve"> </w:t>
      </w:r>
      <w:r w:rsidR="00675EBA">
        <w:t>where</w:t>
      </w:r>
      <w:r w:rsidR="00190DAA">
        <w:t xml:space="preserve"> </w:t>
      </w:r>
      <w:r w:rsidR="00190DAA" w:rsidRPr="00132C1E">
        <w:rPr>
          <w:i/>
          <w:iCs/>
        </w:rPr>
        <w:t>ΔM</w:t>
      </w:r>
      <w:r w:rsidR="00190DAA" w:rsidRPr="00132C1E">
        <w:rPr>
          <w:vertAlign w:val="subscript"/>
        </w:rPr>
        <w:t>Ed</w:t>
      </w:r>
      <w:r w:rsidR="00190DAA">
        <w:t xml:space="preserve"> </w:t>
      </w:r>
      <w:r w:rsidR="00190DAA" w:rsidRPr="00132C1E">
        <w:t xml:space="preserve">= </w:t>
      </w:r>
      <w:r w:rsidR="00190DAA" w:rsidRPr="00132C1E">
        <w:rPr>
          <w:i/>
          <w:iCs/>
        </w:rPr>
        <w:t>M</w:t>
      </w:r>
      <w:r w:rsidR="00190DAA" w:rsidRPr="00132C1E">
        <w:rPr>
          <w:vertAlign w:val="subscript"/>
        </w:rPr>
        <w:t>Ed,i</w:t>
      </w:r>
      <w:r w:rsidR="00190DAA" w:rsidRPr="00132C1E">
        <w:t xml:space="preserve"> – </w:t>
      </w:r>
      <w:r w:rsidR="00190DAA" w:rsidRPr="00132C1E">
        <w:rPr>
          <w:i/>
          <w:iCs/>
        </w:rPr>
        <w:t>M</w:t>
      </w:r>
      <w:r w:rsidR="00190DAA" w:rsidRPr="00132C1E">
        <w:rPr>
          <w:vertAlign w:val="subscript"/>
        </w:rPr>
        <w:t>Ed,i+1</w:t>
      </w:r>
      <w:r w:rsidR="00190DAA" w:rsidRPr="00132C1E">
        <w:t xml:space="preserve"> is the variation of the moment in the column adjacent to the beam support at the storey level </w:t>
      </w:r>
      <w:r w:rsidR="00190DAA" w:rsidRPr="00132C1E">
        <w:rPr>
          <w:i/>
          <w:iCs/>
        </w:rPr>
        <w:t>i</w:t>
      </w:r>
      <w:r w:rsidR="00190DAA" w:rsidRPr="00132C1E">
        <w:t xml:space="preserve"> considered, in the seismic design situation</w:t>
      </w:r>
      <w:r w:rsidR="00190DAA">
        <w:t xml:space="preserve">, and </w:t>
      </w:r>
      <w:r w:rsidR="00190DAA" w:rsidRPr="00132C1E">
        <w:rPr>
          <w:i/>
          <w:iCs/>
        </w:rPr>
        <w:t>h</w:t>
      </w:r>
      <w:r w:rsidR="00190DAA" w:rsidRPr="00132C1E">
        <w:rPr>
          <w:vertAlign w:val="subscript"/>
        </w:rPr>
        <w:t>s,cl</w:t>
      </w:r>
      <w:r w:rsidR="00190DAA">
        <w:t xml:space="preserve"> </w:t>
      </w:r>
      <w:r w:rsidR="00190DAA" w:rsidRPr="00132C1E">
        <w:t>is the clear storey height.</w:t>
      </w:r>
    </w:p>
    <w:p w14:paraId="7823F0EC" w14:textId="669B6883" w:rsidR="009A5DA1" w:rsidRPr="00132C1E" w:rsidRDefault="009A5DA1" w:rsidP="009A5DA1">
      <w:pPr>
        <w:pStyle w:val="Heading4"/>
      </w:pPr>
      <w:bookmarkStart w:id="8280" w:name="_Toc522279752"/>
      <w:bookmarkStart w:id="8281" w:name="_Toc108342390"/>
      <w:r>
        <w:t>Verification in</w:t>
      </w:r>
      <w:r w:rsidRPr="00132C1E">
        <w:t xml:space="preserve"> DC2 and DC3</w:t>
      </w:r>
      <w:bookmarkEnd w:id="8280"/>
      <w:bookmarkEnd w:id="8281"/>
    </w:p>
    <w:p w14:paraId="15DE7D88" w14:textId="0ABDFECE" w:rsidR="009A5DA1" w:rsidRPr="00190DAA" w:rsidRDefault="009A5DA1" w:rsidP="0080187E">
      <w:pPr>
        <w:pStyle w:val="Clause"/>
        <w:numPr>
          <w:ilvl w:val="0"/>
          <w:numId w:val="351"/>
        </w:numPr>
        <w:rPr>
          <w:bCs/>
        </w:rPr>
      </w:pPr>
      <w:r w:rsidRPr="00190DAA">
        <w:rPr>
          <w:bCs/>
        </w:rPr>
        <w:t>10.5 for beams and 10.6 for columns should be applied.</w:t>
      </w:r>
    </w:p>
    <w:p w14:paraId="0329363A" w14:textId="6B804E8A" w:rsidR="00354F2E" w:rsidRPr="00190DAA" w:rsidRDefault="00354F2E" w:rsidP="00724E4E">
      <w:pPr>
        <w:pStyle w:val="Clause"/>
        <w:rPr>
          <w:bCs/>
        </w:rPr>
      </w:pPr>
      <w:r w:rsidRPr="00190DAA">
        <w:rPr>
          <w:bCs/>
        </w:rPr>
        <w:t>In case of cantilever columns, 10.6(5) should not be applied and the minimum cross-sectional dimension of primary seismic columns should not be smaller than either a) or b):</w:t>
      </w:r>
    </w:p>
    <w:p w14:paraId="102F9842" w14:textId="77777777" w:rsidR="009A5DA1" w:rsidRPr="00190DAA" w:rsidRDefault="009A5DA1" w:rsidP="0080187E">
      <w:pPr>
        <w:pStyle w:val="List2"/>
        <w:numPr>
          <w:ilvl w:val="0"/>
          <w:numId w:val="145"/>
        </w:numPr>
        <w:spacing w:before="0" w:after="240" w:line="230" w:lineRule="atLeast"/>
        <w:contextualSpacing w:val="0"/>
        <w:rPr>
          <w:bCs/>
        </w:rPr>
      </w:pPr>
      <w:r w:rsidRPr="00190DAA">
        <w:rPr>
          <w:bCs/>
        </w:rPr>
        <w:t xml:space="preserve">If </w:t>
      </w:r>
      <w:r w:rsidRPr="00190DAA">
        <w:rPr>
          <w:bCs/>
          <w:i/>
          <w:iCs/>
        </w:rPr>
        <w:t>θ</w:t>
      </w:r>
      <w:r w:rsidRPr="00190DAA">
        <w:rPr>
          <w:bCs/>
        </w:rPr>
        <w:t xml:space="preserve"> ≤ 0,05: 200 mm, where </w:t>
      </w:r>
      <w:r w:rsidRPr="00190DAA">
        <w:rPr>
          <w:bCs/>
          <w:i/>
          <w:iCs/>
        </w:rPr>
        <w:t>θ</w:t>
      </w:r>
      <w:r w:rsidRPr="00190DAA">
        <w:rPr>
          <w:bCs/>
        </w:rPr>
        <w:t xml:space="preserve"> is defined in 6.2.4(1).</w:t>
      </w:r>
    </w:p>
    <w:p w14:paraId="0CF0E4E3" w14:textId="77777777" w:rsidR="009A5DA1" w:rsidRPr="00190DAA" w:rsidRDefault="009A5DA1" w:rsidP="0080187E">
      <w:pPr>
        <w:pStyle w:val="List2"/>
        <w:numPr>
          <w:ilvl w:val="0"/>
          <w:numId w:val="145"/>
        </w:numPr>
        <w:tabs>
          <w:tab w:val="num" w:pos="0"/>
        </w:tabs>
        <w:spacing w:before="0" w:after="240" w:line="230" w:lineRule="atLeast"/>
        <w:contextualSpacing w:val="0"/>
        <w:rPr>
          <w:bCs/>
        </w:rPr>
      </w:pPr>
      <w:r w:rsidRPr="00190DAA">
        <w:rPr>
          <w:bCs/>
        </w:rPr>
        <w:t xml:space="preserve">If </w:t>
      </w:r>
      <w:r w:rsidRPr="00190DAA">
        <w:rPr>
          <w:bCs/>
          <w:i/>
          <w:iCs/>
        </w:rPr>
        <w:t>θ</w:t>
      </w:r>
      <w:r w:rsidRPr="00190DAA">
        <w:rPr>
          <w:bCs/>
        </w:rPr>
        <w:t xml:space="preserve"> &gt; 0,05: the maximum of: (i) 1/20 of the height of the column; (ii) 200 mm for DC2 or 250 mm for DC3.</w:t>
      </w:r>
    </w:p>
    <w:p w14:paraId="108981D4" w14:textId="345205FC" w:rsidR="009A5DA1" w:rsidRPr="00190DAA" w:rsidRDefault="009A5DA1" w:rsidP="00724E4E">
      <w:pPr>
        <w:pStyle w:val="Clause"/>
        <w:rPr>
          <w:bCs/>
        </w:rPr>
      </w:pPr>
      <w:r w:rsidRPr="00190DAA">
        <w:rPr>
          <w:bCs/>
        </w:rPr>
        <w:t xml:space="preserve">In moment resisting frames with beams with weak joints and without cladding or with isostatic cladding, only the base of columns should be taken as critical region, with a length </w:t>
      </w:r>
      <w:r w:rsidRPr="00190DAA">
        <w:rPr>
          <w:bCs/>
          <w:i/>
          <w:iCs/>
        </w:rPr>
        <w:t>l</w:t>
      </w:r>
      <w:r w:rsidRPr="00190DAA">
        <w:rPr>
          <w:bCs/>
          <w:vertAlign w:val="subscript"/>
        </w:rPr>
        <w:t>cr</w:t>
      </w:r>
      <w:r w:rsidRPr="00190DAA">
        <w:rPr>
          <w:bCs/>
        </w:rPr>
        <w:t xml:space="preserve"> as given by Formula (10.28):</w:t>
      </w:r>
    </w:p>
    <w:p w14:paraId="712FC7B5" w14:textId="2877BE7E" w:rsidR="00502341" w:rsidRPr="00190DAA" w:rsidRDefault="00354F2E" w:rsidP="00502341">
      <w:pPr>
        <w:pStyle w:val="Formula"/>
        <w:spacing w:before="240"/>
        <w:rPr>
          <w:bCs/>
        </w:rPr>
      </w:pPr>
      <w:r w:rsidRPr="00190DAA">
        <w:rPr>
          <w:bCs/>
          <w:i/>
        </w:rPr>
        <w:t>l</w:t>
      </w:r>
      <w:r w:rsidRPr="00190DAA">
        <w:rPr>
          <w:bCs/>
          <w:vertAlign w:val="subscript"/>
        </w:rPr>
        <w:t>cr</w:t>
      </w:r>
      <w:r w:rsidRPr="00190DAA">
        <w:rPr>
          <w:bCs/>
        </w:rPr>
        <w:t xml:space="preserve"> = max {2 b</w:t>
      </w:r>
      <w:r w:rsidRPr="00190DAA">
        <w:rPr>
          <w:bCs/>
          <w:vertAlign w:val="subscript"/>
        </w:rPr>
        <w:t>max</w:t>
      </w:r>
      <w:r w:rsidRPr="00190DAA">
        <w:rPr>
          <w:bCs/>
        </w:rPr>
        <w:t>; 1,00 m}</w:t>
      </w:r>
      <w:r w:rsidR="00502341" w:rsidRPr="00190DAA">
        <w:rPr>
          <w:bCs/>
        </w:rPr>
        <w:tab/>
        <w:t>(10.2</w:t>
      </w:r>
      <w:r w:rsidRPr="00190DAA">
        <w:rPr>
          <w:bCs/>
        </w:rPr>
        <w:t>8</w:t>
      </w:r>
      <w:r w:rsidR="00502341" w:rsidRPr="00190DAA">
        <w:rPr>
          <w:bCs/>
        </w:rPr>
        <w:t>)</w:t>
      </w:r>
    </w:p>
    <w:p w14:paraId="2B024C6A" w14:textId="77777777" w:rsidR="009B7FB1" w:rsidRDefault="00502341" w:rsidP="00502341">
      <w:pPr>
        <w:rPr>
          <w:bCs/>
          <w:i/>
          <w:iCs/>
          <w:lang w:val="en-US"/>
        </w:rPr>
      </w:pPr>
      <w:r w:rsidRPr="00190DAA">
        <w:rPr>
          <w:bCs/>
        </w:rPr>
        <w:t>where</w:t>
      </w:r>
      <w:r w:rsidR="00354F2E" w:rsidRPr="00190DAA">
        <w:rPr>
          <w:bCs/>
          <w:i/>
          <w:iCs/>
          <w:lang w:val="en-US"/>
        </w:rPr>
        <w:t xml:space="preserve"> </w:t>
      </w:r>
    </w:p>
    <w:p w14:paraId="510D51EE" w14:textId="1C6D5FD6" w:rsidR="00502341" w:rsidRPr="00190DAA" w:rsidRDefault="00354F2E" w:rsidP="007D7E6D">
      <w:pPr>
        <w:ind w:left="426"/>
        <w:rPr>
          <w:bCs/>
        </w:rPr>
      </w:pPr>
      <w:r w:rsidRPr="00190DAA">
        <w:rPr>
          <w:bCs/>
          <w:i/>
          <w:iCs/>
          <w:lang w:val="en-US"/>
        </w:rPr>
        <w:t>b</w:t>
      </w:r>
      <w:r w:rsidRPr="00190DAA">
        <w:rPr>
          <w:bCs/>
          <w:vertAlign w:val="subscript"/>
          <w:lang w:val="en-US"/>
        </w:rPr>
        <w:t>max</w:t>
      </w:r>
      <w:r w:rsidR="00F36D4E">
        <w:rPr>
          <w:bCs/>
          <w:lang w:val="en-US"/>
        </w:rPr>
        <w:t xml:space="preserve"> </w:t>
      </w:r>
      <w:r w:rsidRPr="00190DAA">
        <w:rPr>
          <w:bCs/>
          <w:lang w:val="en-US"/>
        </w:rPr>
        <w:t>is the greatest cross-sectional dimension of the column.</w:t>
      </w:r>
    </w:p>
    <w:p w14:paraId="0CA1EFF3" w14:textId="56381C05" w:rsidR="00354F2E" w:rsidRPr="00190DAA" w:rsidRDefault="00354F2E" w:rsidP="00724E4E">
      <w:pPr>
        <w:pStyle w:val="Clause"/>
      </w:pPr>
      <w:r w:rsidRPr="00190DAA">
        <w:rPr>
          <w:bCs/>
        </w:rPr>
        <w:t>Dissipative zones may be in the structural members or in the joints.</w:t>
      </w:r>
    </w:p>
    <w:p w14:paraId="3B7EF014" w14:textId="4B2A0FF0" w:rsidR="00354F2E" w:rsidRPr="00190DAA" w:rsidRDefault="00354F2E" w:rsidP="00724E4E">
      <w:pPr>
        <w:pStyle w:val="Clause"/>
        <w:rPr>
          <w:bCs/>
        </w:rPr>
      </w:pPr>
      <w:r w:rsidRPr="00190DAA">
        <w:rPr>
          <w:bCs/>
        </w:rPr>
        <w:t>If dissipative zones are in the structural members, a), and b) should be applied:</w:t>
      </w:r>
    </w:p>
    <w:p w14:paraId="0FCD0EF4" w14:textId="77777777" w:rsidR="00354F2E" w:rsidRPr="00E05E29" w:rsidRDefault="00354F2E" w:rsidP="0080187E">
      <w:pPr>
        <w:pStyle w:val="List2"/>
        <w:numPr>
          <w:ilvl w:val="0"/>
          <w:numId w:val="146"/>
        </w:numPr>
        <w:spacing w:before="0" w:after="240" w:line="230" w:lineRule="atLeast"/>
        <w:contextualSpacing w:val="0"/>
      </w:pPr>
      <w:r w:rsidRPr="00190DAA">
        <w:rPr>
          <w:bCs/>
        </w:rPr>
        <w:t>The design bending moment and shear in the non-dissipative structural members, their joints and the joints of the members where dissipative zones are located should be those established by application of the capacity design rules in 10.5.3 and 10.6.2, multiplied</w:t>
      </w:r>
      <w:r w:rsidRPr="00E05E29">
        <w:t xml:space="preserve"> by a factor </w:t>
      </w:r>
      <w:r w:rsidRPr="00E05E29">
        <w:rPr>
          <w:i/>
        </w:rPr>
        <w:t>γ</w:t>
      </w:r>
      <w:r w:rsidRPr="00777225">
        <w:rPr>
          <w:iCs/>
          <w:vertAlign w:val="subscript"/>
        </w:rPr>
        <w:t>Rd</w:t>
      </w:r>
      <w:r w:rsidRPr="00E05E29">
        <w:t xml:space="preserve"> = 1,2.</w:t>
      </w:r>
    </w:p>
    <w:p w14:paraId="48C35865" w14:textId="1704EFC3" w:rsidR="00354F2E" w:rsidRPr="00E05E29" w:rsidRDefault="00354F2E" w:rsidP="007D7E6D">
      <w:pPr>
        <w:pStyle w:val="Notetext"/>
        <w:tabs>
          <w:tab w:val="left" w:pos="1134"/>
        </w:tabs>
        <w:ind w:left="360"/>
      </w:pPr>
      <w:r w:rsidRPr="00E05E29">
        <w:t>NOTE</w:t>
      </w:r>
      <w:r w:rsidRPr="00E05E29">
        <w:tab/>
        <w:t xml:space="preserve">Non-dissipative joints in the vicinity of dissipative zones are called </w:t>
      </w:r>
      <w:r w:rsidRPr="00E05E29">
        <w:rPr>
          <w:rFonts w:eastAsia="Cambria"/>
        </w:rPr>
        <w:t>overstrength</w:t>
      </w:r>
      <w:r w:rsidRPr="00E05E29">
        <w:t xml:space="preserve"> joints (see Figure</w:t>
      </w:r>
      <w:r w:rsidR="007D7E6D">
        <w:t> </w:t>
      </w:r>
      <w:r w:rsidRPr="00E05E29">
        <w:t>10.1</w:t>
      </w:r>
      <w:r>
        <w:t>5</w:t>
      </w:r>
      <w:r w:rsidRPr="00E05E29">
        <w:t>).</w:t>
      </w:r>
    </w:p>
    <w:p w14:paraId="0922E58C" w14:textId="15E3F8F1" w:rsidR="00354F2E" w:rsidRPr="00354F2E" w:rsidRDefault="00354F2E" w:rsidP="0080187E">
      <w:pPr>
        <w:pStyle w:val="List2"/>
        <w:numPr>
          <w:ilvl w:val="0"/>
          <w:numId w:val="146"/>
        </w:numPr>
        <w:spacing w:before="0" w:after="240" w:line="230" w:lineRule="atLeast"/>
        <w:contextualSpacing w:val="0"/>
      </w:pPr>
      <w:r w:rsidRPr="00354F2E">
        <w:t>10.11.3 should be satisfied</w:t>
      </w:r>
      <w:r>
        <w:t>.</w:t>
      </w:r>
    </w:p>
    <w:p w14:paraId="43443986" w14:textId="79D22EE3" w:rsidR="00354F2E" w:rsidRPr="00132C1E" w:rsidRDefault="00A956D7" w:rsidP="00A956D7">
      <w:pPr>
        <w:pStyle w:val="FigureImage"/>
      </w:pPr>
      <w:r>
        <w:rPr>
          <w:noProof/>
        </w:rPr>
        <w:lastRenderedPageBreak/>
        <w:drawing>
          <wp:inline distT="0" distB="0" distL="0" distR="0" wp14:anchorId="0F5DBDBE" wp14:editId="2496FF6F">
            <wp:extent cx="5399541" cy="2366776"/>
            <wp:effectExtent l="0" t="0" r="0" b="0"/>
            <wp:docPr id="73" name="0019.tiff"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0019.tiff" descr="A picture containing logo&#10;&#10;Description automatically generated"/>
                    <pic:cNvPicPr/>
                  </pic:nvPicPr>
                  <pic:blipFill>
                    <a:blip r:link="rId34"/>
                    <a:stretch>
                      <a:fillRect/>
                    </a:stretch>
                  </pic:blipFill>
                  <pic:spPr>
                    <a:xfrm>
                      <a:off x="0" y="0"/>
                      <a:ext cx="5399541" cy="2366776"/>
                    </a:xfrm>
                    <a:prstGeom prst="rect">
                      <a:avLst/>
                    </a:prstGeom>
                  </pic:spPr>
                </pic:pic>
              </a:graphicData>
            </a:graphic>
          </wp:inline>
        </w:drawing>
      </w:r>
    </w:p>
    <w:p w14:paraId="4B051BF1" w14:textId="77777777" w:rsidR="00354F2E" w:rsidRPr="00354F2E" w:rsidRDefault="00354F2E" w:rsidP="00CB0FA8">
      <w:pPr>
        <w:pStyle w:val="KeyTitle"/>
      </w:pPr>
      <w:r w:rsidRPr="00354F2E">
        <w:t>Key</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0"/>
        <w:gridCol w:w="2270"/>
      </w:tblGrid>
      <w:tr w:rsidR="00354F2E" w:rsidRPr="00354F2E" w14:paraId="12B92564" w14:textId="77777777" w:rsidTr="007D7E6D">
        <w:tc>
          <w:tcPr>
            <w:tcW w:w="390" w:type="dxa"/>
          </w:tcPr>
          <w:p w14:paraId="1E0DC664" w14:textId="77777777" w:rsidR="00354F2E" w:rsidRPr="008618F2" w:rsidRDefault="00354F2E" w:rsidP="008618F2">
            <w:pPr>
              <w:pStyle w:val="KeyText"/>
              <w:spacing w:before="0"/>
              <w:rPr>
                <w:iCs/>
              </w:rPr>
            </w:pPr>
            <w:r w:rsidRPr="008618F2">
              <w:rPr>
                <w:iCs/>
              </w:rPr>
              <w:t>A</w:t>
            </w:r>
          </w:p>
        </w:tc>
        <w:tc>
          <w:tcPr>
            <w:tcW w:w="2270" w:type="dxa"/>
          </w:tcPr>
          <w:p w14:paraId="1180BC01" w14:textId="38B8BAA9" w:rsidR="00354F2E" w:rsidRPr="008618F2" w:rsidRDefault="00354F2E" w:rsidP="008618F2">
            <w:pPr>
              <w:pStyle w:val="KeyText"/>
              <w:spacing w:before="0"/>
            </w:pPr>
            <w:r w:rsidRPr="008618F2">
              <w:t>coupler</w:t>
            </w:r>
          </w:p>
        </w:tc>
      </w:tr>
      <w:tr w:rsidR="00354F2E" w:rsidRPr="00354F2E" w14:paraId="09C60F96" w14:textId="77777777" w:rsidTr="007D7E6D">
        <w:tc>
          <w:tcPr>
            <w:tcW w:w="390" w:type="dxa"/>
          </w:tcPr>
          <w:p w14:paraId="63DC3B8D" w14:textId="77777777" w:rsidR="00354F2E" w:rsidRPr="008618F2" w:rsidRDefault="00354F2E" w:rsidP="008618F2">
            <w:pPr>
              <w:pStyle w:val="KeyText"/>
              <w:spacing w:before="0"/>
              <w:rPr>
                <w:iCs/>
              </w:rPr>
            </w:pPr>
            <w:r w:rsidRPr="008618F2">
              <w:rPr>
                <w:iCs/>
              </w:rPr>
              <w:t>B</w:t>
            </w:r>
          </w:p>
        </w:tc>
        <w:tc>
          <w:tcPr>
            <w:tcW w:w="2270" w:type="dxa"/>
          </w:tcPr>
          <w:p w14:paraId="12E58257" w14:textId="77777777" w:rsidR="00354F2E" w:rsidRPr="008618F2" w:rsidRDefault="00354F2E" w:rsidP="008618F2">
            <w:pPr>
              <w:pStyle w:val="KeyText"/>
              <w:spacing w:before="0"/>
            </w:pPr>
            <w:r w:rsidRPr="008618F2">
              <w:t>critical section</w:t>
            </w:r>
          </w:p>
        </w:tc>
      </w:tr>
      <w:tr w:rsidR="00354F2E" w:rsidRPr="00354F2E" w14:paraId="08DCE952" w14:textId="77777777" w:rsidTr="007D7E6D">
        <w:tc>
          <w:tcPr>
            <w:tcW w:w="390" w:type="dxa"/>
          </w:tcPr>
          <w:p w14:paraId="0E50A804" w14:textId="77777777" w:rsidR="00354F2E" w:rsidRPr="008618F2" w:rsidRDefault="00354F2E" w:rsidP="008618F2">
            <w:pPr>
              <w:pStyle w:val="KeyText"/>
              <w:spacing w:before="0"/>
              <w:rPr>
                <w:iCs/>
              </w:rPr>
            </w:pPr>
            <w:r w:rsidRPr="008618F2">
              <w:rPr>
                <w:iCs/>
              </w:rPr>
              <w:t>C</w:t>
            </w:r>
          </w:p>
        </w:tc>
        <w:tc>
          <w:tcPr>
            <w:tcW w:w="2270" w:type="dxa"/>
          </w:tcPr>
          <w:p w14:paraId="474A4F9C" w14:textId="77777777" w:rsidR="00354F2E" w:rsidRPr="008618F2" w:rsidRDefault="00354F2E" w:rsidP="008618F2">
            <w:pPr>
              <w:pStyle w:val="KeyText"/>
              <w:spacing w:before="0"/>
            </w:pPr>
            <w:r w:rsidRPr="008618F2">
              <w:t>plastic hinge zone</w:t>
            </w:r>
          </w:p>
        </w:tc>
      </w:tr>
      <w:tr w:rsidR="00354F2E" w:rsidRPr="00354F2E" w14:paraId="4A53ABCE" w14:textId="77777777" w:rsidTr="007D7E6D">
        <w:tc>
          <w:tcPr>
            <w:tcW w:w="390" w:type="dxa"/>
          </w:tcPr>
          <w:p w14:paraId="1DEF9382" w14:textId="77777777" w:rsidR="00354F2E" w:rsidRPr="008618F2" w:rsidRDefault="00354F2E" w:rsidP="008618F2">
            <w:pPr>
              <w:pStyle w:val="KeyText"/>
              <w:spacing w:before="0"/>
              <w:rPr>
                <w:iCs/>
              </w:rPr>
            </w:pPr>
            <w:r w:rsidRPr="008618F2">
              <w:rPr>
                <w:iCs/>
              </w:rPr>
              <w:t>D</w:t>
            </w:r>
          </w:p>
        </w:tc>
        <w:tc>
          <w:tcPr>
            <w:tcW w:w="2270" w:type="dxa"/>
          </w:tcPr>
          <w:p w14:paraId="0AFA95DB" w14:textId="21DDAA68" w:rsidR="00354F2E" w:rsidRPr="008618F2" w:rsidRDefault="00354F2E" w:rsidP="008618F2">
            <w:pPr>
              <w:pStyle w:val="KeyText"/>
              <w:spacing w:before="0"/>
              <w:rPr>
                <w:rFonts w:eastAsia="Calibri"/>
              </w:rPr>
            </w:pPr>
            <w:r w:rsidRPr="008618F2">
              <w:rPr>
                <w:rFonts w:eastAsia="Calibri"/>
              </w:rPr>
              <w:t>coupler length</w:t>
            </w:r>
          </w:p>
        </w:tc>
      </w:tr>
    </w:tbl>
    <w:p w14:paraId="06F2CEFD" w14:textId="5CCE3907" w:rsidR="00354F2E" w:rsidRPr="007E6F67" w:rsidRDefault="00354F2E" w:rsidP="00354F2E">
      <w:pPr>
        <w:pStyle w:val="Figuretitle"/>
      </w:pPr>
      <w:r w:rsidRPr="00132C1E">
        <w:t>Figure</w:t>
      </w:r>
      <w:r>
        <w:t>10</w:t>
      </w:r>
      <w:r w:rsidRPr="00132C1E">
        <w:t>.</w:t>
      </w:r>
      <w:r>
        <w:t>15 </w:t>
      </w:r>
      <w:r w:rsidRPr="00D1484A">
        <w:rPr>
          <w:rFonts w:ascii="`ÃÍœ˛" w:eastAsia="Cambria" w:hAnsi="`ÃÍœ˛" w:cs="`ÃÍœ˛"/>
          <w:szCs w:val="22"/>
          <w:lang w:eastAsia="de-DE"/>
        </w:rPr>
        <w:t>—</w:t>
      </w:r>
      <w:r w:rsidRPr="00D1484A">
        <w:t> Examples of dissipative zones in the RC beam or column and adjacent joints</w:t>
      </w:r>
      <w:r w:rsidR="00A956D7">
        <w:t xml:space="preserve">: (a) and (b) </w:t>
      </w:r>
      <w:r w:rsidR="00A956D7" w:rsidRPr="00A956D7">
        <w:t>beam to column joints</w:t>
      </w:r>
      <w:r w:rsidR="00A956D7">
        <w:t xml:space="preserve">; (c) </w:t>
      </w:r>
      <w:r w:rsidR="00A956D7" w:rsidRPr="00A956D7">
        <w:t>column to footing joints</w:t>
      </w:r>
    </w:p>
    <w:p w14:paraId="2BFB6886" w14:textId="708CFAC6" w:rsidR="00354F2E" w:rsidRPr="00FD17CF" w:rsidRDefault="00354F2E" w:rsidP="00724E4E">
      <w:pPr>
        <w:pStyle w:val="Clause"/>
      </w:pPr>
      <w:r w:rsidRPr="00FD17CF">
        <w:t>If dissipative zones are in the joints, a) to c) should be applied:</w:t>
      </w:r>
    </w:p>
    <w:p w14:paraId="66E5A163" w14:textId="77777777" w:rsidR="00354F2E" w:rsidRPr="00E51323" w:rsidRDefault="00354F2E" w:rsidP="0080187E">
      <w:pPr>
        <w:pStyle w:val="List2"/>
        <w:numPr>
          <w:ilvl w:val="0"/>
          <w:numId w:val="147"/>
        </w:numPr>
        <w:spacing w:before="0" w:after="240" w:line="230" w:lineRule="atLeast"/>
        <w:contextualSpacing w:val="0"/>
      </w:pPr>
      <w:r w:rsidRPr="00644C3D">
        <w:t xml:space="preserve">The design bending moment </w:t>
      </w:r>
      <w:r w:rsidRPr="00E05E29">
        <w:t xml:space="preserve">and shear </w:t>
      </w:r>
      <w:r w:rsidRPr="00E51323">
        <w:t xml:space="preserve">outside the dissipative joints should be those established by application of the capacity design rules in 10.5.3 and 10.6.2 multiplied by a factor </w:t>
      </w:r>
      <w:r w:rsidRPr="00E51323">
        <w:rPr>
          <w:i/>
        </w:rPr>
        <w:t>γ</w:t>
      </w:r>
      <w:r w:rsidRPr="00E51323">
        <w:rPr>
          <w:vertAlign w:val="subscript"/>
        </w:rPr>
        <w:t>Rd</w:t>
      </w:r>
      <w:r w:rsidRPr="00E51323">
        <w:t xml:space="preserve"> = 1,25.</w:t>
      </w:r>
    </w:p>
    <w:p w14:paraId="126D4276" w14:textId="77777777" w:rsidR="00354F2E" w:rsidRPr="00E51323" w:rsidRDefault="00354F2E" w:rsidP="0080187E">
      <w:pPr>
        <w:pStyle w:val="List2"/>
        <w:numPr>
          <w:ilvl w:val="0"/>
          <w:numId w:val="147"/>
        </w:numPr>
        <w:spacing w:before="0" w:after="240" w:line="230" w:lineRule="atLeast"/>
        <w:contextualSpacing w:val="0"/>
      </w:pPr>
      <w:r w:rsidRPr="00E51323">
        <w:t>The yield strength of elements of the joints that are not designed to yield should be greater than 1,2 times the yield strength of the yielding portion of the joints.</w:t>
      </w:r>
    </w:p>
    <w:p w14:paraId="049B6723" w14:textId="77777777" w:rsidR="00354F2E" w:rsidRPr="00E51323" w:rsidRDefault="00354F2E" w:rsidP="0080187E">
      <w:pPr>
        <w:pStyle w:val="List2"/>
        <w:numPr>
          <w:ilvl w:val="0"/>
          <w:numId w:val="147"/>
        </w:numPr>
        <w:spacing w:before="0" w:after="240" w:line="230" w:lineRule="atLeast"/>
        <w:contextualSpacing w:val="0"/>
      </w:pPr>
      <w:r w:rsidRPr="00E51323">
        <w:t>(5)b should be applied.</w:t>
      </w:r>
    </w:p>
    <w:p w14:paraId="58D05B04" w14:textId="4CA0ADD1" w:rsidR="00354F2E" w:rsidRPr="00E05E29" w:rsidRDefault="00354F2E" w:rsidP="00724E4E">
      <w:pPr>
        <w:pStyle w:val="Clause"/>
      </w:pPr>
      <w:r w:rsidRPr="00E51323">
        <w:t xml:space="preserve">The design shear </w:t>
      </w:r>
      <w:r w:rsidRPr="00E51323">
        <w:rPr>
          <w:i/>
        </w:rPr>
        <w:t>V</w:t>
      </w:r>
      <w:r w:rsidRPr="00E51323">
        <w:rPr>
          <w:vertAlign w:val="subscript"/>
        </w:rPr>
        <w:t>Ed</w:t>
      </w:r>
      <w:r w:rsidRPr="00E51323">
        <w:t xml:space="preserve"> in </w:t>
      </w:r>
      <w:r w:rsidRPr="00E51323">
        <w:rPr>
          <w:rFonts w:eastAsia="Cambria,Bold" w:cstheme="minorHAnsi"/>
        </w:rPr>
        <w:t xml:space="preserve">weak partial strength or nominally pinned connections at supports of beams and at supports of floor members </w:t>
      </w:r>
      <w:r w:rsidRPr="00E51323">
        <w:t>should not be</w:t>
      </w:r>
      <w:r w:rsidRPr="00E05E29">
        <w:t xml:space="preserve"> smaller than </w:t>
      </w:r>
      <w:r w:rsidRPr="00E05E29">
        <w:rPr>
          <w:i/>
        </w:rPr>
        <w:t>γ</w:t>
      </w:r>
      <w:r w:rsidRPr="00E05E29">
        <w:rPr>
          <w:vertAlign w:val="subscript"/>
        </w:rPr>
        <w:t>Rd</w:t>
      </w:r>
      <w:r w:rsidRPr="00E05E29">
        <w:rPr>
          <w:i/>
        </w:rPr>
        <w:t xml:space="preserve"> M</w:t>
      </w:r>
      <w:r w:rsidRPr="00E05E29">
        <w:rPr>
          <w:vertAlign w:val="subscript"/>
        </w:rPr>
        <w:t>Rd</w:t>
      </w:r>
      <w:r w:rsidRPr="00E05E29">
        <w:rPr>
          <w:i/>
        </w:rPr>
        <w:t>/h</w:t>
      </w:r>
      <w:r w:rsidRPr="00E05E29">
        <w:rPr>
          <w:vertAlign w:val="subscript"/>
        </w:rPr>
        <w:t>s,cl</w:t>
      </w:r>
      <w:r w:rsidRPr="00E05E29">
        <w:t xml:space="preserve"> where </w:t>
      </w:r>
      <w:r w:rsidRPr="00E05E29">
        <w:rPr>
          <w:i/>
        </w:rPr>
        <w:t>M</w:t>
      </w:r>
      <w:r w:rsidRPr="00E05E29">
        <w:rPr>
          <w:vertAlign w:val="subscript"/>
        </w:rPr>
        <w:t>Rd</w:t>
      </w:r>
      <w:r w:rsidRPr="00E05E29">
        <w:t xml:space="preserve"> is the bending resistance of the column adjacent to the beam support at the storey level considered, </w:t>
      </w:r>
      <w:r w:rsidRPr="00E05E29">
        <w:rPr>
          <w:i/>
        </w:rPr>
        <w:t>h</w:t>
      </w:r>
      <w:r w:rsidRPr="00E05E29">
        <w:rPr>
          <w:vertAlign w:val="subscript"/>
        </w:rPr>
        <w:t>s,cl</w:t>
      </w:r>
      <w:r w:rsidRPr="00E05E29">
        <w:t xml:space="preserve"> is the clear storey height and </w:t>
      </w:r>
      <w:r w:rsidRPr="00E05E29">
        <w:rPr>
          <w:i/>
        </w:rPr>
        <w:t>γ</w:t>
      </w:r>
      <w:r w:rsidRPr="00E05E29">
        <w:rPr>
          <w:vertAlign w:val="subscript"/>
        </w:rPr>
        <w:t>Rd</w:t>
      </w:r>
      <w:r>
        <w:t> </w:t>
      </w:r>
      <w:r w:rsidRPr="00E05E29">
        <w:t>=</w:t>
      </w:r>
      <w:r>
        <w:t> </w:t>
      </w:r>
      <w:r w:rsidRPr="00E05E29">
        <w:t>1,15 in DC2 and 1,25 in DC3.</w:t>
      </w:r>
    </w:p>
    <w:p w14:paraId="4C409639" w14:textId="3F61B6D3" w:rsidR="00354F2E" w:rsidRPr="00E05E29" w:rsidRDefault="00354F2E" w:rsidP="00354F2E">
      <w:pPr>
        <w:pStyle w:val="Heading3"/>
      </w:pPr>
      <w:bookmarkStart w:id="8282" w:name="_Toc15632587"/>
      <w:bookmarkStart w:id="8283" w:name="_Toc15661584"/>
      <w:bookmarkStart w:id="8284" w:name="_Toc16091437"/>
      <w:bookmarkStart w:id="8285" w:name="_Toc16531676"/>
      <w:bookmarkStart w:id="8286" w:name="_Toc16590534"/>
      <w:bookmarkStart w:id="8287" w:name="_Toc16598401"/>
      <w:bookmarkStart w:id="8288" w:name="_Toc15632588"/>
      <w:bookmarkStart w:id="8289" w:name="_Toc15661585"/>
      <w:bookmarkStart w:id="8290" w:name="_Toc16091438"/>
      <w:bookmarkStart w:id="8291" w:name="_Toc16531677"/>
      <w:bookmarkStart w:id="8292" w:name="_Toc16590535"/>
      <w:bookmarkStart w:id="8293" w:name="_Toc16598402"/>
      <w:bookmarkStart w:id="8294" w:name="_Toc522279754"/>
      <w:bookmarkStart w:id="8295" w:name="_Toc17934226"/>
      <w:bookmarkStart w:id="8296" w:name="_Toc50150405"/>
      <w:bookmarkStart w:id="8297" w:name="_Toc70886837"/>
      <w:bookmarkStart w:id="8298" w:name="_Toc108342391"/>
      <w:bookmarkStart w:id="8299" w:name="_Toc134197926"/>
      <w:bookmarkEnd w:id="8282"/>
      <w:bookmarkEnd w:id="8283"/>
      <w:bookmarkEnd w:id="8284"/>
      <w:bookmarkEnd w:id="8285"/>
      <w:bookmarkEnd w:id="8286"/>
      <w:bookmarkEnd w:id="8287"/>
      <w:bookmarkEnd w:id="8288"/>
      <w:bookmarkEnd w:id="8289"/>
      <w:bookmarkEnd w:id="8290"/>
      <w:bookmarkEnd w:id="8291"/>
      <w:bookmarkEnd w:id="8292"/>
      <w:bookmarkEnd w:id="8293"/>
      <w:r w:rsidRPr="00E05E29">
        <w:t>Precast walls</w:t>
      </w:r>
      <w:bookmarkEnd w:id="8294"/>
      <w:bookmarkEnd w:id="8295"/>
      <w:bookmarkEnd w:id="8296"/>
      <w:bookmarkEnd w:id="8297"/>
      <w:bookmarkEnd w:id="8298"/>
      <w:bookmarkEnd w:id="8299"/>
    </w:p>
    <w:p w14:paraId="64CFE684" w14:textId="77777777" w:rsidR="00354F2E" w:rsidRPr="00E05E29" w:rsidRDefault="00354F2E" w:rsidP="00354F2E">
      <w:pPr>
        <w:pStyle w:val="Heading4"/>
      </w:pPr>
      <w:bookmarkStart w:id="8300" w:name="_Toc522279755"/>
      <w:bookmarkStart w:id="8301" w:name="_Toc108342392"/>
      <w:r w:rsidRPr="00E05E29">
        <w:t>Rules applicable to DC1, DC2 and DC3</w:t>
      </w:r>
      <w:bookmarkEnd w:id="8300"/>
      <w:bookmarkEnd w:id="8301"/>
    </w:p>
    <w:p w14:paraId="16CB3FAE" w14:textId="41392501" w:rsidR="00354F2E" w:rsidRPr="00F72B3A" w:rsidRDefault="00354F2E" w:rsidP="0080187E">
      <w:pPr>
        <w:pStyle w:val="Clause"/>
        <w:numPr>
          <w:ilvl w:val="0"/>
          <w:numId w:val="352"/>
        </w:numPr>
        <w:rPr>
          <w:rFonts w:eastAsia="Cambria"/>
        </w:rPr>
      </w:pPr>
      <w:r w:rsidRPr="00E05E29">
        <w:t xml:space="preserve">Precast walls, considered as those made of precast concrete panels connected along their edges, should be designed to behave as </w:t>
      </w:r>
      <w:r w:rsidRPr="00F72B3A">
        <w:rPr>
          <w:rFonts w:eastAsia="Cambria"/>
        </w:rPr>
        <w:t>cast in place</w:t>
      </w:r>
      <w:r w:rsidRPr="00E05E29">
        <w:t xml:space="preserve"> walls.</w:t>
      </w:r>
    </w:p>
    <w:p w14:paraId="0E56B501" w14:textId="03782284" w:rsidR="00354F2E" w:rsidRPr="00E05E29" w:rsidRDefault="00354F2E" w:rsidP="00354F2E">
      <w:pPr>
        <w:pStyle w:val="Heading4"/>
      </w:pPr>
      <w:bookmarkStart w:id="8302" w:name="_Toc522279757"/>
      <w:bookmarkStart w:id="8303" w:name="_Toc108342393"/>
      <w:r>
        <w:t>Verification in</w:t>
      </w:r>
      <w:r w:rsidRPr="00E05E29">
        <w:t xml:space="preserve"> DC2 and DC3</w:t>
      </w:r>
      <w:bookmarkEnd w:id="8302"/>
      <w:bookmarkEnd w:id="8303"/>
    </w:p>
    <w:p w14:paraId="2F6AA315" w14:textId="7C63EE98" w:rsidR="00354F2E" w:rsidRPr="00E51323" w:rsidRDefault="00354F2E" w:rsidP="0080187E">
      <w:pPr>
        <w:pStyle w:val="Clause"/>
        <w:numPr>
          <w:ilvl w:val="0"/>
          <w:numId w:val="353"/>
        </w:numPr>
        <w:rPr>
          <w:bCs/>
        </w:rPr>
      </w:pPr>
      <w:r w:rsidRPr="00E05E29">
        <w:t xml:space="preserve">Precast walls should be designed as cast in place ductile walls or as large walls and comply respectively with </w:t>
      </w:r>
      <w:r w:rsidRPr="00E51323">
        <w:rPr>
          <w:bCs/>
        </w:rPr>
        <w:t>10.8.2 or 10.9.2 in the determination of the design action effects, and with 10.8.3.1 or 10.9.3.1 and 10.9.3.2 in the determination of the wall resistance in bending and shear and with 10.8.3.4 for tying systems.</w:t>
      </w:r>
    </w:p>
    <w:p w14:paraId="28FF2D8E" w14:textId="7F8B3988" w:rsidR="00354F2E" w:rsidRPr="00E51323" w:rsidRDefault="00354F2E" w:rsidP="00724E4E">
      <w:pPr>
        <w:pStyle w:val="Clause"/>
        <w:rPr>
          <w:bCs/>
        </w:rPr>
      </w:pPr>
      <w:r w:rsidRPr="00E51323">
        <w:rPr>
          <w:bCs/>
        </w:rPr>
        <w:lastRenderedPageBreak/>
        <w:t>Boundary elements should comply with the provisions on concrete confinement of 10.8.3.2 for DC2 ductile walls and 10.9.3.3 for large RC walls.</w:t>
      </w:r>
    </w:p>
    <w:p w14:paraId="60835AA7" w14:textId="77777777" w:rsidR="00354F2E" w:rsidRPr="00E05E29" w:rsidRDefault="00354F2E" w:rsidP="00BE55BD">
      <w:pPr>
        <w:pStyle w:val="Notetext"/>
      </w:pPr>
      <w:r w:rsidRPr="00E05E29">
        <w:t>NOTE</w:t>
      </w:r>
      <w:r w:rsidRPr="00E05E29">
        <w:tab/>
        <w:t>The boundary elements are the edge regions of the overall cross-section of precast walls.</w:t>
      </w:r>
    </w:p>
    <w:p w14:paraId="2A39B01B" w14:textId="6D59548A" w:rsidR="00354F2E" w:rsidRPr="00E05E29" w:rsidRDefault="00354F2E" w:rsidP="00724E4E">
      <w:pPr>
        <w:pStyle w:val="Clause"/>
      </w:pPr>
      <w:r w:rsidRPr="00E05E29">
        <w:t xml:space="preserve">Precast panels should be reinforced by two layers of mesh with pitch not greater than 200 mm and bar </w:t>
      </w:r>
      <w:r w:rsidR="007E5C9E">
        <w:t>d</w:t>
      </w:r>
      <w:r>
        <w:t>iameter</w:t>
      </w:r>
      <w:r w:rsidRPr="00E05E29">
        <w:t xml:space="preserve"> not smaller than 8 mm. Perimeter reinforcement by two longitudinal bars of </w:t>
      </w:r>
      <w:r w:rsidR="007E5C9E">
        <w:t>d</w:t>
      </w:r>
      <w:r>
        <w:t>iameter</w:t>
      </w:r>
      <w:r w:rsidRPr="00E05E29">
        <w:t xml:space="preserve"> at least 12 mm and edge links of </w:t>
      </w:r>
      <w:r w:rsidR="007E5C9E">
        <w:t>d</w:t>
      </w:r>
      <w:r>
        <w:t>iameter</w:t>
      </w:r>
      <w:r w:rsidRPr="00E05E29">
        <w:t xml:space="preserve"> not smaller than 8 mm at 200 mm spacing should be placed.</w:t>
      </w:r>
    </w:p>
    <w:p w14:paraId="0225C3D2" w14:textId="5CBC2B1D" w:rsidR="00354F2E" w:rsidRPr="00E05E29" w:rsidRDefault="00354F2E" w:rsidP="00724E4E">
      <w:pPr>
        <w:pStyle w:val="Clause"/>
      </w:pPr>
      <w:r w:rsidRPr="00E05E29">
        <w:t>Splices of vertical bars between adjacent panels may be lapped, welded or with mechanical splices.</w:t>
      </w:r>
    </w:p>
    <w:p w14:paraId="7DD5F1C1" w14:textId="39CED9FE" w:rsidR="00354F2E" w:rsidRPr="00E05E29" w:rsidRDefault="00354F2E" w:rsidP="00724E4E">
      <w:pPr>
        <w:pStyle w:val="Clause"/>
      </w:pPr>
      <w:r w:rsidRPr="00E05E29">
        <w:t>The resistance of mechanical or welded splices should not be smaller than 1,25 times the yield strength of the bars that they connect. The length of straight lap splices should be at least 1,25 times the straight lap length of bars in cast-in-place concrete.</w:t>
      </w:r>
    </w:p>
    <w:p w14:paraId="13A8683D" w14:textId="093FD8AD" w:rsidR="00354F2E" w:rsidRPr="00E05E29" w:rsidRDefault="00354F2E" w:rsidP="00724E4E">
      <w:pPr>
        <w:pStyle w:val="Clause"/>
      </w:pPr>
      <w:r w:rsidRPr="00E05E29">
        <w:t>Welded splices of vertical reinforcement should be within recesses (Figure 10.1</w:t>
      </w:r>
      <w:r>
        <w:t>6</w:t>
      </w:r>
      <w:r w:rsidRPr="00E05E29">
        <w:t>).</w:t>
      </w:r>
    </w:p>
    <w:p w14:paraId="3EB39E96" w14:textId="1F5D3443" w:rsidR="00354F2E" w:rsidRPr="00132C1E" w:rsidRDefault="00475D51" w:rsidP="00475D51">
      <w:pPr>
        <w:pStyle w:val="FigureImage"/>
      </w:pPr>
      <w:r>
        <w:rPr>
          <w:noProof/>
        </w:rPr>
        <w:drawing>
          <wp:inline distT="0" distB="0" distL="0" distR="0" wp14:anchorId="55AAA230" wp14:editId="0993F86E">
            <wp:extent cx="2880365" cy="1392938"/>
            <wp:effectExtent l="0" t="0" r="0" b="0"/>
            <wp:docPr id="76" name="0020.tiff" descr="A picture containing text, device, gau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0020.tiff" descr="A picture containing text, device, gauge&#10;&#10;Description automatically generated"/>
                    <pic:cNvPicPr/>
                  </pic:nvPicPr>
                  <pic:blipFill>
                    <a:blip r:link="rId35"/>
                    <a:stretch>
                      <a:fillRect/>
                    </a:stretch>
                  </pic:blipFill>
                  <pic:spPr>
                    <a:xfrm>
                      <a:off x="0" y="0"/>
                      <a:ext cx="2880365" cy="1392938"/>
                    </a:xfrm>
                    <a:prstGeom prst="rect">
                      <a:avLst/>
                    </a:prstGeom>
                  </pic:spPr>
                </pic:pic>
              </a:graphicData>
            </a:graphic>
          </wp:inline>
        </w:drawing>
      </w:r>
    </w:p>
    <w:p w14:paraId="0BD7C3B3" w14:textId="77777777" w:rsidR="00354F2E" w:rsidRPr="00BE55BD" w:rsidRDefault="00354F2E" w:rsidP="00475D51">
      <w:pPr>
        <w:pStyle w:val="KeyTitle"/>
      </w:pPr>
      <w:r w:rsidRPr="00BE55BD">
        <w:t>Key</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0"/>
        <w:gridCol w:w="1986"/>
      </w:tblGrid>
      <w:tr w:rsidR="00354F2E" w:rsidRPr="00BE55BD" w14:paraId="474870C1" w14:textId="77777777" w:rsidTr="007D7E6D">
        <w:tc>
          <w:tcPr>
            <w:tcW w:w="390" w:type="dxa"/>
          </w:tcPr>
          <w:p w14:paraId="6F7B7062" w14:textId="77777777" w:rsidR="00354F2E" w:rsidRPr="008618F2" w:rsidRDefault="00354F2E" w:rsidP="008618F2">
            <w:pPr>
              <w:pStyle w:val="KeyText"/>
              <w:spacing w:before="0"/>
              <w:rPr>
                <w:iCs/>
              </w:rPr>
            </w:pPr>
            <w:r w:rsidRPr="008618F2">
              <w:rPr>
                <w:iCs/>
              </w:rPr>
              <w:t>A</w:t>
            </w:r>
          </w:p>
        </w:tc>
        <w:tc>
          <w:tcPr>
            <w:tcW w:w="1986" w:type="dxa"/>
          </w:tcPr>
          <w:p w14:paraId="6D934EF1" w14:textId="77777777" w:rsidR="00354F2E" w:rsidRPr="008618F2" w:rsidRDefault="00354F2E" w:rsidP="008618F2">
            <w:pPr>
              <w:pStyle w:val="KeyText"/>
              <w:spacing w:before="0"/>
            </w:pPr>
            <w:r w:rsidRPr="008618F2">
              <w:t>lap-welding of bars</w:t>
            </w:r>
          </w:p>
        </w:tc>
      </w:tr>
    </w:tbl>
    <w:p w14:paraId="411A8A09" w14:textId="2DE8FAEF" w:rsidR="00354F2E" w:rsidRPr="00FD17CF" w:rsidRDefault="00354F2E" w:rsidP="00BE55BD">
      <w:pPr>
        <w:pStyle w:val="Figuretitle"/>
      </w:pPr>
      <w:r w:rsidRPr="00132C1E">
        <w:t xml:space="preserve">Figure </w:t>
      </w:r>
      <w:r w:rsidR="00BE55BD">
        <w:t>10</w:t>
      </w:r>
      <w:r w:rsidRPr="00132C1E">
        <w:t>.</w:t>
      </w:r>
      <w:r>
        <w:t>16</w:t>
      </w:r>
      <w:r w:rsidR="00BE55BD">
        <w:t> </w:t>
      </w:r>
      <w:r w:rsidRPr="00D1484A">
        <w:rPr>
          <w:rFonts w:ascii="`ÃÍœ˛" w:eastAsia="Cambria" w:hAnsi="`ÃÍœ˛" w:cs="`ÃÍœ˛"/>
          <w:lang w:eastAsia="de-DE"/>
        </w:rPr>
        <w:t>—</w:t>
      </w:r>
      <w:r w:rsidRPr="00D1484A">
        <w:t xml:space="preserve"> Tensile reinforcement possibly needed at the edge of walls (Elevation view; </w:t>
      </w:r>
      <w:r w:rsidRPr="007E6F67">
        <w:t>d</w:t>
      </w:r>
      <w:r w:rsidRPr="00FD17CF">
        <w:t>imensions are indicative)</w:t>
      </w:r>
    </w:p>
    <w:p w14:paraId="322E40A8" w14:textId="748F9581" w:rsidR="00354F2E" w:rsidRPr="00E05E29" w:rsidRDefault="00354F2E" w:rsidP="00724E4E">
      <w:pPr>
        <w:pStyle w:val="Clause"/>
      </w:pPr>
      <w:r w:rsidRPr="00644C3D">
        <w:t>The shear resistance of cast in place concrete joints between panels and of concrete along joints between panels should be verified for 1,5</w:t>
      </w:r>
      <w:r w:rsidRPr="00E05E29">
        <w:rPr>
          <w:i/>
        </w:rPr>
        <w:t>V</w:t>
      </w:r>
      <w:r w:rsidRPr="00E05E29">
        <w:rPr>
          <w:vertAlign w:val="subscript"/>
        </w:rPr>
        <w:t>Ed</w:t>
      </w:r>
      <w:r w:rsidRPr="00E05E29">
        <w:t xml:space="preserve">, where </w:t>
      </w:r>
      <w:r w:rsidRPr="00E05E29">
        <w:rPr>
          <w:i/>
        </w:rPr>
        <w:t>V</w:t>
      </w:r>
      <w:r w:rsidRPr="00E05E29">
        <w:rPr>
          <w:vertAlign w:val="subscript"/>
        </w:rPr>
        <w:t>Ed</w:t>
      </w:r>
      <w:r w:rsidRPr="00E05E29">
        <w:t xml:space="preserve"> is the shear action effect at the joints in the seismic design situation.</w:t>
      </w:r>
    </w:p>
    <w:p w14:paraId="33732827" w14:textId="3DB6752E" w:rsidR="00354F2E" w:rsidRPr="00E05E29" w:rsidRDefault="00354F2E" w:rsidP="00724E4E">
      <w:pPr>
        <w:pStyle w:val="Clause"/>
        <w:rPr>
          <w:rFonts w:eastAsia="Cambria"/>
        </w:rPr>
      </w:pPr>
      <w:r w:rsidRPr="00E05E29">
        <w:t xml:space="preserve">The horizontal reinforcement </w:t>
      </w:r>
      <w:r w:rsidRPr="00E05E29">
        <w:rPr>
          <w:rFonts w:eastAsia="Cambria"/>
        </w:rPr>
        <w:t>geometrical</w:t>
      </w:r>
      <w:r w:rsidRPr="00E05E29">
        <w:t xml:space="preserve"> ratio across vertical joints of panels should be between 0,2</w:t>
      </w:r>
      <w:r w:rsidR="007D7E6D">
        <w:t> </w:t>
      </w:r>
      <w:r w:rsidRPr="00E05E29">
        <w:t>% and 2</w:t>
      </w:r>
      <w:r w:rsidR="007D7E6D">
        <w:t> </w:t>
      </w:r>
      <w:r w:rsidRPr="00E05E29">
        <w:t>%.</w:t>
      </w:r>
    </w:p>
    <w:p w14:paraId="63D81FB5" w14:textId="12B70E49" w:rsidR="00354F2E" w:rsidRPr="00E05E29" w:rsidRDefault="00354F2E" w:rsidP="00724E4E">
      <w:pPr>
        <w:pStyle w:val="Clause"/>
      </w:pPr>
      <w:r w:rsidRPr="00E05E29">
        <w:t>Horizontal reinforcement may be distributed in three bands at the top, middle and bottom of the vertical joint of panels.</w:t>
      </w:r>
    </w:p>
    <w:p w14:paraId="75453DCA" w14:textId="13ABC47D" w:rsidR="00354F2E" w:rsidRPr="00E05E29" w:rsidRDefault="00354F2E" w:rsidP="00724E4E">
      <w:pPr>
        <w:pStyle w:val="Clause"/>
      </w:pPr>
      <w:r w:rsidRPr="00E05E29">
        <w:t>Continuity of horizontal reinforcement across vertical panel-to-panel joints should be ensured.</w:t>
      </w:r>
    </w:p>
    <w:p w14:paraId="7C6062D1" w14:textId="77777777" w:rsidR="00354F2E" w:rsidRPr="00E05E29" w:rsidRDefault="00354F2E" w:rsidP="00BE55BD">
      <w:pPr>
        <w:pStyle w:val="Notetext"/>
      </w:pPr>
      <w:r w:rsidRPr="00E05E29">
        <w:t>NOTE</w:t>
      </w:r>
      <w:r w:rsidRPr="00E05E29">
        <w:tab/>
        <w:t>Horizontal continuity can be obtained by using loops of the horizontal reinforcement with a vertical bar placed in the loop (Figure 10.1</w:t>
      </w:r>
      <w:r>
        <w:t>7</w:t>
      </w:r>
      <w:r w:rsidRPr="00E05E29">
        <w:t>a) or by welding of horizontal bars across the joint (Figure 10.1</w:t>
      </w:r>
      <w:r>
        <w:t>7</w:t>
      </w:r>
      <w:r w:rsidRPr="00E05E29">
        <w:t>b).</w:t>
      </w:r>
    </w:p>
    <w:p w14:paraId="18BBF69F" w14:textId="1BBA3EF4" w:rsidR="00354F2E" w:rsidRPr="00E05E29" w:rsidRDefault="00354F2E" w:rsidP="00724E4E">
      <w:pPr>
        <w:pStyle w:val="Clause"/>
      </w:pPr>
      <w:r w:rsidRPr="00E05E29">
        <w:t>The vertical reinforcement ratio relative to the area of grout in vertical joints should not be less than 1</w:t>
      </w:r>
      <w:r w:rsidR="007D7E6D">
        <w:t> </w:t>
      </w:r>
      <w:r w:rsidRPr="00E05E29">
        <w:t>%.</w:t>
      </w:r>
    </w:p>
    <w:p w14:paraId="7DF0EDA0" w14:textId="4523584E" w:rsidR="00354F2E" w:rsidRPr="00132C1E" w:rsidRDefault="00475D51" w:rsidP="00475D51">
      <w:pPr>
        <w:pStyle w:val="FigureImage"/>
      </w:pPr>
      <w:r>
        <w:rPr>
          <w:noProof/>
        </w:rPr>
        <w:lastRenderedPageBreak/>
        <w:drawing>
          <wp:inline distT="0" distB="0" distL="0" distR="0" wp14:anchorId="77FF82FF" wp14:editId="1FC7B4D7">
            <wp:extent cx="4320547" cy="1499618"/>
            <wp:effectExtent l="0" t="0" r="3810" b="0"/>
            <wp:docPr id="85" name="0021.tiff" descr="A picture containing text, silhouet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0021.tiff" descr="A picture containing text, silhouette&#10;&#10;Description automatically generated"/>
                    <pic:cNvPicPr/>
                  </pic:nvPicPr>
                  <pic:blipFill>
                    <a:blip r:link="rId36"/>
                    <a:stretch>
                      <a:fillRect/>
                    </a:stretch>
                  </pic:blipFill>
                  <pic:spPr>
                    <a:xfrm>
                      <a:off x="0" y="0"/>
                      <a:ext cx="4320547" cy="1499618"/>
                    </a:xfrm>
                    <a:prstGeom prst="rect">
                      <a:avLst/>
                    </a:prstGeom>
                  </pic:spPr>
                </pic:pic>
              </a:graphicData>
            </a:graphic>
          </wp:inline>
        </w:drawing>
      </w:r>
    </w:p>
    <w:p w14:paraId="1F460D9C" w14:textId="77777777" w:rsidR="00354F2E" w:rsidRPr="00BE55BD" w:rsidRDefault="00354F2E" w:rsidP="00475D51">
      <w:pPr>
        <w:pStyle w:val="KeyTitle"/>
      </w:pPr>
      <w:r w:rsidRPr="00BE55BD">
        <w:t>Key</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
        <w:gridCol w:w="3620"/>
      </w:tblGrid>
      <w:tr w:rsidR="00354F2E" w:rsidRPr="00BE55BD" w14:paraId="5098FB9C" w14:textId="77777777" w:rsidTr="007D7E6D">
        <w:tc>
          <w:tcPr>
            <w:tcW w:w="349" w:type="dxa"/>
          </w:tcPr>
          <w:p w14:paraId="5D84E067" w14:textId="77777777" w:rsidR="00354F2E" w:rsidRPr="008618F2" w:rsidRDefault="00354F2E" w:rsidP="008618F2">
            <w:pPr>
              <w:pStyle w:val="KeyText"/>
              <w:spacing w:before="0"/>
              <w:rPr>
                <w:iCs/>
              </w:rPr>
            </w:pPr>
            <w:r w:rsidRPr="008618F2">
              <w:rPr>
                <w:iCs/>
              </w:rPr>
              <w:t>A</w:t>
            </w:r>
          </w:p>
        </w:tc>
        <w:tc>
          <w:tcPr>
            <w:tcW w:w="3620" w:type="dxa"/>
          </w:tcPr>
          <w:p w14:paraId="4DA1BB3D" w14:textId="77777777" w:rsidR="00354F2E" w:rsidRPr="008618F2" w:rsidRDefault="00354F2E" w:rsidP="008618F2">
            <w:pPr>
              <w:pStyle w:val="KeyText"/>
              <w:spacing w:before="0"/>
            </w:pPr>
            <w:r w:rsidRPr="008618F2">
              <w:t>reinforcement protruding across joint</w:t>
            </w:r>
          </w:p>
        </w:tc>
      </w:tr>
      <w:tr w:rsidR="00354F2E" w:rsidRPr="00BE55BD" w14:paraId="3C72F424" w14:textId="77777777" w:rsidTr="007D7E6D">
        <w:tc>
          <w:tcPr>
            <w:tcW w:w="349" w:type="dxa"/>
          </w:tcPr>
          <w:p w14:paraId="17F97175" w14:textId="77777777" w:rsidR="00354F2E" w:rsidRPr="008618F2" w:rsidRDefault="00354F2E" w:rsidP="008618F2">
            <w:pPr>
              <w:pStyle w:val="KeyText"/>
              <w:spacing w:before="0"/>
              <w:rPr>
                <w:iCs/>
              </w:rPr>
            </w:pPr>
            <w:r w:rsidRPr="008618F2">
              <w:rPr>
                <w:iCs/>
              </w:rPr>
              <w:t>B</w:t>
            </w:r>
          </w:p>
        </w:tc>
        <w:tc>
          <w:tcPr>
            <w:tcW w:w="3620" w:type="dxa"/>
          </w:tcPr>
          <w:p w14:paraId="57824A8D" w14:textId="77777777" w:rsidR="00354F2E" w:rsidRPr="008618F2" w:rsidRDefault="00354F2E" w:rsidP="008618F2">
            <w:pPr>
              <w:pStyle w:val="KeyText"/>
              <w:spacing w:before="0"/>
            </w:pPr>
            <w:r w:rsidRPr="008618F2">
              <w:t>vertical reinforcement along joint</w:t>
            </w:r>
          </w:p>
        </w:tc>
      </w:tr>
      <w:tr w:rsidR="00354F2E" w:rsidRPr="00BE55BD" w14:paraId="2D208B5E" w14:textId="77777777" w:rsidTr="007D7E6D">
        <w:tc>
          <w:tcPr>
            <w:tcW w:w="349" w:type="dxa"/>
          </w:tcPr>
          <w:p w14:paraId="210CD8A7" w14:textId="77777777" w:rsidR="00354F2E" w:rsidRPr="008618F2" w:rsidRDefault="00354F2E" w:rsidP="008618F2">
            <w:pPr>
              <w:pStyle w:val="KeyText"/>
              <w:spacing w:before="0"/>
              <w:rPr>
                <w:iCs/>
              </w:rPr>
            </w:pPr>
            <w:r w:rsidRPr="008618F2">
              <w:rPr>
                <w:iCs/>
              </w:rPr>
              <w:t>C</w:t>
            </w:r>
          </w:p>
        </w:tc>
        <w:tc>
          <w:tcPr>
            <w:tcW w:w="3620" w:type="dxa"/>
          </w:tcPr>
          <w:p w14:paraId="04E054C4" w14:textId="77777777" w:rsidR="00354F2E" w:rsidRPr="008618F2" w:rsidRDefault="00354F2E" w:rsidP="008618F2">
            <w:pPr>
              <w:pStyle w:val="KeyText"/>
              <w:spacing w:before="0"/>
            </w:pPr>
            <w:r w:rsidRPr="008618F2">
              <w:t>trace of indentations in concrete panel</w:t>
            </w:r>
          </w:p>
        </w:tc>
      </w:tr>
      <w:tr w:rsidR="00354F2E" w:rsidRPr="00BE55BD" w14:paraId="14EECE62" w14:textId="77777777" w:rsidTr="007D7E6D">
        <w:tc>
          <w:tcPr>
            <w:tcW w:w="349" w:type="dxa"/>
          </w:tcPr>
          <w:p w14:paraId="548F5669" w14:textId="77777777" w:rsidR="00354F2E" w:rsidRPr="008618F2" w:rsidRDefault="00354F2E" w:rsidP="008618F2">
            <w:pPr>
              <w:pStyle w:val="KeyText"/>
              <w:spacing w:before="0"/>
              <w:rPr>
                <w:iCs/>
              </w:rPr>
            </w:pPr>
            <w:r w:rsidRPr="008618F2">
              <w:rPr>
                <w:iCs/>
              </w:rPr>
              <w:t>D</w:t>
            </w:r>
          </w:p>
        </w:tc>
        <w:tc>
          <w:tcPr>
            <w:tcW w:w="3620" w:type="dxa"/>
          </w:tcPr>
          <w:p w14:paraId="19F2DC01" w14:textId="77777777" w:rsidR="00354F2E" w:rsidRPr="008618F2" w:rsidRDefault="00354F2E" w:rsidP="008618F2">
            <w:pPr>
              <w:pStyle w:val="KeyText"/>
              <w:spacing w:before="0"/>
            </w:pPr>
            <w:r w:rsidRPr="008618F2">
              <w:t>grout filling between panels</w:t>
            </w:r>
          </w:p>
        </w:tc>
      </w:tr>
    </w:tbl>
    <w:p w14:paraId="28704C09" w14:textId="31F3666E" w:rsidR="00354F2E" w:rsidRPr="00644C3D" w:rsidRDefault="00354F2E" w:rsidP="00BE55BD">
      <w:pPr>
        <w:pStyle w:val="Figuretitle"/>
      </w:pPr>
      <w:r w:rsidRPr="00132C1E">
        <w:t xml:space="preserve">Figure </w:t>
      </w:r>
      <w:r w:rsidR="00BE55BD">
        <w:t>10</w:t>
      </w:r>
      <w:r w:rsidRPr="00132C1E">
        <w:t>.</w:t>
      </w:r>
      <w:r>
        <w:t>17</w:t>
      </w:r>
      <w:r w:rsidRPr="00132C1E">
        <w:t> </w:t>
      </w:r>
      <w:r w:rsidRPr="00D1484A">
        <w:rPr>
          <w:rFonts w:ascii="`ÃÍœ˛" w:eastAsia="Cambria" w:hAnsi="`ÃÍœ˛" w:cs="`ÃÍœ˛"/>
          <w:szCs w:val="22"/>
          <w:lang w:eastAsia="de-DE"/>
        </w:rPr>
        <w:t>—</w:t>
      </w:r>
      <w:r w:rsidRPr="00D1484A">
        <w:t xml:space="preserve"> Plan view. Cross-section of vertical joints between precast large </w:t>
      </w:r>
      <w:r w:rsidRPr="007E6F67">
        <w:t xml:space="preserve">panels: </w:t>
      </w:r>
      <w:r w:rsidR="00475D51">
        <w:t>(</w:t>
      </w:r>
      <w:r w:rsidRPr="007E6F67">
        <w:t xml:space="preserve">a) </w:t>
      </w:r>
      <w:r w:rsidRPr="00FD17CF">
        <w:t xml:space="preserve">joint with two accessible faces; </w:t>
      </w:r>
      <w:r w:rsidR="00475D51">
        <w:t>(</w:t>
      </w:r>
      <w:r w:rsidRPr="00FD17CF">
        <w:t>b) joint with one accessible face</w:t>
      </w:r>
    </w:p>
    <w:p w14:paraId="7721C537" w14:textId="77777777" w:rsidR="00354F2E" w:rsidRPr="00E05E29" w:rsidRDefault="00354F2E" w:rsidP="00354F2E">
      <w:pPr>
        <w:pStyle w:val="Heading4"/>
      </w:pPr>
      <w:bookmarkStart w:id="8304" w:name="_Toc522279758"/>
      <w:bookmarkStart w:id="8305" w:name="_Toc108342394"/>
      <w:r>
        <w:t>Verification in</w:t>
      </w:r>
      <w:r w:rsidRPr="00E05E29">
        <w:t xml:space="preserve"> DC3</w:t>
      </w:r>
      <w:bookmarkEnd w:id="8304"/>
      <w:bookmarkEnd w:id="8305"/>
    </w:p>
    <w:p w14:paraId="6597C7EA" w14:textId="7D16CF95" w:rsidR="00354F2E" w:rsidRPr="00E51323" w:rsidRDefault="00354F2E" w:rsidP="0080187E">
      <w:pPr>
        <w:pStyle w:val="Clause"/>
        <w:numPr>
          <w:ilvl w:val="0"/>
          <w:numId w:val="354"/>
        </w:numPr>
      </w:pPr>
      <w:r w:rsidRPr="00E05E29">
        <w:t xml:space="preserve">Precast walls should be designed as cast in place ductile walls </w:t>
      </w:r>
      <w:r w:rsidRPr="00E51323">
        <w:t>and comply with 10.8.3.2.</w:t>
      </w:r>
    </w:p>
    <w:p w14:paraId="0ADD3C72" w14:textId="6F268C80" w:rsidR="00354F2E" w:rsidRPr="00E51323" w:rsidRDefault="00354F2E" w:rsidP="00724E4E">
      <w:pPr>
        <w:pStyle w:val="Clause"/>
      </w:pPr>
      <w:r w:rsidRPr="00E51323">
        <w:t>Boundary elements should comply with the requirements on confinement in 10.8.3.2.</w:t>
      </w:r>
    </w:p>
    <w:p w14:paraId="64648C1F" w14:textId="34E8F0A1" w:rsidR="00354F2E" w:rsidRPr="00E51323" w:rsidRDefault="00354F2E" w:rsidP="00724E4E">
      <w:pPr>
        <w:pStyle w:val="Clause"/>
      </w:pPr>
      <w:r w:rsidRPr="00E51323">
        <w:t>A square part of the section at each edge of a precast panel, with side equal to the wall panel thickness,</w:t>
      </w:r>
      <w:r w:rsidRPr="00E51323">
        <w:rPr>
          <w:i/>
        </w:rPr>
        <w:t xml:space="preserve"> b</w:t>
      </w:r>
      <w:r w:rsidRPr="00E51323">
        <w:rPr>
          <w:vertAlign w:val="subscript"/>
        </w:rPr>
        <w:t>w</w:t>
      </w:r>
      <w:r w:rsidRPr="00E51323">
        <w:t>, should be confined according to 10.6.3.2.</w:t>
      </w:r>
    </w:p>
    <w:p w14:paraId="00606FA3" w14:textId="67641A24" w:rsidR="00354F2E" w:rsidRPr="00E51323" w:rsidRDefault="00354F2E" w:rsidP="00724E4E">
      <w:pPr>
        <w:pStyle w:val="Clause"/>
      </w:pPr>
      <w:r w:rsidRPr="00E51323">
        <w:t>10.14.4.2(4) to (6) on splices should be applied.</w:t>
      </w:r>
    </w:p>
    <w:p w14:paraId="0EA762AF" w14:textId="064BC620" w:rsidR="00354F2E" w:rsidRPr="00E51323" w:rsidRDefault="00354F2E" w:rsidP="00724E4E">
      <w:pPr>
        <w:pStyle w:val="Clause"/>
      </w:pPr>
      <w:r w:rsidRPr="00E51323">
        <w:t>The total tension force in the wall should be resisted by vertical reinforcement placed in the zone of the wall panel under tension.</w:t>
      </w:r>
    </w:p>
    <w:p w14:paraId="46819C55" w14:textId="1381B62D" w:rsidR="00354F2E" w:rsidRPr="00E51323" w:rsidRDefault="00354F2E" w:rsidP="00724E4E">
      <w:pPr>
        <w:pStyle w:val="Clause"/>
      </w:pPr>
      <w:r w:rsidRPr="00E51323">
        <w:t>Shear sliding should be verified according to prEN</w:t>
      </w:r>
      <w:r w:rsidR="00475D51">
        <w:t> </w:t>
      </w:r>
      <w:r w:rsidRPr="00E51323">
        <w:t>1998-1-1:2022, 7.2.3(8).</w:t>
      </w:r>
    </w:p>
    <w:p w14:paraId="75573908" w14:textId="270C0372" w:rsidR="00354F2E" w:rsidRPr="00E05E29" w:rsidRDefault="00354F2E" w:rsidP="00724E4E">
      <w:pPr>
        <w:pStyle w:val="Clause"/>
      </w:pPr>
      <w:r w:rsidRPr="00E51323">
        <w:t>The shear resistance of non-dissipative components should be verified for 1,3</w:t>
      </w:r>
      <w:r w:rsidRPr="00E51323">
        <w:rPr>
          <w:i/>
          <w:iCs/>
        </w:rPr>
        <w:t>V</w:t>
      </w:r>
      <w:r w:rsidRPr="00E51323">
        <w:rPr>
          <w:vertAlign w:val="subscript"/>
        </w:rPr>
        <w:t>Ed</w:t>
      </w:r>
      <w:r w:rsidRPr="00E51323">
        <w:t xml:space="preserve">, where </w:t>
      </w:r>
      <w:r w:rsidRPr="00E51323">
        <w:rPr>
          <w:i/>
          <w:iCs/>
        </w:rPr>
        <w:t>V</w:t>
      </w:r>
      <w:r w:rsidRPr="00E51323">
        <w:rPr>
          <w:vertAlign w:val="subscript"/>
        </w:rPr>
        <w:t>Ed</w:t>
      </w:r>
      <w:r w:rsidRPr="00E51323">
        <w:t xml:space="preserve"> is the shear action effect at the joint in the seismic design situation as defined in 10.8.3.1(4) and (5) for</w:t>
      </w:r>
      <w:r w:rsidRPr="00E05E29">
        <w:t xml:space="preserve"> cast in place similar components designed to DC3.</w:t>
      </w:r>
    </w:p>
    <w:p w14:paraId="2E33D740" w14:textId="454B1FBB" w:rsidR="00354F2E" w:rsidRPr="00E05E29" w:rsidRDefault="00354F2E" w:rsidP="00724E4E">
      <w:pPr>
        <w:pStyle w:val="Clause"/>
      </w:pPr>
      <w:r w:rsidRPr="00E05E29">
        <w:t>The horizontal reinforcement ratio across vertical joints of panels should not be smaller than 0,10</w:t>
      </w:r>
      <w:r w:rsidR="007D7E6D">
        <w:t> </w:t>
      </w:r>
      <w:r w:rsidRPr="00E05E29">
        <w:t>% in fully compressed joints and 0,25</w:t>
      </w:r>
      <w:r w:rsidR="007D7E6D">
        <w:t> </w:t>
      </w:r>
      <w:r w:rsidRPr="00E05E29">
        <w:t>% in partly compressed joints; it should not be more than 2</w:t>
      </w:r>
      <w:r w:rsidR="007D7E6D">
        <w:t> </w:t>
      </w:r>
      <w:r w:rsidRPr="00E05E29">
        <w:t>%.</w:t>
      </w:r>
    </w:p>
    <w:p w14:paraId="15D58918" w14:textId="5D114B6E" w:rsidR="00354F2E" w:rsidRPr="00E05E29" w:rsidRDefault="00354F2E" w:rsidP="00354F2E">
      <w:pPr>
        <w:pStyle w:val="Heading3"/>
      </w:pPr>
      <w:bookmarkStart w:id="8306" w:name="_Toc15632590"/>
      <w:bookmarkStart w:id="8307" w:name="_Toc15661587"/>
      <w:bookmarkStart w:id="8308" w:name="_Toc16091440"/>
      <w:bookmarkStart w:id="8309" w:name="_Toc16531679"/>
      <w:bookmarkStart w:id="8310" w:name="_Toc16590537"/>
      <w:bookmarkStart w:id="8311" w:name="_Toc16598404"/>
      <w:bookmarkStart w:id="8312" w:name="_Toc15632591"/>
      <w:bookmarkStart w:id="8313" w:name="_Toc15661588"/>
      <w:bookmarkStart w:id="8314" w:name="_Toc16091441"/>
      <w:bookmarkStart w:id="8315" w:name="_Toc16531680"/>
      <w:bookmarkStart w:id="8316" w:name="_Toc16590538"/>
      <w:bookmarkStart w:id="8317" w:name="_Toc16598405"/>
      <w:bookmarkStart w:id="8318" w:name="_Toc15632592"/>
      <w:bookmarkStart w:id="8319" w:name="_Toc15661589"/>
      <w:bookmarkStart w:id="8320" w:name="_Toc16091442"/>
      <w:bookmarkStart w:id="8321" w:name="_Toc16531681"/>
      <w:bookmarkStart w:id="8322" w:name="_Toc16590539"/>
      <w:bookmarkStart w:id="8323" w:name="_Toc16598406"/>
      <w:bookmarkStart w:id="8324" w:name="_Toc128203"/>
      <w:bookmarkStart w:id="8325" w:name="_Toc128597"/>
      <w:bookmarkStart w:id="8326" w:name="_Toc128991"/>
      <w:bookmarkStart w:id="8327" w:name="_Toc129385"/>
      <w:bookmarkStart w:id="8328" w:name="_Toc129779"/>
      <w:bookmarkStart w:id="8329" w:name="_Toc130172"/>
      <w:bookmarkStart w:id="8330" w:name="_Toc130566"/>
      <w:bookmarkStart w:id="8331" w:name="_Toc130960"/>
      <w:bookmarkStart w:id="8332" w:name="_Toc131354"/>
      <w:bookmarkStart w:id="8333" w:name="_Toc289249"/>
      <w:bookmarkStart w:id="8334" w:name="_Toc338415"/>
      <w:bookmarkStart w:id="8335" w:name="_Toc705847"/>
      <w:bookmarkStart w:id="8336" w:name="_Toc706833"/>
      <w:bookmarkStart w:id="8337" w:name="_Toc709142"/>
      <w:bookmarkStart w:id="8338" w:name="_Toc710507"/>
      <w:bookmarkStart w:id="8339" w:name="_Toc970528"/>
      <w:bookmarkStart w:id="8340" w:name="_Toc970903"/>
      <w:bookmarkStart w:id="8341" w:name="_Toc1135603"/>
      <w:bookmarkStart w:id="8342" w:name="_Toc1165917"/>
      <w:bookmarkStart w:id="8343" w:name="_Toc1207982"/>
      <w:bookmarkStart w:id="8344" w:name="_Toc1408598"/>
      <w:bookmarkStart w:id="8345" w:name="_Toc128204"/>
      <w:bookmarkStart w:id="8346" w:name="_Toc128598"/>
      <w:bookmarkStart w:id="8347" w:name="_Toc128992"/>
      <w:bookmarkStart w:id="8348" w:name="_Toc129386"/>
      <w:bookmarkStart w:id="8349" w:name="_Toc129780"/>
      <w:bookmarkStart w:id="8350" w:name="_Toc130173"/>
      <w:bookmarkStart w:id="8351" w:name="_Toc130567"/>
      <w:bookmarkStart w:id="8352" w:name="_Toc130961"/>
      <w:bookmarkStart w:id="8353" w:name="_Toc131355"/>
      <w:bookmarkStart w:id="8354" w:name="_Toc289250"/>
      <w:bookmarkStart w:id="8355" w:name="_Toc338416"/>
      <w:bookmarkStart w:id="8356" w:name="_Toc705848"/>
      <w:bookmarkStart w:id="8357" w:name="_Toc706834"/>
      <w:bookmarkStart w:id="8358" w:name="_Toc709143"/>
      <w:bookmarkStart w:id="8359" w:name="_Toc710508"/>
      <w:bookmarkStart w:id="8360" w:name="_Toc970529"/>
      <w:bookmarkStart w:id="8361" w:name="_Toc970904"/>
      <w:bookmarkStart w:id="8362" w:name="_Toc1135604"/>
      <w:bookmarkStart w:id="8363" w:name="_Toc1165918"/>
      <w:bookmarkStart w:id="8364" w:name="_Toc1207983"/>
      <w:bookmarkStart w:id="8365" w:name="_Toc1408599"/>
      <w:bookmarkStart w:id="8366" w:name="_Toc128205"/>
      <w:bookmarkStart w:id="8367" w:name="_Toc128599"/>
      <w:bookmarkStart w:id="8368" w:name="_Toc128993"/>
      <w:bookmarkStart w:id="8369" w:name="_Toc129387"/>
      <w:bookmarkStart w:id="8370" w:name="_Toc129781"/>
      <w:bookmarkStart w:id="8371" w:name="_Toc130174"/>
      <w:bookmarkStart w:id="8372" w:name="_Toc130568"/>
      <w:bookmarkStart w:id="8373" w:name="_Toc130962"/>
      <w:bookmarkStart w:id="8374" w:name="_Toc131356"/>
      <w:bookmarkStart w:id="8375" w:name="_Toc289251"/>
      <w:bookmarkStart w:id="8376" w:name="_Toc338417"/>
      <w:bookmarkStart w:id="8377" w:name="_Toc705849"/>
      <w:bookmarkStart w:id="8378" w:name="_Toc706835"/>
      <w:bookmarkStart w:id="8379" w:name="_Toc709144"/>
      <w:bookmarkStart w:id="8380" w:name="_Toc710509"/>
      <w:bookmarkStart w:id="8381" w:name="_Toc970530"/>
      <w:bookmarkStart w:id="8382" w:name="_Toc970905"/>
      <w:bookmarkStart w:id="8383" w:name="_Toc1135605"/>
      <w:bookmarkStart w:id="8384" w:name="_Toc1165919"/>
      <w:bookmarkStart w:id="8385" w:name="_Toc1207984"/>
      <w:bookmarkStart w:id="8386" w:name="_Toc1408600"/>
      <w:bookmarkStart w:id="8387" w:name="_Toc128206"/>
      <w:bookmarkStart w:id="8388" w:name="_Toc128600"/>
      <w:bookmarkStart w:id="8389" w:name="_Toc128994"/>
      <w:bookmarkStart w:id="8390" w:name="_Toc129388"/>
      <w:bookmarkStart w:id="8391" w:name="_Toc129782"/>
      <w:bookmarkStart w:id="8392" w:name="_Toc130175"/>
      <w:bookmarkStart w:id="8393" w:name="_Toc130569"/>
      <w:bookmarkStart w:id="8394" w:name="_Toc130963"/>
      <w:bookmarkStart w:id="8395" w:name="_Toc131357"/>
      <w:bookmarkStart w:id="8396" w:name="_Toc289252"/>
      <w:bookmarkStart w:id="8397" w:name="_Toc338418"/>
      <w:bookmarkStart w:id="8398" w:name="_Toc705850"/>
      <w:bookmarkStart w:id="8399" w:name="_Toc706836"/>
      <w:bookmarkStart w:id="8400" w:name="_Toc709145"/>
      <w:bookmarkStart w:id="8401" w:name="_Toc710510"/>
      <w:bookmarkStart w:id="8402" w:name="_Toc970531"/>
      <w:bookmarkStart w:id="8403" w:name="_Toc970906"/>
      <w:bookmarkStart w:id="8404" w:name="_Toc1135606"/>
      <w:bookmarkStart w:id="8405" w:name="_Toc1165920"/>
      <w:bookmarkStart w:id="8406" w:name="_Toc1207985"/>
      <w:bookmarkStart w:id="8407" w:name="_Toc1408601"/>
      <w:bookmarkStart w:id="8408" w:name="_Toc128207"/>
      <w:bookmarkStart w:id="8409" w:name="_Toc128601"/>
      <w:bookmarkStart w:id="8410" w:name="_Toc128995"/>
      <w:bookmarkStart w:id="8411" w:name="_Toc129389"/>
      <w:bookmarkStart w:id="8412" w:name="_Toc129783"/>
      <w:bookmarkStart w:id="8413" w:name="_Toc130176"/>
      <w:bookmarkStart w:id="8414" w:name="_Toc130570"/>
      <w:bookmarkStart w:id="8415" w:name="_Toc130964"/>
      <w:bookmarkStart w:id="8416" w:name="_Toc131358"/>
      <w:bookmarkStart w:id="8417" w:name="_Toc289253"/>
      <w:bookmarkStart w:id="8418" w:name="_Toc338419"/>
      <w:bookmarkStart w:id="8419" w:name="_Toc705851"/>
      <w:bookmarkStart w:id="8420" w:name="_Toc706837"/>
      <w:bookmarkStart w:id="8421" w:name="_Toc709146"/>
      <w:bookmarkStart w:id="8422" w:name="_Toc710511"/>
      <w:bookmarkStart w:id="8423" w:name="_Toc970532"/>
      <w:bookmarkStart w:id="8424" w:name="_Toc970907"/>
      <w:bookmarkStart w:id="8425" w:name="_Toc1135607"/>
      <w:bookmarkStart w:id="8426" w:name="_Toc1165921"/>
      <w:bookmarkStart w:id="8427" w:name="_Toc1207986"/>
      <w:bookmarkStart w:id="8428" w:name="_Toc1408602"/>
      <w:bookmarkStart w:id="8429" w:name="_Toc128208"/>
      <w:bookmarkStart w:id="8430" w:name="_Toc128602"/>
      <w:bookmarkStart w:id="8431" w:name="_Toc128996"/>
      <w:bookmarkStart w:id="8432" w:name="_Toc129390"/>
      <w:bookmarkStart w:id="8433" w:name="_Toc129784"/>
      <w:bookmarkStart w:id="8434" w:name="_Toc130177"/>
      <w:bookmarkStart w:id="8435" w:name="_Toc130571"/>
      <w:bookmarkStart w:id="8436" w:name="_Toc130965"/>
      <w:bookmarkStart w:id="8437" w:name="_Toc131359"/>
      <w:bookmarkStart w:id="8438" w:name="_Toc289254"/>
      <w:bookmarkStart w:id="8439" w:name="_Toc338420"/>
      <w:bookmarkStart w:id="8440" w:name="_Toc705852"/>
      <w:bookmarkStart w:id="8441" w:name="_Toc706838"/>
      <w:bookmarkStart w:id="8442" w:name="_Toc709147"/>
      <w:bookmarkStart w:id="8443" w:name="_Toc710512"/>
      <w:bookmarkStart w:id="8444" w:name="_Toc970533"/>
      <w:bookmarkStart w:id="8445" w:name="_Toc970908"/>
      <w:bookmarkStart w:id="8446" w:name="_Toc1135608"/>
      <w:bookmarkStart w:id="8447" w:name="_Toc1165922"/>
      <w:bookmarkStart w:id="8448" w:name="_Toc1207987"/>
      <w:bookmarkStart w:id="8449" w:name="_Toc1408603"/>
      <w:bookmarkStart w:id="8450" w:name="_Toc128215"/>
      <w:bookmarkStart w:id="8451" w:name="_Toc128609"/>
      <w:bookmarkStart w:id="8452" w:name="_Toc129003"/>
      <w:bookmarkStart w:id="8453" w:name="_Toc129397"/>
      <w:bookmarkStart w:id="8454" w:name="_Toc129791"/>
      <w:bookmarkStart w:id="8455" w:name="_Toc130184"/>
      <w:bookmarkStart w:id="8456" w:name="_Toc130578"/>
      <w:bookmarkStart w:id="8457" w:name="_Toc130972"/>
      <w:bookmarkStart w:id="8458" w:name="_Toc131366"/>
      <w:bookmarkStart w:id="8459" w:name="_Toc289261"/>
      <w:bookmarkStart w:id="8460" w:name="_Toc338427"/>
      <w:bookmarkStart w:id="8461" w:name="_Toc705859"/>
      <w:bookmarkStart w:id="8462" w:name="_Toc706845"/>
      <w:bookmarkStart w:id="8463" w:name="_Toc709154"/>
      <w:bookmarkStart w:id="8464" w:name="_Toc710519"/>
      <w:bookmarkStart w:id="8465" w:name="_Toc970540"/>
      <w:bookmarkStart w:id="8466" w:name="_Toc970915"/>
      <w:bookmarkStart w:id="8467" w:name="_Toc1135615"/>
      <w:bookmarkStart w:id="8468" w:name="_Toc1165929"/>
      <w:bookmarkStart w:id="8469" w:name="_Toc1207994"/>
      <w:bookmarkStart w:id="8470" w:name="_Toc1408610"/>
      <w:bookmarkStart w:id="8471" w:name="_Toc128216"/>
      <w:bookmarkStart w:id="8472" w:name="_Toc128610"/>
      <w:bookmarkStart w:id="8473" w:name="_Toc129004"/>
      <w:bookmarkStart w:id="8474" w:name="_Toc129398"/>
      <w:bookmarkStart w:id="8475" w:name="_Toc129792"/>
      <w:bookmarkStart w:id="8476" w:name="_Toc130185"/>
      <w:bookmarkStart w:id="8477" w:name="_Toc130579"/>
      <w:bookmarkStart w:id="8478" w:name="_Toc130973"/>
      <w:bookmarkStart w:id="8479" w:name="_Toc131367"/>
      <w:bookmarkStart w:id="8480" w:name="_Toc289262"/>
      <w:bookmarkStart w:id="8481" w:name="_Toc338428"/>
      <w:bookmarkStart w:id="8482" w:name="_Toc705860"/>
      <w:bookmarkStart w:id="8483" w:name="_Toc706846"/>
      <w:bookmarkStart w:id="8484" w:name="_Toc709155"/>
      <w:bookmarkStart w:id="8485" w:name="_Toc710520"/>
      <w:bookmarkStart w:id="8486" w:name="_Toc970541"/>
      <w:bookmarkStart w:id="8487" w:name="_Toc970916"/>
      <w:bookmarkStart w:id="8488" w:name="_Toc1135616"/>
      <w:bookmarkStart w:id="8489" w:name="_Toc1165930"/>
      <w:bookmarkStart w:id="8490" w:name="_Toc1207995"/>
      <w:bookmarkStart w:id="8491" w:name="_Toc1408611"/>
      <w:bookmarkStart w:id="8492" w:name="_Toc128224"/>
      <w:bookmarkStart w:id="8493" w:name="_Toc128618"/>
      <w:bookmarkStart w:id="8494" w:name="_Toc129012"/>
      <w:bookmarkStart w:id="8495" w:name="_Toc129406"/>
      <w:bookmarkStart w:id="8496" w:name="_Toc129800"/>
      <w:bookmarkStart w:id="8497" w:name="_Toc130193"/>
      <w:bookmarkStart w:id="8498" w:name="_Toc130587"/>
      <w:bookmarkStart w:id="8499" w:name="_Toc130981"/>
      <w:bookmarkStart w:id="8500" w:name="_Toc131375"/>
      <w:bookmarkStart w:id="8501" w:name="_Toc289270"/>
      <w:bookmarkStart w:id="8502" w:name="_Toc338436"/>
      <w:bookmarkStart w:id="8503" w:name="_Toc705868"/>
      <w:bookmarkStart w:id="8504" w:name="_Toc706854"/>
      <w:bookmarkStart w:id="8505" w:name="_Toc709163"/>
      <w:bookmarkStart w:id="8506" w:name="_Toc710528"/>
      <w:bookmarkStart w:id="8507" w:name="_Toc970549"/>
      <w:bookmarkStart w:id="8508" w:name="_Toc970924"/>
      <w:bookmarkStart w:id="8509" w:name="_Toc1135624"/>
      <w:bookmarkStart w:id="8510" w:name="_Toc1165938"/>
      <w:bookmarkStart w:id="8511" w:name="_Toc1208003"/>
      <w:bookmarkStart w:id="8512" w:name="_Toc1408619"/>
      <w:bookmarkStart w:id="8513" w:name="_Toc128225"/>
      <w:bookmarkStart w:id="8514" w:name="_Toc128619"/>
      <w:bookmarkStart w:id="8515" w:name="_Toc129013"/>
      <w:bookmarkStart w:id="8516" w:name="_Toc129407"/>
      <w:bookmarkStart w:id="8517" w:name="_Toc129801"/>
      <w:bookmarkStart w:id="8518" w:name="_Toc130194"/>
      <w:bookmarkStart w:id="8519" w:name="_Toc130588"/>
      <w:bookmarkStart w:id="8520" w:name="_Toc130982"/>
      <w:bookmarkStart w:id="8521" w:name="_Toc131376"/>
      <w:bookmarkStart w:id="8522" w:name="_Toc289271"/>
      <w:bookmarkStart w:id="8523" w:name="_Toc338437"/>
      <w:bookmarkStart w:id="8524" w:name="_Toc705869"/>
      <w:bookmarkStart w:id="8525" w:name="_Toc706855"/>
      <w:bookmarkStart w:id="8526" w:name="_Toc709164"/>
      <w:bookmarkStart w:id="8527" w:name="_Toc710529"/>
      <w:bookmarkStart w:id="8528" w:name="_Toc970550"/>
      <w:bookmarkStart w:id="8529" w:name="_Toc970925"/>
      <w:bookmarkStart w:id="8530" w:name="_Toc1135625"/>
      <w:bookmarkStart w:id="8531" w:name="_Toc1165939"/>
      <w:bookmarkStart w:id="8532" w:name="_Toc1208004"/>
      <w:bookmarkStart w:id="8533" w:name="_Toc1408620"/>
      <w:bookmarkStart w:id="8534" w:name="_Toc128226"/>
      <w:bookmarkStart w:id="8535" w:name="_Toc128620"/>
      <w:bookmarkStart w:id="8536" w:name="_Toc129014"/>
      <w:bookmarkStart w:id="8537" w:name="_Toc129408"/>
      <w:bookmarkStart w:id="8538" w:name="_Toc129802"/>
      <w:bookmarkStart w:id="8539" w:name="_Toc130195"/>
      <w:bookmarkStart w:id="8540" w:name="_Toc130589"/>
      <w:bookmarkStart w:id="8541" w:name="_Toc130983"/>
      <w:bookmarkStart w:id="8542" w:name="_Toc131377"/>
      <w:bookmarkStart w:id="8543" w:name="_Toc289272"/>
      <w:bookmarkStart w:id="8544" w:name="_Toc338438"/>
      <w:bookmarkStart w:id="8545" w:name="_Toc705870"/>
      <w:bookmarkStart w:id="8546" w:name="_Toc706856"/>
      <w:bookmarkStart w:id="8547" w:name="_Toc709165"/>
      <w:bookmarkStart w:id="8548" w:name="_Toc710530"/>
      <w:bookmarkStart w:id="8549" w:name="_Toc970551"/>
      <w:bookmarkStart w:id="8550" w:name="_Toc970926"/>
      <w:bookmarkStart w:id="8551" w:name="_Toc1135626"/>
      <w:bookmarkStart w:id="8552" w:name="_Toc1165940"/>
      <w:bookmarkStart w:id="8553" w:name="_Toc1208005"/>
      <w:bookmarkStart w:id="8554" w:name="_Toc1408621"/>
      <w:bookmarkStart w:id="8555" w:name="_Toc128227"/>
      <w:bookmarkStart w:id="8556" w:name="_Toc128621"/>
      <w:bookmarkStart w:id="8557" w:name="_Toc129015"/>
      <w:bookmarkStart w:id="8558" w:name="_Toc129409"/>
      <w:bookmarkStart w:id="8559" w:name="_Toc129803"/>
      <w:bookmarkStart w:id="8560" w:name="_Toc130196"/>
      <w:bookmarkStart w:id="8561" w:name="_Toc130590"/>
      <w:bookmarkStart w:id="8562" w:name="_Toc130984"/>
      <w:bookmarkStart w:id="8563" w:name="_Toc131378"/>
      <w:bookmarkStart w:id="8564" w:name="_Toc289273"/>
      <w:bookmarkStart w:id="8565" w:name="_Toc338439"/>
      <w:bookmarkStart w:id="8566" w:name="_Toc705871"/>
      <w:bookmarkStart w:id="8567" w:name="_Toc706857"/>
      <w:bookmarkStart w:id="8568" w:name="_Toc709166"/>
      <w:bookmarkStart w:id="8569" w:name="_Toc710531"/>
      <w:bookmarkStart w:id="8570" w:name="_Toc970552"/>
      <w:bookmarkStart w:id="8571" w:name="_Toc970927"/>
      <w:bookmarkStart w:id="8572" w:name="_Toc1135627"/>
      <w:bookmarkStart w:id="8573" w:name="_Toc1165941"/>
      <w:bookmarkStart w:id="8574" w:name="_Toc1208006"/>
      <w:bookmarkStart w:id="8575" w:name="_Toc1408622"/>
      <w:bookmarkStart w:id="8576" w:name="_Toc128228"/>
      <w:bookmarkStart w:id="8577" w:name="_Toc128622"/>
      <w:bookmarkStart w:id="8578" w:name="_Toc129016"/>
      <w:bookmarkStart w:id="8579" w:name="_Toc129410"/>
      <w:bookmarkStart w:id="8580" w:name="_Toc129804"/>
      <w:bookmarkStart w:id="8581" w:name="_Toc130197"/>
      <w:bookmarkStart w:id="8582" w:name="_Toc130591"/>
      <w:bookmarkStart w:id="8583" w:name="_Toc130985"/>
      <w:bookmarkStart w:id="8584" w:name="_Toc131379"/>
      <w:bookmarkStart w:id="8585" w:name="_Toc289274"/>
      <w:bookmarkStart w:id="8586" w:name="_Toc338440"/>
      <w:bookmarkStart w:id="8587" w:name="_Toc705872"/>
      <w:bookmarkStart w:id="8588" w:name="_Toc706858"/>
      <w:bookmarkStart w:id="8589" w:name="_Toc709167"/>
      <w:bookmarkStart w:id="8590" w:name="_Toc710532"/>
      <w:bookmarkStart w:id="8591" w:name="_Toc970553"/>
      <w:bookmarkStart w:id="8592" w:name="_Toc970928"/>
      <w:bookmarkStart w:id="8593" w:name="_Toc1135628"/>
      <w:bookmarkStart w:id="8594" w:name="_Toc1165942"/>
      <w:bookmarkStart w:id="8595" w:name="_Toc1208007"/>
      <w:bookmarkStart w:id="8596" w:name="_Toc1408623"/>
      <w:bookmarkStart w:id="8597" w:name="_Toc128229"/>
      <w:bookmarkStart w:id="8598" w:name="_Toc128623"/>
      <w:bookmarkStart w:id="8599" w:name="_Toc129017"/>
      <w:bookmarkStart w:id="8600" w:name="_Toc129411"/>
      <w:bookmarkStart w:id="8601" w:name="_Toc129805"/>
      <w:bookmarkStart w:id="8602" w:name="_Toc130198"/>
      <w:bookmarkStart w:id="8603" w:name="_Toc130592"/>
      <w:bookmarkStart w:id="8604" w:name="_Toc130986"/>
      <w:bookmarkStart w:id="8605" w:name="_Toc131380"/>
      <w:bookmarkStart w:id="8606" w:name="_Toc289275"/>
      <w:bookmarkStart w:id="8607" w:name="_Toc338441"/>
      <w:bookmarkStart w:id="8608" w:name="_Toc705873"/>
      <w:bookmarkStart w:id="8609" w:name="_Toc706859"/>
      <w:bookmarkStart w:id="8610" w:name="_Toc709168"/>
      <w:bookmarkStart w:id="8611" w:name="_Toc710533"/>
      <w:bookmarkStart w:id="8612" w:name="_Toc970554"/>
      <w:bookmarkStart w:id="8613" w:name="_Toc970929"/>
      <w:bookmarkStart w:id="8614" w:name="_Toc1135629"/>
      <w:bookmarkStart w:id="8615" w:name="_Toc1165943"/>
      <w:bookmarkStart w:id="8616" w:name="_Toc1208008"/>
      <w:bookmarkStart w:id="8617" w:name="_Toc1408624"/>
      <w:bookmarkStart w:id="8618" w:name="_Toc128230"/>
      <w:bookmarkStart w:id="8619" w:name="_Toc128624"/>
      <w:bookmarkStart w:id="8620" w:name="_Toc129018"/>
      <w:bookmarkStart w:id="8621" w:name="_Toc129412"/>
      <w:bookmarkStart w:id="8622" w:name="_Toc129806"/>
      <w:bookmarkStart w:id="8623" w:name="_Toc130199"/>
      <w:bookmarkStart w:id="8624" w:name="_Toc130593"/>
      <w:bookmarkStart w:id="8625" w:name="_Toc130987"/>
      <w:bookmarkStart w:id="8626" w:name="_Toc131381"/>
      <w:bookmarkStart w:id="8627" w:name="_Toc289276"/>
      <w:bookmarkStart w:id="8628" w:name="_Toc338442"/>
      <w:bookmarkStart w:id="8629" w:name="_Toc705874"/>
      <w:bookmarkStart w:id="8630" w:name="_Toc706860"/>
      <w:bookmarkStart w:id="8631" w:name="_Toc709169"/>
      <w:bookmarkStart w:id="8632" w:name="_Toc710534"/>
      <w:bookmarkStart w:id="8633" w:name="_Toc970555"/>
      <w:bookmarkStart w:id="8634" w:name="_Toc970930"/>
      <w:bookmarkStart w:id="8635" w:name="_Toc1135630"/>
      <w:bookmarkStart w:id="8636" w:name="_Toc1165944"/>
      <w:bookmarkStart w:id="8637" w:name="_Toc1208009"/>
      <w:bookmarkStart w:id="8638" w:name="_Toc1408625"/>
      <w:bookmarkStart w:id="8639" w:name="_Toc128231"/>
      <w:bookmarkStart w:id="8640" w:name="_Toc128625"/>
      <w:bookmarkStart w:id="8641" w:name="_Toc129019"/>
      <w:bookmarkStart w:id="8642" w:name="_Toc129413"/>
      <w:bookmarkStart w:id="8643" w:name="_Toc129807"/>
      <w:bookmarkStart w:id="8644" w:name="_Toc130200"/>
      <w:bookmarkStart w:id="8645" w:name="_Toc130594"/>
      <w:bookmarkStart w:id="8646" w:name="_Toc130988"/>
      <w:bookmarkStart w:id="8647" w:name="_Toc131382"/>
      <w:bookmarkStart w:id="8648" w:name="_Toc289277"/>
      <w:bookmarkStart w:id="8649" w:name="_Toc338443"/>
      <w:bookmarkStart w:id="8650" w:name="_Toc705875"/>
      <w:bookmarkStart w:id="8651" w:name="_Toc706861"/>
      <w:bookmarkStart w:id="8652" w:name="_Toc709170"/>
      <w:bookmarkStart w:id="8653" w:name="_Toc710535"/>
      <w:bookmarkStart w:id="8654" w:name="_Toc970556"/>
      <w:bookmarkStart w:id="8655" w:name="_Toc970931"/>
      <w:bookmarkStart w:id="8656" w:name="_Toc1135631"/>
      <w:bookmarkStart w:id="8657" w:name="_Toc1165945"/>
      <w:bookmarkStart w:id="8658" w:name="_Toc1208010"/>
      <w:bookmarkStart w:id="8659" w:name="_Toc1408626"/>
      <w:bookmarkStart w:id="8660" w:name="_Toc128232"/>
      <w:bookmarkStart w:id="8661" w:name="_Toc128626"/>
      <w:bookmarkStart w:id="8662" w:name="_Toc129020"/>
      <w:bookmarkStart w:id="8663" w:name="_Toc129414"/>
      <w:bookmarkStart w:id="8664" w:name="_Toc129808"/>
      <w:bookmarkStart w:id="8665" w:name="_Toc130201"/>
      <w:bookmarkStart w:id="8666" w:name="_Toc130595"/>
      <w:bookmarkStart w:id="8667" w:name="_Toc130989"/>
      <w:bookmarkStart w:id="8668" w:name="_Toc131383"/>
      <w:bookmarkStart w:id="8669" w:name="_Toc289278"/>
      <w:bookmarkStart w:id="8670" w:name="_Toc338444"/>
      <w:bookmarkStart w:id="8671" w:name="_Toc705876"/>
      <w:bookmarkStart w:id="8672" w:name="_Toc706862"/>
      <w:bookmarkStart w:id="8673" w:name="_Toc709171"/>
      <w:bookmarkStart w:id="8674" w:name="_Toc710536"/>
      <w:bookmarkStart w:id="8675" w:name="_Toc970557"/>
      <w:bookmarkStart w:id="8676" w:name="_Toc970932"/>
      <w:bookmarkStart w:id="8677" w:name="_Toc1135632"/>
      <w:bookmarkStart w:id="8678" w:name="_Toc1165946"/>
      <w:bookmarkStart w:id="8679" w:name="_Toc1208011"/>
      <w:bookmarkStart w:id="8680" w:name="_Toc1408627"/>
      <w:bookmarkStart w:id="8681" w:name="_Toc128233"/>
      <w:bookmarkStart w:id="8682" w:name="_Toc128627"/>
      <w:bookmarkStart w:id="8683" w:name="_Toc129021"/>
      <w:bookmarkStart w:id="8684" w:name="_Toc129415"/>
      <w:bookmarkStart w:id="8685" w:name="_Toc129809"/>
      <w:bookmarkStart w:id="8686" w:name="_Toc130202"/>
      <w:bookmarkStart w:id="8687" w:name="_Toc130596"/>
      <w:bookmarkStart w:id="8688" w:name="_Toc130990"/>
      <w:bookmarkStart w:id="8689" w:name="_Toc131384"/>
      <w:bookmarkStart w:id="8690" w:name="_Toc289279"/>
      <w:bookmarkStart w:id="8691" w:name="_Toc338445"/>
      <w:bookmarkStart w:id="8692" w:name="_Toc705877"/>
      <w:bookmarkStart w:id="8693" w:name="_Toc706863"/>
      <w:bookmarkStart w:id="8694" w:name="_Toc709172"/>
      <w:bookmarkStart w:id="8695" w:name="_Toc710537"/>
      <w:bookmarkStart w:id="8696" w:name="_Toc970558"/>
      <w:bookmarkStart w:id="8697" w:name="_Toc970933"/>
      <w:bookmarkStart w:id="8698" w:name="_Toc1135633"/>
      <w:bookmarkStart w:id="8699" w:name="_Toc1165947"/>
      <w:bookmarkStart w:id="8700" w:name="_Toc1208012"/>
      <w:bookmarkStart w:id="8701" w:name="_Toc1408628"/>
      <w:bookmarkStart w:id="8702" w:name="_Toc128234"/>
      <w:bookmarkStart w:id="8703" w:name="_Toc128628"/>
      <w:bookmarkStart w:id="8704" w:name="_Toc129022"/>
      <w:bookmarkStart w:id="8705" w:name="_Toc129416"/>
      <w:bookmarkStart w:id="8706" w:name="_Toc129810"/>
      <w:bookmarkStart w:id="8707" w:name="_Toc130203"/>
      <w:bookmarkStart w:id="8708" w:name="_Toc130597"/>
      <w:bookmarkStart w:id="8709" w:name="_Toc130991"/>
      <w:bookmarkStart w:id="8710" w:name="_Toc131385"/>
      <w:bookmarkStart w:id="8711" w:name="_Toc289280"/>
      <w:bookmarkStart w:id="8712" w:name="_Toc338446"/>
      <w:bookmarkStart w:id="8713" w:name="_Toc705878"/>
      <w:bookmarkStart w:id="8714" w:name="_Toc706864"/>
      <w:bookmarkStart w:id="8715" w:name="_Toc709173"/>
      <w:bookmarkStart w:id="8716" w:name="_Toc710538"/>
      <w:bookmarkStart w:id="8717" w:name="_Toc970559"/>
      <w:bookmarkStart w:id="8718" w:name="_Toc970934"/>
      <w:bookmarkStart w:id="8719" w:name="_Toc1135634"/>
      <w:bookmarkStart w:id="8720" w:name="_Toc1165948"/>
      <w:bookmarkStart w:id="8721" w:name="_Toc1208013"/>
      <w:bookmarkStart w:id="8722" w:name="_Toc1408629"/>
      <w:bookmarkStart w:id="8723" w:name="_Toc128235"/>
      <w:bookmarkStart w:id="8724" w:name="_Toc128629"/>
      <w:bookmarkStart w:id="8725" w:name="_Toc129023"/>
      <w:bookmarkStart w:id="8726" w:name="_Toc129417"/>
      <w:bookmarkStart w:id="8727" w:name="_Toc129811"/>
      <w:bookmarkStart w:id="8728" w:name="_Toc130204"/>
      <w:bookmarkStart w:id="8729" w:name="_Toc130598"/>
      <w:bookmarkStart w:id="8730" w:name="_Toc130992"/>
      <w:bookmarkStart w:id="8731" w:name="_Toc131386"/>
      <w:bookmarkStart w:id="8732" w:name="_Toc289281"/>
      <w:bookmarkStart w:id="8733" w:name="_Toc338447"/>
      <w:bookmarkStart w:id="8734" w:name="_Toc705879"/>
      <w:bookmarkStart w:id="8735" w:name="_Toc706865"/>
      <w:bookmarkStart w:id="8736" w:name="_Toc709174"/>
      <w:bookmarkStart w:id="8737" w:name="_Toc710539"/>
      <w:bookmarkStart w:id="8738" w:name="_Toc970560"/>
      <w:bookmarkStart w:id="8739" w:name="_Toc970935"/>
      <w:bookmarkStart w:id="8740" w:name="_Toc1135635"/>
      <w:bookmarkStart w:id="8741" w:name="_Toc1165949"/>
      <w:bookmarkStart w:id="8742" w:name="_Toc1208014"/>
      <w:bookmarkStart w:id="8743" w:name="_Toc1408630"/>
      <w:bookmarkStart w:id="8744" w:name="_Toc128236"/>
      <w:bookmarkStart w:id="8745" w:name="_Toc128630"/>
      <w:bookmarkStart w:id="8746" w:name="_Toc129024"/>
      <w:bookmarkStart w:id="8747" w:name="_Toc129418"/>
      <w:bookmarkStart w:id="8748" w:name="_Toc129812"/>
      <w:bookmarkStart w:id="8749" w:name="_Toc130205"/>
      <w:bookmarkStart w:id="8750" w:name="_Toc130599"/>
      <w:bookmarkStart w:id="8751" w:name="_Toc130993"/>
      <w:bookmarkStart w:id="8752" w:name="_Toc131387"/>
      <w:bookmarkStart w:id="8753" w:name="_Toc289282"/>
      <w:bookmarkStart w:id="8754" w:name="_Toc338448"/>
      <w:bookmarkStart w:id="8755" w:name="_Toc705880"/>
      <w:bookmarkStart w:id="8756" w:name="_Toc706866"/>
      <w:bookmarkStart w:id="8757" w:name="_Toc709175"/>
      <w:bookmarkStart w:id="8758" w:name="_Toc710540"/>
      <w:bookmarkStart w:id="8759" w:name="_Toc970561"/>
      <w:bookmarkStart w:id="8760" w:name="_Toc970936"/>
      <w:bookmarkStart w:id="8761" w:name="_Toc1135636"/>
      <w:bookmarkStart w:id="8762" w:name="_Toc1165950"/>
      <w:bookmarkStart w:id="8763" w:name="_Toc1208015"/>
      <w:bookmarkStart w:id="8764" w:name="_Toc1408631"/>
      <w:bookmarkStart w:id="8765" w:name="_Toc128237"/>
      <w:bookmarkStart w:id="8766" w:name="_Toc128631"/>
      <w:bookmarkStart w:id="8767" w:name="_Toc129025"/>
      <w:bookmarkStart w:id="8768" w:name="_Toc129419"/>
      <w:bookmarkStart w:id="8769" w:name="_Toc129813"/>
      <w:bookmarkStart w:id="8770" w:name="_Toc130206"/>
      <w:bookmarkStart w:id="8771" w:name="_Toc130600"/>
      <w:bookmarkStart w:id="8772" w:name="_Toc130994"/>
      <w:bookmarkStart w:id="8773" w:name="_Toc131388"/>
      <w:bookmarkStart w:id="8774" w:name="_Toc289283"/>
      <w:bookmarkStart w:id="8775" w:name="_Toc338449"/>
      <w:bookmarkStart w:id="8776" w:name="_Toc705881"/>
      <w:bookmarkStart w:id="8777" w:name="_Toc706867"/>
      <w:bookmarkStart w:id="8778" w:name="_Toc709176"/>
      <w:bookmarkStart w:id="8779" w:name="_Toc710541"/>
      <w:bookmarkStart w:id="8780" w:name="_Toc970562"/>
      <w:bookmarkStart w:id="8781" w:name="_Toc970937"/>
      <w:bookmarkStart w:id="8782" w:name="_Toc1135637"/>
      <w:bookmarkStart w:id="8783" w:name="_Toc1165951"/>
      <w:bookmarkStart w:id="8784" w:name="_Toc1208016"/>
      <w:bookmarkStart w:id="8785" w:name="_Toc1408632"/>
      <w:bookmarkStart w:id="8786" w:name="_Toc128238"/>
      <w:bookmarkStart w:id="8787" w:name="_Toc128632"/>
      <w:bookmarkStart w:id="8788" w:name="_Toc129026"/>
      <w:bookmarkStart w:id="8789" w:name="_Toc129420"/>
      <w:bookmarkStart w:id="8790" w:name="_Toc129814"/>
      <w:bookmarkStart w:id="8791" w:name="_Toc130207"/>
      <w:bookmarkStart w:id="8792" w:name="_Toc130601"/>
      <w:bookmarkStart w:id="8793" w:name="_Toc130995"/>
      <w:bookmarkStart w:id="8794" w:name="_Toc131389"/>
      <w:bookmarkStart w:id="8795" w:name="_Toc289284"/>
      <w:bookmarkStart w:id="8796" w:name="_Toc338450"/>
      <w:bookmarkStart w:id="8797" w:name="_Toc705882"/>
      <w:bookmarkStart w:id="8798" w:name="_Toc706868"/>
      <w:bookmarkStart w:id="8799" w:name="_Toc709177"/>
      <w:bookmarkStart w:id="8800" w:name="_Toc710542"/>
      <w:bookmarkStart w:id="8801" w:name="_Toc970563"/>
      <w:bookmarkStart w:id="8802" w:name="_Toc970938"/>
      <w:bookmarkStart w:id="8803" w:name="_Toc1135638"/>
      <w:bookmarkStart w:id="8804" w:name="_Toc1165952"/>
      <w:bookmarkStart w:id="8805" w:name="_Toc1208017"/>
      <w:bookmarkStart w:id="8806" w:name="_Toc1408633"/>
      <w:bookmarkStart w:id="8807" w:name="_Toc128239"/>
      <w:bookmarkStart w:id="8808" w:name="_Toc128633"/>
      <w:bookmarkStart w:id="8809" w:name="_Toc129027"/>
      <w:bookmarkStart w:id="8810" w:name="_Toc129421"/>
      <w:bookmarkStart w:id="8811" w:name="_Toc129815"/>
      <w:bookmarkStart w:id="8812" w:name="_Toc130208"/>
      <w:bookmarkStart w:id="8813" w:name="_Toc130602"/>
      <w:bookmarkStart w:id="8814" w:name="_Toc130996"/>
      <w:bookmarkStart w:id="8815" w:name="_Toc131390"/>
      <w:bookmarkStart w:id="8816" w:name="_Toc289285"/>
      <w:bookmarkStart w:id="8817" w:name="_Toc338451"/>
      <w:bookmarkStart w:id="8818" w:name="_Toc705883"/>
      <w:bookmarkStart w:id="8819" w:name="_Toc706869"/>
      <w:bookmarkStart w:id="8820" w:name="_Toc709178"/>
      <w:bookmarkStart w:id="8821" w:name="_Toc710543"/>
      <w:bookmarkStart w:id="8822" w:name="_Toc970564"/>
      <w:bookmarkStart w:id="8823" w:name="_Toc970939"/>
      <w:bookmarkStart w:id="8824" w:name="_Toc1135639"/>
      <w:bookmarkStart w:id="8825" w:name="_Toc1165953"/>
      <w:bookmarkStart w:id="8826" w:name="_Toc1208018"/>
      <w:bookmarkStart w:id="8827" w:name="_Toc1408634"/>
      <w:bookmarkStart w:id="8828" w:name="_Toc128240"/>
      <w:bookmarkStart w:id="8829" w:name="_Toc128634"/>
      <w:bookmarkStart w:id="8830" w:name="_Toc129028"/>
      <w:bookmarkStart w:id="8831" w:name="_Toc129422"/>
      <w:bookmarkStart w:id="8832" w:name="_Toc129816"/>
      <w:bookmarkStart w:id="8833" w:name="_Toc130209"/>
      <w:bookmarkStart w:id="8834" w:name="_Toc130603"/>
      <w:bookmarkStart w:id="8835" w:name="_Toc130997"/>
      <w:bookmarkStart w:id="8836" w:name="_Toc131391"/>
      <w:bookmarkStart w:id="8837" w:name="_Toc289286"/>
      <w:bookmarkStart w:id="8838" w:name="_Toc338452"/>
      <w:bookmarkStart w:id="8839" w:name="_Toc705884"/>
      <w:bookmarkStart w:id="8840" w:name="_Toc706870"/>
      <w:bookmarkStart w:id="8841" w:name="_Toc709179"/>
      <w:bookmarkStart w:id="8842" w:name="_Toc710544"/>
      <w:bookmarkStart w:id="8843" w:name="_Toc970565"/>
      <w:bookmarkStart w:id="8844" w:name="_Toc970940"/>
      <w:bookmarkStart w:id="8845" w:name="_Toc1135640"/>
      <w:bookmarkStart w:id="8846" w:name="_Toc1165954"/>
      <w:bookmarkStart w:id="8847" w:name="_Toc1208019"/>
      <w:bookmarkStart w:id="8848" w:name="_Toc1408635"/>
      <w:bookmarkStart w:id="8849" w:name="_Toc128241"/>
      <w:bookmarkStart w:id="8850" w:name="_Toc128635"/>
      <w:bookmarkStart w:id="8851" w:name="_Toc129029"/>
      <w:bookmarkStart w:id="8852" w:name="_Toc129423"/>
      <w:bookmarkStart w:id="8853" w:name="_Toc129817"/>
      <w:bookmarkStart w:id="8854" w:name="_Toc130210"/>
      <w:bookmarkStart w:id="8855" w:name="_Toc130604"/>
      <w:bookmarkStart w:id="8856" w:name="_Toc130998"/>
      <w:bookmarkStart w:id="8857" w:name="_Toc131392"/>
      <w:bookmarkStart w:id="8858" w:name="_Toc289287"/>
      <w:bookmarkStart w:id="8859" w:name="_Toc338453"/>
      <w:bookmarkStart w:id="8860" w:name="_Toc705885"/>
      <w:bookmarkStart w:id="8861" w:name="_Toc706871"/>
      <w:bookmarkStart w:id="8862" w:name="_Toc709180"/>
      <w:bookmarkStart w:id="8863" w:name="_Toc710545"/>
      <w:bookmarkStart w:id="8864" w:name="_Toc970566"/>
      <w:bookmarkStart w:id="8865" w:name="_Toc970941"/>
      <w:bookmarkStart w:id="8866" w:name="_Toc1135641"/>
      <w:bookmarkStart w:id="8867" w:name="_Toc1165955"/>
      <w:bookmarkStart w:id="8868" w:name="_Toc1208020"/>
      <w:bookmarkStart w:id="8869" w:name="_Toc1408636"/>
      <w:bookmarkStart w:id="8870" w:name="_Toc128242"/>
      <w:bookmarkStart w:id="8871" w:name="_Toc128636"/>
      <w:bookmarkStart w:id="8872" w:name="_Toc129030"/>
      <w:bookmarkStart w:id="8873" w:name="_Toc129424"/>
      <w:bookmarkStart w:id="8874" w:name="_Toc129818"/>
      <w:bookmarkStart w:id="8875" w:name="_Toc130211"/>
      <w:bookmarkStart w:id="8876" w:name="_Toc130605"/>
      <w:bookmarkStart w:id="8877" w:name="_Toc130999"/>
      <w:bookmarkStart w:id="8878" w:name="_Toc131393"/>
      <w:bookmarkStart w:id="8879" w:name="_Toc289288"/>
      <w:bookmarkStart w:id="8880" w:name="_Toc338454"/>
      <w:bookmarkStart w:id="8881" w:name="_Toc705886"/>
      <w:bookmarkStart w:id="8882" w:name="_Toc706872"/>
      <w:bookmarkStart w:id="8883" w:name="_Toc709181"/>
      <w:bookmarkStart w:id="8884" w:name="_Toc710546"/>
      <w:bookmarkStart w:id="8885" w:name="_Toc970567"/>
      <w:bookmarkStart w:id="8886" w:name="_Toc970942"/>
      <w:bookmarkStart w:id="8887" w:name="_Toc1135642"/>
      <w:bookmarkStart w:id="8888" w:name="_Toc1165956"/>
      <w:bookmarkStart w:id="8889" w:name="_Toc1208021"/>
      <w:bookmarkStart w:id="8890" w:name="_Toc1408637"/>
      <w:bookmarkStart w:id="8891" w:name="_Toc128243"/>
      <w:bookmarkStart w:id="8892" w:name="_Toc128637"/>
      <w:bookmarkStart w:id="8893" w:name="_Toc129031"/>
      <w:bookmarkStart w:id="8894" w:name="_Toc129425"/>
      <w:bookmarkStart w:id="8895" w:name="_Toc129819"/>
      <w:bookmarkStart w:id="8896" w:name="_Toc130212"/>
      <w:bookmarkStart w:id="8897" w:name="_Toc130606"/>
      <w:bookmarkStart w:id="8898" w:name="_Toc131000"/>
      <w:bookmarkStart w:id="8899" w:name="_Toc131394"/>
      <w:bookmarkStart w:id="8900" w:name="_Toc289289"/>
      <w:bookmarkStart w:id="8901" w:name="_Toc338455"/>
      <w:bookmarkStart w:id="8902" w:name="_Toc705887"/>
      <w:bookmarkStart w:id="8903" w:name="_Toc706873"/>
      <w:bookmarkStart w:id="8904" w:name="_Toc709182"/>
      <w:bookmarkStart w:id="8905" w:name="_Toc710547"/>
      <w:bookmarkStart w:id="8906" w:name="_Toc970568"/>
      <w:bookmarkStart w:id="8907" w:name="_Toc970943"/>
      <w:bookmarkStart w:id="8908" w:name="_Toc1135643"/>
      <w:bookmarkStart w:id="8909" w:name="_Toc1165957"/>
      <w:bookmarkStart w:id="8910" w:name="_Toc1208022"/>
      <w:bookmarkStart w:id="8911" w:name="_Toc1408638"/>
      <w:bookmarkStart w:id="8912" w:name="_Toc128244"/>
      <w:bookmarkStart w:id="8913" w:name="_Toc128638"/>
      <w:bookmarkStart w:id="8914" w:name="_Toc129032"/>
      <w:bookmarkStart w:id="8915" w:name="_Toc129426"/>
      <w:bookmarkStart w:id="8916" w:name="_Toc129820"/>
      <w:bookmarkStart w:id="8917" w:name="_Toc130213"/>
      <w:bookmarkStart w:id="8918" w:name="_Toc130607"/>
      <w:bookmarkStart w:id="8919" w:name="_Toc131001"/>
      <w:bookmarkStart w:id="8920" w:name="_Toc131395"/>
      <w:bookmarkStart w:id="8921" w:name="_Toc289290"/>
      <w:bookmarkStart w:id="8922" w:name="_Toc338456"/>
      <w:bookmarkStart w:id="8923" w:name="_Toc705888"/>
      <w:bookmarkStart w:id="8924" w:name="_Toc706874"/>
      <w:bookmarkStart w:id="8925" w:name="_Toc709183"/>
      <w:bookmarkStart w:id="8926" w:name="_Toc710548"/>
      <w:bookmarkStart w:id="8927" w:name="_Toc970569"/>
      <w:bookmarkStart w:id="8928" w:name="_Toc970944"/>
      <w:bookmarkStart w:id="8929" w:name="_Toc1135644"/>
      <w:bookmarkStart w:id="8930" w:name="_Toc1165958"/>
      <w:bookmarkStart w:id="8931" w:name="_Toc1208023"/>
      <w:bookmarkStart w:id="8932" w:name="_Toc1408639"/>
      <w:bookmarkStart w:id="8933" w:name="_Toc128245"/>
      <w:bookmarkStart w:id="8934" w:name="_Toc128639"/>
      <w:bookmarkStart w:id="8935" w:name="_Toc129033"/>
      <w:bookmarkStart w:id="8936" w:name="_Toc129427"/>
      <w:bookmarkStart w:id="8937" w:name="_Toc129821"/>
      <w:bookmarkStart w:id="8938" w:name="_Toc130214"/>
      <w:bookmarkStart w:id="8939" w:name="_Toc130608"/>
      <w:bookmarkStart w:id="8940" w:name="_Toc131002"/>
      <w:bookmarkStart w:id="8941" w:name="_Toc131396"/>
      <w:bookmarkStart w:id="8942" w:name="_Toc289291"/>
      <w:bookmarkStart w:id="8943" w:name="_Toc338457"/>
      <w:bookmarkStart w:id="8944" w:name="_Toc705889"/>
      <w:bookmarkStart w:id="8945" w:name="_Toc706875"/>
      <w:bookmarkStart w:id="8946" w:name="_Toc709184"/>
      <w:bookmarkStart w:id="8947" w:name="_Toc710549"/>
      <w:bookmarkStart w:id="8948" w:name="_Toc970570"/>
      <w:bookmarkStart w:id="8949" w:name="_Toc970945"/>
      <w:bookmarkStart w:id="8950" w:name="_Toc1135645"/>
      <w:bookmarkStart w:id="8951" w:name="_Toc1165959"/>
      <w:bookmarkStart w:id="8952" w:name="_Toc1208024"/>
      <w:bookmarkStart w:id="8953" w:name="_Toc1408640"/>
      <w:bookmarkStart w:id="8954" w:name="_Toc128246"/>
      <w:bookmarkStart w:id="8955" w:name="_Toc128640"/>
      <w:bookmarkStart w:id="8956" w:name="_Toc129034"/>
      <w:bookmarkStart w:id="8957" w:name="_Toc129428"/>
      <w:bookmarkStart w:id="8958" w:name="_Toc129822"/>
      <w:bookmarkStart w:id="8959" w:name="_Toc130215"/>
      <w:bookmarkStart w:id="8960" w:name="_Toc130609"/>
      <w:bookmarkStart w:id="8961" w:name="_Toc131003"/>
      <w:bookmarkStart w:id="8962" w:name="_Toc131397"/>
      <w:bookmarkStart w:id="8963" w:name="_Toc289292"/>
      <w:bookmarkStart w:id="8964" w:name="_Toc338458"/>
      <w:bookmarkStart w:id="8965" w:name="_Toc705890"/>
      <w:bookmarkStart w:id="8966" w:name="_Toc706876"/>
      <w:bookmarkStart w:id="8967" w:name="_Toc709185"/>
      <w:bookmarkStart w:id="8968" w:name="_Toc710550"/>
      <w:bookmarkStart w:id="8969" w:name="_Toc970571"/>
      <w:bookmarkStart w:id="8970" w:name="_Toc970946"/>
      <w:bookmarkStart w:id="8971" w:name="_Toc1135646"/>
      <w:bookmarkStart w:id="8972" w:name="_Toc1165960"/>
      <w:bookmarkStart w:id="8973" w:name="_Toc1208025"/>
      <w:bookmarkStart w:id="8974" w:name="_Toc1408641"/>
      <w:bookmarkStart w:id="8975" w:name="_Toc128247"/>
      <w:bookmarkStart w:id="8976" w:name="_Toc128641"/>
      <w:bookmarkStart w:id="8977" w:name="_Toc129035"/>
      <w:bookmarkStart w:id="8978" w:name="_Toc129429"/>
      <w:bookmarkStart w:id="8979" w:name="_Toc129823"/>
      <w:bookmarkStart w:id="8980" w:name="_Toc130216"/>
      <w:bookmarkStart w:id="8981" w:name="_Toc130610"/>
      <w:bookmarkStart w:id="8982" w:name="_Toc131004"/>
      <w:bookmarkStart w:id="8983" w:name="_Toc131398"/>
      <w:bookmarkStart w:id="8984" w:name="_Toc289293"/>
      <w:bookmarkStart w:id="8985" w:name="_Toc338459"/>
      <w:bookmarkStart w:id="8986" w:name="_Toc705891"/>
      <w:bookmarkStart w:id="8987" w:name="_Toc706877"/>
      <w:bookmarkStart w:id="8988" w:name="_Toc709186"/>
      <w:bookmarkStart w:id="8989" w:name="_Toc710551"/>
      <w:bookmarkStart w:id="8990" w:name="_Toc970572"/>
      <w:bookmarkStart w:id="8991" w:name="_Toc970947"/>
      <w:bookmarkStart w:id="8992" w:name="_Toc1135647"/>
      <w:bookmarkStart w:id="8993" w:name="_Toc1165961"/>
      <w:bookmarkStart w:id="8994" w:name="_Toc1208026"/>
      <w:bookmarkStart w:id="8995" w:name="_Toc1408642"/>
      <w:bookmarkStart w:id="8996" w:name="_Toc128248"/>
      <w:bookmarkStart w:id="8997" w:name="_Toc128642"/>
      <w:bookmarkStart w:id="8998" w:name="_Toc129036"/>
      <w:bookmarkStart w:id="8999" w:name="_Toc129430"/>
      <w:bookmarkStart w:id="9000" w:name="_Toc129824"/>
      <w:bookmarkStart w:id="9001" w:name="_Toc130217"/>
      <w:bookmarkStart w:id="9002" w:name="_Toc130611"/>
      <w:bookmarkStart w:id="9003" w:name="_Toc131005"/>
      <w:bookmarkStart w:id="9004" w:name="_Toc131399"/>
      <w:bookmarkStart w:id="9005" w:name="_Toc289294"/>
      <w:bookmarkStart w:id="9006" w:name="_Toc338460"/>
      <w:bookmarkStart w:id="9007" w:name="_Toc705892"/>
      <w:bookmarkStart w:id="9008" w:name="_Toc706878"/>
      <w:bookmarkStart w:id="9009" w:name="_Toc709187"/>
      <w:bookmarkStart w:id="9010" w:name="_Toc710552"/>
      <w:bookmarkStart w:id="9011" w:name="_Toc970573"/>
      <w:bookmarkStart w:id="9012" w:name="_Toc970948"/>
      <w:bookmarkStart w:id="9013" w:name="_Toc1135648"/>
      <w:bookmarkStart w:id="9014" w:name="_Toc1165962"/>
      <w:bookmarkStart w:id="9015" w:name="_Toc1208027"/>
      <w:bookmarkStart w:id="9016" w:name="_Toc1408643"/>
      <w:bookmarkStart w:id="9017" w:name="_Toc128249"/>
      <w:bookmarkStart w:id="9018" w:name="_Toc128643"/>
      <w:bookmarkStart w:id="9019" w:name="_Toc129037"/>
      <w:bookmarkStart w:id="9020" w:name="_Toc129431"/>
      <w:bookmarkStart w:id="9021" w:name="_Toc129825"/>
      <w:bookmarkStart w:id="9022" w:name="_Toc130218"/>
      <w:bookmarkStart w:id="9023" w:name="_Toc130612"/>
      <w:bookmarkStart w:id="9024" w:name="_Toc131006"/>
      <w:bookmarkStart w:id="9025" w:name="_Toc131400"/>
      <w:bookmarkStart w:id="9026" w:name="_Toc289295"/>
      <w:bookmarkStart w:id="9027" w:name="_Toc338461"/>
      <w:bookmarkStart w:id="9028" w:name="_Toc705893"/>
      <w:bookmarkStart w:id="9029" w:name="_Toc706879"/>
      <w:bookmarkStart w:id="9030" w:name="_Toc709188"/>
      <w:bookmarkStart w:id="9031" w:name="_Toc710553"/>
      <w:bookmarkStart w:id="9032" w:name="_Toc970574"/>
      <w:bookmarkStart w:id="9033" w:name="_Toc970949"/>
      <w:bookmarkStart w:id="9034" w:name="_Toc1135649"/>
      <w:bookmarkStart w:id="9035" w:name="_Toc1165963"/>
      <w:bookmarkStart w:id="9036" w:name="_Toc1208028"/>
      <w:bookmarkStart w:id="9037" w:name="_Toc1408644"/>
      <w:bookmarkStart w:id="9038" w:name="_Toc128250"/>
      <w:bookmarkStart w:id="9039" w:name="_Toc128644"/>
      <w:bookmarkStart w:id="9040" w:name="_Toc129038"/>
      <w:bookmarkStart w:id="9041" w:name="_Toc129432"/>
      <w:bookmarkStart w:id="9042" w:name="_Toc129826"/>
      <w:bookmarkStart w:id="9043" w:name="_Toc130219"/>
      <w:bookmarkStart w:id="9044" w:name="_Toc130613"/>
      <w:bookmarkStart w:id="9045" w:name="_Toc131007"/>
      <w:bookmarkStart w:id="9046" w:name="_Toc131401"/>
      <w:bookmarkStart w:id="9047" w:name="_Toc289296"/>
      <w:bookmarkStart w:id="9048" w:name="_Toc338462"/>
      <w:bookmarkStart w:id="9049" w:name="_Toc705894"/>
      <w:bookmarkStart w:id="9050" w:name="_Toc706880"/>
      <w:bookmarkStart w:id="9051" w:name="_Toc709189"/>
      <w:bookmarkStart w:id="9052" w:name="_Toc710554"/>
      <w:bookmarkStart w:id="9053" w:name="_Toc970575"/>
      <w:bookmarkStart w:id="9054" w:name="_Toc970950"/>
      <w:bookmarkStart w:id="9055" w:name="_Toc1135650"/>
      <w:bookmarkStart w:id="9056" w:name="_Toc1165964"/>
      <w:bookmarkStart w:id="9057" w:name="_Toc1208029"/>
      <w:bookmarkStart w:id="9058" w:name="_Toc1408645"/>
      <w:bookmarkStart w:id="9059" w:name="_Toc128251"/>
      <w:bookmarkStart w:id="9060" w:name="_Toc128645"/>
      <w:bookmarkStart w:id="9061" w:name="_Toc129039"/>
      <w:bookmarkStart w:id="9062" w:name="_Toc129433"/>
      <w:bookmarkStart w:id="9063" w:name="_Toc129827"/>
      <w:bookmarkStart w:id="9064" w:name="_Toc130220"/>
      <w:bookmarkStart w:id="9065" w:name="_Toc130614"/>
      <w:bookmarkStart w:id="9066" w:name="_Toc131008"/>
      <w:bookmarkStart w:id="9067" w:name="_Toc131402"/>
      <w:bookmarkStart w:id="9068" w:name="_Toc289297"/>
      <w:bookmarkStart w:id="9069" w:name="_Toc338463"/>
      <w:bookmarkStart w:id="9070" w:name="_Toc705895"/>
      <w:bookmarkStart w:id="9071" w:name="_Toc706881"/>
      <w:bookmarkStart w:id="9072" w:name="_Toc709190"/>
      <w:bookmarkStart w:id="9073" w:name="_Toc710555"/>
      <w:bookmarkStart w:id="9074" w:name="_Toc970576"/>
      <w:bookmarkStart w:id="9075" w:name="_Toc970951"/>
      <w:bookmarkStart w:id="9076" w:name="_Toc1135651"/>
      <w:bookmarkStart w:id="9077" w:name="_Toc1165965"/>
      <w:bookmarkStart w:id="9078" w:name="_Toc1208030"/>
      <w:bookmarkStart w:id="9079" w:name="_Toc1408646"/>
      <w:bookmarkStart w:id="9080" w:name="_Toc128252"/>
      <w:bookmarkStart w:id="9081" w:name="_Toc128646"/>
      <w:bookmarkStart w:id="9082" w:name="_Toc129040"/>
      <w:bookmarkStart w:id="9083" w:name="_Toc129434"/>
      <w:bookmarkStart w:id="9084" w:name="_Toc129828"/>
      <w:bookmarkStart w:id="9085" w:name="_Toc130221"/>
      <w:bookmarkStart w:id="9086" w:name="_Toc130615"/>
      <w:bookmarkStart w:id="9087" w:name="_Toc131009"/>
      <w:bookmarkStart w:id="9088" w:name="_Toc131403"/>
      <w:bookmarkStart w:id="9089" w:name="_Toc289298"/>
      <w:bookmarkStart w:id="9090" w:name="_Toc338464"/>
      <w:bookmarkStart w:id="9091" w:name="_Toc705896"/>
      <w:bookmarkStart w:id="9092" w:name="_Toc706882"/>
      <w:bookmarkStart w:id="9093" w:name="_Toc709191"/>
      <w:bookmarkStart w:id="9094" w:name="_Toc710556"/>
      <w:bookmarkStart w:id="9095" w:name="_Toc970577"/>
      <w:bookmarkStart w:id="9096" w:name="_Toc970952"/>
      <w:bookmarkStart w:id="9097" w:name="_Toc1135652"/>
      <w:bookmarkStart w:id="9098" w:name="_Toc1165966"/>
      <w:bookmarkStart w:id="9099" w:name="_Toc1208031"/>
      <w:bookmarkStart w:id="9100" w:name="_Toc1408647"/>
      <w:bookmarkStart w:id="9101" w:name="_Toc128253"/>
      <w:bookmarkStart w:id="9102" w:name="_Toc128647"/>
      <w:bookmarkStart w:id="9103" w:name="_Toc129041"/>
      <w:bookmarkStart w:id="9104" w:name="_Toc129435"/>
      <w:bookmarkStart w:id="9105" w:name="_Toc129829"/>
      <w:bookmarkStart w:id="9106" w:name="_Toc130222"/>
      <w:bookmarkStart w:id="9107" w:name="_Toc130616"/>
      <w:bookmarkStart w:id="9108" w:name="_Toc131010"/>
      <w:bookmarkStart w:id="9109" w:name="_Toc131404"/>
      <w:bookmarkStart w:id="9110" w:name="_Toc289299"/>
      <w:bookmarkStart w:id="9111" w:name="_Toc338465"/>
      <w:bookmarkStart w:id="9112" w:name="_Toc705897"/>
      <w:bookmarkStart w:id="9113" w:name="_Toc706883"/>
      <w:bookmarkStart w:id="9114" w:name="_Toc709192"/>
      <w:bookmarkStart w:id="9115" w:name="_Toc710557"/>
      <w:bookmarkStart w:id="9116" w:name="_Toc970578"/>
      <w:bookmarkStart w:id="9117" w:name="_Toc970953"/>
      <w:bookmarkStart w:id="9118" w:name="_Toc1135653"/>
      <w:bookmarkStart w:id="9119" w:name="_Toc1165967"/>
      <w:bookmarkStart w:id="9120" w:name="_Toc1208032"/>
      <w:bookmarkStart w:id="9121" w:name="_Toc1408648"/>
      <w:bookmarkStart w:id="9122" w:name="_Toc128254"/>
      <w:bookmarkStart w:id="9123" w:name="_Toc128648"/>
      <w:bookmarkStart w:id="9124" w:name="_Toc129042"/>
      <w:bookmarkStart w:id="9125" w:name="_Toc129436"/>
      <w:bookmarkStart w:id="9126" w:name="_Toc129830"/>
      <w:bookmarkStart w:id="9127" w:name="_Toc130223"/>
      <w:bookmarkStart w:id="9128" w:name="_Toc130617"/>
      <w:bookmarkStart w:id="9129" w:name="_Toc131011"/>
      <w:bookmarkStart w:id="9130" w:name="_Toc131405"/>
      <w:bookmarkStart w:id="9131" w:name="_Toc289300"/>
      <w:bookmarkStart w:id="9132" w:name="_Toc338466"/>
      <w:bookmarkStart w:id="9133" w:name="_Toc705898"/>
      <w:bookmarkStart w:id="9134" w:name="_Toc706884"/>
      <w:bookmarkStart w:id="9135" w:name="_Toc709193"/>
      <w:bookmarkStart w:id="9136" w:name="_Toc710558"/>
      <w:bookmarkStart w:id="9137" w:name="_Toc970579"/>
      <w:bookmarkStart w:id="9138" w:name="_Toc970954"/>
      <w:bookmarkStart w:id="9139" w:name="_Toc1135654"/>
      <w:bookmarkStart w:id="9140" w:name="_Toc1165968"/>
      <w:bookmarkStart w:id="9141" w:name="_Toc1208033"/>
      <w:bookmarkStart w:id="9142" w:name="_Toc1408649"/>
      <w:bookmarkStart w:id="9143" w:name="_Toc128258"/>
      <w:bookmarkStart w:id="9144" w:name="_Toc128652"/>
      <w:bookmarkStart w:id="9145" w:name="_Toc129046"/>
      <w:bookmarkStart w:id="9146" w:name="_Toc129440"/>
      <w:bookmarkStart w:id="9147" w:name="_Toc129834"/>
      <w:bookmarkStart w:id="9148" w:name="_Toc130227"/>
      <w:bookmarkStart w:id="9149" w:name="_Toc130621"/>
      <w:bookmarkStart w:id="9150" w:name="_Toc131015"/>
      <w:bookmarkStart w:id="9151" w:name="_Toc131409"/>
      <w:bookmarkStart w:id="9152" w:name="_Toc289304"/>
      <w:bookmarkStart w:id="9153" w:name="_Toc338470"/>
      <w:bookmarkStart w:id="9154" w:name="_Toc705902"/>
      <w:bookmarkStart w:id="9155" w:name="_Toc706888"/>
      <w:bookmarkStart w:id="9156" w:name="_Toc709197"/>
      <w:bookmarkStart w:id="9157" w:name="_Toc710562"/>
      <w:bookmarkStart w:id="9158" w:name="_Toc970583"/>
      <w:bookmarkStart w:id="9159" w:name="_Toc970958"/>
      <w:bookmarkStart w:id="9160" w:name="_Toc1135658"/>
      <w:bookmarkStart w:id="9161" w:name="_Toc1165972"/>
      <w:bookmarkStart w:id="9162" w:name="_Toc1208037"/>
      <w:bookmarkStart w:id="9163" w:name="_Toc1408653"/>
      <w:bookmarkStart w:id="9164" w:name="_Toc128259"/>
      <w:bookmarkStart w:id="9165" w:name="_Toc128653"/>
      <w:bookmarkStart w:id="9166" w:name="_Toc129047"/>
      <w:bookmarkStart w:id="9167" w:name="_Toc129441"/>
      <w:bookmarkStart w:id="9168" w:name="_Toc129835"/>
      <w:bookmarkStart w:id="9169" w:name="_Toc130228"/>
      <w:bookmarkStart w:id="9170" w:name="_Toc130622"/>
      <w:bookmarkStart w:id="9171" w:name="_Toc131016"/>
      <w:bookmarkStart w:id="9172" w:name="_Toc131410"/>
      <w:bookmarkStart w:id="9173" w:name="_Toc289305"/>
      <w:bookmarkStart w:id="9174" w:name="_Toc338471"/>
      <w:bookmarkStart w:id="9175" w:name="_Toc705903"/>
      <w:bookmarkStart w:id="9176" w:name="_Toc706889"/>
      <w:bookmarkStart w:id="9177" w:name="_Toc709198"/>
      <w:bookmarkStart w:id="9178" w:name="_Toc710563"/>
      <w:bookmarkStart w:id="9179" w:name="_Toc970584"/>
      <w:bookmarkStart w:id="9180" w:name="_Toc970959"/>
      <w:bookmarkStart w:id="9181" w:name="_Toc1135659"/>
      <w:bookmarkStart w:id="9182" w:name="_Toc1165973"/>
      <w:bookmarkStart w:id="9183" w:name="_Toc1208038"/>
      <w:bookmarkStart w:id="9184" w:name="_Toc1408654"/>
      <w:bookmarkStart w:id="9185" w:name="_Toc128260"/>
      <w:bookmarkStart w:id="9186" w:name="_Toc128654"/>
      <w:bookmarkStart w:id="9187" w:name="_Toc129048"/>
      <w:bookmarkStart w:id="9188" w:name="_Toc129442"/>
      <w:bookmarkStart w:id="9189" w:name="_Toc129836"/>
      <w:bookmarkStart w:id="9190" w:name="_Toc130229"/>
      <w:bookmarkStart w:id="9191" w:name="_Toc130623"/>
      <w:bookmarkStart w:id="9192" w:name="_Toc131017"/>
      <w:bookmarkStart w:id="9193" w:name="_Toc131411"/>
      <w:bookmarkStart w:id="9194" w:name="_Toc289306"/>
      <w:bookmarkStart w:id="9195" w:name="_Toc338472"/>
      <w:bookmarkStart w:id="9196" w:name="_Toc705904"/>
      <w:bookmarkStart w:id="9197" w:name="_Toc706890"/>
      <w:bookmarkStart w:id="9198" w:name="_Toc709199"/>
      <w:bookmarkStart w:id="9199" w:name="_Toc710564"/>
      <w:bookmarkStart w:id="9200" w:name="_Toc970585"/>
      <w:bookmarkStart w:id="9201" w:name="_Toc970960"/>
      <w:bookmarkStart w:id="9202" w:name="_Toc1135660"/>
      <w:bookmarkStart w:id="9203" w:name="_Toc1165974"/>
      <w:bookmarkStart w:id="9204" w:name="_Toc1208039"/>
      <w:bookmarkStart w:id="9205" w:name="_Toc1408655"/>
      <w:bookmarkStart w:id="9206" w:name="_Toc128261"/>
      <w:bookmarkStart w:id="9207" w:name="_Toc128655"/>
      <w:bookmarkStart w:id="9208" w:name="_Toc129049"/>
      <w:bookmarkStart w:id="9209" w:name="_Toc129443"/>
      <w:bookmarkStart w:id="9210" w:name="_Toc129837"/>
      <w:bookmarkStart w:id="9211" w:name="_Toc130230"/>
      <w:bookmarkStart w:id="9212" w:name="_Toc130624"/>
      <w:bookmarkStart w:id="9213" w:name="_Toc131018"/>
      <w:bookmarkStart w:id="9214" w:name="_Toc131412"/>
      <w:bookmarkStart w:id="9215" w:name="_Toc289307"/>
      <w:bookmarkStart w:id="9216" w:name="_Toc338473"/>
      <w:bookmarkStart w:id="9217" w:name="_Toc705905"/>
      <w:bookmarkStart w:id="9218" w:name="_Toc706891"/>
      <w:bookmarkStart w:id="9219" w:name="_Toc709200"/>
      <w:bookmarkStart w:id="9220" w:name="_Toc710565"/>
      <w:bookmarkStart w:id="9221" w:name="_Toc970586"/>
      <w:bookmarkStart w:id="9222" w:name="_Toc970961"/>
      <w:bookmarkStart w:id="9223" w:name="_Toc1135661"/>
      <w:bookmarkStart w:id="9224" w:name="_Toc1165975"/>
      <w:bookmarkStart w:id="9225" w:name="_Toc1208040"/>
      <w:bookmarkStart w:id="9226" w:name="_Toc1408656"/>
      <w:bookmarkStart w:id="9227" w:name="_Toc536717615"/>
      <w:bookmarkStart w:id="9228" w:name="_Toc536862792"/>
      <w:bookmarkStart w:id="9229" w:name="_Toc536864160"/>
      <w:bookmarkStart w:id="9230" w:name="_Toc536864547"/>
      <w:bookmarkStart w:id="9231" w:name="_Toc536865048"/>
      <w:bookmarkStart w:id="9232" w:name="_Toc536865363"/>
      <w:bookmarkStart w:id="9233" w:name="_Toc536865678"/>
      <w:bookmarkStart w:id="9234" w:name="_Toc536865993"/>
      <w:bookmarkStart w:id="9235" w:name="_Toc536866308"/>
      <w:bookmarkStart w:id="9236" w:name="_Toc536866623"/>
      <w:bookmarkStart w:id="9237" w:name="_Toc536866938"/>
      <w:bookmarkStart w:id="9238" w:name="_Toc536867253"/>
      <w:bookmarkStart w:id="9239" w:name="_Toc536867568"/>
      <w:bookmarkStart w:id="9240" w:name="_Toc536867851"/>
      <w:bookmarkStart w:id="9241" w:name="_Toc536868134"/>
      <w:bookmarkStart w:id="9242" w:name="_Toc536869031"/>
      <w:bookmarkStart w:id="9243" w:name="_Toc536869362"/>
      <w:bookmarkStart w:id="9244" w:name="_Toc128262"/>
      <w:bookmarkStart w:id="9245" w:name="_Toc128656"/>
      <w:bookmarkStart w:id="9246" w:name="_Toc129050"/>
      <w:bookmarkStart w:id="9247" w:name="_Toc129444"/>
      <w:bookmarkStart w:id="9248" w:name="_Toc129838"/>
      <w:bookmarkStart w:id="9249" w:name="_Toc130231"/>
      <w:bookmarkStart w:id="9250" w:name="_Toc130625"/>
      <w:bookmarkStart w:id="9251" w:name="_Toc131019"/>
      <w:bookmarkStart w:id="9252" w:name="_Toc131413"/>
      <w:bookmarkStart w:id="9253" w:name="_Toc289308"/>
      <w:bookmarkStart w:id="9254" w:name="_Toc338474"/>
      <w:bookmarkStart w:id="9255" w:name="_Toc705906"/>
      <w:bookmarkStart w:id="9256" w:name="_Toc706892"/>
      <w:bookmarkStart w:id="9257" w:name="_Toc709201"/>
      <w:bookmarkStart w:id="9258" w:name="_Toc710566"/>
      <w:bookmarkStart w:id="9259" w:name="_Toc970587"/>
      <w:bookmarkStart w:id="9260" w:name="_Toc970962"/>
      <w:bookmarkStart w:id="9261" w:name="_Toc1135662"/>
      <w:bookmarkStart w:id="9262" w:name="_Toc1165976"/>
      <w:bookmarkStart w:id="9263" w:name="_Toc1208041"/>
      <w:bookmarkStart w:id="9264" w:name="_Toc1408657"/>
      <w:bookmarkStart w:id="9265" w:name="_Toc522279769"/>
      <w:bookmarkStart w:id="9266" w:name="_Toc17934227"/>
      <w:bookmarkStart w:id="9267" w:name="_Toc50150406"/>
      <w:bookmarkStart w:id="9268" w:name="_Toc70886838"/>
      <w:bookmarkStart w:id="9269" w:name="_Toc108342395"/>
      <w:bookmarkStart w:id="9270" w:name="_Toc134197927"/>
      <w:bookmarkEnd w:id="8306"/>
      <w:bookmarkEnd w:id="8307"/>
      <w:bookmarkEnd w:id="8308"/>
      <w:bookmarkEnd w:id="8309"/>
      <w:bookmarkEnd w:id="8310"/>
      <w:bookmarkEnd w:id="8311"/>
      <w:bookmarkEnd w:id="8312"/>
      <w:bookmarkEnd w:id="8313"/>
      <w:bookmarkEnd w:id="8314"/>
      <w:bookmarkEnd w:id="8315"/>
      <w:bookmarkEnd w:id="8316"/>
      <w:bookmarkEnd w:id="8317"/>
      <w:bookmarkEnd w:id="8318"/>
      <w:bookmarkEnd w:id="8319"/>
      <w:bookmarkEnd w:id="8320"/>
      <w:bookmarkEnd w:id="8321"/>
      <w:bookmarkEnd w:id="8322"/>
      <w:bookmarkEnd w:id="8323"/>
      <w:bookmarkEnd w:id="8324"/>
      <w:bookmarkEnd w:id="8325"/>
      <w:bookmarkEnd w:id="8326"/>
      <w:bookmarkEnd w:id="8327"/>
      <w:bookmarkEnd w:id="8328"/>
      <w:bookmarkEnd w:id="8329"/>
      <w:bookmarkEnd w:id="8330"/>
      <w:bookmarkEnd w:id="8331"/>
      <w:bookmarkEnd w:id="8332"/>
      <w:bookmarkEnd w:id="8333"/>
      <w:bookmarkEnd w:id="8334"/>
      <w:bookmarkEnd w:id="8335"/>
      <w:bookmarkEnd w:id="8336"/>
      <w:bookmarkEnd w:id="8337"/>
      <w:bookmarkEnd w:id="8338"/>
      <w:bookmarkEnd w:id="8339"/>
      <w:bookmarkEnd w:id="8340"/>
      <w:bookmarkEnd w:id="8341"/>
      <w:bookmarkEnd w:id="8342"/>
      <w:bookmarkEnd w:id="8343"/>
      <w:bookmarkEnd w:id="8344"/>
      <w:bookmarkEnd w:id="8345"/>
      <w:bookmarkEnd w:id="8346"/>
      <w:bookmarkEnd w:id="8347"/>
      <w:bookmarkEnd w:id="8348"/>
      <w:bookmarkEnd w:id="8349"/>
      <w:bookmarkEnd w:id="8350"/>
      <w:bookmarkEnd w:id="8351"/>
      <w:bookmarkEnd w:id="8352"/>
      <w:bookmarkEnd w:id="8353"/>
      <w:bookmarkEnd w:id="8354"/>
      <w:bookmarkEnd w:id="8355"/>
      <w:bookmarkEnd w:id="8356"/>
      <w:bookmarkEnd w:id="8357"/>
      <w:bookmarkEnd w:id="8358"/>
      <w:bookmarkEnd w:id="8359"/>
      <w:bookmarkEnd w:id="8360"/>
      <w:bookmarkEnd w:id="8361"/>
      <w:bookmarkEnd w:id="8362"/>
      <w:bookmarkEnd w:id="8363"/>
      <w:bookmarkEnd w:id="8364"/>
      <w:bookmarkEnd w:id="8365"/>
      <w:bookmarkEnd w:id="8366"/>
      <w:bookmarkEnd w:id="8367"/>
      <w:bookmarkEnd w:id="8368"/>
      <w:bookmarkEnd w:id="8369"/>
      <w:bookmarkEnd w:id="8370"/>
      <w:bookmarkEnd w:id="8371"/>
      <w:bookmarkEnd w:id="8372"/>
      <w:bookmarkEnd w:id="8373"/>
      <w:bookmarkEnd w:id="8374"/>
      <w:bookmarkEnd w:id="8375"/>
      <w:bookmarkEnd w:id="8376"/>
      <w:bookmarkEnd w:id="8377"/>
      <w:bookmarkEnd w:id="8378"/>
      <w:bookmarkEnd w:id="8379"/>
      <w:bookmarkEnd w:id="8380"/>
      <w:bookmarkEnd w:id="8381"/>
      <w:bookmarkEnd w:id="8382"/>
      <w:bookmarkEnd w:id="8383"/>
      <w:bookmarkEnd w:id="8384"/>
      <w:bookmarkEnd w:id="8385"/>
      <w:bookmarkEnd w:id="8386"/>
      <w:bookmarkEnd w:id="8387"/>
      <w:bookmarkEnd w:id="8388"/>
      <w:bookmarkEnd w:id="8389"/>
      <w:bookmarkEnd w:id="8390"/>
      <w:bookmarkEnd w:id="8391"/>
      <w:bookmarkEnd w:id="8392"/>
      <w:bookmarkEnd w:id="8393"/>
      <w:bookmarkEnd w:id="8394"/>
      <w:bookmarkEnd w:id="8395"/>
      <w:bookmarkEnd w:id="8396"/>
      <w:bookmarkEnd w:id="8397"/>
      <w:bookmarkEnd w:id="8398"/>
      <w:bookmarkEnd w:id="8399"/>
      <w:bookmarkEnd w:id="8400"/>
      <w:bookmarkEnd w:id="8401"/>
      <w:bookmarkEnd w:id="8402"/>
      <w:bookmarkEnd w:id="8403"/>
      <w:bookmarkEnd w:id="8404"/>
      <w:bookmarkEnd w:id="8405"/>
      <w:bookmarkEnd w:id="8406"/>
      <w:bookmarkEnd w:id="8407"/>
      <w:bookmarkEnd w:id="8408"/>
      <w:bookmarkEnd w:id="8409"/>
      <w:bookmarkEnd w:id="8410"/>
      <w:bookmarkEnd w:id="8411"/>
      <w:bookmarkEnd w:id="8412"/>
      <w:bookmarkEnd w:id="8413"/>
      <w:bookmarkEnd w:id="8414"/>
      <w:bookmarkEnd w:id="8415"/>
      <w:bookmarkEnd w:id="8416"/>
      <w:bookmarkEnd w:id="8417"/>
      <w:bookmarkEnd w:id="8418"/>
      <w:bookmarkEnd w:id="8419"/>
      <w:bookmarkEnd w:id="8420"/>
      <w:bookmarkEnd w:id="8421"/>
      <w:bookmarkEnd w:id="8422"/>
      <w:bookmarkEnd w:id="8423"/>
      <w:bookmarkEnd w:id="8424"/>
      <w:bookmarkEnd w:id="8425"/>
      <w:bookmarkEnd w:id="8426"/>
      <w:bookmarkEnd w:id="8427"/>
      <w:bookmarkEnd w:id="8428"/>
      <w:bookmarkEnd w:id="8429"/>
      <w:bookmarkEnd w:id="8430"/>
      <w:bookmarkEnd w:id="8431"/>
      <w:bookmarkEnd w:id="8432"/>
      <w:bookmarkEnd w:id="8433"/>
      <w:bookmarkEnd w:id="8434"/>
      <w:bookmarkEnd w:id="8435"/>
      <w:bookmarkEnd w:id="8436"/>
      <w:bookmarkEnd w:id="8437"/>
      <w:bookmarkEnd w:id="8438"/>
      <w:bookmarkEnd w:id="8439"/>
      <w:bookmarkEnd w:id="8440"/>
      <w:bookmarkEnd w:id="8441"/>
      <w:bookmarkEnd w:id="8442"/>
      <w:bookmarkEnd w:id="8443"/>
      <w:bookmarkEnd w:id="8444"/>
      <w:bookmarkEnd w:id="8445"/>
      <w:bookmarkEnd w:id="8446"/>
      <w:bookmarkEnd w:id="8447"/>
      <w:bookmarkEnd w:id="8448"/>
      <w:bookmarkEnd w:id="8449"/>
      <w:bookmarkEnd w:id="8450"/>
      <w:bookmarkEnd w:id="8451"/>
      <w:bookmarkEnd w:id="8452"/>
      <w:bookmarkEnd w:id="8453"/>
      <w:bookmarkEnd w:id="8454"/>
      <w:bookmarkEnd w:id="8455"/>
      <w:bookmarkEnd w:id="8456"/>
      <w:bookmarkEnd w:id="8457"/>
      <w:bookmarkEnd w:id="8458"/>
      <w:bookmarkEnd w:id="8459"/>
      <w:bookmarkEnd w:id="8460"/>
      <w:bookmarkEnd w:id="8461"/>
      <w:bookmarkEnd w:id="8462"/>
      <w:bookmarkEnd w:id="8463"/>
      <w:bookmarkEnd w:id="8464"/>
      <w:bookmarkEnd w:id="8465"/>
      <w:bookmarkEnd w:id="8466"/>
      <w:bookmarkEnd w:id="8467"/>
      <w:bookmarkEnd w:id="8468"/>
      <w:bookmarkEnd w:id="8469"/>
      <w:bookmarkEnd w:id="8470"/>
      <w:bookmarkEnd w:id="8471"/>
      <w:bookmarkEnd w:id="8472"/>
      <w:bookmarkEnd w:id="8473"/>
      <w:bookmarkEnd w:id="8474"/>
      <w:bookmarkEnd w:id="8475"/>
      <w:bookmarkEnd w:id="8476"/>
      <w:bookmarkEnd w:id="8477"/>
      <w:bookmarkEnd w:id="8478"/>
      <w:bookmarkEnd w:id="8479"/>
      <w:bookmarkEnd w:id="8480"/>
      <w:bookmarkEnd w:id="8481"/>
      <w:bookmarkEnd w:id="8482"/>
      <w:bookmarkEnd w:id="8483"/>
      <w:bookmarkEnd w:id="8484"/>
      <w:bookmarkEnd w:id="8485"/>
      <w:bookmarkEnd w:id="8486"/>
      <w:bookmarkEnd w:id="8487"/>
      <w:bookmarkEnd w:id="8488"/>
      <w:bookmarkEnd w:id="8489"/>
      <w:bookmarkEnd w:id="8490"/>
      <w:bookmarkEnd w:id="8491"/>
      <w:bookmarkEnd w:id="8492"/>
      <w:bookmarkEnd w:id="8493"/>
      <w:bookmarkEnd w:id="8494"/>
      <w:bookmarkEnd w:id="8495"/>
      <w:bookmarkEnd w:id="8496"/>
      <w:bookmarkEnd w:id="8497"/>
      <w:bookmarkEnd w:id="8498"/>
      <w:bookmarkEnd w:id="8499"/>
      <w:bookmarkEnd w:id="8500"/>
      <w:bookmarkEnd w:id="8501"/>
      <w:bookmarkEnd w:id="8502"/>
      <w:bookmarkEnd w:id="8503"/>
      <w:bookmarkEnd w:id="8504"/>
      <w:bookmarkEnd w:id="8505"/>
      <w:bookmarkEnd w:id="8506"/>
      <w:bookmarkEnd w:id="8507"/>
      <w:bookmarkEnd w:id="8508"/>
      <w:bookmarkEnd w:id="8509"/>
      <w:bookmarkEnd w:id="8510"/>
      <w:bookmarkEnd w:id="8511"/>
      <w:bookmarkEnd w:id="8512"/>
      <w:bookmarkEnd w:id="8513"/>
      <w:bookmarkEnd w:id="8514"/>
      <w:bookmarkEnd w:id="8515"/>
      <w:bookmarkEnd w:id="8516"/>
      <w:bookmarkEnd w:id="8517"/>
      <w:bookmarkEnd w:id="8518"/>
      <w:bookmarkEnd w:id="8519"/>
      <w:bookmarkEnd w:id="8520"/>
      <w:bookmarkEnd w:id="8521"/>
      <w:bookmarkEnd w:id="8522"/>
      <w:bookmarkEnd w:id="8523"/>
      <w:bookmarkEnd w:id="8524"/>
      <w:bookmarkEnd w:id="8525"/>
      <w:bookmarkEnd w:id="8526"/>
      <w:bookmarkEnd w:id="8527"/>
      <w:bookmarkEnd w:id="8528"/>
      <w:bookmarkEnd w:id="8529"/>
      <w:bookmarkEnd w:id="8530"/>
      <w:bookmarkEnd w:id="8531"/>
      <w:bookmarkEnd w:id="8532"/>
      <w:bookmarkEnd w:id="8533"/>
      <w:bookmarkEnd w:id="8534"/>
      <w:bookmarkEnd w:id="8535"/>
      <w:bookmarkEnd w:id="8536"/>
      <w:bookmarkEnd w:id="8537"/>
      <w:bookmarkEnd w:id="8538"/>
      <w:bookmarkEnd w:id="8539"/>
      <w:bookmarkEnd w:id="8540"/>
      <w:bookmarkEnd w:id="8541"/>
      <w:bookmarkEnd w:id="8542"/>
      <w:bookmarkEnd w:id="8543"/>
      <w:bookmarkEnd w:id="8544"/>
      <w:bookmarkEnd w:id="8545"/>
      <w:bookmarkEnd w:id="8546"/>
      <w:bookmarkEnd w:id="8547"/>
      <w:bookmarkEnd w:id="8548"/>
      <w:bookmarkEnd w:id="8549"/>
      <w:bookmarkEnd w:id="8550"/>
      <w:bookmarkEnd w:id="8551"/>
      <w:bookmarkEnd w:id="8552"/>
      <w:bookmarkEnd w:id="8553"/>
      <w:bookmarkEnd w:id="8554"/>
      <w:bookmarkEnd w:id="8555"/>
      <w:bookmarkEnd w:id="8556"/>
      <w:bookmarkEnd w:id="8557"/>
      <w:bookmarkEnd w:id="8558"/>
      <w:bookmarkEnd w:id="8559"/>
      <w:bookmarkEnd w:id="8560"/>
      <w:bookmarkEnd w:id="8561"/>
      <w:bookmarkEnd w:id="8562"/>
      <w:bookmarkEnd w:id="8563"/>
      <w:bookmarkEnd w:id="8564"/>
      <w:bookmarkEnd w:id="8565"/>
      <w:bookmarkEnd w:id="8566"/>
      <w:bookmarkEnd w:id="8567"/>
      <w:bookmarkEnd w:id="8568"/>
      <w:bookmarkEnd w:id="8569"/>
      <w:bookmarkEnd w:id="8570"/>
      <w:bookmarkEnd w:id="8571"/>
      <w:bookmarkEnd w:id="8572"/>
      <w:bookmarkEnd w:id="8573"/>
      <w:bookmarkEnd w:id="8574"/>
      <w:bookmarkEnd w:id="8575"/>
      <w:bookmarkEnd w:id="8576"/>
      <w:bookmarkEnd w:id="8577"/>
      <w:bookmarkEnd w:id="8578"/>
      <w:bookmarkEnd w:id="8579"/>
      <w:bookmarkEnd w:id="8580"/>
      <w:bookmarkEnd w:id="8581"/>
      <w:bookmarkEnd w:id="8582"/>
      <w:bookmarkEnd w:id="8583"/>
      <w:bookmarkEnd w:id="8584"/>
      <w:bookmarkEnd w:id="8585"/>
      <w:bookmarkEnd w:id="8586"/>
      <w:bookmarkEnd w:id="8587"/>
      <w:bookmarkEnd w:id="8588"/>
      <w:bookmarkEnd w:id="8589"/>
      <w:bookmarkEnd w:id="8590"/>
      <w:bookmarkEnd w:id="8591"/>
      <w:bookmarkEnd w:id="8592"/>
      <w:bookmarkEnd w:id="8593"/>
      <w:bookmarkEnd w:id="8594"/>
      <w:bookmarkEnd w:id="8595"/>
      <w:bookmarkEnd w:id="8596"/>
      <w:bookmarkEnd w:id="8597"/>
      <w:bookmarkEnd w:id="8598"/>
      <w:bookmarkEnd w:id="8599"/>
      <w:bookmarkEnd w:id="8600"/>
      <w:bookmarkEnd w:id="8601"/>
      <w:bookmarkEnd w:id="8602"/>
      <w:bookmarkEnd w:id="8603"/>
      <w:bookmarkEnd w:id="8604"/>
      <w:bookmarkEnd w:id="8605"/>
      <w:bookmarkEnd w:id="8606"/>
      <w:bookmarkEnd w:id="8607"/>
      <w:bookmarkEnd w:id="8608"/>
      <w:bookmarkEnd w:id="8609"/>
      <w:bookmarkEnd w:id="8610"/>
      <w:bookmarkEnd w:id="8611"/>
      <w:bookmarkEnd w:id="8612"/>
      <w:bookmarkEnd w:id="8613"/>
      <w:bookmarkEnd w:id="8614"/>
      <w:bookmarkEnd w:id="8615"/>
      <w:bookmarkEnd w:id="8616"/>
      <w:bookmarkEnd w:id="8617"/>
      <w:bookmarkEnd w:id="8618"/>
      <w:bookmarkEnd w:id="8619"/>
      <w:bookmarkEnd w:id="8620"/>
      <w:bookmarkEnd w:id="8621"/>
      <w:bookmarkEnd w:id="8622"/>
      <w:bookmarkEnd w:id="8623"/>
      <w:bookmarkEnd w:id="8624"/>
      <w:bookmarkEnd w:id="8625"/>
      <w:bookmarkEnd w:id="8626"/>
      <w:bookmarkEnd w:id="8627"/>
      <w:bookmarkEnd w:id="8628"/>
      <w:bookmarkEnd w:id="8629"/>
      <w:bookmarkEnd w:id="8630"/>
      <w:bookmarkEnd w:id="8631"/>
      <w:bookmarkEnd w:id="8632"/>
      <w:bookmarkEnd w:id="8633"/>
      <w:bookmarkEnd w:id="8634"/>
      <w:bookmarkEnd w:id="8635"/>
      <w:bookmarkEnd w:id="8636"/>
      <w:bookmarkEnd w:id="8637"/>
      <w:bookmarkEnd w:id="8638"/>
      <w:bookmarkEnd w:id="8639"/>
      <w:bookmarkEnd w:id="8640"/>
      <w:bookmarkEnd w:id="8641"/>
      <w:bookmarkEnd w:id="8642"/>
      <w:bookmarkEnd w:id="8643"/>
      <w:bookmarkEnd w:id="8644"/>
      <w:bookmarkEnd w:id="8645"/>
      <w:bookmarkEnd w:id="8646"/>
      <w:bookmarkEnd w:id="8647"/>
      <w:bookmarkEnd w:id="8648"/>
      <w:bookmarkEnd w:id="8649"/>
      <w:bookmarkEnd w:id="8650"/>
      <w:bookmarkEnd w:id="8651"/>
      <w:bookmarkEnd w:id="8652"/>
      <w:bookmarkEnd w:id="8653"/>
      <w:bookmarkEnd w:id="8654"/>
      <w:bookmarkEnd w:id="8655"/>
      <w:bookmarkEnd w:id="8656"/>
      <w:bookmarkEnd w:id="8657"/>
      <w:bookmarkEnd w:id="8658"/>
      <w:bookmarkEnd w:id="8659"/>
      <w:bookmarkEnd w:id="8660"/>
      <w:bookmarkEnd w:id="8661"/>
      <w:bookmarkEnd w:id="8662"/>
      <w:bookmarkEnd w:id="8663"/>
      <w:bookmarkEnd w:id="8664"/>
      <w:bookmarkEnd w:id="8665"/>
      <w:bookmarkEnd w:id="8666"/>
      <w:bookmarkEnd w:id="8667"/>
      <w:bookmarkEnd w:id="8668"/>
      <w:bookmarkEnd w:id="8669"/>
      <w:bookmarkEnd w:id="8670"/>
      <w:bookmarkEnd w:id="8671"/>
      <w:bookmarkEnd w:id="8672"/>
      <w:bookmarkEnd w:id="8673"/>
      <w:bookmarkEnd w:id="8674"/>
      <w:bookmarkEnd w:id="8675"/>
      <w:bookmarkEnd w:id="8676"/>
      <w:bookmarkEnd w:id="8677"/>
      <w:bookmarkEnd w:id="8678"/>
      <w:bookmarkEnd w:id="8679"/>
      <w:bookmarkEnd w:id="8680"/>
      <w:bookmarkEnd w:id="8681"/>
      <w:bookmarkEnd w:id="8682"/>
      <w:bookmarkEnd w:id="8683"/>
      <w:bookmarkEnd w:id="8684"/>
      <w:bookmarkEnd w:id="8685"/>
      <w:bookmarkEnd w:id="8686"/>
      <w:bookmarkEnd w:id="8687"/>
      <w:bookmarkEnd w:id="8688"/>
      <w:bookmarkEnd w:id="8689"/>
      <w:bookmarkEnd w:id="8690"/>
      <w:bookmarkEnd w:id="8691"/>
      <w:bookmarkEnd w:id="8692"/>
      <w:bookmarkEnd w:id="8693"/>
      <w:bookmarkEnd w:id="8694"/>
      <w:bookmarkEnd w:id="8695"/>
      <w:bookmarkEnd w:id="8696"/>
      <w:bookmarkEnd w:id="8697"/>
      <w:bookmarkEnd w:id="8698"/>
      <w:bookmarkEnd w:id="8699"/>
      <w:bookmarkEnd w:id="8700"/>
      <w:bookmarkEnd w:id="8701"/>
      <w:bookmarkEnd w:id="8702"/>
      <w:bookmarkEnd w:id="8703"/>
      <w:bookmarkEnd w:id="8704"/>
      <w:bookmarkEnd w:id="8705"/>
      <w:bookmarkEnd w:id="8706"/>
      <w:bookmarkEnd w:id="8707"/>
      <w:bookmarkEnd w:id="8708"/>
      <w:bookmarkEnd w:id="8709"/>
      <w:bookmarkEnd w:id="8710"/>
      <w:bookmarkEnd w:id="8711"/>
      <w:bookmarkEnd w:id="8712"/>
      <w:bookmarkEnd w:id="8713"/>
      <w:bookmarkEnd w:id="8714"/>
      <w:bookmarkEnd w:id="8715"/>
      <w:bookmarkEnd w:id="8716"/>
      <w:bookmarkEnd w:id="8717"/>
      <w:bookmarkEnd w:id="8718"/>
      <w:bookmarkEnd w:id="8719"/>
      <w:bookmarkEnd w:id="8720"/>
      <w:bookmarkEnd w:id="8721"/>
      <w:bookmarkEnd w:id="8722"/>
      <w:bookmarkEnd w:id="8723"/>
      <w:bookmarkEnd w:id="8724"/>
      <w:bookmarkEnd w:id="8725"/>
      <w:bookmarkEnd w:id="8726"/>
      <w:bookmarkEnd w:id="8727"/>
      <w:bookmarkEnd w:id="8728"/>
      <w:bookmarkEnd w:id="8729"/>
      <w:bookmarkEnd w:id="8730"/>
      <w:bookmarkEnd w:id="8731"/>
      <w:bookmarkEnd w:id="8732"/>
      <w:bookmarkEnd w:id="8733"/>
      <w:bookmarkEnd w:id="8734"/>
      <w:bookmarkEnd w:id="8735"/>
      <w:bookmarkEnd w:id="8736"/>
      <w:bookmarkEnd w:id="8737"/>
      <w:bookmarkEnd w:id="8738"/>
      <w:bookmarkEnd w:id="8739"/>
      <w:bookmarkEnd w:id="8740"/>
      <w:bookmarkEnd w:id="8741"/>
      <w:bookmarkEnd w:id="8742"/>
      <w:bookmarkEnd w:id="8743"/>
      <w:bookmarkEnd w:id="8744"/>
      <w:bookmarkEnd w:id="8745"/>
      <w:bookmarkEnd w:id="8746"/>
      <w:bookmarkEnd w:id="8747"/>
      <w:bookmarkEnd w:id="8748"/>
      <w:bookmarkEnd w:id="8749"/>
      <w:bookmarkEnd w:id="8750"/>
      <w:bookmarkEnd w:id="8751"/>
      <w:bookmarkEnd w:id="8752"/>
      <w:bookmarkEnd w:id="8753"/>
      <w:bookmarkEnd w:id="8754"/>
      <w:bookmarkEnd w:id="8755"/>
      <w:bookmarkEnd w:id="8756"/>
      <w:bookmarkEnd w:id="8757"/>
      <w:bookmarkEnd w:id="8758"/>
      <w:bookmarkEnd w:id="8759"/>
      <w:bookmarkEnd w:id="8760"/>
      <w:bookmarkEnd w:id="8761"/>
      <w:bookmarkEnd w:id="8762"/>
      <w:bookmarkEnd w:id="8763"/>
      <w:bookmarkEnd w:id="8764"/>
      <w:bookmarkEnd w:id="8765"/>
      <w:bookmarkEnd w:id="8766"/>
      <w:bookmarkEnd w:id="8767"/>
      <w:bookmarkEnd w:id="8768"/>
      <w:bookmarkEnd w:id="8769"/>
      <w:bookmarkEnd w:id="8770"/>
      <w:bookmarkEnd w:id="8771"/>
      <w:bookmarkEnd w:id="8772"/>
      <w:bookmarkEnd w:id="8773"/>
      <w:bookmarkEnd w:id="8774"/>
      <w:bookmarkEnd w:id="8775"/>
      <w:bookmarkEnd w:id="8776"/>
      <w:bookmarkEnd w:id="8777"/>
      <w:bookmarkEnd w:id="8778"/>
      <w:bookmarkEnd w:id="8779"/>
      <w:bookmarkEnd w:id="8780"/>
      <w:bookmarkEnd w:id="8781"/>
      <w:bookmarkEnd w:id="8782"/>
      <w:bookmarkEnd w:id="8783"/>
      <w:bookmarkEnd w:id="8784"/>
      <w:bookmarkEnd w:id="8785"/>
      <w:bookmarkEnd w:id="8786"/>
      <w:bookmarkEnd w:id="8787"/>
      <w:bookmarkEnd w:id="8788"/>
      <w:bookmarkEnd w:id="8789"/>
      <w:bookmarkEnd w:id="8790"/>
      <w:bookmarkEnd w:id="8791"/>
      <w:bookmarkEnd w:id="8792"/>
      <w:bookmarkEnd w:id="8793"/>
      <w:bookmarkEnd w:id="8794"/>
      <w:bookmarkEnd w:id="8795"/>
      <w:bookmarkEnd w:id="8796"/>
      <w:bookmarkEnd w:id="8797"/>
      <w:bookmarkEnd w:id="8798"/>
      <w:bookmarkEnd w:id="8799"/>
      <w:bookmarkEnd w:id="8800"/>
      <w:bookmarkEnd w:id="8801"/>
      <w:bookmarkEnd w:id="8802"/>
      <w:bookmarkEnd w:id="8803"/>
      <w:bookmarkEnd w:id="8804"/>
      <w:bookmarkEnd w:id="8805"/>
      <w:bookmarkEnd w:id="8806"/>
      <w:bookmarkEnd w:id="8807"/>
      <w:bookmarkEnd w:id="8808"/>
      <w:bookmarkEnd w:id="8809"/>
      <w:bookmarkEnd w:id="8810"/>
      <w:bookmarkEnd w:id="8811"/>
      <w:bookmarkEnd w:id="8812"/>
      <w:bookmarkEnd w:id="8813"/>
      <w:bookmarkEnd w:id="8814"/>
      <w:bookmarkEnd w:id="8815"/>
      <w:bookmarkEnd w:id="8816"/>
      <w:bookmarkEnd w:id="8817"/>
      <w:bookmarkEnd w:id="8818"/>
      <w:bookmarkEnd w:id="8819"/>
      <w:bookmarkEnd w:id="8820"/>
      <w:bookmarkEnd w:id="8821"/>
      <w:bookmarkEnd w:id="8822"/>
      <w:bookmarkEnd w:id="8823"/>
      <w:bookmarkEnd w:id="8824"/>
      <w:bookmarkEnd w:id="8825"/>
      <w:bookmarkEnd w:id="8826"/>
      <w:bookmarkEnd w:id="8827"/>
      <w:bookmarkEnd w:id="8828"/>
      <w:bookmarkEnd w:id="8829"/>
      <w:bookmarkEnd w:id="8830"/>
      <w:bookmarkEnd w:id="8831"/>
      <w:bookmarkEnd w:id="8832"/>
      <w:bookmarkEnd w:id="8833"/>
      <w:bookmarkEnd w:id="8834"/>
      <w:bookmarkEnd w:id="8835"/>
      <w:bookmarkEnd w:id="8836"/>
      <w:bookmarkEnd w:id="8837"/>
      <w:bookmarkEnd w:id="8838"/>
      <w:bookmarkEnd w:id="8839"/>
      <w:bookmarkEnd w:id="8840"/>
      <w:bookmarkEnd w:id="8841"/>
      <w:bookmarkEnd w:id="8842"/>
      <w:bookmarkEnd w:id="8843"/>
      <w:bookmarkEnd w:id="8844"/>
      <w:bookmarkEnd w:id="8845"/>
      <w:bookmarkEnd w:id="8846"/>
      <w:bookmarkEnd w:id="8847"/>
      <w:bookmarkEnd w:id="8848"/>
      <w:bookmarkEnd w:id="8849"/>
      <w:bookmarkEnd w:id="8850"/>
      <w:bookmarkEnd w:id="8851"/>
      <w:bookmarkEnd w:id="8852"/>
      <w:bookmarkEnd w:id="8853"/>
      <w:bookmarkEnd w:id="8854"/>
      <w:bookmarkEnd w:id="8855"/>
      <w:bookmarkEnd w:id="8856"/>
      <w:bookmarkEnd w:id="8857"/>
      <w:bookmarkEnd w:id="8858"/>
      <w:bookmarkEnd w:id="8859"/>
      <w:bookmarkEnd w:id="8860"/>
      <w:bookmarkEnd w:id="8861"/>
      <w:bookmarkEnd w:id="8862"/>
      <w:bookmarkEnd w:id="8863"/>
      <w:bookmarkEnd w:id="8864"/>
      <w:bookmarkEnd w:id="8865"/>
      <w:bookmarkEnd w:id="8866"/>
      <w:bookmarkEnd w:id="8867"/>
      <w:bookmarkEnd w:id="8868"/>
      <w:bookmarkEnd w:id="8869"/>
      <w:bookmarkEnd w:id="8870"/>
      <w:bookmarkEnd w:id="8871"/>
      <w:bookmarkEnd w:id="8872"/>
      <w:bookmarkEnd w:id="8873"/>
      <w:bookmarkEnd w:id="8874"/>
      <w:bookmarkEnd w:id="8875"/>
      <w:bookmarkEnd w:id="8876"/>
      <w:bookmarkEnd w:id="8877"/>
      <w:bookmarkEnd w:id="8878"/>
      <w:bookmarkEnd w:id="8879"/>
      <w:bookmarkEnd w:id="8880"/>
      <w:bookmarkEnd w:id="8881"/>
      <w:bookmarkEnd w:id="8882"/>
      <w:bookmarkEnd w:id="8883"/>
      <w:bookmarkEnd w:id="8884"/>
      <w:bookmarkEnd w:id="8885"/>
      <w:bookmarkEnd w:id="8886"/>
      <w:bookmarkEnd w:id="8887"/>
      <w:bookmarkEnd w:id="8888"/>
      <w:bookmarkEnd w:id="8889"/>
      <w:bookmarkEnd w:id="8890"/>
      <w:bookmarkEnd w:id="8891"/>
      <w:bookmarkEnd w:id="8892"/>
      <w:bookmarkEnd w:id="8893"/>
      <w:bookmarkEnd w:id="8894"/>
      <w:bookmarkEnd w:id="8895"/>
      <w:bookmarkEnd w:id="8896"/>
      <w:bookmarkEnd w:id="8897"/>
      <w:bookmarkEnd w:id="8898"/>
      <w:bookmarkEnd w:id="8899"/>
      <w:bookmarkEnd w:id="8900"/>
      <w:bookmarkEnd w:id="8901"/>
      <w:bookmarkEnd w:id="8902"/>
      <w:bookmarkEnd w:id="8903"/>
      <w:bookmarkEnd w:id="8904"/>
      <w:bookmarkEnd w:id="8905"/>
      <w:bookmarkEnd w:id="8906"/>
      <w:bookmarkEnd w:id="8907"/>
      <w:bookmarkEnd w:id="8908"/>
      <w:bookmarkEnd w:id="8909"/>
      <w:bookmarkEnd w:id="8910"/>
      <w:bookmarkEnd w:id="8911"/>
      <w:bookmarkEnd w:id="8912"/>
      <w:bookmarkEnd w:id="8913"/>
      <w:bookmarkEnd w:id="8914"/>
      <w:bookmarkEnd w:id="8915"/>
      <w:bookmarkEnd w:id="8916"/>
      <w:bookmarkEnd w:id="8917"/>
      <w:bookmarkEnd w:id="8918"/>
      <w:bookmarkEnd w:id="8919"/>
      <w:bookmarkEnd w:id="8920"/>
      <w:bookmarkEnd w:id="8921"/>
      <w:bookmarkEnd w:id="8922"/>
      <w:bookmarkEnd w:id="8923"/>
      <w:bookmarkEnd w:id="8924"/>
      <w:bookmarkEnd w:id="8925"/>
      <w:bookmarkEnd w:id="8926"/>
      <w:bookmarkEnd w:id="8927"/>
      <w:bookmarkEnd w:id="8928"/>
      <w:bookmarkEnd w:id="8929"/>
      <w:bookmarkEnd w:id="8930"/>
      <w:bookmarkEnd w:id="8931"/>
      <w:bookmarkEnd w:id="8932"/>
      <w:bookmarkEnd w:id="8933"/>
      <w:bookmarkEnd w:id="8934"/>
      <w:bookmarkEnd w:id="8935"/>
      <w:bookmarkEnd w:id="8936"/>
      <w:bookmarkEnd w:id="8937"/>
      <w:bookmarkEnd w:id="8938"/>
      <w:bookmarkEnd w:id="8939"/>
      <w:bookmarkEnd w:id="8940"/>
      <w:bookmarkEnd w:id="8941"/>
      <w:bookmarkEnd w:id="8942"/>
      <w:bookmarkEnd w:id="8943"/>
      <w:bookmarkEnd w:id="8944"/>
      <w:bookmarkEnd w:id="8945"/>
      <w:bookmarkEnd w:id="8946"/>
      <w:bookmarkEnd w:id="8947"/>
      <w:bookmarkEnd w:id="8948"/>
      <w:bookmarkEnd w:id="8949"/>
      <w:bookmarkEnd w:id="8950"/>
      <w:bookmarkEnd w:id="8951"/>
      <w:bookmarkEnd w:id="8952"/>
      <w:bookmarkEnd w:id="8953"/>
      <w:bookmarkEnd w:id="8954"/>
      <w:bookmarkEnd w:id="8955"/>
      <w:bookmarkEnd w:id="8956"/>
      <w:bookmarkEnd w:id="8957"/>
      <w:bookmarkEnd w:id="8958"/>
      <w:bookmarkEnd w:id="8959"/>
      <w:bookmarkEnd w:id="8960"/>
      <w:bookmarkEnd w:id="8961"/>
      <w:bookmarkEnd w:id="8962"/>
      <w:bookmarkEnd w:id="8963"/>
      <w:bookmarkEnd w:id="8964"/>
      <w:bookmarkEnd w:id="8965"/>
      <w:bookmarkEnd w:id="8966"/>
      <w:bookmarkEnd w:id="8967"/>
      <w:bookmarkEnd w:id="8968"/>
      <w:bookmarkEnd w:id="8969"/>
      <w:bookmarkEnd w:id="8970"/>
      <w:bookmarkEnd w:id="8971"/>
      <w:bookmarkEnd w:id="8972"/>
      <w:bookmarkEnd w:id="8973"/>
      <w:bookmarkEnd w:id="8974"/>
      <w:bookmarkEnd w:id="8975"/>
      <w:bookmarkEnd w:id="8976"/>
      <w:bookmarkEnd w:id="8977"/>
      <w:bookmarkEnd w:id="8978"/>
      <w:bookmarkEnd w:id="8979"/>
      <w:bookmarkEnd w:id="8980"/>
      <w:bookmarkEnd w:id="8981"/>
      <w:bookmarkEnd w:id="8982"/>
      <w:bookmarkEnd w:id="8983"/>
      <w:bookmarkEnd w:id="8984"/>
      <w:bookmarkEnd w:id="8985"/>
      <w:bookmarkEnd w:id="8986"/>
      <w:bookmarkEnd w:id="8987"/>
      <w:bookmarkEnd w:id="8988"/>
      <w:bookmarkEnd w:id="8989"/>
      <w:bookmarkEnd w:id="8990"/>
      <w:bookmarkEnd w:id="8991"/>
      <w:bookmarkEnd w:id="8992"/>
      <w:bookmarkEnd w:id="8993"/>
      <w:bookmarkEnd w:id="8994"/>
      <w:bookmarkEnd w:id="8995"/>
      <w:bookmarkEnd w:id="8996"/>
      <w:bookmarkEnd w:id="8997"/>
      <w:bookmarkEnd w:id="8998"/>
      <w:bookmarkEnd w:id="8999"/>
      <w:bookmarkEnd w:id="9000"/>
      <w:bookmarkEnd w:id="9001"/>
      <w:bookmarkEnd w:id="9002"/>
      <w:bookmarkEnd w:id="9003"/>
      <w:bookmarkEnd w:id="9004"/>
      <w:bookmarkEnd w:id="9005"/>
      <w:bookmarkEnd w:id="9006"/>
      <w:bookmarkEnd w:id="9007"/>
      <w:bookmarkEnd w:id="9008"/>
      <w:bookmarkEnd w:id="9009"/>
      <w:bookmarkEnd w:id="9010"/>
      <w:bookmarkEnd w:id="9011"/>
      <w:bookmarkEnd w:id="9012"/>
      <w:bookmarkEnd w:id="9013"/>
      <w:bookmarkEnd w:id="9014"/>
      <w:bookmarkEnd w:id="9015"/>
      <w:bookmarkEnd w:id="9016"/>
      <w:bookmarkEnd w:id="9017"/>
      <w:bookmarkEnd w:id="9018"/>
      <w:bookmarkEnd w:id="9019"/>
      <w:bookmarkEnd w:id="9020"/>
      <w:bookmarkEnd w:id="9021"/>
      <w:bookmarkEnd w:id="9022"/>
      <w:bookmarkEnd w:id="9023"/>
      <w:bookmarkEnd w:id="9024"/>
      <w:bookmarkEnd w:id="9025"/>
      <w:bookmarkEnd w:id="9026"/>
      <w:bookmarkEnd w:id="9027"/>
      <w:bookmarkEnd w:id="9028"/>
      <w:bookmarkEnd w:id="9029"/>
      <w:bookmarkEnd w:id="9030"/>
      <w:bookmarkEnd w:id="9031"/>
      <w:bookmarkEnd w:id="9032"/>
      <w:bookmarkEnd w:id="9033"/>
      <w:bookmarkEnd w:id="9034"/>
      <w:bookmarkEnd w:id="9035"/>
      <w:bookmarkEnd w:id="9036"/>
      <w:bookmarkEnd w:id="9037"/>
      <w:bookmarkEnd w:id="9038"/>
      <w:bookmarkEnd w:id="9039"/>
      <w:bookmarkEnd w:id="9040"/>
      <w:bookmarkEnd w:id="9041"/>
      <w:bookmarkEnd w:id="9042"/>
      <w:bookmarkEnd w:id="9043"/>
      <w:bookmarkEnd w:id="9044"/>
      <w:bookmarkEnd w:id="9045"/>
      <w:bookmarkEnd w:id="9046"/>
      <w:bookmarkEnd w:id="9047"/>
      <w:bookmarkEnd w:id="9048"/>
      <w:bookmarkEnd w:id="9049"/>
      <w:bookmarkEnd w:id="9050"/>
      <w:bookmarkEnd w:id="9051"/>
      <w:bookmarkEnd w:id="9052"/>
      <w:bookmarkEnd w:id="9053"/>
      <w:bookmarkEnd w:id="9054"/>
      <w:bookmarkEnd w:id="9055"/>
      <w:bookmarkEnd w:id="9056"/>
      <w:bookmarkEnd w:id="9057"/>
      <w:bookmarkEnd w:id="9058"/>
      <w:bookmarkEnd w:id="9059"/>
      <w:bookmarkEnd w:id="9060"/>
      <w:bookmarkEnd w:id="9061"/>
      <w:bookmarkEnd w:id="9062"/>
      <w:bookmarkEnd w:id="9063"/>
      <w:bookmarkEnd w:id="9064"/>
      <w:bookmarkEnd w:id="9065"/>
      <w:bookmarkEnd w:id="9066"/>
      <w:bookmarkEnd w:id="9067"/>
      <w:bookmarkEnd w:id="9068"/>
      <w:bookmarkEnd w:id="9069"/>
      <w:bookmarkEnd w:id="9070"/>
      <w:bookmarkEnd w:id="9071"/>
      <w:bookmarkEnd w:id="9072"/>
      <w:bookmarkEnd w:id="9073"/>
      <w:bookmarkEnd w:id="9074"/>
      <w:bookmarkEnd w:id="9075"/>
      <w:bookmarkEnd w:id="9076"/>
      <w:bookmarkEnd w:id="9077"/>
      <w:bookmarkEnd w:id="9078"/>
      <w:bookmarkEnd w:id="9079"/>
      <w:bookmarkEnd w:id="9080"/>
      <w:bookmarkEnd w:id="9081"/>
      <w:bookmarkEnd w:id="9082"/>
      <w:bookmarkEnd w:id="9083"/>
      <w:bookmarkEnd w:id="9084"/>
      <w:bookmarkEnd w:id="9085"/>
      <w:bookmarkEnd w:id="9086"/>
      <w:bookmarkEnd w:id="9087"/>
      <w:bookmarkEnd w:id="9088"/>
      <w:bookmarkEnd w:id="9089"/>
      <w:bookmarkEnd w:id="9090"/>
      <w:bookmarkEnd w:id="9091"/>
      <w:bookmarkEnd w:id="9092"/>
      <w:bookmarkEnd w:id="9093"/>
      <w:bookmarkEnd w:id="9094"/>
      <w:bookmarkEnd w:id="9095"/>
      <w:bookmarkEnd w:id="9096"/>
      <w:bookmarkEnd w:id="9097"/>
      <w:bookmarkEnd w:id="9098"/>
      <w:bookmarkEnd w:id="9099"/>
      <w:bookmarkEnd w:id="9100"/>
      <w:bookmarkEnd w:id="9101"/>
      <w:bookmarkEnd w:id="9102"/>
      <w:bookmarkEnd w:id="9103"/>
      <w:bookmarkEnd w:id="9104"/>
      <w:bookmarkEnd w:id="9105"/>
      <w:bookmarkEnd w:id="9106"/>
      <w:bookmarkEnd w:id="9107"/>
      <w:bookmarkEnd w:id="9108"/>
      <w:bookmarkEnd w:id="9109"/>
      <w:bookmarkEnd w:id="9110"/>
      <w:bookmarkEnd w:id="9111"/>
      <w:bookmarkEnd w:id="9112"/>
      <w:bookmarkEnd w:id="9113"/>
      <w:bookmarkEnd w:id="9114"/>
      <w:bookmarkEnd w:id="9115"/>
      <w:bookmarkEnd w:id="9116"/>
      <w:bookmarkEnd w:id="9117"/>
      <w:bookmarkEnd w:id="9118"/>
      <w:bookmarkEnd w:id="9119"/>
      <w:bookmarkEnd w:id="9120"/>
      <w:bookmarkEnd w:id="9121"/>
      <w:bookmarkEnd w:id="9122"/>
      <w:bookmarkEnd w:id="9123"/>
      <w:bookmarkEnd w:id="9124"/>
      <w:bookmarkEnd w:id="9125"/>
      <w:bookmarkEnd w:id="9126"/>
      <w:bookmarkEnd w:id="9127"/>
      <w:bookmarkEnd w:id="9128"/>
      <w:bookmarkEnd w:id="9129"/>
      <w:bookmarkEnd w:id="9130"/>
      <w:bookmarkEnd w:id="9131"/>
      <w:bookmarkEnd w:id="9132"/>
      <w:bookmarkEnd w:id="9133"/>
      <w:bookmarkEnd w:id="9134"/>
      <w:bookmarkEnd w:id="9135"/>
      <w:bookmarkEnd w:id="9136"/>
      <w:bookmarkEnd w:id="9137"/>
      <w:bookmarkEnd w:id="9138"/>
      <w:bookmarkEnd w:id="9139"/>
      <w:bookmarkEnd w:id="9140"/>
      <w:bookmarkEnd w:id="9141"/>
      <w:bookmarkEnd w:id="9142"/>
      <w:bookmarkEnd w:id="9143"/>
      <w:bookmarkEnd w:id="9144"/>
      <w:bookmarkEnd w:id="9145"/>
      <w:bookmarkEnd w:id="9146"/>
      <w:bookmarkEnd w:id="9147"/>
      <w:bookmarkEnd w:id="9148"/>
      <w:bookmarkEnd w:id="9149"/>
      <w:bookmarkEnd w:id="9150"/>
      <w:bookmarkEnd w:id="9151"/>
      <w:bookmarkEnd w:id="9152"/>
      <w:bookmarkEnd w:id="9153"/>
      <w:bookmarkEnd w:id="9154"/>
      <w:bookmarkEnd w:id="9155"/>
      <w:bookmarkEnd w:id="9156"/>
      <w:bookmarkEnd w:id="9157"/>
      <w:bookmarkEnd w:id="9158"/>
      <w:bookmarkEnd w:id="9159"/>
      <w:bookmarkEnd w:id="9160"/>
      <w:bookmarkEnd w:id="9161"/>
      <w:bookmarkEnd w:id="9162"/>
      <w:bookmarkEnd w:id="9163"/>
      <w:bookmarkEnd w:id="9164"/>
      <w:bookmarkEnd w:id="9165"/>
      <w:bookmarkEnd w:id="9166"/>
      <w:bookmarkEnd w:id="9167"/>
      <w:bookmarkEnd w:id="9168"/>
      <w:bookmarkEnd w:id="9169"/>
      <w:bookmarkEnd w:id="9170"/>
      <w:bookmarkEnd w:id="9171"/>
      <w:bookmarkEnd w:id="9172"/>
      <w:bookmarkEnd w:id="9173"/>
      <w:bookmarkEnd w:id="9174"/>
      <w:bookmarkEnd w:id="9175"/>
      <w:bookmarkEnd w:id="9176"/>
      <w:bookmarkEnd w:id="9177"/>
      <w:bookmarkEnd w:id="9178"/>
      <w:bookmarkEnd w:id="9179"/>
      <w:bookmarkEnd w:id="9180"/>
      <w:bookmarkEnd w:id="9181"/>
      <w:bookmarkEnd w:id="9182"/>
      <w:bookmarkEnd w:id="9183"/>
      <w:bookmarkEnd w:id="9184"/>
      <w:bookmarkEnd w:id="9185"/>
      <w:bookmarkEnd w:id="9186"/>
      <w:bookmarkEnd w:id="9187"/>
      <w:bookmarkEnd w:id="9188"/>
      <w:bookmarkEnd w:id="9189"/>
      <w:bookmarkEnd w:id="9190"/>
      <w:bookmarkEnd w:id="9191"/>
      <w:bookmarkEnd w:id="9192"/>
      <w:bookmarkEnd w:id="9193"/>
      <w:bookmarkEnd w:id="9194"/>
      <w:bookmarkEnd w:id="9195"/>
      <w:bookmarkEnd w:id="9196"/>
      <w:bookmarkEnd w:id="9197"/>
      <w:bookmarkEnd w:id="9198"/>
      <w:bookmarkEnd w:id="9199"/>
      <w:bookmarkEnd w:id="9200"/>
      <w:bookmarkEnd w:id="9201"/>
      <w:bookmarkEnd w:id="9202"/>
      <w:bookmarkEnd w:id="9203"/>
      <w:bookmarkEnd w:id="9204"/>
      <w:bookmarkEnd w:id="9205"/>
      <w:bookmarkEnd w:id="9206"/>
      <w:bookmarkEnd w:id="9207"/>
      <w:bookmarkEnd w:id="9208"/>
      <w:bookmarkEnd w:id="9209"/>
      <w:bookmarkEnd w:id="9210"/>
      <w:bookmarkEnd w:id="9211"/>
      <w:bookmarkEnd w:id="9212"/>
      <w:bookmarkEnd w:id="9213"/>
      <w:bookmarkEnd w:id="9214"/>
      <w:bookmarkEnd w:id="9215"/>
      <w:bookmarkEnd w:id="9216"/>
      <w:bookmarkEnd w:id="9217"/>
      <w:bookmarkEnd w:id="9218"/>
      <w:bookmarkEnd w:id="9219"/>
      <w:bookmarkEnd w:id="9220"/>
      <w:bookmarkEnd w:id="9221"/>
      <w:bookmarkEnd w:id="9222"/>
      <w:bookmarkEnd w:id="9223"/>
      <w:bookmarkEnd w:id="9224"/>
      <w:bookmarkEnd w:id="9225"/>
      <w:bookmarkEnd w:id="9226"/>
      <w:bookmarkEnd w:id="9227"/>
      <w:bookmarkEnd w:id="9228"/>
      <w:bookmarkEnd w:id="9229"/>
      <w:bookmarkEnd w:id="9230"/>
      <w:bookmarkEnd w:id="9231"/>
      <w:bookmarkEnd w:id="9232"/>
      <w:bookmarkEnd w:id="9233"/>
      <w:bookmarkEnd w:id="9234"/>
      <w:bookmarkEnd w:id="9235"/>
      <w:bookmarkEnd w:id="9236"/>
      <w:bookmarkEnd w:id="9237"/>
      <w:bookmarkEnd w:id="9238"/>
      <w:bookmarkEnd w:id="9239"/>
      <w:bookmarkEnd w:id="9240"/>
      <w:bookmarkEnd w:id="9241"/>
      <w:bookmarkEnd w:id="9242"/>
      <w:bookmarkEnd w:id="9243"/>
      <w:bookmarkEnd w:id="9244"/>
      <w:bookmarkEnd w:id="9245"/>
      <w:bookmarkEnd w:id="9246"/>
      <w:bookmarkEnd w:id="9247"/>
      <w:bookmarkEnd w:id="9248"/>
      <w:bookmarkEnd w:id="9249"/>
      <w:bookmarkEnd w:id="9250"/>
      <w:bookmarkEnd w:id="9251"/>
      <w:bookmarkEnd w:id="9252"/>
      <w:bookmarkEnd w:id="9253"/>
      <w:bookmarkEnd w:id="9254"/>
      <w:bookmarkEnd w:id="9255"/>
      <w:bookmarkEnd w:id="9256"/>
      <w:bookmarkEnd w:id="9257"/>
      <w:bookmarkEnd w:id="9258"/>
      <w:bookmarkEnd w:id="9259"/>
      <w:bookmarkEnd w:id="9260"/>
      <w:bookmarkEnd w:id="9261"/>
      <w:bookmarkEnd w:id="9262"/>
      <w:bookmarkEnd w:id="9263"/>
      <w:bookmarkEnd w:id="9264"/>
      <w:r w:rsidRPr="00E05E29">
        <w:t>Precast floors and roof diaphragms. Rules for ductility classes DC1, DC2 and DC3</w:t>
      </w:r>
      <w:bookmarkEnd w:id="9265"/>
      <w:bookmarkEnd w:id="9266"/>
      <w:bookmarkEnd w:id="9267"/>
      <w:bookmarkEnd w:id="9268"/>
      <w:bookmarkEnd w:id="9269"/>
      <w:bookmarkEnd w:id="9270"/>
    </w:p>
    <w:p w14:paraId="3BF92533" w14:textId="5A03119A" w:rsidR="00354F2E" w:rsidRPr="00E05E29" w:rsidRDefault="00354F2E" w:rsidP="0080187E">
      <w:pPr>
        <w:pStyle w:val="Clause"/>
        <w:numPr>
          <w:ilvl w:val="0"/>
          <w:numId w:val="355"/>
        </w:numPr>
      </w:pPr>
      <w:r w:rsidRPr="00E05E29">
        <w:t>Precast concrete floors and roof diaphragms should not be dissipative components of the structure.</w:t>
      </w:r>
    </w:p>
    <w:p w14:paraId="6014FA4E" w14:textId="77777777" w:rsidR="00354F2E" w:rsidRPr="00E05E29" w:rsidRDefault="00354F2E" w:rsidP="00BE55BD">
      <w:pPr>
        <w:pStyle w:val="Notetext"/>
      </w:pPr>
      <w:r w:rsidRPr="00E05E29">
        <w:t>NOTE</w:t>
      </w:r>
      <w:r w:rsidRPr="00E05E29">
        <w:tab/>
        <w:t>Possible ways to achieve a diaphragm effect with precast floor members are: by a concrete topping cast in place over precast members and connected to peripheral tie-beams: by connecting wide precast floor members to peripheral beams in such a way that the precast members act as fixed beams in a horizontal frame; by floor to floor joints between precast beam or slab members which are connected to peripheral beams; by precast slabs or beams simply connected to peripheral moment resisting frames.</w:t>
      </w:r>
    </w:p>
    <w:p w14:paraId="1FD367F1" w14:textId="42C71B9C" w:rsidR="00354F2E" w:rsidRPr="00E05E29" w:rsidRDefault="00354F2E" w:rsidP="00724E4E">
      <w:pPr>
        <w:pStyle w:val="Clause"/>
      </w:pPr>
      <w:r w:rsidRPr="00E05E29">
        <w:t>Rigid diaphragms or flexible diaphragms may be used.</w:t>
      </w:r>
    </w:p>
    <w:p w14:paraId="0C4747B8" w14:textId="2466E88E" w:rsidR="00354F2E" w:rsidRPr="00E05E29" w:rsidRDefault="00354F2E" w:rsidP="00354F2E">
      <w:pPr>
        <w:pStyle w:val="Heading2"/>
      </w:pPr>
      <w:bookmarkStart w:id="9271" w:name="_Toc17934231"/>
      <w:bookmarkStart w:id="9272" w:name="_Toc50150407"/>
      <w:bookmarkStart w:id="9273" w:name="_Toc70886839"/>
      <w:bookmarkStart w:id="9274" w:name="_Toc108342396"/>
      <w:bookmarkStart w:id="9275" w:name="_Toc134197928"/>
      <w:r w:rsidRPr="00E05E29">
        <w:lastRenderedPageBreak/>
        <w:t>Design and detailing of foundations</w:t>
      </w:r>
      <w:bookmarkEnd w:id="9271"/>
      <w:bookmarkEnd w:id="9272"/>
      <w:bookmarkEnd w:id="9273"/>
      <w:bookmarkEnd w:id="9274"/>
      <w:bookmarkEnd w:id="9275"/>
    </w:p>
    <w:p w14:paraId="2597160B" w14:textId="55DF79D2" w:rsidR="00354F2E" w:rsidRDefault="00354F2E" w:rsidP="0080187E">
      <w:pPr>
        <w:pStyle w:val="Clause"/>
        <w:numPr>
          <w:ilvl w:val="0"/>
          <w:numId w:val="356"/>
        </w:numPr>
      </w:pPr>
      <w:r w:rsidRPr="00E05E29">
        <w:t xml:space="preserve">The foundation members should be designed according to </w:t>
      </w:r>
      <w:r>
        <w:t>prEN</w:t>
      </w:r>
      <w:r w:rsidR="00E51323">
        <w:t> </w:t>
      </w:r>
      <w:r w:rsidRPr="00E51323">
        <w:t xml:space="preserve">1998-5:2022, </w:t>
      </w:r>
      <w:r w:rsidR="006633B5">
        <w:t xml:space="preserve">Clause </w:t>
      </w:r>
      <w:r w:rsidRPr="00E51323">
        <w:t>9.</w:t>
      </w:r>
    </w:p>
    <w:p w14:paraId="2792B172" w14:textId="32BC0F1F" w:rsidR="000B46D9" w:rsidRPr="00584B52" w:rsidRDefault="00584B52" w:rsidP="00584B52">
      <w:pPr>
        <w:pStyle w:val="Heading1"/>
      </w:pPr>
      <w:bookmarkStart w:id="9276" w:name="_Toc18314093"/>
      <w:bookmarkStart w:id="9277" w:name="_Toc50150408"/>
      <w:bookmarkStart w:id="9278" w:name="_Toc70886840"/>
      <w:bookmarkStart w:id="9279" w:name="_Toc108342397"/>
      <w:bookmarkStart w:id="9280" w:name="_Toc134197929"/>
      <w:r>
        <w:t>S</w:t>
      </w:r>
      <w:r w:rsidRPr="00584B52">
        <w:t>pecific rules for steel buildings</w:t>
      </w:r>
      <w:bookmarkEnd w:id="9276"/>
      <w:bookmarkEnd w:id="9277"/>
      <w:bookmarkEnd w:id="9278"/>
      <w:bookmarkEnd w:id="9279"/>
      <w:bookmarkEnd w:id="9280"/>
    </w:p>
    <w:p w14:paraId="41AE1EBB" w14:textId="77777777" w:rsidR="000B46D9" w:rsidRPr="00B74D09" w:rsidRDefault="000B46D9" w:rsidP="000B46D9">
      <w:pPr>
        <w:pStyle w:val="Heading2"/>
        <w:rPr>
          <w:color w:val="000000" w:themeColor="text1"/>
        </w:rPr>
      </w:pPr>
      <w:bookmarkStart w:id="9281" w:name="_Toc108342398"/>
      <w:bookmarkStart w:id="9282" w:name="_Toc134197930"/>
      <w:r w:rsidRPr="00B74D09">
        <w:rPr>
          <w:color w:val="000000" w:themeColor="text1"/>
        </w:rPr>
        <w:t>General</w:t>
      </w:r>
      <w:bookmarkEnd w:id="9281"/>
      <w:bookmarkEnd w:id="9282"/>
    </w:p>
    <w:p w14:paraId="4FDDCE3D" w14:textId="5157C7A0" w:rsidR="000B46D9" w:rsidRPr="00E51323" w:rsidRDefault="00460A67" w:rsidP="0080187E">
      <w:pPr>
        <w:pStyle w:val="Clause"/>
        <w:numPr>
          <w:ilvl w:val="0"/>
          <w:numId w:val="357"/>
        </w:numPr>
        <w:rPr>
          <w:bCs/>
        </w:rPr>
      </w:pPr>
      <w:r>
        <w:rPr>
          <w:bCs/>
        </w:rPr>
        <w:t xml:space="preserve">Clause </w:t>
      </w:r>
      <w:r w:rsidR="000B46D9" w:rsidRPr="00E51323">
        <w:rPr>
          <w:bCs/>
        </w:rPr>
        <w:t>11 should be applied to the design and the verification of steel buildings, in seismic regions.</w:t>
      </w:r>
    </w:p>
    <w:p w14:paraId="0B3DDFFE" w14:textId="5CDDB069" w:rsidR="000B46D9" w:rsidRPr="00E05E29" w:rsidRDefault="00460A67" w:rsidP="00724E4E">
      <w:pPr>
        <w:pStyle w:val="Clause"/>
      </w:pPr>
      <w:r>
        <w:rPr>
          <w:bCs/>
        </w:rPr>
        <w:t xml:space="preserve">Clause </w:t>
      </w:r>
      <w:r w:rsidR="000B46D9" w:rsidRPr="00E51323">
        <w:rPr>
          <w:bCs/>
        </w:rPr>
        <w:t>11 should be applied as</w:t>
      </w:r>
      <w:r w:rsidR="000B46D9" w:rsidRPr="00E05E29">
        <w:t xml:space="preserve"> a complement to </w:t>
      </w:r>
      <w:r w:rsidR="000B46D9" w:rsidRPr="003A443F">
        <w:t>EN</w:t>
      </w:r>
      <w:r w:rsidR="00E51323">
        <w:t> </w:t>
      </w:r>
      <w:r w:rsidR="000B46D9" w:rsidRPr="003A443F">
        <w:t>1993-1-1</w:t>
      </w:r>
      <w:r w:rsidR="000B46D9" w:rsidRPr="00E05E29">
        <w:t>.</w:t>
      </w:r>
    </w:p>
    <w:p w14:paraId="5FC6C0FA" w14:textId="2E53EC13" w:rsidR="000B46D9" w:rsidRPr="00E05E29" w:rsidRDefault="000B46D9" w:rsidP="000B46D9">
      <w:pPr>
        <w:pStyle w:val="Heading2"/>
      </w:pPr>
      <w:bookmarkStart w:id="9283" w:name="_Toc18314095"/>
      <w:bookmarkStart w:id="9284" w:name="_Toc50150410"/>
      <w:bookmarkStart w:id="9285" w:name="_Toc70886842"/>
      <w:bookmarkStart w:id="9286" w:name="_Toc108342399"/>
      <w:bookmarkStart w:id="9287" w:name="_Toc134197931"/>
      <w:r w:rsidRPr="00E05E29">
        <w:t>Basis of Design</w:t>
      </w:r>
      <w:bookmarkEnd w:id="9283"/>
      <w:bookmarkEnd w:id="9284"/>
      <w:bookmarkEnd w:id="9285"/>
      <w:bookmarkEnd w:id="9286"/>
      <w:bookmarkEnd w:id="9287"/>
    </w:p>
    <w:p w14:paraId="66E62F61" w14:textId="77777777" w:rsidR="000B46D9" w:rsidRPr="00FB236A" w:rsidRDefault="000B46D9" w:rsidP="000B46D9">
      <w:pPr>
        <w:pStyle w:val="Heading3"/>
      </w:pPr>
      <w:bookmarkStart w:id="9288" w:name="_Toc108342400"/>
      <w:bookmarkStart w:id="9289" w:name="_Toc134197932"/>
      <w:r w:rsidRPr="00FB236A">
        <w:t>Ductility classes</w:t>
      </w:r>
      <w:bookmarkEnd w:id="9288"/>
      <w:bookmarkEnd w:id="9289"/>
    </w:p>
    <w:p w14:paraId="05330A0A" w14:textId="5263465B" w:rsidR="000B46D9" w:rsidRPr="00E51323" w:rsidRDefault="000B46D9" w:rsidP="0080187E">
      <w:pPr>
        <w:pStyle w:val="Clause"/>
        <w:numPr>
          <w:ilvl w:val="0"/>
          <w:numId w:val="358"/>
        </w:numPr>
        <w:rPr>
          <w:bCs/>
        </w:rPr>
      </w:pPr>
      <w:r w:rsidRPr="00584B52">
        <w:t>Earthquake resistant steel buildings should be designed in one of the Ductility Classes introduced in prEN</w:t>
      </w:r>
      <w:r w:rsidR="00E51323">
        <w:t> </w:t>
      </w:r>
      <w:r w:rsidRPr="00584B52">
        <w:t>1998-1-1:20</w:t>
      </w:r>
      <w:r w:rsidR="00DA4A3E">
        <w:t>22</w:t>
      </w:r>
      <w:r w:rsidRPr="00584B52">
        <w:t xml:space="preserve">, </w:t>
      </w:r>
      <w:r w:rsidRPr="00E51323">
        <w:rPr>
          <w:bCs/>
        </w:rPr>
        <w:t>4.5.2(3), and 4.5.2(7) (see Table 11.1), according to their dissipation capacity</w:t>
      </w:r>
      <w:r w:rsidR="00E51323">
        <w:rPr>
          <w:bCs/>
        </w:rPr>
        <w:t xml:space="preserve">, i.e. </w:t>
      </w:r>
      <w:r w:rsidRPr="00E51323">
        <w:rPr>
          <w:bCs/>
        </w:rPr>
        <w:t>DC1</w:t>
      </w:r>
      <w:r w:rsidR="00E51323">
        <w:rPr>
          <w:bCs/>
        </w:rPr>
        <w:t xml:space="preserve"> for l</w:t>
      </w:r>
      <w:r w:rsidRPr="00E51323">
        <w:rPr>
          <w:bCs/>
        </w:rPr>
        <w:t>ow-dissipative structural behaviour</w:t>
      </w:r>
      <w:r w:rsidR="00E51323">
        <w:t xml:space="preserve"> and </w:t>
      </w:r>
      <w:r w:rsidRPr="007E6F67">
        <w:t xml:space="preserve">DC2 </w:t>
      </w:r>
      <w:r w:rsidR="00E51323">
        <w:t>or</w:t>
      </w:r>
      <w:r w:rsidRPr="007E6F67">
        <w:t xml:space="preserve"> </w:t>
      </w:r>
      <w:r w:rsidRPr="00FD17CF">
        <w:t>DC3</w:t>
      </w:r>
      <w:r w:rsidR="00E51323">
        <w:t xml:space="preserve"> for d</w:t>
      </w:r>
      <w:r w:rsidRPr="00FD17CF">
        <w:t>issipative structural behaviour.</w:t>
      </w:r>
    </w:p>
    <w:p w14:paraId="1214D4F6" w14:textId="6664C8BC" w:rsidR="000B46D9" w:rsidRPr="00D1484A" w:rsidRDefault="000B46D9" w:rsidP="00584B52">
      <w:pPr>
        <w:pStyle w:val="Tabletitle"/>
      </w:pPr>
      <w:bookmarkStart w:id="9290" w:name="_Ref523296382"/>
      <w:bookmarkStart w:id="9291" w:name="_Ref18489084"/>
      <w:r w:rsidRPr="00E05E29">
        <w:t xml:space="preserve">Table </w:t>
      </w:r>
      <w:r w:rsidR="00584B52">
        <w:t>11</w:t>
      </w:r>
      <w:r w:rsidRPr="00132C1E">
        <w:t>.</w:t>
      </w:r>
      <w:bookmarkEnd w:id="9290"/>
      <w:bookmarkEnd w:id="9291"/>
      <w:r w:rsidR="00584B52">
        <w:t>1</w:t>
      </w:r>
      <w:r w:rsidRPr="00132C1E">
        <w:t xml:space="preserve"> — Structural ductility classes and upper limit reference values </w:t>
      </w:r>
      <w:r w:rsidR="00E51323">
        <w:br/>
      </w:r>
      <w:r w:rsidRPr="00132C1E">
        <w:t>of the behaviour factors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11"/>
        <w:gridCol w:w="3442"/>
      </w:tblGrid>
      <w:tr w:rsidR="000B46D9" w:rsidRPr="00584B52" w14:paraId="668EA4BD" w14:textId="77777777" w:rsidTr="00584B52">
        <w:trPr>
          <w:jc w:val="center"/>
        </w:trPr>
        <w:tc>
          <w:tcPr>
            <w:tcW w:w="2211" w:type="dxa"/>
            <w:tcBorders>
              <w:top w:val="single" w:sz="4" w:space="0" w:color="auto"/>
              <w:left w:val="single" w:sz="4" w:space="0" w:color="auto"/>
              <w:bottom w:val="single" w:sz="4" w:space="0" w:color="auto"/>
              <w:right w:val="single" w:sz="4" w:space="0" w:color="auto"/>
            </w:tcBorders>
            <w:vAlign w:val="center"/>
          </w:tcPr>
          <w:p w14:paraId="443AA51A" w14:textId="77777777" w:rsidR="000B46D9" w:rsidRPr="00E51323" w:rsidRDefault="000B46D9" w:rsidP="002061E5">
            <w:pPr>
              <w:spacing w:before="120"/>
              <w:jc w:val="center"/>
              <w:rPr>
                <w:b/>
                <w:bCs/>
              </w:rPr>
            </w:pPr>
            <w:r w:rsidRPr="00E51323">
              <w:rPr>
                <w:b/>
                <w:bCs/>
              </w:rPr>
              <w:t>Structural ductility class</w:t>
            </w:r>
          </w:p>
        </w:tc>
        <w:tc>
          <w:tcPr>
            <w:tcW w:w="3442" w:type="dxa"/>
            <w:tcBorders>
              <w:top w:val="single" w:sz="4" w:space="0" w:color="auto"/>
              <w:left w:val="single" w:sz="4" w:space="0" w:color="auto"/>
              <w:bottom w:val="single" w:sz="4" w:space="0" w:color="auto"/>
              <w:right w:val="single" w:sz="4" w:space="0" w:color="auto"/>
            </w:tcBorders>
            <w:vAlign w:val="center"/>
          </w:tcPr>
          <w:p w14:paraId="18DCB814" w14:textId="77777777" w:rsidR="000B46D9" w:rsidRPr="00E51323" w:rsidRDefault="000B46D9" w:rsidP="002061E5">
            <w:pPr>
              <w:spacing w:before="120"/>
              <w:jc w:val="center"/>
              <w:rPr>
                <w:b/>
                <w:bCs/>
                <w:vertAlign w:val="subscript"/>
              </w:rPr>
            </w:pPr>
            <w:r w:rsidRPr="00E51323">
              <w:rPr>
                <w:b/>
                <w:bCs/>
              </w:rPr>
              <w:t xml:space="preserve">Range of the reference values of the behaviour factor </w:t>
            </w:r>
            <w:r w:rsidRPr="00E51323">
              <w:rPr>
                <w:b/>
                <w:bCs/>
                <w:i/>
              </w:rPr>
              <w:t>q</w:t>
            </w:r>
          </w:p>
        </w:tc>
      </w:tr>
      <w:tr w:rsidR="000B46D9" w:rsidRPr="00584B52" w14:paraId="6E6517AB" w14:textId="77777777" w:rsidTr="00584B52">
        <w:trPr>
          <w:trHeight w:val="626"/>
          <w:jc w:val="center"/>
        </w:trPr>
        <w:tc>
          <w:tcPr>
            <w:tcW w:w="2211" w:type="dxa"/>
            <w:tcBorders>
              <w:top w:val="single" w:sz="4" w:space="0" w:color="auto"/>
              <w:left w:val="single" w:sz="4" w:space="0" w:color="auto"/>
              <w:right w:val="single" w:sz="4" w:space="0" w:color="auto"/>
            </w:tcBorders>
            <w:vAlign w:val="center"/>
          </w:tcPr>
          <w:p w14:paraId="0952DFD3" w14:textId="77777777" w:rsidR="000B46D9" w:rsidRPr="00584B52" w:rsidRDefault="000B46D9" w:rsidP="002061E5">
            <w:pPr>
              <w:spacing w:before="120"/>
              <w:jc w:val="center"/>
            </w:pPr>
            <w:r w:rsidRPr="00584B52">
              <w:t xml:space="preserve">DC1 </w:t>
            </w:r>
          </w:p>
        </w:tc>
        <w:tc>
          <w:tcPr>
            <w:tcW w:w="3442" w:type="dxa"/>
            <w:tcBorders>
              <w:top w:val="single" w:sz="4" w:space="0" w:color="auto"/>
              <w:left w:val="single" w:sz="4" w:space="0" w:color="auto"/>
              <w:right w:val="single" w:sz="4" w:space="0" w:color="auto"/>
            </w:tcBorders>
            <w:vAlign w:val="center"/>
          </w:tcPr>
          <w:p w14:paraId="4B614A1D" w14:textId="1D6D5292" w:rsidR="000B46D9" w:rsidRPr="00584B52" w:rsidRDefault="000B46D9" w:rsidP="002061E5">
            <w:pPr>
              <w:spacing w:before="120"/>
              <w:jc w:val="center"/>
              <w:rPr>
                <w:strike/>
              </w:rPr>
            </w:pPr>
            <w:r w:rsidRPr="00584B52">
              <w:rPr>
                <w:i/>
                <w:iCs/>
              </w:rPr>
              <w:t>q</w:t>
            </w:r>
            <w:r w:rsidRPr="00584B52">
              <w:t xml:space="preserve"> =1,5</w:t>
            </w:r>
          </w:p>
        </w:tc>
      </w:tr>
      <w:tr w:rsidR="000B46D9" w:rsidRPr="00584B52" w14:paraId="52552A23" w14:textId="77777777" w:rsidTr="00584B52">
        <w:trPr>
          <w:jc w:val="center"/>
        </w:trPr>
        <w:tc>
          <w:tcPr>
            <w:tcW w:w="2211" w:type="dxa"/>
            <w:tcBorders>
              <w:top w:val="single" w:sz="4" w:space="0" w:color="auto"/>
              <w:left w:val="single" w:sz="4" w:space="0" w:color="auto"/>
              <w:bottom w:val="single" w:sz="4" w:space="0" w:color="auto"/>
              <w:right w:val="single" w:sz="4" w:space="0" w:color="auto"/>
            </w:tcBorders>
            <w:vAlign w:val="center"/>
          </w:tcPr>
          <w:p w14:paraId="3749F2DB" w14:textId="77777777" w:rsidR="000B46D9" w:rsidRPr="00584B52" w:rsidRDefault="000B46D9" w:rsidP="002061E5">
            <w:pPr>
              <w:spacing w:before="120"/>
              <w:jc w:val="center"/>
            </w:pPr>
            <w:r w:rsidRPr="00584B52">
              <w:t xml:space="preserve">DC2 </w:t>
            </w:r>
          </w:p>
        </w:tc>
        <w:tc>
          <w:tcPr>
            <w:tcW w:w="3442" w:type="dxa"/>
            <w:tcBorders>
              <w:top w:val="single" w:sz="4" w:space="0" w:color="auto"/>
              <w:left w:val="single" w:sz="4" w:space="0" w:color="auto"/>
              <w:bottom w:val="single" w:sz="4" w:space="0" w:color="auto"/>
              <w:right w:val="single" w:sz="4" w:space="0" w:color="auto"/>
            </w:tcBorders>
            <w:vAlign w:val="center"/>
          </w:tcPr>
          <w:p w14:paraId="2AF69F97" w14:textId="77777777" w:rsidR="000B46D9" w:rsidRPr="00584B52" w:rsidRDefault="000B46D9" w:rsidP="002061E5">
            <w:pPr>
              <w:spacing w:before="120"/>
              <w:jc w:val="center"/>
            </w:pPr>
            <w:r w:rsidRPr="00584B52">
              <w:t>1,5 </w:t>
            </w:r>
            <w:r w:rsidRPr="00584B52">
              <w:rPr>
                <w:rFonts w:ascii="Symbol" w:eastAsia="Symbol" w:hAnsi="Symbol" w:cs="Symbol"/>
              </w:rPr>
              <w:t></w:t>
            </w:r>
            <w:r w:rsidRPr="00584B52">
              <w:t> </w:t>
            </w:r>
            <w:r w:rsidRPr="00584B52">
              <w:rPr>
                <w:i/>
              </w:rPr>
              <w:t>q</w:t>
            </w:r>
            <w:r w:rsidRPr="00584B52">
              <w:t> </w:t>
            </w:r>
            <w:r w:rsidRPr="00584B52">
              <w:rPr>
                <w:rFonts w:ascii="Symbol" w:eastAsia="Symbol" w:hAnsi="Symbol" w:cs="Symbol"/>
              </w:rPr>
              <w:t></w:t>
            </w:r>
            <w:r w:rsidRPr="00584B52">
              <w:t xml:space="preserve"> 3,5</w:t>
            </w:r>
          </w:p>
        </w:tc>
      </w:tr>
      <w:tr w:rsidR="000B46D9" w:rsidRPr="00584B52" w14:paraId="5EF2BB27" w14:textId="77777777" w:rsidTr="00584B52">
        <w:trPr>
          <w:jc w:val="center"/>
        </w:trPr>
        <w:tc>
          <w:tcPr>
            <w:tcW w:w="2211" w:type="dxa"/>
            <w:tcBorders>
              <w:top w:val="single" w:sz="4" w:space="0" w:color="auto"/>
              <w:left w:val="single" w:sz="4" w:space="0" w:color="auto"/>
              <w:bottom w:val="single" w:sz="4" w:space="0" w:color="auto"/>
              <w:right w:val="single" w:sz="4" w:space="0" w:color="auto"/>
            </w:tcBorders>
            <w:vAlign w:val="center"/>
          </w:tcPr>
          <w:p w14:paraId="283E6917" w14:textId="77777777" w:rsidR="000B46D9" w:rsidRPr="00584B52" w:rsidRDefault="000B46D9" w:rsidP="002061E5">
            <w:pPr>
              <w:spacing w:before="120"/>
              <w:jc w:val="center"/>
            </w:pPr>
            <w:r w:rsidRPr="00584B52">
              <w:t xml:space="preserve">DC3 </w:t>
            </w:r>
          </w:p>
        </w:tc>
        <w:tc>
          <w:tcPr>
            <w:tcW w:w="3442" w:type="dxa"/>
            <w:tcBorders>
              <w:top w:val="single" w:sz="4" w:space="0" w:color="auto"/>
              <w:left w:val="single" w:sz="4" w:space="0" w:color="auto"/>
              <w:bottom w:val="single" w:sz="4" w:space="0" w:color="auto"/>
              <w:right w:val="single" w:sz="4" w:space="0" w:color="auto"/>
            </w:tcBorders>
            <w:vAlign w:val="center"/>
          </w:tcPr>
          <w:p w14:paraId="7D52722A" w14:textId="77777777" w:rsidR="000B46D9" w:rsidRPr="00584B52" w:rsidRDefault="000B46D9" w:rsidP="002061E5">
            <w:pPr>
              <w:spacing w:before="120"/>
              <w:jc w:val="center"/>
            </w:pPr>
            <w:r w:rsidRPr="00584B52">
              <w:t>limited by the values of Table 11.2</w:t>
            </w:r>
          </w:p>
        </w:tc>
      </w:tr>
    </w:tbl>
    <w:p w14:paraId="00517416" w14:textId="2D1D68D8" w:rsidR="000B46D9" w:rsidRPr="00E51323" w:rsidRDefault="000B46D9" w:rsidP="00724E4E">
      <w:pPr>
        <w:pStyle w:val="Clause"/>
      </w:pPr>
      <w:r w:rsidRPr="00D1484A">
        <w:t xml:space="preserve">In DC2 and DC3, the capability of parts of the structure (dissipative zones) to resist seismic action through inelastic behaviour may be taken into account with upper limit values of </w:t>
      </w:r>
      <w:r w:rsidRPr="004F74EA">
        <w:rPr>
          <w:i/>
        </w:rPr>
        <w:t>q</w:t>
      </w:r>
      <w:r w:rsidRPr="004F74EA">
        <w:rPr>
          <w:i/>
          <w:vertAlign w:val="subscript"/>
        </w:rPr>
        <w:t>D</w:t>
      </w:r>
      <w:r w:rsidRPr="007E6F67">
        <w:t xml:space="preserve"> and </w:t>
      </w:r>
      <w:r w:rsidRPr="004F74EA">
        <w:rPr>
          <w:i/>
        </w:rPr>
        <w:t>q</w:t>
      </w:r>
      <w:r w:rsidRPr="004F74EA">
        <w:rPr>
          <w:i/>
          <w:vertAlign w:val="subscript"/>
        </w:rPr>
        <w:t>R</w:t>
      </w:r>
      <w:r w:rsidRPr="007E6F67">
        <w:t xml:space="preserve"> depending on the Ductility Class and the structural type (</w:t>
      </w:r>
      <w:r w:rsidRPr="00E51323">
        <w:t>see 11.4). 11.3 to 11.6 and 11.8 to 11.18 should be satisfied.</w:t>
      </w:r>
    </w:p>
    <w:p w14:paraId="4FDF3035" w14:textId="5C4BFF8F" w:rsidR="000B46D9" w:rsidRPr="00E51323" w:rsidRDefault="000B46D9" w:rsidP="00724E4E">
      <w:pPr>
        <w:pStyle w:val="Clause"/>
      </w:pPr>
      <w:r w:rsidRPr="00E51323">
        <w:t>In DC1, 11.7 should be applied.</w:t>
      </w:r>
    </w:p>
    <w:p w14:paraId="40492E48" w14:textId="34EF3AC5" w:rsidR="000B46D9" w:rsidRPr="00C32A4C" w:rsidRDefault="000B46D9" w:rsidP="00724E4E">
      <w:pPr>
        <w:pStyle w:val="Clause"/>
      </w:pPr>
      <w:r w:rsidRPr="00E51323">
        <w:t>Design to ductility class DC1 or DC2 or DC3 should satisfy the</w:t>
      </w:r>
      <w:r w:rsidRPr="000E6245">
        <w:t xml:space="preserve"> limitations of the seismic action index </w:t>
      </w:r>
      <w:r w:rsidRPr="004F74EA">
        <w:rPr>
          <w:i/>
          <w:iCs/>
        </w:rPr>
        <w:t>S</w:t>
      </w:r>
      <w:r w:rsidRPr="004F74EA">
        <w:rPr>
          <w:vertAlign w:val="subscript"/>
        </w:rPr>
        <w:t>δ</w:t>
      </w:r>
      <w:r w:rsidRPr="000E6245">
        <w:t xml:space="preserve"> as given in 11.4.3 and the limitations of drift as given in 11.6.4.</w:t>
      </w:r>
    </w:p>
    <w:p w14:paraId="52815DE4" w14:textId="58E355BA" w:rsidR="000B46D9" w:rsidRPr="00132C1E" w:rsidRDefault="000B46D9" w:rsidP="000B46D9">
      <w:pPr>
        <w:pStyle w:val="Heading3"/>
      </w:pPr>
      <w:bookmarkStart w:id="9292" w:name="_Toc9764584"/>
      <w:bookmarkStart w:id="9293" w:name="_Toc9773224"/>
      <w:bookmarkStart w:id="9294" w:name="_Toc9764587"/>
      <w:bookmarkStart w:id="9295" w:name="_Toc9773227"/>
      <w:bookmarkStart w:id="9296" w:name="_Toc9764588"/>
      <w:bookmarkStart w:id="9297" w:name="_Toc9773228"/>
      <w:bookmarkStart w:id="9298" w:name="_Toc76379856"/>
      <w:bookmarkStart w:id="9299" w:name="_Toc494124715"/>
      <w:bookmarkEnd w:id="9292"/>
      <w:bookmarkEnd w:id="9293"/>
      <w:bookmarkEnd w:id="9294"/>
      <w:bookmarkEnd w:id="9295"/>
      <w:bookmarkEnd w:id="9296"/>
      <w:bookmarkEnd w:id="9297"/>
      <w:r w:rsidRPr="00132C1E">
        <w:t xml:space="preserve"> </w:t>
      </w:r>
      <w:bookmarkStart w:id="9300" w:name="_Toc50150412"/>
      <w:bookmarkStart w:id="9301" w:name="_Toc70886844"/>
      <w:bookmarkStart w:id="9302" w:name="_Toc108342401"/>
      <w:bookmarkStart w:id="9303" w:name="_Toc134197933"/>
      <w:r w:rsidRPr="00132C1E">
        <w:t>Safety verifications</w:t>
      </w:r>
      <w:bookmarkStart w:id="9304" w:name="_Toc522955915"/>
      <w:bookmarkStart w:id="9305" w:name="_Toc18314097"/>
      <w:bookmarkEnd w:id="9298"/>
      <w:bookmarkEnd w:id="9299"/>
      <w:bookmarkEnd w:id="9300"/>
      <w:bookmarkEnd w:id="9301"/>
      <w:bookmarkEnd w:id="9302"/>
      <w:bookmarkEnd w:id="9304"/>
      <w:bookmarkEnd w:id="9305"/>
      <w:bookmarkEnd w:id="9303"/>
    </w:p>
    <w:p w14:paraId="47FBD695" w14:textId="0D2A6408" w:rsidR="000B46D9" w:rsidRPr="00E51323" w:rsidRDefault="000B46D9" w:rsidP="0080187E">
      <w:pPr>
        <w:pStyle w:val="Clause"/>
        <w:numPr>
          <w:ilvl w:val="0"/>
          <w:numId w:val="359"/>
        </w:numPr>
      </w:pPr>
      <w:r w:rsidRPr="009507BC">
        <w:t xml:space="preserve">Partial factors </w:t>
      </w:r>
      <w:r w:rsidRPr="00F72B3A">
        <w:rPr>
          <w:rFonts w:ascii="Symbol" w:eastAsia="Symbol" w:hAnsi="Symbol" w:cs="Symbol"/>
          <w:i/>
          <w:iCs/>
        </w:rPr>
        <w:t></w:t>
      </w:r>
      <w:r w:rsidRPr="00F72B3A">
        <w:rPr>
          <w:vertAlign w:val="subscript"/>
        </w:rPr>
        <w:t>M,i</w:t>
      </w:r>
      <w:r w:rsidRPr="009507BC">
        <w:t xml:space="preserve"> should comply </w:t>
      </w:r>
      <w:r w:rsidRPr="003A443F">
        <w:t xml:space="preserve">with </w:t>
      </w:r>
      <w:r w:rsidR="00460A67">
        <w:t>EN 1993-1-1</w:t>
      </w:r>
      <w:r w:rsidRPr="003A443F">
        <w:t>:</w:t>
      </w:r>
      <w:r w:rsidRPr="00E51323">
        <w:t>20</w:t>
      </w:r>
      <w:r w:rsidR="00F32CC0">
        <w:t>22</w:t>
      </w:r>
      <w:r w:rsidRPr="00E51323">
        <w:t xml:space="preserve">, </w:t>
      </w:r>
      <w:r w:rsidR="00F32CC0">
        <w:t>8</w:t>
      </w:r>
      <w:r w:rsidRPr="00E51323">
        <w:t>.1(1).</w:t>
      </w:r>
    </w:p>
    <w:p w14:paraId="2363FB68" w14:textId="3081B240" w:rsidR="000B46D9" w:rsidRPr="00FD17CF" w:rsidRDefault="000B46D9" w:rsidP="00724E4E">
      <w:pPr>
        <w:pStyle w:val="Clause"/>
      </w:pPr>
      <w:r w:rsidRPr="00C32A4C">
        <w:t xml:space="preserve">In the </w:t>
      </w:r>
      <w:r w:rsidRPr="006D0D8D">
        <w:t xml:space="preserve">capacity design verifications in 11.8 to 11.18, the resistance at yield of dissipative members should be calculated considering the randomness material factor </w:t>
      </w:r>
      <w:r w:rsidRPr="004F74EA">
        <w:rPr>
          <w:i/>
          <w:iCs/>
        </w:rPr>
        <w:t>ω</w:t>
      </w:r>
      <w:r w:rsidRPr="004F74EA">
        <w:rPr>
          <w:vertAlign w:val="subscript"/>
        </w:rPr>
        <w:t>rm</w:t>
      </w:r>
      <w:r w:rsidRPr="006D0D8D">
        <w:t xml:space="preserve"> </w:t>
      </w:r>
      <w:r>
        <w:t xml:space="preserve">as </w:t>
      </w:r>
      <w:r w:rsidRPr="006D0D8D">
        <w:t xml:space="preserve">given in </w:t>
      </w:r>
      <w:r>
        <w:t>prEN 199</w:t>
      </w:r>
      <w:r w:rsidRPr="006D0D8D">
        <w:t>8-1-1</w:t>
      </w:r>
      <w:r>
        <w:t>:202</w:t>
      </w:r>
      <w:r w:rsidR="00F32CC0">
        <w:t>2</w:t>
      </w:r>
      <w:r w:rsidRPr="006D0D8D">
        <w:t xml:space="preserve">, </w:t>
      </w:r>
      <w:r w:rsidRPr="003A443F">
        <w:t>Table 7.1.</w:t>
      </w:r>
    </w:p>
    <w:p w14:paraId="4DB08020" w14:textId="1579540D" w:rsidR="000B46D9" w:rsidRPr="00E05E29" w:rsidRDefault="000B46D9" w:rsidP="000B46D9">
      <w:pPr>
        <w:pStyle w:val="Heading2"/>
      </w:pPr>
      <w:bookmarkStart w:id="9306" w:name="_Toc483723216"/>
      <w:bookmarkStart w:id="9307" w:name="_Toc483723551"/>
      <w:bookmarkStart w:id="9308" w:name="_Toc484520865"/>
      <w:bookmarkStart w:id="9309" w:name="_Toc509405041"/>
      <w:bookmarkStart w:id="9310" w:name="_Toc76379857"/>
      <w:bookmarkStart w:id="9311" w:name="_Toc494124716"/>
      <w:bookmarkStart w:id="9312" w:name="_Toc522955916"/>
      <w:bookmarkStart w:id="9313" w:name="_Toc18314098"/>
      <w:bookmarkStart w:id="9314" w:name="_Toc50150413"/>
      <w:bookmarkStart w:id="9315" w:name="_Toc70886845"/>
      <w:bookmarkStart w:id="9316" w:name="_Toc108342402"/>
      <w:bookmarkStart w:id="9317" w:name="_Toc134197934"/>
      <w:r w:rsidRPr="00644C3D">
        <w:t>Materials</w:t>
      </w:r>
      <w:bookmarkEnd w:id="9306"/>
      <w:bookmarkEnd w:id="9307"/>
      <w:bookmarkEnd w:id="9308"/>
      <w:bookmarkEnd w:id="9309"/>
      <w:bookmarkEnd w:id="9310"/>
      <w:bookmarkEnd w:id="9311"/>
      <w:bookmarkEnd w:id="9312"/>
      <w:bookmarkEnd w:id="9313"/>
      <w:bookmarkEnd w:id="9314"/>
      <w:bookmarkEnd w:id="9315"/>
      <w:bookmarkEnd w:id="9316"/>
      <w:bookmarkEnd w:id="9317"/>
    </w:p>
    <w:p w14:paraId="07302013" w14:textId="614D3BEC" w:rsidR="000B46D9" w:rsidRPr="00C52095" w:rsidRDefault="000B46D9" w:rsidP="0080187E">
      <w:pPr>
        <w:pStyle w:val="Clause"/>
        <w:numPr>
          <w:ilvl w:val="0"/>
          <w:numId w:val="360"/>
        </w:numPr>
      </w:pPr>
      <w:r w:rsidRPr="002144A0">
        <w:t>The material properties, such as yield strength and toughness, in the dissipative zones shall be such that plastic deformations occur</w:t>
      </w:r>
      <w:r w:rsidRPr="00C52095">
        <w:t xml:space="preserve"> where they are intended to in the design.</w:t>
      </w:r>
    </w:p>
    <w:p w14:paraId="5C4B2136" w14:textId="09CCF60E" w:rsidR="000B46D9" w:rsidRPr="00E51323" w:rsidRDefault="000B46D9" w:rsidP="00724E4E">
      <w:pPr>
        <w:pStyle w:val="Clause"/>
      </w:pPr>
      <w:r w:rsidRPr="007754C9">
        <w:lastRenderedPageBreak/>
        <w:t xml:space="preserve">If the design of dissipative zones is made using a single steel grade with a specified upper value </w:t>
      </w:r>
      <w:r w:rsidRPr="004F74EA">
        <w:rPr>
          <w:i/>
        </w:rPr>
        <w:t>f</w:t>
      </w:r>
      <w:r w:rsidRPr="004F74EA">
        <w:rPr>
          <w:vertAlign w:val="subscript"/>
        </w:rPr>
        <w:t>y,max</w:t>
      </w:r>
      <w:r w:rsidRPr="00132C1E">
        <w:t xml:space="preserve"> </w:t>
      </w:r>
      <w:r w:rsidRPr="004F74EA">
        <w:rPr>
          <w:vertAlign w:val="subscript"/>
        </w:rPr>
        <w:t xml:space="preserve">  </w:t>
      </w:r>
      <w:r w:rsidRPr="00132C1E">
        <w:t xml:space="preserve">smaller than the nominal value </w:t>
      </w:r>
      <w:r w:rsidRPr="004F74EA">
        <w:rPr>
          <w:i/>
        </w:rPr>
        <w:t>f</w:t>
      </w:r>
      <w:r w:rsidRPr="004F74EA">
        <w:rPr>
          <w:vertAlign w:val="subscript"/>
        </w:rPr>
        <w:t>y</w:t>
      </w:r>
      <w:r w:rsidRPr="00132C1E">
        <w:t xml:space="preserve"> of the steel grades specified for non-dissipative zones, factor, </w:t>
      </w:r>
      <w:r w:rsidRPr="004F74EA">
        <w:rPr>
          <w:i/>
        </w:rPr>
        <w:t>ω</w:t>
      </w:r>
      <w:r w:rsidRPr="004F74EA">
        <w:rPr>
          <w:vertAlign w:val="subscript"/>
        </w:rPr>
        <w:t>rm</w:t>
      </w:r>
      <w:r w:rsidRPr="00132C1E">
        <w:t xml:space="preserve"> may be taken as being 1,00 in the verifications of non-dissipative </w:t>
      </w:r>
      <w:r w:rsidRPr="00E51323">
        <w:t>zones defined in 11.8 to 11.18.</w:t>
      </w:r>
    </w:p>
    <w:p w14:paraId="49460A2E" w14:textId="0470CF86" w:rsidR="000B46D9" w:rsidRPr="00E51323" w:rsidRDefault="000B46D9" w:rsidP="002F274D">
      <w:pPr>
        <w:pStyle w:val="Notetext"/>
      </w:pPr>
      <w:r w:rsidRPr="00E51323">
        <w:t>NOTE</w:t>
      </w:r>
      <w:r w:rsidRPr="00E51323">
        <w:tab/>
        <w:t xml:space="preserve">The actual value of </w:t>
      </w:r>
      <w:r w:rsidRPr="00E51323">
        <w:rPr>
          <w:i/>
        </w:rPr>
        <w:t>ω</w:t>
      </w:r>
      <w:r w:rsidRPr="00E51323">
        <w:rPr>
          <w:vertAlign w:val="subscript"/>
        </w:rPr>
        <w:t>rm</w:t>
      </w:r>
      <w:r w:rsidRPr="00E51323">
        <w:t xml:space="preserve"> is greater than 1,00. (2) is a simplification provided that the material properties of dissipative and non-dissipative zones are consistently checked.</w:t>
      </w:r>
    </w:p>
    <w:p w14:paraId="1F016054" w14:textId="76D603C5" w:rsidR="000B46D9" w:rsidRPr="00E51323" w:rsidRDefault="000B46D9" w:rsidP="00724E4E">
      <w:pPr>
        <w:pStyle w:val="Clause"/>
      </w:pPr>
      <w:r w:rsidRPr="00E51323">
        <w:t>For dissipative zones, the steel grade to be used should be specified and noted on the drawings. A higher grade should not be supplied for these zones (see 11.19 (3)).</w:t>
      </w:r>
    </w:p>
    <w:p w14:paraId="12D93349" w14:textId="5C767CA7" w:rsidR="000B46D9" w:rsidRPr="00E51323" w:rsidRDefault="000B46D9" w:rsidP="00724E4E">
      <w:pPr>
        <w:pStyle w:val="Clause"/>
      </w:pPr>
      <w:r w:rsidRPr="00E51323">
        <w:t>The steel categories for the base material and for the weld</w:t>
      </w:r>
      <w:r w:rsidR="00740AA3">
        <w:t>ing consumable</w:t>
      </w:r>
      <w:r w:rsidRPr="00E51323">
        <w:t>s should be taken as given in prEN</w:t>
      </w:r>
      <w:r w:rsidR="00460A67">
        <w:t> </w:t>
      </w:r>
      <w:r w:rsidRPr="00E51323">
        <w:t>1993-1-10</w:t>
      </w:r>
      <w:r w:rsidR="00F32CC0">
        <w:t>:202</w:t>
      </w:r>
      <w:r w:rsidR="008536EC">
        <w:t>3</w:t>
      </w:r>
      <w:r w:rsidR="00F32CC0">
        <w:t>, 4</w:t>
      </w:r>
      <w:r w:rsidR="00357B79">
        <w:t>,</w:t>
      </w:r>
      <w:r w:rsidRPr="00E51323">
        <w:t xml:space="preserve"> for a stress level σ</w:t>
      </w:r>
      <w:r w:rsidRPr="00E51323">
        <w:rPr>
          <w:vertAlign w:val="subscript"/>
        </w:rPr>
        <w:t xml:space="preserve">Ed </w:t>
      </w:r>
      <w:r w:rsidRPr="00E51323">
        <w:t xml:space="preserve">= 0,75 </w:t>
      </w:r>
      <w:r w:rsidRPr="00E51323">
        <w:rPr>
          <w:i/>
          <w:iCs/>
        </w:rPr>
        <w:t>f</w:t>
      </w:r>
      <w:r w:rsidRPr="00E51323">
        <w:rPr>
          <w:vertAlign w:val="subscript"/>
        </w:rPr>
        <w:t>y</w:t>
      </w:r>
      <w:r w:rsidRPr="00E51323">
        <w:t>(t) and the quasi-permanent value of service temperature.</w:t>
      </w:r>
    </w:p>
    <w:p w14:paraId="319136E9" w14:textId="681BD6CC" w:rsidR="000B46D9" w:rsidRPr="00E51323" w:rsidRDefault="000B46D9" w:rsidP="002F274D">
      <w:pPr>
        <w:pStyle w:val="Notetext"/>
      </w:pPr>
      <w:r w:rsidRPr="00E51323">
        <w:t>NOTE 1</w:t>
      </w:r>
      <w:r w:rsidRPr="00E51323">
        <w:tab/>
        <w:t xml:space="preserve">(4) defines steel with toughness and thickness adequate for yielded sections. </w:t>
      </w:r>
    </w:p>
    <w:p w14:paraId="2AF455BF" w14:textId="2F2DD14E" w:rsidR="000B46D9" w:rsidRPr="00E51323" w:rsidRDefault="000B46D9" w:rsidP="002F274D">
      <w:pPr>
        <w:pStyle w:val="Notetext"/>
      </w:pPr>
      <w:r w:rsidRPr="00E51323">
        <w:t>NOTE 2</w:t>
      </w:r>
      <w:r w:rsidRPr="00E51323">
        <w:tab/>
        <w:t>The quasi-permanent value of the service temperature is defined in EN 1990:202</w:t>
      </w:r>
      <w:r w:rsidR="006455AE">
        <w:t>3</w:t>
      </w:r>
      <w:r w:rsidRPr="00E51323">
        <w:t>, Annex A, A.1.5.3.</w:t>
      </w:r>
    </w:p>
    <w:p w14:paraId="7A8A56B3" w14:textId="0153BB2F" w:rsidR="000B46D9" w:rsidRDefault="000B46D9" w:rsidP="00724E4E">
      <w:pPr>
        <w:pStyle w:val="Clause"/>
      </w:pPr>
      <w:r w:rsidRPr="00E51323">
        <w:t>The required toughness of steel and welds and the lowest service temperature adopted in combination with the seismic action should be defined.</w:t>
      </w:r>
    </w:p>
    <w:p w14:paraId="25ED595E" w14:textId="0E3FA41B" w:rsidR="00A94958" w:rsidRPr="00A94958" w:rsidRDefault="00A94958" w:rsidP="00724E4E">
      <w:pPr>
        <w:pStyle w:val="Clause"/>
      </w:pPr>
      <w:r w:rsidRPr="00A94958">
        <w:t>For primary</w:t>
      </w:r>
      <w:r w:rsidR="003B2259">
        <w:t xml:space="preserve"> Execution Class</w:t>
      </w:r>
      <w:r w:rsidRPr="00A94958">
        <w:t xml:space="preserve"> EXC1 members, the minimum toughness requirement should be JR. For primary EXC2 members, the minimum toughness requirement should be J0. For primary EXC3 members, the minimum toughness requirement should be J2.</w:t>
      </w:r>
    </w:p>
    <w:p w14:paraId="0440B68C" w14:textId="31E8FC3E" w:rsidR="00A94958" w:rsidRDefault="00A94958">
      <w:pPr>
        <w:pStyle w:val="Clause"/>
        <w:numPr>
          <w:ilvl w:val="0"/>
          <w:numId w:val="0"/>
        </w:numPr>
        <w:rPr>
          <w:sz w:val="20"/>
        </w:rPr>
      </w:pPr>
      <w:r>
        <w:rPr>
          <w:sz w:val="20"/>
        </w:rPr>
        <w:t>NOTE</w:t>
      </w:r>
      <w:r w:rsidR="00C9555A">
        <w:rPr>
          <w:sz w:val="20"/>
        </w:rPr>
        <w:t xml:space="preserve"> 1</w:t>
      </w:r>
      <w:r>
        <w:rPr>
          <w:sz w:val="20"/>
        </w:rPr>
        <w:tab/>
      </w:r>
      <w:r w:rsidR="003B2259">
        <w:rPr>
          <w:sz w:val="20"/>
        </w:rPr>
        <w:t>R</w:t>
      </w:r>
      <w:r>
        <w:rPr>
          <w:sz w:val="20"/>
        </w:rPr>
        <w:t xml:space="preserve">equired </w:t>
      </w:r>
      <w:r w:rsidR="003B2259">
        <w:rPr>
          <w:sz w:val="20"/>
        </w:rPr>
        <w:t>E</w:t>
      </w:r>
      <w:r>
        <w:rPr>
          <w:sz w:val="20"/>
        </w:rPr>
        <w:t xml:space="preserve">xecution </w:t>
      </w:r>
      <w:r w:rsidR="003B2259">
        <w:rPr>
          <w:sz w:val="20"/>
        </w:rPr>
        <w:t>C</w:t>
      </w:r>
      <w:r>
        <w:rPr>
          <w:sz w:val="20"/>
        </w:rPr>
        <w:t>lass EXC</w:t>
      </w:r>
      <w:r w:rsidR="004B3A00">
        <w:rPr>
          <w:sz w:val="20"/>
        </w:rPr>
        <w:t xml:space="preserve"> </w:t>
      </w:r>
      <w:r>
        <w:rPr>
          <w:sz w:val="20"/>
        </w:rPr>
        <w:t xml:space="preserve">are </w:t>
      </w:r>
      <w:r w:rsidR="003B2259">
        <w:rPr>
          <w:sz w:val="20"/>
        </w:rPr>
        <w:t xml:space="preserve">related to design conditions as </w:t>
      </w:r>
      <w:r w:rsidR="004B3A00">
        <w:rPr>
          <w:sz w:val="20"/>
        </w:rPr>
        <w:t>given</w:t>
      </w:r>
      <w:r>
        <w:rPr>
          <w:sz w:val="20"/>
        </w:rPr>
        <w:t xml:space="preserve"> in 11.19.</w:t>
      </w:r>
    </w:p>
    <w:p w14:paraId="1484E044" w14:textId="73E56904" w:rsidR="00C9555A" w:rsidRPr="00355A3B" w:rsidRDefault="00C9555A" w:rsidP="00C9555A">
      <w:pPr>
        <w:rPr>
          <w:sz w:val="20"/>
          <w:szCs w:val="20"/>
        </w:rPr>
      </w:pPr>
      <w:r w:rsidRPr="00355A3B">
        <w:rPr>
          <w:sz w:val="20"/>
          <w:szCs w:val="20"/>
        </w:rPr>
        <w:t>N</w:t>
      </w:r>
      <w:r>
        <w:rPr>
          <w:sz w:val="20"/>
          <w:szCs w:val="20"/>
        </w:rPr>
        <w:t>OTE</w:t>
      </w:r>
      <w:r w:rsidRPr="00355A3B">
        <w:rPr>
          <w:sz w:val="20"/>
          <w:szCs w:val="20"/>
        </w:rPr>
        <w:t xml:space="preserve"> </w:t>
      </w:r>
      <w:r>
        <w:rPr>
          <w:sz w:val="20"/>
          <w:szCs w:val="20"/>
        </w:rPr>
        <w:t>2</w:t>
      </w:r>
      <w:r w:rsidRPr="00355A3B">
        <w:rPr>
          <w:sz w:val="20"/>
          <w:szCs w:val="20"/>
        </w:rPr>
        <w:t xml:space="preserve"> </w:t>
      </w:r>
      <w:r w:rsidRPr="00355A3B">
        <w:rPr>
          <w:sz w:val="20"/>
          <w:szCs w:val="20"/>
        </w:rPr>
        <w:tab/>
        <w:t>The requirements in (4)</w:t>
      </w:r>
      <w:r>
        <w:rPr>
          <w:sz w:val="20"/>
          <w:szCs w:val="20"/>
        </w:rPr>
        <w:t>, (5)</w:t>
      </w:r>
      <w:r w:rsidRPr="00355A3B">
        <w:rPr>
          <w:sz w:val="20"/>
          <w:szCs w:val="20"/>
        </w:rPr>
        <w:t xml:space="preserve"> and (</w:t>
      </w:r>
      <w:r>
        <w:rPr>
          <w:sz w:val="20"/>
          <w:szCs w:val="20"/>
        </w:rPr>
        <w:t>6</w:t>
      </w:r>
      <w:r w:rsidRPr="00355A3B">
        <w:rPr>
          <w:sz w:val="20"/>
          <w:szCs w:val="20"/>
        </w:rPr>
        <w:t xml:space="preserve">) complement the rules in </w:t>
      </w:r>
      <w:r w:rsidR="006455AE">
        <w:rPr>
          <w:sz w:val="20"/>
          <w:szCs w:val="20"/>
        </w:rPr>
        <w:t>pr</w:t>
      </w:r>
      <w:r w:rsidR="00C30FF9">
        <w:rPr>
          <w:sz w:val="20"/>
          <w:szCs w:val="20"/>
        </w:rPr>
        <w:t>EN 1</w:t>
      </w:r>
      <w:r w:rsidRPr="00355A3B">
        <w:rPr>
          <w:sz w:val="20"/>
          <w:szCs w:val="20"/>
        </w:rPr>
        <w:t>993-1-10.</w:t>
      </w:r>
    </w:p>
    <w:p w14:paraId="282D1AD2" w14:textId="1AF9AE6B" w:rsidR="000B46D9" w:rsidRPr="00794E49" w:rsidRDefault="000B46D9" w:rsidP="00724E4E">
      <w:pPr>
        <w:pStyle w:val="Clause"/>
      </w:pPr>
      <w:r w:rsidRPr="00E51323">
        <w:t>In bolted connections of primary seismic members, hi</w:t>
      </w:r>
      <w:r w:rsidRPr="00132C1E">
        <w:t xml:space="preserve">gh strength bolts of grade 8.8 or 10.9 </w:t>
      </w:r>
      <w:r w:rsidRPr="00794E49">
        <w:t>should be used.</w:t>
      </w:r>
    </w:p>
    <w:p w14:paraId="656AC5A0" w14:textId="6EF07DA2" w:rsidR="000B46D9" w:rsidRPr="00132C1E" w:rsidRDefault="000B46D9" w:rsidP="000B46D9">
      <w:pPr>
        <w:pStyle w:val="Heading2"/>
      </w:pPr>
      <w:bookmarkStart w:id="9318" w:name="_Toc483723217"/>
      <w:bookmarkStart w:id="9319" w:name="_Toc483723552"/>
      <w:bookmarkStart w:id="9320" w:name="_Toc484520866"/>
      <w:bookmarkStart w:id="9321" w:name="_Toc509405042"/>
      <w:bookmarkStart w:id="9322" w:name="_Toc76379858"/>
      <w:bookmarkStart w:id="9323" w:name="_Toc494124717"/>
      <w:bookmarkStart w:id="9324" w:name="_Toc522955917"/>
      <w:bookmarkStart w:id="9325" w:name="_Toc18314099"/>
      <w:bookmarkStart w:id="9326" w:name="_Toc50150414"/>
      <w:bookmarkStart w:id="9327" w:name="_Toc70886846"/>
      <w:bookmarkStart w:id="9328" w:name="_Toc108342403"/>
      <w:bookmarkStart w:id="9329" w:name="_Toc134197935"/>
      <w:r w:rsidRPr="00132C1E">
        <w:t>Structural types, behaviour factors and limits of seismic action</w:t>
      </w:r>
      <w:bookmarkEnd w:id="9318"/>
      <w:bookmarkEnd w:id="9319"/>
      <w:bookmarkEnd w:id="9320"/>
      <w:bookmarkEnd w:id="9321"/>
      <w:bookmarkEnd w:id="9322"/>
      <w:bookmarkEnd w:id="9323"/>
      <w:bookmarkEnd w:id="9324"/>
      <w:bookmarkEnd w:id="9325"/>
      <w:bookmarkEnd w:id="9326"/>
      <w:bookmarkEnd w:id="9327"/>
      <w:bookmarkEnd w:id="9328"/>
      <w:bookmarkEnd w:id="9329"/>
    </w:p>
    <w:p w14:paraId="4C2C7513" w14:textId="77777777" w:rsidR="000B46D9" w:rsidRPr="00132C1E" w:rsidRDefault="000B46D9" w:rsidP="000B46D9">
      <w:pPr>
        <w:pStyle w:val="Heading3"/>
      </w:pPr>
      <w:bookmarkStart w:id="9330" w:name="_Toc76379859"/>
      <w:bookmarkStart w:id="9331" w:name="_Toc494124718"/>
      <w:bookmarkStart w:id="9332" w:name="_Toc18314100"/>
      <w:r w:rsidRPr="00132C1E">
        <w:tab/>
      </w:r>
      <w:bookmarkStart w:id="9333" w:name="_Toc50150415"/>
      <w:bookmarkStart w:id="9334" w:name="_Toc70886847"/>
      <w:bookmarkStart w:id="9335" w:name="_Toc108342404"/>
      <w:bookmarkStart w:id="9336" w:name="_Toc134197936"/>
      <w:r w:rsidRPr="00132C1E">
        <w:t>Structural types</w:t>
      </w:r>
      <w:bookmarkEnd w:id="9330"/>
      <w:bookmarkEnd w:id="9331"/>
      <w:bookmarkEnd w:id="9332"/>
      <w:bookmarkEnd w:id="9333"/>
      <w:bookmarkEnd w:id="9334"/>
      <w:bookmarkEnd w:id="9335"/>
      <w:bookmarkEnd w:id="9336"/>
    </w:p>
    <w:p w14:paraId="60942D98" w14:textId="0C21922C" w:rsidR="000B46D9" w:rsidRPr="00132C1E" w:rsidRDefault="000B46D9" w:rsidP="0080187E">
      <w:pPr>
        <w:pStyle w:val="Clause"/>
        <w:numPr>
          <w:ilvl w:val="0"/>
          <w:numId w:val="361"/>
        </w:numPr>
      </w:pPr>
      <w:r w:rsidRPr="00132C1E">
        <w:t xml:space="preserve">Steel </w:t>
      </w:r>
      <w:r w:rsidRPr="00FB236A">
        <w:t xml:space="preserve">buildings designed to be dissipative structures should be assigned to </w:t>
      </w:r>
      <w:r w:rsidRPr="00132C1E">
        <w:t xml:space="preserve">one of the structural types in a) to </w:t>
      </w:r>
      <w:r w:rsidRPr="00FB236A">
        <w:t xml:space="preserve">i) </w:t>
      </w:r>
      <w:r w:rsidRPr="00132C1E">
        <w:t>according to the behaviour of their primary resisting structure under seismic actions.</w:t>
      </w:r>
    </w:p>
    <w:p w14:paraId="2FA61C4D" w14:textId="71862872" w:rsidR="000B46D9" w:rsidRPr="00E51323" w:rsidRDefault="000B46D9" w:rsidP="0080187E">
      <w:pPr>
        <w:pStyle w:val="List2"/>
        <w:numPr>
          <w:ilvl w:val="0"/>
          <w:numId w:val="149"/>
        </w:numPr>
        <w:spacing w:before="0" w:after="240" w:line="230" w:lineRule="atLeast"/>
        <w:contextualSpacing w:val="0"/>
      </w:pPr>
      <w:r w:rsidRPr="00132C1E">
        <w:t xml:space="preserve">Moment resisting frames, in which horizontal forces are mainly resisted by members acting in an essentially flexural manner (Figure 11.1; see the design </w:t>
      </w:r>
      <w:r w:rsidRPr="00E51323">
        <w:t>rules in 11.9)</w:t>
      </w:r>
      <w:r w:rsidR="00460A67">
        <w:t>;</w:t>
      </w:r>
    </w:p>
    <w:p w14:paraId="12988806" w14:textId="6F5E86FA" w:rsidR="000B46D9" w:rsidRPr="00E51323" w:rsidRDefault="000B46D9" w:rsidP="0080187E">
      <w:pPr>
        <w:pStyle w:val="List2"/>
        <w:numPr>
          <w:ilvl w:val="0"/>
          <w:numId w:val="149"/>
        </w:numPr>
        <w:spacing w:before="0" w:after="240" w:line="230" w:lineRule="atLeast"/>
        <w:contextualSpacing w:val="0"/>
      </w:pPr>
      <w:r w:rsidRPr="00E51323">
        <w:t>Frames with concentric bracings, in which horizontal forces are mainly resisted by members subjected to axial forces (Figures 11.2 and 11.3; see the design rules in 11.10)</w:t>
      </w:r>
      <w:r w:rsidR="00460A67">
        <w:t>;</w:t>
      </w:r>
    </w:p>
    <w:p w14:paraId="00A6FDB0" w14:textId="1163D858" w:rsidR="000B46D9" w:rsidRPr="00E51323" w:rsidRDefault="000B46D9" w:rsidP="00F71C82">
      <w:pPr>
        <w:pStyle w:val="Notetext"/>
      </w:pPr>
      <w:r w:rsidRPr="00E51323">
        <w:t>NOTE</w:t>
      </w:r>
      <w:r w:rsidRPr="00E51323">
        <w:tab/>
        <w:t>Frames with concentric X bracings or split X bracings can be designed considering that only the tension diagonals resist the seismic action or that both tension and compression diagonals contribute to resist the seismic action – see Figure 11.2, Figure 11.3 and 11.10.2. The “tension only” design is an approximation in comparison to design considering both diagonals contributions.</w:t>
      </w:r>
    </w:p>
    <w:p w14:paraId="215F028F" w14:textId="2C40DF60" w:rsidR="000B46D9" w:rsidRPr="00E51323" w:rsidRDefault="000B46D9" w:rsidP="0080187E">
      <w:pPr>
        <w:pStyle w:val="List2"/>
        <w:numPr>
          <w:ilvl w:val="0"/>
          <w:numId w:val="149"/>
        </w:numPr>
        <w:spacing w:before="0" w:after="240" w:line="230" w:lineRule="atLeast"/>
        <w:contextualSpacing w:val="0"/>
      </w:pPr>
      <w:r w:rsidRPr="00E51323">
        <w:t>Frames with eccentric bracings, in which horizontal forces are mainly resisted by axially loaded members, but where the eccentricity of the layout is such that energy can be dissipated in seismic links by means of either cyclic bending or cyclic shear (Figure 11.4; see the design rules in 11.11)</w:t>
      </w:r>
      <w:r w:rsidR="00460A67">
        <w:t>;</w:t>
      </w:r>
    </w:p>
    <w:p w14:paraId="54F1F593" w14:textId="0328456D" w:rsidR="000B46D9" w:rsidRPr="00E51323" w:rsidRDefault="000B46D9" w:rsidP="0080187E">
      <w:pPr>
        <w:pStyle w:val="List2"/>
        <w:numPr>
          <w:ilvl w:val="0"/>
          <w:numId w:val="149"/>
        </w:numPr>
        <w:spacing w:before="0" w:after="240" w:line="230" w:lineRule="atLeast"/>
        <w:contextualSpacing w:val="0"/>
      </w:pPr>
      <w:r w:rsidRPr="00E51323">
        <w:lastRenderedPageBreak/>
        <w:t>Frames with buckling restrained bracings, in which horizontal forces are mainly resisted by members subjected to axial forces that are active both in tension and in compression and which are prevented from buckling by a restraining mechanism (Figure 11.5; see the design rules in 11.12)</w:t>
      </w:r>
      <w:r w:rsidR="00460A67">
        <w:t>;</w:t>
      </w:r>
    </w:p>
    <w:p w14:paraId="6166F4A2" w14:textId="0B183F4B" w:rsidR="000B46D9" w:rsidRPr="00E51323" w:rsidRDefault="000B46D9" w:rsidP="0080187E">
      <w:pPr>
        <w:pStyle w:val="List2"/>
        <w:numPr>
          <w:ilvl w:val="0"/>
          <w:numId w:val="149"/>
        </w:numPr>
        <w:spacing w:before="0" w:after="240" w:line="230" w:lineRule="atLeast"/>
        <w:contextualSpacing w:val="0"/>
      </w:pPr>
      <w:r w:rsidRPr="00E51323">
        <w:t>Dual frames, in which at least 25</w:t>
      </w:r>
      <w:r w:rsidR="007D7E6D">
        <w:t> </w:t>
      </w:r>
      <w:r w:rsidRPr="00E51323">
        <w:t>% of the lateral resistance is provided by moment resisting frames; the rest is provided by frames with concentric, eccentric or buckling restrained bracings (Figure 11.6; see the design rules in 11.13)</w:t>
      </w:r>
      <w:r w:rsidR="00460A67">
        <w:t>;</w:t>
      </w:r>
    </w:p>
    <w:p w14:paraId="45C3E67C" w14:textId="73222E18" w:rsidR="000B46D9" w:rsidRPr="00E51323" w:rsidRDefault="000B46D9" w:rsidP="0080187E">
      <w:pPr>
        <w:pStyle w:val="List2"/>
        <w:numPr>
          <w:ilvl w:val="0"/>
          <w:numId w:val="149"/>
        </w:numPr>
        <w:spacing w:before="0" w:after="240" w:line="230" w:lineRule="atLeast"/>
        <w:contextualSpacing w:val="0"/>
      </w:pPr>
      <w:r w:rsidRPr="00E51323">
        <w:t>Lightweight steel systems using flat strap bracing or sheathed with steel sheets or wood sheeting or gypsum sheeting, in which horizontal forces are mainly resisted by lightweight members made of cold-form</w:t>
      </w:r>
      <w:r w:rsidR="00E51323">
        <w:t>ed</w:t>
      </w:r>
      <w:r w:rsidRPr="00E51323">
        <w:t xml:space="preserve"> members covered by prEN</w:t>
      </w:r>
      <w:r w:rsidR="00460A67">
        <w:t> </w:t>
      </w:r>
      <w:r w:rsidRPr="00E51323">
        <w:t>1993-1-3, which are mostly subjected to either a truss force pattern or to a plastic deformation pattern in the connections between the sheeting and its supports (Figure 11.7; see the design rules in 11.14)</w:t>
      </w:r>
      <w:r w:rsidR="00460A67">
        <w:t>;</w:t>
      </w:r>
    </w:p>
    <w:p w14:paraId="076DF1A7" w14:textId="3C40CBEE" w:rsidR="000B46D9" w:rsidRPr="00E51323" w:rsidRDefault="000B46D9" w:rsidP="0080187E">
      <w:pPr>
        <w:pStyle w:val="List2"/>
        <w:numPr>
          <w:ilvl w:val="0"/>
          <w:numId w:val="149"/>
        </w:numPr>
        <w:spacing w:before="0" w:after="240" w:line="230" w:lineRule="atLeast"/>
        <w:contextualSpacing w:val="0"/>
      </w:pPr>
      <w:r w:rsidRPr="00E51323">
        <w:t>Inverted pendulum structures in which 50</w:t>
      </w:r>
      <w:r w:rsidR="007D7E6D">
        <w:t> </w:t>
      </w:r>
      <w:r w:rsidRPr="00E51323">
        <w:t>% or more of the mass is in the upper third of the height of the structure, or in which the dissipation of energy takes place mainly at the base of a single building member or at the bases of columns (Figure 11.8; see the design rules in 11.15)</w:t>
      </w:r>
      <w:r w:rsidR="00460A67">
        <w:t>;</w:t>
      </w:r>
    </w:p>
    <w:p w14:paraId="1FDC358A" w14:textId="1CDC3F55" w:rsidR="000B46D9" w:rsidRPr="00E51323" w:rsidRDefault="000B46D9" w:rsidP="0080187E">
      <w:pPr>
        <w:pStyle w:val="List2"/>
        <w:numPr>
          <w:ilvl w:val="0"/>
          <w:numId w:val="149"/>
        </w:numPr>
        <w:spacing w:before="0" w:after="240" w:line="230" w:lineRule="atLeast"/>
        <w:contextualSpacing w:val="0"/>
      </w:pPr>
      <w:r w:rsidRPr="00E51323">
        <w:t>Structures with concrete cores or concrete walls, in which horizontal forces are mainly resisted by these cores or walls, whose shear resistance at the building base exceeds 75</w:t>
      </w:r>
      <w:r w:rsidR="007D7E6D">
        <w:t> </w:t>
      </w:r>
      <w:r w:rsidRPr="00E51323">
        <w:t>% of the total shear resistance (Figure 11.9; see the design rules in 11.16.1)</w:t>
      </w:r>
      <w:r w:rsidR="00460A67">
        <w:t>;</w:t>
      </w:r>
    </w:p>
    <w:p w14:paraId="5DFEA681" w14:textId="77777777" w:rsidR="000B46D9" w:rsidRPr="00E51323" w:rsidRDefault="000B46D9" w:rsidP="0080187E">
      <w:pPr>
        <w:pStyle w:val="List2"/>
        <w:numPr>
          <w:ilvl w:val="0"/>
          <w:numId w:val="149"/>
        </w:numPr>
        <w:spacing w:before="0" w:after="240" w:line="230" w:lineRule="atLeast"/>
        <w:contextualSpacing w:val="0"/>
      </w:pPr>
      <w:r w:rsidRPr="00E51323">
        <w:t>Moment resisting frames combined with infills (Figure 11.10; see the design rules in 11.16.2).</w:t>
      </w:r>
    </w:p>
    <w:p w14:paraId="4D4A0689" w14:textId="33FFB8FA" w:rsidR="0057334F" w:rsidRDefault="0057334F" w:rsidP="0057334F">
      <w:pPr>
        <w:pStyle w:val="FigureImage"/>
      </w:pPr>
      <w:bookmarkStart w:id="9337" w:name="_Toc29724495"/>
      <w:r>
        <w:rPr>
          <w:noProof/>
        </w:rPr>
        <w:drawing>
          <wp:inline distT="0" distB="0" distL="0" distR="0" wp14:anchorId="74682C41" wp14:editId="71EC1977">
            <wp:extent cx="5039876" cy="1420370"/>
            <wp:effectExtent l="0" t="0" r="0" b="0"/>
            <wp:docPr id="18" name="0022.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0022.tiff"/>
                    <pic:cNvPicPr/>
                  </pic:nvPicPr>
                  <pic:blipFill>
                    <a:blip r:link="rId37"/>
                    <a:stretch>
                      <a:fillRect/>
                    </a:stretch>
                  </pic:blipFill>
                  <pic:spPr>
                    <a:xfrm>
                      <a:off x="0" y="0"/>
                      <a:ext cx="5039876" cy="1420370"/>
                    </a:xfrm>
                    <a:prstGeom prst="rect">
                      <a:avLst/>
                    </a:prstGeom>
                  </pic:spPr>
                </pic:pic>
              </a:graphicData>
            </a:graphic>
          </wp:inline>
        </w:drawing>
      </w:r>
    </w:p>
    <w:p w14:paraId="4C71026E" w14:textId="77ED8DB7" w:rsidR="000B46D9" w:rsidRDefault="000B46D9" w:rsidP="00F71C82">
      <w:pPr>
        <w:pStyle w:val="Figuretitle"/>
      </w:pPr>
      <w:r w:rsidRPr="00132C1E">
        <w:t xml:space="preserve">Figure </w:t>
      </w:r>
      <w:r w:rsidR="00F71C82">
        <w:t>11</w:t>
      </w:r>
      <w:r w:rsidRPr="00132C1E">
        <w:t>.</w:t>
      </w:r>
      <w:r w:rsidR="00F71C82">
        <w:t>1</w:t>
      </w:r>
      <w:r w:rsidRPr="00132C1E">
        <w:t> </w:t>
      </w:r>
      <w:r w:rsidRPr="00D1484A">
        <w:rPr>
          <w:rFonts w:ascii="`ÃÍœ˛" w:eastAsia="Cambria" w:hAnsi="`ÃÍœ˛" w:cs="`ÃÍœ˛"/>
          <w:szCs w:val="22"/>
          <w:lang w:eastAsia="de-DE"/>
        </w:rPr>
        <w:t>—</w:t>
      </w:r>
      <w:r w:rsidRPr="00D1484A">
        <w:t xml:space="preserve"> Moment resisting frames (dissipative zones in beams and at bottom of columns): </w:t>
      </w:r>
      <w:r w:rsidR="0057334F">
        <w:t>(</w:t>
      </w:r>
      <w:r w:rsidRPr="00D1484A">
        <w:t xml:space="preserve">a) portal frame; </w:t>
      </w:r>
      <w:r w:rsidR="0057334F">
        <w:t>(</w:t>
      </w:r>
      <w:r w:rsidRPr="00D1484A">
        <w:t xml:space="preserve">b) single-storey MRF; </w:t>
      </w:r>
      <w:r w:rsidR="0057334F">
        <w:t>(</w:t>
      </w:r>
      <w:r w:rsidRPr="00D1484A">
        <w:t xml:space="preserve">c) single-span multi-storey MRF; </w:t>
      </w:r>
      <w:r w:rsidR="0057334F">
        <w:t>(</w:t>
      </w:r>
      <w:r w:rsidRPr="00D1484A">
        <w:t>d) multi-span multi-storey MRF</w:t>
      </w:r>
    </w:p>
    <w:bookmarkEnd w:id="9337"/>
    <w:p w14:paraId="2677145F" w14:textId="5F2BC6EC" w:rsidR="000B46D9" w:rsidRPr="00132C1E" w:rsidRDefault="009E660F" w:rsidP="009E660F">
      <w:pPr>
        <w:pStyle w:val="FigureImage"/>
      </w:pPr>
      <w:r>
        <w:rPr>
          <w:noProof/>
        </w:rPr>
        <w:drawing>
          <wp:inline distT="0" distB="0" distL="0" distR="0" wp14:anchorId="2D7B4425" wp14:editId="0CB8A247">
            <wp:extent cx="3599694" cy="1013462"/>
            <wp:effectExtent l="0" t="0" r="1270" b="0"/>
            <wp:docPr id="21" name="0023.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0023.tiff"/>
                    <pic:cNvPicPr/>
                  </pic:nvPicPr>
                  <pic:blipFill>
                    <a:blip r:link="rId38"/>
                    <a:stretch>
                      <a:fillRect/>
                    </a:stretch>
                  </pic:blipFill>
                  <pic:spPr>
                    <a:xfrm>
                      <a:off x="0" y="0"/>
                      <a:ext cx="3599694" cy="1013462"/>
                    </a:xfrm>
                    <a:prstGeom prst="rect">
                      <a:avLst/>
                    </a:prstGeom>
                  </pic:spPr>
                </pic:pic>
              </a:graphicData>
            </a:graphic>
          </wp:inline>
        </w:drawing>
      </w:r>
    </w:p>
    <w:p w14:paraId="41555542" w14:textId="374FB3E1" w:rsidR="000B46D9" w:rsidRPr="00D1484A" w:rsidRDefault="000B46D9" w:rsidP="00F71C82">
      <w:pPr>
        <w:pStyle w:val="Figuretitle"/>
      </w:pPr>
      <w:r w:rsidRPr="00D1484A">
        <w:t xml:space="preserve">Figure </w:t>
      </w:r>
      <w:r w:rsidR="00CC0F28">
        <w:t>11.2</w:t>
      </w:r>
      <w:r w:rsidRPr="00132C1E">
        <w:t> </w:t>
      </w:r>
      <w:r w:rsidRPr="00D1484A">
        <w:rPr>
          <w:rFonts w:ascii="`ÃÍœ˛" w:eastAsia="Cambria" w:hAnsi="`ÃÍœ˛" w:cs="`ÃÍœ˛"/>
          <w:szCs w:val="22"/>
          <w:lang w:eastAsia="de-DE"/>
        </w:rPr>
        <w:t>—</w:t>
      </w:r>
      <w:r w:rsidRPr="00D1484A">
        <w:t> Frames with concentric bracings where the concept of tension-only diagonals is allowed</w:t>
      </w:r>
    </w:p>
    <w:p w14:paraId="01B4892A" w14:textId="7996EF31" w:rsidR="000B46D9" w:rsidRPr="00132C1E" w:rsidRDefault="009E660F" w:rsidP="009E660F">
      <w:pPr>
        <w:pStyle w:val="FigureImage"/>
      </w:pPr>
      <w:r>
        <w:rPr>
          <w:noProof/>
        </w:rPr>
        <w:lastRenderedPageBreak/>
        <w:drawing>
          <wp:inline distT="0" distB="0" distL="0" distR="0" wp14:anchorId="2E633233" wp14:editId="6D9AA308">
            <wp:extent cx="3240029" cy="975362"/>
            <wp:effectExtent l="0" t="0" r="0" b="0"/>
            <wp:docPr id="40" name="0024.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0024.tiff"/>
                    <pic:cNvPicPr/>
                  </pic:nvPicPr>
                  <pic:blipFill>
                    <a:blip r:link="rId39"/>
                    <a:stretch>
                      <a:fillRect/>
                    </a:stretch>
                  </pic:blipFill>
                  <pic:spPr>
                    <a:xfrm>
                      <a:off x="0" y="0"/>
                      <a:ext cx="3240029" cy="975362"/>
                    </a:xfrm>
                    <a:prstGeom prst="rect">
                      <a:avLst/>
                    </a:prstGeom>
                  </pic:spPr>
                </pic:pic>
              </a:graphicData>
            </a:graphic>
          </wp:inline>
        </w:drawing>
      </w:r>
    </w:p>
    <w:p w14:paraId="05FECEFA" w14:textId="18B015C9" w:rsidR="000B46D9" w:rsidRPr="00FD17CF" w:rsidRDefault="000B46D9" w:rsidP="00F71C82">
      <w:pPr>
        <w:pStyle w:val="Figuretitle"/>
      </w:pPr>
      <w:r w:rsidRPr="00D1484A">
        <w:t xml:space="preserve">Figure </w:t>
      </w:r>
      <w:r w:rsidR="00CC0F28">
        <w:t>11.3</w:t>
      </w:r>
      <w:r w:rsidRPr="00132C1E">
        <w:t> </w:t>
      </w:r>
      <w:r w:rsidRPr="00D1484A">
        <w:rPr>
          <w:rFonts w:ascii="`ÃÍœ˛" w:eastAsia="Cambria" w:hAnsi="`ÃÍœ˛" w:cs="`ÃÍœ˛"/>
          <w:szCs w:val="22"/>
          <w:lang w:eastAsia="de-DE"/>
        </w:rPr>
        <w:t>—</w:t>
      </w:r>
      <w:r w:rsidRPr="00D1484A">
        <w:t xml:space="preserve"> Frames with concentric bracings where the concept of tension-compression diagonals </w:t>
      </w:r>
      <w:r w:rsidRPr="007E6F67">
        <w:t xml:space="preserve">is </w:t>
      </w:r>
      <w:r w:rsidRPr="00FD17CF">
        <w:t>mandatory</w:t>
      </w:r>
    </w:p>
    <w:p w14:paraId="1B570193" w14:textId="616FA848" w:rsidR="000B46D9" w:rsidRPr="00132C1E" w:rsidRDefault="009E660F" w:rsidP="009E660F">
      <w:pPr>
        <w:pStyle w:val="FigureImage"/>
      </w:pPr>
      <w:r>
        <w:rPr>
          <w:noProof/>
        </w:rPr>
        <w:drawing>
          <wp:inline distT="0" distB="0" distL="0" distR="0" wp14:anchorId="1397B331" wp14:editId="2A4DE30C">
            <wp:extent cx="3599694" cy="1193294"/>
            <wp:effectExtent l="0" t="0" r="1270" b="6985"/>
            <wp:docPr id="41" name="0025.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0025.tiff"/>
                    <pic:cNvPicPr/>
                  </pic:nvPicPr>
                  <pic:blipFill>
                    <a:blip r:link="rId40"/>
                    <a:stretch>
                      <a:fillRect/>
                    </a:stretch>
                  </pic:blipFill>
                  <pic:spPr>
                    <a:xfrm>
                      <a:off x="0" y="0"/>
                      <a:ext cx="3599694" cy="1193294"/>
                    </a:xfrm>
                    <a:prstGeom prst="rect">
                      <a:avLst/>
                    </a:prstGeom>
                  </pic:spPr>
                </pic:pic>
              </a:graphicData>
            </a:graphic>
          </wp:inline>
        </w:drawing>
      </w:r>
    </w:p>
    <w:p w14:paraId="73E42A13" w14:textId="755B85C2" w:rsidR="000B46D9" w:rsidRPr="00D1484A" w:rsidRDefault="000B46D9" w:rsidP="00F71C82">
      <w:pPr>
        <w:pStyle w:val="Figuretitle"/>
      </w:pPr>
      <w:bookmarkStart w:id="9338" w:name="_Toc29724498"/>
      <w:r w:rsidRPr="00D1484A">
        <w:t xml:space="preserve">Figure </w:t>
      </w:r>
      <w:r w:rsidR="00CC0F28">
        <w:t>11.4</w:t>
      </w:r>
      <w:r w:rsidRPr="00132C1E">
        <w:t> </w:t>
      </w:r>
      <w:r w:rsidRPr="00D1484A">
        <w:rPr>
          <w:rFonts w:ascii="`ÃÍœ˛" w:eastAsia="Cambria" w:hAnsi="`ÃÍœ˛" w:cs="`ÃÍœ˛"/>
          <w:szCs w:val="22"/>
          <w:lang w:eastAsia="de-DE"/>
        </w:rPr>
        <w:t>—</w:t>
      </w:r>
      <w:r w:rsidRPr="00D1484A">
        <w:t> Frames with eccentric bracings (dissipative zones in bending or shear links)</w:t>
      </w:r>
    </w:p>
    <w:p w14:paraId="132F0903" w14:textId="259496DA" w:rsidR="000B46D9" w:rsidRPr="00132C1E" w:rsidRDefault="009D3BE2" w:rsidP="009D3BE2">
      <w:pPr>
        <w:pStyle w:val="FigureImage"/>
      </w:pPr>
      <w:r>
        <w:rPr>
          <w:noProof/>
        </w:rPr>
        <w:drawing>
          <wp:inline distT="0" distB="0" distL="0" distR="0" wp14:anchorId="506C0030" wp14:editId="39BF6B12">
            <wp:extent cx="3599694" cy="1219202"/>
            <wp:effectExtent l="0" t="0" r="1270" b="0"/>
            <wp:docPr id="66" name="0026.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0026.tiff"/>
                    <pic:cNvPicPr/>
                  </pic:nvPicPr>
                  <pic:blipFill>
                    <a:blip r:link="rId41"/>
                    <a:stretch>
                      <a:fillRect/>
                    </a:stretch>
                  </pic:blipFill>
                  <pic:spPr>
                    <a:xfrm>
                      <a:off x="0" y="0"/>
                      <a:ext cx="3599694" cy="1219202"/>
                    </a:xfrm>
                    <a:prstGeom prst="rect">
                      <a:avLst/>
                    </a:prstGeom>
                  </pic:spPr>
                </pic:pic>
              </a:graphicData>
            </a:graphic>
          </wp:inline>
        </w:drawing>
      </w:r>
    </w:p>
    <w:p w14:paraId="0E797BC1" w14:textId="20A3BB9A" w:rsidR="000B46D9" w:rsidRPr="00D1484A" w:rsidRDefault="000B46D9" w:rsidP="00F71C82">
      <w:pPr>
        <w:pStyle w:val="Figuretitle"/>
      </w:pPr>
      <w:r w:rsidRPr="00D1484A">
        <w:t xml:space="preserve">Figure </w:t>
      </w:r>
      <w:r w:rsidR="00CC0F28">
        <w:t>11.5</w:t>
      </w:r>
      <w:r w:rsidRPr="00132C1E">
        <w:t> </w:t>
      </w:r>
      <w:r w:rsidRPr="00D1484A">
        <w:rPr>
          <w:rFonts w:ascii="`ÃÍœ˛" w:eastAsia="Cambria" w:hAnsi="`ÃÍœ˛" w:cs="`ÃÍœ˛"/>
          <w:lang w:eastAsia="de-DE"/>
        </w:rPr>
        <w:t>—</w:t>
      </w:r>
      <w:r w:rsidRPr="00D1484A">
        <w:t> Frames with buckling restrained bracings (dissipative zones in tension and compression diagonals)</w:t>
      </w:r>
    </w:p>
    <w:p w14:paraId="658D4F69" w14:textId="342B55FD" w:rsidR="000B46D9" w:rsidRPr="00132C1E" w:rsidRDefault="009D3BE2" w:rsidP="009D3BE2">
      <w:pPr>
        <w:pStyle w:val="FigureImage"/>
      </w:pPr>
      <w:r>
        <w:rPr>
          <w:noProof/>
        </w:rPr>
        <w:drawing>
          <wp:inline distT="0" distB="0" distL="0" distR="0" wp14:anchorId="7D8E972F" wp14:editId="2FFA9E85">
            <wp:extent cx="4680212" cy="1036322"/>
            <wp:effectExtent l="0" t="0" r="6350" b="0"/>
            <wp:docPr id="75" name="0027.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0027.tiff"/>
                    <pic:cNvPicPr/>
                  </pic:nvPicPr>
                  <pic:blipFill>
                    <a:blip r:link="rId42"/>
                    <a:stretch>
                      <a:fillRect/>
                    </a:stretch>
                  </pic:blipFill>
                  <pic:spPr>
                    <a:xfrm>
                      <a:off x="0" y="0"/>
                      <a:ext cx="4680212" cy="1036322"/>
                    </a:xfrm>
                    <a:prstGeom prst="rect">
                      <a:avLst/>
                    </a:prstGeom>
                  </pic:spPr>
                </pic:pic>
              </a:graphicData>
            </a:graphic>
          </wp:inline>
        </w:drawing>
      </w:r>
    </w:p>
    <w:p w14:paraId="377C493B" w14:textId="4DEC102F" w:rsidR="000B46D9" w:rsidRPr="007E6F67" w:rsidRDefault="000B46D9" w:rsidP="00F71C82">
      <w:pPr>
        <w:pStyle w:val="Figuretitle"/>
      </w:pPr>
      <w:r w:rsidRPr="00D1484A">
        <w:t xml:space="preserve">Figure </w:t>
      </w:r>
      <w:r w:rsidR="00CC0F28">
        <w:t>11.6</w:t>
      </w:r>
      <w:r w:rsidRPr="00132C1E">
        <w:t> </w:t>
      </w:r>
      <w:r w:rsidRPr="00D1484A">
        <w:rPr>
          <w:rFonts w:ascii="`ÃÍœ˛" w:hAnsi="`ÃÍœ˛" w:cs="`ÃÍœ˛"/>
          <w:lang w:eastAsia="de-DE"/>
        </w:rPr>
        <w:t>—</w:t>
      </w:r>
      <w:r w:rsidRPr="00D1484A">
        <w:t> Dual frames with moment resisting frame combined with either concentric, eccentric or buckling restrained bracing (dissipative zones in both moment and braced frames)</w:t>
      </w:r>
    </w:p>
    <w:bookmarkEnd w:id="9338"/>
    <w:p w14:paraId="36122EC8" w14:textId="513AF9ED" w:rsidR="000B46D9" w:rsidRPr="00132C1E" w:rsidRDefault="0088213E" w:rsidP="009D3BE2">
      <w:pPr>
        <w:pStyle w:val="FigureImage"/>
      </w:pPr>
      <w:r>
        <w:rPr>
          <w:noProof/>
        </w:rPr>
        <w:lastRenderedPageBreak/>
        <w:drawing>
          <wp:inline distT="0" distB="0" distL="0" distR="0" wp14:anchorId="5E92C9DE" wp14:editId="6E9F4E8A">
            <wp:extent cx="2159512" cy="1921767"/>
            <wp:effectExtent l="0" t="0" r="0" b="0"/>
            <wp:docPr id="77" name="0028.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0028.tiff"/>
                    <pic:cNvPicPr/>
                  </pic:nvPicPr>
                  <pic:blipFill>
                    <a:blip r:link="rId43"/>
                    <a:stretch>
                      <a:fillRect/>
                    </a:stretch>
                  </pic:blipFill>
                  <pic:spPr>
                    <a:xfrm>
                      <a:off x="0" y="0"/>
                      <a:ext cx="2159512" cy="1921767"/>
                    </a:xfrm>
                    <a:prstGeom prst="rect">
                      <a:avLst/>
                    </a:prstGeom>
                  </pic:spPr>
                </pic:pic>
              </a:graphicData>
            </a:graphic>
          </wp:inline>
        </w:drawing>
      </w:r>
    </w:p>
    <w:p w14:paraId="04EB7AC6" w14:textId="2B7C50D9" w:rsidR="000B46D9" w:rsidRPr="00FD17CF" w:rsidRDefault="000B46D9" w:rsidP="00F71C82">
      <w:pPr>
        <w:pStyle w:val="Figuretitle"/>
      </w:pPr>
      <w:bookmarkStart w:id="9339" w:name="_Ref18489723"/>
      <w:bookmarkStart w:id="9340" w:name="_Toc29724499"/>
      <w:r w:rsidRPr="00D1484A">
        <w:t xml:space="preserve">Figure </w:t>
      </w:r>
      <w:r w:rsidR="00CC0F28">
        <w:t>11.7</w:t>
      </w:r>
      <w:r w:rsidRPr="00132C1E">
        <w:t> </w:t>
      </w:r>
      <w:r w:rsidRPr="00D1484A">
        <w:rPr>
          <w:rFonts w:ascii="`ÃÍœ˛" w:hAnsi="`ÃÍœ˛" w:cs="`ÃÍœ˛"/>
          <w:lang w:eastAsia="de-DE"/>
        </w:rPr>
        <w:t>—</w:t>
      </w:r>
      <w:r w:rsidRPr="00D1484A">
        <w:t xml:space="preserve"> Lightweight steel systems: </w:t>
      </w:r>
      <w:r w:rsidR="0088213E">
        <w:t>(</w:t>
      </w:r>
      <w:r w:rsidRPr="00D1484A">
        <w:t xml:space="preserve">a) </w:t>
      </w:r>
      <w:r w:rsidR="0088213E">
        <w:t>s</w:t>
      </w:r>
      <w:r w:rsidRPr="00D1484A">
        <w:t xml:space="preserve">trap braced walls; </w:t>
      </w:r>
      <w:r w:rsidR="0088213E">
        <w:t>(</w:t>
      </w:r>
      <w:r w:rsidRPr="00D1484A">
        <w:t xml:space="preserve">b) </w:t>
      </w:r>
      <w:r w:rsidR="0088213E">
        <w:t>s</w:t>
      </w:r>
      <w:r w:rsidRPr="00D1484A">
        <w:t>hear walls with steel sheet or wood sheathing or gypsum sheathing</w:t>
      </w:r>
      <w:bookmarkEnd w:id="9339"/>
    </w:p>
    <w:bookmarkEnd w:id="9340"/>
    <w:p w14:paraId="58D1A6C4" w14:textId="7309DDA6" w:rsidR="000B46D9" w:rsidRPr="00132C1E" w:rsidRDefault="009A6E7D" w:rsidP="009A6E7D">
      <w:pPr>
        <w:pStyle w:val="FigureImage"/>
      </w:pPr>
      <w:r>
        <w:rPr>
          <w:noProof/>
        </w:rPr>
        <w:drawing>
          <wp:inline distT="0" distB="0" distL="0" distR="0" wp14:anchorId="5C892682" wp14:editId="05C87CEC">
            <wp:extent cx="2700532" cy="1446278"/>
            <wp:effectExtent l="0" t="0" r="5080" b="0"/>
            <wp:docPr id="83" name="0029.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0029.tiff"/>
                    <pic:cNvPicPr/>
                  </pic:nvPicPr>
                  <pic:blipFill>
                    <a:blip r:link="rId44"/>
                    <a:stretch>
                      <a:fillRect/>
                    </a:stretch>
                  </pic:blipFill>
                  <pic:spPr>
                    <a:xfrm>
                      <a:off x="0" y="0"/>
                      <a:ext cx="2700532" cy="1446278"/>
                    </a:xfrm>
                    <a:prstGeom prst="rect">
                      <a:avLst/>
                    </a:prstGeom>
                  </pic:spPr>
                </pic:pic>
              </a:graphicData>
            </a:graphic>
          </wp:inline>
        </w:drawing>
      </w:r>
    </w:p>
    <w:p w14:paraId="294275EA" w14:textId="31D53D78" w:rsidR="000B46D9" w:rsidRPr="00FD17CF" w:rsidRDefault="000B46D9" w:rsidP="00F71C82">
      <w:pPr>
        <w:pStyle w:val="Figuretitle"/>
      </w:pPr>
      <w:bookmarkStart w:id="9341" w:name="_Toc29724500"/>
      <w:r w:rsidRPr="00E05E29">
        <w:t xml:space="preserve">Figure </w:t>
      </w:r>
      <w:r w:rsidR="00CC0F28">
        <w:t>11.8</w:t>
      </w:r>
      <w:r w:rsidRPr="00132C1E">
        <w:t> </w:t>
      </w:r>
      <w:r w:rsidRPr="00D1484A">
        <w:rPr>
          <w:rFonts w:ascii="`ÃÍœ˛" w:eastAsia="Cambria" w:hAnsi="`ÃÍœ˛" w:cs="`ÃÍœ˛"/>
          <w:lang w:eastAsia="de-DE"/>
        </w:rPr>
        <w:t>—</w:t>
      </w:r>
      <w:r w:rsidRPr="00D1484A">
        <w:t xml:space="preserve"> Inverted pendulum: </w:t>
      </w:r>
      <w:r w:rsidR="009A6E7D">
        <w:t>(</w:t>
      </w:r>
      <w:r w:rsidRPr="00D1484A">
        <w:t xml:space="preserve">a) dissipative zones at the column base; </w:t>
      </w:r>
      <w:r w:rsidR="009A6E7D">
        <w:t>(</w:t>
      </w:r>
      <w:r w:rsidRPr="00D1484A">
        <w:t>b) dissipative zones in columns (</w:t>
      </w:r>
      <w:r w:rsidRPr="00D1484A">
        <w:rPr>
          <w:i/>
          <w:iCs/>
        </w:rPr>
        <w:t>N</w:t>
      </w:r>
      <w:r w:rsidRPr="007E6F67">
        <w:rPr>
          <w:vertAlign w:val="subscript"/>
        </w:rPr>
        <w:t>Ed,G</w:t>
      </w:r>
      <w:r w:rsidRPr="007E6F67">
        <w:t>/</w:t>
      </w:r>
      <w:r w:rsidRPr="007E6F67">
        <w:rPr>
          <w:i/>
          <w:iCs/>
        </w:rPr>
        <w:t>N</w:t>
      </w:r>
      <w:r w:rsidRPr="007E6F67">
        <w:rPr>
          <w:vertAlign w:val="subscript"/>
        </w:rPr>
        <w:t>pl,Rd</w:t>
      </w:r>
      <w:r w:rsidRPr="007E6F67">
        <w:t xml:space="preserve"> ≥ 0,3)</w:t>
      </w:r>
    </w:p>
    <w:p w14:paraId="75B26613" w14:textId="3E7CD94B" w:rsidR="000B46D9" w:rsidRPr="00132C1E" w:rsidRDefault="009A6E7D" w:rsidP="009A6E7D">
      <w:pPr>
        <w:pStyle w:val="FigureImage"/>
      </w:pPr>
      <w:bookmarkStart w:id="9342" w:name="_Toc29724501"/>
      <w:bookmarkEnd w:id="9341"/>
      <w:r>
        <w:rPr>
          <w:noProof/>
        </w:rPr>
        <w:drawing>
          <wp:inline distT="0" distB="0" distL="0" distR="0" wp14:anchorId="56A8EFD5" wp14:editId="42F4B22B">
            <wp:extent cx="2520700" cy="1004318"/>
            <wp:effectExtent l="0" t="0" r="0" b="5715"/>
            <wp:docPr id="96" name="0030.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0030.tiff"/>
                    <pic:cNvPicPr/>
                  </pic:nvPicPr>
                  <pic:blipFill>
                    <a:blip r:link="rId45"/>
                    <a:stretch>
                      <a:fillRect/>
                    </a:stretch>
                  </pic:blipFill>
                  <pic:spPr>
                    <a:xfrm>
                      <a:off x="0" y="0"/>
                      <a:ext cx="2520700" cy="1004318"/>
                    </a:xfrm>
                    <a:prstGeom prst="rect">
                      <a:avLst/>
                    </a:prstGeom>
                  </pic:spPr>
                </pic:pic>
              </a:graphicData>
            </a:graphic>
          </wp:inline>
        </w:drawing>
      </w:r>
    </w:p>
    <w:p w14:paraId="5802DF76" w14:textId="7AB1FF98" w:rsidR="000B46D9" w:rsidRPr="007E6F67" w:rsidRDefault="000B46D9" w:rsidP="00F71C82">
      <w:pPr>
        <w:pStyle w:val="Figuretitle"/>
      </w:pPr>
      <w:r w:rsidRPr="00D1484A">
        <w:t xml:space="preserve">Figure </w:t>
      </w:r>
      <w:r w:rsidR="00CC0F28">
        <w:t>11.9</w:t>
      </w:r>
      <w:r w:rsidRPr="00132C1E">
        <w:t> </w:t>
      </w:r>
      <w:r w:rsidRPr="00D1484A">
        <w:rPr>
          <w:rFonts w:ascii="`ÃÍœ˛" w:eastAsia="Cambria" w:hAnsi="`ÃÍœ˛" w:cs="`ÃÍœ˛"/>
          <w:lang w:eastAsia="de-DE"/>
        </w:rPr>
        <w:t>—</w:t>
      </w:r>
      <w:r w:rsidRPr="00D1484A">
        <w:rPr>
          <w:rFonts w:eastAsia="Cambria"/>
          <w:bCs/>
          <w:color w:val="000000" w:themeColor="text1"/>
          <w:szCs w:val="22"/>
        </w:rPr>
        <w:t xml:space="preserve"> Structures with concrete cores or concrete walls</w:t>
      </w:r>
    </w:p>
    <w:bookmarkEnd w:id="9342"/>
    <w:p w14:paraId="014395C0" w14:textId="31C5B7F1" w:rsidR="000B46D9" w:rsidRPr="00132C1E" w:rsidRDefault="0095269B" w:rsidP="0095269B">
      <w:pPr>
        <w:pStyle w:val="FigureImage"/>
      </w:pPr>
      <w:r>
        <w:rPr>
          <w:noProof/>
        </w:rPr>
        <w:drawing>
          <wp:inline distT="0" distB="0" distL="0" distR="0" wp14:anchorId="092E6A4D" wp14:editId="61ADC1A7">
            <wp:extent cx="719329" cy="1031750"/>
            <wp:effectExtent l="0" t="0" r="5080" b="0"/>
            <wp:docPr id="7" name="0031.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0031.tiff"/>
                    <pic:cNvPicPr/>
                  </pic:nvPicPr>
                  <pic:blipFill>
                    <a:blip r:link="rId46"/>
                    <a:stretch>
                      <a:fillRect/>
                    </a:stretch>
                  </pic:blipFill>
                  <pic:spPr>
                    <a:xfrm>
                      <a:off x="0" y="0"/>
                      <a:ext cx="719329" cy="1031750"/>
                    </a:xfrm>
                    <a:prstGeom prst="rect">
                      <a:avLst/>
                    </a:prstGeom>
                  </pic:spPr>
                </pic:pic>
              </a:graphicData>
            </a:graphic>
          </wp:inline>
        </w:drawing>
      </w:r>
    </w:p>
    <w:p w14:paraId="18D49F19" w14:textId="77AAE8CF" w:rsidR="000B46D9" w:rsidRPr="00D1484A" w:rsidRDefault="000B46D9" w:rsidP="00F71C82">
      <w:pPr>
        <w:pStyle w:val="Figuretitle"/>
      </w:pPr>
      <w:r w:rsidRPr="00D1484A">
        <w:t xml:space="preserve">Figure </w:t>
      </w:r>
      <w:r w:rsidR="00CC0F28">
        <w:t>11.10</w:t>
      </w:r>
      <w:r w:rsidRPr="00132C1E">
        <w:t> </w:t>
      </w:r>
      <w:r w:rsidRPr="00D1484A">
        <w:rPr>
          <w:rFonts w:ascii="`ÃÍœ˛" w:eastAsia="Cambria" w:hAnsi="`ÃÍœ˛" w:cs="`ÃÍœ˛"/>
          <w:szCs w:val="22"/>
          <w:lang w:eastAsia="de-DE"/>
        </w:rPr>
        <w:t>—</w:t>
      </w:r>
      <w:r w:rsidRPr="00D1484A">
        <w:t> Moment resisting frame combined with infills</w:t>
      </w:r>
    </w:p>
    <w:p w14:paraId="2FE84C57" w14:textId="672BDD50" w:rsidR="000B46D9" w:rsidRPr="00132C1E" w:rsidRDefault="0095269B" w:rsidP="0095269B">
      <w:pPr>
        <w:pStyle w:val="FigureImage"/>
      </w:pPr>
      <w:r>
        <w:rPr>
          <w:noProof/>
        </w:rPr>
        <w:lastRenderedPageBreak/>
        <w:drawing>
          <wp:inline distT="0" distB="0" distL="0" distR="0" wp14:anchorId="18D62A78" wp14:editId="78A276D3">
            <wp:extent cx="1799847" cy="1106426"/>
            <wp:effectExtent l="0" t="0" r="0" b="0"/>
            <wp:docPr id="8" name="0032.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0032.tiff"/>
                    <pic:cNvPicPr/>
                  </pic:nvPicPr>
                  <pic:blipFill>
                    <a:blip r:link="rId47"/>
                    <a:stretch>
                      <a:fillRect/>
                    </a:stretch>
                  </pic:blipFill>
                  <pic:spPr>
                    <a:xfrm>
                      <a:off x="0" y="0"/>
                      <a:ext cx="1799847" cy="1106426"/>
                    </a:xfrm>
                    <a:prstGeom prst="rect">
                      <a:avLst/>
                    </a:prstGeom>
                  </pic:spPr>
                </pic:pic>
              </a:graphicData>
            </a:graphic>
          </wp:inline>
        </w:drawing>
      </w:r>
    </w:p>
    <w:p w14:paraId="7DC564CE" w14:textId="5A0D94C3" w:rsidR="000B46D9" w:rsidRDefault="000B46D9" w:rsidP="00F71C82">
      <w:pPr>
        <w:pStyle w:val="Figuretitle"/>
      </w:pPr>
      <w:r w:rsidRPr="00D1484A">
        <w:t xml:space="preserve">Figure </w:t>
      </w:r>
      <w:r w:rsidR="00CC0F28">
        <w:t>11.11</w:t>
      </w:r>
      <w:r w:rsidRPr="00132C1E">
        <w:t> </w:t>
      </w:r>
      <w:r w:rsidRPr="00D1484A">
        <w:rPr>
          <w:rFonts w:ascii="`ÃÍœ˛" w:eastAsia="Cambria" w:hAnsi="`ÃÍœ˛" w:cs="`ÃÍœ˛"/>
          <w:szCs w:val="22"/>
          <w:lang w:eastAsia="de-DE"/>
        </w:rPr>
        <w:t>—</w:t>
      </w:r>
      <w:r w:rsidRPr="00D1484A">
        <w:t> Frame with K bracings</w:t>
      </w:r>
    </w:p>
    <w:p w14:paraId="18B92810" w14:textId="690FCC82" w:rsidR="000B46D9" w:rsidRDefault="000B46D9" w:rsidP="00724E4E">
      <w:pPr>
        <w:pStyle w:val="Clause"/>
      </w:pPr>
      <w:r>
        <w:t xml:space="preserve">Single-storey moment resisting frames in which the primary structure possesses more than one column in each resisting plane should be considered as inverted pendulum structures if </w:t>
      </w:r>
      <w:r w:rsidRPr="004F74EA">
        <w:rPr>
          <w:i/>
          <w:iCs/>
        </w:rPr>
        <w:t>N</w:t>
      </w:r>
      <w:r w:rsidRPr="004F74EA">
        <w:rPr>
          <w:vertAlign w:val="subscript"/>
        </w:rPr>
        <w:t xml:space="preserve">Ed,G </w:t>
      </w:r>
      <w:r>
        <w:t xml:space="preserve">≥ 0,3 </w:t>
      </w:r>
      <w:r w:rsidRPr="004F74EA">
        <w:rPr>
          <w:i/>
          <w:iCs/>
        </w:rPr>
        <w:t>N</w:t>
      </w:r>
      <w:r w:rsidRPr="004F74EA">
        <w:rPr>
          <w:vertAlign w:val="subscript"/>
        </w:rPr>
        <w:t xml:space="preserve">pl,Rd </w:t>
      </w:r>
      <w:r>
        <w:t>in all primary columns.</w:t>
      </w:r>
    </w:p>
    <w:p w14:paraId="1242BB5E" w14:textId="1E257E68" w:rsidR="000B46D9" w:rsidRPr="007F412C" w:rsidRDefault="000B46D9" w:rsidP="00CC0F28">
      <w:pPr>
        <w:pStyle w:val="Notetext"/>
      </w:pPr>
      <w:r w:rsidRPr="007F412C">
        <w:t>NOTE</w:t>
      </w:r>
      <w:r w:rsidRPr="007F412C">
        <w:tab/>
      </w:r>
      <w:r w:rsidRPr="007F412C">
        <w:rPr>
          <w:i/>
          <w:iCs/>
        </w:rPr>
        <w:t>N</w:t>
      </w:r>
      <w:r w:rsidRPr="007F412C">
        <w:rPr>
          <w:vertAlign w:val="subscript"/>
        </w:rPr>
        <w:t xml:space="preserve">Ed,G </w:t>
      </w:r>
      <w:r w:rsidRPr="007F412C">
        <w:t>is the axial force due to the non-seismic actions in the seismic design situation.</w:t>
      </w:r>
    </w:p>
    <w:p w14:paraId="251AB88D" w14:textId="1C3E50FA" w:rsidR="000B46D9" w:rsidRPr="00E51323" w:rsidRDefault="000B46D9" w:rsidP="00724E4E">
      <w:pPr>
        <w:pStyle w:val="Clause"/>
      </w:pPr>
      <w:r w:rsidRPr="001632DD">
        <w:t xml:space="preserve">Structural </w:t>
      </w:r>
      <w:r w:rsidRPr="000E6245">
        <w:t xml:space="preserve">systems which cannot be assigned to one of the structural </w:t>
      </w:r>
      <w:r w:rsidRPr="00E51323">
        <w:t>types in (1) may be used; they should be designed for strength according to 11.7.3.</w:t>
      </w:r>
    </w:p>
    <w:p w14:paraId="0D26C3EE" w14:textId="4BB590DA" w:rsidR="000B46D9" w:rsidRPr="00E51323" w:rsidRDefault="000B46D9" w:rsidP="00724E4E">
      <w:pPr>
        <w:pStyle w:val="Clause"/>
      </w:pPr>
      <w:r w:rsidRPr="00E51323">
        <w:t>Bracings in which the intersection of the diagonals lies on a column (usually named K bracings, see Figure 11.11) and moment resisting frames made with trussed beams and/or trussed columns belong to the structural systems mentioned in (3).</w:t>
      </w:r>
    </w:p>
    <w:p w14:paraId="2337389C" w14:textId="4F5814EA" w:rsidR="000B46D9" w:rsidRPr="00E05E29" w:rsidRDefault="000B46D9" w:rsidP="000B46D9">
      <w:pPr>
        <w:pStyle w:val="Heading3"/>
      </w:pPr>
      <w:bookmarkStart w:id="9343" w:name="_Toc76379860"/>
      <w:bookmarkStart w:id="9344" w:name="_Toc494124719"/>
      <w:bookmarkStart w:id="9345" w:name="_Toc18314101"/>
      <w:bookmarkStart w:id="9346" w:name="_Toc50150416"/>
      <w:bookmarkStart w:id="9347" w:name="_Toc70886848"/>
      <w:bookmarkStart w:id="9348" w:name="_Toc108342405"/>
      <w:bookmarkStart w:id="9349" w:name="_Toc134197937"/>
      <w:r w:rsidRPr="00E05E29">
        <w:t>Behaviour factors</w:t>
      </w:r>
      <w:bookmarkEnd w:id="9343"/>
      <w:bookmarkEnd w:id="9344"/>
      <w:bookmarkEnd w:id="9345"/>
      <w:bookmarkEnd w:id="9346"/>
      <w:bookmarkEnd w:id="9347"/>
      <w:bookmarkEnd w:id="9348"/>
      <w:bookmarkEnd w:id="9349"/>
    </w:p>
    <w:p w14:paraId="18838686" w14:textId="1F6F13D4" w:rsidR="000B46D9" w:rsidRPr="00FB236A" w:rsidRDefault="000B46D9" w:rsidP="0080187E">
      <w:pPr>
        <w:pStyle w:val="Clause"/>
        <w:numPr>
          <w:ilvl w:val="0"/>
          <w:numId w:val="362"/>
        </w:numPr>
      </w:pPr>
      <w:r w:rsidRPr="00E05E29">
        <w:t xml:space="preserve">For regular structural </w:t>
      </w:r>
      <w:r w:rsidRPr="00FB236A">
        <w:t xml:space="preserve">systems which can be assigned to one of the structural </w:t>
      </w:r>
      <w:r w:rsidRPr="00DE565A">
        <w:t xml:space="preserve">types in 11.4.1(1), the behaviour factor components </w:t>
      </w:r>
      <w:r w:rsidRPr="00DE565A">
        <w:rPr>
          <w:i/>
        </w:rPr>
        <w:t>q</w:t>
      </w:r>
      <w:r w:rsidRPr="00DE565A">
        <w:rPr>
          <w:iCs/>
          <w:vertAlign w:val="subscript"/>
        </w:rPr>
        <w:t>D</w:t>
      </w:r>
      <w:r w:rsidRPr="00DE565A">
        <w:t xml:space="preserve"> and </w:t>
      </w:r>
      <w:r w:rsidRPr="00DE565A">
        <w:rPr>
          <w:i/>
        </w:rPr>
        <w:t>q</w:t>
      </w:r>
      <w:r w:rsidRPr="00DE565A">
        <w:rPr>
          <w:iCs/>
          <w:vertAlign w:val="subscript"/>
        </w:rPr>
        <w:t>R</w:t>
      </w:r>
      <w:r w:rsidRPr="00DE565A">
        <w:t xml:space="preserve"> and the behaviour factor </w:t>
      </w:r>
      <w:r w:rsidRPr="00DE565A">
        <w:rPr>
          <w:i/>
          <w:iCs/>
        </w:rPr>
        <w:t>q</w:t>
      </w:r>
      <w:r w:rsidRPr="00DE565A">
        <w:t xml:space="preserve"> may be taken with the default values given in Table 11.2, provided that 11.8 to 11.16 are </w:t>
      </w:r>
      <w:r w:rsidRPr="00FB236A">
        <w:t>satisfied.</w:t>
      </w:r>
    </w:p>
    <w:p w14:paraId="08CC91F5" w14:textId="2987FD9E" w:rsidR="000B46D9" w:rsidRPr="00D1484A" w:rsidRDefault="000B46D9" w:rsidP="00CC0F28">
      <w:pPr>
        <w:pStyle w:val="Tabletitle"/>
        <w:rPr>
          <w:sz w:val="20"/>
        </w:rPr>
      </w:pPr>
      <w:bookmarkStart w:id="9350" w:name="_Ref536106454"/>
      <w:r w:rsidRPr="00FB236A">
        <w:t xml:space="preserve">Table </w:t>
      </w:r>
      <w:r w:rsidR="00CC0F28">
        <w:t>11</w:t>
      </w:r>
      <w:r w:rsidRPr="00FB236A">
        <w:t>.</w:t>
      </w:r>
      <w:bookmarkEnd w:id="9350"/>
      <w:r w:rsidRPr="00FB236A">
        <w:t xml:space="preserve">2 — Default upper </w:t>
      </w:r>
      <w:r w:rsidRPr="00132C1E">
        <w:t xml:space="preserve">limit values of behaviour factors for steel systems regular in </w:t>
      </w:r>
      <w:r w:rsidRPr="00D1484A">
        <w:t>elevation</w:t>
      </w:r>
    </w:p>
    <w:tbl>
      <w:tblPr>
        <w:tblW w:w="9871" w:type="dxa"/>
        <w:jc w:val="center"/>
        <w:tblCellMar>
          <w:left w:w="70" w:type="dxa"/>
          <w:right w:w="70" w:type="dxa"/>
        </w:tblCellMar>
        <w:tblLook w:val="04A0" w:firstRow="1" w:lastRow="0" w:firstColumn="1" w:lastColumn="0" w:noHBand="0" w:noVBand="1"/>
      </w:tblPr>
      <w:tblGrid>
        <w:gridCol w:w="5962"/>
        <w:gridCol w:w="677"/>
        <w:gridCol w:w="599"/>
        <w:gridCol w:w="710"/>
        <w:gridCol w:w="623"/>
        <w:gridCol w:w="651"/>
        <w:gridCol w:w="649"/>
      </w:tblGrid>
      <w:tr w:rsidR="00DE565A" w:rsidRPr="00CC0F28" w14:paraId="490B059C" w14:textId="77777777" w:rsidTr="007D7E6D">
        <w:trPr>
          <w:trHeight w:val="300"/>
          <w:tblHeader/>
          <w:jc w:val="center"/>
        </w:trPr>
        <w:tc>
          <w:tcPr>
            <w:tcW w:w="5962" w:type="dxa"/>
            <w:vMerge w:val="restart"/>
            <w:tcBorders>
              <w:top w:val="single" w:sz="8" w:space="0" w:color="auto"/>
              <w:left w:val="single" w:sz="8" w:space="0" w:color="auto"/>
              <w:right w:val="single" w:sz="8" w:space="0" w:color="auto"/>
            </w:tcBorders>
            <w:shd w:val="clear" w:color="auto" w:fill="auto"/>
            <w:tcMar>
              <w:left w:w="28" w:type="dxa"/>
              <w:right w:w="28" w:type="dxa"/>
            </w:tcMar>
            <w:vAlign w:val="center"/>
            <w:hideMark/>
          </w:tcPr>
          <w:p w14:paraId="2B081E3A" w14:textId="10A05C97" w:rsidR="00DE565A" w:rsidRPr="00DE565A" w:rsidRDefault="00DE565A" w:rsidP="002061E5">
            <w:pPr>
              <w:jc w:val="center"/>
              <w:rPr>
                <w:rFonts w:asciiTheme="majorHAnsi" w:hAnsiTheme="majorHAnsi"/>
                <w:b/>
                <w:bCs/>
              </w:rPr>
            </w:pPr>
            <w:r w:rsidRPr="00DE565A">
              <w:rPr>
                <w:rFonts w:asciiTheme="majorHAnsi" w:hAnsiTheme="majorHAnsi"/>
                <w:b/>
                <w:bCs/>
              </w:rPr>
              <w:t>Structural Type</w:t>
            </w:r>
          </w:p>
        </w:tc>
        <w:tc>
          <w:tcPr>
            <w:tcW w:w="3909" w:type="dxa"/>
            <w:gridSpan w:val="6"/>
            <w:tcBorders>
              <w:top w:val="single" w:sz="8" w:space="0" w:color="auto"/>
              <w:left w:val="single" w:sz="8" w:space="0" w:color="auto"/>
              <w:bottom w:val="single" w:sz="8" w:space="0" w:color="auto"/>
              <w:right w:val="single" w:sz="8" w:space="0" w:color="auto"/>
            </w:tcBorders>
            <w:shd w:val="clear" w:color="auto" w:fill="auto"/>
            <w:tcMar>
              <w:left w:w="28" w:type="dxa"/>
              <w:right w:w="28" w:type="dxa"/>
            </w:tcMar>
            <w:vAlign w:val="center"/>
          </w:tcPr>
          <w:p w14:paraId="717C4FB7" w14:textId="77777777" w:rsidR="00DE565A" w:rsidRPr="00DE565A" w:rsidRDefault="00DE565A" w:rsidP="002061E5">
            <w:pPr>
              <w:jc w:val="center"/>
              <w:rPr>
                <w:rFonts w:asciiTheme="majorHAnsi" w:hAnsiTheme="majorHAnsi"/>
                <w:b/>
                <w:bCs/>
              </w:rPr>
            </w:pPr>
            <w:r w:rsidRPr="00DE565A">
              <w:rPr>
                <w:rFonts w:asciiTheme="majorHAnsi" w:hAnsiTheme="majorHAnsi"/>
                <w:b/>
                <w:bCs/>
              </w:rPr>
              <w:t>Ductility Class</w:t>
            </w:r>
            <w:r w:rsidRPr="00DE565A" w:rsidDel="009971D8">
              <w:rPr>
                <w:rFonts w:asciiTheme="majorHAnsi" w:hAnsiTheme="majorHAnsi"/>
                <w:b/>
                <w:bCs/>
              </w:rPr>
              <w:t xml:space="preserve"> </w:t>
            </w:r>
          </w:p>
        </w:tc>
      </w:tr>
      <w:tr w:rsidR="00DE565A" w:rsidRPr="00CC0F28" w14:paraId="7230215C" w14:textId="77777777" w:rsidTr="007D7E6D">
        <w:trPr>
          <w:trHeight w:val="300"/>
          <w:tblHeader/>
          <w:jc w:val="center"/>
        </w:trPr>
        <w:tc>
          <w:tcPr>
            <w:tcW w:w="5962" w:type="dxa"/>
            <w:vMerge/>
            <w:tcBorders>
              <w:left w:val="single" w:sz="8" w:space="0" w:color="auto"/>
              <w:right w:val="single" w:sz="8" w:space="0" w:color="auto"/>
            </w:tcBorders>
            <w:shd w:val="clear" w:color="auto" w:fill="auto"/>
            <w:tcMar>
              <w:left w:w="28" w:type="dxa"/>
              <w:right w:w="28" w:type="dxa"/>
            </w:tcMar>
            <w:vAlign w:val="center"/>
          </w:tcPr>
          <w:p w14:paraId="46E2FB54" w14:textId="673E0EDB" w:rsidR="00DE565A" w:rsidRPr="00DE565A" w:rsidRDefault="00DE565A" w:rsidP="002061E5">
            <w:pPr>
              <w:jc w:val="center"/>
              <w:rPr>
                <w:rFonts w:asciiTheme="majorHAnsi" w:hAnsiTheme="majorHAnsi"/>
                <w:b/>
                <w:bCs/>
              </w:rPr>
            </w:pPr>
          </w:p>
        </w:tc>
        <w:tc>
          <w:tcPr>
            <w:tcW w:w="1986" w:type="dxa"/>
            <w:gridSpan w:val="3"/>
            <w:tcBorders>
              <w:top w:val="single" w:sz="8" w:space="0" w:color="auto"/>
              <w:left w:val="single" w:sz="8" w:space="0" w:color="auto"/>
              <w:bottom w:val="single" w:sz="8" w:space="0" w:color="auto"/>
              <w:right w:val="single" w:sz="8" w:space="0" w:color="auto"/>
            </w:tcBorders>
            <w:shd w:val="clear" w:color="auto" w:fill="auto"/>
            <w:tcMar>
              <w:left w:w="28" w:type="dxa"/>
              <w:right w:w="28" w:type="dxa"/>
            </w:tcMar>
            <w:vAlign w:val="center"/>
          </w:tcPr>
          <w:p w14:paraId="0CD08E33" w14:textId="77777777" w:rsidR="00DE565A" w:rsidRPr="00DE565A" w:rsidRDefault="00DE565A" w:rsidP="002061E5">
            <w:pPr>
              <w:jc w:val="center"/>
              <w:rPr>
                <w:rFonts w:asciiTheme="majorHAnsi" w:hAnsiTheme="majorHAnsi"/>
                <w:b/>
                <w:bCs/>
              </w:rPr>
            </w:pPr>
            <w:r w:rsidRPr="00DE565A">
              <w:rPr>
                <w:rFonts w:asciiTheme="majorHAnsi" w:hAnsiTheme="majorHAnsi"/>
                <w:b/>
                <w:bCs/>
              </w:rPr>
              <w:t>DC2</w:t>
            </w:r>
          </w:p>
        </w:tc>
        <w:tc>
          <w:tcPr>
            <w:tcW w:w="1923" w:type="dxa"/>
            <w:gridSpan w:val="3"/>
            <w:tcBorders>
              <w:top w:val="single" w:sz="8" w:space="0" w:color="auto"/>
              <w:left w:val="single" w:sz="8" w:space="0" w:color="auto"/>
              <w:bottom w:val="single" w:sz="8" w:space="0" w:color="auto"/>
              <w:right w:val="single" w:sz="8" w:space="0" w:color="auto"/>
            </w:tcBorders>
            <w:shd w:val="clear" w:color="auto" w:fill="auto"/>
            <w:tcMar>
              <w:left w:w="28" w:type="dxa"/>
              <w:right w:w="28" w:type="dxa"/>
            </w:tcMar>
            <w:vAlign w:val="center"/>
          </w:tcPr>
          <w:p w14:paraId="37EBF559" w14:textId="77777777" w:rsidR="00DE565A" w:rsidRPr="00DE565A" w:rsidRDefault="00DE565A" w:rsidP="002061E5">
            <w:pPr>
              <w:jc w:val="center"/>
              <w:rPr>
                <w:rFonts w:asciiTheme="majorHAnsi" w:hAnsiTheme="majorHAnsi"/>
                <w:b/>
                <w:bCs/>
              </w:rPr>
            </w:pPr>
            <w:r w:rsidRPr="00DE565A">
              <w:rPr>
                <w:rFonts w:asciiTheme="majorHAnsi" w:hAnsiTheme="majorHAnsi"/>
                <w:b/>
                <w:bCs/>
              </w:rPr>
              <w:t>DC3</w:t>
            </w:r>
          </w:p>
        </w:tc>
      </w:tr>
      <w:tr w:rsidR="00DE565A" w:rsidRPr="00CC0F28" w14:paraId="3AA629E9" w14:textId="77777777" w:rsidTr="007D7E6D">
        <w:trPr>
          <w:trHeight w:val="300"/>
          <w:tblHeader/>
          <w:jc w:val="center"/>
        </w:trPr>
        <w:tc>
          <w:tcPr>
            <w:tcW w:w="5962" w:type="dxa"/>
            <w:vMerge/>
            <w:tcBorders>
              <w:left w:val="single" w:sz="8" w:space="0" w:color="auto"/>
              <w:bottom w:val="single" w:sz="4" w:space="0" w:color="auto"/>
              <w:right w:val="single" w:sz="8" w:space="0" w:color="auto"/>
            </w:tcBorders>
            <w:shd w:val="clear" w:color="auto" w:fill="auto"/>
            <w:tcMar>
              <w:left w:w="28" w:type="dxa"/>
              <w:right w:w="28" w:type="dxa"/>
            </w:tcMar>
            <w:vAlign w:val="center"/>
          </w:tcPr>
          <w:p w14:paraId="3B7CB1F2" w14:textId="77777777" w:rsidR="00DE565A" w:rsidRPr="00DE565A" w:rsidRDefault="00DE565A" w:rsidP="002061E5">
            <w:pPr>
              <w:jc w:val="center"/>
              <w:rPr>
                <w:rFonts w:asciiTheme="majorHAnsi" w:hAnsiTheme="majorHAnsi"/>
                <w:b/>
                <w:bCs/>
              </w:rPr>
            </w:pPr>
          </w:p>
        </w:tc>
        <w:tc>
          <w:tcPr>
            <w:tcW w:w="677" w:type="dxa"/>
            <w:tcBorders>
              <w:top w:val="single" w:sz="8" w:space="0" w:color="auto"/>
              <w:left w:val="single" w:sz="8" w:space="0" w:color="auto"/>
              <w:bottom w:val="single" w:sz="4" w:space="0" w:color="auto"/>
              <w:right w:val="single" w:sz="8" w:space="0" w:color="auto"/>
            </w:tcBorders>
            <w:shd w:val="clear" w:color="auto" w:fill="auto"/>
            <w:tcMar>
              <w:left w:w="28" w:type="dxa"/>
              <w:right w:w="28" w:type="dxa"/>
            </w:tcMar>
            <w:vAlign w:val="center"/>
          </w:tcPr>
          <w:p w14:paraId="39C35D91" w14:textId="77777777" w:rsidR="00DE565A" w:rsidRPr="00DE565A" w:rsidRDefault="00DE565A" w:rsidP="002061E5">
            <w:pPr>
              <w:jc w:val="center"/>
              <w:rPr>
                <w:rFonts w:asciiTheme="majorHAnsi" w:hAnsiTheme="majorHAnsi"/>
                <w:b/>
                <w:bCs/>
              </w:rPr>
            </w:pPr>
            <w:r w:rsidRPr="00DE565A">
              <w:rPr>
                <w:rFonts w:asciiTheme="majorHAnsi" w:hAnsiTheme="majorHAnsi"/>
                <w:b/>
                <w:bCs/>
                <w:i/>
              </w:rPr>
              <w:t>q</w:t>
            </w:r>
            <w:r w:rsidRPr="00DE565A">
              <w:rPr>
                <w:rFonts w:asciiTheme="majorHAnsi" w:hAnsiTheme="majorHAnsi"/>
                <w:b/>
                <w:bCs/>
                <w:vertAlign w:val="subscript"/>
              </w:rPr>
              <w:t>D</w:t>
            </w:r>
          </w:p>
        </w:tc>
        <w:tc>
          <w:tcPr>
            <w:tcW w:w="599" w:type="dxa"/>
            <w:tcBorders>
              <w:top w:val="single" w:sz="8" w:space="0" w:color="auto"/>
              <w:left w:val="single" w:sz="8" w:space="0" w:color="auto"/>
              <w:bottom w:val="single" w:sz="4" w:space="0" w:color="auto"/>
              <w:right w:val="single" w:sz="8" w:space="0" w:color="auto"/>
            </w:tcBorders>
            <w:shd w:val="clear" w:color="auto" w:fill="auto"/>
            <w:tcMar>
              <w:left w:w="28" w:type="dxa"/>
              <w:right w:w="28" w:type="dxa"/>
            </w:tcMar>
            <w:vAlign w:val="center"/>
          </w:tcPr>
          <w:p w14:paraId="16E9568D" w14:textId="77777777" w:rsidR="00DE565A" w:rsidRPr="00DE565A" w:rsidRDefault="00DE565A" w:rsidP="002061E5">
            <w:pPr>
              <w:jc w:val="center"/>
              <w:rPr>
                <w:rFonts w:asciiTheme="majorHAnsi" w:hAnsiTheme="majorHAnsi"/>
                <w:b/>
                <w:bCs/>
              </w:rPr>
            </w:pPr>
            <w:r w:rsidRPr="00DE565A">
              <w:rPr>
                <w:rFonts w:asciiTheme="majorHAnsi" w:hAnsiTheme="majorHAnsi"/>
                <w:b/>
                <w:bCs/>
                <w:i/>
              </w:rPr>
              <w:t>q</w:t>
            </w:r>
            <w:r w:rsidRPr="00DE565A">
              <w:rPr>
                <w:rFonts w:asciiTheme="majorHAnsi" w:hAnsiTheme="majorHAnsi"/>
                <w:b/>
                <w:bCs/>
                <w:vertAlign w:val="subscript"/>
              </w:rPr>
              <w:t>R</w:t>
            </w:r>
          </w:p>
        </w:tc>
        <w:tc>
          <w:tcPr>
            <w:tcW w:w="710" w:type="dxa"/>
            <w:tcBorders>
              <w:top w:val="single" w:sz="8" w:space="0" w:color="auto"/>
              <w:left w:val="single" w:sz="8" w:space="0" w:color="auto"/>
              <w:bottom w:val="single" w:sz="4" w:space="0" w:color="auto"/>
              <w:right w:val="single" w:sz="8" w:space="0" w:color="auto"/>
            </w:tcBorders>
            <w:shd w:val="clear" w:color="auto" w:fill="auto"/>
            <w:tcMar>
              <w:left w:w="28" w:type="dxa"/>
              <w:right w:w="28" w:type="dxa"/>
            </w:tcMar>
            <w:vAlign w:val="center"/>
          </w:tcPr>
          <w:p w14:paraId="10AA0EA8" w14:textId="77777777" w:rsidR="00DE565A" w:rsidRPr="00DE565A" w:rsidRDefault="00DE565A" w:rsidP="002061E5">
            <w:pPr>
              <w:jc w:val="center"/>
              <w:rPr>
                <w:rFonts w:asciiTheme="majorHAnsi" w:hAnsiTheme="majorHAnsi"/>
                <w:b/>
                <w:bCs/>
                <w:i/>
              </w:rPr>
            </w:pPr>
            <w:r w:rsidRPr="00DE565A">
              <w:rPr>
                <w:rFonts w:asciiTheme="majorHAnsi" w:hAnsiTheme="majorHAnsi"/>
                <w:b/>
                <w:bCs/>
                <w:i/>
              </w:rPr>
              <w:t>q</w:t>
            </w:r>
          </w:p>
        </w:tc>
        <w:tc>
          <w:tcPr>
            <w:tcW w:w="623" w:type="dxa"/>
            <w:tcBorders>
              <w:top w:val="single" w:sz="8" w:space="0" w:color="auto"/>
              <w:left w:val="single" w:sz="8" w:space="0" w:color="auto"/>
              <w:bottom w:val="single" w:sz="4" w:space="0" w:color="auto"/>
              <w:right w:val="single" w:sz="8" w:space="0" w:color="auto"/>
            </w:tcBorders>
            <w:shd w:val="clear" w:color="auto" w:fill="auto"/>
            <w:tcMar>
              <w:left w:w="28" w:type="dxa"/>
              <w:right w:w="28" w:type="dxa"/>
            </w:tcMar>
            <w:vAlign w:val="center"/>
          </w:tcPr>
          <w:p w14:paraId="6700F5AE" w14:textId="77777777" w:rsidR="00DE565A" w:rsidRPr="00DE565A" w:rsidRDefault="00DE565A" w:rsidP="002061E5">
            <w:pPr>
              <w:jc w:val="center"/>
              <w:rPr>
                <w:rFonts w:asciiTheme="majorHAnsi" w:hAnsiTheme="majorHAnsi"/>
                <w:b/>
                <w:bCs/>
              </w:rPr>
            </w:pPr>
            <w:r w:rsidRPr="00DE565A">
              <w:rPr>
                <w:rFonts w:asciiTheme="majorHAnsi" w:hAnsiTheme="majorHAnsi"/>
                <w:b/>
                <w:bCs/>
                <w:i/>
              </w:rPr>
              <w:t>q</w:t>
            </w:r>
            <w:r w:rsidRPr="00DE565A">
              <w:rPr>
                <w:rFonts w:asciiTheme="majorHAnsi" w:hAnsiTheme="majorHAnsi"/>
                <w:b/>
                <w:bCs/>
                <w:vertAlign w:val="subscript"/>
              </w:rPr>
              <w:t>D</w:t>
            </w:r>
          </w:p>
        </w:tc>
        <w:tc>
          <w:tcPr>
            <w:tcW w:w="651" w:type="dxa"/>
            <w:tcBorders>
              <w:top w:val="single" w:sz="8" w:space="0" w:color="auto"/>
              <w:left w:val="single" w:sz="8" w:space="0" w:color="auto"/>
              <w:bottom w:val="single" w:sz="4" w:space="0" w:color="auto"/>
              <w:right w:val="single" w:sz="8" w:space="0" w:color="auto"/>
            </w:tcBorders>
            <w:shd w:val="clear" w:color="auto" w:fill="auto"/>
            <w:tcMar>
              <w:left w:w="28" w:type="dxa"/>
              <w:right w:w="28" w:type="dxa"/>
            </w:tcMar>
            <w:vAlign w:val="center"/>
          </w:tcPr>
          <w:p w14:paraId="2ADE0C53" w14:textId="77777777" w:rsidR="00DE565A" w:rsidRPr="00DE565A" w:rsidRDefault="00DE565A" w:rsidP="002061E5">
            <w:pPr>
              <w:jc w:val="center"/>
              <w:rPr>
                <w:rFonts w:asciiTheme="majorHAnsi" w:hAnsiTheme="majorHAnsi"/>
                <w:b/>
                <w:bCs/>
              </w:rPr>
            </w:pPr>
            <w:r w:rsidRPr="00DE565A">
              <w:rPr>
                <w:rFonts w:asciiTheme="majorHAnsi" w:hAnsiTheme="majorHAnsi"/>
                <w:b/>
                <w:bCs/>
                <w:i/>
              </w:rPr>
              <w:t>q</w:t>
            </w:r>
            <w:r w:rsidRPr="00DE565A">
              <w:rPr>
                <w:rFonts w:asciiTheme="majorHAnsi" w:hAnsiTheme="majorHAnsi"/>
                <w:b/>
                <w:bCs/>
                <w:vertAlign w:val="subscript"/>
              </w:rPr>
              <w:t>R</w:t>
            </w:r>
          </w:p>
        </w:tc>
        <w:tc>
          <w:tcPr>
            <w:tcW w:w="649" w:type="dxa"/>
            <w:tcBorders>
              <w:top w:val="single" w:sz="8" w:space="0" w:color="auto"/>
              <w:left w:val="single" w:sz="8" w:space="0" w:color="auto"/>
              <w:bottom w:val="single" w:sz="4" w:space="0" w:color="auto"/>
              <w:right w:val="single" w:sz="8" w:space="0" w:color="auto"/>
            </w:tcBorders>
            <w:shd w:val="clear" w:color="auto" w:fill="auto"/>
            <w:tcMar>
              <w:left w:w="28" w:type="dxa"/>
              <w:right w:w="28" w:type="dxa"/>
            </w:tcMar>
            <w:vAlign w:val="center"/>
          </w:tcPr>
          <w:p w14:paraId="238B8626" w14:textId="77777777" w:rsidR="00DE565A" w:rsidRPr="00DE565A" w:rsidRDefault="00DE565A" w:rsidP="002061E5">
            <w:pPr>
              <w:jc w:val="center"/>
              <w:rPr>
                <w:rFonts w:asciiTheme="majorHAnsi" w:hAnsiTheme="majorHAnsi"/>
                <w:b/>
                <w:bCs/>
                <w:i/>
              </w:rPr>
            </w:pPr>
            <w:r w:rsidRPr="00DE565A">
              <w:rPr>
                <w:rFonts w:asciiTheme="majorHAnsi" w:hAnsiTheme="majorHAnsi"/>
                <w:b/>
                <w:bCs/>
                <w:i/>
              </w:rPr>
              <w:t>q</w:t>
            </w:r>
          </w:p>
        </w:tc>
      </w:tr>
      <w:tr w:rsidR="000B46D9" w:rsidRPr="00CC0F28" w14:paraId="1A639B99" w14:textId="77777777" w:rsidTr="00DE565A">
        <w:trPr>
          <w:trHeight w:val="288"/>
          <w:jc w:val="center"/>
        </w:trPr>
        <w:tc>
          <w:tcPr>
            <w:tcW w:w="5962" w:type="dxa"/>
            <w:tcBorders>
              <w:top w:val="single" w:sz="4" w:space="0" w:color="auto"/>
              <w:left w:val="single" w:sz="8" w:space="0" w:color="auto"/>
              <w:right w:val="single" w:sz="8" w:space="0" w:color="auto"/>
            </w:tcBorders>
            <w:shd w:val="clear" w:color="auto" w:fill="auto"/>
            <w:tcMar>
              <w:left w:w="57" w:type="dxa"/>
              <w:right w:w="28" w:type="dxa"/>
            </w:tcMar>
            <w:vAlign w:val="center"/>
            <w:hideMark/>
          </w:tcPr>
          <w:p w14:paraId="13A29BC6" w14:textId="77777777" w:rsidR="000B46D9" w:rsidRPr="00CC0F28" w:rsidRDefault="000B46D9" w:rsidP="002061E5">
            <w:pPr>
              <w:rPr>
                <w:rFonts w:asciiTheme="majorHAnsi" w:hAnsiTheme="majorHAnsi"/>
              </w:rPr>
            </w:pPr>
            <w:r w:rsidRPr="00CC0F28">
              <w:rPr>
                <w:rFonts w:asciiTheme="majorHAnsi" w:hAnsiTheme="majorHAnsi"/>
              </w:rPr>
              <w:t>a) Moment resisting frames (MRFs)</w:t>
            </w:r>
          </w:p>
        </w:tc>
        <w:tc>
          <w:tcPr>
            <w:tcW w:w="677" w:type="dxa"/>
            <w:tcBorders>
              <w:top w:val="single" w:sz="4" w:space="0" w:color="auto"/>
              <w:left w:val="single" w:sz="8" w:space="0" w:color="auto"/>
              <w:right w:val="single" w:sz="8" w:space="0" w:color="auto"/>
            </w:tcBorders>
            <w:shd w:val="clear" w:color="auto" w:fill="auto"/>
            <w:tcMar>
              <w:left w:w="28" w:type="dxa"/>
              <w:right w:w="28" w:type="dxa"/>
            </w:tcMar>
            <w:vAlign w:val="center"/>
          </w:tcPr>
          <w:p w14:paraId="603EC362" w14:textId="77777777" w:rsidR="000B46D9" w:rsidRPr="00CC0F28" w:rsidRDefault="000B46D9" w:rsidP="002061E5">
            <w:pPr>
              <w:jc w:val="center"/>
              <w:rPr>
                <w:rFonts w:asciiTheme="majorHAnsi" w:hAnsiTheme="majorHAnsi"/>
              </w:rPr>
            </w:pPr>
          </w:p>
        </w:tc>
        <w:tc>
          <w:tcPr>
            <w:tcW w:w="599" w:type="dxa"/>
            <w:tcBorders>
              <w:top w:val="single" w:sz="4" w:space="0" w:color="auto"/>
              <w:left w:val="single" w:sz="8" w:space="0" w:color="auto"/>
              <w:right w:val="single" w:sz="8" w:space="0" w:color="auto"/>
            </w:tcBorders>
            <w:shd w:val="clear" w:color="auto" w:fill="auto"/>
            <w:tcMar>
              <w:left w:w="28" w:type="dxa"/>
              <w:right w:w="28" w:type="dxa"/>
            </w:tcMar>
            <w:vAlign w:val="center"/>
          </w:tcPr>
          <w:p w14:paraId="62DA793D" w14:textId="77777777" w:rsidR="000B46D9" w:rsidRPr="00CC0F28" w:rsidRDefault="000B46D9" w:rsidP="002061E5">
            <w:pPr>
              <w:jc w:val="center"/>
              <w:rPr>
                <w:rFonts w:asciiTheme="majorHAnsi" w:hAnsiTheme="majorHAnsi"/>
              </w:rPr>
            </w:pPr>
          </w:p>
        </w:tc>
        <w:tc>
          <w:tcPr>
            <w:tcW w:w="710" w:type="dxa"/>
            <w:tcBorders>
              <w:top w:val="single" w:sz="4" w:space="0" w:color="auto"/>
              <w:left w:val="single" w:sz="8" w:space="0" w:color="auto"/>
              <w:right w:val="single" w:sz="8" w:space="0" w:color="auto"/>
            </w:tcBorders>
            <w:shd w:val="clear" w:color="auto" w:fill="auto"/>
            <w:tcMar>
              <w:left w:w="28" w:type="dxa"/>
              <w:right w:w="28" w:type="dxa"/>
            </w:tcMar>
            <w:vAlign w:val="center"/>
          </w:tcPr>
          <w:p w14:paraId="726A15EA" w14:textId="77777777" w:rsidR="000B46D9" w:rsidRPr="00CC0F28" w:rsidRDefault="000B46D9" w:rsidP="002061E5">
            <w:pPr>
              <w:jc w:val="center"/>
              <w:rPr>
                <w:rFonts w:asciiTheme="majorHAnsi" w:hAnsiTheme="majorHAnsi"/>
              </w:rPr>
            </w:pPr>
          </w:p>
        </w:tc>
        <w:tc>
          <w:tcPr>
            <w:tcW w:w="623" w:type="dxa"/>
            <w:tcBorders>
              <w:top w:val="single" w:sz="4" w:space="0" w:color="auto"/>
              <w:left w:val="single" w:sz="8" w:space="0" w:color="auto"/>
              <w:right w:val="single" w:sz="8" w:space="0" w:color="auto"/>
            </w:tcBorders>
            <w:shd w:val="clear" w:color="auto" w:fill="auto"/>
            <w:tcMar>
              <w:left w:w="28" w:type="dxa"/>
              <w:right w:w="28" w:type="dxa"/>
            </w:tcMar>
            <w:vAlign w:val="center"/>
            <w:hideMark/>
          </w:tcPr>
          <w:p w14:paraId="6AD79C67" w14:textId="77777777" w:rsidR="000B46D9" w:rsidRPr="00CC0F28" w:rsidRDefault="000B46D9" w:rsidP="002061E5">
            <w:pPr>
              <w:jc w:val="center"/>
              <w:rPr>
                <w:rFonts w:asciiTheme="majorHAnsi" w:hAnsiTheme="majorHAnsi"/>
              </w:rPr>
            </w:pPr>
          </w:p>
        </w:tc>
        <w:tc>
          <w:tcPr>
            <w:tcW w:w="651" w:type="dxa"/>
            <w:tcBorders>
              <w:top w:val="single" w:sz="4" w:space="0" w:color="auto"/>
              <w:left w:val="single" w:sz="8" w:space="0" w:color="auto"/>
              <w:right w:val="single" w:sz="8" w:space="0" w:color="auto"/>
            </w:tcBorders>
            <w:shd w:val="clear" w:color="auto" w:fill="auto"/>
            <w:tcMar>
              <w:left w:w="28" w:type="dxa"/>
              <w:right w:w="28" w:type="dxa"/>
            </w:tcMar>
            <w:vAlign w:val="center"/>
            <w:hideMark/>
          </w:tcPr>
          <w:p w14:paraId="6C9818EC" w14:textId="77777777" w:rsidR="000B46D9" w:rsidRPr="00CC0F28" w:rsidRDefault="000B46D9" w:rsidP="002061E5">
            <w:pPr>
              <w:jc w:val="center"/>
              <w:rPr>
                <w:rFonts w:asciiTheme="majorHAnsi" w:hAnsiTheme="majorHAnsi"/>
              </w:rPr>
            </w:pPr>
          </w:p>
        </w:tc>
        <w:tc>
          <w:tcPr>
            <w:tcW w:w="649" w:type="dxa"/>
            <w:tcBorders>
              <w:top w:val="single" w:sz="4" w:space="0" w:color="auto"/>
              <w:left w:val="single" w:sz="8" w:space="0" w:color="auto"/>
              <w:right w:val="single" w:sz="8" w:space="0" w:color="auto"/>
            </w:tcBorders>
            <w:shd w:val="clear" w:color="auto" w:fill="auto"/>
            <w:tcMar>
              <w:left w:w="28" w:type="dxa"/>
              <w:right w:w="28" w:type="dxa"/>
            </w:tcMar>
            <w:vAlign w:val="center"/>
            <w:hideMark/>
          </w:tcPr>
          <w:p w14:paraId="2200F92B" w14:textId="77777777" w:rsidR="000B46D9" w:rsidRPr="00CC0F28" w:rsidRDefault="000B46D9" w:rsidP="002061E5">
            <w:pPr>
              <w:jc w:val="center"/>
              <w:rPr>
                <w:rFonts w:asciiTheme="majorHAnsi" w:hAnsiTheme="majorHAnsi"/>
              </w:rPr>
            </w:pPr>
          </w:p>
        </w:tc>
      </w:tr>
      <w:tr w:rsidR="000B46D9" w:rsidRPr="00CC0F28" w14:paraId="485366E7" w14:textId="77777777" w:rsidTr="00CC0F28">
        <w:trPr>
          <w:trHeight w:val="288"/>
          <w:jc w:val="center"/>
        </w:trPr>
        <w:tc>
          <w:tcPr>
            <w:tcW w:w="5962" w:type="dxa"/>
            <w:tcBorders>
              <w:left w:val="single" w:sz="8" w:space="0" w:color="auto"/>
              <w:right w:val="single" w:sz="8" w:space="0" w:color="auto"/>
            </w:tcBorders>
            <w:shd w:val="clear" w:color="auto" w:fill="auto"/>
            <w:tcMar>
              <w:left w:w="57" w:type="dxa"/>
              <w:right w:w="28" w:type="dxa"/>
            </w:tcMar>
            <w:vAlign w:val="center"/>
          </w:tcPr>
          <w:p w14:paraId="7A55002A" w14:textId="77777777" w:rsidR="000B46D9" w:rsidRPr="00CC0F28" w:rsidRDefault="000B46D9" w:rsidP="002061E5">
            <w:pPr>
              <w:rPr>
                <w:rFonts w:asciiTheme="majorHAnsi" w:hAnsiTheme="majorHAnsi"/>
              </w:rPr>
            </w:pPr>
            <w:r w:rsidRPr="00CC0F28">
              <w:rPr>
                <w:rFonts w:asciiTheme="majorHAnsi" w:hAnsiTheme="majorHAnsi"/>
              </w:rPr>
              <w:t>Portal frames and single-storey MRFs with class 3 and 4 cross sections</w:t>
            </w:r>
          </w:p>
        </w:tc>
        <w:tc>
          <w:tcPr>
            <w:tcW w:w="677" w:type="dxa"/>
            <w:tcBorders>
              <w:left w:val="single" w:sz="8" w:space="0" w:color="auto"/>
              <w:right w:val="single" w:sz="8" w:space="0" w:color="auto"/>
            </w:tcBorders>
            <w:shd w:val="clear" w:color="auto" w:fill="auto"/>
            <w:tcMar>
              <w:left w:w="28" w:type="dxa"/>
              <w:right w:w="28" w:type="dxa"/>
            </w:tcMar>
            <w:vAlign w:val="center"/>
          </w:tcPr>
          <w:p w14:paraId="29F44551" w14:textId="77777777" w:rsidR="000B46D9" w:rsidRPr="00CC0F28" w:rsidRDefault="000B46D9" w:rsidP="002061E5">
            <w:pPr>
              <w:jc w:val="center"/>
              <w:rPr>
                <w:rFonts w:asciiTheme="majorHAnsi" w:hAnsiTheme="majorHAnsi"/>
              </w:rPr>
            </w:pPr>
            <w:r w:rsidRPr="00CC0F28">
              <w:rPr>
                <w:rFonts w:asciiTheme="majorHAnsi" w:hAnsiTheme="majorHAnsi"/>
              </w:rPr>
              <w:t>1,3</w:t>
            </w:r>
          </w:p>
        </w:tc>
        <w:tc>
          <w:tcPr>
            <w:tcW w:w="599" w:type="dxa"/>
            <w:tcBorders>
              <w:left w:val="single" w:sz="8" w:space="0" w:color="auto"/>
              <w:right w:val="single" w:sz="8" w:space="0" w:color="auto"/>
            </w:tcBorders>
            <w:shd w:val="clear" w:color="auto" w:fill="auto"/>
            <w:tcMar>
              <w:left w:w="28" w:type="dxa"/>
              <w:right w:w="28" w:type="dxa"/>
            </w:tcMar>
            <w:vAlign w:val="center"/>
          </w:tcPr>
          <w:p w14:paraId="1B140A39" w14:textId="77777777" w:rsidR="000B46D9" w:rsidRPr="00CC0F28" w:rsidRDefault="000B46D9" w:rsidP="002061E5">
            <w:pPr>
              <w:jc w:val="center"/>
              <w:rPr>
                <w:rFonts w:asciiTheme="majorHAnsi" w:hAnsiTheme="majorHAnsi"/>
              </w:rPr>
            </w:pPr>
            <w:r w:rsidRPr="00CC0F28">
              <w:rPr>
                <w:rFonts w:asciiTheme="majorHAnsi" w:hAnsiTheme="majorHAnsi"/>
              </w:rPr>
              <w:t>1</w:t>
            </w:r>
          </w:p>
        </w:tc>
        <w:tc>
          <w:tcPr>
            <w:tcW w:w="710" w:type="dxa"/>
            <w:tcBorders>
              <w:left w:val="single" w:sz="8" w:space="0" w:color="auto"/>
              <w:right w:val="single" w:sz="8" w:space="0" w:color="auto"/>
            </w:tcBorders>
            <w:shd w:val="clear" w:color="auto" w:fill="auto"/>
            <w:tcMar>
              <w:left w:w="28" w:type="dxa"/>
              <w:right w:w="28" w:type="dxa"/>
            </w:tcMar>
            <w:vAlign w:val="center"/>
          </w:tcPr>
          <w:p w14:paraId="6AD8DF5B" w14:textId="77777777" w:rsidR="000B46D9" w:rsidRPr="00CC0F28" w:rsidRDefault="000B46D9" w:rsidP="002061E5">
            <w:pPr>
              <w:jc w:val="center"/>
              <w:rPr>
                <w:rFonts w:asciiTheme="majorHAnsi" w:hAnsiTheme="majorHAnsi"/>
              </w:rPr>
            </w:pPr>
            <w:r w:rsidRPr="00CC0F28">
              <w:rPr>
                <w:rFonts w:asciiTheme="majorHAnsi" w:hAnsiTheme="majorHAnsi"/>
              </w:rPr>
              <w:t>2</w:t>
            </w:r>
          </w:p>
        </w:tc>
        <w:tc>
          <w:tcPr>
            <w:tcW w:w="623" w:type="dxa"/>
            <w:tcBorders>
              <w:left w:val="single" w:sz="8" w:space="0" w:color="auto"/>
              <w:right w:val="single" w:sz="8" w:space="0" w:color="auto"/>
            </w:tcBorders>
            <w:shd w:val="clear" w:color="auto" w:fill="auto"/>
            <w:tcMar>
              <w:left w:w="28" w:type="dxa"/>
              <w:right w:w="28" w:type="dxa"/>
            </w:tcMar>
            <w:vAlign w:val="center"/>
          </w:tcPr>
          <w:p w14:paraId="1CFD9E2C" w14:textId="77777777" w:rsidR="000B46D9" w:rsidRPr="00CC0F28" w:rsidRDefault="000B46D9" w:rsidP="002061E5">
            <w:pPr>
              <w:jc w:val="center"/>
              <w:rPr>
                <w:rFonts w:asciiTheme="majorHAnsi" w:hAnsiTheme="majorHAnsi"/>
              </w:rPr>
            </w:pPr>
            <w:r w:rsidRPr="00CC0F28">
              <w:rPr>
                <w:rFonts w:asciiTheme="majorHAnsi" w:hAnsiTheme="majorHAnsi"/>
              </w:rPr>
              <w:t>-</w:t>
            </w:r>
          </w:p>
        </w:tc>
        <w:tc>
          <w:tcPr>
            <w:tcW w:w="651" w:type="dxa"/>
            <w:tcBorders>
              <w:left w:val="single" w:sz="8" w:space="0" w:color="auto"/>
              <w:right w:val="single" w:sz="8" w:space="0" w:color="auto"/>
            </w:tcBorders>
            <w:shd w:val="clear" w:color="auto" w:fill="auto"/>
            <w:tcMar>
              <w:left w:w="28" w:type="dxa"/>
              <w:right w:w="28" w:type="dxa"/>
            </w:tcMar>
            <w:vAlign w:val="center"/>
          </w:tcPr>
          <w:p w14:paraId="48A9B80E" w14:textId="77777777" w:rsidR="000B46D9" w:rsidRPr="00CC0F28" w:rsidRDefault="000B46D9" w:rsidP="002061E5">
            <w:pPr>
              <w:jc w:val="center"/>
              <w:rPr>
                <w:rFonts w:asciiTheme="majorHAnsi" w:hAnsiTheme="majorHAnsi"/>
              </w:rPr>
            </w:pPr>
            <w:r w:rsidRPr="00CC0F28">
              <w:rPr>
                <w:rFonts w:asciiTheme="majorHAnsi" w:hAnsiTheme="majorHAnsi"/>
              </w:rPr>
              <w:t>-</w:t>
            </w:r>
          </w:p>
        </w:tc>
        <w:tc>
          <w:tcPr>
            <w:tcW w:w="649" w:type="dxa"/>
            <w:tcBorders>
              <w:left w:val="single" w:sz="8" w:space="0" w:color="auto"/>
              <w:right w:val="single" w:sz="8" w:space="0" w:color="auto"/>
            </w:tcBorders>
            <w:shd w:val="clear" w:color="auto" w:fill="auto"/>
            <w:tcMar>
              <w:left w:w="28" w:type="dxa"/>
              <w:right w:w="28" w:type="dxa"/>
            </w:tcMar>
            <w:vAlign w:val="center"/>
          </w:tcPr>
          <w:p w14:paraId="3206C229" w14:textId="77777777" w:rsidR="000B46D9" w:rsidRPr="00CC0F28" w:rsidRDefault="000B46D9" w:rsidP="002061E5">
            <w:pPr>
              <w:jc w:val="center"/>
              <w:rPr>
                <w:rFonts w:asciiTheme="majorHAnsi" w:hAnsiTheme="majorHAnsi"/>
              </w:rPr>
            </w:pPr>
            <w:r w:rsidRPr="00CC0F28">
              <w:rPr>
                <w:rFonts w:asciiTheme="majorHAnsi" w:hAnsiTheme="majorHAnsi"/>
              </w:rPr>
              <w:t>-</w:t>
            </w:r>
          </w:p>
        </w:tc>
      </w:tr>
      <w:tr w:rsidR="000B46D9" w:rsidRPr="00CC0F28" w14:paraId="7CA85D83" w14:textId="77777777" w:rsidTr="00CC0F28">
        <w:trPr>
          <w:trHeight w:val="288"/>
          <w:jc w:val="center"/>
        </w:trPr>
        <w:tc>
          <w:tcPr>
            <w:tcW w:w="5962" w:type="dxa"/>
            <w:tcBorders>
              <w:left w:val="single" w:sz="8" w:space="0" w:color="auto"/>
              <w:right w:val="single" w:sz="8" w:space="0" w:color="auto"/>
            </w:tcBorders>
            <w:shd w:val="clear" w:color="auto" w:fill="auto"/>
            <w:tcMar>
              <w:left w:w="57" w:type="dxa"/>
              <w:right w:w="28" w:type="dxa"/>
            </w:tcMar>
            <w:vAlign w:val="center"/>
            <w:hideMark/>
          </w:tcPr>
          <w:p w14:paraId="429F74C0" w14:textId="77777777" w:rsidR="000B46D9" w:rsidRPr="00CC0F28" w:rsidRDefault="000B46D9" w:rsidP="002061E5">
            <w:pPr>
              <w:rPr>
                <w:rFonts w:asciiTheme="majorHAnsi" w:hAnsiTheme="majorHAnsi"/>
              </w:rPr>
            </w:pPr>
            <w:r w:rsidRPr="00CC0F28">
              <w:rPr>
                <w:rFonts w:asciiTheme="majorHAnsi" w:hAnsiTheme="majorHAnsi"/>
              </w:rPr>
              <w:t>Portal frames and single-storey MRFs with class 1 and 2 cross sections</w:t>
            </w:r>
          </w:p>
        </w:tc>
        <w:tc>
          <w:tcPr>
            <w:tcW w:w="677" w:type="dxa"/>
            <w:tcBorders>
              <w:left w:val="single" w:sz="8" w:space="0" w:color="auto"/>
              <w:right w:val="single" w:sz="8" w:space="0" w:color="auto"/>
            </w:tcBorders>
            <w:shd w:val="clear" w:color="auto" w:fill="auto"/>
            <w:tcMar>
              <w:left w:w="28" w:type="dxa"/>
              <w:right w:w="28" w:type="dxa"/>
            </w:tcMar>
            <w:vAlign w:val="center"/>
            <w:hideMark/>
          </w:tcPr>
          <w:p w14:paraId="7A4EB281" w14:textId="77777777" w:rsidR="000B46D9" w:rsidRPr="00CC0F28" w:rsidRDefault="000B46D9" w:rsidP="002061E5">
            <w:pPr>
              <w:jc w:val="center"/>
              <w:rPr>
                <w:rFonts w:asciiTheme="majorHAnsi" w:hAnsiTheme="majorHAnsi"/>
              </w:rPr>
            </w:pPr>
            <w:r w:rsidRPr="00CC0F28">
              <w:rPr>
                <w:rFonts w:asciiTheme="majorHAnsi" w:hAnsiTheme="majorHAnsi"/>
              </w:rPr>
              <w:t>1,8</w:t>
            </w:r>
          </w:p>
        </w:tc>
        <w:tc>
          <w:tcPr>
            <w:tcW w:w="599" w:type="dxa"/>
            <w:tcBorders>
              <w:left w:val="single" w:sz="8" w:space="0" w:color="auto"/>
              <w:right w:val="single" w:sz="8" w:space="0" w:color="auto"/>
            </w:tcBorders>
            <w:shd w:val="clear" w:color="auto" w:fill="auto"/>
            <w:tcMar>
              <w:left w:w="28" w:type="dxa"/>
              <w:right w:w="28" w:type="dxa"/>
            </w:tcMar>
            <w:vAlign w:val="center"/>
            <w:hideMark/>
          </w:tcPr>
          <w:p w14:paraId="3822E704" w14:textId="77777777" w:rsidR="000B46D9" w:rsidRPr="00CC0F28" w:rsidRDefault="000B46D9" w:rsidP="002061E5">
            <w:pPr>
              <w:jc w:val="center"/>
              <w:rPr>
                <w:rFonts w:asciiTheme="majorHAnsi" w:hAnsiTheme="majorHAnsi"/>
              </w:rPr>
            </w:pPr>
            <w:r w:rsidRPr="00CC0F28">
              <w:rPr>
                <w:rFonts w:asciiTheme="majorHAnsi" w:hAnsiTheme="majorHAnsi"/>
              </w:rPr>
              <w:t>1,1</w:t>
            </w:r>
          </w:p>
        </w:tc>
        <w:tc>
          <w:tcPr>
            <w:tcW w:w="710" w:type="dxa"/>
            <w:tcBorders>
              <w:left w:val="single" w:sz="8" w:space="0" w:color="auto"/>
              <w:right w:val="single" w:sz="8" w:space="0" w:color="auto"/>
            </w:tcBorders>
            <w:shd w:val="clear" w:color="auto" w:fill="auto"/>
            <w:tcMar>
              <w:left w:w="28" w:type="dxa"/>
              <w:right w:w="28" w:type="dxa"/>
            </w:tcMar>
            <w:vAlign w:val="center"/>
            <w:hideMark/>
          </w:tcPr>
          <w:p w14:paraId="2E054A83" w14:textId="77777777" w:rsidR="000B46D9" w:rsidRPr="00CC0F28" w:rsidRDefault="000B46D9" w:rsidP="002061E5">
            <w:pPr>
              <w:jc w:val="center"/>
              <w:rPr>
                <w:rFonts w:asciiTheme="majorHAnsi" w:hAnsiTheme="majorHAnsi"/>
              </w:rPr>
            </w:pPr>
            <w:r w:rsidRPr="00CC0F28">
              <w:rPr>
                <w:rFonts w:asciiTheme="majorHAnsi" w:hAnsiTheme="majorHAnsi"/>
              </w:rPr>
              <w:t>3</w:t>
            </w:r>
          </w:p>
        </w:tc>
        <w:tc>
          <w:tcPr>
            <w:tcW w:w="623" w:type="dxa"/>
            <w:tcBorders>
              <w:left w:val="single" w:sz="8" w:space="0" w:color="auto"/>
              <w:right w:val="single" w:sz="8" w:space="0" w:color="auto"/>
            </w:tcBorders>
            <w:shd w:val="clear" w:color="auto" w:fill="auto"/>
            <w:tcMar>
              <w:left w:w="28" w:type="dxa"/>
              <w:right w:w="28" w:type="dxa"/>
            </w:tcMar>
            <w:vAlign w:val="center"/>
            <w:hideMark/>
          </w:tcPr>
          <w:p w14:paraId="1C085710" w14:textId="77777777" w:rsidR="000B46D9" w:rsidRPr="00CC0F28" w:rsidRDefault="000B46D9" w:rsidP="002061E5">
            <w:pPr>
              <w:jc w:val="center"/>
              <w:rPr>
                <w:rFonts w:asciiTheme="majorHAnsi" w:hAnsiTheme="majorHAnsi"/>
              </w:rPr>
            </w:pPr>
            <w:r w:rsidRPr="00CC0F28">
              <w:rPr>
                <w:rFonts w:asciiTheme="majorHAnsi" w:hAnsiTheme="majorHAnsi"/>
              </w:rPr>
              <w:t>3,3</w:t>
            </w:r>
          </w:p>
        </w:tc>
        <w:tc>
          <w:tcPr>
            <w:tcW w:w="651" w:type="dxa"/>
            <w:tcBorders>
              <w:left w:val="single" w:sz="8" w:space="0" w:color="auto"/>
              <w:right w:val="single" w:sz="8" w:space="0" w:color="auto"/>
            </w:tcBorders>
            <w:shd w:val="clear" w:color="auto" w:fill="auto"/>
            <w:tcMar>
              <w:left w:w="28" w:type="dxa"/>
              <w:right w:w="28" w:type="dxa"/>
            </w:tcMar>
            <w:vAlign w:val="center"/>
            <w:hideMark/>
          </w:tcPr>
          <w:p w14:paraId="0700C1A1" w14:textId="77777777" w:rsidR="000B46D9" w:rsidRPr="00CC0F28" w:rsidRDefault="000B46D9" w:rsidP="002061E5">
            <w:pPr>
              <w:jc w:val="center"/>
              <w:rPr>
                <w:rFonts w:asciiTheme="majorHAnsi" w:hAnsiTheme="majorHAnsi"/>
              </w:rPr>
            </w:pPr>
            <w:r w:rsidRPr="00CC0F28">
              <w:rPr>
                <w:rFonts w:asciiTheme="majorHAnsi" w:hAnsiTheme="majorHAnsi"/>
              </w:rPr>
              <w:t>1,1</w:t>
            </w:r>
          </w:p>
        </w:tc>
        <w:tc>
          <w:tcPr>
            <w:tcW w:w="649" w:type="dxa"/>
            <w:tcBorders>
              <w:left w:val="single" w:sz="8" w:space="0" w:color="auto"/>
              <w:right w:val="single" w:sz="8" w:space="0" w:color="auto"/>
            </w:tcBorders>
            <w:shd w:val="clear" w:color="auto" w:fill="auto"/>
            <w:tcMar>
              <w:left w:w="28" w:type="dxa"/>
              <w:right w:w="28" w:type="dxa"/>
            </w:tcMar>
            <w:vAlign w:val="center"/>
            <w:hideMark/>
          </w:tcPr>
          <w:p w14:paraId="4310F589" w14:textId="77777777" w:rsidR="000B46D9" w:rsidRPr="00CC0F28" w:rsidRDefault="000B46D9" w:rsidP="002061E5">
            <w:pPr>
              <w:jc w:val="center"/>
              <w:rPr>
                <w:rFonts w:asciiTheme="majorHAnsi" w:hAnsiTheme="majorHAnsi"/>
              </w:rPr>
            </w:pPr>
            <w:r w:rsidRPr="00CC0F28">
              <w:rPr>
                <w:rFonts w:asciiTheme="majorHAnsi" w:hAnsiTheme="majorHAnsi"/>
              </w:rPr>
              <w:t>5,5</w:t>
            </w:r>
          </w:p>
        </w:tc>
      </w:tr>
      <w:tr w:rsidR="000B46D9" w:rsidRPr="00CC0F28" w14:paraId="1294AACE" w14:textId="77777777" w:rsidTr="00CC0F28">
        <w:trPr>
          <w:trHeight w:val="300"/>
          <w:jc w:val="center"/>
        </w:trPr>
        <w:tc>
          <w:tcPr>
            <w:tcW w:w="5962" w:type="dxa"/>
            <w:tcBorders>
              <w:left w:val="single" w:sz="8" w:space="0" w:color="auto"/>
              <w:bottom w:val="single" w:sz="8" w:space="0" w:color="auto"/>
              <w:right w:val="single" w:sz="8" w:space="0" w:color="auto"/>
            </w:tcBorders>
            <w:shd w:val="clear" w:color="auto" w:fill="auto"/>
            <w:tcMar>
              <w:left w:w="57" w:type="dxa"/>
              <w:right w:w="28" w:type="dxa"/>
            </w:tcMar>
            <w:vAlign w:val="center"/>
            <w:hideMark/>
          </w:tcPr>
          <w:p w14:paraId="62185523" w14:textId="77777777" w:rsidR="000B46D9" w:rsidRPr="00CC0F28" w:rsidRDefault="000B46D9" w:rsidP="002061E5">
            <w:pPr>
              <w:rPr>
                <w:rFonts w:asciiTheme="majorHAnsi" w:hAnsiTheme="majorHAnsi"/>
              </w:rPr>
            </w:pPr>
            <w:r w:rsidRPr="00CC0F28">
              <w:rPr>
                <w:rFonts w:asciiTheme="majorHAnsi" w:hAnsiTheme="majorHAnsi"/>
              </w:rPr>
              <w:t>Multi-storey MRFs</w:t>
            </w:r>
          </w:p>
        </w:tc>
        <w:tc>
          <w:tcPr>
            <w:tcW w:w="677" w:type="dxa"/>
            <w:tcBorders>
              <w:left w:val="single" w:sz="8" w:space="0" w:color="auto"/>
              <w:bottom w:val="single" w:sz="8" w:space="0" w:color="auto"/>
              <w:right w:val="single" w:sz="8" w:space="0" w:color="auto"/>
            </w:tcBorders>
            <w:shd w:val="clear" w:color="auto" w:fill="auto"/>
            <w:tcMar>
              <w:left w:w="28" w:type="dxa"/>
              <w:right w:w="28" w:type="dxa"/>
            </w:tcMar>
            <w:vAlign w:val="center"/>
            <w:hideMark/>
          </w:tcPr>
          <w:p w14:paraId="5A8704F1" w14:textId="77777777" w:rsidR="000B46D9" w:rsidRPr="00CC0F28" w:rsidRDefault="000B46D9" w:rsidP="002061E5">
            <w:pPr>
              <w:jc w:val="center"/>
              <w:rPr>
                <w:rFonts w:asciiTheme="majorHAnsi" w:hAnsiTheme="majorHAnsi"/>
              </w:rPr>
            </w:pPr>
            <w:r w:rsidRPr="00CC0F28">
              <w:rPr>
                <w:rFonts w:asciiTheme="majorHAnsi" w:hAnsiTheme="majorHAnsi"/>
              </w:rPr>
              <w:t>1,8</w:t>
            </w:r>
          </w:p>
        </w:tc>
        <w:tc>
          <w:tcPr>
            <w:tcW w:w="599" w:type="dxa"/>
            <w:tcBorders>
              <w:left w:val="single" w:sz="8" w:space="0" w:color="auto"/>
              <w:bottom w:val="single" w:sz="8" w:space="0" w:color="auto"/>
              <w:right w:val="single" w:sz="8" w:space="0" w:color="auto"/>
            </w:tcBorders>
            <w:shd w:val="clear" w:color="auto" w:fill="auto"/>
            <w:tcMar>
              <w:left w:w="28" w:type="dxa"/>
              <w:right w:w="28" w:type="dxa"/>
            </w:tcMar>
            <w:vAlign w:val="center"/>
            <w:hideMark/>
          </w:tcPr>
          <w:p w14:paraId="08D57A9B" w14:textId="77777777" w:rsidR="000B46D9" w:rsidRPr="00CC0F28" w:rsidRDefault="000B46D9" w:rsidP="002061E5">
            <w:pPr>
              <w:jc w:val="center"/>
              <w:rPr>
                <w:rFonts w:asciiTheme="majorHAnsi" w:hAnsiTheme="majorHAnsi"/>
              </w:rPr>
            </w:pPr>
            <w:r w:rsidRPr="00CC0F28">
              <w:rPr>
                <w:rFonts w:asciiTheme="majorHAnsi" w:hAnsiTheme="majorHAnsi"/>
              </w:rPr>
              <w:t>1,3</w:t>
            </w:r>
          </w:p>
        </w:tc>
        <w:tc>
          <w:tcPr>
            <w:tcW w:w="710" w:type="dxa"/>
            <w:tcBorders>
              <w:left w:val="single" w:sz="8" w:space="0" w:color="auto"/>
              <w:bottom w:val="single" w:sz="8" w:space="0" w:color="auto"/>
              <w:right w:val="single" w:sz="8" w:space="0" w:color="auto"/>
            </w:tcBorders>
            <w:shd w:val="clear" w:color="auto" w:fill="auto"/>
            <w:tcMar>
              <w:left w:w="28" w:type="dxa"/>
              <w:right w:w="28" w:type="dxa"/>
            </w:tcMar>
            <w:vAlign w:val="center"/>
            <w:hideMark/>
          </w:tcPr>
          <w:p w14:paraId="00CD32C0" w14:textId="77777777" w:rsidR="000B46D9" w:rsidRPr="00CC0F28" w:rsidRDefault="000B46D9" w:rsidP="002061E5">
            <w:pPr>
              <w:jc w:val="center"/>
              <w:rPr>
                <w:rFonts w:asciiTheme="majorHAnsi" w:hAnsiTheme="majorHAnsi"/>
              </w:rPr>
            </w:pPr>
            <w:r w:rsidRPr="00CC0F28">
              <w:rPr>
                <w:rFonts w:asciiTheme="majorHAnsi" w:hAnsiTheme="majorHAnsi"/>
              </w:rPr>
              <w:t>3,5</w:t>
            </w:r>
          </w:p>
        </w:tc>
        <w:tc>
          <w:tcPr>
            <w:tcW w:w="623" w:type="dxa"/>
            <w:tcBorders>
              <w:left w:val="single" w:sz="8" w:space="0" w:color="auto"/>
              <w:bottom w:val="single" w:sz="8" w:space="0" w:color="auto"/>
              <w:right w:val="single" w:sz="8" w:space="0" w:color="auto"/>
            </w:tcBorders>
            <w:shd w:val="clear" w:color="auto" w:fill="auto"/>
            <w:tcMar>
              <w:left w:w="28" w:type="dxa"/>
              <w:right w:w="28" w:type="dxa"/>
            </w:tcMar>
            <w:vAlign w:val="center"/>
            <w:hideMark/>
          </w:tcPr>
          <w:p w14:paraId="5B20AA31" w14:textId="77777777" w:rsidR="000B46D9" w:rsidRPr="00CC0F28" w:rsidRDefault="000B46D9" w:rsidP="002061E5">
            <w:pPr>
              <w:jc w:val="center"/>
              <w:rPr>
                <w:rFonts w:asciiTheme="majorHAnsi" w:hAnsiTheme="majorHAnsi"/>
              </w:rPr>
            </w:pPr>
            <w:r w:rsidRPr="00CC0F28">
              <w:rPr>
                <w:rFonts w:asciiTheme="majorHAnsi" w:hAnsiTheme="majorHAnsi"/>
              </w:rPr>
              <w:t>3,3</w:t>
            </w:r>
          </w:p>
        </w:tc>
        <w:tc>
          <w:tcPr>
            <w:tcW w:w="651" w:type="dxa"/>
            <w:tcBorders>
              <w:left w:val="single" w:sz="8" w:space="0" w:color="auto"/>
              <w:bottom w:val="single" w:sz="8" w:space="0" w:color="auto"/>
              <w:right w:val="single" w:sz="8" w:space="0" w:color="auto"/>
            </w:tcBorders>
            <w:shd w:val="clear" w:color="auto" w:fill="auto"/>
            <w:tcMar>
              <w:left w:w="28" w:type="dxa"/>
              <w:right w:w="28" w:type="dxa"/>
            </w:tcMar>
            <w:vAlign w:val="center"/>
            <w:hideMark/>
          </w:tcPr>
          <w:p w14:paraId="0F2E0DB8" w14:textId="77777777" w:rsidR="000B46D9" w:rsidRPr="00CC0F28" w:rsidRDefault="000B46D9" w:rsidP="002061E5">
            <w:pPr>
              <w:jc w:val="center"/>
              <w:rPr>
                <w:rFonts w:asciiTheme="majorHAnsi" w:hAnsiTheme="majorHAnsi"/>
              </w:rPr>
            </w:pPr>
            <w:r w:rsidRPr="00CC0F28">
              <w:rPr>
                <w:rFonts w:asciiTheme="majorHAnsi" w:hAnsiTheme="majorHAnsi"/>
              </w:rPr>
              <w:t>1,3</w:t>
            </w:r>
          </w:p>
        </w:tc>
        <w:tc>
          <w:tcPr>
            <w:tcW w:w="649" w:type="dxa"/>
            <w:tcBorders>
              <w:left w:val="single" w:sz="8" w:space="0" w:color="auto"/>
              <w:bottom w:val="single" w:sz="8" w:space="0" w:color="auto"/>
              <w:right w:val="single" w:sz="8" w:space="0" w:color="auto"/>
            </w:tcBorders>
            <w:shd w:val="clear" w:color="auto" w:fill="auto"/>
            <w:tcMar>
              <w:left w:w="28" w:type="dxa"/>
              <w:right w:w="28" w:type="dxa"/>
            </w:tcMar>
            <w:vAlign w:val="center"/>
            <w:hideMark/>
          </w:tcPr>
          <w:p w14:paraId="74D10AB5" w14:textId="77777777" w:rsidR="000B46D9" w:rsidRPr="00CC0F28" w:rsidRDefault="000B46D9" w:rsidP="002061E5">
            <w:pPr>
              <w:jc w:val="center"/>
              <w:rPr>
                <w:rFonts w:asciiTheme="majorHAnsi" w:hAnsiTheme="majorHAnsi"/>
              </w:rPr>
            </w:pPr>
            <w:r w:rsidRPr="00CC0F28">
              <w:rPr>
                <w:rFonts w:asciiTheme="majorHAnsi" w:hAnsiTheme="majorHAnsi"/>
              </w:rPr>
              <w:t>6,5</w:t>
            </w:r>
          </w:p>
        </w:tc>
      </w:tr>
      <w:tr w:rsidR="000B46D9" w:rsidRPr="00CC0F28" w14:paraId="7936F7A2" w14:textId="77777777" w:rsidTr="00CC0F28">
        <w:trPr>
          <w:trHeight w:val="288"/>
          <w:jc w:val="center"/>
        </w:trPr>
        <w:tc>
          <w:tcPr>
            <w:tcW w:w="5962" w:type="dxa"/>
            <w:tcBorders>
              <w:top w:val="single" w:sz="8" w:space="0" w:color="auto"/>
              <w:left w:val="single" w:sz="8" w:space="0" w:color="auto"/>
              <w:right w:val="single" w:sz="8" w:space="0" w:color="auto"/>
            </w:tcBorders>
            <w:shd w:val="clear" w:color="auto" w:fill="auto"/>
            <w:tcMar>
              <w:left w:w="57" w:type="dxa"/>
              <w:right w:w="28" w:type="dxa"/>
            </w:tcMar>
            <w:vAlign w:val="center"/>
            <w:hideMark/>
          </w:tcPr>
          <w:p w14:paraId="6C696DC9" w14:textId="77777777" w:rsidR="000B46D9" w:rsidRPr="00CC0F28" w:rsidRDefault="000B46D9" w:rsidP="002061E5">
            <w:pPr>
              <w:rPr>
                <w:rFonts w:asciiTheme="majorHAnsi" w:hAnsiTheme="majorHAnsi"/>
              </w:rPr>
            </w:pPr>
            <w:r w:rsidRPr="00CC0F28">
              <w:rPr>
                <w:rFonts w:asciiTheme="majorHAnsi" w:hAnsiTheme="majorHAnsi"/>
              </w:rPr>
              <w:t>b) Frames with concentric bracings</w:t>
            </w:r>
          </w:p>
        </w:tc>
        <w:tc>
          <w:tcPr>
            <w:tcW w:w="677" w:type="dxa"/>
            <w:vMerge w:val="restart"/>
            <w:tcBorders>
              <w:top w:val="single" w:sz="8" w:space="0" w:color="auto"/>
              <w:left w:val="single" w:sz="8" w:space="0" w:color="auto"/>
              <w:bottom w:val="single" w:sz="8" w:space="0" w:color="auto"/>
              <w:right w:val="single" w:sz="8" w:space="0" w:color="auto"/>
            </w:tcBorders>
            <w:shd w:val="clear" w:color="auto" w:fill="auto"/>
            <w:tcMar>
              <w:left w:w="28" w:type="dxa"/>
              <w:right w:w="28" w:type="dxa"/>
            </w:tcMar>
            <w:vAlign w:val="center"/>
            <w:hideMark/>
          </w:tcPr>
          <w:p w14:paraId="23A5A6C4" w14:textId="77777777" w:rsidR="000B46D9" w:rsidRPr="00CC0F28" w:rsidRDefault="000B46D9" w:rsidP="002061E5">
            <w:pPr>
              <w:jc w:val="center"/>
              <w:rPr>
                <w:rFonts w:asciiTheme="majorHAnsi" w:hAnsiTheme="majorHAnsi"/>
              </w:rPr>
            </w:pPr>
            <w:r w:rsidRPr="00CC0F28">
              <w:rPr>
                <w:rFonts w:asciiTheme="majorHAnsi" w:hAnsiTheme="majorHAnsi"/>
              </w:rPr>
              <w:t>1,7</w:t>
            </w:r>
          </w:p>
        </w:tc>
        <w:tc>
          <w:tcPr>
            <w:tcW w:w="599" w:type="dxa"/>
            <w:vMerge w:val="restart"/>
            <w:tcBorders>
              <w:top w:val="single" w:sz="8" w:space="0" w:color="auto"/>
              <w:left w:val="single" w:sz="8" w:space="0" w:color="auto"/>
              <w:bottom w:val="single" w:sz="8" w:space="0" w:color="auto"/>
              <w:right w:val="single" w:sz="8" w:space="0" w:color="auto"/>
            </w:tcBorders>
            <w:shd w:val="clear" w:color="auto" w:fill="auto"/>
            <w:tcMar>
              <w:left w:w="28" w:type="dxa"/>
              <w:right w:w="28" w:type="dxa"/>
            </w:tcMar>
            <w:vAlign w:val="center"/>
            <w:hideMark/>
          </w:tcPr>
          <w:p w14:paraId="24FB72AA" w14:textId="77777777" w:rsidR="000B46D9" w:rsidRPr="00CC0F28" w:rsidRDefault="000B46D9" w:rsidP="002061E5">
            <w:pPr>
              <w:jc w:val="center"/>
              <w:rPr>
                <w:rFonts w:asciiTheme="majorHAnsi" w:hAnsiTheme="majorHAnsi"/>
              </w:rPr>
            </w:pPr>
            <w:r w:rsidRPr="00CC0F28">
              <w:rPr>
                <w:rFonts w:asciiTheme="majorHAnsi" w:hAnsiTheme="majorHAnsi"/>
              </w:rPr>
              <w:t>1</w:t>
            </w:r>
          </w:p>
        </w:tc>
        <w:tc>
          <w:tcPr>
            <w:tcW w:w="710" w:type="dxa"/>
            <w:vMerge w:val="restart"/>
            <w:tcBorders>
              <w:top w:val="single" w:sz="8" w:space="0" w:color="auto"/>
              <w:left w:val="single" w:sz="8" w:space="0" w:color="auto"/>
              <w:bottom w:val="single" w:sz="8" w:space="0" w:color="auto"/>
              <w:right w:val="single" w:sz="8" w:space="0" w:color="auto"/>
            </w:tcBorders>
            <w:shd w:val="clear" w:color="auto" w:fill="auto"/>
            <w:tcMar>
              <w:left w:w="28" w:type="dxa"/>
              <w:right w:w="28" w:type="dxa"/>
            </w:tcMar>
            <w:vAlign w:val="center"/>
            <w:hideMark/>
          </w:tcPr>
          <w:p w14:paraId="5D6AA5D8" w14:textId="77777777" w:rsidR="000B46D9" w:rsidRPr="00CC0F28" w:rsidRDefault="000B46D9" w:rsidP="002061E5">
            <w:pPr>
              <w:jc w:val="center"/>
              <w:rPr>
                <w:rFonts w:asciiTheme="majorHAnsi" w:hAnsiTheme="majorHAnsi"/>
              </w:rPr>
            </w:pPr>
            <w:r w:rsidRPr="00CC0F28">
              <w:rPr>
                <w:rFonts w:asciiTheme="majorHAnsi" w:hAnsiTheme="majorHAnsi"/>
              </w:rPr>
              <w:t>2,5</w:t>
            </w:r>
          </w:p>
        </w:tc>
        <w:tc>
          <w:tcPr>
            <w:tcW w:w="623" w:type="dxa"/>
            <w:vMerge w:val="restart"/>
            <w:tcBorders>
              <w:top w:val="single" w:sz="8" w:space="0" w:color="auto"/>
              <w:left w:val="single" w:sz="8" w:space="0" w:color="auto"/>
              <w:bottom w:val="single" w:sz="8" w:space="0" w:color="auto"/>
              <w:right w:val="single" w:sz="8" w:space="0" w:color="auto"/>
            </w:tcBorders>
            <w:shd w:val="clear" w:color="auto" w:fill="auto"/>
            <w:tcMar>
              <w:left w:w="28" w:type="dxa"/>
              <w:right w:w="28" w:type="dxa"/>
            </w:tcMar>
            <w:vAlign w:val="center"/>
            <w:hideMark/>
          </w:tcPr>
          <w:p w14:paraId="5F693140" w14:textId="77777777" w:rsidR="000B46D9" w:rsidRPr="00CC0F28" w:rsidRDefault="000B46D9" w:rsidP="002061E5">
            <w:pPr>
              <w:jc w:val="center"/>
              <w:rPr>
                <w:rFonts w:asciiTheme="majorHAnsi" w:hAnsiTheme="majorHAnsi"/>
              </w:rPr>
            </w:pPr>
            <w:r w:rsidRPr="00CC0F28">
              <w:rPr>
                <w:rFonts w:asciiTheme="majorHAnsi" w:hAnsiTheme="majorHAnsi"/>
              </w:rPr>
              <w:t>2,4</w:t>
            </w:r>
          </w:p>
        </w:tc>
        <w:tc>
          <w:tcPr>
            <w:tcW w:w="651" w:type="dxa"/>
            <w:vMerge w:val="restart"/>
            <w:tcBorders>
              <w:top w:val="single" w:sz="8" w:space="0" w:color="auto"/>
              <w:left w:val="single" w:sz="8" w:space="0" w:color="auto"/>
              <w:bottom w:val="single" w:sz="8" w:space="0" w:color="auto"/>
              <w:right w:val="single" w:sz="8" w:space="0" w:color="auto"/>
            </w:tcBorders>
            <w:shd w:val="clear" w:color="auto" w:fill="auto"/>
            <w:tcMar>
              <w:left w:w="28" w:type="dxa"/>
              <w:right w:w="28" w:type="dxa"/>
            </w:tcMar>
            <w:vAlign w:val="center"/>
            <w:hideMark/>
          </w:tcPr>
          <w:p w14:paraId="61933FA9" w14:textId="77777777" w:rsidR="000B46D9" w:rsidRPr="00CC0F28" w:rsidRDefault="000B46D9" w:rsidP="002061E5">
            <w:pPr>
              <w:jc w:val="center"/>
              <w:rPr>
                <w:rFonts w:asciiTheme="majorHAnsi" w:hAnsiTheme="majorHAnsi"/>
              </w:rPr>
            </w:pPr>
            <w:r w:rsidRPr="00CC0F28">
              <w:rPr>
                <w:rFonts w:asciiTheme="majorHAnsi" w:hAnsiTheme="majorHAnsi"/>
              </w:rPr>
              <w:t>1,1</w:t>
            </w:r>
          </w:p>
        </w:tc>
        <w:tc>
          <w:tcPr>
            <w:tcW w:w="649" w:type="dxa"/>
            <w:vMerge w:val="restart"/>
            <w:tcBorders>
              <w:top w:val="single" w:sz="8" w:space="0" w:color="auto"/>
              <w:left w:val="single" w:sz="8" w:space="0" w:color="auto"/>
              <w:bottom w:val="single" w:sz="8" w:space="0" w:color="auto"/>
              <w:right w:val="single" w:sz="8" w:space="0" w:color="auto"/>
            </w:tcBorders>
            <w:shd w:val="clear" w:color="auto" w:fill="auto"/>
            <w:tcMar>
              <w:left w:w="28" w:type="dxa"/>
              <w:right w:w="28" w:type="dxa"/>
            </w:tcMar>
            <w:vAlign w:val="center"/>
            <w:hideMark/>
          </w:tcPr>
          <w:p w14:paraId="68FE274F" w14:textId="77777777" w:rsidR="000B46D9" w:rsidRPr="00CC0F28" w:rsidRDefault="000B46D9" w:rsidP="002061E5">
            <w:pPr>
              <w:jc w:val="center"/>
              <w:rPr>
                <w:rFonts w:asciiTheme="majorHAnsi" w:hAnsiTheme="majorHAnsi"/>
              </w:rPr>
            </w:pPr>
            <w:r w:rsidRPr="00CC0F28">
              <w:rPr>
                <w:rFonts w:asciiTheme="majorHAnsi" w:hAnsiTheme="majorHAnsi"/>
              </w:rPr>
              <w:t>4</w:t>
            </w:r>
          </w:p>
        </w:tc>
      </w:tr>
      <w:tr w:rsidR="000B46D9" w:rsidRPr="00CC0F28" w14:paraId="0377787D" w14:textId="77777777" w:rsidTr="00CC0F28">
        <w:trPr>
          <w:trHeight w:val="288"/>
          <w:jc w:val="center"/>
        </w:trPr>
        <w:tc>
          <w:tcPr>
            <w:tcW w:w="5962" w:type="dxa"/>
            <w:tcBorders>
              <w:left w:val="single" w:sz="8" w:space="0" w:color="auto"/>
              <w:right w:val="single" w:sz="8" w:space="0" w:color="auto"/>
            </w:tcBorders>
            <w:shd w:val="clear" w:color="auto" w:fill="auto"/>
            <w:tcMar>
              <w:left w:w="57" w:type="dxa"/>
              <w:right w:w="28" w:type="dxa"/>
            </w:tcMar>
            <w:vAlign w:val="center"/>
            <w:hideMark/>
          </w:tcPr>
          <w:p w14:paraId="4CC6FE4F" w14:textId="77777777" w:rsidR="000B46D9" w:rsidRPr="00CC0F28" w:rsidRDefault="000B46D9" w:rsidP="002061E5">
            <w:pPr>
              <w:rPr>
                <w:rFonts w:asciiTheme="majorHAnsi" w:hAnsiTheme="majorHAnsi"/>
              </w:rPr>
            </w:pPr>
            <w:r w:rsidRPr="00CC0F28">
              <w:rPr>
                <w:rFonts w:asciiTheme="majorHAnsi" w:hAnsiTheme="majorHAnsi"/>
              </w:rPr>
              <w:t>Diagonal bracings</w:t>
            </w:r>
          </w:p>
        </w:tc>
        <w:tc>
          <w:tcPr>
            <w:tcW w:w="677" w:type="dxa"/>
            <w:vMerge/>
            <w:tcBorders>
              <w:top w:val="single" w:sz="8" w:space="0" w:color="auto"/>
              <w:left w:val="single" w:sz="8" w:space="0" w:color="auto"/>
              <w:bottom w:val="single" w:sz="8" w:space="0" w:color="auto"/>
              <w:right w:val="single" w:sz="8" w:space="0" w:color="auto"/>
            </w:tcBorders>
            <w:tcMar>
              <w:left w:w="28" w:type="dxa"/>
              <w:right w:w="28" w:type="dxa"/>
            </w:tcMar>
            <w:vAlign w:val="center"/>
            <w:hideMark/>
          </w:tcPr>
          <w:p w14:paraId="0916EB4D" w14:textId="77777777" w:rsidR="000B46D9" w:rsidRPr="00CC0F28" w:rsidRDefault="000B46D9" w:rsidP="002061E5">
            <w:pPr>
              <w:jc w:val="center"/>
              <w:rPr>
                <w:rFonts w:asciiTheme="majorHAnsi" w:hAnsiTheme="majorHAnsi"/>
              </w:rPr>
            </w:pPr>
          </w:p>
        </w:tc>
        <w:tc>
          <w:tcPr>
            <w:tcW w:w="599" w:type="dxa"/>
            <w:vMerge/>
            <w:tcBorders>
              <w:top w:val="single" w:sz="8" w:space="0" w:color="auto"/>
              <w:left w:val="single" w:sz="8" w:space="0" w:color="auto"/>
              <w:bottom w:val="single" w:sz="8" w:space="0" w:color="auto"/>
              <w:right w:val="single" w:sz="8" w:space="0" w:color="auto"/>
            </w:tcBorders>
            <w:tcMar>
              <w:left w:w="28" w:type="dxa"/>
              <w:right w:w="28" w:type="dxa"/>
            </w:tcMar>
            <w:vAlign w:val="center"/>
            <w:hideMark/>
          </w:tcPr>
          <w:p w14:paraId="4F4DB134" w14:textId="77777777" w:rsidR="000B46D9" w:rsidRPr="00CC0F28" w:rsidRDefault="000B46D9" w:rsidP="002061E5">
            <w:pPr>
              <w:jc w:val="center"/>
              <w:rPr>
                <w:rFonts w:asciiTheme="majorHAnsi" w:hAnsiTheme="majorHAnsi"/>
              </w:rPr>
            </w:pPr>
          </w:p>
        </w:tc>
        <w:tc>
          <w:tcPr>
            <w:tcW w:w="710" w:type="dxa"/>
            <w:vMerge/>
            <w:tcBorders>
              <w:top w:val="single" w:sz="8" w:space="0" w:color="auto"/>
              <w:left w:val="single" w:sz="8" w:space="0" w:color="auto"/>
              <w:bottom w:val="single" w:sz="8" w:space="0" w:color="auto"/>
              <w:right w:val="single" w:sz="8" w:space="0" w:color="auto"/>
            </w:tcBorders>
            <w:tcMar>
              <w:left w:w="28" w:type="dxa"/>
              <w:right w:w="28" w:type="dxa"/>
            </w:tcMar>
            <w:vAlign w:val="center"/>
            <w:hideMark/>
          </w:tcPr>
          <w:p w14:paraId="7293F5A0" w14:textId="77777777" w:rsidR="000B46D9" w:rsidRPr="00CC0F28" w:rsidRDefault="000B46D9" w:rsidP="002061E5">
            <w:pPr>
              <w:jc w:val="center"/>
              <w:rPr>
                <w:rFonts w:asciiTheme="majorHAnsi" w:hAnsiTheme="majorHAnsi"/>
              </w:rPr>
            </w:pPr>
          </w:p>
        </w:tc>
        <w:tc>
          <w:tcPr>
            <w:tcW w:w="623" w:type="dxa"/>
            <w:vMerge/>
            <w:tcBorders>
              <w:top w:val="single" w:sz="8" w:space="0" w:color="auto"/>
              <w:left w:val="single" w:sz="8" w:space="0" w:color="auto"/>
              <w:bottom w:val="single" w:sz="8" w:space="0" w:color="auto"/>
              <w:right w:val="single" w:sz="8" w:space="0" w:color="auto"/>
            </w:tcBorders>
            <w:tcMar>
              <w:left w:w="28" w:type="dxa"/>
              <w:right w:w="28" w:type="dxa"/>
            </w:tcMar>
            <w:vAlign w:val="center"/>
            <w:hideMark/>
          </w:tcPr>
          <w:p w14:paraId="3142DDE2" w14:textId="77777777" w:rsidR="000B46D9" w:rsidRPr="00CC0F28" w:rsidRDefault="000B46D9" w:rsidP="002061E5">
            <w:pPr>
              <w:jc w:val="center"/>
              <w:rPr>
                <w:rFonts w:asciiTheme="majorHAnsi" w:hAnsiTheme="majorHAnsi"/>
              </w:rPr>
            </w:pPr>
          </w:p>
        </w:tc>
        <w:tc>
          <w:tcPr>
            <w:tcW w:w="651" w:type="dxa"/>
            <w:vMerge/>
            <w:tcBorders>
              <w:top w:val="single" w:sz="8" w:space="0" w:color="auto"/>
              <w:left w:val="single" w:sz="8" w:space="0" w:color="auto"/>
              <w:bottom w:val="single" w:sz="8" w:space="0" w:color="auto"/>
              <w:right w:val="single" w:sz="8" w:space="0" w:color="auto"/>
            </w:tcBorders>
            <w:tcMar>
              <w:left w:w="28" w:type="dxa"/>
              <w:right w:w="28" w:type="dxa"/>
            </w:tcMar>
            <w:vAlign w:val="center"/>
            <w:hideMark/>
          </w:tcPr>
          <w:p w14:paraId="6D46EA29" w14:textId="77777777" w:rsidR="000B46D9" w:rsidRPr="00CC0F28" w:rsidRDefault="000B46D9" w:rsidP="002061E5">
            <w:pPr>
              <w:jc w:val="center"/>
              <w:rPr>
                <w:rFonts w:asciiTheme="majorHAnsi" w:hAnsiTheme="majorHAnsi"/>
              </w:rPr>
            </w:pPr>
          </w:p>
        </w:tc>
        <w:tc>
          <w:tcPr>
            <w:tcW w:w="649" w:type="dxa"/>
            <w:vMerge/>
            <w:tcBorders>
              <w:top w:val="single" w:sz="8" w:space="0" w:color="auto"/>
              <w:left w:val="single" w:sz="8" w:space="0" w:color="auto"/>
              <w:bottom w:val="single" w:sz="8" w:space="0" w:color="auto"/>
              <w:right w:val="single" w:sz="8" w:space="0" w:color="auto"/>
            </w:tcBorders>
            <w:tcMar>
              <w:left w:w="28" w:type="dxa"/>
              <w:right w:w="28" w:type="dxa"/>
            </w:tcMar>
            <w:vAlign w:val="center"/>
            <w:hideMark/>
          </w:tcPr>
          <w:p w14:paraId="54921689" w14:textId="77777777" w:rsidR="000B46D9" w:rsidRPr="00CC0F28" w:rsidRDefault="000B46D9" w:rsidP="002061E5">
            <w:pPr>
              <w:jc w:val="center"/>
              <w:rPr>
                <w:rFonts w:asciiTheme="majorHAnsi" w:hAnsiTheme="majorHAnsi"/>
              </w:rPr>
            </w:pPr>
          </w:p>
        </w:tc>
      </w:tr>
      <w:tr w:rsidR="000B46D9" w:rsidRPr="00CC0F28" w14:paraId="6B0C5E31" w14:textId="77777777" w:rsidTr="00CC0F28">
        <w:trPr>
          <w:trHeight w:val="288"/>
          <w:jc w:val="center"/>
        </w:trPr>
        <w:tc>
          <w:tcPr>
            <w:tcW w:w="5962" w:type="dxa"/>
            <w:tcBorders>
              <w:left w:val="single" w:sz="8" w:space="0" w:color="auto"/>
              <w:right w:val="single" w:sz="8" w:space="0" w:color="auto"/>
            </w:tcBorders>
            <w:shd w:val="clear" w:color="auto" w:fill="auto"/>
            <w:tcMar>
              <w:left w:w="57" w:type="dxa"/>
              <w:right w:w="28" w:type="dxa"/>
            </w:tcMar>
            <w:vAlign w:val="center"/>
            <w:hideMark/>
          </w:tcPr>
          <w:p w14:paraId="19560A69" w14:textId="77777777" w:rsidR="000B46D9" w:rsidRPr="00CC0F28" w:rsidRDefault="000B46D9" w:rsidP="002061E5">
            <w:pPr>
              <w:rPr>
                <w:rFonts w:asciiTheme="majorHAnsi" w:hAnsiTheme="majorHAnsi"/>
              </w:rPr>
            </w:pPr>
            <w:r w:rsidRPr="00CC0F28">
              <w:rPr>
                <w:rFonts w:asciiTheme="majorHAnsi" w:hAnsiTheme="majorHAnsi"/>
              </w:rPr>
              <w:t>V-bracings</w:t>
            </w:r>
          </w:p>
        </w:tc>
        <w:tc>
          <w:tcPr>
            <w:tcW w:w="677" w:type="dxa"/>
            <w:vMerge/>
            <w:tcBorders>
              <w:top w:val="single" w:sz="8" w:space="0" w:color="auto"/>
              <w:left w:val="single" w:sz="8" w:space="0" w:color="auto"/>
              <w:bottom w:val="single" w:sz="8" w:space="0" w:color="auto"/>
              <w:right w:val="single" w:sz="8" w:space="0" w:color="auto"/>
            </w:tcBorders>
            <w:tcMar>
              <w:left w:w="28" w:type="dxa"/>
              <w:right w:w="28" w:type="dxa"/>
            </w:tcMar>
            <w:vAlign w:val="center"/>
            <w:hideMark/>
          </w:tcPr>
          <w:p w14:paraId="14DA1E10" w14:textId="77777777" w:rsidR="000B46D9" w:rsidRPr="00CC0F28" w:rsidRDefault="000B46D9" w:rsidP="002061E5">
            <w:pPr>
              <w:jc w:val="center"/>
              <w:rPr>
                <w:rFonts w:asciiTheme="majorHAnsi" w:hAnsiTheme="majorHAnsi"/>
              </w:rPr>
            </w:pPr>
          </w:p>
        </w:tc>
        <w:tc>
          <w:tcPr>
            <w:tcW w:w="599" w:type="dxa"/>
            <w:vMerge/>
            <w:tcBorders>
              <w:top w:val="single" w:sz="8" w:space="0" w:color="auto"/>
              <w:left w:val="single" w:sz="8" w:space="0" w:color="auto"/>
              <w:bottom w:val="single" w:sz="8" w:space="0" w:color="auto"/>
              <w:right w:val="single" w:sz="8" w:space="0" w:color="auto"/>
            </w:tcBorders>
            <w:tcMar>
              <w:left w:w="28" w:type="dxa"/>
              <w:right w:w="28" w:type="dxa"/>
            </w:tcMar>
            <w:vAlign w:val="center"/>
            <w:hideMark/>
          </w:tcPr>
          <w:p w14:paraId="0EBFFCF8" w14:textId="77777777" w:rsidR="000B46D9" w:rsidRPr="00CC0F28" w:rsidRDefault="000B46D9" w:rsidP="002061E5">
            <w:pPr>
              <w:jc w:val="center"/>
              <w:rPr>
                <w:rFonts w:asciiTheme="majorHAnsi" w:hAnsiTheme="majorHAnsi"/>
              </w:rPr>
            </w:pPr>
          </w:p>
        </w:tc>
        <w:tc>
          <w:tcPr>
            <w:tcW w:w="710" w:type="dxa"/>
            <w:vMerge/>
            <w:tcBorders>
              <w:top w:val="single" w:sz="8" w:space="0" w:color="auto"/>
              <w:left w:val="single" w:sz="8" w:space="0" w:color="auto"/>
              <w:bottom w:val="single" w:sz="8" w:space="0" w:color="auto"/>
              <w:right w:val="single" w:sz="8" w:space="0" w:color="auto"/>
            </w:tcBorders>
            <w:tcMar>
              <w:left w:w="28" w:type="dxa"/>
              <w:right w:w="28" w:type="dxa"/>
            </w:tcMar>
            <w:vAlign w:val="center"/>
            <w:hideMark/>
          </w:tcPr>
          <w:p w14:paraId="76586F90" w14:textId="77777777" w:rsidR="000B46D9" w:rsidRPr="00CC0F28" w:rsidRDefault="000B46D9" w:rsidP="002061E5">
            <w:pPr>
              <w:jc w:val="center"/>
              <w:rPr>
                <w:rFonts w:asciiTheme="majorHAnsi" w:hAnsiTheme="majorHAnsi"/>
              </w:rPr>
            </w:pPr>
          </w:p>
        </w:tc>
        <w:tc>
          <w:tcPr>
            <w:tcW w:w="623" w:type="dxa"/>
            <w:vMerge/>
            <w:tcBorders>
              <w:top w:val="single" w:sz="8" w:space="0" w:color="auto"/>
              <w:left w:val="single" w:sz="8" w:space="0" w:color="auto"/>
              <w:bottom w:val="single" w:sz="8" w:space="0" w:color="auto"/>
              <w:right w:val="single" w:sz="8" w:space="0" w:color="auto"/>
            </w:tcBorders>
            <w:tcMar>
              <w:left w:w="28" w:type="dxa"/>
              <w:right w:w="28" w:type="dxa"/>
            </w:tcMar>
            <w:vAlign w:val="center"/>
            <w:hideMark/>
          </w:tcPr>
          <w:p w14:paraId="39BCCD5E" w14:textId="77777777" w:rsidR="000B46D9" w:rsidRPr="00CC0F28" w:rsidRDefault="000B46D9" w:rsidP="002061E5">
            <w:pPr>
              <w:jc w:val="center"/>
              <w:rPr>
                <w:rFonts w:asciiTheme="majorHAnsi" w:hAnsiTheme="majorHAnsi"/>
              </w:rPr>
            </w:pPr>
          </w:p>
        </w:tc>
        <w:tc>
          <w:tcPr>
            <w:tcW w:w="651" w:type="dxa"/>
            <w:vMerge/>
            <w:tcBorders>
              <w:top w:val="single" w:sz="8" w:space="0" w:color="auto"/>
              <w:left w:val="single" w:sz="8" w:space="0" w:color="auto"/>
              <w:bottom w:val="single" w:sz="8" w:space="0" w:color="auto"/>
              <w:right w:val="single" w:sz="8" w:space="0" w:color="auto"/>
            </w:tcBorders>
            <w:tcMar>
              <w:left w:w="28" w:type="dxa"/>
              <w:right w:w="28" w:type="dxa"/>
            </w:tcMar>
            <w:vAlign w:val="center"/>
            <w:hideMark/>
          </w:tcPr>
          <w:p w14:paraId="1B1F51EA" w14:textId="77777777" w:rsidR="000B46D9" w:rsidRPr="00CC0F28" w:rsidRDefault="000B46D9" w:rsidP="002061E5">
            <w:pPr>
              <w:jc w:val="center"/>
              <w:rPr>
                <w:rFonts w:asciiTheme="majorHAnsi" w:hAnsiTheme="majorHAnsi"/>
              </w:rPr>
            </w:pPr>
          </w:p>
        </w:tc>
        <w:tc>
          <w:tcPr>
            <w:tcW w:w="649" w:type="dxa"/>
            <w:vMerge/>
            <w:tcBorders>
              <w:top w:val="single" w:sz="8" w:space="0" w:color="auto"/>
              <w:left w:val="single" w:sz="8" w:space="0" w:color="auto"/>
              <w:bottom w:val="single" w:sz="8" w:space="0" w:color="auto"/>
              <w:right w:val="single" w:sz="8" w:space="0" w:color="auto"/>
            </w:tcBorders>
            <w:tcMar>
              <w:left w:w="28" w:type="dxa"/>
              <w:right w:w="28" w:type="dxa"/>
            </w:tcMar>
            <w:vAlign w:val="center"/>
            <w:hideMark/>
          </w:tcPr>
          <w:p w14:paraId="1B962B6B" w14:textId="77777777" w:rsidR="000B46D9" w:rsidRPr="00CC0F28" w:rsidRDefault="000B46D9" w:rsidP="002061E5">
            <w:pPr>
              <w:jc w:val="center"/>
              <w:rPr>
                <w:rFonts w:asciiTheme="majorHAnsi" w:hAnsiTheme="majorHAnsi"/>
              </w:rPr>
            </w:pPr>
          </w:p>
        </w:tc>
      </w:tr>
      <w:tr w:rsidR="000B46D9" w:rsidRPr="00CC0F28" w14:paraId="54A14B96" w14:textId="77777777" w:rsidTr="00DE565A">
        <w:trPr>
          <w:trHeight w:val="300"/>
          <w:jc w:val="center"/>
        </w:trPr>
        <w:tc>
          <w:tcPr>
            <w:tcW w:w="5962" w:type="dxa"/>
            <w:tcBorders>
              <w:left w:val="single" w:sz="8" w:space="0" w:color="auto"/>
              <w:bottom w:val="single" w:sz="4" w:space="0" w:color="auto"/>
              <w:right w:val="single" w:sz="8" w:space="0" w:color="auto"/>
            </w:tcBorders>
            <w:shd w:val="clear" w:color="auto" w:fill="auto"/>
            <w:tcMar>
              <w:left w:w="57" w:type="dxa"/>
              <w:right w:w="28" w:type="dxa"/>
            </w:tcMar>
            <w:vAlign w:val="center"/>
            <w:hideMark/>
          </w:tcPr>
          <w:p w14:paraId="54867217" w14:textId="77777777" w:rsidR="000B46D9" w:rsidRPr="00CC0F28" w:rsidRDefault="000B46D9" w:rsidP="002061E5">
            <w:pPr>
              <w:rPr>
                <w:rFonts w:asciiTheme="majorHAnsi" w:hAnsiTheme="majorHAnsi"/>
              </w:rPr>
            </w:pPr>
            <w:r w:rsidRPr="00CC0F28">
              <w:rPr>
                <w:rFonts w:asciiTheme="majorHAnsi" w:hAnsiTheme="majorHAnsi"/>
              </w:rPr>
              <w:t>X-bracings on either single or two-storey</w:t>
            </w:r>
          </w:p>
        </w:tc>
        <w:tc>
          <w:tcPr>
            <w:tcW w:w="677" w:type="dxa"/>
            <w:vMerge/>
            <w:tcBorders>
              <w:top w:val="single" w:sz="8" w:space="0" w:color="auto"/>
              <w:left w:val="single" w:sz="8" w:space="0" w:color="auto"/>
              <w:bottom w:val="single" w:sz="4" w:space="0" w:color="auto"/>
              <w:right w:val="single" w:sz="8" w:space="0" w:color="auto"/>
            </w:tcBorders>
            <w:tcMar>
              <w:left w:w="28" w:type="dxa"/>
              <w:right w:w="28" w:type="dxa"/>
            </w:tcMar>
            <w:vAlign w:val="center"/>
            <w:hideMark/>
          </w:tcPr>
          <w:p w14:paraId="44D3B299" w14:textId="77777777" w:rsidR="000B46D9" w:rsidRPr="00CC0F28" w:rsidRDefault="000B46D9" w:rsidP="002061E5">
            <w:pPr>
              <w:jc w:val="center"/>
              <w:rPr>
                <w:rFonts w:asciiTheme="majorHAnsi" w:hAnsiTheme="majorHAnsi"/>
              </w:rPr>
            </w:pPr>
          </w:p>
        </w:tc>
        <w:tc>
          <w:tcPr>
            <w:tcW w:w="599" w:type="dxa"/>
            <w:vMerge/>
            <w:tcBorders>
              <w:top w:val="single" w:sz="8" w:space="0" w:color="auto"/>
              <w:left w:val="single" w:sz="8" w:space="0" w:color="auto"/>
              <w:bottom w:val="single" w:sz="4" w:space="0" w:color="auto"/>
              <w:right w:val="single" w:sz="8" w:space="0" w:color="auto"/>
            </w:tcBorders>
            <w:tcMar>
              <w:left w:w="28" w:type="dxa"/>
              <w:right w:w="28" w:type="dxa"/>
            </w:tcMar>
            <w:vAlign w:val="center"/>
            <w:hideMark/>
          </w:tcPr>
          <w:p w14:paraId="0877740C" w14:textId="77777777" w:rsidR="000B46D9" w:rsidRPr="00CC0F28" w:rsidRDefault="000B46D9" w:rsidP="002061E5">
            <w:pPr>
              <w:jc w:val="center"/>
              <w:rPr>
                <w:rFonts w:asciiTheme="majorHAnsi" w:hAnsiTheme="majorHAnsi"/>
              </w:rPr>
            </w:pPr>
          </w:p>
        </w:tc>
        <w:tc>
          <w:tcPr>
            <w:tcW w:w="710" w:type="dxa"/>
            <w:vMerge/>
            <w:tcBorders>
              <w:top w:val="single" w:sz="8" w:space="0" w:color="auto"/>
              <w:left w:val="single" w:sz="8" w:space="0" w:color="auto"/>
              <w:bottom w:val="single" w:sz="4" w:space="0" w:color="auto"/>
              <w:right w:val="single" w:sz="8" w:space="0" w:color="auto"/>
            </w:tcBorders>
            <w:tcMar>
              <w:left w:w="28" w:type="dxa"/>
              <w:right w:w="28" w:type="dxa"/>
            </w:tcMar>
            <w:vAlign w:val="center"/>
            <w:hideMark/>
          </w:tcPr>
          <w:p w14:paraId="69ABA961" w14:textId="77777777" w:rsidR="000B46D9" w:rsidRPr="00CC0F28" w:rsidRDefault="000B46D9" w:rsidP="002061E5">
            <w:pPr>
              <w:jc w:val="center"/>
              <w:rPr>
                <w:rFonts w:asciiTheme="majorHAnsi" w:hAnsiTheme="majorHAnsi"/>
              </w:rPr>
            </w:pPr>
          </w:p>
        </w:tc>
        <w:tc>
          <w:tcPr>
            <w:tcW w:w="623" w:type="dxa"/>
            <w:vMerge/>
            <w:tcBorders>
              <w:top w:val="single" w:sz="8" w:space="0" w:color="auto"/>
              <w:left w:val="single" w:sz="8" w:space="0" w:color="auto"/>
              <w:bottom w:val="single" w:sz="4" w:space="0" w:color="auto"/>
              <w:right w:val="single" w:sz="8" w:space="0" w:color="auto"/>
            </w:tcBorders>
            <w:tcMar>
              <w:left w:w="28" w:type="dxa"/>
              <w:right w:w="28" w:type="dxa"/>
            </w:tcMar>
            <w:vAlign w:val="center"/>
            <w:hideMark/>
          </w:tcPr>
          <w:p w14:paraId="798DD0D7" w14:textId="77777777" w:rsidR="000B46D9" w:rsidRPr="00CC0F28" w:rsidRDefault="000B46D9" w:rsidP="002061E5">
            <w:pPr>
              <w:jc w:val="center"/>
              <w:rPr>
                <w:rFonts w:asciiTheme="majorHAnsi" w:hAnsiTheme="majorHAnsi"/>
              </w:rPr>
            </w:pPr>
          </w:p>
        </w:tc>
        <w:tc>
          <w:tcPr>
            <w:tcW w:w="651" w:type="dxa"/>
            <w:vMerge/>
            <w:tcBorders>
              <w:top w:val="single" w:sz="8" w:space="0" w:color="auto"/>
              <w:left w:val="single" w:sz="8" w:space="0" w:color="auto"/>
              <w:bottom w:val="single" w:sz="4" w:space="0" w:color="auto"/>
              <w:right w:val="single" w:sz="8" w:space="0" w:color="auto"/>
            </w:tcBorders>
            <w:tcMar>
              <w:left w:w="28" w:type="dxa"/>
              <w:right w:w="28" w:type="dxa"/>
            </w:tcMar>
            <w:vAlign w:val="center"/>
            <w:hideMark/>
          </w:tcPr>
          <w:p w14:paraId="5091C9CE" w14:textId="77777777" w:rsidR="000B46D9" w:rsidRPr="00CC0F28" w:rsidRDefault="000B46D9" w:rsidP="002061E5">
            <w:pPr>
              <w:jc w:val="center"/>
              <w:rPr>
                <w:rFonts w:asciiTheme="majorHAnsi" w:hAnsiTheme="majorHAnsi"/>
              </w:rPr>
            </w:pPr>
          </w:p>
        </w:tc>
        <w:tc>
          <w:tcPr>
            <w:tcW w:w="649" w:type="dxa"/>
            <w:vMerge/>
            <w:tcBorders>
              <w:top w:val="single" w:sz="8" w:space="0" w:color="auto"/>
              <w:left w:val="single" w:sz="8" w:space="0" w:color="auto"/>
              <w:bottom w:val="single" w:sz="4" w:space="0" w:color="auto"/>
              <w:right w:val="single" w:sz="8" w:space="0" w:color="auto"/>
            </w:tcBorders>
            <w:tcMar>
              <w:left w:w="28" w:type="dxa"/>
              <w:right w:w="28" w:type="dxa"/>
            </w:tcMar>
            <w:vAlign w:val="center"/>
            <w:hideMark/>
          </w:tcPr>
          <w:p w14:paraId="03F7CDDD" w14:textId="77777777" w:rsidR="000B46D9" w:rsidRPr="00CC0F28" w:rsidRDefault="000B46D9" w:rsidP="002061E5">
            <w:pPr>
              <w:jc w:val="center"/>
              <w:rPr>
                <w:rFonts w:asciiTheme="majorHAnsi" w:hAnsiTheme="majorHAnsi"/>
              </w:rPr>
            </w:pPr>
          </w:p>
        </w:tc>
      </w:tr>
      <w:tr w:rsidR="000B46D9" w:rsidRPr="00CC0F28" w14:paraId="655830D6" w14:textId="77777777" w:rsidTr="00DE565A">
        <w:trPr>
          <w:trHeight w:val="319"/>
          <w:jc w:val="center"/>
        </w:trPr>
        <w:tc>
          <w:tcPr>
            <w:tcW w:w="5962" w:type="dxa"/>
            <w:tcBorders>
              <w:top w:val="single" w:sz="4" w:space="0" w:color="auto"/>
              <w:left w:val="single" w:sz="8" w:space="0" w:color="auto"/>
              <w:bottom w:val="single" w:sz="4" w:space="0" w:color="auto"/>
              <w:right w:val="single" w:sz="8" w:space="0" w:color="auto"/>
            </w:tcBorders>
            <w:shd w:val="clear" w:color="auto" w:fill="auto"/>
            <w:tcMar>
              <w:left w:w="57" w:type="dxa"/>
              <w:right w:w="28" w:type="dxa"/>
            </w:tcMar>
            <w:vAlign w:val="center"/>
            <w:hideMark/>
          </w:tcPr>
          <w:p w14:paraId="4ADD8B17" w14:textId="77777777" w:rsidR="000B46D9" w:rsidRPr="00CC0F28" w:rsidRDefault="000B46D9" w:rsidP="002061E5">
            <w:pPr>
              <w:rPr>
                <w:rFonts w:asciiTheme="majorHAnsi" w:hAnsiTheme="majorHAnsi"/>
              </w:rPr>
            </w:pPr>
            <w:r w:rsidRPr="00CC0F28">
              <w:rPr>
                <w:rFonts w:asciiTheme="majorHAnsi" w:hAnsiTheme="majorHAnsi"/>
              </w:rPr>
              <w:t>c) Frames with eccentric bracings</w:t>
            </w:r>
          </w:p>
        </w:tc>
        <w:tc>
          <w:tcPr>
            <w:tcW w:w="677" w:type="dxa"/>
            <w:tcBorders>
              <w:top w:val="single" w:sz="4" w:space="0" w:color="auto"/>
              <w:left w:val="single" w:sz="8" w:space="0" w:color="auto"/>
              <w:bottom w:val="single" w:sz="4" w:space="0" w:color="auto"/>
              <w:right w:val="single" w:sz="8" w:space="0" w:color="auto"/>
            </w:tcBorders>
            <w:shd w:val="clear" w:color="auto" w:fill="auto"/>
            <w:tcMar>
              <w:left w:w="28" w:type="dxa"/>
              <w:right w:w="28" w:type="dxa"/>
            </w:tcMar>
            <w:vAlign w:val="center"/>
            <w:hideMark/>
          </w:tcPr>
          <w:p w14:paraId="302DC3C7" w14:textId="77777777" w:rsidR="000B46D9" w:rsidRPr="00CC0F28" w:rsidRDefault="000B46D9" w:rsidP="002061E5">
            <w:pPr>
              <w:jc w:val="center"/>
              <w:rPr>
                <w:rFonts w:asciiTheme="majorHAnsi" w:hAnsiTheme="majorHAnsi"/>
              </w:rPr>
            </w:pPr>
            <w:r w:rsidRPr="00CC0F28">
              <w:rPr>
                <w:rFonts w:asciiTheme="majorHAnsi" w:hAnsiTheme="majorHAnsi"/>
              </w:rPr>
              <w:t>1,8</w:t>
            </w:r>
          </w:p>
        </w:tc>
        <w:tc>
          <w:tcPr>
            <w:tcW w:w="599" w:type="dxa"/>
            <w:tcBorders>
              <w:top w:val="single" w:sz="4" w:space="0" w:color="auto"/>
              <w:left w:val="single" w:sz="8" w:space="0" w:color="auto"/>
              <w:bottom w:val="single" w:sz="4" w:space="0" w:color="auto"/>
              <w:right w:val="single" w:sz="8" w:space="0" w:color="auto"/>
            </w:tcBorders>
            <w:shd w:val="clear" w:color="auto" w:fill="auto"/>
            <w:tcMar>
              <w:left w:w="28" w:type="dxa"/>
              <w:right w:w="28" w:type="dxa"/>
            </w:tcMar>
            <w:vAlign w:val="center"/>
            <w:hideMark/>
          </w:tcPr>
          <w:p w14:paraId="66BC7BA3" w14:textId="77777777" w:rsidR="000B46D9" w:rsidRPr="00CC0F28" w:rsidRDefault="000B46D9" w:rsidP="002061E5">
            <w:pPr>
              <w:jc w:val="center"/>
              <w:rPr>
                <w:rFonts w:asciiTheme="majorHAnsi" w:hAnsiTheme="majorHAnsi"/>
              </w:rPr>
            </w:pPr>
            <w:r w:rsidRPr="00CC0F28">
              <w:rPr>
                <w:rFonts w:asciiTheme="majorHAnsi" w:hAnsiTheme="majorHAnsi"/>
              </w:rPr>
              <w:t>1,1</w:t>
            </w:r>
          </w:p>
        </w:tc>
        <w:tc>
          <w:tcPr>
            <w:tcW w:w="710" w:type="dxa"/>
            <w:tcBorders>
              <w:top w:val="single" w:sz="4" w:space="0" w:color="auto"/>
              <w:left w:val="single" w:sz="8" w:space="0" w:color="auto"/>
              <w:bottom w:val="single" w:sz="4" w:space="0" w:color="auto"/>
              <w:right w:val="single" w:sz="8" w:space="0" w:color="auto"/>
            </w:tcBorders>
            <w:shd w:val="clear" w:color="auto" w:fill="auto"/>
            <w:tcMar>
              <w:left w:w="28" w:type="dxa"/>
              <w:right w:w="28" w:type="dxa"/>
            </w:tcMar>
            <w:vAlign w:val="center"/>
            <w:hideMark/>
          </w:tcPr>
          <w:p w14:paraId="67E00DF4" w14:textId="31FF6D6D" w:rsidR="000B46D9" w:rsidRPr="00CC0F28" w:rsidRDefault="000B46D9" w:rsidP="002061E5">
            <w:pPr>
              <w:jc w:val="center"/>
              <w:rPr>
                <w:rFonts w:asciiTheme="majorHAnsi" w:hAnsiTheme="majorHAnsi"/>
              </w:rPr>
            </w:pPr>
            <w:r w:rsidRPr="00CC0F28">
              <w:rPr>
                <w:rFonts w:asciiTheme="majorHAnsi" w:hAnsiTheme="majorHAnsi"/>
              </w:rPr>
              <w:t>3</w:t>
            </w:r>
          </w:p>
        </w:tc>
        <w:tc>
          <w:tcPr>
            <w:tcW w:w="623" w:type="dxa"/>
            <w:tcBorders>
              <w:top w:val="single" w:sz="4" w:space="0" w:color="auto"/>
              <w:left w:val="single" w:sz="8" w:space="0" w:color="auto"/>
              <w:bottom w:val="single" w:sz="4" w:space="0" w:color="auto"/>
              <w:right w:val="single" w:sz="8" w:space="0" w:color="auto"/>
            </w:tcBorders>
            <w:shd w:val="clear" w:color="auto" w:fill="auto"/>
            <w:tcMar>
              <w:left w:w="28" w:type="dxa"/>
              <w:right w:w="28" w:type="dxa"/>
            </w:tcMar>
            <w:vAlign w:val="center"/>
            <w:hideMark/>
          </w:tcPr>
          <w:p w14:paraId="19843F81" w14:textId="77777777" w:rsidR="000B46D9" w:rsidRPr="00CC0F28" w:rsidRDefault="000B46D9" w:rsidP="002061E5">
            <w:pPr>
              <w:jc w:val="center"/>
              <w:rPr>
                <w:rFonts w:asciiTheme="majorHAnsi" w:hAnsiTheme="majorHAnsi"/>
              </w:rPr>
            </w:pPr>
            <w:r w:rsidRPr="00CC0F28">
              <w:rPr>
                <w:rFonts w:asciiTheme="majorHAnsi" w:hAnsiTheme="majorHAnsi"/>
              </w:rPr>
              <w:t>3,1</w:t>
            </w:r>
          </w:p>
        </w:tc>
        <w:tc>
          <w:tcPr>
            <w:tcW w:w="651" w:type="dxa"/>
            <w:tcBorders>
              <w:top w:val="single" w:sz="4" w:space="0" w:color="auto"/>
              <w:left w:val="single" w:sz="8" w:space="0" w:color="auto"/>
              <w:bottom w:val="single" w:sz="4" w:space="0" w:color="auto"/>
              <w:right w:val="single" w:sz="8" w:space="0" w:color="auto"/>
            </w:tcBorders>
            <w:shd w:val="clear" w:color="auto" w:fill="auto"/>
            <w:tcMar>
              <w:left w:w="28" w:type="dxa"/>
              <w:right w:w="28" w:type="dxa"/>
            </w:tcMar>
            <w:vAlign w:val="center"/>
            <w:hideMark/>
          </w:tcPr>
          <w:p w14:paraId="018506FE" w14:textId="77777777" w:rsidR="000B46D9" w:rsidRPr="00CC0F28" w:rsidRDefault="000B46D9" w:rsidP="002061E5">
            <w:pPr>
              <w:jc w:val="center"/>
              <w:rPr>
                <w:rFonts w:asciiTheme="majorHAnsi" w:hAnsiTheme="majorHAnsi"/>
              </w:rPr>
            </w:pPr>
            <w:r w:rsidRPr="00CC0F28">
              <w:rPr>
                <w:rFonts w:asciiTheme="majorHAnsi" w:hAnsiTheme="majorHAnsi"/>
              </w:rPr>
              <w:t>1,3</w:t>
            </w:r>
          </w:p>
        </w:tc>
        <w:tc>
          <w:tcPr>
            <w:tcW w:w="649" w:type="dxa"/>
            <w:tcBorders>
              <w:top w:val="single" w:sz="4" w:space="0" w:color="auto"/>
              <w:left w:val="single" w:sz="8" w:space="0" w:color="auto"/>
              <w:bottom w:val="single" w:sz="4" w:space="0" w:color="auto"/>
              <w:right w:val="single" w:sz="8" w:space="0" w:color="auto"/>
            </w:tcBorders>
            <w:shd w:val="clear" w:color="auto" w:fill="auto"/>
            <w:tcMar>
              <w:left w:w="28" w:type="dxa"/>
              <w:right w:w="28" w:type="dxa"/>
            </w:tcMar>
            <w:vAlign w:val="center"/>
            <w:hideMark/>
          </w:tcPr>
          <w:p w14:paraId="6769EA8E" w14:textId="77777777" w:rsidR="000B46D9" w:rsidRPr="00CC0F28" w:rsidRDefault="000B46D9" w:rsidP="002061E5">
            <w:pPr>
              <w:jc w:val="center"/>
              <w:rPr>
                <w:rFonts w:asciiTheme="majorHAnsi" w:hAnsiTheme="majorHAnsi"/>
              </w:rPr>
            </w:pPr>
            <w:r w:rsidRPr="00CC0F28">
              <w:rPr>
                <w:rFonts w:asciiTheme="majorHAnsi" w:hAnsiTheme="majorHAnsi"/>
              </w:rPr>
              <w:t>6</w:t>
            </w:r>
          </w:p>
        </w:tc>
      </w:tr>
      <w:tr w:rsidR="000B46D9" w:rsidRPr="00CC0F28" w14:paraId="71950B05" w14:textId="77777777" w:rsidTr="00DE565A">
        <w:trPr>
          <w:trHeight w:val="300"/>
          <w:jc w:val="center"/>
        </w:trPr>
        <w:tc>
          <w:tcPr>
            <w:tcW w:w="5962" w:type="dxa"/>
            <w:tcBorders>
              <w:top w:val="single" w:sz="4" w:space="0" w:color="auto"/>
              <w:left w:val="single" w:sz="8" w:space="0" w:color="auto"/>
              <w:bottom w:val="single" w:sz="4" w:space="0" w:color="auto"/>
              <w:right w:val="single" w:sz="8" w:space="0" w:color="auto"/>
            </w:tcBorders>
            <w:shd w:val="clear" w:color="auto" w:fill="auto"/>
            <w:tcMar>
              <w:left w:w="57" w:type="dxa"/>
              <w:right w:w="28" w:type="dxa"/>
            </w:tcMar>
            <w:vAlign w:val="center"/>
            <w:hideMark/>
          </w:tcPr>
          <w:p w14:paraId="03567297" w14:textId="77777777" w:rsidR="000B46D9" w:rsidRPr="00CC0F28" w:rsidRDefault="000B46D9" w:rsidP="002061E5">
            <w:pPr>
              <w:rPr>
                <w:rFonts w:asciiTheme="majorHAnsi" w:hAnsiTheme="majorHAnsi"/>
              </w:rPr>
            </w:pPr>
            <w:r w:rsidRPr="00CC0F28">
              <w:rPr>
                <w:rFonts w:asciiTheme="majorHAnsi" w:hAnsiTheme="majorHAnsi"/>
              </w:rPr>
              <w:lastRenderedPageBreak/>
              <w:t>d) Frames with buckling restrained braces</w:t>
            </w:r>
          </w:p>
        </w:tc>
        <w:tc>
          <w:tcPr>
            <w:tcW w:w="677" w:type="dxa"/>
            <w:tcBorders>
              <w:top w:val="single" w:sz="4" w:space="0" w:color="auto"/>
              <w:left w:val="single" w:sz="8" w:space="0" w:color="auto"/>
              <w:bottom w:val="single" w:sz="4" w:space="0" w:color="auto"/>
              <w:right w:val="single" w:sz="8" w:space="0" w:color="auto"/>
            </w:tcBorders>
            <w:shd w:val="clear" w:color="auto" w:fill="auto"/>
            <w:tcMar>
              <w:left w:w="28" w:type="dxa"/>
              <w:right w:w="28" w:type="dxa"/>
            </w:tcMar>
            <w:vAlign w:val="center"/>
            <w:hideMark/>
          </w:tcPr>
          <w:p w14:paraId="2676AD19" w14:textId="77777777" w:rsidR="000B46D9" w:rsidRPr="00CC0F28" w:rsidRDefault="000B46D9" w:rsidP="002061E5">
            <w:pPr>
              <w:jc w:val="center"/>
              <w:rPr>
                <w:rFonts w:asciiTheme="majorHAnsi" w:hAnsiTheme="majorHAnsi"/>
              </w:rPr>
            </w:pPr>
          </w:p>
        </w:tc>
        <w:tc>
          <w:tcPr>
            <w:tcW w:w="599" w:type="dxa"/>
            <w:tcBorders>
              <w:top w:val="single" w:sz="4" w:space="0" w:color="auto"/>
              <w:left w:val="single" w:sz="8" w:space="0" w:color="auto"/>
              <w:bottom w:val="single" w:sz="4" w:space="0" w:color="auto"/>
              <w:right w:val="single" w:sz="8" w:space="0" w:color="auto"/>
            </w:tcBorders>
            <w:shd w:val="clear" w:color="auto" w:fill="auto"/>
            <w:tcMar>
              <w:left w:w="28" w:type="dxa"/>
              <w:right w:w="28" w:type="dxa"/>
            </w:tcMar>
            <w:vAlign w:val="center"/>
            <w:hideMark/>
          </w:tcPr>
          <w:p w14:paraId="31DB724C" w14:textId="77777777" w:rsidR="000B46D9" w:rsidRPr="00CC0F28" w:rsidRDefault="000B46D9" w:rsidP="002061E5">
            <w:pPr>
              <w:jc w:val="center"/>
              <w:rPr>
                <w:rFonts w:asciiTheme="majorHAnsi" w:hAnsiTheme="majorHAnsi"/>
              </w:rPr>
            </w:pPr>
          </w:p>
        </w:tc>
        <w:tc>
          <w:tcPr>
            <w:tcW w:w="710" w:type="dxa"/>
            <w:tcBorders>
              <w:top w:val="single" w:sz="4" w:space="0" w:color="auto"/>
              <w:left w:val="single" w:sz="8" w:space="0" w:color="auto"/>
              <w:bottom w:val="single" w:sz="4" w:space="0" w:color="auto"/>
              <w:right w:val="single" w:sz="8" w:space="0" w:color="auto"/>
            </w:tcBorders>
            <w:shd w:val="clear" w:color="auto" w:fill="auto"/>
            <w:tcMar>
              <w:left w:w="28" w:type="dxa"/>
              <w:right w:w="28" w:type="dxa"/>
            </w:tcMar>
            <w:vAlign w:val="center"/>
            <w:hideMark/>
          </w:tcPr>
          <w:p w14:paraId="4ABC9BC2" w14:textId="77777777" w:rsidR="000B46D9" w:rsidRPr="00CC0F28" w:rsidRDefault="000B46D9" w:rsidP="002061E5">
            <w:pPr>
              <w:jc w:val="center"/>
              <w:rPr>
                <w:rFonts w:asciiTheme="majorHAnsi" w:hAnsiTheme="majorHAnsi"/>
              </w:rPr>
            </w:pPr>
          </w:p>
        </w:tc>
        <w:tc>
          <w:tcPr>
            <w:tcW w:w="623" w:type="dxa"/>
            <w:tcBorders>
              <w:top w:val="single" w:sz="4" w:space="0" w:color="auto"/>
              <w:left w:val="single" w:sz="8" w:space="0" w:color="auto"/>
              <w:bottom w:val="single" w:sz="4" w:space="0" w:color="auto"/>
              <w:right w:val="single" w:sz="8" w:space="0" w:color="auto"/>
            </w:tcBorders>
            <w:shd w:val="clear" w:color="auto" w:fill="auto"/>
            <w:tcMar>
              <w:left w:w="28" w:type="dxa"/>
              <w:right w:w="28" w:type="dxa"/>
            </w:tcMar>
            <w:vAlign w:val="center"/>
            <w:hideMark/>
          </w:tcPr>
          <w:p w14:paraId="40B04CA0" w14:textId="77777777" w:rsidR="000B46D9" w:rsidRPr="00CC0F28" w:rsidRDefault="000B46D9" w:rsidP="002061E5">
            <w:pPr>
              <w:jc w:val="center"/>
              <w:rPr>
                <w:rFonts w:asciiTheme="majorHAnsi" w:hAnsiTheme="majorHAnsi"/>
              </w:rPr>
            </w:pPr>
            <w:r w:rsidRPr="00CC0F28">
              <w:rPr>
                <w:rFonts w:asciiTheme="majorHAnsi" w:hAnsiTheme="majorHAnsi"/>
              </w:rPr>
              <w:t>3,3</w:t>
            </w:r>
          </w:p>
        </w:tc>
        <w:tc>
          <w:tcPr>
            <w:tcW w:w="651" w:type="dxa"/>
            <w:tcBorders>
              <w:top w:val="single" w:sz="4" w:space="0" w:color="auto"/>
              <w:left w:val="single" w:sz="8" w:space="0" w:color="auto"/>
              <w:bottom w:val="single" w:sz="4" w:space="0" w:color="auto"/>
              <w:right w:val="single" w:sz="8" w:space="0" w:color="auto"/>
            </w:tcBorders>
            <w:shd w:val="clear" w:color="auto" w:fill="auto"/>
            <w:tcMar>
              <w:left w:w="28" w:type="dxa"/>
              <w:right w:w="28" w:type="dxa"/>
            </w:tcMar>
            <w:vAlign w:val="center"/>
            <w:hideMark/>
          </w:tcPr>
          <w:p w14:paraId="46786639" w14:textId="77777777" w:rsidR="000B46D9" w:rsidRPr="00CC0F28" w:rsidRDefault="000B46D9" w:rsidP="002061E5">
            <w:pPr>
              <w:jc w:val="center"/>
              <w:rPr>
                <w:rFonts w:asciiTheme="majorHAnsi" w:hAnsiTheme="majorHAnsi"/>
              </w:rPr>
            </w:pPr>
            <w:r w:rsidRPr="00CC0F28">
              <w:rPr>
                <w:rFonts w:asciiTheme="majorHAnsi" w:hAnsiTheme="majorHAnsi"/>
              </w:rPr>
              <w:t>1,2</w:t>
            </w:r>
          </w:p>
        </w:tc>
        <w:tc>
          <w:tcPr>
            <w:tcW w:w="649" w:type="dxa"/>
            <w:tcBorders>
              <w:top w:val="single" w:sz="4" w:space="0" w:color="auto"/>
              <w:left w:val="single" w:sz="8" w:space="0" w:color="auto"/>
              <w:bottom w:val="single" w:sz="4" w:space="0" w:color="auto"/>
              <w:right w:val="single" w:sz="8" w:space="0" w:color="auto"/>
            </w:tcBorders>
            <w:shd w:val="clear" w:color="auto" w:fill="auto"/>
            <w:tcMar>
              <w:left w:w="28" w:type="dxa"/>
              <w:right w:w="28" w:type="dxa"/>
            </w:tcMar>
            <w:vAlign w:val="center"/>
            <w:hideMark/>
          </w:tcPr>
          <w:p w14:paraId="13F67938" w14:textId="77777777" w:rsidR="000B46D9" w:rsidRPr="00CC0F28" w:rsidRDefault="000B46D9" w:rsidP="002061E5">
            <w:pPr>
              <w:jc w:val="center"/>
              <w:rPr>
                <w:rFonts w:asciiTheme="majorHAnsi" w:hAnsiTheme="majorHAnsi"/>
              </w:rPr>
            </w:pPr>
            <w:r w:rsidRPr="00CC0F28">
              <w:rPr>
                <w:rFonts w:asciiTheme="majorHAnsi" w:hAnsiTheme="majorHAnsi"/>
              </w:rPr>
              <w:t>6</w:t>
            </w:r>
          </w:p>
        </w:tc>
      </w:tr>
      <w:tr w:rsidR="000B46D9" w:rsidRPr="00CC0F28" w14:paraId="78753C8F" w14:textId="77777777" w:rsidTr="00DE565A">
        <w:trPr>
          <w:trHeight w:val="288"/>
          <w:jc w:val="center"/>
        </w:trPr>
        <w:tc>
          <w:tcPr>
            <w:tcW w:w="5962" w:type="dxa"/>
            <w:tcBorders>
              <w:top w:val="single" w:sz="4" w:space="0" w:color="auto"/>
              <w:left w:val="single" w:sz="8" w:space="0" w:color="auto"/>
              <w:right w:val="single" w:sz="8" w:space="0" w:color="auto"/>
            </w:tcBorders>
            <w:shd w:val="clear" w:color="auto" w:fill="auto"/>
            <w:tcMar>
              <w:left w:w="57" w:type="dxa"/>
              <w:right w:w="28" w:type="dxa"/>
            </w:tcMar>
            <w:vAlign w:val="center"/>
            <w:hideMark/>
          </w:tcPr>
          <w:p w14:paraId="7DD4A910" w14:textId="77777777" w:rsidR="000B46D9" w:rsidRPr="00CC0F28" w:rsidRDefault="000B46D9" w:rsidP="002061E5">
            <w:pPr>
              <w:rPr>
                <w:rFonts w:asciiTheme="majorHAnsi" w:hAnsiTheme="majorHAnsi"/>
              </w:rPr>
            </w:pPr>
            <w:r w:rsidRPr="00CC0F28">
              <w:rPr>
                <w:rFonts w:asciiTheme="majorHAnsi" w:hAnsiTheme="majorHAnsi"/>
              </w:rPr>
              <w:t>e) Dual frames</w:t>
            </w:r>
          </w:p>
        </w:tc>
        <w:tc>
          <w:tcPr>
            <w:tcW w:w="677" w:type="dxa"/>
            <w:tcBorders>
              <w:top w:val="single" w:sz="4" w:space="0" w:color="auto"/>
              <w:left w:val="single" w:sz="8" w:space="0" w:color="auto"/>
              <w:right w:val="single" w:sz="8" w:space="0" w:color="auto"/>
            </w:tcBorders>
            <w:shd w:val="clear" w:color="auto" w:fill="auto"/>
            <w:tcMar>
              <w:left w:w="28" w:type="dxa"/>
              <w:right w:w="28" w:type="dxa"/>
            </w:tcMar>
            <w:vAlign w:val="center"/>
            <w:hideMark/>
          </w:tcPr>
          <w:p w14:paraId="6266BA87" w14:textId="77777777" w:rsidR="000B46D9" w:rsidRPr="00CC0F28" w:rsidRDefault="000B46D9" w:rsidP="002061E5">
            <w:pPr>
              <w:jc w:val="center"/>
              <w:rPr>
                <w:rFonts w:asciiTheme="majorHAnsi" w:hAnsiTheme="majorHAnsi"/>
              </w:rPr>
            </w:pPr>
          </w:p>
        </w:tc>
        <w:tc>
          <w:tcPr>
            <w:tcW w:w="599" w:type="dxa"/>
            <w:tcBorders>
              <w:top w:val="single" w:sz="4" w:space="0" w:color="auto"/>
              <w:left w:val="single" w:sz="8" w:space="0" w:color="auto"/>
              <w:right w:val="single" w:sz="8" w:space="0" w:color="auto"/>
            </w:tcBorders>
            <w:shd w:val="clear" w:color="auto" w:fill="auto"/>
            <w:tcMar>
              <w:left w:w="28" w:type="dxa"/>
              <w:right w:w="28" w:type="dxa"/>
            </w:tcMar>
            <w:vAlign w:val="center"/>
            <w:hideMark/>
          </w:tcPr>
          <w:p w14:paraId="1A0EC6A7" w14:textId="77777777" w:rsidR="000B46D9" w:rsidRPr="00CC0F28" w:rsidRDefault="000B46D9" w:rsidP="002061E5">
            <w:pPr>
              <w:jc w:val="center"/>
              <w:rPr>
                <w:rFonts w:asciiTheme="majorHAnsi" w:hAnsiTheme="majorHAnsi"/>
              </w:rPr>
            </w:pPr>
          </w:p>
        </w:tc>
        <w:tc>
          <w:tcPr>
            <w:tcW w:w="710" w:type="dxa"/>
            <w:tcBorders>
              <w:top w:val="single" w:sz="4" w:space="0" w:color="auto"/>
              <w:left w:val="single" w:sz="8" w:space="0" w:color="auto"/>
              <w:right w:val="single" w:sz="8" w:space="0" w:color="auto"/>
            </w:tcBorders>
            <w:shd w:val="clear" w:color="auto" w:fill="auto"/>
            <w:tcMar>
              <w:left w:w="28" w:type="dxa"/>
              <w:right w:w="28" w:type="dxa"/>
            </w:tcMar>
            <w:vAlign w:val="center"/>
            <w:hideMark/>
          </w:tcPr>
          <w:p w14:paraId="43E7C6F0" w14:textId="77777777" w:rsidR="000B46D9" w:rsidRPr="00CC0F28" w:rsidRDefault="000B46D9" w:rsidP="002061E5">
            <w:pPr>
              <w:jc w:val="center"/>
              <w:rPr>
                <w:rFonts w:asciiTheme="majorHAnsi" w:hAnsiTheme="majorHAnsi"/>
              </w:rPr>
            </w:pPr>
          </w:p>
        </w:tc>
        <w:tc>
          <w:tcPr>
            <w:tcW w:w="623" w:type="dxa"/>
            <w:tcBorders>
              <w:top w:val="single" w:sz="4" w:space="0" w:color="auto"/>
              <w:left w:val="single" w:sz="8" w:space="0" w:color="auto"/>
              <w:right w:val="single" w:sz="8" w:space="0" w:color="auto"/>
            </w:tcBorders>
            <w:shd w:val="clear" w:color="auto" w:fill="auto"/>
            <w:tcMar>
              <w:left w:w="28" w:type="dxa"/>
              <w:right w:w="28" w:type="dxa"/>
            </w:tcMar>
            <w:vAlign w:val="center"/>
            <w:hideMark/>
          </w:tcPr>
          <w:p w14:paraId="2DC7CFF6" w14:textId="77777777" w:rsidR="000B46D9" w:rsidRPr="00CC0F28" w:rsidRDefault="000B46D9" w:rsidP="002061E5">
            <w:pPr>
              <w:jc w:val="center"/>
              <w:rPr>
                <w:rFonts w:asciiTheme="majorHAnsi" w:hAnsiTheme="majorHAnsi"/>
              </w:rPr>
            </w:pPr>
          </w:p>
        </w:tc>
        <w:tc>
          <w:tcPr>
            <w:tcW w:w="651" w:type="dxa"/>
            <w:tcBorders>
              <w:top w:val="single" w:sz="4" w:space="0" w:color="auto"/>
              <w:left w:val="single" w:sz="8" w:space="0" w:color="auto"/>
              <w:right w:val="single" w:sz="8" w:space="0" w:color="auto"/>
            </w:tcBorders>
            <w:shd w:val="clear" w:color="auto" w:fill="auto"/>
            <w:tcMar>
              <w:left w:w="28" w:type="dxa"/>
              <w:right w:w="28" w:type="dxa"/>
            </w:tcMar>
            <w:vAlign w:val="center"/>
            <w:hideMark/>
          </w:tcPr>
          <w:p w14:paraId="6581E3FC" w14:textId="77777777" w:rsidR="000B46D9" w:rsidRPr="00CC0F28" w:rsidRDefault="000B46D9" w:rsidP="002061E5">
            <w:pPr>
              <w:jc w:val="center"/>
              <w:rPr>
                <w:rFonts w:asciiTheme="majorHAnsi" w:hAnsiTheme="majorHAnsi"/>
              </w:rPr>
            </w:pPr>
          </w:p>
        </w:tc>
        <w:tc>
          <w:tcPr>
            <w:tcW w:w="649" w:type="dxa"/>
            <w:tcBorders>
              <w:top w:val="single" w:sz="4" w:space="0" w:color="auto"/>
              <w:left w:val="single" w:sz="8" w:space="0" w:color="auto"/>
              <w:right w:val="single" w:sz="8" w:space="0" w:color="auto"/>
            </w:tcBorders>
            <w:shd w:val="clear" w:color="auto" w:fill="auto"/>
            <w:tcMar>
              <w:left w:w="28" w:type="dxa"/>
              <w:right w:w="28" w:type="dxa"/>
            </w:tcMar>
            <w:vAlign w:val="center"/>
            <w:hideMark/>
          </w:tcPr>
          <w:p w14:paraId="43142FA9" w14:textId="77777777" w:rsidR="000B46D9" w:rsidRPr="00CC0F28" w:rsidRDefault="000B46D9" w:rsidP="002061E5">
            <w:pPr>
              <w:jc w:val="center"/>
              <w:rPr>
                <w:rFonts w:asciiTheme="majorHAnsi" w:hAnsiTheme="majorHAnsi"/>
              </w:rPr>
            </w:pPr>
          </w:p>
        </w:tc>
      </w:tr>
      <w:tr w:rsidR="000B46D9" w:rsidRPr="00CC0F28" w14:paraId="08238E39" w14:textId="77777777" w:rsidTr="00CC0F28">
        <w:trPr>
          <w:trHeight w:val="288"/>
          <w:jc w:val="center"/>
        </w:trPr>
        <w:tc>
          <w:tcPr>
            <w:tcW w:w="5962" w:type="dxa"/>
            <w:tcBorders>
              <w:left w:val="single" w:sz="8" w:space="0" w:color="auto"/>
              <w:right w:val="single" w:sz="8" w:space="0" w:color="auto"/>
            </w:tcBorders>
            <w:shd w:val="clear" w:color="auto" w:fill="auto"/>
            <w:tcMar>
              <w:left w:w="57" w:type="dxa"/>
              <w:right w:w="28" w:type="dxa"/>
            </w:tcMar>
            <w:vAlign w:val="center"/>
            <w:hideMark/>
          </w:tcPr>
          <w:p w14:paraId="44A135CE" w14:textId="77777777" w:rsidR="000B46D9" w:rsidRPr="00CC0F28" w:rsidRDefault="000B46D9" w:rsidP="002061E5">
            <w:pPr>
              <w:rPr>
                <w:rFonts w:asciiTheme="majorHAnsi" w:hAnsiTheme="majorHAnsi"/>
              </w:rPr>
            </w:pPr>
            <w:r w:rsidRPr="00CC0F28">
              <w:rPr>
                <w:rFonts w:asciiTheme="majorHAnsi" w:hAnsiTheme="majorHAnsi"/>
              </w:rPr>
              <w:t>MRFs with concentric bracing</w:t>
            </w:r>
          </w:p>
        </w:tc>
        <w:tc>
          <w:tcPr>
            <w:tcW w:w="677" w:type="dxa"/>
            <w:tcBorders>
              <w:left w:val="single" w:sz="8" w:space="0" w:color="auto"/>
              <w:right w:val="single" w:sz="8" w:space="0" w:color="auto"/>
            </w:tcBorders>
            <w:shd w:val="clear" w:color="auto" w:fill="auto"/>
            <w:tcMar>
              <w:left w:w="28" w:type="dxa"/>
              <w:right w:w="28" w:type="dxa"/>
            </w:tcMar>
            <w:vAlign w:val="center"/>
            <w:hideMark/>
          </w:tcPr>
          <w:p w14:paraId="779A036A" w14:textId="77777777" w:rsidR="000B46D9" w:rsidRPr="00CC0F28" w:rsidRDefault="000B46D9" w:rsidP="002061E5">
            <w:pPr>
              <w:jc w:val="center"/>
              <w:rPr>
                <w:rFonts w:asciiTheme="majorHAnsi" w:hAnsiTheme="majorHAnsi"/>
              </w:rPr>
            </w:pPr>
            <w:r w:rsidRPr="00CC0F28">
              <w:rPr>
                <w:rFonts w:asciiTheme="majorHAnsi" w:hAnsiTheme="majorHAnsi"/>
              </w:rPr>
              <w:t>1,8</w:t>
            </w:r>
          </w:p>
        </w:tc>
        <w:tc>
          <w:tcPr>
            <w:tcW w:w="599" w:type="dxa"/>
            <w:tcBorders>
              <w:left w:val="single" w:sz="8" w:space="0" w:color="auto"/>
              <w:right w:val="single" w:sz="8" w:space="0" w:color="auto"/>
            </w:tcBorders>
            <w:shd w:val="clear" w:color="auto" w:fill="auto"/>
            <w:tcMar>
              <w:left w:w="28" w:type="dxa"/>
              <w:right w:w="28" w:type="dxa"/>
            </w:tcMar>
            <w:vAlign w:val="center"/>
            <w:hideMark/>
          </w:tcPr>
          <w:p w14:paraId="6A81E2B4" w14:textId="77777777" w:rsidR="000B46D9" w:rsidRPr="00CC0F28" w:rsidRDefault="000B46D9" w:rsidP="002061E5">
            <w:pPr>
              <w:jc w:val="center"/>
              <w:rPr>
                <w:rFonts w:asciiTheme="majorHAnsi" w:hAnsiTheme="majorHAnsi"/>
              </w:rPr>
            </w:pPr>
            <w:r w:rsidRPr="00CC0F28">
              <w:rPr>
                <w:rFonts w:asciiTheme="majorHAnsi" w:hAnsiTheme="majorHAnsi"/>
              </w:rPr>
              <w:t>1,1</w:t>
            </w:r>
          </w:p>
        </w:tc>
        <w:tc>
          <w:tcPr>
            <w:tcW w:w="710" w:type="dxa"/>
            <w:tcBorders>
              <w:left w:val="single" w:sz="8" w:space="0" w:color="auto"/>
              <w:right w:val="single" w:sz="8" w:space="0" w:color="auto"/>
            </w:tcBorders>
            <w:shd w:val="clear" w:color="auto" w:fill="auto"/>
            <w:tcMar>
              <w:left w:w="28" w:type="dxa"/>
              <w:right w:w="28" w:type="dxa"/>
            </w:tcMar>
            <w:vAlign w:val="center"/>
            <w:hideMark/>
          </w:tcPr>
          <w:p w14:paraId="13E3147F" w14:textId="77777777" w:rsidR="000B46D9" w:rsidRPr="00CC0F28" w:rsidRDefault="000B46D9" w:rsidP="002061E5">
            <w:pPr>
              <w:jc w:val="center"/>
              <w:rPr>
                <w:rFonts w:asciiTheme="majorHAnsi" w:hAnsiTheme="majorHAnsi"/>
              </w:rPr>
            </w:pPr>
            <w:r w:rsidRPr="00CC0F28">
              <w:rPr>
                <w:rFonts w:asciiTheme="majorHAnsi" w:hAnsiTheme="majorHAnsi"/>
              </w:rPr>
              <w:t>3</w:t>
            </w:r>
          </w:p>
        </w:tc>
        <w:tc>
          <w:tcPr>
            <w:tcW w:w="623" w:type="dxa"/>
            <w:tcBorders>
              <w:left w:val="single" w:sz="8" w:space="0" w:color="auto"/>
              <w:right w:val="single" w:sz="8" w:space="0" w:color="auto"/>
            </w:tcBorders>
            <w:shd w:val="clear" w:color="auto" w:fill="auto"/>
            <w:tcMar>
              <w:left w:w="28" w:type="dxa"/>
              <w:right w:w="28" w:type="dxa"/>
            </w:tcMar>
            <w:vAlign w:val="center"/>
            <w:hideMark/>
          </w:tcPr>
          <w:p w14:paraId="0995FE58" w14:textId="77777777" w:rsidR="000B46D9" w:rsidRPr="00CC0F28" w:rsidRDefault="000B46D9" w:rsidP="002061E5">
            <w:pPr>
              <w:jc w:val="center"/>
              <w:rPr>
                <w:rFonts w:asciiTheme="majorHAnsi" w:hAnsiTheme="majorHAnsi"/>
              </w:rPr>
            </w:pPr>
            <w:r w:rsidRPr="00CC0F28">
              <w:rPr>
                <w:rFonts w:asciiTheme="majorHAnsi" w:hAnsiTheme="majorHAnsi"/>
              </w:rPr>
              <w:t>2,9</w:t>
            </w:r>
          </w:p>
        </w:tc>
        <w:tc>
          <w:tcPr>
            <w:tcW w:w="651" w:type="dxa"/>
            <w:tcBorders>
              <w:left w:val="single" w:sz="8" w:space="0" w:color="auto"/>
              <w:right w:val="single" w:sz="8" w:space="0" w:color="auto"/>
            </w:tcBorders>
            <w:shd w:val="clear" w:color="auto" w:fill="auto"/>
            <w:tcMar>
              <w:left w:w="28" w:type="dxa"/>
              <w:right w:w="28" w:type="dxa"/>
            </w:tcMar>
            <w:vAlign w:val="center"/>
            <w:hideMark/>
          </w:tcPr>
          <w:p w14:paraId="5A4B1DE7" w14:textId="77777777" w:rsidR="000B46D9" w:rsidRPr="00CC0F28" w:rsidRDefault="000B46D9" w:rsidP="002061E5">
            <w:pPr>
              <w:jc w:val="center"/>
              <w:rPr>
                <w:rFonts w:asciiTheme="majorHAnsi" w:hAnsiTheme="majorHAnsi"/>
              </w:rPr>
            </w:pPr>
            <w:r w:rsidRPr="00CC0F28">
              <w:rPr>
                <w:rFonts w:asciiTheme="majorHAnsi" w:hAnsiTheme="majorHAnsi"/>
              </w:rPr>
              <w:t>1,1</w:t>
            </w:r>
          </w:p>
        </w:tc>
        <w:tc>
          <w:tcPr>
            <w:tcW w:w="649" w:type="dxa"/>
            <w:tcBorders>
              <w:left w:val="single" w:sz="8" w:space="0" w:color="auto"/>
              <w:right w:val="single" w:sz="8" w:space="0" w:color="auto"/>
            </w:tcBorders>
            <w:shd w:val="clear" w:color="auto" w:fill="auto"/>
            <w:tcMar>
              <w:left w:w="28" w:type="dxa"/>
              <w:right w:w="28" w:type="dxa"/>
            </w:tcMar>
            <w:vAlign w:val="center"/>
            <w:hideMark/>
          </w:tcPr>
          <w:p w14:paraId="0EC72001" w14:textId="77777777" w:rsidR="000B46D9" w:rsidRPr="00CC0F28" w:rsidRDefault="000B46D9" w:rsidP="002061E5">
            <w:pPr>
              <w:jc w:val="center"/>
              <w:rPr>
                <w:rFonts w:asciiTheme="majorHAnsi" w:hAnsiTheme="majorHAnsi"/>
              </w:rPr>
            </w:pPr>
            <w:r w:rsidRPr="00CC0F28">
              <w:rPr>
                <w:rFonts w:asciiTheme="majorHAnsi" w:hAnsiTheme="majorHAnsi"/>
              </w:rPr>
              <w:t>4,8</w:t>
            </w:r>
          </w:p>
        </w:tc>
      </w:tr>
      <w:tr w:rsidR="000B46D9" w:rsidRPr="00CC0F28" w14:paraId="429AF5A6" w14:textId="77777777" w:rsidTr="00CC0F28">
        <w:trPr>
          <w:trHeight w:val="288"/>
          <w:jc w:val="center"/>
        </w:trPr>
        <w:tc>
          <w:tcPr>
            <w:tcW w:w="5962" w:type="dxa"/>
            <w:tcBorders>
              <w:left w:val="single" w:sz="8" w:space="0" w:color="auto"/>
              <w:right w:val="single" w:sz="8" w:space="0" w:color="auto"/>
            </w:tcBorders>
            <w:shd w:val="clear" w:color="auto" w:fill="auto"/>
            <w:tcMar>
              <w:left w:w="57" w:type="dxa"/>
              <w:right w:w="28" w:type="dxa"/>
            </w:tcMar>
            <w:vAlign w:val="center"/>
            <w:hideMark/>
          </w:tcPr>
          <w:p w14:paraId="5713DB99" w14:textId="77777777" w:rsidR="000B46D9" w:rsidRPr="00CC0F28" w:rsidRDefault="000B46D9" w:rsidP="002061E5">
            <w:pPr>
              <w:rPr>
                <w:rFonts w:asciiTheme="majorHAnsi" w:hAnsiTheme="majorHAnsi"/>
              </w:rPr>
            </w:pPr>
            <w:r w:rsidRPr="00CC0F28">
              <w:rPr>
                <w:rFonts w:asciiTheme="majorHAnsi" w:hAnsiTheme="majorHAnsi"/>
              </w:rPr>
              <w:t>MRFs with eccentric bracing</w:t>
            </w:r>
          </w:p>
        </w:tc>
        <w:tc>
          <w:tcPr>
            <w:tcW w:w="677" w:type="dxa"/>
            <w:tcBorders>
              <w:left w:val="single" w:sz="8" w:space="0" w:color="auto"/>
              <w:right w:val="single" w:sz="8" w:space="0" w:color="auto"/>
            </w:tcBorders>
            <w:shd w:val="clear" w:color="auto" w:fill="auto"/>
            <w:tcMar>
              <w:left w:w="28" w:type="dxa"/>
              <w:right w:w="28" w:type="dxa"/>
            </w:tcMar>
            <w:vAlign w:val="center"/>
            <w:hideMark/>
          </w:tcPr>
          <w:p w14:paraId="2FDC73F2" w14:textId="77777777" w:rsidR="000B46D9" w:rsidRPr="00CC0F28" w:rsidRDefault="000B46D9" w:rsidP="002061E5">
            <w:pPr>
              <w:jc w:val="center"/>
              <w:rPr>
                <w:rFonts w:asciiTheme="majorHAnsi" w:hAnsiTheme="majorHAnsi"/>
              </w:rPr>
            </w:pPr>
            <w:r w:rsidRPr="00CC0F28">
              <w:rPr>
                <w:rFonts w:asciiTheme="majorHAnsi" w:hAnsiTheme="majorHAnsi"/>
              </w:rPr>
              <w:t>2,1</w:t>
            </w:r>
          </w:p>
        </w:tc>
        <w:tc>
          <w:tcPr>
            <w:tcW w:w="599" w:type="dxa"/>
            <w:tcBorders>
              <w:left w:val="single" w:sz="8" w:space="0" w:color="auto"/>
              <w:right w:val="single" w:sz="8" w:space="0" w:color="auto"/>
            </w:tcBorders>
            <w:shd w:val="clear" w:color="auto" w:fill="auto"/>
            <w:tcMar>
              <w:left w:w="28" w:type="dxa"/>
              <w:right w:w="28" w:type="dxa"/>
            </w:tcMar>
            <w:vAlign w:val="center"/>
            <w:hideMark/>
          </w:tcPr>
          <w:p w14:paraId="3758CBF4" w14:textId="77777777" w:rsidR="000B46D9" w:rsidRPr="00CC0F28" w:rsidRDefault="000B46D9" w:rsidP="002061E5">
            <w:pPr>
              <w:jc w:val="center"/>
              <w:rPr>
                <w:rFonts w:asciiTheme="majorHAnsi" w:hAnsiTheme="majorHAnsi"/>
              </w:rPr>
            </w:pPr>
            <w:r w:rsidRPr="00CC0F28">
              <w:rPr>
                <w:rFonts w:asciiTheme="majorHAnsi" w:hAnsiTheme="majorHAnsi"/>
              </w:rPr>
              <w:t>1,1</w:t>
            </w:r>
          </w:p>
        </w:tc>
        <w:tc>
          <w:tcPr>
            <w:tcW w:w="710" w:type="dxa"/>
            <w:tcBorders>
              <w:left w:val="single" w:sz="8" w:space="0" w:color="auto"/>
              <w:right w:val="single" w:sz="8" w:space="0" w:color="auto"/>
            </w:tcBorders>
            <w:shd w:val="clear" w:color="auto" w:fill="auto"/>
            <w:tcMar>
              <w:left w:w="28" w:type="dxa"/>
              <w:right w:w="28" w:type="dxa"/>
            </w:tcMar>
            <w:vAlign w:val="center"/>
            <w:hideMark/>
          </w:tcPr>
          <w:p w14:paraId="64951C97" w14:textId="77777777" w:rsidR="000B46D9" w:rsidRPr="00CC0F28" w:rsidRDefault="000B46D9" w:rsidP="002061E5">
            <w:pPr>
              <w:jc w:val="center"/>
              <w:rPr>
                <w:rFonts w:asciiTheme="majorHAnsi" w:hAnsiTheme="majorHAnsi"/>
              </w:rPr>
            </w:pPr>
            <w:r w:rsidRPr="00CC0F28">
              <w:rPr>
                <w:rFonts w:asciiTheme="majorHAnsi" w:hAnsiTheme="majorHAnsi"/>
              </w:rPr>
              <w:t>3,5</w:t>
            </w:r>
          </w:p>
        </w:tc>
        <w:tc>
          <w:tcPr>
            <w:tcW w:w="623" w:type="dxa"/>
            <w:tcBorders>
              <w:left w:val="single" w:sz="8" w:space="0" w:color="auto"/>
              <w:right w:val="single" w:sz="8" w:space="0" w:color="auto"/>
            </w:tcBorders>
            <w:shd w:val="clear" w:color="auto" w:fill="auto"/>
            <w:tcMar>
              <w:left w:w="28" w:type="dxa"/>
              <w:right w:w="28" w:type="dxa"/>
            </w:tcMar>
            <w:vAlign w:val="center"/>
            <w:hideMark/>
          </w:tcPr>
          <w:p w14:paraId="4776BB99" w14:textId="77777777" w:rsidR="000B46D9" w:rsidRPr="00CC0F28" w:rsidRDefault="000B46D9" w:rsidP="002061E5">
            <w:pPr>
              <w:jc w:val="center"/>
              <w:rPr>
                <w:rFonts w:asciiTheme="majorHAnsi" w:hAnsiTheme="majorHAnsi"/>
              </w:rPr>
            </w:pPr>
            <w:r w:rsidRPr="00CC0F28">
              <w:rPr>
                <w:rFonts w:asciiTheme="majorHAnsi" w:hAnsiTheme="majorHAnsi"/>
              </w:rPr>
              <w:t>3,3</w:t>
            </w:r>
          </w:p>
        </w:tc>
        <w:tc>
          <w:tcPr>
            <w:tcW w:w="651" w:type="dxa"/>
            <w:tcBorders>
              <w:left w:val="single" w:sz="8" w:space="0" w:color="auto"/>
              <w:right w:val="single" w:sz="8" w:space="0" w:color="auto"/>
            </w:tcBorders>
            <w:shd w:val="clear" w:color="auto" w:fill="auto"/>
            <w:tcMar>
              <w:left w:w="28" w:type="dxa"/>
              <w:right w:w="28" w:type="dxa"/>
            </w:tcMar>
            <w:vAlign w:val="center"/>
            <w:hideMark/>
          </w:tcPr>
          <w:p w14:paraId="3107C841" w14:textId="77777777" w:rsidR="000B46D9" w:rsidRPr="00CC0F28" w:rsidRDefault="000B46D9" w:rsidP="002061E5">
            <w:pPr>
              <w:jc w:val="center"/>
              <w:rPr>
                <w:rFonts w:asciiTheme="majorHAnsi" w:hAnsiTheme="majorHAnsi"/>
              </w:rPr>
            </w:pPr>
            <w:r w:rsidRPr="00CC0F28">
              <w:rPr>
                <w:rFonts w:asciiTheme="majorHAnsi" w:hAnsiTheme="majorHAnsi"/>
              </w:rPr>
              <w:t>1,3</w:t>
            </w:r>
          </w:p>
        </w:tc>
        <w:tc>
          <w:tcPr>
            <w:tcW w:w="649" w:type="dxa"/>
            <w:tcBorders>
              <w:left w:val="single" w:sz="8" w:space="0" w:color="auto"/>
              <w:right w:val="single" w:sz="8" w:space="0" w:color="auto"/>
            </w:tcBorders>
            <w:shd w:val="clear" w:color="auto" w:fill="auto"/>
            <w:tcMar>
              <w:left w:w="28" w:type="dxa"/>
              <w:right w:w="28" w:type="dxa"/>
            </w:tcMar>
            <w:vAlign w:val="center"/>
            <w:hideMark/>
          </w:tcPr>
          <w:p w14:paraId="129A4021" w14:textId="77777777" w:rsidR="000B46D9" w:rsidRPr="00CC0F28" w:rsidRDefault="000B46D9" w:rsidP="002061E5">
            <w:pPr>
              <w:jc w:val="center"/>
              <w:rPr>
                <w:rFonts w:asciiTheme="majorHAnsi" w:hAnsiTheme="majorHAnsi"/>
              </w:rPr>
            </w:pPr>
            <w:r w:rsidRPr="00CC0F28">
              <w:rPr>
                <w:rFonts w:asciiTheme="majorHAnsi" w:hAnsiTheme="majorHAnsi"/>
              </w:rPr>
              <w:t>6,5</w:t>
            </w:r>
          </w:p>
        </w:tc>
      </w:tr>
      <w:tr w:rsidR="000B46D9" w:rsidRPr="00CC0F28" w14:paraId="1D5F3487" w14:textId="77777777" w:rsidTr="00CC0F28">
        <w:trPr>
          <w:trHeight w:val="300"/>
          <w:jc w:val="center"/>
        </w:trPr>
        <w:tc>
          <w:tcPr>
            <w:tcW w:w="5962" w:type="dxa"/>
            <w:tcBorders>
              <w:left w:val="single" w:sz="8" w:space="0" w:color="auto"/>
              <w:bottom w:val="single" w:sz="8" w:space="0" w:color="auto"/>
              <w:right w:val="single" w:sz="8" w:space="0" w:color="auto"/>
            </w:tcBorders>
            <w:shd w:val="clear" w:color="auto" w:fill="auto"/>
            <w:tcMar>
              <w:left w:w="57" w:type="dxa"/>
              <w:right w:w="28" w:type="dxa"/>
            </w:tcMar>
            <w:vAlign w:val="center"/>
            <w:hideMark/>
          </w:tcPr>
          <w:p w14:paraId="4DCEBBF8" w14:textId="77777777" w:rsidR="000B46D9" w:rsidRPr="00CC0F28" w:rsidRDefault="000B46D9" w:rsidP="002061E5">
            <w:pPr>
              <w:rPr>
                <w:rFonts w:asciiTheme="majorHAnsi" w:hAnsiTheme="majorHAnsi"/>
              </w:rPr>
            </w:pPr>
            <w:r w:rsidRPr="00CC0F28">
              <w:rPr>
                <w:rFonts w:asciiTheme="majorHAnsi" w:hAnsiTheme="majorHAnsi"/>
              </w:rPr>
              <w:t>MRFs with buckling restrained braces</w:t>
            </w:r>
          </w:p>
        </w:tc>
        <w:tc>
          <w:tcPr>
            <w:tcW w:w="677" w:type="dxa"/>
            <w:tcBorders>
              <w:left w:val="single" w:sz="8" w:space="0" w:color="auto"/>
              <w:bottom w:val="single" w:sz="8" w:space="0" w:color="auto"/>
              <w:right w:val="single" w:sz="8" w:space="0" w:color="auto"/>
            </w:tcBorders>
            <w:shd w:val="clear" w:color="auto" w:fill="auto"/>
            <w:tcMar>
              <w:left w:w="28" w:type="dxa"/>
              <w:right w:w="28" w:type="dxa"/>
            </w:tcMar>
            <w:vAlign w:val="center"/>
            <w:hideMark/>
          </w:tcPr>
          <w:p w14:paraId="0F0DEAB2" w14:textId="77777777" w:rsidR="000B46D9" w:rsidRPr="00CC0F28" w:rsidRDefault="000B46D9" w:rsidP="002061E5">
            <w:pPr>
              <w:jc w:val="center"/>
              <w:rPr>
                <w:rFonts w:asciiTheme="majorHAnsi" w:hAnsiTheme="majorHAnsi"/>
              </w:rPr>
            </w:pPr>
            <w:r w:rsidRPr="00CC0F28">
              <w:rPr>
                <w:rFonts w:asciiTheme="majorHAnsi" w:hAnsiTheme="majorHAnsi"/>
              </w:rPr>
              <w:t>-</w:t>
            </w:r>
          </w:p>
        </w:tc>
        <w:tc>
          <w:tcPr>
            <w:tcW w:w="599" w:type="dxa"/>
            <w:tcBorders>
              <w:left w:val="single" w:sz="8" w:space="0" w:color="auto"/>
              <w:bottom w:val="single" w:sz="8" w:space="0" w:color="auto"/>
              <w:right w:val="single" w:sz="8" w:space="0" w:color="auto"/>
            </w:tcBorders>
            <w:shd w:val="clear" w:color="auto" w:fill="auto"/>
            <w:tcMar>
              <w:left w:w="28" w:type="dxa"/>
              <w:right w:w="28" w:type="dxa"/>
            </w:tcMar>
            <w:vAlign w:val="center"/>
            <w:hideMark/>
          </w:tcPr>
          <w:p w14:paraId="23F15AB9" w14:textId="77777777" w:rsidR="000B46D9" w:rsidRPr="00CC0F28" w:rsidRDefault="000B46D9" w:rsidP="002061E5">
            <w:pPr>
              <w:jc w:val="center"/>
              <w:rPr>
                <w:rFonts w:asciiTheme="majorHAnsi" w:hAnsiTheme="majorHAnsi"/>
              </w:rPr>
            </w:pPr>
            <w:r w:rsidRPr="00CC0F28">
              <w:rPr>
                <w:rFonts w:asciiTheme="majorHAnsi" w:hAnsiTheme="majorHAnsi"/>
              </w:rPr>
              <w:t>-</w:t>
            </w:r>
          </w:p>
        </w:tc>
        <w:tc>
          <w:tcPr>
            <w:tcW w:w="710" w:type="dxa"/>
            <w:tcBorders>
              <w:left w:val="single" w:sz="8" w:space="0" w:color="auto"/>
              <w:bottom w:val="single" w:sz="8" w:space="0" w:color="auto"/>
              <w:right w:val="single" w:sz="8" w:space="0" w:color="auto"/>
            </w:tcBorders>
            <w:shd w:val="clear" w:color="auto" w:fill="auto"/>
            <w:tcMar>
              <w:left w:w="28" w:type="dxa"/>
              <w:right w:w="28" w:type="dxa"/>
            </w:tcMar>
            <w:vAlign w:val="center"/>
            <w:hideMark/>
          </w:tcPr>
          <w:p w14:paraId="7D323D8D" w14:textId="77777777" w:rsidR="000B46D9" w:rsidRPr="00CC0F28" w:rsidRDefault="000B46D9" w:rsidP="002061E5">
            <w:pPr>
              <w:jc w:val="center"/>
              <w:rPr>
                <w:rFonts w:asciiTheme="majorHAnsi" w:hAnsiTheme="majorHAnsi"/>
              </w:rPr>
            </w:pPr>
            <w:r w:rsidRPr="00CC0F28">
              <w:rPr>
                <w:rFonts w:asciiTheme="majorHAnsi" w:hAnsiTheme="majorHAnsi"/>
              </w:rPr>
              <w:t>-</w:t>
            </w:r>
          </w:p>
        </w:tc>
        <w:tc>
          <w:tcPr>
            <w:tcW w:w="623" w:type="dxa"/>
            <w:tcBorders>
              <w:left w:val="single" w:sz="8" w:space="0" w:color="auto"/>
              <w:bottom w:val="single" w:sz="8" w:space="0" w:color="auto"/>
              <w:right w:val="single" w:sz="8" w:space="0" w:color="auto"/>
            </w:tcBorders>
            <w:shd w:val="clear" w:color="auto" w:fill="auto"/>
            <w:tcMar>
              <w:left w:w="28" w:type="dxa"/>
              <w:right w:w="28" w:type="dxa"/>
            </w:tcMar>
            <w:vAlign w:val="center"/>
            <w:hideMark/>
          </w:tcPr>
          <w:p w14:paraId="0B703BF8" w14:textId="77777777" w:rsidR="000B46D9" w:rsidRPr="00CC0F28" w:rsidRDefault="000B46D9" w:rsidP="002061E5">
            <w:pPr>
              <w:jc w:val="center"/>
              <w:rPr>
                <w:rFonts w:asciiTheme="majorHAnsi" w:hAnsiTheme="majorHAnsi"/>
              </w:rPr>
            </w:pPr>
            <w:r w:rsidRPr="00CC0F28">
              <w:rPr>
                <w:rFonts w:asciiTheme="majorHAnsi" w:hAnsiTheme="majorHAnsi"/>
              </w:rPr>
              <w:t>3,3</w:t>
            </w:r>
          </w:p>
        </w:tc>
        <w:tc>
          <w:tcPr>
            <w:tcW w:w="651" w:type="dxa"/>
            <w:tcBorders>
              <w:left w:val="single" w:sz="8" w:space="0" w:color="auto"/>
              <w:bottom w:val="single" w:sz="8" w:space="0" w:color="auto"/>
              <w:right w:val="single" w:sz="8" w:space="0" w:color="auto"/>
            </w:tcBorders>
            <w:shd w:val="clear" w:color="auto" w:fill="auto"/>
            <w:tcMar>
              <w:left w:w="28" w:type="dxa"/>
              <w:right w:w="28" w:type="dxa"/>
            </w:tcMar>
            <w:vAlign w:val="center"/>
            <w:hideMark/>
          </w:tcPr>
          <w:p w14:paraId="6BB94260" w14:textId="77777777" w:rsidR="000B46D9" w:rsidRPr="00CC0F28" w:rsidRDefault="000B46D9" w:rsidP="002061E5">
            <w:pPr>
              <w:jc w:val="center"/>
              <w:rPr>
                <w:rFonts w:asciiTheme="majorHAnsi" w:hAnsiTheme="majorHAnsi"/>
              </w:rPr>
            </w:pPr>
            <w:r w:rsidRPr="00CC0F28">
              <w:rPr>
                <w:rFonts w:asciiTheme="majorHAnsi" w:hAnsiTheme="majorHAnsi"/>
              </w:rPr>
              <w:t>1,3</w:t>
            </w:r>
          </w:p>
        </w:tc>
        <w:tc>
          <w:tcPr>
            <w:tcW w:w="649" w:type="dxa"/>
            <w:tcBorders>
              <w:left w:val="single" w:sz="8" w:space="0" w:color="auto"/>
              <w:bottom w:val="single" w:sz="8" w:space="0" w:color="auto"/>
              <w:right w:val="single" w:sz="8" w:space="0" w:color="auto"/>
            </w:tcBorders>
            <w:shd w:val="clear" w:color="auto" w:fill="auto"/>
            <w:tcMar>
              <w:left w:w="28" w:type="dxa"/>
              <w:right w:w="28" w:type="dxa"/>
            </w:tcMar>
            <w:vAlign w:val="center"/>
            <w:hideMark/>
          </w:tcPr>
          <w:p w14:paraId="3D34604D" w14:textId="77777777" w:rsidR="000B46D9" w:rsidRPr="00CC0F28" w:rsidRDefault="000B46D9" w:rsidP="002061E5">
            <w:pPr>
              <w:jc w:val="center"/>
              <w:rPr>
                <w:rFonts w:asciiTheme="majorHAnsi" w:hAnsiTheme="majorHAnsi"/>
              </w:rPr>
            </w:pPr>
            <w:r w:rsidRPr="00CC0F28">
              <w:rPr>
                <w:rFonts w:asciiTheme="majorHAnsi" w:hAnsiTheme="majorHAnsi"/>
              </w:rPr>
              <w:t>6,5</w:t>
            </w:r>
          </w:p>
        </w:tc>
      </w:tr>
      <w:tr w:rsidR="000B46D9" w:rsidRPr="00CC0F28" w14:paraId="0937BC3E" w14:textId="77777777" w:rsidTr="00CC0F28">
        <w:trPr>
          <w:trHeight w:val="300"/>
          <w:jc w:val="center"/>
        </w:trPr>
        <w:tc>
          <w:tcPr>
            <w:tcW w:w="5962" w:type="dxa"/>
            <w:tcBorders>
              <w:top w:val="single" w:sz="8" w:space="0" w:color="auto"/>
              <w:left w:val="single" w:sz="8" w:space="0" w:color="auto"/>
              <w:bottom w:val="single" w:sz="8" w:space="0" w:color="auto"/>
              <w:right w:val="single" w:sz="8" w:space="0" w:color="auto"/>
            </w:tcBorders>
            <w:shd w:val="clear" w:color="auto" w:fill="auto"/>
            <w:tcMar>
              <w:left w:w="57" w:type="dxa"/>
              <w:right w:w="28" w:type="dxa"/>
            </w:tcMar>
            <w:vAlign w:val="center"/>
          </w:tcPr>
          <w:p w14:paraId="686EEE9D" w14:textId="77777777" w:rsidR="000B46D9" w:rsidRPr="00CC0F28" w:rsidRDefault="000B46D9" w:rsidP="002061E5">
            <w:pPr>
              <w:rPr>
                <w:rFonts w:asciiTheme="majorHAnsi" w:hAnsiTheme="majorHAnsi"/>
              </w:rPr>
            </w:pPr>
            <w:r w:rsidRPr="00CC0F28">
              <w:rPr>
                <w:rFonts w:asciiTheme="majorHAnsi" w:hAnsiTheme="majorHAnsi"/>
              </w:rPr>
              <w:t>f) Structures with concrete cores or concrete walls</w:t>
            </w:r>
          </w:p>
        </w:tc>
        <w:tc>
          <w:tcPr>
            <w:tcW w:w="3909" w:type="dxa"/>
            <w:gridSpan w:val="6"/>
            <w:tcBorders>
              <w:top w:val="single" w:sz="8" w:space="0" w:color="auto"/>
              <w:left w:val="single" w:sz="8" w:space="0" w:color="auto"/>
              <w:bottom w:val="single" w:sz="8" w:space="0" w:color="auto"/>
              <w:right w:val="single" w:sz="8" w:space="0" w:color="auto"/>
            </w:tcBorders>
            <w:shd w:val="clear" w:color="auto" w:fill="auto"/>
            <w:tcMar>
              <w:left w:w="28" w:type="dxa"/>
              <w:right w:w="28" w:type="dxa"/>
            </w:tcMar>
            <w:vAlign w:val="center"/>
          </w:tcPr>
          <w:p w14:paraId="02C4F97F" w14:textId="77777777" w:rsidR="000B46D9" w:rsidRPr="00DE565A" w:rsidRDefault="000B46D9" w:rsidP="002061E5">
            <w:pPr>
              <w:jc w:val="center"/>
              <w:rPr>
                <w:rFonts w:asciiTheme="majorHAnsi" w:hAnsiTheme="majorHAnsi"/>
              </w:rPr>
            </w:pPr>
            <w:r w:rsidRPr="00CC0F28">
              <w:rPr>
                <w:rFonts w:asciiTheme="majorHAnsi" w:hAnsiTheme="majorHAnsi"/>
              </w:rPr>
              <w:t xml:space="preserve">See </w:t>
            </w:r>
            <w:r w:rsidRPr="00DE565A">
              <w:rPr>
                <w:rFonts w:asciiTheme="majorHAnsi" w:hAnsiTheme="majorHAnsi"/>
              </w:rPr>
              <w:t xml:space="preserve">Table 10.1: </w:t>
            </w:r>
          </w:p>
          <w:p w14:paraId="59A4254C" w14:textId="77777777" w:rsidR="000B46D9" w:rsidRPr="00CC0F28" w:rsidRDefault="000B46D9" w:rsidP="002061E5">
            <w:pPr>
              <w:jc w:val="center"/>
              <w:rPr>
                <w:rFonts w:asciiTheme="majorHAnsi" w:hAnsiTheme="majorHAnsi"/>
              </w:rPr>
            </w:pPr>
            <w:r w:rsidRPr="00CC0F28">
              <w:rPr>
                <w:rFonts w:asciiTheme="majorHAnsi" w:hAnsiTheme="majorHAnsi"/>
              </w:rPr>
              <w:t>walls or wall equivalent structures</w:t>
            </w:r>
          </w:p>
        </w:tc>
      </w:tr>
      <w:tr w:rsidR="000B46D9" w:rsidRPr="00CC0F28" w14:paraId="4ECD0CF1" w14:textId="77777777" w:rsidTr="00CC0F28">
        <w:trPr>
          <w:trHeight w:val="288"/>
          <w:jc w:val="center"/>
        </w:trPr>
        <w:tc>
          <w:tcPr>
            <w:tcW w:w="5962" w:type="dxa"/>
            <w:tcBorders>
              <w:top w:val="single" w:sz="8" w:space="0" w:color="auto"/>
              <w:left w:val="single" w:sz="8" w:space="0" w:color="auto"/>
              <w:right w:val="single" w:sz="8" w:space="0" w:color="auto"/>
            </w:tcBorders>
            <w:shd w:val="clear" w:color="auto" w:fill="auto"/>
            <w:tcMar>
              <w:left w:w="57" w:type="dxa"/>
              <w:right w:w="28" w:type="dxa"/>
            </w:tcMar>
            <w:vAlign w:val="center"/>
            <w:hideMark/>
          </w:tcPr>
          <w:p w14:paraId="3A3D42A8" w14:textId="77777777" w:rsidR="000B46D9" w:rsidRPr="00CC0F28" w:rsidRDefault="000B46D9" w:rsidP="002061E5">
            <w:pPr>
              <w:rPr>
                <w:rFonts w:asciiTheme="majorHAnsi" w:hAnsiTheme="majorHAnsi"/>
              </w:rPr>
            </w:pPr>
            <w:r w:rsidRPr="00CC0F28">
              <w:rPr>
                <w:rFonts w:asciiTheme="majorHAnsi" w:hAnsiTheme="majorHAnsi"/>
              </w:rPr>
              <w:t>g) Lightweight steel frame wall systems</w:t>
            </w:r>
          </w:p>
        </w:tc>
        <w:tc>
          <w:tcPr>
            <w:tcW w:w="677" w:type="dxa"/>
            <w:tcBorders>
              <w:top w:val="single" w:sz="8" w:space="0" w:color="auto"/>
              <w:left w:val="single" w:sz="8" w:space="0" w:color="auto"/>
              <w:right w:val="single" w:sz="8" w:space="0" w:color="auto"/>
            </w:tcBorders>
            <w:shd w:val="clear" w:color="auto" w:fill="auto"/>
            <w:tcMar>
              <w:left w:w="28" w:type="dxa"/>
              <w:right w:w="28" w:type="dxa"/>
            </w:tcMar>
            <w:vAlign w:val="center"/>
            <w:hideMark/>
          </w:tcPr>
          <w:p w14:paraId="5B330058" w14:textId="77777777" w:rsidR="000B46D9" w:rsidRPr="00CC0F28" w:rsidRDefault="000B46D9" w:rsidP="002061E5">
            <w:pPr>
              <w:jc w:val="center"/>
              <w:rPr>
                <w:rFonts w:asciiTheme="majorHAnsi" w:hAnsiTheme="majorHAnsi"/>
              </w:rPr>
            </w:pPr>
          </w:p>
        </w:tc>
        <w:tc>
          <w:tcPr>
            <w:tcW w:w="599" w:type="dxa"/>
            <w:tcBorders>
              <w:top w:val="single" w:sz="8" w:space="0" w:color="auto"/>
              <w:left w:val="single" w:sz="8" w:space="0" w:color="auto"/>
              <w:right w:val="single" w:sz="8" w:space="0" w:color="auto"/>
            </w:tcBorders>
            <w:shd w:val="clear" w:color="auto" w:fill="auto"/>
            <w:tcMar>
              <w:left w:w="28" w:type="dxa"/>
              <w:right w:w="28" w:type="dxa"/>
            </w:tcMar>
            <w:vAlign w:val="center"/>
            <w:hideMark/>
          </w:tcPr>
          <w:p w14:paraId="4EA11D97" w14:textId="77777777" w:rsidR="000B46D9" w:rsidRPr="00CC0F28" w:rsidRDefault="000B46D9" w:rsidP="002061E5">
            <w:pPr>
              <w:jc w:val="center"/>
              <w:rPr>
                <w:rFonts w:asciiTheme="majorHAnsi" w:hAnsiTheme="majorHAnsi"/>
              </w:rPr>
            </w:pPr>
          </w:p>
        </w:tc>
        <w:tc>
          <w:tcPr>
            <w:tcW w:w="710" w:type="dxa"/>
            <w:tcBorders>
              <w:top w:val="single" w:sz="8" w:space="0" w:color="auto"/>
              <w:left w:val="single" w:sz="8" w:space="0" w:color="auto"/>
              <w:right w:val="single" w:sz="8" w:space="0" w:color="auto"/>
            </w:tcBorders>
            <w:shd w:val="clear" w:color="auto" w:fill="auto"/>
            <w:tcMar>
              <w:left w:w="28" w:type="dxa"/>
              <w:right w:w="28" w:type="dxa"/>
            </w:tcMar>
            <w:vAlign w:val="center"/>
            <w:hideMark/>
          </w:tcPr>
          <w:p w14:paraId="15F8F9BB" w14:textId="77777777" w:rsidR="000B46D9" w:rsidRPr="00CC0F28" w:rsidRDefault="000B46D9" w:rsidP="002061E5">
            <w:pPr>
              <w:jc w:val="center"/>
              <w:rPr>
                <w:rFonts w:asciiTheme="majorHAnsi" w:hAnsiTheme="majorHAnsi"/>
              </w:rPr>
            </w:pPr>
          </w:p>
        </w:tc>
        <w:tc>
          <w:tcPr>
            <w:tcW w:w="623" w:type="dxa"/>
            <w:tcBorders>
              <w:top w:val="single" w:sz="8" w:space="0" w:color="auto"/>
              <w:left w:val="single" w:sz="8" w:space="0" w:color="auto"/>
              <w:right w:val="single" w:sz="8" w:space="0" w:color="auto"/>
            </w:tcBorders>
            <w:shd w:val="clear" w:color="auto" w:fill="auto"/>
            <w:tcMar>
              <w:left w:w="28" w:type="dxa"/>
              <w:right w:w="28" w:type="dxa"/>
            </w:tcMar>
            <w:vAlign w:val="center"/>
            <w:hideMark/>
          </w:tcPr>
          <w:p w14:paraId="0B91468A" w14:textId="77777777" w:rsidR="000B46D9" w:rsidRPr="00CC0F28" w:rsidRDefault="000B46D9" w:rsidP="002061E5">
            <w:pPr>
              <w:jc w:val="center"/>
              <w:rPr>
                <w:rFonts w:asciiTheme="majorHAnsi" w:hAnsiTheme="majorHAnsi"/>
              </w:rPr>
            </w:pPr>
          </w:p>
        </w:tc>
        <w:tc>
          <w:tcPr>
            <w:tcW w:w="651" w:type="dxa"/>
            <w:tcBorders>
              <w:top w:val="single" w:sz="8" w:space="0" w:color="auto"/>
              <w:left w:val="single" w:sz="8" w:space="0" w:color="auto"/>
              <w:right w:val="single" w:sz="8" w:space="0" w:color="auto"/>
            </w:tcBorders>
            <w:shd w:val="clear" w:color="auto" w:fill="auto"/>
            <w:tcMar>
              <w:left w:w="28" w:type="dxa"/>
              <w:right w:w="28" w:type="dxa"/>
            </w:tcMar>
            <w:vAlign w:val="center"/>
            <w:hideMark/>
          </w:tcPr>
          <w:p w14:paraId="5F4BDA2C" w14:textId="77777777" w:rsidR="000B46D9" w:rsidRPr="00CC0F28" w:rsidRDefault="000B46D9" w:rsidP="002061E5">
            <w:pPr>
              <w:jc w:val="center"/>
              <w:rPr>
                <w:rFonts w:asciiTheme="majorHAnsi" w:hAnsiTheme="majorHAnsi"/>
              </w:rPr>
            </w:pPr>
          </w:p>
        </w:tc>
        <w:tc>
          <w:tcPr>
            <w:tcW w:w="649" w:type="dxa"/>
            <w:tcBorders>
              <w:top w:val="single" w:sz="8" w:space="0" w:color="auto"/>
              <w:left w:val="single" w:sz="8" w:space="0" w:color="auto"/>
              <w:right w:val="single" w:sz="8" w:space="0" w:color="auto"/>
            </w:tcBorders>
            <w:shd w:val="clear" w:color="auto" w:fill="auto"/>
            <w:tcMar>
              <w:left w:w="28" w:type="dxa"/>
              <w:right w:w="28" w:type="dxa"/>
            </w:tcMar>
            <w:vAlign w:val="center"/>
            <w:hideMark/>
          </w:tcPr>
          <w:p w14:paraId="7BFDB31B" w14:textId="77777777" w:rsidR="000B46D9" w:rsidRPr="00CC0F28" w:rsidRDefault="000B46D9" w:rsidP="002061E5">
            <w:pPr>
              <w:jc w:val="center"/>
              <w:rPr>
                <w:rFonts w:asciiTheme="majorHAnsi" w:hAnsiTheme="majorHAnsi"/>
              </w:rPr>
            </w:pPr>
          </w:p>
        </w:tc>
      </w:tr>
      <w:tr w:rsidR="000B46D9" w:rsidRPr="00CC0F28" w14:paraId="6574BCE6" w14:textId="77777777" w:rsidTr="00CC0F28">
        <w:trPr>
          <w:trHeight w:val="288"/>
          <w:jc w:val="center"/>
        </w:trPr>
        <w:tc>
          <w:tcPr>
            <w:tcW w:w="5962" w:type="dxa"/>
            <w:tcBorders>
              <w:left w:val="single" w:sz="8" w:space="0" w:color="auto"/>
              <w:right w:val="single" w:sz="8" w:space="0" w:color="auto"/>
            </w:tcBorders>
            <w:shd w:val="clear" w:color="auto" w:fill="auto"/>
            <w:tcMar>
              <w:left w:w="57" w:type="dxa"/>
              <w:right w:w="28" w:type="dxa"/>
            </w:tcMar>
            <w:vAlign w:val="center"/>
            <w:hideMark/>
          </w:tcPr>
          <w:p w14:paraId="2B765663" w14:textId="77777777" w:rsidR="000B46D9" w:rsidRPr="00CC0F28" w:rsidRDefault="000B46D9" w:rsidP="002061E5">
            <w:pPr>
              <w:rPr>
                <w:rFonts w:asciiTheme="majorHAnsi" w:hAnsiTheme="majorHAnsi"/>
              </w:rPr>
            </w:pPr>
            <w:r w:rsidRPr="00CC0F28">
              <w:rPr>
                <w:rFonts w:asciiTheme="majorHAnsi" w:hAnsiTheme="majorHAnsi"/>
              </w:rPr>
              <w:t>with flat strap bracing</w:t>
            </w:r>
          </w:p>
        </w:tc>
        <w:tc>
          <w:tcPr>
            <w:tcW w:w="677" w:type="dxa"/>
            <w:tcBorders>
              <w:left w:val="single" w:sz="8" w:space="0" w:color="auto"/>
              <w:right w:val="single" w:sz="8" w:space="0" w:color="auto"/>
            </w:tcBorders>
            <w:shd w:val="clear" w:color="auto" w:fill="auto"/>
            <w:tcMar>
              <w:left w:w="28" w:type="dxa"/>
              <w:right w:w="28" w:type="dxa"/>
            </w:tcMar>
            <w:vAlign w:val="center"/>
            <w:hideMark/>
          </w:tcPr>
          <w:p w14:paraId="75DCEFD3" w14:textId="77777777" w:rsidR="000B46D9" w:rsidRPr="00CC0F28" w:rsidRDefault="000B46D9" w:rsidP="002061E5">
            <w:pPr>
              <w:jc w:val="center"/>
              <w:rPr>
                <w:rFonts w:asciiTheme="majorHAnsi" w:hAnsiTheme="majorHAnsi"/>
              </w:rPr>
            </w:pPr>
            <w:r w:rsidRPr="00CC0F28">
              <w:rPr>
                <w:rFonts w:asciiTheme="majorHAnsi" w:hAnsiTheme="majorHAnsi"/>
              </w:rPr>
              <w:t>1,3</w:t>
            </w:r>
          </w:p>
        </w:tc>
        <w:tc>
          <w:tcPr>
            <w:tcW w:w="599" w:type="dxa"/>
            <w:tcBorders>
              <w:left w:val="single" w:sz="8" w:space="0" w:color="auto"/>
              <w:right w:val="single" w:sz="8" w:space="0" w:color="auto"/>
            </w:tcBorders>
            <w:shd w:val="clear" w:color="auto" w:fill="auto"/>
            <w:tcMar>
              <w:left w:w="28" w:type="dxa"/>
              <w:right w:w="28" w:type="dxa"/>
            </w:tcMar>
            <w:vAlign w:val="center"/>
            <w:hideMark/>
          </w:tcPr>
          <w:p w14:paraId="37E96604" w14:textId="77777777" w:rsidR="000B46D9" w:rsidRPr="00CC0F28" w:rsidRDefault="000B46D9" w:rsidP="002061E5">
            <w:pPr>
              <w:jc w:val="center"/>
              <w:rPr>
                <w:rFonts w:asciiTheme="majorHAnsi" w:hAnsiTheme="majorHAnsi"/>
              </w:rPr>
            </w:pPr>
            <w:r w:rsidRPr="00CC0F28">
              <w:rPr>
                <w:rFonts w:asciiTheme="majorHAnsi" w:hAnsiTheme="majorHAnsi"/>
              </w:rPr>
              <w:t>1</w:t>
            </w:r>
          </w:p>
        </w:tc>
        <w:tc>
          <w:tcPr>
            <w:tcW w:w="710" w:type="dxa"/>
            <w:tcBorders>
              <w:left w:val="single" w:sz="8" w:space="0" w:color="auto"/>
              <w:right w:val="single" w:sz="8" w:space="0" w:color="auto"/>
            </w:tcBorders>
            <w:shd w:val="clear" w:color="auto" w:fill="auto"/>
            <w:tcMar>
              <w:left w:w="28" w:type="dxa"/>
              <w:right w:w="28" w:type="dxa"/>
            </w:tcMar>
            <w:vAlign w:val="center"/>
            <w:hideMark/>
          </w:tcPr>
          <w:p w14:paraId="0FFB84BE" w14:textId="77777777" w:rsidR="000B46D9" w:rsidRPr="00CC0F28" w:rsidRDefault="000B46D9" w:rsidP="002061E5">
            <w:pPr>
              <w:jc w:val="center"/>
              <w:rPr>
                <w:rFonts w:asciiTheme="majorHAnsi" w:hAnsiTheme="majorHAnsi"/>
              </w:rPr>
            </w:pPr>
            <w:r w:rsidRPr="00CC0F28">
              <w:rPr>
                <w:rFonts w:asciiTheme="majorHAnsi" w:hAnsiTheme="majorHAnsi"/>
              </w:rPr>
              <w:t>2</w:t>
            </w:r>
          </w:p>
        </w:tc>
        <w:tc>
          <w:tcPr>
            <w:tcW w:w="623" w:type="dxa"/>
            <w:tcBorders>
              <w:left w:val="single" w:sz="8" w:space="0" w:color="auto"/>
              <w:right w:val="single" w:sz="8" w:space="0" w:color="auto"/>
            </w:tcBorders>
            <w:shd w:val="clear" w:color="auto" w:fill="auto"/>
            <w:tcMar>
              <w:left w:w="28" w:type="dxa"/>
              <w:right w:w="28" w:type="dxa"/>
            </w:tcMar>
            <w:vAlign w:val="center"/>
            <w:hideMark/>
          </w:tcPr>
          <w:p w14:paraId="3F2025F8" w14:textId="77777777" w:rsidR="000B46D9" w:rsidRPr="00CC0F28" w:rsidRDefault="000B46D9" w:rsidP="002061E5">
            <w:pPr>
              <w:jc w:val="center"/>
              <w:rPr>
                <w:rFonts w:asciiTheme="majorHAnsi" w:hAnsiTheme="majorHAnsi"/>
              </w:rPr>
            </w:pPr>
            <w:r w:rsidRPr="00CC0F28">
              <w:rPr>
                <w:rFonts w:asciiTheme="majorHAnsi" w:hAnsiTheme="majorHAnsi"/>
              </w:rPr>
              <w:t>1,7</w:t>
            </w:r>
          </w:p>
        </w:tc>
        <w:tc>
          <w:tcPr>
            <w:tcW w:w="651" w:type="dxa"/>
            <w:tcBorders>
              <w:left w:val="single" w:sz="8" w:space="0" w:color="auto"/>
              <w:right w:val="single" w:sz="8" w:space="0" w:color="auto"/>
            </w:tcBorders>
            <w:shd w:val="clear" w:color="auto" w:fill="auto"/>
            <w:tcMar>
              <w:left w:w="28" w:type="dxa"/>
              <w:right w:w="28" w:type="dxa"/>
            </w:tcMar>
            <w:vAlign w:val="center"/>
            <w:hideMark/>
          </w:tcPr>
          <w:p w14:paraId="4F5D76BB" w14:textId="77777777" w:rsidR="000B46D9" w:rsidRPr="00CC0F28" w:rsidRDefault="000B46D9" w:rsidP="002061E5">
            <w:pPr>
              <w:jc w:val="center"/>
              <w:rPr>
                <w:rFonts w:asciiTheme="majorHAnsi" w:hAnsiTheme="majorHAnsi"/>
              </w:rPr>
            </w:pPr>
            <w:r w:rsidRPr="00CC0F28">
              <w:rPr>
                <w:rFonts w:asciiTheme="majorHAnsi" w:hAnsiTheme="majorHAnsi"/>
              </w:rPr>
              <w:t>1</w:t>
            </w:r>
          </w:p>
        </w:tc>
        <w:tc>
          <w:tcPr>
            <w:tcW w:w="649" w:type="dxa"/>
            <w:tcBorders>
              <w:left w:val="single" w:sz="8" w:space="0" w:color="auto"/>
              <w:right w:val="single" w:sz="8" w:space="0" w:color="auto"/>
            </w:tcBorders>
            <w:shd w:val="clear" w:color="auto" w:fill="auto"/>
            <w:tcMar>
              <w:left w:w="28" w:type="dxa"/>
              <w:right w:w="28" w:type="dxa"/>
            </w:tcMar>
            <w:vAlign w:val="center"/>
            <w:hideMark/>
          </w:tcPr>
          <w:p w14:paraId="4FA0C364" w14:textId="77777777" w:rsidR="000B46D9" w:rsidRPr="00CC0F28" w:rsidRDefault="000B46D9" w:rsidP="002061E5">
            <w:pPr>
              <w:jc w:val="center"/>
              <w:rPr>
                <w:rFonts w:asciiTheme="majorHAnsi" w:hAnsiTheme="majorHAnsi"/>
              </w:rPr>
            </w:pPr>
            <w:r w:rsidRPr="00CC0F28">
              <w:rPr>
                <w:rFonts w:asciiTheme="majorHAnsi" w:hAnsiTheme="majorHAnsi"/>
              </w:rPr>
              <w:t>2,5</w:t>
            </w:r>
          </w:p>
        </w:tc>
      </w:tr>
      <w:tr w:rsidR="000B46D9" w:rsidRPr="00CC0F28" w14:paraId="16FBC638" w14:textId="77777777" w:rsidTr="00CC0F28">
        <w:trPr>
          <w:trHeight w:val="288"/>
          <w:jc w:val="center"/>
        </w:trPr>
        <w:tc>
          <w:tcPr>
            <w:tcW w:w="5962" w:type="dxa"/>
            <w:tcBorders>
              <w:left w:val="single" w:sz="8" w:space="0" w:color="auto"/>
              <w:right w:val="single" w:sz="8" w:space="0" w:color="auto"/>
            </w:tcBorders>
            <w:shd w:val="clear" w:color="auto" w:fill="auto"/>
            <w:tcMar>
              <w:left w:w="57" w:type="dxa"/>
              <w:right w:w="28" w:type="dxa"/>
            </w:tcMar>
            <w:vAlign w:val="center"/>
            <w:hideMark/>
          </w:tcPr>
          <w:p w14:paraId="4A7FC122" w14:textId="77777777" w:rsidR="000B46D9" w:rsidRPr="00CC0F28" w:rsidRDefault="000B46D9" w:rsidP="002061E5">
            <w:pPr>
              <w:rPr>
                <w:rFonts w:asciiTheme="majorHAnsi" w:hAnsiTheme="majorHAnsi"/>
              </w:rPr>
            </w:pPr>
            <w:r w:rsidRPr="00CC0F28">
              <w:rPr>
                <w:rFonts w:asciiTheme="majorHAnsi" w:hAnsiTheme="majorHAnsi"/>
              </w:rPr>
              <w:t>with steel sheeting</w:t>
            </w:r>
          </w:p>
        </w:tc>
        <w:tc>
          <w:tcPr>
            <w:tcW w:w="677" w:type="dxa"/>
            <w:tcBorders>
              <w:left w:val="single" w:sz="8" w:space="0" w:color="auto"/>
              <w:right w:val="single" w:sz="8" w:space="0" w:color="auto"/>
            </w:tcBorders>
            <w:shd w:val="clear" w:color="auto" w:fill="auto"/>
            <w:tcMar>
              <w:left w:w="28" w:type="dxa"/>
              <w:right w:w="28" w:type="dxa"/>
            </w:tcMar>
            <w:vAlign w:val="center"/>
            <w:hideMark/>
          </w:tcPr>
          <w:p w14:paraId="22211FAD" w14:textId="77777777" w:rsidR="000B46D9" w:rsidRPr="00CC0F28" w:rsidRDefault="000B46D9" w:rsidP="002061E5">
            <w:pPr>
              <w:jc w:val="center"/>
              <w:rPr>
                <w:rFonts w:asciiTheme="majorHAnsi" w:hAnsiTheme="majorHAnsi"/>
              </w:rPr>
            </w:pPr>
            <w:r w:rsidRPr="00CC0F28">
              <w:rPr>
                <w:rFonts w:asciiTheme="majorHAnsi" w:hAnsiTheme="majorHAnsi"/>
              </w:rPr>
              <w:t>1,3</w:t>
            </w:r>
          </w:p>
        </w:tc>
        <w:tc>
          <w:tcPr>
            <w:tcW w:w="599" w:type="dxa"/>
            <w:tcBorders>
              <w:left w:val="single" w:sz="8" w:space="0" w:color="auto"/>
              <w:right w:val="single" w:sz="8" w:space="0" w:color="auto"/>
            </w:tcBorders>
            <w:shd w:val="clear" w:color="auto" w:fill="auto"/>
            <w:tcMar>
              <w:left w:w="28" w:type="dxa"/>
              <w:right w:w="28" w:type="dxa"/>
            </w:tcMar>
            <w:vAlign w:val="center"/>
            <w:hideMark/>
          </w:tcPr>
          <w:p w14:paraId="6BC90005" w14:textId="77777777" w:rsidR="000B46D9" w:rsidRPr="00CC0F28" w:rsidRDefault="000B46D9" w:rsidP="002061E5">
            <w:pPr>
              <w:jc w:val="center"/>
              <w:rPr>
                <w:rFonts w:asciiTheme="majorHAnsi" w:hAnsiTheme="majorHAnsi"/>
              </w:rPr>
            </w:pPr>
            <w:r w:rsidRPr="00CC0F28">
              <w:rPr>
                <w:rFonts w:asciiTheme="majorHAnsi" w:hAnsiTheme="majorHAnsi"/>
              </w:rPr>
              <w:t>1</w:t>
            </w:r>
          </w:p>
        </w:tc>
        <w:tc>
          <w:tcPr>
            <w:tcW w:w="710" w:type="dxa"/>
            <w:tcBorders>
              <w:left w:val="single" w:sz="8" w:space="0" w:color="auto"/>
              <w:right w:val="single" w:sz="8" w:space="0" w:color="auto"/>
            </w:tcBorders>
            <w:shd w:val="clear" w:color="auto" w:fill="auto"/>
            <w:tcMar>
              <w:left w:w="28" w:type="dxa"/>
              <w:right w:w="28" w:type="dxa"/>
            </w:tcMar>
            <w:vAlign w:val="center"/>
            <w:hideMark/>
          </w:tcPr>
          <w:p w14:paraId="1912A74C" w14:textId="77777777" w:rsidR="000B46D9" w:rsidRPr="00CC0F28" w:rsidRDefault="000B46D9" w:rsidP="002061E5">
            <w:pPr>
              <w:jc w:val="center"/>
              <w:rPr>
                <w:rFonts w:asciiTheme="majorHAnsi" w:hAnsiTheme="majorHAnsi"/>
              </w:rPr>
            </w:pPr>
            <w:r w:rsidRPr="00CC0F28">
              <w:rPr>
                <w:rFonts w:asciiTheme="majorHAnsi" w:hAnsiTheme="majorHAnsi"/>
              </w:rPr>
              <w:t>2</w:t>
            </w:r>
          </w:p>
        </w:tc>
        <w:tc>
          <w:tcPr>
            <w:tcW w:w="623" w:type="dxa"/>
            <w:tcBorders>
              <w:left w:val="single" w:sz="8" w:space="0" w:color="auto"/>
              <w:right w:val="single" w:sz="8" w:space="0" w:color="auto"/>
            </w:tcBorders>
            <w:shd w:val="clear" w:color="auto" w:fill="auto"/>
            <w:tcMar>
              <w:left w:w="28" w:type="dxa"/>
              <w:right w:w="28" w:type="dxa"/>
            </w:tcMar>
            <w:vAlign w:val="center"/>
            <w:hideMark/>
          </w:tcPr>
          <w:p w14:paraId="7BA8BC3D" w14:textId="77777777" w:rsidR="000B46D9" w:rsidRPr="00CC0F28" w:rsidRDefault="000B46D9" w:rsidP="002061E5">
            <w:pPr>
              <w:jc w:val="center"/>
              <w:rPr>
                <w:rFonts w:asciiTheme="majorHAnsi" w:hAnsiTheme="majorHAnsi"/>
              </w:rPr>
            </w:pPr>
            <w:r w:rsidRPr="00CC0F28">
              <w:rPr>
                <w:rFonts w:asciiTheme="majorHAnsi" w:hAnsiTheme="majorHAnsi"/>
              </w:rPr>
              <w:t>1,7</w:t>
            </w:r>
          </w:p>
        </w:tc>
        <w:tc>
          <w:tcPr>
            <w:tcW w:w="651" w:type="dxa"/>
            <w:tcBorders>
              <w:left w:val="single" w:sz="8" w:space="0" w:color="auto"/>
              <w:right w:val="single" w:sz="8" w:space="0" w:color="auto"/>
            </w:tcBorders>
            <w:shd w:val="clear" w:color="auto" w:fill="auto"/>
            <w:tcMar>
              <w:left w:w="28" w:type="dxa"/>
              <w:right w:w="28" w:type="dxa"/>
            </w:tcMar>
            <w:vAlign w:val="center"/>
            <w:hideMark/>
          </w:tcPr>
          <w:p w14:paraId="134A61C1" w14:textId="77777777" w:rsidR="000B46D9" w:rsidRPr="00CC0F28" w:rsidRDefault="000B46D9" w:rsidP="002061E5">
            <w:pPr>
              <w:jc w:val="center"/>
              <w:rPr>
                <w:rFonts w:asciiTheme="majorHAnsi" w:hAnsiTheme="majorHAnsi"/>
              </w:rPr>
            </w:pPr>
            <w:r w:rsidRPr="00CC0F28">
              <w:rPr>
                <w:rFonts w:asciiTheme="majorHAnsi" w:hAnsiTheme="majorHAnsi"/>
              </w:rPr>
              <w:t>1</w:t>
            </w:r>
          </w:p>
        </w:tc>
        <w:tc>
          <w:tcPr>
            <w:tcW w:w="649" w:type="dxa"/>
            <w:tcBorders>
              <w:left w:val="single" w:sz="8" w:space="0" w:color="auto"/>
              <w:right w:val="single" w:sz="8" w:space="0" w:color="auto"/>
            </w:tcBorders>
            <w:shd w:val="clear" w:color="auto" w:fill="auto"/>
            <w:tcMar>
              <w:left w:w="28" w:type="dxa"/>
              <w:right w:w="28" w:type="dxa"/>
            </w:tcMar>
            <w:vAlign w:val="center"/>
            <w:hideMark/>
          </w:tcPr>
          <w:p w14:paraId="2794EAAD" w14:textId="77777777" w:rsidR="000B46D9" w:rsidRPr="00CC0F28" w:rsidRDefault="000B46D9" w:rsidP="002061E5">
            <w:pPr>
              <w:jc w:val="center"/>
              <w:rPr>
                <w:rFonts w:asciiTheme="majorHAnsi" w:hAnsiTheme="majorHAnsi"/>
              </w:rPr>
            </w:pPr>
            <w:r w:rsidRPr="00CC0F28">
              <w:rPr>
                <w:rFonts w:asciiTheme="majorHAnsi" w:hAnsiTheme="majorHAnsi"/>
              </w:rPr>
              <w:t>2,5</w:t>
            </w:r>
          </w:p>
        </w:tc>
      </w:tr>
      <w:tr w:rsidR="000B46D9" w:rsidRPr="00CC0F28" w14:paraId="44EEDBC9" w14:textId="77777777" w:rsidTr="00CC0F28">
        <w:trPr>
          <w:trHeight w:val="288"/>
          <w:jc w:val="center"/>
        </w:trPr>
        <w:tc>
          <w:tcPr>
            <w:tcW w:w="5962" w:type="dxa"/>
            <w:tcBorders>
              <w:left w:val="single" w:sz="8" w:space="0" w:color="auto"/>
              <w:right w:val="single" w:sz="8" w:space="0" w:color="auto"/>
            </w:tcBorders>
            <w:shd w:val="clear" w:color="auto" w:fill="auto"/>
            <w:tcMar>
              <w:left w:w="57" w:type="dxa"/>
              <w:right w:w="28" w:type="dxa"/>
            </w:tcMar>
            <w:vAlign w:val="center"/>
          </w:tcPr>
          <w:p w14:paraId="53EFFDE0" w14:textId="77777777" w:rsidR="000B46D9" w:rsidRPr="00CC0F28" w:rsidRDefault="000B46D9" w:rsidP="002061E5">
            <w:pPr>
              <w:rPr>
                <w:rFonts w:asciiTheme="majorHAnsi" w:hAnsiTheme="majorHAnsi"/>
              </w:rPr>
            </w:pPr>
            <w:r w:rsidRPr="00CC0F28">
              <w:rPr>
                <w:rFonts w:asciiTheme="majorHAnsi" w:hAnsiTheme="majorHAnsi"/>
              </w:rPr>
              <w:t xml:space="preserve">with wood sheathing </w:t>
            </w:r>
          </w:p>
        </w:tc>
        <w:tc>
          <w:tcPr>
            <w:tcW w:w="677" w:type="dxa"/>
            <w:tcBorders>
              <w:left w:val="single" w:sz="8" w:space="0" w:color="auto"/>
              <w:right w:val="single" w:sz="8" w:space="0" w:color="auto"/>
            </w:tcBorders>
            <w:shd w:val="clear" w:color="auto" w:fill="auto"/>
            <w:tcMar>
              <w:left w:w="28" w:type="dxa"/>
              <w:right w:w="28" w:type="dxa"/>
            </w:tcMar>
            <w:vAlign w:val="center"/>
          </w:tcPr>
          <w:p w14:paraId="38EB68AC" w14:textId="77777777" w:rsidR="000B46D9" w:rsidRPr="00CC0F28" w:rsidRDefault="000B46D9" w:rsidP="002061E5">
            <w:pPr>
              <w:jc w:val="center"/>
              <w:rPr>
                <w:rFonts w:asciiTheme="majorHAnsi" w:hAnsiTheme="majorHAnsi"/>
              </w:rPr>
            </w:pPr>
            <w:r w:rsidRPr="00CC0F28">
              <w:rPr>
                <w:rFonts w:asciiTheme="majorHAnsi" w:hAnsiTheme="majorHAnsi"/>
              </w:rPr>
              <w:t>1,3</w:t>
            </w:r>
          </w:p>
        </w:tc>
        <w:tc>
          <w:tcPr>
            <w:tcW w:w="599" w:type="dxa"/>
            <w:tcBorders>
              <w:left w:val="single" w:sz="8" w:space="0" w:color="auto"/>
              <w:right w:val="single" w:sz="8" w:space="0" w:color="auto"/>
            </w:tcBorders>
            <w:shd w:val="clear" w:color="auto" w:fill="auto"/>
            <w:tcMar>
              <w:left w:w="28" w:type="dxa"/>
              <w:right w:w="28" w:type="dxa"/>
            </w:tcMar>
            <w:vAlign w:val="center"/>
          </w:tcPr>
          <w:p w14:paraId="3A1B5059" w14:textId="77777777" w:rsidR="000B46D9" w:rsidRPr="00CC0F28" w:rsidRDefault="000B46D9" w:rsidP="002061E5">
            <w:pPr>
              <w:jc w:val="center"/>
              <w:rPr>
                <w:rFonts w:asciiTheme="majorHAnsi" w:hAnsiTheme="majorHAnsi"/>
              </w:rPr>
            </w:pPr>
            <w:r w:rsidRPr="00CC0F28">
              <w:rPr>
                <w:rFonts w:asciiTheme="majorHAnsi" w:hAnsiTheme="majorHAnsi"/>
              </w:rPr>
              <w:t>1</w:t>
            </w:r>
          </w:p>
        </w:tc>
        <w:tc>
          <w:tcPr>
            <w:tcW w:w="710" w:type="dxa"/>
            <w:tcBorders>
              <w:left w:val="single" w:sz="8" w:space="0" w:color="auto"/>
              <w:right w:val="single" w:sz="8" w:space="0" w:color="auto"/>
            </w:tcBorders>
            <w:shd w:val="clear" w:color="auto" w:fill="auto"/>
            <w:tcMar>
              <w:left w:w="28" w:type="dxa"/>
              <w:right w:w="28" w:type="dxa"/>
            </w:tcMar>
            <w:vAlign w:val="center"/>
          </w:tcPr>
          <w:p w14:paraId="44E63335" w14:textId="77777777" w:rsidR="000B46D9" w:rsidRPr="00CC0F28" w:rsidRDefault="000B46D9" w:rsidP="002061E5">
            <w:pPr>
              <w:jc w:val="center"/>
              <w:rPr>
                <w:rFonts w:asciiTheme="majorHAnsi" w:hAnsiTheme="majorHAnsi"/>
              </w:rPr>
            </w:pPr>
            <w:r w:rsidRPr="00CC0F28">
              <w:rPr>
                <w:rFonts w:asciiTheme="majorHAnsi" w:hAnsiTheme="majorHAnsi"/>
              </w:rPr>
              <w:t>2</w:t>
            </w:r>
          </w:p>
        </w:tc>
        <w:tc>
          <w:tcPr>
            <w:tcW w:w="623" w:type="dxa"/>
            <w:tcBorders>
              <w:left w:val="single" w:sz="8" w:space="0" w:color="auto"/>
              <w:right w:val="single" w:sz="8" w:space="0" w:color="auto"/>
            </w:tcBorders>
            <w:shd w:val="clear" w:color="auto" w:fill="auto"/>
            <w:tcMar>
              <w:left w:w="28" w:type="dxa"/>
              <w:right w:w="28" w:type="dxa"/>
            </w:tcMar>
            <w:vAlign w:val="center"/>
          </w:tcPr>
          <w:p w14:paraId="4E476007" w14:textId="77777777" w:rsidR="000B46D9" w:rsidRPr="00CC0F28" w:rsidRDefault="000B46D9" w:rsidP="002061E5">
            <w:pPr>
              <w:jc w:val="center"/>
              <w:rPr>
                <w:rFonts w:asciiTheme="majorHAnsi" w:hAnsiTheme="majorHAnsi"/>
              </w:rPr>
            </w:pPr>
            <w:r w:rsidRPr="00CC0F28">
              <w:rPr>
                <w:rFonts w:asciiTheme="majorHAnsi" w:hAnsiTheme="majorHAnsi"/>
              </w:rPr>
              <w:t>1,7</w:t>
            </w:r>
          </w:p>
        </w:tc>
        <w:tc>
          <w:tcPr>
            <w:tcW w:w="651" w:type="dxa"/>
            <w:tcBorders>
              <w:left w:val="single" w:sz="8" w:space="0" w:color="auto"/>
              <w:right w:val="single" w:sz="8" w:space="0" w:color="auto"/>
            </w:tcBorders>
            <w:shd w:val="clear" w:color="auto" w:fill="auto"/>
            <w:tcMar>
              <w:left w:w="28" w:type="dxa"/>
              <w:right w:w="28" w:type="dxa"/>
            </w:tcMar>
            <w:vAlign w:val="center"/>
          </w:tcPr>
          <w:p w14:paraId="233BDC57" w14:textId="77777777" w:rsidR="000B46D9" w:rsidRPr="00CC0F28" w:rsidRDefault="000B46D9" w:rsidP="002061E5">
            <w:pPr>
              <w:jc w:val="center"/>
              <w:rPr>
                <w:rFonts w:asciiTheme="majorHAnsi" w:hAnsiTheme="majorHAnsi"/>
              </w:rPr>
            </w:pPr>
            <w:r w:rsidRPr="00CC0F28">
              <w:rPr>
                <w:rFonts w:asciiTheme="majorHAnsi" w:hAnsiTheme="majorHAnsi"/>
              </w:rPr>
              <w:t>1</w:t>
            </w:r>
          </w:p>
        </w:tc>
        <w:tc>
          <w:tcPr>
            <w:tcW w:w="649" w:type="dxa"/>
            <w:tcBorders>
              <w:left w:val="single" w:sz="8" w:space="0" w:color="auto"/>
              <w:right w:val="single" w:sz="8" w:space="0" w:color="auto"/>
            </w:tcBorders>
            <w:shd w:val="clear" w:color="auto" w:fill="auto"/>
            <w:tcMar>
              <w:left w:w="28" w:type="dxa"/>
              <w:right w:w="28" w:type="dxa"/>
            </w:tcMar>
            <w:vAlign w:val="center"/>
          </w:tcPr>
          <w:p w14:paraId="4A80A961" w14:textId="77777777" w:rsidR="000B46D9" w:rsidRPr="00CC0F28" w:rsidRDefault="000B46D9" w:rsidP="002061E5">
            <w:pPr>
              <w:jc w:val="center"/>
              <w:rPr>
                <w:rFonts w:asciiTheme="majorHAnsi" w:hAnsiTheme="majorHAnsi"/>
              </w:rPr>
            </w:pPr>
            <w:r w:rsidRPr="00CC0F28">
              <w:rPr>
                <w:rFonts w:asciiTheme="majorHAnsi" w:hAnsiTheme="majorHAnsi"/>
              </w:rPr>
              <w:t>2,5</w:t>
            </w:r>
          </w:p>
        </w:tc>
      </w:tr>
      <w:tr w:rsidR="000B46D9" w:rsidRPr="00CC0F28" w14:paraId="4A09EDFA" w14:textId="77777777" w:rsidTr="00CC0F28">
        <w:trPr>
          <w:trHeight w:val="300"/>
          <w:jc w:val="center"/>
        </w:trPr>
        <w:tc>
          <w:tcPr>
            <w:tcW w:w="5962" w:type="dxa"/>
            <w:tcBorders>
              <w:left w:val="single" w:sz="8" w:space="0" w:color="auto"/>
              <w:bottom w:val="single" w:sz="8" w:space="0" w:color="auto"/>
              <w:right w:val="single" w:sz="8" w:space="0" w:color="auto"/>
            </w:tcBorders>
            <w:shd w:val="clear" w:color="auto" w:fill="auto"/>
            <w:tcMar>
              <w:left w:w="57" w:type="dxa"/>
              <w:right w:w="28" w:type="dxa"/>
            </w:tcMar>
            <w:vAlign w:val="center"/>
            <w:hideMark/>
          </w:tcPr>
          <w:p w14:paraId="1A7276ED" w14:textId="77777777" w:rsidR="000B46D9" w:rsidRPr="00CC0F28" w:rsidRDefault="000B46D9" w:rsidP="002061E5">
            <w:pPr>
              <w:rPr>
                <w:rFonts w:asciiTheme="majorHAnsi" w:hAnsiTheme="majorHAnsi"/>
              </w:rPr>
            </w:pPr>
            <w:r w:rsidRPr="00CC0F28">
              <w:rPr>
                <w:rFonts w:asciiTheme="majorHAnsi" w:hAnsiTheme="majorHAnsi"/>
              </w:rPr>
              <w:t>with gypsum sheathing</w:t>
            </w:r>
          </w:p>
        </w:tc>
        <w:tc>
          <w:tcPr>
            <w:tcW w:w="677" w:type="dxa"/>
            <w:tcBorders>
              <w:left w:val="single" w:sz="8" w:space="0" w:color="auto"/>
              <w:bottom w:val="single" w:sz="8" w:space="0" w:color="auto"/>
              <w:right w:val="single" w:sz="8" w:space="0" w:color="auto"/>
            </w:tcBorders>
            <w:shd w:val="clear" w:color="auto" w:fill="auto"/>
            <w:tcMar>
              <w:left w:w="28" w:type="dxa"/>
              <w:right w:w="28" w:type="dxa"/>
            </w:tcMar>
            <w:vAlign w:val="center"/>
          </w:tcPr>
          <w:p w14:paraId="344931D3" w14:textId="77777777" w:rsidR="000B46D9" w:rsidRPr="00CC0F28" w:rsidRDefault="000B46D9" w:rsidP="002061E5">
            <w:pPr>
              <w:jc w:val="center"/>
              <w:rPr>
                <w:rFonts w:asciiTheme="majorHAnsi" w:hAnsiTheme="majorHAnsi"/>
              </w:rPr>
            </w:pPr>
            <w:r w:rsidRPr="00CC0F28">
              <w:rPr>
                <w:rFonts w:asciiTheme="majorHAnsi" w:hAnsiTheme="majorHAnsi"/>
              </w:rPr>
              <w:t>1,1</w:t>
            </w:r>
          </w:p>
        </w:tc>
        <w:tc>
          <w:tcPr>
            <w:tcW w:w="599" w:type="dxa"/>
            <w:tcBorders>
              <w:left w:val="single" w:sz="8" w:space="0" w:color="auto"/>
              <w:bottom w:val="single" w:sz="8" w:space="0" w:color="auto"/>
              <w:right w:val="single" w:sz="8" w:space="0" w:color="auto"/>
            </w:tcBorders>
            <w:shd w:val="clear" w:color="auto" w:fill="auto"/>
            <w:tcMar>
              <w:left w:w="28" w:type="dxa"/>
              <w:right w:w="28" w:type="dxa"/>
            </w:tcMar>
            <w:vAlign w:val="center"/>
          </w:tcPr>
          <w:p w14:paraId="77092951" w14:textId="77777777" w:rsidR="000B46D9" w:rsidRPr="00CC0F28" w:rsidRDefault="000B46D9" w:rsidP="002061E5">
            <w:pPr>
              <w:jc w:val="center"/>
              <w:rPr>
                <w:rFonts w:asciiTheme="majorHAnsi" w:hAnsiTheme="majorHAnsi"/>
              </w:rPr>
            </w:pPr>
            <w:r w:rsidRPr="00CC0F28">
              <w:rPr>
                <w:rFonts w:asciiTheme="majorHAnsi" w:hAnsiTheme="majorHAnsi"/>
              </w:rPr>
              <w:t>1</w:t>
            </w:r>
          </w:p>
        </w:tc>
        <w:tc>
          <w:tcPr>
            <w:tcW w:w="710" w:type="dxa"/>
            <w:tcBorders>
              <w:left w:val="single" w:sz="8" w:space="0" w:color="auto"/>
              <w:bottom w:val="single" w:sz="8" w:space="0" w:color="auto"/>
              <w:right w:val="single" w:sz="8" w:space="0" w:color="auto"/>
            </w:tcBorders>
            <w:shd w:val="clear" w:color="auto" w:fill="auto"/>
            <w:tcMar>
              <w:left w:w="28" w:type="dxa"/>
              <w:right w:w="28" w:type="dxa"/>
            </w:tcMar>
            <w:vAlign w:val="center"/>
          </w:tcPr>
          <w:p w14:paraId="3582F513" w14:textId="77777777" w:rsidR="000B46D9" w:rsidRPr="00CC0F28" w:rsidRDefault="000B46D9" w:rsidP="002061E5">
            <w:pPr>
              <w:jc w:val="center"/>
              <w:rPr>
                <w:rFonts w:asciiTheme="majorHAnsi" w:hAnsiTheme="majorHAnsi"/>
              </w:rPr>
            </w:pPr>
            <w:r w:rsidRPr="00CC0F28">
              <w:rPr>
                <w:rFonts w:asciiTheme="majorHAnsi" w:hAnsiTheme="majorHAnsi"/>
              </w:rPr>
              <w:t>1,7</w:t>
            </w:r>
          </w:p>
        </w:tc>
        <w:tc>
          <w:tcPr>
            <w:tcW w:w="623" w:type="dxa"/>
            <w:tcBorders>
              <w:left w:val="single" w:sz="8" w:space="0" w:color="auto"/>
              <w:bottom w:val="single" w:sz="8" w:space="0" w:color="auto"/>
              <w:right w:val="single" w:sz="8" w:space="0" w:color="auto"/>
            </w:tcBorders>
            <w:shd w:val="clear" w:color="auto" w:fill="auto"/>
            <w:tcMar>
              <w:left w:w="28" w:type="dxa"/>
              <w:right w:w="28" w:type="dxa"/>
            </w:tcMar>
            <w:vAlign w:val="center"/>
            <w:hideMark/>
          </w:tcPr>
          <w:p w14:paraId="7C009C10" w14:textId="77777777" w:rsidR="000B46D9" w:rsidRPr="00CC0F28" w:rsidRDefault="000B46D9" w:rsidP="002061E5">
            <w:pPr>
              <w:jc w:val="center"/>
              <w:rPr>
                <w:rFonts w:asciiTheme="majorHAnsi" w:hAnsiTheme="majorHAnsi"/>
              </w:rPr>
            </w:pPr>
            <w:r w:rsidRPr="00CC0F28">
              <w:rPr>
                <w:rFonts w:asciiTheme="majorHAnsi" w:hAnsiTheme="majorHAnsi"/>
              </w:rPr>
              <w:t>1,3</w:t>
            </w:r>
          </w:p>
        </w:tc>
        <w:tc>
          <w:tcPr>
            <w:tcW w:w="651" w:type="dxa"/>
            <w:tcBorders>
              <w:left w:val="single" w:sz="8" w:space="0" w:color="auto"/>
              <w:bottom w:val="single" w:sz="8" w:space="0" w:color="auto"/>
              <w:right w:val="single" w:sz="8" w:space="0" w:color="auto"/>
            </w:tcBorders>
            <w:shd w:val="clear" w:color="auto" w:fill="auto"/>
            <w:tcMar>
              <w:left w:w="28" w:type="dxa"/>
              <w:right w:w="28" w:type="dxa"/>
            </w:tcMar>
            <w:vAlign w:val="center"/>
            <w:hideMark/>
          </w:tcPr>
          <w:p w14:paraId="3E6FFA90" w14:textId="77777777" w:rsidR="000B46D9" w:rsidRPr="00CC0F28" w:rsidRDefault="000B46D9" w:rsidP="002061E5">
            <w:pPr>
              <w:jc w:val="center"/>
              <w:rPr>
                <w:rFonts w:asciiTheme="majorHAnsi" w:hAnsiTheme="majorHAnsi"/>
              </w:rPr>
            </w:pPr>
            <w:r w:rsidRPr="00CC0F28">
              <w:rPr>
                <w:rFonts w:asciiTheme="majorHAnsi" w:hAnsiTheme="majorHAnsi"/>
              </w:rPr>
              <w:t>1</w:t>
            </w:r>
          </w:p>
        </w:tc>
        <w:tc>
          <w:tcPr>
            <w:tcW w:w="649" w:type="dxa"/>
            <w:tcBorders>
              <w:left w:val="single" w:sz="8" w:space="0" w:color="auto"/>
              <w:bottom w:val="single" w:sz="8" w:space="0" w:color="auto"/>
              <w:right w:val="single" w:sz="8" w:space="0" w:color="auto"/>
            </w:tcBorders>
            <w:shd w:val="clear" w:color="auto" w:fill="auto"/>
            <w:tcMar>
              <w:left w:w="28" w:type="dxa"/>
              <w:right w:w="28" w:type="dxa"/>
            </w:tcMar>
            <w:vAlign w:val="center"/>
            <w:hideMark/>
          </w:tcPr>
          <w:p w14:paraId="68EC3DC0" w14:textId="77777777" w:rsidR="000B46D9" w:rsidRPr="00CC0F28" w:rsidRDefault="000B46D9" w:rsidP="002061E5">
            <w:pPr>
              <w:jc w:val="center"/>
              <w:rPr>
                <w:rFonts w:asciiTheme="majorHAnsi" w:hAnsiTheme="majorHAnsi"/>
              </w:rPr>
            </w:pPr>
            <w:r w:rsidRPr="00CC0F28">
              <w:rPr>
                <w:rFonts w:asciiTheme="majorHAnsi" w:hAnsiTheme="majorHAnsi"/>
              </w:rPr>
              <w:t>2</w:t>
            </w:r>
          </w:p>
        </w:tc>
      </w:tr>
      <w:tr w:rsidR="000B46D9" w:rsidRPr="00CC0F28" w14:paraId="304AAA66" w14:textId="77777777" w:rsidTr="00CC0F28">
        <w:trPr>
          <w:trHeight w:val="300"/>
          <w:jc w:val="center"/>
        </w:trPr>
        <w:tc>
          <w:tcPr>
            <w:tcW w:w="5962" w:type="dxa"/>
            <w:tcBorders>
              <w:top w:val="single" w:sz="8" w:space="0" w:color="auto"/>
              <w:left w:val="single" w:sz="8" w:space="0" w:color="auto"/>
              <w:bottom w:val="single" w:sz="8" w:space="0" w:color="auto"/>
              <w:right w:val="single" w:sz="8" w:space="0" w:color="auto"/>
            </w:tcBorders>
            <w:shd w:val="clear" w:color="auto" w:fill="auto"/>
            <w:tcMar>
              <w:left w:w="57" w:type="dxa"/>
              <w:right w:w="28" w:type="dxa"/>
            </w:tcMar>
            <w:vAlign w:val="center"/>
            <w:hideMark/>
          </w:tcPr>
          <w:p w14:paraId="79FB79FE" w14:textId="77777777" w:rsidR="000B46D9" w:rsidRPr="00CC0F28" w:rsidRDefault="000B46D9" w:rsidP="002061E5">
            <w:pPr>
              <w:rPr>
                <w:rFonts w:asciiTheme="majorHAnsi" w:hAnsiTheme="majorHAnsi"/>
              </w:rPr>
            </w:pPr>
            <w:r w:rsidRPr="00CC0F28">
              <w:rPr>
                <w:rFonts w:asciiTheme="majorHAnsi" w:hAnsiTheme="majorHAnsi"/>
              </w:rPr>
              <w:t>h) Inverted pendulum</w:t>
            </w:r>
          </w:p>
        </w:tc>
        <w:tc>
          <w:tcPr>
            <w:tcW w:w="677" w:type="dxa"/>
            <w:tcBorders>
              <w:top w:val="single" w:sz="8" w:space="0" w:color="auto"/>
              <w:left w:val="single" w:sz="8" w:space="0" w:color="auto"/>
              <w:bottom w:val="single" w:sz="8" w:space="0" w:color="auto"/>
              <w:right w:val="single" w:sz="8" w:space="0" w:color="auto"/>
            </w:tcBorders>
            <w:shd w:val="clear" w:color="auto" w:fill="auto"/>
            <w:tcMar>
              <w:left w:w="28" w:type="dxa"/>
              <w:right w:w="28" w:type="dxa"/>
            </w:tcMar>
            <w:vAlign w:val="center"/>
            <w:hideMark/>
          </w:tcPr>
          <w:p w14:paraId="3F83EDE0" w14:textId="77777777" w:rsidR="000B46D9" w:rsidRPr="00CC0F28" w:rsidRDefault="000B46D9" w:rsidP="002061E5">
            <w:pPr>
              <w:jc w:val="center"/>
              <w:rPr>
                <w:rFonts w:asciiTheme="majorHAnsi" w:hAnsiTheme="majorHAnsi"/>
              </w:rPr>
            </w:pPr>
            <w:r w:rsidRPr="00CC0F28">
              <w:rPr>
                <w:rFonts w:asciiTheme="majorHAnsi" w:hAnsiTheme="majorHAnsi"/>
              </w:rPr>
              <w:t>1,3</w:t>
            </w:r>
          </w:p>
        </w:tc>
        <w:tc>
          <w:tcPr>
            <w:tcW w:w="599" w:type="dxa"/>
            <w:tcBorders>
              <w:top w:val="single" w:sz="8" w:space="0" w:color="auto"/>
              <w:left w:val="single" w:sz="8" w:space="0" w:color="auto"/>
              <w:bottom w:val="single" w:sz="8" w:space="0" w:color="auto"/>
              <w:right w:val="single" w:sz="8" w:space="0" w:color="auto"/>
            </w:tcBorders>
            <w:shd w:val="clear" w:color="auto" w:fill="auto"/>
            <w:tcMar>
              <w:left w:w="28" w:type="dxa"/>
              <w:right w:w="28" w:type="dxa"/>
            </w:tcMar>
            <w:vAlign w:val="center"/>
            <w:hideMark/>
          </w:tcPr>
          <w:p w14:paraId="434973BB" w14:textId="77777777" w:rsidR="000B46D9" w:rsidRPr="00CC0F28" w:rsidRDefault="000B46D9" w:rsidP="002061E5">
            <w:pPr>
              <w:jc w:val="center"/>
              <w:rPr>
                <w:rFonts w:asciiTheme="majorHAnsi" w:hAnsiTheme="majorHAnsi"/>
              </w:rPr>
            </w:pPr>
            <w:r w:rsidRPr="00CC0F28">
              <w:rPr>
                <w:rFonts w:asciiTheme="majorHAnsi" w:hAnsiTheme="majorHAnsi"/>
              </w:rPr>
              <w:t>1</w:t>
            </w:r>
          </w:p>
        </w:tc>
        <w:tc>
          <w:tcPr>
            <w:tcW w:w="710" w:type="dxa"/>
            <w:tcBorders>
              <w:top w:val="single" w:sz="8" w:space="0" w:color="auto"/>
              <w:left w:val="single" w:sz="8" w:space="0" w:color="auto"/>
              <w:bottom w:val="single" w:sz="8" w:space="0" w:color="auto"/>
              <w:right w:val="single" w:sz="8" w:space="0" w:color="auto"/>
            </w:tcBorders>
            <w:shd w:val="clear" w:color="auto" w:fill="auto"/>
            <w:tcMar>
              <w:left w:w="28" w:type="dxa"/>
              <w:right w:w="28" w:type="dxa"/>
            </w:tcMar>
            <w:vAlign w:val="center"/>
            <w:hideMark/>
          </w:tcPr>
          <w:p w14:paraId="73E9A01A" w14:textId="77777777" w:rsidR="000B46D9" w:rsidRPr="00CC0F28" w:rsidRDefault="000B46D9" w:rsidP="002061E5">
            <w:pPr>
              <w:jc w:val="center"/>
              <w:rPr>
                <w:rFonts w:asciiTheme="majorHAnsi" w:hAnsiTheme="majorHAnsi"/>
              </w:rPr>
            </w:pPr>
            <w:r w:rsidRPr="00CC0F28">
              <w:rPr>
                <w:rFonts w:asciiTheme="majorHAnsi" w:hAnsiTheme="majorHAnsi"/>
              </w:rPr>
              <w:t>2</w:t>
            </w:r>
          </w:p>
        </w:tc>
        <w:tc>
          <w:tcPr>
            <w:tcW w:w="623" w:type="dxa"/>
            <w:tcBorders>
              <w:top w:val="single" w:sz="8" w:space="0" w:color="auto"/>
              <w:left w:val="single" w:sz="8" w:space="0" w:color="auto"/>
              <w:bottom w:val="single" w:sz="8" w:space="0" w:color="auto"/>
              <w:right w:val="single" w:sz="8" w:space="0" w:color="auto"/>
            </w:tcBorders>
            <w:shd w:val="clear" w:color="auto" w:fill="auto"/>
            <w:tcMar>
              <w:left w:w="28" w:type="dxa"/>
              <w:right w:w="28" w:type="dxa"/>
            </w:tcMar>
            <w:vAlign w:val="center"/>
            <w:hideMark/>
          </w:tcPr>
          <w:p w14:paraId="64AFF71C" w14:textId="77777777" w:rsidR="000B46D9" w:rsidRPr="00CC0F28" w:rsidRDefault="000B46D9" w:rsidP="002061E5">
            <w:pPr>
              <w:jc w:val="center"/>
              <w:rPr>
                <w:rFonts w:asciiTheme="majorHAnsi" w:hAnsiTheme="majorHAnsi"/>
              </w:rPr>
            </w:pPr>
            <w:r w:rsidRPr="00CC0F28">
              <w:rPr>
                <w:rFonts w:asciiTheme="majorHAnsi" w:hAnsiTheme="majorHAnsi"/>
              </w:rPr>
              <w:t>1,5</w:t>
            </w:r>
          </w:p>
        </w:tc>
        <w:tc>
          <w:tcPr>
            <w:tcW w:w="651" w:type="dxa"/>
            <w:tcBorders>
              <w:top w:val="single" w:sz="8" w:space="0" w:color="auto"/>
              <w:left w:val="single" w:sz="8" w:space="0" w:color="auto"/>
              <w:bottom w:val="single" w:sz="8" w:space="0" w:color="auto"/>
              <w:right w:val="single" w:sz="8" w:space="0" w:color="auto"/>
            </w:tcBorders>
            <w:shd w:val="clear" w:color="auto" w:fill="auto"/>
            <w:tcMar>
              <w:left w:w="28" w:type="dxa"/>
              <w:right w:w="28" w:type="dxa"/>
            </w:tcMar>
            <w:vAlign w:val="center"/>
            <w:hideMark/>
          </w:tcPr>
          <w:p w14:paraId="4DA7DC24" w14:textId="77777777" w:rsidR="000B46D9" w:rsidRPr="00CC0F28" w:rsidRDefault="000B46D9" w:rsidP="002061E5">
            <w:pPr>
              <w:jc w:val="center"/>
              <w:rPr>
                <w:rFonts w:asciiTheme="majorHAnsi" w:hAnsiTheme="majorHAnsi"/>
              </w:rPr>
            </w:pPr>
            <w:r w:rsidRPr="00CC0F28">
              <w:rPr>
                <w:rFonts w:asciiTheme="majorHAnsi" w:hAnsiTheme="majorHAnsi"/>
              </w:rPr>
              <w:t>1</w:t>
            </w:r>
          </w:p>
        </w:tc>
        <w:tc>
          <w:tcPr>
            <w:tcW w:w="649" w:type="dxa"/>
            <w:tcBorders>
              <w:top w:val="single" w:sz="8" w:space="0" w:color="auto"/>
              <w:left w:val="single" w:sz="8" w:space="0" w:color="auto"/>
              <w:bottom w:val="single" w:sz="8" w:space="0" w:color="auto"/>
              <w:right w:val="single" w:sz="8" w:space="0" w:color="auto"/>
            </w:tcBorders>
            <w:shd w:val="clear" w:color="auto" w:fill="auto"/>
            <w:tcMar>
              <w:left w:w="28" w:type="dxa"/>
              <w:right w:w="28" w:type="dxa"/>
            </w:tcMar>
            <w:vAlign w:val="center"/>
          </w:tcPr>
          <w:p w14:paraId="3BB52B4B" w14:textId="77777777" w:rsidR="000B46D9" w:rsidRPr="00CC0F28" w:rsidRDefault="000B46D9" w:rsidP="002061E5">
            <w:pPr>
              <w:jc w:val="center"/>
              <w:rPr>
                <w:rFonts w:asciiTheme="majorHAnsi" w:hAnsiTheme="majorHAnsi"/>
              </w:rPr>
            </w:pPr>
            <w:r w:rsidRPr="00CC0F28">
              <w:rPr>
                <w:rFonts w:asciiTheme="majorHAnsi" w:hAnsiTheme="majorHAnsi"/>
              </w:rPr>
              <w:t>2,3</w:t>
            </w:r>
          </w:p>
        </w:tc>
      </w:tr>
      <w:tr w:rsidR="000B46D9" w:rsidRPr="00CC0F28" w14:paraId="6B141220" w14:textId="77777777" w:rsidTr="00CC0F28">
        <w:trPr>
          <w:trHeight w:val="288"/>
          <w:jc w:val="center"/>
        </w:trPr>
        <w:tc>
          <w:tcPr>
            <w:tcW w:w="5962" w:type="dxa"/>
            <w:tcBorders>
              <w:top w:val="single" w:sz="8" w:space="0" w:color="auto"/>
              <w:left w:val="single" w:sz="8" w:space="0" w:color="auto"/>
              <w:bottom w:val="single" w:sz="4" w:space="0" w:color="FFFFFF" w:themeColor="background1"/>
              <w:right w:val="single" w:sz="8" w:space="0" w:color="auto"/>
            </w:tcBorders>
            <w:shd w:val="clear" w:color="auto" w:fill="auto"/>
            <w:tcMar>
              <w:left w:w="57" w:type="dxa"/>
              <w:right w:w="28" w:type="dxa"/>
            </w:tcMar>
            <w:vAlign w:val="center"/>
            <w:hideMark/>
          </w:tcPr>
          <w:p w14:paraId="3B77CFD7" w14:textId="77777777" w:rsidR="000B46D9" w:rsidRPr="00CC0F28" w:rsidRDefault="000B46D9" w:rsidP="0080187E">
            <w:pPr>
              <w:pStyle w:val="ListParagraph"/>
              <w:numPr>
                <w:ilvl w:val="0"/>
                <w:numId w:val="148"/>
              </w:numPr>
              <w:rPr>
                <w:rFonts w:asciiTheme="majorHAnsi" w:hAnsiTheme="majorHAnsi"/>
                <w:szCs w:val="22"/>
              </w:rPr>
            </w:pPr>
            <w:r w:rsidRPr="00CC0F28">
              <w:rPr>
                <w:rFonts w:asciiTheme="majorHAnsi" w:hAnsiTheme="majorHAnsi"/>
                <w:szCs w:val="22"/>
              </w:rPr>
              <w:t xml:space="preserve">Moment resisting frames with class 1 &amp; 2 cross sections </w:t>
            </w:r>
          </w:p>
          <w:p w14:paraId="7E6D3B33" w14:textId="42F88223" w:rsidR="000B46D9" w:rsidRPr="00CC0F28" w:rsidRDefault="000B46D9" w:rsidP="002061E5">
            <w:pPr>
              <w:rPr>
                <w:rFonts w:asciiTheme="majorHAnsi" w:hAnsiTheme="majorHAnsi"/>
                <w:lang w:val="en-US"/>
              </w:rPr>
            </w:pPr>
            <w:r w:rsidRPr="00CC0F28">
              <w:rPr>
                <w:rFonts w:asciiTheme="majorHAnsi" w:hAnsiTheme="majorHAnsi"/>
                <w:lang w:val="en-US"/>
              </w:rPr>
              <w:t xml:space="preserve">         with</w:t>
            </w:r>
            <w:r w:rsidRPr="00CC0F28">
              <w:rPr>
                <w:rFonts w:asciiTheme="majorHAnsi" w:hAnsiTheme="majorHAnsi"/>
              </w:rPr>
              <w:t xml:space="preserve"> interacting unconnected concrete or masonry infills</w:t>
            </w:r>
          </w:p>
        </w:tc>
        <w:tc>
          <w:tcPr>
            <w:tcW w:w="677" w:type="dxa"/>
            <w:tcBorders>
              <w:top w:val="single" w:sz="8" w:space="0" w:color="auto"/>
              <w:left w:val="single" w:sz="8" w:space="0" w:color="auto"/>
              <w:bottom w:val="single" w:sz="4" w:space="0" w:color="FFFFFF" w:themeColor="background1"/>
              <w:right w:val="single" w:sz="8" w:space="0" w:color="auto"/>
            </w:tcBorders>
            <w:shd w:val="clear" w:color="auto" w:fill="auto"/>
            <w:tcMar>
              <w:left w:w="28" w:type="dxa"/>
              <w:right w:w="28" w:type="dxa"/>
            </w:tcMar>
            <w:vAlign w:val="center"/>
            <w:hideMark/>
          </w:tcPr>
          <w:p w14:paraId="70529318" w14:textId="77777777" w:rsidR="000B46D9" w:rsidRPr="00CC0F28" w:rsidRDefault="000B46D9" w:rsidP="002061E5">
            <w:pPr>
              <w:jc w:val="center"/>
              <w:rPr>
                <w:rFonts w:asciiTheme="majorHAnsi" w:hAnsiTheme="majorHAnsi"/>
                <w:strike/>
              </w:rPr>
            </w:pPr>
          </w:p>
          <w:p w14:paraId="2AE1E9F8" w14:textId="329B784E" w:rsidR="000B46D9" w:rsidRPr="00CC0F28" w:rsidRDefault="000B46D9" w:rsidP="002061E5">
            <w:pPr>
              <w:jc w:val="center"/>
              <w:rPr>
                <w:rFonts w:asciiTheme="majorHAnsi" w:hAnsiTheme="majorHAnsi"/>
              </w:rPr>
            </w:pPr>
            <w:r w:rsidRPr="00CC0F28">
              <w:rPr>
                <w:rFonts w:asciiTheme="majorHAnsi" w:hAnsiTheme="majorHAnsi"/>
              </w:rPr>
              <w:t>1,4</w:t>
            </w:r>
          </w:p>
        </w:tc>
        <w:tc>
          <w:tcPr>
            <w:tcW w:w="599" w:type="dxa"/>
            <w:tcBorders>
              <w:top w:val="single" w:sz="8" w:space="0" w:color="auto"/>
              <w:left w:val="single" w:sz="8" w:space="0" w:color="auto"/>
              <w:bottom w:val="single" w:sz="4" w:space="0" w:color="FFFFFF" w:themeColor="background1"/>
              <w:right w:val="single" w:sz="8" w:space="0" w:color="auto"/>
            </w:tcBorders>
            <w:shd w:val="clear" w:color="auto" w:fill="auto"/>
            <w:tcMar>
              <w:left w:w="28" w:type="dxa"/>
              <w:right w:w="28" w:type="dxa"/>
            </w:tcMar>
            <w:vAlign w:val="center"/>
            <w:hideMark/>
          </w:tcPr>
          <w:p w14:paraId="31BA46F3" w14:textId="77777777" w:rsidR="000B46D9" w:rsidRPr="00CC0F28" w:rsidRDefault="000B46D9" w:rsidP="002061E5">
            <w:pPr>
              <w:jc w:val="center"/>
              <w:rPr>
                <w:rFonts w:asciiTheme="majorHAnsi" w:hAnsiTheme="majorHAnsi"/>
                <w:strike/>
              </w:rPr>
            </w:pPr>
          </w:p>
          <w:p w14:paraId="5240A394" w14:textId="77777777" w:rsidR="000B46D9" w:rsidRPr="00CC0F28" w:rsidRDefault="000B46D9" w:rsidP="002061E5">
            <w:pPr>
              <w:jc w:val="center"/>
              <w:rPr>
                <w:rFonts w:asciiTheme="majorHAnsi" w:hAnsiTheme="majorHAnsi"/>
              </w:rPr>
            </w:pPr>
            <w:r w:rsidRPr="00CC0F28">
              <w:rPr>
                <w:rFonts w:asciiTheme="majorHAnsi" w:hAnsiTheme="majorHAnsi"/>
              </w:rPr>
              <w:t>1,1</w:t>
            </w:r>
          </w:p>
        </w:tc>
        <w:tc>
          <w:tcPr>
            <w:tcW w:w="710" w:type="dxa"/>
            <w:tcBorders>
              <w:top w:val="single" w:sz="8" w:space="0" w:color="auto"/>
              <w:left w:val="single" w:sz="8" w:space="0" w:color="auto"/>
              <w:bottom w:val="single" w:sz="4" w:space="0" w:color="FFFFFF" w:themeColor="background1"/>
              <w:right w:val="single" w:sz="8" w:space="0" w:color="auto"/>
            </w:tcBorders>
            <w:shd w:val="clear" w:color="auto" w:fill="auto"/>
            <w:tcMar>
              <w:left w:w="28" w:type="dxa"/>
              <w:right w:w="28" w:type="dxa"/>
            </w:tcMar>
            <w:vAlign w:val="center"/>
            <w:hideMark/>
          </w:tcPr>
          <w:p w14:paraId="17264DA5" w14:textId="77777777" w:rsidR="000B46D9" w:rsidRPr="00CC0F28" w:rsidRDefault="000B46D9" w:rsidP="002061E5">
            <w:pPr>
              <w:jc w:val="center"/>
              <w:rPr>
                <w:rFonts w:asciiTheme="majorHAnsi" w:hAnsiTheme="majorHAnsi"/>
                <w:strike/>
              </w:rPr>
            </w:pPr>
          </w:p>
          <w:p w14:paraId="337D5EDA" w14:textId="12F114AD" w:rsidR="000B46D9" w:rsidRPr="00CC0F28" w:rsidRDefault="000B46D9" w:rsidP="002061E5">
            <w:pPr>
              <w:jc w:val="center"/>
              <w:rPr>
                <w:rFonts w:asciiTheme="majorHAnsi" w:hAnsiTheme="majorHAnsi"/>
              </w:rPr>
            </w:pPr>
            <w:r w:rsidRPr="00CC0F28">
              <w:rPr>
                <w:rFonts w:asciiTheme="majorHAnsi" w:hAnsiTheme="majorHAnsi"/>
              </w:rPr>
              <w:t>2,3</w:t>
            </w:r>
          </w:p>
        </w:tc>
        <w:tc>
          <w:tcPr>
            <w:tcW w:w="623" w:type="dxa"/>
            <w:tcBorders>
              <w:top w:val="single" w:sz="8" w:space="0" w:color="auto"/>
              <w:left w:val="single" w:sz="8" w:space="0" w:color="auto"/>
              <w:bottom w:val="single" w:sz="4" w:space="0" w:color="FFFFFF" w:themeColor="background1"/>
              <w:right w:val="single" w:sz="8" w:space="0" w:color="auto"/>
            </w:tcBorders>
            <w:shd w:val="clear" w:color="auto" w:fill="auto"/>
            <w:tcMar>
              <w:left w:w="28" w:type="dxa"/>
              <w:right w:w="28" w:type="dxa"/>
            </w:tcMar>
            <w:vAlign w:val="center"/>
            <w:hideMark/>
          </w:tcPr>
          <w:p w14:paraId="56F42EED" w14:textId="77777777" w:rsidR="000B46D9" w:rsidRPr="00CC0F28" w:rsidRDefault="000B46D9" w:rsidP="002061E5">
            <w:pPr>
              <w:jc w:val="center"/>
              <w:rPr>
                <w:rFonts w:asciiTheme="majorHAnsi" w:hAnsiTheme="majorHAnsi"/>
              </w:rPr>
            </w:pPr>
          </w:p>
          <w:p w14:paraId="70B92F35" w14:textId="4339B6BF" w:rsidR="000B46D9" w:rsidRPr="00CC0F28" w:rsidRDefault="000B46D9" w:rsidP="002061E5">
            <w:pPr>
              <w:jc w:val="center"/>
              <w:rPr>
                <w:rFonts w:asciiTheme="majorHAnsi" w:hAnsiTheme="majorHAnsi"/>
              </w:rPr>
            </w:pPr>
            <w:r w:rsidRPr="00CC0F28">
              <w:rPr>
                <w:rFonts w:asciiTheme="majorHAnsi" w:hAnsiTheme="majorHAnsi"/>
              </w:rPr>
              <w:t>1,4</w:t>
            </w:r>
          </w:p>
        </w:tc>
        <w:tc>
          <w:tcPr>
            <w:tcW w:w="651" w:type="dxa"/>
            <w:tcBorders>
              <w:top w:val="single" w:sz="8" w:space="0" w:color="auto"/>
              <w:left w:val="single" w:sz="8" w:space="0" w:color="auto"/>
              <w:bottom w:val="single" w:sz="4" w:space="0" w:color="FFFFFF" w:themeColor="background1"/>
              <w:right w:val="single" w:sz="8" w:space="0" w:color="auto"/>
            </w:tcBorders>
            <w:shd w:val="clear" w:color="auto" w:fill="auto"/>
            <w:tcMar>
              <w:left w:w="28" w:type="dxa"/>
              <w:right w:w="28" w:type="dxa"/>
            </w:tcMar>
            <w:vAlign w:val="center"/>
            <w:hideMark/>
          </w:tcPr>
          <w:p w14:paraId="570BF4A9" w14:textId="77777777" w:rsidR="000B46D9" w:rsidRPr="00CC0F28" w:rsidRDefault="000B46D9" w:rsidP="002061E5">
            <w:pPr>
              <w:jc w:val="center"/>
              <w:rPr>
                <w:rFonts w:asciiTheme="majorHAnsi" w:hAnsiTheme="majorHAnsi"/>
              </w:rPr>
            </w:pPr>
          </w:p>
          <w:p w14:paraId="00B5E8D7" w14:textId="77777777" w:rsidR="000B46D9" w:rsidRPr="00CC0F28" w:rsidRDefault="000B46D9" w:rsidP="002061E5">
            <w:pPr>
              <w:jc w:val="center"/>
              <w:rPr>
                <w:rFonts w:asciiTheme="majorHAnsi" w:hAnsiTheme="majorHAnsi"/>
              </w:rPr>
            </w:pPr>
            <w:r w:rsidRPr="00CC0F28">
              <w:rPr>
                <w:rFonts w:asciiTheme="majorHAnsi" w:hAnsiTheme="majorHAnsi"/>
              </w:rPr>
              <w:t>1,1</w:t>
            </w:r>
          </w:p>
        </w:tc>
        <w:tc>
          <w:tcPr>
            <w:tcW w:w="649" w:type="dxa"/>
            <w:tcBorders>
              <w:top w:val="single" w:sz="8" w:space="0" w:color="auto"/>
              <w:left w:val="single" w:sz="8" w:space="0" w:color="auto"/>
              <w:bottom w:val="single" w:sz="4" w:space="0" w:color="FFFFFF" w:themeColor="background1"/>
              <w:right w:val="single" w:sz="8" w:space="0" w:color="auto"/>
            </w:tcBorders>
            <w:shd w:val="clear" w:color="auto" w:fill="auto"/>
            <w:tcMar>
              <w:left w:w="28" w:type="dxa"/>
              <w:right w:w="28" w:type="dxa"/>
            </w:tcMar>
            <w:vAlign w:val="center"/>
            <w:hideMark/>
          </w:tcPr>
          <w:p w14:paraId="18776C8C" w14:textId="77777777" w:rsidR="000B46D9" w:rsidRPr="00CC0F28" w:rsidRDefault="000B46D9" w:rsidP="002061E5">
            <w:pPr>
              <w:jc w:val="center"/>
              <w:rPr>
                <w:rFonts w:asciiTheme="majorHAnsi" w:hAnsiTheme="majorHAnsi"/>
              </w:rPr>
            </w:pPr>
          </w:p>
          <w:p w14:paraId="388BED1C" w14:textId="754F61CA" w:rsidR="000B46D9" w:rsidRPr="00CC0F28" w:rsidRDefault="00BD6A80" w:rsidP="002061E5">
            <w:pPr>
              <w:jc w:val="center"/>
              <w:rPr>
                <w:rFonts w:asciiTheme="majorHAnsi" w:hAnsiTheme="majorHAnsi"/>
              </w:rPr>
            </w:pPr>
            <w:r>
              <w:rPr>
                <w:rFonts w:asciiTheme="majorHAnsi" w:hAnsiTheme="majorHAnsi"/>
              </w:rPr>
              <w:t>2</w:t>
            </w:r>
            <w:r w:rsidR="000B46D9" w:rsidRPr="00CC0F28">
              <w:rPr>
                <w:rFonts w:asciiTheme="majorHAnsi" w:hAnsiTheme="majorHAnsi"/>
              </w:rPr>
              <w:t>,3</w:t>
            </w:r>
          </w:p>
        </w:tc>
      </w:tr>
      <w:tr w:rsidR="000B46D9" w:rsidRPr="00CC0F28" w14:paraId="43192179" w14:textId="77777777" w:rsidTr="00CC0F28">
        <w:trPr>
          <w:trHeight w:val="104"/>
          <w:jc w:val="center"/>
        </w:trPr>
        <w:tc>
          <w:tcPr>
            <w:tcW w:w="5962" w:type="dxa"/>
            <w:tcBorders>
              <w:top w:val="single" w:sz="4" w:space="0" w:color="FFFFFF" w:themeColor="background1"/>
              <w:left w:val="single" w:sz="8" w:space="0" w:color="auto"/>
              <w:bottom w:val="single" w:sz="4" w:space="0" w:color="FFFFFF" w:themeColor="background1"/>
              <w:right w:val="single" w:sz="8" w:space="0" w:color="auto"/>
            </w:tcBorders>
            <w:shd w:val="clear" w:color="auto" w:fill="auto"/>
            <w:tcMar>
              <w:left w:w="57" w:type="dxa"/>
              <w:right w:w="28" w:type="dxa"/>
            </w:tcMar>
            <w:vAlign w:val="center"/>
            <w:hideMark/>
          </w:tcPr>
          <w:p w14:paraId="7C085659" w14:textId="77777777" w:rsidR="000B46D9" w:rsidRPr="00CC0F28" w:rsidRDefault="000B46D9" w:rsidP="002061E5">
            <w:pPr>
              <w:rPr>
                <w:rFonts w:asciiTheme="majorHAnsi" w:hAnsiTheme="majorHAnsi"/>
              </w:rPr>
            </w:pPr>
          </w:p>
        </w:tc>
        <w:tc>
          <w:tcPr>
            <w:tcW w:w="677" w:type="dxa"/>
            <w:tcBorders>
              <w:top w:val="single" w:sz="4" w:space="0" w:color="FFFFFF" w:themeColor="background1"/>
              <w:left w:val="single" w:sz="8" w:space="0" w:color="auto"/>
              <w:bottom w:val="single" w:sz="8" w:space="0" w:color="auto"/>
              <w:right w:val="single" w:sz="8" w:space="0" w:color="auto"/>
            </w:tcBorders>
            <w:shd w:val="clear" w:color="auto" w:fill="auto"/>
            <w:tcMar>
              <w:left w:w="28" w:type="dxa"/>
              <w:right w:w="28" w:type="dxa"/>
            </w:tcMar>
            <w:vAlign w:val="center"/>
            <w:hideMark/>
          </w:tcPr>
          <w:p w14:paraId="66E596EE" w14:textId="77777777" w:rsidR="000B46D9" w:rsidRPr="00CC0F28" w:rsidRDefault="000B46D9" w:rsidP="002061E5">
            <w:pPr>
              <w:rPr>
                <w:rFonts w:asciiTheme="majorHAnsi" w:hAnsiTheme="majorHAnsi"/>
              </w:rPr>
            </w:pPr>
          </w:p>
        </w:tc>
        <w:tc>
          <w:tcPr>
            <w:tcW w:w="599" w:type="dxa"/>
            <w:tcBorders>
              <w:top w:val="single" w:sz="4" w:space="0" w:color="FFFFFF" w:themeColor="background1"/>
              <w:left w:val="single" w:sz="8" w:space="0" w:color="auto"/>
              <w:bottom w:val="single" w:sz="8" w:space="0" w:color="auto"/>
              <w:right w:val="single" w:sz="8" w:space="0" w:color="auto"/>
            </w:tcBorders>
            <w:shd w:val="clear" w:color="auto" w:fill="auto"/>
            <w:tcMar>
              <w:left w:w="28" w:type="dxa"/>
              <w:right w:w="28" w:type="dxa"/>
            </w:tcMar>
            <w:vAlign w:val="center"/>
            <w:hideMark/>
          </w:tcPr>
          <w:p w14:paraId="10DC1962" w14:textId="77777777" w:rsidR="000B46D9" w:rsidRPr="00CC0F28" w:rsidRDefault="000B46D9" w:rsidP="002061E5">
            <w:pPr>
              <w:rPr>
                <w:rFonts w:asciiTheme="majorHAnsi" w:hAnsiTheme="majorHAnsi"/>
              </w:rPr>
            </w:pPr>
          </w:p>
        </w:tc>
        <w:tc>
          <w:tcPr>
            <w:tcW w:w="710" w:type="dxa"/>
            <w:tcBorders>
              <w:top w:val="single" w:sz="4" w:space="0" w:color="FFFFFF" w:themeColor="background1"/>
              <w:left w:val="single" w:sz="8" w:space="0" w:color="auto"/>
              <w:bottom w:val="single" w:sz="8" w:space="0" w:color="auto"/>
              <w:right w:val="single" w:sz="8" w:space="0" w:color="auto"/>
            </w:tcBorders>
            <w:shd w:val="clear" w:color="auto" w:fill="auto"/>
            <w:tcMar>
              <w:left w:w="28" w:type="dxa"/>
              <w:right w:w="28" w:type="dxa"/>
            </w:tcMar>
            <w:vAlign w:val="center"/>
            <w:hideMark/>
          </w:tcPr>
          <w:p w14:paraId="66C66DCF" w14:textId="77777777" w:rsidR="000B46D9" w:rsidRPr="00CC0F28" w:rsidRDefault="000B46D9" w:rsidP="002061E5">
            <w:pPr>
              <w:rPr>
                <w:rFonts w:asciiTheme="majorHAnsi" w:hAnsiTheme="majorHAnsi"/>
              </w:rPr>
            </w:pPr>
          </w:p>
        </w:tc>
        <w:tc>
          <w:tcPr>
            <w:tcW w:w="623" w:type="dxa"/>
            <w:tcBorders>
              <w:top w:val="single" w:sz="4" w:space="0" w:color="FFFFFF" w:themeColor="background1"/>
              <w:left w:val="single" w:sz="8" w:space="0" w:color="auto"/>
              <w:bottom w:val="single" w:sz="8" w:space="0" w:color="auto"/>
              <w:right w:val="single" w:sz="8" w:space="0" w:color="auto"/>
            </w:tcBorders>
            <w:shd w:val="clear" w:color="auto" w:fill="auto"/>
            <w:tcMar>
              <w:left w:w="28" w:type="dxa"/>
              <w:right w:w="28" w:type="dxa"/>
            </w:tcMar>
            <w:vAlign w:val="center"/>
            <w:hideMark/>
          </w:tcPr>
          <w:p w14:paraId="656F9AA7" w14:textId="77777777" w:rsidR="000B46D9" w:rsidRPr="00CC0F28" w:rsidRDefault="000B46D9" w:rsidP="002061E5">
            <w:pPr>
              <w:jc w:val="center"/>
              <w:rPr>
                <w:rFonts w:asciiTheme="majorHAnsi" w:hAnsiTheme="majorHAnsi"/>
              </w:rPr>
            </w:pPr>
          </w:p>
        </w:tc>
        <w:tc>
          <w:tcPr>
            <w:tcW w:w="651" w:type="dxa"/>
            <w:tcBorders>
              <w:top w:val="single" w:sz="4" w:space="0" w:color="FFFFFF" w:themeColor="background1"/>
              <w:left w:val="single" w:sz="8" w:space="0" w:color="auto"/>
              <w:bottom w:val="single" w:sz="8" w:space="0" w:color="auto"/>
              <w:right w:val="single" w:sz="8" w:space="0" w:color="auto"/>
            </w:tcBorders>
            <w:shd w:val="clear" w:color="auto" w:fill="auto"/>
            <w:tcMar>
              <w:left w:w="28" w:type="dxa"/>
              <w:right w:w="28" w:type="dxa"/>
            </w:tcMar>
            <w:vAlign w:val="center"/>
            <w:hideMark/>
          </w:tcPr>
          <w:p w14:paraId="058CED8F" w14:textId="77777777" w:rsidR="000B46D9" w:rsidRPr="00CC0F28" w:rsidRDefault="000B46D9" w:rsidP="002061E5">
            <w:pPr>
              <w:jc w:val="center"/>
              <w:rPr>
                <w:rFonts w:asciiTheme="majorHAnsi" w:hAnsiTheme="majorHAnsi"/>
              </w:rPr>
            </w:pPr>
          </w:p>
        </w:tc>
        <w:tc>
          <w:tcPr>
            <w:tcW w:w="649" w:type="dxa"/>
            <w:tcBorders>
              <w:top w:val="single" w:sz="4" w:space="0" w:color="FFFFFF" w:themeColor="background1"/>
              <w:left w:val="single" w:sz="8" w:space="0" w:color="auto"/>
              <w:bottom w:val="single" w:sz="8" w:space="0" w:color="auto"/>
              <w:right w:val="single" w:sz="8" w:space="0" w:color="auto"/>
            </w:tcBorders>
            <w:shd w:val="clear" w:color="auto" w:fill="auto"/>
            <w:tcMar>
              <w:left w:w="28" w:type="dxa"/>
              <w:right w:w="28" w:type="dxa"/>
            </w:tcMar>
            <w:vAlign w:val="center"/>
          </w:tcPr>
          <w:p w14:paraId="0A824837" w14:textId="77777777" w:rsidR="000B46D9" w:rsidRPr="00CC0F28" w:rsidRDefault="000B46D9" w:rsidP="002061E5">
            <w:pPr>
              <w:jc w:val="center"/>
              <w:rPr>
                <w:rFonts w:asciiTheme="majorHAnsi" w:hAnsiTheme="majorHAnsi"/>
              </w:rPr>
            </w:pPr>
          </w:p>
        </w:tc>
      </w:tr>
      <w:tr w:rsidR="000B46D9" w:rsidRPr="00CC0F28" w14:paraId="276A2EC7" w14:textId="77777777" w:rsidTr="00CC0F28">
        <w:trPr>
          <w:trHeight w:val="259"/>
          <w:jc w:val="center"/>
        </w:trPr>
        <w:tc>
          <w:tcPr>
            <w:tcW w:w="5962" w:type="dxa"/>
            <w:tcBorders>
              <w:top w:val="single" w:sz="4" w:space="0" w:color="FFFFFF" w:themeColor="background1"/>
              <w:left w:val="single" w:sz="8" w:space="0" w:color="auto"/>
              <w:bottom w:val="single" w:sz="4" w:space="0" w:color="FFFFFF" w:themeColor="background1"/>
              <w:right w:val="single" w:sz="8" w:space="0" w:color="auto"/>
            </w:tcBorders>
            <w:shd w:val="clear" w:color="auto" w:fill="auto"/>
            <w:tcMar>
              <w:left w:w="57" w:type="dxa"/>
              <w:right w:w="28" w:type="dxa"/>
            </w:tcMar>
            <w:vAlign w:val="center"/>
          </w:tcPr>
          <w:p w14:paraId="36260157" w14:textId="3869A943" w:rsidR="000B46D9" w:rsidRPr="00CC0F28" w:rsidRDefault="000B46D9" w:rsidP="002061E5">
            <w:pPr>
              <w:rPr>
                <w:rFonts w:asciiTheme="majorHAnsi" w:hAnsiTheme="majorHAnsi"/>
              </w:rPr>
            </w:pPr>
            <w:r w:rsidRPr="00CC0F28">
              <w:rPr>
                <w:rFonts w:asciiTheme="majorHAnsi" w:hAnsiTheme="majorHAnsi"/>
              </w:rPr>
              <w:t xml:space="preserve">           with connected reinforced concrete infills</w:t>
            </w:r>
          </w:p>
        </w:tc>
        <w:tc>
          <w:tcPr>
            <w:tcW w:w="3909" w:type="dxa"/>
            <w:gridSpan w:val="6"/>
            <w:tcBorders>
              <w:top w:val="single" w:sz="8" w:space="0" w:color="auto"/>
              <w:left w:val="single" w:sz="8" w:space="0" w:color="auto"/>
              <w:bottom w:val="single" w:sz="8" w:space="0" w:color="auto"/>
              <w:right w:val="single" w:sz="8" w:space="0" w:color="auto"/>
            </w:tcBorders>
            <w:shd w:val="clear" w:color="auto" w:fill="auto"/>
            <w:tcMar>
              <w:left w:w="28" w:type="dxa"/>
              <w:right w:w="28" w:type="dxa"/>
            </w:tcMar>
            <w:vAlign w:val="center"/>
          </w:tcPr>
          <w:p w14:paraId="6B0E2D09" w14:textId="2B5FF8AE" w:rsidR="000B46D9" w:rsidRPr="00DE565A" w:rsidRDefault="000B46D9" w:rsidP="002061E5">
            <w:pPr>
              <w:jc w:val="center"/>
              <w:rPr>
                <w:rFonts w:asciiTheme="majorHAnsi" w:hAnsiTheme="majorHAnsi"/>
              </w:rPr>
            </w:pPr>
            <w:r w:rsidRPr="00CC0F28">
              <w:rPr>
                <w:rFonts w:asciiTheme="majorHAnsi" w:hAnsiTheme="majorHAnsi"/>
              </w:rPr>
              <w:t xml:space="preserve">See </w:t>
            </w:r>
            <w:r w:rsidRPr="00DE565A">
              <w:rPr>
                <w:rFonts w:asciiTheme="majorHAnsi" w:hAnsiTheme="majorHAnsi"/>
              </w:rPr>
              <w:t>Table 12.2:</w:t>
            </w:r>
          </w:p>
          <w:p w14:paraId="19E2A895" w14:textId="77777777" w:rsidR="000B46D9" w:rsidRPr="00CC0F28" w:rsidRDefault="000B46D9" w:rsidP="002061E5">
            <w:pPr>
              <w:jc w:val="center"/>
              <w:rPr>
                <w:rFonts w:asciiTheme="majorHAnsi" w:hAnsiTheme="majorHAnsi"/>
              </w:rPr>
            </w:pPr>
            <w:r w:rsidRPr="00CC0F28">
              <w:rPr>
                <w:rFonts w:asciiTheme="majorHAnsi" w:hAnsiTheme="majorHAnsi"/>
              </w:rPr>
              <w:t>composite structural wall systems</w:t>
            </w:r>
          </w:p>
        </w:tc>
      </w:tr>
      <w:tr w:rsidR="000B46D9" w:rsidRPr="00CC0F28" w14:paraId="7433F5FA" w14:textId="77777777" w:rsidTr="00CC0F28">
        <w:trPr>
          <w:trHeight w:val="265"/>
          <w:jc w:val="center"/>
        </w:trPr>
        <w:tc>
          <w:tcPr>
            <w:tcW w:w="5962" w:type="dxa"/>
            <w:tcBorders>
              <w:top w:val="single" w:sz="4" w:space="0" w:color="FFFFFF" w:themeColor="background1"/>
              <w:left w:val="single" w:sz="8" w:space="0" w:color="auto"/>
              <w:bottom w:val="single" w:sz="8" w:space="0" w:color="auto"/>
              <w:right w:val="single" w:sz="8" w:space="0" w:color="auto"/>
            </w:tcBorders>
            <w:shd w:val="clear" w:color="auto" w:fill="auto"/>
            <w:tcMar>
              <w:left w:w="57" w:type="dxa"/>
              <w:right w:w="28" w:type="dxa"/>
            </w:tcMar>
            <w:vAlign w:val="center"/>
          </w:tcPr>
          <w:p w14:paraId="2F91492F" w14:textId="4D6847D0" w:rsidR="000B46D9" w:rsidRPr="00CC0F28" w:rsidRDefault="000B46D9" w:rsidP="002061E5">
            <w:pPr>
              <w:rPr>
                <w:rFonts w:asciiTheme="majorHAnsi" w:hAnsiTheme="majorHAnsi"/>
              </w:rPr>
            </w:pPr>
            <w:r w:rsidRPr="00CC0F28">
              <w:rPr>
                <w:rFonts w:asciiTheme="majorHAnsi" w:hAnsiTheme="majorHAnsi"/>
              </w:rPr>
              <w:t xml:space="preserve">            with non-interacting infills</w:t>
            </w:r>
          </w:p>
        </w:tc>
        <w:tc>
          <w:tcPr>
            <w:tcW w:w="3909" w:type="dxa"/>
            <w:gridSpan w:val="6"/>
            <w:tcBorders>
              <w:top w:val="single" w:sz="8" w:space="0" w:color="auto"/>
              <w:left w:val="single" w:sz="8" w:space="0" w:color="auto"/>
              <w:bottom w:val="single" w:sz="8" w:space="0" w:color="auto"/>
              <w:right w:val="single" w:sz="8" w:space="0" w:color="auto"/>
            </w:tcBorders>
            <w:shd w:val="clear" w:color="auto" w:fill="auto"/>
            <w:tcMar>
              <w:left w:w="28" w:type="dxa"/>
              <w:right w:w="28" w:type="dxa"/>
            </w:tcMar>
            <w:vAlign w:val="center"/>
          </w:tcPr>
          <w:p w14:paraId="73B14F16" w14:textId="016777E0" w:rsidR="000B46D9" w:rsidRPr="00CC0F28" w:rsidRDefault="000B46D9" w:rsidP="002061E5">
            <w:pPr>
              <w:jc w:val="center"/>
              <w:rPr>
                <w:rFonts w:asciiTheme="majorHAnsi" w:hAnsiTheme="majorHAnsi"/>
              </w:rPr>
            </w:pPr>
            <w:r w:rsidRPr="00CC0F28">
              <w:rPr>
                <w:rFonts w:asciiTheme="majorHAnsi" w:hAnsiTheme="majorHAnsi"/>
              </w:rPr>
              <w:t>[see a)</w:t>
            </w:r>
            <w:r w:rsidR="00BD6A80">
              <w:rPr>
                <w:rFonts w:asciiTheme="majorHAnsi" w:hAnsiTheme="majorHAnsi"/>
              </w:rPr>
              <w:t xml:space="preserve"> </w:t>
            </w:r>
            <w:r w:rsidRPr="00CC0F28">
              <w:rPr>
                <w:rFonts w:asciiTheme="majorHAnsi" w:hAnsiTheme="majorHAnsi"/>
              </w:rPr>
              <w:t>MRFs]</w:t>
            </w:r>
          </w:p>
        </w:tc>
      </w:tr>
    </w:tbl>
    <w:p w14:paraId="087062BF" w14:textId="18E8CD2F" w:rsidR="000B46D9" w:rsidRPr="00DE565A" w:rsidRDefault="000B46D9" w:rsidP="007D7E6D">
      <w:pPr>
        <w:pStyle w:val="Notetext"/>
        <w:spacing w:before="200"/>
      </w:pPr>
      <w:r w:rsidRPr="00132C1E">
        <w:t>NOTE</w:t>
      </w:r>
      <w:r w:rsidRPr="00132C1E">
        <w:tab/>
        <w:t xml:space="preserve">The values of </w:t>
      </w:r>
      <w:r w:rsidRPr="00D1484A">
        <w:rPr>
          <w:i/>
        </w:rPr>
        <w:t>q</w:t>
      </w:r>
      <w:r w:rsidRPr="00D1484A">
        <w:rPr>
          <w:iCs/>
          <w:vertAlign w:val="subscript"/>
        </w:rPr>
        <w:t>R</w:t>
      </w:r>
      <w:r w:rsidRPr="00D1484A">
        <w:t xml:space="preserve"> and </w:t>
      </w:r>
      <w:r w:rsidRPr="00D1484A">
        <w:rPr>
          <w:i/>
        </w:rPr>
        <w:t>q</w:t>
      </w:r>
      <w:r w:rsidRPr="007E6F67">
        <w:rPr>
          <w:iCs/>
          <w:vertAlign w:val="subscript"/>
        </w:rPr>
        <w:t>D</w:t>
      </w:r>
      <w:r w:rsidRPr="007E6F67">
        <w:t xml:space="preserve"> in Table 11.</w:t>
      </w:r>
      <w:r w:rsidR="00C606A0">
        <w:t>2</w:t>
      </w:r>
      <w:r w:rsidRPr="00C606A0">
        <w:t xml:space="preserve"> a</w:t>
      </w:r>
      <w:r w:rsidRPr="00FD17CF">
        <w:t xml:space="preserve">re default values in the </w:t>
      </w:r>
      <w:r w:rsidRPr="00DE565A">
        <w:t xml:space="preserve">sense of 5.3.2 and the values of </w:t>
      </w:r>
      <w:r w:rsidRPr="00DE565A">
        <w:rPr>
          <w:i/>
          <w:iCs/>
        </w:rPr>
        <w:t>q</w:t>
      </w:r>
      <w:r w:rsidRPr="00DE565A">
        <w:t xml:space="preserve"> are obtained as the product of the default values of</w:t>
      </w:r>
      <w:r w:rsidRPr="00DE565A">
        <w:rPr>
          <w:i/>
        </w:rPr>
        <w:t xml:space="preserve"> q</w:t>
      </w:r>
      <w:r w:rsidRPr="00DE565A">
        <w:rPr>
          <w:iCs/>
          <w:vertAlign w:val="subscript"/>
        </w:rPr>
        <w:t>D</w:t>
      </w:r>
      <w:r w:rsidRPr="00DE565A">
        <w:rPr>
          <w:iCs/>
        </w:rPr>
        <w:t xml:space="preserve"> and</w:t>
      </w:r>
      <w:r w:rsidRPr="00DE565A">
        <w:t xml:space="preserve"> </w:t>
      </w:r>
      <w:r w:rsidRPr="00DE565A">
        <w:rPr>
          <w:i/>
        </w:rPr>
        <w:t>q</w:t>
      </w:r>
      <w:r w:rsidRPr="00DE565A">
        <w:rPr>
          <w:iCs/>
          <w:vertAlign w:val="subscript"/>
        </w:rPr>
        <w:t>R</w:t>
      </w:r>
      <w:r w:rsidRPr="00DE565A">
        <w:t xml:space="preserve"> with </w:t>
      </w:r>
      <w:r w:rsidRPr="00DE565A">
        <w:rPr>
          <w:i/>
        </w:rPr>
        <w:t>q</w:t>
      </w:r>
      <w:r w:rsidRPr="00DE565A">
        <w:rPr>
          <w:iCs/>
          <w:vertAlign w:val="subscript"/>
        </w:rPr>
        <w:t>S</w:t>
      </w:r>
      <w:r w:rsidRPr="00DE565A">
        <w:t xml:space="preserve"> equal to 1,5.</w:t>
      </w:r>
    </w:p>
    <w:p w14:paraId="5A88F4A7" w14:textId="314A98CA" w:rsidR="000B46D9" w:rsidRPr="00DE565A" w:rsidRDefault="000B46D9" w:rsidP="00724E4E">
      <w:pPr>
        <w:pStyle w:val="Clause"/>
      </w:pPr>
      <w:r w:rsidRPr="00DE565A">
        <w:t>For buildings non-regular in elevation (see 4.4.4.2</w:t>
      </w:r>
      <w:r w:rsidRPr="00DE565A">
        <w:rPr>
          <w:rFonts w:ascii="AOAJGP+TimesNewRoman,Bold" w:hAnsi="AOAJGP+TimesNewRoman,Bold" w:cs="AOAJGP+TimesNewRoman,Bold"/>
        </w:rPr>
        <w:t>(1)</w:t>
      </w:r>
      <w:r w:rsidRPr="00DE565A">
        <w:t xml:space="preserve">), the behaviour factor </w:t>
      </w:r>
      <w:r w:rsidRPr="00DE565A">
        <w:rPr>
          <w:rFonts w:ascii="AODJCD+TimesNewRoman,Italic" w:hAnsi="AODJCD+TimesNewRoman,Italic" w:cs="AODJCD+TimesNewRoman,Italic"/>
          <w:i/>
        </w:rPr>
        <w:t>q</w:t>
      </w:r>
      <w:r w:rsidRPr="00DE565A">
        <w:t xml:space="preserve"> should be reduced according to 5.3.2(2). For torsionally flexible structures (see 4.4.3(1)) and according to 5.3.2(5), </w:t>
      </w:r>
      <w:r w:rsidRPr="00DE565A">
        <w:rPr>
          <w:i/>
          <w:iCs/>
        </w:rPr>
        <w:t>q</w:t>
      </w:r>
      <w:r w:rsidRPr="00DE565A">
        <w:t xml:space="preserve"> should not be smaller than 1,5</w:t>
      </w:r>
      <w:r w:rsidRPr="00DE565A">
        <w:rPr>
          <w:i/>
        </w:rPr>
        <w:t>.</w:t>
      </w:r>
    </w:p>
    <w:p w14:paraId="531E9E82" w14:textId="6B70C82D" w:rsidR="000B46D9" w:rsidRPr="00B31174" w:rsidRDefault="000B46D9" w:rsidP="00724E4E">
      <w:pPr>
        <w:pStyle w:val="Clause"/>
      </w:pPr>
      <w:r w:rsidRPr="00DE565A">
        <w:t>prEN</w:t>
      </w:r>
      <w:r w:rsidR="00815EB6">
        <w:t> </w:t>
      </w:r>
      <w:r w:rsidRPr="00DE565A">
        <w:t>1998-1-1:2022, 4.1(7), may be used in design within the limitations given in 11.6.4(1) f) and 11.7.1 and 11.7.3.</w:t>
      </w:r>
    </w:p>
    <w:p w14:paraId="58B3B405" w14:textId="0504A4F7" w:rsidR="000B46D9" w:rsidRPr="00132C1E" w:rsidRDefault="000B46D9" w:rsidP="000B46D9">
      <w:pPr>
        <w:pStyle w:val="Heading3"/>
      </w:pPr>
      <w:bookmarkStart w:id="9351" w:name="_Toc1408369"/>
      <w:bookmarkStart w:id="9352" w:name="_Toc1656934"/>
      <w:bookmarkStart w:id="9353" w:name="_Toc18314102"/>
      <w:bookmarkStart w:id="9354" w:name="_Toc50150417"/>
      <w:bookmarkStart w:id="9355" w:name="_Toc70886849"/>
      <w:bookmarkStart w:id="9356" w:name="_Toc108342406"/>
      <w:bookmarkStart w:id="9357" w:name="_Toc134197938"/>
      <w:r w:rsidRPr="00132C1E">
        <w:t>Limits of seismic action for design to DC1, DC2 and DC3</w:t>
      </w:r>
      <w:bookmarkEnd w:id="9351"/>
      <w:bookmarkEnd w:id="9352"/>
      <w:bookmarkEnd w:id="9353"/>
      <w:bookmarkEnd w:id="9354"/>
      <w:bookmarkEnd w:id="9355"/>
      <w:bookmarkEnd w:id="9356"/>
      <w:bookmarkEnd w:id="9357"/>
    </w:p>
    <w:p w14:paraId="010E1902" w14:textId="34165F3C" w:rsidR="000B46D9" w:rsidRPr="00B71107" w:rsidRDefault="000B46D9" w:rsidP="0080187E">
      <w:pPr>
        <w:pStyle w:val="Clause"/>
        <w:numPr>
          <w:ilvl w:val="0"/>
          <w:numId w:val="363"/>
        </w:numPr>
      </w:pPr>
      <w:r w:rsidRPr="00132C1E">
        <w:t xml:space="preserve">For each structural </w:t>
      </w:r>
      <w:r w:rsidRPr="00B71107">
        <w:t xml:space="preserve">type </w:t>
      </w:r>
      <w:r w:rsidRPr="00DE565A">
        <w:t xml:space="preserve">in 11.4.1(1), design to a given Ductility Class should not be made above levels of seismic action index </w:t>
      </w:r>
      <w:r w:rsidRPr="00DE565A">
        <w:rPr>
          <w:i/>
        </w:rPr>
        <w:t>S</w:t>
      </w:r>
      <w:r w:rsidRPr="00DE565A">
        <w:rPr>
          <w:iCs/>
          <w:vertAlign w:val="subscript"/>
        </w:rPr>
        <w:t>δ</w:t>
      </w:r>
      <w:r w:rsidRPr="00DE565A">
        <w:t xml:space="preserve"> (see prEN</w:t>
      </w:r>
      <w:r w:rsidR="00815EB6">
        <w:t> </w:t>
      </w:r>
      <w:r w:rsidRPr="00DE565A">
        <w:t>1998-1-1:2022, 4.1(4)) given</w:t>
      </w:r>
      <w:r w:rsidRPr="00B71107">
        <w:t xml:space="preserve"> in Table 11.3.</w:t>
      </w:r>
    </w:p>
    <w:p w14:paraId="14E21881" w14:textId="136BE250" w:rsidR="000B46D9" w:rsidRPr="00D1484A" w:rsidRDefault="000B46D9" w:rsidP="00EF3C98">
      <w:pPr>
        <w:pStyle w:val="Tabletitle"/>
        <w:rPr>
          <w:sz w:val="20"/>
        </w:rPr>
      </w:pPr>
      <w:bookmarkStart w:id="9358" w:name="_Ref1856783"/>
      <w:r w:rsidRPr="00132C1E">
        <w:lastRenderedPageBreak/>
        <w:t xml:space="preserve">Table </w:t>
      </w:r>
      <w:r w:rsidR="00BC3A0E">
        <w:t>11</w:t>
      </w:r>
      <w:r w:rsidRPr="00B71107">
        <w:t>.</w:t>
      </w:r>
      <w:bookmarkEnd w:id="9358"/>
      <w:r w:rsidRPr="00B71107">
        <w:t>3 — </w:t>
      </w:r>
      <w:r w:rsidRPr="00132C1E">
        <w:t>Limits of seismic action index for design to DC1, DC2 and DC3</w:t>
      </w:r>
    </w:p>
    <w:tbl>
      <w:tblPr>
        <w:tblStyle w:val="TableGrid"/>
        <w:tblW w:w="7933" w:type="dxa"/>
        <w:jc w:val="center"/>
        <w:tblLook w:val="04A0" w:firstRow="1" w:lastRow="0" w:firstColumn="1" w:lastColumn="0" w:noHBand="0" w:noVBand="1"/>
      </w:tblPr>
      <w:tblGrid>
        <w:gridCol w:w="4957"/>
        <w:gridCol w:w="992"/>
        <w:gridCol w:w="992"/>
        <w:gridCol w:w="992"/>
      </w:tblGrid>
      <w:tr w:rsidR="00DE565A" w:rsidRPr="00815EB6" w14:paraId="06CE7C8B" w14:textId="77777777" w:rsidTr="002061E5">
        <w:trPr>
          <w:jc w:val="center"/>
        </w:trPr>
        <w:tc>
          <w:tcPr>
            <w:tcW w:w="4957" w:type="dxa"/>
            <w:vMerge w:val="restart"/>
            <w:vAlign w:val="center"/>
          </w:tcPr>
          <w:p w14:paraId="40D2B7E0" w14:textId="77777777" w:rsidR="00DE565A" w:rsidRPr="00815EB6" w:rsidRDefault="00DE565A" w:rsidP="00815EB6">
            <w:pPr>
              <w:pStyle w:val="Tablebody"/>
              <w:jc w:val="center"/>
              <w:rPr>
                <w:b/>
                <w:bCs/>
              </w:rPr>
            </w:pPr>
            <w:r w:rsidRPr="00815EB6">
              <w:rPr>
                <w:b/>
                <w:bCs/>
              </w:rPr>
              <w:t>Structural type</w:t>
            </w:r>
          </w:p>
        </w:tc>
        <w:tc>
          <w:tcPr>
            <w:tcW w:w="2976" w:type="dxa"/>
            <w:gridSpan w:val="3"/>
            <w:vAlign w:val="center"/>
          </w:tcPr>
          <w:p w14:paraId="6EE4D564" w14:textId="77777777" w:rsidR="00DE565A" w:rsidRPr="00815EB6" w:rsidRDefault="00DE565A" w:rsidP="00815EB6">
            <w:pPr>
              <w:pStyle w:val="Tablebody"/>
              <w:jc w:val="center"/>
              <w:rPr>
                <w:rFonts w:asciiTheme="majorHAnsi" w:hAnsiTheme="majorHAnsi"/>
                <w:b/>
                <w:bCs/>
              </w:rPr>
            </w:pPr>
            <w:r w:rsidRPr="00815EB6">
              <w:rPr>
                <w:rFonts w:asciiTheme="majorHAnsi" w:hAnsiTheme="majorHAnsi"/>
                <w:b/>
                <w:bCs/>
              </w:rPr>
              <w:t>Limits of seismic action index</w:t>
            </w:r>
          </w:p>
          <w:p w14:paraId="5BDB4AB9" w14:textId="77777777" w:rsidR="00DE565A" w:rsidRPr="00815EB6" w:rsidRDefault="00DE565A" w:rsidP="00815EB6">
            <w:pPr>
              <w:pStyle w:val="Tablebody"/>
              <w:jc w:val="center"/>
              <w:rPr>
                <w:b/>
                <w:bCs/>
              </w:rPr>
            </w:pPr>
            <w:r w:rsidRPr="00815EB6">
              <w:rPr>
                <w:rFonts w:asciiTheme="majorHAnsi" w:hAnsiTheme="majorHAnsi"/>
                <w:b/>
                <w:bCs/>
                <w:i/>
              </w:rPr>
              <w:t>S</w:t>
            </w:r>
            <w:r w:rsidRPr="00815EB6">
              <w:rPr>
                <w:rFonts w:asciiTheme="majorHAnsi" w:hAnsiTheme="majorHAnsi"/>
                <w:b/>
                <w:bCs/>
                <w:iCs/>
                <w:vertAlign w:val="subscript"/>
              </w:rPr>
              <w:t>δ</w:t>
            </w:r>
            <w:r w:rsidRPr="00815EB6">
              <w:rPr>
                <w:rFonts w:asciiTheme="majorHAnsi" w:hAnsiTheme="majorHAnsi"/>
                <w:b/>
                <w:bCs/>
                <w:i/>
                <w:vertAlign w:val="subscript"/>
              </w:rPr>
              <w:t xml:space="preserve"> </w:t>
            </w:r>
            <w:r w:rsidRPr="00815EB6">
              <w:rPr>
                <w:rFonts w:asciiTheme="majorHAnsi" w:hAnsiTheme="majorHAnsi"/>
                <w:b/>
                <w:bCs/>
              </w:rPr>
              <w:t>(m/s</w:t>
            </w:r>
            <w:r w:rsidRPr="00815EB6">
              <w:rPr>
                <w:rFonts w:asciiTheme="majorHAnsi" w:hAnsiTheme="majorHAnsi"/>
                <w:b/>
                <w:bCs/>
                <w:vertAlign w:val="superscript"/>
              </w:rPr>
              <w:t>2</w:t>
            </w:r>
            <w:r w:rsidRPr="00815EB6">
              <w:rPr>
                <w:rFonts w:asciiTheme="majorHAnsi" w:hAnsiTheme="majorHAnsi"/>
                <w:b/>
                <w:bCs/>
              </w:rPr>
              <w:t>)</w:t>
            </w:r>
          </w:p>
        </w:tc>
      </w:tr>
      <w:tr w:rsidR="00DE565A" w:rsidRPr="00BC3A0E" w14:paraId="2A8D43C2" w14:textId="77777777" w:rsidTr="00DE565A">
        <w:trPr>
          <w:jc w:val="center"/>
        </w:trPr>
        <w:tc>
          <w:tcPr>
            <w:tcW w:w="4957" w:type="dxa"/>
            <w:vMerge/>
            <w:vAlign w:val="center"/>
          </w:tcPr>
          <w:p w14:paraId="3A8C9219" w14:textId="77777777" w:rsidR="00DE565A" w:rsidRPr="00BC3A0E" w:rsidRDefault="00DE565A" w:rsidP="00815EB6">
            <w:pPr>
              <w:pStyle w:val="Tablebody"/>
            </w:pPr>
          </w:p>
        </w:tc>
        <w:tc>
          <w:tcPr>
            <w:tcW w:w="992" w:type="dxa"/>
          </w:tcPr>
          <w:p w14:paraId="3DCDAC5D" w14:textId="77777777" w:rsidR="00DE565A" w:rsidRPr="00815EB6" w:rsidRDefault="00DE565A" w:rsidP="00815EB6">
            <w:pPr>
              <w:pStyle w:val="Tablebody"/>
              <w:jc w:val="center"/>
              <w:rPr>
                <w:b/>
                <w:bCs/>
              </w:rPr>
            </w:pPr>
            <w:r w:rsidRPr="00815EB6">
              <w:rPr>
                <w:rFonts w:asciiTheme="majorHAnsi" w:hAnsiTheme="majorHAnsi"/>
                <w:b/>
                <w:bCs/>
              </w:rPr>
              <w:t>DC1</w:t>
            </w:r>
          </w:p>
        </w:tc>
        <w:tc>
          <w:tcPr>
            <w:tcW w:w="992" w:type="dxa"/>
          </w:tcPr>
          <w:p w14:paraId="165A391D" w14:textId="77777777" w:rsidR="00DE565A" w:rsidRPr="00815EB6" w:rsidRDefault="00DE565A" w:rsidP="00815EB6">
            <w:pPr>
              <w:pStyle w:val="Tablebody"/>
              <w:jc w:val="center"/>
              <w:rPr>
                <w:b/>
                <w:bCs/>
              </w:rPr>
            </w:pPr>
            <w:r w:rsidRPr="00815EB6">
              <w:rPr>
                <w:rFonts w:asciiTheme="majorHAnsi" w:hAnsiTheme="majorHAnsi"/>
                <w:b/>
                <w:bCs/>
              </w:rPr>
              <w:t>DC2</w:t>
            </w:r>
          </w:p>
        </w:tc>
        <w:tc>
          <w:tcPr>
            <w:tcW w:w="992" w:type="dxa"/>
          </w:tcPr>
          <w:p w14:paraId="1E4DD266" w14:textId="77777777" w:rsidR="00DE565A" w:rsidRPr="00815EB6" w:rsidRDefault="00DE565A" w:rsidP="00815EB6">
            <w:pPr>
              <w:pStyle w:val="Tablebody"/>
              <w:jc w:val="center"/>
              <w:rPr>
                <w:b/>
                <w:bCs/>
              </w:rPr>
            </w:pPr>
            <w:r w:rsidRPr="00815EB6">
              <w:rPr>
                <w:rFonts w:asciiTheme="majorHAnsi" w:hAnsiTheme="majorHAnsi"/>
                <w:b/>
                <w:bCs/>
              </w:rPr>
              <w:t>DC3</w:t>
            </w:r>
          </w:p>
        </w:tc>
      </w:tr>
      <w:tr w:rsidR="000B46D9" w:rsidRPr="00BC3A0E" w14:paraId="039A7560" w14:textId="77777777" w:rsidTr="00DE565A">
        <w:trPr>
          <w:jc w:val="center"/>
        </w:trPr>
        <w:tc>
          <w:tcPr>
            <w:tcW w:w="4957" w:type="dxa"/>
            <w:vAlign w:val="center"/>
          </w:tcPr>
          <w:p w14:paraId="086D45DE" w14:textId="77777777" w:rsidR="000B46D9" w:rsidRPr="00BC3A0E" w:rsidRDefault="000B46D9" w:rsidP="00815EB6">
            <w:pPr>
              <w:pStyle w:val="Tablebody"/>
            </w:pPr>
            <w:r w:rsidRPr="00BC3A0E">
              <w:rPr>
                <w:rFonts w:asciiTheme="majorHAnsi" w:hAnsiTheme="majorHAnsi"/>
              </w:rPr>
              <w:t>Moment frames</w:t>
            </w:r>
          </w:p>
        </w:tc>
        <w:tc>
          <w:tcPr>
            <w:tcW w:w="992" w:type="dxa"/>
            <w:vAlign w:val="center"/>
          </w:tcPr>
          <w:p w14:paraId="631E07B3" w14:textId="77777777" w:rsidR="000B46D9" w:rsidRPr="00BC3A0E" w:rsidRDefault="000B46D9" w:rsidP="00815EB6">
            <w:pPr>
              <w:pStyle w:val="Tablebody"/>
              <w:jc w:val="center"/>
            </w:pPr>
            <w:r w:rsidRPr="00BC3A0E">
              <w:rPr>
                <w:rFonts w:asciiTheme="majorHAnsi" w:hAnsiTheme="majorHAnsi"/>
              </w:rPr>
              <w:t>5,0</w:t>
            </w:r>
          </w:p>
        </w:tc>
        <w:tc>
          <w:tcPr>
            <w:tcW w:w="992" w:type="dxa"/>
            <w:vAlign w:val="center"/>
          </w:tcPr>
          <w:p w14:paraId="121A44C2" w14:textId="77777777" w:rsidR="000B46D9" w:rsidRPr="00BC3A0E" w:rsidRDefault="000B46D9" w:rsidP="00815EB6">
            <w:pPr>
              <w:pStyle w:val="Tablebody"/>
              <w:jc w:val="center"/>
            </w:pPr>
            <w:r w:rsidRPr="00BC3A0E">
              <w:rPr>
                <w:rFonts w:asciiTheme="majorHAnsi" w:hAnsiTheme="majorHAnsi"/>
              </w:rPr>
              <w:t>6,5</w:t>
            </w:r>
          </w:p>
        </w:tc>
        <w:tc>
          <w:tcPr>
            <w:tcW w:w="992" w:type="dxa"/>
            <w:vAlign w:val="center"/>
          </w:tcPr>
          <w:p w14:paraId="14CC7B14" w14:textId="77777777" w:rsidR="000B46D9" w:rsidRPr="00BC3A0E" w:rsidRDefault="000B46D9" w:rsidP="00815EB6">
            <w:pPr>
              <w:pStyle w:val="Tablebody"/>
              <w:jc w:val="center"/>
            </w:pPr>
            <w:r w:rsidRPr="00BC3A0E">
              <w:rPr>
                <w:rFonts w:asciiTheme="majorHAnsi" w:hAnsiTheme="majorHAnsi"/>
              </w:rPr>
              <w:t>no limit</w:t>
            </w:r>
          </w:p>
        </w:tc>
      </w:tr>
      <w:tr w:rsidR="000B46D9" w:rsidRPr="00BC3A0E" w14:paraId="58DC7364" w14:textId="77777777" w:rsidTr="00DE565A">
        <w:trPr>
          <w:jc w:val="center"/>
        </w:trPr>
        <w:tc>
          <w:tcPr>
            <w:tcW w:w="4957" w:type="dxa"/>
            <w:vAlign w:val="center"/>
          </w:tcPr>
          <w:p w14:paraId="5795A5D0" w14:textId="77777777" w:rsidR="000B46D9" w:rsidRPr="00BC3A0E" w:rsidRDefault="000B46D9" w:rsidP="00815EB6">
            <w:pPr>
              <w:pStyle w:val="Tablebody"/>
            </w:pPr>
            <w:r w:rsidRPr="00BC3A0E">
              <w:rPr>
                <w:rFonts w:asciiTheme="majorHAnsi" w:hAnsiTheme="majorHAnsi"/>
              </w:rPr>
              <w:t>Frames with concentric or eccentric bracings</w:t>
            </w:r>
          </w:p>
        </w:tc>
        <w:tc>
          <w:tcPr>
            <w:tcW w:w="992" w:type="dxa"/>
            <w:vAlign w:val="center"/>
          </w:tcPr>
          <w:p w14:paraId="2306F069" w14:textId="77777777" w:rsidR="000B46D9" w:rsidRPr="00BC3A0E" w:rsidRDefault="000B46D9" w:rsidP="00815EB6">
            <w:pPr>
              <w:pStyle w:val="Tablebody"/>
              <w:jc w:val="center"/>
            </w:pPr>
            <w:r w:rsidRPr="00BC3A0E">
              <w:rPr>
                <w:rFonts w:asciiTheme="majorHAnsi" w:hAnsiTheme="majorHAnsi"/>
              </w:rPr>
              <w:t>5,0</w:t>
            </w:r>
          </w:p>
        </w:tc>
        <w:tc>
          <w:tcPr>
            <w:tcW w:w="992" w:type="dxa"/>
            <w:vAlign w:val="center"/>
          </w:tcPr>
          <w:p w14:paraId="5C41A96F" w14:textId="77777777" w:rsidR="000B46D9" w:rsidRPr="00BC3A0E" w:rsidRDefault="000B46D9" w:rsidP="00815EB6">
            <w:pPr>
              <w:pStyle w:val="Tablebody"/>
              <w:jc w:val="center"/>
            </w:pPr>
            <w:r w:rsidRPr="00BC3A0E">
              <w:rPr>
                <w:rFonts w:asciiTheme="majorHAnsi" w:hAnsiTheme="majorHAnsi"/>
              </w:rPr>
              <w:t>6,5</w:t>
            </w:r>
          </w:p>
        </w:tc>
        <w:tc>
          <w:tcPr>
            <w:tcW w:w="992" w:type="dxa"/>
            <w:vAlign w:val="center"/>
          </w:tcPr>
          <w:p w14:paraId="5E0DF77E" w14:textId="77777777" w:rsidR="000B46D9" w:rsidRPr="00BC3A0E" w:rsidRDefault="000B46D9" w:rsidP="00815EB6">
            <w:pPr>
              <w:pStyle w:val="Tablebody"/>
              <w:jc w:val="center"/>
            </w:pPr>
            <w:r w:rsidRPr="00BC3A0E">
              <w:rPr>
                <w:rFonts w:asciiTheme="majorHAnsi" w:hAnsiTheme="majorHAnsi"/>
              </w:rPr>
              <w:t>no limit</w:t>
            </w:r>
          </w:p>
        </w:tc>
      </w:tr>
      <w:tr w:rsidR="000B46D9" w:rsidRPr="00BC3A0E" w14:paraId="5B19D360" w14:textId="77777777" w:rsidTr="00DE565A">
        <w:trPr>
          <w:jc w:val="center"/>
        </w:trPr>
        <w:tc>
          <w:tcPr>
            <w:tcW w:w="4957" w:type="dxa"/>
            <w:vAlign w:val="center"/>
          </w:tcPr>
          <w:p w14:paraId="1C439C45" w14:textId="77777777" w:rsidR="000B46D9" w:rsidRPr="00BC3A0E" w:rsidRDefault="000B46D9" w:rsidP="00815EB6">
            <w:pPr>
              <w:pStyle w:val="Tablebody"/>
              <w:rPr>
                <w:rFonts w:asciiTheme="majorHAnsi" w:hAnsiTheme="majorHAnsi"/>
              </w:rPr>
            </w:pPr>
            <w:r w:rsidRPr="00BC3A0E">
              <w:rPr>
                <w:rFonts w:asciiTheme="majorHAnsi" w:hAnsiTheme="majorHAnsi"/>
              </w:rPr>
              <w:t>Buckling-restrained braced frames</w:t>
            </w:r>
          </w:p>
        </w:tc>
        <w:tc>
          <w:tcPr>
            <w:tcW w:w="992" w:type="dxa"/>
            <w:vAlign w:val="center"/>
          </w:tcPr>
          <w:p w14:paraId="68CECDD8" w14:textId="77777777" w:rsidR="000B46D9" w:rsidRPr="00BC3A0E" w:rsidRDefault="000B46D9" w:rsidP="00815EB6">
            <w:pPr>
              <w:pStyle w:val="Tablebody"/>
              <w:jc w:val="center"/>
              <w:rPr>
                <w:rFonts w:asciiTheme="majorHAnsi" w:hAnsiTheme="majorHAnsi"/>
              </w:rPr>
            </w:pPr>
            <w:r w:rsidRPr="00BC3A0E">
              <w:rPr>
                <w:rFonts w:asciiTheme="majorHAnsi" w:hAnsiTheme="majorHAnsi"/>
              </w:rPr>
              <w:t>-</w:t>
            </w:r>
          </w:p>
        </w:tc>
        <w:tc>
          <w:tcPr>
            <w:tcW w:w="992" w:type="dxa"/>
            <w:vAlign w:val="center"/>
          </w:tcPr>
          <w:p w14:paraId="60BBBBF2" w14:textId="77777777" w:rsidR="000B46D9" w:rsidRPr="00BC3A0E" w:rsidRDefault="000B46D9" w:rsidP="00815EB6">
            <w:pPr>
              <w:pStyle w:val="Tablebody"/>
              <w:jc w:val="center"/>
              <w:rPr>
                <w:rFonts w:asciiTheme="majorHAnsi" w:hAnsiTheme="majorHAnsi"/>
              </w:rPr>
            </w:pPr>
            <w:r w:rsidRPr="00BC3A0E">
              <w:rPr>
                <w:rFonts w:asciiTheme="majorHAnsi" w:hAnsiTheme="majorHAnsi"/>
              </w:rPr>
              <w:t>-</w:t>
            </w:r>
          </w:p>
        </w:tc>
        <w:tc>
          <w:tcPr>
            <w:tcW w:w="992" w:type="dxa"/>
            <w:vAlign w:val="center"/>
          </w:tcPr>
          <w:p w14:paraId="1D262302" w14:textId="77777777" w:rsidR="000B46D9" w:rsidRPr="00BC3A0E" w:rsidRDefault="000B46D9" w:rsidP="00815EB6">
            <w:pPr>
              <w:pStyle w:val="Tablebody"/>
              <w:jc w:val="center"/>
              <w:rPr>
                <w:rFonts w:asciiTheme="majorHAnsi" w:hAnsiTheme="majorHAnsi"/>
              </w:rPr>
            </w:pPr>
            <w:r w:rsidRPr="00BC3A0E">
              <w:rPr>
                <w:rFonts w:asciiTheme="majorHAnsi" w:hAnsiTheme="majorHAnsi"/>
              </w:rPr>
              <w:t>no limit</w:t>
            </w:r>
          </w:p>
        </w:tc>
      </w:tr>
      <w:tr w:rsidR="000B46D9" w:rsidRPr="00BC3A0E" w14:paraId="263F050B" w14:textId="77777777" w:rsidTr="00DE565A">
        <w:trPr>
          <w:jc w:val="center"/>
        </w:trPr>
        <w:tc>
          <w:tcPr>
            <w:tcW w:w="4957" w:type="dxa"/>
            <w:vAlign w:val="center"/>
          </w:tcPr>
          <w:p w14:paraId="08CEE6F1" w14:textId="77777777" w:rsidR="000B46D9" w:rsidRPr="00BC3A0E" w:rsidRDefault="000B46D9" w:rsidP="00815EB6">
            <w:pPr>
              <w:pStyle w:val="Tablebody"/>
            </w:pPr>
            <w:r w:rsidRPr="00BC3A0E">
              <w:rPr>
                <w:rFonts w:asciiTheme="majorHAnsi" w:hAnsiTheme="majorHAnsi"/>
              </w:rPr>
              <w:t>Dual frames (moment frames with bracings)</w:t>
            </w:r>
          </w:p>
        </w:tc>
        <w:tc>
          <w:tcPr>
            <w:tcW w:w="992" w:type="dxa"/>
            <w:vAlign w:val="center"/>
          </w:tcPr>
          <w:p w14:paraId="047E4F98" w14:textId="77777777" w:rsidR="000B46D9" w:rsidRPr="00BC3A0E" w:rsidRDefault="000B46D9" w:rsidP="00815EB6">
            <w:pPr>
              <w:pStyle w:val="Tablebody"/>
              <w:jc w:val="center"/>
            </w:pPr>
            <w:r w:rsidRPr="00BC3A0E">
              <w:rPr>
                <w:rFonts w:asciiTheme="majorHAnsi" w:hAnsiTheme="majorHAnsi"/>
              </w:rPr>
              <w:t>5,0</w:t>
            </w:r>
          </w:p>
        </w:tc>
        <w:tc>
          <w:tcPr>
            <w:tcW w:w="992" w:type="dxa"/>
            <w:vAlign w:val="center"/>
          </w:tcPr>
          <w:p w14:paraId="7CC03BDA" w14:textId="77777777" w:rsidR="000B46D9" w:rsidRPr="00BC3A0E" w:rsidRDefault="000B46D9" w:rsidP="00815EB6">
            <w:pPr>
              <w:pStyle w:val="Tablebody"/>
              <w:jc w:val="center"/>
            </w:pPr>
            <w:r w:rsidRPr="00BC3A0E">
              <w:rPr>
                <w:rFonts w:asciiTheme="majorHAnsi" w:hAnsiTheme="majorHAnsi"/>
              </w:rPr>
              <w:t>7,5</w:t>
            </w:r>
          </w:p>
        </w:tc>
        <w:tc>
          <w:tcPr>
            <w:tcW w:w="992" w:type="dxa"/>
            <w:vAlign w:val="center"/>
          </w:tcPr>
          <w:p w14:paraId="75C51EE4" w14:textId="77777777" w:rsidR="000B46D9" w:rsidRPr="00BC3A0E" w:rsidRDefault="000B46D9" w:rsidP="00815EB6">
            <w:pPr>
              <w:pStyle w:val="Tablebody"/>
              <w:jc w:val="center"/>
            </w:pPr>
            <w:r w:rsidRPr="00BC3A0E">
              <w:rPr>
                <w:rFonts w:asciiTheme="majorHAnsi" w:hAnsiTheme="majorHAnsi"/>
              </w:rPr>
              <w:t>no limit</w:t>
            </w:r>
          </w:p>
        </w:tc>
      </w:tr>
      <w:tr w:rsidR="000B46D9" w:rsidRPr="00BC3A0E" w14:paraId="78679FBF" w14:textId="77777777" w:rsidTr="00DE565A">
        <w:trPr>
          <w:jc w:val="center"/>
        </w:trPr>
        <w:tc>
          <w:tcPr>
            <w:tcW w:w="4957" w:type="dxa"/>
            <w:vAlign w:val="center"/>
          </w:tcPr>
          <w:p w14:paraId="5AB14658" w14:textId="77777777" w:rsidR="000B46D9" w:rsidRPr="00BC3A0E" w:rsidRDefault="000B46D9" w:rsidP="00815EB6">
            <w:pPr>
              <w:pStyle w:val="Tablebody"/>
            </w:pPr>
            <w:r w:rsidRPr="00BC3A0E">
              <w:rPr>
                <w:rFonts w:asciiTheme="majorHAnsi" w:hAnsiTheme="majorHAnsi"/>
              </w:rPr>
              <w:t>Steel structure with concrete cores/walls</w:t>
            </w:r>
          </w:p>
        </w:tc>
        <w:tc>
          <w:tcPr>
            <w:tcW w:w="992" w:type="dxa"/>
            <w:vAlign w:val="center"/>
          </w:tcPr>
          <w:p w14:paraId="5DE48585" w14:textId="77777777" w:rsidR="000B46D9" w:rsidRPr="00BC3A0E" w:rsidRDefault="000B46D9" w:rsidP="00815EB6">
            <w:pPr>
              <w:pStyle w:val="Tablebody"/>
              <w:jc w:val="center"/>
            </w:pPr>
            <w:r w:rsidRPr="00BC3A0E">
              <w:rPr>
                <w:rFonts w:asciiTheme="majorHAnsi" w:hAnsiTheme="majorHAnsi"/>
              </w:rPr>
              <w:t>5,0</w:t>
            </w:r>
          </w:p>
        </w:tc>
        <w:tc>
          <w:tcPr>
            <w:tcW w:w="992" w:type="dxa"/>
            <w:vAlign w:val="center"/>
          </w:tcPr>
          <w:p w14:paraId="22E31A35" w14:textId="77777777" w:rsidR="000B46D9" w:rsidRPr="00BC3A0E" w:rsidRDefault="000B46D9" w:rsidP="00815EB6">
            <w:pPr>
              <w:pStyle w:val="Tablebody"/>
              <w:jc w:val="center"/>
            </w:pPr>
            <w:r w:rsidRPr="00BC3A0E">
              <w:rPr>
                <w:rFonts w:asciiTheme="majorHAnsi" w:hAnsiTheme="majorHAnsi"/>
              </w:rPr>
              <w:t>7,5</w:t>
            </w:r>
          </w:p>
        </w:tc>
        <w:tc>
          <w:tcPr>
            <w:tcW w:w="992" w:type="dxa"/>
            <w:vAlign w:val="center"/>
          </w:tcPr>
          <w:p w14:paraId="7D712364" w14:textId="77777777" w:rsidR="000B46D9" w:rsidRPr="00BC3A0E" w:rsidRDefault="000B46D9" w:rsidP="00815EB6">
            <w:pPr>
              <w:pStyle w:val="Tablebody"/>
              <w:jc w:val="center"/>
            </w:pPr>
            <w:r w:rsidRPr="00BC3A0E">
              <w:rPr>
                <w:rFonts w:asciiTheme="majorHAnsi" w:hAnsiTheme="majorHAnsi"/>
              </w:rPr>
              <w:t>no limit</w:t>
            </w:r>
          </w:p>
        </w:tc>
      </w:tr>
      <w:tr w:rsidR="000B46D9" w:rsidRPr="00BC3A0E" w14:paraId="6C1D322E" w14:textId="77777777" w:rsidTr="00DE565A">
        <w:trPr>
          <w:jc w:val="center"/>
        </w:trPr>
        <w:tc>
          <w:tcPr>
            <w:tcW w:w="4957" w:type="dxa"/>
            <w:vAlign w:val="center"/>
          </w:tcPr>
          <w:p w14:paraId="3A685C4C" w14:textId="77777777" w:rsidR="000B46D9" w:rsidRPr="00BC3A0E" w:rsidRDefault="000B46D9" w:rsidP="00815EB6">
            <w:pPr>
              <w:pStyle w:val="Tablebody"/>
            </w:pPr>
            <w:r w:rsidRPr="00BC3A0E">
              <w:rPr>
                <w:rFonts w:asciiTheme="majorHAnsi" w:hAnsiTheme="majorHAnsi"/>
              </w:rPr>
              <w:t>Lightweight steel frame wall systems</w:t>
            </w:r>
          </w:p>
        </w:tc>
        <w:tc>
          <w:tcPr>
            <w:tcW w:w="992" w:type="dxa"/>
            <w:vAlign w:val="center"/>
          </w:tcPr>
          <w:p w14:paraId="50A99777" w14:textId="77777777" w:rsidR="000B46D9" w:rsidRPr="00BC3A0E" w:rsidRDefault="000B46D9" w:rsidP="00815EB6">
            <w:pPr>
              <w:pStyle w:val="Tablebody"/>
              <w:jc w:val="center"/>
            </w:pPr>
            <w:r w:rsidRPr="00BC3A0E">
              <w:rPr>
                <w:rFonts w:asciiTheme="majorHAnsi" w:hAnsiTheme="majorHAnsi"/>
              </w:rPr>
              <w:t>5,0</w:t>
            </w:r>
          </w:p>
        </w:tc>
        <w:tc>
          <w:tcPr>
            <w:tcW w:w="992" w:type="dxa"/>
            <w:vAlign w:val="center"/>
          </w:tcPr>
          <w:p w14:paraId="1524917E" w14:textId="77777777" w:rsidR="000B46D9" w:rsidRPr="00BC3A0E" w:rsidRDefault="000B46D9" w:rsidP="00815EB6">
            <w:pPr>
              <w:pStyle w:val="Tablebody"/>
              <w:jc w:val="center"/>
            </w:pPr>
            <w:r w:rsidRPr="00BC3A0E">
              <w:rPr>
                <w:rFonts w:asciiTheme="majorHAnsi" w:hAnsiTheme="majorHAnsi"/>
              </w:rPr>
              <w:t>7,5</w:t>
            </w:r>
          </w:p>
        </w:tc>
        <w:tc>
          <w:tcPr>
            <w:tcW w:w="992" w:type="dxa"/>
            <w:vAlign w:val="center"/>
          </w:tcPr>
          <w:p w14:paraId="36EE3969" w14:textId="77777777" w:rsidR="000B46D9" w:rsidRPr="00BC3A0E" w:rsidRDefault="000B46D9" w:rsidP="00815EB6">
            <w:pPr>
              <w:pStyle w:val="Tablebody"/>
              <w:jc w:val="center"/>
            </w:pPr>
            <w:r w:rsidRPr="00BC3A0E">
              <w:rPr>
                <w:rFonts w:asciiTheme="majorHAnsi" w:hAnsiTheme="majorHAnsi"/>
              </w:rPr>
              <w:t>no limit</w:t>
            </w:r>
          </w:p>
        </w:tc>
      </w:tr>
      <w:tr w:rsidR="000B46D9" w:rsidRPr="00BC3A0E" w14:paraId="51E73E79" w14:textId="77777777" w:rsidTr="00DE565A">
        <w:trPr>
          <w:jc w:val="center"/>
        </w:trPr>
        <w:tc>
          <w:tcPr>
            <w:tcW w:w="4957" w:type="dxa"/>
            <w:vAlign w:val="center"/>
          </w:tcPr>
          <w:p w14:paraId="371B0207" w14:textId="77777777" w:rsidR="000B46D9" w:rsidRPr="00BC3A0E" w:rsidRDefault="000B46D9" w:rsidP="00815EB6">
            <w:pPr>
              <w:pStyle w:val="Tablebody"/>
            </w:pPr>
            <w:r w:rsidRPr="00BC3A0E">
              <w:rPr>
                <w:rFonts w:asciiTheme="majorHAnsi" w:hAnsiTheme="majorHAnsi"/>
              </w:rPr>
              <w:t>Inverted pendulum</w:t>
            </w:r>
          </w:p>
        </w:tc>
        <w:tc>
          <w:tcPr>
            <w:tcW w:w="992" w:type="dxa"/>
            <w:vAlign w:val="center"/>
          </w:tcPr>
          <w:p w14:paraId="22298F00" w14:textId="77777777" w:rsidR="000B46D9" w:rsidRPr="00BC3A0E" w:rsidRDefault="000B46D9" w:rsidP="00815EB6">
            <w:pPr>
              <w:pStyle w:val="Tablebody"/>
              <w:jc w:val="center"/>
            </w:pPr>
            <w:r w:rsidRPr="00BC3A0E">
              <w:rPr>
                <w:rFonts w:asciiTheme="majorHAnsi" w:hAnsiTheme="majorHAnsi"/>
              </w:rPr>
              <w:t>2,5</w:t>
            </w:r>
          </w:p>
        </w:tc>
        <w:tc>
          <w:tcPr>
            <w:tcW w:w="992" w:type="dxa"/>
            <w:vAlign w:val="center"/>
          </w:tcPr>
          <w:p w14:paraId="2F5FBF47" w14:textId="77777777" w:rsidR="000B46D9" w:rsidRPr="00BC3A0E" w:rsidRDefault="000B46D9" w:rsidP="00815EB6">
            <w:pPr>
              <w:pStyle w:val="Tablebody"/>
              <w:jc w:val="center"/>
            </w:pPr>
            <w:r w:rsidRPr="00BC3A0E">
              <w:rPr>
                <w:rFonts w:asciiTheme="majorHAnsi" w:hAnsiTheme="majorHAnsi"/>
              </w:rPr>
              <w:t>5,0</w:t>
            </w:r>
          </w:p>
        </w:tc>
        <w:tc>
          <w:tcPr>
            <w:tcW w:w="992" w:type="dxa"/>
            <w:vAlign w:val="center"/>
          </w:tcPr>
          <w:p w14:paraId="0739DD30" w14:textId="77777777" w:rsidR="000B46D9" w:rsidRPr="00BC3A0E" w:rsidRDefault="000B46D9" w:rsidP="00815EB6">
            <w:pPr>
              <w:pStyle w:val="Tablebody"/>
              <w:jc w:val="center"/>
            </w:pPr>
            <w:r w:rsidRPr="00BC3A0E">
              <w:rPr>
                <w:rFonts w:asciiTheme="majorHAnsi" w:hAnsiTheme="majorHAnsi"/>
              </w:rPr>
              <w:t>no limit</w:t>
            </w:r>
          </w:p>
        </w:tc>
      </w:tr>
      <w:tr w:rsidR="000B46D9" w:rsidRPr="00BC3A0E" w14:paraId="156D10F7" w14:textId="77777777" w:rsidTr="00DE565A">
        <w:trPr>
          <w:jc w:val="center"/>
        </w:trPr>
        <w:tc>
          <w:tcPr>
            <w:tcW w:w="4957" w:type="dxa"/>
            <w:vAlign w:val="center"/>
          </w:tcPr>
          <w:p w14:paraId="2F547F1A" w14:textId="77777777" w:rsidR="000B46D9" w:rsidRPr="00BC3A0E" w:rsidRDefault="000B46D9" w:rsidP="00815EB6">
            <w:pPr>
              <w:pStyle w:val="Tablebody"/>
              <w:rPr>
                <w:rFonts w:asciiTheme="majorHAnsi" w:hAnsiTheme="majorHAnsi"/>
              </w:rPr>
            </w:pPr>
            <w:r w:rsidRPr="00BC3A0E">
              <w:rPr>
                <w:rFonts w:asciiTheme="majorHAnsi" w:hAnsiTheme="majorHAnsi"/>
              </w:rPr>
              <w:t>Moment resisting frames with unconnected interacting concrete or masonry infills</w:t>
            </w:r>
          </w:p>
        </w:tc>
        <w:tc>
          <w:tcPr>
            <w:tcW w:w="992" w:type="dxa"/>
            <w:vAlign w:val="center"/>
          </w:tcPr>
          <w:p w14:paraId="579CC570" w14:textId="77777777" w:rsidR="000B46D9" w:rsidRPr="00BC3A0E" w:rsidRDefault="000B46D9" w:rsidP="00815EB6">
            <w:pPr>
              <w:pStyle w:val="Tablebody"/>
              <w:jc w:val="center"/>
              <w:rPr>
                <w:rFonts w:asciiTheme="majorHAnsi" w:hAnsiTheme="majorHAnsi"/>
              </w:rPr>
            </w:pPr>
            <w:r w:rsidRPr="00BC3A0E">
              <w:rPr>
                <w:rFonts w:asciiTheme="majorHAnsi" w:hAnsiTheme="majorHAnsi"/>
              </w:rPr>
              <w:t>2,5</w:t>
            </w:r>
          </w:p>
        </w:tc>
        <w:tc>
          <w:tcPr>
            <w:tcW w:w="992" w:type="dxa"/>
            <w:vAlign w:val="center"/>
          </w:tcPr>
          <w:p w14:paraId="344F2DFC" w14:textId="77777777" w:rsidR="000B46D9" w:rsidRPr="00BC3A0E" w:rsidRDefault="000B46D9" w:rsidP="00815EB6">
            <w:pPr>
              <w:pStyle w:val="Tablebody"/>
              <w:jc w:val="center"/>
              <w:rPr>
                <w:rFonts w:asciiTheme="majorHAnsi" w:hAnsiTheme="majorHAnsi"/>
              </w:rPr>
            </w:pPr>
            <w:r w:rsidRPr="00BC3A0E">
              <w:rPr>
                <w:rFonts w:asciiTheme="majorHAnsi" w:hAnsiTheme="majorHAnsi"/>
              </w:rPr>
              <w:t>5,0</w:t>
            </w:r>
          </w:p>
        </w:tc>
        <w:tc>
          <w:tcPr>
            <w:tcW w:w="992" w:type="dxa"/>
            <w:vAlign w:val="center"/>
          </w:tcPr>
          <w:p w14:paraId="5CA3DD49" w14:textId="77777777" w:rsidR="000B46D9" w:rsidRPr="00BC3A0E" w:rsidRDefault="000B46D9" w:rsidP="00815EB6">
            <w:pPr>
              <w:pStyle w:val="Tablebody"/>
              <w:jc w:val="center"/>
              <w:rPr>
                <w:rFonts w:asciiTheme="majorHAnsi" w:hAnsiTheme="majorHAnsi"/>
              </w:rPr>
            </w:pPr>
            <w:r w:rsidRPr="00BC3A0E">
              <w:rPr>
                <w:rFonts w:asciiTheme="majorHAnsi" w:hAnsiTheme="majorHAnsi"/>
              </w:rPr>
              <w:t>no limit</w:t>
            </w:r>
          </w:p>
        </w:tc>
      </w:tr>
      <w:tr w:rsidR="000B46D9" w:rsidRPr="00BC3A0E" w14:paraId="454E142C" w14:textId="77777777" w:rsidTr="00DE565A">
        <w:trPr>
          <w:jc w:val="center"/>
        </w:trPr>
        <w:tc>
          <w:tcPr>
            <w:tcW w:w="4957" w:type="dxa"/>
            <w:vAlign w:val="center"/>
          </w:tcPr>
          <w:p w14:paraId="1430863C" w14:textId="77777777" w:rsidR="000B46D9" w:rsidRPr="00BC3A0E" w:rsidRDefault="000B46D9" w:rsidP="00815EB6">
            <w:pPr>
              <w:pStyle w:val="Tablebody"/>
              <w:rPr>
                <w:rFonts w:asciiTheme="majorHAnsi" w:hAnsiTheme="majorHAnsi"/>
              </w:rPr>
            </w:pPr>
            <w:r w:rsidRPr="00BC3A0E">
              <w:rPr>
                <w:rFonts w:asciiTheme="majorHAnsi" w:hAnsiTheme="majorHAnsi"/>
              </w:rPr>
              <w:t>Moment resisting frames with non-interacting infills</w:t>
            </w:r>
          </w:p>
        </w:tc>
        <w:tc>
          <w:tcPr>
            <w:tcW w:w="992" w:type="dxa"/>
            <w:vAlign w:val="center"/>
          </w:tcPr>
          <w:p w14:paraId="249A6F9C" w14:textId="77777777" w:rsidR="000B46D9" w:rsidRPr="00BC3A0E" w:rsidRDefault="000B46D9" w:rsidP="00815EB6">
            <w:pPr>
              <w:pStyle w:val="Tablebody"/>
              <w:jc w:val="center"/>
              <w:rPr>
                <w:rFonts w:asciiTheme="majorHAnsi" w:hAnsiTheme="majorHAnsi"/>
              </w:rPr>
            </w:pPr>
            <w:r w:rsidRPr="00BC3A0E">
              <w:rPr>
                <w:rFonts w:asciiTheme="majorHAnsi" w:hAnsiTheme="majorHAnsi"/>
              </w:rPr>
              <w:t>5,0</w:t>
            </w:r>
          </w:p>
        </w:tc>
        <w:tc>
          <w:tcPr>
            <w:tcW w:w="992" w:type="dxa"/>
            <w:vAlign w:val="center"/>
          </w:tcPr>
          <w:p w14:paraId="53B875E8" w14:textId="77777777" w:rsidR="000B46D9" w:rsidRPr="00BC3A0E" w:rsidRDefault="000B46D9" w:rsidP="00815EB6">
            <w:pPr>
              <w:pStyle w:val="Tablebody"/>
              <w:jc w:val="center"/>
              <w:rPr>
                <w:rFonts w:asciiTheme="majorHAnsi" w:hAnsiTheme="majorHAnsi"/>
              </w:rPr>
            </w:pPr>
            <w:r w:rsidRPr="00BC3A0E">
              <w:rPr>
                <w:rFonts w:asciiTheme="majorHAnsi" w:hAnsiTheme="majorHAnsi"/>
              </w:rPr>
              <w:t>6,5</w:t>
            </w:r>
          </w:p>
        </w:tc>
        <w:tc>
          <w:tcPr>
            <w:tcW w:w="992" w:type="dxa"/>
            <w:vAlign w:val="center"/>
          </w:tcPr>
          <w:p w14:paraId="669034FF" w14:textId="77777777" w:rsidR="000B46D9" w:rsidRPr="00BC3A0E" w:rsidRDefault="000B46D9" w:rsidP="00815EB6">
            <w:pPr>
              <w:pStyle w:val="Tablebody"/>
              <w:jc w:val="center"/>
              <w:rPr>
                <w:rFonts w:asciiTheme="majorHAnsi" w:hAnsiTheme="majorHAnsi"/>
              </w:rPr>
            </w:pPr>
            <w:r w:rsidRPr="00BC3A0E">
              <w:rPr>
                <w:rFonts w:asciiTheme="majorHAnsi" w:hAnsiTheme="majorHAnsi"/>
              </w:rPr>
              <w:t>no limit</w:t>
            </w:r>
          </w:p>
        </w:tc>
      </w:tr>
      <w:tr w:rsidR="000B46D9" w:rsidRPr="00BC3A0E" w14:paraId="4358D7C1" w14:textId="77777777" w:rsidTr="002061E5">
        <w:trPr>
          <w:jc w:val="center"/>
        </w:trPr>
        <w:tc>
          <w:tcPr>
            <w:tcW w:w="4957" w:type="dxa"/>
            <w:vAlign w:val="center"/>
          </w:tcPr>
          <w:p w14:paraId="5F68A749" w14:textId="77777777" w:rsidR="000B46D9" w:rsidRPr="00BC3A0E" w:rsidRDefault="000B46D9" w:rsidP="00815EB6">
            <w:pPr>
              <w:pStyle w:val="Tablebody"/>
            </w:pPr>
            <w:r w:rsidRPr="00BC3A0E">
              <w:rPr>
                <w:rFonts w:asciiTheme="majorHAnsi" w:hAnsiTheme="majorHAnsi"/>
              </w:rPr>
              <w:t>Moment resisting frames with connected reinforced concrete infills</w:t>
            </w:r>
          </w:p>
        </w:tc>
        <w:tc>
          <w:tcPr>
            <w:tcW w:w="2976" w:type="dxa"/>
            <w:gridSpan w:val="3"/>
            <w:vAlign w:val="center"/>
          </w:tcPr>
          <w:p w14:paraId="4CE68A6A" w14:textId="77777777" w:rsidR="000B46D9" w:rsidRPr="00DE565A" w:rsidRDefault="000B46D9" w:rsidP="00815EB6">
            <w:pPr>
              <w:pStyle w:val="Tablebody"/>
            </w:pPr>
            <w:r w:rsidRPr="00DE565A">
              <w:rPr>
                <w:rFonts w:asciiTheme="majorHAnsi" w:hAnsiTheme="majorHAnsi"/>
              </w:rPr>
              <w:t>See 12.4.3</w:t>
            </w:r>
          </w:p>
        </w:tc>
      </w:tr>
    </w:tbl>
    <w:p w14:paraId="4259D962" w14:textId="77777777" w:rsidR="000B46D9" w:rsidRPr="00D1484A" w:rsidRDefault="000B46D9" w:rsidP="000B46D9">
      <w:pPr>
        <w:pStyle w:val="Heading2"/>
      </w:pPr>
      <w:bookmarkStart w:id="9359" w:name="_Toc483723220"/>
      <w:bookmarkStart w:id="9360" w:name="_Toc483723555"/>
      <w:bookmarkStart w:id="9361" w:name="_Toc484520869"/>
      <w:bookmarkStart w:id="9362" w:name="_Toc509405045"/>
      <w:bookmarkStart w:id="9363" w:name="_Toc76379861"/>
      <w:bookmarkStart w:id="9364" w:name="_Toc494124720"/>
      <w:bookmarkStart w:id="9365" w:name="_Toc522955918"/>
      <w:bookmarkStart w:id="9366" w:name="_Toc18314103"/>
      <w:bookmarkStart w:id="9367" w:name="_Toc50150418"/>
      <w:bookmarkStart w:id="9368" w:name="_Toc70886850"/>
      <w:bookmarkStart w:id="9369" w:name="_Toc108342407"/>
      <w:bookmarkStart w:id="9370" w:name="_Toc134197939"/>
      <w:r w:rsidRPr="00D1484A">
        <w:t>Structural analysis</w:t>
      </w:r>
      <w:bookmarkEnd w:id="9359"/>
      <w:bookmarkEnd w:id="9360"/>
      <w:bookmarkEnd w:id="9361"/>
      <w:bookmarkEnd w:id="9362"/>
      <w:bookmarkEnd w:id="9363"/>
      <w:bookmarkEnd w:id="9364"/>
      <w:bookmarkEnd w:id="9365"/>
      <w:bookmarkEnd w:id="9366"/>
      <w:bookmarkEnd w:id="9367"/>
      <w:bookmarkEnd w:id="9368"/>
      <w:bookmarkEnd w:id="9369"/>
      <w:bookmarkEnd w:id="9370"/>
    </w:p>
    <w:p w14:paraId="0BF56F61" w14:textId="4AD50BA9" w:rsidR="000B46D9" w:rsidRPr="00DE565A" w:rsidRDefault="000B46D9" w:rsidP="0080187E">
      <w:pPr>
        <w:pStyle w:val="Clause"/>
        <w:numPr>
          <w:ilvl w:val="0"/>
          <w:numId w:val="364"/>
        </w:numPr>
      </w:pPr>
      <w:r w:rsidRPr="004F74EA">
        <w:t xml:space="preserve">The composite action between steel members and concrete should be taken into account by complying </w:t>
      </w:r>
      <w:r w:rsidRPr="00DE565A">
        <w:t xml:space="preserve">with </w:t>
      </w:r>
      <w:r w:rsidR="007D7E6D">
        <w:t xml:space="preserve">Clause </w:t>
      </w:r>
      <w:r w:rsidRPr="00DE565A">
        <w:t xml:space="preserve">12. </w:t>
      </w:r>
    </w:p>
    <w:p w14:paraId="61BE897E" w14:textId="1660F99B" w:rsidR="000B46D9" w:rsidRPr="00DE565A" w:rsidRDefault="000B46D9" w:rsidP="00724E4E">
      <w:pPr>
        <w:pStyle w:val="Clause"/>
      </w:pPr>
      <w:r w:rsidRPr="00DE565A">
        <w:t>For the analysis of frames in relation with the type of joints between beams and columns, Annex E should be used: Annex E, E.3.3.5, for haunched joints, Annex E, E.3.3.7, for joints with rib stiffeners, Annex E, E.3.3.9, for unstiffened joints, Annex E, E.3.3.11, for joints with reduced beam sections, and Annex E, E.3.3.13, for friction connections.</w:t>
      </w:r>
    </w:p>
    <w:p w14:paraId="65AD9BE2" w14:textId="418BDA95" w:rsidR="000B46D9" w:rsidRPr="00DE565A" w:rsidRDefault="000B46D9" w:rsidP="00724E4E">
      <w:pPr>
        <w:pStyle w:val="Clause"/>
      </w:pPr>
      <w:r w:rsidRPr="00DE565A">
        <w:t>Second-order effects should be verified in accordance with 6.2.4.</w:t>
      </w:r>
    </w:p>
    <w:p w14:paraId="504229A2" w14:textId="5D02F85A" w:rsidR="000B46D9" w:rsidRPr="00DE565A" w:rsidRDefault="000B46D9" w:rsidP="00724E4E">
      <w:pPr>
        <w:pStyle w:val="Clause"/>
      </w:pPr>
      <w:r w:rsidRPr="00DE565A">
        <w:t xml:space="preserve">In DC3 steel structures, if </w:t>
      </w:r>
      <w:r w:rsidRPr="00DE565A">
        <w:rPr>
          <w:i/>
          <w:iCs/>
        </w:rPr>
        <w:t>q</w:t>
      </w:r>
      <w:r w:rsidRPr="00DE565A">
        <w:rPr>
          <w:vertAlign w:val="subscript"/>
        </w:rPr>
        <w:t>S</w:t>
      </w:r>
      <w:r w:rsidRPr="00DE565A">
        <w:rPr>
          <w:i/>
          <w:iCs/>
          <w:vertAlign w:val="subscript"/>
        </w:rPr>
        <w:t xml:space="preserve"> </w:t>
      </w:r>
      <w:r w:rsidRPr="00DE565A">
        <w:rPr>
          <w:i/>
          <w:iCs/>
        </w:rPr>
        <w:t>&lt;ω</w:t>
      </w:r>
      <w:r w:rsidRPr="00DE565A">
        <w:rPr>
          <w:vertAlign w:val="subscript"/>
        </w:rPr>
        <w:t>rm</w:t>
      </w:r>
      <w:r w:rsidR="00753F7D">
        <w:rPr>
          <w:vertAlign w:val="subscript"/>
        </w:rPr>
        <w:t xml:space="preserve"> </w:t>
      </w:r>
      <w:r w:rsidRPr="00DE565A">
        <w:rPr>
          <w:i/>
          <w:iCs/>
        </w:rPr>
        <w:t>Ω</w:t>
      </w:r>
      <w:r w:rsidRPr="00DE565A">
        <w:rPr>
          <w:vertAlign w:val="subscript"/>
        </w:rPr>
        <w:t>d</w:t>
      </w:r>
      <w:r w:rsidRPr="00DE565A">
        <w:t xml:space="preserve"> where </w:t>
      </w:r>
      <w:r w:rsidRPr="00DE565A">
        <w:rPr>
          <w:i/>
          <w:iCs/>
        </w:rPr>
        <w:t>Ω</w:t>
      </w:r>
      <w:r w:rsidRPr="00DE565A">
        <w:rPr>
          <w:vertAlign w:val="subscript"/>
        </w:rPr>
        <w:t>d</w:t>
      </w:r>
      <w:r w:rsidRPr="00DE565A">
        <w:t xml:space="preserve"> is given in 11.8.5(3), the interstorey drift sensitivity coefficient</w:t>
      </w:r>
      <w:r w:rsidRPr="00DE565A">
        <w:rPr>
          <w:i/>
          <w:iCs/>
        </w:rPr>
        <w:t xml:space="preserve"> θ </w:t>
      </w:r>
      <w:r w:rsidRPr="00DE565A">
        <w:t>should be calculated at all storeys with Formula (11.1).</w:t>
      </w:r>
    </w:p>
    <w:p w14:paraId="79A627CA" w14:textId="55D6E686" w:rsidR="00BC3A0E" w:rsidRPr="00DE565A" w:rsidRDefault="00DE565A" w:rsidP="00BC3A0E">
      <w:pPr>
        <w:pStyle w:val="Formula"/>
        <w:spacing w:before="240"/>
      </w:pPr>
      <m:oMath>
        <m:r>
          <w:rPr>
            <w:rFonts w:ascii="Cambria Math" w:eastAsia="Cambria" w:hAnsi="Cambria Math"/>
          </w:rPr>
          <m:t>θ=</m:t>
        </m:r>
        <m:f>
          <m:fPr>
            <m:ctrlPr>
              <w:rPr>
                <w:rFonts w:ascii="Cambria Math" w:eastAsia="Cambria" w:hAnsi="Cambria Math"/>
                <w:i/>
              </w:rPr>
            </m:ctrlPr>
          </m:fPr>
          <m:num>
            <m:sSub>
              <m:sSubPr>
                <m:ctrlPr>
                  <w:rPr>
                    <w:rFonts w:ascii="Cambria Math" w:eastAsia="Cambria" w:hAnsi="Cambria Math"/>
                    <w:i/>
                  </w:rPr>
                </m:ctrlPr>
              </m:sSubPr>
              <m:e>
                <m:r>
                  <w:rPr>
                    <w:rFonts w:ascii="Cambria Math" w:eastAsia="Cambria" w:hAnsi="Cambria Math"/>
                  </w:rPr>
                  <m:t>P</m:t>
                </m:r>
              </m:e>
              <m:sub>
                <m:r>
                  <m:rPr>
                    <m:sty m:val="p"/>
                  </m:rPr>
                  <w:rPr>
                    <w:rFonts w:ascii="Cambria Math" w:eastAsia="Cambria" w:hAnsi="Cambria Math"/>
                  </w:rPr>
                  <m:t>tot</m:t>
                </m:r>
              </m:sub>
            </m:sSub>
            <m:r>
              <w:rPr>
                <w:rFonts w:ascii="Cambria Math" w:eastAsia="Cambria" w:hAnsi="Cambria Math"/>
              </w:rPr>
              <m:t xml:space="preserve"> </m:t>
            </m:r>
            <m:sSub>
              <m:sSubPr>
                <m:ctrlPr>
                  <w:rPr>
                    <w:rFonts w:ascii="Cambria Math" w:eastAsia="Cambria" w:hAnsi="Cambria Math"/>
                    <w:i/>
                  </w:rPr>
                </m:ctrlPr>
              </m:sSubPr>
              <m:e>
                <m:r>
                  <w:rPr>
                    <w:rFonts w:ascii="Cambria Math" w:eastAsia="Cambria" w:hAnsi="Cambria Math"/>
                  </w:rPr>
                  <m:t>d</m:t>
                </m:r>
              </m:e>
              <m:sub>
                <m:r>
                  <m:rPr>
                    <m:sty m:val="p"/>
                  </m:rPr>
                  <w:rPr>
                    <w:rFonts w:ascii="Cambria Math" w:eastAsia="Cambria" w:hAnsi="Cambria Math"/>
                  </w:rPr>
                  <m:t>r,SD</m:t>
                </m:r>
              </m:sub>
            </m:sSub>
          </m:num>
          <m:den>
            <m:sSub>
              <m:sSubPr>
                <m:ctrlPr>
                  <w:rPr>
                    <w:rFonts w:ascii="Cambria Math" w:eastAsia="Cambria" w:hAnsi="Cambria Math"/>
                    <w:i/>
                  </w:rPr>
                </m:ctrlPr>
              </m:sSubPr>
              <m:e>
                <m:r>
                  <w:rPr>
                    <w:rFonts w:ascii="Cambria Math" w:eastAsia="Cambria" w:hAnsi="Cambria Math"/>
                  </w:rPr>
                  <m:t>ω</m:t>
                </m:r>
              </m:e>
              <m:sub>
                <m:r>
                  <m:rPr>
                    <m:sty m:val="p"/>
                  </m:rPr>
                  <w:rPr>
                    <w:rFonts w:ascii="Cambria Math" w:eastAsia="Cambria" w:hAnsi="Cambria Math"/>
                  </w:rPr>
                  <m:t>rm</m:t>
                </m:r>
              </m:sub>
            </m:sSub>
            <m:r>
              <w:rPr>
                <w:rFonts w:ascii="Cambria Math" w:eastAsia="Cambria" w:hAnsi="Cambria Math"/>
              </w:rPr>
              <m:t xml:space="preserve"> </m:t>
            </m:r>
            <m:sSub>
              <m:sSubPr>
                <m:ctrlPr>
                  <w:rPr>
                    <w:rFonts w:ascii="Cambria Math" w:eastAsia="Cambria" w:hAnsi="Cambria Math"/>
                    <w:i/>
                  </w:rPr>
                </m:ctrlPr>
              </m:sSubPr>
              <m:e>
                <m:r>
                  <m:rPr>
                    <m:sty m:val="p"/>
                  </m:rPr>
                  <w:rPr>
                    <w:rFonts w:ascii="Cambria Math" w:eastAsia="Cambria" w:hAnsi="Cambria Math"/>
                  </w:rPr>
                  <m:t>Ω</m:t>
                </m:r>
              </m:e>
              <m:sub>
                <m:r>
                  <m:rPr>
                    <m:sty m:val="p"/>
                  </m:rPr>
                  <w:rPr>
                    <w:rFonts w:ascii="Cambria Math" w:eastAsia="Cambria" w:hAnsi="Cambria Math"/>
                  </w:rPr>
                  <m:t>d</m:t>
                </m:r>
              </m:sub>
            </m:sSub>
            <m:r>
              <w:rPr>
                <w:rFonts w:ascii="Cambria Math" w:eastAsia="Cambria" w:hAnsi="Cambria Math"/>
              </w:rPr>
              <m:t xml:space="preserve"> </m:t>
            </m:r>
            <m:sSub>
              <m:sSubPr>
                <m:ctrlPr>
                  <w:rPr>
                    <w:rFonts w:ascii="Cambria Math" w:eastAsia="Cambria" w:hAnsi="Cambria Math"/>
                    <w:i/>
                  </w:rPr>
                </m:ctrlPr>
              </m:sSubPr>
              <m:e>
                <m:r>
                  <w:rPr>
                    <w:rFonts w:ascii="Cambria Math" w:eastAsia="Cambria" w:hAnsi="Cambria Math"/>
                  </w:rPr>
                  <m:t>q</m:t>
                </m:r>
              </m:e>
              <m:sub>
                <m:r>
                  <m:rPr>
                    <m:sty m:val="p"/>
                  </m:rPr>
                  <w:rPr>
                    <w:rFonts w:ascii="Cambria Math" w:eastAsia="Cambria" w:hAnsi="Cambria Math"/>
                  </w:rPr>
                  <m:t>R</m:t>
                </m:r>
              </m:sub>
            </m:sSub>
            <m:r>
              <w:rPr>
                <w:rFonts w:ascii="Cambria Math" w:eastAsia="Cambria" w:hAnsi="Cambria Math"/>
              </w:rPr>
              <m:t xml:space="preserve"> </m:t>
            </m:r>
            <m:sSub>
              <m:sSubPr>
                <m:ctrlPr>
                  <w:rPr>
                    <w:rFonts w:ascii="Cambria Math" w:eastAsia="Cambria" w:hAnsi="Cambria Math"/>
                    <w:i/>
                  </w:rPr>
                </m:ctrlPr>
              </m:sSubPr>
              <m:e>
                <m:r>
                  <w:rPr>
                    <w:rFonts w:ascii="Cambria Math" w:eastAsia="Cambria" w:hAnsi="Cambria Math"/>
                  </w:rPr>
                  <m:t>ν</m:t>
                </m:r>
              </m:e>
              <m:sub>
                <m:r>
                  <m:rPr>
                    <m:sty m:val="p"/>
                  </m:rPr>
                  <w:rPr>
                    <w:rFonts w:ascii="Cambria Math" w:eastAsia="Cambria" w:hAnsi="Cambria Math"/>
                  </w:rPr>
                  <m:t>tot</m:t>
                </m:r>
              </m:sub>
            </m:sSub>
            <m:r>
              <w:rPr>
                <w:rFonts w:ascii="Cambria Math" w:eastAsia="Cambria" w:hAnsi="Cambria Math"/>
              </w:rPr>
              <m:t xml:space="preserve"> </m:t>
            </m:r>
            <m:sSub>
              <m:sSubPr>
                <m:ctrlPr>
                  <w:rPr>
                    <w:rFonts w:ascii="Cambria Math" w:eastAsia="Cambria" w:hAnsi="Cambria Math"/>
                    <w:i/>
                  </w:rPr>
                </m:ctrlPr>
              </m:sSubPr>
              <m:e>
                <m:r>
                  <w:rPr>
                    <w:rFonts w:ascii="Cambria Math" w:eastAsia="Cambria" w:hAnsi="Cambria Math"/>
                  </w:rPr>
                  <m:t>h</m:t>
                </m:r>
              </m:e>
              <m:sub>
                <m:r>
                  <w:rPr>
                    <w:rFonts w:ascii="Cambria Math" w:eastAsia="Cambria"/>
                  </w:rPr>
                  <m:t>s</m:t>
                </m:r>
              </m:sub>
            </m:sSub>
          </m:den>
        </m:f>
      </m:oMath>
      <w:r w:rsidR="00BC3A0E" w:rsidRPr="00DE565A">
        <w:tab/>
        <w:t>(11.1)</w:t>
      </w:r>
    </w:p>
    <w:p w14:paraId="76516126" w14:textId="09A00CC8" w:rsidR="00BC3A0E" w:rsidRPr="00DE565A" w:rsidRDefault="00675EBA" w:rsidP="00BC3A0E">
      <w:r w:rsidRPr="00DE565A">
        <w:t>where</w:t>
      </w:r>
    </w:p>
    <w:tbl>
      <w:tblPr>
        <w:tblW w:w="0" w:type="auto"/>
        <w:tblInd w:w="284" w:type="dxa"/>
        <w:tblLook w:val="04A0" w:firstRow="1" w:lastRow="0" w:firstColumn="1" w:lastColumn="0" w:noHBand="0" w:noVBand="1"/>
      </w:tblPr>
      <w:tblGrid>
        <w:gridCol w:w="1337"/>
        <w:gridCol w:w="7938"/>
      </w:tblGrid>
      <w:tr w:rsidR="00BC3A0E" w:rsidRPr="00DE565A" w14:paraId="603C5E85" w14:textId="77777777" w:rsidTr="007D7E6D">
        <w:tc>
          <w:tcPr>
            <w:tcW w:w="1337" w:type="dxa"/>
          </w:tcPr>
          <w:p w14:paraId="2B08D6E2" w14:textId="18A3D868" w:rsidR="00BC3A0E" w:rsidRPr="00DE565A" w:rsidRDefault="00880775" w:rsidP="002061E5">
            <w:pPr>
              <w:spacing w:after="60"/>
              <w:rPr>
                <w:rFonts w:eastAsia="Times New Roman" w:cs="Cambria"/>
                <w:szCs w:val="20"/>
                <w:lang w:eastAsia="fr-FR"/>
              </w:rPr>
            </w:pPr>
            <w:r w:rsidRPr="00DE565A">
              <w:rPr>
                <w:i/>
              </w:rPr>
              <w:t>ω</w:t>
            </w:r>
            <w:r w:rsidRPr="00DE565A">
              <w:rPr>
                <w:vertAlign w:val="subscript"/>
              </w:rPr>
              <w:t>rm</w:t>
            </w:r>
          </w:p>
        </w:tc>
        <w:tc>
          <w:tcPr>
            <w:tcW w:w="7938" w:type="dxa"/>
          </w:tcPr>
          <w:p w14:paraId="0D285B1F" w14:textId="7B06E94F" w:rsidR="00BC3A0E" w:rsidRPr="00DE565A" w:rsidRDefault="00880775" w:rsidP="002061E5">
            <w:pPr>
              <w:spacing w:after="60"/>
              <w:rPr>
                <w:rFonts w:eastAsia="Times New Roman" w:cs="Cambria"/>
                <w:szCs w:val="20"/>
                <w:lang w:eastAsia="fr-FR"/>
              </w:rPr>
            </w:pPr>
            <w:r w:rsidRPr="00DE565A">
              <w:t>is the material randomness factor of the steel of dissipative zones (see 11.2.2);</w:t>
            </w:r>
          </w:p>
        </w:tc>
      </w:tr>
      <w:tr w:rsidR="00BC3A0E" w:rsidRPr="00DE565A" w14:paraId="2F83615A" w14:textId="77777777" w:rsidTr="007D7E6D">
        <w:tc>
          <w:tcPr>
            <w:tcW w:w="1337" w:type="dxa"/>
          </w:tcPr>
          <w:p w14:paraId="0702FF3E" w14:textId="305B3F6F" w:rsidR="00BC3A0E" w:rsidRPr="00DE565A" w:rsidRDefault="00880775" w:rsidP="002061E5">
            <w:pPr>
              <w:spacing w:after="60"/>
              <w:rPr>
                <w:rFonts w:ascii="Symbol" w:hAnsi="Symbol"/>
                <w:i/>
                <w:color w:val="000000" w:themeColor="text1"/>
              </w:rPr>
            </w:pPr>
            <w:r w:rsidRPr="00DE565A">
              <w:rPr>
                <w:i/>
              </w:rPr>
              <w:t>Ω</w:t>
            </w:r>
            <w:r w:rsidRPr="00DE565A">
              <w:rPr>
                <w:iCs/>
                <w:vertAlign w:val="subscript"/>
              </w:rPr>
              <w:t>d</w:t>
            </w:r>
          </w:p>
        </w:tc>
        <w:tc>
          <w:tcPr>
            <w:tcW w:w="7938" w:type="dxa"/>
          </w:tcPr>
          <w:p w14:paraId="1906A8B8" w14:textId="064890B2" w:rsidR="00BC3A0E" w:rsidRPr="00DE565A" w:rsidRDefault="00880775" w:rsidP="002061E5">
            <w:pPr>
              <w:rPr>
                <w:color w:val="000000" w:themeColor="text1"/>
              </w:rPr>
            </w:pPr>
            <w:r w:rsidRPr="00DE565A">
              <w:t>is the design overstrength ratio, as specified in 11.8.5(2) and (3) and in 11.9 to 11.15;</w:t>
            </w:r>
          </w:p>
        </w:tc>
      </w:tr>
      <w:tr w:rsidR="00BC3A0E" w:rsidRPr="00870D59" w14:paraId="043B66B5" w14:textId="77777777" w:rsidTr="007D7E6D">
        <w:tc>
          <w:tcPr>
            <w:tcW w:w="1337" w:type="dxa"/>
          </w:tcPr>
          <w:p w14:paraId="5E3A909C" w14:textId="0B36A933" w:rsidR="00BC3A0E" w:rsidRPr="00D1484A" w:rsidRDefault="00880775" w:rsidP="002061E5">
            <w:pPr>
              <w:spacing w:after="60"/>
              <w:rPr>
                <w:i/>
                <w:iCs/>
              </w:rPr>
            </w:pPr>
            <w:r w:rsidRPr="008B7645">
              <w:rPr>
                <w:i/>
              </w:rPr>
              <w:t>q</w:t>
            </w:r>
            <w:r w:rsidRPr="008B7645">
              <w:rPr>
                <w:i/>
                <w:vertAlign w:val="subscript"/>
              </w:rPr>
              <w:t>R</w:t>
            </w:r>
          </w:p>
        </w:tc>
        <w:tc>
          <w:tcPr>
            <w:tcW w:w="7938" w:type="dxa"/>
          </w:tcPr>
          <w:p w14:paraId="07CAA57D" w14:textId="6726EB6F" w:rsidR="00BC3A0E" w:rsidRPr="007E6F67" w:rsidRDefault="00880775" w:rsidP="002061E5">
            <w:r w:rsidRPr="008B7645">
              <w:t>is given in Table 11.2.</w:t>
            </w:r>
          </w:p>
        </w:tc>
      </w:tr>
    </w:tbl>
    <w:p w14:paraId="4D914A7C" w14:textId="77777777" w:rsidR="006B51BF" w:rsidRPr="008D50FF" w:rsidRDefault="006B51BF" w:rsidP="006B51BF">
      <w:pPr>
        <w:pStyle w:val="Heading2"/>
      </w:pPr>
      <w:bookmarkStart w:id="9371" w:name="_Toc18314104"/>
      <w:bookmarkStart w:id="9372" w:name="_Toc50150419"/>
      <w:bookmarkStart w:id="9373" w:name="_Toc70886851"/>
      <w:bookmarkStart w:id="9374" w:name="_Toc108342408"/>
      <w:bookmarkStart w:id="9375" w:name="_Toc134197940"/>
      <w:r w:rsidRPr="008D50FF">
        <w:lastRenderedPageBreak/>
        <w:t>Verification to Limit States</w:t>
      </w:r>
      <w:bookmarkEnd w:id="9371"/>
      <w:bookmarkEnd w:id="9372"/>
      <w:bookmarkEnd w:id="9373"/>
      <w:bookmarkEnd w:id="9374"/>
      <w:bookmarkEnd w:id="9375"/>
    </w:p>
    <w:p w14:paraId="59E343D9" w14:textId="77777777" w:rsidR="006B51BF" w:rsidRPr="008D50FF" w:rsidRDefault="006B51BF" w:rsidP="006B51BF">
      <w:pPr>
        <w:pStyle w:val="Heading3"/>
      </w:pPr>
      <w:bookmarkStart w:id="9376" w:name="_Toc534109946"/>
      <w:bookmarkStart w:id="9377" w:name="_Toc18314105"/>
      <w:bookmarkStart w:id="9378" w:name="_Toc50150420"/>
      <w:bookmarkStart w:id="9379" w:name="_Toc70886852"/>
      <w:bookmarkStart w:id="9380" w:name="_Toc108342409"/>
      <w:bookmarkStart w:id="9381" w:name="_Toc134197941"/>
      <w:r w:rsidRPr="008D50FF">
        <w:t>General</w:t>
      </w:r>
      <w:bookmarkEnd w:id="9376"/>
      <w:bookmarkEnd w:id="9377"/>
      <w:bookmarkEnd w:id="9378"/>
      <w:bookmarkEnd w:id="9379"/>
      <w:bookmarkEnd w:id="9380"/>
      <w:bookmarkEnd w:id="9381"/>
    </w:p>
    <w:p w14:paraId="7EAEBCA3" w14:textId="21F0844F" w:rsidR="006B51BF" w:rsidRPr="008D50FF" w:rsidRDefault="006B51BF" w:rsidP="0080187E">
      <w:pPr>
        <w:pStyle w:val="Clause"/>
        <w:numPr>
          <w:ilvl w:val="0"/>
          <w:numId w:val="365"/>
        </w:numPr>
      </w:pPr>
      <w:r w:rsidRPr="00132C1E">
        <w:t xml:space="preserve">The verification of structural members to limit states should comply </w:t>
      </w:r>
      <w:r w:rsidRPr="008D50FF">
        <w:t>with 6.1, 6.2 and 6.3.</w:t>
      </w:r>
    </w:p>
    <w:p w14:paraId="1087AD22" w14:textId="77777777" w:rsidR="006B51BF" w:rsidRPr="00B71107" w:rsidRDefault="006B51BF" w:rsidP="006B51BF">
      <w:pPr>
        <w:pStyle w:val="Heading3"/>
      </w:pPr>
      <w:bookmarkStart w:id="9382" w:name="_Toc534109948"/>
      <w:bookmarkStart w:id="9383" w:name="_Toc18314106"/>
      <w:bookmarkStart w:id="9384" w:name="_Toc50150421"/>
      <w:bookmarkStart w:id="9385" w:name="_Toc70886853"/>
      <w:bookmarkStart w:id="9386" w:name="_Toc108342410"/>
      <w:bookmarkStart w:id="9387" w:name="_Toc134197942"/>
      <w:bookmarkStart w:id="9388" w:name="_Hlk90708216"/>
      <w:r w:rsidRPr="00B71107">
        <w:t>Verification at Significant Damage limit state</w:t>
      </w:r>
      <w:bookmarkEnd w:id="9382"/>
      <w:bookmarkEnd w:id="9383"/>
      <w:bookmarkEnd w:id="9384"/>
      <w:bookmarkEnd w:id="9385"/>
      <w:r w:rsidRPr="00B71107">
        <w:t xml:space="preserve"> in a force-based approach</w:t>
      </w:r>
      <w:bookmarkEnd w:id="9386"/>
      <w:bookmarkEnd w:id="9387"/>
    </w:p>
    <w:bookmarkEnd w:id="9388"/>
    <w:p w14:paraId="4009A4D4" w14:textId="2925B505" w:rsidR="006B51BF" w:rsidRPr="009507BC" w:rsidRDefault="006B51BF" w:rsidP="0080187E">
      <w:pPr>
        <w:pStyle w:val="Clause"/>
        <w:numPr>
          <w:ilvl w:val="0"/>
          <w:numId w:val="366"/>
        </w:numPr>
      </w:pPr>
      <w:r w:rsidRPr="00132C1E">
        <w:t xml:space="preserve">For the force-based approach, the resistance of structural members and connections at Significant </w:t>
      </w:r>
      <w:r w:rsidRPr="009507BC">
        <w:t>Damage should be verified using EN 1993.</w:t>
      </w:r>
    </w:p>
    <w:p w14:paraId="4D052AB0" w14:textId="6AAABC02" w:rsidR="006B51BF" w:rsidRPr="00B71107" w:rsidRDefault="006B51BF" w:rsidP="006B51BF">
      <w:pPr>
        <w:pStyle w:val="Heading3"/>
      </w:pPr>
      <w:bookmarkStart w:id="9389" w:name="_Toc108342411"/>
      <w:bookmarkStart w:id="9390" w:name="_Toc134197943"/>
      <w:r w:rsidRPr="00B71107">
        <w:t>Verification at Significant Damage limit state in a displacement-based approach</w:t>
      </w:r>
      <w:bookmarkEnd w:id="9389"/>
      <w:bookmarkEnd w:id="9390"/>
    </w:p>
    <w:p w14:paraId="5A437B53" w14:textId="09EE3DEB" w:rsidR="006B51BF" w:rsidRPr="00132C1E" w:rsidRDefault="006B51BF" w:rsidP="0080187E">
      <w:pPr>
        <w:pStyle w:val="Clause"/>
        <w:numPr>
          <w:ilvl w:val="0"/>
          <w:numId w:val="367"/>
        </w:numPr>
      </w:pPr>
      <w:bookmarkStart w:id="9391" w:name="_Hlk90738625"/>
      <w:r w:rsidRPr="00132C1E">
        <w:t xml:space="preserve">Resistance of </w:t>
      </w:r>
      <w:r w:rsidRPr="00B71107">
        <w:t>ductile mechanisms should be verified to SD and NC in terms of local general</w:t>
      </w:r>
      <w:r w:rsidR="00E10A24">
        <w:t>ize</w:t>
      </w:r>
      <w:r w:rsidRPr="00B71107">
        <w:t xml:space="preserve">d deformations </w:t>
      </w:r>
      <w:r w:rsidRPr="00EF3C98">
        <w:rPr>
          <w:i/>
          <w:iCs/>
        </w:rPr>
        <w:t xml:space="preserve">δ </w:t>
      </w:r>
      <w:r w:rsidRPr="00B71107">
        <w:t xml:space="preserve">according to </w:t>
      </w:r>
      <w:r>
        <w:t>prEN</w:t>
      </w:r>
      <w:r w:rsidR="008D50FF">
        <w:t> </w:t>
      </w:r>
      <w:r>
        <w:t>1998-1-1:2022</w:t>
      </w:r>
      <w:r w:rsidRPr="008D50FF">
        <w:t>, 6.7.1(3) a) and 6.7.2.</w:t>
      </w:r>
    </w:p>
    <w:p w14:paraId="69DF13BD" w14:textId="5F98F029" w:rsidR="006B51BF" w:rsidRPr="008D50FF" w:rsidRDefault="006B51BF" w:rsidP="00724E4E">
      <w:pPr>
        <w:pStyle w:val="Clause"/>
      </w:pPr>
      <w:r w:rsidRPr="00132C1E">
        <w:t xml:space="preserve">For members </w:t>
      </w:r>
      <w:r w:rsidRPr="00B71107">
        <w:t xml:space="preserve">designed to this standard, deformation criteria should be taken as in </w:t>
      </w:r>
      <w:r>
        <w:t>prEN</w:t>
      </w:r>
      <w:r w:rsidR="008D50FF">
        <w:t> </w:t>
      </w:r>
      <w:r>
        <w:t>1998</w:t>
      </w:r>
      <w:r w:rsidR="007D7E6D">
        <w:noBreakHyphen/>
      </w:r>
      <w:r>
        <w:t>1</w:t>
      </w:r>
      <w:r w:rsidR="007D7E6D">
        <w:noBreakHyphen/>
      </w:r>
      <w:r>
        <w:t>1:</w:t>
      </w:r>
      <w:r w:rsidRPr="008D50FF">
        <w:t>2022, 7.3.</w:t>
      </w:r>
    </w:p>
    <w:p w14:paraId="2E052BC7" w14:textId="7216C653" w:rsidR="006B51BF" w:rsidRPr="008D50FF" w:rsidRDefault="006B51BF" w:rsidP="00724E4E">
      <w:pPr>
        <w:pStyle w:val="Clause"/>
      </w:pPr>
      <w:r w:rsidRPr="00402424">
        <w:rPr>
          <w:color w:val="auto"/>
        </w:rPr>
        <w:t xml:space="preserve">For members following the design rules in this standard, </w:t>
      </w:r>
      <w:r w:rsidR="00A5424C" w:rsidRPr="00402424">
        <w:rPr>
          <w:color w:val="auto"/>
        </w:rPr>
        <w:t>total logarithmic standard deviation of the resistance model</w:t>
      </w:r>
      <w:r w:rsidRPr="00402424">
        <w:rPr>
          <w:color w:val="auto"/>
        </w:rPr>
        <w:t xml:space="preserve"> required to calculate the partial factors for the verification to SD</w:t>
      </w:r>
      <w:r w:rsidR="00402424" w:rsidRPr="00402424">
        <w:rPr>
          <w:color w:val="auto"/>
        </w:rPr>
        <w:t xml:space="preserve"> and NC</w:t>
      </w:r>
      <w:r w:rsidRPr="00402424">
        <w:rPr>
          <w:color w:val="auto"/>
        </w:rPr>
        <w:t xml:space="preserve"> (see </w:t>
      </w:r>
      <w:r w:rsidRPr="008D50FF">
        <w:t>prEN</w:t>
      </w:r>
      <w:r w:rsidR="008D50FF">
        <w:t> </w:t>
      </w:r>
      <w:r w:rsidRPr="008D50FF">
        <w:t>1998-1-1:2022, 6.7.2</w:t>
      </w:r>
      <w:r w:rsidR="00402424">
        <w:t xml:space="preserve"> and 6.7.3</w:t>
      </w:r>
      <w:r w:rsidRPr="008D50FF">
        <w:t xml:space="preserve">) according to </w:t>
      </w:r>
      <w:r w:rsidR="008D50FF" w:rsidRPr="008D50FF">
        <w:t>6.2.3(3)</w:t>
      </w:r>
      <w:r w:rsidRPr="008D50FF">
        <w:t xml:space="preserve"> should be taken as given in Table 11.4 and Table 11.5.</w:t>
      </w:r>
    </w:p>
    <w:bookmarkEnd w:id="9391"/>
    <w:p w14:paraId="176D3D46" w14:textId="77777777" w:rsidR="006B51BF" w:rsidRPr="00E05E29" w:rsidRDefault="006B51BF" w:rsidP="00F570D8">
      <w:pPr>
        <w:pStyle w:val="Notetext"/>
      </w:pPr>
      <w:r w:rsidRPr="00644C3D">
        <w:t>NOTE</w:t>
      </w:r>
      <w:r w:rsidRPr="00644C3D">
        <w:tab/>
      </w:r>
      <w:r w:rsidRPr="00E05E29">
        <w:t xml:space="preserve">For beams and columns, the partial factors are meant to divide the resistance in terms of chord rotation </w:t>
      </w:r>
      <m:oMath>
        <m:r>
          <w:rPr>
            <w:rFonts w:ascii="Cambria Math" w:hAnsi="Cambria Math"/>
          </w:rPr>
          <m:t>θ</m:t>
        </m:r>
      </m:oMath>
      <w:r w:rsidRPr="00E05E29">
        <w:t xml:space="preserve">, for bracings they are applied to axial deformation </w:t>
      </w:r>
      <m:oMath>
        <m:r>
          <w:rPr>
            <w:rFonts w:ascii="Cambria Math" w:hAnsi="Cambria Math"/>
          </w:rPr>
          <m:t>δ</m:t>
        </m:r>
      </m:oMath>
      <w:r w:rsidRPr="00E05E29">
        <w:t xml:space="preserve"> and for panel zones they apply to shear distortion </w:t>
      </w:r>
      <m:oMath>
        <m:r>
          <w:rPr>
            <w:rFonts w:ascii="Cambria Math" w:hAnsi="Cambria Math"/>
          </w:rPr>
          <m:t>γ</m:t>
        </m:r>
      </m:oMath>
      <w:r w:rsidRPr="00E05E29">
        <w:t>.</w:t>
      </w:r>
    </w:p>
    <w:p w14:paraId="54D460F3" w14:textId="59AB1F82" w:rsidR="006B51BF" w:rsidRPr="00402424" w:rsidRDefault="006B51BF" w:rsidP="00F570D8">
      <w:pPr>
        <w:pStyle w:val="Tabletitle"/>
        <w:rPr>
          <w:sz w:val="20"/>
        </w:rPr>
      </w:pPr>
      <w:bookmarkStart w:id="9392" w:name="_Ref62660526"/>
      <w:r w:rsidRPr="00402424">
        <w:t xml:space="preserve">Table </w:t>
      </w:r>
      <w:r w:rsidR="00F570D8" w:rsidRPr="00402424">
        <w:t>11</w:t>
      </w:r>
      <w:r w:rsidRPr="00402424">
        <w:t>.</w:t>
      </w:r>
      <w:bookmarkEnd w:id="9392"/>
      <w:r w:rsidRPr="00402424">
        <w:t>4 — </w:t>
      </w:r>
      <w:r w:rsidR="00402424" w:rsidRPr="00402424">
        <w:t xml:space="preserve">Total logarithmic standard deviation </w:t>
      </w:r>
      <w:r w:rsidR="00402424" w:rsidRPr="00402424">
        <w:rPr>
          <w:rFonts w:ascii="Symbol" w:hAnsi="Symbol"/>
          <w:i/>
          <w:iCs/>
        </w:rPr>
        <w:t></w:t>
      </w:r>
      <w:r w:rsidR="00402424" w:rsidRPr="00402424">
        <w:rPr>
          <w:vertAlign w:val="subscript"/>
        </w:rPr>
        <w:t>lnR</w:t>
      </w:r>
      <w:r w:rsidR="00402424" w:rsidRPr="00402424">
        <w:t xml:space="preserve"> </w:t>
      </w:r>
      <w:r w:rsidRPr="00402424">
        <w:t>for chord</w:t>
      </w:r>
      <w:r w:rsidR="00402424" w:rsidRPr="00402424">
        <w:t xml:space="preserve"> </w:t>
      </w:r>
      <w:r w:rsidRPr="00402424">
        <w:t>rotation</w:t>
      </w:r>
    </w:p>
    <w:tbl>
      <w:tblPr>
        <w:tblStyle w:val="TableGrid"/>
        <w:tblW w:w="7225" w:type="dxa"/>
        <w:jc w:val="center"/>
        <w:tblLook w:val="04A0" w:firstRow="1" w:lastRow="0" w:firstColumn="1" w:lastColumn="0" w:noHBand="0" w:noVBand="1"/>
      </w:tblPr>
      <w:tblGrid>
        <w:gridCol w:w="3539"/>
        <w:gridCol w:w="2977"/>
        <w:gridCol w:w="709"/>
      </w:tblGrid>
      <w:tr w:rsidR="006B51BF" w:rsidRPr="00F570D8" w14:paraId="31F001A9" w14:textId="77777777" w:rsidTr="002061E5">
        <w:trPr>
          <w:jc w:val="center"/>
        </w:trPr>
        <w:tc>
          <w:tcPr>
            <w:tcW w:w="3539" w:type="dxa"/>
            <w:vAlign w:val="center"/>
          </w:tcPr>
          <w:p w14:paraId="72981ECB" w14:textId="77777777" w:rsidR="006B51BF" w:rsidRPr="006250EE" w:rsidRDefault="006B51BF" w:rsidP="007D7E6D">
            <w:pPr>
              <w:pStyle w:val="Tablebody"/>
              <w:spacing w:before="40"/>
              <w:rPr>
                <w:b/>
                <w:bCs/>
              </w:rPr>
            </w:pPr>
            <w:r w:rsidRPr="006250EE">
              <w:rPr>
                <w:b/>
                <w:bCs/>
              </w:rPr>
              <w:t>Member type</w:t>
            </w:r>
          </w:p>
        </w:tc>
        <w:tc>
          <w:tcPr>
            <w:tcW w:w="2977" w:type="dxa"/>
          </w:tcPr>
          <w:p w14:paraId="50E24DC0" w14:textId="77777777" w:rsidR="006B51BF" w:rsidRPr="006250EE" w:rsidRDefault="006B51BF" w:rsidP="007D7E6D">
            <w:pPr>
              <w:pStyle w:val="Tablebody"/>
              <w:spacing w:before="40"/>
              <w:rPr>
                <w:b/>
                <w:bCs/>
              </w:rPr>
            </w:pPr>
            <w:r w:rsidRPr="006250EE">
              <w:rPr>
                <w:rFonts w:asciiTheme="majorHAnsi" w:hAnsiTheme="majorHAnsi"/>
                <w:b/>
                <w:bCs/>
              </w:rPr>
              <w:t>Section</w:t>
            </w:r>
          </w:p>
        </w:tc>
        <w:tc>
          <w:tcPr>
            <w:tcW w:w="709" w:type="dxa"/>
          </w:tcPr>
          <w:p w14:paraId="14CDB045" w14:textId="4B1D80E9" w:rsidR="006B51BF" w:rsidRPr="006250EE" w:rsidRDefault="00402424" w:rsidP="007D7E6D">
            <w:pPr>
              <w:pStyle w:val="Tablebody"/>
              <w:spacing w:before="40"/>
              <w:jc w:val="center"/>
              <w:rPr>
                <w:b/>
                <w:bCs/>
              </w:rPr>
            </w:pPr>
            <w:r w:rsidRPr="006250EE">
              <w:rPr>
                <w:rFonts w:ascii="Symbol" w:hAnsi="Symbol"/>
                <w:b/>
                <w:bCs/>
                <w:i/>
                <w:iCs/>
              </w:rPr>
              <w:t></w:t>
            </w:r>
            <w:r w:rsidRPr="006250EE">
              <w:rPr>
                <w:b/>
                <w:bCs/>
                <w:vertAlign w:val="subscript"/>
              </w:rPr>
              <w:t>lnR</w:t>
            </w:r>
          </w:p>
        </w:tc>
      </w:tr>
      <w:tr w:rsidR="00402424" w:rsidRPr="00F570D8" w14:paraId="079DB33D" w14:textId="77777777" w:rsidTr="002061E5">
        <w:trPr>
          <w:jc w:val="center"/>
        </w:trPr>
        <w:tc>
          <w:tcPr>
            <w:tcW w:w="3539" w:type="dxa"/>
            <w:vMerge w:val="restart"/>
            <w:vAlign w:val="center"/>
          </w:tcPr>
          <w:p w14:paraId="5F7C8BE1" w14:textId="77777777" w:rsidR="00402424" w:rsidRPr="00F570D8" w:rsidRDefault="00402424" w:rsidP="007D7E6D">
            <w:pPr>
              <w:pStyle w:val="Tablebody"/>
              <w:spacing w:before="40"/>
            </w:pPr>
            <w:r w:rsidRPr="00F570D8">
              <w:rPr>
                <w:rFonts w:asciiTheme="majorHAnsi" w:hAnsiTheme="majorHAnsi"/>
              </w:rPr>
              <w:t>Steel beam</w:t>
            </w:r>
          </w:p>
        </w:tc>
        <w:tc>
          <w:tcPr>
            <w:tcW w:w="2977" w:type="dxa"/>
            <w:vAlign w:val="center"/>
          </w:tcPr>
          <w:p w14:paraId="480F2EA0" w14:textId="77777777" w:rsidR="00402424" w:rsidRPr="00F570D8" w:rsidRDefault="00402424" w:rsidP="007D7E6D">
            <w:pPr>
              <w:pStyle w:val="Tablebody"/>
              <w:spacing w:before="40"/>
            </w:pPr>
            <w:r w:rsidRPr="00F570D8">
              <w:t>Wide flange</w:t>
            </w:r>
          </w:p>
        </w:tc>
        <w:tc>
          <w:tcPr>
            <w:tcW w:w="709" w:type="dxa"/>
          </w:tcPr>
          <w:p w14:paraId="097C7B95" w14:textId="6CD6CE5C" w:rsidR="00402424" w:rsidRPr="00F570D8" w:rsidRDefault="00402424" w:rsidP="007D7E6D">
            <w:pPr>
              <w:pStyle w:val="Tablebody"/>
              <w:spacing w:before="40"/>
              <w:jc w:val="center"/>
              <w:rPr>
                <w:rFonts w:asciiTheme="majorHAnsi" w:hAnsiTheme="majorHAnsi"/>
              </w:rPr>
            </w:pPr>
            <w:r w:rsidRPr="00302210">
              <w:t>0,39</w:t>
            </w:r>
          </w:p>
        </w:tc>
      </w:tr>
      <w:tr w:rsidR="00402424" w:rsidRPr="00F570D8" w14:paraId="4B28E4A3" w14:textId="77777777" w:rsidTr="002061E5">
        <w:trPr>
          <w:jc w:val="center"/>
        </w:trPr>
        <w:tc>
          <w:tcPr>
            <w:tcW w:w="3539" w:type="dxa"/>
            <w:vMerge/>
            <w:vAlign w:val="center"/>
          </w:tcPr>
          <w:p w14:paraId="47F1CFCD" w14:textId="77777777" w:rsidR="00402424" w:rsidRPr="00F570D8" w:rsidRDefault="00402424" w:rsidP="007D7E6D">
            <w:pPr>
              <w:pStyle w:val="Tablebody"/>
              <w:spacing w:before="40"/>
              <w:rPr>
                <w:rFonts w:asciiTheme="majorHAnsi" w:hAnsiTheme="majorHAnsi"/>
              </w:rPr>
            </w:pPr>
          </w:p>
        </w:tc>
        <w:tc>
          <w:tcPr>
            <w:tcW w:w="2977" w:type="dxa"/>
            <w:vAlign w:val="center"/>
          </w:tcPr>
          <w:p w14:paraId="22BDBE7F" w14:textId="77777777" w:rsidR="00402424" w:rsidRPr="00F570D8" w:rsidRDefault="00402424" w:rsidP="007D7E6D">
            <w:pPr>
              <w:pStyle w:val="Tablebody"/>
              <w:spacing w:before="40"/>
            </w:pPr>
            <w:r w:rsidRPr="00F570D8">
              <w:t>RBS</w:t>
            </w:r>
          </w:p>
        </w:tc>
        <w:tc>
          <w:tcPr>
            <w:tcW w:w="709" w:type="dxa"/>
          </w:tcPr>
          <w:p w14:paraId="6441CB80" w14:textId="25BC4531" w:rsidR="00402424" w:rsidRPr="00F570D8" w:rsidRDefault="00402424" w:rsidP="007D7E6D">
            <w:pPr>
              <w:pStyle w:val="Tablebody"/>
              <w:spacing w:before="40"/>
              <w:jc w:val="center"/>
              <w:rPr>
                <w:rFonts w:asciiTheme="majorHAnsi" w:hAnsiTheme="majorHAnsi"/>
              </w:rPr>
            </w:pPr>
            <w:r w:rsidRPr="00302210">
              <w:t>0,40</w:t>
            </w:r>
          </w:p>
        </w:tc>
      </w:tr>
      <w:tr w:rsidR="00402424" w:rsidRPr="00F570D8" w14:paraId="42DBFF01" w14:textId="77777777" w:rsidTr="002061E5">
        <w:trPr>
          <w:jc w:val="center"/>
        </w:trPr>
        <w:tc>
          <w:tcPr>
            <w:tcW w:w="3539" w:type="dxa"/>
            <w:vMerge w:val="restart"/>
            <w:vAlign w:val="center"/>
          </w:tcPr>
          <w:p w14:paraId="7AD813B5" w14:textId="77777777" w:rsidR="00402424" w:rsidRPr="00F570D8" w:rsidRDefault="00402424" w:rsidP="007D7E6D">
            <w:pPr>
              <w:pStyle w:val="Tablebody"/>
              <w:spacing w:before="40"/>
            </w:pPr>
            <w:r w:rsidRPr="00F570D8">
              <w:rPr>
                <w:rFonts w:asciiTheme="majorHAnsi" w:hAnsiTheme="majorHAnsi"/>
              </w:rPr>
              <w:t>Steel column</w:t>
            </w:r>
          </w:p>
        </w:tc>
        <w:tc>
          <w:tcPr>
            <w:tcW w:w="2977" w:type="dxa"/>
            <w:vAlign w:val="center"/>
          </w:tcPr>
          <w:p w14:paraId="4E79066E" w14:textId="77777777" w:rsidR="00402424" w:rsidRPr="00F570D8" w:rsidRDefault="00402424" w:rsidP="007D7E6D">
            <w:pPr>
              <w:pStyle w:val="Tablebody"/>
              <w:spacing w:before="40"/>
            </w:pPr>
            <w:r w:rsidRPr="00F570D8">
              <w:rPr>
                <w:rFonts w:asciiTheme="majorHAnsi" w:hAnsiTheme="majorHAnsi"/>
              </w:rPr>
              <w:t>Wide flange</w:t>
            </w:r>
          </w:p>
        </w:tc>
        <w:tc>
          <w:tcPr>
            <w:tcW w:w="709" w:type="dxa"/>
          </w:tcPr>
          <w:p w14:paraId="13F89796" w14:textId="076B2E75" w:rsidR="00402424" w:rsidRPr="00F570D8" w:rsidRDefault="00402424" w:rsidP="007D7E6D">
            <w:pPr>
              <w:pStyle w:val="Tablebody"/>
              <w:spacing w:before="40"/>
              <w:jc w:val="center"/>
              <w:rPr>
                <w:rFonts w:asciiTheme="majorHAnsi" w:hAnsiTheme="majorHAnsi"/>
              </w:rPr>
            </w:pPr>
            <w:r w:rsidRPr="00302210">
              <w:t>0,39</w:t>
            </w:r>
          </w:p>
        </w:tc>
      </w:tr>
      <w:tr w:rsidR="00402424" w:rsidRPr="00F570D8" w14:paraId="27038518" w14:textId="77777777" w:rsidTr="002061E5">
        <w:trPr>
          <w:jc w:val="center"/>
        </w:trPr>
        <w:tc>
          <w:tcPr>
            <w:tcW w:w="3539" w:type="dxa"/>
            <w:vMerge/>
            <w:vAlign w:val="center"/>
          </w:tcPr>
          <w:p w14:paraId="0CD294F8" w14:textId="77777777" w:rsidR="00402424" w:rsidRPr="00F570D8" w:rsidRDefault="00402424" w:rsidP="007D7E6D">
            <w:pPr>
              <w:pStyle w:val="Tablebody"/>
              <w:spacing w:before="40"/>
              <w:rPr>
                <w:rFonts w:asciiTheme="majorHAnsi" w:hAnsiTheme="majorHAnsi"/>
              </w:rPr>
            </w:pPr>
          </w:p>
        </w:tc>
        <w:tc>
          <w:tcPr>
            <w:tcW w:w="2977" w:type="dxa"/>
            <w:vAlign w:val="center"/>
          </w:tcPr>
          <w:p w14:paraId="05A9AC23" w14:textId="77777777" w:rsidR="00402424" w:rsidRPr="00F570D8" w:rsidRDefault="00402424" w:rsidP="007D7E6D">
            <w:pPr>
              <w:pStyle w:val="Tablebody"/>
              <w:spacing w:before="40"/>
              <w:rPr>
                <w:rFonts w:asciiTheme="majorHAnsi" w:hAnsiTheme="majorHAnsi"/>
              </w:rPr>
            </w:pPr>
            <w:r w:rsidRPr="00F570D8">
              <w:rPr>
                <w:rFonts w:asciiTheme="majorHAnsi" w:hAnsiTheme="majorHAnsi"/>
              </w:rPr>
              <w:t>Hollow</w:t>
            </w:r>
          </w:p>
        </w:tc>
        <w:tc>
          <w:tcPr>
            <w:tcW w:w="709" w:type="dxa"/>
          </w:tcPr>
          <w:p w14:paraId="593D7D7A" w14:textId="392F4ECB" w:rsidR="00402424" w:rsidRPr="00F570D8" w:rsidRDefault="00402424" w:rsidP="007D7E6D">
            <w:pPr>
              <w:pStyle w:val="Tablebody"/>
              <w:spacing w:before="40"/>
              <w:jc w:val="center"/>
              <w:rPr>
                <w:rFonts w:asciiTheme="majorHAnsi" w:hAnsiTheme="majorHAnsi"/>
              </w:rPr>
            </w:pPr>
            <w:r w:rsidRPr="00302210">
              <w:t>0,37</w:t>
            </w:r>
          </w:p>
        </w:tc>
      </w:tr>
      <w:tr w:rsidR="00402424" w:rsidRPr="00F570D8" w14:paraId="1FF24549" w14:textId="77777777" w:rsidTr="002061E5">
        <w:trPr>
          <w:jc w:val="center"/>
        </w:trPr>
        <w:tc>
          <w:tcPr>
            <w:tcW w:w="3539" w:type="dxa"/>
            <w:vAlign w:val="center"/>
          </w:tcPr>
          <w:p w14:paraId="4D15A00B" w14:textId="77777777" w:rsidR="00402424" w:rsidRPr="00F570D8" w:rsidRDefault="00402424" w:rsidP="007D7E6D">
            <w:pPr>
              <w:pStyle w:val="Tablebody"/>
              <w:spacing w:before="40"/>
              <w:rPr>
                <w:rFonts w:asciiTheme="majorHAnsi" w:hAnsiTheme="majorHAnsi"/>
              </w:rPr>
            </w:pPr>
            <w:r w:rsidRPr="00F570D8">
              <w:rPr>
                <w:rFonts w:asciiTheme="majorHAnsi" w:hAnsiTheme="majorHAnsi"/>
              </w:rPr>
              <w:t>Composite beam</w:t>
            </w:r>
          </w:p>
        </w:tc>
        <w:tc>
          <w:tcPr>
            <w:tcW w:w="2977" w:type="dxa"/>
            <w:vAlign w:val="center"/>
          </w:tcPr>
          <w:p w14:paraId="51A993EC" w14:textId="77777777" w:rsidR="00402424" w:rsidRPr="00F570D8" w:rsidRDefault="00402424" w:rsidP="007D7E6D">
            <w:pPr>
              <w:pStyle w:val="Tablebody"/>
              <w:spacing w:before="40"/>
              <w:rPr>
                <w:rFonts w:asciiTheme="majorHAnsi" w:hAnsiTheme="majorHAnsi"/>
              </w:rPr>
            </w:pPr>
            <w:r w:rsidRPr="00F570D8">
              <w:rPr>
                <w:rFonts w:asciiTheme="majorHAnsi" w:hAnsiTheme="majorHAnsi"/>
              </w:rPr>
              <w:t>-</w:t>
            </w:r>
          </w:p>
        </w:tc>
        <w:tc>
          <w:tcPr>
            <w:tcW w:w="709" w:type="dxa"/>
          </w:tcPr>
          <w:p w14:paraId="719C9AF9" w14:textId="6B9FB1FB" w:rsidR="00402424" w:rsidRPr="00F570D8" w:rsidRDefault="00402424" w:rsidP="007D7E6D">
            <w:pPr>
              <w:pStyle w:val="Tablebody"/>
              <w:spacing w:before="40"/>
              <w:jc w:val="center"/>
              <w:rPr>
                <w:rFonts w:asciiTheme="majorHAnsi" w:hAnsiTheme="majorHAnsi"/>
              </w:rPr>
            </w:pPr>
            <w:r w:rsidRPr="00302210">
              <w:t>0,39</w:t>
            </w:r>
          </w:p>
        </w:tc>
      </w:tr>
      <w:tr w:rsidR="00402424" w:rsidRPr="00F570D8" w14:paraId="1E24CBFE" w14:textId="77777777" w:rsidTr="002061E5">
        <w:trPr>
          <w:jc w:val="center"/>
        </w:trPr>
        <w:tc>
          <w:tcPr>
            <w:tcW w:w="3539" w:type="dxa"/>
            <w:vMerge w:val="restart"/>
            <w:vAlign w:val="center"/>
          </w:tcPr>
          <w:p w14:paraId="2C58BAB1" w14:textId="77777777" w:rsidR="00402424" w:rsidRPr="00F570D8" w:rsidRDefault="00402424" w:rsidP="007D7E6D">
            <w:pPr>
              <w:pStyle w:val="Tablebody"/>
              <w:spacing w:before="40"/>
            </w:pPr>
            <w:r w:rsidRPr="00F570D8">
              <w:rPr>
                <w:rFonts w:asciiTheme="majorHAnsi" w:hAnsiTheme="majorHAnsi"/>
              </w:rPr>
              <w:t>Composite column</w:t>
            </w:r>
          </w:p>
        </w:tc>
        <w:tc>
          <w:tcPr>
            <w:tcW w:w="2977" w:type="dxa"/>
            <w:vAlign w:val="center"/>
          </w:tcPr>
          <w:p w14:paraId="62FEE27A" w14:textId="77777777" w:rsidR="00402424" w:rsidRPr="00F570D8" w:rsidRDefault="00402424" w:rsidP="007D7E6D">
            <w:pPr>
              <w:pStyle w:val="Tablebody"/>
              <w:spacing w:before="40"/>
            </w:pPr>
            <w:r w:rsidRPr="00F570D8">
              <w:t>Filled rectangular (interior)</w:t>
            </w:r>
          </w:p>
        </w:tc>
        <w:tc>
          <w:tcPr>
            <w:tcW w:w="709" w:type="dxa"/>
          </w:tcPr>
          <w:p w14:paraId="67435BC7" w14:textId="712FB3EC" w:rsidR="00402424" w:rsidRPr="00F570D8" w:rsidRDefault="00402424" w:rsidP="007D7E6D">
            <w:pPr>
              <w:pStyle w:val="Tablebody"/>
              <w:spacing w:before="40"/>
              <w:jc w:val="center"/>
              <w:rPr>
                <w:rFonts w:asciiTheme="majorHAnsi" w:hAnsiTheme="majorHAnsi"/>
              </w:rPr>
            </w:pPr>
            <w:r w:rsidRPr="00302210">
              <w:t>0,31</w:t>
            </w:r>
          </w:p>
        </w:tc>
      </w:tr>
      <w:tr w:rsidR="00402424" w:rsidRPr="00F570D8" w14:paraId="7C390D7A" w14:textId="77777777" w:rsidTr="002061E5">
        <w:trPr>
          <w:jc w:val="center"/>
        </w:trPr>
        <w:tc>
          <w:tcPr>
            <w:tcW w:w="3539" w:type="dxa"/>
            <w:vMerge/>
            <w:vAlign w:val="center"/>
          </w:tcPr>
          <w:p w14:paraId="04B29BEE" w14:textId="77777777" w:rsidR="00402424" w:rsidRPr="00F570D8" w:rsidRDefault="00402424" w:rsidP="007D7E6D">
            <w:pPr>
              <w:pStyle w:val="Tablebody"/>
              <w:spacing w:before="40"/>
              <w:rPr>
                <w:rFonts w:asciiTheme="majorHAnsi" w:hAnsiTheme="majorHAnsi"/>
              </w:rPr>
            </w:pPr>
          </w:p>
        </w:tc>
        <w:tc>
          <w:tcPr>
            <w:tcW w:w="2977" w:type="dxa"/>
            <w:vAlign w:val="center"/>
          </w:tcPr>
          <w:p w14:paraId="5314A5F8" w14:textId="77777777" w:rsidR="00402424" w:rsidRPr="00F570D8" w:rsidRDefault="00402424" w:rsidP="007D7E6D">
            <w:pPr>
              <w:pStyle w:val="Tablebody"/>
              <w:spacing w:before="40"/>
            </w:pPr>
            <w:r w:rsidRPr="00F570D8">
              <w:t>Filled rectangular (exterior)</w:t>
            </w:r>
          </w:p>
        </w:tc>
        <w:tc>
          <w:tcPr>
            <w:tcW w:w="709" w:type="dxa"/>
          </w:tcPr>
          <w:p w14:paraId="5A2FF0E3" w14:textId="4CD4B561" w:rsidR="00402424" w:rsidRPr="00F570D8" w:rsidRDefault="00402424" w:rsidP="007D7E6D">
            <w:pPr>
              <w:pStyle w:val="Tablebody"/>
              <w:spacing w:before="40"/>
              <w:jc w:val="center"/>
              <w:rPr>
                <w:rFonts w:asciiTheme="majorHAnsi" w:hAnsiTheme="majorHAnsi"/>
              </w:rPr>
            </w:pPr>
            <w:r w:rsidRPr="00302210">
              <w:t>0,23</w:t>
            </w:r>
          </w:p>
        </w:tc>
      </w:tr>
      <w:tr w:rsidR="00402424" w:rsidRPr="00F570D8" w14:paraId="65C7875B" w14:textId="77777777" w:rsidTr="002061E5">
        <w:trPr>
          <w:jc w:val="center"/>
        </w:trPr>
        <w:tc>
          <w:tcPr>
            <w:tcW w:w="3539" w:type="dxa"/>
            <w:vMerge/>
            <w:vAlign w:val="center"/>
          </w:tcPr>
          <w:p w14:paraId="33C6F96E" w14:textId="77777777" w:rsidR="00402424" w:rsidRPr="00F570D8" w:rsidRDefault="00402424" w:rsidP="007D7E6D">
            <w:pPr>
              <w:pStyle w:val="Tablebody"/>
              <w:spacing w:before="40"/>
              <w:rPr>
                <w:rFonts w:asciiTheme="majorHAnsi" w:hAnsiTheme="majorHAnsi"/>
              </w:rPr>
            </w:pPr>
          </w:p>
        </w:tc>
        <w:tc>
          <w:tcPr>
            <w:tcW w:w="2977" w:type="dxa"/>
            <w:vAlign w:val="center"/>
          </w:tcPr>
          <w:p w14:paraId="735BD164" w14:textId="77777777" w:rsidR="00402424" w:rsidRPr="00F570D8" w:rsidRDefault="00402424" w:rsidP="007D7E6D">
            <w:pPr>
              <w:pStyle w:val="Tablebody"/>
              <w:spacing w:before="40"/>
            </w:pPr>
            <w:r w:rsidRPr="00F570D8">
              <w:t>Filled circular (interior)</w:t>
            </w:r>
          </w:p>
        </w:tc>
        <w:tc>
          <w:tcPr>
            <w:tcW w:w="709" w:type="dxa"/>
          </w:tcPr>
          <w:p w14:paraId="247CE0C4" w14:textId="6C6C0408" w:rsidR="00402424" w:rsidRPr="00F570D8" w:rsidRDefault="00402424" w:rsidP="007D7E6D">
            <w:pPr>
              <w:pStyle w:val="Tablebody"/>
              <w:spacing w:before="40"/>
              <w:jc w:val="center"/>
              <w:rPr>
                <w:rFonts w:asciiTheme="majorHAnsi" w:hAnsiTheme="majorHAnsi"/>
              </w:rPr>
            </w:pPr>
            <w:r w:rsidRPr="00302210">
              <w:t>0,17</w:t>
            </w:r>
          </w:p>
        </w:tc>
      </w:tr>
      <w:tr w:rsidR="00402424" w:rsidRPr="00F570D8" w14:paraId="19752299" w14:textId="77777777" w:rsidTr="002061E5">
        <w:trPr>
          <w:jc w:val="center"/>
        </w:trPr>
        <w:tc>
          <w:tcPr>
            <w:tcW w:w="3539" w:type="dxa"/>
            <w:vMerge/>
            <w:vAlign w:val="center"/>
          </w:tcPr>
          <w:p w14:paraId="32A0AB31" w14:textId="77777777" w:rsidR="00402424" w:rsidRPr="00F570D8" w:rsidRDefault="00402424" w:rsidP="007D7E6D">
            <w:pPr>
              <w:pStyle w:val="Tablebody"/>
              <w:spacing w:before="40"/>
              <w:rPr>
                <w:rFonts w:asciiTheme="majorHAnsi" w:hAnsiTheme="majorHAnsi"/>
              </w:rPr>
            </w:pPr>
          </w:p>
        </w:tc>
        <w:tc>
          <w:tcPr>
            <w:tcW w:w="2977" w:type="dxa"/>
            <w:vAlign w:val="center"/>
          </w:tcPr>
          <w:p w14:paraId="58D43750" w14:textId="77777777" w:rsidR="00402424" w:rsidRPr="00F570D8" w:rsidRDefault="00402424" w:rsidP="007D7E6D">
            <w:pPr>
              <w:pStyle w:val="Tablebody"/>
              <w:spacing w:before="40"/>
            </w:pPr>
            <w:r w:rsidRPr="00F570D8">
              <w:t>Filled circular (exterior)</w:t>
            </w:r>
          </w:p>
        </w:tc>
        <w:tc>
          <w:tcPr>
            <w:tcW w:w="709" w:type="dxa"/>
          </w:tcPr>
          <w:p w14:paraId="605AE0F6" w14:textId="622AC169" w:rsidR="00402424" w:rsidRPr="00F570D8" w:rsidRDefault="00402424" w:rsidP="007D7E6D">
            <w:pPr>
              <w:pStyle w:val="Tablebody"/>
              <w:spacing w:before="40"/>
              <w:jc w:val="center"/>
              <w:rPr>
                <w:rFonts w:asciiTheme="majorHAnsi" w:hAnsiTheme="majorHAnsi"/>
              </w:rPr>
            </w:pPr>
            <w:r w:rsidRPr="00302210">
              <w:t>0,31</w:t>
            </w:r>
          </w:p>
        </w:tc>
      </w:tr>
      <w:tr w:rsidR="00402424" w:rsidRPr="00F570D8" w14:paraId="6DE2740D" w14:textId="77777777" w:rsidTr="002061E5">
        <w:trPr>
          <w:jc w:val="center"/>
        </w:trPr>
        <w:tc>
          <w:tcPr>
            <w:tcW w:w="3539" w:type="dxa"/>
            <w:vMerge/>
            <w:vAlign w:val="center"/>
          </w:tcPr>
          <w:p w14:paraId="3DBD0A45" w14:textId="77777777" w:rsidR="00402424" w:rsidRPr="00F570D8" w:rsidRDefault="00402424" w:rsidP="007D7E6D">
            <w:pPr>
              <w:pStyle w:val="Tablebody"/>
              <w:spacing w:before="40"/>
            </w:pPr>
          </w:p>
        </w:tc>
        <w:tc>
          <w:tcPr>
            <w:tcW w:w="2977" w:type="dxa"/>
            <w:vAlign w:val="center"/>
          </w:tcPr>
          <w:p w14:paraId="183FC5DF" w14:textId="77777777" w:rsidR="00402424" w:rsidRPr="00F570D8" w:rsidRDefault="00402424" w:rsidP="007D7E6D">
            <w:pPr>
              <w:pStyle w:val="Tablebody"/>
              <w:spacing w:before="40"/>
            </w:pPr>
            <w:r w:rsidRPr="00F570D8">
              <w:rPr>
                <w:rFonts w:asciiTheme="majorHAnsi" w:hAnsiTheme="majorHAnsi"/>
              </w:rPr>
              <w:t>Encased (exterior)</w:t>
            </w:r>
          </w:p>
        </w:tc>
        <w:tc>
          <w:tcPr>
            <w:tcW w:w="709" w:type="dxa"/>
          </w:tcPr>
          <w:p w14:paraId="6196B674" w14:textId="55B2DFDD" w:rsidR="00402424" w:rsidRPr="00F570D8" w:rsidRDefault="00402424" w:rsidP="007D7E6D">
            <w:pPr>
              <w:pStyle w:val="Tablebody"/>
              <w:spacing w:before="40"/>
              <w:jc w:val="center"/>
              <w:rPr>
                <w:rFonts w:asciiTheme="majorHAnsi" w:hAnsiTheme="majorHAnsi"/>
              </w:rPr>
            </w:pPr>
            <w:r w:rsidRPr="00302210">
              <w:t>0,40</w:t>
            </w:r>
          </w:p>
        </w:tc>
      </w:tr>
    </w:tbl>
    <w:p w14:paraId="238B16DA" w14:textId="43BEC069" w:rsidR="006B51BF" w:rsidRPr="00D1484A" w:rsidRDefault="006B51BF" w:rsidP="00F570D8">
      <w:pPr>
        <w:pStyle w:val="Tabletitle"/>
        <w:rPr>
          <w:sz w:val="20"/>
        </w:rPr>
      </w:pPr>
      <w:bookmarkStart w:id="9393" w:name="_Ref64455473"/>
      <w:r w:rsidRPr="00D1484A">
        <w:t xml:space="preserve">Table </w:t>
      </w:r>
      <w:r w:rsidR="00F570D8">
        <w:t>11</w:t>
      </w:r>
      <w:r w:rsidRPr="00442ADE">
        <w:t>.</w:t>
      </w:r>
      <w:bookmarkEnd w:id="9393"/>
      <w:r w:rsidRPr="00442ADE">
        <w:t>5 </w:t>
      </w:r>
      <w:r w:rsidRPr="00132C1E">
        <w:t>— </w:t>
      </w:r>
      <w:r w:rsidR="00402424" w:rsidRPr="00402424">
        <w:t xml:space="preserve">Total logarithmic standard deviation </w:t>
      </w:r>
      <w:r w:rsidR="00402424" w:rsidRPr="00402424">
        <w:rPr>
          <w:rFonts w:ascii="Symbol" w:hAnsi="Symbol"/>
          <w:i/>
          <w:iCs/>
        </w:rPr>
        <w:t></w:t>
      </w:r>
      <w:r w:rsidR="00402424" w:rsidRPr="00402424">
        <w:rPr>
          <w:vertAlign w:val="subscript"/>
        </w:rPr>
        <w:t>lnR</w:t>
      </w:r>
      <w:r w:rsidR="00402424" w:rsidRPr="00402424">
        <w:t xml:space="preserve"> </w:t>
      </w:r>
      <w:r w:rsidRPr="00132C1E">
        <w:t>for axial displacement</w:t>
      </w:r>
      <w:r w:rsidRPr="00D1484A">
        <w:t xml:space="preserve"> and panel zone distortion</w:t>
      </w:r>
    </w:p>
    <w:tbl>
      <w:tblPr>
        <w:tblStyle w:val="TableGrid"/>
        <w:tblW w:w="7514" w:type="dxa"/>
        <w:jc w:val="center"/>
        <w:tblLook w:val="04A0" w:firstRow="1" w:lastRow="0" w:firstColumn="1" w:lastColumn="0" w:noHBand="0" w:noVBand="1"/>
      </w:tblPr>
      <w:tblGrid>
        <w:gridCol w:w="3828"/>
        <w:gridCol w:w="2977"/>
        <w:gridCol w:w="709"/>
      </w:tblGrid>
      <w:tr w:rsidR="00402424" w:rsidRPr="00F570D8" w14:paraId="27332A39" w14:textId="77777777" w:rsidTr="00E832F3">
        <w:trPr>
          <w:jc w:val="center"/>
        </w:trPr>
        <w:tc>
          <w:tcPr>
            <w:tcW w:w="3828" w:type="dxa"/>
            <w:vAlign w:val="center"/>
          </w:tcPr>
          <w:p w14:paraId="29F8740D" w14:textId="77777777" w:rsidR="00402424" w:rsidRPr="006250EE" w:rsidRDefault="00402424" w:rsidP="007D7E6D">
            <w:pPr>
              <w:pStyle w:val="Tablebody"/>
              <w:spacing w:before="40"/>
              <w:rPr>
                <w:b/>
                <w:bCs/>
              </w:rPr>
            </w:pPr>
            <w:r w:rsidRPr="006250EE">
              <w:rPr>
                <w:b/>
                <w:bCs/>
              </w:rPr>
              <w:t>Member type</w:t>
            </w:r>
          </w:p>
        </w:tc>
        <w:tc>
          <w:tcPr>
            <w:tcW w:w="2977" w:type="dxa"/>
          </w:tcPr>
          <w:p w14:paraId="3B88DBCF" w14:textId="77777777" w:rsidR="00402424" w:rsidRPr="006250EE" w:rsidRDefault="00402424" w:rsidP="007D7E6D">
            <w:pPr>
              <w:pStyle w:val="Tablebody"/>
              <w:spacing w:before="40"/>
              <w:rPr>
                <w:b/>
                <w:bCs/>
              </w:rPr>
            </w:pPr>
          </w:p>
        </w:tc>
        <w:tc>
          <w:tcPr>
            <w:tcW w:w="709" w:type="dxa"/>
          </w:tcPr>
          <w:p w14:paraId="0C6559D0" w14:textId="2A36E623" w:rsidR="00402424" w:rsidRPr="006250EE" w:rsidRDefault="00402424" w:rsidP="007D7E6D">
            <w:pPr>
              <w:pStyle w:val="Tablebody"/>
              <w:spacing w:before="40"/>
              <w:jc w:val="center"/>
              <w:rPr>
                <w:b/>
                <w:bCs/>
              </w:rPr>
            </w:pPr>
            <w:r w:rsidRPr="006250EE">
              <w:rPr>
                <w:rFonts w:ascii="Symbol" w:hAnsi="Symbol"/>
                <w:b/>
                <w:bCs/>
                <w:i/>
                <w:iCs/>
              </w:rPr>
              <w:t></w:t>
            </w:r>
            <w:r w:rsidRPr="006250EE">
              <w:rPr>
                <w:b/>
                <w:bCs/>
                <w:vertAlign w:val="subscript"/>
              </w:rPr>
              <w:t>lnR</w:t>
            </w:r>
          </w:p>
        </w:tc>
      </w:tr>
      <w:tr w:rsidR="00402424" w:rsidRPr="00F570D8" w14:paraId="4D095B44" w14:textId="77777777" w:rsidTr="00E832F3">
        <w:trPr>
          <w:jc w:val="center"/>
        </w:trPr>
        <w:tc>
          <w:tcPr>
            <w:tcW w:w="3828" w:type="dxa"/>
            <w:vMerge w:val="restart"/>
            <w:vAlign w:val="center"/>
          </w:tcPr>
          <w:p w14:paraId="70E7A63E" w14:textId="77777777" w:rsidR="00402424" w:rsidRPr="00F570D8" w:rsidRDefault="00402424" w:rsidP="007D7E6D">
            <w:pPr>
              <w:pStyle w:val="Tablebody"/>
              <w:spacing w:before="40"/>
            </w:pPr>
            <w:r w:rsidRPr="00F570D8">
              <w:rPr>
                <w:rFonts w:asciiTheme="majorHAnsi" w:hAnsiTheme="majorHAnsi"/>
              </w:rPr>
              <w:t>Bracing</w:t>
            </w:r>
          </w:p>
        </w:tc>
        <w:tc>
          <w:tcPr>
            <w:tcW w:w="2977" w:type="dxa"/>
            <w:vAlign w:val="center"/>
          </w:tcPr>
          <w:p w14:paraId="01E19B0D" w14:textId="77777777" w:rsidR="00402424" w:rsidRPr="00F570D8" w:rsidRDefault="00402424" w:rsidP="007D7E6D">
            <w:pPr>
              <w:pStyle w:val="Tablebody"/>
              <w:spacing w:before="40"/>
            </w:pPr>
            <w:r w:rsidRPr="00F570D8">
              <w:rPr>
                <w:rFonts w:asciiTheme="majorHAnsi" w:hAnsiTheme="majorHAnsi"/>
              </w:rPr>
              <w:t>Tension (Yielding)</w:t>
            </w:r>
          </w:p>
        </w:tc>
        <w:tc>
          <w:tcPr>
            <w:tcW w:w="709" w:type="dxa"/>
            <w:vAlign w:val="center"/>
          </w:tcPr>
          <w:p w14:paraId="47060562" w14:textId="73B6DA1B" w:rsidR="00402424" w:rsidRPr="00F570D8" w:rsidRDefault="00402424" w:rsidP="007D7E6D">
            <w:pPr>
              <w:pStyle w:val="Tablebody"/>
              <w:spacing w:before="40"/>
              <w:jc w:val="center"/>
              <w:rPr>
                <w:rFonts w:asciiTheme="majorHAnsi" w:hAnsiTheme="majorHAnsi"/>
              </w:rPr>
            </w:pPr>
            <w:r w:rsidRPr="00B17028">
              <w:t>0,21</w:t>
            </w:r>
          </w:p>
        </w:tc>
      </w:tr>
      <w:tr w:rsidR="00402424" w:rsidRPr="00F570D8" w14:paraId="246AEB22" w14:textId="77777777" w:rsidTr="00E832F3">
        <w:trPr>
          <w:trHeight w:val="207"/>
          <w:jc w:val="center"/>
        </w:trPr>
        <w:tc>
          <w:tcPr>
            <w:tcW w:w="3828" w:type="dxa"/>
            <w:vMerge/>
            <w:vAlign w:val="center"/>
          </w:tcPr>
          <w:p w14:paraId="7AFF284D" w14:textId="77777777" w:rsidR="00402424" w:rsidRPr="00F570D8" w:rsidRDefault="00402424" w:rsidP="007D7E6D">
            <w:pPr>
              <w:pStyle w:val="Tablebody"/>
              <w:spacing w:before="40"/>
              <w:rPr>
                <w:rFonts w:asciiTheme="majorHAnsi" w:hAnsiTheme="majorHAnsi"/>
              </w:rPr>
            </w:pPr>
          </w:p>
        </w:tc>
        <w:tc>
          <w:tcPr>
            <w:tcW w:w="2977" w:type="dxa"/>
            <w:vAlign w:val="center"/>
          </w:tcPr>
          <w:p w14:paraId="29BA01B1" w14:textId="77777777" w:rsidR="00402424" w:rsidRPr="00F570D8" w:rsidRDefault="00402424" w:rsidP="007D7E6D">
            <w:pPr>
              <w:pStyle w:val="Tablebody"/>
              <w:spacing w:before="40"/>
              <w:rPr>
                <w:rFonts w:asciiTheme="majorHAnsi" w:hAnsiTheme="majorHAnsi"/>
              </w:rPr>
            </w:pPr>
            <w:r w:rsidRPr="00F570D8">
              <w:rPr>
                <w:rFonts w:asciiTheme="majorHAnsi" w:hAnsiTheme="majorHAnsi"/>
              </w:rPr>
              <w:t>Compression (Buckling)</w:t>
            </w:r>
          </w:p>
        </w:tc>
        <w:tc>
          <w:tcPr>
            <w:tcW w:w="709" w:type="dxa"/>
            <w:vAlign w:val="center"/>
          </w:tcPr>
          <w:p w14:paraId="5FDFB68B" w14:textId="73E674BC" w:rsidR="00402424" w:rsidRPr="00F570D8" w:rsidRDefault="00402424" w:rsidP="007D7E6D">
            <w:pPr>
              <w:pStyle w:val="Tablebody"/>
              <w:spacing w:before="40"/>
              <w:jc w:val="center"/>
              <w:rPr>
                <w:rFonts w:asciiTheme="majorHAnsi" w:hAnsiTheme="majorHAnsi"/>
              </w:rPr>
            </w:pPr>
            <w:r w:rsidRPr="00B17028">
              <w:t>0,27</w:t>
            </w:r>
          </w:p>
        </w:tc>
      </w:tr>
      <w:tr w:rsidR="00402424" w:rsidRPr="00F570D8" w14:paraId="3DB57FA4" w14:textId="77777777" w:rsidTr="00E832F3">
        <w:trPr>
          <w:jc w:val="center"/>
        </w:trPr>
        <w:tc>
          <w:tcPr>
            <w:tcW w:w="3828" w:type="dxa"/>
            <w:vAlign w:val="center"/>
          </w:tcPr>
          <w:p w14:paraId="34CB3BC3" w14:textId="77777777" w:rsidR="00402424" w:rsidRPr="00F570D8" w:rsidRDefault="00402424" w:rsidP="007D7E6D">
            <w:pPr>
              <w:pStyle w:val="Tablebody"/>
              <w:spacing w:before="40"/>
              <w:rPr>
                <w:rFonts w:asciiTheme="majorHAnsi" w:hAnsiTheme="majorHAnsi"/>
              </w:rPr>
            </w:pPr>
            <w:r w:rsidRPr="00F570D8">
              <w:rPr>
                <w:rFonts w:asciiTheme="majorHAnsi" w:hAnsiTheme="majorHAnsi"/>
              </w:rPr>
              <w:t>Buckling-restrained braces</w:t>
            </w:r>
          </w:p>
        </w:tc>
        <w:tc>
          <w:tcPr>
            <w:tcW w:w="2977" w:type="dxa"/>
            <w:vAlign w:val="center"/>
          </w:tcPr>
          <w:p w14:paraId="73C07B75" w14:textId="77777777" w:rsidR="00402424" w:rsidRPr="00F570D8" w:rsidRDefault="00402424" w:rsidP="007D7E6D">
            <w:pPr>
              <w:pStyle w:val="Tablebody"/>
              <w:spacing w:before="40"/>
              <w:rPr>
                <w:rFonts w:asciiTheme="majorHAnsi" w:hAnsiTheme="majorHAnsi"/>
              </w:rPr>
            </w:pPr>
            <w:r w:rsidRPr="00F570D8">
              <w:rPr>
                <w:rFonts w:asciiTheme="majorHAnsi" w:hAnsiTheme="majorHAnsi"/>
              </w:rPr>
              <w:t>Tension and compression</w:t>
            </w:r>
          </w:p>
        </w:tc>
        <w:tc>
          <w:tcPr>
            <w:tcW w:w="709" w:type="dxa"/>
            <w:vAlign w:val="center"/>
          </w:tcPr>
          <w:p w14:paraId="3A4D2C9E" w14:textId="450CB201" w:rsidR="00402424" w:rsidRPr="00F570D8" w:rsidRDefault="00402424" w:rsidP="007D7E6D">
            <w:pPr>
              <w:pStyle w:val="Tablebody"/>
              <w:spacing w:before="40"/>
              <w:jc w:val="center"/>
              <w:rPr>
                <w:rFonts w:asciiTheme="majorHAnsi" w:hAnsiTheme="majorHAnsi"/>
              </w:rPr>
            </w:pPr>
            <w:r w:rsidRPr="00B17028">
              <w:t>0,07</w:t>
            </w:r>
          </w:p>
        </w:tc>
      </w:tr>
      <w:tr w:rsidR="00402424" w:rsidRPr="00F570D8" w14:paraId="094C7CA9" w14:textId="77777777" w:rsidTr="00E832F3">
        <w:trPr>
          <w:jc w:val="center"/>
        </w:trPr>
        <w:tc>
          <w:tcPr>
            <w:tcW w:w="3828" w:type="dxa"/>
            <w:vAlign w:val="center"/>
          </w:tcPr>
          <w:p w14:paraId="76EE9309" w14:textId="77777777" w:rsidR="00402424" w:rsidRPr="00F570D8" w:rsidRDefault="00402424" w:rsidP="007D7E6D">
            <w:pPr>
              <w:pStyle w:val="Tablebody"/>
              <w:spacing w:before="40"/>
            </w:pPr>
            <w:r w:rsidRPr="00F570D8">
              <w:rPr>
                <w:rFonts w:asciiTheme="majorHAnsi" w:hAnsiTheme="majorHAnsi"/>
              </w:rPr>
              <w:t>Beam-column web joints (panel zone)</w:t>
            </w:r>
          </w:p>
        </w:tc>
        <w:tc>
          <w:tcPr>
            <w:tcW w:w="2977" w:type="dxa"/>
            <w:vAlign w:val="center"/>
          </w:tcPr>
          <w:p w14:paraId="398BC604" w14:textId="77777777" w:rsidR="00402424" w:rsidRPr="00F570D8" w:rsidRDefault="00402424" w:rsidP="007D7E6D">
            <w:pPr>
              <w:pStyle w:val="Tablebody"/>
              <w:spacing w:before="40"/>
            </w:pPr>
            <w:r w:rsidRPr="00F570D8">
              <w:rPr>
                <w:rFonts w:asciiTheme="majorHAnsi" w:hAnsiTheme="majorHAnsi"/>
              </w:rPr>
              <w:t>Shear distortion</w:t>
            </w:r>
          </w:p>
        </w:tc>
        <w:tc>
          <w:tcPr>
            <w:tcW w:w="709" w:type="dxa"/>
            <w:vAlign w:val="center"/>
          </w:tcPr>
          <w:p w14:paraId="42386A22" w14:textId="3FBF6F1E" w:rsidR="00402424" w:rsidRPr="00F570D8" w:rsidRDefault="00402424" w:rsidP="007D7E6D">
            <w:pPr>
              <w:pStyle w:val="Tablebody"/>
              <w:spacing w:before="40"/>
              <w:jc w:val="center"/>
              <w:rPr>
                <w:rFonts w:asciiTheme="majorHAnsi" w:hAnsiTheme="majorHAnsi"/>
              </w:rPr>
            </w:pPr>
            <w:r w:rsidRPr="00B17028">
              <w:t>0,07</w:t>
            </w:r>
          </w:p>
        </w:tc>
      </w:tr>
    </w:tbl>
    <w:p w14:paraId="56571EDC" w14:textId="799E4E6D" w:rsidR="006B51BF" w:rsidRDefault="00402424" w:rsidP="00724E4E">
      <w:pPr>
        <w:pStyle w:val="Clause"/>
        <w:rPr>
          <w:color w:val="auto"/>
        </w:rPr>
      </w:pPr>
      <w:r w:rsidRPr="00402424">
        <w:rPr>
          <w:color w:val="auto"/>
        </w:rPr>
        <w:lastRenderedPageBreak/>
        <w:t>Values of the partial factors at SD and NC are given in Table 11.</w:t>
      </w:r>
      <w:r>
        <w:rPr>
          <w:color w:val="auto"/>
        </w:rPr>
        <w:t>6</w:t>
      </w:r>
      <w:r w:rsidRPr="00402424">
        <w:rPr>
          <w:color w:val="auto"/>
        </w:rPr>
        <w:t xml:space="preserve"> (NDP) and Table 11.</w:t>
      </w:r>
      <w:r>
        <w:rPr>
          <w:color w:val="auto"/>
        </w:rPr>
        <w:t>7</w:t>
      </w:r>
      <w:r w:rsidRPr="00402424">
        <w:rPr>
          <w:color w:val="auto"/>
        </w:rPr>
        <w:t xml:space="preserve"> (NDP)</w:t>
      </w:r>
      <w:r w:rsidR="006B51BF" w:rsidRPr="00402424">
        <w:rPr>
          <w:color w:val="auto"/>
        </w:rPr>
        <w:t>.</w:t>
      </w:r>
    </w:p>
    <w:p w14:paraId="2B60DACD" w14:textId="501B902F" w:rsidR="006250EE" w:rsidRPr="006250EE" w:rsidRDefault="006250EE" w:rsidP="006250EE">
      <w:pPr>
        <w:pStyle w:val="Tabletitle"/>
        <w:rPr>
          <w:sz w:val="20"/>
        </w:rPr>
      </w:pPr>
      <w:r w:rsidRPr="006250EE">
        <w:t>Table 11.6 (NDP) — Partial factors for chord-rotation</w:t>
      </w:r>
    </w:p>
    <w:tbl>
      <w:tblPr>
        <w:tblStyle w:val="TableGrid"/>
        <w:tblW w:w="7225" w:type="dxa"/>
        <w:jc w:val="center"/>
        <w:tblLayout w:type="fixed"/>
        <w:tblLook w:val="04A0" w:firstRow="1" w:lastRow="0" w:firstColumn="1" w:lastColumn="0" w:noHBand="0" w:noVBand="1"/>
      </w:tblPr>
      <w:tblGrid>
        <w:gridCol w:w="2125"/>
        <w:gridCol w:w="2976"/>
        <w:gridCol w:w="1134"/>
        <w:gridCol w:w="990"/>
      </w:tblGrid>
      <w:tr w:rsidR="006250EE" w:rsidRPr="001514CB" w14:paraId="08D73E64" w14:textId="77777777" w:rsidTr="002061E5">
        <w:trPr>
          <w:jc w:val="center"/>
        </w:trPr>
        <w:tc>
          <w:tcPr>
            <w:tcW w:w="2125" w:type="dxa"/>
            <w:vAlign w:val="center"/>
          </w:tcPr>
          <w:p w14:paraId="792BD790" w14:textId="77777777" w:rsidR="006250EE" w:rsidRPr="00E832F3" w:rsidRDefault="006250EE" w:rsidP="006250EE">
            <w:pPr>
              <w:pStyle w:val="Tablebody"/>
              <w:rPr>
                <w:b/>
                <w:bCs/>
              </w:rPr>
            </w:pPr>
            <w:r w:rsidRPr="00E832F3">
              <w:rPr>
                <w:b/>
                <w:bCs/>
              </w:rPr>
              <w:t>Member type</w:t>
            </w:r>
          </w:p>
        </w:tc>
        <w:tc>
          <w:tcPr>
            <w:tcW w:w="2976" w:type="dxa"/>
          </w:tcPr>
          <w:p w14:paraId="21F9A7E0" w14:textId="77777777" w:rsidR="006250EE" w:rsidRPr="00E832F3" w:rsidRDefault="006250EE" w:rsidP="006250EE">
            <w:pPr>
              <w:pStyle w:val="Tablebody"/>
              <w:rPr>
                <w:b/>
                <w:bCs/>
              </w:rPr>
            </w:pPr>
            <w:r w:rsidRPr="00E832F3">
              <w:rPr>
                <w:rFonts w:asciiTheme="majorHAnsi" w:hAnsiTheme="majorHAnsi"/>
                <w:b/>
                <w:bCs/>
              </w:rPr>
              <w:t>Section</w:t>
            </w:r>
          </w:p>
        </w:tc>
        <w:tc>
          <w:tcPr>
            <w:tcW w:w="1134" w:type="dxa"/>
          </w:tcPr>
          <w:p w14:paraId="01A9F9E5" w14:textId="77777777" w:rsidR="006250EE" w:rsidRPr="00E832F3" w:rsidRDefault="006250EE" w:rsidP="00E832F3">
            <w:pPr>
              <w:pStyle w:val="Tablebody"/>
              <w:jc w:val="center"/>
              <w:rPr>
                <w:b/>
                <w:bCs/>
              </w:rPr>
            </w:pPr>
            <w:r w:rsidRPr="00E832F3">
              <w:rPr>
                <w:b/>
                <w:bCs/>
              </w:rPr>
              <w:t>SD</w:t>
            </w:r>
          </w:p>
        </w:tc>
        <w:tc>
          <w:tcPr>
            <w:tcW w:w="990" w:type="dxa"/>
          </w:tcPr>
          <w:p w14:paraId="70E47E89" w14:textId="77777777" w:rsidR="006250EE" w:rsidRPr="00E832F3" w:rsidRDefault="006250EE" w:rsidP="00E832F3">
            <w:pPr>
              <w:pStyle w:val="Tablebody"/>
              <w:jc w:val="center"/>
              <w:rPr>
                <w:b/>
                <w:bCs/>
              </w:rPr>
            </w:pPr>
            <w:r w:rsidRPr="00E832F3">
              <w:rPr>
                <w:b/>
                <w:bCs/>
              </w:rPr>
              <w:t>NC</w:t>
            </w:r>
          </w:p>
        </w:tc>
      </w:tr>
      <w:tr w:rsidR="006250EE" w:rsidRPr="001514CB" w14:paraId="127C0A2F" w14:textId="77777777" w:rsidTr="002061E5">
        <w:trPr>
          <w:jc w:val="center"/>
        </w:trPr>
        <w:tc>
          <w:tcPr>
            <w:tcW w:w="2125" w:type="dxa"/>
            <w:vMerge w:val="restart"/>
            <w:vAlign w:val="center"/>
          </w:tcPr>
          <w:p w14:paraId="448141A5" w14:textId="77777777" w:rsidR="006250EE" w:rsidRPr="001514CB" w:rsidRDefault="006250EE" w:rsidP="006250EE">
            <w:pPr>
              <w:pStyle w:val="Tablebody"/>
            </w:pPr>
            <w:r w:rsidRPr="001514CB">
              <w:rPr>
                <w:rFonts w:asciiTheme="majorHAnsi" w:hAnsiTheme="majorHAnsi"/>
              </w:rPr>
              <w:t>Steel beam</w:t>
            </w:r>
          </w:p>
        </w:tc>
        <w:tc>
          <w:tcPr>
            <w:tcW w:w="2976" w:type="dxa"/>
            <w:vAlign w:val="center"/>
          </w:tcPr>
          <w:p w14:paraId="2DC01D13" w14:textId="77777777" w:rsidR="006250EE" w:rsidRPr="001514CB" w:rsidRDefault="006250EE" w:rsidP="006250EE">
            <w:pPr>
              <w:pStyle w:val="Tablebody"/>
            </w:pPr>
            <w:r w:rsidRPr="001514CB">
              <w:t>Wide flange</w:t>
            </w:r>
          </w:p>
        </w:tc>
        <w:tc>
          <w:tcPr>
            <w:tcW w:w="1134" w:type="dxa"/>
            <w:vAlign w:val="bottom"/>
          </w:tcPr>
          <w:p w14:paraId="3E283C57" w14:textId="77777777" w:rsidR="006250EE" w:rsidRPr="001514CB" w:rsidRDefault="006250EE" w:rsidP="00E832F3">
            <w:pPr>
              <w:pStyle w:val="Tablebody"/>
              <w:jc w:val="center"/>
              <w:rPr>
                <w:rFonts w:asciiTheme="majorHAnsi" w:hAnsiTheme="majorHAnsi"/>
              </w:rPr>
            </w:pPr>
            <w:r>
              <w:rPr>
                <w:rFonts w:ascii="Calibri" w:hAnsi="Calibri" w:cs="Calibri"/>
              </w:rPr>
              <w:t>1,7</w:t>
            </w:r>
          </w:p>
        </w:tc>
        <w:tc>
          <w:tcPr>
            <w:tcW w:w="990" w:type="dxa"/>
            <w:vAlign w:val="bottom"/>
          </w:tcPr>
          <w:p w14:paraId="289FB8AA" w14:textId="77777777" w:rsidR="006250EE" w:rsidRPr="001514CB" w:rsidRDefault="006250EE" w:rsidP="00E832F3">
            <w:pPr>
              <w:pStyle w:val="Tablebody"/>
              <w:jc w:val="center"/>
              <w:rPr>
                <w:rFonts w:asciiTheme="majorHAnsi" w:hAnsiTheme="majorHAnsi"/>
              </w:rPr>
            </w:pPr>
            <w:r>
              <w:rPr>
                <w:rFonts w:ascii="Calibri" w:hAnsi="Calibri" w:cs="Calibri"/>
              </w:rPr>
              <w:t>2,1</w:t>
            </w:r>
          </w:p>
        </w:tc>
      </w:tr>
      <w:tr w:rsidR="006250EE" w:rsidRPr="001514CB" w14:paraId="032FDD1F" w14:textId="77777777" w:rsidTr="002061E5">
        <w:trPr>
          <w:jc w:val="center"/>
        </w:trPr>
        <w:tc>
          <w:tcPr>
            <w:tcW w:w="2125" w:type="dxa"/>
            <w:vMerge/>
            <w:vAlign w:val="center"/>
          </w:tcPr>
          <w:p w14:paraId="3B9F57EF" w14:textId="77777777" w:rsidR="006250EE" w:rsidRPr="001514CB" w:rsidRDefault="006250EE" w:rsidP="006250EE">
            <w:pPr>
              <w:pStyle w:val="Tablebody"/>
              <w:rPr>
                <w:rFonts w:asciiTheme="majorHAnsi" w:hAnsiTheme="majorHAnsi"/>
              </w:rPr>
            </w:pPr>
          </w:p>
        </w:tc>
        <w:tc>
          <w:tcPr>
            <w:tcW w:w="2976" w:type="dxa"/>
            <w:vAlign w:val="center"/>
          </w:tcPr>
          <w:p w14:paraId="6AFD41C4" w14:textId="77777777" w:rsidR="006250EE" w:rsidRPr="001514CB" w:rsidRDefault="006250EE" w:rsidP="006250EE">
            <w:pPr>
              <w:pStyle w:val="Tablebody"/>
            </w:pPr>
            <w:r w:rsidRPr="001514CB">
              <w:t>RBS</w:t>
            </w:r>
          </w:p>
        </w:tc>
        <w:tc>
          <w:tcPr>
            <w:tcW w:w="1134" w:type="dxa"/>
            <w:vAlign w:val="bottom"/>
          </w:tcPr>
          <w:p w14:paraId="10D0E328" w14:textId="77777777" w:rsidR="006250EE" w:rsidRPr="001514CB" w:rsidRDefault="006250EE" w:rsidP="00E832F3">
            <w:pPr>
              <w:pStyle w:val="Tablebody"/>
              <w:jc w:val="center"/>
              <w:rPr>
                <w:rFonts w:asciiTheme="majorHAnsi" w:hAnsiTheme="majorHAnsi"/>
              </w:rPr>
            </w:pPr>
            <w:r>
              <w:rPr>
                <w:rFonts w:ascii="Calibri" w:hAnsi="Calibri" w:cs="Calibri"/>
              </w:rPr>
              <w:t>1,7</w:t>
            </w:r>
          </w:p>
        </w:tc>
        <w:tc>
          <w:tcPr>
            <w:tcW w:w="990" w:type="dxa"/>
            <w:vAlign w:val="bottom"/>
          </w:tcPr>
          <w:p w14:paraId="38A73F30" w14:textId="77777777" w:rsidR="006250EE" w:rsidRPr="001514CB" w:rsidRDefault="006250EE" w:rsidP="00E832F3">
            <w:pPr>
              <w:pStyle w:val="Tablebody"/>
              <w:jc w:val="center"/>
              <w:rPr>
                <w:rFonts w:asciiTheme="majorHAnsi" w:hAnsiTheme="majorHAnsi"/>
              </w:rPr>
            </w:pPr>
            <w:r>
              <w:rPr>
                <w:rFonts w:ascii="Calibri" w:hAnsi="Calibri" w:cs="Calibri"/>
              </w:rPr>
              <w:t>2,1</w:t>
            </w:r>
          </w:p>
        </w:tc>
      </w:tr>
      <w:tr w:rsidR="006250EE" w:rsidRPr="001514CB" w14:paraId="79F0D397" w14:textId="77777777" w:rsidTr="002061E5">
        <w:trPr>
          <w:jc w:val="center"/>
        </w:trPr>
        <w:tc>
          <w:tcPr>
            <w:tcW w:w="2125" w:type="dxa"/>
            <w:vMerge w:val="restart"/>
            <w:vAlign w:val="center"/>
          </w:tcPr>
          <w:p w14:paraId="5E42A914" w14:textId="77777777" w:rsidR="006250EE" w:rsidRPr="001514CB" w:rsidRDefault="006250EE" w:rsidP="006250EE">
            <w:pPr>
              <w:pStyle w:val="Tablebody"/>
            </w:pPr>
            <w:r w:rsidRPr="001514CB">
              <w:rPr>
                <w:rFonts w:asciiTheme="majorHAnsi" w:hAnsiTheme="majorHAnsi"/>
              </w:rPr>
              <w:t>Steel column</w:t>
            </w:r>
          </w:p>
        </w:tc>
        <w:tc>
          <w:tcPr>
            <w:tcW w:w="2976" w:type="dxa"/>
            <w:vAlign w:val="center"/>
          </w:tcPr>
          <w:p w14:paraId="3E5D54A9" w14:textId="77777777" w:rsidR="006250EE" w:rsidRPr="001514CB" w:rsidRDefault="006250EE" w:rsidP="006250EE">
            <w:pPr>
              <w:pStyle w:val="Tablebody"/>
            </w:pPr>
            <w:r w:rsidRPr="001514CB">
              <w:rPr>
                <w:rFonts w:asciiTheme="majorHAnsi" w:hAnsiTheme="majorHAnsi"/>
              </w:rPr>
              <w:t>Wide flange</w:t>
            </w:r>
          </w:p>
        </w:tc>
        <w:tc>
          <w:tcPr>
            <w:tcW w:w="1134" w:type="dxa"/>
            <w:vAlign w:val="bottom"/>
          </w:tcPr>
          <w:p w14:paraId="1D85B38F" w14:textId="77777777" w:rsidR="006250EE" w:rsidRPr="001514CB" w:rsidRDefault="006250EE" w:rsidP="00E832F3">
            <w:pPr>
              <w:pStyle w:val="Tablebody"/>
              <w:jc w:val="center"/>
              <w:rPr>
                <w:rFonts w:asciiTheme="majorHAnsi" w:hAnsiTheme="majorHAnsi"/>
              </w:rPr>
            </w:pPr>
            <w:r>
              <w:rPr>
                <w:rFonts w:ascii="Calibri" w:hAnsi="Calibri" w:cs="Calibri"/>
              </w:rPr>
              <w:t>1,7</w:t>
            </w:r>
          </w:p>
        </w:tc>
        <w:tc>
          <w:tcPr>
            <w:tcW w:w="990" w:type="dxa"/>
            <w:vAlign w:val="bottom"/>
          </w:tcPr>
          <w:p w14:paraId="2D463876" w14:textId="77777777" w:rsidR="006250EE" w:rsidRPr="001514CB" w:rsidRDefault="006250EE" w:rsidP="00E832F3">
            <w:pPr>
              <w:pStyle w:val="Tablebody"/>
              <w:jc w:val="center"/>
              <w:rPr>
                <w:rFonts w:asciiTheme="majorHAnsi" w:hAnsiTheme="majorHAnsi"/>
              </w:rPr>
            </w:pPr>
            <w:r>
              <w:rPr>
                <w:rFonts w:ascii="Calibri" w:hAnsi="Calibri" w:cs="Calibri"/>
              </w:rPr>
              <w:t>2,1</w:t>
            </w:r>
          </w:p>
        </w:tc>
      </w:tr>
      <w:tr w:rsidR="006250EE" w:rsidRPr="001514CB" w14:paraId="5BCB7C25" w14:textId="77777777" w:rsidTr="002061E5">
        <w:trPr>
          <w:jc w:val="center"/>
        </w:trPr>
        <w:tc>
          <w:tcPr>
            <w:tcW w:w="2125" w:type="dxa"/>
            <w:vMerge/>
            <w:vAlign w:val="center"/>
          </w:tcPr>
          <w:p w14:paraId="26F2480F" w14:textId="77777777" w:rsidR="006250EE" w:rsidRPr="001514CB" w:rsidRDefault="006250EE" w:rsidP="006250EE">
            <w:pPr>
              <w:pStyle w:val="Tablebody"/>
              <w:rPr>
                <w:rFonts w:asciiTheme="majorHAnsi" w:hAnsiTheme="majorHAnsi"/>
              </w:rPr>
            </w:pPr>
          </w:p>
        </w:tc>
        <w:tc>
          <w:tcPr>
            <w:tcW w:w="2976" w:type="dxa"/>
            <w:vAlign w:val="center"/>
          </w:tcPr>
          <w:p w14:paraId="37C33932" w14:textId="77777777" w:rsidR="006250EE" w:rsidRPr="001514CB" w:rsidRDefault="006250EE" w:rsidP="006250EE">
            <w:pPr>
              <w:pStyle w:val="Tablebody"/>
              <w:rPr>
                <w:rFonts w:asciiTheme="majorHAnsi" w:hAnsiTheme="majorHAnsi"/>
              </w:rPr>
            </w:pPr>
            <w:r w:rsidRPr="001514CB">
              <w:rPr>
                <w:rFonts w:asciiTheme="majorHAnsi" w:hAnsiTheme="majorHAnsi"/>
              </w:rPr>
              <w:t>Hollow</w:t>
            </w:r>
          </w:p>
        </w:tc>
        <w:tc>
          <w:tcPr>
            <w:tcW w:w="1134" w:type="dxa"/>
            <w:vAlign w:val="bottom"/>
          </w:tcPr>
          <w:p w14:paraId="57761385" w14:textId="77777777" w:rsidR="006250EE" w:rsidRPr="001514CB" w:rsidRDefault="006250EE" w:rsidP="00E832F3">
            <w:pPr>
              <w:pStyle w:val="Tablebody"/>
              <w:jc w:val="center"/>
              <w:rPr>
                <w:rFonts w:asciiTheme="majorHAnsi" w:hAnsiTheme="majorHAnsi"/>
              </w:rPr>
            </w:pPr>
            <w:r>
              <w:rPr>
                <w:rFonts w:ascii="Calibri" w:hAnsi="Calibri" w:cs="Calibri"/>
              </w:rPr>
              <w:t>1,6</w:t>
            </w:r>
          </w:p>
        </w:tc>
        <w:tc>
          <w:tcPr>
            <w:tcW w:w="990" w:type="dxa"/>
            <w:vAlign w:val="bottom"/>
          </w:tcPr>
          <w:p w14:paraId="67D7C5C8" w14:textId="77777777" w:rsidR="006250EE" w:rsidRPr="001514CB" w:rsidRDefault="006250EE" w:rsidP="00E832F3">
            <w:pPr>
              <w:pStyle w:val="Tablebody"/>
              <w:jc w:val="center"/>
              <w:rPr>
                <w:rFonts w:asciiTheme="majorHAnsi" w:hAnsiTheme="majorHAnsi"/>
              </w:rPr>
            </w:pPr>
            <w:r>
              <w:rPr>
                <w:rFonts w:ascii="Calibri" w:hAnsi="Calibri" w:cs="Calibri"/>
              </w:rPr>
              <w:t>1,9</w:t>
            </w:r>
          </w:p>
        </w:tc>
      </w:tr>
      <w:tr w:rsidR="006250EE" w:rsidRPr="001514CB" w14:paraId="20766030" w14:textId="77777777" w:rsidTr="002061E5">
        <w:trPr>
          <w:jc w:val="center"/>
        </w:trPr>
        <w:tc>
          <w:tcPr>
            <w:tcW w:w="2125" w:type="dxa"/>
            <w:vAlign w:val="center"/>
          </w:tcPr>
          <w:p w14:paraId="28668643" w14:textId="77777777" w:rsidR="006250EE" w:rsidRPr="001514CB" w:rsidRDefault="006250EE" w:rsidP="006250EE">
            <w:pPr>
              <w:pStyle w:val="Tablebody"/>
              <w:rPr>
                <w:rFonts w:asciiTheme="majorHAnsi" w:hAnsiTheme="majorHAnsi"/>
              </w:rPr>
            </w:pPr>
            <w:r w:rsidRPr="001514CB">
              <w:rPr>
                <w:rFonts w:asciiTheme="majorHAnsi" w:hAnsiTheme="majorHAnsi"/>
              </w:rPr>
              <w:t>Composite beam</w:t>
            </w:r>
          </w:p>
        </w:tc>
        <w:tc>
          <w:tcPr>
            <w:tcW w:w="2976" w:type="dxa"/>
            <w:vAlign w:val="center"/>
          </w:tcPr>
          <w:p w14:paraId="0039849F" w14:textId="77777777" w:rsidR="006250EE" w:rsidRPr="001514CB" w:rsidRDefault="006250EE" w:rsidP="006250EE">
            <w:pPr>
              <w:pStyle w:val="Tablebody"/>
              <w:rPr>
                <w:rFonts w:asciiTheme="majorHAnsi" w:hAnsiTheme="majorHAnsi"/>
              </w:rPr>
            </w:pPr>
            <w:r w:rsidRPr="001514CB">
              <w:rPr>
                <w:rFonts w:asciiTheme="majorHAnsi" w:hAnsiTheme="majorHAnsi"/>
              </w:rPr>
              <w:t>-</w:t>
            </w:r>
          </w:p>
        </w:tc>
        <w:tc>
          <w:tcPr>
            <w:tcW w:w="1134" w:type="dxa"/>
            <w:vAlign w:val="bottom"/>
          </w:tcPr>
          <w:p w14:paraId="39A177CB" w14:textId="77777777" w:rsidR="006250EE" w:rsidRPr="001514CB" w:rsidRDefault="006250EE" w:rsidP="00E832F3">
            <w:pPr>
              <w:pStyle w:val="Tablebody"/>
              <w:jc w:val="center"/>
              <w:rPr>
                <w:rFonts w:asciiTheme="majorHAnsi" w:hAnsiTheme="majorHAnsi"/>
              </w:rPr>
            </w:pPr>
            <w:r>
              <w:rPr>
                <w:rFonts w:ascii="Calibri" w:hAnsi="Calibri" w:cs="Calibri"/>
              </w:rPr>
              <w:t>1,7</w:t>
            </w:r>
          </w:p>
        </w:tc>
        <w:tc>
          <w:tcPr>
            <w:tcW w:w="990" w:type="dxa"/>
            <w:vAlign w:val="bottom"/>
          </w:tcPr>
          <w:p w14:paraId="027D6AC9" w14:textId="77777777" w:rsidR="006250EE" w:rsidRPr="001514CB" w:rsidRDefault="006250EE" w:rsidP="00E832F3">
            <w:pPr>
              <w:pStyle w:val="Tablebody"/>
              <w:jc w:val="center"/>
              <w:rPr>
                <w:rFonts w:asciiTheme="majorHAnsi" w:hAnsiTheme="majorHAnsi"/>
              </w:rPr>
            </w:pPr>
            <w:r>
              <w:rPr>
                <w:rFonts w:ascii="Calibri" w:hAnsi="Calibri" w:cs="Calibri"/>
              </w:rPr>
              <w:t>2,1</w:t>
            </w:r>
          </w:p>
        </w:tc>
      </w:tr>
      <w:tr w:rsidR="006250EE" w:rsidRPr="001514CB" w14:paraId="111C663C" w14:textId="77777777" w:rsidTr="00E832F3">
        <w:trPr>
          <w:jc w:val="center"/>
        </w:trPr>
        <w:tc>
          <w:tcPr>
            <w:tcW w:w="2125" w:type="dxa"/>
            <w:vMerge w:val="restart"/>
            <w:vAlign w:val="center"/>
          </w:tcPr>
          <w:p w14:paraId="7854C9A2" w14:textId="77777777" w:rsidR="006250EE" w:rsidRPr="001514CB" w:rsidRDefault="006250EE" w:rsidP="00E832F3">
            <w:pPr>
              <w:pStyle w:val="Tablebody"/>
              <w:jc w:val="left"/>
            </w:pPr>
            <w:r w:rsidRPr="001514CB">
              <w:rPr>
                <w:rFonts w:asciiTheme="majorHAnsi" w:hAnsiTheme="majorHAnsi"/>
              </w:rPr>
              <w:t>Composite column</w:t>
            </w:r>
          </w:p>
        </w:tc>
        <w:tc>
          <w:tcPr>
            <w:tcW w:w="2976" w:type="dxa"/>
            <w:vAlign w:val="center"/>
          </w:tcPr>
          <w:p w14:paraId="67C84588" w14:textId="77777777" w:rsidR="006250EE" w:rsidRPr="001514CB" w:rsidRDefault="006250EE" w:rsidP="006250EE">
            <w:pPr>
              <w:pStyle w:val="Tablebody"/>
            </w:pPr>
            <w:r w:rsidRPr="001514CB">
              <w:t>Filled rectangular (interior)</w:t>
            </w:r>
          </w:p>
        </w:tc>
        <w:tc>
          <w:tcPr>
            <w:tcW w:w="1134" w:type="dxa"/>
            <w:vAlign w:val="bottom"/>
          </w:tcPr>
          <w:p w14:paraId="09207203" w14:textId="77777777" w:rsidR="006250EE" w:rsidRPr="001514CB" w:rsidRDefault="006250EE" w:rsidP="00E832F3">
            <w:pPr>
              <w:pStyle w:val="Tablebody"/>
              <w:jc w:val="center"/>
              <w:rPr>
                <w:rFonts w:asciiTheme="majorHAnsi" w:hAnsiTheme="majorHAnsi"/>
              </w:rPr>
            </w:pPr>
            <w:r>
              <w:rPr>
                <w:rFonts w:ascii="Calibri" w:hAnsi="Calibri" w:cs="Calibri"/>
              </w:rPr>
              <w:t>1,5</w:t>
            </w:r>
          </w:p>
        </w:tc>
        <w:tc>
          <w:tcPr>
            <w:tcW w:w="990" w:type="dxa"/>
            <w:vAlign w:val="bottom"/>
          </w:tcPr>
          <w:p w14:paraId="3CC29D61" w14:textId="77777777" w:rsidR="006250EE" w:rsidRPr="001514CB" w:rsidRDefault="006250EE" w:rsidP="00E832F3">
            <w:pPr>
              <w:pStyle w:val="Tablebody"/>
              <w:jc w:val="center"/>
              <w:rPr>
                <w:rFonts w:asciiTheme="majorHAnsi" w:hAnsiTheme="majorHAnsi"/>
              </w:rPr>
            </w:pPr>
            <w:r>
              <w:rPr>
                <w:rFonts w:ascii="Calibri" w:hAnsi="Calibri" w:cs="Calibri"/>
              </w:rPr>
              <w:t>1,75</w:t>
            </w:r>
          </w:p>
        </w:tc>
      </w:tr>
      <w:tr w:rsidR="006250EE" w:rsidRPr="001514CB" w14:paraId="0E7A50D2" w14:textId="77777777" w:rsidTr="002061E5">
        <w:trPr>
          <w:jc w:val="center"/>
        </w:trPr>
        <w:tc>
          <w:tcPr>
            <w:tcW w:w="2125" w:type="dxa"/>
            <w:vMerge/>
            <w:vAlign w:val="center"/>
          </w:tcPr>
          <w:p w14:paraId="098AD707" w14:textId="77777777" w:rsidR="006250EE" w:rsidRPr="001514CB" w:rsidRDefault="006250EE" w:rsidP="006250EE">
            <w:pPr>
              <w:pStyle w:val="Tablebody"/>
              <w:rPr>
                <w:rFonts w:asciiTheme="majorHAnsi" w:hAnsiTheme="majorHAnsi"/>
              </w:rPr>
            </w:pPr>
          </w:p>
        </w:tc>
        <w:tc>
          <w:tcPr>
            <w:tcW w:w="2976" w:type="dxa"/>
            <w:vAlign w:val="center"/>
          </w:tcPr>
          <w:p w14:paraId="2E67E91B" w14:textId="77777777" w:rsidR="006250EE" w:rsidRPr="001514CB" w:rsidRDefault="006250EE" w:rsidP="006250EE">
            <w:pPr>
              <w:pStyle w:val="Tablebody"/>
            </w:pPr>
            <w:r w:rsidRPr="001514CB">
              <w:t>Filled rectangular (exterior)</w:t>
            </w:r>
          </w:p>
        </w:tc>
        <w:tc>
          <w:tcPr>
            <w:tcW w:w="1134" w:type="dxa"/>
            <w:vAlign w:val="bottom"/>
          </w:tcPr>
          <w:p w14:paraId="6366882C" w14:textId="77777777" w:rsidR="006250EE" w:rsidRPr="001514CB" w:rsidRDefault="006250EE" w:rsidP="00E832F3">
            <w:pPr>
              <w:pStyle w:val="Tablebody"/>
              <w:jc w:val="center"/>
              <w:rPr>
                <w:rFonts w:asciiTheme="majorHAnsi" w:hAnsiTheme="majorHAnsi"/>
              </w:rPr>
            </w:pPr>
            <w:r>
              <w:rPr>
                <w:rFonts w:ascii="Calibri" w:hAnsi="Calibri" w:cs="Calibri"/>
              </w:rPr>
              <w:t>1,4</w:t>
            </w:r>
          </w:p>
        </w:tc>
        <w:tc>
          <w:tcPr>
            <w:tcW w:w="990" w:type="dxa"/>
            <w:vAlign w:val="bottom"/>
          </w:tcPr>
          <w:p w14:paraId="6F82F83E" w14:textId="77777777" w:rsidR="006250EE" w:rsidRPr="001514CB" w:rsidRDefault="006250EE" w:rsidP="00E832F3">
            <w:pPr>
              <w:pStyle w:val="Tablebody"/>
              <w:jc w:val="center"/>
              <w:rPr>
                <w:rFonts w:asciiTheme="majorHAnsi" w:hAnsiTheme="majorHAnsi"/>
              </w:rPr>
            </w:pPr>
            <w:r>
              <w:rPr>
                <w:rFonts w:ascii="Calibri" w:hAnsi="Calibri" w:cs="Calibri"/>
              </w:rPr>
              <w:t>1,6</w:t>
            </w:r>
          </w:p>
        </w:tc>
      </w:tr>
      <w:tr w:rsidR="006250EE" w:rsidRPr="001514CB" w14:paraId="621D7C8F" w14:textId="77777777" w:rsidTr="002061E5">
        <w:trPr>
          <w:jc w:val="center"/>
        </w:trPr>
        <w:tc>
          <w:tcPr>
            <w:tcW w:w="2125" w:type="dxa"/>
            <w:vMerge/>
            <w:vAlign w:val="center"/>
          </w:tcPr>
          <w:p w14:paraId="057B4A28" w14:textId="77777777" w:rsidR="006250EE" w:rsidRPr="001514CB" w:rsidRDefault="006250EE" w:rsidP="006250EE">
            <w:pPr>
              <w:pStyle w:val="Tablebody"/>
              <w:rPr>
                <w:rFonts w:asciiTheme="majorHAnsi" w:hAnsiTheme="majorHAnsi"/>
              </w:rPr>
            </w:pPr>
          </w:p>
        </w:tc>
        <w:tc>
          <w:tcPr>
            <w:tcW w:w="2976" w:type="dxa"/>
            <w:vAlign w:val="center"/>
          </w:tcPr>
          <w:p w14:paraId="65D8870B" w14:textId="77777777" w:rsidR="006250EE" w:rsidRPr="001514CB" w:rsidRDefault="006250EE" w:rsidP="006250EE">
            <w:pPr>
              <w:pStyle w:val="Tablebody"/>
            </w:pPr>
            <w:r w:rsidRPr="001514CB">
              <w:t>Filled circular (interior)</w:t>
            </w:r>
          </w:p>
        </w:tc>
        <w:tc>
          <w:tcPr>
            <w:tcW w:w="1134" w:type="dxa"/>
            <w:vAlign w:val="bottom"/>
          </w:tcPr>
          <w:p w14:paraId="3EC198C6" w14:textId="77777777" w:rsidR="006250EE" w:rsidRPr="001514CB" w:rsidRDefault="006250EE" w:rsidP="00E832F3">
            <w:pPr>
              <w:pStyle w:val="Tablebody"/>
              <w:jc w:val="center"/>
              <w:rPr>
                <w:rFonts w:asciiTheme="majorHAnsi" w:hAnsiTheme="majorHAnsi"/>
              </w:rPr>
            </w:pPr>
            <w:r>
              <w:rPr>
                <w:rFonts w:ascii="Calibri" w:hAnsi="Calibri" w:cs="Calibri"/>
              </w:rPr>
              <w:t>1,2</w:t>
            </w:r>
          </w:p>
        </w:tc>
        <w:tc>
          <w:tcPr>
            <w:tcW w:w="990" w:type="dxa"/>
            <w:vAlign w:val="bottom"/>
          </w:tcPr>
          <w:p w14:paraId="240EAD5D" w14:textId="77777777" w:rsidR="006250EE" w:rsidRPr="001514CB" w:rsidRDefault="006250EE" w:rsidP="00E832F3">
            <w:pPr>
              <w:pStyle w:val="Tablebody"/>
              <w:jc w:val="center"/>
              <w:rPr>
                <w:rFonts w:asciiTheme="majorHAnsi" w:hAnsiTheme="majorHAnsi"/>
              </w:rPr>
            </w:pPr>
            <w:r>
              <w:rPr>
                <w:rFonts w:ascii="Calibri" w:hAnsi="Calibri" w:cs="Calibri"/>
              </w:rPr>
              <w:t>1,3</w:t>
            </w:r>
          </w:p>
        </w:tc>
      </w:tr>
      <w:tr w:rsidR="006250EE" w:rsidRPr="001514CB" w14:paraId="740C3EA8" w14:textId="77777777" w:rsidTr="002061E5">
        <w:trPr>
          <w:jc w:val="center"/>
        </w:trPr>
        <w:tc>
          <w:tcPr>
            <w:tcW w:w="2125" w:type="dxa"/>
            <w:vMerge/>
            <w:vAlign w:val="center"/>
          </w:tcPr>
          <w:p w14:paraId="2040677F" w14:textId="77777777" w:rsidR="006250EE" w:rsidRPr="001514CB" w:rsidRDefault="006250EE" w:rsidP="006250EE">
            <w:pPr>
              <w:pStyle w:val="Tablebody"/>
              <w:rPr>
                <w:rFonts w:asciiTheme="majorHAnsi" w:hAnsiTheme="majorHAnsi"/>
              </w:rPr>
            </w:pPr>
          </w:p>
        </w:tc>
        <w:tc>
          <w:tcPr>
            <w:tcW w:w="2976" w:type="dxa"/>
            <w:vAlign w:val="center"/>
          </w:tcPr>
          <w:p w14:paraId="61CF3C0A" w14:textId="77777777" w:rsidR="006250EE" w:rsidRPr="001514CB" w:rsidRDefault="006250EE" w:rsidP="006250EE">
            <w:pPr>
              <w:pStyle w:val="Tablebody"/>
            </w:pPr>
            <w:r w:rsidRPr="001514CB">
              <w:t>Filled circular (exterior)</w:t>
            </w:r>
          </w:p>
        </w:tc>
        <w:tc>
          <w:tcPr>
            <w:tcW w:w="1134" w:type="dxa"/>
            <w:vAlign w:val="bottom"/>
          </w:tcPr>
          <w:p w14:paraId="663F41B8" w14:textId="77777777" w:rsidR="006250EE" w:rsidRPr="001514CB" w:rsidRDefault="006250EE" w:rsidP="00E832F3">
            <w:pPr>
              <w:pStyle w:val="Tablebody"/>
              <w:jc w:val="center"/>
              <w:rPr>
                <w:rFonts w:asciiTheme="majorHAnsi" w:hAnsiTheme="majorHAnsi"/>
              </w:rPr>
            </w:pPr>
            <w:r>
              <w:rPr>
                <w:rFonts w:ascii="Calibri" w:hAnsi="Calibri" w:cs="Calibri"/>
              </w:rPr>
              <w:t>1,5</w:t>
            </w:r>
          </w:p>
        </w:tc>
        <w:tc>
          <w:tcPr>
            <w:tcW w:w="990" w:type="dxa"/>
            <w:vAlign w:val="bottom"/>
          </w:tcPr>
          <w:p w14:paraId="23C913E0" w14:textId="77777777" w:rsidR="006250EE" w:rsidRPr="001514CB" w:rsidRDefault="006250EE" w:rsidP="00E832F3">
            <w:pPr>
              <w:pStyle w:val="Tablebody"/>
              <w:jc w:val="center"/>
              <w:rPr>
                <w:rFonts w:asciiTheme="majorHAnsi" w:hAnsiTheme="majorHAnsi"/>
              </w:rPr>
            </w:pPr>
            <w:r>
              <w:rPr>
                <w:rFonts w:ascii="Calibri" w:hAnsi="Calibri" w:cs="Calibri"/>
              </w:rPr>
              <w:t>1,75</w:t>
            </w:r>
          </w:p>
        </w:tc>
      </w:tr>
      <w:tr w:rsidR="006250EE" w:rsidRPr="001514CB" w14:paraId="64908F8B" w14:textId="77777777" w:rsidTr="002061E5">
        <w:trPr>
          <w:jc w:val="center"/>
        </w:trPr>
        <w:tc>
          <w:tcPr>
            <w:tcW w:w="2125" w:type="dxa"/>
            <w:vMerge/>
            <w:vAlign w:val="center"/>
          </w:tcPr>
          <w:p w14:paraId="14CC9B69" w14:textId="77777777" w:rsidR="006250EE" w:rsidRPr="001514CB" w:rsidRDefault="006250EE" w:rsidP="006250EE">
            <w:pPr>
              <w:pStyle w:val="Tablebody"/>
            </w:pPr>
          </w:p>
        </w:tc>
        <w:tc>
          <w:tcPr>
            <w:tcW w:w="2976" w:type="dxa"/>
            <w:vAlign w:val="center"/>
          </w:tcPr>
          <w:p w14:paraId="0872BFAC" w14:textId="77777777" w:rsidR="006250EE" w:rsidRPr="001514CB" w:rsidRDefault="006250EE" w:rsidP="006250EE">
            <w:pPr>
              <w:pStyle w:val="Tablebody"/>
            </w:pPr>
            <w:r w:rsidRPr="001514CB">
              <w:rPr>
                <w:rFonts w:asciiTheme="majorHAnsi" w:hAnsiTheme="majorHAnsi"/>
              </w:rPr>
              <w:t>Encased (exterior)</w:t>
            </w:r>
          </w:p>
        </w:tc>
        <w:tc>
          <w:tcPr>
            <w:tcW w:w="1134" w:type="dxa"/>
            <w:vAlign w:val="bottom"/>
          </w:tcPr>
          <w:p w14:paraId="352FE9A0" w14:textId="77777777" w:rsidR="006250EE" w:rsidRPr="001514CB" w:rsidRDefault="006250EE" w:rsidP="00E832F3">
            <w:pPr>
              <w:pStyle w:val="Tablebody"/>
              <w:jc w:val="center"/>
              <w:rPr>
                <w:rFonts w:asciiTheme="majorHAnsi" w:hAnsiTheme="majorHAnsi"/>
              </w:rPr>
            </w:pPr>
            <w:r>
              <w:rPr>
                <w:rFonts w:ascii="Calibri" w:hAnsi="Calibri" w:cs="Calibri"/>
              </w:rPr>
              <w:t>1,7</w:t>
            </w:r>
          </w:p>
        </w:tc>
        <w:tc>
          <w:tcPr>
            <w:tcW w:w="990" w:type="dxa"/>
            <w:vAlign w:val="bottom"/>
          </w:tcPr>
          <w:p w14:paraId="0A226530" w14:textId="77777777" w:rsidR="006250EE" w:rsidRPr="001514CB" w:rsidRDefault="006250EE" w:rsidP="00E832F3">
            <w:pPr>
              <w:pStyle w:val="Tablebody"/>
              <w:jc w:val="center"/>
              <w:rPr>
                <w:rFonts w:asciiTheme="majorHAnsi" w:hAnsiTheme="majorHAnsi"/>
              </w:rPr>
            </w:pPr>
            <w:r>
              <w:rPr>
                <w:rFonts w:ascii="Calibri" w:hAnsi="Calibri" w:cs="Calibri"/>
              </w:rPr>
              <w:t>2,1</w:t>
            </w:r>
          </w:p>
        </w:tc>
      </w:tr>
    </w:tbl>
    <w:p w14:paraId="2441C8FC" w14:textId="62A85E08" w:rsidR="006250EE" w:rsidRPr="006250EE" w:rsidRDefault="006250EE" w:rsidP="006250EE">
      <w:pPr>
        <w:pStyle w:val="Tabletitle"/>
        <w:rPr>
          <w:sz w:val="20"/>
        </w:rPr>
      </w:pPr>
      <w:r w:rsidRPr="006250EE">
        <w:t>Table 11.7 (NDP) — Partial factors for axial displacement and panel zone distortion</w:t>
      </w:r>
    </w:p>
    <w:tbl>
      <w:tblPr>
        <w:tblStyle w:val="TableGrid"/>
        <w:tblW w:w="7372" w:type="dxa"/>
        <w:jc w:val="center"/>
        <w:tblLayout w:type="fixed"/>
        <w:tblLook w:val="04A0" w:firstRow="1" w:lastRow="0" w:firstColumn="1" w:lastColumn="0" w:noHBand="0" w:noVBand="1"/>
      </w:tblPr>
      <w:tblGrid>
        <w:gridCol w:w="3831"/>
        <w:gridCol w:w="1984"/>
        <w:gridCol w:w="851"/>
        <w:gridCol w:w="706"/>
      </w:tblGrid>
      <w:tr w:rsidR="00E832F3" w:rsidRPr="00E832F3" w14:paraId="66E7FBB7" w14:textId="77777777" w:rsidTr="00E832F3">
        <w:trPr>
          <w:jc w:val="center"/>
        </w:trPr>
        <w:tc>
          <w:tcPr>
            <w:tcW w:w="3831" w:type="dxa"/>
            <w:vAlign w:val="center"/>
          </w:tcPr>
          <w:p w14:paraId="4A984884" w14:textId="77777777" w:rsidR="00E832F3" w:rsidRPr="00E832F3" w:rsidRDefault="00E832F3" w:rsidP="00E832F3">
            <w:pPr>
              <w:pStyle w:val="Tablebody"/>
              <w:rPr>
                <w:b/>
                <w:bCs/>
              </w:rPr>
            </w:pPr>
            <w:r w:rsidRPr="00E832F3">
              <w:rPr>
                <w:b/>
                <w:bCs/>
              </w:rPr>
              <w:t>Member type</w:t>
            </w:r>
          </w:p>
        </w:tc>
        <w:tc>
          <w:tcPr>
            <w:tcW w:w="1984" w:type="dxa"/>
          </w:tcPr>
          <w:p w14:paraId="4F22DE2C" w14:textId="77777777" w:rsidR="00E832F3" w:rsidRPr="00E832F3" w:rsidRDefault="00E832F3" w:rsidP="00E832F3">
            <w:pPr>
              <w:pStyle w:val="Tablebody"/>
              <w:rPr>
                <w:b/>
                <w:bCs/>
              </w:rPr>
            </w:pPr>
          </w:p>
        </w:tc>
        <w:tc>
          <w:tcPr>
            <w:tcW w:w="851" w:type="dxa"/>
          </w:tcPr>
          <w:p w14:paraId="07B21F3F" w14:textId="77777777" w:rsidR="00E832F3" w:rsidRPr="00E832F3" w:rsidRDefault="00E832F3" w:rsidP="00E832F3">
            <w:pPr>
              <w:pStyle w:val="Tablebody"/>
              <w:jc w:val="center"/>
              <w:rPr>
                <w:b/>
                <w:bCs/>
              </w:rPr>
            </w:pPr>
            <w:r w:rsidRPr="00E832F3">
              <w:rPr>
                <w:b/>
                <w:bCs/>
              </w:rPr>
              <w:t>SD</w:t>
            </w:r>
          </w:p>
        </w:tc>
        <w:tc>
          <w:tcPr>
            <w:tcW w:w="706" w:type="dxa"/>
          </w:tcPr>
          <w:p w14:paraId="57655E85" w14:textId="77777777" w:rsidR="00E832F3" w:rsidRPr="00E832F3" w:rsidRDefault="00E832F3" w:rsidP="00E832F3">
            <w:pPr>
              <w:pStyle w:val="Tablebody"/>
              <w:jc w:val="center"/>
              <w:rPr>
                <w:b/>
                <w:bCs/>
              </w:rPr>
            </w:pPr>
            <w:r w:rsidRPr="00E832F3">
              <w:rPr>
                <w:b/>
                <w:bCs/>
              </w:rPr>
              <w:t>NC</w:t>
            </w:r>
          </w:p>
        </w:tc>
      </w:tr>
      <w:tr w:rsidR="00E832F3" w:rsidRPr="001514CB" w14:paraId="0902F1E3" w14:textId="77777777" w:rsidTr="00E832F3">
        <w:trPr>
          <w:jc w:val="center"/>
        </w:trPr>
        <w:tc>
          <w:tcPr>
            <w:tcW w:w="3831" w:type="dxa"/>
            <w:vMerge w:val="restart"/>
            <w:vAlign w:val="center"/>
          </w:tcPr>
          <w:p w14:paraId="6CB08ECB" w14:textId="77777777" w:rsidR="00E832F3" w:rsidRPr="001514CB" w:rsidRDefault="00E832F3" w:rsidP="00E832F3">
            <w:pPr>
              <w:pStyle w:val="Tablebody"/>
            </w:pPr>
            <w:r w:rsidRPr="001514CB">
              <w:rPr>
                <w:rFonts w:asciiTheme="majorHAnsi" w:hAnsiTheme="majorHAnsi"/>
              </w:rPr>
              <w:t>Bracing</w:t>
            </w:r>
          </w:p>
        </w:tc>
        <w:tc>
          <w:tcPr>
            <w:tcW w:w="1984" w:type="dxa"/>
            <w:vAlign w:val="center"/>
          </w:tcPr>
          <w:p w14:paraId="4C62F07D" w14:textId="77777777" w:rsidR="00E832F3" w:rsidRPr="001514CB" w:rsidRDefault="00E832F3" w:rsidP="00E832F3">
            <w:pPr>
              <w:pStyle w:val="Tablebody"/>
            </w:pPr>
            <w:r w:rsidRPr="001514CB">
              <w:rPr>
                <w:rFonts w:asciiTheme="majorHAnsi" w:hAnsiTheme="majorHAnsi"/>
              </w:rPr>
              <w:t>Tension (Yielding)</w:t>
            </w:r>
          </w:p>
        </w:tc>
        <w:tc>
          <w:tcPr>
            <w:tcW w:w="851" w:type="dxa"/>
            <w:vAlign w:val="center"/>
          </w:tcPr>
          <w:p w14:paraId="0AB0D73C" w14:textId="77777777" w:rsidR="00E832F3" w:rsidRPr="001514CB" w:rsidRDefault="00E832F3" w:rsidP="00E832F3">
            <w:pPr>
              <w:pStyle w:val="Tablebody"/>
              <w:jc w:val="center"/>
              <w:rPr>
                <w:rFonts w:asciiTheme="majorHAnsi" w:hAnsiTheme="majorHAnsi"/>
              </w:rPr>
            </w:pPr>
            <w:r>
              <w:rPr>
                <w:rFonts w:ascii="Calibri" w:hAnsi="Calibri" w:cs="Calibri"/>
              </w:rPr>
              <w:t>1,3</w:t>
            </w:r>
          </w:p>
        </w:tc>
        <w:tc>
          <w:tcPr>
            <w:tcW w:w="706" w:type="dxa"/>
            <w:vAlign w:val="center"/>
          </w:tcPr>
          <w:p w14:paraId="3D3DDAE2" w14:textId="77777777" w:rsidR="00E832F3" w:rsidRPr="001514CB" w:rsidRDefault="00E832F3" w:rsidP="00E832F3">
            <w:pPr>
              <w:pStyle w:val="Tablebody"/>
              <w:jc w:val="center"/>
              <w:rPr>
                <w:rFonts w:asciiTheme="majorHAnsi" w:hAnsiTheme="majorHAnsi"/>
              </w:rPr>
            </w:pPr>
            <w:r>
              <w:rPr>
                <w:rFonts w:ascii="Calibri" w:hAnsi="Calibri" w:cs="Calibri"/>
              </w:rPr>
              <w:t>1,45</w:t>
            </w:r>
          </w:p>
        </w:tc>
      </w:tr>
      <w:tr w:rsidR="00E832F3" w:rsidRPr="001514CB" w14:paraId="0606F8F2" w14:textId="77777777" w:rsidTr="00E832F3">
        <w:trPr>
          <w:trHeight w:val="207"/>
          <w:jc w:val="center"/>
        </w:trPr>
        <w:tc>
          <w:tcPr>
            <w:tcW w:w="3831" w:type="dxa"/>
            <w:vMerge/>
            <w:vAlign w:val="center"/>
          </w:tcPr>
          <w:p w14:paraId="51064683" w14:textId="77777777" w:rsidR="00E832F3" w:rsidRPr="001514CB" w:rsidRDefault="00E832F3" w:rsidP="00E832F3">
            <w:pPr>
              <w:pStyle w:val="Tablebody"/>
              <w:rPr>
                <w:rFonts w:asciiTheme="majorHAnsi" w:hAnsiTheme="majorHAnsi"/>
              </w:rPr>
            </w:pPr>
          </w:p>
        </w:tc>
        <w:tc>
          <w:tcPr>
            <w:tcW w:w="1984" w:type="dxa"/>
            <w:vAlign w:val="center"/>
          </w:tcPr>
          <w:p w14:paraId="78CC0081" w14:textId="77777777" w:rsidR="00E832F3" w:rsidRPr="001514CB" w:rsidRDefault="00E832F3" w:rsidP="00E832F3">
            <w:pPr>
              <w:pStyle w:val="Tablebody"/>
              <w:rPr>
                <w:rFonts w:asciiTheme="majorHAnsi" w:hAnsiTheme="majorHAnsi"/>
              </w:rPr>
            </w:pPr>
            <w:r w:rsidRPr="001514CB">
              <w:rPr>
                <w:rFonts w:asciiTheme="majorHAnsi" w:hAnsiTheme="majorHAnsi"/>
              </w:rPr>
              <w:t>Compression (Buckling)</w:t>
            </w:r>
          </w:p>
        </w:tc>
        <w:tc>
          <w:tcPr>
            <w:tcW w:w="851" w:type="dxa"/>
            <w:vAlign w:val="center"/>
          </w:tcPr>
          <w:p w14:paraId="453C4ACD" w14:textId="77777777" w:rsidR="00E832F3" w:rsidRPr="001514CB" w:rsidRDefault="00E832F3" w:rsidP="00E832F3">
            <w:pPr>
              <w:pStyle w:val="Tablebody"/>
              <w:jc w:val="center"/>
              <w:rPr>
                <w:rFonts w:asciiTheme="majorHAnsi" w:hAnsiTheme="majorHAnsi"/>
              </w:rPr>
            </w:pPr>
            <w:r>
              <w:rPr>
                <w:rFonts w:ascii="Calibri" w:hAnsi="Calibri" w:cs="Calibri"/>
              </w:rPr>
              <w:t>1,4</w:t>
            </w:r>
          </w:p>
        </w:tc>
        <w:tc>
          <w:tcPr>
            <w:tcW w:w="706" w:type="dxa"/>
            <w:vAlign w:val="center"/>
          </w:tcPr>
          <w:p w14:paraId="350E70B7" w14:textId="77777777" w:rsidR="00E832F3" w:rsidRPr="001514CB" w:rsidRDefault="00E832F3" w:rsidP="00E832F3">
            <w:pPr>
              <w:pStyle w:val="Tablebody"/>
              <w:jc w:val="center"/>
              <w:rPr>
                <w:rFonts w:asciiTheme="majorHAnsi" w:hAnsiTheme="majorHAnsi"/>
              </w:rPr>
            </w:pPr>
            <w:r>
              <w:rPr>
                <w:rFonts w:ascii="Calibri" w:hAnsi="Calibri" w:cs="Calibri"/>
              </w:rPr>
              <w:t>1,6</w:t>
            </w:r>
          </w:p>
        </w:tc>
      </w:tr>
      <w:tr w:rsidR="00E832F3" w:rsidRPr="001514CB" w14:paraId="32695CA5" w14:textId="77777777" w:rsidTr="00E832F3">
        <w:trPr>
          <w:jc w:val="center"/>
        </w:trPr>
        <w:tc>
          <w:tcPr>
            <w:tcW w:w="3831" w:type="dxa"/>
            <w:vAlign w:val="center"/>
          </w:tcPr>
          <w:p w14:paraId="548914EF" w14:textId="77777777" w:rsidR="00E832F3" w:rsidRPr="001514CB" w:rsidRDefault="00E832F3" w:rsidP="00E832F3">
            <w:pPr>
              <w:pStyle w:val="Tablebody"/>
              <w:rPr>
                <w:rFonts w:asciiTheme="majorHAnsi" w:hAnsiTheme="majorHAnsi"/>
              </w:rPr>
            </w:pPr>
            <w:r w:rsidRPr="001514CB">
              <w:rPr>
                <w:rFonts w:asciiTheme="majorHAnsi" w:hAnsiTheme="majorHAnsi"/>
              </w:rPr>
              <w:t>Buckling-restrained braces</w:t>
            </w:r>
          </w:p>
        </w:tc>
        <w:tc>
          <w:tcPr>
            <w:tcW w:w="1984" w:type="dxa"/>
            <w:vAlign w:val="center"/>
          </w:tcPr>
          <w:p w14:paraId="29F4F76E" w14:textId="77777777" w:rsidR="00E832F3" w:rsidRPr="001514CB" w:rsidRDefault="00E832F3" w:rsidP="00E832F3">
            <w:pPr>
              <w:pStyle w:val="Tablebody"/>
              <w:rPr>
                <w:rFonts w:asciiTheme="majorHAnsi" w:hAnsiTheme="majorHAnsi"/>
              </w:rPr>
            </w:pPr>
            <w:r w:rsidRPr="001514CB">
              <w:rPr>
                <w:rFonts w:asciiTheme="majorHAnsi" w:hAnsiTheme="majorHAnsi"/>
              </w:rPr>
              <w:t>Tension and compression</w:t>
            </w:r>
          </w:p>
        </w:tc>
        <w:tc>
          <w:tcPr>
            <w:tcW w:w="851" w:type="dxa"/>
            <w:vAlign w:val="center"/>
          </w:tcPr>
          <w:p w14:paraId="35C5124D" w14:textId="77777777" w:rsidR="00E832F3" w:rsidRPr="001514CB" w:rsidRDefault="00E832F3" w:rsidP="00E832F3">
            <w:pPr>
              <w:pStyle w:val="Tablebody"/>
              <w:jc w:val="center"/>
              <w:rPr>
                <w:rFonts w:asciiTheme="majorHAnsi" w:hAnsiTheme="majorHAnsi"/>
              </w:rPr>
            </w:pPr>
            <w:r>
              <w:rPr>
                <w:rFonts w:ascii="Calibri" w:hAnsi="Calibri" w:cs="Calibri"/>
              </w:rPr>
              <w:t>1,05</w:t>
            </w:r>
          </w:p>
        </w:tc>
        <w:tc>
          <w:tcPr>
            <w:tcW w:w="706" w:type="dxa"/>
            <w:vAlign w:val="center"/>
          </w:tcPr>
          <w:p w14:paraId="645BD78E" w14:textId="77777777" w:rsidR="00E832F3" w:rsidRPr="001514CB" w:rsidRDefault="00E832F3" w:rsidP="00E832F3">
            <w:pPr>
              <w:pStyle w:val="Tablebody"/>
              <w:jc w:val="center"/>
              <w:rPr>
                <w:rFonts w:asciiTheme="majorHAnsi" w:hAnsiTheme="majorHAnsi"/>
              </w:rPr>
            </w:pPr>
            <w:r>
              <w:rPr>
                <w:rFonts w:ascii="Calibri" w:hAnsi="Calibri" w:cs="Calibri"/>
              </w:rPr>
              <w:t>1,1</w:t>
            </w:r>
          </w:p>
        </w:tc>
      </w:tr>
      <w:tr w:rsidR="00E832F3" w:rsidRPr="001514CB" w14:paraId="2C0353C3" w14:textId="77777777" w:rsidTr="00E832F3">
        <w:trPr>
          <w:jc w:val="center"/>
        </w:trPr>
        <w:tc>
          <w:tcPr>
            <w:tcW w:w="3831" w:type="dxa"/>
            <w:vAlign w:val="center"/>
          </w:tcPr>
          <w:p w14:paraId="0F13FBAA" w14:textId="77777777" w:rsidR="00E832F3" w:rsidRPr="001514CB" w:rsidRDefault="00E832F3" w:rsidP="00E832F3">
            <w:pPr>
              <w:pStyle w:val="Tablebody"/>
            </w:pPr>
            <w:r w:rsidRPr="001514CB">
              <w:rPr>
                <w:rFonts w:asciiTheme="majorHAnsi" w:hAnsiTheme="majorHAnsi"/>
              </w:rPr>
              <w:t>Beam-column web joints (panel zone)</w:t>
            </w:r>
          </w:p>
        </w:tc>
        <w:tc>
          <w:tcPr>
            <w:tcW w:w="1984" w:type="dxa"/>
            <w:vAlign w:val="center"/>
          </w:tcPr>
          <w:p w14:paraId="0CAA5472" w14:textId="77777777" w:rsidR="00E832F3" w:rsidRPr="001514CB" w:rsidRDefault="00E832F3" w:rsidP="00E832F3">
            <w:pPr>
              <w:pStyle w:val="Tablebody"/>
            </w:pPr>
            <w:r w:rsidRPr="001514CB">
              <w:rPr>
                <w:rFonts w:asciiTheme="majorHAnsi" w:hAnsiTheme="majorHAnsi"/>
              </w:rPr>
              <w:t>Shear distortion</w:t>
            </w:r>
          </w:p>
        </w:tc>
        <w:tc>
          <w:tcPr>
            <w:tcW w:w="851" w:type="dxa"/>
            <w:vAlign w:val="center"/>
          </w:tcPr>
          <w:p w14:paraId="7D7648EA" w14:textId="77777777" w:rsidR="00E832F3" w:rsidRPr="001514CB" w:rsidRDefault="00E832F3" w:rsidP="00E832F3">
            <w:pPr>
              <w:pStyle w:val="Tablebody"/>
              <w:jc w:val="center"/>
              <w:rPr>
                <w:rFonts w:asciiTheme="majorHAnsi" w:hAnsiTheme="majorHAnsi"/>
              </w:rPr>
            </w:pPr>
            <w:r>
              <w:rPr>
                <w:rFonts w:ascii="Calibri" w:hAnsi="Calibri" w:cs="Calibri"/>
              </w:rPr>
              <w:t>1,05</w:t>
            </w:r>
          </w:p>
        </w:tc>
        <w:tc>
          <w:tcPr>
            <w:tcW w:w="706" w:type="dxa"/>
            <w:vAlign w:val="center"/>
          </w:tcPr>
          <w:p w14:paraId="3DD83F5B" w14:textId="77777777" w:rsidR="00E832F3" w:rsidRPr="001514CB" w:rsidRDefault="00E832F3" w:rsidP="00E832F3">
            <w:pPr>
              <w:pStyle w:val="Tablebody"/>
              <w:jc w:val="center"/>
              <w:rPr>
                <w:rFonts w:asciiTheme="majorHAnsi" w:hAnsiTheme="majorHAnsi"/>
              </w:rPr>
            </w:pPr>
            <w:r>
              <w:rPr>
                <w:rFonts w:ascii="Calibri" w:hAnsi="Calibri" w:cs="Calibri"/>
              </w:rPr>
              <w:t>1,1</w:t>
            </w:r>
          </w:p>
        </w:tc>
      </w:tr>
    </w:tbl>
    <w:p w14:paraId="6BB5D431" w14:textId="4899041C" w:rsidR="006250EE" w:rsidRDefault="00E832F3" w:rsidP="007D7E6D">
      <w:pPr>
        <w:pStyle w:val="Notetext"/>
        <w:spacing w:before="200"/>
      </w:pPr>
      <w:r>
        <w:t>NOTE</w:t>
      </w:r>
      <w:r>
        <w:tab/>
        <w:t xml:space="preserve">The values in Table 11.6 (NDP) and 11.7 (NDP) are computed with the values of </w:t>
      </w:r>
      <w:r w:rsidRPr="00B1355D">
        <w:rPr>
          <w:rFonts w:ascii="Symbol" w:hAnsi="Symbol"/>
          <w:i/>
        </w:rPr>
        <w:t></w:t>
      </w:r>
      <w:r w:rsidRPr="00B1355D">
        <w:rPr>
          <w:vertAlign w:val="subscript"/>
        </w:rPr>
        <w:t>t,LS,</w:t>
      </w:r>
      <w:r>
        <w:rPr>
          <w:vertAlign w:val="subscript"/>
        </w:rPr>
        <w:t>2</w:t>
      </w:r>
      <w:r w:rsidRPr="00B1355D">
        <w:t xml:space="preserve"> </w:t>
      </w:r>
      <w:r>
        <w:t xml:space="preserve">(i.e. CC2) </w:t>
      </w:r>
      <w:r w:rsidRPr="00B1355D">
        <w:t>suggested in prEN</w:t>
      </w:r>
      <w:r>
        <w:t> </w:t>
      </w:r>
      <w:r w:rsidRPr="00B1355D">
        <w:t>1998-1-1:</w:t>
      </w:r>
      <w:r w:rsidRPr="00E832F3">
        <w:t>2022, F.3. Values</w:t>
      </w:r>
      <w:r>
        <w:t xml:space="preserve"> for CC other than CC2 can be calculated according to the note in 6.2.3(3)</w:t>
      </w:r>
      <w:r w:rsidRPr="001D5B78">
        <w:t>.</w:t>
      </w:r>
      <w:r>
        <w:t xml:space="preserve"> If the </w:t>
      </w:r>
      <w:r w:rsidRPr="001D5B78">
        <w:t xml:space="preserve">National Annex gives different values </w:t>
      </w:r>
      <w:r>
        <w:t xml:space="preserve">of </w:t>
      </w:r>
      <w:r w:rsidRPr="00B1355D">
        <w:rPr>
          <w:rFonts w:ascii="Symbol" w:hAnsi="Symbol"/>
          <w:i/>
        </w:rPr>
        <w:t></w:t>
      </w:r>
      <w:r w:rsidRPr="00B1355D">
        <w:rPr>
          <w:vertAlign w:val="subscript"/>
        </w:rPr>
        <w:t>t,LS,CC</w:t>
      </w:r>
      <w:r w:rsidRPr="001D5B78">
        <w:t xml:space="preserve"> for use in a country</w:t>
      </w:r>
      <w:r>
        <w:t xml:space="preserve">, the partial factors </w:t>
      </w:r>
      <w:r w:rsidR="00155F8D">
        <w:t xml:space="preserve">can </w:t>
      </w:r>
      <w:r>
        <w:t>be updated according to the note in 6.2.3(3)</w:t>
      </w:r>
      <w:r w:rsidRPr="001D5B78">
        <w:t>.</w:t>
      </w:r>
    </w:p>
    <w:p w14:paraId="6747B1FD" w14:textId="4D2B5DB0" w:rsidR="006B51BF" w:rsidRPr="008D50FF" w:rsidRDefault="006B51BF" w:rsidP="00724E4E">
      <w:pPr>
        <w:pStyle w:val="Clause"/>
      </w:pPr>
      <w:r w:rsidRPr="008D50FF">
        <w:t>For the displacement-based approach, elements not listed in Table 11.5, e.g. connections, should be verified in terms of general</w:t>
      </w:r>
      <w:r w:rsidR="00E10A24">
        <w:t>ize</w:t>
      </w:r>
      <w:r w:rsidRPr="008D50FF">
        <w:t>d stresses according to (1).</w:t>
      </w:r>
    </w:p>
    <w:p w14:paraId="44842F78" w14:textId="4CFEF6F4" w:rsidR="006B51BF" w:rsidRPr="00E05E29" w:rsidRDefault="006B51BF" w:rsidP="006B51BF">
      <w:pPr>
        <w:pStyle w:val="Heading3"/>
      </w:pPr>
      <w:bookmarkStart w:id="9394" w:name="_Toc18314107"/>
      <w:bookmarkStart w:id="9395" w:name="_Toc50150422"/>
      <w:bookmarkStart w:id="9396" w:name="_Toc70886854"/>
      <w:bookmarkStart w:id="9397" w:name="_Toc108342412"/>
      <w:bookmarkStart w:id="9398" w:name="_Toc134197944"/>
      <w:r w:rsidRPr="00E05E29">
        <w:t>Limitation of interstorey drift at Significant Damage limit state</w:t>
      </w:r>
      <w:bookmarkEnd w:id="9394"/>
      <w:bookmarkEnd w:id="9395"/>
      <w:bookmarkEnd w:id="9396"/>
      <w:bookmarkEnd w:id="9397"/>
      <w:bookmarkEnd w:id="9398"/>
    </w:p>
    <w:p w14:paraId="1E1DF267" w14:textId="084C9E03" w:rsidR="006B51BF" w:rsidRPr="008D50FF" w:rsidRDefault="006B51BF" w:rsidP="0080187E">
      <w:pPr>
        <w:pStyle w:val="Clause"/>
        <w:numPr>
          <w:ilvl w:val="0"/>
          <w:numId w:val="368"/>
        </w:numPr>
      </w:pPr>
      <w:r w:rsidRPr="00E05E29">
        <w:t xml:space="preserve">For all ductility </w:t>
      </w:r>
      <w:r w:rsidRPr="00442ADE">
        <w:t xml:space="preserve">classes and for </w:t>
      </w:r>
      <w:r w:rsidRPr="008D50FF">
        <w:t>design made according to 11.7.3, the interstorey drift at SD limit state should be limited to:</w:t>
      </w:r>
    </w:p>
    <w:p w14:paraId="7DE90ACB" w14:textId="77777777" w:rsidR="006B51BF" w:rsidRPr="008D50FF" w:rsidRDefault="006B51BF" w:rsidP="0080187E">
      <w:pPr>
        <w:pStyle w:val="Text"/>
        <w:numPr>
          <w:ilvl w:val="0"/>
          <w:numId w:val="640"/>
        </w:numPr>
      </w:pPr>
      <w:r w:rsidRPr="008D50FF">
        <w:rPr>
          <w:i/>
        </w:rPr>
        <w:t>d</w:t>
      </w:r>
      <w:r w:rsidRPr="008D50FF">
        <w:rPr>
          <w:vertAlign w:val="subscript"/>
        </w:rPr>
        <w:t>r,SD</w:t>
      </w:r>
      <w:r w:rsidRPr="008D50FF">
        <w:t xml:space="preserve"> ≤ 0,020 </w:t>
      </w:r>
      <w:r w:rsidRPr="008D50FF">
        <w:rPr>
          <w:i/>
        </w:rPr>
        <w:t>h</w:t>
      </w:r>
      <w:r w:rsidRPr="008D50FF">
        <w:rPr>
          <w:iCs/>
          <w:vertAlign w:val="subscript"/>
        </w:rPr>
        <w:t>s</w:t>
      </w:r>
      <w:r w:rsidRPr="008D50FF">
        <w:t xml:space="preserve"> for moment frames;</w:t>
      </w:r>
    </w:p>
    <w:p w14:paraId="7050027B" w14:textId="77777777" w:rsidR="006B51BF" w:rsidRPr="008D50FF" w:rsidRDefault="006B51BF" w:rsidP="0080187E">
      <w:pPr>
        <w:pStyle w:val="Text"/>
        <w:numPr>
          <w:ilvl w:val="0"/>
          <w:numId w:val="640"/>
        </w:numPr>
      </w:pPr>
      <w:r w:rsidRPr="008D50FF">
        <w:rPr>
          <w:i/>
        </w:rPr>
        <w:t>d</w:t>
      </w:r>
      <w:r w:rsidRPr="008D50FF">
        <w:rPr>
          <w:vertAlign w:val="subscript"/>
        </w:rPr>
        <w:t>r,SD</w:t>
      </w:r>
      <w:r w:rsidRPr="008D50FF">
        <w:t xml:space="preserve"> ≤ 0,015 </w:t>
      </w:r>
      <w:r w:rsidRPr="008D50FF">
        <w:rPr>
          <w:i/>
        </w:rPr>
        <w:t>h</w:t>
      </w:r>
      <w:r w:rsidRPr="008D50FF">
        <w:rPr>
          <w:iCs/>
          <w:vertAlign w:val="subscript"/>
        </w:rPr>
        <w:t>s</w:t>
      </w:r>
      <w:r w:rsidRPr="008D50FF">
        <w:t xml:space="preserve"> for braced frames and inverted pendulum structures;</w:t>
      </w:r>
    </w:p>
    <w:p w14:paraId="487C28E3" w14:textId="76CB3C4F" w:rsidR="006B51BF" w:rsidRPr="008D50FF" w:rsidRDefault="006B51BF" w:rsidP="0080187E">
      <w:pPr>
        <w:pStyle w:val="Text"/>
        <w:numPr>
          <w:ilvl w:val="0"/>
          <w:numId w:val="640"/>
        </w:numPr>
      </w:pPr>
      <w:r w:rsidRPr="008D50FF">
        <w:t>for frames with buckling restrained bracings see 11.12.4(5)</w:t>
      </w:r>
      <w:r w:rsidR="000E317F" w:rsidRPr="008D50FF">
        <w:t>;</w:t>
      </w:r>
    </w:p>
    <w:p w14:paraId="5E395E36" w14:textId="77777777" w:rsidR="006B51BF" w:rsidRPr="008D50FF" w:rsidRDefault="006B51BF" w:rsidP="0080187E">
      <w:pPr>
        <w:pStyle w:val="Text"/>
        <w:numPr>
          <w:ilvl w:val="0"/>
          <w:numId w:val="640"/>
        </w:numPr>
        <w:rPr>
          <w:rFonts w:eastAsia="Times New Roman" w:cs="Times New Roman"/>
          <w:lang w:eastAsia="en-US"/>
        </w:rPr>
      </w:pPr>
      <w:r w:rsidRPr="008D50FF">
        <w:rPr>
          <w:i/>
        </w:rPr>
        <w:t>d</w:t>
      </w:r>
      <w:r w:rsidRPr="008D50FF">
        <w:rPr>
          <w:vertAlign w:val="subscript"/>
        </w:rPr>
        <w:t>r,SD</w:t>
      </w:r>
      <w:r w:rsidRPr="008D50FF">
        <w:t xml:space="preserve"> ≤ </w:t>
      </w:r>
      <w:r w:rsidRPr="008D50FF">
        <w:rPr>
          <w:rFonts w:eastAsia="Times New Roman" w:cs="Times New Roman"/>
          <w:lang w:eastAsia="en-US"/>
        </w:rPr>
        <w:t xml:space="preserve">0,020 </w:t>
      </w:r>
      <w:r w:rsidRPr="008D50FF">
        <w:rPr>
          <w:rFonts w:eastAsia="Times New Roman" w:cs="Times New Roman"/>
          <w:i/>
          <w:iCs/>
          <w:lang w:eastAsia="en-US"/>
        </w:rPr>
        <w:t>h</w:t>
      </w:r>
      <w:r w:rsidRPr="008D50FF">
        <w:rPr>
          <w:rFonts w:eastAsia="Times New Roman" w:cs="Times New Roman"/>
          <w:vertAlign w:val="subscript"/>
          <w:lang w:eastAsia="en-US"/>
        </w:rPr>
        <w:t>s</w:t>
      </w:r>
      <w:r w:rsidRPr="008D50FF">
        <w:rPr>
          <w:rFonts w:eastAsia="Times New Roman" w:cs="Times New Roman"/>
          <w:lang w:eastAsia="en-US"/>
        </w:rPr>
        <w:t xml:space="preserve"> for dual frames;</w:t>
      </w:r>
    </w:p>
    <w:p w14:paraId="59E01DF9" w14:textId="77777777" w:rsidR="006B51BF" w:rsidRPr="008D50FF" w:rsidRDefault="006B51BF" w:rsidP="0080187E">
      <w:pPr>
        <w:pStyle w:val="Text"/>
        <w:numPr>
          <w:ilvl w:val="0"/>
          <w:numId w:val="640"/>
        </w:numPr>
      </w:pPr>
      <w:r w:rsidRPr="008D50FF">
        <w:rPr>
          <w:i/>
        </w:rPr>
        <w:t>d</w:t>
      </w:r>
      <w:r w:rsidRPr="008D50FF">
        <w:rPr>
          <w:vertAlign w:val="subscript"/>
        </w:rPr>
        <w:t>r,SD</w:t>
      </w:r>
      <w:r w:rsidRPr="008D50FF">
        <w:t xml:space="preserve"> ≤ 0,010 </w:t>
      </w:r>
      <w:r w:rsidRPr="008D50FF">
        <w:rPr>
          <w:i/>
        </w:rPr>
        <w:t>h</w:t>
      </w:r>
      <w:r w:rsidRPr="008D50FF">
        <w:rPr>
          <w:iCs/>
          <w:vertAlign w:val="subscript"/>
        </w:rPr>
        <w:t>s</w:t>
      </w:r>
      <w:r w:rsidRPr="008D50FF">
        <w:t xml:space="preserve"> for light weight structures;</w:t>
      </w:r>
    </w:p>
    <w:p w14:paraId="05EAC9EE" w14:textId="77777777" w:rsidR="006B51BF" w:rsidRPr="008D50FF" w:rsidRDefault="006B51BF" w:rsidP="0080187E">
      <w:pPr>
        <w:pStyle w:val="Text"/>
        <w:numPr>
          <w:ilvl w:val="0"/>
          <w:numId w:val="640"/>
        </w:numPr>
        <w:rPr>
          <w:rFonts w:eastAsia="Times New Roman" w:cs="Times New Roman"/>
          <w:szCs w:val="24"/>
          <w:lang w:eastAsia="en-US"/>
        </w:rPr>
      </w:pPr>
      <w:r w:rsidRPr="008D50FF">
        <w:rPr>
          <w:rFonts w:eastAsia="Times New Roman" w:cs="Times New Roman"/>
          <w:szCs w:val="24"/>
          <w:lang w:eastAsia="en-US"/>
        </w:rPr>
        <w:lastRenderedPageBreak/>
        <w:t>for moment frames with interacting infills, 7.4.2.1 should be applied;</w:t>
      </w:r>
    </w:p>
    <w:p w14:paraId="1B51553A" w14:textId="77777777" w:rsidR="006B51BF" w:rsidRPr="008D50FF" w:rsidRDefault="006B51BF" w:rsidP="0080187E">
      <w:pPr>
        <w:pStyle w:val="Text"/>
        <w:numPr>
          <w:ilvl w:val="0"/>
          <w:numId w:val="640"/>
        </w:numPr>
      </w:pPr>
      <w:r w:rsidRPr="008D50FF">
        <w:rPr>
          <w:i/>
        </w:rPr>
        <w:t>d</w:t>
      </w:r>
      <w:r w:rsidRPr="008D50FF">
        <w:rPr>
          <w:vertAlign w:val="subscript"/>
        </w:rPr>
        <w:t>r,SD</w:t>
      </w:r>
      <w:r w:rsidRPr="008D50FF">
        <w:t xml:space="preserve"> ≤ 0,015 </w:t>
      </w:r>
      <w:r w:rsidRPr="008D50FF">
        <w:rPr>
          <w:i/>
        </w:rPr>
        <w:t>h</w:t>
      </w:r>
      <w:r w:rsidRPr="008D50FF">
        <w:rPr>
          <w:iCs/>
          <w:vertAlign w:val="subscript"/>
        </w:rPr>
        <w:t>s</w:t>
      </w:r>
      <w:r w:rsidRPr="008D50FF">
        <w:t xml:space="preserve"> for all other structures;</w:t>
      </w:r>
    </w:p>
    <w:p w14:paraId="1A3F5A87" w14:textId="32C0B54F" w:rsidR="006B51BF" w:rsidRDefault="00675EBA" w:rsidP="008D50FF">
      <w:pPr>
        <w:pStyle w:val="Text"/>
      </w:pPr>
      <w:r>
        <w:t>where</w:t>
      </w:r>
    </w:p>
    <w:tbl>
      <w:tblPr>
        <w:tblW w:w="0" w:type="auto"/>
        <w:tblInd w:w="284" w:type="dxa"/>
        <w:tblLook w:val="04A0" w:firstRow="1" w:lastRow="0" w:firstColumn="1" w:lastColumn="0" w:noHBand="0" w:noVBand="1"/>
      </w:tblPr>
      <w:tblGrid>
        <w:gridCol w:w="1337"/>
        <w:gridCol w:w="7938"/>
      </w:tblGrid>
      <w:tr w:rsidR="008D50FF" w:rsidRPr="00DE565A" w14:paraId="6D290F63" w14:textId="77777777" w:rsidTr="007D7E6D">
        <w:tc>
          <w:tcPr>
            <w:tcW w:w="1337" w:type="dxa"/>
          </w:tcPr>
          <w:p w14:paraId="4448ADEA" w14:textId="27C53B44" w:rsidR="008D50FF" w:rsidRPr="00DE565A" w:rsidRDefault="00FD0E83" w:rsidP="002061E5">
            <w:pPr>
              <w:spacing w:after="60"/>
              <w:rPr>
                <w:rFonts w:eastAsia="Times New Roman" w:cs="Cambria"/>
                <w:szCs w:val="20"/>
                <w:lang w:eastAsia="fr-FR"/>
              </w:rPr>
            </w:pPr>
            <w:r w:rsidRPr="00E05E29">
              <w:rPr>
                <w:i/>
              </w:rPr>
              <w:t>d</w:t>
            </w:r>
            <w:r w:rsidRPr="00E05E29">
              <w:rPr>
                <w:vertAlign w:val="subscript"/>
              </w:rPr>
              <w:t>r,SD</w:t>
            </w:r>
          </w:p>
        </w:tc>
        <w:tc>
          <w:tcPr>
            <w:tcW w:w="7938" w:type="dxa"/>
          </w:tcPr>
          <w:p w14:paraId="3344B037" w14:textId="05D4A1D6" w:rsidR="008D50FF" w:rsidRPr="00DE565A" w:rsidRDefault="00FD0E83" w:rsidP="002061E5">
            <w:pPr>
              <w:spacing w:after="60"/>
              <w:rPr>
                <w:rFonts w:eastAsia="Times New Roman" w:cs="Cambria"/>
                <w:szCs w:val="20"/>
                <w:lang w:eastAsia="fr-FR"/>
              </w:rPr>
            </w:pPr>
            <w:r w:rsidRPr="00FD0E83">
              <w:t>is as given in 6.2.4;</w:t>
            </w:r>
          </w:p>
        </w:tc>
      </w:tr>
      <w:tr w:rsidR="008D50FF" w:rsidRPr="00870D59" w14:paraId="291A12B9" w14:textId="77777777" w:rsidTr="007D7E6D">
        <w:tc>
          <w:tcPr>
            <w:tcW w:w="1337" w:type="dxa"/>
          </w:tcPr>
          <w:p w14:paraId="5FF4914D" w14:textId="4A92A4A1" w:rsidR="008D50FF" w:rsidRPr="00D1484A" w:rsidRDefault="00FD0E83" w:rsidP="002061E5">
            <w:pPr>
              <w:spacing w:after="60"/>
              <w:rPr>
                <w:i/>
                <w:iCs/>
              </w:rPr>
            </w:pPr>
            <w:r w:rsidRPr="00E05E29">
              <w:rPr>
                <w:i/>
              </w:rPr>
              <w:t>h</w:t>
            </w:r>
            <w:r w:rsidRPr="00E05E29">
              <w:rPr>
                <w:iCs/>
                <w:vertAlign w:val="subscript"/>
              </w:rPr>
              <w:t>s</w:t>
            </w:r>
          </w:p>
        </w:tc>
        <w:tc>
          <w:tcPr>
            <w:tcW w:w="7938" w:type="dxa"/>
          </w:tcPr>
          <w:p w14:paraId="4477202C" w14:textId="3DE2FFA3" w:rsidR="008D50FF" w:rsidRPr="007E6F67" w:rsidRDefault="00FD0E83" w:rsidP="002061E5">
            <w:r w:rsidRPr="00FD0E83">
              <w:t>is the interstorey height.</w:t>
            </w:r>
          </w:p>
        </w:tc>
      </w:tr>
    </w:tbl>
    <w:p w14:paraId="459AB01C" w14:textId="47DB220D" w:rsidR="006B51BF" w:rsidRPr="00E05E29" w:rsidRDefault="006B51BF" w:rsidP="006B51BF">
      <w:pPr>
        <w:pStyle w:val="Heading2"/>
      </w:pPr>
      <w:bookmarkStart w:id="9399" w:name="_Toc483723221"/>
      <w:bookmarkStart w:id="9400" w:name="_Toc483723556"/>
      <w:bookmarkStart w:id="9401" w:name="_Toc484520870"/>
      <w:bookmarkStart w:id="9402" w:name="_Toc509405046"/>
      <w:bookmarkStart w:id="9403" w:name="_Toc76379862"/>
      <w:bookmarkStart w:id="9404" w:name="_Toc494124721"/>
      <w:bookmarkStart w:id="9405" w:name="_Toc522955919"/>
      <w:bookmarkStart w:id="9406" w:name="_Toc18314109"/>
      <w:bookmarkStart w:id="9407" w:name="_Toc50150423"/>
      <w:bookmarkStart w:id="9408" w:name="_Toc70886855"/>
      <w:bookmarkStart w:id="9409" w:name="_Toc108342413"/>
      <w:bookmarkStart w:id="9410" w:name="_Toc134197945"/>
      <w:r w:rsidRPr="00E05E29">
        <w:t xml:space="preserve">Design rules </w:t>
      </w:r>
      <w:r w:rsidRPr="00442ADE">
        <w:t>for low-dissipative (DC1) and non</w:t>
      </w:r>
      <w:r w:rsidR="00753F7D">
        <w:t>-</w:t>
      </w:r>
      <w:r w:rsidRPr="00442ADE">
        <w:t>dissipative structural behaviour for all structural types</w:t>
      </w:r>
      <w:bookmarkEnd w:id="9399"/>
      <w:bookmarkEnd w:id="9400"/>
      <w:bookmarkEnd w:id="9401"/>
      <w:bookmarkEnd w:id="9402"/>
      <w:bookmarkEnd w:id="9403"/>
      <w:bookmarkEnd w:id="9404"/>
      <w:bookmarkEnd w:id="9405"/>
      <w:bookmarkEnd w:id="9406"/>
      <w:bookmarkEnd w:id="9407"/>
      <w:bookmarkEnd w:id="9408"/>
      <w:bookmarkEnd w:id="9409"/>
      <w:bookmarkEnd w:id="9410"/>
    </w:p>
    <w:p w14:paraId="5A62F950" w14:textId="77777777" w:rsidR="006B51BF" w:rsidRPr="00E05E29" w:rsidRDefault="006B51BF" w:rsidP="006B51BF">
      <w:pPr>
        <w:pStyle w:val="Heading3"/>
      </w:pPr>
      <w:bookmarkStart w:id="9411" w:name="_Toc483723222"/>
      <w:bookmarkStart w:id="9412" w:name="_Toc483723557"/>
      <w:bookmarkStart w:id="9413" w:name="_Toc484520871"/>
      <w:bookmarkStart w:id="9414" w:name="_Toc509405047"/>
      <w:bookmarkStart w:id="9415" w:name="_Toc76379863"/>
      <w:bookmarkStart w:id="9416" w:name="_Toc494124722"/>
      <w:bookmarkStart w:id="9417" w:name="_Toc522955920"/>
      <w:bookmarkStart w:id="9418" w:name="_Toc18314110"/>
      <w:bookmarkStart w:id="9419" w:name="_Toc50150424"/>
      <w:bookmarkStart w:id="9420" w:name="_Toc70886856"/>
      <w:bookmarkStart w:id="9421" w:name="_Toc108342414"/>
      <w:bookmarkStart w:id="9422" w:name="_Toc134197946"/>
      <w:r w:rsidRPr="00E05E29">
        <w:t>General</w:t>
      </w:r>
      <w:bookmarkEnd w:id="9411"/>
      <w:bookmarkEnd w:id="9412"/>
      <w:bookmarkEnd w:id="9413"/>
      <w:bookmarkEnd w:id="9414"/>
      <w:bookmarkEnd w:id="9415"/>
      <w:bookmarkEnd w:id="9416"/>
      <w:bookmarkEnd w:id="9417"/>
      <w:bookmarkEnd w:id="9418"/>
      <w:bookmarkEnd w:id="9419"/>
      <w:bookmarkEnd w:id="9420"/>
      <w:bookmarkEnd w:id="9421"/>
      <w:bookmarkEnd w:id="9422"/>
    </w:p>
    <w:p w14:paraId="2203556B" w14:textId="7ABA2D49" w:rsidR="006B51BF" w:rsidRDefault="006B51BF" w:rsidP="0080187E">
      <w:pPr>
        <w:pStyle w:val="Clause"/>
        <w:numPr>
          <w:ilvl w:val="0"/>
          <w:numId w:val="369"/>
        </w:numPr>
      </w:pPr>
      <w:r w:rsidRPr="00FD0E83">
        <w:rPr>
          <w:bCs/>
        </w:rPr>
        <w:t>11.7.2 should be applied to the primary members of structures designed for respectively low-dissipative behaviour</w:t>
      </w:r>
      <w:r w:rsidRPr="00442ADE">
        <w:t xml:space="preserve"> and non-dissipative behaviour.</w:t>
      </w:r>
    </w:p>
    <w:p w14:paraId="74F0BE2A" w14:textId="5A880B40" w:rsidR="006B51BF" w:rsidRPr="00E05E29" w:rsidRDefault="006B51BF" w:rsidP="00724E4E">
      <w:pPr>
        <w:pStyle w:val="Clause"/>
      </w:pPr>
      <w:r>
        <w:t>T</w:t>
      </w:r>
      <w:r w:rsidRPr="008D70DE">
        <w:t>he resistance of the structural members and of their connections should be determined according to E</w:t>
      </w:r>
      <w:r w:rsidR="00FD0E83">
        <w:t>N 1993</w:t>
      </w:r>
      <w:r w:rsidRPr="008D70DE">
        <w:t>.</w:t>
      </w:r>
    </w:p>
    <w:p w14:paraId="52BC385C" w14:textId="289F6F38" w:rsidR="006B51BF" w:rsidRPr="00E05E29" w:rsidRDefault="006B51BF" w:rsidP="006B51BF">
      <w:pPr>
        <w:pStyle w:val="Heading3"/>
      </w:pPr>
      <w:bookmarkStart w:id="9423" w:name="_Toc483723223"/>
      <w:bookmarkStart w:id="9424" w:name="_Toc483723558"/>
      <w:bookmarkStart w:id="9425" w:name="_Toc484520872"/>
      <w:bookmarkStart w:id="9426" w:name="_Toc509405048"/>
      <w:bookmarkStart w:id="9427" w:name="_Toc76379864"/>
      <w:bookmarkStart w:id="9428" w:name="_Toc494124723"/>
      <w:bookmarkStart w:id="9429" w:name="_Toc522955921"/>
      <w:bookmarkStart w:id="9430" w:name="_Toc18314111"/>
      <w:bookmarkStart w:id="9431" w:name="_Toc50150425"/>
      <w:bookmarkStart w:id="9432" w:name="_Toc70886857"/>
      <w:bookmarkStart w:id="9433" w:name="_Toc108342415"/>
      <w:bookmarkStart w:id="9434" w:name="_Toc134197947"/>
      <w:r w:rsidRPr="00E05E29">
        <w:t>Design rules for low-dissipative structures</w:t>
      </w:r>
      <w:bookmarkEnd w:id="9423"/>
      <w:bookmarkEnd w:id="9424"/>
      <w:bookmarkEnd w:id="9425"/>
      <w:bookmarkEnd w:id="9426"/>
      <w:bookmarkEnd w:id="9427"/>
      <w:bookmarkEnd w:id="9428"/>
      <w:bookmarkEnd w:id="9429"/>
      <w:bookmarkEnd w:id="9430"/>
      <w:bookmarkEnd w:id="9431"/>
      <w:bookmarkEnd w:id="9432"/>
      <w:bookmarkEnd w:id="9433"/>
      <w:bookmarkEnd w:id="9434"/>
    </w:p>
    <w:p w14:paraId="19CAF8DE" w14:textId="76687BEF" w:rsidR="006B51BF" w:rsidRPr="00E05E29" w:rsidRDefault="006B51BF" w:rsidP="0080187E">
      <w:pPr>
        <w:pStyle w:val="Clause"/>
        <w:numPr>
          <w:ilvl w:val="0"/>
          <w:numId w:val="370"/>
        </w:numPr>
      </w:pPr>
      <w:r w:rsidRPr="00E05E29">
        <w:t xml:space="preserve">Low-dissipative </w:t>
      </w:r>
      <w:r w:rsidRPr="00442ADE">
        <w:t>structures should be designed to resist seismic actions almost in the elastic range. The</w:t>
      </w:r>
      <w:r w:rsidRPr="00EF3C98">
        <w:rPr>
          <w:strike/>
        </w:rPr>
        <w:t xml:space="preserve"> </w:t>
      </w:r>
      <w:r w:rsidRPr="00442ADE">
        <w:t xml:space="preserve">design forces in their members and connections should be calculated assuming that </w:t>
      </w:r>
      <w:bookmarkStart w:id="9435" w:name="_Hlk536106319"/>
      <w:r w:rsidRPr="00EF3C98">
        <w:rPr>
          <w:i/>
          <w:iCs/>
        </w:rPr>
        <w:t>q</w:t>
      </w:r>
      <w:r w:rsidRPr="00442ADE">
        <w:t xml:space="preserve"> is equal to 1,5 with both </w:t>
      </w:r>
      <w:r w:rsidRPr="00EF3C98">
        <w:rPr>
          <w:i/>
        </w:rPr>
        <w:t>q</w:t>
      </w:r>
      <w:r w:rsidRPr="00EF3C98">
        <w:rPr>
          <w:iCs/>
          <w:vertAlign w:val="subscript"/>
        </w:rPr>
        <w:t>D</w:t>
      </w:r>
      <w:r w:rsidRPr="00EF3C98">
        <w:rPr>
          <w:iCs/>
        </w:rPr>
        <w:t> </w:t>
      </w:r>
      <w:r w:rsidRPr="00442ADE">
        <w:t xml:space="preserve">and </w:t>
      </w:r>
      <w:r w:rsidRPr="00EF3C98">
        <w:rPr>
          <w:i/>
        </w:rPr>
        <w:t>q</w:t>
      </w:r>
      <w:r w:rsidRPr="00EF3C98">
        <w:rPr>
          <w:iCs/>
          <w:vertAlign w:val="subscript"/>
        </w:rPr>
        <w:t>R</w:t>
      </w:r>
      <w:r w:rsidRPr="00EF3C98">
        <w:rPr>
          <w:strike/>
        </w:rPr>
        <w:t xml:space="preserve"> </w:t>
      </w:r>
      <w:r w:rsidRPr="00442ADE">
        <w:t>equal to 1,0</w:t>
      </w:r>
      <w:bookmarkEnd w:id="9435"/>
      <w:r w:rsidRPr="00442ADE">
        <w:t>.</w:t>
      </w:r>
    </w:p>
    <w:p w14:paraId="1ABA0F27" w14:textId="216782A7" w:rsidR="006B51BF" w:rsidRDefault="006B51BF" w:rsidP="00724E4E">
      <w:pPr>
        <w:pStyle w:val="Clause"/>
      </w:pPr>
      <w:r w:rsidRPr="00E05E29">
        <w:t>The structural members and connections should have stiffness and resistance in accordance with Eurocode 3.</w:t>
      </w:r>
    </w:p>
    <w:p w14:paraId="6EE40EFA" w14:textId="402858F1" w:rsidR="006B51BF" w:rsidRPr="00442ADE" w:rsidRDefault="006B51BF" w:rsidP="006B51BF">
      <w:pPr>
        <w:pStyle w:val="Heading3"/>
      </w:pPr>
      <w:bookmarkStart w:id="9436" w:name="_Toc108342416"/>
      <w:bookmarkStart w:id="9437" w:name="_Toc134197948"/>
      <w:r w:rsidRPr="00442ADE">
        <w:t>Design rules for non-dissipative structures</w:t>
      </w:r>
      <w:bookmarkEnd w:id="9436"/>
      <w:bookmarkEnd w:id="9437"/>
    </w:p>
    <w:p w14:paraId="3E1F756C" w14:textId="08E5CEFC" w:rsidR="006B51BF" w:rsidRPr="000E317F" w:rsidRDefault="006B51BF" w:rsidP="0080187E">
      <w:pPr>
        <w:pStyle w:val="Clause"/>
        <w:numPr>
          <w:ilvl w:val="0"/>
          <w:numId w:val="371"/>
        </w:numPr>
      </w:pPr>
      <w:r w:rsidRPr="00442ADE">
        <w:t xml:space="preserve">Non-dissipative structures should be designed to resist seismic actions in the elastic range and their behaviour factor </w:t>
      </w:r>
      <w:r w:rsidRPr="00EF3C98">
        <w:rPr>
          <w:i/>
          <w:iCs/>
        </w:rPr>
        <w:t>q</w:t>
      </w:r>
      <w:r w:rsidRPr="00442ADE">
        <w:t xml:space="preserve"> should be taken equal to 1,0.</w:t>
      </w:r>
    </w:p>
    <w:p w14:paraId="57E87997" w14:textId="41595959" w:rsidR="006B51BF" w:rsidRPr="00442ADE" w:rsidRDefault="006B51BF" w:rsidP="000E317F">
      <w:pPr>
        <w:pStyle w:val="Notetext"/>
      </w:pPr>
      <w:bookmarkStart w:id="9438" w:name="_Hlk97208749"/>
      <w:r w:rsidRPr="00442ADE">
        <w:t>NOTE</w:t>
      </w:r>
      <w:r w:rsidRPr="00442ADE">
        <w:tab/>
        <w:t>Non-dissipative design is used for structures for which a ductile behaviour can hardly be conceived, e.g. steel domes, or cannot be supported by research reference. It is also used for specific structural systems for which non-dissipative design can be safe and more economical.</w:t>
      </w:r>
    </w:p>
    <w:bookmarkEnd w:id="9438"/>
    <w:p w14:paraId="0C8D6908" w14:textId="04065056" w:rsidR="006B51BF" w:rsidRPr="00FD0E83" w:rsidRDefault="006B51BF" w:rsidP="00724E4E">
      <w:pPr>
        <w:pStyle w:val="Clause"/>
      </w:pPr>
      <w:r w:rsidRPr="00FD0E83">
        <w:t>prEN</w:t>
      </w:r>
      <w:r w:rsidR="00FD0E83" w:rsidRPr="00FD0E83">
        <w:t> </w:t>
      </w:r>
      <w:r w:rsidRPr="00FD0E83">
        <w:t xml:space="preserve">1998-1-1:2022, 4.1(7), may be used in the design of single-storey buildings; the limits of seismic action index </w:t>
      </w:r>
      <w:r w:rsidRPr="00FD0E83">
        <w:rPr>
          <w:i/>
          <w:iCs/>
        </w:rPr>
        <w:t>S</w:t>
      </w:r>
      <w:r w:rsidRPr="00FD0E83">
        <w:rPr>
          <w:vertAlign w:val="subscript"/>
        </w:rPr>
        <w:t>δ</w:t>
      </w:r>
      <w:r w:rsidRPr="00FD0E83">
        <w:t xml:space="preserve"> for their design to DC1 in 12.4.3 may be waived, provided that the condition in (4) is satisfied.</w:t>
      </w:r>
    </w:p>
    <w:p w14:paraId="2802FCD9" w14:textId="43B0DC03" w:rsidR="006B51BF" w:rsidRPr="00FD0E83" w:rsidRDefault="006B51BF" w:rsidP="00724E4E">
      <w:pPr>
        <w:pStyle w:val="Clause"/>
      </w:pPr>
      <w:r w:rsidRPr="00FD0E83">
        <w:t>prEN</w:t>
      </w:r>
      <w:r w:rsidR="00FD0E83" w:rsidRPr="00FD0E83">
        <w:t> </w:t>
      </w:r>
      <w:r w:rsidRPr="00FD0E83">
        <w:t xml:space="preserve">1998-1-1:2022, 4.1(7), may be used without limitation of the seismic action index </w:t>
      </w:r>
      <w:r w:rsidRPr="00FD0E83">
        <w:rPr>
          <w:i/>
          <w:iCs/>
        </w:rPr>
        <w:t>S</w:t>
      </w:r>
      <w:r w:rsidRPr="00FD0E83">
        <w:rPr>
          <w:vertAlign w:val="subscript"/>
        </w:rPr>
        <w:t>δ</w:t>
      </w:r>
      <w:r w:rsidRPr="00FD0E83">
        <w:t xml:space="preserve"> in the design of structural systems which cannot be assigned to one of the types in 11.4.1(1) a) to i), provided that the condition in (4) is satisfied.</w:t>
      </w:r>
    </w:p>
    <w:p w14:paraId="15AAD95E" w14:textId="1B031037" w:rsidR="006B51BF" w:rsidRPr="00FD0E83" w:rsidRDefault="006B51BF" w:rsidP="00724E4E">
      <w:pPr>
        <w:pStyle w:val="Clause"/>
      </w:pPr>
      <w:r w:rsidRPr="00FD0E83">
        <w:t xml:space="preserve">The buckling resistance of members in compression and the connections should be designed for action effects calculated for the return period </w:t>
      </w:r>
      <w:r w:rsidRPr="00FD0E83">
        <w:rPr>
          <w:i/>
          <w:iCs/>
        </w:rPr>
        <w:t>T</w:t>
      </w:r>
      <w:r w:rsidRPr="00FD0E83">
        <w:rPr>
          <w:vertAlign w:val="subscript"/>
        </w:rPr>
        <w:t>LS,CC</w:t>
      </w:r>
      <w:r w:rsidRPr="00FD0E83">
        <w:t xml:space="preserve"> at the NC limit state given in Table 4.3 (when using prEN</w:t>
      </w:r>
      <w:r w:rsidR="00FD0E83" w:rsidRPr="00FD0E83">
        <w:t> </w:t>
      </w:r>
      <w:r w:rsidRPr="00FD0E83">
        <w:t xml:space="preserve">1998-1-1, 4.3(3)) or the performance factor </w:t>
      </w:r>
      <w:r w:rsidRPr="00FD0E83">
        <w:rPr>
          <w:i/>
          <w:iCs/>
        </w:rPr>
        <w:t>γ</w:t>
      </w:r>
      <w:r w:rsidRPr="00FD0E83">
        <w:rPr>
          <w:vertAlign w:val="subscript"/>
        </w:rPr>
        <w:t>LS,CC</w:t>
      </w:r>
      <w:r w:rsidRPr="00FD0E83">
        <w:t xml:space="preserve"> at the NC limit state given in Table 4.4 (when using  prEN</w:t>
      </w:r>
      <w:r w:rsidR="00FD0E83" w:rsidRPr="00FD0E83">
        <w:t> </w:t>
      </w:r>
      <w:r w:rsidRPr="00FD0E83">
        <w:t>1998-1-1, 4.3(5)).</w:t>
      </w:r>
    </w:p>
    <w:p w14:paraId="56619808" w14:textId="661D2E70" w:rsidR="006B51BF" w:rsidRPr="00E05E29" w:rsidRDefault="006B51BF" w:rsidP="006B51BF">
      <w:pPr>
        <w:pStyle w:val="Heading2"/>
      </w:pPr>
      <w:bookmarkStart w:id="9439" w:name="_Toc522955922"/>
      <w:bookmarkStart w:id="9440" w:name="_Toc18314112"/>
      <w:bookmarkStart w:id="9441" w:name="_Toc50150426"/>
      <w:bookmarkStart w:id="9442" w:name="_Toc70886858"/>
      <w:bookmarkStart w:id="9443" w:name="_Toc108342417"/>
      <w:bookmarkStart w:id="9444" w:name="_Toc134197949"/>
      <w:r w:rsidRPr="00E05E29">
        <w:lastRenderedPageBreak/>
        <w:t>Design rules for dissipative (DC2 and DC3) structural behaviour common to all structural types</w:t>
      </w:r>
      <w:bookmarkEnd w:id="9439"/>
      <w:bookmarkEnd w:id="9440"/>
      <w:bookmarkEnd w:id="9441"/>
      <w:bookmarkEnd w:id="9442"/>
      <w:bookmarkEnd w:id="9443"/>
      <w:bookmarkEnd w:id="9444"/>
    </w:p>
    <w:p w14:paraId="79123D2D" w14:textId="77777777" w:rsidR="006B51BF" w:rsidRPr="00E05E29" w:rsidRDefault="006B51BF" w:rsidP="006B51BF">
      <w:pPr>
        <w:pStyle w:val="Heading3"/>
      </w:pPr>
      <w:bookmarkStart w:id="9445" w:name="_Toc522955923"/>
      <w:bookmarkStart w:id="9446" w:name="_Toc18314113"/>
      <w:bookmarkStart w:id="9447" w:name="_Toc50150427"/>
      <w:bookmarkStart w:id="9448" w:name="_Toc70886859"/>
      <w:bookmarkStart w:id="9449" w:name="_Toc108342418"/>
      <w:bookmarkStart w:id="9450" w:name="_Toc134197950"/>
      <w:r w:rsidRPr="00E05E29">
        <w:t>General</w:t>
      </w:r>
      <w:bookmarkEnd w:id="9445"/>
      <w:bookmarkEnd w:id="9446"/>
      <w:bookmarkEnd w:id="9447"/>
      <w:bookmarkEnd w:id="9448"/>
      <w:bookmarkEnd w:id="9449"/>
      <w:bookmarkEnd w:id="9450"/>
    </w:p>
    <w:p w14:paraId="4BC1D21F" w14:textId="2974778C" w:rsidR="006B51BF" w:rsidRPr="00E05E29" w:rsidRDefault="006B51BF" w:rsidP="0080187E">
      <w:pPr>
        <w:pStyle w:val="Clause"/>
        <w:numPr>
          <w:ilvl w:val="0"/>
          <w:numId w:val="372"/>
        </w:numPr>
      </w:pPr>
      <w:r w:rsidRPr="00FD0E83">
        <w:rPr>
          <w:bCs/>
        </w:rPr>
        <w:t>11.8.2 to 11.8.5 should</w:t>
      </w:r>
      <w:r w:rsidRPr="00E05E29">
        <w:t xml:space="preserve"> be applied to the members of the primary structures designed for dissipative behaviour.</w:t>
      </w:r>
    </w:p>
    <w:p w14:paraId="65A6C2F4" w14:textId="07E46D51" w:rsidR="006B51BF" w:rsidRPr="00E05E29" w:rsidRDefault="006B51BF" w:rsidP="006B51BF">
      <w:pPr>
        <w:pStyle w:val="Heading3"/>
      </w:pPr>
      <w:bookmarkStart w:id="9451" w:name="_Toc522955924"/>
      <w:bookmarkStart w:id="9452" w:name="_Toc18314114"/>
      <w:bookmarkStart w:id="9453" w:name="_Toc50150428"/>
      <w:bookmarkStart w:id="9454" w:name="_Toc70886860"/>
      <w:bookmarkStart w:id="9455" w:name="_Toc108342419"/>
      <w:bookmarkStart w:id="9456" w:name="_Toc134197951"/>
      <w:r w:rsidRPr="00E05E29">
        <w:t>Design criteria for dissipative structures</w:t>
      </w:r>
      <w:bookmarkEnd w:id="9451"/>
      <w:bookmarkEnd w:id="9452"/>
      <w:bookmarkEnd w:id="9453"/>
      <w:bookmarkEnd w:id="9454"/>
      <w:bookmarkEnd w:id="9455"/>
      <w:bookmarkEnd w:id="9456"/>
    </w:p>
    <w:p w14:paraId="499206B9" w14:textId="761932C7" w:rsidR="006B51BF" w:rsidRPr="00E05E29" w:rsidRDefault="006B51BF" w:rsidP="0080187E">
      <w:pPr>
        <w:pStyle w:val="Clause"/>
        <w:numPr>
          <w:ilvl w:val="0"/>
          <w:numId w:val="373"/>
        </w:numPr>
      </w:pPr>
      <w:r w:rsidRPr="00E05E29">
        <w:t>Structures with dissipative zones shall be designed so that yielding or local buckling or other phenomena due to hysteretic behaviour do not affect the overall stability of the structure.</w:t>
      </w:r>
    </w:p>
    <w:p w14:paraId="0218B942" w14:textId="751AD84E" w:rsidR="006B51BF" w:rsidRPr="00E05E29" w:rsidRDefault="006B51BF" w:rsidP="00724E4E">
      <w:pPr>
        <w:pStyle w:val="Clause"/>
      </w:pPr>
      <w:r w:rsidRPr="00E05E29">
        <w:t>Dissipative zones should have adequate ductility and resistance.</w:t>
      </w:r>
    </w:p>
    <w:p w14:paraId="0987C87C" w14:textId="21E92A0A" w:rsidR="006B51BF" w:rsidRPr="00E05E29" w:rsidRDefault="006B51BF" w:rsidP="00724E4E">
      <w:pPr>
        <w:pStyle w:val="Clause"/>
      </w:pPr>
      <w:r w:rsidRPr="00E05E29">
        <w:t>Dissipative zones may be located in the structural members or in the connections.</w:t>
      </w:r>
    </w:p>
    <w:p w14:paraId="3922F6AB" w14:textId="08FE854C" w:rsidR="006B51BF" w:rsidRPr="00E05E29" w:rsidRDefault="006B51BF" w:rsidP="00724E4E">
      <w:pPr>
        <w:pStyle w:val="Clause"/>
      </w:pPr>
      <w:r w:rsidRPr="00E05E29">
        <w:t>If dissipative zones are located in the structural members, the non-dissipative parts and the connections of the dissipative parts to the rest of the structure should have sufficient overstrength to allow the development of cyclic yielding in the dissipative parts.</w:t>
      </w:r>
    </w:p>
    <w:p w14:paraId="0D5DE2BE" w14:textId="274C68E9" w:rsidR="006B51BF" w:rsidRPr="00E05E29" w:rsidRDefault="006B51BF" w:rsidP="00724E4E">
      <w:pPr>
        <w:pStyle w:val="Clause"/>
      </w:pPr>
      <w:r w:rsidRPr="00E05E29">
        <w:t>When dissipative zones are located in the connections, the bolts and welds of the connections and the connected members should have sufficient overstrength to allow the devel</w:t>
      </w:r>
      <w:r w:rsidRPr="00442ADE">
        <w:t>opment of cyclic yielding or friction sliding in the weakest components of the connections.</w:t>
      </w:r>
    </w:p>
    <w:p w14:paraId="65D05B67" w14:textId="7233848A" w:rsidR="006B51BF" w:rsidRPr="00E05E29" w:rsidRDefault="006B51BF" w:rsidP="006B51BF">
      <w:pPr>
        <w:pStyle w:val="Heading3"/>
      </w:pPr>
      <w:bookmarkStart w:id="9457" w:name="_Toc522955925"/>
      <w:bookmarkStart w:id="9458" w:name="_Toc18314115"/>
      <w:bookmarkStart w:id="9459" w:name="_Toc50150429"/>
      <w:bookmarkStart w:id="9460" w:name="_Toc70886861"/>
      <w:bookmarkStart w:id="9461" w:name="_Toc108342420"/>
      <w:bookmarkStart w:id="9462" w:name="_Toc134197952"/>
      <w:r>
        <w:t>Verification</w:t>
      </w:r>
      <w:r w:rsidRPr="00E05E29">
        <w:t xml:space="preserve"> for dissipative members in compression or bending</w:t>
      </w:r>
      <w:bookmarkEnd w:id="9457"/>
      <w:bookmarkEnd w:id="9458"/>
      <w:bookmarkEnd w:id="9459"/>
      <w:bookmarkEnd w:id="9460"/>
      <w:bookmarkEnd w:id="9461"/>
      <w:bookmarkEnd w:id="9462"/>
    </w:p>
    <w:p w14:paraId="054F6A18" w14:textId="1243F4CA" w:rsidR="006B51BF" w:rsidRPr="00FD0E83" w:rsidRDefault="006B51BF" w:rsidP="0080187E">
      <w:pPr>
        <w:pStyle w:val="Clause"/>
        <w:numPr>
          <w:ilvl w:val="0"/>
          <w:numId w:val="374"/>
        </w:numPr>
      </w:pPr>
      <w:r w:rsidRPr="00E05E29">
        <w:t xml:space="preserve">Sufficient </w:t>
      </w:r>
      <w:r w:rsidRPr="00FD0E83">
        <w:t xml:space="preserve">local ductility of members which dissipate energy in compression or bending should be ensured by restricting the width to thickness ratio </w:t>
      </w:r>
      <w:r w:rsidRPr="00FD0E83">
        <w:rPr>
          <w:i/>
          <w:iCs/>
        </w:rPr>
        <w:t>b</w:t>
      </w:r>
      <w:r w:rsidRPr="00FD0E83">
        <w:t>/</w:t>
      </w:r>
      <w:r w:rsidRPr="00FD0E83">
        <w:rPr>
          <w:i/>
          <w:iCs/>
        </w:rPr>
        <w:t>t</w:t>
      </w:r>
      <w:r w:rsidRPr="00FD0E83">
        <w:t xml:space="preserve"> according to the cross-sectional classes specified in </w:t>
      </w:r>
      <w:r w:rsidR="00460A67">
        <w:t>EN 1993-1-1</w:t>
      </w:r>
      <w:r w:rsidRPr="00FD0E83">
        <w:t>:20</w:t>
      </w:r>
      <w:r w:rsidR="00753F7D" w:rsidRPr="00FD0E83">
        <w:t>22</w:t>
      </w:r>
      <w:r w:rsidRPr="00FD0E83">
        <w:t>, 7.5.</w:t>
      </w:r>
    </w:p>
    <w:p w14:paraId="52A5CEDE" w14:textId="1EB4E7EB" w:rsidR="006B51BF" w:rsidRPr="00FD0E83" w:rsidRDefault="006B51BF" w:rsidP="000E317F">
      <w:pPr>
        <w:pStyle w:val="Notetext"/>
      </w:pPr>
      <w:r w:rsidRPr="00FD0E83">
        <w:t>NOTE</w:t>
      </w:r>
      <w:r w:rsidRPr="00FD0E83">
        <w:tab/>
        <w:t>Further rules dependent on structural types and are given in 11.9 to 11.16.</w:t>
      </w:r>
    </w:p>
    <w:p w14:paraId="3DFE04AC" w14:textId="28086DBC" w:rsidR="006B51BF" w:rsidRPr="00442ADE" w:rsidRDefault="006B51BF" w:rsidP="00724E4E">
      <w:pPr>
        <w:pStyle w:val="Clause"/>
      </w:pPr>
      <w:r w:rsidRPr="00E05E29">
        <w:t xml:space="preserve">Depending on the ductility class and the behaviour factor </w:t>
      </w:r>
      <w:r w:rsidRPr="004F74EA">
        <w:rPr>
          <w:i/>
          <w:iCs/>
        </w:rPr>
        <w:t>q</w:t>
      </w:r>
      <w:r w:rsidRPr="00E05E29">
        <w:t>, cross-sectional classes of dissipative members should be chose</w:t>
      </w:r>
      <w:r w:rsidRPr="00442ADE">
        <w:t>n according to Table 11.</w:t>
      </w:r>
      <w:r w:rsidR="00E832F3">
        <w:t>8</w:t>
      </w:r>
      <w:r w:rsidRPr="00442ADE">
        <w:t>.</w:t>
      </w:r>
    </w:p>
    <w:p w14:paraId="55061526" w14:textId="04A7106F" w:rsidR="006B51BF" w:rsidRPr="00D1484A" w:rsidRDefault="006B51BF" w:rsidP="00CB415D">
      <w:pPr>
        <w:pStyle w:val="Tabletitle"/>
      </w:pPr>
      <w:bookmarkStart w:id="9463" w:name="_Ref1859387"/>
      <w:r w:rsidRPr="00442ADE">
        <w:t xml:space="preserve">Table </w:t>
      </w:r>
      <w:r w:rsidR="00CB415D">
        <w:t>11</w:t>
      </w:r>
      <w:r w:rsidRPr="00442ADE">
        <w:t>.</w:t>
      </w:r>
      <w:bookmarkEnd w:id="9463"/>
      <w:r w:rsidR="00E832F3">
        <w:t>8</w:t>
      </w:r>
      <w:r w:rsidRPr="00442ADE">
        <w:t> — </w:t>
      </w:r>
      <w:r w:rsidRPr="00132C1E">
        <w:t xml:space="preserve">Provisions on cross-sectional class of dissipative </w:t>
      </w:r>
      <w:r w:rsidRPr="00D1484A">
        <w:t>members depending on Ductility Class and behaviour factor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2"/>
        <w:gridCol w:w="3528"/>
        <w:gridCol w:w="4111"/>
      </w:tblGrid>
      <w:tr w:rsidR="006B51BF" w:rsidRPr="00CB415D" w14:paraId="41418C85" w14:textId="77777777" w:rsidTr="002061E5">
        <w:trPr>
          <w:jc w:val="center"/>
        </w:trPr>
        <w:tc>
          <w:tcPr>
            <w:tcW w:w="1712" w:type="dxa"/>
            <w:vAlign w:val="center"/>
          </w:tcPr>
          <w:p w14:paraId="65662466" w14:textId="77777777" w:rsidR="006B51BF" w:rsidRPr="00FD0E83" w:rsidRDefault="006B51BF" w:rsidP="00FD0E83">
            <w:pPr>
              <w:pStyle w:val="Tablebody"/>
              <w:rPr>
                <w:b/>
                <w:bCs/>
              </w:rPr>
            </w:pPr>
            <w:r w:rsidRPr="00FD0E83">
              <w:rPr>
                <w:b/>
                <w:bCs/>
              </w:rPr>
              <w:t>Ductility class</w:t>
            </w:r>
          </w:p>
        </w:tc>
        <w:tc>
          <w:tcPr>
            <w:tcW w:w="3528" w:type="dxa"/>
            <w:vAlign w:val="center"/>
          </w:tcPr>
          <w:p w14:paraId="1A8F55D7" w14:textId="77777777" w:rsidR="006B51BF" w:rsidRPr="00FD0E83" w:rsidRDefault="006B51BF" w:rsidP="00FD0E83">
            <w:pPr>
              <w:pStyle w:val="Tablebody"/>
              <w:jc w:val="center"/>
              <w:rPr>
                <w:rFonts w:asciiTheme="majorHAnsi" w:hAnsiTheme="majorHAnsi"/>
                <w:b/>
                <w:bCs/>
              </w:rPr>
            </w:pPr>
            <w:r w:rsidRPr="00FD0E83">
              <w:rPr>
                <w:rFonts w:asciiTheme="majorHAnsi" w:hAnsiTheme="majorHAnsi"/>
                <w:b/>
                <w:bCs/>
              </w:rPr>
              <w:t xml:space="preserve">Value of </w:t>
            </w:r>
            <w:r w:rsidRPr="00FD0E83">
              <w:rPr>
                <w:rFonts w:asciiTheme="majorHAnsi" w:hAnsiTheme="majorHAnsi"/>
                <w:b/>
                <w:bCs/>
                <w:i/>
              </w:rPr>
              <w:t>q</w:t>
            </w:r>
          </w:p>
        </w:tc>
        <w:tc>
          <w:tcPr>
            <w:tcW w:w="4111" w:type="dxa"/>
            <w:vAlign w:val="center"/>
          </w:tcPr>
          <w:p w14:paraId="07DCEB75" w14:textId="77777777" w:rsidR="006B51BF" w:rsidRPr="00FD0E83" w:rsidRDefault="006B51BF" w:rsidP="00FD0E83">
            <w:pPr>
              <w:pStyle w:val="Tablebody"/>
              <w:jc w:val="center"/>
              <w:rPr>
                <w:b/>
                <w:bCs/>
              </w:rPr>
            </w:pPr>
            <w:r w:rsidRPr="00FD0E83">
              <w:rPr>
                <w:b/>
                <w:bCs/>
              </w:rPr>
              <w:t>Required cross-sectional class</w:t>
            </w:r>
          </w:p>
        </w:tc>
      </w:tr>
      <w:tr w:rsidR="006B51BF" w:rsidRPr="00CB415D" w14:paraId="716A526E" w14:textId="77777777" w:rsidTr="002061E5">
        <w:trPr>
          <w:cantSplit/>
          <w:trHeight w:val="409"/>
          <w:jc w:val="center"/>
        </w:trPr>
        <w:tc>
          <w:tcPr>
            <w:tcW w:w="1712" w:type="dxa"/>
            <w:vMerge w:val="restart"/>
            <w:vAlign w:val="center"/>
          </w:tcPr>
          <w:p w14:paraId="0AB899D2" w14:textId="77777777" w:rsidR="006B51BF" w:rsidRPr="00CB415D" w:rsidRDefault="006B51BF" w:rsidP="00FD0E83">
            <w:pPr>
              <w:pStyle w:val="Tablebody"/>
              <w:jc w:val="center"/>
            </w:pPr>
            <w:r w:rsidRPr="00CB415D">
              <w:t>DC2</w:t>
            </w:r>
          </w:p>
        </w:tc>
        <w:tc>
          <w:tcPr>
            <w:tcW w:w="3528" w:type="dxa"/>
            <w:vAlign w:val="center"/>
          </w:tcPr>
          <w:p w14:paraId="66F1B60C" w14:textId="77777777" w:rsidR="006B51BF" w:rsidRPr="00CB415D" w:rsidRDefault="006B51BF" w:rsidP="00FD0E83">
            <w:pPr>
              <w:pStyle w:val="Tablebody"/>
              <w:jc w:val="center"/>
            </w:pPr>
            <w:r w:rsidRPr="00CB415D">
              <w:t xml:space="preserve">1,5 &lt; </w:t>
            </w:r>
            <w:r w:rsidRPr="00CB415D">
              <w:rPr>
                <w:i/>
              </w:rPr>
              <w:t xml:space="preserve">q </w:t>
            </w:r>
            <w:r w:rsidRPr="00CB415D">
              <w:rPr>
                <w:rFonts w:ascii="Symbol" w:eastAsia="Symbol" w:hAnsi="Symbol" w:cs="Symbol"/>
              </w:rPr>
              <w:t></w:t>
            </w:r>
            <w:r w:rsidRPr="00CB415D">
              <w:t xml:space="preserve"> 2</w:t>
            </w:r>
          </w:p>
        </w:tc>
        <w:tc>
          <w:tcPr>
            <w:tcW w:w="4111" w:type="dxa"/>
            <w:vAlign w:val="center"/>
          </w:tcPr>
          <w:p w14:paraId="61E1E35E" w14:textId="77777777" w:rsidR="006B51BF" w:rsidRPr="00CB415D" w:rsidRDefault="006B51BF" w:rsidP="00FD0E83">
            <w:pPr>
              <w:pStyle w:val="Tablebody"/>
              <w:jc w:val="center"/>
            </w:pPr>
            <w:r w:rsidRPr="00CB415D">
              <w:t>class 1, 2, 3 and 4</w:t>
            </w:r>
          </w:p>
          <w:p w14:paraId="31DC7467" w14:textId="40123000" w:rsidR="006B51BF" w:rsidRPr="00CB415D" w:rsidRDefault="006B51BF" w:rsidP="00FD0E83">
            <w:pPr>
              <w:pStyle w:val="Tablebody"/>
              <w:jc w:val="center"/>
            </w:pPr>
            <w:r w:rsidRPr="00CB415D">
              <w:t>for portal frames, lightweight systems and single-storey moment frames</w:t>
            </w:r>
          </w:p>
        </w:tc>
      </w:tr>
      <w:tr w:rsidR="006B51BF" w:rsidRPr="00CB415D" w14:paraId="4AFA029A" w14:textId="77777777" w:rsidTr="002061E5">
        <w:trPr>
          <w:cantSplit/>
          <w:trHeight w:val="409"/>
          <w:jc w:val="center"/>
        </w:trPr>
        <w:tc>
          <w:tcPr>
            <w:tcW w:w="1712" w:type="dxa"/>
            <w:vMerge/>
            <w:vAlign w:val="center"/>
          </w:tcPr>
          <w:p w14:paraId="16E93CF3" w14:textId="77777777" w:rsidR="006B51BF" w:rsidRPr="00CB415D" w:rsidRDefault="006B51BF" w:rsidP="00FD0E83">
            <w:pPr>
              <w:pStyle w:val="Tablebody"/>
              <w:jc w:val="center"/>
            </w:pPr>
          </w:p>
        </w:tc>
        <w:tc>
          <w:tcPr>
            <w:tcW w:w="3528" w:type="dxa"/>
            <w:vAlign w:val="center"/>
          </w:tcPr>
          <w:p w14:paraId="0CD3FAD7" w14:textId="77777777" w:rsidR="006B51BF" w:rsidRPr="00CB415D" w:rsidRDefault="006B51BF" w:rsidP="00FD0E83">
            <w:pPr>
              <w:pStyle w:val="Tablebody"/>
              <w:jc w:val="center"/>
            </w:pPr>
            <w:r w:rsidRPr="00CB415D">
              <w:t xml:space="preserve">1,5 &lt; </w:t>
            </w:r>
            <w:r w:rsidRPr="00CB415D">
              <w:rPr>
                <w:i/>
              </w:rPr>
              <w:t xml:space="preserve">q </w:t>
            </w:r>
            <w:r w:rsidRPr="00CB415D">
              <w:rPr>
                <w:rFonts w:ascii="Symbol" w:eastAsia="Symbol" w:hAnsi="Symbol" w:cs="Symbol"/>
              </w:rPr>
              <w:t></w:t>
            </w:r>
            <w:r w:rsidRPr="00CB415D">
              <w:t xml:space="preserve"> 2</w:t>
            </w:r>
          </w:p>
        </w:tc>
        <w:tc>
          <w:tcPr>
            <w:tcW w:w="4111" w:type="dxa"/>
            <w:vAlign w:val="center"/>
          </w:tcPr>
          <w:p w14:paraId="3B4AC54D" w14:textId="77777777" w:rsidR="006B51BF" w:rsidRPr="00CB415D" w:rsidRDefault="006B51BF" w:rsidP="00FD0E83">
            <w:pPr>
              <w:pStyle w:val="Tablebody"/>
              <w:jc w:val="center"/>
            </w:pPr>
            <w:r w:rsidRPr="00CB415D">
              <w:t>class 1, 2</w:t>
            </w:r>
          </w:p>
          <w:p w14:paraId="3E7FE17B" w14:textId="77777777" w:rsidR="006B51BF" w:rsidRPr="00CB415D" w:rsidRDefault="006B51BF" w:rsidP="00FD0E83">
            <w:pPr>
              <w:pStyle w:val="Tablebody"/>
              <w:jc w:val="center"/>
            </w:pPr>
            <w:r w:rsidRPr="00CB415D">
              <w:t>for inverted pendulum</w:t>
            </w:r>
          </w:p>
        </w:tc>
      </w:tr>
      <w:tr w:rsidR="006B51BF" w:rsidRPr="00CB415D" w14:paraId="7EEE1CA3" w14:textId="77777777" w:rsidTr="002061E5">
        <w:trPr>
          <w:cantSplit/>
          <w:trHeight w:val="379"/>
          <w:jc w:val="center"/>
        </w:trPr>
        <w:tc>
          <w:tcPr>
            <w:tcW w:w="1712" w:type="dxa"/>
            <w:vMerge/>
            <w:vAlign w:val="center"/>
          </w:tcPr>
          <w:p w14:paraId="74429C64" w14:textId="77777777" w:rsidR="006B51BF" w:rsidRPr="00CB415D" w:rsidRDefault="006B51BF" w:rsidP="00FD0E83">
            <w:pPr>
              <w:pStyle w:val="Tablebody"/>
              <w:jc w:val="center"/>
            </w:pPr>
          </w:p>
        </w:tc>
        <w:tc>
          <w:tcPr>
            <w:tcW w:w="3528" w:type="dxa"/>
            <w:vAlign w:val="center"/>
          </w:tcPr>
          <w:p w14:paraId="3A76AF59" w14:textId="77777777" w:rsidR="006B51BF" w:rsidRPr="00CB415D" w:rsidRDefault="006B51BF" w:rsidP="00FD0E83">
            <w:pPr>
              <w:pStyle w:val="Tablebody"/>
              <w:jc w:val="center"/>
            </w:pPr>
            <w:r w:rsidRPr="00CB415D">
              <w:t xml:space="preserve">2 &lt; </w:t>
            </w:r>
            <w:r w:rsidRPr="00CB415D">
              <w:rPr>
                <w:i/>
              </w:rPr>
              <w:t xml:space="preserve">q </w:t>
            </w:r>
            <w:r w:rsidRPr="00CB415D">
              <w:rPr>
                <w:rFonts w:ascii="Symbol" w:eastAsia="Symbol" w:hAnsi="Symbol" w:cs="Symbol"/>
              </w:rPr>
              <w:t></w:t>
            </w:r>
            <w:r w:rsidRPr="00CB415D">
              <w:t xml:space="preserve"> 3,5</w:t>
            </w:r>
          </w:p>
        </w:tc>
        <w:tc>
          <w:tcPr>
            <w:tcW w:w="4111" w:type="dxa"/>
            <w:vAlign w:val="center"/>
          </w:tcPr>
          <w:p w14:paraId="7631CF75" w14:textId="14C8590D" w:rsidR="006B51BF" w:rsidRPr="00CB415D" w:rsidRDefault="006B51BF" w:rsidP="00FD0E83">
            <w:pPr>
              <w:pStyle w:val="Tablebody"/>
              <w:jc w:val="center"/>
            </w:pPr>
            <w:r w:rsidRPr="00CB415D">
              <w:t>class 1, 2</w:t>
            </w:r>
          </w:p>
          <w:p w14:paraId="6FF0AB72" w14:textId="77777777" w:rsidR="006B51BF" w:rsidRPr="00CB415D" w:rsidRDefault="006B51BF" w:rsidP="00FD0E83">
            <w:pPr>
              <w:pStyle w:val="Tablebody"/>
              <w:jc w:val="center"/>
            </w:pPr>
            <w:r w:rsidRPr="00CB415D">
              <w:t>for MRFs, CBFs, EBFs and dual frames</w:t>
            </w:r>
          </w:p>
        </w:tc>
      </w:tr>
      <w:tr w:rsidR="006B51BF" w:rsidRPr="00CB415D" w14:paraId="733E59B4" w14:textId="77777777" w:rsidTr="002061E5">
        <w:trPr>
          <w:jc w:val="center"/>
        </w:trPr>
        <w:tc>
          <w:tcPr>
            <w:tcW w:w="1712" w:type="dxa"/>
            <w:vMerge w:val="restart"/>
            <w:vAlign w:val="center"/>
          </w:tcPr>
          <w:p w14:paraId="0FCD8C88" w14:textId="77777777" w:rsidR="006B51BF" w:rsidRPr="00CB415D" w:rsidRDefault="006B51BF" w:rsidP="00FD0E83">
            <w:pPr>
              <w:pStyle w:val="Tablebody"/>
              <w:jc w:val="center"/>
            </w:pPr>
            <w:r w:rsidRPr="00CB415D">
              <w:t>DC3</w:t>
            </w:r>
          </w:p>
        </w:tc>
        <w:tc>
          <w:tcPr>
            <w:tcW w:w="3528" w:type="dxa"/>
            <w:vAlign w:val="center"/>
          </w:tcPr>
          <w:p w14:paraId="5B9505DC" w14:textId="77777777" w:rsidR="006B51BF" w:rsidRPr="00CB415D" w:rsidRDefault="006B51BF" w:rsidP="00FD0E83">
            <w:pPr>
              <w:pStyle w:val="Tablebody"/>
              <w:jc w:val="center"/>
            </w:pPr>
            <w:r w:rsidRPr="00CB415D">
              <w:rPr>
                <w:i/>
              </w:rPr>
              <w:t>q &gt;</w:t>
            </w:r>
            <w:r w:rsidRPr="00CB415D">
              <w:t xml:space="preserve"> 3,5</w:t>
            </w:r>
          </w:p>
        </w:tc>
        <w:tc>
          <w:tcPr>
            <w:tcW w:w="4111" w:type="dxa"/>
            <w:vAlign w:val="center"/>
          </w:tcPr>
          <w:p w14:paraId="7F0EBB8F" w14:textId="77777777" w:rsidR="006B51BF" w:rsidRPr="00CB415D" w:rsidRDefault="006B51BF" w:rsidP="00FD0E83">
            <w:pPr>
              <w:pStyle w:val="Tablebody"/>
              <w:jc w:val="center"/>
            </w:pPr>
            <w:r w:rsidRPr="00CB415D">
              <w:t>class 1</w:t>
            </w:r>
          </w:p>
        </w:tc>
      </w:tr>
      <w:tr w:rsidR="006B51BF" w:rsidRPr="00CB415D" w14:paraId="198FF7FD" w14:textId="77777777" w:rsidTr="002061E5">
        <w:trPr>
          <w:jc w:val="center"/>
        </w:trPr>
        <w:tc>
          <w:tcPr>
            <w:tcW w:w="1712" w:type="dxa"/>
            <w:vMerge/>
            <w:vAlign w:val="center"/>
          </w:tcPr>
          <w:p w14:paraId="3A0438DD" w14:textId="77777777" w:rsidR="006B51BF" w:rsidRPr="00CB415D" w:rsidRDefault="006B51BF" w:rsidP="00FD0E83">
            <w:pPr>
              <w:pStyle w:val="Tablebody"/>
            </w:pPr>
          </w:p>
        </w:tc>
        <w:tc>
          <w:tcPr>
            <w:tcW w:w="3528" w:type="dxa"/>
            <w:vAlign w:val="center"/>
          </w:tcPr>
          <w:p w14:paraId="4F065478" w14:textId="77777777" w:rsidR="006B51BF" w:rsidRPr="00CB415D" w:rsidRDefault="006B51BF" w:rsidP="00FD0E83">
            <w:pPr>
              <w:pStyle w:val="Tablebody"/>
              <w:jc w:val="center"/>
              <w:rPr>
                <w:i/>
              </w:rPr>
            </w:pPr>
            <w:r w:rsidRPr="00CB415D">
              <w:t xml:space="preserve">2 </w:t>
            </w:r>
            <w:r w:rsidRPr="00CB415D">
              <w:rPr>
                <w:rFonts w:ascii="Symbol" w:eastAsia="Symbol" w:hAnsi="Symbol" w:cs="Symbol"/>
              </w:rPr>
              <w:t></w:t>
            </w:r>
            <w:r w:rsidRPr="00CB415D">
              <w:t xml:space="preserve"> </w:t>
            </w:r>
            <w:r w:rsidRPr="00CB415D">
              <w:rPr>
                <w:i/>
              </w:rPr>
              <w:t xml:space="preserve">q </w:t>
            </w:r>
            <w:r w:rsidRPr="00CB415D">
              <w:rPr>
                <w:rFonts w:ascii="Symbol" w:eastAsia="Symbol" w:hAnsi="Symbol" w:cs="Symbol"/>
              </w:rPr>
              <w:t></w:t>
            </w:r>
            <w:r w:rsidRPr="00CB415D">
              <w:t xml:space="preserve"> 2,5</w:t>
            </w:r>
          </w:p>
        </w:tc>
        <w:tc>
          <w:tcPr>
            <w:tcW w:w="4111" w:type="dxa"/>
            <w:vAlign w:val="center"/>
          </w:tcPr>
          <w:p w14:paraId="40E365CC" w14:textId="650D1486" w:rsidR="006B51BF" w:rsidRPr="00CB415D" w:rsidRDefault="006B51BF" w:rsidP="00FD0E83">
            <w:pPr>
              <w:pStyle w:val="Tablebody"/>
              <w:jc w:val="center"/>
            </w:pPr>
            <w:r w:rsidRPr="00CB415D">
              <w:t>class 1, 2, 3 or 4</w:t>
            </w:r>
          </w:p>
          <w:p w14:paraId="6EC513A8" w14:textId="77777777" w:rsidR="006B51BF" w:rsidRPr="00CB415D" w:rsidRDefault="006B51BF" w:rsidP="00FD0E83">
            <w:pPr>
              <w:pStyle w:val="Tablebody"/>
              <w:jc w:val="center"/>
            </w:pPr>
            <w:r w:rsidRPr="00CB415D">
              <w:t>for lightweight systems</w:t>
            </w:r>
          </w:p>
        </w:tc>
      </w:tr>
    </w:tbl>
    <w:p w14:paraId="25FC8AF2" w14:textId="77777777" w:rsidR="006B51BF" w:rsidRPr="00D1484A" w:rsidRDefault="006B51BF" w:rsidP="006B51BF">
      <w:pPr>
        <w:pStyle w:val="Heading3"/>
      </w:pPr>
      <w:bookmarkStart w:id="9464" w:name="_Toc522955926"/>
      <w:bookmarkStart w:id="9465" w:name="_Toc18314116"/>
      <w:bookmarkStart w:id="9466" w:name="_Toc50150430"/>
      <w:bookmarkStart w:id="9467" w:name="_Toc70886862"/>
      <w:bookmarkStart w:id="9468" w:name="_Toc108342421"/>
      <w:bookmarkStart w:id="9469" w:name="_Toc134197953"/>
      <w:r>
        <w:lastRenderedPageBreak/>
        <w:t>Verification</w:t>
      </w:r>
      <w:r w:rsidRPr="00D1484A">
        <w:t xml:space="preserve"> for dissipative parts of members in tension</w:t>
      </w:r>
      <w:bookmarkEnd w:id="9464"/>
      <w:bookmarkEnd w:id="9465"/>
      <w:bookmarkEnd w:id="9466"/>
      <w:bookmarkEnd w:id="9467"/>
      <w:bookmarkEnd w:id="9468"/>
      <w:bookmarkEnd w:id="9469"/>
    </w:p>
    <w:p w14:paraId="646B381C" w14:textId="7503504D" w:rsidR="006B51BF" w:rsidRPr="00EF3C98" w:rsidRDefault="006B51BF" w:rsidP="0080187E">
      <w:pPr>
        <w:pStyle w:val="Clause"/>
        <w:numPr>
          <w:ilvl w:val="0"/>
          <w:numId w:val="375"/>
        </w:numPr>
        <w:rPr>
          <w:rFonts w:eastAsia="Cambria"/>
        </w:rPr>
      </w:pPr>
      <w:r w:rsidRPr="009507BC">
        <w:t xml:space="preserve">For tension </w:t>
      </w:r>
      <w:r w:rsidRPr="00FD0E83">
        <w:t xml:space="preserve">members or parts of members in tension, the ductility provision of </w:t>
      </w:r>
      <w:r w:rsidR="00460A67">
        <w:rPr>
          <w:rFonts w:eastAsia="Cambria"/>
        </w:rPr>
        <w:t>EN 1993-1-1</w:t>
      </w:r>
      <w:r w:rsidRPr="00FD0E83">
        <w:rPr>
          <w:rFonts w:eastAsia="Cambria"/>
        </w:rPr>
        <w:t>:202</w:t>
      </w:r>
      <w:r w:rsidR="00753F7D" w:rsidRPr="00FD0E83">
        <w:rPr>
          <w:rFonts w:eastAsia="Cambria"/>
        </w:rPr>
        <w:t>2</w:t>
      </w:r>
      <w:r w:rsidRPr="00FD0E83">
        <w:rPr>
          <w:rFonts w:eastAsia="Cambria"/>
        </w:rPr>
        <w:t>, 8.2.3(3)</w:t>
      </w:r>
      <w:r w:rsidRPr="00FD0E83">
        <w:t>, should be</w:t>
      </w:r>
      <w:r w:rsidRPr="009507BC">
        <w:t xml:space="preserve"> satisfied.</w:t>
      </w:r>
    </w:p>
    <w:p w14:paraId="00546DFB" w14:textId="5114B6A9" w:rsidR="006B51BF" w:rsidRPr="00CB415D" w:rsidRDefault="006B51BF" w:rsidP="00CB415D">
      <w:pPr>
        <w:pStyle w:val="Notetext"/>
      </w:pPr>
      <w:r w:rsidRPr="00CB415D">
        <w:t>NOTE</w:t>
      </w:r>
      <w:r w:rsidR="00CB415D">
        <w:tab/>
      </w:r>
      <w:r w:rsidRPr="00CB415D">
        <w:t xml:space="preserve">If the section with holes mentioned in </w:t>
      </w:r>
      <w:r w:rsidR="00460A67">
        <w:t>EN 1993-1-1</w:t>
      </w:r>
      <w:r w:rsidRPr="00CB415D">
        <w:t>:2022, 8.2.3(4) is reinforced by additional plates, its net cross section includes those plates.</w:t>
      </w:r>
    </w:p>
    <w:p w14:paraId="5DBF4DB0" w14:textId="77777777" w:rsidR="006B51BF" w:rsidRPr="002144A0" w:rsidRDefault="006B51BF" w:rsidP="006B51BF">
      <w:pPr>
        <w:pStyle w:val="Heading3"/>
      </w:pPr>
      <w:bookmarkStart w:id="9470" w:name="_Toc18314117"/>
      <w:bookmarkStart w:id="9471" w:name="_Toc50150431"/>
      <w:bookmarkStart w:id="9472" w:name="_Toc70886863"/>
      <w:bookmarkStart w:id="9473" w:name="_Toc108342422"/>
      <w:bookmarkStart w:id="9474" w:name="_Toc134197954"/>
      <w:r>
        <w:t>Verification of</w:t>
      </w:r>
      <w:r w:rsidRPr="00196951">
        <w:t xml:space="preserve"> members</w:t>
      </w:r>
      <w:bookmarkEnd w:id="9470"/>
      <w:bookmarkEnd w:id="9471"/>
      <w:bookmarkEnd w:id="9472"/>
      <w:bookmarkEnd w:id="9473"/>
      <w:bookmarkEnd w:id="9474"/>
    </w:p>
    <w:p w14:paraId="0F144104" w14:textId="3BA6CF94" w:rsidR="006B51BF" w:rsidRPr="00132C1E" w:rsidRDefault="006B51BF" w:rsidP="0080187E">
      <w:pPr>
        <w:pStyle w:val="Clause"/>
        <w:numPr>
          <w:ilvl w:val="0"/>
          <w:numId w:val="376"/>
        </w:numPr>
      </w:pPr>
      <w:r w:rsidRPr="00C52095">
        <w:t xml:space="preserve">In DC2, the resistance and stability of members defined by structural type in </w:t>
      </w:r>
      <w:r w:rsidRPr="00815EB6">
        <w:rPr>
          <w:color w:val="auto"/>
        </w:rPr>
        <w:t>Table 11.</w:t>
      </w:r>
      <w:r w:rsidR="00E832F3">
        <w:rPr>
          <w:color w:val="auto"/>
        </w:rPr>
        <w:t>9</w:t>
      </w:r>
      <w:r w:rsidRPr="00815EB6">
        <w:rPr>
          <w:color w:val="auto"/>
        </w:rPr>
        <w:t xml:space="preserve"> </w:t>
      </w:r>
      <w:r w:rsidRPr="007754C9">
        <w:t>and of the connections of these members should be verified under the most unfavourable combination of the axial force</w:t>
      </w:r>
      <w:r w:rsidRPr="00EF3C98">
        <w:rPr>
          <w:i/>
        </w:rPr>
        <w:t xml:space="preserve"> N</w:t>
      </w:r>
      <w:r w:rsidRPr="00EF3C98">
        <w:rPr>
          <w:vertAlign w:val="subscript"/>
        </w:rPr>
        <w:t>Ed</w:t>
      </w:r>
      <w:r w:rsidRPr="00132C1E">
        <w:t xml:space="preserve">, bending moments </w:t>
      </w:r>
      <w:r w:rsidRPr="00EF3C98">
        <w:rPr>
          <w:i/>
        </w:rPr>
        <w:t>M</w:t>
      </w:r>
      <w:r w:rsidRPr="00EF3C98">
        <w:rPr>
          <w:vertAlign w:val="subscript"/>
        </w:rPr>
        <w:t>Ed</w:t>
      </w:r>
      <w:r w:rsidRPr="00132C1E">
        <w:t xml:space="preserve"> and shear force</w:t>
      </w:r>
      <w:r w:rsidRPr="00EF3C98">
        <w:rPr>
          <w:i/>
        </w:rPr>
        <w:t xml:space="preserve"> V</w:t>
      </w:r>
      <w:r w:rsidRPr="00EF3C98">
        <w:rPr>
          <w:vertAlign w:val="subscript"/>
        </w:rPr>
        <w:t>Ed</w:t>
      </w:r>
      <w:r w:rsidRPr="00132C1E">
        <w:t xml:space="preserve"> from </w:t>
      </w:r>
      <w:r w:rsidRPr="003A443F">
        <w:t>Formula (11</w:t>
      </w:r>
      <w:r w:rsidRPr="00132C1E">
        <w:t>.2).</w:t>
      </w:r>
    </w:p>
    <w:p w14:paraId="5C3AF160" w14:textId="3D15B46F" w:rsidR="00733944" w:rsidRPr="00733944" w:rsidRDefault="009B5CEC" w:rsidP="00733944">
      <w:pPr>
        <w:pStyle w:val="Clause"/>
        <w:numPr>
          <w:ilvl w:val="0"/>
          <w:numId w:val="0"/>
        </w:numPr>
        <w:ind w:left="426"/>
      </w:pPr>
      <m:oMathPara>
        <m:oMathParaPr>
          <m:jc m:val="left"/>
        </m:oMathParaPr>
        <m:oMath>
          <m:sSub>
            <m:sSubPr>
              <m:ctrlPr>
                <w:rPr>
                  <w:rFonts w:ascii="Cambria Math" w:hAnsi="Cambria Math"/>
                  <w:i/>
                  <w:noProof/>
                </w:rPr>
              </m:ctrlPr>
            </m:sSubPr>
            <m:e>
              <m:r>
                <w:rPr>
                  <w:rFonts w:ascii="Cambria Math" w:hAnsi="Cambria Math"/>
                  <w:noProof/>
                </w:rPr>
                <m:t>N</m:t>
              </m:r>
            </m:e>
            <m:sub>
              <m:r>
                <m:rPr>
                  <m:sty m:val="p"/>
                </m:rPr>
                <w:rPr>
                  <w:rFonts w:ascii="Cambria Math" w:hAnsi="Cambria Math"/>
                  <w:noProof/>
                </w:rPr>
                <m:t>Ed</m:t>
              </m:r>
            </m:sub>
          </m:sSub>
          <m:r>
            <w:rPr>
              <w:rFonts w:ascii="Cambria Math" w:hAnsi="Cambria Math"/>
              <w:noProof/>
            </w:rPr>
            <m:t>=</m:t>
          </m:r>
          <m:sSub>
            <m:sSubPr>
              <m:ctrlPr>
                <w:rPr>
                  <w:rFonts w:ascii="Cambria Math" w:hAnsi="Cambria Math"/>
                  <w:i/>
                  <w:noProof/>
                </w:rPr>
              </m:ctrlPr>
            </m:sSubPr>
            <m:e>
              <m:r>
                <w:rPr>
                  <w:rFonts w:ascii="Cambria Math" w:hAnsi="Cambria Math"/>
                  <w:noProof/>
                </w:rPr>
                <m:t>N</m:t>
              </m:r>
            </m:e>
            <m:sub>
              <m:r>
                <m:rPr>
                  <m:sty m:val="p"/>
                </m:rPr>
                <w:rPr>
                  <w:rFonts w:ascii="Cambria Math" w:hAnsi="Cambria Math"/>
                  <w:noProof/>
                </w:rPr>
                <m:t>Ed,G</m:t>
              </m:r>
            </m:sub>
          </m:sSub>
          <m:r>
            <w:rPr>
              <w:rFonts w:ascii="Cambria Math" w:hAnsi="Cambria Math"/>
              <w:noProof/>
            </w:rPr>
            <m:t xml:space="preserve"> "+" </m:t>
          </m:r>
          <m:sSub>
            <m:sSubPr>
              <m:ctrlPr>
                <w:rPr>
                  <w:rFonts w:ascii="Cambria Math" w:hAnsi="Cambria Math"/>
                  <w:i/>
                  <w:noProof/>
                </w:rPr>
              </m:ctrlPr>
            </m:sSubPr>
            <m:e>
              <m:r>
                <w:rPr>
                  <w:rFonts w:ascii="Cambria Math" w:hAnsi="Cambria Math"/>
                  <w:noProof/>
                </w:rPr>
                <m:t>Ω N</m:t>
              </m:r>
            </m:e>
            <m:sub>
              <m:r>
                <m:rPr>
                  <m:sty m:val="p"/>
                </m:rPr>
                <w:rPr>
                  <w:rFonts w:ascii="Cambria Math" w:hAnsi="Cambria Math"/>
                  <w:noProof/>
                </w:rPr>
                <m:t>Ed,E</m:t>
              </m:r>
              <m:r>
                <w:rPr>
                  <w:rFonts w:ascii="Cambria Math" w:hAnsi="Cambria Math"/>
                  <w:noProof/>
                </w:rPr>
                <m:t xml:space="preserve"> </m:t>
              </m:r>
            </m:sub>
          </m:sSub>
        </m:oMath>
      </m:oMathPara>
    </w:p>
    <w:p w14:paraId="7F3073DB" w14:textId="1916CE3D" w:rsidR="00733944" w:rsidRDefault="009B5CEC" w:rsidP="00733944">
      <w:pPr>
        <w:pStyle w:val="Formula"/>
        <w:spacing w:before="240"/>
      </w:pPr>
      <m:oMath>
        <m:sSub>
          <m:sSubPr>
            <m:ctrlPr>
              <w:rPr>
                <w:rFonts w:ascii="Cambria Math" w:hAnsi="Cambria Math"/>
                <w:i/>
                <w:noProof/>
              </w:rPr>
            </m:ctrlPr>
          </m:sSubPr>
          <m:e>
            <m:r>
              <w:rPr>
                <w:rFonts w:ascii="Cambria Math" w:hAnsi="Cambria Math"/>
                <w:noProof/>
              </w:rPr>
              <m:t>M</m:t>
            </m:r>
          </m:e>
          <m:sub>
            <m:r>
              <m:rPr>
                <m:sty m:val="p"/>
              </m:rPr>
              <w:rPr>
                <w:rFonts w:ascii="Cambria Math" w:hAnsi="Cambria Math"/>
                <w:noProof/>
              </w:rPr>
              <m:t>Ed</m:t>
            </m:r>
          </m:sub>
        </m:sSub>
        <m:r>
          <w:rPr>
            <w:rFonts w:ascii="Cambria Math" w:hAnsi="Cambria Math"/>
            <w:noProof/>
          </w:rPr>
          <m:t>=</m:t>
        </m:r>
        <m:sSub>
          <m:sSubPr>
            <m:ctrlPr>
              <w:rPr>
                <w:rFonts w:ascii="Cambria Math" w:hAnsi="Cambria Math"/>
                <w:i/>
                <w:noProof/>
              </w:rPr>
            </m:ctrlPr>
          </m:sSubPr>
          <m:e>
            <m:r>
              <w:rPr>
                <w:rFonts w:ascii="Cambria Math" w:hAnsi="Cambria Math"/>
                <w:noProof/>
              </w:rPr>
              <m:t>M</m:t>
            </m:r>
          </m:e>
          <m:sub>
            <m:r>
              <m:rPr>
                <m:sty m:val="p"/>
              </m:rPr>
              <w:rPr>
                <w:rFonts w:ascii="Cambria Math" w:hAnsi="Cambria Math"/>
                <w:noProof/>
              </w:rPr>
              <m:t>Ed,G</m:t>
            </m:r>
          </m:sub>
        </m:sSub>
        <m:r>
          <w:rPr>
            <w:rFonts w:ascii="Cambria Math" w:hAnsi="Cambria Math"/>
            <w:noProof/>
          </w:rPr>
          <m:t xml:space="preserve"> "+" </m:t>
        </m:r>
        <m:sSub>
          <m:sSubPr>
            <m:ctrlPr>
              <w:rPr>
                <w:rFonts w:ascii="Cambria Math" w:hAnsi="Cambria Math"/>
                <w:i/>
                <w:noProof/>
              </w:rPr>
            </m:ctrlPr>
          </m:sSubPr>
          <m:e>
            <m:r>
              <w:rPr>
                <w:rFonts w:ascii="Cambria Math" w:hAnsi="Cambria Math"/>
                <w:noProof/>
              </w:rPr>
              <m:t>M</m:t>
            </m:r>
          </m:e>
          <m:sub>
            <m:r>
              <m:rPr>
                <m:sty m:val="p"/>
              </m:rPr>
              <w:rPr>
                <w:rFonts w:ascii="Cambria Math" w:hAnsi="Cambria Math"/>
                <w:noProof/>
              </w:rPr>
              <m:t>Ed,E</m:t>
            </m:r>
          </m:sub>
        </m:sSub>
      </m:oMath>
      <w:r w:rsidR="00733944" w:rsidRPr="00870D59">
        <w:tab/>
        <w:t>(1</w:t>
      </w:r>
      <w:r w:rsidR="00733944">
        <w:t>1</w:t>
      </w:r>
      <w:r w:rsidR="00733944" w:rsidRPr="00870D59">
        <w:t>.</w:t>
      </w:r>
      <w:r w:rsidR="00733944">
        <w:t>2</w:t>
      </w:r>
      <w:r w:rsidR="00733944" w:rsidRPr="00870D59">
        <w:t>)</w:t>
      </w:r>
    </w:p>
    <w:p w14:paraId="1A982257" w14:textId="77777777" w:rsidR="00733944" w:rsidRPr="00733944" w:rsidRDefault="009B5CEC" w:rsidP="00733944">
      <w:pPr>
        <w:ind w:left="426"/>
        <w:rPr>
          <w:noProof/>
        </w:rPr>
      </w:pPr>
      <m:oMathPara>
        <m:oMathParaPr>
          <m:jc m:val="left"/>
        </m:oMathParaPr>
        <m:oMath>
          <m:sSub>
            <m:sSubPr>
              <m:ctrlPr>
                <w:rPr>
                  <w:rFonts w:ascii="Cambria Math" w:hAnsi="Cambria Math"/>
                  <w:i/>
                  <w:noProof/>
                </w:rPr>
              </m:ctrlPr>
            </m:sSubPr>
            <m:e>
              <m:r>
                <w:rPr>
                  <w:rFonts w:ascii="Cambria Math" w:hAnsi="Cambria Math"/>
                  <w:noProof/>
                </w:rPr>
                <m:t>V</m:t>
              </m:r>
            </m:e>
            <m:sub>
              <m:r>
                <m:rPr>
                  <m:sty m:val="p"/>
                </m:rPr>
                <w:rPr>
                  <w:rFonts w:ascii="Cambria Math" w:hAnsi="Cambria Math"/>
                  <w:noProof/>
                </w:rPr>
                <m:t>Ed</m:t>
              </m:r>
            </m:sub>
          </m:sSub>
          <m:r>
            <w:rPr>
              <w:rFonts w:ascii="Cambria Math" w:hAnsi="Cambria Math"/>
              <w:noProof/>
            </w:rPr>
            <m:t>=</m:t>
          </m:r>
          <m:sSub>
            <m:sSubPr>
              <m:ctrlPr>
                <w:rPr>
                  <w:rFonts w:ascii="Cambria Math" w:hAnsi="Cambria Math"/>
                  <w:i/>
                  <w:noProof/>
                </w:rPr>
              </m:ctrlPr>
            </m:sSubPr>
            <m:e>
              <m:r>
                <w:rPr>
                  <w:rFonts w:ascii="Cambria Math" w:hAnsi="Cambria Math"/>
                  <w:noProof/>
                </w:rPr>
                <m:t>V</m:t>
              </m:r>
            </m:e>
            <m:sub>
              <m:r>
                <m:rPr>
                  <m:sty m:val="p"/>
                </m:rPr>
                <w:rPr>
                  <w:rFonts w:ascii="Cambria Math" w:hAnsi="Cambria Math"/>
                  <w:noProof/>
                </w:rPr>
                <m:t>Ed,G</m:t>
              </m:r>
            </m:sub>
          </m:sSub>
          <m:r>
            <w:rPr>
              <w:rFonts w:ascii="Cambria Math" w:hAnsi="Cambria Math"/>
              <w:noProof/>
            </w:rPr>
            <m:t xml:space="preserve"> "+" </m:t>
          </m:r>
          <m:sSub>
            <m:sSubPr>
              <m:ctrlPr>
                <w:rPr>
                  <w:rFonts w:ascii="Cambria Math" w:hAnsi="Cambria Math"/>
                  <w:i/>
                  <w:noProof/>
                </w:rPr>
              </m:ctrlPr>
            </m:sSubPr>
            <m:e>
              <m:r>
                <w:rPr>
                  <w:rFonts w:ascii="Cambria Math" w:hAnsi="Cambria Math"/>
                  <w:noProof/>
                </w:rPr>
                <m:t>V</m:t>
              </m:r>
            </m:e>
            <m:sub>
              <m:r>
                <m:rPr>
                  <m:sty m:val="p"/>
                </m:rPr>
                <w:rPr>
                  <w:rFonts w:ascii="Cambria Math" w:hAnsi="Cambria Math"/>
                  <w:noProof/>
                </w:rPr>
                <m:t>Ed,E</m:t>
              </m:r>
            </m:sub>
          </m:sSub>
        </m:oMath>
      </m:oMathPara>
    </w:p>
    <w:p w14:paraId="00D98608" w14:textId="39512840" w:rsidR="00733944" w:rsidRDefault="00675EBA" w:rsidP="00FD0E83">
      <w:pPr>
        <w:pStyle w:val="Text"/>
      </w:pPr>
      <w:r>
        <w:t>where</w:t>
      </w:r>
    </w:p>
    <w:tbl>
      <w:tblPr>
        <w:tblW w:w="0" w:type="auto"/>
        <w:tblInd w:w="346" w:type="dxa"/>
        <w:tblLook w:val="04A0" w:firstRow="1" w:lastRow="0" w:firstColumn="1" w:lastColumn="0" w:noHBand="0" w:noVBand="1"/>
      </w:tblPr>
      <w:tblGrid>
        <w:gridCol w:w="2018"/>
        <w:gridCol w:w="7195"/>
      </w:tblGrid>
      <w:tr w:rsidR="00733944" w:rsidRPr="00870D59" w14:paraId="1C3EB21D" w14:textId="77777777" w:rsidTr="007D7E6D">
        <w:tc>
          <w:tcPr>
            <w:tcW w:w="2018" w:type="dxa"/>
          </w:tcPr>
          <w:p w14:paraId="33F7A2EB" w14:textId="594C97F5" w:rsidR="00733944" w:rsidRPr="00870D59" w:rsidRDefault="00733944" w:rsidP="002061E5">
            <w:pPr>
              <w:spacing w:after="60"/>
              <w:rPr>
                <w:rFonts w:eastAsia="Times New Roman" w:cs="Cambria"/>
                <w:szCs w:val="20"/>
                <w:lang w:eastAsia="fr-FR"/>
              </w:rPr>
            </w:pPr>
            <w:r w:rsidRPr="00D1484A">
              <w:rPr>
                <w:i/>
                <w:iCs/>
              </w:rPr>
              <w:t>N</w:t>
            </w:r>
            <w:r w:rsidRPr="007E6F67">
              <w:rPr>
                <w:vertAlign w:val="subscript"/>
              </w:rPr>
              <w:t>Ed,G</w:t>
            </w:r>
            <w:r w:rsidRPr="007E6F67">
              <w:t xml:space="preserve">, </w:t>
            </w:r>
            <w:r w:rsidRPr="007E6F67">
              <w:rPr>
                <w:i/>
                <w:iCs/>
              </w:rPr>
              <w:t>M</w:t>
            </w:r>
            <w:r w:rsidRPr="007E6F67">
              <w:rPr>
                <w:vertAlign w:val="subscript"/>
              </w:rPr>
              <w:t>Ed,G</w:t>
            </w:r>
            <w:r w:rsidRPr="007E6F67">
              <w:t xml:space="preserve"> and </w:t>
            </w:r>
            <w:r w:rsidRPr="007E6F67">
              <w:rPr>
                <w:i/>
                <w:iCs/>
              </w:rPr>
              <w:t>V</w:t>
            </w:r>
            <w:r w:rsidRPr="007E6F67">
              <w:rPr>
                <w:vertAlign w:val="subscript"/>
              </w:rPr>
              <w:t>Ed,G</w:t>
            </w:r>
          </w:p>
        </w:tc>
        <w:tc>
          <w:tcPr>
            <w:tcW w:w="7195" w:type="dxa"/>
          </w:tcPr>
          <w:p w14:paraId="3E31EC30" w14:textId="70906DAE" w:rsidR="00733944" w:rsidRPr="00FD0E83" w:rsidRDefault="00733944" w:rsidP="002061E5">
            <w:pPr>
              <w:spacing w:after="60"/>
              <w:rPr>
                <w:rFonts w:eastAsia="Times New Roman" w:cs="Cambria"/>
                <w:szCs w:val="20"/>
                <w:lang w:eastAsia="fr-FR"/>
              </w:rPr>
            </w:pPr>
            <w:r w:rsidRPr="00FD0E83">
              <w:t>are the effects of the non-seismic actions in the seismic design situation;</w:t>
            </w:r>
          </w:p>
        </w:tc>
      </w:tr>
      <w:tr w:rsidR="00733944" w:rsidRPr="00870D59" w14:paraId="56084BA6" w14:textId="77777777" w:rsidTr="007D7E6D">
        <w:tc>
          <w:tcPr>
            <w:tcW w:w="2018" w:type="dxa"/>
          </w:tcPr>
          <w:p w14:paraId="2C43B50A" w14:textId="6A6E7A3A" w:rsidR="00733944" w:rsidRPr="00EB30A2" w:rsidRDefault="00733944" w:rsidP="002061E5">
            <w:pPr>
              <w:spacing w:after="60"/>
              <w:rPr>
                <w:rFonts w:ascii="Symbol" w:hAnsi="Symbol"/>
                <w:i/>
                <w:color w:val="000000" w:themeColor="text1"/>
                <w:lang w:val="it-IT"/>
              </w:rPr>
            </w:pPr>
            <w:r w:rsidRPr="00EB30A2">
              <w:rPr>
                <w:i/>
                <w:iCs/>
                <w:lang w:val="it-IT"/>
              </w:rPr>
              <w:t>N</w:t>
            </w:r>
            <w:r w:rsidRPr="00EB30A2">
              <w:rPr>
                <w:vertAlign w:val="subscript"/>
                <w:lang w:val="it-IT"/>
              </w:rPr>
              <w:t>Ed,E</w:t>
            </w:r>
            <w:r w:rsidRPr="00EB30A2">
              <w:rPr>
                <w:lang w:val="it-IT"/>
              </w:rPr>
              <w:t xml:space="preserve">, </w:t>
            </w:r>
            <w:r w:rsidRPr="00EB30A2">
              <w:rPr>
                <w:i/>
                <w:iCs/>
                <w:lang w:val="it-IT"/>
              </w:rPr>
              <w:t>M</w:t>
            </w:r>
            <w:r w:rsidRPr="00EB30A2">
              <w:rPr>
                <w:vertAlign w:val="subscript"/>
                <w:lang w:val="it-IT"/>
              </w:rPr>
              <w:t>Ed,E</w:t>
            </w:r>
            <w:r w:rsidRPr="00EB30A2">
              <w:rPr>
                <w:lang w:val="it-IT"/>
              </w:rPr>
              <w:t xml:space="preserve"> and </w:t>
            </w:r>
            <w:r w:rsidRPr="00EB30A2">
              <w:rPr>
                <w:i/>
                <w:iCs/>
                <w:lang w:val="it-IT"/>
              </w:rPr>
              <w:t>V</w:t>
            </w:r>
            <w:r w:rsidRPr="00EB30A2">
              <w:rPr>
                <w:vertAlign w:val="subscript"/>
                <w:lang w:val="it-IT"/>
              </w:rPr>
              <w:t>Ed,E</w:t>
            </w:r>
          </w:p>
        </w:tc>
        <w:tc>
          <w:tcPr>
            <w:tcW w:w="7195" w:type="dxa"/>
          </w:tcPr>
          <w:p w14:paraId="3C850472" w14:textId="68A25AC6" w:rsidR="00733944" w:rsidRPr="00FD0E83" w:rsidRDefault="00733944" w:rsidP="002061E5">
            <w:r w:rsidRPr="00FD0E83">
              <w:t>are the effects of the design seismic action;</w:t>
            </w:r>
          </w:p>
        </w:tc>
      </w:tr>
      <w:tr w:rsidR="00733944" w:rsidRPr="00870D59" w14:paraId="5D8E43FF" w14:textId="77777777" w:rsidTr="007D7E6D">
        <w:tc>
          <w:tcPr>
            <w:tcW w:w="2018" w:type="dxa"/>
          </w:tcPr>
          <w:p w14:paraId="174B0F07" w14:textId="1D94E8DC" w:rsidR="00733944" w:rsidRPr="00D1484A" w:rsidRDefault="00733944" w:rsidP="002061E5">
            <w:pPr>
              <w:spacing w:after="60"/>
              <w:rPr>
                <w:i/>
                <w:iCs/>
              </w:rPr>
            </w:pPr>
            <w:r w:rsidRPr="00E05E29">
              <w:rPr>
                <w:rFonts w:ascii="Symbol" w:eastAsia="Symbol" w:hAnsi="Symbol" w:cs="Symbol"/>
                <w:i/>
              </w:rPr>
              <w:t></w:t>
            </w:r>
          </w:p>
        </w:tc>
        <w:tc>
          <w:tcPr>
            <w:tcW w:w="7195" w:type="dxa"/>
          </w:tcPr>
          <w:p w14:paraId="358C2C5A" w14:textId="1779A092" w:rsidR="00733944" w:rsidRPr="00FD0E83" w:rsidRDefault="00733944" w:rsidP="002061E5">
            <w:r w:rsidRPr="00FD0E83">
              <w:t>is the seismic action magnification factor, see (Table 11.</w:t>
            </w:r>
            <w:r w:rsidR="00E832F3">
              <w:t>9</w:t>
            </w:r>
            <w:r w:rsidRPr="00FD0E83">
              <w:t>);</w:t>
            </w:r>
          </w:p>
        </w:tc>
      </w:tr>
      <w:tr w:rsidR="00733944" w:rsidRPr="00870D59" w14:paraId="580C885B" w14:textId="77777777" w:rsidTr="007D7E6D">
        <w:tc>
          <w:tcPr>
            <w:tcW w:w="2018" w:type="dxa"/>
          </w:tcPr>
          <w:p w14:paraId="0F811B54" w14:textId="1562FD02" w:rsidR="00733944" w:rsidRPr="00E05E29" w:rsidRDefault="00733944" w:rsidP="002061E5">
            <w:pPr>
              <w:spacing w:after="60"/>
              <w:rPr>
                <w:rFonts w:ascii="Symbol" w:eastAsia="Symbol" w:hAnsi="Symbol" w:cs="Symbol"/>
                <w:i/>
              </w:rPr>
            </w:pPr>
            <w:r w:rsidRPr="00E05E29">
              <w:t>"+"</w:t>
            </w:r>
          </w:p>
        </w:tc>
        <w:tc>
          <w:tcPr>
            <w:tcW w:w="7195" w:type="dxa"/>
          </w:tcPr>
          <w:p w14:paraId="6702232E" w14:textId="2848AE5C" w:rsidR="00733944" w:rsidRPr="00FD0E83" w:rsidRDefault="00733944" w:rsidP="002061E5">
            <w:r w:rsidRPr="00FD0E83">
              <w:t>means combined with + or – sign.</w:t>
            </w:r>
          </w:p>
        </w:tc>
      </w:tr>
    </w:tbl>
    <w:p w14:paraId="22A2F580" w14:textId="33103493" w:rsidR="00733944" w:rsidRPr="00E05E29" w:rsidRDefault="00733944" w:rsidP="00733944">
      <w:pPr>
        <w:pStyle w:val="Notetext"/>
      </w:pPr>
      <w:r w:rsidRPr="00E05E29">
        <w:t>NOTE</w:t>
      </w:r>
      <w:r w:rsidRPr="00E05E29">
        <w:tab/>
        <w:t xml:space="preserve">The non-dissipative members are defined in </w:t>
      </w:r>
      <w:r w:rsidRPr="00733944">
        <w:t xml:space="preserve">Table </w:t>
      </w:r>
      <w:r w:rsidRPr="003422A2">
        <w:t>11.</w:t>
      </w:r>
      <w:r w:rsidR="00E832F3">
        <w:t>9</w:t>
      </w:r>
      <w:r w:rsidRPr="003422A2">
        <w:t>.</w:t>
      </w:r>
    </w:p>
    <w:p w14:paraId="60B0E958" w14:textId="7BD80074" w:rsidR="00733944" w:rsidRPr="00733944" w:rsidRDefault="00733944" w:rsidP="00724E4E">
      <w:pPr>
        <w:pStyle w:val="Clause"/>
      </w:pPr>
      <w:r w:rsidRPr="00E05E29">
        <w:t>The resistance and stability of non-dissipative members in DC3 should be verified under the most unfavourable combination of the axial force</w:t>
      </w:r>
      <w:r w:rsidRPr="004F74EA">
        <w:rPr>
          <w:i/>
        </w:rPr>
        <w:t xml:space="preserve"> N</w:t>
      </w:r>
      <w:r w:rsidRPr="004F74EA">
        <w:rPr>
          <w:vertAlign w:val="subscript"/>
        </w:rPr>
        <w:t>Ed</w:t>
      </w:r>
      <w:r w:rsidRPr="00E05E29">
        <w:t xml:space="preserve">, bending moments </w:t>
      </w:r>
      <w:r w:rsidRPr="004F74EA">
        <w:rPr>
          <w:i/>
        </w:rPr>
        <w:t>M</w:t>
      </w:r>
      <w:r w:rsidRPr="004F74EA">
        <w:rPr>
          <w:vertAlign w:val="subscript"/>
        </w:rPr>
        <w:t>Ed</w:t>
      </w:r>
      <w:r w:rsidRPr="00E05E29">
        <w:t xml:space="preserve"> and shear force</w:t>
      </w:r>
      <w:r w:rsidRPr="004F74EA">
        <w:rPr>
          <w:i/>
        </w:rPr>
        <w:t xml:space="preserve"> V</w:t>
      </w:r>
      <w:r w:rsidRPr="004F74EA">
        <w:rPr>
          <w:vertAlign w:val="subscript"/>
        </w:rPr>
        <w:t>Ed</w:t>
      </w:r>
      <w:r w:rsidRPr="00E05E29">
        <w:t xml:space="preserve"> from </w:t>
      </w:r>
      <w:r w:rsidRPr="003A443F">
        <w:t>Formula</w:t>
      </w:r>
      <w:r w:rsidR="007D7E6D">
        <w:t> </w:t>
      </w:r>
      <w:r w:rsidRPr="003A443F">
        <w:t>(11.3).</w:t>
      </w:r>
    </w:p>
    <w:p w14:paraId="0D566747" w14:textId="77777777" w:rsidR="00733944" w:rsidRPr="00733944" w:rsidRDefault="009B5CEC" w:rsidP="00733944">
      <w:pPr>
        <w:ind w:left="426"/>
      </w:pPr>
      <m:oMathPara>
        <m:oMathParaPr>
          <m:jc m:val="left"/>
        </m:oMathParaPr>
        <m:oMath>
          <m:sSub>
            <m:sSubPr>
              <m:ctrlPr>
                <w:rPr>
                  <w:rFonts w:ascii="Cambria Math" w:hAnsi="Cambria Math"/>
                  <w:i/>
                  <w:noProof/>
                </w:rPr>
              </m:ctrlPr>
            </m:sSubPr>
            <m:e>
              <m:r>
                <w:rPr>
                  <w:rFonts w:ascii="Cambria Math" w:hAnsi="Cambria Math"/>
                  <w:noProof/>
                </w:rPr>
                <m:t>N</m:t>
              </m:r>
            </m:e>
            <m:sub>
              <m:r>
                <m:rPr>
                  <m:sty m:val="p"/>
                </m:rPr>
                <w:rPr>
                  <w:rFonts w:ascii="Cambria Math" w:hAnsi="Cambria Math"/>
                  <w:noProof/>
                </w:rPr>
                <m:t>Ed</m:t>
              </m:r>
            </m:sub>
          </m:sSub>
          <m:r>
            <w:rPr>
              <w:rFonts w:ascii="Cambria Math" w:hAnsi="Cambria Math"/>
              <w:noProof/>
            </w:rPr>
            <m:t>=</m:t>
          </m:r>
          <m:sSub>
            <m:sSubPr>
              <m:ctrlPr>
                <w:rPr>
                  <w:rFonts w:ascii="Cambria Math" w:hAnsi="Cambria Math"/>
                  <w:i/>
                  <w:noProof/>
                </w:rPr>
              </m:ctrlPr>
            </m:sSubPr>
            <m:e>
              <m:r>
                <w:rPr>
                  <w:rFonts w:ascii="Cambria Math" w:hAnsi="Cambria Math"/>
                  <w:noProof/>
                </w:rPr>
                <m:t>N</m:t>
              </m:r>
            </m:e>
            <m:sub>
              <m:r>
                <m:rPr>
                  <m:sty m:val="p"/>
                </m:rPr>
                <w:rPr>
                  <w:rFonts w:ascii="Cambria Math" w:hAnsi="Cambria Math"/>
                  <w:noProof/>
                </w:rPr>
                <m:t>Ed,G</m:t>
              </m:r>
            </m:sub>
          </m:sSub>
          <m:r>
            <w:rPr>
              <w:rFonts w:ascii="Cambria Math" w:hAnsi="Cambria Math"/>
              <w:noProof/>
            </w:rPr>
            <m:t xml:space="preserve"> "+" </m:t>
          </m:r>
          <m:sSub>
            <m:sSubPr>
              <m:ctrlPr>
                <w:rPr>
                  <w:rFonts w:ascii="Cambria Math" w:hAnsi="Cambria Math"/>
                  <w:i/>
                  <w:noProof/>
                </w:rPr>
              </m:ctrlPr>
            </m:sSubPr>
            <m:e>
              <m:r>
                <w:rPr>
                  <w:rFonts w:ascii="Cambria Math" w:hAnsi="Cambria Math"/>
                </w:rPr>
                <m:t>ω</m:t>
              </m:r>
            </m:e>
            <m:sub>
              <m:r>
                <m:rPr>
                  <m:sty m:val="p"/>
                </m:rPr>
                <w:rPr>
                  <w:rFonts w:ascii="Cambria Math" w:hAnsi="Cambria Math"/>
                  <w:noProof/>
                </w:rPr>
                <m:t>rm</m:t>
              </m:r>
            </m:sub>
          </m:sSub>
          <m:sSub>
            <m:sSubPr>
              <m:ctrlPr>
                <w:rPr>
                  <w:rFonts w:ascii="Cambria Math" w:hAnsi="Cambria Math"/>
                  <w:i/>
                  <w:noProof/>
                </w:rPr>
              </m:ctrlPr>
            </m:sSubPr>
            <m:e>
              <m:r>
                <w:rPr>
                  <w:rFonts w:ascii="Cambria Math" w:hAnsi="Cambria Math"/>
                </w:rPr>
                <m:t>ω</m:t>
              </m:r>
            </m:e>
            <m:sub>
              <m:r>
                <m:rPr>
                  <m:sty m:val="p"/>
                </m:rPr>
                <w:rPr>
                  <w:rFonts w:ascii="Cambria Math" w:hAnsi="Cambria Math"/>
                  <w:noProof/>
                </w:rPr>
                <m:t>sh</m:t>
              </m:r>
            </m:sub>
          </m:sSub>
          <m:sSub>
            <m:sSubPr>
              <m:ctrlPr>
                <w:rPr>
                  <w:rFonts w:ascii="Cambria Math" w:hAnsi="Cambria Math"/>
                  <w:i/>
                  <w:noProof/>
                </w:rPr>
              </m:ctrlPr>
            </m:sSubPr>
            <m:e>
              <m:r>
                <w:rPr>
                  <w:rFonts w:ascii="Cambria Math" w:hAnsi="Cambria Math"/>
                  <w:noProof/>
                </w:rPr>
                <m:t>Ω</m:t>
              </m:r>
            </m:e>
            <m:sub>
              <m:r>
                <m:rPr>
                  <m:sty m:val="p"/>
                </m:rPr>
                <w:rPr>
                  <w:rFonts w:ascii="Cambria Math" w:hAnsi="Cambria Math"/>
                  <w:noProof/>
                </w:rPr>
                <m:t>d</m:t>
              </m:r>
            </m:sub>
          </m:sSub>
          <m:sSub>
            <m:sSubPr>
              <m:ctrlPr>
                <w:rPr>
                  <w:rFonts w:ascii="Cambria Math" w:hAnsi="Cambria Math"/>
                  <w:i/>
                  <w:noProof/>
                </w:rPr>
              </m:ctrlPr>
            </m:sSubPr>
            <m:e>
              <m:r>
                <w:rPr>
                  <w:rFonts w:ascii="Cambria Math" w:hAnsi="Cambria Math"/>
                  <w:noProof/>
                </w:rPr>
                <m:t>N</m:t>
              </m:r>
            </m:e>
            <m:sub>
              <m:r>
                <m:rPr>
                  <m:sty m:val="p"/>
                </m:rPr>
                <w:rPr>
                  <w:rFonts w:ascii="Cambria Math" w:hAnsi="Cambria Math"/>
                  <w:noProof/>
                </w:rPr>
                <m:t>Ed,E</m:t>
              </m:r>
              <m:r>
                <w:rPr>
                  <w:rFonts w:ascii="Cambria Math" w:hAnsi="Cambria Math"/>
                  <w:noProof/>
                </w:rPr>
                <m:t xml:space="preserve"> </m:t>
              </m:r>
            </m:sub>
          </m:sSub>
        </m:oMath>
      </m:oMathPara>
    </w:p>
    <w:p w14:paraId="276F56D7" w14:textId="262C4237" w:rsidR="00733944" w:rsidRDefault="009B5CEC" w:rsidP="00733944">
      <w:pPr>
        <w:pStyle w:val="Formula"/>
        <w:spacing w:before="240"/>
      </w:pPr>
      <m:oMath>
        <m:sSub>
          <m:sSubPr>
            <m:ctrlPr>
              <w:rPr>
                <w:rFonts w:ascii="Cambria Math" w:hAnsi="Cambria Math"/>
                <w:i/>
                <w:noProof/>
              </w:rPr>
            </m:ctrlPr>
          </m:sSubPr>
          <m:e>
            <m:r>
              <w:rPr>
                <w:rFonts w:ascii="Cambria Math" w:hAnsi="Cambria Math"/>
                <w:noProof/>
              </w:rPr>
              <m:t>M</m:t>
            </m:r>
          </m:e>
          <m:sub>
            <m:r>
              <m:rPr>
                <m:sty m:val="p"/>
              </m:rPr>
              <w:rPr>
                <w:rFonts w:ascii="Cambria Math" w:hAnsi="Cambria Math"/>
                <w:noProof/>
              </w:rPr>
              <m:t>Ed</m:t>
            </m:r>
          </m:sub>
        </m:sSub>
        <m:r>
          <w:rPr>
            <w:rFonts w:ascii="Cambria Math" w:hAnsi="Cambria Math"/>
            <w:noProof/>
          </w:rPr>
          <m:t>=</m:t>
        </m:r>
        <m:sSub>
          <m:sSubPr>
            <m:ctrlPr>
              <w:rPr>
                <w:rFonts w:ascii="Cambria Math" w:hAnsi="Cambria Math"/>
                <w:i/>
                <w:noProof/>
              </w:rPr>
            </m:ctrlPr>
          </m:sSubPr>
          <m:e>
            <m:r>
              <w:rPr>
                <w:rFonts w:ascii="Cambria Math" w:hAnsi="Cambria Math"/>
                <w:noProof/>
              </w:rPr>
              <m:t>M</m:t>
            </m:r>
          </m:e>
          <m:sub>
            <m:r>
              <m:rPr>
                <m:sty m:val="p"/>
              </m:rPr>
              <w:rPr>
                <w:rFonts w:ascii="Cambria Math" w:hAnsi="Cambria Math"/>
                <w:noProof/>
              </w:rPr>
              <m:t>Ed,G</m:t>
            </m:r>
          </m:sub>
        </m:sSub>
        <m:r>
          <w:rPr>
            <w:rFonts w:ascii="Cambria Math" w:hAnsi="Cambria Math"/>
            <w:noProof/>
          </w:rPr>
          <m:t xml:space="preserve"> "+" </m:t>
        </m:r>
        <m:sSub>
          <m:sSubPr>
            <m:ctrlPr>
              <w:rPr>
                <w:rFonts w:ascii="Cambria Math" w:hAnsi="Cambria Math"/>
                <w:i/>
                <w:noProof/>
              </w:rPr>
            </m:ctrlPr>
          </m:sSubPr>
          <m:e>
            <m:r>
              <w:rPr>
                <w:rFonts w:ascii="Cambria Math" w:hAnsi="Cambria Math"/>
              </w:rPr>
              <m:t>ω</m:t>
            </m:r>
          </m:e>
          <m:sub>
            <m:r>
              <m:rPr>
                <m:sty m:val="p"/>
              </m:rPr>
              <w:rPr>
                <w:rFonts w:ascii="Cambria Math" w:hAnsi="Cambria Math"/>
                <w:noProof/>
              </w:rPr>
              <m:t>rm</m:t>
            </m:r>
          </m:sub>
        </m:sSub>
        <m:sSub>
          <m:sSubPr>
            <m:ctrlPr>
              <w:rPr>
                <w:rFonts w:ascii="Cambria Math" w:hAnsi="Cambria Math"/>
                <w:i/>
                <w:noProof/>
              </w:rPr>
            </m:ctrlPr>
          </m:sSubPr>
          <m:e>
            <m:r>
              <w:rPr>
                <w:rFonts w:ascii="Cambria Math" w:hAnsi="Cambria Math"/>
              </w:rPr>
              <m:t>ω</m:t>
            </m:r>
          </m:e>
          <m:sub>
            <m:r>
              <m:rPr>
                <m:sty m:val="p"/>
              </m:rPr>
              <w:rPr>
                <w:rFonts w:ascii="Cambria Math" w:hAnsi="Cambria Math"/>
                <w:noProof/>
              </w:rPr>
              <m:t>sh</m:t>
            </m:r>
          </m:sub>
        </m:sSub>
        <m:sSub>
          <m:sSubPr>
            <m:ctrlPr>
              <w:rPr>
                <w:rFonts w:ascii="Cambria Math" w:hAnsi="Cambria Math"/>
                <w:i/>
                <w:noProof/>
              </w:rPr>
            </m:ctrlPr>
          </m:sSubPr>
          <m:e>
            <m:r>
              <w:rPr>
                <w:rFonts w:ascii="Cambria Math" w:hAnsi="Cambria Math"/>
                <w:noProof/>
              </w:rPr>
              <m:t>Ω</m:t>
            </m:r>
          </m:e>
          <m:sub>
            <m:r>
              <m:rPr>
                <m:sty m:val="p"/>
              </m:rPr>
              <w:rPr>
                <w:rFonts w:ascii="Cambria Math" w:hAnsi="Cambria Math"/>
                <w:noProof/>
              </w:rPr>
              <m:t>d</m:t>
            </m:r>
          </m:sub>
        </m:sSub>
        <m:sSub>
          <m:sSubPr>
            <m:ctrlPr>
              <w:rPr>
                <w:rFonts w:ascii="Cambria Math" w:hAnsi="Cambria Math"/>
                <w:i/>
                <w:noProof/>
              </w:rPr>
            </m:ctrlPr>
          </m:sSubPr>
          <m:e>
            <m:r>
              <w:rPr>
                <w:rFonts w:ascii="Cambria Math" w:hAnsi="Cambria Math"/>
                <w:noProof/>
              </w:rPr>
              <m:t>M</m:t>
            </m:r>
          </m:e>
          <m:sub>
            <m:r>
              <m:rPr>
                <m:sty m:val="p"/>
              </m:rPr>
              <w:rPr>
                <w:rFonts w:ascii="Cambria Math" w:hAnsi="Cambria Math"/>
                <w:noProof/>
              </w:rPr>
              <m:t>Ed,E</m:t>
            </m:r>
          </m:sub>
        </m:sSub>
      </m:oMath>
      <w:r w:rsidR="00733944" w:rsidRPr="00870D59">
        <w:tab/>
        <w:t>(1</w:t>
      </w:r>
      <w:r w:rsidR="00733944">
        <w:t>1</w:t>
      </w:r>
      <w:r w:rsidR="00733944" w:rsidRPr="00870D59">
        <w:t>.</w:t>
      </w:r>
      <w:r w:rsidR="00733944">
        <w:t>3</w:t>
      </w:r>
      <w:r w:rsidR="00733944" w:rsidRPr="00870D59">
        <w:t>)</w:t>
      </w:r>
    </w:p>
    <w:p w14:paraId="4A9EC507" w14:textId="77777777" w:rsidR="00733944" w:rsidRPr="00733944" w:rsidRDefault="009B5CEC" w:rsidP="00733944">
      <w:pPr>
        <w:ind w:left="426"/>
      </w:pPr>
      <m:oMathPara>
        <m:oMathParaPr>
          <m:jc m:val="left"/>
        </m:oMathParaPr>
        <m:oMath>
          <m:sSub>
            <m:sSubPr>
              <m:ctrlPr>
                <w:rPr>
                  <w:rFonts w:ascii="Cambria Math" w:hAnsi="Cambria Math"/>
                  <w:i/>
                  <w:noProof/>
                </w:rPr>
              </m:ctrlPr>
            </m:sSubPr>
            <m:e>
              <m:r>
                <w:rPr>
                  <w:rFonts w:ascii="Cambria Math" w:hAnsi="Cambria Math"/>
                  <w:noProof/>
                </w:rPr>
                <m:t>V</m:t>
              </m:r>
            </m:e>
            <m:sub>
              <m:r>
                <m:rPr>
                  <m:sty m:val="p"/>
                </m:rPr>
                <w:rPr>
                  <w:rFonts w:ascii="Cambria Math" w:hAnsi="Cambria Math"/>
                  <w:noProof/>
                </w:rPr>
                <m:t>Ed</m:t>
              </m:r>
            </m:sub>
          </m:sSub>
          <m:r>
            <w:rPr>
              <w:rFonts w:ascii="Cambria Math" w:hAnsi="Cambria Math"/>
              <w:noProof/>
            </w:rPr>
            <m:t>=</m:t>
          </m:r>
          <m:sSub>
            <m:sSubPr>
              <m:ctrlPr>
                <w:rPr>
                  <w:rFonts w:ascii="Cambria Math" w:hAnsi="Cambria Math"/>
                  <w:i/>
                  <w:noProof/>
                </w:rPr>
              </m:ctrlPr>
            </m:sSubPr>
            <m:e>
              <m:r>
                <w:rPr>
                  <w:rFonts w:ascii="Cambria Math" w:hAnsi="Cambria Math"/>
                  <w:noProof/>
                </w:rPr>
                <m:t>V</m:t>
              </m:r>
            </m:e>
            <m:sub>
              <m:r>
                <m:rPr>
                  <m:sty m:val="p"/>
                </m:rPr>
                <w:rPr>
                  <w:rFonts w:ascii="Cambria Math" w:hAnsi="Cambria Math"/>
                  <w:noProof/>
                </w:rPr>
                <m:t>Ed,G</m:t>
              </m:r>
            </m:sub>
          </m:sSub>
          <m:r>
            <w:rPr>
              <w:rFonts w:ascii="Cambria Math" w:hAnsi="Cambria Math"/>
              <w:noProof/>
            </w:rPr>
            <m:t xml:space="preserve"> "+" </m:t>
          </m:r>
          <m:sSub>
            <m:sSubPr>
              <m:ctrlPr>
                <w:rPr>
                  <w:rFonts w:ascii="Cambria Math" w:hAnsi="Cambria Math"/>
                  <w:i/>
                  <w:noProof/>
                </w:rPr>
              </m:ctrlPr>
            </m:sSubPr>
            <m:e>
              <m:sSub>
                <m:sSubPr>
                  <m:ctrlPr>
                    <w:rPr>
                      <w:rFonts w:ascii="Cambria Math" w:hAnsi="Cambria Math"/>
                      <w:i/>
                      <w:noProof/>
                    </w:rPr>
                  </m:ctrlPr>
                </m:sSubPr>
                <m:e>
                  <m:r>
                    <w:rPr>
                      <w:rFonts w:ascii="Cambria Math" w:hAnsi="Cambria Math"/>
                    </w:rPr>
                    <m:t>ω</m:t>
                  </m:r>
                </m:e>
                <m:sub>
                  <m:r>
                    <m:rPr>
                      <m:sty m:val="p"/>
                    </m:rPr>
                    <w:rPr>
                      <w:rFonts w:ascii="Cambria Math" w:hAnsi="Cambria Math"/>
                      <w:noProof/>
                    </w:rPr>
                    <m:t>rm</m:t>
                  </m:r>
                </m:sub>
              </m:sSub>
              <m:sSub>
                <m:sSubPr>
                  <m:ctrlPr>
                    <w:rPr>
                      <w:rFonts w:ascii="Cambria Math" w:hAnsi="Cambria Math"/>
                      <w:i/>
                      <w:noProof/>
                    </w:rPr>
                  </m:ctrlPr>
                </m:sSubPr>
                <m:e>
                  <m:r>
                    <w:rPr>
                      <w:rFonts w:ascii="Cambria Math" w:hAnsi="Cambria Math"/>
                    </w:rPr>
                    <m:t>ω</m:t>
                  </m:r>
                </m:e>
                <m:sub>
                  <m:r>
                    <m:rPr>
                      <m:sty m:val="p"/>
                    </m:rPr>
                    <w:rPr>
                      <w:rFonts w:ascii="Cambria Math" w:hAnsi="Cambria Math"/>
                      <w:noProof/>
                    </w:rPr>
                    <m:t>sh</m:t>
                  </m:r>
                </m:sub>
              </m:sSub>
              <m:sSub>
                <m:sSubPr>
                  <m:ctrlPr>
                    <w:rPr>
                      <w:rFonts w:ascii="Cambria Math" w:hAnsi="Cambria Math"/>
                      <w:i/>
                      <w:noProof/>
                    </w:rPr>
                  </m:ctrlPr>
                </m:sSubPr>
                <m:e>
                  <m:r>
                    <w:rPr>
                      <w:rFonts w:ascii="Cambria Math" w:hAnsi="Cambria Math"/>
                      <w:noProof/>
                    </w:rPr>
                    <m:t>Ω</m:t>
                  </m:r>
                </m:e>
                <m:sub>
                  <m:r>
                    <m:rPr>
                      <m:sty m:val="p"/>
                    </m:rPr>
                    <w:rPr>
                      <w:rFonts w:ascii="Cambria Math" w:hAnsi="Cambria Math"/>
                      <w:noProof/>
                    </w:rPr>
                    <m:t>d</m:t>
                  </m:r>
                </m:sub>
              </m:sSub>
              <m:r>
                <w:rPr>
                  <w:rFonts w:ascii="Cambria Math" w:hAnsi="Cambria Math"/>
                  <w:noProof/>
                </w:rPr>
                <m:t>V</m:t>
              </m:r>
            </m:e>
            <m:sub>
              <m:r>
                <m:rPr>
                  <m:sty m:val="p"/>
                </m:rPr>
                <w:rPr>
                  <w:rFonts w:ascii="Cambria Math" w:hAnsi="Cambria Math"/>
                  <w:noProof/>
                </w:rPr>
                <m:t>Ed,E</m:t>
              </m:r>
            </m:sub>
          </m:sSub>
        </m:oMath>
      </m:oMathPara>
    </w:p>
    <w:p w14:paraId="7D15F30F" w14:textId="064CC66D" w:rsidR="00733944" w:rsidRDefault="00675EBA" w:rsidP="00FD0E83">
      <w:pPr>
        <w:pStyle w:val="Text"/>
      </w:pPr>
      <w:r>
        <w:t>where</w:t>
      </w:r>
    </w:p>
    <w:tbl>
      <w:tblPr>
        <w:tblW w:w="0" w:type="auto"/>
        <w:tblInd w:w="346" w:type="dxa"/>
        <w:tblLook w:val="04A0" w:firstRow="1" w:lastRow="0" w:firstColumn="1" w:lastColumn="0" w:noHBand="0" w:noVBand="1"/>
      </w:tblPr>
      <w:tblGrid>
        <w:gridCol w:w="1275"/>
        <w:gridCol w:w="7938"/>
      </w:tblGrid>
      <w:tr w:rsidR="00733944" w:rsidRPr="00870D59" w14:paraId="68381624" w14:textId="77777777" w:rsidTr="007D7E6D">
        <w:tc>
          <w:tcPr>
            <w:tcW w:w="1275" w:type="dxa"/>
          </w:tcPr>
          <w:p w14:paraId="4E1A7AD0" w14:textId="41724140" w:rsidR="00733944" w:rsidRPr="00870D59" w:rsidRDefault="00733944" w:rsidP="002061E5">
            <w:pPr>
              <w:spacing w:after="60"/>
              <w:rPr>
                <w:rFonts w:eastAsia="Times New Roman" w:cs="Cambria"/>
                <w:szCs w:val="20"/>
                <w:lang w:eastAsia="fr-FR"/>
              </w:rPr>
            </w:pPr>
            <w:r w:rsidRPr="00D1484A">
              <w:rPr>
                <w:i/>
              </w:rPr>
              <w:t>ω</w:t>
            </w:r>
            <w:r w:rsidRPr="007E6F67">
              <w:rPr>
                <w:vertAlign w:val="subscript"/>
              </w:rPr>
              <w:t>rm</w:t>
            </w:r>
          </w:p>
        </w:tc>
        <w:tc>
          <w:tcPr>
            <w:tcW w:w="7938" w:type="dxa"/>
          </w:tcPr>
          <w:p w14:paraId="68E65AD9" w14:textId="49CFFA22" w:rsidR="00733944" w:rsidRPr="00FD0E83" w:rsidRDefault="00733944" w:rsidP="002061E5">
            <w:pPr>
              <w:spacing w:after="60"/>
              <w:rPr>
                <w:rFonts w:eastAsia="Times New Roman" w:cs="Cambria"/>
                <w:szCs w:val="20"/>
                <w:lang w:eastAsia="fr-FR"/>
              </w:rPr>
            </w:pPr>
            <w:r w:rsidRPr="00FD0E83">
              <w:t>is the material overstrength factor of the steel in the dissipative zone (see 11.2.2);</w:t>
            </w:r>
          </w:p>
        </w:tc>
      </w:tr>
      <w:tr w:rsidR="00733944" w:rsidRPr="00870D59" w14:paraId="6AD2CDC2" w14:textId="77777777" w:rsidTr="007D7E6D">
        <w:tc>
          <w:tcPr>
            <w:tcW w:w="1275" w:type="dxa"/>
          </w:tcPr>
          <w:p w14:paraId="4AB63EB7" w14:textId="65CE0281" w:rsidR="00733944" w:rsidRPr="00870D59" w:rsidRDefault="00733944" w:rsidP="002061E5">
            <w:pPr>
              <w:spacing w:after="60"/>
              <w:rPr>
                <w:rFonts w:ascii="Symbol" w:hAnsi="Symbol"/>
                <w:i/>
                <w:color w:val="000000" w:themeColor="text1"/>
              </w:rPr>
            </w:pPr>
            <w:r w:rsidRPr="00E05E29">
              <w:rPr>
                <w:i/>
              </w:rPr>
              <w:t>ω</w:t>
            </w:r>
            <w:r w:rsidRPr="00E05E29">
              <w:rPr>
                <w:vertAlign w:val="subscript"/>
              </w:rPr>
              <w:t>sh</w:t>
            </w:r>
          </w:p>
        </w:tc>
        <w:tc>
          <w:tcPr>
            <w:tcW w:w="7938" w:type="dxa"/>
          </w:tcPr>
          <w:p w14:paraId="4C90D1F0" w14:textId="00E4AE4C" w:rsidR="00733944" w:rsidRPr="00FD0E83" w:rsidRDefault="00733944" w:rsidP="002061E5">
            <w:pPr>
              <w:rPr>
                <w:color w:val="000000" w:themeColor="text1"/>
              </w:rPr>
            </w:pPr>
            <w:r w:rsidRPr="00FD0E83">
              <w:t xml:space="preserve">is the factor accounting for hardening of the dissipative zone (see Table </w:t>
            </w:r>
            <w:r w:rsidRPr="00FD0E83">
              <w:rPr>
                <w:color w:val="000000" w:themeColor="text1"/>
              </w:rPr>
              <w:t>11.</w:t>
            </w:r>
            <w:r w:rsidR="00E832F3">
              <w:rPr>
                <w:color w:val="000000" w:themeColor="text1"/>
              </w:rPr>
              <w:t>10</w:t>
            </w:r>
            <w:r w:rsidRPr="00FD0E83">
              <w:rPr>
                <w:color w:val="000000" w:themeColor="text1"/>
              </w:rPr>
              <w:t>);</w:t>
            </w:r>
          </w:p>
        </w:tc>
      </w:tr>
      <w:tr w:rsidR="00733944" w:rsidRPr="00870D59" w14:paraId="391F3452" w14:textId="77777777" w:rsidTr="007D7E6D">
        <w:tc>
          <w:tcPr>
            <w:tcW w:w="1275" w:type="dxa"/>
          </w:tcPr>
          <w:p w14:paraId="342C890F" w14:textId="323190DE" w:rsidR="00733944" w:rsidRPr="00D1484A" w:rsidRDefault="00733944" w:rsidP="002061E5">
            <w:pPr>
              <w:spacing w:after="60"/>
              <w:rPr>
                <w:i/>
                <w:iCs/>
              </w:rPr>
            </w:pPr>
            <w:r w:rsidRPr="00E05E29">
              <w:rPr>
                <w:rFonts w:ascii="Cambria Math" w:hAnsi="Cambria Math"/>
                <w:i/>
                <w:iCs/>
              </w:rPr>
              <w:t>Ω</w:t>
            </w:r>
            <w:r w:rsidRPr="00E05E29">
              <w:rPr>
                <w:vertAlign w:val="subscript"/>
              </w:rPr>
              <w:t>d</w:t>
            </w:r>
          </w:p>
        </w:tc>
        <w:tc>
          <w:tcPr>
            <w:tcW w:w="7938" w:type="dxa"/>
          </w:tcPr>
          <w:p w14:paraId="2B92C869" w14:textId="6CA87EAC" w:rsidR="00733944" w:rsidRPr="00733944" w:rsidRDefault="00733944" w:rsidP="002061E5">
            <w:r w:rsidRPr="00E05E29">
              <w:t>is the minimum design overstrength, see (</w:t>
            </w:r>
            <w:r w:rsidRPr="00733944">
              <w:t>3</w:t>
            </w:r>
            <w:r w:rsidRPr="00E05E29">
              <w:t>);</w:t>
            </w:r>
          </w:p>
        </w:tc>
      </w:tr>
      <w:tr w:rsidR="00733944" w:rsidRPr="00870D59" w14:paraId="1975E75E" w14:textId="77777777" w:rsidTr="007D7E6D">
        <w:tc>
          <w:tcPr>
            <w:tcW w:w="1275" w:type="dxa"/>
          </w:tcPr>
          <w:p w14:paraId="7D26EEE6" w14:textId="77777777" w:rsidR="00733944" w:rsidRPr="00E05E29" w:rsidRDefault="00733944" w:rsidP="002061E5">
            <w:pPr>
              <w:spacing w:after="60"/>
              <w:rPr>
                <w:rFonts w:ascii="Symbol" w:eastAsia="Symbol" w:hAnsi="Symbol" w:cs="Symbol"/>
                <w:i/>
              </w:rPr>
            </w:pPr>
            <w:r w:rsidRPr="00E05E29">
              <w:t>"+"</w:t>
            </w:r>
          </w:p>
        </w:tc>
        <w:tc>
          <w:tcPr>
            <w:tcW w:w="7938" w:type="dxa"/>
          </w:tcPr>
          <w:p w14:paraId="59A7E7D6" w14:textId="77777777" w:rsidR="00733944" w:rsidRPr="008B7645" w:rsidRDefault="00733944" w:rsidP="002061E5">
            <w:r w:rsidRPr="00E05E29">
              <w:t>means combined with + or – sign</w:t>
            </w:r>
            <w:r>
              <w:t>.</w:t>
            </w:r>
          </w:p>
        </w:tc>
      </w:tr>
    </w:tbl>
    <w:p w14:paraId="358F67A2" w14:textId="607C53D2" w:rsidR="00733944" w:rsidRPr="003422A2" w:rsidRDefault="00733944" w:rsidP="00733944">
      <w:pPr>
        <w:pStyle w:val="Notetext"/>
      </w:pPr>
      <w:r w:rsidRPr="003422A2">
        <w:t>NOTE 1</w:t>
      </w:r>
      <w:r w:rsidRPr="003422A2">
        <w:tab/>
        <w:t>The members to which (2) applies are the members which in DC3 are considered non</w:t>
      </w:r>
      <w:r w:rsidR="00815EB6">
        <w:t>-</w:t>
      </w:r>
      <w:r w:rsidRPr="003422A2">
        <w:t>dissipative and which are defined in Table 11.</w:t>
      </w:r>
      <w:r w:rsidR="00E832F3">
        <w:t>9</w:t>
      </w:r>
      <w:r w:rsidRPr="003422A2">
        <w:t>.</w:t>
      </w:r>
    </w:p>
    <w:p w14:paraId="59877A02" w14:textId="313F8029" w:rsidR="00733944" w:rsidRPr="00733944" w:rsidRDefault="00733944" w:rsidP="00733944">
      <w:pPr>
        <w:pStyle w:val="Notetext"/>
      </w:pPr>
      <w:r w:rsidRPr="003422A2">
        <w:t>NOTE 2</w:t>
      </w:r>
      <w:r w:rsidRPr="003422A2">
        <w:tab/>
        <w:t xml:space="preserve">If friction connections are used the dissipation mechanism does not involve any plasticity, the </w:t>
      </w:r>
      <w:r w:rsidRPr="00FD0E83">
        <w:rPr>
          <w:i/>
          <w:iCs/>
        </w:rPr>
        <w:t>ω</w:t>
      </w:r>
      <w:r w:rsidRPr="00357B79">
        <w:rPr>
          <w:vertAlign w:val="subscript"/>
        </w:rPr>
        <w:t>rm</w:t>
      </w:r>
      <w:r w:rsidRPr="003422A2">
        <w:t xml:space="preserve"> </w:t>
      </w:r>
      <w:r w:rsidR="00155F8D">
        <w:t xml:space="preserve">can </w:t>
      </w:r>
      <w:r w:rsidRPr="003422A2">
        <w:t>be assumed equal to 1,0</w:t>
      </w:r>
      <w:r w:rsidRPr="00733944">
        <w:t>.</w:t>
      </w:r>
    </w:p>
    <w:p w14:paraId="3D60757E" w14:textId="05CB9DB5" w:rsidR="00733944" w:rsidRPr="007E6F67" w:rsidRDefault="00733944" w:rsidP="00733944">
      <w:pPr>
        <w:pStyle w:val="Tabletitle"/>
      </w:pPr>
      <w:bookmarkStart w:id="9475" w:name="_Ref6927346"/>
      <w:r w:rsidRPr="00E05E29">
        <w:lastRenderedPageBreak/>
        <w:t xml:space="preserve">Table </w:t>
      </w:r>
      <w:r>
        <w:t>11</w:t>
      </w:r>
      <w:r w:rsidRPr="003422A2">
        <w:t>.</w:t>
      </w:r>
      <w:bookmarkEnd w:id="9475"/>
      <w:r w:rsidR="00E832F3">
        <w:t>9</w:t>
      </w:r>
      <w:r w:rsidRPr="003422A2">
        <w:t> </w:t>
      </w:r>
      <w:r w:rsidRPr="00132C1E">
        <w:t xml:space="preserve">— Members to which </w:t>
      </w:r>
      <w:r w:rsidRPr="00D1484A">
        <w:rPr>
          <w:bCs/>
        </w:rPr>
        <w:t>(1)</w:t>
      </w:r>
      <w:r w:rsidRPr="00D1484A">
        <w:t xml:space="preserve"> or </w:t>
      </w:r>
      <w:r w:rsidRPr="00D1484A">
        <w:rPr>
          <w:bCs/>
        </w:rPr>
        <w:t>(2)</w:t>
      </w:r>
      <w:r w:rsidRPr="00D1484A">
        <w:t xml:space="preserve"> apply. Values of seismic </w:t>
      </w:r>
      <w:r w:rsidRPr="007E6F67">
        <w:t xml:space="preserve">action magnification factor </w:t>
      </w:r>
      <w:r w:rsidRPr="007E6F67">
        <w:rPr>
          <w:i/>
        </w:rPr>
        <w:t>Ω</w:t>
      </w:r>
      <w:r w:rsidRPr="007E6F67">
        <w:t xml:space="preserve"> in DC2</w:t>
      </w:r>
    </w:p>
    <w:tbl>
      <w:tblPr>
        <w:tblW w:w="9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100"/>
        <w:gridCol w:w="1605"/>
        <w:gridCol w:w="2228"/>
      </w:tblGrid>
      <w:tr w:rsidR="00733944" w:rsidRPr="00733944" w14:paraId="6F7695F2" w14:textId="77777777" w:rsidTr="00201573">
        <w:trPr>
          <w:trHeight w:val="300"/>
          <w:jc w:val="center"/>
        </w:trPr>
        <w:tc>
          <w:tcPr>
            <w:tcW w:w="6100" w:type="dxa"/>
            <w:tcBorders>
              <w:bottom w:val="single" w:sz="4" w:space="0" w:color="auto"/>
            </w:tcBorders>
            <w:shd w:val="clear" w:color="auto" w:fill="auto"/>
            <w:tcMar>
              <w:left w:w="28" w:type="dxa"/>
              <w:right w:w="28" w:type="dxa"/>
            </w:tcMar>
            <w:vAlign w:val="center"/>
          </w:tcPr>
          <w:p w14:paraId="388849A7" w14:textId="04D53513" w:rsidR="00733944" w:rsidRPr="00FD0E83" w:rsidRDefault="00733944" w:rsidP="007D7E6D">
            <w:pPr>
              <w:pStyle w:val="Tablebody"/>
              <w:spacing w:before="40"/>
              <w:jc w:val="center"/>
              <w:rPr>
                <w:b/>
                <w:bCs/>
              </w:rPr>
            </w:pPr>
            <w:r w:rsidRPr="00FD0E83">
              <w:rPr>
                <w:b/>
                <w:bCs/>
              </w:rPr>
              <w:t>S</w:t>
            </w:r>
            <w:r w:rsidR="00FD0E83" w:rsidRPr="00FD0E83">
              <w:rPr>
                <w:b/>
                <w:bCs/>
              </w:rPr>
              <w:t>tructural type</w:t>
            </w:r>
          </w:p>
        </w:tc>
        <w:tc>
          <w:tcPr>
            <w:tcW w:w="1605" w:type="dxa"/>
            <w:tcBorders>
              <w:bottom w:val="single" w:sz="4" w:space="0" w:color="auto"/>
            </w:tcBorders>
            <w:shd w:val="clear" w:color="auto" w:fill="auto"/>
            <w:tcMar>
              <w:left w:w="28" w:type="dxa"/>
              <w:right w:w="28" w:type="dxa"/>
            </w:tcMar>
            <w:vAlign w:val="center"/>
          </w:tcPr>
          <w:p w14:paraId="5F7E4E34" w14:textId="77777777" w:rsidR="00733944" w:rsidRPr="00FD0E83" w:rsidRDefault="00733944" w:rsidP="007D7E6D">
            <w:pPr>
              <w:pStyle w:val="Tablebody"/>
              <w:spacing w:before="40"/>
              <w:jc w:val="center"/>
              <w:rPr>
                <w:b/>
                <w:bCs/>
              </w:rPr>
            </w:pPr>
            <w:r w:rsidRPr="00FD0E83">
              <w:rPr>
                <w:b/>
                <w:bCs/>
                <w:i/>
              </w:rPr>
              <w:t>Ω</w:t>
            </w:r>
          </w:p>
        </w:tc>
        <w:tc>
          <w:tcPr>
            <w:tcW w:w="2228" w:type="dxa"/>
            <w:tcBorders>
              <w:bottom w:val="single" w:sz="4" w:space="0" w:color="auto"/>
            </w:tcBorders>
          </w:tcPr>
          <w:p w14:paraId="0B8B061F" w14:textId="0261C4C4" w:rsidR="00733944" w:rsidRPr="00FD0E83" w:rsidRDefault="00733944" w:rsidP="007D7E6D">
            <w:pPr>
              <w:pStyle w:val="Tablebody"/>
              <w:spacing w:before="40"/>
              <w:jc w:val="center"/>
              <w:rPr>
                <w:b/>
                <w:bCs/>
                <w:i/>
              </w:rPr>
            </w:pPr>
            <w:r w:rsidRPr="00FD0E83">
              <w:rPr>
                <w:b/>
                <w:bCs/>
              </w:rPr>
              <w:t>Members to which (1) or (2) apply</w:t>
            </w:r>
          </w:p>
        </w:tc>
      </w:tr>
      <w:tr w:rsidR="00FD0E83" w:rsidRPr="00733944" w14:paraId="6E3F8BCB" w14:textId="77777777" w:rsidTr="00201573">
        <w:trPr>
          <w:trHeight w:val="288"/>
          <w:jc w:val="center"/>
        </w:trPr>
        <w:tc>
          <w:tcPr>
            <w:tcW w:w="6100" w:type="dxa"/>
            <w:tcBorders>
              <w:bottom w:val="nil"/>
            </w:tcBorders>
            <w:shd w:val="clear" w:color="auto" w:fill="auto"/>
            <w:tcMar>
              <w:left w:w="57" w:type="dxa"/>
              <w:right w:w="28" w:type="dxa"/>
            </w:tcMar>
            <w:vAlign w:val="center"/>
            <w:hideMark/>
          </w:tcPr>
          <w:p w14:paraId="33635814" w14:textId="77777777" w:rsidR="00FD0E83" w:rsidRPr="00FD0E83" w:rsidRDefault="00FD0E83" w:rsidP="007D7E6D">
            <w:pPr>
              <w:pStyle w:val="Tablebody"/>
              <w:spacing w:before="40"/>
              <w:rPr>
                <w:b/>
                <w:bCs/>
              </w:rPr>
            </w:pPr>
            <w:r w:rsidRPr="00FD0E83">
              <w:rPr>
                <w:b/>
                <w:bCs/>
              </w:rPr>
              <w:t>Moment resisting frames (MRFs)</w:t>
            </w:r>
          </w:p>
        </w:tc>
        <w:tc>
          <w:tcPr>
            <w:tcW w:w="1605" w:type="dxa"/>
            <w:tcBorders>
              <w:bottom w:val="nil"/>
            </w:tcBorders>
            <w:shd w:val="clear" w:color="auto" w:fill="auto"/>
            <w:tcMar>
              <w:left w:w="28" w:type="dxa"/>
              <w:right w:w="28" w:type="dxa"/>
            </w:tcMar>
            <w:vAlign w:val="center"/>
          </w:tcPr>
          <w:p w14:paraId="0536D827" w14:textId="77777777" w:rsidR="00FD0E83" w:rsidRPr="00733944" w:rsidRDefault="00FD0E83" w:rsidP="007D7E6D">
            <w:pPr>
              <w:pStyle w:val="Tablebody"/>
              <w:spacing w:before="40"/>
              <w:jc w:val="center"/>
            </w:pPr>
          </w:p>
        </w:tc>
        <w:tc>
          <w:tcPr>
            <w:tcW w:w="2228" w:type="dxa"/>
            <w:vMerge w:val="restart"/>
            <w:vAlign w:val="center"/>
          </w:tcPr>
          <w:p w14:paraId="240EFE53" w14:textId="77777777" w:rsidR="00FD0E83" w:rsidRPr="00733944" w:rsidRDefault="00FD0E83" w:rsidP="007D7E6D">
            <w:pPr>
              <w:pStyle w:val="Tablebody"/>
              <w:spacing w:before="40"/>
              <w:jc w:val="center"/>
            </w:pPr>
            <w:r w:rsidRPr="00733944">
              <w:t>columns</w:t>
            </w:r>
          </w:p>
        </w:tc>
      </w:tr>
      <w:tr w:rsidR="00FD0E83" w:rsidRPr="00733944" w14:paraId="6D45C62E" w14:textId="77777777" w:rsidTr="00201573">
        <w:trPr>
          <w:trHeight w:val="288"/>
          <w:jc w:val="center"/>
        </w:trPr>
        <w:tc>
          <w:tcPr>
            <w:tcW w:w="6100" w:type="dxa"/>
            <w:tcBorders>
              <w:top w:val="nil"/>
              <w:bottom w:val="nil"/>
            </w:tcBorders>
            <w:shd w:val="clear" w:color="auto" w:fill="auto"/>
            <w:tcMar>
              <w:left w:w="57" w:type="dxa"/>
              <w:right w:w="28" w:type="dxa"/>
            </w:tcMar>
            <w:vAlign w:val="center"/>
          </w:tcPr>
          <w:p w14:paraId="16E2DC31" w14:textId="77777777" w:rsidR="00FD0E83" w:rsidRPr="00733944" w:rsidRDefault="00FD0E83" w:rsidP="007D7E6D">
            <w:pPr>
              <w:pStyle w:val="Tablebody"/>
              <w:spacing w:before="40"/>
            </w:pPr>
            <w:r w:rsidRPr="00733944">
              <w:t>Portal frames with class 3 and 4 cross sections</w:t>
            </w:r>
          </w:p>
        </w:tc>
        <w:tc>
          <w:tcPr>
            <w:tcW w:w="1605" w:type="dxa"/>
            <w:tcBorders>
              <w:top w:val="nil"/>
              <w:bottom w:val="nil"/>
            </w:tcBorders>
            <w:shd w:val="clear" w:color="auto" w:fill="auto"/>
            <w:tcMar>
              <w:left w:w="28" w:type="dxa"/>
              <w:right w:w="28" w:type="dxa"/>
            </w:tcMar>
            <w:vAlign w:val="center"/>
          </w:tcPr>
          <w:p w14:paraId="1825F794" w14:textId="77777777" w:rsidR="00FD0E83" w:rsidRPr="00733944" w:rsidRDefault="00FD0E83" w:rsidP="007D7E6D">
            <w:pPr>
              <w:pStyle w:val="Tablebody"/>
              <w:spacing w:before="40"/>
              <w:jc w:val="center"/>
            </w:pPr>
            <w:r w:rsidRPr="00733944">
              <w:t>1,5</w:t>
            </w:r>
          </w:p>
        </w:tc>
        <w:tc>
          <w:tcPr>
            <w:tcW w:w="2228" w:type="dxa"/>
            <w:vMerge/>
            <w:vAlign w:val="center"/>
          </w:tcPr>
          <w:p w14:paraId="0397AFF4" w14:textId="77777777" w:rsidR="00FD0E83" w:rsidRPr="00733944" w:rsidRDefault="00FD0E83" w:rsidP="007D7E6D">
            <w:pPr>
              <w:pStyle w:val="Tablebody"/>
              <w:spacing w:before="40"/>
              <w:jc w:val="center"/>
            </w:pPr>
          </w:p>
        </w:tc>
      </w:tr>
      <w:tr w:rsidR="00FD0E83" w:rsidRPr="00733944" w14:paraId="58A7DEF2" w14:textId="77777777" w:rsidTr="00201573">
        <w:trPr>
          <w:trHeight w:val="288"/>
          <w:jc w:val="center"/>
        </w:trPr>
        <w:tc>
          <w:tcPr>
            <w:tcW w:w="6100" w:type="dxa"/>
            <w:tcBorders>
              <w:top w:val="nil"/>
              <w:bottom w:val="nil"/>
            </w:tcBorders>
            <w:shd w:val="clear" w:color="auto" w:fill="auto"/>
            <w:tcMar>
              <w:left w:w="57" w:type="dxa"/>
              <w:right w:w="28" w:type="dxa"/>
            </w:tcMar>
            <w:vAlign w:val="center"/>
          </w:tcPr>
          <w:p w14:paraId="28D0C8CD" w14:textId="77777777" w:rsidR="00FD0E83" w:rsidRPr="00733944" w:rsidRDefault="00FD0E83" w:rsidP="007D7E6D">
            <w:pPr>
              <w:pStyle w:val="Tablebody"/>
              <w:spacing w:before="40"/>
            </w:pPr>
            <w:r w:rsidRPr="00733944">
              <w:t>Single-storey MRFs with class 3 and 4 cross sections</w:t>
            </w:r>
          </w:p>
        </w:tc>
        <w:tc>
          <w:tcPr>
            <w:tcW w:w="1605" w:type="dxa"/>
            <w:tcBorders>
              <w:top w:val="nil"/>
              <w:bottom w:val="nil"/>
            </w:tcBorders>
            <w:shd w:val="clear" w:color="auto" w:fill="auto"/>
            <w:tcMar>
              <w:left w:w="28" w:type="dxa"/>
              <w:right w:w="28" w:type="dxa"/>
            </w:tcMar>
            <w:vAlign w:val="center"/>
          </w:tcPr>
          <w:p w14:paraId="6CB41E23" w14:textId="77777777" w:rsidR="00FD0E83" w:rsidRPr="00733944" w:rsidRDefault="00FD0E83" w:rsidP="007D7E6D">
            <w:pPr>
              <w:pStyle w:val="Tablebody"/>
              <w:spacing w:before="40"/>
              <w:jc w:val="center"/>
            </w:pPr>
            <w:r w:rsidRPr="00733944">
              <w:t>1,5</w:t>
            </w:r>
          </w:p>
        </w:tc>
        <w:tc>
          <w:tcPr>
            <w:tcW w:w="2228" w:type="dxa"/>
            <w:vMerge/>
          </w:tcPr>
          <w:p w14:paraId="54F5115C" w14:textId="77777777" w:rsidR="00FD0E83" w:rsidRPr="00733944" w:rsidRDefault="00FD0E83" w:rsidP="007D7E6D">
            <w:pPr>
              <w:pStyle w:val="Tablebody"/>
              <w:spacing w:before="40"/>
              <w:jc w:val="center"/>
            </w:pPr>
          </w:p>
        </w:tc>
      </w:tr>
      <w:tr w:rsidR="00FD0E83" w:rsidRPr="00733944" w14:paraId="0B252EB9" w14:textId="77777777" w:rsidTr="00FD0E83">
        <w:trPr>
          <w:trHeight w:val="288"/>
          <w:jc w:val="center"/>
        </w:trPr>
        <w:tc>
          <w:tcPr>
            <w:tcW w:w="6100" w:type="dxa"/>
            <w:tcBorders>
              <w:top w:val="nil"/>
              <w:bottom w:val="nil"/>
            </w:tcBorders>
            <w:shd w:val="clear" w:color="auto" w:fill="auto"/>
            <w:tcMar>
              <w:left w:w="57" w:type="dxa"/>
              <w:right w:w="28" w:type="dxa"/>
            </w:tcMar>
            <w:vAlign w:val="center"/>
            <w:hideMark/>
          </w:tcPr>
          <w:p w14:paraId="3B20D2AA" w14:textId="77777777" w:rsidR="00FD0E83" w:rsidRPr="00733944" w:rsidRDefault="00FD0E83" w:rsidP="007D7E6D">
            <w:pPr>
              <w:pStyle w:val="Tablebody"/>
              <w:spacing w:before="40"/>
            </w:pPr>
            <w:r w:rsidRPr="00733944">
              <w:t>Portal frames and single-storey MRFs with class 1 and 2 cross sections</w:t>
            </w:r>
          </w:p>
        </w:tc>
        <w:tc>
          <w:tcPr>
            <w:tcW w:w="1605" w:type="dxa"/>
            <w:tcBorders>
              <w:top w:val="nil"/>
              <w:bottom w:val="nil"/>
            </w:tcBorders>
            <w:shd w:val="clear" w:color="auto" w:fill="auto"/>
            <w:tcMar>
              <w:left w:w="28" w:type="dxa"/>
              <w:right w:w="28" w:type="dxa"/>
            </w:tcMar>
            <w:vAlign w:val="center"/>
            <w:hideMark/>
          </w:tcPr>
          <w:p w14:paraId="753E9B0C" w14:textId="77777777" w:rsidR="00FD0E83" w:rsidRPr="00733944" w:rsidRDefault="00FD0E83" w:rsidP="007D7E6D">
            <w:pPr>
              <w:pStyle w:val="Tablebody"/>
              <w:spacing w:before="40"/>
              <w:jc w:val="center"/>
            </w:pPr>
            <w:r w:rsidRPr="00733944">
              <w:t>1,7</w:t>
            </w:r>
          </w:p>
        </w:tc>
        <w:tc>
          <w:tcPr>
            <w:tcW w:w="2228" w:type="dxa"/>
            <w:vMerge/>
          </w:tcPr>
          <w:p w14:paraId="7DCF0CA6" w14:textId="77777777" w:rsidR="00FD0E83" w:rsidRPr="00733944" w:rsidRDefault="00FD0E83" w:rsidP="007D7E6D">
            <w:pPr>
              <w:pStyle w:val="Tablebody"/>
              <w:spacing w:before="40"/>
              <w:jc w:val="center"/>
            </w:pPr>
          </w:p>
        </w:tc>
      </w:tr>
      <w:tr w:rsidR="00FD0E83" w:rsidRPr="00733944" w14:paraId="5ECD9EAC" w14:textId="77777777" w:rsidTr="00FD0E83">
        <w:trPr>
          <w:trHeight w:val="300"/>
          <w:jc w:val="center"/>
        </w:trPr>
        <w:tc>
          <w:tcPr>
            <w:tcW w:w="6100" w:type="dxa"/>
            <w:tcBorders>
              <w:top w:val="nil"/>
              <w:bottom w:val="nil"/>
            </w:tcBorders>
            <w:shd w:val="clear" w:color="auto" w:fill="auto"/>
            <w:tcMar>
              <w:left w:w="57" w:type="dxa"/>
              <w:right w:w="28" w:type="dxa"/>
            </w:tcMar>
            <w:vAlign w:val="center"/>
            <w:hideMark/>
          </w:tcPr>
          <w:p w14:paraId="0021CCF0" w14:textId="5D8F42DB" w:rsidR="00FD0E83" w:rsidRPr="00733944" w:rsidRDefault="00FD0E83" w:rsidP="007D7E6D">
            <w:pPr>
              <w:pStyle w:val="Tablebody"/>
              <w:spacing w:before="40"/>
            </w:pPr>
            <w:r w:rsidRPr="00733944">
              <w:t>Multi-storey MRFs</w:t>
            </w:r>
          </w:p>
        </w:tc>
        <w:tc>
          <w:tcPr>
            <w:tcW w:w="1605" w:type="dxa"/>
            <w:tcBorders>
              <w:top w:val="nil"/>
              <w:bottom w:val="nil"/>
            </w:tcBorders>
            <w:shd w:val="clear" w:color="auto" w:fill="auto"/>
            <w:tcMar>
              <w:left w:w="28" w:type="dxa"/>
              <w:right w:w="28" w:type="dxa"/>
            </w:tcMar>
            <w:vAlign w:val="center"/>
            <w:hideMark/>
          </w:tcPr>
          <w:p w14:paraId="76048723" w14:textId="79013068" w:rsidR="00FD0E83" w:rsidRPr="00733944" w:rsidRDefault="00FD0E83" w:rsidP="007D7E6D">
            <w:pPr>
              <w:pStyle w:val="Tablebody"/>
              <w:spacing w:before="40"/>
              <w:jc w:val="center"/>
            </w:pPr>
            <w:r w:rsidRPr="00733944">
              <w:t>2</w:t>
            </w:r>
          </w:p>
        </w:tc>
        <w:tc>
          <w:tcPr>
            <w:tcW w:w="2228" w:type="dxa"/>
            <w:vMerge/>
          </w:tcPr>
          <w:p w14:paraId="26C14054" w14:textId="77777777" w:rsidR="00FD0E83" w:rsidRPr="00733944" w:rsidRDefault="00FD0E83" w:rsidP="007D7E6D">
            <w:pPr>
              <w:pStyle w:val="Tablebody"/>
              <w:spacing w:before="40"/>
              <w:jc w:val="center"/>
            </w:pPr>
          </w:p>
        </w:tc>
      </w:tr>
      <w:tr w:rsidR="00FD0E83" w:rsidRPr="00733944" w14:paraId="487DE261" w14:textId="77777777" w:rsidTr="00FD0E83">
        <w:trPr>
          <w:trHeight w:val="300"/>
          <w:jc w:val="center"/>
        </w:trPr>
        <w:tc>
          <w:tcPr>
            <w:tcW w:w="6100" w:type="dxa"/>
            <w:tcBorders>
              <w:top w:val="nil"/>
              <w:bottom w:val="single" w:sz="4" w:space="0" w:color="auto"/>
            </w:tcBorders>
            <w:shd w:val="clear" w:color="auto" w:fill="auto"/>
            <w:tcMar>
              <w:left w:w="57" w:type="dxa"/>
              <w:right w:w="28" w:type="dxa"/>
            </w:tcMar>
            <w:vAlign w:val="center"/>
          </w:tcPr>
          <w:p w14:paraId="44728BC2" w14:textId="394DB9B8" w:rsidR="00FD0E83" w:rsidRPr="00733944" w:rsidRDefault="00FD0E83" w:rsidP="007D7E6D">
            <w:pPr>
              <w:pStyle w:val="Tablebody"/>
              <w:spacing w:before="40"/>
            </w:pPr>
            <w:r w:rsidRPr="00733944">
              <w:t>MRFs with friction connections</w:t>
            </w:r>
          </w:p>
        </w:tc>
        <w:tc>
          <w:tcPr>
            <w:tcW w:w="1605" w:type="dxa"/>
            <w:tcBorders>
              <w:top w:val="nil"/>
            </w:tcBorders>
            <w:shd w:val="clear" w:color="auto" w:fill="auto"/>
            <w:tcMar>
              <w:left w:w="28" w:type="dxa"/>
              <w:right w:w="28" w:type="dxa"/>
            </w:tcMar>
            <w:vAlign w:val="center"/>
          </w:tcPr>
          <w:p w14:paraId="79687D4C" w14:textId="4DD509B2" w:rsidR="00FD0E83" w:rsidRPr="00733944" w:rsidRDefault="00FD0E83" w:rsidP="007D7E6D">
            <w:pPr>
              <w:pStyle w:val="Tablebody"/>
              <w:spacing w:before="40"/>
              <w:jc w:val="center"/>
            </w:pPr>
            <w:r w:rsidRPr="00733944">
              <w:t>2</w:t>
            </w:r>
          </w:p>
        </w:tc>
        <w:tc>
          <w:tcPr>
            <w:tcW w:w="2228" w:type="dxa"/>
            <w:vMerge/>
          </w:tcPr>
          <w:p w14:paraId="389BB50F" w14:textId="77777777" w:rsidR="00FD0E83" w:rsidRPr="00733944" w:rsidRDefault="00FD0E83" w:rsidP="007D7E6D">
            <w:pPr>
              <w:pStyle w:val="Tablebody"/>
              <w:spacing w:before="40"/>
              <w:jc w:val="center"/>
            </w:pPr>
          </w:p>
        </w:tc>
      </w:tr>
      <w:tr w:rsidR="00733944" w:rsidRPr="00733944" w14:paraId="6CCF5AE8" w14:textId="77777777" w:rsidTr="00201573">
        <w:trPr>
          <w:trHeight w:val="288"/>
          <w:jc w:val="center"/>
        </w:trPr>
        <w:tc>
          <w:tcPr>
            <w:tcW w:w="6100" w:type="dxa"/>
            <w:tcBorders>
              <w:bottom w:val="nil"/>
            </w:tcBorders>
            <w:shd w:val="clear" w:color="auto" w:fill="auto"/>
            <w:tcMar>
              <w:left w:w="57" w:type="dxa"/>
              <w:right w:w="28" w:type="dxa"/>
            </w:tcMar>
            <w:vAlign w:val="center"/>
            <w:hideMark/>
          </w:tcPr>
          <w:p w14:paraId="114D0341" w14:textId="77777777" w:rsidR="00733944" w:rsidRPr="00FD0E83" w:rsidRDefault="00733944" w:rsidP="007D7E6D">
            <w:pPr>
              <w:pStyle w:val="Tablebody"/>
              <w:spacing w:before="40"/>
              <w:rPr>
                <w:b/>
                <w:bCs/>
              </w:rPr>
            </w:pPr>
            <w:r w:rsidRPr="00FD0E83">
              <w:rPr>
                <w:b/>
                <w:bCs/>
              </w:rPr>
              <w:t>Frames with concentric bracings</w:t>
            </w:r>
          </w:p>
        </w:tc>
        <w:tc>
          <w:tcPr>
            <w:tcW w:w="1605" w:type="dxa"/>
            <w:vMerge w:val="restart"/>
            <w:shd w:val="clear" w:color="auto" w:fill="auto"/>
            <w:tcMar>
              <w:left w:w="28" w:type="dxa"/>
              <w:right w:w="28" w:type="dxa"/>
            </w:tcMar>
            <w:vAlign w:val="center"/>
            <w:hideMark/>
          </w:tcPr>
          <w:p w14:paraId="52829520" w14:textId="77777777" w:rsidR="00733944" w:rsidRPr="00733944" w:rsidRDefault="00733944" w:rsidP="007D7E6D">
            <w:pPr>
              <w:pStyle w:val="Tablebody"/>
              <w:spacing w:before="40"/>
              <w:jc w:val="center"/>
            </w:pPr>
            <w:r w:rsidRPr="00733944">
              <w:t>1,5</w:t>
            </w:r>
          </w:p>
        </w:tc>
        <w:tc>
          <w:tcPr>
            <w:tcW w:w="2228" w:type="dxa"/>
            <w:vMerge w:val="restart"/>
            <w:vAlign w:val="center"/>
          </w:tcPr>
          <w:p w14:paraId="769FD586" w14:textId="77777777" w:rsidR="00733944" w:rsidRPr="00733944" w:rsidRDefault="00733944" w:rsidP="007D7E6D">
            <w:pPr>
              <w:pStyle w:val="Tablebody"/>
              <w:spacing w:before="40"/>
              <w:jc w:val="center"/>
            </w:pPr>
            <w:r w:rsidRPr="00733944">
              <w:t>beams and columns</w:t>
            </w:r>
          </w:p>
        </w:tc>
      </w:tr>
      <w:tr w:rsidR="00733944" w:rsidRPr="00733944" w14:paraId="6AC55775" w14:textId="77777777" w:rsidTr="00201573">
        <w:trPr>
          <w:trHeight w:val="288"/>
          <w:jc w:val="center"/>
        </w:trPr>
        <w:tc>
          <w:tcPr>
            <w:tcW w:w="6100" w:type="dxa"/>
            <w:tcBorders>
              <w:top w:val="nil"/>
              <w:bottom w:val="nil"/>
            </w:tcBorders>
            <w:shd w:val="clear" w:color="auto" w:fill="auto"/>
            <w:tcMar>
              <w:left w:w="57" w:type="dxa"/>
              <w:right w:w="28" w:type="dxa"/>
            </w:tcMar>
            <w:vAlign w:val="center"/>
            <w:hideMark/>
          </w:tcPr>
          <w:p w14:paraId="69DF5F67" w14:textId="77777777" w:rsidR="00733944" w:rsidRPr="00733944" w:rsidRDefault="00733944" w:rsidP="007D7E6D">
            <w:pPr>
              <w:pStyle w:val="Tablebody"/>
              <w:spacing w:before="40"/>
            </w:pPr>
            <w:r w:rsidRPr="00733944">
              <w:t>Diagonal bracings</w:t>
            </w:r>
          </w:p>
        </w:tc>
        <w:tc>
          <w:tcPr>
            <w:tcW w:w="1605" w:type="dxa"/>
            <w:vMerge/>
            <w:tcMar>
              <w:left w:w="28" w:type="dxa"/>
              <w:right w:w="28" w:type="dxa"/>
            </w:tcMar>
            <w:vAlign w:val="center"/>
            <w:hideMark/>
          </w:tcPr>
          <w:p w14:paraId="395BECA0" w14:textId="77777777" w:rsidR="00733944" w:rsidRPr="00733944" w:rsidRDefault="00733944" w:rsidP="007D7E6D">
            <w:pPr>
              <w:pStyle w:val="Tablebody"/>
              <w:spacing w:before="40"/>
              <w:jc w:val="center"/>
            </w:pPr>
          </w:p>
        </w:tc>
        <w:tc>
          <w:tcPr>
            <w:tcW w:w="2228" w:type="dxa"/>
            <w:vMerge/>
            <w:vAlign w:val="center"/>
          </w:tcPr>
          <w:p w14:paraId="169199C8" w14:textId="77777777" w:rsidR="00733944" w:rsidRPr="00733944" w:rsidRDefault="00733944" w:rsidP="007D7E6D">
            <w:pPr>
              <w:pStyle w:val="Tablebody"/>
              <w:spacing w:before="40"/>
              <w:jc w:val="center"/>
            </w:pPr>
          </w:p>
        </w:tc>
      </w:tr>
      <w:tr w:rsidR="00733944" w:rsidRPr="00733944" w14:paraId="450DDD91" w14:textId="77777777" w:rsidTr="00201573">
        <w:trPr>
          <w:trHeight w:val="288"/>
          <w:jc w:val="center"/>
        </w:trPr>
        <w:tc>
          <w:tcPr>
            <w:tcW w:w="6100" w:type="dxa"/>
            <w:tcBorders>
              <w:top w:val="nil"/>
              <w:bottom w:val="nil"/>
            </w:tcBorders>
            <w:shd w:val="clear" w:color="auto" w:fill="auto"/>
            <w:tcMar>
              <w:left w:w="57" w:type="dxa"/>
              <w:right w:w="28" w:type="dxa"/>
            </w:tcMar>
            <w:vAlign w:val="center"/>
            <w:hideMark/>
          </w:tcPr>
          <w:p w14:paraId="2FB9207C" w14:textId="77777777" w:rsidR="00733944" w:rsidRPr="00733944" w:rsidRDefault="00733944" w:rsidP="007D7E6D">
            <w:pPr>
              <w:pStyle w:val="Tablebody"/>
              <w:spacing w:before="40"/>
            </w:pPr>
            <w:r w:rsidRPr="00733944">
              <w:t>V-bracings</w:t>
            </w:r>
          </w:p>
        </w:tc>
        <w:tc>
          <w:tcPr>
            <w:tcW w:w="1605" w:type="dxa"/>
            <w:vMerge/>
            <w:tcMar>
              <w:left w:w="28" w:type="dxa"/>
              <w:right w:w="28" w:type="dxa"/>
            </w:tcMar>
            <w:vAlign w:val="center"/>
            <w:hideMark/>
          </w:tcPr>
          <w:p w14:paraId="6C200DFC" w14:textId="77777777" w:rsidR="00733944" w:rsidRPr="00733944" w:rsidRDefault="00733944" w:rsidP="007D7E6D">
            <w:pPr>
              <w:pStyle w:val="Tablebody"/>
              <w:spacing w:before="40"/>
              <w:jc w:val="center"/>
            </w:pPr>
          </w:p>
        </w:tc>
        <w:tc>
          <w:tcPr>
            <w:tcW w:w="2228" w:type="dxa"/>
            <w:vMerge/>
          </w:tcPr>
          <w:p w14:paraId="24C56DB1" w14:textId="77777777" w:rsidR="00733944" w:rsidRPr="00733944" w:rsidRDefault="00733944" w:rsidP="007D7E6D">
            <w:pPr>
              <w:pStyle w:val="Tablebody"/>
              <w:spacing w:before="40"/>
              <w:jc w:val="center"/>
            </w:pPr>
          </w:p>
        </w:tc>
      </w:tr>
      <w:tr w:rsidR="00733944" w:rsidRPr="00733944" w14:paraId="2F44994D" w14:textId="77777777" w:rsidTr="00201573">
        <w:trPr>
          <w:trHeight w:val="300"/>
          <w:jc w:val="center"/>
        </w:trPr>
        <w:tc>
          <w:tcPr>
            <w:tcW w:w="6100" w:type="dxa"/>
            <w:tcBorders>
              <w:top w:val="nil"/>
            </w:tcBorders>
            <w:shd w:val="clear" w:color="auto" w:fill="auto"/>
            <w:tcMar>
              <w:left w:w="57" w:type="dxa"/>
              <w:right w:w="28" w:type="dxa"/>
            </w:tcMar>
            <w:vAlign w:val="center"/>
            <w:hideMark/>
          </w:tcPr>
          <w:p w14:paraId="3FF9DB58" w14:textId="77777777" w:rsidR="00733944" w:rsidRPr="00733944" w:rsidRDefault="00733944" w:rsidP="007D7E6D">
            <w:pPr>
              <w:pStyle w:val="Tablebody"/>
              <w:spacing w:before="40"/>
            </w:pPr>
            <w:r w:rsidRPr="00733944">
              <w:t>X-bracings on either single or two-storey</w:t>
            </w:r>
          </w:p>
        </w:tc>
        <w:tc>
          <w:tcPr>
            <w:tcW w:w="1605" w:type="dxa"/>
            <w:vMerge/>
            <w:tcMar>
              <w:left w:w="28" w:type="dxa"/>
              <w:right w:w="28" w:type="dxa"/>
            </w:tcMar>
            <w:vAlign w:val="center"/>
            <w:hideMark/>
          </w:tcPr>
          <w:p w14:paraId="6F60865F" w14:textId="77777777" w:rsidR="00733944" w:rsidRPr="00733944" w:rsidRDefault="00733944" w:rsidP="007D7E6D">
            <w:pPr>
              <w:pStyle w:val="Tablebody"/>
              <w:spacing w:before="40"/>
              <w:jc w:val="center"/>
            </w:pPr>
          </w:p>
        </w:tc>
        <w:tc>
          <w:tcPr>
            <w:tcW w:w="2228" w:type="dxa"/>
            <w:vMerge/>
          </w:tcPr>
          <w:p w14:paraId="650FEEAF" w14:textId="77777777" w:rsidR="00733944" w:rsidRPr="00733944" w:rsidRDefault="00733944" w:rsidP="007D7E6D">
            <w:pPr>
              <w:pStyle w:val="Tablebody"/>
              <w:spacing w:before="40"/>
              <w:jc w:val="center"/>
            </w:pPr>
          </w:p>
        </w:tc>
      </w:tr>
      <w:tr w:rsidR="00733944" w:rsidRPr="00733944" w14:paraId="1A075E6A" w14:textId="77777777" w:rsidTr="00201573">
        <w:trPr>
          <w:trHeight w:val="319"/>
          <w:jc w:val="center"/>
        </w:trPr>
        <w:tc>
          <w:tcPr>
            <w:tcW w:w="6100" w:type="dxa"/>
            <w:tcBorders>
              <w:bottom w:val="single" w:sz="4" w:space="0" w:color="auto"/>
            </w:tcBorders>
            <w:shd w:val="clear" w:color="auto" w:fill="auto"/>
            <w:tcMar>
              <w:left w:w="57" w:type="dxa"/>
              <w:right w:w="28" w:type="dxa"/>
            </w:tcMar>
            <w:vAlign w:val="center"/>
            <w:hideMark/>
          </w:tcPr>
          <w:p w14:paraId="75B9DDC2" w14:textId="77777777" w:rsidR="00733944" w:rsidRPr="00FD0E83" w:rsidRDefault="00733944" w:rsidP="007D7E6D">
            <w:pPr>
              <w:pStyle w:val="Tablebody"/>
              <w:spacing w:before="40"/>
              <w:rPr>
                <w:b/>
                <w:bCs/>
              </w:rPr>
            </w:pPr>
            <w:r w:rsidRPr="00FD0E83">
              <w:rPr>
                <w:b/>
                <w:bCs/>
              </w:rPr>
              <w:t>Frames with eccentric bracings</w:t>
            </w:r>
          </w:p>
        </w:tc>
        <w:tc>
          <w:tcPr>
            <w:tcW w:w="1605" w:type="dxa"/>
            <w:tcBorders>
              <w:bottom w:val="single" w:sz="4" w:space="0" w:color="auto"/>
            </w:tcBorders>
            <w:shd w:val="clear" w:color="auto" w:fill="auto"/>
            <w:tcMar>
              <w:left w:w="28" w:type="dxa"/>
              <w:right w:w="28" w:type="dxa"/>
            </w:tcMar>
            <w:vAlign w:val="center"/>
            <w:hideMark/>
          </w:tcPr>
          <w:p w14:paraId="767D63EB" w14:textId="77777777" w:rsidR="00733944" w:rsidRPr="00733944" w:rsidRDefault="00733944" w:rsidP="007D7E6D">
            <w:pPr>
              <w:pStyle w:val="Tablebody"/>
              <w:spacing w:before="40"/>
              <w:jc w:val="center"/>
            </w:pPr>
            <w:r w:rsidRPr="00733944">
              <w:t>2</w:t>
            </w:r>
          </w:p>
        </w:tc>
        <w:tc>
          <w:tcPr>
            <w:tcW w:w="2228" w:type="dxa"/>
            <w:tcBorders>
              <w:bottom w:val="single" w:sz="4" w:space="0" w:color="auto"/>
            </w:tcBorders>
          </w:tcPr>
          <w:p w14:paraId="436F25BB" w14:textId="77777777" w:rsidR="00733944" w:rsidRPr="00733944" w:rsidRDefault="00733944" w:rsidP="007D7E6D">
            <w:pPr>
              <w:pStyle w:val="Tablebody"/>
              <w:spacing w:before="40"/>
              <w:jc w:val="center"/>
            </w:pPr>
            <w:r w:rsidRPr="00733944">
              <w:t>beams outside the link, braces and columns</w:t>
            </w:r>
          </w:p>
        </w:tc>
      </w:tr>
      <w:tr w:rsidR="00733944" w:rsidRPr="00733944" w14:paraId="13E60782" w14:textId="77777777" w:rsidTr="00201573">
        <w:trPr>
          <w:trHeight w:val="288"/>
          <w:jc w:val="center"/>
        </w:trPr>
        <w:tc>
          <w:tcPr>
            <w:tcW w:w="6100" w:type="dxa"/>
            <w:tcBorders>
              <w:bottom w:val="nil"/>
            </w:tcBorders>
            <w:shd w:val="clear" w:color="auto" w:fill="auto"/>
            <w:tcMar>
              <w:left w:w="57" w:type="dxa"/>
              <w:right w:w="28" w:type="dxa"/>
            </w:tcMar>
            <w:vAlign w:val="center"/>
            <w:hideMark/>
          </w:tcPr>
          <w:p w14:paraId="27BDB611" w14:textId="77777777" w:rsidR="00733944" w:rsidRPr="00FD0E83" w:rsidRDefault="00733944" w:rsidP="007D7E6D">
            <w:pPr>
              <w:pStyle w:val="Tablebody"/>
              <w:spacing w:before="40"/>
              <w:rPr>
                <w:b/>
                <w:bCs/>
              </w:rPr>
            </w:pPr>
            <w:r w:rsidRPr="00FD0E83">
              <w:rPr>
                <w:b/>
                <w:bCs/>
              </w:rPr>
              <w:t>Dual frames</w:t>
            </w:r>
          </w:p>
        </w:tc>
        <w:tc>
          <w:tcPr>
            <w:tcW w:w="1605" w:type="dxa"/>
            <w:tcBorders>
              <w:bottom w:val="nil"/>
            </w:tcBorders>
            <w:shd w:val="clear" w:color="auto" w:fill="auto"/>
            <w:tcMar>
              <w:left w:w="28" w:type="dxa"/>
              <w:right w:w="28" w:type="dxa"/>
            </w:tcMar>
            <w:vAlign w:val="center"/>
            <w:hideMark/>
          </w:tcPr>
          <w:p w14:paraId="33FE6E70" w14:textId="77777777" w:rsidR="00733944" w:rsidRPr="00733944" w:rsidRDefault="00733944" w:rsidP="007D7E6D">
            <w:pPr>
              <w:pStyle w:val="Tablebody"/>
              <w:spacing w:before="40"/>
              <w:jc w:val="center"/>
            </w:pPr>
          </w:p>
        </w:tc>
        <w:tc>
          <w:tcPr>
            <w:tcW w:w="2228" w:type="dxa"/>
            <w:tcBorders>
              <w:bottom w:val="nil"/>
            </w:tcBorders>
          </w:tcPr>
          <w:p w14:paraId="42DF845F" w14:textId="77777777" w:rsidR="00733944" w:rsidRPr="00733944" w:rsidRDefault="00733944" w:rsidP="007D7E6D">
            <w:pPr>
              <w:pStyle w:val="Tablebody"/>
              <w:spacing w:before="40"/>
              <w:jc w:val="center"/>
            </w:pPr>
          </w:p>
        </w:tc>
      </w:tr>
      <w:tr w:rsidR="00733944" w:rsidRPr="00733944" w14:paraId="724DF914" w14:textId="77777777" w:rsidTr="00201573">
        <w:trPr>
          <w:trHeight w:val="288"/>
          <w:jc w:val="center"/>
        </w:trPr>
        <w:tc>
          <w:tcPr>
            <w:tcW w:w="6100" w:type="dxa"/>
            <w:tcBorders>
              <w:top w:val="nil"/>
              <w:bottom w:val="nil"/>
            </w:tcBorders>
            <w:shd w:val="clear" w:color="auto" w:fill="auto"/>
            <w:tcMar>
              <w:left w:w="57" w:type="dxa"/>
              <w:right w:w="28" w:type="dxa"/>
            </w:tcMar>
            <w:vAlign w:val="center"/>
            <w:hideMark/>
          </w:tcPr>
          <w:p w14:paraId="7ABAB547" w14:textId="77777777" w:rsidR="00733944" w:rsidRPr="00733944" w:rsidRDefault="00733944" w:rsidP="007D7E6D">
            <w:pPr>
              <w:pStyle w:val="Tablebody"/>
              <w:spacing w:before="40"/>
            </w:pPr>
            <w:r w:rsidRPr="00733944">
              <w:t>MRFs with concentric bracing</w:t>
            </w:r>
          </w:p>
        </w:tc>
        <w:tc>
          <w:tcPr>
            <w:tcW w:w="1605" w:type="dxa"/>
            <w:tcBorders>
              <w:top w:val="nil"/>
              <w:bottom w:val="nil"/>
            </w:tcBorders>
            <w:shd w:val="clear" w:color="auto" w:fill="auto"/>
            <w:tcMar>
              <w:left w:w="28" w:type="dxa"/>
              <w:right w:w="28" w:type="dxa"/>
            </w:tcMar>
            <w:vAlign w:val="center"/>
            <w:hideMark/>
          </w:tcPr>
          <w:p w14:paraId="67C967B1" w14:textId="77777777" w:rsidR="00733944" w:rsidRPr="00733944" w:rsidRDefault="00733944" w:rsidP="007D7E6D">
            <w:pPr>
              <w:pStyle w:val="Tablebody"/>
              <w:spacing w:before="40"/>
              <w:jc w:val="center"/>
            </w:pPr>
            <w:r w:rsidRPr="00733944">
              <w:t>1,7</w:t>
            </w:r>
          </w:p>
        </w:tc>
        <w:tc>
          <w:tcPr>
            <w:tcW w:w="2228" w:type="dxa"/>
            <w:tcBorders>
              <w:top w:val="nil"/>
              <w:bottom w:val="nil"/>
            </w:tcBorders>
          </w:tcPr>
          <w:p w14:paraId="349BD7BB" w14:textId="77777777" w:rsidR="00733944" w:rsidRPr="00733944" w:rsidRDefault="00733944" w:rsidP="007D7E6D">
            <w:pPr>
              <w:pStyle w:val="Tablebody"/>
              <w:spacing w:before="40"/>
              <w:jc w:val="center"/>
            </w:pPr>
            <w:r w:rsidRPr="00733944">
              <w:t>beams and columns of the concentric bracing;</w:t>
            </w:r>
          </w:p>
          <w:p w14:paraId="59AFE006" w14:textId="77777777" w:rsidR="00733944" w:rsidRPr="00733944" w:rsidRDefault="00733944" w:rsidP="007D7E6D">
            <w:pPr>
              <w:pStyle w:val="Tablebody"/>
              <w:spacing w:before="40"/>
              <w:jc w:val="center"/>
            </w:pPr>
          </w:p>
          <w:p w14:paraId="5CACF55E" w14:textId="317AFE7C" w:rsidR="00733944" w:rsidRPr="00733944" w:rsidRDefault="00733944" w:rsidP="007D7E6D">
            <w:pPr>
              <w:pStyle w:val="Tablebody"/>
              <w:spacing w:before="40"/>
              <w:jc w:val="center"/>
            </w:pPr>
            <w:r w:rsidRPr="00733944">
              <w:t>columns of the MRF;</w:t>
            </w:r>
          </w:p>
        </w:tc>
      </w:tr>
      <w:tr w:rsidR="00733944" w:rsidRPr="00733944" w14:paraId="4C7387E2" w14:textId="77777777" w:rsidTr="00201573">
        <w:trPr>
          <w:trHeight w:val="288"/>
          <w:jc w:val="center"/>
        </w:trPr>
        <w:tc>
          <w:tcPr>
            <w:tcW w:w="6100" w:type="dxa"/>
            <w:tcBorders>
              <w:top w:val="nil"/>
            </w:tcBorders>
            <w:shd w:val="clear" w:color="auto" w:fill="auto"/>
            <w:tcMar>
              <w:left w:w="57" w:type="dxa"/>
              <w:right w:w="28" w:type="dxa"/>
            </w:tcMar>
            <w:vAlign w:val="center"/>
            <w:hideMark/>
          </w:tcPr>
          <w:p w14:paraId="34595D9E" w14:textId="77777777" w:rsidR="00733944" w:rsidRPr="00733944" w:rsidRDefault="00733944" w:rsidP="007D7E6D">
            <w:pPr>
              <w:pStyle w:val="Tablebody"/>
              <w:spacing w:before="40"/>
            </w:pPr>
            <w:r w:rsidRPr="00733944">
              <w:t>MRFs with eccentric bracing</w:t>
            </w:r>
          </w:p>
        </w:tc>
        <w:tc>
          <w:tcPr>
            <w:tcW w:w="1605" w:type="dxa"/>
            <w:tcBorders>
              <w:top w:val="nil"/>
            </w:tcBorders>
            <w:shd w:val="clear" w:color="auto" w:fill="auto"/>
            <w:tcMar>
              <w:left w:w="28" w:type="dxa"/>
              <w:right w:w="28" w:type="dxa"/>
            </w:tcMar>
            <w:vAlign w:val="center"/>
            <w:hideMark/>
          </w:tcPr>
          <w:p w14:paraId="636938DC" w14:textId="77777777" w:rsidR="00733944" w:rsidRPr="00733944" w:rsidRDefault="00733944" w:rsidP="007D7E6D">
            <w:pPr>
              <w:pStyle w:val="Tablebody"/>
              <w:spacing w:before="40"/>
              <w:jc w:val="center"/>
            </w:pPr>
            <w:r w:rsidRPr="00733944">
              <w:t>2</w:t>
            </w:r>
          </w:p>
        </w:tc>
        <w:tc>
          <w:tcPr>
            <w:tcW w:w="2228" w:type="dxa"/>
            <w:tcBorders>
              <w:top w:val="nil"/>
            </w:tcBorders>
          </w:tcPr>
          <w:p w14:paraId="56B72E2E" w14:textId="7BC642C7" w:rsidR="00733944" w:rsidRPr="00733944" w:rsidRDefault="00733944" w:rsidP="007D7E6D">
            <w:pPr>
              <w:pStyle w:val="Tablebody"/>
              <w:spacing w:before="40"/>
              <w:jc w:val="center"/>
            </w:pPr>
            <w:r w:rsidRPr="00733944">
              <w:t>beams out of the link, braces and columns of the eccentric bracing; columns of the MRF</w:t>
            </w:r>
          </w:p>
        </w:tc>
      </w:tr>
      <w:tr w:rsidR="00733944" w:rsidRPr="00733944" w14:paraId="3CB43E2A" w14:textId="77777777" w:rsidTr="00201573">
        <w:trPr>
          <w:trHeight w:val="300"/>
          <w:jc w:val="center"/>
        </w:trPr>
        <w:tc>
          <w:tcPr>
            <w:tcW w:w="6100" w:type="dxa"/>
            <w:tcBorders>
              <w:bottom w:val="single" w:sz="4" w:space="0" w:color="auto"/>
            </w:tcBorders>
            <w:shd w:val="clear" w:color="auto" w:fill="auto"/>
            <w:tcMar>
              <w:left w:w="57" w:type="dxa"/>
              <w:right w:w="28" w:type="dxa"/>
            </w:tcMar>
            <w:vAlign w:val="center"/>
          </w:tcPr>
          <w:p w14:paraId="0730B588" w14:textId="77777777" w:rsidR="00733944" w:rsidRPr="00FD0E83" w:rsidRDefault="00733944" w:rsidP="007D7E6D">
            <w:pPr>
              <w:pStyle w:val="Tablebody"/>
              <w:spacing w:before="40"/>
              <w:rPr>
                <w:b/>
                <w:bCs/>
              </w:rPr>
            </w:pPr>
            <w:r w:rsidRPr="00FD0E83">
              <w:rPr>
                <w:b/>
                <w:bCs/>
              </w:rPr>
              <w:t>Structures with concrete cores or concrete walls</w:t>
            </w:r>
          </w:p>
        </w:tc>
        <w:tc>
          <w:tcPr>
            <w:tcW w:w="1605" w:type="dxa"/>
            <w:tcBorders>
              <w:bottom w:val="single" w:sz="4" w:space="0" w:color="auto"/>
            </w:tcBorders>
            <w:shd w:val="clear" w:color="auto" w:fill="auto"/>
            <w:vAlign w:val="center"/>
          </w:tcPr>
          <w:p w14:paraId="72B0E05F" w14:textId="655B85C0" w:rsidR="00733944" w:rsidRPr="00733944" w:rsidRDefault="00733944" w:rsidP="007D7E6D">
            <w:pPr>
              <w:pStyle w:val="Tablebody"/>
              <w:spacing w:before="40"/>
              <w:jc w:val="center"/>
            </w:pPr>
            <w:r w:rsidRPr="00733944">
              <w:t xml:space="preserve">See </w:t>
            </w:r>
            <w:r w:rsidR="00FD0E83">
              <w:t xml:space="preserve">Clause </w:t>
            </w:r>
            <w:r w:rsidRPr="00733944">
              <w:rPr>
                <w:bCs/>
              </w:rPr>
              <w:t>10</w:t>
            </w:r>
          </w:p>
        </w:tc>
        <w:tc>
          <w:tcPr>
            <w:tcW w:w="2228" w:type="dxa"/>
            <w:tcBorders>
              <w:bottom w:val="single" w:sz="4" w:space="0" w:color="auto"/>
            </w:tcBorders>
          </w:tcPr>
          <w:p w14:paraId="069C7EAC" w14:textId="77777777" w:rsidR="00733944" w:rsidRPr="00733944" w:rsidRDefault="00733944" w:rsidP="007D7E6D">
            <w:pPr>
              <w:pStyle w:val="Tablebody"/>
              <w:spacing w:before="40"/>
              <w:jc w:val="center"/>
            </w:pPr>
          </w:p>
        </w:tc>
      </w:tr>
      <w:tr w:rsidR="00733944" w:rsidRPr="00733944" w14:paraId="1FE44FAE" w14:textId="77777777" w:rsidTr="00201573">
        <w:trPr>
          <w:trHeight w:val="288"/>
          <w:jc w:val="center"/>
        </w:trPr>
        <w:tc>
          <w:tcPr>
            <w:tcW w:w="6100" w:type="dxa"/>
            <w:tcBorders>
              <w:bottom w:val="nil"/>
            </w:tcBorders>
            <w:shd w:val="clear" w:color="auto" w:fill="auto"/>
            <w:tcMar>
              <w:left w:w="57" w:type="dxa"/>
              <w:right w:w="28" w:type="dxa"/>
            </w:tcMar>
            <w:vAlign w:val="center"/>
            <w:hideMark/>
          </w:tcPr>
          <w:p w14:paraId="69C19524" w14:textId="77777777" w:rsidR="00733944" w:rsidRPr="00FD0E83" w:rsidRDefault="00733944" w:rsidP="007D7E6D">
            <w:pPr>
              <w:pStyle w:val="Tablebody"/>
              <w:spacing w:before="40"/>
              <w:rPr>
                <w:b/>
                <w:bCs/>
              </w:rPr>
            </w:pPr>
            <w:r w:rsidRPr="00FD0E83">
              <w:rPr>
                <w:b/>
                <w:bCs/>
              </w:rPr>
              <w:t>Lightweight steel frame wall systems</w:t>
            </w:r>
          </w:p>
        </w:tc>
        <w:tc>
          <w:tcPr>
            <w:tcW w:w="1605" w:type="dxa"/>
            <w:tcBorders>
              <w:bottom w:val="nil"/>
            </w:tcBorders>
            <w:shd w:val="clear" w:color="auto" w:fill="auto"/>
            <w:tcMar>
              <w:left w:w="28" w:type="dxa"/>
              <w:right w:w="28" w:type="dxa"/>
            </w:tcMar>
            <w:vAlign w:val="center"/>
            <w:hideMark/>
          </w:tcPr>
          <w:p w14:paraId="428375A6" w14:textId="77777777" w:rsidR="00733944" w:rsidRPr="00733944" w:rsidRDefault="00733944" w:rsidP="007D7E6D">
            <w:pPr>
              <w:pStyle w:val="Tablebody"/>
              <w:spacing w:before="40"/>
              <w:jc w:val="center"/>
            </w:pPr>
          </w:p>
        </w:tc>
        <w:tc>
          <w:tcPr>
            <w:tcW w:w="2228" w:type="dxa"/>
            <w:vMerge w:val="restart"/>
            <w:vAlign w:val="center"/>
          </w:tcPr>
          <w:p w14:paraId="4845268A" w14:textId="77777777" w:rsidR="00733944" w:rsidRPr="00733944" w:rsidRDefault="00733944" w:rsidP="007D7E6D">
            <w:pPr>
              <w:pStyle w:val="Tablebody"/>
              <w:spacing w:before="40"/>
              <w:jc w:val="center"/>
            </w:pPr>
            <w:r w:rsidRPr="00733944">
              <w:t>connections and framing: chord studs and tracks</w:t>
            </w:r>
          </w:p>
        </w:tc>
      </w:tr>
      <w:tr w:rsidR="00733944" w:rsidRPr="00733944" w14:paraId="6F2F02FC" w14:textId="77777777" w:rsidTr="00201573">
        <w:trPr>
          <w:trHeight w:val="288"/>
          <w:jc w:val="center"/>
        </w:trPr>
        <w:tc>
          <w:tcPr>
            <w:tcW w:w="6100" w:type="dxa"/>
            <w:tcBorders>
              <w:top w:val="nil"/>
              <w:bottom w:val="nil"/>
            </w:tcBorders>
            <w:shd w:val="clear" w:color="auto" w:fill="auto"/>
            <w:tcMar>
              <w:left w:w="57" w:type="dxa"/>
              <w:right w:w="28" w:type="dxa"/>
            </w:tcMar>
            <w:vAlign w:val="center"/>
            <w:hideMark/>
          </w:tcPr>
          <w:p w14:paraId="14D18DFF" w14:textId="77777777" w:rsidR="00733944" w:rsidRPr="00733944" w:rsidRDefault="00733944" w:rsidP="007D7E6D">
            <w:pPr>
              <w:pStyle w:val="Tablebody"/>
              <w:spacing w:before="40"/>
            </w:pPr>
            <w:r w:rsidRPr="00733944">
              <w:t>with flat strap bracing</w:t>
            </w:r>
          </w:p>
        </w:tc>
        <w:tc>
          <w:tcPr>
            <w:tcW w:w="1605" w:type="dxa"/>
            <w:tcBorders>
              <w:top w:val="nil"/>
              <w:bottom w:val="nil"/>
            </w:tcBorders>
            <w:shd w:val="clear" w:color="auto" w:fill="auto"/>
            <w:tcMar>
              <w:left w:w="28" w:type="dxa"/>
              <w:right w:w="28" w:type="dxa"/>
            </w:tcMar>
            <w:vAlign w:val="center"/>
            <w:hideMark/>
          </w:tcPr>
          <w:p w14:paraId="46412390" w14:textId="77777777" w:rsidR="00733944" w:rsidRPr="00733944" w:rsidRDefault="00733944" w:rsidP="007D7E6D">
            <w:pPr>
              <w:pStyle w:val="Tablebody"/>
              <w:spacing w:before="40"/>
              <w:jc w:val="center"/>
            </w:pPr>
            <w:r w:rsidRPr="00733944">
              <w:t>1,5</w:t>
            </w:r>
          </w:p>
        </w:tc>
        <w:tc>
          <w:tcPr>
            <w:tcW w:w="2228" w:type="dxa"/>
            <w:vMerge/>
          </w:tcPr>
          <w:p w14:paraId="4BFE206E" w14:textId="77777777" w:rsidR="00733944" w:rsidRPr="00733944" w:rsidRDefault="00733944" w:rsidP="007D7E6D">
            <w:pPr>
              <w:pStyle w:val="Tablebody"/>
              <w:spacing w:before="40"/>
              <w:jc w:val="center"/>
            </w:pPr>
          </w:p>
        </w:tc>
      </w:tr>
      <w:tr w:rsidR="00733944" w:rsidRPr="00733944" w14:paraId="0DD43AA9" w14:textId="77777777" w:rsidTr="00201573">
        <w:trPr>
          <w:trHeight w:val="288"/>
          <w:jc w:val="center"/>
        </w:trPr>
        <w:tc>
          <w:tcPr>
            <w:tcW w:w="6100" w:type="dxa"/>
            <w:tcBorders>
              <w:top w:val="nil"/>
              <w:bottom w:val="nil"/>
            </w:tcBorders>
            <w:shd w:val="clear" w:color="auto" w:fill="auto"/>
            <w:tcMar>
              <w:left w:w="57" w:type="dxa"/>
              <w:right w:w="28" w:type="dxa"/>
            </w:tcMar>
            <w:vAlign w:val="center"/>
            <w:hideMark/>
          </w:tcPr>
          <w:p w14:paraId="79927461" w14:textId="77777777" w:rsidR="00733944" w:rsidRPr="00733944" w:rsidRDefault="00733944" w:rsidP="007D7E6D">
            <w:pPr>
              <w:pStyle w:val="Tablebody"/>
              <w:spacing w:before="40"/>
            </w:pPr>
            <w:r w:rsidRPr="00733944">
              <w:t>with steel sheeting</w:t>
            </w:r>
          </w:p>
        </w:tc>
        <w:tc>
          <w:tcPr>
            <w:tcW w:w="1605" w:type="dxa"/>
            <w:tcBorders>
              <w:top w:val="nil"/>
              <w:bottom w:val="nil"/>
            </w:tcBorders>
            <w:shd w:val="clear" w:color="auto" w:fill="auto"/>
            <w:tcMar>
              <w:left w:w="28" w:type="dxa"/>
              <w:right w:w="28" w:type="dxa"/>
            </w:tcMar>
            <w:vAlign w:val="center"/>
            <w:hideMark/>
          </w:tcPr>
          <w:p w14:paraId="0287B0BE" w14:textId="77777777" w:rsidR="00733944" w:rsidRPr="00733944" w:rsidRDefault="00733944" w:rsidP="007D7E6D">
            <w:pPr>
              <w:pStyle w:val="Tablebody"/>
              <w:spacing w:before="40"/>
              <w:jc w:val="center"/>
            </w:pPr>
            <w:r w:rsidRPr="00733944">
              <w:t>1,5</w:t>
            </w:r>
          </w:p>
        </w:tc>
        <w:tc>
          <w:tcPr>
            <w:tcW w:w="2228" w:type="dxa"/>
            <w:vMerge/>
          </w:tcPr>
          <w:p w14:paraId="2A94141C" w14:textId="77777777" w:rsidR="00733944" w:rsidRPr="00733944" w:rsidRDefault="00733944" w:rsidP="007D7E6D">
            <w:pPr>
              <w:pStyle w:val="Tablebody"/>
              <w:spacing w:before="40"/>
              <w:jc w:val="center"/>
            </w:pPr>
          </w:p>
        </w:tc>
      </w:tr>
      <w:tr w:rsidR="00733944" w:rsidRPr="00733944" w14:paraId="342F4062" w14:textId="77777777" w:rsidTr="00201573">
        <w:trPr>
          <w:trHeight w:val="288"/>
          <w:jc w:val="center"/>
        </w:trPr>
        <w:tc>
          <w:tcPr>
            <w:tcW w:w="6100" w:type="dxa"/>
            <w:tcBorders>
              <w:top w:val="nil"/>
              <w:bottom w:val="nil"/>
            </w:tcBorders>
            <w:shd w:val="clear" w:color="auto" w:fill="auto"/>
            <w:tcMar>
              <w:left w:w="57" w:type="dxa"/>
              <w:right w:w="28" w:type="dxa"/>
            </w:tcMar>
            <w:vAlign w:val="center"/>
          </w:tcPr>
          <w:p w14:paraId="21DB30A0" w14:textId="77777777" w:rsidR="00733944" w:rsidRPr="00733944" w:rsidRDefault="00733944" w:rsidP="007D7E6D">
            <w:pPr>
              <w:pStyle w:val="Tablebody"/>
              <w:spacing w:before="40"/>
            </w:pPr>
            <w:r w:rsidRPr="00733944">
              <w:t xml:space="preserve">with wood sheathing </w:t>
            </w:r>
          </w:p>
        </w:tc>
        <w:tc>
          <w:tcPr>
            <w:tcW w:w="1605" w:type="dxa"/>
            <w:tcBorders>
              <w:top w:val="nil"/>
              <w:bottom w:val="nil"/>
            </w:tcBorders>
            <w:shd w:val="clear" w:color="auto" w:fill="auto"/>
            <w:tcMar>
              <w:left w:w="28" w:type="dxa"/>
              <w:right w:w="28" w:type="dxa"/>
            </w:tcMar>
            <w:vAlign w:val="center"/>
          </w:tcPr>
          <w:p w14:paraId="70E52BAF" w14:textId="77777777" w:rsidR="00733944" w:rsidRPr="00733944" w:rsidRDefault="00733944" w:rsidP="007D7E6D">
            <w:pPr>
              <w:pStyle w:val="Tablebody"/>
              <w:spacing w:before="40"/>
              <w:jc w:val="center"/>
            </w:pPr>
            <w:r w:rsidRPr="00733944">
              <w:t>1,5</w:t>
            </w:r>
          </w:p>
        </w:tc>
        <w:tc>
          <w:tcPr>
            <w:tcW w:w="2228" w:type="dxa"/>
            <w:vMerge/>
          </w:tcPr>
          <w:p w14:paraId="22C9D64E" w14:textId="77777777" w:rsidR="00733944" w:rsidRPr="00733944" w:rsidRDefault="00733944" w:rsidP="007D7E6D">
            <w:pPr>
              <w:pStyle w:val="Tablebody"/>
              <w:spacing w:before="40"/>
              <w:jc w:val="center"/>
            </w:pPr>
          </w:p>
        </w:tc>
      </w:tr>
      <w:tr w:rsidR="00733944" w:rsidRPr="00733944" w14:paraId="63C0D80F" w14:textId="77777777" w:rsidTr="00201573">
        <w:trPr>
          <w:trHeight w:val="300"/>
          <w:jc w:val="center"/>
        </w:trPr>
        <w:tc>
          <w:tcPr>
            <w:tcW w:w="6100" w:type="dxa"/>
            <w:tcBorders>
              <w:top w:val="nil"/>
            </w:tcBorders>
            <w:shd w:val="clear" w:color="auto" w:fill="auto"/>
            <w:tcMar>
              <w:left w:w="57" w:type="dxa"/>
              <w:right w:w="28" w:type="dxa"/>
            </w:tcMar>
            <w:vAlign w:val="center"/>
            <w:hideMark/>
          </w:tcPr>
          <w:p w14:paraId="13C5C579" w14:textId="77777777" w:rsidR="00733944" w:rsidRPr="00733944" w:rsidRDefault="00733944" w:rsidP="007D7E6D">
            <w:pPr>
              <w:pStyle w:val="Tablebody"/>
              <w:spacing w:before="40"/>
            </w:pPr>
            <w:r w:rsidRPr="00733944">
              <w:t>with gypsum sheathing</w:t>
            </w:r>
          </w:p>
        </w:tc>
        <w:tc>
          <w:tcPr>
            <w:tcW w:w="1605" w:type="dxa"/>
            <w:tcBorders>
              <w:top w:val="nil"/>
            </w:tcBorders>
            <w:shd w:val="clear" w:color="auto" w:fill="auto"/>
            <w:tcMar>
              <w:left w:w="28" w:type="dxa"/>
              <w:right w:w="28" w:type="dxa"/>
            </w:tcMar>
            <w:vAlign w:val="center"/>
          </w:tcPr>
          <w:p w14:paraId="25356C94" w14:textId="77777777" w:rsidR="00733944" w:rsidRPr="00733944" w:rsidRDefault="00733944" w:rsidP="007D7E6D">
            <w:pPr>
              <w:pStyle w:val="Tablebody"/>
              <w:spacing w:before="40"/>
              <w:jc w:val="center"/>
            </w:pPr>
            <w:r w:rsidRPr="00733944">
              <w:t>1,3</w:t>
            </w:r>
          </w:p>
        </w:tc>
        <w:tc>
          <w:tcPr>
            <w:tcW w:w="2228" w:type="dxa"/>
            <w:vMerge/>
          </w:tcPr>
          <w:p w14:paraId="0D933765" w14:textId="77777777" w:rsidR="00733944" w:rsidRPr="00733944" w:rsidRDefault="00733944" w:rsidP="007D7E6D">
            <w:pPr>
              <w:pStyle w:val="Tablebody"/>
              <w:spacing w:before="40"/>
              <w:jc w:val="center"/>
            </w:pPr>
          </w:p>
        </w:tc>
      </w:tr>
      <w:tr w:rsidR="00733944" w:rsidRPr="00733944" w14:paraId="4997A59F" w14:textId="77777777" w:rsidTr="00201573">
        <w:trPr>
          <w:trHeight w:val="300"/>
          <w:jc w:val="center"/>
        </w:trPr>
        <w:tc>
          <w:tcPr>
            <w:tcW w:w="6100" w:type="dxa"/>
            <w:tcBorders>
              <w:bottom w:val="single" w:sz="4" w:space="0" w:color="auto"/>
            </w:tcBorders>
            <w:shd w:val="clear" w:color="auto" w:fill="auto"/>
            <w:tcMar>
              <w:left w:w="57" w:type="dxa"/>
              <w:right w:w="28" w:type="dxa"/>
            </w:tcMar>
            <w:vAlign w:val="center"/>
            <w:hideMark/>
          </w:tcPr>
          <w:p w14:paraId="782DA464" w14:textId="77777777" w:rsidR="00733944" w:rsidRPr="00FD0E83" w:rsidRDefault="00733944" w:rsidP="007D7E6D">
            <w:pPr>
              <w:pStyle w:val="Tablebody"/>
              <w:spacing w:before="40"/>
              <w:rPr>
                <w:b/>
                <w:bCs/>
              </w:rPr>
            </w:pPr>
            <w:r w:rsidRPr="00FD0E83">
              <w:rPr>
                <w:b/>
                <w:bCs/>
              </w:rPr>
              <w:t>Inverted pendulum structures</w:t>
            </w:r>
          </w:p>
        </w:tc>
        <w:tc>
          <w:tcPr>
            <w:tcW w:w="1605" w:type="dxa"/>
            <w:tcBorders>
              <w:bottom w:val="single" w:sz="4" w:space="0" w:color="auto"/>
            </w:tcBorders>
            <w:shd w:val="clear" w:color="auto" w:fill="auto"/>
            <w:tcMar>
              <w:left w:w="28" w:type="dxa"/>
              <w:right w:w="28" w:type="dxa"/>
            </w:tcMar>
            <w:vAlign w:val="center"/>
            <w:hideMark/>
          </w:tcPr>
          <w:p w14:paraId="0A089495" w14:textId="77777777" w:rsidR="00733944" w:rsidRPr="00733944" w:rsidRDefault="00733944" w:rsidP="007D7E6D">
            <w:pPr>
              <w:pStyle w:val="Tablebody"/>
              <w:spacing w:before="40"/>
              <w:jc w:val="center"/>
            </w:pPr>
            <w:r w:rsidRPr="00733944">
              <w:t>1,5</w:t>
            </w:r>
          </w:p>
        </w:tc>
        <w:tc>
          <w:tcPr>
            <w:tcW w:w="2228" w:type="dxa"/>
            <w:tcBorders>
              <w:bottom w:val="single" w:sz="4" w:space="0" w:color="auto"/>
            </w:tcBorders>
          </w:tcPr>
          <w:p w14:paraId="0638BC2C" w14:textId="77777777" w:rsidR="00733944" w:rsidRPr="00733944" w:rsidRDefault="00733944" w:rsidP="007D7E6D">
            <w:pPr>
              <w:pStyle w:val="Tablebody"/>
              <w:spacing w:before="40"/>
              <w:jc w:val="center"/>
            </w:pPr>
            <w:r w:rsidRPr="00733944">
              <w:t>columns</w:t>
            </w:r>
          </w:p>
        </w:tc>
      </w:tr>
      <w:tr w:rsidR="00733944" w:rsidRPr="00733944" w14:paraId="518670C6" w14:textId="77777777" w:rsidTr="00201573">
        <w:trPr>
          <w:trHeight w:val="288"/>
          <w:jc w:val="center"/>
        </w:trPr>
        <w:tc>
          <w:tcPr>
            <w:tcW w:w="6100" w:type="dxa"/>
            <w:tcBorders>
              <w:bottom w:val="nil"/>
            </w:tcBorders>
            <w:shd w:val="clear" w:color="auto" w:fill="auto"/>
            <w:tcMar>
              <w:left w:w="57" w:type="dxa"/>
              <w:right w:w="28" w:type="dxa"/>
            </w:tcMar>
            <w:vAlign w:val="center"/>
            <w:hideMark/>
          </w:tcPr>
          <w:p w14:paraId="59B9A318" w14:textId="77777777" w:rsidR="00733944" w:rsidRPr="00FD0E83" w:rsidRDefault="00733944" w:rsidP="007D7E6D">
            <w:pPr>
              <w:pStyle w:val="Tablebody"/>
              <w:spacing w:before="40"/>
              <w:rPr>
                <w:b/>
                <w:bCs/>
              </w:rPr>
            </w:pPr>
            <w:r w:rsidRPr="00FD0E83">
              <w:rPr>
                <w:b/>
                <w:bCs/>
              </w:rPr>
              <w:t>Moment resisting frames with infills</w:t>
            </w:r>
          </w:p>
        </w:tc>
        <w:tc>
          <w:tcPr>
            <w:tcW w:w="1605" w:type="dxa"/>
            <w:tcBorders>
              <w:bottom w:val="nil"/>
            </w:tcBorders>
            <w:shd w:val="clear" w:color="auto" w:fill="auto"/>
            <w:tcMar>
              <w:left w:w="28" w:type="dxa"/>
              <w:right w:w="28" w:type="dxa"/>
            </w:tcMar>
            <w:vAlign w:val="center"/>
            <w:hideMark/>
          </w:tcPr>
          <w:p w14:paraId="41B2C3DC" w14:textId="77777777" w:rsidR="00733944" w:rsidRPr="00733944" w:rsidRDefault="00733944" w:rsidP="007D7E6D">
            <w:pPr>
              <w:pStyle w:val="Tablebody"/>
              <w:spacing w:before="40"/>
              <w:jc w:val="center"/>
            </w:pPr>
          </w:p>
        </w:tc>
        <w:tc>
          <w:tcPr>
            <w:tcW w:w="2228" w:type="dxa"/>
            <w:tcBorders>
              <w:bottom w:val="nil"/>
            </w:tcBorders>
          </w:tcPr>
          <w:p w14:paraId="0210973B" w14:textId="77777777" w:rsidR="00733944" w:rsidRPr="00733944" w:rsidRDefault="00733944" w:rsidP="007D7E6D">
            <w:pPr>
              <w:pStyle w:val="Tablebody"/>
              <w:spacing w:before="40"/>
              <w:jc w:val="center"/>
            </w:pPr>
          </w:p>
        </w:tc>
      </w:tr>
      <w:tr w:rsidR="00733944" w:rsidRPr="00733944" w14:paraId="4B3939DC" w14:textId="77777777" w:rsidTr="00201573">
        <w:trPr>
          <w:trHeight w:val="323"/>
          <w:jc w:val="center"/>
        </w:trPr>
        <w:tc>
          <w:tcPr>
            <w:tcW w:w="6100" w:type="dxa"/>
            <w:tcBorders>
              <w:top w:val="nil"/>
              <w:bottom w:val="nil"/>
            </w:tcBorders>
            <w:shd w:val="clear" w:color="auto" w:fill="auto"/>
            <w:tcMar>
              <w:left w:w="57" w:type="dxa"/>
              <w:right w:w="28" w:type="dxa"/>
            </w:tcMar>
            <w:vAlign w:val="center"/>
            <w:hideMark/>
          </w:tcPr>
          <w:p w14:paraId="2DA13A91" w14:textId="77777777" w:rsidR="00733944" w:rsidRPr="00733944" w:rsidRDefault="00733944" w:rsidP="007D7E6D">
            <w:pPr>
              <w:pStyle w:val="Tablebody"/>
              <w:spacing w:before="40"/>
            </w:pPr>
            <w:r w:rsidRPr="00733944">
              <w:t>with unconnected with non-interacting concrete or masonry infills</w:t>
            </w:r>
          </w:p>
        </w:tc>
        <w:tc>
          <w:tcPr>
            <w:tcW w:w="1605" w:type="dxa"/>
            <w:tcBorders>
              <w:top w:val="nil"/>
              <w:bottom w:val="nil"/>
            </w:tcBorders>
            <w:shd w:val="clear" w:color="auto" w:fill="auto"/>
            <w:tcMar>
              <w:left w:w="28" w:type="dxa"/>
              <w:right w:w="28" w:type="dxa"/>
            </w:tcMar>
            <w:vAlign w:val="center"/>
            <w:hideMark/>
          </w:tcPr>
          <w:p w14:paraId="1D50A6F8" w14:textId="77777777" w:rsidR="00733944" w:rsidRPr="00733944" w:rsidRDefault="00733944" w:rsidP="007D7E6D">
            <w:pPr>
              <w:pStyle w:val="Tablebody"/>
              <w:spacing w:before="40"/>
              <w:jc w:val="center"/>
            </w:pPr>
            <w:r w:rsidRPr="00733944">
              <w:t>1,5</w:t>
            </w:r>
          </w:p>
        </w:tc>
        <w:tc>
          <w:tcPr>
            <w:tcW w:w="2228" w:type="dxa"/>
            <w:tcBorders>
              <w:top w:val="nil"/>
              <w:bottom w:val="nil"/>
            </w:tcBorders>
          </w:tcPr>
          <w:p w14:paraId="3A2226DA" w14:textId="77777777" w:rsidR="00733944" w:rsidRPr="00733944" w:rsidRDefault="00733944" w:rsidP="007D7E6D">
            <w:pPr>
              <w:pStyle w:val="Tablebody"/>
              <w:spacing w:before="40"/>
              <w:jc w:val="center"/>
            </w:pPr>
            <w:r w:rsidRPr="00733944">
              <w:t>columns</w:t>
            </w:r>
          </w:p>
        </w:tc>
      </w:tr>
      <w:tr w:rsidR="00733944" w:rsidRPr="00733944" w14:paraId="2511EBF0" w14:textId="77777777" w:rsidTr="00201573">
        <w:trPr>
          <w:trHeight w:val="323"/>
          <w:jc w:val="center"/>
        </w:trPr>
        <w:tc>
          <w:tcPr>
            <w:tcW w:w="6100" w:type="dxa"/>
            <w:tcBorders>
              <w:top w:val="nil"/>
              <w:bottom w:val="nil"/>
            </w:tcBorders>
            <w:shd w:val="clear" w:color="auto" w:fill="auto"/>
            <w:tcMar>
              <w:left w:w="57" w:type="dxa"/>
              <w:right w:w="28" w:type="dxa"/>
            </w:tcMar>
            <w:vAlign w:val="center"/>
          </w:tcPr>
          <w:p w14:paraId="6D6D7D64" w14:textId="77777777" w:rsidR="00733944" w:rsidRPr="00733944" w:rsidRDefault="00733944" w:rsidP="007D7E6D">
            <w:pPr>
              <w:pStyle w:val="Tablebody"/>
              <w:spacing w:before="40"/>
            </w:pPr>
            <w:r w:rsidRPr="00733944">
              <w:t>with connected reinforced concrete infills</w:t>
            </w:r>
          </w:p>
        </w:tc>
        <w:tc>
          <w:tcPr>
            <w:tcW w:w="1605" w:type="dxa"/>
            <w:tcBorders>
              <w:top w:val="nil"/>
              <w:bottom w:val="nil"/>
            </w:tcBorders>
            <w:shd w:val="clear" w:color="auto" w:fill="auto"/>
            <w:tcMar>
              <w:left w:w="28" w:type="dxa"/>
              <w:right w:w="28" w:type="dxa"/>
            </w:tcMar>
            <w:vAlign w:val="center"/>
          </w:tcPr>
          <w:p w14:paraId="1C7068AE" w14:textId="081F4013" w:rsidR="00733944" w:rsidRPr="00733944" w:rsidRDefault="00733944" w:rsidP="007D7E6D">
            <w:pPr>
              <w:pStyle w:val="Tablebody"/>
              <w:spacing w:before="40"/>
              <w:jc w:val="center"/>
            </w:pPr>
            <w:r w:rsidRPr="00733944">
              <w:t xml:space="preserve">See </w:t>
            </w:r>
            <w:r w:rsidR="00FD0E83">
              <w:t xml:space="preserve">Clause </w:t>
            </w:r>
            <w:r w:rsidRPr="00733944">
              <w:rPr>
                <w:bCs/>
              </w:rPr>
              <w:t>10</w:t>
            </w:r>
          </w:p>
        </w:tc>
        <w:tc>
          <w:tcPr>
            <w:tcW w:w="2228" w:type="dxa"/>
            <w:tcBorders>
              <w:top w:val="nil"/>
              <w:bottom w:val="nil"/>
            </w:tcBorders>
          </w:tcPr>
          <w:p w14:paraId="1F6C9EB9" w14:textId="7104F165" w:rsidR="00733944" w:rsidRPr="00733944" w:rsidRDefault="00733944" w:rsidP="007D7E6D">
            <w:pPr>
              <w:pStyle w:val="Tablebody"/>
              <w:spacing w:before="40"/>
              <w:jc w:val="center"/>
            </w:pPr>
            <w:r w:rsidRPr="00733944">
              <w:t xml:space="preserve">See </w:t>
            </w:r>
            <w:r w:rsidR="00FD0E83">
              <w:t>Clause</w:t>
            </w:r>
            <w:r w:rsidRPr="00733944">
              <w:t xml:space="preserve"> </w:t>
            </w:r>
            <w:r w:rsidRPr="00733944">
              <w:rPr>
                <w:bCs/>
              </w:rPr>
              <w:t>10</w:t>
            </w:r>
          </w:p>
        </w:tc>
      </w:tr>
      <w:tr w:rsidR="00733944" w:rsidRPr="00733944" w14:paraId="5EC13BEB" w14:textId="77777777" w:rsidTr="00201573">
        <w:trPr>
          <w:trHeight w:val="293"/>
          <w:jc w:val="center"/>
        </w:trPr>
        <w:tc>
          <w:tcPr>
            <w:tcW w:w="6100" w:type="dxa"/>
            <w:tcBorders>
              <w:top w:val="nil"/>
            </w:tcBorders>
            <w:shd w:val="clear" w:color="auto" w:fill="auto"/>
            <w:tcMar>
              <w:left w:w="57" w:type="dxa"/>
              <w:right w:w="28" w:type="dxa"/>
            </w:tcMar>
            <w:vAlign w:val="center"/>
          </w:tcPr>
          <w:p w14:paraId="3B9509AA" w14:textId="77777777" w:rsidR="00733944" w:rsidRPr="00733944" w:rsidRDefault="00733944" w:rsidP="007D7E6D">
            <w:pPr>
              <w:pStyle w:val="Tablebody"/>
              <w:spacing w:before="40"/>
            </w:pPr>
            <w:r w:rsidRPr="00733944">
              <w:t xml:space="preserve">with non-interacting infills </w:t>
            </w:r>
          </w:p>
        </w:tc>
        <w:tc>
          <w:tcPr>
            <w:tcW w:w="1605" w:type="dxa"/>
            <w:tcBorders>
              <w:top w:val="nil"/>
            </w:tcBorders>
            <w:shd w:val="clear" w:color="auto" w:fill="auto"/>
            <w:tcMar>
              <w:left w:w="28" w:type="dxa"/>
              <w:right w:w="28" w:type="dxa"/>
            </w:tcMar>
            <w:vAlign w:val="center"/>
          </w:tcPr>
          <w:p w14:paraId="5FA0906E" w14:textId="77777777" w:rsidR="00733944" w:rsidRPr="00733944" w:rsidRDefault="00733944" w:rsidP="007D7E6D">
            <w:pPr>
              <w:pStyle w:val="Tablebody"/>
              <w:spacing w:before="40"/>
              <w:jc w:val="center"/>
            </w:pPr>
            <w:r w:rsidRPr="00733944">
              <w:t>(see MRFs)</w:t>
            </w:r>
          </w:p>
        </w:tc>
        <w:tc>
          <w:tcPr>
            <w:tcW w:w="2228" w:type="dxa"/>
            <w:tcBorders>
              <w:top w:val="nil"/>
            </w:tcBorders>
          </w:tcPr>
          <w:p w14:paraId="2DD1A55A" w14:textId="77777777" w:rsidR="00733944" w:rsidRPr="00733944" w:rsidRDefault="00733944" w:rsidP="007D7E6D">
            <w:pPr>
              <w:pStyle w:val="Tablebody"/>
              <w:spacing w:before="40"/>
              <w:jc w:val="center"/>
            </w:pPr>
            <w:r w:rsidRPr="00733944">
              <w:t>columns</w:t>
            </w:r>
          </w:p>
        </w:tc>
      </w:tr>
    </w:tbl>
    <w:p w14:paraId="3624987D" w14:textId="3CC7E68C" w:rsidR="00733944" w:rsidRPr="00FD0E83" w:rsidRDefault="00733944" w:rsidP="00724E4E">
      <w:pPr>
        <w:pStyle w:val="Clause"/>
      </w:pPr>
      <w:r w:rsidRPr="00132C1E">
        <w:lastRenderedPageBreak/>
        <w:t xml:space="preserve">In DC3 the design </w:t>
      </w:r>
      <w:r w:rsidRPr="00FD0E83">
        <w:t xml:space="preserve">overstrength factor </w:t>
      </w:r>
      <w:r w:rsidRPr="00FD0E83">
        <w:rPr>
          <w:rFonts w:ascii="Cambria Math" w:hAnsi="Cambria Math"/>
          <w:i/>
          <w:iCs/>
        </w:rPr>
        <w:t>Ω</w:t>
      </w:r>
      <w:r w:rsidRPr="00FD0E83">
        <w:rPr>
          <w:vertAlign w:val="subscript"/>
        </w:rPr>
        <w:t>d</w:t>
      </w:r>
      <w:r w:rsidRPr="00FD0E83">
        <w:t xml:space="preserve"> should be taken not smaller than 1 and to depend on the structural system, as specified in 11.9 to 11.15.</w:t>
      </w:r>
    </w:p>
    <w:p w14:paraId="34FABF63" w14:textId="63D6A6BF" w:rsidR="00733944" w:rsidRPr="006031C8" w:rsidRDefault="00733944" w:rsidP="00724E4E">
      <w:pPr>
        <w:pStyle w:val="Clause"/>
      </w:pPr>
      <w:r w:rsidRPr="006031C8">
        <w:t xml:space="preserve">In DC2 and DC3 structures </w:t>
      </w:r>
      <w:bookmarkStart w:id="9476" w:name="_Hlk107641567"/>
      <w:r w:rsidRPr="006031C8">
        <w:t xml:space="preserve">the resistance </w:t>
      </w:r>
      <w:r w:rsidRPr="004F74EA">
        <w:rPr>
          <w:i/>
          <w:iCs/>
        </w:rPr>
        <w:t>R</w:t>
      </w:r>
      <w:r w:rsidRPr="004F74EA">
        <w:rPr>
          <w:vertAlign w:val="subscript"/>
        </w:rPr>
        <w:t>d</w:t>
      </w:r>
      <w:r w:rsidRPr="006031C8">
        <w:t xml:space="preserve"> of non-dissipative members connected to dissipative connections should satisfy Formula (11.4).</w:t>
      </w:r>
      <w:bookmarkEnd w:id="9476"/>
    </w:p>
    <w:p w14:paraId="48A13765" w14:textId="213E2D15" w:rsidR="00201573" w:rsidRPr="00132C1E" w:rsidRDefault="00201573" w:rsidP="00201573">
      <w:pPr>
        <w:pStyle w:val="Heading3"/>
      </w:pPr>
      <w:bookmarkStart w:id="9477" w:name="_Toc522955927"/>
      <w:bookmarkStart w:id="9478" w:name="_Toc18314118"/>
      <w:bookmarkStart w:id="9479" w:name="_Toc50150432"/>
      <w:bookmarkStart w:id="9480" w:name="_Toc70886864"/>
      <w:bookmarkStart w:id="9481" w:name="_Toc108342423"/>
      <w:bookmarkStart w:id="9482" w:name="_Toc134197955"/>
      <w:r>
        <w:t>Verification of</w:t>
      </w:r>
      <w:r w:rsidRPr="00132C1E">
        <w:t xml:space="preserve"> connections in dissipative zones</w:t>
      </w:r>
      <w:bookmarkEnd w:id="9477"/>
      <w:bookmarkEnd w:id="9478"/>
      <w:bookmarkEnd w:id="9479"/>
      <w:bookmarkEnd w:id="9480"/>
      <w:bookmarkEnd w:id="9481"/>
      <w:bookmarkEnd w:id="9482"/>
    </w:p>
    <w:p w14:paraId="6BD6EACA" w14:textId="1B16CB3A" w:rsidR="00201573" w:rsidRPr="006031C8" w:rsidRDefault="00201573" w:rsidP="0080187E">
      <w:pPr>
        <w:pStyle w:val="Clause"/>
        <w:numPr>
          <w:ilvl w:val="0"/>
          <w:numId w:val="377"/>
        </w:numPr>
      </w:pPr>
      <w:r w:rsidRPr="00266BA9">
        <w:t xml:space="preserve">In DC2 </w:t>
      </w:r>
      <w:r w:rsidRPr="006031C8">
        <w:t>and DC3, the design of a connection and of the member attached to it should satisfy either a) or b):</w:t>
      </w:r>
    </w:p>
    <w:p w14:paraId="2EFA4411" w14:textId="77777777" w:rsidR="00201573" w:rsidRPr="006031C8" w:rsidRDefault="00201573" w:rsidP="0080187E">
      <w:pPr>
        <w:pStyle w:val="Text"/>
        <w:numPr>
          <w:ilvl w:val="0"/>
          <w:numId w:val="641"/>
        </w:numPr>
      </w:pPr>
      <w:r w:rsidRPr="006031C8">
        <w:t>The member is dissipative and the connection is non-dissipative;</w:t>
      </w:r>
    </w:p>
    <w:p w14:paraId="5211FD3E" w14:textId="0BA26281" w:rsidR="00201573" w:rsidRPr="006031C8" w:rsidRDefault="00201573" w:rsidP="0080187E">
      <w:pPr>
        <w:pStyle w:val="Text"/>
        <w:numPr>
          <w:ilvl w:val="0"/>
          <w:numId w:val="641"/>
        </w:numPr>
      </w:pPr>
      <w:r w:rsidRPr="006031C8">
        <w:t>The member is non-dissipative and the connection is dissipative</w:t>
      </w:r>
      <w:r>
        <w:t>.</w:t>
      </w:r>
    </w:p>
    <w:p w14:paraId="172D0ECA" w14:textId="1D2ABD06" w:rsidR="00201573" w:rsidRPr="006031C8" w:rsidRDefault="00201573" w:rsidP="00724E4E">
      <w:pPr>
        <w:pStyle w:val="Clause"/>
      </w:pPr>
      <w:r w:rsidRPr="00806062">
        <w:t xml:space="preserve">In </w:t>
      </w:r>
      <w:r w:rsidRPr="006031C8">
        <w:t xml:space="preserve">DC2 and DC3, the resistance </w:t>
      </w:r>
      <w:r w:rsidRPr="004F74EA">
        <w:rPr>
          <w:i/>
          <w:iCs/>
        </w:rPr>
        <w:t>R</w:t>
      </w:r>
      <w:r w:rsidRPr="004F74EA">
        <w:rPr>
          <w:vertAlign w:val="subscript"/>
        </w:rPr>
        <w:t xml:space="preserve">d </w:t>
      </w:r>
      <w:r w:rsidRPr="006031C8">
        <w:t>of a non-dissipative structural component attached to a dissipative structural component should satisfy Formula (11.4).</w:t>
      </w:r>
    </w:p>
    <w:p w14:paraId="7DC86A42" w14:textId="61E8683F" w:rsidR="00201573" w:rsidRDefault="009B5CEC" w:rsidP="00201573">
      <w:pPr>
        <w:pStyle w:val="Formula"/>
        <w:spacing w:before="240"/>
      </w:pPr>
      <m:oMath>
        <m:sSub>
          <m:sSubPr>
            <m:ctrlPr>
              <w:rPr>
                <w:rFonts w:ascii="Cambria Math" w:hAnsi="Cambria Math"/>
                <w:i/>
                <w:szCs w:val="22"/>
              </w:rPr>
            </m:ctrlPr>
          </m:sSubPr>
          <m:e>
            <m:r>
              <w:rPr>
                <w:rFonts w:ascii="Cambria Math" w:hAnsi="Cambria Math"/>
                <w:szCs w:val="22"/>
              </w:rPr>
              <m:t>R</m:t>
            </m:r>
          </m:e>
          <m:sub>
            <m:r>
              <m:rPr>
                <m:sty m:val="p"/>
              </m:rPr>
              <w:rPr>
                <w:rFonts w:ascii="Cambria Math" w:hAnsi="Cambria Math"/>
                <w:szCs w:val="22"/>
                <w:vertAlign w:val="subscript"/>
              </w:rPr>
              <m:t>d</m:t>
            </m:r>
          </m:sub>
        </m:sSub>
        <m:r>
          <m:rPr>
            <m:sty m:val="p"/>
          </m:rPr>
          <w:rPr>
            <w:rFonts w:ascii="Cambria Math" w:hAnsi="Cambria Math"/>
            <w:szCs w:val="22"/>
          </w:rPr>
          <m:t xml:space="preserve"> ≥ </m:t>
        </m:r>
        <m:sSub>
          <m:sSubPr>
            <m:ctrlPr>
              <w:rPr>
                <w:rFonts w:ascii="Cambria Math" w:hAnsi="Cambria Math"/>
                <w:szCs w:val="22"/>
              </w:rPr>
            </m:ctrlPr>
          </m:sSubPr>
          <m:e>
            <m:r>
              <w:rPr>
                <w:rFonts w:ascii="Cambria Math" w:hAnsi="Cambria Math"/>
                <w:szCs w:val="22"/>
                <w:lang w:val="fr-FR"/>
              </w:rPr>
              <m:t>ω</m:t>
            </m:r>
          </m:e>
          <m:sub>
            <m:r>
              <m:rPr>
                <m:sty m:val="p"/>
              </m:rPr>
              <w:rPr>
                <w:rFonts w:ascii="Cambria Math" w:hAnsi="Cambria Math"/>
                <w:szCs w:val="22"/>
                <w:vertAlign w:val="subscript"/>
              </w:rPr>
              <m:t>rm</m:t>
            </m:r>
          </m:sub>
        </m:sSub>
        <m:r>
          <m:rPr>
            <m:sty m:val="p"/>
          </m:rPr>
          <w:rPr>
            <w:rFonts w:ascii="Cambria Math" w:hAnsi="Cambria Math"/>
            <w:szCs w:val="22"/>
          </w:rPr>
          <m:t xml:space="preserve"> </m:t>
        </m:r>
        <m:sSub>
          <m:sSubPr>
            <m:ctrlPr>
              <w:rPr>
                <w:rFonts w:ascii="Cambria Math" w:hAnsi="Cambria Math"/>
                <w:szCs w:val="22"/>
              </w:rPr>
            </m:ctrlPr>
          </m:sSubPr>
          <m:e>
            <m:r>
              <w:rPr>
                <w:rFonts w:ascii="Cambria Math" w:hAnsi="Cambria Math"/>
                <w:szCs w:val="22"/>
                <w:lang w:val="fr-FR"/>
              </w:rPr>
              <m:t>ω</m:t>
            </m:r>
          </m:e>
          <m:sub>
            <m:r>
              <m:rPr>
                <m:sty m:val="p"/>
              </m:rPr>
              <w:rPr>
                <w:rFonts w:ascii="Cambria Math" w:hAnsi="Cambria Math"/>
                <w:szCs w:val="22"/>
                <w:vertAlign w:val="subscript"/>
              </w:rPr>
              <m:t>sh</m:t>
            </m:r>
          </m:sub>
        </m:sSub>
        <m:r>
          <w:rPr>
            <w:rFonts w:ascii="Cambria Math" w:hAnsi="Cambria Math"/>
            <w:szCs w:val="22"/>
            <w:lang w:val="fr-FR"/>
          </w:rPr>
          <m:t>ω</m:t>
        </m:r>
        <m:r>
          <m:rPr>
            <m:sty m:val="p"/>
          </m:rPr>
          <w:rPr>
            <w:rFonts w:ascii="Cambria Math" w:hAnsi="Cambria Math"/>
            <w:szCs w:val="22"/>
            <w:vertAlign w:val="subscript"/>
          </w:rPr>
          <m:t>sh</m:t>
        </m:r>
        <m:r>
          <m:rPr>
            <m:sty m:val="p"/>
          </m:rPr>
          <w:rPr>
            <w:rFonts w:ascii="Cambria Math" w:hAnsi="Cambria Math"/>
            <w:szCs w:val="22"/>
          </w:rPr>
          <m:t xml:space="preserve"> </m:t>
        </m:r>
        <m:sSub>
          <m:sSubPr>
            <m:ctrlPr>
              <w:rPr>
                <w:rFonts w:ascii="Cambria Math" w:hAnsi="Cambria Math"/>
                <w:i/>
                <w:szCs w:val="22"/>
              </w:rPr>
            </m:ctrlPr>
          </m:sSubPr>
          <m:e>
            <m:r>
              <w:rPr>
                <w:rFonts w:ascii="Cambria Math" w:hAnsi="Cambria Math"/>
                <w:szCs w:val="22"/>
              </w:rPr>
              <m:t>R</m:t>
            </m:r>
          </m:e>
          <m:sub>
            <m:r>
              <m:rPr>
                <m:sty m:val="p"/>
              </m:rPr>
              <w:rPr>
                <w:rFonts w:ascii="Cambria Math" w:hAnsi="Cambria Math"/>
                <w:szCs w:val="22"/>
                <w:vertAlign w:val="subscript"/>
              </w:rPr>
              <m:t>fy</m:t>
            </m:r>
          </m:sub>
        </m:sSub>
      </m:oMath>
      <w:r w:rsidR="00201573" w:rsidRPr="00870D59">
        <w:tab/>
        <w:t>(1</w:t>
      </w:r>
      <w:r w:rsidR="00201573">
        <w:t>1</w:t>
      </w:r>
      <w:r w:rsidR="00201573" w:rsidRPr="00870D59">
        <w:t>.</w:t>
      </w:r>
      <w:r w:rsidR="00821B21">
        <w:t>4</w:t>
      </w:r>
      <w:r w:rsidR="00201573" w:rsidRPr="00870D59">
        <w:t>)</w:t>
      </w:r>
    </w:p>
    <w:p w14:paraId="23560D04" w14:textId="1CA6F9C0" w:rsidR="00201573" w:rsidRDefault="00675EBA" w:rsidP="00201573">
      <w:r>
        <w:t>where</w:t>
      </w:r>
    </w:p>
    <w:tbl>
      <w:tblPr>
        <w:tblW w:w="0" w:type="auto"/>
        <w:tblInd w:w="284" w:type="dxa"/>
        <w:tblLook w:val="04A0" w:firstRow="1" w:lastRow="0" w:firstColumn="1" w:lastColumn="0" w:noHBand="0" w:noVBand="1"/>
      </w:tblPr>
      <w:tblGrid>
        <w:gridCol w:w="1337"/>
        <w:gridCol w:w="7938"/>
      </w:tblGrid>
      <w:tr w:rsidR="00821B21" w:rsidRPr="00821B21" w14:paraId="78E68A29" w14:textId="77777777" w:rsidTr="007D7E6D">
        <w:tc>
          <w:tcPr>
            <w:tcW w:w="1337" w:type="dxa"/>
          </w:tcPr>
          <w:p w14:paraId="373E04F5" w14:textId="55878A44" w:rsidR="00201573" w:rsidRPr="00821B21" w:rsidRDefault="00821B21" w:rsidP="002061E5">
            <w:pPr>
              <w:spacing w:after="60"/>
              <w:rPr>
                <w:rFonts w:eastAsia="Times New Roman" w:cs="Cambria"/>
                <w:szCs w:val="20"/>
                <w:lang w:eastAsia="fr-FR"/>
              </w:rPr>
            </w:pPr>
            <w:r w:rsidRPr="00821B21">
              <w:rPr>
                <w:i/>
                <w:iCs/>
              </w:rPr>
              <w:t>R</w:t>
            </w:r>
            <w:r w:rsidRPr="00357B79">
              <w:rPr>
                <w:vertAlign w:val="subscript"/>
              </w:rPr>
              <w:t>fy</w:t>
            </w:r>
          </w:p>
        </w:tc>
        <w:tc>
          <w:tcPr>
            <w:tcW w:w="7938" w:type="dxa"/>
          </w:tcPr>
          <w:p w14:paraId="6150EED0" w14:textId="78662116" w:rsidR="00201573" w:rsidRPr="00FD0E83" w:rsidRDefault="00821B21" w:rsidP="002061E5">
            <w:pPr>
              <w:spacing w:after="60"/>
              <w:rPr>
                <w:rFonts w:eastAsia="Times New Roman" w:cs="Cambria"/>
                <w:szCs w:val="20"/>
                <w:lang w:eastAsia="fr-FR"/>
              </w:rPr>
            </w:pPr>
            <w:r w:rsidRPr="00FD0E83">
              <w:t xml:space="preserve">is the resistance of the dissipative structural component in accordance </w:t>
            </w:r>
            <w:r w:rsidR="00753F7D" w:rsidRPr="00FD0E83">
              <w:t>the definition of resistance with subscript y in</w:t>
            </w:r>
            <w:r w:rsidRPr="00FD0E83">
              <w:t xml:space="preserve"> prEN</w:t>
            </w:r>
            <w:r w:rsidR="00815EB6">
              <w:t> </w:t>
            </w:r>
            <w:r w:rsidRPr="00FD0E83">
              <w:t>1993-1-8;</w:t>
            </w:r>
          </w:p>
        </w:tc>
      </w:tr>
      <w:tr w:rsidR="00821B21" w:rsidRPr="00870D59" w14:paraId="6C373D1B" w14:textId="77777777" w:rsidTr="007D7E6D">
        <w:tc>
          <w:tcPr>
            <w:tcW w:w="1337" w:type="dxa"/>
          </w:tcPr>
          <w:p w14:paraId="10FC8495" w14:textId="77777777" w:rsidR="00821B21" w:rsidRPr="00D1484A" w:rsidRDefault="00821B21" w:rsidP="002061E5">
            <w:pPr>
              <w:spacing w:after="60"/>
              <w:rPr>
                <w:i/>
                <w:iCs/>
              </w:rPr>
            </w:pPr>
            <w:r w:rsidRPr="00D1484A">
              <w:rPr>
                <w:i/>
              </w:rPr>
              <w:t>ω</w:t>
            </w:r>
            <w:r w:rsidRPr="007E6F67">
              <w:rPr>
                <w:vertAlign w:val="subscript"/>
              </w:rPr>
              <w:t>rm</w:t>
            </w:r>
          </w:p>
        </w:tc>
        <w:tc>
          <w:tcPr>
            <w:tcW w:w="7938" w:type="dxa"/>
          </w:tcPr>
          <w:p w14:paraId="42770CEA" w14:textId="6AFFF011" w:rsidR="00821B21" w:rsidRPr="00FD0E83" w:rsidRDefault="00821B21" w:rsidP="002061E5">
            <w:r w:rsidRPr="00FD0E83">
              <w:t>is the factor for variability of steel yield strength in the dissipative zone (see 11.2.2 and (10));</w:t>
            </w:r>
          </w:p>
        </w:tc>
      </w:tr>
      <w:tr w:rsidR="00821B21" w:rsidRPr="00870D59" w14:paraId="6A58E0A6" w14:textId="77777777" w:rsidTr="007D7E6D">
        <w:tc>
          <w:tcPr>
            <w:tcW w:w="1337" w:type="dxa"/>
          </w:tcPr>
          <w:p w14:paraId="1244B7B1" w14:textId="77777777" w:rsidR="00821B21" w:rsidRPr="00E05E29" w:rsidRDefault="00821B21" w:rsidP="002061E5">
            <w:pPr>
              <w:spacing w:after="60"/>
              <w:rPr>
                <w:rFonts w:ascii="Symbol" w:eastAsia="Symbol" w:hAnsi="Symbol" w:cs="Symbol"/>
                <w:i/>
              </w:rPr>
            </w:pPr>
            <w:r w:rsidRPr="00E05E29">
              <w:rPr>
                <w:i/>
              </w:rPr>
              <w:t>ω</w:t>
            </w:r>
            <w:r w:rsidRPr="00E05E29">
              <w:rPr>
                <w:vertAlign w:val="subscript"/>
              </w:rPr>
              <w:t>sh</w:t>
            </w:r>
          </w:p>
        </w:tc>
        <w:tc>
          <w:tcPr>
            <w:tcW w:w="7938" w:type="dxa"/>
          </w:tcPr>
          <w:p w14:paraId="7147CB8D" w14:textId="29146C0A" w:rsidR="00821B21" w:rsidRPr="00FD0E83" w:rsidRDefault="00821B21" w:rsidP="002061E5">
            <w:r w:rsidRPr="00FD0E83">
              <w:t>is the overstrength factor for hardening of the dissipative zone (see (8) and Table</w:t>
            </w:r>
            <w:r w:rsidR="007D7E6D">
              <w:t> </w:t>
            </w:r>
            <w:r w:rsidRPr="00FD0E83">
              <w:t>11.</w:t>
            </w:r>
            <w:r w:rsidR="00E832F3">
              <w:t>10</w:t>
            </w:r>
            <w:r w:rsidRPr="00FD0E83">
              <w:t>).</w:t>
            </w:r>
          </w:p>
        </w:tc>
      </w:tr>
    </w:tbl>
    <w:p w14:paraId="0EA2D597" w14:textId="50F4A849" w:rsidR="00821B21" w:rsidRPr="00867476" w:rsidRDefault="00821B21" w:rsidP="00724E4E">
      <w:pPr>
        <w:pStyle w:val="Clause"/>
      </w:pPr>
      <w:r w:rsidRPr="00806062">
        <w:t xml:space="preserve">The </w:t>
      </w:r>
      <w:r w:rsidRPr="006031C8">
        <w:t xml:space="preserve">resistance </w:t>
      </w:r>
      <w:r w:rsidRPr="004F74EA">
        <w:rPr>
          <w:i/>
          <w:iCs/>
        </w:rPr>
        <w:t>R</w:t>
      </w:r>
      <w:r w:rsidRPr="004F74EA">
        <w:rPr>
          <w:vertAlign w:val="subscript"/>
        </w:rPr>
        <w:t>d</w:t>
      </w:r>
      <w:r w:rsidRPr="006031C8">
        <w:t xml:space="preserve"> of non-</w:t>
      </w:r>
      <w:r w:rsidRPr="00867476">
        <w:t xml:space="preserve">dissipative connections should satisfy (1)a) and Formula (11.4) in which </w:t>
      </w:r>
      <w:r w:rsidRPr="00867476">
        <w:rPr>
          <w:i/>
          <w:iCs/>
        </w:rPr>
        <w:t>R</w:t>
      </w:r>
      <w:r w:rsidRPr="00867476">
        <w:rPr>
          <w:i/>
          <w:iCs/>
          <w:vertAlign w:val="subscript"/>
        </w:rPr>
        <w:t>fy</w:t>
      </w:r>
      <w:r w:rsidRPr="00867476">
        <w:t xml:space="preserve">, </w:t>
      </w:r>
      <w:r w:rsidRPr="00867476">
        <w:rPr>
          <w:i/>
          <w:lang w:val="fr-FR"/>
        </w:rPr>
        <w:t>ω</w:t>
      </w:r>
      <w:r w:rsidRPr="00867476">
        <w:rPr>
          <w:vertAlign w:val="subscript"/>
        </w:rPr>
        <w:t>rm</w:t>
      </w:r>
      <w:r w:rsidRPr="00867476">
        <w:t xml:space="preserve"> and </w:t>
      </w:r>
      <w:r w:rsidRPr="00867476">
        <w:rPr>
          <w:i/>
          <w:lang w:val="fr-FR"/>
        </w:rPr>
        <w:t>ω</w:t>
      </w:r>
      <w:r w:rsidRPr="00867476">
        <w:rPr>
          <w:vertAlign w:val="subscript"/>
        </w:rPr>
        <w:t>sh</w:t>
      </w:r>
      <w:r w:rsidRPr="00867476">
        <w:t xml:space="preserve"> as defined in (2) characterize the member attached to the connection.</w:t>
      </w:r>
    </w:p>
    <w:p w14:paraId="17E8B748" w14:textId="03B27B66" w:rsidR="00821B21" w:rsidRPr="00867476" w:rsidRDefault="00821B21" w:rsidP="00724E4E">
      <w:pPr>
        <w:pStyle w:val="Clause"/>
      </w:pPr>
      <w:r w:rsidRPr="00867476">
        <w:t xml:space="preserve">The resistance </w:t>
      </w:r>
      <w:r w:rsidRPr="00867476">
        <w:rPr>
          <w:i/>
          <w:iCs/>
        </w:rPr>
        <w:t>R</w:t>
      </w:r>
      <w:r w:rsidRPr="00867476">
        <w:rPr>
          <w:vertAlign w:val="subscript"/>
        </w:rPr>
        <w:t>d</w:t>
      </w:r>
      <w:r w:rsidRPr="00867476">
        <w:t xml:space="preserve"> of dissipative connections should satisfy (1)b) and Formula (11.4) in which </w:t>
      </w:r>
      <w:r w:rsidRPr="00867476">
        <w:rPr>
          <w:i/>
          <w:iCs/>
        </w:rPr>
        <w:t>R</w:t>
      </w:r>
      <w:r w:rsidRPr="00867476">
        <w:rPr>
          <w:i/>
          <w:iCs/>
          <w:vertAlign w:val="subscript"/>
        </w:rPr>
        <w:t>fy</w:t>
      </w:r>
      <w:r w:rsidRPr="00867476">
        <w:t xml:space="preserve">, </w:t>
      </w:r>
      <w:r w:rsidRPr="00867476">
        <w:rPr>
          <w:i/>
          <w:lang w:val="fr-FR"/>
        </w:rPr>
        <w:t>ω</w:t>
      </w:r>
      <w:r w:rsidRPr="00867476">
        <w:rPr>
          <w:vertAlign w:val="subscript"/>
        </w:rPr>
        <w:t>rm</w:t>
      </w:r>
      <w:r w:rsidRPr="00867476">
        <w:t xml:space="preserve"> and </w:t>
      </w:r>
      <w:r w:rsidRPr="00867476">
        <w:rPr>
          <w:i/>
          <w:lang w:val="fr-FR"/>
        </w:rPr>
        <w:t>ω</w:t>
      </w:r>
      <w:r w:rsidRPr="00867476">
        <w:rPr>
          <w:vertAlign w:val="subscript"/>
        </w:rPr>
        <w:t>sh</w:t>
      </w:r>
      <w:r w:rsidRPr="00867476">
        <w:t xml:space="preserve"> as defined in (2) characterize the connection attached to the member.</w:t>
      </w:r>
    </w:p>
    <w:p w14:paraId="55CC0C30" w14:textId="29AA288F" w:rsidR="00821B21" w:rsidRPr="00867476" w:rsidRDefault="00821B21" w:rsidP="00724E4E">
      <w:pPr>
        <w:pStyle w:val="Clause"/>
      </w:pPr>
      <w:r w:rsidRPr="00867476">
        <w:t>Non-dissipative connections should be designed for the relevant forces/moments at the location of the connection calculated in accordance with 11.8.5.</w:t>
      </w:r>
    </w:p>
    <w:p w14:paraId="0FFC6EC6" w14:textId="2952435D" w:rsidR="00821B21" w:rsidRDefault="00821B21" w:rsidP="00724E4E">
      <w:pPr>
        <w:pStyle w:val="Clause"/>
      </w:pPr>
      <w:r w:rsidRPr="00132C1E">
        <w:t xml:space="preserve">Fillet welded or bolted non-dissipative connections at the location of the dissipative zones should satisfy </w:t>
      </w:r>
      <w:r w:rsidRPr="003A443F">
        <w:t xml:space="preserve">Formula (11.4), </w:t>
      </w:r>
      <w:r w:rsidRPr="00815EB6">
        <w:rPr>
          <w:color w:val="auto"/>
        </w:rPr>
        <w:t xml:space="preserve">where </w:t>
      </w:r>
      <w:r w:rsidRPr="00815EB6">
        <w:rPr>
          <w:i/>
          <w:iCs/>
          <w:color w:val="auto"/>
        </w:rPr>
        <w:t>R</w:t>
      </w:r>
      <w:r w:rsidRPr="00815EB6">
        <w:rPr>
          <w:color w:val="auto"/>
          <w:vertAlign w:val="subscript"/>
        </w:rPr>
        <w:t>d</w:t>
      </w:r>
      <w:r w:rsidRPr="00815EB6">
        <w:rPr>
          <w:color w:val="auto"/>
        </w:rPr>
        <w:t xml:space="preserve"> is the </w:t>
      </w:r>
      <w:r w:rsidRPr="009507BC">
        <w:t>resistance of the connection in accordance with prEN</w:t>
      </w:r>
      <w:r w:rsidR="00460A67">
        <w:t> </w:t>
      </w:r>
      <w:r w:rsidRPr="009507BC">
        <w:t xml:space="preserve">1993-1-8 calculated with the plastic resistance </w:t>
      </w:r>
      <w:r w:rsidRPr="004F74EA">
        <w:rPr>
          <w:i/>
          <w:iCs/>
        </w:rPr>
        <w:t>f</w:t>
      </w:r>
      <w:r w:rsidRPr="004F74EA">
        <w:rPr>
          <w:vertAlign w:val="subscript"/>
        </w:rPr>
        <w:t>y</w:t>
      </w:r>
      <w:r w:rsidRPr="009507BC">
        <w:t xml:space="preserve"> of the connected dissipative member at the expected position of the plastic hinge and based on the nominal yield stress of the material as defined in </w:t>
      </w:r>
      <w:r w:rsidRPr="003A443F">
        <w:t>EN</w:t>
      </w:r>
      <w:r w:rsidR="00460A67">
        <w:t> </w:t>
      </w:r>
      <w:r w:rsidRPr="003A443F">
        <w:t>1993-1-1</w:t>
      </w:r>
      <w:r w:rsidR="00753F7D">
        <w:t>:2022, 5.2.1</w:t>
      </w:r>
      <w:r w:rsidRPr="003A443F">
        <w:t>.</w:t>
      </w:r>
    </w:p>
    <w:p w14:paraId="62325388" w14:textId="1CC29E4A" w:rsidR="00821B21" w:rsidRDefault="00821B21" w:rsidP="00724E4E">
      <w:pPr>
        <w:pStyle w:val="Clause"/>
      </w:pPr>
      <w:r w:rsidRPr="00132C1E">
        <w:t xml:space="preserve">Non-dissipative connections of dissipative members made by means of full penetration butt welds may be considered to satisfy </w:t>
      </w:r>
      <w:r w:rsidRPr="003C26FE">
        <w:t>Formula (11.4)</w:t>
      </w:r>
      <w:r w:rsidRPr="00132C1E">
        <w:t>.</w:t>
      </w:r>
    </w:p>
    <w:p w14:paraId="3FBB6BB0" w14:textId="4D750160" w:rsidR="00821B21" w:rsidRDefault="00821B21" w:rsidP="00724E4E">
      <w:pPr>
        <w:pStyle w:val="Clause"/>
      </w:pPr>
      <w:r w:rsidRPr="00132C1E">
        <w:t xml:space="preserve">In DC2, </w:t>
      </w:r>
      <w:r w:rsidRPr="004F74EA">
        <w:rPr>
          <w:i/>
        </w:rPr>
        <w:t>ω</w:t>
      </w:r>
      <w:r w:rsidRPr="004F74EA">
        <w:rPr>
          <w:vertAlign w:val="subscript"/>
        </w:rPr>
        <w:t>sh</w:t>
      </w:r>
      <w:r w:rsidRPr="00132C1E">
        <w:t xml:space="preserve"> may be assumed equal to 1,1.</w:t>
      </w:r>
    </w:p>
    <w:p w14:paraId="141F0C44" w14:textId="6C622E27" w:rsidR="00821B21" w:rsidRPr="00806062" w:rsidRDefault="00821B21" w:rsidP="00724E4E">
      <w:pPr>
        <w:pStyle w:val="Clause"/>
      </w:pPr>
      <w:r>
        <w:t>I</w:t>
      </w:r>
      <w:r w:rsidRPr="00132C1E">
        <w:t>n DC3</w:t>
      </w:r>
      <w:r>
        <w:t>,</w:t>
      </w:r>
      <w:r w:rsidRPr="00132C1E">
        <w:t xml:space="preserve"> </w:t>
      </w:r>
      <w:r>
        <w:t>u</w:t>
      </w:r>
      <w:r w:rsidRPr="00132C1E">
        <w:t xml:space="preserve">nless estimated with either analytical method, experimental validation or numerical simulation, </w:t>
      </w:r>
      <w:r w:rsidRPr="004F74EA">
        <w:rPr>
          <w:i/>
        </w:rPr>
        <w:t>ω</w:t>
      </w:r>
      <w:r w:rsidRPr="004F74EA">
        <w:rPr>
          <w:vertAlign w:val="subscript"/>
        </w:rPr>
        <w:t>sh</w:t>
      </w:r>
      <w:r w:rsidRPr="00132C1E">
        <w:t xml:space="preserve"> should be taken from Table </w:t>
      </w:r>
      <w:r w:rsidRPr="003422A2">
        <w:t>11.</w:t>
      </w:r>
      <w:r w:rsidR="00E832F3">
        <w:t>10</w:t>
      </w:r>
      <w:r w:rsidRPr="003422A2">
        <w:t>.</w:t>
      </w:r>
    </w:p>
    <w:p w14:paraId="06265191" w14:textId="44E27DD4" w:rsidR="00821B21" w:rsidRDefault="00821B21" w:rsidP="00724E4E">
      <w:pPr>
        <w:pStyle w:val="Clause"/>
      </w:pPr>
      <w:r w:rsidRPr="00806062">
        <w:lastRenderedPageBreak/>
        <w:t xml:space="preserve">With </w:t>
      </w:r>
      <w:r w:rsidRPr="006031C8">
        <w:t xml:space="preserve">friction connections, the dissipation mechanism does not involve plastic deformations and </w:t>
      </w:r>
      <w:r w:rsidRPr="004F74EA">
        <w:rPr>
          <w:i/>
          <w:iCs/>
          <w:lang w:val="fr-FR"/>
        </w:rPr>
        <w:t>ω</w:t>
      </w:r>
      <w:r w:rsidRPr="004F74EA">
        <w:rPr>
          <w:vertAlign w:val="subscript"/>
        </w:rPr>
        <w:t>rm</w:t>
      </w:r>
      <w:r w:rsidRPr="006031C8">
        <w:t xml:space="preserve"> should be taken equal to 1,0</w:t>
      </w:r>
      <w:r w:rsidRPr="00806062">
        <w:t>.</w:t>
      </w:r>
    </w:p>
    <w:p w14:paraId="0713D862" w14:textId="7517BAEE" w:rsidR="00821B21" w:rsidRPr="00867476" w:rsidRDefault="00821B21" w:rsidP="00724E4E">
      <w:pPr>
        <w:pStyle w:val="Clause"/>
      </w:pPr>
      <w:r w:rsidRPr="009507BC">
        <w:t xml:space="preserve">In all DC, category A bolted joints in shear as defined </w:t>
      </w:r>
      <w:r w:rsidRPr="00867476">
        <w:t>in prEN</w:t>
      </w:r>
      <w:r w:rsidR="00460A67">
        <w:t> </w:t>
      </w:r>
      <w:r w:rsidRPr="00867476">
        <w:t>1993-1-8:2021, 5.4.1a), may be used provided that a) and b) are satisfied:</w:t>
      </w:r>
    </w:p>
    <w:p w14:paraId="1F60DDA1" w14:textId="3D24666F" w:rsidR="00821B21" w:rsidRPr="009507BC" w:rsidRDefault="00821B21" w:rsidP="0080187E">
      <w:pPr>
        <w:pStyle w:val="Text"/>
        <w:numPr>
          <w:ilvl w:val="0"/>
          <w:numId w:val="642"/>
        </w:numPr>
      </w:pPr>
      <w:r w:rsidRPr="009507BC">
        <w:t>All bolts in each joint are tightened in accordance with prEN</w:t>
      </w:r>
      <w:r w:rsidR="00460A67">
        <w:t> </w:t>
      </w:r>
      <w:r w:rsidRPr="009507BC">
        <w:t>199</w:t>
      </w:r>
      <w:r w:rsidR="00460A67">
        <w:t>3</w:t>
      </w:r>
      <w:r w:rsidRPr="009507BC">
        <w:t>-1-8</w:t>
      </w:r>
      <w:r w:rsidR="004D4FF0">
        <w:t>:2021, 5.1.2(1)</w:t>
      </w:r>
      <w:r w:rsidR="00460A67">
        <w:t>;</w:t>
      </w:r>
    </w:p>
    <w:p w14:paraId="62231B8A" w14:textId="4C11407F" w:rsidR="00821B21" w:rsidRPr="009507BC" w:rsidRDefault="00821B21" w:rsidP="0080187E">
      <w:pPr>
        <w:pStyle w:val="Text"/>
        <w:numPr>
          <w:ilvl w:val="0"/>
          <w:numId w:val="642"/>
        </w:numPr>
      </w:pPr>
      <w:r w:rsidRPr="009507BC">
        <w:t>Clamped surfaces in contact are treated as class A or B in accordance with EN</w:t>
      </w:r>
      <w:r w:rsidR="00460A67">
        <w:t> </w:t>
      </w:r>
      <w:r w:rsidRPr="009507BC">
        <w:t>1090-2</w:t>
      </w:r>
      <w:r w:rsidR="00460A67">
        <w:t>.</w:t>
      </w:r>
    </w:p>
    <w:p w14:paraId="77E463DB" w14:textId="4584F854" w:rsidR="00821B21" w:rsidRPr="009507BC" w:rsidRDefault="00821B21" w:rsidP="00724E4E">
      <w:pPr>
        <w:pStyle w:val="Clause"/>
      </w:pPr>
      <w:r w:rsidRPr="009507BC">
        <w:t>In all DC, bolted joints in simple tension should be Category E of prEN</w:t>
      </w:r>
      <w:r w:rsidR="00460A67">
        <w:t> </w:t>
      </w:r>
      <w:r w:rsidRPr="009507BC">
        <w:t>1993-1-8</w:t>
      </w:r>
      <w:r w:rsidR="004D4FF0">
        <w:t>:2021, 5.4.1(2)b)</w:t>
      </w:r>
      <w:r w:rsidRPr="009507BC">
        <w:t>.</w:t>
      </w:r>
    </w:p>
    <w:p w14:paraId="0FD7C9E3" w14:textId="7D20411E" w:rsidR="00821B21" w:rsidRDefault="00821B21" w:rsidP="00724E4E">
      <w:pPr>
        <w:pStyle w:val="Clause"/>
      </w:pPr>
      <w:r w:rsidRPr="00132C1E">
        <w:t>Hybrid joints with both bolts and welds either in shear or in tension should not be used in seismic zones unless action effects can be resisted by the welded connection alone.</w:t>
      </w:r>
    </w:p>
    <w:p w14:paraId="6468D0B8" w14:textId="0F818537" w:rsidR="00821B21" w:rsidRDefault="00821B21" w:rsidP="00724E4E">
      <w:pPr>
        <w:pStyle w:val="Clause"/>
      </w:pPr>
      <w:r w:rsidRPr="00132C1E">
        <w:t>For bolted shear connections, the design shear resistance of the bolts should not be less than the design bearing resistance in at least one of the connected plates. In addition, bolted joints in shear should have end distances in the line of seismic force not less than two bolt diamet</w:t>
      </w:r>
      <w:r>
        <w:t>re</w:t>
      </w:r>
      <w:r w:rsidRPr="00132C1E">
        <w:t>s when the bearing force in the seismic combination of actions exceeds 75</w:t>
      </w:r>
      <w:r w:rsidR="007D7E6D">
        <w:t> </w:t>
      </w:r>
      <w:r w:rsidRPr="00132C1E">
        <w:t>% of the bearing resistance.</w:t>
      </w:r>
    </w:p>
    <w:p w14:paraId="241C1915" w14:textId="18F9DC6D" w:rsidR="00821B21" w:rsidRDefault="00821B21" w:rsidP="00724E4E">
      <w:pPr>
        <w:pStyle w:val="Clause"/>
      </w:pPr>
      <w:r w:rsidRPr="00132C1E">
        <w:t>The resistance and ductility of members and their connections under cyclic loading should be demonstrated by tests.</w:t>
      </w:r>
    </w:p>
    <w:p w14:paraId="64FB063B" w14:textId="710E432A" w:rsidR="00821B21" w:rsidRDefault="00821B21" w:rsidP="00634FD1">
      <w:pPr>
        <w:pStyle w:val="Notetext"/>
      </w:pPr>
      <w:r w:rsidRPr="00132C1E">
        <w:t>NOTE</w:t>
      </w:r>
      <w:r w:rsidRPr="003422A2">
        <w:tab/>
        <w:t>prCEN/TS</w:t>
      </w:r>
      <w:r w:rsidR="00460A67">
        <w:t> </w:t>
      </w:r>
      <w:r w:rsidRPr="003422A2">
        <w:t>1998-</w:t>
      </w:r>
      <w:r w:rsidR="00460A67">
        <w:t xml:space="preserve">1-101 </w:t>
      </w:r>
      <w:r w:rsidRPr="00132C1E">
        <w:t>gives a loading protocol and acceptance criteria for such tests.</w:t>
      </w:r>
    </w:p>
    <w:p w14:paraId="0D2AE9D7" w14:textId="118C766A" w:rsidR="00821B21" w:rsidRDefault="00821B21" w:rsidP="00724E4E">
      <w:pPr>
        <w:pStyle w:val="Clause"/>
      </w:pPr>
      <w:r w:rsidRPr="009507BC">
        <w:t>Past test results from the literature and refined numerical simulations as defined in pr</w:t>
      </w:r>
      <w:r w:rsidR="00C30FF9">
        <w:t>EN 1</w:t>
      </w:r>
      <w:r w:rsidRPr="009507BC">
        <w:t>993</w:t>
      </w:r>
      <w:r w:rsidR="007D7E6D">
        <w:noBreakHyphen/>
      </w:r>
      <w:r w:rsidRPr="009507BC">
        <w:t>1</w:t>
      </w:r>
      <w:r w:rsidR="007D7E6D">
        <w:noBreakHyphen/>
      </w:r>
      <w:r w:rsidRPr="009507BC">
        <w:t>14</w:t>
      </w:r>
      <w:r w:rsidR="009F3708">
        <w:t xml:space="preserve"> </w:t>
      </w:r>
      <w:r w:rsidRPr="009507BC">
        <w:t>may</w:t>
      </w:r>
      <w:r w:rsidRPr="00132C1E">
        <w:t xml:space="preserve"> be used to demonstrate the effectiveness of the designed partial and full-strength connections in or adjacent to dissipative zones of DC2 and DC3 structures.</w:t>
      </w:r>
    </w:p>
    <w:p w14:paraId="42599FDE" w14:textId="796EB2A7" w:rsidR="00821B21" w:rsidRPr="00132C1E" w:rsidRDefault="00821B21" w:rsidP="00724E4E">
      <w:pPr>
        <w:pStyle w:val="Clause"/>
      </w:pPr>
      <w:r w:rsidRPr="00132C1E">
        <w:t>Experimental validation for partial and full-strength connections may be omitted</w:t>
      </w:r>
      <w:r w:rsidRPr="00132C1E" w:rsidDel="005412D0">
        <w:t xml:space="preserve"> </w:t>
      </w:r>
      <w:r w:rsidRPr="00132C1E">
        <w:t>if prequalified connections are used.</w:t>
      </w:r>
    </w:p>
    <w:p w14:paraId="0356DB6C" w14:textId="657742A8" w:rsidR="00821B21" w:rsidRDefault="00821B21" w:rsidP="00634FD1">
      <w:pPr>
        <w:pStyle w:val="Notetext"/>
      </w:pPr>
      <w:r w:rsidRPr="00132C1E">
        <w:t>NOTE</w:t>
      </w:r>
      <w:r w:rsidRPr="00132C1E">
        <w:tab/>
      </w:r>
      <w:r w:rsidRPr="00867476">
        <w:t>Annex E gives complementary</w:t>
      </w:r>
      <w:r w:rsidRPr="00132C1E">
        <w:t xml:space="preserve"> rules on seismic prequalification of beam-to-column joints and design rules for gusset connections of braced structures.</w:t>
      </w:r>
    </w:p>
    <w:p w14:paraId="362C748F" w14:textId="50670943" w:rsidR="00821B21" w:rsidRPr="007E6F67" w:rsidRDefault="00821B21" w:rsidP="00634FD1">
      <w:pPr>
        <w:pStyle w:val="Tabletitle"/>
      </w:pPr>
      <w:r w:rsidRPr="00132C1E">
        <w:t xml:space="preserve">Table </w:t>
      </w:r>
      <w:r w:rsidR="00634FD1">
        <w:t>11</w:t>
      </w:r>
      <w:r w:rsidRPr="003422A2">
        <w:t>.</w:t>
      </w:r>
      <w:r w:rsidR="00E832F3">
        <w:t>10</w:t>
      </w:r>
      <w:r w:rsidRPr="003422A2">
        <w:t> </w:t>
      </w:r>
      <w:r w:rsidRPr="00132C1E">
        <w:t xml:space="preserve">— Overstrength factor </w:t>
      </w:r>
      <w:r w:rsidRPr="00D1484A">
        <w:rPr>
          <w:rFonts w:ascii="Symbol" w:hAnsi="Symbol" w:cs="Arial"/>
          <w:i/>
        </w:rPr>
        <w:t></w:t>
      </w:r>
      <w:r w:rsidRPr="00D1484A">
        <w:rPr>
          <w:vertAlign w:val="subscript"/>
        </w:rPr>
        <w:t>sh</w:t>
      </w:r>
      <w:r w:rsidRPr="00D1484A">
        <w:t xml:space="preserve"> accounting for hardening of the dissipative zones</w:t>
      </w:r>
    </w:p>
    <w:tbl>
      <w:tblPr>
        <w:tblStyle w:val="TableGrid"/>
        <w:tblW w:w="0" w:type="auto"/>
        <w:jc w:val="center"/>
        <w:tblLook w:val="04A0" w:firstRow="1" w:lastRow="0" w:firstColumn="1" w:lastColumn="0" w:noHBand="0" w:noVBand="1"/>
      </w:tblPr>
      <w:tblGrid>
        <w:gridCol w:w="2548"/>
        <w:gridCol w:w="2091"/>
        <w:gridCol w:w="3275"/>
        <w:gridCol w:w="1827"/>
      </w:tblGrid>
      <w:tr w:rsidR="00821B21" w:rsidRPr="00867476" w14:paraId="66EA90AE" w14:textId="77777777" w:rsidTr="007D7E6D">
        <w:trPr>
          <w:tblHeader/>
          <w:jc w:val="center"/>
        </w:trPr>
        <w:tc>
          <w:tcPr>
            <w:tcW w:w="2580" w:type="dxa"/>
            <w:tcMar>
              <w:left w:w="28" w:type="dxa"/>
              <w:right w:w="28" w:type="dxa"/>
            </w:tcMar>
            <w:vAlign w:val="center"/>
          </w:tcPr>
          <w:p w14:paraId="62805FDF" w14:textId="0DE1E689" w:rsidR="00821B21" w:rsidRPr="00867476" w:rsidRDefault="00821B21" w:rsidP="00867476">
            <w:pPr>
              <w:pStyle w:val="Tablebody"/>
              <w:rPr>
                <w:b/>
                <w:bCs/>
              </w:rPr>
            </w:pPr>
            <w:r w:rsidRPr="00867476">
              <w:rPr>
                <w:b/>
                <w:bCs/>
              </w:rPr>
              <w:t xml:space="preserve">Structural </w:t>
            </w:r>
            <w:r w:rsidR="00867476" w:rsidRPr="00867476">
              <w:rPr>
                <w:b/>
                <w:bCs/>
              </w:rPr>
              <w:t>t</w:t>
            </w:r>
            <w:r w:rsidRPr="00867476">
              <w:rPr>
                <w:b/>
                <w:bCs/>
              </w:rPr>
              <w:t>ype</w:t>
            </w:r>
          </w:p>
        </w:tc>
        <w:tc>
          <w:tcPr>
            <w:tcW w:w="2109" w:type="dxa"/>
            <w:tcMar>
              <w:left w:w="28" w:type="dxa"/>
              <w:right w:w="28" w:type="dxa"/>
            </w:tcMar>
            <w:vAlign w:val="center"/>
          </w:tcPr>
          <w:p w14:paraId="71EAEA9D" w14:textId="2E8BCB3D" w:rsidR="00821B21" w:rsidRPr="00867476" w:rsidRDefault="00821B21" w:rsidP="00867476">
            <w:pPr>
              <w:pStyle w:val="Tablebody"/>
              <w:rPr>
                <w:b/>
                <w:bCs/>
              </w:rPr>
            </w:pPr>
            <w:r w:rsidRPr="00867476">
              <w:rPr>
                <w:b/>
                <w:bCs/>
              </w:rPr>
              <w:t xml:space="preserve">Dissipative </w:t>
            </w:r>
            <w:r w:rsidR="00867476" w:rsidRPr="00867476">
              <w:rPr>
                <w:b/>
                <w:bCs/>
              </w:rPr>
              <w:t>z</w:t>
            </w:r>
            <w:r w:rsidRPr="00867476">
              <w:rPr>
                <w:b/>
                <w:bCs/>
              </w:rPr>
              <w:t>ones</w:t>
            </w:r>
          </w:p>
        </w:tc>
        <w:tc>
          <w:tcPr>
            <w:tcW w:w="3275" w:type="dxa"/>
            <w:tcMar>
              <w:left w:w="28" w:type="dxa"/>
              <w:right w:w="28" w:type="dxa"/>
            </w:tcMar>
            <w:vAlign w:val="center"/>
          </w:tcPr>
          <w:p w14:paraId="5C378BDC" w14:textId="6848FE3C" w:rsidR="00821B21" w:rsidRPr="00867476" w:rsidRDefault="00821B21" w:rsidP="00867476">
            <w:pPr>
              <w:pStyle w:val="Tablebody"/>
              <w:rPr>
                <w:b/>
                <w:bCs/>
              </w:rPr>
            </w:pPr>
            <w:r w:rsidRPr="00867476">
              <w:rPr>
                <w:b/>
                <w:bCs/>
              </w:rPr>
              <w:t xml:space="preserve">Plastic </w:t>
            </w:r>
            <w:r w:rsidR="00867476" w:rsidRPr="00867476">
              <w:rPr>
                <w:b/>
                <w:bCs/>
              </w:rPr>
              <w:t>m</w:t>
            </w:r>
            <w:r w:rsidRPr="00867476">
              <w:rPr>
                <w:b/>
                <w:bCs/>
              </w:rPr>
              <w:t>echanism</w:t>
            </w:r>
          </w:p>
        </w:tc>
        <w:tc>
          <w:tcPr>
            <w:tcW w:w="1843" w:type="dxa"/>
            <w:tcMar>
              <w:left w:w="28" w:type="dxa"/>
              <w:right w:w="28" w:type="dxa"/>
            </w:tcMar>
            <w:vAlign w:val="center"/>
          </w:tcPr>
          <w:p w14:paraId="59FD5674" w14:textId="77777777" w:rsidR="00821B21" w:rsidRPr="00867476" w:rsidRDefault="00821B21" w:rsidP="00867476">
            <w:pPr>
              <w:pStyle w:val="Tablebody"/>
              <w:jc w:val="center"/>
              <w:rPr>
                <w:b/>
                <w:bCs/>
              </w:rPr>
            </w:pPr>
            <w:r w:rsidRPr="00867476">
              <w:rPr>
                <w:b/>
                <w:bCs/>
                <w:i/>
                <w:iCs/>
              </w:rPr>
              <w:t>ω</w:t>
            </w:r>
            <w:r w:rsidRPr="00867476">
              <w:rPr>
                <w:b/>
                <w:bCs/>
                <w:vertAlign w:val="subscript"/>
              </w:rPr>
              <w:t>sh</w:t>
            </w:r>
          </w:p>
        </w:tc>
      </w:tr>
      <w:tr w:rsidR="00821B21" w:rsidRPr="00634FD1" w14:paraId="2AA66707" w14:textId="77777777" w:rsidTr="00634FD1">
        <w:trPr>
          <w:jc w:val="center"/>
        </w:trPr>
        <w:tc>
          <w:tcPr>
            <w:tcW w:w="2580" w:type="dxa"/>
            <w:vMerge w:val="restart"/>
            <w:tcMar>
              <w:left w:w="28" w:type="dxa"/>
              <w:right w:w="28" w:type="dxa"/>
            </w:tcMar>
            <w:vAlign w:val="center"/>
          </w:tcPr>
          <w:p w14:paraId="4FBD5CAB" w14:textId="77777777" w:rsidR="00821B21" w:rsidRPr="00634FD1" w:rsidRDefault="00821B21" w:rsidP="00867476">
            <w:pPr>
              <w:pStyle w:val="Tablebody"/>
            </w:pPr>
            <w:r w:rsidRPr="00634FD1">
              <w:t>Moment resisting frames</w:t>
            </w:r>
          </w:p>
        </w:tc>
        <w:tc>
          <w:tcPr>
            <w:tcW w:w="2109" w:type="dxa"/>
            <w:tcMar>
              <w:left w:w="28" w:type="dxa"/>
              <w:right w:w="28" w:type="dxa"/>
            </w:tcMar>
            <w:vAlign w:val="center"/>
          </w:tcPr>
          <w:p w14:paraId="2E98F6D2" w14:textId="77777777" w:rsidR="00821B21" w:rsidRPr="00634FD1" w:rsidRDefault="00821B21" w:rsidP="00867476">
            <w:pPr>
              <w:pStyle w:val="Tablebody"/>
            </w:pPr>
            <w:r w:rsidRPr="00634FD1">
              <w:t>beams</w:t>
            </w:r>
          </w:p>
        </w:tc>
        <w:tc>
          <w:tcPr>
            <w:tcW w:w="3275" w:type="dxa"/>
            <w:vMerge w:val="restart"/>
            <w:tcMar>
              <w:left w:w="28" w:type="dxa"/>
              <w:right w:w="28" w:type="dxa"/>
            </w:tcMar>
            <w:vAlign w:val="center"/>
          </w:tcPr>
          <w:p w14:paraId="3D41A2F1" w14:textId="77777777" w:rsidR="00821B21" w:rsidRPr="00634FD1" w:rsidRDefault="00821B21" w:rsidP="00867476">
            <w:pPr>
              <w:pStyle w:val="Tablebody"/>
            </w:pPr>
            <w:r w:rsidRPr="00634FD1">
              <w:t>bending</w:t>
            </w:r>
          </w:p>
        </w:tc>
        <w:tc>
          <w:tcPr>
            <w:tcW w:w="1843" w:type="dxa"/>
            <w:vMerge w:val="restart"/>
            <w:tcMar>
              <w:left w:w="28" w:type="dxa"/>
              <w:right w:w="28" w:type="dxa"/>
            </w:tcMar>
            <w:vAlign w:val="center"/>
          </w:tcPr>
          <w:p w14:paraId="1A14CA6D" w14:textId="77777777" w:rsidR="00821B21" w:rsidRPr="00634FD1" w:rsidRDefault="009B5CEC" w:rsidP="00867476">
            <w:pPr>
              <w:pStyle w:val="Tablebody"/>
              <w:jc w:val="center"/>
            </w:pPr>
            <m:oMathPara>
              <m:oMathParaPr>
                <m:jc m:val="center"/>
              </m:oMathParaPr>
              <m:oMath>
                <m:f>
                  <m:fPr>
                    <m:ctrlPr>
                      <w:rPr>
                        <w:rFonts w:ascii="Cambria Math" w:hAnsi="Cambria Math"/>
                      </w:rPr>
                    </m:ctrlPr>
                  </m:fPr>
                  <m:num>
                    <m:d>
                      <m:dPr>
                        <m:ctrlPr>
                          <w:rPr>
                            <w:rFonts w:ascii="Cambria Math" w:hAnsi="Cambria Math"/>
                          </w:rPr>
                        </m:ctrlPr>
                      </m:dPr>
                      <m:e>
                        <m:sSub>
                          <m:sSubPr>
                            <m:ctrlPr>
                              <w:rPr>
                                <w:rFonts w:ascii="Cambria Math" w:hAnsi="Cambria Math"/>
                              </w:rPr>
                            </m:ctrlPr>
                          </m:sSubPr>
                          <m:e>
                            <m:r>
                              <w:rPr>
                                <w:rFonts w:ascii="Cambria Math" w:hAnsi="Cambria Math"/>
                              </w:rPr>
                              <m:t>f</m:t>
                            </m:r>
                          </m:e>
                          <m:sub>
                            <m:r>
                              <m:rPr>
                                <m:sty m:val="p"/>
                              </m:rPr>
                              <w:rPr>
                                <w:rFonts w:ascii="Cambria Math" w:hAnsi="Cambria Math"/>
                              </w:rPr>
                              <m:t>y</m:t>
                            </m:r>
                          </m:sub>
                        </m:sSub>
                        <m:r>
                          <m:rPr>
                            <m:sty m:val="p"/>
                          </m:rPr>
                          <w:rPr>
                            <w:rFonts w:ascii="Cambria Math" w:hAnsi="Cambria Math"/>
                          </w:rPr>
                          <m:t>+</m:t>
                        </m:r>
                        <m:sSub>
                          <m:sSubPr>
                            <m:ctrlPr>
                              <w:rPr>
                                <w:rFonts w:ascii="Cambria Math" w:hAnsi="Cambria Math"/>
                              </w:rPr>
                            </m:ctrlPr>
                          </m:sSubPr>
                          <m:e>
                            <m:r>
                              <w:rPr>
                                <w:rFonts w:ascii="Cambria Math" w:hAnsi="Cambria Math"/>
                              </w:rPr>
                              <m:t>f</m:t>
                            </m:r>
                          </m:e>
                          <m:sub>
                            <m:r>
                              <m:rPr>
                                <m:sty m:val="p"/>
                              </m:rPr>
                              <w:rPr>
                                <w:rFonts w:ascii="Cambria Math" w:hAnsi="Cambria Math"/>
                              </w:rPr>
                              <m:t>u</m:t>
                            </m:r>
                          </m:sub>
                        </m:sSub>
                      </m:e>
                    </m:d>
                  </m:num>
                  <m:den>
                    <m:r>
                      <m:rPr>
                        <m:sty m:val="p"/>
                      </m:rPr>
                      <w:rPr>
                        <w:rFonts w:ascii="Cambria Math" w:hAnsi="Cambria Math"/>
                      </w:rPr>
                      <m:t>2</m:t>
                    </m:r>
                    <m:sSub>
                      <m:sSubPr>
                        <m:ctrlPr>
                          <w:rPr>
                            <w:rFonts w:ascii="Cambria Math" w:hAnsi="Cambria Math"/>
                          </w:rPr>
                        </m:ctrlPr>
                      </m:sSubPr>
                      <m:e>
                        <m:r>
                          <w:rPr>
                            <w:rFonts w:ascii="Cambria Math" w:hAnsi="Cambria Math"/>
                          </w:rPr>
                          <m:t>f</m:t>
                        </m:r>
                      </m:e>
                      <m:sub>
                        <m:r>
                          <m:rPr>
                            <m:sty m:val="p"/>
                          </m:rPr>
                          <w:rPr>
                            <w:rFonts w:ascii="Cambria Math" w:hAnsi="Cambria Math"/>
                          </w:rPr>
                          <m:t>y</m:t>
                        </m:r>
                      </m:sub>
                    </m:sSub>
                  </m:den>
                </m:f>
                <m:r>
                  <m:rPr>
                    <m:sty m:val="p"/>
                  </m:rPr>
                  <w:rPr>
                    <w:rFonts w:ascii="Cambria Math" w:hAnsi="Cambria Math"/>
                  </w:rPr>
                  <m:t>≤1,2</m:t>
                </m:r>
              </m:oMath>
            </m:oMathPara>
          </w:p>
        </w:tc>
      </w:tr>
      <w:tr w:rsidR="00821B21" w:rsidRPr="00634FD1" w14:paraId="6466ECA5" w14:textId="77777777" w:rsidTr="00634FD1">
        <w:trPr>
          <w:jc w:val="center"/>
        </w:trPr>
        <w:tc>
          <w:tcPr>
            <w:tcW w:w="2580" w:type="dxa"/>
            <w:vMerge/>
            <w:tcMar>
              <w:left w:w="28" w:type="dxa"/>
              <w:right w:w="28" w:type="dxa"/>
            </w:tcMar>
            <w:vAlign w:val="center"/>
          </w:tcPr>
          <w:p w14:paraId="4CCB508F" w14:textId="77777777" w:rsidR="00821B21" w:rsidRPr="00634FD1" w:rsidRDefault="00821B21" w:rsidP="00867476">
            <w:pPr>
              <w:pStyle w:val="Tablebody"/>
            </w:pPr>
          </w:p>
        </w:tc>
        <w:tc>
          <w:tcPr>
            <w:tcW w:w="2109" w:type="dxa"/>
            <w:tcMar>
              <w:left w:w="28" w:type="dxa"/>
              <w:right w:w="28" w:type="dxa"/>
            </w:tcMar>
            <w:vAlign w:val="center"/>
          </w:tcPr>
          <w:p w14:paraId="2EDE4FB3" w14:textId="77777777" w:rsidR="00821B21" w:rsidRPr="00634FD1" w:rsidRDefault="00821B21" w:rsidP="00867476">
            <w:pPr>
              <w:pStyle w:val="Tablebody"/>
            </w:pPr>
            <w:r w:rsidRPr="00634FD1">
              <w:t>yielding connections</w:t>
            </w:r>
          </w:p>
        </w:tc>
        <w:tc>
          <w:tcPr>
            <w:tcW w:w="3275" w:type="dxa"/>
            <w:vMerge/>
            <w:tcMar>
              <w:left w:w="28" w:type="dxa"/>
              <w:right w:w="28" w:type="dxa"/>
            </w:tcMar>
            <w:vAlign w:val="center"/>
          </w:tcPr>
          <w:p w14:paraId="21A44006" w14:textId="77777777" w:rsidR="00821B21" w:rsidRPr="00634FD1" w:rsidRDefault="00821B21" w:rsidP="00867476">
            <w:pPr>
              <w:pStyle w:val="Tablebody"/>
            </w:pPr>
          </w:p>
        </w:tc>
        <w:tc>
          <w:tcPr>
            <w:tcW w:w="1843" w:type="dxa"/>
            <w:vMerge/>
            <w:tcMar>
              <w:left w:w="28" w:type="dxa"/>
              <w:right w:w="28" w:type="dxa"/>
            </w:tcMar>
            <w:vAlign w:val="center"/>
          </w:tcPr>
          <w:p w14:paraId="3538F049" w14:textId="77777777" w:rsidR="00821B21" w:rsidRPr="00634FD1" w:rsidRDefault="00821B21" w:rsidP="00867476">
            <w:pPr>
              <w:pStyle w:val="Tablebody"/>
              <w:jc w:val="center"/>
            </w:pPr>
          </w:p>
        </w:tc>
      </w:tr>
      <w:tr w:rsidR="00821B21" w:rsidRPr="00634FD1" w14:paraId="35FE582B" w14:textId="77777777" w:rsidTr="00634FD1">
        <w:trPr>
          <w:jc w:val="center"/>
        </w:trPr>
        <w:tc>
          <w:tcPr>
            <w:tcW w:w="2580" w:type="dxa"/>
            <w:vMerge/>
            <w:tcMar>
              <w:left w:w="28" w:type="dxa"/>
              <w:right w:w="28" w:type="dxa"/>
            </w:tcMar>
            <w:vAlign w:val="center"/>
          </w:tcPr>
          <w:p w14:paraId="5B9164C2" w14:textId="77777777" w:rsidR="00821B21" w:rsidRPr="00634FD1" w:rsidRDefault="00821B21" w:rsidP="00867476">
            <w:pPr>
              <w:pStyle w:val="Tablebody"/>
            </w:pPr>
          </w:p>
        </w:tc>
        <w:tc>
          <w:tcPr>
            <w:tcW w:w="2109" w:type="dxa"/>
            <w:tcMar>
              <w:left w:w="28" w:type="dxa"/>
              <w:right w:w="28" w:type="dxa"/>
            </w:tcMar>
            <w:vAlign w:val="center"/>
          </w:tcPr>
          <w:p w14:paraId="73D3591D" w14:textId="77777777" w:rsidR="00821B21" w:rsidRPr="00634FD1" w:rsidRDefault="00821B21" w:rsidP="00867476">
            <w:pPr>
              <w:pStyle w:val="Tablebody"/>
            </w:pPr>
            <w:r w:rsidRPr="00634FD1">
              <w:t>columns at base</w:t>
            </w:r>
          </w:p>
        </w:tc>
        <w:tc>
          <w:tcPr>
            <w:tcW w:w="3275" w:type="dxa"/>
            <w:vMerge/>
            <w:tcMar>
              <w:left w:w="28" w:type="dxa"/>
              <w:right w:w="28" w:type="dxa"/>
            </w:tcMar>
            <w:vAlign w:val="center"/>
          </w:tcPr>
          <w:p w14:paraId="0E0EAA4B" w14:textId="77777777" w:rsidR="00821B21" w:rsidRPr="00634FD1" w:rsidRDefault="00821B21" w:rsidP="00867476">
            <w:pPr>
              <w:pStyle w:val="Tablebody"/>
            </w:pPr>
          </w:p>
        </w:tc>
        <w:tc>
          <w:tcPr>
            <w:tcW w:w="1843" w:type="dxa"/>
            <w:vMerge/>
            <w:tcMar>
              <w:left w:w="28" w:type="dxa"/>
              <w:right w:w="28" w:type="dxa"/>
            </w:tcMar>
            <w:vAlign w:val="center"/>
          </w:tcPr>
          <w:p w14:paraId="63A7C35B" w14:textId="77777777" w:rsidR="00821B21" w:rsidRPr="00634FD1" w:rsidRDefault="00821B21" w:rsidP="00867476">
            <w:pPr>
              <w:pStyle w:val="Tablebody"/>
              <w:jc w:val="center"/>
            </w:pPr>
          </w:p>
        </w:tc>
      </w:tr>
      <w:tr w:rsidR="00821B21" w:rsidRPr="00634FD1" w14:paraId="628982EB" w14:textId="77777777" w:rsidTr="00634FD1">
        <w:trPr>
          <w:jc w:val="center"/>
        </w:trPr>
        <w:tc>
          <w:tcPr>
            <w:tcW w:w="2580" w:type="dxa"/>
            <w:vMerge/>
            <w:tcMar>
              <w:left w:w="28" w:type="dxa"/>
              <w:right w:w="28" w:type="dxa"/>
            </w:tcMar>
            <w:vAlign w:val="center"/>
          </w:tcPr>
          <w:p w14:paraId="798948DA" w14:textId="77777777" w:rsidR="00821B21" w:rsidRPr="00634FD1" w:rsidRDefault="00821B21" w:rsidP="00867476">
            <w:pPr>
              <w:pStyle w:val="Tablebody"/>
            </w:pPr>
          </w:p>
        </w:tc>
        <w:tc>
          <w:tcPr>
            <w:tcW w:w="2109" w:type="dxa"/>
            <w:tcMar>
              <w:left w:w="28" w:type="dxa"/>
              <w:right w:w="28" w:type="dxa"/>
            </w:tcMar>
            <w:vAlign w:val="center"/>
          </w:tcPr>
          <w:p w14:paraId="22BCCE3B" w14:textId="77777777" w:rsidR="00821B21" w:rsidRPr="00634FD1" w:rsidRDefault="00821B21" w:rsidP="00867476">
            <w:pPr>
              <w:pStyle w:val="Tablebody"/>
            </w:pPr>
            <w:r w:rsidRPr="00634FD1">
              <w:t>friction connections</w:t>
            </w:r>
          </w:p>
        </w:tc>
        <w:tc>
          <w:tcPr>
            <w:tcW w:w="3275" w:type="dxa"/>
            <w:tcMar>
              <w:left w:w="28" w:type="dxa"/>
              <w:right w:w="28" w:type="dxa"/>
            </w:tcMar>
            <w:vAlign w:val="center"/>
          </w:tcPr>
          <w:p w14:paraId="40406ACD" w14:textId="77777777" w:rsidR="00821B21" w:rsidRPr="00634FD1" w:rsidRDefault="00821B21" w:rsidP="00867476">
            <w:pPr>
              <w:pStyle w:val="Tablebody"/>
            </w:pPr>
            <w:r w:rsidRPr="00634FD1">
              <w:t>friction</w:t>
            </w:r>
          </w:p>
        </w:tc>
        <w:tc>
          <w:tcPr>
            <w:tcW w:w="1843" w:type="dxa"/>
            <w:tcMar>
              <w:left w:w="28" w:type="dxa"/>
              <w:right w:w="28" w:type="dxa"/>
            </w:tcMar>
            <w:vAlign w:val="center"/>
          </w:tcPr>
          <w:p w14:paraId="024E0B40" w14:textId="45511B25" w:rsidR="00821B21" w:rsidRPr="00634FD1" w:rsidRDefault="00821B21" w:rsidP="00867476">
            <w:pPr>
              <w:pStyle w:val="Tablebody"/>
              <w:jc w:val="center"/>
              <w:rPr>
                <w:lang w:val="en-US"/>
              </w:rPr>
            </w:pPr>
            <w:r w:rsidRPr="00634FD1">
              <w:rPr>
                <w:lang w:val="en-US"/>
              </w:rPr>
              <w:t>1,3</w:t>
            </w:r>
            <w:r w:rsidRPr="00634FD1">
              <w:rPr>
                <w:i/>
                <w:iCs/>
              </w:rPr>
              <w:t>ω</w:t>
            </w:r>
            <w:r w:rsidRPr="00634FD1">
              <w:rPr>
                <w:vertAlign w:val="subscript"/>
                <w:lang w:val="en-US"/>
              </w:rPr>
              <w:t xml:space="preserve">sr </w:t>
            </w:r>
            <w:r w:rsidRPr="00634FD1">
              <w:rPr>
                <w:i/>
                <w:iCs/>
              </w:rPr>
              <w:t>ω</w:t>
            </w:r>
            <w:r w:rsidRPr="00634FD1">
              <w:rPr>
                <w:vertAlign w:val="subscript"/>
              </w:rPr>
              <w:t>μ</w:t>
            </w:r>
            <w:r w:rsidRPr="00634FD1">
              <w:rPr>
                <w:lang w:val="en-US"/>
              </w:rPr>
              <w:t xml:space="preserve"> ≤ 2,2</w:t>
            </w:r>
          </w:p>
          <w:p w14:paraId="07124263" w14:textId="2176EB25" w:rsidR="00821B21" w:rsidRPr="00634FD1" w:rsidRDefault="00821B21" w:rsidP="00867476">
            <w:pPr>
              <w:pStyle w:val="Tablebody"/>
              <w:jc w:val="center"/>
              <w:rPr>
                <w:lang w:val="en-US"/>
              </w:rPr>
            </w:pPr>
            <w:r w:rsidRPr="00634FD1">
              <w:rPr>
                <w:i/>
                <w:iCs/>
              </w:rPr>
              <w:t>ω</w:t>
            </w:r>
            <w:r w:rsidRPr="00634FD1">
              <w:rPr>
                <w:vertAlign w:val="subscript"/>
                <w:lang w:val="en-US"/>
              </w:rPr>
              <w:t>sr</w:t>
            </w:r>
            <w:r w:rsidRPr="00634FD1">
              <w:rPr>
                <w:lang w:val="en-US"/>
              </w:rPr>
              <w:t xml:space="preserve"> and</w:t>
            </w:r>
            <w:r w:rsidRPr="00634FD1">
              <w:rPr>
                <w:vertAlign w:val="subscript"/>
                <w:lang w:val="en-US"/>
              </w:rPr>
              <w:t xml:space="preserve"> </w:t>
            </w:r>
            <w:r w:rsidRPr="00634FD1">
              <w:rPr>
                <w:i/>
                <w:iCs/>
              </w:rPr>
              <w:t>ω</w:t>
            </w:r>
            <w:r w:rsidRPr="00634FD1">
              <w:rPr>
                <w:vertAlign w:val="subscript"/>
              </w:rPr>
              <w:t>μ</w:t>
            </w:r>
            <w:r w:rsidRPr="00634FD1">
              <w:rPr>
                <w:lang w:val="en-US"/>
              </w:rPr>
              <w:t xml:space="preserve"> as defined in Annex E</w:t>
            </w:r>
          </w:p>
        </w:tc>
      </w:tr>
      <w:tr w:rsidR="00821B21" w:rsidRPr="00634FD1" w14:paraId="410559A2" w14:textId="77777777" w:rsidTr="00634FD1">
        <w:trPr>
          <w:jc w:val="center"/>
        </w:trPr>
        <w:tc>
          <w:tcPr>
            <w:tcW w:w="2580" w:type="dxa"/>
            <w:vMerge w:val="restart"/>
            <w:tcMar>
              <w:left w:w="28" w:type="dxa"/>
              <w:right w:w="28" w:type="dxa"/>
            </w:tcMar>
            <w:vAlign w:val="center"/>
          </w:tcPr>
          <w:p w14:paraId="50704F9F" w14:textId="77777777" w:rsidR="00821B21" w:rsidRPr="00634FD1" w:rsidRDefault="00821B21" w:rsidP="00867476">
            <w:pPr>
              <w:pStyle w:val="Tablebody"/>
            </w:pPr>
            <w:r w:rsidRPr="00634FD1">
              <w:t>Frames with concentric bracings (simple and dual)</w:t>
            </w:r>
          </w:p>
        </w:tc>
        <w:tc>
          <w:tcPr>
            <w:tcW w:w="2109" w:type="dxa"/>
            <w:tcMar>
              <w:left w:w="28" w:type="dxa"/>
              <w:right w:w="28" w:type="dxa"/>
            </w:tcMar>
            <w:vAlign w:val="center"/>
          </w:tcPr>
          <w:p w14:paraId="7FAB64A5" w14:textId="77777777" w:rsidR="00821B21" w:rsidRPr="00634FD1" w:rsidRDefault="00821B21" w:rsidP="00867476">
            <w:pPr>
              <w:pStyle w:val="Tablebody"/>
            </w:pPr>
            <w:r w:rsidRPr="00634FD1">
              <w:t>diagonal members</w:t>
            </w:r>
          </w:p>
        </w:tc>
        <w:tc>
          <w:tcPr>
            <w:tcW w:w="3275" w:type="dxa"/>
            <w:tcMar>
              <w:left w:w="28" w:type="dxa"/>
              <w:right w:w="28" w:type="dxa"/>
            </w:tcMar>
            <w:vAlign w:val="center"/>
          </w:tcPr>
          <w:p w14:paraId="6D40FEA2" w14:textId="77777777" w:rsidR="00821B21" w:rsidRPr="00634FD1" w:rsidRDefault="00821B21" w:rsidP="00867476">
            <w:pPr>
              <w:pStyle w:val="Tablebody"/>
            </w:pPr>
            <w:r w:rsidRPr="00634FD1">
              <w:t>axial</w:t>
            </w:r>
          </w:p>
        </w:tc>
        <w:tc>
          <w:tcPr>
            <w:tcW w:w="1843" w:type="dxa"/>
            <w:tcMar>
              <w:left w:w="28" w:type="dxa"/>
              <w:right w:w="28" w:type="dxa"/>
            </w:tcMar>
            <w:vAlign w:val="center"/>
          </w:tcPr>
          <w:p w14:paraId="71756DE2" w14:textId="77777777" w:rsidR="00821B21" w:rsidRPr="00634FD1" w:rsidRDefault="00821B21" w:rsidP="00867476">
            <w:pPr>
              <w:pStyle w:val="Tablebody"/>
              <w:jc w:val="center"/>
            </w:pPr>
            <w:r w:rsidRPr="00634FD1">
              <w:t>1,1</w:t>
            </w:r>
          </w:p>
        </w:tc>
      </w:tr>
      <w:tr w:rsidR="00821B21" w:rsidRPr="00634FD1" w14:paraId="007E08A3" w14:textId="77777777" w:rsidTr="00634FD1">
        <w:trPr>
          <w:jc w:val="center"/>
        </w:trPr>
        <w:tc>
          <w:tcPr>
            <w:tcW w:w="2580" w:type="dxa"/>
            <w:vMerge/>
            <w:tcMar>
              <w:left w:w="28" w:type="dxa"/>
              <w:right w:w="28" w:type="dxa"/>
            </w:tcMar>
            <w:vAlign w:val="center"/>
          </w:tcPr>
          <w:p w14:paraId="054C704D" w14:textId="77777777" w:rsidR="00821B21" w:rsidRPr="00634FD1" w:rsidRDefault="00821B21" w:rsidP="00867476">
            <w:pPr>
              <w:pStyle w:val="Tablebody"/>
            </w:pPr>
          </w:p>
        </w:tc>
        <w:tc>
          <w:tcPr>
            <w:tcW w:w="2109" w:type="dxa"/>
            <w:tcMar>
              <w:left w:w="28" w:type="dxa"/>
              <w:right w:w="28" w:type="dxa"/>
            </w:tcMar>
            <w:vAlign w:val="center"/>
          </w:tcPr>
          <w:p w14:paraId="607CE248" w14:textId="77777777" w:rsidR="00821B21" w:rsidRPr="00634FD1" w:rsidRDefault="00821B21" w:rsidP="00867476">
            <w:pPr>
              <w:pStyle w:val="Tablebody"/>
            </w:pPr>
            <w:r w:rsidRPr="00634FD1">
              <w:t>all members</w:t>
            </w:r>
          </w:p>
        </w:tc>
        <w:tc>
          <w:tcPr>
            <w:tcW w:w="3275" w:type="dxa"/>
            <w:tcMar>
              <w:left w:w="28" w:type="dxa"/>
              <w:right w:w="28" w:type="dxa"/>
            </w:tcMar>
            <w:vAlign w:val="center"/>
          </w:tcPr>
          <w:p w14:paraId="3201D9B8" w14:textId="77777777" w:rsidR="00821B21" w:rsidRPr="00867476" w:rsidRDefault="00821B21" w:rsidP="00867476">
            <w:pPr>
              <w:pStyle w:val="Tablebody"/>
              <w:jc w:val="left"/>
            </w:pPr>
            <w:r w:rsidRPr="00867476">
              <w:t>bending (see 11.10.5 and 11.10.6)</w:t>
            </w:r>
          </w:p>
        </w:tc>
        <w:tc>
          <w:tcPr>
            <w:tcW w:w="1843" w:type="dxa"/>
            <w:tcMar>
              <w:left w:w="28" w:type="dxa"/>
              <w:right w:w="28" w:type="dxa"/>
            </w:tcMar>
            <w:vAlign w:val="center"/>
          </w:tcPr>
          <w:p w14:paraId="0C0A4176" w14:textId="77777777" w:rsidR="00821B21" w:rsidRPr="00634FD1" w:rsidRDefault="00821B21" w:rsidP="00867476">
            <w:pPr>
              <w:pStyle w:val="Tablebody"/>
              <w:jc w:val="center"/>
            </w:pPr>
            <w:r w:rsidRPr="00634FD1">
              <w:t>1,1</w:t>
            </w:r>
          </w:p>
        </w:tc>
      </w:tr>
      <w:tr w:rsidR="00821B21" w:rsidRPr="00634FD1" w14:paraId="15807F14" w14:textId="77777777" w:rsidTr="00634FD1">
        <w:trPr>
          <w:jc w:val="center"/>
        </w:trPr>
        <w:tc>
          <w:tcPr>
            <w:tcW w:w="2580" w:type="dxa"/>
            <w:vMerge/>
            <w:tcMar>
              <w:left w:w="28" w:type="dxa"/>
              <w:right w:w="28" w:type="dxa"/>
            </w:tcMar>
            <w:vAlign w:val="center"/>
          </w:tcPr>
          <w:p w14:paraId="7E1E149A" w14:textId="77777777" w:rsidR="00821B21" w:rsidRPr="00634FD1" w:rsidRDefault="00821B21" w:rsidP="00867476">
            <w:pPr>
              <w:pStyle w:val="Tablebody"/>
            </w:pPr>
          </w:p>
        </w:tc>
        <w:tc>
          <w:tcPr>
            <w:tcW w:w="2109" w:type="dxa"/>
            <w:vMerge w:val="restart"/>
            <w:tcMar>
              <w:left w:w="28" w:type="dxa"/>
              <w:right w:w="28" w:type="dxa"/>
            </w:tcMar>
            <w:vAlign w:val="center"/>
          </w:tcPr>
          <w:p w14:paraId="63094B69" w14:textId="77777777" w:rsidR="00821B21" w:rsidRPr="00634FD1" w:rsidRDefault="00821B21" w:rsidP="00867476">
            <w:pPr>
              <w:pStyle w:val="Tablebody"/>
            </w:pPr>
            <w:r w:rsidRPr="00634FD1">
              <w:t>dissipative connections</w:t>
            </w:r>
          </w:p>
        </w:tc>
        <w:tc>
          <w:tcPr>
            <w:tcW w:w="3275" w:type="dxa"/>
            <w:tcMar>
              <w:left w:w="28" w:type="dxa"/>
              <w:right w:w="28" w:type="dxa"/>
            </w:tcMar>
            <w:vAlign w:val="center"/>
          </w:tcPr>
          <w:p w14:paraId="769EDD13" w14:textId="77777777" w:rsidR="00821B21" w:rsidRPr="00634FD1" w:rsidRDefault="00821B21" w:rsidP="00867476">
            <w:pPr>
              <w:pStyle w:val="Tablebody"/>
            </w:pPr>
            <w:r w:rsidRPr="00634FD1">
              <w:t>axial</w:t>
            </w:r>
          </w:p>
        </w:tc>
        <w:tc>
          <w:tcPr>
            <w:tcW w:w="1843" w:type="dxa"/>
            <w:tcMar>
              <w:left w:w="28" w:type="dxa"/>
              <w:right w:w="28" w:type="dxa"/>
            </w:tcMar>
            <w:vAlign w:val="center"/>
          </w:tcPr>
          <w:p w14:paraId="47940B40" w14:textId="77777777" w:rsidR="00821B21" w:rsidRPr="00634FD1" w:rsidRDefault="00821B21" w:rsidP="00867476">
            <w:pPr>
              <w:pStyle w:val="Tablebody"/>
              <w:jc w:val="center"/>
            </w:pPr>
            <w:r w:rsidRPr="00634FD1">
              <w:t>1,1</w:t>
            </w:r>
          </w:p>
        </w:tc>
      </w:tr>
      <w:tr w:rsidR="00821B21" w:rsidRPr="00634FD1" w14:paraId="1C614D7B" w14:textId="77777777" w:rsidTr="00634FD1">
        <w:trPr>
          <w:jc w:val="center"/>
        </w:trPr>
        <w:tc>
          <w:tcPr>
            <w:tcW w:w="2580" w:type="dxa"/>
            <w:vMerge/>
            <w:tcMar>
              <w:left w:w="28" w:type="dxa"/>
              <w:right w:w="28" w:type="dxa"/>
            </w:tcMar>
            <w:vAlign w:val="center"/>
          </w:tcPr>
          <w:p w14:paraId="7D97DA29" w14:textId="77777777" w:rsidR="00821B21" w:rsidRPr="00634FD1" w:rsidRDefault="00821B21" w:rsidP="00867476">
            <w:pPr>
              <w:pStyle w:val="Tablebody"/>
            </w:pPr>
          </w:p>
        </w:tc>
        <w:tc>
          <w:tcPr>
            <w:tcW w:w="2109" w:type="dxa"/>
            <w:vMerge/>
            <w:tcMar>
              <w:left w:w="28" w:type="dxa"/>
              <w:right w:w="28" w:type="dxa"/>
            </w:tcMar>
            <w:vAlign w:val="center"/>
          </w:tcPr>
          <w:p w14:paraId="45994411" w14:textId="77777777" w:rsidR="00821B21" w:rsidRPr="00634FD1" w:rsidRDefault="00821B21" w:rsidP="00867476">
            <w:pPr>
              <w:pStyle w:val="Tablebody"/>
            </w:pPr>
          </w:p>
        </w:tc>
        <w:tc>
          <w:tcPr>
            <w:tcW w:w="3275" w:type="dxa"/>
            <w:tcMar>
              <w:left w:w="28" w:type="dxa"/>
              <w:right w:w="28" w:type="dxa"/>
            </w:tcMar>
            <w:vAlign w:val="center"/>
          </w:tcPr>
          <w:p w14:paraId="23D50CAE" w14:textId="77777777" w:rsidR="00821B21" w:rsidRPr="00634FD1" w:rsidRDefault="00821B21" w:rsidP="00867476">
            <w:pPr>
              <w:pStyle w:val="Tablebody"/>
            </w:pPr>
            <w:r w:rsidRPr="00634FD1">
              <w:t>bending</w:t>
            </w:r>
          </w:p>
        </w:tc>
        <w:tc>
          <w:tcPr>
            <w:tcW w:w="1843" w:type="dxa"/>
            <w:tcMar>
              <w:left w:w="28" w:type="dxa"/>
              <w:right w:w="28" w:type="dxa"/>
            </w:tcMar>
            <w:vAlign w:val="center"/>
          </w:tcPr>
          <w:p w14:paraId="3F543425" w14:textId="77777777" w:rsidR="00821B21" w:rsidRPr="00634FD1" w:rsidRDefault="00821B21" w:rsidP="00867476">
            <w:pPr>
              <w:pStyle w:val="Tablebody"/>
              <w:jc w:val="center"/>
            </w:pPr>
            <w:r w:rsidRPr="00634FD1">
              <w:t>1,2</w:t>
            </w:r>
          </w:p>
        </w:tc>
      </w:tr>
      <w:tr w:rsidR="00821B21" w:rsidRPr="00634FD1" w14:paraId="028C4F6D" w14:textId="77777777" w:rsidTr="00634FD1">
        <w:trPr>
          <w:jc w:val="center"/>
        </w:trPr>
        <w:tc>
          <w:tcPr>
            <w:tcW w:w="2580" w:type="dxa"/>
            <w:vMerge/>
            <w:tcMar>
              <w:left w:w="28" w:type="dxa"/>
              <w:right w:w="28" w:type="dxa"/>
            </w:tcMar>
            <w:vAlign w:val="center"/>
          </w:tcPr>
          <w:p w14:paraId="5BE61996" w14:textId="77777777" w:rsidR="00821B21" w:rsidRPr="00634FD1" w:rsidRDefault="00821B21" w:rsidP="00867476">
            <w:pPr>
              <w:pStyle w:val="Tablebody"/>
            </w:pPr>
          </w:p>
        </w:tc>
        <w:tc>
          <w:tcPr>
            <w:tcW w:w="2109" w:type="dxa"/>
            <w:vMerge/>
            <w:tcMar>
              <w:left w:w="28" w:type="dxa"/>
              <w:right w:w="28" w:type="dxa"/>
            </w:tcMar>
            <w:vAlign w:val="center"/>
          </w:tcPr>
          <w:p w14:paraId="25706849" w14:textId="77777777" w:rsidR="00821B21" w:rsidRPr="00634FD1" w:rsidRDefault="00821B21" w:rsidP="00867476">
            <w:pPr>
              <w:pStyle w:val="Tablebody"/>
            </w:pPr>
          </w:p>
        </w:tc>
        <w:tc>
          <w:tcPr>
            <w:tcW w:w="3275" w:type="dxa"/>
            <w:tcMar>
              <w:left w:w="28" w:type="dxa"/>
              <w:right w:w="28" w:type="dxa"/>
            </w:tcMar>
            <w:vAlign w:val="center"/>
          </w:tcPr>
          <w:p w14:paraId="645D755C" w14:textId="77777777" w:rsidR="00821B21" w:rsidRPr="00634FD1" w:rsidRDefault="00821B21" w:rsidP="00867476">
            <w:pPr>
              <w:pStyle w:val="Tablebody"/>
            </w:pPr>
            <w:r w:rsidRPr="00634FD1">
              <w:t>shear</w:t>
            </w:r>
          </w:p>
        </w:tc>
        <w:tc>
          <w:tcPr>
            <w:tcW w:w="1843" w:type="dxa"/>
            <w:tcMar>
              <w:left w:w="28" w:type="dxa"/>
              <w:right w:w="28" w:type="dxa"/>
            </w:tcMar>
            <w:vAlign w:val="center"/>
          </w:tcPr>
          <w:p w14:paraId="706C3724" w14:textId="77777777" w:rsidR="00821B21" w:rsidRPr="00634FD1" w:rsidRDefault="00821B21" w:rsidP="00867476">
            <w:pPr>
              <w:pStyle w:val="Tablebody"/>
              <w:jc w:val="center"/>
            </w:pPr>
            <w:r w:rsidRPr="00634FD1">
              <w:t>1,5</w:t>
            </w:r>
          </w:p>
        </w:tc>
      </w:tr>
      <w:tr w:rsidR="00821B21" w:rsidRPr="00634FD1" w14:paraId="7D6F1633" w14:textId="77777777" w:rsidTr="00634FD1">
        <w:trPr>
          <w:jc w:val="center"/>
        </w:trPr>
        <w:tc>
          <w:tcPr>
            <w:tcW w:w="2580" w:type="dxa"/>
            <w:vMerge w:val="restart"/>
            <w:tcMar>
              <w:left w:w="28" w:type="dxa"/>
              <w:right w:w="28" w:type="dxa"/>
            </w:tcMar>
            <w:vAlign w:val="center"/>
          </w:tcPr>
          <w:p w14:paraId="5BCFB913" w14:textId="77777777" w:rsidR="00821B21" w:rsidRPr="00634FD1" w:rsidRDefault="00821B21" w:rsidP="00867476">
            <w:pPr>
              <w:pStyle w:val="Tablebody"/>
            </w:pPr>
            <w:r w:rsidRPr="00634FD1">
              <w:lastRenderedPageBreak/>
              <w:t>Frames with eccentric bracings (simple and dual)</w:t>
            </w:r>
          </w:p>
        </w:tc>
        <w:tc>
          <w:tcPr>
            <w:tcW w:w="2109" w:type="dxa"/>
            <w:vMerge w:val="restart"/>
            <w:tcMar>
              <w:left w:w="28" w:type="dxa"/>
              <w:right w:w="28" w:type="dxa"/>
            </w:tcMar>
            <w:vAlign w:val="center"/>
          </w:tcPr>
          <w:p w14:paraId="4AFBFBC0" w14:textId="77777777" w:rsidR="00821B21" w:rsidRPr="00634FD1" w:rsidRDefault="00821B21" w:rsidP="00867476">
            <w:pPr>
              <w:pStyle w:val="Tablebody"/>
            </w:pPr>
            <w:r w:rsidRPr="00634FD1">
              <w:t>short links</w:t>
            </w:r>
          </w:p>
        </w:tc>
        <w:tc>
          <w:tcPr>
            <w:tcW w:w="3275" w:type="dxa"/>
            <w:tcMar>
              <w:left w:w="28" w:type="dxa"/>
              <w:right w:w="28" w:type="dxa"/>
            </w:tcMar>
            <w:vAlign w:val="center"/>
          </w:tcPr>
          <w:p w14:paraId="3FF5CA2B" w14:textId="538B412B" w:rsidR="00821B21" w:rsidRPr="00634FD1" w:rsidRDefault="00821B21" w:rsidP="00867476">
            <w:pPr>
              <w:pStyle w:val="Tablebody"/>
            </w:pPr>
            <w:r w:rsidRPr="00634FD1">
              <w:t>shear</w:t>
            </w:r>
          </w:p>
          <w:p w14:paraId="5359B028" w14:textId="204FE996" w:rsidR="00821B21" w:rsidRPr="00634FD1" w:rsidRDefault="00821B21" w:rsidP="00867476">
            <w:pPr>
              <w:pStyle w:val="Tablebody"/>
            </w:pPr>
            <w:r w:rsidRPr="00634FD1">
              <w:rPr>
                <w:i/>
              </w:rPr>
              <w:t>e</w:t>
            </w:r>
            <w:r w:rsidRPr="00634FD1">
              <w:t xml:space="preserve"> ≤ </w:t>
            </w:r>
            <w:r w:rsidRPr="00634FD1">
              <w:rPr>
                <w:i/>
              </w:rPr>
              <w:t>M</w:t>
            </w:r>
            <w:r w:rsidRPr="00634FD1">
              <w:rPr>
                <w:vertAlign w:val="subscript"/>
              </w:rPr>
              <w:t>p,link </w:t>
            </w:r>
            <w:r w:rsidRPr="00634FD1">
              <w:rPr>
                <w:i/>
              </w:rPr>
              <w:t>/V</w:t>
            </w:r>
            <w:r w:rsidRPr="00634FD1">
              <w:rPr>
                <w:vertAlign w:val="subscript"/>
              </w:rPr>
              <w:t>p,link </w:t>
            </w:r>
          </w:p>
          <w:p w14:paraId="32C7D4E2" w14:textId="77777777" w:rsidR="00821B21" w:rsidRPr="00634FD1" w:rsidRDefault="00821B21" w:rsidP="00867476">
            <w:pPr>
              <w:pStyle w:val="Tablebody"/>
            </w:pPr>
            <w:r w:rsidRPr="00634FD1">
              <w:t>(very short links)</w:t>
            </w:r>
          </w:p>
        </w:tc>
        <w:tc>
          <w:tcPr>
            <w:tcW w:w="1843" w:type="dxa"/>
            <w:tcMar>
              <w:left w:w="28" w:type="dxa"/>
              <w:right w:w="28" w:type="dxa"/>
            </w:tcMar>
            <w:vAlign w:val="center"/>
          </w:tcPr>
          <w:p w14:paraId="373EC096" w14:textId="77777777" w:rsidR="00821B21" w:rsidRPr="00634FD1" w:rsidRDefault="00821B21" w:rsidP="00867476">
            <w:pPr>
              <w:pStyle w:val="Tablebody"/>
              <w:jc w:val="center"/>
            </w:pPr>
            <w:r w:rsidRPr="00634FD1">
              <w:t>1,8</w:t>
            </w:r>
          </w:p>
        </w:tc>
      </w:tr>
      <w:tr w:rsidR="00821B21" w:rsidRPr="00634FD1" w14:paraId="565F9982" w14:textId="77777777" w:rsidTr="00634FD1">
        <w:trPr>
          <w:jc w:val="center"/>
        </w:trPr>
        <w:tc>
          <w:tcPr>
            <w:tcW w:w="2580" w:type="dxa"/>
            <w:vMerge/>
            <w:tcMar>
              <w:left w:w="28" w:type="dxa"/>
              <w:right w:w="28" w:type="dxa"/>
            </w:tcMar>
            <w:vAlign w:val="center"/>
          </w:tcPr>
          <w:p w14:paraId="29B3AF52" w14:textId="77777777" w:rsidR="00821B21" w:rsidRPr="00634FD1" w:rsidRDefault="00821B21" w:rsidP="00867476">
            <w:pPr>
              <w:pStyle w:val="Tablebody"/>
            </w:pPr>
          </w:p>
        </w:tc>
        <w:tc>
          <w:tcPr>
            <w:tcW w:w="2109" w:type="dxa"/>
            <w:vMerge/>
            <w:tcMar>
              <w:left w:w="28" w:type="dxa"/>
              <w:right w:w="28" w:type="dxa"/>
            </w:tcMar>
            <w:vAlign w:val="center"/>
          </w:tcPr>
          <w:p w14:paraId="6D599BF4" w14:textId="77777777" w:rsidR="00821B21" w:rsidRPr="00634FD1" w:rsidRDefault="00821B21" w:rsidP="00867476">
            <w:pPr>
              <w:pStyle w:val="Tablebody"/>
            </w:pPr>
          </w:p>
        </w:tc>
        <w:tc>
          <w:tcPr>
            <w:tcW w:w="3275" w:type="dxa"/>
            <w:tcMar>
              <w:left w:w="28" w:type="dxa"/>
              <w:right w:w="28" w:type="dxa"/>
            </w:tcMar>
            <w:vAlign w:val="center"/>
          </w:tcPr>
          <w:p w14:paraId="21C0BE34" w14:textId="77777777" w:rsidR="00821B21" w:rsidRPr="00634FD1" w:rsidRDefault="00821B21" w:rsidP="00867476">
            <w:pPr>
              <w:pStyle w:val="Tablebody"/>
            </w:pPr>
            <w:r w:rsidRPr="00634FD1">
              <w:t>shear</w:t>
            </w:r>
          </w:p>
          <w:p w14:paraId="7A4D8D5B" w14:textId="34C0E69A" w:rsidR="00821B21" w:rsidRPr="00634FD1" w:rsidRDefault="00821B21" w:rsidP="00867476">
            <w:pPr>
              <w:pStyle w:val="Tablebody"/>
              <w:rPr>
                <w:lang w:val="en-US"/>
              </w:rPr>
            </w:pPr>
            <w:r w:rsidRPr="00634FD1">
              <w:rPr>
                <w:i/>
              </w:rPr>
              <w:t>M</w:t>
            </w:r>
            <w:r w:rsidRPr="00634FD1">
              <w:rPr>
                <w:vertAlign w:val="subscript"/>
              </w:rPr>
              <w:t>p,link </w:t>
            </w:r>
            <w:r w:rsidRPr="00634FD1">
              <w:rPr>
                <w:i/>
              </w:rPr>
              <w:t>/V</w:t>
            </w:r>
            <w:r w:rsidRPr="00634FD1">
              <w:rPr>
                <w:vertAlign w:val="subscript"/>
              </w:rPr>
              <w:t>p,link </w:t>
            </w:r>
            <w:r w:rsidRPr="00634FD1">
              <w:t xml:space="preserve"> &lt; </w:t>
            </w:r>
            <w:r w:rsidRPr="00634FD1">
              <w:rPr>
                <w:i/>
              </w:rPr>
              <w:t>e</w:t>
            </w:r>
            <w:r w:rsidRPr="00634FD1">
              <w:t xml:space="preserve"> ≤ 1,6</w:t>
            </w:r>
            <w:r w:rsidRPr="00634FD1">
              <w:rPr>
                <w:i/>
              </w:rPr>
              <w:t>M</w:t>
            </w:r>
            <w:r w:rsidRPr="00634FD1">
              <w:rPr>
                <w:vertAlign w:val="subscript"/>
              </w:rPr>
              <w:t>p,link </w:t>
            </w:r>
            <w:r w:rsidRPr="00634FD1">
              <w:rPr>
                <w:i/>
              </w:rPr>
              <w:t>/V</w:t>
            </w:r>
            <w:r w:rsidRPr="00634FD1">
              <w:rPr>
                <w:vertAlign w:val="subscript"/>
              </w:rPr>
              <w:t>p,link </w:t>
            </w:r>
          </w:p>
          <w:p w14:paraId="0C34CC4E" w14:textId="77777777" w:rsidR="00821B21" w:rsidRPr="00634FD1" w:rsidRDefault="00821B21" w:rsidP="00867476">
            <w:pPr>
              <w:pStyle w:val="Tablebody"/>
            </w:pPr>
            <w:r w:rsidRPr="00634FD1">
              <w:t>(short links)</w:t>
            </w:r>
          </w:p>
        </w:tc>
        <w:tc>
          <w:tcPr>
            <w:tcW w:w="1843" w:type="dxa"/>
            <w:tcMar>
              <w:left w:w="28" w:type="dxa"/>
              <w:right w:w="28" w:type="dxa"/>
            </w:tcMar>
            <w:vAlign w:val="center"/>
          </w:tcPr>
          <w:p w14:paraId="608E83B5" w14:textId="77777777" w:rsidR="00821B21" w:rsidRPr="00634FD1" w:rsidRDefault="00821B21" w:rsidP="00867476">
            <w:pPr>
              <w:pStyle w:val="Tablebody"/>
              <w:jc w:val="center"/>
            </w:pPr>
            <w:r w:rsidRPr="00634FD1">
              <w:t>1,5</w:t>
            </w:r>
          </w:p>
        </w:tc>
      </w:tr>
      <w:tr w:rsidR="00821B21" w:rsidRPr="00634FD1" w14:paraId="3640F978" w14:textId="77777777" w:rsidTr="00634FD1">
        <w:trPr>
          <w:jc w:val="center"/>
        </w:trPr>
        <w:tc>
          <w:tcPr>
            <w:tcW w:w="2580" w:type="dxa"/>
            <w:vMerge/>
            <w:tcMar>
              <w:left w:w="28" w:type="dxa"/>
              <w:right w:w="28" w:type="dxa"/>
            </w:tcMar>
            <w:vAlign w:val="center"/>
          </w:tcPr>
          <w:p w14:paraId="2C90F981" w14:textId="77777777" w:rsidR="00821B21" w:rsidRPr="00634FD1" w:rsidRDefault="00821B21" w:rsidP="00867476">
            <w:pPr>
              <w:pStyle w:val="Tablebody"/>
            </w:pPr>
          </w:p>
        </w:tc>
        <w:tc>
          <w:tcPr>
            <w:tcW w:w="2109" w:type="dxa"/>
            <w:vMerge w:val="restart"/>
            <w:tcMar>
              <w:left w:w="28" w:type="dxa"/>
              <w:right w:w="28" w:type="dxa"/>
            </w:tcMar>
            <w:vAlign w:val="center"/>
          </w:tcPr>
          <w:p w14:paraId="50C08535" w14:textId="77777777" w:rsidR="00821B21" w:rsidRPr="00634FD1" w:rsidRDefault="00821B21" w:rsidP="00867476">
            <w:pPr>
              <w:pStyle w:val="Tablebody"/>
            </w:pPr>
            <w:r w:rsidRPr="00634FD1">
              <w:t>intermediate links</w:t>
            </w:r>
          </w:p>
        </w:tc>
        <w:tc>
          <w:tcPr>
            <w:tcW w:w="3275" w:type="dxa"/>
            <w:tcMar>
              <w:left w:w="28" w:type="dxa"/>
              <w:right w:w="28" w:type="dxa"/>
            </w:tcMar>
            <w:vAlign w:val="center"/>
          </w:tcPr>
          <w:p w14:paraId="04C316B4" w14:textId="77777777" w:rsidR="00821B21" w:rsidRPr="00634FD1" w:rsidRDefault="00821B21" w:rsidP="00867476">
            <w:pPr>
              <w:pStyle w:val="Tablebody"/>
            </w:pPr>
            <w:r w:rsidRPr="00634FD1">
              <w:t>bending and shear</w:t>
            </w:r>
          </w:p>
          <w:p w14:paraId="4B4A9FB4" w14:textId="77777777" w:rsidR="00821B21" w:rsidRPr="00172416" w:rsidRDefault="00821B21" w:rsidP="00867476">
            <w:pPr>
              <w:pStyle w:val="Tablebody"/>
              <w:rPr>
                <w:lang w:val="pt-PT"/>
              </w:rPr>
            </w:pPr>
            <w:r w:rsidRPr="00172416">
              <w:rPr>
                <w:i/>
                <w:lang w:val="pt-PT"/>
              </w:rPr>
              <w:t>e</w:t>
            </w:r>
            <w:r w:rsidRPr="00172416">
              <w:rPr>
                <w:lang w:val="pt-PT"/>
              </w:rPr>
              <w:t xml:space="preserve"> ≤ 2,6</w:t>
            </w:r>
            <w:r w:rsidRPr="00172416">
              <w:rPr>
                <w:i/>
                <w:lang w:val="pt-PT"/>
              </w:rPr>
              <w:t>M</w:t>
            </w:r>
            <w:r w:rsidRPr="00172416">
              <w:rPr>
                <w:vertAlign w:val="subscript"/>
                <w:lang w:val="pt-PT"/>
              </w:rPr>
              <w:t>p,link </w:t>
            </w:r>
            <w:r w:rsidRPr="00172416">
              <w:rPr>
                <w:i/>
                <w:lang w:val="pt-PT"/>
              </w:rPr>
              <w:t>/V</w:t>
            </w:r>
            <w:r w:rsidRPr="00172416">
              <w:rPr>
                <w:vertAlign w:val="subscript"/>
                <w:lang w:val="pt-PT"/>
              </w:rPr>
              <w:t>p,link </w:t>
            </w:r>
            <w:r w:rsidRPr="00172416">
              <w:rPr>
                <w:lang w:val="pt-PT"/>
              </w:rPr>
              <w:t xml:space="preserve"> </w:t>
            </w:r>
          </w:p>
        </w:tc>
        <w:tc>
          <w:tcPr>
            <w:tcW w:w="1843" w:type="dxa"/>
            <w:tcMar>
              <w:left w:w="28" w:type="dxa"/>
              <w:right w:w="28" w:type="dxa"/>
            </w:tcMar>
            <w:vAlign w:val="center"/>
          </w:tcPr>
          <w:p w14:paraId="08DD8B98" w14:textId="77777777" w:rsidR="00821B21" w:rsidRPr="00634FD1" w:rsidRDefault="00821B21" w:rsidP="00867476">
            <w:pPr>
              <w:pStyle w:val="Tablebody"/>
              <w:jc w:val="center"/>
            </w:pPr>
            <w:r w:rsidRPr="00634FD1">
              <w:t>1,5</w:t>
            </w:r>
          </w:p>
        </w:tc>
      </w:tr>
      <w:tr w:rsidR="00821B21" w:rsidRPr="00634FD1" w14:paraId="69E06A91" w14:textId="77777777" w:rsidTr="00634FD1">
        <w:trPr>
          <w:jc w:val="center"/>
        </w:trPr>
        <w:tc>
          <w:tcPr>
            <w:tcW w:w="2580" w:type="dxa"/>
            <w:vMerge/>
            <w:tcMar>
              <w:left w:w="28" w:type="dxa"/>
              <w:right w:w="28" w:type="dxa"/>
            </w:tcMar>
            <w:vAlign w:val="center"/>
          </w:tcPr>
          <w:p w14:paraId="75AF53B9" w14:textId="77777777" w:rsidR="00821B21" w:rsidRPr="00634FD1" w:rsidRDefault="00821B21" w:rsidP="00867476">
            <w:pPr>
              <w:pStyle w:val="Tablebody"/>
            </w:pPr>
          </w:p>
        </w:tc>
        <w:tc>
          <w:tcPr>
            <w:tcW w:w="2109" w:type="dxa"/>
            <w:vMerge/>
            <w:tcMar>
              <w:left w:w="28" w:type="dxa"/>
              <w:right w:w="28" w:type="dxa"/>
            </w:tcMar>
            <w:vAlign w:val="center"/>
          </w:tcPr>
          <w:p w14:paraId="622BC5F5" w14:textId="77777777" w:rsidR="00821B21" w:rsidRPr="00634FD1" w:rsidRDefault="00821B21" w:rsidP="00867476">
            <w:pPr>
              <w:pStyle w:val="Tablebody"/>
            </w:pPr>
          </w:p>
        </w:tc>
        <w:tc>
          <w:tcPr>
            <w:tcW w:w="3275" w:type="dxa"/>
            <w:tcMar>
              <w:left w:w="28" w:type="dxa"/>
              <w:right w:w="28" w:type="dxa"/>
            </w:tcMar>
            <w:vAlign w:val="center"/>
          </w:tcPr>
          <w:p w14:paraId="44563B9E" w14:textId="77777777" w:rsidR="00821B21" w:rsidRPr="00634FD1" w:rsidRDefault="00821B21" w:rsidP="00867476">
            <w:pPr>
              <w:pStyle w:val="Tablebody"/>
            </w:pPr>
            <w:r w:rsidRPr="00634FD1">
              <w:t>bending and shear</w:t>
            </w:r>
          </w:p>
          <w:p w14:paraId="3B3A00A7" w14:textId="77777777" w:rsidR="00821B21" w:rsidRPr="00634FD1" w:rsidRDefault="00821B21" w:rsidP="00867476">
            <w:pPr>
              <w:pStyle w:val="Tablebody"/>
              <w:rPr>
                <w:lang w:val="en-US"/>
              </w:rPr>
            </w:pPr>
            <w:r w:rsidRPr="00634FD1">
              <w:t>2,6</w:t>
            </w:r>
            <w:r w:rsidRPr="00634FD1">
              <w:rPr>
                <w:i/>
              </w:rPr>
              <w:t>M</w:t>
            </w:r>
            <w:r w:rsidRPr="00634FD1">
              <w:rPr>
                <w:vertAlign w:val="subscript"/>
              </w:rPr>
              <w:t>p,link </w:t>
            </w:r>
            <w:r w:rsidRPr="00634FD1">
              <w:rPr>
                <w:i/>
              </w:rPr>
              <w:t>/V</w:t>
            </w:r>
            <w:r w:rsidRPr="00634FD1">
              <w:rPr>
                <w:vertAlign w:val="subscript"/>
              </w:rPr>
              <w:t>p,link </w:t>
            </w:r>
            <w:r w:rsidRPr="00634FD1">
              <w:rPr>
                <w:i/>
              </w:rPr>
              <w:t> </w:t>
            </w:r>
            <w:r w:rsidRPr="00634FD1">
              <w:t>&lt; </w:t>
            </w:r>
            <w:r w:rsidRPr="00634FD1">
              <w:rPr>
                <w:i/>
              </w:rPr>
              <w:t>e</w:t>
            </w:r>
            <w:r w:rsidRPr="00634FD1">
              <w:t> ≤ 3</w:t>
            </w:r>
            <w:r w:rsidRPr="00634FD1">
              <w:rPr>
                <w:i/>
              </w:rPr>
              <w:t>M</w:t>
            </w:r>
            <w:r w:rsidRPr="00634FD1">
              <w:rPr>
                <w:vertAlign w:val="subscript"/>
              </w:rPr>
              <w:t>p,link </w:t>
            </w:r>
            <w:r w:rsidRPr="00634FD1">
              <w:rPr>
                <w:i/>
              </w:rPr>
              <w:t>/V</w:t>
            </w:r>
            <w:r w:rsidRPr="00634FD1">
              <w:rPr>
                <w:vertAlign w:val="subscript"/>
              </w:rPr>
              <w:t>p,link </w:t>
            </w:r>
          </w:p>
        </w:tc>
        <w:tc>
          <w:tcPr>
            <w:tcW w:w="1843" w:type="dxa"/>
            <w:tcMar>
              <w:left w:w="28" w:type="dxa"/>
              <w:right w:w="28" w:type="dxa"/>
            </w:tcMar>
            <w:vAlign w:val="center"/>
          </w:tcPr>
          <w:p w14:paraId="3B37E1DB" w14:textId="77777777" w:rsidR="00821B21" w:rsidRPr="00634FD1" w:rsidRDefault="00821B21" w:rsidP="00867476">
            <w:pPr>
              <w:pStyle w:val="Tablebody"/>
              <w:jc w:val="center"/>
            </w:pPr>
            <w:r w:rsidRPr="00634FD1">
              <w:t>1,35</w:t>
            </w:r>
          </w:p>
        </w:tc>
      </w:tr>
      <w:tr w:rsidR="00821B21" w:rsidRPr="00634FD1" w14:paraId="4DE7DEAF" w14:textId="77777777" w:rsidTr="00634FD1">
        <w:trPr>
          <w:jc w:val="center"/>
        </w:trPr>
        <w:tc>
          <w:tcPr>
            <w:tcW w:w="2580" w:type="dxa"/>
            <w:vMerge/>
            <w:tcMar>
              <w:left w:w="28" w:type="dxa"/>
              <w:right w:w="28" w:type="dxa"/>
            </w:tcMar>
            <w:vAlign w:val="center"/>
          </w:tcPr>
          <w:p w14:paraId="61653EF9" w14:textId="77777777" w:rsidR="00821B21" w:rsidRPr="00634FD1" w:rsidRDefault="00821B21" w:rsidP="00867476">
            <w:pPr>
              <w:pStyle w:val="Tablebody"/>
            </w:pPr>
          </w:p>
        </w:tc>
        <w:tc>
          <w:tcPr>
            <w:tcW w:w="2109" w:type="dxa"/>
            <w:vMerge w:val="restart"/>
            <w:tcMar>
              <w:left w:w="28" w:type="dxa"/>
              <w:right w:w="28" w:type="dxa"/>
            </w:tcMar>
            <w:vAlign w:val="center"/>
          </w:tcPr>
          <w:p w14:paraId="042DD1CB" w14:textId="77777777" w:rsidR="00821B21" w:rsidRPr="00634FD1" w:rsidRDefault="00821B21" w:rsidP="00867476">
            <w:pPr>
              <w:pStyle w:val="Tablebody"/>
            </w:pPr>
            <w:r w:rsidRPr="00634FD1">
              <w:t>long links</w:t>
            </w:r>
          </w:p>
        </w:tc>
        <w:tc>
          <w:tcPr>
            <w:tcW w:w="3275" w:type="dxa"/>
            <w:tcMar>
              <w:left w:w="28" w:type="dxa"/>
              <w:right w:w="28" w:type="dxa"/>
            </w:tcMar>
            <w:vAlign w:val="center"/>
          </w:tcPr>
          <w:p w14:paraId="6CD60B78" w14:textId="77777777" w:rsidR="00821B21" w:rsidRPr="00634FD1" w:rsidRDefault="00821B21" w:rsidP="00867476">
            <w:pPr>
              <w:pStyle w:val="Tablebody"/>
            </w:pPr>
            <w:r w:rsidRPr="00634FD1">
              <w:t>Bending</w:t>
            </w:r>
          </w:p>
          <w:p w14:paraId="6A82F9AB" w14:textId="77777777" w:rsidR="00821B21" w:rsidRPr="00634FD1" w:rsidRDefault="00821B21" w:rsidP="00867476">
            <w:pPr>
              <w:pStyle w:val="Tablebody"/>
            </w:pPr>
            <w:r w:rsidRPr="00634FD1">
              <w:t>3</w:t>
            </w:r>
            <w:r w:rsidRPr="00634FD1">
              <w:rPr>
                <w:i/>
              </w:rPr>
              <w:t>M</w:t>
            </w:r>
            <w:r w:rsidRPr="00634FD1">
              <w:rPr>
                <w:vertAlign w:val="subscript"/>
              </w:rPr>
              <w:t>p,link </w:t>
            </w:r>
            <w:r w:rsidRPr="00634FD1">
              <w:rPr>
                <w:i/>
              </w:rPr>
              <w:t>/V</w:t>
            </w:r>
            <w:r w:rsidRPr="00634FD1">
              <w:rPr>
                <w:vertAlign w:val="subscript"/>
              </w:rPr>
              <w:t>p,link </w:t>
            </w:r>
            <w:r w:rsidRPr="00634FD1">
              <w:rPr>
                <w:i/>
              </w:rPr>
              <w:t> </w:t>
            </w:r>
            <w:r w:rsidRPr="00634FD1">
              <w:t>&lt; </w:t>
            </w:r>
            <w:r w:rsidRPr="00634FD1">
              <w:rPr>
                <w:i/>
              </w:rPr>
              <w:t>e</w:t>
            </w:r>
            <w:r w:rsidRPr="00634FD1">
              <w:t> ≤ 5</w:t>
            </w:r>
            <w:bookmarkStart w:id="9483" w:name="_Hlk38808094"/>
            <w:r w:rsidRPr="00634FD1">
              <w:rPr>
                <w:i/>
              </w:rPr>
              <w:t>M</w:t>
            </w:r>
            <w:r w:rsidRPr="00634FD1">
              <w:rPr>
                <w:vertAlign w:val="subscript"/>
              </w:rPr>
              <w:t>p,link </w:t>
            </w:r>
            <w:r w:rsidRPr="00634FD1">
              <w:rPr>
                <w:i/>
              </w:rPr>
              <w:t>/V</w:t>
            </w:r>
            <w:r w:rsidRPr="00634FD1">
              <w:rPr>
                <w:vertAlign w:val="subscript"/>
              </w:rPr>
              <w:t>p,link </w:t>
            </w:r>
            <w:bookmarkEnd w:id="9483"/>
          </w:p>
        </w:tc>
        <w:tc>
          <w:tcPr>
            <w:tcW w:w="1843" w:type="dxa"/>
            <w:tcMar>
              <w:left w:w="28" w:type="dxa"/>
              <w:right w:w="28" w:type="dxa"/>
            </w:tcMar>
            <w:vAlign w:val="center"/>
          </w:tcPr>
          <w:p w14:paraId="3DB117B9" w14:textId="77777777" w:rsidR="00821B21" w:rsidRPr="00634FD1" w:rsidRDefault="00821B21" w:rsidP="00867476">
            <w:pPr>
              <w:pStyle w:val="Tablebody"/>
              <w:jc w:val="center"/>
            </w:pPr>
            <w:r w:rsidRPr="00634FD1">
              <w:t>1,25</w:t>
            </w:r>
          </w:p>
        </w:tc>
      </w:tr>
      <w:tr w:rsidR="00821B21" w:rsidRPr="00634FD1" w14:paraId="658127C0" w14:textId="77777777" w:rsidTr="00634FD1">
        <w:trPr>
          <w:jc w:val="center"/>
        </w:trPr>
        <w:tc>
          <w:tcPr>
            <w:tcW w:w="2580" w:type="dxa"/>
            <w:vMerge/>
            <w:tcMar>
              <w:left w:w="28" w:type="dxa"/>
              <w:right w:w="28" w:type="dxa"/>
            </w:tcMar>
            <w:vAlign w:val="center"/>
          </w:tcPr>
          <w:p w14:paraId="5356CE8B" w14:textId="77777777" w:rsidR="00821B21" w:rsidRPr="00634FD1" w:rsidRDefault="00821B21" w:rsidP="00867476">
            <w:pPr>
              <w:pStyle w:val="Tablebody"/>
            </w:pPr>
          </w:p>
        </w:tc>
        <w:tc>
          <w:tcPr>
            <w:tcW w:w="2109" w:type="dxa"/>
            <w:vMerge/>
            <w:tcMar>
              <w:left w:w="28" w:type="dxa"/>
              <w:right w:w="28" w:type="dxa"/>
            </w:tcMar>
            <w:vAlign w:val="center"/>
          </w:tcPr>
          <w:p w14:paraId="443E84B6" w14:textId="77777777" w:rsidR="00821B21" w:rsidRPr="00634FD1" w:rsidRDefault="00821B21" w:rsidP="00867476">
            <w:pPr>
              <w:pStyle w:val="Tablebody"/>
            </w:pPr>
          </w:p>
        </w:tc>
        <w:tc>
          <w:tcPr>
            <w:tcW w:w="3275" w:type="dxa"/>
            <w:tcMar>
              <w:left w:w="28" w:type="dxa"/>
              <w:right w:w="28" w:type="dxa"/>
            </w:tcMar>
            <w:vAlign w:val="center"/>
          </w:tcPr>
          <w:p w14:paraId="2D760845" w14:textId="77777777" w:rsidR="00821B21" w:rsidRPr="00634FD1" w:rsidRDefault="00821B21" w:rsidP="00867476">
            <w:pPr>
              <w:pStyle w:val="Tablebody"/>
            </w:pPr>
            <w:r w:rsidRPr="00634FD1">
              <w:t>Bending</w:t>
            </w:r>
          </w:p>
          <w:p w14:paraId="242803DA" w14:textId="77777777" w:rsidR="00821B21" w:rsidRPr="00172416" w:rsidRDefault="00821B21" w:rsidP="00867476">
            <w:pPr>
              <w:pStyle w:val="Tablebody"/>
              <w:rPr>
                <w:lang w:val="pt-PT"/>
              </w:rPr>
            </w:pPr>
            <w:r w:rsidRPr="00172416">
              <w:rPr>
                <w:i/>
                <w:lang w:val="pt-PT"/>
              </w:rPr>
              <w:t>e</w:t>
            </w:r>
            <w:r w:rsidRPr="00172416">
              <w:rPr>
                <w:lang w:val="pt-PT"/>
              </w:rPr>
              <w:t xml:space="preserve"> &gt; 5</w:t>
            </w:r>
            <w:r w:rsidRPr="00172416">
              <w:rPr>
                <w:i/>
                <w:lang w:val="pt-PT"/>
              </w:rPr>
              <w:t>M</w:t>
            </w:r>
            <w:r w:rsidRPr="00172416">
              <w:rPr>
                <w:vertAlign w:val="subscript"/>
                <w:lang w:val="pt-PT"/>
              </w:rPr>
              <w:t>p,link </w:t>
            </w:r>
            <w:r w:rsidRPr="00172416">
              <w:rPr>
                <w:i/>
                <w:lang w:val="pt-PT"/>
              </w:rPr>
              <w:t>/V</w:t>
            </w:r>
            <w:r w:rsidRPr="00172416">
              <w:rPr>
                <w:vertAlign w:val="subscript"/>
                <w:lang w:val="pt-PT"/>
              </w:rPr>
              <w:t>p,link </w:t>
            </w:r>
          </w:p>
        </w:tc>
        <w:tc>
          <w:tcPr>
            <w:tcW w:w="1843" w:type="dxa"/>
            <w:tcMar>
              <w:left w:w="28" w:type="dxa"/>
              <w:right w:w="28" w:type="dxa"/>
            </w:tcMar>
            <w:vAlign w:val="center"/>
          </w:tcPr>
          <w:p w14:paraId="2E28924C" w14:textId="77777777" w:rsidR="00821B21" w:rsidRPr="00634FD1" w:rsidRDefault="009B5CEC" w:rsidP="00867476">
            <w:pPr>
              <w:pStyle w:val="Tablebody"/>
              <w:jc w:val="center"/>
            </w:pPr>
            <m:oMathPara>
              <m:oMath>
                <m:sSub>
                  <m:sSubPr>
                    <m:ctrlPr>
                      <w:rPr>
                        <w:rFonts w:ascii="Cambria Math" w:hAnsi="Cambria Math"/>
                      </w:rPr>
                    </m:ctrlPr>
                  </m:sSubPr>
                  <m:e>
                    <m:r>
                      <w:rPr>
                        <w:rFonts w:ascii="Cambria Math" w:hAnsi="Cambria Math"/>
                      </w:rPr>
                      <m:t>ω</m:t>
                    </m:r>
                  </m:e>
                  <m:sub>
                    <m:r>
                      <m:rPr>
                        <m:sty m:val="p"/>
                      </m:rPr>
                      <w:rPr>
                        <w:rFonts w:ascii="Cambria Math" w:hAnsi="Cambria Math"/>
                      </w:rPr>
                      <m:t>sh</m:t>
                    </m:r>
                  </m:sub>
                </m:sSub>
                <m:r>
                  <m:rPr>
                    <m:sty m:val="p"/>
                  </m:rPr>
                  <w:rPr>
                    <w:rFonts w:ascii="Cambria Math" w:hAnsi="Cambria Math"/>
                  </w:rPr>
                  <m:t>=</m:t>
                </m:r>
                <m:f>
                  <m:fPr>
                    <m:ctrlPr>
                      <w:rPr>
                        <w:rFonts w:ascii="Cambria Math" w:hAnsi="Cambria Math"/>
                      </w:rPr>
                    </m:ctrlPr>
                  </m:fPr>
                  <m:num>
                    <m:d>
                      <m:dPr>
                        <m:ctrlPr>
                          <w:rPr>
                            <w:rFonts w:ascii="Cambria Math" w:hAnsi="Cambria Math"/>
                          </w:rPr>
                        </m:ctrlPr>
                      </m:dPr>
                      <m:e>
                        <m:sSub>
                          <m:sSubPr>
                            <m:ctrlPr>
                              <w:rPr>
                                <w:rFonts w:ascii="Cambria Math" w:hAnsi="Cambria Math"/>
                              </w:rPr>
                            </m:ctrlPr>
                          </m:sSubPr>
                          <m:e>
                            <m:r>
                              <w:rPr>
                                <w:rFonts w:ascii="Cambria Math" w:hAnsi="Cambria Math"/>
                              </w:rPr>
                              <m:t>f</m:t>
                            </m:r>
                          </m:e>
                          <m:sub>
                            <m:r>
                              <m:rPr>
                                <m:sty m:val="p"/>
                              </m:rPr>
                              <w:rPr>
                                <w:rFonts w:ascii="Cambria Math" w:hAnsi="Cambria Math"/>
                              </w:rPr>
                              <m:t>y</m:t>
                            </m:r>
                          </m:sub>
                        </m:sSub>
                        <m:r>
                          <m:rPr>
                            <m:sty m:val="p"/>
                          </m:rPr>
                          <w:rPr>
                            <w:rFonts w:ascii="Cambria Math" w:hAnsi="Cambria Math"/>
                          </w:rPr>
                          <m:t>+</m:t>
                        </m:r>
                        <m:sSub>
                          <m:sSubPr>
                            <m:ctrlPr>
                              <w:rPr>
                                <w:rFonts w:ascii="Cambria Math" w:hAnsi="Cambria Math"/>
                              </w:rPr>
                            </m:ctrlPr>
                          </m:sSubPr>
                          <m:e>
                            <m:r>
                              <w:rPr>
                                <w:rFonts w:ascii="Cambria Math" w:hAnsi="Cambria Math"/>
                              </w:rPr>
                              <m:t>f</m:t>
                            </m:r>
                          </m:e>
                          <m:sub>
                            <m:r>
                              <m:rPr>
                                <m:sty m:val="p"/>
                              </m:rPr>
                              <w:rPr>
                                <w:rFonts w:ascii="Cambria Math" w:hAnsi="Cambria Math"/>
                              </w:rPr>
                              <m:t>u</m:t>
                            </m:r>
                          </m:sub>
                        </m:sSub>
                      </m:e>
                    </m:d>
                  </m:num>
                  <m:den>
                    <m:r>
                      <m:rPr>
                        <m:sty m:val="p"/>
                      </m:rPr>
                      <w:rPr>
                        <w:rFonts w:ascii="Cambria Math" w:hAnsi="Cambria Math"/>
                      </w:rPr>
                      <m:t>2</m:t>
                    </m:r>
                    <m:sSub>
                      <m:sSubPr>
                        <m:ctrlPr>
                          <w:rPr>
                            <w:rFonts w:ascii="Cambria Math" w:hAnsi="Cambria Math"/>
                          </w:rPr>
                        </m:ctrlPr>
                      </m:sSubPr>
                      <m:e>
                        <m:r>
                          <w:rPr>
                            <w:rFonts w:ascii="Cambria Math" w:hAnsi="Cambria Math"/>
                          </w:rPr>
                          <m:t>f</m:t>
                        </m:r>
                      </m:e>
                      <m:sub>
                        <m:r>
                          <m:rPr>
                            <m:sty m:val="p"/>
                          </m:rPr>
                          <w:rPr>
                            <w:rFonts w:ascii="Cambria Math" w:hAnsi="Cambria Math"/>
                          </w:rPr>
                          <m:t>y</m:t>
                        </m:r>
                      </m:sub>
                    </m:sSub>
                  </m:den>
                </m:f>
                <m:r>
                  <m:rPr>
                    <m:sty m:val="p"/>
                  </m:rPr>
                  <w:rPr>
                    <w:rFonts w:ascii="Cambria Math" w:hAnsi="Cambria Math"/>
                  </w:rPr>
                  <m:t>≤1,2</m:t>
                </m:r>
              </m:oMath>
            </m:oMathPara>
          </w:p>
        </w:tc>
      </w:tr>
      <w:tr w:rsidR="00821B21" w:rsidRPr="00634FD1" w14:paraId="68B5010B" w14:textId="77777777" w:rsidTr="00634FD1">
        <w:trPr>
          <w:jc w:val="center"/>
        </w:trPr>
        <w:tc>
          <w:tcPr>
            <w:tcW w:w="2580" w:type="dxa"/>
            <w:vMerge/>
            <w:tcMar>
              <w:left w:w="28" w:type="dxa"/>
              <w:right w:w="28" w:type="dxa"/>
            </w:tcMar>
            <w:vAlign w:val="center"/>
          </w:tcPr>
          <w:p w14:paraId="26DEEF28" w14:textId="77777777" w:rsidR="00821B21" w:rsidRPr="00634FD1" w:rsidRDefault="00821B21" w:rsidP="00867476">
            <w:pPr>
              <w:pStyle w:val="Tablebody"/>
            </w:pPr>
          </w:p>
        </w:tc>
        <w:tc>
          <w:tcPr>
            <w:tcW w:w="2109" w:type="dxa"/>
            <w:tcMar>
              <w:left w:w="28" w:type="dxa"/>
              <w:right w:w="28" w:type="dxa"/>
            </w:tcMar>
            <w:vAlign w:val="center"/>
          </w:tcPr>
          <w:p w14:paraId="5189956A" w14:textId="77777777" w:rsidR="00821B21" w:rsidRPr="00634FD1" w:rsidRDefault="00821B21" w:rsidP="00867476">
            <w:pPr>
              <w:pStyle w:val="Tablebody"/>
            </w:pPr>
            <w:r w:rsidRPr="00634FD1">
              <w:t>beams - columns</w:t>
            </w:r>
          </w:p>
        </w:tc>
        <w:tc>
          <w:tcPr>
            <w:tcW w:w="3275" w:type="dxa"/>
            <w:tcMar>
              <w:left w:w="28" w:type="dxa"/>
              <w:right w:w="28" w:type="dxa"/>
            </w:tcMar>
            <w:vAlign w:val="center"/>
          </w:tcPr>
          <w:p w14:paraId="2635F314" w14:textId="77777777" w:rsidR="00821B21" w:rsidRPr="00867476" w:rsidRDefault="00821B21" w:rsidP="00867476">
            <w:pPr>
              <w:pStyle w:val="Tablebody"/>
            </w:pPr>
            <w:r w:rsidRPr="00867476">
              <w:t>bending (see 11.11.5)</w:t>
            </w:r>
          </w:p>
        </w:tc>
        <w:tc>
          <w:tcPr>
            <w:tcW w:w="1843" w:type="dxa"/>
            <w:tcMar>
              <w:left w:w="28" w:type="dxa"/>
              <w:right w:w="28" w:type="dxa"/>
            </w:tcMar>
            <w:vAlign w:val="center"/>
          </w:tcPr>
          <w:p w14:paraId="7EBB0B7F" w14:textId="77777777" w:rsidR="00821B21" w:rsidRPr="00634FD1" w:rsidRDefault="00821B21" w:rsidP="00867476">
            <w:pPr>
              <w:pStyle w:val="Tablebody"/>
              <w:jc w:val="center"/>
            </w:pPr>
            <w:r w:rsidRPr="00634FD1">
              <w:t>1,1</w:t>
            </w:r>
          </w:p>
        </w:tc>
      </w:tr>
      <w:tr w:rsidR="00821B21" w:rsidRPr="00634FD1" w14:paraId="1AFF0013" w14:textId="77777777" w:rsidTr="00634FD1">
        <w:trPr>
          <w:jc w:val="center"/>
        </w:trPr>
        <w:tc>
          <w:tcPr>
            <w:tcW w:w="2580" w:type="dxa"/>
            <w:vMerge w:val="restart"/>
            <w:tcMar>
              <w:left w:w="28" w:type="dxa"/>
              <w:right w:w="28" w:type="dxa"/>
            </w:tcMar>
            <w:vAlign w:val="center"/>
          </w:tcPr>
          <w:p w14:paraId="02F5F138" w14:textId="77777777" w:rsidR="00821B21" w:rsidRPr="00634FD1" w:rsidRDefault="00821B21" w:rsidP="00867476">
            <w:pPr>
              <w:pStyle w:val="Tablebody"/>
            </w:pPr>
            <w:r w:rsidRPr="00634FD1">
              <w:t>Frames with buckling restrained braces</w:t>
            </w:r>
          </w:p>
        </w:tc>
        <w:tc>
          <w:tcPr>
            <w:tcW w:w="2109" w:type="dxa"/>
            <w:tcMar>
              <w:left w:w="28" w:type="dxa"/>
              <w:right w:w="28" w:type="dxa"/>
            </w:tcMar>
            <w:vAlign w:val="center"/>
          </w:tcPr>
          <w:p w14:paraId="3033AC3D" w14:textId="77777777" w:rsidR="00821B21" w:rsidRPr="00634FD1" w:rsidRDefault="00821B21" w:rsidP="00867476">
            <w:pPr>
              <w:pStyle w:val="Tablebody"/>
            </w:pPr>
            <w:r w:rsidRPr="00634FD1">
              <w:t>diagonal members</w:t>
            </w:r>
          </w:p>
        </w:tc>
        <w:tc>
          <w:tcPr>
            <w:tcW w:w="3275" w:type="dxa"/>
            <w:tcMar>
              <w:left w:w="28" w:type="dxa"/>
              <w:right w:w="28" w:type="dxa"/>
            </w:tcMar>
            <w:vAlign w:val="center"/>
          </w:tcPr>
          <w:p w14:paraId="49637129" w14:textId="77777777" w:rsidR="00821B21" w:rsidRPr="00867476" w:rsidRDefault="00821B21" w:rsidP="00867476">
            <w:pPr>
              <w:pStyle w:val="Tablebody"/>
            </w:pPr>
            <w:r w:rsidRPr="00867476">
              <w:t>axial</w:t>
            </w:r>
          </w:p>
        </w:tc>
        <w:tc>
          <w:tcPr>
            <w:tcW w:w="1843" w:type="dxa"/>
            <w:tcMar>
              <w:left w:w="28" w:type="dxa"/>
              <w:right w:w="28" w:type="dxa"/>
            </w:tcMar>
            <w:vAlign w:val="center"/>
          </w:tcPr>
          <w:p w14:paraId="06F909F0" w14:textId="77777777" w:rsidR="00821B21" w:rsidRPr="00634FD1" w:rsidRDefault="00821B21" w:rsidP="00867476">
            <w:pPr>
              <w:pStyle w:val="Tablebody"/>
              <w:jc w:val="center"/>
            </w:pPr>
            <w:r w:rsidRPr="00634FD1">
              <w:t>see 11.12.3(4)</w:t>
            </w:r>
          </w:p>
        </w:tc>
      </w:tr>
      <w:tr w:rsidR="00821B21" w:rsidRPr="00634FD1" w14:paraId="1267E9E7" w14:textId="77777777" w:rsidTr="00634FD1">
        <w:trPr>
          <w:jc w:val="center"/>
        </w:trPr>
        <w:tc>
          <w:tcPr>
            <w:tcW w:w="2580" w:type="dxa"/>
            <w:vMerge/>
            <w:tcMar>
              <w:left w:w="28" w:type="dxa"/>
              <w:right w:w="28" w:type="dxa"/>
            </w:tcMar>
            <w:vAlign w:val="center"/>
          </w:tcPr>
          <w:p w14:paraId="43B2A21B" w14:textId="77777777" w:rsidR="00821B21" w:rsidRPr="00634FD1" w:rsidRDefault="00821B21" w:rsidP="00867476">
            <w:pPr>
              <w:pStyle w:val="Tablebody"/>
            </w:pPr>
          </w:p>
        </w:tc>
        <w:tc>
          <w:tcPr>
            <w:tcW w:w="2109" w:type="dxa"/>
            <w:tcMar>
              <w:left w:w="28" w:type="dxa"/>
              <w:right w:w="28" w:type="dxa"/>
            </w:tcMar>
            <w:vAlign w:val="center"/>
          </w:tcPr>
          <w:p w14:paraId="3701D168" w14:textId="77777777" w:rsidR="00821B21" w:rsidRPr="00634FD1" w:rsidRDefault="00821B21" w:rsidP="00867476">
            <w:pPr>
              <w:pStyle w:val="Tablebody"/>
            </w:pPr>
            <w:r w:rsidRPr="00634FD1">
              <w:t>beams - columns</w:t>
            </w:r>
          </w:p>
        </w:tc>
        <w:tc>
          <w:tcPr>
            <w:tcW w:w="3275" w:type="dxa"/>
            <w:tcMar>
              <w:left w:w="28" w:type="dxa"/>
              <w:right w:w="28" w:type="dxa"/>
            </w:tcMar>
            <w:vAlign w:val="center"/>
          </w:tcPr>
          <w:p w14:paraId="5BCB5653" w14:textId="77777777" w:rsidR="00821B21" w:rsidRPr="00867476" w:rsidRDefault="00821B21" w:rsidP="00867476">
            <w:pPr>
              <w:pStyle w:val="Tablebody"/>
            </w:pPr>
            <w:r w:rsidRPr="00867476">
              <w:t>bending (see 11.12.6)</w:t>
            </w:r>
          </w:p>
        </w:tc>
        <w:tc>
          <w:tcPr>
            <w:tcW w:w="1843" w:type="dxa"/>
            <w:tcMar>
              <w:left w:w="28" w:type="dxa"/>
              <w:right w:w="28" w:type="dxa"/>
            </w:tcMar>
            <w:vAlign w:val="center"/>
          </w:tcPr>
          <w:p w14:paraId="22BB9C4D" w14:textId="77777777" w:rsidR="00821B21" w:rsidRPr="00634FD1" w:rsidRDefault="00821B21" w:rsidP="00867476">
            <w:pPr>
              <w:pStyle w:val="Tablebody"/>
              <w:jc w:val="center"/>
            </w:pPr>
            <w:r w:rsidRPr="00634FD1">
              <w:t>1,2</w:t>
            </w:r>
          </w:p>
        </w:tc>
      </w:tr>
    </w:tbl>
    <w:p w14:paraId="3784F1AD" w14:textId="393FE979" w:rsidR="00821B21" w:rsidRPr="00132C1E" w:rsidRDefault="00821B21" w:rsidP="00821B21">
      <w:pPr>
        <w:pStyle w:val="Heading3"/>
      </w:pPr>
      <w:bookmarkStart w:id="9484" w:name="_Toc522955928"/>
      <w:bookmarkStart w:id="9485" w:name="_Toc18314119"/>
      <w:bookmarkStart w:id="9486" w:name="_Toc50150433"/>
      <w:bookmarkStart w:id="9487" w:name="_Toc70886865"/>
      <w:bookmarkStart w:id="9488" w:name="_Toc108342424"/>
      <w:bookmarkStart w:id="9489" w:name="_Toc134197956"/>
      <w:r>
        <w:t>Verification of</w:t>
      </w:r>
      <w:r w:rsidRPr="00132C1E">
        <w:t xml:space="preserve"> column-to-column splices</w:t>
      </w:r>
      <w:bookmarkEnd w:id="9484"/>
      <w:bookmarkEnd w:id="9485"/>
      <w:bookmarkEnd w:id="9486"/>
      <w:bookmarkEnd w:id="9487"/>
      <w:bookmarkEnd w:id="9488"/>
      <w:bookmarkEnd w:id="9489"/>
    </w:p>
    <w:p w14:paraId="02383A84" w14:textId="148B6A56" w:rsidR="00821B21" w:rsidRPr="00132C1E" w:rsidRDefault="00821B21" w:rsidP="0080187E">
      <w:pPr>
        <w:pStyle w:val="Clause"/>
        <w:numPr>
          <w:ilvl w:val="0"/>
          <w:numId w:val="378"/>
        </w:numPr>
      </w:pPr>
      <w:r w:rsidRPr="00132C1E">
        <w:t>Column splices may be either bolted or welded or welded to one column and bolted to the other.</w:t>
      </w:r>
    </w:p>
    <w:p w14:paraId="42298410" w14:textId="437B2C33" w:rsidR="00821B21" w:rsidRPr="00975C7C" w:rsidRDefault="00821B21" w:rsidP="00724E4E">
      <w:pPr>
        <w:pStyle w:val="Clause"/>
      </w:pPr>
      <w:r>
        <w:t>F</w:t>
      </w:r>
      <w:r w:rsidRPr="00132C1E">
        <w:t>or all columns</w:t>
      </w:r>
      <w:r>
        <w:t xml:space="preserve"> </w:t>
      </w:r>
      <w:r w:rsidRPr="00132C1E">
        <w:t>of the primary structure, column-to-column splices should be at least 1,20 m away from beam-to-column joints to avoid interaction</w:t>
      </w:r>
      <w:r>
        <w:t>;</w:t>
      </w:r>
      <w:r w:rsidR="003D159A">
        <w:t xml:space="preserve"> </w:t>
      </w:r>
      <w:r>
        <w:t>i</w:t>
      </w:r>
      <w:r w:rsidRPr="00132C1E">
        <w:t>f the storey height is smaller than 2,40 m, column splices should be at half the clear height.</w:t>
      </w:r>
    </w:p>
    <w:p w14:paraId="4DBC36CD" w14:textId="675B7AE4" w:rsidR="00821B21" w:rsidRPr="00867476" w:rsidRDefault="00821B21" w:rsidP="00724E4E">
      <w:pPr>
        <w:pStyle w:val="Clause"/>
      </w:pPr>
      <w:r w:rsidRPr="00132C1E">
        <w:t xml:space="preserve">The required bending moment, shear </w:t>
      </w:r>
      <w:r w:rsidRPr="00867476">
        <w:t>and axial force resistance of column-to-column splices in the primary structure should be the greater of the resistances of the spliced columns, as specified in 11.9 to 11.15.</w:t>
      </w:r>
    </w:p>
    <w:p w14:paraId="488F30E9" w14:textId="35F4E405" w:rsidR="00821B21" w:rsidRPr="003A443F" w:rsidRDefault="00821B21" w:rsidP="00724E4E">
      <w:pPr>
        <w:pStyle w:val="Clause"/>
      </w:pPr>
      <w:r w:rsidRPr="00132C1E">
        <w:t xml:space="preserve">For all columns, including those which are not part of the primary structure (e.g. pinned columns), the required shear resistance </w:t>
      </w:r>
      <w:r w:rsidRPr="004F74EA">
        <w:rPr>
          <w:i/>
        </w:rPr>
        <w:t>V</w:t>
      </w:r>
      <w:r w:rsidRPr="004F74EA">
        <w:rPr>
          <w:vertAlign w:val="subscript"/>
        </w:rPr>
        <w:t>c,Rd</w:t>
      </w:r>
      <w:r w:rsidRPr="00132C1E">
        <w:t xml:space="preserve"> of column splices with respect to both orthogonal axes of </w:t>
      </w:r>
      <w:r w:rsidRPr="003A443F">
        <w:t>the column should satisfy Formula (11.5).</w:t>
      </w:r>
    </w:p>
    <w:p w14:paraId="3862B5E9" w14:textId="278E7312" w:rsidR="00821B21" w:rsidRDefault="009B5CEC" w:rsidP="00821B21">
      <w:pPr>
        <w:pStyle w:val="Formula"/>
        <w:spacing w:before="240"/>
      </w:pPr>
      <m:oMath>
        <m:sSub>
          <m:sSubPr>
            <m:ctrlPr>
              <w:rPr>
                <w:rFonts w:ascii="Cambria Math" w:hAnsi="Cambria Math"/>
              </w:rPr>
            </m:ctrlPr>
          </m:sSubPr>
          <m:e>
            <m:r>
              <w:rPr>
                <w:rFonts w:ascii="Cambria Math" w:hAnsi="Cambria Math"/>
              </w:rPr>
              <m:t>V</m:t>
            </m:r>
          </m:e>
          <m:sub>
            <m:r>
              <m:rPr>
                <m:sty m:val="p"/>
              </m:rPr>
              <w:rPr>
                <w:rFonts w:ascii="Cambria Math" w:hAnsi="Cambria Math"/>
              </w:rPr>
              <m:t>Rd,c</m:t>
            </m:r>
          </m:sub>
        </m:sSub>
        <m:r>
          <w:rPr>
            <w:rFonts w:ascii="Cambria Math" w:hAnsi="Cambria Math"/>
          </w:rPr>
          <m:t>≥</m:t>
        </m:r>
        <m:f>
          <m:fPr>
            <m:ctrlPr>
              <w:rPr>
                <w:rFonts w:ascii="Cambria Math" w:hAnsi="Cambria Math"/>
              </w:rPr>
            </m:ctrlPr>
          </m:fPr>
          <m:num>
            <m:r>
              <w:rPr>
                <w:rFonts w:ascii="Cambria Math" w:hAnsi="Cambria Math"/>
              </w:rPr>
              <m:t>2</m:t>
            </m:r>
            <m:sSub>
              <m:sSubPr>
                <m:ctrlPr>
                  <w:rPr>
                    <w:rFonts w:ascii="Cambria Math" w:hAnsi="Cambria Math"/>
                  </w:rPr>
                </m:ctrlPr>
              </m:sSubPr>
              <m:e>
                <m:r>
                  <w:rPr>
                    <w:rFonts w:ascii="Cambria Math" w:hAnsi="Cambria Math"/>
                  </w:rPr>
                  <m:t>M</m:t>
                </m:r>
              </m:e>
              <m:sub>
                <m:r>
                  <m:rPr>
                    <m:sty m:val="p"/>
                  </m:rPr>
                  <w:rPr>
                    <w:rFonts w:ascii="Cambria Math" w:hAnsi="Cambria Math"/>
                  </w:rPr>
                  <m:t>pl,Rd,c</m:t>
                </m:r>
              </m:sub>
            </m:sSub>
            <m:d>
              <m:dPr>
                <m:ctrlPr>
                  <w:rPr>
                    <w:rFonts w:ascii="Cambria Math" w:hAnsi="Cambria Math"/>
                  </w:rPr>
                </m:ctrlPr>
              </m:dPr>
              <m:e>
                <m:sSub>
                  <m:sSubPr>
                    <m:ctrlPr>
                      <w:rPr>
                        <w:rFonts w:ascii="Cambria Math" w:hAnsi="Cambria Math"/>
                      </w:rPr>
                    </m:ctrlPr>
                  </m:sSubPr>
                  <m:e>
                    <m:r>
                      <w:rPr>
                        <w:rFonts w:ascii="Cambria Math" w:hAnsi="Cambria Math"/>
                      </w:rPr>
                      <m:t>N</m:t>
                    </m:r>
                  </m:e>
                  <m:sub>
                    <m:r>
                      <m:rPr>
                        <m:sty m:val="p"/>
                      </m:rPr>
                      <w:rPr>
                        <w:rFonts w:ascii="Cambria Math" w:hAnsi="Cambria Math"/>
                      </w:rPr>
                      <m:t>Ed</m:t>
                    </m:r>
                  </m:sub>
                </m:sSub>
              </m:e>
            </m:d>
          </m:num>
          <m:den>
            <m:sSub>
              <m:sSubPr>
                <m:ctrlPr>
                  <w:rPr>
                    <w:rFonts w:ascii="Cambria Math" w:hAnsi="Cambria Math"/>
                  </w:rPr>
                </m:ctrlPr>
              </m:sSubPr>
              <m:e>
                <m:r>
                  <w:rPr>
                    <w:rFonts w:ascii="Cambria Math" w:hAnsi="Cambria Math"/>
                  </w:rPr>
                  <m:t>h</m:t>
                </m:r>
              </m:e>
              <m:sub>
                <m:r>
                  <m:rPr>
                    <m:sty m:val="p"/>
                  </m:rPr>
                  <w:rPr>
                    <w:rFonts w:ascii="Cambria Math" w:hAnsi="Cambria Math"/>
                  </w:rPr>
                  <m:t>ss</m:t>
                </m:r>
              </m:sub>
            </m:sSub>
          </m:den>
        </m:f>
      </m:oMath>
      <w:r w:rsidR="00821B21" w:rsidRPr="00870D59">
        <w:tab/>
        <w:t>(1</w:t>
      </w:r>
      <w:r w:rsidR="00821B21">
        <w:t>1</w:t>
      </w:r>
      <w:r w:rsidR="00821B21" w:rsidRPr="00870D59">
        <w:t>.</w:t>
      </w:r>
      <w:r w:rsidR="003D159A">
        <w:t>5</w:t>
      </w:r>
      <w:r w:rsidR="00821B21" w:rsidRPr="00870D59">
        <w:t>)</w:t>
      </w:r>
    </w:p>
    <w:p w14:paraId="3DE9833C" w14:textId="31550757" w:rsidR="00821B21" w:rsidRDefault="00675EBA" w:rsidP="00821B21">
      <w:r>
        <w:t>where</w:t>
      </w:r>
    </w:p>
    <w:tbl>
      <w:tblPr>
        <w:tblW w:w="0" w:type="auto"/>
        <w:tblInd w:w="284" w:type="dxa"/>
        <w:tblLook w:val="04A0" w:firstRow="1" w:lastRow="0" w:firstColumn="1" w:lastColumn="0" w:noHBand="0" w:noVBand="1"/>
      </w:tblPr>
      <w:tblGrid>
        <w:gridCol w:w="1337"/>
        <w:gridCol w:w="7938"/>
      </w:tblGrid>
      <w:tr w:rsidR="00821B21" w:rsidRPr="00821B21" w14:paraId="6E4850F0" w14:textId="77777777" w:rsidTr="007D7E6D">
        <w:tc>
          <w:tcPr>
            <w:tcW w:w="1337" w:type="dxa"/>
          </w:tcPr>
          <w:p w14:paraId="425C7B99" w14:textId="2E6F4B74" w:rsidR="00821B21" w:rsidRPr="00821B21" w:rsidRDefault="003D159A" w:rsidP="002061E5">
            <w:pPr>
              <w:spacing w:after="60"/>
              <w:rPr>
                <w:rFonts w:eastAsia="Times New Roman" w:cs="Cambria"/>
                <w:szCs w:val="20"/>
                <w:lang w:eastAsia="fr-FR"/>
              </w:rPr>
            </w:pPr>
            <w:r w:rsidRPr="00D1484A">
              <w:rPr>
                <w:i/>
                <w:iCs/>
              </w:rPr>
              <w:t>M</w:t>
            </w:r>
            <w:r w:rsidRPr="007E6F67">
              <w:rPr>
                <w:vertAlign w:val="subscript"/>
              </w:rPr>
              <w:t>pl,Rd</w:t>
            </w:r>
            <w:r w:rsidRPr="00FD17CF">
              <w:rPr>
                <w:vertAlign w:val="subscript"/>
              </w:rPr>
              <w:t>,c</w:t>
            </w:r>
            <w:r w:rsidRPr="00FD17CF">
              <w:t>(</w:t>
            </w:r>
            <w:r w:rsidRPr="00230937">
              <w:rPr>
                <w:i/>
                <w:iCs/>
              </w:rPr>
              <w:t>N</w:t>
            </w:r>
            <w:r w:rsidRPr="00FD17CF">
              <w:rPr>
                <w:vertAlign w:val="subscript"/>
              </w:rPr>
              <w:t>Ed</w:t>
            </w:r>
            <w:r w:rsidRPr="00FD17CF">
              <w:t>)</w:t>
            </w:r>
          </w:p>
        </w:tc>
        <w:tc>
          <w:tcPr>
            <w:tcW w:w="7938" w:type="dxa"/>
          </w:tcPr>
          <w:p w14:paraId="70FE7E83" w14:textId="3D10F325" w:rsidR="00821B21" w:rsidRPr="00821B21" w:rsidRDefault="003D159A" w:rsidP="002061E5">
            <w:pPr>
              <w:spacing w:after="60"/>
              <w:rPr>
                <w:rFonts w:eastAsia="Times New Roman" w:cs="Cambria"/>
                <w:szCs w:val="20"/>
                <w:lang w:eastAsia="fr-FR"/>
              </w:rPr>
            </w:pPr>
            <w:r w:rsidRPr="00FD17CF">
              <w:t xml:space="preserve">is the design moment resistance of the column in the considered direction, taking into account the interaction with the axial load </w:t>
            </w:r>
            <w:r w:rsidRPr="00644C3D">
              <w:rPr>
                <w:i/>
                <w:iCs/>
              </w:rPr>
              <w:t>N</w:t>
            </w:r>
            <w:r w:rsidRPr="00E05E29">
              <w:rPr>
                <w:vertAlign w:val="subscript"/>
              </w:rPr>
              <w:t>Ed</w:t>
            </w:r>
            <w:r w:rsidRPr="00E05E29">
              <w:t>, in the seismic design situation;</w:t>
            </w:r>
          </w:p>
        </w:tc>
      </w:tr>
      <w:tr w:rsidR="00821B21" w:rsidRPr="00870D59" w14:paraId="0DA30060" w14:textId="77777777" w:rsidTr="007D7E6D">
        <w:tc>
          <w:tcPr>
            <w:tcW w:w="1337" w:type="dxa"/>
          </w:tcPr>
          <w:p w14:paraId="6755F003" w14:textId="681839DA" w:rsidR="00821B21" w:rsidRPr="00D1484A" w:rsidRDefault="003D159A" w:rsidP="002061E5">
            <w:pPr>
              <w:spacing w:after="60"/>
              <w:rPr>
                <w:i/>
                <w:iCs/>
              </w:rPr>
            </w:pPr>
            <w:r w:rsidRPr="00E05E29">
              <w:rPr>
                <w:i/>
              </w:rPr>
              <w:t>h</w:t>
            </w:r>
            <w:r w:rsidRPr="00E05E29">
              <w:rPr>
                <w:iCs/>
                <w:vertAlign w:val="subscript"/>
              </w:rPr>
              <w:t>ss</w:t>
            </w:r>
          </w:p>
        </w:tc>
        <w:tc>
          <w:tcPr>
            <w:tcW w:w="7938" w:type="dxa"/>
          </w:tcPr>
          <w:p w14:paraId="66E5816C" w14:textId="3E409C01" w:rsidR="00821B21" w:rsidRPr="00821B21" w:rsidRDefault="003D159A" w:rsidP="002061E5">
            <w:r w:rsidRPr="00E05E29">
              <w:t>is the distance between the upper flanges of the steel profiles or the tops of floor slabs at each of the levels above and below the splice.</w:t>
            </w:r>
          </w:p>
        </w:tc>
      </w:tr>
    </w:tbl>
    <w:p w14:paraId="761025D8" w14:textId="77777777" w:rsidR="00382A70" w:rsidRPr="00E05E29" w:rsidRDefault="00382A70" w:rsidP="00382A70">
      <w:pPr>
        <w:pStyle w:val="Heading2"/>
      </w:pPr>
      <w:bookmarkStart w:id="9490" w:name="_Toc509405056"/>
      <w:bookmarkStart w:id="9491" w:name="_Toc76379868"/>
      <w:bookmarkStart w:id="9492" w:name="_Toc494124727"/>
      <w:bookmarkStart w:id="9493" w:name="_Toc50150434"/>
      <w:bookmarkStart w:id="9494" w:name="_Toc70886866"/>
      <w:bookmarkStart w:id="9495" w:name="_Toc108342425"/>
      <w:bookmarkStart w:id="9496" w:name="_Toc134197957"/>
      <w:bookmarkStart w:id="9497" w:name="_Toc483723229"/>
      <w:bookmarkStart w:id="9498" w:name="_Toc483723564"/>
      <w:bookmarkStart w:id="9499" w:name="_Toc484520878"/>
      <w:r w:rsidRPr="00E05E29">
        <w:lastRenderedPageBreak/>
        <w:t>Design rules for moment resisting frames</w:t>
      </w:r>
      <w:bookmarkStart w:id="9500" w:name="_Toc522955929"/>
      <w:bookmarkStart w:id="9501" w:name="_Toc18314120"/>
      <w:bookmarkEnd w:id="9490"/>
      <w:bookmarkEnd w:id="9491"/>
      <w:bookmarkEnd w:id="9492"/>
      <w:bookmarkEnd w:id="9493"/>
      <w:bookmarkEnd w:id="9494"/>
      <w:bookmarkEnd w:id="9495"/>
      <w:bookmarkEnd w:id="9500"/>
      <w:bookmarkEnd w:id="9501"/>
      <w:bookmarkEnd w:id="9496"/>
    </w:p>
    <w:p w14:paraId="6488B5E5" w14:textId="77777777" w:rsidR="00382A70" w:rsidRPr="00E05E29" w:rsidRDefault="00382A70" w:rsidP="00382A70">
      <w:pPr>
        <w:pStyle w:val="Heading3"/>
      </w:pPr>
      <w:bookmarkStart w:id="9502" w:name="_Toc509405057"/>
      <w:bookmarkStart w:id="9503" w:name="_Toc76379869"/>
      <w:bookmarkStart w:id="9504" w:name="_Toc494124728"/>
      <w:r w:rsidRPr="00E05E29">
        <w:t xml:space="preserve"> </w:t>
      </w:r>
      <w:bookmarkStart w:id="9505" w:name="_Toc50150435"/>
      <w:bookmarkStart w:id="9506" w:name="_Toc70886867"/>
      <w:bookmarkStart w:id="9507" w:name="_Toc108342426"/>
      <w:bookmarkStart w:id="9508" w:name="_Toc134197958"/>
      <w:r w:rsidRPr="00E05E29">
        <w:t>Design criteria</w:t>
      </w:r>
      <w:bookmarkStart w:id="9509" w:name="_Toc522955930"/>
      <w:bookmarkStart w:id="9510" w:name="_Toc18314121"/>
      <w:bookmarkEnd w:id="9497"/>
      <w:bookmarkEnd w:id="9498"/>
      <w:bookmarkEnd w:id="9499"/>
      <w:bookmarkEnd w:id="9502"/>
      <w:bookmarkEnd w:id="9503"/>
      <w:bookmarkEnd w:id="9504"/>
      <w:bookmarkEnd w:id="9505"/>
      <w:bookmarkEnd w:id="9506"/>
      <w:bookmarkEnd w:id="9507"/>
      <w:bookmarkEnd w:id="9509"/>
      <w:bookmarkEnd w:id="9510"/>
      <w:bookmarkEnd w:id="9508"/>
    </w:p>
    <w:p w14:paraId="6BB6F7B8" w14:textId="1C85C199" w:rsidR="00382A70" w:rsidRPr="00E05E29" w:rsidRDefault="00382A70" w:rsidP="0080187E">
      <w:pPr>
        <w:pStyle w:val="Clause"/>
        <w:numPr>
          <w:ilvl w:val="0"/>
          <w:numId w:val="379"/>
        </w:numPr>
      </w:pPr>
      <w:r w:rsidRPr="00E05E29">
        <w:t>In DC3, moment resisting frames should be designed so that plastic hinges form in the beams or in the connections of the beams to the columns, but not in the columns. This rule may be neglected</w:t>
      </w:r>
      <w:r w:rsidRPr="00E05E29" w:rsidDel="00284FF1">
        <w:t xml:space="preserve"> </w:t>
      </w:r>
      <w:r w:rsidRPr="00E05E29">
        <w:t>in cases a) to c):</w:t>
      </w:r>
    </w:p>
    <w:p w14:paraId="654A2C67" w14:textId="77777777" w:rsidR="00382A70" w:rsidRPr="00E05E29" w:rsidRDefault="00382A70" w:rsidP="0080187E">
      <w:pPr>
        <w:pStyle w:val="Text"/>
        <w:numPr>
          <w:ilvl w:val="0"/>
          <w:numId w:val="643"/>
        </w:numPr>
      </w:pPr>
      <w:r w:rsidRPr="00E05E29">
        <w:t xml:space="preserve">at the base of the frame in which </w:t>
      </w:r>
      <w:r w:rsidRPr="00E05E29">
        <w:rPr>
          <w:i/>
        </w:rPr>
        <w:t>N</w:t>
      </w:r>
      <w:r w:rsidRPr="00E05E29">
        <w:rPr>
          <w:vertAlign w:val="subscript"/>
        </w:rPr>
        <w:t>Ed,G</w:t>
      </w:r>
      <w:r w:rsidRPr="00E05E29">
        <w:t xml:space="preserve"> in primary columns satisfies the inequality: </w:t>
      </w:r>
      <w:r w:rsidRPr="00E05E29">
        <w:rPr>
          <w:i/>
        </w:rPr>
        <w:t>N</w:t>
      </w:r>
      <w:r w:rsidRPr="00E05E29">
        <w:rPr>
          <w:vertAlign w:val="subscript"/>
        </w:rPr>
        <w:t>Ed,G</w:t>
      </w:r>
      <w:r w:rsidRPr="00E05E29">
        <w:t xml:space="preserve"> / </w:t>
      </w:r>
      <w:r w:rsidRPr="00E05E29">
        <w:rPr>
          <w:i/>
        </w:rPr>
        <w:t>N</w:t>
      </w:r>
      <w:r w:rsidRPr="00E05E29">
        <w:rPr>
          <w:vertAlign w:val="subscript"/>
        </w:rPr>
        <w:t>pl,Rd</w:t>
      </w:r>
      <w:r w:rsidRPr="00E05E29">
        <w:t xml:space="preserve"> &lt; 0,3;</w:t>
      </w:r>
    </w:p>
    <w:p w14:paraId="69964E3F" w14:textId="77777777" w:rsidR="00382A70" w:rsidRPr="00E05E29" w:rsidRDefault="00382A70" w:rsidP="0080187E">
      <w:pPr>
        <w:pStyle w:val="Text"/>
        <w:numPr>
          <w:ilvl w:val="0"/>
          <w:numId w:val="643"/>
        </w:numPr>
      </w:pPr>
      <w:r w:rsidRPr="00E05E29">
        <w:t>at the top of primary columns in the upper storey of multi-storey buildings;</w:t>
      </w:r>
    </w:p>
    <w:p w14:paraId="4644B721" w14:textId="77777777" w:rsidR="00382A70" w:rsidRPr="00E05E29" w:rsidRDefault="00382A70" w:rsidP="0080187E">
      <w:pPr>
        <w:pStyle w:val="Text"/>
        <w:numPr>
          <w:ilvl w:val="0"/>
          <w:numId w:val="643"/>
        </w:numPr>
      </w:pPr>
      <w:r w:rsidRPr="00E05E29">
        <w:t xml:space="preserve">at the top and bottom of primary columns in single storey buildings in which </w:t>
      </w:r>
      <w:r w:rsidRPr="00E05E29">
        <w:rPr>
          <w:i/>
        </w:rPr>
        <w:t>N</w:t>
      </w:r>
      <w:r w:rsidRPr="00E05E29">
        <w:rPr>
          <w:vertAlign w:val="subscript"/>
        </w:rPr>
        <w:t>Ed,G</w:t>
      </w:r>
      <w:r w:rsidRPr="00E05E29">
        <w:t xml:space="preserve"> in columns satisfies the inequality: </w:t>
      </w:r>
      <w:r w:rsidRPr="00E05E29">
        <w:rPr>
          <w:i/>
        </w:rPr>
        <w:t>N</w:t>
      </w:r>
      <w:r w:rsidRPr="00E05E29">
        <w:rPr>
          <w:vertAlign w:val="subscript"/>
        </w:rPr>
        <w:t>Ed,G</w:t>
      </w:r>
      <w:r w:rsidRPr="00E05E29">
        <w:t xml:space="preserve"> / </w:t>
      </w:r>
      <w:r w:rsidRPr="00E05E29">
        <w:rPr>
          <w:i/>
        </w:rPr>
        <w:t>N</w:t>
      </w:r>
      <w:r w:rsidRPr="00E05E29">
        <w:rPr>
          <w:vertAlign w:val="subscript"/>
        </w:rPr>
        <w:t>pl,Rd</w:t>
      </w:r>
      <w:r w:rsidRPr="00E05E29">
        <w:t xml:space="preserve"> &lt; 0,3.</w:t>
      </w:r>
    </w:p>
    <w:p w14:paraId="55324A93" w14:textId="17290A88" w:rsidR="00382A70" w:rsidRPr="00867476" w:rsidRDefault="00382A70" w:rsidP="00724E4E">
      <w:pPr>
        <w:pStyle w:val="Clause"/>
      </w:pPr>
      <w:r w:rsidRPr="00E05E29">
        <w:t xml:space="preserve">Depending on the location of the dissipative zones, </w:t>
      </w:r>
      <w:r w:rsidRPr="00867476">
        <w:t>either 11.8.2(4) or 11.8.2(5) should be applied.</w:t>
      </w:r>
    </w:p>
    <w:p w14:paraId="0563BE3A" w14:textId="0E8C89F5" w:rsidR="00382A70" w:rsidRPr="00867476" w:rsidRDefault="00382A70" w:rsidP="00724E4E">
      <w:pPr>
        <w:pStyle w:val="Clause"/>
      </w:pPr>
      <w:r w:rsidRPr="00867476">
        <w:t xml:space="preserve">The target hinge formation pattern </w:t>
      </w:r>
      <w:r w:rsidR="00EF3C98" w:rsidRPr="00867476">
        <w:t>should</w:t>
      </w:r>
      <w:r w:rsidRPr="00867476">
        <w:t xml:space="preserve"> d be achieved by conforming to 11.9.2, 11.9.3 and 11.9.4.</w:t>
      </w:r>
    </w:p>
    <w:p w14:paraId="5E855BDC" w14:textId="0EB9AF74" w:rsidR="00382A70" w:rsidRPr="00E05E29" w:rsidRDefault="00382A70" w:rsidP="00382A70">
      <w:pPr>
        <w:pStyle w:val="Heading3"/>
      </w:pPr>
      <w:bookmarkStart w:id="9511" w:name="_Toc50150436"/>
      <w:bookmarkStart w:id="9512" w:name="_Toc70886868"/>
      <w:bookmarkStart w:id="9513" w:name="_Toc108342427"/>
      <w:bookmarkStart w:id="9514" w:name="_Toc483723230"/>
      <w:bookmarkStart w:id="9515" w:name="_Toc483723565"/>
      <w:bookmarkStart w:id="9516" w:name="_Toc484520879"/>
      <w:bookmarkStart w:id="9517" w:name="_Toc509405058"/>
      <w:bookmarkStart w:id="9518" w:name="_Toc76379870"/>
      <w:bookmarkStart w:id="9519" w:name="_Toc494124729"/>
      <w:bookmarkStart w:id="9520" w:name="_Toc522955931"/>
      <w:bookmarkStart w:id="9521" w:name="_Toc18314122"/>
      <w:bookmarkStart w:id="9522" w:name="_Toc134197959"/>
      <w:r>
        <w:t>Verification of b</w:t>
      </w:r>
      <w:r w:rsidRPr="00E05E29">
        <w:t>eams</w:t>
      </w:r>
      <w:bookmarkEnd w:id="9511"/>
      <w:bookmarkEnd w:id="9512"/>
      <w:bookmarkEnd w:id="9513"/>
      <w:bookmarkEnd w:id="9514"/>
      <w:bookmarkEnd w:id="9515"/>
      <w:bookmarkEnd w:id="9516"/>
      <w:bookmarkEnd w:id="9517"/>
      <w:bookmarkEnd w:id="9518"/>
      <w:bookmarkEnd w:id="9519"/>
      <w:bookmarkEnd w:id="9520"/>
      <w:bookmarkEnd w:id="9521"/>
      <w:bookmarkEnd w:id="9522"/>
    </w:p>
    <w:p w14:paraId="3D21E7E1" w14:textId="29D5FC38" w:rsidR="00382A70" w:rsidRPr="00867476" w:rsidRDefault="00382A70" w:rsidP="0080187E">
      <w:pPr>
        <w:pStyle w:val="Clause"/>
        <w:numPr>
          <w:ilvl w:val="0"/>
          <w:numId w:val="380"/>
        </w:numPr>
      </w:pPr>
      <w:r w:rsidRPr="00E05E29">
        <w:t xml:space="preserve">Beams should be verified to have sufficient resistance against lateral and lateral torsional buckling in </w:t>
      </w:r>
      <w:r w:rsidRPr="009507BC">
        <w:t xml:space="preserve">accordance </w:t>
      </w:r>
      <w:r w:rsidRPr="00382A70">
        <w:t>with EN</w:t>
      </w:r>
      <w:r w:rsidR="00867476">
        <w:t> </w:t>
      </w:r>
      <w:r w:rsidRPr="00382A70">
        <w:t>1993-1-1:</w:t>
      </w:r>
      <w:r w:rsidR="004D4FF0">
        <w:t>2022, 8.3.5</w:t>
      </w:r>
      <w:r w:rsidRPr="00382A70">
        <w:t xml:space="preserve"> assuming the formation of a plastic hinge at one end of the beam namely the plastic moment in one end </w:t>
      </w:r>
      <w:r w:rsidRPr="009507BC">
        <w:t xml:space="preserve">and the design moment in the other end. The most stressed beam end in the seismic design situation should be considered for the verification. This condition may be considered satisfied if lateral-torsional restraints are detailed in accordance </w:t>
      </w:r>
      <w:r w:rsidRPr="00867476">
        <w:t>with (3) in DC2 and (4) in DC3.</w:t>
      </w:r>
    </w:p>
    <w:p w14:paraId="58C97E39" w14:textId="4FFC1A03" w:rsidR="00382A70" w:rsidRPr="009507BC" w:rsidRDefault="00382A70" w:rsidP="00382A70">
      <w:pPr>
        <w:pStyle w:val="Notetext"/>
      </w:pPr>
      <w:r w:rsidRPr="009507BC">
        <w:t>NOTE</w:t>
      </w:r>
      <w:r w:rsidRPr="009507BC">
        <w:tab/>
        <w:t xml:space="preserve">If partial strength or friction connections are used, the lateral torsional buckling of the beam </w:t>
      </w:r>
      <w:r w:rsidR="00155F8D">
        <w:t>can</w:t>
      </w:r>
      <w:r w:rsidR="00155F8D" w:rsidRPr="009507BC">
        <w:t xml:space="preserve"> </w:t>
      </w:r>
      <w:r w:rsidRPr="009507BC">
        <w:t>be verified assuming the ultimate expected moment resistance of the connection at one end of the beam.</w:t>
      </w:r>
    </w:p>
    <w:p w14:paraId="1D79BAAD" w14:textId="19B29FDE" w:rsidR="00382A70" w:rsidRPr="009507BC" w:rsidRDefault="00382A70" w:rsidP="00724E4E">
      <w:pPr>
        <w:pStyle w:val="Clause"/>
      </w:pPr>
      <w:r w:rsidRPr="009507BC">
        <w:t>There should not be openings in the web of beams in dissipative zone and in the vicinity of dissipative zones up to a distance equal to 3 times the beam depth from the beam end or from the centre of the reduced beam section, if any.</w:t>
      </w:r>
    </w:p>
    <w:p w14:paraId="61FB2EF3" w14:textId="157EB424" w:rsidR="00382A70" w:rsidRPr="009507BC" w:rsidRDefault="00382A70" w:rsidP="00724E4E">
      <w:pPr>
        <w:pStyle w:val="Clause"/>
      </w:pPr>
      <w:r w:rsidRPr="009507BC">
        <w:t xml:space="preserve">In DC2, the spacing and the resistance of lateral-torsional restraints (e.g. bracing) should comply with </w:t>
      </w:r>
      <w:r w:rsidRPr="003A443F">
        <w:t>EN</w:t>
      </w:r>
      <w:r w:rsidR="00867476">
        <w:t> </w:t>
      </w:r>
      <w:r w:rsidRPr="003A443F">
        <w:t>1993:1-1:</w:t>
      </w:r>
      <w:r w:rsidRPr="004D4FF0">
        <w:t>20</w:t>
      </w:r>
      <w:r w:rsidR="004D4FF0" w:rsidRPr="00357B79">
        <w:t>22, 8.3.5</w:t>
      </w:r>
      <w:r w:rsidR="004D4FF0" w:rsidRPr="00357B79">
        <w:rPr>
          <w:bCs/>
        </w:rPr>
        <w:t>.3</w:t>
      </w:r>
      <w:r w:rsidRPr="009507BC">
        <w:t>.</w:t>
      </w:r>
    </w:p>
    <w:p w14:paraId="7C4511A4" w14:textId="36B0FB09" w:rsidR="00382A70" w:rsidRPr="00E05E29" w:rsidRDefault="00382A70" w:rsidP="00724E4E">
      <w:pPr>
        <w:pStyle w:val="Clause"/>
      </w:pPr>
      <w:r w:rsidRPr="00E05E29">
        <w:t xml:space="preserve">In DC3, the </w:t>
      </w:r>
      <w:bookmarkStart w:id="9523" w:name="_Hlk38808594"/>
      <w:r w:rsidRPr="00E05E29">
        <w:t xml:space="preserve">distance between lateral-torsional restraints should not be greater than the length </w:t>
      </w:r>
      <w:r w:rsidRPr="004F74EA">
        <w:rPr>
          <w:i/>
        </w:rPr>
        <w:t>L</w:t>
      </w:r>
      <w:r w:rsidRPr="004F74EA">
        <w:rPr>
          <w:vertAlign w:val="subscript"/>
        </w:rPr>
        <w:t>st</w:t>
      </w:r>
      <w:r w:rsidRPr="00E05E29">
        <w:t xml:space="preserve"> </w:t>
      </w:r>
      <w:bookmarkEnd w:id="9523"/>
      <w:r w:rsidRPr="00E05E29">
        <w:t xml:space="preserve">given by </w:t>
      </w:r>
      <w:r w:rsidRPr="003A443F">
        <w:t>Formula (11.6).</w:t>
      </w:r>
    </w:p>
    <w:p w14:paraId="23D6BE6B" w14:textId="3DDE1B35" w:rsidR="00382A70" w:rsidRDefault="009B5CEC" w:rsidP="00382A70">
      <w:pPr>
        <w:pStyle w:val="Formula"/>
        <w:spacing w:before="240"/>
      </w:pPr>
      <m:oMath>
        <m:sSub>
          <m:sSubPr>
            <m:ctrlPr>
              <w:rPr>
                <w:rFonts w:ascii="Cambria Math" w:hAnsi="Cambria Math"/>
              </w:rPr>
            </m:ctrlPr>
          </m:sSubPr>
          <m:e>
            <m:r>
              <w:rPr>
                <w:rFonts w:ascii="Cambria Math" w:hAnsi="Cambria Math"/>
              </w:rPr>
              <m:t>L</m:t>
            </m:r>
          </m:e>
          <m:sub>
            <m:r>
              <m:rPr>
                <m:sty m:val="p"/>
              </m:rPr>
              <w:rPr>
                <w:rFonts w:ascii="Cambria Math" w:hAnsi="Cambria Math"/>
              </w:rPr>
              <m:t>st</m:t>
            </m:r>
          </m:sub>
        </m:sSub>
        <m:r>
          <w:rPr>
            <w:rFonts w:ascii="Cambria Math" w:hAnsi="Cambria Math"/>
          </w:rPr>
          <m:t xml:space="preserve">=0,19 </m:t>
        </m:r>
        <m:sSub>
          <m:sSubPr>
            <m:ctrlPr>
              <w:rPr>
                <w:rFonts w:ascii="Cambria Math" w:hAnsi="Cambria Math"/>
              </w:rPr>
            </m:ctrlPr>
          </m:sSubPr>
          <m:e>
            <m:r>
              <w:rPr>
                <w:rFonts w:ascii="Cambria Math" w:hAnsi="Cambria Math"/>
              </w:rPr>
              <m:t>i</m:t>
            </m:r>
          </m:e>
          <m:sub>
            <m:r>
              <m:rPr>
                <m:sty m:val="p"/>
              </m:rPr>
              <w:rPr>
                <w:rFonts w:ascii="Cambria Math" w:hAnsi="Cambria Math"/>
              </w:rPr>
              <m:t>z</m:t>
            </m:r>
          </m:sub>
        </m:sSub>
        <m:f>
          <m:fPr>
            <m:type m:val="lin"/>
            <m:ctrlPr>
              <w:rPr>
                <w:rFonts w:ascii="Cambria Math" w:hAnsi="Cambria Math"/>
              </w:rPr>
            </m:ctrlPr>
          </m:fPr>
          <m:num>
            <m:sSub>
              <m:sSubPr>
                <m:ctrlPr>
                  <w:rPr>
                    <w:rFonts w:ascii="Cambria Math" w:hAnsi="Cambria Math"/>
                  </w:rPr>
                </m:ctrlPr>
              </m:sSubPr>
              <m:e>
                <m:r>
                  <w:rPr>
                    <w:rFonts w:ascii="Cambria Math" w:hAnsi="Cambria Math"/>
                  </w:rPr>
                  <m:t>E</m:t>
                </m:r>
              </m:e>
              <m:sub>
                <m:r>
                  <m:rPr>
                    <m:sty m:val="p"/>
                  </m:rPr>
                  <w:rPr>
                    <w:rFonts w:ascii="Cambria Math" w:hAnsi="Cambria Math"/>
                  </w:rPr>
                  <m:t>s</m:t>
                </m:r>
              </m:sub>
            </m:sSub>
          </m:num>
          <m:den>
            <m:d>
              <m:dPr>
                <m:ctrlPr>
                  <w:rPr>
                    <w:rFonts w:ascii="Cambria Math" w:hAnsi="Cambria Math"/>
                  </w:rPr>
                </m:ctrlPr>
              </m:dPr>
              <m:e>
                <m:sSub>
                  <m:sSubPr>
                    <m:ctrlPr>
                      <w:rPr>
                        <w:rFonts w:ascii="Cambria Math" w:hAnsi="Cambria Math"/>
                      </w:rPr>
                    </m:ctrlPr>
                  </m:sSubPr>
                  <m:e>
                    <m:r>
                      <w:rPr>
                        <w:rFonts w:ascii="Cambria Math" w:hAnsi="Cambria Math"/>
                      </w:rPr>
                      <m:t>ω</m:t>
                    </m:r>
                  </m:e>
                  <m:sub>
                    <m:r>
                      <m:rPr>
                        <m:sty m:val="p"/>
                      </m:rPr>
                      <w:rPr>
                        <w:rFonts w:ascii="Cambria Math" w:hAnsi="Cambria Math"/>
                      </w:rPr>
                      <m:t>rm</m:t>
                    </m:r>
                  </m:sub>
                </m:sSub>
                <m:r>
                  <w:rPr>
                    <w:rFonts w:ascii="Cambria Math" w:hAnsi="Cambria Math"/>
                  </w:rPr>
                  <m:t xml:space="preserve"> </m:t>
                </m:r>
                <m:sSub>
                  <m:sSubPr>
                    <m:ctrlPr>
                      <w:rPr>
                        <w:rFonts w:ascii="Cambria Math" w:hAnsi="Cambria Math"/>
                      </w:rPr>
                    </m:ctrlPr>
                  </m:sSubPr>
                  <m:e>
                    <m:r>
                      <w:rPr>
                        <w:rFonts w:ascii="Cambria Math" w:hAnsi="Cambria Math"/>
                      </w:rPr>
                      <m:t>f</m:t>
                    </m:r>
                  </m:e>
                  <m:sub>
                    <m:r>
                      <m:rPr>
                        <m:sty m:val="p"/>
                      </m:rPr>
                      <w:rPr>
                        <w:rFonts w:ascii="Cambria Math" w:hAnsi="Cambria Math"/>
                      </w:rPr>
                      <m:t>y</m:t>
                    </m:r>
                  </m:sub>
                </m:sSub>
              </m:e>
            </m:d>
          </m:den>
        </m:f>
        <m:r>
          <w:rPr>
            <w:rFonts w:ascii="Cambria Math" w:hAnsi="Cambria Math"/>
          </w:rPr>
          <m:t xml:space="preserve"> </m:t>
        </m:r>
      </m:oMath>
      <w:r w:rsidR="00382A70" w:rsidRPr="00870D59">
        <w:tab/>
        <w:t>(1</w:t>
      </w:r>
      <w:r w:rsidR="00382A70">
        <w:t>1</w:t>
      </w:r>
      <w:r w:rsidR="00382A70" w:rsidRPr="00870D59">
        <w:t>.</w:t>
      </w:r>
      <w:r w:rsidR="00B1167D">
        <w:t>6</w:t>
      </w:r>
      <w:r w:rsidR="00382A70" w:rsidRPr="00870D59">
        <w:t>)</w:t>
      </w:r>
    </w:p>
    <w:p w14:paraId="0053CEA4" w14:textId="05DFE032" w:rsidR="00382A70" w:rsidRDefault="00675EBA" w:rsidP="00382A70">
      <w:r>
        <w:t>where</w:t>
      </w:r>
    </w:p>
    <w:tbl>
      <w:tblPr>
        <w:tblW w:w="0" w:type="auto"/>
        <w:tblInd w:w="346" w:type="dxa"/>
        <w:tblLook w:val="04A0" w:firstRow="1" w:lastRow="0" w:firstColumn="1" w:lastColumn="0" w:noHBand="0" w:noVBand="1"/>
      </w:tblPr>
      <w:tblGrid>
        <w:gridCol w:w="1275"/>
        <w:gridCol w:w="7938"/>
      </w:tblGrid>
      <w:tr w:rsidR="00382A70" w:rsidRPr="00821B21" w14:paraId="3FE3FEFB" w14:textId="77777777" w:rsidTr="007D7E6D">
        <w:tc>
          <w:tcPr>
            <w:tcW w:w="1275" w:type="dxa"/>
          </w:tcPr>
          <w:p w14:paraId="2A2B0CCC" w14:textId="45C8BDB1" w:rsidR="00382A70" w:rsidRPr="00821B21" w:rsidRDefault="00B1167D" w:rsidP="002061E5">
            <w:pPr>
              <w:spacing w:after="60"/>
              <w:rPr>
                <w:rFonts w:eastAsia="Times New Roman" w:cs="Cambria"/>
                <w:szCs w:val="20"/>
                <w:lang w:eastAsia="fr-FR"/>
              </w:rPr>
            </w:pPr>
            <w:r w:rsidRPr="00FD17CF">
              <w:rPr>
                <w:i/>
              </w:rPr>
              <w:t>i</w:t>
            </w:r>
            <w:r w:rsidRPr="00FD17CF">
              <w:rPr>
                <w:vertAlign w:val="subscript"/>
              </w:rPr>
              <w:t>z</w:t>
            </w:r>
          </w:p>
        </w:tc>
        <w:tc>
          <w:tcPr>
            <w:tcW w:w="7938" w:type="dxa"/>
          </w:tcPr>
          <w:p w14:paraId="5096AFD3" w14:textId="6457A9AF" w:rsidR="00382A70" w:rsidRPr="00821B21" w:rsidRDefault="00B1167D" w:rsidP="002061E5">
            <w:pPr>
              <w:spacing w:after="60"/>
              <w:rPr>
                <w:rFonts w:eastAsia="Times New Roman" w:cs="Cambria"/>
                <w:szCs w:val="20"/>
                <w:lang w:eastAsia="fr-FR"/>
              </w:rPr>
            </w:pPr>
            <w:r w:rsidRPr="00E05E29">
              <w:t>is the radius of gyration with respect to the weak axis of the cross section;</w:t>
            </w:r>
          </w:p>
        </w:tc>
      </w:tr>
      <w:tr w:rsidR="00382A70" w:rsidRPr="00870D59" w14:paraId="78AD9332" w14:textId="77777777" w:rsidTr="007D7E6D">
        <w:tc>
          <w:tcPr>
            <w:tcW w:w="1275" w:type="dxa"/>
          </w:tcPr>
          <w:p w14:paraId="28B9A80B" w14:textId="66669832" w:rsidR="00382A70" w:rsidRPr="00D1484A" w:rsidRDefault="00B1167D" w:rsidP="002061E5">
            <w:pPr>
              <w:spacing w:after="60"/>
              <w:rPr>
                <w:i/>
                <w:iCs/>
              </w:rPr>
            </w:pPr>
            <w:r w:rsidRPr="00E05E29">
              <w:rPr>
                <w:i/>
                <w:iCs/>
              </w:rPr>
              <w:t>E</w:t>
            </w:r>
            <w:r w:rsidRPr="00230937">
              <w:rPr>
                <w:vertAlign w:val="subscript"/>
              </w:rPr>
              <w:t>s</w:t>
            </w:r>
          </w:p>
        </w:tc>
        <w:tc>
          <w:tcPr>
            <w:tcW w:w="7938" w:type="dxa"/>
          </w:tcPr>
          <w:p w14:paraId="7570850F" w14:textId="1555A009" w:rsidR="00382A70" w:rsidRPr="00821B21" w:rsidRDefault="00B1167D" w:rsidP="002061E5">
            <w:r w:rsidRPr="00E05E29">
              <w:t>is the elastic modulus of steel.</w:t>
            </w:r>
          </w:p>
        </w:tc>
      </w:tr>
    </w:tbl>
    <w:p w14:paraId="4B21E221" w14:textId="4BD138B8" w:rsidR="00B1167D" w:rsidRPr="00E05E29" w:rsidRDefault="00B1167D" w:rsidP="00724E4E">
      <w:pPr>
        <w:pStyle w:val="Clause"/>
      </w:pPr>
      <w:r w:rsidRPr="00E05E29">
        <w:t xml:space="preserve">The lateral-torsional restraints in DC3 should be designed to resist the effects of </w:t>
      </w:r>
      <w:bookmarkStart w:id="9524" w:name="_Hlk38808660"/>
      <w:r w:rsidRPr="00E05E29">
        <w:t xml:space="preserve">local forces </w:t>
      </w:r>
      <w:r w:rsidRPr="004F74EA">
        <w:rPr>
          <w:i/>
        </w:rPr>
        <w:t>Q</w:t>
      </w:r>
      <w:r w:rsidRPr="004F74EA">
        <w:rPr>
          <w:vertAlign w:val="subscript"/>
        </w:rPr>
        <w:t>m</w:t>
      </w:r>
      <w:r w:rsidRPr="00E05E29">
        <w:t xml:space="preserve"> </w:t>
      </w:r>
      <w:bookmarkEnd w:id="9524"/>
      <w:r w:rsidRPr="00E05E29">
        <w:t>applied at each stabil</w:t>
      </w:r>
      <w:r w:rsidR="00E10A24">
        <w:t>ize</w:t>
      </w:r>
      <w:r w:rsidRPr="00E05E29">
        <w:t xml:space="preserve">d member at the plastic hinge locations, given by </w:t>
      </w:r>
      <w:r w:rsidRPr="003A443F">
        <w:t>Formula (11.7).</w:t>
      </w:r>
    </w:p>
    <w:p w14:paraId="6065907E" w14:textId="426B279E" w:rsidR="00B1167D" w:rsidRDefault="009B5CEC" w:rsidP="00B1167D">
      <w:pPr>
        <w:pStyle w:val="Formula"/>
        <w:spacing w:before="240"/>
      </w:pPr>
      <m:oMath>
        <m:sSub>
          <m:sSubPr>
            <m:ctrlPr>
              <w:rPr>
                <w:rFonts w:ascii="Cambria Math" w:hAnsi="Cambria Math"/>
              </w:rPr>
            </m:ctrlPr>
          </m:sSubPr>
          <m:e>
            <m:r>
              <w:rPr>
                <w:rFonts w:ascii="Cambria Math" w:hAnsi="Cambria Math"/>
              </w:rPr>
              <m:t>Q</m:t>
            </m:r>
          </m:e>
          <m:sub>
            <m:r>
              <m:rPr>
                <m:sty m:val="p"/>
              </m:rPr>
              <w:rPr>
                <w:rFonts w:ascii="Cambria Math" w:hAnsi="Cambria Math"/>
              </w:rPr>
              <m:t>m</m:t>
            </m:r>
          </m:sub>
        </m:sSub>
        <m:r>
          <w:rPr>
            <w:rFonts w:ascii="Cambria Math" w:hAnsi="Cambria Math"/>
          </w:rPr>
          <m:t xml:space="preserve">=0,06 </m:t>
        </m:r>
        <m:sSub>
          <m:sSubPr>
            <m:ctrlPr>
              <w:rPr>
                <w:rFonts w:ascii="Cambria Math" w:hAnsi="Cambria Math"/>
              </w:rPr>
            </m:ctrlPr>
          </m:sSubPr>
          <m:e>
            <m:r>
              <w:rPr>
                <w:rFonts w:ascii="Cambria Math" w:hAnsi="Cambria Math"/>
              </w:rPr>
              <m:t>ω</m:t>
            </m:r>
          </m:e>
          <m:sub>
            <m:r>
              <m:rPr>
                <m:sty m:val="p"/>
              </m:rPr>
              <w:rPr>
                <w:rFonts w:ascii="Cambria Math" w:hAnsi="Cambria Math"/>
              </w:rPr>
              <m:t>rm</m:t>
            </m:r>
          </m:sub>
        </m:sSub>
        <m:r>
          <w:rPr>
            <w:rFonts w:ascii="Cambria Math" w:hAnsi="Cambria Math"/>
          </w:rPr>
          <m:t xml:space="preserve"> </m:t>
        </m:r>
        <m:sSub>
          <m:sSubPr>
            <m:ctrlPr>
              <w:rPr>
                <w:rFonts w:ascii="Cambria Math" w:hAnsi="Cambria Math"/>
              </w:rPr>
            </m:ctrlPr>
          </m:sSubPr>
          <m:e>
            <m:r>
              <w:rPr>
                <w:rFonts w:ascii="Cambria Math" w:hAnsi="Cambria Math"/>
              </w:rPr>
              <m:t>N</m:t>
            </m:r>
          </m:e>
          <m:sub>
            <m:r>
              <m:rPr>
                <m:sty m:val="p"/>
              </m:rPr>
              <w:rPr>
                <w:rFonts w:ascii="Cambria Math" w:hAnsi="Cambria Math"/>
              </w:rPr>
              <m:t>f,Ed</m:t>
            </m:r>
          </m:sub>
        </m:sSub>
        <m:r>
          <w:rPr>
            <w:rFonts w:ascii="Cambria Math" w:hAnsi="Cambria Math"/>
          </w:rPr>
          <m:t xml:space="preserve"> </m:t>
        </m:r>
      </m:oMath>
      <w:r w:rsidR="00B1167D" w:rsidRPr="00870D59">
        <w:tab/>
        <w:t>(1</w:t>
      </w:r>
      <w:r w:rsidR="00B1167D">
        <w:t>1</w:t>
      </w:r>
      <w:r w:rsidR="00B1167D" w:rsidRPr="00870D59">
        <w:t>.</w:t>
      </w:r>
      <w:r w:rsidR="00B1167D">
        <w:t>7</w:t>
      </w:r>
      <w:r w:rsidR="00B1167D" w:rsidRPr="00870D59">
        <w:t>)</w:t>
      </w:r>
    </w:p>
    <w:p w14:paraId="3365168E" w14:textId="3EC5FBE2" w:rsidR="00B1167D" w:rsidRDefault="00B1167D" w:rsidP="00B1167D">
      <w:r>
        <w:lastRenderedPageBreak/>
        <w:t>where</w:t>
      </w:r>
      <w:bookmarkStart w:id="9525" w:name="_Hlk38808697"/>
      <w:r w:rsidRPr="00B1167D">
        <w:rPr>
          <w:i/>
        </w:rPr>
        <w:t xml:space="preserve"> </w:t>
      </w:r>
      <w:r w:rsidRPr="00D1484A">
        <w:rPr>
          <w:i/>
        </w:rPr>
        <w:t>N</w:t>
      </w:r>
      <w:r w:rsidRPr="00D1484A">
        <w:rPr>
          <w:vertAlign w:val="subscript"/>
        </w:rPr>
        <w:t>f,Ed</w:t>
      </w:r>
      <w:r w:rsidRPr="007E6F67">
        <w:t xml:space="preserve"> is the axial force in the compressed flange </w:t>
      </w:r>
      <w:bookmarkEnd w:id="9525"/>
      <w:r w:rsidRPr="007E6F67">
        <w:t>of the stabil</w:t>
      </w:r>
      <w:r w:rsidR="00E10A24">
        <w:t>ize</w:t>
      </w:r>
      <w:r w:rsidRPr="007E6F67">
        <w:t xml:space="preserve">d member at the plastic hinge location, which should be determined as </w:t>
      </w:r>
      <w:r w:rsidRPr="00FD17CF">
        <w:rPr>
          <w:i/>
        </w:rPr>
        <w:t>N</w:t>
      </w:r>
      <w:r w:rsidRPr="00FD17CF">
        <w:rPr>
          <w:vertAlign w:val="subscript"/>
        </w:rPr>
        <w:t>f,Ed</w:t>
      </w:r>
      <w:r w:rsidRPr="00FD17CF">
        <w:t xml:space="preserve"> = </w:t>
      </w:r>
      <w:r w:rsidRPr="00644C3D">
        <w:rPr>
          <w:i/>
          <w:iCs/>
        </w:rPr>
        <w:t>b</w:t>
      </w:r>
      <w:r w:rsidRPr="00E05E29">
        <w:rPr>
          <w:vertAlign w:val="subscript"/>
        </w:rPr>
        <w:t>f</w:t>
      </w:r>
      <w:r>
        <w:rPr>
          <w:vertAlign w:val="subscript"/>
        </w:rPr>
        <w:t xml:space="preserve"> </w:t>
      </w:r>
      <w:r w:rsidRPr="00E05E29">
        <w:rPr>
          <w:i/>
          <w:iCs/>
        </w:rPr>
        <w:t>t</w:t>
      </w:r>
      <w:r w:rsidRPr="00E05E29">
        <w:rPr>
          <w:vertAlign w:val="subscript"/>
        </w:rPr>
        <w:t>f</w:t>
      </w:r>
      <w:r>
        <w:rPr>
          <w:vertAlign w:val="subscript"/>
        </w:rPr>
        <w:t xml:space="preserve"> </w:t>
      </w:r>
      <w:r w:rsidRPr="00E05E29">
        <w:rPr>
          <w:i/>
          <w:iCs/>
        </w:rPr>
        <w:t>f</w:t>
      </w:r>
      <w:r w:rsidRPr="00E05E29">
        <w:rPr>
          <w:vertAlign w:val="subscript"/>
        </w:rPr>
        <w:t>y</w:t>
      </w:r>
      <w:r w:rsidRPr="00E05E29">
        <w:t xml:space="preserve"> with </w:t>
      </w:r>
      <w:bookmarkStart w:id="9526" w:name="_Hlk38808767"/>
      <w:r w:rsidRPr="00E05E29">
        <w:rPr>
          <w:i/>
          <w:iCs/>
        </w:rPr>
        <w:t>b</w:t>
      </w:r>
      <w:r w:rsidRPr="00E05E29">
        <w:rPr>
          <w:vertAlign w:val="subscript"/>
        </w:rPr>
        <w:t>f</w:t>
      </w:r>
      <w:r w:rsidRPr="00E05E29">
        <w:t xml:space="preserve"> and </w:t>
      </w:r>
      <w:r w:rsidRPr="00E05E29">
        <w:rPr>
          <w:i/>
          <w:iCs/>
        </w:rPr>
        <w:t>t</w:t>
      </w:r>
      <w:r w:rsidRPr="00E05E29">
        <w:rPr>
          <w:vertAlign w:val="subscript"/>
        </w:rPr>
        <w:t>f</w:t>
      </w:r>
      <w:r w:rsidRPr="00E05E29">
        <w:t xml:space="preserve"> the width and the thickness of the beam flange</w:t>
      </w:r>
      <w:bookmarkEnd w:id="9526"/>
      <w:r w:rsidRPr="00E05E29">
        <w:t>, respectively.</w:t>
      </w:r>
    </w:p>
    <w:p w14:paraId="06DADF79" w14:textId="43DE4354" w:rsidR="00B1167D" w:rsidRPr="00E05E29" w:rsidRDefault="00B1167D" w:rsidP="00724E4E">
      <w:pPr>
        <w:pStyle w:val="Clause"/>
      </w:pPr>
      <w:r w:rsidRPr="00E05E29">
        <w:t xml:space="preserve">In accordance with Table </w:t>
      </w:r>
      <w:r w:rsidRPr="00535CF2">
        <w:t>11.</w:t>
      </w:r>
      <w:r w:rsidR="00E832F3">
        <w:t>8</w:t>
      </w:r>
      <w:r w:rsidRPr="00535CF2">
        <w:t xml:space="preserve">, </w:t>
      </w:r>
      <w:r w:rsidRPr="00E05E29">
        <w:t>section classes 1 and 2 should be used for beams in DC2 MRFs and section classes 3 and 4 may be used in DC2 portal frames and single-storey MRFs. In DC3, only section class 1 should be used for beams or the portions of the beams (e.g. the beam segment with reduced section) where plastic hinges are expected to form.</w:t>
      </w:r>
    </w:p>
    <w:p w14:paraId="15BBCE9F" w14:textId="7E69044B" w:rsidR="00B1167D" w:rsidRPr="00E05E29" w:rsidRDefault="00B1167D" w:rsidP="00724E4E">
      <w:pPr>
        <w:pStyle w:val="Clause"/>
      </w:pPr>
      <w:r w:rsidRPr="00E05E29">
        <w:t>Formula</w:t>
      </w:r>
      <w:r w:rsidR="008618F2">
        <w:t>e</w:t>
      </w:r>
      <w:r w:rsidRPr="00E05E29">
        <w:t xml:space="preserve"> (11.8) to (11.10) should be satisfied.</w:t>
      </w:r>
    </w:p>
    <w:p w14:paraId="5D85B6BF" w14:textId="2F73531B" w:rsidR="00B1167D" w:rsidRDefault="009B5CEC" w:rsidP="00B1167D">
      <w:pPr>
        <w:pStyle w:val="Formula"/>
        <w:spacing w:before="240"/>
      </w:pPr>
      <m:oMath>
        <m:sSub>
          <m:sSubPr>
            <m:ctrlPr>
              <w:rPr>
                <w:rFonts w:ascii="Cambria Math" w:hAnsi="Cambria Math"/>
              </w:rPr>
            </m:ctrlPr>
          </m:sSubPr>
          <m:e>
            <m:r>
              <w:rPr>
                <w:rFonts w:ascii="Cambria Math" w:hAnsi="Cambria Math"/>
              </w:rPr>
              <m:t>M</m:t>
            </m:r>
          </m:e>
          <m:sub>
            <m:r>
              <m:rPr>
                <m:sty m:val="p"/>
              </m:rPr>
              <w:rPr>
                <w:rFonts w:ascii="Cambria Math" w:hAnsi="Cambria Math"/>
              </w:rPr>
              <m:t>Ed</m:t>
            </m:r>
          </m:sub>
        </m:sSub>
        <m:r>
          <w:rPr>
            <w:rFonts w:ascii="Cambria Math" w:hAnsi="Cambria Math"/>
          </w:rPr>
          <m:t>≤</m:t>
        </m:r>
        <m:sSub>
          <m:sSubPr>
            <m:ctrlPr>
              <w:rPr>
                <w:rFonts w:ascii="Cambria Math" w:hAnsi="Cambria Math"/>
              </w:rPr>
            </m:ctrlPr>
          </m:sSubPr>
          <m:e>
            <m:r>
              <w:rPr>
                <w:rFonts w:ascii="Cambria Math" w:hAnsi="Cambria Math"/>
              </w:rPr>
              <m:t>M</m:t>
            </m:r>
          </m:e>
          <m:sub>
            <m:r>
              <m:rPr>
                <m:sty m:val="p"/>
              </m:rPr>
              <w:rPr>
                <w:rFonts w:ascii="Cambria Math" w:hAnsi="Cambria Math"/>
              </w:rPr>
              <m:t>Rd,b</m:t>
            </m:r>
          </m:sub>
        </m:sSub>
      </m:oMath>
      <w:r w:rsidR="00B1167D" w:rsidRPr="00870D59">
        <w:tab/>
        <w:t>(1</w:t>
      </w:r>
      <w:r w:rsidR="00B1167D">
        <w:t>1</w:t>
      </w:r>
      <w:r w:rsidR="00B1167D" w:rsidRPr="00870D59">
        <w:t>.</w:t>
      </w:r>
      <w:r w:rsidR="00B1167D">
        <w:t>8</w:t>
      </w:r>
      <w:r w:rsidR="00B1167D" w:rsidRPr="00870D59">
        <w:t>)</w:t>
      </w:r>
    </w:p>
    <w:p w14:paraId="6DC096B3" w14:textId="687967D1" w:rsidR="00B1167D" w:rsidRDefault="009B5CEC" w:rsidP="00B1167D">
      <w:pPr>
        <w:pStyle w:val="Formula"/>
        <w:spacing w:before="240"/>
      </w:pPr>
      <m:oMath>
        <m:sSub>
          <m:sSubPr>
            <m:ctrlPr>
              <w:rPr>
                <w:rFonts w:ascii="Cambria Math" w:hAnsi="Cambria Math"/>
              </w:rPr>
            </m:ctrlPr>
          </m:sSubPr>
          <m:e>
            <m:r>
              <w:rPr>
                <w:rFonts w:ascii="Cambria Math" w:hAnsi="Cambria Math"/>
              </w:rPr>
              <m:t>N</m:t>
            </m:r>
          </m:e>
          <m:sub>
            <m:r>
              <m:rPr>
                <m:sty m:val="p"/>
              </m:rPr>
              <w:rPr>
                <w:rFonts w:ascii="Cambria Math" w:hAnsi="Cambria Math"/>
              </w:rPr>
              <m:t>Ed</m:t>
            </m:r>
          </m:sub>
        </m:sSub>
        <m:r>
          <w:rPr>
            <w:rFonts w:ascii="Cambria Math" w:hAnsi="Cambria Math"/>
          </w:rPr>
          <m:t>≤</m:t>
        </m:r>
        <m:sSub>
          <m:sSubPr>
            <m:ctrlPr>
              <w:rPr>
                <w:rFonts w:ascii="Cambria Math" w:hAnsi="Cambria Math"/>
              </w:rPr>
            </m:ctrlPr>
          </m:sSubPr>
          <m:e>
            <m:r>
              <w:rPr>
                <w:rFonts w:ascii="Cambria Math" w:hAnsi="Cambria Math"/>
              </w:rPr>
              <m:t>0,15 N</m:t>
            </m:r>
          </m:e>
          <m:sub>
            <m:r>
              <m:rPr>
                <m:sty m:val="p"/>
              </m:rPr>
              <w:rPr>
                <w:rFonts w:ascii="Cambria Math" w:hAnsi="Cambria Math"/>
              </w:rPr>
              <m:t>Rd,b</m:t>
            </m:r>
          </m:sub>
        </m:sSub>
        <m:r>
          <w:rPr>
            <w:rFonts w:ascii="Cambria Math" w:hAnsi="Cambria Math"/>
          </w:rPr>
          <m:t xml:space="preserve"> </m:t>
        </m:r>
      </m:oMath>
      <w:r w:rsidR="00B1167D" w:rsidRPr="00870D59">
        <w:tab/>
        <w:t>(1</w:t>
      </w:r>
      <w:r w:rsidR="00B1167D">
        <w:t>1</w:t>
      </w:r>
      <w:r w:rsidR="00B1167D" w:rsidRPr="00870D59">
        <w:t>.</w:t>
      </w:r>
      <w:r w:rsidR="00B1167D">
        <w:t>9</w:t>
      </w:r>
      <w:r w:rsidR="00B1167D" w:rsidRPr="00870D59">
        <w:t>)</w:t>
      </w:r>
    </w:p>
    <w:p w14:paraId="10623EA7" w14:textId="26ADD59D" w:rsidR="00B1167D" w:rsidRDefault="009B5CEC" w:rsidP="00B1167D">
      <w:pPr>
        <w:pStyle w:val="Formula"/>
        <w:spacing w:before="240"/>
      </w:pPr>
      <m:oMath>
        <m:sSub>
          <m:sSubPr>
            <m:ctrlPr>
              <w:rPr>
                <w:rFonts w:ascii="Cambria Math" w:hAnsi="Cambria Math"/>
              </w:rPr>
            </m:ctrlPr>
          </m:sSubPr>
          <m:e>
            <m:r>
              <w:rPr>
                <w:rFonts w:ascii="Cambria Math" w:hAnsi="Cambria Math"/>
              </w:rPr>
              <m:t>V</m:t>
            </m:r>
          </m:e>
          <m:sub>
            <m:r>
              <m:rPr>
                <m:sty m:val="p"/>
              </m:rPr>
              <w:rPr>
                <w:rFonts w:ascii="Cambria Math" w:hAnsi="Cambria Math"/>
              </w:rPr>
              <m:t>Ed</m:t>
            </m:r>
          </m:sub>
        </m:sSub>
        <m:r>
          <w:rPr>
            <w:rFonts w:ascii="Cambria Math" w:hAnsi="Cambria Math"/>
          </w:rPr>
          <m:t>≤</m:t>
        </m:r>
        <m:d>
          <m:dPr>
            <m:begChr m:val="{"/>
            <m:endChr m:val=""/>
            <m:ctrlPr>
              <w:rPr>
                <w:rFonts w:ascii="Cambria Math" w:hAnsi="Cambria Math"/>
              </w:rPr>
            </m:ctrlPr>
          </m:dPr>
          <m:e>
            <m:eqArr>
              <m:eqArrPr>
                <m:ctrlPr>
                  <w:rPr>
                    <w:rFonts w:ascii="Cambria Math" w:hAnsi="Cambria Math"/>
                  </w:rPr>
                </m:ctrlPr>
              </m:eqArrPr>
              <m:e>
                <m:r>
                  <w:rPr>
                    <w:rFonts w:ascii="Cambria Math" w:hAnsi="Cambria Math"/>
                  </w:rPr>
                  <m:t xml:space="preserve">0,5 </m:t>
                </m:r>
                <m:sSub>
                  <m:sSubPr>
                    <m:ctrlPr>
                      <w:rPr>
                        <w:rFonts w:ascii="Cambria Math" w:hAnsi="Cambria Math"/>
                      </w:rPr>
                    </m:ctrlPr>
                  </m:sSubPr>
                  <m:e>
                    <m:r>
                      <w:rPr>
                        <w:rFonts w:ascii="Cambria Math" w:hAnsi="Cambria Math"/>
                      </w:rPr>
                      <m:t>V</m:t>
                    </m:r>
                  </m:e>
                  <m:sub>
                    <m:r>
                      <m:rPr>
                        <m:sty m:val="p"/>
                      </m:rPr>
                      <w:rPr>
                        <w:rFonts w:ascii="Cambria Math" w:hAnsi="Cambria Math"/>
                      </w:rPr>
                      <m:t>Rd,b</m:t>
                    </m:r>
                  </m:sub>
                </m:sSub>
                <m:r>
                  <w:rPr>
                    <w:rFonts w:ascii="Cambria Math" w:hAnsi="Cambria Math"/>
                  </w:rPr>
                  <m:t xml:space="preserve">      for q&gt;2           </m:t>
                </m:r>
              </m:e>
              <m:e>
                <m:sSub>
                  <m:sSubPr>
                    <m:ctrlPr>
                      <w:rPr>
                        <w:rFonts w:ascii="Cambria Math" w:hAnsi="Cambria Math"/>
                      </w:rPr>
                    </m:ctrlPr>
                  </m:sSubPr>
                  <m:e>
                    <m:r>
                      <w:rPr>
                        <w:rFonts w:ascii="Cambria Math" w:hAnsi="Cambria Math"/>
                      </w:rPr>
                      <m:t xml:space="preserve"> V</m:t>
                    </m:r>
                  </m:e>
                  <m:sub>
                    <m:r>
                      <m:rPr>
                        <m:sty m:val="p"/>
                      </m:rPr>
                      <w:rPr>
                        <w:rFonts w:ascii="Cambria Math" w:hAnsi="Cambria Math"/>
                      </w:rPr>
                      <m:t>Rd,b</m:t>
                    </m:r>
                  </m:sub>
                </m:sSub>
                <m:r>
                  <w:rPr>
                    <w:rFonts w:ascii="Cambria Math" w:hAnsi="Cambria Math"/>
                  </w:rPr>
                  <m:t xml:space="preserve">             for 1,5&lt;q≤2</m:t>
                </m:r>
              </m:e>
            </m:eqArr>
          </m:e>
        </m:d>
      </m:oMath>
      <w:r w:rsidR="00B1167D" w:rsidRPr="00870D59">
        <w:tab/>
        <w:t>(1</w:t>
      </w:r>
      <w:r w:rsidR="00B1167D">
        <w:t>1</w:t>
      </w:r>
      <w:r w:rsidR="00B1167D" w:rsidRPr="00870D59">
        <w:t>.</w:t>
      </w:r>
      <w:r w:rsidR="00B1167D">
        <w:t>10</w:t>
      </w:r>
      <w:r w:rsidR="00B1167D" w:rsidRPr="00870D59">
        <w:t>)</w:t>
      </w:r>
    </w:p>
    <w:p w14:paraId="665E1E9B" w14:textId="7369EEF5" w:rsidR="00B1167D" w:rsidRDefault="00675EBA" w:rsidP="00B1167D">
      <w:r>
        <w:t>where</w:t>
      </w:r>
    </w:p>
    <w:tbl>
      <w:tblPr>
        <w:tblW w:w="0" w:type="auto"/>
        <w:tblInd w:w="346" w:type="dxa"/>
        <w:tblLook w:val="04A0" w:firstRow="1" w:lastRow="0" w:firstColumn="1" w:lastColumn="0" w:noHBand="0" w:noVBand="1"/>
      </w:tblPr>
      <w:tblGrid>
        <w:gridCol w:w="1275"/>
        <w:gridCol w:w="7938"/>
      </w:tblGrid>
      <w:tr w:rsidR="00B1167D" w:rsidRPr="00821B21" w14:paraId="7EE2DEA1" w14:textId="77777777" w:rsidTr="007D7E6D">
        <w:tc>
          <w:tcPr>
            <w:tcW w:w="1275" w:type="dxa"/>
          </w:tcPr>
          <w:p w14:paraId="43C8FB92" w14:textId="7790C21D" w:rsidR="00B1167D" w:rsidRPr="00821B21" w:rsidRDefault="00B1167D" w:rsidP="002061E5">
            <w:pPr>
              <w:spacing w:after="60"/>
              <w:rPr>
                <w:rFonts w:eastAsia="Times New Roman" w:cs="Cambria"/>
                <w:szCs w:val="20"/>
                <w:lang w:eastAsia="fr-FR"/>
              </w:rPr>
            </w:pPr>
            <w:r w:rsidRPr="00D1484A">
              <w:rPr>
                <w:i/>
                <w:iCs/>
              </w:rPr>
              <w:t>M</w:t>
            </w:r>
            <w:r w:rsidRPr="007E6F67">
              <w:rPr>
                <w:vertAlign w:val="subscript"/>
              </w:rPr>
              <w:t>Ed</w:t>
            </w:r>
            <w:r w:rsidRPr="00FD17CF">
              <w:t xml:space="preserve">, </w:t>
            </w:r>
            <w:r w:rsidRPr="00FD17CF">
              <w:rPr>
                <w:i/>
                <w:iCs/>
              </w:rPr>
              <w:t>N</w:t>
            </w:r>
            <w:r w:rsidRPr="00FD17CF">
              <w:rPr>
                <w:vertAlign w:val="subscript"/>
              </w:rPr>
              <w:t>Ed</w:t>
            </w:r>
            <w:r w:rsidRPr="00FD17CF">
              <w:t xml:space="preserve"> and </w:t>
            </w:r>
            <w:r w:rsidRPr="00FD17CF">
              <w:rPr>
                <w:i/>
                <w:iCs/>
              </w:rPr>
              <w:t>V</w:t>
            </w:r>
            <w:r w:rsidRPr="00FD17CF">
              <w:rPr>
                <w:vertAlign w:val="subscript"/>
              </w:rPr>
              <w:t>Ed</w:t>
            </w:r>
          </w:p>
        </w:tc>
        <w:tc>
          <w:tcPr>
            <w:tcW w:w="7938" w:type="dxa"/>
          </w:tcPr>
          <w:p w14:paraId="1067F306" w14:textId="7CB805BB" w:rsidR="00B1167D" w:rsidRPr="00821B21" w:rsidRDefault="00B1167D" w:rsidP="002061E5">
            <w:pPr>
              <w:spacing w:after="60"/>
              <w:rPr>
                <w:rFonts w:eastAsia="Times New Roman" w:cs="Cambria"/>
                <w:szCs w:val="20"/>
                <w:lang w:eastAsia="fr-FR"/>
              </w:rPr>
            </w:pPr>
            <w:r w:rsidRPr="00FD17CF">
              <w:t>are the bending moment, the axial force and the shear force, respectively, in the seismic design situation;</w:t>
            </w:r>
          </w:p>
        </w:tc>
      </w:tr>
      <w:tr w:rsidR="00B1167D" w:rsidRPr="00870D59" w14:paraId="418D4947" w14:textId="77777777" w:rsidTr="007D7E6D">
        <w:tc>
          <w:tcPr>
            <w:tcW w:w="1275" w:type="dxa"/>
          </w:tcPr>
          <w:p w14:paraId="6083C231" w14:textId="3AD4D0BB" w:rsidR="00B1167D" w:rsidRPr="00B272E6" w:rsidRDefault="00B1167D" w:rsidP="002061E5">
            <w:pPr>
              <w:spacing w:after="60"/>
              <w:rPr>
                <w:i/>
                <w:iCs/>
                <w:lang w:val="de-DE"/>
              </w:rPr>
            </w:pPr>
            <w:r w:rsidRPr="00B272E6">
              <w:rPr>
                <w:i/>
                <w:iCs/>
                <w:lang w:val="de-DE"/>
              </w:rPr>
              <w:t>N</w:t>
            </w:r>
            <w:r w:rsidRPr="00B272E6">
              <w:rPr>
                <w:vertAlign w:val="subscript"/>
                <w:lang w:val="de-DE"/>
              </w:rPr>
              <w:t>Rd,b</w:t>
            </w:r>
            <w:r w:rsidRPr="00B272E6">
              <w:rPr>
                <w:lang w:val="de-DE"/>
              </w:rPr>
              <w:t xml:space="preserve">, </w:t>
            </w:r>
            <w:r w:rsidRPr="00B272E6">
              <w:rPr>
                <w:i/>
                <w:iCs/>
                <w:lang w:val="de-DE"/>
              </w:rPr>
              <w:t>M</w:t>
            </w:r>
            <w:r w:rsidRPr="00B272E6">
              <w:rPr>
                <w:vertAlign w:val="subscript"/>
                <w:lang w:val="de-DE"/>
              </w:rPr>
              <w:t>Rd,b</w:t>
            </w:r>
            <w:r w:rsidRPr="00B272E6">
              <w:rPr>
                <w:lang w:val="de-DE"/>
              </w:rPr>
              <w:t xml:space="preserve">, </w:t>
            </w:r>
            <w:r w:rsidRPr="00B272E6">
              <w:rPr>
                <w:i/>
                <w:iCs/>
                <w:lang w:val="de-DE"/>
              </w:rPr>
              <w:t>V</w:t>
            </w:r>
            <w:r w:rsidRPr="00B272E6">
              <w:rPr>
                <w:vertAlign w:val="subscript"/>
                <w:lang w:val="de-DE"/>
              </w:rPr>
              <w:t>Rd,b</w:t>
            </w:r>
          </w:p>
        </w:tc>
        <w:tc>
          <w:tcPr>
            <w:tcW w:w="7938" w:type="dxa"/>
          </w:tcPr>
          <w:p w14:paraId="39BDCDCF" w14:textId="66637174" w:rsidR="00B1167D" w:rsidRPr="00821B21" w:rsidRDefault="00B1167D" w:rsidP="002061E5">
            <w:r w:rsidRPr="00E05E29">
              <w:t>are the corresponding design resistances of the cross sections of the beams</w:t>
            </w:r>
            <w:r w:rsidRPr="00536386">
              <w:t xml:space="preserve"> </w:t>
            </w:r>
            <w:r>
              <w:t xml:space="preserve">to be determined in accordance with </w:t>
            </w:r>
            <w:r w:rsidR="00867476">
              <w:t>EN 1993-1-1</w:t>
            </w:r>
            <w:r>
              <w:t xml:space="preserve"> in function of</w:t>
            </w:r>
            <w:r w:rsidRPr="00E05E29">
              <w:t xml:space="preserve"> their class.</w:t>
            </w:r>
          </w:p>
        </w:tc>
      </w:tr>
    </w:tbl>
    <w:p w14:paraId="40807CAC" w14:textId="58718AC7" w:rsidR="00737DCF" w:rsidRPr="00E05E29" w:rsidRDefault="00737DCF" w:rsidP="00724E4E">
      <w:pPr>
        <w:pStyle w:val="Clause"/>
      </w:pPr>
      <w:r w:rsidRPr="00E05E29">
        <w:t>For beams in DC3, Formula</w:t>
      </w:r>
      <w:r w:rsidRPr="004F74EA">
        <w:rPr>
          <w:color w:val="00B050"/>
        </w:rPr>
        <w:t xml:space="preserve"> </w:t>
      </w:r>
      <w:r w:rsidRPr="00737DCF">
        <w:t xml:space="preserve">(11.10) should be satisfied with the design shear </w:t>
      </w:r>
      <w:r w:rsidRPr="004F74EA">
        <w:rPr>
          <w:i/>
        </w:rPr>
        <w:t>V</w:t>
      </w:r>
      <w:r w:rsidRPr="004F74EA">
        <w:rPr>
          <w:vertAlign w:val="subscript"/>
        </w:rPr>
        <w:t>Ed</w:t>
      </w:r>
      <w:r w:rsidRPr="00737DCF">
        <w:t xml:space="preserve"> given by Formula</w:t>
      </w:r>
      <w:r w:rsidR="007D7E6D">
        <w:t> </w:t>
      </w:r>
      <w:r w:rsidRPr="00737DCF">
        <w:t>(11.11)</w:t>
      </w:r>
      <w:r>
        <w:t>.</w:t>
      </w:r>
    </w:p>
    <w:p w14:paraId="78DB1557" w14:textId="0909E384" w:rsidR="00737DCF" w:rsidRDefault="009B5CEC" w:rsidP="00737DCF">
      <w:pPr>
        <w:pStyle w:val="Formula"/>
        <w:spacing w:before="240"/>
      </w:pPr>
      <m:oMath>
        <m:sSub>
          <m:sSubPr>
            <m:ctrlPr>
              <w:rPr>
                <w:rFonts w:ascii="Cambria Math" w:hAnsi="Cambria Math"/>
              </w:rPr>
            </m:ctrlPr>
          </m:sSubPr>
          <m:e>
            <m:r>
              <w:rPr>
                <w:rFonts w:ascii="Cambria Math" w:hAnsi="Cambria Math"/>
              </w:rPr>
              <m:t>V</m:t>
            </m:r>
          </m:e>
          <m:sub>
            <m:r>
              <m:rPr>
                <m:sty m:val="p"/>
              </m:rPr>
              <w:rPr>
                <w:rFonts w:ascii="Cambria Math" w:hAnsi="Cambria Math"/>
              </w:rPr>
              <m:t>Ed</m:t>
            </m:r>
          </m:sub>
        </m:sSub>
        <m:r>
          <w:rPr>
            <w:rFonts w:ascii="Cambria Math" w:hAnsi="Cambria Math"/>
          </w:rPr>
          <m:t>=</m:t>
        </m:r>
        <m:sSub>
          <m:sSubPr>
            <m:ctrlPr>
              <w:rPr>
                <w:rFonts w:ascii="Cambria Math" w:hAnsi="Cambria Math"/>
              </w:rPr>
            </m:ctrlPr>
          </m:sSubPr>
          <m:e>
            <m:r>
              <w:rPr>
                <w:rFonts w:ascii="Cambria Math" w:hAnsi="Cambria Math"/>
              </w:rPr>
              <m:t>V</m:t>
            </m:r>
          </m:e>
          <m:sub>
            <m:r>
              <m:rPr>
                <m:sty m:val="p"/>
              </m:rPr>
              <w:rPr>
                <w:rFonts w:ascii="Cambria Math" w:hAnsi="Cambria Math"/>
              </w:rPr>
              <m:t>Ed,G</m:t>
            </m:r>
          </m:sub>
        </m:sSub>
        <m:sSub>
          <m:sSubPr>
            <m:ctrlPr>
              <w:rPr>
                <w:rFonts w:ascii="Cambria Math" w:hAnsi="Cambria Math"/>
              </w:rPr>
            </m:ctrlPr>
          </m:sSubPr>
          <m:e>
            <m:r>
              <w:rPr>
                <w:rFonts w:ascii="Cambria Math" w:hAnsi="Cambria Math"/>
              </w:rPr>
              <m:t xml:space="preserve"> "+" V</m:t>
            </m:r>
          </m:e>
          <m:sub>
            <m:r>
              <m:rPr>
                <m:sty m:val="p"/>
              </m:rPr>
              <w:rPr>
                <w:rFonts w:ascii="Cambria Math" w:hAnsi="Cambria Math"/>
              </w:rPr>
              <m:t>Ed,M</m:t>
            </m:r>
          </m:sub>
        </m:sSub>
      </m:oMath>
      <w:r w:rsidR="00737DCF" w:rsidRPr="00870D59">
        <w:tab/>
        <w:t>(1</w:t>
      </w:r>
      <w:r w:rsidR="00737DCF">
        <w:t>1</w:t>
      </w:r>
      <w:r w:rsidR="00737DCF" w:rsidRPr="00870D59">
        <w:t>.</w:t>
      </w:r>
      <w:r w:rsidR="00737DCF">
        <w:t>11</w:t>
      </w:r>
      <w:r w:rsidR="00737DCF" w:rsidRPr="00870D59">
        <w:t>)</w:t>
      </w:r>
    </w:p>
    <w:p w14:paraId="07CE9D2D" w14:textId="413EA6DD" w:rsidR="00737DCF" w:rsidRDefault="00675EBA" w:rsidP="00737DCF">
      <w:r>
        <w:t>where</w:t>
      </w:r>
    </w:p>
    <w:tbl>
      <w:tblPr>
        <w:tblW w:w="0" w:type="auto"/>
        <w:tblInd w:w="346" w:type="dxa"/>
        <w:tblLook w:val="04A0" w:firstRow="1" w:lastRow="0" w:firstColumn="1" w:lastColumn="0" w:noHBand="0" w:noVBand="1"/>
      </w:tblPr>
      <w:tblGrid>
        <w:gridCol w:w="1275"/>
        <w:gridCol w:w="7938"/>
      </w:tblGrid>
      <w:tr w:rsidR="00737DCF" w:rsidRPr="00821B21" w14:paraId="054AAEA2" w14:textId="77777777" w:rsidTr="007D7E6D">
        <w:tc>
          <w:tcPr>
            <w:tcW w:w="1275" w:type="dxa"/>
          </w:tcPr>
          <w:p w14:paraId="1C70707C" w14:textId="4A89927A" w:rsidR="00737DCF" w:rsidRPr="00821B21" w:rsidRDefault="0039040A" w:rsidP="002061E5">
            <w:pPr>
              <w:spacing w:after="60"/>
              <w:rPr>
                <w:rFonts w:eastAsia="Times New Roman" w:cs="Cambria"/>
                <w:szCs w:val="20"/>
                <w:lang w:eastAsia="fr-FR"/>
              </w:rPr>
            </w:pPr>
            <w:r w:rsidRPr="00D1484A">
              <w:rPr>
                <w:i/>
                <w:iCs/>
              </w:rPr>
              <w:t>V</w:t>
            </w:r>
            <w:r w:rsidRPr="007E6F67">
              <w:rPr>
                <w:vertAlign w:val="subscript"/>
              </w:rPr>
              <w:t>Ed,G</w:t>
            </w:r>
          </w:p>
        </w:tc>
        <w:tc>
          <w:tcPr>
            <w:tcW w:w="7938" w:type="dxa"/>
          </w:tcPr>
          <w:p w14:paraId="2098142C" w14:textId="6ABBD32F" w:rsidR="00737DCF" w:rsidRPr="00821B21" w:rsidRDefault="0039040A" w:rsidP="002061E5">
            <w:pPr>
              <w:spacing w:after="60"/>
              <w:rPr>
                <w:rFonts w:eastAsia="Times New Roman" w:cs="Cambria"/>
                <w:szCs w:val="20"/>
                <w:lang w:eastAsia="fr-FR"/>
              </w:rPr>
            </w:pPr>
            <w:r w:rsidRPr="00FD17CF">
              <w:t>is the design value of the shear force to be determined on the basis of the equilibrium of the beam under the non-seismic actions;</w:t>
            </w:r>
          </w:p>
        </w:tc>
      </w:tr>
      <w:tr w:rsidR="00737DCF" w:rsidRPr="00870D59" w14:paraId="52FA8D41" w14:textId="77777777" w:rsidTr="007D7E6D">
        <w:tc>
          <w:tcPr>
            <w:tcW w:w="1275" w:type="dxa"/>
          </w:tcPr>
          <w:p w14:paraId="1D1A3DBE" w14:textId="09D2044D" w:rsidR="00737DCF" w:rsidRPr="00D1484A" w:rsidRDefault="0039040A" w:rsidP="002061E5">
            <w:pPr>
              <w:spacing w:after="60"/>
              <w:rPr>
                <w:i/>
                <w:iCs/>
              </w:rPr>
            </w:pPr>
            <w:bookmarkStart w:id="9527" w:name="_Hlk38809301"/>
            <w:r w:rsidRPr="00FD17CF">
              <w:rPr>
                <w:i/>
                <w:iCs/>
              </w:rPr>
              <w:t>V</w:t>
            </w:r>
            <w:r w:rsidRPr="00FD17CF">
              <w:rPr>
                <w:vertAlign w:val="subscript"/>
              </w:rPr>
              <w:t>Ed,M</w:t>
            </w:r>
            <w:bookmarkEnd w:id="9527"/>
          </w:p>
        </w:tc>
        <w:tc>
          <w:tcPr>
            <w:tcW w:w="7938" w:type="dxa"/>
          </w:tcPr>
          <w:p w14:paraId="12BF610B" w14:textId="3A8C2F3D" w:rsidR="00737DCF" w:rsidRPr="00821B21" w:rsidRDefault="0039040A" w:rsidP="002061E5">
            <w:r w:rsidRPr="00644C3D">
              <w:t>= (</w:t>
            </w:r>
            <w:r w:rsidRPr="00E05E29">
              <w:rPr>
                <w:i/>
              </w:rPr>
              <w:t>M</w:t>
            </w:r>
            <w:r w:rsidRPr="00E05E29">
              <w:rPr>
                <w:iCs/>
                <w:vertAlign w:val="subscript"/>
              </w:rPr>
              <w:t>pl,</w:t>
            </w:r>
            <w:r w:rsidRPr="00E05E29">
              <w:rPr>
                <w:vertAlign w:val="subscript"/>
              </w:rPr>
              <w:t>Rd,b,A</w:t>
            </w:r>
            <w:r w:rsidRPr="00E05E29">
              <w:t>+</w:t>
            </w:r>
            <w:r w:rsidRPr="00E05E29">
              <w:rPr>
                <w:i/>
              </w:rPr>
              <w:t>M</w:t>
            </w:r>
            <w:r w:rsidRPr="00E05E29">
              <w:rPr>
                <w:iCs/>
                <w:vertAlign w:val="subscript"/>
              </w:rPr>
              <w:t>pl,</w:t>
            </w:r>
            <w:r w:rsidRPr="00E05E29">
              <w:rPr>
                <w:vertAlign w:val="subscript"/>
              </w:rPr>
              <w:t>Rd,b,B</w:t>
            </w:r>
            <w:r w:rsidRPr="00E05E29">
              <w:t>)/</w:t>
            </w:r>
            <w:r w:rsidRPr="00E05E29">
              <w:rPr>
                <w:i/>
              </w:rPr>
              <w:t>L</w:t>
            </w:r>
            <w:r w:rsidRPr="00E05E29">
              <w:rPr>
                <w:i/>
                <w:vertAlign w:val="subscript"/>
              </w:rPr>
              <w:t>h</w:t>
            </w:r>
            <w:r w:rsidRPr="00E05E29">
              <w:t>, is the</w:t>
            </w:r>
            <w:r w:rsidRPr="00E05E29">
              <w:rPr>
                <w:vertAlign w:val="subscript"/>
              </w:rPr>
              <w:t xml:space="preserve"> </w:t>
            </w:r>
            <w:r w:rsidRPr="00E05E29">
              <w:t xml:space="preserve">design value of the shear force due to the application of the plastic moments </w:t>
            </w:r>
            <w:r w:rsidRPr="00E05E29">
              <w:rPr>
                <w:i/>
                <w:iCs/>
              </w:rPr>
              <w:t>M</w:t>
            </w:r>
            <w:r w:rsidRPr="00E05E29">
              <w:rPr>
                <w:vertAlign w:val="subscript"/>
              </w:rPr>
              <w:t xml:space="preserve">pl,Rd,b,A </w:t>
            </w:r>
            <w:r w:rsidRPr="00E05E29">
              <w:t xml:space="preserve">and </w:t>
            </w:r>
            <w:r w:rsidRPr="00E05E29">
              <w:rPr>
                <w:i/>
                <w:iCs/>
              </w:rPr>
              <w:t>M</w:t>
            </w:r>
            <w:r w:rsidRPr="00E05E29">
              <w:rPr>
                <w:vertAlign w:val="subscript"/>
              </w:rPr>
              <w:t xml:space="preserve">pl,Rd,b,B </w:t>
            </w:r>
            <w:r w:rsidRPr="00E05E29">
              <w:t xml:space="preserve"> with opposite signs at the end sections “A” and “B” of the beam;</w:t>
            </w:r>
          </w:p>
        </w:tc>
      </w:tr>
      <w:tr w:rsidR="0039040A" w:rsidRPr="00870D59" w14:paraId="66CE202C" w14:textId="77777777" w:rsidTr="007D7E6D">
        <w:tc>
          <w:tcPr>
            <w:tcW w:w="1275" w:type="dxa"/>
          </w:tcPr>
          <w:p w14:paraId="1013426F" w14:textId="17F562B8" w:rsidR="0039040A" w:rsidRPr="00FD17CF" w:rsidRDefault="0039040A" w:rsidP="002061E5">
            <w:pPr>
              <w:spacing w:after="60"/>
              <w:rPr>
                <w:i/>
                <w:iCs/>
              </w:rPr>
            </w:pPr>
            <w:r w:rsidRPr="00E05E29">
              <w:rPr>
                <w:i/>
              </w:rPr>
              <w:t>L</w:t>
            </w:r>
            <w:r w:rsidRPr="00E05E29">
              <w:rPr>
                <w:i/>
                <w:vertAlign w:val="subscript"/>
              </w:rPr>
              <w:t>h</w:t>
            </w:r>
          </w:p>
        </w:tc>
        <w:tc>
          <w:tcPr>
            <w:tcW w:w="7938" w:type="dxa"/>
          </w:tcPr>
          <w:p w14:paraId="4DE86095" w14:textId="79192F99" w:rsidR="0039040A" w:rsidRPr="00E05E29" w:rsidRDefault="0039040A" w:rsidP="002061E5">
            <w:r w:rsidRPr="00E05E29">
              <w:t>is the distance between the dissipative zones at both ends of the span.</w:t>
            </w:r>
          </w:p>
        </w:tc>
      </w:tr>
    </w:tbl>
    <w:p w14:paraId="6A9D9C12" w14:textId="77777777" w:rsidR="0039040A" w:rsidRPr="00867476" w:rsidRDefault="0039040A" w:rsidP="0039040A">
      <w:pPr>
        <w:pStyle w:val="Notetext"/>
      </w:pPr>
      <w:r w:rsidRPr="00E05E29">
        <w:t>NOTE</w:t>
      </w:r>
      <w:r w:rsidRPr="00E05E29">
        <w:tab/>
        <w:t xml:space="preserve">The ductility of moment resisting frames can be improved by weakening of the beam flanges at desired locations of dissipative zones. </w:t>
      </w:r>
      <w:r w:rsidRPr="00535CF2">
        <w:t xml:space="preserve">Some guidance </w:t>
      </w:r>
      <w:r w:rsidRPr="00E05E29">
        <w:t xml:space="preserve">to detail the weakening of the beam is given </w:t>
      </w:r>
      <w:r w:rsidRPr="00867476">
        <w:t>in Annex E.</w:t>
      </w:r>
    </w:p>
    <w:p w14:paraId="3B795BBF" w14:textId="5EA6B8A7" w:rsidR="0039040A" w:rsidRPr="00867476" w:rsidRDefault="0039040A" w:rsidP="00724E4E">
      <w:pPr>
        <w:pStyle w:val="Clause"/>
      </w:pPr>
      <w:r w:rsidRPr="00867476">
        <w:t>If Formula (11.9) is not satisfied, (6) may be considered satisfied if EN</w:t>
      </w:r>
      <w:r w:rsidR="00867476">
        <w:t> </w:t>
      </w:r>
      <w:r w:rsidRPr="00867476">
        <w:t>1993-1-1:20</w:t>
      </w:r>
      <w:r w:rsidR="004D4FF0" w:rsidRPr="00867476">
        <w:t>22, 8.2.9.1</w:t>
      </w:r>
      <w:r w:rsidRPr="00867476">
        <w:t xml:space="preserve"> is satisfied.</w:t>
      </w:r>
    </w:p>
    <w:p w14:paraId="39C175DE" w14:textId="7BF3A482" w:rsidR="0039040A" w:rsidRPr="00E05E29" w:rsidRDefault="0039040A" w:rsidP="00724E4E">
      <w:pPr>
        <w:pStyle w:val="Clause"/>
      </w:pPr>
      <w:r w:rsidRPr="00E05E29">
        <w:t xml:space="preserve">If partial strength connections are used, </w:t>
      </w:r>
      <w:r w:rsidRPr="003A443F">
        <w:t>Formula</w:t>
      </w:r>
      <w:r w:rsidR="007D7E6D">
        <w:t>e</w:t>
      </w:r>
      <w:r w:rsidRPr="003A443F">
        <w:t xml:space="preserve"> (11.8) to (11.10) should </w:t>
      </w:r>
      <w:r w:rsidRPr="00E05E29">
        <w:t xml:space="preserve">also be satisfied considering for </w:t>
      </w:r>
      <w:r w:rsidRPr="004F74EA">
        <w:rPr>
          <w:i/>
          <w:iCs/>
        </w:rPr>
        <w:t>N</w:t>
      </w:r>
      <w:r w:rsidRPr="004F74EA">
        <w:rPr>
          <w:vertAlign w:val="subscript"/>
        </w:rPr>
        <w:t>Rd,b</w:t>
      </w:r>
      <w:r w:rsidRPr="00E05E29">
        <w:t xml:space="preserve">, </w:t>
      </w:r>
      <w:r w:rsidRPr="004F74EA">
        <w:rPr>
          <w:i/>
          <w:iCs/>
        </w:rPr>
        <w:t>M</w:t>
      </w:r>
      <w:r w:rsidRPr="004F74EA">
        <w:rPr>
          <w:vertAlign w:val="subscript"/>
        </w:rPr>
        <w:t>Rd,b</w:t>
      </w:r>
      <w:r w:rsidRPr="00E05E29">
        <w:t xml:space="preserve">, </w:t>
      </w:r>
      <w:r w:rsidRPr="004F74EA">
        <w:rPr>
          <w:i/>
          <w:iCs/>
        </w:rPr>
        <w:t>V</w:t>
      </w:r>
      <w:r w:rsidRPr="004F74EA">
        <w:rPr>
          <w:vertAlign w:val="subscript"/>
        </w:rPr>
        <w:t>Rd,b</w:t>
      </w:r>
      <w:r w:rsidRPr="00E05E29">
        <w:t xml:space="preserve"> the design resistances of the connections.</w:t>
      </w:r>
    </w:p>
    <w:p w14:paraId="4DD3AA6D" w14:textId="0A78D7BF" w:rsidR="0039040A" w:rsidRPr="00E05E29" w:rsidRDefault="0039040A" w:rsidP="0039040A">
      <w:pPr>
        <w:pStyle w:val="Heading3"/>
      </w:pPr>
      <w:bookmarkStart w:id="9528" w:name="_Toc483723231"/>
      <w:bookmarkStart w:id="9529" w:name="_Toc483723566"/>
      <w:bookmarkStart w:id="9530" w:name="_Toc484520880"/>
      <w:bookmarkStart w:id="9531" w:name="_Toc509405059"/>
      <w:bookmarkStart w:id="9532" w:name="_Toc76379871"/>
      <w:bookmarkStart w:id="9533" w:name="_Toc494124730"/>
      <w:r w:rsidRPr="00E05E29">
        <w:t xml:space="preserve"> </w:t>
      </w:r>
      <w:bookmarkStart w:id="9534" w:name="_Toc50150437"/>
      <w:bookmarkStart w:id="9535" w:name="_Toc70886869"/>
      <w:bookmarkStart w:id="9536" w:name="_Toc108342428"/>
      <w:bookmarkStart w:id="9537" w:name="_Toc134197960"/>
      <w:r>
        <w:t>Verification of c</w:t>
      </w:r>
      <w:r w:rsidRPr="00E05E29">
        <w:t>olumns</w:t>
      </w:r>
      <w:bookmarkStart w:id="9538" w:name="_Toc522955932"/>
      <w:bookmarkStart w:id="9539" w:name="_Toc18314123"/>
      <w:bookmarkEnd w:id="9528"/>
      <w:bookmarkEnd w:id="9529"/>
      <w:bookmarkEnd w:id="9530"/>
      <w:bookmarkEnd w:id="9531"/>
      <w:bookmarkEnd w:id="9532"/>
      <w:bookmarkEnd w:id="9533"/>
      <w:bookmarkEnd w:id="9534"/>
      <w:bookmarkEnd w:id="9535"/>
      <w:bookmarkEnd w:id="9536"/>
      <w:bookmarkEnd w:id="9538"/>
      <w:bookmarkEnd w:id="9539"/>
      <w:bookmarkEnd w:id="9537"/>
    </w:p>
    <w:p w14:paraId="4C3DFD33" w14:textId="5347956F" w:rsidR="0039040A" w:rsidRPr="00A547E1" w:rsidRDefault="0039040A" w:rsidP="0080187E">
      <w:pPr>
        <w:pStyle w:val="Clause"/>
        <w:numPr>
          <w:ilvl w:val="0"/>
          <w:numId w:val="381"/>
        </w:numPr>
        <w:rPr>
          <w:strike/>
        </w:rPr>
      </w:pPr>
      <w:r w:rsidRPr="0039040A">
        <w:t xml:space="preserve">The resistance and stability </w:t>
      </w:r>
      <w:r w:rsidRPr="00A547E1">
        <w:t>of</w:t>
      </w:r>
      <w:r w:rsidRPr="0039040A">
        <w:t xml:space="preserve"> columns should be verified in compression, bending and shear considering the most unfavourable combination of </w:t>
      </w:r>
      <w:r w:rsidRPr="00A547E1">
        <w:rPr>
          <w:i/>
        </w:rPr>
        <w:t>N</w:t>
      </w:r>
      <w:r w:rsidRPr="00A547E1">
        <w:rPr>
          <w:vertAlign w:val="subscript"/>
        </w:rPr>
        <w:t>Ed</w:t>
      </w:r>
      <w:r w:rsidRPr="0039040A">
        <w:t xml:space="preserve">, </w:t>
      </w:r>
      <w:r w:rsidRPr="00A547E1">
        <w:rPr>
          <w:i/>
        </w:rPr>
        <w:t>M</w:t>
      </w:r>
      <w:r w:rsidRPr="00A547E1">
        <w:rPr>
          <w:vertAlign w:val="subscript"/>
        </w:rPr>
        <w:t>Ed</w:t>
      </w:r>
      <w:r w:rsidRPr="0039040A">
        <w:t xml:space="preserve"> and </w:t>
      </w:r>
      <w:r w:rsidRPr="00A547E1">
        <w:rPr>
          <w:i/>
        </w:rPr>
        <w:t>V</w:t>
      </w:r>
      <w:r w:rsidRPr="00A547E1">
        <w:rPr>
          <w:vertAlign w:val="subscript"/>
        </w:rPr>
        <w:t>Ed</w:t>
      </w:r>
      <w:r w:rsidRPr="0039040A">
        <w:t xml:space="preserve"> from Formula (11.2).</w:t>
      </w:r>
      <w:r w:rsidRPr="00A547E1">
        <w:rPr>
          <w:rFonts w:eastAsiaTheme="minorHAnsi" w:cstheme="minorBidi"/>
        </w:rPr>
        <w:t xml:space="preserve"> </w:t>
      </w:r>
      <w:r w:rsidRPr="0039040A">
        <w:t>Columns in DC3 should satisfy Formula (6.</w:t>
      </w:r>
      <w:r w:rsidR="000345C6">
        <w:t>5</w:t>
      </w:r>
      <w:r w:rsidRPr="0039040A">
        <w:t xml:space="preserve">) in </w:t>
      </w:r>
      <w:r w:rsidRPr="00357B79">
        <w:rPr>
          <w:bCs/>
        </w:rPr>
        <w:t>6.2.7(2)</w:t>
      </w:r>
      <w:r w:rsidRPr="004D4FF0">
        <w:rPr>
          <w:bCs/>
        </w:rPr>
        <w:t>.</w:t>
      </w:r>
    </w:p>
    <w:p w14:paraId="0127730F" w14:textId="3021DADC" w:rsidR="0039040A" w:rsidRPr="004F74EA" w:rsidRDefault="0039040A" w:rsidP="00724E4E">
      <w:pPr>
        <w:pStyle w:val="Clause"/>
        <w:rPr>
          <w:strike/>
        </w:rPr>
      </w:pPr>
      <w:r w:rsidRPr="001F7A7D">
        <w:lastRenderedPageBreak/>
        <w:t xml:space="preserve">Columns in DC3 should be verified in compression, bending and shear under the most unfavourable combination of </w:t>
      </w:r>
      <w:r w:rsidRPr="004F74EA">
        <w:rPr>
          <w:i/>
        </w:rPr>
        <w:t>N</w:t>
      </w:r>
      <w:r w:rsidRPr="004F74EA">
        <w:rPr>
          <w:vertAlign w:val="subscript"/>
        </w:rPr>
        <w:t>Ed</w:t>
      </w:r>
      <w:r w:rsidRPr="001F7A7D">
        <w:t xml:space="preserve">, </w:t>
      </w:r>
      <w:r w:rsidRPr="004F74EA">
        <w:rPr>
          <w:i/>
        </w:rPr>
        <w:t>M</w:t>
      </w:r>
      <w:r w:rsidRPr="004F74EA">
        <w:rPr>
          <w:vertAlign w:val="subscript"/>
        </w:rPr>
        <w:t>Ed</w:t>
      </w:r>
      <w:r w:rsidRPr="001F7A7D">
        <w:t xml:space="preserve"> and </w:t>
      </w:r>
      <w:r w:rsidRPr="004F74EA">
        <w:rPr>
          <w:i/>
        </w:rPr>
        <w:t>V</w:t>
      </w:r>
      <w:r w:rsidRPr="004F74EA">
        <w:rPr>
          <w:vertAlign w:val="subscript"/>
        </w:rPr>
        <w:t>Ed</w:t>
      </w:r>
      <w:r w:rsidRPr="001F7A7D">
        <w:t xml:space="preserve"> </w:t>
      </w:r>
      <w:r w:rsidRPr="003A443F">
        <w:t xml:space="preserve">from Formula (11.3), </w:t>
      </w:r>
      <w:r w:rsidRPr="001F7A7D">
        <w:t xml:space="preserve">where </w:t>
      </w:r>
      <w:r w:rsidRPr="004F74EA">
        <w:rPr>
          <w:rFonts w:ascii="Symbol" w:hAnsi="Symbol"/>
          <w:i/>
          <w:iCs/>
        </w:rPr>
        <w:t></w:t>
      </w:r>
      <w:r w:rsidRPr="004F74EA">
        <w:rPr>
          <w:vertAlign w:val="subscript"/>
        </w:rPr>
        <w:t>d</w:t>
      </w:r>
      <w:r w:rsidRPr="001F7A7D">
        <w:t xml:space="preserve"> is the minimum value of (</w:t>
      </w:r>
      <w:r w:rsidRPr="004F74EA">
        <w:rPr>
          <w:i/>
        </w:rPr>
        <w:t>M</w:t>
      </w:r>
      <w:r w:rsidRPr="004F74EA">
        <w:rPr>
          <w:vertAlign w:val="subscript"/>
        </w:rPr>
        <w:t xml:space="preserve">pl,Rd,b </w:t>
      </w:r>
      <w:r w:rsidRPr="001F7A7D">
        <w:t xml:space="preserve">- </w:t>
      </w:r>
      <w:r w:rsidRPr="004F74EA">
        <w:rPr>
          <w:i/>
        </w:rPr>
        <w:t>M</w:t>
      </w:r>
      <w:r w:rsidRPr="004F74EA">
        <w:rPr>
          <w:vertAlign w:val="subscript"/>
        </w:rPr>
        <w:t>Ed,G</w:t>
      </w:r>
      <w:r w:rsidRPr="001F7A7D">
        <w:t>)/</w:t>
      </w:r>
      <w:r w:rsidRPr="004F74EA">
        <w:rPr>
          <w:i/>
        </w:rPr>
        <w:t>M</w:t>
      </w:r>
      <w:r w:rsidRPr="004F74EA">
        <w:rPr>
          <w:vertAlign w:val="subscript"/>
        </w:rPr>
        <w:t>Ed</w:t>
      </w:r>
      <w:r w:rsidRPr="001F7A7D">
        <w:t xml:space="preserve"> of all </w:t>
      </w:r>
      <w:r w:rsidRPr="003A443F">
        <w:t xml:space="preserve">beams </w:t>
      </w:r>
      <w:r w:rsidRPr="004F74EA">
        <w:rPr>
          <w:rFonts w:eastAsia="Calibri"/>
        </w:rPr>
        <w:t xml:space="preserve">if dissipatve zones are in the beams, or of all connections, if dissipative zones are in dissipative partial strength connections of the beams to the columns. </w:t>
      </w:r>
      <w:r w:rsidRPr="004F74EA">
        <w:rPr>
          <w:rFonts w:eastAsia="Calibri"/>
          <w:i/>
          <w:iCs/>
        </w:rPr>
        <w:t>M</w:t>
      </w:r>
      <w:r w:rsidRPr="004F74EA">
        <w:rPr>
          <w:rFonts w:eastAsia="Calibri"/>
          <w:vertAlign w:val="subscript"/>
        </w:rPr>
        <w:t xml:space="preserve">Ed,G </w:t>
      </w:r>
      <w:r w:rsidRPr="004F74EA">
        <w:rPr>
          <w:rFonts w:eastAsia="Calibri"/>
        </w:rPr>
        <w:t>is the moment due to the non-seismic actions.</w:t>
      </w:r>
    </w:p>
    <w:p w14:paraId="6175BEA5" w14:textId="7909639F" w:rsidR="0039040A" w:rsidRPr="00ED6630" w:rsidRDefault="0039040A" w:rsidP="00724E4E">
      <w:pPr>
        <w:pStyle w:val="Clause"/>
      </w:pPr>
      <w:r w:rsidRPr="00ED6630">
        <w:t xml:space="preserve">The resistance and stability verifications of columns should </w:t>
      </w:r>
      <w:r w:rsidRPr="003A443F">
        <w:t>satisfy EN</w:t>
      </w:r>
      <w:r w:rsidR="00867476">
        <w:t> </w:t>
      </w:r>
      <w:r w:rsidRPr="003A443F">
        <w:t>1993-1-1:</w:t>
      </w:r>
      <w:r w:rsidRPr="004D4FF0">
        <w:rPr>
          <w:bCs/>
        </w:rPr>
        <w:t>20</w:t>
      </w:r>
      <w:r w:rsidR="004D4FF0">
        <w:rPr>
          <w:bCs/>
        </w:rPr>
        <w:t>22, 8.2</w:t>
      </w:r>
      <w:r w:rsidRPr="00ED6630">
        <w:t>.</w:t>
      </w:r>
    </w:p>
    <w:p w14:paraId="7D1FA29F" w14:textId="28364C67" w:rsidR="0039040A" w:rsidRPr="00ED6630" w:rsidRDefault="0039040A" w:rsidP="00724E4E">
      <w:pPr>
        <w:pStyle w:val="Clause"/>
      </w:pPr>
      <w:r w:rsidRPr="00ED6630">
        <w:t xml:space="preserve">If a plastic hinge is expected in the column, its shear force </w:t>
      </w:r>
      <w:r w:rsidRPr="004F74EA">
        <w:rPr>
          <w:i/>
        </w:rPr>
        <w:t>V</w:t>
      </w:r>
      <w:r w:rsidRPr="004F74EA">
        <w:rPr>
          <w:vertAlign w:val="subscript"/>
        </w:rPr>
        <w:t>Ed</w:t>
      </w:r>
      <w:r w:rsidRPr="00ED6630">
        <w:t xml:space="preserve"> from the analysis should satisfy the condition given by Formula (11.12).</w:t>
      </w:r>
    </w:p>
    <w:p w14:paraId="5480DDE9" w14:textId="171822BD" w:rsidR="0039040A" w:rsidRDefault="009B5CEC" w:rsidP="0039040A">
      <w:pPr>
        <w:pStyle w:val="Formula"/>
        <w:spacing w:before="240"/>
      </w:pPr>
      <m:oMath>
        <m:sSub>
          <m:sSubPr>
            <m:ctrlPr>
              <w:rPr>
                <w:rFonts w:ascii="Cambria Math" w:hAnsi="Cambria Math"/>
                <w:i/>
              </w:rPr>
            </m:ctrlPr>
          </m:sSubPr>
          <m:e>
            <m:r>
              <w:rPr>
                <w:rFonts w:ascii="Cambria Math" w:hAnsi="Cambria Math"/>
              </w:rPr>
              <m:t>V</m:t>
            </m:r>
          </m:e>
          <m:sub>
            <m:r>
              <m:rPr>
                <m:sty m:val="p"/>
              </m:rPr>
              <w:rPr>
                <w:rFonts w:ascii="Cambria Math" w:hAnsi="Cambria Math"/>
              </w:rPr>
              <m:t>Ed</m:t>
            </m:r>
          </m:sub>
        </m:sSub>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 xml:space="preserve">0,5 </m:t>
                </m:r>
                <m:sSub>
                  <m:sSubPr>
                    <m:ctrlPr>
                      <w:rPr>
                        <w:rFonts w:ascii="Cambria Math" w:hAnsi="Cambria Math"/>
                        <w:i/>
                      </w:rPr>
                    </m:ctrlPr>
                  </m:sSubPr>
                  <m:e>
                    <m:r>
                      <w:rPr>
                        <w:rFonts w:ascii="Cambria Math" w:hAnsi="Cambria Math"/>
                      </w:rPr>
                      <m:t>V</m:t>
                    </m:r>
                  </m:e>
                  <m:sub>
                    <m:r>
                      <m:rPr>
                        <m:sty m:val="p"/>
                      </m:rPr>
                      <w:rPr>
                        <w:rFonts w:ascii="Cambria Math" w:hAnsi="Cambria Math"/>
                      </w:rPr>
                      <m:t>Rd,c</m:t>
                    </m:r>
                  </m:sub>
                </m:sSub>
                <m:r>
                  <w:rPr>
                    <w:rFonts w:ascii="Cambria Math" w:hAnsi="Cambria Math"/>
                  </w:rPr>
                  <m:t xml:space="preserve">    </m:t>
                </m:r>
                <m:r>
                  <m:rPr>
                    <m:sty m:val="p"/>
                  </m:rPr>
                  <w:rPr>
                    <w:rFonts w:ascii="Cambria Math" w:hAnsi="Cambria Math"/>
                  </w:rPr>
                  <m:t xml:space="preserve">for </m:t>
                </m:r>
                <m:r>
                  <w:rPr>
                    <w:rFonts w:ascii="Cambria Math" w:hAnsi="Cambria Math"/>
                  </w:rPr>
                  <m:t>q&gt;2</m:t>
                </m:r>
              </m:e>
              <m:e>
                <m:sSub>
                  <m:sSubPr>
                    <m:ctrlPr>
                      <w:rPr>
                        <w:rFonts w:ascii="Cambria Math" w:hAnsi="Cambria Math"/>
                        <w:i/>
                      </w:rPr>
                    </m:ctrlPr>
                  </m:sSubPr>
                  <m:e>
                    <m:r>
                      <w:rPr>
                        <w:rFonts w:ascii="Cambria Math" w:hAnsi="Cambria Math"/>
                      </w:rPr>
                      <m:t>V</m:t>
                    </m:r>
                  </m:e>
                  <m:sub>
                    <m:r>
                      <m:rPr>
                        <m:sty m:val="p"/>
                      </m:rPr>
                      <w:rPr>
                        <w:rFonts w:ascii="Cambria Math" w:hAnsi="Cambria Math"/>
                      </w:rPr>
                      <m:t>Rd,c</m:t>
                    </m:r>
                  </m:sub>
                </m:sSub>
                <m:r>
                  <w:rPr>
                    <w:rFonts w:ascii="Cambria Math" w:hAnsi="Cambria Math"/>
                  </w:rPr>
                  <m:t xml:space="preserve">             </m:t>
                </m:r>
                <m:r>
                  <m:rPr>
                    <m:sty m:val="p"/>
                  </m:rPr>
                  <w:rPr>
                    <w:rFonts w:ascii="Cambria Math" w:hAnsi="Cambria Math"/>
                  </w:rPr>
                  <m:t>for 1,5&lt;</m:t>
                </m:r>
                <m:r>
                  <w:rPr>
                    <w:rFonts w:ascii="Cambria Math" w:hAnsi="Cambria Math"/>
                  </w:rPr>
                  <m:t>q</m:t>
                </m:r>
                <m:r>
                  <m:rPr>
                    <m:sty m:val="p"/>
                  </m:rPr>
                  <w:rPr>
                    <w:rFonts w:ascii="Cambria Math" w:hAnsi="Cambria Math"/>
                  </w:rPr>
                  <m:t>≤2</m:t>
                </m:r>
              </m:e>
            </m:eqArr>
          </m:e>
        </m:d>
      </m:oMath>
      <w:r w:rsidR="0039040A" w:rsidRPr="00870D59">
        <w:tab/>
        <w:t>(1</w:t>
      </w:r>
      <w:r w:rsidR="0039040A">
        <w:t>1</w:t>
      </w:r>
      <w:r w:rsidR="0039040A" w:rsidRPr="00870D59">
        <w:t>.</w:t>
      </w:r>
      <w:r w:rsidR="0039040A">
        <w:t>12</w:t>
      </w:r>
      <w:r w:rsidR="0039040A" w:rsidRPr="00870D59">
        <w:t>)</w:t>
      </w:r>
    </w:p>
    <w:p w14:paraId="6ECE1C77" w14:textId="526040F2" w:rsidR="0039040A" w:rsidRDefault="0039040A" w:rsidP="0039040A">
      <w:r>
        <w:t>where</w:t>
      </w:r>
      <w:r w:rsidRPr="0039040A">
        <w:rPr>
          <w:i/>
          <w:iCs/>
        </w:rPr>
        <w:t xml:space="preserve"> </w:t>
      </w:r>
      <w:r w:rsidRPr="00ED6630">
        <w:rPr>
          <w:i/>
          <w:iCs/>
        </w:rPr>
        <w:t>V</w:t>
      </w:r>
      <w:r w:rsidRPr="00ED6630">
        <w:rPr>
          <w:vertAlign w:val="subscript"/>
        </w:rPr>
        <w:t>Rd,c</w:t>
      </w:r>
      <w:r w:rsidRPr="00ED6630">
        <w:t xml:space="preserve"> is the design resistance of the column cross sections in accordance with EN</w:t>
      </w:r>
      <w:r w:rsidR="00867476">
        <w:t> </w:t>
      </w:r>
      <w:r w:rsidRPr="00ED6630">
        <w:t>1993-1-1</w:t>
      </w:r>
      <w:r w:rsidR="004D4FF0">
        <w:t>:2022, 8.</w:t>
      </w:r>
      <w:r w:rsidR="004D7C1F">
        <w:t>2</w:t>
      </w:r>
      <w:r w:rsidRPr="00ED6630">
        <w:t>.</w:t>
      </w:r>
    </w:p>
    <w:p w14:paraId="596B5022" w14:textId="415D2A6E" w:rsidR="0039040A" w:rsidRPr="0038238E" w:rsidRDefault="0039040A" w:rsidP="00724E4E">
      <w:pPr>
        <w:pStyle w:val="Clause"/>
      </w:pPr>
      <w:r w:rsidRPr="008D00E7">
        <w:t>Column</w:t>
      </w:r>
      <w:r w:rsidRPr="0038238E">
        <w:t>s in DC3 should satisfy Formula (11.13).</w:t>
      </w:r>
    </w:p>
    <w:p w14:paraId="552841E5" w14:textId="42B12B5D" w:rsidR="0039040A" w:rsidRDefault="009B5CEC" w:rsidP="0039040A">
      <w:pPr>
        <w:pStyle w:val="Formula"/>
        <w:spacing w:before="240"/>
      </w:pPr>
      <m:oMath>
        <m:nary>
          <m:naryPr>
            <m:chr m:val="∑"/>
            <m:limLoc m:val="undOvr"/>
            <m:subHide m:val="1"/>
            <m:supHide m:val="1"/>
            <m:ctrlPr>
              <w:rPr>
                <w:rFonts w:ascii="Cambria Math" w:hAnsi="Cambria Math"/>
              </w:rPr>
            </m:ctrlPr>
          </m:naryPr>
          <m:sub/>
          <m:sup/>
          <m:e>
            <m:sSub>
              <m:sSubPr>
                <m:ctrlPr>
                  <w:rPr>
                    <w:rFonts w:ascii="Cambria Math" w:hAnsi="Cambria Math"/>
                  </w:rPr>
                </m:ctrlPr>
              </m:sSubPr>
              <m:e>
                <m:r>
                  <w:rPr>
                    <w:rFonts w:ascii="Cambria Math" w:hAnsi="Cambria Math"/>
                  </w:rPr>
                  <m:t>M</m:t>
                </m:r>
              </m:e>
              <m:sub>
                <m:r>
                  <m:rPr>
                    <m:sty m:val="p"/>
                  </m:rPr>
                  <w:rPr>
                    <w:rFonts w:ascii="Cambria Math" w:hAnsi="Cambria Math"/>
                  </w:rPr>
                  <m:t>pl,Rd,c</m:t>
                </m:r>
              </m:sub>
            </m:sSub>
            <m:d>
              <m:dPr>
                <m:ctrlPr>
                  <w:rPr>
                    <w:rFonts w:ascii="Cambria Math" w:hAnsi="Cambria Math"/>
                  </w:rPr>
                </m:ctrlPr>
              </m:dPr>
              <m:e>
                <m:sSub>
                  <m:sSubPr>
                    <m:ctrlPr>
                      <w:rPr>
                        <w:rFonts w:ascii="Cambria Math" w:hAnsi="Cambria Math"/>
                      </w:rPr>
                    </m:ctrlPr>
                  </m:sSubPr>
                  <m:e>
                    <m:r>
                      <w:rPr>
                        <w:rFonts w:ascii="Cambria Math" w:hAnsi="Cambria Math"/>
                      </w:rPr>
                      <m:t>N</m:t>
                    </m:r>
                  </m:e>
                  <m:sub>
                    <m:r>
                      <m:rPr>
                        <m:sty m:val="p"/>
                      </m:rPr>
                      <w:rPr>
                        <w:rFonts w:ascii="Cambria Math" w:hAnsi="Cambria Math"/>
                      </w:rPr>
                      <m:t>Ed</m:t>
                    </m:r>
                  </m:sub>
                </m:sSub>
              </m:e>
            </m:d>
          </m:e>
        </m:nary>
        <m:r>
          <w:rPr>
            <w:rFonts w:ascii="Cambria Math" w:hAnsi="Cambria Math"/>
          </w:rPr>
          <m:t>≥</m:t>
        </m:r>
        <m:nary>
          <m:naryPr>
            <m:chr m:val="∑"/>
            <m:limLoc m:val="undOvr"/>
            <m:subHide m:val="1"/>
            <m:supHide m:val="1"/>
            <m:ctrlPr>
              <w:rPr>
                <w:rFonts w:ascii="Cambria Math" w:hAnsi="Cambria Math"/>
              </w:rPr>
            </m:ctrlPr>
          </m:naryPr>
          <m:sub/>
          <m:sup/>
          <m:e>
            <m:d>
              <m:dPr>
                <m:begChr m:val="["/>
                <m:endChr m:val="]"/>
                <m:ctrlPr>
                  <w:rPr>
                    <w:rFonts w:ascii="Cambria Math" w:hAnsi="Cambria Math"/>
                  </w:rPr>
                </m:ctrlPr>
              </m:dPr>
              <m:e>
                <m:sSub>
                  <m:sSubPr>
                    <m:ctrlPr>
                      <w:rPr>
                        <w:rFonts w:ascii="Cambria Math" w:hAnsi="Cambria Math"/>
                      </w:rPr>
                    </m:ctrlPr>
                  </m:sSubPr>
                  <m:e>
                    <m:r>
                      <w:rPr>
                        <w:rFonts w:ascii="Cambria Math" w:hAnsi="Cambria Math"/>
                      </w:rPr>
                      <m:t>ω</m:t>
                    </m:r>
                  </m:e>
                  <m:sub>
                    <m:r>
                      <m:rPr>
                        <m:sty m:val="p"/>
                      </m:rPr>
                      <w:rPr>
                        <w:rFonts w:ascii="Cambria Math" w:hAnsi="Cambria Math"/>
                      </w:rPr>
                      <m:t>rm</m:t>
                    </m:r>
                  </m:sub>
                </m:sSub>
                <m:r>
                  <w:rPr>
                    <w:rFonts w:ascii="Cambria Math" w:hAnsi="Cambria Math"/>
                  </w:rPr>
                  <m:t xml:space="preserve"> </m:t>
                </m:r>
                <m:sSub>
                  <m:sSubPr>
                    <m:ctrlPr>
                      <w:rPr>
                        <w:rFonts w:ascii="Cambria Math" w:hAnsi="Cambria Math"/>
                      </w:rPr>
                    </m:ctrlPr>
                  </m:sSubPr>
                  <m:e>
                    <m:r>
                      <w:rPr>
                        <w:rFonts w:ascii="Cambria Math" w:hAnsi="Cambria Math"/>
                      </w:rPr>
                      <m:t>ω</m:t>
                    </m:r>
                  </m:e>
                  <m:sub>
                    <m:r>
                      <m:rPr>
                        <m:sty m:val="p"/>
                      </m:rPr>
                      <w:rPr>
                        <w:rFonts w:ascii="Cambria Math" w:hAnsi="Cambria Math"/>
                      </w:rPr>
                      <m:t>sh</m:t>
                    </m:r>
                  </m:sub>
                </m:sSub>
                <m:r>
                  <w:rPr>
                    <w:rFonts w:ascii="Cambria Math" w:hAnsi="Cambria Math"/>
                  </w:rPr>
                  <m:t xml:space="preserve"> </m:t>
                </m:r>
                <m:d>
                  <m:dPr>
                    <m:ctrlPr>
                      <w:rPr>
                        <w:rFonts w:ascii="Cambria Math" w:hAnsi="Cambria Math"/>
                      </w:rPr>
                    </m:ctrlPr>
                  </m:dPr>
                  <m:e>
                    <m:sSub>
                      <m:sSubPr>
                        <m:ctrlPr>
                          <w:rPr>
                            <w:rFonts w:ascii="Cambria Math" w:hAnsi="Cambria Math"/>
                          </w:rPr>
                        </m:ctrlPr>
                      </m:sSubPr>
                      <m:e>
                        <m:r>
                          <w:rPr>
                            <w:rFonts w:ascii="Cambria Math" w:hAnsi="Cambria Math"/>
                          </w:rPr>
                          <m:t>M</m:t>
                        </m:r>
                      </m:e>
                      <m:sub>
                        <m:r>
                          <m:rPr>
                            <m:sty m:val="p"/>
                          </m:rPr>
                          <w:rPr>
                            <w:rFonts w:ascii="Cambria Math" w:hAnsi="Cambria Math"/>
                          </w:rPr>
                          <m:t>pl,Rd,b</m:t>
                        </m:r>
                      </m:sub>
                    </m:sSub>
                    <m:r>
                      <w:rPr>
                        <w:rFonts w:ascii="Cambria Math" w:hAnsi="Cambria Math"/>
                      </w:rPr>
                      <m:t>+</m:t>
                    </m:r>
                    <m:sSub>
                      <m:sSubPr>
                        <m:ctrlPr>
                          <w:rPr>
                            <w:rFonts w:ascii="Cambria Math" w:hAnsi="Cambria Math"/>
                          </w:rPr>
                        </m:ctrlPr>
                      </m:sSubPr>
                      <m:e>
                        <m:r>
                          <w:rPr>
                            <w:rFonts w:ascii="Cambria Math" w:hAnsi="Cambria Math"/>
                          </w:rPr>
                          <m:t>s</m:t>
                        </m:r>
                      </m:e>
                      <m:sub>
                        <m:r>
                          <m:rPr>
                            <m:sty m:val="p"/>
                          </m:rPr>
                          <w:rPr>
                            <w:rFonts w:ascii="Cambria Math" w:hAnsi="Cambria Math"/>
                          </w:rPr>
                          <m:t>h</m:t>
                        </m:r>
                      </m:sub>
                    </m:sSub>
                    <m:r>
                      <w:rPr>
                        <w:rFonts w:ascii="Cambria Math" w:hAnsi="Cambria Math"/>
                      </w:rPr>
                      <m:t xml:space="preserve"> </m:t>
                    </m:r>
                    <m:sSub>
                      <m:sSubPr>
                        <m:ctrlPr>
                          <w:rPr>
                            <w:rFonts w:ascii="Cambria Math" w:hAnsi="Cambria Math"/>
                          </w:rPr>
                        </m:ctrlPr>
                      </m:sSubPr>
                      <m:e>
                        <m:r>
                          <w:rPr>
                            <w:rFonts w:ascii="Cambria Math" w:hAnsi="Cambria Math"/>
                          </w:rPr>
                          <m:t>V</m:t>
                        </m:r>
                      </m:e>
                      <m:sub>
                        <m:r>
                          <m:rPr>
                            <m:sty m:val="p"/>
                          </m:rPr>
                          <w:rPr>
                            <w:rFonts w:ascii="Cambria Math" w:hAnsi="Cambria Math"/>
                          </w:rPr>
                          <m:t>Ed,M</m:t>
                        </m:r>
                      </m:sub>
                    </m:sSub>
                  </m:e>
                </m:d>
                <m:r>
                  <w:rPr>
                    <w:rFonts w:ascii="Cambria Math" w:hAnsi="Cambria Math"/>
                  </w:rPr>
                  <m:t>"+"</m:t>
                </m:r>
                <m:sSub>
                  <m:sSubPr>
                    <m:ctrlPr>
                      <w:rPr>
                        <w:rFonts w:ascii="Cambria Math" w:hAnsi="Cambria Math"/>
                      </w:rPr>
                    </m:ctrlPr>
                  </m:sSubPr>
                  <m:e>
                    <m:r>
                      <w:rPr>
                        <w:rFonts w:ascii="Cambria Math" w:hAnsi="Cambria Math"/>
                      </w:rPr>
                      <m:t>s</m:t>
                    </m:r>
                  </m:e>
                  <m:sub>
                    <m:r>
                      <m:rPr>
                        <m:sty m:val="p"/>
                      </m:rPr>
                      <w:rPr>
                        <w:rFonts w:ascii="Cambria Math" w:hAnsi="Cambria Math"/>
                      </w:rPr>
                      <m:t>h</m:t>
                    </m:r>
                  </m:sub>
                </m:sSub>
                <m:r>
                  <w:rPr>
                    <w:rFonts w:ascii="Cambria Math" w:hAnsi="Cambria Math"/>
                  </w:rPr>
                  <m:t xml:space="preserve"> </m:t>
                </m:r>
                <m:sSub>
                  <m:sSubPr>
                    <m:ctrlPr>
                      <w:rPr>
                        <w:rFonts w:ascii="Cambria Math" w:hAnsi="Cambria Math"/>
                      </w:rPr>
                    </m:ctrlPr>
                  </m:sSubPr>
                  <m:e>
                    <m:r>
                      <w:rPr>
                        <w:rFonts w:ascii="Cambria Math" w:hAnsi="Cambria Math"/>
                      </w:rPr>
                      <m:t>V</m:t>
                    </m:r>
                  </m:e>
                  <m:sub>
                    <m:r>
                      <m:rPr>
                        <m:sty m:val="p"/>
                      </m:rPr>
                      <w:rPr>
                        <w:rFonts w:ascii="Cambria Math" w:hAnsi="Cambria Math"/>
                      </w:rPr>
                      <m:t>Ed,G</m:t>
                    </m:r>
                  </m:sub>
                </m:sSub>
              </m:e>
            </m:d>
          </m:e>
        </m:nary>
      </m:oMath>
      <w:r w:rsidR="0039040A" w:rsidRPr="00870D59">
        <w:tab/>
        <w:t>(1</w:t>
      </w:r>
      <w:r w:rsidR="0039040A">
        <w:t>1</w:t>
      </w:r>
      <w:r w:rsidR="0039040A" w:rsidRPr="00870D59">
        <w:t>.</w:t>
      </w:r>
      <w:r w:rsidR="0039040A">
        <w:t>13</w:t>
      </w:r>
      <w:r w:rsidR="0039040A" w:rsidRPr="00870D59">
        <w:t>)</w:t>
      </w:r>
    </w:p>
    <w:p w14:paraId="0474C51D" w14:textId="236F9E7F" w:rsidR="0039040A" w:rsidRDefault="00675EBA" w:rsidP="0039040A">
      <w:r>
        <w:t>where</w:t>
      </w:r>
    </w:p>
    <w:tbl>
      <w:tblPr>
        <w:tblW w:w="0" w:type="auto"/>
        <w:tblInd w:w="346" w:type="dxa"/>
        <w:tblLook w:val="04A0" w:firstRow="1" w:lastRow="0" w:firstColumn="1" w:lastColumn="0" w:noHBand="0" w:noVBand="1"/>
      </w:tblPr>
      <w:tblGrid>
        <w:gridCol w:w="1385"/>
        <w:gridCol w:w="7832"/>
      </w:tblGrid>
      <w:tr w:rsidR="0039040A" w:rsidRPr="00821B21" w14:paraId="66B32BD9" w14:textId="77777777" w:rsidTr="007D7E6D">
        <w:tc>
          <w:tcPr>
            <w:tcW w:w="1385" w:type="dxa"/>
          </w:tcPr>
          <w:p w14:paraId="0EBA91A0" w14:textId="00A5471F" w:rsidR="0039040A" w:rsidRPr="00821B21" w:rsidRDefault="00231FA2" w:rsidP="002061E5">
            <w:pPr>
              <w:spacing w:after="60"/>
              <w:rPr>
                <w:rFonts w:eastAsia="Times New Roman" w:cs="Cambria"/>
                <w:szCs w:val="20"/>
                <w:lang w:eastAsia="fr-FR"/>
              </w:rPr>
            </w:pPr>
            <w:r w:rsidRPr="00535CF2">
              <w:t>Σ</w:t>
            </w:r>
            <w:r w:rsidRPr="00535CF2">
              <w:rPr>
                <w:i/>
              </w:rPr>
              <w:t>M</w:t>
            </w:r>
            <w:r w:rsidRPr="00535CF2">
              <w:rPr>
                <w:vertAlign w:val="subscript"/>
              </w:rPr>
              <w:t>pl,Rd,c</w:t>
            </w:r>
            <w:r w:rsidRPr="00535CF2">
              <w:t>(</w:t>
            </w:r>
            <w:r w:rsidRPr="00535CF2">
              <w:rPr>
                <w:i/>
              </w:rPr>
              <w:t>N</w:t>
            </w:r>
            <w:r w:rsidRPr="00535CF2">
              <w:rPr>
                <w:vertAlign w:val="subscript"/>
              </w:rPr>
              <w:t>Ed</w:t>
            </w:r>
            <w:r w:rsidRPr="00535CF2">
              <w:t>)</w:t>
            </w:r>
          </w:p>
        </w:tc>
        <w:tc>
          <w:tcPr>
            <w:tcW w:w="7832" w:type="dxa"/>
          </w:tcPr>
          <w:p w14:paraId="2671616C" w14:textId="2BD1C599" w:rsidR="0039040A" w:rsidRPr="00821B21" w:rsidRDefault="00231FA2" w:rsidP="002061E5">
            <w:pPr>
              <w:spacing w:after="60"/>
              <w:rPr>
                <w:rFonts w:eastAsia="Times New Roman" w:cs="Cambria"/>
                <w:szCs w:val="20"/>
                <w:lang w:eastAsia="fr-FR"/>
              </w:rPr>
            </w:pPr>
            <w:r w:rsidRPr="00535CF2">
              <w:t xml:space="preserve">is the sum of the design moment resistances of the column framing into the joint in accordance </w:t>
            </w:r>
            <w:r w:rsidRPr="00ED6630">
              <w:t xml:space="preserve">with </w:t>
            </w:r>
            <w:r w:rsidR="00867476">
              <w:t>EN 1993-1-1</w:t>
            </w:r>
            <w:r w:rsidRPr="00ED6630">
              <w:t>:</w:t>
            </w:r>
            <w:r w:rsidRPr="004D7C1F">
              <w:t>20</w:t>
            </w:r>
            <w:r w:rsidR="004D7C1F" w:rsidRPr="00357B79">
              <w:t>22, 8.2.9.1</w:t>
            </w:r>
            <w:r w:rsidRPr="00ED6630">
              <w:t xml:space="preserve">, taking into account the axial load </w:t>
            </w:r>
            <w:r w:rsidRPr="00ED6630">
              <w:rPr>
                <w:i/>
              </w:rPr>
              <w:t>N</w:t>
            </w:r>
            <w:r w:rsidRPr="00ED6630">
              <w:rPr>
                <w:iCs/>
                <w:vertAlign w:val="subscript"/>
              </w:rPr>
              <w:t>Ed</w:t>
            </w:r>
            <w:r w:rsidRPr="00ED6630">
              <w:t xml:space="preserve"> determined according</w:t>
            </w:r>
            <w:r w:rsidRPr="00535CF2">
              <w:t xml:space="preserve"> to Formula (11.3);</w:t>
            </w:r>
          </w:p>
        </w:tc>
      </w:tr>
      <w:tr w:rsidR="0039040A" w:rsidRPr="00870D59" w14:paraId="09BFCB02" w14:textId="77777777" w:rsidTr="007D7E6D">
        <w:tc>
          <w:tcPr>
            <w:tcW w:w="1385" w:type="dxa"/>
          </w:tcPr>
          <w:p w14:paraId="02A605D8" w14:textId="2A7347EE" w:rsidR="0039040A" w:rsidRPr="00D1484A" w:rsidRDefault="00231FA2" w:rsidP="002061E5">
            <w:pPr>
              <w:spacing w:after="60"/>
              <w:rPr>
                <w:i/>
                <w:iCs/>
              </w:rPr>
            </w:pPr>
            <w:r w:rsidRPr="00535CF2">
              <w:t>Σ</w:t>
            </w:r>
            <w:r w:rsidRPr="00535CF2">
              <w:rPr>
                <w:i/>
              </w:rPr>
              <w:t>M</w:t>
            </w:r>
            <w:r w:rsidRPr="00535CF2">
              <w:rPr>
                <w:vertAlign w:val="subscript"/>
              </w:rPr>
              <w:t>pl,Rd,b</w:t>
            </w:r>
          </w:p>
        </w:tc>
        <w:tc>
          <w:tcPr>
            <w:tcW w:w="7832" w:type="dxa"/>
          </w:tcPr>
          <w:p w14:paraId="363AD310" w14:textId="02319AAF" w:rsidR="0039040A" w:rsidRPr="00821B21" w:rsidRDefault="00231FA2" w:rsidP="002061E5">
            <w:r w:rsidRPr="00535CF2">
              <w:t xml:space="preserve">is the sum of the design moments of resistance of the beams framing the joint or the sum of the design values of the moments of resistance of the beam connections </w:t>
            </w:r>
            <w:r w:rsidRPr="00231FA2">
              <w:t xml:space="preserve">if dissipative </w:t>
            </w:r>
            <w:r w:rsidRPr="00535CF2">
              <w:t>partial strength connections are used;</w:t>
            </w:r>
          </w:p>
        </w:tc>
      </w:tr>
      <w:tr w:rsidR="0039040A" w:rsidRPr="00870D59" w14:paraId="60359679" w14:textId="77777777" w:rsidTr="007D7E6D">
        <w:tc>
          <w:tcPr>
            <w:tcW w:w="1385" w:type="dxa"/>
          </w:tcPr>
          <w:p w14:paraId="1DDBCD11" w14:textId="40302262" w:rsidR="0039040A" w:rsidRPr="00FD17CF" w:rsidRDefault="00231FA2" w:rsidP="002061E5">
            <w:pPr>
              <w:spacing w:after="60"/>
              <w:rPr>
                <w:i/>
                <w:iCs/>
              </w:rPr>
            </w:pPr>
            <w:r w:rsidRPr="00535CF2">
              <w:rPr>
                <w:i/>
              </w:rPr>
              <w:t>V</w:t>
            </w:r>
            <w:r w:rsidRPr="00535CF2">
              <w:rPr>
                <w:vertAlign w:val="subscript"/>
              </w:rPr>
              <w:t>Ed,M</w:t>
            </w:r>
          </w:p>
        </w:tc>
        <w:tc>
          <w:tcPr>
            <w:tcW w:w="7832" w:type="dxa"/>
          </w:tcPr>
          <w:p w14:paraId="1456C7A4" w14:textId="0329E0E2" w:rsidR="0039040A" w:rsidRPr="00E05E29" w:rsidRDefault="00231FA2" w:rsidP="002061E5">
            <w:r w:rsidRPr="00535CF2">
              <w:t xml:space="preserve">is the shear </w:t>
            </w:r>
            <w:r w:rsidRPr="00231FA2">
              <w:t xml:space="preserve">force in the beam due </w:t>
            </w:r>
            <w:r w:rsidRPr="00535CF2">
              <w:t>to the formation of plastic hinges at both beam ends;</w:t>
            </w:r>
            <w:r>
              <w:t xml:space="preserve"> </w:t>
            </w:r>
            <w:r w:rsidRPr="00535CF2">
              <w:rPr>
                <w:i/>
                <w:iCs/>
              </w:rPr>
              <w:t>V</w:t>
            </w:r>
            <w:r w:rsidRPr="00535CF2">
              <w:rPr>
                <w:vertAlign w:val="subscript"/>
              </w:rPr>
              <w:t xml:space="preserve">Ed,M </w:t>
            </w:r>
            <w:r>
              <w:t xml:space="preserve"> is equal to</w:t>
            </w:r>
            <w:r w:rsidRPr="00535CF2">
              <w:t xml:space="preserve"> (</w:t>
            </w:r>
            <w:r w:rsidRPr="00535CF2">
              <w:rPr>
                <w:i/>
                <w:iCs/>
              </w:rPr>
              <w:t>M</w:t>
            </w:r>
            <w:r w:rsidRPr="00535CF2">
              <w:rPr>
                <w:vertAlign w:val="subscript"/>
              </w:rPr>
              <w:t>pl,Rd,b,A</w:t>
            </w:r>
            <w:r w:rsidRPr="00535CF2">
              <w:t>+</w:t>
            </w:r>
            <w:r w:rsidRPr="00535CF2">
              <w:rPr>
                <w:i/>
                <w:iCs/>
              </w:rPr>
              <w:t>M</w:t>
            </w:r>
            <w:r w:rsidRPr="00535CF2">
              <w:rPr>
                <w:vertAlign w:val="subscript"/>
              </w:rPr>
              <w:t xml:space="preserve">pl,Rd,b,B </w:t>
            </w:r>
            <w:r w:rsidRPr="00535CF2">
              <w:t>)/</w:t>
            </w:r>
            <w:r w:rsidRPr="00535CF2">
              <w:rPr>
                <w:i/>
                <w:iCs/>
              </w:rPr>
              <w:t>L</w:t>
            </w:r>
            <w:r w:rsidRPr="00535CF2">
              <w:rPr>
                <w:vertAlign w:val="subscript"/>
              </w:rPr>
              <w:t>h</w:t>
            </w:r>
            <w:r w:rsidRPr="001F7A7D">
              <w:rPr>
                <w:strike/>
              </w:rPr>
              <w:t>,</w:t>
            </w:r>
            <w:r w:rsidRPr="00535CF2">
              <w:t xml:space="preserve"> where </w:t>
            </w:r>
            <w:r w:rsidRPr="00535CF2">
              <w:rPr>
                <w:i/>
                <w:iCs/>
              </w:rPr>
              <w:t>L</w:t>
            </w:r>
            <w:r w:rsidRPr="00535CF2">
              <w:rPr>
                <w:vertAlign w:val="subscript"/>
              </w:rPr>
              <w:t>h</w:t>
            </w:r>
            <w:r w:rsidRPr="00535CF2">
              <w:t xml:space="preserve"> is the distance </w:t>
            </w:r>
            <w:r>
              <w:t xml:space="preserve"> </w:t>
            </w:r>
            <w:r w:rsidRPr="00535CF2">
              <w:t>between the dissipative zones at both ends of the span.</w:t>
            </w:r>
          </w:p>
        </w:tc>
      </w:tr>
      <w:tr w:rsidR="00231FA2" w:rsidRPr="00870D59" w14:paraId="2981127D" w14:textId="77777777" w:rsidTr="007D7E6D">
        <w:tc>
          <w:tcPr>
            <w:tcW w:w="1385" w:type="dxa"/>
          </w:tcPr>
          <w:p w14:paraId="740DC850" w14:textId="77777777" w:rsidR="00231FA2" w:rsidRPr="00535CF2" w:rsidRDefault="00231FA2" w:rsidP="002061E5">
            <w:pPr>
              <w:spacing w:after="60"/>
              <w:rPr>
                <w:i/>
              </w:rPr>
            </w:pPr>
          </w:p>
        </w:tc>
        <w:tc>
          <w:tcPr>
            <w:tcW w:w="7832" w:type="dxa"/>
          </w:tcPr>
          <w:p w14:paraId="4FCA9348" w14:textId="75B59764" w:rsidR="00231FA2" w:rsidRPr="00231FA2" w:rsidRDefault="00231FA2" w:rsidP="002061E5">
            <w:bookmarkStart w:id="9540" w:name="_Hlk119766261"/>
            <w:r w:rsidRPr="00231FA2">
              <w:rPr>
                <w:rFonts w:ascii="Times New Roman" w:hAnsi="Times New Roman"/>
                <w:iCs/>
                <w:sz w:val="20"/>
              </w:rPr>
              <w:t>NOTE</w:t>
            </w:r>
            <w:r w:rsidRPr="00231FA2">
              <w:rPr>
                <w:rFonts w:ascii="Times New Roman" w:hAnsi="Times New Roman"/>
                <w:iCs/>
                <w:sz w:val="20"/>
              </w:rPr>
              <w:tab/>
            </w:r>
            <w:r w:rsidRPr="00231FA2">
              <w:rPr>
                <w:rFonts w:ascii="Times New Roman" w:hAnsi="Times New Roman"/>
                <w:i/>
                <w:iCs/>
                <w:sz w:val="20"/>
              </w:rPr>
              <w:t>V</w:t>
            </w:r>
            <w:r w:rsidRPr="00231FA2">
              <w:rPr>
                <w:rFonts w:ascii="Times New Roman" w:hAnsi="Times New Roman"/>
                <w:sz w:val="20"/>
                <w:vertAlign w:val="subscript"/>
              </w:rPr>
              <w:t xml:space="preserve">Ed,M </w:t>
            </w:r>
            <w:r w:rsidRPr="00231FA2">
              <w:rPr>
                <w:rFonts w:ascii="Times New Roman" w:hAnsi="Times New Roman"/>
                <w:sz w:val="20"/>
              </w:rPr>
              <w:t xml:space="preserve"> =(</w:t>
            </w:r>
            <w:r w:rsidRPr="00231FA2">
              <w:rPr>
                <w:rFonts w:ascii="Times New Roman" w:hAnsi="Times New Roman"/>
                <w:i/>
                <w:iCs/>
                <w:sz w:val="20"/>
              </w:rPr>
              <w:t>M</w:t>
            </w:r>
            <w:r w:rsidRPr="00231FA2">
              <w:rPr>
                <w:rFonts w:ascii="Times New Roman" w:hAnsi="Times New Roman"/>
                <w:sz w:val="20"/>
                <w:vertAlign w:val="subscript"/>
              </w:rPr>
              <w:t>pl,Rd,b,A</w:t>
            </w:r>
            <w:r w:rsidRPr="00231FA2">
              <w:rPr>
                <w:rFonts w:ascii="Times New Roman" w:hAnsi="Times New Roman"/>
                <w:sz w:val="20"/>
              </w:rPr>
              <w:t>+</w:t>
            </w:r>
            <w:r w:rsidRPr="00231FA2">
              <w:rPr>
                <w:rFonts w:ascii="Times New Roman" w:hAnsi="Times New Roman"/>
                <w:i/>
                <w:iCs/>
                <w:sz w:val="20"/>
              </w:rPr>
              <w:t>M</w:t>
            </w:r>
            <w:r w:rsidRPr="00231FA2">
              <w:rPr>
                <w:rFonts w:ascii="Times New Roman" w:hAnsi="Times New Roman"/>
                <w:sz w:val="20"/>
                <w:vertAlign w:val="subscript"/>
              </w:rPr>
              <w:t xml:space="preserve">pl,Rd,b,B </w:t>
            </w:r>
            <w:r w:rsidRPr="00231FA2">
              <w:rPr>
                <w:rFonts w:ascii="Times New Roman" w:hAnsi="Times New Roman"/>
                <w:sz w:val="20"/>
              </w:rPr>
              <w:t>)/</w:t>
            </w:r>
            <w:r w:rsidRPr="00231FA2">
              <w:rPr>
                <w:rFonts w:ascii="Times New Roman" w:hAnsi="Times New Roman"/>
                <w:i/>
                <w:iCs/>
                <w:sz w:val="20"/>
              </w:rPr>
              <w:t>L</w:t>
            </w:r>
            <w:r w:rsidRPr="00231FA2">
              <w:rPr>
                <w:rFonts w:ascii="Times New Roman" w:hAnsi="Times New Roman"/>
                <w:sz w:val="20"/>
                <w:vertAlign w:val="subscript"/>
              </w:rPr>
              <w:t>h</w:t>
            </w:r>
            <w:r w:rsidRPr="00231FA2">
              <w:rPr>
                <w:rFonts w:ascii="Times New Roman" w:hAnsi="Times New Roman"/>
                <w:sz w:val="20"/>
              </w:rPr>
              <w:t xml:space="preserve"> is the upper bound of the possible </w:t>
            </w:r>
            <w:r w:rsidRPr="00231FA2">
              <w:rPr>
                <w:rFonts w:ascii="Times New Roman" w:hAnsi="Times New Roman"/>
                <w:i/>
                <w:iCs/>
                <w:sz w:val="20"/>
              </w:rPr>
              <w:t>V</w:t>
            </w:r>
            <w:r w:rsidRPr="00231FA2">
              <w:rPr>
                <w:rFonts w:ascii="Times New Roman" w:hAnsi="Times New Roman"/>
                <w:sz w:val="20"/>
                <w:vertAlign w:val="subscript"/>
              </w:rPr>
              <w:t xml:space="preserve">Ed,M </w:t>
            </w:r>
            <w:r w:rsidRPr="00231FA2">
              <w:rPr>
                <w:rFonts w:ascii="Times New Roman" w:hAnsi="Times New Roman"/>
                <w:sz w:val="20"/>
              </w:rPr>
              <w:t xml:space="preserve"> </w:t>
            </w:r>
            <w:bookmarkEnd w:id="9540"/>
          </w:p>
        </w:tc>
      </w:tr>
      <w:tr w:rsidR="00231FA2" w:rsidRPr="00870D59" w14:paraId="0E2A89BA" w14:textId="77777777" w:rsidTr="007D7E6D">
        <w:tc>
          <w:tcPr>
            <w:tcW w:w="1385" w:type="dxa"/>
          </w:tcPr>
          <w:p w14:paraId="4445FEDB" w14:textId="59F9A696" w:rsidR="00231FA2" w:rsidRPr="00535CF2" w:rsidRDefault="00231FA2" w:rsidP="00231FA2">
            <w:pPr>
              <w:spacing w:after="60"/>
              <w:jc w:val="left"/>
              <w:rPr>
                <w:i/>
              </w:rPr>
            </w:pPr>
            <w:r w:rsidRPr="00535CF2">
              <w:rPr>
                <w:i/>
              </w:rPr>
              <w:t>V</w:t>
            </w:r>
            <w:r w:rsidRPr="00535CF2">
              <w:rPr>
                <w:vertAlign w:val="subscript"/>
              </w:rPr>
              <w:t>Ed,G</w:t>
            </w:r>
          </w:p>
        </w:tc>
        <w:tc>
          <w:tcPr>
            <w:tcW w:w="7832" w:type="dxa"/>
          </w:tcPr>
          <w:p w14:paraId="4C4F02C8" w14:textId="0D3815DB" w:rsidR="00231FA2" w:rsidRPr="00E05E29" w:rsidRDefault="00231FA2" w:rsidP="002061E5">
            <w:r w:rsidRPr="00535CF2">
              <w:t>is the shear force due to the non-seismic actions in the seismic design situation;</w:t>
            </w:r>
          </w:p>
        </w:tc>
      </w:tr>
      <w:tr w:rsidR="00231FA2" w:rsidRPr="00870D59" w14:paraId="00779F0B" w14:textId="77777777" w:rsidTr="007D7E6D">
        <w:tc>
          <w:tcPr>
            <w:tcW w:w="1385" w:type="dxa"/>
          </w:tcPr>
          <w:p w14:paraId="216A9A95" w14:textId="092A736B" w:rsidR="00231FA2" w:rsidRPr="00535CF2" w:rsidRDefault="00231FA2" w:rsidP="002061E5">
            <w:pPr>
              <w:spacing w:after="60"/>
              <w:rPr>
                <w:i/>
              </w:rPr>
            </w:pPr>
            <w:r w:rsidRPr="00535CF2">
              <w:rPr>
                <w:i/>
              </w:rPr>
              <w:t>s</w:t>
            </w:r>
            <w:r w:rsidRPr="00535CF2">
              <w:rPr>
                <w:vertAlign w:val="subscript"/>
              </w:rPr>
              <w:t>h</w:t>
            </w:r>
          </w:p>
        </w:tc>
        <w:tc>
          <w:tcPr>
            <w:tcW w:w="7832" w:type="dxa"/>
          </w:tcPr>
          <w:p w14:paraId="11B8FABB" w14:textId="3516DBFC" w:rsidR="00231FA2" w:rsidRPr="00E05E29" w:rsidRDefault="00231FA2" w:rsidP="002061E5">
            <w:r w:rsidRPr="00535CF2">
              <w:t>is the distance between the centre of the expected plastic hinge and the column axis;</w:t>
            </w:r>
          </w:p>
        </w:tc>
      </w:tr>
      <w:tr w:rsidR="00231FA2" w:rsidRPr="00870D59" w14:paraId="38A6A8FB" w14:textId="77777777" w:rsidTr="007D7E6D">
        <w:tc>
          <w:tcPr>
            <w:tcW w:w="1385" w:type="dxa"/>
          </w:tcPr>
          <w:p w14:paraId="71121D46" w14:textId="13EF9E99" w:rsidR="00231FA2" w:rsidRPr="00535CF2" w:rsidRDefault="00231FA2" w:rsidP="002061E5">
            <w:pPr>
              <w:spacing w:after="60"/>
              <w:rPr>
                <w:i/>
              </w:rPr>
            </w:pPr>
            <w:r w:rsidRPr="00535CF2">
              <w:rPr>
                <w:i/>
              </w:rPr>
              <w:t>ω</w:t>
            </w:r>
            <w:r w:rsidRPr="00535CF2">
              <w:rPr>
                <w:vertAlign w:val="subscript"/>
              </w:rPr>
              <w:t>rm</w:t>
            </w:r>
          </w:p>
        </w:tc>
        <w:tc>
          <w:tcPr>
            <w:tcW w:w="7832" w:type="dxa"/>
          </w:tcPr>
          <w:p w14:paraId="5EFA0535" w14:textId="65B06DCA" w:rsidR="00231FA2" w:rsidRPr="00E05E29" w:rsidRDefault="00231FA2" w:rsidP="002061E5">
            <w:r w:rsidRPr="00535CF2">
              <w:t>is the material overstrength factor (</w:t>
            </w:r>
            <w:r w:rsidRPr="00481078">
              <w:t>see 11.2.2);</w:t>
            </w:r>
          </w:p>
        </w:tc>
      </w:tr>
      <w:tr w:rsidR="00231FA2" w:rsidRPr="00870D59" w14:paraId="6D877505" w14:textId="77777777" w:rsidTr="007D7E6D">
        <w:tc>
          <w:tcPr>
            <w:tcW w:w="1385" w:type="dxa"/>
          </w:tcPr>
          <w:p w14:paraId="1A6EEB06" w14:textId="5EC6A71E" w:rsidR="00231FA2" w:rsidRPr="00535CF2" w:rsidRDefault="00231FA2" w:rsidP="002061E5">
            <w:pPr>
              <w:spacing w:after="60"/>
              <w:rPr>
                <w:i/>
              </w:rPr>
            </w:pPr>
            <w:r w:rsidRPr="00535CF2">
              <w:rPr>
                <w:i/>
              </w:rPr>
              <w:t>ω</w:t>
            </w:r>
            <w:r w:rsidRPr="00535CF2">
              <w:rPr>
                <w:vertAlign w:val="subscript"/>
              </w:rPr>
              <w:t>sh</w:t>
            </w:r>
          </w:p>
        </w:tc>
        <w:tc>
          <w:tcPr>
            <w:tcW w:w="7832" w:type="dxa"/>
          </w:tcPr>
          <w:p w14:paraId="2C3AF9A2" w14:textId="696EE9E2" w:rsidR="00231FA2" w:rsidRPr="00E05E29" w:rsidRDefault="00231FA2" w:rsidP="002061E5">
            <w:r w:rsidRPr="00535CF2">
              <w:t>is the hardening factor of the plastic hinge (see Table 11.</w:t>
            </w:r>
            <w:r w:rsidR="00E832F3">
              <w:t>10</w:t>
            </w:r>
            <w:r w:rsidRPr="00535CF2">
              <w:t>).</w:t>
            </w:r>
          </w:p>
        </w:tc>
      </w:tr>
    </w:tbl>
    <w:p w14:paraId="33BA8028" w14:textId="0E4B5639" w:rsidR="00815EB6" w:rsidRDefault="00815EB6" w:rsidP="007D7E6D">
      <w:pPr>
        <w:pStyle w:val="Notetext"/>
        <w:spacing w:before="200"/>
      </w:pPr>
      <w:r w:rsidRPr="00815EB6">
        <w:rPr>
          <w:iCs/>
        </w:rPr>
        <w:t>NOTE</w:t>
      </w:r>
      <w:r>
        <w:rPr>
          <w:iCs/>
        </w:rPr>
        <w:t xml:space="preserve"> 1</w:t>
      </w:r>
      <w:r w:rsidRPr="00815EB6">
        <w:rPr>
          <w:iCs/>
        </w:rPr>
        <w:tab/>
      </w:r>
      <w:r w:rsidRPr="00815EB6">
        <w:rPr>
          <w:i/>
          <w:iCs/>
        </w:rPr>
        <w:t>V</w:t>
      </w:r>
      <w:r w:rsidRPr="00815EB6">
        <w:rPr>
          <w:vertAlign w:val="subscript"/>
        </w:rPr>
        <w:t>Ed,</w:t>
      </w:r>
      <w:r w:rsidRPr="00481078">
        <w:rPr>
          <w:vertAlign w:val="subscript"/>
        </w:rPr>
        <w:t>M</w:t>
      </w:r>
      <w:r w:rsidRPr="00481078">
        <w:t xml:space="preserve"> =</w:t>
      </w:r>
      <w:r w:rsidRPr="00815EB6">
        <w:t>(</w:t>
      </w:r>
      <w:r w:rsidRPr="00815EB6">
        <w:rPr>
          <w:i/>
          <w:iCs/>
        </w:rPr>
        <w:t>M</w:t>
      </w:r>
      <w:r w:rsidRPr="00815EB6">
        <w:rPr>
          <w:vertAlign w:val="subscript"/>
        </w:rPr>
        <w:t>pl,Rd,b,A</w:t>
      </w:r>
      <w:r w:rsidRPr="00815EB6">
        <w:t>+</w:t>
      </w:r>
      <w:r w:rsidRPr="00815EB6">
        <w:rPr>
          <w:i/>
          <w:iCs/>
        </w:rPr>
        <w:t>M</w:t>
      </w:r>
      <w:r w:rsidRPr="00815EB6">
        <w:rPr>
          <w:vertAlign w:val="subscript"/>
        </w:rPr>
        <w:t>pl,Rd,b,B</w:t>
      </w:r>
      <w:r w:rsidRPr="00815EB6">
        <w:t>)/</w:t>
      </w:r>
      <w:r w:rsidRPr="00815EB6">
        <w:rPr>
          <w:i/>
          <w:iCs/>
        </w:rPr>
        <w:t>L</w:t>
      </w:r>
      <w:r w:rsidRPr="00815EB6">
        <w:rPr>
          <w:vertAlign w:val="subscript"/>
        </w:rPr>
        <w:t>h</w:t>
      </w:r>
      <w:r w:rsidRPr="00815EB6">
        <w:t xml:space="preserve"> is the upper bound of the possible </w:t>
      </w:r>
      <w:r w:rsidRPr="00815EB6">
        <w:rPr>
          <w:i/>
          <w:iCs/>
        </w:rPr>
        <w:t>V</w:t>
      </w:r>
      <w:r w:rsidRPr="00815EB6">
        <w:rPr>
          <w:vertAlign w:val="subscript"/>
        </w:rPr>
        <w:t>Ed,M</w:t>
      </w:r>
      <w:r>
        <w:t>.</w:t>
      </w:r>
    </w:p>
    <w:p w14:paraId="79D26DF5" w14:textId="6E359FDF" w:rsidR="00231FA2" w:rsidRPr="00535CF2" w:rsidRDefault="00231FA2" w:rsidP="00231FA2">
      <w:pPr>
        <w:pStyle w:val="Notetext"/>
      </w:pPr>
      <w:r w:rsidRPr="00535CF2">
        <w:t>NOTE</w:t>
      </w:r>
      <w:r w:rsidR="00815EB6">
        <w:t xml:space="preserve"> 2</w:t>
      </w:r>
      <w:r w:rsidRPr="00535CF2">
        <w:tab/>
        <w:t xml:space="preserve">If friction connections are used the dissipation mechanism does not involve plastic deformations and </w:t>
      </w:r>
      <w:r w:rsidRPr="00535CF2">
        <w:rPr>
          <w:i/>
          <w:iCs/>
        </w:rPr>
        <w:t>ω</w:t>
      </w:r>
      <w:r w:rsidRPr="00535CF2">
        <w:rPr>
          <w:vertAlign w:val="subscript"/>
        </w:rPr>
        <w:t>rm</w:t>
      </w:r>
      <w:r w:rsidRPr="00535CF2">
        <w:t xml:space="preserve"> is equal to 1,0.</w:t>
      </w:r>
    </w:p>
    <w:p w14:paraId="18D15A19" w14:textId="47A9141D" w:rsidR="00231FA2" w:rsidRPr="00D1484A" w:rsidRDefault="00231FA2" w:rsidP="00724E4E">
      <w:pPr>
        <w:pStyle w:val="Clause"/>
      </w:pPr>
      <w:r w:rsidRPr="00644C3D">
        <w:t xml:space="preserve">The </w:t>
      </w:r>
      <w:bookmarkStart w:id="9541" w:name="_Hlk38809656"/>
      <w:r w:rsidRPr="00644C3D">
        <w:t xml:space="preserve">non-dimensional slenderness </w:t>
      </w:r>
      <m:oMath>
        <m:acc>
          <m:accPr>
            <m:chr m:val="̅"/>
            <m:ctrlPr>
              <w:rPr>
                <w:rFonts w:ascii="Cambria Math" w:hAnsi="Cambria Math"/>
                <w:i/>
              </w:rPr>
            </m:ctrlPr>
          </m:accPr>
          <m:e>
            <m:r>
              <w:rPr>
                <w:rFonts w:ascii="Cambria Math" w:hAnsi="Cambria Math"/>
              </w:rPr>
              <m:t>λ</m:t>
            </m:r>
          </m:e>
        </m:acc>
      </m:oMath>
      <w:r w:rsidRPr="00132C1E">
        <w:t xml:space="preserve"> of columns </w:t>
      </w:r>
      <w:bookmarkEnd w:id="9541"/>
      <w:r w:rsidRPr="00D1484A">
        <w:t xml:space="preserve">where a plastic hinge is expected to form should </w:t>
      </w:r>
      <w:r w:rsidRPr="003A443F">
        <w:t xml:space="preserve">not be greater than </w:t>
      </w:r>
      <w:r w:rsidRPr="00D1484A">
        <w:t>0,85.</w:t>
      </w:r>
    </w:p>
    <w:p w14:paraId="327A41EE" w14:textId="6FA90A77" w:rsidR="00231FA2" w:rsidRPr="00FD17CF" w:rsidRDefault="00231FA2" w:rsidP="00724E4E">
      <w:pPr>
        <w:pStyle w:val="Clause"/>
      </w:pPr>
      <w:r w:rsidRPr="007E6F67">
        <w:t>The cross-sectional class of columns should comply with</w:t>
      </w:r>
      <w:r w:rsidRPr="00FD17CF">
        <w:t xml:space="preserve"> Table </w:t>
      </w:r>
      <w:r w:rsidRPr="00535CF2">
        <w:t>11.</w:t>
      </w:r>
      <w:r w:rsidR="00E832F3">
        <w:t>8</w:t>
      </w:r>
      <w:r w:rsidRPr="00535CF2">
        <w:t>.</w:t>
      </w:r>
    </w:p>
    <w:p w14:paraId="174020EE" w14:textId="082D6B05" w:rsidR="00231FA2" w:rsidRPr="00ED6630" w:rsidRDefault="00231FA2" w:rsidP="00724E4E">
      <w:pPr>
        <w:pStyle w:val="Clause"/>
      </w:pPr>
      <w:r w:rsidRPr="00FD17CF">
        <w:lastRenderedPageBreak/>
        <w:t xml:space="preserve">In columns of single storey MRFs with cross sections class 3 or 4, </w:t>
      </w:r>
      <w:r w:rsidRPr="004F74EA">
        <w:rPr>
          <w:i/>
        </w:rPr>
        <w:t>N</w:t>
      </w:r>
      <w:r w:rsidRPr="004F74EA">
        <w:rPr>
          <w:vertAlign w:val="subscript"/>
        </w:rPr>
        <w:t>Ed</w:t>
      </w:r>
      <w:r w:rsidRPr="00FD17CF">
        <w:t xml:space="preserve"> should be not greater than 0,6 </w:t>
      </w:r>
      <w:r w:rsidRPr="004F74EA">
        <w:rPr>
          <w:i/>
        </w:rPr>
        <w:t>N</w:t>
      </w:r>
      <w:r w:rsidRPr="004F74EA">
        <w:rPr>
          <w:iCs/>
          <w:vertAlign w:val="subscript"/>
        </w:rPr>
        <w:t>Rd,c</w:t>
      </w:r>
      <w:r w:rsidRPr="00E05E29">
        <w:t xml:space="preserve">, </w:t>
      </w:r>
      <w:r w:rsidRPr="00ED6630">
        <w:t xml:space="preserve">where </w:t>
      </w:r>
      <w:bookmarkStart w:id="9542" w:name="_Hlk38809759"/>
      <w:r w:rsidRPr="004F74EA">
        <w:rPr>
          <w:i/>
          <w:iCs/>
        </w:rPr>
        <w:t>N</w:t>
      </w:r>
      <w:r w:rsidRPr="004F74EA">
        <w:rPr>
          <w:vertAlign w:val="subscript"/>
        </w:rPr>
        <w:t>Rd,c</w:t>
      </w:r>
      <w:r w:rsidRPr="00ED6630">
        <w:t xml:space="preserve"> is the design resistance of the column cross section </w:t>
      </w:r>
      <w:bookmarkEnd w:id="9542"/>
      <w:r w:rsidRPr="00ED6630">
        <w:t xml:space="preserve">in accordance with </w:t>
      </w:r>
      <w:r w:rsidR="00867476">
        <w:t>EN 1993-1</w:t>
      </w:r>
      <w:r w:rsidR="007D7E6D">
        <w:noBreakHyphen/>
      </w:r>
      <w:r w:rsidR="00867476">
        <w:t>1</w:t>
      </w:r>
      <w:r w:rsidRPr="00ED6630">
        <w:t>.</w:t>
      </w:r>
    </w:p>
    <w:p w14:paraId="123BF94B" w14:textId="09E9AF84" w:rsidR="00231FA2" w:rsidRPr="008507A2" w:rsidRDefault="00231FA2" w:rsidP="00231FA2">
      <w:pPr>
        <w:pStyle w:val="Heading3"/>
      </w:pPr>
      <w:bookmarkStart w:id="9543" w:name="_Toc483723232"/>
      <w:bookmarkStart w:id="9544" w:name="_Toc483723567"/>
      <w:bookmarkStart w:id="9545" w:name="_Toc484520881"/>
      <w:bookmarkStart w:id="9546" w:name="_Toc509405060"/>
      <w:bookmarkStart w:id="9547" w:name="_Toc76379872"/>
      <w:bookmarkStart w:id="9548" w:name="_Toc494124731"/>
      <w:bookmarkStart w:id="9549" w:name="_Toc50150438"/>
      <w:bookmarkStart w:id="9550" w:name="_Toc70886870"/>
      <w:bookmarkStart w:id="9551" w:name="_Toc108342429"/>
      <w:bookmarkStart w:id="9552" w:name="_Toc134197961"/>
      <w:r w:rsidRPr="008507A2">
        <w:t>Verification of beam to column joints</w:t>
      </w:r>
      <w:bookmarkStart w:id="9553" w:name="_Toc522955933"/>
      <w:bookmarkStart w:id="9554" w:name="_Toc18314124"/>
      <w:bookmarkEnd w:id="9543"/>
      <w:bookmarkEnd w:id="9544"/>
      <w:bookmarkEnd w:id="9545"/>
      <w:bookmarkEnd w:id="9546"/>
      <w:bookmarkEnd w:id="9547"/>
      <w:bookmarkEnd w:id="9548"/>
      <w:bookmarkEnd w:id="9549"/>
      <w:bookmarkEnd w:id="9550"/>
      <w:bookmarkEnd w:id="9551"/>
      <w:bookmarkEnd w:id="9553"/>
      <w:bookmarkEnd w:id="9554"/>
      <w:bookmarkEnd w:id="9552"/>
    </w:p>
    <w:p w14:paraId="21D779E1" w14:textId="5FA18867" w:rsidR="00231FA2" w:rsidRPr="008507A2" w:rsidRDefault="00231FA2" w:rsidP="0080187E">
      <w:pPr>
        <w:pStyle w:val="Clause"/>
        <w:numPr>
          <w:ilvl w:val="0"/>
          <w:numId w:val="382"/>
        </w:numPr>
      </w:pPr>
      <w:r w:rsidRPr="008507A2">
        <w:t xml:space="preserve">The composite action between the beam and the concrete slab should be prevented using measures specified in 12.8.6.2.3. Otherwise, the frame should be designed to </w:t>
      </w:r>
      <w:r w:rsidR="008507A2" w:rsidRPr="008507A2">
        <w:t xml:space="preserve">Clause </w:t>
      </w:r>
      <w:r w:rsidRPr="008507A2">
        <w:t>12 and beam-to-column joints should be designed according to 12.8.6.</w:t>
      </w:r>
    </w:p>
    <w:p w14:paraId="626B7917" w14:textId="77777777" w:rsidR="00231FA2" w:rsidRPr="008507A2" w:rsidRDefault="00231FA2" w:rsidP="00AA7606">
      <w:pPr>
        <w:pStyle w:val="Notetext"/>
      </w:pPr>
      <w:r w:rsidRPr="008507A2">
        <w:t>NOTE</w:t>
      </w:r>
      <w:r w:rsidRPr="008507A2">
        <w:tab/>
        <w:t>Further rules and design detailing to avoid the composite action are given in Annex E.3.1 (3).</w:t>
      </w:r>
    </w:p>
    <w:p w14:paraId="501144B7" w14:textId="6DE9D4E4" w:rsidR="00231FA2" w:rsidRPr="00E05E29" w:rsidRDefault="00231FA2" w:rsidP="00724E4E">
      <w:pPr>
        <w:pStyle w:val="Clause"/>
      </w:pPr>
      <w:r w:rsidRPr="00E05E29">
        <w:t xml:space="preserve">In structures designed to dissipate energy in the beams, the connections of the beams to the columns and the column web panels should satisfy </w:t>
      </w:r>
      <w:r w:rsidRPr="003A443F">
        <w:t>Formula (</w:t>
      </w:r>
      <w:r w:rsidR="00E21912">
        <w:t>E.1</w:t>
      </w:r>
      <w:r w:rsidRPr="003A443F">
        <w:t xml:space="preserve">) </w:t>
      </w:r>
      <w:r w:rsidRPr="00E05E29">
        <w:t>for both external and internal joints.</w:t>
      </w:r>
    </w:p>
    <w:p w14:paraId="418606C2" w14:textId="20F0BBFC" w:rsidR="00231FA2" w:rsidRPr="00E05E29" w:rsidRDefault="00231FA2" w:rsidP="00724E4E">
      <w:pPr>
        <w:pStyle w:val="Clause"/>
      </w:pPr>
      <w:r w:rsidRPr="00E05E29">
        <w:t xml:space="preserve">Dissipative semi-rigid and/or partial strength connections may be used for DC2 and DC3 structures, if a) to c) are all </w:t>
      </w:r>
      <w:r>
        <w:t>satisfied</w:t>
      </w:r>
      <w:r w:rsidRPr="00E05E29">
        <w:t>:</w:t>
      </w:r>
    </w:p>
    <w:p w14:paraId="4DBE17FE" w14:textId="77777777" w:rsidR="00231FA2" w:rsidRPr="00E05E29" w:rsidRDefault="00231FA2" w:rsidP="0080187E">
      <w:pPr>
        <w:pStyle w:val="List2"/>
        <w:numPr>
          <w:ilvl w:val="0"/>
          <w:numId w:val="150"/>
        </w:numPr>
        <w:spacing w:before="0" w:after="240" w:line="230" w:lineRule="atLeast"/>
        <w:contextualSpacing w:val="0"/>
      </w:pPr>
      <w:r w:rsidRPr="00E05E29">
        <w:t>the rotation capacity of the connections is consistent with the global deformations; this condition may be neglected</w:t>
      </w:r>
      <w:r w:rsidRPr="00E05E29" w:rsidDel="00284FF1">
        <w:t xml:space="preserve"> </w:t>
      </w:r>
      <w:r w:rsidRPr="00E05E29">
        <w:t>if prequalified connections are used;</w:t>
      </w:r>
    </w:p>
    <w:p w14:paraId="10AB4B1C" w14:textId="77777777" w:rsidR="00231FA2" w:rsidRPr="00E05E29" w:rsidRDefault="00231FA2" w:rsidP="0080187E">
      <w:pPr>
        <w:pStyle w:val="List2"/>
        <w:numPr>
          <w:ilvl w:val="0"/>
          <w:numId w:val="150"/>
        </w:numPr>
        <w:spacing w:before="0" w:after="240" w:line="230" w:lineRule="atLeast"/>
        <w:contextualSpacing w:val="0"/>
      </w:pPr>
      <w:r w:rsidRPr="00E05E29">
        <w:t>the resistance and stability of members framing into the connections are verified at the SD limit state;</w:t>
      </w:r>
    </w:p>
    <w:p w14:paraId="166D30DD" w14:textId="77777777" w:rsidR="00231FA2" w:rsidRPr="00E05E29" w:rsidRDefault="00231FA2" w:rsidP="0080187E">
      <w:pPr>
        <w:pStyle w:val="List2"/>
        <w:numPr>
          <w:ilvl w:val="0"/>
          <w:numId w:val="150"/>
        </w:numPr>
        <w:spacing w:before="0" w:after="240" w:line="230" w:lineRule="atLeast"/>
        <w:contextualSpacing w:val="0"/>
      </w:pPr>
      <w:r w:rsidRPr="00E05E29">
        <w:t>the effects of connection deformation on global drift are taken into account</w:t>
      </w:r>
      <w:r w:rsidRPr="00E05E29">
        <w:rPr>
          <w:b/>
          <w:bCs/>
        </w:rPr>
        <w:t xml:space="preserve"> </w:t>
      </w:r>
      <w:r w:rsidRPr="00E05E29">
        <w:t>using linear analysis if prequalified partial strength connections are used, while non-linear analyses should be performed for all other types of connections.</w:t>
      </w:r>
    </w:p>
    <w:p w14:paraId="75F850E5" w14:textId="094D00C1" w:rsidR="00231FA2" w:rsidRPr="00ED6630" w:rsidRDefault="00231FA2" w:rsidP="00724E4E">
      <w:pPr>
        <w:pStyle w:val="Clause"/>
      </w:pPr>
      <w:r w:rsidRPr="00AA7606">
        <w:t>The design resistance of the connection should be obtained from prEN</w:t>
      </w:r>
      <w:r w:rsidR="008507A2">
        <w:t> </w:t>
      </w:r>
      <w:r w:rsidRPr="00AA7606">
        <w:t>1993-1-8:20</w:t>
      </w:r>
      <w:r w:rsidR="003B0C2D">
        <w:t xml:space="preserve">21, </w:t>
      </w:r>
      <w:r w:rsidR="006633B5">
        <w:t xml:space="preserve">Clause </w:t>
      </w:r>
      <w:r w:rsidR="003B0C2D">
        <w:t>8</w:t>
      </w:r>
      <w:r w:rsidR="008507A2">
        <w:t>.</w:t>
      </w:r>
    </w:p>
    <w:p w14:paraId="52444D63" w14:textId="37643108" w:rsidR="00231FA2" w:rsidRPr="00ED6630" w:rsidRDefault="00231FA2" w:rsidP="00724E4E">
      <w:pPr>
        <w:pStyle w:val="Clause"/>
      </w:pPr>
      <w:r w:rsidRPr="00ED6630">
        <w:t xml:space="preserve">Column web panels framed </w:t>
      </w:r>
      <w:r w:rsidRPr="00AA7606">
        <w:t>by flanges and stiffeners (see Figure 11.12) should satisfy Formula</w:t>
      </w:r>
      <w:r w:rsidR="007D7E6D">
        <w:t> </w:t>
      </w:r>
      <w:r w:rsidRPr="00AA7606">
        <w:t>(11.14)</w:t>
      </w:r>
      <w:r w:rsidRPr="00ED6630">
        <w:t>.</w:t>
      </w:r>
    </w:p>
    <w:p w14:paraId="7E188B7F" w14:textId="332234E8" w:rsidR="00AA7606" w:rsidRDefault="009B5CEC" w:rsidP="00AA7606">
      <w:pPr>
        <w:pStyle w:val="Formula"/>
        <w:spacing w:before="240"/>
      </w:pPr>
      <m:oMath>
        <m:sSub>
          <m:sSubPr>
            <m:ctrlPr>
              <w:rPr>
                <w:rFonts w:ascii="Cambria Math" w:hAnsi="Cambria Math"/>
                <w:i/>
              </w:rPr>
            </m:ctrlPr>
          </m:sSubPr>
          <m:e>
            <m:r>
              <w:rPr>
                <w:rFonts w:ascii="Cambria Math" w:hAnsi="Cambria Math"/>
              </w:rPr>
              <m:t>V</m:t>
            </m:r>
          </m:e>
          <m:sub>
            <m:r>
              <m:rPr>
                <m:sty m:val="p"/>
              </m:rPr>
              <w:rPr>
                <w:rFonts w:ascii="Cambria Math" w:hAnsi="Cambria Math"/>
              </w:rPr>
              <m:t>wp,Ed</m:t>
            </m:r>
          </m:sub>
        </m:sSub>
        <m:r>
          <w:rPr>
            <w:rFonts w:ascii="Cambria Math" w:hAnsi="Cambria Math"/>
          </w:rPr>
          <m:t>≤</m:t>
        </m:r>
        <m:sSub>
          <m:sSubPr>
            <m:ctrlPr>
              <w:rPr>
                <w:rFonts w:ascii="Cambria Math" w:hAnsi="Cambria Math"/>
                <w:i/>
              </w:rPr>
            </m:ctrlPr>
          </m:sSubPr>
          <m:e>
            <m:r>
              <w:rPr>
                <w:rFonts w:ascii="Cambria Math" w:hAnsi="Cambria Math"/>
              </w:rPr>
              <m:t>V</m:t>
            </m:r>
          </m:e>
          <m:sub>
            <m:r>
              <m:rPr>
                <m:sty m:val="p"/>
              </m:rPr>
              <w:rPr>
                <w:rFonts w:ascii="Cambria Math" w:hAnsi="Cambria Math"/>
              </w:rPr>
              <m:t>wp,Rd</m:t>
            </m:r>
          </m:sub>
        </m:sSub>
      </m:oMath>
      <w:r w:rsidR="00AA7606" w:rsidRPr="00870D59">
        <w:tab/>
        <w:t>(1</w:t>
      </w:r>
      <w:r w:rsidR="00AA7606">
        <w:t>1</w:t>
      </w:r>
      <w:r w:rsidR="00AA7606" w:rsidRPr="00870D59">
        <w:t>.</w:t>
      </w:r>
      <w:r w:rsidR="00AA7606">
        <w:t>1</w:t>
      </w:r>
      <w:r w:rsidR="001F1B20">
        <w:t>4</w:t>
      </w:r>
      <w:r w:rsidR="00AA7606" w:rsidRPr="00870D59">
        <w:t>)</w:t>
      </w:r>
    </w:p>
    <w:p w14:paraId="0EAC852B" w14:textId="49BE9E4C" w:rsidR="00AA7606" w:rsidRDefault="00675EBA" w:rsidP="00AA7606">
      <w:r>
        <w:t>where</w:t>
      </w:r>
    </w:p>
    <w:tbl>
      <w:tblPr>
        <w:tblW w:w="0" w:type="auto"/>
        <w:tblInd w:w="284" w:type="dxa"/>
        <w:tblLook w:val="04A0" w:firstRow="1" w:lastRow="0" w:firstColumn="1" w:lastColumn="0" w:noHBand="0" w:noVBand="1"/>
      </w:tblPr>
      <w:tblGrid>
        <w:gridCol w:w="1437"/>
        <w:gridCol w:w="7842"/>
      </w:tblGrid>
      <w:tr w:rsidR="00AA7606" w:rsidRPr="00821B21" w14:paraId="06E49634" w14:textId="77777777" w:rsidTr="007D7E6D">
        <w:tc>
          <w:tcPr>
            <w:tcW w:w="1437" w:type="dxa"/>
          </w:tcPr>
          <w:p w14:paraId="0B7D8A2E" w14:textId="5BB2D966" w:rsidR="00AA7606" w:rsidRPr="00821B21" w:rsidRDefault="001F1B20" w:rsidP="002061E5">
            <w:pPr>
              <w:spacing w:after="60"/>
              <w:rPr>
                <w:rFonts w:eastAsia="Times New Roman" w:cs="Cambria"/>
                <w:szCs w:val="20"/>
                <w:lang w:eastAsia="fr-FR"/>
              </w:rPr>
            </w:pPr>
            <w:r w:rsidRPr="00ED6630">
              <w:rPr>
                <w:i/>
              </w:rPr>
              <w:t>V</w:t>
            </w:r>
            <w:r w:rsidRPr="00ED6630">
              <w:rPr>
                <w:vertAlign w:val="subscript"/>
              </w:rPr>
              <w:t>wp,Ed</w:t>
            </w:r>
          </w:p>
        </w:tc>
        <w:tc>
          <w:tcPr>
            <w:tcW w:w="7842" w:type="dxa"/>
          </w:tcPr>
          <w:p w14:paraId="6A2ACC18" w14:textId="4D193D35" w:rsidR="00AA7606" w:rsidRPr="00821B21" w:rsidRDefault="001F1B20" w:rsidP="002061E5">
            <w:pPr>
              <w:spacing w:after="60"/>
              <w:rPr>
                <w:rFonts w:eastAsia="Times New Roman" w:cs="Cambria"/>
                <w:szCs w:val="20"/>
                <w:lang w:eastAsia="fr-FR"/>
              </w:rPr>
            </w:pPr>
            <w:r w:rsidRPr="00ED6630">
              <w:t xml:space="preserve">is the design shear force in the web panel due to the action effects, taking into account the plastic resistance of the adjacent dissipative zones in beams or connections, </w:t>
            </w:r>
            <w:r w:rsidRPr="001F1B20">
              <w:t>see Figure 11.12 and prEN</w:t>
            </w:r>
            <w:r w:rsidR="008507A2">
              <w:t> </w:t>
            </w:r>
            <w:r w:rsidRPr="001F1B20">
              <w:t>1993-1-8:</w:t>
            </w:r>
            <w:r w:rsidRPr="008507A2">
              <w:t>2021, 8.2.6;</w:t>
            </w:r>
          </w:p>
        </w:tc>
      </w:tr>
      <w:tr w:rsidR="00AA7606" w:rsidRPr="00870D59" w14:paraId="0C48B114" w14:textId="77777777" w:rsidTr="007D7E6D">
        <w:tc>
          <w:tcPr>
            <w:tcW w:w="1437" w:type="dxa"/>
          </w:tcPr>
          <w:p w14:paraId="0A63086F" w14:textId="29E1A243" w:rsidR="00AA7606" w:rsidRPr="00D1484A" w:rsidRDefault="001F1B20" w:rsidP="002061E5">
            <w:pPr>
              <w:spacing w:after="60"/>
              <w:rPr>
                <w:i/>
                <w:iCs/>
              </w:rPr>
            </w:pPr>
            <w:r w:rsidRPr="00FD17CF">
              <w:rPr>
                <w:i/>
              </w:rPr>
              <w:t>V</w:t>
            </w:r>
            <w:r w:rsidRPr="00FD17CF">
              <w:rPr>
                <w:vertAlign w:val="subscript"/>
              </w:rPr>
              <w:t>wp,Rd</w:t>
            </w:r>
          </w:p>
        </w:tc>
        <w:tc>
          <w:tcPr>
            <w:tcW w:w="7842" w:type="dxa"/>
          </w:tcPr>
          <w:p w14:paraId="14473F00" w14:textId="0B7362BF" w:rsidR="00AA7606" w:rsidRPr="00821B21" w:rsidRDefault="001F1B20" w:rsidP="002061E5">
            <w:r w:rsidRPr="00644C3D">
              <w:t>is the shear resistance of the web panel</w:t>
            </w:r>
            <w:r>
              <w:t>.</w:t>
            </w:r>
          </w:p>
        </w:tc>
      </w:tr>
    </w:tbl>
    <w:p w14:paraId="55844131" w14:textId="5B14AD3C" w:rsidR="001F1B20" w:rsidRPr="00132C1E" w:rsidRDefault="0004746D" w:rsidP="0004746D">
      <w:pPr>
        <w:pStyle w:val="FigureImage"/>
      </w:pPr>
      <w:r>
        <w:rPr>
          <w:noProof/>
        </w:rPr>
        <w:lastRenderedPageBreak/>
        <w:drawing>
          <wp:inline distT="0" distB="0" distL="0" distR="0" wp14:anchorId="4346BCED" wp14:editId="767669EC">
            <wp:extent cx="5039876" cy="3380238"/>
            <wp:effectExtent l="0" t="0" r="0" b="0"/>
            <wp:docPr id="9" name="0033.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0033.tiff"/>
                    <pic:cNvPicPr/>
                  </pic:nvPicPr>
                  <pic:blipFill>
                    <a:blip r:link="rId48"/>
                    <a:stretch>
                      <a:fillRect/>
                    </a:stretch>
                  </pic:blipFill>
                  <pic:spPr>
                    <a:xfrm>
                      <a:off x="0" y="0"/>
                      <a:ext cx="5039876" cy="3380238"/>
                    </a:xfrm>
                    <a:prstGeom prst="rect">
                      <a:avLst/>
                    </a:prstGeom>
                  </pic:spPr>
                </pic:pic>
              </a:graphicData>
            </a:graphic>
          </wp:inline>
        </w:drawing>
      </w:r>
    </w:p>
    <w:p w14:paraId="4DC5E292" w14:textId="5C4E0793" w:rsidR="001F1B20" w:rsidRPr="00D1484A" w:rsidRDefault="001F1B20" w:rsidP="001F1B20">
      <w:pPr>
        <w:pStyle w:val="Figuretitle"/>
      </w:pPr>
      <w:r w:rsidRPr="00D1484A">
        <w:t xml:space="preserve">Figure </w:t>
      </w:r>
      <w:r>
        <w:t>11</w:t>
      </w:r>
      <w:r w:rsidRPr="00132C1E">
        <w:t>.</w:t>
      </w:r>
      <w:r>
        <w:t>12</w:t>
      </w:r>
      <w:r w:rsidRPr="00132C1E">
        <w:t> </w:t>
      </w:r>
      <w:r w:rsidRPr="00D1484A">
        <w:rPr>
          <w:rFonts w:ascii="`ÃÍœ˛" w:eastAsia="Cambria" w:hAnsi="`ÃÍœ˛" w:cs="`ÃÍœ˛"/>
          <w:szCs w:val="22"/>
          <w:lang w:eastAsia="de-DE"/>
        </w:rPr>
        <w:t>—</w:t>
      </w:r>
      <w:r w:rsidRPr="00D1484A">
        <w:t xml:space="preserve"> Web panel framed by </w:t>
      </w:r>
      <w:r w:rsidRPr="000F1A9F">
        <w:t>column flanges and continuity plates</w:t>
      </w:r>
    </w:p>
    <w:p w14:paraId="3B91D8DA" w14:textId="03ED8814" w:rsidR="001F1B20" w:rsidRPr="00FD17CF" w:rsidRDefault="001F1B20" w:rsidP="00724E4E">
      <w:pPr>
        <w:pStyle w:val="Clause"/>
      </w:pPr>
      <w:r w:rsidRPr="007E6F67">
        <w:t xml:space="preserve">Web panels should satisfy </w:t>
      </w:r>
      <w:r w:rsidRPr="003A443F">
        <w:t>Formula (11.15).</w:t>
      </w:r>
    </w:p>
    <w:p w14:paraId="21C23072" w14:textId="6A720986" w:rsidR="00945A15" w:rsidRDefault="009B5CEC" w:rsidP="00945A15">
      <w:pPr>
        <w:pStyle w:val="Formula"/>
        <w:spacing w:before="240"/>
      </w:pPr>
      <m:oMath>
        <m:sSub>
          <m:sSubPr>
            <m:ctrlPr>
              <w:rPr>
                <w:rFonts w:ascii="Cambria Math" w:hAnsi="Cambria Math"/>
              </w:rPr>
            </m:ctrlPr>
          </m:sSubPr>
          <m:e>
            <m:r>
              <w:rPr>
                <w:rFonts w:ascii="Cambria Math" w:hAnsi="Cambria Math"/>
              </w:rPr>
              <m:t>V</m:t>
            </m:r>
          </m:e>
          <m:sub>
            <m:r>
              <m:rPr>
                <m:sty m:val="p"/>
              </m:rPr>
              <w:rPr>
                <w:rFonts w:ascii="Cambria Math" w:hAnsi="Cambria Math"/>
              </w:rPr>
              <m:t>wp,Ed</m:t>
            </m:r>
          </m:sub>
        </m:sSub>
        <m:r>
          <w:rPr>
            <w:rFonts w:ascii="Cambria Math" w:hAnsi="Cambria Math"/>
          </w:rPr>
          <m:t>≤</m:t>
        </m:r>
        <m:sSub>
          <m:sSubPr>
            <m:ctrlPr>
              <w:rPr>
                <w:rFonts w:ascii="Cambria Math" w:hAnsi="Cambria Math"/>
              </w:rPr>
            </m:ctrlPr>
          </m:sSubPr>
          <m:e>
            <m:r>
              <w:rPr>
                <w:rFonts w:ascii="Cambria Math" w:hAnsi="Cambria Math"/>
              </w:rPr>
              <m:t>V</m:t>
            </m:r>
          </m:e>
          <m:sub>
            <m:r>
              <m:rPr>
                <m:sty m:val="p"/>
              </m:rPr>
              <w:rPr>
                <w:rFonts w:ascii="Cambria Math" w:hAnsi="Cambria Math"/>
              </w:rPr>
              <m:t>wb,Rd</m:t>
            </m:r>
          </m:sub>
        </m:sSub>
      </m:oMath>
      <w:r w:rsidR="00945A15" w:rsidRPr="00870D59">
        <w:tab/>
        <w:t>(1</w:t>
      </w:r>
      <w:r w:rsidR="00945A15">
        <w:t>1</w:t>
      </w:r>
      <w:r w:rsidR="00945A15" w:rsidRPr="00870D59">
        <w:t>.</w:t>
      </w:r>
      <w:r w:rsidR="00945A15">
        <w:t>15</w:t>
      </w:r>
      <w:r w:rsidR="00945A15" w:rsidRPr="00870D59">
        <w:t>)</w:t>
      </w:r>
    </w:p>
    <w:p w14:paraId="31C93A17" w14:textId="5DA024CF" w:rsidR="00945A15" w:rsidRDefault="00945A15" w:rsidP="00945A15">
      <w:r>
        <w:t>where</w:t>
      </w:r>
      <w:bookmarkStart w:id="9555" w:name="_Hlk38809897"/>
      <w:r w:rsidRPr="00945A15">
        <w:rPr>
          <w:i/>
        </w:rPr>
        <w:t xml:space="preserve"> </w:t>
      </w:r>
      <w:r w:rsidRPr="00D1484A">
        <w:rPr>
          <w:i/>
        </w:rPr>
        <w:t>V</w:t>
      </w:r>
      <w:r w:rsidRPr="007E6F67">
        <w:rPr>
          <w:vertAlign w:val="subscript"/>
        </w:rPr>
        <w:t>wb,Rd</w:t>
      </w:r>
      <w:r>
        <w:t xml:space="preserve"> </w:t>
      </w:r>
      <w:r w:rsidRPr="00FD17CF">
        <w:t>is the shear buckling resistance of the web panel.</w:t>
      </w:r>
      <w:bookmarkEnd w:id="9555"/>
    </w:p>
    <w:p w14:paraId="66987858" w14:textId="12A500E6" w:rsidR="00945A15" w:rsidRPr="00E05E29" w:rsidRDefault="00945A15" w:rsidP="00724E4E">
      <w:pPr>
        <w:pStyle w:val="Clause"/>
      </w:pPr>
      <w:r w:rsidRPr="00644C3D">
        <w:t xml:space="preserve">In DC3 frames, the total </w:t>
      </w:r>
      <w:r w:rsidRPr="00945A15">
        <w:t xml:space="preserve">thickness </w:t>
      </w:r>
      <w:r w:rsidRPr="004F74EA">
        <w:rPr>
          <w:i/>
          <w:iCs/>
        </w:rPr>
        <w:t>t</w:t>
      </w:r>
      <w:r w:rsidRPr="00945A15">
        <w:t xml:space="preserve"> of the web panel should satisfy Formula (11.16)</w:t>
      </w:r>
      <w:r w:rsidRPr="00E05E29">
        <w:t>.</w:t>
      </w:r>
    </w:p>
    <w:p w14:paraId="752137D0" w14:textId="3FE7973F" w:rsidR="00945A15" w:rsidRDefault="00945A15" w:rsidP="00945A15">
      <w:pPr>
        <w:pStyle w:val="Formula"/>
        <w:spacing w:before="240"/>
      </w:pPr>
      <m:oMath>
        <m:r>
          <w:rPr>
            <w:rFonts w:ascii="Cambria Math" w:hAnsi="Cambria Math"/>
          </w:rPr>
          <m:t>t=</m:t>
        </m:r>
        <m:d>
          <m:dPr>
            <m:ctrlPr>
              <w:rPr>
                <w:rFonts w:ascii="Cambria Math" w:hAnsi="Cambria Math"/>
              </w:rPr>
            </m:ctrlPr>
          </m:dPr>
          <m:e>
            <m:sSub>
              <m:sSubPr>
                <m:ctrlPr>
                  <w:rPr>
                    <w:rFonts w:ascii="Cambria Math" w:hAnsi="Cambria Math"/>
                  </w:rPr>
                </m:ctrlPr>
              </m:sSubPr>
              <m:e>
                <m:r>
                  <w:rPr>
                    <w:rFonts w:ascii="Cambria Math" w:hAnsi="Cambria Math"/>
                  </w:rPr>
                  <m:t>t</m:t>
                </m:r>
              </m:e>
              <m:sub>
                <m:r>
                  <m:rPr>
                    <m:sty m:val="p"/>
                  </m:rPr>
                  <w:rPr>
                    <w:rFonts w:ascii="Cambria Math" w:hAnsi="Cambria Math"/>
                  </w:rPr>
                  <m:t>w</m:t>
                </m:r>
              </m:sub>
            </m:sSub>
            <m:r>
              <w:rPr>
                <w:rFonts w:ascii="Cambria Math" w:hAnsi="Cambria Math"/>
              </w:rPr>
              <m:t>+</m:t>
            </m:r>
            <m:sSub>
              <m:sSubPr>
                <m:ctrlPr>
                  <w:rPr>
                    <w:rFonts w:ascii="Cambria Math" w:hAnsi="Cambria Math"/>
                  </w:rPr>
                </m:ctrlPr>
              </m:sSubPr>
              <m:e>
                <m:r>
                  <w:rPr>
                    <w:rFonts w:ascii="Cambria Math" w:hAnsi="Cambria Math"/>
                  </w:rPr>
                  <m:t>t</m:t>
                </m:r>
              </m:e>
              <m:sub>
                <m:r>
                  <m:rPr>
                    <m:sty m:val="p"/>
                  </m:rPr>
                  <w:rPr>
                    <w:rFonts w:ascii="Cambria Math" w:hAnsi="Cambria Math"/>
                  </w:rPr>
                  <m:t>wsp</m:t>
                </m:r>
              </m:sub>
            </m:sSub>
          </m:e>
        </m:d>
        <m:r>
          <w:rPr>
            <w:rFonts w:ascii="Cambria Math" w:hAnsi="Cambria Math"/>
          </w:rPr>
          <m:t>≥</m:t>
        </m:r>
        <m:f>
          <m:fPr>
            <m:ctrlPr>
              <w:rPr>
                <w:rFonts w:ascii="Cambria Math" w:hAnsi="Cambria Math"/>
              </w:rPr>
            </m:ctrlPr>
          </m:fPr>
          <m:num>
            <m:d>
              <m:dPr>
                <m:begChr m:val="["/>
                <m:endChr m:val="]"/>
                <m:ctrlPr>
                  <w:rPr>
                    <w:rFonts w:ascii="Cambria Math" w:hAnsi="Cambria Math"/>
                  </w:rPr>
                </m:ctrlPr>
              </m:dPr>
              <m:e>
                <m:d>
                  <m:dPr>
                    <m:ctrlPr>
                      <w:rPr>
                        <w:rFonts w:ascii="Cambria Math" w:hAnsi="Cambria Math"/>
                      </w:rPr>
                    </m:ctrlPr>
                  </m:dPr>
                  <m:e>
                    <m:sSub>
                      <m:sSubPr>
                        <m:ctrlPr>
                          <w:rPr>
                            <w:rFonts w:ascii="Cambria Math" w:hAnsi="Cambria Math"/>
                          </w:rPr>
                        </m:ctrlPr>
                      </m:sSubPr>
                      <m:e>
                        <m:r>
                          <w:rPr>
                            <w:rFonts w:ascii="Cambria Math" w:hAnsi="Cambria Math"/>
                          </w:rPr>
                          <m:t>d</m:t>
                        </m:r>
                      </m:e>
                      <m:sub>
                        <m:r>
                          <m:rPr>
                            <m:sty m:val="p"/>
                          </m:rPr>
                          <w:rPr>
                            <w:rFonts w:ascii="Cambria Math" w:hAnsi="Cambria Math"/>
                          </w:rPr>
                          <m:t>b</m:t>
                        </m:r>
                      </m:sub>
                    </m:sSub>
                    <m:r>
                      <w:rPr>
                        <w:rFonts w:ascii="Cambria Math" w:hAnsi="Cambria Math"/>
                      </w:rPr>
                      <m:t>-2</m:t>
                    </m:r>
                    <m:sSub>
                      <m:sSubPr>
                        <m:ctrlPr>
                          <w:rPr>
                            <w:rFonts w:ascii="Cambria Math" w:hAnsi="Cambria Math"/>
                          </w:rPr>
                        </m:ctrlPr>
                      </m:sSubPr>
                      <m:e>
                        <m:r>
                          <w:rPr>
                            <w:rFonts w:ascii="Cambria Math" w:hAnsi="Cambria Math"/>
                          </w:rPr>
                          <m:t>t</m:t>
                        </m:r>
                      </m:e>
                      <m:sub>
                        <m:r>
                          <m:rPr>
                            <m:sty m:val="p"/>
                          </m:rPr>
                          <w:rPr>
                            <w:rFonts w:ascii="Cambria Math" w:hAnsi="Cambria Math"/>
                          </w:rPr>
                          <m:t>b,f</m:t>
                        </m:r>
                      </m:sub>
                    </m:sSub>
                  </m:e>
                </m:d>
                <m:r>
                  <w:rPr>
                    <w:rFonts w:ascii="Cambria Math" w:hAnsi="Cambria Math"/>
                  </w:rPr>
                  <m:t>+</m:t>
                </m:r>
                <m:d>
                  <m:dPr>
                    <m:ctrlPr>
                      <w:rPr>
                        <w:rFonts w:ascii="Cambria Math" w:hAnsi="Cambria Math"/>
                      </w:rPr>
                    </m:ctrlPr>
                  </m:dPr>
                  <m:e>
                    <m:sSub>
                      <m:sSubPr>
                        <m:ctrlPr>
                          <w:rPr>
                            <w:rFonts w:ascii="Cambria Math" w:hAnsi="Cambria Math"/>
                          </w:rPr>
                        </m:ctrlPr>
                      </m:sSubPr>
                      <m:e>
                        <m:r>
                          <w:rPr>
                            <w:rFonts w:ascii="Cambria Math" w:hAnsi="Cambria Math"/>
                          </w:rPr>
                          <m:t>d</m:t>
                        </m:r>
                      </m:e>
                      <m:sub>
                        <m:r>
                          <m:rPr>
                            <m:sty m:val="p"/>
                          </m:rPr>
                          <w:rPr>
                            <w:rFonts w:ascii="Cambria Math" w:hAnsi="Cambria Math"/>
                          </w:rPr>
                          <m:t>c</m:t>
                        </m:r>
                      </m:sub>
                    </m:sSub>
                    <m:r>
                      <w:rPr>
                        <w:rFonts w:ascii="Cambria Math" w:hAnsi="Cambria Math"/>
                      </w:rPr>
                      <m:t>-2</m:t>
                    </m:r>
                    <m:sSub>
                      <m:sSubPr>
                        <m:ctrlPr>
                          <w:rPr>
                            <w:rFonts w:ascii="Cambria Math" w:hAnsi="Cambria Math"/>
                          </w:rPr>
                        </m:ctrlPr>
                      </m:sSubPr>
                      <m:e>
                        <m:r>
                          <w:rPr>
                            <w:rFonts w:ascii="Cambria Math" w:hAnsi="Cambria Math"/>
                          </w:rPr>
                          <m:t>t</m:t>
                        </m:r>
                      </m:e>
                      <m:sub>
                        <m:r>
                          <m:rPr>
                            <m:sty m:val="p"/>
                          </m:rPr>
                          <w:rPr>
                            <w:rFonts w:ascii="Cambria Math" w:hAnsi="Cambria Math"/>
                          </w:rPr>
                          <m:t>c,f</m:t>
                        </m:r>
                      </m:sub>
                    </m:sSub>
                  </m:e>
                </m:d>
              </m:e>
            </m:d>
          </m:num>
          <m:den>
            <m:r>
              <w:rPr>
                <w:rFonts w:ascii="Cambria Math" w:hAnsi="Cambria Math"/>
              </w:rPr>
              <m:t>90</m:t>
            </m:r>
          </m:den>
        </m:f>
      </m:oMath>
      <w:r w:rsidRPr="00870D59">
        <w:tab/>
        <w:t>(1</w:t>
      </w:r>
      <w:r>
        <w:t>1</w:t>
      </w:r>
      <w:r w:rsidRPr="00870D59">
        <w:t>.</w:t>
      </w:r>
      <w:r>
        <w:t>16</w:t>
      </w:r>
      <w:r w:rsidRPr="00870D59">
        <w:t>)</w:t>
      </w:r>
    </w:p>
    <w:p w14:paraId="1667220C" w14:textId="126C405F" w:rsidR="00945A15" w:rsidRDefault="00675EBA" w:rsidP="00945A15">
      <w:r>
        <w:t>where</w:t>
      </w:r>
    </w:p>
    <w:tbl>
      <w:tblPr>
        <w:tblW w:w="0" w:type="auto"/>
        <w:tblInd w:w="284" w:type="dxa"/>
        <w:tblLook w:val="04A0" w:firstRow="1" w:lastRow="0" w:firstColumn="1" w:lastColumn="0" w:noHBand="0" w:noVBand="1"/>
      </w:tblPr>
      <w:tblGrid>
        <w:gridCol w:w="1434"/>
        <w:gridCol w:w="7845"/>
      </w:tblGrid>
      <w:tr w:rsidR="00945A15" w:rsidRPr="00821B21" w14:paraId="303E60A8" w14:textId="77777777" w:rsidTr="007D7E6D">
        <w:tc>
          <w:tcPr>
            <w:tcW w:w="1434" w:type="dxa"/>
          </w:tcPr>
          <w:p w14:paraId="0D91E707" w14:textId="694D96AC" w:rsidR="00945A15" w:rsidRPr="00821B21" w:rsidRDefault="00945A15" w:rsidP="002061E5">
            <w:pPr>
              <w:spacing w:after="60"/>
              <w:rPr>
                <w:rFonts w:eastAsia="Times New Roman" w:cs="Cambria"/>
                <w:szCs w:val="20"/>
                <w:lang w:eastAsia="fr-FR"/>
              </w:rPr>
            </w:pPr>
            <w:r w:rsidRPr="007E6F67">
              <w:rPr>
                <w:i/>
              </w:rPr>
              <w:t>d</w:t>
            </w:r>
            <w:r w:rsidRPr="00FD17CF">
              <w:rPr>
                <w:vertAlign w:val="subscript"/>
              </w:rPr>
              <w:t>b</w:t>
            </w:r>
          </w:p>
        </w:tc>
        <w:tc>
          <w:tcPr>
            <w:tcW w:w="7845" w:type="dxa"/>
          </w:tcPr>
          <w:p w14:paraId="3158A1A7" w14:textId="1EE26C89" w:rsidR="00945A15" w:rsidRPr="00821B21" w:rsidRDefault="00945A15" w:rsidP="002061E5">
            <w:pPr>
              <w:spacing w:after="60"/>
              <w:rPr>
                <w:rFonts w:eastAsia="Times New Roman" w:cs="Cambria"/>
                <w:szCs w:val="20"/>
                <w:lang w:eastAsia="fr-FR"/>
              </w:rPr>
            </w:pPr>
            <w:r w:rsidRPr="00FD17CF">
              <w:t>is the depth of the deeper connected beam;</w:t>
            </w:r>
          </w:p>
        </w:tc>
      </w:tr>
      <w:tr w:rsidR="00945A15" w:rsidRPr="00870D59" w14:paraId="351DC7A8" w14:textId="77777777" w:rsidTr="007D7E6D">
        <w:tc>
          <w:tcPr>
            <w:tcW w:w="1434" w:type="dxa"/>
          </w:tcPr>
          <w:p w14:paraId="640ED077" w14:textId="5562A9C5" w:rsidR="00945A15" w:rsidRPr="00D1484A" w:rsidRDefault="00945A15" w:rsidP="002061E5">
            <w:pPr>
              <w:spacing w:after="60"/>
              <w:rPr>
                <w:i/>
                <w:iCs/>
              </w:rPr>
            </w:pPr>
            <w:r w:rsidRPr="00FD17CF">
              <w:rPr>
                <w:i/>
              </w:rPr>
              <w:t>t</w:t>
            </w:r>
            <w:r w:rsidRPr="00FD17CF">
              <w:rPr>
                <w:vertAlign w:val="subscript"/>
              </w:rPr>
              <w:t>b,f</w:t>
            </w:r>
          </w:p>
        </w:tc>
        <w:tc>
          <w:tcPr>
            <w:tcW w:w="7845" w:type="dxa"/>
          </w:tcPr>
          <w:p w14:paraId="2760515B" w14:textId="4B0F3814" w:rsidR="00945A15" w:rsidRPr="00821B21" w:rsidRDefault="00945A15" w:rsidP="002061E5">
            <w:r w:rsidRPr="00FD17CF">
              <w:t>is the thickness of the flange of the deeper connected beam;</w:t>
            </w:r>
          </w:p>
        </w:tc>
      </w:tr>
      <w:tr w:rsidR="00945A15" w:rsidRPr="00870D59" w14:paraId="0A40B158" w14:textId="77777777" w:rsidTr="007D7E6D">
        <w:tc>
          <w:tcPr>
            <w:tcW w:w="1434" w:type="dxa"/>
          </w:tcPr>
          <w:p w14:paraId="41D04C02" w14:textId="2E76BA9C" w:rsidR="00945A15" w:rsidRPr="00FD17CF" w:rsidRDefault="00945A15" w:rsidP="002061E5">
            <w:pPr>
              <w:spacing w:after="60"/>
              <w:rPr>
                <w:i/>
              </w:rPr>
            </w:pPr>
            <w:r w:rsidRPr="00FD17CF">
              <w:rPr>
                <w:i/>
              </w:rPr>
              <w:t>d</w:t>
            </w:r>
            <w:r w:rsidRPr="00644C3D">
              <w:rPr>
                <w:vertAlign w:val="subscript"/>
              </w:rPr>
              <w:t>c</w:t>
            </w:r>
          </w:p>
        </w:tc>
        <w:tc>
          <w:tcPr>
            <w:tcW w:w="7845" w:type="dxa"/>
          </w:tcPr>
          <w:p w14:paraId="6F00BC32" w14:textId="772C2602" w:rsidR="00945A15" w:rsidRPr="00644C3D" w:rsidRDefault="00945A15" w:rsidP="002061E5">
            <w:r w:rsidRPr="00E05E29">
              <w:t>is the depth of the column section;</w:t>
            </w:r>
          </w:p>
        </w:tc>
      </w:tr>
      <w:tr w:rsidR="00945A15" w:rsidRPr="00870D59" w14:paraId="6B0DE2CB" w14:textId="77777777" w:rsidTr="007D7E6D">
        <w:tc>
          <w:tcPr>
            <w:tcW w:w="1434" w:type="dxa"/>
          </w:tcPr>
          <w:p w14:paraId="7BBA6599" w14:textId="681B7B78" w:rsidR="00945A15" w:rsidRPr="00FD17CF" w:rsidRDefault="00945A15" w:rsidP="002061E5">
            <w:pPr>
              <w:spacing w:after="60"/>
              <w:rPr>
                <w:i/>
              </w:rPr>
            </w:pPr>
            <w:r w:rsidRPr="00E05E29">
              <w:rPr>
                <w:i/>
              </w:rPr>
              <w:t>t</w:t>
            </w:r>
            <w:r w:rsidRPr="00E05E29">
              <w:rPr>
                <w:vertAlign w:val="subscript"/>
              </w:rPr>
              <w:t>c,f</w:t>
            </w:r>
          </w:p>
        </w:tc>
        <w:tc>
          <w:tcPr>
            <w:tcW w:w="7845" w:type="dxa"/>
          </w:tcPr>
          <w:p w14:paraId="38D8AA66" w14:textId="75322DC7" w:rsidR="00945A15" w:rsidRPr="00644C3D" w:rsidRDefault="00945A15" w:rsidP="002061E5">
            <w:r w:rsidRPr="00E05E29">
              <w:t>is the thickness of the flange of column;</w:t>
            </w:r>
          </w:p>
        </w:tc>
      </w:tr>
      <w:tr w:rsidR="00945A15" w:rsidRPr="00870D59" w14:paraId="0160580A" w14:textId="77777777" w:rsidTr="007D7E6D">
        <w:tc>
          <w:tcPr>
            <w:tcW w:w="1434" w:type="dxa"/>
          </w:tcPr>
          <w:p w14:paraId="50B19623" w14:textId="401C9941" w:rsidR="00945A15" w:rsidRPr="00FD17CF" w:rsidRDefault="00945A15" w:rsidP="002061E5">
            <w:pPr>
              <w:spacing w:after="60"/>
              <w:rPr>
                <w:i/>
              </w:rPr>
            </w:pPr>
            <w:r w:rsidRPr="00E05E29">
              <w:rPr>
                <w:rFonts w:ascii="TimesNewRoman,Italic" w:hAnsi="TimesNewRoman,Italic" w:cs="TimesNewRoman,Italic"/>
                <w:i/>
                <w:lang w:eastAsia="de-DE"/>
              </w:rPr>
              <w:t>t</w:t>
            </w:r>
            <w:r w:rsidRPr="00E05E29">
              <w:rPr>
                <w:iCs/>
                <w:vertAlign w:val="subscript"/>
                <w:lang w:eastAsia="de-DE"/>
              </w:rPr>
              <w:t>w</w:t>
            </w:r>
          </w:p>
        </w:tc>
        <w:tc>
          <w:tcPr>
            <w:tcW w:w="7845" w:type="dxa"/>
          </w:tcPr>
          <w:p w14:paraId="47D9961B" w14:textId="7C5EEA2E" w:rsidR="00945A15" w:rsidRPr="00644C3D" w:rsidRDefault="00945A15" w:rsidP="002061E5">
            <w:r w:rsidRPr="00E05E29">
              <w:rPr>
                <w:rFonts w:ascii="TimesNewRoman,Italic" w:hAnsi="TimesNewRoman,Italic" w:cs="TimesNewRoman,Italic"/>
                <w:lang w:eastAsia="de-DE"/>
              </w:rPr>
              <w:t>is the</w:t>
            </w:r>
            <w:r w:rsidRPr="00E05E29">
              <w:rPr>
                <w:rFonts w:ascii="TimesNewRoman,Italic" w:hAnsi="TimesNewRoman,Italic" w:cs="TimesNewRoman,Italic"/>
                <w:i/>
                <w:iCs/>
                <w:lang w:eastAsia="de-DE"/>
              </w:rPr>
              <w:t xml:space="preserve"> </w:t>
            </w:r>
            <w:r w:rsidRPr="00E05E29">
              <w:t>thickness of the web of a steel profile;</w:t>
            </w:r>
          </w:p>
        </w:tc>
      </w:tr>
      <w:tr w:rsidR="00945A15" w:rsidRPr="00870D59" w14:paraId="5FC4E475" w14:textId="77777777" w:rsidTr="007D7E6D">
        <w:tc>
          <w:tcPr>
            <w:tcW w:w="1434" w:type="dxa"/>
          </w:tcPr>
          <w:p w14:paraId="158659E1" w14:textId="42408876" w:rsidR="00945A15" w:rsidRPr="00FD17CF" w:rsidRDefault="00945A15" w:rsidP="002061E5">
            <w:pPr>
              <w:spacing w:after="60"/>
              <w:rPr>
                <w:i/>
              </w:rPr>
            </w:pPr>
            <w:r w:rsidRPr="00E05E29">
              <w:rPr>
                <w:i/>
                <w:iCs/>
              </w:rPr>
              <w:t>t</w:t>
            </w:r>
            <w:r w:rsidRPr="00E05E29">
              <w:rPr>
                <w:vertAlign w:val="subscript"/>
              </w:rPr>
              <w:t>wsp</w:t>
            </w:r>
          </w:p>
        </w:tc>
        <w:tc>
          <w:tcPr>
            <w:tcW w:w="7845" w:type="dxa"/>
          </w:tcPr>
          <w:p w14:paraId="5E32D93D" w14:textId="668EA5EB" w:rsidR="00945A15" w:rsidRPr="00644C3D" w:rsidRDefault="00945A15" w:rsidP="002061E5">
            <w:r w:rsidRPr="00E05E29">
              <w:rPr>
                <w:rFonts w:ascii="TimesNewRoman,Italic" w:hAnsi="TimesNewRoman,Italic" w:cs="TimesNewRoman,Italic"/>
                <w:lang w:eastAsia="de-DE"/>
              </w:rPr>
              <w:t>is the</w:t>
            </w:r>
            <w:r w:rsidRPr="00E05E29">
              <w:rPr>
                <w:rFonts w:ascii="TimesNewRoman,Italic" w:hAnsi="TimesNewRoman,Italic" w:cs="TimesNewRoman,Italic"/>
                <w:i/>
                <w:iCs/>
                <w:lang w:eastAsia="de-DE"/>
              </w:rPr>
              <w:t xml:space="preserve"> </w:t>
            </w:r>
            <w:r w:rsidRPr="00E05E29">
              <w:t xml:space="preserve">thickness of a </w:t>
            </w:r>
            <w:r w:rsidRPr="00E05E29">
              <w:rPr>
                <w:color w:val="000000" w:themeColor="text1"/>
              </w:rPr>
              <w:t>supplementary web plate.</w:t>
            </w:r>
          </w:p>
        </w:tc>
      </w:tr>
    </w:tbl>
    <w:p w14:paraId="7470458C" w14:textId="65EE6C88" w:rsidR="00945A15" w:rsidRDefault="00945A15" w:rsidP="00724E4E">
      <w:pPr>
        <w:pStyle w:val="Clause"/>
      </w:pPr>
      <w:r w:rsidRPr="003A443F">
        <w:t xml:space="preserve">If Formula (11.16) is </w:t>
      </w:r>
      <w:r w:rsidRPr="00E05E29">
        <w:t xml:space="preserve">satisfied, the condition given by </w:t>
      </w:r>
      <w:r w:rsidRPr="002B2B39">
        <w:t xml:space="preserve">Formula (11.15) </w:t>
      </w:r>
      <w:r w:rsidRPr="00E05E29">
        <w:t>may be considered satisfied.</w:t>
      </w:r>
    </w:p>
    <w:p w14:paraId="1228F330" w14:textId="7250BBD2" w:rsidR="00945A15" w:rsidRDefault="00945A15" w:rsidP="00724E4E">
      <w:pPr>
        <w:pStyle w:val="Clause"/>
      </w:pPr>
      <w:r w:rsidRPr="00E05E29">
        <w:t xml:space="preserve">The joints should be designed to provide a </w:t>
      </w:r>
      <w:bookmarkStart w:id="9556" w:name="_Hlk38810200"/>
      <w:r w:rsidRPr="000F1A9F">
        <w:t xml:space="preserve">plastic part </w:t>
      </w:r>
      <m:oMath>
        <m:sSubSup>
          <m:sSubSupPr>
            <m:ctrlPr>
              <w:rPr>
                <w:rFonts w:ascii="Cambria Math" w:hAnsi="Cambria Math"/>
                <w:iCs/>
              </w:rPr>
            </m:ctrlPr>
          </m:sSubSupPr>
          <m:e>
            <m:r>
              <w:rPr>
                <w:rFonts w:ascii="Cambria Math" w:hAnsi="Cambria Math"/>
              </w:rPr>
              <m:t>θ</m:t>
            </m:r>
          </m:e>
          <m:sub>
            <m:r>
              <m:rPr>
                <m:sty m:val="p"/>
              </m:rPr>
              <w:rPr>
                <w:rFonts w:ascii="Cambria Math" w:hAnsi="Cambria Math"/>
              </w:rPr>
              <m:t>u</m:t>
            </m:r>
          </m:sub>
          <m:sup>
            <m:r>
              <m:rPr>
                <m:sty m:val="p"/>
              </m:rPr>
              <w:rPr>
                <w:rFonts w:ascii="Cambria Math" w:hAnsi="Cambria Math"/>
              </w:rPr>
              <m:t>pl</m:t>
            </m:r>
          </m:sup>
        </m:sSubSup>
      </m:oMath>
      <w:r w:rsidRPr="000F1A9F">
        <w:t xml:space="preserve"> of the rotation </w:t>
      </w:r>
      <w:r w:rsidRPr="002756D6">
        <w:t>capacity</w:t>
      </w:r>
      <w:r>
        <w:t xml:space="preserve"> </w:t>
      </w:r>
      <w:r w:rsidRPr="00E05E29">
        <w:t xml:space="preserve">rotation </w:t>
      </w:r>
      <w:r w:rsidRPr="004F74EA">
        <w:rPr>
          <w:rFonts w:ascii="Symbol" w:eastAsia="Symbol" w:hAnsi="Symbol" w:cs="Symbol"/>
          <w:i/>
          <w:iCs/>
        </w:rPr>
        <w:t></w:t>
      </w:r>
      <w:r w:rsidRPr="004F74EA">
        <w:rPr>
          <w:vertAlign w:val="subscript"/>
        </w:rPr>
        <w:t>u</w:t>
      </w:r>
      <w:r w:rsidRPr="00E05E29">
        <w:t xml:space="preserve"> </w:t>
      </w:r>
      <w:bookmarkEnd w:id="9556"/>
      <w:r w:rsidRPr="00E05E29">
        <w:t xml:space="preserve">(see </w:t>
      </w:r>
      <w:r w:rsidRPr="002B2B39">
        <w:t>Figure 11.13</w:t>
      </w:r>
      <w:r w:rsidRPr="00E05E29">
        <w:t>) not smaller than</w:t>
      </w:r>
      <w:r>
        <w:t xml:space="preserve"> 0,02 rad in DC2 and 0,03 rad in DC3.</w:t>
      </w:r>
    </w:p>
    <w:p w14:paraId="48063E7F" w14:textId="77777777" w:rsidR="00945A15" w:rsidRDefault="00945A15" w:rsidP="00775D85">
      <w:pPr>
        <w:pStyle w:val="Notetext"/>
      </w:pPr>
      <w:r>
        <w:t xml:space="preserve">NOTE </w:t>
      </w:r>
      <w:r w:rsidRPr="00B13002">
        <w:t>1</w:t>
      </w:r>
      <w:r>
        <w:tab/>
        <w:t>Detailed rules for the design of joints compliant with (9) are given in Annex E.</w:t>
      </w:r>
      <w:r w:rsidRPr="00795C6B">
        <w:t xml:space="preserve"> </w:t>
      </w:r>
    </w:p>
    <w:p w14:paraId="3298619C" w14:textId="365A8EF0" w:rsidR="00945A15" w:rsidRDefault="00945A15" w:rsidP="00775D85">
      <w:pPr>
        <w:pStyle w:val="Notetext"/>
      </w:pPr>
      <w:r>
        <w:lastRenderedPageBreak/>
        <w:t>NOTE 2</w:t>
      </w:r>
      <w:r>
        <w:tab/>
        <w:t xml:space="preserve">In </w:t>
      </w:r>
      <w:r w:rsidRPr="00795C6B">
        <w:t>absence of specific tests on materials of the joints</w:t>
      </w:r>
      <w:r w:rsidRPr="00775D85">
        <w:t xml:space="preserve">, the real plastic moment of resistance </w:t>
      </w:r>
      <w:r w:rsidRPr="00795C6B">
        <w:rPr>
          <w:i/>
          <w:iCs/>
        </w:rPr>
        <w:t>M</w:t>
      </w:r>
      <w:r w:rsidRPr="00795C6B">
        <w:rPr>
          <w:vertAlign w:val="subscript"/>
        </w:rPr>
        <w:t>p</w:t>
      </w:r>
      <w:r>
        <w:rPr>
          <w:vertAlign w:val="subscript"/>
        </w:rPr>
        <w:t>l</w:t>
      </w:r>
      <w:r w:rsidRPr="00795C6B">
        <w:rPr>
          <w:vertAlign w:val="subscript"/>
        </w:rPr>
        <w:t>,act</w:t>
      </w:r>
      <w:r w:rsidRPr="00795C6B">
        <w:t xml:space="preserve"> </w:t>
      </w:r>
      <w:r w:rsidR="00555E6D">
        <w:t>can</w:t>
      </w:r>
      <w:r w:rsidRPr="00795C6B">
        <w:t xml:space="preserve"> be assumed equal to the expected plastic moment </w:t>
      </w:r>
      <w:r w:rsidRPr="009D1B7D">
        <w:rPr>
          <w:i/>
          <w:iCs/>
        </w:rPr>
        <w:t>ω</w:t>
      </w:r>
      <w:r w:rsidRPr="009D1B7D">
        <w:rPr>
          <w:vertAlign w:val="subscript"/>
        </w:rPr>
        <w:t>rm</w:t>
      </w:r>
      <w:r w:rsidRPr="009D1B7D">
        <w:rPr>
          <w:i/>
          <w:iCs/>
        </w:rPr>
        <w:t>M</w:t>
      </w:r>
      <w:r w:rsidRPr="009D1B7D">
        <w:rPr>
          <w:vertAlign w:val="subscript"/>
        </w:rPr>
        <w:t>p</w:t>
      </w:r>
      <w:r>
        <w:rPr>
          <w:vertAlign w:val="subscript"/>
        </w:rPr>
        <w:t>l</w:t>
      </w:r>
      <w:r w:rsidRPr="00795C6B">
        <w:t xml:space="preserve"> of the dissipative element </w:t>
      </w:r>
      <w:r>
        <w:t xml:space="preserve">. </w:t>
      </w:r>
    </w:p>
    <w:p w14:paraId="1AE55E7D" w14:textId="6DB626BC" w:rsidR="00945A15" w:rsidRDefault="00945A15" w:rsidP="00775D85">
      <w:pPr>
        <w:pStyle w:val="Notetext"/>
      </w:pPr>
      <w:r>
        <w:t>NOTE 3</w:t>
      </w:r>
      <w:r>
        <w:tab/>
        <w:t>In</w:t>
      </w:r>
      <w:r w:rsidRPr="00795C6B">
        <w:t xml:space="preserve"> case of friction connections, </w:t>
      </w:r>
      <m:oMath>
        <m:sSubSup>
          <m:sSubSupPr>
            <m:ctrlPr>
              <w:rPr>
                <w:rFonts w:ascii="Cambria Math" w:hAnsi="Cambria Math"/>
                <w:iCs/>
              </w:rPr>
            </m:ctrlPr>
          </m:sSubSupPr>
          <m:e>
            <m:r>
              <w:rPr>
                <w:rFonts w:ascii="Cambria Math" w:hAnsi="Cambria Math"/>
              </w:rPr>
              <m:t>θ</m:t>
            </m:r>
          </m:e>
          <m:sub>
            <m:r>
              <m:rPr>
                <m:sty m:val="p"/>
              </m:rPr>
              <w:rPr>
                <w:rFonts w:ascii="Cambria Math" w:hAnsi="Cambria Math"/>
              </w:rPr>
              <m:t>u</m:t>
            </m:r>
          </m:sub>
          <m:sup>
            <m:r>
              <m:rPr>
                <m:sty m:val="p"/>
              </m:rPr>
              <w:rPr>
                <w:rFonts w:ascii="Cambria Math" w:hAnsi="Cambria Math"/>
              </w:rPr>
              <m:t>pl</m:t>
            </m:r>
          </m:sup>
        </m:sSubSup>
      </m:oMath>
      <w:r w:rsidRPr="000F1A9F">
        <w:t xml:space="preserve"> is the rotation </w:t>
      </w:r>
      <w:r w:rsidRPr="00795C6B">
        <w:t>due to the slippage of the damper as detailed in Annex</w:t>
      </w:r>
      <w:r w:rsidR="007D7E6D">
        <w:t> </w:t>
      </w:r>
      <w:r w:rsidRPr="00795C6B">
        <w:t>E.</w:t>
      </w:r>
    </w:p>
    <w:p w14:paraId="6C669974" w14:textId="330F7838" w:rsidR="00945A15" w:rsidRDefault="00945A15" w:rsidP="00724E4E">
      <w:pPr>
        <w:pStyle w:val="Clause"/>
      </w:pPr>
      <w:r w:rsidRPr="00E05E29">
        <w:t xml:space="preserve">The </w:t>
      </w:r>
      <w:r w:rsidRPr="000F1A9F">
        <w:t xml:space="preserve">part </w:t>
      </w:r>
      <w:bookmarkStart w:id="9557" w:name="_Hlk90714475"/>
      <m:oMath>
        <m:sSubSup>
          <m:sSubSupPr>
            <m:ctrlPr>
              <w:rPr>
                <w:rFonts w:ascii="Cambria Math" w:hAnsi="Cambria Math"/>
                <w:iCs/>
              </w:rPr>
            </m:ctrlPr>
          </m:sSubSupPr>
          <m:e>
            <m:r>
              <w:rPr>
                <w:rFonts w:ascii="Cambria Math" w:hAnsi="Cambria Math"/>
              </w:rPr>
              <m:t>θ</m:t>
            </m:r>
          </m:e>
          <m:sub>
            <m:r>
              <m:rPr>
                <m:sty m:val="p"/>
              </m:rPr>
              <w:rPr>
                <w:rFonts w:ascii="Cambria Math" w:hAnsi="Cambria Math"/>
              </w:rPr>
              <m:t>u</m:t>
            </m:r>
          </m:sub>
          <m:sup>
            <m:r>
              <m:rPr>
                <m:sty m:val="p"/>
              </m:rPr>
              <w:rPr>
                <w:rFonts w:ascii="Cambria Math" w:hAnsi="Cambria Math"/>
              </w:rPr>
              <m:t>pl</m:t>
            </m:r>
          </m:sup>
        </m:sSubSup>
      </m:oMath>
      <w:bookmarkEnd w:id="9557"/>
      <w:r w:rsidRPr="000F1A9F">
        <w:t xml:space="preserve"> of the rotation capacity of the joint </w:t>
      </w:r>
      <w:r w:rsidRPr="004F74EA">
        <w:rPr>
          <w:rFonts w:ascii="Symbol" w:eastAsia="Symbol" w:hAnsi="Symbol" w:cs="Symbol"/>
          <w:i/>
          <w:iCs/>
        </w:rPr>
        <w:t></w:t>
      </w:r>
      <w:r w:rsidRPr="004F74EA">
        <w:rPr>
          <w:vertAlign w:val="subscript"/>
        </w:rPr>
        <w:t>u</w:t>
      </w:r>
      <w:r w:rsidRPr="000F1A9F">
        <w:t xml:space="preserve"> should be ensured under cyclic loading without degradation of the expected post-capping strength (see Figure 11.13) </w:t>
      </w:r>
      <w:r w:rsidRPr="00E05E29">
        <w:t>independently of the intended location of the dissipative zones. It should be evaluated on the first cycle envelope curve from the tests.</w:t>
      </w:r>
    </w:p>
    <w:p w14:paraId="3719F240" w14:textId="38D194C2" w:rsidR="00945A15" w:rsidRDefault="00945A15" w:rsidP="00775D85">
      <w:pPr>
        <w:pStyle w:val="Notetext"/>
      </w:pPr>
      <w:r>
        <w:t>NOTE</w:t>
      </w:r>
      <w:r w:rsidR="00A547E1">
        <w:tab/>
      </w:r>
      <w:r>
        <w:t>I</w:t>
      </w:r>
      <w:r w:rsidRPr="00795C6B">
        <w:t xml:space="preserve">n case of friction connections, the expected strength </w:t>
      </w:r>
      <w:r w:rsidRPr="00795C6B">
        <w:rPr>
          <w:i/>
          <w:iCs/>
        </w:rPr>
        <w:t>M</w:t>
      </w:r>
      <w:r w:rsidRPr="00795C6B">
        <w:rPr>
          <w:vertAlign w:val="subscript"/>
        </w:rPr>
        <w:t xml:space="preserve">p,act </w:t>
      </w:r>
      <w:r w:rsidR="00155F8D">
        <w:t xml:space="preserve">can </w:t>
      </w:r>
      <w:r w:rsidRPr="00795C6B">
        <w:t>be evaluated under both sagging and hogging deflection and is due to the dynamic friction coefficient of the slipping surface, as detailed in Annex E.</w:t>
      </w:r>
    </w:p>
    <w:p w14:paraId="796F4582" w14:textId="4DBB4142" w:rsidR="00945A15" w:rsidRDefault="00945A15" w:rsidP="00724E4E">
      <w:pPr>
        <w:pStyle w:val="Clause"/>
      </w:pPr>
      <w:r w:rsidRPr="00E56A78">
        <w:t xml:space="preserve">When </w:t>
      </w:r>
      <w:r w:rsidRPr="003A443F">
        <w:t xml:space="preserve">dissipative partial </w:t>
      </w:r>
      <w:r w:rsidRPr="00E56A78">
        <w:t>strength connections are used, the column capacity design should be based on the plastic capacity of the connections.</w:t>
      </w:r>
    </w:p>
    <w:p w14:paraId="3CCA7846" w14:textId="619EC764" w:rsidR="00945A15" w:rsidRPr="00E05E29" w:rsidRDefault="00945A15" w:rsidP="00724E4E">
      <w:pPr>
        <w:pStyle w:val="Clause"/>
      </w:pPr>
      <w:r>
        <w:t xml:space="preserve">When </w:t>
      </w:r>
      <w:r w:rsidRPr="00795C6B">
        <w:t>friction connections are used, the column capacity design should be based on the upper bound static friction resistance of the connections.</w:t>
      </w:r>
    </w:p>
    <w:p w14:paraId="3E74EC92" w14:textId="0F9539AF" w:rsidR="00945A15" w:rsidRPr="000F1A9F" w:rsidRDefault="00945A15" w:rsidP="00775D85">
      <w:pPr>
        <w:pStyle w:val="Notetext"/>
      </w:pPr>
      <w:bookmarkStart w:id="9558" w:name="_Hlk90883363"/>
      <w:r w:rsidRPr="00E05E29">
        <w:t>NOTE 1</w:t>
      </w:r>
      <w:r w:rsidRPr="000F1A9F">
        <w:tab/>
        <w:t>prCEN/TS</w:t>
      </w:r>
      <w:r w:rsidR="008507A2">
        <w:t> </w:t>
      </w:r>
      <w:r w:rsidRPr="000F1A9F">
        <w:t>1998-</w:t>
      </w:r>
      <w:r w:rsidR="00460A67">
        <w:t xml:space="preserve">1-101 </w:t>
      </w:r>
      <w:r w:rsidRPr="000F1A9F">
        <w:t>gives a loading protocol and acceptance criteria for tests.</w:t>
      </w:r>
    </w:p>
    <w:p w14:paraId="26A48065" w14:textId="19122BDD" w:rsidR="00945A15" w:rsidRPr="000F1A9F" w:rsidRDefault="00945A15" w:rsidP="00775D85">
      <w:pPr>
        <w:pStyle w:val="Notetext"/>
      </w:pPr>
      <w:r w:rsidRPr="000F1A9F">
        <w:t>NOTE 2</w:t>
      </w:r>
      <w:r w:rsidRPr="000F1A9F">
        <w:tab/>
        <w:t xml:space="preserve">New experimental tests are not required for prequalified connections because these guarantee the rotation capacity </w:t>
      </w:r>
      <w:bookmarkEnd w:id="9558"/>
      <m:oMath>
        <m:sSubSup>
          <m:sSubSupPr>
            <m:ctrlPr>
              <w:rPr>
                <w:rFonts w:ascii="Cambria Math" w:hAnsi="Cambria Math"/>
                <w:iCs/>
              </w:rPr>
            </m:ctrlPr>
          </m:sSubSupPr>
          <m:e>
            <m:r>
              <w:rPr>
                <w:rFonts w:ascii="Cambria Math" w:hAnsi="Cambria Math"/>
              </w:rPr>
              <m:t>θ</m:t>
            </m:r>
          </m:e>
          <m:sub>
            <m:r>
              <m:rPr>
                <m:sty m:val="p"/>
              </m:rPr>
              <w:rPr>
                <w:rFonts w:ascii="Cambria Math" w:hAnsi="Cambria Math"/>
              </w:rPr>
              <m:t>u</m:t>
            </m:r>
          </m:sub>
          <m:sup>
            <m:r>
              <m:rPr>
                <m:sty m:val="p"/>
              </m:rPr>
              <w:rPr>
                <w:rFonts w:ascii="Cambria Math" w:hAnsi="Cambria Math"/>
              </w:rPr>
              <m:t>pl</m:t>
            </m:r>
          </m:sup>
        </m:sSubSup>
      </m:oMath>
      <w:r w:rsidRPr="000F1A9F">
        <w:t xml:space="preserve"> </w:t>
      </w:r>
    </w:p>
    <w:p w14:paraId="0FDE76FD" w14:textId="272F0716" w:rsidR="00945A15" w:rsidRPr="00132C1E" w:rsidRDefault="00702CAC" w:rsidP="00702CAC">
      <w:pPr>
        <w:pStyle w:val="FigureImage"/>
      </w:pPr>
      <w:r>
        <w:rPr>
          <w:noProof/>
        </w:rPr>
        <w:drawing>
          <wp:inline distT="0" distB="0" distL="0" distR="0" wp14:anchorId="522F988E" wp14:editId="19A0A08A">
            <wp:extent cx="2700532" cy="1834899"/>
            <wp:effectExtent l="0" t="0" r="0" b="0"/>
            <wp:docPr id="14" name="0034.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0034.tiff"/>
                    <pic:cNvPicPr/>
                  </pic:nvPicPr>
                  <pic:blipFill>
                    <a:blip r:link="rId49"/>
                    <a:stretch>
                      <a:fillRect/>
                    </a:stretch>
                  </pic:blipFill>
                  <pic:spPr>
                    <a:xfrm>
                      <a:off x="0" y="0"/>
                      <a:ext cx="2700532" cy="1834899"/>
                    </a:xfrm>
                    <a:prstGeom prst="rect">
                      <a:avLst/>
                    </a:prstGeom>
                  </pic:spPr>
                </pic:pic>
              </a:graphicData>
            </a:graphic>
          </wp:inline>
        </w:drawing>
      </w:r>
    </w:p>
    <w:p w14:paraId="648788A5" w14:textId="2F28133E" w:rsidR="00945A15" w:rsidRPr="00FD17CF" w:rsidRDefault="00945A15" w:rsidP="00775D85">
      <w:pPr>
        <w:pStyle w:val="Figuretitle"/>
      </w:pPr>
      <w:r w:rsidRPr="00D1484A">
        <w:t xml:space="preserve">Figure </w:t>
      </w:r>
      <w:r w:rsidR="00775D85">
        <w:t>11</w:t>
      </w:r>
      <w:r w:rsidRPr="00132C1E">
        <w:t>.</w:t>
      </w:r>
      <w:r w:rsidR="00775D85">
        <w:t>13</w:t>
      </w:r>
      <w:r w:rsidRPr="00132C1E">
        <w:t> </w:t>
      </w:r>
      <w:r w:rsidRPr="00D1484A">
        <w:rPr>
          <w:rFonts w:ascii="`ÃÍœ˛" w:eastAsia="Cambria" w:hAnsi="`ÃÍœ˛" w:cs="`ÃÍœ˛"/>
          <w:szCs w:val="22"/>
          <w:lang w:eastAsia="de-DE"/>
        </w:rPr>
        <w:t>—</w:t>
      </w:r>
      <w:r w:rsidRPr="00D1484A">
        <w:t xml:space="preserve"> Definition of plastic </w:t>
      </w:r>
      <w:r w:rsidRPr="000F1A9F">
        <w:t xml:space="preserve">rotations </w:t>
      </w:r>
      <w:r w:rsidRPr="000F1A9F">
        <w:rPr>
          <w:rFonts w:ascii="Symbol" w:eastAsia="Symbol" w:hAnsi="Symbol" w:cs="Symbol"/>
          <w:bCs/>
          <w:i/>
        </w:rPr>
        <w:t></w:t>
      </w:r>
      <w:r w:rsidRPr="000F1A9F">
        <w:rPr>
          <w:bCs/>
          <w:vertAlign w:val="subscript"/>
        </w:rPr>
        <w:t xml:space="preserve">u </w:t>
      </w:r>
      <w:r w:rsidRPr="000F1A9F">
        <w:rPr>
          <w:bCs/>
          <w:lang w:val="en-US"/>
        </w:rPr>
        <w:t xml:space="preserve">and </w:t>
      </w:r>
      <m:oMath>
        <m:sSubSup>
          <m:sSubSupPr>
            <m:ctrlPr>
              <w:rPr>
                <w:rFonts w:ascii="Cambria Math" w:hAnsi="Cambria Math"/>
                <w:bCs/>
                <w:iCs/>
              </w:rPr>
            </m:ctrlPr>
          </m:sSubSupPr>
          <m:e>
            <m:r>
              <m:rPr>
                <m:sty m:val="bi"/>
              </m:rPr>
              <w:rPr>
                <w:rFonts w:ascii="Cambria Math" w:hAnsi="Cambria Math"/>
              </w:rPr>
              <m:t>θ</m:t>
            </m:r>
          </m:e>
          <m:sub>
            <m:r>
              <m:rPr>
                <m:sty m:val="b"/>
              </m:rPr>
              <w:rPr>
                <w:rFonts w:ascii="Cambria Math" w:hAnsi="Cambria Math"/>
              </w:rPr>
              <m:t>u</m:t>
            </m:r>
          </m:sub>
          <m:sup>
            <m:r>
              <m:rPr>
                <m:sty m:val="b"/>
              </m:rPr>
              <w:rPr>
                <w:rFonts w:ascii="Cambria Math" w:hAnsi="Cambria Math"/>
              </w:rPr>
              <m:t>pl</m:t>
            </m:r>
          </m:sup>
        </m:sSubSup>
      </m:oMath>
    </w:p>
    <w:p w14:paraId="3E921FBF" w14:textId="77777777" w:rsidR="00945A15" w:rsidRPr="00E05E29" w:rsidRDefault="00945A15" w:rsidP="00945A15">
      <w:pPr>
        <w:pStyle w:val="Heading3"/>
      </w:pPr>
      <w:bookmarkStart w:id="9559" w:name="_Toc522955934"/>
      <w:bookmarkStart w:id="9560" w:name="_Toc18314125"/>
      <w:bookmarkStart w:id="9561" w:name="_Toc50150439"/>
      <w:bookmarkStart w:id="9562" w:name="_Toc70886871"/>
      <w:bookmarkStart w:id="9563" w:name="_Toc108342430"/>
      <w:bookmarkStart w:id="9564" w:name="_Toc134197962"/>
      <w:r>
        <w:t>Verification of c</w:t>
      </w:r>
      <w:r w:rsidRPr="00E05E29">
        <w:t>olumn base joints</w:t>
      </w:r>
      <w:bookmarkEnd w:id="9559"/>
      <w:bookmarkEnd w:id="9560"/>
      <w:bookmarkEnd w:id="9561"/>
      <w:bookmarkEnd w:id="9562"/>
      <w:bookmarkEnd w:id="9563"/>
      <w:bookmarkEnd w:id="9564"/>
    </w:p>
    <w:p w14:paraId="06D8BB41" w14:textId="2F76FD8A" w:rsidR="00945A15" w:rsidRPr="00E05E29" w:rsidRDefault="00945A15" w:rsidP="0080187E">
      <w:pPr>
        <w:pStyle w:val="Clause"/>
        <w:numPr>
          <w:ilvl w:val="0"/>
          <w:numId w:val="383"/>
        </w:numPr>
      </w:pPr>
      <w:r w:rsidRPr="00E05E29">
        <w:t xml:space="preserve">If the column base joint is fully restrained, the resistance of the base connections </w:t>
      </w:r>
      <w:r w:rsidRPr="00A547E1">
        <w:rPr>
          <w:i/>
        </w:rPr>
        <w:t>M</w:t>
      </w:r>
      <w:r w:rsidRPr="00A547E1">
        <w:rPr>
          <w:vertAlign w:val="subscript"/>
        </w:rPr>
        <w:t>,j,Rd,c</w:t>
      </w:r>
      <w:r w:rsidRPr="00E05E29">
        <w:t xml:space="preserve"> should comply with </w:t>
      </w:r>
      <w:r w:rsidRPr="003A443F">
        <w:t>Formula (11.17).</w:t>
      </w:r>
    </w:p>
    <w:p w14:paraId="6FEF233A" w14:textId="51A85824" w:rsidR="00BB229E" w:rsidRDefault="009B5CEC" w:rsidP="00BB229E">
      <w:pPr>
        <w:pStyle w:val="Formula"/>
        <w:spacing w:before="240"/>
      </w:pPr>
      <m:oMath>
        <m:sSub>
          <m:sSubPr>
            <m:ctrlPr>
              <w:rPr>
                <w:rFonts w:ascii="Cambria Math" w:hAnsi="Cambria Math"/>
              </w:rPr>
            </m:ctrlPr>
          </m:sSubPr>
          <m:e>
            <m:r>
              <w:rPr>
                <w:rFonts w:ascii="Cambria Math" w:hAnsi="Cambria Math"/>
              </w:rPr>
              <m:t>M</m:t>
            </m:r>
          </m:e>
          <m:sub>
            <m:r>
              <m:rPr>
                <m:sty m:val="p"/>
              </m:rPr>
              <w:rPr>
                <w:rFonts w:ascii="Cambria Math" w:hAnsi="Cambria Math"/>
              </w:rPr>
              <m:t>j,Rd,c</m:t>
            </m:r>
          </m:sub>
        </m:sSub>
        <m:r>
          <w:rPr>
            <w:rFonts w:ascii="Cambria Math" w:hAnsi="Cambria Math"/>
          </w:rPr>
          <m:t>≥</m:t>
        </m:r>
        <m:sSub>
          <m:sSubPr>
            <m:ctrlPr>
              <w:rPr>
                <w:rFonts w:ascii="Cambria Math" w:hAnsi="Cambria Math"/>
              </w:rPr>
            </m:ctrlPr>
          </m:sSubPr>
          <m:e>
            <m:r>
              <w:rPr>
                <w:rFonts w:ascii="Cambria Math" w:hAnsi="Cambria Math"/>
              </w:rPr>
              <m:t>ω</m:t>
            </m:r>
          </m:e>
          <m:sub>
            <m:r>
              <m:rPr>
                <m:sty m:val="p"/>
              </m:rPr>
              <w:rPr>
                <w:rFonts w:ascii="Cambria Math" w:hAnsi="Cambria Math"/>
              </w:rPr>
              <m:t>rm</m:t>
            </m:r>
          </m:sub>
        </m:sSub>
        <m:r>
          <w:rPr>
            <w:rFonts w:ascii="Cambria Math" w:hAnsi="Cambria Math"/>
          </w:rPr>
          <m:t xml:space="preserve"> </m:t>
        </m:r>
        <m:sSub>
          <m:sSubPr>
            <m:ctrlPr>
              <w:rPr>
                <w:rFonts w:ascii="Cambria Math" w:hAnsi="Cambria Math"/>
              </w:rPr>
            </m:ctrlPr>
          </m:sSubPr>
          <m:e>
            <m:r>
              <w:rPr>
                <w:rFonts w:ascii="Cambria Math" w:hAnsi="Cambria Math"/>
              </w:rPr>
              <m:t>ω</m:t>
            </m:r>
          </m:e>
          <m:sub>
            <m:r>
              <m:rPr>
                <m:sty m:val="p"/>
              </m:rPr>
              <w:rPr>
                <w:rFonts w:ascii="Cambria Math" w:hAnsi="Cambria Math"/>
              </w:rPr>
              <m:t>sh</m:t>
            </m:r>
          </m:sub>
        </m:sSub>
        <m:r>
          <w:rPr>
            <w:rFonts w:ascii="Cambria Math" w:hAnsi="Cambria Math"/>
          </w:rPr>
          <m:t xml:space="preserve"> </m:t>
        </m:r>
        <m:sSub>
          <m:sSubPr>
            <m:ctrlPr>
              <w:rPr>
                <w:rFonts w:ascii="Cambria Math" w:hAnsi="Cambria Math"/>
              </w:rPr>
            </m:ctrlPr>
          </m:sSubPr>
          <m:e>
            <m:r>
              <w:rPr>
                <w:rFonts w:ascii="Cambria Math" w:hAnsi="Cambria Math"/>
              </w:rPr>
              <m:t>M</m:t>
            </m:r>
          </m:e>
          <m:sub>
            <m:r>
              <m:rPr>
                <m:sty m:val="p"/>
              </m:rPr>
              <w:rPr>
                <w:rFonts w:ascii="Cambria Math" w:hAnsi="Cambria Math"/>
              </w:rPr>
              <m:t>pl,Rd,c</m:t>
            </m:r>
          </m:sub>
        </m:sSub>
        <m:d>
          <m:dPr>
            <m:ctrlPr>
              <w:rPr>
                <w:rFonts w:ascii="Cambria Math" w:hAnsi="Cambria Math"/>
              </w:rPr>
            </m:ctrlPr>
          </m:dPr>
          <m:e>
            <m:sSub>
              <m:sSubPr>
                <m:ctrlPr>
                  <w:rPr>
                    <w:rFonts w:ascii="Cambria Math" w:hAnsi="Cambria Math"/>
                  </w:rPr>
                </m:ctrlPr>
              </m:sSubPr>
              <m:e>
                <m:r>
                  <w:rPr>
                    <w:rFonts w:ascii="Cambria Math" w:hAnsi="Cambria Math"/>
                  </w:rPr>
                  <m:t>N</m:t>
                </m:r>
              </m:e>
              <m:sub>
                <m:r>
                  <m:rPr>
                    <m:sty m:val="p"/>
                  </m:rPr>
                  <w:rPr>
                    <w:rFonts w:ascii="Cambria Math" w:hAnsi="Cambria Math"/>
                  </w:rPr>
                  <m:t>Ed</m:t>
                </m:r>
              </m:sub>
            </m:sSub>
          </m:e>
        </m:d>
      </m:oMath>
      <w:r w:rsidR="00BB229E" w:rsidRPr="00870D59">
        <w:tab/>
        <w:t>(1</w:t>
      </w:r>
      <w:r w:rsidR="00BB229E">
        <w:t>1</w:t>
      </w:r>
      <w:r w:rsidR="00BB229E" w:rsidRPr="00870D59">
        <w:t>.</w:t>
      </w:r>
      <w:r w:rsidR="00BB229E">
        <w:t>1</w:t>
      </w:r>
      <w:r w:rsidR="003824C6">
        <w:t>7</w:t>
      </w:r>
      <w:r w:rsidR="00BB229E" w:rsidRPr="00870D59">
        <w:t>)</w:t>
      </w:r>
    </w:p>
    <w:p w14:paraId="4427595D" w14:textId="15CDAD6C" w:rsidR="00BB229E" w:rsidRDefault="00675EBA" w:rsidP="00BB229E">
      <w:r>
        <w:t>where</w:t>
      </w:r>
    </w:p>
    <w:tbl>
      <w:tblPr>
        <w:tblW w:w="0" w:type="auto"/>
        <w:tblInd w:w="284" w:type="dxa"/>
        <w:tblLook w:val="04A0" w:firstRow="1" w:lastRow="0" w:firstColumn="1" w:lastColumn="0" w:noHBand="0" w:noVBand="1"/>
      </w:tblPr>
      <w:tblGrid>
        <w:gridCol w:w="1445"/>
        <w:gridCol w:w="7834"/>
      </w:tblGrid>
      <w:tr w:rsidR="00BB229E" w:rsidRPr="00821B21" w14:paraId="1DC89C9F" w14:textId="77777777" w:rsidTr="007D7E6D">
        <w:tc>
          <w:tcPr>
            <w:tcW w:w="1445" w:type="dxa"/>
          </w:tcPr>
          <w:p w14:paraId="349C10D7" w14:textId="5D750D1F" w:rsidR="00BB229E" w:rsidRPr="00821B21" w:rsidRDefault="003824C6" w:rsidP="002061E5">
            <w:pPr>
              <w:spacing w:after="60"/>
              <w:rPr>
                <w:rFonts w:eastAsia="Times New Roman" w:cs="Cambria"/>
                <w:szCs w:val="20"/>
                <w:lang w:eastAsia="fr-FR"/>
              </w:rPr>
            </w:pPr>
            <w:r w:rsidRPr="007E6F67">
              <w:rPr>
                <w:i/>
              </w:rPr>
              <w:t>M</w:t>
            </w:r>
            <w:r w:rsidRPr="00FD17CF">
              <w:rPr>
                <w:iCs/>
                <w:vertAlign w:val="subscript"/>
              </w:rPr>
              <w:t>pl,Rd,c</w:t>
            </w:r>
            <w:r w:rsidRPr="00FD17CF">
              <w:t>(</w:t>
            </w:r>
            <w:r w:rsidRPr="00FD17CF">
              <w:rPr>
                <w:i/>
              </w:rPr>
              <w:t>N</w:t>
            </w:r>
            <w:r w:rsidRPr="00FD17CF">
              <w:rPr>
                <w:vertAlign w:val="subscript"/>
              </w:rPr>
              <w:t>Ed</w:t>
            </w:r>
            <w:r w:rsidRPr="00FD17CF">
              <w:t>)</w:t>
            </w:r>
          </w:p>
        </w:tc>
        <w:tc>
          <w:tcPr>
            <w:tcW w:w="7834" w:type="dxa"/>
          </w:tcPr>
          <w:p w14:paraId="623EC997" w14:textId="26570D8A" w:rsidR="00BB229E" w:rsidRPr="00821B21" w:rsidRDefault="003A443F" w:rsidP="002061E5">
            <w:pPr>
              <w:spacing w:after="60"/>
              <w:rPr>
                <w:rFonts w:eastAsia="Times New Roman" w:cs="Cambria"/>
                <w:szCs w:val="20"/>
                <w:lang w:eastAsia="fr-FR"/>
              </w:rPr>
            </w:pPr>
            <w:r w:rsidRPr="00FD17CF">
              <w:t xml:space="preserve">is the design moment resistance of the column taking into account the axial loads </w:t>
            </w:r>
            <w:r w:rsidRPr="00FD17CF">
              <w:rPr>
                <w:i/>
              </w:rPr>
              <w:t>N</w:t>
            </w:r>
            <w:r w:rsidRPr="00FD17CF">
              <w:rPr>
                <w:iCs/>
                <w:vertAlign w:val="subscript"/>
              </w:rPr>
              <w:t>Ed</w:t>
            </w:r>
            <w:r w:rsidRPr="00644C3D">
              <w:t xml:space="preserve"> in the seismic design situation;</w:t>
            </w:r>
          </w:p>
        </w:tc>
      </w:tr>
      <w:tr w:rsidR="00BB229E" w:rsidRPr="00870D59" w14:paraId="1FA1B859" w14:textId="77777777" w:rsidTr="007D7E6D">
        <w:tc>
          <w:tcPr>
            <w:tcW w:w="1445" w:type="dxa"/>
          </w:tcPr>
          <w:p w14:paraId="342D2F6B" w14:textId="51777BB7" w:rsidR="00BB229E" w:rsidRPr="00D1484A" w:rsidRDefault="003A443F" w:rsidP="002061E5">
            <w:pPr>
              <w:spacing w:after="60"/>
              <w:rPr>
                <w:i/>
                <w:iCs/>
              </w:rPr>
            </w:pPr>
            <w:r w:rsidRPr="00E05E29">
              <w:rPr>
                <w:i/>
              </w:rPr>
              <w:t>ω</w:t>
            </w:r>
            <w:r w:rsidRPr="00E05E29">
              <w:rPr>
                <w:vertAlign w:val="subscript"/>
              </w:rPr>
              <w:t>rm</w:t>
            </w:r>
          </w:p>
        </w:tc>
        <w:tc>
          <w:tcPr>
            <w:tcW w:w="7834" w:type="dxa"/>
          </w:tcPr>
          <w:p w14:paraId="4480E36D" w14:textId="57BCA61A" w:rsidR="00BB229E" w:rsidRPr="00821B21" w:rsidRDefault="003A443F" w:rsidP="002061E5">
            <w:r w:rsidRPr="00E05E29">
              <w:t xml:space="preserve">is the material overstrength </w:t>
            </w:r>
            <w:r w:rsidRPr="008507A2">
              <w:t>factor given in 11.2.2;</w:t>
            </w:r>
          </w:p>
        </w:tc>
      </w:tr>
      <w:tr w:rsidR="00BB229E" w:rsidRPr="00870D59" w14:paraId="40EBDC40" w14:textId="77777777" w:rsidTr="007D7E6D">
        <w:tc>
          <w:tcPr>
            <w:tcW w:w="1445" w:type="dxa"/>
          </w:tcPr>
          <w:p w14:paraId="1A29E974" w14:textId="7C0E237C" w:rsidR="00BB229E" w:rsidRPr="00FD17CF" w:rsidRDefault="003A443F" w:rsidP="002061E5">
            <w:pPr>
              <w:spacing w:after="60"/>
              <w:rPr>
                <w:i/>
              </w:rPr>
            </w:pPr>
            <w:r w:rsidRPr="00E05E29">
              <w:rPr>
                <w:i/>
              </w:rPr>
              <w:t>ω</w:t>
            </w:r>
            <w:r w:rsidRPr="00E05E29">
              <w:rPr>
                <w:vertAlign w:val="subscript"/>
              </w:rPr>
              <w:t>sh</w:t>
            </w:r>
          </w:p>
        </w:tc>
        <w:tc>
          <w:tcPr>
            <w:tcW w:w="7834" w:type="dxa"/>
          </w:tcPr>
          <w:p w14:paraId="54EDC6AE" w14:textId="747BAD4B" w:rsidR="00BB229E" w:rsidRPr="00644C3D" w:rsidRDefault="003A443F" w:rsidP="002061E5">
            <w:r w:rsidRPr="00E05E29">
              <w:t>is the hardening factor of plastic hinge, which may be taken equal to 1,1 for DC2 and from Table 11.</w:t>
            </w:r>
            <w:r w:rsidR="00481078">
              <w:t>1</w:t>
            </w:r>
            <w:r w:rsidR="00C606A0">
              <w:t>0</w:t>
            </w:r>
            <w:r w:rsidR="00481078">
              <w:t xml:space="preserve"> </w:t>
            </w:r>
            <w:r w:rsidRPr="00E05E29">
              <w:t>for DC3.</w:t>
            </w:r>
          </w:p>
        </w:tc>
      </w:tr>
    </w:tbl>
    <w:p w14:paraId="4C0C5E79" w14:textId="52AFE2B7" w:rsidR="003A443F" w:rsidRPr="00E05E29" w:rsidRDefault="003A443F" w:rsidP="00724E4E">
      <w:pPr>
        <w:pStyle w:val="Clause"/>
      </w:pPr>
      <w:r w:rsidRPr="003A443F">
        <w:t>Formula (11.17) ma</w:t>
      </w:r>
      <w:r w:rsidRPr="00E05E29">
        <w:t>y be satisfied by using either exposed or embedded column base joints.</w:t>
      </w:r>
    </w:p>
    <w:p w14:paraId="11912E63" w14:textId="77777777" w:rsidR="003A443F" w:rsidRPr="00FD2AE7" w:rsidRDefault="003A443F" w:rsidP="003A443F">
      <w:pPr>
        <w:pStyle w:val="Notetext"/>
      </w:pPr>
      <w:r w:rsidRPr="00E05E29">
        <w:lastRenderedPageBreak/>
        <w:t>NOTE</w:t>
      </w:r>
      <w:r w:rsidRPr="00E05E29">
        <w:tab/>
        <w:t xml:space="preserve">Fixity at embedded column base joints can be obtained by extending the column below the assumed seismic base into a basement, if any, and by restraining the horizontal displacements of the ground floor relative to the basement. Other options to ensure the column fixity can be to encase the base joint into a grade beam or to embed it in a stocky concrete wall. Details for column base joints </w:t>
      </w:r>
      <w:r w:rsidRPr="00FD2AE7">
        <w:t>are given in Annex H.</w:t>
      </w:r>
    </w:p>
    <w:p w14:paraId="09AD4B0F" w14:textId="68DBF8B0" w:rsidR="003A443F" w:rsidRPr="00E05E29" w:rsidRDefault="003A443F" w:rsidP="00724E4E">
      <w:pPr>
        <w:pStyle w:val="Clause"/>
      </w:pPr>
      <w:r w:rsidRPr="00E05E29">
        <w:t xml:space="preserve">Plastic hinges may develop at a column base joint, provided that all conditions a) to d) are </w:t>
      </w:r>
      <w:r>
        <w:t>satisfied</w:t>
      </w:r>
      <w:r w:rsidRPr="00E05E29">
        <w:t>:</w:t>
      </w:r>
    </w:p>
    <w:p w14:paraId="58252FAD" w14:textId="77777777" w:rsidR="003A443F" w:rsidRPr="00E05E29" w:rsidRDefault="003A443F" w:rsidP="0080187E">
      <w:pPr>
        <w:pStyle w:val="Text"/>
        <w:numPr>
          <w:ilvl w:val="0"/>
          <w:numId w:val="644"/>
        </w:numPr>
      </w:pPr>
      <w:r w:rsidRPr="00E05E29">
        <w:t>the base joint has a rotation capacity consistent with the global deformations and not smaller than 0,04 rad;</w:t>
      </w:r>
    </w:p>
    <w:p w14:paraId="25A2E6A7" w14:textId="77777777" w:rsidR="003A443F" w:rsidRPr="00E05E29" w:rsidRDefault="003A443F" w:rsidP="0080187E">
      <w:pPr>
        <w:pStyle w:val="Text"/>
        <w:numPr>
          <w:ilvl w:val="0"/>
          <w:numId w:val="644"/>
        </w:numPr>
      </w:pPr>
      <w:r w:rsidRPr="00E05E29">
        <w:t>the column exhibits adequate overstrength to allow cyclic yielding in the base joint at the SD limit state;</w:t>
      </w:r>
    </w:p>
    <w:p w14:paraId="7577503C" w14:textId="77777777" w:rsidR="003A443F" w:rsidRPr="00E05E29" w:rsidRDefault="003A443F" w:rsidP="0080187E">
      <w:pPr>
        <w:pStyle w:val="Text"/>
        <w:numPr>
          <w:ilvl w:val="0"/>
          <w:numId w:val="644"/>
        </w:numPr>
      </w:pPr>
      <w:r w:rsidRPr="00E05E29">
        <w:t>the effects of deformability of base joints on lateral drifts and global stability are taken into account in the analysis;</w:t>
      </w:r>
    </w:p>
    <w:p w14:paraId="7D4DF725" w14:textId="77777777" w:rsidR="003A443F" w:rsidRPr="00E05E29" w:rsidRDefault="003A443F" w:rsidP="0080187E">
      <w:pPr>
        <w:pStyle w:val="Text"/>
        <w:numPr>
          <w:ilvl w:val="0"/>
          <w:numId w:val="644"/>
        </w:numPr>
      </w:pPr>
      <w:r w:rsidRPr="00E05E29">
        <w:t>the column base joints satisfy the rules for connections in dissipative zones.</w:t>
      </w:r>
    </w:p>
    <w:p w14:paraId="330F2F44" w14:textId="5055D3D5" w:rsidR="003A443F" w:rsidRDefault="003A443F" w:rsidP="00724E4E">
      <w:pPr>
        <w:pStyle w:val="Clause"/>
      </w:pPr>
      <w:r w:rsidRPr="00E05E29">
        <w:t xml:space="preserve">The </w:t>
      </w:r>
      <w:r w:rsidRPr="003A443F">
        <w:t xml:space="preserve">resistance to shear and axial force of column bases and their attachments to the foundations should be greater than the shear force </w:t>
      </w:r>
      <w:r w:rsidRPr="004F74EA">
        <w:rPr>
          <w:i/>
          <w:iCs/>
        </w:rPr>
        <w:t>V</w:t>
      </w:r>
      <w:r w:rsidRPr="004F74EA">
        <w:rPr>
          <w:vertAlign w:val="subscript"/>
        </w:rPr>
        <w:t>Ed</w:t>
      </w:r>
      <w:r w:rsidRPr="003A443F">
        <w:t xml:space="preserve"> and the axial force </w:t>
      </w:r>
      <w:r w:rsidRPr="004F74EA">
        <w:rPr>
          <w:i/>
          <w:iCs/>
        </w:rPr>
        <w:t>N</w:t>
      </w:r>
      <w:r w:rsidRPr="004F74EA">
        <w:rPr>
          <w:vertAlign w:val="subscript"/>
        </w:rPr>
        <w:t>Ed</w:t>
      </w:r>
      <w:r w:rsidRPr="003A443F">
        <w:t xml:space="preserve"> as given by Formula (11.12) in DC2 and Formula (11.13) in DC3</w:t>
      </w:r>
      <w:r w:rsidRPr="00E05E29">
        <w:t>.</w:t>
      </w:r>
    </w:p>
    <w:p w14:paraId="68952209" w14:textId="7B89FFFB" w:rsidR="003A443F" w:rsidRPr="003A443F" w:rsidRDefault="003A443F" w:rsidP="00724E4E">
      <w:pPr>
        <w:pStyle w:val="Clause"/>
      </w:pPr>
      <w:r w:rsidRPr="003A443F">
        <w:t>The resistance to shear force of a column base and its attachments to the foundations should satisfy Formula (11.5).</w:t>
      </w:r>
    </w:p>
    <w:p w14:paraId="3C47A769" w14:textId="78340806" w:rsidR="003A443F" w:rsidRPr="00E05E29" w:rsidRDefault="003A443F" w:rsidP="003A443F">
      <w:pPr>
        <w:pStyle w:val="Heading2"/>
      </w:pPr>
      <w:bookmarkStart w:id="9565" w:name="_Toc483723233"/>
      <w:bookmarkStart w:id="9566" w:name="_Toc483723568"/>
      <w:bookmarkStart w:id="9567" w:name="_Toc484520882"/>
      <w:bookmarkStart w:id="9568" w:name="_Toc509405061"/>
      <w:bookmarkStart w:id="9569" w:name="_Toc76379873"/>
      <w:bookmarkStart w:id="9570" w:name="_Toc494124732"/>
      <w:bookmarkStart w:id="9571" w:name="_Toc522955935"/>
      <w:bookmarkStart w:id="9572" w:name="_Toc18314126"/>
      <w:bookmarkStart w:id="9573" w:name="_Toc50150440"/>
      <w:bookmarkStart w:id="9574" w:name="_Toc70886872"/>
      <w:bookmarkStart w:id="9575" w:name="_Toc108342431"/>
      <w:bookmarkStart w:id="9576" w:name="_Toc134197963"/>
      <w:r w:rsidRPr="00E05E29">
        <w:t>Design rules for frames with concentric bracings</w:t>
      </w:r>
      <w:bookmarkEnd w:id="9565"/>
      <w:bookmarkEnd w:id="9566"/>
      <w:bookmarkEnd w:id="9567"/>
      <w:bookmarkEnd w:id="9568"/>
      <w:bookmarkEnd w:id="9569"/>
      <w:bookmarkEnd w:id="9570"/>
      <w:bookmarkEnd w:id="9571"/>
      <w:bookmarkEnd w:id="9572"/>
      <w:bookmarkEnd w:id="9573"/>
      <w:bookmarkEnd w:id="9574"/>
      <w:bookmarkEnd w:id="9575"/>
      <w:bookmarkEnd w:id="9576"/>
    </w:p>
    <w:p w14:paraId="23EE2F74" w14:textId="77777777" w:rsidR="003A443F" w:rsidRPr="00E05E29" w:rsidRDefault="003A443F" w:rsidP="003A443F">
      <w:pPr>
        <w:pStyle w:val="Heading3"/>
      </w:pPr>
      <w:bookmarkStart w:id="9577" w:name="_Toc483723234"/>
      <w:bookmarkStart w:id="9578" w:name="_Toc483723569"/>
      <w:bookmarkStart w:id="9579" w:name="_Toc484520883"/>
      <w:bookmarkStart w:id="9580" w:name="_Toc509405062"/>
      <w:bookmarkStart w:id="9581" w:name="_Toc76379874"/>
      <w:bookmarkStart w:id="9582" w:name="_Toc494124733"/>
      <w:bookmarkStart w:id="9583" w:name="_Toc522955936"/>
      <w:bookmarkStart w:id="9584" w:name="_Toc18314127"/>
      <w:bookmarkStart w:id="9585" w:name="_Toc50150441"/>
      <w:bookmarkStart w:id="9586" w:name="_Toc70886873"/>
      <w:bookmarkStart w:id="9587" w:name="_Toc108342432"/>
      <w:bookmarkStart w:id="9588" w:name="_Toc134197964"/>
      <w:r w:rsidRPr="00E05E29">
        <w:t>Design criteria for DC2 and DC3</w:t>
      </w:r>
      <w:bookmarkEnd w:id="9577"/>
      <w:bookmarkEnd w:id="9578"/>
      <w:bookmarkEnd w:id="9579"/>
      <w:bookmarkEnd w:id="9580"/>
      <w:bookmarkEnd w:id="9581"/>
      <w:bookmarkEnd w:id="9582"/>
      <w:bookmarkEnd w:id="9583"/>
      <w:bookmarkEnd w:id="9584"/>
      <w:bookmarkEnd w:id="9585"/>
      <w:bookmarkEnd w:id="9586"/>
      <w:bookmarkEnd w:id="9587"/>
      <w:bookmarkEnd w:id="9588"/>
    </w:p>
    <w:p w14:paraId="039F337C" w14:textId="39F0D9B5" w:rsidR="003A443F" w:rsidRPr="00E05E29" w:rsidRDefault="003A443F" w:rsidP="0080187E">
      <w:pPr>
        <w:pStyle w:val="Clause"/>
        <w:numPr>
          <w:ilvl w:val="0"/>
          <w:numId w:val="384"/>
        </w:numPr>
      </w:pPr>
      <w:r w:rsidRPr="00E05E29">
        <w:t>Concentrically braced frames shall be designed so that yielding of the diagonals in tension takes place before failure of the connections and before yielding or buckling of the beams or columns.</w:t>
      </w:r>
    </w:p>
    <w:p w14:paraId="0D86D452" w14:textId="43C94E86" w:rsidR="003A443F" w:rsidRPr="00E05E29" w:rsidRDefault="003A443F" w:rsidP="00724E4E">
      <w:pPr>
        <w:pStyle w:val="Clause"/>
      </w:pPr>
      <w:r w:rsidRPr="00E05E29">
        <w:t xml:space="preserve">The diagonal members of bracings should be placed in such a way that the structure exhibits similar behaviour at each storey in opposite senses of the same braced direction under load reversals. To this end, the rule given by </w:t>
      </w:r>
      <w:r w:rsidRPr="003A443F">
        <w:t xml:space="preserve">Formula (11.18) should </w:t>
      </w:r>
      <w:r w:rsidRPr="00E05E29">
        <w:t xml:space="preserve">be </w:t>
      </w:r>
      <w:r>
        <w:t>satisfied</w:t>
      </w:r>
      <w:r w:rsidRPr="00E05E29">
        <w:t xml:space="preserve"> at each storey:</w:t>
      </w:r>
    </w:p>
    <w:p w14:paraId="281F38E3" w14:textId="571320EA" w:rsidR="003A443F" w:rsidRDefault="009B5CEC" w:rsidP="003A443F">
      <w:pPr>
        <w:pStyle w:val="Formula"/>
        <w:spacing w:before="240"/>
      </w:pPr>
      <m:oMath>
        <m:f>
          <m:fPr>
            <m:ctrlPr>
              <w:rPr>
                <w:rFonts w:ascii="Cambria Math" w:hAnsi="Cambria Math"/>
                <w:i/>
              </w:rPr>
            </m:ctrlPr>
          </m:fPr>
          <m:num>
            <m:d>
              <m:dPr>
                <m:begChr m:val="|"/>
                <m:endChr m:val="|"/>
                <m:ctrlPr>
                  <w:rPr>
                    <w:rFonts w:ascii="Cambria Math" w:hAnsi="Cambria Math"/>
                    <w:i/>
                  </w:rPr>
                </m:ctrlPr>
              </m:dPr>
              <m:e>
                <m:sSup>
                  <m:sSupPr>
                    <m:ctrlPr>
                      <w:rPr>
                        <w:rFonts w:ascii="Cambria Math" w:hAnsi="Cambria Math"/>
                        <w:i/>
                      </w:rPr>
                    </m:ctrlPr>
                  </m:sSupPr>
                  <m:e>
                    <m:r>
                      <w:rPr>
                        <w:rFonts w:ascii="Cambria Math" w:hAnsi="Cambria Math"/>
                      </w:rPr>
                      <m:t>A</m:t>
                    </m:r>
                  </m:e>
                  <m:sup>
                    <m:r>
                      <w:rPr>
                        <w:rFonts w:ascii="Cambria Math" w:hAnsi="Cambria Math"/>
                      </w:rPr>
                      <m:t>+</m:t>
                    </m:r>
                  </m:sup>
                </m:sSup>
                <m:r>
                  <w:rPr>
                    <w:rFonts w:ascii="Cambria Math" w:hAnsi="Cambria Math"/>
                  </w:rPr>
                  <m:t>-</m:t>
                </m:r>
                <m:sSup>
                  <m:sSupPr>
                    <m:ctrlPr>
                      <w:rPr>
                        <w:rFonts w:ascii="Cambria Math" w:hAnsi="Cambria Math"/>
                        <w:i/>
                      </w:rPr>
                    </m:ctrlPr>
                  </m:sSupPr>
                  <m:e>
                    <m:r>
                      <w:rPr>
                        <w:rFonts w:ascii="Cambria Math" w:hAnsi="Cambria Math"/>
                      </w:rPr>
                      <m:t>A</m:t>
                    </m:r>
                  </m:e>
                  <m:sup>
                    <m:r>
                      <w:rPr>
                        <w:rFonts w:ascii="Cambria Math" w:hAnsi="Cambria Math"/>
                      </w:rPr>
                      <m:t>-</m:t>
                    </m:r>
                  </m:sup>
                </m:sSup>
              </m:e>
            </m:d>
          </m:num>
          <m:den>
            <m:sSup>
              <m:sSupPr>
                <m:ctrlPr>
                  <w:rPr>
                    <w:rFonts w:ascii="Cambria Math" w:hAnsi="Cambria Math"/>
                    <w:i/>
                  </w:rPr>
                </m:ctrlPr>
              </m:sSupPr>
              <m:e>
                <m:r>
                  <w:rPr>
                    <w:rFonts w:ascii="Cambria Math" w:hAnsi="Cambria Math"/>
                  </w:rPr>
                  <m:t>A</m:t>
                </m:r>
              </m:e>
              <m:sup>
                <m:r>
                  <w:rPr>
                    <w:rFonts w:ascii="Cambria Math" w:hAnsi="Cambria Math"/>
                  </w:rPr>
                  <m:t>+</m:t>
                </m:r>
              </m:sup>
            </m:sSup>
            <m:r>
              <w:rPr>
                <w:rFonts w:ascii="Cambria Math" w:hAnsi="Cambria Math"/>
              </w:rPr>
              <m:t>+</m:t>
            </m:r>
            <m:sSup>
              <m:sSupPr>
                <m:ctrlPr>
                  <w:rPr>
                    <w:rFonts w:ascii="Cambria Math" w:hAnsi="Cambria Math"/>
                    <w:i/>
                  </w:rPr>
                </m:ctrlPr>
              </m:sSupPr>
              <m:e>
                <m:r>
                  <w:rPr>
                    <w:rFonts w:ascii="Cambria Math" w:hAnsi="Cambria Math"/>
                  </w:rPr>
                  <m:t>A</m:t>
                </m:r>
              </m:e>
              <m:sup>
                <m:r>
                  <w:rPr>
                    <w:rFonts w:ascii="Cambria Math" w:hAnsi="Cambria Math"/>
                  </w:rPr>
                  <m:t>-</m:t>
                </m:r>
              </m:sup>
            </m:sSup>
          </m:den>
        </m:f>
        <m:r>
          <w:rPr>
            <w:rFonts w:ascii="Cambria Math" w:hAnsi="Cambria Math"/>
          </w:rPr>
          <m:t>≤0,05</m:t>
        </m:r>
      </m:oMath>
      <w:r w:rsidR="003A443F" w:rsidRPr="00870D59">
        <w:tab/>
        <w:t>(1</w:t>
      </w:r>
      <w:r w:rsidR="003A443F">
        <w:t>1</w:t>
      </w:r>
      <w:r w:rsidR="003A443F" w:rsidRPr="00870D59">
        <w:t>.</w:t>
      </w:r>
      <w:r w:rsidR="003A443F">
        <w:t>18</w:t>
      </w:r>
      <w:r w:rsidR="003A443F" w:rsidRPr="00870D59">
        <w:t>)</w:t>
      </w:r>
    </w:p>
    <w:p w14:paraId="50D637BA" w14:textId="6707D377" w:rsidR="003A443F" w:rsidRDefault="003A443F" w:rsidP="003A443F">
      <w:r>
        <w:t>where</w:t>
      </w:r>
      <w:bookmarkStart w:id="9589" w:name="_Hlk38810266"/>
      <w:r w:rsidRPr="003A443F">
        <w:rPr>
          <w:i/>
        </w:rPr>
        <w:t xml:space="preserve"> </w:t>
      </w:r>
      <m:oMath>
        <m:sSup>
          <m:sSupPr>
            <m:ctrlPr>
              <w:rPr>
                <w:rFonts w:ascii="Cambria Math" w:hAnsi="Cambria Math"/>
                <w:i/>
              </w:rPr>
            </m:ctrlPr>
          </m:sSupPr>
          <m:e>
            <m:r>
              <w:rPr>
                <w:rFonts w:ascii="Cambria Math" w:hAnsi="Cambria Math"/>
              </w:rPr>
              <m:t>A</m:t>
            </m:r>
          </m:e>
          <m:sup>
            <m:r>
              <w:rPr>
                <w:rFonts w:ascii="Cambria Math" w:hAnsi="Cambria Math"/>
              </w:rPr>
              <m:t>+</m:t>
            </m:r>
          </m:sup>
        </m:sSup>
      </m:oMath>
      <w:r w:rsidRPr="00FD17CF">
        <w:t xml:space="preserve"> and </w:t>
      </w:r>
      <m:oMath>
        <m:sSup>
          <m:sSupPr>
            <m:ctrlPr>
              <w:rPr>
                <w:rFonts w:ascii="Cambria Math" w:hAnsi="Cambria Math"/>
                <w:i/>
              </w:rPr>
            </m:ctrlPr>
          </m:sSupPr>
          <m:e>
            <m:r>
              <w:rPr>
                <w:rFonts w:ascii="Cambria Math" w:hAnsi="Cambria Math"/>
              </w:rPr>
              <m:t>A</m:t>
            </m:r>
          </m:e>
          <m:sup>
            <m:r>
              <w:rPr>
                <w:rFonts w:ascii="Cambria Math" w:hAnsi="Cambria Math"/>
              </w:rPr>
              <m:t>-</m:t>
            </m:r>
          </m:sup>
        </m:sSup>
      </m:oMath>
      <w:r w:rsidRPr="00FD17CF">
        <w:t xml:space="preserve"> are the areas of the vertical projections of the cross sections of the tension diagonals, when the horizontal seismic actions have a positive or negative direction </w:t>
      </w:r>
      <w:bookmarkEnd w:id="9589"/>
      <w:r w:rsidRPr="00FD17CF">
        <w:t>respectively (see Figure</w:t>
      </w:r>
      <w:r>
        <w:t> </w:t>
      </w:r>
      <w:r w:rsidRPr="003A443F">
        <w:t>11.14</w:t>
      </w:r>
      <w:r w:rsidRPr="00E05E29">
        <w:t>).</w:t>
      </w:r>
    </w:p>
    <w:p w14:paraId="0E0B5AEE" w14:textId="72354BDC" w:rsidR="005271FE" w:rsidRDefault="00450C7D" w:rsidP="00450C7D">
      <w:pPr>
        <w:pStyle w:val="FigureImage"/>
      </w:pPr>
      <w:r>
        <w:rPr>
          <w:noProof/>
        </w:rPr>
        <w:lastRenderedPageBreak/>
        <w:drawing>
          <wp:inline distT="0" distB="0" distL="0" distR="0" wp14:anchorId="01AC3C26" wp14:editId="12813799">
            <wp:extent cx="4320547" cy="2973329"/>
            <wp:effectExtent l="0" t="0" r="3810" b="0"/>
            <wp:docPr id="1661690624" name="0035.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1690624" name="0035.tiff"/>
                    <pic:cNvPicPr/>
                  </pic:nvPicPr>
                  <pic:blipFill>
                    <a:blip r:link="rId50"/>
                    <a:stretch>
                      <a:fillRect/>
                    </a:stretch>
                  </pic:blipFill>
                  <pic:spPr>
                    <a:xfrm>
                      <a:off x="0" y="0"/>
                      <a:ext cx="4320547" cy="2973329"/>
                    </a:xfrm>
                    <a:prstGeom prst="rect">
                      <a:avLst/>
                    </a:prstGeom>
                  </pic:spPr>
                </pic:pic>
              </a:graphicData>
            </a:graphic>
          </wp:inline>
        </w:drawing>
      </w:r>
    </w:p>
    <w:p w14:paraId="64AC12C8" w14:textId="79A4874D" w:rsidR="005271FE" w:rsidRPr="00D1484A" w:rsidRDefault="005271FE" w:rsidP="005271FE">
      <w:pPr>
        <w:pStyle w:val="Figuretitle"/>
      </w:pPr>
      <w:r w:rsidRPr="00D1484A">
        <w:t xml:space="preserve">Figure </w:t>
      </w:r>
      <w:r>
        <w:t>11</w:t>
      </w:r>
      <w:r w:rsidRPr="00132C1E">
        <w:t>.</w:t>
      </w:r>
      <w:r>
        <w:t>14</w:t>
      </w:r>
      <w:r w:rsidRPr="00132C1E">
        <w:t> </w:t>
      </w:r>
      <w:r w:rsidRPr="00D1484A">
        <w:rPr>
          <w:rFonts w:ascii="`ÃÍœ˛" w:eastAsia="Cambria" w:hAnsi="`ÃÍœ˛" w:cs="`ÃÍœ˛"/>
          <w:szCs w:val="22"/>
          <w:lang w:eastAsia="de-DE"/>
        </w:rPr>
        <w:t>—</w:t>
      </w:r>
      <w:r w:rsidRPr="00D1484A">
        <w:t> Example of application of 11.10.1(2)</w:t>
      </w:r>
    </w:p>
    <w:p w14:paraId="385976F2" w14:textId="0546BE82" w:rsidR="005271FE" w:rsidRPr="00FD17CF" w:rsidRDefault="005271FE" w:rsidP="00724E4E">
      <w:pPr>
        <w:pStyle w:val="Clause"/>
      </w:pPr>
      <w:r w:rsidRPr="007E6F67">
        <w:t xml:space="preserve">Eccentricities of diagonal </w:t>
      </w:r>
      <w:r w:rsidRPr="00FD17CF">
        <w:t>members in the end connections as respect to the beam-column axes should not be greater than the beam depth and</w:t>
      </w:r>
      <w:r w:rsidRPr="00FD17CF" w:rsidDel="00DF3BBE">
        <w:t xml:space="preserve"> </w:t>
      </w:r>
      <w:r w:rsidRPr="00FD17CF">
        <w:t>their effects on the members and connections forces should be taken into account.</w:t>
      </w:r>
    </w:p>
    <w:p w14:paraId="5B34F828" w14:textId="1D4FAB1B" w:rsidR="005271FE" w:rsidRPr="00E05E29" w:rsidRDefault="005271FE" w:rsidP="005271FE">
      <w:pPr>
        <w:pStyle w:val="Heading3"/>
      </w:pPr>
      <w:bookmarkStart w:id="9590" w:name="_Toc76379875"/>
      <w:bookmarkStart w:id="9591" w:name="_Toc494124734"/>
      <w:bookmarkStart w:id="9592" w:name="_Toc522955937"/>
      <w:bookmarkStart w:id="9593" w:name="_Toc18314128"/>
      <w:bookmarkStart w:id="9594" w:name="_Toc50150442"/>
      <w:bookmarkStart w:id="9595" w:name="_Toc70886874"/>
      <w:bookmarkStart w:id="9596" w:name="_Toc108342433"/>
      <w:bookmarkStart w:id="9597" w:name="_Toc134197965"/>
      <w:r w:rsidRPr="00644C3D">
        <w:t>Analysis</w:t>
      </w:r>
      <w:bookmarkEnd w:id="9590"/>
      <w:bookmarkEnd w:id="9591"/>
      <w:bookmarkEnd w:id="9592"/>
      <w:bookmarkEnd w:id="9593"/>
      <w:bookmarkEnd w:id="9594"/>
      <w:bookmarkEnd w:id="9595"/>
      <w:bookmarkEnd w:id="9596"/>
      <w:bookmarkEnd w:id="9597"/>
    </w:p>
    <w:p w14:paraId="1A20F2FF" w14:textId="13091BF1" w:rsidR="005271FE" w:rsidRPr="00E05E29" w:rsidRDefault="005271FE" w:rsidP="0080187E">
      <w:pPr>
        <w:pStyle w:val="Clause"/>
        <w:numPr>
          <w:ilvl w:val="0"/>
          <w:numId w:val="385"/>
        </w:numPr>
      </w:pPr>
      <w:r w:rsidRPr="00E05E29">
        <w:t xml:space="preserve">Beams and columns should be considered to resist gravity loads in the persistent and transient design situation, without taking into account the </w:t>
      </w:r>
      <w:r w:rsidRPr="007775AA">
        <w:t xml:space="preserve">resistance of the bracing </w:t>
      </w:r>
      <w:r w:rsidRPr="00E05E29">
        <w:t xml:space="preserve">members. In addition, the buckling resistance of diagonal bracings should be verified against the axial forces due to the imposed and variable </w:t>
      </w:r>
      <w:r w:rsidRPr="00ED6630">
        <w:t>loads as given in prEN</w:t>
      </w:r>
      <w:r w:rsidR="00FD2AE7">
        <w:t> </w:t>
      </w:r>
      <w:r w:rsidRPr="00ED6630">
        <w:t>1991-1-1, prEN</w:t>
      </w:r>
      <w:r w:rsidR="00FD2AE7">
        <w:t> </w:t>
      </w:r>
      <w:r w:rsidRPr="00ED6630">
        <w:t>1991-1-3 and prEN</w:t>
      </w:r>
      <w:r w:rsidR="00FD2AE7">
        <w:t> </w:t>
      </w:r>
      <w:r w:rsidRPr="00ED6630">
        <w:t>1991-1-4 at ultimate limit state in non-seismic</w:t>
      </w:r>
      <w:r w:rsidRPr="00E05E29">
        <w:t xml:space="preserve"> design situation.</w:t>
      </w:r>
    </w:p>
    <w:p w14:paraId="7D16D9A7" w14:textId="39DCB108" w:rsidR="005271FE" w:rsidRPr="00E05E29" w:rsidRDefault="005271FE" w:rsidP="00724E4E">
      <w:pPr>
        <w:pStyle w:val="Clause"/>
      </w:pPr>
      <w:r w:rsidRPr="00E05E29">
        <w:t>The diagonals should be taken into account using an elastic analysis of the structure for the seismic action according to a) to c):</w:t>
      </w:r>
    </w:p>
    <w:p w14:paraId="70A8E4A2" w14:textId="77777777" w:rsidR="005271FE" w:rsidRPr="00E05E29" w:rsidRDefault="005271FE" w:rsidP="0080187E">
      <w:pPr>
        <w:pStyle w:val="Text"/>
        <w:numPr>
          <w:ilvl w:val="0"/>
          <w:numId w:val="645"/>
        </w:numPr>
      </w:pPr>
      <w:r w:rsidRPr="00E05E29">
        <w:t>The “tension-only” model may be only used for DC2 frames with X diagonal bracings or split X diagonal bracings;</w:t>
      </w:r>
    </w:p>
    <w:p w14:paraId="1A581C8E" w14:textId="77777777" w:rsidR="005271FE" w:rsidRPr="00E05E29" w:rsidRDefault="005271FE" w:rsidP="0080187E">
      <w:pPr>
        <w:pStyle w:val="Text"/>
        <w:numPr>
          <w:ilvl w:val="0"/>
          <w:numId w:val="645"/>
        </w:numPr>
      </w:pPr>
      <w:r w:rsidRPr="00E05E29">
        <w:t>In DC2 frames with V bracings and two-storey X bracings, both the tension and compression diagonals should be taken into account;</w:t>
      </w:r>
    </w:p>
    <w:p w14:paraId="414C373F" w14:textId="77777777" w:rsidR="005271FE" w:rsidRPr="00E05E29" w:rsidRDefault="005271FE" w:rsidP="0080187E">
      <w:pPr>
        <w:pStyle w:val="Text"/>
        <w:numPr>
          <w:ilvl w:val="0"/>
          <w:numId w:val="645"/>
        </w:numPr>
      </w:pPr>
      <w:r w:rsidRPr="00E05E29">
        <w:t>in DC3 frames, both the tension and compression diagonals should be taken into account.</w:t>
      </w:r>
    </w:p>
    <w:p w14:paraId="23F0468D" w14:textId="13A61978" w:rsidR="005271FE" w:rsidRPr="00E05E29" w:rsidRDefault="005271FE" w:rsidP="00724E4E">
      <w:pPr>
        <w:pStyle w:val="Clause"/>
      </w:pPr>
      <w:r w:rsidRPr="00E05E29">
        <w:t xml:space="preserve">The compression diagonals in DC2 may be neglected in the analysis as defined in </w:t>
      </w:r>
      <w:r w:rsidRPr="00357B79">
        <w:rPr>
          <w:bCs/>
        </w:rPr>
        <w:t>(2)</w:t>
      </w:r>
      <w:r w:rsidRPr="00E05E29">
        <w:t xml:space="preserve">a) provided that the lateral resistance of the building in pre-buckling range of diagonal members is smaller than the </w:t>
      </w:r>
      <w:r>
        <w:t xml:space="preserve">lateral </w:t>
      </w:r>
      <w:r w:rsidRPr="00E05E29">
        <w:t>resistance of the building evaluated with only the tension diagonals</w:t>
      </w:r>
      <w:r>
        <w:t xml:space="preserve"> at yield</w:t>
      </w:r>
      <w:r w:rsidRPr="00E05E29">
        <w:t>.</w:t>
      </w:r>
    </w:p>
    <w:p w14:paraId="53CF60D2" w14:textId="662BCE8F" w:rsidR="005271FE" w:rsidRPr="00E05E29" w:rsidRDefault="005271FE" w:rsidP="00724E4E">
      <w:pPr>
        <w:pStyle w:val="Clause"/>
      </w:pPr>
      <w:r w:rsidRPr="00E05E29">
        <w:t>Both tension and compression diagonals may be taken into account in the analysis of any type of concentric bracing provided that both pre-buckling and post-buckling situations of diagonals are taken into account in both design and modelling.</w:t>
      </w:r>
    </w:p>
    <w:p w14:paraId="55C22AB6" w14:textId="23AA43E4" w:rsidR="005271FE" w:rsidRPr="00E05E29" w:rsidRDefault="005271FE" w:rsidP="005271FE">
      <w:pPr>
        <w:pStyle w:val="Heading3"/>
      </w:pPr>
      <w:bookmarkStart w:id="9598" w:name="_Toc483723236"/>
      <w:bookmarkStart w:id="9599" w:name="_Toc483723571"/>
      <w:bookmarkStart w:id="9600" w:name="_Toc484520885"/>
      <w:bookmarkStart w:id="9601" w:name="_Toc509405064"/>
      <w:bookmarkStart w:id="9602" w:name="_Toc76379876"/>
      <w:bookmarkStart w:id="9603" w:name="_Toc494124735"/>
      <w:bookmarkStart w:id="9604" w:name="_Toc522955938"/>
      <w:bookmarkStart w:id="9605" w:name="_Toc18314129"/>
      <w:bookmarkStart w:id="9606" w:name="_Toc50150443"/>
      <w:bookmarkStart w:id="9607" w:name="_Toc70886875"/>
      <w:bookmarkStart w:id="9608" w:name="_Toc108342434"/>
      <w:bookmarkStart w:id="9609" w:name="_Toc134197966"/>
      <w:r>
        <w:lastRenderedPageBreak/>
        <w:t>Verification of d</w:t>
      </w:r>
      <w:r w:rsidRPr="00E05E29">
        <w:t>iagonal members</w:t>
      </w:r>
      <w:bookmarkEnd w:id="9598"/>
      <w:bookmarkEnd w:id="9599"/>
      <w:bookmarkEnd w:id="9600"/>
      <w:bookmarkEnd w:id="9601"/>
      <w:bookmarkEnd w:id="9602"/>
      <w:bookmarkEnd w:id="9603"/>
      <w:bookmarkEnd w:id="9604"/>
      <w:bookmarkEnd w:id="9605"/>
      <w:bookmarkEnd w:id="9606"/>
      <w:bookmarkEnd w:id="9607"/>
      <w:bookmarkEnd w:id="9608"/>
      <w:bookmarkEnd w:id="9609"/>
    </w:p>
    <w:p w14:paraId="14ED5A77" w14:textId="6C43D666" w:rsidR="005271FE" w:rsidRPr="00ED6630" w:rsidRDefault="005271FE" w:rsidP="0080187E">
      <w:pPr>
        <w:pStyle w:val="Clause"/>
        <w:numPr>
          <w:ilvl w:val="0"/>
          <w:numId w:val="386"/>
        </w:numPr>
      </w:pPr>
      <w:r w:rsidRPr="00E05E29">
        <w:t xml:space="preserve">The cross section of diagonal bracings should be of class 1 in DC3 and class 1 or 2 in DC2 according to </w:t>
      </w:r>
      <w:r w:rsidR="00867476">
        <w:t>EN 1993-1-1</w:t>
      </w:r>
      <w:r w:rsidRPr="005271FE">
        <w:t>:</w:t>
      </w:r>
      <w:r w:rsidRPr="00FD2AE7">
        <w:t>20</w:t>
      </w:r>
      <w:r w:rsidR="00867476" w:rsidRPr="00FD2AE7">
        <w:t>22</w:t>
      </w:r>
      <w:r w:rsidRPr="00FD2AE7">
        <w:t>, 5.5. For DC3</w:t>
      </w:r>
      <w:r w:rsidRPr="00ED6630">
        <w:t xml:space="preserve"> frames, a) and b) should be also fulfilled:</w:t>
      </w:r>
    </w:p>
    <w:p w14:paraId="70B4529B" w14:textId="198CFA3E" w:rsidR="005271FE" w:rsidRPr="00ED6630" w:rsidRDefault="005271FE" w:rsidP="0080187E">
      <w:pPr>
        <w:pStyle w:val="Text"/>
        <w:numPr>
          <w:ilvl w:val="0"/>
          <w:numId w:val="646"/>
        </w:numPr>
      </w:pPr>
      <w:r w:rsidRPr="00ED6630">
        <w:t xml:space="preserve">If circular hollow sections are used for diagonal bracings, their local slenderness </w:t>
      </w:r>
      <w:r w:rsidRPr="00ED6630">
        <w:rPr>
          <w:i/>
        </w:rPr>
        <w:t>D</w:t>
      </w:r>
      <w:r w:rsidRPr="00ED6630">
        <w:t>/</w:t>
      </w:r>
      <w:r w:rsidRPr="00ED6630">
        <w:rPr>
          <w:i/>
        </w:rPr>
        <w:t xml:space="preserve">t </w:t>
      </w:r>
      <w:r w:rsidRPr="00ED6630">
        <w:t xml:space="preserve">should not be greater than </w:t>
      </w:r>
      <m:oMath>
        <m:r>
          <w:rPr>
            <w:rFonts w:ascii="Cambria Math" w:hAnsi="Cambria Math"/>
          </w:rPr>
          <m:t>47,4</m:t>
        </m:r>
        <m:f>
          <m:fPr>
            <m:ctrlPr>
              <w:rPr>
                <w:rFonts w:ascii="Cambria Math" w:hAnsi="Cambria Math"/>
                <w:i/>
              </w:rPr>
            </m:ctrlPr>
          </m:fPr>
          <m:num>
            <m:sSup>
              <m:sSupPr>
                <m:ctrlPr>
                  <w:rPr>
                    <w:rFonts w:ascii="Cambria Math" w:hAnsi="Cambria Math"/>
                    <w:i/>
                  </w:rPr>
                </m:ctrlPr>
              </m:sSupPr>
              <m:e>
                <m:r>
                  <w:rPr>
                    <w:rFonts w:ascii="Cambria Math" w:hAnsi="Cambria Math"/>
                  </w:rPr>
                  <m:t>ε</m:t>
                </m:r>
              </m:e>
              <m:sup>
                <m:r>
                  <w:rPr>
                    <w:rFonts w:ascii="Cambria Math" w:hAnsi="Cambria Math"/>
                  </w:rPr>
                  <m:t>2</m:t>
                </m:r>
              </m:sup>
            </m:sSup>
          </m:num>
          <m:den>
            <m:sSub>
              <m:sSubPr>
                <m:ctrlPr>
                  <w:rPr>
                    <w:rFonts w:ascii="Cambria Math" w:hAnsi="Cambria Math"/>
                    <w:i/>
                  </w:rPr>
                </m:ctrlPr>
              </m:sSubPr>
              <m:e>
                <m:r>
                  <w:rPr>
                    <w:rFonts w:ascii="Cambria Math" w:hAnsi="Cambria Math"/>
                  </w:rPr>
                  <m:t>ω</m:t>
                </m:r>
              </m:e>
              <m:sub>
                <m:r>
                  <m:rPr>
                    <m:sty m:val="p"/>
                  </m:rPr>
                  <w:rPr>
                    <w:rFonts w:ascii="Cambria Math" w:hAnsi="Cambria Math"/>
                  </w:rPr>
                  <m:t>rm</m:t>
                </m:r>
              </m:sub>
            </m:sSub>
          </m:den>
        </m:f>
      </m:oMath>
      <w:r w:rsidRPr="00ED6630">
        <w:t xml:space="preserve">, where </w:t>
      </w:r>
      <w:r w:rsidRPr="00ED6630">
        <w:rPr>
          <w:i/>
        </w:rPr>
        <w:t>D</w:t>
      </w:r>
      <w:r w:rsidRPr="00ED6630">
        <w:t xml:space="preserve"> is the external diametre and</w:t>
      </w:r>
      <w:r w:rsidRPr="00ED6630">
        <w:rPr>
          <w:i/>
        </w:rPr>
        <w:t xml:space="preserve"> t</w:t>
      </w:r>
      <w:r w:rsidRPr="00ED6630">
        <w:t xml:space="preserve"> the thickness of the cross section and </w:t>
      </w:r>
      <m:oMath>
        <m:r>
          <w:rPr>
            <w:rFonts w:ascii="Cambria Math" w:hAnsi="Cambria Math"/>
          </w:rPr>
          <m:t>ε=</m:t>
        </m:r>
        <m:rad>
          <m:radPr>
            <m:degHide m:val="1"/>
            <m:ctrlPr>
              <w:rPr>
                <w:rFonts w:ascii="Cambria Math" w:hAnsi="Cambria Math"/>
                <w:i/>
              </w:rPr>
            </m:ctrlPr>
          </m:radPr>
          <m:deg/>
          <m:e>
            <m:f>
              <m:fPr>
                <m:type m:val="lin"/>
                <m:ctrlPr>
                  <w:rPr>
                    <w:rFonts w:ascii="Cambria Math" w:hAnsi="Cambria Math"/>
                    <w:i/>
                  </w:rPr>
                </m:ctrlPr>
              </m:fPr>
              <m:num>
                <m:r>
                  <w:rPr>
                    <w:rFonts w:ascii="Cambria Math" w:hAnsi="Cambria Math"/>
                  </w:rPr>
                  <m:t>235</m:t>
                </m:r>
              </m:num>
              <m:den>
                <m:sSub>
                  <m:sSubPr>
                    <m:ctrlPr>
                      <w:rPr>
                        <w:rFonts w:ascii="Cambria Math" w:hAnsi="Cambria Math"/>
                        <w:i/>
                      </w:rPr>
                    </m:ctrlPr>
                  </m:sSubPr>
                  <m:e>
                    <m:r>
                      <w:rPr>
                        <w:rFonts w:ascii="Cambria Math" w:hAnsi="Cambria Math"/>
                      </w:rPr>
                      <m:t>f</m:t>
                    </m:r>
                  </m:e>
                  <m:sub>
                    <m:r>
                      <m:rPr>
                        <m:sty m:val="p"/>
                      </m:rPr>
                      <w:rPr>
                        <w:rFonts w:ascii="Cambria Math" w:hAnsi="Cambria Math"/>
                      </w:rPr>
                      <m:t>y</m:t>
                    </m:r>
                  </m:sub>
                </m:sSub>
              </m:den>
            </m:f>
          </m:e>
        </m:rad>
      </m:oMath>
      <w:r w:rsidRPr="00ED6630">
        <w:t>;</w:t>
      </w:r>
    </w:p>
    <w:p w14:paraId="50D1FA2C" w14:textId="1E5CC9B2" w:rsidR="005271FE" w:rsidRPr="00ED6630" w:rsidRDefault="005271FE" w:rsidP="0080187E">
      <w:pPr>
        <w:pStyle w:val="Text"/>
        <w:numPr>
          <w:ilvl w:val="0"/>
          <w:numId w:val="646"/>
        </w:numPr>
      </w:pPr>
      <w:r w:rsidRPr="00ED6630">
        <w:t xml:space="preserve">If either rectangular or square hollow sections are used for diagonal bracings, their maximum local slenderness </w:t>
      </w:r>
      <w:r w:rsidRPr="00ED6630">
        <w:rPr>
          <w:i/>
        </w:rPr>
        <w:t>c</w:t>
      </w:r>
      <w:r w:rsidRPr="00ED6630">
        <w:t>/</w:t>
      </w:r>
      <w:r w:rsidRPr="00ED6630">
        <w:rPr>
          <w:i/>
        </w:rPr>
        <w:t>t</w:t>
      </w:r>
      <w:r w:rsidRPr="00ED6630">
        <w:t xml:space="preserve"> should not be greater than </w:t>
      </w:r>
      <m:oMath>
        <m:r>
          <w:rPr>
            <w:rFonts w:ascii="Cambria Math" w:hAnsi="Cambria Math"/>
          </w:rPr>
          <m:t>19,4</m:t>
        </m:r>
        <m:f>
          <m:fPr>
            <m:ctrlPr>
              <w:rPr>
                <w:rFonts w:ascii="Cambria Math" w:hAnsi="Cambria Math"/>
                <w:i/>
              </w:rPr>
            </m:ctrlPr>
          </m:fPr>
          <m:num>
            <m:r>
              <w:rPr>
                <w:rFonts w:ascii="Cambria Math" w:hAnsi="Cambria Math"/>
              </w:rPr>
              <m:t>ε</m:t>
            </m:r>
          </m:num>
          <m:den>
            <m:rad>
              <m:radPr>
                <m:degHide m:val="1"/>
                <m:ctrlPr>
                  <w:rPr>
                    <w:rFonts w:ascii="Cambria Math" w:hAnsi="Cambria Math"/>
                    <w:i/>
                  </w:rPr>
                </m:ctrlPr>
              </m:radPr>
              <m:deg/>
              <m:e>
                <m:sSub>
                  <m:sSubPr>
                    <m:ctrlPr>
                      <w:rPr>
                        <w:rFonts w:ascii="Cambria Math" w:hAnsi="Cambria Math"/>
                        <w:i/>
                      </w:rPr>
                    </m:ctrlPr>
                  </m:sSubPr>
                  <m:e>
                    <m:r>
                      <w:rPr>
                        <w:rFonts w:ascii="Cambria Math" w:hAnsi="Cambria Math"/>
                      </w:rPr>
                      <m:t>ω</m:t>
                    </m:r>
                  </m:e>
                  <m:sub>
                    <m:r>
                      <m:rPr>
                        <m:sty m:val="p"/>
                      </m:rPr>
                      <w:rPr>
                        <w:rFonts w:ascii="Cambria Math" w:hAnsi="Cambria Math"/>
                      </w:rPr>
                      <m:t>rm</m:t>
                    </m:r>
                  </m:sub>
                </m:sSub>
              </m:e>
            </m:rad>
          </m:den>
        </m:f>
      </m:oMath>
      <w:r w:rsidRPr="00ED6630">
        <w:t xml:space="preserve">, where </w:t>
      </w:r>
      <w:bookmarkStart w:id="9610" w:name="_Hlk38810464"/>
      <w:r w:rsidRPr="00ED6630">
        <w:rPr>
          <w:i/>
        </w:rPr>
        <w:t>c</w:t>
      </w:r>
      <w:r w:rsidRPr="00ED6630">
        <w:t xml:space="preserve"> is the side width </w:t>
      </w:r>
      <w:bookmarkEnd w:id="9610"/>
      <w:r w:rsidRPr="00ED6630">
        <w:t xml:space="preserve">in accordance with </w:t>
      </w:r>
      <w:r w:rsidRPr="005271FE">
        <w:t>EN</w:t>
      </w:r>
      <w:r w:rsidR="00FD2AE7">
        <w:t> </w:t>
      </w:r>
      <w:r w:rsidRPr="005271FE">
        <w:t>1993-1</w:t>
      </w:r>
      <w:r w:rsidR="00FD2AE7">
        <w:t>-1</w:t>
      </w:r>
      <w:r w:rsidRPr="005271FE">
        <w:t xml:space="preserve"> a</w:t>
      </w:r>
      <w:r w:rsidRPr="00ED6630">
        <w:t xml:space="preserve">nd </w:t>
      </w:r>
      <w:r w:rsidRPr="00ED6630">
        <w:rPr>
          <w:i/>
        </w:rPr>
        <w:t>t</w:t>
      </w:r>
      <w:r w:rsidRPr="00ED6630">
        <w:t xml:space="preserve"> the thickness of the cross section.</w:t>
      </w:r>
    </w:p>
    <w:p w14:paraId="22773930" w14:textId="313F63EC" w:rsidR="005271FE" w:rsidRDefault="005271FE" w:rsidP="00724E4E">
      <w:pPr>
        <w:pStyle w:val="Clause"/>
      </w:pPr>
      <w:r w:rsidRPr="00644C3D">
        <w:t xml:space="preserve">The length of the bracing may be taken as the theoretical node-to-node </w:t>
      </w:r>
      <w:r w:rsidRPr="00E05E29">
        <w:t>length disregarding the gusset connections at both brace ends. The buckling length should also account for the restraint given by the brace end-connections and the mutual restraint at the mid-length connection between the diagonals of X bracings. The assum</w:t>
      </w:r>
      <w:r w:rsidRPr="00196951">
        <w:t>ed degree of connection restraint between the diagonals should be verified through analy</w:t>
      </w:r>
      <w:r w:rsidRPr="002144A0">
        <w:t xml:space="preserve">tical calculations, refined </w:t>
      </w:r>
      <w:r w:rsidRPr="00C52095">
        <w:t xml:space="preserve">numerical simulations </w:t>
      </w:r>
      <w:r w:rsidRPr="000F1A9F">
        <w:t xml:space="preserve">as defined in </w:t>
      </w:r>
      <w:r>
        <w:t>prEN</w:t>
      </w:r>
      <w:r w:rsidR="00FD2AE7">
        <w:t> </w:t>
      </w:r>
      <w:r>
        <w:t>199</w:t>
      </w:r>
      <w:r w:rsidRPr="000F1A9F">
        <w:t>3-1-14</w:t>
      </w:r>
      <w:r w:rsidR="009F3708">
        <w:t xml:space="preserve"> </w:t>
      </w:r>
      <w:r w:rsidRPr="00C52095">
        <w:t>or experimental results from the literature.</w:t>
      </w:r>
    </w:p>
    <w:p w14:paraId="52D999B0" w14:textId="225DFD12" w:rsidR="005271FE" w:rsidRPr="007754C9" w:rsidRDefault="005271FE" w:rsidP="00724E4E">
      <w:pPr>
        <w:pStyle w:val="Clause"/>
      </w:pPr>
      <w:r w:rsidRPr="003F0ED8">
        <w:t>Unless more refined data or analysis are available, the buckling length accounting for the restraint given by the brace end connections may be taken equal to 80</w:t>
      </w:r>
      <w:r w:rsidR="007D7E6D">
        <w:t> </w:t>
      </w:r>
      <w:r w:rsidRPr="003F0ED8">
        <w:t xml:space="preserve">% of its centreline (node-to-node) </w:t>
      </w:r>
      <w:r w:rsidRPr="000F1A9F">
        <w:t>length if the gusset plates are designed according to Annex E.</w:t>
      </w:r>
    </w:p>
    <w:p w14:paraId="00E9D812" w14:textId="76E1123F" w:rsidR="005271FE" w:rsidRPr="00D1484A" w:rsidRDefault="005271FE" w:rsidP="00724E4E">
      <w:pPr>
        <w:pStyle w:val="Clause"/>
      </w:pPr>
      <w:r w:rsidRPr="007754C9">
        <w:t xml:space="preserve">In DC2 frames with </w:t>
      </w:r>
      <w:r w:rsidRPr="004F74EA">
        <w:rPr>
          <w:iCs/>
        </w:rPr>
        <w:t>X</w:t>
      </w:r>
      <w:r w:rsidRPr="00132C1E">
        <w:t xml:space="preserve"> diagonal bracings, when the tension-only model is adopted, the non-dimensional slenderness </w:t>
      </w:r>
      <m:oMath>
        <m:acc>
          <m:accPr>
            <m:chr m:val="̅"/>
            <m:ctrlPr>
              <w:rPr>
                <w:rFonts w:ascii="Cambria Math" w:hAnsi="Cambria Math"/>
                <w:i/>
              </w:rPr>
            </m:ctrlPr>
          </m:accPr>
          <m:e>
            <m:r>
              <w:rPr>
                <w:rFonts w:ascii="Cambria Math" w:hAnsi="Cambria Math"/>
              </w:rPr>
              <m:t>λ</m:t>
            </m:r>
          </m:e>
        </m:acc>
      </m:oMath>
      <w:r w:rsidRPr="00132C1E">
        <w:t xml:space="preserve"> should be limited to: 1,</w:t>
      </w:r>
      <w:r w:rsidRPr="000F1A9F">
        <w:t xml:space="preserve">3 ≤ </w:t>
      </w:r>
      <m:oMath>
        <m:acc>
          <m:accPr>
            <m:chr m:val="̅"/>
            <m:ctrlPr>
              <w:rPr>
                <w:rFonts w:ascii="Cambria Math" w:hAnsi="Cambria Math"/>
                <w:i/>
              </w:rPr>
            </m:ctrlPr>
          </m:accPr>
          <m:e>
            <m:r>
              <w:rPr>
                <w:rFonts w:ascii="Cambria Math" w:hAnsi="Cambria Math"/>
              </w:rPr>
              <m:t>λ</m:t>
            </m:r>
          </m:e>
        </m:acc>
      </m:oMath>
      <w:r w:rsidRPr="000F1A9F">
        <w:t xml:space="preserve"> </w:t>
      </w:r>
      <w:r w:rsidRPr="004F74EA">
        <w:rPr>
          <w:rFonts w:ascii="Symbol" w:eastAsia="Symbol" w:hAnsi="Symbol" w:cs="Symbol"/>
        </w:rPr>
        <w:t></w:t>
      </w:r>
      <w:r w:rsidRPr="000F1A9F">
        <w:t xml:space="preserve"> 2,5.</w:t>
      </w:r>
    </w:p>
    <w:p w14:paraId="2612E9EE" w14:textId="3385E6A2" w:rsidR="005271FE" w:rsidRPr="00D1484A" w:rsidRDefault="005271FE" w:rsidP="00724E4E">
      <w:pPr>
        <w:pStyle w:val="Clause"/>
      </w:pPr>
      <w:r w:rsidRPr="007E6F67">
        <w:t>In frames with tension-compression diagonal bracings (</w:t>
      </w:r>
      <w:r w:rsidRPr="005271FE">
        <w:t>see Figure 11.3</w:t>
      </w:r>
      <w:r w:rsidRPr="00FD17CF">
        <w:t xml:space="preserve">), the non-dimensional slenderness </w:t>
      </w:r>
      <m:oMath>
        <m:acc>
          <m:accPr>
            <m:chr m:val="̅"/>
            <m:ctrlPr>
              <w:rPr>
                <w:rFonts w:ascii="Cambria Math" w:hAnsi="Cambria Math"/>
                <w:i/>
              </w:rPr>
            </m:ctrlPr>
          </m:accPr>
          <m:e>
            <m:r>
              <w:rPr>
                <w:rFonts w:ascii="Cambria Math" w:hAnsi="Cambria Math"/>
              </w:rPr>
              <m:t>λ</m:t>
            </m:r>
          </m:e>
        </m:acc>
      </m:oMath>
      <w:r w:rsidRPr="00132C1E">
        <w:t xml:space="preserve"> should not be greater than 2,0 in DC3 and 2,5 in DC2.</w:t>
      </w:r>
    </w:p>
    <w:p w14:paraId="3EA51C90" w14:textId="446C99FF" w:rsidR="005271FE" w:rsidRPr="00D1484A" w:rsidRDefault="005271FE" w:rsidP="00724E4E">
      <w:pPr>
        <w:pStyle w:val="Clause"/>
      </w:pPr>
      <w:bookmarkStart w:id="9611" w:name="_Hlk1573734"/>
      <w:r w:rsidRPr="00D1484A">
        <w:t xml:space="preserve">In structures of up to two storeys with tension-compression diagonal bracings, there is no limitation of non-dimensional slenderness </w:t>
      </w:r>
      <m:oMath>
        <m:acc>
          <m:accPr>
            <m:chr m:val="̅"/>
            <m:ctrlPr>
              <w:rPr>
                <w:rFonts w:ascii="Cambria Math" w:hAnsi="Cambria Math"/>
                <w:i/>
              </w:rPr>
            </m:ctrlPr>
          </m:accPr>
          <m:e>
            <m:r>
              <w:rPr>
                <w:rFonts w:ascii="Cambria Math" w:hAnsi="Cambria Math"/>
              </w:rPr>
              <m:t>λ</m:t>
            </m:r>
          </m:e>
        </m:acc>
      </m:oMath>
      <w:bookmarkEnd w:id="9611"/>
      <w:r w:rsidRPr="00132C1E">
        <w:t>.</w:t>
      </w:r>
    </w:p>
    <w:p w14:paraId="5F45A221" w14:textId="608C2D39" w:rsidR="005271FE" w:rsidRPr="00196951" w:rsidRDefault="005271FE" w:rsidP="00724E4E">
      <w:pPr>
        <w:pStyle w:val="Clause"/>
      </w:pPr>
      <w:r w:rsidRPr="00D1484A">
        <w:t xml:space="preserve">In frames designed with tension-only bracings, the yield resistance </w:t>
      </w:r>
      <w:r w:rsidRPr="004F74EA">
        <w:rPr>
          <w:i/>
        </w:rPr>
        <w:t>N</w:t>
      </w:r>
      <w:r w:rsidRPr="004F74EA">
        <w:rPr>
          <w:vertAlign w:val="subscript"/>
        </w:rPr>
        <w:t xml:space="preserve">pl,Rd </w:t>
      </w:r>
      <w:r w:rsidRPr="00FD17CF">
        <w:t xml:space="preserve"> of the gross cross-section of the diagonals should not be smaller than the axial force </w:t>
      </w:r>
      <w:r w:rsidRPr="004F74EA">
        <w:rPr>
          <w:i/>
        </w:rPr>
        <w:t>N</w:t>
      </w:r>
      <w:r w:rsidRPr="004F74EA">
        <w:rPr>
          <w:vertAlign w:val="subscript"/>
        </w:rPr>
        <w:t>Ed</w:t>
      </w:r>
      <w:r w:rsidRPr="00E05E29">
        <w:t xml:space="preserve"> in the bracing member in the seismic design situation.</w:t>
      </w:r>
    </w:p>
    <w:p w14:paraId="0D69BE08" w14:textId="7CAFCE1A" w:rsidR="005271FE" w:rsidRPr="00132C1E" w:rsidRDefault="005271FE" w:rsidP="00724E4E">
      <w:pPr>
        <w:pStyle w:val="Clause"/>
      </w:pPr>
      <w:r w:rsidRPr="002144A0">
        <w:t xml:space="preserve">In frames with tension-compression bracings, the buckling resistance </w:t>
      </w:r>
      <w:r w:rsidRPr="004F74EA">
        <w:rPr>
          <w:i/>
        </w:rPr>
        <w:t>N</w:t>
      </w:r>
      <w:r w:rsidRPr="004F74EA">
        <w:rPr>
          <w:vertAlign w:val="subscript"/>
        </w:rPr>
        <w:t xml:space="preserve">b,Rd </w:t>
      </w:r>
      <w:r w:rsidRPr="00C52095">
        <w:t>of the bracing membe</w:t>
      </w:r>
      <w:r w:rsidRPr="007754C9">
        <w:t xml:space="preserve">rs should be such that </w:t>
      </w:r>
      <w:r w:rsidRPr="004F74EA">
        <w:rPr>
          <w:i/>
        </w:rPr>
        <w:t>N</w:t>
      </w:r>
      <w:r w:rsidRPr="004F74EA">
        <w:rPr>
          <w:vertAlign w:val="subscript"/>
        </w:rPr>
        <w:t>b,Rd</w:t>
      </w:r>
      <w:r w:rsidRPr="00132C1E">
        <w:t xml:space="preserve"> </w:t>
      </w:r>
      <w:r w:rsidRPr="004F74EA">
        <w:rPr>
          <w:rFonts w:ascii="Symbol" w:eastAsia="Symbol" w:hAnsi="Symbol" w:cs="Symbol"/>
        </w:rPr>
        <w:t></w:t>
      </w:r>
      <w:r w:rsidRPr="00132C1E">
        <w:t xml:space="preserve"> </w:t>
      </w:r>
      <w:r w:rsidRPr="004F74EA">
        <w:rPr>
          <w:i/>
        </w:rPr>
        <w:t>N</w:t>
      </w:r>
      <w:r w:rsidRPr="004F74EA">
        <w:rPr>
          <w:vertAlign w:val="subscript"/>
        </w:rPr>
        <w:t>Ed</w:t>
      </w:r>
      <w:r w:rsidRPr="00132C1E">
        <w:t>.</w:t>
      </w:r>
    </w:p>
    <w:p w14:paraId="2CABFDEB" w14:textId="0C0FCDE8" w:rsidR="005271FE" w:rsidRPr="00132C1E" w:rsidRDefault="005271FE" w:rsidP="00724E4E">
      <w:pPr>
        <w:pStyle w:val="Clause"/>
      </w:pPr>
      <w:r w:rsidRPr="00132C1E">
        <w:t>In DC3 frames with tension-compression bracings and with 6 storeys or more, the bracings of the top storey should not buckle.</w:t>
      </w:r>
    </w:p>
    <w:p w14:paraId="5D38DF02" w14:textId="1BF5BE1C" w:rsidR="005271FE" w:rsidRPr="00132C1E" w:rsidRDefault="005271FE" w:rsidP="00724E4E">
      <w:pPr>
        <w:pStyle w:val="Clause"/>
      </w:pPr>
      <w:r w:rsidRPr="00132C1E">
        <w:t xml:space="preserve">To satisfy </w:t>
      </w:r>
      <w:r w:rsidRPr="00357B79">
        <w:rPr>
          <w:bCs/>
        </w:rPr>
        <w:t>(9)</w:t>
      </w:r>
      <w:r w:rsidRPr="00132C1E">
        <w:t xml:space="preserve"> in a force based approach, the buckling resistance </w:t>
      </w:r>
      <w:r w:rsidRPr="004F74EA">
        <w:rPr>
          <w:i/>
        </w:rPr>
        <w:t>N</w:t>
      </w:r>
      <w:r w:rsidRPr="004F74EA">
        <w:rPr>
          <w:vertAlign w:val="subscript"/>
        </w:rPr>
        <w:t>b,Rd</w:t>
      </w:r>
      <w:r w:rsidRPr="004F74EA">
        <w:rPr>
          <w:color w:val="FF0000"/>
          <w:vertAlign w:val="subscript"/>
        </w:rPr>
        <w:t xml:space="preserve">,ts </w:t>
      </w:r>
      <w:r w:rsidRPr="00132C1E">
        <w:t xml:space="preserve">of the bracing members at the top storey should be such that </w:t>
      </w:r>
      <w:r w:rsidRPr="004F74EA">
        <w:rPr>
          <w:i/>
        </w:rPr>
        <w:t>N</w:t>
      </w:r>
      <w:r w:rsidRPr="004F74EA">
        <w:rPr>
          <w:vertAlign w:val="subscript"/>
        </w:rPr>
        <w:t>b,Rd,ts</w:t>
      </w:r>
      <w:r w:rsidRPr="00132C1E">
        <w:t xml:space="preserve"> </w:t>
      </w:r>
      <w:r w:rsidRPr="004F74EA">
        <w:rPr>
          <w:rFonts w:ascii="Symbol" w:eastAsia="Symbol" w:hAnsi="Symbol" w:cs="Symbol"/>
        </w:rPr>
        <w:t></w:t>
      </w:r>
      <w:r w:rsidRPr="00132C1E">
        <w:t xml:space="preserve"> </w:t>
      </w:r>
      <w:r w:rsidRPr="004F74EA">
        <w:rPr>
          <w:i/>
        </w:rPr>
        <w:t>N</w:t>
      </w:r>
      <w:r w:rsidRPr="004F74EA">
        <w:rPr>
          <w:vertAlign w:val="subscript"/>
        </w:rPr>
        <w:t>Ed,ts</w:t>
      </w:r>
      <w:r w:rsidRPr="00132C1E">
        <w:t xml:space="preserve">, with </w:t>
      </w:r>
      <w:r w:rsidRPr="004F74EA">
        <w:rPr>
          <w:i/>
        </w:rPr>
        <w:t>N</w:t>
      </w:r>
      <w:r w:rsidRPr="004F74EA">
        <w:rPr>
          <w:vertAlign w:val="subscript"/>
        </w:rPr>
        <w:t>Ed,ts</w:t>
      </w:r>
      <w:r w:rsidRPr="00132C1E">
        <w:t xml:space="preserve"> </w:t>
      </w:r>
      <w:r w:rsidRPr="007775AA">
        <w:t>from Formula (11.19).</w:t>
      </w:r>
    </w:p>
    <w:p w14:paraId="774EA658" w14:textId="41A6070C" w:rsidR="007775AA" w:rsidRDefault="009B5CEC" w:rsidP="007775AA">
      <w:pPr>
        <w:pStyle w:val="Formula"/>
        <w:spacing w:before="240"/>
      </w:pPr>
      <m:oMath>
        <m:sSub>
          <m:sSubPr>
            <m:ctrlPr>
              <w:rPr>
                <w:rFonts w:ascii="Cambria Math" w:hAnsi="Cambria Math"/>
                <w:i/>
                <w:noProof/>
              </w:rPr>
            </m:ctrlPr>
          </m:sSubPr>
          <m:e>
            <m:r>
              <w:rPr>
                <w:rFonts w:ascii="Cambria Math" w:hAnsi="Cambria Math"/>
                <w:noProof/>
              </w:rPr>
              <m:t>N</m:t>
            </m:r>
          </m:e>
          <m:sub>
            <m:r>
              <m:rPr>
                <m:sty m:val="p"/>
              </m:rPr>
              <w:rPr>
                <w:rFonts w:ascii="Cambria Math" w:hAnsi="Cambria Math"/>
                <w:noProof/>
              </w:rPr>
              <m:t>Ed,ts</m:t>
            </m:r>
          </m:sub>
        </m:sSub>
        <m:r>
          <w:rPr>
            <w:rFonts w:ascii="Cambria Math" w:hAnsi="Cambria Math"/>
            <w:noProof/>
          </w:rPr>
          <m:t>=</m:t>
        </m:r>
        <m:sSub>
          <m:sSubPr>
            <m:ctrlPr>
              <w:rPr>
                <w:rFonts w:ascii="Cambria Math" w:hAnsi="Cambria Math"/>
                <w:i/>
                <w:noProof/>
              </w:rPr>
            </m:ctrlPr>
          </m:sSubPr>
          <m:e>
            <m:r>
              <w:rPr>
                <w:rFonts w:ascii="Cambria Math" w:hAnsi="Cambria Math"/>
                <w:noProof/>
              </w:rPr>
              <m:t>N</m:t>
            </m:r>
          </m:e>
          <m:sub>
            <m:r>
              <m:rPr>
                <m:sty m:val="p"/>
              </m:rPr>
              <w:rPr>
                <w:rFonts w:ascii="Cambria Math" w:hAnsi="Cambria Math"/>
                <w:noProof/>
              </w:rPr>
              <m:t>Ed,G,ts</m:t>
            </m:r>
          </m:sub>
        </m:sSub>
        <m:r>
          <w:rPr>
            <w:rFonts w:ascii="Cambria Math" w:hAnsi="Cambria Math"/>
            <w:noProof/>
          </w:rPr>
          <m:t xml:space="preserve"> </m:t>
        </m:r>
        <m:r>
          <m:rPr>
            <m:nor/>
          </m:rPr>
          <w:rPr>
            <w:rFonts w:ascii="Cambria Math" w:hAnsi="Cambria Math"/>
            <w:noProof/>
          </w:rPr>
          <m:t>+</m:t>
        </m:r>
        <m:r>
          <w:rPr>
            <w:rFonts w:ascii="Cambria Math" w:hAnsi="Cambria Math"/>
            <w:noProof/>
          </w:rPr>
          <m:t xml:space="preserve">q </m:t>
        </m:r>
        <m:sSub>
          <m:sSubPr>
            <m:ctrlPr>
              <w:rPr>
                <w:rFonts w:ascii="Cambria Math" w:hAnsi="Cambria Math"/>
                <w:i/>
                <w:noProof/>
              </w:rPr>
            </m:ctrlPr>
          </m:sSubPr>
          <m:e>
            <m:r>
              <w:rPr>
                <w:rFonts w:ascii="Cambria Math" w:hAnsi="Cambria Math"/>
                <w:noProof/>
              </w:rPr>
              <m:t>N</m:t>
            </m:r>
          </m:e>
          <m:sub>
            <m:r>
              <m:rPr>
                <m:sty m:val="p"/>
              </m:rPr>
              <w:rPr>
                <w:rFonts w:ascii="Cambria Math" w:hAnsi="Cambria Math"/>
                <w:noProof/>
              </w:rPr>
              <m:t>Ed,E,ts</m:t>
            </m:r>
          </m:sub>
        </m:sSub>
      </m:oMath>
      <w:r w:rsidR="007775AA" w:rsidRPr="00870D59">
        <w:tab/>
        <w:t>(1</w:t>
      </w:r>
      <w:r w:rsidR="007775AA">
        <w:t>1</w:t>
      </w:r>
      <w:r w:rsidR="007775AA" w:rsidRPr="00870D59">
        <w:t>.</w:t>
      </w:r>
      <w:r w:rsidR="007775AA">
        <w:t>19</w:t>
      </w:r>
      <w:r w:rsidR="007775AA" w:rsidRPr="00870D59">
        <w:t>)</w:t>
      </w:r>
    </w:p>
    <w:p w14:paraId="1F506B84" w14:textId="4887A55E" w:rsidR="007775AA" w:rsidRDefault="00675EBA" w:rsidP="007775AA">
      <w:r>
        <w:t>where</w:t>
      </w:r>
    </w:p>
    <w:tbl>
      <w:tblPr>
        <w:tblW w:w="0" w:type="auto"/>
        <w:tblInd w:w="284" w:type="dxa"/>
        <w:tblLook w:val="04A0" w:firstRow="1" w:lastRow="0" w:firstColumn="1" w:lastColumn="0" w:noHBand="0" w:noVBand="1"/>
      </w:tblPr>
      <w:tblGrid>
        <w:gridCol w:w="1438"/>
        <w:gridCol w:w="7841"/>
      </w:tblGrid>
      <w:tr w:rsidR="007775AA" w:rsidRPr="00821B21" w14:paraId="0AE8E3E8" w14:textId="77777777" w:rsidTr="007D7E6D">
        <w:tc>
          <w:tcPr>
            <w:tcW w:w="1438" w:type="dxa"/>
          </w:tcPr>
          <w:p w14:paraId="6B397002" w14:textId="329240C8" w:rsidR="007775AA" w:rsidRPr="00821B21" w:rsidRDefault="007775AA" w:rsidP="002061E5">
            <w:pPr>
              <w:spacing w:after="60"/>
              <w:rPr>
                <w:rFonts w:eastAsia="Times New Roman" w:cs="Cambria"/>
                <w:szCs w:val="20"/>
                <w:lang w:eastAsia="fr-FR"/>
              </w:rPr>
            </w:pPr>
            <w:r w:rsidRPr="00D1484A">
              <w:rPr>
                <w:i/>
              </w:rPr>
              <w:t>N</w:t>
            </w:r>
            <w:r w:rsidRPr="007E6F67">
              <w:rPr>
                <w:vertAlign w:val="subscript"/>
              </w:rPr>
              <w:t>Ed,G,ts</w:t>
            </w:r>
          </w:p>
        </w:tc>
        <w:tc>
          <w:tcPr>
            <w:tcW w:w="7841" w:type="dxa"/>
          </w:tcPr>
          <w:p w14:paraId="158ADA64" w14:textId="1D3BEAE0" w:rsidR="007775AA" w:rsidRPr="00821B21" w:rsidRDefault="007775AA" w:rsidP="002061E5">
            <w:pPr>
              <w:spacing w:after="60"/>
              <w:rPr>
                <w:rFonts w:eastAsia="Times New Roman" w:cs="Cambria"/>
                <w:szCs w:val="20"/>
                <w:lang w:eastAsia="fr-FR"/>
              </w:rPr>
            </w:pPr>
            <w:r w:rsidRPr="00FD17CF">
              <w:t>is the axial force due to non</w:t>
            </w:r>
            <w:r w:rsidR="00481078">
              <w:t>-</w:t>
            </w:r>
            <w:r w:rsidRPr="00FD17CF">
              <w:t>seismic actions in the seismic design situation;</w:t>
            </w:r>
          </w:p>
        </w:tc>
      </w:tr>
      <w:tr w:rsidR="007775AA" w:rsidRPr="00870D59" w14:paraId="1E455A4E" w14:textId="77777777" w:rsidTr="007D7E6D">
        <w:tc>
          <w:tcPr>
            <w:tcW w:w="1438" w:type="dxa"/>
          </w:tcPr>
          <w:p w14:paraId="237BE9E4" w14:textId="30F76EA0" w:rsidR="007775AA" w:rsidRPr="00D1484A" w:rsidRDefault="007775AA" w:rsidP="002061E5">
            <w:pPr>
              <w:spacing w:after="60"/>
              <w:rPr>
                <w:i/>
                <w:iCs/>
              </w:rPr>
            </w:pPr>
            <w:r w:rsidRPr="00644C3D">
              <w:rPr>
                <w:i/>
              </w:rPr>
              <w:lastRenderedPageBreak/>
              <w:t>N</w:t>
            </w:r>
            <w:r w:rsidRPr="00E05E29">
              <w:rPr>
                <w:vertAlign w:val="subscript"/>
              </w:rPr>
              <w:t>Ed,E,ts</w:t>
            </w:r>
          </w:p>
        </w:tc>
        <w:tc>
          <w:tcPr>
            <w:tcW w:w="7841" w:type="dxa"/>
          </w:tcPr>
          <w:p w14:paraId="63C8828D" w14:textId="1E333728" w:rsidR="007775AA" w:rsidRPr="00821B21" w:rsidRDefault="007775AA" w:rsidP="002061E5">
            <w:r w:rsidRPr="00E05E29">
              <w:t>is the axial force due to seismic actions;</w:t>
            </w:r>
          </w:p>
        </w:tc>
      </w:tr>
      <w:tr w:rsidR="007775AA" w:rsidRPr="00870D59" w14:paraId="625379B0" w14:textId="77777777" w:rsidTr="007D7E6D">
        <w:tc>
          <w:tcPr>
            <w:tcW w:w="1438" w:type="dxa"/>
          </w:tcPr>
          <w:p w14:paraId="65A61835" w14:textId="36F666E0" w:rsidR="007775AA" w:rsidRPr="00FD17CF" w:rsidRDefault="007775AA" w:rsidP="002061E5">
            <w:pPr>
              <w:spacing w:after="60"/>
              <w:rPr>
                <w:i/>
              </w:rPr>
            </w:pPr>
            <w:r w:rsidRPr="00E05E29">
              <w:rPr>
                <w:i/>
              </w:rPr>
              <w:t>q</w:t>
            </w:r>
          </w:p>
        </w:tc>
        <w:tc>
          <w:tcPr>
            <w:tcW w:w="7841" w:type="dxa"/>
          </w:tcPr>
          <w:p w14:paraId="2FFB9A19" w14:textId="6E9C8A52" w:rsidR="007775AA" w:rsidRPr="00644C3D" w:rsidRDefault="007775AA" w:rsidP="002061E5">
            <w:r w:rsidRPr="00E05E29">
              <w:t>is the behaviour factor.</w:t>
            </w:r>
          </w:p>
        </w:tc>
      </w:tr>
    </w:tbl>
    <w:p w14:paraId="20F6354F" w14:textId="38E6968D" w:rsidR="007775AA" w:rsidRPr="00E05E29" w:rsidRDefault="007775AA" w:rsidP="00724E4E">
      <w:pPr>
        <w:pStyle w:val="Clause"/>
      </w:pPr>
      <w:r w:rsidRPr="00E05E29">
        <w:t xml:space="preserve">The connections of the diagonals to any member should </w:t>
      </w:r>
      <w:r w:rsidRPr="007775AA">
        <w:t xml:space="preserve">satisfy </w:t>
      </w:r>
      <w:r w:rsidRPr="00357B79">
        <w:rPr>
          <w:bCs/>
        </w:rPr>
        <w:t xml:space="preserve">11.8.6(1)a), (2) </w:t>
      </w:r>
      <w:r w:rsidRPr="003B0C2D">
        <w:rPr>
          <w:bCs/>
        </w:rPr>
        <w:t xml:space="preserve">and </w:t>
      </w:r>
      <w:r w:rsidRPr="00357B79">
        <w:rPr>
          <w:bCs/>
        </w:rPr>
        <w:t>(3)</w:t>
      </w:r>
      <w:r w:rsidRPr="003B0C2D">
        <w:rPr>
          <w:bCs/>
        </w:rPr>
        <w:t>.</w:t>
      </w:r>
      <w:r w:rsidRPr="007775AA">
        <w:t xml:space="preserve"> The required resistance of the brace connection should satisfy 11.8.6(1)a), (2) and Formula (11.4), with </w:t>
      </w:r>
      <w:r w:rsidRPr="004F74EA">
        <w:rPr>
          <w:rFonts w:ascii="Symbol" w:hAnsi="Symbol"/>
          <w:i/>
        </w:rPr>
        <w:t></w:t>
      </w:r>
      <w:r w:rsidRPr="004F74EA">
        <w:rPr>
          <w:vertAlign w:val="subscript"/>
        </w:rPr>
        <w:t>sh</w:t>
      </w:r>
      <w:r w:rsidRPr="007775AA">
        <w:t xml:space="preserve"> from Table</w:t>
      </w:r>
      <w:r w:rsidR="007D7E6D">
        <w:t> </w:t>
      </w:r>
      <w:r w:rsidRPr="007775AA">
        <w:t>11.</w:t>
      </w:r>
      <w:r w:rsidR="00481078">
        <w:t>10</w:t>
      </w:r>
      <w:r w:rsidRPr="007775AA">
        <w:t xml:space="preserve"> for DC3 and </w:t>
      </w:r>
      <w:r w:rsidRPr="004F74EA">
        <w:rPr>
          <w:rFonts w:ascii="Symbol" w:hAnsi="Symbol"/>
          <w:i/>
        </w:rPr>
        <w:t></w:t>
      </w:r>
      <w:r w:rsidRPr="004F74EA">
        <w:rPr>
          <w:vertAlign w:val="subscript"/>
        </w:rPr>
        <w:t>sh</w:t>
      </w:r>
      <w:r w:rsidRPr="007775AA">
        <w:t xml:space="preserve"> = 1,1 for DC2. The net area of the brace cross-section in the </w:t>
      </w:r>
      <w:r w:rsidRPr="000F1A9F">
        <w:t xml:space="preserve">joint zone (i.e. the area with deductions </w:t>
      </w:r>
      <w:r w:rsidRPr="00E05E29">
        <w:t>for all holes and other openings) should be increased such that its axial resistance is not smaller than the axial resistance of its corresponding gross area.</w:t>
      </w:r>
    </w:p>
    <w:p w14:paraId="2067E9FA" w14:textId="012A6E47" w:rsidR="007775AA" w:rsidRPr="00E05E29" w:rsidRDefault="007775AA" w:rsidP="00724E4E">
      <w:pPr>
        <w:pStyle w:val="Clause"/>
      </w:pPr>
      <w:r w:rsidRPr="00E05E29">
        <w:t xml:space="preserve">In </w:t>
      </w:r>
      <w:r w:rsidRPr="007775AA">
        <w:t xml:space="preserve">DC3 frames, at all storey with the exception of the top storey, the maximum buckling overstrength </w:t>
      </w:r>
      <w:r w:rsidRPr="004F74EA">
        <w:rPr>
          <w:rFonts w:ascii="Symbol" w:eastAsia="Symbol" w:hAnsi="Symbol" w:cs="Symbol"/>
          <w:i/>
        </w:rPr>
        <w:t></w:t>
      </w:r>
      <w:r w:rsidRPr="004F74EA">
        <w:rPr>
          <w:vertAlign w:val="subscript"/>
        </w:rPr>
        <w:t xml:space="preserve">b,i </w:t>
      </w:r>
      <w:r w:rsidRPr="007775AA">
        <w:t xml:space="preserve">in the structure should not differ from the minimum value </w:t>
      </w:r>
      <w:r w:rsidRPr="004F74EA">
        <w:rPr>
          <w:rFonts w:ascii="Symbol" w:eastAsia="Symbol" w:hAnsi="Symbol" w:cs="Symbol"/>
          <w:i/>
        </w:rPr>
        <w:t></w:t>
      </w:r>
      <w:r w:rsidRPr="004F74EA">
        <w:rPr>
          <w:vertAlign w:val="subscript"/>
        </w:rPr>
        <w:t>b</w:t>
      </w:r>
      <w:r w:rsidRPr="007775AA">
        <w:t xml:space="preserve"> by more than 25</w:t>
      </w:r>
      <w:r w:rsidR="007D7E6D">
        <w:t> </w:t>
      </w:r>
      <w:r w:rsidRPr="007775AA">
        <w:t xml:space="preserve">%, with </w:t>
      </w:r>
      <w:r w:rsidRPr="004F74EA">
        <w:rPr>
          <w:rFonts w:ascii="Symbol" w:eastAsia="Symbol" w:hAnsi="Symbol" w:cs="Symbol"/>
          <w:i/>
        </w:rPr>
        <w:t></w:t>
      </w:r>
      <w:r w:rsidRPr="004F74EA">
        <w:rPr>
          <w:vertAlign w:val="subscript"/>
        </w:rPr>
        <w:t xml:space="preserve">b,i </w:t>
      </w:r>
      <w:r w:rsidRPr="007775AA">
        <w:t>from Formula (11.20).</w:t>
      </w:r>
    </w:p>
    <w:p w14:paraId="2DB330C4" w14:textId="124D3F70" w:rsidR="007775AA" w:rsidRDefault="009B5CEC" w:rsidP="007775AA">
      <w:pPr>
        <w:pStyle w:val="Formula"/>
        <w:spacing w:before="240"/>
      </w:pPr>
      <m:oMath>
        <m:sSub>
          <m:sSubPr>
            <m:ctrlPr>
              <w:rPr>
                <w:rFonts w:ascii="Cambria Math" w:hAnsi="Cambria Math"/>
              </w:rPr>
            </m:ctrlPr>
          </m:sSubPr>
          <m:e>
            <m:r>
              <w:rPr>
                <w:rFonts w:ascii="Cambria Math" w:hAnsi="Cambria Math"/>
              </w:rPr>
              <m:t>Ω</m:t>
            </m:r>
          </m:e>
          <m:sub>
            <m:r>
              <m:rPr>
                <m:sty m:val="p"/>
              </m:rPr>
              <w:rPr>
                <w:rFonts w:ascii="Cambria Math" w:hAnsi="Cambria Math"/>
              </w:rPr>
              <m:t>b</m:t>
            </m:r>
          </m:sub>
        </m:sSub>
        <m:r>
          <w:rPr>
            <w:rFonts w:ascii="Cambria Math" w:hAnsi="Cambria Math"/>
          </w:rPr>
          <m:t>=</m:t>
        </m:r>
        <m:r>
          <m:rPr>
            <m:sty m:val="p"/>
          </m:rPr>
          <w:rPr>
            <w:rFonts w:ascii="Cambria Math" w:hAnsi="Cambria Math"/>
          </w:rPr>
          <m:t>min</m:t>
        </m:r>
        <m:d>
          <m:dPr>
            <m:ctrlPr>
              <w:rPr>
                <w:rFonts w:ascii="Cambria Math" w:hAnsi="Cambria Math"/>
              </w:rPr>
            </m:ctrlPr>
          </m:dPr>
          <m:e>
            <m:sSub>
              <m:sSubPr>
                <m:ctrlPr>
                  <w:rPr>
                    <w:rFonts w:ascii="Cambria Math" w:hAnsi="Cambria Math"/>
                  </w:rPr>
                </m:ctrlPr>
              </m:sSubPr>
              <m:e>
                <m:r>
                  <w:rPr>
                    <w:rFonts w:ascii="Cambria Math" w:hAnsi="Cambria Math"/>
                  </w:rPr>
                  <m:t>Ω</m:t>
                </m:r>
              </m:e>
              <m:sub>
                <m:r>
                  <m:rPr>
                    <m:sty m:val="p"/>
                  </m:rPr>
                  <w:rPr>
                    <w:rFonts w:ascii="Cambria Math" w:hAnsi="Cambria Math"/>
                  </w:rPr>
                  <m:t>b,i</m:t>
                </m:r>
              </m:sub>
            </m:sSub>
          </m:e>
        </m:d>
        <m:r>
          <m:rPr>
            <m:sty m:val="p"/>
          </m:rPr>
          <w:rPr>
            <w:rFonts w:ascii="Cambria Math" w:hAnsi="Cambria Math"/>
          </w:rPr>
          <m:t xml:space="preserve"> and </m:t>
        </m:r>
        <m:sSub>
          <m:sSubPr>
            <m:ctrlPr>
              <w:rPr>
                <w:rFonts w:ascii="Cambria Math" w:hAnsi="Cambria Math"/>
              </w:rPr>
            </m:ctrlPr>
          </m:sSubPr>
          <m:e>
            <m:r>
              <w:rPr>
                <w:rFonts w:ascii="Cambria Math" w:hAnsi="Cambria Math"/>
              </w:rPr>
              <m:t>Ω</m:t>
            </m:r>
          </m:e>
          <m:sub>
            <m:r>
              <m:rPr>
                <m:sty m:val="p"/>
              </m:rPr>
              <w:rPr>
                <w:rFonts w:ascii="Cambria Math" w:hAnsi="Cambria Math"/>
              </w:rPr>
              <m:t>b,i</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N</m:t>
                </m:r>
              </m:e>
              <m:sub>
                <m:r>
                  <m:rPr>
                    <m:sty m:val="p"/>
                  </m:rPr>
                  <w:rPr>
                    <w:rFonts w:ascii="Cambria Math" w:hAnsi="Cambria Math"/>
                  </w:rPr>
                  <m:t>b,Rd,i</m:t>
                </m:r>
              </m:sub>
            </m:sSub>
          </m:num>
          <m:den>
            <m:sSub>
              <m:sSubPr>
                <m:ctrlPr>
                  <w:rPr>
                    <w:rFonts w:ascii="Cambria Math" w:hAnsi="Cambria Math"/>
                  </w:rPr>
                </m:ctrlPr>
              </m:sSubPr>
              <m:e>
                <m:r>
                  <w:rPr>
                    <w:rFonts w:ascii="Cambria Math" w:hAnsi="Cambria Math"/>
                  </w:rPr>
                  <m:t>N</m:t>
                </m:r>
              </m:e>
              <m:sub>
                <m:r>
                  <m:rPr>
                    <m:sty m:val="p"/>
                  </m:rPr>
                  <w:rPr>
                    <w:rFonts w:ascii="Cambria Math" w:hAnsi="Cambria Math"/>
                  </w:rPr>
                  <m:t>Ed,i</m:t>
                </m:r>
              </m:sub>
            </m:sSub>
          </m:den>
        </m:f>
        <m:r>
          <w:rPr>
            <w:rFonts w:ascii="Cambria Math" w:hAnsi="Cambria Math"/>
          </w:rPr>
          <m:t xml:space="preserve">  </m:t>
        </m:r>
        <m:r>
          <m:rPr>
            <m:sty m:val="p"/>
          </m:rPr>
          <w:rPr>
            <w:rFonts w:ascii="Cambria Math" w:hAnsi="Cambria Math"/>
          </w:rPr>
          <m:t>with</m:t>
        </m:r>
        <m:r>
          <w:rPr>
            <w:rFonts w:ascii="Cambria Math" w:hAnsi="Cambria Math"/>
          </w:rPr>
          <m:t xml:space="preserve"> i∈</m:t>
        </m:r>
        <m:d>
          <m:dPr>
            <m:begChr m:val="["/>
            <m:endChr m:val="]"/>
            <m:ctrlPr>
              <w:rPr>
                <w:rFonts w:ascii="Cambria Math" w:hAnsi="Cambria Math"/>
              </w:rPr>
            </m:ctrlPr>
          </m:dPr>
          <m:e>
            <m:r>
              <w:rPr>
                <w:rFonts w:ascii="Cambria Math" w:hAnsi="Cambria Math"/>
              </w:rPr>
              <m:t>1,</m:t>
            </m:r>
            <m:d>
              <m:dPr>
                <m:ctrlPr>
                  <w:rPr>
                    <w:rFonts w:ascii="Cambria Math" w:hAnsi="Cambria Math"/>
                  </w:rPr>
                </m:ctrlPr>
              </m:dPr>
              <m:e>
                <m:sSub>
                  <m:sSubPr>
                    <m:ctrlPr>
                      <w:rPr>
                        <w:rFonts w:ascii="Cambria Math" w:hAnsi="Cambria Math"/>
                      </w:rPr>
                    </m:ctrlPr>
                  </m:sSubPr>
                  <m:e>
                    <m:r>
                      <w:rPr>
                        <w:rFonts w:ascii="Cambria Math" w:hAnsi="Cambria Math"/>
                      </w:rPr>
                      <m:t>N</m:t>
                    </m:r>
                  </m:e>
                  <m:sub>
                    <m:r>
                      <m:rPr>
                        <m:sty m:val="p"/>
                      </m:rPr>
                      <w:rPr>
                        <w:rFonts w:ascii="Cambria Math" w:hAnsi="Cambria Math"/>
                      </w:rPr>
                      <m:t>s</m:t>
                    </m:r>
                  </m:sub>
                </m:sSub>
                <m:r>
                  <w:rPr>
                    <w:rFonts w:ascii="Cambria Math" w:hAnsi="Cambria Math"/>
                  </w:rPr>
                  <m:t>-1</m:t>
                </m:r>
              </m:e>
            </m:d>
          </m:e>
        </m:d>
        <m:r>
          <w:rPr>
            <w:rFonts w:ascii="Cambria Math" w:hAnsi="Cambria Math"/>
          </w:rPr>
          <m:t xml:space="preserve"> </m:t>
        </m:r>
      </m:oMath>
      <w:r w:rsidR="007775AA" w:rsidRPr="00870D59">
        <w:tab/>
        <w:t>(1</w:t>
      </w:r>
      <w:r w:rsidR="007775AA">
        <w:t>1</w:t>
      </w:r>
      <w:r w:rsidR="007775AA" w:rsidRPr="00870D59">
        <w:t>.</w:t>
      </w:r>
      <w:r w:rsidR="007775AA">
        <w:t>20</w:t>
      </w:r>
      <w:r w:rsidR="007775AA" w:rsidRPr="00870D59">
        <w:t>)</w:t>
      </w:r>
    </w:p>
    <w:p w14:paraId="4E62908A" w14:textId="24AA8863" w:rsidR="007775AA" w:rsidRDefault="00675EBA" w:rsidP="007775AA">
      <w:r>
        <w:t>where</w:t>
      </w:r>
    </w:p>
    <w:tbl>
      <w:tblPr>
        <w:tblW w:w="0" w:type="auto"/>
        <w:tblInd w:w="284" w:type="dxa"/>
        <w:tblLook w:val="04A0" w:firstRow="1" w:lastRow="0" w:firstColumn="1" w:lastColumn="0" w:noHBand="0" w:noVBand="1"/>
      </w:tblPr>
      <w:tblGrid>
        <w:gridCol w:w="1437"/>
        <w:gridCol w:w="7842"/>
      </w:tblGrid>
      <w:tr w:rsidR="007775AA" w:rsidRPr="00821B21" w14:paraId="13C1AE83" w14:textId="77777777" w:rsidTr="007D7E6D">
        <w:tc>
          <w:tcPr>
            <w:tcW w:w="1437" w:type="dxa"/>
          </w:tcPr>
          <w:p w14:paraId="364FE6F5" w14:textId="29AF974B" w:rsidR="007775AA" w:rsidRPr="007775AA" w:rsidRDefault="007775AA" w:rsidP="002061E5">
            <w:pPr>
              <w:spacing w:after="60"/>
              <w:rPr>
                <w:rFonts w:eastAsia="Times New Roman" w:cs="Cambria"/>
                <w:szCs w:val="20"/>
                <w:lang w:eastAsia="fr-FR"/>
              </w:rPr>
            </w:pPr>
            <w:r w:rsidRPr="007775AA">
              <w:rPr>
                <w:i/>
              </w:rPr>
              <w:t>N</w:t>
            </w:r>
            <w:r w:rsidRPr="007775AA">
              <w:rPr>
                <w:vertAlign w:val="subscript"/>
              </w:rPr>
              <w:t>b,Rd,i</w:t>
            </w:r>
          </w:p>
        </w:tc>
        <w:tc>
          <w:tcPr>
            <w:tcW w:w="7842" w:type="dxa"/>
          </w:tcPr>
          <w:p w14:paraId="325C2344" w14:textId="663ED5DC" w:rsidR="007775AA" w:rsidRPr="00821B21" w:rsidRDefault="007775AA" w:rsidP="002061E5">
            <w:pPr>
              <w:spacing w:after="60"/>
              <w:rPr>
                <w:rFonts w:eastAsia="Times New Roman" w:cs="Cambria"/>
                <w:szCs w:val="20"/>
                <w:lang w:eastAsia="fr-FR"/>
              </w:rPr>
            </w:pPr>
            <w:r w:rsidRPr="00FD17CF">
              <w:t>is the buckling resistance of the diagonal bracing;</w:t>
            </w:r>
          </w:p>
        </w:tc>
      </w:tr>
      <w:tr w:rsidR="007775AA" w:rsidRPr="00870D59" w14:paraId="5C0407D0" w14:textId="77777777" w:rsidTr="007D7E6D">
        <w:tc>
          <w:tcPr>
            <w:tcW w:w="1437" w:type="dxa"/>
          </w:tcPr>
          <w:p w14:paraId="0850A405" w14:textId="1FDD8770" w:rsidR="007775AA" w:rsidRPr="007775AA" w:rsidRDefault="007775AA" w:rsidP="002061E5">
            <w:pPr>
              <w:spacing w:after="60"/>
              <w:rPr>
                <w:i/>
                <w:iCs/>
              </w:rPr>
            </w:pPr>
            <w:r w:rsidRPr="007775AA">
              <w:rPr>
                <w:i/>
              </w:rPr>
              <w:t>N</w:t>
            </w:r>
            <w:r w:rsidRPr="007775AA">
              <w:rPr>
                <w:vertAlign w:val="subscript"/>
              </w:rPr>
              <w:t>Ed,i</w:t>
            </w:r>
          </w:p>
        </w:tc>
        <w:tc>
          <w:tcPr>
            <w:tcW w:w="7842" w:type="dxa"/>
          </w:tcPr>
          <w:p w14:paraId="18B111C9" w14:textId="07271DA1" w:rsidR="007775AA" w:rsidRPr="00821B21" w:rsidRDefault="007775AA" w:rsidP="002061E5">
            <w:r w:rsidRPr="00FD17CF">
              <w:t>is the axial force in the bracing member in the seismic design situation;</w:t>
            </w:r>
          </w:p>
        </w:tc>
      </w:tr>
      <w:tr w:rsidR="007775AA" w:rsidRPr="00870D59" w14:paraId="39A03797" w14:textId="77777777" w:rsidTr="007D7E6D">
        <w:tc>
          <w:tcPr>
            <w:tcW w:w="1437" w:type="dxa"/>
          </w:tcPr>
          <w:p w14:paraId="21AC8E75" w14:textId="5F3097CD" w:rsidR="007775AA" w:rsidRPr="007775AA" w:rsidRDefault="007775AA" w:rsidP="002061E5">
            <w:pPr>
              <w:spacing w:after="60"/>
              <w:rPr>
                <w:i/>
              </w:rPr>
            </w:pPr>
            <w:r w:rsidRPr="007775AA">
              <w:rPr>
                <w:i/>
              </w:rPr>
              <w:t>N</w:t>
            </w:r>
            <w:r w:rsidRPr="007775AA">
              <w:rPr>
                <w:i/>
                <w:vertAlign w:val="subscript"/>
              </w:rPr>
              <w:t>s</w:t>
            </w:r>
          </w:p>
        </w:tc>
        <w:tc>
          <w:tcPr>
            <w:tcW w:w="7842" w:type="dxa"/>
          </w:tcPr>
          <w:p w14:paraId="73E1D473" w14:textId="6B6341AC" w:rsidR="007775AA" w:rsidRPr="00644C3D" w:rsidRDefault="007775AA" w:rsidP="002061E5">
            <w:r w:rsidRPr="00E05E29">
              <w:t>is the total number of storeys.</w:t>
            </w:r>
          </w:p>
        </w:tc>
      </w:tr>
    </w:tbl>
    <w:p w14:paraId="71C187CE" w14:textId="4E150741" w:rsidR="007775AA" w:rsidRPr="00E05E29" w:rsidRDefault="007775AA" w:rsidP="00724E4E">
      <w:pPr>
        <w:pStyle w:val="Clause"/>
      </w:pPr>
      <w:r w:rsidRPr="00E05E29">
        <w:t>Dissipative partial strength connections as well as reduced yielding segments in the bracings may be used, provided that conditions a) to f) are satisfied:</w:t>
      </w:r>
    </w:p>
    <w:p w14:paraId="2883CD44" w14:textId="77777777" w:rsidR="007775AA" w:rsidRPr="00E05E29" w:rsidRDefault="007775AA" w:rsidP="0080187E">
      <w:pPr>
        <w:pStyle w:val="List2"/>
        <w:numPr>
          <w:ilvl w:val="0"/>
          <w:numId w:val="151"/>
        </w:numPr>
        <w:spacing w:before="0" w:after="240" w:line="230" w:lineRule="atLeast"/>
        <w:contextualSpacing w:val="0"/>
      </w:pPr>
      <w:r w:rsidRPr="00E05E29">
        <w:t>the buckling of the gusset plates of the connections is prevented;</w:t>
      </w:r>
    </w:p>
    <w:p w14:paraId="6366850A" w14:textId="3489AAB4" w:rsidR="007775AA" w:rsidRPr="00ED6630" w:rsidRDefault="007775AA" w:rsidP="0080187E">
      <w:pPr>
        <w:pStyle w:val="List2"/>
        <w:numPr>
          <w:ilvl w:val="0"/>
          <w:numId w:val="151"/>
        </w:numPr>
        <w:spacing w:before="0" w:after="240" w:line="230" w:lineRule="atLeast"/>
        <w:contextualSpacing w:val="0"/>
      </w:pPr>
      <w:r w:rsidRPr="00E05E29">
        <w:t xml:space="preserve">the buckling resistance of the </w:t>
      </w:r>
      <w:r w:rsidRPr="00BF1D5A">
        <w:t xml:space="preserve">diagonal bracings </w:t>
      </w:r>
      <w:r w:rsidRPr="00BF1D5A">
        <w:rPr>
          <w:i/>
        </w:rPr>
        <w:t>N</w:t>
      </w:r>
      <w:r w:rsidRPr="00BF1D5A">
        <w:rPr>
          <w:vertAlign w:val="subscript"/>
        </w:rPr>
        <w:t>b,Rd</w:t>
      </w:r>
      <w:r w:rsidRPr="00BF1D5A">
        <w:t xml:space="preserve"> is greater than </w:t>
      </w:r>
      <m:oMath>
        <m:sSub>
          <m:sSubPr>
            <m:ctrlPr>
              <w:rPr>
                <w:rFonts w:ascii="Cambria Math" w:hAnsi="Cambria Math"/>
                <w:i/>
                <w:noProof/>
              </w:rPr>
            </m:ctrlPr>
          </m:sSubPr>
          <m:e>
            <m:sSub>
              <m:sSubPr>
                <m:ctrlPr>
                  <w:rPr>
                    <w:rFonts w:ascii="Cambria Math" w:hAnsi="Cambria Math"/>
                    <w:i/>
                    <w:noProof/>
                  </w:rPr>
                </m:ctrlPr>
              </m:sSubPr>
              <m:e>
                <m:r>
                  <w:rPr>
                    <w:rFonts w:ascii="Cambria Math" w:hAnsi="Cambria Math"/>
                  </w:rPr>
                  <m:t>ω</m:t>
                </m:r>
              </m:e>
              <m:sub>
                <m:r>
                  <m:rPr>
                    <m:sty m:val="p"/>
                  </m:rPr>
                  <w:rPr>
                    <w:rFonts w:ascii="Cambria Math" w:hAnsi="Cambria Math"/>
                    <w:noProof/>
                  </w:rPr>
                  <m:t>rm</m:t>
                </m:r>
              </m:sub>
            </m:sSub>
            <m:sSub>
              <m:sSubPr>
                <m:ctrlPr>
                  <w:rPr>
                    <w:rFonts w:ascii="Cambria Math" w:hAnsi="Cambria Math"/>
                    <w:i/>
                    <w:noProof/>
                  </w:rPr>
                </m:ctrlPr>
              </m:sSubPr>
              <m:e>
                <m:r>
                  <w:rPr>
                    <w:rFonts w:ascii="Cambria Math" w:hAnsi="Cambria Math"/>
                    <w:noProof/>
                  </w:rPr>
                  <m:t xml:space="preserve"> </m:t>
                </m:r>
                <m:r>
                  <w:rPr>
                    <w:rFonts w:ascii="Cambria Math" w:hAnsi="Cambria Math"/>
                  </w:rPr>
                  <m:t>ω</m:t>
                </m:r>
              </m:e>
              <m:sub>
                <m:r>
                  <m:rPr>
                    <m:sty m:val="p"/>
                  </m:rPr>
                  <w:rPr>
                    <w:rFonts w:ascii="Cambria Math" w:hAnsi="Cambria Math"/>
                    <w:noProof/>
                  </w:rPr>
                  <m:t>sh</m:t>
                </m:r>
              </m:sub>
            </m:sSub>
            <m:r>
              <w:rPr>
                <w:rFonts w:ascii="Cambria Math" w:hAnsi="Cambria Math"/>
                <w:noProof/>
              </w:rPr>
              <m:t xml:space="preserve"> R</m:t>
            </m:r>
          </m:e>
          <m:sub>
            <m:r>
              <m:rPr>
                <m:sty m:val="p"/>
              </m:rPr>
              <w:rPr>
                <w:rFonts w:ascii="Cambria Math" w:hAnsi="Cambria Math"/>
                <w:noProof/>
              </w:rPr>
              <m:t>d</m:t>
            </m:r>
          </m:sub>
        </m:sSub>
      </m:oMath>
      <w:r w:rsidRPr="00BF1D5A">
        <w:t xml:space="preserve">, where </w:t>
      </w:r>
      <w:r w:rsidRPr="00BF1D5A">
        <w:rPr>
          <w:i/>
        </w:rPr>
        <w:t>R</w:t>
      </w:r>
      <w:r w:rsidRPr="00BF1D5A">
        <w:rPr>
          <w:vertAlign w:val="subscript"/>
        </w:rPr>
        <w:t>d</w:t>
      </w:r>
      <w:r w:rsidRPr="00BF1D5A">
        <w:t xml:space="preserve"> is the resistance of the connection in accordance with pr</w:t>
      </w:r>
      <w:r w:rsidR="00C30FF9">
        <w:t>EN 1</w:t>
      </w:r>
      <w:r w:rsidRPr="00BF1D5A">
        <w:t xml:space="preserve">993-1-8, or the resistance of the reduced yielding segments in accordance with </w:t>
      </w:r>
      <w:r w:rsidR="00867476">
        <w:t>EN 1993-1-1</w:t>
      </w:r>
      <w:r w:rsidRPr="00ED6630">
        <w:t>;</w:t>
      </w:r>
    </w:p>
    <w:p w14:paraId="6F0ABA94" w14:textId="1878E555" w:rsidR="007775AA" w:rsidRPr="00E05E29" w:rsidRDefault="007775AA" w:rsidP="007D7E6D">
      <w:pPr>
        <w:pStyle w:val="Notetext"/>
        <w:tabs>
          <w:tab w:val="left" w:pos="1134"/>
        </w:tabs>
        <w:ind w:left="360"/>
      </w:pPr>
      <w:r w:rsidRPr="00E05E29">
        <w:t xml:space="preserve">NOTE </w:t>
      </w:r>
      <w:r w:rsidR="007D7E6D">
        <w:t>1</w:t>
      </w:r>
      <w:r w:rsidRPr="00E05E29">
        <w:tab/>
        <w:t xml:space="preserve">Concentrical bracings with reduced yielding segments are slender diagonal members with one cut-out portion at each end of the diagonal that do not modify the compression resistance of the member and which is detailed to have a local tension resistance similar to the global buckling resistance of the diagonal. </w:t>
      </w:r>
    </w:p>
    <w:p w14:paraId="09A4B9D4" w14:textId="77777777" w:rsidR="007775AA" w:rsidRPr="00E05E29" w:rsidRDefault="007775AA" w:rsidP="0080187E">
      <w:pPr>
        <w:pStyle w:val="List2"/>
        <w:numPr>
          <w:ilvl w:val="0"/>
          <w:numId w:val="151"/>
        </w:numPr>
        <w:spacing w:before="0" w:after="240" w:line="230" w:lineRule="atLeast"/>
        <w:contextualSpacing w:val="0"/>
      </w:pPr>
      <w:r w:rsidRPr="00E05E29">
        <w:t>the elongation capacity of the connections and of the reduced yielding segments should be consistent with global deformations;</w:t>
      </w:r>
    </w:p>
    <w:p w14:paraId="0F79A973" w14:textId="0BCD08C5" w:rsidR="007775AA" w:rsidRPr="00E05E29" w:rsidRDefault="007775AA" w:rsidP="0080187E">
      <w:pPr>
        <w:pStyle w:val="List2"/>
        <w:numPr>
          <w:ilvl w:val="0"/>
          <w:numId w:val="151"/>
        </w:numPr>
        <w:spacing w:before="0" w:after="240" w:line="230" w:lineRule="atLeast"/>
        <w:contextualSpacing w:val="0"/>
        <w:rPr>
          <w:rFonts w:eastAsia="Cambria"/>
        </w:rPr>
      </w:pPr>
      <w:r w:rsidRPr="00E05E29">
        <w:rPr>
          <w:rFonts w:eastAsia="Cambria"/>
        </w:rPr>
        <w:t>the elongation capacity used in design of partial strength connections should be demonstrated by experimental tests, either new or from the literature, or by numerical simulations.</w:t>
      </w:r>
    </w:p>
    <w:p w14:paraId="4966536E" w14:textId="7102AAF1" w:rsidR="007775AA" w:rsidRPr="00E05E29" w:rsidRDefault="007775AA" w:rsidP="007D7E6D">
      <w:pPr>
        <w:pStyle w:val="Notetext"/>
        <w:tabs>
          <w:tab w:val="left" w:pos="1134"/>
        </w:tabs>
        <w:ind w:left="360"/>
      </w:pPr>
      <w:r w:rsidRPr="00E05E29">
        <w:t xml:space="preserve">NOTE </w:t>
      </w:r>
      <w:r w:rsidR="007D7E6D">
        <w:t>2</w:t>
      </w:r>
      <w:r w:rsidRPr="00E05E29">
        <w:tab/>
      </w:r>
      <w:r w:rsidRPr="00BF1D5A">
        <w:t>Annex E p</w:t>
      </w:r>
      <w:r w:rsidRPr="00E05E29">
        <w:t>rovides rules for INERD-PIN partial strength connections.</w:t>
      </w:r>
    </w:p>
    <w:p w14:paraId="759B74B4" w14:textId="055B08DD" w:rsidR="007775AA" w:rsidRPr="00E05E29" w:rsidRDefault="007775AA" w:rsidP="0080187E">
      <w:pPr>
        <w:pStyle w:val="List2"/>
        <w:numPr>
          <w:ilvl w:val="0"/>
          <w:numId w:val="151"/>
        </w:numPr>
        <w:spacing w:before="0" w:after="240" w:line="230" w:lineRule="atLeast"/>
        <w:contextualSpacing w:val="0"/>
        <w:rPr>
          <w:rFonts w:eastAsia="Cambria"/>
        </w:rPr>
      </w:pPr>
      <w:r w:rsidRPr="00E05E29">
        <w:rPr>
          <w:rFonts w:eastAsia="Cambria"/>
        </w:rPr>
        <w:t xml:space="preserve">the length </w:t>
      </w:r>
      <w:r w:rsidRPr="00E05E29">
        <w:rPr>
          <w:rFonts w:eastAsia="Cambria"/>
          <w:i/>
          <w:iCs/>
        </w:rPr>
        <w:t>L</w:t>
      </w:r>
      <w:r w:rsidRPr="00E05E29">
        <w:rPr>
          <w:rFonts w:eastAsia="Cambria"/>
          <w:vertAlign w:val="subscript"/>
        </w:rPr>
        <w:t>r</w:t>
      </w:r>
      <w:r w:rsidRPr="00E05E29">
        <w:rPr>
          <w:rFonts w:eastAsia="Cambria"/>
        </w:rPr>
        <w:t xml:space="preserve"> of the segment with the reduced section should not be smaller than 5,65(</w:t>
      </w:r>
      <w:r w:rsidRPr="00E05E29">
        <w:rPr>
          <w:rFonts w:eastAsia="Cambria"/>
          <w:i/>
          <w:iCs/>
        </w:rPr>
        <w:t>A</w:t>
      </w:r>
      <w:r w:rsidRPr="00E05E29">
        <w:rPr>
          <w:rFonts w:eastAsia="Cambria"/>
          <w:vertAlign w:val="subscript"/>
        </w:rPr>
        <w:t>rs</w:t>
      </w:r>
      <w:r w:rsidRPr="00E05E29">
        <w:rPr>
          <w:rFonts w:eastAsia="Cambria"/>
        </w:rPr>
        <w:t>)</w:t>
      </w:r>
      <w:r w:rsidRPr="00E05E29">
        <w:rPr>
          <w:rFonts w:eastAsia="Cambria"/>
          <w:vertAlign w:val="superscript"/>
        </w:rPr>
        <w:t>0,5</w:t>
      </w:r>
      <w:r w:rsidRPr="00E05E29">
        <w:rPr>
          <w:rFonts w:eastAsia="Cambria"/>
        </w:rPr>
        <w:t xml:space="preserve">, where </w:t>
      </w:r>
      <w:r w:rsidRPr="00E05E29">
        <w:rPr>
          <w:rFonts w:eastAsia="Cambria"/>
          <w:i/>
          <w:iCs/>
        </w:rPr>
        <w:t>A</w:t>
      </w:r>
      <w:r w:rsidRPr="00E05E29">
        <w:rPr>
          <w:rFonts w:eastAsia="Cambria"/>
          <w:vertAlign w:val="subscript"/>
        </w:rPr>
        <w:t>rs</w:t>
      </w:r>
      <w:r w:rsidRPr="00E05E29">
        <w:rPr>
          <w:rFonts w:eastAsia="Cambria"/>
        </w:rPr>
        <w:t xml:space="preserve"> is the area of the reduced section; the local slenderness of the parts of the reduced area should comply with </w:t>
      </w:r>
      <w:r w:rsidRPr="00357B79">
        <w:rPr>
          <w:rFonts w:eastAsia="Cambria"/>
        </w:rPr>
        <w:t>(1)</w:t>
      </w:r>
      <w:r w:rsidRPr="003B0C2D">
        <w:rPr>
          <w:rFonts w:eastAsia="Cambria"/>
        </w:rPr>
        <w:t>;</w:t>
      </w:r>
    </w:p>
    <w:p w14:paraId="67D9241C" w14:textId="106FA815" w:rsidR="007775AA" w:rsidRPr="00E05E29" w:rsidRDefault="007775AA" w:rsidP="0080187E">
      <w:pPr>
        <w:pStyle w:val="List2"/>
        <w:numPr>
          <w:ilvl w:val="0"/>
          <w:numId w:val="151"/>
        </w:numPr>
        <w:spacing w:before="0" w:after="240" w:line="230" w:lineRule="atLeast"/>
        <w:contextualSpacing w:val="0"/>
      </w:pPr>
      <w:r w:rsidRPr="00E05E29">
        <w:t>the effect of deformations of partial strength connections on global drifts are taken into account using linear analysis if connections covered by Annex E are used. Non-linear analysis should be carried out in all other cases.</w:t>
      </w:r>
      <w:bookmarkStart w:id="9612" w:name="_Hlk2013834"/>
      <w:bookmarkEnd w:id="9612"/>
    </w:p>
    <w:p w14:paraId="104B36CB" w14:textId="77777777" w:rsidR="007775AA" w:rsidRPr="00E05E29" w:rsidRDefault="007775AA" w:rsidP="007775AA">
      <w:pPr>
        <w:pStyle w:val="Heading3"/>
      </w:pPr>
      <w:bookmarkStart w:id="9613" w:name="_Toc483723237"/>
      <w:bookmarkStart w:id="9614" w:name="_Toc483723572"/>
      <w:bookmarkStart w:id="9615" w:name="_Toc484520886"/>
      <w:bookmarkStart w:id="9616" w:name="_Toc509405065"/>
      <w:bookmarkStart w:id="9617" w:name="_Toc76379877"/>
      <w:bookmarkStart w:id="9618" w:name="_Toc494124736"/>
      <w:bookmarkStart w:id="9619" w:name="_Toc522955939"/>
      <w:bookmarkStart w:id="9620" w:name="_Toc18314130"/>
      <w:bookmarkStart w:id="9621" w:name="_Toc50150444"/>
      <w:bookmarkStart w:id="9622" w:name="_Toc70886876"/>
      <w:bookmarkStart w:id="9623" w:name="_Toc108342435"/>
      <w:bookmarkStart w:id="9624" w:name="_Toc134197967"/>
      <w:r>
        <w:lastRenderedPageBreak/>
        <w:t>Verification of b</w:t>
      </w:r>
      <w:r w:rsidRPr="00E05E29">
        <w:t>eams and columns</w:t>
      </w:r>
      <w:bookmarkEnd w:id="9613"/>
      <w:bookmarkEnd w:id="9614"/>
      <w:bookmarkEnd w:id="9615"/>
      <w:bookmarkEnd w:id="9616"/>
      <w:bookmarkEnd w:id="9617"/>
      <w:bookmarkEnd w:id="9618"/>
      <w:bookmarkEnd w:id="9619"/>
      <w:bookmarkEnd w:id="9620"/>
      <w:bookmarkEnd w:id="9621"/>
      <w:bookmarkEnd w:id="9622"/>
      <w:bookmarkEnd w:id="9623"/>
      <w:bookmarkEnd w:id="9624"/>
    </w:p>
    <w:p w14:paraId="3081BD73" w14:textId="0DBE9F3B" w:rsidR="007775AA" w:rsidRPr="00E05E29" w:rsidRDefault="007775AA" w:rsidP="0080187E">
      <w:pPr>
        <w:pStyle w:val="Clause"/>
        <w:numPr>
          <w:ilvl w:val="0"/>
          <w:numId w:val="387"/>
        </w:numPr>
      </w:pPr>
      <w:r w:rsidRPr="00E05E29">
        <w:t xml:space="preserve">In DC2, the resistance and stability of beams and columns should be verified in compression, bending and shear under the most unfavourable combination of </w:t>
      </w:r>
      <w:r w:rsidRPr="00A547E1">
        <w:rPr>
          <w:i/>
        </w:rPr>
        <w:t>N</w:t>
      </w:r>
      <w:r w:rsidRPr="00A547E1">
        <w:rPr>
          <w:vertAlign w:val="subscript"/>
        </w:rPr>
        <w:t>Ed</w:t>
      </w:r>
      <w:r w:rsidRPr="00E05E29">
        <w:t xml:space="preserve">, </w:t>
      </w:r>
      <w:r w:rsidRPr="00A547E1">
        <w:rPr>
          <w:i/>
        </w:rPr>
        <w:t>M</w:t>
      </w:r>
      <w:r w:rsidRPr="00A547E1">
        <w:rPr>
          <w:vertAlign w:val="subscript"/>
        </w:rPr>
        <w:t>Ed</w:t>
      </w:r>
      <w:r w:rsidRPr="00E05E29">
        <w:t xml:space="preserve"> and </w:t>
      </w:r>
      <w:r w:rsidRPr="00A547E1">
        <w:rPr>
          <w:i/>
        </w:rPr>
        <w:t>V</w:t>
      </w:r>
      <w:r w:rsidRPr="00A547E1">
        <w:rPr>
          <w:vertAlign w:val="subscript"/>
        </w:rPr>
        <w:t>Ed</w:t>
      </w:r>
      <w:r w:rsidRPr="00E05E29">
        <w:t xml:space="preserve"> from </w:t>
      </w:r>
      <w:r w:rsidRPr="00BF1D5A">
        <w:t>Formula (11.2).</w:t>
      </w:r>
    </w:p>
    <w:p w14:paraId="7C4DA4FD" w14:textId="64EF4BCF" w:rsidR="007775AA" w:rsidRDefault="007775AA" w:rsidP="00724E4E">
      <w:pPr>
        <w:pStyle w:val="Clause"/>
      </w:pPr>
      <w:r w:rsidRPr="00E05E29">
        <w:t>In DC3 frames, beams and columns should be designed to resist the forces given in a) to c):</w:t>
      </w:r>
    </w:p>
    <w:p w14:paraId="49BF714D" w14:textId="77777777" w:rsidR="007775AA" w:rsidRPr="00E05E29" w:rsidRDefault="007775AA" w:rsidP="0080187E">
      <w:pPr>
        <w:pStyle w:val="Text"/>
        <w:numPr>
          <w:ilvl w:val="0"/>
          <w:numId w:val="647"/>
        </w:numPr>
      </w:pPr>
      <w:r w:rsidRPr="00E05E29">
        <w:t xml:space="preserve">the total action effects </w:t>
      </w:r>
      <w:r w:rsidRPr="000E02E3">
        <w:rPr>
          <w:i/>
        </w:rPr>
        <w:t>N</w:t>
      </w:r>
      <w:r w:rsidRPr="000E02E3">
        <w:rPr>
          <w:vertAlign w:val="subscript"/>
        </w:rPr>
        <w:t>Ed</w:t>
      </w:r>
      <w:r w:rsidRPr="00E05E29">
        <w:t xml:space="preserve">, </w:t>
      </w:r>
      <w:r w:rsidRPr="000E02E3">
        <w:rPr>
          <w:i/>
        </w:rPr>
        <w:t>M</w:t>
      </w:r>
      <w:r w:rsidRPr="000E02E3">
        <w:rPr>
          <w:vertAlign w:val="subscript"/>
        </w:rPr>
        <w:t>Ed</w:t>
      </w:r>
      <w:r w:rsidRPr="00E05E29">
        <w:t xml:space="preserve"> and </w:t>
      </w:r>
      <w:r w:rsidRPr="000E02E3">
        <w:rPr>
          <w:i/>
        </w:rPr>
        <w:t>V</w:t>
      </w:r>
      <w:r w:rsidRPr="000E02E3">
        <w:rPr>
          <w:vertAlign w:val="subscript"/>
        </w:rPr>
        <w:t>Ed</w:t>
      </w:r>
      <w:r w:rsidRPr="00E05E29">
        <w:t xml:space="preserve"> determined according to </w:t>
      </w:r>
      <w:r w:rsidRPr="00357B79">
        <w:rPr>
          <w:bCs/>
        </w:rPr>
        <w:t>11.8.5(2)</w:t>
      </w:r>
      <w:r w:rsidRPr="003B0C2D">
        <w:rPr>
          <w:bCs/>
        </w:rPr>
        <w:t>,</w:t>
      </w:r>
      <w:r w:rsidRPr="00BF1D5A">
        <w:t xml:space="preserve"> where </w:t>
      </w:r>
      <w:r w:rsidRPr="00BF1D5A">
        <w:rPr>
          <w:rFonts w:ascii="Symbol" w:hAnsi="Symbol"/>
          <w:i/>
          <w:iCs/>
        </w:rPr>
        <w:t></w:t>
      </w:r>
      <w:r w:rsidRPr="00BF1D5A">
        <w:rPr>
          <w:vertAlign w:val="subscript"/>
        </w:rPr>
        <w:t>d</w:t>
      </w:r>
      <w:r w:rsidRPr="00BF1D5A">
        <w:t xml:space="preserve"> is the minimum value of the ratio </w:t>
      </w:r>
      <w:r w:rsidRPr="00BF1D5A">
        <w:rPr>
          <w:i/>
        </w:rPr>
        <w:t>N</w:t>
      </w:r>
      <w:r w:rsidRPr="00BF1D5A">
        <w:rPr>
          <w:vertAlign w:val="subscript"/>
        </w:rPr>
        <w:t>pl,Rd,i</w:t>
      </w:r>
      <w:r w:rsidRPr="00BF1D5A">
        <w:t>/</w:t>
      </w:r>
      <w:r w:rsidRPr="00BF1D5A">
        <w:rPr>
          <w:i/>
        </w:rPr>
        <w:t>N</w:t>
      </w:r>
      <w:r w:rsidRPr="00BF1D5A">
        <w:rPr>
          <w:vertAlign w:val="subscript"/>
        </w:rPr>
        <w:t>Ed,Ei</w:t>
      </w:r>
      <w:r w:rsidRPr="00BF1D5A">
        <w:t xml:space="preserve"> of all bracings where </w:t>
      </w:r>
      <w:r w:rsidRPr="00BF1D5A">
        <w:rPr>
          <w:i/>
        </w:rPr>
        <w:t>N</w:t>
      </w:r>
      <w:r w:rsidRPr="00BF1D5A">
        <w:rPr>
          <w:vertAlign w:val="subscript"/>
        </w:rPr>
        <w:t>pl,Rd,I</w:t>
      </w:r>
      <w:r w:rsidRPr="00BF1D5A">
        <w:t xml:space="preserve"> is the tension axial resistance of brace</w:t>
      </w:r>
      <w:r w:rsidRPr="00BF1D5A">
        <w:rPr>
          <w:i/>
          <w:iCs/>
        </w:rPr>
        <w:t xml:space="preserve"> </w:t>
      </w:r>
      <w:r w:rsidRPr="00BF1D5A">
        <w:t xml:space="preserve">“I” and </w:t>
      </w:r>
      <w:r w:rsidRPr="00BF1D5A">
        <w:rPr>
          <w:i/>
        </w:rPr>
        <w:t>N</w:t>
      </w:r>
      <w:r w:rsidRPr="00BF1D5A">
        <w:rPr>
          <w:vertAlign w:val="subscript"/>
        </w:rPr>
        <w:t>Ed,Ei</w:t>
      </w:r>
      <w:r w:rsidRPr="00BF1D5A">
        <w:t xml:space="preserve"> i</w:t>
      </w:r>
      <w:r w:rsidRPr="00E05E29">
        <w:t>s the design value of the axial force due to the seismic actions in brace “i”;</w:t>
      </w:r>
    </w:p>
    <w:p w14:paraId="506A6652" w14:textId="77777777" w:rsidR="007775AA" w:rsidRPr="00E05E29" w:rsidRDefault="007775AA" w:rsidP="0080187E">
      <w:pPr>
        <w:pStyle w:val="Text"/>
        <w:numPr>
          <w:ilvl w:val="0"/>
          <w:numId w:val="647"/>
        </w:numPr>
      </w:pPr>
      <w:r w:rsidRPr="00E05E29">
        <w:t xml:space="preserve">internal forces calculated considering a free-body distribution of axial forces in both tension and compression diagonals with values of forces equal to their expected buckling resistance </w:t>
      </w:r>
      <w:r w:rsidRPr="00E05E29">
        <w:rPr>
          <w:i/>
        </w:rPr>
        <w:t>ω</w:t>
      </w:r>
      <w:r w:rsidRPr="00E05E29">
        <w:rPr>
          <w:vertAlign w:val="subscript"/>
        </w:rPr>
        <w:t>rm</w:t>
      </w:r>
      <w:r w:rsidRPr="00E05E29">
        <w:rPr>
          <w:i/>
        </w:rPr>
        <w:t xml:space="preserve"> N</w:t>
      </w:r>
      <w:r w:rsidRPr="00E05E29">
        <w:rPr>
          <w:vertAlign w:val="subscript"/>
        </w:rPr>
        <w:t>b,Rd</w:t>
      </w:r>
      <w:r w:rsidRPr="00E05E29">
        <w:t xml:space="preserve"> in combination with the forces due to all non-seismic actions in the seismic situation;</w:t>
      </w:r>
    </w:p>
    <w:p w14:paraId="1CE43F58" w14:textId="77777777" w:rsidR="007775AA" w:rsidRPr="000E02E3" w:rsidRDefault="007775AA" w:rsidP="0080187E">
      <w:pPr>
        <w:pStyle w:val="Text"/>
        <w:numPr>
          <w:ilvl w:val="0"/>
          <w:numId w:val="647"/>
        </w:numPr>
      </w:pPr>
      <w:r w:rsidRPr="00E05E29">
        <w:t>internal forces calculated considering a free-body distribution of forces transmitted by the braces under tension forces equal to</w:t>
      </w:r>
      <w:r w:rsidRPr="00E05E29">
        <w:rPr>
          <w:i/>
        </w:rPr>
        <w:t xml:space="preserve"> ω</w:t>
      </w:r>
      <w:r w:rsidRPr="00E05E29">
        <w:rPr>
          <w:vertAlign w:val="subscript"/>
        </w:rPr>
        <w:t>rm</w:t>
      </w:r>
      <w:r w:rsidRPr="00E05E29">
        <w:rPr>
          <w:i/>
        </w:rPr>
        <w:t xml:space="preserve"> ω</w:t>
      </w:r>
      <w:r w:rsidRPr="00E05E29">
        <w:rPr>
          <w:vertAlign w:val="subscript"/>
        </w:rPr>
        <w:t>sh</w:t>
      </w:r>
      <w:r w:rsidRPr="00E05E29">
        <w:rPr>
          <w:i/>
        </w:rPr>
        <w:t xml:space="preserve"> N</w:t>
      </w:r>
      <w:r w:rsidRPr="00E05E29">
        <w:rPr>
          <w:vertAlign w:val="subscript"/>
        </w:rPr>
        <w:t>Rd</w:t>
      </w:r>
      <w:r w:rsidRPr="00E05E29">
        <w:t xml:space="preserve"> and those under compression forces equal to </w:t>
      </w:r>
      <w:r w:rsidRPr="00E05E29">
        <w:rPr>
          <w:i/>
        </w:rPr>
        <w:t>ω</w:t>
      </w:r>
      <w:r>
        <w:rPr>
          <w:vertAlign w:val="subscript"/>
        </w:rPr>
        <w:t>rm</w:t>
      </w:r>
      <w:r w:rsidRPr="00EA2296">
        <w:rPr>
          <w:vertAlign w:val="subscript"/>
        </w:rPr>
        <w:t xml:space="preserve"> </w:t>
      </w:r>
      <w:r w:rsidRPr="00EA2296">
        <w:rPr>
          <w:rFonts w:ascii="Cambria Math" w:eastAsia="Symbol" w:hAnsi="Cambria Math" w:cs="Symbol"/>
          <w:i/>
        </w:rPr>
        <w:t>ω</w:t>
      </w:r>
      <w:r w:rsidRPr="00EA2296">
        <w:rPr>
          <w:vertAlign w:val="subscript"/>
        </w:rPr>
        <w:t xml:space="preserve">pb </w:t>
      </w:r>
      <w:r w:rsidRPr="00E05E29">
        <w:rPr>
          <w:i/>
        </w:rPr>
        <w:t>N</w:t>
      </w:r>
      <w:r w:rsidRPr="00E05E29">
        <w:rPr>
          <w:vertAlign w:val="subscript"/>
        </w:rPr>
        <w:t>b,Rd</w:t>
      </w:r>
      <w:r w:rsidRPr="00E05E29">
        <w:t xml:space="preserve"> in combination with the forces due to all non-seismic actions in the seismic design situation.</w:t>
      </w:r>
    </w:p>
    <w:p w14:paraId="7B5EC77D" w14:textId="63272797" w:rsidR="007775AA" w:rsidRPr="00FD2AE7" w:rsidRDefault="007775AA" w:rsidP="00724E4E">
      <w:pPr>
        <w:pStyle w:val="Clause"/>
      </w:pPr>
      <w:r w:rsidRPr="00FD2AE7">
        <w:t xml:space="preserve">In (2) a) and c), the overstrength factor </w:t>
      </w:r>
      <w:r w:rsidRPr="00FD2AE7">
        <w:rPr>
          <w:i/>
        </w:rPr>
        <w:t>ω</w:t>
      </w:r>
      <w:r w:rsidRPr="00FD2AE7">
        <w:rPr>
          <w:vertAlign w:val="subscript"/>
        </w:rPr>
        <w:t>sh</w:t>
      </w:r>
      <w:r w:rsidRPr="00FD2AE7">
        <w:t xml:space="preserve"> should be taken from Table 11.</w:t>
      </w:r>
      <w:r w:rsidR="00481078">
        <w:t>1</w:t>
      </w:r>
      <w:r w:rsidR="00C606A0">
        <w:t>0</w:t>
      </w:r>
      <w:r w:rsidRPr="00FD2AE7">
        <w:t xml:space="preserve">. </w:t>
      </w:r>
    </w:p>
    <w:p w14:paraId="7E181346" w14:textId="03288E7F" w:rsidR="007775AA" w:rsidRPr="00D1484A" w:rsidRDefault="007775AA" w:rsidP="00724E4E">
      <w:pPr>
        <w:pStyle w:val="Clause"/>
      </w:pPr>
      <w:r w:rsidRPr="00FD2AE7">
        <w:t xml:space="preserve">In (2) c), </w:t>
      </w:r>
      <w:r w:rsidRPr="00FD2AE7">
        <w:rPr>
          <w:rFonts w:ascii="Cambria Math" w:eastAsia="Symbol" w:hAnsi="Cambria Math" w:cs="Symbol"/>
          <w:i/>
        </w:rPr>
        <w:t>ω</w:t>
      </w:r>
      <w:r w:rsidRPr="00FD2AE7">
        <w:rPr>
          <w:vertAlign w:val="subscript"/>
        </w:rPr>
        <w:t>pb</w:t>
      </w:r>
      <w:r w:rsidRPr="00FD2AE7">
        <w:t xml:space="preserve"> may be</w:t>
      </w:r>
      <w:r w:rsidRPr="00EA2296">
        <w:t xml:space="preserve"> taken equal to 0,30.</w:t>
      </w:r>
    </w:p>
    <w:p w14:paraId="7CA850D9" w14:textId="77777777" w:rsidR="007775AA" w:rsidRPr="00644C3D" w:rsidRDefault="007775AA" w:rsidP="00BF1D5A">
      <w:pPr>
        <w:pStyle w:val="Notetext"/>
      </w:pPr>
      <w:r w:rsidRPr="00D1484A">
        <w:t>NOTE</w:t>
      </w:r>
      <w:r w:rsidRPr="00D1484A">
        <w:tab/>
      </w:r>
      <w:bookmarkStart w:id="9625" w:name="_Hlk90884860"/>
      <w:r w:rsidRPr="00EA2296">
        <w:rPr>
          <w:rFonts w:ascii="Cambria Math" w:eastAsia="Symbol" w:hAnsi="Cambria Math" w:cs="Symbol"/>
          <w:i/>
        </w:rPr>
        <w:t>ω</w:t>
      </w:r>
      <w:r w:rsidRPr="00EA2296">
        <w:rPr>
          <w:vertAlign w:val="subscript"/>
        </w:rPr>
        <w:t>pb</w:t>
      </w:r>
      <w:r w:rsidRPr="00EA2296">
        <w:t xml:space="preserve"> is the multiplicative factor for the estimation of the residual post-buckling resistance of the compression brace.</w:t>
      </w:r>
      <w:bookmarkEnd w:id="9625"/>
    </w:p>
    <w:p w14:paraId="60328EBD" w14:textId="2658427E" w:rsidR="007775AA" w:rsidRPr="007754C9" w:rsidRDefault="007775AA" w:rsidP="00724E4E">
      <w:pPr>
        <w:pStyle w:val="Clause"/>
      </w:pPr>
      <w:r w:rsidRPr="00196951">
        <w:t xml:space="preserve">In frames with </w:t>
      </w:r>
      <w:r w:rsidRPr="004F74EA">
        <w:rPr>
          <w:iCs/>
        </w:rPr>
        <w:t>V</w:t>
      </w:r>
      <w:r w:rsidRPr="002144A0">
        <w:t xml:space="preserve"> </w:t>
      </w:r>
      <w:r w:rsidRPr="00BF1D5A">
        <w:t>bracings or in two-storey frames with X bracings (see Fig</w:t>
      </w:r>
      <w:r w:rsidR="00BF1D5A" w:rsidRPr="00BF1D5A">
        <w:t>ure</w:t>
      </w:r>
      <w:r w:rsidRPr="00BF1D5A">
        <w:t xml:space="preserve"> 11.3), the beams should be designed to resist all non</w:t>
      </w:r>
      <w:r w:rsidRPr="00C52095">
        <w:t>-seismic act</w:t>
      </w:r>
      <w:r w:rsidRPr="007754C9">
        <w:t xml:space="preserve">ions in the seismic situation without considering the intermediate support by the diagonals. </w:t>
      </w:r>
    </w:p>
    <w:p w14:paraId="0E9AD6E2" w14:textId="34248768" w:rsidR="007775AA" w:rsidRDefault="007775AA" w:rsidP="00724E4E">
      <w:pPr>
        <w:pStyle w:val="Clause"/>
      </w:pPr>
      <w:r w:rsidRPr="00A1437F">
        <w:t xml:space="preserve">In DC2 and DC3 frames with </w:t>
      </w:r>
      <w:r w:rsidRPr="004F74EA">
        <w:rPr>
          <w:iCs/>
        </w:rPr>
        <w:t>V</w:t>
      </w:r>
      <w:r w:rsidRPr="00A1437F">
        <w:t xml:space="preserve"> </w:t>
      </w:r>
      <w:r w:rsidRPr="00BF1D5A">
        <w:t xml:space="preserve">bracings or two-storey frames with X </w:t>
      </w:r>
      <w:r w:rsidRPr="00A1437F">
        <w:t xml:space="preserve">bracings, the flexural stiffness </w:t>
      </w:r>
      <w:r w:rsidRPr="004F74EA">
        <w:rPr>
          <w:i/>
        </w:rPr>
        <w:t>k</w:t>
      </w:r>
      <w:r w:rsidRPr="004F74EA">
        <w:rPr>
          <w:vertAlign w:val="subscript"/>
        </w:rPr>
        <w:t>b</w:t>
      </w:r>
      <w:r w:rsidRPr="000529B2">
        <w:t xml:space="preserve"> of the beams which intersect a bracing should not be smaller than 0,2 </w:t>
      </w:r>
      <w:r w:rsidRPr="00A1437F">
        <w:t xml:space="preserve">times the vertical stiffness </w:t>
      </w:r>
      <w:r w:rsidRPr="004F74EA">
        <w:rPr>
          <w:i/>
        </w:rPr>
        <w:t>k</w:t>
      </w:r>
      <w:r w:rsidRPr="004F74EA">
        <w:rPr>
          <w:vertAlign w:val="subscript"/>
        </w:rPr>
        <w:t>br</w:t>
      </w:r>
      <w:r w:rsidRPr="00A1437F">
        <w:t xml:space="preserve"> of the intersecting bracings, where:</w:t>
      </w:r>
    </w:p>
    <w:tbl>
      <w:tblPr>
        <w:tblStyle w:val="TableGrid"/>
        <w:tblW w:w="0" w:type="auto"/>
        <w:tblInd w:w="3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4"/>
        <w:gridCol w:w="7780"/>
      </w:tblGrid>
      <w:tr w:rsidR="00930852" w:rsidRPr="00930852" w14:paraId="18F9F6D0" w14:textId="77777777" w:rsidTr="0078003E">
        <w:tc>
          <w:tcPr>
            <w:tcW w:w="1404" w:type="dxa"/>
          </w:tcPr>
          <w:p w14:paraId="67F56F08" w14:textId="77777777" w:rsidR="00930852" w:rsidRPr="00930852" w:rsidRDefault="00930852" w:rsidP="00930852">
            <w:pPr>
              <w:pStyle w:val="Text"/>
            </w:pPr>
            <w:r w:rsidRPr="00930852">
              <w:rPr>
                <w:i/>
              </w:rPr>
              <w:t>k</w:t>
            </w:r>
            <w:r w:rsidRPr="00930852">
              <w:rPr>
                <w:vertAlign w:val="subscript"/>
              </w:rPr>
              <w:t>b</w:t>
            </w:r>
          </w:p>
        </w:tc>
        <w:tc>
          <w:tcPr>
            <w:tcW w:w="7780" w:type="dxa"/>
          </w:tcPr>
          <w:p w14:paraId="4DB16750" w14:textId="0AF8C99B" w:rsidR="00930852" w:rsidRPr="00930852" w:rsidRDefault="00930852" w:rsidP="00930852">
            <w:pPr>
              <w:pStyle w:val="Text"/>
            </w:pPr>
            <w:r w:rsidRPr="00930852">
              <w:rPr>
                <w:rFonts w:ascii="Symbol" w:hAnsi="Symbol"/>
                <w:szCs w:val="22"/>
              </w:rPr>
              <w:t></w:t>
            </w:r>
            <w:r w:rsidRPr="00930852">
              <w:rPr>
                <w:szCs w:val="22"/>
              </w:rPr>
              <w:t> (48</w:t>
            </w:r>
            <w:r w:rsidRPr="00930852">
              <w:rPr>
                <w:rFonts w:ascii="Symbol" w:eastAsia="Symbol" w:hAnsi="Symbol" w:cs="Symbol"/>
              </w:rPr>
              <w:t></w:t>
            </w:r>
            <w:r w:rsidRPr="00930852">
              <w:rPr>
                <w:i/>
              </w:rPr>
              <w:t>E</w:t>
            </w:r>
            <w:r w:rsidRPr="00930852">
              <w:rPr>
                <w:vertAlign w:val="subscript"/>
              </w:rPr>
              <w:t>s</w:t>
            </w:r>
            <w:r w:rsidRPr="00930852">
              <w:rPr>
                <w:i/>
              </w:rPr>
              <w:t>I</w:t>
            </w:r>
            <w:r w:rsidRPr="00930852">
              <w:rPr>
                <w:vertAlign w:val="subscript"/>
              </w:rPr>
              <w:t>b</w:t>
            </w:r>
            <w:r w:rsidRPr="00930852">
              <w:t>/</w:t>
            </w:r>
            <w:r w:rsidRPr="00930852">
              <w:rPr>
                <w:i/>
              </w:rPr>
              <w:t>L</w:t>
            </w:r>
            <w:r w:rsidRPr="00930852">
              <w:rPr>
                <w:vertAlign w:val="subscript"/>
              </w:rPr>
              <w:t>b</w:t>
            </w:r>
            <w:r w:rsidRPr="00930852">
              <w:rPr>
                <w:vertAlign w:val="superscript"/>
              </w:rPr>
              <w:t>3</w:t>
            </w:r>
            <w:r w:rsidRPr="00930852">
              <w:rPr>
                <w:szCs w:val="22"/>
              </w:rPr>
              <w:t xml:space="preserve">) </w:t>
            </w:r>
            <w:r w:rsidRPr="00930852">
              <w:t xml:space="preserve">is the </w:t>
            </w:r>
            <w:r w:rsidRPr="00930852">
              <w:rPr>
                <w:szCs w:val="22"/>
              </w:rPr>
              <w:t>flexural stiffness of the beam</w:t>
            </w:r>
            <w:r w:rsidRPr="00930852">
              <w:t>;</w:t>
            </w:r>
          </w:p>
        </w:tc>
      </w:tr>
      <w:tr w:rsidR="00930852" w:rsidRPr="00930852" w14:paraId="010FA480" w14:textId="77777777" w:rsidTr="0078003E">
        <w:tc>
          <w:tcPr>
            <w:tcW w:w="1404" w:type="dxa"/>
          </w:tcPr>
          <w:p w14:paraId="487E4AFA" w14:textId="77777777" w:rsidR="00930852" w:rsidRPr="00930852" w:rsidRDefault="00930852" w:rsidP="00930852">
            <w:pPr>
              <w:pStyle w:val="Text"/>
            </w:pPr>
            <w:r w:rsidRPr="00930852">
              <w:rPr>
                <w:i/>
              </w:rPr>
              <w:t>E</w:t>
            </w:r>
            <w:r w:rsidRPr="00930852">
              <w:rPr>
                <w:vertAlign w:val="subscript"/>
              </w:rPr>
              <w:t>s</w:t>
            </w:r>
            <w:r w:rsidRPr="00930852">
              <w:t xml:space="preserve"> </w:t>
            </w:r>
          </w:p>
        </w:tc>
        <w:tc>
          <w:tcPr>
            <w:tcW w:w="7780" w:type="dxa"/>
          </w:tcPr>
          <w:p w14:paraId="300F2240" w14:textId="77777777" w:rsidR="00930852" w:rsidRPr="00930852" w:rsidRDefault="00930852" w:rsidP="00930852">
            <w:pPr>
              <w:pStyle w:val="Text"/>
            </w:pPr>
            <w:r w:rsidRPr="00930852">
              <w:t>is the elastic modulus of steel;</w:t>
            </w:r>
          </w:p>
        </w:tc>
      </w:tr>
      <w:tr w:rsidR="00930852" w:rsidRPr="00930852" w14:paraId="1EB8CC21" w14:textId="77777777" w:rsidTr="0078003E">
        <w:tc>
          <w:tcPr>
            <w:tcW w:w="1404" w:type="dxa"/>
          </w:tcPr>
          <w:p w14:paraId="50266BDC" w14:textId="77777777" w:rsidR="00930852" w:rsidRPr="00930852" w:rsidRDefault="00930852" w:rsidP="00930852">
            <w:pPr>
              <w:pStyle w:val="Text"/>
            </w:pPr>
            <w:bookmarkStart w:id="9626" w:name="_Hlk38810705"/>
            <w:r w:rsidRPr="00930852">
              <w:rPr>
                <w:i/>
              </w:rPr>
              <w:t>I</w:t>
            </w:r>
            <w:r w:rsidRPr="00930852">
              <w:rPr>
                <w:vertAlign w:val="subscript"/>
              </w:rPr>
              <w:t>b</w:t>
            </w:r>
            <w:r w:rsidRPr="00930852">
              <w:t xml:space="preserve"> </w:t>
            </w:r>
          </w:p>
        </w:tc>
        <w:tc>
          <w:tcPr>
            <w:tcW w:w="7780" w:type="dxa"/>
          </w:tcPr>
          <w:p w14:paraId="6D04BAF3" w14:textId="77777777" w:rsidR="00930852" w:rsidRPr="00930852" w:rsidRDefault="00930852" w:rsidP="00930852">
            <w:pPr>
              <w:pStyle w:val="Text"/>
            </w:pPr>
            <w:r w:rsidRPr="00930852">
              <w:t xml:space="preserve">is the second moment of area of the beam section; </w:t>
            </w:r>
          </w:p>
        </w:tc>
      </w:tr>
      <w:tr w:rsidR="00930852" w:rsidRPr="00930852" w14:paraId="4CBAA4F4" w14:textId="77777777" w:rsidTr="0078003E">
        <w:tc>
          <w:tcPr>
            <w:tcW w:w="1404" w:type="dxa"/>
          </w:tcPr>
          <w:p w14:paraId="327BD5FF" w14:textId="77777777" w:rsidR="00930852" w:rsidRPr="00930852" w:rsidRDefault="00930852" w:rsidP="00930852">
            <w:pPr>
              <w:pStyle w:val="Text"/>
            </w:pPr>
            <w:r w:rsidRPr="00930852">
              <w:rPr>
                <w:i/>
              </w:rPr>
              <w:t>L</w:t>
            </w:r>
            <w:r w:rsidRPr="00930852">
              <w:rPr>
                <w:vertAlign w:val="subscript"/>
              </w:rPr>
              <w:t>b</w:t>
            </w:r>
            <w:r w:rsidRPr="00930852">
              <w:t xml:space="preserve"> </w:t>
            </w:r>
          </w:p>
        </w:tc>
        <w:tc>
          <w:tcPr>
            <w:tcW w:w="7780" w:type="dxa"/>
          </w:tcPr>
          <w:p w14:paraId="53CD6077" w14:textId="77777777" w:rsidR="00930852" w:rsidRPr="00930852" w:rsidRDefault="00930852" w:rsidP="00930852">
            <w:pPr>
              <w:pStyle w:val="Text"/>
            </w:pPr>
            <w:r w:rsidRPr="00930852">
              <w:t xml:space="preserve">is the beam length; </w:t>
            </w:r>
          </w:p>
        </w:tc>
      </w:tr>
      <w:bookmarkEnd w:id="9626"/>
      <w:tr w:rsidR="00930852" w:rsidRPr="00930852" w14:paraId="19084E0C" w14:textId="77777777" w:rsidTr="0078003E">
        <w:tc>
          <w:tcPr>
            <w:tcW w:w="1404" w:type="dxa"/>
          </w:tcPr>
          <w:p w14:paraId="2F57108A" w14:textId="77777777" w:rsidR="00930852" w:rsidRPr="00930852" w:rsidRDefault="00930852" w:rsidP="00930852">
            <w:pPr>
              <w:pStyle w:val="Text"/>
            </w:pPr>
            <w:r w:rsidRPr="00930852">
              <w:rPr>
                <w:rFonts w:ascii="Symbol" w:eastAsia="Symbol" w:hAnsi="Symbol" w:cs="Symbol"/>
              </w:rPr>
              <w:t></w:t>
            </w:r>
            <w:r w:rsidRPr="00930852">
              <w:t xml:space="preserve"> </w:t>
            </w:r>
          </w:p>
        </w:tc>
        <w:tc>
          <w:tcPr>
            <w:tcW w:w="7780" w:type="dxa"/>
          </w:tcPr>
          <w:p w14:paraId="3A224730" w14:textId="77777777" w:rsidR="00930852" w:rsidRPr="00930852" w:rsidRDefault="00930852" w:rsidP="00930852">
            <w:pPr>
              <w:pStyle w:val="Text"/>
            </w:pPr>
            <w:r w:rsidRPr="00930852">
              <w:t>depends on the beam boundary condition (</w:t>
            </w:r>
            <w:r w:rsidRPr="00930852">
              <w:rPr>
                <w:rFonts w:ascii="Symbol" w:eastAsia="Symbol" w:hAnsi="Symbol" w:cs="Symbol"/>
              </w:rPr>
              <w:t></w:t>
            </w:r>
            <w:r w:rsidRPr="00930852">
              <w:t xml:space="preserve"> = 4 for fixed ends and </w:t>
            </w:r>
            <w:r w:rsidRPr="00930852">
              <w:rPr>
                <w:rFonts w:ascii="Symbol" w:eastAsia="Symbol" w:hAnsi="Symbol" w:cs="Symbol"/>
              </w:rPr>
              <w:t></w:t>
            </w:r>
            <w:r w:rsidRPr="00930852">
              <w:t xml:space="preserve"> = 1 for pinned ends); </w:t>
            </w:r>
          </w:p>
        </w:tc>
      </w:tr>
      <w:tr w:rsidR="00930852" w:rsidRPr="00930852" w14:paraId="3FB2F117" w14:textId="77777777" w:rsidTr="0078003E">
        <w:tc>
          <w:tcPr>
            <w:tcW w:w="1404" w:type="dxa"/>
          </w:tcPr>
          <w:p w14:paraId="6EA6DD53" w14:textId="77777777" w:rsidR="00930852" w:rsidRPr="00930852" w:rsidRDefault="009B5CEC" w:rsidP="00930852">
            <w:pPr>
              <w:pStyle w:val="Text"/>
              <w:rPr>
                <w:noProof/>
              </w:rPr>
            </w:pPr>
            <m:oMath>
              <m:sSub>
                <m:sSubPr>
                  <m:ctrlPr>
                    <w:rPr>
                      <w:rFonts w:ascii="Cambria Math" w:eastAsia="Times New Roman" w:hAnsi="Cambria Math" w:cs="Times New Roman"/>
                      <w:bCs/>
                      <w:i/>
                      <w:szCs w:val="22"/>
                      <w:lang w:eastAsia="en-US"/>
                    </w:rPr>
                  </m:ctrlPr>
                </m:sSubPr>
                <m:e>
                  <m:r>
                    <w:rPr>
                      <w:rFonts w:ascii="Cambria Math" w:hAnsi="Cambria Math"/>
                      <w:szCs w:val="22"/>
                    </w:rPr>
                    <m:t>k</m:t>
                  </m:r>
                </m:e>
                <m:sub>
                  <m:r>
                    <m:rPr>
                      <m:sty m:val="p"/>
                    </m:rPr>
                    <w:rPr>
                      <w:rFonts w:ascii="Cambria Math" w:hAnsi="Cambria Math"/>
                      <w:szCs w:val="22"/>
                    </w:rPr>
                    <m:t>br</m:t>
                  </m:r>
                </m:sub>
              </m:sSub>
              <m:r>
                <w:rPr>
                  <w:rFonts w:ascii="Cambria Math" w:hAnsi="Cambria Math"/>
                  <w:szCs w:val="22"/>
                </w:rPr>
                <m:t>=2</m:t>
              </m:r>
              <m:f>
                <m:fPr>
                  <m:ctrlPr>
                    <w:rPr>
                      <w:rFonts w:ascii="Cambria Math" w:eastAsia="Times New Roman" w:hAnsi="Cambria Math" w:cs="Times New Roman"/>
                      <w:bCs/>
                      <w:i/>
                      <w:szCs w:val="22"/>
                      <w:lang w:eastAsia="en-US"/>
                    </w:rPr>
                  </m:ctrlPr>
                </m:fPr>
                <m:num>
                  <m:sSub>
                    <m:sSubPr>
                      <m:ctrlPr>
                        <w:rPr>
                          <w:rFonts w:ascii="Cambria Math" w:eastAsia="Times New Roman" w:hAnsi="Cambria Math" w:cs="Times New Roman"/>
                          <w:bCs/>
                          <w:i/>
                          <w:szCs w:val="22"/>
                          <w:lang w:eastAsia="en-US"/>
                        </w:rPr>
                      </m:ctrlPr>
                    </m:sSubPr>
                    <m:e>
                      <m:r>
                        <w:rPr>
                          <w:rFonts w:ascii="Cambria Math" w:hAnsi="Cambria Math"/>
                          <w:szCs w:val="22"/>
                        </w:rPr>
                        <m:t>A</m:t>
                      </m:r>
                    </m:e>
                    <m:sub>
                      <m:r>
                        <m:rPr>
                          <m:sty m:val="p"/>
                        </m:rPr>
                        <w:rPr>
                          <w:rFonts w:ascii="Cambria Math" w:hAnsi="Cambria Math"/>
                          <w:szCs w:val="22"/>
                        </w:rPr>
                        <m:t>br</m:t>
                      </m:r>
                    </m:sub>
                  </m:sSub>
                  <m:sSub>
                    <m:sSubPr>
                      <m:ctrlPr>
                        <w:rPr>
                          <w:rFonts w:ascii="Cambria Math" w:eastAsia="Times New Roman" w:hAnsi="Cambria Math" w:cs="Times New Roman"/>
                          <w:bCs/>
                          <w:i/>
                          <w:szCs w:val="22"/>
                          <w:lang w:eastAsia="en-US"/>
                        </w:rPr>
                      </m:ctrlPr>
                    </m:sSubPr>
                    <m:e>
                      <m:r>
                        <w:rPr>
                          <w:rFonts w:ascii="Cambria Math" w:eastAsia="Times New Roman" w:hAnsi="Cambria Math" w:cs="Times New Roman"/>
                          <w:szCs w:val="22"/>
                          <w:lang w:eastAsia="en-US"/>
                        </w:rPr>
                        <m:t>E</m:t>
                      </m:r>
                    </m:e>
                    <m:sub>
                      <m:r>
                        <m:rPr>
                          <m:sty m:val="p"/>
                        </m:rPr>
                        <w:rPr>
                          <w:rFonts w:ascii="Cambria Math" w:eastAsia="Times New Roman" w:hAnsi="Cambria Math" w:cs="Times New Roman"/>
                          <w:szCs w:val="22"/>
                          <w:lang w:eastAsia="en-US"/>
                        </w:rPr>
                        <m:t>s</m:t>
                      </m:r>
                    </m:sub>
                  </m:sSub>
                </m:num>
                <m:den>
                  <m:sSub>
                    <m:sSubPr>
                      <m:ctrlPr>
                        <w:rPr>
                          <w:rFonts w:ascii="Cambria Math" w:eastAsia="Times New Roman" w:hAnsi="Cambria Math" w:cs="Times New Roman"/>
                          <w:bCs/>
                          <w:i/>
                          <w:szCs w:val="22"/>
                          <w:lang w:eastAsia="en-US"/>
                        </w:rPr>
                      </m:ctrlPr>
                    </m:sSubPr>
                    <m:e>
                      <m:r>
                        <w:rPr>
                          <w:rFonts w:ascii="Cambria Math" w:eastAsia="Times New Roman" w:hAnsi="Cambria Math" w:cs="Times New Roman"/>
                          <w:szCs w:val="22"/>
                          <w:lang w:eastAsia="en-US"/>
                        </w:rPr>
                        <m:t>L</m:t>
                      </m:r>
                    </m:e>
                    <m:sub>
                      <m:r>
                        <m:rPr>
                          <m:sty m:val="p"/>
                        </m:rPr>
                        <w:rPr>
                          <w:rFonts w:ascii="Cambria Math" w:eastAsia="Times New Roman" w:hAnsi="Cambria Math" w:cs="Times New Roman"/>
                          <w:szCs w:val="22"/>
                          <w:lang w:eastAsia="en-US"/>
                        </w:rPr>
                        <m:t>br</m:t>
                      </m:r>
                    </m:sub>
                  </m:sSub>
                </m:den>
              </m:f>
              <m:func>
                <m:funcPr>
                  <m:ctrlPr>
                    <w:rPr>
                      <w:rFonts w:ascii="Cambria Math" w:eastAsia="Times New Roman" w:hAnsi="Cambria Math" w:cs="Times New Roman"/>
                      <w:bCs/>
                      <w:i/>
                      <w:szCs w:val="22"/>
                      <w:lang w:eastAsia="en-US"/>
                    </w:rPr>
                  </m:ctrlPr>
                </m:funcPr>
                <m:fName>
                  <m:sSup>
                    <m:sSupPr>
                      <m:ctrlPr>
                        <w:rPr>
                          <w:rFonts w:ascii="Cambria Math" w:eastAsia="Times New Roman" w:hAnsi="Cambria Math" w:cs="Times New Roman"/>
                          <w:bCs/>
                          <w:i/>
                          <w:szCs w:val="22"/>
                          <w:lang w:eastAsia="en-US"/>
                        </w:rPr>
                      </m:ctrlPr>
                    </m:sSupPr>
                    <m:e>
                      <m:r>
                        <m:rPr>
                          <m:sty m:val="p"/>
                        </m:rPr>
                        <w:rPr>
                          <w:rFonts w:ascii="Cambria Math" w:eastAsia="Times New Roman" w:hAnsi="Cambria Math" w:cs="Times New Roman"/>
                          <w:lang w:eastAsia="en-US"/>
                        </w:rPr>
                        <m:t>sin</m:t>
                      </m:r>
                    </m:e>
                    <m:sup>
                      <m:r>
                        <w:rPr>
                          <w:rFonts w:ascii="Cambria Math" w:eastAsia="Times New Roman" w:hAnsi="Cambria Math" w:cs="Times New Roman"/>
                          <w:lang w:eastAsia="en-US"/>
                        </w:rPr>
                        <m:t>2</m:t>
                      </m:r>
                    </m:sup>
                  </m:sSup>
                </m:fName>
                <m:e>
                  <m:r>
                    <w:rPr>
                      <w:rFonts w:ascii="Cambria Math" w:eastAsia="Times New Roman" w:hAnsi="Cambria Math" w:cs="Times New Roman"/>
                      <w:szCs w:val="22"/>
                      <w:lang w:eastAsia="en-US"/>
                    </w:rPr>
                    <m:t>α</m:t>
                  </m:r>
                </m:e>
              </m:func>
            </m:oMath>
            <w:r w:rsidR="00930852" w:rsidRPr="00930852">
              <w:rPr>
                <w:noProof/>
              </w:rPr>
              <w:t xml:space="preserve"> </w:t>
            </w:r>
          </w:p>
        </w:tc>
        <w:tc>
          <w:tcPr>
            <w:tcW w:w="7780" w:type="dxa"/>
          </w:tcPr>
          <w:p w14:paraId="1285B77C" w14:textId="77777777" w:rsidR="00930852" w:rsidRPr="00930852" w:rsidRDefault="00930852" w:rsidP="00930852">
            <w:pPr>
              <w:pStyle w:val="Text"/>
            </w:pPr>
            <w:r w:rsidRPr="00930852">
              <w:rPr>
                <w:noProof/>
              </w:rPr>
              <w:t xml:space="preserve">is </w:t>
            </w:r>
            <w:r w:rsidRPr="00930852">
              <w:t xml:space="preserve">the </w:t>
            </w:r>
            <w:bookmarkStart w:id="9627" w:name="_Hlk38810837"/>
            <w:r w:rsidRPr="00930852">
              <w:t>vertical stiffness of the bracing;</w:t>
            </w:r>
            <w:bookmarkEnd w:id="9627"/>
          </w:p>
        </w:tc>
      </w:tr>
      <w:tr w:rsidR="00930852" w:rsidRPr="00930852" w14:paraId="133907A2" w14:textId="77777777" w:rsidTr="0078003E">
        <w:tc>
          <w:tcPr>
            <w:tcW w:w="1404" w:type="dxa"/>
          </w:tcPr>
          <w:p w14:paraId="4ED7D72C" w14:textId="77777777" w:rsidR="00930852" w:rsidRPr="00930852" w:rsidRDefault="00930852" w:rsidP="00930852">
            <w:pPr>
              <w:pStyle w:val="Text"/>
            </w:pPr>
            <w:bookmarkStart w:id="9628" w:name="_Hlk38810883"/>
            <w:r w:rsidRPr="00930852">
              <w:rPr>
                <w:i/>
              </w:rPr>
              <w:t>A</w:t>
            </w:r>
            <w:r w:rsidRPr="00930852">
              <w:rPr>
                <w:vertAlign w:val="subscript"/>
              </w:rPr>
              <w:t>br</w:t>
            </w:r>
            <w:r w:rsidRPr="00930852">
              <w:t xml:space="preserve"> </w:t>
            </w:r>
          </w:p>
        </w:tc>
        <w:tc>
          <w:tcPr>
            <w:tcW w:w="7780" w:type="dxa"/>
          </w:tcPr>
          <w:p w14:paraId="49668854" w14:textId="77777777" w:rsidR="00930852" w:rsidRPr="00930852" w:rsidRDefault="00930852" w:rsidP="00930852">
            <w:pPr>
              <w:pStyle w:val="Text"/>
            </w:pPr>
            <w:r w:rsidRPr="00930852">
              <w:t>is the area of the brace section;</w:t>
            </w:r>
          </w:p>
        </w:tc>
      </w:tr>
      <w:tr w:rsidR="00930852" w:rsidRPr="00930852" w14:paraId="3356C429" w14:textId="77777777" w:rsidTr="0078003E">
        <w:tc>
          <w:tcPr>
            <w:tcW w:w="1404" w:type="dxa"/>
          </w:tcPr>
          <w:p w14:paraId="0DE691B2" w14:textId="77777777" w:rsidR="00930852" w:rsidRPr="00930852" w:rsidRDefault="00930852" w:rsidP="00930852">
            <w:pPr>
              <w:pStyle w:val="Text"/>
            </w:pPr>
            <w:r w:rsidRPr="00930852">
              <w:rPr>
                <w:i/>
              </w:rPr>
              <w:t>L</w:t>
            </w:r>
            <w:r w:rsidRPr="00930852">
              <w:rPr>
                <w:vertAlign w:val="subscript"/>
              </w:rPr>
              <w:t>br</w:t>
            </w:r>
            <w:r w:rsidRPr="00930852">
              <w:t xml:space="preserve"> </w:t>
            </w:r>
          </w:p>
        </w:tc>
        <w:tc>
          <w:tcPr>
            <w:tcW w:w="7780" w:type="dxa"/>
          </w:tcPr>
          <w:p w14:paraId="617003D9" w14:textId="77777777" w:rsidR="00930852" w:rsidRPr="00930852" w:rsidRDefault="00930852" w:rsidP="00930852">
            <w:pPr>
              <w:pStyle w:val="Text"/>
            </w:pPr>
            <w:r w:rsidRPr="00930852">
              <w:t xml:space="preserve">is the brace length; </w:t>
            </w:r>
          </w:p>
        </w:tc>
      </w:tr>
      <w:tr w:rsidR="00930852" w:rsidRPr="00930852" w14:paraId="611E1922" w14:textId="77777777" w:rsidTr="0078003E">
        <w:tc>
          <w:tcPr>
            <w:tcW w:w="1404" w:type="dxa"/>
          </w:tcPr>
          <w:p w14:paraId="22B03356" w14:textId="77777777" w:rsidR="00930852" w:rsidRPr="00930852" w:rsidRDefault="00930852" w:rsidP="00930852">
            <w:pPr>
              <w:pStyle w:val="Text"/>
            </w:pPr>
            <w:r w:rsidRPr="00930852">
              <w:t xml:space="preserve">α </w:t>
            </w:r>
          </w:p>
        </w:tc>
        <w:tc>
          <w:tcPr>
            <w:tcW w:w="7780" w:type="dxa"/>
          </w:tcPr>
          <w:p w14:paraId="5CAE26EF" w14:textId="77777777" w:rsidR="00930852" w:rsidRPr="00930852" w:rsidRDefault="00930852" w:rsidP="00930852">
            <w:pPr>
              <w:pStyle w:val="Text"/>
            </w:pPr>
            <w:r w:rsidRPr="00930852">
              <w:t>is the angle of the brace with respect to the horizontal line.</w:t>
            </w:r>
          </w:p>
        </w:tc>
      </w:tr>
    </w:tbl>
    <w:bookmarkEnd w:id="9628"/>
    <w:p w14:paraId="708CD1BE" w14:textId="1301296D" w:rsidR="007775AA" w:rsidRPr="007754C9" w:rsidRDefault="007775AA" w:rsidP="00724E4E">
      <w:pPr>
        <w:pStyle w:val="Clause"/>
      </w:pPr>
      <w:r w:rsidRPr="002144A0">
        <w:t xml:space="preserve">If non-linear static or dynamic analyses are performed to verify the overall deformations and the distribution of damage, </w:t>
      </w:r>
      <w:r w:rsidRPr="00357B79">
        <w:rPr>
          <w:bCs/>
        </w:rPr>
        <w:t>(4)</w:t>
      </w:r>
      <w:r w:rsidRPr="00C52095">
        <w:t xml:space="preserve"> may be waived.</w:t>
      </w:r>
    </w:p>
    <w:p w14:paraId="65575BF5" w14:textId="2E9EFE09" w:rsidR="007775AA" w:rsidRPr="00132C1E" w:rsidRDefault="007775AA" w:rsidP="00724E4E">
      <w:pPr>
        <w:pStyle w:val="Clause"/>
      </w:pPr>
      <w:r w:rsidRPr="007754C9">
        <w:lastRenderedPageBreak/>
        <w:t xml:space="preserve">If </w:t>
      </w:r>
      <w:r w:rsidRPr="00930852">
        <w:t xml:space="preserve">zipper V-bracings (where the brace-intercepted beams are tied by vertical struts, see Figure 11.3 case 7) are used, the resistance and stability of vertical members connecting the brace-to-beam intersection should be verified against the unbalanced vertical seismic action effect applied to the beam by the braces after buckling of the compression diagonal, calculated according to </w:t>
      </w:r>
      <w:r w:rsidRPr="00357B79">
        <w:rPr>
          <w:bCs/>
        </w:rPr>
        <w:t>11.10.4.2</w:t>
      </w:r>
      <w:r w:rsidRPr="003B0C2D">
        <w:rPr>
          <w:bCs/>
        </w:rPr>
        <w:t>(c).</w:t>
      </w:r>
    </w:p>
    <w:p w14:paraId="636FC29C" w14:textId="24846508" w:rsidR="007775AA" w:rsidRPr="00132C1E" w:rsidRDefault="007775AA" w:rsidP="00724E4E">
      <w:pPr>
        <w:pStyle w:val="Clause"/>
      </w:pPr>
      <w:r w:rsidRPr="00132C1E">
        <w:t xml:space="preserve">In DC3, the resistance and stability of columns should be verified under axial forces calculated according </w:t>
      </w:r>
      <w:r w:rsidRPr="00930852">
        <w:t xml:space="preserve">to </w:t>
      </w:r>
      <w:r w:rsidRPr="00357B79">
        <w:rPr>
          <w:bCs/>
        </w:rPr>
        <w:t>11.10.4.2</w:t>
      </w:r>
      <w:r w:rsidRPr="003B0C2D">
        <w:rPr>
          <w:bCs/>
        </w:rPr>
        <w:t>(c)</w:t>
      </w:r>
      <w:r w:rsidRPr="00930852">
        <w:t xml:space="preserve"> and a</w:t>
      </w:r>
      <w:r w:rsidRPr="00132C1E">
        <w:t xml:space="preserve">dditional uniform bending moments in the direction of the braced bays equal to 0,2 </w:t>
      </w:r>
      <w:r w:rsidRPr="004F74EA">
        <w:rPr>
          <w:i/>
        </w:rPr>
        <w:t>M</w:t>
      </w:r>
      <w:r w:rsidRPr="004F74EA">
        <w:rPr>
          <w:vertAlign w:val="subscript"/>
        </w:rPr>
        <w:t>c,pl,Rd</w:t>
      </w:r>
      <w:r w:rsidRPr="00132C1E">
        <w:t xml:space="preserve">  where </w:t>
      </w:r>
      <w:r w:rsidRPr="004F74EA">
        <w:rPr>
          <w:i/>
        </w:rPr>
        <w:t>M</w:t>
      </w:r>
      <w:r w:rsidRPr="004F74EA">
        <w:rPr>
          <w:vertAlign w:val="subscript"/>
        </w:rPr>
        <w:t>c,pl,Rd</w:t>
      </w:r>
      <w:r w:rsidRPr="00132C1E">
        <w:t xml:space="preserve"> is the plastic moment resistance of the gross section of the column.</w:t>
      </w:r>
    </w:p>
    <w:p w14:paraId="5189B722" w14:textId="06249B82" w:rsidR="007775AA" w:rsidRPr="00132C1E" w:rsidRDefault="007775AA" w:rsidP="00724E4E">
      <w:pPr>
        <w:pStyle w:val="Clause"/>
      </w:pPr>
      <w:bookmarkStart w:id="9629" w:name="_Hlk1575016"/>
      <w:r w:rsidRPr="00132C1E">
        <w:t xml:space="preserve">In frames with diagonal bracings in which the tension and compression diagonals are not </w:t>
      </w:r>
      <w:r w:rsidRPr="00930852">
        <w:t xml:space="preserve">intersecting (see Figures 11.2 and 11.3), the tensile </w:t>
      </w:r>
      <w:r w:rsidRPr="00132C1E">
        <w:t>and compression forces which develop in the columns adjacent to the diagonals in compression should be taken into account, with values of compression forces in the diagonals equal to their expected buckling resistance.</w:t>
      </w:r>
    </w:p>
    <w:p w14:paraId="2B4372BD" w14:textId="482882C9" w:rsidR="007775AA" w:rsidRPr="00132C1E" w:rsidRDefault="007775AA" w:rsidP="007775AA">
      <w:pPr>
        <w:pStyle w:val="Heading3"/>
      </w:pPr>
      <w:bookmarkStart w:id="9630" w:name="_Toc522955940"/>
      <w:bookmarkStart w:id="9631" w:name="_Toc18314131"/>
      <w:bookmarkStart w:id="9632" w:name="_Toc50150445"/>
      <w:bookmarkStart w:id="9633" w:name="_Toc70886877"/>
      <w:bookmarkStart w:id="9634" w:name="_Toc108342436"/>
      <w:bookmarkStart w:id="9635" w:name="_Toc134197968"/>
      <w:bookmarkEnd w:id="9629"/>
      <w:r>
        <w:t>Verification of b</w:t>
      </w:r>
      <w:r w:rsidRPr="00132C1E">
        <w:t>eam to column connections</w:t>
      </w:r>
      <w:bookmarkEnd w:id="9630"/>
      <w:bookmarkEnd w:id="9631"/>
      <w:bookmarkEnd w:id="9632"/>
      <w:bookmarkEnd w:id="9633"/>
      <w:bookmarkEnd w:id="9634"/>
      <w:bookmarkEnd w:id="9635"/>
    </w:p>
    <w:p w14:paraId="559578E7" w14:textId="2FF2A953" w:rsidR="007775AA" w:rsidRPr="00132C1E" w:rsidRDefault="007775AA" w:rsidP="0080187E">
      <w:pPr>
        <w:pStyle w:val="Clause"/>
        <w:numPr>
          <w:ilvl w:val="0"/>
          <w:numId w:val="388"/>
        </w:numPr>
      </w:pPr>
      <w:bookmarkStart w:id="9636" w:name="_Hlk2013734"/>
      <w:r w:rsidRPr="00132C1E">
        <w:t>In braced bays, beam-to-column connections which serve also as connection of a bracing should be designed to the transfer seismic action effects from that bracing to the surrounding frame</w:t>
      </w:r>
      <w:bookmarkEnd w:id="9636"/>
      <w:r w:rsidRPr="00132C1E">
        <w:t>.</w:t>
      </w:r>
    </w:p>
    <w:p w14:paraId="624C1141" w14:textId="486011A9" w:rsidR="007775AA" w:rsidRPr="00132C1E" w:rsidRDefault="007775AA" w:rsidP="00724E4E">
      <w:pPr>
        <w:pStyle w:val="Clause"/>
      </w:pPr>
      <w:r w:rsidRPr="00132C1E">
        <w:t>The beam-to-column connections may be either continuous or pinned and a) or b), as appropriate, should be satisfied.</w:t>
      </w:r>
    </w:p>
    <w:p w14:paraId="1B3ED491" w14:textId="77777777" w:rsidR="007775AA" w:rsidRPr="00132C1E" w:rsidRDefault="007775AA" w:rsidP="0080187E">
      <w:pPr>
        <w:pStyle w:val="Text"/>
        <w:numPr>
          <w:ilvl w:val="0"/>
          <w:numId w:val="648"/>
        </w:numPr>
      </w:pPr>
      <w:r w:rsidRPr="00132C1E">
        <w:t xml:space="preserve">the </w:t>
      </w:r>
      <w:r>
        <w:t xml:space="preserve">total </w:t>
      </w:r>
      <w:r w:rsidRPr="00132C1E">
        <w:t>rotation capacity of pinned and partial strength connections should not be smaller than 0,02 rad;</w:t>
      </w:r>
    </w:p>
    <w:p w14:paraId="04D55E73" w14:textId="77777777" w:rsidR="007775AA" w:rsidRPr="00132C1E" w:rsidRDefault="007775AA" w:rsidP="0080187E">
      <w:pPr>
        <w:pStyle w:val="Text"/>
        <w:numPr>
          <w:ilvl w:val="0"/>
          <w:numId w:val="648"/>
        </w:numPr>
        <w:rPr>
          <w:rFonts w:eastAsia="Cambria"/>
        </w:rPr>
      </w:pPr>
      <w:r w:rsidRPr="00132C1E">
        <w:t xml:space="preserve">the resistance </w:t>
      </w:r>
      <w:r w:rsidRPr="00132C1E">
        <w:rPr>
          <w:i/>
          <w:iCs/>
        </w:rPr>
        <w:t>M</w:t>
      </w:r>
      <w:r w:rsidRPr="00132C1E">
        <w:rPr>
          <w:vertAlign w:val="subscript"/>
        </w:rPr>
        <w:t>j,Rd</w:t>
      </w:r>
      <w:r w:rsidRPr="00132C1E">
        <w:t xml:space="preserve"> of continuous beam-to-column connections should be greater than the minimum expected moment resistance of the connected members, taken as given in </w:t>
      </w:r>
      <w:r w:rsidRPr="00930852">
        <w:t>Formula (11.21)</w:t>
      </w:r>
      <w:r w:rsidRPr="00132C1E">
        <w:t>:</w:t>
      </w:r>
      <w:bookmarkStart w:id="9637" w:name="_Hlk38811026"/>
      <w:bookmarkEnd w:id="9637"/>
    </w:p>
    <w:p w14:paraId="72B9A362" w14:textId="1474B91F" w:rsidR="009C7E1A" w:rsidRDefault="009B5CEC" w:rsidP="009C7E1A">
      <w:pPr>
        <w:pStyle w:val="Formula"/>
        <w:spacing w:before="240"/>
      </w:pPr>
      <m:oMath>
        <m:sSub>
          <m:sSubPr>
            <m:ctrlPr>
              <w:rPr>
                <w:rFonts w:ascii="Cambria Math" w:hAnsi="Cambria Math"/>
              </w:rPr>
            </m:ctrlPr>
          </m:sSubPr>
          <m:e>
            <m:r>
              <w:rPr>
                <w:rFonts w:ascii="Cambria Math" w:hAnsi="Cambria Math"/>
              </w:rPr>
              <m:t>M</m:t>
            </m:r>
          </m:e>
          <m:sub>
            <m:r>
              <m:rPr>
                <m:sty m:val="p"/>
              </m:rPr>
              <w:rPr>
                <w:rFonts w:ascii="Cambria Math" w:hAnsi="Cambria Math"/>
              </w:rPr>
              <m:t>j,Rd</m:t>
            </m:r>
          </m:sub>
        </m:sSub>
        <m:r>
          <w:rPr>
            <w:rFonts w:ascii="Cambria Math" w:hAnsi="Cambria Math"/>
          </w:rPr>
          <m:t>≥</m:t>
        </m:r>
        <m:r>
          <m:rPr>
            <m:sty m:val="p"/>
          </m:rPr>
          <w:rPr>
            <w:rFonts w:ascii="Cambria Math" w:hAnsi="Cambria Math"/>
          </w:rPr>
          <m:t>min</m:t>
        </m:r>
        <m:d>
          <m:dPr>
            <m:begChr m:val="{"/>
            <m:endChr m:val=""/>
            <m:ctrlPr>
              <w:rPr>
                <w:rFonts w:ascii="Cambria Math" w:hAnsi="Cambria Math"/>
              </w:rPr>
            </m:ctrlPr>
          </m:dPr>
          <m:e>
            <m:eqArr>
              <m:eqArrPr>
                <m:ctrlPr>
                  <w:rPr>
                    <w:rFonts w:ascii="Cambria Math" w:hAnsi="Cambria Math"/>
                  </w:rPr>
                </m:ctrlPr>
              </m:eqArrPr>
              <m:e>
                <m:sSub>
                  <m:sSubPr>
                    <m:ctrlPr>
                      <w:rPr>
                        <w:rFonts w:ascii="Cambria Math" w:hAnsi="Cambria Math"/>
                      </w:rPr>
                    </m:ctrlPr>
                  </m:sSubPr>
                  <m:e>
                    <m:r>
                      <w:rPr>
                        <w:rFonts w:ascii="Cambria Math" w:hAnsi="Cambria Math"/>
                      </w:rPr>
                      <m:t>ω</m:t>
                    </m:r>
                  </m:e>
                  <m:sub>
                    <m:r>
                      <m:rPr>
                        <m:sty m:val="p"/>
                      </m:rPr>
                      <w:rPr>
                        <w:rFonts w:ascii="Cambria Math" w:hAnsi="Cambria Math"/>
                      </w:rPr>
                      <m:t>rm</m:t>
                    </m:r>
                  </m:sub>
                </m:sSub>
                <m:r>
                  <w:rPr>
                    <w:rFonts w:ascii="Cambria Math" w:hAnsi="Cambria Math"/>
                  </w:rPr>
                  <m:t xml:space="preserve"> </m:t>
                </m:r>
                <m:sSub>
                  <m:sSubPr>
                    <m:ctrlPr>
                      <w:rPr>
                        <w:rFonts w:ascii="Cambria Math" w:hAnsi="Cambria Math"/>
                      </w:rPr>
                    </m:ctrlPr>
                  </m:sSubPr>
                  <m:e>
                    <m:r>
                      <w:rPr>
                        <w:rFonts w:ascii="Cambria Math" w:hAnsi="Cambria Math"/>
                      </w:rPr>
                      <m:t>ω</m:t>
                    </m:r>
                  </m:e>
                  <m:sub>
                    <m:r>
                      <m:rPr>
                        <m:sty m:val="p"/>
                      </m:rPr>
                      <w:rPr>
                        <w:rFonts w:ascii="Cambria Math" w:hAnsi="Cambria Math"/>
                      </w:rPr>
                      <m:t>sh</m:t>
                    </m:r>
                  </m:sub>
                </m:sSub>
                <m:r>
                  <w:rPr>
                    <w:rFonts w:ascii="Cambria Math" w:hAnsi="Cambria Math"/>
                  </w:rPr>
                  <m:t xml:space="preserve"> </m:t>
                </m:r>
                <m:sSub>
                  <m:sSubPr>
                    <m:ctrlPr>
                      <w:rPr>
                        <w:rFonts w:ascii="Cambria Math" w:hAnsi="Cambria Math"/>
                      </w:rPr>
                    </m:ctrlPr>
                  </m:sSubPr>
                  <m:e>
                    <m:r>
                      <w:rPr>
                        <w:rFonts w:ascii="Cambria Math" w:hAnsi="Cambria Math"/>
                      </w:rPr>
                      <m:t>M</m:t>
                    </m:r>
                  </m:e>
                  <m:sub>
                    <m:r>
                      <m:rPr>
                        <m:sty m:val="p"/>
                      </m:rPr>
                      <w:rPr>
                        <w:rFonts w:ascii="Cambria Math" w:hAnsi="Cambria Math"/>
                      </w:rPr>
                      <m:t>pl,Rd,b</m:t>
                    </m:r>
                  </m:sub>
                </m:sSub>
                <m:r>
                  <w:rPr>
                    <w:rFonts w:ascii="Cambria Math" w:hAnsi="Cambria Math"/>
                  </w:rPr>
                  <m:t xml:space="preserve">                  </m:t>
                </m:r>
              </m:e>
              <m:e>
                <m:sSub>
                  <m:sSubPr>
                    <m:ctrlPr>
                      <w:rPr>
                        <w:rFonts w:ascii="Cambria Math" w:hAnsi="Cambria Math"/>
                      </w:rPr>
                    </m:ctrlPr>
                  </m:sSubPr>
                  <m:e>
                    <m:r>
                      <w:rPr>
                        <w:rFonts w:ascii="Cambria Math" w:hAnsi="Cambria Math"/>
                      </w:rPr>
                      <m:t>ω</m:t>
                    </m:r>
                  </m:e>
                  <m:sub>
                    <m:r>
                      <m:rPr>
                        <m:sty m:val="p"/>
                      </m:rPr>
                      <w:rPr>
                        <w:rFonts w:ascii="Cambria Math" w:hAnsi="Cambria Math"/>
                      </w:rPr>
                      <m:t>rm</m:t>
                    </m:r>
                  </m:sub>
                </m:sSub>
                <m:r>
                  <w:rPr>
                    <w:rFonts w:ascii="Cambria Math" w:hAnsi="Cambria Math"/>
                  </w:rPr>
                  <m:t xml:space="preserve"> </m:t>
                </m:r>
                <m:sSub>
                  <m:sSubPr>
                    <m:ctrlPr>
                      <w:rPr>
                        <w:rFonts w:ascii="Cambria Math" w:hAnsi="Cambria Math"/>
                      </w:rPr>
                    </m:ctrlPr>
                  </m:sSubPr>
                  <m:e>
                    <m:r>
                      <w:rPr>
                        <w:rFonts w:ascii="Cambria Math" w:hAnsi="Cambria Math"/>
                      </w:rPr>
                      <m:t>ω</m:t>
                    </m:r>
                  </m:e>
                  <m:sub>
                    <m:r>
                      <m:rPr>
                        <m:sty m:val="p"/>
                      </m:rPr>
                      <w:rPr>
                        <w:rFonts w:ascii="Cambria Math" w:hAnsi="Cambria Math"/>
                      </w:rPr>
                      <m:t>sh</m:t>
                    </m:r>
                  </m:sub>
                </m:sSub>
                <m:nary>
                  <m:naryPr>
                    <m:chr m:val="∑"/>
                    <m:limLoc m:val="undOvr"/>
                    <m:subHide m:val="1"/>
                    <m:supHide m:val="1"/>
                    <m:ctrlPr>
                      <w:rPr>
                        <w:rFonts w:ascii="Cambria Math" w:hAnsi="Cambria Math"/>
                      </w:rPr>
                    </m:ctrlPr>
                  </m:naryPr>
                  <m:sub/>
                  <m:sup/>
                  <m:e>
                    <m:sSub>
                      <m:sSubPr>
                        <m:ctrlPr>
                          <w:rPr>
                            <w:rFonts w:ascii="Cambria Math" w:hAnsi="Cambria Math"/>
                          </w:rPr>
                        </m:ctrlPr>
                      </m:sSubPr>
                      <m:e>
                        <m:r>
                          <w:rPr>
                            <w:rFonts w:ascii="Cambria Math" w:hAnsi="Cambria Math"/>
                          </w:rPr>
                          <m:t>M</m:t>
                        </m:r>
                      </m:e>
                      <m:sub>
                        <m:r>
                          <m:rPr>
                            <m:sty m:val="p"/>
                          </m:rPr>
                          <w:rPr>
                            <w:rFonts w:ascii="Cambria Math" w:hAnsi="Cambria Math"/>
                          </w:rPr>
                          <m:t>pl,Rd,c</m:t>
                        </m:r>
                      </m:sub>
                    </m:sSub>
                  </m:e>
                </m:nary>
                <m:d>
                  <m:dPr>
                    <m:ctrlPr>
                      <w:rPr>
                        <w:rFonts w:ascii="Cambria Math" w:hAnsi="Cambria Math"/>
                      </w:rPr>
                    </m:ctrlPr>
                  </m:dPr>
                  <m:e>
                    <m:sSub>
                      <m:sSubPr>
                        <m:ctrlPr>
                          <w:rPr>
                            <w:rFonts w:ascii="Cambria Math" w:hAnsi="Cambria Math"/>
                          </w:rPr>
                        </m:ctrlPr>
                      </m:sSubPr>
                      <m:e>
                        <m:r>
                          <w:rPr>
                            <w:rFonts w:ascii="Cambria Math" w:hAnsi="Cambria Math"/>
                          </w:rPr>
                          <m:t>N</m:t>
                        </m:r>
                      </m:e>
                      <m:sub>
                        <m:r>
                          <m:rPr>
                            <m:sty m:val="p"/>
                          </m:rPr>
                          <w:rPr>
                            <w:rFonts w:ascii="Cambria Math" w:hAnsi="Cambria Math"/>
                          </w:rPr>
                          <m:t>Ed</m:t>
                        </m:r>
                      </m:sub>
                    </m:sSub>
                  </m:e>
                </m:d>
              </m:e>
            </m:eqArr>
          </m:e>
        </m:d>
      </m:oMath>
      <w:r w:rsidR="009C7E1A" w:rsidRPr="00870D59">
        <w:tab/>
        <w:t>(1</w:t>
      </w:r>
      <w:r w:rsidR="009C7E1A">
        <w:t>1</w:t>
      </w:r>
      <w:r w:rsidR="009C7E1A" w:rsidRPr="00870D59">
        <w:t>.</w:t>
      </w:r>
      <w:r w:rsidR="009C7E1A">
        <w:t>21</w:t>
      </w:r>
      <w:r w:rsidR="009C7E1A" w:rsidRPr="00870D59">
        <w:t>)</w:t>
      </w:r>
    </w:p>
    <w:p w14:paraId="56BDEB00" w14:textId="217507FC" w:rsidR="009C7E1A" w:rsidRDefault="00675EBA" w:rsidP="00FD2AE7">
      <w:pPr>
        <w:pStyle w:val="Text"/>
      </w:pPr>
      <w:r>
        <w:t>where</w:t>
      </w:r>
    </w:p>
    <w:tbl>
      <w:tblPr>
        <w:tblW w:w="0" w:type="auto"/>
        <w:tblInd w:w="284" w:type="dxa"/>
        <w:tblLook w:val="04A0" w:firstRow="1" w:lastRow="0" w:firstColumn="1" w:lastColumn="0" w:noHBand="0" w:noVBand="1"/>
      </w:tblPr>
      <w:tblGrid>
        <w:gridCol w:w="1435"/>
        <w:gridCol w:w="7844"/>
      </w:tblGrid>
      <w:tr w:rsidR="009C7E1A" w:rsidRPr="00821B21" w14:paraId="6EF5A2DE" w14:textId="77777777" w:rsidTr="0078003E">
        <w:tc>
          <w:tcPr>
            <w:tcW w:w="1435" w:type="dxa"/>
          </w:tcPr>
          <w:p w14:paraId="4EED3757" w14:textId="14056EBA" w:rsidR="009C7E1A" w:rsidRPr="007775AA" w:rsidRDefault="009C7E1A" w:rsidP="002061E5">
            <w:pPr>
              <w:spacing w:after="60"/>
              <w:rPr>
                <w:rFonts w:eastAsia="Times New Roman" w:cs="Cambria"/>
                <w:szCs w:val="20"/>
                <w:lang w:eastAsia="fr-FR"/>
              </w:rPr>
            </w:pPr>
            <w:r w:rsidRPr="007E6F67">
              <w:rPr>
                <w:i/>
              </w:rPr>
              <w:t>ω</w:t>
            </w:r>
            <w:r w:rsidRPr="00FD17CF">
              <w:rPr>
                <w:vertAlign w:val="subscript"/>
              </w:rPr>
              <w:t>rm</w:t>
            </w:r>
          </w:p>
        </w:tc>
        <w:tc>
          <w:tcPr>
            <w:tcW w:w="7844" w:type="dxa"/>
          </w:tcPr>
          <w:p w14:paraId="7D70E45C" w14:textId="74877860" w:rsidR="009C7E1A" w:rsidRPr="00821B21" w:rsidRDefault="009C7E1A" w:rsidP="002061E5">
            <w:pPr>
              <w:spacing w:after="60"/>
              <w:rPr>
                <w:rFonts w:eastAsia="Times New Roman" w:cs="Cambria"/>
                <w:szCs w:val="20"/>
                <w:lang w:eastAsia="fr-FR"/>
              </w:rPr>
            </w:pPr>
            <w:r w:rsidRPr="00FD17CF">
              <w:t xml:space="preserve">is the material overstrength factor </w:t>
            </w:r>
            <w:r w:rsidRPr="009C7E1A">
              <w:t xml:space="preserve">(see </w:t>
            </w:r>
            <w:r w:rsidRPr="0078003E">
              <w:t>11.2.2);</w:t>
            </w:r>
          </w:p>
        </w:tc>
      </w:tr>
      <w:tr w:rsidR="009C7E1A" w:rsidRPr="00870D59" w14:paraId="242587AF" w14:textId="77777777" w:rsidTr="0078003E">
        <w:tc>
          <w:tcPr>
            <w:tcW w:w="1435" w:type="dxa"/>
          </w:tcPr>
          <w:p w14:paraId="60760BD1" w14:textId="2D5DF3F4" w:rsidR="009C7E1A" w:rsidRPr="007775AA" w:rsidRDefault="009C7E1A" w:rsidP="002061E5">
            <w:pPr>
              <w:spacing w:after="60"/>
              <w:rPr>
                <w:i/>
                <w:iCs/>
              </w:rPr>
            </w:pPr>
            <w:r w:rsidRPr="00644C3D">
              <w:rPr>
                <w:i/>
              </w:rPr>
              <w:t>ω</w:t>
            </w:r>
            <w:r w:rsidRPr="00E05E29">
              <w:rPr>
                <w:vertAlign w:val="subscript"/>
              </w:rPr>
              <w:t>sh</w:t>
            </w:r>
          </w:p>
        </w:tc>
        <w:tc>
          <w:tcPr>
            <w:tcW w:w="7844" w:type="dxa"/>
          </w:tcPr>
          <w:p w14:paraId="2BB043CB" w14:textId="0A1D3BD4" w:rsidR="009C7E1A" w:rsidRPr="00821B21" w:rsidRDefault="009C7E1A" w:rsidP="002061E5">
            <w:r w:rsidRPr="00E05E29">
              <w:t>is the hardening factor, which may be taken equal to 1,1 for DC2 and as in Table</w:t>
            </w:r>
            <w:r w:rsidR="0078003E">
              <w:t> </w:t>
            </w:r>
            <w:r w:rsidRPr="00E05E29">
              <w:t>11.</w:t>
            </w:r>
            <w:r w:rsidR="00481078">
              <w:t>1</w:t>
            </w:r>
            <w:r w:rsidR="00C606A0">
              <w:t>0</w:t>
            </w:r>
            <w:r w:rsidR="00481078">
              <w:t xml:space="preserve"> </w:t>
            </w:r>
            <w:r w:rsidRPr="00E05E29">
              <w:t>for DC3.</w:t>
            </w:r>
          </w:p>
        </w:tc>
      </w:tr>
    </w:tbl>
    <w:p w14:paraId="39BC6D3C" w14:textId="77777777" w:rsidR="009C7E1A" w:rsidRPr="00E05E29" w:rsidRDefault="009C7E1A" w:rsidP="0078003E">
      <w:pPr>
        <w:pStyle w:val="Notetext"/>
        <w:spacing w:before="200"/>
      </w:pPr>
      <w:r w:rsidRPr="00E05E29">
        <w:t>NOTE</w:t>
      </w:r>
      <w:r w:rsidRPr="00E05E29">
        <w:tab/>
      </w:r>
      <w:r w:rsidRPr="00FD2AE7">
        <w:t>Annex E provides complementary rules on the</w:t>
      </w:r>
      <w:r w:rsidRPr="00E05E29">
        <w:t xml:space="preserve"> beam-to-column joints of braced structures.</w:t>
      </w:r>
    </w:p>
    <w:p w14:paraId="0CB775E2" w14:textId="77777777" w:rsidR="009C7E1A" w:rsidRPr="00E05E29" w:rsidRDefault="009C7E1A" w:rsidP="009C7E1A">
      <w:pPr>
        <w:pStyle w:val="Heading3"/>
      </w:pPr>
      <w:bookmarkStart w:id="9638" w:name="_Toc522955941"/>
      <w:bookmarkStart w:id="9639" w:name="_Toc18314132"/>
      <w:bookmarkStart w:id="9640" w:name="_Toc50150446"/>
      <w:bookmarkStart w:id="9641" w:name="_Toc70886878"/>
      <w:bookmarkStart w:id="9642" w:name="_Toc108342437"/>
      <w:bookmarkStart w:id="9643" w:name="_Toc134197969"/>
      <w:r>
        <w:t>Verification of b</w:t>
      </w:r>
      <w:r w:rsidRPr="00E05E29">
        <w:t>race connections</w:t>
      </w:r>
      <w:bookmarkEnd w:id="9638"/>
      <w:bookmarkEnd w:id="9639"/>
      <w:bookmarkEnd w:id="9640"/>
      <w:bookmarkEnd w:id="9641"/>
      <w:bookmarkEnd w:id="9642"/>
      <w:bookmarkEnd w:id="9643"/>
    </w:p>
    <w:p w14:paraId="753225D5" w14:textId="478CA89F" w:rsidR="009C7E1A" w:rsidRPr="00FD2AE7" w:rsidRDefault="009C7E1A" w:rsidP="0080187E">
      <w:pPr>
        <w:pStyle w:val="Clause"/>
        <w:numPr>
          <w:ilvl w:val="0"/>
          <w:numId w:val="389"/>
        </w:numPr>
      </w:pPr>
      <w:r w:rsidRPr="00E05E29">
        <w:t xml:space="preserve">Brace connections should resist the axial force due to yielding and hardening of tensile diagonals and they should either </w:t>
      </w:r>
      <w:r w:rsidRPr="00FD2AE7">
        <w:t>restrain the rotation at the end brace (see (2)) or accommodate brace buckling under repeated cyclic loading (see (3)).</w:t>
      </w:r>
    </w:p>
    <w:p w14:paraId="1FE24834" w14:textId="7A2DBBAB" w:rsidR="009C7E1A" w:rsidRPr="00E05E29" w:rsidRDefault="009C7E1A" w:rsidP="00724E4E">
      <w:pPr>
        <w:pStyle w:val="Clause"/>
      </w:pPr>
      <w:r w:rsidRPr="00FD2AE7">
        <w:t>For brace connections restraining buckling of diagonal members, the bending of bracings should be considered as restrained in both main directions</w:t>
      </w:r>
      <w:r w:rsidRPr="0051785B">
        <w:t xml:space="preserve"> of their cross section. The resistance of the connections should be verified against design forces acting on the connections both in-plane and out-of-plane separately evaluated from Formulas (11.22) to (11.24).</w:t>
      </w:r>
    </w:p>
    <w:p w14:paraId="66F85601" w14:textId="7E9DB8CC" w:rsidR="0051785B" w:rsidRDefault="009B5CEC" w:rsidP="0051785B">
      <w:pPr>
        <w:pStyle w:val="Formula"/>
        <w:spacing w:before="240"/>
      </w:pPr>
      <m:oMath>
        <m:sSub>
          <m:sSubPr>
            <m:ctrlPr>
              <w:rPr>
                <w:rFonts w:ascii="Cambria Math" w:hAnsi="Cambria Math"/>
              </w:rPr>
            </m:ctrlPr>
          </m:sSubPr>
          <m:e>
            <m:r>
              <w:rPr>
                <w:rFonts w:ascii="Cambria Math" w:hAnsi="Cambria Math"/>
              </w:rPr>
              <m:t>N</m:t>
            </m:r>
          </m:e>
          <m:sub>
            <m:r>
              <m:rPr>
                <m:sty m:val="p"/>
              </m:rPr>
              <w:rPr>
                <w:rFonts w:ascii="Cambria Math" w:hAnsi="Cambria Math"/>
              </w:rPr>
              <m:t>T,j,Ed</m:t>
            </m:r>
          </m:sub>
        </m:sSub>
        <m:r>
          <w:rPr>
            <w:rFonts w:ascii="Cambria Math" w:hAnsi="Cambria Math"/>
          </w:rPr>
          <m:t>=</m:t>
        </m:r>
        <m:sSub>
          <m:sSubPr>
            <m:ctrlPr>
              <w:rPr>
                <w:rFonts w:ascii="Cambria Math" w:hAnsi="Cambria Math"/>
              </w:rPr>
            </m:ctrlPr>
          </m:sSubPr>
          <m:e>
            <m:r>
              <w:rPr>
                <w:rFonts w:ascii="Cambria Math" w:hAnsi="Cambria Math"/>
              </w:rPr>
              <m:t>ω</m:t>
            </m:r>
          </m:e>
          <m:sub>
            <m:r>
              <m:rPr>
                <m:sty m:val="p"/>
              </m:rPr>
              <w:rPr>
                <w:rFonts w:ascii="Cambria Math" w:hAnsi="Cambria Math"/>
              </w:rPr>
              <m:t>rm</m:t>
            </m:r>
          </m:sub>
        </m:sSub>
        <m:r>
          <w:rPr>
            <w:rFonts w:ascii="Cambria Math" w:hAnsi="Cambria Math"/>
          </w:rPr>
          <m:t xml:space="preserve"> </m:t>
        </m:r>
        <m:sSub>
          <m:sSubPr>
            <m:ctrlPr>
              <w:rPr>
                <w:rFonts w:ascii="Cambria Math" w:hAnsi="Cambria Math"/>
              </w:rPr>
            </m:ctrlPr>
          </m:sSubPr>
          <m:e>
            <m:r>
              <w:rPr>
                <w:rFonts w:ascii="Cambria Math" w:hAnsi="Cambria Math"/>
              </w:rPr>
              <m:t>ω</m:t>
            </m:r>
          </m:e>
          <m:sub>
            <m:r>
              <m:rPr>
                <m:sty m:val="p"/>
              </m:rPr>
              <w:rPr>
                <w:rFonts w:ascii="Cambria Math" w:hAnsi="Cambria Math"/>
              </w:rPr>
              <m:t>sh</m:t>
            </m:r>
          </m:sub>
        </m:sSub>
        <m:r>
          <w:rPr>
            <w:rFonts w:ascii="Cambria Math" w:hAnsi="Cambria Math"/>
          </w:rPr>
          <m:t xml:space="preserve"> </m:t>
        </m:r>
        <m:sSub>
          <m:sSubPr>
            <m:ctrlPr>
              <w:rPr>
                <w:rFonts w:ascii="Cambria Math" w:hAnsi="Cambria Math"/>
              </w:rPr>
            </m:ctrlPr>
          </m:sSubPr>
          <m:e>
            <m:r>
              <w:rPr>
                <w:rFonts w:ascii="Cambria Math" w:hAnsi="Cambria Math"/>
              </w:rPr>
              <m:t>N</m:t>
            </m:r>
          </m:e>
          <m:sub>
            <m:r>
              <m:rPr>
                <m:sty m:val="p"/>
              </m:rPr>
              <w:rPr>
                <w:rFonts w:ascii="Cambria Math" w:hAnsi="Cambria Math"/>
              </w:rPr>
              <m:t>pl,Rd</m:t>
            </m:r>
          </m:sub>
        </m:sSub>
      </m:oMath>
      <w:r w:rsidR="0051785B" w:rsidRPr="00870D59">
        <w:tab/>
        <w:t>(1</w:t>
      </w:r>
      <w:r w:rsidR="0051785B">
        <w:t>1</w:t>
      </w:r>
      <w:r w:rsidR="0051785B" w:rsidRPr="00870D59">
        <w:t>.</w:t>
      </w:r>
      <w:r w:rsidR="0051785B">
        <w:t>22</w:t>
      </w:r>
      <w:r w:rsidR="0051785B" w:rsidRPr="00870D59">
        <w:t>)</w:t>
      </w:r>
    </w:p>
    <w:p w14:paraId="600857E7" w14:textId="16211A46" w:rsidR="0051785B" w:rsidRDefault="009B5CEC" w:rsidP="0051785B">
      <w:pPr>
        <w:pStyle w:val="Formula"/>
        <w:spacing w:before="240"/>
      </w:pPr>
      <m:oMath>
        <m:sSub>
          <m:sSubPr>
            <m:ctrlPr>
              <w:rPr>
                <w:rFonts w:ascii="Cambria Math" w:hAnsi="Cambria Math"/>
              </w:rPr>
            </m:ctrlPr>
          </m:sSubPr>
          <m:e>
            <m:r>
              <w:rPr>
                <w:rFonts w:ascii="Cambria Math" w:hAnsi="Cambria Math"/>
              </w:rPr>
              <m:t>N</m:t>
            </m:r>
          </m:e>
          <m:sub>
            <m:r>
              <m:rPr>
                <m:sty m:val="p"/>
              </m:rPr>
              <w:rPr>
                <w:rFonts w:ascii="Cambria Math" w:hAnsi="Cambria Math"/>
              </w:rPr>
              <m:t>C,j,Ed</m:t>
            </m:r>
          </m:sub>
        </m:sSub>
        <m:r>
          <w:rPr>
            <w:rFonts w:ascii="Cambria Math" w:hAnsi="Cambria Math"/>
          </w:rPr>
          <m:t>=</m:t>
        </m:r>
        <m:sSub>
          <m:sSubPr>
            <m:ctrlPr>
              <w:rPr>
                <w:rFonts w:ascii="Cambria Math" w:hAnsi="Cambria Math"/>
              </w:rPr>
            </m:ctrlPr>
          </m:sSubPr>
          <m:e>
            <m:r>
              <w:rPr>
                <w:rFonts w:ascii="Cambria Math" w:hAnsi="Cambria Math"/>
              </w:rPr>
              <m:t>ω</m:t>
            </m:r>
          </m:e>
          <m:sub>
            <m:r>
              <m:rPr>
                <m:sty m:val="p"/>
              </m:rPr>
              <w:rPr>
                <w:rFonts w:ascii="Cambria Math" w:hAnsi="Cambria Math"/>
              </w:rPr>
              <m:t>rm</m:t>
            </m:r>
          </m:sub>
        </m:sSub>
        <m:r>
          <w:rPr>
            <w:rFonts w:ascii="Cambria Math" w:hAnsi="Cambria Math"/>
          </w:rPr>
          <m:t xml:space="preserve"> </m:t>
        </m:r>
        <m:sSub>
          <m:sSubPr>
            <m:ctrlPr>
              <w:rPr>
                <w:rFonts w:ascii="Cambria Math" w:hAnsi="Cambria Math"/>
              </w:rPr>
            </m:ctrlPr>
          </m:sSubPr>
          <m:e>
            <m:r>
              <w:rPr>
                <w:rFonts w:ascii="Cambria Math" w:hAnsi="Cambria Math"/>
              </w:rPr>
              <m:t>N</m:t>
            </m:r>
          </m:e>
          <m:sub>
            <m:r>
              <m:rPr>
                <m:sty m:val="p"/>
              </m:rPr>
              <w:rPr>
                <w:rFonts w:ascii="Cambria Math" w:hAnsi="Cambria Math"/>
              </w:rPr>
              <m:t>b,Rd</m:t>
            </m:r>
          </m:sub>
        </m:sSub>
      </m:oMath>
      <w:r w:rsidR="0051785B" w:rsidRPr="00870D59">
        <w:tab/>
        <w:t>(1</w:t>
      </w:r>
      <w:r w:rsidR="0051785B">
        <w:t>1</w:t>
      </w:r>
      <w:r w:rsidR="0051785B" w:rsidRPr="00870D59">
        <w:t>.</w:t>
      </w:r>
      <w:r w:rsidR="0051785B">
        <w:t>23</w:t>
      </w:r>
      <w:r w:rsidR="0051785B" w:rsidRPr="00870D59">
        <w:t>)</w:t>
      </w:r>
    </w:p>
    <w:p w14:paraId="3B211634" w14:textId="0C57C637" w:rsidR="0051785B" w:rsidRDefault="009B5CEC" w:rsidP="0051785B">
      <w:pPr>
        <w:pStyle w:val="Formula"/>
        <w:spacing w:before="240"/>
      </w:pPr>
      <m:oMath>
        <m:sSub>
          <m:sSubPr>
            <m:ctrlPr>
              <w:rPr>
                <w:rFonts w:ascii="Cambria Math" w:hAnsi="Cambria Math"/>
              </w:rPr>
            </m:ctrlPr>
          </m:sSubPr>
          <m:e>
            <m:r>
              <w:rPr>
                <w:rFonts w:ascii="Cambria Math" w:hAnsi="Cambria Math"/>
              </w:rPr>
              <m:t>M</m:t>
            </m:r>
          </m:e>
          <m:sub>
            <m:r>
              <m:rPr>
                <m:sty m:val="p"/>
              </m:rPr>
              <w:rPr>
                <w:rFonts w:ascii="Cambria Math" w:hAnsi="Cambria Math"/>
              </w:rPr>
              <m:t>j,Ed</m:t>
            </m:r>
          </m:sub>
        </m:sSub>
        <m:r>
          <w:rPr>
            <w:rFonts w:ascii="Cambria Math" w:hAnsi="Cambria Math"/>
          </w:rPr>
          <m:t>=</m:t>
        </m:r>
        <m:sSub>
          <m:sSubPr>
            <m:ctrlPr>
              <w:rPr>
                <w:rFonts w:ascii="Cambria Math" w:hAnsi="Cambria Math"/>
              </w:rPr>
            </m:ctrlPr>
          </m:sSubPr>
          <m:e>
            <m:r>
              <w:rPr>
                <w:rFonts w:ascii="Cambria Math" w:hAnsi="Cambria Math"/>
              </w:rPr>
              <m:t>ω</m:t>
            </m:r>
          </m:e>
          <m:sub>
            <m:r>
              <m:rPr>
                <m:sty m:val="p"/>
              </m:rPr>
              <w:rPr>
                <w:rFonts w:ascii="Cambria Math" w:hAnsi="Cambria Math"/>
              </w:rPr>
              <m:t>rm</m:t>
            </m:r>
          </m:sub>
        </m:sSub>
        <m:r>
          <w:rPr>
            <w:rFonts w:ascii="Cambria Math" w:hAnsi="Cambria Math"/>
          </w:rPr>
          <m:t xml:space="preserve"> </m:t>
        </m:r>
        <m:sSub>
          <m:sSubPr>
            <m:ctrlPr>
              <w:rPr>
                <w:rFonts w:ascii="Cambria Math" w:hAnsi="Cambria Math"/>
              </w:rPr>
            </m:ctrlPr>
          </m:sSubPr>
          <m:e>
            <m:r>
              <w:rPr>
                <w:rFonts w:ascii="Cambria Math" w:hAnsi="Cambria Math"/>
              </w:rPr>
              <m:t>ω</m:t>
            </m:r>
          </m:e>
          <m:sub>
            <m:r>
              <m:rPr>
                <m:sty m:val="p"/>
              </m:rPr>
              <w:rPr>
                <w:rFonts w:ascii="Cambria Math" w:hAnsi="Cambria Math"/>
              </w:rPr>
              <m:t>sh</m:t>
            </m:r>
          </m:sub>
        </m:sSub>
        <m:r>
          <w:rPr>
            <w:rFonts w:ascii="Cambria Math" w:hAnsi="Cambria Math"/>
          </w:rPr>
          <m:t xml:space="preserve"> </m:t>
        </m:r>
        <m:sSub>
          <m:sSubPr>
            <m:ctrlPr>
              <w:rPr>
                <w:rFonts w:ascii="Cambria Math" w:hAnsi="Cambria Math"/>
              </w:rPr>
            </m:ctrlPr>
          </m:sSubPr>
          <m:e>
            <m:r>
              <w:rPr>
                <w:rFonts w:ascii="Cambria Math" w:hAnsi="Cambria Math"/>
              </w:rPr>
              <m:t>M</m:t>
            </m:r>
          </m:e>
          <m:sub>
            <m:r>
              <m:rPr>
                <m:sty m:val="p"/>
              </m:rPr>
              <w:rPr>
                <w:rFonts w:ascii="Cambria Math" w:hAnsi="Cambria Math"/>
              </w:rPr>
              <m:t>pl,Rd</m:t>
            </m:r>
          </m:sub>
        </m:sSub>
      </m:oMath>
      <w:r w:rsidR="0051785B" w:rsidRPr="00870D59">
        <w:tab/>
        <w:t>(1</w:t>
      </w:r>
      <w:r w:rsidR="0051785B">
        <w:t>1</w:t>
      </w:r>
      <w:r w:rsidR="0051785B" w:rsidRPr="00870D59">
        <w:t>.</w:t>
      </w:r>
      <w:r w:rsidR="0051785B">
        <w:t>24</w:t>
      </w:r>
      <w:r w:rsidR="0051785B" w:rsidRPr="00870D59">
        <w:t>)</w:t>
      </w:r>
    </w:p>
    <w:p w14:paraId="38CD6E72" w14:textId="63337723" w:rsidR="0051785B" w:rsidRDefault="00675EBA" w:rsidP="0051785B">
      <w:r>
        <w:t>where</w:t>
      </w:r>
    </w:p>
    <w:tbl>
      <w:tblPr>
        <w:tblW w:w="0" w:type="auto"/>
        <w:tblInd w:w="284" w:type="dxa"/>
        <w:tblLook w:val="04A0" w:firstRow="1" w:lastRow="0" w:firstColumn="1" w:lastColumn="0" w:noHBand="0" w:noVBand="1"/>
      </w:tblPr>
      <w:tblGrid>
        <w:gridCol w:w="1437"/>
        <w:gridCol w:w="7842"/>
      </w:tblGrid>
      <w:tr w:rsidR="005C359B" w:rsidRPr="00821B21" w14:paraId="54C423FC" w14:textId="77777777" w:rsidTr="0078003E">
        <w:tc>
          <w:tcPr>
            <w:tcW w:w="1437" w:type="dxa"/>
          </w:tcPr>
          <w:p w14:paraId="031C83EB" w14:textId="5D45FA76" w:rsidR="005C359B" w:rsidRPr="007E6F67" w:rsidRDefault="005C359B" w:rsidP="002061E5">
            <w:pPr>
              <w:spacing w:after="60"/>
              <w:rPr>
                <w:i/>
              </w:rPr>
            </w:pPr>
            <w:r w:rsidRPr="007E6F67">
              <w:rPr>
                <w:i/>
              </w:rPr>
              <w:t>N</w:t>
            </w:r>
            <w:r w:rsidRPr="00FD17CF">
              <w:rPr>
                <w:vertAlign w:val="subscript"/>
              </w:rPr>
              <w:t>pl,Rd</w:t>
            </w:r>
          </w:p>
        </w:tc>
        <w:tc>
          <w:tcPr>
            <w:tcW w:w="7842" w:type="dxa"/>
          </w:tcPr>
          <w:p w14:paraId="77FD8AD6" w14:textId="2758528C" w:rsidR="005C359B" w:rsidRPr="00FD17CF" w:rsidRDefault="005C359B" w:rsidP="002061E5">
            <w:pPr>
              <w:spacing w:after="60"/>
            </w:pPr>
            <w:r w:rsidRPr="00FD17CF">
              <w:t>is the design plastic resistance of the brace in tension;</w:t>
            </w:r>
          </w:p>
        </w:tc>
      </w:tr>
      <w:tr w:rsidR="005C359B" w:rsidRPr="00821B21" w14:paraId="4DC9B873" w14:textId="77777777" w:rsidTr="0078003E">
        <w:tc>
          <w:tcPr>
            <w:tcW w:w="1437" w:type="dxa"/>
          </w:tcPr>
          <w:p w14:paraId="6AA52778" w14:textId="7CF6C749" w:rsidR="005C359B" w:rsidRPr="007E6F67" w:rsidRDefault="005C359B" w:rsidP="002061E5">
            <w:pPr>
              <w:spacing w:after="60"/>
              <w:rPr>
                <w:i/>
              </w:rPr>
            </w:pPr>
            <w:r w:rsidRPr="00FD17CF">
              <w:rPr>
                <w:i/>
              </w:rPr>
              <w:t>N</w:t>
            </w:r>
            <w:r w:rsidRPr="00FD17CF">
              <w:rPr>
                <w:vertAlign w:val="subscript"/>
              </w:rPr>
              <w:t>b,Rd</w:t>
            </w:r>
          </w:p>
        </w:tc>
        <w:tc>
          <w:tcPr>
            <w:tcW w:w="7842" w:type="dxa"/>
          </w:tcPr>
          <w:p w14:paraId="5CE81064" w14:textId="23CD1A6E" w:rsidR="005C359B" w:rsidRPr="00FD17CF" w:rsidRDefault="005C359B" w:rsidP="002061E5">
            <w:pPr>
              <w:spacing w:after="60"/>
            </w:pPr>
            <w:r w:rsidRPr="00FD17CF">
              <w:t>is the design buckling resistance of the brace in compression;</w:t>
            </w:r>
          </w:p>
        </w:tc>
      </w:tr>
      <w:tr w:rsidR="005C359B" w:rsidRPr="00821B21" w14:paraId="0999CDF3" w14:textId="77777777" w:rsidTr="0078003E">
        <w:tc>
          <w:tcPr>
            <w:tcW w:w="1437" w:type="dxa"/>
          </w:tcPr>
          <w:p w14:paraId="6BB6647F" w14:textId="30FD988F" w:rsidR="005C359B" w:rsidRPr="007E6F67" w:rsidRDefault="005C359B" w:rsidP="002061E5">
            <w:pPr>
              <w:spacing w:after="60"/>
              <w:rPr>
                <w:i/>
              </w:rPr>
            </w:pPr>
            <w:r w:rsidRPr="00644C3D">
              <w:rPr>
                <w:i/>
              </w:rPr>
              <w:t>M</w:t>
            </w:r>
            <w:r w:rsidRPr="00E05E29">
              <w:rPr>
                <w:vertAlign w:val="subscript"/>
              </w:rPr>
              <w:t>pl,Rd</w:t>
            </w:r>
          </w:p>
        </w:tc>
        <w:tc>
          <w:tcPr>
            <w:tcW w:w="7842" w:type="dxa"/>
          </w:tcPr>
          <w:p w14:paraId="4F3A45EF" w14:textId="6E49D5D8" w:rsidR="005C359B" w:rsidRPr="00FD17CF" w:rsidRDefault="005C359B" w:rsidP="002061E5">
            <w:pPr>
              <w:spacing w:after="60"/>
            </w:pPr>
            <w:r w:rsidRPr="00E05E29">
              <w:t>is the design plastic moment of the cross section of the brace evaluated in the plane of the frame;</w:t>
            </w:r>
          </w:p>
        </w:tc>
      </w:tr>
      <w:tr w:rsidR="0051785B" w:rsidRPr="00821B21" w14:paraId="03B55218" w14:textId="77777777" w:rsidTr="0078003E">
        <w:tc>
          <w:tcPr>
            <w:tcW w:w="1437" w:type="dxa"/>
          </w:tcPr>
          <w:p w14:paraId="3C12DA2A" w14:textId="77777777" w:rsidR="0051785B" w:rsidRPr="007775AA" w:rsidRDefault="0051785B" w:rsidP="002061E5">
            <w:pPr>
              <w:spacing w:after="60"/>
              <w:rPr>
                <w:rFonts w:eastAsia="Times New Roman" w:cs="Cambria"/>
                <w:szCs w:val="20"/>
                <w:lang w:eastAsia="fr-FR"/>
              </w:rPr>
            </w:pPr>
            <w:r w:rsidRPr="007E6F67">
              <w:rPr>
                <w:i/>
              </w:rPr>
              <w:t>ω</w:t>
            </w:r>
            <w:r w:rsidRPr="00FD17CF">
              <w:rPr>
                <w:vertAlign w:val="subscript"/>
              </w:rPr>
              <w:t>rm</w:t>
            </w:r>
          </w:p>
        </w:tc>
        <w:tc>
          <w:tcPr>
            <w:tcW w:w="7842" w:type="dxa"/>
          </w:tcPr>
          <w:p w14:paraId="3A48536D" w14:textId="77777777" w:rsidR="0051785B" w:rsidRPr="00821B21" w:rsidRDefault="0051785B" w:rsidP="002061E5">
            <w:pPr>
              <w:spacing w:after="60"/>
              <w:rPr>
                <w:rFonts w:eastAsia="Times New Roman" w:cs="Cambria"/>
                <w:szCs w:val="20"/>
                <w:lang w:eastAsia="fr-FR"/>
              </w:rPr>
            </w:pPr>
            <w:r w:rsidRPr="00FD17CF">
              <w:t xml:space="preserve">is the material </w:t>
            </w:r>
            <w:r w:rsidRPr="00FD2AE7">
              <w:t>overstrength factor (see 11.2.2);</w:t>
            </w:r>
          </w:p>
        </w:tc>
      </w:tr>
      <w:tr w:rsidR="0051785B" w:rsidRPr="00870D59" w14:paraId="53454007" w14:textId="77777777" w:rsidTr="0078003E">
        <w:tc>
          <w:tcPr>
            <w:tcW w:w="1437" w:type="dxa"/>
          </w:tcPr>
          <w:p w14:paraId="5E1B1FDC" w14:textId="77777777" w:rsidR="0051785B" w:rsidRPr="007775AA" w:rsidRDefault="0051785B" w:rsidP="002061E5">
            <w:pPr>
              <w:spacing w:after="60"/>
              <w:rPr>
                <w:i/>
                <w:iCs/>
              </w:rPr>
            </w:pPr>
            <w:r w:rsidRPr="00644C3D">
              <w:rPr>
                <w:i/>
              </w:rPr>
              <w:t>ω</w:t>
            </w:r>
            <w:r w:rsidRPr="00E05E29">
              <w:rPr>
                <w:vertAlign w:val="subscript"/>
              </w:rPr>
              <w:t>sh</w:t>
            </w:r>
          </w:p>
        </w:tc>
        <w:tc>
          <w:tcPr>
            <w:tcW w:w="7842" w:type="dxa"/>
          </w:tcPr>
          <w:p w14:paraId="51A21D27" w14:textId="4661DA2E" w:rsidR="0051785B" w:rsidRPr="00821B21" w:rsidRDefault="005C359B" w:rsidP="002061E5">
            <w:r w:rsidRPr="00E05E29">
              <w:t>is the hardening factor of bracings, which may be taken equal to 1,0 for DC2 and from Table 11.</w:t>
            </w:r>
            <w:r w:rsidR="00481078">
              <w:t>1</w:t>
            </w:r>
            <w:r w:rsidR="00C606A0">
              <w:t>0</w:t>
            </w:r>
            <w:r w:rsidRPr="00E05E29">
              <w:t xml:space="preserve"> for DC3</w:t>
            </w:r>
          </w:p>
        </w:tc>
      </w:tr>
    </w:tbl>
    <w:p w14:paraId="504EA7D1" w14:textId="4639B0F4" w:rsidR="005C359B" w:rsidRPr="004F74EA" w:rsidRDefault="005C359B" w:rsidP="00724E4E">
      <w:pPr>
        <w:pStyle w:val="Clause"/>
        <w:rPr>
          <w:rFonts w:eastAsia="Cambria"/>
        </w:rPr>
      </w:pPr>
      <w:r w:rsidRPr="00E05E29">
        <w:t xml:space="preserve">Brace connections accommodating buckling of diagonal members in one plane should be verified against forces separately evaluated </w:t>
      </w:r>
      <w:r w:rsidRPr="00417BEF">
        <w:t>from Formulas (11.22), (11.23) and (11.24) in the restrained plane. In the buckling plane, they should resist the expected buckling resistance of the connected diagonal bracing, using Formula (11.23</w:t>
      </w:r>
      <w:r w:rsidRPr="00E05E29">
        <w:t xml:space="preserve">). </w:t>
      </w:r>
      <w:r w:rsidRPr="004F74EA">
        <w:rPr>
          <w:rFonts w:eastAsia="Cambria"/>
        </w:rPr>
        <w:t>Their plastic rotation capacity should not be lower than the required rotation at the design storey drift.</w:t>
      </w:r>
      <w:r w:rsidRPr="00E05E29">
        <w:t xml:space="preserve"> </w:t>
      </w:r>
    </w:p>
    <w:p w14:paraId="7488E0A7" w14:textId="022D15BE" w:rsidR="005C359B" w:rsidRPr="00417BEF" w:rsidRDefault="005C359B" w:rsidP="00417BEF">
      <w:pPr>
        <w:pStyle w:val="Notetext"/>
      </w:pPr>
      <w:r w:rsidRPr="00417BEF">
        <w:t>NOTE</w:t>
      </w:r>
      <w:r w:rsidRPr="00417BEF">
        <w:tab/>
        <w:t>A brace terminating before a linear or an elliptical clearance that corresponds to the theoretical line of restraint can provide the required plastic rotation capacity; see Annex E an elliptical clearance that corresponds to the theoretical line of restraint. For detailing see Annex E.</w:t>
      </w:r>
    </w:p>
    <w:p w14:paraId="421F5DCE" w14:textId="2E466CC3" w:rsidR="005C359B" w:rsidRPr="00E05E29" w:rsidRDefault="005C359B" w:rsidP="00724E4E">
      <w:pPr>
        <w:pStyle w:val="Clause"/>
      </w:pPr>
      <w:r w:rsidRPr="00E05E29">
        <w:t>For out-of-plane brace buckling, if gusset plate connections are adopted, the connection in DC3 should resist a shear force in the direction in which the brace buckles and along the theoretical line of restraint, calculated as given by Formula (11.25).</w:t>
      </w:r>
    </w:p>
    <w:p w14:paraId="45F8351B" w14:textId="68456C69" w:rsidR="00417BEF" w:rsidRDefault="009B5CEC" w:rsidP="00417BEF">
      <w:pPr>
        <w:pStyle w:val="Formula"/>
        <w:spacing w:before="240"/>
      </w:pPr>
      <m:oMath>
        <m:sSub>
          <m:sSubPr>
            <m:ctrlPr>
              <w:rPr>
                <w:rFonts w:ascii="Cambria Math" w:hAnsi="Cambria Math"/>
              </w:rPr>
            </m:ctrlPr>
          </m:sSubPr>
          <m:e>
            <m:r>
              <w:rPr>
                <w:rFonts w:ascii="Cambria Math" w:hAnsi="Cambria Math"/>
              </w:rPr>
              <m:t>V</m:t>
            </m:r>
          </m:e>
          <m:sub>
            <m:r>
              <m:rPr>
                <m:sty m:val="p"/>
              </m:rPr>
              <w:rPr>
                <w:rFonts w:ascii="Cambria Math" w:hAnsi="Cambria Math"/>
              </w:rPr>
              <m:t>gp,Ed</m:t>
            </m:r>
          </m:sub>
        </m:sSub>
        <m:r>
          <w:rPr>
            <w:rFonts w:ascii="Cambria Math" w:hAnsi="Cambria Math"/>
          </w:rPr>
          <m:t xml:space="preserve">=0,06 </m:t>
        </m:r>
        <m:sSub>
          <m:sSubPr>
            <m:ctrlPr>
              <w:rPr>
                <w:rFonts w:ascii="Cambria Math" w:hAnsi="Cambria Math"/>
              </w:rPr>
            </m:ctrlPr>
          </m:sSubPr>
          <m:e>
            <m:r>
              <w:rPr>
                <w:rFonts w:ascii="Cambria Math" w:hAnsi="Cambria Math"/>
              </w:rPr>
              <m:t>ω</m:t>
            </m:r>
          </m:e>
          <m:sub>
            <m:r>
              <m:rPr>
                <m:sty m:val="p"/>
              </m:rPr>
              <w:rPr>
                <w:rFonts w:ascii="Cambria Math" w:hAnsi="Cambria Math"/>
              </w:rPr>
              <m:t>rm</m:t>
            </m:r>
          </m:sub>
        </m:sSub>
        <m:r>
          <w:rPr>
            <w:rFonts w:ascii="Cambria Math" w:hAnsi="Cambria Math"/>
          </w:rPr>
          <m:t xml:space="preserve"> </m:t>
        </m:r>
        <m:sSub>
          <m:sSubPr>
            <m:ctrlPr>
              <w:rPr>
                <w:rFonts w:ascii="Cambria Math" w:hAnsi="Cambria Math"/>
              </w:rPr>
            </m:ctrlPr>
          </m:sSubPr>
          <m:e>
            <m:r>
              <w:rPr>
                <w:rFonts w:ascii="Cambria Math" w:hAnsi="Cambria Math"/>
              </w:rPr>
              <m:t>f</m:t>
            </m:r>
          </m:e>
          <m:sub>
            <m:r>
              <m:rPr>
                <m:sty m:val="p"/>
              </m:rPr>
              <w:rPr>
                <w:rFonts w:ascii="Cambria Math" w:hAnsi="Cambria Math"/>
              </w:rPr>
              <m:t>y</m:t>
            </m:r>
          </m:sub>
        </m:sSub>
        <m:r>
          <w:rPr>
            <w:rFonts w:ascii="Cambria Math" w:hAnsi="Cambria Math"/>
          </w:rPr>
          <m:t xml:space="preserve"> </m:t>
        </m:r>
        <m:sSub>
          <m:sSubPr>
            <m:ctrlPr>
              <w:rPr>
                <w:rFonts w:ascii="Cambria Math" w:hAnsi="Cambria Math"/>
              </w:rPr>
            </m:ctrlPr>
          </m:sSubPr>
          <m:e>
            <m:r>
              <w:rPr>
                <w:rFonts w:ascii="Cambria Math" w:hAnsi="Cambria Math"/>
              </w:rPr>
              <m:t>t</m:t>
            </m:r>
          </m:e>
          <m:sub>
            <m:r>
              <m:rPr>
                <m:sty m:val="p"/>
              </m:rPr>
              <w:rPr>
                <w:rFonts w:ascii="Cambria Math" w:hAnsi="Cambria Math"/>
              </w:rPr>
              <m:t>gp</m:t>
            </m:r>
          </m:sub>
        </m:sSub>
        <m:r>
          <w:rPr>
            <w:rFonts w:ascii="Cambria Math" w:hAnsi="Cambria Math"/>
          </w:rPr>
          <m:t xml:space="preserve"> </m:t>
        </m:r>
        <m:sSub>
          <m:sSubPr>
            <m:ctrlPr>
              <w:rPr>
                <w:rFonts w:ascii="Cambria Math" w:hAnsi="Cambria Math"/>
              </w:rPr>
            </m:ctrlPr>
          </m:sSubPr>
          <m:e>
            <m:r>
              <w:rPr>
                <w:rFonts w:ascii="Cambria Math" w:hAnsi="Cambria Math"/>
              </w:rPr>
              <m:t>w</m:t>
            </m:r>
          </m:e>
          <m:sub>
            <m:r>
              <m:rPr>
                <m:sty m:val="p"/>
              </m:rPr>
              <w:rPr>
                <w:rFonts w:ascii="Cambria Math" w:hAnsi="Cambria Math"/>
              </w:rPr>
              <m:t>gp</m:t>
            </m:r>
          </m:sub>
        </m:sSub>
      </m:oMath>
      <w:r w:rsidR="00417BEF" w:rsidRPr="00870D59">
        <w:tab/>
        <w:t>(1</w:t>
      </w:r>
      <w:r w:rsidR="00417BEF">
        <w:t>1</w:t>
      </w:r>
      <w:r w:rsidR="00417BEF" w:rsidRPr="00870D59">
        <w:t>.</w:t>
      </w:r>
      <w:r w:rsidR="00417BEF">
        <w:t>25</w:t>
      </w:r>
      <w:r w:rsidR="00417BEF" w:rsidRPr="00870D59">
        <w:t>)</w:t>
      </w:r>
    </w:p>
    <w:p w14:paraId="5E1A1B08" w14:textId="4CCA31C6" w:rsidR="00417BEF" w:rsidRDefault="00675EBA" w:rsidP="00417BEF">
      <w:r>
        <w:t>where</w:t>
      </w:r>
    </w:p>
    <w:tbl>
      <w:tblPr>
        <w:tblW w:w="0" w:type="auto"/>
        <w:tblInd w:w="284" w:type="dxa"/>
        <w:tblLook w:val="04A0" w:firstRow="1" w:lastRow="0" w:firstColumn="1" w:lastColumn="0" w:noHBand="0" w:noVBand="1"/>
      </w:tblPr>
      <w:tblGrid>
        <w:gridCol w:w="1623"/>
        <w:gridCol w:w="7844"/>
      </w:tblGrid>
      <w:tr w:rsidR="00417BEF" w:rsidRPr="00821B21" w14:paraId="3E7F1D6A" w14:textId="77777777" w:rsidTr="0078003E">
        <w:tc>
          <w:tcPr>
            <w:tcW w:w="1623" w:type="dxa"/>
          </w:tcPr>
          <w:p w14:paraId="2A8BF406" w14:textId="431630BC" w:rsidR="00417BEF" w:rsidRPr="007E6F67" w:rsidRDefault="00417BEF" w:rsidP="002061E5">
            <w:pPr>
              <w:spacing w:after="60"/>
              <w:rPr>
                <w:i/>
              </w:rPr>
            </w:pPr>
            <w:r w:rsidRPr="007E6F67">
              <w:rPr>
                <w:i/>
              </w:rPr>
              <w:t>ω</w:t>
            </w:r>
            <w:r w:rsidRPr="00FD17CF">
              <w:rPr>
                <w:vertAlign w:val="subscript"/>
              </w:rPr>
              <w:t>rm</w:t>
            </w:r>
          </w:p>
        </w:tc>
        <w:tc>
          <w:tcPr>
            <w:tcW w:w="7844" w:type="dxa"/>
          </w:tcPr>
          <w:p w14:paraId="561D5628" w14:textId="68E0891D" w:rsidR="00417BEF" w:rsidRPr="00FD17CF" w:rsidRDefault="00417BEF" w:rsidP="002061E5">
            <w:pPr>
              <w:spacing w:after="60"/>
            </w:pPr>
            <w:r w:rsidRPr="00FD17CF">
              <w:t xml:space="preserve">is the material overstrength </w:t>
            </w:r>
            <w:r w:rsidRPr="00FD2AE7">
              <w:t>factor (see 11.2.2);</w:t>
            </w:r>
          </w:p>
        </w:tc>
      </w:tr>
      <w:tr w:rsidR="00417BEF" w:rsidRPr="00821B21" w14:paraId="72755683" w14:textId="77777777" w:rsidTr="0078003E">
        <w:tc>
          <w:tcPr>
            <w:tcW w:w="1623" w:type="dxa"/>
          </w:tcPr>
          <w:p w14:paraId="2D984007" w14:textId="703B93E3" w:rsidR="00417BEF" w:rsidRPr="007E6F67" w:rsidRDefault="00417BEF" w:rsidP="002061E5">
            <w:pPr>
              <w:spacing w:after="60"/>
              <w:rPr>
                <w:i/>
              </w:rPr>
            </w:pPr>
            <w:r w:rsidRPr="00FD17CF">
              <w:rPr>
                <w:i/>
              </w:rPr>
              <w:t>f</w:t>
            </w:r>
            <w:r w:rsidRPr="00FD17CF">
              <w:rPr>
                <w:vertAlign w:val="subscript"/>
              </w:rPr>
              <w:t>y</w:t>
            </w:r>
          </w:p>
        </w:tc>
        <w:tc>
          <w:tcPr>
            <w:tcW w:w="7844" w:type="dxa"/>
          </w:tcPr>
          <w:p w14:paraId="44DD2230" w14:textId="0705E0CB" w:rsidR="00417BEF" w:rsidRPr="00FD17CF" w:rsidRDefault="00417BEF" w:rsidP="002061E5">
            <w:pPr>
              <w:spacing w:after="60"/>
            </w:pPr>
            <w:r w:rsidRPr="00FD17CF">
              <w:t>is the yield stress of the material of the gusset plate;</w:t>
            </w:r>
          </w:p>
        </w:tc>
      </w:tr>
      <w:tr w:rsidR="00417BEF" w:rsidRPr="00821B21" w14:paraId="0D65D5EA" w14:textId="77777777" w:rsidTr="0078003E">
        <w:tc>
          <w:tcPr>
            <w:tcW w:w="1623" w:type="dxa"/>
          </w:tcPr>
          <w:p w14:paraId="1A84DFF2" w14:textId="3870EF7B" w:rsidR="00417BEF" w:rsidRPr="007E6F67" w:rsidRDefault="00417BEF" w:rsidP="002061E5">
            <w:pPr>
              <w:spacing w:after="60"/>
              <w:rPr>
                <w:i/>
              </w:rPr>
            </w:pPr>
            <w:r w:rsidRPr="00FD17CF">
              <w:rPr>
                <w:i/>
              </w:rPr>
              <w:t>t</w:t>
            </w:r>
            <w:r w:rsidRPr="00644C3D">
              <w:rPr>
                <w:vertAlign w:val="subscript"/>
              </w:rPr>
              <w:t>gp</w:t>
            </w:r>
          </w:p>
        </w:tc>
        <w:tc>
          <w:tcPr>
            <w:tcW w:w="7844" w:type="dxa"/>
          </w:tcPr>
          <w:p w14:paraId="7690003B" w14:textId="1A594597" w:rsidR="00417BEF" w:rsidRPr="00FD17CF" w:rsidRDefault="00417BEF" w:rsidP="002061E5">
            <w:pPr>
              <w:spacing w:after="60"/>
            </w:pPr>
            <w:r w:rsidRPr="00E05E29">
              <w:t>is the thickness of gusset plate;</w:t>
            </w:r>
          </w:p>
        </w:tc>
      </w:tr>
      <w:tr w:rsidR="00417BEF" w:rsidRPr="00821B21" w14:paraId="3D1F951F" w14:textId="77777777" w:rsidTr="0078003E">
        <w:tc>
          <w:tcPr>
            <w:tcW w:w="1623" w:type="dxa"/>
          </w:tcPr>
          <w:p w14:paraId="16CC3CDD" w14:textId="4A25C1B5" w:rsidR="00417BEF" w:rsidRPr="007775AA" w:rsidRDefault="00417BEF" w:rsidP="002061E5">
            <w:pPr>
              <w:spacing w:after="60"/>
              <w:rPr>
                <w:rFonts w:eastAsia="Times New Roman" w:cs="Cambria"/>
                <w:szCs w:val="20"/>
                <w:lang w:eastAsia="fr-FR"/>
              </w:rPr>
            </w:pPr>
            <w:r w:rsidRPr="00E05E29">
              <w:rPr>
                <w:i/>
              </w:rPr>
              <w:t>w</w:t>
            </w:r>
            <w:r w:rsidRPr="00E05E29">
              <w:rPr>
                <w:vertAlign w:val="subscript"/>
              </w:rPr>
              <w:t>gp</w:t>
            </w:r>
          </w:p>
        </w:tc>
        <w:tc>
          <w:tcPr>
            <w:tcW w:w="7844" w:type="dxa"/>
          </w:tcPr>
          <w:p w14:paraId="3447AF5F" w14:textId="64C3F658" w:rsidR="00417BEF" w:rsidRPr="00821B21" w:rsidRDefault="00417BEF" w:rsidP="002061E5">
            <w:pPr>
              <w:spacing w:after="60"/>
              <w:rPr>
                <w:rFonts w:eastAsia="Times New Roman" w:cs="Cambria"/>
                <w:szCs w:val="20"/>
                <w:lang w:eastAsia="fr-FR"/>
              </w:rPr>
            </w:pPr>
            <w:r w:rsidRPr="00E05E29">
              <w:t>is the effective width of the gusset plate, evaluated assuming spreading from the connected end of the brace to the theoretical line of restraint at an angle of 30° on both side of the diagonal.</w:t>
            </w:r>
          </w:p>
        </w:tc>
      </w:tr>
    </w:tbl>
    <w:p w14:paraId="6F760951" w14:textId="77777777" w:rsidR="00B05A2A" w:rsidRPr="00E05E29" w:rsidRDefault="00B05A2A" w:rsidP="00B05A2A">
      <w:pPr>
        <w:pStyle w:val="Heading3"/>
      </w:pPr>
      <w:bookmarkStart w:id="9644" w:name="_Toc522955942"/>
      <w:bookmarkStart w:id="9645" w:name="_Toc18314133"/>
      <w:bookmarkStart w:id="9646" w:name="_Toc50150447"/>
      <w:bookmarkStart w:id="9647" w:name="_Toc70886879"/>
      <w:bookmarkStart w:id="9648" w:name="_Toc108342438"/>
      <w:bookmarkStart w:id="9649" w:name="_Toc134197970"/>
      <w:r>
        <w:t>Verification of c</w:t>
      </w:r>
      <w:r w:rsidRPr="00E05E29">
        <w:t>olumn base joints</w:t>
      </w:r>
      <w:bookmarkEnd w:id="9644"/>
      <w:bookmarkEnd w:id="9645"/>
      <w:bookmarkEnd w:id="9646"/>
      <w:bookmarkEnd w:id="9647"/>
      <w:bookmarkEnd w:id="9648"/>
      <w:bookmarkEnd w:id="9649"/>
    </w:p>
    <w:p w14:paraId="1E50524D" w14:textId="037F42F9" w:rsidR="00B05A2A" w:rsidRPr="00A547E1" w:rsidRDefault="00B05A2A" w:rsidP="0080187E">
      <w:pPr>
        <w:pStyle w:val="Clause"/>
        <w:numPr>
          <w:ilvl w:val="0"/>
          <w:numId w:val="390"/>
        </w:numPr>
        <w:rPr>
          <w:rFonts w:eastAsia="Cambria"/>
        </w:rPr>
      </w:pPr>
      <w:r w:rsidRPr="00E05E29">
        <w:t>The resistance of column base joint</w:t>
      </w:r>
      <w:r>
        <w:t>s</w:t>
      </w:r>
      <w:r w:rsidRPr="00E05E29">
        <w:t xml:space="preserve"> should be verified under the combination of action effects due to non-seismic actions in the seismic design situation with those due to seismic action.  The effects due to seismic action are the</w:t>
      </w:r>
      <w:bookmarkStart w:id="9650" w:name="_Hlk54250463"/>
      <w:r w:rsidRPr="00E05E29">
        <w:t xml:space="preserve"> axial and shear forces and moments induced by a design axial force in the connected diagonal brace which should be taken equal to the tensile resistance </w:t>
      </w:r>
      <w:r w:rsidRPr="00A547E1">
        <w:rPr>
          <w:i/>
        </w:rPr>
        <w:t>ω</w:t>
      </w:r>
      <w:r w:rsidRPr="00A547E1">
        <w:rPr>
          <w:vertAlign w:val="subscript"/>
        </w:rPr>
        <w:t>rm</w:t>
      </w:r>
      <w:r w:rsidR="00FD2AE7">
        <w:t xml:space="preserve"> </w:t>
      </w:r>
      <w:r w:rsidRPr="00A547E1">
        <w:rPr>
          <w:i/>
        </w:rPr>
        <w:t>ω</w:t>
      </w:r>
      <w:r w:rsidRPr="00A547E1">
        <w:rPr>
          <w:vertAlign w:val="subscript"/>
        </w:rPr>
        <w:t>sh</w:t>
      </w:r>
      <w:r w:rsidRPr="00A547E1">
        <w:rPr>
          <w:i/>
          <w:iCs/>
        </w:rPr>
        <w:t xml:space="preserve"> N</w:t>
      </w:r>
      <w:r w:rsidRPr="00A547E1">
        <w:rPr>
          <w:vertAlign w:val="subscript"/>
        </w:rPr>
        <w:t>Rd</w:t>
      </w:r>
      <w:r w:rsidRPr="00E05E29">
        <w:t xml:space="preserve"> of the diagonal. </w:t>
      </w:r>
      <w:r w:rsidRPr="00A547E1">
        <w:rPr>
          <w:i/>
        </w:rPr>
        <w:t>ω</w:t>
      </w:r>
      <w:r w:rsidRPr="00A547E1">
        <w:rPr>
          <w:vertAlign w:val="subscript"/>
        </w:rPr>
        <w:t>sh</w:t>
      </w:r>
      <w:r w:rsidRPr="00A547E1">
        <w:rPr>
          <w:i/>
          <w:iCs/>
        </w:rPr>
        <w:t xml:space="preserve"> </w:t>
      </w:r>
      <w:r w:rsidRPr="00E05E29">
        <w:t>may be taken equal to 1,0 for DC2 and should be taken as in Table 11.</w:t>
      </w:r>
      <w:r w:rsidR="00481078">
        <w:t>1</w:t>
      </w:r>
      <w:r w:rsidR="00C606A0">
        <w:t>0</w:t>
      </w:r>
      <w:r w:rsidRPr="00E05E29">
        <w:t xml:space="preserve"> for DC3.</w:t>
      </w:r>
      <w:bookmarkEnd w:id="9650"/>
    </w:p>
    <w:p w14:paraId="0A7220C7" w14:textId="40146066" w:rsidR="00B05A2A" w:rsidRPr="004F74EA" w:rsidRDefault="00B05A2A" w:rsidP="00724E4E">
      <w:pPr>
        <w:pStyle w:val="Clause"/>
        <w:rPr>
          <w:rFonts w:eastAsia="Cambria"/>
        </w:rPr>
      </w:pPr>
      <w:r w:rsidRPr="00E05E29">
        <w:t xml:space="preserve">Where diagonal braces frame to both sides of a column, the effects of the compression brace buckling force </w:t>
      </w:r>
      <w:r w:rsidRPr="004F74EA">
        <w:rPr>
          <w:i/>
          <w:iCs/>
        </w:rPr>
        <w:t>ω</w:t>
      </w:r>
      <w:r w:rsidRPr="004F74EA">
        <w:rPr>
          <w:vertAlign w:val="subscript"/>
        </w:rPr>
        <w:t>rm</w:t>
      </w:r>
      <w:r w:rsidRPr="004F74EA">
        <w:rPr>
          <w:i/>
          <w:iCs/>
        </w:rPr>
        <w:t xml:space="preserve"> N</w:t>
      </w:r>
      <w:r w:rsidRPr="004F74EA">
        <w:rPr>
          <w:vertAlign w:val="subscript"/>
        </w:rPr>
        <w:t>b,Rd</w:t>
      </w:r>
      <w:r w:rsidRPr="00E05E29">
        <w:t xml:space="preserve"> should be added to the effects of the adjacent tension brace.</w:t>
      </w:r>
    </w:p>
    <w:p w14:paraId="57602CBC" w14:textId="765F0676" w:rsidR="00B05A2A" w:rsidRPr="00E05E29" w:rsidRDefault="00B05A2A" w:rsidP="00724E4E">
      <w:pPr>
        <w:pStyle w:val="Clause"/>
      </w:pPr>
      <w:r w:rsidRPr="00E05E29">
        <w:t xml:space="preserve">Where column bases are designed as moment connections to the foundation, the required flexural resistance should be at least equal to the required flexural resistance of diagonal brace connections </w:t>
      </w:r>
      <w:r w:rsidRPr="00B05A2A">
        <w:t>from Formula (11.24).</w:t>
      </w:r>
    </w:p>
    <w:p w14:paraId="1FA11C37" w14:textId="73849D9F" w:rsidR="00B05A2A" w:rsidRPr="00E05E29" w:rsidRDefault="00B05A2A" w:rsidP="00724E4E">
      <w:pPr>
        <w:pStyle w:val="Clause"/>
      </w:pPr>
      <w:r w:rsidRPr="00E05E29">
        <w:lastRenderedPageBreak/>
        <w:t>Moments at column to column</w:t>
      </w:r>
      <w:r w:rsidR="003B0C2D">
        <w:t>-</w:t>
      </w:r>
      <w:r w:rsidRPr="00E05E29">
        <w:t>base connections designed as pinned connections may be ignored.</w:t>
      </w:r>
    </w:p>
    <w:p w14:paraId="02C41D63" w14:textId="77777777" w:rsidR="00B05A2A" w:rsidRPr="00FD2AE7" w:rsidRDefault="00B05A2A" w:rsidP="00B05A2A">
      <w:pPr>
        <w:pStyle w:val="Notetext"/>
      </w:pPr>
      <w:r w:rsidRPr="00E05E29">
        <w:t>NOTE</w:t>
      </w:r>
      <w:r w:rsidRPr="00E05E29">
        <w:tab/>
        <w:t xml:space="preserve">The detailing provisions for column base joints are </w:t>
      </w:r>
      <w:r w:rsidRPr="00FD2AE7">
        <w:t>described in Annex H.</w:t>
      </w:r>
    </w:p>
    <w:p w14:paraId="38A8034E" w14:textId="77777777" w:rsidR="00B05A2A" w:rsidRPr="00E05E29" w:rsidRDefault="00B05A2A" w:rsidP="00B05A2A">
      <w:pPr>
        <w:pStyle w:val="Heading2"/>
      </w:pPr>
      <w:bookmarkStart w:id="9651" w:name="_Toc483723238"/>
      <w:bookmarkStart w:id="9652" w:name="_Toc483723573"/>
      <w:bookmarkStart w:id="9653" w:name="_Toc484520887"/>
      <w:bookmarkStart w:id="9654" w:name="_Toc509405066"/>
      <w:bookmarkStart w:id="9655" w:name="_Toc76379878"/>
      <w:bookmarkStart w:id="9656" w:name="_Toc494124737"/>
      <w:bookmarkStart w:id="9657" w:name="_Toc522955943"/>
      <w:bookmarkStart w:id="9658" w:name="_Toc18314134"/>
      <w:bookmarkStart w:id="9659" w:name="_Toc50150448"/>
      <w:bookmarkStart w:id="9660" w:name="_Toc70886880"/>
      <w:bookmarkStart w:id="9661" w:name="_Toc108342439"/>
      <w:bookmarkStart w:id="9662" w:name="_Toc134197971"/>
      <w:r w:rsidRPr="00E05E29">
        <w:t>Design rules for frames with eccentric bracings</w:t>
      </w:r>
      <w:bookmarkEnd w:id="9651"/>
      <w:bookmarkEnd w:id="9652"/>
      <w:bookmarkEnd w:id="9653"/>
      <w:bookmarkEnd w:id="9654"/>
      <w:bookmarkEnd w:id="9655"/>
      <w:bookmarkEnd w:id="9656"/>
      <w:bookmarkEnd w:id="9657"/>
      <w:bookmarkEnd w:id="9658"/>
      <w:bookmarkEnd w:id="9659"/>
      <w:bookmarkEnd w:id="9660"/>
      <w:bookmarkEnd w:id="9661"/>
      <w:bookmarkEnd w:id="9662"/>
    </w:p>
    <w:p w14:paraId="2093A4DA" w14:textId="77777777" w:rsidR="00B05A2A" w:rsidRPr="00E05E29" w:rsidRDefault="00B05A2A" w:rsidP="00B05A2A">
      <w:pPr>
        <w:pStyle w:val="Heading3"/>
      </w:pPr>
      <w:bookmarkStart w:id="9663" w:name="_Toc483723239"/>
      <w:bookmarkStart w:id="9664" w:name="_Toc483723574"/>
      <w:bookmarkStart w:id="9665" w:name="_Toc484520888"/>
      <w:bookmarkStart w:id="9666" w:name="_Toc509405067"/>
      <w:bookmarkStart w:id="9667" w:name="_Toc76379879"/>
      <w:bookmarkStart w:id="9668" w:name="_Toc494124738"/>
      <w:bookmarkStart w:id="9669" w:name="_Toc522955944"/>
      <w:bookmarkStart w:id="9670" w:name="_Toc18314135"/>
      <w:bookmarkStart w:id="9671" w:name="_Toc50150449"/>
      <w:bookmarkStart w:id="9672" w:name="_Toc70886881"/>
      <w:bookmarkStart w:id="9673" w:name="_Toc108342440"/>
      <w:bookmarkStart w:id="9674" w:name="_Toc134197972"/>
      <w:r w:rsidRPr="00E05E29">
        <w:t>Design criteria</w:t>
      </w:r>
      <w:bookmarkEnd w:id="9663"/>
      <w:bookmarkEnd w:id="9664"/>
      <w:bookmarkEnd w:id="9665"/>
      <w:bookmarkEnd w:id="9666"/>
      <w:bookmarkEnd w:id="9667"/>
      <w:bookmarkEnd w:id="9668"/>
      <w:bookmarkEnd w:id="9669"/>
      <w:bookmarkEnd w:id="9670"/>
      <w:bookmarkEnd w:id="9671"/>
      <w:bookmarkEnd w:id="9672"/>
      <w:bookmarkEnd w:id="9673"/>
      <w:bookmarkEnd w:id="9674"/>
    </w:p>
    <w:p w14:paraId="5B27FDAF" w14:textId="116384A4" w:rsidR="00B05A2A" w:rsidRPr="00E05E29" w:rsidRDefault="00B05A2A" w:rsidP="0080187E">
      <w:pPr>
        <w:pStyle w:val="Clause"/>
        <w:numPr>
          <w:ilvl w:val="0"/>
          <w:numId w:val="391"/>
        </w:numPr>
      </w:pPr>
      <w:r w:rsidRPr="00E05E29">
        <w:t>Frames with eccentric bracings should be designed so that specific members or parts of members called seismic links are able to dissipate energy in plastic bending and/or plastic shear mechanisms.</w:t>
      </w:r>
    </w:p>
    <w:p w14:paraId="283C0F26" w14:textId="2433F04B" w:rsidR="00B05A2A" w:rsidRPr="00E05E29" w:rsidRDefault="00B05A2A" w:rsidP="00724E4E">
      <w:pPr>
        <w:pStyle w:val="Clause"/>
      </w:pPr>
      <w:r w:rsidRPr="00E05E29">
        <w:t>The structural system should be designed so that uniform dissipative behaviour of the whole set of seismic links is real</w:t>
      </w:r>
      <w:r w:rsidR="00E10A24">
        <w:t>ize</w:t>
      </w:r>
      <w:r w:rsidRPr="00E05E29">
        <w:t>d.</w:t>
      </w:r>
    </w:p>
    <w:p w14:paraId="231DDFDA" w14:textId="1B4D1EAD" w:rsidR="00B05A2A" w:rsidRPr="00E05E29" w:rsidRDefault="00B05A2A" w:rsidP="00724E4E">
      <w:pPr>
        <w:pStyle w:val="Clause"/>
      </w:pPr>
      <w:r w:rsidRPr="00E05E29">
        <w:t>Seismic links may be horizontal or vertical components (</w:t>
      </w:r>
      <w:r w:rsidRPr="00B05A2A">
        <w:t>see Figure 11.4).</w:t>
      </w:r>
    </w:p>
    <w:p w14:paraId="4C2166C4" w14:textId="11220D5B" w:rsidR="00B05A2A" w:rsidRPr="00E05E29" w:rsidRDefault="00B05A2A" w:rsidP="00B05A2A">
      <w:pPr>
        <w:pStyle w:val="Heading3"/>
      </w:pPr>
      <w:bookmarkStart w:id="9675" w:name="_Toc483723240"/>
      <w:bookmarkStart w:id="9676" w:name="_Toc483723575"/>
      <w:bookmarkStart w:id="9677" w:name="_Toc484520889"/>
      <w:bookmarkStart w:id="9678" w:name="_Toc509405068"/>
      <w:bookmarkStart w:id="9679" w:name="_Toc76379880"/>
      <w:bookmarkStart w:id="9680" w:name="_Toc494124739"/>
      <w:bookmarkStart w:id="9681" w:name="_Toc522955945"/>
      <w:bookmarkStart w:id="9682" w:name="_Toc18314136"/>
      <w:bookmarkStart w:id="9683" w:name="_Toc50150450"/>
      <w:bookmarkStart w:id="9684" w:name="_Toc70886882"/>
      <w:bookmarkStart w:id="9685" w:name="_Toc108342441"/>
      <w:bookmarkStart w:id="9686" w:name="_Toc134197973"/>
      <w:r>
        <w:t>Verification of s</w:t>
      </w:r>
      <w:r w:rsidRPr="00E05E29">
        <w:t>eismic links</w:t>
      </w:r>
      <w:bookmarkEnd w:id="9675"/>
      <w:bookmarkEnd w:id="9676"/>
      <w:bookmarkEnd w:id="9677"/>
      <w:bookmarkEnd w:id="9678"/>
      <w:bookmarkEnd w:id="9679"/>
      <w:bookmarkEnd w:id="9680"/>
      <w:bookmarkEnd w:id="9681"/>
      <w:bookmarkEnd w:id="9682"/>
      <w:bookmarkEnd w:id="9683"/>
      <w:bookmarkEnd w:id="9684"/>
      <w:bookmarkEnd w:id="9685"/>
      <w:bookmarkEnd w:id="9686"/>
    </w:p>
    <w:p w14:paraId="38704C5D" w14:textId="24C7A3CB" w:rsidR="00B05A2A" w:rsidRPr="00E05E29" w:rsidRDefault="00B05A2A" w:rsidP="0080187E">
      <w:pPr>
        <w:pStyle w:val="Clause"/>
        <w:numPr>
          <w:ilvl w:val="0"/>
          <w:numId w:val="392"/>
        </w:numPr>
      </w:pPr>
      <w:r w:rsidRPr="00E05E29">
        <w:t>Links should be I-</w:t>
      </w:r>
      <w:r w:rsidR="00FD2AE7">
        <w:t xml:space="preserve"> </w:t>
      </w:r>
      <w:r w:rsidRPr="00E05E29">
        <w:t>or H</w:t>
      </w:r>
      <w:r w:rsidR="00FD2AE7">
        <w:t>-</w:t>
      </w:r>
      <w:r w:rsidRPr="00E05E29">
        <w:t>shaped cross sections (hot-rolled or built-up sections), or built-up box sections. Cold-formed hollow sections should not be used as links, unless their deformation and resistance capacity are demonstrated by tests or detailed numerical models.</w:t>
      </w:r>
    </w:p>
    <w:p w14:paraId="472E597C" w14:textId="5227DCE3" w:rsidR="00B05A2A" w:rsidRPr="00E05E29" w:rsidRDefault="00B05A2A" w:rsidP="00B05A2A">
      <w:pPr>
        <w:pStyle w:val="Notetext"/>
      </w:pPr>
      <w:r w:rsidRPr="00E05E29">
        <w:t>NOTE</w:t>
      </w:r>
      <w:r w:rsidRPr="00E05E29">
        <w:tab/>
      </w:r>
      <w:r w:rsidRPr="00EA2296">
        <w:t>prCEN/TS</w:t>
      </w:r>
      <w:r w:rsidR="00FD2AE7">
        <w:t> </w:t>
      </w:r>
      <w:r w:rsidRPr="00EA2296">
        <w:t>1998-</w:t>
      </w:r>
      <w:r w:rsidR="00460A67">
        <w:t xml:space="preserve">1-101 </w:t>
      </w:r>
      <w:r w:rsidRPr="00EA2296">
        <w:t xml:space="preserve">gives </w:t>
      </w:r>
      <w:r w:rsidRPr="00E05E29">
        <w:t>a loading protocol and acceptance criteria for such tests.</w:t>
      </w:r>
    </w:p>
    <w:p w14:paraId="582BD1BF" w14:textId="08A2D6D7" w:rsidR="00B05A2A" w:rsidRPr="00ED6630" w:rsidRDefault="00B05A2A" w:rsidP="00724E4E">
      <w:pPr>
        <w:pStyle w:val="Clause"/>
      </w:pPr>
      <w:r w:rsidRPr="00E05E29">
        <w:t xml:space="preserve">Cross section of seismic links should satisfy the provisions for cross section class 1 in DC3 and class 1 or </w:t>
      </w:r>
      <w:r w:rsidRPr="00ED6630">
        <w:t xml:space="preserve">2 in DC2 in accordance with </w:t>
      </w:r>
      <w:r w:rsidR="00867476">
        <w:t>EN 1993-1-1</w:t>
      </w:r>
      <w:r w:rsidRPr="00B05A2A">
        <w:t>.</w:t>
      </w:r>
    </w:p>
    <w:p w14:paraId="241A7537" w14:textId="1FFEEF95" w:rsidR="00B05A2A" w:rsidRPr="00E05E29" w:rsidRDefault="00B05A2A" w:rsidP="00724E4E">
      <w:pPr>
        <w:pStyle w:val="Clause"/>
      </w:pPr>
      <w:r w:rsidRPr="00E05E29">
        <w:t>The web of a link should be of single thickness without doubler plate reinforcement, hole or penetration.</w:t>
      </w:r>
    </w:p>
    <w:p w14:paraId="260F76E1" w14:textId="2328D086" w:rsidR="00B05A2A" w:rsidRPr="00E05E29" w:rsidRDefault="00B05A2A" w:rsidP="00724E4E">
      <w:pPr>
        <w:pStyle w:val="Clause"/>
      </w:pPr>
      <w:r w:rsidRPr="00E05E29">
        <w:t>Seismic links should belong to one of the three categories a) to c), according to the type of plastic mechanism developed:</w:t>
      </w:r>
    </w:p>
    <w:p w14:paraId="3A505C8C" w14:textId="77777777" w:rsidR="00B05A2A" w:rsidRPr="00E05E29" w:rsidRDefault="00B05A2A" w:rsidP="0078003E">
      <w:pPr>
        <w:pStyle w:val="Text"/>
        <w:numPr>
          <w:ilvl w:val="0"/>
          <w:numId w:val="649"/>
        </w:numPr>
        <w:spacing w:after="200"/>
      </w:pPr>
      <w:r w:rsidRPr="00E05E29">
        <w:t>short links, which dissipate energy by yielding essentially in shear;</w:t>
      </w:r>
    </w:p>
    <w:p w14:paraId="37FB3349" w14:textId="77777777" w:rsidR="00B05A2A" w:rsidRPr="00E05E29" w:rsidRDefault="00B05A2A" w:rsidP="0078003E">
      <w:pPr>
        <w:pStyle w:val="Text"/>
        <w:numPr>
          <w:ilvl w:val="0"/>
          <w:numId w:val="649"/>
        </w:numPr>
        <w:spacing w:after="200"/>
      </w:pPr>
      <w:r w:rsidRPr="00E05E29">
        <w:t>long links, which dissipate energy by yielding essentially in bending;</w:t>
      </w:r>
    </w:p>
    <w:p w14:paraId="3AEB5BD9" w14:textId="77777777" w:rsidR="00B05A2A" w:rsidRPr="00E05E29" w:rsidRDefault="00B05A2A" w:rsidP="0078003E">
      <w:pPr>
        <w:pStyle w:val="Text"/>
        <w:numPr>
          <w:ilvl w:val="0"/>
          <w:numId w:val="649"/>
        </w:numPr>
        <w:spacing w:after="200"/>
      </w:pPr>
      <w:r w:rsidRPr="00E05E29">
        <w:t>intermediate links, in which the plastic mechanism involves bending and shear.</w:t>
      </w:r>
    </w:p>
    <w:p w14:paraId="722F75FC" w14:textId="09AB3EEC" w:rsidR="00B05A2A" w:rsidRPr="00E05E29" w:rsidRDefault="00B05A2A" w:rsidP="00724E4E">
      <w:pPr>
        <w:pStyle w:val="Clause"/>
      </w:pPr>
      <w:r w:rsidRPr="00E05E29">
        <w:t xml:space="preserve">For I and H sections, the design resistances should be taken as given </w:t>
      </w:r>
      <w:r w:rsidRPr="00B05A2A">
        <w:t>by Formula</w:t>
      </w:r>
      <w:r w:rsidR="0078003E">
        <w:t>e</w:t>
      </w:r>
      <w:r w:rsidRPr="00B05A2A">
        <w:t xml:space="preserve"> (11.26) and (11.27).</w:t>
      </w:r>
    </w:p>
    <w:p w14:paraId="2C4E14EE" w14:textId="00C720F8" w:rsidR="00B05A2A" w:rsidRDefault="009B5CEC" w:rsidP="00B05A2A">
      <w:pPr>
        <w:pStyle w:val="Formula"/>
        <w:spacing w:before="240"/>
      </w:pPr>
      <m:oMath>
        <m:sSub>
          <m:sSubPr>
            <m:ctrlPr>
              <w:rPr>
                <w:rFonts w:ascii="Cambria Math" w:hAnsi="Cambria Math"/>
              </w:rPr>
            </m:ctrlPr>
          </m:sSubPr>
          <m:e>
            <m:r>
              <w:rPr>
                <w:rFonts w:ascii="Cambria Math" w:hAnsi="Cambria Math"/>
              </w:rPr>
              <m:t>M</m:t>
            </m:r>
          </m:e>
          <m:sub>
            <m:r>
              <m:rPr>
                <m:sty m:val="p"/>
              </m:rPr>
              <w:rPr>
                <w:rFonts w:ascii="Cambria Math" w:hAnsi="Cambria Math"/>
              </w:rPr>
              <m:t>p,link</m:t>
            </m:r>
          </m:sub>
        </m:sSub>
        <m:r>
          <w:rPr>
            <w:rFonts w:ascii="Cambria Math" w:hAnsi="Cambria Math"/>
          </w:rPr>
          <m:t xml:space="preserve">= b </m:t>
        </m:r>
        <m:sSub>
          <m:sSubPr>
            <m:ctrlPr>
              <w:rPr>
                <w:rFonts w:ascii="Cambria Math" w:hAnsi="Cambria Math"/>
              </w:rPr>
            </m:ctrlPr>
          </m:sSubPr>
          <m:e>
            <m:r>
              <w:rPr>
                <w:rFonts w:ascii="Cambria Math" w:hAnsi="Cambria Math"/>
              </w:rPr>
              <m:t>t</m:t>
            </m:r>
          </m:e>
          <m:sub>
            <m:r>
              <m:rPr>
                <m:sty m:val="p"/>
              </m:rPr>
              <w:rPr>
                <w:rFonts w:ascii="Cambria Math" w:hAnsi="Cambria Math"/>
              </w:rPr>
              <m:t>f</m:t>
            </m:r>
          </m:sub>
        </m:sSub>
        <m:r>
          <w:rPr>
            <w:rFonts w:ascii="Cambria Math" w:hAnsi="Cambria Math"/>
          </w:rPr>
          <m:t xml:space="preserve"> </m:t>
        </m:r>
        <m:d>
          <m:dPr>
            <m:ctrlPr>
              <w:rPr>
                <w:rFonts w:ascii="Cambria Math" w:hAnsi="Cambria Math"/>
              </w:rPr>
            </m:ctrlPr>
          </m:dPr>
          <m:e>
            <m:r>
              <w:rPr>
                <w:rFonts w:ascii="Cambria Math" w:hAnsi="Cambria Math"/>
              </w:rPr>
              <m:t>d-</m:t>
            </m:r>
            <m:sSub>
              <m:sSubPr>
                <m:ctrlPr>
                  <w:rPr>
                    <w:rFonts w:ascii="Cambria Math" w:hAnsi="Cambria Math"/>
                  </w:rPr>
                </m:ctrlPr>
              </m:sSubPr>
              <m:e>
                <m:r>
                  <w:rPr>
                    <w:rFonts w:ascii="Cambria Math" w:hAnsi="Cambria Math"/>
                  </w:rPr>
                  <m:t>t</m:t>
                </m:r>
              </m:e>
              <m:sub>
                <m:r>
                  <m:rPr>
                    <m:sty m:val="p"/>
                  </m:rPr>
                  <w:rPr>
                    <w:rFonts w:ascii="Cambria Math" w:hAnsi="Cambria Math"/>
                  </w:rPr>
                  <m:t>f</m:t>
                </m:r>
              </m:sub>
            </m:sSub>
          </m:e>
        </m:d>
        <m:sSub>
          <m:sSubPr>
            <m:ctrlPr>
              <w:rPr>
                <w:rFonts w:ascii="Cambria Math" w:hAnsi="Cambria Math"/>
              </w:rPr>
            </m:ctrlPr>
          </m:sSubPr>
          <m:e>
            <m:r>
              <w:rPr>
                <w:rFonts w:ascii="Cambria Math" w:hAnsi="Cambria Math"/>
              </w:rPr>
              <m:t xml:space="preserve"> f</m:t>
            </m:r>
          </m:e>
          <m:sub>
            <m:r>
              <m:rPr>
                <m:sty m:val="p"/>
              </m:rPr>
              <w:rPr>
                <w:rFonts w:ascii="Cambria Math" w:hAnsi="Cambria Math"/>
              </w:rPr>
              <m:t>y</m:t>
            </m:r>
          </m:sub>
        </m:sSub>
      </m:oMath>
      <w:r w:rsidR="00B05A2A" w:rsidRPr="00870D59">
        <w:tab/>
        <w:t>(1</w:t>
      </w:r>
      <w:r w:rsidR="00B05A2A">
        <w:t>1</w:t>
      </w:r>
      <w:r w:rsidR="00B05A2A" w:rsidRPr="00870D59">
        <w:t>.</w:t>
      </w:r>
      <w:r w:rsidR="00B05A2A">
        <w:t>26</w:t>
      </w:r>
      <w:r w:rsidR="00B05A2A" w:rsidRPr="00870D59">
        <w:t>)</w:t>
      </w:r>
    </w:p>
    <w:p w14:paraId="4A85B56B" w14:textId="6EEF6240" w:rsidR="00B05A2A" w:rsidRDefault="009B5CEC" w:rsidP="00B05A2A">
      <w:pPr>
        <w:pStyle w:val="Formula"/>
        <w:spacing w:before="240"/>
      </w:pPr>
      <m:oMath>
        <m:sSub>
          <m:sSubPr>
            <m:ctrlPr>
              <w:rPr>
                <w:rFonts w:ascii="Cambria Math" w:hAnsi="Cambria Math"/>
              </w:rPr>
            </m:ctrlPr>
          </m:sSubPr>
          <m:e>
            <m:r>
              <w:rPr>
                <w:rFonts w:ascii="Cambria Math" w:hAnsi="Cambria Math"/>
              </w:rPr>
              <m:t>V</m:t>
            </m:r>
          </m:e>
          <m:sub>
            <m:r>
              <m:rPr>
                <m:sty m:val="p"/>
              </m:rPr>
              <w:rPr>
                <w:rFonts w:ascii="Cambria Math" w:hAnsi="Cambria Math"/>
              </w:rPr>
              <m:t>p,link</m:t>
            </m:r>
          </m:sub>
        </m:sSub>
        <m:r>
          <w:rPr>
            <w:rFonts w:ascii="Cambria Math" w:hAnsi="Cambria Math"/>
          </w:rPr>
          <m:t xml:space="preserve">= </m:t>
        </m:r>
        <m:sSub>
          <m:sSubPr>
            <m:ctrlPr>
              <w:rPr>
                <w:rFonts w:ascii="Cambria Math" w:hAnsi="Cambria Math"/>
              </w:rPr>
            </m:ctrlPr>
          </m:sSubPr>
          <m:e>
            <m:r>
              <w:rPr>
                <w:rFonts w:ascii="Cambria Math" w:hAnsi="Cambria Math"/>
              </w:rPr>
              <m:t>t</m:t>
            </m:r>
          </m:e>
          <m:sub>
            <m:r>
              <m:rPr>
                <m:sty m:val="p"/>
              </m:rPr>
              <w:rPr>
                <w:rFonts w:ascii="Cambria Math" w:hAnsi="Cambria Math"/>
              </w:rPr>
              <m:t>w</m:t>
            </m:r>
          </m:sub>
        </m:sSub>
        <m:r>
          <w:rPr>
            <w:rFonts w:ascii="Cambria Math" w:hAnsi="Cambria Math"/>
          </w:rPr>
          <m:t xml:space="preserve"> </m:t>
        </m:r>
        <m:d>
          <m:dPr>
            <m:ctrlPr>
              <w:rPr>
                <w:rFonts w:ascii="Cambria Math" w:hAnsi="Cambria Math"/>
              </w:rPr>
            </m:ctrlPr>
          </m:dPr>
          <m:e>
            <m:r>
              <w:rPr>
                <w:rFonts w:ascii="Cambria Math" w:hAnsi="Cambria Math"/>
              </w:rPr>
              <m:t>d-</m:t>
            </m:r>
            <m:sSub>
              <m:sSubPr>
                <m:ctrlPr>
                  <w:rPr>
                    <w:rFonts w:ascii="Cambria Math" w:hAnsi="Cambria Math"/>
                  </w:rPr>
                </m:ctrlPr>
              </m:sSubPr>
              <m:e>
                <m:r>
                  <w:rPr>
                    <w:rFonts w:ascii="Cambria Math" w:hAnsi="Cambria Math"/>
                  </w:rPr>
                  <m:t>t</m:t>
                </m:r>
              </m:e>
              <m:sub>
                <m:r>
                  <m:rPr>
                    <m:sty m:val="p"/>
                  </m:rPr>
                  <w:rPr>
                    <w:rFonts w:ascii="Cambria Math" w:hAnsi="Cambria Math"/>
                  </w:rPr>
                  <m:t>f</m:t>
                </m:r>
              </m:sub>
            </m:sSub>
          </m:e>
        </m:d>
        <m:d>
          <m:dPr>
            <m:ctrlPr>
              <w:rPr>
                <w:rFonts w:ascii="Cambria Math" w:hAnsi="Cambria Math"/>
              </w:rPr>
            </m:ctrlPr>
          </m:dPr>
          <m:e>
            <m:f>
              <m:fPr>
                <m:type m:val="lin"/>
                <m:ctrlPr>
                  <w:rPr>
                    <w:rFonts w:ascii="Cambria Math" w:hAnsi="Cambria Math"/>
                  </w:rPr>
                </m:ctrlPr>
              </m:fPr>
              <m:num>
                <m:sSub>
                  <m:sSubPr>
                    <m:ctrlPr>
                      <w:rPr>
                        <w:rFonts w:ascii="Cambria Math" w:hAnsi="Cambria Math"/>
                      </w:rPr>
                    </m:ctrlPr>
                  </m:sSubPr>
                  <m:e>
                    <m:r>
                      <w:rPr>
                        <w:rFonts w:ascii="Cambria Math" w:hAnsi="Cambria Math"/>
                      </w:rPr>
                      <m:t>f</m:t>
                    </m:r>
                  </m:e>
                  <m:sub>
                    <m:r>
                      <m:rPr>
                        <m:sty m:val="p"/>
                      </m:rPr>
                      <w:rPr>
                        <w:rFonts w:ascii="Cambria Math" w:hAnsi="Cambria Math"/>
                      </w:rPr>
                      <m:t>y</m:t>
                    </m:r>
                  </m:sub>
                </m:sSub>
              </m:num>
              <m:den>
                <m:rad>
                  <m:radPr>
                    <m:degHide m:val="1"/>
                    <m:ctrlPr>
                      <w:rPr>
                        <w:rFonts w:ascii="Cambria Math" w:hAnsi="Cambria Math"/>
                      </w:rPr>
                    </m:ctrlPr>
                  </m:radPr>
                  <m:deg/>
                  <m:e>
                    <m:r>
                      <w:rPr>
                        <w:rFonts w:ascii="Cambria Math" w:hAnsi="Cambria Math"/>
                      </w:rPr>
                      <m:t>3</m:t>
                    </m:r>
                  </m:e>
                </m:rad>
              </m:den>
            </m:f>
          </m:e>
        </m:d>
      </m:oMath>
      <w:r w:rsidR="00B05A2A" w:rsidRPr="00870D59">
        <w:tab/>
        <w:t>(1</w:t>
      </w:r>
      <w:r w:rsidR="00B05A2A">
        <w:t>1</w:t>
      </w:r>
      <w:r w:rsidR="00B05A2A" w:rsidRPr="00870D59">
        <w:t>.</w:t>
      </w:r>
      <w:r w:rsidR="00B05A2A">
        <w:t>27</w:t>
      </w:r>
      <w:r w:rsidR="00B05A2A" w:rsidRPr="00870D59">
        <w:t>)</w:t>
      </w:r>
    </w:p>
    <w:p w14:paraId="4785E217" w14:textId="04AFE2A4" w:rsidR="00B172B2" w:rsidRPr="00132C1E" w:rsidRDefault="00332DCD" w:rsidP="00332DCD">
      <w:pPr>
        <w:pStyle w:val="FigureImage"/>
      </w:pPr>
      <w:r>
        <w:rPr>
          <w:noProof/>
        </w:rPr>
        <w:lastRenderedPageBreak/>
        <w:drawing>
          <wp:inline distT="0" distB="0" distL="0" distR="0" wp14:anchorId="6A9658E2" wp14:editId="470500C9">
            <wp:extent cx="3240029" cy="1961391"/>
            <wp:effectExtent l="0" t="0" r="0" b="0"/>
            <wp:docPr id="1661690625" name="0036.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1690625" name="0036.tiff"/>
                    <pic:cNvPicPr/>
                  </pic:nvPicPr>
                  <pic:blipFill>
                    <a:blip r:link="rId51"/>
                    <a:stretch>
                      <a:fillRect/>
                    </a:stretch>
                  </pic:blipFill>
                  <pic:spPr>
                    <a:xfrm>
                      <a:off x="0" y="0"/>
                      <a:ext cx="3240029" cy="1961391"/>
                    </a:xfrm>
                    <a:prstGeom prst="rect">
                      <a:avLst/>
                    </a:prstGeom>
                  </pic:spPr>
                </pic:pic>
              </a:graphicData>
            </a:graphic>
          </wp:inline>
        </w:drawing>
      </w:r>
    </w:p>
    <w:p w14:paraId="763F59D4" w14:textId="12B7AF08" w:rsidR="00B172B2" w:rsidRPr="007E6F67" w:rsidRDefault="00B172B2" w:rsidP="00B172B2">
      <w:pPr>
        <w:pStyle w:val="Figuretitle"/>
      </w:pPr>
      <w:r w:rsidRPr="00132C1E">
        <w:t xml:space="preserve">Figure </w:t>
      </w:r>
      <w:r>
        <w:t>11</w:t>
      </w:r>
      <w:r w:rsidRPr="00132C1E">
        <w:t>.</w:t>
      </w:r>
      <w:r>
        <w:t>15</w:t>
      </w:r>
      <w:r w:rsidRPr="00132C1E">
        <w:t> </w:t>
      </w:r>
      <w:r w:rsidRPr="00D1484A">
        <w:rPr>
          <w:rFonts w:ascii="`ÃÍœ˛" w:eastAsia="Cambria" w:hAnsi="`ÃÍœ˛" w:cs="`ÃÍœ˛"/>
          <w:szCs w:val="22"/>
          <w:lang w:eastAsia="de-DE"/>
        </w:rPr>
        <w:t>—</w:t>
      </w:r>
      <w:r w:rsidRPr="00D1484A">
        <w:t> Definition of symbols for link sections: a) I and H sections; b) box sections</w:t>
      </w:r>
    </w:p>
    <w:p w14:paraId="7766132C" w14:textId="1A0CFC17" w:rsidR="00B172B2" w:rsidRPr="00E05E29" w:rsidRDefault="00B172B2" w:rsidP="00724E4E">
      <w:pPr>
        <w:pStyle w:val="Clause"/>
      </w:pPr>
      <w:r w:rsidRPr="00644C3D">
        <w:t xml:space="preserve">For box sections, design resistances should be taken as given by </w:t>
      </w:r>
      <w:r w:rsidRPr="00B172B2">
        <w:t>Formulas (11.28) and (11.29).</w:t>
      </w:r>
    </w:p>
    <w:p w14:paraId="233E3AFD" w14:textId="3C3EFD51" w:rsidR="00B172B2" w:rsidRDefault="009B5CEC" w:rsidP="00B172B2">
      <w:pPr>
        <w:pStyle w:val="Formula"/>
        <w:spacing w:before="240"/>
      </w:pPr>
      <m:oMath>
        <m:sSub>
          <m:sSubPr>
            <m:ctrlPr>
              <w:rPr>
                <w:rFonts w:ascii="Cambria Math" w:hAnsi="Cambria Math"/>
              </w:rPr>
            </m:ctrlPr>
          </m:sSubPr>
          <m:e>
            <m:r>
              <w:rPr>
                <w:rFonts w:ascii="Cambria Math" w:hAnsi="Cambria Math"/>
              </w:rPr>
              <m:t>M</m:t>
            </m:r>
          </m:e>
          <m:sub>
            <m:r>
              <m:rPr>
                <m:sty m:val="p"/>
              </m:rPr>
              <w:rPr>
                <w:rFonts w:ascii="Cambria Math" w:hAnsi="Cambria Math"/>
              </w:rPr>
              <m:t>p,link</m:t>
            </m:r>
          </m:sub>
        </m:sSub>
        <m:r>
          <w:rPr>
            <w:rFonts w:ascii="Cambria Math" w:hAnsi="Cambria Math"/>
          </w:rPr>
          <m:t xml:space="preserve">= b </m:t>
        </m:r>
        <m:sSub>
          <m:sSubPr>
            <m:ctrlPr>
              <w:rPr>
                <w:rFonts w:ascii="Cambria Math" w:hAnsi="Cambria Math"/>
              </w:rPr>
            </m:ctrlPr>
          </m:sSubPr>
          <m:e>
            <m:r>
              <w:rPr>
                <w:rFonts w:ascii="Cambria Math" w:hAnsi="Cambria Math"/>
              </w:rPr>
              <m:t>t</m:t>
            </m:r>
          </m:e>
          <m:sub>
            <m:r>
              <m:rPr>
                <m:sty m:val="p"/>
              </m:rPr>
              <w:rPr>
                <w:rFonts w:ascii="Cambria Math" w:hAnsi="Cambria Math"/>
              </w:rPr>
              <m:t>f</m:t>
            </m:r>
          </m:sub>
        </m:sSub>
        <m:r>
          <w:rPr>
            <w:rFonts w:ascii="Cambria Math" w:hAnsi="Cambria Math"/>
          </w:rPr>
          <m:t xml:space="preserve"> </m:t>
        </m:r>
        <m:d>
          <m:dPr>
            <m:ctrlPr>
              <w:rPr>
                <w:rFonts w:ascii="Cambria Math" w:hAnsi="Cambria Math"/>
              </w:rPr>
            </m:ctrlPr>
          </m:dPr>
          <m:e>
            <m:r>
              <w:rPr>
                <w:rFonts w:ascii="Cambria Math" w:hAnsi="Cambria Math"/>
              </w:rPr>
              <m:t>d-</m:t>
            </m:r>
            <m:sSub>
              <m:sSubPr>
                <m:ctrlPr>
                  <w:rPr>
                    <w:rFonts w:ascii="Cambria Math" w:hAnsi="Cambria Math"/>
                  </w:rPr>
                </m:ctrlPr>
              </m:sSubPr>
              <m:e>
                <m:r>
                  <w:rPr>
                    <w:rFonts w:ascii="Cambria Math" w:hAnsi="Cambria Math"/>
                  </w:rPr>
                  <m:t>t</m:t>
                </m:r>
              </m:e>
              <m:sub>
                <m:r>
                  <m:rPr>
                    <m:sty m:val="p"/>
                  </m:rPr>
                  <w:rPr>
                    <w:rFonts w:ascii="Cambria Math" w:hAnsi="Cambria Math"/>
                  </w:rPr>
                  <m:t>f</m:t>
                </m:r>
              </m:sub>
            </m:sSub>
          </m:e>
        </m:d>
        <m:sSub>
          <m:sSubPr>
            <m:ctrlPr>
              <w:rPr>
                <w:rFonts w:ascii="Cambria Math" w:hAnsi="Cambria Math"/>
              </w:rPr>
            </m:ctrlPr>
          </m:sSubPr>
          <m:e>
            <m:r>
              <w:rPr>
                <w:rFonts w:ascii="Cambria Math" w:hAnsi="Cambria Math"/>
              </w:rPr>
              <m:t xml:space="preserve"> f</m:t>
            </m:r>
          </m:e>
          <m:sub>
            <m:r>
              <m:rPr>
                <m:sty m:val="p"/>
              </m:rPr>
              <w:rPr>
                <w:rFonts w:ascii="Cambria Math" w:hAnsi="Cambria Math"/>
              </w:rPr>
              <m:t>y</m:t>
            </m:r>
          </m:sub>
        </m:sSub>
      </m:oMath>
      <w:r w:rsidR="00B172B2" w:rsidRPr="00870D59">
        <w:tab/>
        <w:t>(1</w:t>
      </w:r>
      <w:r w:rsidR="00B172B2">
        <w:t>1</w:t>
      </w:r>
      <w:r w:rsidR="00B172B2" w:rsidRPr="00870D59">
        <w:t>.</w:t>
      </w:r>
      <w:r w:rsidR="00B172B2">
        <w:t>28</w:t>
      </w:r>
      <w:r w:rsidR="00B172B2" w:rsidRPr="00870D59">
        <w:t>)</w:t>
      </w:r>
    </w:p>
    <w:p w14:paraId="2569D2AE" w14:textId="0531601D" w:rsidR="00B172B2" w:rsidRDefault="009B5CEC" w:rsidP="00B172B2">
      <w:pPr>
        <w:pStyle w:val="Formula"/>
        <w:spacing w:before="240"/>
      </w:pPr>
      <m:oMath>
        <m:sSub>
          <m:sSubPr>
            <m:ctrlPr>
              <w:rPr>
                <w:rFonts w:ascii="Cambria Math" w:hAnsi="Cambria Math"/>
              </w:rPr>
            </m:ctrlPr>
          </m:sSubPr>
          <m:e>
            <m:r>
              <w:rPr>
                <w:rFonts w:ascii="Cambria Math" w:hAnsi="Cambria Math"/>
              </w:rPr>
              <m:t>V</m:t>
            </m:r>
          </m:e>
          <m:sub>
            <m:r>
              <m:rPr>
                <m:sty m:val="p"/>
              </m:rPr>
              <w:rPr>
                <w:rFonts w:ascii="Cambria Math" w:hAnsi="Cambria Math"/>
              </w:rPr>
              <m:t>p,link</m:t>
            </m:r>
          </m:sub>
        </m:sSub>
        <m:r>
          <w:rPr>
            <w:rFonts w:ascii="Cambria Math" w:hAnsi="Cambria Math"/>
          </w:rPr>
          <m:t>= 2</m:t>
        </m:r>
        <m:sSub>
          <m:sSubPr>
            <m:ctrlPr>
              <w:rPr>
                <w:rFonts w:ascii="Cambria Math" w:hAnsi="Cambria Math"/>
              </w:rPr>
            </m:ctrlPr>
          </m:sSubPr>
          <m:e>
            <m:r>
              <w:rPr>
                <w:rFonts w:ascii="Cambria Math" w:hAnsi="Cambria Math"/>
              </w:rPr>
              <m:t>t</m:t>
            </m:r>
          </m:e>
          <m:sub>
            <m:r>
              <m:rPr>
                <m:sty m:val="p"/>
              </m:rPr>
              <w:rPr>
                <w:rFonts w:ascii="Cambria Math" w:hAnsi="Cambria Math"/>
              </w:rPr>
              <m:t>w</m:t>
            </m:r>
          </m:sub>
        </m:sSub>
        <m:r>
          <w:rPr>
            <w:rFonts w:ascii="Cambria Math" w:hAnsi="Cambria Math"/>
          </w:rPr>
          <m:t xml:space="preserve"> </m:t>
        </m:r>
        <m:d>
          <m:dPr>
            <m:ctrlPr>
              <w:rPr>
                <w:rFonts w:ascii="Cambria Math" w:hAnsi="Cambria Math"/>
              </w:rPr>
            </m:ctrlPr>
          </m:dPr>
          <m:e>
            <m:r>
              <w:rPr>
                <w:rFonts w:ascii="Cambria Math" w:hAnsi="Cambria Math"/>
              </w:rPr>
              <m:t>d-</m:t>
            </m:r>
            <m:sSub>
              <m:sSubPr>
                <m:ctrlPr>
                  <w:rPr>
                    <w:rFonts w:ascii="Cambria Math" w:hAnsi="Cambria Math"/>
                  </w:rPr>
                </m:ctrlPr>
              </m:sSubPr>
              <m:e>
                <m:r>
                  <w:rPr>
                    <w:rFonts w:ascii="Cambria Math" w:hAnsi="Cambria Math"/>
                  </w:rPr>
                  <m:t>t</m:t>
                </m:r>
              </m:e>
              <m:sub>
                <m:r>
                  <m:rPr>
                    <m:sty m:val="p"/>
                  </m:rPr>
                  <w:rPr>
                    <w:rFonts w:ascii="Cambria Math" w:hAnsi="Cambria Math"/>
                  </w:rPr>
                  <m:t>f</m:t>
                </m:r>
              </m:sub>
            </m:sSub>
          </m:e>
        </m:d>
        <m:d>
          <m:dPr>
            <m:ctrlPr>
              <w:rPr>
                <w:rFonts w:ascii="Cambria Math" w:hAnsi="Cambria Math"/>
              </w:rPr>
            </m:ctrlPr>
          </m:dPr>
          <m:e>
            <m:f>
              <m:fPr>
                <m:type m:val="lin"/>
                <m:ctrlPr>
                  <w:rPr>
                    <w:rFonts w:ascii="Cambria Math" w:hAnsi="Cambria Math"/>
                  </w:rPr>
                </m:ctrlPr>
              </m:fPr>
              <m:num>
                <m:sSub>
                  <m:sSubPr>
                    <m:ctrlPr>
                      <w:rPr>
                        <w:rFonts w:ascii="Cambria Math" w:hAnsi="Cambria Math"/>
                      </w:rPr>
                    </m:ctrlPr>
                  </m:sSubPr>
                  <m:e>
                    <m:r>
                      <w:rPr>
                        <w:rFonts w:ascii="Cambria Math" w:hAnsi="Cambria Math"/>
                      </w:rPr>
                      <m:t>f</m:t>
                    </m:r>
                  </m:e>
                  <m:sub>
                    <m:r>
                      <m:rPr>
                        <m:sty m:val="p"/>
                      </m:rPr>
                      <w:rPr>
                        <w:rFonts w:ascii="Cambria Math" w:hAnsi="Cambria Math"/>
                      </w:rPr>
                      <m:t>y</m:t>
                    </m:r>
                  </m:sub>
                </m:sSub>
              </m:num>
              <m:den>
                <m:rad>
                  <m:radPr>
                    <m:degHide m:val="1"/>
                    <m:ctrlPr>
                      <w:rPr>
                        <w:rFonts w:ascii="Cambria Math" w:hAnsi="Cambria Math"/>
                      </w:rPr>
                    </m:ctrlPr>
                  </m:radPr>
                  <m:deg/>
                  <m:e>
                    <m:r>
                      <w:rPr>
                        <w:rFonts w:ascii="Cambria Math" w:hAnsi="Cambria Math"/>
                      </w:rPr>
                      <m:t>3</m:t>
                    </m:r>
                  </m:e>
                </m:rad>
              </m:den>
            </m:f>
          </m:e>
        </m:d>
      </m:oMath>
      <w:r w:rsidR="00B172B2" w:rsidRPr="00870D59">
        <w:tab/>
        <w:t>(1</w:t>
      </w:r>
      <w:r w:rsidR="00B172B2">
        <w:t>1</w:t>
      </w:r>
      <w:r w:rsidR="00B172B2" w:rsidRPr="00870D59">
        <w:t>.</w:t>
      </w:r>
      <w:r w:rsidR="00B172B2">
        <w:t>29</w:t>
      </w:r>
      <w:r w:rsidR="00B172B2" w:rsidRPr="00870D59">
        <w:t>)</w:t>
      </w:r>
    </w:p>
    <w:p w14:paraId="044BD9BA" w14:textId="158222A5" w:rsidR="00B172B2" w:rsidRPr="00644C3D" w:rsidRDefault="00B172B2" w:rsidP="00724E4E">
      <w:pPr>
        <w:pStyle w:val="Clause"/>
      </w:pPr>
      <w:r w:rsidRPr="00D1484A">
        <w:t xml:space="preserve">If </w:t>
      </w:r>
      <w:r w:rsidRPr="004F74EA">
        <w:rPr>
          <w:i/>
        </w:rPr>
        <w:t>N</w:t>
      </w:r>
      <w:r w:rsidRPr="004F74EA">
        <w:rPr>
          <w:vertAlign w:val="subscript"/>
        </w:rPr>
        <w:t>Ed</w:t>
      </w:r>
      <w:r w:rsidRPr="00FD17CF">
        <w:t>/</w:t>
      </w:r>
      <w:r w:rsidRPr="004F74EA">
        <w:rPr>
          <w:i/>
        </w:rPr>
        <w:t>N</w:t>
      </w:r>
      <w:r w:rsidRPr="004F74EA">
        <w:rPr>
          <w:vertAlign w:val="subscript"/>
        </w:rPr>
        <w:t>pl,Rd</w:t>
      </w:r>
      <w:r w:rsidRPr="00FD17CF">
        <w:t xml:space="preserve"> </w:t>
      </w:r>
      <w:r w:rsidRPr="004F74EA">
        <w:rPr>
          <w:rFonts w:ascii="Symbol" w:eastAsia="Symbol" w:hAnsi="Symbol" w:cs="Symbol"/>
        </w:rPr>
        <w:t></w:t>
      </w:r>
      <w:r w:rsidRPr="00FD17CF">
        <w:t xml:space="preserve"> 0,15, the design resistance of the link should </w:t>
      </w:r>
      <w:r w:rsidRPr="00B172B2">
        <w:t xml:space="preserve">satisfy Formulas (11.30) and (11.31) </w:t>
      </w:r>
      <w:r w:rsidRPr="00FD17CF">
        <w:t>at both ends of the link.</w:t>
      </w:r>
    </w:p>
    <w:p w14:paraId="64B643D0" w14:textId="03787745" w:rsidR="00B172B2" w:rsidRDefault="009B5CEC" w:rsidP="00B172B2">
      <w:pPr>
        <w:pStyle w:val="Formula"/>
        <w:spacing w:before="240"/>
      </w:pPr>
      <m:oMath>
        <m:sSub>
          <m:sSubPr>
            <m:ctrlPr>
              <w:rPr>
                <w:rFonts w:ascii="Cambria Math" w:hAnsi="Cambria Math"/>
              </w:rPr>
            </m:ctrlPr>
          </m:sSubPr>
          <m:e>
            <m:r>
              <w:rPr>
                <w:rFonts w:ascii="Cambria Math" w:hAnsi="Cambria Math"/>
              </w:rPr>
              <m:t>V</m:t>
            </m:r>
          </m:e>
          <m:sub>
            <m:r>
              <m:rPr>
                <m:sty m:val="p"/>
              </m:rPr>
              <w:rPr>
                <w:rFonts w:ascii="Cambria Math" w:hAnsi="Cambria Math"/>
              </w:rPr>
              <m:t>Ed</m:t>
            </m:r>
          </m:sub>
        </m:sSub>
        <m:r>
          <w:rPr>
            <w:rFonts w:ascii="Cambria Math" w:hAnsi="Cambria Math"/>
          </w:rPr>
          <m:t>≤</m:t>
        </m:r>
        <m:sSub>
          <m:sSubPr>
            <m:ctrlPr>
              <w:rPr>
                <w:rFonts w:ascii="Cambria Math" w:hAnsi="Cambria Math"/>
              </w:rPr>
            </m:ctrlPr>
          </m:sSubPr>
          <m:e>
            <m:r>
              <w:rPr>
                <w:rFonts w:ascii="Cambria Math" w:hAnsi="Cambria Math"/>
              </w:rPr>
              <m:t>V</m:t>
            </m:r>
          </m:e>
          <m:sub>
            <m:r>
              <m:rPr>
                <m:sty m:val="p"/>
              </m:rPr>
              <w:rPr>
                <w:rFonts w:ascii="Cambria Math" w:hAnsi="Cambria Math"/>
              </w:rPr>
              <m:t>p,link</m:t>
            </m:r>
          </m:sub>
        </m:sSub>
      </m:oMath>
      <w:r w:rsidR="00B172B2" w:rsidRPr="00870D59">
        <w:tab/>
        <w:t>(1</w:t>
      </w:r>
      <w:r w:rsidR="00B172B2">
        <w:t>1</w:t>
      </w:r>
      <w:r w:rsidR="00B172B2" w:rsidRPr="00870D59">
        <w:t>.</w:t>
      </w:r>
      <w:r w:rsidR="00B172B2">
        <w:t>30</w:t>
      </w:r>
      <w:r w:rsidR="00B172B2" w:rsidRPr="00870D59">
        <w:t>)</w:t>
      </w:r>
    </w:p>
    <w:p w14:paraId="3F545D60" w14:textId="5C191250" w:rsidR="00B172B2" w:rsidRDefault="009B5CEC" w:rsidP="00B172B2">
      <w:pPr>
        <w:pStyle w:val="Formula"/>
        <w:spacing w:before="240"/>
      </w:pPr>
      <m:oMath>
        <m:sSub>
          <m:sSubPr>
            <m:ctrlPr>
              <w:rPr>
                <w:rFonts w:ascii="Cambria Math" w:hAnsi="Cambria Math"/>
              </w:rPr>
            </m:ctrlPr>
          </m:sSubPr>
          <m:e>
            <m:r>
              <w:rPr>
                <w:rFonts w:ascii="Cambria Math" w:hAnsi="Cambria Math"/>
              </w:rPr>
              <m:t>M</m:t>
            </m:r>
          </m:e>
          <m:sub>
            <m:r>
              <m:rPr>
                <m:sty m:val="p"/>
              </m:rPr>
              <w:rPr>
                <w:rFonts w:ascii="Cambria Math" w:hAnsi="Cambria Math"/>
              </w:rPr>
              <m:t>Ed</m:t>
            </m:r>
          </m:sub>
        </m:sSub>
        <m:r>
          <w:rPr>
            <w:rFonts w:ascii="Cambria Math" w:hAnsi="Cambria Math"/>
          </w:rPr>
          <m:t>≤</m:t>
        </m:r>
        <m:sSub>
          <m:sSubPr>
            <m:ctrlPr>
              <w:rPr>
                <w:rFonts w:ascii="Cambria Math" w:hAnsi="Cambria Math"/>
              </w:rPr>
            </m:ctrlPr>
          </m:sSubPr>
          <m:e>
            <m:r>
              <w:rPr>
                <w:rFonts w:ascii="Cambria Math" w:hAnsi="Cambria Math"/>
              </w:rPr>
              <m:t>M</m:t>
            </m:r>
          </m:e>
          <m:sub>
            <m:r>
              <m:rPr>
                <m:sty m:val="p"/>
              </m:rPr>
              <w:rPr>
                <w:rFonts w:ascii="Cambria Math" w:hAnsi="Cambria Math"/>
              </w:rPr>
              <m:t>p,link</m:t>
            </m:r>
          </m:sub>
        </m:sSub>
      </m:oMath>
      <w:r w:rsidR="00B172B2" w:rsidRPr="00870D59">
        <w:tab/>
        <w:t>(1</w:t>
      </w:r>
      <w:r w:rsidR="00B172B2">
        <w:t>1</w:t>
      </w:r>
      <w:r w:rsidR="00B172B2" w:rsidRPr="00870D59">
        <w:t>.</w:t>
      </w:r>
      <w:r w:rsidR="00B172B2">
        <w:t>31</w:t>
      </w:r>
      <w:r w:rsidR="00B172B2" w:rsidRPr="00870D59">
        <w:t>)</w:t>
      </w:r>
    </w:p>
    <w:p w14:paraId="676CC034" w14:textId="77777777" w:rsidR="0078003E" w:rsidRDefault="00B172B2" w:rsidP="00B172B2">
      <w:pPr>
        <w:rPr>
          <w:i/>
        </w:rPr>
      </w:pPr>
      <w:r>
        <w:t>where</w:t>
      </w:r>
      <w:r w:rsidRPr="00B172B2">
        <w:rPr>
          <w:i/>
        </w:rPr>
        <w:t xml:space="preserve"> </w:t>
      </w:r>
    </w:p>
    <w:p w14:paraId="1481829C" w14:textId="0999AC1E" w:rsidR="00B172B2" w:rsidRDefault="00B172B2" w:rsidP="0078003E">
      <w:pPr>
        <w:ind w:left="454"/>
      </w:pPr>
      <w:r w:rsidRPr="00D1484A">
        <w:rPr>
          <w:i/>
        </w:rPr>
        <w:t>N</w:t>
      </w:r>
      <w:r w:rsidRPr="007E6F67">
        <w:rPr>
          <w:vertAlign w:val="subscript"/>
        </w:rPr>
        <w:t>Ed</w:t>
      </w:r>
      <w:r w:rsidRPr="00FD17CF">
        <w:t xml:space="preserve">, </w:t>
      </w:r>
      <w:r w:rsidRPr="00FD17CF">
        <w:rPr>
          <w:i/>
        </w:rPr>
        <w:t>M</w:t>
      </w:r>
      <w:r w:rsidRPr="00FD17CF">
        <w:rPr>
          <w:vertAlign w:val="subscript"/>
        </w:rPr>
        <w:t>Ed</w:t>
      </w:r>
      <w:r w:rsidRPr="00FD17CF">
        <w:t xml:space="preserve">, </w:t>
      </w:r>
      <w:r w:rsidRPr="00FD17CF">
        <w:rPr>
          <w:i/>
        </w:rPr>
        <w:t>V</w:t>
      </w:r>
      <w:r w:rsidRPr="00FD17CF">
        <w:rPr>
          <w:vertAlign w:val="subscript"/>
        </w:rPr>
        <w:t>Ed</w:t>
      </w:r>
      <w:r w:rsidRPr="00FD17CF">
        <w:t xml:space="preserve"> are, respectively, the design axial force, design bending moment and design shear force, at both ends of the </w:t>
      </w:r>
      <w:r w:rsidRPr="00644C3D">
        <w:t>link in the seismic design situation.</w:t>
      </w:r>
    </w:p>
    <w:p w14:paraId="31A1DB20" w14:textId="3C77DDAC" w:rsidR="00B172B2" w:rsidRPr="00E05E29" w:rsidRDefault="00B172B2" w:rsidP="00724E4E">
      <w:pPr>
        <w:pStyle w:val="Clause"/>
      </w:pPr>
      <w:r w:rsidRPr="00E05E29">
        <w:t xml:space="preserve">If </w:t>
      </w:r>
      <w:r w:rsidRPr="004F74EA">
        <w:rPr>
          <w:i/>
          <w:iCs/>
        </w:rPr>
        <w:t>N</w:t>
      </w:r>
      <w:r w:rsidRPr="004F74EA">
        <w:rPr>
          <w:vertAlign w:val="subscript"/>
        </w:rPr>
        <w:t>Ed</w:t>
      </w:r>
      <w:r w:rsidRPr="00E05E29">
        <w:t>/</w:t>
      </w:r>
      <w:r w:rsidRPr="004F74EA">
        <w:rPr>
          <w:i/>
          <w:iCs/>
        </w:rPr>
        <w:t>N</w:t>
      </w:r>
      <w:r w:rsidRPr="004F74EA">
        <w:rPr>
          <w:vertAlign w:val="subscript"/>
        </w:rPr>
        <w:t>Rd</w:t>
      </w:r>
      <w:r w:rsidRPr="00E05E29">
        <w:t xml:space="preserve"> &gt; 0,15</w:t>
      </w:r>
      <w:r w:rsidRPr="00BE1801">
        <w:t xml:space="preserve">, Formulas (11.30) and (11.31) should be satisfied with the reduced values </w:t>
      </w:r>
      <w:r w:rsidRPr="004F74EA">
        <w:rPr>
          <w:i/>
          <w:iCs/>
        </w:rPr>
        <w:t>V</w:t>
      </w:r>
      <w:r w:rsidRPr="004F74EA">
        <w:rPr>
          <w:vertAlign w:val="subscript"/>
        </w:rPr>
        <w:t>p</w:t>
      </w:r>
      <w:r w:rsidRPr="00BE1801">
        <w:t>,</w:t>
      </w:r>
      <w:r w:rsidRPr="004F74EA">
        <w:rPr>
          <w:vertAlign w:val="subscript"/>
        </w:rPr>
        <w:t>link</w:t>
      </w:r>
      <w:r w:rsidRPr="00BE1801">
        <w:t>,</w:t>
      </w:r>
      <w:r w:rsidRPr="004F74EA">
        <w:rPr>
          <w:vertAlign w:val="subscript"/>
        </w:rPr>
        <w:t>r</w:t>
      </w:r>
      <w:r w:rsidRPr="00BE1801">
        <w:t xml:space="preserve"> and </w:t>
      </w:r>
      <w:r w:rsidRPr="004F74EA">
        <w:rPr>
          <w:i/>
          <w:iCs/>
        </w:rPr>
        <w:t>M</w:t>
      </w:r>
      <w:r w:rsidRPr="004F74EA">
        <w:rPr>
          <w:vertAlign w:val="subscript"/>
        </w:rPr>
        <w:t>p</w:t>
      </w:r>
      <w:r w:rsidRPr="00BE1801">
        <w:t>,</w:t>
      </w:r>
      <w:r w:rsidRPr="004F74EA">
        <w:rPr>
          <w:vertAlign w:val="subscript"/>
        </w:rPr>
        <w:t>link</w:t>
      </w:r>
      <w:r w:rsidRPr="00BE1801">
        <w:t>,</w:t>
      </w:r>
      <w:r w:rsidRPr="004F74EA">
        <w:rPr>
          <w:vertAlign w:val="subscript"/>
        </w:rPr>
        <w:t>r</w:t>
      </w:r>
      <w:r w:rsidRPr="00BE1801">
        <w:t xml:space="preserve"> given in Formulas (11.32) and (11.33), </w:t>
      </w:r>
      <w:r w:rsidRPr="00E05E29">
        <w:t xml:space="preserve">instead of </w:t>
      </w:r>
      <w:r w:rsidRPr="004F74EA">
        <w:rPr>
          <w:i/>
          <w:iCs/>
        </w:rPr>
        <w:t>V</w:t>
      </w:r>
      <w:r w:rsidRPr="004F74EA">
        <w:rPr>
          <w:vertAlign w:val="subscript"/>
        </w:rPr>
        <w:t>p</w:t>
      </w:r>
      <w:r w:rsidRPr="00E05E29">
        <w:t>,</w:t>
      </w:r>
      <w:r w:rsidRPr="004F74EA">
        <w:rPr>
          <w:vertAlign w:val="subscript"/>
        </w:rPr>
        <w:t>link</w:t>
      </w:r>
      <w:r w:rsidRPr="00E05E29">
        <w:t xml:space="preserve"> and </w:t>
      </w:r>
      <w:r w:rsidRPr="004F74EA">
        <w:rPr>
          <w:i/>
          <w:iCs/>
        </w:rPr>
        <w:t>M</w:t>
      </w:r>
      <w:r w:rsidRPr="004F74EA">
        <w:rPr>
          <w:vertAlign w:val="subscript"/>
        </w:rPr>
        <w:t>p</w:t>
      </w:r>
      <w:r w:rsidRPr="00E05E29">
        <w:t>,</w:t>
      </w:r>
      <w:r w:rsidRPr="004F74EA">
        <w:rPr>
          <w:vertAlign w:val="subscript"/>
        </w:rPr>
        <w:t>link</w:t>
      </w:r>
      <w:r w:rsidRPr="00E05E29">
        <w:t>.</w:t>
      </w:r>
    </w:p>
    <w:p w14:paraId="4D09C4E9" w14:textId="6E148C01" w:rsidR="00BE1801" w:rsidRDefault="009B5CEC" w:rsidP="00BE1801">
      <w:pPr>
        <w:pStyle w:val="Formula"/>
        <w:spacing w:before="240"/>
      </w:pPr>
      <m:oMath>
        <m:sSub>
          <m:sSubPr>
            <m:ctrlPr>
              <w:rPr>
                <w:rFonts w:ascii="Cambria Math" w:hAnsi="Cambria Math"/>
              </w:rPr>
            </m:ctrlPr>
          </m:sSubPr>
          <m:e>
            <m:r>
              <w:rPr>
                <w:rFonts w:ascii="Cambria Math" w:hAnsi="Cambria Math"/>
              </w:rPr>
              <m:t>V</m:t>
            </m:r>
          </m:e>
          <m:sub>
            <m:r>
              <m:rPr>
                <m:sty m:val="p"/>
              </m:rPr>
              <w:rPr>
                <w:rFonts w:ascii="Cambria Math" w:hAnsi="Cambria Math"/>
              </w:rPr>
              <m:t>p,link,r</m:t>
            </m:r>
          </m:sub>
        </m:sSub>
        <m:r>
          <w:rPr>
            <w:rFonts w:ascii="Cambria Math" w:hAnsi="Cambria Math"/>
          </w:rPr>
          <m:t>=</m:t>
        </m:r>
        <m:sSub>
          <m:sSubPr>
            <m:ctrlPr>
              <w:rPr>
                <w:rFonts w:ascii="Cambria Math" w:hAnsi="Cambria Math"/>
              </w:rPr>
            </m:ctrlPr>
          </m:sSubPr>
          <m:e>
            <m:r>
              <w:rPr>
                <w:rFonts w:ascii="Cambria Math" w:hAnsi="Cambria Math"/>
              </w:rPr>
              <m:t>V</m:t>
            </m:r>
          </m:e>
          <m:sub>
            <m:r>
              <m:rPr>
                <m:sty m:val="p"/>
              </m:rPr>
              <w:rPr>
                <w:rFonts w:ascii="Cambria Math" w:hAnsi="Cambria Math"/>
              </w:rPr>
              <m:t>p,link</m:t>
            </m:r>
          </m:sub>
        </m:sSub>
        <m:sSup>
          <m:sSupPr>
            <m:ctrlPr>
              <w:rPr>
                <w:rFonts w:ascii="Cambria Math" w:hAnsi="Cambria Math"/>
              </w:rPr>
            </m:ctrlPr>
          </m:sSupPr>
          <m:e>
            <m:d>
              <m:dPr>
                <m:begChr m:val="["/>
                <m:endChr m:val="]"/>
                <m:ctrlPr>
                  <w:rPr>
                    <w:rFonts w:ascii="Cambria Math" w:hAnsi="Cambria Math"/>
                  </w:rPr>
                </m:ctrlPr>
              </m:dPr>
              <m:e>
                <m:r>
                  <w:rPr>
                    <w:rFonts w:ascii="Cambria Math" w:hAnsi="Cambria Math"/>
                  </w:rPr>
                  <m:t>1-</m:t>
                </m:r>
                <m:sSup>
                  <m:sSupPr>
                    <m:ctrlPr>
                      <w:rPr>
                        <w:rFonts w:ascii="Cambria Math" w:hAnsi="Cambria Math"/>
                      </w:rPr>
                    </m:ctrlPr>
                  </m:sSupPr>
                  <m:e>
                    <m:d>
                      <m:dPr>
                        <m:ctrlPr>
                          <w:rPr>
                            <w:rFonts w:ascii="Cambria Math" w:hAnsi="Cambria Math"/>
                          </w:rPr>
                        </m:ctrlPr>
                      </m:dPr>
                      <m:e>
                        <m:f>
                          <m:fPr>
                            <m:type m:val="lin"/>
                            <m:ctrlPr>
                              <w:rPr>
                                <w:rFonts w:ascii="Cambria Math" w:hAnsi="Cambria Math"/>
                              </w:rPr>
                            </m:ctrlPr>
                          </m:fPr>
                          <m:num>
                            <m:sSub>
                              <m:sSubPr>
                                <m:ctrlPr>
                                  <w:rPr>
                                    <w:rFonts w:ascii="Cambria Math" w:hAnsi="Cambria Math"/>
                                  </w:rPr>
                                </m:ctrlPr>
                              </m:sSubPr>
                              <m:e>
                                <m:r>
                                  <w:rPr>
                                    <w:rFonts w:ascii="Cambria Math" w:hAnsi="Cambria Math"/>
                                  </w:rPr>
                                  <m:t>N</m:t>
                                </m:r>
                              </m:e>
                              <m:sub>
                                <m:r>
                                  <m:rPr>
                                    <m:sty m:val="p"/>
                                  </m:rPr>
                                  <w:rPr>
                                    <w:rFonts w:ascii="Cambria Math" w:hAnsi="Cambria Math"/>
                                  </w:rPr>
                                  <m:t>Ed</m:t>
                                </m:r>
                              </m:sub>
                            </m:sSub>
                          </m:num>
                          <m:den>
                            <m:sSub>
                              <m:sSubPr>
                                <m:ctrlPr>
                                  <w:rPr>
                                    <w:rFonts w:ascii="Cambria Math" w:hAnsi="Cambria Math"/>
                                  </w:rPr>
                                </m:ctrlPr>
                              </m:sSubPr>
                              <m:e>
                                <m:r>
                                  <w:rPr>
                                    <w:rFonts w:ascii="Cambria Math" w:hAnsi="Cambria Math"/>
                                  </w:rPr>
                                  <m:t>N</m:t>
                                </m:r>
                              </m:e>
                              <m:sub>
                                <m:r>
                                  <m:rPr>
                                    <m:sty m:val="p"/>
                                  </m:rPr>
                                  <w:rPr>
                                    <w:rFonts w:ascii="Cambria Math" w:hAnsi="Cambria Math"/>
                                  </w:rPr>
                                  <m:t>pl,Rd</m:t>
                                </m:r>
                              </m:sub>
                            </m:sSub>
                          </m:den>
                        </m:f>
                      </m:e>
                    </m:d>
                  </m:e>
                  <m:sup>
                    <m:r>
                      <w:rPr>
                        <w:rFonts w:ascii="Cambria Math" w:hAnsi="Cambria Math"/>
                      </w:rPr>
                      <m:t>2</m:t>
                    </m:r>
                  </m:sup>
                </m:sSup>
              </m:e>
            </m:d>
          </m:e>
          <m:sup>
            <m:r>
              <w:rPr>
                <w:rFonts w:ascii="Cambria Math" w:hAnsi="Cambria Math"/>
              </w:rPr>
              <m:t>0,5</m:t>
            </m:r>
          </m:sup>
        </m:sSup>
      </m:oMath>
      <w:r w:rsidR="00BE1801" w:rsidRPr="00870D59">
        <w:tab/>
        <w:t>(1</w:t>
      </w:r>
      <w:r w:rsidR="00BE1801">
        <w:t>1</w:t>
      </w:r>
      <w:r w:rsidR="00BE1801" w:rsidRPr="00870D59">
        <w:t>.</w:t>
      </w:r>
      <w:r w:rsidR="00BE1801">
        <w:t>32</w:t>
      </w:r>
      <w:r w:rsidR="00BE1801" w:rsidRPr="00870D59">
        <w:t>)</w:t>
      </w:r>
    </w:p>
    <w:p w14:paraId="0AD406A6" w14:textId="4F90AFB2" w:rsidR="00BE1801" w:rsidRDefault="009B5CEC" w:rsidP="00BE1801">
      <w:pPr>
        <w:pStyle w:val="Formula"/>
        <w:spacing w:before="240"/>
      </w:pPr>
      <m:oMath>
        <m:sSub>
          <m:sSubPr>
            <m:ctrlPr>
              <w:rPr>
                <w:rFonts w:ascii="Cambria Math" w:hAnsi="Cambria Math"/>
              </w:rPr>
            </m:ctrlPr>
          </m:sSubPr>
          <m:e>
            <m:r>
              <w:rPr>
                <w:rFonts w:ascii="Cambria Math" w:hAnsi="Cambria Math"/>
              </w:rPr>
              <m:t>M</m:t>
            </m:r>
          </m:e>
          <m:sub>
            <m:r>
              <m:rPr>
                <m:sty m:val="p"/>
              </m:rPr>
              <w:rPr>
                <w:rFonts w:ascii="Cambria Math" w:hAnsi="Cambria Math"/>
              </w:rPr>
              <m:t>p,link,r</m:t>
            </m:r>
          </m:sub>
        </m:sSub>
        <m:r>
          <w:rPr>
            <w:rFonts w:ascii="Cambria Math" w:hAnsi="Cambria Math"/>
          </w:rPr>
          <m:t>=</m:t>
        </m:r>
        <m:sSub>
          <m:sSubPr>
            <m:ctrlPr>
              <w:rPr>
                <w:rFonts w:ascii="Cambria Math" w:hAnsi="Cambria Math"/>
              </w:rPr>
            </m:ctrlPr>
          </m:sSubPr>
          <m:e>
            <m:r>
              <w:rPr>
                <w:rFonts w:ascii="Cambria Math" w:hAnsi="Cambria Math"/>
              </w:rPr>
              <m:t>M</m:t>
            </m:r>
          </m:e>
          <m:sub>
            <m:r>
              <m:rPr>
                <m:sty m:val="p"/>
              </m:rPr>
              <w:rPr>
                <w:rFonts w:ascii="Cambria Math" w:hAnsi="Cambria Math"/>
              </w:rPr>
              <m:t>p,link</m:t>
            </m:r>
          </m:sub>
        </m:sSub>
        <m:d>
          <m:dPr>
            <m:begChr m:val="["/>
            <m:endChr m:val="]"/>
            <m:ctrlPr>
              <w:rPr>
                <w:rFonts w:ascii="Cambria Math" w:hAnsi="Cambria Math"/>
              </w:rPr>
            </m:ctrlPr>
          </m:dPr>
          <m:e>
            <m:r>
              <w:rPr>
                <w:rFonts w:ascii="Cambria Math" w:hAnsi="Cambria Math"/>
              </w:rPr>
              <m:t>1-</m:t>
            </m:r>
            <m:d>
              <m:dPr>
                <m:ctrlPr>
                  <w:rPr>
                    <w:rFonts w:ascii="Cambria Math" w:hAnsi="Cambria Math"/>
                  </w:rPr>
                </m:ctrlPr>
              </m:dPr>
              <m:e>
                <m:f>
                  <m:fPr>
                    <m:type m:val="lin"/>
                    <m:ctrlPr>
                      <w:rPr>
                        <w:rFonts w:ascii="Cambria Math" w:hAnsi="Cambria Math"/>
                      </w:rPr>
                    </m:ctrlPr>
                  </m:fPr>
                  <m:num>
                    <m:sSub>
                      <m:sSubPr>
                        <m:ctrlPr>
                          <w:rPr>
                            <w:rFonts w:ascii="Cambria Math" w:hAnsi="Cambria Math"/>
                          </w:rPr>
                        </m:ctrlPr>
                      </m:sSubPr>
                      <m:e>
                        <m:r>
                          <w:rPr>
                            <w:rFonts w:ascii="Cambria Math" w:hAnsi="Cambria Math"/>
                          </w:rPr>
                          <m:t>N</m:t>
                        </m:r>
                      </m:e>
                      <m:sub>
                        <m:r>
                          <m:rPr>
                            <m:sty m:val="p"/>
                          </m:rPr>
                          <w:rPr>
                            <w:rFonts w:ascii="Cambria Math" w:hAnsi="Cambria Math"/>
                          </w:rPr>
                          <m:t>Ed</m:t>
                        </m:r>
                      </m:sub>
                    </m:sSub>
                  </m:num>
                  <m:den>
                    <m:sSub>
                      <m:sSubPr>
                        <m:ctrlPr>
                          <w:rPr>
                            <w:rFonts w:ascii="Cambria Math" w:hAnsi="Cambria Math"/>
                          </w:rPr>
                        </m:ctrlPr>
                      </m:sSubPr>
                      <m:e>
                        <m:r>
                          <w:rPr>
                            <w:rFonts w:ascii="Cambria Math" w:hAnsi="Cambria Math"/>
                          </w:rPr>
                          <m:t>N</m:t>
                        </m:r>
                      </m:e>
                      <m:sub>
                        <m:r>
                          <m:rPr>
                            <m:sty m:val="p"/>
                          </m:rPr>
                          <w:rPr>
                            <w:rFonts w:ascii="Cambria Math" w:hAnsi="Cambria Math"/>
                          </w:rPr>
                          <m:t>pl,Rd</m:t>
                        </m:r>
                      </m:sub>
                    </m:sSub>
                  </m:den>
                </m:f>
              </m:e>
            </m:d>
          </m:e>
        </m:d>
      </m:oMath>
      <w:r w:rsidR="00BE1801" w:rsidRPr="00870D59">
        <w:tab/>
        <w:t>(1</w:t>
      </w:r>
      <w:r w:rsidR="00BE1801">
        <w:t>1</w:t>
      </w:r>
      <w:r w:rsidR="00BE1801" w:rsidRPr="00870D59">
        <w:t>.</w:t>
      </w:r>
      <w:r w:rsidR="00BE1801">
        <w:t>33</w:t>
      </w:r>
      <w:r w:rsidR="00BE1801" w:rsidRPr="00870D59">
        <w:t>)</w:t>
      </w:r>
    </w:p>
    <w:p w14:paraId="4A3DA632" w14:textId="202556EA" w:rsidR="00BE1801" w:rsidRPr="00E05E29" w:rsidRDefault="00BE1801" w:rsidP="00724E4E">
      <w:pPr>
        <w:pStyle w:val="Clause"/>
      </w:pPr>
      <w:r w:rsidRPr="00D1484A">
        <w:t xml:space="preserve">If </w:t>
      </w:r>
      <w:r w:rsidRPr="004F74EA">
        <w:rPr>
          <w:i/>
          <w:iCs/>
        </w:rPr>
        <w:t>N</w:t>
      </w:r>
      <w:r w:rsidRPr="004F74EA">
        <w:rPr>
          <w:vertAlign w:val="subscript"/>
        </w:rPr>
        <w:t>Ed</w:t>
      </w:r>
      <w:r w:rsidRPr="00FD17CF">
        <w:t>/</w:t>
      </w:r>
      <w:r w:rsidRPr="004F74EA">
        <w:rPr>
          <w:i/>
          <w:iCs/>
        </w:rPr>
        <w:t>N</w:t>
      </w:r>
      <w:r w:rsidRPr="004F74EA">
        <w:rPr>
          <w:vertAlign w:val="subscript"/>
        </w:rPr>
        <w:t>Rd</w:t>
      </w:r>
      <w:r w:rsidRPr="00FD17CF">
        <w:t xml:space="preserve"> </w:t>
      </w:r>
      <w:r w:rsidRPr="004F74EA">
        <w:rPr>
          <w:rFonts w:ascii="Symbol" w:eastAsia="Symbol" w:hAnsi="Symbol" w:cs="Symbol"/>
        </w:rPr>
        <w:t></w:t>
      </w:r>
      <w:r w:rsidRPr="00FD17CF">
        <w:t xml:space="preserve"> 0,15, the link length </w:t>
      </w:r>
      <w:r w:rsidRPr="004F74EA">
        <w:rPr>
          <w:i/>
          <w:iCs/>
        </w:rPr>
        <w:t>e</w:t>
      </w:r>
      <w:r w:rsidRPr="00FD17CF">
        <w:t xml:space="preserve"> should not exceed the value given by </w:t>
      </w:r>
      <w:r w:rsidRPr="00BE1801">
        <w:t xml:space="preserve">Formula (11.34) or by Formula (11.35), </w:t>
      </w:r>
      <w:r w:rsidRPr="00644C3D">
        <w:t>as appropriate.</w:t>
      </w:r>
    </w:p>
    <w:p w14:paraId="316B68A3" w14:textId="0D76489F" w:rsidR="00BE1801" w:rsidRDefault="00BE1801" w:rsidP="00BE1801">
      <w:pPr>
        <w:pStyle w:val="Formula"/>
        <w:spacing w:before="240"/>
      </w:pPr>
      <m:oMath>
        <m:r>
          <w:rPr>
            <w:rFonts w:ascii="Cambria Math" w:hAnsi="Cambria Math"/>
          </w:rPr>
          <m:t>e≤1,6</m:t>
        </m:r>
        <m:sSub>
          <m:sSubPr>
            <m:ctrlPr>
              <w:rPr>
                <w:rFonts w:ascii="Cambria Math" w:hAnsi="Cambria Math"/>
              </w:rPr>
            </m:ctrlPr>
          </m:sSubPr>
          <m:e>
            <m:r>
              <w:rPr>
                <w:rFonts w:ascii="Cambria Math" w:hAnsi="Cambria Math"/>
              </w:rPr>
              <m:t xml:space="preserve"> M</m:t>
            </m:r>
          </m:e>
          <m:sub>
            <m:r>
              <m:rPr>
                <m:sty m:val="p"/>
              </m:rPr>
              <w:rPr>
                <w:rFonts w:ascii="Cambria Math" w:hAnsi="Cambria Math"/>
              </w:rPr>
              <m:t>p,</m:t>
            </m:r>
            <m:r>
              <m:rPr>
                <m:nor/>
              </m:rPr>
              <m:t>link</m:t>
            </m:r>
          </m:sub>
        </m:sSub>
        <m:r>
          <w:rPr>
            <w:rFonts w:ascii="Cambria Math" w:hAnsi="Cambria Math"/>
          </w:rPr>
          <m:t>/</m:t>
        </m:r>
        <m:sSub>
          <m:sSubPr>
            <m:ctrlPr>
              <w:rPr>
                <w:rFonts w:ascii="Cambria Math" w:hAnsi="Cambria Math"/>
              </w:rPr>
            </m:ctrlPr>
          </m:sSubPr>
          <m:e>
            <m:r>
              <w:rPr>
                <w:rFonts w:ascii="Cambria Math" w:hAnsi="Cambria Math"/>
              </w:rPr>
              <m:t>V</m:t>
            </m:r>
          </m:e>
          <m:sub>
            <m:r>
              <m:rPr>
                <m:sty m:val="p"/>
              </m:rPr>
              <w:rPr>
                <w:rFonts w:ascii="Cambria Math" w:hAnsi="Cambria Math"/>
              </w:rPr>
              <m:t>p,</m:t>
            </m:r>
            <m:r>
              <m:rPr>
                <m:nor/>
              </m:rPr>
              <m:t>link</m:t>
            </m:r>
          </m:sub>
        </m:sSub>
      </m:oMath>
      <w:r w:rsidRPr="00132C1E">
        <w:t xml:space="preserve">    when </w:t>
      </w:r>
      <m:oMath>
        <m:r>
          <w:rPr>
            <w:rFonts w:ascii="Cambria Math" w:hAnsi="Cambria Math"/>
          </w:rPr>
          <m:t>R&lt;0,3</m:t>
        </m:r>
      </m:oMath>
      <w:r w:rsidRPr="00870D59">
        <w:tab/>
        <w:t>(1</w:t>
      </w:r>
      <w:r>
        <w:t>1</w:t>
      </w:r>
      <w:r w:rsidRPr="00870D59">
        <w:t>.</w:t>
      </w:r>
      <w:r>
        <w:t>34</w:t>
      </w:r>
      <w:r w:rsidRPr="00870D59">
        <w:t>)</w:t>
      </w:r>
    </w:p>
    <w:p w14:paraId="7AB3A286" w14:textId="3E00F8DA" w:rsidR="00BE1801" w:rsidRDefault="00BE1801" w:rsidP="00BE1801">
      <w:pPr>
        <w:pStyle w:val="Formula"/>
        <w:spacing w:before="240"/>
      </w:pPr>
      <m:oMath>
        <m:r>
          <w:rPr>
            <w:rFonts w:ascii="Cambria Math" w:hAnsi="Cambria Math"/>
          </w:rPr>
          <m:t>e≤(1,15-0,5 R) 1,6</m:t>
        </m:r>
        <m:sSub>
          <m:sSubPr>
            <m:ctrlPr>
              <w:rPr>
                <w:rFonts w:ascii="Cambria Math" w:hAnsi="Cambria Math"/>
              </w:rPr>
            </m:ctrlPr>
          </m:sSubPr>
          <m:e>
            <m:r>
              <w:rPr>
                <w:rFonts w:ascii="Cambria Math" w:hAnsi="Cambria Math"/>
              </w:rPr>
              <m:t>M</m:t>
            </m:r>
          </m:e>
          <m:sub>
            <m:r>
              <m:rPr>
                <m:sty m:val="p"/>
              </m:rPr>
              <w:rPr>
                <w:rFonts w:ascii="Cambria Math" w:hAnsi="Cambria Math"/>
              </w:rPr>
              <m:t>p,</m:t>
            </m:r>
            <m:r>
              <m:rPr>
                <m:nor/>
              </m:rPr>
              <m:t>link</m:t>
            </m:r>
          </m:sub>
        </m:sSub>
        <m:r>
          <w:rPr>
            <w:rFonts w:ascii="Cambria Math" w:hAnsi="Cambria Math"/>
          </w:rPr>
          <m:t>/</m:t>
        </m:r>
        <m:sSub>
          <m:sSubPr>
            <m:ctrlPr>
              <w:rPr>
                <w:rFonts w:ascii="Cambria Math" w:hAnsi="Cambria Math"/>
              </w:rPr>
            </m:ctrlPr>
          </m:sSubPr>
          <m:e>
            <m:r>
              <w:rPr>
                <w:rFonts w:ascii="Cambria Math" w:hAnsi="Cambria Math"/>
              </w:rPr>
              <m:t>V</m:t>
            </m:r>
          </m:e>
          <m:sub>
            <m:r>
              <m:rPr>
                <m:sty m:val="p"/>
              </m:rPr>
              <w:rPr>
                <w:rFonts w:ascii="Cambria Math" w:hAnsi="Cambria Math"/>
              </w:rPr>
              <m:t>p,</m:t>
            </m:r>
            <m:r>
              <m:rPr>
                <m:nor/>
              </m:rPr>
              <m:t>link</m:t>
            </m:r>
          </m:sub>
        </m:sSub>
      </m:oMath>
      <w:r w:rsidRPr="00132C1E">
        <w:t xml:space="preserve">    when </w:t>
      </w:r>
      <m:oMath>
        <m:r>
          <w:rPr>
            <w:rFonts w:ascii="Cambria Math" w:hAnsi="Cambria Math"/>
          </w:rPr>
          <m:t xml:space="preserve">R≥0,3 </m:t>
        </m:r>
      </m:oMath>
      <w:r w:rsidRPr="00870D59">
        <w:tab/>
        <w:t>(1</w:t>
      </w:r>
      <w:r>
        <w:t>1</w:t>
      </w:r>
      <w:r w:rsidRPr="00870D59">
        <w:t>.</w:t>
      </w:r>
      <w:r>
        <w:t>35</w:t>
      </w:r>
      <w:r w:rsidRPr="00870D59">
        <w:t>)</w:t>
      </w:r>
    </w:p>
    <w:p w14:paraId="586EECDC" w14:textId="6908E415" w:rsidR="00BE1801" w:rsidRDefault="00675EBA" w:rsidP="00BE1801">
      <w:r>
        <w:t>where</w:t>
      </w:r>
    </w:p>
    <w:tbl>
      <w:tblPr>
        <w:tblW w:w="0" w:type="auto"/>
        <w:tblInd w:w="534" w:type="dxa"/>
        <w:tblLook w:val="04A0" w:firstRow="1" w:lastRow="0" w:firstColumn="1" w:lastColumn="0" w:noHBand="0" w:noVBand="1"/>
      </w:tblPr>
      <w:tblGrid>
        <w:gridCol w:w="1371"/>
        <w:gridCol w:w="7846"/>
      </w:tblGrid>
      <w:tr w:rsidR="00BE1801" w:rsidRPr="00821B21" w14:paraId="5E32008A" w14:textId="77777777" w:rsidTr="002061E5">
        <w:tc>
          <w:tcPr>
            <w:tcW w:w="1385" w:type="dxa"/>
          </w:tcPr>
          <w:p w14:paraId="32818944" w14:textId="6488103E" w:rsidR="00BE1801" w:rsidRPr="007E6F67" w:rsidRDefault="00BE1801" w:rsidP="002061E5">
            <w:pPr>
              <w:spacing w:after="60"/>
              <w:rPr>
                <w:i/>
              </w:rPr>
            </w:pPr>
            <w:r w:rsidRPr="007E6F67">
              <w:rPr>
                <w:i/>
              </w:rPr>
              <w:t>R</w:t>
            </w:r>
          </w:p>
        </w:tc>
        <w:tc>
          <w:tcPr>
            <w:tcW w:w="7938" w:type="dxa"/>
          </w:tcPr>
          <w:p w14:paraId="2E7BCB46" w14:textId="603503FD" w:rsidR="00BE1801" w:rsidRPr="00FD17CF" w:rsidRDefault="00BE1801" w:rsidP="002061E5">
            <w:pPr>
              <w:spacing w:after="60"/>
            </w:pPr>
            <w:r w:rsidRPr="00FD17CF">
              <w:t>= </w:t>
            </w:r>
            <w:r w:rsidRPr="00FD17CF">
              <w:rPr>
                <w:i/>
              </w:rPr>
              <w:t>t</w:t>
            </w:r>
            <w:r w:rsidRPr="00FD17CF">
              <w:rPr>
                <w:vertAlign w:val="subscript"/>
              </w:rPr>
              <w:t>w</w:t>
            </w:r>
            <w:r w:rsidRPr="00FD17CF">
              <w:t xml:space="preserve"> (</w:t>
            </w:r>
            <w:r w:rsidRPr="00FD17CF">
              <w:rPr>
                <w:i/>
              </w:rPr>
              <w:t xml:space="preserve">d </w:t>
            </w:r>
            <w:r w:rsidRPr="00FD17CF">
              <w:t>–2</w:t>
            </w:r>
            <w:r w:rsidRPr="00FD17CF">
              <w:rPr>
                <w:i/>
              </w:rPr>
              <w:t>t</w:t>
            </w:r>
            <w:r w:rsidRPr="00FD17CF">
              <w:rPr>
                <w:vertAlign w:val="subscript"/>
              </w:rPr>
              <w:t>f</w:t>
            </w:r>
            <w:r w:rsidRPr="00FD17CF">
              <w:t>)</w:t>
            </w:r>
            <w:r w:rsidRPr="00FD17CF">
              <w:rPr>
                <w:i/>
              </w:rPr>
              <w:t xml:space="preserve"> N</w:t>
            </w:r>
            <w:r w:rsidRPr="00FD17CF">
              <w:rPr>
                <w:vertAlign w:val="subscript"/>
              </w:rPr>
              <w:t>Ed</w:t>
            </w:r>
            <w:r w:rsidRPr="00644C3D">
              <w:t xml:space="preserve"> / (</w:t>
            </w:r>
            <w:r w:rsidRPr="00E05E29">
              <w:rPr>
                <w:i/>
              </w:rPr>
              <w:t>A V</w:t>
            </w:r>
            <w:r w:rsidRPr="00E05E29">
              <w:rPr>
                <w:vertAlign w:val="subscript"/>
              </w:rPr>
              <w:t>Ed</w:t>
            </w:r>
            <w:r w:rsidRPr="00E05E29">
              <w:t xml:space="preserve">) for I and H section, in which </w:t>
            </w:r>
            <w:r w:rsidRPr="00E05E29">
              <w:rPr>
                <w:i/>
              </w:rPr>
              <w:t>A</w:t>
            </w:r>
            <w:r w:rsidRPr="00E05E29">
              <w:t xml:space="preserve"> is the gross area of the link;</w:t>
            </w:r>
          </w:p>
        </w:tc>
      </w:tr>
      <w:tr w:rsidR="00BE1801" w:rsidRPr="00821B21" w14:paraId="28F9B826" w14:textId="77777777" w:rsidTr="002061E5">
        <w:tc>
          <w:tcPr>
            <w:tcW w:w="1385" w:type="dxa"/>
          </w:tcPr>
          <w:p w14:paraId="3F4B8C3E" w14:textId="59798062" w:rsidR="00BE1801" w:rsidRPr="007E6F67" w:rsidRDefault="00BE1801" w:rsidP="002061E5">
            <w:pPr>
              <w:spacing w:after="60"/>
              <w:rPr>
                <w:i/>
              </w:rPr>
            </w:pPr>
            <w:r w:rsidRPr="00E05E29">
              <w:rPr>
                <w:i/>
              </w:rPr>
              <w:t>R</w:t>
            </w:r>
          </w:p>
        </w:tc>
        <w:tc>
          <w:tcPr>
            <w:tcW w:w="7938" w:type="dxa"/>
          </w:tcPr>
          <w:p w14:paraId="505005C2" w14:textId="4AB86DC2" w:rsidR="00BE1801" w:rsidRPr="00FD17CF" w:rsidRDefault="00BE1801" w:rsidP="002061E5">
            <w:pPr>
              <w:spacing w:after="60"/>
            </w:pPr>
            <w:r w:rsidRPr="00E05E29">
              <w:t>= 2</w:t>
            </w:r>
            <w:r w:rsidRPr="00E05E29">
              <w:rPr>
                <w:i/>
              </w:rPr>
              <w:t>t</w:t>
            </w:r>
            <w:r w:rsidRPr="00E05E29">
              <w:rPr>
                <w:vertAlign w:val="subscript"/>
              </w:rPr>
              <w:t>w</w:t>
            </w:r>
            <w:r w:rsidRPr="00E05E29">
              <w:t xml:space="preserve"> (</w:t>
            </w:r>
            <w:r w:rsidRPr="00E05E29">
              <w:rPr>
                <w:i/>
              </w:rPr>
              <w:t xml:space="preserve">d </w:t>
            </w:r>
            <w:r w:rsidRPr="00E05E29">
              <w:t>–2</w:t>
            </w:r>
            <w:r w:rsidRPr="00E05E29">
              <w:rPr>
                <w:i/>
              </w:rPr>
              <w:t>t</w:t>
            </w:r>
            <w:r w:rsidRPr="00E05E29">
              <w:rPr>
                <w:vertAlign w:val="subscript"/>
              </w:rPr>
              <w:t>f</w:t>
            </w:r>
            <w:r w:rsidRPr="00E05E29">
              <w:t>)</w:t>
            </w:r>
            <w:r w:rsidRPr="00E05E29">
              <w:rPr>
                <w:i/>
              </w:rPr>
              <w:t xml:space="preserve"> N</w:t>
            </w:r>
            <w:r w:rsidRPr="00E05E29">
              <w:rPr>
                <w:vertAlign w:val="subscript"/>
              </w:rPr>
              <w:t>Ed</w:t>
            </w:r>
            <w:r w:rsidRPr="00E05E29">
              <w:t xml:space="preserve"> / (</w:t>
            </w:r>
            <w:r w:rsidRPr="00E05E29">
              <w:rPr>
                <w:i/>
              </w:rPr>
              <w:t>A V</w:t>
            </w:r>
            <w:r w:rsidRPr="00E05E29">
              <w:rPr>
                <w:vertAlign w:val="subscript"/>
              </w:rPr>
              <w:t>Ed</w:t>
            </w:r>
            <w:r w:rsidRPr="00E05E29">
              <w:t>) for box section.</w:t>
            </w:r>
          </w:p>
        </w:tc>
      </w:tr>
    </w:tbl>
    <w:p w14:paraId="047DC5E2" w14:textId="52168BC4" w:rsidR="00EC342E" w:rsidRPr="00E05E29" w:rsidRDefault="00EC342E" w:rsidP="00724E4E">
      <w:pPr>
        <w:pStyle w:val="Clause"/>
      </w:pPr>
      <w:r w:rsidRPr="00E05E29">
        <w:lastRenderedPageBreak/>
        <w:t xml:space="preserve">In DC3 frames with eccentric bracings, the individual values of the design overstrength ratios </w:t>
      </w:r>
      <w:r w:rsidRPr="004F74EA">
        <w:rPr>
          <w:rFonts w:ascii="Symbol" w:hAnsi="Symbol"/>
          <w:i/>
          <w:iCs/>
        </w:rPr>
        <w:t></w:t>
      </w:r>
      <w:r w:rsidRPr="004F74EA">
        <w:rPr>
          <w:vertAlign w:val="subscript"/>
        </w:rPr>
        <w:t>d,i</w:t>
      </w:r>
      <w:r w:rsidRPr="00E05E29">
        <w:t xml:space="preserve"> at each link, given by </w:t>
      </w:r>
      <w:r w:rsidRPr="00EC342E">
        <w:t>Formula (11.36) or Formula (11.37), as appropriate</w:t>
      </w:r>
      <w:r w:rsidRPr="00E05E29">
        <w:t xml:space="preserve">, should not exceed the relevant minimum value </w:t>
      </w:r>
      <w:r w:rsidRPr="004F74EA">
        <w:rPr>
          <w:rFonts w:ascii="Symbol" w:hAnsi="Symbol"/>
          <w:i/>
          <w:iCs/>
        </w:rPr>
        <w:t></w:t>
      </w:r>
      <w:r w:rsidRPr="004F74EA">
        <w:rPr>
          <w:vertAlign w:val="subscript"/>
        </w:rPr>
        <w:t>d</w:t>
      </w:r>
      <w:r w:rsidRPr="00E05E29">
        <w:t xml:space="preserve"> by more than 25</w:t>
      </w:r>
      <w:r w:rsidR="0078003E">
        <w:t> </w:t>
      </w:r>
      <w:r w:rsidRPr="00E05E29">
        <w:t>% of this minimum value with the exception of the links at the top storey.</w:t>
      </w:r>
    </w:p>
    <w:p w14:paraId="58353B10" w14:textId="74720751" w:rsidR="00EC342E" w:rsidRDefault="009B5CEC" w:rsidP="00EC342E">
      <w:pPr>
        <w:pStyle w:val="Formula"/>
        <w:spacing w:before="240"/>
      </w:pPr>
      <m:oMath>
        <m:sSub>
          <m:sSubPr>
            <m:ctrlPr>
              <w:rPr>
                <w:rFonts w:ascii="Cambria Math" w:hAnsi="Cambria Math"/>
              </w:rPr>
            </m:ctrlPr>
          </m:sSubPr>
          <m:e>
            <m:r>
              <w:rPr>
                <w:rFonts w:ascii="Cambria Math" w:hAnsi="Cambria Math"/>
              </w:rPr>
              <m:t>Ω</m:t>
            </m:r>
          </m:e>
          <m:sub>
            <m:r>
              <m:rPr>
                <m:sty m:val="p"/>
              </m:rPr>
              <w:rPr>
                <w:rFonts w:ascii="Cambria Math" w:hAnsi="Cambria Math"/>
              </w:rPr>
              <m:t>d</m:t>
            </m:r>
          </m:sub>
        </m:sSub>
      </m:oMath>
      <w:r w:rsidR="00EC342E" w:rsidRPr="00132C1E">
        <w:t>= min(</w:t>
      </w:r>
      <w:r w:rsidR="00EC342E" w:rsidRPr="0030645C">
        <w:rPr>
          <w:i/>
        </w:rPr>
        <w:t>V</w:t>
      </w:r>
      <w:r w:rsidR="00EC342E" w:rsidRPr="00D1484A">
        <w:rPr>
          <w:vertAlign w:val="subscript"/>
        </w:rPr>
        <w:t xml:space="preserve">p,link,i </w:t>
      </w:r>
      <w:r w:rsidR="00EC342E" w:rsidRPr="00D1484A">
        <w:t>/</w:t>
      </w:r>
      <w:r w:rsidR="00EC342E" w:rsidRPr="0030645C">
        <w:rPr>
          <w:i/>
        </w:rPr>
        <w:t>V</w:t>
      </w:r>
      <w:r w:rsidR="00EC342E" w:rsidRPr="00FD17CF">
        <w:rPr>
          <w:vertAlign w:val="subscript"/>
        </w:rPr>
        <w:t>Ed,i</w:t>
      </w:r>
      <w:r w:rsidR="00EC342E" w:rsidRPr="00FD17CF">
        <w:t xml:space="preserve">) for short links and intermediate links with </w:t>
      </w:r>
      <m:oMath>
        <m:sSub>
          <m:sSubPr>
            <m:ctrlPr>
              <w:rPr>
                <w:rFonts w:ascii="Cambria Math" w:hAnsi="Cambria Math"/>
                <w:i/>
              </w:rPr>
            </m:ctrlPr>
          </m:sSubPr>
          <m:e>
            <m:r>
              <m:rPr>
                <m:sty m:val="p"/>
              </m:rPr>
              <w:rPr>
                <w:rFonts w:ascii="Cambria Math" w:hAnsi="Cambria Math"/>
              </w:rPr>
              <m:t>e ≤ 2,6</m:t>
            </m:r>
            <m:r>
              <w:rPr>
                <w:rFonts w:ascii="Cambria Math" w:hAnsi="Cambria Math"/>
              </w:rPr>
              <m:t>M</m:t>
            </m:r>
          </m:e>
          <m:sub>
            <m:r>
              <m:rPr>
                <m:sty m:val="p"/>
              </m:rPr>
              <w:rPr>
                <w:rFonts w:ascii="Cambria Math" w:hAnsi="Cambria Math"/>
              </w:rPr>
              <m:t>p,</m:t>
            </m:r>
            <m:r>
              <m:rPr>
                <m:nor/>
              </m:rPr>
              <m:t>link</m:t>
            </m:r>
          </m:sub>
        </m:sSub>
        <m:r>
          <w:rPr>
            <w:rFonts w:ascii="Cambria Math" w:hAnsi="Cambria Math"/>
          </w:rPr>
          <m:t>/</m:t>
        </m:r>
        <m:sSub>
          <m:sSubPr>
            <m:ctrlPr>
              <w:rPr>
                <w:rFonts w:ascii="Cambria Math" w:hAnsi="Cambria Math"/>
                <w:i/>
              </w:rPr>
            </m:ctrlPr>
          </m:sSubPr>
          <m:e>
            <m:r>
              <w:rPr>
                <w:rFonts w:ascii="Cambria Math" w:hAnsi="Cambria Math"/>
              </w:rPr>
              <m:t>V</m:t>
            </m:r>
          </m:e>
          <m:sub>
            <m:r>
              <m:rPr>
                <m:sty m:val="p"/>
              </m:rPr>
              <w:rPr>
                <w:rFonts w:ascii="Cambria Math" w:hAnsi="Cambria Math"/>
              </w:rPr>
              <m:t>p,</m:t>
            </m:r>
            <m:r>
              <m:rPr>
                <m:nor/>
              </m:rPr>
              <m:t>link</m:t>
            </m:r>
          </m:sub>
        </m:sSub>
      </m:oMath>
      <w:r w:rsidR="00EC342E" w:rsidRPr="00870D59">
        <w:tab/>
        <w:t>(1</w:t>
      </w:r>
      <w:r w:rsidR="00EC342E">
        <w:t>1</w:t>
      </w:r>
      <w:r w:rsidR="00EC342E" w:rsidRPr="00870D59">
        <w:t>.</w:t>
      </w:r>
      <w:r w:rsidR="00EC342E">
        <w:t>36</w:t>
      </w:r>
      <w:r w:rsidR="00EC342E" w:rsidRPr="00870D59">
        <w:t>)</w:t>
      </w:r>
    </w:p>
    <w:p w14:paraId="0D27A8CF" w14:textId="79EB0AC0" w:rsidR="00EC342E" w:rsidRDefault="009B5CEC" w:rsidP="00EC342E">
      <w:pPr>
        <w:pStyle w:val="Formula"/>
        <w:spacing w:before="240"/>
      </w:pPr>
      <m:oMath>
        <m:sSub>
          <m:sSubPr>
            <m:ctrlPr>
              <w:rPr>
                <w:rFonts w:ascii="Cambria Math" w:hAnsi="Cambria Math"/>
              </w:rPr>
            </m:ctrlPr>
          </m:sSubPr>
          <m:e>
            <m:r>
              <w:rPr>
                <w:rFonts w:ascii="Cambria Math" w:hAnsi="Cambria Math"/>
              </w:rPr>
              <m:t>Ω</m:t>
            </m:r>
          </m:e>
          <m:sub>
            <m:r>
              <m:rPr>
                <m:sty m:val="p"/>
              </m:rPr>
              <w:rPr>
                <w:rFonts w:ascii="Cambria Math" w:hAnsi="Cambria Math"/>
              </w:rPr>
              <m:t>d</m:t>
            </m:r>
          </m:sub>
        </m:sSub>
      </m:oMath>
      <w:r w:rsidR="00EC342E" w:rsidRPr="00132C1E">
        <w:t>= min(</w:t>
      </w:r>
      <w:r w:rsidR="00EC342E" w:rsidRPr="0030645C">
        <w:rPr>
          <w:i/>
        </w:rPr>
        <w:t>M</w:t>
      </w:r>
      <w:r w:rsidR="00EC342E" w:rsidRPr="00D1484A">
        <w:rPr>
          <w:vertAlign w:val="subscript"/>
        </w:rPr>
        <w:t>p,link,i</w:t>
      </w:r>
      <w:r w:rsidR="00EC342E" w:rsidRPr="00D1484A">
        <w:t>/</w:t>
      </w:r>
      <w:r w:rsidR="00EC342E" w:rsidRPr="0030645C">
        <w:rPr>
          <w:i/>
        </w:rPr>
        <w:t>M</w:t>
      </w:r>
      <w:r w:rsidR="00EC342E" w:rsidRPr="00FD17CF">
        <w:rPr>
          <w:vertAlign w:val="subscript"/>
        </w:rPr>
        <w:t>Ed,i</w:t>
      </w:r>
      <w:r w:rsidR="00EC342E" w:rsidRPr="00FD17CF">
        <w:t>) for intermediate links with e &gt;2,6</w:t>
      </w:r>
      <m:oMath>
        <m:sSub>
          <m:sSubPr>
            <m:ctrlPr>
              <w:rPr>
                <w:rFonts w:ascii="Cambria Math" w:hAnsi="Cambria Math"/>
              </w:rPr>
            </m:ctrlPr>
          </m:sSubPr>
          <m:e>
            <m:r>
              <w:rPr>
                <w:rFonts w:ascii="Cambria Math" w:hAnsi="Cambria Math"/>
              </w:rPr>
              <m:t xml:space="preserve"> M</m:t>
            </m:r>
          </m:e>
          <m:sub>
            <m:r>
              <m:rPr>
                <m:sty m:val="p"/>
              </m:rPr>
              <w:rPr>
                <w:rFonts w:ascii="Cambria Math" w:hAnsi="Cambria Math"/>
              </w:rPr>
              <m:t>p,</m:t>
            </m:r>
            <m:r>
              <m:rPr>
                <m:nor/>
              </m:rPr>
              <m:t>link</m:t>
            </m:r>
          </m:sub>
        </m:sSub>
        <m:r>
          <w:rPr>
            <w:rFonts w:ascii="Cambria Math" w:hAnsi="Cambria Math"/>
          </w:rPr>
          <m:t>/</m:t>
        </m:r>
        <m:sSub>
          <m:sSubPr>
            <m:ctrlPr>
              <w:rPr>
                <w:rFonts w:ascii="Cambria Math" w:hAnsi="Cambria Math"/>
              </w:rPr>
            </m:ctrlPr>
          </m:sSubPr>
          <m:e>
            <m:r>
              <w:rPr>
                <w:rFonts w:ascii="Cambria Math" w:hAnsi="Cambria Math"/>
              </w:rPr>
              <m:t>V</m:t>
            </m:r>
          </m:e>
          <m:sub>
            <m:r>
              <m:rPr>
                <m:sty m:val="p"/>
              </m:rPr>
              <w:rPr>
                <w:rFonts w:ascii="Cambria Math" w:hAnsi="Cambria Math"/>
              </w:rPr>
              <m:t>p,</m:t>
            </m:r>
            <m:r>
              <m:rPr>
                <m:nor/>
              </m:rPr>
              <m:t>link</m:t>
            </m:r>
          </m:sub>
        </m:sSub>
        <m:r>
          <w:rPr>
            <w:rFonts w:ascii="Cambria Math" w:hAnsi="Cambria Math"/>
          </w:rPr>
          <m:t xml:space="preserve"> </m:t>
        </m:r>
      </m:oMath>
      <w:r w:rsidR="00EC342E" w:rsidRPr="00D1484A">
        <w:t>and long links</w:t>
      </w:r>
      <w:r w:rsidR="00EC342E" w:rsidRPr="00870D59">
        <w:tab/>
        <w:t>(1</w:t>
      </w:r>
      <w:r w:rsidR="00EC342E">
        <w:t>1</w:t>
      </w:r>
      <w:r w:rsidR="00EC342E" w:rsidRPr="00870D59">
        <w:t>.</w:t>
      </w:r>
      <w:r w:rsidR="00EC342E">
        <w:t>37</w:t>
      </w:r>
      <w:r w:rsidR="00EC342E" w:rsidRPr="00870D59">
        <w:t>)</w:t>
      </w:r>
    </w:p>
    <w:p w14:paraId="4583D86D" w14:textId="761CDCFC" w:rsidR="00EC342E" w:rsidRDefault="00675EBA" w:rsidP="00EC342E">
      <w:r>
        <w:t>where</w:t>
      </w:r>
    </w:p>
    <w:tbl>
      <w:tblPr>
        <w:tblW w:w="0" w:type="auto"/>
        <w:tblInd w:w="284" w:type="dxa"/>
        <w:tblLook w:val="04A0" w:firstRow="1" w:lastRow="0" w:firstColumn="1" w:lastColumn="0" w:noHBand="0" w:noVBand="1"/>
      </w:tblPr>
      <w:tblGrid>
        <w:gridCol w:w="1438"/>
        <w:gridCol w:w="7841"/>
      </w:tblGrid>
      <w:tr w:rsidR="00EC342E" w:rsidRPr="00821B21" w14:paraId="205D7768" w14:textId="77777777" w:rsidTr="0078003E">
        <w:tc>
          <w:tcPr>
            <w:tcW w:w="1438" w:type="dxa"/>
          </w:tcPr>
          <w:p w14:paraId="6E12B585" w14:textId="6371C384" w:rsidR="00EC342E" w:rsidRPr="007E6F67" w:rsidRDefault="00EC342E" w:rsidP="002061E5">
            <w:pPr>
              <w:spacing w:after="60"/>
              <w:rPr>
                <w:i/>
              </w:rPr>
            </w:pPr>
            <w:r w:rsidRPr="007E6F67">
              <w:rPr>
                <w:i/>
              </w:rPr>
              <w:t>V</w:t>
            </w:r>
            <w:r w:rsidRPr="00FD17CF">
              <w:rPr>
                <w:vertAlign w:val="subscript"/>
              </w:rPr>
              <w:t>Ed,i</w:t>
            </w:r>
            <w:r w:rsidRPr="00FD17CF">
              <w:t xml:space="preserve">, </w:t>
            </w:r>
            <w:r w:rsidRPr="00FD17CF">
              <w:rPr>
                <w:i/>
              </w:rPr>
              <w:t>M</w:t>
            </w:r>
            <w:r w:rsidRPr="00FD17CF">
              <w:rPr>
                <w:vertAlign w:val="subscript"/>
              </w:rPr>
              <w:t>Ed,i</w:t>
            </w:r>
          </w:p>
        </w:tc>
        <w:tc>
          <w:tcPr>
            <w:tcW w:w="7841" w:type="dxa"/>
          </w:tcPr>
          <w:p w14:paraId="5ECAAD0B" w14:textId="55BE8F67" w:rsidR="00EC342E" w:rsidRPr="00FD17CF" w:rsidRDefault="00EC342E" w:rsidP="002061E5">
            <w:pPr>
              <w:spacing w:after="60"/>
            </w:pPr>
            <w:r w:rsidRPr="00FD17CF">
              <w:t xml:space="preserve">are the design values of the shear force and of the bending moment in link </w:t>
            </w:r>
            <w:r w:rsidRPr="00FD17CF">
              <w:rPr>
                <w:i/>
              </w:rPr>
              <w:t>i</w:t>
            </w:r>
            <w:r w:rsidRPr="00FD17CF">
              <w:t xml:space="preserve"> in the seismic design situation;</w:t>
            </w:r>
          </w:p>
        </w:tc>
      </w:tr>
      <w:tr w:rsidR="00EC342E" w:rsidRPr="00821B21" w14:paraId="6768FA82" w14:textId="77777777" w:rsidTr="0078003E">
        <w:tc>
          <w:tcPr>
            <w:tcW w:w="1438" w:type="dxa"/>
          </w:tcPr>
          <w:p w14:paraId="3CBAA6A6" w14:textId="38819C39" w:rsidR="00EC342E" w:rsidRPr="007E6F67" w:rsidRDefault="00EC342E" w:rsidP="002061E5">
            <w:pPr>
              <w:spacing w:after="60"/>
              <w:rPr>
                <w:i/>
              </w:rPr>
            </w:pPr>
            <w:r w:rsidRPr="00FD17CF">
              <w:rPr>
                <w:i/>
              </w:rPr>
              <w:t>V</w:t>
            </w:r>
            <w:r w:rsidRPr="00644C3D">
              <w:rPr>
                <w:vertAlign w:val="subscript"/>
              </w:rPr>
              <w:t>p,link</w:t>
            </w:r>
            <w:r w:rsidRPr="00E05E29">
              <w:rPr>
                <w:i/>
                <w:vertAlign w:val="subscript"/>
              </w:rPr>
              <w:t>,</w:t>
            </w:r>
            <w:r w:rsidRPr="00E05E29">
              <w:rPr>
                <w:vertAlign w:val="subscript"/>
              </w:rPr>
              <w:t>i</w:t>
            </w:r>
            <w:r w:rsidRPr="00E05E29">
              <w:t xml:space="preserve">, </w:t>
            </w:r>
            <w:r w:rsidRPr="00E05E29">
              <w:rPr>
                <w:i/>
              </w:rPr>
              <w:t>M</w:t>
            </w:r>
            <w:r w:rsidRPr="00E05E29">
              <w:rPr>
                <w:vertAlign w:val="subscript"/>
              </w:rPr>
              <w:t>p,link,i</w:t>
            </w:r>
          </w:p>
        </w:tc>
        <w:tc>
          <w:tcPr>
            <w:tcW w:w="7841" w:type="dxa"/>
          </w:tcPr>
          <w:p w14:paraId="5F980E49" w14:textId="0806BEDF" w:rsidR="00EC342E" w:rsidRPr="00FD17CF" w:rsidRDefault="00EC342E" w:rsidP="002061E5">
            <w:pPr>
              <w:spacing w:after="60"/>
            </w:pPr>
            <w:r w:rsidRPr="00E05E29">
              <w:t xml:space="preserve">are the </w:t>
            </w:r>
            <w:r w:rsidRPr="00FD2AE7">
              <w:t>shear</w:t>
            </w:r>
            <w:r w:rsidRPr="00FD2AE7">
              <w:rPr>
                <w:vertAlign w:val="subscript"/>
              </w:rPr>
              <w:t xml:space="preserve"> </w:t>
            </w:r>
            <w:r w:rsidRPr="00FD2AE7">
              <w:t xml:space="preserve">and bending plastic design resistances of link </w:t>
            </w:r>
            <w:r w:rsidRPr="00FD2AE7">
              <w:rPr>
                <w:i/>
              </w:rPr>
              <w:t>i</w:t>
            </w:r>
            <w:r w:rsidRPr="00FD2AE7">
              <w:t xml:space="preserve"> from11.11.2(5) and 11.11.2(6).</w:t>
            </w:r>
          </w:p>
        </w:tc>
      </w:tr>
    </w:tbl>
    <w:p w14:paraId="5F298848" w14:textId="15C0D518" w:rsidR="00EC342E" w:rsidRPr="00E05E29" w:rsidRDefault="00EC342E" w:rsidP="00724E4E">
      <w:pPr>
        <w:pStyle w:val="Clause"/>
      </w:pPr>
      <w:r w:rsidRPr="00E05E29">
        <w:t>Where equal moments would form simultaneously at both ends of the link (with symmetric moment diagram (</w:t>
      </w:r>
      <w:r w:rsidRPr="00EC342E">
        <w:t xml:space="preserve">see Figure 11.16a), links may be classified according to the length </w:t>
      </w:r>
      <w:r w:rsidRPr="004F74EA">
        <w:rPr>
          <w:i/>
        </w:rPr>
        <w:t xml:space="preserve">e </w:t>
      </w:r>
      <w:r w:rsidRPr="00EC342E">
        <w:t xml:space="preserve">for </w:t>
      </w:r>
      <w:r w:rsidRPr="004F74EA">
        <w:rPr>
          <w:iCs/>
        </w:rPr>
        <w:t xml:space="preserve">all types of cross </w:t>
      </w:r>
      <w:r w:rsidRPr="00EC342E">
        <w:t xml:space="preserve">sections as given </w:t>
      </w:r>
      <w:r w:rsidRPr="00E05E29">
        <w:t>in Formulas (11.38) to (11.40).</w:t>
      </w:r>
    </w:p>
    <w:p w14:paraId="226793B3" w14:textId="2758563E" w:rsidR="00EC342E" w:rsidRDefault="00EC342E" w:rsidP="005F35D9">
      <w:pPr>
        <w:pStyle w:val="Formula"/>
        <w:tabs>
          <w:tab w:val="right" w:pos="454"/>
        </w:tabs>
        <w:spacing w:before="240"/>
      </w:pPr>
      <w:r w:rsidRPr="00E05E29">
        <w:t>short links</w:t>
      </w:r>
      <m:oMath>
        <m:r>
          <w:rPr>
            <w:rFonts w:ascii="Cambria Math" w:hAnsi="Cambria Math"/>
          </w:rPr>
          <m:t xml:space="preserve">                </m:t>
        </m:r>
        <m:r>
          <w:rPr>
            <w:rFonts w:ascii="Cambria Math"/>
          </w:rPr>
          <m:t>e&lt;</m:t>
        </m:r>
        <m:sSub>
          <m:sSubPr>
            <m:ctrlPr>
              <w:rPr>
                <w:rFonts w:ascii="Cambria Math" w:hAnsi="Cambria Math"/>
                <w:i/>
              </w:rPr>
            </m:ctrlPr>
          </m:sSubPr>
          <m:e>
            <m:r>
              <w:rPr>
                <w:rFonts w:ascii="Cambria Math"/>
              </w:rPr>
              <m:t>e</m:t>
            </m:r>
          </m:e>
          <m:sub>
            <m:r>
              <m:rPr>
                <m:sty m:val="p"/>
              </m:rPr>
              <w:rPr>
                <w:rFonts w:ascii="Cambria Math"/>
              </w:rPr>
              <m:t>s</m:t>
            </m:r>
          </m:sub>
        </m:sSub>
        <m:r>
          <w:rPr>
            <w:rFonts w:ascii="Cambria Math"/>
          </w:rPr>
          <m:t xml:space="preserve">=1,6 </m:t>
        </m:r>
        <m:sSub>
          <m:sSubPr>
            <m:ctrlPr>
              <w:rPr>
                <w:rFonts w:ascii="Cambria Math" w:hAnsi="Cambria Math"/>
                <w:i/>
              </w:rPr>
            </m:ctrlPr>
          </m:sSubPr>
          <m:e>
            <m:r>
              <w:rPr>
                <w:rFonts w:ascii="Cambria Math"/>
              </w:rPr>
              <m:t>M</m:t>
            </m:r>
          </m:e>
          <m:sub>
            <m:r>
              <m:rPr>
                <m:sty m:val="p"/>
              </m:rPr>
              <w:rPr>
                <w:rFonts w:ascii="Cambria Math"/>
              </w:rPr>
              <m:t>p,</m:t>
            </m:r>
            <m:r>
              <m:rPr>
                <m:nor/>
              </m:rPr>
              <w:rPr>
                <w:rFonts w:ascii="Cambria Math"/>
                <w:iCs/>
              </w:rPr>
              <m:t>link</m:t>
            </m:r>
            <m:ctrlPr>
              <w:rPr>
                <w:rFonts w:ascii="Cambria Math" w:hAnsi="Cambria Math"/>
              </w:rPr>
            </m:ctrlPr>
          </m:sub>
        </m:sSub>
        <m:r>
          <w:rPr>
            <w:rFonts w:ascii="Cambria Math"/>
          </w:rPr>
          <m:t>/</m:t>
        </m:r>
        <m:sSub>
          <m:sSubPr>
            <m:ctrlPr>
              <w:rPr>
                <w:rFonts w:ascii="Cambria Math" w:hAnsi="Cambria Math"/>
                <w:i/>
              </w:rPr>
            </m:ctrlPr>
          </m:sSubPr>
          <m:e>
            <m:r>
              <w:rPr>
                <w:rFonts w:ascii="Cambria Math"/>
              </w:rPr>
              <m:t>V</m:t>
            </m:r>
          </m:e>
          <m:sub>
            <m:r>
              <m:rPr>
                <m:sty m:val="p"/>
              </m:rPr>
              <w:rPr>
                <w:rFonts w:ascii="Cambria Math"/>
              </w:rPr>
              <m:t>p,</m:t>
            </m:r>
            <m:r>
              <m:rPr>
                <m:nor/>
              </m:rPr>
              <w:rPr>
                <w:rFonts w:ascii="Cambria Math"/>
                <w:iCs/>
              </w:rPr>
              <m:t>link</m:t>
            </m:r>
            <m:ctrlPr>
              <w:rPr>
                <w:rFonts w:ascii="Cambria Math" w:hAnsi="Cambria Math"/>
              </w:rPr>
            </m:ctrlPr>
          </m:sub>
        </m:sSub>
      </m:oMath>
      <w:r w:rsidRPr="00870D59">
        <w:tab/>
        <w:t>(1</w:t>
      </w:r>
      <w:r>
        <w:t>1</w:t>
      </w:r>
      <w:r w:rsidRPr="00870D59">
        <w:t>.</w:t>
      </w:r>
      <w:r>
        <w:t>38</w:t>
      </w:r>
      <w:r w:rsidRPr="00870D59">
        <w:t>)</w:t>
      </w:r>
    </w:p>
    <w:p w14:paraId="7A99FBE3" w14:textId="02F15E65" w:rsidR="00EC342E" w:rsidRDefault="005F35D9" w:rsidP="00EC342E">
      <w:pPr>
        <w:pStyle w:val="Formula"/>
        <w:spacing w:before="240"/>
      </w:pPr>
      <w:r w:rsidRPr="00D1484A">
        <w:t>long links</w:t>
      </w:r>
      <m:oMath>
        <m:r>
          <w:rPr>
            <w:rFonts w:ascii="Cambria Math" w:hAnsi="Cambria Math"/>
          </w:rPr>
          <m:t xml:space="preserve">                  </m:t>
        </m:r>
        <m:r>
          <w:rPr>
            <w:rFonts w:ascii="Cambria Math"/>
          </w:rPr>
          <m:t>e&gt;</m:t>
        </m:r>
        <m:sSub>
          <m:sSubPr>
            <m:ctrlPr>
              <w:rPr>
                <w:rFonts w:ascii="Cambria Math" w:hAnsi="Cambria Math"/>
                <w:i/>
              </w:rPr>
            </m:ctrlPr>
          </m:sSubPr>
          <m:e>
            <m:r>
              <w:rPr>
                <w:rFonts w:ascii="Cambria Math"/>
              </w:rPr>
              <m:t>e</m:t>
            </m:r>
          </m:e>
          <m:sub>
            <m:r>
              <m:rPr>
                <m:sty m:val="p"/>
              </m:rPr>
              <w:rPr>
                <w:rFonts w:ascii="Cambria Math"/>
              </w:rPr>
              <m:t>L</m:t>
            </m:r>
          </m:sub>
        </m:sSub>
        <m:r>
          <w:rPr>
            <w:rFonts w:ascii="Cambria Math"/>
          </w:rPr>
          <m:t>=3,0</m:t>
        </m:r>
        <m:sSub>
          <m:sSubPr>
            <m:ctrlPr>
              <w:rPr>
                <w:rFonts w:ascii="Cambria Math" w:hAnsi="Cambria Math"/>
                <w:i/>
              </w:rPr>
            </m:ctrlPr>
          </m:sSubPr>
          <m:e>
            <m:r>
              <w:rPr>
                <w:rFonts w:ascii="Cambria Math"/>
              </w:rPr>
              <m:t xml:space="preserve"> M</m:t>
            </m:r>
          </m:e>
          <m:sub>
            <m:r>
              <m:rPr>
                <m:sty m:val="p"/>
              </m:rPr>
              <w:rPr>
                <w:rFonts w:ascii="Cambria Math"/>
              </w:rPr>
              <m:t>p,</m:t>
            </m:r>
            <m:r>
              <m:rPr>
                <m:nor/>
              </m:rPr>
              <w:rPr>
                <w:rFonts w:ascii="Cambria Math"/>
                <w:iCs/>
              </w:rPr>
              <m:t>link</m:t>
            </m:r>
            <m:ctrlPr>
              <w:rPr>
                <w:rFonts w:ascii="Cambria Math" w:hAnsi="Cambria Math"/>
              </w:rPr>
            </m:ctrlPr>
          </m:sub>
        </m:sSub>
        <m:r>
          <w:rPr>
            <w:rFonts w:ascii="Cambria Math"/>
          </w:rPr>
          <m:t>/</m:t>
        </m:r>
        <m:sSub>
          <m:sSubPr>
            <m:ctrlPr>
              <w:rPr>
                <w:rFonts w:ascii="Cambria Math" w:hAnsi="Cambria Math"/>
                <w:i/>
              </w:rPr>
            </m:ctrlPr>
          </m:sSubPr>
          <m:e>
            <m:r>
              <w:rPr>
                <w:rFonts w:ascii="Cambria Math"/>
              </w:rPr>
              <m:t>V</m:t>
            </m:r>
          </m:e>
          <m:sub>
            <m:r>
              <m:rPr>
                <m:sty m:val="p"/>
              </m:rPr>
              <w:rPr>
                <w:rFonts w:ascii="Cambria Math"/>
              </w:rPr>
              <m:t>p,</m:t>
            </m:r>
            <m:r>
              <m:rPr>
                <m:nor/>
              </m:rPr>
              <w:rPr>
                <w:rFonts w:ascii="Cambria Math"/>
                <w:iCs/>
              </w:rPr>
              <m:t>link</m:t>
            </m:r>
            <m:ctrlPr>
              <w:rPr>
                <w:rFonts w:ascii="Cambria Math" w:hAnsi="Cambria Math"/>
              </w:rPr>
            </m:ctrlPr>
          </m:sub>
        </m:sSub>
      </m:oMath>
      <w:r w:rsidR="00EC342E" w:rsidRPr="00870D59">
        <w:tab/>
        <w:t>(1</w:t>
      </w:r>
      <w:r w:rsidR="00EC342E">
        <w:t>1</w:t>
      </w:r>
      <w:r w:rsidR="00EC342E" w:rsidRPr="00870D59">
        <w:t>.</w:t>
      </w:r>
      <w:r w:rsidR="00EC342E">
        <w:t>39</w:t>
      </w:r>
      <w:r w:rsidR="00EC342E" w:rsidRPr="00870D59">
        <w:t>)</w:t>
      </w:r>
    </w:p>
    <w:p w14:paraId="006126B5" w14:textId="151F481D" w:rsidR="00EC342E" w:rsidRDefault="005F35D9" w:rsidP="00EC342E">
      <w:pPr>
        <w:pStyle w:val="Formula"/>
        <w:spacing w:before="240"/>
      </w:pPr>
      <w:r w:rsidRPr="00D1484A">
        <w:t>intermediate links</w:t>
      </w:r>
      <w:r>
        <w:t xml:space="preserve"> </w:t>
      </w:r>
      <m:oMath>
        <m:sSub>
          <m:sSubPr>
            <m:ctrlPr>
              <w:rPr>
                <w:rFonts w:ascii="Cambria Math" w:hAnsi="Cambria Math"/>
                <w:i/>
              </w:rPr>
            </m:ctrlPr>
          </m:sSubPr>
          <m:e>
            <m:r>
              <w:rPr>
                <w:rFonts w:ascii="Cambria Math"/>
              </w:rPr>
              <m:t>e</m:t>
            </m:r>
          </m:e>
          <m:sub>
            <m:r>
              <m:rPr>
                <m:sty m:val="p"/>
              </m:rPr>
              <w:rPr>
                <w:rFonts w:ascii="Cambria Math"/>
              </w:rPr>
              <m:t>s</m:t>
            </m:r>
          </m:sub>
        </m:sSub>
        <m:r>
          <w:rPr>
            <w:rFonts w:ascii="Cambria Math" w:hAnsi="Cambria Math"/>
          </w:rPr>
          <m:t>≤</m:t>
        </m:r>
        <m:r>
          <w:rPr>
            <w:rFonts w:ascii="Cambria Math"/>
          </w:rPr>
          <m:t>e</m:t>
        </m:r>
        <m:r>
          <w:rPr>
            <w:rFonts w:ascii="Cambria Math" w:hAnsi="Cambria Math"/>
          </w:rPr>
          <m:t>≤</m:t>
        </m:r>
        <m:sSub>
          <m:sSubPr>
            <m:ctrlPr>
              <w:rPr>
                <w:rFonts w:ascii="Cambria Math" w:hAnsi="Cambria Math"/>
                <w:i/>
              </w:rPr>
            </m:ctrlPr>
          </m:sSubPr>
          <m:e>
            <m:r>
              <w:rPr>
                <w:rFonts w:ascii="Cambria Math"/>
              </w:rPr>
              <m:t>e</m:t>
            </m:r>
          </m:e>
          <m:sub>
            <m:r>
              <m:rPr>
                <m:sty m:val="p"/>
              </m:rPr>
              <w:rPr>
                <w:rFonts w:ascii="Cambria Math"/>
              </w:rPr>
              <m:t>L</m:t>
            </m:r>
          </m:sub>
        </m:sSub>
      </m:oMath>
      <w:r w:rsidR="00EC342E" w:rsidRPr="00870D59">
        <w:tab/>
        <w:t>(1</w:t>
      </w:r>
      <w:r w:rsidR="00EC342E">
        <w:t>1</w:t>
      </w:r>
      <w:r w:rsidR="00EC342E" w:rsidRPr="00870D59">
        <w:t>.</w:t>
      </w:r>
      <w:r w:rsidR="00EC342E">
        <w:t>40</w:t>
      </w:r>
      <w:r w:rsidR="00EC342E" w:rsidRPr="00870D59">
        <w:t>)</w:t>
      </w:r>
    </w:p>
    <w:p w14:paraId="39974BAB" w14:textId="0B2CBCB8" w:rsidR="005F35D9" w:rsidRPr="00E05E29" w:rsidRDefault="005F35D9" w:rsidP="00724E4E">
      <w:pPr>
        <w:pStyle w:val="Clause"/>
      </w:pPr>
      <w:r w:rsidRPr="00D1484A">
        <w:t>Where the moments at the link ends differ (</w:t>
      </w:r>
      <w:r w:rsidRPr="005F35D9">
        <w:t xml:space="preserve">see Figure 11.16b, c and d), </w:t>
      </w:r>
      <w:r w:rsidRPr="007E6F67">
        <w:t>links may be classified according to the</w:t>
      </w:r>
      <w:r w:rsidRPr="00644C3D">
        <w:t xml:space="preserve"> length </w:t>
      </w:r>
      <w:r w:rsidRPr="004F74EA">
        <w:rPr>
          <w:i/>
        </w:rPr>
        <w:t xml:space="preserve">e </w:t>
      </w:r>
      <w:r w:rsidRPr="00E05E29">
        <w:t xml:space="preserve">for </w:t>
      </w:r>
      <w:r w:rsidRPr="004F74EA">
        <w:rPr>
          <w:iCs/>
        </w:rPr>
        <w:t xml:space="preserve">all types of cross </w:t>
      </w:r>
      <w:r w:rsidRPr="00E05E29">
        <w:t>sections as given in Formulas (11.41) to (11.43).</w:t>
      </w:r>
    </w:p>
    <w:p w14:paraId="18A6BC4B" w14:textId="41BE43FE" w:rsidR="005F35D9" w:rsidRDefault="005F35D9" w:rsidP="005F35D9">
      <w:pPr>
        <w:pStyle w:val="Formula"/>
        <w:spacing w:before="240"/>
      </w:pPr>
      <w:r w:rsidRPr="00E05E29">
        <w:t>short links</w:t>
      </w:r>
      <w:r>
        <w:t xml:space="preserve">: </w:t>
      </w:r>
      <m:oMath>
        <m:r>
          <w:rPr>
            <w:rFonts w:ascii="Cambria Math" w:hAnsi="Cambria Math"/>
          </w:rPr>
          <m:t>e&lt;</m:t>
        </m:r>
        <m:sSub>
          <m:sSubPr>
            <m:ctrlPr>
              <w:rPr>
                <w:rFonts w:ascii="Cambria Math" w:hAnsi="Cambria Math"/>
              </w:rPr>
            </m:ctrlPr>
          </m:sSubPr>
          <m:e>
            <m:r>
              <w:rPr>
                <w:rFonts w:ascii="Cambria Math" w:hAnsi="Cambria Math"/>
              </w:rPr>
              <m:t>e</m:t>
            </m:r>
          </m:e>
          <m:sub>
            <m:r>
              <m:rPr>
                <m:sty m:val="p"/>
              </m:rPr>
              <w:rPr>
                <w:rFonts w:ascii="Cambria Math" w:hAnsi="Cambria Math"/>
              </w:rPr>
              <m:t>s</m:t>
            </m:r>
          </m:sub>
        </m:sSub>
        <m:r>
          <w:rPr>
            <w:rFonts w:ascii="Cambria Math" w:hAnsi="Cambria Math"/>
          </w:rPr>
          <m:t>=0,8</m:t>
        </m:r>
        <m:d>
          <m:dPr>
            <m:ctrlPr>
              <w:rPr>
                <w:rFonts w:ascii="Cambria Math" w:hAnsi="Cambria Math"/>
              </w:rPr>
            </m:ctrlPr>
          </m:dPr>
          <m:e>
            <m:r>
              <w:rPr>
                <w:rFonts w:ascii="Cambria Math" w:hAnsi="Cambria Math"/>
              </w:rPr>
              <m:t>1+α</m:t>
            </m:r>
          </m:e>
        </m:d>
        <m:sSub>
          <m:sSubPr>
            <m:ctrlPr>
              <w:rPr>
                <w:rFonts w:ascii="Cambria Math" w:hAnsi="Cambria Math"/>
              </w:rPr>
            </m:ctrlPr>
          </m:sSubPr>
          <m:e>
            <m:r>
              <w:rPr>
                <w:rFonts w:ascii="Cambria Math" w:hAnsi="Cambria Math"/>
              </w:rPr>
              <m:t>M</m:t>
            </m:r>
          </m:e>
          <m:sub>
            <m:r>
              <m:rPr>
                <m:sty m:val="p"/>
              </m:rPr>
              <w:rPr>
                <w:rFonts w:ascii="Cambria Math" w:hAnsi="Cambria Math"/>
              </w:rPr>
              <m:t>p,</m:t>
            </m:r>
            <m:r>
              <m:rPr>
                <m:nor/>
              </m:rPr>
              <m:t>link</m:t>
            </m:r>
          </m:sub>
        </m:sSub>
        <m:r>
          <w:rPr>
            <w:rFonts w:ascii="Cambria Math" w:hAnsi="Cambria Math"/>
          </w:rPr>
          <m:t>/</m:t>
        </m:r>
        <m:sSub>
          <m:sSubPr>
            <m:ctrlPr>
              <w:rPr>
                <w:rFonts w:ascii="Cambria Math" w:hAnsi="Cambria Math"/>
              </w:rPr>
            </m:ctrlPr>
          </m:sSubPr>
          <m:e>
            <m:r>
              <w:rPr>
                <w:rFonts w:ascii="Cambria Math" w:hAnsi="Cambria Math"/>
              </w:rPr>
              <m:t>V</m:t>
            </m:r>
          </m:e>
          <m:sub>
            <m:r>
              <m:rPr>
                <m:sty m:val="p"/>
              </m:rPr>
              <w:rPr>
                <w:rFonts w:ascii="Cambria Math" w:hAnsi="Cambria Math"/>
              </w:rPr>
              <m:t>p,</m:t>
            </m:r>
            <m:r>
              <m:rPr>
                <m:nor/>
              </m:rPr>
              <m:t>link</m:t>
            </m:r>
          </m:sub>
        </m:sSub>
      </m:oMath>
      <w:r w:rsidRPr="00870D59">
        <w:tab/>
        <w:t>(1</w:t>
      </w:r>
      <w:r>
        <w:t>1</w:t>
      </w:r>
      <w:r w:rsidRPr="00870D59">
        <w:t>.</w:t>
      </w:r>
      <w:r>
        <w:t>41</w:t>
      </w:r>
      <w:r w:rsidRPr="00870D59">
        <w:t>)</w:t>
      </w:r>
    </w:p>
    <w:p w14:paraId="4F924005" w14:textId="786360D3" w:rsidR="005F35D9" w:rsidRDefault="005F35D9" w:rsidP="005F35D9">
      <w:pPr>
        <w:pStyle w:val="Formula"/>
        <w:spacing w:before="240"/>
      </w:pPr>
      <w:r w:rsidRPr="00D1484A">
        <w:t>long links</w:t>
      </w:r>
      <w:r>
        <w:t xml:space="preserve">: </w:t>
      </w:r>
      <m:oMath>
        <m:r>
          <w:rPr>
            <w:rFonts w:ascii="Cambria Math" w:hAnsi="Cambria Math"/>
          </w:rPr>
          <m:t>e&gt;</m:t>
        </m:r>
        <m:sSub>
          <m:sSubPr>
            <m:ctrlPr>
              <w:rPr>
                <w:rFonts w:ascii="Cambria Math" w:hAnsi="Cambria Math"/>
              </w:rPr>
            </m:ctrlPr>
          </m:sSubPr>
          <m:e>
            <m:r>
              <w:rPr>
                <w:rFonts w:ascii="Cambria Math" w:hAnsi="Cambria Math"/>
              </w:rPr>
              <m:t>e</m:t>
            </m:r>
          </m:e>
          <m:sub>
            <m:r>
              <m:rPr>
                <m:sty m:val="p"/>
              </m:rPr>
              <w:rPr>
                <w:rFonts w:ascii="Cambria Math" w:hAnsi="Cambria Math"/>
              </w:rPr>
              <m:t>L</m:t>
            </m:r>
          </m:sub>
        </m:sSub>
        <m:r>
          <w:rPr>
            <w:rFonts w:ascii="Cambria Math" w:hAnsi="Cambria Math"/>
          </w:rPr>
          <m:t>=1,5</m:t>
        </m:r>
        <m:d>
          <m:dPr>
            <m:ctrlPr>
              <w:rPr>
                <w:rFonts w:ascii="Cambria Math" w:hAnsi="Cambria Math"/>
              </w:rPr>
            </m:ctrlPr>
          </m:dPr>
          <m:e>
            <m:r>
              <w:rPr>
                <w:rFonts w:ascii="Cambria Math" w:hAnsi="Cambria Math"/>
              </w:rPr>
              <m:t>1+α</m:t>
            </m:r>
          </m:e>
        </m:d>
        <m:sSub>
          <m:sSubPr>
            <m:ctrlPr>
              <w:rPr>
                <w:rFonts w:ascii="Cambria Math" w:hAnsi="Cambria Math"/>
              </w:rPr>
            </m:ctrlPr>
          </m:sSubPr>
          <m:e>
            <m:r>
              <w:rPr>
                <w:rFonts w:ascii="Cambria Math" w:hAnsi="Cambria Math"/>
              </w:rPr>
              <m:t>M</m:t>
            </m:r>
          </m:e>
          <m:sub>
            <m:r>
              <m:rPr>
                <m:sty m:val="p"/>
              </m:rPr>
              <w:rPr>
                <w:rFonts w:ascii="Cambria Math" w:hAnsi="Cambria Math"/>
              </w:rPr>
              <m:t>p,</m:t>
            </m:r>
            <m:r>
              <m:rPr>
                <m:nor/>
              </m:rPr>
              <m:t>link</m:t>
            </m:r>
          </m:sub>
        </m:sSub>
        <m:r>
          <w:rPr>
            <w:rFonts w:ascii="Cambria Math" w:hAnsi="Cambria Math"/>
          </w:rPr>
          <m:t>/</m:t>
        </m:r>
        <m:sSub>
          <m:sSubPr>
            <m:ctrlPr>
              <w:rPr>
                <w:rFonts w:ascii="Cambria Math" w:hAnsi="Cambria Math"/>
              </w:rPr>
            </m:ctrlPr>
          </m:sSubPr>
          <m:e>
            <m:r>
              <w:rPr>
                <w:rFonts w:ascii="Cambria Math" w:hAnsi="Cambria Math"/>
              </w:rPr>
              <m:t>V</m:t>
            </m:r>
          </m:e>
          <m:sub>
            <m:r>
              <m:rPr>
                <m:sty m:val="p"/>
              </m:rPr>
              <w:rPr>
                <w:rFonts w:ascii="Cambria Math" w:hAnsi="Cambria Math"/>
              </w:rPr>
              <m:t>p,</m:t>
            </m:r>
            <m:r>
              <m:rPr>
                <m:nor/>
              </m:rPr>
              <m:t>link</m:t>
            </m:r>
          </m:sub>
        </m:sSub>
        <m:r>
          <w:rPr>
            <w:rFonts w:ascii="Cambria Math" w:hAnsi="Cambria Math"/>
          </w:rPr>
          <m:t xml:space="preserve"> </m:t>
        </m:r>
      </m:oMath>
      <w:r w:rsidRPr="00870D59">
        <w:tab/>
        <w:t>(1</w:t>
      </w:r>
      <w:r>
        <w:t>1</w:t>
      </w:r>
      <w:r w:rsidRPr="00870D59">
        <w:t>.</w:t>
      </w:r>
      <w:r>
        <w:t>42</w:t>
      </w:r>
      <w:r w:rsidRPr="00870D59">
        <w:t>)</w:t>
      </w:r>
    </w:p>
    <w:p w14:paraId="38AED130" w14:textId="0C64E888" w:rsidR="005F35D9" w:rsidRDefault="005F35D9" w:rsidP="005F35D9">
      <w:pPr>
        <w:pStyle w:val="Formula"/>
        <w:spacing w:before="240"/>
      </w:pPr>
      <w:r w:rsidRPr="00D1484A">
        <w:t>intermediate links</w:t>
      </w:r>
      <w:r>
        <w:t xml:space="preserve">: </w:t>
      </w:r>
      <m:oMath>
        <m:sSub>
          <m:sSubPr>
            <m:ctrlPr>
              <w:rPr>
                <w:rFonts w:ascii="Cambria Math" w:hAnsi="Cambria Math"/>
              </w:rPr>
            </m:ctrlPr>
          </m:sSubPr>
          <m:e>
            <m:r>
              <w:rPr>
                <w:rFonts w:ascii="Cambria Math" w:hAnsi="Cambria Math"/>
              </w:rPr>
              <m:t>e</m:t>
            </m:r>
          </m:e>
          <m:sub>
            <m:r>
              <m:rPr>
                <m:sty m:val="p"/>
              </m:rPr>
              <w:rPr>
                <w:rFonts w:ascii="Cambria Math" w:hAnsi="Cambria Math"/>
              </w:rPr>
              <m:t>s</m:t>
            </m:r>
          </m:sub>
        </m:sSub>
        <m:r>
          <w:rPr>
            <w:rFonts w:ascii="Cambria Math" w:hAnsi="Cambria Math"/>
          </w:rPr>
          <m:t>≤e≤</m:t>
        </m:r>
        <m:sSub>
          <m:sSubPr>
            <m:ctrlPr>
              <w:rPr>
                <w:rFonts w:ascii="Cambria Math" w:hAnsi="Cambria Math"/>
              </w:rPr>
            </m:ctrlPr>
          </m:sSubPr>
          <m:e>
            <m:r>
              <w:rPr>
                <w:rFonts w:ascii="Cambria Math" w:hAnsi="Cambria Math"/>
              </w:rPr>
              <m:t>e</m:t>
            </m:r>
          </m:e>
          <m:sub>
            <m:r>
              <m:rPr>
                <m:sty m:val="p"/>
              </m:rPr>
              <w:rPr>
                <w:rFonts w:ascii="Cambria Math" w:hAnsi="Cambria Math"/>
              </w:rPr>
              <m:t>L</m:t>
            </m:r>
          </m:sub>
        </m:sSub>
        <m:r>
          <w:rPr>
            <w:rFonts w:ascii="Cambria Math" w:hAnsi="Cambria Math"/>
          </w:rPr>
          <m:t xml:space="preserve"> </m:t>
        </m:r>
      </m:oMath>
      <w:r w:rsidRPr="00870D59">
        <w:tab/>
        <w:t>(1</w:t>
      </w:r>
      <w:r>
        <w:t>1</w:t>
      </w:r>
      <w:r w:rsidRPr="00870D59">
        <w:t>.</w:t>
      </w:r>
      <w:r>
        <w:t>43</w:t>
      </w:r>
      <w:r w:rsidRPr="00870D59">
        <w:t>)</w:t>
      </w:r>
    </w:p>
    <w:p w14:paraId="71FFDDA1" w14:textId="77777777" w:rsidR="005F35D9" w:rsidRPr="00E05E29" w:rsidRDefault="005F35D9" w:rsidP="00FD2AE7">
      <w:pPr>
        <w:pStyle w:val="Text"/>
      </w:pPr>
      <w:r w:rsidRPr="00D1484A">
        <w:t xml:space="preserve">where </w:t>
      </w:r>
      <w:r w:rsidRPr="00D1484A">
        <w:rPr>
          <w:rFonts w:ascii="Symbol" w:eastAsia="Symbol" w:hAnsi="Symbol" w:cs="Symbol"/>
          <w:i/>
        </w:rPr>
        <w:t></w:t>
      </w:r>
      <w:r w:rsidRPr="007E6F67">
        <w:t xml:space="preserve"> is the ratio of the smaller moments </w:t>
      </w:r>
      <w:r w:rsidRPr="00FD17CF">
        <w:rPr>
          <w:i/>
        </w:rPr>
        <w:t>M</w:t>
      </w:r>
      <w:r w:rsidRPr="00FD17CF">
        <w:rPr>
          <w:vertAlign w:val="subscript"/>
        </w:rPr>
        <w:t>Ed,A</w:t>
      </w:r>
      <w:r w:rsidRPr="00FD17CF">
        <w:t xml:space="preserve"> at one end of the link in the seismic design situation, to the greater moments </w:t>
      </w:r>
      <w:r w:rsidRPr="00644C3D">
        <w:rPr>
          <w:i/>
        </w:rPr>
        <w:t>M</w:t>
      </w:r>
      <w:r w:rsidRPr="00E05E29">
        <w:rPr>
          <w:vertAlign w:val="subscript"/>
        </w:rPr>
        <w:t>Ed,B</w:t>
      </w:r>
      <w:r w:rsidRPr="00E05E29">
        <w:t xml:space="preserve"> at the end where the plastic hinge would form, both moments taken as absolute values.</w:t>
      </w:r>
    </w:p>
    <w:p w14:paraId="7FE66D49" w14:textId="59373FE7" w:rsidR="005F35D9" w:rsidRPr="00132C1E" w:rsidRDefault="004534AF" w:rsidP="004534AF">
      <w:pPr>
        <w:pStyle w:val="FigureImage"/>
      </w:pPr>
      <w:bookmarkStart w:id="9687" w:name="_Toc29724507"/>
      <w:r>
        <w:rPr>
          <w:noProof/>
        </w:rPr>
        <w:lastRenderedPageBreak/>
        <w:drawing>
          <wp:inline distT="0" distB="0" distL="0" distR="0" wp14:anchorId="379B53B7" wp14:editId="7AFE1E53">
            <wp:extent cx="4320547" cy="2453644"/>
            <wp:effectExtent l="0" t="0" r="3810" b="3810"/>
            <wp:docPr id="1661690626" name="0037.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1690626" name="0037.tiff"/>
                    <pic:cNvPicPr/>
                  </pic:nvPicPr>
                  <pic:blipFill>
                    <a:blip r:link="rId52"/>
                    <a:stretch>
                      <a:fillRect/>
                    </a:stretch>
                  </pic:blipFill>
                  <pic:spPr>
                    <a:xfrm>
                      <a:off x="0" y="0"/>
                      <a:ext cx="4320547" cy="2453644"/>
                    </a:xfrm>
                    <a:prstGeom prst="rect">
                      <a:avLst/>
                    </a:prstGeom>
                  </pic:spPr>
                </pic:pic>
              </a:graphicData>
            </a:graphic>
          </wp:inline>
        </w:drawing>
      </w:r>
    </w:p>
    <w:p w14:paraId="45FB76D7" w14:textId="08B1011B" w:rsidR="005F35D9" w:rsidRPr="00FD17CF" w:rsidRDefault="005F35D9" w:rsidP="005F35D9">
      <w:pPr>
        <w:pStyle w:val="Figuretitle"/>
      </w:pPr>
      <w:r w:rsidRPr="00D1484A">
        <w:t xml:space="preserve">Figure </w:t>
      </w:r>
      <w:r>
        <w:t>11</w:t>
      </w:r>
      <w:r w:rsidRPr="00132C1E">
        <w:t>.</w:t>
      </w:r>
      <w:r>
        <w:t>16</w:t>
      </w:r>
      <w:r w:rsidRPr="00132C1E">
        <w:t> </w:t>
      </w:r>
      <w:r w:rsidRPr="00D1484A">
        <w:rPr>
          <w:rFonts w:ascii="`ÃÍœ˛" w:eastAsia="Cambria" w:hAnsi="`ÃÍœ˛" w:cs="`ÃÍœ˛"/>
          <w:szCs w:val="22"/>
          <w:lang w:eastAsia="de-DE"/>
        </w:rPr>
        <w:t>—</w:t>
      </w:r>
      <w:r w:rsidRPr="00D1484A">
        <w:t> </w:t>
      </w:r>
      <w:r w:rsidRPr="00D1484A">
        <w:rPr>
          <w:noProof/>
        </w:rPr>
        <w:t>Link rotation angle</w:t>
      </w:r>
      <w:r w:rsidRPr="007E6F67">
        <w:rPr>
          <w:noProof/>
        </w:rPr>
        <w:t xml:space="preserve"> </w:t>
      </w:r>
      <w:r w:rsidRPr="00FD17CF">
        <w:rPr>
          <w:i/>
          <w:noProof/>
        </w:rPr>
        <w:t>θ</w:t>
      </w:r>
      <w:r w:rsidRPr="00FD17CF">
        <w:rPr>
          <w:noProof/>
          <w:vertAlign w:val="subscript"/>
        </w:rPr>
        <w:t>p</w:t>
      </w:r>
      <w:r w:rsidRPr="00FD17CF">
        <w:rPr>
          <w:noProof/>
        </w:rPr>
        <w:t xml:space="preserve"> between the link and the member outside of the link</w:t>
      </w:r>
    </w:p>
    <w:bookmarkEnd w:id="9687"/>
    <w:p w14:paraId="5B0AF08B" w14:textId="30DBF244" w:rsidR="005F35D9" w:rsidRPr="00E05E29" w:rsidRDefault="005F35D9" w:rsidP="0078003E">
      <w:pPr>
        <w:pStyle w:val="Clause"/>
        <w:spacing w:after="200"/>
      </w:pPr>
      <w:r w:rsidRPr="00644C3D">
        <w:t xml:space="preserve">If non-linear analyses are used, the link plastic rotation angle </w:t>
      </w:r>
      <w:r w:rsidRPr="004F74EA">
        <w:rPr>
          <w:rFonts w:ascii="Symbol" w:eastAsia="Symbol" w:hAnsi="Symbol" w:cs="Symbol"/>
          <w:i/>
        </w:rPr>
        <w:t></w:t>
      </w:r>
      <w:r w:rsidRPr="004F74EA">
        <w:rPr>
          <w:vertAlign w:val="subscript"/>
        </w:rPr>
        <w:t>p</w:t>
      </w:r>
      <w:r w:rsidRPr="00E05E29">
        <w:t xml:space="preserve"> between the link and the member outside of the link as </w:t>
      </w:r>
      <w:r w:rsidRPr="009E1375">
        <w:t>defined in Figure 11.16</w:t>
      </w:r>
      <w:r w:rsidRPr="00B00B3D">
        <w:rPr>
          <w:strike/>
        </w:rPr>
        <w:t xml:space="preserve"> </w:t>
      </w:r>
      <w:r w:rsidRPr="009E1375">
        <w:t xml:space="preserve">should be consistent with global deformations. It should not exceed the values given by Formulas (11.44) to (11.46), </w:t>
      </w:r>
      <w:r w:rsidRPr="00E05E29">
        <w:t>as appropriate.</w:t>
      </w:r>
    </w:p>
    <w:p w14:paraId="5513EECB" w14:textId="72371C79" w:rsidR="009E1375" w:rsidRDefault="009E1375" w:rsidP="0078003E">
      <w:pPr>
        <w:pStyle w:val="Formula"/>
        <w:spacing w:before="240" w:after="200"/>
      </w:pPr>
      <w:r w:rsidRPr="00E05E29">
        <w:t>short links</w:t>
      </w:r>
      <w:r>
        <w:t xml:space="preserve">: </w:t>
      </w:r>
      <w:r w:rsidRPr="0030645C">
        <w:rPr>
          <w:i/>
        </w:rPr>
        <w:t>θ</w:t>
      </w:r>
      <w:r w:rsidRPr="00E05E29">
        <w:rPr>
          <w:vertAlign w:val="subscript"/>
        </w:rPr>
        <w:t>p</w:t>
      </w:r>
      <w:r w:rsidRPr="00E05E29">
        <w:t xml:space="preserve"> ≤ </w:t>
      </w:r>
      <w:r w:rsidRPr="0030645C">
        <w:rPr>
          <w:i/>
        </w:rPr>
        <w:t>θ</w:t>
      </w:r>
      <w:r w:rsidRPr="00E05E29">
        <w:rPr>
          <w:vertAlign w:val="subscript"/>
        </w:rPr>
        <w:t>pR</w:t>
      </w:r>
      <w:r w:rsidRPr="00E05E29">
        <w:t xml:space="preserve"> = 0,08 rad</w:t>
      </w:r>
      <w:r w:rsidRPr="00870D59">
        <w:tab/>
        <w:t>(1</w:t>
      </w:r>
      <w:r>
        <w:t>1</w:t>
      </w:r>
      <w:r w:rsidRPr="00870D59">
        <w:t>.</w:t>
      </w:r>
      <w:r>
        <w:t>44</w:t>
      </w:r>
      <w:r w:rsidRPr="00870D59">
        <w:t>)</w:t>
      </w:r>
    </w:p>
    <w:p w14:paraId="78BCBE81" w14:textId="62EBD776" w:rsidR="009E1375" w:rsidRDefault="009E1375" w:rsidP="0078003E">
      <w:pPr>
        <w:pStyle w:val="Formula"/>
        <w:spacing w:before="240" w:after="200"/>
      </w:pPr>
      <w:r w:rsidRPr="00D1484A">
        <w:t>long links</w:t>
      </w:r>
      <w:r>
        <w:t xml:space="preserve">: </w:t>
      </w:r>
      <w:r w:rsidRPr="0030645C">
        <w:rPr>
          <w:i/>
        </w:rPr>
        <w:t>θ</w:t>
      </w:r>
      <w:r w:rsidRPr="007E6F67">
        <w:rPr>
          <w:vertAlign w:val="subscript"/>
        </w:rPr>
        <w:t>p</w:t>
      </w:r>
      <w:r w:rsidRPr="00FD17CF">
        <w:t xml:space="preserve"> ≤ </w:t>
      </w:r>
      <w:r w:rsidRPr="0030645C">
        <w:rPr>
          <w:i/>
        </w:rPr>
        <w:t>θ</w:t>
      </w:r>
      <w:r w:rsidRPr="00FD17CF">
        <w:rPr>
          <w:vertAlign w:val="subscript"/>
        </w:rPr>
        <w:t>pR</w:t>
      </w:r>
      <w:r w:rsidRPr="00FD17CF">
        <w:t xml:space="preserve"> = 0,02 rad</w:t>
      </w:r>
      <m:oMath>
        <m:r>
          <w:rPr>
            <w:rFonts w:ascii="Cambria Math" w:hAnsi="Cambria Math"/>
          </w:rPr>
          <m:t xml:space="preserve"> </m:t>
        </m:r>
      </m:oMath>
      <w:r w:rsidRPr="00870D59">
        <w:tab/>
        <w:t>(1</w:t>
      </w:r>
      <w:r>
        <w:t>1</w:t>
      </w:r>
      <w:r w:rsidRPr="00870D59">
        <w:t>.</w:t>
      </w:r>
      <w:r>
        <w:t>45</w:t>
      </w:r>
      <w:r w:rsidRPr="00870D59">
        <w:t>)</w:t>
      </w:r>
    </w:p>
    <w:p w14:paraId="7BE56195" w14:textId="4EDC0912" w:rsidR="009E1375" w:rsidRDefault="009E1375" w:rsidP="0078003E">
      <w:pPr>
        <w:pStyle w:val="Formula"/>
        <w:spacing w:before="240" w:after="200"/>
      </w:pPr>
      <w:r w:rsidRPr="00D1484A">
        <w:t>intermediate links</w:t>
      </w:r>
      <w:r>
        <w:t xml:space="preserve">: </w:t>
      </w:r>
      <w:r w:rsidRPr="0030645C">
        <w:rPr>
          <w:i/>
        </w:rPr>
        <w:t>θ</w:t>
      </w:r>
      <w:r w:rsidRPr="007E6F67">
        <w:rPr>
          <w:vertAlign w:val="subscript"/>
        </w:rPr>
        <w:t>p</w:t>
      </w:r>
      <w:r w:rsidRPr="00FD17CF">
        <w:t xml:space="preserve"> ≤ </w:t>
      </w:r>
      <w:r w:rsidRPr="0030645C">
        <w:rPr>
          <w:i/>
        </w:rPr>
        <w:t>θ</w:t>
      </w:r>
      <w:r w:rsidRPr="00FD17CF">
        <w:rPr>
          <w:vertAlign w:val="subscript"/>
        </w:rPr>
        <w:t>pR</w:t>
      </w:r>
      <w:r w:rsidRPr="00FD17CF">
        <w:t xml:space="preserve"> = from linear interpolation between the above values</w:t>
      </w:r>
      <m:oMath>
        <m:r>
          <w:rPr>
            <w:rFonts w:ascii="Cambria Math" w:hAnsi="Cambria Math"/>
          </w:rPr>
          <m:t xml:space="preserve"> </m:t>
        </m:r>
      </m:oMath>
      <w:r w:rsidRPr="00870D59">
        <w:tab/>
        <w:t>(1</w:t>
      </w:r>
      <w:r>
        <w:t>1</w:t>
      </w:r>
      <w:r w:rsidRPr="00870D59">
        <w:t>.</w:t>
      </w:r>
      <w:r>
        <w:t>46</w:t>
      </w:r>
      <w:r w:rsidRPr="00870D59">
        <w:t>)</w:t>
      </w:r>
    </w:p>
    <w:p w14:paraId="7FB5CCD9" w14:textId="73A799C5" w:rsidR="009E1375" w:rsidRPr="00E05E29" w:rsidRDefault="009E1375" w:rsidP="0078003E">
      <w:pPr>
        <w:pStyle w:val="Clause"/>
        <w:spacing w:after="160"/>
      </w:pPr>
      <w:r w:rsidRPr="00D1484A">
        <w:t>For I and H sections, full-depth web stiffeners should be provided on both sides of the link web at the diagonal brace ends of the link with</w:t>
      </w:r>
      <w:r w:rsidRPr="007E6F67">
        <w:t xml:space="preserve"> </w:t>
      </w:r>
      <w:r w:rsidRPr="00FD17CF">
        <w:t>a combined width of not smaller than (</w:t>
      </w:r>
      <w:r w:rsidRPr="004F74EA">
        <w:rPr>
          <w:i/>
        </w:rPr>
        <w:t>b</w:t>
      </w:r>
      <w:r w:rsidRPr="004F74EA">
        <w:rPr>
          <w:vertAlign w:val="subscript"/>
        </w:rPr>
        <w:t>f</w:t>
      </w:r>
      <w:r w:rsidRPr="00FD17CF">
        <w:t xml:space="preserve"> – 2</w:t>
      </w:r>
      <w:r w:rsidRPr="004F74EA">
        <w:rPr>
          <w:i/>
        </w:rPr>
        <w:t>t</w:t>
      </w:r>
      <w:r w:rsidRPr="004F74EA">
        <w:rPr>
          <w:vertAlign w:val="subscript"/>
        </w:rPr>
        <w:t>w</w:t>
      </w:r>
      <w:r w:rsidRPr="00FD17CF">
        <w:t>) and a thickness not smaller than 0,8</w:t>
      </w:r>
      <w:r w:rsidRPr="004F74EA">
        <w:rPr>
          <w:i/>
        </w:rPr>
        <w:t>t</w:t>
      </w:r>
      <w:r w:rsidRPr="004F74EA">
        <w:rPr>
          <w:vertAlign w:val="subscript"/>
        </w:rPr>
        <w:t>w</w:t>
      </w:r>
      <w:r w:rsidRPr="00E05E29">
        <w:t>.</w:t>
      </w:r>
    </w:p>
    <w:p w14:paraId="7C80A6BA" w14:textId="7FC304F6" w:rsidR="009E1375" w:rsidRPr="00E05E29" w:rsidRDefault="009E1375" w:rsidP="0078003E">
      <w:pPr>
        <w:pStyle w:val="Clause"/>
        <w:spacing w:after="160"/>
      </w:pPr>
      <w:r w:rsidRPr="00E05E29">
        <w:t>Links with I and H sections should be provided with intermediate web stiffeners as given in a) to e):</w:t>
      </w:r>
    </w:p>
    <w:p w14:paraId="6E891E2F" w14:textId="77777777" w:rsidR="009E1375" w:rsidRPr="00E05E29" w:rsidRDefault="009E1375" w:rsidP="0078003E">
      <w:pPr>
        <w:pStyle w:val="Text"/>
        <w:numPr>
          <w:ilvl w:val="0"/>
          <w:numId w:val="650"/>
        </w:numPr>
        <w:spacing w:after="200"/>
      </w:pPr>
      <w:r w:rsidRPr="00E05E29">
        <w:t>short links should be provided with intermediate web stiffeners at intervals not exceeding (30</w:t>
      </w:r>
      <w:r w:rsidRPr="00E05E29">
        <w:rPr>
          <w:i/>
        </w:rPr>
        <w:t>t</w:t>
      </w:r>
      <w:r w:rsidRPr="00E05E29">
        <w:rPr>
          <w:vertAlign w:val="subscript"/>
        </w:rPr>
        <w:t>w</w:t>
      </w:r>
      <w:r w:rsidRPr="00E05E29">
        <w:t> – </w:t>
      </w:r>
      <w:r w:rsidRPr="00E05E29">
        <w:rPr>
          <w:i/>
        </w:rPr>
        <w:t>d</w:t>
      </w:r>
      <w:r w:rsidRPr="00E05E29">
        <w:t xml:space="preserve">/5) for a link rotation angle </w:t>
      </w:r>
      <w:r w:rsidRPr="00E05E29">
        <w:rPr>
          <w:rFonts w:ascii="Symbol" w:eastAsia="Symbol" w:hAnsi="Symbol" w:cs="Symbol"/>
          <w:i/>
        </w:rPr>
        <w:t></w:t>
      </w:r>
      <w:r w:rsidRPr="00E05E29">
        <w:rPr>
          <w:vertAlign w:val="subscript"/>
        </w:rPr>
        <w:t>p</w:t>
      </w:r>
      <w:r w:rsidRPr="00E05E29">
        <w:t xml:space="preserve"> of 0,08 radians or (52</w:t>
      </w:r>
      <w:r w:rsidRPr="00E05E29">
        <w:rPr>
          <w:i/>
        </w:rPr>
        <w:t>t</w:t>
      </w:r>
      <w:r w:rsidRPr="00E05E29">
        <w:rPr>
          <w:vertAlign w:val="subscript"/>
        </w:rPr>
        <w:t>w</w:t>
      </w:r>
      <w:r w:rsidRPr="00E05E29">
        <w:t xml:space="preserve"> – </w:t>
      </w:r>
      <w:r w:rsidRPr="00E05E29">
        <w:rPr>
          <w:i/>
        </w:rPr>
        <w:t>d</w:t>
      </w:r>
      <w:r w:rsidRPr="00E05E29">
        <w:t xml:space="preserve">/5) for </w:t>
      </w:r>
      <w:r w:rsidRPr="00E05E29">
        <w:rPr>
          <w:rFonts w:ascii="Symbol" w:eastAsia="Symbol" w:hAnsi="Symbol" w:cs="Symbol"/>
          <w:i/>
        </w:rPr>
        <w:t></w:t>
      </w:r>
      <w:r w:rsidRPr="00E05E29">
        <w:rPr>
          <w:vertAlign w:val="subscript"/>
        </w:rPr>
        <w:t>p</w:t>
      </w:r>
      <w:r w:rsidRPr="00E05E29">
        <w:t xml:space="preserve"> of 0,02 rad or less and linear interpolation in-between;</w:t>
      </w:r>
    </w:p>
    <w:p w14:paraId="1D57F194" w14:textId="77777777" w:rsidR="009E1375" w:rsidRPr="00EA2296" w:rsidRDefault="009E1375" w:rsidP="0078003E">
      <w:pPr>
        <w:pStyle w:val="Text"/>
        <w:numPr>
          <w:ilvl w:val="0"/>
          <w:numId w:val="650"/>
        </w:numPr>
        <w:spacing w:after="200"/>
      </w:pPr>
      <w:r w:rsidRPr="00E05E29">
        <w:t>long links should be provided with one intermediate web stiffener placed at a distance of 1,5 </w:t>
      </w:r>
      <w:r w:rsidRPr="00E05E29">
        <w:rPr>
          <w:i/>
        </w:rPr>
        <w:t>b</w:t>
      </w:r>
      <w:r w:rsidRPr="00E05E29">
        <w:t xml:space="preserve"> from each end of the link where a plastic hinge would form;</w:t>
      </w:r>
    </w:p>
    <w:p w14:paraId="51DB8206" w14:textId="77777777" w:rsidR="009E1375" w:rsidRPr="00EA2296" w:rsidRDefault="009E1375" w:rsidP="0078003E">
      <w:pPr>
        <w:pStyle w:val="Text"/>
        <w:numPr>
          <w:ilvl w:val="0"/>
          <w:numId w:val="650"/>
        </w:numPr>
        <w:spacing w:after="200"/>
      </w:pPr>
      <w:r w:rsidRPr="00EA2296">
        <w:t>intermediate links should be provided with intermediate web stiffeners which satisfy a) and b);</w:t>
      </w:r>
    </w:p>
    <w:p w14:paraId="6D17F00D" w14:textId="77777777" w:rsidR="009E1375" w:rsidRPr="00E05E29" w:rsidRDefault="009E1375" w:rsidP="0078003E">
      <w:pPr>
        <w:pStyle w:val="Text"/>
        <w:numPr>
          <w:ilvl w:val="0"/>
          <w:numId w:val="650"/>
        </w:numPr>
        <w:spacing w:after="200"/>
      </w:pPr>
      <w:r w:rsidRPr="00E05E29">
        <w:t xml:space="preserve">intermediate web stiffeners are not required in links of length </w:t>
      </w:r>
      <w:r w:rsidRPr="00E05E29">
        <w:rPr>
          <w:i/>
          <w:iCs/>
        </w:rPr>
        <w:t>e</w:t>
      </w:r>
      <w:r w:rsidRPr="00E05E29">
        <w:t xml:space="preserve"> greater than 5 </w:t>
      </w:r>
      <w:r w:rsidRPr="00E05E29">
        <w:rPr>
          <w:i/>
        </w:rPr>
        <w:t>M</w:t>
      </w:r>
      <w:r w:rsidRPr="00E05E29">
        <w:rPr>
          <w:vertAlign w:val="subscript"/>
        </w:rPr>
        <w:t>p</w:t>
      </w:r>
      <w:r>
        <w:rPr>
          <w:vertAlign w:val="subscript"/>
        </w:rPr>
        <w:t>,</w:t>
      </w:r>
      <w:r w:rsidRPr="00E05E29">
        <w:rPr>
          <w:vertAlign w:val="subscript"/>
        </w:rPr>
        <w:t>link</w:t>
      </w:r>
      <w:r w:rsidRPr="00E05E29">
        <w:t>/</w:t>
      </w:r>
      <w:r w:rsidRPr="00E05E29">
        <w:rPr>
          <w:i/>
        </w:rPr>
        <w:t>V</w:t>
      </w:r>
      <w:r w:rsidRPr="00E05E29">
        <w:rPr>
          <w:vertAlign w:val="subscript"/>
        </w:rPr>
        <w:t>p,link</w:t>
      </w:r>
      <w:r w:rsidRPr="00E05E29">
        <w:t>;</w:t>
      </w:r>
    </w:p>
    <w:p w14:paraId="4A6114B0" w14:textId="77777777" w:rsidR="009E1375" w:rsidRPr="00E05E29" w:rsidRDefault="009E1375" w:rsidP="0078003E">
      <w:pPr>
        <w:pStyle w:val="Text"/>
        <w:numPr>
          <w:ilvl w:val="0"/>
          <w:numId w:val="650"/>
        </w:numPr>
        <w:spacing w:after="200"/>
      </w:pPr>
      <w:r w:rsidRPr="00E05E29">
        <w:t xml:space="preserve">intermediate web stiffeners should be full depth. For links that are less than 600 mm in depth </w:t>
      </w:r>
      <w:r w:rsidRPr="00E05E29">
        <w:rPr>
          <w:i/>
          <w:iCs/>
        </w:rPr>
        <w:t>d</w:t>
      </w:r>
      <w:r w:rsidRPr="00E05E29">
        <w:t xml:space="preserve">, stiffeners may be placed on only one side of the link web. The thickness of one-sided stiffeners should not be smaller than </w:t>
      </w:r>
      <w:r w:rsidRPr="00E05E29">
        <w:rPr>
          <w:i/>
        </w:rPr>
        <w:t>t</w:t>
      </w:r>
      <w:r w:rsidRPr="00E05E29">
        <w:rPr>
          <w:vertAlign w:val="subscript"/>
        </w:rPr>
        <w:t>w</w:t>
      </w:r>
      <w:r w:rsidRPr="00E05E29">
        <w:t xml:space="preserve"> or 10 mm, whichever is the greater, and the width should be not smaller than (</w:t>
      </w:r>
      <w:r w:rsidRPr="00E05E29">
        <w:rPr>
          <w:i/>
        </w:rPr>
        <w:t>b</w:t>
      </w:r>
      <w:r w:rsidRPr="00E05E29">
        <w:t xml:space="preserve">/2) – </w:t>
      </w:r>
      <w:r w:rsidRPr="00E05E29">
        <w:rPr>
          <w:i/>
        </w:rPr>
        <w:t>t</w:t>
      </w:r>
      <w:r w:rsidRPr="00E05E29">
        <w:rPr>
          <w:vertAlign w:val="subscript"/>
        </w:rPr>
        <w:t>w</w:t>
      </w:r>
      <w:r w:rsidRPr="00E05E29">
        <w:t>. For links that are 600 mm in depth or greater, similar intermediate stiffeners should be provided on both sides of the web.</w:t>
      </w:r>
    </w:p>
    <w:p w14:paraId="0963886C" w14:textId="77A24EDE" w:rsidR="009E1375" w:rsidRPr="00E05E29" w:rsidRDefault="009E1375" w:rsidP="0078003E">
      <w:pPr>
        <w:pStyle w:val="Clause"/>
        <w:keepNext/>
        <w:keepLines/>
      </w:pPr>
      <w:r w:rsidRPr="00E05E29">
        <w:lastRenderedPageBreak/>
        <w:t xml:space="preserve">Either full penetration or fillet welds may be used to connect a link stiffener to the relevant link. Fillet welds connecting a link stiffener to the link web of I and H sections should be designed to resist the tensile resistance of the web stiffener </w:t>
      </w:r>
      <w:r w:rsidRPr="004F74EA">
        <w:rPr>
          <w:i/>
        </w:rPr>
        <w:t>ω</w:t>
      </w:r>
      <w:r w:rsidRPr="004F74EA">
        <w:rPr>
          <w:vertAlign w:val="subscript"/>
        </w:rPr>
        <w:t>rm</w:t>
      </w:r>
      <w:r w:rsidRPr="00E05E29">
        <w:t xml:space="preserve"> </w:t>
      </w:r>
      <w:r w:rsidRPr="004F74EA">
        <w:rPr>
          <w:i/>
        </w:rPr>
        <w:t>f</w:t>
      </w:r>
      <w:r w:rsidRPr="004F74EA">
        <w:rPr>
          <w:vertAlign w:val="subscript"/>
        </w:rPr>
        <w:t xml:space="preserve">y </w:t>
      </w:r>
      <w:r w:rsidRPr="004F74EA">
        <w:rPr>
          <w:i/>
        </w:rPr>
        <w:t>A</w:t>
      </w:r>
      <w:r w:rsidRPr="004F74EA">
        <w:rPr>
          <w:vertAlign w:val="subscript"/>
        </w:rPr>
        <w:t>st</w:t>
      </w:r>
      <w:r w:rsidRPr="00E05E29">
        <w:t xml:space="preserve">, where </w:t>
      </w:r>
      <w:r w:rsidRPr="004F74EA">
        <w:rPr>
          <w:i/>
        </w:rPr>
        <w:t>A</w:t>
      </w:r>
      <w:r w:rsidRPr="004F74EA">
        <w:rPr>
          <w:vertAlign w:val="subscript"/>
        </w:rPr>
        <w:t>st</w:t>
      </w:r>
      <w:r w:rsidRPr="00E05E29">
        <w:t xml:space="preserve"> is the cross area of the stiffener parallel to the web. The design resistance of fillet welds fastening the stiffener to the flanges should resist a force at least equal to </w:t>
      </w:r>
      <w:r w:rsidRPr="004F74EA">
        <w:rPr>
          <w:i/>
        </w:rPr>
        <w:t>ω</w:t>
      </w:r>
      <w:r w:rsidRPr="004F74EA">
        <w:rPr>
          <w:vertAlign w:val="subscript"/>
        </w:rPr>
        <w:t>rm</w:t>
      </w:r>
      <w:r w:rsidRPr="00E05E29">
        <w:t> </w:t>
      </w:r>
      <w:r w:rsidRPr="004F74EA">
        <w:rPr>
          <w:i/>
        </w:rPr>
        <w:t>A</w:t>
      </w:r>
      <w:r w:rsidRPr="004F74EA">
        <w:rPr>
          <w:vertAlign w:val="subscript"/>
        </w:rPr>
        <w:t>st </w:t>
      </w:r>
      <w:r w:rsidRPr="004F74EA">
        <w:rPr>
          <w:i/>
        </w:rPr>
        <w:t>f</w:t>
      </w:r>
      <w:r w:rsidRPr="004F74EA">
        <w:rPr>
          <w:vertAlign w:val="subscript"/>
        </w:rPr>
        <w:t>y</w:t>
      </w:r>
      <w:r w:rsidRPr="00E05E29">
        <w:t>/4.</w:t>
      </w:r>
    </w:p>
    <w:p w14:paraId="4A753A9A" w14:textId="2BB2E4BC" w:rsidR="009E1375" w:rsidRPr="00E05E29" w:rsidRDefault="009E1375" w:rsidP="00724E4E">
      <w:pPr>
        <w:pStyle w:val="Clause"/>
      </w:pPr>
      <w:r w:rsidRPr="00E05E29">
        <w:t>For box sections, full-depth web stiffeners should be provided on one side of each link web at the diagonal brace connection. These stiffeners may be welded to the outside face of the link webs or each link web segments may be welded on full plate stiffeners. They should each have a width not smaller than (</w:t>
      </w:r>
      <w:r w:rsidRPr="004F74EA">
        <w:rPr>
          <w:i/>
        </w:rPr>
        <w:t>b – </w:t>
      </w:r>
      <w:r w:rsidRPr="00E05E29">
        <w:t>2</w:t>
      </w:r>
      <w:r w:rsidRPr="004F74EA">
        <w:rPr>
          <w:i/>
        </w:rPr>
        <w:t> t</w:t>
      </w:r>
      <w:r w:rsidRPr="004F74EA">
        <w:rPr>
          <w:vertAlign w:val="subscript"/>
        </w:rPr>
        <w:t>w</w:t>
      </w:r>
      <w:r w:rsidRPr="00E05E29">
        <w:t xml:space="preserve">)/2 and a thickness not smaller than 0,8 </w:t>
      </w:r>
      <w:r w:rsidRPr="004F74EA">
        <w:rPr>
          <w:i/>
        </w:rPr>
        <w:t>t</w:t>
      </w:r>
      <w:r w:rsidRPr="004F74EA">
        <w:rPr>
          <w:vertAlign w:val="subscript"/>
        </w:rPr>
        <w:t>w</w:t>
      </w:r>
      <w:r w:rsidRPr="00E05E29">
        <w:t>.</w:t>
      </w:r>
    </w:p>
    <w:p w14:paraId="0E55F599" w14:textId="08FDD1F9" w:rsidR="009E1375" w:rsidRPr="00E05E29" w:rsidRDefault="009E1375" w:rsidP="00724E4E">
      <w:pPr>
        <w:pStyle w:val="Clause"/>
      </w:pPr>
      <w:r w:rsidRPr="00E05E29">
        <w:t>Links with box sections should be provided with intermediate web stiffeners satisfying a) and b):</w:t>
      </w:r>
    </w:p>
    <w:p w14:paraId="12BBA548" w14:textId="77777777" w:rsidR="009E1375" w:rsidRPr="00E05E29" w:rsidRDefault="009E1375" w:rsidP="0080187E">
      <w:pPr>
        <w:pStyle w:val="Text"/>
        <w:numPr>
          <w:ilvl w:val="0"/>
          <w:numId w:val="651"/>
        </w:numPr>
      </w:pPr>
      <w:r w:rsidRPr="00E05E29">
        <w:t xml:space="preserve">for a link rotation angle </w:t>
      </w:r>
      <w:r w:rsidRPr="00E05E29">
        <w:rPr>
          <w:rFonts w:ascii="Symbol" w:eastAsia="Symbol" w:hAnsi="Symbol" w:cs="Symbol"/>
          <w:i/>
        </w:rPr>
        <w:t></w:t>
      </w:r>
      <w:r w:rsidRPr="00E05E29">
        <w:rPr>
          <w:vertAlign w:val="subscript"/>
        </w:rPr>
        <w:t>p</w:t>
      </w:r>
      <w:r w:rsidRPr="00E05E29">
        <w:t xml:space="preserve"> of at least 0,08 rad, short links should be provided with intermediate web stiffeners spaced at intervals not exceeding [20</w:t>
      </w:r>
      <w:r w:rsidRPr="00E05E29">
        <w:rPr>
          <w:i/>
        </w:rPr>
        <w:t>t</w:t>
      </w:r>
      <w:r w:rsidRPr="00E05E29">
        <w:rPr>
          <w:vertAlign w:val="subscript"/>
        </w:rPr>
        <w:t>w</w:t>
      </w:r>
      <w:r w:rsidRPr="00E05E29">
        <w:t xml:space="preserve"> –(</w:t>
      </w:r>
      <w:r w:rsidRPr="00E05E29">
        <w:rPr>
          <w:i/>
        </w:rPr>
        <w:t>d </w:t>
      </w:r>
      <w:r w:rsidRPr="00E05E29">
        <w:t>- 2</w:t>
      </w:r>
      <w:r w:rsidRPr="00E05E29">
        <w:rPr>
          <w:i/>
        </w:rPr>
        <w:t>t</w:t>
      </w:r>
      <w:r w:rsidRPr="00E05E29">
        <w:rPr>
          <w:iCs/>
          <w:vertAlign w:val="subscript"/>
        </w:rPr>
        <w:t>f</w:t>
      </w:r>
      <w:r w:rsidRPr="00E05E29">
        <w:rPr>
          <w:i/>
        </w:rPr>
        <w:t>)</w:t>
      </w:r>
      <w:r w:rsidRPr="00E05E29">
        <w:t xml:space="preserve">/8]. Stiffeners may be omitted for link rotation angles </w:t>
      </w:r>
      <w:r w:rsidRPr="00E05E29">
        <w:rPr>
          <w:rFonts w:ascii="Symbol" w:eastAsia="Symbol" w:hAnsi="Symbol" w:cs="Symbol"/>
          <w:i/>
        </w:rPr>
        <w:t></w:t>
      </w:r>
      <w:r w:rsidRPr="00E05E29">
        <w:rPr>
          <w:vertAlign w:val="subscript"/>
        </w:rPr>
        <w:t>p</w:t>
      </w:r>
      <w:r w:rsidRPr="00E05E29">
        <w:t xml:space="preserve"> not greater than 0,02 rad. Linear interpolation should be used for values of </w:t>
      </w:r>
      <w:r w:rsidRPr="00E05E29">
        <w:rPr>
          <w:rFonts w:ascii="Symbol" w:eastAsia="Symbol" w:hAnsi="Symbol" w:cs="Symbol"/>
          <w:i/>
        </w:rPr>
        <w:t></w:t>
      </w:r>
      <w:r w:rsidRPr="00E05E29">
        <w:rPr>
          <w:vertAlign w:val="subscript"/>
        </w:rPr>
        <w:t>p</w:t>
      </w:r>
      <w:r w:rsidRPr="00E05E29">
        <w:t xml:space="preserve"> between 0,08 and 0,02 rad;</w:t>
      </w:r>
    </w:p>
    <w:p w14:paraId="43C0858F" w14:textId="77777777" w:rsidR="009E1375" w:rsidRPr="00E05E29" w:rsidRDefault="009E1375" w:rsidP="0080187E">
      <w:pPr>
        <w:pStyle w:val="Text"/>
        <w:numPr>
          <w:ilvl w:val="0"/>
          <w:numId w:val="651"/>
        </w:numPr>
      </w:pPr>
      <w:r w:rsidRPr="00E05E29">
        <w:t>for long and intermediate links with box sections, stiffeners may be omitted.</w:t>
      </w:r>
    </w:p>
    <w:p w14:paraId="4BD0A6F3" w14:textId="0C6CF07D" w:rsidR="009E1375" w:rsidRPr="00E05E29" w:rsidRDefault="009E1375" w:rsidP="00724E4E">
      <w:pPr>
        <w:pStyle w:val="Clause"/>
      </w:pPr>
      <w:r w:rsidRPr="00E05E29">
        <w:t xml:space="preserve">Fillet welds connecting a link stiffener to the link with box sections should have a design resistance adequate to resist a force </w:t>
      </w:r>
      <w:r w:rsidRPr="004F74EA">
        <w:rPr>
          <w:i/>
        </w:rPr>
        <w:t>ω</w:t>
      </w:r>
      <w:r w:rsidRPr="004F74EA">
        <w:rPr>
          <w:vertAlign w:val="subscript"/>
        </w:rPr>
        <w:t>rm</w:t>
      </w:r>
      <w:r w:rsidRPr="00E05E29">
        <w:t xml:space="preserve"> </w:t>
      </w:r>
      <w:r w:rsidRPr="004F74EA">
        <w:rPr>
          <w:i/>
        </w:rPr>
        <w:t>f</w:t>
      </w:r>
      <w:r w:rsidRPr="004F74EA">
        <w:rPr>
          <w:vertAlign w:val="subscript"/>
        </w:rPr>
        <w:t xml:space="preserve">y </w:t>
      </w:r>
      <w:r w:rsidRPr="004F74EA">
        <w:rPr>
          <w:i/>
        </w:rPr>
        <w:t>A</w:t>
      </w:r>
      <w:r w:rsidRPr="004F74EA">
        <w:rPr>
          <w:vertAlign w:val="subscript"/>
        </w:rPr>
        <w:t>stif</w:t>
      </w:r>
      <w:r w:rsidRPr="00E05E29">
        <w:t xml:space="preserve">, where </w:t>
      </w:r>
      <w:bookmarkStart w:id="9688" w:name="_Hlk38811540"/>
      <w:r w:rsidRPr="004F74EA">
        <w:rPr>
          <w:i/>
        </w:rPr>
        <w:t>A</w:t>
      </w:r>
      <w:r w:rsidRPr="004F74EA">
        <w:rPr>
          <w:vertAlign w:val="subscript"/>
        </w:rPr>
        <w:t>stif</w:t>
      </w:r>
      <w:r w:rsidRPr="00E05E29">
        <w:t xml:space="preserve"> is the area of the stiffener</w:t>
      </w:r>
      <w:bookmarkEnd w:id="9688"/>
      <w:r w:rsidRPr="00E05E29">
        <w:t xml:space="preserve">. </w:t>
      </w:r>
    </w:p>
    <w:p w14:paraId="1EA1969D" w14:textId="124312B0" w:rsidR="009E1375" w:rsidRPr="00E05E29" w:rsidRDefault="009E1375" w:rsidP="00724E4E">
      <w:pPr>
        <w:pStyle w:val="Clause"/>
      </w:pPr>
      <w:r w:rsidRPr="00E05E29">
        <w:t>In DC3 frames, lateral supports should be provided at both the top and bottom link flanges at the ends of the link. End lateral supports of links should have a design axial resistance sufficient to provide lateral support to a force equal to 6</w:t>
      </w:r>
      <w:r w:rsidR="0078003E">
        <w:t> </w:t>
      </w:r>
      <w:r w:rsidRPr="00E05E29">
        <w:t xml:space="preserve">% of the expected axial resistance of the link flange calculated as </w:t>
      </w:r>
      <w:r w:rsidRPr="004F74EA">
        <w:rPr>
          <w:i/>
        </w:rPr>
        <w:t>ω</w:t>
      </w:r>
      <w:r w:rsidRPr="004F74EA">
        <w:rPr>
          <w:vertAlign w:val="subscript"/>
        </w:rPr>
        <w:t>rm</w:t>
      </w:r>
      <w:r w:rsidRPr="004F74EA">
        <w:rPr>
          <w:i/>
        </w:rPr>
        <w:t xml:space="preserve"> b</w:t>
      </w:r>
      <w:r w:rsidRPr="004F74EA">
        <w:rPr>
          <w:vertAlign w:val="subscript"/>
        </w:rPr>
        <w:t xml:space="preserve"> </w:t>
      </w:r>
      <w:r w:rsidRPr="004F74EA">
        <w:rPr>
          <w:i/>
        </w:rPr>
        <w:t>t</w:t>
      </w:r>
      <w:r w:rsidRPr="004F74EA">
        <w:rPr>
          <w:vertAlign w:val="subscript"/>
        </w:rPr>
        <w:t>f</w:t>
      </w:r>
      <w:r w:rsidRPr="004F74EA">
        <w:rPr>
          <w:i/>
        </w:rPr>
        <w:t xml:space="preserve"> f</w:t>
      </w:r>
      <w:r w:rsidRPr="004F74EA">
        <w:rPr>
          <w:vertAlign w:val="subscript"/>
        </w:rPr>
        <w:t>y</w:t>
      </w:r>
      <w:r w:rsidRPr="00E05E29">
        <w:t>.</w:t>
      </w:r>
    </w:p>
    <w:p w14:paraId="381BD2D0" w14:textId="08866AB4" w:rsidR="009E1375" w:rsidRPr="00ED6630" w:rsidRDefault="009E1375" w:rsidP="00724E4E">
      <w:pPr>
        <w:pStyle w:val="Clause"/>
      </w:pPr>
      <w:r w:rsidRPr="00E05E29">
        <w:t xml:space="preserve">In beams where a seismic link is present, the shear buckling resistance of the web panels outside of </w:t>
      </w:r>
      <w:r w:rsidRPr="00ED6630">
        <w:t xml:space="preserve">the link should conform </w:t>
      </w:r>
      <w:r w:rsidRPr="009E1375">
        <w:t>to prEN</w:t>
      </w:r>
      <w:r w:rsidR="00FD2AE7">
        <w:t> </w:t>
      </w:r>
      <w:r w:rsidRPr="009E1375">
        <w:t>1993-1-5</w:t>
      </w:r>
      <w:r w:rsidRPr="00ED6630">
        <w:t>.</w:t>
      </w:r>
    </w:p>
    <w:p w14:paraId="1E733DDF" w14:textId="40B2C3A6" w:rsidR="009E1375" w:rsidRPr="00E05E29" w:rsidRDefault="009E1375" w:rsidP="009E1375">
      <w:pPr>
        <w:pStyle w:val="Heading3"/>
      </w:pPr>
      <w:bookmarkStart w:id="9689" w:name="_Toc483723241"/>
      <w:bookmarkStart w:id="9690" w:name="_Toc483723576"/>
      <w:bookmarkStart w:id="9691" w:name="_Toc484520890"/>
      <w:bookmarkStart w:id="9692" w:name="_Toc509405069"/>
      <w:bookmarkStart w:id="9693" w:name="_Toc76379881"/>
      <w:bookmarkStart w:id="9694" w:name="_Toc494124740"/>
      <w:bookmarkStart w:id="9695" w:name="_Toc522955946"/>
      <w:bookmarkStart w:id="9696" w:name="_Toc18314137"/>
      <w:bookmarkStart w:id="9697" w:name="_Toc50150451"/>
      <w:bookmarkStart w:id="9698" w:name="_Toc70886883"/>
      <w:bookmarkStart w:id="9699" w:name="_Toc108342442"/>
      <w:bookmarkStart w:id="9700" w:name="_Toc134197974"/>
      <w:r>
        <w:t>Verification of m</w:t>
      </w:r>
      <w:r w:rsidRPr="00E05E29">
        <w:t>embers and connections not containing seismic links</w:t>
      </w:r>
      <w:bookmarkEnd w:id="9689"/>
      <w:bookmarkEnd w:id="9690"/>
      <w:bookmarkEnd w:id="9691"/>
      <w:bookmarkEnd w:id="9692"/>
      <w:bookmarkEnd w:id="9693"/>
      <w:bookmarkEnd w:id="9694"/>
      <w:bookmarkEnd w:id="9695"/>
      <w:bookmarkEnd w:id="9696"/>
      <w:bookmarkEnd w:id="9697"/>
      <w:bookmarkEnd w:id="9698"/>
      <w:bookmarkEnd w:id="9699"/>
      <w:bookmarkEnd w:id="9700"/>
    </w:p>
    <w:p w14:paraId="4619525A" w14:textId="31083987" w:rsidR="009E1375" w:rsidRPr="00E05E29" w:rsidRDefault="009E1375" w:rsidP="0080187E">
      <w:pPr>
        <w:pStyle w:val="Clause"/>
        <w:numPr>
          <w:ilvl w:val="0"/>
          <w:numId w:val="393"/>
        </w:numPr>
      </w:pPr>
      <w:r w:rsidRPr="00E05E29">
        <w:t xml:space="preserve">In DC2, the resistance and stability of members not containing seismic links should be verified against the most unfavourable combination of </w:t>
      </w:r>
      <w:r w:rsidRPr="008D6D68">
        <w:rPr>
          <w:i/>
        </w:rPr>
        <w:t>N</w:t>
      </w:r>
      <w:r w:rsidRPr="008D6D68">
        <w:rPr>
          <w:vertAlign w:val="subscript"/>
        </w:rPr>
        <w:t>Ed</w:t>
      </w:r>
      <w:r w:rsidRPr="00E05E29">
        <w:t xml:space="preserve">, </w:t>
      </w:r>
      <w:r w:rsidRPr="008D6D68">
        <w:rPr>
          <w:i/>
        </w:rPr>
        <w:t>M</w:t>
      </w:r>
      <w:r w:rsidRPr="008D6D68">
        <w:rPr>
          <w:vertAlign w:val="subscript"/>
        </w:rPr>
        <w:t>Ed</w:t>
      </w:r>
      <w:r w:rsidRPr="00E05E29">
        <w:t xml:space="preserve"> and </w:t>
      </w:r>
      <w:r w:rsidRPr="008D6D68">
        <w:rPr>
          <w:i/>
        </w:rPr>
        <w:t>V</w:t>
      </w:r>
      <w:r w:rsidRPr="008D6D68">
        <w:rPr>
          <w:vertAlign w:val="subscript"/>
        </w:rPr>
        <w:t>Ed</w:t>
      </w:r>
      <w:r w:rsidRPr="00E05E29">
        <w:t xml:space="preserve"> </w:t>
      </w:r>
      <w:r w:rsidRPr="00F17E17">
        <w:t>from Formula (11.2).</w:t>
      </w:r>
    </w:p>
    <w:p w14:paraId="54792554" w14:textId="57506411" w:rsidR="009E1375" w:rsidRPr="00E05E29" w:rsidRDefault="009E1375" w:rsidP="00724E4E">
      <w:pPr>
        <w:pStyle w:val="Clause"/>
      </w:pPr>
      <w:r w:rsidRPr="00E05E29">
        <w:t xml:space="preserve">In DC3, columns should be designed to resist the total effect </w:t>
      </w:r>
      <w:r w:rsidRPr="004F74EA">
        <w:rPr>
          <w:i/>
          <w:iCs/>
        </w:rPr>
        <w:t>E</w:t>
      </w:r>
      <w:r w:rsidRPr="004F74EA">
        <w:rPr>
          <w:vertAlign w:val="subscript"/>
        </w:rPr>
        <w:t>Ed</w:t>
      </w:r>
      <w:r w:rsidRPr="00E05E29">
        <w:t xml:space="preserve"> determined according to </w:t>
      </w:r>
      <w:r w:rsidRPr="00B00B3D">
        <w:t>11.8.5(2)</w:t>
      </w:r>
      <w:r w:rsidRPr="00F17E17">
        <w:t>, taking</w:t>
      </w:r>
      <w:r w:rsidRPr="00F17E17" w:rsidDel="00D376DE">
        <w:t xml:space="preserve"> </w:t>
      </w:r>
      <w:r w:rsidRPr="00F17E17">
        <w:t xml:space="preserve">the overstrength factor </w:t>
      </w:r>
      <w:r w:rsidRPr="004F74EA">
        <w:rPr>
          <w:rFonts w:ascii="Cambria Math" w:eastAsia="Symbol" w:hAnsi="Cambria Math" w:cs="Symbol"/>
          <w:i/>
          <w:iCs/>
        </w:rPr>
        <w:t>ω</w:t>
      </w:r>
      <w:r w:rsidRPr="004F74EA">
        <w:rPr>
          <w:vertAlign w:val="subscript"/>
        </w:rPr>
        <w:t>sh</w:t>
      </w:r>
      <w:r w:rsidRPr="00F17E17">
        <w:t xml:space="preserve"> for hardening of links from Table 11.</w:t>
      </w:r>
      <w:r w:rsidR="00481078">
        <w:t>1</w:t>
      </w:r>
      <w:r w:rsidR="00C606A0">
        <w:t>0</w:t>
      </w:r>
      <w:r w:rsidRPr="00F17E17">
        <w:t xml:space="preserve"> and the design overstrength factor </w:t>
      </w:r>
      <w:r w:rsidRPr="004F74EA">
        <w:rPr>
          <w:i/>
          <w:iCs/>
        </w:rPr>
        <w:t>Ω</w:t>
      </w:r>
      <w:r w:rsidRPr="004F74EA">
        <w:rPr>
          <w:vertAlign w:val="subscript"/>
        </w:rPr>
        <w:t>d</w:t>
      </w:r>
      <w:r w:rsidRPr="00F17E17">
        <w:t xml:space="preserve"> as specified in </w:t>
      </w:r>
      <w:r w:rsidRPr="00B00B3D">
        <w:t>11.11.2(10).</w:t>
      </w:r>
    </w:p>
    <w:p w14:paraId="4699F12A" w14:textId="57CFB1C8" w:rsidR="009E1375" w:rsidRPr="00E05E29" w:rsidRDefault="009E1375" w:rsidP="00724E4E">
      <w:pPr>
        <w:pStyle w:val="Clause"/>
      </w:pPr>
      <w:r w:rsidRPr="00E05E29">
        <w:t>In DC3, the beam segment outside the link, the diagonal bracings and the brace-to-link connections should be verified to resist the effects transferred by the relevant connected seismic link at a rotation of 0,08 rad in combination with the effects induced by the non</w:t>
      </w:r>
      <w:r w:rsidR="003B0C2D">
        <w:t>-</w:t>
      </w:r>
      <w:r w:rsidRPr="00E05E29">
        <w:t>seismic actions in the seismic design situation. The link induced effects on the diagonal bracings and their end-connections should be obtained according to a) or b):</w:t>
      </w:r>
    </w:p>
    <w:p w14:paraId="1AC5B672" w14:textId="0B464FF8" w:rsidR="009E1375" w:rsidRPr="00E05E29" w:rsidRDefault="009E1375" w:rsidP="0080187E">
      <w:pPr>
        <w:pStyle w:val="List2"/>
        <w:numPr>
          <w:ilvl w:val="0"/>
          <w:numId w:val="152"/>
        </w:numPr>
        <w:spacing w:before="0" w:after="240" w:line="230" w:lineRule="atLeast"/>
        <w:contextualSpacing w:val="0"/>
      </w:pPr>
      <w:r w:rsidRPr="00E05E29">
        <w:t xml:space="preserve">in short and intermediate links with </w:t>
      </w:r>
      <w:r w:rsidRPr="006C0FFF">
        <w:rPr>
          <w:i/>
          <w:iCs/>
        </w:rPr>
        <w:t>e</w:t>
      </w:r>
      <w:r w:rsidRPr="00E05E29">
        <w:t xml:space="preserve"> ≤ 2,6</w:t>
      </w:r>
      <m:oMath>
        <m:sSub>
          <m:sSubPr>
            <m:ctrlPr>
              <w:rPr>
                <w:rFonts w:ascii="Cambria Math" w:hAnsi="Cambria Math"/>
                <w:i/>
              </w:rPr>
            </m:ctrlPr>
          </m:sSubPr>
          <m:e>
            <m:r>
              <w:rPr>
                <w:rFonts w:ascii="Cambria Math"/>
              </w:rPr>
              <m:t>M</m:t>
            </m:r>
          </m:e>
          <m:sub>
            <m:r>
              <m:rPr>
                <m:sty m:val="p"/>
              </m:rPr>
              <w:rPr>
                <w:rFonts w:ascii="Cambria Math"/>
              </w:rPr>
              <m:t>p,</m:t>
            </m:r>
            <m:r>
              <m:rPr>
                <m:nor/>
              </m:rPr>
              <w:rPr>
                <w:rFonts w:ascii="Cambria Math"/>
                <w:iCs/>
              </w:rPr>
              <m:t>link</m:t>
            </m:r>
            <m:ctrlPr>
              <w:rPr>
                <w:rFonts w:ascii="Cambria Math" w:hAnsi="Cambria Math"/>
              </w:rPr>
            </m:ctrlPr>
          </m:sub>
        </m:sSub>
        <m:r>
          <w:rPr>
            <w:rFonts w:ascii="Cambria Math"/>
          </w:rPr>
          <m:t>/</m:t>
        </m:r>
        <m:sSub>
          <m:sSubPr>
            <m:ctrlPr>
              <w:rPr>
                <w:rFonts w:ascii="Cambria Math" w:hAnsi="Cambria Math"/>
                <w:i/>
              </w:rPr>
            </m:ctrlPr>
          </m:sSubPr>
          <m:e>
            <m:r>
              <w:rPr>
                <w:rFonts w:ascii="Cambria Math"/>
              </w:rPr>
              <m:t>V</m:t>
            </m:r>
          </m:e>
          <m:sub>
            <m:r>
              <m:rPr>
                <m:sty m:val="p"/>
              </m:rPr>
              <w:rPr>
                <w:rFonts w:ascii="Cambria Math"/>
              </w:rPr>
              <m:t>p,</m:t>
            </m:r>
            <m:r>
              <m:rPr>
                <m:nor/>
              </m:rPr>
              <w:rPr>
                <w:rFonts w:ascii="Cambria Math"/>
                <w:iCs/>
              </w:rPr>
              <m:t>link</m:t>
            </m:r>
            <m:ctrlPr>
              <w:rPr>
                <w:rFonts w:ascii="Cambria Math" w:hAnsi="Cambria Math"/>
              </w:rPr>
            </m:ctrlPr>
          </m:sub>
        </m:sSub>
      </m:oMath>
      <w:r w:rsidRPr="00132C1E">
        <w:t xml:space="preserve"> , from the free-body distribution of the ultimate shear </w:t>
      </w:r>
      <w:r w:rsidRPr="006C0FFF">
        <w:rPr>
          <w:i/>
        </w:rPr>
        <w:t>V</w:t>
      </w:r>
      <w:r w:rsidRPr="006C0FFF">
        <w:rPr>
          <w:vertAlign w:val="subscript"/>
        </w:rPr>
        <w:t xml:space="preserve">u,link </w:t>
      </w:r>
      <w:r w:rsidRPr="006C0FFF">
        <w:rPr>
          <w:rFonts w:ascii="Symbol" w:hAnsi="Symbol"/>
        </w:rPr>
        <w:t></w:t>
      </w:r>
      <w:r w:rsidRPr="00FD17CF">
        <w:t> (</w:t>
      </w:r>
      <w:r w:rsidRPr="006C0FFF">
        <w:rPr>
          <w:i/>
        </w:rPr>
        <w:t>ω</w:t>
      </w:r>
      <w:r w:rsidRPr="006C0FFF">
        <w:rPr>
          <w:vertAlign w:val="subscript"/>
        </w:rPr>
        <w:t>rm</w:t>
      </w:r>
      <w:r w:rsidRPr="00FD17CF">
        <w:t xml:space="preserve"> </w:t>
      </w:r>
      <w:r w:rsidRPr="006C0FFF">
        <w:rPr>
          <w:i/>
        </w:rPr>
        <w:t>ω</w:t>
      </w:r>
      <w:r w:rsidRPr="006C0FFF">
        <w:rPr>
          <w:vertAlign w:val="subscript"/>
        </w:rPr>
        <w:t>sh</w:t>
      </w:r>
      <w:r w:rsidRPr="00FD17CF">
        <w:t xml:space="preserve"> </w:t>
      </w:r>
      <w:r w:rsidRPr="006C0FFF">
        <w:rPr>
          <w:i/>
        </w:rPr>
        <w:t>V</w:t>
      </w:r>
      <w:r w:rsidRPr="006C0FFF">
        <w:rPr>
          <w:vertAlign w:val="subscript"/>
        </w:rPr>
        <w:t>p,Link</w:t>
      </w:r>
      <w:r w:rsidRPr="00FD17CF">
        <w:t xml:space="preserve">) and the corresponding bending moment </w:t>
      </w:r>
      <w:r w:rsidRPr="006C0FFF">
        <w:rPr>
          <w:i/>
        </w:rPr>
        <w:t>M</w:t>
      </w:r>
      <w:r w:rsidRPr="006C0FFF">
        <w:rPr>
          <w:vertAlign w:val="subscript"/>
        </w:rPr>
        <w:t>u,link</w:t>
      </w:r>
      <w:r w:rsidRPr="00E05E29">
        <w:t> </w:t>
      </w:r>
      <w:r w:rsidRPr="006C0FFF">
        <w:rPr>
          <w:rFonts w:ascii="Symbol" w:hAnsi="Symbol"/>
        </w:rPr>
        <w:t></w:t>
      </w:r>
      <w:r w:rsidRPr="00E05E29">
        <w:t> (0,5 </w:t>
      </w:r>
      <w:r w:rsidRPr="006C0FFF">
        <w:rPr>
          <w:i/>
        </w:rPr>
        <w:t>e</w:t>
      </w:r>
      <w:r w:rsidRPr="00E05E29">
        <w:t xml:space="preserve"> </w:t>
      </w:r>
      <w:r w:rsidRPr="006C0FFF">
        <w:rPr>
          <w:i/>
        </w:rPr>
        <w:t>ω</w:t>
      </w:r>
      <w:r w:rsidRPr="006C0FFF">
        <w:rPr>
          <w:vertAlign w:val="subscript"/>
        </w:rPr>
        <w:t>rm</w:t>
      </w:r>
      <w:r w:rsidRPr="00E05E29">
        <w:t xml:space="preserve"> </w:t>
      </w:r>
      <w:r w:rsidRPr="006C0FFF">
        <w:rPr>
          <w:i/>
        </w:rPr>
        <w:t>ω</w:t>
      </w:r>
      <w:r w:rsidRPr="006C0FFF">
        <w:rPr>
          <w:vertAlign w:val="subscript"/>
        </w:rPr>
        <w:t>sh</w:t>
      </w:r>
      <w:r w:rsidRPr="00E05E29">
        <w:t xml:space="preserve"> </w:t>
      </w:r>
      <w:r w:rsidRPr="006C0FFF">
        <w:rPr>
          <w:i/>
        </w:rPr>
        <w:t>V</w:t>
      </w:r>
      <w:r w:rsidRPr="006C0FFF">
        <w:rPr>
          <w:vertAlign w:val="subscript"/>
        </w:rPr>
        <w:t>p,Link</w:t>
      </w:r>
      <w:r w:rsidRPr="00E05E29">
        <w:t>),</w:t>
      </w:r>
    </w:p>
    <w:p w14:paraId="2DF4F341" w14:textId="77777777" w:rsidR="009E1375" w:rsidRPr="00E05E29" w:rsidRDefault="009E1375" w:rsidP="0080187E">
      <w:pPr>
        <w:pStyle w:val="List2"/>
        <w:numPr>
          <w:ilvl w:val="0"/>
          <w:numId w:val="152"/>
        </w:numPr>
        <w:tabs>
          <w:tab w:val="num" w:pos="0"/>
        </w:tabs>
        <w:spacing w:before="0" w:after="240" w:line="230" w:lineRule="atLeast"/>
        <w:contextualSpacing w:val="0"/>
      </w:pPr>
      <w:r w:rsidRPr="00E05E29">
        <w:t xml:space="preserve">in long links or intermediate links with </w:t>
      </w:r>
      <w:r w:rsidRPr="00E05E29">
        <w:rPr>
          <w:i/>
          <w:iCs/>
        </w:rPr>
        <w:t>e</w:t>
      </w:r>
      <w:r w:rsidRPr="00E05E29">
        <w:t xml:space="preserve"> &gt; 2,6</w:t>
      </w:r>
      <m:oMath>
        <m:sSub>
          <m:sSubPr>
            <m:ctrlPr>
              <w:rPr>
                <w:rFonts w:ascii="Cambria Math" w:hAnsi="Cambria Math"/>
                <w:i/>
              </w:rPr>
            </m:ctrlPr>
          </m:sSubPr>
          <m:e>
            <m:r>
              <w:rPr>
                <w:rFonts w:ascii="Cambria Math"/>
              </w:rPr>
              <m:t>M</m:t>
            </m:r>
          </m:e>
          <m:sub>
            <m:r>
              <m:rPr>
                <m:sty m:val="p"/>
              </m:rPr>
              <w:rPr>
                <w:rFonts w:ascii="Cambria Math"/>
              </w:rPr>
              <m:t>p,</m:t>
            </m:r>
            <m:r>
              <m:rPr>
                <m:nor/>
              </m:rPr>
              <w:rPr>
                <w:rFonts w:ascii="Cambria Math"/>
                <w:iCs/>
              </w:rPr>
              <m:t>link</m:t>
            </m:r>
            <m:ctrlPr>
              <w:rPr>
                <w:rFonts w:ascii="Cambria Math" w:hAnsi="Cambria Math"/>
              </w:rPr>
            </m:ctrlPr>
          </m:sub>
        </m:sSub>
        <m:r>
          <w:rPr>
            <w:rFonts w:ascii="Cambria Math"/>
          </w:rPr>
          <m:t>/</m:t>
        </m:r>
        <m:sSub>
          <m:sSubPr>
            <m:ctrlPr>
              <w:rPr>
                <w:rFonts w:ascii="Cambria Math" w:hAnsi="Cambria Math"/>
                <w:i/>
              </w:rPr>
            </m:ctrlPr>
          </m:sSubPr>
          <m:e>
            <m:r>
              <w:rPr>
                <w:rFonts w:ascii="Cambria Math"/>
              </w:rPr>
              <m:t>V</m:t>
            </m:r>
          </m:e>
          <m:sub>
            <m:r>
              <m:rPr>
                <m:sty m:val="p"/>
              </m:rPr>
              <w:rPr>
                <w:rFonts w:ascii="Cambria Math"/>
              </w:rPr>
              <m:t>p,</m:t>
            </m:r>
            <m:r>
              <m:rPr>
                <m:nor/>
              </m:rPr>
              <w:rPr>
                <w:rFonts w:ascii="Cambria Math"/>
                <w:iCs/>
              </w:rPr>
              <m:t>link</m:t>
            </m:r>
            <m:ctrlPr>
              <w:rPr>
                <w:rFonts w:ascii="Cambria Math" w:hAnsi="Cambria Math"/>
              </w:rPr>
            </m:ctrlPr>
          </m:sub>
        </m:sSub>
      </m:oMath>
      <w:r w:rsidRPr="00132C1E">
        <w:t xml:space="preserve">, from the ultimate moment resistance of the link </w:t>
      </w:r>
      <w:r w:rsidRPr="00D1484A">
        <w:rPr>
          <w:i/>
        </w:rPr>
        <w:t>M</w:t>
      </w:r>
      <w:r w:rsidRPr="00D1484A">
        <w:rPr>
          <w:vertAlign w:val="subscript"/>
        </w:rPr>
        <w:t>u,link</w:t>
      </w:r>
      <w:r w:rsidRPr="007E6F67">
        <w:t> </w:t>
      </w:r>
      <w:r w:rsidRPr="00FD17CF">
        <w:rPr>
          <w:rFonts w:ascii="Symbol" w:hAnsi="Symbol"/>
        </w:rPr>
        <w:t></w:t>
      </w:r>
      <w:r w:rsidRPr="00FD17CF">
        <w:t> </w:t>
      </w:r>
      <w:r w:rsidRPr="00FD17CF">
        <w:rPr>
          <w:i/>
        </w:rPr>
        <w:t>ω</w:t>
      </w:r>
      <w:r w:rsidRPr="00FD17CF">
        <w:rPr>
          <w:vertAlign w:val="subscript"/>
        </w:rPr>
        <w:t>rm</w:t>
      </w:r>
      <w:r w:rsidRPr="00FD17CF">
        <w:t xml:space="preserve"> </w:t>
      </w:r>
      <w:r w:rsidRPr="00FD17CF">
        <w:rPr>
          <w:i/>
        </w:rPr>
        <w:t>ω</w:t>
      </w:r>
      <w:r w:rsidRPr="00FD17CF">
        <w:rPr>
          <w:vertAlign w:val="subscript"/>
        </w:rPr>
        <w:t>sh</w:t>
      </w:r>
      <w:r w:rsidRPr="00FD17CF">
        <w:t xml:space="preserve"> </w:t>
      </w:r>
      <w:r w:rsidRPr="00FD17CF">
        <w:rPr>
          <w:i/>
        </w:rPr>
        <w:t>M</w:t>
      </w:r>
      <w:r w:rsidRPr="00FD17CF">
        <w:rPr>
          <w:vertAlign w:val="subscript"/>
        </w:rPr>
        <w:t>p,Link</w:t>
      </w:r>
      <w:r w:rsidRPr="00FD17CF">
        <w:t xml:space="preserve"> and the corresponding shear force </w:t>
      </w:r>
      <w:r w:rsidRPr="00644C3D">
        <w:rPr>
          <w:i/>
        </w:rPr>
        <w:t>V</w:t>
      </w:r>
      <w:r w:rsidRPr="00E05E29">
        <w:rPr>
          <w:vertAlign w:val="subscript"/>
        </w:rPr>
        <w:t xml:space="preserve">u,link </w:t>
      </w:r>
      <w:r w:rsidRPr="00E05E29">
        <w:t> </w:t>
      </w:r>
      <w:r w:rsidRPr="00E05E29">
        <w:rPr>
          <w:rFonts w:ascii="Symbol" w:hAnsi="Symbol"/>
        </w:rPr>
        <w:t></w:t>
      </w:r>
      <w:r w:rsidRPr="00E05E29">
        <w:t> 2</w:t>
      </w:r>
      <w:r w:rsidRPr="00E05E29">
        <w:rPr>
          <w:i/>
        </w:rPr>
        <w:t>M</w:t>
      </w:r>
      <w:r w:rsidRPr="00E05E29">
        <w:rPr>
          <w:vertAlign w:val="subscript"/>
        </w:rPr>
        <w:t>u,Link</w:t>
      </w:r>
      <w:r w:rsidRPr="00E05E29">
        <w:t>/</w:t>
      </w:r>
      <w:r w:rsidRPr="00E05E29">
        <w:rPr>
          <w:i/>
        </w:rPr>
        <w:t>e</w:t>
      </w:r>
      <w:r w:rsidRPr="00E05E29">
        <w:t>.</w:t>
      </w:r>
    </w:p>
    <w:p w14:paraId="2924D52A" w14:textId="57F7247C" w:rsidR="009E1375" w:rsidRPr="004F74EA" w:rsidRDefault="009E1375" w:rsidP="00724E4E">
      <w:pPr>
        <w:pStyle w:val="Clause"/>
        <w:rPr>
          <w:rFonts w:eastAsia="Cambria"/>
        </w:rPr>
      </w:pPr>
      <w:r w:rsidRPr="004F74EA">
        <w:rPr>
          <w:rFonts w:eastAsia="Cambria"/>
        </w:rPr>
        <w:lastRenderedPageBreak/>
        <w:t xml:space="preserve">In DC2 and DC3, </w:t>
      </w:r>
      <w:r w:rsidRPr="00E05E29">
        <w:t>eccentricities in the brace connections away from the link should not be greater than the link depth;</w:t>
      </w:r>
      <w:r w:rsidRPr="00E05E29" w:rsidDel="00DF3BBE">
        <w:t xml:space="preserve"> </w:t>
      </w:r>
      <w:r w:rsidRPr="00E05E29">
        <w:t>the resulting effects in members and connection should be taken into account in their design.</w:t>
      </w:r>
    </w:p>
    <w:p w14:paraId="051269DA" w14:textId="48C89CE0" w:rsidR="009E1375" w:rsidRPr="00E05E29" w:rsidRDefault="009E1375" w:rsidP="009E1375">
      <w:pPr>
        <w:pStyle w:val="Heading3"/>
      </w:pPr>
      <w:bookmarkStart w:id="9701" w:name="_Toc483723242"/>
      <w:bookmarkStart w:id="9702" w:name="_Toc483723577"/>
      <w:bookmarkStart w:id="9703" w:name="_Toc484520891"/>
      <w:bookmarkStart w:id="9704" w:name="_Toc509405070"/>
      <w:bookmarkStart w:id="9705" w:name="_Toc76379882"/>
      <w:bookmarkStart w:id="9706" w:name="_Toc494124741"/>
      <w:bookmarkStart w:id="9707" w:name="_Toc522955947"/>
      <w:bookmarkStart w:id="9708" w:name="_Toc18314138"/>
      <w:bookmarkStart w:id="9709" w:name="_Toc50150452"/>
      <w:bookmarkStart w:id="9710" w:name="_Toc70886884"/>
      <w:bookmarkStart w:id="9711" w:name="_Toc108342443"/>
      <w:bookmarkStart w:id="9712" w:name="_Toc134197975"/>
      <w:r>
        <w:t>Verification of c</w:t>
      </w:r>
      <w:r w:rsidRPr="00E05E29">
        <w:t>onnections of the seismic links</w:t>
      </w:r>
      <w:bookmarkEnd w:id="9701"/>
      <w:bookmarkEnd w:id="9702"/>
      <w:bookmarkEnd w:id="9703"/>
      <w:bookmarkEnd w:id="9704"/>
      <w:bookmarkEnd w:id="9705"/>
      <w:bookmarkEnd w:id="9706"/>
      <w:bookmarkEnd w:id="9707"/>
      <w:bookmarkEnd w:id="9708"/>
      <w:bookmarkEnd w:id="9709"/>
      <w:bookmarkEnd w:id="9710"/>
      <w:bookmarkEnd w:id="9711"/>
      <w:bookmarkEnd w:id="9712"/>
    </w:p>
    <w:p w14:paraId="2E738F83" w14:textId="1FD8975E" w:rsidR="009E1375" w:rsidRPr="00E05E29" w:rsidRDefault="009E1375" w:rsidP="0080187E">
      <w:pPr>
        <w:pStyle w:val="Clause"/>
        <w:numPr>
          <w:ilvl w:val="0"/>
          <w:numId w:val="394"/>
        </w:numPr>
      </w:pPr>
      <w:r w:rsidRPr="00E05E29">
        <w:t xml:space="preserve">The shear and bending resistance of the connections of the links should be verified in accordance with </w:t>
      </w:r>
      <w:r w:rsidRPr="00F17E17">
        <w:t xml:space="preserve">Formula (11.4), </w:t>
      </w:r>
      <w:r w:rsidRPr="00E05E29">
        <w:t xml:space="preserve">where </w:t>
      </w:r>
      <w:r w:rsidRPr="008D6D68">
        <w:rPr>
          <w:i/>
          <w:iCs/>
        </w:rPr>
        <w:t>R</w:t>
      </w:r>
      <w:r w:rsidRPr="008D6D68">
        <w:rPr>
          <w:vertAlign w:val="subscript"/>
        </w:rPr>
        <w:t>fy</w:t>
      </w:r>
      <w:r w:rsidRPr="00E05E29">
        <w:t xml:space="preserve"> should be taken equal to </w:t>
      </w:r>
      <w:r w:rsidRPr="008D6D68">
        <w:rPr>
          <w:i/>
          <w:iCs/>
        </w:rPr>
        <w:t>V</w:t>
      </w:r>
      <w:r w:rsidRPr="008D6D68">
        <w:rPr>
          <w:vertAlign w:val="subscript"/>
        </w:rPr>
        <w:t>p,link</w:t>
      </w:r>
      <w:r w:rsidRPr="00E05E29">
        <w:t>, to which corresponds the bending moment 0,5 </w:t>
      </w:r>
      <w:r w:rsidRPr="008D6D68">
        <w:rPr>
          <w:i/>
        </w:rPr>
        <w:t>e</w:t>
      </w:r>
      <w:r w:rsidRPr="00E05E29">
        <w:t> </w:t>
      </w:r>
      <w:r w:rsidRPr="008D6D68">
        <w:rPr>
          <w:i/>
        </w:rPr>
        <w:t>V</w:t>
      </w:r>
      <w:r w:rsidRPr="008D6D68">
        <w:rPr>
          <w:vertAlign w:val="subscript"/>
        </w:rPr>
        <w:t xml:space="preserve">p,Link </w:t>
      </w:r>
      <w:r w:rsidRPr="00E05E29">
        <w:t xml:space="preserve"> for short and intermediate links. For long links </w:t>
      </w:r>
      <w:r w:rsidRPr="008D6D68">
        <w:rPr>
          <w:i/>
          <w:iCs/>
        </w:rPr>
        <w:t>R</w:t>
      </w:r>
      <w:r w:rsidRPr="008D6D68">
        <w:rPr>
          <w:vertAlign w:val="subscript"/>
        </w:rPr>
        <w:t>fy</w:t>
      </w:r>
      <w:r w:rsidRPr="00E05E29">
        <w:t xml:space="preserve"> should be taken equal to </w:t>
      </w:r>
      <w:r w:rsidRPr="008D6D68">
        <w:rPr>
          <w:i/>
          <w:iCs/>
        </w:rPr>
        <w:t>M</w:t>
      </w:r>
      <w:r w:rsidRPr="008D6D68">
        <w:rPr>
          <w:vertAlign w:val="subscript"/>
        </w:rPr>
        <w:t>p,link</w:t>
      </w:r>
      <w:r w:rsidRPr="00E05E29">
        <w:t>, to which corresponds the shear force 2</w:t>
      </w:r>
      <w:r>
        <w:t xml:space="preserve"> </w:t>
      </w:r>
      <w:r w:rsidRPr="008D6D68">
        <w:rPr>
          <w:i/>
        </w:rPr>
        <w:t>M</w:t>
      </w:r>
      <w:r w:rsidRPr="008D6D68">
        <w:rPr>
          <w:vertAlign w:val="subscript"/>
        </w:rPr>
        <w:t>p,Link</w:t>
      </w:r>
      <w:r w:rsidRPr="00E05E29">
        <w:t>/</w:t>
      </w:r>
      <w:r w:rsidRPr="008D6D68">
        <w:rPr>
          <w:i/>
        </w:rPr>
        <w:t>e</w:t>
      </w:r>
      <w:r w:rsidRPr="00E05E29">
        <w:t>.</w:t>
      </w:r>
    </w:p>
    <w:p w14:paraId="22555ABA" w14:textId="2F3C8AB8" w:rsidR="009E1375" w:rsidRPr="00E05E29" w:rsidRDefault="009E1375" w:rsidP="00724E4E">
      <w:pPr>
        <w:pStyle w:val="Clause"/>
      </w:pPr>
      <w:r w:rsidRPr="00E05E29">
        <w:t xml:space="preserve">In partial strength connections (i.e. those with resistance smaller than the expected ultimate resistance of the link), energy dissipation may be considered to come from the connections only, provided that all conditions in a) to </w:t>
      </w:r>
      <w:r w:rsidR="003D0D28">
        <w:t>c</w:t>
      </w:r>
      <w:r w:rsidRPr="00E05E29">
        <w:t>) are satisfied:</w:t>
      </w:r>
    </w:p>
    <w:p w14:paraId="3F8645A5" w14:textId="3B0B174E" w:rsidR="009E1375" w:rsidRPr="00E05E29" w:rsidRDefault="009E1375" w:rsidP="0080187E">
      <w:pPr>
        <w:pStyle w:val="List2"/>
        <w:numPr>
          <w:ilvl w:val="0"/>
          <w:numId w:val="153"/>
        </w:numPr>
        <w:spacing w:before="0" w:after="240" w:line="230" w:lineRule="atLeast"/>
        <w:contextualSpacing w:val="0"/>
        <w:rPr>
          <w:sz w:val="20"/>
        </w:rPr>
      </w:pPr>
      <w:r w:rsidRPr="00E05E29">
        <w:t>the connections ductility is greater than the deformation demands; this should be demonstrated through experimental results or detailed numerical model</w:t>
      </w:r>
      <w:r w:rsidR="003D0D28">
        <w:t>;</w:t>
      </w:r>
    </w:p>
    <w:p w14:paraId="35B0739C" w14:textId="04B66DE6" w:rsidR="003D0D28" w:rsidRDefault="009E1375" w:rsidP="0078003E">
      <w:pPr>
        <w:pStyle w:val="Notetext"/>
        <w:tabs>
          <w:tab w:val="left" w:pos="1134"/>
        </w:tabs>
        <w:ind w:left="360"/>
      </w:pPr>
      <w:r w:rsidRPr="00E05E29">
        <w:t>NOTE</w:t>
      </w:r>
      <w:r w:rsidRPr="00E05E29">
        <w:tab/>
      </w:r>
      <w:r w:rsidRPr="00EA2296">
        <w:t>prCEN/TS</w:t>
      </w:r>
      <w:r w:rsidR="006077BA">
        <w:t> </w:t>
      </w:r>
      <w:r w:rsidRPr="00EA2296">
        <w:t>1998-</w:t>
      </w:r>
      <w:r w:rsidR="00460A67">
        <w:t xml:space="preserve">1-101 </w:t>
      </w:r>
      <w:r w:rsidRPr="00E05E29">
        <w:t>gives a loading protocol and acceptance criteria for such tests.</w:t>
      </w:r>
    </w:p>
    <w:p w14:paraId="1D2AAE00" w14:textId="4D9F7035" w:rsidR="009E1375" w:rsidRPr="00E05E29" w:rsidRDefault="009E1375" w:rsidP="0080187E">
      <w:pPr>
        <w:pStyle w:val="List2"/>
        <w:numPr>
          <w:ilvl w:val="0"/>
          <w:numId w:val="153"/>
        </w:numPr>
        <w:tabs>
          <w:tab w:val="num" w:pos="0"/>
        </w:tabs>
        <w:spacing w:before="0" w:after="240" w:line="230" w:lineRule="atLeast"/>
        <w:contextualSpacing w:val="0"/>
      </w:pPr>
      <w:r w:rsidRPr="00E05E29">
        <w:t>members framing into the connections are verified to be stable under the design action effects at SD</w:t>
      </w:r>
      <w:r w:rsidR="003D0D28">
        <w:t>;</w:t>
      </w:r>
    </w:p>
    <w:p w14:paraId="0961EE6D" w14:textId="77777777" w:rsidR="009E1375" w:rsidRPr="00E05E29" w:rsidRDefault="009E1375" w:rsidP="0080187E">
      <w:pPr>
        <w:pStyle w:val="List2"/>
        <w:numPr>
          <w:ilvl w:val="0"/>
          <w:numId w:val="153"/>
        </w:numPr>
        <w:tabs>
          <w:tab w:val="num" w:pos="0"/>
        </w:tabs>
        <w:spacing w:before="0" w:after="240" w:line="230" w:lineRule="atLeast"/>
        <w:contextualSpacing w:val="0"/>
      </w:pPr>
      <w:r w:rsidRPr="00E05E29">
        <w:t>the effect of the deformation of the connection on global drift is taken into account.</w:t>
      </w:r>
    </w:p>
    <w:p w14:paraId="0D047676" w14:textId="4A59DB6A" w:rsidR="009E1375" w:rsidRPr="00ED6630" w:rsidRDefault="009E1375" w:rsidP="00724E4E">
      <w:pPr>
        <w:pStyle w:val="Clause"/>
      </w:pPr>
      <w:r w:rsidRPr="00E05E29">
        <w:t xml:space="preserve">When partial strength bolted or welded connections are used for the seismic links, the capacity design of the other members in the structure should be based on the plastic resistance of the links connections, </w:t>
      </w:r>
      <w:r w:rsidRPr="00ED6630">
        <w:t>calculated in accordance with pr</w:t>
      </w:r>
      <w:r w:rsidR="00C30FF9">
        <w:t>EN 1</w:t>
      </w:r>
      <w:r w:rsidRPr="00ED6630">
        <w:t>993</w:t>
      </w:r>
      <w:r w:rsidR="008B08A1">
        <w:t>-</w:t>
      </w:r>
      <w:r w:rsidRPr="00ED6630">
        <w:t xml:space="preserve">1-8:2021. </w:t>
      </w:r>
    </w:p>
    <w:p w14:paraId="7F413C71" w14:textId="1DA58A69" w:rsidR="009E1375" w:rsidRPr="00E05E29" w:rsidRDefault="009E1375" w:rsidP="00724E4E">
      <w:pPr>
        <w:pStyle w:val="Clause"/>
      </w:pPr>
      <w:r w:rsidRPr="00E05E29">
        <w:t xml:space="preserve">In DC3 frames with full strength bolted connections at both ends of short links of length </w:t>
      </w:r>
      <w:r w:rsidRPr="004F74EA">
        <w:rPr>
          <w:i/>
        </w:rPr>
        <w:t>e</w:t>
      </w:r>
      <w:r w:rsidRPr="00E05E29">
        <w:t xml:space="preserve"> not greater than (</w:t>
      </w:r>
      <w:r w:rsidRPr="004F74EA">
        <w:rPr>
          <w:i/>
        </w:rPr>
        <w:t>M</w:t>
      </w:r>
      <w:r w:rsidRPr="004F74EA">
        <w:rPr>
          <w:vertAlign w:val="subscript"/>
        </w:rPr>
        <w:t>p,link </w:t>
      </w:r>
      <w:r w:rsidRPr="004F74EA">
        <w:rPr>
          <w:i/>
        </w:rPr>
        <w:t>/V</w:t>
      </w:r>
      <w:r w:rsidRPr="004F74EA">
        <w:rPr>
          <w:vertAlign w:val="subscript"/>
        </w:rPr>
        <w:t>p,link </w:t>
      </w:r>
      <w:r w:rsidRPr="00E05E29">
        <w:t>), the connections resistance should not be smaller than a tensile axial force</w:t>
      </w:r>
      <w:r w:rsidRPr="004F74EA">
        <w:rPr>
          <w:i/>
        </w:rPr>
        <w:t xml:space="preserve"> N</w:t>
      </w:r>
      <w:r w:rsidRPr="004F74EA">
        <w:rPr>
          <w:vertAlign w:val="subscript"/>
        </w:rPr>
        <w:t>u,link</w:t>
      </w:r>
      <w:r w:rsidRPr="00E05E29">
        <w:t xml:space="preserve"> equal to </w:t>
      </w:r>
      <w:r w:rsidRPr="004F74EA">
        <w:rPr>
          <w:i/>
        </w:rPr>
        <w:t>N</w:t>
      </w:r>
      <w:r w:rsidRPr="004F74EA">
        <w:rPr>
          <w:vertAlign w:val="subscript"/>
        </w:rPr>
        <w:t xml:space="preserve">u,link </w:t>
      </w:r>
      <w:r w:rsidRPr="004F74EA">
        <w:rPr>
          <w:rFonts w:ascii="Symbol" w:hAnsi="Symbol"/>
        </w:rPr>
        <w:t></w:t>
      </w:r>
      <w:r w:rsidRPr="00E05E29">
        <w:t xml:space="preserve"> (2</w:t>
      </w:r>
      <w:r w:rsidRPr="004F74EA">
        <w:rPr>
          <w:i/>
        </w:rPr>
        <w:t>ω</w:t>
      </w:r>
      <w:r w:rsidRPr="004F74EA">
        <w:rPr>
          <w:vertAlign w:val="subscript"/>
        </w:rPr>
        <w:t>rm</w:t>
      </w:r>
      <w:r w:rsidRPr="00E05E29">
        <w:t xml:space="preserve"> </w:t>
      </w:r>
      <w:r w:rsidRPr="004F74EA">
        <w:rPr>
          <w:i/>
        </w:rPr>
        <w:t>f</w:t>
      </w:r>
      <w:r w:rsidRPr="004F74EA">
        <w:rPr>
          <w:vertAlign w:val="subscript"/>
        </w:rPr>
        <w:t xml:space="preserve">y </w:t>
      </w:r>
      <w:r w:rsidRPr="004F74EA">
        <w:rPr>
          <w:i/>
        </w:rPr>
        <w:t>b</w:t>
      </w:r>
      <w:r w:rsidRPr="004F74EA">
        <w:rPr>
          <w:vertAlign w:val="subscript"/>
        </w:rPr>
        <w:t>f </w:t>
      </w:r>
      <w:r w:rsidRPr="004F74EA">
        <w:rPr>
          <w:i/>
        </w:rPr>
        <w:t>t</w:t>
      </w:r>
      <w:r w:rsidRPr="004F74EA">
        <w:rPr>
          <w:vertAlign w:val="subscript"/>
        </w:rPr>
        <w:t>f</w:t>
      </w:r>
      <w:r w:rsidRPr="00E05E29">
        <w:t xml:space="preserve">), where </w:t>
      </w:r>
      <w:r w:rsidRPr="004F74EA">
        <w:rPr>
          <w:i/>
        </w:rPr>
        <w:t>b</w:t>
      </w:r>
      <w:r w:rsidRPr="004F74EA">
        <w:rPr>
          <w:vertAlign w:val="subscript"/>
        </w:rPr>
        <w:t>f</w:t>
      </w:r>
      <w:r w:rsidRPr="00E05E29">
        <w:t xml:space="preserve"> and </w:t>
      </w:r>
      <w:r w:rsidRPr="004F74EA">
        <w:rPr>
          <w:i/>
        </w:rPr>
        <w:t>t</w:t>
      </w:r>
      <w:r w:rsidRPr="004F74EA">
        <w:rPr>
          <w:vertAlign w:val="subscript"/>
        </w:rPr>
        <w:t>f</w:t>
      </w:r>
      <w:r w:rsidRPr="00E05E29">
        <w:t xml:space="preserve"> are the width and thickness of the link flange, in combination with the ultimate shear resistance </w:t>
      </w:r>
      <w:r w:rsidRPr="004F74EA">
        <w:rPr>
          <w:i/>
        </w:rPr>
        <w:t>V</w:t>
      </w:r>
      <w:r w:rsidRPr="004F74EA">
        <w:rPr>
          <w:vertAlign w:val="subscript"/>
        </w:rPr>
        <w:t xml:space="preserve">u,link </w:t>
      </w:r>
      <w:r w:rsidRPr="00E05E29">
        <w:t>=(</w:t>
      </w:r>
      <w:r w:rsidRPr="004F74EA">
        <w:rPr>
          <w:i/>
        </w:rPr>
        <w:t>ω</w:t>
      </w:r>
      <w:r w:rsidRPr="004F74EA">
        <w:rPr>
          <w:vertAlign w:val="subscript"/>
        </w:rPr>
        <w:t>rm</w:t>
      </w:r>
      <w:r w:rsidRPr="00E05E29">
        <w:t xml:space="preserve"> </w:t>
      </w:r>
      <w:r w:rsidRPr="004F74EA">
        <w:rPr>
          <w:i/>
        </w:rPr>
        <w:t>ω</w:t>
      </w:r>
      <w:r w:rsidRPr="004F74EA">
        <w:rPr>
          <w:vertAlign w:val="subscript"/>
        </w:rPr>
        <w:t>sh</w:t>
      </w:r>
      <w:r w:rsidRPr="00E05E29">
        <w:t xml:space="preserve"> </w:t>
      </w:r>
      <w:r w:rsidRPr="004F74EA">
        <w:rPr>
          <w:i/>
        </w:rPr>
        <w:t>V</w:t>
      </w:r>
      <w:r w:rsidRPr="004F74EA">
        <w:rPr>
          <w:vertAlign w:val="subscript"/>
        </w:rPr>
        <w:t>p,Link</w:t>
      </w:r>
      <w:r w:rsidRPr="00E05E29">
        <w:t xml:space="preserve">) and the corresponding bending moment resistance </w:t>
      </w:r>
      <w:r w:rsidRPr="004F74EA">
        <w:rPr>
          <w:i/>
        </w:rPr>
        <w:t>M</w:t>
      </w:r>
      <w:r w:rsidRPr="004F74EA">
        <w:rPr>
          <w:vertAlign w:val="subscript"/>
        </w:rPr>
        <w:t>u,link </w:t>
      </w:r>
      <w:r w:rsidRPr="004F74EA">
        <w:rPr>
          <w:rFonts w:ascii="Symbol" w:hAnsi="Symbol"/>
        </w:rPr>
        <w:t></w:t>
      </w:r>
      <w:r w:rsidRPr="00E05E29">
        <w:t> (0,5</w:t>
      </w:r>
      <w:r>
        <w:t xml:space="preserve"> </w:t>
      </w:r>
      <w:r w:rsidRPr="004F74EA">
        <w:rPr>
          <w:i/>
        </w:rPr>
        <w:t>e</w:t>
      </w:r>
      <w:r w:rsidRPr="00E05E29">
        <w:t> </w:t>
      </w:r>
      <w:r w:rsidRPr="004F74EA">
        <w:rPr>
          <w:i/>
        </w:rPr>
        <w:t>ω</w:t>
      </w:r>
      <w:r w:rsidRPr="004F74EA">
        <w:rPr>
          <w:vertAlign w:val="subscript"/>
        </w:rPr>
        <w:t>rm</w:t>
      </w:r>
      <w:r w:rsidRPr="00E05E29">
        <w:t xml:space="preserve"> </w:t>
      </w:r>
      <w:r w:rsidRPr="004F74EA">
        <w:rPr>
          <w:i/>
        </w:rPr>
        <w:t>ω</w:t>
      </w:r>
      <w:r w:rsidRPr="004F74EA">
        <w:rPr>
          <w:vertAlign w:val="subscript"/>
        </w:rPr>
        <w:t>sh</w:t>
      </w:r>
      <w:r w:rsidRPr="00E05E29">
        <w:t xml:space="preserve"> </w:t>
      </w:r>
      <w:r w:rsidRPr="004F74EA">
        <w:rPr>
          <w:i/>
        </w:rPr>
        <w:t>V</w:t>
      </w:r>
      <w:r w:rsidRPr="004F74EA">
        <w:rPr>
          <w:vertAlign w:val="subscript"/>
        </w:rPr>
        <w:t xml:space="preserve">p,Link </w:t>
      </w:r>
      <w:r w:rsidRPr="00E05E29">
        <w:t xml:space="preserve">), where </w:t>
      </w:r>
      <w:r w:rsidRPr="004F74EA">
        <w:rPr>
          <w:i/>
        </w:rPr>
        <w:t>ω</w:t>
      </w:r>
      <w:r w:rsidRPr="004F74EA">
        <w:rPr>
          <w:vertAlign w:val="subscript"/>
        </w:rPr>
        <w:t>sh</w:t>
      </w:r>
      <w:r w:rsidRPr="00E05E29">
        <w:t xml:space="preserve"> is equal to 1,8.</w:t>
      </w:r>
    </w:p>
    <w:p w14:paraId="04B8C85F" w14:textId="5486328A" w:rsidR="009E1375" w:rsidRPr="00E05E29" w:rsidRDefault="009E1375" w:rsidP="009E1375">
      <w:pPr>
        <w:pStyle w:val="Heading3"/>
      </w:pPr>
      <w:bookmarkStart w:id="9713" w:name="_Toc18314139"/>
      <w:bookmarkStart w:id="9714" w:name="_Toc50150453"/>
      <w:bookmarkStart w:id="9715" w:name="_Toc70886885"/>
      <w:bookmarkStart w:id="9716" w:name="_Toc108342444"/>
      <w:bookmarkStart w:id="9717" w:name="_Toc134197976"/>
      <w:r>
        <w:t>Verification of b</w:t>
      </w:r>
      <w:r w:rsidRPr="00E05E29">
        <w:t>eam to column connections</w:t>
      </w:r>
      <w:bookmarkEnd w:id="9713"/>
      <w:bookmarkEnd w:id="9714"/>
      <w:bookmarkEnd w:id="9715"/>
      <w:bookmarkEnd w:id="9716"/>
      <w:bookmarkEnd w:id="9717"/>
    </w:p>
    <w:p w14:paraId="3FEB87CE" w14:textId="7A82667C" w:rsidR="009E1375" w:rsidRPr="006077BA" w:rsidRDefault="009E1375" w:rsidP="0080187E">
      <w:pPr>
        <w:pStyle w:val="Clause"/>
        <w:numPr>
          <w:ilvl w:val="0"/>
          <w:numId w:val="395"/>
        </w:numPr>
      </w:pPr>
      <w:r w:rsidRPr="00E05E29">
        <w:t xml:space="preserve">In braced bays, beam-to-column connections which serve also as connection of a bracing should be designed to transfer the seismic action effects of the diagonal </w:t>
      </w:r>
      <w:r w:rsidRPr="006077BA">
        <w:t>bracing in accordance with 11.11.3(1) in DC2 and with 11.11.3(3) in DC3.</w:t>
      </w:r>
    </w:p>
    <w:p w14:paraId="49C5B284" w14:textId="77A28ABF" w:rsidR="009E1375" w:rsidRPr="006077BA" w:rsidRDefault="009E1375" w:rsidP="00724E4E">
      <w:pPr>
        <w:pStyle w:val="Clause"/>
      </w:pPr>
      <w:r w:rsidRPr="006077BA">
        <w:t>Beam-to-column connections may be either continuous or pinned as specified in 11.10.5(2).</w:t>
      </w:r>
    </w:p>
    <w:p w14:paraId="405E5323" w14:textId="72DA24E8" w:rsidR="009E1375" w:rsidRPr="00E05E29" w:rsidRDefault="009E1375" w:rsidP="009E1375">
      <w:pPr>
        <w:pStyle w:val="Heading2"/>
      </w:pPr>
      <w:bookmarkStart w:id="9718" w:name="_Toc522955948"/>
      <w:bookmarkStart w:id="9719" w:name="_Toc18314140"/>
      <w:bookmarkStart w:id="9720" w:name="_Toc50150454"/>
      <w:bookmarkStart w:id="9721" w:name="_Toc70886886"/>
      <w:bookmarkStart w:id="9722" w:name="_Toc108342445"/>
      <w:bookmarkStart w:id="9723" w:name="_Toc134197977"/>
      <w:r w:rsidRPr="00E05E29">
        <w:t>Design rules for frames with buckling restrained bracings</w:t>
      </w:r>
      <w:bookmarkEnd w:id="9718"/>
      <w:bookmarkEnd w:id="9719"/>
      <w:bookmarkEnd w:id="9720"/>
      <w:bookmarkEnd w:id="9721"/>
      <w:bookmarkEnd w:id="9722"/>
      <w:bookmarkEnd w:id="9723"/>
    </w:p>
    <w:p w14:paraId="7DA82FBE" w14:textId="77777777" w:rsidR="009E1375" w:rsidRPr="00E05E29" w:rsidRDefault="009E1375" w:rsidP="009E1375">
      <w:pPr>
        <w:pStyle w:val="Heading3"/>
      </w:pPr>
      <w:bookmarkStart w:id="9724" w:name="_Toc522955949"/>
      <w:bookmarkStart w:id="9725" w:name="_Toc18314141"/>
      <w:bookmarkStart w:id="9726" w:name="_Toc50150455"/>
      <w:bookmarkStart w:id="9727" w:name="_Toc70886887"/>
      <w:bookmarkStart w:id="9728" w:name="_Toc108342446"/>
      <w:bookmarkStart w:id="9729" w:name="_Toc134197978"/>
      <w:r w:rsidRPr="00E05E29">
        <w:t>Design criteria</w:t>
      </w:r>
      <w:bookmarkEnd w:id="9724"/>
      <w:bookmarkEnd w:id="9725"/>
      <w:bookmarkEnd w:id="9726"/>
      <w:bookmarkEnd w:id="9727"/>
      <w:bookmarkEnd w:id="9728"/>
      <w:bookmarkEnd w:id="9729"/>
    </w:p>
    <w:p w14:paraId="383C778C" w14:textId="5748884D" w:rsidR="009E1375" w:rsidRPr="00E05E29" w:rsidRDefault="009E1375" w:rsidP="0080187E">
      <w:pPr>
        <w:pStyle w:val="Clause"/>
        <w:numPr>
          <w:ilvl w:val="0"/>
          <w:numId w:val="396"/>
        </w:numPr>
      </w:pPr>
      <w:bookmarkStart w:id="9730" w:name="_Hlk522938189"/>
      <w:r w:rsidRPr="00E05E29">
        <w:t>Buckling restrained bracings shall be designed in DC3 so that yielding of the diagonals in both tension and compression occurs before failure of connections and before yielding or buckling of beams or columns.</w:t>
      </w:r>
    </w:p>
    <w:p w14:paraId="02C30284" w14:textId="0FC5EAB8" w:rsidR="009E1375" w:rsidRDefault="004534AF" w:rsidP="004534AF">
      <w:pPr>
        <w:pStyle w:val="FigureImage"/>
      </w:pPr>
      <w:r>
        <w:rPr>
          <w:noProof/>
        </w:rPr>
        <w:lastRenderedPageBreak/>
        <w:drawing>
          <wp:inline distT="0" distB="0" distL="0" distR="0" wp14:anchorId="36CA4C11" wp14:editId="4AFA8DCA">
            <wp:extent cx="3599694" cy="2421640"/>
            <wp:effectExtent l="0" t="0" r="0" b="0"/>
            <wp:docPr id="1661690627" name="0038.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1690627" name="0038.tiff"/>
                    <pic:cNvPicPr/>
                  </pic:nvPicPr>
                  <pic:blipFill>
                    <a:blip r:link="rId53"/>
                    <a:stretch>
                      <a:fillRect/>
                    </a:stretch>
                  </pic:blipFill>
                  <pic:spPr>
                    <a:xfrm>
                      <a:off x="0" y="0"/>
                      <a:ext cx="3599694" cy="2421640"/>
                    </a:xfrm>
                    <a:prstGeom prst="rect">
                      <a:avLst/>
                    </a:prstGeom>
                  </pic:spPr>
                </pic:pic>
              </a:graphicData>
            </a:graphic>
          </wp:inline>
        </w:drawing>
      </w:r>
    </w:p>
    <w:p w14:paraId="68196982" w14:textId="77777777" w:rsidR="00F17E17" w:rsidRPr="00FD17CF" w:rsidRDefault="00F17E17" w:rsidP="004534AF">
      <w:pPr>
        <w:pStyle w:val="KeyTitle"/>
      </w:pPr>
      <w:r w:rsidRPr="007E6F67">
        <w:t>Key</w:t>
      </w:r>
    </w:p>
    <w:tbl>
      <w:tblPr>
        <w:tblStyle w:val="TableGrid"/>
        <w:tblW w:w="464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4218"/>
      </w:tblGrid>
      <w:tr w:rsidR="00F17E17" w:rsidRPr="009B45B4" w14:paraId="4E5EF6F7" w14:textId="77777777" w:rsidTr="0078003E">
        <w:tc>
          <w:tcPr>
            <w:tcW w:w="426" w:type="dxa"/>
          </w:tcPr>
          <w:p w14:paraId="31F1902C" w14:textId="151C287F" w:rsidR="00F17E17" w:rsidRPr="00FE71E5" w:rsidRDefault="00F17E17" w:rsidP="00FE71E5">
            <w:pPr>
              <w:pStyle w:val="KeyText"/>
              <w:spacing w:before="0"/>
              <w:rPr>
                <w:iCs/>
              </w:rPr>
            </w:pPr>
            <w:r w:rsidRPr="00FE71E5">
              <w:rPr>
                <w:iCs/>
              </w:rPr>
              <w:t>1</w:t>
            </w:r>
          </w:p>
        </w:tc>
        <w:tc>
          <w:tcPr>
            <w:tcW w:w="4218" w:type="dxa"/>
          </w:tcPr>
          <w:p w14:paraId="1B34A9B3" w14:textId="4C15AF4C" w:rsidR="00F17E17" w:rsidRPr="009B45B4" w:rsidRDefault="004534AF" w:rsidP="00FE71E5">
            <w:pPr>
              <w:pStyle w:val="KeyText"/>
              <w:spacing w:before="0"/>
            </w:pPr>
            <w:r>
              <w:t xml:space="preserve">“core”, </w:t>
            </w:r>
            <w:r w:rsidR="00A21EE9" w:rsidRPr="00D1484A">
              <w:t>bracing member</w:t>
            </w:r>
          </w:p>
        </w:tc>
      </w:tr>
      <w:tr w:rsidR="00F17E17" w:rsidRPr="009B45B4" w14:paraId="25F38C25" w14:textId="77777777" w:rsidTr="0078003E">
        <w:tc>
          <w:tcPr>
            <w:tcW w:w="426" w:type="dxa"/>
          </w:tcPr>
          <w:p w14:paraId="2C3551C0" w14:textId="5162986F" w:rsidR="00F17E17" w:rsidRPr="00FE71E5" w:rsidRDefault="00A21EE9" w:rsidP="00FE71E5">
            <w:pPr>
              <w:pStyle w:val="KeyText"/>
              <w:spacing w:before="0"/>
              <w:rPr>
                <w:iCs/>
              </w:rPr>
            </w:pPr>
            <w:r w:rsidRPr="00FE71E5">
              <w:rPr>
                <w:iCs/>
              </w:rPr>
              <w:t>2</w:t>
            </w:r>
          </w:p>
        </w:tc>
        <w:tc>
          <w:tcPr>
            <w:tcW w:w="4218" w:type="dxa"/>
          </w:tcPr>
          <w:p w14:paraId="148DFB6F" w14:textId="76F2CEF2" w:rsidR="00F17E17" w:rsidRPr="009B45B4" w:rsidRDefault="004534AF" w:rsidP="00FE71E5">
            <w:pPr>
              <w:pStyle w:val="KeyText"/>
              <w:spacing w:before="0"/>
            </w:pPr>
            <w:r>
              <w:t xml:space="preserve">“sleeve”, </w:t>
            </w:r>
            <w:r w:rsidR="00A21EE9" w:rsidRPr="00D1484A">
              <w:t>buckling restraining system</w:t>
            </w:r>
          </w:p>
        </w:tc>
      </w:tr>
      <w:tr w:rsidR="00F17E17" w:rsidRPr="009B45B4" w14:paraId="27DCAF7A" w14:textId="77777777" w:rsidTr="0078003E">
        <w:tc>
          <w:tcPr>
            <w:tcW w:w="426" w:type="dxa"/>
          </w:tcPr>
          <w:p w14:paraId="0B543179" w14:textId="5C182B61" w:rsidR="00F17E17" w:rsidRPr="00FE71E5" w:rsidRDefault="00A21EE9" w:rsidP="00FE71E5">
            <w:pPr>
              <w:pStyle w:val="KeyText"/>
              <w:spacing w:before="0"/>
              <w:rPr>
                <w:iCs/>
              </w:rPr>
            </w:pPr>
            <w:r w:rsidRPr="00FE71E5">
              <w:rPr>
                <w:iCs/>
              </w:rPr>
              <w:t>3</w:t>
            </w:r>
          </w:p>
        </w:tc>
        <w:tc>
          <w:tcPr>
            <w:tcW w:w="4218" w:type="dxa"/>
          </w:tcPr>
          <w:p w14:paraId="37FAB41E" w14:textId="1D9C84E9" w:rsidR="00F17E17" w:rsidRPr="009B45B4" w:rsidRDefault="00A21EE9" w:rsidP="00FE71E5">
            <w:pPr>
              <w:pStyle w:val="KeyText"/>
              <w:spacing w:before="0"/>
            </w:pPr>
            <w:r w:rsidRPr="00D1484A">
              <w:t xml:space="preserve">longitudinal </w:t>
            </w:r>
            <w:r w:rsidR="006C66D7">
              <w:t>“</w:t>
            </w:r>
            <w:r w:rsidRPr="00D1484A">
              <w:t>gap”</w:t>
            </w:r>
          </w:p>
        </w:tc>
      </w:tr>
      <w:tr w:rsidR="00F17E17" w:rsidRPr="009B45B4" w14:paraId="34F41F67" w14:textId="77777777" w:rsidTr="0078003E">
        <w:tc>
          <w:tcPr>
            <w:tcW w:w="426" w:type="dxa"/>
          </w:tcPr>
          <w:p w14:paraId="5844A739" w14:textId="4413C0E8" w:rsidR="00F17E17" w:rsidRPr="00FE71E5" w:rsidRDefault="00A21EE9" w:rsidP="00FE71E5">
            <w:pPr>
              <w:pStyle w:val="KeyText"/>
              <w:spacing w:before="0"/>
              <w:rPr>
                <w:iCs/>
              </w:rPr>
            </w:pPr>
            <w:r w:rsidRPr="00FE71E5">
              <w:rPr>
                <w:iCs/>
              </w:rPr>
              <w:t>4</w:t>
            </w:r>
          </w:p>
        </w:tc>
        <w:tc>
          <w:tcPr>
            <w:tcW w:w="4218" w:type="dxa"/>
          </w:tcPr>
          <w:p w14:paraId="5CD00F9F" w14:textId="5FDE287D" w:rsidR="00F17E17" w:rsidRPr="009B45B4" w:rsidRDefault="00A21EE9" w:rsidP="00FE71E5">
            <w:pPr>
              <w:pStyle w:val="KeyText"/>
              <w:spacing w:before="0"/>
            </w:pPr>
            <w:r w:rsidRPr="00D1484A">
              <w:t xml:space="preserve">transverse </w:t>
            </w:r>
            <w:r w:rsidR="006C66D7">
              <w:t>“</w:t>
            </w:r>
            <w:r w:rsidRPr="00D1484A">
              <w:t>clearance”</w:t>
            </w:r>
          </w:p>
        </w:tc>
      </w:tr>
      <w:tr w:rsidR="00A21EE9" w:rsidRPr="009B45B4" w14:paraId="1447F689" w14:textId="77777777" w:rsidTr="0078003E">
        <w:tc>
          <w:tcPr>
            <w:tcW w:w="426" w:type="dxa"/>
          </w:tcPr>
          <w:p w14:paraId="642D826F" w14:textId="5583B7E4" w:rsidR="00A21EE9" w:rsidRPr="00FE71E5" w:rsidRDefault="00A21EE9" w:rsidP="00FE71E5">
            <w:pPr>
              <w:pStyle w:val="KeyText"/>
              <w:spacing w:before="0"/>
              <w:rPr>
                <w:iCs/>
              </w:rPr>
            </w:pPr>
            <w:r w:rsidRPr="00FE71E5">
              <w:rPr>
                <w:iCs/>
              </w:rPr>
              <w:t>A</w:t>
            </w:r>
          </w:p>
        </w:tc>
        <w:tc>
          <w:tcPr>
            <w:tcW w:w="4218" w:type="dxa"/>
          </w:tcPr>
          <w:p w14:paraId="40F1B8B6" w14:textId="4C9DA188" w:rsidR="00A21EE9" w:rsidRPr="00D1484A" w:rsidRDefault="00A21EE9" w:rsidP="00FE71E5">
            <w:pPr>
              <w:pStyle w:val="KeyText"/>
              <w:spacing w:before="0"/>
            </w:pPr>
            <w:r w:rsidRPr="00D1484A">
              <w:t>yielding zone</w:t>
            </w:r>
          </w:p>
        </w:tc>
      </w:tr>
      <w:tr w:rsidR="00A21EE9" w:rsidRPr="009B45B4" w14:paraId="5C065778" w14:textId="77777777" w:rsidTr="0078003E">
        <w:tc>
          <w:tcPr>
            <w:tcW w:w="426" w:type="dxa"/>
          </w:tcPr>
          <w:p w14:paraId="11918789" w14:textId="6030821D" w:rsidR="00A21EE9" w:rsidRPr="00FE71E5" w:rsidRDefault="00A21EE9" w:rsidP="00FE71E5">
            <w:pPr>
              <w:pStyle w:val="KeyText"/>
              <w:spacing w:before="0"/>
              <w:rPr>
                <w:iCs/>
              </w:rPr>
            </w:pPr>
            <w:r w:rsidRPr="00FE71E5">
              <w:rPr>
                <w:iCs/>
              </w:rPr>
              <w:t>B</w:t>
            </w:r>
          </w:p>
        </w:tc>
        <w:tc>
          <w:tcPr>
            <w:tcW w:w="4218" w:type="dxa"/>
          </w:tcPr>
          <w:p w14:paraId="170954C9" w14:textId="564AC1FC" w:rsidR="00A21EE9" w:rsidRPr="00D1484A" w:rsidRDefault="00A21EE9" w:rsidP="00FE71E5">
            <w:pPr>
              <w:pStyle w:val="KeyText"/>
              <w:spacing w:before="0"/>
            </w:pPr>
            <w:r w:rsidRPr="00D1484A">
              <w:t>transition zones</w:t>
            </w:r>
          </w:p>
        </w:tc>
      </w:tr>
      <w:tr w:rsidR="00A21EE9" w:rsidRPr="009B45B4" w14:paraId="49CF864B" w14:textId="77777777" w:rsidTr="0078003E">
        <w:tc>
          <w:tcPr>
            <w:tcW w:w="426" w:type="dxa"/>
          </w:tcPr>
          <w:p w14:paraId="7F6D36DD" w14:textId="52240D0E" w:rsidR="00A21EE9" w:rsidRPr="00FE71E5" w:rsidRDefault="00A21EE9" w:rsidP="00FE71E5">
            <w:pPr>
              <w:pStyle w:val="KeyText"/>
              <w:spacing w:before="0"/>
              <w:rPr>
                <w:iCs/>
              </w:rPr>
            </w:pPr>
            <w:r w:rsidRPr="00FE71E5">
              <w:rPr>
                <w:iCs/>
              </w:rPr>
              <w:t>C</w:t>
            </w:r>
          </w:p>
        </w:tc>
        <w:tc>
          <w:tcPr>
            <w:tcW w:w="4218" w:type="dxa"/>
          </w:tcPr>
          <w:p w14:paraId="1BDEB4EC" w14:textId="0D00C9C0" w:rsidR="00A21EE9" w:rsidRPr="00D1484A" w:rsidRDefault="00A21EE9" w:rsidP="00FE71E5">
            <w:pPr>
              <w:pStyle w:val="KeyText"/>
              <w:spacing w:before="0"/>
            </w:pPr>
            <w:r w:rsidRPr="00D1484A">
              <w:t>connection zones</w:t>
            </w:r>
          </w:p>
        </w:tc>
      </w:tr>
    </w:tbl>
    <w:p w14:paraId="68B73AA9" w14:textId="7C936782" w:rsidR="009E1375" w:rsidRPr="00D1484A" w:rsidRDefault="009E1375" w:rsidP="00F17E17">
      <w:pPr>
        <w:pStyle w:val="Figuretitle"/>
      </w:pPr>
      <w:r w:rsidRPr="007E6F67">
        <w:t xml:space="preserve">Figure </w:t>
      </w:r>
      <w:r w:rsidR="00F17E17">
        <w:t>11</w:t>
      </w:r>
      <w:r w:rsidRPr="00132C1E">
        <w:t>.</w:t>
      </w:r>
      <w:r w:rsidR="00F17E17">
        <w:t>17</w:t>
      </w:r>
      <w:r w:rsidRPr="00132C1E">
        <w:t> </w:t>
      </w:r>
      <w:r w:rsidRPr="00D1484A">
        <w:rPr>
          <w:rFonts w:ascii="`ÃÍœ˛" w:eastAsia="Cambria" w:hAnsi="`ÃÍœ˛" w:cs="`ÃÍœ˛"/>
          <w:szCs w:val="22"/>
          <w:lang w:eastAsia="de-DE"/>
        </w:rPr>
        <w:t>—</w:t>
      </w:r>
      <w:r w:rsidRPr="00D1484A">
        <w:t> Geometrical features and main components of a typical BRB</w:t>
      </w:r>
    </w:p>
    <w:p w14:paraId="58525569" w14:textId="56DC5A95" w:rsidR="009E1375" w:rsidRPr="00644C3D" w:rsidRDefault="009E1375" w:rsidP="00724E4E">
      <w:pPr>
        <w:pStyle w:val="Clause"/>
      </w:pPr>
      <w:r w:rsidRPr="007E6F67">
        <w:t>Lateral restraint of the core of the buckling restrained braces should be real</w:t>
      </w:r>
      <w:r w:rsidR="00E10A24">
        <w:t>ize</w:t>
      </w:r>
      <w:r w:rsidRPr="007E6F67">
        <w:t xml:space="preserve">d </w:t>
      </w:r>
      <w:r w:rsidRPr="00FD17CF">
        <w:t>either by an unbonded brace or by an all-steel brace.</w:t>
      </w:r>
    </w:p>
    <w:p w14:paraId="69A38C30" w14:textId="39BF353F" w:rsidR="009E1375" w:rsidRPr="006077BA" w:rsidRDefault="009E1375" w:rsidP="00724E4E">
      <w:pPr>
        <w:pStyle w:val="Clause"/>
      </w:pPr>
      <w:r w:rsidRPr="00E05E29">
        <w:t xml:space="preserve">Buckling restrained bracings should be designed, tested and detailed to accommodate minimum expected deformations corresponding to the greater </w:t>
      </w:r>
      <w:r w:rsidRPr="006077BA">
        <w:t>between a</w:t>
      </w:r>
      <w:r w:rsidR="0078003E">
        <w:t>n</w:t>
      </w:r>
      <w:r w:rsidRPr="006077BA">
        <w:t xml:space="preserve"> interstorey drift of 2</w:t>
      </w:r>
      <w:r w:rsidR="0078003E">
        <w:t> </w:t>
      </w:r>
      <w:r w:rsidRPr="006077BA">
        <w:t xml:space="preserve">% of the storey height and two times the design interstorey drift as given in 11.6.4, in addition to brace deformations resulting from deformation of the frame due to non-seismic actions in the </w:t>
      </w:r>
      <w:r w:rsidR="00D1289D" w:rsidRPr="006077BA">
        <w:t xml:space="preserve">seismic </w:t>
      </w:r>
      <w:r w:rsidRPr="006077BA">
        <w:t>design situation.</w:t>
      </w:r>
    </w:p>
    <w:p w14:paraId="4245EE9F" w14:textId="05DDD966" w:rsidR="009E1375" w:rsidRPr="006077BA" w:rsidRDefault="009E1375" w:rsidP="00724E4E">
      <w:pPr>
        <w:pStyle w:val="Clause"/>
      </w:pPr>
      <w:r w:rsidRPr="006077BA">
        <w:t>Eccentricities of BRB-to-beam axis and BRB-to-column axis should comply with 11.10.1(3).</w:t>
      </w:r>
    </w:p>
    <w:p w14:paraId="0FE013CB" w14:textId="57C2AAA7" w:rsidR="009E1375" w:rsidRPr="00E05E29" w:rsidRDefault="009E1375" w:rsidP="009E1375">
      <w:pPr>
        <w:pStyle w:val="Heading3"/>
      </w:pPr>
      <w:bookmarkStart w:id="9731" w:name="_Toc522955950"/>
      <w:bookmarkStart w:id="9732" w:name="_Toc18314142"/>
      <w:bookmarkStart w:id="9733" w:name="_Toc50150456"/>
      <w:bookmarkStart w:id="9734" w:name="_Toc70886888"/>
      <w:bookmarkStart w:id="9735" w:name="_Toc108342447"/>
      <w:bookmarkStart w:id="9736" w:name="_Toc134197979"/>
      <w:bookmarkEnd w:id="9730"/>
      <w:r w:rsidRPr="00E05E29">
        <w:t>Analysis</w:t>
      </w:r>
      <w:bookmarkEnd w:id="9731"/>
      <w:bookmarkEnd w:id="9732"/>
      <w:bookmarkEnd w:id="9733"/>
      <w:bookmarkEnd w:id="9734"/>
      <w:bookmarkEnd w:id="9735"/>
      <w:bookmarkEnd w:id="9736"/>
    </w:p>
    <w:p w14:paraId="226417E8" w14:textId="10006AAB" w:rsidR="009E1375" w:rsidRPr="00E05E29" w:rsidRDefault="009E1375" w:rsidP="0080187E">
      <w:pPr>
        <w:pStyle w:val="Clause"/>
        <w:numPr>
          <w:ilvl w:val="0"/>
          <w:numId w:val="397"/>
        </w:numPr>
      </w:pPr>
      <w:r w:rsidRPr="00E05E29">
        <w:t>Compression and tension diagonals should be considered as active in elastic or non-linear analyses.</w:t>
      </w:r>
    </w:p>
    <w:p w14:paraId="74F5EBDB" w14:textId="1E41B162" w:rsidR="009E1375" w:rsidRPr="004F74EA" w:rsidRDefault="009E1375" w:rsidP="00724E4E">
      <w:pPr>
        <w:pStyle w:val="Clause"/>
      </w:pPr>
      <w:r w:rsidRPr="004F74EA">
        <w:t>The model expressing the axial stiffness should take into account the axial stiffness of the internal core and that of the terminal tapered plates.</w:t>
      </w:r>
    </w:p>
    <w:p w14:paraId="196622D4" w14:textId="2AE0D9F6" w:rsidR="009E1375" w:rsidRPr="00E05E29" w:rsidRDefault="009E1375" w:rsidP="00A21EE9">
      <w:pPr>
        <w:pStyle w:val="Notetext"/>
      </w:pPr>
      <w:r w:rsidRPr="00E05E29">
        <w:t>NOTE</w:t>
      </w:r>
      <w:r w:rsidR="00A21EE9">
        <w:tab/>
      </w:r>
      <w:r w:rsidRPr="00E05E29">
        <w:t>This can be made with multiple springs or with a constitutive law taking into account several contributions to stiffness.</w:t>
      </w:r>
    </w:p>
    <w:p w14:paraId="7E52D2A3" w14:textId="593EC881" w:rsidR="009E1375" w:rsidRPr="00E05E29" w:rsidRDefault="009E1375" w:rsidP="00724E4E">
      <w:pPr>
        <w:pStyle w:val="Clause"/>
      </w:pPr>
      <w:r w:rsidRPr="00E05E29">
        <w:t>If non-linear analyses are used, the inelastic response of the buckling restrained bracings should be simulated accounting for the initial stiffness, the post-yield stiffness and the differences between tension and compression resistance of the diagonal members. In addition, the hysteretic behaviour of the bracing should be accurately simulated if non-linear time history analysis is used.</w:t>
      </w:r>
    </w:p>
    <w:p w14:paraId="4A67BD30" w14:textId="1EA84AEC" w:rsidR="009E1375" w:rsidRPr="00E05E29" w:rsidRDefault="009E1375" w:rsidP="009E1375">
      <w:pPr>
        <w:pStyle w:val="Heading3"/>
      </w:pPr>
      <w:bookmarkStart w:id="9737" w:name="_Toc522955951"/>
      <w:bookmarkStart w:id="9738" w:name="_Toc18314143"/>
      <w:bookmarkStart w:id="9739" w:name="_Toc50150457"/>
      <w:bookmarkStart w:id="9740" w:name="_Toc70886889"/>
      <w:bookmarkStart w:id="9741" w:name="_Toc108342448"/>
      <w:bookmarkStart w:id="9742" w:name="_Toc134197980"/>
      <w:r>
        <w:lastRenderedPageBreak/>
        <w:t>Verification</w:t>
      </w:r>
      <w:r w:rsidRPr="00E05E29">
        <w:t xml:space="preserve"> of buckling restrained bracings</w:t>
      </w:r>
      <w:bookmarkEnd w:id="9737"/>
      <w:bookmarkEnd w:id="9738"/>
      <w:bookmarkEnd w:id="9739"/>
      <w:bookmarkEnd w:id="9740"/>
      <w:bookmarkEnd w:id="9741"/>
      <w:bookmarkEnd w:id="9742"/>
    </w:p>
    <w:p w14:paraId="08D1AB97" w14:textId="7EFC4243" w:rsidR="009E1375" w:rsidRPr="00E05E29" w:rsidRDefault="009E1375" w:rsidP="0080187E">
      <w:pPr>
        <w:pStyle w:val="Clause"/>
        <w:numPr>
          <w:ilvl w:val="0"/>
          <w:numId w:val="398"/>
        </w:numPr>
      </w:pPr>
      <w:r w:rsidRPr="00E05E29">
        <w:t xml:space="preserve">The yield resistance </w:t>
      </w:r>
      <w:r w:rsidRPr="008D6D68">
        <w:rPr>
          <w:i/>
        </w:rPr>
        <w:t>N</w:t>
      </w:r>
      <w:r w:rsidRPr="008D6D68">
        <w:rPr>
          <w:vertAlign w:val="subscript"/>
        </w:rPr>
        <w:t>Rd</w:t>
      </w:r>
      <w:r w:rsidRPr="00E05E29">
        <w:t xml:space="preserve"> of the cross-section of the core (segment “A” </w:t>
      </w:r>
      <w:r w:rsidRPr="00A21EE9">
        <w:t>in Fig</w:t>
      </w:r>
      <w:r w:rsidR="00A21EE9" w:rsidRPr="00A21EE9">
        <w:t>ure</w:t>
      </w:r>
      <w:r w:rsidRPr="00A21EE9">
        <w:t xml:space="preserve"> 11.17) </w:t>
      </w:r>
      <w:r w:rsidRPr="00E05E29">
        <w:t xml:space="preserve">should satisfy </w:t>
      </w:r>
      <w:r w:rsidRPr="008D6D68">
        <w:rPr>
          <w:i/>
        </w:rPr>
        <w:t>N</w:t>
      </w:r>
      <w:r w:rsidRPr="008D6D68">
        <w:rPr>
          <w:vertAlign w:val="subscript"/>
        </w:rPr>
        <w:t>Rd</w:t>
      </w:r>
      <w:r w:rsidRPr="00E05E29">
        <w:t> </w:t>
      </w:r>
      <w:r w:rsidRPr="008D6D68">
        <w:rPr>
          <w:rFonts w:ascii="Symbol" w:eastAsia="Symbol" w:hAnsi="Symbol" w:cs="Symbol"/>
        </w:rPr>
        <w:t></w:t>
      </w:r>
      <w:r w:rsidRPr="00E05E29">
        <w:t> </w:t>
      </w:r>
      <w:r w:rsidRPr="008D6D68">
        <w:rPr>
          <w:i/>
        </w:rPr>
        <w:t>N</w:t>
      </w:r>
      <w:r w:rsidRPr="008D6D68">
        <w:rPr>
          <w:vertAlign w:val="subscript"/>
        </w:rPr>
        <w:t>Ed</w:t>
      </w:r>
      <w:r w:rsidRPr="00E05E29">
        <w:t xml:space="preserve">, where </w:t>
      </w:r>
      <w:r w:rsidRPr="008D6D68">
        <w:rPr>
          <w:i/>
        </w:rPr>
        <w:t>N</w:t>
      </w:r>
      <w:r w:rsidRPr="008D6D68">
        <w:rPr>
          <w:vertAlign w:val="subscript"/>
        </w:rPr>
        <w:t>Ed</w:t>
      </w:r>
      <w:r w:rsidRPr="00E05E29">
        <w:t xml:space="preserve"> is the axial force in the bracing member in the seismic design situation.</w:t>
      </w:r>
    </w:p>
    <w:p w14:paraId="6EB06877" w14:textId="776A96BD" w:rsidR="009E1375" w:rsidRPr="00E05E29" w:rsidRDefault="009E1375" w:rsidP="00724E4E">
      <w:pPr>
        <w:pStyle w:val="Clause"/>
      </w:pPr>
      <w:r w:rsidRPr="00E05E29">
        <w:t xml:space="preserve">At all storey except the top storey, the maximum design overstrength </w:t>
      </w:r>
      <w:r w:rsidRPr="004F74EA">
        <w:rPr>
          <w:rFonts w:ascii="Symbol" w:eastAsia="Symbol" w:hAnsi="Symbol" w:cs="Symbol"/>
          <w:i/>
        </w:rPr>
        <w:t></w:t>
      </w:r>
      <w:r w:rsidRPr="004F74EA">
        <w:rPr>
          <w:vertAlign w:val="subscript"/>
        </w:rPr>
        <w:t xml:space="preserve">d,I </w:t>
      </w:r>
      <w:r w:rsidRPr="00E05E29">
        <w:t xml:space="preserve">in the structure should not be greater than the minimum value </w:t>
      </w:r>
      <w:r w:rsidRPr="004F74EA">
        <w:rPr>
          <w:rFonts w:ascii="Symbol" w:eastAsia="Symbol" w:hAnsi="Symbol" w:cs="Symbol"/>
          <w:i/>
        </w:rPr>
        <w:t></w:t>
      </w:r>
      <w:r w:rsidRPr="004F74EA">
        <w:rPr>
          <w:vertAlign w:val="subscript"/>
        </w:rPr>
        <w:t>d</w:t>
      </w:r>
      <w:r w:rsidRPr="00E05E29">
        <w:t xml:space="preserve"> by more than 25</w:t>
      </w:r>
      <w:r w:rsidR="0078003E">
        <w:t> </w:t>
      </w:r>
      <w:r w:rsidRPr="00E05E29">
        <w:t xml:space="preserve">%, where </w:t>
      </w:r>
      <w:r w:rsidRPr="004F74EA">
        <w:rPr>
          <w:rFonts w:ascii="Symbol" w:eastAsia="Symbol" w:hAnsi="Symbol" w:cs="Symbol"/>
          <w:i/>
        </w:rPr>
        <w:t></w:t>
      </w:r>
      <w:r w:rsidRPr="004F74EA">
        <w:rPr>
          <w:vertAlign w:val="subscript"/>
        </w:rPr>
        <w:t xml:space="preserve">di </w:t>
      </w:r>
      <w:r w:rsidRPr="00E05E29">
        <w:t xml:space="preserve">is defined by </w:t>
      </w:r>
      <w:r w:rsidRPr="00A21EE9">
        <w:t>Formula (11.47)</w:t>
      </w:r>
      <w:r w:rsidRPr="00E05E29">
        <w:t>.</w:t>
      </w:r>
    </w:p>
    <w:p w14:paraId="6B4FF5DA" w14:textId="7A15FCEC" w:rsidR="005059E8" w:rsidRDefault="009B5CEC" w:rsidP="005059E8">
      <w:pPr>
        <w:pStyle w:val="Formula"/>
        <w:spacing w:before="240"/>
      </w:pPr>
      <m:oMath>
        <m:sSub>
          <m:sSubPr>
            <m:ctrlPr>
              <w:rPr>
                <w:rFonts w:ascii="Cambria Math" w:hAnsi="Cambria Math"/>
              </w:rPr>
            </m:ctrlPr>
          </m:sSubPr>
          <m:e>
            <m:r>
              <w:rPr>
                <w:rFonts w:ascii="Cambria Math" w:hAnsi="Cambria Math"/>
              </w:rPr>
              <m:t>Ω</m:t>
            </m:r>
          </m:e>
          <m:sub>
            <m:r>
              <m:rPr>
                <m:sty m:val="p"/>
              </m:rPr>
              <w:rPr>
                <w:rFonts w:ascii="Cambria Math" w:hAnsi="Cambria Math"/>
              </w:rPr>
              <m:t>d</m:t>
            </m:r>
          </m:sub>
        </m:sSub>
        <m:r>
          <w:rPr>
            <w:rFonts w:ascii="Cambria Math" w:hAnsi="Cambria Math"/>
          </w:rPr>
          <m:t>=</m:t>
        </m:r>
        <m:r>
          <m:rPr>
            <m:sty m:val="p"/>
          </m:rPr>
          <w:rPr>
            <w:rFonts w:ascii="Cambria Math" w:hAnsi="Cambria Math"/>
          </w:rPr>
          <m:t>min</m:t>
        </m:r>
        <m:d>
          <m:dPr>
            <m:ctrlPr>
              <w:rPr>
                <w:rFonts w:ascii="Cambria Math" w:hAnsi="Cambria Math"/>
              </w:rPr>
            </m:ctrlPr>
          </m:dPr>
          <m:e>
            <m:sSub>
              <m:sSubPr>
                <m:ctrlPr>
                  <w:rPr>
                    <w:rFonts w:ascii="Cambria Math" w:hAnsi="Cambria Math"/>
                  </w:rPr>
                </m:ctrlPr>
              </m:sSubPr>
              <m:e>
                <m:r>
                  <w:rPr>
                    <w:rFonts w:ascii="Cambria Math" w:hAnsi="Cambria Math"/>
                  </w:rPr>
                  <m:t>Ω</m:t>
                </m:r>
              </m:e>
              <m:sub>
                <m:r>
                  <m:rPr>
                    <m:sty m:val="p"/>
                  </m:rPr>
                  <w:rPr>
                    <w:rFonts w:ascii="Cambria Math" w:hAnsi="Cambria Math"/>
                  </w:rPr>
                  <m:t>d,i</m:t>
                </m:r>
              </m:sub>
            </m:sSub>
          </m:e>
        </m:d>
        <m:r>
          <w:rPr>
            <w:rFonts w:ascii="Cambria Math" w:hAnsi="Cambria Math"/>
          </w:rPr>
          <m:t xml:space="preserve"> </m:t>
        </m:r>
        <m:r>
          <m:rPr>
            <m:sty m:val="p"/>
          </m:rPr>
          <w:rPr>
            <w:rFonts w:ascii="Cambria Math" w:hAnsi="Cambria Math"/>
          </w:rPr>
          <m:t>and</m:t>
        </m:r>
        <m:r>
          <w:rPr>
            <w:rFonts w:ascii="Cambria Math" w:hAnsi="Cambria Math"/>
          </w:rPr>
          <m:t xml:space="preserve"> </m:t>
        </m:r>
        <m:sSub>
          <m:sSubPr>
            <m:ctrlPr>
              <w:rPr>
                <w:rFonts w:ascii="Cambria Math" w:hAnsi="Cambria Math"/>
              </w:rPr>
            </m:ctrlPr>
          </m:sSubPr>
          <m:e>
            <m:r>
              <w:rPr>
                <w:rFonts w:ascii="Cambria Math" w:hAnsi="Cambria Math"/>
              </w:rPr>
              <m:t>Ω</m:t>
            </m:r>
          </m:e>
          <m:sub>
            <m:r>
              <m:rPr>
                <m:sty m:val="p"/>
              </m:rPr>
              <w:rPr>
                <w:rFonts w:ascii="Cambria Math" w:hAnsi="Cambria Math"/>
              </w:rPr>
              <m:t>d,i</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N</m:t>
                </m:r>
              </m:e>
              <m:sub>
                <m:r>
                  <m:rPr>
                    <m:sty m:val="p"/>
                  </m:rPr>
                  <w:rPr>
                    <w:rFonts w:ascii="Cambria Math" w:hAnsi="Cambria Math"/>
                  </w:rPr>
                  <m:t>Rd,i</m:t>
                </m:r>
              </m:sub>
            </m:sSub>
          </m:num>
          <m:den>
            <m:sSub>
              <m:sSubPr>
                <m:ctrlPr>
                  <w:rPr>
                    <w:rFonts w:ascii="Cambria Math" w:hAnsi="Cambria Math"/>
                  </w:rPr>
                </m:ctrlPr>
              </m:sSubPr>
              <m:e>
                <m:r>
                  <w:rPr>
                    <w:rFonts w:ascii="Cambria Math" w:hAnsi="Cambria Math"/>
                  </w:rPr>
                  <m:t>N</m:t>
                </m:r>
              </m:e>
              <m:sub>
                <m:r>
                  <m:rPr>
                    <m:sty m:val="p"/>
                  </m:rPr>
                  <w:rPr>
                    <w:rFonts w:ascii="Cambria Math" w:hAnsi="Cambria Math"/>
                  </w:rPr>
                  <m:t>EdIi</m:t>
                </m:r>
              </m:sub>
            </m:sSub>
          </m:den>
        </m:f>
        <m:r>
          <w:rPr>
            <w:rFonts w:ascii="Cambria Math" w:hAnsi="Cambria Math"/>
          </w:rPr>
          <m:t xml:space="preserve"> </m:t>
        </m:r>
        <m:r>
          <m:rPr>
            <m:sty m:val="p"/>
          </m:rPr>
          <w:rPr>
            <w:rFonts w:ascii="Cambria Math" w:hAnsi="Cambria Math"/>
          </w:rPr>
          <m:t xml:space="preserve"> with </m:t>
        </m:r>
        <m:r>
          <w:rPr>
            <w:rFonts w:ascii="Cambria Math" w:hAnsi="Cambria Math"/>
          </w:rPr>
          <m:t>i∈</m:t>
        </m:r>
        <m:d>
          <m:dPr>
            <m:begChr m:val="["/>
            <m:endChr m:val="]"/>
            <m:ctrlPr>
              <w:rPr>
                <w:rFonts w:ascii="Cambria Math" w:hAnsi="Cambria Math"/>
              </w:rPr>
            </m:ctrlPr>
          </m:dPr>
          <m:e>
            <m:r>
              <w:rPr>
                <w:rFonts w:ascii="Cambria Math" w:hAnsi="Cambria Math"/>
              </w:rPr>
              <m:t>1,n</m:t>
            </m:r>
          </m:e>
        </m:d>
        <m:r>
          <w:rPr>
            <w:rFonts w:ascii="Cambria Math" w:hAnsi="Cambria Math"/>
          </w:rPr>
          <m:t xml:space="preserve"> </m:t>
        </m:r>
      </m:oMath>
      <w:r w:rsidR="005059E8" w:rsidRPr="00870D59">
        <w:tab/>
        <w:t>(1</w:t>
      </w:r>
      <w:r w:rsidR="005059E8">
        <w:t>1</w:t>
      </w:r>
      <w:r w:rsidR="005059E8" w:rsidRPr="00870D59">
        <w:t>.</w:t>
      </w:r>
      <w:r w:rsidR="005059E8">
        <w:t>47</w:t>
      </w:r>
      <w:r w:rsidR="005059E8" w:rsidRPr="00870D59">
        <w:t>)</w:t>
      </w:r>
    </w:p>
    <w:p w14:paraId="7597A3B4" w14:textId="32A18185" w:rsidR="005059E8" w:rsidRDefault="00675EBA" w:rsidP="005059E8">
      <w:r>
        <w:t>where</w:t>
      </w:r>
    </w:p>
    <w:tbl>
      <w:tblPr>
        <w:tblW w:w="0" w:type="auto"/>
        <w:tblInd w:w="284" w:type="dxa"/>
        <w:tblLook w:val="04A0" w:firstRow="1" w:lastRow="0" w:firstColumn="1" w:lastColumn="0" w:noHBand="0" w:noVBand="1"/>
      </w:tblPr>
      <w:tblGrid>
        <w:gridCol w:w="1435"/>
        <w:gridCol w:w="7844"/>
      </w:tblGrid>
      <w:tr w:rsidR="005059E8" w:rsidRPr="00821B21" w14:paraId="709A3BD5" w14:textId="77777777" w:rsidTr="0078003E">
        <w:tc>
          <w:tcPr>
            <w:tcW w:w="1435" w:type="dxa"/>
          </w:tcPr>
          <w:p w14:paraId="557025CD" w14:textId="243C8ED5" w:rsidR="005059E8" w:rsidRPr="005059E8" w:rsidRDefault="005059E8" w:rsidP="002061E5">
            <w:pPr>
              <w:spacing w:after="60"/>
              <w:rPr>
                <w:i/>
              </w:rPr>
            </w:pPr>
            <w:r w:rsidRPr="005059E8">
              <w:rPr>
                <w:i/>
              </w:rPr>
              <w:t>N</w:t>
            </w:r>
            <w:r w:rsidRPr="005059E8">
              <w:rPr>
                <w:vertAlign w:val="subscript"/>
              </w:rPr>
              <w:t>Rd,i</w:t>
            </w:r>
          </w:p>
        </w:tc>
        <w:tc>
          <w:tcPr>
            <w:tcW w:w="7844" w:type="dxa"/>
          </w:tcPr>
          <w:p w14:paraId="4A671B97" w14:textId="2B200FCF" w:rsidR="005059E8" w:rsidRPr="005059E8" w:rsidRDefault="005059E8" w:rsidP="002061E5">
            <w:pPr>
              <w:spacing w:after="60"/>
            </w:pPr>
            <w:r w:rsidRPr="005059E8">
              <w:t>is the design axial resistance of the core of the buckling restrained bracing “i”;</w:t>
            </w:r>
          </w:p>
        </w:tc>
      </w:tr>
      <w:tr w:rsidR="005059E8" w:rsidRPr="00821B21" w14:paraId="4656A66F" w14:textId="77777777" w:rsidTr="0078003E">
        <w:tc>
          <w:tcPr>
            <w:tcW w:w="1435" w:type="dxa"/>
          </w:tcPr>
          <w:p w14:paraId="67F63B42" w14:textId="64BB3B32" w:rsidR="005059E8" w:rsidRPr="005059E8" w:rsidRDefault="005059E8" w:rsidP="002061E5">
            <w:pPr>
              <w:spacing w:after="60"/>
              <w:rPr>
                <w:i/>
              </w:rPr>
            </w:pPr>
            <w:r w:rsidRPr="005059E8">
              <w:rPr>
                <w:i/>
              </w:rPr>
              <w:t>N</w:t>
            </w:r>
            <w:r w:rsidRPr="005059E8">
              <w:rPr>
                <w:vertAlign w:val="subscript"/>
              </w:rPr>
              <w:t>Ed,i</w:t>
            </w:r>
          </w:p>
        </w:tc>
        <w:tc>
          <w:tcPr>
            <w:tcW w:w="7844" w:type="dxa"/>
          </w:tcPr>
          <w:p w14:paraId="6C4C4DEE" w14:textId="3C0DA93D" w:rsidR="005059E8" w:rsidRPr="005059E8" w:rsidRDefault="005059E8" w:rsidP="002061E5">
            <w:pPr>
              <w:spacing w:after="60"/>
            </w:pPr>
            <w:r w:rsidRPr="005059E8">
              <w:t>is the design axial effect in the bracing member “I” in the seismic design situation;</w:t>
            </w:r>
          </w:p>
        </w:tc>
      </w:tr>
      <w:tr w:rsidR="005059E8" w:rsidRPr="00821B21" w14:paraId="0BC8251E" w14:textId="77777777" w:rsidTr="0078003E">
        <w:tc>
          <w:tcPr>
            <w:tcW w:w="1435" w:type="dxa"/>
          </w:tcPr>
          <w:p w14:paraId="70492007" w14:textId="1CFA6129" w:rsidR="005059E8" w:rsidRPr="005059E8" w:rsidRDefault="009B5CEC" w:rsidP="002061E5">
            <w:pPr>
              <w:spacing w:after="60"/>
              <w:rPr>
                <w:i/>
              </w:rPr>
            </w:pPr>
            <m:oMathPara>
              <m:oMathParaPr>
                <m:jc m:val="left"/>
              </m:oMathParaPr>
              <m:oMath>
                <m:sSub>
                  <m:sSubPr>
                    <m:ctrlPr>
                      <w:rPr>
                        <w:rFonts w:ascii="Cambria Math" w:hAnsi="Cambria Math"/>
                        <w:i/>
                        <w:noProof/>
                      </w:rPr>
                    </m:ctrlPr>
                  </m:sSubPr>
                  <m:e>
                    <m:r>
                      <w:rPr>
                        <w:rFonts w:ascii="Cambria Math" w:hAnsi="Cambria Math"/>
                        <w:noProof/>
                      </w:rPr>
                      <m:t>Ω</m:t>
                    </m:r>
                  </m:e>
                  <m:sub>
                    <m:r>
                      <m:rPr>
                        <m:sty m:val="p"/>
                      </m:rPr>
                      <w:rPr>
                        <w:rFonts w:ascii="Cambria Math" w:hAnsi="Cambria Math"/>
                        <w:noProof/>
                      </w:rPr>
                      <m:t>d</m:t>
                    </m:r>
                  </m:sub>
                </m:sSub>
              </m:oMath>
            </m:oMathPara>
          </w:p>
        </w:tc>
        <w:tc>
          <w:tcPr>
            <w:tcW w:w="7844" w:type="dxa"/>
          </w:tcPr>
          <w:p w14:paraId="405EB164" w14:textId="4F0CAC4E" w:rsidR="005059E8" w:rsidRPr="005059E8" w:rsidRDefault="005059E8" w:rsidP="002061E5">
            <w:pPr>
              <w:spacing w:after="60"/>
            </w:pPr>
            <w:r w:rsidRPr="005059E8">
              <w:t>is the minimum design overstrength</w:t>
            </w:r>
            <w:r w:rsidRPr="006077BA">
              <w:t>, see 11.12.5(1);</w:t>
            </w:r>
          </w:p>
        </w:tc>
      </w:tr>
      <w:tr w:rsidR="005059E8" w:rsidRPr="00821B21" w14:paraId="6C14E361" w14:textId="77777777" w:rsidTr="0078003E">
        <w:tc>
          <w:tcPr>
            <w:tcW w:w="1435" w:type="dxa"/>
          </w:tcPr>
          <w:p w14:paraId="42C0A8B6" w14:textId="38E8C3FD" w:rsidR="005059E8" w:rsidRPr="005059E8" w:rsidRDefault="005059E8" w:rsidP="002061E5">
            <w:pPr>
              <w:spacing w:after="60"/>
              <w:rPr>
                <w:i/>
              </w:rPr>
            </w:pPr>
            <w:r w:rsidRPr="005059E8">
              <w:rPr>
                <w:i/>
              </w:rPr>
              <w:t>N</w:t>
            </w:r>
            <w:r w:rsidRPr="005059E8">
              <w:rPr>
                <w:iCs/>
                <w:vertAlign w:val="subscript"/>
              </w:rPr>
              <w:t>s</w:t>
            </w:r>
          </w:p>
        </w:tc>
        <w:tc>
          <w:tcPr>
            <w:tcW w:w="7844" w:type="dxa"/>
          </w:tcPr>
          <w:p w14:paraId="74153165" w14:textId="09E2B7EE" w:rsidR="005059E8" w:rsidRPr="005059E8" w:rsidRDefault="005059E8" w:rsidP="002061E5">
            <w:pPr>
              <w:spacing w:after="60"/>
            </w:pPr>
            <w:r w:rsidRPr="005059E8">
              <w:t>is the total number of storeys.</w:t>
            </w:r>
          </w:p>
        </w:tc>
      </w:tr>
    </w:tbl>
    <w:p w14:paraId="17046F63" w14:textId="181C6F22" w:rsidR="005059E8" w:rsidRPr="00E05E29" w:rsidRDefault="005059E8" w:rsidP="00724E4E">
      <w:pPr>
        <w:pStyle w:val="Clause"/>
      </w:pPr>
      <w:r w:rsidRPr="00E05E29">
        <w:t xml:space="preserve">The </w:t>
      </w:r>
      <w:bookmarkStart w:id="9743" w:name="_Hlk38814320"/>
      <w:r w:rsidRPr="00E05E29">
        <w:t xml:space="preserve">compression strength adjustment factor, </w:t>
      </w:r>
      <w:r w:rsidRPr="004F74EA">
        <w:rPr>
          <w:i/>
        </w:rPr>
        <w:t>γ</w:t>
      </w:r>
      <w:r w:rsidRPr="004F74EA">
        <w:rPr>
          <w:vertAlign w:val="subscript"/>
        </w:rPr>
        <w:t>CT</w:t>
      </w:r>
      <w:r w:rsidRPr="00E05E29">
        <w:t xml:space="preserve">, </w:t>
      </w:r>
      <w:bookmarkEnd w:id="9743"/>
      <w:r w:rsidRPr="00E05E29">
        <w:t xml:space="preserve">should be calculated as the ratio of the maximum resistance in </w:t>
      </w:r>
      <w:r w:rsidRPr="006077BA">
        <w:t xml:space="preserve">compression to the maximum resistance in tension measured in qualification tests performed in accordance with 11.12.4 at strains corresponding to twice the expected deformations. The greater of </w:t>
      </w:r>
      <w:r w:rsidRPr="006077BA">
        <w:rPr>
          <w:i/>
        </w:rPr>
        <w:t>γ</w:t>
      </w:r>
      <w:r w:rsidRPr="006077BA">
        <w:rPr>
          <w:vertAlign w:val="subscript"/>
        </w:rPr>
        <w:t>CT</w:t>
      </w:r>
      <w:r w:rsidRPr="006077BA">
        <w:t xml:space="preserve"> values measured in the qualification tests should</w:t>
      </w:r>
      <w:r w:rsidRPr="00E05E29">
        <w:t xml:space="preserve"> be used in Formulas (11.49) and (11.51).</w:t>
      </w:r>
    </w:p>
    <w:p w14:paraId="2031EECD" w14:textId="15E03263" w:rsidR="005059E8" w:rsidRPr="00E05E29" w:rsidRDefault="005059E8" w:rsidP="00724E4E">
      <w:pPr>
        <w:pStyle w:val="Clause"/>
      </w:pPr>
      <w:r w:rsidRPr="00E05E29">
        <w:t xml:space="preserve">The strain hardening factor, </w:t>
      </w:r>
      <w:r w:rsidRPr="004F74EA">
        <w:rPr>
          <w:i/>
        </w:rPr>
        <w:t>ω</w:t>
      </w:r>
      <w:r w:rsidRPr="004F74EA">
        <w:rPr>
          <w:vertAlign w:val="subscript"/>
        </w:rPr>
        <w:t>sh</w:t>
      </w:r>
      <w:r w:rsidRPr="00E05E29">
        <w:t xml:space="preserve">, should be calculated as the ratio of the maximum tension force measured from the qualification tests at strains corresponding to twice the expected deformations to the measured yield force of the test specimen. The greater value of </w:t>
      </w:r>
      <w:r w:rsidRPr="004F74EA">
        <w:rPr>
          <w:i/>
        </w:rPr>
        <w:t>ω</w:t>
      </w:r>
      <w:r w:rsidRPr="004F74EA">
        <w:rPr>
          <w:vertAlign w:val="subscript"/>
        </w:rPr>
        <w:t>sh</w:t>
      </w:r>
      <w:r w:rsidRPr="00E05E29">
        <w:t xml:space="preserve"> from qualification tests should be used and should not be greater than 1,50.</w:t>
      </w:r>
    </w:p>
    <w:p w14:paraId="36A2FB68" w14:textId="54F9BAEF" w:rsidR="005059E8" w:rsidRPr="00E05E29" w:rsidRDefault="005059E8" w:rsidP="00724E4E">
      <w:pPr>
        <w:pStyle w:val="Clause"/>
      </w:pPr>
      <w:r w:rsidRPr="00E05E29">
        <w:t xml:space="preserve">The overall stability of the sleeve or buckling restraining system may be verified using </w:t>
      </w:r>
      <w:r w:rsidRPr="005059E8">
        <w:t>Formula (11.48).</w:t>
      </w:r>
    </w:p>
    <w:p w14:paraId="640CEA64" w14:textId="25E5BE57" w:rsidR="005059E8" w:rsidRDefault="009B5CEC" w:rsidP="005059E8">
      <w:pPr>
        <w:pStyle w:val="Formula"/>
        <w:spacing w:before="240"/>
      </w:pPr>
      <m:oMath>
        <m:f>
          <m:fPr>
            <m:ctrlPr>
              <w:rPr>
                <w:rFonts w:ascii="Cambria Math" w:hAnsi="Cambria Math"/>
              </w:rPr>
            </m:ctrlPr>
          </m:fPr>
          <m:num>
            <m:sSub>
              <m:sSubPr>
                <m:ctrlPr>
                  <w:rPr>
                    <w:rFonts w:ascii="Cambria Math" w:hAnsi="Cambria Math"/>
                  </w:rPr>
                </m:ctrlPr>
              </m:sSubPr>
              <m:e>
                <m:r>
                  <w:rPr>
                    <w:rFonts w:ascii="Cambria Math" w:hAnsi="Cambria Math"/>
                  </w:rPr>
                  <m:t>N</m:t>
                </m:r>
              </m:e>
              <m:sub>
                <m:r>
                  <m:rPr>
                    <m:sty m:val="p"/>
                  </m:rPr>
                  <w:rPr>
                    <w:rFonts w:ascii="Cambria Math" w:hAnsi="Cambria Math"/>
                  </w:rPr>
                  <m:t>CT,BRS</m:t>
                </m:r>
              </m:sub>
            </m:sSub>
          </m:num>
          <m:den>
            <m:sSub>
              <m:sSubPr>
                <m:ctrlPr>
                  <w:rPr>
                    <w:rFonts w:ascii="Cambria Math" w:hAnsi="Cambria Math"/>
                  </w:rPr>
                </m:ctrlPr>
              </m:sSubPr>
              <m:e>
                <m:r>
                  <w:rPr>
                    <w:rFonts w:ascii="Cambria Math" w:hAnsi="Cambria Math"/>
                  </w:rPr>
                  <m:t>N</m:t>
                </m:r>
              </m:e>
              <m:sub>
                <m:r>
                  <m:rPr>
                    <m:sty m:val="p"/>
                  </m:rPr>
                  <w:rPr>
                    <w:rFonts w:ascii="Cambria Math" w:hAnsi="Cambria Math"/>
                  </w:rPr>
                  <m:t>Rd</m:t>
                </m:r>
              </m:sub>
            </m:sSub>
          </m:den>
        </m:f>
        <m:r>
          <w:rPr>
            <w:rFonts w:ascii="Cambria Math" w:hAnsi="Cambria Math"/>
          </w:rPr>
          <m:t xml:space="preserve">≥2,5 </m:t>
        </m:r>
      </m:oMath>
      <w:r w:rsidR="005059E8">
        <w:t xml:space="preserve"> </w:t>
      </w:r>
      <w:r w:rsidR="005059E8" w:rsidRPr="00870D59">
        <w:tab/>
        <w:t>(1</w:t>
      </w:r>
      <w:r w:rsidR="005059E8">
        <w:t>1</w:t>
      </w:r>
      <w:r w:rsidR="005059E8" w:rsidRPr="00870D59">
        <w:t>.</w:t>
      </w:r>
      <w:r w:rsidR="005059E8">
        <w:t>48</w:t>
      </w:r>
      <w:r w:rsidR="005059E8" w:rsidRPr="00870D59">
        <w:t>)</w:t>
      </w:r>
    </w:p>
    <w:p w14:paraId="5E88EBCC" w14:textId="0BA35027" w:rsidR="005059E8" w:rsidRDefault="00675EBA" w:rsidP="005059E8">
      <w:r>
        <w:t>where</w:t>
      </w:r>
    </w:p>
    <w:tbl>
      <w:tblPr>
        <w:tblW w:w="0" w:type="auto"/>
        <w:tblInd w:w="284" w:type="dxa"/>
        <w:tblLook w:val="04A0" w:firstRow="1" w:lastRow="0" w:firstColumn="1" w:lastColumn="0" w:noHBand="0" w:noVBand="1"/>
      </w:tblPr>
      <w:tblGrid>
        <w:gridCol w:w="1440"/>
        <w:gridCol w:w="7839"/>
      </w:tblGrid>
      <w:tr w:rsidR="005059E8" w:rsidRPr="00821B21" w14:paraId="27462191" w14:textId="77777777" w:rsidTr="0078003E">
        <w:tc>
          <w:tcPr>
            <w:tcW w:w="1440" w:type="dxa"/>
          </w:tcPr>
          <w:p w14:paraId="45CAD969" w14:textId="40C2E677" w:rsidR="005059E8" w:rsidRPr="005059E8" w:rsidRDefault="009B5CEC" w:rsidP="002061E5">
            <w:pPr>
              <w:spacing w:after="60"/>
              <w:rPr>
                <w:i/>
              </w:rPr>
            </w:pPr>
            <m:oMathPara>
              <m:oMathParaPr>
                <m:jc m:val="left"/>
              </m:oMathParaPr>
              <m:oMath>
                <m:sSub>
                  <m:sSubPr>
                    <m:ctrlPr>
                      <w:rPr>
                        <w:rFonts w:ascii="Cambria Math" w:hAnsi="Cambria Math"/>
                        <w:i/>
                        <w:noProof/>
                      </w:rPr>
                    </m:ctrlPr>
                  </m:sSubPr>
                  <m:e>
                    <m:r>
                      <w:rPr>
                        <w:rFonts w:ascii="Cambria Math" w:hAnsi="Cambria Math"/>
                        <w:noProof/>
                      </w:rPr>
                      <m:t>N</m:t>
                    </m:r>
                  </m:e>
                  <m:sub>
                    <m:r>
                      <m:rPr>
                        <m:sty m:val="p"/>
                      </m:rPr>
                      <w:rPr>
                        <w:rFonts w:ascii="Cambria Math" w:hAnsi="Cambria Math"/>
                        <w:noProof/>
                      </w:rPr>
                      <m:t>CT,BRS</m:t>
                    </m:r>
                  </m:sub>
                </m:sSub>
              </m:oMath>
            </m:oMathPara>
          </w:p>
        </w:tc>
        <w:tc>
          <w:tcPr>
            <w:tcW w:w="7839" w:type="dxa"/>
          </w:tcPr>
          <w:p w14:paraId="120364FE" w14:textId="10DCF318" w:rsidR="005059E8" w:rsidRPr="005059E8" w:rsidRDefault="005059E8" w:rsidP="002061E5">
            <w:pPr>
              <w:spacing w:after="60"/>
            </w:pPr>
            <w:r w:rsidRPr="00D1484A">
              <w:t>is the Eulerian critical load of the sleeve considering as buckling length the node-to-node length of the bracing which includes the length of the portions of beams, columns and gussets connecting the core;</w:t>
            </w:r>
          </w:p>
        </w:tc>
      </w:tr>
      <w:tr w:rsidR="005059E8" w:rsidRPr="00821B21" w14:paraId="2066BCEA" w14:textId="77777777" w:rsidTr="0078003E">
        <w:tc>
          <w:tcPr>
            <w:tcW w:w="1440" w:type="dxa"/>
          </w:tcPr>
          <w:p w14:paraId="4882817B" w14:textId="784323CE" w:rsidR="005059E8" w:rsidRPr="005059E8" w:rsidRDefault="005059E8" w:rsidP="002061E5">
            <w:pPr>
              <w:spacing w:after="60"/>
              <w:rPr>
                <w:i/>
              </w:rPr>
            </w:pPr>
            <w:r w:rsidRPr="00D1484A">
              <w:rPr>
                <w:i/>
              </w:rPr>
              <w:t>N</w:t>
            </w:r>
            <w:r w:rsidRPr="007E6F67">
              <w:rPr>
                <w:vertAlign w:val="subscript"/>
              </w:rPr>
              <w:t>Rd</w:t>
            </w:r>
          </w:p>
        </w:tc>
        <w:tc>
          <w:tcPr>
            <w:tcW w:w="7839" w:type="dxa"/>
          </w:tcPr>
          <w:p w14:paraId="51AE224D" w14:textId="5E8820A5" w:rsidR="005059E8" w:rsidRPr="005059E8" w:rsidRDefault="005059E8" w:rsidP="002061E5">
            <w:pPr>
              <w:spacing w:after="60"/>
            </w:pPr>
            <w:r w:rsidRPr="00FD17CF">
              <w:t>is the design axial resistance of the core of the buckling restrained bracing.</w:t>
            </w:r>
          </w:p>
        </w:tc>
      </w:tr>
    </w:tbl>
    <w:p w14:paraId="74DBECBA" w14:textId="36D20EE5" w:rsidR="005059E8" w:rsidRPr="00E05E29" w:rsidRDefault="005059E8" w:rsidP="005059E8">
      <w:pPr>
        <w:pStyle w:val="Heading3"/>
      </w:pPr>
      <w:bookmarkStart w:id="9744" w:name="_Toc522955952"/>
      <w:bookmarkStart w:id="9745" w:name="_Toc18314144"/>
      <w:bookmarkStart w:id="9746" w:name="_Toc50150458"/>
      <w:bookmarkStart w:id="9747" w:name="_Toc70886890"/>
      <w:bookmarkStart w:id="9748" w:name="_Toc108342449"/>
      <w:bookmarkStart w:id="9749" w:name="_Toc134197981"/>
      <w:r w:rsidRPr="00644C3D">
        <w:t>Conformity criteria</w:t>
      </w:r>
      <w:bookmarkEnd w:id="9744"/>
      <w:bookmarkEnd w:id="9745"/>
      <w:bookmarkEnd w:id="9746"/>
      <w:bookmarkEnd w:id="9747"/>
      <w:bookmarkEnd w:id="9748"/>
      <w:bookmarkEnd w:id="9749"/>
    </w:p>
    <w:p w14:paraId="34159195" w14:textId="11F6300C" w:rsidR="005059E8" w:rsidRPr="00E05E29" w:rsidRDefault="005059E8" w:rsidP="0080187E">
      <w:pPr>
        <w:pStyle w:val="Clause"/>
        <w:numPr>
          <w:ilvl w:val="0"/>
          <w:numId w:val="399"/>
        </w:numPr>
      </w:pPr>
      <w:r w:rsidRPr="004F74EA">
        <w:t>Buckling restrained bracings should be qualified according to tests given in a) and b):</w:t>
      </w:r>
    </w:p>
    <w:p w14:paraId="3A7EDE44" w14:textId="3D2C454B" w:rsidR="005059E8" w:rsidRPr="00E05E29" w:rsidRDefault="005059E8" w:rsidP="0080187E">
      <w:pPr>
        <w:pStyle w:val="Text"/>
        <w:numPr>
          <w:ilvl w:val="0"/>
          <w:numId w:val="652"/>
        </w:numPr>
      </w:pPr>
      <w:r w:rsidRPr="00E05E29">
        <w:t>EN</w:t>
      </w:r>
      <w:r w:rsidR="006077BA">
        <w:t> </w:t>
      </w:r>
      <w:r w:rsidRPr="00E05E29">
        <w:t>15129 tests for displacement</w:t>
      </w:r>
      <w:r w:rsidR="0075055D">
        <w:t>-</w:t>
      </w:r>
      <w:r w:rsidRPr="00E05E29">
        <w:t>dependent devices</w:t>
      </w:r>
      <w:r w:rsidR="006077BA">
        <w:t>;</w:t>
      </w:r>
    </w:p>
    <w:p w14:paraId="3021A814" w14:textId="2E16B1CC" w:rsidR="005059E8" w:rsidRPr="00E05E29" w:rsidRDefault="005059E8" w:rsidP="0080187E">
      <w:pPr>
        <w:pStyle w:val="Text"/>
        <w:numPr>
          <w:ilvl w:val="0"/>
          <w:numId w:val="652"/>
        </w:numPr>
      </w:pPr>
      <w:r w:rsidRPr="00E05E29">
        <w:t xml:space="preserve">Two cyclic tests </w:t>
      </w:r>
      <w:r w:rsidR="007D73FD" w:rsidRPr="00E05E29">
        <w:t>satisfying</w:t>
      </w:r>
      <w:r w:rsidRPr="00E05E29">
        <w:t xml:space="preserve"> the loading protocol given by </w:t>
      </w:r>
      <w:r w:rsidRPr="00EA2296">
        <w:t>prCEN/TS</w:t>
      </w:r>
      <w:r w:rsidR="006077BA">
        <w:t> </w:t>
      </w:r>
      <w:r w:rsidRPr="00EA2296">
        <w:t>1998-</w:t>
      </w:r>
      <w:r w:rsidR="00460A67">
        <w:t xml:space="preserve">1-101 </w:t>
      </w:r>
      <w:r w:rsidRPr="00E05E29">
        <w:t>one test on a brace sub-assemblage that includes brace connection rotational demand; another test which should be either a uniaxial or a sub-assemblage test.</w:t>
      </w:r>
    </w:p>
    <w:p w14:paraId="1639C4C9" w14:textId="70B0EDB9" w:rsidR="005059E8" w:rsidRPr="0075055D" w:rsidRDefault="005059E8" w:rsidP="0075055D">
      <w:pPr>
        <w:pStyle w:val="Notetext"/>
      </w:pPr>
      <w:r w:rsidRPr="0075055D">
        <w:rPr>
          <w:rStyle w:val="NotetextChar"/>
          <w:sz w:val="20"/>
        </w:rPr>
        <w:t>NOTE</w:t>
      </w:r>
      <w:r w:rsidRPr="0075055D">
        <w:rPr>
          <w:rStyle w:val="NotetextChar"/>
          <w:sz w:val="20"/>
        </w:rPr>
        <w:tab/>
        <w:t>The tests defined in EN</w:t>
      </w:r>
      <w:r w:rsidR="006077BA" w:rsidRPr="0075055D">
        <w:rPr>
          <w:rStyle w:val="NotetextChar"/>
          <w:sz w:val="20"/>
        </w:rPr>
        <w:t> </w:t>
      </w:r>
      <w:r w:rsidRPr="0075055D">
        <w:rPr>
          <w:rStyle w:val="NotetextChar"/>
          <w:sz w:val="20"/>
        </w:rPr>
        <w:t>15129 establish the tension and compression resistance, the compression</w:t>
      </w:r>
      <w:r w:rsidRPr="0075055D">
        <w:t xml:space="preserve"> strength adjustment factor </w:t>
      </w:r>
      <w:r w:rsidRPr="0075055D">
        <w:rPr>
          <w:i/>
          <w:iCs/>
        </w:rPr>
        <w:t>γ</w:t>
      </w:r>
      <w:r w:rsidRPr="0075055D">
        <w:rPr>
          <w:vertAlign w:val="subscript"/>
        </w:rPr>
        <w:t>CT</w:t>
      </w:r>
      <w:r w:rsidRPr="0075055D">
        <w:t xml:space="preserve"> and the hardening factor </w:t>
      </w:r>
      <w:r w:rsidRPr="0075055D">
        <w:rPr>
          <w:i/>
          <w:iCs/>
        </w:rPr>
        <w:t>ω</w:t>
      </w:r>
      <w:r w:rsidRPr="0075055D">
        <w:rPr>
          <w:vertAlign w:val="subscript"/>
        </w:rPr>
        <w:t>sh</w:t>
      </w:r>
      <w:r w:rsidRPr="0075055D">
        <w:t>.</w:t>
      </w:r>
    </w:p>
    <w:p w14:paraId="413F0B5E" w14:textId="2C9E0950" w:rsidR="005059E8" w:rsidRPr="00E05E29" w:rsidRDefault="005059E8" w:rsidP="00724E4E">
      <w:pPr>
        <w:pStyle w:val="Clause"/>
      </w:pPr>
      <w:r w:rsidRPr="00E05E29">
        <w:lastRenderedPageBreak/>
        <w:t>Interpolation or extrapolation of test results for different member sizes should be justified by rational analysis that demonstrates stress distributions and magnitudes of internal strains consistent with or less severe than the tested assemblies and that addresses the adverse effects of variations in material properties. Extrapolation of test results should be based on similar combinations of steel core and buckling-restraining system sizes.</w:t>
      </w:r>
    </w:p>
    <w:p w14:paraId="2AA3DF67" w14:textId="45D80A71" w:rsidR="005059E8" w:rsidRPr="00E05E29" w:rsidRDefault="005059E8" w:rsidP="00724E4E">
      <w:pPr>
        <w:pStyle w:val="Clause"/>
      </w:pPr>
      <w:r w:rsidRPr="004F74EA">
        <w:rPr>
          <w:i/>
          <w:iCs/>
        </w:rPr>
        <w:t>γ</w:t>
      </w:r>
      <w:r w:rsidRPr="004F74EA">
        <w:rPr>
          <w:vertAlign w:val="subscript"/>
        </w:rPr>
        <w:t>CT</w:t>
      </w:r>
      <w:r w:rsidRPr="00E05E29">
        <w:t xml:space="preserve"> should not be greater than 1,30.</w:t>
      </w:r>
    </w:p>
    <w:p w14:paraId="6BBE4C7B" w14:textId="5C97FC7D" w:rsidR="005059E8" w:rsidRPr="00E05E29" w:rsidRDefault="005059E8" w:rsidP="00724E4E">
      <w:pPr>
        <w:pStyle w:val="Clause"/>
      </w:pPr>
      <w:r w:rsidRPr="00E05E29">
        <w:t>The interstorey drift at SD limit state should be limited to 50</w:t>
      </w:r>
      <w:r w:rsidR="0078003E">
        <w:t> </w:t>
      </w:r>
      <w:r w:rsidRPr="00E05E29">
        <w:t xml:space="preserve">% the value of the maximum interstorey drift imposed by the loading protocol given by </w:t>
      </w:r>
      <w:r w:rsidRPr="00EA2296">
        <w:t>prCEN/TS</w:t>
      </w:r>
      <w:r w:rsidR="006077BA">
        <w:t> </w:t>
      </w:r>
      <w:r w:rsidRPr="00EA2296">
        <w:t>1998-</w:t>
      </w:r>
      <w:r w:rsidR="00460A67">
        <w:t>1-101</w:t>
      </w:r>
      <w:r w:rsidR="0026060E">
        <w:t>.</w:t>
      </w:r>
    </w:p>
    <w:p w14:paraId="7E88F142" w14:textId="2161C829" w:rsidR="005059E8" w:rsidRPr="00E05E29" w:rsidRDefault="005059E8" w:rsidP="005059E8">
      <w:pPr>
        <w:pStyle w:val="Heading3"/>
      </w:pPr>
      <w:bookmarkStart w:id="9750" w:name="_Toc522955953"/>
      <w:bookmarkStart w:id="9751" w:name="_Toc18314145"/>
      <w:bookmarkStart w:id="9752" w:name="_Toc50150459"/>
      <w:bookmarkStart w:id="9753" w:name="_Toc70886891"/>
      <w:bookmarkStart w:id="9754" w:name="_Toc108342450"/>
      <w:bookmarkStart w:id="9755" w:name="_Toc134197982"/>
      <w:r>
        <w:t>Verification of b</w:t>
      </w:r>
      <w:r w:rsidRPr="00E05E29">
        <w:t>eams and columns</w:t>
      </w:r>
      <w:bookmarkEnd w:id="9750"/>
      <w:bookmarkEnd w:id="9751"/>
      <w:bookmarkEnd w:id="9752"/>
      <w:bookmarkEnd w:id="9753"/>
      <w:bookmarkEnd w:id="9754"/>
      <w:bookmarkEnd w:id="9755"/>
    </w:p>
    <w:p w14:paraId="669C6470" w14:textId="0885265B" w:rsidR="005059E8" w:rsidRPr="007D73FD" w:rsidRDefault="005059E8" w:rsidP="0080187E">
      <w:pPr>
        <w:pStyle w:val="Clause"/>
        <w:numPr>
          <w:ilvl w:val="0"/>
          <w:numId w:val="400"/>
        </w:numPr>
      </w:pPr>
      <w:r w:rsidRPr="00E05E29">
        <w:t>Beams and columns should be designed to resist the most severe condition between a) and b):</w:t>
      </w:r>
    </w:p>
    <w:p w14:paraId="18C61972" w14:textId="77777777" w:rsidR="005059E8" w:rsidRPr="00E05E29" w:rsidRDefault="005059E8" w:rsidP="0080187E">
      <w:pPr>
        <w:pStyle w:val="Text"/>
        <w:numPr>
          <w:ilvl w:val="0"/>
          <w:numId w:val="653"/>
        </w:numPr>
      </w:pPr>
      <w:r w:rsidRPr="00E05E29">
        <w:t xml:space="preserve">the total action effect </w:t>
      </w:r>
      <w:r w:rsidRPr="00074457">
        <w:rPr>
          <w:i/>
        </w:rPr>
        <w:t>E</w:t>
      </w:r>
      <w:r w:rsidRPr="00074457">
        <w:rPr>
          <w:vertAlign w:val="subscript"/>
        </w:rPr>
        <w:t>Ed</w:t>
      </w:r>
      <w:r w:rsidRPr="00E05E29">
        <w:t xml:space="preserve"> given </w:t>
      </w:r>
      <w:r w:rsidRPr="007D73FD">
        <w:t>by Formula (11.49);</w:t>
      </w:r>
    </w:p>
    <w:p w14:paraId="0784C849" w14:textId="291E0901" w:rsidR="007D73FD" w:rsidRDefault="009B5CEC" w:rsidP="007D73FD">
      <w:pPr>
        <w:pStyle w:val="Formula"/>
        <w:spacing w:before="240"/>
      </w:pPr>
      <m:oMath>
        <m:sSub>
          <m:sSubPr>
            <m:ctrlPr>
              <w:rPr>
                <w:rFonts w:ascii="Cambria Math" w:hAnsi="Cambria Math"/>
                <w:i/>
              </w:rPr>
            </m:ctrlPr>
          </m:sSubPr>
          <m:e>
            <m:r>
              <w:rPr>
                <w:rFonts w:ascii="Cambria Math" w:hAnsi="Cambria Math"/>
              </w:rPr>
              <m:t>E</m:t>
            </m:r>
          </m:e>
          <m:sub>
            <m:r>
              <m:rPr>
                <m:sty m:val="p"/>
              </m:rPr>
              <w:rPr>
                <w:rFonts w:ascii="Cambria Math" w:hAnsi="Cambria Math"/>
              </w:rPr>
              <m:t>Ed</m:t>
            </m:r>
          </m:sub>
        </m:sSub>
        <m:r>
          <w:rPr>
            <w:rFonts w:ascii="Cambria Math" w:hAnsi="Cambria Math"/>
          </w:rPr>
          <m:t>=</m:t>
        </m:r>
        <m:sSub>
          <m:sSubPr>
            <m:ctrlPr>
              <w:rPr>
                <w:rFonts w:ascii="Cambria Math" w:hAnsi="Cambria Math"/>
                <w:i/>
              </w:rPr>
            </m:ctrlPr>
          </m:sSubPr>
          <m:e>
            <m:r>
              <w:rPr>
                <w:rFonts w:ascii="Cambria Math" w:hAnsi="Cambria Math"/>
              </w:rPr>
              <m:t>E</m:t>
            </m:r>
          </m:e>
          <m:sub>
            <m:r>
              <m:rPr>
                <m:sty m:val="p"/>
              </m:rPr>
              <w:rPr>
                <w:rFonts w:ascii="Cambria Math" w:hAnsi="Cambria Math"/>
              </w:rPr>
              <m:t>Ed,G</m:t>
            </m:r>
          </m:sub>
        </m:sSub>
        <m:r>
          <w:rPr>
            <w:rFonts w:ascii="Cambria Math" w:hAnsi="Cambria Math"/>
          </w:rPr>
          <m:t xml:space="preserve"> </m:t>
        </m:r>
        <m:r>
          <m:rPr>
            <m:nor/>
          </m:rPr>
          <m:t>+</m:t>
        </m:r>
        <m:sSub>
          <m:sSubPr>
            <m:ctrlPr>
              <w:rPr>
                <w:rFonts w:ascii="Cambria Math" w:hAnsi="Cambria Math"/>
                <w:i/>
              </w:rPr>
            </m:ctrlPr>
          </m:sSubPr>
          <m:e>
            <m:r>
              <w:rPr>
                <w:rFonts w:ascii="Cambria Math" w:hAnsi="Cambria Math"/>
              </w:rPr>
              <m:t>ω</m:t>
            </m:r>
          </m:e>
          <m:sub>
            <m:r>
              <m:rPr>
                <m:sty m:val="p"/>
              </m:rPr>
              <w:rPr>
                <w:rFonts w:ascii="Cambria Math" w:hAnsi="Cambria Math"/>
              </w:rPr>
              <m:t>rm</m:t>
            </m:r>
          </m:sub>
        </m:sSub>
        <m:r>
          <w:rPr>
            <w:rFonts w:ascii="Cambria Math" w:hAnsi="Cambria Math"/>
          </w:rPr>
          <m:t xml:space="preserve"> </m:t>
        </m:r>
        <m:sSub>
          <m:sSubPr>
            <m:ctrlPr>
              <w:rPr>
                <w:rFonts w:ascii="Cambria Math" w:hAnsi="Cambria Math"/>
                <w:i/>
              </w:rPr>
            </m:ctrlPr>
          </m:sSubPr>
          <m:e>
            <m:sSub>
              <m:sSubPr>
                <m:ctrlPr>
                  <w:rPr>
                    <w:rFonts w:ascii="Cambria Math" w:hAnsi="Cambria Math"/>
                    <w:i/>
                  </w:rPr>
                </m:ctrlPr>
              </m:sSubPr>
              <m:e>
                <m:r>
                  <w:rPr>
                    <w:rFonts w:ascii="Cambria Math" w:hAnsi="Cambria Math"/>
                  </w:rPr>
                  <m:t>ω</m:t>
                </m:r>
              </m:e>
              <m:sub>
                <m:r>
                  <m:rPr>
                    <m:sty m:val="p"/>
                  </m:rPr>
                  <w:rPr>
                    <w:rFonts w:ascii="Cambria Math" w:hAnsi="Cambria Math"/>
                  </w:rPr>
                  <m:t>sh</m:t>
                </m:r>
              </m:sub>
            </m:sSub>
            <m:r>
              <w:rPr>
                <w:rFonts w:ascii="Cambria Math" w:hAnsi="Cambria Math"/>
              </w:rPr>
              <m:t xml:space="preserve"> </m:t>
            </m:r>
            <m:sSub>
              <m:sSubPr>
                <m:ctrlPr>
                  <w:rPr>
                    <w:rFonts w:ascii="Cambria Math" w:hAnsi="Cambria Math"/>
                    <w:i/>
                  </w:rPr>
                </m:ctrlPr>
              </m:sSubPr>
              <m:e>
                <m:r>
                  <w:rPr>
                    <w:rFonts w:ascii="Cambria Math" w:hAnsi="Cambria Math"/>
                  </w:rPr>
                  <m:t>γ</m:t>
                </m:r>
              </m:e>
              <m:sub>
                <m:r>
                  <m:rPr>
                    <m:sty m:val="p"/>
                  </m:rPr>
                  <w:rPr>
                    <w:rFonts w:ascii="Cambria Math" w:hAnsi="Cambria Math"/>
                  </w:rPr>
                  <m:t>CT</m:t>
                </m:r>
              </m:sub>
            </m:sSub>
            <m:r>
              <w:rPr>
                <w:rFonts w:ascii="Cambria Math" w:hAnsi="Cambria Math"/>
              </w:rPr>
              <m:t xml:space="preserve"> </m:t>
            </m:r>
            <m:sSub>
              <m:sSubPr>
                <m:ctrlPr>
                  <w:rPr>
                    <w:rFonts w:ascii="Cambria Math" w:hAnsi="Cambria Math"/>
                    <w:i/>
                  </w:rPr>
                </m:ctrlPr>
              </m:sSubPr>
              <m:e>
                <m:r>
                  <w:rPr>
                    <w:rFonts w:ascii="Cambria Math" w:hAnsi="Cambria Math"/>
                  </w:rPr>
                  <m:t>Ω</m:t>
                </m:r>
              </m:e>
              <m:sub>
                <m:r>
                  <m:rPr>
                    <m:sty m:val="p"/>
                  </m:rPr>
                  <w:rPr>
                    <w:rFonts w:ascii="Cambria Math" w:hAnsi="Cambria Math"/>
                  </w:rPr>
                  <m:t>d</m:t>
                </m:r>
              </m:sub>
            </m:sSub>
            <m:r>
              <w:rPr>
                <w:rFonts w:ascii="Cambria Math" w:hAnsi="Cambria Math"/>
              </w:rPr>
              <m:t xml:space="preserve"> E</m:t>
            </m:r>
          </m:e>
          <m:sub>
            <m:r>
              <m:rPr>
                <m:sty m:val="p"/>
              </m:rPr>
              <w:rPr>
                <w:rFonts w:ascii="Cambria Math" w:hAnsi="Cambria Math"/>
              </w:rPr>
              <m:t>Ed,E</m:t>
            </m:r>
          </m:sub>
        </m:sSub>
        <m:r>
          <w:rPr>
            <w:rFonts w:ascii="Cambria Math" w:hAnsi="Cambria Math"/>
          </w:rPr>
          <m:t xml:space="preserve"> </m:t>
        </m:r>
      </m:oMath>
      <w:r w:rsidR="007D73FD" w:rsidRPr="00870D59">
        <w:tab/>
        <w:t>(1</w:t>
      </w:r>
      <w:r w:rsidR="007D73FD">
        <w:t>1</w:t>
      </w:r>
      <w:r w:rsidR="007D73FD" w:rsidRPr="00870D59">
        <w:t>.</w:t>
      </w:r>
      <w:r w:rsidR="007D73FD">
        <w:t>48</w:t>
      </w:r>
      <w:r w:rsidR="007D73FD" w:rsidRPr="00870D59">
        <w:t>)</w:t>
      </w:r>
    </w:p>
    <w:p w14:paraId="0C045FC8" w14:textId="16B6DBA7" w:rsidR="007D73FD" w:rsidRDefault="00675EBA" w:rsidP="007D73FD">
      <w:r>
        <w:t>where</w:t>
      </w:r>
    </w:p>
    <w:tbl>
      <w:tblPr>
        <w:tblW w:w="0" w:type="auto"/>
        <w:tblInd w:w="346" w:type="dxa"/>
        <w:tblLook w:val="04A0" w:firstRow="1" w:lastRow="0" w:firstColumn="1" w:lastColumn="0" w:noHBand="0" w:noVBand="1"/>
      </w:tblPr>
      <w:tblGrid>
        <w:gridCol w:w="1372"/>
        <w:gridCol w:w="7845"/>
      </w:tblGrid>
      <w:tr w:rsidR="007D73FD" w:rsidRPr="00821B21" w14:paraId="6B81A51C" w14:textId="77777777" w:rsidTr="0078003E">
        <w:tc>
          <w:tcPr>
            <w:tcW w:w="1372" w:type="dxa"/>
          </w:tcPr>
          <w:p w14:paraId="1EDB252B" w14:textId="4693B129" w:rsidR="007D73FD" w:rsidRPr="005059E8" w:rsidRDefault="007D73FD" w:rsidP="002061E5">
            <w:pPr>
              <w:spacing w:after="60"/>
              <w:rPr>
                <w:i/>
              </w:rPr>
            </w:pPr>
            <w:r w:rsidRPr="007E6F67">
              <w:rPr>
                <w:i/>
              </w:rPr>
              <w:t>E</w:t>
            </w:r>
            <w:r w:rsidRPr="00FD17CF">
              <w:rPr>
                <w:vertAlign w:val="subscript"/>
              </w:rPr>
              <w:t>Ed,G</w:t>
            </w:r>
          </w:p>
        </w:tc>
        <w:tc>
          <w:tcPr>
            <w:tcW w:w="7845" w:type="dxa"/>
          </w:tcPr>
          <w:p w14:paraId="582DAE39" w14:textId="05441691" w:rsidR="007D73FD" w:rsidRPr="007D73FD" w:rsidRDefault="007D73FD" w:rsidP="002061E5">
            <w:pPr>
              <w:spacing w:after="60"/>
            </w:pPr>
            <w:r w:rsidRPr="007D73FD">
              <w:t>is the action effect due to the non-seismic actions in the seismic design situation;</w:t>
            </w:r>
          </w:p>
        </w:tc>
      </w:tr>
      <w:tr w:rsidR="007D73FD" w:rsidRPr="00821B21" w14:paraId="72E1ACCB" w14:textId="77777777" w:rsidTr="0078003E">
        <w:tc>
          <w:tcPr>
            <w:tcW w:w="1372" w:type="dxa"/>
          </w:tcPr>
          <w:p w14:paraId="67A80C4B" w14:textId="14D38855" w:rsidR="007D73FD" w:rsidRPr="005059E8" w:rsidRDefault="007D73FD" w:rsidP="002061E5">
            <w:pPr>
              <w:spacing w:after="60"/>
              <w:rPr>
                <w:i/>
              </w:rPr>
            </w:pPr>
            <w:r w:rsidRPr="00FD17CF">
              <w:rPr>
                <w:i/>
              </w:rPr>
              <w:t>E</w:t>
            </w:r>
            <w:r w:rsidRPr="00FD17CF">
              <w:rPr>
                <w:vertAlign w:val="subscript"/>
              </w:rPr>
              <w:t>Ed,E</w:t>
            </w:r>
          </w:p>
        </w:tc>
        <w:tc>
          <w:tcPr>
            <w:tcW w:w="7845" w:type="dxa"/>
          </w:tcPr>
          <w:p w14:paraId="34EC9375" w14:textId="1221D0DD" w:rsidR="007D73FD" w:rsidRPr="007D73FD" w:rsidRDefault="007D73FD" w:rsidP="002061E5">
            <w:pPr>
              <w:spacing w:after="60"/>
            </w:pPr>
            <w:r w:rsidRPr="007D73FD">
              <w:t>is the seismic action effect in the beam or in the column due to the design seismic action;</w:t>
            </w:r>
          </w:p>
        </w:tc>
      </w:tr>
      <w:tr w:rsidR="007D73FD" w:rsidRPr="00821B21" w14:paraId="70DFDFA2" w14:textId="77777777" w:rsidTr="0078003E">
        <w:tc>
          <w:tcPr>
            <w:tcW w:w="1372" w:type="dxa"/>
          </w:tcPr>
          <w:p w14:paraId="08A047E1" w14:textId="50DD1BF4" w:rsidR="007D73FD" w:rsidRPr="00D1484A" w:rsidRDefault="007D73FD" w:rsidP="002061E5">
            <w:pPr>
              <w:spacing w:after="60"/>
              <w:rPr>
                <w:i/>
              </w:rPr>
            </w:pPr>
            <w:r w:rsidRPr="00E05E29">
              <w:rPr>
                <w:i/>
              </w:rPr>
              <w:t>ω</w:t>
            </w:r>
            <w:r w:rsidRPr="00E05E29">
              <w:rPr>
                <w:vertAlign w:val="subscript"/>
              </w:rPr>
              <w:t>rm</w:t>
            </w:r>
          </w:p>
        </w:tc>
        <w:tc>
          <w:tcPr>
            <w:tcW w:w="7845" w:type="dxa"/>
          </w:tcPr>
          <w:p w14:paraId="07F22E1E" w14:textId="0FD1EA86" w:rsidR="007D73FD" w:rsidRPr="006077BA" w:rsidRDefault="007D73FD" w:rsidP="007D73FD">
            <w:pPr>
              <w:pStyle w:val="Listofsymbols"/>
              <w:ind w:left="993" w:hanging="993"/>
            </w:pPr>
            <w:r w:rsidRPr="006077BA">
              <w:t>is the material overstrength factor (see 11.2.2);</w:t>
            </w:r>
          </w:p>
        </w:tc>
      </w:tr>
      <w:tr w:rsidR="007D73FD" w:rsidRPr="00821B21" w14:paraId="16525D53" w14:textId="77777777" w:rsidTr="0078003E">
        <w:tc>
          <w:tcPr>
            <w:tcW w:w="1372" w:type="dxa"/>
          </w:tcPr>
          <w:p w14:paraId="6E98679D" w14:textId="241982B1" w:rsidR="007D73FD" w:rsidRPr="00D1484A" w:rsidRDefault="007D73FD" w:rsidP="002061E5">
            <w:pPr>
              <w:spacing w:after="60"/>
              <w:rPr>
                <w:i/>
              </w:rPr>
            </w:pPr>
            <w:r w:rsidRPr="00E05E29">
              <w:rPr>
                <w:i/>
              </w:rPr>
              <w:t>ω</w:t>
            </w:r>
            <w:r w:rsidRPr="00E05E29">
              <w:rPr>
                <w:vertAlign w:val="subscript"/>
              </w:rPr>
              <w:t>sh</w:t>
            </w:r>
          </w:p>
        </w:tc>
        <w:tc>
          <w:tcPr>
            <w:tcW w:w="7845" w:type="dxa"/>
          </w:tcPr>
          <w:p w14:paraId="67CBF3BC" w14:textId="3F0662BE" w:rsidR="007D73FD" w:rsidRPr="006077BA" w:rsidRDefault="007D73FD" w:rsidP="002061E5">
            <w:pPr>
              <w:spacing w:after="60"/>
            </w:pPr>
            <w:r w:rsidRPr="006077BA">
              <w:t>is the hardening factor of the core based on the results of the qualification tests but not be smaller than 1,2 (see Table 11.</w:t>
            </w:r>
            <w:r w:rsidR="00481078">
              <w:t>1</w:t>
            </w:r>
            <w:r w:rsidR="00C606A0">
              <w:t>0</w:t>
            </w:r>
            <w:r w:rsidRPr="006077BA">
              <w:t>);</w:t>
            </w:r>
          </w:p>
        </w:tc>
      </w:tr>
      <w:tr w:rsidR="007D73FD" w:rsidRPr="00821B21" w14:paraId="4D8BF017" w14:textId="77777777" w:rsidTr="0078003E">
        <w:tc>
          <w:tcPr>
            <w:tcW w:w="1372" w:type="dxa"/>
          </w:tcPr>
          <w:p w14:paraId="1248C129" w14:textId="7AD1D1EC" w:rsidR="007D73FD" w:rsidRPr="00D1484A" w:rsidRDefault="007D73FD" w:rsidP="002061E5">
            <w:pPr>
              <w:spacing w:after="60"/>
              <w:rPr>
                <w:i/>
              </w:rPr>
            </w:pPr>
            <w:r w:rsidRPr="00E05E29">
              <w:rPr>
                <w:rFonts w:ascii="Symbol" w:eastAsia="Symbol" w:hAnsi="Symbol" w:cs="Symbol"/>
                <w:i/>
                <w:iCs/>
              </w:rPr>
              <w:t></w:t>
            </w:r>
            <w:r w:rsidRPr="00E05E29">
              <w:rPr>
                <w:vertAlign w:val="subscript"/>
              </w:rPr>
              <w:t>CT</w:t>
            </w:r>
          </w:p>
        </w:tc>
        <w:tc>
          <w:tcPr>
            <w:tcW w:w="7845" w:type="dxa"/>
          </w:tcPr>
          <w:p w14:paraId="0C26F4D9" w14:textId="02F15673" w:rsidR="007D73FD" w:rsidRPr="006077BA" w:rsidRDefault="007D73FD" w:rsidP="002061E5">
            <w:pPr>
              <w:spacing w:after="60"/>
            </w:pPr>
            <w:r w:rsidRPr="006077BA">
              <w:t>is the compression strength adjustment factor based on the results of the qualification tests but not smaller than 1,1 and not greater than 1,3 (see 11.12.3(3));</w:t>
            </w:r>
          </w:p>
        </w:tc>
      </w:tr>
      <w:tr w:rsidR="007D73FD" w:rsidRPr="00821B21" w14:paraId="53C7ED71" w14:textId="77777777" w:rsidTr="0078003E">
        <w:tc>
          <w:tcPr>
            <w:tcW w:w="1372" w:type="dxa"/>
          </w:tcPr>
          <w:p w14:paraId="4DD5F6AC" w14:textId="57F6C1EE" w:rsidR="007D73FD" w:rsidRPr="007D73FD" w:rsidRDefault="009B5CEC" w:rsidP="002061E5">
            <w:pPr>
              <w:spacing w:after="60"/>
              <w:rPr>
                <w:i/>
              </w:rPr>
            </w:pPr>
            <m:oMathPara>
              <m:oMathParaPr>
                <m:jc m:val="left"/>
              </m:oMathParaPr>
              <m:oMath>
                <m:sSub>
                  <m:sSubPr>
                    <m:ctrlPr>
                      <w:rPr>
                        <w:rFonts w:ascii="Cambria Math" w:hAnsi="Cambria Math"/>
                        <w:i/>
                        <w:noProof/>
                      </w:rPr>
                    </m:ctrlPr>
                  </m:sSubPr>
                  <m:e>
                    <m:r>
                      <w:rPr>
                        <w:rFonts w:ascii="Cambria Math" w:hAnsi="Cambria Math"/>
                        <w:noProof/>
                      </w:rPr>
                      <m:t>Ω</m:t>
                    </m:r>
                  </m:e>
                  <m:sub>
                    <m:r>
                      <m:rPr>
                        <m:sty m:val="p"/>
                      </m:rPr>
                      <w:rPr>
                        <w:rFonts w:ascii="Cambria Math" w:hAnsi="Cambria Math"/>
                        <w:noProof/>
                      </w:rPr>
                      <m:t>d</m:t>
                    </m:r>
                  </m:sub>
                </m:sSub>
              </m:oMath>
            </m:oMathPara>
          </w:p>
        </w:tc>
        <w:tc>
          <w:tcPr>
            <w:tcW w:w="7845" w:type="dxa"/>
          </w:tcPr>
          <w:p w14:paraId="24650D9C" w14:textId="00557AA0" w:rsidR="007D73FD" w:rsidRPr="007D73FD" w:rsidRDefault="007D73FD" w:rsidP="002061E5">
            <w:pPr>
              <w:spacing w:after="60"/>
            </w:pPr>
            <w:r w:rsidRPr="007D73FD">
              <w:t>is the minimum value of the design overstrength of all BRBs (see Formula 11.47).</w:t>
            </w:r>
          </w:p>
        </w:tc>
      </w:tr>
    </w:tbl>
    <w:p w14:paraId="623A648D" w14:textId="77777777" w:rsidR="007D73FD" w:rsidRPr="00E05E29" w:rsidRDefault="007D73FD" w:rsidP="0078003E">
      <w:pPr>
        <w:pStyle w:val="Text"/>
        <w:numPr>
          <w:ilvl w:val="0"/>
          <w:numId w:val="653"/>
        </w:numPr>
        <w:spacing w:before="160"/>
      </w:pPr>
      <w:r w:rsidRPr="00FD17CF">
        <w:t xml:space="preserve">compression diagonals with values equal to their expected ultimate resistance, which may be calculated assuming that the braces develop a compression force equal to </w:t>
      </w:r>
      <w:r w:rsidRPr="00644C3D">
        <w:rPr>
          <w:i/>
        </w:rPr>
        <w:t>ω</w:t>
      </w:r>
      <w:r w:rsidRPr="00E05E29">
        <w:rPr>
          <w:vertAlign w:val="subscript"/>
        </w:rPr>
        <w:t>rm</w:t>
      </w:r>
      <w:r w:rsidRPr="00E05E29">
        <w:t xml:space="preserve"> </w:t>
      </w:r>
      <w:r w:rsidRPr="00E05E29">
        <w:rPr>
          <w:i/>
        </w:rPr>
        <w:t>ω</w:t>
      </w:r>
      <w:r w:rsidRPr="00E05E29">
        <w:rPr>
          <w:vertAlign w:val="subscript"/>
        </w:rPr>
        <w:t>sh</w:t>
      </w:r>
      <w:r w:rsidRPr="00E05E29">
        <w:t xml:space="preserve"> </w:t>
      </w:r>
      <w:r w:rsidRPr="00E05E29">
        <w:rPr>
          <w:rFonts w:ascii="Symbol" w:eastAsia="Symbol" w:hAnsi="Symbol" w:cs="Symbol"/>
          <w:i/>
          <w:iCs/>
        </w:rPr>
        <w:t></w:t>
      </w:r>
      <w:r w:rsidRPr="00E05E29">
        <w:rPr>
          <w:vertAlign w:val="subscript"/>
        </w:rPr>
        <w:t>CT</w:t>
      </w:r>
      <w:r w:rsidRPr="00E05E29">
        <w:rPr>
          <w:i/>
        </w:rPr>
        <w:t xml:space="preserve"> N</w:t>
      </w:r>
      <w:r w:rsidRPr="00E05E29">
        <w:rPr>
          <w:vertAlign w:val="subscript"/>
        </w:rPr>
        <w:t>Rd</w:t>
      </w:r>
      <w:r w:rsidRPr="00E05E29">
        <w:t xml:space="preserve"> and a tension force equal to</w:t>
      </w:r>
      <w:r w:rsidRPr="00E05E29">
        <w:rPr>
          <w:i/>
        </w:rPr>
        <w:t xml:space="preserve"> ω</w:t>
      </w:r>
      <w:r w:rsidRPr="00E05E29">
        <w:rPr>
          <w:vertAlign w:val="subscript"/>
        </w:rPr>
        <w:t>rm</w:t>
      </w:r>
      <w:r w:rsidRPr="00E05E29">
        <w:t xml:space="preserve"> </w:t>
      </w:r>
      <w:r w:rsidRPr="00E05E29">
        <w:rPr>
          <w:rFonts w:ascii="Symbol" w:eastAsia="Symbol" w:hAnsi="Symbol" w:cs="Symbol"/>
          <w:i/>
          <w:iCs/>
        </w:rPr>
        <w:t></w:t>
      </w:r>
      <w:r w:rsidRPr="00E05E29">
        <w:rPr>
          <w:vertAlign w:val="subscript"/>
        </w:rPr>
        <w:t>sh</w:t>
      </w:r>
      <w:r w:rsidRPr="00E05E29">
        <w:rPr>
          <w:i/>
        </w:rPr>
        <w:t xml:space="preserve"> N</w:t>
      </w:r>
      <w:r w:rsidRPr="00E05E29">
        <w:rPr>
          <w:vertAlign w:val="subscript"/>
        </w:rPr>
        <w:t>Rd</w:t>
      </w:r>
      <w:r w:rsidRPr="00E05E29">
        <w:t>.</w:t>
      </w:r>
    </w:p>
    <w:p w14:paraId="7530634A" w14:textId="253115E2" w:rsidR="007D73FD" w:rsidRPr="006077BA" w:rsidRDefault="007D73FD" w:rsidP="00724E4E">
      <w:pPr>
        <w:pStyle w:val="Clause"/>
      </w:pPr>
      <w:r w:rsidRPr="00E05E29">
        <w:t xml:space="preserve">In frames with </w:t>
      </w:r>
      <w:r w:rsidRPr="004F74EA">
        <w:rPr>
          <w:iCs/>
        </w:rPr>
        <w:t>V</w:t>
      </w:r>
      <w:r w:rsidRPr="00E05E29">
        <w:t xml:space="preserve"> bracings </w:t>
      </w:r>
      <w:r w:rsidRPr="007D73FD">
        <w:t>and in two-</w:t>
      </w:r>
      <w:r w:rsidRPr="006077BA">
        <w:t>storey frames with X bracings, the flexural stiffness of the brace-intersected beams should comply with 11.10.4(6).</w:t>
      </w:r>
    </w:p>
    <w:p w14:paraId="5C5E0791" w14:textId="19AE3BD1" w:rsidR="007D73FD" w:rsidRPr="00E05E29" w:rsidRDefault="007D73FD" w:rsidP="007D73FD">
      <w:pPr>
        <w:pStyle w:val="Heading3"/>
      </w:pPr>
      <w:bookmarkStart w:id="9756" w:name="_Toc522955954"/>
      <w:bookmarkStart w:id="9757" w:name="_Toc18314146"/>
      <w:bookmarkStart w:id="9758" w:name="_Toc50150460"/>
      <w:bookmarkStart w:id="9759" w:name="_Toc70886892"/>
      <w:bookmarkStart w:id="9760" w:name="_Toc108342451"/>
      <w:bookmarkStart w:id="9761" w:name="_Toc134197983"/>
      <w:r>
        <w:t>Verification of b</w:t>
      </w:r>
      <w:r w:rsidRPr="00E05E29">
        <w:t>eam to column connections</w:t>
      </w:r>
      <w:bookmarkEnd w:id="9756"/>
      <w:bookmarkEnd w:id="9757"/>
      <w:bookmarkEnd w:id="9758"/>
      <w:bookmarkEnd w:id="9759"/>
      <w:bookmarkEnd w:id="9760"/>
      <w:bookmarkEnd w:id="9761"/>
    </w:p>
    <w:p w14:paraId="1E551EEB" w14:textId="14945C24" w:rsidR="007D73FD" w:rsidRPr="007F3697" w:rsidRDefault="007D73FD" w:rsidP="0080187E">
      <w:pPr>
        <w:pStyle w:val="Clause"/>
        <w:numPr>
          <w:ilvl w:val="0"/>
          <w:numId w:val="401"/>
        </w:numPr>
        <w:rPr>
          <w:bCs/>
        </w:rPr>
      </w:pPr>
      <w:r w:rsidRPr="00E05E29">
        <w:t xml:space="preserve">The beam-to-column connections in the bays equipped with buckling restrained bracings may be either continuous or pinned provided that adequate rotation capacity is verified; they should conform </w:t>
      </w:r>
      <w:r w:rsidRPr="0003243F">
        <w:t xml:space="preserve">to </w:t>
      </w:r>
      <w:r w:rsidRPr="007F3697">
        <w:rPr>
          <w:bCs/>
        </w:rPr>
        <w:t>11.10.5(2).</w:t>
      </w:r>
    </w:p>
    <w:p w14:paraId="428FDDA9" w14:textId="77777777" w:rsidR="007D73FD" w:rsidRPr="00E05E29" w:rsidRDefault="007D73FD" w:rsidP="0003243F">
      <w:pPr>
        <w:pStyle w:val="Notetext"/>
      </w:pPr>
      <w:r w:rsidRPr="00E05E29">
        <w:t>NOTE</w:t>
      </w:r>
      <w:r w:rsidRPr="00E05E29">
        <w:tab/>
      </w:r>
      <w:r w:rsidRPr="0003243F">
        <w:t xml:space="preserve">Annex E </w:t>
      </w:r>
      <w:r w:rsidRPr="00CD2768">
        <w:t>gives</w:t>
      </w:r>
      <w:r w:rsidRPr="00E05E29">
        <w:t xml:space="preserve"> additional rules on beam-to-column joints of frames with buckling restrained bracings.</w:t>
      </w:r>
    </w:p>
    <w:p w14:paraId="24377064" w14:textId="77777777" w:rsidR="007D73FD" w:rsidRPr="00E05E29" w:rsidRDefault="007D73FD" w:rsidP="007D73FD">
      <w:pPr>
        <w:pStyle w:val="Heading3"/>
      </w:pPr>
      <w:bookmarkStart w:id="9762" w:name="_Toc522955955"/>
      <w:bookmarkStart w:id="9763" w:name="_Toc18314147"/>
      <w:bookmarkStart w:id="9764" w:name="_Toc50150461"/>
      <w:bookmarkStart w:id="9765" w:name="_Toc70886893"/>
      <w:bookmarkStart w:id="9766" w:name="_Toc108342452"/>
      <w:bookmarkStart w:id="9767" w:name="_Toc134197984"/>
      <w:r>
        <w:t>Verification of b</w:t>
      </w:r>
      <w:r w:rsidRPr="00E05E29">
        <w:t>race connections</w:t>
      </w:r>
      <w:bookmarkEnd w:id="9762"/>
      <w:bookmarkEnd w:id="9763"/>
      <w:bookmarkEnd w:id="9764"/>
      <w:bookmarkEnd w:id="9765"/>
      <w:bookmarkEnd w:id="9766"/>
      <w:bookmarkEnd w:id="9767"/>
    </w:p>
    <w:p w14:paraId="7DDF778D" w14:textId="1C9E19B3" w:rsidR="007D73FD" w:rsidRPr="00E05E29" w:rsidRDefault="007D73FD" w:rsidP="0080187E">
      <w:pPr>
        <w:pStyle w:val="Clause"/>
        <w:numPr>
          <w:ilvl w:val="0"/>
          <w:numId w:val="402"/>
        </w:numPr>
      </w:pPr>
      <w:r w:rsidRPr="00E05E29">
        <w:t>Brace connections should be designed to resist yielding and hardening of buckling restrained diagonals without any buckling under cyclic loading.</w:t>
      </w:r>
    </w:p>
    <w:p w14:paraId="00FA6A84" w14:textId="784CA58A" w:rsidR="007D73FD" w:rsidRPr="00F126F8" w:rsidRDefault="007D73FD" w:rsidP="00724E4E">
      <w:pPr>
        <w:pStyle w:val="Clause"/>
      </w:pPr>
      <w:r w:rsidRPr="00E05E29">
        <w:lastRenderedPageBreak/>
        <w:t xml:space="preserve">In connections providing flexural restraint to the diagonal members in both main directions of their cross section, the resistance and stability of the gusset should be greater than the forces transferred by the connected brace in its non-linear range of behaviour both in-plane and out-of-plane, given by </w:t>
      </w:r>
      <w:r w:rsidRPr="00F126F8">
        <w:t>Formulas (11.50) to (11.52).</w:t>
      </w:r>
    </w:p>
    <w:p w14:paraId="1BE34F83" w14:textId="6F03DA8E" w:rsidR="0003243F" w:rsidRDefault="009B5CEC" w:rsidP="0003243F">
      <w:pPr>
        <w:pStyle w:val="Formula"/>
        <w:spacing w:before="240"/>
      </w:pPr>
      <m:oMath>
        <m:sSub>
          <m:sSubPr>
            <m:ctrlPr>
              <w:rPr>
                <w:rFonts w:ascii="Cambria Math" w:hAnsi="Cambria Math"/>
              </w:rPr>
            </m:ctrlPr>
          </m:sSubPr>
          <m:e>
            <m:r>
              <w:rPr>
                <w:rFonts w:ascii="Cambria Math" w:hAnsi="Cambria Math"/>
              </w:rPr>
              <m:t>N</m:t>
            </m:r>
          </m:e>
          <m:sub>
            <m:r>
              <m:rPr>
                <m:sty m:val="p"/>
              </m:rPr>
              <w:rPr>
                <w:rFonts w:ascii="Cambria Math" w:hAnsi="Cambria Math"/>
              </w:rPr>
              <m:t>T,j,Ed</m:t>
            </m:r>
          </m:sub>
        </m:sSub>
        <m:r>
          <w:rPr>
            <w:rFonts w:ascii="Cambria Math" w:hAnsi="Cambria Math"/>
          </w:rPr>
          <m:t>=</m:t>
        </m:r>
        <m:sSub>
          <m:sSubPr>
            <m:ctrlPr>
              <w:rPr>
                <w:rFonts w:ascii="Cambria Math" w:hAnsi="Cambria Math"/>
              </w:rPr>
            </m:ctrlPr>
          </m:sSubPr>
          <m:e>
            <m:r>
              <w:rPr>
                <w:rFonts w:ascii="Cambria Math" w:hAnsi="Cambria Math"/>
              </w:rPr>
              <m:t>ω</m:t>
            </m:r>
          </m:e>
          <m:sub>
            <m:r>
              <m:rPr>
                <m:sty m:val="p"/>
              </m:rPr>
              <w:rPr>
                <w:rFonts w:ascii="Cambria Math" w:hAnsi="Cambria Math"/>
              </w:rPr>
              <m:t>rm</m:t>
            </m:r>
          </m:sub>
        </m:sSub>
        <m:r>
          <w:rPr>
            <w:rFonts w:ascii="Cambria Math" w:hAnsi="Cambria Math"/>
          </w:rPr>
          <m:t xml:space="preserve"> </m:t>
        </m:r>
        <m:sSub>
          <m:sSubPr>
            <m:ctrlPr>
              <w:rPr>
                <w:rFonts w:ascii="Cambria Math" w:hAnsi="Cambria Math"/>
              </w:rPr>
            </m:ctrlPr>
          </m:sSubPr>
          <m:e>
            <m:r>
              <w:rPr>
                <w:rFonts w:ascii="Cambria Math" w:hAnsi="Cambria Math"/>
              </w:rPr>
              <m:t>ω</m:t>
            </m:r>
          </m:e>
          <m:sub>
            <m:r>
              <m:rPr>
                <m:sty m:val="p"/>
              </m:rPr>
              <w:rPr>
                <w:rFonts w:ascii="Cambria Math" w:hAnsi="Cambria Math"/>
              </w:rPr>
              <m:t>sh</m:t>
            </m:r>
          </m:sub>
        </m:sSub>
        <m:r>
          <w:rPr>
            <w:rFonts w:ascii="Cambria Math" w:hAnsi="Cambria Math"/>
          </w:rPr>
          <m:t xml:space="preserve"> </m:t>
        </m:r>
        <m:sSub>
          <m:sSubPr>
            <m:ctrlPr>
              <w:rPr>
                <w:rFonts w:ascii="Cambria Math" w:hAnsi="Cambria Math"/>
              </w:rPr>
            </m:ctrlPr>
          </m:sSubPr>
          <m:e>
            <m:r>
              <w:rPr>
                <w:rFonts w:ascii="Cambria Math" w:hAnsi="Cambria Math"/>
              </w:rPr>
              <m:t>N</m:t>
            </m:r>
          </m:e>
          <m:sub>
            <m:r>
              <m:rPr>
                <m:sty m:val="p"/>
              </m:rPr>
              <w:rPr>
                <w:rFonts w:ascii="Cambria Math" w:hAnsi="Cambria Math"/>
              </w:rPr>
              <m:t>Rd</m:t>
            </m:r>
          </m:sub>
        </m:sSub>
        <m:r>
          <w:rPr>
            <w:rFonts w:ascii="Cambria Math" w:hAnsi="Cambria Math"/>
          </w:rPr>
          <m:t xml:space="preserve"> </m:t>
        </m:r>
      </m:oMath>
      <w:r w:rsidR="0003243F" w:rsidRPr="00870D59">
        <w:tab/>
        <w:t>(1</w:t>
      </w:r>
      <w:r w:rsidR="0003243F">
        <w:t>1</w:t>
      </w:r>
      <w:r w:rsidR="0003243F" w:rsidRPr="00870D59">
        <w:t>.</w:t>
      </w:r>
      <w:r w:rsidR="0003243F">
        <w:t>50</w:t>
      </w:r>
      <w:r w:rsidR="0003243F" w:rsidRPr="00870D59">
        <w:t>)</w:t>
      </w:r>
    </w:p>
    <w:p w14:paraId="7A6E084A" w14:textId="4CA34D47" w:rsidR="0003243F" w:rsidRDefault="009B5CEC" w:rsidP="0003243F">
      <w:pPr>
        <w:pStyle w:val="Formula"/>
        <w:spacing w:before="240"/>
      </w:pPr>
      <m:oMath>
        <m:sSub>
          <m:sSubPr>
            <m:ctrlPr>
              <w:rPr>
                <w:rFonts w:ascii="Cambria Math" w:hAnsi="Cambria Math"/>
              </w:rPr>
            </m:ctrlPr>
          </m:sSubPr>
          <m:e>
            <m:r>
              <w:rPr>
                <w:rFonts w:ascii="Cambria Math" w:hAnsi="Cambria Math"/>
              </w:rPr>
              <m:t>N</m:t>
            </m:r>
          </m:e>
          <m:sub>
            <m:r>
              <m:rPr>
                <m:sty m:val="p"/>
              </m:rPr>
              <w:rPr>
                <w:rFonts w:ascii="Cambria Math" w:hAnsi="Cambria Math"/>
              </w:rPr>
              <m:t>C,j,Ed</m:t>
            </m:r>
          </m:sub>
        </m:sSub>
        <m:r>
          <w:rPr>
            <w:rFonts w:ascii="Cambria Math" w:hAnsi="Cambria Math"/>
          </w:rPr>
          <m:t>=</m:t>
        </m:r>
        <m:sSub>
          <m:sSubPr>
            <m:ctrlPr>
              <w:rPr>
                <w:rFonts w:ascii="Cambria Math" w:hAnsi="Cambria Math"/>
              </w:rPr>
            </m:ctrlPr>
          </m:sSubPr>
          <m:e>
            <m:r>
              <w:rPr>
                <w:rFonts w:ascii="Cambria Math" w:hAnsi="Cambria Math"/>
              </w:rPr>
              <m:t>ω</m:t>
            </m:r>
          </m:e>
          <m:sub>
            <m:r>
              <m:rPr>
                <m:sty m:val="p"/>
              </m:rPr>
              <w:rPr>
                <w:rFonts w:ascii="Cambria Math" w:hAnsi="Cambria Math"/>
              </w:rPr>
              <m:t>rm</m:t>
            </m:r>
          </m:sub>
        </m:sSub>
        <m:r>
          <w:rPr>
            <w:rFonts w:ascii="Cambria Math" w:hAnsi="Cambria Math"/>
          </w:rPr>
          <m:t xml:space="preserve"> </m:t>
        </m:r>
        <m:sSub>
          <m:sSubPr>
            <m:ctrlPr>
              <w:rPr>
                <w:rFonts w:ascii="Cambria Math" w:hAnsi="Cambria Math"/>
              </w:rPr>
            </m:ctrlPr>
          </m:sSubPr>
          <m:e>
            <m:r>
              <w:rPr>
                <w:rFonts w:ascii="Cambria Math" w:hAnsi="Cambria Math"/>
              </w:rPr>
              <m:t xml:space="preserve"> ω</m:t>
            </m:r>
          </m:e>
          <m:sub>
            <m:r>
              <m:rPr>
                <m:sty m:val="p"/>
              </m:rPr>
              <w:rPr>
                <w:rFonts w:ascii="Cambria Math" w:hAnsi="Cambria Math"/>
              </w:rPr>
              <m:t>sh</m:t>
            </m:r>
          </m:sub>
        </m:sSub>
        <m:sSub>
          <m:sSubPr>
            <m:ctrlPr>
              <w:rPr>
                <w:rFonts w:ascii="Cambria Math" w:hAnsi="Cambria Math"/>
              </w:rPr>
            </m:ctrlPr>
          </m:sSubPr>
          <m:e>
            <m:r>
              <w:rPr>
                <w:rFonts w:ascii="Cambria Math" w:hAnsi="Cambria Math"/>
              </w:rPr>
              <m:t xml:space="preserve"> γ</m:t>
            </m:r>
          </m:e>
          <m:sub>
            <m:r>
              <m:rPr>
                <m:sty m:val="p"/>
              </m:rPr>
              <w:rPr>
                <w:rFonts w:ascii="Cambria Math" w:hAnsi="Cambria Math"/>
              </w:rPr>
              <m:t>CT</m:t>
            </m:r>
          </m:sub>
        </m:sSub>
        <m:r>
          <w:rPr>
            <w:rFonts w:ascii="Cambria Math" w:hAnsi="Cambria Math"/>
          </w:rPr>
          <m:t xml:space="preserve"> </m:t>
        </m:r>
        <m:sSub>
          <m:sSubPr>
            <m:ctrlPr>
              <w:rPr>
                <w:rFonts w:ascii="Cambria Math" w:hAnsi="Cambria Math"/>
              </w:rPr>
            </m:ctrlPr>
          </m:sSubPr>
          <m:e>
            <m:r>
              <w:rPr>
                <w:rFonts w:ascii="Cambria Math" w:hAnsi="Cambria Math"/>
              </w:rPr>
              <m:t>N</m:t>
            </m:r>
          </m:e>
          <m:sub>
            <m:r>
              <m:rPr>
                <m:sty m:val="p"/>
              </m:rPr>
              <w:rPr>
                <w:rFonts w:ascii="Cambria Math" w:hAnsi="Cambria Math"/>
              </w:rPr>
              <m:t>Rd</m:t>
            </m:r>
          </m:sub>
        </m:sSub>
        <m:r>
          <w:rPr>
            <w:rFonts w:ascii="Cambria Math" w:hAnsi="Cambria Math"/>
          </w:rPr>
          <m:t xml:space="preserve"> </m:t>
        </m:r>
      </m:oMath>
      <w:r w:rsidR="0003243F" w:rsidRPr="00870D59">
        <w:tab/>
        <w:t>(1</w:t>
      </w:r>
      <w:r w:rsidR="0003243F">
        <w:t>1</w:t>
      </w:r>
      <w:r w:rsidR="0003243F" w:rsidRPr="00870D59">
        <w:t>.</w:t>
      </w:r>
      <w:r w:rsidR="0003243F">
        <w:t>51</w:t>
      </w:r>
      <w:r w:rsidR="0003243F" w:rsidRPr="00870D59">
        <w:t>)</w:t>
      </w:r>
    </w:p>
    <w:p w14:paraId="6A40E575" w14:textId="53C8F78E" w:rsidR="0003243F" w:rsidRDefault="009B5CEC" w:rsidP="0003243F">
      <w:pPr>
        <w:pStyle w:val="Formula"/>
        <w:spacing w:before="240"/>
      </w:pPr>
      <m:oMath>
        <m:sSub>
          <m:sSubPr>
            <m:ctrlPr>
              <w:rPr>
                <w:rFonts w:ascii="Cambria Math" w:hAnsi="Cambria Math"/>
              </w:rPr>
            </m:ctrlPr>
          </m:sSubPr>
          <m:e>
            <m:r>
              <w:rPr>
                <w:rFonts w:ascii="Cambria Math" w:hAnsi="Cambria Math"/>
              </w:rPr>
              <m:t>M</m:t>
            </m:r>
          </m:e>
          <m:sub>
            <m:r>
              <m:rPr>
                <m:sty m:val="p"/>
              </m:rPr>
              <w:rPr>
                <w:rFonts w:ascii="Cambria Math" w:hAnsi="Cambria Math"/>
              </w:rPr>
              <m:t>j,Ed</m:t>
            </m:r>
          </m:sub>
        </m:sSub>
        <m:r>
          <w:rPr>
            <w:rFonts w:ascii="Cambria Math" w:hAnsi="Cambria Math"/>
          </w:rPr>
          <m:t>=</m:t>
        </m:r>
        <m:sSub>
          <m:sSubPr>
            <m:ctrlPr>
              <w:rPr>
                <w:rFonts w:ascii="Cambria Math" w:hAnsi="Cambria Math"/>
              </w:rPr>
            </m:ctrlPr>
          </m:sSubPr>
          <m:e>
            <m:r>
              <w:rPr>
                <w:rFonts w:ascii="Cambria Math" w:hAnsi="Cambria Math"/>
              </w:rPr>
              <m:t>ω</m:t>
            </m:r>
          </m:e>
          <m:sub>
            <m:r>
              <m:rPr>
                <m:sty m:val="p"/>
              </m:rPr>
              <w:rPr>
                <w:rFonts w:ascii="Cambria Math" w:hAnsi="Cambria Math"/>
              </w:rPr>
              <m:t>rm</m:t>
            </m:r>
          </m:sub>
        </m:sSub>
        <m:r>
          <w:rPr>
            <w:rFonts w:ascii="Cambria Math" w:hAnsi="Cambria Math"/>
          </w:rPr>
          <m:t xml:space="preserve"> </m:t>
        </m:r>
        <m:sSub>
          <m:sSubPr>
            <m:ctrlPr>
              <w:rPr>
                <w:rFonts w:ascii="Cambria Math" w:hAnsi="Cambria Math"/>
              </w:rPr>
            </m:ctrlPr>
          </m:sSubPr>
          <m:e>
            <m:r>
              <w:rPr>
                <w:rFonts w:ascii="Cambria Math" w:hAnsi="Cambria Math"/>
              </w:rPr>
              <m:t>ω</m:t>
            </m:r>
          </m:e>
          <m:sub>
            <m:r>
              <m:rPr>
                <m:sty m:val="p"/>
              </m:rPr>
              <w:rPr>
                <w:rFonts w:ascii="Cambria Math" w:hAnsi="Cambria Math"/>
              </w:rPr>
              <m:t>sh</m:t>
            </m:r>
          </m:sub>
        </m:sSub>
        <m:r>
          <w:rPr>
            <w:rFonts w:ascii="Cambria Math" w:hAnsi="Cambria Math"/>
          </w:rPr>
          <m:t xml:space="preserve"> </m:t>
        </m:r>
        <m:sSub>
          <m:sSubPr>
            <m:ctrlPr>
              <w:rPr>
                <w:rFonts w:ascii="Cambria Math" w:hAnsi="Cambria Math"/>
              </w:rPr>
            </m:ctrlPr>
          </m:sSubPr>
          <m:e>
            <m:r>
              <w:rPr>
                <w:rFonts w:ascii="Cambria Math" w:hAnsi="Cambria Math"/>
              </w:rPr>
              <m:t>M</m:t>
            </m:r>
          </m:e>
          <m:sub>
            <m:r>
              <m:rPr>
                <m:sty m:val="p"/>
              </m:rPr>
              <w:rPr>
                <w:rFonts w:ascii="Cambria Math" w:hAnsi="Cambria Math"/>
              </w:rPr>
              <m:t>Rd</m:t>
            </m:r>
          </m:sub>
        </m:sSub>
        <m:r>
          <w:rPr>
            <w:rFonts w:ascii="Cambria Math" w:hAnsi="Cambria Math"/>
          </w:rPr>
          <m:t xml:space="preserve"> </m:t>
        </m:r>
      </m:oMath>
      <w:r w:rsidR="0003243F" w:rsidRPr="00870D59">
        <w:tab/>
        <w:t>(1</w:t>
      </w:r>
      <w:r w:rsidR="0003243F">
        <w:t>1</w:t>
      </w:r>
      <w:r w:rsidR="0003243F" w:rsidRPr="00870D59">
        <w:t>.</w:t>
      </w:r>
      <w:r w:rsidR="0003243F">
        <w:t>52</w:t>
      </w:r>
      <w:r w:rsidR="0003243F" w:rsidRPr="00870D59">
        <w:t>)</w:t>
      </w:r>
    </w:p>
    <w:p w14:paraId="7FC43538" w14:textId="4AC3AC33" w:rsidR="0003243F" w:rsidRDefault="00675EBA" w:rsidP="0003243F">
      <w:r>
        <w:t>where</w:t>
      </w:r>
    </w:p>
    <w:tbl>
      <w:tblPr>
        <w:tblW w:w="0" w:type="auto"/>
        <w:tblInd w:w="284" w:type="dxa"/>
        <w:tblLook w:val="04A0" w:firstRow="1" w:lastRow="0" w:firstColumn="1" w:lastColumn="0" w:noHBand="0" w:noVBand="1"/>
      </w:tblPr>
      <w:tblGrid>
        <w:gridCol w:w="1433"/>
        <w:gridCol w:w="7922"/>
      </w:tblGrid>
      <w:tr w:rsidR="0003243F" w:rsidRPr="00821B21" w14:paraId="53C2872A" w14:textId="77777777" w:rsidTr="0078003E">
        <w:tc>
          <w:tcPr>
            <w:tcW w:w="1433" w:type="dxa"/>
          </w:tcPr>
          <w:p w14:paraId="253AA326" w14:textId="6E081A4E" w:rsidR="0003243F" w:rsidRPr="005059E8" w:rsidRDefault="00571E24" w:rsidP="002061E5">
            <w:pPr>
              <w:spacing w:after="60"/>
              <w:rPr>
                <w:i/>
              </w:rPr>
            </w:pPr>
            <w:r w:rsidRPr="007E6F67">
              <w:rPr>
                <w:i/>
              </w:rPr>
              <w:t>N</w:t>
            </w:r>
            <w:r w:rsidRPr="00FD17CF">
              <w:rPr>
                <w:vertAlign w:val="subscript"/>
              </w:rPr>
              <w:t>Rd</w:t>
            </w:r>
          </w:p>
        </w:tc>
        <w:tc>
          <w:tcPr>
            <w:tcW w:w="7922" w:type="dxa"/>
          </w:tcPr>
          <w:p w14:paraId="5591C1BE" w14:textId="62294DE7" w:rsidR="0003243F" w:rsidRPr="00571E24" w:rsidRDefault="00571E24" w:rsidP="002061E5">
            <w:pPr>
              <w:spacing w:after="60"/>
            </w:pPr>
            <w:r w:rsidRPr="00571E24">
              <w:t>is the design plastic resistance in tension of the core (segment “A” in Figure 11.17);</w:t>
            </w:r>
          </w:p>
        </w:tc>
      </w:tr>
      <w:tr w:rsidR="0003243F" w:rsidRPr="00821B21" w14:paraId="713A81F9" w14:textId="77777777" w:rsidTr="0078003E">
        <w:tc>
          <w:tcPr>
            <w:tcW w:w="1433" w:type="dxa"/>
          </w:tcPr>
          <w:p w14:paraId="68C83ABC" w14:textId="00E29E46" w:rsidR="0003243F" w:rsidRPr="005059E8" w:rsidRDefault="00571E24" w:rsidP="002061E5">
            <w:pPr>
              <w:spacing w:after="60"/>
              <w:rPr>
                <w:i/>
              </w:rPr>
            </w:pPr>
            <w:r w:rsidRPr="00644C3D">
              <w:rPr>
                <w:i/>
              </w:rPr>
              <w:t>M</w:t>
            </w:r>
            <w:r w:rsidRPr="00E05E29">
              <w:rPr>
                <w:vertAlign w:val="subscript"/>
              </w:rPr>
              <w:t>Rd</w:t>
            </w:r>
          </w:p>
        </w:tc>
        <w:tc>
          <w:tcPr>
            <w:tcW w:w="7922" w:type="dxa"/>
          </w:tcPr>
          <w:p w14:paraId="64822E63" w14:textId="5DEA699E" w:rsidR="0003243F" w:rsidRPr="00571E24" w:rsidRDefault="00571E24" w:rsidP="002061E5">
            <w:pPr>
              <w:spacing w:after="60"/>
            </w:pPr>
            <w:r w:rsidRPr="00571E24">
              <w:t>is the design plastic moment of the cross section of the tapered segment of the core that is not laterally restrained by the sleeve (segment “C” in Fig</w:t>
            </w:r>
            <w:r>
              <w:t>ure</w:t>
            </w:r>
            <w:r w:rsidRPr="00571E24">
              <w:t xml:space="preserve"> 11.17), and it is evaluated in the plan of the frame</w:t>
            </w:r>
          </w:p>
        </w:tc>
      </w:tr>
      <w:tr w:rsidR="0003243F" w:rsidRPr="00821B21" w14:paraId="14BFB4AF" w14:textId="77777777" w:rsidTr="0078003E">
        <w:tc>
          <w:tcPr>
            <w:tcW w:w="1433" w:type="dxa"/>
          </w:tcPr>
          <w:p w14:paraId="6C9930E1" w14:textId="77777777" w:rsidR="0003243F" w:rsidRPr="00D1484A" w:rsidRDefault="0003243F" w:rsidP="002061E5">
            <w:pPr>
              <w:spacing w:after="60"/>
              <w:rPr>
                <w:i/>
              </w:rPr>
            </w:pPr>
            <w:r w:rsidRPr="00E05E29">
              <w:rPr>
                <w:i/>
              </w:rPr>
              <w:t>ω</w:t>
            </w:r>
            <w:r w:rsidRPr="00E05E29">
              <w:rPr>
                <w:vertAlign w:val="subscript"/>
              </w:rPr>
              <w:t>rm</w:t>
            </w:r>
          </w:p>
        </w:tc>
        <w:tc>
          <w:tcPr>
            <w:tcW w:w="7922" w:type="dxa"/>
          </w:tcPr>
          <w:p w14:paraId="4BF518A8" w14:textId="77777777" w:rsidR="0003243F" w:rsidRPr="007F3697" w:rsidRDefault="0003243F" w:rsidP="002061E5">
            <w:pPr>
              <w:pStyle w:val="Listofsymbols"/>
              <w:ind w:left="993" w:hanging="993"/>
            </w:pPr>
            <w:r w:rsidRPr="007F3697">
              <w:t>is the material overstrength factor (see 11.2.2);</w:t>
            </w:r>
          </w:p>
        </w:tc>
      </w:tr>
      <w:tr w:rsidR="0003243F" w:rsidRPr="00821B21" w14:paraId="104C9262" w14:textId="77777777" w:rsidTr="0078003E">
        <w:tc>
          <w:tcPr>
            <w:tcW w:w="1433" w:type="dxa"/>
          </w:tcPr>
          <w:p w14:paraId="19835446" w14:textId="77777777" w:rsidR="0003243F" w:rsidRPr="00D1484A" w:rsidRDefault="0003243F" w:rsidP="002061E5">
            <w:pPr>
              <w:spacing w:after="60"/>
              <w:rPr>
                <w:i/>
              </w:rPr>
            </w:pPr>
            <w:r w:rsidRPr="00E05E29">
              <w:rPr>
                <w:i/>
              </w:rPr>
              <w:t>ω</w:t>
            </w:r>
            <w:r w:rsidRPr="00E05E29">
              <w:rPr>
                <w:vertAlign w:val="subscript"/>
              </w:rPr>
              <w:t>sh</w:t>
            </w:r>
          </w:p>
        </w:tc>
        <w:tc>
          <w:tcPr>
            <w:tcW w:w="7922" w:type="dxa"/>
          </w:tcPr>
          <w:p w14:paraId="5E44CBD5" w14:textId="402D4FEA" w:rsidR="0003243F" w:rsidRPr="007F3697" w:rsidRDefault="00571E24" w:rsidP="002061E5">
            <w:pPr>
              <w:spacing w:after="60"/>
            </w:pPr>
            <w:r w:rsidRPr="007F3697">
              <w:t>is the hardening factor of the core based on the results of the qualification tests (see 11.12.3(4)) but not smaller than 1,2;</w:t>
            </w:r>
          </w:p>
        </w:tc>
      </w:tr>
      <w:tr w:rsidR="0003243F" w:rsidRPr="00821B21" w14:paraId="7876C703" w14:textId="77777777" w:rsidTr="0078003E">
        <w:tc>
          <w:tcPr>
            <w:tcW w:w="1433" w:type="dxa"/>
          </w:tcPr>
          <w:p w14:paraId="64987192" w14:textId="77777777" w:rsidR="0003243F" w:rsidRPr="00D1484A" w:rsidRDefault="0003243F" w:rsidP="002061E5">
            <w:pPr>
              <w:spacing w:after="60"/>
              <w:rPr>
                <w:i/>
              </w:rPr>
            </w:pPr>
            <w:r w:rsidRPr="00E05E29">
              <w:rPr>
                <w:rFonts w:ascii="Symbol" w:eastAsia="Symbol" w:hAnsi="Symbol" w:cs="Symbol"/>
                <w:i/>
                <w:iCs/>
              </w:rPr>
              <w:t></w:t>
            </w:r>
            <w:r w:rsidRPr="00E05E29">
              <w:rPr>
                <w:vertAlign w:val="subscript"/>
              </w:rPr>
              <w:t>CT</w:t>
            </w:r>
          </w:p>
        </w:tc>
        <w:tc>
          <w:tcPr>
            <w:tcW w:w="7922" w:type="dxa"/>
          </w:tcPr>
          <w:p w14:paraId="4749E22E" w14:textId="77777777" w:rsidR="0003243F" w:rsidRPr="00571E24" w:rsidRDefault="0003243F" w:rsidP="002061E5">
            <w:pPr>
              <w:spacing w:after="60"/>
            </w:pPr>
            <w:r w:rsidRPr="00571E24">
              <w:t xml:space="preserve">is the compression strength adjustment factor based on the results of the qualification tests but not smaller than 1,1 and not greater than 1,3 (see </w:t>
            </w:r>
            <w:r w:rsidRPr="007F3697">
              <w:t>11.12.3(3));</w:t>
            </w:r>
          </w:p>
        </w:tc>
      </w:tr>
    </w:tbl>
    <w:p w14:paraId="01FAE21B" w14:textId="50975DFE" w:rsidR="00571E24" w:rsidRPr="00571E24" w:rsidRDefault="00571E24" w:rsidP="00724E4E">
      <w:pPr>
        <w:pStyle w:val="Clause"/>
      </w:pPr>
      <w:r w:rsidRPr="00E05E29">
        <w:t xml:space="preserve">Brace connections conceived as “pinned” should resist a force not smaller than the expected resistance of the connected diagonal bracing as given </w:t>
      </w:r>
      <w:r w:rsidRPr="00571E24">
        <w:t>by Formulas (11.50) and (11.51) and should accommodate the rotation at the design storey drift.</w:t>
      </w:r>
    </w:p>
    <w:p w14:paraId="10C0D28B" w14:textId="59FDBB0E" w:rsidR="00571E24" w:rsidRPr="00E05E29" w:rsidRDefault="00571E24" w:rsidP="00724E4E">
      <w:pPr>
        <w:pStyle w:val="Clause"/>
      </w:pPr>
      <w:r w:rsidRPr="00E05E29">
        <w:t xml:space="preserve">To prevent out-of-plane brace buckling, if gusset plate connections are adopted, the resistance of the connection to shear in the transverse direction of the BRB and applied in the theoretical line of restraint, should not be smaller than </w:t>
      </w:r>
      <w:r w:rsidRPr="004F74EA">
        <w:rPr>
          <w:i/>
          <w:iCs/>
        </w:rPr>
        <w:t>V</w:t>
      </w:r>
      <w:r w:rsidRPr="004F74EA">
        <w:rPr>
          <w:vertAlign w:val="subscript"/>
        </w:rPr>
        <w:t>gp,Ed</w:t>
      </w:r>
      <w:r w:rsidRPr="00E05E29">
        <w:t xml:space="preserve"> as given by Formula (11.53)</w:t>
      </w:r>
      <w:r>
        <w:t>.</w:t>
      </w:r>
    </w:p>
    <w:p w14:paraId="269098BD" w14:textId="1B69C523" w:rsidR="00571E24" w:rsidRDefault="009B5CEC" w:rsidP="00571E24">
      <w:pPr>
        <w:pStyle w:val="Formula"/>
        <w:spacing w:before="240"/>
      </w:pPr>
      <m:oMath>
        <m:sSub>
          <m:sSubPr>
            <m:ctrlPr>
              <w:rPr>
                <w:rFonts w:ascii="Cambria Math" w:hAnsi="Cambria Math"/>
              </w:rPr>
            </m:ctrlPr>
          </m:sSubPr>
          <m:e>
            <m:r>
              <w:rPr>
                <w:rFonts w:ascii="Cambria Math" w:hAnsi="Cambria Math"/>
              </w:rPr>
              <m:t>V</m:t>
            </m:r>
          </m:e>
          <m:sub>
            <m:r>
              <m:rPr>
                <m:sty m:val="p"/>
              </m:rPr>
              <w:rPr>
                <w:rFonts w:ascii="Cambria Math" w:hAnsi="Cambria Math"/>
              </w:rPr>
              <m:t>gp,Ed</m:t>
            </m:r>
          </m:sub>
        </m:sSub>
        <m:r>
          <w:rPr>
            <w:rFonts w:ascii="Cambria Math" w:hAnsi="Cambria Math"/>
          </w:rPr>
          <m:t xml:space="preserve">=0,06 </m:t>
        </m:r>
        <m:sSub>
          <m:sSubPr>
            <m:ctrlPr>
              <w:rPr>
                <w:rFonts w:ascii="Cambria Math" w:hAnsi="Cambria Math"/>
              </w:rPr>
            </m:ctrlPr>
          </m:sSubPr>
          <m:e>
            <m:r>
              <w:rPr>
                <w:rFonts w:ascii="Cambria Math" w:hAnsi="Cambria Math"/>
              </w:rPr>
              <m:t>N</m:t>
            </m:r>
          </m:e>
          <m:sub>
            <m:r>
              <m:rPr>
                <m:sty m:val="p"/>
              </m:rPr>
              <w:rPr>
                <w:rFonts w:ascii="Cambria Math" w:hAnsi="Cambria Math"/>
              </w:rPr>
              <m:t>C,j,Ed</m:t>
            </m:r>
          </m:sub>
        </m:sSub>
        <m:r>
          <w:rPr>
            <w:rFonts w:ascii="Cambria Math" w:hAnsi="Cambria Math"/>
          </w:rPr>
          <m:t xml:space="preserve"> </m:t>
        </m:r>
      </m:oMath>
      <w:r w:rsidR="00571E24" w:rsidRPr="00870D59">
        <w:tab/>
        <w:t>(1</w:t>
      </w:r>
      <w:r w:rsidR="00571E24">
        <w:t>1</w:t>
      </w:r>
      <w:r w:rsidR="00571E24" w:rsidRPr="00870D59">
        <w:t>.</w:t>
      </w:r>
      <w:r w:rsidR="00571E24">
        <w:t>53</w:t>
      </w:r>
      <w:r w:rsidR="00571E24" w:rsidRPr="00870D59">
        <w:t>)</w:t>
      </w:r>
    </w:p>
    <w:p w14:paraId="1440415C" w14:textId="43BC8849" w:rsidR="00571E24" w:rsidRDefault="00571E24" w:rsidP="007F3697">
      <w:pPr>
        <w:pStyle w:val="Text"/>
      </w:pPr>
      <w:r>
        <w:t>where</w:t>
      </w:r>
      <m:oMath>
        <m:r>
          <w:rPr>
            <w:rFonts w:ascii="Cambria Math" w:hAnsi="Cambria Math"/>
          </w:rPr>
          <m:t xml:space="preserve"> </m:t>
        </m:r>
        <m:sSub>
          <m:sSubPr>
            <m:ctrlPr>
              <w:rPr>
                <w:rFonts w:ascii="Cambria Math" w:hAnsi="Cambria Math"/>
                <w:noProof/>
              </w:rPr>
            </m:ctrlPr>
          </m:sSubPr>
          <m:e>
            <m:r>
              <w:rPr>
                <w:rFonts w:ascii="Cambria Math" w:hAnsi="Cambria Math"/>
                <w:noProof/>
              </w:rPr>
              <m:t>N</m:t>
            </m:r>
          </m:e>
          <m:sub>
            <m:r>
              <m:rPr>
                <m:sty m:val="p"/>
              </m:rPr>
              <w:rPr>
                <w:rFonts w:ascii="Cambria Math" w:hAnsi="Cambria Math"/>
                <w:noProof/>
              </w:rPr>
              <m:t>C,j,Ed</m:t>
            </m:r>
          </m:sub>
        </m:sSub>
      </m:oMath>
      <w:r w:rsidRPr="00132C1E">
        <w:t xml:space="preserve"> </w:t>
      </w:r>
      <w:r w:rsidRPr="00D1484A">
        <w:t>is the expected ultimate resistance of the BRB (s</w:t>
      </w:r>
      <w:r w:rsidRPr="00571E24">
        <w:t>ee Formula (11.51)</w:t>
      </w:r>
      <w:r w:rsidRPr="00FD17CF">
        <w:t>).</w:t>
      </w:r>
    </w:p>
    <w:p w14:paraId="53635B77" w14:textId="77777777" w:rsidR="00571E24" w:rsidRPr="00E05E29" w:rsidRDefault="00571E24" w:rsidP="00571E24">
      <w:pPr>
        <w:pStyle w:val="Heading3"/>
      </w:pPr>
      <w:bookmarkStart w:id="9768" w:name="_Toc522955956"/>
      <w:bookmarkStart w:id="9769" w:name="_Toc18314148"/>
      <w:bookmarkStart w:id="9770" w:name="_Toc50150462"/>
      <w:bookmarkStart w:id="9771" w:name="_Toc70886894"/>
      <w:bookmarkStart w:id="9772" w:name="_Toc108342453"/>
      <w:bookmarkStart w:id="9773" w:name="_Toc134197985"/>
      <w:r>
        <w:t>Verification of c</w:t>
      </w:r>
      <w:r w:rsidRPr="00644C3D">
        <w:t>olumn base joints</w:t>
      </w:r>
      <w:bookmarkEnd w:id="9768"/>
      <w:bookmarkEnd w:id="9769"/>
      <w:bookmarkEnd w:id="9770"/>
      <w:bookmarkEnd w:id="9771"/>
      <w:bookmarkEnd w:id="9772"/>
      <w:bookmarkEnd w:id="9773"/>
    </w:p>
    <w:p w14:paraId="25B8C3FE" w14:textId="54F68222" w:rsidR="00571E24" w:rsidRPr="00E05E29" w:rsidRDefault="00571E24" w:rsidP="0080187E">
      <w:pPr>
        <w:pStyle w:val="Clause"/>
        <w:numPr>
          <w:ilvl w:val="0"/>
          <w:numId w:val="403"/>
        </w:numPr>
      </w:pPr>
      <w:r w:rsidRPr="00E05E29">
        <w:t xml:space="preserve">The column base joint should be designed to resist the action </w:t>
      </w:r>
      <w:r w:rsidRPr="00EA2296">
        <w:t xml:space="preserve">effects at </w:t>
      </w:r>
      <w:r w:rsidRPr="00E05E29">
        <w:t xml:space="preserve">the base of the column due to gravity forces and the axial and shear forces transferred by the expected tensile resistance of the connected diagonal brace, which should be taken equal to </w:t>
      </w:r>
      <w:r w:rsidRPr="008D6D68">
        <w:rPr>
          <w:i/>
        </w:rPr>
        <w:t>ω</w:t>
      </w:r>
      <w:r w:rsidRPr="008D6D68">
        <w:rPr>
          <w:vertAlign w:val="subscript"/>
        </w:rPr>
        <w:t>rm</w:t>
      </w:r>
      <w:r w:rsidRPr="008D6D68">
        <w:rPr>
          <w:i/>
        </w:rPr>
        <w:t xml:space="preserve"> ω</w:t>
      </w:r>
      <w:r w:rsidRPr="008D6D68">
        <w:rPr>
          <w:vertAlign w:val="subscript"/>
        </w:rPr>
        <w:t>sh</w:t>
      </w:r>
      <w:r w:rsidRPr="008D6D68">
        <w:rPr>
          <w:i/>
        </w:rPr>
        <w:t xml:space="preserve"> N</w:t>
      </w:r>
      <w:r w:rsidRPr="008D6D68">
        <w:rPr>
          <w:vertAlign w:val="subscript"/>
        </w:rPr>
        <w:t>Rd</w:t>
      </w:r>
      <w:r w:rsidRPr="00E05E29">
        <w:t>.</w:t>
      </w:r>
    </w:p>
    <w:p w14:paraId="3C439FFF" w14:textId="0FEB4392" w:rsidR="00571E24" w:rsidRPr="00E05E29" w:rsidRDefault="00571E24" w:rsidP="00724E4E">
      <w:pPr>
        <w:pStyle w:val="Clause"/>
      </w:pPr>
      <w:r w:rsidRPr="00E05E29">
        <w:t xml:space="preserve">Where column bases are designed as moment connections to the foundation, the required flexural resistance should be at least equal to the action effect at the base of the column due to gravity forces and the required flexural resistance of diagonal brace connections, which should be calculated from </w:t>
      </w:r>
      <w:r w:rsidRPr="008B03E1">
        <w:t>Formula (11.52).</w:t>
      </w:r>
    </w:p>
    <w:p w14:paraId="095DC05F" w14:textId="08C194D5" w:rsidR="00571E24" w:rsidRPr="004F74EA" w:rsidRDefault="00571E24" w:rsidP="00724E4E">
      <w:pPr>
        <w:pStyle w:val="Clause"/>
      </w:pPr>
      <w:r w:rsidRPr="004F74EA">
        <w:t>Bending moments at column base connections designed as pinned may be ignored in the analysis.</w:t>
      </w:r>
    </w:p>
    <w:p w14:paraId="6CA9C1F8" w14:textId="5374868F" w:rsidR="00571E24" w:rsidRPr="00E05E29" w:rsidRDefault="00571E24" w:rsidP="00571E24">
      <w:pPr>
        <w:pStyle w:val="Heading2"/>
      </w:pPr>
      <w:bookmarkStart w:id="9774" w:name="_Toc50150463"/>
      <w:bookmarkStart w:id="9775" w:name="_Toc70886895"/>
      <w:bookmarkStart w:id="9776" w:name="_Toc108342454"/>
      <w:bookmarkStart w:id="9777" w:name="_Toc134197986"/>
      <w:bookmarkStart w:id="9778" w:name="_Toc522955957"/>
      <w:bookmarkStart w:id="9779" w:name="_Toc18314149"/>
      <w:r w:rsidRPr="00E05E29">
        <w:lastRenderedPageBreak/>
        <w:t>Design rules for dual frames - moment resisting frames combined with either concentric, eccentric or buckling restrained bracings</w:t>
      </w:r>
      <w:bookmarkEnd w:id="9774"/>
      <w:bookmarkEnd w:id="9775"/>
      <w:bookmarkEnd w:id="9776"/>
      <w:bookmarkEnd w:id="9777"/>
      <w:r w:rsidRPr="00E05E29">
        <w:t xml:space="preserve"> </w:t>
      </w:r>
      <w:bookmarkEnd w:id="9778"/>
      <w:bookmarkEnd w:id="9779"/>
    </w:p>
    <w:p w14:paraId="47832F8B" w14:textId="5FEA957C" w:rsidR="00571E24" w:rsidRPr="00E05E29" w:rsidRDefault="00571E24" w:rsidP="0080187E">
      <w:pPr>
        <w:pStyle w:val="Clause"/>
        <w:numPr>
          <w:ilvl w:val="0"/>
          <w:numId w:val="404"/>
        </w:numPr>
      </w:pPr>
      <w:r w:rsidRPr="00E05E29">
        <w:t>In dual structures with both moment resisting frames and braced frames acting in the same direction the horizontal forces should be distributed between the different frames according to their stiffness.</w:t>
      </w:r>
    </w:p>
    <w:p w14:paraId="0EC3C96E" w14:textId="4575B1E7" w:rsidR="00571E24" w:rsidRPr="00E05E29" w:rsidRDefault="00571E24" w:rsidP="00724E4E">
      <w:pPr>
        <w:pStyle w:val="Clause"/>
      </w:pPr>
      <w:r w:rsidRPr="00E05E29">
        <w:t>The moment resisting frames should contribute with at least 25 % to the total resistance.</w:t>
      </w:r>
    </w:p>
    <w:p w14:paraId="081343F3" w14:textId="0499E778" w:rsidR="00571E24" w:rsidRPr="007F3697" w:rsidRDefault="00571E24" w:rsidP="00724E4E">
      <w:pPr>
        <w:pStyle w:val="Clause"/>
      </w:pPr>
      <w:r w:rsidRPr="004F74EA">
        <w:t xml:space="preserve">The moment </w:t>
      </w:r>
      <w:r w:rsidRPr="007F3697">
        <w:t>resisting frames should conform to 11.9 and the braced frames either to 11.10 for concentrically braced frames or 11.11 for eccentrically braced frames or 11.12 for frames with buckling restrained braces.</w:t>
      </w:r>
    </w:p>
    <w:p w14:paraId="66228396" w14:textId="77777777" w:rsidR="00571E24" w:rsidRPr="00E05E29" w:rsidRDefault="00571E24" w:rsidP="008B03E1">
      <w:pPr>
        <w:pStyle w:val="Notetext"/>
      </w:pPr>
      <w:r w:rsidRPr="007F3697">
        <w:t>NOTE</w:t>
      </w:r>
      <w:r w:rsidRPr="007F3697">
        <w:tab/>
        <w:t>DC3-compliant frames can</w:t>
      </w:r>
      <w:r w:rsidRPr="00E05E29">
        <w:t xml:space="preserve"> provide re-centring capacity after severe earthquake if the yield deformation at each storey of the moment resisting sub-system </w:t>
      </w:r>
      <w:r w:rsidRPr="00E05E29">
        <w:rPr>
          <w:i/>
        </w:rPr>
        <w:t>Δ</w:t>
      </w:r>
      <w:r w:rsidRPr="00E05E29">
        <w:rPr>
          <w:vertAlign w:val="subscript"/>
        </w:rPr>
        <w:t>y,MRF</w:t>
      </w:r>
      <w:r w:rsidRPr="00E05E29">
        <w:t xml:space="preserve"> is not smaller than the ultimate storey deformation of the corresponding braced sub-system </w:t>
      </w:r>
      <w:r w:rsidRPr="00E05E29">
        <w:rPr>
          <w:i/>
        </w:rPr>
        <w:t>Δ</w:t>
      </w:r>
      <w:r w:rsidRPr="00E05E29">
        <w:rPr>
          <w:vertAlign w:val="subscript"/>
        </w:rPr>
        <w:t xml:space="preserve">u,Braced </w:t>
      </w:r>
      <w:r w:rsidRPr="00E05E29">
        <w:t>(i.e. either CBF, or EBF, or BRB). In these cases, the dissipative components can be designed to be replaceable.</w:t>
      </w:r>
    </w:p>
    <w:p w14:paraId="551F082D" w14:textId="17FC88E2" w:rsidR="00571E24" w:rsidRPr="00D1484A" w:rsidRDefault="00571E24" w:rsidP="00724E4E">
      <w:pPr>
        <w:pStyle w:val="Clause"/>
      </w:pPr>
      <w:r w:rsidRPr="00E05E29">
        <w:t xml:space="preserve">In DC3, the resistance and stability of non-dissipative members should be verified in bending, axial and shear forces under the most unfavourable combination of </w:t>
      </w:r>
      <w:r w:rsidRPr="004F74EA">
        <w:rPr>
          <w:i/>
          <w:iCs/>
        </w:rPr>
        <w:t>N</w:t>
      </w:r>
      <w:r w:rsidRPr="004F74EA">
        <w:rPr>
          <w:vertAlign w:val="subscript"/>
        </w:rPr>
        <w:t>Ed</w:t>
      </w:r>
      <w:r w:rsidRPr="00E05E29">
        <w:t xml:space="preserve">, </w:t>
      </w:r>
      <w:r w:rsidRPr="004F74EA">
        <w:rPr>
          <w:i/>
          <w:iCs/>
        </w:rPr>
        <w:t>M</w:t>
      </w:r>
      <w:r w:rsidRPr="004F74EA">
        <w:rPr>
          <w:vertAlign w:val="subscript"/>
        </w:rPr>
        <w:t>Ed</w:t>
      </w:r>
      <w:r w:rsidRPr="00E05E29">
        <w:t xml:space="preserve"> and </w:t>
      </w:r>
      <w:r w:rsidRPr="004F74EA">
        <w:rPr>
          <w:i/>
          <w:iCs/>
        </w:rPr>
        <w:t>V</w:t>
      </w:r>
      <w:r w:rsidRPr="004F74EA">
        <w:rPr>
          <w:vertAlign w:val="subscript"/>
        </w:rPr>
        <w:t>Ed</w:t>
      </w:r>
      <w:r w:rsidRPr="00E05E29">
        <w:t xml:space="preserve"> calculated </w:t>
      </w:r>
      <w:r w:rsidRPr="00041373">
        <w:t>with Formula</w:t>
      </w:r>
      <w:r w:rsidR="000E61CC">
        <w:t> </w:t>
      </w:r>
      <w:r w:rsidRPr="00041373">
        <w:t xml:space="preserve">(11.3), </w:t>
      </w:r>
      <w:r w:rsidRPr="00E05E29">
        <w:t xml:space="preserve">where </w:t>
      </w:r>
      <m:oMath>
        <m:sSub>
          <m:sSubPr>
            <m:ctrlPr>
              <w:rPr>
                <w:rFonts w:ascii="Cambria Math" w:hAnsi="Cambria Math"/>
                <w:i/>
                <w:noProof/>
              </w:rPr>
            </m:ctrlPr>
          </m:sSubPr>
          <m:e>
            <m:r>
              <w:rPr>
                <w:rFonts w:ascii="Cambria Math" w:hAnsi="Cambria Math"/>
                <w:noProof/>
              </w:rPr>
              <m:t>Ω</m:t>
            </m:r>
          </m:e>
          <m:sub>
            <m:r>
              <m:rPr>
                <m:sty m:val="p"/>
              </m:rPr>
              <w:rPr>
                <w:rFonts w:ascii="Cambria Math" w:hAnsi="Cambria Math"/>
                <w:noProof/>
              </w:rPr>
              <m:t>d</m:t>
            </m:r>
          </m:sub>
        </m:sSub>
      </m:oMath>
      <w:r w:rsidRPr="00132C1E">
        <w:t xml:space="preserve"> should be taken as the greater of the minimum design overstrength ratios of the moment resisting frames and the braced frames.</w:t>
      </w:r>
    </w:p>
    <w:p w14:paraId="22899BC3" w14:textId="70E717EA" w:rsidR="00571E24" w:rsidRPr="00D1484A" w:rsidRDefault="00571E24" w:rsidP="00571E24">
      <w:pPr>
        <w:pStyle w:val="Heading2"/>
      </w:pPr>
      <w:bookmarkStart w:id="9780" w:name="_Toc522955959"/>
      <w:bookmarkStart w:id="9781" w:name="_Toc18314151"/>
      <w:bookmarkStart w:id="9782" w:name="_Toc50150465"/>
      <w:bookmarkStart w:id="9783" w:name="_Toc70886897"/>
      <w:bookmarkStart w:id="9784" w:name="_Toc108342455"/>
      <w:bookmarkStart w:id="9785" w:name="_Toc134197987"/>
      <w:r w:rsidRPr="00D1484A">
        <w:t>Design rules for lightweight steel systems</w:t>
      </w:r>
      <w:bookmarkEnd w:id="9780"/>
      <w:bookmarkEnd w:id="9781"/>
      <w:bookmarkEnd w:id="9782"/>
      <w:bookmarkEnd w:id="9783"/>
      <w:bookmarkEnd w:id="9784"/>
      <w:bookmarkEnd w:id="9785"/>
    </w:p>
    <w:p w14:paraId="14295385" w14:textId="77777777" w:rsidR="00571E24" w:rsidRPr="00FD17CF" w:rsidRDefault="00571E24" w:rsidP="00571E24">
      <w:pPr>
        <w:pStyle w:val="Heading3"/>
      </w:pPr>
      <w:bookmarkStart w:id="9786" w:name="_Toc18314152"/>
      <w:bookmarkStart w:id="9787" w:name="_Toc50150466"/>
      <w:bookmarkStart w:id="9788" w:name="_Toc70886898"/>
      <w:bookmarkStart w:id="9789" w:name="_Toc108342456"/>
      <w:bookmarkStart w:id="9790" w:name="_Toc134197988"/>
      <w:r w:rsidRPr="007E6F67">
        <w:t>G</w:t>
      </w:r>
      <w:r w:rsidRPr="00FD17CF">
        <w:t>eneral</w:t>
      </w:r>
      <w:bookmarkEnd w:id="9786"/>
      <w:bookmarkEnd w:id="9787"/>
      <w:bookmarkEnd w:id="9788"/>
      <w:bookmarkEnd w:id="9789"/>
      <w:bookmarkEnd w:id="9790"/>
    </w:p>
    <w:p w14:paraId="1075DA54" w14:textId="5FA4BBE2" w:rsidR="00571E24" w:rsidRPr="00E05E29" w:rsidRDefault="00571E24" w:rsidP="0080187E">
      <w:pPr>
        <w:pStyle w:val="Clause"/>
        <w:numPr>
          <w:ilvl w:val="0"/>
          <w:numId w:val="405"/>
        </w:numPr>
      </w:pPr>
      <w:r w:rsidRPr="00644C3D">
        <w:t>Lightweight cold-formed steel frames shall be made of cold-formed steel frames braced by steel strap braces (i.e. strap braced walls) or by sheathing panels (i.e. shear walls) connected by means of screws to the steel frame.</w:t>
      </w:r>
    </w:p>
    <w:p w14:paraId="14458729" w14:textId="5303758D" w:rsidR="00571E24" w:rsidRPr="00E05E29" w:rsidRDefault="00571E24" w:rsidP="00724E4E">
      <w:pPr>
        <w:pStyle w:val="Clause"/>
      </w:pPr>
      <w:r w:rsidRPr="00E05E29">
        <w:t>Walls should be made of studs, i.e. vertical load bearing equally spaced members screwed at each end to tracks, i.e</w:t>
      </w:r>
      <w:r w:rsidR="000E61CC">
        <w:t>.</w:t>
      </w:r>
      <w:r w:rsidRPr="00E05E29">
        <w:t xml:space="preserve"> horizontal steel members, which restrain the studs at their ends.</w:t>
      </w:r>
    </w:p>
    <w:p w14:paraId="4A5EDDAD" w14:textId="0B130DB1" w:rsidR="00571E24" w:rsidRPr="00E05E29" w:rsidRDefault="00571E24" w:rsidP="00724E4E">
      <w:pPr>
        <w:pStyle w:val="Clause"/>
      </w:pPr>
      <w:r w:rsidRPr="00E05E29">
        <w:t>Each wall should be provided at each end with hold-downs to resist in-plane shear forces.</w:t>
      </w:r>
    </w:p>
    <w:p w14:paraId="346B0F03" w14:textId="56448A73" w:rsidR="00571E24" w:rsidRPr="00E05E29" w:rsidRDefault="00571E24" w:rsidP="00041373">
      <w:pPr>
        <w:pStyle w:val="Notetext"/>
      </w:pPr>
      <w:r w:rsidRPr="00E05E29">
        <w:t>NOTE</w:t>
      </w:r>
      <w:r w:rsidR="00041373">
        <w:tab/>
      </w:r>
      <w:r w:rsidRPr="00E05E29">
        <w:t>Hold-downs are connections and shear anchorages used to resist the walls overturning forces.</w:t>
      </w:r>
    </w:p>
    <w:p w14:paraId="0A2BC5C7" w14:textId="7500FE63" w:rsidR="00571E24" w:rsidRPr="00E05E29" w:rsidRDefault="00571E24" w:rsidP="00724E4E">
      <w:pPr>
        <w:pStyle w:val="Clause"/>
      </w:pPr>
      <w:r w:rsidRPr="00E05E29">
        <w:t>Floor and roof diaphragms should be composed of equally spaced joists, on top of which the sheathing materials should be connected by means of screws along the whole perimeter of the sheathing panel.</w:t>
      </w:r>
    </w:p>
    <w:p w14:paraId="4C4F150C" w14:textId="422C19EB" w:rsidR="00571E24" w:rsidRPr="00A1437F" w:rsidRDefault="00571E24" w:rsidP="00724E4E">
      <w:pPr>
        <w:pStyle w:val="Clause"/>
      </w:pPr>
      <w:r w:rsidRPr="00A1437F">
        <w:t>The sheating material may be a composite steel concrete slab made with profiled steel sheets.</w:t>
      </w:r>
    </w:p>
    <w:p w14:paraId="10E73837" w14:textId="19F13AB2" w:rsidR="00571E24" w:rsidRPr="00A1437F" w:rsidRDefault="00571E24" w:rsidP="00571E24">
      <w:pPr>
        <w:pStyle w:val="Heading3"/>
      </w:pPr>
      <w:bookmarkStart w:id="9791" w:name="_Toc18314153"/>
      <w:bookmarkStart w:id="9792" w:name="_Toc50150467"/>
      <w:bookmarkStart w:id="9793" w:name="_Toc70886899"/>
      <w:bookmarkStart w:id="9794" w:name="_Toc108342457"/>
      <w:bookmarkStart w:id="9795" w:name="_Toc134197989"/>
      <w:r w:rsidRPr="00A1437F">
        <w:t xml:space="preserve">General </w:t>
      </w:r>
      <w:r>
        <w:t>verification</w:t>
      </w:r>
      <w:r w:rsidRPr="000529B2">
        <w:t xml:space="preserve"> rules for low-dissipative (DC1) and dissipative (DC2 and DC3) structural behaviour</w:t>
      </w:r>
      <w:bookmarkEnd w:id="9791"/>
      <w:bookmarkEnd w:id="9792"/>
      <w:bookmarkEnd w:id="9793"/>
      <w:r w:rsidRPr="00A1437F">
        <w:t xml:space="preserve"> common to all lightweight steel systems</w:t>
      </w:r>
      <w:bookmarkEnd w:id="9794"/>
      <w:bookmarkEnd w:id="9795"/>
    </w:p>
    <w:p w14:paraId="11645B11" w14:textId="4F918446" w:rsidR="00571E24" w:rsidRPr="00ED6630" w:rsidRDefault="00571E24" w:rsidP="0080187E">
      <w:pPr>
        <w:pStyle w:val="Clause"/>
        <w:numPr>
          <w:ilvl w:val="0"/>
          <w:numId w:val="406"/>
        </w:numPr>
      </w:pPr>
      <w:r w:rsidRPr="000529B2">
        <w:t xml:space="preserve">The individual resistance of different components of walls such as strap braces, chord studs, tracks, </w:t>
      </w:r>
      <w:r w:rsidRPr="00ED6630">
        <w:t>connections and other cold-formed steel components should be determined in accordance with prEN</w:t>
      </w:r>
      <w:r w:rsidR="007F3697">
        <w:t> </w:t>
      </w:r>
      <w:r w:rsidRPr="00ED6630">
        <w:t>1993-1-3:202</w:t>
      </w:r>
      <w:r w:rsidR="00454A90">
        <w:t>2</w:t>
      </w:r>
      <w:r w:rsidRPr="00ED6630">
        <w:t>.</w:t>
      </w:r>
    </w:p>
    <w:p w14:paraId="520660C9" w14:textId="54B0F637" w:rsidR="00571E24" w:rsidRPr="00ED6630" w:rsidRDefault="00571E24" w:rsidP="00724E4E">
      <w:pPr>
        <w:pStyle w:val="Clause"/>
      </w:pPr>
      <w:r w:rsidRPr="00ED6630">
        <w:t xml:space="preserve">The design of composite steel concrete slab made with profiled steel sheets should be made in accordance with </w:t>
      </w:r>
      <w:r w:rsidR="00B16E0A">
        <w:t>pr</w:t>
      </w:r>
      <w:r w:rsidRPr="00ED6630">
        <w:t>EN</w:t>
      </w:r>
      <w:r w:rsidR="007F3697">
        <w:t> </w:t>
      </w:r>
      <w:r w:rsidRPr="00ED6630">
        <w:t>1994-1-1.</w:t>
      </w:r>
    </w:p>
    <w:p w14:paraId="59BBCF0B" w14:textId="781280CA" w:rsidR="00571E24" w:rsidRPr="007F3697" w:rsidRDefault="00571E24" w:rsidP="00724E4E">
      <w:pPr>
        <w:pStyle w:val="Clause"/>
      </w:pPr>
      <w:r w:rsidRPr="00ED6630">
        <w:lastRenderedPageBreak/>
        <w:t xml:space="preserve">The design of the connection between wood sheathing and cold-formed steel frame in floor or roof diaphragms, should be made in </w:t>
      </w:r>
      <w:r w:rsidRPr="007F3697">
        <w:t>accordance with prEN</w:t>
      </w:r>
      <w:r w:rsidR="007F3697" w:rsidRPr="007F3697">
        <w:t> </w:t>
      </w:r>
      <w:r w:rsidRPr="007F3697">
        <w:t>1995-1-1</w:t>
      </w:r>
      <w:r w:rsidR="00F02B45">
        <w:t xml:space="preserve">:2023, </w:t>
      </w:r>
      <w:r w:rsidR="000E61CC">
        <w:t xml:space="preserve">Clause </w:t>
      </w:r>
      <w:r w:rsidRPr="007F3697">
        <w:t>8, and prEN</w:t>
      </w:r>
      <w:r w:rsidR="007F3697" w:rsidRPr="007F3697">
        <w:t> </w:t>
      </w:r>
      <w:r w:rsidRPr="007F3697">
        <w:t>1993</w:t>
      </w:r>
      <w:r w:rsidR="000E61CC">
        <w:noBreakHyphen/>
      </w:r>
      <w:r w:rsidRPr="007F3697">
        <w:t>1</w:t>
      </w:r>
      <w:r w:rsidR="000E61CC">
        <w:noBreakHyphen/>
      </w:r>
      <w:r w:rsidRPr="007F3697">
        <w:t>3:202</w:t>
      </w:r>
      <w:r w:rsidR="00D14108">
        <w:t>2</w:t>
      </w:r>
      <w:r w:rsidRPr="007F3697">
        <w:t xml:space="preserve">, </w:t>
      </w:r>
      <w:r w:rsidR="000E61CC">
        <w:t xml:space="preserve">Clause </w:t>
      </w:r>
      <w:r w:rsidRPr="007F3697">
        <w:t>10.</w:t>
      </w:r>
    </w:p>
    <w:p w14:paraId="1502B28A" w14:textId="0A24C6F9" w:rsidR="00571E24" w:rsidRPr="007E6F67" w:rsidRDefault="00571E24" w:rsidP="00724E4E">
      <w:pPr>
        <w:pStyle w:val="Clause"/>
      </w:pPr>
      <w:r w:rsidRPr="00D1484A">
        <w:t>The height-to-length ratio of strap braced walls and shear walls should not be greater than 2,0.</w:t>
      </w:r>
    </w:p>
    <w:p w14:paraId="23880DEF" w14:textId="3FF1FFB8" w:rsidR="00571E24" w:rsidRPr="00FD17CF" w:rsidRDefault="00571E24" w:rsidP="00724E4E">
      <w:pPr>
        <w:pStyle w:val="Clause"/>
      </w:pPr>
      <w:r w:rsidRPr="00FD17CF">
        <w:t>Hold-downs should be designed to resist wall overturning at each storey.</w:t>
      </w:r>
    </w:p>
    <w:p w14:paraId="358B4D56" w14:textId="41EC17B3" w:rsidR="00571E24" w:rsidRPr="00196951" w:rsidRDefault="00571E24" w:rsidP="00724E4E">
      <w:pPr>
        <w:pStyle w:val="Clause"/>
      </w:pPr>
      <w:r w:rsidRPr="00644C3D">
        <w:t>Shear anchorage shou</w:t>
      </w:r>
      <w:r w:rsidRPr="00E05E29">
        <w:t>ld be designed to transmit the in-plane shear force from the horizontal diaphragms into the top of the wall and from the base of the wall into the foundation.</w:t>
      </w:r>
    </w:p>
    <w:p w14:paraId="3C22A8F8" w14:textId="19561069" w:rsidR="00571E24" w:rsidRPr="00C52095" w:rsidRDefault="00571E24" w:rsidP="00724E4E">
      <w:pPr>
        <w:pStyle w:val="Clause"/>
      </w:pPr>
      <w:r w:rsidRPr="002144A0">
        <w:t>Chord studs, or other vertical boundary elements at the ends of strap braced walls and shear walls should be anchored so that the track is not required to resist uplift by bending.</w:t>
      </w:r>
    </w:p>
    <w:p w14:paraId="18B90BEF" w14:textId="15C05294" w:rsidR="00571E24" w:rsidRPr="00132C1E" w:rsidRDefault="00571E24" w:rsidP="00724E4E">
      <w:pPr>
        <w:pStyle w:val="Clause"/>
      </w:pPr>
      <w:r w:rsidRPr="00C52095">
        <w:t xml:space="preserve">Deflections should be determined by considering the deformation of the bracing components (i.e, </w:t>
      </w:r>
      <w:r w:rsidRPr="004F74EA">
        <w:rPr>
          <w:rFonts w:eastAsiaTheme="minorEastAsia"/>
          <w:sz w:val="24"/>
          <w:lang w:eastAsia="it-IT"/>
        </w:rPr>
        <w:t>strap braces</w:t>
      </w:r>
      <w:r w:rsidRPr="007754C9">
        <w:t>,</w:t>
      </w:r>
      <w:r w:rsidRPr="004F74EA">
        <w:rPr>
          <w:rFonts w:eastAsiaTheme="minorEastAsia"/>
          <w:sz w:val="24"/>
          <w:lang w:eastAsia="it-IT"/>
        </w:rPr>
        <w:t xml:space="preserve"> steel sheets, wood sheathings, gypsum sheathings</w:t>
      </w:r>
      <w:r w:rsidRPr="00132C1E">
        <w:t>), of the connections of the bracing component and of their chord studs.</w:t>
      </w:r>
    </w:p>
    <w:p w14:paraId="0E0BA180" w14:textId="0E2CC7B8" w:rsidR="00571E24" w:rsidRPr="00132C1E" w:rsidRDefault="00571E24" w:rsidP="00724E4E">
      <w:pPr>
        <w:pStyle w:val="Clause"/>
      </w:pPr>
      <w:r w:rsidRPr="00132C1E">
        <w:t>The effect of eccentricity on connections, chord studs or other vertical boundary elements at the ends of wall, hold-downs and shear anchorage and all other components in the wall should be considered in the design.</w:t>
      </w:r>
    </w:p>
    <w:p w14:paraId="6F3F5E86" w14:textId="6311560C" w:rsidR="00571E24" w:rsidRPr="00ED6630" w:rsidRDefault="00571E24" w:rsidP="00724E4E">
      <w:pPr>
        <w:pStyle w:val="Clause"/>
      </w:pPr>
      <w:r w:rsidRPr="00132C1E">
        <w:t xml:space="preserve">Screws used to make connections between sheathing material and cold-formed steel frame or connections between cold-formed steel frame elements should belong to one of the types allowed in </w:t>
      </w:r>
      <w:r w:rsidRPr="00ED6630">
        <w:t>pr</w:t>
      </w:r>
      <w:r w:rsidR="00C30FF9">
        <w:t>EN 1</w:t>
      </w:r>
      <w:r w:rsidRPr="00ED6630">
        <w:t>993-1-3.</w:t>
      </w:r>
      <w:bookmarkStart w:id="9796" w:name="_Hlk1719614"/>
    </w:p>
    <w:p w14:paraId="6D1A2F44" w14:textId="5B0FD6EB" w:rsidR="00571E24" w:rsidRPr="00132C1E" w:rsidRDefault="00571E24" w:rsidP="00A17FFA">
      <w:pPr>
        <w:pStyle w:val="Notetext"/>
      </w:pPr>
      <w:r w:rsidRPr="00ED6630">
        <w:t>NOTE</w:t>
      </w:r>
      <w:r w:rsidRPr="00ED6630">
        <w:tab/>
        <w:t>The types allowed in prEN</w:t>
      </w:r>
      <w:r w:rsidR="00274699">
        <w:t> </w:t>
      </w:r>
      <w:r w:rsidRPr="00ED6630">
        <w:t>1993-1-3 are</w:t>
      </w:r>
      <w:r w:rsidR="00897A35">
        <w:t>:</w:t>
      </w:r>
      <w:r w:rsidRPr="00ED6630">
        <w:t xml:space="preserve"> the EN</w:t>
      </w:r>
      <w:r w:rsidR="00274699">
        <w:t> </w:t>
      </w:r>
      <w:r w:rsidRPr="00ED6630">
        <w:t>ISO</w:t>
      </w:r>
      <w:r w:rsidR="00274699">
        <w:t> </w:t>
      </w:r>
      <w:r w:rsidRPr="00ED6630">
        <w:t>1478 Tapping screws thread; the EN</w:t>
      </w:r>
      <w:r w:rsidR="00274699">
        <w:t> </w:t>
      </w:r>
      <w:r w:rsidRPr="00ED6630">
        <w:t>ISO</w:t>
      </w:r>
      <w:r w:rsidR="00274699">
        <w:t> </w:t>
      </w:r>
      <w:r w:rsidRPr="00ED6630">
        <w:t>1479 Hexagon</w:t>
      </w:r>
      <w:r w:rsidRPr="00132C1E">
        <w:t xml:space="preserve"> head tapping screws; the EN</w:t>
      </w:r>
      <w:r w:rsidR="00274699">
        <w:t> </w:t>
      </w:r>
      <w:r w:rsidRPr="00132C1E">
        <w:t>ISO</w:t>
      </w:r>
      <w:r w:rsidR="00274699">
        <w:t> </w:t>
      </w:r>
      <w:r w:rsidRPr="00132C1E">
        <w:t>2702 Heat-treated tapping screws; the EN</w:t>
      </w:r>
      <w:r w:rsidR="00274699">
        <w:t> </w:t>
      </w:r>
      <w:r w:rsidRPr="00132C1E">
        <w:t>ISO</w:t>
      </w:r>
      <w:r w:rsidR="00274699">
        <w:t> </w:t>
      </w:r>
      <w:r w:rsidRPr="00132C1E">
        <w:t>7049 Cross recessed pan head tapping screws.</w:t>
      </w:r>
      <w:bookmarkEnd w:id="9796"/>
    </w:p>
    <w:p w14:paraId="209435D2" w14:textId="6E61E0C9" w:rsidR="00571E24" w:rsidRPr="00132C1E" w:rsidRDefault="00571E24" w:rsidP="00724E4E">
      <w:pPr>
        <w:pStyle w:val="Clause"/>
      </w:pPr>
      <w:r w:rsidRPr="00132C1E">
        <w:t>The pull-out resistance of screws should be not used to resist seismic forces.</w:t>
      </w:r>
    </w:p>
    <w:p w14:paraId="70E18557" w14:textId="3BF97389" w:rsidR="00571E24" w:rsidRPr="00132C1E" w:rsidRDefault="00571E24" w:rsidP="00724E4E">
      <w:pPr>
        <w:pStyle w:val="Clause"/>
      </w:pPr>
      <w:r w:rsidRPr="00132C1E">
        <w:t>For connections of strap braces, the design shear resistance of the screws should be greater than 1,2 times the design bearing resistance or the design net area resistance of the strap brace.</w:t>
      </w:r>
    </w:p>
    <w:p w14:paraId="16C54275" w14:textId="6BD213A0" w:rsidR="00571E24" w:rsidRPr="00132C1E" w:rsidRDefault="00571E24" w:rsidP="00724E4E">
      <w:pPr>
        <w:pStyle w:val="Clause"/>
      </w:pPr>
      <w:r w:rsidRPr="00132C1E">
        <w:t>For connections of steel sheet sheathing, the design shear resistance of the screws should be greater than 1,2 times the design bearing resistance.</w:t>
      </w:r>
    </w:p>
    <w:p w14:paraId="2893530E" w14:textId="7547DE8D" w:rsidR="00571E24" w:rsidRPr="00132C1E" w:rsidRDefault="00571E24" w:rsidP="00724E4E">
      <w:pPr>
        <w:pStyle w:val="Clause"/>
      </w:pPr>
      <w:r w:rsidRPr="00132C1E">
        <w:t>For connections of wood or gypsum sheathing, the design shear resistance of the screws should be greater than 1,2 times the design bearing resistance of the steel structural member or the design embedment resistance of wood or gypsum sheathing.</w:t>
      </w:r>
    </w:p>
    <w:p w14:paraId="36E5FDAE" w14:textId="37FFB3C9" w:rsidR="00571E24" w:rsidRPr="00132C1E" w:rsidRDefault="00571E24" w:rsidP="00724E4E">
      <w:pPr>
        <w:pStyle w:val="Clause"/>
      </w:pPr>
      <w:r w:rsidRPr="00132C1E">
        <w:t>For strap braced walls, where the track is not designed to resist the horizontal shear force from the strap braces by compression or tension, the horizontal shear force should be resisted by a device connected directly to the strap braces and anchored directly to the foundation or supporting structural member.</w:t>
      </w:r>
    </w:p>
    <w:p w14:paraId="3041BB87" w14:textId="1BC7154E" w:rsidR="00571E24" w:rsidRPr="003E61E5" w:rsidRDefault="00571E24" w:rsidP="00571E24">
      <w:pPr>
        <w:pStyle w:val="Heading3"/>
      </w:pPr>
      <w:bookmarkStart w:id="9797" w:name="_Toc50150468"/>
      <w:bookmarkStart w:id="9798" w:name="_Toc70886900"/>
      <w:bookmarkStart w:id="9799" w:name="_Toc108342458"/>
      <w:bookmarkStart w:id="9800" w:name="_Toc134197990"/>
      <w:bookmarkStart w:id="9801" w:name="_Toc18314154"/>
      <w:r w:rsidRPr="003E61E5">
        <w:t xml:space="preserve">Additional </w:t>
      </w:r>
      <w:r>
        <w:t>verification</w:t>
      </w:r>
      <w:r w:rsidRPr="00132C1E">
        <w:t xml:space="preserve"> </w:t>
      </w:r>
      <w:r w:rsidRPr="003E61E5">
        <w:t>rules for dissipative (DC2 and DC3) structural behaviour common to all lightweight steel systems.</w:t>
      </w:r>
      <w:bookmarkEnd w:id="9797"/>
      <w:bookmarkEnd w:id="9798"/>
      <w:bookmarkEnd w:id="9799"/>
      <w:bookmarkEnd w:id="9800"/>
      <w:r w:rsidRPr="003E61E5">
        <w:t xml:space="preserve"> </w:t>
      </w:r>
      <w:bookmarkEnd w:id="9801"/>
    </w:p>
    <w:p w14:paraId="64C3F02D" w14:textId="29381F52" w:rsidR="00571E24" w:rsidRPr="004F74EA" w:rsidRDefault="00571E24" w:rsidP="0080187E">
      <w:pPr>
        <w:pStyle w:val="Clause"/>
        <w:numPr>
          <w:ilvl w:val="0"/>
          <w:numId w:val="407"/>
        </w:numPr>
      </w:pPr>
      <w:r w:rsidRPr="00132C1E">
        <w:t xml:space="preserve">In </w:t>
      </w:r>
      <w:r w:rsidRPr="004F74EA">
        <w:t xml:space="preserve">DC2, non-dissipative components should be designed to resist the action effect </w:t>
      </w:r>
      <w:r w:rsidRPr="008D6D68">
        <w:rPr>
          <w:i/>
          <w:iCs/>
        </w:rPr>
        <w:t>E</w:t>
      </w:r>
      <w:r w:rsidRPr="008D6D68">
        <w:rPr>
          <w:vertAlign w:val="subscript"/>
        </w:rPr>
        <w:t xml:space="preserve">Ed </w:t>
      </w:r>
      <w:r w:rsidRPr="004F74EA">
        <w:t>calculated with Formula (11.54):</w:t>
      </w:r>
    </w:p>
    <w:p w14:paraId="7CF2DC84" w14:textId="70747D8F" w:rsidR="00A17FFA" w:rsidRDefault="009B5CEC" w:rsidP="00A17FFA">
      <w:pPr>
        <w:pStyle w:val="Formula"/>
        <w:spacing w:before="240"/>
      </w:pPr>
      <m:oMath>
        <m:sSub>
          <m:sSubPr>
            <m:ctrlPr>
              <w:rPr>
                <w:rFonts w:ascii="Cambria Math" w:eastAsiaTheme="minorEastAsia" w:hAnsi="Cambria Math"/>
              </w:rPr>
            </m:ctrlPr>
          </m:sSubPr>
          <m:e>
            <m:r>
              <w:rPr>
                <w:rFonts w:ascii="Cambria Math" w:eastAsiaTheme="minorEastAsia"/>
              </w:rPr>
              <m:t>E</m:t>
            </m:r>
          </m:e>
          <m:sub>
            <m:r>
              <m:rPr>
                <m:sty m:val="p"/>
              </m:rPr>
              <w:rPr>
                <w:rFonts w:eastAsiaTheme="minorEastAsia"/>
              </w:rPr>
              <m:t>Ed</m:t>
            </m:r>
          </m:sub>
        </m:sSub>
        <m:r>
          <w:rPr>
            <w:rFonts w:eastAsiaTheme="minorEastAsia"/>
          </w:rPr>
          <m:t>=</m:t>
        </m:r>
        <m:sSub>
          <m:sSubPr>
            <m:ctrlPr>
              <w:rPr>
                <w:rFonts w:ascii="Cambria Math" w:eastAsiaTheme="minorEastAsia" w:hAnsi="Cambria Math"/>
              </w:rPr>
            </m:ctrlPr>
          </m:sSubPr>
          <m:e>
            <m:r>
              <w:rPr>
                <w:rFonts w:ascii="Cambria Math" w:eastAsiaTheme="minorEastAsia"/>
              </w:rPr>
              <m:t>E</m:t>
            </m:r>
          </m:e>
          <m:sub>
            <m:r>
              <m:rPr>
                <m:sty m:val="p"/>
              </m:rPr>
              <w:rPr>
                <w:rFonts w:eastAsiaTheme="minorEastAsia"/>
              </w:rPr>
              <m:t>Ed,G</m:t>
            </m:r>
          </m:sub>
        </m:sSub>
        <m:r>
          <w:rPr>
            <w:rFonts w:eastAsiaTheme="minorEastAsia"/>
          </w:rPr>
          <m:t xml:space="preserve"> "+" </m:t>
        </m:r>
        <m:sSub>
          <m:sSubPr>
            <m:ctrlPr>
              <w:rPr>
                <w:rFonts w:ascii="Cambria Math" w:eastAsiaTheme="minorEastAsia" w:hAnsi="Cambria Math"/>
              </w:rPr>
            </m:ctrlPr>
          </m:sSubPr>
          <m:e>
            <m:r>
              <m:rPr>
                <m:sty m:val="p"/>
              </m:rPr>
              <w:rPr>
                <w:rFonts w:ascii="Cambria Math" w:eastAsiaTheme="minorEastAsia" w:hAnsi="Cambria Math"/>
              </w:rPr>
              <m:t>Ω</m:t>
            </m:r>
          </m:e>
          <m:sub>
            <m:r>
              <m:rPr>
                <m:sty m:val="p"/>
              </m:rPr>
              <w:rPr>
                <w:rFonts w:eastAsiaTheme="minorEastAsia"/>
              </w:rPr>
              <m:t>Ed,E</m:t>
            </m:r>
            <m:r>
              <w:rPr>
                <w:rFonts w:eastAsiaTheme="minorEastAsia"/>
              </w:rPr>
              <m:t xml:space="preserve"> </m:t>
            </m:r>
          </m:sub>
        </m:sSub>
        <m:r>
          <w:rPr>
            <w:rFonts w:ascii="Cambria Math" w:hAnsi="Cambria Math"/>
          </w:rPr>
          <m:t xml:space="preserve"> </m:t>
        </m:r>
      </m:oMath>
      <w:r w:rsidR="00A17FFA" w:rsidRPr="00870D59">
        <w:tab/>
        <w:t>(1</w:t>
      </w:r>
      <w:r w:rsidR="00A17FFA">
        <w:t>1</w:t>
      </w:r>
      <w:r w:rsidR="00A17FFA" w:rsidRPr="00870D59">
        <w:t>.</w:t>
      </w:r>
      <w:r w:rsidR="00A17FFA">
        <w:t>54</w:t>
      </w:r>
      <w:r w:rsidR="00A17FFA" w:rsidRPr="00870D59">
        <w:t>)</w:t>
      </w:r>
    </w:p>
    <w:p w14:paraId="0C029FC7" w14:textId="7BFB2F24" w:rsidR="00A17FFA" w:rsidRDefault="00675EBA" w:rsidP="00A17FFA">
      <w:r>
        <w:lastRenderedPageBreak/>
        <w:t>where</w:t>
      </w:r>
    </w:p>
    <w:tbl>
      <w:tblPr>
        <w:tblW w:w="0" w:type="auto"/>
        <w:tblInd w:w="346" w:type="dxa"/>
        <w:tblLook w:val="04A0" w:firstRow="1" w:lastRow="0" w:firstColumn="1" w:lastColumn="0" w:noHBand="0" w:noVBand="1"/>
      </w:tblPr>
      <w:tblGrid>
        <w:gridCol w:w="1372"/>
        <w:gridCol w:w="7845"/>
      </w:tblGrid>
      <w:tr w:rsidR="00A17FFA" w:rsidRPr="00821B21" w14:paraId="7923331E" w14:textId="77777777" w:rsidTr="0078003E">
        <w:tc>
          <w:tcPr>
            <w:tcW w:w="1372" w:type="dxa"/>
          </w:tcPr>
          <w:p w14:paraId="5BB85774" w14:textId="601BFC19" w:rsidR="00A17FFA" w:rsidRPr="005059E8" w:rsidRDefault="00A17FFA" w:rsidP="002061E5">
            <w:pPr>
              <w:spacing w:after="60"/>
              <w:rPr>
                <w:i/>
              </w:rPr>
            </w:pPr>
            <w:r w:rsidRPr="00771928">
              <w:rPr>
                <w:i/>
              </w:rPr>
              <w:t>E</w:t>
            </w:r>
            <w:r w:rsidRPr="00771928">
              <w:rPr>
                <w:vertAlign w:val="subscript"/>
              </w:rPr>
              <w:t>Ed,G</w:t>
            </w:r>
          </w:p>
        </w:tc>
        <w:tc>
          <w:tcPr>
            <w:tcW w:w="7845" w:type="dxa"/>
          </w:tcPr>
          <w:p w14:paraId="49FFE5E4" w14:textId="05A5457E" w:rsidR="00A17FFA" w:rsidRPr="00571E24" w:rsidRDefault="006960B0" w:rsidP="002061E5">
            <w:pPr>
              <w:spacing w:after="60"/>
            </w:pPr>
            <w:r w:rsidRPr="00771928">
              <w:t>is the action effect due to the non-seismic actions in the seismic design situation;</w:t>
            </w:r>
          </w:p>
        </w:tc>
      </w:tr>
      <w:tr w:rsidR="00A17FFA" w:rsidRPr="00821B21" w14:paraId="0599390D" w14:textId="77777777" w:rsidTr="0078003E">
        <w:tc>
          <w:tcPr>
            <w:tcW w:w="1372" w:type="dxa"/>
          </w:tcPr>
          <w:p w14:paraId="566CF730" w14:textId="61422533" w:rsidR="00A17FFA" w:rsidRPr="005059E8" w:rsidRDefault="00A17FFA" w:rsidP="002061E5">
            <w:pPr>
              <w:spacing w:after="60"/>
              <w:rPr>
                <w:i/>
              </w:rPr>
            </w:pPr>
            <w:r w:rsidRPr="00771928">
              <w:rPr>
                <w:i/>
              </w:rPr>
              <w:t>E</w:t>
            </w:r>
            <w:r w:rsidRPr="00771928">
              <w:rPr>
                <w:vertAlign w:val="subscript"/>
              </w:rPr>
              <w:t>Ed,E</w:t>
            </w:r>
          </w:p>
        </w:tc>
        <w:tc>
          <w:tcPr>
            <w:tcW w:w="7845" w:type="dxa"/>
          </w:tcPr>
          <w:p w14:paraId="2D53DEDB" w14:textId="6EB49B4B" w:rsidR="00A17FFA" w:rsidRPr="00571E24" w:rsidRDefault="006960B0" w:rsidP="002061E5">
            <w:pPr>
              <w:spacing w:after="60"/>
            </w:pPr>
            <w:r w:rsidRPr="00771928">
              <w:t>is the seismic action effect due to the design seismic action;</w:t>
            </w:r>
          </w:p>
        </w:tc>
      </w:tr>
      <w:tr w:rsidR="00A17FFA" w:rsidRPr="00821B21" w14:paraId="68F3B0B1" w14:textId="77777777" w:rsidTr="0078003E">
        <w:tc>
          <w:tcPr>
            <w:tcW w:w="1372" w:type="dxa"/>
          </w:tcPr>
          <w:p w14:paraId="622E51C1" w14:textId="3FE36D22" w:rsidR="00A17FFA" w:rsidRPr="00D1484A" w:rsidRDefault="006960B0" w:rsidP="002061E5">
            <w:pPr>
              <w:spacing w:after="60"/>
              <w:rPr>
                <w:i/>
              </w:rPr>
            </w:pPr>
            <w:r w:rsidRPr="00771928">
              <w:rPr>
                <w:i/>
              </w:rPr>
              <w:t>Ω</w:t>
            </w:r>
          </w:p>
        </w:tc>
        <w:tc>
          <w:tcPr>
            <w:tcW w:w="7845" w:type="dxa"/>
          </w:tcPr>
          <w:p w14:paraId="2603557F" w14:textId="6C26E70A" w:rsidR="00A17FFA" w:rsidRPr="00571E24" w:rsidRDefault="006960B0" w:rsidP="002061E5">
            <w:pPr>
              <w:pStyle w:val="Listofsymbols"/>
              <w:ind w:left="993" w:hanging="993"/>
            </w:pPr>
            <w:r w:rsidRPr="00771928">
              <w:t>is the seismic action magnification factor, see Table 11.</w:t>
            </w:r>
            <w:r w:rsidR="00C606A0">
              <w:t>9</w:t>
            </w:r>
            <w:r>
              <w:t>.</w:t>
            </w:r>
          </w:p>
        </w:tc>
      </w:tr>
    </w:tbl>
    <w:p w14:paraId="0E68D3CD" w14:textId="666C53A6" w:rsidR="006960B0" w:rsidRPr="004F74EA" w:rsidRDefault="006960B0" w:rsidP="00724E4E">
      <w:pPr>
        <w:pStyle w:val="Clause"/>
      </w:pPr>
      <w:r w:rsidRPr="00132C1E">
        <w:t xml:space="preserve">In </w:t>
      </w:r>
      <w:r w:rsidRPr="004F74EA">
        <w:t xml:space="preserve">DC3, non-dissipative components should be designed to provide adequate overstrength with respect to the expected resistance of the dissipative members in accordance with </w:t>
      </w:r>
      <w:r w:rsidRPr="006960B0">
        <w:t>Annex F</w:t>
      </w:r>
      <w:r w:rsidRPr="004F74EA">
        <w:t>.</w:t>
      </w:r>
    </w:p>
    <w:p w14:paraId="66921C3D" w14:textId="51E51D3A" w:rsidR="006960B0" w:rsidRPr="00132C1E" w:rsidRDefault="006960B0" w:rsidP="006960B0">
      <w:pPr>
        <w:pStyle w:val="Heading3"/>
      </w:pPr>
      <w:bookmarkStart w:id="9802" w:name="_Toc50150469"/>
      <w:bookmarkStart w:id="9803" w:name="_Toc70886901"/>
      <w:bookmarkStart w:id="9804" w:name="_Toc108342459"/>
      <w:bookmarkStart w:id="9805" w:name="_Toc134197991"/>
      <w:r w:rsidRPr="00132C1E">
        <w:t xml:space="preserve">Specific </w:t>
      </w:r>
      <w:r>
        <w:t>verification</w:t>
      </w:r>
      <w:r w:rsidRPr="00132C1E">
        <w:t xml:space="preserve"> for dissipative (DC2 and DC3) strap braced walls</w:t>
      </w:r>
      <w:bookmarkEnd w:id="9802"/>
      <w:bookmarkEnd w:id="9803"/>
      <w:bookmarkEnd w:id="9804"/>
      <w:bookmarkEnd w:id="9805"/>
    </w:p>
    <w:p w14:paraId="0E5235EB" w14:textId="7504452E" w:rsidR="006960B0" w:rsidRPr="00132C1E" w:rsidRDefault="006960B0" w:rsidP="0080187E">
      <w:pPr>
        <w:pStyle w:val="Clause"/>
        <w:numPr>
          <w:ilvl w:val="0"/>
          <w:numId w:val="408"/>
        </w:numPr>
      </w:pPr>
      <w:r w:rsidRPr="00132C1E">
        <w:t>The mechanism of dissipative behaviour in a strap braced wall should be the tension yielding of the strap braces. Other failure mechanisms should be avoided.</w:t>
      </w:r>
    </w:p>
    <w:p w14:paraId="02EB1F1D" w14:textId="650900B9" w:rsidR="006960B0" w:rsidRPr="00132C1E" w:rsidRDefault="006960B0" w:rsidP="00724E4E">
      <w:pPr>
        <w:pStyle w:val="Clause"/>
      </w:pPr>
      <w:r w:rsidRPr="00132C1E">
        <w:t>Strap braced walls should be designed to resist in-plane lateral forces mainly with tension-only steel straps applied diagonally to form a vertical truss and should be provided with chord studs or other vertical boundary elements, hold-downs and shear anchorage at each end of the wall.</w:t>
      </w:r>
    </w:p>
    <w:p w14:paraId="11154B7E" w14:textId="3FDEE521" w:rsidR="006960B0" w:rsidRPr="004F74EA" w:rsidRDefault="006960B0" w:rsidP="00724E4E">
      <w:pPr>
        <w:pStyle w:val="Clause"/>
      </w:pPr>
      <w:r w:rsidRPr="004F74EA">
        <w:t xml:space="preserve">The yield resistance </w:t>
      </w:r>
      <w:r w:rsidRPr="004F74EA">
        <w:rPr>
          <w:i/>
        </w:rPr>
        <w:t>N</w:t>
      </w:r>
      <w:r w:rsidRPr="004F74EA">
        <w:rPr>
          <w:iCs/>
          <w:vertAlign w:val="subscript"/>
        </w:rPr>
        <w:t>pl,Rd</w:t>
      </w:r>
      <w:r w:rsidRPr="004F74EA">
        <w:t xml:space="preserve"> of the gross cross-section of the strap braces should be such that </w:t>
      </w:r>
      <w:r w:rsidRPr="004F74EA">
        <w:rPr>
          <w:i/>
        </w:rPr>
        <w:t>N</w:t>
      </w:r>
      <w:r w:rsidRPr="004F74EA">
        <w:rPr>
          <w:iCs/>
          <w:vertAlign w:val="subscript"/>
        </w:rPr>
        <w:t>pl,Rd</w:t>
      </w:r>
      <w:r w:rsidRPr="004F74EA">
        <w:t xml:space="preserve"> ≥ </w:t>
      </w:r>
      <w:r w:rsidRPr="004F74EA">
        <w:rPr>
          <w:i/>
        </w:rPr>
        <w:t>N</w:t>
      </w:r>
      <w:r w:rsidRPr="004F74EA">
        <w:rPr>
          <w:iCs/>
          <w:vertAlign w:val="subscript"/>
        </w:rPr>
        <w:t>Ed</w:t>
      </w:r>
      <w:r w:rsidRPr="004F74EA">
        <w:t xml:space="preserve">, where </w:t>
      </w:r>
      <w:r w:rsidRPr="004F74EA">
        <w:rPr>
          <w:i/>
        </w:rPr>
        <w:t>N</w:t>
      </w:r>
      <w:r w:rsidRPr="004F74EA">
        <w:rPr>
          <w:iCs/>
          <w:vertAlign w:val="subscript"/>
        </w:rPr>
        <w:t>Ed</w:t>
      </w:r>
      <w:r w:rsidRPr="004F74EA">
        <w:t xml:space="preserve"> is the design value of the axial force in the strap brace in the seismic design situation, and should not be </w:t>
      </w:r>
      <w:r w:rsidRPr="00132C1E">
        <w:t>smaller</w:t>
      </w:r>
      <w:r w:rsidRPr="004F74EA">
        <w:t xml:space="preserve">  than </w:t>
      </w:r>
      <w:r w:rsidRPr="004F74EA">
        <w:rPr>
          <w:i/>
        </w:rPr>
        <w:t>N</w:t>
      </w:r>
      <w:r w:rsidRPr="004F74EA">
        <w:rPr>
          <w:iCs/>
          <w:vertAlign w:val="subscript"/>
        </w:rPr>
        <w:t>u,Rd</w:t>
      </w:r>
      <w:r w:rsidRPr="004F74EA">
        <w:t>, the design net area resistance of the strap brace.</w:t>
      </w:r>
    </w:p>
    <w:p w14:paraId="78FDDDD7" w14:textId="00CBAF98" w:rsidR="006960B0" w:rsidRPr="00274699" w:rsidRDefault="006960B0" w:rsidP="006960B0">
      <w:pPr>
        <w:pStyle w:val="Notetext"/>
        <w:rPr>
          <w:rFonts w:asciiTheme="majorHAnsi" w:eastAsiaTheme="minorEastAsia" w:hAnsiTheme="majorHAnsi"/>
          <w:lang w:eastAsia="it-IT"/>
        </w:rPr>
      </w:pPr>
      <w:r w:rsidRPr="00132C1E">
        <w:t>NOTE</w:t>
      </w:r>
      <w:r w:rsidRPr="00132C1E">
        <w:tab/>
        <w:t xml:space="preserve">Complementary design rules are given in </w:t>
      </w:r>
      <w:r w:rsidRPr="00274699">
        <w:t>Annex</w:t>
      </w:r>
      <w:r w:rsidR="008D6D68" w:rsidRPr="00274699">
        <w:t xml:space="preserve"> </w:t>
      </w:r>
      <w:r w:rsidRPr="00274699">
        <w:t>F, F.3.</w:t>
      </w:r>
    </w:p>
    <w:p w14:paraId="3E34735F" w14:textId="77777777" w:rsidR="006960B0" w:rsidRPr="00132C1E" w:rsidRDefault="006960B0" w:rsidP="006960B0">
      <w:pPr>
        <w:pStyle w:val="Heading3"/>
      </w:pPr>
      <w:bookmarkStart w:id="9806" w:name="_Toc18314155"/>
      <w:bookmarkStart w:id="9807" w:name="_Toc50150470"/>
      <w:bookmarkStart w:id="9808" w:name="_Toc70886902"/>
      <w:bookmarkStart w:id="9809" w:name="_Toc108342460"/>
      <w:bookmarkStart w:id="9810" w:name="_Toc134197992"/>
      <w:bookmarkStart w:id="9811" w:name="_Toc522955962"/>
      <w:r w:rsidRPr="00132C1E">
        <w:t xml:space="preserve">Specific </w:t>
      </w:r>
      <w:r>
        <w:t>verification</w:t>
      </w:r>
      <w:r w:rsidRPr="00132C1E">
        <w:t xml:space="preserve"> for dissipative (DC2 and DC3) shear walls with steel sheet sheathing</w:t>
      </w:r>
      <w:bookmarkEnd w:id="9806"/>
      <w:bookmarkEnd w:id="9807"/>
      <w:bookmarkEnd w:id="9808"/>
      <w:bookmarkEnd w:id="9809"/>
      <w:bookmarkEnd w:id="9810"/>
    </w:p>
    <w:bookmarkEnd w:id="9811"/>
    <w:p w14:paraId="7D3ADD7F" w14:textId="6D860D51" w:rsidR="006960B0" w:rsidRPr="00132C1E" w:rsidRDefault="006960B0" w:rsidP="0080187E">
      <w:pPr>
        <w:pStyle w:val="Clause"/>
        <w:numPr>
          <w:ilvl w:val="0"/>
          <w:numId w:val="409"/>
        </w:numPr>
      </w:pPr>
      <w:r w:rsidRPr="00132C1E">
        <w:t>In shear walls with steel sheet sheathing, the dissipative components should be the member-to-sheathing connections.</w:t>
      </w:r>
    </w:p>
    <w:p w14:paraId="5650571C" w14:textId="4AB9DBCE" w:rsidR="006960B0" w:rsidRPr="004F74EA" w:rsidRDefault="006960B0" w:rsidP="00724E4E">
      <w:pPr>
        <w:pStyle w:val="Clause"/>
      </w:pPr>
      <w:r w:rsidRPr="004F74EA">
        <w:t xml:space="preserve">The design value of in-plane lateral resistance </w:t>
      </w:r>
      <w:r w:rsidRPr="004F74EA">
        <w:rPr>
          <w:i/>
        </w:rPr>
        <w:t>R</w:t>
      </w:r>
      <w:r w:rsidRPr="004F74EA">
        <w:rPr>
          <w:iCs/>
          <w:vertAlign w:val="subscript"/>
        </w:rPr>
        <w:t>c,Rd</w:t>
      </w:r>
      <w:r w:rsidRPr="004F74EA">
        <w:t xml:space="preserve"> corresponding to the resistance of the member-to-sheathing connections within the effective sheathing strip should not be smaller than </w:t>
      </w:r>
      <w:r w:rsidRPr="004F74EA">
        <w:rPr>
          <w:i/>
        </w:rPr>
        <w:t>F</w:t>
      </w:r>
      <w:r w:rsidRPr="004F74EA">
        <w:rPr>
          <w:iCs/>
          <w:vertAlign w:val="subscript"/>
        </w:rPr>
        <w:t>Ed</w:t>
      </w:r>
      <w:r w:rsidRPr="004F74EA">
        <w:t xml:space="preserve"> where  </w:t>
      </w:r>
      <w:r w:rsidRPr="004F74EA">
        <w:rPr>
          <w:i/>
        </w:rPr>
        <w:t>F</w:t>
      </w:r>
      <w:r w:rsidRPr="004F74EA">
        <w:rPr>
          <w:iCs/>
          <w:vertAlign w:val="subscript"/>
        </w:rPr>
        <w:t>Ed</w:t>
      </w:r>
      <w:r w:rsidRPr="004F74EA">
        <w:t xml:space="preserve"> is the design value of the lateral force acting on the shear wall in the seismic design situation, and should not be greater than </w:t>
      </w:r>
      <w:r w:rsidRPr="004F74EA">
        <w:rPr>
          <w:i/>
        </w:rPr>
        <w:t>R</w:t>
      </w:r>
      <w:r w:rsidRPr="004F74EA">
        <w:rPr>
          <w:iCs/>
          <w:vertAlign w:val="subscript"/>
        </w:rPr>
        <w:t>y,Rd</w:t>
      </w:r>
      <w:r w:rsidRPr="004F74EA">
        <w:t>, the design value of the in-plane lateral resistance corresponding to the yielding resistance of the effective sheathing strip.</w:t>
      </w:r>
    </w:p>
    <w:p w14:paraId="632A9E51" w14:textId="57323F95" w:rsidR="006960B0" w:rsidRPr="004F74EA" w:rsidRDefault="006960B0" w:rsidP="00724E4E">
      <w:pPr>
        <w:pStyle w:val="Clause"/>
      </w:pPr>
      <w:r w:rsidRPr="00132C1E">
        <w:t xml:space="preserve">The </w:t>
      </w:r>
      <w:r w:rsidRPr="004F74EA">
        <w:t xml:space="preserve">resistance of the single member-to-sheathing connection </w:t>
      </w:r>
      <w:r w:rsidRPr="004F74EA">
        <w:rPr>
          <w:i/>
          <w:iCs/>
        </w:rPr>
        <w:t>F</w:t>
      </w:r>
      <w:r w:rsidRPr="004F74EA">
        <w:rPr>
          <w:vertAlign w:val="subscript"/>
        </w:rPr>
        <w:t>c,Rd</w:t>
      </w:r>
      <w:r w:rsidRPr="004F74EA">
        <w:t xml:space="preserve"> should satisfy Formula (11.55).</w:t>
      </w:r>
    </w:p>
    <w:p w14:paraId="370E70B3" w14:textId="34459E39" w:rsidR="00A66F82" w:rsidRDefault="009B5CEC" w:rsidP="00A66F82">
      <w:pPr>
        <w:pStyle w:val="Formula"/>
        <w:spacing w:before="240"/>
      </w:pPr>
      <m:oMath>
        <m:sSub>
          <m:sSubPr>
            <m:ctrlPr>
              <w:rPr>
                <w:rFonts w:ascii="Cambria Math" w:eastAsiaTheme="minorEastAsia" w:hAnsi="Cambria Math"/>
              </w:rPr>
            </m:ctrlPr>
          </m:sSubPr>
          <m:e>
            <m:r>
              <w:rPr>
                <w:rFonts w:ascii="Cambria Math" w:eastAsiaTheme="minorEastAsia"/>
              </w:rPr>
              <m:t>F</m:t>
            </m:r>
            <m:ctrlPr>
              <w:rPr>
                <w:rFonts w:ascii="Cambria Math" w:eastAsiaTheme="minorEastAsia" w:hAnsiTheme="majorHAnsi"/>
              </w:rPr>
            </m:ctrlPr>
          </m:e>
          <m:sub>
            <m:r>
              <m:rPr>
                <m:sty m:val="p"/>
              </m:rPr>
              <w:rPr>
                <w:rFonts w:eastAsiaTheme="minorEastAsia"/>
                <w:vertAlign w:val="subscript"/>
              </w:rPr>
              <m:t>c,Rd</m:t>
            </m:r>
          </m:sub>
        </m:sSub>
        <m:r>
          <w:rPr>
            <w:rFonts w:eastAsiaTheme="minorEastAsia" w:hAnsiTheme="majorHAnsi"/>
          </w:rPr>
          <m:t>=</m:t>
        </m:r>
        <m:sSub>
          <m:sSubPr>
            <m:ctrlPr>
              <w:rPr>
                <w:rFonts w:ascii="Cambria Math" w:eastAsiaTheme="minorEastAsia" w:hAnsi="Cambria Math"/>
              </w:rPr>
            </m:ctrlPr>
          </m:sSubPr>
          <m:e>
            <m:r>
              <w:rPr>
                <w:rFonts w:ascii="Cambria Math" w:eastAsiaTheme="minorEastAsia" w:hAnsi="Cambria Math"/>
              </w:rPr>
              <m:t>F</m:t>
            </m:r>
            <m:ctrlPr>
              <w:rPr>
                <w:rFonts w:ascii="Cambria Math" w:eastAsiaTheme="minorEastAsia" w:hAnsiTheme="majorHAnsi"/>
              </w:rPr>
            </m:ctrlPr>
          </m:e>
          <m:sub>
            <m:r>
              <m:rPr>
                <m:sty m:val="p"/>
              </m:rPr>
              <w:rPr>
                <w:rFonts w:eastAsiaTheme="minorEastAsia"/>
                <w:vertAlign w:val="subscript"/>
              </w:rPr>
              <m:t>b,Rd</m:t>
            </m:r>
            <m:r>
              <w:rPr>
                <w:rFonts w:eastAsiaTheme="minorEastAsia"/>
              </w:rPr>
              <m:t xml:space="preserve"> </m:t>
            </m:r>
          </m:sub>
        </m:sSub>
        <m:r>
          <w:rPr>
            <w:rFonts w:eastAsiaTheme="minorEastAsia"/>
          </w:rPr>
          <m:t>≤</m:t>
        </m:r>
        <m:sSub>
          <m:sSubPr>
            <m:ctrlPr>
              <w:rPr>
                <w:rFonts w:ascii="Cambria Math" w:eastAsiaTheme="minorEastAsia" w:hAnsi="Cambria Math"/>
              </w:rPr>
            </m:ctrlPr>
          </m:sSubPr>
          <m:e>
            <m:r>
              <w:rPr>
                <w:rFonts w:ascii="Cambria Math" w:eastAsiaTheme="minorEastAsia"/>
              </w:rPr>
              <m:t>F</m:t>
            </m:r>
          </m:e>
          <m:sub>
            <m:r>
              <m:rPr>
                <m:sty m:val="p"/>
              </m:rPr>
              <w:rPr>
                <w:rFonts w:eastAsiaTheme="minorEastAsia"/>
              </w:rPr>
              <m:t>v,Rd</m:t>
            </m:r>
          </m:sub>
        </m:sSub>
        <m:r>
          <w:rPr>
            <w:rFonts w:ascii="Cambria Math" w:eastAsiaTheme="minorEastAsia" w:hAnsi="Cambria Math"/>
          </w:rPr>
          <m:t>/</m:t>
        </m:r>
        <m:r>
          <m:rPr>
            <m:sty m:val="p"/>
          </m:rPr>
          <w:rPr>
            <w:rFonts w:ascii="Cambria Math" w:eastAsiaTheme="minorEastAsia" w:hAnsi="Cambria Math"/>
          </w:rPr>
          <m:t>1,2</m:t>
        </m:r>
        <m:r>
          <w:rPr>
            <w:rFonts w:ascii="Cambria Math" w:hAnsi="Cambria Math"/>
          </w:rPr>
          <m:t xml:space="preserve"> </m:t>
        </m:r>
      </m:oMath>
      <w:r w:rsidR="00A66F82" w:rsidRPr="00870D59">
        <w:tab/>
        <w:t>(1</w:t>
      </w:r>
      <w:r w:rsidR="00A66F82">
        <w:t>1</w:t>
      </w:r>
      <w:r w:rsidR="00A66F82" w:rsidRPr="00870D59">
        <w:t>.</w:t>
      </w:r>
      <w:r w:rsidR="00A66F82">
        <w:t>55</w:t>
      </w:r>
      <w:r w:rsidR="00A66F82" w:rsidRPr="00870D59">
        <w:t>)</w:t>
      </w:r>
    </w:p>
    <w:p w14:paraId="54606332" w14:textId="77777777" w:rsidR="00A66F82" w:rsidRPr="006546BA" w:rsidRDefault="00A66F82" w:rsidP="00A66F82">
      <w:pPr>
        <w:spacing w:before="240" w:after="200"/>
        <w:rPr>
          <w:rFonts w:asciiTheme="majorHAnsi" w:eastAsiaTheme="minorEastAsia" w:hAnsiTheme="majorHAnsi"/>
          <w:lang w:eastAsia="it-IT"/>
        </w:rPr>
      </w:pPr>
      <w:r w:rsidRPr="00D1484A">
        <w:rPr>
          <w:rFonts w:asciiTheme="majorHAnsi" w:eastAsiaTheme="minorEastAsia" w:hAnsiTheme="majorHAnsi"/>
          <w:lang w:eastAsia="it-IT"/>
        </w:rPr>
        <w:t xml:space="preserve">where </w:t>
      </w:r>
      <w:r w:rsidRPr="00D1484A">
        <w:rPr>
          <w:rFonts w:asciiTheme="majorHAnsi" w:eastAsiaTheme="minorEastAsia" w:hAnsiTheme="majorHAnsi"/>
          <w:i/>
          <w:iCs/>
          <w:lang w:eastAsia="it-IT"/>
        </w:rPr>
        <w:t>F</w:t>
      </w:r>
      <w:r w:rsidRPr="007E6F67">
        <w:rPr>
          <w:rFonts w:asciiTheme="majorHAnsi" w:eastAsiaTheme="minorEastAsia" w:hAnsiTheme="majorHAnsi"/>
          <w:vertAlign w:val="subscript"/>
          <w:lang w:eastAsia="it-IT"/>
        </w:rPr>
        <w:t>v,Rd</w:t>
      </w:r>
      <w:r w:rsidRPr="00FD17CF">
        <w:rPr>
          <w:rFonts w:asciiTheme="majorHAnsi" w:eastAsiaTheme="minorEastAsia" w:hAnsiTheme="majorHAnsi"/>
          <w:i/>
          <w:iCs/>
          <w:vertAlign w:val="subscript"/>
          <w:lang w:eastAsia="it-IT"/>
        </w:rPr>
        <w:t xml:space="preserve"> </w:t>
      </w:r>
      <w:r w:rsidRPr="00FD17CF">
        <w:rPr>
          <w:rFonts w:asciiTheme="majorHAnsi" w:eastAsiaTheme="minorEastAsia" w:hAnsiTheme="majorHAnsi"/>
          <w:lang w:eastAsia="it-IT"/>
        </w:rPr>
        <w:t xml:space="preserve">and </w:t>
      </w:r>
      <w:r w:rsidRPr="00FD17CF">
        <w:rPr>
          <w:rFonts w:asciiTheme="majorHAnsi" w:eastAsiaTheme="minorEastAsia" w:hAnsiTheme="majorHAnsi"/>
          <w:i/>
          <w:iCs/>
          <w:lang w:eastAsia="it-IT"/>
        </w:rPr>
        <w:t>F</w:t>
      </w:r>
      <w:r w:rsidRPr="00FD17CF">
        <w:rPr>
          <w:rFonts w:asciiTheme="majorHAnsi" w:eastAsiaTheme="minorEastAsia" w:hAnsiTheme="majorHAnsi"/>
          <w:vertAlign w:val="subscript"/>
          <w:lang w:eastAsia="it-IT"/>
        </w:rPr>
        <w:t>b,Rd</w:t>
      </w:r>
      <w:r w:rsidRPr="00FD17CF">
        <w:rPr>
          <w:rFonts w:asciiTheme="majorHAnsi" w:eastAsiaTheme="minorEastAsia" w:hAnsiTheme="majorHAnsi"/>
          <w:lang w:eastAsia="it-IT"/>
        </w:rPr>
        <w:t xml:space="preserve"> are the </w:t>
      </w:r>
      <w:r w:rsidRPr="00FD17CF">
        <w:rPr>
          <w:rFonts w:asciiTheme="majorHAnsi" w:hAnsiTheme="majorHAnsi"/>
        </w:rPr>
        <w:t>design shear resistance of the screws</w:t>
      </w:r>
      <w:r w:rsidRPr="00FD17CF">
        <w:rPr>
          <w:rFonts w:asciiTheme="majorHAnsi" w:eastAsiaTheme="minorEastAsia" w:hAnsiTheme="majorHAnsi"/>
          <w:lang w:eastAsia="it-IT"/>
        </w:rPr>
        <w:t xml:space="preserve"> and the design bearing resistance of the member-to-sheathing connection, respectively, calculated as given </w:t>
      </w:r>
      <w:r w:rsidRPr="006546BA">
        <w:rPr>
          <w:rFonts w:asciiTheme="majorHAnsi" w:eastAsiaTheme="minorEastAsia" w:hAnsiTheme="majorHAnsi"/>
          <w:lang w:eastAsia="it-IT"/>
        </w:rPr>
        <w:t>in Annex F.4.</w:t>
      </w:r>
      <w:bookmarkStart w:id="9812" w:name="_Hlk38814560"/>
      <w:bookmarkEnd w:id="9812"/>
    </w:p>
    <w:p w14:paraId="10CA50BB" w14:textId="627817B3" w:rsidR="00A66F82" w:rsidRPr="00E05E29" w:rsidRDefault="00A66F82" w:rsidP="006546BA">
      <w:pPr>
        <w:pStyle w:val="Notetext"/>
        <w:rPr>
          <w:rFonts w:asciiTheme="majorHAnsi" w:eastAsiaTheme="minorEastAsia" w:hAnsiTheme="majorHAnsi"/>
          <w:lang w:eastAsia="it-IT"/>
        </w:rPr>
      </w:pPr>
      <w:r w:rsidRPr="00E05E29">
        <w:t>NOTE</w:t>
      </w:r>
      <w:r w:rsidRPr="00E05E29">
        <w:tab/>
        <w:t xml:space="preserve">Complementary design rules are given </w:t>
      </w:r>
      <w:r w:rsidRPr="006546BA">
        <w:t>in Annex F.4</w:t>
      </w:r>
      <w:r w:rsidRPr="00E05E29">
        <w:t>.</w:t>
      </w:r>
    </w:p>
    <w:p w14:paraId="3C87C810" w14:textId="77777777" w:rsidR="00A66F82" w:rsidRPr="00E05E29" w:rsidRDefault="00A66F82" w:rsidP="00A66F82">
      <w:pPr>
        <w:pStyle w:val="Heading3"/>
      </w:pPr>
      <w:bookmarkStart w:id="9813" w:name="_Toc522955963"/>
      <w:bookmarkStart w:id="9814" w:name="_Toc18314156"/>
      <w:bookmarkStart w:id="9815" w:name="_Toc50150471"/>
      <w:bookmarkStart w:id="9816" w:name="_Toc70886903"/>
      <w:bookmarkStart w:id="9817" w:name="_Toc108342461"/>
      <w:bookmarkStart w:id="9818" w:name="_Toc134197993"/>
      <w:r w:rsidRPr="00E05E29">
        <w:t xml:space="preserve">Specific </w:t>
      </w:r>
      <w:r>
        <w:t>verification</w:t>
      </w:r>
      <w:r w:rsidRPr="00E05E29">
        <w:t xml:space="preserve"> for dissipative (DC2 and DC3) shear walls with wood sheathing</w:t>
      </w:r>
      <w:bookmarkEnd w:id="9813"/>
      <w:bookmarkEnd w:id="9814"/>
      <w:bookmarkEnd w:id="9815"/>
      <w:bookmarkEnd w:id="9816"/>
      <w:bookmarkEnd w:id="9817"/>
      <w:bookmarkEnd w:id="9818"/>
    </w:p>
    <w:p w14:paraId="4012D525" w14:textId="34E3A470" w:rsidR="00A66F82" w:rsidRPr="00E05E29" w:rsidRDefault="00A66F82" w:rsidP="0080187E">
      <w:pPr>
        <w:pStyle w:val="Clause"/>
        <w:numPr>
          <w:ilvl w:val="0"/>
          <w:numId w:val="410"/>
        </w:numPr>
      </w:pPr>
      <w:r w:rsidRPr="00E05E29">
        <w:t xml:space="preserve">In shear walls with wood sheathing, the structural member-to-wood sheathing connections should be the </w:t>
      </w:r>
      <w:r w:rsidRPr="008D6D68">
        <w:rPr>
          <w:rFonts w:eastAsiaTheme="minorEastAsia"/>
          <w:lang w:eastAsia="it-IT"/>
        </w:rPr>
        <w:t>dissipative components.</w:t>
      </w:r>
    </w:p>
    <w:p w14:paraId="2D87C349" w14:textId="1C282A77" w:rsidR="00A66F82" w:rsidRPr="00E05E29" w:rsidRDefault="00A66F82" w:rsidP="00724E4E">
      <w:pPr>
        <w:pStyle w:val="Clause"/>
      </w:pPr>
      <w:r w:rsidRPr="004F74EA">
        <w:t xml:space="preserve">The </w:t>
      </w:r>
      <w:bookmarkStart w:id="9819" w:name="_Hlk38814910"/>
      <w:r w:rsidRPr="004F74EA">
        <w:t xml:space="preserve">design value of in-plane lateral resistance </w:t>
      </w:r>
      <w:r w:rsidRPr="004F74EA">
        <w:rPr>
          <w:i/>
        </w:rPr>
        <w:t>R</w:t>
      </w:r>
      <w:r w:rsidRPr="004F74EA">
        <w:rPr>
          <w:iCs/>
          <w:vertAlign w:val="subscript"/>
        </w:rPr>
        <w:t>c,Rd</w:t>
      </w:r>
      <w:r w:rsidRPr="004F74EA">
        <w:t xml:space="preserve"> corresponding to the resistance of the member-to-wood sheathing connection </w:t>
      </w:r>
      <w:bookmarkEnd w:id="9819"/>
      <w:r w:rsidRPr="004F74EA">
        <w:t xml:space="preserve">should not be smaller than </w:t>
      </w:r>
      <w:r w:rsidRPr="004F74EA">
        <w:rPr>
          <w:i/>
        </w:rPr>
        <w:t>F</w:t>
      </w:r>
      <w:r w:rsidRPr="004F74EA">
        <w:rPr>
          <w:iCs/>
          <w:vertAlign w:val="subscript"/>
        </w:rPr>
        <w:t>Ed</w:t>
      </w:r>
      <w:r w:rsidRPr="004F74EA">
        <w:t xml:space="preserve"> where </w:t>
      </w:r>
      <w:bookmarkStart w:id="9820" w:name="_Hlk38814674"/>
      <w:r w:rsidRPr="004F74EA">
        <w:rPr>
          <w:i/>
        </w:rPr>
        <w:t>F</w:t>
      </w:r>
      <w:r w:rsidRPr="004F74EA">
        <w:rPr>
          <w:iCs/>
          <w:vertAlign w:val="subscript"/>
        </w:rPr>
        <w:t>Ed</w:t>
      </w:r>
      <w:r w:rsidRPr="004F74EA">
        <w:t xml:space="preserve"> is the design value of the lateral force acting on the shear wall in the seismic design situation.</w:t>
      </w:r>
    </w:p>
    <w:bookmarkEnd w:id="9820"/>
    <w:p w14:paraId="4C5B8F00" w14:textId="2E6A08E2" w:rsidR="00A66F82" w:rsidRPr="00E05E29" w:rsidRDefault="00A66F82" w:rsidP="006546BA">
      <w:pPr>
        <w:pStyle w:val="Notetext"/>
        <w:rPr>
          <w:rFonts w:asciiTheme="majorHAnsi" w:hAnsiTheme="majorHAnsi"/>
        </w:rPr>
      </w:pPr>
      <w:r w:rsidRPr="00E05E29">
        <w:lastRenderedPageBreak/>
        <w:t>NOTE</w:t>
      </w:r>
      <w:r w:rsidRPr="00E05E29">
        <w:tab/>
        <w:t xml:space="preserve">Complementary design rules are given </w:t>
      </w:r>
      <w:r w:rsidRPr="006546BA">
        <w:t>in Annex F.5</w:t>
      </w:r>
      <w:r w:rsidRPr="00E05E29">
        <w:t>.</w:t>
      </w:r>
    </w:p>
    <w:p w14:paraId="6F89D7C7" w14:textId="77777777" w:rsidR="00A66F82" w:rsidRPr="00E05E29" w:rsidRDefault="00A66F82" w:rsidP="00A66F82">
      <w:pPr>
        <w:pStyle w:val="Heading3"/>
      </w:pPr>
      <w:bookmarkStart w:id="9821" w:name="_Toc18314157"/>
      <w:bookmarkStart w:id="9822" w:name="_Toc50150472"/>
      <w:bookmarkStart w:id="9823" w:name="_Toc70886904"/>
      <w:bookmarkStart w:id="9824" w:name="_Toc108342462"/>
      <w:bookmarkStart w:id="9825" w:name="_Toc134197994"/>
      <w:r w:rsidRPr="00E05E29">
        <w:t xml:space="preserve">Specific </w:t>
      </w:r>
      <w:r>
        <w:t>verification</w:t>
      </w:r>
      <w:r w:rsidRPr="00E05E29">
        <w:t xml:space="preserve"> for dissipative (DC2 and DC3) shear walls with gypsum sheathing</w:t>
      </w:r>
      <w:bookmarkEnd w:id="9821"/>
      <w:bookmarkEnd w:id="9822"/>
      <w:bookmarkEnd w:id="9823"/>
      <w:bookmarkEnd w:id="9824"/>
      <w:bookmarkEnd w:id="9825"/>
    </w:p>
    <w:p w14:paraId="1627D2E6" w14:textId="01CE8B47" w:rsidR="00A66F82" w:rsidRPr="00E05E29" w:rsidRDefault="00A66F82" w:rsidP="0080187E">
      <w:pPr>
        <w:pStyle w:val="Clause"/>
        <w:numPr>
          <w:ilvl w:val="0"/>
          <w:numId w:val="411"/>
        </w:numPr>
      </w:pPr>
      <w:r w:rsidRPr="00E05E29">
        <w:t xml:space="preserve">In shear walls with gypsum sheathing, the structural member-to-gypsum sheathing connections should be the </w:t>
      </w:r>
      <w:r w:rsidRPr="008D6D68">
        <w:rPr>
          <w:rFonts w:eastAsiaTheme="minorEastAsia"/>
          <w:lang w:eastAsia="it-IT"/>
        </w:rPr>
        <w:t>dissipative components.</w:t>
      </w:r>
    </w:p>
    <w:p w14:paraId="10D280B9" w14:textId="6BC1E52D" w:rsidR="00A66F82" w:rsidRPr="00E05E29" w:rsidRDefault="00A66F82" w:rsidP="00724E4E">
      <w:pPr>
        <w:pStyle w:val="Clause"/>
      </w:pPr>
      <w:r w:rsidRPr="004F74EA">
        <w:t xml:space="preserve">The design value of in-plane lateral resistance </w:t>
      </w:r>
      <w:r w:rsidRPr="004F74EA">
        <w:rPr>
          <w:i/>
        </w:rPr>
        <w:t>R</w:t>
      </w:r>
      <w:r w:rsidRPr="004F74EA">
        <w:rPr>
          <w:iCs/>
          <w:vertAlign w:val="subscript"/>
        </w:rPr>
        <w:t>c,Rd</w:t>
      </w:r>
      <w:r w:rsidRPr="004F74EA">
        <w:t xml:space="preserve"> corresponding to the resistance of the member-to-gypsum sheathing connection should not be smaller than </w:t>
      </w:r>
      <w:r w:rsidRPr="004F74EA">
        <w:rPr>
          <w:i/>
        </w:rPr>
        <w:t>F</w:t>
      </w:r>
      <w:r w:rsidRPr="004F74EA">
        <w:rPr>
          <w:iCs/>
          <w:vertAlign w:val="subscript"/>
        </w:rPr>
        <w:t>Ed</w:t>
      </w:r>
      <w:r w:rsidRPr="004F74EA">
        <w:t xml:space="preserve"> where </w:t>
      </w:r>
      <w:r w:rsidRPr="004F74EA">
        <w:rPr>
          <w:i/>
        </w:rPr>
        <w:t>F</w:t>
      </w:r>
      <w:r w:rsidRPr="004F74EA">
        <w:rPr>
          <w:iCs/>
          <w:vertAlign w:val="subscript"/>
        </w:rPr>
        <w:t>Ed</w:t>
      </w:r>
      <w:r w:rsidRPr="004F74EA">
        <w:t xml:space="preserve"> is the design value of the lateral force acting on the shear wall in the seismic design situation.</w:t>
      </w:r>
    </w:p>
    <w:p w14:paraId="76A0F166" w14:textId="11A8AC3C" w:rsidR="00A66F82" w:rsidRPr="00E05E29" w:rsidRDefault="00A66F82" w:rsidP="006546BA">
      <w:pPr>
        <w:pStyle w:val="Notetext"/>
        <w:rPr>
          <w:rFonts w:asciiTheme="majorHAnsi" w:hAnsiTheme="majorHAnsi"/>
        </w:rPr>
      </w:pPr>
      <w:r w:rsidRPr="00E05E29">
        <w:t>NOTE</w:t>
      </w:r>
      <w:r w:rsidRPr="00E05E29">
        <w:tab/>
        <w:t xml:space="preserve">Complementary design rules are given in </w:t>
      </w:r>
      <w:r w:rsidRPr="006546BA">
        <w:t>Annex F.6.</w:t>
      </w:r>
    </w:p>
    <w:p w14:paraId="1759DF1A" w14:textId="77777777" w:rsidR="00A66F82" w:rsidRPr="00E05E29" w:rsidRDefault="00A66F82" w:rsidP="00A66F82">
      <w:pPr>
        <w:pStyle w:val="Heading2"/>
      </w:pPr>
      <w:bookmarkStart w:id="9826" w:name="_Toc483723243"/>
      <w:bookmarkStart w:id="9827" w:name="_Toc483723578"/>
      <w:bookmarkStart w:id="9828" w:name="_Toc484520892"/>
      <w:bookmarkStart w:id="9829" w:name="_Toc509405071"/>
      <w:bookmarkStart w:id="9830" w:name="_Toc76379883"/>
      <w:bookmarkStart w:id="9831" w:name="_Toc494124742"/>
      <w:bookmarkStart w:id="9832" w:name="_Toc522955964"/>
      <w:bookmarkStart w:id="9833" w:name="_Toc18314158"/>
      <w:bookmarkStart w:id="9834" w:name="_Toc50150473"/>
      <w:bookmarkStart w:id="9835" w:name="_Toc70886905"/>
      <w:bookmarkStart w:id="9836" w:name="_Toc108342463"/>
      <w:bookmarkStart w:id="9837" w:name="_Toc134197995"/>
      <w:r>
        <w:t>Verification of</w:t>
      </w:r>
      <w:r w:rsidRPr="00E05E29">
        <w:t xml:space="preserve"> inverted pendulum structures</w:t>
      </w:r>
      <w:bookmarkEnd w:id="9826"/>
      <w:bookmarkEnd w:id="9827"/>
      <w:bookmarkEnd w:id="9828"/>
      <w:bookmarkEnd w:id="9829"/>
      <w:bookmarkEnd w:id="9830"/>
      <w:bookmarkEnd w:id="9831"/>
      <w:bookmarkEnd w:id="9832"/>
      <w:bookmarkEnd w:id="9833"/>
      <w:bookmarkEnd w:id="9834"/>
      <w:bookmarkEnd w:id="9835"/>
      <w:bookmarkEnd w:id="9836"/>
      <w:bookmarkEnd w:id="9837"/>
    </w:p>
    <w:p w14:paraId="6DD0A476" w14:textId="7539935D" w:rsidR="00A66F82" w:rsidRPr="00274699" w:rsidRDefault="00A66F82" w:rsidP="0080187E">
      <w:pPr>
        <w:pStyle w:val="Clause"/>
        <w:numPr>
          <w:ilvl w:val="0"/>
          <w:numId w:val="412"/>
        </w:numPr>
      </w:pPr>
      <w:r w:rsidRPr="00E05E29">
        <w:t>In inverted pendulum structures (</w:t>
      </w:r>
      <w:r w:rsidRPr="00274699">
        <w:t>defined in 11.4.1</w:t>
      </w:r>
      <w:r w:rsidR="00274699">
        <w:t>(1)</w:t>
      </w:r>
      <w:r w:rsidRPr="00274699">
        <w:t>g)), the columns should be verified in compression considering the most unfavourable combination of the axial force and bending moments.</w:t>
      </w:r>
    </w:p>
    <w:p w14:paraId="78422FA9" w14:textId="5AD8B004" w:rsidR="00A66F82" w:rsidRPr="00274699" w:rsidRDefault="00A66F82" w:rsidP="00724E4E">
      <w:pPr>
        <w:pStyle w:val="Clause"/>
      </w:pPr>
      <w:r w:rsidRPr="00274699">
        <w:t xml:space="preserve">In the verifications, </w:t>
      </w:r>
      <w:r w:rsidRPr="00274699">
        <w:rPr>
          <w:i/>
        </w:rPr>
        <w:t>N</w:t>
      </w:r>
      <w:r w:rsidRPr="00274699">
        <w:rPr>
          <w:vertAlign w:val="subscript"/>
        </w:rPr>
        <w:t>Ed</w:t>
      </w:r>
      <w:r w:rsidRPr="00274699">
        <w:t xml:space="preserve">, </w:t>
      </w:r>
      <w:r w:rsidRPr="00274699">
        <w:rPr>
          <w:i/>
        </w:rPr>
        <w:t>M</w:t>
      </w:r>
      <w:r w:rsidRPr="00274699">
        <w:rPr>
          <w:vertAlign w:val="subscript"/>
        </w:rPr>
        <w:t>Ed</w:t>
      </w:r>
      <w:r w:rsidRPr="00274699">
        <w:rPr>
          <w:i/>
        </w:rPr>
        <w:t>, V</w:t>
      </w:r>
      <w:r w:rsidRPr="00274699">
        <w:rPr>
          <w:vertAlign w:val="subscript"/>
        </w:rPr>
        <w:t>Ed</w:t>
      </w:r>
      <w:r w:rsidRPr="00274699">
        <w:rPr>
          <w:i/>
        </w:rPr>
        <w:t xml:space="preserve"> </w:t>
      </w:r>
      <w:r w:rsidRPr="00274699">
        <w:t>should be calculated as given in 11.8.5.</w:t>
      </w:r>
    </w:p>
    <w:p w14:paraId="1E2B5CB5" w14:textId="0B6CCDF1" w:rsidR="00A66F82" w:rsidRPr="00274699" w:rsidRDefault="00A66F82" w:rsidP="00724E4E">
      <w:pPr>
        <w:pStyle w:val="Clause"/>
      </w:pPr>
      <w:r w:rsidRPr="00274699">
        <w:t>The geometrical slenderness of the columns should not exceed 70, as given in 11.9.3(6)</w:t>
      </w:r>
      <w:bookmarkStart w:id="9838" w:name="_Hlk107649542"/>
      <w:r w:rsidRPr="00274699">
        <w:t xml:space="preserve"> The non-dimensional slenderness </w:t>
      </w:r>
      <w:r w:rsidRPr="00274699">
        <w:rPr>
          <w:rFonts w:ascii="Cambria Math" w:hAnsi="Cambria Math" w:cs="Cambria Math"/>
        </w:rPr>
        <w:t>𝜆̅</w:t>
      </w:r>
      <w:r w:rsidRPr="00274699">
        <w:t xml:space="preserve"> of columns should not be greater than 0,85.</w:t>
      </w:r>
      <w:bookmarkEnd w:id="9838"/>
    </w:p>
    <w:p w14:paraId="00905E67" w14:textId="6A66259F" w:rsidR="00A66F82" w:rsidRPr="00E05E29" w:rsidRDefault="00A66F82" w:rsidP="00724E4E">
      <w:pPr>
        <w:pStyle w:val="Clause"/>
      </w:pPr>
      <w:r w:rsidRPr="00274699">
        <w:t>The interstorey drift sensitivity coefficient defined in 11.6.2(2) should</w:t>
      </w:r>
      <w:r w:rsidRPr="00E05E29">
        <w:t xml:space="preserve"> be not greater than 0,20.</w:t>
      </w:r>
    </w:p>
    <w:p w14:paraId="3D82564E" w14:textId="6781D79C" w:rsidR="00A66F82" w:rsidRPr="00E05E29" w:rsidRDefault="00A66F82" w:rsidP="00A66F82">
      <w:pPr>
        <w:pStyle w:val="Heading2"/>
      </w:pPr>
      <w:bookmarkStart w:id="9839" w:name="_Toc483723244"/>
      <w:bookmarkStart w:id="9840" w:name="_Toc483723579"/>
      <w:bookmarkStart w:id="9841" w:name="_Toc484520893"/>
      <w:bookmarkStart w:id="9842" w:name="_Toc509405072"/>
      <w:bookmarkStart w:id="9843" w:name="_Toc76379884"/>
      <w:bookmarkStart w:id="9844" w:name="_Toc494124743"/>
      <w:bookmarkStart w:id="9845" w:name="_Toc522955965"/>
      <w:bookmarkStart w:id="9846" w:name="_Toc18314159"/>
      <w:bookmarkStart w:id="9847" w:name="_Toc50150474"/>
      <w:bookmarkStart w:id="9848" w:name="_Toc70886906"/>
      <w:bookmarkStart w:id="9849" w:name="_Toc108342464"/>
      <w:bookmarkStart w:id="9850" w:name="_Toc134197996"/>
      <w:r w:rsidRPr="00E05E29">
        <w:t>Design rules for steel structures with concrete cores or concrete walls and for moment resisting frames combined with infills</w:t>
      </w:r>
      <w:bookmarkEnd w:id="9839"/>
      <w:bookmarkEnd w:id="9840"/>
      <w:bookmarkEnd w:id="9841"/>
      <w:bookmarkEnd w:id="9842"/>
      <w:bookmarkEnd w:id="9843"/>
      <w:bookmarkEnd w:id="9844"/>
      <w:bookmarkEnd w:id="9845"/>
      <w:bookmarkEnd w:id="9846"/>
      <w:bookmarkEnd w:id="9847"/>
      <w:bookmarkEnd w:id="9848"/>
      <w:bookmarkEnd w:id="9849"/>
      <w:bookmarkEnd w:id="9850"/>
    </w:p>
    <w:p w14:paraId="4C35D3B7" w14:textId="77777777" w:rsidR="00A66F82" w:rsidRPr="00E05E29" w:rsidRDefault="00A66F82" w:rsidP="00A66F82">
      <w:pPr>
        <w:pStyle w:val="Heading3"/>
      </w:pPr>
      <w:bookmarkStart w:id="9851" w:name="_Toc483723245"/>
      <w:bookmarkStart w:id="9852" w:name="_Toc483723580"/>
      <w:bookmarkStart w:id="9853" w:name="_Toc484520894"/>
      <w:bookmarkStart w:id="9854" w:name="_Toc509405073"/>
      <w:bookmarkStart w:id="9855" w:name="_Toc76379885"/>
      <w:bookmarkStart w:id="9856" w:name="_Toc494124744"/>
      <w:r w:rsidRPr="00E05E29">
        <w:t xml:space="preserve"> </w:t>
      </w:r>
      <w:bookmarkStart w:id="9857" w:name="_Toc50150475"/>
      <w:bookmarkStart w:id="9858" w:name="_Toc70886907"/>
      <w:bookmarkStart w:id="9859" w:name="_Toc108342465"/>
      <w:bookmarkStart w:id="9860" w:name="_Toc134197997"/>
      <w:r w:rsidRPr="00E05E29">
        <w:t>Structures with concrete cores or concrete walls</w:t>
      </w:r>
      <w:bookmarkStart w:id="9861" w:name="_Toc522955966"/>
      <w:bookmarkStart w:id="9862" w:name="_Toc18314160"/>
      <w:bookmarkEnd w:id="9851"/>
      <w:bookmarkEnd w:id="9852"/>
      <w:bookmarkEnd w:id="9853"/>
      <w:bookmarkEnd w:id="9854"/>
      <w:bookmarkEnd w:id="9855"/>
      <w:bookmarkEnd w:id="9856"/>
      <w:bookmarkEnd w:id="9857"/>
      <w:bookmarkEnd w:id="9858"/>
      <w:bookmarkEnd w:id="9859"/>
      <w:bookmarkEnd w:id="9861"/>
      <w:bookmarkEnd w:id="9862"/>
      <w:bookmarkEnd w:id="9860"/>
    </w:p>
    <w:p w14:paraId="4807EF91" w14:textId="6BBE2C4F" w:rsidR="00A66F82" w:rsidRPr="00274699" w:rsidRDefault="00A66F82" w:rsidP="0080187E">
      <w:pPr>
        <w:pStyle w:val="Clause"/>
        <w:numPr>
          <w:ilvl w:val="0"/>
          <w:numId w:val="413"/>
        </w:numPr>
      </w:pPr>
      <w:r w:rsidRPr="00E05E29">
        <w:t xml:space="preserve">Concrete </w:t>
      </w:r>
      <w:r w:rsidRPr="00274699">
        <w:t>wall equivalent systems which are dual with a steel structure and conform to the definition in 10.4.1(d), (e) or (f) should be considered as satisfying 6.2.6(7).</w:t>
      </w:r>
    </w:p>
    <w:p w14:paraId="737E7094" w14:textId="5BD7822E" w:rsidR="00A66F82" w:rsidRPr="00274699" w:rsidRDefault="00A66F82" w:rsidP="00724E4E">
      <w:pPr>
        <w:pStyle w:val="Clause"/>
      </w:pPr>
      <w:r w:rsidRPr="00274699">
        <w:t>The steel members should be verified in accordance with the relevant parts of pr</w:t>
      </w:r>
      <w:r w:rsidR="00C30FF9">
        <w:t>EN 1</w:t>
      </w:r>
      <w:r w:rsidRPr="00274699">
        <w:t xml:space="preserve">993, while the concrete members should be designed in accordance with </w:t>
      </w:r>
      <w:r w:rsidR="00274699">
        <w:t xml:space="preserve">Clause </w:t>
      </w:r>
      <w:r w:rsidRPr="00274699">
        <w:t>10.</w:t>
      </w:r>
    </w:p>
    <w:p w14:paraId="54B1D4FA" w14:textId="63AD51B5" w:rsidR="00A66F82" w:rsidRPr="00274699" w:rsidRDefault="00A66F82" w:rsidP="00724E4E">
      <w:pPr>
        <w:pStyle w:val="Clause"/>
      </w:pPr>
      <w:r w:rsidRPr="00274699">
        <w:t xml:space="preserve">Members in which there is an interaction between steel and concrete should be verified in accordance with </w:t>
      </w:r>
      <w:r w:rsidR="00274699">
        <w:t xml:space="preserve">Clause </w:t>
      </w:r>
      <w:r w:rsidRPr="00274699">
        <w:t>12.</w:t>
      </w:r>
    </w:p>
    <w:p w14:paraId="4544545C" w14:textId="2507922A" w:rsidR="00A66F82" w:rsidRPr="00E05E29" w:rsidRDefault="00A66F82" w:rsidP="00A66F82">
      <w:pPr>
        <w:pStyle w:val="Heading3"/>
      </w:pPr>
      <w:bookmarkStart w:id="9863" w:name="_Toc76379887"/>
      <w:bookmarkStart w:id="9864" w:name="_Toc494124746"/>
      <w:bookmarkStart w:id="9865" w:name="_Toc522955967"/>
      <w:bookmarkStart w:id="9866" w:name="_Toc18314161"/>
      <w:bookmarkStart w:id="9867" w:name="_Toc50150476"/>
      <w:bookmarkStart w:id="9868" w:name="_Toc70886908"/>
      <w:bookmarkStart w:id="9869" w:name="_Toc108342466"/>
      <w:bookmarkStart w:id="9870" w:name="_Toc134197998"/>
      <w:r w:rsidRPr="00E05E29">
        <w:t>Moment resisting frames combined with infills</w:t>
      </w:r>
      <w:bookmarkEnd w:id="9863"/>
      <w:bookmarkEnd w:id="9864"/>
      <w:bookmarkEnd w:id="9865"/>
      <w:bookmarkEnd w:id="9866"/>
      <w:bookmarkEnd w:id="9867"/>
      <w:bookmarkEnd w:id="9868"/>
      <w:bookmarkEnd w:id="9869"/>
      <w:bookmarkEnd w:id="9870"/>
    </w:p>
    <w:p w14:paraId="69652995" w14:textId="21CCC623" w:rsidR="00A66F82" w:rsidRPr="00274699" w:rsidRDefault="00A66F82" w:rsidP="0080187E">
      <w:pPr>
        <w:pStyle w:val="Clause"/>
        <w:numPr>
          <w:ilvl w:val="0"/>
          <w:numId w:val="414"/>
        </w:numPr>
      </w:pPr>
      <w:r w:rsidRPr="00E05E29">
        <w:t xml:space="preserve">Moment resisting frames in which reinforced concrete infills are connected to the steel structure in order to behave as a composite structure should be designed in accordance </w:t>
      </w:r>
      <w:r w:rsidRPr="00274699">
        <w:t xml:space="preserve">with 7.4 and </w:t>
      </w:r>
      <w:r w:rsidR="00274699" w:rsidRPr="00274699">
        <w:t xml:space="preserve">Clause </w:t>
      </w:r>
      <w:r w:rsidRPr="00274699">
        <w:t>12.</w:t>
      </w:r>
    </w:p>
    <w:p w14:paraId="68F92300" w14:textId="676C1F12" w:rsidR="00A66F82" w:rsidRPr="00274699" w:rsidRDefault="00A66F82" w:rsidP="00724E4E">
      <w:pPr>
        <w:pStyle w:val="Clause"/>
      </w:pPr>
      <w:r w:rsidRPr="00274699">
        <w:t>The moment resisting frames in which the infills are structurally disconnected from the steel frame on the lateral and top sides should be designed as steel structures.</w:t>
      </w:r>
    </w:p>
    <w:p w14:paraId="38C0AA17" w14:textId="39F0DF6A" w:rsidR="00A66F82" w:rsidRPr="00274699" w:rsidRDefault="00A66F82" w:rsidP="00724E4E">
      <w:pPr>
        <w:pStyle w:val="Clause"/>
      </w:pPr>
      <w:r w:rsidRPr="00274699">
        <w:t>The moment resisting frames in which the infills are in contact with the steel frame, but are not positively connected to that frame, should be designed to 7.4.</w:t>
      </w:r>
    </w:p>
    <w:p w14:paraId="524A0E32" w14:textId="77777777" w:rsidR="00A66F82" w:rsidRPr="00E05E29" w:rsidRDefault="00A66F82" w:rsidP="00A66F82">
      <w:pPr>
        <w:pStyle w:val="Heading2"/>
      </w:pPr>
      <w:bookmarkStart w:id="9871" w:name="_Toc522955968"/>
      <w:bookmarkStart w:id="9872" w:name="_Toc18314162"/>
      <w:bookmarkStart w:id="9873" w:name="_Toc50150477"/>
      <w:bookmarkStart w:id="9874" w:name="_Toc70886909"/>
      <w:bookmarkStart w:id="9875" w:name="_Toc108342467"/>
      <w:bookmarkStart w:id="9876" w:name="_Toc134197999"/>
      <w:bookmarkStart w:id="9877" w:name="_Toc483723249"/>
      <w:bookmarkStart w:id="9878" w:name="_Toc483723584"/>
      <w:bookmarkStart w:id="9879" w:name="_Toc484520898"/>
      <w:bookmarkStart w:id="9880" w:name="_Toc509405077"/>
      <w:bookmarkStart w:id="9881" w:name="_Toc76379888"/>
      <w:bookmarkStart w:id="9882" w:name="_Toc494124747"/>
      <w:r w:rsidRPr="00E05E29">
        <w:t>Steel diaphragms</w:t>
      </w:r>
      <w:bookmarkEnd w:id="9871"/>
      <w:bookmarkEnd w:id="9872"/>
      <w:bookmarkEnd w:id="9873"/>
      <w:bookmarkEnd w:id="9874"/>
      <w:bookmarkEnd w:id="9875"/>
      <w:bookmarkEnd w:id="9876"/>
    </w:p>
    <w:p w14:paraId="7E0F65D5" w14:textId="6ABA192B" w:rsidR="00A66F82" w:rsidRPr="00274699" w:rsidRDefault="00A66F82" w:rsidP="0080187E">
      <w:pPr>
        <w:pStyle w:val="Clause"/>
        <w:numPr>
          <w:ilvl w:val="0"/>
          <w:numId w:val="415"/>
        </w:numPr>
      </w:pPr>
      <w:r w:rsidRPr="00E05E29">
        <w:t xml:space="preserve">The design of floor diaphragms should </w:t>
      </w:r>
      <w:r w:rsidRPr="00274699">
        <w:t>conform to 6.2.8.</w:t>
      </w:r>
    </w:p>
    <w:p w14:paraId="2FC29C22" w14:textId="006477FE" w:rsidR="00A66F82" w:rsidRPr="00274699" w:rsidRDefault="00A66F82" w:rsidP="00724E4E">
      <w:pPr>
        <w:pStyle w:val="Clause"/>
      </w:pPr>
      <w:r w:rsidRPr="00274699">
        <w:t>Chord and collector beams should be designed to resist the in-plane diaphragm forces.</w:t>
      </w:r>
    </w:p>
    <w:p w14:paraId="57EC92A7" w14:textId="47D9EE21" w:rsidR="00A66F82" w:rsidRPr="00196951" w:rsidRDefault="00A66F82" w:rsidP="00724E4E">
      <w:pPr>
        <w:pStyle w:val="Clause"/>
      </w:pPr>
      <w:r w:rsidRPr="00274699">
        <w:lastRenderedPageBreak/>
        <w:t>In a floor truss used as a diaphragm, all members of the truss and their connections should be designed to resist the design action effects resulting from the load combination as given in prEN</w:t>
      </w:r>
      <w:r w:rsidR="00274699">
        <w:t> </w:t>
      </w:r>
      <w:r w:rsidRPr="00274699">
        <w:t xml:space="preserve">1998-1-1:2022, 6.4.4, where the seismic action effects should be amplified by the overstrength factor </w:t>
      </w:r>
      <w:r w:rsidRPr="00274699">
        <w:rPr>
          <w:i/>
          <w:iCs/>
        </w:rPr>
        <w:t>γ</w:t>
      </w:r>
      <w:r w:rsidRPr="00274699">
        <w:rPr>
          <w:vertAlign w:val="subscript"/>
        </w:rPr>
        <w:t>d</w:t>
      </w:r>
      <w:r w:rsidRPr="00274699">
        <w:t xml:space="preserve"> given in 6.2.8 and taken equal to the recommended value for</w:t>
      </w:r>
      <w:r w:rsidRPr="00E05E29">
        <w:t xml:space="preserve"> brittle failure modes.</w:t>
      </w:r>
    </w:p>
    <w:p w14:paraId="29C2E364" w14:textId="48434931" w:rsidR="00A66F82" w:rsidRPr="007754C9" w:rsidRDefault="00A66F82" w:rsidP="00724E4E">
      <w:pPr>
        <w:pStyle w:val="Clause"/>
      </w:pPr>
      <w:r w:rsidRPr="002144A0">
        <w:t>If there are shear connectors</w:t>
      </w:r>
      <w:r w:rsidRPr="00C52095">
        <w:t xml:space="preserve"> along all girders of the diaphragm, the collector beams and the corresponding connections should be designed to resist the axial forces due to distributed shear forces of the shear connectors.</w:t>
      </w:r>
    </w:p>
    <w:p w14:paraId="349A3B2F" w14:textId="585BBBF5" w:rsidR="00A66F82" w:rsidRPr="00132C1E" w:rsidRDefault="00A66F82" w:rsidP="00724E4E">
      <w:pPr>
        <w:pStyle w:val="Clause"/>
      </w:pPr>
      <w:r w:rsidRPr="007754C9">
        <w:t>If shear connectors are not present on the collect</w:t>
      </w:r>
      <w:r w:rsidRPr="00132C1E">
        <w:t>or beams, all shear forces should be resisted by the beams of the seismic resisting frame.</w:t>
      </w:r>
    </w:p>
    <w:p w14:paraId="1BDD5B55" w14:textId="77777777" w:rsidR="00A66F82" w:rsidRPr="00132C1E" w:rsidRDefault="00A66F82" w:rsidP="00A66F82">
      <w:pPr>
        <w:pStyle w:val="Heading2"/>
      </w:pPr>
      <w:bookmarkStart w:id="9883" w:name="_Toc18314163"/>
      <w:bookmarkStart w:id="9884" w:name="_Toc50150478"/>
      <w:bookmarkStart w:id="9885" w:name="_Toc70886910"/>
      <w:bookmarkStart w:id="9886" w:name="_Toc108342468"/>
      <w:bookmarkStart w:id="9887" w:name="_Toc134198000"/>
      <w:bookmarkStart w:id="9888" w:name="_Hlk25066721"/>
      <w:r w:rsidRPr="00132C1E">
        <w:t>Transfer zone</w:t>
      </w:r>
      <w:r>
        <w:t>s</w:t>
      </w:r>
      <w:r w:rsidRPr="00132C1E">
        <w:t>. Design for DC2 and DC3</w:t>
      </w:r>
      <w:bookmarkEnd w:id="9883"/>
      <w:bookmarkEnd w:id="9884"/>
      <w:bookmarkEnd w:id="9885"/>
      <w:bookmarkEnd w:id="9886"/>
      <w:bookmarkEnd w:id="9887"/>
    </w:p>
    <w:p w14:paraId="16059CE1" w14:textId="79715AE1" w:rsidR="00A66F82" w:rsidRPr="00274699" w:rsidRDefault="00A66F82" w:rsidP="0080187E">
      <w:pPr>
        <w:pStyle w:val="Clause"/>
        <w:numPr>
          <w:ilvl w:val="0"/>
          <w:numId w:val="416"/>
        </w:numPr>
      </w:pPr>
      <w:r w:rsidRPr="00132C1E">
        <w:t xml:space="preserve">Diaphragms in transfer </w:t>
      </w:r>
      <w:r>
        <w:t>zones</w:t>
      </w:r>
      <w:r w:rsidRPr="00132C1E">
        <w:t xml:space="preserve"> should be </w:t>
      </w:r>
      <w:r w:rsidRPr="00274699">
        <w:t>designed to 6.2.11 and 11.17.</w:t>
      </w:r>
    </w:p>
    <w:p w14:paraId="706024C6" w14:textId="7A605A32" w:rsidR="00A66F82" w:rsidRPr="00274699" w:rsidRDefault="00A66F82" w:rsidP="00724E4E">
      <w:pPr>
        <w:pStyle w:val="Clause"/>
      </w:pPr>
      <w:r w:rsidRPr="00274699">
        <w:t xml:space="preserve">In DC2, </w:t>
      </w:r>
      <w:r w:rsidRPr="00274699">
        <w:rPr>
          <w:rFonts w:ascii="Symbol" w:eastAsia="Symbol" w:hAnsi="Symbol" w:cs="Symbol"/>
          <w:i/>
        </w:rPr>
        <w:t></w:t>
      </w:r>
      <w:r w:rsidRPr="00274699">
        <w:rPr>
          <w:rFonts w:ascii="Cambria Math" w:hAnsi="Cambria Math" w:cs="Cambria Math"/>
          <w:iCs/>
          <w:vertAlign w:val="subscript"/>
        </w:rPr>
        <w:t>d</w:t>
      </w:r>
      <w:r w:rsidRPr="00274699">
        <w:rPr>
          <w:iCs/>
          <w:vertAlign w:val="subscript"/>
        </w:rPr>
        <w:t xml:space="preserve"> </w:t>
      </w:r>
      <w:r w:rsidRPr="00274699">
        <w:t>in Formula (6.</w:t>
      </w:r>
      <w:r w:rsidR="000345C6">
        <w:t>6</w:t>
      </w:r>
      <w:r w:rsidRPr="00274699">
        <w:t xml:space="preserve">) should be taken equal to </w:t>
      </w:r>
      <m:oMath>
        <m:r>
          <w:rPr>
            <w:rFonts w:ascii="Cambria Math" w:hAnsi="Cambria Math"/>
            <w:noProof/>
          </w:rPr>
          <m:t>Ω</m:t>
        </m:r>
      </m:oMath>
      <w:r w:rsidRPr="00274699">
        <w:t>, which is the seismic action magnification factor in the dissipative zones (see Table 11.</w:t>
      </w:r>
      <w:r w:rsidR="00481078">
        <w:t>9</w:t>
      </w:r>
      <w:r w:rsidRPr="00274699">
        <w:t>) to be applied to the effects (</w:t>
      </w:r>
      <w:r w:rsidRPr="00274699">
        <w:rPr>
          <w:i/>
          <w:iCs/>
        </w:rPr>
        <w:t>N</w:t>
      </w:r>
      <w:r w:rsidRPr="00274699">
        <w:rPr>
          <w:vertAlign w:val="subscript"/>
        </w:rPr>
        <w:t>Ed,E</w:t>
      </w:r>
      <w:r w:rsidRPr="00274699">
        <w:t xml:space="preserve">, </w:t>
      </w:r>
      <w:r w:rsidRPr="00274699">
        <w:rPr>
          <w:i/>
          <w:iCs/>
        </w:rPr>
        <w:t>M</w:t>
      </w:r>
      <w:r w:rsidRPr="00274699">
        <w:rPr>
          <w:vertAlign w:val="subscript"/>
        </w:rPr>
        <w:t>Ed,E</w:t>
      </w:r>
      <w:r w:rsidRPr="00274699">
        <w:t xml:space="preserve"> and </w:t>
      </w:r>
      <w:r w:rsidRPr="00274699">
        <w:rPr>
          <w:i/>
          <w:iCs/>
        </w:rPr>
        <w:t>V</w:t>
      </w:r>
      <w:r w:rsidRPr="00274699">
        <w:rPr>
          <w:vertAlign w:val="subscript"/>
        </w:rPr>
        <w:t>Ed,E</w:t>
      </w:r>
      <w:r w:rsidRPr="00274699">
        <w:t>) of the design seismic action</w:t>
      </w:r>
      <w:bookmarkStart w:id="9889" w:name="_Hlk107649844"/>
      <w:r w:rsidRPr="00274699">
        <w:rPr>
          <w:rFonts w:eastAsia="Calibri"/>
        </w:rPr>
        <w:t xml:space="preserve"> In DC2, the seismic action effects to be considered in the application of Formula (6.</w:t>
      </w:r>
      <w:r w:rsidR="00DF0AAA">
        <w:rPr>
          <w:rFonts w:eastAsia="Calibri"/>
        </w:rPr>
        <w:t>6</w:t>
      </w:r>
      <w:r w:rsidRPr="00274699">
        <w:rPr>
          <w:rFonts w:eastAsia="Calibri"/>
        </w:rPr>
        <w:t xml:space="preserve">) should be taken as given in </w:t>
      </w:r>
      <w:r w:rsidR="00DF0AAA">
        <w:rPr>
          <w:rFonts w:eastAsia="Calibri"/>
        </w:rPr>
        <w:t xml:space="preserve">Formula </w:t>
      </w:r>
      <w:r w:rsidRPr="00274699">
        <w:rPr>
          <w:rFonts w:eastAsia="Calibri"/>
        </w:rPr>
        <w:t>(11.2).</w:t>
      </w:r>
      <w:bookmarkEnd w:id="9889"/>
    </w:p>
    <w:p w14:paraId="336FB33F" w14:textId="4AA36F4E" w:rsidR="00A66F82" w:rsidRPr="00274699" w:rsidRDefault="00A66F82" w:rsidP="00724E4E">
      <w:pPr>
        <w:pStyle w:val="Clause"/>
      </w:pPr>
      <w:r w:rsidRPr="00274699">
        <w:t xml:space="preserve">In DC3, </w:t>
      </w:r>
      <w:r w:rsidRPr="00274699">
        <w:rPr>
          <w:rFonts w:ascii="Symbol" w:eastAsia="Symbol" w:hAnsi="Symbol" w:cs="Symbol"/>
          <w:i/>
        </w:rPr>
        <w:t></w:t>
      </w:r>
      <w:r w:rsidRPr="00274699">
        <w:rPr>
          <w:rFonts w:ascii="Cambria Math" w:hAnsi="Cambria Math" w:cs="Cambria Math"/>
          <w:iCs/>
          <w:vertAlign w:val="subscript"/>
        </w:rPr>
        <w:t>d</w:t>
      </w:r>
      <w:r w:rsidRPr="00274699">
        <w:rPr>
          <w:iCs/>
          <w:vertAlign w:val="subscript"/>
        </w:rPr>
        <w:t xml:space="preserve"> </w:t>
      </w:r>
      <w:r w:rsidRPr="00274699">
        <w:t>in Formula (6.</w:t>
      </w:r>
      <w:r w:rsidR="00DF0AAA">
        <w:t>6</w:t>
      </w:r>
      <w:r w:rsidRPr="00274699">
        <w:t xml:space="preserve">) should be taken as </w:t>
      </w:r>
      <m:oMath>
        <m:sSub>
          <m:sSubPr>
            <m:ctrlPr>
              <w:rPr>
                <w:rFonts w:ascii="Cambria Math" w:hAnsi="Cambria Math"/>
                <w:i/>
              </w:rPr>
            </m:ctrlPr>
          </m:sSubPr>
          <m:e>
            <m:r>
              <w:rPr>
                <w:rFonts w:ascii="Cambria Math" w:hAnsi="Cambria Math"/>
              </w:rPr>
              <m:t>ω</m:t>
            </m:r>
          </m:e>
          <m:sub>
            <m:r>
              <m:rPr>
                <m:sty m:val="p"/>
              </m:rPr>
              <w:rPr>
                <w:rFonts w:ascii="Cambria Math" w:hAnsi="Cambria Math"/>
              </w:rPr>
              <m:t>rm</m:t>
            </m:r>
          </m:sub>
        </m:sSub>
        <m:f>
          <m:fPr>
            <m:type m:val="lin"/>
            <m:ctrlPr>
              <w:rPr>
                <w:rFonts w:ascii="Cambria Math" w:hAnsi="Cambria Math"/>
                <w:i/>
              </w:rPr>
            </m:ctrlPr>
          </m:fPr>
          <m:num>
            <m:sSub>
              <m:sSubPr>
                <m:ctrlPr>
                  <w:rPr>
                    <w:rFonts w:ascii="Cambria Math" w:hAnsi="Cambria Math"/>
                    <w:i/>
                  </w:rPr>
                </m:ctrlPr>
              </m:sSubPr>
              <m:e>
                <m:r>
                  <w:rPr>
                    <w:rFonts w:ascii="Cambria Math" w:hAnsi="Cambria Math"/>
                  </w:rPr>
                  <m:t>R</m:t>
                </m:r>
              </m:e>
              <m:sub>
                <m:r>
                  <m:rPr>
                    <m:sty m:val="p"/>
                  </m:rPr>
                  <w:rPr>
                    <w:rFonts w:ascii="Cambria Math" w:hAnsi="Cambria Math"/>
                  </w:rPr>
                  <m:t>di</m:t>
                </m:r>
              </m:sub>
            </m:sSub>
          </m:num>
          <m:den>
            <m:sSub>
              <m:sSubPr>
                <m:ctrlPr>
                  <w:rPr>
                    <w:rFonts w:ascii="Cambria Math" w:hAnsi="Cambria Math"/>
                    <w:i/>
                  </w:rPr>
                </m:ctrlPr>
              </m:sSubPr>
              <m:e>
                <m:r>
                  <w:rPr>
                    <w:rFonts w:ascii="Cambria Math" w:hAnsi="Cambria Math"/>
                  </w:rPr>
                  <m:t>E</m:t>
                </m:r>
              </m:e>
              <m:sub>
                <m:r>
                  <m:rPr>
                    <m:sty m:val="p"/>
                  </m:rPr>
                  <w:rPr>
                    <w:rFonts w:ascii="Cambria Math" w:hAnsi="Cambria Math"/>
                  </w:rPr>
                  <m:t>di</m:t>
                </m:r>
              </m:sub>
            </m:sSub>
          </m:den>
        </m:f>
      </m:oMath>
      <w:r w:rsidRPr="00274699">
        <w:t xml:space="preserve"> , where </w:t>
      </w:r>
      <w:r w:rsidRPr="00274699">
        <w:rPr>
          <w:i/>
        </w:rPr>
        <w:t>ω</w:t>
      </w:r>
      <w:r w:rsidRPr="00274699">
        <w:rPr>
          <w:vertAlign w:val="subscript"/>
        </w:rPr>
        <w:t>rm</w:t>
      </w:r>
      <w:r w:rsidRPr="00274699">
        <w:t xml:space="preserve"> is the material overstrength factor (see 11.2.2)</w:t>
      </w:r>
      <w:bookmarkStart w:id="9890" w:name="_Hlk107649895"/>
      <w:r w:rsidRPr="00274699">
        <w:t xml:space="preserve"> In DC3, the seismic action effects to be considered in the application of Formula (6.</w:t>
      </w:r>
      <w:r w:rsidR="00DF0AAA">
        <w:t>6</w:t>
      </w:r>
      <w:r w:rsidRPr="00274699">
        <w:t xml:space="preserve">) should be taken as given in </w:t>
      </w:r>
      <w:r w:rsidR="00DF0AAA">
        <w:t xml:space="preserve">Formula </w:t>
      </w:r>
      <w:r w:rsidRPr="00274699">
        <w:t>(11.3).</w:t>
      </w:r>
      <w:bookmarkEnd w:id="9890"/>
    </w:p>
    <w:p w14:paraId="5F3C4057" w14:textId="0E5C2853" w:rsidR="00A66F82" w:rsidRPr="00E05E29" w:rsidRDefault="00A66F82" w:rsidP="00A66F82">
      <w:pPr>
        <w:pStyle w:val="Heading2"/>
      </w:pPr>
      <w:bookmarkStart w:id="9891" w:name="_Toc522955969"/>
      <w:bookmarkStart w:id="9892" w:name="_Toc18314164"/>
      <w:bookmarkStart w:id="9893" w:name="_Toc50150479"/>
      <w:bookmarkStart w:id="9894" w:name="_Toc70886911"/>
      <w:bookmarkStart w:id="9895" w:name="_Toc108342469"/>
      <w:bookmarkStart w:id="9896" w:name="_Toc134198001"/>
      <w:bookmarkEnd w:id="9888"/>
      <w:r>
        <w:t>Requirements</w:t>
      </w:r>
      <w:r w:rsidRPr="00644C3D">
        <w:t xml:space="preserve"> for supply of material and execution</w:t>
      </w:r>
      <w:bookmarkEnd w:id="9877"/>
      <w:bookmarkEnd w:id="9878"/>
      <w:bookmarkEnd w:id="9879"/>
      <w:bookmarkEnd w:id="9880"/>
      <w:bookmarkEnd w:id="9881"/>
      <w:bookmarkEnd w:id="9882"/>
      <w:bookmarkEnd w:id="9891"/>
      <w:bookmarkEnd w:id="9892"/>
      <w:bookmarkEnd w:id="9893"/>
      <w:bookmarkEnd w:id="9894"/>
      <w:bookmarkEnd w:id="9895"/>
      <w:bookmarkEnd w:id="9896"/>
    </w:p>
    <w:p w14:paraId="51BEDED4" w14:textId="34A69728" w:rsidR="008449B1" w:rsidRDefault="008449B1" w:rsidP="0080187E">
      <w:pPr>
        <w:pStyle w:val="Clause"/>
        <w:numPr>
          <w:ilvl w:val="0"/>
          <w:numId w:val="417"/>
        </w:numPr>
      </w:pPr>
      <w:r w:rsidRPr="008449B1">
        <w:t xml:space="preserve">The required toughness of steel and </w:t>
      </w:r>
      <w:r w:rsidR="004B3A00">
        <w:t xml:space="preserve">of </w:t>
      </w:r>
      <w:r w:rsidRPr="008449B1">
        <w:t xml:space="preserve">welding consumables and the lowest service temperature adopted in combination with the seismic action should be defined in the design documents. </w:t>
      </w:r>
    </w:p>
    <w:p w14:paraId="257D3C3F" w14:textId="42EE79AE" w:rsidR="00A66F82" w:rsidRPr="00C52095" w:rsidRDefault="00A66F82" w:rsidP="0080187E">
      <w:pPr>
        <w:pStyle w:val="Clause"/>
        <w:numPr>
          <w:ilvl w:val="0"/>
          <w:numId w:val="417"/>
        </w:numPr>
      </w:pPr>
      <w:r w:rsidRPr="002144A0">
        <w:t xml:space="preserve">The grade of steel in the dissipative zones, the grade and the tightening force of bolts and the quality of the welds should be indicated in the drawings for fabrication. </w:t>
      </w:r>
    </w:p>
    <w:p w14:paraId="507D1347" w14:textId="6FD8D093" w:rsidR="00A66F82" w:rsidRPr="007754C9" w:rsidRDefault="00A66F82" w:rsidP="00724E4E">
      <w:pPr>
        <w:pStyle w:val="Clause"/>
      </w:pPr>
      <w:r w:rsidRPr="00C52095">
        <w:t>The technical drawings and reports should clearly state that steel grade higher than specified should not be used for the dissipative zones.</w:t>
      </w:r>
    </w:p>
    <w:p w14:paraId="69597530" w14:textId="4445A1AB" w:rsidR="00A66F82" w:rsidRPr="00132C1E" w:rsidRDefault="00A66F82" w:rsidP="00724E4E">
      <w:pPr>
        <w:pStyle w:val="Clause"/>
      </w:pPr>
      <w:r w:rsidRPr="007754C9">
        <w:t xml:space="preserve">For Consequence Classes 1, 2 and </w:t>
      </w:r>
      <w:r w:rsidRPr="00D44F99">
        <w:t xml:space="preserve">3a and all ductility classes, </w:t>
      </w:r>
      <w:r w:rsidR="004B3A00">
        <w:t xml:space="preserve">the </w:t>
      </w:r>
      <w:r w:rsidRPr="00D44F99">
        <w:t xml:space="preserve">Execution </w:t>
      </w:r>
      <w:r w:rsidR="004B3A00">
        <w:t>C</w:t>
      </w:r>
      <w:r w:rsidRPr="00D44F99">
        <w:t xml:space="preserve">lass </w:t>
      </w:r>
      <w:r w:rsidR="004B3A00">
        <w:t xml:space="preserve">should </w:t>
      </w:r>
      <w:r w:rsidRPr="00D44F99">
        <w:t>not</w:t>
      </w:r>
      <w:r w:rsidR="004B3A00">
        <w:t xml:space="preserve"> be</w:t>
      </w:r>
      <w:r w:rsidRPr="00D44F99">
        <w:t xml:space="preserve"> lower than </w:t>
      </w:r>
      <w:r w:rsidR="008449B1">
        <w:t>EXC</w:t>
      </w:r>
      <w:r w:rsidRPr="00D44F99">
        <w:t xml:space="preserve">2 </w:t>
      </w:r>
      <w:r w:rsidRPr="00274699">
        <w:t xml:space="preserve">for all parts of the primary structure, except pre-qualified connections, if adopted, </w:t>
      </w:r>
      <w:r w:rsidRPr="00274699">
        <w:rPr>
          <w:shd w:val="clear" w:color="auto" w:fill="FDFCFA"/>
        </w:rPr>
        <w:t>and with the exception in (</w:t>
      </w:r>
      <w:r w:rsidR="00046230" w:rsidRPr="00274699">
        <w:rPr>
          <w:shd w:val="clear" w:color="auto" w:fill="FDFCFA"/>
        </w:rPr>
        <w:t>6</w:t>
      </w:r>
      <w:r w:rsidRPr="00274699">
        <w:rPr>
          <w:shd w:val="clear" w:color="auto" w:fill="FDFCFA"/>
        </w:rPr>
        <w:t>)</w:t>
      </w:r>
      <w:r w:rsidRPr="00274699">
        <w:t xml:space="preserve">. </w:t>
      </w:r>
      <w:r w:rsidR="004B3A00" w:rsidRPr="00274699">
        <w:t>The</w:t>
      </w:r>
      <w:r w:rsidR="004B3A00">
        <w:t xml:space="preserve"> </w:t>
      </w:r>
      <w:r w:rsidRPr="00D44F99">
        <w:t>Executi</w:t>
      </w:r>
      <w:r w:rsidRPr="00132C1E">
        <w:t>on Class for Consequence Class 3b</w:t>
      </w:r>
      <w:r w:rsidR="004B3A00">
        <w:t xml:space="preserve"> should be EXC3</w:t>
      </w:r>
      <w:r w:rsidRPr="00132C1E">
        <w:t>.</w:t>
      </w:r>
    </w:p>
    <w:p w14:paraId="27F1AFF2" w14:textId="12A84AC4" w:rsidR="00A66F82" w:rsidRPr="00132C1E" w:rsidRDefault="00A66F82" w:rsidP="00724E4E">
      <w:pPr>
        <w:pStyle w:val="Clause"/>
      </w:pPr>
      <w:r w:rsidRPr="00132C1E">
        <w:t xml:space="preserve">For Consequence Classes 1, 2 and 3a, if a behaviour factor </w:t>
      </w:r>
      <w:r w:rsidRPr="004F74EA">
        <w:rPr>
          <w:i/>
          <w:iCs/>
        </w:rPr>
        <w:t>q</w:t>
      </w:r>
      <w:r w:rsidRPr="00132C1E">
        <w:t xml:space="preserve"> = 1,0 is used in design, </w:t>
      </w:r>
      <w:r w:rsidR="004B3A00">
        <w:t xml:space="preserve">the </w:t>
      </w:r>
      <w:r w:rsidRPr="00132C1E">
        <w:t xml:space="preserve">Execution class should </w:t>
      </w:r>
      <w:r w:rsidR="004B3A00">
        <w:t>not be lower than EXC2</w:t>
      </w:r>
      <w:r w:rsidRPr="00132C1E">
        <w:t xml:space="preserve"> for all parts of the primary structure, with </w:t>
      </w:r>
      <w:r w:rsidRPr="00D44F99">
        <w:t xml:space="preserve">the exception </w:t>
      </w:r>
      <w:r w:rsidRPr="00274699">
        <w:t>in (</w:t>
      </w:r>
      <w:r w:rsidR="008449B1" w:rsidRPr="00274699">
        <w:t>6</w:t>
      </w:r>
      <w:r w:rsidRPr="00274699">
        <w:t>).</w:t>
      </w:r>
    </w:p>
    <w:p w14:paraId="110C3A1C" w14:textId="1E697A7D" w:rsidR="00046230" w:rsidRDefault="00A66F82" w:rsidP="00724E4E">
      <w:pPr>
        <w:pStyle w:val="Clause"/>
      </w:pPr>
      <w:r w:rsidRPr="00132C1E">
        <w:t xml:space="preserve">If </w:t>
      </w:r>
      <w:r w:rsidRPr="004F74EA">
        <w:rPr>
          <w:i/>
          <w:iCs/>
        </w:rPr>
        <w:t>S</w:t>
      </w:r>
      <w:r w:rsidRPr="004F74EA">
        <w:rPr>
          <w:vertAlign w:val="subscript"/>
        </w:rPr>
        <w:t>δ</w:t>
      </w:r>
      <w:r w:rsidRPr="00132C1E">
        <w:t xml:space="preserve"> is not greater than 2,5m/s</w:t>
      </w:r>
      <w:r w:rsidRPr="004F74EA">
        <w:rPr>
          <w:vertAlign w:val="superscript"/>
        </w:rPr>
        <w:t>2</w:t>
      </w:r>
      <w:r w:rsidRPr="00132C1E">
        <w:t xml:space="preserve">, the execution class of structures of Ductility Class 1 and of structures designed with </w:t>
      </w:r>
      <w:r w:rsidRPr="004F74EA">
        <w:rPr>
          <w:i/>
          <w:iCs/>
        </w:rPr>
        <w:t>q</w:t>
      </w:r>
      <w:r w:rsidRPr="00132C1E">
        <w:t xml:space="preserve"> =1 may be EXC1.</w:t>
      </w:r>
      <w:r w:rsidR="00046230" w:rsidRPr="00046230">
        <w:t xml:space="preserve"> </w:t>
      </w:r>
    </w:p>
    <w:p w14:paraId="4F8CD232" w14:textId="4A597AD1" w:rsidR="00274699" w:rsidRDefault="00274699">
      <w:pPr>
        <w:spacing w:before="0" w:after="0" w:line="240" w:lineRule="auto"/>
        <w:jc w:val="left"/>
        <w:rPr>
          <w:rFonts w:eastAsia="MS Mincho" w:cs="Cambria"/>
          <w:szCs w:val="20"/>
          <w:lang w:eastAsia="fr-FR"/>
        </w:rPr>
      </w:pPr>
      <w:r>
        <w:br w:type="page"/>
      </w:r>
    </w:p>
    <w:p w14:paraId="03134FE5" w14:textId="640B72FA" w:rsidR="000D1EA6" w:rsidRPr="00132C1E" w:rsidRDefault="000D1EA6" w:rsidP="000D1EA6">
      <w:pPr>
        <w:pStyle w:val="Heading1"/>
      </w:pPr>
      <w:bookmarkStart w:id="9897" w:name="_Toc419276347"/>
      <w:bookmarkStart w:id="9898" w:name="_Toc419519721"/>
      <w:bookmarkStart w:id="9899" w:name="_Toc419603257"/>
      <w:bookmarkStart w:id="9900" w:name="_Toc419774504"/>
      <w:bookmarkStart w:id="9901" w:name="_Toc462718473"/>
      <w:bookmarkStart w:id="9902" w:name="_Toc462721315"/>
      <w:bookmarkStart w:id="9903" w:name="_Toc462812344"/>
      <w:bookmarkStart w:id="9904" w:name="_Toc483723250"/>
      <w:bookmarkStart w:id="9905" w:name="_Toc483723585"/>
      <w:bookmarkStart w:id="9906" w:name="_Toc484520899"/>
      <w:bookmarkStart w:id="9907" w:name="_Toc509405078"/>
      <w:bookmarkStart w:id="9908" w:name="_Toc76379889"/>
      <w:bookmarkStart w:id="9909" w:name="_Toc494124748"/>
      <w:bookmarkStart w:id="9910" w:name="_Toc17827794"/>
      <w:bookmarkStart w:id="9911" w:name="_Toc50150480"/>
      <w:bookmarkStart w:id="9912" w:name="_Toc70886912"/>
      <w:bookmarkStart w:id="9913" w:name="_Toc108342470"/>
      <w:bookmarkStart w:id="9914" w:name="_Toc134198002"/>
      <w:r w:rsidRPr="00132C1E">
        <w:lastRenderedPageBreak/>
        <w:t>Specific rules for composite steel–concrete buildings</w:t>
      </w:r>
      <w:bookmarkEnd w:id="9897"/>
      <w:bookmarkEnd w:id="9898"/>
      <w:bookmarkEnd w:id="9899"/>
      <w:bookmarkEnd w:id="9900"/>
      <w:bookmarkEnd w:id="9901"/>
      <w:bookmarkEnd w:id="9902"/>
      <w:bookmarkEnd w:id="9903"/>
      <w:bookmarkEnd w:id="9904"/>
      <w:bookmarkEnd w:id="9905"/>
      <w:bookmarkEnd w:id="9906"/>
      <w:bookmarkEnd w:id="9907"/>
      <w:bookmarkEnd w:id="9908"/>
      <w:bookmarkEnd w:id="9909"/>
      <w:bookmarkEnd w:id="9910"/>
      <w:bookmarkEnd w:id="9911"/>
      <w:bookmarkEnd w:id="9912"/>
      <w:bookmarkEnd w:id="9913"/>
      <w:bookmarkEnd w:id="9914"/>
    </w:p>
    <w:p w14:paraId="16ECC3F5" w14:textId="77777777" w:rsidR="000D1EA6" w:rsidRPr="00B74D09" w:rsidRDefault="000D1EA6" w:rsidP="000D1EA6">
      <w:pPr>
        <w:pStyle w:val="Heading2"/>
        <w:rPr>
          <w:color w:val="000000" w:themeColor="text1"/>
        </w:rPr>
      </w:pPr>
      <w:bookmarkStart w:id="9915" w:name="_Toc108342471"/>
      <w:bookmarkStart w:id="9916" w:name="_Toc134198003"/>
      <w:r w:rsidRPr="00B74D09">
        <w:rPr>
          <w:color w:val="000000" w:themeColor="text1"/>
        </w:rPr>
        <w:t>General</w:t>
      </w:r>
      <w:bookmarkEnd w:id="9915"/>
      <w:bookmarkEnd w:id="9916"/>
    </w:p>
    <w:p w14:paraId="14265797" w14:textId="7BFC8D74" w:rsidR="000D1EA6" w:rsidRPr="00274699" w:rsidRDefault="00274699" w:rsidP="0080187E">
      <w:pPr>
        <w:pStyle w:val="Clause"/>
        <w:numPr>
          <w:ilvl w:val="0"/>
          <w:numId w:val="418"/>
        </w:numPr>
        <w:rPr>
          <w:bCs/>
        </w:rPr>
      </w:pPr>
      <w:r w:rsidRPr="00274699">
        <w:rPr>
          <w:bCs/>
        </w:rPr>
        <w:t xml:space="preserve">Clause </w:t>
      </w:r>
      <w:r w:rsidR="000D1EA6" w:rsidRPr="00274699">
        <w:rPr>
          <w:bCs/>
        </w:rPr>
        <w:t>12 should be applied to the design and the verification of composite steel</w:t>
      </w:r>
      <w:r>
        <w:rPr>
          <w:bCs/>
        </w:rPr>
        <w:t>-</w:t>
      </w:r>
      <w:r w:rsidR="000D1EA6" w:rsidRPr="00274699">
        <w:rPr>
          <w:bCs/>
        </w:rPr>
        <w:t>concrete buildings, in seismic regions.</w:t>
      </w:r>
    </w:p>
    <w:p w14:paraId="1DFAEE36" w14:textId="0771835C" w:rsidR="000D1EA6" w:rsidRPr="00274699" w:rsidRDefault="00274699" w:rsidP="00724E4E">
      <w:pPr>
        <w:pStyle w:val="Clause"/>
        <w:rPr>
          <w:bCs/>
        </w:rPr>
      </w:pPr>
      <w:r w:rsidRPr="00274699">
        <w:rPr>
          <w:bCs/>
        </w:rPr>
        <w:t xml:space="preserve">Clause </w:t>
      </w:r>
      <w:r w:rsidR="000D1EA6" w:rsidRPr="00274699">
        <w:rPr>
          <w:bCs/>
        </w:rPr>
        <w:t xml:space="preserve">12 should be applied as a complement to </w:t>
      </w:r>
      <w:r w:rsidR="00B16E0A">
        <w:rPr>
          <w:bCs/>
        </w:rPr>
        <w:t>pr</w:t>
      </w:r>
      <w:r w:rsidR="000D1EA6" w:rsidRPr="00274699">
        <w:rPr>
          <w:bCs/>
        </w:rPr>
        <w:t>EN</w:t>
      </w:r>
      <w:r w:rsidRPr="00274699">
        <w:rPr>
          <w:bCs/>
        </w:rPr>
        <w:t> </w:t>
      </w:r>
      <w:r w:rsidR="000D1EA6" w:rsidRPr="00274699">
        <w:rPr>
          <w:bCs/>
        </w:rPr>
        <w:t>1994-1-1.</w:t>
      </w:r>
    </w:p>
    <w:p w14:paraId="3E91437E" w14:textId="3D2FA056" w:rsidR="000D1EA6" w:rsidRPr="00132C1E" w:rsidRDefault="000D1EA6" w:rsidP="00724E4E">
      <w:pPr>
        <w:pStyle w:val="Clause"/>
      </w:pPr>
      <w:r w:rsidRPr="00274699">
        <w:rPr>
          <w:bCs/>
        </w:rPr>
        <w:t xml:space="preserve">Except where modified by the provisions of </w:t>
      </w:r>
      <w:r w:rsidR="00274699">
        <w:rPr>
          <w:bCs/>
        </w:rPr>
        <w:t xml:space="preserve">Clause </w:t>
      </w:r>
      <w:r w:rsidRPr="00274699">
        <w:rPr>
          <w:bCs/>
        </w:rPr>
        <w:t xml:space="preserve">12, </w:t>
      </w:r>
      <w:r w:rsidR="00274699">
        <w:rPr>
          <w:bCs/>
        </w:rPr>
        <w:t xml:space="preserve">Clauses </w:t>
      </w:r>
      <w:r w:rsidRPr="00274699">
        <w:rPr>
          <w:bCs/>
        </w:rPr>
        <w:t>10 and 11 should be applied where</w:t>
      </w:r>
      <w:r w:rsidRPr="00132C1E">
        <w:t xml:space="preserve"> applicable.</w:t>
      </w:r>
    </w:p>
    <w:p w14:paraId="65D70340" w14:textId="1094BE36" w:rsidR="000D1EA6" w:rsidRPr="00132C1E" w:rsidRDefault="000D1EA6" w:rsidP="000D1EA6">
      <w:pPr>
        <w:pStyle w:val="Heading2"/>
      </w:pPr>
      <w:bookmarkStart w:id="9917" w:name="_Toc17827796"/>
      <w:bookmarkStart w:id="9918" w:name="_Toc50150482"/>
      <w:bookmarkStart w:id="9919" w:name="_Toc70886914"/>
      <w:bookmarkStart w:id="9920" w:name="_Toc108342472"/>
      <w:bookmarkStart w:id="9921" w:name="_Toc134198004"/>
      <w:r w:rsidRPr="00132C1E">
        <w:t xml:space="preserve">Basis of </w:t>
      </w:r>
      <w:r w:rsidR="0078003E">
        <w:t>d</w:t>
      </w:r>
      <w:r w:rsidRPr="00132C1E">
        <w:t>esign</w:t>
      </w:r>
      <w:bookmarkEnd w:id="9917"/>
      <w:bookmarkEnd w:id="9918"/>
      <w:bookmarkEnd w:id="9919"/>
      <w:bookmarkEnd w:id="9920"/>
      <w:bookmarkEnd w:id="9921"/>
    </w:p>
    <w:p w14:paraId="04A49D39" w14:textId="77777777" w:rsidR="000D1EA6" w:rsidRPr="00132C1E" w:rsidRDefault="000D1EA6" w:rsidP="000D1EA6">
      <w:pPr>
        <w:pStyle w:val="Heading3"/>
      </w:pPr>
      <w:bookmarkStart w:id="9922" w:name="_Toc419087656"/>
      <w:bookmarkStart w:id="9923" w:name="_Toc462812347"/>
      <w:bookmarkStart w:id="9924" w:name="_Toc483723253"/>
      <w:bookmarkStart w:id="9925" w:name="_Toc483723588"/>
      <w:bookmarkStart w:id="9926" w:name="_Toc484520902"/>
      <w:bookmarkStart w:id="9927" w:name="_Toc509405081"/>
      <w:bookmarkStart w:id="9928" w:name="_Toc76379892"/>
      <w:bookmarkStart w:id="9929" w:name="_Toc494124751"/>
      <w:bookmarkStart w:id="9930" w:name="_Toc17827797"/>
      <w:bookmarkStart w:id="9931" w:name="_Toc50150483"/>
      <w:bookmarkStart w:id="9932" w:name="_Toc70886915"/>
      <w:bookmarkStart w:id="9933" w:name="_Toc108342473"/>
      <w:bookmarkStart w:id="9934" w:name="_Toc134198005"/>
      <w:r w:rsidRPr="00132C1E">
        <w:t>Design concepts</w:t>
      </w:r>
      <w:bookmarkEnd w:id="9922"/>
      <w:bookmarkEnd w:id="9923"/>
      <w:bookmarkEnd w:id="9924"/>
      <w:bookmarkEnd w:id="9925"/>
      <w:bookmarkEnd w:id="9926"/>
      <w:bookmarkEnd w:id="9927"/>
      <w:bookmarkEnd w:id="9928"/>
      <w:bookmarkEnd w:id="9929"/>
      <w:bookmarkEnd w:id="9930"/>
      <w:bookmarkEnd w:id="9931"/>
      <w:bookmarkEnd w:id="9932"/>
      <w:bookmarkEnd w:id="9933"/>
      <w:bookmarkEnd w:id="9934"/>
    </w:p>
    <w:p w14:paraId="3A30478F" w14:textId="7B60515A" w:rsidR="000D1EA6" w:rsidRPr="000D1EA6" w:rsidRDefault="000D1EA6" w:rsidP="0080187E">
      <w:pPr>
        <w:pStyle w:val="Clause"/>
        <w:numPr>
          <w:ilvl w:val="0"/>
          <w:numId w:val="419"/>
        </w:numPr>
      </w:pPr>
      <w:r w:rsidRPr="000D1EA6">
        <w:t xml:space="preserve">Earthquake resistant composite </w:t>
      </w:r>
      <w:r w:rsidRPr="00132C1E">
        <w:t>steel</w:t>
      </w:r>
      <w:r w:rsidR="00274699">
        <w:t>-</w:t>
      </w:r>
      <w:r w:rsidRPr="000D1EA6">
        <w:t>concrete buildings should be designed in accordance with one of the three Ductility Classes introduced in prEN</w:t>
      </w:r>
      <w:r w:rsidR="00274699">
        <w:t> </w:t>
      </w:r>
      <w:r w:rsidRPr="000D1EA6">
        <w:t>1998-1-1:</w:t>
      </w:r>
      <w:r w:rsidRPr="00274699">
        <w:t>2022, 4.4.2(3) (see</w:t>
      </w:r>
      <w:r w:rsidRPr="000D1EA6">
        <w:t xml:space="preserve"> Table 12.1).</w:t>
      </w:r>
    </w:p>
    <w:p w14:paraId="69360719" w14:textId="4FF57A02" w:rsidR="000D1EA6" w:rsidRPr="00D1484A" w:rsidRDefault="000D1EA6" w:rsidP="000D1EA6">
      <w:pPr>
        <w:pStyle w:val="Tabletitle"/>
      </w:pPr>
      <w:bookmarkStart w:id="9935" w:name="_Ref18489504"/>
      <w:bookmarkStart w:id="9936" w:name="_Ref17535978"/>
      <w:r w:rsidRPr="00132C1E">
        <w:t xml:space="preserve">Table </w:t>
      </w:r>
      <w:r>
        <w:t>12</w:t>
      </w:r>
      <w:r w:rsidRPr="00132C1E">
        <w:t>.</w:t>
      </w:r>
      <w:bookmarkEnd w:id="9935"/>
      <w:r>
        <w:t>1</w:t>
      </w:r>
      <w:r w:rsidRPr="00132C1E">
        <w:t> — </w:t>
      </w:r>
      <w:r w:rsidRPr="00D1484A">
        <w:t>Structural ductility class (DC) and upper limit reference values of the behaviour factor</w:t>
      </w:r>
      <w:bookmarkEnd w:id="993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2"/>
        <w:gridCol w:w="4750"/>
      </w:tblGrid>
      <w:tr w:rsidR="000D1EA6" w:rsidRPr="00FE0D09" w14:paraId="14E689EB" w14:textId="77777777" w:rsidTr="00FE0D09">
        <w:trPr>
          <w:jc w:val="center"/>
        </w:trPr>
        <w:tc>
          <w:tcPr>
            <w:tcW w:w="2972" w:type="dxa"/>
            <w:tcBorders>
              <w:top w:val="single" w:sz="4" w:space="0" w:color="auto"/>
              <w:left w:val="single" w:sz="4" w:space="0" w:color="auto"/>
              <w:bottom w:val="single" w:sz="4" w:space="0" w:color="auto"/>
              <w:right w:val="single" w:sz="4" w:space="0" w:color="auto"/>
            </w:tcBorders>
            <w:vAlign w:val="center"/>
          </w:tcPr>
          <w:p w14:paraId="58BB353A" w14:textId="77777777" w:rsidR="000D1EA6" w:rsidRPr="00FE0D09" w:rsidRDefault="000D1EA6" w:rsidP="00FE0D09">
            <w:pPr>
              <w:pStyle w:val="Tablebody"/>
              <w:jc w:val="center"/>
              <w:rPr>
                <w:b/>
                <w:bCs/>
              </w:rPr>
            </w:pPr>
            <w:r w:rsidRPr="00FE0D09">
              <w:rPr>
                <w:b/>
                <w:bCs/>
              </w:rPr>
              <w:t>Structural ductility class</w:t>
            </w:r>
          </w:p>
        </w:tc>
        <w:tc>
          <w:tcPr>
            <w:tcW w:w="4750" w:type="dxa"/>
            <w:tcBorders>
              <w:top w:val="single" w:sz="4" w:space="0" w:color="auto"/>
              <w:left w:val="single" w:sz="4" w:space="0" w:color="auto"/>
              <w:bottom w:val="single" w:sz="4" w:space="0" w:color="auto"/>
              <w:right w:val="single" w:sz="4" w:space="0" w:color="auto"/>
            </w:tcBorders>
            <w:vAlign w:val="center"/>
          </w:tcPr>
          <w:p w14:paraId="20F5E889" w14:textId="77777777" w:rsidR="000D1EA6" w:rsidRPr="00FE0D09" w:rsidRDefault="000D1EA6" w:rsidP="00FE0D09">
            <w:pPr>
              <w:pStyle w:val="Tablebody"/>
              <w:jc w:val="center"/>
              <w:rPr>
                <w:b/>
                <w:bCs/>
                <w:vertAlign w:val="subscript"/>
              </w:rPr>
            </w:pPr>
            <w:r w:rsidRPr="00FE0D09">
              <w:rPr>
                <w:b/>
                <w:bCs/>
              </w:rPr>
              <w:t xml:space="preserve">Range of the behaviour factor </w:t>
            </w:r>
            <w:r w:rsidRPr="00FE0D09">
              <w:rPr>
                <w:b/>
                <w:bCs/>
                <w:i/>
              </w:rPr>
              <w:t>q</w:t>
            </w:r>
          </w:p>
        </w:tc>
      </w:tr>
      <w:tr w:rsidR="000D1EA6" w:rsidRPr="00132C1E" w14:paraId="1BABE607" w14:textId="77777777" w:rsidTr="00FE0D09">
        <w:trPr>
          <w:trHeight w:val="357"/>
          <w:jc w:val="center"/>
        </w:trPr>
        <w:tc>
          <w:tcPr>
            <w:tcW w:w="2972" w:type="dxa"/>
            <w:tcBorders>
              <w:top w:val="single" w:sz="4" w:space="0" w:color="auto"/>
              <w:left w:val="single" w:sz="4" w:space="0" w:color="auto"/>
              <w:right w:val="single" w:sz="4" w:space="0" w:color="auto"/>
            </w:tcBorders>
            <w:vAlign w:val="center"/>
          </w:tcPr>
          <w:p w14:paraId="6B45AE0C" w14:textId="61F15764" w:rsidR="000D1EA6" w:rsidRPr="00D1484A" w:rsidRDefault="000D1EA6" w:rsidP="00FE0D09">
            <w:pPr>
              <w:pStyle w:val="Tablebody"/>
              <w:jc w:val="center"/>
            </w:pPr>
            <w:r w:rsidRPr="00132C1E">
              <w:t>DC1</w:t>
            </w:r>
          </w:p>
        </w:tc>
        <w:tc>
          <w:tcPr>
            <w:tcW w:w="4750" w:type="dxa"/>
            <w:tcBorders>
              <w:top w:val="single" w:sz="4" w:space="0" w:color="auto"/>
              <w:left w:val="single" w:sz="4" w:space="0" w:color="auto"/>
              <w:right w:val="single" w:sz="4" w:space="0" w:color="auto"/>
            </w:tcBorders>
            <w:vAlign w:val="center"/>
          </w:tcPr>
          <w:p w14:paraId="6B32EC9B" w14:textId="77777777" w:rsidR="000D1EA6" w:rsidRPr="00FD17CF" w:rsidRDefault="000D1EA6" w:rsidP="00FE0D09">
            <w:pPr>
              <w:pStyle w:val="Tablebody"/>
              <w:jc w:val="center"/>
              <w:rPr>
                <w:strike/>
              </w:rPr>
            </w:pPr>
            <m:oMathPara>
              <m:oMathParaPr>
                <m:jc m:val="center"/>
              </m:oMathParaPr>
              <m:oMath>
                <m:r>
                  <w:rPr>
                    <w:rFonts w:ascii="Cambria Math" w:hAnsi="Cambria Math"/>
                  </w:rPr>
                  <m:t>q=</m:t>
                </m:r>
                <m:r>
                  <m:rPr>
                    <m:sty m:val="p"/>
                  </m:rPr>
                  <w:rPr>
                    <w:rFonts w:ascii="Cambria Math" w:hAnsi="Cambria Math"/>
                  </w:rPr>
                  <m:t xml:space="preserve"> 1,5</m:t>
                </m:r>
              </m:oMath>
            </m:oMathPara>
          </w:p>
        </w:tc>
      </w:tr>
      <w:tr w:rsidR="000D1EA6" w:rsidRPr="00132C1E" w14:paraId="23C9E171" w14:textId="77777777" w:rsidTr="00FE0D09">
        <w:trPr>
          <w:jc w:val="center"/>
        </w:trPr>
        <w:tc>
          <w:tcPr>
            <w:tcW w:w="2972" w:type="dxa"/>
            <w:tcBorders>
              <w:top w:val="single" w:sz="4" w:space="0" w:color="auto"/>
              <w:left w:val="single" w:sz="4" w:space="0" w:color="auto"/>
              <w:bottom w:val="single" w:sz="4" w:space="0" w:color="auto"/>
              <w:right w:val="single" w:sz="4" w:space="0" w:color="auto"/>
            </w:tcBorders>
            <w:vAlign w:val="center"/>
          </w:tcPr>
          <w:p w14:paraId="2CA46DCA" w14:textId="02B27B23" w:rsidR="000D1EA6" w:rsidRPr="00D1484A" w:rsidRDefault="000D1EA6" w:rsidP="00FE0D09">
            <w:pPr>
              <w:pStyle w:val="Tablebody"/>
              <w:jc w:val="center"/>
            </w:pPr>
            <w:r w:rsidRPr="00132C1E">
              <w:t>DC2</w:t>
            </w:r>
          </w:p>
        </w:tc>
        <w:tc>
          <w:tcPr>
            <w:tcW w:w="4750" w:type="dxa"/>
            <w:tcBorders>
              <w:top w:val="single" w:sz="4" w:space="0" w:color="auto"/>
              <w:left w:val="single" w:sz="4" w:space="0" w:color="auto"/>
              <w:bottom w:val="single" w:sz="4" w:space="0" w:color="auto"/>
              <w:right w:val="single" w:sz="4" w:space="0" w:color="auto"/>
            </w:tcBorders>
            <w:vAlign w:val="center"/>
          </w:tcPr>
          <w:p w14:paraId="3B14B0A8" w14:textId="77777777" w:rsidR="000D1EA6" w:rsidRPr="00FD17CF" w:rsidRDefault="000D1EA6" w:rsidP="00FE0D09">
            <w:pPr>
              <w:pStyle w:val="Tablebody"/>
              <w:jc w:val="center"/>
            </w:pPr>
            <m:oMathPara>
              <m:oMathParaPr>
                <m:jc m:val="center"/>
              </m:oMathParaPr>
              <m:oMath>
                <m:r>
                  <w:rPr>
                    <w:rFonts w:ascii="Cambria Math" w:hAnsi="Cambria Math"/>
                  </w:rPr>
                  <m:t>1,5≤q≤</m:t>
                </m:r>
                <m:r>
                  <m:rPr>
                    <m:sty m:val="p"/>
                  </m:rPr>
                  <w:rPr>
                    <w:rFonts w:ascii="Cambria Math" w:hAnsi="Cambria Math"/>
                  </w:rPr>
                  <m:t xml:space="preserve"> 3,5</m:t>
                </m:r>
              </m:oMath>
            </m:oMathPara>
          </w:p>
        </w:tc>
      </w:tr>
      <w:tr w:rsidR="000D1EA6" w:rsidRPr="00AE69D8" w14:paraId="1088ABF8" w14:textId="77777777" w:rsidTr="00FE0D09">
        <w:trPr>
          <w:jc w:val="center"/>
        </w:trPr>
        <w:tc>
          <w:tcPr>
            <w:tcW w:w="2972" w:type="dxa"/>
            <w:tcBorders>
              <w:top w:val="single" w:sz="4" w:space="0" w:color="auto"/>
              <w:left w:val="single" w:sz="4" w:space="0" w:color="auto"/>
              <w:bottom w:val="single" w:sz="4" w:space="0" w:color="auto"/>
              <w:right w:val="single" w:sz="4" w:space="0" w:color="auto"/>
            </w:tcBorders>
            <w:vAlign w:val="center"/>
          </w:tcPr>
          <w:p w14:paraId="12DA7FAD" w14:textId="142A9F18" w:rsidR="000D1EA6" w:rsidRPr="00D1484A" w:rsidRDefault="000D1EA6" w:rsidP="00FE0D09">
            <w:pPr>
              <w:pStyle w:val="Tablebody"/>
              <w:jc w:val="center"/>
            </w:pPr>
            <w:r w:rsidRPr="00132C1E">
              <w:t>DC3</w:t>
            </w:r>
          </w:p>
        </w:tc>
        <w:tc>
          <w:tcPr>
            <w:tcW w:w="4750" w:type="dxa"/>
            <w:tcBorders>
              <w:top w:val="single" w:sz="4" w:space="0" w:color="auto"/>
              <w:left w:val="single" w:sz="4" w:space="0" w:color="auto"/>
              <w:bottom w:val="single" w:sz="4" w:space="0" w:color="auto"/>
              <w:right w:val="single" w:sz="4" w:space="0" w:color="auto"/>
            </w:tcBorders>
            <w:vAlign w:val="center"/>
          </w:tcPr>
          <w:p w14:paraId="6360B83B" w14:textId="77777777" w:rsidR="000D1EA6" w:rsidRPr="007E6F67" w:rsidRDefault="000D1EA6" w:rsidP="00FE0D09">
            <w:pPr>
              <w:pStyle w:val="Tablebody"/>
              <w:jc w:val="center"/>
            </w:pPr>
            <w:r w:rsidRPr="00D1484A">
              <w:t xml:space="preserve">only limited by the values </w:t>
            </w:r>
            <w:r w:rsidRPr="001903EF">
              <w:t>of Table 12.2</w:t>
            </w:r>
          </w:p>
        </w:tc>
      </w:tr>
    </w:tbl>
    <w:p w14:paraId="6639F839" w14:textId="4813CE4D" w:rsidR="000D1EA6" w:rsidRPr="00274699" w:rsidRDefault="000D1EA6" w:rsidP="00724E4E">
      <w:pPr>
        <w:pStyle w:val="Clause"/>
      </w:pPr>
      <w:r w:rsidRPr="00132C1E">
        <w:t xml:space="preserve">In DC1, the seismic design </w:t>
      </w:r>
      <w:r w:rsidRPr="00274699">
        <w:t>of composite steel-concrete buildings should be verified according to 12.7.</w:t>
      </w:r>
    </w:p>
    <w:p w14:paraId="58F48636" w14:textId="4F30C8B2" w:rsidR="000D1EA6" w:rsidRPr="00274699" w:rsidRDefault="000D1EA6" w:rsidP="00724E4E">
      <w:pPr>
        <w:pStyle w:val="Clause"/>
      </w:pPr>
      <w:r w:rsidRPr="00274699">
        <w:t xml:space="preserve">Composite </w:t>
      </w:r>
      <w:r w:rsidR="00274699" w:rsidRPr="00274699">
        <w:t>steel-concrete</w:t>
      </w:r>
      <w:r w:rsidRPr="00274699">
        <w:t xml:space="preserve"> buildings in DC2 and DC3 may be designed with upper limit values of </w:t>
      </w:r>
      <m:oMath>
        <m:sSub>
          <m:sSubPr>
            <m:ctrlPr>
              <w:rPr>
                <w:rFonts w:ascii="Cambria Math" w:hAnsi="Cambria Math"/>
                <w:i/>
              </w:rPr>
            </m:ctrlPr>
          </m:sSubPr>
          <m:e>
            <m:r>
              <w:rPr>
                <w:rFonts w:ascii="Cambria Math" w:hAnsi="Cambria Math"/>
              </w:rPr>
              <m:t>q</m:t>
            </m:r>
          </m:e>
          <m:sub>
            <m:r>
              <m:rPr>
                <m:sty m:val="p"/>
              </m:rPr>
              <w:rPr>
                <w:rFonts w:ascii="Cambria Math" w:hAnsi="Cambria Math"/>
                <w:vertAlign w:val="subscript"/>
              </w:rPr>
              <m:t>D</m:t>
            </m:r>
          </m:sub>
        </m:sSub>
      </m:oMath>
      <w:r w:rsidRPr="00274699">
        <w:t xml:space="preserve"> and </w:t>
      </w:r>
      <m:oMath>
        <m:sSub>
          <m:sSubPr>
            <m:ctrlPr>
              <w:rPr>
                <w:rFonts w:ascii="Cambria Math" w:hAnsi="Cambria Math"/>
                <w:i/>
              </w:rPr>
            </m:ctrlPr>
          </m:sSubPr>
          <m:e>
            <m:r>
              <w:rPr>
                <w:rFonts w:ascii="Cambria Math" w:hAnsi="Cambria Math"/>
              </w:rPr>
              <m:t>q</m:t>
            </m:r>
          </m:e>
          <m:sub>
            <m:r>
              <m:rPr>
                <m:sty m:val="p"/>
              </m:rPr>
              <w:rPr>
                <w:rFonts w:ascii="Cambria Math" w:hAnsi="Cambria Math"/>
                <w:vertAlign w:val="subscript"/>
              </w:rPr>
              <m:t>R</m:t>
            </m:r>
          </m:sub>
        </m:sSub>
      </m:oMath>
      <w:r w:rsidRPr="00274699">
        <w:t>, which depend on the Ductility Class and the structural type according to 12.4.</w:t>
      </w:r>
    </w:p>
    <w:p w14:paraId="37CDA7D9" w14:textId="0CAD3A02" w:rsidR="000D1EA6" w:rsidRPr="00274699" w:rsidRDefault="000D1EA6" w:rsidP="00724E4E">
      <w:pPr>
        <w:pStyle w:val="Clause"/>
      </w:pPr>
      <w:r w:rsidRPr="00274699">
        <w:t xml:space="preserve">In DC2 and DC3, dissipative zones of composite </w:t>
      </w:r>
      <w:r w:rsidR="00274699" w:rsidRPr="00274699">
        <w:t>steel-concrete</w:t>
      </w:r>
      <w:r w:rsidRPr="00274699">
        <w:t xml:space="preserve"> buildings may resist earthquake actions through inelastic behaviour. Dissipative zones should be designed according to 12.8 to 12.14 and 12.16.</w:t>
      </w:r>
    </w:p>
    <w:p w14:paraId="67AD0EB0" w14:textId="4EAC43BB" w:rsidR="000D1EA6" w:rsidRPr="00132C1E" w:rsidRDefault="000D1EA6" w:rsidP="000D1EA6">
      <w:pPr>
        <w:pStyle w:val="Heading3"/>
      </w:pPr>
      <w:bookmarkStart w:id="9937" w:name="_Toc17827798"/>
      <w:bookmarkStart w:id="9938" w:name="_Toc50150484"/>
      <w:bookmarkStart w:id="9939" w:name="_Toc70886916"/>
      <w:bookmarkStart w:id="9940" w:name="_Toc108342474"/>
      <w:bookmarkStart w:id="9941" w:name="_Toc134198006"/>
      <w:r w:rsidRPr="00132C1E">
        <w:t>Safety verifications</w:t>
      </w:r>
      <w:bookmarkEnd w:id="9937"/>
      <w:bookmarkEnd w:id="9938"/>
      <w:bookmarkEnd w:id="9939"/>
      <w:bookmarkEnd w:id="9940"/>
      <w:bookmarkEnd w:id="9941"/>
    </w:p>
    <w:p w14:paraId="7519747D" w14:textId="77777777" w:rsidR="000D1EA6" w:rsidRPr="00274699" w:rsidRDefault="000D1EA6" w:rsidP="0080187E">
      <w:pPr>
        <w:pStyle w:val="Clause"/>
        <w:numPr>
          <w:ilvl w:val="0"/>
          <w:numId w:val="420"/>
        </w:numPr>
        <w:rPr>
          <w:bCs/>
        </w:rPr>
      </w:pPr>
      <w:r w:rsidRPr="00274699">
        <w:rPr>
          <w:bCs/>
        </w:rPr>
        <w:t>11.2.2 should be applied.</w:t>
      </w:r>
    </w:p>
    <w:p w14:paraId="6C96D798" w14:textId="0BF150BA" w:rsidR="000D1EA6" w:rsidRPr="00274699" w:rsidRDefault="000D1EA6" w:rsidP="00724E4E">
      <w:pPr>
        <w:pStyle w:val="Clause"/>
        <w:rPr>
          <w:bCs/>
        </w:rPr>
      </w:pPr>
      <w:r w:rsidRPr="00274699">
        <w:rPr>
          <w:bCs/>
        </w:rPr>
        <w:t xml:space="preserve">Partial factors </w:t>
      </w:r>
      <m:oMath>
        <m:sSub>
          <m:sSubPr>
            <m:ctrlPr>
              <w:rPr>
                <w:rFonts w:ascii="Cambria Math" w:hAnsi="Cambria Math"/>
                <w:bCs/>
                <w:i/>
              </w:rPr>
            </m:ctrlPr>
          </m:sSubPr>
          <m:e>
            <m:r>
              <w:rPr>
                <w:rFonts w:ascii="Cambria Math" w:hAnsi="Cambria Math"/>
              </w:rPr>
              <m:t>γ</m:t>
            </m:r>
          </m:e>
          <m:sub>
            <m:r>
              <m:rPr>
                <m:sty m:val="p"/>
              </m:rPr>
              <w:rPr>
                <w:rFonts w:ascii="Cambria Math" w:hAnsi="Cambria Math"/>
              </w:rPr>
              <m:t>c</m:t>
            </m:r>
          </m:sub>
        </m:sSub>
      </m:oMath>
      <w:r w:rsidRPr="00274699">
        <w:rPr>
          <w:bCs/>
        </w:rPr>
        <w:t xml:space="preserve"> and </w:t>
      </w:r>
      <m:oMath>
        <m:sSub>
          <m:sSubPr>
            <m:ctrlPr>
              <w:rPr>
                <w:rFonts w:ascii="Cambria Math" w:hAnsi="Cambria Math"/>
                <w:bCs/>
                <w:i/>
              </w:rPr>
            </m:ctrlPr>
          </m:sSubPr>
          <m:e>
            <m:r>
              <w:rPr>
                <w:rFonts w:ascii="Cambria Math" w:hAnsi="Cambria Math"/>
              </w:rPr>
              <m:t>γ</m:t>
            </m:r>
          </m:e>
          <m:sub>
            <m:r>
              <m:rPr>
                <m:sty m:val="p"/>
              </m:rPr>
              <w:rPr>
                <w:rFonts w:ascii="Cambria Math" w:hAnsi="Cambria Math"/>
              </w:rPr>
              <m:t>s</m:t>
            </m:r>
          </m:sub>
        </m:sSub>
      </m:oMath>
      <w:r w:rsidRPr="00274699">
        <w:rPr>
          <w:bCs/>
        </w:rPr>
        <w:t xml:space="preserve"> for reinforced concrete should conform to 10.3.4.</w:t>
      </w:r>
    </w:p>
    <w:p w14:paraId="71D9C98B" w14:textId="206D44C5" w:rsidR="000D1EA6" w:rsidRPr="00ED6630" w:rsidRDefault="000D1EA6" w:rsidP="00724E4E">
      <w:pPr>
        <w:pStyle w:val="Clause"/>
      </w:pPr>
      <w:r w:rsidRPr="00274699">
        <w:rPr>
          <w:bCs/>
        </w:rPr>
        <w:t xml:space="preserve">The partial factor </w:t>
      </w:r>
      <m:oMath>
        <m:sSub>
          <m:sSubPr>
            <m:ctrlPr>
              <w:rPr>
                <w:rFonts w:ascii="Cambria Math" w:hAnsi="Cambria Math"/>
                <w:bCs/>
                <w:i/>
              </w:rPr>
            </m:ctrlPr>
          </m:sSubPr>
          <m:e>
            <m:r>
              <w:rPr>
                <w:rFonts w:ascii="Cambria Math" w:hAnsi="Cambria Math"/>
              </w:rPr>
              <m:t>γ</m:t>
            </m:r>
          </m:e>
          <m:sub>
            <m:r>
              <m:rPr>
                <m:sty m:val="p"/>
              </m:rPr>
              <w:rPr>
                <w:rFonts w:ascii="Cambria Math" w:hAnsi="Cambria Math"/>
              </w:rPr>
              <m:t>v</m:t>
            </m:r>
          </m:sub>
        </m:sSub>
      </m:oMath>
      <w:r w:rsidRPr="00274699">
        <w:rPr>
          <w:bCs/>
        </w:rPr>
        <w:t xml:space="preserve"> for shear connectors should conform to prEN</w:t>
      </w:r>
      <w:r w:rsidR="00274699">
        <w:rPr>
          <w:bCs/>
        </w:rPr>
        <w:t> </w:t>
      </w:r>
      <w:r w:rsidRPr="00274699">
        <w:rPr>
          <w:bCs/>
        </w:rPr>
        <w:t>1994-1-1</w:t>
      </w:r>
      <w:r w:rsidR="00B16E0A">
        <w:t>:</w:t>
      </w:r>
      <w:r w:rsidR="0078003E">
        <w:t>—</w:t>
      </w:r>
      <w:r w:rsidR="00B16E0A">
        <w:t xml:space="preserve">, </w:t>
      </w:r>
      <w:r w:rsidR="00F76B2E" w:rsidRPr="00274699">
        <w:rPr>
          <w:bCs/>
        </w:rPr>
        <w:t>4.</w:t>
      </w:r>
      <w:r w:rsidR="00F76B2E">
        <w:t>4.1.2(5)</w:t>
      </w:r>
      <w:r w:rsidRPr="00ED6630">
        <w:t>.</w:t>
      </w:r>
    </w:p>
    <w:p w14:paraId="4B15C5EB" w14:textId="62906960" w:rsidR="000D1EA6" w:rsidRPr="00E05E29" w:rsidRDefault="000D1EA6" w:rsidP="000D1EA6">
      <w:pPr>
        <w:pStyle w:val="Heading2"/>
      </w:pPr>
      <w:bookmarkStart w:id="9942" w:name="_Toc17827799"/>
      <w:bookmarkStart w:id="9943" w:name="_Toc50150485"/>
      <w:bookmarkStart w:id="9944" w:name="_Toc70886917"/>
      <w:bookmarkStart w:id="9945" w:name="_Toc108342475"/>
      <w:bookmarkStart w:id="9946" w:name="_Toc134198007"/>
      <w:r w:rsidRPr="00644C3D">
        <w:t>Materials</w:t>
      </w:r>
      <w:bookmarkEnd w:id="9942"/>
      <w:bookmarkEnd w:id="9943"/>
      <w:bookmarkEnd w:id="9944"/>
      <w:bookmarkEnd w:id="9945"/>
      <w:bookmarkEnd w:id="9946"/>
    </w:p>
    <w:p w14:paraId="1D569BEB" w14:textId="77777777" w:rsidR="000D1EA6" w:rsidRPr="002144A0" w:rsidRDefault="000D1EA6" w:rsidP="000D1EA6">
      <w:pPr>
        <w:pStyle w:val="Heading3"/>
      </w:pPr>
      <w:bookmarkStart w:id="9947" w:name="_Toc17827800"/>
      <w:bookmarkStart w:id="9948" w:name="_Toc50150486"/>
      <w:bookmarkStart w:id="9949" w:name="_Toc70886918"/>
      <w:bookmarkStart w:id="9950" w:name="_Toc108342476"/>
      <w:bookmarkStart w:id="9951" w:name="_Toc134198008"/>
      <w:r w:rsidRPr="00196951">
        <w:t>Concrete</w:t>
      </w:r>
      <w:bookmarkEnd w:id="9947"/>
      <w:bookmarkEnd w:id="9948"/>
      <w:bookmarkEnd w:id="9949"/>
      <w:bookmarkEnd w:id="9950"/>
      <w:bookmarkEnd w:id="9951"/>
    </w:p>
    <w:p w14:paraId="1EA84E28" w14:textId="0D71AC01" w:rsidR="000D1EA6" w:rsidRPr="00132C1E" w:rsidRDefault="000D1EA6" w:rsidP="0080187E">
      <w:pPr>
        <w:pStyle w:val="Clause"/>
        <w:numPr>
          <w:ilvl w:val="0"/>
          <w:numId w:val="421"/>
        </w:numPr>
      </w:pPr>
      <w:r w:rsidRPr="004F74EA">
        <w:t xml:space="preserve">In design for </w:t>
      </w:r>
      <w:r w:rsidRPr="00274699">
        <w:t>DC1, 10.3.2(1) and</w:t>
      </w:r>
      <w:r w:rsidRPr="00BA64D4">
        <w:t xml:space="preserve"> prEN</w:t>
      </w:r>
      <w:r w:rsidR="00274699">
        <w:t> </w:t>
      </w:r>
      <w:r w:rsidRPr="00BA64D4">
        <w:t>1994-1-1</w:t>
      </w:r>
      <w:r w:rsidR="00E94225">
        <w:t xml:space="preserve"> </w:t>
      </w:r>
      <w:r w:rsidRPr="00132C1E">
        <w:t>should be applied.</w:t>
      </w:r>
    </w:p>
    <w:p w14:paraId="39CB0875" w14:textId="77777777" w:rsidR="000D1EA6" w:rsidRPr="00132C1E" w:rsidRDefault="000D1EA6" w:rsidP="00724E4E">
      <w:pPr>
        <w:pStyle w:val="Clause"/>
      </w:pPr>
      <w:r w:rsidRPr="00132C1E">
        <w:t xml:space="preserve">In design for DC2 and </w:t>
      </w:r>
      <w:r w:rsidRPr="00274699">
        <w:t>DC3, 10.3.3(1) should</w:t>
      </w:r>
      <w:r w:rsidRPr="00132C1E">
        <w:t xml:space="preserve"> be applied.</w:t>
      </w:r>
    </w:p>
    <w:p w14:paraId="3D10459F" w14:textId="542BC134" w:rsidR="000D1EA6" w:rsidRPr="00132C1E" w:rsidRDefault="000D1EA6" w:rsidP="000D1EA6">
      <w:pPr>
        <w:pStyle w:val="Heading3"/>
      </w:pPr>
      <w:bookmarkStart w:id="9952" w:name="_Toc17827801"/>
      <w:bookmarkStart w:id="9953" w:name="_Toc50150487"/>
      <w:bookmarkStart w:id="9954" w:name="_Toc70886919"/>
      <w:bookmarkStart w:id="9955" w:name="_Toc108342477"/>
      <w:bookmarkStart w:id="9956" w:name="_Toc134198009"/>
      <w:r w:rsidRPr="00132C1E">
        <w:lastRenderedPageBreak/>
        <w:t>Reinforcing steel</w:t>
      </w:r>
      <w:bookmarkEnd w:id="9952"/>
      <w:bookmarkEnd w:id="9953"/>
      <w:bookmarkEnd w:id="9954"/>
      <w:bookmarkEnd w:id="9955"/>
      <w:bookmarkEnd w:id="9956"/>
    </w:p>
    <w:p w14:paraId="344BCBCA" w14:textId="77777777" w:rsidR="000D1EA6" w:rsidRPr="00132C1E" w:rsidRDefault="000D1EA6" w:rsidP="0080187E">
      <w:pPr>
        <w:pStyle w:val="Clause"/>
        <w:numPr>
          <w:ilvl w:val="0"/>
          <w:numId w:val="422"/>
        </w:numPr>
      </w:pPr>
      <w:r w:rsidRPr="00274699">
        <w:rPr>
          <w:bCs/>
        </w:rPr>
        <w:t>10.3.1(1) and 10.3.3(2) should be</w:t>
      </w:r>
      <w:r w:rsidRPr="00132C1E">
        <w:t xml:space="preserve"> applied.</w:t>
      </w:r>
    </w:p>
    <w:p w14:paraId="5AD5D4DB" w14:textId="21168B61" w:rsidR="000D1EA6" w:rsidRPr="00132C1E" w:rsidRDefault="000D1EA6" w:rsidP="000D1EA6">
      <w:pPr>
        <w:pStyle w:val="Heading3"/>
      </w:pPr>
      <w:bookmarkStart w:id="9957" w:name="_Toc50150488"/>
      <w:bookmarkStart w:id="9958" w:name="_Toc70886920"/>
      <w:bookmarkStart w:id="9959" w:name="_Toc108342478"/>
      <w:bookmarkStart w:id="9960" w:name="_Toc134198010"/>
      <w:bookmarkStart w:id="9961" w:name="_Toc17827802"/>
      <w:r w:rsidRPr="00132C1E">
        <w:t>Structural steel</w:t>
      </w:r>
      <w:bookmarkEnd w:id="9957"/>
      <w:bookmarkEnd w:id="9958"/>
      <w:bookmarkEnd w:id="9959"/>
      <w:bookmarkEnd w:id="9960"/>
      <w:r w:rsidRPr="00132C1E">
        <w:t xml:space="preserve"> </w:t>
      </w:r>
      <w:bookmarkEnd w:id="9961"/>
    </w:p>
    <w:p w14:paraId="5853B28B" w14:textId="77777777" w:rsidR="000D1EA6" w:rsidRDefault="000D1EA6" w:rsidP="0080187E">
      <w:pPr>
        <w:pStyle w:val="Clause"/>
        <w:numPr>
          <w:ilvl w:val="0"/>
          <w:numId w:val="423"/>
        </w:numPr>
      </w:pPr>
      <w:r w:rsidRPr="00274699">
        <w:rPr>
          <w:bCs/>
        </w:rPr>
        <w:t>11.3 should be</w:t>
      </w:r>
      <w:r w:rsidRPr="00841561">
        <w:t xml:space="preserve"> applied</w:t>
      </w:r>
      <w:r>
        <w:t>.</w:t>
      </w:r>
    </w:p>
    <w:p w14:paraId="6AAEF15E" w14:textId="77777777" w:rsidR="000D1EA6" w:rsidRPr="00BA64D4" w:rsidRDefault="000D1EA6" w:rsidP="00724E4E">
      <w:pPr>
        <w:pStyle w:val="Clause"/>
      </w:pPr>
      <w:r w:rsidRPr="00BA64D4">
        <w:t>When the dissipative zones occur in composite cross sections, either beam or columns, the steel grade of these components should not be higher than S460. This requirement includes beams with partial concrete encasement.</w:t>
      </w:r>
    </w:p>
    <w:p w14:paraId="546E811C" w14:textId="290C8931" w:rsidR="000D1EA6" w:rsidRPr="00132C1E" w:rsidRDefault="000D1EA6" w:rsidP="000D1EA6">
      <w:pPr>
        <w:pStyle w:val="Heading2"/>
      </w:pPr>
      <w:bookmarkStart w:id="9962" w:name="_Toc17827803"/>
      <w:bookmarkStart w:id="9963" w:name="_Toc50150489"/>
      <w:bookmarkStart w:id="9964" w:name="_Toc70886921"/>
      <w:bookmarkStart w:id="9965" w:name="_Toc108342479"/>
      <w:bookmarkStart w:id="9966" w:name="_Toc134198011"/>
      <w:r w:rsidRPr="00132C1E">
        <w:t>Structural types, behaviour factors, limits of seismic action and limits of drifts</w:t>
      </w:r>
      <w:bookmarkEnd w:id="9962"/>
      <w:bookmarkEnd w:id="9963"/>
      <w:bookmarkEnd w:id="9964"/>
      <w:bookmarkEnd w:id="9965"/>
      <w:bookmarkEnd w:id="9966"/>
    </w:p>
    <w:p w14:paraId="2E5BE078" w14:textId="77777777" w:rsidR="000D1EA6" w:rsidRPr="00132C1E" w:rsidRDefault="000D1EA6" w:rsidP="000D1EA6">
      <w:pPr>
        <w:pStyle w:val="Heading3"/>
      </w:pPr>
      <w:bookmarkStart w:id="9967" w:name="_Toc17827804"/>
      <w:bookmarkStart w:id="9968" w:name="_Toc50150490"/>
      <w:bookmarkStart w:id="9969" w:name="_Toc70886922"/>
      <w:bookmarkStart w:id="9970" w:name="_Toc108342480"/>
      <w:bookmarkStart w:id="9971" w:name="_Toc134198012"/>
      <w:r w:rsidRPr="00132C1E">
        <w:t>Structural types</w:t>
      </w:r>
      <w:bookmarkEnd w:id="9967"/>
      <w:bookmarkEnd w:id="9968"/>
      <w:bookmarkEnd w:id="9969"/>
      <w:bookmarkEnd w:id="9970"/>
      <w:bookmarkEnd w:id="9971"/>
    </w:p>
    <w:p w14:paraId="15BF3882" w14:textId="79D60FBE" w:rsidR="000D1EA6" w:rsidRPr="00132C1E" w:rsidRDefault="000D1EA6" w:rsidP="0080187E">
      <w:pPr>
        <w:pStyle w:val="Clause"/>
        <w:numPr>
          <w:ilvl w:val="0"/>
          <w:numId w:val="424"/>
        </w:numPr>
      </w:pPr>
      <w:r w:rsidRPr="00132C1E">
        <w:t xml:space="preserve">Composite </w:t>
      </w:r>
      <w:r w:rsidR="00274699">
        <w:t>steel-concrete</w:t>
      </w:r>
      <w:r w:rsidRPr="00132C1E">
        <w:t xml:space="preserve"> </w:t>
      </w:r>
      <w:r w:rsidRPr="00D950A8">
        <w:t xml:space="preserve">buildings designed to be dissipative should </w:t>
      </w:r>
      <w:r w:rsidRPr="00132C1E">
        <w:t>be assigned to one of the structural types in a) to g), according to the behaviour of their primary resisting structure under seismic actions:</w:t>
      </w:r>
    </w:p>
    <w:p w14:paraId="63E78FB1" w14:textId="020DD82B" w:rsidR="000D1EA6" w:rsidRPr="00274699" w:rsidRDefault="000D1EA6" w:rsidP="0080187E">
      <w:pPr>
        <w:pStyle w:val="List2"/>
        <w:numPr>
          <w:ilvl w:val="0"/>
          <w:numId w:val="154"/>
        </w:numPr>
        <w:spacing w:before="0" w:after="240" w:line="230" w:lineRule="atLeast"/>
        <w:contextualSpacing w:val="0"/>
      </w:pPr>
      <w:r w:rsidRPr="00274699">
        <w:t xml:space="preserve">Composite moment resisting frames, are those with the same definition and limitations as in 11.4.1(1)a, but in which beams and/or columns may be either structural steel or composite </w:t>
      </w:r>
      <w:r w:rsidR="00274699" w:rsidRPr="00274699">
        <w:t>steel-concrete</w:t>
      </w:r>
      <w:r w:rsidRPr="00274699">
        <w:t xml:space="preserve"> (see Figure 11.1) with full- or partial- strength beam-to-column connections. If columns are structural steel, the limitations as in 11.4.1(2) should be applied. Partial-strength beam-to-column connections are these that connect fully composite beams to structural steel columns with flexural resistance provided by a force couple achieved with continuous steel reinforcement in the slab and a steel seat angle or comparable connection at the bottom flange connection.</w:t>
      </w:r>
    </w:p>
    <w:p w14:paraId="4580698B" w14:textId="3E01947C" w:rsidR="000D1EA6" w:rsidRPr="00274699" w:rsidRDefault="000D1EA6" w:rsidP="0080187E">
      <w:pPr>
        <w:pStyle w:val="List2"/>
        <w:numPr>
          <w:ilvl w:val="0"/>
          <w:numId w:val="154"/>
        </w:numPr>
        <w:tabs>
          <w:tab w:val="num" w:pos="0"/>
        </w:tabs>
        <w:spacing w:before="0" w:after="240" w:line="230" w:lineRule="atLeast"/>
        <w:contextualSpacing w:val="0"/>
      </w:pPr>
      <w:r w:rsidRPr="00274699">
        <w:t xml:space="preserve">Composite frames with concentric bracings, are those with the same definition and limitations as in 11.4.1(1)b, 11.4.1(3), 11.4.1(4), 11.4.1(5), 11.4.1(6) and Figures 11.2 and 11.3. Columns and beams may be either structural steel or </w:t>
      </w:r>
      <w:r w:rsidR="00C30FF9">
        <w:t>composite steel-concrete</w:t>
      </w:r>
      <w:r w:rsidRPr="00274699">
        <w:t>. Braces should either be structural steel or filled composite.</w:t>
      </w:r>
    </w:p>
    <w:p w14:paraId="6A5DD714" w14:textId="64C9243A" w:rsidR="000D1EA6" w:rsidRPr="00274699" w:rsidRDefault="000D1EA6" w:rsidP="0080187E">
      <w:pPr>
        <w:pStyle w:val="List2"/>
        <w:numPr>
          <w:ilvl w:val="0"/>
          <w:numId w:val="154"/>
        </w:numPr>
        <w:tabs>
          <w:tab w:val="num" w:pos="0"/>
        </w:tabs>
        <w:spacing w:before="0" w:after="240" w:line="230" w:lineRule="atLeast"/>
        <w:contextualSpacing w:val="0"/>
      </w:pPr>
      <w:r w:rsidRPr="00274699">
        <w:t xml:space="preserve">Composite frames with eccentric bracings, are those with the same definition and limitations as in 11.4.1(1)c and Figure 11.4. The members, which do not contain the links may either be structural steel or </w:t>
      </w:r>
      <w:r w:rsidR="00C30FF9">
        <w:t>composite steel-concrete</w:t>
      </w:r>
      <w:r w:rsidRPr="00274699">
        <w:t>. Other than the slab, the links should</w:t>
      </w:r>
      <w:r w:rsidRPr="00274699" w:rsidDel="008E2228">
        <w:t xml:space="preserve"> </w:t>
      </w:r>
      <w:r w:rsidRPr="00274699">
        <w:t>be structural steel. Energy dissipation should</w:t>
      </w:r>
      <w:r w:rsidRPr="00274699" w:rsidDel="008E2228">
        <w:t xml:space="preserve"> </w:t>
      </w:r>
      <w:r w:rsidRPr="00274699">
        <w:t>occur only through yielding in bending and/or in shear of these links.</w:t>
      </w:r>
    </w:p>
    <w:p w14:paraId="2D111573" w14:textId="232B14DE" w:rsidR="000D1EA6" w:rsidRPr="00274699" w:rsidRDefault="000D1EA6" w:rsidP="0080187E">
      <w:pPr>
        <w:pStyle w:val="List2"/>
        <w:numPr>
          <w:ilvl w:val="0"/>
          <w:numId w:val="154"/>
        </w:numPr>
        <w:tabs>
          <w:tab w:val="num" w:pos="0"/>
        </w:tabs>
        <w:spacing w:before="0" w:after="240" w:line="230" w:lineRule="atLeast"/>
        <w:contextualSpacing w:val="0"/>
      </w:pPr>
      <w:r w:rsidRPr="00274699">
        <w:t xml:space="preserve">Composite frames with buckling restrained bracings, are those with the same definition and limitations as in 11.4.1(1)d and Figure 11.5. Columns and beams may either be structural steel or </w:t>
      </w:r>
      <w:r w:rsidR="00C30FF9">
        <w:t>composite steel-concrete</w:t>
      </w:r>
      <w:r w:rsidRPr="00274699">
        <w:t>. Buckling restrained braces should</w:t>
      </w:r>
      <w:r w:rsidRPr="00274699" w:rsidDel="008E2228">
        <w:t xml:space="preserve"> </w:t>
      </w:r>
      <w:r w:rsidRPr="00274699">
        <w:t>be such that they are active both in tension and compression without experiencing local and/or global buckling, so that energy is dissipated in the braces by means of cyclic axial force.</w:t>
      </w:r>
    </w:p>
    <w:p w14:paraId="0370A7EF" w14:textId="77777777" w:rsidR="000D1EA6" w:rsidRPr="00274699" w:rsidRDefault="000D1EA6" w:rsidP="0080187E">
      <w:pPr>
        <w:pStyle w:val="List2"/>
        <w:numPr>
          <w:ilvl w:val="0"/>
          <w:numId w:val="154"/>
        </w:numPr>
        <w:tabs>
          <w:tab w:val="num" w:pos="0"/>
        </w:tabs>
        <w:spacing w:before="0" w:after="240" w:line="230" w:lineRule="atLeast"/>
        <w:contextualSpacing w:val="0"/>
      </w:pPr>
      <w:r w:rsidRPr="00274699">
        <w:t>Dual composite frames have the same definition and limitations as in 11.4.1(1) e) (see Figure 11.6).</w:t>
      </w:r>
    </w:p>
    <w:p w14:paraId="13E7366C" w14:textId="77777777" w:rsidR="000D1EA6" w:rsidRPr="00274699" w:rsidRDefault="000D1EA6" w:rsidP="0080187E">
      <w:pPr>
        <w:pStyle w:val="List2"/>
        <w:numPr>
          <w:ilvl w:val="0"/>
          <w:numId w:val="154"/>
        </w:numPr>
        <w:tabs>
          <w:tab w:val="num" w:pos="0"/>
        </w:tabs>
        <w:spacing w:before="0" w:after="240" w:line="230" w:lineRule="atLeast"/>
        <w:contextualSpacing w:val="0"/>
      </w:pPr>
      <w:r w:rsidRPr="00274699">
        <w:t>Inverted pendulum structures have the same definition and limitations as in 11.4.1(1) g) (see Figure 11.8) and 11.4.1(7).</w:t>
      </w:r>
    </w:p>
    <w:p w14:paraId="281F825C" w14:textId="77777777" w:rsidR="000D1EA6" w:rsidRPr="00132C1E" w:rsidRDefault="000D1EA6" w:rsidP="0080187E">
      <w:pPr>
        <w:pStyle w:val="List2"/>
        <w:numPr>
          <w:ilvl w:val="0"/>
          <w:numId w:val="154"/>
        </w:numPr>
        <w:tabs>
          <w:tab w:val="num" w:pos="0"/>
        </w:tabs>
        <w:spacing w:before="0" w:after="240" w:line="230" w:lineRule="atLeast"/>
        <w:contextualSpacing w:val="0"/>
      </w:pPr>
      <w:r w:rsidRPr="00274699">
        <w:t>Composite structural wall systems are those which behave</w:t>
      </w:r>
      <w:r w:rsidRPr="00132C1E">
        <w:t xml:space="preserve"> essentially as reinforced concrete walls. The composite wall systems may belong to one of the following types:</w:t>
      </w:r>
    </w:p>
    <w:p w14:paraId="5BD8D4F1" w14:textId="77777777" w:rsidR="000D1EA6" w:rsidRPr="00132C1E" w:rsidRDefault="000D1EA6" w:rsidP="0080187E">
      <w:pPr>
        <w:pStyle w:val="ListContinue"/>
        <w:numPr>
          <w:ilvl w:val="0"/>
          <w:numId w:val="155"/>
        </w:numPr>
        <w:spacing w:before="0" w:after="240" w:line="230" w:lineRule="atLeast"/>
        <w:contextualSpacing w:val="0"/>
      </w:pPr>
      <w:r w:rsidRPr="00132C1E">
        <w:lastRenderedPageBreak/>
        <w:t xml:space="preserve">Type 1 corresponds to a steel or composite </w:t>
      </w:r>
      <w:r w:rsidRPr="007008A4">
        <w:t>moment resisting frame working together with concrete infill panels connected to the steel frame (see Figure 12.1a</w:t>
      </w:r>
      <w:r w:rsidRPr="00132C1E">
        <w:t>).</w:t>
      </w:r>
    </w:p>
    <w:p w14:paraId="286E135E" w14:textId="77777777" w:rsidR="000D1EA6" w:rsidRPr="00132C1E" w:rsidRDefault="000D1EA6" w:rsidP="0080187E">
      <w:pPr>
        <w:pStyle w:val="ListContinue"/>
        <w:numPr>
          <w:ilvl w:val="0"/>
          <w:numId w:val="155"/>
        </w:numPr>
        <w:spacing w:before="0" w:after="240" w:line="230" w:lineRule="atLeast"/>
        <w:contextualSpacing w:val="0"/>
      </w:pPr>
      <w:r w:rsidRPr="00132C1E">
        <w:t>Type 2 is a reinforced concrete wall in which encased structural steel cross sections connected to the concrete structure are used as vertical reinforcement (</w:t>
      </w:r>
      <w:r w:rsidRPr="007008A4">
        <w:t xml:space="preserve">see Figure 12.1b </w:t>
      </w:r>
      <w:r w:rsidRPr="00132C1E">
        <w:t>an example with edge reinforcement).</w:t>
      </w:r>
    </w:p>
    <w:p w14:paraId="21E9D39E" w14:textId="77777777" w:rsidR="000D1EA6" w:rsidRPr="00132C1E" w:rsidRDefault="000D1EA6" w:rsidP="0080187E">
      <w:pPr>
        <w:pStyle w:val="ListContinue"/>
        <w:numPr>
          <w:ilvl w:val="0"/>
          <w:numId w:val="155"/>
        </w:numPr>
        <w:spacing w:before="0" w:after="240" w:line="230" w:lineRule="atLeast"/>
        <w:contextualSpacing w:val="0"/>
      </w:pPr>
      <w:r w:rsidRPr="00132C1E">
        <w:t>Type 3, in which steel or composite steel beams are used to couple two or more reinforced concrete or composite walls (</w:t>
      </w:r>
      <w:r w:rsidRPr="007008A4">
        <w:t>see Figure 12.1c</w:t>
      </w:r>
      <w:r w:rsidRPr="00132C1E">
        <w:t>).</w:t>
      </w:r>
    </w:p>
    <w:p w14:paraId="67DEBD9B" w14:textId="079C8597" w:rsidR="00FA6A7A" w:rsidRDefault="00FA6A7A" w:rsidP="00FA6A7A">
      <w:pPr>
        <w:pStyle w:val="FigureImage"/>
      </w:pPr>
      <w:bookmarkStart w:id="9972" w:name="_Ref17538048"/>
      <w:r>
        <w:rPr>
          <w:noProof/>
        </w:rPr>
        <w:drawing>
          <wp:inline distT="0" distB="0" distL="0" distR="0" wp14:anchorId="1ABD9659" wp14:editId="327C35C8">
            <wp:extent cx="3599694" cy="1420370"/>
            <wp:effectExtent l="0" t="0" r="1270" b="0"/>
            <wp:docPr id="1661690628" name="0039.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1690628" name="0039.tiff"/>
                    <pic:cNvPicPr/>
                  </pic:nvPicPr>
                  <pic:blipFill>
                    <a:blip r:link="rId54"/>
                    <a:stretch>
                      <a:fillRect/>
                    </a:stretch>
                  </pic:blipFill>
                  <pic:spPr>
                    <a:xfrm>
                      <a:off x="0" y="0"/>
                      <a:ext cx="3599694" cy="1420370"/>
                    </a:xfrm>
                    <a:prstGeom prst="rect">
                      <a:avLst/>
                    </a:prstGeom>
                  </pic:spPr>
                </pic:pic>
              </a:graphicData>
            </a:graphic>
          </wp:inline>
        </w:drawing>
      </w:r>
    </w:p>
    <w:p w14:paraId="29D0FD6B" w14:textId="743115FA" w:rsidR="000D1EA6" w:rsidRPr="00FD17CF" w:rsidRDefault="000D1EA6" w:rsidP="007008A4">
      <w:pPr>
        <w:pStyle w:val="Figuretitle"/>
      </w:pPr>
      <w:r w:rsidRPr="00FD17CF">
        <w:t xml:space="preserve">Figure </w:t>
      </w:r>
      <w:r w:rsidR="007008A4">
        <w:t>12</w:t>
      </w:r>
      <w:r w:rsidRPr="00132C1E">
        <w:t>.</w:t>
      </w:r>
      <w:r w:rsidR="007008A4">
        <w:t>1</w:t>
      </w:r>
      <w:r w:rsidRPr="00132C1E">
        <w:t> </w:t>
      </w:r>
      <w:r w:rsidRPr="00D1484A">
        <w:rPr>
          <w:rFonts w:ascii="`ÃÍœ˛" w:eastAsia="Cambria" w:hAnsi="`ÃÍœ˛" w:cs="`ÃÍœ˛"/>
          <w:szCs w:val="22"/>
          <w:lang w:eastAsia="de-DE"/>
        </w:rPr>
        <w:t>—</w:t>
      </w:r>
      <w:r w:rsidRPr="00D1484A">
        <w:t> Composite structural wall systems: (a) Type 1 – steel or composite moment frame with connected concrete infill panels; (b) Type 2 – composite walls reinforced by connected encased vertical steel sections</w:t>
      </w:r>
      <w:bookmarkEnd w:id="9972"/>
      <w:r w:rsidRPr="007E6F67">
        <w:t xml:space="preserve">; (c) Type 3 </w:t>
      </w:r>
      <w:r w:rsidR="00FA6A7A">
        <w:t>–</w:t>
      </w:r>
      <w:r w:rsidRPr="007E6F67">
        <w:t xml:space="preserve"> </w:t>
      </w:r>
      <w:r w:rsidRPr="00FD17CF">
        <w:t>composite or concrete walls coupled by steel or composite beams</w:t>
      </w:r>
    </w:p>
    <w:p w14:paraId="5196C2A5" w14:textId="353702AF" w:rsidR="000D1EA6" w:rsidRPr="00274699" w:rsidRDefault="000D1EA6" w:rsidP="00724E4E">
      <w:pPr>
        <w:pStyle w:val="Clause"/>
      </w:pPr>
      <w:r w:rsidRPr="00E05E29">
        <w:t xml:space="preserve">Composite moment resisting frames with partial-strength beam-to-column connections may be used in DC1. When designed as dissipative, composite moment resisting frames with partial-strength beam-to-column connections should only be designed in DC2 and should also be verified against global hierarchy rules in </w:t>
      </w:r>
      <w:r w:rsidRPr="00274699">
        <w:t>accordance with 11.9.3(2) and 6.2.7(2).</w:t>
      </w:r>
    </w:p>
    <w:p w14:paraId="1FB60671" w14:textId="1A6ED595" w:rsidR="000D1EA6" w:rsidRPr="00274699" w:rsidRDefault="000D1EA6" w:rsidP="00724E4E">
      <w:pPr>
        <w:pStyle w:val="Clause"/>
      </w:pPr>
      <w:r w:rsidRPr="00274699">
        <w:t>In composite structural wall systems of Types 1 and 2, the energy dissipation should take place in the vertical steel sections and in the vertical reinforcement of the walls. In composite structural wall systems of Type 3, energy dissipation may also take place in the coupling beams.</w:t>
      </w:r>
    </w:p>
    <w:p w14:paraId="2521D001" w14:textId="33DFEA8A" w:rsidR="000D1EA6" w:rsidRPr="00274699" w:rsidRDefault="000D1EA6" w:rsidP="00724E4E">
      <w:pPr>
        <w:pStyle w:val="Clause"/>
      </w:pPr>
      <w:r w:rsidRPr="00274699">
        <w:t xml:space="preserve">If in composite structural wall systems, the wall elements are not connected to the steel structure, </w:t>
      </w:r>
      <w:r w:rsidR="00274699">
        <w:t xml:space="preserve">Clauses </w:t>
      </w:r>
      <w:r w:rsidRPr="00274699">
        <w:t>10 and 11 should be applied, respectively, for concrete and steel members.</w:t>
      </w:r>
    </w:p>
    <w:p w14:paraId="1D357D9F" w14:textId="30356CC0" w:rsidR="000D1EA6" w:rsidRPr="00274699" w:rsidRDefault="000D1EA6" w:rsidP="00724E4E">
      <w:pPr>
        <w:pStyle w:val="Clause"/>
      </w:pPr>
      <w:bookmarkStart w:id="9973" w:name="_Hlk91773816"/>
      <w:r w:rsidRPr="00274699">
        <w:t>prEN</w:t>
      </w:r>
      <w:r w:rsidR="00274699">
        <w:t> </w:t>
      </w:r>
      <w:r w:rsidRPr="00274699">
        <w:t xml:space="preserve">1998-1-1:2022, 4.1(7), may be used in design within the limitations given in 12.6.4(1) f) and 12.7.1 and 12.7.3. </w:t>
      </w:r>
    </w:p>
    <w:p w14:paraId="28210CA3" w14:textId="596966EE" w:rsidR="000D1EA6" w:rsidRPr="00274699" w:rsidRDefault="000D1EA6" w:rsidP="00724E4E">
      <w:pPr>
        <w:pStyle w:val="Clause"/>
      </w:pPr>
      <w:r w:rsidRPr="00274699">
        <w:t>Structural systems which cannot be assigned to one of the structural types in (1) may be used; they should be designed for strength according to 12.7.3.</w:t>
      </w:r>
      <w:bookmarkEnd w:id="9973"/>
    </w:p>
    <w:p w14:paraId="16EE94D2" w14:textId="150FF5ED" w:rsidR="000D1EA6" w:rsidRPr="00E05E29" w:rsidRDefault="000D1EA6" w:rsidP="000D1EA6">
      <w:pPr>
        <w:pStyle w:val="Heading3"/>
      </w:pPr>
      <w:bookmarkStart w:id="9974" w:name="_Toc17827805"/>
      <w:bookmarkStart w:id="9975" w:name="_Toc50150491"/>
      <w:bookmarkStart w:id="9976" w:name="_Toc70886923"/>
      <w:bookmarkStart w:id="9977" w:name="_Toc108342481"/>
      <w:bookmarkStart w:id="9978" w:name="_Toc134198013"/>
      <w:r w:rsidRPr="00E05E29">
        <w:t>Behaviour factors</w:t>
      </w:r>
      <w:bookmarkEnd w:id="9974"/>
      <w:bookmarkEnd w:id="9975"/>
      <w:bookmarkEnd w:id="9976"/>
      <w:bookmarkEnd w:id="9977"/>
      <w:bookmarkEnd w:id="9978"/>
    </w:p>
    <w:p w14:paraId="59CFFA54" w14:textId="1CE1C990" w:rsidR="000D1EA6" w:rsidRPr="00E05E29" w:rsidRDefault="000D1EA6" w:rsidP="0080187E">
      <w:pPr>
        <w:pStyle w:val="Clause"/>
        <w:numPr>
          <w:ilvl w:val="0"/>
          <w:numId w:val="425"/>
        </w:numPr>
      </w:pPr>
      <w:r w:rsidRPr="00E05E29">
        <w:t xml:space="preserve">The behaviour factor </w:t>
      </w:r>
      <m:oMath>
        <m:r>
          <w:rPr>
            <w:rFonts w:ascii="Cambria Math" w:hAnsi="Cambria Math"/>
          </w:rPr>
          <m:t>q</m:t>
        </m:r>
      </m:oMath>
      <w:r w:rsidRPr="00E05E29">
        <w:t xml:space="preserve"> </w:t>
      </w:r>
      <w:r w:rsidRPr="00682A29">
        <w:t xml:space="preserve">should account for the relevant sources of overstrength, the deformation and energy dissipation capacity, of the </w:t>
      </w:r>
      <w:r w:rsidRPr="00274699">
        <w:t xml:space="preserve">structural types of 12.4.1. For regular buildings, the behaviour factor components </w:t>
      </w:r>
      <m:oMath>
        <m:sSub>
          <m:sSubPr>
            <m:ctrlPr>
              <w:rPr>
                <w:rFonts w:ascii="Cambria Math" w:hAnsi="Cambria Math"/>
                <w:i/>
              </w:rPr>
            </m:ctrlPr>
          </m:sSubPr>
          <m:e>
            <m:r>
              <w:rPr>
                <w:rFonts w:ascii="Cambria Math" w:hAnsi="Cambria Math"/>
              </w:rPr>
              <m:t>q</m:t>
            </m:r>
          </m:e>
          <m:sub>
            <m:r>
              <m:rPr>
                <m:sty m:val="p"/>
              </m:rPr>
              <w:rPr>
                <w:rFonts w:ascii="Cambria Math" w:hAnsi="Cambria Math"/>
              </w:rPr>
              <m:t>D</m:t>
            </m:r>
          </m:sub>
        </m:sSub>
      </m:oMath>
      <w:r w:rsidRPr="00274699">
        <w:t xml:space="preserve"> and </w:t>
      </w:r>
      <m:oMath>
        <m:sSub>
          <m:sSubPr>
            <m:ctrlPr>
              <w:rPr>
                <w:rFonts w:ascii="Cambria Math" w:hAnsi="Cambria Math"/>
                <w:i/>
              </w:rPr>
            </m:ctrlPr>
          </m:sSubPr>
          <m:e>
            <m:r>
              <w:rPr>
                <w:rFonts w:ascii="Cambria Math" w:hAnsi="Cambria Math"/>
              </w:rPr>
              <m:t>q</m:t>
            </m:r>
          </m:e>
          <m:sub>
            <m:r>
              <m:rPr>
                <m:sty m:val="p"/>
              </m:rPr>
              <w:rPr>
                <w:rFonts w:ascii="Cambria Math" w:hAnsi="Cambria Math"/>
              </w:rPr>
              <m:t>R</m:t>
            </m:r>
          </m:sub>
        </m:sSub>
      </m:oMath>
      <w:r w:rsidRPr="00274699">
        <w:t xml:space="preserve"> may be taken with the upper limit values of Table 12.2 provided that 12.8 to 12.14</w:t>
      </w:r>
      <w:r w:rsidRPr="00682A29">
        <w:t xml:space="preserve"> are applied</w:t>
      </w:r>
      <w:r w:rsidRPr="00E05E29">
        <w:t>.</w:t>
      </w:r>
    </w:p>
    <w:p w14:paraId="1AC351A5" w14:textId="5FB02704" w:rsidR="000D1EA6" w:rsidRPr="00274699" w:rsidRDefault="000D1EA6" w:rsidP="00724E4E">
      <w:pPr>
        <w:pStyle w:val="Clause"/>
        <w:rPr>
          <w:bCs/>
        </w:rPr>
      </w:pPr>
      <w:r w:rsidRPr="00274699">
        <w:rPr>
          <w:bCs/>
        </w:rPr>
        <w:t>11.4.2(2) should be applied.</w:t>
      </w:r>
    </w:p>
    <w:p w14:paraId="521FD459" w14:textId="1693F52C" w:rsidR="000D1EA6" w:rsidRDefault="000D1EA6" w:rsidP="00724E4E">
      <w:pPr>
        <w:pStyle w:val="Clause"/>
      </w:pPr>
      <w:r w:rsidRPr="00274699">
        <w:rPr>
          <w:bCs/>
        </w:rPr>
        <w:t>pr</w:t>
      </w:r>
      <w:r w:rsidR="00C30FF9">
        <w:rPr>
          <w:bCs/>
        </w:rPr>
        <w:t>EN 1</w:t>
      </w:r>
      <w:r w:rsidRPr="00274699">
        <w:rPr>
          <w:bCs/>
        </w:rPr>
        <w:t>998-1-1:2022, 4.1(7), may be used of in the design of structural systems which cannot be assigned to one of the structural types in 12.4.1(1) a)</w:t>
      </w:r>
      <w:r w:rsidRPr="00E05E29">
        <w:t xml:space="preserve"> to g).</w:t>
      </w:r>
    </w:p>
    <w:p w14:paraId="2A223705" w14:textId="33C0C345" w:rsidR="000D1EA6" w:rsidRPr="00644C3D" w:rsidRDefault="000D1EA6" w:rsidP="007008A4">
      <w:pPr>
        <w:pStyle w:val="Tabletitle"/>
      </w:pPr>
      <w:bookmarkStart w:id="9979" w:name="_Ref17562995"/>
      <w:bookmarkStart w:id="9980" w:name="_Ref17562945"/>
      <w:r w:rsidRPr="00E05E29">
        <w:lastRenderedPageBreak/>
        <w:t xml:space="preserve">Table </w:t>
      </w:r>
      <w:r w:rsidR="007008A4">
        <w:t>12</w:t>
      </w:r>
      <w:r w:rsidRPr="00132C1E">
        <w:t>.</w:t>
      </w:r>
      <w:bookmarkEnd w:id="9979"/>
      <w:r w:rsidR="007008A4">
        <w:t>2</w:t>
      </w:r>
      <w:r w:rsidRPr="00132C1E">
        <w:t> </w:t>
      </w:r>
      <w:bookmarkEnd w:id="9980"/>
      <w:r w:rsidRPr="00132C1E">
        <w:t xml:space="preserve">— Default </w:t>
      </w:r>
      <w:r w:rsidRPr="00D1484A">
        <w:t>upper limit values of behaviour factors for composite ste</w:t>
      </w:r>
      <w:r w:rsidRPr="007E6F67">
        <w:t xml:space="preserve">el concrete </w:t>
      </w:r>
      <w:r w:rsidRPr="00FD17CF">
        <w:t>systems regular in elevation</w:t>
      </w:r>
    </w:p>
    <w:tbl>
      <w:tblPr>
        <w:tblW w:w="10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796"/>
        <w:gridCol w:w="545"/>
        <w:gridCol w:w="545"/>
        <w:gridCol w:w="545"/>
        <w:gridCol w:w="66"/>
        <w:gridCol w:w="479"/>
        <w:gridCol w:w="545"/>
        <w:gridCol w:w="546"/>
      </w:tblGrid>
      <w:tr w:rsidR="000D1EA6" w:rsidRPr="007008A4" w14:paraId="6F32883D" w14:textId="77777777" w:rsidTr="007008A4">
        <w:trPr>
          <w:trHeight w:val="300"/>
          <w:jc w:val="center"/>
        </w:trPr>
        <w:tc>
          <w:tcPr>
            <w:tcW w:w="6796" w:type="dxa"/>
            <w:shd w:val="clear" w:color="auto" w:fill="auto"/>
            <w:tcMar>
              <w:left w:w="0" w:type="dxa"/>
              <w:right w:w="0" w:type="dxa"/>
            </w:tcMar>
            <w:vAlign w:val="center"/>
          </w:tcPr>
          <w:p w14:paraId="7DA588BD" w14:textId="77777777" w:rsidR="000D1EA6" w:rsidRPr="007008A4" w:rsidRDefault="000D1EA6" w:rsidP="00FE0D09">
            <w:pPr>
              <w:pStyle w:val="Tablebody"/>
            </w:pPr>
          </w:p>
        </w:tc>
        <w:tc>
          <w:tcPr>
            <w:tcW w:w="3271" w:type="dxa"/>
            <w:gridSpan w:val="7"/>
            <w:shd w:val="clear" w:color="auto" w:fill="auto"/>
            <w:tcMar>
              <w:left w:w="0" w:type="dxa"/>
              <w:right w:w="0" w:type="dxa"/>
            </w:tcMar>
            <w:vAlign w:val="center"/>
          </w:tcPr>
          <w:p w14:paraId="527BB744" w14:textId="77777777" w:rsidR="000D1EA6" w:rsidRPr="00FE0D09" w:rsidRDefault="000D1EA6" w:rsidP="00FE0D09">
            <w:pPr>
              <w:pStyle w:val="Tablebody"/>
              <w:jc w:val="center"/>
              <w:rPr>
                <w:b/>
                <w:bCs/>
              </w:rPr>
            </w:pPr>
            <w:r w:rsidRPr="00FE0D09">
              <w:rPr>
                <w:b/>
                <w:bCs/>
              </w:rPr>
              <w:t>Ductility Class</w:t>
            </w:r>
          </w:p>
        </w:tc>
      </w:tr>
      <w:tr w:rsidR="000D1EA6" w:rsidRPr="007008A4" w14:paraId="06596AB6" w14:textId="77777777" w:rsidTr="007008A4">
        <w:trPr>
          <w:trHeight w:val="300"/>
          <w:jc w:val="center"/>
        </w:trPr>
        <w:tc>
          <w:tcPr>
            <w:tcW w:w="6796" w:type="dxa"/>
            <w:shd w:val="clear" w:color="auto" w:fill="auto"/>
            <w:tcMar>
              <w:left w:w="0" w:type="dxa"/>
              <w:right w:w="0" w:type="dxa"/>
            </w:tcMar>
            <w:vAlign w:val="center"/>
          </w:tcPr>
          <w:p w14:paraId="00A17284" w14:textId="77777777" w:rsidR="000D1EA6" w:rsidRPr="00FE0D09" w:rsidRDefault="000D1EA6" w:rsidP="00FE0D09">
            <w:pPr>
              <w:pStyle w:val="Tablebody"/>
              <w:jc w:val="center"/>
              <w:rPr>
                <w:b/>
                <w:bCs/>
              </w:rPr>
            </w:pPr>
            <w:r w:rsidRPr="00FE0D09">
              <w:rPr>
                <w:b/>
                <w:bCs/>
              </w:rPr>
              <w:t>Structural type</w:t>
            </w:r>
          </w:p>
        </w:tc>
        <w:tc>
          <w:tcPr>
            <w:tcW w:w="1701" w:type="dxa"/>
            <w:gridSpan w:val="4"/>
            <w:shd w:val="clear" w:color="auto" w:fill="auto"/>
            <w:tcMar>
              <w:left w:w="0" w:type="dxa"/>
              <w:right w:w="0" w:type="dxa"/>
            </w:tcMar>
            <w:vAlign w:val="center"/>
          </w:tcPr>
          <w:p w14:paraId="4CB2EA39" w14:textId="77777777" w:rsidR="000D1EA6" w:rsidRPr="00FE0D09" w:rsidRDefault="000D1EA6" w:rsidP="00FE0D09">
            <w:pPr>
              <w:pStyle w:val="Tablebody"/>
              <w:jc w:val="center"/>
              <w:rPr>
                <w:b/>
                <w:bCs/>
              </w:rPr>
            </w:pPr>
            <w:r w:rsidRPr="00FE0D09">
              <w:rPr>
                <w:b/>
                <w:bCs/>
              </w:rPr>
              <w:t>DC2</w:t>
            </w:r>
          </w:p>
        </w:tc>
        <w:tc>
          <w:tcPr>
            <w:tcW w:w="1570" w:type="dxa"/>
            <w:gridSpan w:val="3"/>
            <w:shd w:val="clear" w:color="auto" w:fill="auto"/>
            <w:tcMar>
              <w:left w:w="0" w:type="dxa"/>
              <w:right w:w="0" w:type="dxa"/>
            </w:tcMar>
            <w:vAlign w:val="center"/>
          </w:tcPr>
          <w:p w14:paraId="06D0765C" w14:textId="77777777" w:rsidR="000D1EA6" w:rsidRPr="00FE0D09" w:rsidRDefault="000D1EA6" w:rsidP="00FE0D09">
            <w:pPr>
              <w:pStyle w:val="Tablebody"/>
              <w:jc w:val="center"/>
              <w:rPr>
                <w:b/>
                <w:bCs/>
              </w:rPr>
            </w:pPr>
            <w:r w:rsidRPr="00FE0D09">
              <w:rPr>
                <w:b/>
                <w:bCs/>
              </w:rPr>
              <w:t>DC3</w:t>
            </w:r>
          </w:p>
        </w:tc>
      </w:tr>
      <w:tr w:rsidR="000D1EA6" w:rsidRPr="007008A4" w14:paraId="60173DC8" w14:textId="77777777" w:rsidTr="00FE0D09">
        <w:trPr>
          <w:trHeight w:val="300"/>
          <w:jc w:val="center"/>
        </w:trPr>
        <w:tc>
          <w:tcPr>
            <w:tcW w:w="6796" w:type="dxa"/>
            <w:shd w:val="clear" w:color="auto" w:fill="auto"/>
            <w:tcMar>
              <w:left w:w="0" w:type="dxa"/>
              <w:right w:w="0" w:type="dxa"/>
            </w:tcMar>
            <w:vAlign w:val="center"/>
            <w:hideMark/>
          </w:tcPr>
          <w:p w14:paraId="2F5F7FF1" w14:textId="77777777" w:rsidR="000D1EA6" w:rsidRPr="007008A4" w:rsidRDefault="000D1EA6" w:rsidP="00FE0D09">
            <w:pPr>
              <w:pStyle w:val="Tablebody"/>
            </w:pPr>
          </w:p>
        </w:tc>
        <w:tc>
          <w:tcPr>
            <w:tcW w:w="545" w:type="dxa"/>
            <w:shd w:val="clear" w:color="auto" w:fill="auto"/>
            <w:tcMar>
              <w:left w:w="0" w:type="dxa"/>
              <w:right w:w="0" w:type="dxa"/>
            </w:tcMar>
            <w:vAlign w:val="center"/>
            <w:hideMark/>
          </w:tcPr>
          <w:p w14:paraId="7DBC0063" w14:textId="04D70EC4" w:rsidR="000D1EA6" w:rsidRPr="00FE0D09" w:rsidRDefault="009B5CEC" w:rsidP="00FE0D09">
            <w:pPr>
              <w:pStyle w:val="Tablebody"/>
              <w:jc w:val="center"/>
              <w:rPr>
                <w:b/>
                <w:bCs/>
                <w:i/>
                <w:iCs/>
              </w:rPr>
            </w:pPr>
            <m:oMathPara>
              <m:oMathParaPr>
                <m:jc m:val="center"/>
              </m:oMathParaPr>
              <m:oMath>
                <m:sSub>
                  <m:sSubPr>
                    <m:ctrlPr>
                      <w:rPr>
                        <w:rFonts w:ascii="Cambria Math" w:hAnsi="Cambria Math"/>
                        <w:b/>
                        <w:bCs/>
                        <w:i/>
                        <w:iCs/>
                      </w:rPr>
                    </m:ctrlPr>
                  </m:sSubPr>
                  <m:e>
                    <m:r>
                      <m:rPr>
                        <m:sty m:val="bi"/>
                      </m:rPr>
                      <w:rPr>
                        <w:rFonts w:ascii="Cambria Math" w:hAnsi="Cambria Math"/>
                      </w:rPr>
                      <m:t>q</m:t>
                    </m:r>
                  </m:e>
                  <m:sub>
                    <m:r>
                      <m:rPr>
                        <m:sty m:val="b"/>
                      </m:rPr>
                      <w:rPr>
                        <w:rFonts w:ascii="Cambria Math" w:hAnsi="Cambria Math"/>
                        <w:vertAlign w:val="subscript"/>
                      </w:rPr>
                      <m:t>D</m:t>
                    </m:r>
                  </m:sub>
                </m:sSub>
              </m:oMath>
            </m:oMathPara>
          </w:p>
        </w:tc>
        <w:tc>
          <w:tcPr>
            <w:tcW w:w="545" w:type="dxa"/>
            <w:shd w:val="clear" w:color="auto" w:fill="auto"/>
            <w:tcMar>
              <w:left w:w="0" w:type="dxa"/>
              <w:right w:w="0" w:type="dxa"/>
            </w:tcMar>
            <w:vAlign w:val="center"/>
            <w:hideMark/>
          </w:tcPr>
          <w:p w14:paraId="3067CCE1" w14:textId="46CC72F6" w:rsidR="000D1EA6" w:rsidRPr="00FE0D09" w:rsidRDefault="009B5CEC" w:rsidP="00FE0D09">
            <w:pPr>
              <w:pStyle w:val="Tablebody"/>
              <w:jc w:val="center"/>
              <w:rPr>
                <w:b/>
                <w:bCs/>
                <w:i/>
                <w:iCs/>
              </w:rPr>
            </w:pPr>
            <m:oMathPara>
              <m:oMathParaPr>
                <m:jc m:val="center"/>
              </m:oMathParaPr>
              <m:oMath>
                <m:sSub>
                  <m:sSubPr>
                    <m:ctrlPr>
                      <w:rPr>
                        <w:rFonts w:ascii="Cambria Math" w:hAnsi="Cambria Math"/>
                        <w:b/>
                        <w:bCs/>
                        <w:i/>
                        <w:iCs/>
                      </w:rPr>
                    </m:ctrlPr>
                  </m:sSubPr>
                  <m:e>
                    <m:r>
                      <m:rPr>
                        <m:sty m:val="bi"/>
                      </m:rPr>
                      <w:rPr>
                        <w:rFonts w:ascii="Cambria Math" w:hAnsi="Cambria Math"/>
                      </w:rPr>
                      <m:t>q</m:t>
                    </m:r>
                  </m:e>
                  <m:sub>
                    <m:r>
                      <m:rPr>
                        <m:sty m:val="b"/>
                      </m:rPr>
                      <w:rPr>
                        <w:rFonts w:ascii="Cambria Math" w:hAnsi="Cambria Math"/>
                        <w:vertAlign w:val="subscript"/>
                      </w:rPr>
                      <m:t>R</m:t>
                    </m:r>
                  </m:sub>
                </m:sSub>
              </m:oMath>
            </m:oMathPara>
          </w:p>
        </w:tc>
        <w:tc>
          <w:tcPr>
            <w:tcW w:w="545" w:type="dxa"/>
            <w:shd w:val="clear" w:color="auto" w:fill="auto"/>
            <w:tcMar>
              <w:left w:w="0" w:type="dxa"/>
              <w:right w:w="0" w:type="dxa"/>
            </w:tcMar>
            <w:vAlign w:val="center"/>
            <w:hideMark/>
          </w:tcPr>
          <w:p w14:paraId="192B9168" w14:textId="733CD191" w:rsidR="000D1EA6" w:rsidRPr="00FE0D09" w:rsidRDefault="00FE0D09" w:rsidP="00FE0D09">
            <w:pPr>
              <w:pStyle w:val="Tablebody"/>
              <w:jc w:val="center"/>
              <w:rPr>
                <w:b/>
                <w:bCs/>
                <w:i/>
                <w:iCs/>
              </w:rPr>
            </w:pPr>
            <m:oMathPara>
              <m:oMathParaPr>
                <m:jc m:val="center"/>
              </m:oMathParaPr>
              <m:oMath>
                <m:r>
                  <m:rPr>
                    <m:sty m:val="bi"/>
                  </m:rPr>
                  <w:rPr>
                    <w:rFonts w:ascii="Cambria Math" w:hAnsi="Cambria Math"/>
                  </w:rPr>
                  <m:t>q</m:t>
                </m:r>
              </m:oMath>
            </m:oMathPara>
          </w:p>
        </w:tc>
        <w:tc>
          <w:tcPr>
            <w:tcW w:w="545" w:type="dxa"/>
            <w:gridSpan w:val="2"/>
            <w:shd w:val="clear" w:color="auto" w:fill="auto"/>
            <w:tcMar>
              <w:left w:w="0" w:type="dxa"/>
              <w:right w:w="0" w:type="dxa"/>
            </w:tcMar>
            <w:vAlign w:val="center"/>
            <w:hideMark/>
          </w:tcPr>
          <w:p w14:paraId="37760911" w14:textId="2CE481A2" w:rsidR="000D1EA6" w:rsidRPr="00FE0D09" w:rsidRDefault="009B5CEC" w:rsidP="00FE0D09">
            <w:pPr>
              <w:pStyle w:val="Tablebody"/>
              <w:jc w:val="center"/>
              <w:rPr>
                <w:b/>
                <w:bCs/>
                <w:i/>
                <w:iCs/>
              </w:rPr>
            </w:pPr>
            <m:oMathPara>
              <m:oMathParaPr>
                <m:jc m:val="center"/>
              </m:oMathParaPr>
              <m:oMath>
                <m:sSub>
                  <m:sSubPr>
                    <m:ctrlPr>
                      <w:rPr>
                        <w:rFonts w:ascii="Cambria Math" w:hAnsi="Cambria Math"/>
                        <w:b/>
                        <w:bCs/>
                        <w:i/>
                        <w:iCs/>
                      </w:rPr>
                    </m:ctrlPr>
                  </m:sSubPr>
                  <m:e>
                    <m:r>
                      <m:rPr>
                        <m:sty m:val="bi"/>
                      </m:rPr>
                      <w:rPr>
                        <w:rFonts w:ascii="Cambria Math" w:hAnsi="Cambria Math"/>
                      </w:rPr>
                      <m:t>q</m:t>
                    </m:r>
                  </m:e>
                  <m:sub>
                    <m:r>
                      <m:rPr>
                        <m:sty m:val="b"/>
                      </m:rPr>
                      <w:rPr>
                        <w:rFonts w:ascii="Cambria Math" w:hAnsi="Cambria Math"/>
                        <w:vertAlign w:val="subscript"/>
                      </w:rPr>
                      <m:t>D</m:t>
                    </m:r>
                  </m:sub>
                </m:sSub>
              </m:oMath>
            </m:oMathPara>
          </w:p>
        </w:tc>
        <w:tc>
          <w:tcPr>
            <w:tcW w:w="545" w:type="dxa"/>
            <w:shd w:val="clear" w:color="auto" w:fill="auto"/>
            <w:tcMar>
              <w:left w:w="0" w:type="dxa"/>
              <w:right w:w="0" w:type="dxa"/>
            </w:tcMar>
            <w:vAlign w:val="center"/>
            <w:hideMark/>
          </w:tcPr>
          <w:p w14:paraId="46469330" w14:textId="3398C69A" w:rsidR="000D1EA6" w:rsidRPr="00FE0D09" w:rsidRDefault="009B5CEC" w:rsidP="00FE0D09">
            <w:pPr>
              <w:pStyle w:val="Tablebody"/>
              <w:jc w:val="center"/>
              <w:rPr>
                <w:b/>
                <w:bCs/>
                <w:i/>
                <w:iCs/>
              </w:rPr>
            </w:pPr>
            <m:oMathPara>
              <m:oMathParaPr>
                <m:jc m:val="center"/>
              </m:oMathParaPr>
              <m:oMath>
                <m:sSub>
                  <m:sSubPr>
                    <m:ctrlPr>
                      <w:rPr>
                        <w:rFonts w:ascii="Cambria Math" w:hAnsi="Cambria Math"/>
                        <w:b/>
                        <w:bCs/>
                        <w:i/>
                        <w:iCs/>
                      </w:rPr>
                    </m:ctrlPr>
                  </m:sSubPr>
                  <m:e>
                    <m:r>
                      <m:rPr>
                        <m:sty m:val="bi"/>
                      </m:rPr>
                      <w:rPr>
                        <w:rFonts w:ascii="Cambria Math" w:hAnsi="Cambria Math"/>
                      </w:rPr>
                      <m:t>q</m:t>
                    </m:r>
                  </m:e>
                  <m:sub>
                    <m:r>
                      <m:rPr>
                        <m:sty m:val="b"/>
                      </m:rPr>
                      <w:rPr>
                        <w:rFonts w:ascii="Cambria Math" w:hAnsi="Cambria Math"/>
                        <w:vertAlign w:val="subscript"/>
                      </w:rPr>
                      <m:t>R</m:t>
                    </m:r>
                  </m:sub>
                </m:sSub>
              </m:oMath>
            </m:oMathPara>
          </w:p>
        </w:tc>
        <w:tc>
          <w:tcPr>
            <w:tcW w:w="546" w:type="dxa"/>
            <w:shd w:val="clear" w:color="auto" w:fill="auto"/>
            <w:tcMar>
              <w:left w:w="0" w:type="dxa"/>
              <w:right w:w="0" w:type="dxa"/>
            </w:tcMar>
            <w:vAlign w:val="center"/>
            <w:hideMark/>
          </w:tcPr>
          <w:p w14:paraId="1C897341" w14:textId="5242AE4E" w:rsidR="000D1EA6" w:rsidRPr="00FE0D09" w:rsidRDefault="00FE0D09" w:rsidP="00FE0D09">
            <w:pPr>
              <w:pStyle w:val="Tablebody"/>
              <w:jc w:val="center"/>
              <w:rPr>
                <w:b/>
                <w:bCs/>
                <w:i/>
                <w:iCs/>
              </w:rPr>
            </w:pPr>
            <m:oMathPara>
              <m:oMathParaPr>
                <m:jc m:val="center"/>
              </m:oMathParaPr>
              <m:oMath>
                <m:r>
                  <m:rPr>
                    <m:sty m:val="bi"/>
                  </m:rPr>
                  <w:rPr>
                    <w:rFonts w:ascii="Cambria Math" w:hAnsi="Cambria Math"/>
                  </w:rPr>
                  <m:t>q</m:t>
                </m:r>
              </m:oMath>
            </m:oMathPara>
          </w:p>
        </w:tc>
      </w:tr>
      <w:tr w:rsidR="000D1EA6" w:rsidRPr="007008A4" w14:paraId="4792C5CD" w14:textId="77777777" w:rsidTr="007008A4">
        <w:trPr>
          <w:trHeight w:val="300"/>
          <w:jc w:val="center"/>
        </w:trPr>
        <w:tc>
          <w:tcPr>
            <w:tcW w:w="6796" w:type="dxa"/>
            <w:shd w:val="clear" w:color="auto" w:fill="auto"/>
            <w:tcMar>
              <w:left w:w="0" w:type="dxa"/>
              <w:right w:w="0" w:type="dxa"/>
            </w:tcMar>
            <w:vAlign w:val="center"/>
          </w:tcPr>
          <w:p w14:paraId="76AA1232" w14:textId="77777777" w:rsidR="000D1EA6" w:rsidRPr="007008A4" w:rsidRDefault="000D1EA6" w:rsidP="00FE0D09">
            <w:pPr>
              <w:pStyle w:val="Tablebody"/>
            </w:pPr>
            <w:r w:rsidRPr="007008A4">
              <w:t>a) Composite moment resisting frames (CMRFs)</w:t>
            </w:r>
          </w:p>
          <w:p w14:paraId="7589019F" w14:textId="77777777" w:rsidR="000D1EA6" w:rsidRPr="007008A4" w:rsidRDefault="000D1EA6" w:rsidP="00FE0D09">
            <w:pPr>
              <w:pStyle w:val="Tablebody"/>
            </w:pPr>
            <w:r w:rsidRPr="007008A4">
              <w:t>Full-strength connections</w:t>
            </w:r>
          </w:p>
          <w:p w14:paraId="24101B89" w14:textId="77777777" w:rsidR="000D1EA6" w:rsidRPr="007008A4" w:rsidRDefault="000D1EA6" w:rsidP="00FE0D09">
            <w:pPr>
              <w:pStyle w:val="Tablebody"/>
            </w:pPr>
            <w:r w:rsidRPr="007008A4">
              <w:t>Portal frames and single-storey CMRFs with class 3 and 4 cross sections</w:t>
            </w:r>
          </w:p>
          <w:p w14:paraId="18FD2A78" w14:textId="77777777" w:rsidR="000D1EA6" w:rsidRPr="007008A4" w:rsidRDefault="000D1EA6" w:rsidP="00FE0D09">
            <w:pPr>
              <w:pStyle w:val="Tablebody"/>
            </w:pPr>
            <w:r w:rsidRPr="007008A4">
              <w:t>Portal frames and single-storey CMRFs with class 1 and 2 cross sections</w:t>
            </w:r>
          </w:p>
          <w:p w14:paraId="4352ECF3" w14:textId="77777777" w:rsidR="000D1EA6" w:rsidRPr="007008A4" w:rsidRDefault="000D1EA6" w:rsidP="00FE0D09">
            <w:pPr>
              <w:pStyle w:val="Tablebody"/>
            </w:pPr>
            <w:r w:rsidRPr="007008A4">
              <w:t>Multi-storey CMRFs</w:t>
            </w:r>
          </w:p>
          <w:p w14:paraId="5F58F852" w14:textId="77777777" w:rsidR="000D1EA6" w:rsidRPr="00FE0D09" w:rsidRDefault="000D1EA6" w:rsidP="00FE0D09">
            <w:pPr>
              <w:pStyle w:val="Tablebody"/>
            </w:pPr>
            <w:r w:rsidRPr="007008A4">
              <w:t>Types above without or with unconnected interacting infills</w:t>
            </w:r>
          </w:p>
        </w:tc>
        <w:tc>
          <w:tcPr>
            <w:tcW w:w="3271" w:type="dxa"/>
            <w:gridSpan w:val="7"/>
            <w:shd w:val="clear" w:color="auto" w:fill="auto"/>
            <w:tcMar>
              <w:left w:w="0" w:type="dxa"/>
              <w:right w:w="0" w:type="dxa"/>
            </w:tcMar>
            <w:vAlign w:val="center"/>
          </w:tcPr>
          <w:p w14:paraId="733B5E04" w14:textId="77777777" w:rsidR="000D1EA6" w:rsidRPr="00682A29" w:rsidRDefault="000D1EA6" w:rsidP="00FE0D09">
            <w:pPr>
              <w:pStyle w:val="Tablebody"/>
              <w:jc w:val="center"/>
            </w:pPr>
            <w:r w:rsidRPr="00682A29">
              <w:t>See Table 11.2</w:t>
            </w:r>
          </w:p>
        </w:tc>
      </w:tr>
      <w:tr w:rsidR="000D1EA6" w:rsidRPr="007008A4" w14:paraId="5BE52CCB" w14:textId="77777777" w:rsidTr="00FE0D09">
        <w:trPr>
          <w:trHeight w:val="300"/>
          <w:jc w:val="center"/>
        </w:trPr>
        <w:tc>
          <w:tcPr>
            <w:tcW w:w="6796" w:type="dxa"/>
            <w:shd w:val="clear" w:color="auto" w:fill="auto"/>
            <w:tcMar>
              <w:left w:w="0" w:type="dxa"/>
              <w:right w:w="0" w:type="dxa"/>
            </w:tcMar>
            <w:vAlign w:val="center"/>
          </w:tcPr>
          <w:p w14:paraId="64BB172C" w14:textId="77777777" w:rsidR="000D1EA6" w:rsidRPr="007008A4" w:rsidRDefault="000D1EA6" w:rsidP="00FE0D09">
            <w:pPr>
              <w:pStyle w:val="Tablebody"/>
              <w:rPr>
                <w:color w:val="000000" w:themeColor="text1"/>
              </w:rPr>
            </w:pPr>
            <w:r w:rsidRPr="007008A4">
              <w:rPr>
                <w:color w:val="000000" w:themeColor="text1"/>
              </w:rPr>
              <w:t xml:space="preserve">b) CMRFs with </w:t>
            </w:r>
            <w:r w:rsidRPr="00682A29">
              <w:t xml:space="preserve">dissipative </w:t>
            </w:r>
            <w:r w:rsidRPr="007008A4">
              <w:rPr>
                <w:color w:val="000000" w:themeColor="text1"/>
              </w:rPr>
              <w:t>partial-strength connections</w:t>
            </w:r>
          </w:p>
        </w:tc>
        <w:tc>
          <w:tcPr>
            <w:tcW w:w="545" w:type="dxa"/>
            <w:shd w:val="clear" w:color="auto" w:fill="auto"/>
            <w:tcMar>
              <w:left w:w="0" w:type="dxa"/>
              <w:right w:w="0" w:type="dxa"/>
            </w:tcMar>
            <w:vAlign w:val="center"/>
          </w:tcPr>
          <w:p w14:paraId="7874DAAF" w14:textId="77777777" w:rsidR="000D1EA6" w:rsidRPr="007008A4" w:rsidRDefault="000D1EA6" w:rsidP="00FE0D09">
            <w:pPr>
              <w:pStyle w:val="Tablebody"/>
              <w:jc w:val="center"/>
              <w:rPr>
                <w:color w:val="000000" w:themeColor="text1"/>
              </w:rPr>
            </w:pPr>
            <w:r w:rsidRPr="007008A4">
              <w:rPr>
                <w:color w:val="000000" w:themeColor="text1"/>
              </w:rPr>
              <w:t>2,3</w:t>
            </w:r>
          </w:p>
        </w:tc>
        <w:tc>
          <w:tcPr>
            <w:tcW w:w="545" w:type="dxa"/>
            <w:shd w:val="clear" w:color="auto" w:fill="auto"/>
            <w:tcMar>
              <w:left w:w="0" w:type="dxa"/>
              <w:right w:w="0" w:type="dxa"/>
            </w:tcMar>
            <w:vAlign w:val="center"/>
          </w:tcPr>
          <w:p w14:paraId="35F65466" w14:textId="77777777" w:rsidR="000D1EA6" w:rsidRPr="007008A4" w:rsidRDefault="000D1EA6" w:rsidP="00FE0D09">
            <w:pPr>
              <w:pStyle w:val="Tablebody"/>
              <w:jc w:val="center"/>
              <w:rPr>
                <w:color w:val="000000" w:themeColor="text1"/>
              </w:rPr>
            </w:pPr>
            <w:r w:rsidRPr="007008A4">
              <w:rPr>
                <w:color w:val="000000" w:themeColor="text1"/>
              </w:rPr>
              <w:t>1,0</w:t>
            </w:r>
          </w:p>
        </w:tc>
        <w:tc>
          <w:tcPr>
            <w:tcW w:w="545" w:type="dxa"/>
            <w:shd w:val="clear" w:color="auto" w:fill="auto"/>
            <w:tcMar>
              <w:left w:w="0" w:type="dxa"/>
              <w:right w:w="0" w:type="dxa"/>
            </w:tcMar>
            <w:vAlign w:val="center"/>
          </w:tcPr>
          <w:p w14:paraId="4610AB64" w14:textId="77777777" w:rsidR="000D1EA6" w:rsidRPr="007008A4" w:rsidRDefault="000D1EA6" w:rsidP="00FE0D09">
            <w:pPr>
              <w:pStyle w:val="Tablebody"/>
              <w:jc w:val="center"/>
              <w:rPr>
                <w:color w:val="000000" w:themeColor="text1"/>
              </w:rPr>
            </w:pPr>
            <w:r w:rsidRPr="007008A4">
              <w:rPr>
                <w:color w:val="000000" w:themeColor="text1"/>
              </w:rPr>
              <w:t>3,5</w:t>
            </w:r>
          </w:p>
        </w:tc>
        <w:tc>
          <w:tcPr>
            <w:tcW w:w="545" w:type="dxa"/>
            <w:gridSpan w:val="2"/>
            <w:shd w:val="clear" w:color="auto" w:fill="auto"/>
            <w:tcMar>
              <w:left w:w="0" w:type="dxa"/>
              <w:right w:w="0" w:type="dxa"/>
            </w:tcMar>
            <w:vAlign w:val="center"/>
          </w:tcPr>
          <w:p w14:paraId="088BE91B" w14:textId="77777777" w:rsidR="000D1EA6" w:rsidRPr="00682A29" w:rsidRDefault="000D1EA6" w:rsidP="00FE0D09">
            <w:pPr>
              <w:pStyle w:val="Tablebody"/>
              <w:jc w:val="center"/>
            </w:pPr>
            <w:r w:rsidRPr="00682A29">
              <w:t>-</w:t>
            </w:r>
          </w:p>
        </w:tc>
        <w:tc>
          <w:tcPr>
            <w:tcW w:w="545" w:type="dxa"/>
            <w:shd w:val="clear" w:color="auto" w:fill="auto"/>
            <w:tcMar>
              <w:left w:w="0" w:type="dxa"/>
              <w:right w:w="0" w:type="dxa"/>
            </w:tcMar>
            <w:vAlign w:val="center"/>
          </w:tcPr>
          <w:p w14:paraId="7A7A791C" w14:textId="77777777" w:rsidR="000D1EA6" w:rsidRPr="007008A4" w:rsidRDefault="000D1EA6" w:rsidP="00FE0D09">
            <w:pPr>
              <w:pStyle w:val="Tablebody"/>
              <w:jc w:val="center"/>
              <w:rPr>
                <w:color w:val="000000" w:themeColor="text1"/>
              </w:rPr>
            </w:pPr>
            <w:r w:rsidRPr="007008A4">
              <w:rPr>
                <w:color w:val="000000" w:themeColor="text1"/>
              </w:rPr>
              <w:t>-</w:t>
            </w:r>
          </w:p>
        </w:tc>
        <w:tc>
          <w:tcPr>
            <w:tcW w:w="546" w:type="dxa"/>
            <w:shd w:val="clear" w:color="auto" w:fill="auto"/>
            <w:tcMar>
              <w:left w:w="0" w:type="dxa"/>
              <w:right w:w="0" w:type="dxa"/>
            </w:tcMar>
            <w:vAlign w:val="center"/>
          </w:tcPr>
          <w:p w14:paraId="4785323D" w14:textId="77777777" w:rsidR="000D1EA6" w:rsidRPr="007008A4" w:rsidRDefault="000D1EA6" w:rsidP="00FE0D09">
            <w:pPr>
              <w:pStyle w:val="Tablebody"/>
              <w:jc w:val="center"/>
              <w:rPr>
                <w:color w:val="000000" w:themeColor="text1"/>
              </w:rPr>
            </w:pPr>
            <w:r w:rsidRPr="007008A4">
              <w:rPr>
                <w:color w:val="000000" w:themeColor="text1"/>
              </w:rPr>
              <w:t>-</w:t>
            </w:r>
          </w:p>
        </w:tc>
      </w:tr>
      <w:tr w:rsidR="000D1EA6" w:rsidRPr="007008A4" w14:paraId="73FB1094" w14:textId="77777777" w:rsidTr="007008A4">
        <w:trPr>
          <w:trHeight w:val="300"/>
          <w:jc w:val="center"/>
        </w:trPr>
        <w:tc>
          <w:tcPr>
            <w:tcW w:w="6796" w:type="dxa"/>
            <w:shd w:val="clear" w:color="auto" w:fill="auto"/>
            <w:tcMar>
              <w:left w:w="0" w:type="dxa"/>
              <w:right w:w="0" w:type="dxa"/>
            </w:tcMar>
            <w:vAlign w:val="center"/>
          </w:tcPr>
          <w:p w14:paraId="01F45166" w14:textId="77777777" w:rsidR="000D1EA6" w:rsidRPr="007008A4" w:rsidRDefault="000D1EA6" w:rsidP="00FE0D09">
            <w:pPr>
              <w:pStyle w:val="Tablebody"/>
              <w:rPr>
                <w:color w:val="000000" w:themeColor="text1"/>
              </w:rPr>
            </w:pPr>
            <w:r w:rsidRPr="007008A4">
              <w:rPr>
                <w:color w:val="000000" w:themeColor="text1"/>
              </w:rPr>
              <w:t>c) Composite frames with concentric bracings</w:t>
            </w:r>
          </w:p>
        </w:tc>
        <w:tc>
          <w:tcPr>
            <w:tcW w:w="3271" w:type="dxa"/>
            <w:gridSpan w:val="7"/>
            <w:shd w:val="clear" w:color="auto" w:fill="auto"/>
            <w:tcMar>
              <w:left w:w="0" w:type="dxa"/>
              <w:right w:w="0" w:type="dxa"/>
            </w:tcMar>
            <w:vAlign w:val="center"/>
          </w:tcPr>
          <w:p w14:paraId="14E36DE1" w14:textId="77777777" w:rsidR="000D1EA6" w:rsidRPr="00682A29" w:rsidRDefault="000D1EA6" w:rsidP="00FE0D09">
            <w:pPr>
              <w:pStyle w:val="Tablebody"/>
              <w:jc w:val="center"/>
            </w:pPr>
            <w:r w:rsidRPr="00682A29">
              <w:t>See Table 11.2</w:t>
            </w:r>
          </w:p>
        </w:tc>
      </w:tr>
      <w:tr w:rsidR="000D1EA6" w:rsidRPr="007008A4" w14:paraId="215AB64F" w14:textId="77777777" w:rsidTr="007008A4">
        <w:trPr>
          <w:trHeight w:val="300"/>
          <w:jc w:val="center"/>
        </w:trPr>
        <w:tc>
          <w:tcPr>
            <w:tcW w:w="6796" w:type="dxa"/>
            <w:shd w:val="clear" w:color="auto" w:fill="auto"/>
            <w:tcMar>
              <w:left w:w="0" w:type="dxa"/>
              <w:right w:w="0" w:type="dxa"/>
            </w:tcMar>
            <w:vAlign w:val="center"/>
          </w:tcPr>
          <w:p w14:paraId="01B7E552" w14:textId="77777777" w:rsidR="000D1EA6" w:rsidRPr="007008A4" w:rsidRDefault="000D1EA6" w:rsidP="00FE0D09">
            <w:pPr>
              <w:pStyle w:val="Tablebody"/>
              <w:rPr>
                <w:color w:val="000000" w:themeColor="text1"/>
              </w:rPr>
            </w:pPr>
            <w:r w:rsidRPr="007008A4">
              <w:rPr>
                <w:color w:val="000000" w:themeColor="text1"/>
              </w:rPr>
              <w:t>d) Composite frames with eccentric bracings</w:t>
            </w:r>
          </w:p>
        </w:tc>
        <w:tc>
          <w:tcPr>
            <w:tcW w:w="3271" w:type="dxa"/>
            <w:gridSpan w:val="7"/>
            <w:shd w:val="clear" w:color="auto" w:fill="auto"/>
            <w:tcMar>
              <w:left w:w="0" w:type="dxa"/>
              <w:right w:w="0" w:type="dxa"/>
            </w:tcMar>
            <w:vAlign w:val="center"/>
          </w:tcPr>
          <w:p w14:paraId="06E52F78" w14:textId="77777777" w:rsidR="000D1EA6" w:rsidRPr="00682A29" w:rsidRDefault="000D1EA6" w:rsidP="00FE0D09">
            <w:pPr>
              <w:pStyle w:val="Tablebody"/>
              <w:jc w:val="center"/>
            </w:pPr>
            <w:r w:rsidRPr="00682A29">
              <w:t>See Table 11.2</w:t>
            </w:r>
          </w:p>
        </w:tc>
      </w:tr>
      <w:tr w:rsidR="000D1EA6" w:rsidRPr="007008A4" w14:paraId="5C42714C" w14:textId="77777777" w:rsidTr="007008A4">
        <w:trPr>
          <w:trHeight w:val="300"/>
          <w:jc w:val="center"/>
        </w:trPr>
        <w:tc>
          <w:tcPr>
            <w:tcW w:w="6796" w:type="dxa"/>
            <w:shd w:val="clear" w:color="auto" w:fill="auto"/>
            <w:tcMar>
              <w:left w:w="0" w:type="dxa"/>
              <w:right w:w="0" w:type="dxa"/>
            </w:tcMar>
            <w:vAlign w:val="center"/>
          </w:tcPr>
          <w:p w14:paraId="3010C983" w14:textId="77777777" w:rsidR="000D1EA6" w:rsidRPr="007008A4" w:rsidRDefault="000D1EA6" w:rsidP="00FE0D09">
            <w:pPr>
              <w:pStyle w:val="Tablebody"/>
              <w:rPr>
                <w:color w:val="000000" w:themeColor="text1"/>
              </w:rPr>
            </w:pPr>
            <w:r w:rsidRPr="007008A4">
              <w:rPr>
                <w:color w:val="000000" w:themeColor="text1"/>
              </w:rPr>
              <w:t>e) Composite inverted pendulum</w:t>
            </w:r>
          </w:p>
        </w:tc>
        <w:tc>
          <w:tcPr>
            <w:tcW w:w="3271" w:type="dxa"/>
            <w:gridSpan w:val="7"/>
            <w:shd w:val="clear" w:color="auto" w:fill="auto"/>
            <w:tcMar>
              <w:left w:w="0" w:type="dxa"/>
              <w:right w:w="0" w:type="dxa"/>
            </w:tcMar>
            <w:vAlign w:val="center"/>
          </w:tcPr>
          <w:p w14:paraId="0F0F6280" w14:textId="77777777" w:rsidR="000D1EA6" w:rsidRPr="00682A29" w:rsidRDefault="000D1EA6" w:rsidP="00FE0D09">
            <w:pPr>
              <w:pStyle w:val="Tablebody"/>
              <w:jc w:val="center"/>
            </w:pPr>
            <w:r w:rsidRPr="00682A29">
              <w:t>See Table 11.2</w:t>
            </w:r>
          </w:p>
        </w:tc>
      </w:tr>
      <w:tr w:rsidR="000D1EA6" w:rsidRPr="007008A4" w14:paraId="5429825F" w14:textId="77777777" w:rsidTr="007008A4">
        <w:trPr>
          <w:trHeight w:val="1230"/>
          <w:jc w:val="center"/>
        </w:trPr>
        <w:tc>
          <w:tcPr>
            <w:tcW w:w="6796" w:type="dxa"/>
            <w:shd w:val="clear" w:color="auto" w:fill="auto"/>
            <w:tcMar>
              <w:left w:w="0" w:type="dxa"/>
              <w:right w:w="0" w:type="dxa"/>
            </w:tcMar>
            <w:vAlign w:val="center"/>
          </w:tcPr>
          <w:p w14:paraId="7C0159EB" w14:textId="77777777" w:rsidR="000D1EA6" w:rsidRPr="007008A4" w:rsidRDefault="000D1EA6" w:rsidP="00FE0D09">
            <w:pPr>
              <w:pStyle w:val="Tablebody"/>
            </w:pPr>
            <w:r w:rsidRPr="007008A4">
              <w:t>f) Composite dual frames</w:t>
            </w:r>
          </w:p>
          <w:p w14:paraId="5AE384B4" w14:textId="77777777" w:rsidR="000D1EA6" w:rsidRPr="007008A4" w:rsidRDefault="000D1EA6" w:rsidP="00FE0D09">
            <w:pPr>
              <w:pStyle w:val="Tablebody"/>
            </w:pPr>
            <w:r w:rsidRPr="007008A4">
              <w:t>CMRFs with concentric bracings</w:t>
            </w:r>
          </w:p>
          <w:p w14:paraId="6566E2CD" w14:textId="77777777" w:rsidR="000D1EA6" w:rsidRPr="007008A4" w:rsidRDefault="000D1EA6" w:rsidP="00FE0D09">
            <w:pPr>
              <w:pStyle w:val="Tablebody"/>
            </w:pPr>
            <w:r w:rsidRPr="007008A4">
              <w:t>CMRFs with eccentric bracings</w:t>
            </w:r>
          </w:p>
          <w:p w14:paraId="3717C484" w14:textId="77777777" w:rsidR="000D1EA6" w:rsidRPr="007008A4" w:rsidRDefault="000D1EA6" w:rsidP="00FE0D09">
            <w:pPr>
              <w:pStyle w:val="Tablebody"/>
            </w:pPr>
            <w:r w:rsidRPr="007008A4">
              <w:t>CMRFs with buckling restrained braces</w:t>
            </w:r>
          </w:p>
        </w:tc>
        <w:tc>
          <w:tcPr>
            <w:tcW w:w="3271" w:type="dxa"/>
            <w:gridSpan w:val="7"/>
            <w:shd w:val="clear" w:color="auto" w:fill="auto"/>
            <w:tcMar>
              <w:left w:w="0" w:type="dxa"/>
              <w:right w:w="0" w:type="dxa"/>
            </w:tcMar>
            <w:vAlign w:val="center"/>
          </w:tcPr>
          <w:p w14:paraId="25DAC0F7" w14:textId="77777777" w:rsidR="000D1EA6" w:rsidRPr="00682A29" w:rsidRDefault="000D1EA6" w:rsidP="00FE0D09">
            <w:pPr>
              <w:pStyle w:val="Tablebody"/>
              <w:jc w:val="center"/>
            </w:pPr>
            <w:r w:rsidRPr="00682A29">
              <w:t>See Table 11.2</w:t>
            </w:r>
          </w:p>
        </w:tc>
      </w:tr>
      <w:tr w:rsidR="000D1EA6" w:rsidRPr="007008A4" w14:paraId="50399563" w14:textId="77777777" w:rsidTr="00FE0D09">
        <w:trPr>
          <w:trHeight w:val="300"/>
          <w:jc w:val="center"/>
        </w:trPr>
        <w:tc>
          <w:tcPr>
            <w:tcW w:w="6796" w:type="dxa"/>
            <w:shd w:val="clear" w:color="auto" w:fill="auto"/>
            <w:tcMar>
              <w:left w:w="0" w:type="dxa"/>
              <w:right w:w="0" w:type="dxa"/>
            </w:tcMar>
            <w:vAlign w:val="center"/>
          </w:tcPr>
          <w:p w14:paraId="577B4AA8" w14:textId="77777777" w:rsidR="000D1EA6" w:rsidRPr="007008A4" w:rsidRDefault="000D1EA6" w:rsidP="00FE0D09">
            <w:pPr>
              <w:pStyle w:val="Tablebody"/>
            </w:pPr>
            <w:r w:rsidRPr="007008A4">
              <w:t xml:space="preserve">g) </w:t>
            </w:r>
            <w:bookmarkStart w:id="9981" w:name="_Hlk39127422"/>
            <w:r w:rsidRPr="007008A4">
              <w:t>Composite structural wall systems</w:t>
            </w:r>
          </w:p>
          <w:p w14:paraId="2FEBE832" w14:textId="77777777" w:rsidR="000D1EA6" w:rsidRPr="007008A4" w:rsidRDefault="000D1EA6" w:rsidP="00FE0D09">
            <w:pPr>
              <w:pStyle w:val="Tablebody"/>
            </w:pPr>
            <w:r w:rsidRPr="007008A4">
              <w:t>Composite walls (Type 1 and 2)</w:t>
            </w:r>
          </w:p>
          <w:p w14:paraId="0837A5DA" w14:textId="1ED9E1D9" w:rsidR="000D1EA6" w:rsidRPr="007008A4" w:rsidRDefault="000D1EA6" w:rsidP="00FE0D09">
            <w:pPr>
              <w:pStyle w:val="Tablebody"/>
            </w:pPr>
            <w:r w:rsidRPr="007008A4">
              <w:t>Composite or concrete walls coupled by steel or comp</w:t>
            </w:r>
            <w:r w:rsidR="00FE0D09">
              <w:t>.</w:t>
            </w:r>
            <w:r w:rsidRPr="007008A4">
              <w:t xml:space="preserve"> beams (Type 3</w:t>
            </w:r>
            <w:bookmarkEnd w:id="9981"/>
            <w:r w:rsidRPr="007008A4">
              <w:t>)</w:t>
            </w:r>
          </w:p>
        </w:tc>
        <w:tc>
          <w:tcPr>
            <w:tcW w:w="545" w:type="dxa"/>
            <w:shd w:val="clear" w:color="auto" w:fill="auto"/>
            <w:tcMar>
              <w:left w:w="0" w:type="dxa"/>
              <w:right w:w="0" w:type="dxa"/>
            </w:tcMar>
            <w:vAlign w:val="center"/>
          </w:tcPr>
          <w:p w14:paraId="59E24DF2" w14:textId="77777777" w:rsidR="000D1EA6" w:rsidRPr="007008A4" w:rsidRDefault="000D1EA6" w:rsidP="00FE0D09">
            <w:pPr>
              <w:pStyle w:val="Tablebody"/>
              <w:jc w:val="center"/>
            </w:pPr>
          </w:p>
          <w:p w14:paraId="59D52E21" w14:textId="77777777" w:rsidR="000D1EA6" w:rsidRPr="007008A4" w:rsidRDefault="000D1EA6" w:rsidP="00FE0D09">
            <w:pPr>
              <w:pStyle w:val="Tablebody"/>
              <w:jc w:val="center"/>
            </w:pPr>
            <w:r w:rsidRPr="007008A4">
              <w:t>2,2</w:t>
            </w:r>
          </w:p>
          <w:p w14:paraId="6257936F" w14:textId="77777777" w:rsidR="000D1EA6" w:rsidRPr="007008A4" w:rsidRDefault="000D1EA6" w:rsidP="00FE0D09">
            <w:pPr>
              <w:pStyle w:val="Tablebody"/>
              <w:jc w:val="center"/>
            </w:pPr>
            <w:r w:rsidRPr="007008A4">
              <w:t>2,2</w:t>
            </w:r>
          </w:p>
        </w:tc>
        <w:tc>
          <w:tcPr>
            <w:tcW w:w="545" w:type="dxa"/>
            <w:shd w:val="clear" w:color="auto" w:fill="auto"/>
            <w:tcMar>
              <w:left w:w="0" w:type="dxa"/>
              <w:right w:w="0" w:type="dxa"/>
            </w:tcMar>
            <w:vAlign w:val="center"/>
          </w:tcPr>
          <w:p w14:paraId="54BFF54C" w14:textId="77777777" w:rsidR="000D1EA6" w:rsidRPr="007008A4" w:rsidRDefault="000D1EA6" w:rsidP="00FE0D09">
            <w:pPr>
              <w:pStyle w:val="Tablebody"/>
              <w:jc w:val="center"/>
            </w:pPr>
          </w:p>
          <w:p w14:paraId="633234A2" w14:textId="77777777" w:rsidR="000D1EA6" w:rsidRPr="007008A4" w:rsidRDefault="000D1EA6" w:rsidP="00FE0D09">
            <w:pPr>
              <w:pStyle w:val="Tablebody"/>
              <w:jc w:val="center"/>
            </w:pPr>
            <w:r w:rsidRPr="007008A4">
              <w:t>1,0</w:t>
            </w:r>
          </w:p>
          <w:p w14:paraId="181A0465" w14:textId="77777777" w:rsidR="000D1EA6" w:rsidRPr="007008A4" w:rsidRDefault="000D1EA6" w:rsidP="00FE0D09">
            <w:pPr>
              <w:pStyle w:val="Tablebody"/>
              <w:jc w:val="center"/>
            </w:pPr>
            <w:r w:rsidRPr="007008A4">
              <w:t>1,0</w:t>
            </w:r>
          </w:p>
        </w:tc>
        <w:tc>
          <w:tcPr>
            <w:tcW w:w="545" w:type="dxa"/>
            <w:shd w:val="clear" w:color="auto" w:fill="auto"/>
            <w:tcMar>
              <w:left w:w="0" w:type="dxa"/>
              <w:right w:w="0" w:type="dxa"/>
            </w:tcMar>
            <w:vAlign w:val="center"/>
          </w:tcPr>
          <w:p w14:paraId="39274C7E" w14:textId="77777777" w:rsidR="000D1EA6" w:rsidRPr="007008A4" w:rsidRDefault="000D1EA6" w:rsidP="00FE0D09">
            <w:pPr>
              <w:pStyle w:val="Tablebody"/>
              <w:jc w:val="center"/>
            </w:pPr>
          </w:p>
          <w:p w14:paraId="33AE4149" w14:textId="77777777" w:rsidR="000D1EA6" w:rsidRPr="007008A4" w:rsidRDefault="000D1EA6" w:rsidP="00FE0D09">
            <w:pPr>
              <w:pStyle w:val="Tablebody"/>
              <w:jc w:val="center"/>
            </w:pPr>
            <w:r w:rsidRPr="007008A4">
              <w:t>3,5</w:t>
            </w:r>
          </w:p>
          <w:p w14:paraId="3F0B5A3F" w14:textId="77777777" w:rsidR="000D1EA6" w:rsidRPr="007008A4" w:rsidRDefault="000D1EA6" w:rsidP="00FE0D09">
            <w:pPr>
              <w:pStyle w:val="Tablebody"/>
              <w:jc w:val="center"/>
            </w:pPr>
            <w:r w:rsidRPr="007008A4">
              <w:t>3,5</w:t>
            </w:r>
          </w:p>
        </w:tc>
        <w:tc>
          <w:tcPr>
            <w:tcW w:w="545" w:type="dxa"/>
            <w:gridSpan w:val="2"/>
            <w:shd w:val="clear" w:color="auto" w:fill="auto"/>
            <w:tcMar>
              <w:left w:w="0" w:type="dxa"/>
              <w:right w:w="0" w:type="dxa"/>
            </w:tcMar>
            <w:vAlign w:val="center"/>
          </w:tcPr>
          <w:p w14:paraId="3191FCBA" w14:textId="77777777" w:rsidR="000D1EA6" w:rsidRPr="007008A4" w:rsidRDefault="000D1EA6" w:rsidP="00FE0D09">
            <w:pPr>
              <w:pStyle w:val="Tablebody"/>
              <w:jc w:val="center"/>
            </w:pPr>
          </w:p>
          <w:p w14:paraId="48993D3E" w14:textId="77777777" w:rsidR="000D1EA6" w:rsidRPr="007008A4" w:rsidRDefault="000D1EA6" w:rsidP="00FE0D09">
            <w:pPr>
              <w:pStyle w:val="Tablebody"/>
              <w:jc w:val="center"/>
            </w:pPr>
            <w:r w:rsidRPr="007008A4">
              <w:t>3,0</w:t>
            </w:r>
          </w:p>
          <w:p w14:paraId="39CF4CEA" w14:textId="77777777" w:rsidR="000D1EA6" w:rsidRPr="007008A4" w:rsidRDefault="000D1EA6" w:rsidP="00FE0D09">
            <w:pPr>
              <w:pStyle w:val="Tablebody"/>
              <w:jc w:val="center"/>
            </w:pPr>
            <w:r w:rsidRPr="007008A4">
              <w:t>3,3</w:t>
            </w:r>
          </w:p>
        </w:tc>
        <w:tc>
          <w:tcPr>
            <w:tcW w:w="545" w:type="dxa"/>
            <w:shd w:val="clear" w:color="auto" w:fill="auto"/>
            <w:tcMar>
              <w:left w:w="0" w:type="dxa"/>
              <w:right w:w="0" w:type="dxa"/>
            </w:tcMar>
            <w:vAlign w:val="center"/>
          </w:tcPr>
          <w:p w14:paraId="60C67B3B" w14:textId="77777777" w:rsidR="000D1EA6" w:rsidRPr="007008A4" w:rsidRDefault="000D1EA6" w:rsidP="00FE0D09">
            <w:pPr>
              <w:pStyle w:val="Tablebody"/>
              <w:jc w:val="center"/>
            </w:pPr>
          </w:p>
          <w:p w14:paraId="3972788D" w14:textId="77777777" w:rsidR="000D1EA6" w:rsidRPr="007008A4" w:rsidRDefault="000D1EA6" w:rsidP="00FE0D09">
            <w:pPr>
              <w:pStyle w:val="Tablebody"/>
              <w:jc w:val="center"/>
            </w:pPr>
            <w:r w:rsidRPr="007008A4">
              <w:t>1,0</w:t>
            </w:r>
          </w:p>
          <w:p w14:paraId="77878532" w14:textId="77777777" w:rsidR="000D1EA6" w:rsidRPr="007008A4" w:rsidRDefault="000D1EA6" w:rsidP="00FE0D09">
            <w:pPr>
              <w:pStyle w:val="Tablebody"/>
              <w:jc w:val="center"/>
            </w:pPr>
            <w:r w:rsidRPr="007008A4">
              <w:t>1,0</w:t>
            </w:r>
          </w:p>
        </w:tc>
        <w:tc>
          <w:tcPr>
            <w:tcW w:w="546" w:type="dxa"/>
            <w:shd w:val="clear" w:color="auto" w:fill="auto"/>
            <w:tcMar>
              <w:left w:w="0" w:type="dxa"/>
              <w:right w:w="0" w:type="dxa"/>
            </w:tcMar>
            <w:vAlign w:val="center"/>
          </w:tcPr>
          <w:p w14:paraId="250DD669" w14:textId="77777777" w:rsidR="000D1EA6" w:rsidRPr="007008A4" w:rsidRDefault="000D1EA6" w:rsidP="00FE0D09">
            <w:pPr>
              <w:pStyle w:val="Tablebody"/>
              <w:jc w:val="center"/>
            </w:pPr>
          </w:p>
          <w:p w14:paraId="1EE74EBE" w14:textId="77777777" w:rsidR="000D1EA6" w:rsidRPr="007008A4" w:rsidRDefault="000D1EA6" w:rsidP="00FE0D09">
            <w:pPr>
              <w:pStyle w:val="Tablebody"/>
              <w:jc w:val="center"/>
            </w:pPr>
            <w:r w:rsidRPr="007008A4">
              <w:t>4,5</w:t>
            </w:r>
          </w:p>
          <w:p w14:paraId="2AC48546" w14:textId="77777777" w:rsidR="000D1EA6" w:rsidRPr="007008A4" w:rsidRDefault="000D1EA6" w:rsidP="00FE0D09">
            <w:pPr>
              <w:pStyle w:val="Tablebody"/>
              <w:jc w:val="center"/>
            </w:pPr>
            <w:r w:rsidRPr="007008A4">
              <w:t>5,0</w:t>
            </w:r>
          </w:p>
        </w:tc>
      </w:tr>
    </w:tbl>
    <w:p w14:paraId="4C24D154" w14:textId="77777777" w:rsidR="000D1EA6" w:rsidRPr="00132C1E" w:rsidRDefault="000D1EA6" w:rsidP="002E3AAB">
      <w:pPr>
        <w:pStyle w:val="Notetext"/>
        <w:spacing w:before="200"/>
      </w:pPr>
      <w:r w:rsidRPr="00132C1E">
        <w:t>NOTE</w:t>
      </w:r>
      <w:r w:rsidRPr="00132C1E">
        <w:tab/>
      </w:r>
      <w:r w:rsidRPr="00D1484A">
        <w:t xml:space="preserve">The values of </w:t>
      </w:r>
      <w:r w:rsidRPr="00D1484A">
        <w:rPr>
          <w:i/>
          <w:iCs/>
        </w:rPr>
        <w:t>q</w:t>
      </w:r>
      <w:r w:rsidRPr="00D1484A">
        <w:rPr>
          <w:vertAlign w:val="subscript"/>
        </w:rPr>
        <w:t>R</w:t>
      </w:r>
      <w:r w:rsidRPr="007E6F67">
        <w:t xml:space="preserve"> and </w:t>
      </w:r>
      <w:r w:rsidRPr="00FD17CF">
        <w:rPr>
          <w:i/>
          <w:iCs/>
        </w:rPr>
        <w:t>q</w:t>
      </w:r>
      <w:r w:rsidRPr="00FD17CF">
        <w:rPr>
          <w:vertAlign w:val="subscript"/>
        </w:rPr>
        <w:t>D</w:t>
      </w:r>
      <w:r w:rsidRPr="00FD17CF">
        <w:t xml:space="preserve"> in Table </w:t>
      </w:r>
      <w:r w:rsidRPr="00FE0D09">
        <w:t xml:space="preserve">12.2 are default values in the sense of 5.3.2 and the values of </w:t>
      </w:r>
      <w:r w:rsidRPr="00FE0D09">
        <w:rPr>
          <w:i/>
          <w:iCs/>
        </w:rPr>
        <w:t>q</w:t>
      </w:r>
      <w:r w:rsidRPr="00FE0D09">
        <w:t xml:space="preserve"> are obtained as the product of the default values of </w:t>
      </w:r>
      <w:r w:rsidRPr="00FE0D09">
        <w:rPr>
          <w:i/>
          <w:iCs/>
        </w:rPr>
        <w:t>q</w:t>
      </w:r>
      <w:r w:rsidRPr="00FE0D09">
        <w:rPr>
          <w:vertAlign w:val="subscript"/>
        </w:rPr>
        <w:t>D</w:t>
      </w:r>
      <w:r w:rsidRPr="00FE0D09">
        <w:t xml:space="preserve"> and </w:t>
      </w:r>
      <w:r w:rsidRPr="00FE0D09">
        <w:rPr>
          <w:i/>
          <w:iCs/>
        </w:rPr>
        <w:t>q</w:t>
      </w:r>
      <w:r w:rsidRPr="00FE0D09">
        <w:rPr>
          <w:vertAlign w:val="subscript"/>
        </w:rPr>
        <w:t>R</w:t>
      </w:r>
      <w:r w:rsidRPr="00FE0D09">
        <w:t xml:space="preserve"> with </w:t>
      </w:r>
      <w:r w:rsidRPr="00FE0D09">
        <w:rPr>
          <w:i/>
          <w:iCs/>
        </w:rPr>
        <w:t>q</w:t>
      </w:r>
      <w:r w:rsidRPr="00FE0D09">
        <w:rPr>
          <w:vertAlign w:val="subscript"/>
        </w:rPr>
        <w:t>S</w:t>
      </w:r>
      <w:r w:rsidRPr="00FE0D09">
        <w:t xml:space="preserve"> equal to 1,5.</w:t>
      </w:r>
      <w:r w:rsidRPr="00132C1E">
        <w:t xml:space="preserve"> </w:t>
      </w:r>
    </w:p>
    <w:p w14:paraId="3B7F5F9A" w14:textId="77777777" w:rsidR="000D1EA6" w:rsidRPr="00132C1E" w:rsidRDefault="000D1EA6" w:rsidP="000D1EA6">
      <w:pPr>
        <w:pStyle w:val="Heading3"/>
      </w:pPr>
      <w:bookmarkStart w:id="9982" w:name="_Toc17827806"/>
      <w:bookmarkStart w:id="9983" w:name="_Toc50150492"/>
      <w:bookmarkStart w:id="9984" w:name="_Toc70886924"/>
      <w:bookmarkStart w:id="9985" w:name="_Toc108342482"/>
      <w:bookmarkStart w:id="9986" w:name="_Toc134198014"/>
      <w:r w:rsidRPr="00132C1E">
        <w:t>Limits of seismic action for design to DC1, DC2 and DC3</w:t>
      </w:r>
      <w:bookmarkEnd w:id="9982"/>
      <w:bookmarkEnd w:id="9983"/>
      <w:bookmarkEnd w:id="9984"/>
      <w:bookmarkEnd w:id="9985"/>
      <w:bookmarkEnd w:id="9986"/>
    </w:p>
    <w:p w14:paraId="208379DA" w14:textId="6C18F531" w:rsidR="000D1EA6" w:rsidRPr="00682A29" w:rsidRDefault="000D1EA6" w:rsidP="0080187E">
      <w:pPr>
        <w:pStyle w:val="Clause"/>
        <w:numPr>
          <w:ilvl w:val="0"/>
          <w:numId w:val="426"/>
        </w:numPr>
      </w:pPr>
      <w:r w:rsidRPr="00132C1E">
        <w:t xml:space="preserve">For each structural type, design to a given Ductility Class should not be made above the levels of the seismic action index </w:t>
      </w:r>
      <m:oMath>
        <m:sSub>
          <m:sSubPr>
            <m:ctrlPr>
              <w:rPr>
                <w:rFonts w:ascii="Cambria Math" w:hAnsi="Cambria Math"/>
              </w:rPr>
            </m:ctrlPr>
          </m:sSubPr>
          <m:e>
            <m:r>
              <w:rPr>
                <w:rFonts w:ascii="Cambria Math" w:hAnsi="Cambria Math"/>
              </w:rPr>
              <m:t>S</m:t>
            </m:r>
          </m:e>
          <m:sub>
            <m:r>
              <m:rPr>
                <m:sty m:val="p"/>
              </m:rPr>
              <w:rPr>
                <w:rFonts w:ascii="Cambria Math" w:hAnsi="Cambria Math"/>
              </w:rPr>
              <m:t>δ</m:t>
            </m:r>
          </m:sub>
        </m:sSub>
      </m:oMath>
      <w:r w:rsidRPr="00132C1E">
        <w:t xml:space="preserve"> given </w:t>
      </w:r>
      <w:r w:rsidRPr="00682A29">
        <w:t>in Table 12.3.</w:t>
      </w:r>
    </w:p>
    <w:p w14:paraId="6EE6710A" w14:textId="4F5AC5D0" w:rsidR="000D1EA6" w:rsidRPr="00FD17CF" w:rsidRDefault="000D1EA6" w:rsidP="00682A29">
      <w:pPr>
        <w:pStyle w:val="Tabletitle"/>
      </w:pPr>
      <w:bookmarkStart w:id="9987" w:name="_Ref17563286"/>
      <w:r w:rsidRPr="00FD17CF">
        <w:t xml:space="preserve">Table </w:t>
      </w:r>
      <w:r w:rsidR="00682A29">
        <w:t>12</w:t>
      </w:r>
      <w:r w:rsidRPr="00132C1E">
        <w:t>.</w:t>
      </w:r>
      <w:bookmarkEnd w:id="9987"/>
      <w:r w:rsidR="00682A29">
        <w:t>3</w:t>
      </w:r>
      <w:r w:rsidRPr="00132C1E">
        <w:t> —</w:t>
      </w:r>
      <w:r w:rsidRPr="00D1484A">
        <w:t xml:space="preserve"> Limits of seismic action </w:t>
      </w:r>
      <w:r w:rsidRPr="007E6F67">
        <w:t xml:space="preserve">index for design to DC1, DC2 </w:t>
      </w:r>
      <w:r w:rsidRPr="00FD17CF">
        <w:t>and DC3</w:t>
      </w:r>
    </w:p>
    <w:tbl>
      <w:tblPr>
        <w:tblW w:w="9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42"/>
        <w:gridCol w:w="1088"/>
        <w:gridCol w:w="1012"/>
        <w:gridCol w:w="1166"/>
      </w:tblGrid>
      <w:tr w:rsidR="000D1EA6" w:rsidRPr="00AE69D8" w14:paraId="445F6E8C" w14:textId="77777777" w:rsidTr="002E3AAB">
        <w:trPr>
          <w:trHeight w:val="358"/>
          <w:tblHeader/>
          <w:jc w:val="center"/>
        </w:trPr>
        <w:tc>
          <w:tcPr>
            <w:tcW w:w="6542" w:type="dxa"/>
            <w:shd w:val="clear" w:color="auto" w:fill="auto"/>
            <w:vAlign w:val="center"/>
          </w:tcPr>
          <w:p w14:paraId="198B8C77" w14:textId="77777777" w:rsidR="000D1EA6" w:rsidRPr="00FE0D09" w:rsidRDefault="000D1EA6" w:rsidP="002E3AAB">
            <w:pPr>
              <w:pStyle w:val="Tablebody"/>
              <w:spacing w:before="40" w:after="40"/>
              <w:jc w:val="center"/>
              <w:rPr>
                <w:b/>
                <w:bCs/>
              </w:rPr>
            </w:pPr>
            <w:r w:rsidRPr="00FE0D09">
              <w:rPr>
                <w:b/>
                <w:bCs/>
              </w:rPr>
              <w:t>Structural type</w:t>
            </w:r>
          </w:p>
        </w:tc>
        <w:tc>
          <w:tcPr>
            <w:tcW w:w="3266" w:type="dxa"/>
            <w:gridSpan w:val="3"/>
          </w:tcPr>
          <w:p w14:paraId="19986037" w14:textId="77777777" w:rsidR="000D1EA6" w:rsidRPr="00FE0D09" w:rsidRDefault="000D1EA6" w:rsidP="002E3AAB">
            <w:pPr>
              <w:pStyle w:val="Tablebody"/>
              <w:spacing w:before="40" w:after="40"/>
              <w:jc w:val="center"/>
              <w:rPr>
                <w:b/>
                <w:bCs/>
              </w:rPr>
            </w:pPr>
            <w:r w:rsidRPr="00FE0D09">
              <w:rPr>
                <w:b/>
                <w:bCs/>
              </w:rPr>
              <w:t>Limits of seismic action index</w:t>
            </w:r>
          </w:p>
          <w:p w14:paraId="05AFCD30" w14:textId="66279E21" w:rsidR="000D1EA6" w:rsidRPr="00FE0D09" w:rsidRDefault="009B5CEC" w:rsidP="002E3AAB">
            <w:pPr>
              <w:pStyle w:val="Tablebody"/>
              <w:spacing w:before="40" w:after="40"/>
              <w:jc w:val="center"/>
              <w:rPr>
                <w:b/>
                <w:bCs/>
              </w:rPr>
            </w:pPr>
            <m:oMath>
              <m:sSub>
                <m:sSubPr>
                  <m:ctrlPr>
                    <w:rPr>
                      <w:rFonts w:ascii="Cambria Math" w:hAnsi="Cambria Math"/>
                      <w:b/>
                      <w:bCs/>
                      <w:i/>
                    </w:rPr>
                  </m:ctrlPr>
                </m:sSubPr>
                <m:e>
                  <m:r>
                    <m:rPr>
                      <m:sty m:val="bi"/>
                    </m:rPr>
                    <w:rPr>
                      <w:rFonts w:ascii="Cambria Math" w:hAnsi="Cambria Math"/>
                    </w:rPr>
                    <m:t>S</m:t>
                  </m:r>
                </m:e>
                <m:sub>
                  <m:r>
                    <m:rPr>
                      <m:sty m:val="b"/>
                    </m:rPr>
                    <w:rPr>
                      <w:rFonts w:ascii="Cambria Math" w:hAnsi="Cambria Math"/>
                    </w:rPr>
                    <m:t>δ</m:t>
                  </m:r>
                </m:sub>
              </m:sSub>
            </m:oMath>
            <w:r w:rsidR="000D1EA6" w:rsidRPr="00FE0D09" w:rsidDel="0032265F">
              <w:rPr>
                <w:b/>
                <w:bCs/>
                <w:i/>
              </w:rPr>
              <w:t xml:space="preserve"> </w:t>
            </w:r>
            <w:r w:rsidR="000D1EA6" w:rsidRPr="00FE0D09">
              <w:rPr>
                <w:b/>
                <w:bCs/>
              </w:rPr>
              <w:t>(m/s</w:t>
            </w:r>
            <w:r w:rsidR="000D1EA6" w:rsidRPr="00FE0D09">
              <w:rPr>
                <w:b/>
                <w:bCs/>
                <w:vertAlign w:val="superscript"/>
              </w:rPr>
              <w:t>2</w:t>
            </w:r>
            <w:r w:rsidR="000D1EA6" w:rsidRPr="00FE0D09">
              <w:rPr>
                <w:b/>
                <w:bCs/>
              </w:rPr>
              <w:t>)</w:t>
            </w:r>
          </w:p>
        </w:tc>
      </w:tr>
      <w:tr w:rsidR="000D1EA6" w:rsidRPr="00132C1E" w14:paraId="3A57C3DE" w14:textId="77777777" w:rsidTr="002E3AAB">
        <w:trPr>
          <w:tblHeader/>
          <w:jc w:val="center"/>
        </w:trPr>
        <w:tc>
          <w:tcPr>
            <w:tcW w:w="6542" w:type="dxa"/>
            <w:shd w:val="clear" w:color="auto" w:fill="auto"/>
            <w:vAlign w:val="center"/>
          </w:tcPr>
          <w:p w14:paraId="1C20CEF9" w14:textId="77777777" w:rsidR="000D1EA6" w:rsidRPr="00132C1E" w:rsidRDefault="000D1EA6" w:rsidP="002E3AAB">
            <w:pPr>
              <w:pStyle w:val="Tablebody"/>
              <w:spacing w:before="40" w:after="40"/>
            </w:pPr>
          </w:p>
        </w:tc>
        <w:tc>
          <w:tcPr>
            <w:tcW w:w="1088" w:type="dxa"/>
          </w:tcPr>
          <w:p w14:paraId="31B0DF54" w14:textId="77777777" w:rsidR="000D1EA6" w:rsidRPr="00FE0D09" w:rsidRDefault="000D1EA6" w:rsidP="002E3AAB">
            <w:pPr>
              <w:pStyle w:val="Tablebody"/>
              <w:spacing w:before="40" w:after="40"/>
              <w:jc w:val="center"/>
              <w:rPr>
                <w:b/>
                <w:bCs/>
              </w:rPr>
            </w:pPr>
            <w:r w:rsidRPr="00FE0D09">
              <w:rPr>
                <w:b/>
                <w:bCs/>
              </w:rPr>
              <w:t>DC1</w:t>
            </w:r>
          </w:p>
        </w:tc>
        <w:tc>
          <w:tcPr>
            <w:tcW w:w="1012" w:type="dxa"/>
          </w:tcPr>
          <w:p w14:paraId="69746E2F" w14:textId="77777777" w:rsidR="000D1EA6" w:rsidRPr="00FE0D09" w:rsidRDefault="000D1EA6" w:rsidP="002E3AAB">
            <w:pPr>
              <w:pStyle w:val="Tablebody"/>
              <w:spacing w:before="40" w:after="40"/>
              <w:jc w:val="center"/>
              <w:rPr>
                <w:b/>
                <w:bCs/>
              </w:rPr>
            </w:pPr>
            <w:r w:rsidRPr="00FE0D09">
              <w:rPr>
                <w:b/>
                <w:bCs/>
              </w:rPr>
              <w:t>DC2</w:t>
            </w:r>
          </w:p>
        </w:tc>
        <w:tc>
          <w:tcPr>
            <w:tcW w:w="1166" w:type="dxa"/>
          </w:tcPr>
          <w:p w14:paraId="32B3E4A8" w14:textId="77777777" w:rsidR="000D1EA6" w:rsidRPr="00FE0D09" w:rsidRDefault="000D1EA6" w:rsidP="002E3AAB">
            <w:pPr>
              <w:pStyle w:val="Tablebody"/>
              <w:spacing w:before="40" w:after="40"/>
              <w:jc w:val="center"/>
              <w:rPr>
                <w:b/>
                <w:bCs/>
              </w:rPr>
            </w:pPr>
            <w:r w:rsidRPr="00FE0D09">
              <w:rPr>
                <w:b/>
                <w:bCs/>
              </w:rPr>
              <w:t>DC3</w:t>
            </w:r>
          </w:p>
        </w:tc>
      </w:tr>
      <w:tr w:rsidR="000D1EA6" w:rsidRPr="00132C1E" w14:paraId="755D1D2D" w14:textId="77777777" w:rsidTr="00357B79">
        <w:trPr>
          <w:trHeight w:val="459"/>
          <w:jc w:val="center"/>
        </w:trPr>
        <w:tc>
          <w:tcPr>
            <w:tcW w:w="6542" w:type="dxa"/>
            <w:shd w:val="clear" w:color="auto" w:fill="auto"/>
            <w:vAlign w:val="center"/>
          </w:tcPr>
          <w:p w14:paraId="5401F663" w14:textId="77777777" w:rsidR="000D1EA6" w:rsidRPr="00FD17CF" w:rsidRDefault="000D1EA6" w:rsidP="002E3AAB">
            <w:pPr>
              <w:pStyle w:val="Tablebody"/>
              <w:spacing w:before="40" w:after="40"/>
            </w:pPr>
            <w:r w:rsidRPr="00132C1E">
              <w:t>Composite moment resisting frames</w:t>
            </w:r>
            <w:r w:rsidRPr="00D1484A">
              <w:t xml:space="preserve"> (full strength connection</w:t>
            </w:r>
            <w:r w:rsidRPr="007E6F67">
              <w:t>s</w:t>
            </w:r>
            <w:r w:rsidRPr="00FD17CF">
              <w:t>)</w:t>
            </w:r>
          </w:p>
        </w:tc>
        <w:tc>
          <w:tcPr>
            <w:tcW w:w="1088" w:type="dxa"/>
            <w:vAlign w:val="center"/>
          </w:tcPr>
          <w:p w14:paraId="6A560C87" w14:textId="77777777" w:rsidR="000D1EA6" w:rsidRPr="00E05E29" w:rsidRDefault="000D1EA6" w:rsidP="002E3AAB">
            <w:pPr>
              <w:pStyle w:val="Tablebody"/>
              <w:spacing w:before="40" w:after="40"/>
              <w:jc w:val="center"/>
            </w:pPr>
            <w:r w:rsidRPr="00644C3D">
              <w:t>5,0</w:t>
            </w:r>
          </w:p>
        </w:tc>
        <w:tc>
          <w:tcPr>
            <w:tcW w:w="1012" w:type="dxa"/>
            <w:vAlign w:val="center"/>
          </w:tcPr>
          <w:p w14:paraId="022B8BB6" w14:textId="77777777" w:rsidR="000D1EA6" w:rsidRPr="002144A0" w:rsidRDefault="000D1EA6" w:rsidP="002E3AAB">
            <w:pPr>
              <w:pStyle w:val="Tablebody"/>
              <w:spacing w:before="40" w:after="40"/>
              <w:jc w:val="center"/>
            </w:pPr>
            <w:r w:rsidRPr="00196951">
              <w:t>6,5</w:t>
            </w:r>
          </w:p>
        </w:tc>
        <w:tc>
          <w:tcPr>
            <w:tcW w:w="1166" w:type="dxa"/>
            <w:vAlign w:val="center"/>
          </w:tcPr>
          <w:p w14:paraId="5B9B7179" w14:textId="77777777" w:rsidR="000D1EA6" w:rsidRPr="00C52095" w:rsidRDefault="000D1EA6" w:rsidP="002E3AAB">
            <w:pPr>
              <w:pStyle w:val="Tablebody"/>
              <w:spacing w:before="40" w:after="40"/>
              <w:jc w:val="center"/>
            </w:pPr>
            <w:r w:rsidRPr="002144A0">
              <w:t>No limits</w:t>
            </w:r>
          </w:p>
        </w:tc>
      </w:tr>
      <w:tr w:rsidR="000D1EA6" w:rsidRPr="00132C1E" w14:paraId="007096E8" w14:textId="77777777" w:rsidTr="00357B79">
        <w:trPr>
          <w:trHeight w:val="459"/>
          <w:jc w:val="center"/>
        </w:trPr>
        <w:tc>
          <w:tcPr>
            <w:tcW w:w="6542" w:type="dxa"/>
            <w:shd w:val="clear" w:color="auto" w:fill="auto"/>
            <w:vAlign w:val="center"/>
          </w:tcPr>
          <w:p w14:paraId="10353F9C" w14:textId="77777777" w:rsidR="000D1EA6" w:rsidRPr="00D950A8" w:rsidRDefault="000D1EA6" w:rsidP="002E3AAB">
            <w:pPr>
              <w:pStyle w:val="Tablebody"/>
              <w:spacing w:before="40" w:after="40"/>
            </w:pPr>
            <w:r w:rsidRPr="00D950A8">
              <w:t>Composite moment resisting frames (full strength connections)</w:t>
            </w:r>
            <w:r w:rsidRPr="00D950A8">
              <w:rPr>
                <w:rFonts w:asciiTheme="majorHAnsi" w:hAnsiTheme="majorHAnsi"/>
              </w:rPr>
              <w:t xml:space="preserve"> with unconnected interacting infills</w:t>
            </w:r>
            <w:r w:rsidRPr="00D950A8">
              <w:t xml:space="preserve"> moment resisting frames</w:t>
            </w:r>
          </w:p>
        </w:tc>
        <w:tc>
          <w:tcPr>
            <w:tcW w:w="1088" w:type="dxa"/>
            <w:vAlign w:val="center"/>
          </w:tcPr>
          <w:p w14:paraId="65D60BAD" w14:textId="77777777" w:rsidR="000D1EA6" w:rsidRPr="00D950A8" w:rsidRDefault="000D1EA6" w:rsidP="002E3AAB">
            <w:pPr>
              <w:pStyle w:val="Tablebody"/>
              <w:spacing w:before="40" w:after="40"/>
              <w:jc w:val="center"/>
            </w:pPr>
            <w:r w:rsidRPr="00D950A8">
              <w:t>5,0</w:t>
            </w:r>
          </w:p>
        </w:tc>
        <w:tc>
          <w:tcPr>
            <w:tcW w:w="1012" w:type="dxa"/>
            <w:vAlign w:val="center"/>
          </w:tcPr>
          <w:p w14:paraId="5F8ADB0A" w14:textId="77777777" w:rsidR="000D1EA6" w:rsidRPr="00D950A8" w:rsidRDefault="000D1EA6" w:rsidP="002E3AAB">
            <w:pPr>
              <w:pStyle w:val="Tablebody"/>
              <w:spacing w:before="40" w:after="40"/>
              <w:jc w:val="center"/>
            </w:pPr>
            <w:r w:rsidRPr="00D950A8">
              <w:t>6,5</w:t>
            </w:r>
          </w:p>
        </w:tc>
        <w:tc>
          <w:tcPr>
            <w:tcW w:w="1166" w:type="dxa"/>
            <w:vAlign w:val="center"/>
          </w:tcPr>
          <w:p w14:paraId="6D01FDC0" w14:textId="77777777" w:rsidR="000D1EA6" w:rsidRPr="00D950A8" w:rsidRDefault="000D1EA6" w:rsidP="002E3AAB">
            <w:pPr>
              <w:pStyle w:val="Tablebody"/>
              <w:spacing w:before="40" w:after="40"/>
              <w:jc w:val="center"/>
            </w:pPr>
            <w:r w:rsidRPr="00D950A8">
              <w:t>No limits</w:t>
            </w:r>
          </w:p>
        </w:tc>
      </w:tr>
      <w:tr w:rsidR="00C15609" w:rsidRPr="00132C1E" w14:paraId="752C3AFB" w14:textId="77777777" w:rsidTr="00357B79">
        <w:trPr>
          <w:trHeight w:val="459"/>
          <w:jc w:val="center"/>
        </w:trPr>
        <w:tc>
          <w:tcPr>
            <w:tcW w:w="6542" w:type="dxa"/>
            <w:shd w:val="clear" w:color="auto" w:fill="auto"/>
            <w:vAlign w:val="center"/>
          </w:tcPr>
          <w:p w14:paraId="455BABF5" w14:textId="7E02E03F" w:rsidR="00C15609" w:rsidRPr="00C15609" w:rsidRDefault="00C15609" w:rsidP="002E3AAB">
            <w:pPr>
              <w:pStyle w:val="Tablebody"/>
              <w:spacing w:before="40" w:after="40"/>
            </w:pPr>
            <w:r>
              <w:t xml:space="preserve">Composite </w:t>
            </w:r>
            <w:r w:rsidRPr="00357B79">
              <w:t>moment resisting frames (partial-strength connect</w:t>
            </w:r>
            <w:r>
              <w:t>ions</w:t>
            </w:r>
            <w:r w:rsidRPr="00357B79">
              <w:t>)</w:t>
            </w:r>
          </w:p>
        </w:tc>
        <w:tc>
          <w:tcPr>
            <w:tcW w:w="1088" w:type="dxa"/>
            <w:vAlign w:val="center"/>
          </w:tcPr>
          <w:p w14:paraId="68E0A414" w14:textId="7248DF69" w:rsidR="00C15609" w:rsidRPr="00D950A8" w:rsidRDefault="00C15609" w:rsidP="002E3AAB">
            <w:pPr>
              <w:pStyle w:val="Tablebody"/>
              <w:spacing w:before="40" w:after="40"/>
              <w:jc w:val="center"/>
            </w:pPr>
            <w:r>
              <w:t>5,0</w:t>
            </w:r>
          </w:p>
        </w:tc>
        <w:tc>
          <w:tcPr>
            <w:tcW w:w="1012" w:type="dxa"/>
            <w:vAlign w:val="center"/>
          </w:tcPr>
          <w:p w14:paraId="0D037773" w14:textId="3FEFD3A6" w:rsidR="00C15609" w:rsidRPr="00D950A8" w:rsidRDefault="00C15609" w:rsidP="002E3AAB">
            <w:pPr>
              <w:pStyle w:val="Tablebody"/>
              <w:spacing w:before="40" w:after="40"/>
              <w:jc w:val="center"/>
            </w:pPr>
            <w:r>
              <w:t>6,5</w:t>
            </w:r>
          </w:p>
        </w:tc>
        <w:tc>
          <w:tcPr>
            <w:tcW w:w="1166" w:type="dxa"/>
            <w:vAlign w:val="center"/>
          </w:tcPr>
          <w:p w14:paraId="590A24A2" w14:textId="6C896455" w:rsidR="00C15609" w:rsidRPr="00D950A8" w:rsidRDefault="00C15609" w:rsidP="002E3AAB">
            <w:pPr>
              <w:pStyle w:val="Tablebody"/>
              <w:spacing w:before="40" w:after="40"/>
              <w:jc w:val="center"/>
            </w:pPr>
            <w:r>
              <w:t>Not permitted</w:t>
            </w:r>
          </w:p>
        </w:tc>
      </w:tr>
      <w:tr w:rsidR="000D1EA6" w:rsidRPr="00132C1E" w14:paraId="7F6499D3" w14:textId="77777777" w:rsidTr="00357B79">
        <w:trPr>
          <w:trHeight w:val="487"/>
          <w:jc w:val="center"/>
        </w:trPr>
        <w:tc>
          <w:tcPr>
            <w:tcW w:w="6542" w:type="dxa"/>
            <w:shd w:val="clear" w:color="auto" w:fill="auto"/>
            <w:vAlign w:val="center"/>
          </w:tcPr>
          <w:p w14:paraId="7A59E1F9" w14:textId="77777777" w:rsidR="000D1EA6" w:rsidRPr="00D1484A" w:rsidRDefault="000D1EA6" w:rsidP="002E3AAB">
            <w:pPr>
              <w:pStyle w:val="Tablebody"/>
              <w:spacing w:before="40" w:after="40"/>
            </w:pPr>
            <w:r w:rsidRPr="00132C1E">
              <w:t>Composite frames with concentric or eccentric bracings</w:t>
            </w:r>
          </w:p>
        </w:tc>
        <w:tc>
          <w:tcPr>
            <w:tcW w:w="1088" w:type="dxa"/>
            <w:vAlign w:val="center"/>
          </w:tcPr>
          <w:p w14:paraId="653F074A" w14:textId="77777777" w:rsidR="000D1EA6" w:rsidRPr="00D1484A" w:rsidRDefault="000D1EA6" w:rsidP="002E3AAB">
            <w:pPr>
              <w:pStyle w:val="Tablebody"/>
              <w:spacing w:before="40" w:after="40"/>
              <w:jc w:val="center"/>
            </w:pPr>
            <w:r w:rsidRPr="00D1484A">
              <w:t>5,0</w:t>
            </w:r>
          </w:p>
        </w:tc>
        <w:tc>
          <w:tcPr>
            <w:tcW w:w="1012" w:type="dxa"/>
            <w:vAlign w:val="center"/>
          </w:tcPr>
          <w:p w14:paraId="3E079499" w14:textId="77777777" w:rsidR="000D1EA6" w:rsidRPr="00FD17CF" w:rsidRDefault="000D1EA6" w:rsidP="002E3AAB">
            <w:pPr>
              <w:pStyle w:val="Tablebody"/>
              <w:spacing w:before="40" w:after="40"/>
              <w:jc w:val="center"/>
            </w:pPr>
            <w:r w:rsidRPr="007E6F67">
              <w:t>6,5</w:t>
            </w:r>
          </w:p>
        </w:tc>
        <w:tc>
          <w:tcPr>
            <w:tcW w:w="1166" w:type="dxa"/>
            <w:vAlign w:val="center"/>
          </w:tcPr>
          <w:p w14:paraId="43DC8EF1" w14:textId="77777777" w:rsidR="000D1EA6" w:rsidRPr="00E05E29" w:rsidRDefault="000D1EA6" w:rsidP="002E3AAB">
            <w:pPr>
              <w:pStyle w:val="Tablebody"/>
              <w:spacing w:before="40" w:after="40"/>
              <w:jc w:val="center"/>
            </w:pPr>
            <w:r w:rsidRPr="00644C3D">
              <w:t>No limits</w:t>
            </w:r>
          </w:p>
        </w:tc>
      </w:tr>
      <w:tr w:rsidR="000D1EA6" w:rsidRPr="00132C1E" w14:paraId="158FAD0E" w14:textId="77777777" w:rsidTr="00357B79">
        <w:trPr>
          <w:trHeight w:val="479"/>
          <w:jc w:val="center"/>
        </w:trPr>
        <w:tc>
          <w:tcPr>
            <w:tcW w:w="6542" w:type="dxa"/>
            <w:shd w:val="clear" w:color="auto" w:fill="auto"/>
            <w:vAlign w:val="center"/>
          </w:tcPr>
          <w:p w14:paraId="516E3188" w14:textId="77777777" w:rsidR="000D1EA6" w:rsidRPr="00D1484A" w:rsidRDefault="000D1EA6" w:rsidP="002E3AAB">
            <w:pPr>
              <w:pStyle w:val="Tablebody"/>
              <w:spacing w:before="40" w:after="40"/>
            </w:pPr>
            <w:r w:rsidRPr="00132C1E">
              <w:lastRenderedPageBreak/>
              <w:t>Composite frames with buckling-restrained braces</w:t>
            </w:r>
          </w:p>
        </w:tc>
        <w:tc>
          <w:tcPr>
            <w:tcW w:w="1088" w:type="dxa"/>
            <w:vAlign w:val="center"/>
          </w:tcPr>
          <w:p w14:paraId="0B6F0E3E" w14:textId="77777777" w:rsidR="000D1EA6" w:rsidRPr="00D1484A" w:rsidRDefault="000D1EA6" w:rsidP="002E3AAB">
            <w:pPr>
              <w:pStyle w:val="Tablebody"/>
              <w:spacing w:before="40" w:after="40"/>
              <w:jc w:val="center"/>
            </w:pPr>
            <w:r w:rsidRPr="00D1484A">
              <w:t>-</w:t>
            </w:r>
          </w:p>
        </w:tc>
        <w:tc>
          <w:tcPr>
            <w:tcW w:w="1012" w:type="dxa"/>
            <w:vAlign w:val="center"/>
          </w:tcPr>
          <w:p w14:paraId="3E822037" w14:textId="77777777" w:rsidR="000D1EA6" w:rsidRPr="00FD17CF" w:rsidRDefault="000D1EA6" w:rsidP="002E3AAB">
            <w:pPr>
              <w:pStyle w:val="Tablebody"/>
              <w:spacing w:before="40" w:after="40"/>
              <w:jc w:val="center"/>
            </w:pPr>
            <w:r w:rsidRPr="007E6F67">
              <w:t>-</w:t>
            </w:r>
          </w:p>
        </w:tc>
        <w:tc>
          <w:tcPr>
            <w:tcW w:w="1166" w:type="dxa"/>
            <w:vAlign w:val="center"/>
          </w:tcPr>
          <w:p w14:paraId="211AA098" w14:textId="77777777" w:rsidR="000D1EA6" w:rsidRPr="00E05E29" w:rsidRDefault="000D1EA6" w:rsidP="002E3AAB">
            <w:pPr>
              <w:pStyle w:val="Tablebody"/>
              <w:spacing w:before="40" w:after="40"/>
              <w:jc w:val="center"/>
            </w:pPr>
            <w:r w:rsidRPr="00644C3D">
              <w:t>No limits</w:t>
            </w:r>
          </w:p>
        </w:tc>
      </w:tr>
      <w:tr w:rsidR="000D1EA6" w:rsidRPr="00132C1E" w14:paraId="69C2EBDF" w14:textId="77777777" w:rsidTr="00357B79">
        <w:trPr>
          <w:trHeight w:val="422"/>
          <w:jc w:val="center"/>
        </w:trPr>
        <w:tc>
          <w:tcPr>
            <w:tcW w:w="6542" w:type="dxa"/>
            <w:shd w:val="clear" w:color="auto" w:fill="auto"/>
            <w:vAlign w:val="center"/>
          </w:tcPr>
          <w:p w14:paraId="43EEB0A7" w14:textId="77777777" w:rsidR="000D1EA6" w:rsidRPr="00D1484A" w:rsidRDefault="000D1EA6" w:rsidP="002E3AAB">
            <w:pPr>
              <w:pStyle w:val="Tablebody"/>
              <w:spacing w:before="40" w:after="40"/>
            </w:pPr>
            <w:r w:rsidRPr="00132C1E">
              <w:t>Composite dual frames</w:t>
            </w:r>
          </w:p>
        </w:tc>
        <w:tc>
          <w:tcPr>
            <w:tcW w:w="1088" w:type="dxa"/>
            <w:vAlign w:val="center"/>
          </w:tcPr>
          <w:p w14:paraId="36FBC3D8" w14:textId="77777777" w:rsidR="000D1EA6" w:rsidRPr="00D1484A" w:rsidRDefault="000D1EA6" w:rsidP="002E3AAB">
            <w:pPr>
              <w:pStyle w:val="Tablebody"/>
              <w:spacing w:before="40" w:after="40"/>
              <w:jc w:val="center"/>
            </w:pPr>
            <w:r w:rsidRPr="00D1484A">
              <w:t>5,0</w:t>
            </w:r>
          </w:p>
        </w:tc>
        <w:tc>
          <w:tcPr>
            <w:tcW w:w="1012" w:type="dxa"/>
            <w:vAlign w:val="center"/>
          </w:tcPr>
          <w:p w14:paraId="739512C0" w14:textId="77777777" w:rsidR="000D1EA6" w:rsidRPr="00FD17CF" w:rsidRDefault="000D1EA6" w:rsidP="002E3AAB">
            <w:pPr>
              <w:pStyle w:val="Tablebody"/>
              <w:spacing w:before="40" w:after="40"/>
              <w:jc w:val="center"/>
            </w:pPr>
            <w:r w:rsidRPr="007E6F67">
              <w:t>7,5</w:t>
            </w:r>
          </w:p>
        </w:tc>
        <w:tc>
          <w:tcPr>
            <w:tcW w:w="1166" w:type="dxa"/>
            <w:vAlign w:val="center"/>
          </w:tcPr>
          <w:p w14:paraId="38FD556C" w14:textId="77777777" w:rsidR="000D1EA6" w:rsidRPr="00E05E29" w:rsidRDefault="000D1EA6" w:rsidP="002E3AAB">
            <w:pPr>
              <w:pStyle w:val="Tablebody"/>
              <w:spacing w:before="40" w:after="40"/>
              <w:jc w:val="center"/>
            </w:pPr>
            <w:r w:rsidRPr="00644C3D">
              <w:t>No limits</w:t>
            </w:r>
          </w:p>
        </w:tc>
      </w:tr>
      <w:tr w:rsidR="000D1EA6" w:rsidRPr="00132C1E" w14:paraId="0E7B4C3E" w14:textId="77777777" w:rsidTr="00357B79">
        <w:trPr>
          <w:trHeight w:val="479"/>
          <w:jc w:val="center"/>
        </w:trPr>
        <w:tc>
          <w:tcPr>
            <w:tcW w:w="6542" w:type="dxa"/>
            <w:shd w:val="clear" w:color="auto" w:fill="auto"/>
            <w:vAlign w:val="center"/>
          </w:tcPr>
          <w:p w14:paraId="75DFA978" w14:textId="77777777" w:rsidR="000D1EA6" w:rsidRPr="00D1484A" w:rsidRDefault="000D1EA6" w:rsidP="002E3AAB">
            <w:pPr>
              <w:pStyle w:val="Tablebody"/>
              <w:spacing w:before="40" w:after="40"/>
            </w:pPr>
            <w:r w:rsidRPr="00132C1E">
              <w:t>Composite inverted pendulum</w:t>
            </w:r>
          </w:p>
        </w:tc>
        <w:tc>
          <w:tcPr>
            <w:tcW w:w="1088" w:type="dxa"/>
            <w:vAlign w:val="center"/>
          </w:tcPr>
          <w:p w14:paraId="20754A2C" w14:textId="77777777" w:rsidR="000D1EA6" w:rsidRPr="00D1484A" w:rsidRDefault="000D1EA6" w:rsidP="002E3AAB">
            <w:pPr>
              <w:pStyle w:val="Tablebody"/>
              <w:spacing w:before="40" w:after="40"/>
              <w:jc w:val="center"/>
            </w:pPr>
            <w:r w:rsidRPr="00D1484A">
              <w:t>2,5</w:t>
            </w:r>
          </w:p>
        </w:tc>
        <w:tc>
          <w:tcPr>
            <w:tcW w:w="1012" w:type="dxa"/>
            <w:vAlign w:val="center"/>
          </w:tcPr>
          <w:p w14:paraId="4EAB2AE9" w14:textId="77777777" w:rsidR="000D1EA6" w:rsidRPr="00FD17CF" w:rsidRDefault="000D1EA6" w:rsidP="002E3AAB">
            <w:pPr>
              <w:pStyle w:val="Tablebody"/>
              <w:spacing w:before="40" w:after="40"/>
              <w:jc w:val="center"/>
            </w:pPr>
            <w:r w:rsidRPr="007E6F67">
              <w:t>5,0</w:t>
            </w:r>
          </w:p>
        </w:tc>
        <w:tc>
          <w:tcPr>
            <w:tcW w:w="1166" w:type="dxa"/>
            <w:vAlign w:val="center"/>
          </w:tcPr>
          <w:p w14:paraId="179A1DF0" w14:textId="77777777" w:rsidR="000D1EA6" w:rsidRPr="00E05E29" w:rsidRDefault="000D1EA6" w:rsidP="002E3AAB">
            <w:pPr>
              <w:pStyle w:val="Tablebody"/>
              <w:spacing w:before="40" w:after="40"/>
              <w:jc w:val="center"/>
            </w:pPr>
            <w:r w:rsidRPr="00644C3D">
              <w:t>No limits</w:t>
            </w:r>
          </w:p>
        </w:tc>
      </w:tr>
      <w:tr w:rsidR="000D1EA6" w:rsidRPr="00132C1E" w14:paraId="49ED5AB3" w14:textId="77777777" w:rsidTr="00357B79">
        <w:trPr>
          <w:trHeight w:val="325"/>
          <w:jc w:val="center"/>
        </w:trPr>
        <w:tc>
          <w:tcPr>
            <w:tcW w:w="6542" w:type="dxa"/>
            <w:shd w:val="clear" w:color="auto" w:fill="auto"/>
            <w:vAlign w:val="center"/>
          </w:tcPr>
          <w:p w14:paraId="2B28A803" w14:textId="77777777" w:rsidR="000D1EA6" w:rsidRPr="00D1484A" w:rsidRDefault="000D1EA6" w:rsidP="002E3AAB">
            <w:pPr>
              <w:pStyle w:val="Tablebody"/>
              <w:spacing w:before="40" w:after="40"/>
            </w:pPr>
            <w:r w:rsidRPr="00132C1E">
              <w:t xml:space="preserve">Composite structural wall </w:t>
            </w:r>
            <w:r w:rsidRPr="00D1484A">
              <w:t>systems</w:t>
            </w:r>
          </w:p>
        </w:tc>
        <w:tc>
          <w:tcPr>
            <w:tcW w:w="1088" w:type="dxa"/>
            <w:vAlign w:val="center"/>
          </w:tcPr>
          <w:p w14:paraId="51C24B7D" w14:textId="77777777" w:rsidR="000D1EA6" w:rsidRPr="00FD17CF" w:rsidRDefault="000D1EA6" w:rsidP="002E3AAB">
            <w:pPr>
              <w:pStyle w:val="Tablebody"/>
              <w:spacing w:before="40" w:after="40"/>
              <w:jc w:val="center"/>
            </w:pPr>
            <w:r w:rsidRPr="007E6F67">
              <w:t>5,0</w:t>
            </w:r>
          </w:p>
        </w:tc>
        <w:tc>
          <w:tcPr>
            <w:tcW w:w="1012" w:type="dxa"/>
            <w:vAlign w:val="center"/>
          </w:tcPr>
          <w:p w14:paraId="25D6D06E" w14:textId="77777777" w:rsidR="000D1EA6" w:rsidRPr="00E05E29" w:rsidRDefault="000D1EA6" w:rsidP="002E3AAB">
            <w:pPr>
              <w:pStyle w:val="Tablebody"/>
              <w:spacing w:before="40" w:after="40"/>
              <w:jc w:val="center"/>
            </w:pPr>
            <w:r w:rsidRPr="00644C3D">
              <w:t>7,5</w:t>
            </w:r>
          </w:p>
        </w:tc>
        <w:tc>
          <w:tcPr>
            <w:tcW w:w="1166" w:type="dxa"/>
            <w:vAlign w:val="center"/>
          </w:tcPr>
          <w:p w14:paraId="3D06D385" w14:textId="77777777" w:rsidR="000D1EA6" w:rsidRPr="002144A0" w:rsidRDefault="000D1EA6" w:rsidP="002E3AAB">
            <w:pPr>
              <w:pStyle w:val="Tablebody"/>
              <w:spacing w:before="40" w:after="40"/>
              <w:jc w:val="center"/>
            </w:pPr>
            <w:r w:rsidRPr="00196951">
              <w:t>No limits</w:t>
            </w:r>
          </w:p>
        </w:tc>
      </w:tr>
    </w:tbl>
    <w:p w14:paraId="31BD6683" w14:textId="77777777" w:rsidR="000D1EA6" w:rsidRPr="00D1484A" w:rsidRDefault="000D1EA6" w:rsidP="000D1EA6">
      <w:pPr>
        <w:pStyle w:val="Heading2"/>
      </w:pPr>
      <w:bookmarkStart w:id="9988" w:name="_Toc1421765"/>
      <w:bookmarkStart w:id="9989" w:name="_Toc1547152"/>
      <w:bookmarkStart w:id="9990" w:name="_Toc1547346"/>
      <w:bookmarkStart w:id="9991" w:name="_Toc1421766"/>
      <w:bookmarkStart w:id="9992" w:name="_Toc1547153"/>
      <w:bookmarkStart w:id="9993" w:name="_Toc1547347"/>
      <w:bookmarkStart w:id="9994" w:name="_Toc522863568"/>
      <w:bookmarkStart w:id="9995" w:name="_Toc507843022"/>
      <w:bookmarkStart w:id="9996" w:name="_Toc507843023"/>
      <w:bookmarkStart w:id="9997" w:name="_Toc507843024"/>
      <w:bookmarkStart w:id="9998" w:name="_Toc507843025"/>
      <w:bookmarkStart w:id="9999" w:name="_Toc507843026"/>
      <w:bookmarkStart w:id="10000" w:name="_Toc507843027"/>
      <w:bookmarkStart w:id="10001" w:name="_Toc507843028"/>
      <w:bookmarkStart w:id="10002" w:name="_Toc507843029"/>
      <w:bookmarkStart w:id="10003" w:name="_Toc507843030"/>
      <w:bookmarkStart w:id="10004" w:name="_Toc507843031"/>
      <w:bookmarkStart w:id="10005" w:name="_Toc507843032"/>
      <w:bookmarkStart w:id="10006" w:name="_Toc507843033"/>
      <w:bookmarkStart w:id="10007" w:name="_Toc507843034"/>
      <w:bookmarkStart w:id="10008" w:name="_Toc507843035"/>
      <w:bookmarkStart w:id="10009" w:name="_Toc507843036"/>
      <w:bookmarkStart w:id="10010" w:name="_Toc507843037"/>
      <w:bookmarkStart w:id="10011" w:name="_Toc507843038"/>
      <w:bookmarkStart w:id="10012" w:name="_Toc507843039"/>
      <w:bookmarkStart w:id="10013" w:name="_Toc507843040"/>
      <w:bookmarkStart w:id="10014" w:name="_Toc507843041"/>
      <w:bookmarkStart w:id="10015" w:name="_Toc507843042"/>
      <w:bookmarkStart w:id="10016" w:name="_Toc507843043"/>
      <w:bookmarkStart w:id="10017" w:name="_Toc507843047"/>
      <w:bookmarkStart w:id="10018" w:name="_Toc507843075"/>
      <w:bookmarkStart w:id="10019" w:name="_Toc507843076"/>
      <w:bookmarkStart w:id="10020" w:name="_Toc507843077"/>
      <w:bookmarkStart w:id="10021" w:name="_Toc507843078"/>
      <w:bookmarkStart w:id="10022" w:name="_Toc507843079"/>
      <w:bookmarkStart w:id="10023" w:name="_Toc462812364"/>
      <w:bookmarkStart w:id="10024" w:name="_Toc483723262"/>
      <w:bookmarkStart w:id="10025" w:name="_Toc483723597"/>
      <w:bookmarkStart w:id="10026" w:name="_Toc484520911"/>
      <w:bookmarkStart w:id="10027" w:name="_Toc509405090"/>
      <w:bookmarkStart w:id="10028" w:name="_Toc76379901"/>
      <w:bookmarkStart w:id="10029" w:name="_Toc494124760"/>
      <w:bookmarkStart w:id="10030" w:name="_Toc17827807"/>
      <w:bookmarkStart w:id="10031" w:name="_Toc50150493"/>
      <w:bookmarkStart w:id="10032" w:name="_Toc70886925"/>
      <w:bookmarkStart w:id="10033" w:name="_Toc108342483"/>
      <w:bookmarkStart w:id="10034" w:name="_Toc134198015"/>
      <w:bookmarkEnd w:id="9988"/>
      <w:bookmarkEnd w:id="9989"/>
      <w:bookmarkEnd w:id="9990"/>
      <w:bookmarkEnd w:id="9991"/>
      <w:bookmarkEnd w:id="9992"/>
      <w:bookmarkEnd w:id="9993"/>
      <w:bookmarkEnd w:id="9994"/>
      <w:bookmarkEnd w:id="9995"/>
      <w:bookmarkEnd w:id="9996"/>
      <w:bookmarkEnd w:id="9997"/>
      <w:bookmarkEnd w:id="9998"/>
      <w:bookmarkEnd w:id="9999"/>
      <w:bookmarkEnd w:id="10000"/>
      <w:bookmarkEnd w:id="10001"/>
      <w:bookmarkEnd w:id="10002"/>
      <w:bookmarkEnd w:id="10003"/>
      <w:bookmarkEnd w:id="10004"/>
      <w:bookmarkEnd w:id="10005"/>
      <w:bookmarkEnd w:id="10006"/>
      <w:bookmarkEnd w:id="10007"/>
      <w:bookmarkEnd w:id="10008"/>
      <w:bookmarkEnd w:id="10009"/>
      <w:bookmarkEnd w:id="10010"/>
      <w:bookmarkEnd w:id="10011"/>
      <w:bookmarkEnd w:id="10012"/>
      <w:bookmarkEnd w:id="10013"/>
      <w:bookmarkEnd w:id="10014"/>
      <w:bookmarkEnd w:id="10015"/>
      <w:bookmarkEnd w:id="10016"/>
      <w:bookmarkEnd w:id="10017"/>
      <w:bookmarkEnd w:id="10018"/>
      <w:bookmarkEnd w:id="10019"/>
      <w:bookmarkEnd w:id="10020"/>
      <w:bookmarkEnd w:id="10021"/>
      <w:bookmarkEnd w:id="10022"/>
      <w:r w:rsidRPr="00132C1E">
        <w:t>Structural analysis</w:t>
      </w:r>
      <w:bookmarkEnd w:id="10023"/>
      <w:bookmarkEnd w:id="10024"/>
      <w:bookmarkEnd w:id="10025"/>
      <w:bookmarkEnd w:id="10026"/>
      <w:bookmarkEnd w:id="10027"/>
      <w:bookmarkEnd w:id="10028"/>
      <w:bookmarkEnd w:id="10029"/>
      <w:bookmarkEnd w:id="10030"/>
      <w:bookmarkEnd w:id="10031"/>
      <w:bookmarkEnd w:id="10032"/>
      <w:bookmarkEnd w:id="10033"/>
      <w:bookmarkEnd w:id="10034"/>
    </w:p>
    <w:p w14:paraId="4A126F21" w14:textId="77777777" w:rsidR="000D1EA6" w:rsidRPr="00D1484A" w:rsidRDefault="000D1EA6" w:rsidP="000D1EA6">
      <w:pPr>
        <w:pStyle w:val="Heading3"/>
      </w:pPr>
      <w:bookmarkStart w:id="10035" w:name="_Toc50150494"/>
      <w:bookmarkStart w:id="10036" w:name="_Toc70886926"/>
      <w:bookmarkStart w:id="10037" w:name="_Toc108342484"/>
      <w:bookmarkStart w:id="10038" w:name="_Toc134198016"/>
      <w:r w:rsidRPr="00D1484A">
        <w:t>General</w:t>
      </w:r>
      <w:bookmarkEnd w:id="10035"/>
      <w:bookmarkEnd w:id="10036"/>
      <w:bookmarkEnd w:id="10037"/>
      <w:bookmarkEnd w:id="10038"/>
    </w:p>
    <w:p w14:paraId="403E2007" w14:textId="568D0FF9" w:rsidR="000D1EA6" w:rsidRPr="00FE0D09" w:rsidRDefault="000D1EA6" w:rsidP="002E3AAB">
      <w:pPr>
        <w:pStyle w:val="Clause"/>
        <w:numPr>
          <w:ilvl w:val="0"/>
          <w:numId w:val="427"/>
        </w:numPr>
        <w:spacing w:before="160" w:after="160"/>
        <w:rPr>
          <w:bCs/>
        </w:rPr>
      </w:pPr>
      <w:r w:rsidRPr="00FE0D09">
        <w:rPr>
          <w:bCs/>
        </w:rPr>
        <w:t>11.5(1) should be applied.</w:t>
      </w:r>
    </w:p>
    <w:p w14:paraId="2A5F7A9F" w14:textId="389B5845" w:rsidR="000D1EA6" w:rsidRPr="00FE0D09" w:rsidRDefault="000D1EA6" w:rsidP="002E3AAB">
      <w:pPr>
        <w:pStyle w:val="Clause"/>
        <w:spacing w:before="160" w:after="160"/>
        <w:rPr>
          <w:bCs/>
        </w:rPr>
      </w:pPr>
      <w:r w:rsidRPr="00FE0D09">
        <w:rPr>
          <w:bCs/>
        </w:rPr>
        <w:t xml:space="preserve">In composite moment resisting frames designed with joints as those specified in Annex G, the </w:t>
      </w:r>
      <w:r w:rsidR="00E91A91" w:rsidRPr="00FE0D09">
        <w:rPr>
          <w:bCs/>
        </w:rPr>
        <w:t>composite</w:t>
      </w:r>
      <w:r w:rsidRPr="00FE0D09">
        <w:rPr>
          <w:bCs/>
        </w:rPr>
        <w:t xml:space="preserve"> joint deformations should be considered in the lateral deflection calculations.</w:t>
      </w:r>
    </w:p>
    <w:p w14:paraId="2BEFE394" w14:textId="215F0626" w:rsidR="000D1EA6" w:rsidRPr="00C52095" w:rsidRDefault="000D1EA6" w:rsidP="002E3AAB">
      <w:pPr>
        <w:pStyle w:val="Clause"/>
        <w:spacing w:before="160" w:after="160"/>
      </w:pPr>
      <w:r w:rsidRPr="002144A0">
        <w:t xml:space="preserve">In composite moment resisting frames designed </w:t>
      </w:r>
      <w:r w:rsidRPr="00682A29">
        <w:t>with dissipative partial</w:t>
      </w:r>
      <w:r w:rsidRPr="002144A0">
        <w:t>-strength connections, the joint deformations should be considered in the lateral deflection calculations.</w:t>
      </w:r>
    </w:p>
    <w:p w14:paraId="2CFA78FD" w14:textId="26D337AD" w:rsidR="000D1EA6" w:rsidRPr="007754C9" w:rsidRDefault="000D1EA6" w:rsidP="000D1EA6">
      <w:pPr>
        <w:pStyle w:val="Heading3"/>
      </w:pPr>
      <w:bookmarkStart w:id="10039" w:name="_Toc462812366"/>
      <w:bookmarkStart w:id="10040" w:name="_Toc483723264"/>
      <w:bookmarkStart w:id="10041" w:name="_Toc483723599"/>
      <w:bookmarkStart w:id="10042" w:name="_Toc484520913"/>
      <w:bookmarkStart w:id="10043" w:name="_Toc509405092"/>
      <w:bookmarkStart w:id="10044" w:name="_Toc76379903"/>
      <w:bookmarkStart w:id="10045" w:name="_Toc494124762"/>
      <w:bookmarkStart w:id="10046" w:name="_Toc17827808"/>
      <w:bookmarkStart w:id="10047" w:name="_Toc50150495"/>
      <w:bookmarkStart w:id="10048" w:name="_Toc70886927"/>
      <w:bookmarkStart w:id="10049" w:name="_Toc108342485"/>
      <w:bookmarkStart w:id="10050" w:name="_Toc134198017"/>
      <w:r w:rsidRPr="00C52095">
        <w:t>Stiffness of sections</w:t>
      </w:r>
      <w:bookmarkEnd w:id="10039"/>
      <w:bookmarkEnd w:id="10040"/>
      <w:bookmarkEnd w:id="10041"/>
      <w:bookmarkEnd w:id="10042"/>
      <w:bookmarkEnd w:id="10043"/>
      <w:bookmarkEnd w:id="10044"/>
      <w:bookmarkEnd w:id="10045"/>
      <w:bookmarkEnd w:id="10046"/>
      <w:bookmarkEnd w:id="10047"/>
      <w:bookmarkEnd w:id="10048"/>
      <w:bookmarkEnd w:id="10049"/>
      <w:bookmarkEnd w:id="10050"/>
    </w:p>
    <w:p w14:paraId="20003BAF" w14:textId="671E455D" w:rsidR="000D1EA6" w:rsidRPr="00E91A91" w:rsidRDefault="000D1EA6" w:rsidP="002E3AAB">
      <w:pPr>
        <w:pStyle w:val="Clause"/>
        <w:numPr>
          <w:ilvl w:val="0"/>
          <w:numId w:val="428"/>
        </w:numPr>
        <w:spacing w:before="160" w:after="160"/>
      </w:pPr>
      <w:r w:rsidRPr="00E91A91">
        <w:t xml:space="preserve">The stiffness of composite cross sections in which the concrete is in compression should be </w:t>
      </w:r>
      <w:r w:rsidRPr="00FE0D09">
        <w:t xml:space="preserve">calculated using the </w:t>
      </w:r>
      <w:bookmarkStart w:id="10051" w:name="_Hlk38815154"/>
      <w:r w:rsidRPr="00FE0D09">
        <w:t xml:space="preserve">modular ratio </w:t>
      </w:r>
      <w:r w:rsidRPr="00FE0D09">
        <w:rPr>
          <w:i/>
          <w:iCs/>
        </w:rPr>
        <w:t>n</w:t>
      </w:r>
      <w:r w:rsidRPr="00FE0D09">
        <w:rPr>
          <w:vertAlign w:val="subscript"/>
        </w:rPr>
        <w:t>0</w:t>
      </w:r>
      <w:r w:rsidRPr="00FE0D09">
        <w:t xml:space="preserve"> </w:t>
      </w:r>
      <w:bookmarkEnd w:id="10051"/>
      <w:r w:rsidRPr="00FE0D09">
        <w:t>in application for short duration loading according to prEN</w:t>
      </w:r>
      <w:r w:rsidR="00FE0D09" w:rsidRPr="00FE0D09">
        <w:t> </w:t>
      </w:r>
      <w:r w:rsidRPr="00FE0D09">
        <w:t>1994</w:t>
      </w:r>
      <w:r w:rsidR="0078003E">
        <w:noBreakHyphen/>
      </w:r>
      <w:r w:rsidRPr="00FE0D09">
        <w:t>1</w:t>
      </w:r>
      <w:r w:rsidR="0078003E">
        <w:noBreakHyphen/>
      </w:r>
      <w:r w:rsidRPr="00FE0D09">
        <w:t>1</w:t>
      </w:r>
      <w:r w:rsidR="000607AF">
        <w:t>:</w:t>
      </w:r>
      <w:r w:rsidR="0078003E">
        <w:t>—</w:t>
      </w:r>
      <w:r w:rsidR="000607AF">
        <w:t xml:space="preserve">, </w:t>
      </w:r>
      <w:r w:rsidRPr="00FE0D09">
        <w:t>5.4.2.2(2). In this case, Formula (12.1) should be applied</w:t>
      </w:r>
      <w:r w:rsidR="00FE0D09" w:rsidRPr="00FE0D09">
        <w:t>.</w:t>
      </w:r>
      <w:r w:rsidRPr="00FE0D09">
        <w:rPr>
          <w:rFonts w:eastAsiaTheme="minorHAnsi" w:cstheme="minorBidi"/>
        </w:rPr>
        <w:t xml:space="preserve"> </w:t>
      </w:r>
      <w:r w:rsidRPr="00FE0D09">
        <w:t xml:space="preserve">The stiffness of composite cross sections in which the concrete is in compression should be calculated using the modular ratio </w:t>
      </w:r>
      <w:r w:rsidRPr="00FE0D09">
        <w:rPr>
          <w:i/>
          <w:iCs/>
        </w:rPr>
        <w:t>n</w:t>
      </w:r>
      <w:r w:rsidRPr="00FE0D09">
        <w:rPr>
          <w:vertAlign w:val="subscript"/>
        </w:rPr>
        <w:t>0</w:t>
      </w:r>
      <w:r w:rsidRPr="00FE0D09">
        <w:t xml:space="preserve"> in application for short duration loading according to prEN</w:t>
      </w:r>
      <w:r w:rsidR="00FE0D09" w:rsidRPr="00FE0D09">
        <w:t> </w:t>
      </w:r>
      <w:r w:rsidRPr="00FE0D09">
        <w:t>1994-1-1</w:t>
      </w:r>
      <w:r w:rsidR="0078003E">
        <w:t>:—</w:t>
      </w:r>
      <w:r w:rsidRPr="00FE0D09">
        <w:t>, 7.4.2.2(2) or</w:t>
      </w:r>
      <w:r w:rsidRPr="00E91A91">
        <w:t xml:space="preserve"> according to Formula</w:t>
      </w:r>
      <w:r w:rsidR="002E3AAB">
        <w:t> </w:t>
      </w:r>
      <w:r w:rsidRPr="00E91A91">
        <w:t>(12.1).</w:t>
      </w:r>
    </w:p>
    <w:p w14:paraId="37089CF9" w14:textId="02BB4818" w:rsidR="00E91A91" w:rsidRDefault="009B5CEC" w:rsidP="002E3AAB">
      <w:pPr>
        <w:pStyle w:val="Formula"/>
        <w:spacing w:before="160" w:after="160"/>
      </w:pPr>
      <m:oMath>
        <m:sSub>
          <m:sSubPr>
            <m:ctrlPr>
              <w:rPr>
                <w:rFonts w:ascii="Cambria Math" w:hAnsi="Cambria Math"/>
              </w:rPr>
            </m:ctrlPr>
          </m:sSubPr>
          <m:e>
            <m:r>
              <w:rPr>
                <w:rFonts w:ascii="Cambria Math" w:hAnsi="Cambria Math"/>
              </w:rPr>
              <m:t>n</m:t>
            </m:r>
          </m:e>
          <m:sub>
            <m:r>
              <w:rPr>
                <w:rFonts w:ascii="Cambria Math" w:hAnsi="Cambria Math"/>
              </w:rPr>
              <m:t>0</m:t>
            </m:r>
          </m:sub>
        </m:sSub>
        <m:r>
          <w:rPr>
            <w:rFonts w:ascii="Cambria Math" w:hAnsi="Cambria Math"/>
          </w:rPr>
          <m:t>=</m:t>
        </m:r>
        <m:f>
          <m:fPr>
            <m:type m:val="lin"/>
            <m:ctrlPr>
              <w:rPr>
                <w:rFonts w:ascii="Cambria Math" w:hAnsi="Cambria Math"/>
              </w:rPr>
            </m:ctrlPr>
          </m:fPr>
          <m:num>
            <m:sSub>
              <m:sSubPr>
                <m:ctrlPr>
                  <w:rPr>
                    <w:rFonts w:ascii="Cambria Math" w:hAnsi="Cambria Math"/>
                  </w:rPr>
                </m:ctrlPr>
              </m:sSubPr>
              <m:e>
                <m:r>
                  <w:rPr>
                    <w:rFonts w:ascii="Cambria Math" w:hAnsi="Cambria Math"/>
                  </w:rPr>
                  <m:t>E</m:t>
                </m:r>
              </m:e>
              <m:sub>
                <m:r>
                  <m:rPr>
                    <m:sty m:val="p"/>
                  </m:rPr>
                  <w:rPr>
                    <w:rFonts w:ascii="Cambria Math" w:hAnsi="Cambria Math"/>
                  </w:rPr>
                  <m:t>a</m:t>
                </m:r>
              </m:sub>
            </m:sSub>
          </m:num>
          <m:den>
            <m:sSub>
              <m:sSubPr>
                <m:ctrlPr>
                  <w:rPr>
                    <w:rFonts w:ascii="Cambria Math" w:hAnsi="Cambria Math"/>
                  </w:rPr>
                </m:ctrlPr>
              </m:sSubPr>
              <m:e>
                <m:r>
                  <w:rPr>
                    <w:rFonts w:ascii="Cambria Math" w:hAnsi="Cambria Math"/>
                  </w:rPr>
                  <m:t>E</m:t>
                </m:r>
              </m:e>
              <m:sub>
                <m:r>
                  <m:rPr>
                    <m:sty m:val="p"/>
                  </m:rPr>
                  <w:rPr>
                    <w:rFonts w:ascii="Cambria Math" w:hAnsi="Cambria Math"/>
                  </w:rPr>
                  <m:t>cm</m:t>
                </m:r>
              </m:sub>
            </m:sSub>
          </m:den>
        </m:f>
        <m:r>
          <w:rPr>
            <w:rFonts w:ascii="Cambria Math" w:hAnsi="Cambria Math"/>
          </w:rPr>
          <m:t xml:space="preserve">=7 </m:t>
        </m:r>
      </m:oMath>
      <w:r w:rsidR="00E91A91" w:rsidRPr="00870D59">
        <w:tab/>
        <w:t>(1</w:t>
      </w:r>
      <w:r w:rsidR="00E91A91">
        <w:t>2</w:t>
      </w:r>
      <w:r w:rsidR="00E91A91" w:rsidRPr="00870D59">
        <w:t>.</w:t>
      </w:r>
      <w:r w:rsidR="00E91A91">
        <w:t>1</w:t>
      </w:r>
      <w:r w:rsidR="00E91A91" w:rsidRPr="00870D59">
        <w:t>)</w:t>
      </w:r>
    </w:p>
    <w:p w14:paraId="44C1CDB8" w14:textId="5430ADF7" w:rsidR="00E91A91" w:rsidRPr="00ED6630" w:rsidRDefault="00E91A91" w:rsidP="002E3AAB">
      <w:pPr>
        <w:pStyle w:val="Clause"/>
        <w:spacing w:before="160" w:after="160"/>
      </w:pPr>
      <w:r w:rsidRPr="00ED6630">
        <w:t xml:space="preserve">For composite steel beams under positive bending, the second moment of area of the cross section, </w:t>
      </w:r>
      <m:oMath>
        <m:sSub>
          <m:sSubPr>
            <m:ctrlPr>
              <w:rPr>
                <w:rFonts w:ascii="Cambria Math" w:hAnsi="Cambria Math"/>
                <w:i/>
                <w:iCs/>
              </w:rPr>
            </m:ctrlPr>
          </m:sSubPr>
          <m:e>
            <m:r>
              <w:rPr>
                <w:rFonts w:ascii="Cambria Math" w:hAnsi="Cambria Math"/>
              </w:rPr>
              <m:t>I</m:t>
            </m:r>
          </m:e>
          <m:sub>
            <m:r>
              <w:rPr>
                <w:rFonts w:ascii="Cambria Math" w:hAnsi="Cambria Math"/>
                <w:vertAlign w:val="subscript"/>
              </w:rPr>
              <m:t>1</m:t>
            </m:r>
          </m:sub>
        </m:sSub>
      </m:oMath>
      <w:r w:rsidRPr="00ED6630">
        <w:t xml:space="preserve">, should be calculated based on the effective width of the slab according </w:t>
      </w:r>
      <w:r w:rsidRPr="00506759">
        <w:t>to prEN</w:t>
      </w:r>
      <w:r w:rsidR="00FE0D09">
        <w:t> </w:t>
      </w:r>
      <w:r w:rsidRPr="00506759">
        <w:t>1994-1-1</w:t>
      </w:r>
      <w:r w:rsidR="000607AF">
        <w:t>:</w:t>
      </w:r>
      <w:r w:rsidR="0078003E">
        <w:t>—</w:t>
      </w:r>
      <w:r w:rsidR="00F76B2E" w:rsidRPr="00FE0D09">
        <w:t>, 7.</w:t>
      </w:r>
      <w:r w:rsidR="00F76B2E" w:rsidRPr="00357B79">
        <w:rPr>
          <w:bCs/>
        </w:rPr>
        <w:t>4.1.2</w:t>
      </w:r>
      <w:r w:rsidRPr="00ED6630">
        <w:t>.</w:t>
      </w:r>
    </w:p>
    <w:p w14:paraId="59FDE47C" w14:textId="6DAAD799" w:rsidR="00E91A91" w:rsidRPr="00E05E29" w:rsidRDefault="00E91A91" w:rsidP="002E3AAB">
      <w:pPr>
        <w:pStyle w:val="Clause"/>
        <w:spacing w:before="160" w:after="160"/>
      </w:pPr>
      <w:r w:rsidRPr="00644C3D">
        <w:t xml:space="preserve">The stiffness of composite </w:t>
      </w:r>
      <w:r w:rsidRPr="00E05E29">
        <w:t>beam cross sections in which the concrete is in tension should be calculated by assuming that the concrete is cracked and that only the steel portion of the cross section is active. The contribution of the longitudinal steel reinforcement may be considered.</w:t>
      </w:r>
    </w:p>
    <w:p w14:paraId="7C333E50" w14:textId="4E1DF11B" w:rsidR="00E91A91" w:rsidRPr="00E05E29" w:rsidRDefault="00E91A91" w:rsidP="002E3AAB">
      <w:pPr>
        <w:pStyle w:val="Clause"/>
        <w:spacing w:before="160" w:after="160"/>
      </w:pPr>
      <w:r w:rsidRPr="00E05E29">
        <w:t xml:space="preserve">The structural model should take into account that concrete is in compression in some zones and in tension in other zones. </w:t>
      </w:r>
    </w:p>
    <w:p w14:paraId="54EA7806" w14:textId="2B001DBB" w:rsidR="00E91A91" w:rsidRPr="00FE0D09" w:rsidRDefault="00E91A91" w:rsidP="002E3AAB">
      <w:pPr>
        <w:pStyle w:val="Notetext"/>
        <w:spacing w:before="160" w:after="160"/>
      </w:pPr>
      <w:r w:rsidRPr="00E05E29">
        <w:t>NOTE</w:t>
      </w:r>
      <w:r w:rsidRPr="00E05E29">
        <w:tab/>
        <w:t xml:space="preserve">These zones are </w:t>
      </w:r>
      <w:r w:rsidRPr="00506759">
        <w:t xml:space="preserve">defined </w:t>
      </w:r>
      <w:r w:rsidRPr="00FE0D09">
        <w:t>in 12.9 to 12.1</w:t>
      </w:r>
      <w:bookmarkStart w:id="10052" w:name="_Toc462812369"/>
      <w:r w:rsidRPr="00FE0D09">
        <w:t>4.</w:t>
      </w:r>
    </w:p>
    <w:p w14:paraId="420B6CD9" w14:textId="222C92BE" w:rsidR="00E91A91" w:rsidRPr="00FE0D09" w:rsidRDefault="00E91A91" w:rsidP="002E3AAB">
      <w:pPr>
        <w:pStyle w:val="Clause"/>
        <w:spacing w:before="160" w:after="160"/>
      </w:pPr>
      <w:r w:rsidRPr="00FE0D09">
        <w:t xml:space="preserve">For stiffness calculations, the total effective width </w:t>
      </w:r>
      <m:oMath>
        <m:sSub>
          <m:sSubPr>
            <m:ctrlPr>
              <w:rPr>
                <w:rFonts w:ascii="Cambria Math" w:hAnsi="Cambria Math"/>
                <w:i/>
              </w:rPr>
            </m:ctrlPr>
          </m:sSubPr>
          <m:e>
            <m:r>
              <w:rPr>
                <w:rFonts w:ascii="Cambria Math" w:hAnsi="Cambria Math"/>
              </w:rPr>
              <m:t>b</m:t>
            </m:r>
          </m:e>
          <m:sub>
            <m:r>
              <m:rPr>
                <m:sty m:val="p"/>
              </m:rPr>
              <w:rPr>
                <w:rFonts w:ascii="Cambria Math" w:hAnsi="Cambria Math"/>
                <w:vertAlign w:val="subscript"/>
              </w:rPr>
              <m:t>eff</m:t>
            </m:r>
          </m:sub>
        </m:sSub>
      </m:oMath>
      <w:r w:rsidRPr="00FE0D09">
        <w:t xml:space="preserve"> of the concrete flange associated with each steel beam web should be taken as the sum of the partial effective widths </w:t>
      </w:r>
      <w:r w:rsidRPr="00FE0D09">
        <w:rPr>
          <w:i/>
          <w:iCs/>
        </w:rPr>
        <w:t>b</w:t>
      </w:r>
      <w:r w:rsidRPr="00FE0D09">
        <w:rPr>
          <w:vertAlign w:val="subscript"/>
        </w:rPr>
        <w:t>e1</w:t>
      </w:r>
      <w:r w:rsidRPr="00FE0D09">
        <w:t xml:space="preserve"> and </w:t>
      </w:r>
      <w:r w:rsidRPr="00FE0D09">
        <w:rPr>
          <w:i/>
          <w:iCs/>
        </w:rPr>
        <w:t>b</w:t>
      </w:r>
      <w:r w:rsidRPr="00FE0D09">
        <w:rPr>
          <w:vertAlign w:val="subscript"/>
        </w:rPr>
        <w:t>e2</w:t>
      </w:r>
      <w:r w:rsidRPr="00FE0D09">
        <w:t xml:space="preserve"> from each side of the steel beam web (see Figure 12.2) and should be calculated according to prEN</w:t>
      </w:r>
      <w:r w:rsidR="00FE0D09">
        <w:t> </w:t>
      </w:r>
      <w:r w:rsidRPr="00FE0D09">
        <w:t>1994-1-1</w:t>
      </w:r>
      <w:r w:rsidR="000607AF">
        <w:t>:</w:t>
      </w:r>
      <w:r w:rsidR="0078003E">
        <w:t>—</w:t>
      </w:r>
      <w:r w:rsidRPr="00FE0D09">
        <w:t>,</w:t>
      </w:r>
      <w:r w:rsidR="00F76B2E" w:rsidRPr="00FE0D09">
        <w:t xml:space="preserve"> 7.4.1.2</w:t>
      </w:r>
      <w:r w:rsidRPr="00FE0D09">
        <w:t xml:space="preserve">; </w:t>
      </w:r>
      <w:r w:rsidRPr="00FE0D09">
        <w:rPr>
          <w:i/>
          <w:iCs/>
        </w:rPr>
        <w:t>b</w:t>
      </w:r>
      <w:r w:rsidRPr="00FE0D09">
        <w:rPr>
          <w:vertAlign w:val="subscript"/>
        </w:rPr>
        <w:t>eff</w:t>
      </w:r>
      <w:r w:rsidRPr="00FE0D09">
        <w:t xml:space="preserve"> should not be greater than the actual available widths </w:t>
      </w:r>
      <w:r w:rsidRPr="00FE0D09">
        <w:rPr>
          <w:i/>
          <w:iCs/>
        </w:rPr>
        <w:t>b</w:t>
      </w:r>
      <w:r w:rsidRPr="00FE0D09">
        <w:rPr>
          <w:vertAlign w:val="subscript"/>
        </w:rPr>
        <w:t>1</w:t>
      </w:r>
      <w:r w:rsidRPr="00FE0D09">
        <w:t xml:space="preserve"> and </w:t>
      </w:r>
      <w:r w:rsidRPr="00FE0D09">
        <w:rPr>
          <w:i/>
          <w:iCs/>
        </w:rPr>
        <w:t>b</w:t>
      </w:r>
      <w:r w:rsidRPr="00FE0D09">
        <w:rPr>
          <w:vertAlign w:val="subscript"/>
        </w:rPr>
        <w:t>2</w:t>
      </w:r>
      <w:r w:rsidRPr="00FE0D09">
        <w:t xml:space="preserve"> defined in (6).</w:t>
      </w:r>
    </w:p>
    <w:p w14:paraId="4B5BA589" w14:textId="5966903B" w:rsidR="00E91A91" w:rsidRPr="00132C1E" w:rsidRDefault="00D54994" w:rsidP="002E3AAB">
      <w:pPr>
        <w:pStyle w:val="FigureImage"/>
        <w:keepNext w:val="0"/>
      </w:pPr>
      <w:r>
        <w:rPr>
          <w:noProof/>
        </w:rPr>
        <w:lastRenderedPageBreak/>
        <w:drawing>
          <wp:inline distT="0" distB="0" distL="0" distR="0" wp14:anchorId="4EB8035F" wp14:editId="5E2BCFC6">
            <wp:extent cx="2880365" cy="1257302"/>
            <wp:effectExtent l="0" t="0" r="0" b="0"/>
            <wp:docPr id="1661690629" name="0040.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1690629" name="0040.tiff"/>
                    <pic:cNvPicPr/>
                  </pic:nvPicPr>
                  <pic:blipFill>
                    <a:blip r:link="rId55"/>
                    <a:stretch>
                      <a:fillRect/>
                    </a:stretch>
                  </pic:blipFill>
                  <pic:spPr>
                    <a:xfrm>
                      <a:off x="0" y="0"/>
                      <a:ext cx="2880365" cy="1257302"/>
                    </a:xfrm>
                    <a:prstGeom prst="rect">
                      <a:avLst/>
                    </a:prstGeom>
                  </pic:spPr>
                </pic:pic>
              </a:graphicData>
            </a:graphic>
          </wp:inline>
        </w:drawing>
      </w:r>
    </w:p>
    <w:p w14:paraId="15EA5768" w14:textId="79E75620" w:rsidR="00E91A91" w:rsidRPr="00644C3D" w:rsidRDefault="00E91A91" w:rsidP="00506759">
      <w:pPr>
        <w:pStyle w:val="Figuretitle"/>
        <w:rPr>
          <w:bCs/>
        </w:rPr>
      </w:pPr>
      <w:bookmarkStart w:id="10053" w:name="_Ref18489757"/>
      <w:r w:rsidRPr="00D1484A">
        <w:t xml:space="preserve">Figure </w:t>
      </w:r>
      <w:r w:rsidR="00506759">
        <w:t>12.2</w:t>
      </w:r>
      <w:bookmarkEnd w:id="10053"/>
      <w:r w:rsidRPr="00132C1E">
        <w:t> </w:t>
      </w:r>
      <w:r w:rsidRPr="00D1484A">
        <w:rPr>
          <w:rFonts w:ascii="`ÃÍœ˛" w:eastAsia="Cambria" w:hAnsi="`ÃÍœ˛" w:cs="`ÃÍœ˛"/>
          <w:szCs w:val="22"/>
          <w:lang w:eastAsia="de-DE"/>
        </w:rPr>
        <w:t>—</w:t>
      </w:r>
      <w:r w:rsidRPr="00D1484A">
        <w:t xml:space="preserve"> Definition of effective width </w:t>
      </w:r>
      <w:r w:rsidRPr="00D1484A">
        <w:rPr>
          <w:i/>
          <w:iCs/>
        </w:rPr>
        <w:t>b</w:t>
      </w:r>
      <w:r w:rsidRPr="007E6F67">
        <w:rPr>
          <w:vertAlign w:val="subscript"/>
        </w:rPr>
        <w:t>e</w:t>
      </w:r>
      <w:r w:rsidRPr="00FD17CF">
        <w:t xml:space="preserve"> and </w:t>
      </w:r>
      <w:r w:rsidRPr="00FD17CF">
        <w:rPr>
          <w:i/>
        </w:rPr>
        <w:t>b</w:t>
      </w:r>
      <w:r w:rsidRPr="00FD17CF">
        <w:rPr>
          <w:vertAlign w:val="subscript"/>
        </w:rPr>
        <w:t>eff</w:t>
      </w:r>
    </w:p>
    <w:p w14:paraId="5A27F411" w14:textId="25029AF9" w:rsidR="00E91A91" w:rsidRPr="004F74EA" w:rsidRDefault="00E91A91" w:rsidP="00724E4E">
      <w:pPr>
        <w:pStyle w:val="Clause"/>
        <w:rPr>
          <w:rFonts w:eastAsia="Cambria"/>
        </w:rPr>
      </w:pPr>
      <w:r w:rsidRPr="00644C3D">
        <w:t xml:space="preserve">The actual width, </w:t>
      </w:r>
      <w:r w:rsidRPr="004F74EA">
        <w:rPr>
          <w:rFonts w:eastAsia="Cambria"/>
          <w:i/>
          <w:iCs/>
        </w:rPr>
        <w:t>b</w:t>
      </w:r>
      <w:r w:rsidRPr="004F74EA">
        <w:rPr>
          <w:rFonts w:eastAsia="Cambria"/>
          <w:vertAlign w:val="subscript"/>
        </w:rPr>
        <w:t>1</w:t>
      </w:r>
      <w:r w:rsidRPr="004F74EA">
        <w:rPr>
          <w:rFonts w:eastAsia="Cambria"/>
        </w:rPr>
        <w:t xml:space="preserve"> or </w:t>
      </w:r>
      <w:r w:rsidRPr="004F74EA">
        <w:rPr>
          <w:rFonts w:eastAsia="Cambria"/>
          <w:i/>
          <w:iCs/>
        </w:rPr>
        <w:t>b</w:t>
      </w:r>
      <w:r w:rsidRPr="004F74EA">
        <w:rPr>
          <w:rFonts w:eastAsia="Cambria"/>
          <w:vertAlign w:val="subscript"/>
        </w:rPr>
        <w:t>2</w:t>
      </w:r>
      <w:r w:rsidRPr="004F74EA">
        <w:rPr>
          <w:rFonts w:eastAsia="Cambria"/>
        </w:rPr>
        <w:t xml:space="preserve"> </w:t>
      </w:r>
      <w:r w:rsidRPr="00E05E29">
        <w:t>from each side of the steel web should be taken as half the distance from the web to the adjacent web; at a free edge, the actual width should be the distance from the web to the free edge</w:t>
      </w:r>
      <w:r w:rsidRPr="00506759">
        <w:t>.</w:t>
      </w:r>
    </w:p>
    <w:p w14:paraId="49CB0E5C" w14:textId="77777777" w:rsidR="00E91A91" w:rsidRPr="00506759" w:rsidRDefault="00E91A91" w:rsidP="00506759">
      <w:pPr>
        <w:pStyle w:val="Heading2"/>
      </w:pPr>
      <w:bookmarkStart w:id="10054" w:name="_Toc17827810"/>
      <w:bookmarkStart w:id="10055" w:name="_Toc50150496"/>
      <w:bookmarkStart w:id="10056" w:name="_Toc70886928"/>
      <w:bookmarkStart w:id="10057" w:name="_Toc108342486"/>
      <w:bookmarkStart w:id="10058" w:name="_Toc134198018"/>
      <w:r w:rsidRPr="00506759">
        <w:t>Verification to limit states</w:t>
      </w:r>
      <w:bookmarkEnd w:id="10054"/>
      <w:bookmarkEnd w:id="10055"/>
      <w:bookmarkEnd w:id="10056"/>
      <w:bookmarkEnd w:id="10057"/>
      <w:bookmarkEnd w:id="10058"/>
    </w:p>
    <w:p w14:paraId="0DF2C5A1" w14:textId="77777777" w:rsidR="00E91A91" w:rsidRPr="00506759" w:rsidRDefault="00E91A91" w:rsidP="00506759">
      <w:pPr>
        <w:pStyle w:val="Heading3"/>
      </w:pPr>
      <w:bookmarkStart w:id="10059" w:name="_Toc17827811"/>
      <w:bookmarkStart w:id="10060" w:name="_Toc50150497"/>
      <w:bookmarkStart w:id="10061" w:name="_Toc70886929"/>
      <w:bookmarkStart w:id="10062" w:name="_Toc108342487"/>
      <w:bookmarkStart w:id="10063" w:name="_Toc134198019"/>
      <w:r w:rsidRPr="00506759">
        <w:t>General</w:t>
      </w:r>
      <w:bookmarkEnd w:id="10059"/>
      <w:bookmarkEnd w:id="10060"/>
      <w:bookmarkEnd w:id="10061"/>
      <w:bookmarkEnd w:id="10062"/>
      <w:bookmarkEnd w:id="10063"/>
    </w:p>
    <w:p w14:paraId="35945BAD" w14:textId="0774E5D5" w:rsidR="00E91A91" w:rsidRPr="00E05E29" w:rsidRDefault="00E91A91" w:rsidP="0080187E">
      <w:pPr>
        <w:pStyle w:val="Clause"/>
        <w:numPr>
          <w:ilvl w:val="0"/>
          <w:numId w:val="429"/>
        </w:numPr>
      </w:pPr>
      <w:r w:rsidRPr="00E05E29">
        <w:t xml:space="preserve">The verification of structural members to limit states should </w:t>
      </w:r>
      <w:r w:rsidRPr="00FE0D09">
        <w:t>comply with 6.1, 6.2 and 6.3.</w:t>
      </w:r>
    </w:p>
    <w:p w14:paraId="178DB971" w14:textId="77777777" w:rsidR="00E91A91" w:rsidRPr="00506759" w:rsidRDefault="00E91A91" w:rsidP="00506759">
      <w:pPr>
        <w:pStyle w:val="Heading3"/>
      </w:pPr>
      <w:bookmarkStart w:id="10064" w:name="_Toc17827812"/>
      <w:bookmarkStart w:id="10065" w:name="_Toc50150498"/>
      <w:bookmarkStart w:id="10066" w:name="_Toc70886930"/>
      <w:bookmarkStart w:id="10067" w:name="_Toc108342488"/>
      <w:bookmarkStart w:id="10068" w:name="_Toc134198020"/>
      <w:bookmarkStart w:id="10069" w:name="_Hlk90738266"/>
      <w:r w:rsidRPr="00506759">
        <w:t>Verifications at Significant Damage limit state</w:t>
      </w:r>
      <w:bookmarkEnd w:id="10064"/>
      <w:bookmarkEnd w:id="10065"/>
      <w:bookmarkEnd w:id="10066"/>
      <w:r w:rsidRPr="00506759">
        <w:t xml:space="preserve"> in a force-based approach</w:t>
      </w:r>
      <w:bookmarkEnd w:id="10067"/>
      <w:bookmarkEnd w:id="10068"/>
    </w:p>
    <w:bookmarkEnd w:id="10069"/>
    <w:p w14:paraId="330FE35E" w14:textId="5442AB8C" w:rsidR="00E91A91" w:rsidRPr="00ED6630" w:rsidRDefault="00E91A91" w:rsidP="0080187E">
      <w:pPr>
        <w:pStyle w:val="Clause"/>
        <w:numPr>
          <w:ilvl w:val="0"/>
          <w:numId w:val="430"/>
        </w:numPr>
      </w:pPr>
      <w:r w:rsidRPr="00E05E29">
        <w:t xml:space="preserve">The resistance of structural members and connections at Significant Damage should be verified </w:t>
      </w:r>
      <w:r w:rsidRPr="00506759">
        <w:t xml:space="preserve">using </w:t>
      </w:r>
      <w:r w:rsidR="00867476">
        <w:t>EN 1993-1-1</w:t>
      </w:r>
      <w:r w:rsidRPr="00506759">
        <w:t xml:space="preserve">, </w:t>
      </w:r>
      <w:r w:rsidR="006C5EA3">
        <w:t>pr</w:t>
      </w:r>
      <w:r w:rsidRPr="00506759">
        <w:t>EN</w:t>
      </w:r>
      <w:r w:rsidR="00FE0D09">
        <w:t> </w:t>
      </w:r>
      <w:r w:rsidRPr="00506759">
        <w:t xml:space="preserve">1993-1-8 and </w:t>
      </w:r>
      <w:r w:rsidR="006C5EA3">
        <w:t>pr</w:t>
      </w:r>
      <w:r w:rsidRPr="00506759">
        <w:t>EN</w:t>
      </w:r>
      <w:r w:rsidR="00FE0D09">
        <w:t> </w:t>
      </w:r>
      <w:r w:rsidRPr="00506759">
        <w:t>1994-1-1</w:t>
      </w:r>
      <w:r w:rsidRPr="00ED6630">
        <w:t>.</w:t>
      </w:r>
    </w:p>
    <w:p w14:paraId="03925349" w14:textId="77777777" w:rsidR="00E91A91" w:rsidRPr="00506759" w:rsidRDefault="00E91A91" w:rsidP="00506759">
      <w:pPr>
        <w:pStyle w:val="Heading3"/>
      </w:pPr>
      <w:bookmarkStart w:id="10070" w:name="_Toc108342489"/>
      <w:bookmarkStart w:id="10071" w:name="_Toc134198021"/>
      <w:r w:rsidRPr="00506759">
        <w:t>Verifications at Significant Damage limit state in a displacement-based approach</w:t>
      </w:r>
      <w:bookmarkEnd w:id="10070"/>
      <w:bookmarkEnd w:id="10071"/>
    </w:p>
    <w:p w14:paraId="1F91CB99" w14:textId="39B6E0C3" w:rsidR="00E91A91" w:rsidRPr="00FE0D09" w:rsidRDefault="00E91A91" w:rsidP="0080187E">
      <w:pPr>
        <w:pStyle w:val="Clause"/>
        <w:numPr>
          <w:ilvl w:val="0"/>
          <w:numId w:val="431"/>
        </w:numPr>
      </w:pPr>
      <w:r w:rsidRPr="00132C1E">
        <w:t>Resistance of ductile mechanisms should be verified to SD and NC in terms of local general</w:t>
      </w:r>
      <w:r w:rsidR="00E10A24">
        <w:t>ize</w:t>
      </w:r>
      <w:r w:rsidRPr="00132C1E">
        <w:t xml:space="preserve">d deformations </w:t>
      </w:r>
      <m:oMath>
        <m:r>
          <w:rPr>
            <w:rFonts w:ascii="Cambria Math" w:hAnsi="Cambria Math"/>
          </w:rPr>
          <m:t>θ</m:t>
        </m:r>
      </m:oMath>
      <w:r w:rsidRPr="00132C1E">
        <w:t xml:space="preserve">, according to case a) of </w:t>
      </w:r>
      <w:r>
        <w:t>prEN</w:t>
      </w:r>
      <w:r w:rsidR="00FE0D09">
        <w:t> </w:t>
      </w:r>
      <w:r w:rsidRPr="00FE0D09">
        <w:t>1998-1-1:2022, 6.7.1(2).</w:t>
      </w:r>
    </w:p>
    <w:p w14:paraId="373C6946" w14:textId="266820A4" w:rsidR="00E91A91" w:rsidRPr="00FE0D09" w:rsidRDefault="00E91A91" w:rsidP="00724E4E">
      <w:pPr>
        <w:pStyle w:val="Clause"/>
      </w:pPr>
      <w:r w:rsidRPr="00FE0D09">
        <w:t>For members following the design rules to this standard, deformation criteria should be taken as in prEN</w:t>
      </w:r>
      <w:r w:rsidR="00FE0D09" w:rsidRPr="00FE0D09">
        <w:t> </w:t>
      </w:r>
      <w:r w:rsidRPr="00FE0D09">
        <w:t>1998-1-1:2022, 6.7.1(3)a).</w:t>
      </w:r>
    </w:p>
    <w:p w14:paraId="239F8137" w14:textId="54F02AD3" w:rsidR="00E91A91" w:rsidRPr="00FE0D09" w:rsidRDefault="00E91A91" w:rsidP="00724E4E">
      <w:pPr>
        <w:pStyle w:val="Clause"/>
      </w:pPr>
      <w:r w:rsidRPr="00FE0D09">
        <w:t xml:space="preserve">For members following the design rules in this </w:t>
      </w:r>
      <w:r w:rsidRPr="0003043B">
        <w:rPr>
          <w:color w:val="auto"/>
        </w:rPr>
        <w:t xml:space="preserve">standard, </w:t>
      </w:r>
      <w:r w:rsidR="0003043B" w:rsidRPr="0003043B">
        <w:rPr>
          <w:color w:val="auto"/>
        </w:rPr>
        <w:t xml:space="preserve">total logarithmic standard deviation of the resistance model </w:t>
      </w:r>
      <w:r w:rsidRPr="0003043B">
        <w:rPr>
          <w:color w:val="auto"/>
        </w:rPr>
        <w:t xml:space="preserve">required to calculate the </w:t>
      </w:r>
      <w:r w:rsidRPr="00FE0D09">
        <w:t>partial factors for the verification to SD</w:t>
      </w:r>
      <w:r w:rsidR="0003043B">
        <w:t xml:space="preserve"> and NC</w:t>
      </w:r>
      <w:r w:rsidRPr="00FE0D09">
        <w:t xml:space="preserve"> (see prEN</w:t>
      </w:r>
      <w:r w:rsidR="00FE0D09" w:rsidRPr="00FE0D09">
        <w:t> </w:t>
      </w:r>
      <w:r w:rsidRPr="00FE0D09">
        <w:t>1998-1-1:2022, 6.7.2</w:t>
      </w:r>
      <w:r w:rsidR="0003043B">
        <w:t xml:space="preserve"> and 6.7.3</w:t>
      </w:r>
      <w:r w:rsidRPr="00FE0D09">
        <w:t xml:space="preserve">) according to </w:t>
      </w:r>
      <w:r w:rsidR="00FE0D09" w:rsidRPr="00FE0D09">
        <w:t>6.2.3(3)</w:t>
      </w:r>
      <w:r w:rsidRPr="00FE0D09">
        <w:t xml:space="preserve"> should be taken as given in Table 11.4 and Table 11.5.</w:t>
      </w:r>
    </w:p>
    <w:p w14:paraId="392CEC34" w14:textId="77777777" w:rsidR="00E91A91" w:rsidRPr="00506759" w:rsidRDefault="00E91A91" w:rsidP="00506759">
      <w:pPr>
        <w:pStyle w:val="Heading3"/>
      </w:pPr>
      <w:bookmarkStart w:id="10072" w:name="_Toc17827813"/>
      <w:bookmarkStart w:id="10073" w:name="_Toc50150499"/>
      <w:bookmarkStart w:id="10074" w:name="_Toc70886931"/>
      <w:bookmarkStart w:id="10075" w:name="_Toc108342490"/>
      <w:bookmarkStart w:id="10076" w:name="_Toc134198022"/>
      <w:r w:rsidRPr="00506759">
        <w:t>Limitation of interstorey drift at Significant Damage limit state</w:t>
      </w:r>
      <w:bookmarkEnd w:id="10072"/>
      <w:bookmarkEnd w:id="10073"/>
      <w:bookmarkEnd w:id="10074"/>
      <w:bookmarkEnd w:id="10075"/>
      <w:bookmarkEnd w:id="10076"/>
    </w:p>
    <w:p w14:paraId="0B6E5CD6" w14:textId="57512CCC" w:rsidR="00E91A91" w:rsidRPr="00E05E29" w:rsidRDefault="00E91A91" w:rsidP="00FE71E5">
      <w:pPr>
        <w:pStyle w:val="Clause"/>
        <w:numPr>
          <w:ilvl w:val="0"/>
          <w:numId w:val="432"/>
        </w:numPr>
        <w:spacing w:after="160"/>
      </w:pPr>
      <w:r w:rsidRPr="00E05E29">
        <w:t>The interstorey drift at SD limit state of composite steel-concrete buildings should be limited to:</w:t>
      </w:r>
    </w:p>
    <w:p w14:paraId="23EC3E55" w14:textId="77D60F9F" w:rsidR="00E91A91" w:rsidRPr="00852942" w:rsidRDefault="009B5CEC" w:rsidP="00FE71E5">
      <w:pPr>
        <w:pStyle w:val="Text"/>
        <w:numPr>
          <w:ilvl w:val="0"/>
          <w:numId w:val="654"/>
        </w:numPr>
        <w:spacing w:after="160"/>
        <w:rPr>
          <w:rFonts w:eastAsia="Cambria" w:cs="Cambria-Italic"/>
          <w:lang w:eastAsia="de-DE"/>
        </w:rPr>
      </w:pPr>
      <m:oMath>
        <m:sSub>
          <m:sSubPr>
            <m:ctrlPr>
              <w:rPr>
                <w:rFonts w:ascii="Cambria Math" w:hAnsi="Cambria Math"/>
                <w:i/>
              </w:rPr>
            </m:ctrlPr>
          </m:sSubPr>
          <m:e>
            <m:r>
              <w:rPr>
                <w:rFonts w:ascii="Cambria Math" w:hAnsi="Cambria Math"/>
              </w:rPr>
              <m:t>d</m:t>
            </m:r>
          </m:e>
          <m:sub>
            <m:r>
              <m:rPr>
                <m:sty m:val="p"/>
              </m:rPr>
              <w:rPr>
                <w:rFonts w:ascii="Cambria Math" w:hAnsi="Cambria Math"/>
              </w:rPr>
              <m:t>r,SD</m:t>
            </m:r>
          </m:sub>
        </m:sSub>
        <m:r>
          <m:rPr>
            <m:sty m:val="p"/>
          </m:rPr>
          <w:rPr>
            <w:rFonts w:ascii="Cambria Math" w:hAnsi="Cambria Math"/>
          </w:rPr>
          <m:t>≤0,020</m:t>
        </m:r>
        <m:sSub>
          <m:sSubPr>
            <m:ctrlPr>
              <w:rPr>
                <w:rFonts w:ascii="Cambria Math" w:hAnsi="Cambria Math"/>
                <w:i/>
              </w:rPr>
            </m:ctrlPr>
          </m:sSubPr>
          <m:e>
            <m:r>
              <w:rPr>
                <w:rFonts w:ascii="Cambria Math" w:hAnsi="Cambria Math"/>
              </w:rPr>
              <m:t>h</m:t>
            </m:r>
          </m:e>
          <m:sub>
            <m:r>
              <w:rPr>
                <w:rFonts w:ascii="Cambria Math" w:hAnsi="Cambria Math"/>
              </w:rPr>
              <m:t>s</m:t>
            </m:r>
          </m:sub>
        </m:sSub>
      </m:oMath>
      <w:r w:rsidR="00E91A91" w:rsidRPr="00132C1E">
        <w:t xml:space="preserve"> for composite moment resisting frames</w:t>
      </w:r>
      <w:r w:rsidR="00E91A91" w:rsidRPr="00D1484A">
        <w:t xml:space="preserve"> with full</w:t>
      </w:r>
      <w:r w:rsidR="00311756">
        <w:t xml:space="preserve"> </w:t>
      </w:r>
      <w:r w:rsidR="00E91A91" w:rsidRPr="00D1484A">
        <w:t xml:space="preserve">- or partial-strength </w:t>
      </w:r>
      <w:r w:rsidR="00E91A91" w:rsidRPr="00311756">
        <w:rPr>
          <w:color w:val="000000" w:themeColor="text1"/>
        </w:rPr>
        <w:t>connections and for composite dual frames</w:t>
      </w:r>
      <w:r w:rsidR="00E91A91" w:rsidRPr="00D1484A">
        <w:t>;</w:t>
      </w:r>
    </w:p>
    <w:p w14:paraId="39200C62" w14:textId="77777777" w:rsidR="00E91A91" w:rsidRPr="00FE0D09" w:rsidRDefault="00E91A91" w:rsidP="00FE71E5">
      <w:pPr>
        <w:pStyle w:val="Text"/>
        <w:numPr>
          <w:ilvl w:val="0"/>
          <w:numId w:val="654"/>
        </w:numPr>
        <w:spacing w:after="160"/>
        <w:rPr>
          <w:rFonts w:eastAsia="Cambria" w:cs="Cambria-Italic"/>
          <w:lang w:eastAsia="de-DE"/>
        </w:rPr>
      </w:pPr>
      <w:r w:rsidRPr="00852942">
        <w:t xml:space="preserve">for composite moment resisting frames with </w:t>
      </w:r>
      <w:r w:rsidRPr="00FE0D09">
        <w:t>interacting infills</w:t>
      </w:r>
      <w:r w:rsidRPr="00FE0D09">
        <w:rPr>
          <w:color w:val="000000" w:themeColor="text1"/>
        </w:rPr>
        <w:t xml:space="preserve">, 7.4.2.1 </w:t>
      </w:r>
      <w:r w:rsidRPr="00FE0D09">
        <w:t>should be applied;</w:t>
      </w:r>
    </w:p>
    <w:p w14:paraId="1D87ECB6" w14:textId="76F84D0D" w:rsidR="00E91A91" w:rsidRPr="00FE0D09" w:rsidRDefault="009B5CEC" w:rsidP="00FE71E5">
      <w:pPr>
        <w:pStyle w:val="Text"/>
        <w:numPr>
          <w:ilvl w:val="0"/>
          <w:numId w:val="654"/>
        </w:numPr>
        <w:spacing w:after="160"/>
      </w:pPr>
      <m:oMath>
        <m:sSub>
          <m:sSubPr>
            <m:ctrlPr>
              <w:rPr>
                <w:rFonts w:ascii="Cambria Math" w:hAnsi="Cambria Math"/>
                <w:i/>
              </w:rPr>
            </m:ctrlPr>
          </m:sSubPr>
          <m:e>
            <m:r>
              <w:rPr>
                <w:rFonts w:ascii="Cambria Math" w:hAnsi="Cambria Math"/>
              </w:rPr>
              <m:t>d</m:t>
            </m:r>
          </m:e>
          <m:sub>
            <m:r>
              <m:rPr>
                <m:sty m:val="p"/>
              </m:rPr>
              <w:rPr>
                <w:rFonts w:ascii="Cambria Math" w:hAnsi="Cambria Math"/>
              </w:rPr>
              <m:t>r,SD</m:t>
            </m:r>
          </m:sub>
        </m:sSub>
        <m:r>
          <w:rPr>
            <w:rFonts w:ascii="Cambria Math" w:hAnsi="Cambria Math"/>
          </w:rPr>
          <m:t>≤0,015</m:t>
        </m:r>
        <m:sSub>
          <m:sSubPr>
            <m:ctrlPr>
              <w:rPr>
                <w:rFonts w:ascii="Cambria Math" w:hAnsi="Cambria Math"/>
                <w:i/>
              </w:rPr>
            </m:ctrlPr>
          </m:sSubPr>
          <m:e>
            <m:r>
              <w:rPr>
                <w:rFonts w:ascii="Cambria Math" w:hAnsi="Cambria Math"/>
              </w:rPr>
              <m:t>h</m:t>
            </m:r>
          </m:e>
          <m:sub>
            <m:r>
              <w:rPr>
                <w:rFonts w:ascii="Cambria Math" w:hAnsi="Cambria Math"/>
              </w:rPr>
              <m:t>s</m:t>
            </m:r>
          </m:sub>
        </m:sSub>
        <m:r>
          <w:rPr>
            <w:rFonts w:ascii="Cambria Math" w:hAnsi="Cambria Math"/>
          </w:rPr>
          <m:t xml:space="preserve"> </m:t>
        </m:r>
      </m:oMath>
      <w:r w:rsidR="00E91A91" w:rsidRPr="00FE0D09">
        <w:t>for composite frames with concentric or eccentric bracings and for inverted pendulum structures;</w:t>
      </w:r>
    </w:p>
    <w:p w14:paraId="0290C52F" w14:textId="7232D543" w:rsidR="00E91A91" w:rsidRPr="00FE0D09" w:rsidRDefault="00E91A91" w:rsidP="00FE71E5">
      <w:pPr>
        <w:pStyle w:val="Text"/>
        <w:numPr>
          <w:ilvl w:val="0"/>
          <w:numId w:val="654"/>
        </w:numPr>
        <w:spacing w:after="160"/>
      </w:pPr>
      <w:r w:rsidRPr="00FE0D09">
        <w:t>for composite frames with buckling restrained bracings</w:t>
      </w:r>
      <w:r w:rsidR="00311756" w:rsidRPr="00FE0D09">
        <w:t xml:space="preserve"> </w:t>
      </w:r>
      <w:r w:rsidRPr="00FE0D09">
        <w:t xml:space="preserve">see </w:t>
      </w:r>
      <w:r w:rsidRPr="00FE0D09">
        <w:rPr>
          <w:color w:val="000000" w:themeColor="text1"/>
        </w:rPr>
        <w:t>11.12.4(5)</w:t>
      </w:r>
      <w:r w:rsidR="00FE0D09" w:rsidRPr="00907C8A">
        <w:t>;</w:t>
      </w:r>
    </w:p>
    <w:bookmarkStart w:id="10077" w:name="_Hlk90716718"/>
    <w:p w14:paraId="3D22627A" w14:textId="18246C72" w:rsidR="00E91A91" w:rsidRPr="00ED452D" w:rsidRDefault="009B5CEC" w:rsidP="00FE71E5">
      <w:pPr>
        <w:pStyle w:val="Text"/>
        <w:numPr>
          <w:ilvl w:val="0"/>
          <w:numId w:val="654"/>
        </w:numPr>
        <w:spacing w:after="160"/>
      </w:pPr>
      <m:oMath>
        <m:sSub>
          <m:sSubPr>
            <m:ctrlPr>
              <w:rPr>
                <w:rFonts w:ascii="Cambria Math" w:hAnsi="Cambria Math"/>
                <w:i/>
              </w:rPr>
            </m:ctrlPr>
          </m:sSubPr>
          <m:e>
            <m:r>
              <w:rPr>
                <w:rFonts w:ascii="Cambria Math" w:hAnsi="Cambria Math"/>
              </w:rPr>
              <m:t>d</m:t>
            </m:r>
          </m:e>
          <m:sub>
            <m:r>
              <m:rPr>
                <m:sty m:val="p"/>
              </m:rPr>
              <w:rPr>
                <w:rFonts w:ascii="Cambria Math" w:hAnsi="Cambria Math"/>
              </w:rPr>
              <m:t>r,SD</m:t>
            </m:r>
          </m:sub>
        </m:sSub>
        <m:r>
          <w:rPr>
            <w:rFonts w:ascii="Cambria Math" w:hAnsi="Cambria Math"/>
          </w:rPr>
          <m:t>≤0,017</m:t>
        </m:r>
        <m:sSub>
          <m:sSubPr>
            <m:ctrlPr>
              <w:rPr>
                <w:rFonts w:ascii="Cambria Math" w:hAnsi="Cambria Math"/>
                <w:i/>
              </w:rPr>
            </m:ctrlPr>
          </m:sSubPr>
          <m:e>
            <m:r>
              <w:rPr>
                <w:rFonts w:ascii="Cambria Math" w:hAnsi="Cambria Math"/>
              </w:rPr>
              <m:t>h</m:t>
            </m:r>
          </m:e>
          <m:sub>
            <m:r>
              <w:rPr>
                <w:rFonts w:ascii="Cambria Math" w:hAnsi="Cambria Math"/>
              </w:rPr>
              <m:t>s</m:t>
            </m:r>
          </m:sub>
        </m:sSub>
      </m:oMath>
      <w:r w:rsidR="00E91A91" w:rsidRPr="00FE0D09">
        <w:t xml:space="preserve"> for composite structural wall systems of Type </w:t>
      </w:r>
      <w:bookmarkEnd w:id="10077"/>
      <w:r w:rsidR="00E91A91" w:rsidRPr="00FE0D09">
        <w:t>1, 2 and</w:t>
      </w:r>
      <w:r w:rsidR="00E91A91" w:rsidRPr="00D1484A">
        <w:rPr>
          <w:bCs/>
        </w:rPr>
        <w:t xml:space="preserve"> 3.</w:t>
      </w:r>
    </w:p>
    <w:p w14:paraId="6B28C8BC" w14:textId="7CE9DDFD" w:rsidR="00E91A91" w:rsidRPr="00D950A8" w:rsidRDefault="009B5CEC" w:rsidP="00FE71E5">
      <w:pPr>
        <w:pStyle w:val="Text"/>
        <w:numPr>
          <w:ilvl w:val="0"/>
          <w:numId w:val="654"/>
        </w:numPr>
        <w:spacing w:after="160"/>
      </w:pPr>
      <m:oMath>
        <m:sSub>
          <m:sSubPr>
            <m:ctrlPr>
              <w:rPr>
                <w:rFonts w:ascii="Cambria Math" w:hAnsi="Cambria Math"/>
                <w:i/>
              </w:rPr>
            </m:ctrlPr>
          </m:sSubPr>
          <m:e>
            <m:r>
              <w:rPr>
                <w:rFonts w:ascii="Cambria Math" w:hAnsi="Cambria Math"/>
              </w:rPr>
              <m:t>d</m:t>
            </m:r>
          </m:e>
          <m:sub>
            <m:r>
              <m:rPr>
                <m:sty m:val="p"/>
              </m:rPr>
              <w:rPr>
                <w:rFonts w:ascii="Cambria Math" w:hAnsi="Cambria Math"/>
              </w:rPr>
              <m:t>r,SD</m:t>
            </m:r>
          </m:sub>
        </m:sSub>
        <m:r>
          <w:rPr>
            <w:rFonts w:ascii="Cambria Math" w:hAnsi="Cambria Math"/>
          </w:rPr>
          <m:t>≤0,015</m:t>
        </m:r>
        <m:sSub>
          <m:sSubPr>
            <m:ctrlPr>
              <w:rPr>
                <w:rFonts w:ascii="Cambria Math" w:hAnsi="Cambria Math"/>
                <w:i/>
              </w:rPr>
            </m:ctrlPr>
          </m:sSubPr>
          <m:e>
            <m:r>
              <w:rPr>
                <w:rFonts w:ascii="Cambria Math" w:hAnsi="Cambria Math"/>
              </w:rPr>
              <m:t>h</m:t>
            </m:r>
          </m:e>
          <m:sub>
            <m:r>
              <w:rPr>
                <w:rFonts w:ascii="Cambria Math" w:hAnsi="Cambria Math"/>
              </w:rPr>
              <m:t>s</m:t>
            </m:r>
          </m:sub>
        </m:sSub>
      </m:oMath>
      <w:r w:rsidR="00E91A91" w:rsidRPr="00D950A8">
        <w:rPr>
          <w:bCs/>
        </w:rPr>
        <w:t xml:space="preserve"> for all other composite structural systems</w:t>
      </w:r>
    </w:p>
    <w:p w14:paraId="16A9D0D5" w14:textId="05D4BDBC" w:rsidR="00E91A91" w:rsidRDefault="00675EBA" w:rsidP="00FE0D09">
      <w:pPr>
        <w:pStyle w:val="Text"/>
      </w:pPr>
      <w:r>
        <w:lastRenderedPageBreak/>
        <w:t>where</w:t>
      </w:r>
    </w:p>
    <w:tbl>
      <w:tblPr>
        <w:tblW w:w="0" w:type="auto"/>
        <w:tblInd w:w="346" w:type="dxa"/>
        <w:tblLook w:val="04A0" w:firstRow="1" w:lastRow="0" w:firstColumn="1" w:lastColumn="0" w:noHBand="0" w:noVBand="1"/>
      </w:tblPr>
      <w:tblGrid>
        <w:gridCol w:w="1374"/>
        <w:gridCol w:w="7843"/>
      </w:tblGrid>
      <w:tr w:rsidR="00311756" w:rsidRPr="00821B21" w14:paraId="54572B4F" w14:textId="77777777" w:rsidTr="002E3AAB">
        <w:tc>
          <w:tcPr>
            <w:tcW w:w="1374" w:type="dxa"/>
          </w:tcPr>
          <w:p w14:paraId="42F3EFC9" w14:textId="7406FB90" w:rsidR="00311756" w:rsidRPr="005059E8" w:rsidRDefault="00311756" w:rsidP="002061E5">
            <w:pPr>
              <w:spacing w:after="60"/>
              <w:rPr>
                <w:i/>
              </w:rPr>
            </w:pPr>
            <w:r w:rsidRPr="00644C3D">
              <w:rPr>
                <w:rFonts w:cs="Cambria-Italic"/>
                <w:i/>
                <w:iCs/>
                <w:lang w:eastAsia="de-DE"/>
              </w:rPr>
              <w:t>d</w:t>
            </w:r>
            <w:r w:rsidRPr="00644C3D">
              <w:rPr>
                <w:vertAlign w:val="subscript"/>
                <w:lang w:eastAsia="de-DE"/>
              </w:rPr>
              <w:t>r,SD</w:t>
            </w:r>
          </w:p>
        </w:tc>
        <w:tc>
          <w:tcPr>
            <w:tcW w:w="7843" w:type="dxa"/>
          </w:tcPr>
          <w:p w14:paraId="2342CA4A" w14:textId="03799B91" w:rsidR="00311756" w:rsidRPr="00571E24" w:rsidRDefault="00311756" w:rsidP="002061E5">
            <w:pPr>
              <w:spacing w:after="60"/>
            </w:pPr>
            <w:r w:rsidRPr="00E05E29">
              <w:rPr>
                <w:lang w:eastAsia="de-DE"/>
              </w:rPr>
              <w:t xml:space="preserve">is </w:t>
            </w:r>
            <w:r w:rsidRPr="00907C8A">
              <w:rPr>
                <w:lang w:eastAsia="de-DE"/>
              </w:rPr>
              <w:t xml:space="preserve">defined in </w:t>
            </w:r>
            <w:r w:rsidRPr="00907C8A">
              <w:rPr>
                <w:color w:val="000000" w:themeColor="text1"/>
                <w:lang w:eastAsia="de-DE"/>
              </w:rPr>
              <w:t>6.2.4</w:t>
            </w:r>
            <w:r w:rsidRPr="00907C8A">
              <w:rPr>
                <w:lang w:eastAsia="de-DE"/>
              </w:rPr>
              <w:t>;</w:t>
            </w:r>
          </w:p>
        </w:tc>
      </w:tr>
      <w:tr w:rsidR="00311756" w:rsidRPr="00821B21" w14:paraId="4830968F" w14:textId="77777777" w:rsidTr="002E3AAB">
        <w:tc>
          <w:tcPr>
            <w:tcW w:w="1374" w:type="dxa"/>
          </w:tcPr>
          <w:p w14:paraId="2F2558E8" w14:textId="3652C98B" w:rsidR="00311756" w:rsidRPr="005059E8" w:rsidRDefault="00311756" w:rsidP="002061E5">
            <w:pPr>
              <w:spacing w:after="60"/>
              <w:rPr>
                <w:i/>
              </w:rPr>
            </w:pPr>
            <w:r w:rsidRPr="00E05E29">
              <w:rPr>
                <w:i/>
                <w:lang w:eastAsia="de-DE"/>
              </w:rPr>
              <w:t>h</w:t>
            </w:r>
            <w:r w:rsidRPr="00E05E29">
              <w:rPr>
                <w:iCs/>
                <w:vertAlign w:val="subscript"/>
                <w:lang w:eastAsia="de-DE"/>
              </w:rPr>
              <w:t>s</w:t>
            </w:r>
          </w:p>
        </w:tc>
        <w:tc>
          <w:tcPr>
            <w:tcW w:w="7843" w:type="dxa"/>
          </w:tcPr>
          <w:p w14:paraId="46D082A4" w14:textId="09FA3B88" w:rsidR="00311756" w:rsidRPr="00571E24" w:rsidRDefault="00311756" w:rsidP="002061E5">
            <w:pPr>
              <w:spacing w:after="60"/>
            </w:pPr>
            <w:r w:rsidRPr="00E05E29">
              <w:rPr>
                <w:lang w:eastAsia="de-DE"/>
              </w:rPr>
              <w:t>is the interstorey height.</w:t>
            </w:r>
          </w:p>
        </w:tc>
      </w:tr>
    </w:tbl>
    <w:p w14:paraId="55F3DBF2" w14:textId="77777777" w:rsidR="00E91A91" w:rsidRPr="00C035AF" w:rsidRDefault="00E91A91" w:rsidP="00C035AF">
      <w:pPr>
        <w:pStyle w:val="Heading2"/>
      </w:pPr>
      <w:bookmarkStart w:id="10078" w:name="_Toc17827815"/>
      <w:bookmarkStart w:id="10079" w:name="_Toc50150500"/>
      <w:bookmarkStart w:id="10080" w:name="_Toc70886932"/>
      <w:bookmarkStart w:id="10081" w:name="_Toc108342491"/>
      <w:bookmarkStart w:id="10082" w:name="_Toc134198023"/>
      <w:r w:rsidRPr="00C035AF">
        <w:t>Design rules for low-dissipative (DC1) and non-dissipative structural behaviour for all structural types</w:t>
      </w:r>
      <w:bookmarkEnd w:id="10078"/>
      <w:bookmarkEnd w:id="10079"/>
      <w:bookmarkEnd w:id="10080"/>
      <w:bookmarkEnd w:id="10081"/>
      <w:bookmarkEnd w:id="10082"/>
    </w:p>
    <w:p w14:paraId="0749B29A" w14:textId="77777777" w:rsidR="00E91A91" w:rsidRPr="00C035AF" w:rsidRDefault="00E91A91" w:rsidP="00C035AF">
      <w:pPr>
        <w:pStyle w:val="Heading3"/>
      </w:pPr>
      <w:bookmarkStart w:id="10083" w:name="_Toc50150501"/>
      <w:bookmarkStart w:id="10084" w:name="_Toc70886933"/>
      <w:bookmarkStart w:id="10085" w:name="_Toc108342492"/>
      <w:bookmarkStart w:id="10086" w:name="_Toc134198024"/>
      <w:r w:rsidRPr="00C035AF">
        <w:t>General</w:t>
      </w:r>
      <w:bookmarkEnd w:id="10083"/>
      <w:bookmarkEnd w:id="10084"/>
      <w:bookmarkEnd w:id="10085"/>
      <w:bookmarkEnd w:id="10086"/>
    </w:p>
    <w:p w14:paraId="31556FB3" w14:textId="5F6DE465" w:rsidR="00E91A91" w:rsidRPr="00E05E29" w:rsidRDefault="00E91A91" w:rsidP="0080187E">
      <w:pPr>
        <w:pStyle w:val="Clause"/>
        <w:numPr>
          <w:ilvl w:val="0"/>
          <w:numId w:val="433"/>
        </w:numPr>
      </w:pPr>
      <w:r w:rsidRPr="00C30FF9">
        <w:rPr>
          <w:bCs/>
        </w:rPr>
        <w:t>11.7.1 should</w:t>
      </w:r>
      <w:r w:rsidRPr="00E05E29">
        <w:t xml:space="preserve"> be applied.</w:t>
      </w:r>
    </w:p>
    <w:p w14:paraId="35AAF0E2" w14:textId="77777777" w:rsidR="00E91A91" w:rsidRPr="00C035AF" w:rsidRDefault="00E91A91" w:rsidP="00C035AF">
      <w:pPr>
        <w:pStyle w:val="Heading3"/>
      </w:pPr>
      <w:bookmarkStart w:id="10087" w:name="_Toc50150502"/>
      <w:bookmarkStart w:id="10088" w:name="_Toc70886934"/>
      <w:bookmarkStart w:id="10089" w:name="_Toc108342493"/>
      <w:bookmarkStart w:id="10090" w:name="_Toc134198025"/>
      <w:r w:rsidRPr="00C035AF">
        <w:t>Design rules for low-dissipative structures</w:t>
      </w:r>
      <w:bookmarkEnd w:id="10087"/>
      <w:bookmarkEnd w:id="10088"/>
      <w:bookmarkEnd w:id="10089"/>
      <w:bookmarkEnd w:id="10090"/>
    </w:p>
    <w:p w14:paraId="79E7D32F" w14:textId="4DD7809D" w:rsidR="00E91A91" w:rsidRDefault="00E91A91" w:rsidP="0080187E">
      <w:pPr>
        <w:pStyle w:val="Clause"/>
        <w:numPr>
          <w:ilvl w:val="0"/>
          <w:numId w:val="434"/>
        </w:numPr>
      </w:pPr>
      <w:r w:rsidRPr="00C30FF9">
        <w:rPr>
          <w:bCs/>
        </w:rPr>
        <w:t>11.7.2(1) should</w:t>
      </w:r>
      <w:r w:rsidRPr="00E05E29">
        <w:t xml:space="preserve"> be applied.</w:t>
      </w:r>
    </w:p>
    <w:p w14:paraId="4D9D9E0C" w14:textId="77777777" w:rsidR="00E91A91" w:rsidRPr="00D950A8" w:rsidRDefault="00E91A91" w:rsidP="00C035AF">
      <w:pPr>
        <w:pStyle w:val="Heading3"/>
      </w:pPr>
      <w:bookmarkStart w:id="10091" w:name="_Toc108342494"/>
      <w:bookmarkStart w:id="10092" w:name="_Toc134198026"/>
      <w:bookmarkStart w:id="10093" w:name="_Hlk90645533"/>
      <w:r w:rsidRPr="00FE6F64">
        <w:t xml:space="preserve">Design </w:t>
      </w:r>
      <w:r w:rsidRPr="00D950A8">
        <w:t>rules for non-dissipative structures</w:t>
      </w:r>
      <w:bookmarkEnd w:id="10091"/>
      <w:bookmarkEnd w:id="10092"/>
    </w:p>
    <w:p w14:paraId="32C50275" w14:textId="13BFE3E2" w:rsidR="00E91A91" w:rsidRPr="00D950A8" w:rsidRDefault="00E91A91" w:rsidP="002E3AAB">
      <w:pPr>
        <w:pStyle w:val="Clause"/>
        <w:numPr>
          <w:ilvl w:val="0"/>
          <w:numId w:val="435"/>
        </w:numPr>
        <w:spacing w:before="200" w:after="200"/>
      </w:pPr>
      <w:r w:rsidRPr="00D950A8">
        <w:t xml:space="preserve">Non-dissipative structures should be designed to resist seismic actions in the elastic range and their behaviour factor </w:t>
      </w:r>
      <w:r w:rsidRPr="001903EF">
        <w:rPr>
          <w:i/>
          <w:iCs/>
        </w:rPr>
        <w:t>q</w:t>
      </w:r>
      <w:r w:rsidRPr="00D950A8">
        <w:t xml:space="preserve"> should be taken equal to 1,0.</w:t>
      </w:r>
    </w:p>
    <w:p w14:paraId="4AFC2303" w14:textId="5DEB590D" w:rsidR="00E91A91" w:rsidRPr="00D950A8" w:rsidRDefault="00E91A91" w:rsidP="002E3AAB">
      <w:pPr>
        <w:pStyle w:val="Notetext"/>
        <w:spacing w:before="200" w:after="200"/>
      </w:pPr>
      <w:r w:rsidRPr="00D950A8">
        <w:t>NOTE</w:t>
      </w:r>
      <w:r w:rsidRPr="00D950A8">
        <w:tab/>
        <w:t>Non-dissipative design is used for structures for which a ductile behaviour can hardly be conceived, e.g. composite domes, or cannot be supported by research reference. It is also used for specific structural systems for which non-dissipative design can be safe and more economical.</w:t>
      </w:r>
    </w:p>
    <w:p w14:paraId="45D80221" w14:textId="7763D754" w:rsidR="00E91A91" w:rsidRPr="00C30FF9" w:rsidRDefault="00E91A91" w:rsidP="002E3AAB">
      <w:pPr>
        <w:pStyle w:val="Clause"/>
        <w:spacing w:before="200" w:after="200"/>
      </w:pPr>
      <w:r>
        <w:t>pr</w:t>
      </w:r>
      <w:r w:rsidR="00C30FF9">
        <w:t>EN 1</w:t>
      </w:r>
      <w:r>
        <w:t>998-1-1:</w:t>
      </w:r>
      <w:r w:rsidRPr="00C30FF9">
        <w:t xml:space="preserve">2022, 4.1(7), may be used in the design of single-storey buildings; the limits of seismic action index </w:t>
      </w:r>
      <w:r w:rsidRPr="00C30FF9">
        <w:rPr>
          <w:i/>
          <w:iCs/>
        </w:rPr>
        <w:t>S</w:t>
      </w:r>
      <w:r w:rsidRPr="00C30FF9">
        <w:rPr>
          <w:vertAlign w:val="subscript"/>
        </w:rPr>
        <w:t>δ</w:t>
      </w:r>
      <w:r w:rsidRPr="00C30FF9">
        <w:t xml:space="preserve"> for their design to DC1 in 12.4.3 may be waived, provided that the condition in (4) and in 12.6.4 are satisfied.</w:t>
      </w:r>
    </w:p>
    <w:p w14:paraId="0AD6963D" w14:textId="192A905F" w:rsidR="00E91A91" w:rsidRPr="00C30FF9" w:rsidRDefault="00E91A91" w:rsidP="002E3AAB">
      <w:pPr>
        <w:pStyle w:val="Clause"/>
        <w:spacing w:before="200" w:after="200"/>
      </w:pPr>
      <w:r w:rsidRPr="00C30FF9">
        <w:t>pr</w:t>
      </w:r>
      <w:r w:rsidR="00C30FF9" w:rsidRPr="00C30FF9">
        <w:t>EN 1</w:t>
      </w:r>
      <w:r w:rsidRPr="00C30FF9">
        <w:t xml:space="preserve">998-1-1:2022, 4.1(7), may be used without limitation of the seismic action index </w:t>
      </w:r>
      <w:r w:rsidRPr="00C30FF9">
        <w:rPr>
          <w:i/>
          <w:iCs/>
        </w:rPr>
        <w:t>S</w:t>
      </w:r>
      <w:r w:rsidRPr="00C30FF9">
        <w:rPr>
          <w:vertAlign w:val="subscript"/>
        </w:rPr>
        <w:t>δ</w:t>
      </w:r>
      <w:r w:rsidRPr="00C30FF9">
        <w:t xml:space="preserve"> in the design of structural systems which cannot be assigned to one of the types in 12.4.1(1) a) to g), provided that the condition in (4) is satisfied.</w:t>
      </w:r>
    </w:p>
    <w:p w14:paraId="654E6B5D" w14:textId="19CA3FFD" w:rsidR="00E91A91" w:rsidRPr="00C30FF9" w:rsidRDefault="00E91A91" w:rsidP="002E3AAB">
      <w:pPr>
        <w:pStyle w:val="Clause"/>
        <w:spacing w:before="200" w:after="200"/>
      </w:pPr>
      <w:r w:rsidRPr="00C30FF9">
        <w:t xml:space="preserve">The connections should be designed for action effects calculated for the return period </w:t>
      </w:r>
      <w:r w:rsidRPr="00C30FF9">
        <w:rPr>
          <w:i/>
          <w:iCs/>
        </w:rPr>
        <w:t>T</w:t>
      </w:r>
      <w:r w:rsidRPr="00C30FF9">
        <w:rPr>
          <w:vertAlign w:val="subscript"/>
        </w:rPr>
        <w:t>LS,CC</w:t>
      </w:r>
      <w:r w:rsidRPr="00C30FF9">
        <w:t xml:space="preserve"> at the NC limit state given in Table 4.3 (when using pr</w:t>
      </w:r>
      <w:r w:rsidR="00C30FF9" w:rsidRPr="00C30FF9">
        <w:t>EN 1</w:t>
      </w:r>
      <w:r w:rsidRPr="00C30FF9">
        <w:t xml:space="preserve">998-1-1, 4.3(3)) or the performance factor </w:t>
      </w:r>
      <w:r w:rsidRPr="00C30FF9">
        <w:rPr>
          <w:i/>
          <w:iCs/>
        </w:rPr>
        <w:t>γ</w:t>
      </w:r>
      <w:r w:rsidRPr="00C30FF9">
        <w:rPr>
          <w:vertAlign w:val="subscript"/>
        </w:rPr>
        <w:t>LS,CC</w:t>
      </w:r>
      <w:r w:rsidRPr="00C30FF9">
        <w:t xml:space="preserve"> at the NC limit state given in Table 4.4 (when using pr</w:t>
      </w:r>
      <w:r w:rsidR="00C30FF9" w:rsidRPr="00C30FF9">
        <w:t>EN 1</w:t>
      </w:r>
      <w:r w:rsidRPr="00C30FF9">
        <w:t>998-1-1, 4.3(5)).</w:t>
      </w:r>
      <w:bookmarkEnd w:id="10093"/>
    </w:p>
    <w:p w14:paraId="0C79BA63" w14:textId="185723D5" w:rsidR="00E91A91" w:rsidRPr="00C035AF" w:rsidRDefault="00E91A91" w:rsidP="00C035AF">
      <w:pPr>
        <w:pStyle w:val="Heading2"/>
      </w:pPr>
      <w:bookmarkStart w:id="10094" w:name="_Toc483723266"/>
      <w:bookmarkStart w:id="10095" w:name="_Toc483723601"/>
      <w:bookmarkStart w:id="10096" w:name="_Toc484520915"/>
      <w:bookmarkStart w:id="10097" w:name="_Toc509405094"/>
      <w:bookmarkStart w:id="10098" w:name="_Toc76379904"/>
      <w:bookmarkStart w:id="10099" w:name="_Toc494124763"/>
      <w:bookmarkStart w:id="10100" w:name="_Toc17827818"/>
      <w:bookmarkStart w:id="10101" w:name="_Toc50150503"/>
      <w:bookmarkStart w:id="10102" w:name="_Toc70886935"/>
      <w:bookmarkStart w:id="10103" w:name="_Toc108342495"/>
      <w:bookmarkStart w:id="10104" w:name="_Toc134198027"/>
      <w:bookmarkEnd w:id="10052"/>
      <w:r w:rsidRPr="00C035AF">
        <w:t>Design rules for dissipative (DC2 and DC3) structural behaviour common to all structural types</w:t>
      </w:r>
      <w:bookmarkEnd w:id="10094"/>
      <w:bookmarkEnd w:id="10095"/>
      <w:bookmarkEnd w:id="10096"/>
      <w:bookmarkEnd w:id="10097"/>
      <w:bookmarkEnd w:id="10098"/>
      <w:bookmarkEnd w:id="10099"/>
      <w:bookmarkEnd w:id="10100"/>
      <w:bookmarkEnd w:id="10101"/>
      <w:bookmarkEnd w:id="10102"/>
      <w:bookmarkEnd w:id="10103"/>
      <w:bookmarkEnd w:id="10104"/>
    </w:p>
    <w:p w14:paraId="34F01526" w14:textId="77777777" w:rsidR="00E91A91" w:rsidRPr="00C035AF" w:rsidRDefault="00E91A91" w:rsidP="00C035AF">
      <w:pPr>
        <w:pStyle w:val="Heading3"/>
      </w:pPr>
      <w:bookmarkStart w:id="10105" w:name="_Toc483723267"/>
      <w:bookmarkStart w:id="10106" w:name="_Toc483723602"/>
      <w:bookmarkStart w:id="10107" w:name="_Toc484520916"/>
      <w:bookmarkStart w:id="10108" w:name="_Toc509405095"/>
      <w:bookmarkStart w:id="10109" w:name="_Toc76379905"/>
      <w:bookmarkStart w:id="10110" w:name="_Toc494124764"/>
      <w:bookmarkStart w:id="10111" w:name="_Toc17827819"/>
      <w:bookmarkStart w:id="10112" w:name="_Toc50150504"/>
      <w:bookmarkStart w:id="10113" w:name="_Toc70886936"/>
      <w:bookmarkStart w:id="10114" w:name="_Toc108342496"/>
      <w:bookmarkStart w:id="10115" w:name="_Toc134198028"/>
      <w:r w:rsidRPr="00C035AF">
        <w:t>General</w:t>
      </w:r>
      <w:bookmarkEnd w:id="10105"/>
      <w:bookmarkEnd w:id="10106"/>
      <w:bookmarkEnd w:id="10107"/>
      <w:bookmarkEnd w:id="10108"/>
      <w:bookmarkEnd w:id="10109"/>
      <w:bookmarkEnd w:id="10110"/>
      <w:bookmarkEnd w:id="10111"/>
      <w:bookmarkEnd w:id="10112"/>
      <w:bookmarkEnd w:id="10113"/>
      <w:bookmarkEnd w:id="10114"/>
      <w:bookmarkEnd w:id="10115"/>
    </w:p>
    <w:p w14:paraId="79681A95" w14:textId="7150C793" w:rsidR="00E91A91" w:rsidRPr="00ED6630" w:rsidRDefault="00E91A91" w:rsidP="002E3AAB">
      <w:pPr>
        <w:pStyle w:val="Clause"/>
        <w:numPr>
          <w:ilvl w:val="0"/>
          <w:numId w:val="436"/>
        </w:numPr>
        <w:spacing w:before="200" w:after="200"/>
      </w:pPr>
      <w:r w:rsidRPr="00ED6630">
        <w:t xml:space="preserve">Composite members participating into energy dissipation should conform to </w:t>
      </w:r>
      <w:r w:rsidR="00A76494">
        <w:t>pr</w:t>
      </w:r>
      <w:r w:rsidR="00C30FF9">
        <w:t>EN 1</w:t>
      </w:r>
      <w:r w:rsidRPr="004F74EA">
        <w:t>994-1-1</w:t>
      </w:r>
      <w:r w:rsidRPr="00ED6630">
        <w:t>.</w:t>
      </w:r>
    </w:p>
    <w:p w14:paraId="29D0C6C8" w14:textId="28DCF33E" w:rsidR="00E91A91" w:rsidRPr="00C30FF9" w:rsidRDefault="00E91A91" w:rsidP="002E3AAB">
      <w:pPr>
        <w:pStyle w:val="Clause"/>
        <w:spacing w:before="200" w:after="200"/>
      </w:pPr>
      <w:r w:rsidRPr="00E05E29">
        <w:t xml:space="preserve">The design criteria </w:t>
      </w:r>
      <w:r w:rsidRPr="00C30FF9">
        <w:t xml:space="preserve">given in 12.9 to 12.14 should be applied to all the components of </w:t>
      </w:r>
      <w:r w:rsidR="00C30FF9">
        <w:t>composite steel-concrete</w:t>
      </w:r>
      <w:r w:rsidRPr="00C30FF9">
        <w:t xml:space="preserve"> structural types designed in accordance with the concept of dissipative structural behaviour.</w:t>
      </w:r>
    </w:p>
    <w:p w14:paraId="4966BBD9" w14:textId="369C8BDC" w:rsidR="00E91A91" w:rsidRPr="00E05E29" w:rsidRDefault="00E91A91" w:rsidP="002E3AAB">
      <w:pPr>
        <w:pStyle w:val="Clause"/>
        <w:spacing w:before="200" w:after="200"/>
      </w:pPr>
      <w:r w:rsidRPr="00C30FF9">
        <w:t>12.8.2 to 12.8.9 should be</w:t>
      </w:r>
      <w:r w:rsidRPr="00E05E29">
        <w:t xml:space="preserve"> applied to members of the primary structural types of </w:t>
      </w:r>
      <w:r w:rsidRPr="00357B79">
        <w:rPr>
          <w:bCs/>
          <w:color w:val="auto"/>
        </w:rPr>
        <w:t>12.4</w:t>
      </w:r>
      <w:r w:rsidRPr="00357B79">
        <w:rPr>
          <w:color w:val="auto"/>
        </w:rPr>
        <w:t xml:space="preserve"> </w:t>
      </w:r>
      <w:r w:rsidRPr="00E05E29">
        <w:t>designed for dissipative behaviour.</w:t>
      </w:r>
    </w:p>
    <w:p w14:paraId="054161D5" w14:textId="26D5B8D7" w:rsidR="00E91A91" w:rsidRPr="00E05E29" w:rsidRDefault="00E91A91" w:rsidP="00C035AF">
      <w:pPr>
        <w:pStyle w:val="Heading3"/>
      </w:pPr>
      <w:bookmarkStart w:id="10116" w:name="_Toc50150505"/>
      <w:bookmarkStart w:id="10117" w:name="_Toc70886937"/>
      <w:bookmarkStart w:id="10118" w:name="_Toc108342497"/>
      <w:bookmarkStart w:id="10119" w:name="_Toc134198029"/>
      <w:r w:rsidRPr="00E05E29">
        <w:t>Design criteria for dissipative structures</w:t>
      </w:r>
      <w:bookmarkStart w:id="10120" w:name="_Toc462812348"/>
      <w:bookmarkStart w:id="10121" w:name="_Toc483723268"/>
      <w:bookmarkStart w:id="10122" w:name="_Toc483723603"/>
      <w:bookmarkStart w:id="10123" w:name="_Toc484520917"/>
      <w:bookmarkStart w:id="10124" w:name="_Toc509405096"/>
      <w:bookmarkStart w:id="10125" w:name="_Toc76379906"/>
      <w:bookmarkStart w:id="10126" w:name="_Toc494124765"/>
      <w:bookmarkStart w:id="10127" w:name="_Toc17827820"/>
      <w:bookmarkStart w:id="10128" w:name="_Toc462812367"/>
      <w:bookmarkEnd w:id="10116"/>
      <w:bookmarkEnd w:id="10117"/>
      <w:bookmarkEnd w:id="10118"/>
      <w:bookmarkEnd w:id="10120"/>
      <w:bookmarkEnd w:id="10121"/>
      <w:bookmarkEnd w:id="10122"/>
      <w:bookmarkEnd w:id="10123"/>
      <w:bookmarkEnd w:id="10124"/>
      <w:bookmarkEnd w:id="10125"/>
      <w:bookmarkEnd w:id="10126"/>
      <w:bookmarkEnd w:id="10127"/>
      <w:bookmarkEnd w:id="10119"/>
    </w:p>
    <w:p w14:paraId="3852CE5E" w14:textId="6ED755E3" w:rsidR="00E91A91" w:rsidRPr="00E05E29" w:rsidRDefault="00E91A91" w:rsidP="002E3AAB">
      <w:pPr>
        <w:pStyle w:val="Clause"/>
        <w:numPr>
          <w:ilvl w:val="0"/>
          <w:numId w:val="437"/>
        </w:numPr>
        <w:spacing w:before="200" w:after="200"/>
      </w:pPr>
      <w:r w:rsidRPr="00E05E29">
        <w:t xml:space="preserve">Dissipative zones in </w:t>
      </w:r>
      <w:r w:rsidR="00C30FF9">
        <w:t>composite steel-concrete</w:t>
      </w:r>
      <w:r w:rsidRPr="00E05E29">
        <w:t xml:space="preserve"> structural types shall have adequate ductility and resistance such that their hysteretic behaviour does not affect the overall stability of the structure.</w:t>
      </w:r>
    </w:p>
    <w:p w14:paraId="5BC3C982" w14:textId="54B96165" w:rsidR="00E91A91" w:rsidRPr="00C30FF9" w:rsidRDefault="00E91A91" w:rsidP="002E3AAB">
      <w:pPr>
        <w:pStyle w:val="Clause"/>
        <w:spacing w:before="200" w:after="200"/>
        <w:rPr>
          <w:bCs/>
        </w:rPr>
      </w:pPr>
      <w:r w:rsidRPr="00C30FF9">
        <w:rPr>
          <w:bCs/>
        </w:rPr>
        <w:t>11.8.2 should be applied.</w:t>
      </w:r>
    </w:p>
    <w:p w14:paraId="01166682" w14:textId="11497318" w:rsidR="00E91A91" w:rsidRPr="00C30FF9" w:rsidRDefault="00E91A91" w:rsidP="002E3AAB">
      <w:pPr>
        <w:pStyle w:val="Clause"/>
        <w:spacing w:after="200"/>
        <w:rPr>
          <w:bCs/>
        </w:rPr>
      </w:pPr>
      <w:r w:rsidRPr="00C30FF9">
        <w:rPr>
          <w:bCs/>
        </w:rPr>
        <w:lastRenderedPageBreak/>
        <w:t xml:space="preserve">The resistance of dissipative zones solely relying on the bare steel cross-section should be determined in accordance with </w:t>
      </w:r>
      <w:r w:rsidR="00C30FF9">
        <w:rPr>
          <w:bCs/>
        </w:rPr>
        <w:t xml:space="preserve">Clause </w:t>
      </w:r>
      <w:r w:rsidRPr="00C30FF9">
        <w:rPr>
          <w:bCs/>
        </w:rPr>
        <w:t>11.</w:t>
      </w:r>
    </w:p>
    <w:p w14:paraId="53673A61" w14:textId="77777777" w:rsidR="00E91A91" w:rsidRPr="00E05E29" w:rsidRDefault="00E91A91" w:rsidP="002E3AAB">
      <w:pPr>
        <w:pStyle w:val="Heading3"/>
        <w:spacing w:before="200" w:after="200"/>
      </w:pPr>
      <w:r w:rsidRPr="00E05E29">
        <w:rPr>
          <w:sz w:val="20"/>
        </w:rPr>
        <w:tab/>
      </w:r>
      <w:bookmarkStart w:id="10129" w:name="_Toc17827821"/>
      <w:bookmarkStart w:id="10130" w:name="_Toc50150506"/>
      <w:bookmarkStart w:id="10131" w:name="_Toc70886938"/>
      <w:bookmarkStart w:id="10132" w:name="_Toc108342498"/>
      <w:bookmarkStart w:id="10133" w:name="_Toc134198030"/>
      <w:r>
        <w:t>Verification of</w:t>
      </w:r>
      <w:r w:rsidRPr="00E05E29">
        <w:t xml:space="preserve"> dissipative members in compression or bending</w:t>
      </w:r>
      <w:bookmarkEnd w:id="10129"/>
      <w:bookmarkEnd w:id="10130"/>
      <w:bookmarkEnd w:id="10131"/>
      <w:bookmarkEnd w:id="10132"/>
      <w:bookmarkEnd w:id="10133"/>
    </w:p>
    <w:p w14:paraId="3A377B13" w14:textId="5F998E5A" w:rsidR="00E91A91" w:rsidRPr="00E05E29" w:rsidRDefault="00E91A91" w:rsidP="002E3AAB">
      <w:pPr>
        <w:pStyle w:val="Clause"/>
        <w:numPr>
          <w:ilvl w:val="0"/>
          <w:numId w:val="438"/>
        </w:numPr>
        <w:spacing w:before="200" w:after="200"/>
      </w:pPr>
      <w:r w:rsidRPr="00E05E29">
        <w:t xml:space="preserve">For dissipative steel members, </w:t>
      </w:r>
      <w:r w:rsidRPr="00D46D6D">
        <w:t>11.8.3</w:t>
      </w:r>
      <w:r w:rsidRPr="004F74EA">
        <w:t xml:space="preserve"> should </w:t>
      </w:r>
      <w:r w:rsidRPr="00E05E29">
        <w:t>be applied.</w:t>
      </w:r>
    </w:p>
    <w:p w14:paraId="7D79530D" w14:textId="69E7C450" w:rsidR="00E91A91" w:rsidRPr="00E05E29" w:rsidRDefault="00E91A91" w:rsidP="002E3AAB">
      <w:pPr>
        <w:pStyle w:val="Clause"/>
        <w:spacing w:before="200" w:after="200"/>
      </w:pPr>
      <w:r w:rsidRPr="00E05E29">
        <w:t>For dissipative composite members under compression and/or bending, sufficient local ductility should be ensured by restricting the local slenderness of their cross sections.</w:t>
      </w:r>
    </w:p>
    <w:p w14:paraId="3274210B" w14:textId="11D76BB3" w:rsidR="00E91A91" w:rsidRPr="00E05E29" w:rsidRDefault="00E91A91" w:rsidP="002E3AAB">
      <w:pPr>
        <w:pStyle w:val="Clause"/>
        <w:spacing w:before="200" w:after="200"/>
      </w:pPr>
      <w:r w:rsidRPr="00E05E29">
        <w:t xml:space="preserve">Steel dissipative zones and the non-encased steel parts of composite members should conform to </w:t>
      </w:r>
      <w:r w:rsidRPr="00D46D6D">
        <w:t>11.8.3(1)</w:t>
      </w:r>
      <w:r w:rsidRPr="004F74EA">
        <w:t xml:space="preserve"> and the local slenderness limits in Table 11.</w:t>
      </w:r>
      <w:r w:rsidR="00C606A0">
        <w:t>8</w:t>
      </w:r>
      <w:r w:rsidRPr="004F74EA">
        <w:t xml:space="preserve"> depending </w:t>
      </w:r>
      <w:r w:rsidRPr="00E05E29">
        <w:t xml:space="preserve">on their ductility class and the selected behaviour factor </w:t>
      </w:r>
      <m:oMath>
        <m:r>
          <w:rPr>
            <w:rFonts w:ascii="Cambria Math" w:hAnsi="Cambria Math"/>
          </w:rPr>
          <m:t>q</m:t>
        </m:r>
      </m:oMath>
      <w:r w:rsidRPr="00E05E29">
        <w:t>.</w:t>
      </w:r>
    </w:p>
    <w:p w14:paraId="2C247EA3" w14:textId="38F96728" w:rsidR="00E91A91" w:rsidRPr="00E05E29" w:rsidRDefault="00E91A91" w:rsidP="002E3AAB">
      <w:pPr>
        <w:pStyle w:val="Clause"/>
        <w:spacing w:before="200" w:after="200"/>
      </w:pPr>
      <w:r w:rsidRPr="00592E90">
        <w:t xml:space="preserve">Dissipative zones of encased or filled composite members under compression and/or bending should conform with Table 12.4. Complementary design and detailing rules according to </w:t>
      </w:r>
      <w:r w:rsidRPr="00D46D6D">
        <w:t>12.8.7</w:t>
      </w:r>
      <w:r w:rsidRPr="00592E90">
        <w:t xml:space="preserve">, </w:t>
      </w:r>
      <w:r w:rsidRPr="00D46D6D">
        <w:t xml:space="preserve">12.8.9 </w:t>
      </w:r>
      <w:r w:rsidRPr="00592E90">
        <w:t>and</w:t>
      </w:r>
      <w:r w:rsidRPr="00D46D6D">
        <w:t xml:space="preserve"> 12.9</w:t>
      </w:r>
      <w:r w:rsidRPr="00592E90">
        <w:t xml:space="preserve"> to </w:t>
      </w:r>
      <w:r w:rsidRPr="00D46D6D">
        <w:t>12.14</w:t>
      </w:r>
      <w:r w:rsidRPr="00592E90">
        <w:t xml:space="preserve"> </w:t>
      </w:r>
      <w:r w:rsidRPr="00E05E29">
        <w:t>should be applied depending on the dissipative composite member.</w:t>
      </w:r>
    </w:p>
    <w:p w14:paraId="0F1AEC50" w14:textId="1C86AEBA" w:rsidR="00E91A91" w:rsidRPr="00E05E29" w:rsidRDefault="00E91A91" w:rsidP="00592E90">
      <w:pPr>
        <w:pStyle w:val="Tabletitle"/>
      </w:pPr>
      <w:bookmarkStart w:id="10134" w:name="_Ref17569070"/>
      <w:r w:rsidRPr="00E05E29">
        <w:t>Table</w:t>
      </w:r>
      <w:bookmarkEnd w:id="10134"/>
      <w:r w:rsidRPr="00E05E29">
        <w:t xml:space="preserve"> </w:t>
      </w:r>
      <w:r w:rsidRPr="00E05E29">
        <w:fldChar w:fldCharType="begin"/>
      </w:r>
      <w:r w:rsidRPr="00E05E29">
        <w:instrText xml:space="preserve">\IF </w:instrText>
      </w:r>
      <w:r w:rsidRPr="00E05E29">
        <w:fldChar w:fldCharType="begin"/>
      </w:r>
      <w:r w:rsidRPr="00E05E29">
        <w:instrText xml:space="preserve">SEQ aaa \c </w:instrText>
      </w:r>
      <w:r w:rsidRPr="00E05E29">
        <w:fldChar w:fldCharType="separate"/>
      </w:r>
      <w:r w:rsidR="000720CB">
        <w:rPr>
          <w:noProof/>
        </w:rPr>
        <w:instrText>0</w:instrText>
      </w:r>
      <w:r w:rsidRPr="00E05E29">
        <w:fldChar w:fldCharType="end"/>
      </w:r>
      <w:r w:rsidRPr="00E05E29">
        <w:instrText>&gt;= 1 "</w:instrText>
      </w:r>
      <w:r w:rsidRPr="00E05E29">
        <w:fldChar w:fldCharType="begin"/>
      </w:r>
      <w:r w:rsidRPr="00E05E29">
        <w:instrText xml:space="preserve">SEQ aaa \c \* ALPHABETIC </w:instrText>
      </w:r>
      <w:r w:rsidRPr="00E05E29">
        <w:fldChar w:fldCharType="separate"/>
      </w:r>
      <w:r w:rsidRPr="00E05E29">
        <w:instrText>A</w:instrText>
      </w:r>
      <w:r w:rsidRPr="00E05E29">
        <w:fldChar w:fldCharType="end"/>
      </w:r>
      <w:r w:rsidRPr="00E05E29">
        <w:instrText xml:space="preserve">." </w:instrText>
      </w:r>
      <w:r w:rsidRPr="00E05E29">
        <w:fldChar w:fldCharType="end"/>
      </w:r>
      <w:r w:rsidR="00422F5E">
        <w:t>12</w:t>
      </w:r>
      <w:r w:rsidRPr="00132C1E">
        <w:t>.</w:t>
      </w:r>
      <w:r w:rsidR="00C15609">
        <w:t>4</w:t>
      </w:r>
      <w:r w:rsidR="00C15609" w:rsidRPr="00132C1E">
        <w:t> </w:t>
      </w:r>
      <w:r w:rsidRPr="00132C1E">
        <w:t>— </w:t>
      </w:r>
      <w:r w:rsidRPr="00D1484A">
        <w:t xml:space="preserve">Local slenderness limits of encased or filled composite cross sections in </w:t>
      </w:r>
      <w:r w:rsidRPr="007E6F67">
        <w:t xml:space="preserve">dissipative </w:t>
      </w:r>
      <w:r w:rsidRPr="00644C3D">
        <w:t xml:space="preserve">members depending on Ductility Class and reference behaviour </w:t>
      </w:r>
      <w:r w:rsidRPr="00E05E29">
        <w:t>factor</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088"/>
        <w:gridCol w:w="1134"/>
        <w:gridCol w:w="1417"/>
        <w:gridCol w:w="992"/>
      </w:tblGrid>
      <w:tr w:rsidR="00E91A91" w:rsidRPr="00132C1E" w14:paraId="7FDAF4F3" w14:textId="77777777" w:rsidTr="002061E5">
        <w:trPr>
          <w:cantSplit/>
          <w:jc w:val="center"/>
        </w:trPr>
        <w:tc>
          <w:tcPr>
            <w:tcW w:w="6088" w:type="dxa"/>
            <w:tcBorders>
              <w:top w:val="single" w:sz="6" w:space="0" w:color="auto"/>
              <w:left w:val="single" w:sz="6" w:space="0" w:color="auto"/>
              <w:bottom w:val="nil"/>
              <w:right w:val="single" w:sz="6" w:space="0" w:color="auto"/>
            </w:tcBorders>
          </w:tcPr>
          <w:p w14:paraId="16E87C47" w14:textId="77777777" w:rsidR="00E91A91" w:rsidRPr="0088232B" w:rsidRDefault="00E91A91" w:rsidP="0088232B">
            <w:pPr>
              <w:pStyle w:val="Tablebody"/>
              <w:jc w:val="left"/>
              <w:rPr>
                <w:b/>
                <w:bCs/>
              </w:rPr>
            </w:pPr>
            <w:r w:rsidRPr="0088232B">
              <w:rPr>
                <w:b/>
                <w:bCs/>
              </w:rPr>
              <w:t>Ductility class</w:t>
            </w:r>
          </w:p>
        </w:tc>
        <w:tc>
          <w:tcPr>
            <w:tcW w:w="2551" w:type="dxa"/>
            <w:gridSpan w:val="2"/>
            <w:tcBorders>
              <w:top w:val="single" w:sz="6" w:space="0" w:color="auto"/>
              <w:left w:val="single" w:sz="6" w:space="0" w:color="auto"/>
              <w:bottom w:val="nil"/>
              <w:right w:val="single" w:sz="6" w:space="0" w:color="auto"/>
            </w:tcBorders>
            <w:vAlign w:val="center"/>
          </w:tcPr>
          <w:p w14:paraId="6FF460A5" w14:textId="77777777" w:rsidR="00E91A91" w:rsidRPr="0088232B" w:rsidRDefault="00E91A91" w:rsidP="0088232B">
            <w:pPr>
              <w:pStyle w:val="Tablebody"/>
              <w:jc w:val="center"/>
              <w:rPr>
                <w:b/>
                <w:bCs/>
              </w:rPr>
            </w:pPr>
            <w:r w:rsidRPr="0088232B">
              <w:rPr>
                <w:b/>
                <w:bCs/>
              </w:rPr>
              <w:t>DC2</w:t>
            </w:r>
          </w:p>
        </w:tc>
        <w:tc>
          <w:tcPr>
            <w:tcW w:w="992" w:type="dxa"/>
            <w:tcBorders>
              <w:top w:val="single" w:sz="6" w:space="0" w:color="auto"/>
              <w:left w:val="single" w:sz="6" w:space="0" w:color="auto"/>
              <w:bottom w:val="nil"/>
              <w:right w:val="single" w:sz="6" w:space="0" w:color="auto"/>
            </w:tcBorders>
            <w:vAlign w:val="center"/>
          </w:tcPr>
          <w:p w14:paraId="0D2C8445" w14:textId="77777777" w:rsidR="00E91A91" w:rsidRPr="0088232B" w:rsidRDefault="00E91A91" w:rsidP="0088232B">
            <w:pPr>
              <w:pStyle w:val="Tablebody"/>
              <w:jc w:val="center"/>
              <w:rPr>
                <w:b/>
                <w:bCs/>
              </w:rPr>
            </w:pPr>
            <w:r w:rsidRPr="0088232B">
              <w:rPr>
                <w:b/>
                <w:bCs/>
              </w:rPr>
              <w:t>DC3</w:t>
            </w:r>
          </w:p>
        </w:tc>
      </w:tr>
      <w:tr w:rsidR="00E91A91" w:rsidRPr="00132C1E" w14:paraId="2EF8DC12" w14:textId="77777777" w:rsidTr="002061E5">
        <w:trPr>
          <w:cantSplit/>
          <w:jc w:val="center"/>
        </w:trPr>
        <w:tc>
          <w:tcPr>
            <w:tcW w:w="6088" w:type="dxa"/>
            <w:tcBorders>
              <w:top w:val="single" w:sz="6" w:space="0" w:color="auto"/>
              <w:left w:val="single" w:sz="6" w:space="0" w:color="auto"/>
              <w:bottom w:val="nil"/>
              <w:right w:val="single" w:sz="6" w:space="0" w:color="auto"/>
            </w:tcBorders>
          </w:tcPr>
          <w:p w14:paraId="0DF3FCBA" w14:textId="77777777" w:rsidR="00E91A91" w:rsidRPr="0088232B" w:rsidRDefault="00E91A91" w:rsidP="0088232B">
            <w:pPr>
              <w:pStyle w:val="Tablebody"/>
              <w:rPr>
                <w:b/>
                <w:bCs/>
              </w:rPr>
            </w:pPr>
            <w:r w:rsidRPr="0088232B">
              <w:rPr>
                <w:b/>
                <w:bCs/>
              </w:rPr>
              <w:t>Reference value of behaviour factor</w:t>
            </w:r>
          </w:p>
        </w:tc>
        <w:tc>
          <w:tcPr>
            <w:tcW w:w="1134" w:type="dxa"/>
            <w:tcBorders>
              <w:top w:val="single" w:sz="6" w:space="0" w:color="auto"/>
              <w:left w:val="single" w:sz="6" w:space="0" w:color="auto"/>
              <w:bottom w:val="nil"/>
              <w:right w:val="single" w:sz="6" w:space="0" w:color="auto"/>
            </w:tcBorders>
            <w:vAlign w:val="center"/>
          </w:tcPr>
          <w:p w14:paraId="64331527" w14:textId="77777777" w:rsidR="00E91A91" w:rsidRPr="0088232B" w:rsidRDefault="00E91A91" w:rsidP="0088232B">
            <w:pPr>
              <w:pStyle w:val="Tablebody"/>
              <w:jc w:val="center"/>
              <w:rPr>
                <w:i/>
              </w:rPr>
            </w:pPr>
            <w:r w:rsidRPr="0088232B">
              <w:rPr>
                <w:i/>
              </w:rPr>
              <w:t>q</w:t>
            </w:r>
            <w:r w:rsidRPr="0088232B">
              <w:t xml:space="preserve"> = 1,5</w:t>
            </w:r>
          </w:p>
        </w:tc>
        <w:tc>
          <w:tcPr>
            <w:tcW w:w="1417" w:type="dxa"/>
            <w:tcBorders>
              <w:top w:val="single" w:sz="6" w:space="0" w:color="auto"/>
              <w:left w:val="single" w:sz="6" w:space="0" w:color="auto"/>
              <w:bottom w:val="nil"/>
              <w:right w:val="single" w:sz="6" w:space="0" w:color="auto"/>
            </w:tcBorders>
            <w:vAlign w:val="center"/>
          </w:tcPr>
          <w:p w14:paraId="16BF721B" w14:textId="6E8ABD2D" w:rsidR="00E91A91" w:rsidRPr="0088232B" w:rsidRDefault="00E91A91" w:rsidP="0088232B">
            <w:pPr>
              <w:pStyle w:val="Tablebody"/>
              <w:rPr>
                <w:i/>
              </w:rPr>
            </w:pPr>
            <w:r w:rsidRPr="0088232B">
              <w:t xml:space="preserve">1,5 </w:t>
            </w:r>
            <m:oMath>
              <m:r>
                <w:rPr>
                  <w:rFonts w:ascii="Cambria Math" w:hAnsi="Cambria Math"/>
                </w:rPr>
                <m:t>&lt;</m:t>
              </m:r>
            </m:oMath>
            <w:r w:rsidRPr="0088232B">
              <w:t xml:space="preserve"> </w:t>
            </w:r>
            <w:r w:rsidRPr="0088232B">
              <w:rPr>
                <w:i/>
              </w:rPr>
              <w:t>q</w:t>
            </w:r>
            <w:r w:rsidRPr="0088232B">
              <w:t xml:space="preserve"> </w:t>
            </w:r>
            <m:oMath>
              <m:r>
                <w:rPr>
                  <w:rFonts w:ascii="Cambria Math" w:hAnsi="Cambria Math"/>
                </w:rPr>
                <m:t>≤</m:t>
              </m:r>
            </m:oMath>
            <w:r w:rsidRPr="0088232B">
              <w:t xml:space="preserve"> 3,5</w:t>
            </w:r>
          </w:p>
        </w:tc>
        <w:tc>
          <w:tcPr>
            <w:tcW w:w="992" w:type="dxa"/>
            <w:tcBorders>
              <w:top w:val="single" w:sz="6" w:space="0" w:color="auto"/>
              <w:left w:val="single" w:sz="6" w:space="0" w:color="auto"/>
              <w:bottom w:val="nil"/>
              <w:right w:val="single" w:sz="6" w:space="0" w:color="auto"/>
            </w:tcBorders>
            <w:vAlign w:val="center"/>
          </w:tcPr>
          <w:p w14:paraId="49892FBA" w14:textId="1BC854A9" w:rsidR="00E91A91" w:rsidRPr="0088232B" w:rsidRDefault="00E91A91" w:rsidP="0088232B">
            <w:pPr>
              <w:pStyle w:val="Tablebody"/>
              <w:jc w:val="center"/>
            </w:pPr>
            <w:r w:rsidRPr="0088232B">
              <w:rPr>
                <w:i/>
              </w:rPr>
              <w:t>q</w:t>
            </w:r>
            <w:r w:rsidRPr="0088232B">
              <w:t xml:space="preserve"> </w:t>
            </w:r>
            <m:oMath>
              <m:r>
                <w:rPr>
                  <w:rFonts w:ascii="Cambria Math" w:hAnsi="Cambria Math"/>
                </w:rPr>
                <m:t>&gt;</m:t>
              </m:r>
            </m:oMath>
            <w:r w:rsidRPr="0088232B">
              <w:t xml:space="preserve"> 3,5</w:t>
            </w:r>
          </w:p>
        </w:tc>
      </w:tr>
      <w:tr w:rsidR="00E91A91" w:rsidRPr="00132C1E" w14:paraId="43ABCD87" w14:textId="77777777" w:rsidTr="002061E5">
        <w:trPr>
          <w:cantSplit/>
          <w:jc w:val="center"/>
        </w:trPr>
        <w:tc>
          <w:tcPr>
            <w:tcW w:w="6088" w:type="dxa"/>
            <w:tcBorders>
              <w:top w:val="single" w:sz="6" w:space="0" w:color="auto"/>
              <w:left w:val="single" w:sz="6" w:space="0" w:color="auto"/>
              <w:bottom w:val="single" w:sz="6" w:space="0" w:color="auto"/>
              <w:right w:val="single" w:sz="6" w:space="0" w:color="auto"/>
            </w:tcBorders>
          </w:tcPr>
          <w:p w14:paraId="1C1F6ECA" w14:textId="77777777" w:rsidR="00E91A91" w:rsidRPr="00D1484A" w:rsidRDefault="00E91A91" w:rsidP="0088232B">
            <w:pPr>
              <w:pStyle w:val="Tablebody"/>
            </w:pPr>
            <w:r w:rsidRPr="00132C1E">
              <w:t>Partially or fully encased H- or I-</w:t>
            </w:r>
            <w:r w:rsidRPr="00D1484A">
              <w:t xml:space="preserve">cross section: </w:t>
            </w:r>
            <m:oMath>
              <m:r>
                <w:rPr>
                  <w:rFonts w:ascii="Cambria Math" w:hAnsi="Cambria Math"/>
                </w:rPr>
                <m:t>c/</m:t>
              </m:r>
              <m:sSub>
                <m:sSubPr>
                  <m:ctrlPr>
                    <w:rPr>
                      <w:rFonts w:ascii="Cambria Math" w:hAnsi="Cambria Math"/>
                      <w:i/>
                    </w:rPr>
                  </m:ctrlPr>
                </m:sSubPr>
                <m:e>
                  <m:r>
                    <w:rPr>
                      <w:rFonts w:ascii="Cambria Math" w:hAnsi="Cambria Math"/>
                    </w:rPr>
                    <m:t>t</m:t>
                  </m:r>
                </m:e>
                <m:sub>
                  <m:r>
                    <m:rPr>
                      <m:sty m:val="p"/>
                    </m:rPr>
                    <w:rPr>
                      <w:rFonts w:ascii="Cambria Math" w:hAnsi="Cambria Math"/>
                    </w:rPr>
                    <m:t>f</m:t>
                  </m:r>
                </m:sub>
              </m:sSub>
            </m:oMath>
            <w:r w:rsidRPr="00132C1E">
              <w:t xml:space="preserve"> limits:</w:t>
            </w:r>
          </w:p>
        </w:tc>
        <w:tc>
          <w:tcPr>
            <w:tcW w:w="1134" w:type="dxa"/>
            <w:tcBorders>
              <w:top w:val="single" w:sz="6" w:space="0" w:color="auto"/>
              <w:left w:val="single" w:sz="6" w:space="0" w:color="auto"/>
              <w:bottom w:val="single" w:sz="6" w:space="0" w:color="auto"/>
              <w:right w:val="single" w:sz="6" w:space="0" w:color="auto"/>
            </w:tcBorders>
            <w:vAlign w:val="center"/>
          </w:tcPr>
          <w:p w14:paraId="7CEA0376" w14:textId="77777777" w:rsidR="00E91A91" w:rsidRPr="007E6F67" w:rsidRDefault="00E91A91" w:rsidP="0088232B">
            <w:pPr>
              <w:pStyle w:val="Tablebody"/>
              <w:jc w:val="center"/>
            </w:pPr>
            <m:oMathPara>
              <m:oMathParaPr>
                <m:jc m:val="center"/>
              </m:oMathParaPr>
              <m:oMath>
                <m:r>
                  <w:rPr>
                    <w:rFonts w:ascii="Cambria Math" w:hAnsi="Cambria Math"/>
                  </w:rPr>
                  <m:t>20ε</m:t>
                </m:r>
              </m:oMath>
            </m:oMathPara>
          </w:p>
        </w:tc>
        <w:tc>
          <w:tcPr>
            <w:tcW w:w="1417" w:type="dxa"/>
            <w:tcBorders>
              <w:top w:val="single" w:sz="6" w:space="0" w:color="auto"/>
              <w:left w:val="single" w:sz="6" w:space="0" w:color="auto"/>
              <w:bottom w:val="single" w:sz="6" w:space="0" w:color="auto"/>
              <w:right w:val="single" w:sz="6" w:space="0" w:color="auto"/>
            </w:tcBorders>
            <w:vAlign w:val="center"/>
          </w:tcPr>
          <w:p w14:paraId="3893BC08" w14:textId="77777777" w:rsidR="00E91A91" w:rsidRPr="00FD17CF" w:rsidRDefault="00E91A91" w:rsidP="0088232B">
            <w:pPr>
              <w:pStyle w:val="Tablebody"/>
              <w:jc w:val="center"/>
            </w:pPr>
            <m:oMathPara>
              <m:oMathParaPr>
                <m:jc m:val="center"/>
              </m:oMathParaPr>
              <m:oMath>
                <m:r>
                  <w:rPr>
                    <w:rFonts w:ascii="Cambria Math" w:hAnsi="Cambria Math"/>
                  </w:rPr>
                  <m:t>14ε</m:t>
                </m:r>
              </m:oMath>
            </m:oMathPara>
          </w:p>
        </w:tc>
        <w:tc>
          <w:tcPr>
            <w:tcW w:w="992" w:type="dxa"/>
            <w:tcBorders>
              <w:top w:val="single" w:sz="6" w:space="0" w:color="auto"/>
              <w:left w:val="single" w:sz="6" w:space="0" w:color="auto"/>
              <w:bottom w:val="single" w:sz="6" w:space="0" w:color="auto"/>
              <w:right w:val="single" w:sz="6" w:space="0" w:color="auto"/>
            </w:tcBorders>
            <w:vAlign w:val="center"/>
          </w:tcPr>
          <w:p w14:paraId="16A1439E" w14:textId="77777777" w:rsidR="00E91A91" w:rsidRPr="00E05E29" w:rsidRDefault="00E91A91" w:rsidP="0088232B">
            <w:pPr>
              <w:pStyle w:val="Tablebody"/>
              <w:jc w:val="center"/>
            </w:pPr>
            <m:oMathPara>
              <m:oMathParaPr>
                <m:jc m:val="center"/>
              </m:oMathParaPr>
              <m:oMath>
                <m:r>
                  <w:rPr>
                    <w:rFonts w:ascii="Cambria Math" w:hAnsi="Cambria Math"/>
                  </w:rPr>
                  <m:t>9ε</m:t>
                </m:r>
              </m:oMath>
            </m:oMathPara>
          </w:p>
        </w:tc>
      </w:tr>
      <w:tr w:rsidR="00E91A91" w:rsidRPr="00132C1E" w14:paraId="340F3758" w14:textId="77777777" w:rsidTr="002061E5">
        <w:trPr>
          <w:cantSplit/>
          <w:jc w:val="center"/>
        </w:trPr>
        <w:tc>
          <w:tcPr>
            <w:tcW w:w="6088" w:type="dxa"/>
            <w:tcBorders>
              <w:top w:val="single" w:sz="6" w:space="0" w:color="auto"/>
              <w:left w:val="single" w:sz="6" w:space="0" w:color="auto"/>
              <w:bottom w:val="single" w:sz="6" w:space="0" w:color="auto"/>
              <w:right w:val="single" w:sz="6" w:space="0" w:color="auto"/>
            </w:tcBorders>
          </w:tcPr>
          <w:p w14:paraId="30F898AC" w14:textId="77777777" w:rsidR="00E91A91" w:rsidRPr="00644C3D" w:rsidRDefault="00E91A91" w:rsidP="0088232B">
            <w:pPr>
              <w:pStyle w:val="Tablebody"/>
            </w:pPr>
            <w:r w:rsidRPr="00132C1E">
              <w:t xml:space="preserve">Filled rectangular </w:t>
            </w:r>
            <w:r w:rsidRPr="00D1484A">
              <w:t xml:space="preserve">cross section: </w:t>
            </w:r>
            <m:oMath>
              <m:r>
                <w:rPr>
                  <w:rFonts w:ascii="Cambria Math" w:hAnsi="Cambria Math"/>
                </w:rPr>
                <m:t>h/t</m:t>
              </m:r>
            </m:oMath>
            <w:r w:rsidRPr="00FD17CF">
              <w:t xml:space="preserve"> limits:</w:t>
            </w:r>
          </w:p>
        </w:tc>
        <w:tc>
          <w:tcPr>
            <w:tcW w:w="1134" w:type="dxa"/>
            <w:tcBorders>
              <w:top w:val="single" w:sz="6" w:space="0" w:color="auto"/>
              <w:left w:val="single" w:sz="6" w:space="0" w:color="auto"/>
              <w:bottom w:val="single" w:sz="6" w:space="0" w:color="auto"/>
              <w:right w:val="single" w:sz="6" w:space="0" w:color="auto"/>
            </w:tcBorders>
            <w:vAlign w:val="center"/>
          </w:tcPr>
          <w:p w14:paraId="4C05D626" w14:textId="77777777" w:rsidR="00E91A91" w:rsidRPr="00E05E29" w:rsidRDefault="00E91A91" w:rsidP="0088232B">
            <w:pPr>
              <w:pStyle w:val="Tablebody"/>
              <w:jc w:val="center"/>
            </w:pPr>
            <m:oMathPara>
              <m:oMathParaPr>
                <m:jc m:val="center"/>
              </m:oMathParaPr>
              <m:oMath>
                <m:r>
                  <w:rPr>
                    <w:rFonts w:ascii="Cambria Math" w:hAnsi="Cambria Math"/>
                  </w:rPr>
                  <m:t>70ε</m:t>
                </m:r>
              </m:oMath>
            </m:oMathPara>
          </w:p>
        </w:tc>
        <w:tc>
          <w:tcPr>
            <w:tcW w:w="1417" w:type="dxa"/>
            <w:tcBorders>
              <w:top w:val="single" w:sz="6" w:space="0" w:color="auto"/>
              <w:left w:val="single" w:sz="6" w:space="0" w:color="auto"/>
              <w:bottom w:val="single" w:sz="6" w:space="0" w:color="auto"/>
              <w:right w:val="single" w:sz="6" w:space="0" w:color="auto"/>
            </w:tcBorders>
            <w:vAlign w:val="center"/>
          </w:tcPr>
          <w:p w14:paraId="16F55D94" w14:textId="77777777" w:rsidR="00E91A91" w:rsidRPr="00E05E29" w:rsidRDefault="00E91A91" w:rsidP="0088232B">
            <w:pPr>
              <w:pStyle w:val="Tablebody"/>
              <w:jc w:val="center"/>
            </w:pPr>
            <m:oMathPara>
              <m:oMathParaPr>
                <m:jc m:val="center"/>
              </m:oMathParaPr>
              <m:oMath>
                <m:r>
                  <w:rPr>
                    <w:rFonts w:ascii="Cambria Math" w:hAnsi="Cambria Math"/>
                  </w:rPr>
                  <m:t>52ε</m:t>
                </m:r>
              </m:oMath>
            </m:oMathPara>
          </w:p>
        </w:tc>
        <w:tc>
          <w:tcPr>
            <w:tcW w:w="992" w:type="dxa"/>
            <w:tcBorders>
              <w:top w:val="single" w:sz="6" w:space="0" w:color="auto"/>
              <w:left w:val="single" w:sz="6" w:space="0" w:color="auto"/>
              <w:bottom w:val="single" w:sz="6" w:space="0" w:color="auto"/>
              <w:right w:val="single" w:sz="6" w:space="0" w:color="auto"/>
            </w:tcBorders>
            <w:vAlign w:val="center"/>
          </w:tcPr>
          <w:p w14:paraId="5E13AE36" w14:textId="77777777" w:rsidR="00E91A91" w:rsidRPr="00196951" w:rsidRDefault="00E91A91" w:rsidP="0088232B">
            <w:pPr>
              <w:pStyle w:val="Tablebody"/>
              <w:jc w:val="center"/>
            </w:pPr>
            <m:oMathPara>
              <m:oMathParaPr>
                <m:jc m:val="center"/>
              </m:oMathParaPr>
              <m:oMath>
                <m:r>
                  <w:rPr>
                    <w:rFonts w:ascii="Cambria Math" w:hAnsi="Cambria Math"/>
                  </w:rPr>
                  <m:t>35ε</m:t>
                </m:r>
              </m:oMath>
            </m:oMathPara>
          </w:p>
        </w:tc>
      </w:tr>
      <w:tr w:rsidR="00E91A91" w:rsidRPr="00132C1E" w14:paraId="2B92D090" w14:textId="77777777" w:rsidTr="002061E5">
        <w:trPr>
          <w:cantSplit/>
          <w:jc w:val="center"/>
        </w:trPr>
        <w:tc>
          <w:tcPr>
            <w:tcW w:w="6088" w:type="dxa"/>
            <w:tcBorders>
              <w:top w:val="single" w:sz="6" w:space="0" w:color="auto"/>
              <w:left w:val="single" w:sz="6" w:space="0" w:color="auto"/>
              <w:bottom w:val="single" w:sz="6" w:space="0" w:color="auto"/>
              <w:right w:val="single" w:sz="6" w:space="0" w:color="auto"/>
            </w:tcBorders>
          </w:tcPr>
          <w:p w14:paraId="46CAE9C2" w14:textId="77777777" w:rsidR="00E91A91" w:rsidRPr="00644C3D" w:rsidRDefault="00E91A91" w:rsidP="0088232B">
            <w:pPr>
              <w:pStyle w:val="Tablebody"/>
            </w:pPr>
            <w:r w:rsidRPr="00132C1E">
              <w:t xml:space="preserve">Filled circular </w:t>
            </w:r>
            <w:r w:rsidRPr="00D1484A">
              <w:t xml:space="preserve">cross section: </w:t>
            </w:r>
            <m:oMath>
              <m:r>
                <w:rPr>
                  <w:rFonts w:ascii="Cambria Math" w:hAnsi="Cambria Math"/>
                </w:rPr>
                <m:t>d/t</m:t>
              </m:r>
            </m:oMath>
            <w:r w:rsidRPr="00FD17CF">
              <w:t xml:space="preserve"> limits:</w:t>
            </w:r>
          </w:p>
        </w:tc>
        <w:tc>
          <w:tcPr>
            <w:tcW w:w="1134" w:type="dxa"/>
            <w:tcBorders>
              <w:top w:val="single" w:sz="6" w:space="0" w:color="auto"/>
              <w:left w:val="single" w:sz="6" w:space="0" w:color="auto"/>
              <w:bottom w:val="single" w:sz="6" w:space="0" w:color="auto"/>
              <w:right w:val="single" w:sz="6" w:space="0" w:color="auto"/>
            </w:tcBorders>
            <w:vAlign w:val="center"/>
          </w:tcPr>
          <w:p w14:paraId="7176998E" w14:textId="77777777" w:rsidR="00E91A91" w:rsidRPr="00132C1E" w:rsidRDefault="00E91A91" w:rsidP="0088232B">
            <w:pPr>
              <w:pStyle w:val="Tablebody"/>
              <w:jc w:val="center"/>
            </w:pPr>
            <m:oMathPara>
              <m:oMathParaPr>
                <m:jc m:val="center"/>
              </m:oMathParaPr>
              <m:oMath>
                <m:r>
                  <w:rPr>
                    <w:rFonts w:ascii="Cambria Math" w:hAnsi="Cambria Math"/>
                  </w:rPr>
                  <m:t>125</m:t>
                </m:r>
                <m:sSup>
                  <m:sSupPr>
                    <m:ctrlPr>
                      <w:rPr>
                        <w:rFonts w:ascii="Cambria Math" w:hAnsi="Cambria Math"/>
                        <w:i/>
                      </w:rPr>
                    </m:ctrlPr>
                  </m:sSupPr>
                  <m:e>
                    <m:r>
                      <w:rPr>
                        <w:rFonts w:ascii="Cambria Math" w:hAnsi="Cambria Math"/>
                      </w:rPr>
                      <m:t>ε</m:t>
                    </m:r>
                  </m:e>
                  <m:sup>
                    <m:r>
                      <w:rPr>
                        <w:rFonts w:ascii="Cambria Math" w:hAnsi="Cambria Math"/>
                      </w:rPr>
                      <m:t>2</m:t>
                    </m:r>
                  </m:sup>
                </m:sSup>
              </m:oMath>
            </m:oMathPara>
          </w:p>
        </w:tc>
        <w:tc>
          <w:tcPr>
            <w:tcW w:w="1417" w:type="dxa"/>
            <w:tcBorders>
              <w:top w:val="single" w:sz="6" w:space="0" w:color="auto"/>
              <w:left w:val="single" w:sz="6" w:space="0" w:color="auto"/>
              <w:bottom w:val="single" w:sz="6" w:space="0" w:color="auto"/>
              <w:right w:val="single" w:sz="6" w:space="0" w:color="auto"/>
            </w:tcBorders>
            <w:vAlign w:val="center"/>
          </w:tcPr>
          <w:p w14:paraId="6DEDD3DF" w14:textId="77777777" w:rsidR="00E91A91" w:rsidRPr="00132C1E" w:rsidRDefault="00E91A91" w:rsidP="0088232B">
            <w:pPr>
              <w:pStyle w:val="Tablebody"/>
              <w:jc w:val="center"/>
            </w:pPr>
            <m:oMathPara>
              <m:oMathParaPr>
                <m:jc m:val="center"/>
              </m:oMathParaPr>
              <m:oMath>
                <m:r>
                  <w:rPr>
                    <w:rFonts w:ascii="Cambria Math" w:hAnsi="Cambria Math"/>
                  </w:rPr>
                  <m:t>90</m:t>
                </m:r>
                <m:sSup>
                  <m:sSupPr>
                    <m:ctrlPr>
                      <w:rPr>
                        <w:rFonts w:ascii="Cambria Math" w:hAnsi="Cambria Math"/>
                        <w:i/>
                      </w:rPr>
                    </m:ctrlPr>
                  </m:sSupPr>
                  <m:e>
                    <m:r>
                      <w:rPr>
                        <w:rFonts w:ascii="Cambria Math" w:hAnsi="Cambria Math"/>
                      </w:rPr>
                      <m:t>ε</m:t>
                    </m:r>
                  </m:e>
                  <m:sup>
                    <m:r>
                      <w:rPr>
                        <w:rFonts w:ascii="Cambria Math" w:hAnsi="Cambria Math"/>
                      </w:rPr>
                      <m:t>2</m:t>
                    </m:r>
                  </m:sup>
                </m:sSup>
              </m:oMath>
            </m:oMathPara>
          </w:p>
        </w:tc>
        <w:tc>
          <w:tcPr>
            <w:tcW w:w="992" w:type="dxa"/>
            <w:tcBorders>
              <w:top w:val="single" w:sz="6" w:space="0" w:color="auto"/>
              <w:left w:val="single" w:sz="6" w:space="0" w:color="auto"/>
              <w:bottom w:val="single" w:sz="6" w:space="0" w:color="auto"/>
              <w:right w:val="single" w:sz="6" w:space="0" w:color="auto"/>
            </w:tcBorders>
            <w:vAlign w:val="center"/>
          </w:tcPr>
          <w:p w14:paraId="57E5F271" w14:textId="77777777" w:rsidR="00E91A91" w:rsidRPr="00132C1E" w:rsidRDefault="00E91A91" w:rsidP="0088232B">
            <w:pPr>
              <w:pStyle w:val="Tablebody"/>
              <w:jc w:val="center"/>
              <w:rPr>
                <w:vertAlign w:val="superscript"/>
              </w:rPr>
            </w:pPr>
            <m:oMathPara>
              <m:oMathParaPr>
                <m:jc m:val="center"/>
              </m:oMathParaPr>
              <m:oMath>
                <m:r>
                  <w:rPr>
                    <w:rFonts w:ascii="Cambria Math" w:hAnsi="Cambria Math"/>
                  </w:rPr>
                  <m:t>80</m:t>
                </m:r>
                <m:sSup>
                  <m:sSupPr>
                    <m:ctrlPr>
                      <w:rPr>
                        <w:rFonts w:ascii="Cambria Math" w:hAnsi="Cambria Math"/>
                        <w:i/>
                      </w:rPr>
                    </m:ctrlPr>
                  </m:sSupPr>
                  <m:e>
                    <m:r>
                      <w:rPr>
                        <w:rFonts w:ascii="Cambria Math" w:hAnsi="Cambria Math"/>
                      </w:rPr>
                      <m:t>ε</m:t>
                    </m:r>
                  </m:e>
                  <m:sup>
                    <m:r>
                      <w:rPr>
                        <w:rFonts w:ascii="Cambria Math" w:hAnsi="Cambria Math"/>
                      </w:rPr>
                      <m:t>2</m:t>
                    </m:r>
                  </m:sup>
                </m:sSup>
              </m:oMath>
            </m:oMathPara>
          </w:p>
        </w:tc>
      </w:tr>
    </w:tbl>
    <w:p w14:paraId="3A57F34A" w14:textId="329D4F5C" w:rsidR="00E91A91" w:rsidRDefault="00675EBA" w:rsidP="0088232B">
      <w:pPr>
        <w:pStyle w:val="Text"/>
      </w:pPr>
      <w:r>
        <w:t>where</w:t>
      </w:r>
    </w:p>
    <w:tbl>
      <w:tblPr>
        <w:tblW w:w="0" w:type="auto"/>
        <w:tblInd w:w="346" w:type="dxa"/>
        <w:tblLook w:val="04A0" w:firstRow="1" w:lastRow="0" w:firstColumn="1" w:lastColumn="0" w:noHBand="0" w:noVBand="1"/>
      </w:tblPr>
      <w:tblGrid>
        <w:gridCol w:w="1373"/>
        <w:gridCol w:w="7844"/>
      </w:tblGrid>
      <w:tr w:rsidR="00592E90" w:rsidRPr="00821B21" w14:paraId="71D3CE7A" w14:textId="77777777" w:rsidTr="002E3AAB">
        <w:tc>
          <w:tcPr>
            <w:tcW w:w="1373" w:type="dxa"/>
          </w:tcPr>
          <w:p w14:paraId="0E5EDF6C" w14:textId="694EA536" w:rsidR="00592E90" w:rsidRPr="00592E90" w:rsidRDefault="00592E90" w:rsidP="002061E5">
            <w:pPr>
              <w:spacing w:after="60"/>
              <w:rPr>
                <w:i/>
              </w:rPr>
            </w:pPr>
            <m:oMathPara>
              <m:oMathParaPr>
                <m:jc m:val="left"/>
              </m:oMathParaPr>
              <m:oMath>
                <m:r>
                  <w:rPr>
                    <w:rFonts w:ascii="Cambria Math" w:hAnsi="Cambria Math"/>
                  </w:rPr>
                  <m:t>ε</m:t>
                </m:r>
              </m:oMath>
            </m:oMathPara>
          </w:p>
        </w:tc>
        <w:tc>
          <w:tcPr>
            <w:tcW w:w="7844" w:type="dxa"/>
          </w:tcPr>
          <w:p w14:paraId="68ADE269" w14:textId="7102979A" w:rsidR="00592E90" w:rsidRPr="00592E90" w:rsidRDefault="00592E90" w:rsidP="002061E5">
            <w:pPr>
              <w:spacing w:after="60"/>
            </w:pPr>
            <m:oMathPara>
              <m:oMathParaPr>
                <m:jc m:val="left"/>
              </m:oMathParaPr>
              <m:oMath>
                <m:r>
                  <m:rPr>
                    <m:sty m:val="p"/>
                  </m:rPr>
                  <w:rPr>
                    <w:rFonts w:ascii="Cambria Math" w:hAnsi="Cambria Math"/>
                  </w:rPr>
                  <m:t>=</m:t>
                </m:r>
                <m:sSup>
                  <m:sSupPr>
                    <m:ctrlPr>
                      <w:rPr>
                        <w:rFonts w:ascii="Cambria Math" w:hAnsi="Cambria Math"/>
                      </w:rPr>
                    </m:ctrlPr>
                  </m:sSupPr>
                  <m:e>
                    <m:d>
                      <m:dPr>
                        <m:ctrlPr>
                          <w:rPr>
                            <w:rFonts w:ascii="Cambria Math" w:hAnsi="Cambria Math"/>
                          </w:rPr>
                        </m:ctrlPr>
                      </m:dPr>
                      <m:e>
                        <m:f>
                          <m:fPr>
                            <m:type m:val="lin"/>
                            <m:ctrlPr>
                              <w:rPr>
                                <w:rFonts w:ascii="Cambria Math" w:hAnsi="Cambria Math"/>
                              </w:rPr>
                            </m:ctrlPr>
                          </m:fPr>
                          <m:num>
                            <m:r>
                              <m:rPr>
                                <m:sty m:val="p"/>
                              </m:rPr>
                              <w:rPr>
                                <w:rFonts w:ascii="Cambria Math" w:hAnsi="Cambria Math"/>
                              </w:rPr>
                              <m:t>235</m:t>
                            </m:r>
                          </m:num>
                          <m:den>
                            <m:sSub>
                              <m:sSubPr>
                                <m:ctrlPr>
                                  <w:rPr>
                                    <w:rFonts w:ascii="Cambria Math" w:hAnsi="Cambria Math"/>
                                  </w:rPr>
                                </m:ctrlPr>
                              </m:sSubPr>
                              <m:e>
                                <m:r>
                                  <w:rPr>
                                    <w:rFonts w:ascii="Cambria Math" w:hAnsi="Cambria Math"/>
                                  </w:rPr>
                                  <m:t>f</m:t>
                                </m:r>
                              </m:e>
                              <m:sub>
                                <m:r>
                                  <m:rPr>
                                    <m:sty m:val="p"/>
                                  </m:rPr>
                                  <w:rPr>
                                    <w:rFonts w:ascii="Cambria Math" w:hAnsi="Cambria Math"/>
                                  </w:rPr>
                                  <m:t>y</m:t>
                                </m:r>
                              </m:sub>
                            </m:sSub>
                          </m:den>
                        </m:f>
                      </m:e>
                    </m:d>
                  </m:e>
                  <m:sup>
                    <m:r>
                      <m:rPr>
                        <m:sty m:val="p"/>
                      </m:rPr>
                      <w:rPr>
                        <w:rFonts w:ascii="Cambria Math" w:hAnsi="Cambria Math"/>
                      </w:rPr>
                      <m:t>0,5</m:t>
                    </m:r>
                  </m:sup>
                </m:sSup>
              </m:oMath>
            </m:oMathPara>
          </w:p>
        </w:tc>
      </w:tr>
      <w:tr w:rsidR="00592E90" w:rsidRPr="00821B21" w14:paraId="0BD6EDEC" w14:textId="77777777" w:rsidTr="002E3AAB">
        <w:tc>
          <w:tcPr>
            <w:tcW w:w="1373" w:type="dxa"/>
          </w:tcPr>
          <w:p w14:paraId="65A51395" w14:textId="4A90BF68" w:rsidR="00592E90" w:rsidRPr="005059E8" w:rsidRDefault="00592E90" w:rsidP="002061E5">
            <w:pPr>
              <w:spacing w:after="60"/>
              <w:rPr>
                <w:i/>
              </w:rPr>
            </w:pPr>
            <w:r w:rsidRPr="00D1484A">
              <w:rPr>
                <w:iCs/>
              </w:rPr>
              <w:t>f</w:t>
            </w:r>
            <w:r w:rsidRPr="00D1484A">
              <w:rPr>
                <w:vertAlign w:val="subscript"/>
              </w:rPr>
              <w:t>y</w:t>
            </w:r>
          </w:p>
        </w:tc>
        <w:tc>
          <w:tcPr>
            <w:tcW w:w="7844" w:type="dxa"/>
          </w:tcPr>
          <w:p w14:paraId="08ED1F50" w14:textId="0A419507" w:rsidR="00592E90" w:rsidRPr="00571E24" w:rsidRDefault="00592E90" w:rsidP="002061E5">
            <w:pPr>
              <w:spacing w:after="60"/>
            </w:pPr>
            <w:r w:rsidRPr="00D1484A">
              <w:t>is the nominal yield stress of the steel material;</w:t>
            </w:r>
          </w:p>
        </w:tc>
      </w:tr>
      <w:tr w:rsidR="00592E90" w:rsidRPr="00821B21" w14:paraId="42966442" w14:textId="77777777" w:rsidTr="002E3AAB">
        <w:tc>
          <w:tcPr>
            <w:tcW w:w="1373" w:type="dxa"/>
          </w:tcPr>
          <w:p w14:paraId="0EE8925E" w14:textId="5DF57978" w:rsidR="00592E90" w:rsidRPr="00592E90" w:rsidRDefault="00592E90" w:rsidP="002061E5">
            <w:pPr>
              <w:spacing w:after="60"/>
              <w:rPr>
                <w:iCs/>
              </w:rPr>
            </w:pPr>
            <m:oMathPara>
              <m:oMathParaPr>
                <m:jc m:val="left"/>
              </m:oMathParaPr>
              <m:oMath>
                <m:r>
                  <w:rPr>
                    <w:rFonts w:ascii="Cambria Math" w:hAnsi="Cambria Math"/>
                  </w:rPr>
                  <m:t>c</m:t>
                </m:r>
                <m:r>
                  <m:rPr>
                    <m:sty m:val="p"/>
                  </m:rPr>
                  <w:rPr>
                    <w:rFonts w:ascii="Cambria Math" w:hAnsi="Cambria Math"/>
                  </w:rPr>
                  <m:t>/</m:t>
                </m:r>
                <m:sSub>
                  <m:sSubPr>
                    <m:ctrlPr>
                      <w:rPr>
                        <w:rFonts w:ascii="Cambria Math" w:hAnsi="Cambria Math"/>
                      </w:rPr>
                    </m:ctrlPr>
                  </m:sSubPr>
                  <m:e>
                    <m:r>
                      <w:rPr>
                        <w:rFonts w:ascii="Cambria Math" w:hAnsi="Cambria Math"/>
                      </w:rPr>
                      <m:t>t</m:t>
                    </m:r>
                  </m:e>
                  <m:sub>
                    <m:r>
                      <m:rPr>
                        <m:sty m:val="p"/>
                      </m:rPr>
                      <w:rPr>
                        <w:rFonts w:ascii="Cambria Math" w:hAnsi="Cambria Math"/>
                      </w:rPr>
                      <m:t>f</m:t>
                    </m:r>
                  </m:sub>
                </m:sSub>
              </m:oMath>
            </m:oMathPara>
          </w:p>
        </w:tc>
        <w:tc>
          <w:tcPr>
            <w:tcW w:w="7844" w:type="dxa"/>
          </w:tcPr>
          <w:p w14:paraId="0B43C983" w14:textId="713B2D09" w:rsidR="00592E90" w:rsidRPr="00D1484A" w:rsidRDefault="00592E90" w:rsidP="002061E5">
            <w:pPr>
              <w:spacing w:after="60"/>
            </w:pPr>
            <w:r w:rsidRPr="00132C1E">
              <w:t xml:space="preserve">is as defined </w:t>
            </w:r>
            <w:r w:rsidRPr="00592E90">
              <w:rPr>
                <w:color w:val="000000" w:themeColor="text1"/>
              </w:rPr>
              <w:t>in Figure 12.3(a)</w:t>
            </w:r>
            <w:r>
              <w:rPr>
                <w:color w:val="000000" w:themeColor="text1"/>
              </w:rPr>
              <w:t>;</w:t>
            </w:r>
          </w:p>
        </w:tc>
      </w:tr>
      <w:tr w:rsidR="00592E90" w:rsidRPr="00821B21" w14:paraId="6B935E04" w14:textId="77777777" w:rsidTr="002E3AAB">
        <w:tc>
          <w:tcPr>
            <w:tcW w:w="1373" w:type="dxa"/>
          </w:tcPr>
          <w:p w14:paraId="6207E182" w14:textId="666A4CC0" w:rsidR="00592E90" w:rsidRPr="00D1484A" w:rsidRDefault="00592E90" w:rsidP="002061E5">
            <w:pPr>
              <w:spacing w:after="60"/>
              <w:rPr>
                <w:iCs/>
              </w:rPr>
            </w:pPr>
            <m:oMath>
              <m:r>
                <w:rPr>
                  <w:rFonts w:ascii="Cambria Math" w:hAnsi="Cambria Math"/>
                </w:rPr>
                <m:t>h</m:t>
              </m:r>
              <m:r>
                <m:rPr>
                  <m:sty m:val="p"/>
                </m:rPr>
                <w:rPr>
                  <w:rFonts w:ascii="Cambria Math" w:hAnsi="Cambria Math"/>
                </w:rPr>
                <m:t>/</m:t>
              </m:r>
              <m:r>
                <w:rPr>
                  <w:rFonts w:ascii="Cambria Math" w:hAnsi="Cambria Math"/>
                </w:rPr>
                <m:t>t</m:t>
              </m:r>
            </m:oMath>
            <w:r w:rsidRPr="00644C3D">
              <w:t xml:space="preserve"> and </w:t>
            </w:r>
            <m:oMath>
              <m:r>
                <w:rPr>
                  <w:rFonts w:ascii="Cambria Math" w:hAnsi="Cambria Math"/>
                </w:rPr>
                <m:t>d</m:t>
              </m:r>
              <m:r>
                <m:rPr>
                  <m:sty m:val="p"/>
                </m:rPr>
                <w:rPr>
                  <w:rFonts w:ascii="Cambria Math" w:hAnsi="Cambria Math"/>
                </w:rPr>
                <m:t>/</m:t>
              </m:r>
              <m:r>
                <w:rPr>
                  <w:rFonts w:ascii="Cambria Math" w:hAnsi="Cambria Math"/>
                </w:rPr>
                <m:t>t</m:t>
              </m:r>
            </m:oMath>
          </w:p>
        </w:tc>
        <w:tc>
          <w:tcPr>
            <w:tcW w:w="7844" w:type="dxa"/>
          </w:tcPr>
          <w:p w14:paraId="636317C2" w14:textId="2ED7FDAF" w:rsidR="00592E90" w:rsidRPr="00D1484A" w:rsidRDefault="00592E90" w:rsidP="002061E5">
            <w:pPr>
              <w:spacing w:after="60"/>
            </w:pPr>
            <w:r w:rsidRPr="00592E90">
              <w:rPr>
                <w:color w:val="000000" w:themeColor="text1"/>
              </w:rPr>
              <w:t>are the ratio between the maximum external dimension-to-the wall thickness of the steel profile as defined in Figure 12.3(b) and (c).</w:t>
            </w:r>
          </w:p>
        </w:tc>
      </w:tr>
    </w:tbl>
    <w:p w14:paraId="230CFDAE" w14:textId="745C9572" w:rsidR="00E91A91" w:rsidRPr="00132C1E" w:rsidRDefault="00A2065B" w:rsidP="00A2065B">
      <w:pPr>
        <w:pStyle w:val="FigureImage"/>
      </w:pPr>
      <w:r>
        <w:rPr>
          <w:noProof/>
        </w:rPr>
        <w:drawing>
          <wp:inline distT="0" distB="0" distL="0" distR="0" wp14:anchorId="1EDE1F17" wp14:editId="34271322">
            <wp:extent cx="5399541" cy="1812039"/>
            <wp:effectExtent l="0" t="0" r="0" b="0"/>
            <wp:docPr id="1661690630" name="0041.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1690630" name="0041.tiff"/>
                    <pic:cNvPicPr/>
                  </pic:nvPicPr>
                  <pic:blipFill>
                    <a:blip r:link="rId56"/>
                    <a:stretch>
                      <a:fillRect/>
                    </a:stretch>
                  </pic:blipFill>
                  <pic:spPr>
                    <a:xfrm>
                      <a:off x="0" y="0"/>
                      <a:ext cx="5399541" cy="1812039"/>
                    </a:xfrm>
                    <a:prstGeom prst="rect">
                      <a:avLst/>
                    </a:prstGeom>
                  </pic:spPr>
                </pic:pic>
              </a:graphicData>
            </a:graphic>
          </wp:inline>
        </w:drawing>
      </w:r>
    </w:p>
    <w:p w14:paraId="446CB3A8" w14:textId="77777777" w:rsidR="00E91A91" w:rsidRPr="00D1484A" w:rsidRDefault="00E91A91" w:rsidP="00A2065B">
      <w:pPr>
        <w:pStyle w:val="KeyTitle"/>
      </w:pPr>
      <w:bookmarkStart w:id="10135" w:name="_Ref17571589"/>
      <w:r w:rsidRPr="00D1484A">
        <w:t>Key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9"/>
        <w:gridCol w:w="2554"/>
      </w:tblGrid>
      <w:tr w:rsidR="00E91A91" w:rsidRPr="00FE71E5" w14:paraId="526AC4C9" w14:textId="77777777" w:rsidTr="00592E90">
        <w:tc>
          <w:tcPr>
            <w:tcW w:w="389" w:type="dxa"/>
          </w:tcPr>
          <w:p w14:paraId="19351DC2" w14:textId="77777777" w:rsidR="00E91A91" w:rsidRPr="00FE71E5" w:rsidRDefault="00E91A91" w:rsidP="00FE71E5">
            <w:pPr>
              <w:pStyle w:val="KeyText"/>
              <w:spacing w:before="0"/>
              <w:rPr>
                <w:iCs/>
              </w:rPr>
            </w:pPr>
            <w:r w:rsidRPr="00FE71E5">
              <w:rPr>
                <w:iCs/>
              </w:rPr>
              <w:t>A</w:t>
            </w:r>
          </w:p>
        </w:tc>
        <w:tc>
          <w:tcPr>
            <w:tcW w:w="2554" w:type="dxa"/>
          </w:tcPr>
          <w:p w14:paraId="25C35A45" w14:textId="7D4C87A3" w:rsidR="00E91A91" w:rsidRPr="00FE71E5" w:rsidRDefault="005007CF" w:rsidP="00FE71E5">
            <w:pPr>
              <w:pStyle w:val="KeyText"/>
              <w:spacing w:before="0"/>
            </w:pPr>
            <w:r w:rsidRPr="00FE71E5">
              <w:t>s</w:t>
            </w:r>
            <w:r w:rsidR="00E91A91" w:rsidRPr="00FE71E5">
              <w:t>traight links</w:t>
            </w:r>
          </w:p>
        </w:tc>
      </w:tr>
    </w:tbl>
    <w:p w14:paraId="650C23F1" w14:textId="3A58801D" w:rsidR="00E91A91" w:rsidRPr="00644C3D" w:rsidRDefault="00E91A91" w:rsidP="00592E90">
      <w:pPr>
        <w:pStyle w:val="Figuretitle"/>
      </w:pPr>
      <w:bookmarkStart w:id="10136" w:name="_Ref19625836"/>
      <w:bookmarkStart w:id="10137" w:name="_Ref19625736"/>
      <w:r w:rsidRPr="00132C1E">
        <w:t xml:space="preserve">Figure </w:t>
      </w:r>
      <w:r w:rsidR="00592E90">
        <w:t>12</w:t>
      </w:r>
      <w:r w:rsidRPr="00132C1E">
        <w:t>.</w:t>
      </w:r>
      <w:r w:rsidR="00D90EF6">
        <w:t>3</w:t>
      </w:r>
      <w:r w:rsidRPr="00132C1E">
        <w:t xml:space="preserve"> — Definitions of local slenderness limits of encased </w:t>
      </w:r>
      <w:r w:rsidRPr="00D1484A">
        <w:t xml:space="preserve">or filled composite cross </w:t>
      </w:r>
      <w:r w:rsidRPr="007E6F67">
        <w:t xml:space="preserve">sections in </w:t>
      </w:r>
      <w:r w:rsidRPr="00FD17CF">
        <w:t>dissipative composite members</w:t>
      </w:r>
      <w:bookmarkEnd w:id="10136"/>
    </w:p>
    <w:p w14:paraId="1DCBB4FC" w14:textId="77777777" w:rsidR="00E91A91" w:rsidRPr="00E05E29" w:rsidRDefault="00E91A91" w:rsidP="00C035AF">
      <w:pPr>
        <w:pStyle w:val="Heading3"/>
      </w:pPr>
      <w:bookmarkStart w:id="10138" w:name="_Toc17827822"/>
      <w:bookmarkStart w:id="10139" w:name="_Toc50150507"/>
      <w:bookmarkStart w:id="10140" w:name="_Toc70886939"/>
      <w:bookmarkStart w:id="10141" w:name="_Toc108342499"/>
      <w:bookmarkStart w:id="10142" w:name="_Toc134198031"/>
      <w:bookmarkEnd w:id="10135"/>
      <w:bookmarkEnd w:id="10137"/>
      <w:r>
        <w:lastRenderedPageBreak/>
        <w:t>Verification of</w:t>
      </w:r>
      <w:r w:rsidRPr="00644C3D">
        <w:t xml:space="preserve"> dissipative </w:t>
      </w:r>
      <w:r w:rsidRPr="00E05E29">
        <w:t>members in tension</w:t>
      </w:r>
      <w:bookmarkEnd w:id="10138"/>
      <w:bookmarkEnd w:id="10139"/>
      <w:bookmarkEnd w:id="10140"/>
      <w:bookmarkEnd w:id="10141"/>
      <w:bookmarkEnd w:id="10142"/>
    </w:p>
    <w:p w14:paraId="2AEAF89F" w14:textId="39C697D1" w:rsidR="00E91A91" w:rsidRDefault="00E91A91" w:rsidP="0080187E">
      <w:pPr>
        <w:pStyle w:val="Clause"/>
        <w:numPr>
          <w:ilvl w:val="0"/>
          <w:numId w:val="439"/>
        </w:numPr>
      </w:pPr>
      <w:r w:rsidRPr="00E05E29">
        <w:t xml:space="preserve">For dissipative steel members or </w:t>
      </w:r>
      <w:r w:rsidR="00F76B2E">
        <w:t xml:space="preserve">composite members or </w:t>
      </w:r>
      <w:r w:rsidRPr="00E05E29">
        <w:t xml:space="preserve">their parts in tension, the ductility provisions </w:t>
      </w:r>
      <w:r w:rsidRPr="001903EF">
        <w:t xml:space="preserve">in </w:t>
      </w:r>
      <w:r w:rsidRPr="00D46D6D">
        <w:t>11.8.4</w:t>
      </w:r>
      <w:r w:rsidRPr="001903EF">
        <w:t xml:space="preserve"> should be </w:t>
      </w:r>
      <w:r w:rsidRPr="00E05E29">
        <w:t>applied.</w:t>
      </w:r>
    </w:p>
    <w:p w14:paraId="1A0D5566" w14:textId="77777777" w:rsidR="00E91A91" w:rsidRPr="00644C3D" w:rsidRDefault="00E91A91" w:rsidP="00C035AF">
      <w:pPr>
        <w:pStyle w:val="Heading3"/>
      </w:pPr>
      <w:bookmarkStart w:id="10143" w:name="_Toc17827823"/>
      <w:bookmarkStart w:id="10144" w:name="_Toc50150508"/>
      <w:bookmarkStart w:id="10145" w:name="_Toc70886940"/>
      <w:bookmarkStart w:id="10146" w:name="_Toc108342500"/>
      <w:bookmarkStart w:id="10147" w:name="_Toc134198032"/>
      <w:r>
        <w:t>Verification of</w:t>
      </w:r>
      <w:r w:rsidRPr="00644C3D">
        <w:t xml:space="preserve"> members</w:t>
      </w:r>
      <w:bookmarkEnd w:id="10143"/>
      <w:bookmarkEnd w:id="10144"/>
      <w:bookmarkEnd w:id="10145"/>
      <w:r>
        <w:t xml:space="preserve"> in DC2 and DC3</w:t>
      </w:r>
      <w:bookmarkEnd w:id="10146"/>
      <w:bookmarkEnd w:id="10147"/>
    </w:p>
    <w:p w14:paraId="0C91F2D0" w14:textId="77777777" w:rsidR="00E91A91" w:rsidRPr="001E26B6" w:rsidRDefault="00E91A91" w:rsidP="0080187E">
      <w:pPr>
        <w:pStyle w:val="Clause"/>
        <w:numPr>
          <w:ilvl w:val="0"/>
          <w:numId w:val="440"/>
        </w:numPr>
      </w:pPr>
      <w:r w:rsidRPr="00F93317">
        <w:t>In DC2, the resistance and stability of members defined by structural type in Table 12.5 and of the connections of these members should be verified by considering the most unfavourable combination of the axial force</w:t>
      </w:r>
      <w:r w:rsidRPr="001903EF">
        <w:rPr>
          <w:i/>
        </w:rPr>
        <w:t xml:space="preserve"> N</w:t>
      </w:r>
      <w:r w:rsidRPr="001903EF">
        <w:rPr>
          <w:vertAlign w:val="subscript"/>
        </w:rPr>
        <w:t>Ed</w:t>
      </w:r>
      <w:r w:rsidRPr="00F93317">
        <w:t xml:space="preserve">, bending moments </w:t>
      </w:r>
      <w:r w:rsidRPr="001903EF">
        <w:rPr>
          <w:i/>
        </w:rPr>
        <w:t>M</w:t>
      </w:r>
      <w:r w:rsidRPr="001903EF">
        <w:rPr>
          <w:vertAlign w:val="subscript"/>
        </w:rPr>
        <w:t>Ed</w:t>
      </w:r>
      <w:r w:rsidRPr="00F93317">
        <w:t xml:space="preserve"> and shear force</w:t>
      </w:r>
      <w:r w:rsidRPr="001903EF">
        <w:rPr>
          <w:i/>
        </w:rPr>
        <w:t xml:space="preserve"> V</w:t>
      </w:r>
      <w:r w:rsidRPr="001903EF">
        <w:rPr>
          <w:vertAlign w:val="subscript"/>
        </w:rPr>
        <w:t>Ed</w:t>
      </w:r>
      <w:r w:rsidRPr="00F93317">
        <w:t xml:space="preserve">, calculated according to Formula (11.2). The seismic action magnification factor </w:t>
      </w:r>
      <m:oMath>
        <m:r>
          <w:rPr>
            <w:rFonts w:ascii="Cambria Math" w:hAnsi="Cambria Math"/>
          </w:rPr>
          <m:t>Ω</m:t>
        </m:r>
      </m:oMath>
      <w:r w:rsidRPr="001903EF">
        <w:rPr>
          <w:iCs/>
        </w:rPr>
        <w:t xml:space="preserve"> in Formula (11.2) </w:t>
      </w:r>
      <w:r w:rsidRPr="00F93317">
        <w:t xml:space="preserve">should be taken as given in Table 12.5 and </w:t>
      </w:r>
      <w:r w:rsidRPr="00D46D6D">
        <w:t>11.8.5(1)</w:t>
      </w:r>
      <w:r w:rsidRPr="001E26B6">
        <w:t>.</w:t>
      </w:r>
    </w:p>
    <w:p w14:paraId="561CD759" w14:textId="6E656E13" w:rsidR="00E91A91" w:rsidRPr="00592E90" w:rsidRDefault="00E91A91" w:rsidP="00724E4E">
      <w:pPr>
        <w:pStyle w:val="Clause"/>
      </w:pPr>
      <w:r w:rsidRPr="00E05E29">
        <w:t xml:space="preserve">In DC3, the resistance and stability of non-dissipative members should be verified considering the most unfavourable </w:t>
      </w:r>
      <w:r w:rsidRPr="00F93317">
        <w:t>combination of the axial force</w:t>
      </w:r>
      <w:r w:rsidRPr="004F74EA">
        <w:rPr>
          <w:i/>
        </w:rPr>
        <w:t xml:space="preserve"> N</w:t>
      </w:r>
      <w:r w:rsidRPr="004F74EA">
        <w:rPr>
          <w:vertAlign w:val="subscript"/>
        </w:rPr>
        <w:t>Ed</w:t>
      </w:r>
      <w:r w:rsidRPr="00F93317">
        <w:t xml:space="preserve">, bending moment </w:t>
      </w:r>
      <w:r w:rsidRPr="004F74EA">
        <w:rPr>
          <w:i/>
        </w:rPr>
        <w:t>M</w:t>
      </w:r>
      <w:r w:rsidRPr="004F74EA">
        <w:rPr>
          <w:vertAlign w:val="subscript"/>
        </w:rPr>
        <w:t>Ed</w:t>
      </w:r>
      <w:r w:rsidRPr="00F93317">
        <w:t xml:space="preserve"> and shear force</w:t>
      </w:r>
      <w:r w:rsidRPr="004F74EA">
        <w:rPr>
          <w:i/>
        </w:rPr>
        <w:t xml:space="preserve"> V</w:t>
      </w:r>
      <w:r w:rsidRPr="004F74EA">
        <w:rPr>
          <w:vertAlign w:val="subscript"/>
        </w:rPr>
        <w:t>Ed</w:t>
      </w:r>
      <w:r w:rsidRPr="00F93317">
        <w:t xml:space="preserve">, calculated according to Formula (11.3) and </w:t>
      </w:r>
      <w:r w:rsidRPr="00D46D6D">
        <w:t>11.8.5(2)</w:t>
      </w:r>
      <w:r w:rsidRPr="00F93317">
        <w:t>.</w:t>
      </w:r>
    </w:p>
    <w:p w14:paraId="2B7E5D9B" w14:textId="443CB7E1" w:rsidR="00E91A91" w:rsidRPr="00592E90" w:rsidRDefault="00E91A91" w:rsidP="00724E4E">
      <w:pPr>
        <w:pStyle w:val="Clause"/>
      </w:pPr>
      <w:r w:rsidRPr="00E05E29">
        <w:t xml:space="preserve">In DC3, the design </w:t>
      </w:r>
      <w:r w:rsidRPr="00F93317">
        <w:t xml:space="preserve">overstrength factor, </w:t>
      </w:r>
      <w:r w:rsidRPr="004F74EA">
        <w:rPr>
          <w:i/>
          <w:iCs/>
        </w:rPr>
        <w:t>Ω</w:t>
      </w:r>
      <w:r w:rsidRPr="004F74EA">
        <w:rPr>
          <w:vertAlign w:val="subscript"/>
        </w:rPr>
        <w:t>d</w:t>
      </w:r>
      <w:r w:rsidRPr="00F93317">
        <w:t xml:space="preserve"> should not be smaller than 1,0. It should depend on the structural type as specified in </w:t>
      </w:r>
      <w:r w:rsidRPr="00D46D6D">
        <w:t>12.9</w:t>
      </w:r>
      <w:r w:rsidRPr="00F93317">
        <w:t xml:space="preserve"> to </w:t>
      </w:r>
      <w:r w:rsidRPr="00D46D6D">
        <w:t>12.14</w:t>
      </w:r>
      <w:r w:rsidRPr="00F93317">
        <w:t xml:space="preserve">. The non-dissipative members to which Formula (11.3) should be applied with </w:t>
      </w:r>
      <w:r w:rsidRPr="00D46D6D">
        <w:t>11.8.5(2)</w:t>
      </w:r>
      <w:r w:rsidRPr="00F93317">
        <w:t xml:space="preserve"> are those defined in Table 12.5</w:t>
      </w:r>
      <w:r w:rsidRPr="00E05E29">
        <w:t>.</w:t>
      </w:r>
    </w:p>
    <w:p w14:paraId="29D9C8D8" w14:textId="2BE55760" w:rsidR="00E91A91" w:rsidRPr="00592E90" w:rsidRDefault="00E91A91" w:rsidP="00724E4E">
      <w:pPr>
        <w:pStyle w:val="Clause"/>
      </w:pPr>
      <w:r w:rsidRPr="00D46D6D">
        <w:t>11.8.6</w:t>
      </w:r>
      <w:r w:rsidRPr="00F93317">
        <w:t xml:space="preserve"> should </w:t>
      </w:r>
      <w:r w:rsidRPr="00E05E29">
        <w:t>be applied.</w:t>
      </w:r>
    </w:p>
    <w:p w14:paraId="22FACF87" w14:textId="1855C4E9" w:rsidR="00E91A91" w:rsidRPr="004F74EA" w:rsidRDefault="00E91A91" w:rsidP="00724E4E">
      <w:pPr>
        <w:pStyle w:val="Clause"/>
      </w:pPr>
      <w:r w:rsidRPr="00E05E29">
        <w:t xml:space="preserve">In DC3, composite structural wall systems should be designed with a seismic action magnification factor </w:t>
      </w:r>
      <w:r w:rsidRPr="004F74EA">
        <w:rPr>
          <w:i/>
          <w:iCs/>
        </w:rPr>
        <w:t>Ω</w:t>
      </w:r>
      <w:r w:rsidRPr="004F74EA">
        <w:rPr>
          <w:vertAlign w:val="subscript"/>
        </w:rPr>
        <w:t>sh</w:t>
      </w:r>
      <w:r w:rsidRPr="004F74EA">
        <w:rPr>
          <w:i/>
          <w:iCs/>
        </w:rPr>
        <w:t xml:space="preserve"> Ω</w:t>
      </w:r>
      <w:r w:rsidRPr="004F74EA">
        <w:rPr>
          <w:vertAlign w:val="subscript"/>
        </w:rPr>
        <w:t>rm</w:t>
      </w:r>
      <w:r w:rsidRPr="004F74EA">
        <w:rPr>
          <w:i/>
          <w:iCs/>
        </w:rPr>
        <w:t xml:space="preserve"> Ω</w:t>
      </w:r>
      <w:r w:rsidRPr="004F74EA">
        <w:rPr>
          <w:vertAlign w:val="subscript"/>
        </w:rPr>
        <w:t>d</w:t>
      </w:r>
      <w:r w:rsidRPr="004F74EA">
        <w:rPr>
          <w:i/>
          <w:iCs/>
        </w:rPr>
        <w:t xml:space="preserve"> </w:t>
      </w:r>
      <w:r w:rsidRPr="00E05E29">
        <w:t>equal to 2,0.</w:t>
      </w:r>
    </w:p>
    <w:p w14:paraId="0AF82558" w14:textId="39222670" w:rsidR="00E91A91" w:rsidRPr="00E05E29" w:rsidRDefault="00E91A91" w:rsidP="00F93317">
      <w:pPr>
        <w:pStyle w:val="Tabletitle"/>
      </w:pPr>
      <w:bookmarkStart w:id="10148" w:name="_Ref23415315"/>
      <w:bookmarkStart w:id="10149" w:name="_Ref17572572"/>
      <w:r w:rsidRPr="00E05E29">
        <w:t xml:space="preserve">Table </w:t>
      </w:r>
      <w:bookmarkEnd w:id="10148"/>
      <w:r w:rsidR="00F93317">
        <w:t>12.</w:t>
      </w:r>
      <w:r w:rsidR="00C15609">
        <w:t>5</w:t>
      </w:r>
      <w:r w:rsidRPr="00132C1E">
        <w:t> — </w:t>
      </w:r>
      <w:r w:rsidRPr="00D1484A">
        <w:t xml:space="preserve">Members to which </w:t>
      </w:r>
      <w:r w:rsidRPr="00F93317">
        <w:rPr>
          <w:color w:val="000000" w:themeColor="text1"/>
        </w:rPr>
        <w:t xml:space="preserve">(1) or (2) should be applied. Values </w:t>
      </w:r>
      <w:r w:rsidRPr="00E05E29">
        <w:t xml:space="preserve">of seismic action magnification factor </w:t>
      </w:r>
      <w:r w:rsidRPr="00E05E29">
        <w:rPr>
          <w:i/>
          <w:iCs/>
        </w:rPr>
        <w:t>Ω</w:t>
      </w:r>
      <w:r w:rsidRPr="00E05E29">
        <w:rPr>
          <w:iCs/>
          <w:szCs w:val="22"/>
        </w:rPr>
        <w:t xml:space="preserve"> </w:t>
      </w:r>
      <w:r w:rsidRPr="00E05E29">
        <w:rPr>
          <w:iCs/>
        </w:rPr>
        <w:t xml:space="preserve">for structural types </w:t>
      </w:r>
      <w:r w:rsidRPr="00E05E29">
        <w:t>in DC2</w:t>
      </w:r>
      <w:bookmarkEnd w:id="10149"/>
    </w:p>
    <w:tbl>
      <w:tblPr>
        <w:tblW w:w="10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329"/>
        <w:gridCol w:w="1559"/>
        <w:gridCol w:w="3260"/>
      </w:tblGrid>
      <w:tr w:rsidR="00E91A91" w:rsidRPr="00132C1E" w14:paraId="278F171A" w14:textId="77777777" w:rsidTr="00F93317">
        <w:trPr>
          <w:trHeight w:val="300"/>
          <w:jc w:val="center"/>
        </w:trPr>
        <w:tc>
          <w:tcPr>
            <w:tcW w:w="5329" w:type="dxa"/>
            <w:tcBorders>
              <w:bottom w:val="single" w:sz="4" w:space="0" w:color="auto"/>
            </w:tcBorders>
            <w:shd w:val="clear" w:color="auto" w:fill="auto"/>
            <w:tcMar>
              <w:left w:w="28" w:type="dxa"/>
              <w:right w:w="28" w:type="dxa"/>
            </w:tcMar>
            <w:vAlign w:val="center"/>
          </w:tcPr>
          <w:p w14:paraId="6CBD5664" w14:textId="77777777" w:rsidR="00E91A91" w:rsidRPr="00E05E29" w:rsidRDefault="00E91A91" w:rsidP="002061E5">
            <w:pPr>
              <w:jc w:val="center"/>
              <w:rPr>
                <w:b/>
                <w:sz w:val="20"/>
              </w:rPr>
            </w:pPr>
            <w:r w:rsidRPr="00E05E29">
              <w:rPr>
                <w:b/>
                <w:sz w:val="20"/>
              </w:rPr>
              <w:t>Structural types</w:t>
            </w:r>
          </w:p>
        </w:tc>
        <w:tc>
          <w:tcPr>
            <w:tcW w:w="1559" w:type="dxa"/>
            <w:tcBorders>
              <w:bottom w:val="single" w:sz="4" w:space="0" w:color="auto"/>
            </w:tcBorders>
            <w:shd w:val="clear" w:color="auto" w:fill="auto"/>
            <w:tcMar>
              <w:left w:w="28" w:type="dxa"/>
              <w:right w:w="28" w:type="dxa"/>
            </w:tcMar>
            <w:vAlign w:val="center"/>
          </w:tcPr>
          <w:p w14:paraId="36A827B9" w14:textId="77777777" w:rsidR="00E91A91" w:rsidRPr="00F93317" w:rsidRDefault="00E91A91" w:rsidP="002061E5">
            <w:pPr>
              <w:jc w:val="center"/>
              <w:rPr>
                <w:b/>
                <w:bCs/>
                <w:i/>
                <w:iCs/>
                <w:color w:val="000000" w:themeColor="text1"/>
                <w:sz w:val="20"/>
              </w:rPr>
            </w:pPr>
            <w:r w:rsidRPr="00F93317">
              <w:rPr>
                <w:b/>
                <w:bCs/>
                <w:i/>
                <w:iCs/>
                <w:color w:val="000000" w:themeColor="text1"/>
              </w:rPr>
              <w:t>Ω</w:t>
            </w:r>
          </w:p>
        </w:tc>
        <w:tc>
          <w:tcPr>
            <w:tcW w:w="3260" w:type="dxa"/>
            <w:tcBorders>
              <w:bottom w:val="single" w:sz="4" w:space="0" w:color="auto"/>
            </w:tcBorders>
          </w:tcPr>
          <w:p w14:paraId="6C08C589" w14:textId="77777777" w:rsidR="00E91A91" w:rsidRPr="00E05E29" w:rsidRDefault="00E91A91" w:rsidP="002061E5">
            <w:pPr>
              <w:jc w:val="center"/>
              <w:rPr>
                <w:b/>
                <w:sz w:val="20"/>
              </w:rPr>
            </w:pPr>
            <w:r w:rsidRPr="00E05E29">
              <w:rPr>
                <w:b/>
                <w:sz w:val="20"/>
              </w:rPr>
              <w:t xml:space="preserve">Members </w:t>
            </w:r>
          </w:p>
        </w:tc>
      </w:tr>
      <w:tr w:rsidR="00E91A91" w:rsidRPr="00132C1E" w14:paraId="40B0159A" w14:textId="77777777" w:rsidTr="00F93317">
        <w:trPr>
          <w:trHeight w:val="288"/>
          <w:jc w:val="center"/>
        </w:trPr>
        <w:tc>
          <w:tcPr>
            <w:tcW w:w="5329" w:type="dxa"/>
            <w:tcBorders>
              <w:bottom w:val="nil"/>
            </w:tcBorders>
            <w:shd w:val="clear" w:color="auto" w:fill="auto"/>
            <w:tcMar>
              <w:left w:w="57" w:type="dxa"/>
              <w:right w:w="28" w:type="dxa"/>
            </w:tcMar>
            <w:vAlign w:val="center"/>
            <w:hideMark/>
          </w:tcPr>
          <w:p w14:paraId="3775FD83" w14:textId="77777777" w:rsidR="00E91A91" w:rsidRPr="00D1484A" w:rsidRDefault="00E91A91" w:rsidP="002061E5">
            <w:pPr>
              <w:rPr>
                <w:b/>
                <w:sz w:val="20"/>
              </w:rPr>
            </w:pPr>
            <w:r w:rsidRPr="00132C1E">
              <w:rPr>
                <w:b/>
                <w:sz w:val="20"/>
              </w:rPr>
              <w:t>Composite moment resisting frames (CMRFs):</w:t>
            </w:r>
          </w:p>
          <w:p w14:paraId="448B65DA" w14:textId="77777777" w:rsidR="00E91A91" w:rsidRPr="00D1484A" w:rsidRDefault="00E91A91" w:rsidP="002061E5">
            <w:pPr>
              <w:rPr>
                <w:sz w:val="20"/>
              </w:rPr>
            </w:pPr>
            <w:r w:rsidRPr="00D1484A">
              <w:rPr>
                <w:sz w:val="20"/>
              </w:rPr>
              <w:t>With full-strength connections</w:t>
            </w:r>
          </w:p>
        </w:tc>
        <w:tc>
          <w:tcPr>
            <w:tcW w:w="1559" w:type="dxa"/>
            <w:tcBorders>
              <w:bottom w:val="nil"/>
            </w:tcBorders>
            <w:shd w:val="clear" w:color="auto" w:fill="auto"/>
            <w:tcMar>
              <w:left w:w="28" w:type="dxa"/>
              <w:right w:w="28" w:type="dxa"/>
            </w:tcMar>
            <w:vAlign w:val="center"/>
          </w:tcPr>
          <w:p w14:paraId="32CF3F2D" w14:textId="3961E1F0" w:rsidR="00E91A91" w:rsidRPr="00F93317" w:rsidRDefault="00E91A91" w:rsidP="002061E5">
            <w:pPr>
              <w:jc w:val="center"/>
              <w:rPr>
                <w:color w:val="000000" w:themeColor="text1"/>
                <w:sz w:val="20"/>
              </w:rPr>
            </w:pPr>
            <w:r w:rsidRPr="00F93317">
              <w:rPr>
                <w:color w:val="000000" w:themeColor="text1"/>
                <w:sz w:val="20"/>
              </w:rPr>
              <w:t>See Table 11.</w:t>
            </w:r>
            <w:r w:rsidR="00C606A0">
              <w:rPr>
                <w:color w:val="000000" w:themeColor="text1"/>
                <w:sz w:val="20"/>
              </w:rPr>
              <w:t>9</w:t>
            </w:r>
          </w:p>
        </w:tc>
        <w:tc>
          <w:tcPr>
            <w:tcW w:w="3260" w:type="dxa"/>
            <w:tcBorders>
              <w:bottom w:val="nil"/>
            </w:tcBorders>
            <w:vAlign w:val="center"/>
          </w:tcPr>
          <w:p w14:paraId="53B7792A" w14:textId="77777777" w:rsidR="00E91A91" w:rsidRPr="00E05E29" w:rsidRDefault="00E91A91" w:rsidP="002061E5">
            <w:pPr>
              <w:jc w:val="center"/>
              <w:rPr>
                <w:sz w:val="20"/>
              </w:rPr>
            </w:pPr>
            <w:r w:rsidRPr="00644C3D">
              <w:rPr>
                <w:sz w:val="20"/>
              </w:rPr>
              <w:t>Columns</w:t>
            </w:r>
          </w:p>
        </w:tc>
      </w:tr>
      <w:tr w:rsidR="00E91A91" w:rsidRPr="00132C1E" w14:paraId="648731F7" w14:textId="77777777" w:rsidTr="00F93317">
        <w:trPr>
          <w:trHeight w:val="288"/>
          <w:jc w:val="center"/>
        </w:trPr>
        <w:tc>
          <w:tcPr>
            <w:tcW w:w="5329" w:type="dxa"/>
            <w:tcBorders>
              <w:bottom w:val="nil"/>
            </w:tcBorders>
            <w:shd w:val="clear" w:color="auto" w:fill="auto"/>
            <w:tcMar>
              <w:left w:w="57" w:type="dxa"/>
              <w:right w:w="28" w:type="dxa"/>
            </w:tcMar>
            <w:vAlign w:val="center"/>
          </w:tcPr>
          <w:p w14:paraId="3E398A84" w14:textId="77777777" w:rsidR="00E91A91" w:rsidRPr="00D1484A" w:rsidRDefault="00E91A91" w:rsidP="002061E5">
            <w:pPr>
              <w:rPr>
                <w:sz w:val="20"/>
              </w:rPr>
            </w:pPr>
            <w:r w:rsidRPr="00132C1E">
              <w:rPr>
                <w:sz w:val="20"/>
              </w:rPr>
              <w:t xml:space="preserve">With </w:t>
            </w:r>
            <w:r w:rsidRPr="00D1484A">
              <w:rPr>
                <w:sz w:val="20"/>
              </w:rPr>
              <w:t>partial-strength connections</w:t>
            </w:r>
          </w:p>
        </w:tc>
        <w:tc>
          <w:tcPr>
            <w:tcW w:w="1559" w:type="dxa"/>
            <w:tcBorders>
              <w:bottom w:val="nil"/>
            </w:tcBorders>
            <w:shd w:val="clear" w:color="auto" w:fill="auto"/>
            <w:tcMar>
              <w:left w:w="28" w:type="dxa"/>
              <w:right w:w="28" w:type="dxa"/>
            </w:tcMar>
            <w:vAlign w:val="center"/>
          </w:tcPr>
          <w:p w14:paraId="4083AE10" w14:textId="77777777" w:rsidR="00E91A91" w:rsidRPr="00F93317" w:rsidRDefault="00E91A91" w:rsidP="002061E5">
            <w:pPr>
              <w:jc w:val="center"/>
              <w:rPr>
                <w:color w:val="000000" w:themeColor="text1"/>
                <w:sz w:val="20"/>
              </w:rPr>
            </w:pPr>
            <w:r w:rsidRPr="00F93317">
              <w:rPr>
                <w:color w:val="000000" w:themeColor="text1"/>
                <w:sz w:val="20"/>
              </w:rPr>
              <w:t>2,0</w:t>
            </w:r>
          </w:p>
        </w:tc>
        <w:tc>
          <w:tcPr>
            <w:tcW w:w="3260" w:type="dxa"/>
            <w:tcBorders>
              <w:bottom w:val="nil"/>
            </w:tcBorders>
          </w:tcPr>
          <w:p w14:paraId="16B979ED" w14:textId="77777777" w:rsidR="00E91A91" w:rsidRPr="00E05E29" w:rsidRDefault="00E91A91" w:rsidP="002061E5">
            <w:pPr>
              <w:jc w:val="center"/>
              <w:rPr>
                <w:sz w:val="20"/>
              </w:rPr>
            </w:pPr>
            <w:r w:rsidRPr="00644C3D">
              <w:rPr>
                <w:sz w:val="20"/>
              </w:rPr>
              <w:t>Columns</w:t>
            </w:r>
          </w:p>
        </w:tc>
      </w:tr>
      <w:tr w:rsidR="00E91A91" w:rsidRPr="00132C1E" w14:paraId="16BB6A48" w14:textId="77777777" w:rsidTr="00F93317">
        <w:trPr>
          <w:trHeight w:val="288"/>
          <w:jc w:val="center"/>
        </w:trPr>
        <w:tc>
          <w:tcPr>
            <w:tcW w:w="5329" w:type="dxa"/>
            <w:tcBorders>
              <w:bottom w:val="nil"/>
            </w:tcBorders>
            <w:shd w:val="clear" w:color="auto" w:fill="auto"/>
            <w:tcMar>
              <w:left w:w="57" w:type="dxa"/>
              <w:right w:w="28" w:type="dxa"/>
            </w:tcMar>
            <w:vAlign w:val="center"/>
            <w:hideMark/>
          </w:tcPr>
          <w:p w14:paraId="3194CBC4" w14:textId="77777777" w:rsidR="00E91A91" w:rsidRPr="00D1484A" w:rsidRDefault="00E91A91" w:rsidP="002061E5">
            <w:pPr>
              <w:rPr>
                <w:bCs/>
                <w:sz w:val="20"/>
              </w:rPr>
            </w:pPr>
            <w:r w:rsidRPr="00132C1E">
              <w:rPr>
                <w:b/>
                <w:sz w:val="20"/>
              </w:rPr>
              <w:t>Composite frames with concentric bracings</w:t>
            </w:r>
          </w:p>
        </w:tc>
        <w:tc>
          <w:tcPr>
            <w:tcW w:w="1559" w:type="dxa"/>
            <w:shd w:val="clear" w:color="auto" w:fill="auto"/>
            <w:tcMar>
              <w:left w:w="28" w:type="dxa"/>
              <w:right w:w="28" w:type="dxa"/>
            </w:tcMar>
            <w:vAlign w:val="center"/>
            <w:hideMark/>
          </w:tcPr>
          <w:p w14:paraId="3459DB6C" w14:textId="6B0E50FB" w:rsidR="00E91A91" w:rsidRPr="00F93317" w:rsidRDefault="00E91A91" w:rsidP="002061E5">
            <w:pPr>
              <w:jc w:val="center"/>
              <w:rPr>
                <w:color w:val="000000" w:themeColor="text1"/>
                <w:sz w:val="20"/>
              </w:rPr>
            </w:pPr>
            <w:r w:rsidRPr="00F93317">
              <w:rPr>
                <w:color w:val="000000" w:themeColor="text1"/>
                <w:sz w:val="20"/>
              </w:rPr>
              <w:t>See Table 11.</w:t>
            </w:r>
            <w:r w:rsidR="00C606A0">
              <w:rPr>
                <w:color w:val="000000" w:themeColor="text1"/>
                <w:sz w:val="20"/>
              </w:rPr>
              <w:t>9</w:t>
            </w:r>
          </w:p>
        </w:tc>
        <w:tc>
          <w:tcPr>
            <w:tcW w:w="3260" w:type="dxa"/>
            <w:vAlign w:val="center"/>
          </w:tcPr>
          <w:p w14:paraId="76438111" w14:textId="77777777" w:rsidR="00E91A91" w:rsidRPr="00E05E29" w:rsidRDefault="00E91A91" w:rsidP="002061E5">
            <w:pPr>
              <w:jc w:val="center"/>
              <w:rPr>
                <w:sz w:val="20"/>
              </w:rPr>
            </w:pPr>
            <w:r w:rsidRPr="00644C3D">
              <w:rPr>
                <w:sz w:val="20"/>
              </w:rPr>
              <w:t>Beams and columns</w:t>
            </w:r>
          </w:p>
        </w:tc>
      </w:tr>
      <w:tr w:rsidR="00E91A91" w:rsidRPr="00AE69D8" w14:paraId="5E31C685" w14:textId="77777777" w:rsidTr="00F93317">
        <w:trPr>
          <w:trHeight w:val="319"/>
          <w:jc w:val="center"/>
        </w:trPr>
        <w:tc>
          <w:tcPr>
            <w:tcW w:w="5329" w:type="dxa"/>
            <w:tcBorders>
              <w:bottom w:val="single" w:sz="4" w:space="0" w:color="auto"/>
            </w:tcBorders>
            <w:shd w:val="clear" w:color="auto" w:fill="auto"/>
            <w:tcMar>
              <w:left w:w="57" w:type="dxa"/>
              <w:right w:w="28" w:type="dxa"/>
            </w:tcMar>
            <w:vAlign w:val="center"/>
            <w:hideMark/>
          </w:tcPr>
          <w:p w14:paraId="2EE8FE6F" w14:textId="77777777" w:rsidR="00E91A91" w:rsidRPr="00D1484A" w:rsidRDefault="00E91A91" w:rsidP="002061E5">
            <w:pPr>
              <w:rPr>
                <w:sz w:val="20"/>
              </w:rPr>
            </w:pPr>
            <w:r w:rsidRPr="00132C1E">
              <w:rPr>
                <w:b/>
                <w:sz w:val="20"/>
              </w:rPr>
              <w:t>Composite frames with eccentric bracings</w:t>
            </w:r>
          </w:p>
        </w:tc>
        <w:tc>
          <w:tcPr>
            <w:tcW w:w="1559" w:type="dxa"/>
            <w:tcBorders>
              <w:bottom w:val="single" w:sz="4" w:space="0" w:color="auto"/>
            </w:tcBorders>
            <w:shd w:val="clear" w:color="auto" w:fill="auto"/>
            <w:tcMar>
              <w:left w:w="28" w:type="dxa"/>
              <w:right w:w="28" w:type="dxa"/>
            </w:tcMar>
            <w:vAlign w:val="center"/>
            <w:hideMark/>
          </w:tcPr>
          <w:p w14:paraId="3B75BD98" w14:textId="4B1A2EC0" w:rsidR="00E91A91" w:rsidRPr="00F93317" w:rsidRDefault="00E91A91" w:rsidP="002061E5">
            <w:pPr>
              <w:jc w:val="center"/>
              <w:rPr>
                <w:color w:val="000000" w:themeColor="text1"/>
                <w:sz w:val="20"/>
              </w:rPr>
            </w:pPr>
            <w:r w:rsidRPr="00F93317">
              <w:rPr>
                <w:color w:val="000000" w:themeColor="text1"/>
                <w:sz w:val="20"/>
              </w:rPr>
              <w:t>See Table 11.</w:t>
            </w:r>
            <w:r w:rsidR="00C606A0">
              <w:rPr>
                <w:color w:val="000000" w:themeColor="text1"/>
                <w:sz w:val="20"/>
              </w:rPr>
              <w:t>9</w:t>
            </w:r>
          </w:p>
        </w:tc>
        <w:tc>
          <w:tcPr>
            <w:tcW w:w="3260" w:type="dxa"/>
            <w:tcBorders>
              <w:bottom w:val="single" w:sz="4" w:space="0" w:color="auto"/>
            </w:tcBorders>
          </w:tcPr>
          <w:p w14:paraId="2EF73ED2" w14:textId="77777777" w:rsidR="00E91A91" w:rsidRPr="00E05E29" w:rsidRDefault="00E91A91" w:rsidP="002061E5">
            <w:pPr>
              <w:jc w:val="center"/>
              <w:rPr>
                <w:sz w:val="20"/>
              </w:rPr>
            </w:pPr>
            <w:r w:rsidRPr="00644C3D">
              <w:rPr>
                <w:sz w:val="20"/>
              </w:rPr>
              <w:t>Beams outside the link, braces and columns</w:t>
            </w:r>
          </w:p>
        </w:tc>
      </w:tr>
      <w:tr w:rsidR="00E91A91" w:rsidRPr="00132C1E" w14:paraId="2BF554ED" w14:textId="77777777" w:rsidTr="00F93317">
        <w:trPr>
          <w:trHeight w:val="319"/>
          <w:jc w:val="center"/>
        </w:trPr>
        <w:tc>
          <w:tcPr>
            <w:tcW w:w="5329" w:type="dxa"/>
            <w:tcBorders>
              <w:bottom w:val="single" w:sz="4" w:space="0" w:color="auto"/>
            </w:tcBorders>
            <w:shd w:val="clear" w:color="auto" w:fill="auto"/>
            <w:tcMar>
              <w:left w:w="57" w:type="dxa"/>
              <w:right w:w="28" w:type="dxa"/>
            </w:tcMar>
            <w:vAlign w:val="center"/>
          </w:tcPr>
          <w:p w14:paraId="3699BA0D" w14:textId="77777777" w:rsidR="00E91A91" w:rsidRPr="00D1484A" w:rsidRDefault="00E91A91" w:rsidP="002061E5">
            <w:pPr>
              <w:rPr>
                <w:b/>
                <w:sz w:val="20"/>
              </w:rPr>
            </w:pPr>
            <w:r w:rsidRPr="00132C1E">
              <w:rPr>
                <w:b/>
                <w:sz w:val="20"/>
              </w:rPr>
              <w:t xml:space="preserve">Composite inverted pendulum </w:t>
            </w:r>
            <w:r w:rsidRPr="00D1484A">
              <w:rPr>
                <w:b/>
                <w:sz w:val="20"/>
              </w:rPr>
              <w:t>structures</w:t>
            </w:r>
          </w:p>
        </w:tc>
        <w:tc>
          <w:tcPr>
            <w:tcW w:w="1559" w:type="dxa"/>
            <w:tcBorders>
              <w:bottom w:val="single" w:sz="4" w:space="0" w:color="auto"/>
            </w:tcBorders>
            <w:shd w:val="clear" w:color="auto" w:fill="auto"/>
            <w:tcMar>
              <w:left w:w="28" w:type="dxa"/>
              <w:right w:w="28" w:type="dxa"/>
            </w:tcMar>
            <w:vAlign w:val="center"/>
          </w:tcPr>
          <w:p w14:paraId="4283677A" w14:textId="46BED83D" w:rsidR="00E91A91" w:rsidRPr="00F93317" w:rsidRDefault="00E91A91" w:rsidP="002061E5">
            <w:pPr>
              <w:jc w:val="center"/>
              <w:rPr>
                <w:color w:val="000000" w:themeColor="text1"/>
                <w:sz w:val="20"/>
              </w:rPr>
            </w:pPr>
            <w:r w:rsidRPr="00F93317">
              <w:rPr>
                <w:color w:val="000000" w:themeColor="text1"/>
                <w:sz w:val="20"/>
              </w:rPr>
              <w:t>See Table 11.</w:t>
            </w:r>
            <w:r w:rsidR="00C606A0">
              <w:rPr>
                <w:color w:val="000000" w:themeColor="text1"/>
                <w:sz w:val="20"/>
              </w:rPr>
              <w:t>9</w:t>
            </w:r>
          </w:p>
        </w:tc>
        <w:tc>
          <w:tcPr>
            <w:tcW w:w="3260" w:type="dxa"/>
            <w:tcBorders>
              <w:bottom w:val="single" w:sz="4" w:space="0" w:color="auto"/>
            </w:tcBorders>
          </w:tcPr>
          <w:p w14:paraId="46259C98" w14:textId="77777777" w:rsidR="00E91A91" w:rsidRPr="00E05E29" w:rsidRDefault="00E91A91" w:rsidP="002061E5">
            <w:pPr>
              <w:jc w:val="center"/>
              <w:rPr>
                <w:sz w:val="20"/>
              </w:rPr>
            </w:pPr>
            <w:r w:rsidRPr="00644C3D">
              <w:rPr>
                <w:sz w:val="20"/>
              </w:rPr>
              <w:t>Columns</w:t>
            </w:r>
          </w:p>
        </w:tc>
      </w:tr>
      <w:tr w:rsidR="00E91A91" w:rsidRPr="00132C1E" w14:paraId="7EF75680" w14:textId="77777777" w:rsidTr="00F93317">
        <w:trPr>
          <w:trHeight w:val="386"/>
          <w:jc w:val="center"/>
        </w:trPr>
        <w:tc>
          <w:tcPr>
            <w:tcW w:w="5329" w:type="dxa"/>
            <w:tcBorders>
              <w:bottom w:val="nil"/>
            </w:tcBorders>
            <w:shd w:val="clear" w:color="auto" w:fill="auto"/>
            <w:tcMar>
              <w:left w:w="57" w:type="dxa"/>
              <w:right w:w="28" w:type="dxa"/>
            </w:tcMar>
            <w:vAlign w:val="center"/>
            <w:hideMark/>
          </w:tcPr>
          <w:p w14:paraId="7DC7DC8A" w14:textId="77777777" w:rsidR="00E91A91" w:rsidRPr="00D1484A" w:rsidRDefault="00E91A91" w:rsidP="002061E5">
            <w:pPr>
              <w:rPr>
                <w:b/>
                <w:sz w:val="20"/>
              </w:rPr>
            </w:pPr>
            <w:r w:rsidRPr="00132C1E">
              <w:rPr>
                <w:b/>
                <w:sz w:val="20"/>
              </w:rPr>
              <w:t>Composite dual frames</w:t>
            </w:r>
          </w:p>
        </w:tc>
        <w:tc>
          <w:tcPr>
            <w:tcW w:w="1559" w:type="dxa"/>
            <w:vMerge w:val="restart"/>
            <w:shd w:val="clear" w:color="auto" w:fill="auto"/>
            <w:tcMar>
              <w:left w:w="28" w:type="dxa"/>
              <w:right w:w="28" w:type="dxa"/>
            </w:tcMar>
            <w:vAlign w:val="center"/>
            <w:hideMark/>
          </w:tcPr>
          <w:p w14:paraId="77648F2B" w14:textId="50E7FA55" w:rsidR="00E91A91" w:rsidRPr="00F93317" w:rsidRDefault="00E91A91" w:rsidP="002061E5">
            <w:pPr>
              <w:jc w:val="center"/>
              <w:rPr>
                <w:color w:val="000000" w:themeColor="text1"/>
                <w:sz w:val="20"/>
              </w:rPr>
            </w:pPr>
            <w:r w:rsidRPr="00F93317">
              <w:rPr>
                <w:color w:val="000000" w:themeColor="text1"/>
                <w:sz w:val="20"/>
              </w:rPr>
              <w:t>See Table 11.</w:t>
            </w:r>
            <w:r w:rsidR="00C606A0">
              <w:rPr>
                <w:color w:val="000000" w:themeColor="text1"/>
                <w:sz w:val="20"/>
              </w:rPr>
              <w:t>9</w:t>
            </w:r>
          </w:p>
        </w:tc>
        <w:tc>
          <w:tcPr>
            <w:tcW w:w="3260" w:type="dxa"/>
            <w:tcBorders>
              <w:bottom w:val="nil"/>
            </w:tcBorders>
          </w:tcPr>
          <w:p w14:paraId="67D55A55" w14:textId="77777777" w:rsidR="00E91A91" w:rsidRPr="00644C3D" w:rsidRDefault="00E91A91" w:rsidP="002061E5">
            <w:pPr>
              <w:jc w:val="center"/>
              <w:rPr>
                <w:sz w:val="20"/>
              </w:rPr>
            </w:pPr>
          </w:p>
        </w:tc>
      </w:tr>
      <w:tr w:rsidR="00E91A91" w:rsidRPr="00AE69D8" w14:paraId="19A33477" w14:textId="77777777" w:rsidTr="00F93317">
        <w:trPr>
          <w:trHeight w:val="386"/>
          <w:jc w:val="center"/>
        </w:trPr>
        <w:tc>
          <w:tcPr>
            <w:tcW w:w="5329" w:type="dxa"/>
            <w:tcBorders>
              <w:top w:val="nil"/>
              <w:bottom w:val="nil"/>
            </w:tcBorders>
            <w:shd w:val="clear" w:color="auto" w:fill="auto"/>
            <w:tcMar>
              <w:left w:w="57" w:type="dxa"/>
              <w:right w:w="28" w:type="dxa"/>
            </w:tcMar>
            <w:vAlign w:val="center"/>
          </w:tcPr>
          <w:p w14:paraId="71BE74B8" w14:textId="77777777" w:rsidR="00E91A91" w:rsidRPr="00D1484A" w:rsidRDefault="00E91A91" w:rsidP="002061E5">
            <w:pPr>
              <w:rPr>
                <w:bCs/>
                <w:sz w:val="20"/>
              </w:rPr>
            </w:pPr>
            <w:r w:rsidRPr="00132C1E">
              <w:rPr>
                <w:bCs/>
                <w:sz w:val="20"/>
              </w:rPr>
              <w:t>CMRFs with concentric bracings</w:t>
            </w:r>
          </w:p>
        </w:tc>
        <w:tc>
          <w:tcPr>
            <w:tcW w:w="1559" w:type="dxa"/>
            <w:vMerge/>
            <w:shd w:val="clear" w:color="auto" w:fill="auto"/>
            <w:tcMar>
              <w:left w:w="28" w:type="dxa"/>
              <w:right w:w="28" w:type="dxa"/>
            </w:tcMar>
            <w:vAlign w:val="center"/>
          </w:tcPr>
          <w:p w14:paraId="32909960" w14:textId="77777777" w:rsidR="00E91A91" w:rsidRPr="00F93317" w:rsidRDefault="00E91A91" w:rsidP="002061E5">
            <w:pPr>
              <w:jc w:val="center"/>
              <w:rPr>
                <w:color w:val="000000" w:themeColor="text1"/>
                <w:sz w:val="20"/>
              </w:rPr>
            </w:pPr>
          </w:p>
        </w:tc>
        <w:tc>
          <w:tcPr>
            <w:tcW w:w="3260" w:type="dxa"/>
            <w:tcBorders>
              <w:top w:val="nil"/>
              <w:bottom w:val="nil"/>
            </w:tcBorders>
          </w:tcPr>
          <w:p w14:paraId="7058CC51" w14:textId="77777777" w:rsidR="00E91A91" w:rsidRPr="00132C1E" w:rsidRDefault="00E91A91" w:rsidP="002061E5">
            <w:pPr>
              <w:jc w:val="center"/>
              <w:rPr>
                <w:sz w:val="20"/>
              </w:rPr>
            </w:pPr>
            <w:r w:rsidRPr="00132C1E">
              <w:rPr>
                <w:sz w:val="20"/>
              </w:rPr>
              <w:t>Beams and columns of the concentric bracing; columns of the CMRF</w:t>
            </w:r>
          </w:p>
        </w:tc>
      </w:tr>
      <w:tr w:rsidR="00E91A91" w:rsidRPr="00AE69D8" w14:paraId="44D04EA4" w14:textId="77777777" w:rsidTr="00F93317">
        <w:trPr>
          <w:trHeight w:val="386"/>
          <w:jc w:val="center"/>
        </w:trPr>
        <w:tc>
          <w:tcPr>
            <w:tcW w:w="5329" w:type="dxa"/>
            <w:tcBorders>
              <w:top w:val="nil"/>
              <w:bottom w:val="single" w:sz="4" w:space="0" w:color="auto"/>
            </w:tcBorders>
            <w:shd w:val="clear" w:color="auto" w:fill="auto"/>
            <w:tcMar>
              <w:left w:w="57" w:type="dxa"/>
              <w:right w:w="28" w:type="dxa"/>
            </w:tcMar>
            <w:vAlign w:val="center"/>
          </w:tcPr>
          <w:p w14:paraId="25208895" w14:textId="77777777" w:rsidR="00E91A91" w:rsidRPr="00D1484A" w:rsidRDefault="00E91A91" w:rsidP="002061E5">
            <w:pPr>
              <w:rPr>
                <w:b/>
                <w:sz w:val="20"/>
              </w:rPr>
            </w:pPr>
            <w:r w:rsidRPr="00132C1E">
              <w:rPr>
                <w:bCs/>
                <w:sz w:val="20"/>
              </w:rPr>
              <w:t>CMRFs with eccentric bracings</w:t>
            </w:r>
          </w:p>
        </w:tc>
        <w:tc>
          <w:tcPr>
            <w:tcW w:w="1559" w:type="dxa"/>
            <w:vMerge/>
            <w:tcBorders>
              <w:bottom w:val="single" w:sz="4" w:space="0" w:color="auto"/>
            </w:tcBorders>
            <w:shd w:val="clear" w:color="auto" w:fill="auto"/>
            <w:tcMar>
              <w:left w:w="28" w:type="dxa"/>
              <w:right w:w="28" w:type="dxa"/>
            </w:tcMar>
            <w:vAlign w:val="center"/>
          </w:tcPr>
          <w:p w14:paraId="6C247D50" w14:textId="77777777" w:rsidR="00E91A91" w:rsidRPr="00F93317" w:rsidRDefault="00E91A91" w:rsidP="002061E5">
            <w:pPr>
              <w:jc w:val="center"/>
              <w:rPr>
                <w:color w:val="000000" w:themeColor="text1"/>
                <w:sz w:val="20"/>
              </w:rPr>
            </w:pPr>
          </w:p>
        </w:tc>
        <w:tc>
          <w:tcPr>
            <w:tcW w:w="3260" w:type="dxa"/>
            <w:tcBorders>
              <w:top w:val="nil"/>
              <w:bottom w:val="single" w:sz="4" w:space="0" w:color="auto"/>
            </w:tcBorders>
          </w:tcPr>
          <w:p w14:paraId="4EE86750" w14:textId="32F570DE" w:rsidR="00E91A91" w:rsidRPr="00132C1E" w:rsidRDefault="00E91A91" w:rsidP="002061E5">
            <w:pPr>
              <w:jc w:val="center"/>
              <w:rPr>
                <w:sz w:val="20"/>
              </w:rPr>
            </w:pPr>
            <w:r w:rsidRPr="00132C1E">
              <w:rPr>
                <w:sz w:val="20"/>
              </w:rPr>
              <w:t xml:space="preserve">Beams outside the link, braces and </w:t>
            </w:r>
            <w:r w:rsidR="001903EF" w:rsidRPr="00132C1E">
              <w:rPr>
                <w:sz w:val="20"/>
              </w:rPr>
              <w:t>columns</w:t>
            </w:r>
            <w:r w:rsidRPr="00132C1E">
              <w:rPr>
                <w:sz w:val="20"/>
              </w:rPr>
              <w:t xml:space="preserve"> of the </w:t>
            </w:r>
            <w:r w:rsidR="001903EF" w:rsidRPr="00132C1E">
              <w:rPr>
                <w:sz w:val="20"/>
              </w:rPr>
              <w:t>eccentric</w:t>
            </w:r>
            <w:r w:rsidRPr="00132C1E">
              <w:rPr>
                <w:sz w:val="20"/>
              </w:rPr>
              <w:t xml:space="preserve"> bracing; columns of the CMRF</w:t>
            </w:r>
          </w:p>
        </w:tc>
      </w:tr>
      <w:tr w:rsidR="00E91A91" w:rsidRPr="00132C1E" w14:paraId="580D1204" w14:textId="77777777" w:rsidTr="00F93317">
        <w:trPr>
          <w:trHeight w:val="288"/>
          <w:jc w:val="center"/>
        </w:trPr>
        <w:tc>
          <w:tcPr>
            <w:tcW w:w="5329" w:type="dxa"/>
            <w:tcBorders>
              <w:top w:val="single" w:sz="4" w:space="0" w:color="auto"/>
              <w:bottom w:val="nil"/>
            </w:tcBorders>
            <w:shd w:val="clear" w:color="auto" w:fill="auto"/>
            <w:tcMar>
              <w:left w:w="57" w:type="dxa"/>
              <w:right w:w="28" w:type="dxa"/>
            </w:tcMar>
            <w:vAlign w:val="center"/>
            <w:hideMark/>
          </w:tcPr>
          <w:p w14:paraId="0665B69C" w14:textId="77777777" w:rsidR="00E91A91" w:rsidRPr="00D1484A" w:rsidRDefault="00E91A91" w:rsidP="002061E5">
            <w:pPr>
              <w:rPr>
                <w:b/>
                <w:sz w:val="20"/>
              </w:rPr>
            </w:pPr>
            <w:r w:rsidRPr="00132C1E">
              <w:rPr>
                <w:b/>
                <w:sz w:val="20"/>
              </w:rPr>
              <w:t>Composite structural</w:t>
            </w:r>
            <w:r w:rsidRPr="00D1484A">
              <w:rPr>
                <w:b/>
                <w:sz w:val="20"/>
              </w:rPr>
              <w:t xml:space="preserve"> wall systems</w:t>
            </w:r>
          </w:p>
        </w:tc>
        <w:tc>
          <w:tcPr>
            <w:tcW w:w="1559" w:type="dxa"/>
            <w:vMerge w:val="restart"/>
            <w:shd w:val="clear" w:color="auto" w:fill="auto"/>
            <w:tcMar>
              <w:left w:w="28" w:type="dxa"/>
              <w:right w:w="28" w:type="dxa"/>
            </w:tcMar>
            <w:vAlign w:val="center"/>
            <w:hideMark/>
          </w:tcPr>
          <w:p w14:paraId="071B27A9" w14:textId="77777777" w:rsidR="00E91A91" w:rsidRPr="00F93317" w:rsidRDefault="00E91A91" w:rsidP="002061E5">
            <w:pPr>
              <w:jc w:val="center"/>
              <w:rPr>
                <w:color w:val="000000" w:themeColor="text1"/>
                <w:sz w:val="20"/>
              </w:rPr>
            </w:pPr>
            <w:r w:rsidRPr="00F93317">
              <w:rPr>
                <w:color w:val="000000" w:themeColor="text1"/>
                <w:sz w:val="20"/>
              </w:rPr>
              <w:t>2,0</w:t>
            </w:r>
          </w:p>
        </w:tc>
        <w:tc>
          <w:tcPr>
            <w:tcW w:w="3260" w:type="dxa"/>
          </w:tcPr>
          <w:p w14:paraId="37CD3F95" w14:textId="77777777" w:rsidR="00E91A91" w:rsidRPr="00E05E29" w:rsidRDefault="00E91A91" w:rsidP="002061E5">
            <w:pPr>
              <w:jc w:val="center"/>
              <w:rPr>
                <w:sz w:val="20"/>
              </w:rPr>
            </w:pPr>
            <w:r w:rsidRPr="00644C3D">
              <w:rPr>
                <w:sz w:val="20"/>
              </w:rPr>
              <w:t>None</w:t>
            </w:r>
          </w:p>
        </w:tc>
      </w:tr>
      <w:tr w:rsidR="00E91A91" w:rsidRPr="00132C1E" w14:paraId="7C9EB854" w14:textId="77777777" w:rsidTr="00F93317">
        <w:trPr>
          <w:trHeight w:val="323"/>
          <w:jc w:val="center"/>
        </w:trPr>
        <w:tc>
          <w:tcPr>
            <w:tcW w:w="5329" w:type="dxa"/>
            <w:tcBorders>
              <w:top w:val="nil"/>
              <w:bottom w:val="single" w:sz="4" w:space="0" w:color="auto"/>
            </w:tcBorders>
            <w:shd w:val="clear" w:color="auto" w:fill="auto"/>
            <w:tcMar>
              <w:left w:w="57" w:type="dxa"/>
              <w:right w:w="28" w:type="dxa"/>
            </w:tcMar>
            <w:vAlign w:val="center"/>
            <w:hideMark/>
          </w:tcPr>
          <w:p w14:paraId="087909F5" w14:textId="77777777" w:rsidR="00E91A91" w:rsidRPr="00FD17CF" w:rsidRDefault="00E91A91" w:rsidP="002061E5">
            <w:pPr>
              <w:rPr>
                <w:sz w:val="20"/>
              </w:rPr>
            </w:pPr>
            <w:r w:rsidRPr="00132C1E">
              <w:rPr>
                <w:sz w:val="20"/>
              </w:rPr>
              <w:t>Type</w:t>
            </w:r>
            <w:r w:rsidRPr="00D1484A">
              <w:rPr>
                <w:sz w:val="20"/>
              </w:rPr>
              <w:t xml:space="preserve">s 1, </w:t>
            </w:r>
            <w:r w:rsidRPr="007E6F67">
              <w:rPr>
                <w:sz w:val="20"/>
              </w:rPr>
              <w:t>2</w:t>
            </w:r>
            <w:r w:rsidRPr="00FD17CF">
              <w:rPr>
                <w:sz w:val="20"/>
              </w:rPr>
              <w:t xml:space="preserve"> and 3</w:t>
            </w:r>
          </w:p>
        </w:tc>
        <w:tc>
          <w:tcPr>
            <w:tcW w:w="1559" w:type="dxa"/>
            <w:vMerge/>
            <w:tcBorders>
              <w:bottom w:val="single" w:sz="4" w:space="0" w:color="auto"/>
            </w:tcBorders>
            <w:shd w:val="clear" w:color="auto" w:fill="auto"/>
            <w:tcMar>
              <w:left w:w="28" w:type="dxa"/>
              <w:right w:w="28" w:type="dxa"/>
            </w:tcMar>
            <w:vAlign w:val="center"/>
            <w:hideMark/>
          </w:tcPr>
          <w:p w14:paraId="267FC210" w14:textId="77777777" w:rsidR="00E91A91" w:rsidRPr="00F93317" w:rsidRDefault="00E91A91" w:rsidP="002061E5">
            <w:pPr>
              <w:rPr>
                <w:color w:val="000000" w:themeColor="text1"/>
                <w:sz w:val="20"/>
              </w:rPr>
            </w:pPr>
          </w:p>
        </w:tc>
        <w:tc>
          <w:tcPr>
            <w:tcW w:w="3260" w:type="dxa"/>
            <w:tcBorders>
              <w:bottom w:val="single" w:sz="4" w:space="0" w:color="auto"/>
            </w:tcBorders>
          </w:tcPr>
          <w:p w14:paraId="0E44B349" w14:textId="77777777" w:rsidR="00E91A91" w:rsidRPr="00132C1E" w:rsidRDefault="00E91A91" w:rsidP="002061E5">
            <w:pPr>
              <w:jc w:val="center"/>
              <w:rPr>
                <w:sz w:val="20"/>
              </w:rPr>
            </w:pPr>
            <w:r w:rsidRPr="00132C1E">
              <w:rPr>
                <w:sz w:val="20"/>
              </w:rPr>
              <w:t>None</w:t>
            </w:r>
          </w:p>
        </w:tc>
      </w:tr>
    </w:tbl>
    <w:p w14:paraId="70127349" w14:textId="371EADA7" w:rsidR="00E91A91" w:rsidRPr="00F93317" w:rsidRDefault="00E91A91" w:rsidP="00F93317">
      <w:pPr>
        <w:pStyle w:val="Heading3"/>
      </w:pPr>
      <w:bookmarkStart w:id="10150" w:name="_Toc17827824"/>
      <w:bookmarkStart w:id="10151" w:name="_Toc50150509"/>
      <w:bookmarkStart w:id="10152" w:name="_Toc70886941"/>
      <w:bookmarkStart w:id="10153" w:name="_Toc108342501"/>
      <w:bookmarkStart w:id="10154" w:name="_Toc134198033"/>
      <w:bookmarkEnd w:id="10128"/>
      <w:r w:rsidRPr="00F93317">
        <w:lastRenderedPageBreak/>
        <w:t>Verification of beams</w:t>
      </w:r>
      <w:bookmarkEnd w:id="10150"/>
      <w:bookmarkEnd w:id="10151"/>
      <w:bookmarkEnd w:id="10152"/>
      <w:bookmarkEnd w:id="10153"/>
      <w:bookmarkEnd w:id="10154"/>
    </w:p>
    <w:p w14:paraId="0EDDB2A1" w14:textId="77777777" w:rsidR="00E91A91" w:rsidRPr="00F93317" w:rsidRDefault="00E91A91" w:rsidP="00F93317">
      <w:pPr>
        <w:pStyle w:val="Heading4"/>
      </w:pPr>
      <w:bookmarkStart w:id="10155" w:name="_Toc108342502"/>
      <w:r w:rsidRPr="00F93317">
        <w:t>General</w:t>
      </w:r>
      <w:bookmarkEnd w:id="10155"/>
    </w:p>
    <w:p w14:paraId="6A1A8EBF" w14:textId="6E84582C" w:rsidR="00E91A91" w:rsidRPr="002144A0" w:rsidRDefault="00E91A91" w:rsidP="0080187E">
      <w:pPr>
        <w:pStyle w:val="Clause"/>
        <w:numPr>
          <w:ilvl w:val="0"/>
          <w:numId w:val="441"/>
        </w:numPr>
      </w:pPr>
      <w:r w:rsidRPr="00D46D6D">
        <w:t>12.8.6</w:t>
      </w:r>
      <w:r w:rsidRPr="00F93317">
        <w:t xml:space="preserve"> should be applied to dissipative composite or steel beams in composite structural types of </w:t>
      </w:r>
      <w:r w:rsidRPr="00D46D6D">
        <w:t>12.4</w:t>
      </w:r>
      <w:r w:rsidRPr="002144A0">
        <w:t>.</w:t>
      </w:r>
    </w:p>
    <w:p w14:paraId="17E32170" w14:textId="0EE1099B" w:rsidR="00E91A91" w:rsidRPr="00ED6630" w:rsidRDefault="00E91A91" w:rsidP="00724E4E">
      <w:pPr>
        <w:pStyle w:val="Clause"/>
      </w:pPr>
      <w:r w:rsidRPr="00ED6630">
        <w:t xml:space="preserve">Secondary beams in all composite structural types of </w:t>
      </w:r>
      <w:r w:rsidRPr="00D46D6D">
        <w:t>12.4</w:t>
      </w:r>
      <w:r w:rsidRPr="004F74EA">
        <w:t xml:space="preserve"> should be either designed with </w:t>
      </w:r>
      <w:r w:rsidR="00867476">
        <w:t>EN 1993</w:t>
      </w:r>
      <w:r w:rsidR="002E3AAB">
        <w:noBreakHyphen/>
      </w:r>
      <w:r w:rsidR="00867476">
        <w:t>1-1</w:t>
      </w:r>
      <w:r w:rsidRPr="004F74EA">
        <w:t xml:space="preserve"> or with </w:t>
      </w:r>
      <w:r w:rsidR="00A76494">
        <w:t>pr</w:t>
      </w:r>
      <w:r w:rsidR="00C30FF9">
        <w:t>EN 1</w:t>
      </w:r>
      <w:r w:rsidRPr="004F74EA">
        <w:t>994-1-1</w:t>
      </w:r>
      <w:r w:rsidRPr="00ED6630">
        <w:t>, whichever applies.</w:t>
      </w:r>
    </w:p>
    <w:p w14:paraId="7F867650" w14:textId="54DCD9B5" w:rsidR="00E91A91" w:rsidRPr="00ED6630" w:rsidRDefault="00E91A91" w:rsidP="00724E4E">
      <w:pPr>
        <w:pStyle w:val="Clause"/>
      </w:pPr>
      <w:r w:rsidRPr="00132C1E">
        <w:t>In DC2 and DC3, composite steel beams with slab (</w:t>
      </w:r>
      <w:r w:rsidRPr="00F93317">
        <w:t xml:space="preserve">see </w:t>
      </w:r>
      <w:r w:rsidRPr="00D46D6D">
        <w:t>12.8.6.2</w:t>
      </w:r>
      <w:r w:rsidRPr="00F93317">
        <w:t xml:space="preserve">) and concrete-encased composite beams (see </w:t>
      </w:r>
      <w:r w:rsidRPr="00D46D6D">
        <w:t>12.8.6.3</w:t>
      </w:r>
      <w:r w:rsidRPr="00F93317">
        <w:t xml:space="preserve">) should be braced laterally according to </w:t>
      </w:r>
      <w:r w:rsidR="00A76494">
        <w:t>pr</w:t>
      </w:r>
      <w:r w:rsidR="00C30FF9">
        <w:t>EN 1</w:t>
      </w:r>
      <w:r w:rsidRPr="00F93317">
        <w:t xml:space="preserve">994-1-1; alternatively, the beam cross section should be braced </w:t>
      </w:r>
      <w:r w:rsidRPr="00ED6630">
        <w:t>with point torsional bracing.</w:t>
      </w:r>
    </w:p>
    <w:p w14:paraId="6475D6D8" w14:textId="6F649B94" w:rsidR="00E91A91" w:rsidRPr="00132C1E" w:rsidRDefault="00E91A91" w:rsidP="00724E4E">
      <w:pPr>
        <w:pStyle w:val="Clause"/>
      </w:pPr>
      <w:r w:rsidRPr="00ED6630">
        <w:t>In DC2, the spacing and resistance of lateral-torsional rest</w:t>
      </w:r>
      <w:r w:rsidR="008E4658">
        <w:t>r</w:t>
      </w:r>
      <w:r w:rsidRPr="00ED6630">
        <w:t xml:space="preserve">aints of composite steel beams with slab, concrete-encased composite beams or bare steel beams, should </w:t>
      </w:r>
      <w:r w:rsidRPr="004F74EA">
        <w:t xml:space="preserve">conform to </w:t>
      </w:r>
      <w:r w:rsidR="00867476">
        <w:t>EN 1993-1-1</w:t>
      </w:r>
      <w:r w:rsidRPr="004F74EA">
        <w:t>:202</w:t>
      </w:r>
      <w:r w:rsidR="00867476">
        <w:t>2</w:t>
      </w:r>
      <w:r w:rsidRPr="004F74EA">
        <w:t>,</w:t>
      </w:r>
      <w:r w:rsidR="008E4658" w:rsidRPr="00D46D6D">
        <w:t xml:space="preserve"> </w:t>
      </w:r>
      <w:r w:rsidR="008E4658">
        <w:rPr>
          <w:bCs/>
        </w:rPr>
        <w:t>8.3.5.3</w:t>
      </w:r>
      <w:r w:rsidRPr="004F74EA">
        <w:t>.</w:t>
      </w:r>
    </w:p>
    <w:p w14:paraId="17BFF902" w14:textId="24FCEFAA" w:rsidR="00E91A91" w:rsidRPr="00132C1E" w:rsidRDefault="00E91A91" w:rsidP="00724E4E">
      <w:pPr>
        <w:pStyle w:val="Clause"/>
      </w:pPr>
      <w:r w:rsidRPr="00132C1E">
        <w:t xml:space="preserve">In DC3, the distance between lateral-torsional restraints in dissipative composite steel beams should not be greater than the stable length </w:t>
      </w:r>
      <w:r w:rsidRPr="004F74EA">
        <w:rPr>
          <w:i/>
          <w:iCs/>
        </w:rPr>
        <w:t>L</w:t>
      </w:r>
      <w:r w:rsidRPr="004F74EA">
        <w:rPr>
          <w:vertAlign w:val="subscript"/>
        </w:rPr>
        <w:t>st</w:t>
      </w:r>
      <w:r w:rsidRPr="00132C1E">
        <w:t xml:space="preserve"> given by </w:t>
      </w:r>
      <w:r w:rsidRPr="00B53EBD">
        <w:t>Formula (12.2)</w:t>
      </w:r>
      <w:r w:rsidRPr="00132C1E">
        <w:t>.</w:t>
      </w:r>
    </w:p>
    <w:p w14:paraId="52DA66A4" w14:textId="69B9E000" w:rsidR="00F93317" w:rsidRPr="00870D59" w:rsidRDefault="009B5CEC" w:rsidP="00F93317">
      <w:pPr>
        <w:pStyle w:val="Formula"/>
        <w:spacing w:before="240"/>
      </w:pPr>
      <m:oMath>
        <m:sSub>
          <m:sSubPr>
            <m:ctrlPr>
              <w:rPr>
                <w:rFonts w:ascii="Cambria Math" w:hAnsi="Cambria Math"/>
              </w:rPr>
            </m:ctrlPr>
          </m:sSubPr>
          <m:e>
            <m:r>
              <w:rPr>
                <w:rFonts w:ascii="Cambria Math" w:hAnsi="Cambria Math"/>
              </w:rPr>
              <m:t>L</m:t>
            </m:r>
          </m:e>
          <m:sub>
            <m:r>
              <m:rPr>
                <m:sty m:val="p"/>
              </m:rPr>
              <w:rPr>
                <w:rFonts w:ascii="Cambria Math" w:hAnsi="Cambria Math"/>
              </w:rPr>
              <m:t>st</m:t>
            </m:r>
          </m:sub>
        </m:sSub>
        <m:r>
          <w:rPr>
            <w:rFonts w:ascii="Cambria Math" w:hAnsi="Cambria Math"/>
          </w:rPr>
          <m:t xml:space="preserve">=0,19 </m:t>
        </m:r>
        <m:sSub>
          <m:sSubPr>
            <m:ctrlPr>
              <w:rPr>
                <w:rFonts w:ascii="Cambria Math" w:hAnsi="Cambria Math"/>
              </w:rPr>
            </m:ctrlPr>
          </m:sSubPr>
          <m:e>
            <m:r>
              <w:rPr>
                <w:rFonts w:ascii="Cambria Math" w:hAnsi="Cambria Math"/>
              </w:rPr>
              <m:t>i</m:t>
            </m:r>
          </m:e>
          <m:sub>
            <m:r>
              <m:rPr>
                <m:sty m:val="p"/>
              </m:rPr>
              <w:rPr>
                <w:rFonts w:ascii="Cambria Math" w:hAnsi="Cambria Math"/>
              </w:rPr>
              <m:t>z</m:t>
            </m:r>
          </m:sub>
        </m:sSub>
        <m:sSub>
          <m:sSubPr>
            <m:ctrlPr>
              <w:rPr>
                <w:rFonts w:ascii="Cambria Math" w:hAnsi="Cambria Math"/>
              </w:rPr>
            </m:ctrlPr>
          </m:sSubPr>
          <m:e>
            <m:r>
              <w:rPr>
                <w:rFonts w:ascii="Cambria Math" w:hAnsi="Cambria Math"/>
              </w:rPr>
              <m:t>E</m:t>
            </m:r>
          </m:e>
          <m:sub>
            <m:r>
              <m:rPr>
                <m:sty m:val="p"/>
              </m:rPr>
              <w:rPr>
                <w:rFonts w:ascii="Cambria Math" w:hAnsi="Cambria Math"/>
              </w:rPr>
              <m:t>a</m:t>
            </m:r>
          </m:sub>
        </m:sSub>
        <m:r>
          <w:rPr>
            <w:rFonts w:ascii="Cambria Math" w:hAnsi="Cambria Math"/>
          </w:rPr>
          <m:t>/(</m:t>
        </m:r>
        <m:sSub>
          <m:sSubPr>
            <m:ctrlPr>
              <w:rPr>
                <w:rFonts w:ascii="Cambria Math" w:hAnsi="Cambria Math"/>
              </w:rPr>
            </m:ctrlPr>
          </m:sSubPr>
          <m:e>
            <m:r>
              <w:rPr>
                <w:rFonts w:ascii="Cambria Math" w:hAnsi="Cambria Math"/>
              </w:rPr>
              <m:t>ω</m:t>
            </m:r>
          </m:e>
          <m:sub>
            <m:r>
              <m:rPr>
                <m:sty m:val="p"/>
              </m:rPr>
              <w:rPr>
                <w:rFonts w:ascii="Cambria Math" w:hAnsi="Cambria Math"/>
              </w:rPr>
              <m:t>rm</m:t>
            </m:r>
          </m:sub>
        </m:sSub>
        <m:sSub>
          <m:sSubPr>
            <m:ctrlPr>
              <w:rPr>
                <w:rFonts w:ascii="Cambria Math" w:hAnsi="Cambria Math"/>
              </w:rPr>
            </m:ctrlPr>
          </m:sSubPr>
          <m:e>
            <m:r>
              <w:rPr>
                <w:rFonts w:ascii="Cambria Math" w:hAnsi="Cambria Math"/>
              </w:rPr>
              <m:t>f</m:t>
            </m:r>
          </m:e>
          <m:sub>
            <m:r>
              <m:rPr>
                <m:sty m:val="p"/>
              </m:rPr>
              <w:rPr>
                <w:rFonts w:ascii="Cambria Math" w:hAnsi="Cambria Math"/>
              </w:rPr>
              <m:t>y</m:t>
            </m:r>
          </m:sub>
        </m:sSub>
        <m:r>
          <w:rPr>
            <w:rFonts w:ascii="Cambria Math" w:hAnsi="Cambria Math"/>
          </w:rPr>
          <m:t>)</m:t>
        </m:r>
      </m:oMath>
      <w:r w:rsidR="00F93317" w:rsidRPr="00870D59">
        <w:tab/>
        <w:t>(1</w:t>
      </w:r>
      <w:r w:rsidR="00F93317">
        <w:t>2</w:t>
      </w:r>
      <w:r w:rsidR="00F93317" w:rsidRPr="00870D59">
        <w:t>.</w:t>
      </w:r>
      <w:r w:rsidR="006079F2">
        <w:t>2</w:t>
      </w:r>
      <w:r w:rsidR="00F93317" w:rsidRPr="00870D59">
        <w:t>)</w:t>
      </w:r>
    </w:p>
    <w:p w14:paraId="1FA0835D" w14:textId="77777777" w:rsidR="00F93317" w:rsidRPr="0088232B" w:rsidRDefault="00F93317" w:rsidP="0088232B">
      <w:pPr>
        <w:pStyle w:val="Text"/>
      </w:pPr>
      <w:r w:rsidRPr="00870D59">
        <w:t>where</w:t>
      </w:r>
    </w:p>
    <w:tbl>
      <w:tblPr>
        <w:tblW w:w="0" w:type="auto"/>
        <w:tblInd w:w="346" w:type="dxa"/>
        <w:tblLook w:val="04A0" w:firstRow="1" w:lastRow="0" w:firstColumn="1" w:lastColumn="0" w:noHBand="0" w:noVBand="1"/>
      </w:tblPr>
      <w:tblGrid>
        <w:gridCol w:w="1275"/>
        <w:gridCol w:w="7938"/>
      </w:tblGrid>
      <w:tr w:rsidR="00F93317" w:rsidRPr="00870D59" w14:paraId="6F857241" w14:textId="77777777" w:rsidTr="002E3AAB">
        <w:tc>
          <w:tcPr>
            <w:tcW w:w="1275" w:type="dxa"/>
          </w:tcPr>
          <w:p w14:paraId="6BDC3BD5" w14:textId="27808CFD" w:rsidR="00F93317" w:rsidRPr="00F93317" w:rsidRDefault="009B5CEC" w:rsidP="00F93317">
            <w:pPr>
              <w:spacing w:after="60"/>
              <w:jc w:val="left"/>
              <w:rPr>
                <w:rFonts w:eastAsia="Times New Roman" w:cs="Cambria"/>
                <w:szCs w:val="20"/>
                <w:lang w:eastAsia="fr-FR"/>
              </w:rPr>
            </w:pPr>
            <m:oMathPara>
              <m:oMathParaPr>
                <m:jc m:val="left"/>
              </m:oMathParaPr>
              <m:oMath>
                <m:sSub>
                  <m:sSubPr>
                    <m:ctrlPr>
                      <w:rPr>
                        <w:rFonts w:ascii="Cambria Math" w:hAnsi="Cambria Math"/>
                        <w:i/>
                      </w:rPr>
                    </m:ctrlPr>
                  </m:sSubPr>
                  <m:e>
                    <m:r>
                      <w:rPr>
                        <w:rFonts w:ascii="Cambria Math" w:hAnsi="Cambria Math"/>
                      </w:rPr>
                      <m:t>i</m:t>
                    </m:r>
                  </m:e>
                  <m:sub>
                    <m:r>
                      <m:rPr>
                        <m:sty m:val="p"/>
                      </m:rPr>
                      <w:rPr>
                        <w:rFonts w:ascii="Cambria Math" w:hAnsi="Cambria Math"/>
                        <w:vertAlign w:val="subscript"/>
                      </w:rPr>
                      <m:t>z</m:t>
                    </m:r>
                  </m:sub>
                </m:sSub>
              </m:oMath>
            </m:oMathPara>
          </w:p>
        </w:tc>
        <w:tc>
          <w:tcPr>
            <w:tcW w:w="7938" w:type="dxa"/>
          </w:tcPr>
          <w:p w14:paraId="7AF04B4B" w14:textId="4F62F652" w:rsidR="00F93317" w:rsidRPr="00F93317" w:rsidRDefault="00F93317" w:rsidP="002061E5">
            <w:pPr>
              <w:spacing w:after="60"/>
              <w:rPr>
                <w:rFonts w:eastAsia="Times New Roman" w:cs="Cambria"/>
                <w:color w:val="000000" w:themeColor="text1"/>
                <w:szCs w:val="20"/>
                <w:lang w:eastAsia="fr-FR"/>
              </w:rPr>
            </w:pPr>
            <w:r w:rsidRPr="00F93317">
              <w:rPr>
                <w:color w:val="000000" w:themeColor="text1"/>
              </w:rPr>
              <w:t xml:space="preserve">is the radius of gyration in the plane of buckling calculated based on the elastic transformed composite cross section by using the modular ratio </w:t>
            </w:r>
            <m:oMath>
              <m:sSub>
                <m:sSubPr>
                  <m:ctrlPr>
                    <w:rPr>
                      <w:rFonts w:ascii="Cambria Math" w:hAnsi="Cambria Math"/>
                      <w:i/>
                      <w:noProof/>
                      <w:color w:val="000000" w:themeColor="text1"/>
                    </w:rPr>
                  </m:ctrlPr>
                </m:sSubPr>
                <m:e>
                  <m:r>
                    <w:rPr>
                      <w:rFonts w:ascii="Cambria Math" w:hAnsi="Cambria Math"/>
                      <w:noProof/>
                      <w:color w:val="000000" w:themeColor="text1"/>
                    </w:rPr>
                    <m:t>n</m:t>
                  </m:r>
                </m:e>
                <m:sub>
                  <m:r>
                    <w:rPr>
                      <w:rFonts w:ascii="Cambria Math" w:hAnsi="Cambria Math"/>
                      <w:noProof/>
                      <w:color w:val="000000" w:themeColor="text1"/>
                    </w:rPr>
                    <m:t>0</m:t>
                  </m:r>
                </m:sub>
              </m:sSub>
            </m:oMath>
            <w:r w:rsidRPr="00F93317">
              <w:rPr>
                <w:color w:val="000000" w:themeColor="text1"/>
              </w:rPr>
              <w:t xml:space="preserve"> according to Formula (12.1);</w:t>
            </w:r>
          </w:p>
        </w:tc>
      </w:tr>
      <w:tr w:rsidR="00F93317" w:rsidRPr="00870D59" w14:paraId="371EF242" w14:textId="77777777" w:rsidTr="002E3AAB">
        <w:tc>
          <w:tcPr>
            <w:tcW w:w="1275" w:type="dxa"/>
          </w:tcPr>
          <w:p w14:paraId="66149C48" w14:textId="656AB304" w:rsidR="00F93317" w:rsidRPr="00F93317" w:rsidRDefault="009B5CEC" w:rsidP="00F93317">
            <w:pPr>
              <w:spacing w:after="60"/>
              <w:jc w:val="left"/>
              <w:rPr>
                <w:rFonts w:eastAsia="Times New Roman" w:cs="Cambria"/>
                <w:szCs w:val="20"/>
                <w:lang w:eastAsia="fr-FR"/>
              </w:rPr>
            </w:pPr>
            <m:oMathPara>
              <m:oMathParaPr>
                <m:jc m:val="left"/>
              </m:oMathParaPr>
              <m:oMath>
                <m:sSub>
                  <m:sSubPr>
                    <m:ctrlPr>
                      <w:rPr>
                        <w:rFonts w:ascii="Cambria Math" w:hAnsi="Cambria Math"/>
                        <w:i/>
                      </w:rPr>
                    </m:ctrlPr>
                  </m:sSubPr>
                  <m:e>
                    <m:r>
                      <w:rPr>
                        <w:rFonts w:ascii="Cambria Math" w:hAnsi="Cambria Math"/>
                      </w:rPr>
                      <m:t>E</m:t>
                    </m:r>
                  </m:e>
                  <m:sub>
                    <m:r>
                      <m:rPr>
                        <m:sty m:val="p"/>
                      </m:rPr>
                      <w:rPr>
                        <w:rFonts w:ascii="Cambria Math" w:hAnsi="Cambria Math"/>
                      </w:rPr>
                      <m:t>a</m:t>
                    </m:r>
                  </m:sub>
                </m:sSub>
              </m:oMath>
            </m:oMathPara>
          </w:p>
        </w:tc>
        <w:tc>
          <w:tcPr>
            <w:tcW w:w="7938" w:type="dxa"/>
          </w:tcPr>
          <w:p w14:paraId="3FBC553E" w14:textId="06B5B890" w:rsidR="00F93317" w:rsidRPr="00F93317" w:rsidRDefault="00F93317" w:rsidP="002061E5">
            <w:pPr>
              <w:spacing w:after="60"/>
              <w:rPr>
                <w:rFonts w:eastAsia="Times New Roman" w:cs="Cambria"/>
                <w:color w:val="000000" w:themeColor="text1"/>
                <w:szCs w:val="20"/>
                <w:lang w:eastAsia="fr-FR"/>
              </w:rPr>
            </w:pPr>
            <w:r w:rsidRPr="00F93317">
              <w:rPr>
                <w:color w:val="000000" w:themeColor="text1"/>
              </w:rPr>
              <w:t>is the elastic modulus of steel;</w:t>
            </w:r>
          </w:p>
        </w:tc>
      </w:tr>
      <w:tr w:rsidR="00F93317" w:rsidRPr="00870D59" w14:paraId="516072D4" w14:textId="77777777" w:rsidTr="002E3AAB">
        <w:tc>
          <w:tcPr>
            <w:tcW w:w="1275" w:type="dxa"/>
          </w:tcPr>
          <w:p w14:paraId="249C1AB7" w14:textId="563EB624" w:rsidR="00F93317" w:rsidRPr="00F93317" w:rsidRDefault="009B5CEC" w:rsidP="00F93317">
            <w:pPr>
              <w:spacing w:after="60"/>
              <w:jc w:val="left"/>
              <w:rPr>
                <w:rFonts w:eastAsia="Times New Roman" w:cs="Cambria"/>
                <w:szCs w:val="20"/>
                <w:lang w:eastAsia="fr-FR"/>
              </w:rPr>
            </w:pPr>
            <m:oMathPara>
              <m:oMathParaPr>
                <m:jc m:val="left"/>
              </m:oMathParaPr>
              <m:oMath>
                <m:sSub>
                  <m:sSubPr>
                    <m:ctrlPr>
                      <w:rPr>
                        <w:rFonts w:ascii="Cambria Math" w:hAnsi="Cambria Math"/>
                        <w:i/>
                      </w:rPr>
                    </m:ctrlPr>
                  </m:sSubPr>
                  <m:e>
                    <m:r>
                      <w:rPr>
                        <w:rFonts w:ascii="Cambria Math" w:hAnsi="Cambria Math"/>
                      </w:rPr>
                      <m:t>ω</m:t>
                    </m:r>
                  </m:e>
                  <m:sub>
                    <m:r>
                      <m:rPr>
                        <m:sty m:val="p"/>
                      </m:rPr>
                      <w:rPr>
                        <w:rFonts w:ascii="Cambria Math" w:hAnsi="Cambria Math"/>
                      </w:rPr>
                      <m:t>rm</m:t>
                    </m:r>
                  </m:sub>
                </m:sSub>
              </m:oMath>
            </m:oMathPara>
          </w:p>
        </w:tc>
        <w:tc>
          <w:tcPr>
            <w:tcW w:w="7938" w:type="dxa"/>
          </w:tcPr>
          <w:p w14:paraId="13B9939C" w14:textId="71F28388" w:rsidR="00F93317" w:rsidRPr="00F93317" w:rsidRDefault="00F93317" w:rsidP="002061E5">
            <w:pPr>
              <w:spacing w:after="60"/>
              <w:rPr>
                <w:rFonts w:eastAsia="Times New Roman" w:cs="Cambria"/>
                <w:color w:val="000000" w:themeColor="text1"/>
                <w:szCs w:val="20"/>
                <w:lang w:eastAsia="fr-FR"/>
              </w:rPr>
            </w:pPr>
            <w:r w:rsidRPr="00F93317">
              <w:rPr>
                <w:color w:val="000000" w:themeColor="text1"/>
              </w:rPr>
              <w:t xml:space="preserve">is the steel material overstrength factor (see </w:t>
            </w:r>
            <w:r w:rsidRPr="00D46D6D">
              <w:rPr>
                <w:bCs/>
                <w:color w:val="000000" w:themeColor="text1"/>
              </w:rPr>
              <w:t>11.2.2</w:t>
            </w:r>
            <w:r w:rsidRPr="00F93317">
              <w:rPr>
                <w:color w:val="000000" w:themeColor="text1"/>
              </w:rPr>
              <w:t>).</w:t>
            </w:r>
          </w:p>
        </w:tc>
      </w:tr>
    </w:tbl>
    <w:p w14:paraId="2622C918" w14:textId="7AA64E60" w:rsidR="006079F2" w:rsidRPr="00644C3D" w:rsidRDefault="006079F2" w:rsidP="00724E4E">
      <w:pPr>
        <w:pStyle w:val="Clause"/>
      </w:pPr>
      <w:r w:rsidRPr="00FD17CF">
        <w:t xml:space="preserve">In DC3, for dissipative composite steel beams </w:t>
      </w:r>
      <w:r w:rsidRPr="004F74EA">
        <w:t xml:space="preserve">satisfying </w:t>
      </w:r>
      <w:r w:rsidRPr="00D46D6D">
        <w:t>12.8.6.2.3</w:t>
      </w:r>
      <w:r w:rsidRPr="004F74EA">
        <w:t xml:space="preserve">, </w:t>
      </w:r>
      <w:r w:rsidRPr="00D46D6D">
        <w:t>11.9.2(3)</w:t>
      </w:r>
      <w:r w:rsidRPr="004F74EA">
        <w:t xml:space="preserve"> should </w:t>
      </w:r>
      <w:r w:rsidRPr="00644C3D">
        <w:t>be applied.</w:t>
      </w:r>
    </w:p>
    <w:p w14:paraId="1F895697" w14:textId="3596E868" w:rsidR="006079F2" w:rsidRPr="00196951" w:rsidRDefault="006079F2" w:rsidP="00724E4E">
      <w:pPr>
        <w:pStyle w:val="Clause"/>
      </w:pPr>
      <w:r w:rsidRPr="00644C3D">
        <w:t xml:space="preserve">In DC3, </w:t>
      </w:r>
      <w:r w:rsidRPr="00D46D6D">
        <w:t>11.9.2(4)</w:t>
      </w:r>
      <w:r w:rsidRPr="006079F2">
        <w:t xml:space="preserve"> should be applied for dissipative composite steel or bare steel beams of composite structural systems</w:t>
      </w:r>
      <w:r w:rsidRPr="00E05E29">
        <w:t>.</w:t>
      </w:r>
    </w:p>
    <w:p w14:paraId="72CBB386" w14:textId="489F1FE1" w:rsidR="006079F2" w:rsidRPr="00132C1E" w:rsidRDefault="006079F2" w:rsidP="00724E4E">
      <w:pPr>
        <w:pStyle w:val="Clause"/>
      </w:pPr>
      <w:r w:rsidRPr="006079F2">
        <w:t xml:space="preserve">Additional transverse bracing should be placed adjacent to the expected dissipative zones of composite steel or steel beams of composite structural types in DC2 and DC3, where required in </w:t>
      </w:r>
      <w:r w:rsidRPr="00D46D6D">
        <w:t>12.9</w:t>
      </w:r>
      <w:r w:rsidRPr="006079F2">
        <w:t xml:space="preserve"> to </w:t>
      </w:r>
      <w:r w:rsidRPr="00D46D6D">
        <w:t>12.14</w:t>
      </w:r>
      <w:r w:rsidRPr="00132C1E">
        <w:t>.</w:t>
      </w:r>
    </w:p>
    <w:p w14:paraId="0BB2FF43" w14:textId="1B96C751" w:rsidR="006079F2" w:rsidRDefault="006079F2" w:rsidP="00724E4E">
      <w:pPr>
        <w:pStyle w:val="Clause"/>
      </w:pPr>
      <w:r w:rsidRPr="00132C1E">
        <w:t xml:space="preserve">In DC3, the resistance </w:t>
      </w:r>
      <w:r w:rsidRPr="004F74EA">
        <w:rPr>
          <w:i/>
          <w:iCs/>
        </w:rPr>
        <w:t>M</w:t>
      </w:r>
      <w:r w:rsidRPr="004F74EA">
        <w:rPr>
          <w:vertAlign w:val="subscript"/>
        </w:rPr>
        <w:t>b</w:t>
      </w:r>
      <w:r w:rsidRPr="00132C1E">
        <w:t xml:space="preserve"> of torsional bracing adjacent to plastic hinges in dissipative zones of composite steel beams with slab or concrete encased-composite beams should not be smaller than the value given by </w:t>
      </w:r>
      <w:r w:rsidRPr="00B53EBD">
        <w:t>Formula (12.3)</w:t>
      </w:r>
      <w:r w:rsidRPr="00132C1E">
        <w:t>.</w:t>
      </w:r>
    </w:p>
    <w:p w14:paraId="42079CD0" w14:textId="7E7DD3D9" w:rsidR="006079F2" w:rsidRPr="00870D59" w:rsidRDefault="009B5CEC" w:rsidP="006079F2">
      <w:pPr>
        <w:pStyle w:val="Formula"/>
        <w:spacing w:before="240"/>
      </w:pPr>
      <m:oMath>
        <m:sSub>
          <m:sSubPr>
            <m:ctrlPr>
              <w:rPr>
                <w:rFonts w:ascii="Cambria Math" w:hAnsi="Cambria Math"/>
              </w:rPr>
            </m:ctrlPr>
          </m:sSubPr>
          <m:e>
            <m:r>
              <w:rPr>
                <w:rFonts w:ascii="Cambria Math" w:hAnsi="Cambria Math"/>
              </w:rPr>
              <m:t>M</m:t>
            </m:r>
          </m:e>
          <m:sub>
            <m:r>
              <m:rPr>
                <m:sty m:val="p"/>
              </m:rPr>
              <w:rPr>
                <w:rFonts w:ascii="Cambria Math" w:hAnsi="Cambria Math"/>
              </w:rPr>
              <m:t>b</m:t>
            </m:r>
          </m:sub>
        </m:sSub>
        <m:r>
          <w:rPr>
            <w:rFonts w:ascii="Cambria Math" w:hAnsi="Cambria Math"/>
          </w:rPr>
          <m:t>=0,06</m:t>
        </m:r>
        <m:sSub>
          <m:sSubPr>
            <m:ctrlPr>
              <w:rPr>
                <w:rFonts w:ascii="Cambria Math" w:hAnsi="Cambria Math"/>
              </w:rPr>
            </m:ctrlPr>
          </m:sSubPr>
          <m:e>
            <m:r>
              <w:rPr>
                <w:rFonts w:ascii="Cambria Math" w:hAnsi="Cambria Math"/>
              </w:rPr>
              <m:t>ω</m:t>
            </m:r>
          </m:e>
          <m:sub>
            <m:r>
              <m:rPr>
                <m:sty m:val="p"/>
              </m:rPr>
              <w:rPr>
                <w:rFonts w:ascii="Cambria Math" w:hAnsi="Cambria Math"/>
              </w:rPr>
              <m:t>rm</m:t>
            </m:r>
          </m:sub>
        </m:sSub>
      </m:oMath>
      <w:r w:rsidR="006079F2" w:rsidRPr="00870D59">
        <w:tab/>
        <w:t>(1</w:t>
      </w:r>
      <w:r w:rsidR="006079F2">
        <w:t>2</w:t>
      </w:r>
      <w:r w:rsidR="006079F2" w:rsidRPr="00870D59">
        <w:t>.</w:t>
      </w:r>
      <w:r w:rsidR="006079F2">
        <w:t>3</w:t>
      </w:r>
      <w:r w:rsidR="006079F2" w:rsidRPr="00870D59">
        <w:t>)</w:t>
      </w:r>
    </w:p>
    <w:p w14:paraId="182ECE76" w14:textId="5D1E4CEE" w:rsidR="006079F2" w:rsidRPr="006079F2" w:rsidRDefault="006079F2" w:rsidP="006079F2">
      <w:pPr>
        <w:rPr>
          <w:rFonts w:eastAsiaTheme="minorHAnsi"/>
          <w:color w:val="000000" w:themeColor="text1"/>
        </w:rPr>
      </w:pPr>
      <w:r w:rsidRPr="00132C1E">
        <w:t xml:space="preserve">where </w:t>
      </w:r>
      <w:r w:rsidR="008E4658" w:rsidRPr="008E4658">
        <w:rPr>
          <w:i/>
          <w:iCs/>
        </w:rPr>
        <w:t>M</w:t>
      </w:r>
      <w:r w:rsidR="008E4658">
        <w:rPr>
          <w:vertAlign w:val="subscript"/>
        </w:rPr>
        <w:t>pl,Rd</w:t>
      </w:r>
      <w:r w:rsidRPr="00D1484A">
        <w:t xml:space="preserve"> </w:t>
      </w:r>
      <w:r w:rsidRPr="007E6F67">
        <w:rPr>
          <w:rFonts w:eastAsiaTheme="minorHAnsi"/>
          <w:color w:val="000000" w:themeColor="text1"/>
        </w:rPr>
        <w:t xml:space="preserve">is the plastic </w:t>
      </w:r>
      <w:r w:rsidR="008E4658">
        <w:rPr>
          <w:rFonts w:eastAsiaTheme="minorHAnsi"/>
          <w:color w:val="000000" w:themeColor="text1"/>
        </w:rPr>
        <w:t>moment of resistance</w:t>
      </w:r>
      <w:r w:rsidRPr="007E6F67">
        <w:rPr>
          <w:rFonts w:eastAsiaTheme="minorHAnsi"/>
          <w:color w:val="000000" w:themeColor="text1"/>
        </w:rPr>
        <w:t xml:space="preserve"> of the composite steel beam with slab or the concrete encased composite beam</w:t>
      </w:r>
      <w:r w:rsidR="008E4658">
        <w:rPr>
          <w:rFonts w:eastAsiaTheme="minorHAnsi"/>
          <w:color w:val="000000" w:themeColor="text1"/>
        </w:rPr>
        <w:t xml:space="preserve"> which</w:t>
      </w:r>
      <w:r w:rsidRPr="007E6F67">
        <w:rPr>
          <w:rFonts w:eastAsiaTheme="minorHAnsi"/>
          <w:color w:val="000000" w:themeColor="text1"/>
        </w:rPr>
        <w:t xml:space="preserve"> may be calculated </w:t>
      </w:r>
      <w:r w:rsidR="008E4658">
        <w:rPr>
          <w:rFonts w:eastAsiaTheme="minorHAnsi"/>
          <w:color w:val="000000" w:themeColor="text1"/>
        </w:rPr>
        <w:t>as given in</w:t>
      </w:r>
      <w:r w:rsidRPr="007E6F67">
        <w:rPr>
          <w:rFonts w:eastAsiaTheme="minorHAnsi"/>
          <w:color w:val="000000" w:themeColor="text1"/>
        </w:rPr>
        <w:t xml:space="preserve"> </w:t>
      </w:r>
      <w:r w:rsidRPr="00ED6630">
        <w:rPr>
          <w:rFonts w:eastAsiaTheme="minorHAnsi"/>
          <w:color w:val="000000" w:themeColor="text1"/>
        </w:rPr>
        <w:t>pr</w:t>
      </w:r>
      <w:r w:rsidR="00C30FF9">
        <w:rPr>
          <w:rFonts w:eastAsiaTheme="minorHAnsi"/>
          <w:color w:val="000000" w:themeColor="text1"/>
        </w:rPr>
        <w:t>EN 1</w:t>
      </w:r>
      <w:r w:rsidRPr="00ED6630">
        <w:rPr>
          <w:rFonts w:eastAsiaTheme="minorHAnsi"/>
          <w:color w:val="000000" w:themeColor="text1"/>
        </w:rPr>
        <w:t>994-1-</w:t>
      </w:r>
      <w:r w:rsidRPr="00104944">
        <w:rPr>
          <w:rFonts w:eastAsiaTheme="minorHAnsi"/>
        </w:rPr>
        <w:t>1</w:t>
      </w:r>
      <w:r w:rsidR="00A76494">
        <w:t>:</w:t>
      </w:r>
      <w:r w:rsidR="0078003E">
        <w:t>—</w:t>
      </w:r>
      <w:r w:rsidR="00A76494">
        <w:t xml:space="preserve">, </w:t>
      </w:r>
      <w:r w:rsidR="008E4658">
        <w:rPr>
          <w:color w:val="000000" w:themeColor="text1"/>
        </w:rPr>
        <w:t>8.2.1.</w:t>
      </w:r>
      <w:r w:rsidRPr="006079F2">
        <w:rPr>
          <w:color w:val="000000" w:themeColor="text1"/>
        </w:rPr>
        <w:t xml:space="preserve"> </w:t>
      </w:r>
    </w:p>
    <w:p w14:paraId="56B3321F" w14:textId="77777777" w:rsidR="006079F2" w:rsidRPr="002144A0" w:rsidRDefault="006079F2" w:rsidP="006079F2">
      <w:pPr>
        <w:pStyle w:val="Heading4"/>
      </w:pPr>
      <w:bookmarkStart w:id="10156" w:name="_Toc108342503"/>
      <w:bookmarkStart w:id="10157" w:name="_Hlk25390339"/>
      <w:r w:rsidRPr="00196951">
        <w:lastRenderedPageBreak/>
        <w:t>Composite</w:t>
      </w:r>
      <w:r w:rsidRPr="00D873AE">
        <w:t xml:space="preserve"> </w:t>
      </w:r>
      <w:r w:rsidRPr="00196951">
        <w:t>b</w:t>
      </w:r>
      <w:r w:rsidRPr="002144A0">
        <w:t>eams</w:t>
      </w:r>
      <w:r>
        <w:t>:</w:t>
      </w:r>
      <w:r w:rsidRPr="00196951">
        <w:t xml:space="preserve"> steel b</w:t>
      </w:r>
      <w:r w:rsidRPr="002144A0">
        <w:t>eams with slab</w:t>
      </w:r>
      <w:bookmarkEnd w:id="10156"/>
    </w:p>
    <w:p w14:paraId="3396C460" w14:textId="77777777" w:rsidR="006079F2" w:rsidRPr="00C52095" w:rsidRDefault="006079F2" w:rsidP="006079F2">
      <w:pPr>
        <w:pStyle w:val="Heading5"/>
      </w:pPr>
      <w:bookmarkStart w:id="10158" w:name="_Toc108342504"/>
      <w:r w:rsidRPr="00C52095">
        <w:t>General</w:t>
      </w:r>
      <w:bookmarkEnd w:id="10158"/>
    </w:p>
    <w:bookmarkEnd w:id="10157"/>
    <w:p w14:paraId="39F86D0B" w14:textId="43BE9F67" w:rsidR="006079F2" w:rsidRPr="00132C1E" w:rsidRDefault="006079F2" w:rsidP="0080187E">
      <w:pPr>
        <w:pStyle w:val="Clause"/>
        <w:numPr>
          <w:ilvl w:val="0"/>
          <w:numId w:val="442"/>
        </w:numPr>
      </w:pPr>
      <w:r w:rsidRPr="007754C9">
        <w:t xml:space="preserve">The integrity of the concrete slab shall be maintained </w:t>
      </w:r>
      <w:r w:rsidRPr="00132C1E">
        <w:t>in the seismic design situation, while yielding takes place in the bottom part of the steel cross section and/or in the reinforcing rebars of the slab.</w:t>
      </w:r>
    </w:p>
    <w:p w14:paraId="0A7C147E" w14:textId="58A20C3C" w:rsidR="006079F2" w:rsidRPr="00996161" w:rsidRDefault="006079F2" w:rsidP="00724E4E">
      <w:pPr>
        <w:pStyle w:val="Clause"/>
      </w:pPr>
      <w:r w:rsidRPr="00132C1E">
        <w:t>If it is not intended to use a dissipative composite beam with slab</w:t>
      </w:r>
      <w:r w:rsidRPr="00996161">
        <w:t xml:space="preserve">, </w:t>
      </w:r>
      <w:r w:rsidRPr="00D46D6D">
        <w:t>12.8.6.2.3</w:t>
      </w:r>
      <w:r w:rsidRPr="00996161">
        <w:t xml:space="preserve"> should be applied. In this case, the composite steel beam should be designed in accordance with </w:t>
      </w:r>
      <w:r w:rsidR="00D46D6D">
        <w:t xml:space="preserve">Clause </w:t>
      </w:r>
      <w:r w:rsidRPr="00D46D6D">
        <w:t>11</w:t>
      </w:r>
      <w:r w:rsidRPr="00996161">
        <w:t xml:space="preserve"> </w:t>
      </w:r>
      <w:r w:rsidRPr="00132C1E">
        <w:t>for the seismic design situation.</w:t>
      </w:r>
    </w:p>
    <w:p w14:paraId="552AE2EA" w14:textId="31A7B702" w:rsidR="006079F2" w:rsidRPr="00132C1E" w:rsidRDefault="006079F2" w:rsidP="00724E4E">
      <w:pPr>
        <w:pStyle w:val="Clause"/>
      </w:pPr>
      <w:r w:rsidRPr="00996161">
        <w:t xml:space="preserve">Composite beams in dissipative zones of the structure may be designed with full or partial shear connections in accordance with </w:t>
      </w:r>
      <w:r w:rsidR="00A76494">
        <w:t>prEN 1994-1-1:</w:t>
      </w:r>
      <w:r w:rsidR="0078003E">
        <w:t>—</w:t>
      </w:r>
      <w:r w:rsidRPr="00996161">
        <w:t xml:space="preserve">, </w:t>
      </w:r>
      <w:r w:rsidRPr="00D46D6D">
        <w:t>8.6.3</w:t>
      </w:r>
      <w:r w:rsidRPr="00996161">
        <w:t>. The degree of connection</w:t>
      </w:r>
      <w:r w:rsidRPr="004F74EA">
        <w:rPr>
          <w:i/>
          <w:iCs/>
        </w:rPr>
        <w:t xml:space="preserve"> η</w:t>
      </w:r>
      <w:r w:rsidRPr="00996161">
        <w:t xml:space="preserve"> as defined in </w:t>
      </w:r>
      <w:r w:rsidR="00A76494">
        <w:t>prEN</w:t>
      </w:r>
      <w:r w:rsidR="0078003E">
        <w:t> </w:t>
      </w:r>
      <w:r w:rsidR="00A76494">
        <w:t>1994-1-1:</w:t>
      </w:r>
      <w:r w:rsidR="0078003E">
        <w:t>—</w:t>
      </w:r>
      <w:r w:rsidRPr="00996161">
        <w:t xml:space="preserve">, </w:t>
      </w:r>
      <w:r w:rsidRPr="00D46D6D">
        <w:t>8.6.3.3</w:t>
      </w:r>
      <w:r w:rsidRPr="00996161">
        <w:t>, sh</w:t>
      </w:r>
      <w:r w:rsidRPr="00ED6630">
        <w:t>ould not be smaller than 0,8. The total resistance of the shear connectors</w:t>
      </w:r>
      <w:r w:rsidRPr="00132C1E">
        <w:t xml:space="preserve"> within any negative (hogging) moment region should not be less than the plastic resistance of the longitudinal reinforcement.</w:t>
      </w:r>
      <w:r w:rsidRPr="006C0FFF">
        <w:t xml:space="preserve"> The shear connectors should be placed outside the plastic hinge region in the steel beam.</w:t>
      </w:r>
    </w:p>
    <w:p w14:paraId="69500D3D" w14:textId="787BEB13" w:rsidR="006079F2" w:rsidRPr="00ED6630" w:rsidRDefault="006079F2" w:rsidP="00724E4E">
      <w:pPr>
        <w:pStyle w:val="Clause"/>
      </w:pPr>
      <w:r w:rsidRPr="00132C1E">
        <w:t xml:space="preserve">The </w:t>
      </w:r>
      <w:r w:rsidRPr="00996161">
        <w:t xml:space="preserve">design resistance of shear connectors in composite beams with slab should conform to </w:t>
      </w:r>
      <w:r w:rsidR="00A76494">
        <w:t>prEN</w:t>
      </w:r>
      <w:r w:rsidR="0078003E">
        <w:t> </w:t>
      </w:r>
      <w:r w:rsidR="00A76494">
        <w:t>1994-1-1:</w:t>
      </w:r>
      <w:r w:rsidR="0078003E">
        <w:t>—</w:t>
      </w:r>
      <w:r w:rsidRPr="00996161">
        <w:t xml:space="preserve">, </w:t>
      </w:r>
      <w:r w:rsidRPr="00D46D6D">
        <w:t xml:space="preserve">8.6.8 </w:t>
      </w:r>
      <w:r w:rsidRPr="00996161">
        <w:t>and</w:t>
      </w:r>
      <w:r w:rsidRPr="00D46D6D">
        <w:t xml:space="preserve"> 8.6.9</w:t>
      </w:r>
      <w:r w:rsidRPr="00996161">
        <w:t>. For dissipative composite beams with slab with steel beam cross sectional depths greater than 500mm</w:t>
      </w:r>
      <w:r w:rsidRPr="00ED6630">
        <w:t>, the design resistance of the shear connectors should be multiplied by a reduction factor of 0,75.</w:t>
      </w:r>
    </w:p>
    <w:p w14:paraId="3F18BC05" w14:textId="12755667" w:rsidR="006079F2" w:rsidRPr="00ED6630" w:rsidRDefault="006079F2" w:rsidP="00724E4E">
      <w:pPr>
        <w:pStyle w:val="Clause"/>
      </w:pPr>
      <w:r w:rsidRPr="00ED6630">
        <w:t>When connectors of ductility category D0 or D1, according to Table 5.1 o</w:t>
      </w:r>
      <w:r w:rsidR="0002113B">
        <w:t>f</w:t>
      </w:r>
      <w:r w:rsidRPr="00ED6630">
        <w:t xml:space="preserve"> </w:t>
      </w:r>
      <w:r w:rsidR="00A76494">
        <w:t>prEN 1994-1-1:</w:t>
      </w:r>
      <w:r w:rsidR="0078003E">
        <w:t>—</w:t>
      </w:r>
      <w:r w:rsidRPr="00ED6630">
        <w:t xml:space="preserve">, are used, the connection should be designed according to </w:t>
      </w:r>
      <w:r w:rsidR="00A76494">
        <w:t>prEN 1994-1-1:</w:t>
      </w:r>
      <w:r w:rsidR="0078003E">
        <w:t>—</w:t>
      </w:r>
      <w:r w:rsidR="0002113B">
        <w:t>,</w:t>
      </w:r>
      <w:r w:rsidRPr="00ED6630">
        <w:t xml:space="preserve"> </w:t>
      </w:r>
      <w:r w:rsidRPr="00D46D6D">
        <w:t>8.6.4</w:t>
      </w:r>
      <w:r w:rsidRPr="00ED6630">
        <w:t>.</w:t>
      </w:r>
    </w:p>
    <w:p w14:paraId="32F1E402" w14:textId="11AEF245" w:rsidR="006079F2" w:rsidRPr="00644C3D" w:rsidRDefault="006079F2" w:rsidP="00724E4E">
      <w:pPr>
        <w:pStyle w:val="Clause"/>
      </w:pPr>
      <w:r w:rsidRPr="00996161">
        <w:t xml:space="preserve">When a </w:t>
      </w:r>
      <w:bookmarkStart w:id="10159" w:name="_Hlk38815996"/>
      <w:r w:rsidRPr="00996161">
        <w:t xml:space="preserve">profiled steel sheeting </w:t>
      </w:r>
      <w:bookmarkEnd w:id="10159"/>
      <w:r w:rsidRPr="00996161">
        <w:t xml:space="preserve">with ribs transverse to the supporting beams is used, the </w:t>
      </w:r>
      <w:bookmarkStart w:id="10160" w:name="_Hlk38815916"/>
      <w:r w:rsidRPr="00996161">
        <w:t xml:space="preserve">reduction factor </w:t>
      </w:r>
      <m:oMath>
        <m:sSub>
          <m:sSubPr>
            <m:ctrlPr>
              <w:rPr>
                <w:rFonts w:ascii="Cambria Math" w:hAnsi="Cambria Math"/>
                <w:i/>
              </w:rPr>
            </m:ctrlPr>
          </m:sSubPr>
          <m:e>
            <m:r>
              <w:rPr>
                <w:rFonts w:ascii="Cambria Math" w:hAnsi="Cambria Math"/>
              </w:rPr>
              <m:t>k</m:t>
            </m:r>
          </m:e>
          <m:sub>
            <m:r>
              <m:rPr>
                <m:sty m:val="p"/>
              </m:rPr>
              <w:rPr>
                <w:rFonts w:ascii="Cambria Math" w:hAnsi="Cambria Math"/>
                <w:vertAlign w:val="subscript"/>
              </w:rPr>
              <m:t>t</m:t>
            </m:r>
          </m:sub>
        </m:sSub>
      </m:oMath>
      <w:r w:rsidRPr="00996161">
        <w:t xml:space="preserve"> of the design shear resistance of connectors </w:t>
      </w:r>
      <w:bookmarkEnd w:id="10160"/>
      <w:r w:rsidRPr="00996161">
        <w:t xml:space="preserve">given by </w:t>
      </w:r>
      <w:r w:rsidR="00A76494">
        <w:t>prEN 1994-1-1:</w:t>
      </w:r>
      <w:r w:rsidR="0078003E">
        <w:t>—</w:t>
      </w:r>
      <w:r w:rsidRPr="00996161">
        <w:t>,</w:t>
      </w:r>
      <w:r w:rsidR="008E4658">
        <w:t xml:space="preserve"> 8.6.9.2</w:t>
      </w:r>
      <w:r w:rsidRPr="00996161">
        <w:t xml:space="preserve">, should be further multiplied by the rib shape efficiency factor, </w:t>
      </w:r>
      <m:oMath>
        <m:sSub>
          <m:sSubPr>
            <m:ctrlPr>
              <w:rPr>
                <w:rFonts w:ascii="Cambria Math" w:hAnsi="Cambria Math"/>
                <w:i/>
              </w:rPr>
            </m:ctrlPr>
          </m:sSubPr>
          <m:e>
            <m:r>
              <w:rPr>
                <w:rFonts w:ascii="Cambria Math" w:hAnsi="Cambria Math"/>
              </w:rPr>
              <m:t>k</m:t>
            </m:r>
          </m:e>
          <m:sub>
            <m:r>
              <m:rPr>
                <m:sty m:val="p"/>
              </m:rPr>
              <w:rPr>
                <w:rFonts w:ascii="Cambria Math" w:hAnsi="Cambria Math"/>
                <w:vertAlign w:val="subscript"/>
              </w:rPr>
              <m:t>r</m:t>
            </m:r>
          </m:sub>
        </m:sSub>
      </m:oMath>
      <w:r w:rsidRPr="00996161">
        <w:t>,</w:t>
      </w:r>
      <w:r w:rsidRPr="004F74EA">
        <w:rPr>
          <w:i/>
          <w:vertAlign w:val="subscript"/>
        </w:rPr>
        <w:t xml:space="preserve"> </w:t>
      </w:r>
      <w:r w:rsidRPr="00996161">
        <w:t xml:space="preserve">given in Figure </w:t>
      </w:r>
      <w:r w:rsidRPr="00CB3C16">
        <w:t>12.4</w:t>
      </w:r>
      <w:r w:rsidRPr="00644C3D">
        <w:t>.</w:t>
      </w:r>
    </w:p>
    <w:p w14:paraId="04C4F28D" w14:textId="2BF5174D" w:rsidR="006079F2" w:rsidRPr="00132C1E" w:rsidRDefault="00A2065B" w:rsidP="00A2065B">
      <w:pPr>
        <w:pStyle w:val="FigureImage"/>
      </w:pPr>
      <w:bookmarkStart w:id="10161" w:name="_Ref17733037"/>
      <w:r>
        <w:rPr>
          <w:noProof/>
        </w:rPr>
        <w:drawing>
          <wp:inline distT="0" distB="0" distL="0" distR="0" wp14:anchorId="748BBBA9" wp14:editId="590F8EC7">
            <wp:extent cx="5399541" cy="804673"/>
            <wp:effectExtent l="0" t="0" r="0" b="0"/>
            <wp:docPr id="1661690631" name="0042.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1690631" name="0042.tiff"/>
                    <pic:cNvPicPr/>
                  </pic:nvPicPr>
                  <pic:blipFill>
                    <a:blip r:link="rId57"/>
                    <a:stretch>
                      <a:fillRect/>
                    </a:stretch>
                  </pic:blipFill>
                  <pic:spPr>
                    <a:xfrm>
                      <a:off x="0" y="0"/>
                      <a:ext cx="5399541" cy="804673"/>
                    </a:xfrm>
                    <a:prstGeom prst="rect">
                      <a:avLst/>
                    </a:prstGeom>
                  </pic:spPr>
                </pic:pic>
              </a:graphicData>
            </a:graphic>
          </wp:inline>
        </w:drawing>
      </w:r>
    </w:p>
    <w:bookmarkEnd w:id="10161"/>
    <w:p w14:paraId="1299CC30" w14:textId="57157123" w:rsidR="006079F2" w:rsidRPr="00FD17CF" w:rsidRDefault="006079F2" w:rsidP="00996161">
      <w:pPr>
        <w:pStyle w:val="Figuretitle"/>
        <w:rPr>
          <w:bCs/>
        </w:rPr>
      </w:pPr>
      <w:r w:rsidRPr="00D1484A">
        <w:t xml:space="preserve">Figure </w:t>
      </w:r>
      <w:r w:rsidR="00996161">
        <w:t>12.4</w:t>
      </w:r>
      <w:r w:rsidRPr="00132C1E">
        <w:t> </w:t>
      </w:r>
      <w:r w:rsidRPr="00D1484A">
        <w:rPr>
          <w:rFonts w:ascii="`ÃÍœ˛" w:eastAsia="Cambria" w:hAnsi="`ÃÍœ˛" w:cs="`ÃÍœ˛"/>
          <w:szCs w:val="22"/>
          <w:lang w:eastAsia="de-DE"/>
        </w:rPr>
        <w:t>—</w:t>
      </w:r>
      <w:r w:rsidRPr="00D1484A">
        <w:t> V</w:t>
      </w:r>
      <w:r w:rsidRPr="007E6F67">
        <w:t>alues of the rib shape efficiency factor</w:t>
      </w:r>
    </w:p>
    <w:p w14:paraId="313B136C" w14:textId="071BEC64" w:rsidR="006079F2" w:rsidRPr="00E05E29" w:rsidRDefault="006079F2" w:rsidP="00724E4E">
      <w:pPr>
        <w:pStyle w:val="Clause"/>
      </w:pPr>
      <w:r w:rsidRPr="00644C3D">
        <w:t>To achieve ductility in plastic hinges forming in dissipative zones</w:t>
      </w:r>
      <w:r w:rsidRPr="00E05E29">
        <w:t xml:space="preserve"> under positive bending, the ratio z</w:t>
      </w:r>
      <w:r w:rsidRPr="004F74EA">
        <w:rPr>
          <w:vertAlign w:val="subscript"/>
        </w:rPr>
        <w:t>c</w:t>
      </w:r>
      <w:r w:rsidRPr="00E05E29">
        <w:t>/</w:t>
      </w:r>
      <w:r w:rsidRPr="004F74EA">
        <w:rPr>
          <w:i/>
          <w:iCs/>
        </w:rPr>
        <w:t>d</w:t>
      </w:r>
      <w:r w:rsidRPr="004F74EA">
        <w:rPr>
          <w:vertAlign w:val="subscript"/>
        </w:rPr>
        <w:t>c</w:t>
      </w:r>
      <w:r w:rsidRPr="004F74EA">
        <w:rPr>
          <w:i/>
          <w:iCs/>
        </w:rPr>
        <w:t xml:space="preserve"> </w:t>
      </w:r>
      <w:r w:rsidRPr="00E05E29">
        <w:t xml:space="preserve">of the </w:t>
      </w:r>
      <w:bookmarkStart w:id="10162" w:name="_Hlk38816188"/>
      <w:r w:rsidRPr="00E05E29">
        <w:t>plastic neutral axis</w:t>
      </w:r>
      <w:r w:rsidRPr="00E05E29" w:rsidDel="00E43A63">
        <w:t xml:space="preserve"> </w:t>
      </w:r>
      <w:r w:rsidRPr="00E05E29">
        <w:t xml:space="preserve">depth </w:t>
      </w:r>
      <w:r w:rsidRPr="004F74EA">
        <w:rPr>
          <w:i/>
        </w:rPr>
        <w:t>z</w:t>
      </w:r>
      <w:r w:rsidRPr="004F74EA">
        <w:rPr>
          <w:iCs/>
          <w:vertAlign w:val="subscript"/>
        </w:rPr>
        <w:t>c</w:t>
      </w:r>
      <w:r w:rsidRPr="00E05E29">
        <w:t xml:space="preserve"> to the depth </w:t>
      </w:r>
      <w:r w:rsidRPr="004F74EA">
        <w:rPr>
          <w:i/>
          <w:iCs/>
        </w:rPr>
        <w:t>d</w:t>
      </w:r>
      <w:r w:rsidRPr="004F74EA">
        <w:rPr>
          <w:vertAlign w:val="subscript"/>
        </w:rPr>
        <w:t>c</w:t>
      </w:r>
      <w:r w:rsidRPr="00E05E29">
        <w:t xml:space="preserve"> of the composite beam cross section</w:t>
      </w:r>
      <w:bookmarkEnd w:id="10162"/>
      <w:r w:rsidRPr="00E05E29">
        <w:t xml:space="preserve">, should </w:t>
      </w:r>
      <w:r w:rsidRPr="004F74EA">
        <w:t>satisfy Formula (12.4).</w:t>
      </w:r>
    </w:p>
    <w:p w14:paraId="74BC43B1" w14:textId="314E5E0C" w:rsidR="00996161" w:rsidRPr="00870D59" w:rsidRDefault="009B5CEC" w:rsidP="00996161">
      <w:pPr>
        <w:pStyle w:val="Formula"/>
        <w:spacing w:before="240"/>
      </w:pPr>
      <m:oMath>
        <m:f>
          <m:fPr>
            <m:type m:val="lin"/>
            <m:ctrlPr>
              <w:rPr>
                <w:rFonts w:ascii="Cambria Math" w:hAnsi="Cambria Math"/>
              </w:rPr>
            </m:ctrlPr>
          </m:fPr>
          <m:num>
            <m:sSub>
              <m:sSubPr>
                <m:ctrlPr>
                  <w:rPr>
                    <w:rFonts w:ascii="Cambria Math" w:hAnsi="Cambria Math"/>
                  </w:rPr>
                </m:ctrlPr>
              </m:sSubPr>
              <m:e>
                <m:r>
                  <w:rPr>
                    <w:rFonts w:ascii="Cambria Math" w:hAnsi="Cambria Math"/>
                  </w:rPr>
                  <m:t>z</m:t>
                </m:r>
              </m:e>
              <m:sub>
                <m:r>
                  <m:rPr>
                    <m:sty m:val="p"/>
                  </m:rPr>
                  <w:rPr>
                    <w:rFonts w:ascii="Cambria Math" w:hAnsi="Cambria Math"/>
                  </w:rPr>
                  <m:t>c</m:t>
                </m:r>
              </m:sub>
            </m:sSub>
          </m:num>
          <m:den>
            <m:sSub>
              <m:sSubPr>
                <m:ctrlPr>
                  <w:rPr>
                    <w:rFonts w:ascii="Cambria Math" w:hAnsi="Cambria Math"/>
                  </w:rPr>
                </m:ctrlPr>
              </m:sSubPr>
              <m:e>
                <m:r>
                  <w:rPr>
                    <w:rFonts w:ascii="Cambria Math" w:hAnsi="Cambria Math"/>
                  </w:rPr>
                  <m:t>d</m:t>
                </m:r>
              </m:e>
              <m:sub>
                <m:r>
                  <m:rPr>
                    <m:sty m:val="p"/>
                  </m:rPr>
                  <w:rPr>
                    <w:rFonts w:ascii="Cambria Math" w:hAnsi="Cambria Math"/>
                  </w:rPr>
                  <m:t>c</m:t>
                </m:r>
              </m:sub>
            </m:sSub>
          </m:den>
        </m:f>
        <m:r>
          <w:rPr>
            <w:rFonts w:ascii="Cambria Math" w:hAnsi="Cambria Math"/>
          </w:rPr>
          <m:t>&lt;</m:t>
        </m:r>
        <m:f>
          <m:fPr>
            <m:type m:val="lin"/>
            <m:ctrlPr>
              <w:rPr>
                <w:rFonts w:ascii="Cambria Math" w:hAnsi="Cambria Math"/>
              </w:rPr>
            </m:ctrlPr>
          </m:fPr>
          <m:num>
            <m:sSub>
              <m:sSubPr>
                <m:ctrlPr>
                  <w:rPr>
                    <w:rFonts w:ascii="Cambria Math" w:hAnsi="Cambria Math"/>
                  </w:rPr>
                </m:ctrlPr>
              </m:sSubPr>
              <m:e>
                <m:r>
                  <w:rPr>
                    <w:rFonts w:ascii="Cambria Math" w:hAnsi="Cambria Math"/>
                  </w:rPr>
                  <m:t>ε</m:t>
                </m:r>
              </m:e>
              <m:sub>
                <m:r>
                  <m:rPr>
                    <m:sty m:val="p"/>
                  </m:rPr>
                  <w:rPr>
                    <w:rFonts w:ascii="Cambria Math" w:hAnsi="Cambria Math"/>
                  </w:rPr>
                  <m:t>cu2</m:t>
                </m:r>
              </m:sub>
            </m:sSub>
          </m:num>
          <m:den>
            <m:d>
              <m:dPr>
                <m:ctrlPr>
                  <w:rPr>
                    <w:rFonts w:ascii="Cambria Math" w:hAnsi="Cambria Math"/>
                  </w:rPr>
                </m:ctrlPr>
              </m:dPr>
              <m:e>
                <m:sSub>
                  <m:sSubPr>
                    <m:ctrlPr>
                      <w:rPr>
                        <w:rFonts w:ascii="Cambria Math" w:hAnsi="Cambria Math"/>
                      </w:rPr>
                    </m:ctrlPr>
                  </m:sSubPr>
                  <m:e>
                    <m:r>
                      <w:rPr>
                        <w:rFonts w:ascii="Cambria Math" w:hAnsi="Cambria Math"/>
                      </w:rPr>
                      <m:t>ε</m:t>
                    </m:r>
                  </m:e>
                  <m:sub>
                    <m:r>
                      <m:rPr>
                        <m:sty m:val="p"/>
                      </m:rPr>
                      <w:rPr>
                        <w:rFonts w:ascii="Cambria Math" w:hAnsi="Cambria Math"/>
                      </w:rPr>
                      <m:t>cu2</m:t>
                    </m:r>
                  </m:sub>
                </m:sSub>
                <m:r>
                  <w:rPr>
                    <w:rFonts w:ascii="Cambria Math" w:hAnsi="Cambria Math"/>
                  </w:rPr>
                  <m:t>+</m:t>
                </m:r>
                <m:sSub>
                  <m:sSubPr>
                    <m:ctrlPr>
                      <w:rPr>
                        <w:rFonts w:ascii="Cambria Math" w:hAnsi="Cambria Math"/>
                      </w:rPr>
                    </m:ctrlPr>
                  </m:sSubPr>
                  <m:e>
                    <m:r>
                      <w:rPr>
                        <w:rFonts w:ascii="Cambria Math" w:hAnsi="Cambria Math"/>
                      </w:rPr>
                      <m:t>ε</m:t>
                    </m:r>
                  </m:e>
                  <m:sub>
                    <m:r>
                      <m:rPr>
                        <m:sty m:val="p"/>
                      </m:rPr>
                      <w:rPr>
                        <w:rFonts w:ascii="Cambria Math" w:hAnsi="Cambria Math"/>
                      </w:rPr>
                      <m:t>a</m:t>
                    </m:r>
                  </m:sub>
                </m:sSub>
              </m:e>
            </m:d>
          </m:den>
        </m:f>
      </m:oMath>
      <w:r w:rsidR="00996161" w:rsidRPr="00870D59">
        <w:tab/>
        <w:t>(1</w:t>
      </w:r>
      <w:r w:rsidR="00996161">
        <w:t>2</w:t>
      </w:r>
      <w:r w:rsidR="00996161" w:rsidRPr="00870D59">
        <w:t>.</w:t>
      </w:r>
      <w:r w:rsidR="00996161">
        <w:t>2</w:t>
      </w:r>
      <w:r w:rsidR="00996161" w:rsidRPr="00870D59">
        <w:t>)</w:t>
      </w:r>
    </w:p>
    <w:p w14:paraId="757DDCFA" w14:textId="77777777" w:rsidR="00996161" w:rsidRPr="00870D59" w:rsidRDefault="00996161" w:rsidP="00996161">
      <w:pPr>
        <w:pStyle w:val="Text"/>
      </w:pPr>
      <w:r w:rsidRPr="00870D59">
        <w:t>where</w:t>
      </w:r>
    </w:p>
    <w:tbl>
      <w:tblPr>
        <w:tblW w:w="0" w:type="auto"/>
        <w:tblInd w:w="346" w:type="dxa"/>
        <w:tblLook w:val="04A0" w:firstRow="1" w:lastRow="0" w:firstColumn="1" w:lastColumn="0" w:noHBand="0" w:noVBand="1"/>
      </w:tblPr>
      <w:tblGrid>
        <w:gridCol w:w="1275"/>
        <w:gridCol w:w="7938"/>
      </w:tblGrid>
      <w:tr w:rsidR="00996161" w:rsidRPr="00870D59" w14:paraId="7CEF05A4" w14:textId="77777777" w:rsidTr="002E3AAB">
        <w:tc>
          <w:tcPr>
            <w:tcW w:w="1275" w:type="dxa"/>
          </w:tcPr>
          <w:p w14:paraId="78935070" w14:textId="7F7E29BF" w:rsidR="00996161" w:rsidRPr="00F93317" w:rsidRDefault="009B5CEC" w:rsidP="002061E5">
            <w:pPr>
              <w:spacing w:after="60"/>
              <w:jc w:val="left"/>
              <w:rPr>
                <w:rFonts w:eastAsia="Times New Roman" w:cs="Cambria"/>
                <w:szCs w:val="20"/>
                <w:lang w:eastAsia="fr-FR"/>
              </w:rPr>
            </w:pPr>
            <m:oMathPara>
              <m:oMathParaPr>
                <m:jc m:val="left"/>
              </m:oMathParaPr>
              <m:oMath>
                <m:sSub>
                  <m:sSubPr>
                    <m:ctrlPr>
                      <w:rPr>
                        <w:rFonts w:ascii="Cambria Math" w:hAnsi="Cambria Math"/>
                        <w:i/>
                        <w:noProof/>
                      </w:rPr>
                    </m:ctrlPr>
                  </m:sSubPr>
                  <m:e>
                    <m:r>
                      <w:rPr>
                        <w:rFonts w:ascii="Cambria Math" w:hAnsi="Cambria Math"/>
                        <w:noProof/>
                      </w:rPr>
                      <m:t>ε</m:t>
                    </m:r>
                  </m:e>
                  <m:sub>
                    <m:r>
                      <m:rPr>
                        <m:sty m:val="p"/>
                      </m:rPr>
                      <w:rPr>
                        <w:rFonts w:ascii="Cambria Math" w:hAnsi="Cambria Math"/>
                        <w:noProof/>
                      </w:rPr>
                      <m:t>cu2</m:t>
                    </m:r>
                  </m:sub>
                </m:sSub>
              </m:oMath>
            </m:oMathPara>
          </w:p>
        </w:tc>
        <w:tc>
          <w:tcPr>
            <w:tcW w:w="7938" w:type="dxa"/>
          </w:tcPr>
          <w:p w14:paraId="4681CF00" w14:textId="1DBF232B" w:rsidR="00996161" w:rsidRPr="00F93317" w:rsidRDefault="00996161" w:rsidP="002061E5">
            <w:pPr>
              <w:spacing w:after="60"/>
              <w:rPr>
                <w:rFonts w:eastAsia="Times New Roman" w:cs="Cambria"/>
                <w:color w:val="000000" w:themeColor="text1"/>
                <w:szCs w:val="20"/>
                <w:lang w:eastAsia="fr-FR"/>
              </w:rPr>
            </w:pPr>
            <w:r w:rsidRPr="00D1484A">
              <w:t xml:space="preserve">is the ultimate compressive strain of concrete by considering confinement </w:t>
            </w:r>
            <m:oMath>
              <m:r>
                <w:rPr>
                  <w:rFonts w:ascii="Cambria Math" w:hAnsi="Cambria Math"/>
                </w:rPr>
                <m:t>(</m:t>
              </m:r>
              <m:sSub>
                <m:sSubPr>
                  <m:ctrlPr>
                    <w:rPr>
                      <w:rFonts w:ascii="Cambria Math" w:hAnsi="Cambria Math"/>
                      <w:i/>
                      <w:noProof/>
                    </w:rPr>
                  </m:ctrlPr>
                </m:sSubPr>
                <m:e>
                  <m:r>
                    <w:rPr>
                      <w:rFonts w:ascii="Cambria Math" w:hAnsi="Cambria Math"/>
                      <w:noProof/>
                    </w:rPr>
                    <m:t>ε</m:t>
                  </m:r>
                </m:e>
                <m:sub>
                  <m:r>
                    <m:rPr>
                      <m:sty m:val="p"/>
                    </m:rPr>
                    <w:rPr>
                      <w:rFonts w:ascii="Cambria Math" w:hAnsi="Cambria Math"/>
                      <w:noProof/>
                    </w:rPr>
                    <m:t>cu2</m:t>
                  </m:r>
                </m:sub>
              </m:sSub>
              <m:r>
                <w:rPr>
                  <w:rFonts w:ascii="Cambria Math" w:hAnsi="Cambria Math"/>
                  <w:noProof/>
                </w:rPr>
                <m:t>=0,004 5)</m:t>
              </m:r>
            </m:oMath>
            <w:r w:rsidRPr="00D1484A">
              <w:t>;</w:t>
            </w:r>
          </w:p>
        </w:tc>
      </w:tr>
      <w:tr w:rsidR="00996161" w:rsidRPr="00870D59" w14:paraId="757D2026" w14:textId="77777777" w:rsidTr="002E3AAB">
        <w:tc>
          <w:tcPr>
            <w:tcW w:w="1275" w:type="dxa"/>
          </w:tcPr>
          <w:p w14:paraId="78B87231" w14:textId="4AD990C8" w:rsidR="00996161" w:rsidRPr="00F93317" w:rsidRDefault="009B5CEC" w:rsidP="002061E5">
            <w:pPr>
              <w:spacing w:after="60"/>
              <w:jc w:val="left"/>
              <w:rPr>
                <w:rFonts w:eastAsia="Times New Roman" w:cs="Cambria"/>
                <w:szCs w:val="20"/>
                <w:lang w:eastAsia="fr-FR"/>
              </w:rPr>
            </w:pPr>
            <m:oMathPara>
              <m:oMathParaPr>
                <m:jc m:val="left"/>
              </m:oMathParaPr>
              <m:oMath>
                <m:sSub>
                  <m:sSubPr>
                    <m:ctrlPr>
                      <w:rPr>
                        <w:rFonts w:ascii="Cambria Math" w:hAnsi="Cambria Math"/>
                        <w:i/>
                        <w:noProof/>
                      </w:rPr>
                    </m:ctrlPr>
                  </m:sSubPr>
                  <m:e>
                    <m:r>
                      <w:rPr>
                        <w:rFonts w:ascii="Cambria Math" w:hAnsi="Cambria Math"/>
                        <w:noProof/>
                      </w:rPr>
                      <m:t>ε</m:t>
                    </m:r>
                  </m:e>
                  <m:sub>
                    <m:r>
                      <m:rPr>
                        <m:sty m:val="p"/>
                      </m:rPr>
                      <w:rPr>
                        <w:rFonts w:ascii="Cambria Math" w:hAnsi="Cambria Math"/>
                        <w:noProof/>
                      </w:rPr>
                      <m:t>a</m:t>
                    </m:r>
                  </m:sub>
                </m:sSub>
              </m:oMath>
            </m:oMathPara>
          </w:p>
        </w:tc>
        <w:tc>
          <w:tcPr>
            <w:tcW w:w="7938" w:type="dxa"/>
          </w:tcPr>
          <w:p w14:paraId="5701A754" w14:textId="7FECA82D" w:rsidR="00996161" w:rsidRPr="00F93317" w:rsidRDefault="00996161" w:rsidP="002061E5">
            <w:pPr>
              <w:spacing w:after="60"/>
              <w:rPr>
                <w:rFonts w:eastAsia="Times New Roman" w:cs="Cambria"/>
                <w:color w:val="000000" w:themeColor="text1"/>
                <w:szCs w:val="20"/>
                <w:lang w:eastAsia="fr-FR"/>
              </w:rPr>
            </w:pPr>
            <w:r w:rsidRPr="00132C1E">
              <w:t xml:space="preserve">is the total strain </w:t>
            </w:r>
            <w:r w:rsidRPr="00D1484A">
              <w:t>of the steel profile</w:t>
            </w:r>
            <w:r w:rsidRPr="007E6F67">
              <w:t xml:space="preserve"> at </w:t>
            </w:r>
            <w:r w:rsidRPr="00FD17CF">
              <w:t>SD.</w:t>
            </w:r>
          </w:p>
        </w:tc>
      </w:tr>
    </w:tbl>
    <w:p w14:paraId="5D81763A" w14:textId="2DE11517" w:rsidR="00996161" w:rsidRPr="00E05E29" w:rsidRDefault="00996161" w:rsidP="00724E4E">
      <w:pPr>
        <w:pStyle w:val="Clause"/>
      </w:pPr>
      <w:r w:rsidRPr="00644C3D">
        <w:t xml:space="preserve">To comply </w:t>
      </w:r>
      <w:r w:rsidRPr="004F74EA">
        <w:t xml:space="preserve">with </w:t>
      </w:r>
      <w:r w:rsidRPr="00D46D6D">
        <w:t>(7)</w:t>
      </w:r>
      <w:r w:rsidRPr="004F74EA">
        <w:t xml:space="preserve">, </w:t>
      </w:r>
      <w:r w:rsidRPr="001E26B6">
        <w:t xml:space="preserve">Table 12.6 </w:t>
      </w:r>
      <w:r w:rsidRPr="00E05E29">
        <w:t>may be used for limiting z</w:t>
      </w:r>
      <w:r w:rsidRPr="004F74EA">
        <w:rPr>
          <w:vertAlign w:val="subscript"/>
        </w:rPr>
        <w:t>c</w:t>
      </w:r>
      <w:r w:rsidRPr="00E05E29">
        <w:t>/</w:t>
      </w:r>
      <w:r w:rsidRPr="004F74EA">
        <w:rPr>
          <w:i/>
          <w:iCs/>
        </w:rPr>
        <w:t>d</w:t>
      </w:r>
      <w:r w:rsidRPr="004F74EA">
        <w:rPr>
          <w:vertAlign w:val="subscript"/>
        </w:rPr>
        <w:t>c</w:t>
      </w:r>
      <w:r w:rsidRPr="00E05E29">
        <w:t xml:space="preserve"> of composite beams with slab.</w:t>
      </w:r>
    </w:p>
    <w:p w14:paraId="4AA16AC8" w14:textId="2EF2DE36" w:rsidR="00996161" w:rsidRDefault="00996161" w:rsidP="00724E4E">
      <w:pPr>
        <w:pStyle w:val="Clause"/>
      </w:pPr>
      <w:r w:rsidRPr="00E05E29">
        <w:lastRenderedPageBreak/>
        <w:t xml:space="preserve">In dissipative zones of composite beams, seismic rebars should be present in the connection zone of the beam and the column. The seismic rebars should be transverse to the steel beam and be designed and placed according to </w:t>
      </w:r>
      <w:r w:rsidRPr="00D46D6D">
        <w:t>Annex I</w:t>
      </w:r>
      <w:r w:rsidRPr="001E26B6">
        <w:t>.</w:t>
      </w:r>
    </w:p>
    <w:p w14:paraId="2D8A6116" w14:textId="247060E6" w:rsidR="00996161" w:rsidRPr="00E05E29" w:rsidRDefault="00996161" w:rsidP="00996161">
      <w:pPr>
        <w:pStyle w:val="Notetext"/>
      </w:pPr>
      <w:r>
        <w:t>NOTE</w:t>
      </w:r>
      <w:r>
        <w:tab/>
      </w:r>
      <w:r w:rsidRPr="00E05E29">
        <w:t>“</w:t>
      </w:r>
      <w:r w:rsidR="0088232B">
        <w:t>S</w:t>
      </w:r>
      <w:r w:rsidRPr="00E05E29">
        <w:t xml:space="preserve">eismic rebars” </w:t>
      </w:r>
      <w:r>
        <w:t xml:space="preserve">are </w:t>
      </w:r>
      <w:r w:rsidRPr="00E05E29">
        <w:t>specific ductile steel reinforcement of the slab</w:t>
      </w:r>
      <w:r>
        <w:t>.</w:t>
      </w:r>
    </w:p>
    <w:p w14:paraId="57BD8475" w14:textId="201895EF" w:rsidR="006848EF" w:rsidRDefault="006848EF" w:rsidP="002E3AAB">
      <w:pPr>
        <w:pStyle w:val="Tabletitle"/>
        <w:keepLines/>
      </w:pPr>
      <w:r>
        <w:t>Table 12.6 — Limit values of zc/dc for ductility of steel beams with slab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1701"/>
        <w:gridCol w:w="1701"/>
        <w:gridCol w:w="1720"/>
      </w:tblGrid>
      <w:tr w:rsidR="006848EF" w:rsidRPr="00132C1E" w14:paraId="5D3AFB83" w14:textId="77777777" w:rsidTr="0088232B">
        <w:trPr>
          <w:jc w:val="center"/>
        </w:trPr>
        <w:tc>
          <w:tcPr>
            <w:tcW w:w="2694" w:type="dxa"/>
            <w:tcBorders>
              <w:top w:val="single" w:sz="4" w:space="0" w:color="auto"/>
              <w:left w:val="single" w:sz="4" w:space="0" w:color="auto"/>
              <w:bottom w:val="single" w:sz="4" w:space="0" w:color="auto"/>
              <w:right w:val="single" w:sz="4" w:space="0" w:color="auto"/>
            </w:tcBorders>
            <w:vAlign w:val="center"/>
          </w:tcPr>
          <w:p w14:paraId="02380105" w14:textId="77777777" w:rsidR="006848EF" w:rsidRPr="0088232B" w:rsidRDefault="006848EF" w:rsidP="002E3AAB">
            <w:pPr>
              <w:pStyle w:val="Tablebody"/>
              <w:keepNext/>
              <w:keepLines/>
              <w:jc w:val="center"/>
              <w:rPr>
                <w:b/>
                <w:bCs/>
              </w:rPr>
            </w:pPr>
            <w:r w:rsidRPr="0088232B">
              <w:rPr>
                <w:b/>
                <w:bCs/>
              </w:rPr>
              <w:t>Ductility class</w:t>
            </w:r>
          </w:p>
        </w:tc>
        <w:tc>
          <w:tcPr>
            <w:tcW w:w="1701" w:type="dxa"/>
            <w:tcBorders>
              <w:top w:val="single" w:sz="4" w:space="0" w:color="auto"/>
              <w:left w:val="single" w:sz="4" w:space="0" w:color="auto"/>
              <w:bottom w:val="single" w:sz="4" w:space="0" w:color="auto"/>
              <w:right w:val="single" w:sz="4" w:space="0" w:color="auto"/>
            </w:tcBorders>
            <w:vAlign w:val="center"/>
          </w:tcPr>
          <w:p w14:paraId="398BD636" w14:textId="77777777" w:rsidR="006848EF" w:rsidRPr="0088232B" w:rsidRDefault="006848EF" w:rsidP="002E3AAB">
            <w:pPr>
              <w:pStyle w:val="Tablebody"/>
              <w:keepNext/>
              <w:keepLines/>
              <w:jc w:val="center"/>
              <w:rPr>
                <w:b/>
                <w:bCs/>
                <w:i/>
              </w:rPr>
            </w:pPr>
            <w:r w:rsidRPr="0088232B">
              <w:rPr>
                <w:b/>
                <w:bCs/>
                <w:i/>
              </w:rPr>
              <w:t>q</w:t>
            </w:r>
          </w:p>
        </w:tc>
        <w:tc>
          <w:tcPr>
            <w:tcW w:w="1701" w:type="dxa"/>
            <w:tcBorders>
              <w:top w:val="single" w:sz="4" w:space="0" w:color="auto"/>
              <w:left w:val="single" w:sz="4" w:space="0" w:color="auto"/>
              <w:bottom w:val="single" w:sz="4" w:space="0" w:color="auto"/>
              <w:right w:val="single" w:sz="4" w:space="0" w:color="auto"/>
            </w:tcBorders>
            <w:vAlign w:val="center"/>
          </w:tcPr>
          <w:p w14:paraId="44A5B4B4" w14:textId="0BBB74B6" w:rsidR="006848EF" w:rsidRPr="0088232B" w:rsidRDefault="009B5CEC" w:rsidP="002E3AAB">
            <w:pPr>
              <w:pStyle w:val="Tablebody"/>
              <w:keepNext/>
              <w:keepLines/>
              <w:jc w:val="center"/>
              <w:rPr>
                <w:b/>
                <w:bCs/>
                <w:vertAlign w:val="superscript"/>
              </w:rPr>
            </w:pPr>
            <m:oMath>
              <m:sSub>
                <m:sSubPr>
                  <m:ctrlPr>
                    <w:rPr>
                      <w:rFonts w:ascii="Cambria Math" w:hAnsi="Cambria Math"/>
                      <w:b/>
                      <w:bCs/>
                      <w:i/>
                    </w:rPr>
                  </m:ctrlPr>
                </m:sSubPr>
                <m:e>
                  <m:r>
                    <m:rPr>
                      <m:sty m:val="bi"/>
                    </m:rPr>
                    <w:rPr>
                      <w:rFonts w:ascii="Cambria Math" w:hAnsi="Cambria Math"/>
                    </w:rPr>
                    <m:t>f</m:t>
                  </m:r>
                </m:e>
                <m:sub>
                  <m:r>
                    <m:rPr>
                      <m:sty m:val="b"/>
                    </m:rPr>
                    <w:rPr>
                      <w:rFonts w:ascii="Cambria Math" w:hAnsi="Cambria Math"/>
                      <w:vertAlign w:val="subscript"/>
                    </w:rPr>
                    <m:t>y</m:t>
                  </m:r>
                </m:sub>
              </m:sSub>
            </m:oMath>
            <w:r w:rsidR="006848EF" w:rsidRPr="0088232B">
              <w:rPr>
                <w:b/>
                <w:bCs/>
              </w:rPr>
              <w:t xml:space="preserve"> (N/mm</w:t>
            </w:r>
            <w:r w:rsidR="006848EF" w:rsidRPr="0088232B">
              <w:rPr>
                <w:b/>
                <w:bCs/>
                <w:vertAlign w:val="superscript"/>
              </w:rPr>
              <w:t>2</w:t>
            </w:r>
            <w:r w:rsidR="006848EF" w:rsidRPr="0088232B">
              <w:rPr>
                <w:b/>
                <w:bCs/>
              </w:rPr>
              <w:t>)</w:t>
            </w:r>
          </w:p>
        </w:tc>
        <w:tc>
          <w:tcPr>
            <w:tcW w:w="1720" w:type="dxa"/>
            <w:tcBorders>
              <w:top w:val="single" w:sz="4" w:space="0" w:color="auto"/>
              <w:left w:val="single" w:sz="4" w:space="0" w:color="auto"/>
              <w:bottom w:val="single" w:sz="4" w:space="0" w:color="auto"/>
              <w:right w:val="single" w:sz="4" w:space="0" w:color="auto"/>
            </w:tcBorders>
            <w:vAlign w:val="center"/>
          </w:tcPr>
          <w:p w14:paraId="24123B21" w14:textId="77777777" w:rsidR="006848EF" w:rsidRPr="0088232B" w:rsidRDefault="006848EF" w:rsidP="002E3AAB">
            <w:pPr>
              <w:pStyle w:val="Tablebody"/>
              <w:keepNext/>
              <w:keepLines/>
              <w:jc w:val="center"/>
              <w:rPr>
                <w:b/>
                <w:bCs/>
              </w:rPr>
            </w:pPr>
            <w:r w:rsidRPr="0088232B">
              <w:rPr>
                <w:b/>
                <w:bCs/>
              </w:rPr>
              <w:t>z</w:t>
            </w:r>
            <w:r w:rsidRPr="0088232B">
              <w:rPr>
                <w:b/>
                <w:bCs/>
                <w:vertAlign w:val="subscript"/>
              </w:rPr>
              <w:t>c</w:t>
            </w:r>
            <w:r w:rsidRPr="0088232B">
              <w:rPr>
                <w:b/>
                <w:bCs/>
              </w:rPr>
              <w:t>/</w:t>
            </w:r>
            <w:r w:rsidRPr="0088232B">
              <w:rPr>
                <w:b/>
                <w:bCs/>
                <w:i/>
                <w:iCs/>
              </w:rPr>
              <w:t>d</w:t>
            </w:r>
            <w:r w:rsidRPr="0088232B">
              <w:rPr>
                <w:b/>
                <w:bCs/>
                <w:vertAlign w:val="subscript"/>
              </w:rPr>
              <w:t>c</w:t>
            </w:r>
          </w:p>
          <w:p w14:paraId="6A731D61" w14:textId="77777777" w:rsidR="006848EF" w:rsidRPr="0088232B" w:rsidRDefault="006848EF" w:rsidP="002E3AAB">
            <w:pPr>
              <w:pStyle w:val="Tablebody"/>
              <w:keepNext/>
              <w:keepLines/>
              <w:jc w:val="center"/>
              <w:rPr>
                <w:b/>
                <w:bCs/>
              </w:rPr>
            </w:pPr>
            <w:r w:rsidRPr="0088232B">
              <w:rPr>
                <w:b/>
                <w:bCs/>
              </w:rPr>
              <w:t>upper limit</w:t>
            </w:r>
          </w:p>
        </w:tc>
      </w:tr>
      <w:tr w:rsidR="006848EF" w:rsidRPr="00132C1E" w14:paraId="3E290A3F" w14:textId="77777777" w:rsidTr="0088232B">
        <w:trPr>
          <w:cantSplit/>
          <w:jc w:val="center"/>
        </w:trPr>
        <w:tc>
          <w:tcPr>
            <w:tcW w:w="2694" w:type="dxa"/>
            <w:vMerge w:val="restart"/>
            <w:tcBorders>
              <w:top w:val="single" w:sz="4" w:space="0" w:color="auto"/>
              <w:left w:val="single" w:sz="4" w:space="0" w:color="auto"/>
              <w:right w:val="single" w:sz="4" w:space="0" w:color="auto"/>
            </w:tcBorders>
            <w:vAlign w:val="center"/>
          </w:tcPr>
          <w:p w14:paraId="3ACFB24C" w14:textId="77777777" w:rsidR="006848EF" w:rsidRPr="00D1484A" w:rsidRDefault="006848EF" w:rsidP="0088232B">
            <w:pPr>
              <w:pStyle w:val="Tablebody"/>
              <w:jc w:val="center"/>
            </w:pPr>
            <w:r w:rsidRPr="00132C1E">
              <w:t>DC2</w:t>
            </w:r>
          </w:p>
        </w:tc>
        <w:tc>
          <w:tcPr>
            <w:tcW w:w="1701" w:type="dxa"/>
            <w:vMerge w:val="restart"/>
            <w:tcBorders>
              <w:top w:val="single" w:sz="4" w:space="0" w:color="auto"/>
              <w:left w:val="single" w:sz="4" w:space="0" w:color="auto"/>
              <w:right w:val="single" w:sz="4" w:space="0" w:color="auto"/>
            </w:tcBorders>
            <w:vAlign w:val="center"/>
          </w:tcPr>
          <w:p w14:paraId="4CF7E20E" w14:textId="77777777" w:rsidR="006848EF" w:rsidRPr="00FD17CF" w:rsidRDefault="006848EF" w:rsidP="0088232B">
            <w:pPr>
              <w:pStyle w:val="Tablebody"/>
              <w:jc w:val="center"/>
              <w:rPr>
                <w:i/>
              </w:rPr>
            </w:pPr>
            <w:r w:rsidRPr="00D1484A">
              <w:t xml:space="preserve">1,5 &lt; </w:t>
            </w:r>
            <w:r w:rsidRPr="00D1484A">
              <w:rPr>
                <w:i/>
              </w:rPr>
              <w:t>q</w:t>
            </w:r>
            <w:r w:rsidRPr="007E6F67">
              <w:t xml:space="preserve"> </w:t>
            </w:r>
            <w:r w:rsidRPr="00FD17CF">
              <w:rPr>
                <w:rFonts w:ascii="Symbol" w:eastAsia="Symbol" w:hAnsi="Symbol" w:cs="Symbol"/>
              </w:rPr>
              <w:t></w:t>
            </w:r>
            <w:r w:rsidRPr="00FD17CF">
              <w:t xml:space="preserve"> 3,5</w:t>
            </w:r>
          </w:p>
        </w:tc>
        <w:tc>
          <w:tcPr>
            <w:tcW w:w="1701" w:type="dxa"/>
            <w:tcBorders>
              <w:top w:val="single" w:sz="4" w:space="0" w:color="auto"/>
              <w:left w:val="single" w:sz="4" w:space="0" w:color="auto"/>
              <w:bottom w:val="single" w:sz="4" w:space="0" w:color="auto"/>
              <w:right w:val="single" w:sz="4" w:space="0" w:color="auto"/>
            </w:tcBorders>
            <w:vAlign w:val="center"/>
          </w:tcPr>
          <w:p w14:paraId="5CA801C2" w14:textId="77777777" w:rsidR="006848EF" w:rsidRPr="00E05E29" w:rsidRDefault="006848EF" w:rsidP="0088232B">
            <w:pPr>
              <w:pStyle w:val="Tablebody"/>
              <w:jc w:val="center"/>
            </w:pPr>
            <w:r w:rsidRPr="00644C3D">
              <w:t>355</w:t>
            </w:r>
          </w:p>
        </w:tc>
        <w:tc>
          <w:tcPr>
            <w:tcW w:w="1720" w:type="dxa"/>
            <w:tcBorders>
              <w:top w:val="single" w:sz="4" w:space="0" w:color="auto"/>
              <w:left w:val="single" w:sz="4" w:space="0" w:color="auto"/>
              <w:bottom w:val="single" w:sz="4" w:space="0" w:color="auto"/>
              <w:right w:val="single" w:sz="4" w:space="0" w:color="auto"/>
            </w:tcBorders>
            <w:vAlign w:val="center"/>
          </w:tcPr>
          <w:p w14:paraId="3458650A" w14:textId="77777777" w:rsidR="006848EF" w:rsidRPr="002144A0" w:rsidRDefault="006848EF" w:rsidP="0088232B">
            <w:pPr>
              <w:pStyle w:val="Tablebody"/>
              <w:jc w:val="center"/>
            </w:pPr>
            <w:r w:rsidRPr="00196951">
              <w:t>0,45</w:t>
            </w:r>
          </w:p>
        </w:tc>
      </w:tr>
      <w:tr w:rsidR="006848EF" w:rsidRPr="00132C1E" w14:paraId="0B16BA4F" w14:textId="77777777" w:rsidTr="0088232B">
        <w:trPr>
          <w:cantSplit/>
          <w:jc w:val="center"/>
        </w:trPr>
        <w:tc>
          <w:tcPr>
            <w:tcW w:w="2694" w:type="dxa"/>
            <w:vMerge/>
            <w:tcBorders>
              <w:top w:val="single" w:sz="4" w:space="0" w:color="auto"/>
              <w:left w:val="single" w:sz="4" w:space="0" w:color="auto"/>
              <w:right w:val="single" w:sz="4" w:space="0" w:color="auto"/>
            </w:tcBorders>
            <w:vAlign w:val="center"/>
          </w:tcPr>
          <w:p w14:paraId="477AF604" w14:textId="77777777" w:rsidR="006848EF" w:rsidRPr="00132C1E" w:rsidRDefault="006848EF" w:rsidP="0088232B">
            <w:pPr>
              <w:pStyle w:val="Tablebody"/>
              <w:jc w:val="center"/>
            </w:pPr>
          </w:p>
        </w:tc>
        <w:tc>
          <w:tcPr>
            <w:tcW w:w="1701" w:type="dxa"/>
            <w:vMerge/>
            <w:tcBorders>
              <w:left w:val="single" w:sz="4" w:space="0" w:color="auto"/>
              <w:right w:val="single" w:sz="4" w:space="0" w:color="auto"/>
            </w:tcBorders>
            <w:vAlign w:val="center"/>
          </w:tcPr>
          <w:p w14:paraId="533CDD34" w14:textId="77777777" w:rsidR="006848EF" w:rsidRPr="00132C1E" w:rsidRDefault="006848EF" w:rsidP="0088232B">
            <w:pPr>
              <w:pStyle w:val="Tablebody"/>
              <w:jc w:val="center"/>
            </w:pPr>
          </w:p>
        </w:tc>
        <w:tc>
          <w:tcPr>
            <w:tcW w:w="1701" w:type="dxa"/>
            <w:tcBorders>
              <w:top w:val="single" w:sz="4" w:space="0" w:color="auto"/>
              <w:left w:val="single" w:sz="4" w:space="0" w:color="auto"/>
              <w:bottom w:val="single" w:sz="4" w:space="0" w:color="auto"/>
              <w:right w:val="single" w:sz="4" w:space="0" w:color="auto"/>
            </w:tcBorders>
            <w:vAlign w:val="center"/>
          </w:tcPr>
          <w:p w14:paraId="60FF075A" w14:textId="77777777" w:rsidR="006848EF" w:rsidRPr="00132C1E" w:rsidRDefault="006848EF" w:rsidP="0088232B">
            <w:pPr>
              <w:pStyle w:val="Tablebody"/>
              <w:jc w:val="center"/>
            </w:pPr>
            <w:r w:rsidRPr="00132C1E">
              <w:t>275</w:t>
            </w:r>
          </w:p>
        </w:tc>
        <w:tc>
          <w:tcPr>
            <w:tcW w:w="1720" w:type="dxa"/>
            <w:tcBorders>
              <w:top w:val="single" w:sz="4" w:space="0" w:color="auto"/>
              <w:left w:val="single" w:sz="4" w:space="0" w:color="auto"/>
              <w:bottom w:val="single" w:sz="4" w:space="0" w:color="auto"/>
              <w:right w:val="single" w:sz="4" w:space="0" w:color="auto"/>
            </w:tcBorders>
            <w:vAlign w:val="center"/>
          </w:tcPr>
          <w:p w14:paraId="32CA0461" w14:textId="77777777" w:rsidR="006848EF" w:rsidRPr="00132C1E" w:rsidRDefault="006848EF" w:rsidP="0088232B">
            <w:pPr>
              <w:pStyle w:val="Tablebody"/>
              <w:jc w:val="center"/>
            </w:pPr>
            <w:r w:rsidRPr="00132C1E">
              <w:t>0,50</w:t>
            </w:r>
          </w:p>
        </w:tc>
      </w:tr>
      <w:tr w:rsidR="006848EF" w:rsidRPr="00132C1E" w14:paraId="1519DEBF" w14:textId="77777777" w:rsidTr="0088232B">
        <w:trPr>
          <w:cantSplit/>
          <w:trHeight w:val="215"/>
          <w:jc w:val="center"/>
        </w:trPr>
        <w:tc>
          <w:tcPr>
            <w:tcW w:w="2694" w:type="dxa"/>
            <w:vMerge/>
            <w:tcBorders>
              <w:left w:val="single" w:sz="4" w:space="0" w:color="auto"/>
              <w:bottom w:val="single" w:sz="4" w:space="0" w:color="auto"/>
              <w:right w:val="single" w:sz="4" w:space="0" w:color="auto"/>
            </w:tcBorders>
            <w:vAlign w:val="center"/>
          </w:tcPr>
          <w:p w14:paraId="01F61D9A" w14:textId="77777777" w:rsidR="006848EF" w:rsidRPr="00132C1E" w:rsidRDefault="006848EF" w:rsidP="0088232B">
            <w:pPr>
              <w:pStyle w:val="Tablebody"/>
              <w:jc w:val="center"/>
            </w:pPr>
          </w:p>
        </w:tc>
        <w:tc>
          <w:tcPr>
            <w:tcW w:w="1701" w:type="dxa"/>
            <w:vMerge/>
            <w:tcBorders>
              <w:left w:val="single" w:sz="4" w:space="0" w:color="auto"/>
              <w:bottom w:val="single" w:sz="4" w:space="0" w:color="auto"/>
              <w:right w:val="single" w:sz="4" w:space="0" w:color="auto"/>
            </w:tcBorders>
            <w:vAlign w:val="center"/>
          </w:tcPr>
          <w:p w14:paraId="59DA5990" w14:textId="77777777" w:rsidR="006848EF" w:rsidRPr="00132C1E" w:rsidRDefault="006848EF" w:rsidP="0088232B">
            <w:pPr>
              <w:pStyle w:val="Tablebody"/>
              <w:jc w:val="center"/>
            </w:pPr>
          </w:p>
        </w:tc>
        <w:tc>
          <w:tcPr>
            <w:tcW w:w="1701" w:type="dxa"/>
            <w:tcBorders>
              <w:top w:val="single" w:sz="4" w:space="0" w:color="auto"/>
              <w:left w:val="single" w:sz="4" w:space="0" w:color="auto"/>
              <w:bottom w:val="single" w:sz="4" w:space="0" w:color="auto"/>
              <w:right w:val="single" w:sz="4" w:space="0" w:color="auto"/>
            </w:tcBorders>
            <w:vAlign w:val="center"/>
          </w:tcPr>
          <w:p w14:paraId="28AAC122" w14:textId="77777777" w:rsidR="006848EF" w:rsidRPr="00132C1E" w:rsidRDefault="006848EF" w:rsidP="0088232B">
            <w:pPr>
              <w:pStyle w:val="Tablebody"/>
              <w:jc w:val="center"/>
            </w:pPr>
            <w:r w:rsidRPr="00132C1E">
              <w:t>235</w:t>
            </w:r>
          </w:p>
        </w:tc>
        <w:tc>
          <w:tcPr>
            <w:tcW w:w="1720" w:type="dxa"/>
            <w:tcBorders>
              <w:top w:val="single" w:sz="4" w:space="0" w:color="auto"/>
              <w:left w:val="single" w:sz="4" w:space="0" w:color="auto"/>
              <w:bottom w:val="single" w:sz="4" w:space="0" w:color="auto"/>
              <w:right w:val="single" w:sz="4" w:space="0" w:color="auto"/>
            </w:tcBorders>
            <w:vAlign w:val="center"/>
          </w:tcPr>
          <w:p w14:paraId="39BFFB56" w14:textId="77777777" w:rsidR="006848EF" w:rsidRPr="00132C1E" w:rsidRDefault="006848EF" w:rsidP="0088232B">
            <w:pPr>
              <w:pStyle w:val="Tablebody"/>
              <w:jc w:val="center"/>
              <w:rPr>
                <w:highlight w:val="yellow"/>
              </w:rPr>
            </w:pPr>
            <w:r w:rsidRPr="00132C1E">
              <w:t>0,55</w:t>
            </w:r>
          </w:p>
        </w:tc>
      </w:tr>
      <w:tr w:rsidR="006848EF" w:rsidRPr="00132C1E" w14:paraId="63E66B19" w14:textId="77777777" w:rsidTr="0088232B">
        <w:trPr>
          <w:cantSplit/>
          <w:jc w:val="center"/>
        </w:trPr>
        <w:tc>
          <w:tcPr>
            <w:tcW w:w="2694" w:type="dxa"/>
            <w:vMerge w:val="restart"/>
            <w:tcBorders>
              <w:top w:val="single" w:sz="4" w:space="0" w:color="auto"/>
              <w:left w:val="single" w:sz="4" w:space="0" w:color="auto"/>
              <w:right w:val="single" w:sz="4" w:space="0" w:color="auto"/>
            </w:tcBorders>
            <w:vAlign w:val="center"/>
          </w:tcPr>
          <w:p w14:paraId="1C830A53" w14:textId="77777777" w:rsidR="006848EF" w:rsidRPr="00D1484A" w:rsidRDefault="006848EF" w:rsidP="0088232B">
            <w:pPr>
              <w:pStyle w:val="Tablebody"/>
              <w:jc w:val="center"/>
            </w:pPr>
            <w:r w:rsidRPr="00132C1E">
              <w:t>DC3</w:t>
            </w:r>
          </w:p>
        </w:tc>
        <w:tc>
          <w:tcPr>
            <w:tcW w:w="1701" w:type="dxa"/>
            <w:vMerge w:val="restart"/>
            <w:tcBorders>
              <w:top w:val="single" w:sz="4" w:space="0" w:color="auto"/>
              <w:left w:val="single" w:sz="4" w:space="0" w:color="auto"/>
              <w:right w:val="single" w:sz="4" w:space="0" w:color="auto"/>
            </w:tcBorders>
            <w:vAlign w:val="center"/>
          </w:tcPr>
          <w:p w14:paraId="6A2FC9D2" w14:textId="77777777" w:rsidR="006848EF" w:rsidRPr="00FD17CF" w:rsidRDefault="006848EF" w:rsidP="0088232B">
            <w:pPr>
              <w:pStyle w:val="Tablebody"/>
              <w:jc w:val="center"/>
            </w:pPr>
            <w:r w:rsidRPr="00D1484A">
              <w:t xml:space="preserve">3,5 &lt; </w:t>
            </w:r>
            <w:r w:rsidRPr="00D1484A">
              <w:rPr>
                <w:i/>
              </w:rPr>
              <w:t>q</w:t>
            </w:r>
            <w:r w:rsidRPr="007E6F67">
              <w:t xml:space="preserve"> </w:t>
            </w:r>
            <w:r w:rsidRPr="00FD17CF">
              <w:rPr>
                <w:rFonts w:ascii="Symbol" w:eastAsia="Symbol" w:hAnsi="Symbol" w:cs="Symbol"/>
              </w:rPr>
              <w:t></w:t>
            </w:r>
            <w:r w:rsidRPr="00FD17CF">
              <w:t xml:space="preserve"> 5,0</w:t>
            </w:r>
          </w:p>
        </w:tc>
        <w:tc>
          <w:tcPr>
            <w:tcW w:w="1701" w:type="dxa"/>
            <w:tcBorders>
              <w:top w:val="single" w:sz="4" w:space="0" w:color="auto"/>
              <w:left w:val="single" w:sz="4" w:space="0" w:color="auto"/>
              <w:bottom w:val="single" w:sz="4" w:space="0" w:color="auto"/>
              <w:right w:val="single" w:sz="4" w:space="0" w:color="auto"/>
            </w:tcBorders>
            <w:vAlign w:val="center"/>
          </w:tcPr>
          <w:p w14:paraId="465E7BEB" w14:textId="77777777" w:rsidR="006848EF" w:rsidRPr="00E05E29" w:rsidRDefault="006848EF" w:rsidP="0088232B">
            <w:pPr>
              <w:pStyle w:val="Tablebody"/>
              <w:jc w:val="center"/>
            </w:pPr>
            <w:r w:rsidRPr="00644C3D">
              <w:t>355</w:t>
            </w:r>
          </w:p>
        </w:tc>
        <w:tc>
          <w:tcPr>
            <w:tcW w:w="1720" w:type="dxa"/>
            <w:tcBorders>
              <w:top w:val="single" w:sz="4" w:space="0" w:color="auto"/>
              <w:left w:val="single" w:sz="4" w:space="0" w:color="auto"/>
              <w:bottom w:val="single" w:sz="4" w:space="0" w:color="auto"/>
              <w:right w:val="single" w:sz="4" w:space="0" w:color="auto"/>
            </w:tcBorders>
            <w:vAlign w:val="center"/>
          </w:tcPr>
          <w:p w14:paraId="31C4BF2A" w14:textId="77777777" w:rsidR="006848EF" w:rsidRPr="002144A0" w:rsidRDefault="006848EF" w:rsidP="0088232B">
            <w:pPr>
              <w:pStyle w:val="Tablebody"/>
              <w:jc w:val="center"/>
              <w:rPr>
                <w:highlight w:val="yellow"/>
              </w:rPr>
            </w:pPr>
            <w:r w:rsidRPr="00196951">
              <w:t>0,35</w:t>
            </w:r>
          </w:p>
        </w:tc>
      </w:tr>
      <w:tr w:rsidR="006848EF" w:rsidRPr="00132C1E" w14:paraId="0D212B5C" w14:textId="77777777" w:rsidTr="0088232B">
        <w:trPr>
          <w:cantSplit/>
          <w:jc w:val="center"/>
        </w:trPr>
        <w:tc>
          <w:tcPr>
            <w:tcW w:w="2694" w:type="dxa"/>
            <w:vMerge/>
            <w:tcBorders>
              <w:left w:val="single" w:sz="4" w:space="0" w:color="auto"/>
              <w:right w:val="single" w:sz="4" w:space="0" w:color="auto"/>
            </w:tcBorders>
            <w:vAlign w:val="center"/>
          </w:tcPr>
          <w:p w14:paraId="19A78ACE" w14:textId="77777777" w:rsidR="006848EF" w:rsidRPr="00132C1E" w:rsidRDefault="006848EF" w:rsidP="0088232B">
            <w:pPr>
              <w:pStyle w:val="Tablebody"/>
              <w:jc w:val="center"/>
            </w:pPr>
          </w:p>
        </w:tc>
        <w:tc>
          <w:tcPr>
            <w:tcW w:w="1701" w:type="dxa"/>
            <w:vMerge/>
            <w:tcBorders>
              <w:left w:val="single" w:sz="4" w:space="0" w:color="auto"/>
              <w:right w:val="single" w:sz="4" w:space="0" w:color="auto"/>
            </w:tcBorders>
            <w:vAlign w:val="center"/>
          </w:tcPr>
          <w:p w14:paraId="4B84C9D1" w14:textId="77777777" w:rsidR="006848EF" w:rsidRPr="00132C1E" w:rsidRDefault="006848EF" w:rsidP="0088232B">
            <w:pPr>
              <w:pStyle w:val="Tablebody"/>
              <w:jc w:val="center"/>
              <w:rPr>
                <w:i/>
              </w:rPr>
            </w:pPr>
          </w:p>
        </w:tc>
        <w:tc>
          <w:tcPr>
            <w:tcW w:w="1701" w:type="dxa"/>
            <w:tcBorders>
              <w:top w:val="single" w:sz="4" w:space="0" w:color="auto"/>
              <w:left w:val="single" w:sz="4" w:space="0" w:color="auto"/>
              <w:bottom w:val="single" w:sz="4" w:space="0" w:color="auto"/>
              <w:right w:val="single" w:sz="4" w:space="0" w:color="auto"/>
            </w:tcBorders>
            <w:vAlign w:val="center"/>
          </w:tcPr>
          <w:p w14:paraId="403F2D9E" w14:textId="77777777" w:rsidR="006848EF" w:rsidRPr="00132C1E" w:rsidRDefault="006848EF" w:rsidP="0088232B">
            <w:pPr>
              <w:pStyle w:val="Tablebody"/>
              <w:jc w:val="center"/>
            </w:pPr>
            <w:r w:rsidRPr="00132C1E">
              <w:t>275</w:t>
            </w:r>
          </w:p>
        </w:tc>
        <w:tc>
          <w:tcPr>
            <w:tcW w:w="1720" w:type="dxa"/>
            <w:tcBorders>
              <w:top w:val="single" w:sz="4" w:space="0" w:color="auto"/>
              <w:left w:val="single" w:sz="4" w:space="0" w:color="auto"/>
              <w:bottom w:val="single" w:sz="4" w:space="0" w:color="auto"/>
              <w:right w:val="single" w:sz="4" w:space="0" w:color="auto"/>
            </w:tcBorders>
            <w:vAlign w:val="center"/>
          </w:tcPr>
          <w:p w14:paraId="52C5E64E" w14:textId="77777777" w:rsidR="006848EF" w:rsidRPr="00132C1E" w:rsidRDefault="006848EF" w:rsidP="0088232B">
            <w:pPr>
              <w:pStyle w:val="Tablebody"/>
              <w:jc w:val="center"/>
              <w:rPr>
                <w:highlight w:val="yellow"/>
              </w:rPr>
            </w:pPr>
            <w:r w:rsidRPr="00132C1E">
              <w:t>0,40</w:t>
            </w:r>
          </w:p>
        </w:tc>
      </w:tr>
      <w:tr w:rsidR="006848EF" w:rsidRPr="00132C1E" w14:paraId="14994AB7" w14:textId="77777777" w:rsidTr="0088232B">
        <w:trPr>
          <w:cantSplit/>
          <w:jc w:val="center"/>
        </w:trPr>
        <w:tc>
          <w:tcPr>
            <w:tcW w:w="2694" w:type="dxa"/>
            <w:vMerge/>
            <w:tcBorders>
              <w:left w:val="single" w:sz="4" w:space="0" w:color="auto"/>
              <w:right w:val="single" w:sz="4" w:space="0" w:color="auto"/>
            </w:tcBorders>
            <w:vAlign w:val="center"/>
          </w:tcPr>
          <w:p w14:paraId="4C8926E9" w14:textId="77777777" w:rsidR="006848EF" w:rsidRPr="00132C1E" w:rsidRDefault="006848EF" w:rsidP="0088232B">
            <w:pPr>
              <w:pStyle w:val="Tablebody"/>
              <w:jc w:val="center"/>
            </w:pPr>
          </w:p>
        </w:tc>
        <w:tc>
          <w:tcPr>
            <w:tcW w:w="1701" w:type="dxa"/>
            <w:vMerge/>
            <w:tcBorders>
              <w:left w:val="single" w:sz="4" w:space="0" w:color="auto"/>
              <w:right w:val="single" w:sz="4" w:space="0" w:color="auto"/>
            </w:tcBorders>
            <w:vAlign w:val="center"/>
          </w:tcPr>
          <w:p w14:paraId="44A6A537" w14:textId="77777777" w:rsidR="006848EF" w:rsidRPr="00132C1E" w:rsidRDefault="006848EF" w:rsidP="0088232B">
            <w:pPr>
              <w:pStyle w:val="Tablebody"/>
              <w:jc w:val="center"/>
            </w:pPr>
          </w:p>
        </w:tc>
        <w:tc>
          <w:tcPr>
            <w:tcW w:w="1701" w:type="dxa"/>
            <w:tcBorders>
              <w:top w:val="single" w:sz="4" w:space="0" w:color="auto"/>
              <w:left w:val="single" w:sz="4" w:space="0" w:color="auto"/>
              <w:bottom w:val="single" w:sz="4" w:space="0" w:color="auto"/>
              <w:right w:val="single" w:sz="4" w:space="0" w:color="auto"/>
            </w:tcBorders>
            <w:vAlign w:val="center"/>
          </w:tcPr>
          <w:p w14:paraId="481D1063" w14:textId="77777777" w:rsidR="006848EF" w:rsidRPr="00132C1E" w:rsidRDefault="006848EF" w:rsidP="0088232B">
            <w:pPr>
              <w:pStyle w:val="Tablebody"/>
              <w:jc w:val="center"/>
            </w:pPr>
            <w:r w:rsidRPr="00132C1E">
              <w:t>235</w:t>
            </w:r>
          </w:p>
        </w:tc>
        <w:tc>
          <w:tcPr>
            <w:tcW w:w="1720" w:type="dxa"/>
            <w:tcBorders>
              <w:top w:val="single" w:sz="4" w:space="0" w:color="auto"/>
              <w:left w:val="single" w:sz="4" w:space="0" w:color="auto"/>
              <w:bottom w:val="single" w:sz="4" w:space="0" w:color="auto"/>
              <w:right w:val="single" w:sz="4" w:space="0" w:color="auto"/>
            </w:tcBorders>
            <w:vAlign w:val="center"/>
          </w:tcPr>
          <w:p w14:paraId="1E0A84E7" w14:textId="77777777" w:rsidR="006848EF" w:rsidRPr="00132C1E" w:rsidRDefault="006848EF" w:rsidP="0088232B">
            <w:pPr>
              <w:pStyle w:val="Tablebody"/>
              <w:jc w:val="center"/>
              <w:rPr>
                <w:highlight w:val="yellow"/>
              </w:rPr>
            </w:pPr>
            <w:r w:rsidRPr="00132C1E">
              <w:t>0,45</w:t>
            </w:r>
          </w:p>
        </w:tc>
      </w:tr>
      <w:tr w:rsidR="006848EF" w:rsidRPr="00132C1E" w14:paraId="623CCDBC" w14:textId="77777777" w:rsidTr="0088232B">
        <w:trPr>
          <w:cantSplit/>
          <w:jc w:val="center"/>
        </w:trPr>
        <w:tc>
          <w:tcPr>
            <w:tcW w:w="2694" w:type="dxa"/>
            <w:vMerge/>
            <w:tcBorders>
              <w:left w:val="single" w:sz="4" w:space="0" w:color="auto"/>
              <w:right w:val="single" w:sz="4" w:space="0" w:color="auto"/>
            </w:tcBorders>
            <w:vAlign w:val="center"/>
          </w:tcPr>
          <w:p w14:paraId="57D41C2E" w14:textId="77777777" w:rsidR="006848EF" w:rsidRPr="00132C1E" w:rsidRDefault="006848EF" w:rsidP="0088232B">
            <w:pPr>
              <w:pStyle w:val="Tablebody"/>
              <w:jc w:val="center"/>
            </w:pPr>
          </w:p>
        </w:tc>
        <w:tc>
          <w:tcPr>
            <w:tcW w:w="1701" w:type="dxa"/>
            <w:vMerge w:val="restart"/>
            <w:tcBorders>
              <w:top w:val="single" w:sz="4" w:space="0" w:color="auto"/>
              <w:left w:val="single" w:sz="4" w:space="0" w:color="auto"/>
              <w:right w:val="single" w:sz="4" w:space="0" w:color="auto"/>
            </w:tcBorders>
            <w:vAlign w:val="center"/>
          </w:tcPr>
          <w:p w14:paraId="7F49F868" w14:textId="77777777" w:rsidR="006848EF" w:rsidRPr="00132C1E" w:rsidRDefault="006848EF" w:rsidP="0088232B">
            <w:pPr>
              <w:pStyle w:val="Tablebody"/>
              <w:jc w:val="center"/>
            </w:pPr>
            <w:r w:rsidRPr="00132C1E">
              <w:rPr>
                <w:i/>
              </w:rPr>
              <w:t>q</w:t>
            </w:r>
            <w:r w:rsidRPr="00132C1E">
              <w:t xml:space="preserve"> &gt; 5,0</w:t>
            </w:r>
          </w:p>
        </w:tc>
        <w:tc>
          <w:tcPr>
            <w:tcW w:w="1701" w:type="dxa"/>
            <w:tcBorders>
              <w:top w:val="single" w:sz="4" w:space="0" w:color="auto"/>
              <w:left w:val="single" w:sz="4" w:space="0" w:color="auto"/>
              <w:bottom w:val="single" w:sz="4" w:space="0" w:color="auto"/>
              <w:right w:val="single" w:sz="4" w:space="0" w:color="auto"/>
            </w:tcBorders>
            <w:vAlign w:val="center"/>
          </w:tcPr>
          <w:p w14:paraId="53CBBCF8" w14:textId="77777777" w:rsidR="006848EF" w:rsidRPr="00132C1E" w:rsidRDefault="006848EF" w:rsidP="0088232B">
            <w:pPr>
              <w:pStyle w:val="Tablebody"/>
              <w:jc w:val="center"/>
            </w:pPr>
            <w:r w:rsidRPr="00132C1E">
              <w:t>355</w:t>
            </w:r>
          </w:p>
        </w:tc>
        <w:tc>
          <w:tcPr>
            <w:tcW w:w="1720" w:type="dxa"/>
            <w:tcBorders>
              <w:top w:val="single" w:sz="4" w:space="0" w:color="auto"/>
              <w:left w:val="single" w:sz="4" w:space="0" w:color="auto"/>
              <w:bottom w:val="single" w:sz="4" w:space="0" w:color="auto"/>
              <w:right w:val="single" w:sz="4" w:space="0" w:color="auto"/>
            </w:tcBorders>
            <w:vAlign w:val="center"/>
          </w:tcPr>
          <w:p w14:paraId="4A1D546E" w14:textId="77777777" w:rsidR="006848EF" w:rsidRPr="00132C1E" w:rsidRDefault="006848EF" w:rsidP="0088232B">
            <w:pPr>
              <w:pStyle w:val="Tablebody"/>
              <w:jc w:val="center"/>
              <w:rPr>
                <w:highlight w:val="yellow"/>
              </w:rPr>
            </w:pPr>
            <w:r w:rsidRPr="00132C1E">
              <w:t>0,30</w:t>
            </w:r>
          </w:p>
        </w:tc>
      </w:tr>
      <w:tr w:rsidR="006848EF" w:rsidRPr="00132C1E" w14:paraId="0DAA0FDB" w14:textId="77777777" w:rsidTr="0088232B">
        <w:trPr>
          <w:cantSplit/>
          <w:jc w:val="center"/>
        </w:trPr>
        <w:tc>
          <w:tcPr>
            <w:tcW w:w="2694" w:type="dxa"/>
            <w:vMerge/>
            <w:tcBorders>
              <w:left w:val="single" w:sz="4" w:space="0" w:color="auto"/>
              <w:right w:val="single" w:sz="4" w:space="0" w:color="auto"/>
            </w:tcBorders>
            <w:vAlign w:val="center"/>
          </w:tcPr>
          <w:p w14:paraId="51AD93F7" w14:textId="77777777" w:rsidR="006848EF" w:rsidRPr="00132C1E" w:rsidRDefault="006848EF" w:rsidP="0088232B">
            <w:pPr>
              <w:pStyle w:val="Tablebody"/>
              <w:jc w:val="center"/>
            </w:pPr>
          </w:p>
        </w:tc>
        <w:tc>
          <w:tcPr>
            <w:tcW w:w="1701" w:type="dxa"/>
            <w:vMerge/>
            <w:tcBorders>
              <w:left w:val="single" w:sz="4" w:space="0" w:color="auto"/>
              <w:right w:val="single" w:sz="4" w:space="0" w:color="auto"/>
            </w:tcBorders>
            <w:vAlign w:val="center"/>
          </w:tcPr>
          <w:p w14:paraId="0B124F70" w14:textId="77777777" w:rsidR="006848EF" w:rsidRPr="00132C1E" w:rsidRDefault="006848EF" w:rsidP="0088232B">
            <w:pPr>
              <w:pStyle w:val="Tablebody"/>
              <w:jc w:val="center"/>
              <w:rPr>
                <w:i/>
              </w:rPr>
            </w:pPr>
          </w:p>
        </w:tc>
        <w:tc>
          <w:tcPr>
            <w:tcW w:w="1701" w:type="dxa"/>
            <w:tcBorders>
              <w:top w:val="single" w:sz="4" w:space="0" w:color="auto"/>
              <w:left w:val="single" w:sz="4" w:space="0" w:color="auto"/>
              <w:bottom w:val="single" w:sz="4" w:space="0" w:color="auto"/>
              <w:right w:val="single" w:sz="4" w:space="0" w:color="auto"/>
            </w:tcBorders>
            <w:vAlign w:val="center"/>
          </w:tcPr>
          <w:p w14:paraId="587E33F5" w14:textId="77777777" w:rsidR="006848EF" w:rsidRPr="00132C1E" w:rsidRDefault="006848EF" w:rsidP="0088232B">
            <w:pPr>
              <w:pStyle w:val="Tablebody"/>
              <w:jc w:val="center"/>
            </w:pPr>
            <w:r w:rsidRPr="00132C1E">
              <w:t>275</w:t>
            </w:r>
          </w:p>
        </w:tc>
        <w:tc>
          <w:tcPr>
            <w:tcW w:w="1720" w:type="dxa"/>
            <w:tcBorders>
              <w:top w:val="single" w:sz="4" w:space="0" w:color="auto"/>
              <w:left w:val="single" w:sz="4" w:space="0" w:color="auto"/>
              <w:bottom w:val="single" w:sz="4" w:space="0" w:color="auto"/>
              <w:right w:val="single" w:sz="4" w:space="0" w:color="auto"/>
            </w:tcBorders>
            <w:vAlign w:val="center"/>
          </w:tcPr>
          <w:p w14:paraId="7C9C27A6" w14:textId="77777777" w:rsidR="006848EF" w:rsidRPr="00132C1E" w:rsidRDefault="006848EF" w:rsidP="0088232B">
            <w:pPr>
              <w:pStyle w:val="Tablebody"/>
              <w:jc w:val="center"/>
              <w:rPr>
                <w:highlight w:val="yellow"/>
              </w:rPr>
            </w:pPr>
            <w:r w:rsidRPr="00132C1E">
              <w:t>0,35</w:t>
            </w:r>
          </w:p>
        </w:tc>
      </w:tr>
      <w:tr w:rsidR="006848EF" w:rsidRPr="00132C1E" w14:paraId="2664144D" w14:textId="77777777" w:rsidTr="0088232B">
        <w:trPr>
          <w:cantSplit/>
          <w:jc w:val="center"/>
        </w:trPr>
        <w:tc>
          <w:tcPr>
            <w:tcW w:w="2694" w:type="dxa"/>
            <w:vMerge/>
            <w:tcBorders>
              <w:left w:val="single" w:sz="4" w:space="0" w:color="auto"/>
              <w:right w:val="single" w:sz="4" w:space="0" w:color="auto"/>
            </w:tcBorders>
            <w:vAlign w:val="center"/>
          </w:tcPr>
          <w:p w14:paraId="502F0479" w14:textId="77777777" w:rsidR="006848EF" w:rsidRPr="00132C1E" w:rsidRDefault="006848EF" w:rsidP="0088232B">
            <w:pPr>
              <w:pStyle w:val="Tablebody"/>
              <w:jc w:val="center"/>
            </w:pPr>
          </w:p>
        </w:tc>
        <w:tc>
          <w:tcPr>
            <w:tcW w:w="1701" w:type="dxa"/>
            <w:vMerge/>
            <w:tcBorders>
              <w:left w:val="single" w:sz="4" w:space="0" w:color="auto"/>
              <w:right w:val="single" w:sz="4" w:space="0" w:color="auto"/>
            </w:tcBorders>
            <w:vAlign w:val="center"/>
          </w:tcPr>
          <w:p w14:paraId="36CB6D79" w14:textId="77777777" w:rsidR="006848EF" w:rsidRPr="00132C1E" w:rsidRDefault="006848EF" w:rsidP="0088232B">
            <w:pPr>
              <w:pStyle w:val="Tablebody"/>
              <w:jc w:val="center"/>
            </w:pPr>
          </w:p>
        </w:tc>
        <w:tc>
          <w:tcPr>
            <w:tcW w:w="1701" w:type="dxa"/>
            <w:tcBorders>
              <w:top w:val="single" w:sz="4" w:space="0" w:color="auto"/>
              <w:left w:val="single" w:sz="4" w:space="0" w:color="auto"/>
              <w:bottom w:val="single" w:sz="4" w:space="0" w:color="auto"/>
              <w:right w:val="single" w:sz="4" w:space="0" w:color="auto"/>
            </w:tcBorders>
            <w:vAlign w:val="center"/>
          </w:tcPr>
          <w:p w14:paraId="35339ACB" w14:textId="77777777" w:rsidR="006848EF" w:rsidRPr="00132C1E" w:rsidRDefault="006848EF" w:rsidP="0088232B">
            <w:pPr>
              <w:pStyle w:val="Tablebody"/>
              <w:jc w:val="center"/>
            </w:pPr>
            <w:r w:rsidRPr="00132C1E">
              <w:t>235</w:t>
            </w:r>
          </w:p>
        </w:tc>
        <w:tc>
          <w:tcPr>
            <w:tcW w:w="1720" w:type="dxa"/>
            <w:tcBorders>
              <w:top w:val="single" w:sz="4" w:space="0" w:color="auto"/>
              <w:left w:val="single" w:sz="4" w:space="0" w:color="auto"/>
              <w:bottom w:val="single" w:sz="4" w:space="0" w:color="auto"/>
              <w:right w:val="single" w:sz="4" w:space="0" w:color="auto"/>
            </w:tcBorders>
            <w:vAlign w:val="center"/>
          </w:tcPr>
          <w:p w14:paraId="17C61D70" w14:textId="77777777" w:rsidR="006848EF" w:rsidRPr="00132C1E" w:rsidRDefault="006848EF" w:rsidP="0088232B">
            <w:pPr>
              <w:pStyle w:val="Tablebody"/>
              <w:jc w:val="center"/>
              <w:rPr>
                <w:highlight w:val="yellow"/>
              </w:rPr>
            </w:pPr>
            <w:r w:rsidRPr="00132C1E">
              <w:t>0,40</w:t>
            </w:r>
          </w:p>
        </w:tc>
      </w:tr>
    </w:tbl>
    <w:p w14:paraId="7DBE6994" w14:textId="77777777" w:rsidR="006848EF" w:rsidRDefault="006848EF" w:rsidP="006848EF">
      <w:pPr>
        <w:pStyle w:val="Heading5"/>
      </w:pPr>
      <w:r>
        <w:t>Slab effective width for plastic bending resistance calculations</w:t>
      </w:r>
    </w:p>
    <w:p w14:paraId="0CE55AD7" w14:textId="1CC96B58" w:rsidR="006848EF" w:rsidRDefault="006848EF" w:rsidP="0080187E">
      <w:pPr>
        <w:pStyle w:val="Clause"/>
        <w:numPr>
          <w:ilvl w:val="0"/>
          <w:numId w:val="443"/>
        </w:numPr>
      </w:pPr>
      <w:r>
        <w:t xml:space="preserve">The partial effective width of the slab </w:t>
      </w:r>
      <w:r w:rsidRPr="00A6214C">
        <w:rPr>
          <w:i/>
          <w:iCs/>
        </w:rPr>
        <w:t>b</w:t>
      </w:r>
      <w:r w:rsidRPr="00A6214C">
        <w:rPr>
          <w:vertAlign w:val="subscript"/>
        </w:rPr>
        <w:t>eff,Rd</w:t>
      </w:r>
      <w:r w:rsidRPr="00132C1E">
        <w:t xml:space="preserve"> </w:t>
      </w:r>
      <w:r>
        <w:t>to be used for the calculation of the plastic bending resistance of composite steel beams with slab should be taken as defined in Table 12.7.</w:t>
      </w:r>
    </w:p>
    <w:p w14:paraId="55DA982F" w14:textId="528CDF6C" w:rsidR="006848EF" w:rsidRDefault="006848EF" w:rsidP="006848EF">
      <w:pPr>
        <w:pStyle w:val="Notetext"/>
      </w:pPr>
      <w:r>
        <w:t>NOTE</w:t>
      </w:r>
      <w:r>
        <w:tab/>
        <w:t xml:space="preserve">In Table 12.7, the </w:t>
      </w:r>
      <w:r w:rsidRPr="00132C1E">
        <w:rPr>
          <w:i/>
          <w:iCs/>
        </w:rPr>
        <w:t>b</w:t>
      </w:r>
      <w:r w:rsidRPr="00132C1E">
        <w:rPr>
          <w:vertAlign w:val="subscript"/>
        </w:rPr>
        <w:t>eff,Rd</w:t>
      </w:r>
      <w:r w:rsidRPr="00132C1E">
        <w:t xml:space="preserve"> </w:t>
      </w:r>
      <w:r>
        <w:t>values are valid for primary composite steel beams with slab positioned with their strong axis in the direction of the seismic action.</w:t>
      </w:r>
    </w:p>
    <w:p w14:paraId="3E0D381D" w14:textId="75DD84F3" w:rsidR="006848EF" w:rsidRDefault="006848EF" w:rsidP="006848EF">
      <w:pPr>
        <w:pStyle w:val="Tabletitle"/>
      </w:pPr>
      <w:r>
        <w:t xml:space="preserve">Table 12.7 — Partial effective width </w:t>
      </w:r>
      <w:r w:rsidRPr="00132C1E">
        <w:rPr>
          <w:i/>
          <w:iCs/>
        </w:rPr>
        <w:t>b</w:t>
      </w:r>
      <w:r w:rsidRPr="00132C1E">
        <w:rPr>
          <w:vertAlign w:val="subscript"/>
        </w:rPr>
        <w:t>eff,Rd</w:t>
      </w:r>
      <w:r w:rsidRPr="00132C1E">
        <w:t xml:space="preserve"> </w:t>
      </w:r>
      <w:r>
        <w:t xml:space="preserve">of slab for evaluation of plastic bending resistance, </w:t>
      </w:r>
      <m:oMath>
        <m:sSub>
          <m:sSubPr>
            <m:ctrlPr>
              <w:rPr>
                <w:rFonts w:ascii="Cambria Math" w:hAnsi="Cambria Math"/>
                <w:i/>
                <w:color w:val="000000" w:themeColor="text1"/>
              </w:rPr>
            </m:ctrlPr>
          </m:sSubPr>
          <m:e>
            <m:r>
              <m:rPr>
                <m:sty m:val="bi"/>
              </m:rPr>
              <w:rPr>
                <w:rFonts w:ascii="Cambria Math" w:hAnsi="Cambria Math"/>
                <w:color w:val="000000" w:themeColor="text1"/>
              </w:rPr>
              <m:t>M</m:t>
            </m:r>
          </m:e>
          <m:sub>
            <m:r>
              <m:rPr>
                <m:sty m:val="b"/>
              </m:rPr>
              <w:rPr>
                <w:rFonts w:ascii="Cambria Math" w:hAnsi="Cambria Math"/>
                <w:color w:val="000000" w:themeColor="text1"/>
                <w:vertAlign w:val="subscript"/>
              </w:rPr>
              <m:t>Rd</m:t>
            </m:r>
          </m:sub>
        </m:sSub>
        <m:r>
          <m:rPr>
            <m:sty m:val="bi"/>
          </m:rPr>
          <w:rPr>
            <w:rFonts w:ascii="Cambria Math" w:hAnsi="Cambria Math"/>
            <w:color w:val="000000" w:themeColor="text1"/>
          </w:rPr>
          <m:t xml:space="preserve"> </m:t>
        </m:r>
      </m:oMath>
      <w:r>
        <w:t>of composite steel beams with slab designed according to Annex I</w:t>
      </w:r>
    </w:p>
    <w:tbl>
      <w:tblPr>
        <w:tblStyle w:val="TableGrid"/>
        <w:tblW w:w="10232" w:type="dxa"/>
        <w:jc w:val="center"/>
        <w:tblLayout w:type="fixed"/>
        <w:tblLook w:val="04A0" w:firstRow="1" w:lastRow="0" w:firstColumn="1" w:lastColumn="0" w:noHBand="0" w:noVBand="1"/>
      </w:tblPr>
      <w:tblGrid>
        <w:gridCol w:w="1838"/>
        <w:gridCol w:w="1847"/>
        <w:gridCol w:w="5490"/>
        <w:gridCol w:w="1057"/>
      </w:tblGrid>
      <w:tr w:rsidR="0041403A" w:rsidRPr="0088232B" w14:paraId="182144D8" w14:textId="77777777" w:rsidTr="002061E5">
        <w:trPr>
          <w:trHeight w:val="764"/>
          <w:jc w:val="center"/>
        </w:trPr>
        <w:tc>
          <w:tcPr>
            <w:tcW w:w="1838" w:type="dxa"/>
            <w:vAlign w:val="center"/>
          </w:tcPr>
          <w:p w14:paraId="687F86A7" w14:textId="77777777" w:rsidR="0041403A" w:rsidRPr="0088232B" w:rsidRDefault="0041403A" w:rsidP="0088232B">
            <w:pPr>
              <w:pStyle w:val="Tablebody"/>
              <w:rPr>
                <w:b/>
                <w:bCs/>
              </w:rPr>
            </w:pPr>
            <w:r w:rsidRPr="0088232B">
              <w:rPr>
                <w:b/>
                <w:bCs/>
              </w:rPr>
              <w:t>Stresses in slab</w:t>
            </w:r>
          </w:p>
        </w:tc>
        <w:tc>
          <w:tcPr>
            <w:tcW w:w="1847" w:type="dxa"/>
            <w:vAlign w:val="center"/>
          </w:tcPr>
          <w:p w14:paraId="7F5DAC53" w14:textId="77777777" w:rsidR="0041403A" w:rsidRPr="0088232B" w:rsidRDefault="0041403A" w:rsidP="0088232B">
            <w:pPr>
              <w:pStyle w:val="Tablebody"/>
              <w:jc w:val="center"/>
              <w:rPr>
                <w:b/>
                <w:bCs/>
              </w:rPr>
            </w:pPr>
            <w:r w:rsidRPr="0088232B">
              <w:rPr>
                <w:b/>
                <w:bCs/>
              </w:rPr>
              <w:t>Column location</w:t>
            </w:r>
          </w:p>
        </w:tc>
        <w:tc>
          <w:tcPr>
            <w:tcW w:w="5490" w:type="dxa"/>
            <w:vAlign w:val="center"/>
          </w:tcPr>
          <w:p w14:paraId="47A8EF6D" w14:textId="77777777" w:rsidR="0041403A" w:rsidRPr="0088232B" w:rsidRDefault="0041403A" w:rsidP="0088232B">
            <w:pPr>
              <w:pStyle w:val="Tablebody"/>
              <w:rPr>
                <w:b/>
                <w:bCs/>
              </w:rPr>
            </w:pPr>
            <w:r w:rsidRPr="0088232B">
              <w:rPr>
                <w:b/>
                <w:bCs/>
              </w:rPr>
              <w:t>Transverse element</w:t>
            </w:r>
          </w:p>
        </w:tc>
        <w:tc>
          <w:tcPr>
            <w:tcW w:w="1057" w:type="dxa"/>
            <w:vAlign w:val="center"/>
          </w:tcPr>
          <w:p w14:paraId="36F60B6E" w14:textId="77777777" w:rsidR="0041403A" w:rsidRPr="0088232B" w:rsidRDefault="0041403A" w:rsidP="0088232B">
            <w:pPr>
              <w:pStyle w:val="Tablebody"/>
              <w:jc w:val="center"/>
              <w:rPr>
                <w:b/>
                <w:bCs/>
              </w:rPr>
            </w:pPr>
            <w:r w:rsidRPr="0088232B">
              <w:rPr>
                <w:b/>
                <w:bCs/>
                <w:i/>
                <w:iCs/>
              </w:rPr>
              <w:t>b</w:t>
            </w:r>
            <w:r w:rsidRPr="0088232B">
              <w:rPr>
                <w:b/>
                <w:bCs/>
                <w:vertAlign w:val="subscript"/>
              </w:rPr>
              <w:t>eff,Rd</w:t>
            </w:r>
          </w:p>
        </w:tc>
      </w:tr>
      <w:tr w:rsidR="0041403A" w:rsidRPr="00132C1E" w14:paraId="21BE57B8" w14:textId="77777777" w:rsidTr="002061E5">
        <w:trPr>
          <w:jc w:val="center"/>
        </w:trPr>
        <w:tc>
          <w:tcPr>
            <w:tcW w:w="1838" w:type="dxa"/>
            <w:vAlign w:val="center"/>
          </w:tcPr>
          <w:p w14:paraId="4F5AC9B1" w14:textId="77777777" w:rsidR="0041403A" w:rsidRPr="00D1484A" w:rsidRDefault="0041403A" w:rsidP="0088232B">
            <w:pPr>
              <w:pStyle w:val="Tablebody"/>
            </w:pPr>
            <w:r w:rsidRPr="00132C1E">
              <w:t>Tensile</w:t>
            </w:r>
          </w:p>
        </w:tc>
        <w:tc>
          <w:tcPr>
            <w:tcW w:w="1847" w:type="dxa"/>
            <w:vAlign w:val="center"/>
          </w:tcPr>
          <w:p w14:paraId="68F8601E" w14:textId="77777777" w:rsidR="0041403A" w:rsidRPr="00D1484A" w:rsidRDefault="0041403A" w:rsidP="0088232B">
            <w:pPr>
              <w:pStyle w:val="Tablebody"/>
              <w:jc w:val="center"/>
            </w:pPr>
            <w:r w:rsidRPr="00D1484A">
              <w:t>Interior</w:t>
            </w:r>
          </w:p>
        </w:tc>
        <w:tc>
          <w:tcPr>
            <w:tcW w:w="5490" w:type="dxa"/>
            <w:vAlign w:val="center"/>
          </w:tcPr>
          <w:p w14:paraId="1B8C506B" w14:textId="77777777" w:rsidR="0041403A" w:rsidRPr="00FD17CF" w:rsidRDefault="0041403A" w:rsidP="0088232B">
            <w:pPr>
              <w:pStyle w:val="Tablebody"/>
            </w:pPr>
            <w:r w:rsidRPr="007E6F67">
              <w:t>With seismic re-bars</w:t>
            </w:r>
          </w:p>
        </w:tc>
        <w:tc>
          <w:tcPr>
            <w:tcW w:w="1057" w:type="dxa"/>
            <w:vAlign w:val="center"/>
          </w:tcPr>
          <w:p w14:paraId="70F5D376" w14:textId="77777777" w:rsidR="0041403A" w:rsidRPr="00E05E29" w:rsidRDefault="0041403A" w:rsidP="0088232B">
            <w:pPr>
              <w:pStyle w:val="Tablebody"/>
              <w:jc w:val="center"/>
              <w:rPr>
                <w:i/>
              </w:rPr>
            </w:pPr>
            <w:r w:rsidRPr="00644C3D">
              <w:rPr>
                <w:i/>
              </w:rPr>
              <w:t>b</w:t>
            </w:r>
            <w:r w:rsidRPr="00E05E29">
              <w:rPr>
                <w:iCs/>
                <w:vertAlign w:val="subscript"/>
              </w:rPr>
              <w:t>eff</w:t>
            </w:r>
          </w:p>
        </w:tc>
      </w:tr>
      <w:tr w:rsidR="0041403A" w:rsidRPr="00132C1E" w14:paraId="336D72FB" w14:textId="77777777" w:rsidTr="002061E5">
        <w:trPr>
          <w:jc w:val="center"/>
        </w:trPr>
        <w:tc>
          <w:tcPr>
            <w:tcW w:w="1838" w:type="dxa"/>
            <w:vAlign w:val="center"/>
          </w:tcPr>
          <w:p w14:paraId="1E37FF71" w14:textId="77777777" w:rsidR="0041403A" w:rsidRPr="00D1484A" w:rsidRDefault="0041403A" w:rsidP="0088232B">
            <w:pPr>
              <w:pStyle w:val="Tablebody"/>
            </w:pPr>
            <w:r w:rsidRPr="00132C1E">
              <w:t>Tensile</w:t>
            </w:r>
          </w:p>
        </w:tc>
        <w:tc>
          <w:tcPr>
            <w:tcW w:w="1847" w:type="dxa"/>
            <w:vAlign w:val="center"/>
          </w:tcPr>
          <w:p w14:paraId="654F6478" w14:textId="77777777" w:rsidR="0041403A" w:rsidRPr="00D1484A" w:rsidRDefault="0041403A" w:rsidP="0088232B">
            <w:pPr>
              <w:pStyle w:val="Tablebody"/>
              <w:jc w:val="center"/>
            </w:pPr>
            <w:r w:rsidRPr="00D1484A">
              <w:t>Exterior</w:t>
            </w:r>
          </w:p>
        </w:tc>
        <w:tc>
          <w:tcPr>
            <w:tcW w:w="5490" w:type="dxa"/>
            <w:vAlign w:val="center"/>
          </w:tcPr>
          <w:p w14:paraId="31CE484E" w14:textId="77777777" w:rsidR="0041403A" w:rsidRPr="00644C3D" w:rsidRDefault="0041403A" w:rsidP="0088232B">
            <w:pPr>
              <w:pStyle w:val="Tablebody"/>
            </w:pPr>
            <w:r w:rsidRPr="007E6F67">
              <w:t xml:space="preserve">With re-bars anchored to façade beam or to </w:t>
            </w:r>
            <w:r w:rsidRPr="00FD17CF">
              <w:t>concrete cantilever edge strip. With seismic rebars</w:t>
            </w:r>
          </w:p>
        </w:tc>
        <w:tc>
          <w:tcPr>
            <w:tcW w:w="1057" w:type="dxa"/>
            <w:vAlign w:val="center"/>
          </w:tcPr>
          <w:p w14:paraId="51B8A3B7" w14:textId="77777777" w:rsidR="0041403A" w:rsidRPr="002144A0" w:rsidRDefault="0041403A" w:rsidP="0088232B">
            <w:pPr>
              <w:pStyle w:val="Tablebody"/>
              <w:jc w:val="center"/>
            </w:pPr>
            <w:r w:rsidRPr="00196951">
              <w:rPr>
                <w:i/>
              </w:rPr>
              <w:t>b</w:t>
            </w:r>
            <w:r w:rsidRPr="002144A0">
              <w:rPr>
                <w:iCs/>
                <w:vertAlign w:val="subscript"/>
              </w:rPr>
              <w:t>eff</w:t>
            </w:r>
          </w:p>
        </w:tc>
      </w:tr>
      <w:tr w:rsidR="0041403A" w:rsidRPr="00132C1E" w14:paraId="5A5D20D4" w14:textId="77777777" w:rsidTr="002061E5">
        <w:trPr>
          <w:jc w:val="center"/>
        </w:trPr>
        <w:tc>
          <w:tcPr>
            <w:tcW w:w="1838" w:type="dxa"/>
            <w:vAlign w:val="center"/>
          </w:tcPr>
          <w:p w14:paraId="08E0D650" w14:textId="77777777" w:rsidR="0041403A" w:rsidRPr="00D1484A" w:rsidRDefault="0041403A" w:rsidP="0088232B">
            <w:pPr>
              <w:pStyle w:val="Tablebody"/>
            </w:pPr>
            <w:r w:rsidRPr="00132C1E">
              <w:t>Tensile</w:t>
            </w:r>
          </w:p>
        </w:tc>
        <w:tc>
          <w:tcPr>
            <w:tcW w:w="1847" w:type="dxa"/>
            <w:vAlign w:val="center"/>
          </w:tcPr>
          <w:p w14:paraId="348A6759" w14:textId="77777777" w:rsidR="0041403A" w:rsidRPr="00D1484A" w:rsidRDefault="0041403A" w:rsidP="0088232B">
            <w:pPr>
              <w:pStyle w:val="Tablebody"/>
              <w:jc w:val="center"/>
            </w:pPr>
            <w:r w:rsidRPr="00D1484A">
              <w:t>Exterior</w:t>
            </w:r>
          </w:p>
        </w:tc>
        <w:tc>
          <w:tcPr>
            <w:tcW w:w="5490" w:type="dxa"/>
            <w:vAlign w:val="center"/>
          </w:tcPr>
          <w:p w14:paraId="3CAB8238" w14:textId="77777777" w:rsidR="0041403A" w:rsidRPr="00644C3D" w:rsidRDefault="0041403A" w:rsidP="0088232B">
            <w:pPr>
              <w:pStyle w:val="Tablebody"/>
            </w:pPr>
            <w:r w:rsidRPr="007E6F67">
              <w:t>With re-bars not anchored to façade beam or to concrete cantilever edge strip. With seismic rebars</w:t>
            </w:r>
          </w:p>
        </w:tc>
        <w:tc>
          <w:tcPr>
            <w:tcW w:w="1057" w:type="dxa"/>
            <w:vAlign w:val="center"/>
          </w:tcPr>
          <w:p w14:paraId="1AAF83B9" w14:textId="77777777" w:rsidR="0041403A" w:rsidRPr="002144A0" w:rsidRDefault="0041403A" w:rsidP="0088232B">
            <w:pPr>
              <w:pStyle w:val="Tablebody"/>
              <w:jc w:val="center"/>
            </w:pPr>
            <w:r w:rsidRPr="00196951">
              <w:t>0,0</w:t>
            </w:r>
          </w:p>
        </w:tc>
      </w:tr>
      <w:tr w:rsidR="0041403A" w:rsidRPr="00132C1E" w14:paraId="47828C9F" w14:textId="77777777" w:rsidTr="002061E5">
        <w:trPr>
          <w:jc w:val="center"/>
        </w:trPr>
        <w:tc>
          <w:tcPr>
            <w:tcW w:w="1838" w:type="dxa"/>
            <w:vAlign w:val="center"/>
          </w:tcPr>
          <w:p w14:paraId="41C14FF0" w14:textId="77777777" w:rsidR="0041403A" w:rsidRPr="00D1484A" w:rsidRDefault="0041403A" w:rsidP="0088232B">
            <w:pPr>
              <w:pStyle w:val="Tablebody"/>
            </w:pPr>
            <w:r w:rsidRPr="00132C1E">
              <w:t>Compressive</w:t>
            </w:r>
          </w:p>
        </w:tc>
        <w:tc>
          <w:tcPr>
            <w:tcW w:w="1847" w:type="dxa"/>
            <w:vAlign w:val="center"/>
          </w:tcPr>
          <w:p w14:paraId="30248BBF" w14:textId="77777777" w:rsidR="0041403A" w:rsidRPr="00D1484A" w:rsidRDefault="0041403A" w:rsidP="0088232B">
            <w:pPr>
              <w:pStyle w:val="Tablebody"/>
              <w:jc w:val="center"/>
            </w:pPr>
            <w:r w:rsidRPr="00D1484A">
              <w:t>Interior/Exterior</w:t>
            </w:r>
          </w:p>
        </w:tc>
        <w:tc>
          <w:tcPr>
            <w:tcW w:w="5490" w:type="dxa"/>
            <w:vAlign w:val="center"/>
          </w:tcPr>
          <w:p w14:paraId="0511E4E6" w14:textId="77777777" w:rsidR="0041403A" w:rsidRPr="00644C3D" w:rsidRDefault="0041403A" w:rsidP="0088232B">
            <w:pPr>
              <w:pStyle w:val="Tablebody"/>
            </w:pPr>
            <w:r w:rsidRPr="007E6F67">
              <w:t>Transverse beam with connectors and rigidly connected to column. With seismic re-bars</w:t>
            </w:r>
          </w:p>
        </w:tc>
        <w:tc>
          <w:tcPr>
            <w:tcW w:w="1057" w:type="dxa"/>
            <w:vAlign w:val="center"/>
          </w:tcPr>
          <w:p w14:paraId="1A86FC1C" w14:textId="77777777" w:rsidR="0041403A" w:rsidRPr="002144A0" w:rsidRDefault="0041403A" w:rsidP="0088232B">
            <w:pPr>
              <w:pStyle w:val="Tablebody"/>
              <w:jc w:val="center"/>
            </w:pPr>
            <w:r w:rsidRPr="00196951">
              <w:rPr>
                <w:i/>
              </w:rPr>
              <w:t>b</w:t>
            </w:r>
            <w:r w:rsidRPr="002144A0">
              <w:rPr>
                <w:iCs/>
                <w:vertAlign w:val="subscript"/>
              </w:rPr>
              <w:t>eff</w:t>
            </w:r>
          </w:p>
        </w:tc>
      </w:tr>
      <w:tr w:rsidR="0041403A" w:rsidRPr="00132C1E" w14:paraId="7F7D93E4" w14:textId="77777777" w:rsidTr="002061E5">
        <w:trPr>
          <w:jc w:val="center"/>
        </w:trPr>
        <w:tc>
          <w:tcPr>
            <w:tcW w:w="1838" w:type="dxa"/>
            <w:vAlign w:val="center"/>
          </w:tcPr>
          <w:p w14:paraId="7659906B" w14:textId="77777777" w:rsidR="0041403A" w:rsidRPr="00D1484A" w:rsidRDefault="0041403A" w:rsidP="0088232B">
            <w:pPr>
              <w:pStyle w:val="Tablebody"/>
            </w:pPr>
            <w:r w:rsidRPr="00132C1E">
              <w:t>Compressive</w:t>
            </w:r>
          </w:p>
        </w:tc>
        <w:tc>
          <w:tcPr>
            <w:tcW w:w="1847" w:type="dxa"/>
            <w:vAlign w:val="center"/>
          </w:tcPr>
          <w:p w14:paraId="65063ED9" w14:textId="77777777" w:rsidR="0041403A" w:rsidRPr="007E6F67" w:rsidRDefault="0041403A" w:rsidP="0088232B">
            <w:pPr>
              <w:pStyle w:val="Tablebody"/>
              <w:jc w:val="center"/>
            </w:pPr>
            <w:r w:rsidRPr="00D1484A">
              <w:t>Interior/Exterior</w:t>
            </w:r>
          </w:p>
        </w:tc>
        <w:tc>
          <w:tcPr>
            <w:tcW w:w="5490" w:type="dxa"/>
            <w:vAlign w:val="center"/>
          </w:tcPr>
          <w:p w14:paraId="3BA5ECEA" w14:textId="77777777" w:rsidR="0041403A" w:rsidRPr="00E05E29" w:rsidRDefault="0041403A" w:rsidP="0088232B">
            <w:pPr>
              <w:pStyle w:val="Tablebody"/>
            </w:pPr>
            <w:r w:rsidRPr="00644C3D">
              <w:t>No transverse beam with connectors. With seismic re-bars</w:t>
            </w:r>
          </w:p>
        </w:tc>
        <w:tc>
          <w:tcPr>
            <w:tcW w:w="1057" w:type="dxa"/>
            <w:shd w:val="clear" w:color="auto" w:fill="auto"/>
            <w:vAlign w:val="center"/>
          </w:tcPr>
          <w:p w14:paraId="677E9DEE" w14:textId="77777777" w:rsidR="0041403A" w:rsidRPr="00132C1E" w:rsidRDefault="0041403A" w:rsidP="0088232B">
            <w:pPr>
              <w:pStyle w:val="Tablebody"/>
              <w:jc w:val="center"/>
            </w:pPr>
            <w:r w:rsidRPr="00196951">
              <w:rPr>
                <w:i/>
              </w:rPr>
              <w:t>b</w:t>
            </w:r>
            <w:r w:rsidRPr="002144A0">
              <w:rPr>
                <w:iCs/>
                <w:vertAlign w:val="subscript"/>
              </w:rPr>
              <w:t>c</w:t>
            </w:r>
            <w:r w:rsidRPr="002144A0">
              <w:rPr>
                <w:iCs/>
              </w:rPr>
              <w:t>+0,7</w:t>
            </w:r>
            <m:oMath>
              <m:sSub>
                <m:sSubPr>
                  <m:ctrlPr>
                    <w:rPr>
                      <w:rFonts w:ascii="Cambria Math" w:hAnsi="Cambria Math" w:cstheme="minorHAnsi"/>
                      <w:i/>
                      <w:color w:val="000000"/>
                    </w:rPr>
                  </m:ctrlPr>
                </m:sSubPr>
                <m:e>
                  <m:r>
                    <w:rPr>
                      <w:rFonts w:ascii="Cambria Math" w:hAnsi="Cambria Math" w:cstheme="minorHAnsi"/>
                      <w:color w:val="000000"/>
                    </w:rPr>
                    <m:t>h</m:t>
                  </m:r>
                </m:e>
                <m:sub>
                  <m:r>
                    <m:rPr>
                      <m:sty m:val="p"/>
                    </m:rPr>
                    <w:rPr>
                      <w:rFonts w:ascii="Cambria Math" w:hAnsi="Cambria Math" w:cstheme="minorHAnsi"/>
                      <w:color w:val="000000"/>
                      <w:vertAlign w:val="subscript"/>
                    </w:rPr>
                    <m:t>c</m:t>
                  </m:r>
                </m:sub>
              </m:sSub>
            </m:oMath>
          </w:p>
        </w:tc>
      </w:tr>
      <w:tr w:rsidR="0041403A" w:rsidRPr="00132C1E" w14:paraId="1977B135" w14:textId="77777777" w:rsidTr="002061E5">
        <w:trPr>
          <w:jc w:val="center"/>
        </w:trPr>
        <w:tc>
          <w:tcPr>
            <w:tcW w:w="1838" w:type="dxa"/>
            <w:vAlign w:val="center"/>
          </w:tcPr>
          <w:p w14:paraId="0F9F8944" w14:textId="77777777" w:rsidR="0041403A" w:rsidRPr="00D1484A" w:rsidRDefault="0041403A" w:rsidP="0088232B">
            <w:pPr>
              <w:pStyle w:val="Tablebody"/>
            </w:pPr>
            <w:r w:rsidRPr="00132C1E">
              <w:t>Compressive</w:t>
            </w:r>
          </w:p>
        </w:tc>
        <w:tc>
          <w:tcPr>
            <w:tcW w:w="1847" w:type="dxa"/>
            <w:vAlign w:val="center"/>
          </w:tcPr>
          <w:p w14:paraId="7661BDDB" w14:textId="77777777" w:rsidR="0041403A" w:rsidRPr="007E6F67" w:rsidRDefault="0041403A" w:rsidP="0088232B">
            <w:pPr>
              <w:pStyle w:val="Tablebody"/>
              <w:jc w:val="center"/>
            </w:pPr>
            <w:r w:rsidRPr="00D1484A">
              <w:t>Exterior (perimeter frame)</w:t>
            </w:r>
          </w:p>
        </w:tc>
        <w:tc>
          <w:tcPr>
            <w:tcW w:w="5490" w:type="dxa"/>
            <w:vAlign w:val="center"/>
          </w:tcPr>
          <w:p w14:paraId="1EBD77B1" w14:textId="77777777" w:rsidR="0041403A" w:rsidRPr="00E05E29" w:rsidRDefault="0041403A" w:rsidP="0088232B">
            <w:pPr>
              <w:pStyle w:val="Tablebody"/>
            </w:pPr>
            <w:r w:rsidRPr="00644C3D">
              <w:t xml:space="preserve">No </w:t>
            </w:r>
            <w:r w:rsidRPr="00E05E29">
              <w:t>transverse beam with connectors. With seismic re-bars</w:t>
            </w:r>
          </w:p>
        </w:tc>
        <w:tc>
          <w:tcPr>
            <w:tcW w:w="1057" w:type="dxa"/>
            <w:shd w:val="clear" w:color="auto" w:fill="auto"/>
            <w:vAlign w:val="center"/>
          </w:tcPr>
          <w:p w14:paraId="65A581F6" w14:textId="77777777" w:rsidR="0041403A" w:rsidRPr="002144A0" w:rsidRDefault="0041403A" w:rsidP="0088232B">
            <w:pPr>
              <w:pStyle w:val="Tablebody"/>
              <w:jc w:val="center"/>
              <w:rPr>
                <w:i/>
              </w:rPr>
            </w:pPr>
            <w:r w:rsidRPr="00196951">
              <w:rPr>
                <w:i/>
              </w:rPr>
              <w:t>b</w:t>
            </w:r>
            <w:r w:rsidRPr="002144A0">
              <w:rPr>
                <w:iCs/>
                <w:vertAlign w:val="subscript"/>
              </w:rPr>
              <w:t>c</w:t>
            </w:r>
          </w:p>
        </w:tc>
      </w:tr>
    </w:tbl>
    <w:p w14:paraId="50B728BC" w14:textId="77777777" w:rsidR="0041403A" w:rsidRPr="00870D59" w:rsidRDefault="0041403A" w:rsidP="002E3AAB">
      <w:pPr>
        <w:pStyle w:val="Text"/>
        <w:spacing w:before="120"/>
      </w:pPr>
      <w:r w:rsidRPr="00870D59">
        <w:lastRenderedPageBreak/>
        <w:t>where</w:t>
      </w:r>
    </w:p>
    <w:tbl>
      <w:tblPr>
        <w:tblW w:w="0" w:type="auto"/>
        <w:tblInd w:w="534" w:type="dxa"/>
        <w:tblLook w:val="04A0" w:firstRow="1" w:lastRow="0" w:firstColumn="1" w:lastColumn="0" w:noHBand="0" w:noVBand="1"/>
      </w:tblPr>
      <w:tblGrid>
        <w:gridCol w:w="1275"/>
        <w:gridCol w:w="7938"/>
      </w:tblGrid>
      <w:tr w:rsidR="0041403A" w:rsidRPr="00870D59" w14:paraId="0F1A2F52" w14:textId="77777777" w:rsidTr="002061E5">
        <w:tc>
          <w:tcPr>
            <w:tcW w:w="1275" w:type="dxa"/>
          </w:tcPr>
          <w:p w14:paraId="1DA2A418" w14:textId="30F81D17" w:rsidR="0041403A" w:rsidRPr="00F93317" w:rsidRDefault="0041403A" w:rsidP="002061E5">
            <w:pPr>
              <w:spacing w:after="60"/>
              <w:jc w:val="left"/>
              <w:rPr>
                <w:rFonts w:eastAsia="Times New Roman" w:cs="Cambria"/>
                <w:szCs w:val="20"/>
                <w:lang w:eastAsia="fr-FR"/>
              </w:rPr>
            </w:pPr>
            <w:r w:rsidRPr="00196951">
              <w:rPr>
                <w:i/>
                <w:color w:val="000000" w:themeColor="text1"/>
                <w:sz w:val="20"/>
              </w:rPr>
              <w:t>b</w:t>
            </w:r>
            <w:r w:rsidRPr="002144A0">
              <w:rPr>
                <w:iCs/>
                <w:color w:val="000000" w:themeColor="text1"/>
                <w:sz w:val="20"/>
                <w:vertAlign w:val="subscript"/>
              </w:rPr>
              <w:t>eff</w:t>
            </w:r>
          </w:p>
        </w:tc>
        <w:tc>
          <w:tcPr>
            <w:tcW w:w="7938" w:type="dxa"/>
          </w:tcPr>
          <w:p w14:paraId="037DE080" w14:textId="530F9C70" w:rsidR="0041403A" w:rsidRPr="00F93317" w:rsidRDefault="0041403A" w:rsidP="002061E5">
            <w:pPr>
              <w:spacing w:after="60"/>
              <w:rPr>
                <w:rFonts w:eastAsia="Times New Roman" w:cs="Cambria"/>
                <w:color w:val="000000" w:themeColor="text1"/>
                <w:szCs w:val="20"/>
                <w:lang w:eastAsia="fr-FR"/>
              </w:rPr>
            </w:pPr>
            <w:r>
              <w:t xml:space="preserve">is the effective width defined in </w:t>
            </w:r>
            <w:r w:rsidR="00A76494">
              <w:t>prEN 1994-1-1</w:t>
            </w:r>
            <w:r>
              <w:t>;</w:t>
            </w:r>
          </w:p>
        </w:tc>
      </w:tr>
      <w:tr w:rsidR="0041403A" w:rsidRPr="00870D59" w14:paraId="090FD2FF" w14:textId="77777777" w:rsidTr="002061E5">
        <w:tc>
          <w:tcPr>
            <w:tcW w:w="1275" w:type="dxa"/>
          </w:tcPr>
          <w:p w14:paraId="7A9625B1" w14:textId="379BD600" w:rsidR="0041403A" w:rsidRPr="00F93317" w:rsidRDefault="0041403A" w:rsidP="002061E5">
            <w:pPr>
              <w:spacing w:after="60"/>
              <w:jc w:val="left"/>
              <w:rPr>
                <w:rFonts w:eastAsia="Times New Roman" w:cs="Cambria"/>
                <w:szCs w:val="20"/>
                <w:lang w:eastAsia="fr-FR"/>
              </w:rPr>
            </w:pPr>
            <w:r w:rsidRPr="00196951">
              <w:rPr>
                <w:i/>
                <w:color w:val="000000"/>
              </w:rPr>
              <w:t>b</w:t>
            </w:r>
            <w:r w:rsidRPr="002144A0">
              <w:rPr>
                <w:iCs/>
                <w:color w:val="000000"/>
                <w:vertAlign w:val="subscript"/>
              </w:rPr>
              <w:t>c</w:t>
            </w:r>
          </w:p>
        </w:tc>
        <w:tc>
          <w:tcPr>
            <w:tcW w:w="7938" w:type="dxa"/>
          </w:tcPr>
          <w:p w14:paraId="6D30ED63" w14:textId="5F09D6FA" w:rsidR="0041403A" w:rsidRPr="00F93317" w:rsidRDefault="0041403A" w:rsidP="002061E5">
            <w:pPr>
              <w:spacing w:after="60"/>
              <w:rPr>
                <w:rFonts w:eastAsia="Times New Roman" w:cs="Cambria"/>
                <w:color w:val="000000" w:themeColor="text1"/>
                <w:szCs w:val="20"/>
                <w:lang w:eastAsia="fr-FR"/>
              </w:rPr>
            </w:pPr>
            <w:r>
              <w:t>is the column width intersecting the composite steel beam with slab;</w:t>
            </w:r>
          </w:p>
        </w:tc>
      </w:tr>
      <w:tr w:rsidR="0041403A" w:rsidRPr="00870D59" w14:paraId="08B2C52B" w14:textId="77777777" w:rsidTr="002061E5">
        <w:tc>
          <w:tcPr>
            <w:tcW w:w="1275" w:type="dxa"/>
          </w:tcPr>
          <w:p w14:paraId="067ED8ED" w14:textId="31189520" w:rsidR="0041403A" w:rsidRPr="00196951" w:rsidRDefault="0041403A" w:rsidP="002061E5">
            <w:pPr>
              <w:spacing w:after="60"/>
              <w:jc w:val="left"/>
              <w:rPr>
                <w:i/>
                <w:color w:val="000000"/>
              </w:rPr>
            </w:pPr>
            <w:r w:rsidRPr="00132C1E">
              <w:rPr>
                <w:i/>
                <w:color w:val="000000"/>
              </w:rPr>
              <w:t>h</w:t>
            </w:r>
            <w:r w:rsidRPr="00132C1E">
              <w:rPr>
                <w:iCs/>
                <w:color w:val="000000"/>
                <w:vertAlign w:val="subscript"/>
              </w:rPr>
              <w:t>c</w:t>
            </w:r>
          </w:p>
        </w:tc>
        <w:tc>
          <w:tcPr>
            <w:tcW w:w="7938" w:type="dxa"/>
          </w:tcPr>
          <w:p w14:paraId="4B54A109" w14:textId="04158E91" w:rsidR="0041403A" w:rsidRPr="00132C1E" w:rsidRDefault="0041403A" w:rsidP="002061E5">
            <w:pPr>
              <w:spacing w:after="60"/>
            </w:pPr>
            <w:r>
              <w:t>is the depth of the respective column.</w:t>
            </w:r>
          </w:p>
        </w:tc>
      </w:tr>
    </w:tbl>
    <w:p w14:paraId="0CC21855" w14:textId="77777777" w:rsidR="006848EF" w:rsidRDefault="006848EF" w:rsidP="0041403A">
      <w:pPr>
        <w:pStyle w:val="Heading5"/>
      </w:pPr>
      <w:r>
        <w:t>Condition for disregarding the composite action of steel beams with slab</w:t>
      </w:r>
    </w:p>
    <w:p w14:paraId="0D2C2775" w14:textId="799EDA9E" w:rsidR="006848EF" w:rsidRDefault="006848EF" w:rsidP="0080187E">
      <w:pPr>
        <w:pStyle w:val="Clause"/>
        <w:numPr>
          <w:ilvl w:val="0"/>
          <w:numId w:val="444"/>
        </w:numPr>
      </w:pPr>
      <w:r>
        <w:t xml:space="preserve">If the slab is totally disconnected around a column from the steel beam in a circular zone of diametre 2 </w:t>
      </w:r>
      <w:r w:rsidR="0041403A" w:rsidRPr="00A6214C">
        <w:rPr>
          <w:i/>
          <w:iCs/>
        </w:rPr>
        <w:t>b</w:t>
      </w:r>
      <w:r w:rsidR="0041403A" w:rsidRPr="00A6214C">
        <w:rPr>
          <w:vertAlign w:val="subscript"/>
        </w:rPr>
        <w:t>ef</w:t>
      </w:r>
      <w:r w:rsidR="0088232B">
        <w:rPr>
          <w:vertAlign w:val="subscript"/>
        </w:rPr>
        <w:t>f</w:t>
      </w:r>
      <w:r>
        <w:t xml:space="preserve"> where </w:t>
      </w:r>
      <w:r w:rsidR="0041403A" w:rsidRPr="00A6214C">
        <w:rPr>
          <w:i/>
          <w:iCs/>
        </w:rPr>
        <w:t>b</w:t>
      </w:r>
      <w:r w:rsidR="0041403A" w:rsidRPr="00A6214C">
        <w:rPr>
          <w:vertAlign w:val="subscript"/>
        </w:rPr>
        <w:t>ef</w:t>
      </w:r>
      <w:r w:rsidR="0088232B">
        <w:rPr>
          <w:vertAlign w:val="subscript"/>
        </w:rPr>
        <w:t>f</w:t>
      </w:r>
      <w:r>
        <w:t xml:space="preserve"> is the largest of the effective widths of the steel beams intersecting to the respective column, the plastic moment resistance of a composite steel beam with slab may be calculated based on the steel profile alone.</w:t>
      </w:r>
    </w:p>
    <w:p w14:paraId="71F27E48" w14:textId="2690D092" w:rsidR="006848EF" w:rsidRDefault="006848EF" w:rsidP="00724E4E">
      <w:pPr>
        <w:pStyle w:val="Clause"/>
      </w:pPr>
      <w:r>
        <w:t>The slab should be considered as totally disconnected when there is no contact between the slab and any steel element in the transverse direction (e.g. columns, shear connectors, connecting plates, corrugated flange, steel deck nailed to flange of steel section).</w:t>
      </w:r>
    </w:p>
    <w:p w14:paraId="7EE374A2" w14:textId="77777777" w:rsidR="006848EF" w:rsidRDefault="006848EF" w:rsidP="0041403A">
      <w:pPr>
        <w:pStyle w:val="Heading4"/>
      </w:pPr>
      <w:r>
        <w:t>Concrete-encased composite beams</w:t>
      </w:r>
    </w:p>
    <w:p w14:paraId="76FE5B04" w14:textId="5E0A87C2" w:rsidR="006848EF" w:rsidRDefault="006848EF" w:rsidP="0080187E">
      <w:pPr>
        <w:pStyle w:val="Clause"/>
        <w:numPr>
          <w:ilvl w:val="0"/>
          <w:numId w:val="156"/>
        </w:numPr>
      </w:pPr>
      <w:r>
        <w:t>In partially concrete-encased composite steel beams with slab, the contribution to plastic bending resistance of concrete between the flanges of the steel profile may be neglected.</w:t>
      </w:r>
    </w:p>
    <w:p w14:paraId="16F6A583" w14:textId="77777777" w:rsidR="006848EF" w:rsidRDefault="006848EF" w:rsidP="0041403A">
      <w:pPr>
        <w:pStyle w:val="Heading3"/>
      </w:pPr>
      <w:bookmarkStart w:id="10163" w:name="_Toc134198034"/>
      <w:r>
        <w:t>Verification of composite columns</w:t>
      </w:r>
      <w:bookmarkEnd w:id="10163"/>
    </w:p>
    <w:p w14:paraId="0F384C37" w14:textId="77777777" w:rsidR="006848EF" w:rsidRDefault="006848EF" w:rsidP="0041403A">
      <w:pPr>
        <w:pStyle w:val="Heading4"/>
      </w:pPr>
      <w:r>
        <w:t>General rules</w:t>
      </w:r>
    </w:p>
    <w:p w14:paraId="7DD0813D" w14:textId="14532C05" w:rsidR="006848EF" w:rsidRDefault="006848EF" w:rsidP="0080187E">
      <w:pPr>
        <w:pStyle w:val="Clause"/>
        <w:numPr>
          <w:ilvl w:val="0"/>
          <w:numId w:val="157"/>
        </w:numPr>
      </w:pPr>
      <w:r>
        <w:t>In the design of all composite column types in 12.8.7.1, 12.8.7.2, 12.8.7.3 and 12.8.7.4, the resistance of the steel section alone or the combined resistances of the steel section and the concrete encasement or infill may be taken into account.</w:t>
      </w:r>
    </w:p>
    <w:p w14:paraId="42FB0842" w14:textId="17308C70" w:rsidR="006848EF" w:rsidRDefault="006848EF" w:rsidP="00724E4E">
      <w:pPr>
        <w:pStyle w:val="Clause"/>
      </w:pPr>
      <w:r>
        <w:t xml:space="preserve">Encased composite columns with dissipative behaviour should have minimum cross-sectional dimensions </w:t>
      </w:r>
      <w:r w:rsidR="0007285B" w:rsidRPr="00132C1E">
        <w:rPr>
          <w:i/>
          <w:iCs/>
        </w:rPr>
        <w:t>b</w:t>
      </w:r>
      <w:r w:rsidR="0007285B" w:rsidRPr="00132C1E">
        <w:t xml:space="preserve">, </w:t>
      </w:r>
      <w:r w:rsidR="0007285B" w:rsidRPr="00132C1E">
        <w:rPr>
          <w:i/>
          <w:iCs/>
        </w:rPr>
        <w:t>b</w:t>
      </w:r>
      <w:r w:rsidR="0007285B" w:rsidRPr="00900454">
        <w:rPr>
          <w:vertAlign w:val="subscript"/>
        </w:rPr>
        <w:t>c</w:t>
      </w:r>
      <w:r w:rsidR="0007285B" w:rsidRPr="00132C1E">
        <w:rPr>
          <w:i/>
          <w:iCs/>
        </w:rPr>
        <w:t>, h</w:t>
      </w:r>
      <w:r w:rsidR="0007285B" w:rsidRPr="00132C1E">
        <w:t xml:space="preserve">, </w:t>
      </w:r>
      <w:r w:rsidR="0007285B" w:rsidRPr="00132C1E">
        <w:rPr>
          <w:i/>
          <w:iCs/>
        </w:rPr>
        <w:t>h</w:t>
      </w:r>
      <w:r w:rsidR="0007285B" w:rsidRPr="00900454">
        <w:rPr>
          <w:vertAlign w:val="subscript"/>
        </w:rPr>
        <w:t>c</w:t>
      </w:r>
      <w:r w:rsidR="0007285B" w:rsidRPr="00132C1E">
        <w:rPr>
          <w:i/>
          <w:iCs/>
        </w:rPr>
        <w:t xml:space="preserve"> </w:t>
      </w:r>
      <w:r w:rsidR="0007285B" w:rsidRPr="00132C1E">
        <w:t xml:space="preserve">or </w:t>
      </w:r>
      <w:r w:rsidR="0007285B" w:rsidRPr="00132C1E">
        <w:rPr>
          <w:i/>
          <w:iCs/>
        </w:rPr>
        <w:t>d</w:t>
      </w:r>
      <w:r>
        <w:t xml:space="preserve"> (see Figure 12.3) of at least 250 mm.</w:t>
      </w:r>
    </w:p>
    <w:p w14:paraId="337892A3" w14:textId="0DC3B825" w:rsidR="006848EF" w:rsidRDefault="006848EF" w:rsidP="00724E4E">
      <w:pPr>
        <w:pStyle w:val="Clause"/>
      </w:pPr>
      <w:r>
        <w:t xml:space="preserve">The axial, shear and flexural resistance of non-dissipative encased and filled composite columns should be determined in accordance with </w:t>
      </w:r>
      <w:r w:rsidR="00A76494">
        <w:t>prEN 1994-1-1:</w:t>
      </w:r>
      <w:r w:rsidR="0078003E">
        <w:t>—</w:t>
      </w:r>
      <w:r>
        <w:t>,</w:t>
      </w:r>
      <w:r w:rsidR="008E4658">
        <w:t xml:space="preserve"> 8.8.</w:t>
      </w:r>
      <w:r>
        <w:t xml:space="preserve"> </w:t>
      </w:r>
    </w:p>
    <w:p w14:paraId="339E35B5" w14:textId="14BD0B88" w:rsidR="006848EF" w:rsidRDefault="006848EF" w:rsidP="00724E4E">
      <w:pPr>
        <w:pStyle w:val="Clause"/>
      </w:pPr>
      <w:r>
        <w:t>The design of encased composite columns in which the member resistance is only provided by the steel section may be carried out in accordance with 11.</w:t>
      </w:r>
    </w:p>
    <w:p w14:paraId="577F26F6" w14:textId="1494C7D1" w:rsidR="006848EF" w:rsidRDefault="006848EF" w:rsidP="00724E4E">
      <w:pPr>
        <w:pStyle w:val="Clause"/>
      </w:pPr>
      <w:r>
        <w:t xml:space="preserve">The design shear resistance of composite columns </w:t>
      </w:r>
      <w:r w:rsidR="008E4658">
        <w:t xml:space="preserve">calculated as </w:t>
      </w:r>
      <w:r>
        <w:t xml:space="preserve">given in </w:t>
      </w:r>
      <w:r w:rsidR="00A76494">
        <w:t>prEN 1994-1-1:</w:t>
      </w:r>
      <w:r w:rsidR="0078003E">
        <w:t>—</w:t>
      </w:r>
      <w:r>
        <w:t>,</w:t>
      </w:r>
      <w:r w:rsidR="008E4658">
        <w:t xml:space="preserve"> 8.2.2.2</w:t>
      </w:r>
      <w:r>
        <w:t>, should be multiplied by a reduction factor of 0,5.</w:t>
      </w:r>
    </w:p>
    <w:p w14:paraId="44068CC6" w14:textId="6BD8B23A" w:rsidR="006848EF" w:rsidRDefault="006848EF" w:rsidP="00724E4E">
      <w:pPr>
        <w:pStyle w:val="Clause"/>
      </w:pPr>
      <w:r>
        <w:t xml:space="preserve">In dissipative encased or filled composite columns, when the concrete encasement or infill are assumed to contribute to the axial and/or flexural resistance of the member, </w:t>
      </w:r>
      <w:r w:rsidRPr="00D46D6D">
        <w:rPr>
          <w:bCs/>
        </w:rPr>
        <w:t>12.8.7.2</w:t>
      </w:r>
      <w:r>
        <w:t xml:space="preserve"> to </w:t>
      </w:r>
      <w:r w:rsidRPr="00D46D6D">
        <w:rPr>
          <w:bCs/>
        </w:rPr>
        <w:t>12.8.7.4</w:t>
      </w:r>
      <w:r w:rsidR="0007285B" w:rsidRPr="00D46D6D">
        <w:rPr>
          <w:bCs/>
        </w:rPr>
        <w:t xml:space="preserve"> </w:t>
      </w:r>
      <w:r>
        <w:t>should be applied. The full shear transfer between the concrete and the steel parts in a cross section should be ensured by bond, friction and/or shear connectors.</w:t>
      </w:r>
    </w:p>
    <w:p w14:paraId="4A5366DD" w14:textId="7E0F858C" w:rsidR="006848EF" w:rsidRDefault="006848EF" w:rsidP="00724E4E">
      <w:pPr>
        <w:pStyle w:val="Clause"/>
      </w:pPr>
      <w:r>
        <w:t>In dissipative encased composite columns, when the concrete encasement or infill do not contribute to the axial and/or flexural resistance of the member, the transverse shear resistance should be determined on the basis of the structural steel cross section alone.</w:t>
      </w:r>
    </w:p>
    <w:p w14:paraId="7C9E0B71" w14:textId="228694AB" w:rsidR="006848EF" w:rsidRDefault="006848EF" w:rsidP="00724E4E">
      <w:pPr>
        <w:pStyle w:val="Clause"/>
      </w:pPr>
      <w:r>
        <w:t>Wherever a composite column is subjected to predominant axial forces, sufficient longitudinal shear transfer should be provided to ensure that the steel and concrete parts share the loads applied to the column at connections to beams and/or bracing members.</w:t>
      </w:r>
    </w:p>
    <w:p w14:paraId="5629E21D" w14:textId="70CC2AA1" w:rsidR="006848EF" w:rsidRDefault="006848EF" w:rsidP="00724E4E">
      <w:pPr>
        <w:pStyle w:val="Clause"/>
      </w:pPr>
      <w:r>
        <w:lastRenderedPageBreak/>
        <w:t>At both ends of a column, the clear length should be defined as being in critical regions of columns in composite moment resisting frames. In composite frames with eccentric bracings, the portion of columns adjacent to the seismic links should be defined as a critical region.</w:t>
      </w:r>
    </w:p>
    <w:p w14:paraId="1FD45A50" w14:textId="77777777" w:rsidR="006848EF" w:rsidRDefault="006848EF" w:rsidP="0007285B">
      <w:pPr>
        <w:pStyle w:val="Notetext"/>
      </w:pPr>
      <w:r>
        <w:t>NOTE</w:t>
      </w:r>
      <w:r>
        <w:tab/>
        <w:t>Except at their base in some composite structural types, columns are not designed to be dissipative; (6) and (9) are prescribed to mitigate uncertainties in the action effects in columns.</w:t>
      </w:r>
    </w:p>
    <w:p w14:paraId="3099787E" w14:textId="77777777" w:rsidR="006848EF" w:rsidRDefault="006848EF" w:rsidP="0007285B">
      <w:pPr>
        <w:pStyle w:val="Heading4"/>
      </w:pPr>
      <w:r>
        <w:t>Encased composite columns</w:t>
      </w:r>
    </w:p>
    <w:p w14:paraId="0AB053EA" w14:textId="682DFB24" w:rsidR="006848EF" w:rsidRDefault="006848EF" w:rsidP="0080187E">
      <w:pPr>
        <w:pStyle w:val="Clause"/>
        <w:numPr>
          <w:ilvl w:val="0"/>
          <w:numId w:val="158"/>
        </w:numPr>
      </w:pPr>
      <w:r>
        <w:t xml:space="preserve">The steel contribution ratio, δ of encased composite columns should conform to </w:t>
      </w:r>
      <w:r w:rsidR="00A76494">
        <w:t>prEN 1994-1-1:</w:t>
      </w:r>
      <w:r w:rsidR="0078003E">
        <w:t>—</w:t>
      </w:r>
      <w:r>
        <w:t xml:space="preserve">, </w:t>
      </w:r>
      <w:r w:rsidRPr="00D46D6D">
        <w:rPr>
          <w:bCs/>
        </w:rPr>
        <w:t>8.8.1(4)</w:t>
      </w:r>
      <w:r>
        <w:t>.</w:t>
      </w:r>
    </w:p>
    <w:p w14:paraId="298FFF31" w14:textId="08CEBF27" w:rsidR="006848EF" w:rsidRDefault="006848EF" w:rsidP="00724E4E">
      <w:pPr>
        <w:pStyle w:val="Clause"/>
      </w:pPr>
      <w:r>
        <w:t>Concrete encasement of the steel core should be reinforced with continuous longitudinal rebars and lateral ties or stirrups.</w:t>
      </w:r>
    </w:p>
    <w:p w14:paraId="50735CCF" w14:textId="6715A91E" w:rsidR="00996161" w:rsidRDefault="006848EF" w:rsidP="00724E4E">
      <w:pPr>
        <w:pStyle w:val="Clause"/>
      </w:pPr>
      <w:r>
        <w:t xml:space="preserve">In DC2 and DC3, the critical region length, </w:t>
      </w:r>
      <w:r w:rsidR="0007285B" w:rsidRPr="001E26B6">
        <w:rPr>
          <w:i/>
          <w:iCs/>
        </w:rPr>
        <w:t>l</w:t>
      </w:r>
      <w:r w:rsidR="0007285B" w:rsidRPr="001E26B6">
        <w:rPr>
          <w:vertAlign w:val="subscript"/>
        </w:rPr>
        <w:t>cr</w:t>
      </w:r>
      <w:r>
        <w:t xml:space="preserve"> (in mm) of fully encased composite columns should be taken as given in Formula (12.5) or Formula (12.6), as appropriate.</w:t>
      </w:r>
    </w:p>
    <w:p w14:paraId="50B6012F" w14:textId="63C95C68" w:rsidR="0007285B" w:rsidRPr="00B272E6" w:rsidRDefault="0007285B" w:rsidP="0007285B">
      <w:pPr>
        <w:pStyle w:val="Formula"/>
        <w:spacing w:before="240"/>
      </w:pPr>
      <w:r w:rsidRPr="00B272E6">
        <w:t xml:space="preserve">In DC2: </w:t>
      </w:r>
      <m:oMath>
        <m:sSub>
          <m:sSubPr>
            <m:ctrlPr>
              <w:rPr>
                <w:rFonts w:ascii="Cambria Math" w:hAnsi="Cambria Math"/>
              </w:rPr>
            </m:ctrlPr>
          </m:sSubPr>
          <m:e>
            <m:r>
              <w:rPr>
                <w:rFonts w:ascii="Cambria Math" w:hAnsi="Cambria Math"/>
              </w:rPr>
              <m:t>l</m:t>
            </m:r>
          </m:e>
          <m:sub>
            <m:r>
              <m:rPr>
                <m:sty m:val="p"/>
              </m:rPr>
              <w:rPr>
                <w:rFonts w:ascii="Cambria Math" w:hAnsi="Cambria Math"/>
              </w:rPr>
              <m:t>cr</m:t>
            </m:r>
          </m:sub>
        </m:sSub>
        <m:r>
          <w:rPr>
            <w:rFonts w:ascii="Cambria Math" w:hAnsi="Cambria Math"/>
          </w:rPr>
          <m:t>=</m:t>
        </m:r>
        <m:r>
          <m:rPr>
            <m:sty m:val="p"/>
          </m:rPr>
          <w:rPr>
            <w:rFonts w:ascii="Cambria Math" w:hAnsi="Cambria Math"/>
          </w:rPr>
          <m:t>max</m:t>
        </m:r>
        <m:r>
          <w:rPr>
            <w:rFonts w:ascii="Cambria Math" w:hAnsi="Cambria Math"/>
          </w:rPr>
          <m:t>⁡{</m:t>
        </m:r>
        <m:sSub>
          <m:sSubPr>
            <m:ctrlPr>
              <w:rPr>
                <w:rFonts w:ascii="Cambria Math" w:hAnsi="Cambria Math"/>
              </w:rPr>
            </m:ctrlPr>
          </m:sSubPr>
          <m:e>
            <m:r>
              <w:rPr>
                <w:rFonts w:ascii="Cambria Math" w:hAnsi="Cambria Math"/>
              </w:rPr>
              <m:t>h</m:t>
            </m:r>
          </m:e>
          <m:sub>
            <m:r>
              <m:rPr>
                <m:sty m:val="p"/>
              </m:rPr>
              <w:rPr>
                <w:rFonts w:ascii="Cambria Math" w:hAnsi="Cambria Math"/>
              </w:rPr>
              <m:t>c</m:t>
            </m:r>
          </m:sub>
        </m:sSub>
        <m:r>
          <w:rPr>
            <w:rFonts w:ascii="Cambria Math" w:hAnsi="Cambria Math"/>
          </w:rPr>
          <m:t>;</m:t>
        </m:r>
        <m:f>
          <m:fPr>
            <m:type m:val="lin"/>
            <m:ctrlPr>
              <w:rPr>
                <w:rFonts w:ascii="Cambria Math" w:hAnsi="Cambria Math"/>
              </w:rPr>
            </m:ctrlPr>
          </m:fPr>
          <m:num>
            <m:sSub>
              <m:sSubPr>
                <m:ctrlPr>
                  <w:rPr>
                    <w:rFonts w:ascii="Cambria Math" w:hAnsi="Cambria Math"/>
                  </w:rPr>
                </m:ctrlPr>
              </m:sSubPr>
              <m:e>
                <m:r>
                  <w:rPr>
                    <w:rFonts w:ascii="Cambria Math" w:hAnsi="Cambria Math"/>
                  </w:rPr>
                  <m:t>l</m:t>
                </m:r>
              </m:e>
              <m:sub>
                <m:r>
                  <m:rPr>
                    <m:sty m:val="p"/>
                  </m:rPr>
                  <w:rPr>
                    <w:rFonts w:ascii="Cambria Math" w:hAnsi="Cambria Math"/>
                  </w:rPr>
                  <m:t>cl</m:t>
                </m:r>
              </m:sub>
            </m:sSub>
          </m:num>
          <m:den>
            <m:r>
              <w:rPr>
                <w:rFonts w:ascii="Cambria Math" w:hAnsi="Cambria Math"/>
              </w:rPr>
              <m:t>6</m:t>
            </m:r>
          </m:den>
        </m:f>
        <m:r>
          <w:rPr>
            <w:rFonts w:ascii="Cambria Math" w:hAnsi="Cambria Math"/>
          </w:rPr>
          <m:t>;450}</m:t>
        </m:r>
      </m:oMath>
      <w:r w:rsidRPr="00B272E6">
        <w:t xml:space="preserve"> </w:t>
      </w:r>
      <w:r w:rsidRPr="00B272E6">
        <w:tab/>
        <w:t>(12.5)</w:t>
      </w:r>
    </w:p>
    <w:p w14:paraId="0D12D9D2" w14:textId="239A733A" w:rsidR="0007285B" w:rsidRPr="00B272E6" w:rsidRDefault="0007285B" w:rsidP="0007285B">
      <w:pPr>
        <w:pStyle w:val="Formula"/>
        <w:spacing w:before="240"/>
      </w:pPr>
      <w:r w:rsidRPr="00B272E6">
        <w:t xml:space="preserve">In DC3: </w:t>
      </w:r>
      <m:oMath>
        <m:sSub>
          <m:sSubPr>
            <m:ctrlPr>
              <w:rPr>
                <w:rFonts w:ascii="Cambria Math" w:hAnsi="Cambria Math"/>
              </w:rPr>
            </m:ctrlPr>
          </m:sSubPr>
          <m:e>
            <m:r>
              <w:rPr>
                <w:rFonts w:ascii="Cambria Math" w:hAnsi="Cambria Math"/>
              </w:rPr>
              <m:t>l</m:t>
            </m:r>
          </m:e>
          <m:sub>
            <m:r>
              <m:rPr>
                <m:sty m:val="p"/>
              </m:rPr>
              <w:rPr>
                <w:rFonts w:ascii="Cambria Math" w:hAnsi="Cambria Math"/>
              </w:rPr>
              <m:t>cr</m:t>
            </m:r>
          </m:sub>
        </m:sSub>
        <m:r>
          <w:rPr>
            <w:rFonts w:ascii="Cambria Math" w:hAnsi="Cambria Math"/>
          </w:rPr>
          <m:t>=</m:t>
        </m:r>
        <m:r>
          <m:rPr>
            <m:sty m:val="p"/>
          </m:rPr>
          <w:rPr>
            <w:rFonts w:ascii="Cambria Math" w:hAnsi="Cambria Math"/>
          </w:rPr>
          <m:t>max</m:t>
        </m:r>
        <m:r>
          <w:rPr>
            <w:rFonts w:ascii="Cambria Math" w:hAnsi="Cambria Math"/>
          </w:rPr>
          <m:t>⁡{</m:t>
        </m:r>
        <m:sSub>
          <m:sSubPr>
            <m:ctrlPr>
              <w:rPr>
                <w:rFonts w:ascii="Cambria Math" w:hAnsi="Cambria Math"/>
              </w:rPr>
            </m:ctrlPr>
          </m:sSubPr>
          <m:e>
            <m:r>
              <w:rPr>
                <w:rFonts w:ascii="Cambria Math" w:hAnsi="Cambria Math"/>
              </w:rPr>
              <m:t xml:space="preserve">1,5 </m:t>
            </m:r>
            <m:r>
              <w:rPr>
                <w:rFonts w:ascii="Cambria Math" w:hAnsi="Cambria Math"/>
              </w:rPr>
              <m:t>h</m:t>
            </m:r>
          </m:e>
          <m:sub>
            <m:r>
              <m:rPr>
                <m:sty m:val="p"/>
              </m:rPr>
              <w:rPr>
                <w:rFonts w:ascii="Cambria Math" w:hAnsi="Cambria Math"/>
              </w:rPr>
              <m:t>c</m:t>
            </m:r>
          </m:sub>
        </m:sSub>
        <m:r>
          <w:rPr>
            <w:rFonts w:ascii="Cambria Math" w:hAnsi="Cambria Math"/>
          </w:rPr>
          <m:t>;</m:t>
        </m:r>
        <m:f>
          <m:fPr>
            <m:type m:val="lin"/>
            <m:ctrlPr>
              <w:rPr>
                <w:rFonts w:ascii="Cambria Math" w:hAnsi="Cambria Math"/>
              </w:rPr>
            </m:ctrlPr>
          </m:fPr>
          <m:num>
            <m:sSub>
              <m:sSubPr>
                <m:ctrlPr>
                  <w:rPr>
                    <w:rFonts w:ascii="Cambria Math" w:hAnsi="Cambria Math"/>
                  </w:rPr>
                </m:ctrlPr>
              </m:sSubPr>
              <m:e>
                <m:r>
                  <w:rPr>
                    <w:rFonts w:ascii="Cambria Math" w:hAnsi="Cambria Math"/>
                  </w:rPr>
                  <m:t>l</m:t>
                </m:r>
              </m:e>
              <m:sub>
                <m:r>
                  <m:rPr>
                    <m:sty m:val="p"/>
                  </m:rPr>
                  <w:rPr>
                    <w:rFonts w:ascii="Cambria Math" w:hAnsi="Cambria Math"/>
                  </w:rPr>
                  <m:t>cl</m:t>
                </m:r>
              </m:sub>
            </m:sSub>
          </m:num>
          <m:den>
            <m:r>
              <w:rPr>
                <w:rFonts w:ascii="Cambria Math" w:hAnsi="Cambria Math"/>
              </w:rPr>
              <m:t>6</m:t>
            </m:r>
          </m:den>
        </m:f>
        <m:r>
          <w:rPr>
            <w:rFonts w:ascii="Cambria Math" w:hAnsi="Cambria Math"/>
          </w:rPr>
          <m:t>;600}</m:t>
        </m:r>
      </m:oMath>
      <w:r w:rsidRPr="00B272E6">
        <w:t xml:space="preserve"> </w:t>
      </w:r>
      <w:r w:rsidRPr="00B272E6">
        <w:tab/>
        <w:t>(12.6)</w:t>
      </w:r>
    </w:p>
    <w:p w14:paraId="7158541E" w14:textId="77777777" w:rsidR="0007285B" w:rsidRPr="00870D59" w:rsidRDefault="0007285B" w:rsidP="0007285B">
      <w:pPr>
        <w:pStyle w:val="Text"/>
      </w:pPr>
      <w:r w:rsidRPr="00870D59">
        <w:t>where</w:t>
      </w:r>
    </w:p>
    <w:tbl>
      <w:tblPr>
        <w:tblW w:w="0" w:type="auto"/>
        <w:tblInd w:w="534" w:type="dxa"/>
        <w:tblLook w:val="04A0" w:firstRow="1" w:lastRow="0" w:firstColumn="1" w:lastColumn="0" w:noHBand="0" w:noVBand="1"/>
      </w:tblPr>
      <w:tblGrid>
        <w:gridCol w:w="1275"/>
        <w:gridCol w:w="7938"/>
      </w:tblGrid>
      <w:tr w:rsidR="0007285B" w:rsidRPr="00870D59" w14:paraId="6DB65650" w14:textId="77777777" w:rsidTr="002061E5">
        <w:tc>
          <w:tcPr>
            <w:tcW w:w="1275" w:type="dxa"/>
          </w:tcPr>
          <w:p w14:paraId="64A00040" w14:textId="5746B6C9" w:rsidR="0007285B" w:rsidRPr="00F93317" w:rsidRDefault="0007285B" w:rsidP="002061E5">
            <w:pPr>
              <w:spacing w:after="60"/>
              <w:jc w:val="left"/>
              <w:rPr>
                <w:rFonts w:eastAsia="Times New Roman" w:cs="Cambria"/>
                <w:szCs w:val="20"/>
                <w:lang w:eastAsia="fr-FR"/>
              </w:rPr>
            </w:pPr>
            <w:r w:rsidRPr="00D1484A">
              <w:rPr>
                <w:i/>
                <w:iCs/>
              </w:rPr>
              <w:t>h</w:t>
            </w:r>
            <w:r w:rsidRPr="00D1484A">
              <w:rPr>
                <w:vertAlign w:val="subscript"/>
              </w:rPr>
              <w:t>c</w:t>
            </w:r>
          </w:p>
        </w:tc>
        <w:tc>
          <w:tcPr>
            <w:tcW w:w="7938" w:type="dxa"/>
          </w:tcPr>
          <w:p w14:paraId="6936931B" w14:textId="5A3E6BAF" w:rsidR="0007285B" w:rsidRPr="00F93317" w:rsidRDefault="003D5F0F" w:rsidP="002061E5">
            <w:pPr>
              <w:spacing w:after="60"/>
              <w:rPr>
                <w:rFonts w:eastAsia="Times New Roman" w:cs="Cambria"/>
                <w:color w:val="000000" w:themeColor="text1"/>
                <w:szCs w:val="20"/>
                <w:lang w:eastAsia="fr-FR"/>
              </w:rPr>
            </w:pPr>
            <w:r w:rsidRPr="007E6F67">
              <w:t>is the depth of the composite cross</w:t>
            </w:r>
            <w:r w:rsidRPr="00FD17CF">
              <w:t xml:space="preserve"> section (in mm);</w:t>
            </w:r>
          </w:p>
        </w:tc>
      </w:tr>
      <w:tr w:rsidR="0007285B" w:rsidRPr="00870D59" w14:paraId="04E7B4E0" w14:textId="77777777" w:rsidTr="002061E5">
        <w:tc>
          <w:tcPr>
            <w:tcW w:w="1275" w:type="dxa"/>
          </w:tcPr>
          <w:p w14:paraId="071A1D4C" w14:textId="3F15A0A9" w:rsidR="0007285B" w:rsidRPr="00F93317" w:rsidRDefault="0007285B" w:rsidP="002061E5">
            <w:pPr>
              <w:spacing w:after="60"/>
              <w:jc w:val="left"/>
              <w:rPr>
                <w:rFonts w:eastAsia="Times New Roman" w:cs="Cambria"/>
                <w:szCs w:val="20"/>
                <w:lang w:eastAsia="fr-FR"/>
              </w:rPr>
            </w:pPr>
            <w:r w:rsidRPr="00644C3D">
              <w:rPr>
                <w:i/>
                <w:iCs/>
              </w:rPr>
              <w:t>d</w:t>
            </w:r>
            <w:r w:rsidRPr="00E05E29">
              <w:rPr>
                <w:vertAlign w:val="subscript"/>
              </w:rPr>
              <w:t>bl</w:t>
            </w:r>
          </w:p>
        </w:tc>
        <w:tc>
          <w:tcPr>
            <w:tcW w:w="7938" w:type="dxa"/>
          </w:tcPr>
          <w:p w14:paraId="0FE2A52F" w14:textId="37E8799D" w:rsidR="0007285B" w:rsidRPr="00F93317" w:rsidRDefault="003D5F0F" w:rsidP="002061E5">
            <w:pPr>
              <w:spacing w:after="60"/>
              <w:rPr>
                <w:rFonts w:eastAsia="Times New Roman" w:cs="Cambria"/>
                <w:color w:val="000000" w:themeColor="text1"/>
                <w:szCs w:val="20"/>
                <w:lang w:eastAsia="fr-FR"/>
              </w:rPr>
            </w:pPr>
            <w:r w:rsidRPr="00E05E29">
              <w:t>is the clear length of the composite column (in mm).</w:t>
            </w:r>
          </w:p>
        </w:tc>
      </w:tr>
    </w:tbl>
    <w:p w14:paraId="5C6F436E" w14:textId="19E4B9AF" w:rsidR="003D5F0F" w:rsidRPr="007E6F67" w:rsidRDefault="003D5F0F" w:rsidP="00724E4E">
      <w:pPr>
        <w:pStyle w:val="Clause"/>
      </w:pPr>
      <w:r w:rsidRPr="00196951">
        <w:t xml:space="preserve">If </w:t>
      </w:r>
      <m:oMath>
        <m:sSub>
          <m:sSubPr>
            <m:ctrlPr>
              <w:rPr>
                <w:rFonts w:ascii="Cambria Math" w:hAnsi="Cambria Math"/>
                <w:i/>
              </w:rPr>
            </m:ctrlPr>
          </m:sSubPr>
          <m:e>
            <m:r>
              <w:rPr>
                <w:rFonts w:ascii="Cambria Math" w:hAnsi="Cambria Math"/>
              </w:rPr>
              <m:t>l</m:t>
            </m:r>
          </m:e>
          <m:sub>
            <m:r>
              <m:rPr>
                <m:sty m:val="p"/>
              </m:rPr>
              <w:rPr>
                <w:rFonts w:ascii="Cambria Math" w:hAnsi="Cambria Math"/>
                <w:vertAlign w:val="subscript"/>
              </w:rPr>
              <m:t>cl</m:t>
            </m:r>
          </m:sub>
        </m:sSub>
        <m:r>
          <w:rPr>
            <w:rFonts w:ascii="Cambria Math" w:hAnsi="Cambria Math"/>
          </w:rPr>
          <m:t>/</m:t>
        </m:r>
        <m:sSub>
          <m:sSubPr>
            <m:ctrlPr>
              <w:rPr>
                <w:rFonts w:ascii="Cambria Math" w:hAnsi="Cambria Math"/>
                <w:i/>
              </w:rPr>
            </m:ctrlPr>
          </m:sSubPr>
          <m:e>
            <m:r>
              <w:rPr>
                <w:rFonts w:ascii="Cambria Math" w:hAnsi="Cambria Math"/>
              </w:rPr>
              <m:t>h</m:t>
            </m:r>
          </m:e>
          <m:sub>
            <m:r>
              <m:rPr>
                <m:sty m:val="p"/>
              </m:rPr>
              <w:rPr>
                <w:rFonts w:ascii="Cambria Math" w:hAnsi="Cambria Math"/>
              </w:rPr>
              <m:t>c</m:t>
            </m:r>
          </m:sub>
        </m:sSub>
        <m:r>
          <w:rPr>
            <w:rFonts w:ascii="Cambria Math" w:hAnsi="Cambria Math"/>
          </w:rPr>
          <m:t>&lt;3,0</m:t>
        </m:r>
      </m:oMath>
      <w:r w:rsidRPr="00D1484A">
        <w:t>, the full height of the encased composite column should be considered as a critical region.</w:t>
      </w:r>
    </w:p>
    <w:p w14:paraId="337ABE69" w14:textId="420C6ACB" w:rsidR="003D5F0F" w:rsidRDefault="003D5F0F" w:rsidP="00724E4E">
      <w:pPr>
        <w:pStyle w:val="Clause"/>
      </w:pPr>
      <w:r w:rsidRPr="00FD17CF">
        <w:t xml:space="preserve">The spacing </w:t>
      </w:r>
      <w:r w:rsidRPr="001E26B6">
        <w:rPr>
          <w:i/>
          <w:iCs/>
        </w:rPr>
        <w:t xml:space="preserve">s </w:t>
      </w:r>
      <w:r w:rsidRPr="00E05E29">
        <w:t>(in mm) of confining hoops in critical regions should be taken as given in Formula</w:t>
      </w:r>
      <w:r w:rsidR="002E3AAB">
        <w:t> </w:t>
      </w:r>
      <w:r w:rsidRPr="00E05E29">
        <w:t>(12.7) or Formula (12.8), as appropriate.</w:t>
      </w:r>
    </w:p>
    <w:p w14:paraId="35EC58AF" w14:textId="0B5A819B" w:rsidR="003D5F0F" w:rsidRPr="00B272E6" w:rsidRDefault="003D5F0F" w:rsidP="003D5F0F">
      <w:pPr>
        <w:pStyle w:val="Formula"/>
        <w:spacing w:before="240"/>
      </w:pPr>
      <w:r w:rsidRPr="00B272E6">
        <w:t xml:space="preserve">In DC2: </w:t>
      </w:r>
      <m:oMath>
        <m:r>
          <w:rPr>
            <w:rFonts w:ascii="Cambria Math" w:hAnsi="Cambria Math"/>
          </w:rPr>
          <m:t>s≤</m:t>
        </m:r>
        <m:func>
          <m:funcPr>
            <m:ctrlPr>
              <w:rPr>
                <w:rFonts w:ascii="Cambria Math" w:hAnsi="Cambria Math"/>
              </w:rPr>
            </m:ctrlPr>
          </m:funcPr>
          <m:fName>
            <m:r>
              <m:rPr>
                <m:sty m:val="p"/>
              </m:rPr>
              <w:rPr>
                <w:rFonts w:ascii="Cambria Math" w:hAnsi="Cambria Math"/>
              </w:rPr>
              <m:t>min</m:t>
            </m:r>
          </m:fName>
          <m:e>
            <m:d>
              <m:dPr>
                <m:begChr m:val="{"/>
                <m:endChr m:val="}"/>
                <m:ctrlPr>
                  <w:rPr>
                    <w:rFonts w:ascii="Cambria Math" w:hAnsi="Cambria Math"/>
                  </w:rPr>
                </m:ctrlPr>
              </m:dPr>
              <m:e>
                <m:f>
                  <m:fPr>
                    <m:type m:val="lin"/>
                    <m:ctrlPr>
                      <w:rPr>
                        <w:rFonts w:ascii="Cambria Math" w:hAnsi="Cambria Math"/>
                      </w:rPr>
                    </m:ctrlPr>
                  </m:fPr>
                  <m:num>
                    <m:sSub>
                      <m:sSubPr>
                        <m:ctrlPr>
                          <w:rPr>
                            <w:rFonts w:ascii="Cambria Math" w:hAnsi="Cambria Math"/>
                          </w:rPr>
                        </m:ctrlPr>
                      </m:sSubPr>
                      <m:e>
                        <m:r>
                          <w:rPr>
                            <w:rFonts w:ascii="Cambria Math" w:hAnsi="Cambria Math"/>
                          </w:rPr>
                          <m:t>b</m:t>
                        </m:r>
                      </m:e>
                      <m:sub>
                        <m:r>
                          <m:rPr>
                            <m:sty m:val="p"/>
                          </m:rPr>
                          <w:rPr>
                            <w:rFonts w:ascii="Cambria Math" w:hAnsi="Cambria Math"/>
                          </w:rPr>
                          <m:t>oc</m:t>
                        </m:r>
                      </m:sub>
                    </m:sSub>
                  </m:num>
                  <m:den>
                    <m:r>
                      <w:rPr>
                        <w:rFonts w:ascii="Cambria Math" w:hAnsi="Cambria Math"/>
                      </w:rPr>
                      <m:t>2</m:t>
                    </m:r>
                  </m:den>
                </m:f>
                <m:r>
                  <w:rPr>
                    <w:rFonts w:ascii="Cambria Math" w:hAnsi="Cambria Math"/>
                  </w:rPr>
                  <m:t>;260;9</m:t>
                </m:r>
                <m:sSub>
                  <m:sSubPr>
                    <m:ctrlPr>
                      <w:rPr>
                        <w:rFonts w:ascii="Cambria Math" w:hAnsi="Cambria Math"/>
                      </w:rPr>
                    </m:ctrlPr>
                  </m:sSubPr>
                  <m:e>
                    <m:r>
                      <w:rPr>
                        <w:rFonts w:ascii="Cambria Math" w:hAnsi="Cambria Math"/>
                      </w:rPr>
                      <m:t xml:space="preserve"> d</m:t>
                    </m:r>
                  </m:e>
                  <m:sub>
                    <m:r>
                      <m:rPr>
                        <m:sty m:val="p"/>
                      </m:rPr>
                      <w:rPr>
                        <w:rFonts w:ascii="Cambria Math" w:hAnsi="Cambria Math"/>
                      </w:rPr>
                      <m:t>bl</m:t>
                    </m:r>
                  </m:sub>
                </m:sSub>
              </m:e>
            </m:d>
          </m:e>
        </m:func>
      </m:oMath>
      <w:r w:rsidRPr="00B272E6">
        <w:tab/>
        <w:t>(12.7)</w:t>
      </w:r>
    </w:p>
    <w:p w14:paraId="471309D7" w14:textId="2583B6C5" w:rsidR="003D5F0F" w:rsidRPr="00B272E6" w:rsidRDefault="003D5F0F" w:rsidP="003D5F0F">
      <w:pPr>
        <w:pStyle w:val="Formula"/>
        <w:spacing w:before="240"/>
      </w:pPr>
      <w:r w:rsidRPr="00B272E6">
        <w:t xml:space="preserve">In DC3: </w:t>
      </w:r>
      <m:oMath>
        <m:r>
          <w:rPr>
            <w:rFonts w:ascii="Cambria Math" w:hAnsi="Cambria Math"/>
          </w:rPr>
          <m:t>s≤</m:t>
        </m:r>
        <m:func>
          <m:funcPr>
            <m:ctrlPr>
              <w:rPr>
                <w:rFonts w:ascii="Cambria Math" w:hAnsi="Cambria Math"/>
              </w:rPr>
            </m:ctrlPr>
          </m:funcPr>
          <m:fName>
            <m:r>
              <m:rPr>
                <m:sty m:val="p"/>
              </m:rPr>
              <w:rPr>
                <w:rFonts w:ascii="Cambria Math" w:hAnsi="Cambria Math"/>
              </w:rPr>
              <m:t>min</m:t>
            </m:r>
          </m:fName>
          <m:e>
            <m:d>
              <m:dPr>
                <m:begChr m:val="{"/>
                <m:endChr m:val="}"/>
                <m:ctrlPr>
                  <w:rPr>
                    <w:rFonts w:ascii="Cambria Math" w:hAnsi="Cambria Math"/>
                  </w:rPr>
                </m:ctrlPr>
              </m:dPr>
              <m:e>
                <m:f>
                  <m:fPr>
                    <m:type m:val="lin"/>
                    <m:ctrlPr>
                      <w:rPr>
                        <w:rFonts w:ascii="Cambria Math" w:hAnsi="Cambria Math"/>
                      </w:rPr>
                    </m:ctrlPr>
                  </m:fPr>
                  <m:num>
                    <m:sSub>
                      <m:sSubPr>
                        <m:ctrlPr>
                          <w:rPr>
                            <w:rFonts w:ascii="Cambria Math" w:hAnsi="Cambria Math"/>
                          </w:rPr>
                        </m:ctrlPr>
                      </m:sSubPr>
                      <m:e>
                        <m:r>
                          <w:rPr>
                            <w:rFonts w:ascii="Cambria Math" w:hAnsi="Cambria Math"/>
                          </w:rPr>
                          <m:t>b</m:t>
                        </m:r>
                      </m:e>
                      <m:sub>
                        <m:r>
                          <m:rPr>
                            <m:sty m:val="p"/>
                          </m:rPr>
                          <w:rPr>
                            <w:rFonts w:ascii="Cambria Math" w:hAnsi="Cambria Math"/>
                          </w:rPr>
                          <m:t>oc</m:t>
                        </m:r>
                      </m:sub>
                    </m:sSub>
                  </m:num>
                  <m:den>
                    <m:r>
                      <w:rPr>
                        <w:rFonts w:ascii="Cambria Math" w:hAnsi="Cambria Math"/>
                      </w:rPr>
                      <m:t>2</m:t>
                    </m:r>
                  </m:den>
                </m:f>
                <m:r>
                  <w:rPr>
                    <w:rFonts w:ascii="Cambria Math" w:hAnsi="Cambria Math"/>
                  </w:rPr>
                  <m:t xml:space="preserve">;175;8 </m:t>
                </m:r>
                <m:sSub>
                  <m:sSubPr>
                    <m:ctrlPr>
                      <w:rPr>
                        <w:rFonts w:ascii="Cambria Math" w:hAnsi="Cambria Math"/>
                      </w:rPr>
                    </m:ctrlPr>
                  </m:sSubPr>
                  <m:e>
                    <m:r>
                      <w:rPr>
                        <w:rFonts w:ascii="Cambria Math" w:hAnsi="Cambria Math"/>
                      </w:rPr>
                      <m:t>d</m:t>
                    </m:r>
                  </m:e>
                  <m:sub>
                    <m:r>
                      <m:rPr>
                        <m:sty m:val="p"/>
                      </m:rPr>
                      <w:rPr>
                        <w:rFonts w:ascii="Cambria Math" w:hAnsi="Cambria Math"/>
                      </w:rPr>
                      <m:t>bl</m:t>
                    </m:r>
                  </m:sub>
                </m:sSub>
              </m:e>
            </m:d>
          </m:e>
        </m:func>
      </m:oMath>
      <w:r w:rsidRPr="00B272E6">
        <w:tab/>
        <w:t>(12.8)</w:t>
      </w:r>
    </w:p>
    <w:p w14:paraId="406D55E5" w14:textId="77777777" w:rsidR="003D5F0F" w:rsidRPr="00870D59" w:rsidRDefault="003D5F0F" w:rsidP="003D5F0F">
      <w:pPr>
        <w:pStyle w:val="Text"/>
      </w:pPr>
      <w:r w:rsidRPr="00870D59">
        <w:t>where</w:t>
      </w:r>
    </w:p>
    <w:tbl>
      <w:tblPr>
        <w:tblW w:w="0" w:type="auto"/>
        <w:tblInd w:w="534" w:type="dxa"/>
        <w:tblLook w:val="04A0" w:firstRow="1" w:lastRow="0" w:firstColumn="1" w:lastColumn="0" w:noHBand="0" w:noVBand="1"/>
      </w:tblPr>
      <w:tblGrid>
        <w:gridCol w:w="1275"/>
        <w:gridCol w:w="7938"/>
      </w:tblGrid>
      <w:tr w:rsidR="003D5F0F" w:rsidRPr="00870D59" w14:paraId="57869B7D" w14:textId="77777777" w:rsidTr="002061E5">
        <w:tc>
          <w:tcPr>
            <w:tcW w:w="1275" w:type="dxa"/>
          </w:tcPr>
          <w:p w14:paraId="3D851566" w14:textId="1285A971" w:rsidR="003D5F0F" w:rsidRPr="00F93317" w:rsidRDefault="003D5F0F" w:rsidP="002061E5">
            <w:pPr>
              <w:spacing w:after="60"/>
              <w:jc w:val="left"/>
              <w:rPr>
                <w:rFonts w:eastAsia="Times New Roman" w:cs="Cambria"/>
                <w:szCs w:val="20"/>
                <w:lang w:eastAsia="fr-FR"/>
              </w:rPr>
            </w:pPr>
            <w:r w:rsidRPr="00D1484A">
              <w:rPr>
                <w:i/>
                <w:iCs/>
              </w:rPr>
              <w:t>b</w:t>
            </w:r>
            <w:r w:rsidRPr="00D1484A">
              <w:rPr>
                <w:vertAlign w:val="subscript"/>
              </w:rPr>
              <w:t>oc</w:t>
            </w:r>
          </w:p>
        </w:tc>
        <w:tc>
          <w:tcPr>
            <w:tcW w:w="7938" w:type="dxa"/>
          </w:tcPr>
          <w:p w14:paraId="3592B06A" w14:textId="5E5FE881" w:rsidR="003D5F0F" w:rsidRPr="00F93317" w:rsidRDefault="003D5F0F" w:rsidP="002061E5">
            <w:pPr>
              <w:spacing w:after="60"/>
              <w:rPr>
                <w:rFonts w:eastAsia="Times New Roman" w:cs="Cambria"/>
                <w:color w:val="000000" w:themeColor="text1"/>
                <w:szCs w:val="20"/>
                <w:lang w:eastAsia="fr-FR"/>
              </w:rPr>
            </w:pPr>
            <w:r w:rsidRPr="007E6F67">
              <w:t xml:space="preserve">is the </w:t>
            </w:r>
            <w:r w:rsidRPr="00FD17CF">
              <w:t>minimum dimension of the concrete core to the center</w:t>
            </w:r>
            <w:r w:rsidR="00A6214C">
              <w:t xml:space="preserve"> </w:t>
            </w:r>
            <w:r w:rsidRPr="00FD17CF">
              <w:t>line of the confining hoops (in mm);</w:t>
            </w:r>
          </w:p>
        </w:tc>
      </w:tr>
      <w:tr w:rsidR="003D5F0F" w:rsidRPr="00870D59" w14:paraId="15BCA3B8" w14:textId="77777777" w:rsidTr="002061E5">
        <w:tc>
          <w:tcPr>
            <w:tcW w:w="1275" w:type="dxa"/>
          </w:tcPr>
          <w:p w14:paraId="6207E11A" w14:textId="5A28D572" w:rsidR="003D5F0F" w:rsidRPr="00F93317" w:rsidRDefault="003D5F0F" w:rsidP="002061E5">
            <w:pPr>
              <w:spacing w:after="60"/>
              <w:jc w:val="left"/>
              <w:rPr>
                <w:rFonts w:eastAsia="Times New Roman" w:cs="Cambria"/>
                <w:szCs w:val="20"/>
                <w:lang w:eastAsia="fr-FR"/>
              </w:rPr>
            </w:pPr>
            <w:r w:rsidRPr="00644C3D">
              <w:rPr>
                <w:i/>
                <w:iCs/>
              </w:rPr>
              <w:t>d</w:t>
            </w:r>
            <w:r w:rsidRPr="00E05E29">
              <w:rPr>
                <w:vertAlign w:val="subscript"/>
              </w:rPr>
              <w:t>bl</w:t>
            </w:r>
          </w:p>
        </w:tc>
        <w:tc>
          <w:tcPr>
            <w:tcW w:w="7938" w:type="dxa"/>
          </w:tcPr>
          <w:p w14:paraId="6353825A" w14:textId="79F5256A" w:rsidR="003D5F0F" w:rsidRPr="00F93317" w:rsidRDefault="003D5F0F" w:rsidP="002061E5">
            <w:pPr>
              <w:spacing w:after="60"/>
              <w:rPr>
                <w:rFonts w:eastAsia="Times New Roman" w:cs="Cambria"/>
                <w:color w:val="000000" w:themeColor="text1"/>
                <w:szCs w:val="20"/>
                <w:lang w:eastAsia="fr-FR"/>
              </w:rPr>
            </w:pPr>
            <w:r w:rsidRPr="00E05E29">
              <w:t>is the minimum diamet</w:t>
            </w:r>
            <w:r>
              <w:t>er</w:t>
            </w:r>
            <w:r w:rsidRPr="00E05E29">
              <w:t xml:space="preserve"> of the longitudinal rebars (in mm).</w:t>
            </w:r>
          </w:p>
        </w:tc>
      </w:tr>
    </w:tbl>
    <w:p w14:paraId="1CFD0BE3" w14:textId="6F6AD319" w:rsidR="003D5F0F" w:rsidRPr="003D5F0F" w:rsidRDefault="003D5F0F" w:rsidP="00724E4E">
      <w:pPr>
        <w:pStyle w:val="Clause"/>
        <w:rPr>
          <w:bCs/>
        </w:rPr>
      </w:pPr>
      <w:r w:rsidRPr="003D5F0F">
        <w:rPr>
          <w:bCs/>
        </w:rPr>
        <w:t xml:space="preserve">In DC3, the spacing </w:t>
      </w:r>
      <w:r w:rsidRPr="003D5F0F">
        <w:rPr>
          <w:bCs/>
          <w:i/>
          <w:iCs/>
        </w:rPr>
        <w:t>s</w:t>
      </w:r>
      <w:r w:rsidRPr="003D5F0F">
        <w:rPr>
          <w:bCs/>
        </w:rPr>
        <w:t xml:space="preserve"> (in mm) of confining hoops near the column base should satisfy Formula (12.9).</w:t>
      </w:r>
    </w:p>
    <w:p w14:paraId="4CAA4B9F" w14:textId="5870FDCD" w:rsidR="003D5F0F" w:rsidRPr="00870D59" w:rsidRDefault="003D5F0F" w:rsidP="003D5F0F">
      <w:pPr>
        <w:pStyle w:val="Formula"/>
        <w:spacing w:before="240"/>
      </w:pPr>
      <m:oMath>
        <m:r>
          <w:rPr>
            <w:rFonts w:ascii="Cambria Math" w:hAnsi="Cambria Math"/>
          </w:rPr>
          <m:t>s≤</m:t>
        </m:r>
        <m:func>
          <m:funcPr>
            <m:ctrlPr>
              <w:rPr>
                <w:rFonts w:ascii="Cambria Math" w:hAnsi="Cambria Math"/>
              </w:rPr>
            </m:ctrlPr>
          </m:funcPr>
          <m:fName>
            <m:r>
              <m:rPr>
                <m:sty m:val="p"/>
              </m:rPr>
              <w:rPr>
                <w:rFonts w:ascii="Cambria Math" w:hAnsi="Cambria Math"/>
              </w:rPr>
              <m:t>min</m:t>
            </m:r>
          </m:fName>
          <m:e>
            <m:d>
              <m:dPr>
                <m:begChr m:val="{"/>
                <m:endChr m:val="}"/>
                <m:ctrlPr>
                  <w:rPr>
                    <w:rFonts w:ascii="Cambria Math" w:hAnsi="Cambria Math"/>
                  </w:rPr>
                </m:ctrlPr>
              </m:dPr>
              <m:e>
                <m:f>
                  <m:fPr>
                    <m:type m:val="lin"/>
                    <m:ctrlPr>
                      <w:rPr>
                        <w:rFonts w:ascii="Cambria Math" w:hAnsi="Cambria Math"/>
                      </w:rPr>
                    </m:ctrlPr>
                  </m:fPr>
                  <m:num>
                    <m:sSub>
                      <m:sSubPr>
                        <m:ctrlPr>
                          <w:rPr>
                            <w:rFonts w:ascii="Cambria Math" w:hAnsi="Cambria Math"/>
                          </w:rPr>
                        </m:ctrlPr>
                      </m:sSubPr>
                      <m:e>
                        <m:r>
                          <w:rPr>
                            <w:rFonts w:ascii="Cambria Math" w:hAnsi="Cambria Math"/>
                          </w:rPr>
                          <m:t>b</m:t>
                        </m:r>
                      </m:e>
                      <m:sub>
                        <m:r>
                          <m:rPr>
                            <m:sty m:val="p"/>
                          </m:rPr>
                          <w:rPr>
                            <w:rFonts w:ascii="Cambria Math" w:hAnsi="Cambria Math"/>
                          </w:rPr>
                          <m:t>oc</m:t>
                        </m:r>
                      </m:sub>
                    </m:sSub>
                  </m:num>
                  <m:den>
                    <m:r>
                      <w:rPr>
                        <w:rFonts w:ascii="Cambria Math" w:hAnsi="Cambria Math"/>
                      </w:rPr>
                      <m:t>2</m:t>
                    </m:r>
                  </m:den>
                </m:f>
                <m:r>
                  <w:rPr>
                    <w:rFonts w:ascii="Cambria Math" w:hAnsi="Cambria Math"/>
                  </w:rPr>
                  <m:t>;150;6</m:t>
                </m:r>
                <m:sSub>
                  <m:sSubPr>
                    <m:ctrlPr>
                      <w:rPr>
                        <w:rFonts w:ascii="Cambria Math" w:hAnsi="Cambria Math"/>
                      </w:rPr>
                    </m:ctrlPr>
                  </m:sSubPr>
                  <m:e>
                    <m:r>
                      <w:rPr>
                        <w:rFonts w:ascii="Cambria Math" w:hAnsi="Cambria Math"/>
                      </w:rPr>
                      <m:t xml:space="preserve"> d</m:t>
                    </m:r>
                  </m:e>
                  <m:sub>
                    <m:r>
                      <m:rPr>
                        <m:sty m:val="p"/>
                      </m:rPr>
                      <w:rPr>
                        <w:rFonts w:ascii="Cambria Math" w:hAnsi="Cambria Math"/>
                      </w:rPr>
                      <m:t>bl</m:t>
                    </m:r>
                  </m:sub>
                </m:sSub>
              </m:e>
            </m:d>
          </m:e>
        </m:func>
      </m:oMath>
      <w:r w:rsidRPr="00870D59">
        <w:tab/>
        <w:t>(1</w:t>
      </w:r>
      <w:r>
        <w:t>2</w:t>
      </w:r>
      <w:r w:rsidRPr="00870D59">
        <w:t>.</w:t>
      </w:r>
      <w:r>
        <w:t>9</w:t>
      </w:r>
      <w:r w:rsidRPr="00870D59">
        <w:t>)</w:t>
      </w:r>
    </w:p>
    <w:p w14:paraId="31BDB53C" w14:textId="4E0447CA" w:rsidR="003D5F0F" w:rsidRDefault="003D5F0F" w:rsidP="00724E4E">
      <w:pPr>
        <w:pStyle w:val="Clause"/>
      </w:pPr>
      <w:r w:rsidRPr="003D5F0F">
        <w:t xml:space="preserve">The confining hoop diameter </w:t>
      </w:r>
      <w:r w:rsidRPr="001E26B6">
        <w:rPr>
          <w:i/>
          <w:iCs/>
        </w:rPr>
        <w:t>d</w:t>
      </w:r>
      <w:r w:rsidRPr="001E26B6">
        <w:rPr>
          <w:vertAlign w:val="subscript"/>
        </w:rPr>
        <w:t>bw</w:t>
      </w:r>
      <w:r w:rsidRPr="003D5F0F">
        <w:t xml:space="preserve"> (in mm) should not be smaller than the value given in Formula</w:t>
      </w:r>
      <w:r w:rsidR="002E3AAB">
        <w:t> </w:t>
      </w:r>
      <w:r w:rsidRPr="003D5F0F">
        <w:t>(12.10) or Formula (12.11), as appropriate.</w:t>
      </w:r>
    </w:p>
    <w:p w14:paraId="0C91CAB7" w14:textId="5AB1101F" w:rsidR="000F2AFF" w:rsidRPr="00870D59" w:rsidRDefault="000F2AFF" w:rsidP="000F2AFF">
      <w:pPr>
        <w:pStyle w:val="Formula"/>
        <w:spacing w:before="240"/>
      </w:pPr>
      <w:r w:rsidRPr="009C1FB7">
        <w:t xml:space="preserve">In DC2: </w:t>
      </w:r>
      <m:oMath>
        <m:sSub>
          <m:sSubPr>
            <m:ctrlPr>
              <w:rPr>
                <w:rFonts w:ascii="Cambria Math" w:hAnsi="Cambria Math"/>
              </w:rPr>
            </m:ctrlPr>
          </m:sSubPr>
          <m:e>
            <m:r>
              <w:rPr>
                <w:rFonts w:ascii="Cambria Math" w:hAnsi="Cambria Math"/>
              </w:rPr>
              <m:t>d</m:t>
            </m:r>
          </m:e>
          <m:sub>
            <m:r>
              <m:rPr>
                <m:sty m:val="p"/>
              </m:rPr>
              <w:rPr>
                <w:rFonts w:ascii="Cambria Math" w:hAnsi="Cambria Math"/>
              </w:rPr>
              <m:t>bw</m:t>
            </m:r>
          </m:sub>
        </m:sSub>
        <m:r>
          <w:rPr>
            <w:rFonts w:ascii="Cambria Math" w:hAnsi="Cambria Math"/>
          </w:rPr>
          <m:t xml:space="preserve">=6 </m:t>
        </m:r>
        <m:r>
          <m:rPr>
            <m:sty m:val="p"/>
          </m:rPr>
          <w:rPr>
            <w:rFonts w:ascii="Cambria Math" w:hAnsi="Cambria Math"/>
          </w:rPr>
          <m:t>mm</m:t>
        </m:r>
      </m:oMath>
      <w:r w:rsidRPr="00870D59">
        <w:tab/>
        <w:t>(1</w:t>
      </w:r>
      <w:r>
        <w:t>2</w:t>
      </w:r>
      <w:r w:rsidRPr="00870D59">
        <w:t>.</w:t>
      </w:r>
      <w:r>
        <w:t>10</w:t>
      </w:r>
      <w:r w:rsidRPr="00870D59">
        <w:t>)</w:t>
      </w:r>
    </w:p>
    <w:p w14:paraId="501A9300" w14:textId="19F23417" w:rsidR="000F2AFF" w:rsidRPr="00870D59" w:rsidRDefault="000F2AFF" w:rsidP="000F2AFF">
      <w:pPr>
        <w:pStyle w:val="Formula"/>
        <w:spacing w:before="240"/>
      </w:pPr>
      <w:r w:rsidRPr="00CF4BD8">
        <w:rPr>
          <w:lang w:val="it-IT"/>
        </w:rPr>
        <w:t xml:space="preserve">In DC3: </w:t>
      </w:r>
      <m:oMath>
        <m:sSub>
          <m:sSubPr>
            <m:ctrlPr>
              <w:rPr>
                <w:rFonts w:ascii="Cambria Math" w:hAnsi="Cambria Math"/>
              </w:rPr>
            </m:ctrlPr>
          </m:sSubPr>
          <m:e>
            <m:r>
              <w:rPr>
                <w:rFonts w:ascii="Cambria Math" w:hAnsi="Cambria Math"/>
              </w:rPr>
              <m:t>d</m:t>
            </m:r>
          </m:e>
          <m:sub>
            <m:r>
              <m:rPr>
                <m:sty m:val="p"/>
              </m:rPr>
              <w:rPr>
                <w:rFonts w:ascii="Cambria Math" w:hAnsi="Cambria Math"/>
                <w:lang w:val="it-IT"/>
              </w:rPr>
              <m:t>bw</m:t>
            </m:r>
          </m:sub>
        </m:sSub>
        <m:r>
          <w:rPr>
            <w:rFonts w:ascii="Cambria Math" w:hAnsi="Cambria Math"/>
            <w:lang w:val="it-IT"/>
          </w:rPr>
          <m:t>=</m:t>
        </m:r>
        <m:func>
          <m:funcPr>
            <m:ctrlPr>
              <w:rPr>
                <w:rFonts w:ascii="Cambria Math" w:hAnsi="Cambria Math"/>
              </w:rPr>
            </m:ctrlPr>
          </m:funcPr>
          <m:fName>
            <m:r>
              <m:rPr>
                <m:sty m:val="p"/>
              </m:rPr>
              <w:rPr>
                <w:rFonts w:ascii="Cambria Math" w:hAnsi="Cambria Math"/>
                <w:lang w:val="it-IT"/>
              </w:rPr>
              <m:t>max</m:t>
            </m:r>
          </m:fName>
          <m:e>
            <m:d>
              <m:dPr>
                <m:begChr m:val="{"/>
                <m:endChr m:val="}"/>
                <m:ctrlPr>
                  <w:rPr>
                    <w:rFonts w:ascii="Cambria Math" w:hAnsi="Cambria Math"/>
                  </w:rPr>
                </m:ctrlPr>
              </m:dPr>
              <m:e>
                <m:r>
                  <w:rPr>
                    <w:rFonts w:ascii="Cambria Math" w:hAnsi="Cambria Math"/>
                    <w:lang w:val="it-IT"/>
                  </w:rPr>
                  <m:t xml:space="preserve">0,35 </m:t>
                </m:r>
                <m:sSub>
                  <m:sSubPr>
                    <m:ctrlPr>
                      <w:rPr>
                        <w:rFonts w:ascii="Cambria Math" w:hAnsi="Cambria Math"/>
                      </w:rPr>
                    </m:ctrlPr>
                  </m:sSubPr>
                  <m:e>
                    <m:r>
                      <w:rPr>
                        <w:rFonts w:ascii="Cambria Math" w:hAnsi="Cambria Math"/>
                      </w:rPr>
                      <m:t>d</m:t>
                    </m:r>
                  </m:e>
                  <m:sub>
                    <m:r>
                      <m:rPr>
                        <m:sty m:val="p"/>
                      </m:rPr>
                      <w:rPr>
                        <w:rFonts w:ascii="Cambria Math" w:hAnsi="Cambria Math"/>
                        <w:lang w:val="it-IT"/>
                      </w:rPr>
                      <m:t>bl,max</m:t>
                    </m:r>
                  </m:sub>
                </m:sSub>
                <m:r>
                  <w:rPr>
                    <w:rFonts w:ascii="Cambria Math" w:hAnsi="Cambria Math"/>
                    <w:lang w:val="it-IT"/>
                  </w:rPr>
                  <m:t xml:space="preserve">;6 </m:t>
                </m:r>
                <m:r>
                  <m:rPr>
                    <m:sty m:val="p"/>
                  </m:rPr>
                  <w:rPr>
                    <w:rFonts w:ascii="Cambria Math" w:hAnsi="Cambria Math"/>
                    <w:lang w:val="it-IT"/>
                  </w:rPr>
                  <m:t>mm</m:t>
                </m:r>
              </m:e>
            </m:d>
          </m:e>
        </m:func>
      </m:oMath>
      <w:r w:rsidRPr="00870D59">
        <w:tab/>
        <w:t>(1</w:t>
      </w:r>
      <w:r>
        <w:t>2</w:t>
      </w:r>
      <w:r w:rsidRPr="00870D59">
        <w:t>.</w:t>
      </w:r>
      <w:r>
        <w:t>11</w:t>
      </w:r>
      <w:r w:rsidRPr="00870D59">
        <w:t>)</w:t>
      </w:r>
    </w:p>
    <w:p w14:paraId="0945C47E" w14:textId="63D47D44" w:rsidR="000F2AFF" w:rsidRDefault="000F2AFF" w:rsidP="00724E4E">
      <w:pPr>
        <w:pStyle w:val="Clause"/>
      </w:pPr>
      <w:r w:rsidRPr="000F2AFF">
        <w:lastRenderedPageBreak/>
        <w:t xml:space="preserve">In dissipative fully encased composite columns of composite structural types in DC2 and DC3, the confining hoop diameter </w:t>
      </w:r>
      <w:r w:rsidRPr="001E26B6">
        <w:rPr>
          <w:i/>
          <w:iCs/>
        </w:rPr>
        <w:t>d</w:t>
      </w:r>
      <w:r w:rsidRPr="001E26B6">
        <w:rPr>
          <w:vertAlign w:val="subscript"/>
        </w:rPr>
        <w:t>bw</w:t>
      </w:r>
      <w:r w:rsidRPr="000F2AFF">
        <w:t xml:space="preserve"> (in mm) should satisfy Formula (12.12).</w:t>
      </w:r>
    </w:p>
    <w:p w14:paraId="7E8C7687" w14:textId="2CAA34D8" w:rsidR="000F2AFF" w:rsidRPr="00870D59" w:rsidRDefault="009B5CEC" w:rsidP="000F2AFF">
      <w:pPr>
        <w:pStyle w:val="Formula"/>
        <w:spacing w:before="240"/>
      </w:pPr>
      <m:oMath>
        <m:sSub>
          <m:sSubPr>
            <m:ctrlPr>
              <w:rPr>
                <w:rFonts w:ascii="Cambria Math" w:hAnsi="Cambria Math"/>
              </w:rPr>
            </m:ctrlPr>
          </m:sSubPr>
          <m:e>
            <m:r>
              <w:rPr>
                <w:rFonts w:ascii="Cambria Math" w:hAnsi="Cambria Math"/>
              </w:rPr>
              <m:t>d</m:t>
            </m:r>
          </m:e>
          <m:sub>
            <m:r>
              <m:rPr>
                <m:sty m:val="p"/>
              </m:rPr>
              <w:rPr>
                <w:rFonts w:ascii="Cambria Math" w:hAnsi="Cambria Math"/>
              </w:rPr>
              <m:t>bw</m:t>
            </m:r>
          </m:sub>
        </m:sSub>
        <m:r>
          <w:rPr>
            <w:rFonts w:ascii="Cambria Math" w:hAnsi="Cambria Math"/>
          </w:rPr>
          <m:t>≥b</m:t>
        </m:r>
        <m:f>
          <m:fPr>
            <m:type m:val="lin"/>
            <m:ctrlPr>
              <w:rPr>
                <w:rFonts w:ascii="Cambria Math" w:hAnsi="Cambria Math"/>
              </w:rPr>
            </m:ctrlPr>
          </m:fPr>
          <m:num>
            <m:sSub>
              <m:sSubPr>
                <m:ctrlPr>
                  <w:rPr>
                    <w:rFonts w:ascii="Cambria Math" w:hAnsi="Cambria Math"/>
                  </w:rPr>
                </m:ctrlPr>
              </m:sSubPr>
              <m:e>
                <m:r>
                  <w:rPr>
                    <w:rFonts w:ascii="Cambria Math" w:hAnsi="Cambria Math"/>
                  </w:rPr>
                  <m:t>t</m:t>
                </m:r>
              </m:e>
              <m:sub>
                <m:r>
                  <m:rPr>
                    <m:sty m:val="p"/>
                  </m:rPr>
                  <w:rPr>
                    <w:rFonts w:ascii="Cambria Math" w:hAnsi="Cambria Math"/>
                  </w:rPr>
                  <m:t>f</m:t>
                </m:r>
              </m:sub>
            </m:sSub>
          </m:num>
          <m:den>
            <m:r>
              <w:rPr>
                <w:rFonts w:ascii="Cambria Math" w:hAnsi="Cambria Math"/>
              </w:rPr>
              <m:t>8</m:t>
            </m:r>
          </m:den>
        </m:f>
        <m:sSup>
          <m:sSupPr>
            <m:ctrlPr>
              <w:rPr>
                <w:rFonts w:ascii="Cambria Math" w:hAnsi="Cambria Math"/>
              </w:rPr>
            </m:ctrlPr>
          </m:sSupPr>
          <m:e>
            <m:d>
              <m:dPr>
                <m:ctrlPr>
                  <w:rPr>
                    <w:rFonts w:ascii="Cambria Math" w:hAnsi="Cambria Math"/>
                  </w:rPr>
                </m:ctrlPr>
              </m:dPr>
              <m:e>
                <m:f>
                  <m:fPr>
                    <m:type m:val="lin"/>
                    <m:ctrlPr>
                      <w:rPr>
                        <w:rFonts w:ascii="Cambria Math" w:hAnsi="Cambria Math"/>
                      </w:rPr>
                    </m:ctrlPr>
                  </m:fPr>
                  <m:num>
                    <m:sSub>
                      <m:sSubPr>
                        <m:ctrlPr>
                          <w:rPr>
                            <w:rFonts w:ascii="Cambria Math" w:hAnsi="Cambria Math"/>
                          </w:rPr>
                        </m:ctrlPr>
                      </m:sSubPr>
                      <m:e>
                        <m:r>
                          <w:rPr>
                            <w:rFonts w:ascii="Cambria Math" w:hAnsi="Cambria Math"/>
                          </w:rPr>
                          <m:t>f</m:t>
                        </m:r>
                      </m:e>
                      <m:sub>
                        <m:r>
                          <m:rPr>
                            <m:sty m:val="p"/>
                          </m:rPr>
                          <w:rPr>
                            <w:rFonts w:ascii="Cambria Math" w:hAnsi="Cambria Math"/>
                          </w:rPr>
                          <m:t>yd,f</m:t>
                        </m:r>
                      </m:sub>
                    </m:sSub>
                  </m:num>
                  <m:den>
                    <m:sSub>
                      <m:sSubPr>
                        <m:ctrlPr>
                          <w:rPr>
                            <w:rFonts w:ascii="Cambria Math" w:hAnsi="Cambria Math"/>
                          </w:rPr>
                        </m:ctrlPr>
                      </m:sSubPr>
                      <m:e>
                        <m:r>
                          <w:rPr>
                            <w:rFonts w:ascii="Cambria Math" w:hAnsi="Cambria Math"/>
                          </w:rPr>
                          <m:t>f</m:t>
                        </m:r>
                      </m:e>
                      <m:sub>
                        <m:r>
                          <m:rPr>
                            <m:sty m:val="p"/>
                          </m:rPr>
                          <w:rPr>
                            <w:rFonts w:ascii="Cambria Math" w:hAnsi="Cambria Math"/>
                          </w:rPr>
                          <m:t>yd,w</m:t>
                        </m:r>
                      </m:sub>
                    </m:sSub>
                  </m:den>
                </m:f>
              </m:e>
            </m:d>
          </m:e>
          <m:sup>
            <m:r>
              <w:rPr>
                <w:rFonts w:ascii="Cambria Math" w:hAnsi="Cambria Math"/>
              </w:rPr>
              <m:t>0,5</m:t>
            </m:r>
          </m:sup>
        </m:sSup>
      </m:oMath>
      <w:r w:rsidR="000F2AFF" w:rsidRPr="00870D59">
        <w:tab/>
        <w:t>(1</w:t>
      </w:r>
      <w:r w:rsidR="000F2AFF">
        <w:t>2</w:t>
      </w:r>
      <w:r w:rsidR="000F2AFF" w:rsidRPr="00870D59">
        <w:t>.</w:t>
      </w:r>
      <w:r w:rsidR="000F2AFF">
        <w:t>12</w:t>
      </w:r>
      <w:r w:rsidR="000F2AFF" w:rsidRPr="00870D59">
        <w:t>)</w:t>
      </w:r>
    </w:p>
    <w:p w14:paraId="6DAC0756" w14:textId="77777777" w:rsidR="000F2AFF" w:rsidRPr="00870D59" w:rsidRDefault="000F2AFF" w:rsidP="000F2AFF">
      <w:pPr>
        <w:pStyle w:val="Text"/>
      </w:pPr>
      <w:r w:rsidRPr="00870D59">
        <w:t>where</w:t>
      </w:r>
    </w:p>
    <w:tbl>
      <w:tblPr>
        <w:tblW w:w="0" w:type="auto"/>
        <w:tblInd w:w="346" w:type="dxa"/>
        <w:tblLook w:val="04A0" w:firstRow="1" w:lastRow="0" w:firstColumn="1" w:lastColumn="0" w:noHBand="0" w:noVBand="1"/>
      </w:tblPr>
      <w:tblGrid>
        <w:gridCol w:w="1275"/>
        <w:gridCol w:w="7938"/>
      </w:tblGrid>
      <w:tr w:rsidR="000F2AFF" w:rsidRPr="000F2AFF" w14:paraId="1CF3F151" w14:textId="77777777" w:rsidTr="002E3AAB">
        <w:tc>
          <w:tcPr>
            <w:tcW w:w="1275" w:type="dxa"/>
          </w:tcPr>
          <w:p w14:paraId="7BA25677" w14:textId="07E3F68C" w:rsidR="000F2AFF" w:rsidRPr="000F2AFF" w:rsidRDefault="000F2AFF" w:rsidP="002061E5">
            <w:pPr>
              <w:spacing w:after="60"/>
              <w:jc w:val="left"/>
              <w:rPr>
                <w:rFonts w:eastAsia="Times New Roman" w:cs="Cambria"/>
                <w:color w:val="000000" w:themeColor="text1"/>
                <w:szCs w:val="20"/>
                <w:lang w:eastAsia="fr-FR"/>
              </w:rPr>
            </w:pPr>
            <w:r w:rsidRPr="000F2AFF">
              <w:rPr>
                <w:i/>
                <w:iCs/>
                <w:color w:val="000000" w:themeColor="text1"/>
              </w:rPr>
              <w:t>f</w:t>
            </w:r>
            <w:r w:rsidRPr="000F2AFF">
              <w:rPr>
                <w:color w:val="000000" w:themeColor="text1"/>
                <w:vertAlign w:val="subscript"/>
              </w:rPr>
              <w:t>yd,w</w:t>
            </w:r>
          </w:p>
        </w:tc>
        <w:tc>
          <w:tcPr>
            <w:tcW w:w="7938" w:type="dxa"/>
          </w:tcPr>
          <w:p w14:paraId="1DDC068C" w14:textId="5DB909B6" w:rsidR="000F2AFF" w:rsidRPr="000F2AFF" w:rsidRDefault="000F2AFF" w:rsidP="002061E5">
            <w:pPr>
              <w:spacing w:after="60"/>
              <w:rPr>
                <w:rFonts w:eastAsia="Times New Roman" w:cs="Cambria"/>
                <w:color w:val="000000" w:themeColor="text1"/>
                <w:szCs w:val="20"/>
                <w:lang w:eastAsia="fr-FR"/>
              </w:rPr>
            </w:pPr>
            <w:r w:rsidRPr="00E05E29">
              <w:t>is the design yield stress of the confining hoops;</w:t>
            </w:r>
          </w:p>
        </w:tc>
      </w:tr>
      <w:tr w:rsidR="000F2AFF" w:rsidRPr="000F2AFF" w14:paraId="296D720E" w14:textId="77777777" w:rsidTr="002E3AAB">
        <w:tc>
          <w:tcPr>
            <w:tcW w:w="1275" w:type="dxa"/>
          </w:tcPr>
          <w:p w14:paraId="557D7CB4" w14:textId="672CE9CD" w:rsidR="000F2AFF" w:rsidRPr="000F2AFF" w:rsidRDefault="000F2AFF" w:rsidP="002061E5">
            <w:pPr>
              <w:spacing w:after="60"/>
              <w:jc w:val="left"/>
              <w:rPr>
                <w:rFonts w:eastAsia="Times New Roman" w:cs="Cambria"/>
                <w:color w:val="000000" w:themeColor="text1"/>
                <w:szCs w:val="20"/>
                <w:lang w:eastAsia="fr-FR"/>
              </w:rPr>
            </w:pPr>
            <w:r w:rsidRPr="000F2AFF">
              <w:rPr>
                <w:i/>
                <w:iCs/>
                <w:color w:val="000000" w:themeColor="text1"/>
              </w:rPr>
              <w:t>f</w:t>
            </w:r>
            <w:r w:rsidRPr="000F2AFF">
              <w:rPr>
                <w:color w:val="000000" w:themeColor="text1"/>
                <w:vertAlign w:val="subscript"/>
              </w:rPr>
              <w:t>yd,f</w:t>
            </w:r>
          </w:p>
        </w:tc>
        <w:tc>
          <w:tcPr>
            <w:tcW w:w="7938" w:type="dxa"/>
          </w:tcPr>
          <w:p w14:paraId="4A25DBC8" w14:textId="58F4017E" w:rsidR="000F2AFF" w:rsidRPr="000F2AFF" w:rsidRDefault="000F2AFF" w:rsidP="002061E5">
            <w:pPr>
              <w:spacing w:after="60"/>
              <w:rPr>
                <w:rFonts w:eastAsia="Times New Roman" w:cs="Cambria"/>
                <w:color w:val="000000" w:themeColor="text1"/>
                <w:szCs w:val="20"/>
                <w:lang w:eastAsia="fr-FR"/>
              </w:rPr>
            </w:pPr>
            <w:r w:rsidRPr="00E05E29">
              <w:t>is the design yield stress of the flange of the steel cross section;</w:t>
            </w:r>
          </w:p>
        </w:tc>
      </w:tr>
      <w:tr w:rsidR="000F2AFF" w:rsidRPr="000F2AFF" w14:paraId="3F79F815" w14:textId="77777777" w:rsidTr="002E3AAB">
        <w:tc>
          <w:tcPr>
            <w:tcW w:w="1275" w:type="dxa"/>
          </w:tcPr>
          <w:p w14:paraId="62902C64" w14:textId="38AD79A4" w:rsidR="000F2AFF" w:rsidRPr="000F2AFF" w:rsidRDefault="000F2AFF" w:rsidP="002061E5">
            <w:pPr>
              <w:spacing w:after="60"/>
              <w:jc w:val="left"/>
              <w:rPr>
                <w:i/>
                <w:iCs/>
                <w:color w:val="000000" w:themeColor="text1"/>
              </w:rPr>
            </w:pPr>
            <w:r w:rsidRPr="00196951">
              <w:rPr>
                <w:i/>
                <w:iCs/>
              </w:rPr>
              <w:t>b</w:t>
            </w:r>
          </w:p>
        </w:tc>
        <w:tc>
          <w:tcPr>
            <w:tcW w:w="7938" w:type="dxa"/>
          </w:tcPr>
          <w:p w14:paraId="5003DE74" w14:textId="0173D790" w:rsidR="000F2AFF" w:rsidRPr="000F2AFF" w:rsidRDefault="000F2AFF" w:rsidP="002061E5">
            <w:pPr>
              <w:spacing w:after="60"/>
              <w:rPr>
                <w:color w:val="000000" w:themeColor="text1"/>
              </w:rPr>
            </w:pPr>
            <w:r w:rsidRPr="00132C1E">
              <w:t>is the flange width of the cross section (</w:t>
            </w:r>
            <w:r w:rsidRPr="000F2AFF">
              <w:rPr>
                <w:color w:val="000000" w:themeColor="text1"/>
              </w:rPr>
              <w:t>see Figure 12.3);</w:t>
            </w:r>
          </w:p>
        </w:tc>
      </w:tr>
      <w:tr w:rsidR="000F2AFF" w:rsidRPr="000F2AFF" w14:paraId="649797C6" w14:textId="77777777" w:rsidTr="002E3AAB">
        <w:tc>
          <w:tcPr>
            <w:tcW w:w="1275" w:type="dxa"/>
          </w:tcPr>
          <w:p w14:paraId="1EEC2952" w14:textId="657D6F90" w:rsidR="000F2AFF" w:rsidRPr="000F2AFF" w:rsidRDefault="000F2AFF" w:rsidP="002061E5">
            <w:pPr>
              <w:spacing w:after="60"/>
              <w:jc w:val="left"/>
              <w:rPr>
                <w:i/>
                <w:iCs/>
                <w:color w:val="000000" w:themeColor="text1"/>
              </w:rPr>
            </w:pPr>
            <w:r w:rsidRPr="00132C1E">
              <w:rPr>
                <w:i/>
                <w:iCs/>
              </w:rPr>
              <w:t>t</w:t>
            </w:r>
            <w:r w:rsidRPr="00132C1E">
              <w:rPr>
                <w:vertAlign w:val="subscript"/>
              </w:rPr>
              <w:t>f</w:t>
            </w:r>
          </w:p>
        </w:tc>
        <w:tc>
          <w:tcPr>
            <w:tcW w:w="7938" w:type="dxa"/>
          </w:tcPr>
          <w:p w14:paraId="64F9F778" w14:textId="6497FC89" w:rsidR="000F2AFF" w:rsidRPr="000F2AFF" w:rsidRDefault="000F2AFF" w:rsidP="002061E5">
            <w:pPr>
              <w:spacing w:after="60"/>
              <w:rPr>
                <w:color w:val="000000" w:themeColor="text1"/>
              </w:rPr>
            </w:pPr>
            <w:r w:rsidRPr="000F2AFF">
              <w:rPr>
                <w:color w:val="000000" w:themeColor="text1"/>
              </w:rPr>
              <w:t>is the flange thickness of the cross section (see Figure 12.3).</w:t>
            </w:r>
          </w:p>
        </w:tc>
      </w:tr>
    </w:tbl>
    <w:p w14:paraId="424FC846" w14:textId="12FB47C3" w:rsidR="000F2AFF" w:rsidRDefault="000F2AFF" w:rsidP="00724E4E">
      <w:pPr>
        <w:pStyle w:val="Clause"/>
      </w:pPr>
      <w:r>
        <w:t>In critical regions, the distance between consecutive longitudinal rebars restrained by hoop bends or cross-ties should not exceed 250 mm in DC2 or 200 mm in DC3.</w:t>
      </w:r>
    </w:p>
    <w:p w14:paraId="09C30378" w14:textId="135D14CA" w:rsidR="000F2AFF" w:rsidRDefault="000F2AFF" w:rsidP="00724E4E">
      <w:pPr>
        <w:pStyle w:val="Clause"/>
      </w:pPr>
      <w:r>
        <w:t xml:space="preserve">In the lower two storeys of a building, hoops in accordance with (7), (8) and (9) should be provided beyond the critical regions for an additional length equal to 0,50 </w:t>
      </w:r>
      <w:r w:rsidRPr="001E26B6">
        <w:rPr>
          <w:i/>
          <w:iCs/>
        </w:rPr>
        <w:t>l</w:t>
      </w:r>
      <w:r w:rsidRPr="001E26B6">
        <w:rPr>
          <w:vertAlign w:val="subscript"/>
        </w:rPr>
        <w:t>cr</w:t>
      </w:r>
      <w:r>
        <w:t>.</w:t>
      </w:r>
    </w:p>
    <w:p w14:paraId="1968C480" w14:textId="1DFB0E87" w:rsidR="000F2AFF" w:rsidRDefault="000F2AFF" w:rsidP="00724E4E">
      <w:pPr>
        <w:pStyle w:val="Clause"/>
      </w:pPr>
      <w:r>
        <w:t>Dissipative fully encased composite columns should conform to 12.8.3.</w:t>
      </w:r>
    </w:p>
    <w:p w14:paraId="634714ED" w14:textId="74BAFDAD" w:rsidR="000F2AFF" w:rsidRDefault="000F2AFF" w:rsidP="00724E4E">
      <w:pPr>
        <w:pStyle w:val="Clause"/>
      </w:pPr>
      <w:r>
        <w:t xml:space="preserve">The longitudinal spacing </w:t>
      </w:r>
      <w:r w:rsidRPr="0088232B">
        <w:rPr>
          <w:i/>
          <w:iCs/>
        </w:rPr>
        <w:t>s</w:t>
      </w:r>
      <w:r>
        <w:t xml:space="preserve"> of confining hoops should be smaller than half the flange outstand </w:t>
      </w:r>
      <w:r w:rsidRPr="0088232B">
        <w:rPr>
          <w:i/>
          <w:iCs/>
        </w:rPr>
        <w:t>c</w:t>
      </w:r>
      <w:r>
        <w:t xml:space="preserve"> (see Figure 12.3). If </w:t>
      </w:r>
      <w:r w:rsidRPr="0088232B">
        <w:rPr>
          <w:i/>
          <w:iCs/>
        </w:rPr>
        <w:t>s</w:t>
      </w:r>
      <w:r>
        <w:t xml:space="preserve"> is such that 0,5&lt;</w:t>
      </w:r>
      <w:r w:rsidRPr="0088232B">
        <w:rPr>
          <w:i/>
          <w:iCs/>
        </w:rPr>
        <w:t>s</w:t>
      </w:r>
      <w:r w:rsidRPr="0088232B">
        <w:t>⁄</w:t>
      </w:r>
      <w:r w:rsidRPr="0088232B">
        <w:rPr>
          <w:i/>
          <w:iCs/>
        </w:rPr>
        <w:t>c</w:t>
      </w:r>
      <w:r>
        <w:t>&lt;1,0, the limits in Table 12.4 should be decreased by 50</w:t>
      </w:r>
      <w:r w:rsidR="002E3AAB">
        <w:t> </w:t>
      </w:r>
      <w:r>
        <w:t>%.</w:t>
      </w:r>
    </w:p>
    <w:p w14:paraId="38FAAB4E" w14:textId="628416DC" w:rsidR="000F2AFF" w:rsidRDefault="000F2AFF" w:rsidP="000F2AFF">
      <w:pPr>
        <w:pStyle w:val="Notetext"/>
      </w:pPr>
      <w:r>
        <w:t>NOTE</w:t>
      </w:r>
      <w:r>
        <w:tab/>
        <w:t xml:space="preserve">The flange outstand </w:t>
      </w:r>
      <w:r w:rsidRPr="0088232B">
        <w:rPr>
          <w:i/>
          <w:iCs/>
        </w:rPr>
        <w:t>c</w:t>
      </w:r>
      <w:r>
        <w:t xml:space="preserve"> is defined in Figure 12.3.</w:t>
      </w:r>
    </w:p>
    <w:p w14:paraId="038A95B3" w14:textId="3C885085" w:rsidR="000F2AFF" w:rsidRDefault="000F2AFF" w:rsidP="00724E4E">
      <w:pPr>
        <w:pStyle w:val="Clause"/>
      </w:pPr>
      <w:r>
        <w:t xml:space="preserve">The reinforcement ratio for continuous longitudinal reinforcing, </w:t>
      </w:r>
      <w:r w:rsidRPr="0088232B">
        <w:rPr>
          <w:i/>
          <w:iCs/>
        </w:rPr>
        <w:t>ρ</w:t>
      </w:r>
      <w:r w:rsidRPr="0088232B">
        <w:rPr>
          <w:vertAlign w:val="subscript"/>
        </w:rPr>
        <w:t>sl</w:t>
      </w:r>
      <w:r>
        <w:t>, should not be smaller than 0,004.</w:t>
      </w:r>
    </w:p>
    <w:p w14:paraId="769D96A4" w14:textId="77777777" w:rsidR="000F2AFF" w:rsidRDefault="000F2AFF" w:rsidP="00F55A51">
      <w:pPr>
        <w:pStyle w:val="Heading4"/>
      </w:pPr>
      <w:r>
        <w:t>Partially encased composite columns</w:t>
      </w:r>
    </w:p>
    <w:p w14:paraId="16A90EA3" w14:textId="33050FBE" w:rsidR="000F2AFF" w:rsidRDefault="000F2AFF" w:rsidP="0080187E">
      <w:pPr>
        <w:pStyle w:val="Clause"/>
        <w:numPr>
          <w:ilvl w:val="0"/>
          <w:numId w:val="159"/>
        </w:numPr>
      </w:pPr>
      <w:r>
        <w:t xml:space="preserve">The spacing of transverse reinforcement s should satisfy </w:t>
      </w:r>
      <w:r w:rsidRPr="00D46D6D">
        <w:rPr>
          <w:bCs/>
        </w:rPr>
        <w:t>12.8.7.2(5)</w:t>
      </w:r>
      <w:r>
        <w:t xml:space="preserve"> over a length greater or equal to </w:t>
      </w:r>
      <w:r w:rsidR="00F55A51" w:rsidRPr="001E26B6">
        <w:rPr>
          <w:i/>
          <w:iCs/>
        </w:rPr>
        <w:t>l</w:t>
      </w:r>
      <w:r w:rsidR="00F55A51" w:rsidRPr="001E26B6">
        <w:rPr>
          <w:vertAlign w:val="subscript"/>
        </w:rPr>
        <w:t>cr</w:t>
      </w:r>
      <w:r>
        <w:t xml:space="preserve"> at the ends of a member. In DC3, </w:t>
      </w:r>
      <w:r w:rsidRPr="00D46D6D">
        <w:rPr>
          <w:bCs/>
        </w:rPr>
        <w:t>12.8.7.2(6)</w:t>
      </w:r>
      <w:r>
        <w:t xml:space="preserve"> should be applied for confining hoops near a column base.</w:t>
      </w:r>
    </w:p>
    <w:p w14:paraId="6EA33CD5" w14:textId="19A86EB5" w:rsidR="000F2AFF" w:rsidRDefault="000F2AFF" w:rsidP="00724E4E">
      <w:pPr>
        <w:pStyle w:val="Clause"/>
      </w:pPr>
      <w:r>
        <w:t>If longitudinal rebars are present, the straight links may be welded to these, as shown in Figure 12.3.</w:t>
      </w:r>
    </w:p>
    <w:p w14:paraId="0761AB5F" w14:textId="3C219EB4" w:rsidR="000F2AFF" w:rsidRDefault="000F2AFF" w:rsidP="00724E4E">
      <w:pPr>
        <w:pStyle w:val="Clause"/>
      </w:pPr>
      <w:r>
        <w:t xml:space="preserve">The yield strength of the welds of the straight links in </w:t>
      </w:r>
      <w:r w:rsidRPr="00D46D6D">
        <w:rPr>
          <w:bCs/>
        </w:rPr>
        <w:t>(2)</w:t>
      </w:r>
      <w:r>
        <w:t xml:space="preserve"> should not be less than the yield strength of the straight links.</w:t>
      </w:r>
    </w:p>
    <w:p w14:paraId="48F815E1" w14:textId="1608BEC5" w:rsidR="000F2AFF" w:rsidRDefault="000F2AFF" w:rsidP="00724E4E">
      <w:pPr>
        <w:pStyle w:val="Clause"/>
      </w:pPr>
      <w:r>
        <w:t xml:space="preserve">The minimum </w:t>
      </w:r>
      <w:r w:rsidR="00485617">
        <w:t>diameter</w:t>
      </w:r>
      <w:r>
        <w:t xml:space="preserve"> </w:t>
      </w:r>
      <w:r w:rsidR="00485617" w:rsidRPr="00132C1E">
        <w:rPr>
          <w:i/>
          <w:iCs/>
        </w:rPr>
        <w:t>d</w:t>
      </w:r>
      <w:r w:rsidR="00485617" w:rsidRPr="00132C1E">
        <w:rPr>
          <w:vertAlign w:val="subscript"/>
        </w:rPr>
        <w:t>bw</w:t>
      </w:r>
      <w:r>
        <w:t xml:space="preserve"> of the straight links in </w:t>
      </w:r>
      <w:r w:rsidRPr="00D46D6D">
        <w:rPr>
          <w:bCs/>
        </w:rPr>
        <w:t>(2)</w:t>
      </w:r>
      <w:r>
        <w:t xml:space="preserve"> should satisfy Formula (12.12).</w:t>
      </w:r>
    </w:p>
    <w:p w14:paraId="706C45AE" w14:textId="526CAF35" w:rsidR="000F2AFF" w:rsidRDefault="000F2AFF" w:rsidP="00724E4E">
      <w:pPr>
        <w:pStyle w:val="Clause"/>
      </w:pPr>
      <w:r>
        <w:t xml:space="preserve">The clear concrete cover of straight links in </w:t>
      </w:r>
      <w:r w:rsidRPr="00D46D6D">
        <w:rPr>
          <w:bCs/>
        </w:rPr>
        <w:t>(2)</w:t>
      </w:r>
      <w:r>
        <w:t xml:space="preserve"> should not be smaller than 20 mm and not greater than 40 mm. </w:t>
      </w:r>
    </w:p>
    <w:p w14:paraId="04BA2877" w14:textId="2BFE5B40" w:rsidR="000F2AFF" w:rsidRDefault="000F2AFF" w:rsidP="00724E4E">
      <w:pPr>
        <w:pStyle w:val="Clause"/>
      </w:pPr>
      <w:r w:rsidRPr="00D46D6D">
        <w:rPr>
          <w:bCs/>
        </w:rPr>
        <w:t>12.8.7.2(12)</w:t>
      </w:r>
      <w:r>
        <w:t xml:space="preserve"> should be applied.</w:t>
      </w:r>
    </w:p>
    <w:p w14:paraId="74AF0145" w14:textId="44A2DCDE" w:rsidR="000F2AFF" w:rsidRDefault="000F2AFF" w:rsidP="00724E4E">
      <w:pPr>
        <w:pStyle w:val="Clause"/>
      </w:pPr>
      <w:r>
        <w:t xml:space="preserve">If the longitudinal spacing </w:t>
      </w:r>
      <w:r w:rsidR="00485617" w:rsidRPr="00132C1E">
        <w:rPr>
          <w:i/>
          <w:iCs/>
        </w:rPr>
        <w:t>s</w:t>
      </w:r>
      <w:r w:rsidR="00485617" w:rsidRPr="00132C1E">
        <w:rPr>
          <w:vertAlign w:val="subscript"/>
        </w:rPr>
        <w:t>l</w:t>
      </w:r>
      <w:r>
        <w:t xml:space="preserve"> of straight links welded to the inside of the flanges is smaller than one half of the flange outstand </w:t>
      </w:r>
      <w:r w:rsidRPr="00485617">
        <w:rPr>
          <w:i/>
          <w:iCs/>
        </w:rPr>
        <w:t xml:space="preserve">c </w:t>
      </w:r>
      <w:r>
        <w:t xml:space="preserve">(see Figure 12.3a), then the spacing </w:t>
      </w:r>
      <w:r w:rsidRPr="00485617">
        <w:rPr>
          <w:i/>
          <w:iCs/>
        </w:rPr>
        <w:t>s</w:t>
      </w:r>
      <w:r>
        <w:t xml:space="preserve"> of the confining hoops in </w:t>
      </w:r>
      <w:r w:rsidRPr="00D46D6D">
        <w:rPr>
          <w:bCs/>
        </w:rPr>
        <w:t>12.8.7.2(12)</w:t>
      </w:r>
      <w:r>
        <w:t xml:space="preserve"> may be increased by 50</w:t>
      </w:r>
      <w:r w:rsidR="002E3AAB">
        <w:t> </w:t>
      </w:r>
      <w:r>
        <w:t>%.</w:t>
      </w:r>
    </w:p>
    <w:p w14:paraId="78D09C10" w14:textId="3BB7A080" w:rsidR="000F2AFF" w:rsidRDefault="000F2AFF" w:rsidP="00724E4E">
      <w:pPr>
        <w:pStyle w:val="Clause"/>
      </w:pPr>
      <w:r>
        <w:t>If the transfer of longitudinal shear between the steel and reinforced concrete parts of the composite cross section is not verified, the moment resistance should be taken equal to that of the steel cross section alone; else, the moment resistance should be taken equal to that of the composite cross section.</w:t>
      </w:r>
    </w:p>
    <w:p w14:paraId="76001682" w14:textId="77777777" w:rsidR="000F2AFF" w:rsidRDefault="000F2AFF" w:rsidP="00485617">
      <w:pPr>
        <w:pStyle w:val="Heading4"/>
      </w:pPr>
      <w:r>
        <w:lastRenderedPageBreak/>
        <w:t>Filled composite columns</w:t>
      </w:r>
    </w:p>
    <w:p w14:paraId="7C6C6D70" w14:textId="4FEE966D" w:rsidR="000F2AFF" w:rsidRDefault="000F2AFF" w:rsidP="0080187E">
      <w:pPr>
        <w:pStyle w:val="Clause"/>
        <w:numPr>
          <w:ilvl w:val="0"/>
          <w:numId w:val="160"/>
        </w:numPr>
      </w:pPr>
      <w:r>
        <w:t xml:space="preserve">The condition on the reinforcing steel contribution ratio of encased composite columns </w:t>
      </w:r>
      <w:r w:rsidRPr="0088232B">
        <w:rPr>
          <w:i/>
          <w:iCs/>
        </w:rPr>
        <w:t>δ</w:t>
      </w:r>
      <w:r>
        <w:t xml:space="preserve"> as defined in </w:t>
      </w:r>
      <w:r w:rsidR="00A76494">
        <w:t>prEN 1994-1-1:</w:t>
      </w:r>
      <w:r w:rsidR="0078003E">
        <w:t>—</w:t>
      </w:r>
      <w:r>
        <w:t xml:space="preserve">, </w:t>
      </w:r>
      <w:r w:rsidRPr="00D46D6D">
        <w:rPr>
          <w:bCs/>
        </w:rPr>
        <w:t>6.7</w:t>
      </w:r>
      <w:r>
        <w:t>, should be satisfied.</w:t>
      </w:r>
    </w:p>
    <w:p w14:paraId="66AF5766" w14:textId="433AABDE" w:rsidR="000F2AFF" w:rsidRDefault="000F2AFF" w:rsidP="0080187E">
      <w:pPr>
        <w:pStyle w:val="Clause"/>
        <w:numPr>
          <w:ilvl w:val="0"/>
          <w:numId w:val="160"/>
        </w:numPr>
      </w:pPr>
      <w:r>
        <w:t>Longitudinal reinforcement may be omitted. If longitudinal reinforcement is provided, internal transverse reinforcement may be omitted.</w:t>
      </w:r>
    </w:p>
    <w:p w14:paraId="6FB8CBAE" w14:textId="6C8AB575" w:rsidR="000F2AFF" w:rsidRDefault="000F2AFF" w:rsidP="0080187E">
      <w:pPr>
        <w:pStyle w:val="Clause"/>
        <w:numPr>
          <w:ilvl w:val="0"/>
          <w:numId w:val="160"/>
        </w:numPr>
      </w:pPr>
      <w:r>
        <w:t xml:space="preserve">The shear resistance of non-dissipative filled composite columns should be </w:t>
      </w:r>
      <w:r w:rsidR="008E4658">
        <w:t>calculat</w:t>
      </w:r>
      <w:r>
        <w:t>ed</w:t>
      </w:r>
      <w:r w:rsidR="008E4658">
        <w:t xml:space="preserve"> as given</w:t>
      </w:r>
      <w:r>
        <w:t xml:space="preserve"> in </w:t>
      </w:r>
      <w:r w:rsidR="00A76494">
        <w:t>prEN 1994-1-1:</w:t>
      </w:r>
      <w:r w:rsidR="0078003E">
        <w:t>—</w:t>
      </w:r>
      <w:r w:rsidRPr="00D46D6D">
        <w:rPr>
          <w:bCs/>
        </w:rPr>
        <w:t xml:space="preserve">, </w:t>
      </w:r>
      <w:r w:rsidR="008E4658">
        <w:t>8.2.2.2.</w:t>
      </w:r>
    </w:p>
    <w:p w14:paraId="1F6AB412" w14:textId="1D80891A" w:rsidR="000F2AFF" w:rsidRDefault="000F2AFF" w:rsidP="00724E4E">
      <w:pPr>
        <w:pStyle w:val="Clause"/>
      </w:pPr>
      <w:r>
        <w:t>The shear resistance of dissipative filled composite columns should be determined on the basis of either the structural steel cross section or the reinforced concrete cross section with the steel hollow structural section taken only as shear reinforcement.</w:t>
      </w:r>
    </w:p>
    <w:p w14:paraId="5B8AD2B5" w14:textId="5539FA86" w:rsidR="000F2AFF" w:rsidRDefault="000F2AFF" w:rsidP="004A2C9B">
      <w:pPr>
        <w:pStyle w:val="Heading3"/>
      </w:pPr>
      <w:bookmarkStart w:id="10164" w:name="_Toc134198035"/>
      <w:r>
        <w:t>Verification of composite joints in dissipative zones</w:t>
      </w:r>
      <w:bookmarkEnd w:id="10164"/>
    </w:p>
    <w:p w14:paraId="77C23E1F" w14:textId="366E50BC" w:rsidR="000F2AFF" w:rsidRDefault="000F2AFF" w:rsidP="0080187E">
      <w:pPr>
        <w:pStyle w:val="Clause"/>
        <w:numPr>
          <w:ilvl w:val="0"/>
          <w:numId w:val="161"/>
        </w:numPr>
      </w:pPr>
      <w:r>
        <w:t>The design of composite joints should limit local</w:t>
      </w:r>
      <w:r w:rsidR="00E10A24">
        <w:t>iza</w:t>
      </w:r>
      <w:r>
        <w:t>tion of plastic strains, high residual stresses and fabrication defects. The integrity of the concrete in compression should be maintained in the seismic design situation; yielding should be limited to the steel cross sections.</w:t>
      </w:r>
    </w:p>
    <w:p w14:paraId="71D61954" w14:textId="301F8831" w:rsidR="000F2AFF" w:rsidRDefault="000F2AFF" w:rsidP="00724E4E">
      <w:pPr>
        <w:pStyle w:val="Clause"/>
      </w:pPr>
      <w:r w:rsidRPr="00D46D6D">
        <w:rPr>
          <w:bCs/>
        </w:rPr>
        <w:t>11.8.6(2)</w:t>
      </w:r>
      <w:r>
        <w:t xml:space="preserve"> and </w:t>
      </w:r>
      <w:r w:rsidRPr="00D46D6D">
        <w:rPr>
          <w:bCs/>
        </w:rPr>
        <w:t>11.8.6(3)</w:t>
      </w:r>
      <w:r>
        <w:t xml:space="preserve"> should be applied.</w:t>
      </w:r>
    </w:p>
    <w:p w14:paraId="3D96A546" w14:textId="3C4EA1B7" w:rsidR="000F2AFF" w:rsidRDefault="000F2AFF" w:rsidP="00724E4E">
      <w:pPr>
        <w:pStyle w:val="Clause"/>
      </w:pPr>
      <w:r>
        <w:t xml:space="preserve">In DC3, unless otherwise specified in Annex G, </w:t>
      </w:r>
      <w:r w:rsidRPr="00D46D6D">
        <w:rPr>
          <w:bCs/>
        </w:rPr>
        <w:t>11.8.6(4)</w:t>
      </w:r>
      <w:r>
        <w:t xml:space="preserve"> should be applied to composite connections in dissipative zones. </w:t>
      </w:r>
      <w:r w:rsidR="004A2C9B" w:rsidRPr="00132C1E">
        <w:rPr>
          <w:i/>
        </w:rPr>
        <w:t>ω</w:t>
      </w:r>
      <w:r w:rsidR="004A2C9B" w:rsidRPr="00132C1E">
        <w:rPr>
          <w:rFonts w:eastAsiaTheme="minorHAnsi"/>
          <w:vertAlign w:val="subscript"/>
        </w:rPr>
        <w:t>rm</w:t>
      </w:r>
      <w:r w:rsidR="004A2C9B" w:rsidRPr="00132C1E">
        <w:rPr>
          <w:rFonts w:eastAsiaTheme="minorHAnsi"/>
        </w:rPr>
        <w:t xml:space="preserve"> and </w:t>
      </w:r>
      <w:r w:rsidR="004A2C9B" w:rsidRPr="00132C1E">
        <w:rPr>
          <w:i/>
        </w:rPr>
        <w:t>ω</w:t>
      </w:r>
      <w:r w:rsidR="004A2C9B" w:rsidRPr="00132C1E">
        <w:rPr>
          <w:rFonts w:eastAsiaTheme="minorHAnsi"/>
          <w:vertAlign w:val="subscript"/>
        </w:rPr>
        <w:t>sh</w:t>
      </w:r>
      <w:r w:rsidR="004A2C9B" w:rsidRPr="00132C1E">
        <w:rPr>
          <w:rFonts w:eastAsiaTheme="minorHAnsi"/>
        </w:rPr>
        <w:t xml:space="preserve"> </w:t>
      </w:r>
      <w:r>
        <w:t xml:space="preserve">should be considered in the calculation of </w:t>
      </w:r>
      <w:r w:rsidR="004A2C9B" w:rsidRPr="00132C1E">
        <w:rPr>
          <w:rFonts w:eastAsiaTheme="minorHAnsi"/>
          <w:i/>
          <w:iCs/>
        </w:rPr>
        <w:t>f</w:t>
      </w:r>
      <w:r w:rsidR="004A2C9B" w:rsidRPr="00132C1E">
        <w:rPr>
          <w:rFonts w:eastAsiaTheme="minorHAnsi"/>
          <w:vertAlign w:val="subscript"/>
        </w:rPr>
        <w:t>y</w:t>
      </w:r>
      <w:r>
        <w:t xml:space="preserve"> in </w:t>
      </w:r>
      <w:r w:rsidRPr="00D46D6D">
        <w:rPr>
          <w:bCs/>
        </w:rPr>
        <w:t>11.8.6(2)</w:t>
      </w:r>
      <w:r>
        <w:t>.</w:t>
      </w:r>
    </w:p>
    <w:p w14:paraId="574F4EB6" w14:textId="46A77361" w:rsidR="000F2AFF" w:rsidRDefault="000F2AFF" w:rsidP="00724E4E">
      <w:pPr>
        <w:pStyle w:val="Clause"/>
      </w:pPr>
      <w:r w:rsidRPr="00D46D6D">
        <w:rPr>
          <w:bCs/>
        </w:rPr>
        <w:t>11.8.6(5)</w:t>
      </w:r>
      <w:r>
        <w:t xml:space="preserve"> and </w:t>
      </w:r>
      <w:r w:rsidRPr="00D46D6D">
        <w:rPr>
          <w:bCs/>
        </w:rPr>
        <w:t>11.8.6(6)</w:t>
      </w:r>
      <w:r>
        <w:t xml:space="preserve"> should be applied for the design of bolted joints in shear.</w:t>
      </w:r>
    </w:p>
    <w:p w14:paraId="188B859E" w14:textId="696AB303" w:rsidR="000F2AFF" w:rsidRDefault="000F2AFF" w:rsidP="00724E4E">
      <w:pPr>
        <w:pStyle w:val="Clause"/>
      </w:pPr>
      <w:r w:rsidRPr="00D46D6D">
        <w:rPr>
          <w:bCs/>
        </w:rPr>
        <w:t>11.8.6(6)</w:t>
      </w:r>
      <w:r>
        <w:t xml:space="preserve"> should be applied for the design of hybrid joints with both bolts and welds either in shear or in tension.</w:t>
      </w:r>
    </w:p>
    <w:p w14:paraId="3B91CEA6" w14:textId="7D88F7C8" w:rsidR="000F2AFF" w:rsidRDefault="000F2AFF" w:rsidP="00724E4E">
      <w:pPr>
        <w:pStyle w:val="Clause"/>
      </w:pPr>
      <w:r>
        <w:t xml:space="preserve">In dissipative zones of composite steel beams with slab, </w:t>
      </w:r>
      <w:r w:rsidRPr="00D46D6D">
        <w:rPr>
          <w:bCs/>
        </w:rPr>
        <w:t>12.8.6.2</w:t>
      </w:r>
      <w:r>
        <w:t xml:space="preserve"> should be satisfied.</w:t>
      </w:r>
    </w:p>
    <w:p w14:paraId="63B17E62" w14:textId="77D48675" w:rsidR="000F2AFF" w:rsidRDefault="000F2AFF" w:rsidP="00724E4E">
      <w:pPr>
        <w:pStyle w:val="Clause"/>
      </w:pPr>
      <w:r>
        <w:t>Design of the reinforcing rebars needed in the concrete of the joint region should use models that satisfy joint equilibrium (e.g. Annex I for slabs).</w:t>
      </w:r>
    </w:p>
    <w:p w14:paraId="2B4A6BC4" w14:textId="375C5361" w:rsidR="000F2AFF" w:rsidRDefault="000F2AFF" w:rsidP="00724E4E">
      <w:pPr>
        <w:pStyle w:val="Clause"/>
      </w:pPr>
      <w:r>
        <w:t>The resistance and ductility of members and their connections other than those covered by Annex G should be demonstrated by tests.</w:t>
      </w:r>
    </w:p>
    <w:p w14:paraId="611502D6" w14:textId="11DF727D" w:rsidR="000F2AFF" w:rsidRDefault="000F2AFF" w:rsidP="004A2C9B">
      <w:pPr>
        <w:pStyle w:val="Notetext"/>
      </w:pPr>
      <w:r>
        <w:t>NOTE</w:t>
      </w:r>
      <w:r>
        <w:tab/>
        <w:t>prCEN/TS</w:t>
      </w:r>
      <w:r w:rsidR="0088232B">
        <w:t> </w:t>
      </w:r>
      <w:r>
        <w:t>1998-</w:t>
      </w:r>
      <w:r w:rsidR="00460A67">
        <w:t xml:space="preserve">1-101 </w:t>
      </w:r>
      <w:r>
        <w:t>gives a loading protocol and acceptance criteria for such tests.</w:t>
      </w:r>
    </w:p>
    <w:p w14:paraId="7E1AB444" w14:textId="4EA9C75D" w:rsidR="000F2AFF" w:rsidRDefault="000F2AFF" w:rsidP="00724E4E">
      <w:pPr>
        <w:pStyle w:val="Clause"/>
      </w:pPr>
      <w:r>
        <w:t xml:space="preserve">Composite connections between steel and/or composite steel beams and reinforced concrete or composite columns should comply with Annex G, </w:t>
      </w:r>
      <w:r w:rsidRPr="00D46D6D">
        <w:rPr>
          <w:bCs/>
        </w:rPr>
        <w:t>G.5</w:t>
      </w:r>
      <w:r>
        <w:t>.</w:t>
      </w:r>
    </w:p>
    <w:p w14:paraId="61827D73" w14:textId="0E9ED1A0" w:rsidR="000F2AFF" w:rsidRDefault="000F2AFF" w:rsidP="00724E4E">
      <w:pPr>
        <w:pStyle w:val="Clause"/>
      </w:pPr>
      <w:r>
        <w:t>Composite connections between steel and/or composite steel beams and steel columns should comply with Annex E for composite - steel moment resisting frames.</w:t>
      </w:r>
    </w:p>
    <w:p w14:paraId="6613A294" w14:textId="06ABEC70" w:rsidR="000F2AFF" w:rsidRDefault="000F2AFF" w:rsidP="00724E4E">
      <w:pPr>
        <w:pStyle w:val="Clause"/>
      </w:pPr>
      <w:r>
        <w:t xml:space="preserve">Composite connections using diaphragm plates should comply with Annex G, </w:t>
      </w:r>
      <w:r w:rsidRPr="00D46D6D">
        <w:rPr>
          <w:bCs/>
        </w:rPr>
        <w:t>G.6</w:t>
      </w:r>
      <w:r>
        <w:t>.</w:t>
      </w:r>
    </w:p>
    <w:p w14:paraId="1A5106FF" w14:textId="730BB6F6" w:rsidR="000F2AFF" w:rsidRDefault="000F2AFF" w:rsidP="00724E4E">
      <w:pPr>
        <w:pStyle w:val="Clause"/>
      </w:pPr>
      <w:r>
        <w:t xml:space="preserve">Composite connections with double-split tees in filled composite columns should comply with Annex G, </w:t>
      </w:r>
      <w:r w:rsidRPr="00D46D6D">
        <w:rPr>
          <w:bCs/>
        </w:rPr>
        <w:t>G.7</w:t>
      </w:r>
      <w:r>
        <w:t>.</w:t>
      </w:r>
    </w:p>
    <w:p w14:paraId="31862873" w14:textId="2E4BC558" w:rsidR="000F2AFF" w:rsidRDefault="000F2AFF" w:rsidP="00724E4E">
      <w:pPr>
        <w:pStyle w:val="Clause"/>
      </w:pPr>
      <w:r>
        <w:lastRenderedPageBreak/>
        <w:t>In DC2 and DC3, past test results available in the literature and/or refined numerical simulations as defined in pr</w:t>
      </w:r>
      <w:r w:rsidR="00C30FF9">
        <w:t>EN 1</w:t>
      </w:r>
      <w:r>
        <w:t>993-1-14</w:t>
      </w:r>
      <w:r w:rsidR="00161629">
        <w:t xml:space="preserve"> </w:t>
      </w:r>
      <w:r>
        <w:t>may be used to verify the designed full-strength and partial-strength composite connections in or adjacent to dissipative zones.</w:t>
      </w:r>
    </w:p>
    <w:p w14:paraId="02CA8605" w14:textId="1C85CB58" w:rsidR="000F2AFF" w:rsidRDefault="000F2AFF" w:rsidP="00724E4E">
      <w:pPr>
        <w:pStyle w:val="Clause"/>
      </w:pPr>
      <w:r>
        <w:t>Experimental validation for partial- or full-strength connections may be omitted if prequalified connections according to Annexes E and/or G are used.</w:t>
      </w:r>
    </w:p>
    <w:p w14:paraId="2E8410CF" w14:textId="15D8B6B4" w:rsidR="000F2AFF" w:rsidRDefault="000F2AFF" w:rsidP="00724E4E">
      <w:pPr>
        <w:pStyle w:val="Clause"/>
      </w:pPr>
      <w:r>
        <w:t>In DC2 and DC3, gusset plate connections of composite-steel frames with concentric bracings should be designed according to Annex E.</w:t>
      </w:r>
    </w:p>
    <w:p w14:paraId="1B85A860" w14:textId="06D7A7E6" w:rsidR="000F2AFF" w:rsidRDefault="000F2AFF" w:rsidP="004A2C9B">
      <w:pPr>
        <w:pStyle w:val="Notetext"/>
      </w:pPr>
      <w:r>
        <w:t>NOTE</w:t>
      </w:r>
      <w:r>
        <w:tab/>
        <w:t xml:space="preserve">Annex E provides complementary rules on seismic prequalification of beam-to-column joints and design rules for gusset plate connections of frames with bracings. Annex G provides complementary </w:t>
      </w:r>
      <w:r w:rsidR="004A2C9B" w:rsidRPr="004A2C9B">
        <w:rPr>
          <w:color w:val="000000" w:themeColor="text1"/>
          <w:sz w:val="22"/>
        </w:rPr>
        <w:t>rules</w:t>
      </w:r>
      <w:r>
        <w:t xml:space="preserve"> on seismic prequalification of full-strength composite beam-to-column joints.</w:t>
      </w:r>
    </w:p>
    <w:p w14:paraId="719926D1" w14:textId="77777777" w:rsidR="000F2AFF" w:rsidRDefault="000F2AFF" w:rsidP="004A2C9B">
      <w:pPr>
        <w:pStyle w:val="Heading3"/>
      </w:pPr>
      <w:bookmarkStart w:id="10165" w:name="_Toc134198036"/>
      <w:r>
        <w:t>Verification of column-to-column splices</w:t>
      </w:r>
      <w:bookmarkEnd w:id="10165"/>
    </w:p>
    <w:p w14:paraId="1B7305C2" w14:textId="6213AC29" w:rsidR="000F2AFF" w:rsidRDefault="000F2AFF" w:rsidP="0080187E">
      <w:pPr>
        <w:pStyle w:val="Clause"/>
        <w:numPr>
          <w:ilvl w:val="0"/>
          <w:numId w:val="162"/>
        </w:numPr>
      </w:pPr>
      <w:r>
        <w:t xml:space="preserve">In steel columns, splices should conform to </w:t>
      </w:r>
      <w:r w:rsidRPr="00D46D6D">
        <w:rPr>
          <w:bCs/>
        </w:rPr>
        <w:t>11.8.7</w:t>
      </w:r>
      <w:r>
        <w:t>.</w:t>
      </w:r>
    </w:p>
    <w:p w14:paraId="26B09142" w14:textId="30F446B0" w:rsidR="000F2AFF" w:rsidRDefault="000F2AFF" w:rsidP="00724E4E">
      <w:pPr>
        <w:pStyle w:val="Clause"/>
      </w:pPr>
      <w:r>
        <w:t xml:space="preserve">In reinforced concrete columns, anchorage and splices should conform to </w:t>
      </w:r>
      <w:r w:rsidRPr="00D46D6D">
        <w:rPr>
          <w:bCs/>
        </w:rPr>
        <w:t>10.6</w:t>
      </w:r>
      <w:r>
        <w:t>.</w:t>
      </w:r>
    </w:p>
    <w:p w14:paraId="5EC16A24" w14:textId="10F013C1" w:rsidR="000F2AFF" w:rsidRDefault="000F2AFF" w:rsidP="00724E4E">
      <w:pPr>
        <w:pStyle w:val="Clause"/>
      </w:pPr>
      <w:r>
        <w:t xml:space="preserve">In encased composite columns, splices should conform to </w:t>
      </w:r>
      <w:r w:rsidRPr="00D46D6D">
        <w:rPr>
          <w:bCs/>
        </w:rPr>
        <w:t>12.8.7.2</w:t>
      </w:r>
      <w:r>
        <w:t xml:space="preserve">, </w:t>
      </w:r>
      <w:r w:rsidRPr="00D46D6D">
        <w:rPr>
          <w:bCs/>
        </w:rPr>
        <w:t>11.8.7</w:t>
      </w:r>
      <w:r>
        <w:t xml:space="preserve"> and </w:t>
      </w:r>
      <w:r w:rsidRPr="00D46D6D">
        <w:rPr>
          <w:bCs/>
        </w:rPr>
        <w:t>10.6</w:t>
      </w:r>
      <w:r>
        <w:t>.</w:t>
      </w:r>
    </w:p>
    <w:p w14:paraId="3D11C6C3" w14:textId="6B2A745D" w:rsidR="000F2AFF" w:rsidRDefault="000F2AFF" w:rsidP="00724E4E">
      <w:pPr>
        <w:pStyle w:val="Clause"/>
      </w:pPr>
      <w:r>
        <w:t xml:space="preserve">In partially encased composite columns, splices should conform to </w:t>
      </w:r>
      <w:r w:rsidRPr="00D46D6D">
        <w:rPr>
          <w:bCs/>
        </w:rPr>
        <w:t>12.8.7.3</w:t>
      </w:r>
      <w:r>
        <w:t xml:space="preserve">, </w:t>
      </w:r>
      <w:r w:rsidRPr="00D46D6D">
        <w:rPr>
          <w:bCs/>
        </w:rPr>
        <w:t>11.8.7</w:t>
      </w:r>
      <w:r>
        <w:t xml:space="preserve"> and </w:t>
      </w:r>
      <w:r w:rsidRPr="00D46D6D">
        <w:rPr>
          <w:bCs/>
        </w:rPr>
        <w:t>10.6</w:t>
      </w:r>
      <w:r>
        <w:t>.</w:t>
      </w:r>
    </w:p>
    <w:p w14:paraId="6E02FEF4" w14:textId="197699E0" w:rsidR="000F2AFF" w:rsidRDefault="000F2AFF" w:rsidP="00724E4E">
      <w:pPr>
        <w:pStyle w:val="Clause"/>
      </w:pPr>
      <w:r>
        <w:t xml:space="preserve">In filled composite columns, splices should be bolted and should conform to </w:t>
      </w:r>
      <w:r w:rsidRPr="00D46D6D">
        <w:rPr>
          <w:bCs/>
        </w:rPr>
        <w:t>11.8.7</w:t>
      </w:r>
      <w:r>
        <w:t>. Bolts should be of grade 8</w:t>
      </w:r>
      <w:r w:rsidR="005053D5">
        <w:t>.</w:t>
      </w:r>
      <w:r>
        <w:t>8 or 10</w:t>
      </w:r>
      <w:r w:rsidR="005053D5">
        <w:t>.</w:t>
      </w:r>
      <w:r>
        <w:t>9 and preloaded. Controlled tightening should be used in accordance with pr</w:t>
      </w:r>
      <w:r w:rsidR="00C30FF9">
        <w:t>EN 1</w:t>
      </w:r>
      <w:r>
        <w:t>993</w:t>
      </w:r>
      <w:r w:rsidR="002E3AAB">
        <w:noBreakHyphen/>
      </w:r>
      <w:r>
        <w:t>1-8:2021,</w:t>
      </w:r>
      <w:r w:rsidR="008E4658">
        <w:t xml:space="preserve"> 5.1.2(1)</w:t>
      </w:r>
      <w:r w:rsidR="006E3F06">
        <w:t xml:space="preserve"> and clamped surfaces in contact should be treated as class A or class B in accordance with EN</w:t>
      </w:r>
      <w:r w:rsidR="005053D5">
        <w:t> </w:t>
      </w:r>
      <w:r w:rsidR="006E3F06">
        <w:t>1090-2.</w:t>
      </w:r>
    </w:p>
    <w:p w14:paraId="03FBC7DC" w14:textId="77777777" w:rsidR="000F2AFF" w:rsidRDefault="000F2AFF" w:rsidP="004A2C9B">
      <w:pPr>
        <w:pStyle w:val="Heading2"/>
      </w:pPr>
      <w:bookmarkStart w:id="10166" w:name="_Toc134198037"/>
      <w:r>
        <w:t>Design and detailing rules for composite moment resisting frames in DC2 and DC3</w:t>
      </w:r>
      <w:bookmarkEnd w:id="10166"/>
    </w:p>
    <w:p w14:paraId="6D2F0814" w14:textId="77777777" w:rsidR="000F2AFF" w:rsidRDefault="000F2AFF" w:rsidP="007F74E6">
      <w:pPr>
        <w:pStyle w:val="Heading3"/>
      </w:pPr>
      <w:bookmarkStart w:id="10167" w:name="_Toc134198038"/>
      <w:r>
        <w:t>Design criteria</w:t>
      </w:r>
      <w:bookmarkEnd w:id="10167"/>
    </w:p>
    <w:p w14:paraId="4055DA35" w14:textId="723FE6D0" w:rsidR="000F2AFF" w:rsidRDefault="000F2AFF" w:rsidP="0080187E">
      <w:pPr>
        <w:pStyle w:val="Clause"/>
        <w:numPr>
          <w:ilvl w:val="0"/>
          <w:numId w:val="163"/>
        </w:numPr>
      </w:pPr>
      <w:r>
        <w:t xml:space="preserve">In composite moment resisting frames with steel columns, </w:t>
      </w:r>
      <w:r w:rsidRPr="00D46D6D">
        <w:rPr>
          <w:bCs/>
        </w:rPr>
        <w:t>11.9.1</w:t>
      </w:r>
      <w:r>
        <w:t xml:space="preserve"> should be applied.</w:t>
      </w:r>
    </w:p>
    <w:p w14:paraId="1DCB8390" w14:textId="704D2F21" w:rsidR="000F2AFF" w:rsidRDefault="000F2AFF" w:rsidP="0080187E">
      <w:pPr>
        <w:pStyle w:val="Clause"/>
        <w:numPr>
          <w:ilvl w:val="0"/>
          <w:numId w:val="163"/>
        </w:numPr>
      </w:pPr>
      <w:r>
        <w:t>In DC3, composite moment resisting frames with composite columns should be designed so that plastic hinges form in the beams or in the connections of the beams to the columns, but not in the columns. This rule may be neglected in cases a) to c):</w:t>
      </w:r>
    </w:p>
    <w:p w14:paraId="0FDBA5E0" w14:textId="77777777" w:rsidR="007F74E6" w:rsidRPr="00D1484A" w:rsidRDefault="007F74E6" w:rsidP="0080187E">
      <w:pPr>
        <w:pStyle w:val="Text"/>
        <w:numPr>
          <w:ilvl w:val="0"/>
          <w:numId w:val="655"/>
        </w:numPr>
      </w:pPr>
      <w:r w:rsidRPr="00132C1E">
        <w:t xml:space="preserve">at the base of the frame in which </w:t>
      </w:r>
      <w:r w:rsidRPr="00B66C39">
        <w:rPr>
          <w:i/>
          <w:iCs/>
        </w:rPr>
        <w:t>N</w:t>
      </w:r>
      <w:r w:rsidRPr="00B66C39">
        <w:rPr>
          <w:vertAlign w:val="subscript"/>
        </w:rPr>
        <w:t>Ed</w:t>
      </w:r>
      <w:r w:rsidRPr="00B66C39">
        <w:rPr>
          <w:i/>
          <w:iCs/>
        </w:rPr>
        <w:t xml:space="preserve"> </w:t>
      </w:r>
      <w:r w:rsidRPr="00132C1E">
        <w:t xml:space="preserve">in primary composite columns satisfies: </w:t>
      </w:r>
      <m:oMath>
        <m:f>
          <m:fPr>
            <m:type m:val="lin"/>
            <m:ctrlPr>
              <w:rPr>
                <w:rFonts w:ascii="Cambria Math" w:hAnsi="Cambria Math"/>
                <w:i/>
              </w:rPr>
            </m:ctrlPr>
          </m:fPr>
          <m:num>
            <m:sSub>
              <m:sSubPr>
                <m:ctrlPr>
                  <w:rPr>
                    <w:rFonts w:ascii="Cambria Math" w:hAnsi="Cambria Math"/>
                    <w:i/>
                  </w:rPr>
                </m:ctrlPr>
              </m:sSubPr>
              <m:e>
                <m:r>
                  <w:rPr>
                    <w:rFonts w:ascii="Cambria Math" w:hAnsi="Cambria Math"/>
                  </w:rPr>
                  <m:t>N</m:t>
                </m:r>
              </m:e>
              <m:sub>
                <m:r>
                  <m:rPr>
                    <m:sty m:val="p"/>
                  </m:rPr>
                  <w:rPr>
                    <w:rFonts w:ascii="Cambria Math" w:hAnsi="Cambria Math"/>
                  </w:rPr>
                  <m:t>Ed</m:t>
                </m:r>
              </m:sub>
            </m:sSub>
          </m:num>
          <m:den>
            <m:sSub>
              <m:sSubPr>
                <m:ctrlPr>
                  <w:rPr>
                    <w:rFonts w:ascii="Cambria Math" w:hAnsi="Cambria Math"/>
                    <w:iCs/>
                  </w:rPr>
                </m:ctrlPr>
              </m:sSubPr>
              <m:e>
                <m:r>
                  <w:rPr>
                    <w:rFonts w:ascii="Cambria Math" w:hAnsi="Cambria Math"/>
                  </w:rPr>
                  <m:t>N</m:t>
                </m:r>
              </m:e>
              <m:sub>
                <m:r>
                  <m:rPr>
                    <m:sty m:val="p"/>
                  </m:rPr>
                  <w:rPr>
                    <w:rFonts w:ascii="Cambria Math" w:hAnsi="Cambria Math"/>
                  </w:rPr>
                  <m:t>pl,Rd</m:t>
                </m:r>
              </m:sub>
            </m:sSub>
          </m:den>
        </m:f>
        <m:r>
          <w:rPr>
            <w:rFonts w:ascii="Cambria Math" w:hAnsi="Cambria Math"/>
          </w:rPr>
          <m:t>≤0,75</m:t>
        </m:r>
      </m:oMath>
      <w:r w:rsidRPr="00D1484A">
        <w:t>;</w:t>
      </w:r>
    </w:p>
    <w:p w14:paraId="78773745" w14:textId="77777777" w:rsidR="007F74E6" w:rsidRPr="00FD17CF" w:rsidRDefault="007F74E6" w:rsidP="0080187E">
      <w:pPr>
        <w:pStyle w:val="Text"/>
        <w:numPr>
          <w:ilvl w:val="0"/>
          <w:numId w:val="655"/>
        </w:numPr>
      </w:pPr>
      <w:r w:rsidRPr="00D1484A">
        <w:t xml:space="preserve">at the top of </w:t>
      </w:r>
      <w:r w:rsidRPr="007E6F67">
        <w:t>primary composite columns in the upper storey of multi-storey buildings;</w:t>
      </w:r>
    </w:p>
    <w:p w14:paraId="10905B6A" w14:textId="706BF716" w:rsidR="007F74E6" w:rsidRPr="009C1FB7" w:rsidRDefault="007F74E6" w:rsidP="0080187E">
      <w:pPr>
        <w:pStyle w:val="Text"/>
        <w:numPr>
          <w:ilvl w:val="0"/>
          <w:numId w:val="655"/>
        </w:numPr>
        <w:rPr>
          <w:lang w:val="en-US"/>
        </w:rPr>
      </w:pPr>
      <w:r w:rsidRPr="00FD17CF">
        <w:t xml:space="preserve">at the top and bottom of primary composite columns in single storey buildings in which, </w:t>
      </w:r>
      <m:oMath>
        <m:sSub>
          <m:sSubPr>
            <m:ctrlPr>
              <w:rPr>
                <w:rFonts w:ascii="Cambria Math" w:hAnsi="Cambria Math"/>
                <w:i/>
              </w:rPr>
            </m:ctrlPr>
          </m:sSubPr>
          <m:e>
            <m:r>
              <w:rPr>
                <w:rFonts w:ascii="Cambria Math" w:hAnsi="Cambria Math"/>
              </w:rPr>
              <m:t>N</m:t>
            </m:r>
          </m:e>
          <m:sub>
            <m:r>
              <m:rPr>
                <m:sty m:val="p"/>
              </m:rPr>
              <w:rPr>
                <w:rFonts w:ascii="Cambria Math" w:hAnsi="Cambria Math"/>
              </w:rPr>
              <m:t>Ed</m:t>
            </m:r>
          </m:sub>
        </m:sSub>
      </m:oMath>
      <w:r w:rsidRPr="00132C1E">
        <w:t xml:space="preserve"> in primary composite columns satisfies </w:t>
      </w:r>
      <m:oMath>
        <m:f>
          <m:fPr>
            <m:type m:val="lin"/>
            <m:ctrlPr>
              <w:rPr>
                <w:rFonts w:ascii="Cambria Math" w:hAnsi="Cambria Math"/>
                <w:i/>
              </w:rPr>
            </m:ctrlPr>
          </m:fPr>
          <m:num>
            <m:sSub>
              <m:sSubPr>
                <m:ctrlPr>
                  <w:rPr>
                    <w:rFonts w:ascii="Cambria Math" w:hAnsi="Cambria Math"/>
                    <w:i/>
                  </w:rPr>
                </m:ctrlPr>
              </m:sSubPr>
              <m:e>
                <m:r>
                  <w:rPr>
                    <w:rFonts w:ascii="Cambria Math" w:hAnsi="Cambria Math"/>
                  </w:rPr>
                  <m:t>N</m:t>
                </m:r>
              </m:e>
              <m:sub>
                <m:r>
                  <m:rPr>
                    <m:sty m:val="p"/>
                  </m:rPr>
                  <w:rPr>
                    <w:rFonts w:ascii="Cambria Math" w:hAnsi="Cambria Math"/>
                  </w:rPr>
                  <m:t>Ed</m:t>
                </m:r>
              </m:sub>
            </m:sSub>
          </m:num>
          <m:den>
            <m:sSub>
              <m:sSubPr>
                <m:ctrlPr>
                  <w:rPr>
                    <w:rFonts w:ascii="Cambria Math" w:hAnsi="Cambria Math"/>
                    <w:iCs/>
                  </w:rPr>
                </m:ctrlPr>
              </m:sSubPr>
              <m:e>
                <m:r>
                  <w:rPr>
                    <w:rFonts w:ascii="Cambria Math" w:hAnsi="Cambria Math"/>
                  </w:rPr>
                  <m:t>N</m:t>
                </m:r>
              </m:e>
              <m:sub>
                <m:r>
                  <m:rPr>
                    <m:sty m:val="p"/>
                  </m:rPr>
                  <w:rPr>
                    <w:rFonts w:ascii="Cambria Math" w:hAnsi="Cambria Math"/>
                  </w:rPr>
                  <m:t>pl,Rd</m:t>
                </m:r>
              </m:sub>
            </m:sSub>
          </m:den>
        </m:f>
        <m:r>
          <w:rPr>
            <w:rFonts w:ascii="Cambria Math" w:hAnsi="Cambria Math"/>
          </w:rPr>
          <m:t>≤0,75</m:t>
        </m:r>
      </m:oMath>
      <w:r>
        <w:t xml:space="preserve">, </w:t>
      </w:r>
      <w:r w:rsidRPr="009C1FB7">
        <w:rPr>
          <w:lang w:val="en-US"/>
        </w:rPr>
        <w:t>where:</w:t>
      </w:r>
    </w:p>
    <w:tbl>
      <w:tblPr>
        <w:tblW w:w="0" w:type="auto"/>
        <w:tblInd w:w="346" w:type="dxa"/>
        <w:tblLook w:val="04A0" w:firstRow="1" w:lastRow="0" w:firstColumn="1" w:lastColumn="0" w:noHBand="0" w:noVBand="1"/>
      </w:tblPr>
      <w:tblGrid>
        <w:gridCol w:w="1275"/>
        <w:gridCol w:w="7938"/>
      </w:tblGrid>
      <w:tr w:rsidR="007F74E6" w:rsidRPr="000F2AFF" w14:paraId="3DB724C9" w14:textId="77777777" w:rsidTr="002E3AAB">
        <w:tc>
          <w:tcPr>
            <w:tcW w:w="1275" w:type="dxa"/>
          </w:tcPr>
          <w:p w14:paraId="4F6A751D" w14:textId="7D5766D2" w:rsidR="007F74E6" w:rsidRPr="000F2AFF" w:rsidRDefault="007F74E6" w:rsidP="002061E5">
            <w:pPr>
              <w:spacing w:after="60"/>
              <w:jc w:val="left"/>
              <w:rPr>
                <w:rFonts w:eastAsia="Times New Roman" w:cs="Cambria"/>
                <w:color w:val="000000" w:themeColor="text1"/>
                <w:szCs w:val="20"/>
                <w:lang w:eastAsia="fr-FR"/>
              </w:rPr>
            </w:pPr>
            <w:r w:rsidRPr="00644C3D">
              <w:rPr>
                <w:i/>
              </w:rPr>
              <w:t>N</w:t>
            </w:r>
            <w:r w:rsidRPr="00E05E29">
              <w:rPr>
                <w:vertAlign w:val="subscript"/>
              </w:rPr>
              <w:t>pl,Rd</w:t>
            </w:r>
          </w:p>
        </w:tc>
        <w:tc>
          <w:tcPr>
            <w:tcW w:w="7938" w:type="dxa"/>
          </w:tcPr>
          <w:p w14:paraId="421BC090" w14:textId="680A4F05" w:rsidR="007F74E6" w:rsidRPr="000F2AFF" w:rsidRDefault="007F74E6" w:rsidP="002061E5">
            <w:pPr>
              <w:spacing w:after="60"/>
              <w:rPr>
                <w:rFonts w:eastAsia="Times New Roman" w:cs="Cambria"/>
                <w:color w:val="000000" w:themeColor="text1"/>
                <w:szCs w:val="20"/>
                <w:lang w:eastAsia="fr-FR"/>
              </w:rPr>
            </w:pPr>
            <w:r w:rsidRPr="00132C1E">
              <w:t xml:space="preserve">is the plastic design resistance to compression of the composite cross section according to </w:t>
            </w:r>
            <w:r w:rsidR="00A76494">
              <w:rPr>
                <w:color w:val="000000" w:themeColor="text1"/>
              </w:rPr>
              <w:t>prEN 1994-1-1:</w:t>
            </w:r>
            <w:r w:rsidR="0078003E">
              <w:t>—</w:t>
            </w:r>
            <w:r w:rsidRPr="007F74E6">
              <w:rPr>
                <w:color w:val="000000" w:themeColor="text1"/>
              </w:rPr>
              <w:t>,</w:t>
            </w:r>
            <w:r w:rsidR="006E3F06">
              <w:rPr>
                <w:color w:val="000000" w:themeColor="text1"/>
              </w:rPr>
              <w:t xml:space="preserve"> 8.8.3.2</w:t>
            </w:r>
            <w:r w:rsidRPr="00132C1E">
              <w:t>;</w:t>
            </w:r>
          </w:p>
        </w:tc>
      </w:tr>
      <w:tr w:rsidR="007F74E6" w:rsidRPr="000F2AFF" w14:paraId="68B17104" w14:textId="77777777" w:rsidTr="002E3AAB">
        <w:tc>
          <w:tcPr>
            <w:tcW w:w="1275" w:type="dxa"/>
          </w:tcPr>
          <w:p w14:paraId="360B1002" w14:textId="22986DF8" w:rsidR="007F74E6" w:rsidRPr="000F2AFF" w:rsidRDefault="007F74E6" w:rsidP="002061E5">
            <w:pPr>
              <w:spacing w:after="60"/>
              <w:jc w:val="left"/>
              <w:rPr>
                <w:rFonts w:eastAsia="Times New Roman" w:cs="Cambria"/>
                <w:color w:val="000000" w:themeColor="text1"/>
                <w:szCs w:val="20"/>
                <w:lang w:eastAsia="fr-FR"/>
              </w:rPr>
            </w:pPr>
            <w:r w:rsidRPr="00132C1E">
              <w:rPr>
                <w:i/>
              </w:rPr>
              <w:t>N</w:t>
            </w:r>
            <w:r w:rsidRPr="00132C1E">
              <w:rPr>
                <w:vertAlign w:val="subscript"/>
              </w:rPr>
              <w:t>Ed</w:t>
            </w:r>
          </w:p>
        </w:tc>
        <w:tc>
          <w:tcPr>
            <w:tcW w:w="7938" w:type="dxa"/>
          </w:tcPr>
          <w:p w14:paraId="6171E029" w14:textId="5C243971" w:rsidR="007F74E6" w:rsidRPr="000F2AFF" w:rsidRDefault="007F74E6" w:rsidP="002061E5">
            <w:pPr>
              <w:spacing w:after="60"/>
              <w:rPr>
                <w:rFonts w:eastAsia="Times New Roman" w:cs="Cambria"/>
                <w:color w:val="000000" w:themeColor="text1"/>
                <w:szCs w:val="20"/>
                <w:lang w:eastAsia="fr-FR"/>
              </w:rPr>
            </w:pPr>
            <w:r w:rsidRPr="00132C1E">
              <w:t xml:space="preserve">is the total design axial compressive force, calculated in accordance </w:t>
            </w:r>
            <w:r w:rsidRPr="00D85D92">
              <w:t xml:space="preserve">to </w:t>
            </w:r>
            <w:r w:rsidRPr="00D85D92">
              <w:rPr>
                <w:color w:val="000000" w:themeColor="text1"/>
              </w:rPr>
              <w:t>12.8.5(2);</w:t>
            </w:r>
          </w:p>
        </w:tc>
      </w:tr>
    </w:tbl>
    <w:p w14:paraId="5B2776C3" w14:textId="67E3E6D2" w:rsidR="00A94A6E" w:rsidRDefault="00A94A6E" w:rsidP="00724E4E">
      <w:pPr>
        <w:pStyle w:val="Clause"/>
      </w:pPr>
      <w:r>
        <w:t xml:space="preserve">In DC2, composite moment resisting frames with partial strength connections other than stiffened end plate connections, should conform to </w:t>
      </w:r>
      <w:r w:rsidRPr="00D46D6D">
        <w:rPr>
          <w:bCs/>
        </w:rPr>
        <w:t>11.9.3(2</w:t>
      </w:r>
      <w:r>
        <w:t>).</w:t>
      </w:r>
    </w:p>
    <w:p w14:paraId="11A5E817" w14:textId="79E8A38B" w:rsidR="00290913" w:rsidRDefault="00A94A6E" w:rsidP="00724E4E">
      <w:pPr>
        <w:pStyle w:val="Clause"/>
      </w:pPr>
      <w:r>
        <w:t xml:space="preserve">The target hinge formation pattern should be achieved by conforming to </w:t>
      </w:r>
      <w:r w:rsidRPr="00D46D6D">
        <w:rPr>
          <w:bCs/>
        </w:rPr>
        <w:t>12.9.3</w:t>
      </w:r>
      <w:r>
        <w:t xml:space="preserve">, </w:t>
      </w:r>
      <w:r w:rsidRPr="00D46D6D">
        <w:rPr>
          <w:bCs/>
        </w:rPr>
        <w:t>12.9.4</w:t>
      </w:r>
      <w:r>
        <w:t xml:space="preserve"> and </w:t>
      </w:r>
      <w:r w:rsidRPr="00D46D6D">
        <w:rPr>
          <w:bCs/>
        </w:rPr>
        <w:t>12.9.6</w:t>
      </w:r>
      <w:r>
        <w:t>.</w:t>
      </w:r>
    </w:p>
    <w:p w14:paraId="6567080A" w14:textId="77777777" w:rsidR="001B674B" w:rsidRDefault="001B674B" w:rsidP="001B674B">
      <w:pPr>
        <w:pStyle w:val="Heading3"/>
      </w:pPr>
      <w:bookmarkStart w:id="10168" w:name="_Toc134198039"/>
      <w:r>
        <w:lastRenderedPageBreak/>
        <w:t>Analysis</w:t>
      </w:r>
      <w:bookmarkEnd w:id="10168"/>
    </w:p>
    <w:p w14:paraId="3CAC5C12" w14:textId="199AA609" w:rsidR="001B674B" w:rsidRDefault="001B674B" w:rsidP="0080187E">
      <w:pPr>
        <w:pStyle w:val="Clause"/>
        <w:numPr>
          <w:ilvl w:val="0"/>
          <w:numId w:val="164"/>
        </w:numPr>
      </w:pPr>
      <w:r w:rsidRPr="00D46D6D">
        <w:rPr>
          <w:bCs/>
        </w:rPr>
        <w:t>12.5</w:t>
      </w:r>
      <w:r>
        <w:t xml:space="preserve"> should be applied.</w:t>
      </w:r>
    </w:p>
    <w:p w14:paraId="3B5502B8" w14:textId="58CC9159" w:rsidR="001B674B" w:rsidRDefault="001B674B" w:rsidP="00724E4E">
      <w:pPr>
        <w:pStyle w:val="Clause"/>
      </w:pPr>
      <w:r>
        <w:t xml:space="preserve">In composite steel beams, two different flexural stiffnesses should be taken into account: </w:t>
      </w:r>
      <m:oMath>
        <m:r>
          <w:rPr>
            <w:rFonts w:ascii="Cambria Math" w:hAnsi="Cambria Math"/>
          </w:rPr>
          <m:t>E</m:t>
        </m:r>
        <m:sSub>
          <m:sSubPr>
            <m:ctrlPr>
              <w:rPr>
                <w:rFonts w:ascii="Cambria Math" w:hAnsi="Cambria Math"/>
                <w:i/>
              </w:rPr>
            </m:ctrlPr>
          </m:sSubPr>
          <m:e>
            <m:r>
              <w:rPr>
                <w:rFonts w:ascii="Cambria Math" w:hAnsi="Cambria Math"/>
              </w:rPr>
              <m:t>I</m:t>
            </m:r>
          </m:e>
          <m:sub>
            <m:r>
              <w:rPr>
                <w:rFonts w:ascii="Cambria Math" w:hAnsi="Cambria Math"/>
                <w:vertAlign w:val="subscript"/>
              </w:rPr>
              <m:t>1</m:t>
            </m:r>
          </m:sub>
        </m:sSub>
      </m:oMath>
      <w:r>
        <w:t xml:space="preserve">for the part of the spans subjected to positive (sagging) bending (uncracked cross section) and </w:t>
      </w:r>
      <m:oMath>
        <m:r>
          <w:rPr>
            <w:rFonts w:ascii="Cambria Math" w:hAnsi="Cambria Math"/>
          </w:rPr>
          <m:t>E</m:t>
        </m:r>
        <m:sSub>
          <m:sSubPr>
            <m:ctrlPr>
              <w:rPr>
                <w:rFonts w:ascii="Cambria Math" w:hAnsi="Cambria Math"/>
                <w:i/>
              </w:rPr>
            </m:ctrlPr>
          </m:sSubPr>
          <m:e>
            <m:r>
              <w:rPr>
                <w:rFonts w:ascii="Cambria Math" w:hAnsi="Cambria Math"/>
              </w:rPr>
              <m:t>I</m:t>
            </m:r>
          </m:e>
          <m:sub>
            <m:r>
              <w:rPr>
                <w:rFonts w:ascii="Cambria Math" w:hAnsi="Cambria Math"/>
                <w:vertAlign w:val="subscript"/>
              </w:rPr>
              <m:t>2</m:t>
            </m:r>
          </m:sub>
        </m:sSub>
      </m:oMath>
      <w:r>
        <w:t>for the part of the span subjected to negative (hogging) bending (cracked cross section).</w:t>
      </w:r>
    </w:p>
    <w:p w14:paraId="63F16FEB" w14:textId="3B8AE624" w:rsidR="00A94A6E" w:rsidRDefault="001B674B" w:rsidP="00724E4E">
      <w:pPr>
        <w:pStyle w:val="Clause"/>
      </w:pPr>
      <w:r>
        <w:t xml:space="preserve">As a simplification of </w:t>
      </w:r>
      <w:r w:rsidRPr="00D46D6D">
        <w:rPr>
          <w:bCs/>
        </w:rPr>
        <w:t>(2)</w:t>
      </w:r>
      <w:r>
        <w:t xml:space="preserve">, the analysis may be performed with an equivalent moment of inertia </w:t>
      </w:r>
      <w:r w:rsidRPr="00E05E29">
        <w:rPr>
          <w:i/>
          <w:iCs/>
        </w:rPr>
        <w:t>I</w:t>
      </w:r>
      <w:r w:rsidRPr="00E05E29">
        <w:rPr>
          <w:vertAlign w:val="subscript"/>
        </w:rPr>
        <w:t>eq</w:t>
      </w:r>
      <w:r>
        <w:t xml:space="preserve"> for the entire beam span based on Formula (12.13).</w:t>
      </w:r>
    </w:p>
    <w:p w14:paraId="17862945" w14:textId="2D799958" w:rsidR="001B674B" w:rsidRPr="00870D59" w:rsidRDefault="009B5CEC" w:rsidP="001B674B">
      <w:pPr>
        <w:pStyle w:val="Formula"/>
        <w:spacing w:before="240"/>
      </w:pPr>
      <m:oMath>
        <m:sSub>
          <m:sSubPr>
            <m:ctrlPr>
              <w:rPr>
                <w:rFonts w:ascii="Cambria Math" w:hAnsi="Cambria Math"/>
              </w:rPr>
            </m:ctrlPr>
          </m:sSubPr>
          <m:e>
            <m:r>
              <w:rPr>
                <w:rFonts w:ascii="Cambria Math" w:hAnsi="Cambria Math"/>
              </w:rPr>
              <m:t>I</m:t>
            </m:r>
          </m:e>
          <m:sub>
            <m:r>
              <m:rPr>
                <m:sty m:val="p"/>
              </m:rPr>
              <w:rPr>
                <w:rFonts w:ascii="Cambria Math" w:hAnsi="Cambria Math"/>
              </w:rPr>
              <m:t>eq</m:t>
            </m:r>
          </m:sub>
        </m:sSub>
        <m:r>
          <w:rPr>
            <w:rFonts w:ascii="Cambria Math" w:hAnsi="Cambria Math"/>
          </w:rPr>
          <m:t>=0,6</m:t>
        </m:r>
        <m:sSub>
          <m:sSubPr>
            <m:ctrlPr>
              <w:rPr>
                <w:rFonts w:ascii="Cambria Math" w:hAnsi="Cambria Math"/>
              </w:rPr>
            </m:ctrlPr>
          </m:sSubPr>
          <m:e>
            <m:r>
              <w:rPr>
                <w:rFonts w:ascii="Cambria Math" w:hAnsi="Cambria Math"/>
              </w:rPr>
              <m:t>I</m:t>
            </m:r>
          </m:e>
          <m:sub>
            <m:r>
              <w:rPr>
                <w:rFonts w:ascii="Cambria Math" w:hAnsi="Cambria Math"/>
              </w:rPr>
              <m:t>1</m:t>
            </m:r>
          </m:sub>
        </m:sSub>
        <m:r>
          <w:rPr>
            <w:rFonts w:ascii="Cambria Math" w:hAnsi="Cambria Math"/>
          </w:rPr>
          <m:t>+0,4</m:t>
        </m:r>
        <m:sSub>
          <m:sSubPr>
            <m:ctrlPr>
              <w:rPr>
                <w:rFonts w:ascii="Cambria Math" w:hAnsi="Cambria Math"/>
              </w:rPr>
            </m:ctrlPr>
          </m:sSubPr>
          <m:e>
            <m:r>
              <w:rPr>
                <w:rFonts w:ascii="Cambria Math" w:hAnsi="Cambria Math"/>
              </w:rPr>
              <m:t>I</m:t>
            </m:r>
          </m:e>
          <m:sub>
            <m:r>
              <w:rPr>
                <w:rFonts w:ascii="Cambria Math" w:hAnsi="Cambria Math"/>
              </w:rPr>
              <m:t>2</m:t>
            </m:r>
          </m:sub>
        </m:sSub>
      </m:oMath>
      <w:r w:rsidR="001B674B" w:rsidRPr="00132C1E">
        <w:t xml:space="preserve"> </w:t>
      </w:r>
      <w:r w:rsidR="001B674B" w:rsidRPr="00870D59">
        <w:tab/>
        <w:t>(1</w:t>
      </w:r>
      <w:r w:rsidR="001B674B">
        <w:t>2</w:t>
      </w:r>
      <w:r w:rsidR="001B674B" w:rsidRPr="00870D59">
        <w:t>.</w:t>
      </w:r>
      <w:r w:rsidR="001B674B">
        <w:t>13</w:t>
      </w:r>
      <w:r w:rsidR="001B674B" w:rsidRPr="00870D59">
        <w:t>)</w:t>
      </w:r>
    </w:p>
    <w:p w14:paraId="54E8C206" w14:textId="45DB94BC" w:rsidR="001B674B" w:rsidRPr="00ED6630" w:rsidRDefault="001B674B" w:rsidP="00724E4E">
      <w:pPr>
        <w:pStyle w:val="Clause"/>
      </w:pPr>
      <w:r w:rsidRPr="00D1484A">
        <w:t xml:space="preserve">The effective </w:t>
      </w:r>
      <w:r w:rsidRPr="007E6F67">
        <w:t xml:space="preserve">flexural stiffness of composite </w:t>
      </w:r>
      <w:r w:rsidRPr="00FD17CF">
        <w:t xml:space="preserve">cross sections, </w:t>
      </w:r>
      <m:oMath>
        <m:sSub>
          <m:sSubPr>
            <m:ctrlPr>
              <w:rPr>
                <w:rFonts w:ascii="Cambria Math" w:hAnsi="Cambria Math"/>
                <w:i/>
              </w:rPr>
            </m:ctrlPr>
          </m:sSubPr>
          <m:e>
            <m:d>
              <m:dPr>
                <m:ctrlPr>
                  <w:rPr>
                    <w:rFonts w:ascii="Cambria Math" w:hAnsi="Cambria Math"/>
                    <w:i/>
                  </w:rPr>
                </m:ctrlPr>
              </m:dPr>
              <m:e>
                <m:r>
                  <w:rPr>
                    <w:rFonts w:ascii="Cambria Math" w:hAnsi="Cambria Math"/>
                  </w:rPr>
                  <m:t>EI</m:t>
                </m:r>
              </m:e>
            </m:d>
            <m:ctrlPr>
              <w:rPr>
                <w:rFonts w:ascii="Cambria Math" w:hAnsi="Cambria Math"/>
                <w:i/>
                <w:vertAlign w:val="subscript"/>
              </w:rPr>
            </m:ctrlPr>
          </m:e>
          <m:sub>
            <m:r>
              <m:rPr>
                <m:sty m:val="p"/>
              </m:rPr>
              <w:rPr>
                <w:rFonts w:ascii="Cambria Math" w:hAnsi="Cambria Math"/>
                <w:vertAlign w:val="subscript"/>
              </w:rPr>
              <m:t>eff,II</m:t>
            </m:r>
          </m:sub>
        </m:sSub>
      </m:oMath>
      <w:r w:rsidRPr="00132C1E">
        <w:t xml:space="preserve"> should be calculated according </w:t>
      </w:r>
      <w:r w:rsidRPr="00ED6630">
        <w:t xml:space="preserve">to </w:t>
      </w:r>
      <w:r w:rsidR="005E0F4B">
        <w:t>pr</w:t>
      </w:r>
      <w:r w:rsidR="00C30FF9">
        <w:t>EN 1</w:t>
      </w:r>
      <w:r w:rsidRPr="001B674B">
        <w:t>994-1-1 using Formula (12.14).</w:t>
      </w:r>
    </w:p>
    <w:p w14:paraId="35C840DF" w14:textId="3C3B5DB7" w:rsidR="001B674B" w:rsidRPr="00870D59" w:rsidRDefault="009B5CEC" w:rsidP="001B674B">
      <w:pPr>
        <w:pStyle w:val="Formula"/>
        <w:spacing w:before="240"/>
      </w:pPr>
      <m:oMath>
        <m:sSub>
          <m:sSubPr>
            <m:ctrlPr>
              <w:rPr>
                <w:rFonts w:ascii="Cambria Math" w:hAnsi="Cambria Math"/>
              </w:rPr>
            </m:ctrlPr>
          </m:sSubPr>
          <m:e>
            <m:d>
              <m:dPr>
                <m:ctrlPr>
                  <w:rPr>
                    <w:rFonts w:ascii="Cambria Math" w:hAnsi="Cambria Math"/>
                  </w:rPr>
                </m:ctrlPr>
              </m:dPr>
              <m:e>
                <m:r>
                  <w:rPr>
                    <w:rFonts w:ascii="Cambria Math" w:hAnsi="Cambria Math"/>
                  </w:rPr>
                  <m:t>EI</m:t>
                </m:r>
              </m:e>
            </m:d>
          </m:e>
          <m:sub>
            <m:r>
              <m:rPr>
                <m:sty m:val="p"/>
              </m:rPr>
              <w:rPr>
                <w:rFonts w:ascii="Cambria Math" w:hAnsi="Cambria Math"/>
              </w:rPr>
              <m:t>eff,II</m:t>
            </m:r>
          </m:sub>
        </m:sSub>
        <m:r>
          <w:rPr>
            <w:rFonts w:ascii="Cambria Math" w:hAnsi="Cambria Math"/>
          </w:rPr>
          <m:t>=</m:t>
        </m:r>
        <m:sSub>
          <m:sSubPr>
            <m:ctrlPr>
              <w:rPr>
                <w:rFonts w:ascii="Cambria Math" w:hAnsi="Cambria Math"/>
              </w:rPr>
            </m:ctrlPr>
          </m:sSubPr>
          <m:e>
            <m:r>
              <w:rPr>
                <w:rFonts w:ascii="Cambria Math" w:hAnsi="Cambria Math"/>
              </w:rPr>
              <m:t>K</m:t>
            </m:r>
          </m:e>
          <m:sub>
            <m:r>
              <m:rPr>
                <m:sty m:val="p"/>
              </m:rPr>
              <w:rPr>
                <w:rFonts w:ascii="Cambria Math" w:hAnsi="Cambria Math"/>
              </w:rPr>
              <m:t>o</m:t>
            </m:r>
          </m:sub>
        </m:sSub>
        <m:d>
          <m:dPr>
            <m:ctrlPr>
              <w:rPr>
                <w:rFonts w:ascii="Cambria Math" w:hAnsi="Cambria Math"/>
              </w:rPr>
            </m:ctrlPr>
          </m:dPr>
          <m:e>
            <m:sSub>
              <m:sSubPr>
                <m:ctrlPr>
                  <w:rPr>
                    <w:rFonts w:ascii="Cambria Math" w:hAnsi="Cambria Math"/>
                  </w:rPr>
                </m:ctrlPr>
              </m:sSubPr>
              <m:e>
                <m:r>
                  <w:rPr>
                    <w:rFonts w:ascii="Cambria Math" w:hAnsi="Cambria Math"/>
                  </w:rPr>
                  <m:t>E</m:t>
                </m:r>
              </m:e>
              <m:sub>
                <m:r>
                  <m:rPr>
                    <m:sty m:val="p"/>
                  </m:rPr>
                  <w:rPr>
                    <w:rFonts w:ascii="Cambria Math" w:hAnsi="Cambria Math"/>
                  </w:rPr>
                  <m:t>a</m:t>
                </m:r>
              </m:sub>
            </m:sSub>
            <m:sSub>
              <m:sSubPr>
                <m:ctrlPr>
                  <w:rPr>
                    <w:rFonts w:ascii="Cambria Math" w:hAnsi="Cambria Math"/>
                  </w:rPr>
                </m:ctrlPr>
              </m:sSubPr>
              <m:e>
                <m:r>
                  <w:rPr>
                    <w:rFonts w:ascii="Cambria Math" w:hAnsi="Cambria Math"/>
                  </w:rPr>
                  <m:t>I</m:t>
                </m:r>
              </m:e>
              <m:sub>
                <m:r>
                  <m:rPr>
                    <m:sty m:val="p"/>
                  </m:rPr>
                  <w:rPr>
                    <w:rFonts w:ascii="Cambria Math" w:hAnsi="Cambria Math"/>
                  </w:rPr>
                  <m:t>a</m:t>
                </m:r>
              </m:sub>
            </m:sSub>
            <m:r>
              <w:rPr>
                <w:rFonts w:ascii="Cambria Math" w:hAnsi="Cambria Math"/>
              </w:rPr>
              <m:t>+</m:t>
            </m:r>
            <m:sSub>
              <m:sSubPr>
                <m:ctrlPr>
                  <w:rPr>
                    <w:rFonts w:ascii="Cambria Math" w:hAnsi="Cambria Math"/>
                  </w:rPr>
                </m:ctrlPr>
              </m:sSubPr>
              <m:e>
                <m:r>
                  <w:rPr>
                    <w:rFonts w:ascii="Cambria Math" w:hAnsi="Cambria Math"/>
                  </w:rPr>
                  <m:t>E</m:t>
                </m:r>
              </m:e>
              <m:sub>
                <m:r>
                  <m:rPr>
                    <m:sty m:val="p"/>
                  </m:rPr>
                  <w:rPr>
                    <w:rFonts w:ascii="Cambria Math" w:hAnsi="Cambria Math"/>
                  </w:rPr>
                  <m:t>s</m:t>
                </m:r>
              </m:sub>
            </m:sSub>
            <m:sSub>
              <m:sSubPr>
                <m:ctrlPr>
                  <w:rPr>
                    <w:rFonts w:ascii="Cambria Math" w:hAnsi="Cambria Math"/>
                  </w:rPr>
                </m:ctrlPr>
              </m:sSubPr>
              <m:e>
                <m:r>
                  <w:rPr>
                    <w:rFonts w:ascii="Cambria Math" w:hAnsi="Cambria Math"/>
                  </w:rPr>
                  <m:t>I</m:t>
                </m:r>
              </m:e>
              <m:sub>
                <m:r>
                  <m:rPr>
                    <m:sty m:val="p"/>
                  </m:rPr>
                  <w:rPr>
                    <w:rFonts w:ascii="Cambria Math" w:hAnsi="Cambria Math"/>
                  </w:rPr>
                  <m:t>s</m:t>
                </m:r>
              </m:sub>
            </m:sSub>
            <m:r>
              <w:rPr>
                <w:rFonts w:ascii="Cambria Math" w:hAnsi="Cambria Math"/>
              </w:rPr>
              <m:t>+</m:t>
            </m:r>
            <m:sSub>
              <m:sSubPr>
                <m:ctrlPr>
                  <w:rPr>
                    <w:rFonts w:ascii="Cambria Math" w:hAnsi="Cambria Math"/>
                  </w:rPr>
                </m:ctrlPr>
              </m:sSubPr>
              <m:e>
                <m:r>
                  <w:rPr>
                    <w:rFonts w:ascii="Cambria Math" w:hAnsi="Cambria Math"/>
                  </w:rPr>
                  <m:t>K</m:t>
                </m:r>
              </m:e>
              <m:sub>
                <m:r>
                  <m:rPr>
                    <m:sty m:val="p"/>
                  </m:rPr>
                  <w:rPr>
                    <w:rFonts w:ascii="Cambria Math" w:hAnsi="Cambria Math"/>
                  </w:rPr>
                  <m:t>c,II</m:t>
                </m:r>
              </m:sub>
            </m:sSub>
            <m:sSub>
              <m:sSubPr>
                <m:ctrlPr>
                  <w:rPr>
                    <w:rFonts w:ascii="Cambria Math" w:hAnsi="Cambria Math"/>
                  </w:rPr>
                </m:ctrlPr>
              </m:sSubPr>
              <m:e>
                <m:r>
                  <w:rPr>
                    <w:rFonts w:ascii="Cambria Math" w:hAnsi="Cambria Math"/>
                  </w:rPr>
                  <m:t>E</m:t>
                </m:r>
              </m:e>
              <m:sub>
                <m:r>
                  <m:rPr>
                    <m:sty m:val="p"/>
                  </m:rPr>
                  <w:rPr>
                    <w:rFonts w:ascii="Cambria Math" w:hAnsi="Cambria Math"/>
                  </w:rPr>
                  <m:t>cm</m:t>
                </m:r>
              </m:sub>
            </m:sSub>
            <m:sSub>
              <m:sSubPr>
                <m:ctrlPr>
                  <w:rPr>
                    <w:rFonts w:ascii="Cambria Math" w:hAnsi="Cambria Math"/>
                  </w:rPr>
                </m:ctrlPr>
              </m:sSubPr>
              <m:e>
                <m:r>
                  <w:rPr>
                    <w:rFonts w:ascii="Cambria Math" w:hAnsi="Cambria Math"/>
                  </w:rPr>
                  <m:t>I</m:t>
                </m:r>
              </m:e>
              <m:sub>
                <m:r>
                  <m:rPr>
                    <m:sty m:val="p"/>
                  </m:rPr>
                  <w:rPr>
                    <w:rFonts w:ascii="Cambria Math" w:hAnsi="Cambria Math"/>
                  </w:rPr>
                  <m:t>c</m:t>
                </m:r>
              </m:sub>
            </m:sSub>
          </m:e>
        </m:d>
      </m:oMath>
      <w:r w:rsidR="001B674B" w:rsidRPr="00132C1E">
        <w:t xml:space="preserve"> </w:t>
      </w:r>
      <w:r w:rsidR="001B674B" w:rsidRPr="00870D59">
        <w:tab/>
        <w:t>(1</w:t>
      </w:r>
      <w:r w:rsidR="001B674B">
        <w:t>2</w:t>
      </w:r>
      <w:r w:rsidR="001B674B" w:rsidRPr="00870D59">
        <w:t>.</w:t>
      </w:r>
      <w:r w:rsidR="001B674B">
        <w:t>14</w:t>
      </w:r>
      <w:r w:rsidR="001B674B" w:rsidRPr="00870D59">
        <w:t>)</w:t>
      </w:r>
    </w:p>
    <w:p w14:paraId="10EA0C51" w14:textId="37915DD0" w:rsidR="001B674B" w:rsidRPr="00870D59" w:rsidRDefault="001B674B" w:rsidP="001B674B">
      <w:pPr>
        <w:pStyle w:val="Text"/>
      </w:pPr>
      <w:r w:rsidRPr="00870D59">
        <w:t>where</w:t>
      </w:r>
    </w:p>
    <w:tbl>
      <w:tblPr>
        <w:tblW w:w="0" w:type="auto"/>
        <w:tblInd w:w="346" w:type="dxa"/>
        <w:tblLook w:val="04A0" w:firstRow="1" w:lastRow="0" w:firstColumn="1" w:lastColumn="0" w:noHBand="0" w:noVBand="1"/>
      </w:tblPr>
      <w:tblGrid>
        <w:gridCol w:w="1451"/>
        <w:gridCol w:w="7762"/>
      </w:tblGrid>
      <w:tr w:rsidR="001B674B" w:rsidRPr="000F2AFF" w14:paraId="53ECCF40" w14:textId="77777777" w:rsidTr="002E3AAB">
        <w:tc>
          <w:tcPr>
            <w:tcW w:w="1451" w:type="dxa"/>
          </w:tcPr>
          <w:p w14:paraId="7DE74781" w14:textId="021901B8" w:rsidR="001B674B" w:rsidRPr="000F2AFF" w:rsidRDefault="001B674B" w:rsidP="002061E5">
            <w:pPr>
              <w:spacing w:after="60"/>
              <w:jc w:val="left"/>
              <w:rPr>
                <w:rFonts w:eastAsia="Times New Roman" w:cs="Cambria"/>
                <w:color w:val="000000" w:themeColor="text1"/>
                <w:szCs w:val="20"/>
                <w:lang w:eastAsia="fr-FR"/>
              </w:rPr>
            </w:pPr>
            <w:r w:rsidRPr="00FD17CF">
              <w:rPr>
                <w:i/>
                <w:iCs/>
              </w:rPr>
              <w:t>E</w:t>
            </w:r>
            <w:r w:rsidRPr="00FD17CF">
              <w:rPr>
                <w:vertAlign w:val="subscript"/>
              </w:rPr>
              <w:t>a</w:t>
            </w:r>
            <w:r w:rsidRPr="00644C3D">
              <w:t>,</w:t>
            </w:r>
            <w:r w:rsidRPr="00E05E29">
              <w:rPr>
                <w:i/>
                <w:iCs/>
              </w:rPr>
              <w:t xml:space="preserve"> E</w:t>
            </w:r>
            <w:r w:rsidRPr="00E05E29">
              <w:rPr>
                <w:vertAlign w:val="subscript"/>
              </w:rPr>
              <w:t>s</w:t>
            </w:r>
            <w:r w:rsidRPr="00E05E29">
              <w:rPr>
                <w:i/>
                <w:iCs/>
              </w:rPr>
              <w:t xml:space="preserve"> </w:t>
            </w:r>
            <w:r w:rsidRPr="00E05E29">
              <w:t>and</w:t>
            </w:r>
            <w:r w:rsidRPr="00E05E29">
              <w:rPr>
                <w:i/>
                <w:iCs/>
              </w:rPr>
              <w:t xml:space="preserve"> E</w:t>
            </w:r>
            <w:r w:rsidRPr="00E05E29">
              <w:rPr>
                <w:vertAlign w:val="subscript"/>
              </w:rPr>
              <w:t>cm</w:t>
            </w:r>
          </w:p>
        </w:tc>
        <w:tc>
          <w:tcPr>
            <w:tcW w:w="7762" w:type="dxa"/>
          </w:tcPr>
          <w:p w14:paraId="2CAF1607" w14:textId="5BF3E80B" w:rsidR="001B674B" w:rsidRPr="000F2AFF" w:rsidRDefault="001B674B" w:rsidP="002061E5">
            <w:pPr>
              <w:spacing w:after="60"/>
              <w:rPr>
                <w:rFonts w:eastAsia="Times New Roman" w:cs="Cambria"/>
                <w:color w:val="000000" w:themeColor="text1"/>
                <w:szCs w:val="20"/>
                <w:lang w:eastAsia="fr-FR"/>
              </w:rPr>
            </w:pPr>
            <w:r w:rsidRPr="001B674B">
              <w:rPr>
                <w:color w:val="000000" w:themeColor="text1"/>
              </w:rPr>
              <w:t xml:space="preserve">are the modulus of elasticity of the structural steel cross section, of the steel reinforcement and of the concrete, respectively; long-term effects on the effective elastic flexural stiffness should be considered according to </w:t>
            </w:r>
            <w:r w:rsidR="00A76494">
              <w:rPr>
                <w:color w:val="000000" w:themeColor="text1"/>
              </w:rPr>
              <w:t>prEN 1994-1-1:</w:t>
            </w:r>
            <w:r w:rsidR="0078003E">
              <w:t>—</w:t>
            </w:r>
            <w:r w:rsidRPr="001B674B">
              <w:rPr>
                <w:color w:val="000000" w:themeColor="text1"/>
              </w:rPr>
              <w:t>,</w:t>
            </w:r>
            <w:r w:rsidR="006E3F06">
              <w:rPr>
                <w:b/>
                <w:color w:val="000000" w:themeColor="text1"/>
              </w:rPr>
              <w:t xml:space="preserve"> </w:t>
            </w:r>
            <w:r w:rsidR="006E3F06" w:rsidRPr="00422F5E">
              <w:rPr>
                <w:bCs/>
                <w:color w:val="000000" w:themeColor="text1"/>
              </w:rPr>
              <w:t>7.4.2.2(2)</w:t>
            </w:r>
            <w:r w:rsidRPr="001B674B">
              <w:rPr>
                <w:color w:val="000000" w:themeColor="text1"/>
              </w:rPr>
              <w:t>;</w:t>
            </w:r>
          </w:p>
        </w:tc>
      </w:tr>
      <w:tr w:rsidR="001B674B" w:rsidRPr="000F2AFF" w14:paraId="09D6A240" w14:textId="77777777" w:rsidTr="002E3AAB">
        <w:tc>
          <w:tcPr>
            <w:tcW w:w="1451" w:type="dxa"/>
          </w:tcPr>
          <w:p w14:paraId="3F7F1B7F" w14:textId="2C1F70FF" w:rsidR="001B674B" w:rsidRPr="000F2AFF" w:rsidRDefault="001B674B" w:rsidP="002061E5">
            <w:pPr>
              <w:spacing w:after="60"/>
              <w:jc w:val="left"/>
              <w:rPr>
                <w:i/>
                <w:iCs/>
                <w:color w:val="000000" w:themeColor="text1"/>
              </w:rPr>
            </w:pPr>
            <w:r w:rsidRPr="00E05E29">
              <w:rPr>
                <w:i/>
                <w:iCs/>
              </w:rPr>
              <w:t>I</w:t>
            </w:r>
            <w:r w:rsidRPr="00E05E29">
              <w:rPr>
                <w:vertAlign w:val="subscript"/>
              </w:rPr>
              <w:t>a</w:t>
            </w:r>
            <w:r w:rsidRPr="00E05E29">
              <w:t>,</w:t>
            </w:r>
            <w:r w:rsidRPr="00E05E29">
              <w:rPr>
                <w:i/>
                <w:iCs/>
              </w:rPr>
              <w:t xml:space="preserve"> I</w:t>
            </w:r>
            <w:r w:rsidRPr="00E05E29">
              <w:rPr>
                <w:vertAlign w:val="subscript"/>
              </w:rPr>
              <w:t>s</w:t>
            </w:r>
            <w:r w:rsidRPr="00E05E29">
              <w:rPr>
                <w:i/>
                <w:iCs/>
              </w:rPr>
              <w:t xml:space="preserve"> </w:t>
            </w:r>
            <w:r w:rsidRPr="00E05E29">
              <w:t>and</w:t>
            </w:r>
            <w:r w:rsidRPr="00E05E29">
              <w:rPr>
                <w:i/>
                <w:iCs/>
              </w:rPr>
              <w:t xml:space="preserve"> I</w:t>
            </w:r>
            <w:r w:rsidRPr="00E05E29">
              <w:rPr>
                <w:vertAlign w:val="subscript"/>
              </w:rPr>
              <w:t>c</w:t>
            </w:r>
          </w:p>
        </w:tc>
        <w:tc>
          <w:tcPr>
            <w:tcW w:w="7762" w:type="dxa"/>
          </w:tcPr>
          <w:p w14:paraId="0A4EBDDE" w14:textId="1C1961A5" w:rsidR="001B674B" w:rsidRPr="00E05E29" w:rsidRDefault="001B674B" w:rsidP="002061E5">
            <w:pPr>
              <w:spacing w:after="60"/>
            </w:pPr>
            <w:r w:rsidRPr="00E05E29">
              <w:t>are the moments of inertia of the structural steel cross section, of the steel reinforcement and of the uncracked concrete section, respectively, with respect to the axis through the centroid of the transformed section;</w:t>
            </w:r>
          </w:p>
        </w:tc>
      </w:tr>
      <w:tr w:rsidR="001B674B" w:rsidRPr="000F2AFF" w14:paraId="79208B39" w14:textId="77777777" w:rsidTr="002E3AAB">
        <w:tc>
          <w:tcPr>
            <w:tcW w:w="1451" w:type="dxa"/>
          </w:tcPr>
          <w:p w14:paraId="34181445" w14:textId="17E38EA0" w:rsidR="001B674B" w:rsidRPr="001B674B" w:rsidRDefault="009B5CEC" w:rsidP="002061E5">
            <w:pPr>
              <w:spacing w:after="60"/>
              <w:jc w:val="left"/>
              <w:rPr>
                <w:i/>
                <w:iCs/>
                <w:color w:val="000000" w:themeColor="text1"/>
              </w:rPr>
            </w:pPr>
            <m:oMathPara>
              <m:oMathParaPr>
                <m:jc m:val="left"/>
              </m:oMathParaPr>
              <m:oMath>
                <m:sSub>
                  <m:sSubPr>
                    <m:ctrlPr>
                      <w:rPr>
                        <w:rFonts w:ascii="Cambria Math" w:hAnsi="Cambria Math"/>
                        <w:i/>
                        <w:noProof/>
                      </w:rPr>
                    </m:ctrlPr>
                  </m:sSubPr>
                  <m:e>
                    <m:r>
                      <w:rPr>
                        <w:rFonts w:ascii="Cambria Math" w:hAnsi="Cambria Math"/>
                        <w:noProof/>
                      </w:rPr>
                      <m:t>K</m:t>
                    </m:r>
                  </m:e>
                  <m:sub>
                    <m:r>
                      <m:rPr>
                        <m:sty m:val="p"/>
                      </m:rPr>
                      <w:rPr>
                        <w:rFonts w:ascii="Cambria Math" w:hAnsi="Cambria Math"/>
                        <w:noProof/>
                      </w:rPr>
                      <m:t>c,II</m:t>
                    </m:r>
                  </m:sub>
                </m:sSub>
              </m:oMath>
            </m:oMathPara>
          </w:p>
        </w:tc>
        <w:tc>
          <w:tcPr>
            <w:tcW w:w="7762" w:type="dxa"/>
          </w:tcPr>
          <w:p w14:paraId="1ACE585C" w14:textId="7AC5A94F" w:rsidR="001B674B" w:rsidRPr="00E05E29" w:rsidRDefault="001B674B" w:rsidP="002061E5">
            <w:pPr>
              <w:spacing w:after="60"/>
            </w:pPr>
            <w:r w:rsidRPr="00132C1E">
              <w:t xml:space="preserve">is a correction factor that should be taken </w:t>
            </w:r>
            <w:r w:rsidRPr="00D1484A">
              <w:t>equal to 0,5;</w:t>
            </w:r>
          </w:p>
        </w:tc>
      </w:tr>
      <w:tr w:rsidR="001B674B" w:rsidRPr="000F2AFF" w14:paraId="65E841D0" w14:textId="77777777" w:rsidTr="002E3AAB">
        <w:tc>
          <w:tcPr>
            <w:tcW w:w="1451" w:type="dxa"/>
          </w:tcPr>
          <w:p w14:paraId="078A9098" w14:textId="454983F2" w:rsidR="001B674B" w:rsidRPr="001B674B" w:rsidRDefault="009B5CEC" w:rsidP="002061E5">
            <w:pPr>
              <w:spacing w:after="60"/>
              <w:jc w:val="left"/>
              <w:rPr>
                <w:i/>
                <w:iCs/>
                <w:color w:val="000000" w:themeColor="text1"/>
              </w:rPr>
            </w:pPr>
            <m:oMathPara>
              <m:oMathParaPr>
                <m:jc m:val="left"/>
              </m:oMathParaPr>
              <m:oMath>
                <m:sSub>
                  <m:sSubPr>
                    <m:ctrlPr>
                      <w:rPr>
                        <w:rFonts w:ascii="Cambria Math" w:hAnsi="Cambria Math"/>
                        <w:i/>
                        <w:noProof/>
                      </w:rPr>
                    </m:ctrlPr>
                  </m:sSubPr>
                  <m:e>
                    <m:r>
                      <w:rPr>
                        <w:rFonts w:ascii="Cambria Math" w:hAnsi="Cambria Math"/>
                        <w:noProof/>
                      </w:rPr>
                      <m:t>K</m:t>
                    </m:r>
                  </m:e>
                  <m:sub>
                    <m:r>
                      <m:rPr>
                        <m:sty m:val="p"/>
                      </m:rPr>
                      <w:rPr>
                        <w:rFonts w:ascii="Cambria Math" w:hAnsi="Cambria Math"/>
                        <w:noProof/>
                      </w:rPr>
                      <m:t>o</m:t>
                    </m:r>
                  </m:sub>
                </m:sSub>
              </m:oMath>
            </m:oMathPara>
          </w:p>
        </w:tc>
        <w:tc>
          <w:tcPr>
            <w:tcW w:w="7762" w:type="dxa"/>
          </w:tcPr>
          <w:p w14:paraId="69D9DC60" w14:textId="6DC6C865" w:rsidR="001B674B" w:rsidRPr="00E05E29" w:rsidRDefault="001B674B" w:rsidP="002061E5">
            <w:pPr>
              <w:spacing w:after="60"/>
            </w:pPr>
            <w:r w:rsidRPr="00132C1E">
              <w:t xml:space="preserve">is a calibration factor that should be taken </w:t>
            </w:r>
            <w:r w:rsidRPr="00D1484A">
              <w:t>equal to 0,9.</w:t>
            </w:r>
          </w:p>
        </w:tc>
      </w:tr>
    </w:tbl>
    <w:p w14:paraId="40A130E3" w14:textId="61D73D80" w:rsidR="001B674B" w:rsidRDefault="001B674B" w:rsidP="00527FD1">
      <w:pPr>
        <w:pStyle w:val="Heading3"/>
      </w:pPr>
      <w:r>
        <w:tab/>
      </w:r>
      <w:bookmarkStart w:id="10169" w:name="_Toc134198040"/>
      <w:r>
        <w:t>Verification of beams</w:t>
      </w:r>
      <w:bookmarkEnd w:id="10169"/>
    </w:p>
    <w:p w14:paraId="02DD5ABF" w14:textId="41D04B35" w:rsidR="001B674B" w:rsidRDefault="001B674B" w:rsidP="0080187E">
      <w:pPr>
        <w:pStyle w:val="Clause"/>
        <w:numPr>
          <w:ilvl w:val="0"/>
          <w:numId w:val="165"/>
        </w:numPr>
      </w:pPr>
      <w:r w:rsidRPr="00D46D6D">
        <w:rPr>
          <w:bCs/>
        </w:rPr>
        <w:t>12.8.</w:t>
      </w:r>
      <w:r>
        <w:t>6 should be applied.</w:t>
      </w:r>
    </w:p>
    <w:p w14:paraId="00EF028B" w14:textId="7CE28DC2" w:rsidR="001B674B" w:rsidRDefault="001B674B" w:rsidP="00724E4E">
      <w:pPr>
        <w:pStyle w:val="Clause"/>
      </w:pPr>
      <w:r>
        <w:t xml:space="preserve">Steel beams with slab that satisfy </w:t>
      </w:r>
      <w:r w:rsidRPr="00D46D6D">
        <w:rPr>
          <w:bCs/>
        </w:rPr>
        <w:t>12.8.6.2.3</w:t>
      </w:r>
      <w:r>
        <w:t xml:space="preserve">, should conform to </w:t>
      </w:r>
      <w:r w:rsidRPr="00D46D6D">
        <w:rPr>
          <w:bCs/>
        </w:rPr>
        <w:t>11.9.2</w:t>
      </w:r>
      <w:r>
        <w:t>.</w:t>
      </w:r>
    </w:p>
    <w:p w14:paraId="6C4147F7" w14:textId="329C3998" w:rsidR="001B674B" w:rsidRDefault="001B674B" w:rsidP="00724E4E">
      <w:pPr>
        <w:pStyle w:val="Clause"/>
      </w:pPr>
      <w:r>
        <w:t xml:space="preserve">Composite steel beams with slab should conform to </w:t>
      </w:r>
      <w:r w:rsidRPr="00D46D6D">
        <w:rPr>
          <w:bCs/>
        </w:rPr>
        <w:t>12.8.6.2</w:t>
      </w:r>
      <w:r>
        <w:t>.</w:t>
      </w:r>
    </w:p>
    <w:p w14:paraId="1F72CBC8" w14:textId="596DF6ED" w:rsidR="001B674B" w:rsidRDefault="001B674B" w:rsidP="00724E4E">
      <w:pPr>
        <w:pStyle w:val="Clause"/>
      </w:pPr>
      <w:r>
        <w:t xml:space="preserve">Concrete-encased composite beams should conform to </w:t>
      </w:r>
      <w:r w:rsidRPr="00D46D6D">
        <w:rPr>
          <w:bCs/>
        </w:rPr>
        <w:t>12.8.6.3</w:t>
      </w:r>
      <w:r>
        <w:t>.</w:t>
      </w:r>
    </w:p>
    <w:p w14:paraId="12008476" w14:textId="1099D2AB" w:rsidR="001B674B" w:rsidRDefault="001B674B" w:rsidP="00724E4E">
      <w:pPr>
        <w:pStyle w:val="Clause"/>
      </w:pPr>
      <w:r>
        <w:t xml:space="preserve">Beams should be verified against lateral buckling and lateral torsional buckling in accordance with </w:t>
      </w:r>
      <w:r w:rsidR="00867476">
        <w:t>EN 1993-1-1</w:t>
      </w:r>
      <w:r>
        <w:t>, assuming the development of a negative (hogging) plastic moment at one end of the beam.</w:t>
      </w:r>
    </w:p>
    <w:p w14:paraId="38E65D50" w14:textId="58D17705" w:rsidR="001B674B" w:rsidRDefault="001B674B" w:rsidP="00724E4E">
      <w:pPr>
        <w:pStyle w:val="Clause"/>
      </w:pPr>
      <w:r>
        <w:t xml:space="preserve">Composite steel beams with slab or encased-composite beams should conform to </w:t>
      </w:r>
      <w:r w:rsidRPr="00D46D6D">
        <w:rPr>
          <w:bCs/>
        </w:rPr>
        <w:t>11.9.2(6)</w:t>
      </w:r>
      <w:r>
        <w:t xml:space="preserve"> and </w:t>
      </w:r>
      <w:r w:rsidRPr="00D46D6D">
        <w:rPr>
          <w:bCs/>
        </w:rPr>
        <w:t>11.9.2(8)</w:t>
      </w:r>
      <w:r>
        <w:t xml:space="preserve">, with the </w:t>
      </w:r>
      <w:r w:rsidR="00527FD1">
        <w:t>exception</w:t>
      </w:r>
      <w:r>
        <w:t xml:space="preserve"> that in Formula (11.8) </w:t>
      </w:r>
      <w:r w:rsidR="00527FD1" w:rsidRPr="00E05E29">
        <w:rPr>
          <w:i/>
          <w:iCs/>
        </w:rPr>
        <w:t>M</w:t>
      </w:r>
      <w:r w:rsidR="00527FD1" w:rsidRPr="00E05E29">
        <w:rPr>
          <w:vertAlign w:val="subscript"/>
        </w:rPr>
        <w:t>b,Rd</w:t>
      </w:r>
      <w:r>
        <w:t xml:space="preserve"> should be the design value of the bending resistance of the composite steel beam according to </w:t>
      </w:r>
      <w:r w:rsidR="00A76494">
        <w:t>prEN 1994-1-1:</w:t>
      </w:r>
      <w:r w:rsidR="0078003E">
        <w:t>—</w:t>
      </w:r>
      <w:r>
        <w:t>,</w:t>
      </w:r>
      <w:r w:rsidR="006E3F06">
        <w:t xml:space="preserve"> 8.2.1.</w:t>
      </w:r>
    </w:p>
    <w:p w14:paraId="7896939C" w14:textId="78A8907A" w:rsidR="001B674B" w:rsidRDefault="001B674B" w:rsidP="00724E4E">
      <w:pPr>
        <w:pStyle w:val="Clause"/>
      </w:pPr>
      <w:r>
        <w:t xml:space="preserve">In DC3, </w:t>
      </w:r>
      <w:r w:rsidRPr="00D46D6D">
        <w:rPr>
          <w:bCs/>
        </w:rPr>
        <w:t>11.9.2(7)</w:t>
      </w:r>
      <w:r>
        <w:t xml:space="preserve"> should be applied with the exception that the plastic moment resistance of the composite steel beam under positive bending (sagging) should be calculated according to </w:t>
      </w:r>
      <w:r w:rsidR="00A76494">
        <w:t>prEN</w:t>
      </w:r>
      <w:r w:rsidR="002E3AAB">
        <w:t> </w:t>
      </w:r>
      <w:r w:rsidR="00A76494">
        <w:t>1994</w:t>
      </w:r>
      <w:r w:rsidR="002E3AAB">
        <w:noBreakHyphen/>
      </w:r>
      <w:r w:rsidR="00A76494">
        <w:t>1</w:t>
      </w:r>
      <w:r w:rsidR="002E3AAB">
        <w:noBreakHyphen/>
      </w:r>
      <w:r w:rsidR="00A76494">
        <w:t>1:</w:t>
      </w:r>
      <w:r w:rsidR="0078003E">
        <w:t>—</w:t>
      </w:r>
      <w:r>
        <w:t>,</w:t>
      </w:r>
      <w:r w:rsidR="006E3F06">
        <w:t xml:space="preserve"> 8.2.1.</w:t>
      </w:r>
    </w:p>
    <w:p w14:paraId="43A9C7CD" w14:textId="55D472B1" w:rsidR="001B674B" w:rsidRDefault="001B674B" w:rsidP="00724E4E">
      <w:pPr>
        <w:pStyle w:val="Clause"/>
      </w:pPr>
      <w:r>
        <w:t xml:space="preserve">If partial-strength connections are used, </w:t>
      </w:r>
      <w:r w:rsidRPr="00D46D6D">
        <w:rPr>
          <w:bCs/>
        </w:rPr>
        <w:t>11.9.2(9)</w:t>
      </w:r>
      <w:r>
        <w:t xml:space="preserve"> </w:t>
      </w:r>
      <w:r w:rsidR="00527FD1">
        <w:t>should</w:t>
      </w:r>
      <w:r>
        <w:t xml:space="preserve"> be applied.</w:t>
      </w:r>
    </w:p>
    <w:p w14:paraId="6362CE53" w14:textId="1286BEE0" w:rsidR="001B674B" w:rsidRDefault="001B674B" w:rsidP="00724E4E">
      <w:pPr>
        <w:pStyle w:val="Clause"/>
      </w:pPr>
      <w:r>
        <w:lastRenderedPageBreak/>
        <w:t>Composite trusses should not be used as dissipative beams.</w:t>
      </w:r>
    </w:p>
    <w:p w14:paraId="60923199" w14:textId="1CAB8BF9" w:rsidR="001B674B" w:rsidRDefault="001B674B" w:rsidP="00527FD1">
      <w:pPr>
        <w:pStyle w:val="Heading3"/>
      </w:pPr>
      <w:bookmarkStart w:id="10170" w:name="_Toc134198041"/>
      <w:r>
        <w:t>Verification of columns</w:t>
      </w:r>
      <w:bookmarkEnd w:id="10170"/>
    </w:p>
    <w:p w14:paraId="6385A68D" w14:textId="3AFD7386" w:rsidR="001B674B" w:rsidRDefault="001B674B" w:rsidP="0080187E">
      <w:pPr>
        <w:pStyle w:val="Clause"/>
        <w:numPr>
          <w:ilvl w:val="0"/>
          <w:numId w:val="166"/>
        </w:numPr>
      </w:pPr>
      <w:r>
        <w:t>Columns should be structural steel, reinforced concrete, encased-</w:t>
      </w:r>
      <w:r w:rsidR="00D85D92">
        <w:t>,</w:t>
      </w:r>
      <w:r>
        <w:t xml:space="preserve"> partially-encased or filled-composite.</w:t>
      </w:r>
    </w:p>
    <w:p w14:paraId="1953659D" w14:textId="2808897F" w:rsidR="001B674B" w:rsidRDefault="001B674B" w:rsidP="00724E4E">
      <w:pPr>
        <w:pStyle w:val="Clause"/>
      </w:pPr>
      <w:r>
        <w:t xml:space="preserve">In DC2, if composite moment resisting frames are designed with full strength connections, </w:t>
      </w:r>
      <w:r w:rsidRPr="00D46D6D">
        <w:rPr>
          <w:bCs/>
        </w:rPr>
        <w:t>11.9.3(1)</w:t>
      </w:r>
      <w:r>
        <w:t xml:space="preserve"> should be applied; if they are designed with partial-strength connections, </w:t>
      </w:r>
      <w:r w:rsidRPr="00D46D6D">
        <w:rPr>
          <w:bCs/>
        </w:rPr>
        <w:t>11.9.3(2)</w:t>
      </w:r>
      <w:r>
        <w:t xml:space="preserve"> and </w:t>
      </w:r>
      <w:r w:rsidRPr="00D46D6D">
        <w:rPr>
          <w:bCs/>
        </w:rPr>
        <w:t>6.2.7(2)</w:t>
      </w:r>
      <w:r>
        <w:t xml:space="preserve"> should be applied.</w:t>
      </w:r>
    </w:p>
    <w:p w14:paraId="2F6DEB36" w14:textId="6EFD00B8" w:rsidR="001B674B" w:rsidRDefault="001B674B" w:rsidP="00724E4E">
      <w:pPr>
        <w:pStyle w:val="Clause"/>
      </w:pPr>
      <w:r>
        <w:t xml:space="preserve">If plastic hinges form in steel columns, </w:t>
      </w:r>
      <w:r w:rsidRPr="00D46D6D">
        <w:rPr>
          <w:bCs/>
        </w:rPr>
        <w:t>11.9.3</w:t>
      </w:r>
      <w:r>
        <w:t xml:space="preserve"> should be applied.</w:t>
      </w:r>
    </w:p>
    <w:p w14:paraId="26E552C8" w14:textId="35C4BEE9" w:rsidR="001B674B" w:rsidRDefault="001B674B" w:rsidP="00724E4E">
      <w:pPr>
        <w:pStyle w:val="Clause"/>
      </w:pPr>
      <w:r>
        <w:t xml:space="preserve">If plastic hinges form in reinforced concrete columns, </w:t>
      </w:r>
      <w:r w:rsidRPr="00D46D6D">
        <w:rPr>
          <w:bCs/>
        </w:rPr>
        <w:t>10.6</w:t>
      </w:r>
      <w:r>
        <w:t xml:space="preserve">, </w:t>
      </w:r>
      <w:r w:rsidRPr="00D46D6D">
        <w:rPr>
          <w:bCs/>
        </w:rPr>
        <w:t>11.9.3(1)</w:t>
      </w:r>
      <w:r>
        <w:t xml:space="preserve"> and </w:t>
      </w:r>
      <w:r w:rsidRPr="00D46D6D">
        <w:rPr>
          <w:bCs/>
        </w:rPr>
        <w:t>11.9.3(2)</w:t>
      </w:r>
      <w:r>
        <w:t xml:space="preserve"> should be applied.</w:t>
      </w:r>
    </w:p>
    <w:p w14:paraId="46A5862B" w14:textId="1685D7AE" w:rsidR="001B674B" w:rsidRDefault="001B674B" w:rsidP="00724E4E">
      <w:pPr>
        <w:pStyle w:val="Clause"/>
      </w:pPr>
      <w:r>
        <w:t xml:space="preserve">If plastic hinges form in composite columns, </w:t>
      </w:r>
      <w:r w:rsidRPr="00D46D6D">
        <w:rPr>
          <w:bCs/>
        </w:rPr>
        <w:t>12.8.7</w:t>
      </w:r>
      <w:r>
        <w:t xml:space="preserve">, </w:t>
      </w:r>
      <w:r w:rsidRPr="00D46D6D">
        <w:rPr>
          <w:bCs/>
        </w:rPr>
        <w:t>11.9.3(1)</w:t>
      </w:r>
      <w:r>
        <w:t xml:space="preserve">, </w:t>
      </w:r>
      <w:r w:rsidRPr="00D46D6D">
        <w:rPr>
          <w:bCs/>
        </w:rPr>
        <w:t>11.9.3(2)</w:t>
      </w:r>
      <w:r>
        <w:t xml:space="preserve">, </w:t>
      </w:r>
      <w:r w:rsidRPr="00D46D6D">
        <w:rPr>
          <w:bCs/>
        </w:rPr>
        <w:t>11.9.3(3)</w:t>
      </w:r>
      <w:r>
        <w:t xml:space="preserve">, and </w:t>
      </w:r>
      <w:r w:rsidRPr="00D46D6D">
        <w:rPr>
          <w:bCs/>
        </w:rPr>
        <w:t>11.9.3(5)</w:t>
      </w:r>
      <w:r>
        <w:t xml:space="preserve"> should be applied.</w:t>
      </w:r>
    </w:p>
    <w:p w14:paraId="5718EC59" w14:textId="4D2D6349" w:rsidR="001B674B" w:rsidRDefault="001B674B" w:rsidP="00724E4E">
      <w:pPr>
        <w:pStyle w:val="Clause"/>
      </w:pPr>
      <w:r>
        <w:t xml:space="preserve">The design resistance of composite columns should satisfy </w:t>
      </w:r>
      <w:r w:rsidR="00A76494">
        <w:t>prEN 1994-1-1:</w:t>
      </w:r>
      <w:r w:rsidR="002E3AAB">
        <w:t>—</w:t>
      </w:r>
      <w:r>
        <w:t xml:space="preserve">, </w:t>
      </w:r>
      <w:r w:rsidRPr="00D46D6D">
        <w:rPr>
          <w:bCs/>
        </w:rPr>
        <w:t>6.7</w:t>
      </w:r>
      <w:r>
        <w:t>.</w:t>
      </w:r>
    </w:p>
    <w:p w14:paraId="7ACA1C9A" w14:textId="5D4662E9" w:rsidR="001B674B" w:rsidRDefault="001B674B" w:rsidP="00724E4E">
      <w:pPr>
        <w:pStyle w:val="Clause"/>
      </w:pPr>
      <w:r>
        <w:t>In DC3, encased, partially encased or filled composite columns should satisfy Formula (12.15).</w:t>
      </w:r>
    </w:p>
    <w:p w14:paraId="73D66699" w14:textId="7B482FEB" w:rsidR="00527FD1" w:rsidRPr="00870D59" w:rsidRDefault="009B5CEC" w:rsidP="00527FD1">
      <w:pPr>
        <w:pStyle w:val="Formula"/>
        <w:spacing w:before="240"/>
      </w:pPr>
      <m:oMath>
        <m:sSub>
          <m:sSubPr>
            <m:ctrlPr>
              <w:rPr>
                <w:rFonts w:ascii="Cambria Math" w:hAnsi="Cambria Math"/>
              </w:rPr>
            </m:ctrlPr>
          </m:sSubPr>
          <m:e>
            <m:r>
              <w:rPr>
                <w:rFonts w:ascii="Cambria Math" w:hAnsi="Cambria Math"/>
              </w:rPr>
              <m:t>N</m:t>
            </m:r>
          </m:e>
          <m:sub>
            <m:r>
              <m:rPr>
                <m:sty m:val="p"/>
              </m:rPr>
              <w:rPr>
                <w:rFonts w:ascii="Cambria Math" w:hAnsi="Cambria Math"/>
              </w:rPr>
              <m:t>Ed</m:t>
            </m:r>
          </m:sub>
        </m:sSub>
        <m:r>
          <w:rPr>
            <w:rFonts w:ascii="Cambria Math" w:hAnsi="Cambria Math"/>
          </w:rPr>
          <m:t>/</m:t>
        </m:r>
        <m:sSub>
          <m:sSubPr>
            <m:ctrlPr>
              <w:rPr>
                <w:rFonts w:ascii="Cambria Math" w:hAnsi="Cambria Math"/>
              </w:rPr>
            </m:ctrlPr>
          </m:sSubPr>
          <m:e>
            <m:r>
              <w:rPr>
                <w:rFonts w:ascii="Cambria Math" w:hAnsi="Cambria Math"/>
              </w:rPr>
              <m:t>N</m:t>
            </m:r>
          </m:e>
          <m:sub>
            <m:r>
              <m:rPr>
                <m:sty m:val="p"/>
              </m:rPr>
              <w:rPr>
                <w:rFonts w:ascii="Cambria Math" w:hAnsi="Cambria Math"/>
              </w:rPr>
              <m:t>pl,Rd</m:t>
            </m:r>
          </m:sub>
        </m:sSub>
        <m:r>
          <w:rPr>
            <w:rFonts w:ascii="Cambria Math" w:hAnsi="Cambria Math"/>
          </w:rPr>
          <m:t>≤0,75</m:t>
        </m:r>
      </m:oMath>
      <w:r w:rsidR="00527FD1" w:rsidRPr="00870D59">
        <w:tab/>
        <w:t>(1</w:t>
      </w:r>
      <w:r w:rsidR="00527FD1">
        <w:t>2</w:t>
      </w:r>
      <w:r w:rsidR="00527FD1" w:rsidRPr="00870D59">
        <w:t>.</w:t>
      </w:r>
      <w:r w:rsidR="00527FD1">
        <w:t>1</w:t>
      </w:r>
      <w:r w:rsidR="0006479E">
        <w:t>5</w:t>
      </w:r>
      <w:r w:rsidR="00527FD1" w:rsidRPr="00870D59">
        <w:t>)</w:t>
      </w:r>
    </w:p>
    <w:p w14:paraId="032AFEB6" w14:textId="77777777" w:rsidR="00527FD1" w:rsidRPr="00870D59" w:rsidRDefault="00527FD1" w:rsidP="00527FD1">
      <w:pPr>
        <w:pStyle w:val="Text"/>
      </w:pPr>
      <w:r w:rsidRPr="00870D59">
        <w:t>where</w:t>
      </w:r>
    </w:p>
    <w:tbl>
      <w:tblPr>
        <w:tblW w:w="0" w:type="auto"/>
        <w:tblInd w:w="346" w:type="dxa"/>
        <w:tblLook w:val="04A0" w:firstRow="1" w:lastRow="0" w:firstColumn="1" w:lastColumn="0" w:noHBand="0" w:noVBand="1"/>
      </w:tblPr>
      <w:tblGrid>
        <w:gridCol w:w="1275"/>
        <w:gridCol w:w="7938"/>
      </w:tblGrid>
      <w:tr w:rsidR="00527FD1" w:rsidRPr="000F2AFF" w14:paraId="4A915138" w14:textId="77777777" w:rsidTr="002E3AAB">
        <w:tc>
          <w:tcPr>
            <w:tcW w:w="1275" w:type="dxa"/>
          </w:tcPr>
          <w:p w14:paraId="237A3ACD" w14:textId="7B7B8B8B" w:rsidR="00527FD1" w:rsidRPr="000F2AFF" w:rsidRDefault="00527FD1" w:rsidP="002061E5">
            <w:pPr>
              <w:spacing w:after="60"/>
              <w:jc w:val="left"/>
              <w:rPr>
                <w:rFonts w:eastAsia="Times New Roman" w:cs="Cambria"/>
                <w:color w:val="000000" w:themeColor="text1"/>
                <w:szCs w:val="20"/>
                <w:lang w:eastAsia="fr-FR"/>
              </w:rPr>
            </w:pPr>
            <w:r w:rsidRPr="007623CB">
              <w:rPr>
                <w:i/>
                <w:iCs/>
              </w:rPr>
              <w:t>N</w:t>
            </w:r>
            <w:r w:rsidRPr="007623CB">
              <w:rPr>
                <w:vertAlign w:val="subscript"/>
              </w:rPr>
              <w:t>Ed</w:t>
            </w:r>
          </w:p>
        </w:tc>
        <w:tc>
          <w:tcPr>
            <w:tcW w:w="7938" w:type="dxa"/>
          </w:tcPr>
          <w:p w14:paraId="232E842C" w14:textId="6690043F" w:rsidR="00527FD1" w:rsidRPr="00464B4C" w:rsidRDefault="00464B4C" w:rsidP="002061E5">
            <w:pPr>
              <w:spacing w:after="60"/>
              <w:rPr>
                <w:rFonts w:eastAsia="Times New Roman" w:cs="Cambria"/>
                <w:color w:val="000000" w:themeColor="text1"/>
                <w:szCs w:val="20"/>
                <w:lang w:eastAsia="fr-FR"/>
              </w:rPr>
            </w:pPr>
            <w:r w:rsidRPr="00464B4C">
              <w:rPr>
                <w:color w:val="000000" w:themeColor="text1"/>
              </w:rPr>
              <w:t>is the design axial compressive force in the column from Formula (11.3);</w:t>
            </w:r>
          </w:p>
        </w:tc>
      </w:tr>
      <w:tr w:rsidR="00527FD1" w:rsidRPr="000F2AFF" w14:paraId="287FE8F6" w14:textId="77777777" w:rsidTr="002E3AAB">
        <w:tc>
          <w:tcPr>
            <w:tcW w:w="1275" w:type="dxa"/>
          </w:tcPr>
          <w:p w14:paraId="43E5A4E4" w14:textId="65295B49" w:rsidR="00527FD1" w:rsidRPr="000F2AFF" w:rsidRDefault="00464B4C" w:rsidP="002061E5">
            <w:pPr>
              <w:spacing w:after="60"/>
              <w:jc w:val="left"/>
              <w:rPr>
                <w:i/>
                <w:iCs/>
                <w:color w:val="000000" w:themeColor="text1"/>
              </w:rPr>
            </w:pPr>
            <w:r w:rsidRPr="007623CB">
              <w:rPr>
                <w:i/>
                <w:iCs/>
              </w:rPr>
              <w:t>N</w:t>
            </w:r>
            <w:r w:rsidRPr="007623CB">
              <w:rPr>
                <w:vertAlign w:val="subscript"/>
              </w:rPr>
              <w:t>pl,Rd</w:t>
            </w:r>
          </w:p>
        </w:tc>
        <w:tc>
          <w:tcPr>
            <w:tcW w:w="7938" w:type="dxa"/>
          </w:tcPr>
          <w:p w14:paraId="5BF3869C" w14:textId="03437735" w:rsidR="00527FD1" w:rsidRPr="00464B4C" w:rsidRDefault="00464B4C" w:rsidP="002061E5">
            <w:pPr>
              <w:spacing w:after="60"/>
              <w:rPr>
                <w:color w:val="000000" w:themeColor="text1"/>
              </w:rPr>
            </w:pPr>
            <w:r w:rsidRPr="00464B4C">
              <w:rPr>
                <w:color w:val="000000" w:themeColor="text1"/>
              </w:rPr>
              <w:t xml:space="preserve">is the plastic design resistance to compression of the composite cross section according to </w:t>
            </w:r>
            <w:r w:rsidR="00A76494">
              <w:rPr>
                <w:iCs/>
                <w:color w:val="000000" w:themeColor="text1"/>
              </w:rPr>
              <w:t>prEN 1994-1-1:</w:t>
            </w:r>
            <w:r w:rsidR="002E3AAB">
              <w:t>—</w:t>
            </w:r>
            <w:r w:rsidRPr="00464B4C">
              <w:rPr>
                <w:color w:val="000000" w:themeColor="text1"/>
              </w:rPr>
              <w:t>,</w:t>
            </w:r>
            <w:r w:rsidR="006E3F06">
              <w:rPr>
                <w:color w:val="000000" w:themeColor="text1"/>
              </w:rPr>
              <w:t xml:space="preserve"> 8.8.3.2.</w:t>
            </w:r>
          </w:p>
        </w:tc>
      </w:tr>
    </w:tbl>
    <w:p w14:paraId="71DCA49E" w14:textId="0E42FE7C" w:rsidR="0006479E" w:rsidRDefault="0006479E" w:rsidP="00724E4E">
      <w:pPr>
        <w:pStyle w:val="Clause"/>
      </w:pPr>
      <w:r w:rsidRPr="00D46D6D">
        <w:rPr>
          <w:bCs/>
        </w:rPr>
        <w:t>11.9.3(8)</w:t>
      </w:r>
      <w:r>
        <w:t xml:space="preserve"> should be applied with </w:t>
      </w:r>
      <w:r w:rsidRPr="00D46D6D">
        <w:rPr>
          <w:bCs/>
        </w:rPr>
        <w:t>(6)</w:t>
      </w:r>
      <w:r>
        <w:t xml:space="preserve"> where applicable.</w:t>
      </w:r>
    </w:p>
    <w:p w14:paraId="38A42D72" w14:textId="72FFDBB2" w:rsidR="0006479E" w:rsidRDefault="0006479E" w:rsidP="0006479E">
      <w:pPr>
        <w:pStyle w:val="Heading3"/>
      </w:pPr>
      <w:bookmarkStart w:id="10171" w:name="_Toc134198042"/>
      <w:r>
        <w:t>Verification of column diaphragm plates</w:t>
      </w:r>
      <w:bookmarkEnd w:id="10171"/>
    </w:p>
    <w:p w14:paraId="0D70458F" w14:textId="04BE32D4" w:rsidR="0006479E" w:rsidRDefault="0006479E" w:rsidP="0080187E">
      <w:pPr>
        <w:pStyle w:val="Clause"/>
        <w:numPr>
          <w:ilvl w:val="0"/>
          <w:numId w:val="167"/>
        </w:numPr>
      </w:pPr>
      <w:r>
        <w:t>Diaphragm plates present in joints of filled composite columns with composite steel or steel beams may be external or internal to the column.</w:t>
      </w:r>
    </w:p>
    <w:p w14:paraId="27293BF1" w14:textId="2740886C" w:rsidR="0006479E" w:rsidRDefault="0006479E" w:rsidP="00724E4E">
      <w:pPr>
        <w:pStyle w:val="Clause"/>
      </w:pPr>
      <w:r>
        <w:t>The thickness of column diaphragm plates should not be smaller than that of the respective beam flange.</w:t>
      </w:r>
    </w:p>
    <w:p w14:paraId="73ED60D8" w14:textId="275C1E7E" w:rsidR="0006479E" w:rsidRDefault="0006479E" w:rsidP="00724E4E">
      <w:pPr>
        <w:pStyle w:val="Clause"/>
      </w:pPr>
      <w:r>
        <w:t>The column diaphragm plates should be welded around the full perimeter of the column using either full penetration groove welds or two-sided fillet welds. The strength of these joints should not be smaller than the available strength of the contact area of the plate with the column sides.</w:t>
      </w:r>
    </w:p>
    <w:p w14:paraId="74A92591" w14:textId="5B32B173" w:rsidR="0006479E" w:rsidRDefault="0006479E" w:rsidP="00724E4E">
      <w:pPr>
        <w:pStyle w:val="Clause"/>
      </w:pPr>
      <w:r>
        <w:t>Internal column diaphragm plates should have circular openings large enough for placing the concrete in such a way that the concrete filling occupies the complete internal volume.</w:t>
      </w:r>
    </w:p>
    <w:p w14:paraId="1813297C" w14:textId="40077D9C" w:rsidR="0006479E" w:rsidRDefault="0006479E" w:rsidP="00724E4E">
      <w:pPr>
        <w:pStyle w:val="Clause"/>
      </w:pPr>
      <w:r>
        <w:t xml:space="preserve">Complementary design rules for column diaphragm plates of Annex G (see </w:t>
      </w:r>
      <w:r w:rsidRPr="00D46D6D">
        <w:rPr>
          <w:bCs/>
        </w:rPr>
        <w:t>G.6</w:t>
      </w:r>
      <w:r>
        <w:t>) should be satisfied.</w:t>
      </w:r>
    </w:p>
    <w:p w14:paraId="322B2CA0" w14:textId="111D5E58" w:rsidR="0006479E" w:rsidRDefault="0006479E" w:rsidP="0006479E">
      <w:pPr>
        <w:pStyle w:val="Heading3"/>
      </w:pPr>
      <w:bookmarkStart w:id="10172" w:name="_Toc134198043"/>
      <w:r>
        <w:lastRenderedPageBreak/>
        <w:t>Verification of beam to column joints</w:t>
      </w:r>
      <w:bookmarkEnd w:id="10172"/>
    </w:p>
    <w:p w14:paraId="3D5BC0E7" w14:textId="783632B7" w:rsidR="0006479E" w:rsidRDefault="0006479E" w:rsidP="0080187E">
      <w:pPr>
        <w:pStyle w:val="Clause"/>
        <w:numPr>
          <w:ilvl w:val="0"/>
          <w:numId w:val="168"/>
        </w:numPr>
      </w:pPr>
      <w:r>
        <w:t xml:space="preserve">In composite moment resisting frames with joints between steel beams and steel, reinforced concrete or composite columns conforming to </w:t>
      </w:r>
      <w:r w:rsidRPr="00D46D6D">
        <w:rPr>
          <w:bCs/>
        </w:rPr>
        <w:t>12.8.6.2.3</w:t>
      </w:r>
      <w:r>
        <w:t xml:space="preserve">, </w:t>
      </w:r>
      <w:r w:rsidRPr="00D46D6D">
        <w:rPr>
          <w:bCs/>
        </w:rPr>
        <w:t>11.9.4</w:t>
      </w:r>
      <w:r>
        <w:t>, Annexes E and G whichever is applicable, should be applied.</w:t>
      </w:r>
    </w:p>
    <w:p w14:paraId="04044267" w14:textId="30A6C7BA" w:rsidR="0006479E" w:rsidRDefault="0006479E" w:rsidP="00724E4E">
      <w:pPr>
        <w:pStyle w:val="Clause"/>
      </w:pPr>
      <w:r w:rsidRPr="00D46D6D">
        <w:rPr>
          <w:bCs/>
        </w:rPr>
        <w:t>11.9.4(2)</w:t>
      </w:r>
      <w:r>
        <w:t xml:space="preserve">, </w:t>
      </w:r>
      <w:r w:rsidRPr="00D46D6D">
        <w:rPr>
          <w:bCs/>
        </w:rPr>
        <w:t>11.9.4(9)</w:t>
      </w:r>
      <w:r>
        <w:t xml:space="preserve">, </w:t>
      </w:r>
      <w:r w:rsidRPr="00D46D6D">
        <w:rPr>
          <w:bCs/>
        </w:rPr>
        <w:t>11.9.4(10)</w:t>
      </w:r>
      <w:r>
        <w:t xml:space="preserve">, </w:t>
      </w:r>
      <w:r w:rsidRPr="00D46D6D">
        <w:rPr>
          <w:bCs/>
        </w:rPr>
        <w:t>11.9.4(11)</w:t>
      </w:r>
      <w:r>
        <w:t xml:space="preserve"> and </w:t>
      </w:r>
      <w:r w:rsidRPr="00D46D6D">
        <w:rPr>
          <w:bCs/>
        </w:rPr>
        <w:t>11.9.4(12)</w:t>
      </w:r>
      <w:r>
        <w:t xml:space="preserve"> should be applied.</w:t>
      </w:r>
    </w:p>
    <w:p w14:paraId="32740CC9" w14:textId="3E1419BA" w:rsidR="0006479E" w:rsidRDefault="0006479E" w:rsidP="00724E4E">
      <w:pPr>
        <w:pStyle w:val="Clause"/>
      </w:pPr>
      <w:r>
        <w:t xml:space="preserve">In composite moment resisting frames with joints between steel and/or composite steel beams and reinforced concrete or composite columns, </w:t>
      </w:r>
      <w:r w:rsidRPr="00D46D6D">
        <w:rPr>
          <w:bCs/>
        </w:rPr>
        <w:t>12.8.8(9)</w:t>
      </w:r>
      <w:r>
        <w:t xml:space="preserve"> should be applied.</w:t>
      </w:r>
    </w:p>
    <w:p w14:paraId="291B4AAC" w14:textId="27F41D64" w:rsidR="0006479E" w:rsidRDefault="0006479E" w:rsidP="00724E4E">
      <w:pPr>
        <w:pStyle w:val="Clause"/>
      </w:pPr>
      <w:r>
        <w:t xml:space="preserve">In composite moment resisting frames with composite joints using diaphragm plates, </w:t>
      </w:r>
      <w:r w:rsidRPr="00D46D6D">
        <w:rPr>
          <w:bCs/>
        </w:rPr>
        <w:t>12.8.8(11)</w:t>
      </w:r>
      <w:r>
        <w:t xml:space="preserve"> should be applied.</w:t>
      </w:r>
    </w:p>
    <w:p w14:paraId="170C5F2F" w14:textId="6C62EED8" w:rsidR="0006479E" w:rsidRDefault="0006479E" w:rsidP="00724E4E">
      <w:pPr>
        <w:pStyle w:val="Clause"/>
      </w:pPr>
      <w:r>
        <w:t xml:space="preserve">In composite moment resisting frames with composite joints with double-split tee connections in concrete filled tube columns, </w:t>
      </w:r>
      <w:r w:rsidRPr="00D46D6D">
        <w:rPr>
          <w:bCs/>
        </w:rPr>
        <w:t>12.8.8(12)</w:t>
      </w:r>
      <w:r>
        <w:t xml:space="preserve"> should be applied.</w:t>
      </w:r>
    </w:p>
    <w:p w14:paraId="50AC587A" w14:textId="29A9F6CF" w:rsidR="0006479E" w:rsidRDefault="0006479E" w:rsidP="00724E4E">
      <w:pPr>
        <w:pStyle w:val="Clause"/>
      </w:pPr>
      <w:r>
        <w:t xml:space="preserve">In composite moment resisting frames in which the condition for disregarding the composite action of beams with slab (see </w:t>
      </w:r>
      <w:r w:rsidRPr="00D46D6D">
        <w:rPr>
          <w:bCs/>
        </w:rPr>
        <w:t>12.8.6.2.3</w:t>
      </w:r>
      <w:r>
        <w:t xml:space="preserve">) is not satisfied, dissipative semi-rigid and/or partial strength connections may be used only in DC2. In this case, </w:t>
      </w:r>
      <w:r w:rsidRPr="00D46D6D">
        <w:rPr>
          <w:bCs/>
        </w:rPr>
        <w:t>11.9.4(3)</w:t>
      </w:r>
      <w:r>
        <w:t xml:space="preserve"> should be applied. </w:t>
      </w:r>
    </w:p>
    <w:p w14:paraId="17838628" w14:textId="2DFFFC5E" w:rsidR="00527FD1" w:rsidRDefault="0006479E" w:rsidP="00724E4E">
      <w:pPr>
        <w:pStyle w:val="Clause"/>
      </w:pPr>
      <w:r>
        <w:t xml:space="preserve">In composite moment resisting frames in DC3, with composite steel beams with slab, the design shear force </w:t>
      </w:r>
      <w:r w:rsidRPr="00132C1E">
        <w:rPr>
          <w:i/>
          <w:iCs/>
        </w:rPr>
        <w:t>V</w:t>
      </w:r>
      <w:r w:rsidRPr="00132C1E">
        <w:rPr>
          <w:vertAlign w:val="subscript"/>
        </w:rPr>
        <w:t>wp,Ed</w:t>
      </w:r>
      <w:r w:rsidRPr="00132C1E">
        <w:rPr>
          <w:i/>
          <w:iCs/>
        </w:rPr>
        <w:t xml:space="preserve"> </w:t>
      </w:r>
      <w:r>
        <w:t>in the column web panel should be calculated as being the sum of the plastic moment resistance of the adjacent dissipative zones in beams or connections, with a positive (sagging) moment on one side and a negative (hogging) moment on the other side, divided by the web panel depth. The shear buckling resistance of the web panels should satisfy Formula (12.16).</w:t>
      </w:r>
    </w:p>
    <w:p w14:paraId="28E08154" w14:textId="2B784645" w:rsidR="0006479E" w:rsidRPr="00870D59" w:rsidRDefault="009B5CEC" w:rsidP="0006479E">
      <w:pPr>
        <w:pStyle w:val="Formula"/>
        <w:spacing w:before="240"/>
      </w:pPr>
      <m:oMath>
        <m:sSub>
          <m:sSubPr>
            <m:ctrlPr>
              <w:rPr>
                <w:rFonts w:ascii="Cambria Math" w:hAnsi="Cambria Math"/>
              </w:rPr>
            </m:ctrlPr>
          </m:sSubPr>
          <m:e>
            <m:r>
              <w:rPr>
                <w:rFonts w:ascii="Cambria Math" w:hAnsi="Cambria Math"/>
              </w:rPr>
              <m:t>V</m:t>
            </m:r>
          </m:e>
          <m:sub>
            <m:r>
              <m:rPr>
                <m:sty m:val="p"/>
              </m:rPr>
              <w:rPr>
                <w:rFonts w:ascii="Cambria Math" w:hAnsi="Cambria Math"/>
              </w:rPr>
              <m:t>wp,Ed</m:t>
            </m:r>
          </m:sub>
        </m:sSub>
        <m:r>
          <w:rPr>
            <w:rFonts w:ascii="Cambria Math" w:hAnsi="Cambria Math"/>
          </w:rPr>
          <m:t>≤</m:t>
        </m:r>
        <m:sSub>
          <m:sSubPr>
            <m:ctrlPr>
              <w:rPr>
                <w:rFonts w:ascii="Cambria Math" w:hAnsi="Cambria Math"/>
              </w:rPr>
            </m:ctrlPr>
          </m:sSubPr>
          <m:e>
            <m:r>
              <w:rPr>
                <w:rFonts w:ascii="Cambria Math" w:hAnsi="Cambria Math"/>
              </w:rPr>
              <m:t>V</m:t>
            </m:r>
          </m:e>
          <m:sub>
            <m:r>
              <m:rPr>
                <m:sty m:val="p"/>
              </m:rPr>
              <w:rPr>
                <w:rFonts w:ascii="Cambria Math" w:hAnsi="Cambria Math"/>
              </w:rPr>
              <m:t>wb,Rd</m:t>
            </m:r>
          </m:sub>
        </m:sSub>
      </m:oMath>
      <w:r w:rsidR="0006479E" w:rsidRPr="00132C1E">
        <w:t xml:space="preserve"> </w:t>
      </w:r>
      <w:r w:rsidR="0006479E" w:rsidRPr="00870D59">
        <w:tab/>
        <w:t>(1</w:t>
      </w:r>
      <w:r w:rsidR="0006479E">
        <w:t>2</w:t>
      </w:r>
      <w:r w:rsidR="0006479E" w:rsidRPr="00870D59">
        <w:t>.</w:t>
      </w:r>
      <w:r w:rsidR="0006479E">
        <w:t>16</w:t>
      </w:r>
      <w:r w:rsidR="0006479E" w:rsidRPr="00870D59">
        <w:t>)</w:t>
      </w:r>
    </w:p>
    <w:p w14:paraId="3B6EDB42" w14:textId="622E1748" w:rsidR="0006479E" w:rsidRDefault="0006479E" w:rsidP="00D85D92">
      <w:pPr>
        <w:pStyle w:val="Text"/>
      </w:pPr>
      <w:r>
        <w:t xml:space="preserve">where </w:t>
      </w:r>
      <w:r w:rsidR="001C774B" w:rsidRPr="00FD17CF">
        <w:rPr>
          <w:i/>
          <w:iCs/>
        </w:rPr>
        <w:t>V</w:t>
      </w:r>
      <w:r w:rsidR="001C774B" w:rsidRPr="00FD17CF">
        <w:rPr>
          <w:vertAlign w:val="subscript"/>
        </w:rPr>
        <w:t>wp,Rd</w:t>
      </w:r>
      <w:r w:rsidR="001C774B">
        <w:t xml:space="preserve"> </w:t>
      </w:r>
      <w:r>
        <w:t>is the shear buckling resistance of the web panel for steel columns or the joint shear resistance according to Annex G (</w:t>
      </w:r>
      <w:r w:rsidRPr="00D46D6D">
        <w:t>see G.5.6) for</w:t>
      </w:r>
      <w:r>
        <w:t xml:space="preserve"> reinforced concrete or composite columns.</w:t>
      </w:r>
    </w:p>
    <w:p w14:paraId="26DE3E6E" w14:textId="650EB828" w:rsidR="0006479E" w:rsidRDefault="0006479E" w:rsidP="00724E4E">
      <w:pPr>
        <w:pStyle w:val="Clause"/>
      </w:pPr>
      <w:r>
        <w:t xml:space="preserve">In (7), the positive (sagging) and negative (hogging) plastic moment resistance of composite steel beams with slab should be calculated according to </w:t>
      </w:r>
      <w:r w:rsidRPr="00D46D6D">
        <w:rPr>
          <w:bCs/>
        </w:rPr>
        <w:t>12.8.6.2.2</w:t>
      </w:r>
      <w:r>
        <w:t xml:space="preserve">. </w:t>
      </w:r>
    </w:p>
    <w:p w14:paraId="370DD86E" w14:textId="467ABB68" w:rsidR="0006479E" w:rsidRDefault="0006479E" w:rsidP="00724E4E">
      <w:pPr>
        <w:pStyle w:val="Clause"/>
      </w:pPr>
      <w:r>
        <w:t xml:space="preserve">In composite moment resisting frames, with steel columns, </w:t>
      </w:r>
      <w:r w:rsidRPr="00D46D6D">
        <w:rPr>
          <w:bCs/>
        </w:rPr>
        <w:t>11.9.4(4)</w:t>
      </w:r>
      <w:r>
        <w:t xml:space="preserve">, </w:t>
      </w:r>
      <w:r w:rsidRPr="00D46D6D">
        <w:rPr>
          <w:bCs/>
        </w:rPr>
        <w:t>11.9.4(5)</w:t>
      </w:r>
      <w:r>
        <w:t xml:space="preserve">, </w:t>
      </w:r>
      <w:r w:rsidRPr="00D46D6D">
        <w:rPr>
          <w:bCs/>
        </w:rPr>
        <w:t>11.9.4(6)</w:t>
      </w:r>
      <w:r>
        <w:t xml:space="preserve"> and </w:t>
      </w:r>
      <w:r w:rsidRPr="00D46D6D">
        <w:rPr>
          <w:bCs/>
        </w:rPr>
        <w:t>11.9.4(8)</w:t>
      </w:r>
      <w:r>
        <w:t xml:space="preserve"> should be applied.</w:t>
      </w:r>
    </w:p>
    <w:p w14:paraId="2934BEF7" w14:textId="00BFD9B1" w:rsidR="0006479E" w:rsidRDefault="0006479E" w:rsidP="00724E4E">
      <w:pPr>
        <w:pStyle w:val="Clause"/>
      </w:pPr>
      <w:r>
        <w:t xml:space="preserve">In composite moment resisting frames in DC3, with steel columns, </w:t>
      </w:r>
      <w:r w:rsidRPr="00D46D6D">
        <w:rPr>
          <w:bCs/>
        </w:rPr>
        <w:t>11.9.4(7)</w:t>
      </w:r>
      <w:r>
        <w:t xml:space="preserve"> should be applied.</w:t>
      </w:r>
    </w:p>
    <w:p w14:paraId="678EDCC0" w14:textId="73D605D7" w:rsidR="0006479E" w:rsidRDefault="0006479E" w:rsidP="001C774B">
      <w:pPr>
        <w:pStyle w:val="Heading3"/>
      </w:pPr>
      <w:bookmarkStart w:id="10173" w:name="_Toc134198044"/>
      <w:r>
        <w:t>Verification of column base joints</w:t>
      </w:r>
      <w:bookmarkEnd w:id="10173"/>
    </w:p>
    <w:p w14:paraId="6EB7957A" w14:textId="40E0DA36" w:rsidR="0006479E" w:rsidRDefault="0006479E" w:rsidP="0080187E">
      <w:pPr>
        <w:pStyle w:val="Clause"/>
        <w:numPr>
          <w:ilvl w:val="0"/>
          <w:numId w:val="169"/>
        </w:numPr>
      </w:pPr>
      <w:r w:rsidRPr="00D46D6D">
        <w:rPr>
          <w:bCs/>
        </w:rPr>
        <w:t>11.9.5</w:t>
      </w:r>
      <w:r>
        <w:t xml:space="preserve"> and </w:t>
      </w:r>
      <w:r w:rsidR="00A6214C">
        <w:t xml:space="preserve">Annex </w:t>
      </w:r>
      <w:r>
        <w:t>H should be applied.</w:t>
      </w:r>
    </w:p>
    <w:p w14:paraId="13EE6076" w14:textId="6BECD2F3" w:rsidR="0006479E" w:rsidRDefault="0006479E" w:rsidP="001C774B">
      <w:pPr>
        <w:pStyle w:val="Heading2"/>
      </w:pPr>
      <w:bookmarkStart w:id="10174" w:name="_Toc134198045"/>
      <w:r>
        <w:t>Design and detailing rules for composite frames with concentric bracings in DC2 and DC3</w:t>
      </w:r>
      <w:bookmarkEnd w:id="10174"/>
    </w:p>
    <w:p w14:paraId="3AF73B27" w14:textId="70FB5355" w:rsidR="0006479E" w:rsidRDefault="0006479E" w:rsidP="001C774B">
      <w:pPr>
        <w:pStyle w:val="Heading3"/>
      </w:pPr>
      <w:bookmarkStart w:id="10175" w:name="_Toc134198046"/>
      <w:r>
        <w:t>Design criteria</w:t>
      </w:r>
      <w:bookmarkEnd w:id="10175"/>
    </w:p>
    <w:p w14:paraId="39A5080E" w14:textId="09822A8B" w:rsidR="0006479E" w:rsidRDefault="0006479E" w:rsidP="0080187E">
      <w:pPr>
        <w:pStyle w:val="Clause"/>
        <w:numPr>
          <w:ilvl w:val="0"/>
          <w:numId w:val="170"/>
        </w:numPr>
      </w:pPr>
      <w:r>
        <w:t>Columns should be either structural steel, encased or partially encased composite, filled composite or reinforced concrete.</w:t>
      </w:r>
    </w:p>
    <w:p w14:paraId="0B32E678" w14:textId="45CD21EA" w:rsidR="0006479E" w:rsidRDefault="0006479E" w:rsidP="00724E4E">
      <w:pPr>
        <w:pStyle w:val="Clause"/>
      </w:pPr>
      <w:r>
        <w:t>Beams should be either structural steel or composite steel with slab or concrete-encased composite.</w:t>
      </w:r>
    </w:p>
    <w:p w14:paraId="3AC033DB" w14:textId="32BB901D" w:rsidR="0006479E" w:rsidRDefault="0006479E" w:rsidP="00724E4E">
      <w:pPr>
        <w:pStyle w:val="Clause"/>
      </w:pPr>
      <w:r>
        <w:lastRenderedPageBreak/>
        <w:t>Braces should be structural steel or filled composite.</w:t>
      </w:r>
    </w:p>
    <w:p w14:paraId="7A921D1D" w14:textId="2D5683B7" w:rsidR="0006479E" w:rsidRDefault="0006479E" w:rsidP="00724E4E">
      <w:pPr>
        <w:pStyle w:val="Clause"/>
      </w:pPr>
      <w:r w:rsidRPr="00D46D6D">
        <w:rPr>
          <w:bCs/>
        </w:rPr>
        <w:t>11.10.1</w:t>
      </w:r>
      <w:r>
        <w:t xml:space="preserve"> should be applied.</w:t>
      </w:r>
    </w:p>
    <w:p w14:paraId="5273E974" w14:textId="78BA39EB" w:rsidR="0006479E" w:rsidRDefault="0006479E" w:rsidP="002E3AAB">
      <w:pPr>
        <w:pStyle w:val="Heading3"/>
        <w:keepLines/>
      </w:pPr>
      <w:bookmarkStart w:id="10176" w:name="_Toc134198047"/>
      <w:r>
        <w:t>Analysis</w:t>
      </w:r>
      <w:bookmarkEnd w:id="10176"/>
    </w:p>
    <w:p w14:paraId="43CFF429" w14:textId="141A4B94" w:rsidR="0006479E" w:rsidRDefault="0006479E" w:rsidP="002E3AAB">
      <w:pPr>
        <w:pStyle w:val="Clause"/>
        <w:keepNext/>
        <w:keepLines/>
        <w:numPr>
          <w:ilvl w:val="0"/>
          <w:numId w:val="171"/>
        </w:numPr>
      </w:pPr>
      <w:r w:rsidRPr="00D46D6D">
        <w:rPr>
          <w:bCs/>
        </w:rPr>
        <w:t>11.10.2</w:t>
      </w:r>
      <w:r>
        <w:t xml:space="preserve"> should be applied.</w:t>
      </w:r>
    </w:p>
    <w:p w14:paraId="1BD6ADC0" w14:textId="70AF62F3" w:rsidR="0006479E" w:rsidRDefault="0006479E" w:rsidP="00724E4E">
      <w:pPr>
        <w:pStyle w:val="Clause"/>
      </w:pPr>
      <w:r w:rsidRPr="00D46D6D">
        <w:rPr>
          <w:bCs/>
        </w:rPr>
        <w:t>12.5</w:t>
      </w:r>
      <w:r>
        <w:t xml:space="preserve"> should be applied.</w:t>
      </w:r>
    </w:p>
    <w:p w14:paraId="15D464F6" w14:textId="139A5B72" w:rsidR="0006479E" w:rsidRDefault="0006479E" w:rsidP="00724E4E">
      <w:pPr>
        <w:pStyle w:val="Clause"/>
      </w:pPr>
      <w:r w:rsidRPr="00D46D6D">
        <w:rPr>
          <w:bCs/>
        </w:rPr>
        <w:t>12.9.2</w:t>
      </w:r>
      <w:r>
        <w:t xml:space="preserve"> should be applied.</w:t>
      </w:r>
    </w:p>
    <w:p w14:paraId="1031EC6A" w14:textId="7F91A513" w:rsidR="0006479E" w:rsidRDefault="0006479E" w:rsidP="00724E4E">
      <w:pPr>
        <w:pStyle w:val="Clause"/>
      </w:pPr>
      <w:r>
        <w:t>In composite frames with filled composite bracings, the compression diagonals should be considered in the analysis.</w:t>
      </w:r>
    </w:p>
    <w:p w14:paraId="66475714" w14:textId="2EADCC65" w:rsidR="0006479E" w:rsidRDefault="0006479E" w:rsidP="00724E4E">
      <w:pPr>
        <w:pStyle w:val="Clause"/>
      </w:pPr>
      <w:r>
        <w:t>The resistance of filled composite braces under tension should be calculated based on the structural steel cross section only.</w:t>
      </w:r>
    </w:p>
    <w:p w14:paraId="59E4796C" w14:textId="1746D16B" w:rsidR="0006479E" w:rsidRDefault="0006479E" w:rsidP="001C774B">
      <w:pPr>
        <w:pStyle w:val="Heading3"/>
      </w:pPr>
      <w:bookmarkStart w:id="10177" w:name="_Toc134198048"/>
      <w:r>
        <w:t>Verification of diagonal members</w:t>
      </w:r>
      <w:bookmarkEnd w:id="10177"/>
    </w:p>
    <w:p w14:paraId="2D13184D" w14:textId="14428202" w:rsidR="0006479E" w:rsidRDefault="0006479E" w:rsidP="0080187E">
      <w:pPr>
        <w:pStyle w:val="Clause"/>
        <w:numPr>
          <w:ilvl w:val="0"/>
          <w:numId w:val="172"/>
        </w:numPr>
      </w:pPr>
      <w:r w:rsidRPr="00D46D6D">
        <w:rPr>
          <w:bCs/>
        </w:rPr>
        <w:t>11.10.3</w:t>
      </w:r>
      <w:r>
        <w:t xml:space="preserve"> should be applied.</w:t>
      </w:r>
    </w:p>
    <w:p w14:paraId="5098034F" w14:textId="038AE84A" w:rsidR="0006479E" w:rsidRDefault="0006479E" w:rsidP="00724E4E">
      <w:pPr>
        <w:pStyle w:val="Clause"/>
      </w:pPr>
      <w:r>
        <w:t xml:space="preserve">The local slenderness of filled composite braces should satisfy the limits defined in Table 12.4 for class 1 in DC3 and class 1 or 2 in DC2. </w:t>
      </w:r>
    </w:p>
    <w:p w14:paraId="72C3D685" w14:textId="77777777" w:rsidR="0006479E" w:rsidRDefault="0006479E" w:rsidP="001C774B">
      <w:pPr>
        <w:pStyle w:val="Heading3"/>
      </w:pPr>
      <w:bookmarkStart w:id="10178" w:name="_Toc134198049"/>
      <w:r>
        <w:t>12.10.4.</w:t>
      </w:r>
      <w:r>
        <w:tab/>
        <w:t>Verification of beams and columns</w:t>
      </w:r>
      <w:bookmarkEnd w:id="10178"/>
    </w:p>
    <w:p w14:paraId="5E09B0F0" w14:textId="302C3F50" w:rsidR="0006479E" w:rsidRDefault="0006479E" w:rsidP="0080187E">
      <w:pPr>
        <w:pStyle w:val="Clause"/>
        <w:numPr>
          <w:ilvl w:val="0"/>
          <w:numId w:val="173"/>
        </w:numPr>
      </w:pPr>
      <w:r w:rsidRPr="00D46D6D">
        <w:rPr>
          <w:bCs/>
        </w:rPr>
        <w:t>11.10.4</w:t>
      </w:r>
      <w:r>
        <w:t xml:space="preserve"> should be applied.</w:t>
      </w:r>
    </w:p>
    <w:p w14:paraId="34D5D482" w14:textId="714721B4" w:rsidR="0006479E" w:rsidRDefault="0006479E" w:rsidP="00724E4E">
      <w:pPr>
        <w:pStyle w:val="Clause"/>
      </w:pPr>
      <w:r>
        <w:t xml:space="preserve">Composite steel beams with slab should conform to </w:t>
      </w:r>
      <w:r w:rsidRPr="00D46D6D">
        <w:rPr>
          <w:bCs/>
        </w:rPr>
        <w:t>12.8.6.2</w:t>
      </w:r>
      <w:r>
        <w:t>.</w:t>
      </w:r>
    </w:p>
    <w:p w14:paraId="0A465998" w14:textId="3347BB16" w:rsidR="0006479E" w:rsidRDefault="0006479E" w:rsidP="00724E4E">
      <w:pPr>
        <w:pStyle w:val="Clause"/>
      </w:pPr>
      <w:r>
        <w:t xml:space="preserve">Concrete-encased composite beams should conform to </w:t>
      </w:r>
      <w:r w:rsidRPr="00D46D6D">
        <w:rPr>
          <w:bCs/>
        </w:rPr>
        <w:t>12.8.6.3</w:t>
      </w:r>
      <w:r>
        <w:t>.</w:t>
      </w:r>
    </w:p>
    <w:p w14:paraId="47E7D1F1" w14:textId="6CF16093" w:rsidR="0006479E" w:rsidRDefault="0006479E" w:rsidP="00724E4E">
      <w:pPr>
        <w:pStyle w:val="Clause"/>
      </w:pPr>
      <w:r>
        <w:t xml:space="preserve">Encased of filled composite columns should conform to </w:t>
      </w:r>
      <w:r w:rsidRPr="00D46D6D">
        <w:rPr>
          <w:bCs/>
        </w:rPr>
        <w:t>12.8.7</w:t>
      </w:r>
      <w:r>
        <w:t>.</w:t>
      </w:r>
    </w:p>
    <w:p w14:paraId="236DED75" w14:textId="722C3972" w:rsidR="0006479E" w:rsidRDefault="0006479E" w:rsidP="00724E4E">
      <w:pPr>
        <w:pStyle w:val="Clause"/>
      </w:pPr>
      <w:r>
        <w:t xml:space="preserve">Reinforced concrete columns should conform to </w:t>
      </w:r>
      <w:r w:rsidRPr="00D46D6D">
        <w:rPr>
          <w:bCs/>
        </w:rPr>
        <w:t>10.6</w:t>
      </w:r>
      <w:r>
        <w:t>.</w:t>
      </w:r>
    </w:p>
    <w:p w14:paraId="4B3B725A" w14:textId="37267072" w:rsidR="0006479E" w:rsidRDefault="0006479E" w:rsidP="001C774B">
      <w:pPr>
        <w:pStyle w:val="Heading3"/>
      </w:pPr>
      <w:bookmarkStart w:id="10179" w:name="_Toc134198050"/>
      <w:r>
        <w:t>Verification of beam to column connections</w:t>
      </w:r>
      <w:bookmarkEnd w:id="10179"/>
    </w:p>
    <w:p w14:paraId="429EC029" w14:textId="1C8E69D9" w:rsidR="0006479E" w:rsidRDefault="0006479E" w:rsidP="0080187E">
      <w:pPr>
        <w:pStyle w:val="Clause"/>
        <w:numPr>
          <w:ilvl w:val="0"/>
          <w:numId w:val="174"/>
        </w:numPr>
      </w:pPr>
      <w:r w:rsidRPr="00D46D6D">
        <w:rPr>
          <w:bCs/>
        </w:rPr>
        <w:t>11.10.5</w:t>
      </w:r>
      <w:r>
        <w:t xml:space="preserve"> should be applied with Annex E, wherever applicable.</w:t>
      </w:r>
    </w:p>
    <w:p w14:paraId="5F3EBA16" w14:textId="3438FFC2" w:rsidR="0006479E" w:rsidRDefault="0006479E" w:rsidP="00724E4E">
      <w:pPr>
        <w:pStyle w:val="Clause"/>
      </w:pPr>
      <w:r>
        <w:t xml:space="preserve">In composite frames with bracings and composite steel beams with slab or concrete-encased composite beams, </w:t>
      </w:r>
      <w:r w:rsidRPr="00D46D6D">
        <w:rPr>
          <w:bCs/>
        </w:rPr>
        <w:t>11.10.5(2)</w:t>
      </w:r>
      <w:r>
        <w:t xml:space="preserve"> should be applied with </w:t>
      </w:r>
      <w:r w:rsidR="00A51CCF" w:rsidRPr="00E05E29">
        <w:rPr>
          <w:i/>
          <w:iCs/>
        </w:rPr>
        <w:t>M</w:t>
      </w:r>
      <w:r w:rsidR="00A51CCF" w:rsidRPr="00E05E29">
        <w:rPr>
          <w:vertAlign w:val="subscript"/>
        </w:rPr>
        <w:t>b,pl,Rd</w:t>
      </w:r>
      <w:r w:rsidR="00A51CCF" w:rsidRPr="00E05E29">
        <w:t xml:space="preserve"> </w:t>
      </w:r>
      <w:r>
        <w:t xml:space="preserve">calculated according to </w:t>
      </w:r>
      <w:r w:rsidRPr="00D46D6D">
        <w:rPr>
          <w:bCs/>
        </w:rPr>
        <w:t>12.8.6.2</w:t>
      </w:r>
      <w:r>
        <w:t xml:space="preserve"> and </w:t>
      </w:r>
      <w:r w:rsidRPr="00D46D6D">
        <w:rPr>
          <w:bCs/>
        </w:rPr>
        <w:t>12.8.6.3</w:t>
      </w:r>
      <w:r>
        <w:t>, whichever is applicable.</w:t>
      </w:r>
    </w:p>
    <w:p w14:paraId="0475CBFE" w14:textId="2DA6C8A7" w:rsidR="0006479E" w:rsidRDefault="0006479E" w:rsidP="00A51CCF">
      <w:pPr>
        <w:pStyle w:val="Heading3"/>
      </w:pPr>
      <w:bookmarkStart w:id="10180" w:name="_Toc134198051"/>
      <w:r>
        <w:t>Verification of brace connections</w:t>
      </w:r>
      <w:bookmarkEnd w:id="10180"/>
    </w:p>
    <w:p w14:paraId="361F7543" w14:textId="117C9255" w:rsidR="0006479E" w:rsidRDefault="0006479E" w:rsidP="0080187E">
      <w:pPr>
        <w:pStyle w:val="Clause"/>
        <w:numPr>
          <w:ilvl w:val="0"/>
          <w:numId w:val="175"/>
        </w:numPr>
      </w:pPr>
      <w:r w:rsidRPr="00D46D6D">
        <w:rPr>
          <w:bCs/>
        </w:rPr>
        <w:t>11.10.6</w:t>
      </w:r>
      <w:r>
        <w:t xml:space="preserve"> should be applied. </w:t>
      </w:r>
    </w:p>
    <w:p w14:paraId="6FE268B3" w14:textId="42ACAFFC" w:rsidR="0006479E" w:rsidRDefault="0006479E" w:rsidP="00724E4E">
      <w:pPr>
        <w:pStyle w:val="Clause"/>
      </w:pPr>
      <w:r>
        <w:t xml:space="preserve">In composite frames with filled composite bracings, </w:t>
      </w:r>
      <w:r w:rsidRPr="00D46D6D">
        <w:rPr>
          <w:bCs/>
        </w:rPr>
        <w:t>11.10.6(2)</w:t>
      </w:r>
      <w:r>
        <w:t xml:space="preserve"> should be applied with </w:t>
      </w:r>
      <w:r w:rsidR="00A51CCF" w:rsidRPr="00E05E29">
        <w:rPr>
          <w:i/>
          <w:iCs/>
        </w:rPr>
        <w:t>N</w:t>
      </w:r>
      <w:r w:rsidR="00A51CCF" w:rsidRPr="00E05E29">
        <w:rPr>
          <w:vertAlign w:val="subscript"/>
        </w:rPr>
        <w:t>b,Rd</w:t>
      </w:r>
      <w:r w:rsidR="00A51CCF" w:rsidRPr="00E05E29">
        <w:t xml:space="preserve"> and </w:t>
      </w:r>
      <w:r w:rsidR="00A51CCF" w:rsidRPr="00E05E29">
        <w:rPr>
          <w:i/>
          <w:iCs/>
        </w:rPr>
        <w:t>N</w:t>
      </w:r>
      <w:r w:rsidR="00A51CCF" w:rsidRPr="00E05E29">
        <w:rPr>
          <w:vertAlign w:val="subscript"/>
        </w:rPr>
        <w:t>pl,Rd</w:t>
      </w:r>
      <w:r w:rsidR="00A51CCF" w:rsidRPr="00E05E29">
        <w:t xml:space="preserve"> </w:t>
      </w:r>
      <w:r>
        <w:t>calculated based on the entire composite cross section.</w:t>
      </w:r>
    </w:p>
    <w:p w14:paraId="5BD7814E" w14:textId="7871C668" w:rsidR="0006479E" w:rsidRDefault="0006479E" w:rsidP="00724E4E">
      <w:pPr>
        <w:pStyle w:val="Clause"/>
      </w:pPr>
      <w:r>
        <w:t>In composite frames with bracings, brace connections accommodating buckling of diagonal members should conform to Annex E.</w:t>
      </w:r>
    </w:p>
    <w:p w14:paraId="758864ED" w14:textId="546A10C6" w:rsidR="0006479E" w:rsidRDefault="0006479E" w:rsidP="00A51CCF">
      <w:pPr>
        <w:pStyle w:val="Heading3"/>
      </w:pPr>
      <w:bookmarkStart w:id="10181" w:name="_Toc134198052"/>
      <w:r>
        <w:lastRenderedPageBreak/>
        <w:t>Verification of column base joints</w:t>
      </w:r>
      <w:bookmarkEnd w:id="10181"/>
    </w:p>
    <w:p w14:paraId="0C94BEE7" w14:textId="18D90D17" w:rsidR="0006479E" w:rsidRDefault="0006479E" w:rsidP="0080187E">
      <w:pPr>
        <w:pStyle w:val="Clause"/>
        <w:numPr>
          <w:ilvl w:val="0"/>
          <w:numId w:val="176"/>
        </w:numPr>
      </w:pPr>
      <w:r w:rsidRPr="00D46D6D">
        <w:rPr>
          <w:bCs/>
        </w:rPr>
        <w:t>11.10.7</w:t>
      </w:r>
      <w:r>
        <w:t xml:space="preserve"> and Annex H should be applied.</w:t>
      </w:r>
    </w:p>
    <w:p w14:paraId="416C5F7C" w14:textId="3011D84A" w:rsidR="0006479E" w:rsidRDefault="0006479E" w:rsidP="00724E4E">
      <w:pPr>
        <w:pStyle w:val="Clause"/>
      </w:pPr>
      <w:r>
        <w:t xml:space="preserve">In composite frames with filled composite bracings, </w:t>
      </w:r>
      <w:r w:rsidRPr="00D46D6D">
        <w:rPr>
          <w:bCs/>
        </w:rPr>
        <w:t>11.10.7(1)</w:t>
      </w:r>
      <w:r>
        <w:t xml:space="preserve"> should be applied with </w:t>
      </w:r>
      <w:r w:rsidR="00A51CCF" w:rsidRPr="00E05E29">
        <w:rPr>
          <w:i/>
          <w:iCs/>
        </w:rPr>
        <w:t>N</w:t>
      </w:r>
      <w:r w:rsidR="00A51CCF" w:rsidRPr="00E05E29">
        <w:rPr>
          <w:vertAlign w:val="subscript"/>
        </w:rPr>
        <w:t>b,Rd</w:t>
      </w:r>
      <w:r w:rsidR="00A51CCF" w:rsidRPr="00E05E29">
        <w:t xml:space="preserve"> </w:t>
      </w:r>
      <w:r>
        <w:t>calculated based on the entire composite cross section.</w:t>
      </w:r>
    </w:p>
    <w:p w14:paraId="75980165" w14:textId="42E74E1E" w:rsidR="0006479E" w:rsidRDefault="0006479E" w:rsidP="00A51CCF">
      <w:pPr>
        <w:pStyle w:val="Heading2"/>
      </w:pPr>
      <w:bookmarkStart w:id="10182" w:name="_Toc134198053"/>
      <w:r>
        <w:t>Design and detailing rules for composite frames with eccentric bracings in DC2 and DC3</w:t>
      </w:r>
      <w:bookmarkEnd w:id="10182"/>
    </w:p>
    <w:p w14:paraId="637A685D" w14:textId="50D1C04F" w:rsidR="0006479E" w:rsidRDefault="0006479E" w:rsidP="00A51CCF">
      <w:pPr>
        <w:pStyle w:val="Heading3"/>
      </w:pPr>
      <w:bookmarkStart w:id="10183" w:name="_Toc134198054"/>
      <w:r>
        <w:t>Design criteria</w:t>
      </w:r>
      <w:bookmarkEnd w:id="10183"/>
    </w:p>
    <w:p w14:paraId="6A02AE8B" w14:textId="279B67C4" w:rsidR="0006479E" w:rsidRDefault="0006479E" w:rsidP="0080187E">
      <w:pPr>
        <w:pStyle w:val="Clause"/>
        <w:numPr>
          <w:ilvl w:val="0"/>
          <w:numId w:val="177"/>
        </w:numPr>
      </w:pPr>
      <w:r w:rsidRPr="00D46D6D">
        <w:rPr>
          <w:bCs/>
        </w:rPr>
        <w:t>11.11.1</w:t>
      </w:r>
      <w:r>
        <w:t xml:space="preserve"> should be applied.</w:t>
      </w:r>
    </w:p>
    <w:p w14:paraId="03EF06E2" w14:textId="4C9F8B08" w:rsidR="0006479E" w:rsidRDefault="0006479E" w:rsidP="00724E4E">
      <w:pPr>
        <w:pStyle w:val="Clause"/>
      </w:pPr>
      <w:r>
        <w:t>Columns should be either structural steel, reinforced concrete, encased composite or filled composite.</w:t>
      </w:r>
    </w:p>
    <w:p w14:paraId="03E7AD4C" w14:textId="6A4639E6" w:rsidR="0006479E" w:rsidRDefault="0006479E" w:rsidP="00724E4E">
      <w:pPr>
        <w:pStyle w:val="Clause"/>
      </w:pPr>
      <w:r>
        <w:t>Beams should be either structural steel or composite with a concrete slab or concrete-encased composite.</w:t>
      </w:r>
    </w:p>
    <w:p w14:paraId="69F001FE" w14:textId="746C301D" w:rsidR="0006479E" w:rsidRDefault="0006479E" w:rsidP="00724E4E">
      <w:pPr>
        <w:pStyle w:val="Clause"/>
      </w:pPr>
      <w:r>
        <w:t>Braces should be structural steel or filled composite.</w:t>
      </w:r>
    </w:p>
    <w:p w14:paraId="37894EC2" w14:textId="0C8988AA" w:rsidR="0006479E" w:rsidRDefault="0006479E" w:rsidP="00724E4E">
      <w:pPr>
        <w:pStyle w:val="Clause"/>
      </w:pPr>
      <w:r>
        <w:t>Braces, columns and beam segments outside the seismic links should be designed to remain elastic under the maximum forces corresponding to fully yielded and cyclically strain-hardened beam links.</w:t>
      </w:r>
    </w:p>
    <w:p w14:paraId="299F2804" w14:textId="5C732067" w:rsidR="0006479E" w:rsidRDefault="0006479E" w:rsidP="00A51CCF">
      <w:pPr>
        <w:pStyle w:val="Heading3"/>
      </w:pPr>
      <w:bookmarkStart w:id="10184" w:name="_Toc134198055"/>
      <w:r>
        <w:t>Analysis</w:t>
      </w:r>
      <w:bookmarkEnd w:id="10184"/>
    </w:p>
    <w:p w14:paraId="59CEFC7D" w14:textId="3BEDC248" w:rsidR="0006479E" w:rsidRDefault="0006479E" w:rsidP="0080187E">
      <w:pPr>
        <w:pStyle w:val="Clause"/>
        <w:numPr>
          <w:ilvl w:val="0"/>
          <w:numId w:val="178"/>
        </w:numPr>
      </w:pPr>
      <w:r w:rsidRPr="00D46D6D">
        <w:rPr>
          <w:bCs/>
        </w:rPr>
        <w:t>12.5</w:t>
      </w:r>
      <w:r>
        <w:t xml:space="preserve"> should be applied.</w:t>
      </w:r>
    </w:p>
    <w:p w14:paraId="74B93BD9" w14:textId="34F0CD57" w:rsidR="0006479E" w:rsidRDefault="0006479E" w:rsidP="00724E4E">
      <w:pPr>
        <w:pStyle w:val="Clause"/>
      </w:pPr>
      <w:r w:rsidRPr="00D46D6D">
        <w:rPr>
          <w:bCs/>
        </w:rPr>
        <w:t>12.9.2</w:t>
      </w:r>
      <w:r>
        <w:t xml:space="preserve"> should be applied.</w:t>
      </w:r>
    </w:p>
    <w:p w14:paraId="0139D804" w14:textId="7F09C52F" w:rsidR="0006479E" w:rsidRDefault="0006479E" w:rsidP="00724E4E">
      <w:pPr>
        <w:pStyle w:val="Clause"/>
      </w:pPr>
      <w:r w:rsidRPr="00D46D6D">
        <w:rPr>
          <w:bCs/>
        </w:rPr>
        <w:t>12.10.2(4)</w:t>
      </w:r>
      <w:r>
        <w:t xml:space="preserve"> and </w:t>
      </w:r>
      <w:r w:rsidRPr="00D46D6D">
        <w:rPr>
          <w:bCs/>
        </w:rPr>
        <w:t>12.10.2(5)</w:t>
      </w:r>
      <w:r>
        <w:t xml:space="preserve"> should be applied.</w:t>
      </w:r>
    </w:p>
    <w:p w14:paraId="2320BF63" w14:textId="2515643F" w:rsidR="0006479E" w:rsidRDefault="0006479E" w:rsidP="00977C48">
      <w:pPr>
        <w:pStyle w:val="Heading3"/>
      </w:pPr>
      <w:bookmarkStart w:id="10185" w:name="_Toc134198056"/>
      <w:r>
        <w:t>Verification of seismic Links</w:t>
      </w:r>
      <w:bookmarkEnd w:id="10185"/>
      <w:r>
        <w:t xml:space="preserve"> </w:t>
      </w:r>
    </w:p>
    <w:p w14:paraId="3A5AF9B4" w14:textId="7587FEE7" w:rsidR="0006479E" w:rsidRDefault="0006479E" w:rsidP="0080187E">
      <w:pPr>
        <w:pStyle w:val="Clause"/>
        <w:numPr>
          <w:ilvl w:val="0"/>
          <w:numId w:val="179"/>
        </w:numPr>
      </w:pPr>
      <w:r w:rsidRPr="00D46D6D">
        <w:rPr>
          <w:bCs/>
        </w:rPr>
        <w:t>11.11.2</w:t>
      </w:r>
      <w:r>
        <w:t xml:space="preserve"> should be applied. </w:t>
      </w:r>
    </w:p>
    <w:p w14:paraId="4F2A5155" w14:textId="7B909978" w:rsidR="0006479E" w:rsidRDefault="0006479E" w:rsidP="00724E4E">
      <w:pPr>
        <w:pStyle w:val="Clause"/>
      </w:pPr>
      <w:r>
        <w:t>Seismic links should not be encased.</w:t>
      </w:r>
    </w:p>
    <w:p w14:paraId="257F116F" w14:textId="2A428C0E" w:rsidR="0006479E" w:rsidRDefault="0006479E" w:rsidP="00724E4E">
      <w:pPr>
        <w:pStyle w:val="Clause"/>
      </w:pPr>
      <w:r>
        <w:t xml:space="preserve">The concrete slab should be disregarded for calculating </w:t>
      </w:r>
      <w:r w:rsidR="00BD13FE" w:rsidRPr="00E05E29">
        <w:rPr>
          <w:i/>
          <w:iCs/>
        </w:rPr>
        <w:t>M</w:t>
      </w:r>
      <w:r w:rsidR="00BD13FE" w:rsidRPr="00E05E29">
        <w:rPr>
          <w:vertAlign w:val="subscript"/>
        </w:rPr>
        <w:t>p,link</w:t>
      </w:r>
      <w:r w:rsidR="00BD13FE" w:rsidRPr="00E05E29">
        <w:t xml:space="preserve"> </w:t>
      </w:r>
      <w:r>
        <w:t>according to Formula (11.28). Only the steel components of the seismic link cross section should be taken into account.</w:t>
      </w:r>
    </w:p>
    <w:p w14:paraId="16CC83DA" w14:textId="4EDDBC88" w:rsidR="0006479E" w:rsidRDefault="0006479E" w:rsidP="00724E4E">
      <w:pPr>
        <w:pStyle w:val="Clause"/>
      </w:pPr>
      <w:r>
        <w:t xml:space="preserve">When a seismic link frames into an encased or reinforced column, face bearing plates should be provided on both sides of the link at the column face and in the end section of the link. The design of the face bearing plates should conform to Annex G, </w:t>
      </w:r>
      <w:r w:rsidRPr="00D46D6D">
        <w:rPr>
          <w:bCs/>
        </w:rPr>
        <w:t>G.5.9</w:t>
      </w:r>
      <w:r>
        <w:t>.</w:t>
      </w:r>
    </w:p>
    <w:p w14:paraId="3EEB0256" w14:textId="7E61C252" w:rsidR="0006479E" w:rsidRDefault="0006479E" w:rsidP="00724E4E">
      <w:pPr>
        <w:pStyle w:val="Clause"/>
      </w:pPr>
      <w:r>
        <w:t xml:space="preserve">The design of composite connections adjacent to dissipative links should conform to </w:t>
      </w:r>
      <w:r w:rsidRPr="00D46D6D">
        <w:rPr>
          <w:bCs/>
        </w:rPr>
        <w:t>12.8.8</w:t>
      </w:r>
      <w:r>
        <w:t>.</w:t>
      </w:r>
    </w:p>
    <w:p w14:paraId="58C5634D" w14:textId="46EB9FED" w:rsidR="0006479E" w:rsidRDefault="0006479E" w:rsidP="00977C48">
      <w:pPr>
        <w:pStyle w:val="Heading3"/>
      </w:pPr>
      <w:bookmarkStart w:id="10186" w:name="_Toc134198057"/>
      <w:r>
        <w:t>Verification of diagonal members</w:t>
      </w:r>
      <w:bookmarkEnd w:id="10186"/>
    </w:p>
    <w:p w14:paraId="277F5472" w14:textId="7915B195" w:rsidR="0006479E" w:rsidRDefault="0006479E" w:rsidP="0080187E">
      <w:pPr>
        <w:pStyle w:val="Clause"/>
        <w:numPr>
          <w:ilvl w:val="0"/>
          <w:numId w:val="180"/>
        </w:numPr>
      </w:pPr>
      <w:r w:rsidRPr="00D46D6D">
        <w:rPr>
          <w:bCs/>
        </w:rPr>
        <w:t>12.10.3</w:t>
      </w:r>
      <w:r>
        <w:t xml:space="preserve"> should be applied.</w:t>
      </w:r>
    </w:p>
    <w:p w14:paraId="5AD75A3A" w14:textId="6AA397F7" w:rsidR="0006479E" w:rsidRDefault="0006479E" w:rsidP="00BD13FE">
      <w:pPr>
        <w:pStyle w:val="Heading3"/>
      </w:pPr>
      <w:bookmarkStart w:id="10187" w:name="_Toc134198058"/>
      <w:r>
        <w:t>Verification of beams and columns</w:t>
      </w:r>
      <w:bookmarkEnd w:id="10187"/>
    </w:p>
    <w:p w14:paraId="12AD417C" w14:textId="17C0F9F0" w:rsidR="0006479E" w:rsidRDefault="0006479E" w:rsidP="0080187E">
      <w:pPr>
        <w:pStyle w:val="Clause"/>
        <w:numPr>
          <w:ilvl w:val="0"/>
          <w:numId w:val="181"/>
        </w:numPr>
      </w:pPr>
      <w:r w:rsidRPr="00D46D6D">
        <w:rPr>
          <w:bCs/>
        </w:rPr>
        <w:t>12.10.4</w:t>
      </w:r>
      <w:r>
        <w:t xml:space="preserve"> should be applied.</w:t>
      </w:r>
    </w:p>
    <w:p w14:paraId="1BB5E06E" w14:textId="31A45707" w:rsidR="0006479E" w:rsidRDefault="0006479E" w:rsidP="00BD13FE">
      <w:pPr>
        <w:pStyle w:val="Heading3"/>
      </w:pPr>
      <w:bookmarkStart w:id="10188" w:name="_Toc134198059"/>
      <w:r>
        <w:lastRenderedPageBreak/>
        <w:t>Verification of members and connections not containing seismic links</w:t>
      </w:r>
      <w:bookmarkEnd w:id="10188"/>
    </w:p>
    <w:p w14:paraId="2B6FA026" w14:textId="5AD2804D" w:rsidR="0006479E" w:rsidRDefault="0006479E" w:rsidP="0080187E">
      <w:pPr>
        <w:pStyle w:val="Clause"/>
        <w:numPr>
          <w:ilvl w:val="0"/>
          <w:numId w:val="182"/>
        </w:numPr>
      </w:pPr>
      <w:r>
        <w:t xml:space="preserve">Members not containing seismic links should conform to </w:t>
      </w:r>
      <w:r w:rsidRPr="00D46D6D">
        <w:rPr>
          <w:bCs/>
        </w:rPr>
        <w:t>11.11.3</w:t>
      </w:r>
      <w:r>
        <w:t xml:space="preserve">, taking into account the combined resistance of composite members and the design rules for members in 12.8 and </w:t>
      </w:r>
      <w:r w:rsidR="005E0F4B">
        <w:t>pr</w:t>
      </w:r>
      <w:r w:rsidR="00C30FF9">
        <w:t>EN 1</w:t>
      </w:r>
      <w:r>
        <w:t>994-1-1, wherever applicable.</w:t>
      </w:r>
    </w:p>
    <w:p w14:paraId="745F9084" w14:textId="3CED89F6" w:rsidR="0006479E" w:rsidRDefault="0006479E" w:rsidP="00724E4E">
      <w:pPr>
        <w:pStyle w:val="Clause"/>
      </w:pPr>
      <w:r>
        <w:t xml:space="preserve">Where a seismic link is adjacent to a fully encased composite column, transverse reinforcement conforming to </w:t>
      </w:r>
      <w:r w:rsidRPr="00D46D6D">
        <w:rPr>
          <w:bCs/>
        </w:rPr>
        <w:t>12.8.7.1</w:t>
      </w:r>
      <w:r>
        <w:t xml:space="preserve"> should be provided above and below the link connection over a length of twice the column depth.</w:t>
      </w:r>
    </w:p>
    <w:p w14:paraId="1138196F" w14:textId="5D3E56E0" w:rsidR="0006479E" w:rsidRDefault="0006479E" w:rsidP="00BD13FE">
      <w:pPr>
        <w:pStyle w:val="Heading3"/>
      </w:pPr>
      <w:bookmarkStart w:id="10189" w:name="_Toc134198060"/>
      <w:r>
        <w:t>Verification of connections of the seismic links</w:t>
      </w:r>
      <w:bookmarkEnd w:id="10189"/>
    </w:p>
    <w:p w14:paraId="30346601" w14:textId="18EB2B44" w:rsidR="0006479E" w:rsidRDefault="0006479E" w:rsidP="0080187E">
      <w:pPr>
        <w:pStyle w:val="Clause"/>
        <w:numPr>
          <w:ilvl w:val="0"/>
          <w:numId w:val="183"/>
        </w:numPr>
      </w:pPr>
      <w:r w:rsidRPr="00D46D6D">
        <w:rPr>
          <w:bCs/>
        </w:rPr>
        <w:t>11.11.4</w:t>
      </w:r>
      <w:r>
        <w:t xml:space="preserve"> should be applied.</w:t>
      </w:r>
    </w:p>
    <w:p w14:paraId="653A146B" w14:textId="5ADBD837" w:rsidR="0006479E" w:rsidRDefault="0006479E" w:rsidP="00BD13FE">
      <w:pPr>
        <w:pStyle w:val="Heading3"/>
      </w:pPr>
      <w:bookmarkStart w:id="10190" w:name="_Toc134198061"/>
      <w:r>
        <w:t>Verification of beam to column connections</w:t>
      </w:r>
      <w:bookmarkEnd w:id="10190"/>
    </w:p>
    <w:p w14:paraId="002E47D5" w14:textId="0B914A1F" w:rsidR="0006479E" w:rsidRDefault="0006479E" w:rsidP="0080187E">
      <w:pPr>
        <w:pStyle w:val="Clause"/>
        <w:numPr>
          <w:ilvl w:val="0"/>
          <w:numId w:val="184"/>
        </w:numPr>
      </w:pPr>
      <w:r w:rsidRPr="00D46D6D">
        <w:rPr>
          <w:bCs/>
        </w:rPr>
        <w:t>11.11.5</w:t>
      </w:r>
      <w:r>
        <w:t xml:space="preserve"> should be applied.</w:t>
      </w:r>
    </w:p>
    <w:p w14:paraId="0A866CA1" w14:textId="13A3DBA0" w:rsidR="0006479E" w:rsidRDefault="0006479E" w:rsidP="00724E4E">
      <w:pPr>
        <w:pStyle w:val="Clause"/>
      </w:pPr>
      <w:r w:rsidRPr="00D46D6D">
        <w:rPr>
          <w:bCs/>
        </w:rPr>
        <w:t>12.10.5(2)</w:t>
      </w:r>
      <w:r>
        <w:t xml:space="preserve"> should be applied.</w:t>
      </w:r>
    </w:p>
    <w:p w14:paraId="62022372" w14:textId="5E1208B5" w:rsidR="0006479E" w:rsidRDefault="0006479E" w:rsidP="00BD13FE">
      <w:pPr>
        <w:pStyle w:val="Heading3"/>
      </w:pPr>
      <w:bookmarkStart w:id="10191" w:name="_Toc134198062"/>
      <w:r>
        <w:t>Verification of column base joints</w:t>
      </w:r>
      <w:bookmarkEnd w:id="10191"/>
    </w:p>
    <w:p w14:paraId="0716B529" w14:textId="7360ABEA" w:rsidR="0006479E" w:rsidRDefault="0006479E" w:rsidP="0080187E">
      <w:pPr>
        <w:pStyle w:val="Clause"/>
        <w:numPr>
          <w:ilvl w:val="0"/>
          <w:numId w:val="185"/>
        </w:numPr>
      </w:pPr>
      <w:r w:rsidRPr="00D46D6D">
        <w:rPr>
          <w:bCs/>
        </w:rPr>
        <w:t>12.10.7</w:t>
      </w:r>
      <w:r>
        <w:t xml:space="preserve"> and Annex H should be applied.</w:t>
      </w:r>
    </w:p>
    <w:p w14:paraId="0D30878A" w14:textId="6DCBC04C" w:rsidR="0006479E" w:rsidRDefault="0006479E" w:rsidP="00AA0FCE">
      <w:pPr>
        <w:pStyle w:val="Heading2"/>
      </w:pPr>
      <w:bookmarkStart w:id="10192" w:name="_Toc134198063"/>
      <w:r>
        <w:t>Design and detailing rules for composite frames with buckling restrained bracings</w:t>
      </w:r>
      <w:bookmarkEnd w:id="10192"/>
    </w:p>
    <w:p w14:paraId="19CC81F7" w14:textId="3C566D57" w:rsidR="0006479E" w:rsidRDefault="0006479E" w:rsidP="00AA0FCE">
      <w:pPr>
        <w:pStyle w:val="Heading3"/>
      </w:pPr>
      <w:bookmarkStart w:id="10193" w:name="_Toc134198064"/>
      <w:r>
        <w:t>Design criteria</w:t>
      </w:r>
      <w:bookmarkEnd w:id="10193"/>
    </w:p>
    <w:p w14:paraId="55A2A97C" w14:textId="4D0A2D5B" w:rsidR="0006479E" w:rsidRDefault="0006479E" w:rsidP="0080187E">
      <w:pPr>
        <w:pStyle w:val="Clause"/>
        <w:numPr>
          <w:ilvl w:val="0"/>
          <w:numId w:val="186"/>
        </w:numPr>
      </w:pPr>
      <w:r w:rsidRPr="00D46D6D">
        <w:rPr>
          <w:bCs/>
        </w:rPr>
        <w:t>11.12.1</w:t>
      </w:r>
      <w:r>
        <w:t xml:space="preserve"> should be applied.</w:t>
      </w:r>
    </w:p>
    <w:p w14:paraId="5C4CE232" w14:textId="5CBCDF33" w:rsidR="0006479E" w:rsidRDefault="0006479E" w:rsidP="00724E4E">
      <w:pPr>
        <w:pStyle w:val="Clause"/>
      </w:pPr>
      <w:r>
        <w:t>Columns should be either structural steel, reinforced concrete, encased or filled composite.</w:t>
      </w:r>
    </w:p>
    <w:p w14:paraId="0C8E8470" w14:textId="720C299C" w:rsidR="0006479E" w:rsidRDefault="0006479E" w:rsidP="00724E4E">
      <w:pPr>
        <w:pStyle w:val="Clause"/>
      </w:pPr>
      <w:r>
        <w:t>Beams should be either structural steel or composite with a concrete slab or concrete-encased composite.</w:t>
      </w:r>
    </w:p>
    <w:p w14:paraId="527B8238" w14:textId="57E6CD33" w:rsidR="0006479E" w:rsidRDefault="0006479E" w:rsidP="00AA0FCE">
      <w:pPr>
        <w:pStyle w:val="Heading3"/>
      </w:pPr>
      <w:bookmarkStart w:id="10194" w:name="_Toc134198065"/>
      <w:r>
        <w:t>Analysis</w:t>
      </w:r>
      <w:bookmarkEnd w:id="10194"/>
    </w:p>
    <w:p w14:paraId="673F8DC3" w14:textId="644B8093" w:rsidR="0006479E" w:rsidRDefault="0006479E" w:rsidP="0080187E">
      <w:pPr>
        <w:pStyle w:val="Clause"/>
        <w:numPr>
          <w:ilvl w:val="0"/>
          <w:numId w:val="187"/>
        </w:numPr>
      </w:pPr>
      <w:r w:rsidRPr="00D46D6D">
        <w:rPr>
          <w:bCs/>
        </w:rPr>
        <w:t>11.12.2</w:t>
      </w:r>
      <w:r>
        <w:t xml:space="preserve"> and</w:t>
      </w:r>
      <w:r w:rsidR="00AA0FCE">
        <w:t xml:space="preserve"> </w:t>
      </w:r>
      <w:r w:rsidRPr="00D46D6D">
        <w:rPr>
          <w:bCs/>
        </w:rPr>
        <w:t>12.9.2</w:t>
      </w:r>
      <w:r>
        <w:t xml:space="preserve"> should be applied.</w:t>
      </w:r>
    </w:p>
    <w:p w14:paraId="0C2E4F81" w14:textId="214A894F" w:rsidR="0006479E" w:rsidRDefault="0006479E" w:rsidP="00AA0FCE">
      <w:pPr>
        <w:pStyle w:val="Heading3"/>
      </w:pPr>
      <w:bookmarkStart w:id="10195" w:name="_Toc134198066"/>
      <w:r>
        <w:t>Design rules of buckling restrained bracings</w:t>
      </w:r>
      <w:bookmarkEnd w:id="10195"/>
    </w:p>
    <w:p w14:paraId="67ACBD49" w14:textId="43D95D6B" w:rsidR="0006479E" w:rsidRDefault="0006479E" w:rsidP="0080187E">
      <w:pPr>
        <w:pStyle w:val="Clause"/>
        <w:numPr>
          <w:ilvl w:val="0"/>
          <w:numId w:val="188"/>
        </w:numPr>
      </w:pPr>
      <w:r w:rsidRPr="00D46D6D">
        <w:rPr>
          <w:bCs/>
        </w:rPr>
        <w:t>11.12.3</w:t>
      </w:r>
      <w:r>
        <w:t xml:space="preserve"> should be applied.</w:t>
      </w:r>
    </w:p>
    <w:p w14:paraId="68E686EA" w14:textId="57BEDCB5" w:rsidR="0006479E" w:rsidRDefault="0006479E" w:rsidP="00AA0FCE">
      <w:pPr>
        <w:pStyle w:val="Heading3"/>
      </w:pPr>
      <w:bookmarkStart w:id="10196" w:name="_Toc134198067"/>
      <w:r>
        <w:t>Conformity criteria</w:t>
      </w:r>
      <w:bookmarkEnd w:id="10196"/>
    </w:p>
    <w:p w14:paraId="6ED2A056" w14:textId="5E1997B9" w:rsidR="0006479E" w:rsidRDefault="0006479E" w:rsidP="0080187E">
      <w:pPr>
        <w:pStyle w:val="Clause"/>
        <w:numPr>
          <w:ilvl w:val="0"/>
          <w:numId w:val="189"/>
        </w:numPr>
      </w:pPr>
      <w:r w:rsidRPr="00D46D6D">
        <w:rPr>
          <w:bCs/>
        </w:rPr>
        <w:t>11.12.4</w:t>
      </w:r>
      <w:r>
        <w:t xml:space="preserve"> should be applied.</w:t>
      </w:r>
    </w:p>
    <w:p w14:paraId="215E0193" w14:textId="431B7260" w:rsidR="0006479E" w:rsidRDefault="0006479E" w:rsidP="00AA0FCE">
      <w:pPr>
        <w:pStyle w:val="Heading3"/>
      </w:pPr>
      <w:bookmarkStart w:id="10197" w:name="_Toc134198068"/>
      <w:r>
        <w:t>Verification of beams and columns</w:t>
      </w:r>
      <w:bookmarkEnd w:id="10197"/>
    </w:p>
    <w:p w14:paraId="2E6F2178" w14:textId="7B8308AF" w:rsidR="0006479E" w:rsidRDefault="0006479E" w:rsidP="0080187E">
      <w:pPr>
        <w:pStyle w:val="Clause"/>
        <w:numPr>
          <w:ilvl w:val="0"/>
          <w:numId w:val="190"/>
        </w:numPr>
      </w:pPr>
      <w:r w:rsidRPr="00D46D6D">
        <w:rPr>
          <w:bCs/>
        </w:rPr>
        <w:t>11.12.5</w:t>
      </w:r>
      <w:r>
        <w:t xml:space="preserve"> should be applied.</w:t>
      </w:r>
    </w:p>
    <w:p w14:paraId="7863D3DA" w14:textId="4990D0B1" w:rsidR="0006479E" w:rsidRDefault="0006479E" w:rsidP="00724E4E">
      <w:pPr>
        <w:pStyle w:val="Clause"/>
      </w:pPr>
      <w:r>
        <w:t xml:space="preserve">Composite steel beams with slab should conform to </w:t>
      </w:r>
      <w:r w:rsidRPr="00D46D6D">
        <w:rPr>
          <w:bCs/>
        </w:rPr>
        <w:t>12.8.6.2</w:t>
      </w:r>
      <w:r>
        <w:t>.</w:t>
      </w:r>
    </w:p>
    <w:p w14:paraId="28C35B8A" w14:textId="6CF4A563" w:rsidR="0006479E" w:rsidRDefault="0006479E" w:rsidP="00724E4E">
      <w:pPr>
        <w:pStyle w:val="Clause"/>
      </w:pPr>
      <w:r>
        <w:t xml:space="preserve">Concrete-encased composite beams should conform to </w:t>
      </w:r>
      <w:r w:rsidRPr="00D46D6D">
        <w:rPr>
          <w:bCs/>
        </w:rPr>
        <w:t>12.8.6.3</w:t>
      </w:r>
      <w:r>
        <w:t>.</w:t>
      </w:r>
    </w:p>
    <w:p w14:paraId="699B9506" w14:textId="24106D9C" w:rsidR="0006479E" w:rsidRDefault="0006479E" w:rsidP="00724E4E">
      <w:pPr>
        <w:pStyle w:val="Clause"/>
      </w:pPr>
      <w:r>
        <w:lastRenderedPageBreak/>
        <w:t xml:space="preserve">Encased of filled composite columns should conform to </w:t>
      </w:r>
      <w:r w:rsidRPr="00D46D6D">
        <w:rPr>
          <w:bCs/>
        </w:rPr>
        <w:t>12.8.7</w:t>
      </w:r>
      <w:r>
        <w:t>.</w:t>
      </w:r>
    </w:p>
    <w:p w14:paraId="10B0E37F" w14:textId="0E57F43D" w:rsidR="0006479E" w:rsidRDefault="0006479E" w:rsidP="00724E4E">
      <w:pPr>
        <w:pStyle w:val="Clause"/>
      </w:pPr>
      <w:r>
        <w:t xml:space="preserve">Reinforced concrete columns, should conform to </w:t>
      </w:r>
      <w:r w:rsidRPr="00D46D6D">
        <w:rPr>
          <w:bCs/>
        </w:rPr>
        <w:t>10.6</w:t>
      </w:r>
      <w:r>
        <w:t>.</w:t>
      </w:r>
    </w:p>
    <w:p w14:paraId="6D142A38" w14:textId="06AF7FE1" w:rsidR="0006479E" w:rsidRDefault="0006479E" w:rsidP="00AA0FCE">
      <w:pPr>
        <w:pStyle w:val="Heading3"/>
      </w:pPr>
      <w:bookmarkStart w:id="10198" w:name="_Toc134198069"/>
      <w:r>
        <w:t>Verification of beams to column connections</w:t>
      </w:r>
      <w:bookmarkEnd w:id="10198"/>
    </w:p>
    <w:p w14:paraId="39A49131" w14:textId="1E319B28" w:rsidR="0006479E" w:rsidRDefault="0006479E" w:rsidP="0080187E">
      <w:pPr>
        <w:pStyle w:val="Clause"/>
        <w:numPr>
          <w:ilvl w:val="0"/>
          <w:numId w:val="191"/>
        </w:numPr>
      </w:pPr>
      <w:r>
        <w:t xml:space="preserve">Beam-to-column connections should be designed according to </w:t>
      </w:r>
      <w:r w:rsidRPr="00D46D6D">
        <w:rPr>
          <w:bCs/>
        </w:rPr>
        <w:t>11.12.6</w:t>
      </w:r>
      <w:r>
        <w:t xml:space="preserve"> and Annex E for joints of frames equipped with buckling restrained bracings.</w:t>
      </w:r>
    </w:p>
    <w:p w14:paraId="7962DF89" w14:textId="3EF500EB" w:rsidR="0006479E" w:rsidRDefault="0006479E" w:rsidP="00724E4E">
      <w:pPr>
        <w:pStyle w:val="Clause"/>
      </w:pPr>
      <w:r>
        <w:t xml:space="preserve">In composite frames with buckling-restrained bracings and composite steel beams with slab or concrete-encased composite beams, </w:t>
      </w:r>
      <w:r w:rsidRPr="00D46D6D">
        <w:rPr>
          <w:bCs/>
        </w:rPr>
        <w:t>12.10.5(2)</w:t>
      </w:r>
      <w:r>
        <w:t xml:space="preserve"> should be applied.</w:t>
      </w:r>
    </w:p>
    <w:p w14:paraId="612689B2" w14:textId="364591C4" w:rsidR="0006479E" w:rsidRDefault="0006479E" w:rsidP="00AA0FCE">
      <w:pPr>
        <w:pStyle w:val="Heading3"/>
      </w:pPr>
      <w:bookmarkStart w:id="10199" w:name="_Toc134198070"/>
      <w:r>
        <w:t>Verification of brace connections</w:t>
      </w:r>
      <w:bookmarkEnd w:id="10199"/>
    </w:p>
    <w:p w14:paraId="1E7D667B" w14:textId="4CE2A68E" w:rsidR="0006479E" w:rsidRDefault="0006479E" w:rsidP="0080187E">
      <w:pPr>
        <w:pStyle w:val="Clause"/>
        <w:numPr>
          <w:ilvl w:val="0"/>
          <w:numId w:val="192"/>
        </w:numPr>
      </w:pPr>
      <w:r w:rsidRPr="00D46D6D">
        <w:rPr>
          <w:bCs/>
        </w:rPr>
        <w:t>11.12.7</w:t>
      </w:r>
      <w:r>
        <w:t xml:space="preserve"> should be applied. </w:t>
      </w:r>
    </w:p>
    <w:p w14:paraId="4BD136FA" w14:textId="746DA6F6" w:rsidR="0006479E" w:rsidRDefault="0006479E" w:rsidP="00724E4E">
      <w:pPr>
        <w:pStyle w:val="Clause"/>
      </w:pPr>
      <w:r>
        <w:t xml:space="preserve">In composite frames with buckling-restrained bracings and composite steel beams with slab or concrete-encased composite beams, </w:t>
      </w:r>
      <w:r w:rsidRPr="00D46D6D">
        <w:rPr>
          <w:bCs/>
        </w:rPr>
        <w:t>11.11.7(2)</w:t>
      </w:r>
      <w:r>
        <w:t xml:space="preserve"> should be applied with </w:t>
      </w:r>
      <w:r w:rsidR="006B1EAC" w:rsidRPr="002E0836">
        <w:rPr>
          <w:i/>
          <w:iCs/>
        </w:rPr>
        <w:t>M</w:t>
      </w:r>
      <w:r w:rsidR="006B1EAC" w:rsidRPr="002E0836">
        <w:rPr>
          <w:vertAlign w:val="subscript"/>
        </w:rPr>
        <w:t>Rd</w:t>
      </w:r>
      <w:r>
        <w:t xml:space="preserve"> calculated according to </w:t>
      </w:r>
      <w:r w:rsidRPr="00D46D6D">
        <w:rPr>
          <w:bCs/>
        </w:rPr>
        <w:t>12.8.6.2</w:t>
      </w:r>
      <w:r>
        <w:t xml:space="preserve"> and </w:t>
      </w:r>
      <w:r w:rsidRPr="00D46D6D">
        <w:rPr>
          <w:bCs/>
        </w:rPr>
        <w:t>12.8.6.3</w:t>
      </w:r>
      <w:r>
        <w:t>, whichever is applicable.</w:t>
      </w:r>
    </w:p>
    <w:p w14:paraId="3436FACC" w14:textId="73902DC9" w:rsidR="0006479E" w:rsidRDefault="0006479E" w:rsidP="00AA0FCE">
      <w:pPr>
        <w:pStyle w:val="Heading3"/>
      </w:pPr>
      <w:bookmarkStart w:id="10200" w:name="_Toc134198071"/>
      <w:r>
        <w:t>Verification of column base joints</w:t>
      </w:r>
      <w:bookmarkEnd w:id="10200"/>
    </w:p>
    <w:p w14:paraId="3C40461E" w14:textId="60AF65FF" w:rsidR="0006479E" w:rsidRDefault="0006479E" w:rsidP="0080187E">
      <w:pPr>
        <w:pStyle w:val="Clause"/>
        <w:numPr>
          <w:ilvl w:val="0"/>
          <w:numId w:val="193"/>
        </w:numPr>
      </w:pPr>
      <w:r w:rsidRPr="00D46D6D">
        <w:rPr>
          <w:bCs/>
        </w:rPr>
        <w:t>11.12.8</w:t>
      </w:r>
      <w:r>
        <w:t xml:space="preserve"> and Annex H should be applied. </w:t>
      </w:r>
    </w:p>
    <w:p w14:paraId="08CEB6DB" w14:textId="5DFF6792" w:rsidR="0006479E" w:rsidRDefault="0006479E" w:rsidP="00AA0FCE">
      <w:pPr>
        <w:pStyle w:val="Heading2"/>
      </w:pPr>
      <w:bookmarkStart w:id="10201" w:name="_Toc134198072"/>
      <w:r>
        <w:t>Design and detailing rules for composite dual frames in DC2 and DC3</w:t>
      </w:r>
      <w:bookmarkEnd w:id="10201"/>
    </w:p>
    <w:p w14:paraId="7D49ADBF" w14:textId="6D087309" w:rsidR="0006479E" w:rsidRDefault="0006479E" w:rsidP="00AA0FCE">
      <w:pPr>
        <w:pStyle w:val="Heading3"/>
      </w:pPr>
      <w:bookmarkStart w:id="10202" w:name="_Toc134198073"/>
      <w:r>
        <w:t>Design criteria</w:t>
      </w:r>
      <w:bookmarkEnd w:id="10202"/>
    </w:p>
    <w:p w14:paraId="0E9B6F73" w14:textId="19AE8FD0" w:rsidR="0006479E" w:rsidRDefault="0006479E" w:rsidP="0080187E">
      <w:pPr>
        <w:pStyle w:val="Clause"/>
        <w:numPr>
          <w:ilvl w:val="0"/>
          <w:numId w:val="194"/>
        </w:numPr>
      </w:pPr>
      <w:r>
        <w:t xml:space="preserve">In composite dual frames with both composite moment resisting frames and/or composite frames with concentric, eccentric or buckling-restrained bracings acting in the same loading direction, the horizontal forces should be distributed between the different frames according to their lateral stiffness and comply with </w:t>
      </w:r>
      <w:r w:rsidRPr="00D46D6D">
        <w:rPr>
          <w:bCs/>
        </w:rPr>
        <w:t>12.4.1(1)e).</w:t>
      </w:r>
    </w:p>
    <w:p w14:paraId="7C0F5A60" w14:textId="223568E3" w:rsidR="0006479E" w:rsidRDefault="0006479E" w:rsidP="00724E4E">
      <w:pPr>
        <w:pStyle w:val="Clause"/>
      </w:pPr>
      <w:r>
        <w:t xml:space="preserve">In composite dual frames, the component moment resisting frames should conform to </w:t>
      </w:r>
      <w:r w:rsidRPr="00D46D6D">
        <w:rPr>
          <w:bCs/>
        </w:rPr>
        <w:t>12.9</w:t>
      </w:r>
      <w:r>
        <w:t>.</w:t>
      </w:r>
    </w:p>
    <w:p w14:paraId="740B1FA4" w14:textId="326B1755" w:rsidR="0006479E" w:rsidRDefault="0006479E" w:rsidP="00724E4E">
      <w:pPr>
        <w:pStyle w:val="Clause"/>
      </w:pPr>
      <w:r>
        <w:t xml:space="preserve">In composite dual frames, the composite frames with concentric, eccentric or buckling-restrained bracings should conform </w:t>
      </w:r>
      <w:r w:rsidRPr="00D46D6D">
        <w:rPr>
          <w:bCs/>
        </w:rPr>
        <w:t>12.10</w:t>
      </w:r>
      <w:r>
        <w:t xml:space="preserve">, </w:t>
      </w:r>
      <w:r w:rsidRPr="00D46D6D">
        <w:rPr>
          <w:bCs/>
        </w:rPr>
        <w:t>12.11</w:t>
      </w:r>
      <w:r>
        <w:t xml:space="preserve"> and </w:t>
      </w:r>
      <w:r w:rsidRPr="00D46D6D">
        <w:rPr>
          <w:bCs/>
        </w:rPr>
        <w:t>12.12</w:t>
      </w:r>
      <w:r>
        <w:t>, respectively.</w:t>
      </w:r>
    </w:p>
    <w:p w14:paraId="69C9BFB3" w14:textId="0EE34EF7" w:rsidR="0006479E" w:rsidRDefault="0006479E" w:rsidP="00724E4E">
      <w:pPr>
        <w:pStyle w:val="Clause"/>
      </w:pPr>
      <w:r w:rsidRPr="00D46D6D">
        <w:rPr>
          <w:bCs/>
        </w:rPr>
        <w:t>11.13.1(4)</w:t>
      </w:r>
      <w:r>
        <w:t xml:space="preserve"> should be applied.</w:t>
      </w:r>
    </w:p>
    <w:p w14:paraId="7BCC303B" w14:textId="1004D53D" w:rsidR="0006479E" w:rsidRDefault="0006479E" w:rsidP="006B1EAC">
      <w:pPr>
        <w:pStyle w:val="Heading2"/>
      </w:pPr>
      <w:bookmarkStart w:id="10203" w:name="_Toc134198074"/>
      <w:r>
        <w:t>Design and detailing rules for structural wall systems made of reinforced concrete shear walls composite with structural steel elements in DC2 and DC3</w:t>
      </w:r>
      <w:bookmarkEnd w:id="10203"/>
    </w:p>
    <w:p w14:paraId="63635173" w14:textId="294AD56F" w:rsidR="0006479E" w:rsidRDefault="0006479E" w:rsidP="006B1EAC">
      <w:pPr>
        <w:pStyle w:val="Heading3"/>
      </w:pPr>
      <w:bookmarkStart w:id="10204" w:name="_Toc134198075"/>
      <w:r>
        <w:t>Design criteria</w:t>
      </w:r>
      <w:bookmarkEnd w:id="10204"/>
    </w:p>
    <w:p w14:paraId="74389918" w14:textId="0E784813" w:rsidR="0006479E" w:rsidRDefault="0006479E" w:rsidP="0080187E">
      <w:pPr>
        <w:pStyle w:val="Clause"/>
        <w:numPr>
          <w:ilvl w:val="0"/>
          <w:numId w:val="195"/>
        </w:numPr>
      </w:pPr>
      <w:r>
        <w:t xml:space="preserve">The provisions in </w:t>
      </w:r>
      <w:r w:rsidRPr="00D46D6D">
        <w:rPr>
          <w:bCs/>
        </w:rPr>
        <w:t>12.14.1</w:t>
      </w:r>
      <w:r>
        <w:t xml:space="preserve"> should be applied to composite structural wall systems defined in </w:t>
      </w:r>
      <w:r w:rsidRPr="00D46D6D">
        <w:rPr>
          <w:bCs/>
        </w:rPr>
        <w:t>12.4.1</w:t>
      </w:r>
      <w:r w:rsidR="00D46D6D">
        <w:rPr>
          <w:bCs/>
        </w:rPr>
        <w:t>(1)</w:t>
      </w:r>
      <w:r w:rsidRPr="00D46D6D">
        <w:rPr>
          <w:bCs/>
        </w:rPr>
        <w:t>g</w:t>
      </w:r>
      <w:r w:rsidR="00D46D6D">
        <w:rPr>
          <w:bCs/>
        </w:rPr>
        <w:t>)</w:t>
      </w:r>
      <w:r>
        <w:t>.</w:t>
      </w:r>
    </w:p>
    <w:p w14:paraId="3A561246" w14:textId="03197976" w:rsidR="0006479E" w:rsidRDefault="0006479E" w:rsidP="00724E4E">
      <w:pPr>
        <w:pStyle w:val="Clause"/>
      </w:pPr>
      <w:r>
        <w:t>Type 1 and Type 2 composite structural systems should be designed to behave as shear walls and dissipate energy in the vertical steel sections and in the vertical reinforcement. The vertical fully encased or partially encased structural steel cross sections should act as boundary elements of the reinforced concrete wall or the reinforced concrete infill panels. The infills should be tied to the boundary elements to prevent separation and to contribute to the lateral resistance of the shear wall.</w:t>
      </w:r>
    </w:p>
    <w:p w14:paraId="1307D848" w14:textId="55C27A7F" w:rsidR="0006479E" w:rsidRDefault="0006479E" w:rsidP="00724E4E">
      <w:pPr>
        <w:pStyle w:val="Clause"/>
      </w:pPr>
      <w:r>
        <w:t xml:space="preserve">The design action effects in walls should conform to </w:t>
      </w:r>
      <w:r w:rsidRPr="00835C82">
        <w:rPr>
          <w:bCs/>
        </w:rPr>
        <w:t>10.8.2</w:t>
      </w:r>
      <w:r>
        <w:t>.</w:t>
      </w:r>
    </w:p>
    <w:p w14:paraId="2F00F542" w14:textId="592D119E" w:rsidR="0006479E" w:rsidRDefault="0006479E" w:rsidP="00724E4E">
      <w:pPr>
        <w:pStyle w:val="Clause"/>
      </w:pPr>
      <w:r>
        <w:lastRenderedPageBreak/>
        <w:t>In Type 1 composite structural wall systems, the storey shear forces should be carried by horizontal shear in the wall and in the interface between the wall and beams.</w:t>
      </w:r>
    </w:p>
    <w:p w14:paraId="52CDBA2B" w14:textId="19BA03C7" w:rsidR="0006479E" w:rsidRDefault="0006479E" w:rsidP="00724E4E">
      <w:pPr>
        <w:pStyle w:val="Clause"/>
      </w:pPr>
      <w:r>
        <w:t>Type 3 composite structural wall systems should be designed to dissipate energy in the shear walls and in the coupling beams.</w:t>
      </w:r>
    </w:p>
    <w:p w14:paraId="396BF19E" w14:textId="3E734CB9" w:rsidR="0006479E" w:rsidRDefault="0006479E" w:rsidP="006B1EAC">
      <w:pPr>
        <w:pStyle w:val="Heading3"/>
      </w:pPr>
      <w:bookmarkStart w:id="10205" w:name="_Toc134198076"/>
      <w:r>
        <w:t>Analysis</w:t>
      </w:r>
      <w:bookmarkEnd w:id="10205"/>
    </w:p>
    <w:p w14:paraId="7D2106BF" w14:textId="5CF72DB9" w:rsidR="0006479E" w:rsidRDefault="0006479E" w:rsidP="0080187E">
      <w:pPr>
        <w:pStyle w:val="Clause"/>
        <w:numPr>
          <w:ilvl w:val="0"/>
          <w:numId w:val="196"/>
        </w:numPr>
      </w:pPr>
      <w:r>
        <w:t xml:space="preserve">Concrete wall cross section properties should conform to </w:t>
      </w:r>
      <w:r w:rsidR="00835C82">
        <w:t xml:space="preserve">Clause </w:t>
      </w:r>
      <w:r w:rsidRPr="00835C82">
        <w:rPr>
          <w:bCs/>
        </w:rPr>
        <w:t>10</w:t>
      </w:r>
      <w:r>
        <w:t xml:space="preserve"> and </w:t>
      </w:r>
      <w:r w:rsidRPr="00835C82">
        <w:rPr>
          <w:bCs/>
        </w:rPr>
        <w:t>12.5</w:t>
      </w:r>
      <w:r>
        <w:t>.</w:t>
      </w:r>
    </w:p>
    <w:p w14:paraId="770CD11C" w14:textId="1FE859BC" w:rsidR="0006479E" w:rsidRDefault="0006479E" w:rsidP="00724E4E">
      <w:pPr>
        <w:pStyle w:val="Clause"/>
      </w:pPr>
      <w:r>
        <w:t>In Type 1 and 2 composite structural systems, the analysis should be made by assuming that the seismic action effects are represented by axial forces only in the vertical boundary elements of the composite structural system. The axial forces should be calculated by assuming that the shear forces are carried by the reinforced concrete wall acting composedly with the steel profiles. The entire gravity and overturning forces should be carried by the shear wall acting composedly with the vertical boundary elements.</w:t>
      </w:r>
    </w:p>
    <w:p w14:paraId="41BF0599" w14:textId="6C6567D5" w:rsidR="0006479E" w:rsidRDefault="0006479E" w:rsidP="00724E4E">
      <w:pPr>
        <w:pStyle w:val="Clause"/>
      </w:pPr>
      <w:r>
        <w:t xml:space="preserve">In Type 3 composite structural systems, if composite coupling beams are used, </w:t>
      </w:r>
      <w:r w:rsidRPr="00835C82">
        <w:rPr>
          <w:bCs/>
        </w:rPr>
        <w:t>12.9.2(2)</w:t>
      </w:r>
      <w:r>
        <w:t xml:space="preserve"> and </w:t>
      </w:r>
      <w:r w:rsidRPr="00835C82">
        <w:rPr>
          <w:bCs/>
        </w:rPr>
        <w:t>12.9.2(3)</w:t>
      </w:r>
      <w:r>
        <w:t xml:space="preserve"> should be applied.</w:t>
      </w:r>
    </w:p>
    <w:p w14:paraId="5846A41C" w14:textId="3B7146F2" w:rsidR="0006479E" w:rsidRDefault="0006479E" w:rsidP="006B1EAC">
      <w:pPr>
        <w:pStyle w:val="Heading3"/>
      </w:pPr>
      <w:bookmarkStart w:id="10206" w:name="_Toc134198077"/>
      <w:r>
        <w:t>Verification of composite walls in DC2</w:t>
      </w:r>
      <w:bookmarkEnd w:id="10206"/>
      <w:r>
        <w:t xml:space="preserve"> </w:t>
      </w:r>
    </w:p>
    <w:p w14:paraId="2912A4BC" w14:textId="696FB3CD" w:rsidR="0006479E" w:rsidRDefault="0006479E" w:rsidP="0080187E">
      <w:pPr>
        <w:pStyle w:val="Clause"/>
        <w:numPr>
          <w:ilvl w:val="0"/>
          <w:numId w:val="197"/>
        </w:numPr>
      </w:pPr>
      <w:r>
        <w:t xml:space="preserve">The reinforced concrete infill panels in Type 1 and the reinforced concrete walls in Types 2 and 3 should conform to the provisions of </w:t>
      </w:r>
      <w:r w:rsidRPr="00835C82">
        <w:rPr>
          <w:bCs/>
        </w:rPr>
        <w:t>10.8</w:t>
      </w:r>
      <w:r>
        <w:t xml:space="preserve"> for ductile walls or </w:t>
      </w:r>
      <w:r w:rsidRPr="00835C82">
        <w:rPr>
          <w:bCs/>
        </w:rPr>
        <w:t>10.9</w:t>
      </w:r>
      <w:r>
        <w:t xml:space="preserve"> for large walls, with the exception of </w:t>
      </w:r>
      <w:r w:rsidRPr="00835C82">
        <w:rPr>
          <w:bCs/>
        </w:rPr>
        <w:t>10.8.3.1(4)</w:t>
      </w:r>
      <w:r>
        <w:t xml:space="preserve"> for ductile walls which should be replaced by </w:t>
      </w:r>
      <w:r w:rsidRPr="00835C82">
        <w:rPr>
          <w:bCs/>
        </w:rPr>
        <w:t>(2)</w:t>
      </w:r>
      <w:r>
        <w:t>.</w:t>
      </w:r>
    </w:p>
    <w:p w14:paraId="22FB7E36" w14:textId="2C730A7D" w:rsidR="0006479E" w:rsidRDefault="0006479E" w:rsidP="0080187E">
      <w:pPr>
        <w:pStyle w:val="Clause"/>
        <w:numPr>
          <w:ilvl w:val="0"/>
          <w:numId w:val="197"/>
        </w:numPr>
      </w:pPr>
      <w:r>
        <w:t>In primary seismic walls, the normal</w:t>
      </w:r>
      <w:r w:rsidR="00E10A24">
        <w:t>ize</w:t>
      </w:r>
      <w:r>
        <w:t xml:space="preserve">d design axial load </w:t>
      </w:r>
      <w:bookmarkStart w:id="10207" w:name="_Hlk64873310"/>
      <w:r w:rsidR="00C77087" w:rsidRPr="003B48B9">
        <w:rPr>
          <w:i/>
          <w:iCs/>
        </w:rPr>
        <w:t>ν</w:t>
      </w:r>
      <w:r w:rsidR="00C77087" w:rsidRPr="003B48B9">
        <w:rPr>
          <w:vertAlign w:val="subscript"/>
        </w:rPr>
        <w:t>d,c</w:t>
      </w:r>
      <w:bookmarkEnd w:id="10207"/>
      <w:r w:rsidR="00C77087" w:rsidRPr="00E05E29">
        <w:t xml:space="preserve"> </w:t>
      </w:r>
      <w:r>
        <w:t>for ductile composite walls in the seismic design situation should satisfy:</w:t>
      </w:r>
    </w:p>
    <w:p w14:paraId="4F8FA2B2" w14:textId="74B1A19E" w:rsidR="00C77087" w:rsidRPr="00E05E29" w:rsidRDefault="002E3AAB" w:rsidP="002E3AAB">
      <w:pPr>
        <w:spacing w:before="120" w:after="220"/>
      </w:pPr>
      <w:r>
        <w:t>—</w:t>
      </w:r>
      <w:r>
        <w:tab/>
      </w:r>
      <w:r w:rsidR="00C77087" w:rsidRPr="00E05E29">
        <w:t xml:space="preserve">for DC2: </w:t>
      </w:r>
      <w:r w:rsidR="00C77087" w:rsidRPr="002E3AAB">
        <w:rPr>
          <w:i/>
          <w:iCs/>
        </w:rPr>
        <w:t>ν</w:t>
      </w:r>
      <w:r w:rsidR="00C77087" w:rsidRPr="002E3AAB">
        <w:rPr>
          <w:vertAlign w:val="subscript"/>
        </w:rPr>
        <w:t>d,c</w:t>
      </w:r>
      <w:r w:rsidR="00C77087" w:rsidRPr="00E05E29">
        <w:t xml:space="preserve"> ≤ 0,40,</w:t>
      </w:r>
    </w:p>
    <w:p w14:paraId="546164D9" w14:textId="7B20EEFA" w:rsidR="00C77087" w:rsidRPr="00A266CB" w:rsidRDefault="002E3AAB" w:rsidP="002E3AAB">
      <w:pPr>
        <w:spacing w:before="120" w:after="220"/>
      </w:pPr>
      <w:r>
        <w:t>—</w:t>
      </w:r>
      <w:r>
        <w:tab/>
      </w:r>
      <w:r w:rsidR="00C77087" w:rsidRPr="00A266CB">
        <w:t xml:space="preserve">for DC3: </w:t>
      </w:r>
      <w:r w:rsidR="00C77087" w:rsidRPr="002E3AAB">
        <w:rPr>
          <w:i/>
          <w:iCs/>
        </w:rPr>
        <w:t>ν</w:t>
      </w:r>
      <w:r w:rsidR="00C77087" w:rsidRPr="002E3AAB">
        <w:rPr>
          <w:vertAlign w:val="subscript"/>
        </w:rPr>
        <w:t>d,c</w:t>
      </w:r>
      <w:r w:rsidR="00C77087" w:rsidRPr="00A266CB">
        <w:t xml:space="preserve"> ≤ 0,35,</w:t>
      </w:r>
    </w:p>
    <w:p w14:paraId="3766BF09" w14:textId="36FD7A58" w:rsidR="00C77087" w:rsidRDefault="00675EBA" w:rsidP="00D85D92">
      <w:pPr>
        <w:pStyle w:val="Text"/>
      </w:pPr>
      <w:r>
        <w:t>where</w:t>
      </w:r>
    </w:p>
    <w:tbl>
      <w:tblPr>
        <w:tblW w:w="0" w:type="auto"/>
        <w:tblInd w:w="346" w:type="dxa"/>
        <w:tblLook w:val="04A0" w:firstRow="1" w:lastRow="0" w:firstColumn="1" w:lastColumn="0" w:noHBand="0" w:noVBand="1"/>
      </w:tblPr>
      <w:tblGrid>
        <w:gridCol w:w="1275"/>
        <w:gridCol w:w="7938"/>
      </w:tblGrid>
      <w:tr w:rsidR="00C77087" w:rsidRPr="000F2AFF" w14:paraId="0FF4CA79" w14:textId="77777777" w:rsidTr="008217FC">
        <w:tc>
          <w:tcPr>
            <w:tcW w:w="1275" w:type="dxa"/>
          </w:tcPr>
          <w:p w14:paraId="2B3B019B" w14:textId="48B6DF8E" w:rsidR="00C77087" w:rsidRPr="000F2AFF" w:rsidRDefault="00C77087" w:rsidP="002061E5">
            <w:pPr>
              <w:spacing w:after="60"/>
              <w:jc w:val="left"/>
              <w:rPr>
                <w:rFonts w:eastAsia="Times New Roman" w:cs="Cambria"/>
                <w:color w:val="000000" w:themeColor="text1"/>
                <w:szCs w:val="20"/>
                <w:lang w:eastAsia="fr-FR"/>
              </w:rPr>
            </w:pPr>
            <w:r w:rsidRPr="00E05E29">
              <w:rPr>
                <w:i/>
                <w:iCs/>
              </w:rPr>
              <w:t>ν</w:t>
            </w:r>
            <w:r w:rsidRPr="00E05E29">
              <w:rPr>
                <w:vertAlign w:val="subscript"/>
              </w:rPr>
              <w:t>d,c</w:t>
            </w:r>
          </w:p>
        </w:tc>
        <w:tc>
          <w:tcPr>
            <w:tcW w:w="7938" w:type="dxa"/>
          </w:tcPr>
          <w:p w14:paraId="11B96217" w14:textId="163DA42C" w:rsidR="00C77087" w:rsidRPr="00464B4C" w:rsidRDefault="00C77087" w:rsidP="002061E5">
            <w:pPr>
              <w:spacing w:after="60"/>
              <w:rPr>
                <w:rFonts w:eastAsia="Times New Roman" w:cs="Cambria"/>
                <w:color w:val="000000" w:themeColor="text1"/>
                <w:szCs w:val="20"/>
                <w:lang w:eastAsia="fr-FR"/>
              </w:rPr>
            </w:pPr>
            <w:r w:rsidRPr="00E05E29">
              <w:t>is defined by Formula (12.17)</w:t>
            </w:r>
          </w:p>
        </w:tc>
      </w:tr>
    </w:tbl>
    <w:p w14:paraId="3FC1340D" w14:textId="397CE66E" w:rsidR="00C77087" w:rsidRDefault="009B5CEC" w:rsidP="00C77087">
      <w:pPr>
        <w:pStyle w:val="Formula"/>
        <w:spacing w:before="240"/>
      </w:pPr>
      <m:oMath>
        <m:sSub>
          <m:sSubPr>
            <m:ctrlPr>
              <w:rPr>
                <w:rFonts w:ascii="Cambria Math" w:eastAsiaTheme="minorHAnsi" w:hAnsi="Cambria Math" w:cstheme="minorBidi"/>
              </w:rPr>
            </m:ctrlPr>
          </m:sSubPr>
          <m:e>
            <m:r>
              <w:rPr>
                <w:rFonts w:ascii="Cambria Math" w:hAnsi="Cambria Math"/>
              </w:rPr>
              <m:t>ν</m:t>
            </m:r>
          </m:e>
          <m:sub>
            <m:r>
              <m:rPr>
                <m:sty m:val="p"/>
              </m:rPr>
              <w:rPr>
                <w:rFonts w:ascii="Cambria Math" w:hAnsi="Cambria Math"/>
              </w:rPr>
              <m:t>dc</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N</m:t>
                </m:r>
              </m:e>
              <m:sub>
                <m:r>
                  <m:rPr>
                    <m:sty m:val="p"/>
                  </m:rPr>
                  <w:rPr>
                    <w:rFonts w:ascii="Cambria Math" w:hAnsi="Cambria Math"/>
                  </w:rPr>
                  <m:t>Ed</m:t>
                </m:r>
              </m:sub>
            </m:sSub>
          </m:num>
          <m:den>
            <m:sSub>
              <m:sSubPr>
                <m:ctrlPr>
                  <w:rPr>
                    <w:rFonts w:ascii="Cambria Math" w:hAnsi="Cambria Math"/>
                  </w:rPr>
                </m:ctrlPr>
              </m:sSubPr>
              <m:e>
                <m:r>
                  <w:rPr>
                    <w:rFonts w:ascii="Cambria Math" w:hAnsi="Cambria Math"/>
                  </w:rPr>
                  <m:t>f</m:t>
                </m:r>
              </m:e>
              <m:sub>
                <m:r>
                  <m:rPr>
                    <m:sty m:val="p"/>
                  </m:rPr>
                  <w:rPr>
                    <w:rFonts w:ascii="Cambria Math" w:hAnsi="Cambria Math"/>
                  </w:rPr>
                  <m:t>cd</m:t>
                </m:r>
              </m:sub>
            </m:sSub>
            <m:d>
              <m:dPr>
                <m:begChr m:val="["/>
                <m:endChr m:val="]"/>
                <m:ctrlPr>
                  <w:rPr>
                    <w:rFonts w:ascii="Cambria Math" w:hAnsi="Cambria Math"/>
                  </w:rPr>
                </m:ctrlPr>
              </m:dPr>
              <m:e>
                <m:sSub>
                  <m:sSubPr>
                    <m:ctrlPr>
                      <w:rPr>
                        <w:rFonts w:ascii="Cambria Math" w:hAnsi="Cambria Math"/>
                      </w:rPr>
                    </m:ctrlPr>
                  </m:sSubPr>
                  <m:e>
                    <m:r>
                      <w:rPr>
                        <w:rFonts w:ascii="Cambria Math" w:hAnsi="Cambria Math"/>
                      </w:rPr>
                      <m:t>A</m:t>
                    </m:r>
                  </m:e>
                  <m:sub>
                    <m:r>
                      <m:rPr>
                        <m:sty m:val="p"/>
                      </m:rPr>
                      <w:rPr>
                        <w:rFonts w:ascii="Cambria Math" w:hAnsi="Cambria Math"/>
                      </w:rPr>
                      <m:t>c</m:t>
                    </m:r>
                  </m:sub>
                </m:sSub>
                <m:r>
                  <w:rPr>
                    <w:rFonts w:ascii="Cambria Math" w:hAnsi="Cambria Math"/>
                  </w:rPr>
                  <m:t>+</m:t>
                </m:r>
                <m:sSub>
                  <m:sSubPr>
                    <m:ctrlPr>
                      <w:rPr>
                        <w:rFonts w:ascii="Cambria Math" w:eastAsiaTheme="minorHAnsi" w:hAnsi="Cambria Math"/>
                      </w:rPr>
                    </m:ctrlPr>
                  </m:sSubPr>
                  <m:e>
                    <m:r>
                      <w:rPr>
                        <w:rFonts w:ascii="Cambria Math" w:hAnsi="Cambria Math"/>
                      </w:rPr>
                      <m:t>n</m:t>
                    </m:r>
                  </m:e>
                  <m:sub>
                    <m:r>
                      <w:rPr>
                        <w:rFonts w:ascii="Cambria Math" w:hAnsi="Cambria Math"/>
                      </w:rPr>
                      <m:t>0</m:t>
                    </m:r>
                  </m:sub>
                </m:sSub>
                <m:d>
                  <m:dPr>
                    <m:ctrlPr>
                      <w:rPr>
                        <w:rFonts w:ascii="Cambria Math" w:hAnsi="Cambria Math"/>
                      </w:rPr>
                    </m:ctrlPr>
                  </m:dPr>
                  <m:e>
                    <m:sSub>
                      <m:sSubPr>
                        <m:ctrlPr>
                          <w:rPr>
                            <w:rFonts w:ascii="Cambria Math" w:hAnsi="Cambria Math"/>
                          </w:rPr>
                        </m:ctrlPr>
                      </m:sSubPr>
                      <m:e>
                        <m:r>
                          <w:rPr>
                            <w:rFonts w:ascii="Cambria Math" w:hAnsi="Cambria Math"/>
                          </w:rPr>
                          <m:t>A</m:t>
                        </m:r>
                      </m:e>
                      <m:sub>
                        <m:r>
                          <m:rPr>
                            <m:sty m:val="p"/>
                          </m:rPr>
                          <w:rPr>
                            <w:rFonts w:ascii="Cambria Math" w:hAnsi="Cambria Math"/>
                          </w:rPr>
                          <m:t>s</m:t>
                        </m:r>
                      </m:sub>
                    </m:sSub>
                    <m:r>
                      <w:rPr>
                        <w:rFonts w:ascii="Cambria Math" w:hAnsi="Cambria Math"/>
                      </w:rPr>
                      <m:t>+</m:t>
                    </m:r>
                    <m:sSub>
                      <m:sSubPr>
                        <m:ctrlPr>
                          <w:rPr>
                            <w:rFonts w:ascii="Cambria Math" w:hAnsi="Cambria Math"/>
                          </w:rPr>
                        </m:ctrlPr>
                      </m:sSubPr>
                      <m:e>
                        <m:r>
                          <w:rPr>
                            <w:rFonts w:ascii="Cambria Math" w:hAnsi="Cambria Math"/>
                          </w:rPr>
                          <m:t>A</m:t>
                        </m:r>
                      </m:e>
                      <m:sub>
                        <m:r>
                          <m:rPr>
                            <m:sty m:val="p"/>
                          </m:rPr>
                          <w:rPr>
                            <w:rFonts w:ascii="Cambria Math" w:hAnsi="Cambria Math"/>
                          </w:rPr>
                          <m:t>a</m:t>
                        </m:r>
                      </m:sub>
                    </m:sSub>
                  </m:e>
                </m:d>
              </m:e>
            </m:d>
          </m:den>
        </m:f>
      </m:oMath>
      <w:r w:rsidR="00C77087" w:rsidRPr="00870D59">
        <w:tab/>
        <w:t>(1</w:t>
      </w:r>
      <w:r w:rsidR="00C77087">
        <w:t>2</w:t>
      </w:r>
      <w:r w:rsidR="00C77087" w:rsidRPr="00870D59">
        <w:t>.</w:t>
      </w:r>
      <w:r w:rsidR="00C77087">
        <w:t>17</w:t>
      </w:r>
      <w:r w:rsidR="00C77087" w:rsidRPr="00870D59">
        <w:t>)</w:t>
      </w:r>
    </w:p>
    <w:p w14:paraId="07A0DC50" w14:textId="22897DE1" w:rsidR="002E3AAB" w:rsidRPr="002E3AAB" w:rsidRDefault="002E3AAB" w:rsidP="002E3AAB">
      <w:pPr>
        <w:pStyle w:val="Text"/>
      </w:pPr>
      <w:r>
        <w:t>where</w:t>
      </w:r>
    </w:p>
    <w:tbl>
      <w:tblPr>
        <w:tblW w:w="0" w:type="auto"/>
        <w:tblInd w:w="346" w:type="dxa"/>
        <w:tblLook w:val="04A0" w:firstRow="1" w:lastRow="0" w:firstColumn="1" w:lastColumn="0" w:noHBand="0" w:noVBand="1"/>
      </w:tblPr>
      <w:tblGrid>
        <w:gridCol w:w="1451"/>
        <w:gridCol w:w="7762"/>
      </w:tblGrid>
      <w:tr w:rsidR="00C77087" w:rsidRPr="000F2AFF" w14:paraId="2C731842" w14:textId="77777777" w:rsidTr="002E3AAB">
        <w:tc>
          <w:tcPr>
            <w:tcW w:w="1451" w:type="dxa"/>
          </w:tcPr>
          <w:p w14:paraId="1EA9E3F4" w14:textId="63D37013" w:rsidR="00C77087" w:rsidRPr="000F2AFF" w:rsidRDefault="00C77087" w:rsidP="002061E5">
            <w:pPr>
              <w:spacing w:after="60"/>
              <w:jc w:val="left"/>
              <w:rPr>
                <w:rFonts w:eastAsia="Times New Roman" w:cs="Cambria"/>
                <w:color w:val="000000" w:themeColor="text1"/>
                <w:szCs w:val="20"/>
                <w:lang w:eastAsia="fr-FR"/>
              </w:rPr>
            </w:pPr>
            <w:r w:rsidRPr="00FD17CF">
              <w:rPr>
                <w:i/>
                <w:iCs/>
              </w:rPr>
              <w:t>A</w:t>
            </w:r>
            <w:r w:rsidRPr="00FD17CF">
              <w:rPr>
                <w:vertAlign w:val="subscript"/>
              </w:rPr>
              <w:t>a</w:t>
            </w:r>
            <w:r w:rsidRPr="00644C3D">
              <w:t>,</w:t>
            </w:r>
            <w:r w:rsidRPr="00E05E29">
              <w:rPr>
                <w:i/>
                <w:iCs/>
              </w:rPr>
              <w:t xml:space="preserve"> A</w:t>
            </w:r>
            <w:r w:rsidRPr="00E05E29">
              <w:rPr>
                <w:vertAlign w:val="subscript"/>
              </w:rPr>
              <w:t>s</w:t>
            </w:r>
            <w:r w:rsidRPr="00E05E29">
              <w:rPr>
                <w:i/>
                <w:iCs/>
              </w:rPr>
              <w:t xml:space="preserve"> </w:t>
            </w:r>
            <w:r w:rsidRPr="00E05E29">
              <w:t>and</w:t>
            </w:r>
            <w:r w:rsidRPr="00E05E29">
              <w:rPr>
                <w:i/>
                <w:iCs/>
              </w:rPr>
              <w:t xml:space="preserve"> A</w:t>
            </w:r>
            <w:r w:rsidRPr="00E05E29">
              <w:rPr>
                <w:vertAlign w:val="subscript"/>
              </w:rPr>
              <w:t>c</w:t>
            </w:r>
          </w:p>
        </w:tc>
        <w:tc>
          <w:tcPr>
            <w:tcW w:w="7762" w:type="dxa"/>
          </w:tcPr>
          <w:p w14:paraId="769AD1E4" w14:textId="763408C8" w:rsidR="00C77087" w:rsidRPr="00464B4C" w:rsidRDefault="00C77087" w:rsidP="002061E5">
            <w:pPr>
              <w:spacing w:after="60"/>
              <w:rPr>
                <w:rFonts w:eastAsia="Times New Roman" w:cs="Cambria"/>
                <w:color w:val="000000" w:themeColor="text1"/>
                <w:szCs w:val="20"/>
                <w:lang w:eastAsia="fr-FR"/>
              </w:rPr>
            </w:pPr>
            <w:r w:rsidRPr="00E05E29">
              <w:t>are the total area of the structural steel cross sections, of the steel reinforcement and of the concrete, respectively</w:t>
            </w:r>
            <w:r>
              <w:t>;</w:t>
            </w:r>
          </w:p>
        </w:tc>
      </w:tr>
      <w:tr w:rsidR="00C77087" w:rsidRPr="000F2AFF" w14:paraId="343CB826" w14:textId="77777777" w:rsidTr="002E3AAB">
        <w:tc>
          <w:tcPr>
            <w:tcW w:w="1451" w:type="dxa"/>
          </w:tcPr>
          <w:p w14:paraId="56765C57" w14:textId="36BBFC9F" w:rsidR="00C77087" w:rsidRPr="000F2AFF" w:rsidRDefault="00C77087" w:rsidP="002061E5">
            <w:pPr>
              <w:spacing w:after="60"/>
              <w:jc w:val="left"/>
              <w:rPr>
                <w:i/>
                <w:iCs/>
                <w:color w:val="000000" w:themeColor="text1"/>
              </w:rPr>
            </w:pPr>
            <w:r w:rsidRPr="00E05E29">
              <w:rPr>
                <w:i/>
                <w:iCs/>
              </w:rPr>
              <w:t>n</w:t>
            </w:r>
            <w:r w:rsidRPr="00676633">
              <w:rPr>
                <w:vertAlign w:val="subscript"/>
              </w:rPr>
              <w:t>0</w:t>
            </w:r>
          </w:p>
        </w:tc>
        <w:tc>
          <w:tcPr>
            <w:tcW w:w="7762" w:type="dxa"/>
          </w:tcPr>
          <w:p w14:paraId="15C15092" w14:textId="214B3D69" w:rsidR="00C77087" w:rsidRPr="00464B4C" w:rsidRDefault="00C77087" w:rsidP="002061E5">
            <w:pPr>
              <w:spacing w:after="60"/>
              <w:rPr>
                <w:color w:val="000000" w:themeColor="text1"/>
              </w:rPr>
            </w:pPr>
            <w:r w:rsidRPr="00E05E29">
              <w:t xml:space="preserve">is the ratio of steel and concrete modulus by Formula </w:t>
            </w:r>
            <w:r w:rsidRPr="00A266CB">
              <w:rPr>
                <w:bCs/>
              </w:rPr>
              <w:t>(12.1)</w:t>
            </w:r>
            <w:r>
              <w:rPr>
                <w:bCs/>
              </w:rPr>
              <w:t>.</w:t>
            </w:r>
          </w:p>
        </w:tc>
      </w:tr>
    </w:tbl>
    <w:p w14:paraId="6EE045AE" w14:textId="34494838" w:rsidR="00C77087" w:rsidRDefault="00C77087" w:rsidP="00724E4E">
      <w:pPr>
        <w:pStyle w:val="Clause"/>
      </w:pPr>
      <w:r>
        <w:t>The ductility class of partially encased structural steel cross sections used as boundary elements in reinforced concrete panels should comply with Table 12.4, based on the assumed behaviour factor.</w:t>
      </w:r>
    </w:p>
    <w:p w14:paraId="2CDE2A09" w14:textId="1231704C" w:rsidR="00C77087" w:rsidRDefault="00C77087" w:rsidP="00724E4E">
      <w:pPr>
        <w:pStyle w:val="Clause"/>
      </w:pPr>
      <w:r>
        <w:t xml:space="preserve">Fully encased structural steel cross sections used as boundary elements in reinforced concrete panels should be designed in accordance with </w:t>
      </w:r>
      <w:r w:rsidRPr="00835C82">
        <w:rPr>
          <w:bCs/>
        </w:rPr>
        <w:t>12.8.7.1</w:t>
      </w:r>
      <w:r>
        <w:t xml:space="preserve"> and </w:t>
      </w:r>
      <w:r w:rsidRPr="00835C82">
        <w:rPr>
          <w:bCs/>
        </w:rPr>
        <w:t>12.8.7.2</w:t>
      </w:r>
      <w:r>
        <w:t>.</w:t>
      </w:r>
    </w:p>
    <w:p w14:paraId="61FF5EA1" w14:textId="1ADEEC25" w:rsidR="00C77087" w:rsidRDefault="00C77087" w:rsidP="00724E4E">
      <w:pPr>
        <w:pStyle w:val="Clause"/>
      </w:pPr>
      <w:r>
        <w:t xml:space="preserve">Partially encased structural steel cross sections used as boundary elements of reinforced concrete panels should be designed in accordance with </w:t>
      </w:r>
      <w:r w:rsidRPr="00835C82">
        <w:rPr>
          <w:bCs/>
        </w:rPr>
        <w:t>12.8.7.1</w:t>
      </w:r>
      <w:r>
        <w:t xml:space="preserve"> and </w:t>
      </w:r>
      <w:r w:rsidRPr="00835C82">
        <w:rPr>
          <w:bCs/>
        </w:rPr>
        <w:t>12.8.7.3</w:t>
      </w:r>
      <w:r>
        <w:t>.</w:t>
      </w:r>
    </w:p>
    <w:p w14:paraId="1CDE2BA5" w14:textId="5FE41582" w:rsidR="00C77087" w:rsidRDefault="00C77087" w:rsidP="00724E4E">
      <w:pPr>
        <w:pStyle w:val="Clause"/>
      </w:pPr>
      <w:r>
        <w:lastRenderedPageBreak/>
        <w:t>Headed shear connectors or tie reinforcement (welded to the steel members or anchored through holes in the steel members or anchored around the steel member) should be provided to transfer vertical and horizontal shear forces between the structural steel of the boundary elements and the reinforced concrete.</w:t>
      </w:r>
    </w:p>
    <w:p w14:paraId="123D14AA" w14:textId="72E2AA15" w:rsidR="00C77087" w:rsidRDefault="00C77087" w:rsidP="001C0C37">
      <w:pPr>
        <w:pStyle w:val="Heading3"/>
      </w:pPr>
      <w:bookmarkStart w:id="10208" w:name="_Toc134198078"/>
      <w:r>
        <w:t>Detailing and verification of coupling beams in DC2</w:t>
      </w:r>
      <w:bookmarkEnd w:id="10208"/>
      <w:r>
        <w:t xml:space="preserve"> </w:t>
      </w:r>
    </w:p>
    <w:p w14:paraId="4C4E6851" w14:textId="454827E6" w:rsidR="00C77087" w:rsidRDefault="00C77087" w:rsidP="0080187E">
      <w:pPr>
        <w:pStyle w:val="Clause"/>
        <w:numPr>
          <w:ilvl w:val="0"/>
          <w:numId w:val="199"/>
        </w:numPr>
      </w:pPr>
      <w:r>
        <w:t>Coupling beams should have an embedment length into the reinforced concrete wall sufficient to resist the most adverse combination of moment and shear generated by the bending and shear resistance of the coupling beam. The embedment length le should begin inside the first layer of the confining reinforcement in the wall boundary member (see Figure 12.5). The embedment length le should not be smaller than 1,5 times the depth of the coupling beam.</w:t>
      </w:r>
    </w:p>
    <w:p w14:paraId="7704CBDB" w14:textId="530D2500" w:rsidR="00C77087" w:rsidRDefault="00C77087" w:rsidP="00724E4E">
      <w:pPr>
        <w:pStyle w:val="Clause"/>
      </w:pPr>
      <w:r>
        <w:t xml:space="preserve">The design of beam to wall connections should conform to </w:t>
      </w:r>
      <w:r w:rsidRPr="00835C82">
        <w:rPr>
          <w:bCs/>
        </w:rPr>
        <w:t>12.8.8</w:t>
      </w:r>
      <w:r>
        <w:t>.</w:t>
      </w:r>
    </w:p>
    <w:p w14:paraId="0E0D87FF" w14:textId="69854BDD" w:rsidR="00C77087" w:rsidRDefault="00C77087" w:rsidP="00724E4E">
      <w:pPr>
        <w:pStyle w:val="Clause"/>
      </w:pPr>
      <w:r>
        <w:t xml:space="preserve">The vertical wall reinforcement, defined in Annex G (see </w:t>
      </w:r>
      <w:r w:rsidRPr="00835C82">
        <w:rPr>
          <w:bCs/>
        </w:rPr>
        <w:t>G.5.8</w:t>
      </w:r>
      <w:r>
        <w:t xml:space="preserve">), with design axial resistance equal to the shear resistance of the coupling beam, should be placed over the embedment length of the coupling beam with two-thirds of the steel located over the first half of the embedment length. This wall reinforcement should extend to a distance of at least one anchorage length above and below the flanges of the coupling beam. Vertical reinforcement placed for other purposes, such as for vertical boundary elements, may be part of the required vertical reinforcement. </w:t>
      </w:r>
    </w:p>
    <w:p w14:paraId="2F2271B4" w14:textId="4C902067" w:rsidR="00C77087" w:rsidRDefault="00C77087" w:rsidP="00724E4E">
      <w:pPr>
        <w:pStyle w:val="Clause"/>
      </w:pPr>
      <w:r>
        <w:t xml:space="preserve">Transverse reinforcement should conform to </w:t>
      </w:r>
      <w:r w:rsidRPr="00835C82">
        <w:rPr>
          <w:bCs/>
        </w:rPr>
        <w:t>12.8.6.3</w:t>
      </w:r>
      <w:r>
        <w:t xml:space="preserve"> and </w:t>
      </w:r>
      <w:r w:rsidRPr="00835C82">
        <w:rPr>
          <w:bCs/>
        </w:rPr>
        <w:t>12.8.7.2</w:t>
      </w:r>
      <w:r>
        <w:t xml:space="preserve"> and </w:t>
      </w:r>
      <w:r w:rsidRPr="00835C82">
        <w:rPr>
          <w:bCs/>
        </w:rPr>
        <w:t>12.8.7.3</w:t>
      </w:r>
      <w:r>
        <w:t>.</w:t>
      </w:r>
    </w:p>
    <w:p w14:paraId="5543FCE2" w14:textId="2195886B" w:rsidR="001C0C37" w:rsidRPr="00132C1E" w:rsidRDefault="00A2065B" w:rsidP="00A2065B">
      <w:pPr>
        <w:pStyle w:val="FigureImage"/>
      </w:pPr>
      <w:r>
        <w:rPr>
          <w:noProof/>
        </w:rPr>
        <w:drawing>
          <wp:inline distT="0" distB="0" distL="0" distR="0" wp14:anchorId="009F2746" wp14:editId="4FA9BCC9">
            <wp:extent cx="3959358" cy="1677927"/>
            <wp:effectExtent l="0" t="0" r="3175" b="0"/>
            <wp:docPr id="1661690632" name="0043.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1690632" name="0043.tiff"/>
                    <pic:cNvPicPr/>
                  </pic:nvPicPr>
                  <pic:blipFill>
                    <a:blip r:link="rId58"/>
                    <a:stretch>
                      <a:fillRect/>
                    </a:stretch>
                  </pic:blipFill>
                  <pic:spPr>
                    <a:xfrm>
                      <a:off x="0" y="0"/>
                      <a:ext cx="3959358" cy="1677927"/>
                    </a:xfrm>
                    <a:prstGeom prst="rect">
                      <a:avLst/>
                    </a:prstGeom>
                  </pic:spPr>
                </pic:pic>
              </a:graphicData>
            </a:graphic>
          </wp:inline>
        </w:drawing>
      </w:r>
    </w:p>
    <w:p w14:paraId="2C4945D1" w14:textId="77777777" w:rsidR="001C0C37" w:rsidRPr="00D1484A" w:rsidRDefault="001C0C37" w:rsidP="00A2065B">
      <w:pPr>
        <w:pStyle w:val="KeyTitle"/>
      </w:pPr>
      <w:bookmarkStart w:id="10209" w:name="_Toc532351364"/>
      <w:r w:rsidRPr="00D1484A">
        <w:t>Key</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
        <w:gridCol w:w="5778"/>
      </w:tblGrid>
      <w:tr w:rsidR="001C0C37" w:rsidRPr="009A0A77" w14:paraId="0EC6AC61" w14:textId="77777777" w:rsidTr="008217FC">
        <w:tc>
          <w:tcPr>
            <w:tcW w:w="392" w:type="dxa"/>
          </w:tcPr>
          <w:p w14:paraId="120822FE" w14:textId="77777777" w:rsidR="001C0C37" w:rsidRPr="00FE71E5" w:rsidRDefault="001C0C37" w:rsidP="00FE71E5">
            <w:pPr>
              <w:pStyle w:val="KeyText"/>
              <w:spacing w:before="0"/>
              <w:rPr>
                <w:iCs/>
              </w:rPr>
            </w:pPr>
            <w:r w:rsidRPr="00FE71E5">
              <w:rPr>
                <w:iCs/>
              </w:rPr>
              <w:t>A</w:t>
            </w:r>
          </w:p>
        </w:tc>
        <w:tc>
          <w:tcPr>
            <w:tcW w:w="5778" w:type="dxa"/>
          </w:tcPr>
          <w:p w14:paraId="5D33295D" w14:textId="7FEC3BB4" w:rsidR="001C0C37" w:rsidRPr="00FE71E5" w:rsidRDefault="00A2065B" w:rsidP="00FE71E5">
            <w:pPr>
              <w:pStyle w:val="KeyText"/>
              <w:spacing w:before="0"/>
            </w:pPr>
            <w:r w:rsidRPr="00FE71E5">
              <w:rPr>
                <w:iCs/>
              </w:rPr>
              <w:t>a</w:t>
            </w:r>
            <w:r w:rsidR="001C0C37" w:rsidRPr="00FE71E5">
              <w:rPr>
                <w:iCs/>
              </w:rPr>
              <w:t>dditional wall reinforcement at embedment of steel beam</w:t>
            </w:r>
          </w:p>
        </w:tc>
      </w:tr>
      <w:tr w:rsidR="001C0C37" w:rsidRPr="00132C1E" w14:paraId="636A3EB7" w14:textId="77777777" w:rsidTr="008217FC">
        <w:tc>
          <w:tcPr>
            <w:tcW w:w="392" w:type="dxa"/>
          </w:tcPr>
          <w:p w14:paraId="76CFC5AC" w14:textId="77777777" w:rsidR="001C0C37" w:rsidRPr="00FE71E5" w:rsidRDefault="001C0C37" w:rsidP="00FE71E5">
            <w:pPr>
              <w:pStyle w:val="KeyText"/>
              <w:spacing w:before="0"/>
              <w:rPr>
                <w:iCs/>
              </w:rPr>
            </w:pPr>
            <w:r w:rsidRPr="00FE71E5">
              <w:rPr>
                <w:iCs/>
              </w:rPr>
              <w:t>B</w:t>
            </w:r>
          </w:p>
        </w:tc>
        <w:tc>
          <w:tcPr>
            <w:tcW w:w="5778" w:type="dxa"/>
          </w:tcPr>
          <w:p w14:paraId="1BDF5FC8" w14:textId="24BB55B7" w:rsidR="001C0C37" w:rsidRPr="00FE71E5" w:rsidRDefault="00A2065B" w:rsidP="00FE71E5">
            <w:pPr>
              <w:pStyle w:val="KeyText"/>
              <w:spacing w:before="0"/>
              <w:rPr>
                <w:iCs/>
              </w:rPr>
            </w:pPr>
            <w:r w:rsidRPr="00FE71E5">
              <w:rPr>
                <w:iCs/>
              </w:rPr>
              <w:t>s</w:t>
            </w:r>
            <w:r w:rsidR="001C0C37" w:rsidRPr="00FE71E5">
              <w:rPr>
                <w:iCs/>
              </w:rPr>
              <w:t>teel coupling beam</w:t>
            </w:r>
          </w:p>
        </w:tc>
      </w:tr>
      <w:tr w:rsidR="001C0C37" w:rsidRPr="00132C1E" w14:paraId="5B19E183" w14:textId="77777777" w:rsidTr="008217FC">
        <w:tc>
          <w:tcPr>
            <w:tcW w:w="392" w:type="dxa"/>
          </w:tcPr>
          <w:p w14:paraId="7DF4E21F" w14:textId="77777777" w:rsidR="001C0C37" w:rsidRPr="00FE71E5" w:rsidRDefault="001C0C37" w:rsidP="00FE71E5">
            <w:pPr>
              <w:pStyle w:val="KeyText"/>
              <w:spacing w:before="0"/>
              <w:rPr>
                <w:iCs/>
              </w:rPr>
            </w:pPr>
            <w:r w:rsidRPr="00FE71E5">
              <w:rPr>
                <w:iCs/>
              </w:rPr>
              <w:t>C</w:t>
            </w:r>
          </w:p>
        </w:tc>
        <w:tc>
          <w:tcPr>
            <w:tcW w:w="5778" w:type="dxa"/>
          </w:tcPr>
          <w:p w14:paraId="3693B1D4" w14:textId="549F62B8" w:rsidR="001C0C37" w:rsidRPr="00FE71E5" w:rsidRDefault="00A2065B" w:rsidP="00FE71E5">
            <w:pPr>
              <w:pStyle w:val="KeyText"/>
              <w:spacing w:before="0"/>
              <w:rPr>
                <w:iCs/>
              </w:rPr>
            </w:pPr>
            <w:r w:rsidRPr="00FE71E5">
              <w:rPr>
                <w:iCs/>
              </w:rPr>
              <w:t>f</w:t>
            </w:r>
            <w:r w:rsidR="001C0C37" w:rsidRPr="00FE71E5">
              <w:rPr>
                <w:iCs/>
              </w:rPr>
              <w:t>ace bearing plate</w:t>
            </w:r>
          </w:p>
        </w:tc>
      </w:tr>
    </w:tbl>
    <w:p w14:paraId="0AED5415" w14:textId="3898E518" w:rsidR="001C0C37" w:rsidRPr="00FD17CF" w:rsidRDefault="001C0C37" w:rsidP="001C0C37">
      <w:pPr>
        <w:pStyle w:val="Figuretitle"/>
      </w:pPr>
      <w:bookmarkStart w:id="10210" w:name="_Toc29724517"/>
      <w:r w:rsidRPr="00132C1E">
        <w:t xml:space="preserve">Figure </w:t>
      </w:r>
      <w:r>
        <w:t>12.5</w:t>
      </w:r>
      <w:r w:rsidRPr="00132C1E">
        <w:t> </w:t>
      </w:r>
      <w:r w:rsidRPr="00D1484A">
        <w:rPr>
          <w:rFonts w:ascii="`ÃÍœ˛" w:eastAsia="Cambria" w:hAnsi="`ÃÍœ˛" w:cs="`ÃÍœ˛"/>
          <w:szCs w:val="22"/>
          <w:lang w:eastAsia="de-DE"/>
        </w:rPr>
        <w:t>—</w:t>
      </w:r>
      <w:r w:rsidRPr="00D1484A">
        <w:t> Details for coupling beam framing into a wall in</w:t>
      </w:r>
      <w:r w:rsidRPr="007E6F67">
        <w:t xml:space="preserve"> DC2 or</w:t>
      </w:r>
      <w:r w:rsidRPr="00FD17CF">
        <w:t xml:space="preserve"> DC3</w:t>
      </w:r>
      <w:bookmarkEnd w:id="10209"/>
      <w:bookmarkEnd w:id="10210"/>
    </w:p>
    <w:p w14:paraId="10E5226C" w14:textId="77777777" w:rsidR="001C0C37" w:rsidRPr="00E05E29" w:rsidRDefault="001C0C37" w:rsidP="001C0C37">
      <w:pPr>
        <w:pStyle w:val="Heading3"/>
      </w:pPr>
      <w:bookmarkStart w:id="10211" w:name="_Toc462812393"/>
      <w:bookmarkStart w:id="10212" w:name="_Toc483723301"/>
      <w:bookmarkStart w:id="10213" w:name="_Toc483723636"/>
      <w:bookmarkStart w:id="10214" w:name="_Toc484520950"/>
      <w:bookmarkStart w:id="10215" w:name="_Toc509405129"/>
      <w:bookmarkStart w:id="10216" w:name="_Toc76379937"/>
      <w:bookmarkStart w:id="10217" w:name="_Toc494124796"/>
      <w:bookmarkStart w:id="10218" w:name="_Toc17827866"/>
      <w:bookmarkStart w:id="10219" w:name="_Toc50150555"/>
      <w:bookmarkStart w:id="10220" w:name="_Toc70886987"/>
      <w:bookmarkStart w:id="10221" w:name="_Toc108342557"/>
      <w:bookmarkStart w:id="10222" w:name="_Toc134198079"/>
      <w:r w:rsidRPr="00644C3D">
        <w:t>Additional detailing rules for DC3</w:t>
      </w:r>
      <w:bookmarkEnd w:id="10211"/>
      <w:bookmarkEnd w:id="10212"/>
      <w:bookmarkEnd w:id="10213"/>
      <w:bookmarkEnd w:id="10214"/>
      <w:bookmarkEnd w:id="10215"/>
      <w:bookmarkEnd w:id="10216"/>
      <w:bookmarkEnd w:id="10217"/>
      <w:bookmarkEnd w:id="10218"/>
      <w:bookmarkEnd w:id="10219"/>
      <w:bookmarkEnd w:id="10220"/>
      <w:bookmarkEnd w:id="10221"/>
      <w:bookmarkEnd w:id="10222"/>
    </w:p>
    <w:p w14:paraId="41663AB0" w14:textId="0AE5F444" w:rsidR="001C0C37" w:rsidRPr="00E05E29" w:rsidRDefault="001C0C37" w:rsidP="0080187E">
      <w:pPr>
        <w:pStyle w:val="Clause"/>
        <w:numPr>
          <w:ilvl w:val="0"/>
          <w:numId w:val="656"/>
        </w:numPr>
      </w:pPr>
      <w:r w:rsidRPr="00E05E29">
        <w:t>Transverse reinforcement should confine the concrete of composite boundary elements, either partially or fully encased. It should extend to a distance of 2</w:t>
      </w:r>
      <w:r w:rsidRPr="00D85D92">
        <w:rPr>
          <w:i/>
          <w:iCs/>
        </w:rPr>
        <w:t>h</w:t>
      </w:r>
      <w:r w:rsidRPr="00E05E29">
        <w:t xml:space="preserve"> into the concrete walls where </w:t>
      </w:r>
      <w:r w:rsidRPr="00D85D92">
        <w:rPr>
          <w:i/>
          <w:iCs/>
        </w:rPr>
        <w:t>h</w:t>
      </w:r>
      <w:r w:rsidRPr="00E05E29">
        <w:t xml:space="preserve"> is the depth of the boundary element in the plane of the wall as shown </w:t>
      </w:r>
      <w:r w:rsidRPr="001C0C37">
        <w:t>in Figure 12.6</w:t>
      </w:r>
      <w:r w:rsidRPr="00D85D92">
        <w:rPr>
          <w:color w:val="00B050"/>
        </w:rPr>
        <w:t>.</w:t>
      </w:r>
    </w:p>
    <w:p w14:paraId="09E64749" w14:textId="32D87BBE" w:rsidR="001C0C37" w:rsidRPr="00E05E29" w:rsidRDefault="001C0C37" w:rsidP="00724E4E">
      <w:pPr>
        <w:pStyle w:val="Clause"/>
      </w:pPr>
      <w:r w:rsidRPr="00E05E29">
        <w:t xml:space="preserve">The transverse reinforcement should be placed over a height </w:t>
      </w:r>
      <w:r w:rsidRPr="00E05E29">
        <w:rPr>
          <w:i/>
          <w:iCs/>
        </w:rPr>
        <w:t>h</w:t>
      </w:r>
      <w:r w:rsidRPr="00E05E29">
        <w:rPr>
          <w:vertAlign w:val="subscript"/>
        </w:rPr>
        <w:t>cr</w:t>
      </w:r>
      <w:r w:rsidRPr="00E05E29">
        <w:t xml:space="preserve"> of the wall as given in </w:t>
      </w:r>
      <w:r w:rsidRPr="00835C82">
        <w:t>10.8</w:t>
      </w:r>
      <w:r w:rsidRPr="00E05E29">
        <w:t>.</w:t>
      </w:r>
    </w:p>
    <w:p w14:paraId="62496AB9" w14:textId="360FF3DA" w:rsidR="001C0C37" w:rsidRPr="00E05E29" w:rsidRDefault="001C0C37" w:rsidP="00724E4E">
      <w:pPr>
        <w:pStyle w:val="Clause"/>
      </w:pPr>
      <w:r w:rsidRPr="00E05E29">
        <w:t xml:space="preserve">The transverse reinforcement should comply with </w:t>
      </w:r>
      <w:r w:rsidRPr="00835C82">
        <w:t>12.8.7.1</w:t>
      </w:r>
      <w:r w:rsidRPr="001C0C37">
        <w:t xml:space="preserve">. </w:t>
      </w:r>
      <w:r w:rsidRPr="00D85D92">
        <w:rPr>
          <w:color w:val="auto"/>
        </w:rPr>
        <w:t xml:space="preserve">For fully </w:t>
      </w:r>
      <w:r w:rsidRPr="00E05E29">
        <w:t xml:space="preserve">encased steel cross sections </w:t>
      </w:r>
      <w:r w:rsidRPr="00835C82">
        <w:t>12.8.7.2</w:t>
      </w:r>
      <w:r w:rsidRPr="001C0C37">
        <w:t xml:space="preserve"> </w:t>
      </w:r>
      <w:r w:rsidRPr="00E05E29">
        <w:t xml:space="preserve">should be applied. For partially encased steel cross sections </w:t>
      </w:r>
      <w:r w:rsidRPr="00835C82">
        <w:t>12.8.7.3</w:t>
      </w:r>
      <w:r w:rsidRPr="001C0C37">
        <w:t xml:space="preserve"> </w:t>
      </w:r>
      <w:r w:rsidRPr="00E05E29">
        <w:t>should be applied.</w:t>
      </w:r>
    </w:p>
    <w:p w14:paraId="359025AE" w14:textId="1D0AC525" w:rsidR="001C0C37" w:rsidRPr="00E05E29" w:rsidRDefault="001C0C37" w:rsidP="00724E4E">
      <w:pPr>
        <w:pStyle w:val="Clause"/>
      </w:pPr>
      <w:r w:rsidRPr="00E05E29">
        <w:lastRenderedPageBreak/>
        <w:t xml:space="preserve">The coupling beam design should comply with </w:t>
      </w:r>
      <w:r w:rsidRPr="00835C82">
        <w:t>12.11.3</w:t>
      </w:r>
      <w:r w:rsidRPr="001C0C37">
        <w:t xml:space="preserve">, </w:t>
      </w:r>
      <w:r w:rsidRPr="00835C82">
        <w:t xml:space="preserve">12.11.5 </w:t>
      </w:r>
      <w:r w:rsidRPr="001C0C37">
        <w:t>and</w:t>
      </w:r>
      <w:r w:rsidRPr="00835C82">
        <w:t xml:space="preserve"> 12.11.6</w:t>
      </w:r>
      <w:r w:rsidRPr="001C0C37">
        <w:t xml:space="preserve">, </w:t>
      </w:r>
      <w:r w:rsidRPr="00E05E29">
        <w:t>for links in composite frames with eccentric bracings.</w:t>
      </w:r>
    </w:p>
    <w:p w14:paraId="11AA6E83" w14:textId="38F60BA9" w:rsidR="00C63822" w:rsidRPr="00132C1E" w:rsidRDefault="005007CF" w:rsidP="005007CF">
      <w:pPr>
        <w:pStyle w:val="FigureImage"/>
      </w:pPr>
      <w:r>
        <w:rPr>
          <w:noProof/>
        </w:rPr>
        <w:drawing>
          <wp:inline distT="0" distB="0" distL="0" distR="0" wp14:anchorId="522A147B" wp14:editId="1B2C74A5">
            <wp:extent cx="4860044" cy="1488950"/>
            <wp:effectExtent l="0" t="0" r="0" b="0"/>
            <wp:docPr id="1661690633" name="0044.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1690633" name="0044.tiff"/>
                    <pic:cNvPicPr/>
                  </pic:nvPicPr>
                  <pic:blipFill>
                    <a:blip r:link="rId59"/>
                    <a:stretch>
                      <a:fillRect/>
                    </a:stretch>
                  </pic:blipFill>
                  <pic:spPr>
                    <a:xfrm>
                      <a:off x="0" y="0"/>
                      <a:ext cx="4860044" cy="1488950"/>
                    </a:xfrm>
                    <a:prstGeom prst="rect">
                      <a:avLst/>
                    </a:prstGeom>
                  </pic:spPr>
                </pic:pic>
              </a:graphicData>
            </a:graphic>
          </wp:inline>
        </w:drawing>
      </w:r>
    </w:p>
    <w:p w14:paraId="09DF5568" w14:textId="77777777" w:rsidR="00C63822" w:rsidRPr="007E6F67" w:rsidRDefault="00C63822" w:rsidP="005007CF">
      <w:pPr>
        <w:pStyle w:val="KeyTitle"/>
      </w:pPr>
      <w:r w:rsidRPr="00D1484A">
        <w:t>Key</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
        <w:gridCol w:w="5778"/>
      </w:tblGrid>
      <w:tr w:rsidR="00C63822" w:rsidRPr="00132C1E" w14:paraId="37C4061F" w14:textId="77777777" w:rsidTr="008217FC">
        <w:tc>
          <w:tcPr>
            <w:tcW w:w="392" w:type="dxa"/>
          </w:tcPr>
          <w:p w14:paraId="57DC32DF" w14:textId="77777777" w:rsidR="00C63822" w:rsidRPr="00FE71E5" w:rsidRDefault="00C63822" w:rsidP="00FE71E5">
            <w:pPr>
              <w:pStyle w:val="KeyText"/>
              <w:spacing w:before="0"/>
              <w:rPr>
                <w:iCs/>
              </w:rPr>
            </w:pPr>
            <w:r w:rsidRPr="00FE71E5">
              <w:rPr>
                <w:iCs/>
              </w:rPr>
              <w:t>A</w:t>
            </w:r>
          </w:p>
        </w:tc>
        <w:tc>
          <w:tcPr>
            <w:tcW w:w="5778" w:type="dxa"/>
          </w:tcPr>
          <w:p w14:paraId="359888C7" w14:textId="0009D18A" w:rsidR="00C63822" w:rsidRPr="00FE71E5" w:rsidRDefault="005007CF" w:rsidP="00FE71E5">
            <w:pPr>
              <w:pStyle w:val="KeyText"/>
              <w:spacing w:before="0"/>
            </w:pPr>
            <w:r w:rsidRPr="00FE71E5">
              <w:rPr>
                <w:iCs/>
              </w:rPr>
              <w:t>b</w:t>
            </w:r>
            <w:r w:rsidR="00C63822" w:rsidRPr="00FE71E5">
              <w:rPr>
                <w:iCs/>
              </w:rPr>
              <w:t>ars welded to column</w:t>
            </w:r>
          </w:p>
        </w:tc>
      </w:tr>
      <w:tr w:rsidR="00C63822" w:rsidRPr="00132C1E" w14:paraId="64039A7F" w14:textId="77777777" w:rsidTr="008217FC">
        <w:tc>
          <w:tcPr>
            <w:tcW w:w="392" w:type="dxa"/>
          </w:tcPr>
          <w:p w14:paraId="762BA634" w14:textId="77777777" w:rsidR="00C63822" w:rsidRPr="00FE71E5" w:rsidRDefault="00C63822" w:rsidP="00FE71E5">
            <w:pPr>
              <w:pStyle w:val="KeyText"/>
              <w:spacing w:before="0"/>
              <w:rPr>
                <w:iCs/>
              </w:rPr>
            </w:pPr>
            <w:r w:rsidRPr="00FE71E5">
              <w:rPr>
                <w:iCs/>
              </w:rPr>
              <w:t>B</w:t>
            </w:r>
          </w:p>
        </w:tc>
        <w:tc>
          <w:tcPr>
            <w:tcW w:w="5778" w:type="dxa"/>
          </w:tcPr>
          <w:p w14:paraId="03941C05" w14:textId="3989C857" w:rsidR="00C63822" w:rsidRPr="00FE71E5" w:rsidRDefault="005007CF" w:rsidP="00FE71E5">
            <w:pPr>
              <w:pStyle w:val="KeyText"/>
              <w:spacing w:before="0"/>
              <w:rPr>
                <w:iCs/>
              </w:rPr>
            </w:pPr>
            <w:r w:rsidRPr="00FE71E5">
              <w:rPr>
                <w:iCs/>
              </w:rPr>
              <w:t>t</w:t>
            </w:r>
            <w:r w:rsidR="00C63822" w:rsidRPr="00FE71E5">
              <w:rPr>
                <w:iCs/>
              </w:rPr>
              <w:t>ransverse reinforcement</w:t>
            </w:r>
          </w:p>
        </w:tc>
      </w:tr>
      <w:tr w:rsidR="00C63822" w:rsidRPr="00132C1E" w14:paraId="1A6EE32A" w14:textId="77777777" w:rsidTr="008217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2" w:type="dxa"/>
            <w:tcBorders>
              <w:top w:val="nil"/>
              <w:left w:val="nil"/>
              <w:bottom w:val="nil"/>
              <w:right w:val="nil"/>
            </w:tcBorders>
          </w:tcPr>
          <w:p w14:paraId="794ADA31" w14:textId="77777777" w:rsidR="00C63822" w:rsidRPr="00FE71E5" w:rsidRDefault="00C63822" w:rsidP="00FE71E5">
            <w:pPr>
              <w:pStyle w:val="KeyText"/>
              <w:spacing w:before="0"/>
              <w:rPr>
                <w:iCs/>
              </w:rPr>
            </w:pPr>
            <w:r w:rsidRPr="00FE71E5">
              <w:rPr>
                <w:iCs/>
              </w:rPr>
              <w:t>C</w:t>
            </w:r>
          </w:p>
        </w:tc>
        <w:tc>
          <w:tcPr>
            <w:tcW w:w="5778" w:type="dxa"/>
            <w:tcBorders>
              <w:top w:val="nil"/>
              <w:left w:val="nil"/>
              <w:bottom w:val="nil"/>
              <w:right w:val="nil"/>
            </w:tcBorders>
          </w:tcPr>
          <w:p w14:paraId="47A184C2" w14:textId="6D7E4740" w:rsidR="00C63822" w:rsidRPr="00FE71E5" w:rsidRDefault="005007CF" w:rsidP="00FE71E5">
            <w:pPr>
              <w:pStyle w:val="KeyText"/>
              <w:spacing w:before="0"/>
            </w:pPr>
            <w:r w:rsidRPr="00FE71E5">
              <w:rPr>
                <w:iCs/>
              </w:rPr>
              <w:t>s</w:t>
            </w:r>
            <w:r w:rsidR="00C63822" w:rsidRPr="00FE71E5">
              <w:rPr>
                <w:iCs/>
              </w:rPr>
              <w:t>hear connectors</w:t>
            </w:r>
          </w:p>
        </w:tc>
      </w:tr>
      <w:tr w:rsidR="00C63822" w:rsidRPr="00132C1E" w14:paraId="25ADCCE4" w14:textId="77777777" w:rsidTr="008217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2" w:type="dxa"/>
            <w:tcBorders>
              <w:top w:val="nil"/>
              <w:left w:val="nil"/>
              <w:bottom w:val="nil"/>
              <w:right w:val="nil"/>
            </w:tcBorders>
          </w:tcPr>
          <w:p w14:paraId="2B0D902F" w14:textId="77777777" w:rsidR="00C63822" w:rsidRPr="00FE71E5" w:rsidRDefault="00C63822" w:rsidP="00FE71E5">
            <w:pPr>
              <w:pStyle w:val="KeyText"/>
              <w:spacing w:before="0"/>
              <w:rPr>
                <w:iCs/>
              </w:rPr>
            </w:pPr>
            <w:r w:rsidRPr="00FE71E5">
              <w:rPr>
                <w:iCs/>
              </w:rPr>
              <w:t>D</w:t>
            </w:r>
          </w:p>
        </w:tc>
        <w:tc>
          <w:tcPr>
            <w:tcW w:w="5778" w:type="dxa"/>
            <w:tcBorders>
              <w:top w:val="nil"/>
              <w:left w:val="nil"/>
              <w:bottom w:val="nil"/>
              <w:right w:val="nil"/>
            </w:tcBorders>
          </w:tcPr>
          <w:p w14:paraId="42613151" w14:textId="74A1D819" w:rsidR="00C63822" w:rsidRPr="00FE71E5" w:rsidRDefault="005007CF" w:rsidP="00FE71E5">
            <w:pPr>
              <w:pStyle w:val="KeyText"/>
              <w:spacing w:before="0"/>
              <w:rPr>
                <w:iCs/>
              </w:rPr>
            </w:pPr>
            <w:r w:rsidRPr="00FE71E5">
              <w:rPr>
                <w:iCs/>
              </w:rPr>
              <w:t>c</w:t>
            </w:r>
            <w:r w:rsidR="00C63822" w:rsidRPr="00FE71E5">
              <w:rPr>
                <w:iCs/>
              </w:rPr>
              <w:t>ross tie</w:t>
            </w:r>
          </w:p>
        </w:tc>
      </w:tr>
    </w:tbl>
    <w:p w14:paraId="1799FFDA" w14:textId="28871686" w:rsidR="00C63822" w:rsidRPr="007E6F67" w:rsidRDefault="00C63822" w:rsidP="00C63822">
      <w:pPr>
        <w:pStyle w:val="Figuretitle"/>
      </w:pPr>
      <w:r w:rsidRPr="00132C1E">
        <w:t xml:space="preserve">Figure </w:t>
      </w:r>
      <w:r>
        <w:t>12.6</w:t>
      </w:r>
      <w:r w:rsidRPr="00132C1E">
        <w:t xml:space="preserve"> </w:t>
      </w:r>
      <w:r w:rsidRPr="00D1484A">
        <w:rPr>
          <w:rFonts w:ascii="`ÃÍœ˛" w:eastAsia="Cambria" w:hAnsi="`ÃÍœ˛" w:cs="`ÃÍœ˛"/>
          <w:szCs w:val="22"/>
          <w:lang w:eastAsia="de-DE"/>
        </w:rPr>
        <w:t>—</w:t>
      </w:r>
      <w:r w:rsidRPr="00D1484A">
        <w:t> Transverse reinforcement details for composite boundary elements in DC3</w:t>
      </w:r>
      <w:r w:rsidR="005007CF">
        <w:t>: (a)</w:t>
      </w:r>
      <w:r w:rsidR="005007CF" w:rsidRPr="005007CF">
        <w:t xml:space="preserve"> </w:t>
      </w:r>
      <w:r w:rsidR="005007CF" w:rsidRPr="00D1484A">
        <w:t xml:space="preserve">partially </w:t>
      </w:r>
      <w:r w:rsidR="005007CF">
        <w:t>encased; (b)</w:t>
      </w:r>
      <w:r w:rsidR="005007CF" w:rsidRPr="00D1484A">
        <w:t>fully encased</w:t>
      </w:r>
    </w:p>
    <w:p w14:paraId="1484CFAC" w14:textId="77777777" w:rsidR="00A34F9A" w:rsidRPr="00FD17CF" w:rsidRDefault="00A34F9A" w:rsidP="00A34F9A">
      <w:pPr>
        <w:pStyle w:val="Heading2"/>
      </w:pPr>
      <w:bookmarkStart w:id="10223" w:name="_Toc17827867"/>
      <w:bookmarkStart w:id="10224" w:name="_Toc50150556"/>
      <w:bookmarkStart w:id="10225" w:name="_Toc70886988"/>
      <w:bookmarkStart w:id="10226" w:name="_Toc108342558"/>
      <w:bookmarkStart w:id="10227" w:name="_Toc134198080"/>
      <w:r w:rsidRPr="00FD17CF">
        <w:t>Composite diaphragms, chords and collectors</w:t>
      </w:r>
      <w:bookmarkEnd w:id="10223"/>
      <w:bookmarkEnd w:id="10224"/>
      <w:bookmarkEnd w:id="10225"/>
      <w:bookmarkEnd w:id="10226"/>
      <w:bookmarkEnd w:id="10227"/>
    </w:p>
    <w:p w14:paraId="461FBAAC" w14:textId="54CBECB5" w:rsidR="00A34F9A" w:rsidRPr="00A34F9A" w:rsidRDefault="00A34F9A" w:rsidP="0080187E">
      <w:pPr>
        <w:pStyle w:val="Clause"/>
        <w:numPr>
          <w:ilvl w:val="0"/>
          <w:numId w:val="200"/>
        </w:numPr>
        <w:rPr>
          <w:rFonts w:eastAsia="Cambria"/>
        </w:rPr>
      </w:pPr>
      <w:r w:rsidRPr="00644C3D">
        <w:t xml:space="preserve">The design of floor diaphragms, chords and collectors should </w:t>
      </w:r>
      <w:r w:rsidRPr="00A34F9A">
        <w:rPr>
          <w:rFonts w:eastAsia="Cambria"/>
        </w:rPr>
        <w:t xml:space="preserve">satisfy </w:t>
      </w:r>
      <w:r w:rsidRPr="00835C82">
        <w:rPr>
          <w:rFonts w:eastAsia="Cambria"/>
        </w:rPr>
        <w:t>6.2.8</w:t>
      </w:r>
      <w:r w:rsidRPr="00A34F9A">
        <w:rPr>
          <w:rFonts w:eastAsia="Cambria"/>
        </w:rPr>
        <w:t xml:space="preserve">, </w:t>
      </w:r>
      <w:r w:rsidRPr="00835C82">
        <w:rPr>
          <w:rFonts w:eastAsia="Cambria"/>
        </w:rPr>
        <w:t>10.12</w:t>
      </w:r>
      <w:r w:rsidRPr="00A34F9A">
        <w:rPr>
          <w:rFonts w:eastAsia="Cambria"/>
        </w:rPr>
        <w:t xml:space="preserve"> and </w:t>
      </w:r>
      <w:r w:rsidRPr="00835C82">
        <w:rPr>
          <w:rFonts w:eastAsia="Cambria"/>
        </w:rPr>
        <w:t>11.17</w:t>
      </w:r>
      <w:r w:rsidRPr="00A34F9A">
        <w:rPr>
          <w:rFonts w:eastAsia="Cambria"/>
        </w:rPr>
        <w:t>, as appropriate.</w:t>
      </w:r>
    </w:p>
    <w:p w14:paraId="4A49335F" w14:textId="65C1BB10" w:rsidR="00A34F9A" w:rsidRPr="00E05E29" w:rsidRDefault="00A34F9A" w:rsidP="00A34F9A">
      <w:pPr>
        <w:pStyle w:val="Heading2"/>
      </w:pPr>
      <w:bookmarkStart w:id="10228" w:name="_Toc17827869"/>
      <w:bookmarkStart w:id="10229" w:name="_Toc50150557"/>
      <w:bookmarkStart w:id="10230" w:name="_Toc70886989"/>
      <w:bookmarkStart w:id="10231" w:name="_Toc108342559"/>
      <w:bookmarkStart w:id="10232" w:name="_Toc134198081"/>
      <w:r w:rsidRPr="00E05E29">
        <w:t xml:space="preserve">Transfer </w:t>
      </w:r>
      <w:r>
        <w:t>zones</w:t>
      </w:r>
      <w:r w:rsidRPr="00E05E29">
        <w:t>: Design for DC2 and DC3</w:t>
      </w:r>
      <w:bookmarkEnd w:id="10228"/>
      <w:bookmarkEnd w:id="10229"/>
      <w:bookmarkEnd w:id="10230"/>
      <w:bookmarkEnd w:id="10231"/>
      <w:bookmarkEnd w:id="10232"/>
    </w:p>
    <w:p w14:paraId="26903D71" w14:textId="77777777" w:rsidR="00A34F9A" w:rsidRDefault="00A34F9A" w:rsidP="0080187E">
      <w:pPr>
        <w:pStyle w:val="Clause"/>
        <w:numPr>
          <w:ilvl w:val="0"/>
          <w:numId w:val="201"/>
        </w:numPr>
      </w:pPr>
      <w:r w:rsidRPr="00835C82">
        <w:rPr>
          <w:rFonts w:eastAsia="Cambria"/>
        </w:rPr>
        <w:t>6.2.11</w:t>
      </w:r>
      <w:r w:rsidRPr="00A34F9A">
        <w:rPr>
          <w:rFonts w:eastAsia="Cambria"/>
        </w:rPr>
        <w:t xml:space="preserve"> and </w:t>
      </w:r>
      <w:r w:rsidRPr="00835C82">
        <w:rPr>
          <w:rFonts w:eastAsia="Cambria"/>
        </w:rPr>
        <w:t>11.18</w:t>
      </w:r>
      <w:r w:rsidRPr="00A34F9A">
        <w:rPr>
          <w:rFonts w:eastAsia="Cambria"/>
        </w:rPr>
        <w:t xml:space="preserve"> should be satisfied.</w:t>
      </w:r>
      <w:r w:rsidRPr="00E540D5">
        <w:t xml:space="preserve"> </w:t>
      </w:r>
    </w:p>
    <w:p w14:paraId="663B2182" w14:textId="0691CE74" w:rsidR="00A34F9A" w:rsidRPr="00E05E29" w:rsidRDefault="00A34F9A" w:rsidP="00A34F9A">
      <w:pPr>
        <w:pStyle w:val="Heading2"/>
      </w:pPr>
      <w:bookmarkStart w:id="10233" w:name="_Toc1421859"/>
      <w:bookmarkStart w:id="10234" w:name="_Toc1547222"/>
      <w:bookmarkStart w:id="10235" w:name="_Toc1547415"/>
      <w:bookmarkStart w:id="10236" w:name="_Toc483723306"/>
      <w:bookmarkStart w:id="10237" w:name="_Toc483723641"/>
      <w:bookmarkStart w:id="10238" w:name="_Toc484520955"/>
      <w:bookmarkStart w:id="10239" w:name="_Toc509405134"/>
      <w:bookmarkStart w:id="10240" w:name="_Toc76379942"/>
      <w:bookmarkStart w:id="10241" w:name="_Toc494124801"/>
      <w:bookmarkStart w:id="10242" w:name="_Toc17827870"/>
      <w:bookmarkStart w:id="10243" w:name="_Toc50150558"/>
      <w:bookmarkStart w:id="10244" w:name="_Toc70886990"/>
      <w:bookmarkStart w:id="10245" w:name="_Toc108342560"/>
      <w:bookmarkStart w:id="10246" w:name="_Toc134198082"/>
      <w:bookmarkEnd w:id="10233"/>
      <w:bookmarkEnd w:id="10234"/>
      <w:bookmarkEnd w:id="10235"/>
      <w:r w:rsidRPr="00E05E29">
        <w:t>Checking of design and construction</w:t>
      </w:r>
      <w:bookmarkEnd w:id="10236"/>
      <w:bookmarkEnd w:id="10237"/>
      <w:bookmarkEnd w:id="10238"/>
      <w:bookmarkEnd w:id="10239"/>
      <w:bookmarkEnd w:id="10240"/>
      <w:bookmarkEnd w:id="10241"/>
      <w:bookmarkEnd w:id="10242"/>
      <w:bookmarkEnd w:id="10243"/>
      <w:bookmarkEnd w:id="10244"/>
      <w:bookmarkEnd w:id="10245"/>
      <w:bookmarkEnd w:id="10246"/>
    </w:p>
    <w:p w14:paraId="05817224" w14:textId="7EF0114A" w:rsidR="00A34F9A" w:rsidRPr="007623CB" w:rsidRDefault="00A34F9A" w:rsidP="0080187E">
      <w:pPr>
        <w:pStyle w:val="Clause"/>
        <w:numPr>
          <w:ilvl w:val="0"/>
          <w:numId w:val="202"/>
        </w:numPr>
      </w:pPr>
      <w:r w:rsidRPr="00835C82">
        <w:rPr>
          <w:bCs/>
        </w:rPr>
        <w:t>11.19</w:t>
      </w:r>
      <w:r w:rsidRPr="00A34F9A">
        <w:t xml:space="preserve"> s</w:t>
      </w:r>
      <w:r w:rsidRPr="007623CB">
        <w:t>hould be applied.</w:t>
      </w:r>
    </w:p>
    <w:p w14:paraId="07458921" w14:textId="11A1FD5C" w:rsidR="00835C82" w:rsidRDefault="00835C82">
      <w:pPr>
        <w:spacing w:before="0" w:after="0" w:line="240" w:lineRule="auto"/>
        <w:jc w:val="left"/>
        <w:rPr>
          <w:rFonts w:eastAsia="MS Mincho" w:cs="Cambria"/>
          <w:color w:val="000000" w:themeColor="text1"/>
          <w:szCs w:val="20"/>
          <w:lang w:eastAsia="fr-FR"/>
        </w:rPr>
      </w:pPr>
      <w:r>
        <w:br w:type="page"/>
      </w:r>
    </w:p>
    <w:p w14:paraId="224CD239" w14:textId="25D4B684" w:rsidR="00990299" w:rsidRDefault="00990299" w:rsidP="00990299">
      <w:pPr>
        <w:pStyle w:val="Heading1"/>
      </w:pPr>
      <w:bookmarkStart w:id="10247" w:name="_Toc134198083"/>
      <w:r>
        <w:lastRenderedPageBreak/>
        <w:t>Specific rules for timber buildings</w:t>
      </w:r>
      <w:bookmarkEnd w:id="10247"/>
    </w:p>
    <w:p w14:paraId="78298ACD" w14:textId="07172CEC" w:rsidR="00990299" w:rsidRDefault="00990299" w:rsidP="00990299">
      <w:pPr>
        <w:pStyle w:val="Heading2"/>
      </w:pPr>
      <w:bookmarkStart w:id="10248" w:name="_Toc134198084"/>
      <w:r>
        <w:t>General</w:t>
      </w:r>
      <w:bookmarkEnd w:id="10248"/>
    </w:p>
    <w:p w14:paraId="6CBEE038" w14:textId="65978FEB" w:rsidR="00990299" w:rsidRDefault="00835C82" w:rsidP="0080187E">
      <w:pPr>
        <w:pStyle w:val="Clause"/>
        <w:numPr>
          <w:ilvl w:val="0"/>
          <w:numId w:val="203"/>
        </w:numPr>
      </w:pPr>
      <w:r w:rsidRPr="00835C82">
        <w:rPr>
          <w:bCs/>
        </w:rPr>
        <w:t xml:space="preserve">Clause </w:t>
      </w:r>
      <w:r w:rsidR="00990299" w:rsidRPr="00835C82">
        <w:rPr>
          <w:bCs/>
        </w:rPr>
        <w:t>13</w:t>
      </w:r>
      <w:r w:rsidR="00990299">
        <w:t xml:space="preserve"> should be applied to the design and the verification of timber buildings, in seismic regions.</w:t>
      </w:r>
    </w:p>
    <w:p w14:paraId="71ACA706" w14:textId="7F089BB0" w:rsidR="00990299" w:rsidRDefault="00835C82" w:rsidP="00724E4E">
      <w:pPr>
        <w:pStyle w:val="Clause"/>
      </w:pPr>
      <w:r w:rsidRPr="00835C82">
        <w:rPr>
          <w:bCs/>
        </w:rPr>
        <w:t xml:space="preserve">Clause </w:t>
      </w:r>
      <w:r w:rsidR="00990299" w:rsidRPr="00835C82">
        <w:rPr>
          <w:bCs/>
        </w:rPr>
        <w:t>13</w:t>
      </w:r>
      <w:r w:rsidR="00990299">
        <w:t xml:space="preserve"> should be applied as a complement to </w:t>
      </w:r>
      <w:r w:rsidR="00D14108">
        <w:t>pr</w:t>
      </w:r>
      <w:r w:rsidR="007F3697">
        <w:t>EN 1995-1-1</w:t>
      </w:r>
      <w:r w:rsidR="00990299">
        <w:t>.</w:t>
      </w:r>
    </w:p>
    <w:p w14:paraId="07907390" w14:textId="0DEDC5EC" w:rsidR="00990299" w:rsidRDefault="00990299" w:rsidP="00990299">
      <w:pPr>
        <w:pStyle w:val="Heading2"/>
      </w:pPr>
      <w:bookmarkStart w:id="10249" w:name="_Toc134198085"/>
      <w:r>
        <w:t>Basis of design</w:t>
      </w:r>
      <w:bookmarkEnd w:id="10249"/>
    </w:p>
    <w:p w14:paraId="4BAE21D2" w14:textId="7ADE80AA" w:rsidR="00990299" w:rsidRDefault="00990299" w:rsidP="00990299">
      <w:pPr>
        <w:pStyle w:val="Heading3"/>
      </w:pPr>
      <w:bookmarkStart w:id="10250" w:name="_Toc134198086"/>
      <w:r>
        <w:t>Design concepts</w:t>
      </w:r>
      <w:bookmarkEnd w:id="10250"/>
    </w:p>
    <w:p w14:paraId="72544C34" w14:textId="5F6EEE43" w:rsidR="00990299" w:rsidRDefault="00990299" w:rsidP="0080187E">
      <w:pPr>
        <w:pStyle w:val="Clause"/>
        <w:numPr>
          <w:ilvl w:val="0"/>
          <w:numId w:val="445"/>
        </w:numPr>
      </w:pPr>
      <w:r>
        <w:t>Earthquake-resistant timber buildings should be designed in accordance with pr</w:t>
      </w:r>
      <w:r w:rsidR="00C30FF9">
        <w:t>EN 1</w:t>
      </w:r>
      <w:r>
        <w:t>998-1-1:2022, 4.4.2(3) 4.5.2(3), aiming at either a) or b):</w:t>
      </w:r>
    </w:p>
    <w:p w14:paraId="26FC5BB5" w14:textId="61B8E427" w:rsidR="00990299" w:rsidRDefault="00990299" w:rsidP="008217FC">
      <w:pPr>
        <w:pStyle w:val="Text"/>
        <w:numPr>
          <w:ilvl w:val="0"/>
          <w:numId w:val="657"/>
        </w:numPr>
        <w:spacing w:after="200"/>
      </w:pPr>
      <w:r>
        <w:t>low-dissipative structural behaviour (DC1);</w:t>
      </w:r>
    </w:p>
    <w:p w14:paraId="3A56E920" w14:textId="4000B09D" w:rsidR="00990299" w:rsidRDefault="00990299" w:rsidP="008217FC">
      <w:pPr>
        <w:pStyle w:val="Text"/>
        <w:numPr>
          <w:ilvl w:val="0"/>
          <w:numId w:val="657"/>
        </w:numPr>
        <w:spacing w:after="200"/>
      </w:pPr>
      <w:r>
        <w:t>dissipative structural behaviour (DC2 or DC3).</w:t>
      </w:r>
    </w:p>
    <w:p w14:paraId="333A3735" w14:textId="3FAF1580" w:rsidR="00990299" w:rsidRDefault="00990299" w:rsidP="00724E4E">
      <w:pPr>
        <w:pStyle w:val="Clause"/>
      </w:pPr>
      <w:r>
        <w:t>In concept a) of (1), when using the reduced spectrum defined in pr</w:t>
      </w:r>
      <w:r w:rsidR="00C30FF9">
        <w:t>EN 1</w:t>
      </w:r>
      <w:r>
        <w:t xml:space="preserve">998-1-1:2022, </w:t>
      </w:r>
      <w:r w:rsidRPr="00835C82">
        <w:t>6.4.1</w:t>
      </w:r>
      <w:r>
        <w:t xml:space="preserve">, the behaviour factor components </w:t>
      </w:r>
      <w:r w:rsidR="00621866" w:rsidRPr="004F74EA">
        <w:rPr>
          <w:i/>
        </w:rPr>
        <w:t>q</w:t>
      </w:r>
      <w:r w:rsidR="00621866" w:rsidRPr="004F74EA">
        <w:rPr>
          <w:vertAlign w:val="subscript"/>
        </w:rPr>
        <w:t>D</w:t>
      </w:r>
      <w:r w:rsidR="00621866" w:rsidRPr="00E05E29">
        <w:t xml:space="preserve"> and </w:t>
      </w:r>
      <w:r w:rsidR="00621866" w:rsidRPr="004F74EA">
        <w:rPr>
          <w:i/>
        </w:rPr>
        <w:t>q</w:t>
      </w:r>
      <w:r w:rsidR="00621866" w:rsidRPr="004F74EA">
        <w:rPr>
          <w:vertAlign w:val="subscript"/>
        </w:rPr>
        <w:t>R</w:t>
      </w:r>
      <w:r w:rsidR="00621866" w:rsidRPr="00E05E29">
        <w:t xml:space="preserve"> should be taken equal to 1,0. The behaviour factor component </w:t>
      </w:r>
      <w:r w:rsidR="00621866" w:rsidRPr="004F74EA">
        <w:rPr>
          <w:i/>
        </w:rPr>
        <w:t>q</w:t>
      </w:r>
      <w:r w:rsidR="00621866" w:rsidRPr="004F74EA">
        <w:rPr>
          <w:vertAlign w:val="subscript"/>
        </w:rPr>
        <w:t>S</w:t>
      </w:r>
      <w:r>
        <w:t xml:space="preserve"> should be taken equal to 1,5.</w:t>
      </w:r>
    </w:p>
    <w:p w14:paraId="5B64CA23" w14:textId="0FFDED50" w:rsidR="00990299" w:rsidRDefault="00990299" w:rsidP="00724E4E">
      <w:pPr>
        <w:pStyle w:val="Clause"/>
      </w:pPr>
      <w:r>
        <w:t xml:space="preserve">In concept a) of </w:t>
      </w:r>
      <w:r w:rsidRPr="00835C82">
        <w:t>(1)</w:t>
      </w:r>
      <w:r w:rsidRPr="00621866">
        <w:t>,</w:t>
      </w:r>
      <w:r>
        <w:t xml:space="preserve"> </w:t>
      </w:r>
      <w:r w:rsidRPr="00835C82">
        <w:t>(9)</w:t>
      </w:r>
      <w:r w:rsidRPr="00621866">
        <w:t>,</w:t>
      </w:r>
      <w:r>
        <w:t xml:space="preserve"> </w:t>
      </w:r>
      <w:r w:rsidRPr="00835C82">
        <w:t>13.2.2(2)</w:t>
      </w:r>
      <w:r>
        <w:t xml:space="preserve">, </w:t>
      </w:r>
      <w:r w:rsidRPr="00835C82">
        <w:t>13.3.2(1)</w:t>
      </w:r>
      <w:r>
        <w:t xml:space="preserve">, </w:t>
      </w:r>
      <w:r w:rsidRPr="00835C82">
        <w:t>13.3.2(2)</w:t>
      </w:r>
      <w:r>
        <w:t xml:space="preserve">, </w:t>
      </w:r>
      <w:r w:rsidRPr="00835C82">
        <w:t>13.4.1</w:t>
      </w:r>
      <w:r>
        <w:t xml:space="preserve">, </w:t>
      </w:r>
      <w:r w:rsidRPr="00835C82">
        <w:t>13.4.4</w:t>
      </w:r>
      <w:r>
        <w:t xml:space="preserve">, </w:t>
      </w:r>
      <w:r w:rsidRPr="00835C82">
        <w:t>13.5</w:t>
      </w:r>
      <w:r>
        <w:t xml:space="preserve">, </w:t>
      </w:r>
      <w:r w:rsidRPr="00835C82">
        <w:t>13.6</w:t>
      </w:r>
      <w:r>
        <w:t xml:space="preserve">, </w:t>
      </w:r>
      <w:r w:rsidRPr="00835C82">
        <w:t>13.15</w:t>
      </w:r>
      <w:r>
        <w:t xml:space="preserve"> and </w:t>
      </w:r>
      <w:r w:rsidRPr="00835C82">
        <w:t>13.17</w:t>
      </w:r>
      <w:r>
        <w:t xml:space="preserve"> should be applied. In addition, also the General Rules and Detailing Rules for each structural type as described in </w:t>
      </w:r>
      <w:r w:rsidRPr="00835C82">
        <w:t>13.7</w:t>
      </w:r>
      <w:r>
        <w:t xml:space="preserve"> to </w:t>
      </w:r>
      <w:r w:rsidRPr="00835C82">
        <w:t>13.14</w:t>
      </w:r>
      <w:r>
        <w:t xml:space="preserve"> should be applied.</w:t>
      </w:r>
    </w:p>
    <w:p w14:paraId="44AB9168" w14:textId="26A5AC1B" w:rsidR="00990299" w:rsidRPr="000B3EA0" w:rsidRDefault="00990299" w:rsidP="00724E4E">
      <w:pPr>
        <w:pStyle w:val="Clause"/>
      </w:pPr>
      <w:r>
        <w:t>In concept b) of (1), when using the reduced spectrum defined in pr</w:t>
      </w:r>
      <w:r w:rsidR="00C30FF9">
        <w:t>EN 1</w:t>
      </w:r>
      <w:r>
        <w:t xml:space="preserve">998-1-1:2022, </w:t>
      </w:r>
      <w:r w:rsidRPr="00835C82">
        <w:t>6.4.1(1)</w:t>
      </w:r>
      <w:r>
        <w:t xml:space="preserve">, for a force-based analysis, the behaviour factor components </w:t>
      </w:r>
      <w:r w:rsidR="00621866" w:rsidRPr="00E05E29">
        <w:rPr>
          <w:i/>
        </w:rPr>
        <w:t>q</w:t>
      </w:r>
      <w:r w:rsidR="00621866" w:rsidRPr="00E05E29">
        <w:rPr>
          <w:vertAlign w:val="subscript"/>
        </w:rPr>
        <w:t>D</w:t>
      </w:r>
      <w:r w:rsidR="00621866" w:rsidRPr="00E05E29">
        <w:t xml:space="preserve"> and </w:t>
      </w:r>
      <w:r w:rsidR="00621866" w:rsidRPr="00E05E29">
        <w:rPr>
          <w:i/>
        </w:rPr>
        <w:t>q</w:t>
      </w:r>
      <w:r w:rsidR="00621866" w:rsidRPr="00E05E29">
        <w:rPr>
          <w:vertAlign w:val="subscript"/>
        </w:rPr>
        <w:t>R</w:t>
      </w:r>
      <w:r w:rsidR="00621866" w:rsidRPr="00E05E29">
        <w:t xml:space="preserve"> </w:t>
      </w:r>
      <w:r>
        <w:t xml:space="preserve">may be taken greater than 1,0. The values of </w:t>
      </w:r>
      <w:r w:rsidR="00621866" w:rsidRPr="00E05E29">
        <w:rPr>
          <w:i/>
        </w:rPr>
        <w:t>q</w:t>
      </w:r>
      <w:r w:rsidR="00621866" w:rsidRPr="00E05E29">
        <w:rPr>
          <w:vertAlign w:val="subscript"/>
        </w:rPr>
        <w:t>D</w:t>
      </w:r>
      <w:r w:rsidR="00621866" w:rsidRPr="00E05E29">
        <w:t xml:space="preserve"> and </w:t>
      </w:r>
      <w:r w:rsidR="00621866" w:rsidRPr="00E05E29">
        <w:rPr>
          <w:i/>
        </w:rPr>
        <w:t>q</w:t>
      </w:r>
      <w:r w:rsidR="00621866" w:rsidRPr="00E05E29">
        <w:rPr>
          <w:vertAlign w:val="subscript"/>
        </w:rPr>
        <w:t>R</w:t>
      </w:r>
      <w:r>
        <w:t xml:space="preserve"> should depend on the ductility class and the structural type (see 13.4).</w:t>
      </w:r>
    </w:p>
    <w:p w14:paraId="04F623D1" w14:textId="69358D92" w:rsidR="00990299" w:rsidRDefault="00990299" w:rsidP="00724E4E">
      <w:pPr>
        <w:pStyle w:val="Clause"/>
      </w:pPr>
      <w:r>
        <w:t>In concept b) of (1), dissipative zones should be located in joints and connections or outside the joints and connections in purposely developed energy dissipation systems.</w:t>
      </w:r>
    </w:p>
    <w:p w14:paraId="71C8C504" w14:textId="7A6AEAD4" w:rsidR="00990299" w:rsidRDefault="00990299" w:rsidP="00724E4E">
      <w:pPr>
        <w:pStyle w:val="Clause"/>
      </w:pPr>
      <w:r>
        <w:t>If dissipative zones are located in joints and connections, the energy dissipation should take place by flexural yielding of metal fasteners, whereas the timber members themselves should be designed to remain elastic.</w:t>
      </w:r>
    </w:p>
    <w:p w14:paraId="3E3B1E38" w14:textId="6C5EAB44" w:rsidR="00990299" w:rsidRDefault="00990299" w:rsidP="00724E4E">
      <w:pPr>
        <w:pStyle w:val="Clause"/>
      </w:pPr>
      <w:r>
        <w:t>In DC2 and DC3, a) and b) should be applied:</w:t>
      </w:r>
    </w:p>
    <w:p w14:paraId="7D03163E" w14:textId="6AF3ABDE" w:rsidR="00990299" w:rsidRPr="002300E9" w:rsidRDefault="00990299" w:rsidP="008217FC">
      <w:pPr>
        <w:pStyle w:val="Text"/>
        <w:numPr>
          <w:ilvl w:val="0"/>
          <w:numId w:val="658"/>
        </w:numPr>
        <w:spacing w:after="200"/>
      </w:pPr>
      <w:r w:rsidRPr="002300E9">
        <w:t>timber or wood-based members, glued joints and connections with axially loaded fasteners according to 13.4.2(12) should be designed as non-dissipative;</w:t>
      </w:r>
    </w:p>
    <w:p w14:paraId="7A7948CC" w14:textId="566E15B2" w:rsidR="00990299" w:rsidRPr="002300E9" w:rsidRDefault="00990299" w:rsidP="008217FC">
      <w:pPr>
        <w:pStyle w:val="Text"/>
        <w:numPr>
          <w:ilvl w:val="0"/>
          <w:numId w:val="658"/>
        </w:numPr>
        <w:spacing w:after="200"/>
      </w:pPr>
      <w:r w:rsidRPr="002300E9">
        <w:t>carpentry connections as defined in 3.1.5 should be designed as non-dissipative unless they comply with 13.4.3(5) and provide sufficient energy dissipation capacity, according to 13.3.1(2).</w:t>
      </w:r>
    </w:p>
    <w:p w14:paraId="19EAB91E" w14:textId="2EF42E99" w:rsidR="00990299" w:rsidRDefault="00990299" w:rsidP="00724E4E">
      <w:pPr>
        <w:pStyle w:val="Clause"/>
      </w:pPr>
      <w:r>
        <w:t>If dissipative zones are located in energy dissipation systems, both the timber members and the connections should be regarded as behaving elastically and should be capacity designed according to pr</w:t>
      </w:r>
      <w:r w:rsidR="00C30FF9">
        <w:t>EN 1</w:t>
      </w:r>
      <w:r>
        <w:t>998-1-1:2022, 4.4.2(2) 4.5.2(2), in relation to the resistance of the energy dissipation systems. The design should be carried out according to pr</w:t>
      </w:r>
      <w:r w:rsidR="00C30FF9">
        <w:t>EN 1</w:t>
      </w:r>
      <w:r>
        <w:t>998-1-1:2022, 6.8, and pr</w:t>
      </w:r>
      <w:r w:rsidR="00C30FF9">
        <w:t>EN 1</w:t>
      </w:r>
      <w:r>
        <w:t xml:space="preserve">998-1-2:2022, </w:t>
      </w:r>
      <w:r w:rsidR="006633B5">
        <w:t xml:space="preserve">Clause </w:t>
      </w:r>
      <w:r>
        <w:t>9 and Annex D, rather than to 13.4.</w:t>
      </w:r>
    </w:p>
    <w:p w14:paraId="5CCC62E1" w14:textId="02F33CF5" w:rsidR="00990299" w:rsidRDefault="00990299" w:rsidP="00724E4E">
      <w:pPr>
        <w:pStyle w:val="Clause"/>
      </w:pPr>
      <w:r>
        <w:t>Horizontal diaphragms should be connected to the underlying primary and secondary (see 3.1.27) members to restrain them in- and out-of-plane and transfer the seismic action.</w:t>
      </w:r>
    </w:p>
    <w:p w14:paraId="27FA274F" w14:textId="2C049455" w:rsidR="00990299" w:rsidRDefault="00990299" w:rsidP="00621866">
      <w:pPr>
        <w:pStyle w:val="Heading3"/>
      </w:pPr>
      <w:bookmarkStart w:id="10251" w:name="_Toc134198087"/>
      <w:r>
        <w:lastRenderedPageBreak/>
        <w:t>Safety verifications</w:t>
      </w:r>
      <w:bookmarkEnd w:id="10251"/>
    </w:p>
    <w:p w14:paraId="76178DB5" w14:textId="09830014" w:rsidR="00990299" w:rsidRDefault="00990299" w:rsidP="0080187E">
      <w:pPr>
        <w:pStyle w:val="Clause"/>
        <w:numPr>
          <w:ilvl w:val="0"/>
          <w:numId w:val="446"/>
        </w:numPr>
      </w:pPr>
      <w:r>
        <w:t>For verifications of DC2 and DC3 design at SD Limit State, the design strength of dissipative zones should be calculated by Formula (13.1).</w:t>
      </w:r>
    </w:p>
    <w:p w14:paraId="211874FD" w14:textId="48D0FBC0" w:rsidR="004D753D" w:rsidRDefault="009B5CEC" w:rsidP="004D753D">
      <w:pPr>
        <w:pStyle w:val="Formula"/>
        <w:spacing w:before="240"/>
      </w:pPr>
      <m:oMath>
        <m:sSub>
          <m:sSubPr>
            <m:ctrlPr>
              <w:rPr>
                <w:rFonts w:ascii="Cambria Math" w:hAnsi="Cambria Math"/>
              </w:rPr>
            </m:ctrlPr>
          </m:sSubPr>
          <m:e>
            <m:r>
              <w:rPr>
                <w:rFonts w:ascii="Cambria Math" w:hAnsi="Cambria Math"/>
              </w:rPr>
              <m:t>F</m:t>
            </m:r>
          </m:e>
          <m:sub>
            <m:r>
              <m:rPr>
                <m:sty m:val="p"/>
              </m:rPr>
              <w:rPr>
                <w:rFonts w:ascii="Cambria Math" w:hAnsi="Cambria Math"/>
              </w:rPr>
              <m:t>Rd,d</m:t>
            </m:r>
          </m:sub>
        </m:sSub>
        <m:r>
          <w:rPr>
            <w:rFonts w:ascii="Cambria Math" w:hAnsi="Cambria Math"/>
          </w:rPr>
          <m:t>=</m:t>
        </m:r>
        <m:sSub>
          <m:sSubPr>
            <m:ctrlPr>
              <w:rPr>
                <w:rFonts w:ascii="Cambria Math" w:eastAsia="Batang" w:hAnsi="Cambria Math"/>
                <w:lang w:eastAsia="de-DE"/>
              </w:rPr>
            </m:ctrlPr>
          </m:sSubPr>
          <m:e>
            <m:r>
              <w:rPr>
                <w:rFonts w:ascii="Cambria Math" w:hAnsi="Cambria Math"/>
              </w:rPr>
              <m:t>k</m:t>
            </m:r>
          </m:e>
          <m:sub>
            <m:r>
              <m:rPr>
                <m:sty m:val="p"/>
              </m:rPr>
              <w:rPr>
                <w:rFonts w:ascii="Cambria Math" w:hAnsi="Cambria Math"/>
              </w:rPr>
              <m:t>deg</m:t>
            </m:r>
          </m:sub>
        </m:sSub>
        <m:r>
          <w:rPr>
            <w:rFonts w:eastAsia="Batang"/>
            <w:lang w:eastAsia="de-DE"/>
          </w:rPr>
          <m:t xml:space="preserve"> </m:t>
        </m:r>
        <m:sSub>
          <m:sSubPr>
            <m:ctrlPr>
              <w:rPr>
                <w:rFonts w:ascii="Cambria Math" w:hAnsi="Cambria Math"/>
              </w:rPr>
            </m:ctrlPr>
          </m:sSubPr>
          <m:e>
            <m:r>
              <w:rPr>
                <w:rFonts w:ascii="Cambria Math" w:hAnsi="Cambria Math"/>
              </w:rPr>
              <m:t>k</m:t>
            </m:r>
          </m:e>
          <m:sub>
            <m:r>
              <m:rPr>
                <m:sty m:val="p"/>
              </m:rPr>
              <w:rPr>
                <w:rFonts w:ascii="Cambria Math" w:hAnsi="Cambria Math"/>
              </w:rPr>
              <m:t>mod</m:t>
            </m:r>
          </m:sub>
        </m:sSub>
        <m:f>
          <m:fPr>
            <m:ctrlPr>
              <w:rPr>
                <w:rFonts w:ascii="Cambria Math" w:hAnsi="Cambria Math"/>
              </w:rPr>
            </m:ctrlPr>
          </m:fPr>
          <m:num>
            <m:sSub>
              <m:sSubPr>
                <m:ctrlPr>
                  <w:rPr>
                    <w:rFonts w:ascii="Cambria Math" w:hAnsi="Cambria Math"/>
                  </w:rPr>
                </m:ctrlPr>
              </m:sSubPr>
              <m:e>
                <m:r>
                  <w:rPr>
                    <w:rFonts w:ascii="Cambria Math" w:hAnsi="Cambria Math"/>
                  </w:rPr>
                  <m:t>F</m:t>
                </m:r>
              </m:e>
              <m:sub>
                <m:r>
                  <m:rPr>
                    <m:sty m:val="p"/>
                  </m:rPr>
                  <w:rPr>
                    <w:rFonts w:ascii="Cambria Math" w:hAnsi="Cambria Math"/>
                  </w:rPr>
                  <m:t>Rk,d</m:t>
                </m:r>
              </m:sub>
            </m:sSub>
          </m:num>
          <m:den>
            <m:sSub>
              <m:sSubPr>
                <m:ctrlPr>
                  <w:rPr>
                    <w:rFonts w:ascii="Cambria Math" w:eastAsia="Batang" w:hAnsi="Cambria Math"/>
                    <w:lang w:eastAsia="de-DE"/>
                  </w:rPr>
                </m:ctrlPr>
              </m:sSubPr>
              <m:e>
                <m:r>
                  <w:rPr>
                    <w:rFonts w:ascii="Cambria Math" w:hAnsi="Cambria Math"/>
                  </w:rPr>
                  <m:t>γ</m:t>
                </m:r>
              </m:e>
              <m:sub>
                <m:r>
                  <m:rPr>
                    <m:sty m:val="p"/>
                  </m:rPr>
                  <w:rPr>
                    <w:rFonts w:ascii="Cambria Math" w:hAnsi="Cambria Math"/>
                  </w:rPr>
                  <m:t>M</m:t>
                </m:r>
              </m:sub>
            </m:sSub>
          </m:den>
        </m:f>
      </m:oMath>
      <w:r w:rsidR="004D753D" w:rsidRPr="00132C1E">
        <w:t xml:space="preserve">                    with the limitation</w:t>
      </w:r>
      <m:oMath>
        <m:r>
          <w:rPr>
            <w:rFonts w:ascii="Cambria Math" w:hAnsi="Cambria Math"/>
          </w:rPr>
          <m:t xml:space="preserve"> </m:t>
        </m:r>
        <m:sSub>
          <m:sSubPr>
            <m:ctrlPr>
              <w:rPr>
                <w:rFonts w:ascii="Cambria Math" w:eastAsia="Batang" w:hAnsi="Cambria Math"/>
                <w:lang w:eastAsia="de-DE"/>
              </w:rPr>
            </m:ctrlPr>
          </m:sSubPr>
          <m:e>
            <m:r>
              <w:rPr>
                <w:rFonts w:ascii="Cambria Math" w:hAnsi="Cambria Math"/>
              </w:rPr>
              <m:t>k</m:t>
            </m:r>
          </m:e>
          <m:sub>
            <m:r>
              <m:rPr>
                <m:sty m:val="p"/>
              </m:rPr>
              <w:rPr>
                <w:rFonts w:ascii="Cambria Math" w:hAnsi="Cambria Math"/>
              </w:rPr>
              <m:t>deg</m:t>
            </m:r>
          </m:sub>
        </m:sSub>
        <m:r>
          <w:rPr>
            <w:rFonts w:ascii="Cambria Math" w:eastAsia="Batang" w:hAnsi="Cambria Math"/>
            <w:lang w:eastAsia="de-DE"/>
          </w:rPr>
          <m:t>≤1</m:t>
        </m:r>
      </m:oMath>
      <w:r w:rsidR="004D753D" w:rsidRPr="00870D59">
        <w:tab/>
        <w:t>(1</w:t>
      </w:r>
      <w:r w:rsidR="004D753D">
        <w:t>3</w:t>
      </w:r>
      <w:r w:rsidR="004D753D" w:rsidRPr="00870D59">
        <w:t>.</w:t>
      </w:r>
      <w:r w:rsidR="004D753D">
        <w:t>1</w:t>
      </w:r>
      <w:r w:rsidR="004D753D" w:rsidRPr="00870D59">
        <w:t>)</w:t>
      </w:r>
    </w:p>
    <w:p w14:paraId="1456E1E9" w14:textId="446EC72F" w:rsidR="00416ACE" w:rsidRPr="00416ACE" w:rsidRDefault="00416ACE" w:rsidP="00416ACE">
      <w:pPr>
        <w:pStyle w:val="Text"/>
      </w:pPr>
      <w:r>
        <w:t>where</w:t>
      </w:r>
    </w:p>
    <w:tbl>
      <w:tblPr>
        <w:tblW w:w="0" w:type="auto"/>
        <w:tblInd w:w="284" w:type="dxa"/>
        <w:tblLook w:val="04A0" w:firstRow="1" w:lastRow="0" w:firstColumn="1" w:lastColumn="0" w:noHBand="0" w:noVBand="1"/>
      </w:tblPr>
      <w:tblGrid>
        <w:gridCol w:w="1337"/>
        <w:gridCol w:w="7938"/>
      </w:tblGrid>
      <w:tr w:rsidR="004D753D" w:rsidRPr="000F2AFF" w14:paraId="293B34CB" w14:textId="77777777" w:rsidTr="008217FC">
        <w:tc>
          <w:tcPr>
            <w:tcW w:w="1337" w:type="dxa"/>
          </w:tcPr>
          <w:p w14:paraId="424CBFE3" w14:textId="47D2A39F" w:rsidR="004D753D" w:rsidRPr="000F2AFF" w:rsidRDefault="004D753D" w:rsidP="002061E5">
            <w:pPr>
              <w:spacing w:after="60"/>
              <w:jc w:val="left"/>
              <w:rPr>
                <w:rFonts w:eastAsia="Times New Roman" w:cs="Cambria"/>
                <w:color w:val="000000" w:themeColor="text1"/>
                <w:szCs w:val="20"/>
                <w:lang w:eastAsia="fr-FR"/>
              </w:rPr>
            </w:pPr>
            <w:r w:rsidRPr="00644C3D">
              <w:rPr>
                <w:i/>
                <w:iCs/>
              </w:rPr>
              <w:t>F</w:t>
            </w:r>
            <w:r w:rsidRPr="00E05E29">
              <w:rPr>
                <w:vertAlign w:val="subscript"/>
              </w:rPr>
              <w:t>Rd,d</w:t>
            </w:r>
          </w:p>
        </w:tc>
        <w:tc>
          <w:tcPr>
            <w:tcW w:w="7938" w:type="dxa"/>
          </w:tcPr>
          <w:p w14:paraId="156A473A" w14:textId="5D12DBD9" w:rsidR="004D753D" w:rsidRPr="00464B4C" w:rsidRDefault="004D753D" w:rsidP="002061E5">
            <w:pPr>
              <w:spacing w:after="60"/>
              <w:rPr>
                <w:rFonts w:eastAsia="Times New Roman" w:cs="Cambria"/>
                <w:color w:val="000000" w:themeColor="text1"/>
                <w:szCs w:val="20"/>
                <w:lang w:eastAsia="fr-FR"/>
              </w:rPr>
            </w:pPr>
            <w:r w:rsidRPr="00E05E29">
              <w:t>is the design value of the strength of the dissipative zones;</w:t>
            </w:r>
          </w:p>
        </w:tc>
      </w:tr>
      <w:tr w:rsidR="004D753D" w:rsidRPr="000F2AFF" w14:paraId="0385FC20" w14:textId="77777777" w:rsidTr="008217FC">
        <w:tc>
          <w:tcPr>
            <w:tcW w:w="1337" w:type="dxa"/>
          </w:tcPr>
          <w:p w14:paraId="08B56625" w14:textId="6AAB5E8B" w:rsidR="004D753D" w:rsidRPr="000F2AFF" w:rsidRDefault="004D753D" w:rsidP="002061E5">
            <w:pPr>
              <w:spacing w:after="60"/>
              <w:jc w:val="left"/>
              <w:rPr>
                <w:rFonts w:eastAsia="Times New Roman" w:cs="Cambria"/>
                <w:color w:val="000000" w:themeColor="text1"/>
                <w:szCs w:val="20"/>
                <w:lang w:eastAsia="fr-FR"/>
              </w:rPr>
            </w:pPr>
            <w:r w:rsidRPr="00E05E29">
              <w:rPr>
                <w:i/>
                <w:iCs/>
              </w:rPr>
              <w:t>k</w:t>
            </w:r>
            <w:r w:rsidRPr="00E05E29">
              <w:rPr>
                <w:vertAlign w:val="subscript"/>
              </w:rPr>
              <w:t>deg</w:t>
            </w:r>
          </w:p>
        </w:tc>
        <w:tc>
          <w:tcPr>
            <w:tcW w:w="7938" w:type="dxa"/>
          </w:tcPr>
          <w:p w14:paraId="321C5217" w14:textId="4E676EFE" w:rsidR="004D753D" w:rsidRPr="002300E9" w:rsidRDefault="004D753D" w:rsidP="002061E5">
            <w:pPr>
              <w:spacing w:after="60"/>
              <w:rPr>
                <w:rFonts w:eastAsia="Times New Roman" w:cs="Cambria"/>
                <w:color w:val="000000" w:themeColor="text1"/>
                <w:szCs w:val="20"/>
                <w:lang w:eastAsia="fr-FR"/>
              </w:rPr>
            </w:pPr>
            <w:r w:rsidRPr="002300E9">
              <w:t>is the strength reduction factor due to degradation under cyclic loading, given in 13.3.1(1);</w:t>
            </w:r>
          </w:p>
        </w:tc>
      </w:tr>
      <w:tr w:rsidR="004D753D" w:rsidRPr="000F2AFF" w14:paraId="75C445D9" w14:textId="77777777" w:rsidTr="008217FC">
        <w:tc>
          <w:tcPr>
            <w:tcW w:w="1337" w:type="dxa"/>
          </w:tcPr>
          <w:p w14:paraId="509BB403" w14:textId="32FB636B" w:rsidR="004D753D" w:rsidRPr="000F2AFF" w:rsidRDefault="004D753D" w:rsidP="002061E5">
            <w:pPr>
              <w:spacing w:after="60"/>
              <w:jc w:val="left"/>
              <w:rPr>
                <w:rFonts w:eastAsia="Times New Roman" w:cs="Cambria"/>
                <w:color w:val="000000" w:themeColor="text1"/>
                <w:szCs w:val="20"/>
                <w:lang w:eastAsia="fr-FR"/>
              </w:rPr>
            </w:pPr>
            <w:r w:rsidRPr="00B33E3E">
              <w:rPr>
                <w:i/>
                <w:iCs/>
              </w:rPr>
              <w:t>k</w:t>
            </w:r>
            <w:r w:rsidRPr="00B33E3E">
              <w:rPr>
                <w:vertAlign w:val="subscript"/>
              </w:rPr>
              <w:t>mod</w:t>
            </w:r>
          </w:p>
        </w:tc>
        <w:tc>
          <w:tcPr>
            <w:tcW w:w="7938" w:type="dxa"/>
          </w:tcPr>
          <w:p w14:paraId="0055C71D" w14:textId="5EECE5E9" w:rsidR="004D753D" w:rsidRPr="002300E9" w:rsidRDefault="004D753D" w:rsidP="002061E5">
            <w:pPr>
              <w:spacing w:after="60"/>
              <w:rPr>
                <w:rFonts w:eastAsia="Times New Roman" w:cs="Cambria"/>
                <w:color w:val="000000" w:themeColor="text1"/>
                <w:szCs w:val="20"/>
                <w:lang w:eastAsia="fr-FR"/>
              </w:rPr>
            </w:pPr>
            <w:r w:rsidRPr="002300E9">
              <w:t xml:space="preserve">is the modification factor for duration of load and moisture content according to </w:t>
            </w:r>
            <w:r w:rsidR="007F3697" w:rsidRPr="002300E9">
              <w:t>prEN 1995-1-1</w:t>
            </w:r>
            <w:r w:rsidR="00D14108">
              <w:t>:2023</w:t>
            </w:r>
            <w:r w:rsidR="003326DE">
              <w:t xml:space="preserve">, </w:t>
            </w:r>
            <w:r w:rsidRPr="002300E9">
              <w:t>5.1.3, Table 5.1;</w:t>
            </w:r>
          </w:p>
        </w:tc>
      </w:tr>
      <w:tr w:rsidR="004D753D" w:rsidRPr="000F2AFF" w14:paraId="341F546B" w14:textId="77777777" w:rsidTr="008217FC">
        <w:tc>
          <w:tcPr>
            <w:tcW w:w="1337" w:type="dxa"/>
          </w:tcPr>
          <w:p w14:paraId="715D4F43" w14:textId="17CA7168" w:rsidR="004D753D" w:rsidRPr="000F2AFF" w:rsidRDefault="004D753D" w:rsidP="002061E5">
            <w:pPr>
              <w:spacing w:after="60"/>
              <w:jc w:val="left"/>
              <w:rPr>
                <w:rFonts w:eastAsia="Times New Roman" w:cs="Cambria"/>
                <w:color w:val="000000" w:themeColor="text1"/>
                <w:szCs w:val="20"/>
                <w:lang w:eastAsia="fr-FR"/>
              </w:rPr>
            </w:pPr>
            <w:r w:rsidRPr="00B33E3E">
              <w:rPr>
                <w:i/>
                <w:iCs/>
              </w:rPr>
              <w:t>F</w:t>
            </w:r>
            <w:r w:rsidRPr="00B33E3E">
              <w:rPr>
                <w:vertAlign w:val="subscript"/>
              </w:rPr>
              <w:t>Rk,d</w:t>
            </w:r>
          </w:p>
        </w:tc>
        <w:tc>
          <w:tcPr>
            <w:tcW w:w="7938" w:type="dxa"/>
          </w:tcPr>
          <w:p w14:paraId="23B6BA8C" w14:textId="53BCA94F" w:rsidR="004D753D" w:rsidRPr="002300E9" w:rsidRDefault="004D753D" w:rsidP="002061E5">
            <w:pPr>
              <w:spacing w:after="60"/>
              <w:rPr>
                <w:rFonts w:eastAsia="Times New Roman" w:cs="Cambria"/>
                <w:color w:val="000000" w:themeColor="text1"/>
                <w:szCs w:val="20"/>
                <w:lang w:eastAsia="fr-FR"/>
              </w:rPr>
            </w:pPr>
            <w:r w:rsidRPr="002300E9">
              <w:t xml:space="preserve">is the characteristic value of the strength of the dissipative zones, according to </w:t>
            </w:r>
            <w:r w:rsidR="007F3697" w:rsidRPr="002300E9">
              <w:t>prEN 1995-1-1</w:t>
            </w:r>
            <w:r w:rsidR="003326DE">
              <w:t xml:space="preserve">:2023, </w:t>
            </w:r>
            <w:r w:rsidRPr="002300E9">
              <w:t xml:space="preserve"> </w:t>
            </w:r>
            <w:r w:rsidR="000E61CC">
              <w:t xml:space="preserve">Clause </w:t>
            </w:r>
            <w:r w:rsidRPr="002300E9">
              <w:t>11;</w:t>
            </w:r>
          </w:p>
        </w:tc>
      </w:tr>
      <w:tr w:rsidR="004D753D" w:rsidRPr="000F2AFF" w14:paraId="08BC7788" w14:textId="77777777" w:rsidTr="008217FC">
        <w:tc>
          <w:tcPr>
            <w:tcW w:w="1337" w:type="dxa"/>
          </w:tcPr>
          <w:p w14:paraId="5F65167A" w14:textId="575F683F" w:rsidR="004D753D" w:rsidRPr="000F2AFF" w:rsidRDefault="004D753D" w:rsidP="002061E5">
            <w:pPr>
              <w:spacing w:after="60"/>
              <w:jc w:val="left"/>
              <w:rPr>
                <w:i/>
                <w:iCs/>
                <w:color w:val="000000" w:themeColor="text1"/>
              </w:rPr>
            </w:pPr>
            <w:r w:rsidRPr="00B33E3E">
              <w:rPr>
                <w:i/>
                <w:iCs/>
              </w:rPr>
              <w:t>γ</w:t>
            </w:r>
            <w:r w:rsidRPr="00B33E3E">
              <w:rPr>
                <w:vertAlign w:val="subscript"/>
              </w:rPr>
              <w:t>M</w:t>
            </w:r>
          </w:p>
        </w:tc>
        <w:tc>
          <w:tcPr>
            <w:tcW w:w="7938" w:type="dxa"/>
          </w:tcPr>
          <w:p w14:paraId="441C3224" w14:textId="5210219F" w:rsidR="004D753D" w:rsidRPr="002300E9" w:rsidRDefault="004D753D" w:rsidP="002061E5">
            <w:pPr>
              <w:spacing w:after="60"/>
              <w:rPr>
                <w:color w:val="000000" w:themeColor="text1"/>
              </w:rPr>
            </w:pPr>
            <w:r w:rsidRPr="002300E9">
              <w:t xml:space="preserve">is the partial factor for a material property according to </w:t>
            </w:r>
            <w:r w:rsidR="007F3697" w:rsidRPr="002300E9">
              <w:t>prEN 1995-1-1</w:t>
            </w:r>
            <w:r w:rsidR="003326DE">
              <w:t>:2023</w:t>
            </w:r>
            <w:r w:rsidRPr="002300E9">
              <w:t>, 4.5.2.2, Table 4.6.</w:t>
            </w:r>
          </w:p>
        </w:tc>
      </w:tr>
    </w:tbl>
    <w:p w14:paraId="2B4A4CCC" w14:textId="72C9059E" w:rsidR="004D753D" w:rsidRDefault="004D753D" w:rsidP="00724E4E">
      <w:pPr>
        <w:pStyle w:val="Clause"/>
      </w:pPr>
      <w:r w:rsidRPr="00B33E3E">
        <w:t>The design strength of the non-dissipative components of DC2 and DC3 design and of all members of DC1 design should be calculated as given by Formula (13.2).</w:t>
      </w:r>
    </w:p>
    <w:p w14:paraId="5C70F045" w14:textId="68DC2DAA" w:rsidR="004D753D" w:rsidRDefault="009B5CEC" w:rsidP="004D753D">
      <w:pPr>
        <w:pStyle w:val="Formula"/>
        <w:spacing w:before="240"/>
      </w:pPr>
      <m:oMath>
        <m:sSub>
          <m:sSubPr>
            <m:ctrlPr>
              <w:rPr>
                <w:rFonts w:ascii="Cambria Math" w:hAnsi="Cambria Math"/>
              </w:rPr>
            </m:ctrlPr>
          </m:sSubPr>
          <m:e>
            <m:r>
              <w:rPr>
                <w:rFonts w:ascii="Cambria Math" w:hAnsi="Cambria Math"/>
              </w:rPr>
              <m:t>F</m:t>
            </m:r>
          </m:e>
          <m:sub>
            <m:r>
              <m:rPr>
                <m:sty m:val="p"/>
              </m:rPr>
              <w:rPr>
                <w:rFonts w:ascii="Cambria Math" w:hAnsi="Cambria Math"/>
              </w:rPr>
              <m:t>Rd,b</m:t>
            </m:r>
          </m:sub>
        </m:sSub>
        <m:r>
          <w:rPr>
            <w:rFonts w:ascii="Cambria Math" w:hAnsi="Cambria Math"/>
          </w:rPr>
          <m:t>=</m:t>
        </m:r>
        <m:sSub>
          <m:sSubPr>
            <m:ctrlPr>
              <w:rPr>
                <w:rFonts w:ascii="Cambria Math" w:hAnsi="Cambria Math"/>
              </w:rPr>
            </m:ctrlPr>
          </m:sSubPr>
          <m:e>
            <m:r>
              <w:rPr>
                <w:rFonts w:ascii="Cambria Math" w:hAnsi="Cambria Math"/>
              </w:rPr>
              <m:t>k</m:t>
            </m:r>
          </m:e>
          <m:sub>
            <m:r>
              <m:rPr>
                <m:sty m:val="p"/>
              </m:rPr>
              <w:rPr>
                <w:rFonts w:ascii="Cambria Math" w:hAnsi="Cambria Math"/>
              </w:rPr>
              <m:t>mod</m:t>
            </m:r>
          </m:sub>
        </m:sSub>
        <m:f>
          <m:fPr>
            <m:ctrlPr>
              <w:rPr>
                <w:rFonts w:ascii="Cambria Math" w:hAnsi="Cambria Math"/>
              </w:rPr>
            </m:ctrlPr>
          </m:fPr>
          <m:num>
            <m:sSub>
              <m:sSubPr>
                <m:ctrlPr>
                  <w:rPr>
                    <w:rFonts w:ascii="Cambria Math" w:hAnsi="Cambria Math"/>
                  </w:rPr>
                </m:ctrlPr>
              </m:sSubPr>
              <m:e>
                <m:r>
                  <w:rPr>
                    <w:rFonts w:ascii="Cambria Math" w:hAnsi="Cambria Math"/>
                  </w:rPr>
                  <m:t>F</m:t>
                </m:r>
              </m:e>
              <m:sub>
                <m:r>
                  <m:rPr>
                    <m:sty m:val="p"/>
                  </m:rPr>
                  <w:rPr>
                    <w:rFonts w:ascii="Cambria Math" w:hAnsi="Cambria Math"/>
                  </w:rPr>
                  <m:t>Rk,b</m:t>
                </m:r>
              </m:sub>
            </m:sSub>
          </m:num>
          <m:den>
            <m:sSub>
              <m:sSubPr>
                <m:ctrlPr>
                  <w:rPr>
                    <w:rFonts w:ascii="Cambria Math" w:hAnsi="Cambria Math"/>
                  </w:rPr>
                </m:ctrlPr>
              </m:sSubPr>
              <m:e>
                <m:r>
                  <w:rPr>
                    <w:rFonts w:ascii="Cambria Math" w:hAnsi="Cambria Math"/>
                  </w:rPr>
                  <m:t>γ</m:t>
                </m:r>
              </m:e>
              <m:sub>
                <m:r>
                  <m:rPr>
                    <m:sty m:val="p"/>
                  </m:rPr>
                  <w:rPr>
                    <w:rFonts w:ascii="Cambria Math" w:hAnsi="Cambria Math"/>
                  </w:rPr>
                  <m:t>M</m:t>
                </m:r>
              </m:sub>
            </m:sSub>
          </m:den>
        </m:f>
      </m:oMath>
      <w:r w:rsidR="004D753D" w:rsidRPr="00870D59">
        <w:tab/>
        <w:t>(1</w:t>
      </w:r>
      <w:r w:rsidR="004D753D">
        <w:t>3</w:t>
      </w:r>
      <w:r w:rsidR="004D753D" w:rsidRPr="00870D59">
        <w:t>.</w:t>
      </w:r>
      <w:r w:rsidR="004D753D">
        <w:t>2</w:t>
      </w:r>
      <w:r w:rsidR="004D753D" w:rsidRPr="00870D59">
        <w:t>)</w:t>
      </w:r>
    </w:p>
    <w:p w14:paraId="61D0B98F" w14:textId="4CCF801F" w:rsidR="00416ACE" w:rsidRPr="00416ACE" w:rsidRDefault="00416ACE" w:rsidP="00416ACE">
      <w:pPr>
        <w:pStyle w:val="Text"/>
      </w:pPr>
      <w:r>
        <w:t>where</w:t>
      </w:r>
    </w:p>
    <w:tbl>
      <w:tblPr>
        <w:tblW w:w="0" w:type="auto"/>
        <w:tblInd w:w="284" w:type="dxa"/>
        <w:tblLook w:val="04A0" w:firstRow="1" w:lastRow="0" w:firstColumn="1" w:lastColumn="0" w:noHBand="0" w:noVBand="1"/>
      </w:tblPr>
      <w:tblGrid>
        <w:gridCol w:w="1337"/>
        <w:gridCol w:w="7938"/>
      </w:tblGrid>
      <w:tr w:rsidR="004D753D" w:rsidRPr="000F2AFF" w14:paraId="51AE3B59" w14:textId="77777777" w:rsidTr="008217FC">
        <w:tc>
          <w:tcPr>
            <w:tcW w:w="1337" w:type="dxa"/>
          </w:tcPr>
          <w:p w14:paraId="73BE6FD0" w14:textId="294797CF" w:rsidR="004D753D" w:rsidRPr="000F2AFF" w:rsidRDefault="004D753D" w:rsidP="002061E5">
            <w:pPr>
              <w:spacing w:after="60"/>
              <w:jc w:val="left"/>
              <w:rPr>
                <w:rFonts w:eastAsia="Times New Roman" w:cs="Cambria"/>
                <w:color w:val="000000" w:themeColor="text1"/>
                <w:szCs w:val="20"/>
                <w:lang w:eastAsia="fr-FR"/>
              </w:rPr>
            </w:pPr>
            <w:r w:rsidRPr="00B33E3E">
              <w:rPr>
                <w:i/>
                <w:iCs/>
              </w:rPr>
              <w:t>F</w:t>
            </w:r>
            <w:r w:rsidRPr="00B33E3E">
              <w:rPr>
                <w:vertAlign w:val="subscript"/>
              </w:rPr>
              <w:t>Rd,b</w:t>
            </w:r>
          </w:p>
        </w:tc>
        <w:tc>
          <w:tcPr>
            <w:tcW w:w="7938" w:type="dxa"/>
          </w:tcPr>
          <w:p w14:paraId="6BD47C37" w14:textId="54F124CA" w:rsidR="004D753D" w:rsidRPr="00464B4C" w:rsidRDefault="004D753D" w:rsidP="002061E5">
            <w:pPr>
              <w:spacing w:after="60"/>
              <w:rPr>
                <w:rFonts w:eastAsia="Times New Roman" w:cs="Cambria"/>
                <w:color w:val="000000" w:themeColor="text1"/>
                <w:szCs w:val="20"/>
                <w:lang w:eastAsia="fr-FR"/>
              </w:rPr>
            </w:pPr>
            <w:r w:rsidRPr="00B33E3E">
              <w:t>is the design value of the strength of the non-dissipative components;</w:t>
            </w:r>
          </w:p>
        </w:tc>
      </w:tr>
      <w:tr w:rsidR="004D753D" w:rsidRPr="002300E9" w14:paraId="5286C843" w14:textId="77777777" w:rsidTr="008217FC">
        <w:tc>
          <w:tcPr>
            <w:tcW w:w="1337" w:type="dxa"/>
          </w:tcPr>
          <w:p w14:paraId="2427986E" w14:textId="7066A3FC" w:rsidR="004D753D" w:rsidRPr="002300E9" w:rsidRDefault="004D753D" w:rsidP="002061E5">
            <w:pPr>
              <w:spacing w:after="60"/>
              <w:jc w:val="left"/>
              <w:rPr>
                <w:rFonts w:eastAsia="Times New Roman" w:cs="Cambria"/>
                <w:color w:val="000000" w:themeColor="text1"/>
                <w:szCs w:val="20"/>
                <w:lang w:eastAsia="fr-FR"/>
              </w:rPr>
            </w:pPr>
            <w:r w:rsidRPr="002300E9">
              <w:rPr>
                <w:i/>
                <w:iCs/>
              </w:rPr>
              <w:t>F</w:t>
            </w:r>
            <w:r w:rsidRPr="002300E9">
              <w:rPr>
                <w:vertAlign w:val="subscript"/>
              </w:rPr>
              <w:t>Rk,b</w:t>
            </w:r>
          </w:p>
        </w:tc>
        <w:tc>
          <w:tcPr>
            <w:tcW w:w="7938" w:type="dxa"/>
          </w:tcPr>
          <w:p w14:paraId="1E0F784C" w14:textId="0A036546" w:rsidR="004D753D" w:rsidRPr="002300E9" w:rsidRDefault="004D753D" w:rsidP="002061E5">
            <w:pPr>
              <w:spacing w:after="60"/>
              <w:rPr>
                <w:rFonts w:eastAsia="Times New Roman" w:cs="Cambria"/>
                <w:color w:val="000000" w:themeColor="text1"/>
                <w:szCs w:val="20"/>
                <w:lang w:eastAsia="fr-FR"/>
              </w:rPr>
            </w:pPr>
            <w:r w:rsidRPr="002300E9">
              <w:t xml:space="preserve">is the characteristic value of the strength of the non-dissipative components, according to </w:t>
            </w:r>
            <w:r w:rsidR="007F3697" w:rsidRPr="002300E9">
              <w:t>prEN 1995-1-1</w:t>
            </w:r>
            <w:r w:rsidR="003326DE">
              <w:t>:2023,</w:t>
            </w:r>
            <w:r w:rsidRPr="002300E9">
              <w:t xml:space="preserve"> </w:t>
            </w:r>
            <w:r w:rsidR="000E61CC">
              <w:t xml:space="preserve">Clauses </w:t>
            </w:r>
            <w:r w:rsidRPr="002300E9">
              <w:t>8, 11 and 12;</w:t>
            </w:r>
          </w:p>
        </w:tc>
      </w:tr>
      <w:tr w:rsidR="004D753D" w:rsidRPr="002300E9" w14:paraId="56E31B29" w14:textId="77777777" w:rsidTr="008217FC">
        <w:tc>
          <w:tcPr>
            <w:tcW w:w="1337" w:type="dxa"/>
          </w:tcPr>
          <w:p w14:paraId="17BD8537" w14:textId="78655945" w:rsidR="004D753D" w:rsidRPr="002300E9" w:rsidRDefault="004D753D" w:rsidP="002061E5">
            <w:pPr>
              <w:spacing w:after="60"/>
              <w:jc w:val="left"/>
              <w:rPr>
                <w:rFonts w:eastAsia="Times New Roman" w:cs="Cambria"/>
                <w:color w:val="000000" w:themeColor="text1"/>
                <w:szCs w:val="20"/>
                <w:lang w:eastAsia="fr-FR"/>
              </w:rPr>
            </w:pPr>
            <w:r w:rsidRPr="002300E9">
              <w:rPr>
                <w:i/>
                <w:iCs/>
              </w:rPr>
              <w:t>γ</w:t>
            </w:r>
            <w:r w:rsidRPr="002300E9">
              <w:rPr>
                <w:vertAlign w:val="subscript"/>
              </w:rPr>
              <w:t>M</w:t>
            </w:r>
          </w:p>
        </w:tc>
        <w:tc>
          <w:tcPr>
            <w:tcW w:w="7938" w:type="dxa"/>
          </w:tcPr>
          <w:p w14:paraId="5CAC3E69" w14:textId="4F16FBD0" w:rsidR="004D753D" w:rsidRPr="002300E9" w:rsidRDefault="004D753D" w:rsidP="002061E5">
            <w:pPr>
              <w:spacing w:after="60"/>
              <w:rPr>
                <w:rFonts w:eastAsia="Times New Roman" w:cs="Cambria"/>
                <w:color w:val="000000" w:themeColor="text1"/>
                <w:szCs w:val="20"/>
                <w:lang w:eastAsia="fr-FR"/>
              </w:rPr>
            </w:pPr>
            <w:r w:rsidRPr="002300E9">
              <w:t>is as defined in (1).</w:t>
            </w:r>
          </w:p>
        </w:tc>
      </w:tr>
    </w:tbl>
    <w:p w14:paraId="565157F2" w14:textId="7D7291DC" w:rsidR="004D753D" w:rsidRPr="002300E9" w:rsidRDefault="004D753D" w:rsidP="004D753D">
      <w:pPr>
        <w:pStyle w:val="Notetext"/>
      </w:pPr>
      <w:r w:rsidRPr="002300E9">
        <w:t>NOTE</w:t>
      </w:r>
      <w:r w:rsidRPr="002300E9">
        <w:tab/>
        <w:t xml:space="preserve">For DC1, the values of </w:t>
      </w:r>
      <w:r w:rsidRPr="002300E9">
        <w:rPr>
          <w:i/>
          <w:iCs/>
        </w:rPr>
        <w:t>γ</w:t>
      </w:r>
      <w:r w:rsidRPr="002300E9">
        <w:rPr>
          <w:vertAlign w:val="subscript"/>
        </w:rPr>
        <w:t>M</w:t>
      </w:r>
      <w:r w:rsidRPr="002300E9">
        <w:t xml:space="preserve"> are those given by </w:t>
      </w:r>
      <w:r w:rsidR="007F3697" w:rsidRPr="002300E9">
        <w:t>prEN 1995-1-1</w:t>
      </w:r>
      <w:r w:rsidR="003326DE">
        <w:t>:2023</w:t>
      </w:r>
      <w:r w:rsidRPr="002300E9">
        <w:t xml:space="preserve">, 4.5.2.2, Table 4.6, for persistent and transient situations; for DC2 and DC3 the values of </w:t>
      </w:r>
      <w:r w:rsidRPr="002300E9">
        <w:rPr>
          <w:i/>
          <w:iCs/>
        </w:rPr>
        <w:t>γ</w:t>
      </w:r>
      <w:r w:rsidRPr="002300E9">
        <w:rPr>
          <w:vertAlign w:val="subscript"/>
        </w:rPr>
        <w:t>M</w:t>
      </w:r>
      <w:r w:rsidRPr="002300E9">
        <w:t xml:space="preserve"> are those given in </w:t>
      </w:r>
      <w:r w:rsidR="007F3697" w:rsidRPr="002300E9">
        <w:t>prEN 1995-1-1</w:t>
      </w:r>
      <w:r w:rsidR="003326DE">
        <w:t>:2023,</w:t>
      </w:r>
      <w:r w:rsidRPr="002300E9">
        <w:t xml:space="preserve"> 4.5.2.2, Table 4.6, for accidental situations, unless the National Annex gives different values for use in a </w:t>
      </w:r>
      <w:r w:rsidR="002300E9">
        <w:t>c</w:t>
      </w:r>
      <w:r w:rsidRPr="002300E9">
        <w:t>ountry. For design according to pr</w:t>
      </w:r>
      <w:r w:rsidR="00C30FF9" w:rsidRPr="002300E9">
        <w:t>EN 1</w:t>
      </w:r>
      <w:r w:rsidRPr="002300E9">
        <w:t xml:space="preserve">998-1-1:2022, 4.1(8), the values of </w:t>
      </w:r>
      <w:r w:rsidRPr="002300E9">
        <w:rPr>
          <w:i/>
          <w:iCs/>
        </w:rPr>
        <w:t>γ</w:t>
      </w:r>
      <w:r w:rsidRPr="002300E9">
        <w:rPr>
          <w:vertAlign w:val="subscript"/>
        </w:rPr>
        <w:t>M</w:t>
      </w:r>
      <w:r w:rsidRPr="002300E9">
        <w:t xml:space="preserve"> are those given in </w:t>
      </w:r>
      <w:r w:rsidR="007F3697" w:rsidRPr="002300E9">
        <w:t>prEN 1995-1-1</w:t>
      </w:r>
      <w:r w:rsidR="00911F16">
        <w:t>:2023</w:t>
      </w:r>
      <w:r w:rsidRPr="002300E9">
        <w:t xml:space="preserve">, 4.5.2.2, Table 4.6, for accidental situations, unless the National Annex gives different values for use in a </w:t>
      </w:r>
      <w:r w:rsidR="002300E9">
        <w:t>c</w:t>
      </w:r>
      <w:r w:rsidRPr="002300E9">
        <w:t>ountry.</w:t>
      </w:r>
    </w:p>
    <w:p w14:paraId="09A7D11C" w14:textId="2F5295D7" w:rsidR="004D753D" w:rsidRPr="00B33E3E" w:rsidRDefault="004D753D" w:rsidP="00724E4E">
      <w:pPr>
        <w:pStyle w:val="Clause"/>
      </w:pPr>
      <w:r w:rsidRPr="00B33E3E">
        <w:t xml:space="preserve">The maximum allowable rope-effect contribution as given in </w:t>
      </w:r>
      <w:r w:rsidR="007F3697">
        <w:t>prEN 1995-1-1</w:t>
      </w:r>
      <w:r w:rsidR="00911F16">
        <w:t>:2023</w:t>
      </w:r>
      <w:r w:rsidRPr="00B33E3E">
        <w:t xml:space="preserve">, </w:t>
      </w:r>
      <w:r w:rsidRPr="00835C82">
        <w:t>11.3.6</w:t>
      </w:r>
      <w:r w:rsidRPr="00B33E3E">
        <w:t>, should be considered when assessing the strength of the dissipative connections.</w:t>
      </w:r>
    </w:p>
    <w:p w14:paraId="060DCBC2" w14:textId="77777777" w:rsidR="004D753D" w:rsidRPr="004649C7" w:rsidRDefault="004D753D" w:rsidP="004D753D">
      <w:pPr>
        <w:pStyle w:val="Notetext"/>
      </w:pPr>
      <w:r w:rsidRPr="002144A0">
        <w:t>NOTE</w:t>
      </w:r>
      <w:r w:rsidRPr="002144A0">
        <w:tab/>
        <w:t>The rope effect can however be neglected when assessing the strength in seismic conditions of the non-dissipative connections.</w:t>
      </w:r>
    </w:p>
    <w:p w14:paraId="22D5320C" w14:textId="77777777" w:rsidR="00A57667" w:rsidRPr="00E05E29" w:rsidRDefault="00A57667" w:rsidP="00A57667">
      <w:pPr>
        <w:pStyle w:val="Heading2"/>
      </w:pPr>
      <w:bookmarkStart w:id="10252" w:name="_Toc50150564"/>
      <w:bookmarkStart w:id="10253" w:name="_Toc70886996"/>
      <w:bookmarkStart w:id="10254" w:name="_Toc108342566"/>
      <w:bookmarkStart w:id="10255" w:name="_Toc134198088"/>
      <w:bookmarkStart w:id="10256" w:name="_Toc2160615"/>
      <w:bookmarkStart w:id="10257" w:name="_Toc17491737"/>
      <w:bookmarkStart w:id="10258" w:name="_Toc520573559"/>
      <w:r w:rsidRPr="00E05E29">
        <w:t>Materials</w:t>
      </w:r>
      <w:bookmarkEnd w:id="10252"/>
      <w:bookmarkEnd w:id="10253"/>
      <w:bookmarkEnd w:id="10254"/>
      <w:bookmarkEnd w:id="10255"/>
      <w:r w:rsidRPr="00E05E29">
        <w:t xml:space="preserve"> </w:t>
      </w:r>
      <w:bookmarkEnd w:id="10256"/>
      <w:bookmarkEnd w:id="10257"/>
      <w:bookmarkEnd w:id="10258"/>
    </w:p>
    <w:p w14:paraId="67EDCE19" w14:textId="77777777" w:rsidR="00A57667" w:rsidRPr="00E05E29" w:rsidRDefault="00A57667" w:rsidP="00A57667">
      <w:pPr>
        <w:pStyle w:val="Heading3"/>
        <w:numPr>
          <w:ilvl w:val="0"/>
          <w:numId w:val="0"/>
        </w:numPr>
      </w:pPr>
      <w:bookmarkStart w:id="10259" w:name="_Toc50150565"/>
      <w:bookmarkStart w:id="10260" w:name="_Toc70886997"/>
      <w:bookmarkStart w:id="10261" w:name="_Toc108342567"/>
      <w:bookmarkStart w:id="10262" w:name="_Toc134198089"/>
      <w:r w:rsidRPr="00E05E29">
        <w:t>13.3.1 Mechanical properties of dissipative zones</w:t>
      </w:r>
      <w:bookmarkEnd w:id="10259"/>
      <w:bookmarkEnd w:id="10260"/>
      <w:bookmarkEnd w:id="10261"/>
      <w:bookmarkEnd w:id="10262"/>
    </w:p>
    <w:p w14:paraId="290889D2" w14:textId="533F9034" w:rsidR="00A57667" w:rsidRPr="00641E28" w:rsidRDefault="00A57667" w:rsidP="0080187E">
      <w:pPr>
        <w:pStyle w:val="Clause"/>
        <w:numPr>
          <w:ilvl w:val="0"/>
          <w:numId w:val="447"/>
        </w:numPr>
      </w:pPr>
      <w:r w:rsidRPr="00641E28">
        <w:t>The mechanical properties of dissipative zones should be determined by cyclic tests in accordance with EN</w:t>
      </w:r>
      <w:r w:rsidR="002300E9">
        <w:t> </w:t>
      </w:r>
      <w:r w:rsidRPr="00641E28">
        <w:t xml:space="preserve">12512; they should correspond to a strength impairment factor </w:t>
      </w:r>
      <w:r w:rsidRPr="00C71292">
        <w:rPr>
          <w:i/>
          <w:iCs/>
        </w:rPr>
        <w:t>φ</w:t>
      </w:r>
      <w:r w:rsidRPr="00C71292">
        <w:rPr>
          <w:vertAlign w:val="subscript"/>
        </w:rPr>
        <w:t>imp</w:t>
      </w:r>
      <w:r w:rsidRPr="00641E28">
        <w:t xml:space="preserve"> not greater than 0,3 and a strength reduction factor </w:t>
      </w:r>
      <w:r w:rsidRPr="00C71292">
        <w:rPr>
          <w:i/>
          <w:iCs/>
        </w:rPr>
        <w:t>k</w:t>
      </w:r>
      <w:r w:rsidRPr="00C71292">
        <w:rPr>
          <w:vertAlign w:val="subscript"/>
        </w:rPr>
        <w:t>deg</w:t>
      </w:r>
      <w:r w:rsidRPr="00641E28">
        <w:t xml:space="preserve"> not smaller than 0,8. Testing conditions should represent the design intent (for example type of dissipative zone, loading conditions, restraints). The loading should consist in three </w:t>
      </w:r>
      <w:r w:rsidRPr="00641E28">
        <w:lastRenderedPageBreak/>
        <w:t>reversed cyclic loads at each equal target deformation, this target deformation being progressively increased.</w:t>
      </w:r>
    </w:p>
    <w:p w14:paraId="479C16FA" w14:textId="6B4890BA" w:rsidR="00A57667" w:rsidRPr="00A57667" w:rsidRDefault="00A57667" w:rsidP="00A57667">
      <w:pPr>
        <w:pStyle w:val="Notetext"/>
      </w:pPr>
      <w:r w:rsidRPr="00E05E29">
        <w:t>NOTE 1</w:t>
      </w:r>
      <w:r>
        <w:tab/>
      </w:r>
      <w:r w:rsidRPr="00E05E29">
        <w:t xml:space="preserve">The strength impairment factor </w:t>
      </w:r>
      <w:r w:rsidRPr="00E05E29">
        <w:rPr>
          <w:i/>
          <w:iCs/>
        </w:rPr>
        <w:t>φ</w:t>
      </w:r>
      <w:r w:rsidRPr="00E05E29">
        <w:rPr>
          <w:vertAlign w:val="subscript"/>
        </w:rPr>
        <w:t>imp</w:t>
      </w:r>
      <w:r w:rsidRPr="00E05E29">
        <w:t xml:space="preserve"> in a cyclic test performed in accordance with EN</w:t>
      </w:r>
      <w:r w:rsidR="002300E9">
        <w:t> </w:t>
      </w:r>
      <w:r w:rsidRPr="00E05E29">
        <w:t xml:space="preserve">12512 is the ratio </w:t>
      </w:r>
      <w:r w:rsidRPr="00A57667">
        <w:t xml:space="preserve">of the reduction </w:t>
      </w:r>
      <w:r w:rsidRPr="00A57667">
        <w:rPr>
          <w:i/>
          <w:iCs/>
        </w:rPr>
        <w:t>ΔF</w:t>
      </w:r>
      <w:r w:rsidRPr="00A57667">
        <w:rPr>
          <w:vertAlign w:val="subscript"/>
        </w:rPr>
        <w:t xml:space="preserve">1-3 </w:t>
      </w:r>
      <w:r w:rsidRPr="00A57667">
        <w:t xml:space="preserve">= </w:t>
      </w:r>
      <w:r w:rsidRPr="00A57667">
        <w:rPr>
          <w:i/>
          <w:iCs/>
        </w:rPr>
        <w:t>F</w:t>
      </w:r>
      <w:r w:rsidRPr="00A57667">
        <w:rPr>
          <w:vertAlign w:val="subscript"/>
        </w:rPr>
        <w:t>1</w:t>
      </w:r>
      <w:r w:rsidRPr="00A57667">
        <w:t xml:space="preserve"> – </w:t>
      </w:r>
      <w:r w:rsidRPr="00A57667">
        <w:rPr>
          <w:i/>
          <w:iCs/>
        </w:rPr>
        <w:t>F</w:t>
      </w:r>
      <w:r w:rsidRPr="00A57667">
        <w:rPr>
          <w:vertAlign w:val="subscript"/>
        </w:rPr>
        <w:t>3</w:t>
      </w:r>
      <w:r w:rsidRPr="00A57667">
        <w:t xml:space="preserve"> of resistance of the tested component from the first to the third cycle at equal target deformation </w:t>
      </w:r>
      <w:r w:rsidRPr="00A57667">
        <w:rPr>
          <w:i/>
          <w:iCs/>
        </w:rPr>
        <w:t>δ</w:t>
      </w:r>
      <w:r w:rsidRPr="00A57667">
        <w:t xml:space="preserve"> and the resistance </w:t>
      </w:r>
      <w:r w:rsidRPr="00A57667">
        <w:rPr>
          <w:i/>
          <w:iCs/>
        </w:rPr>
        <w:t>F</w:t>
      </w:r>
      <w:r w:rsidRPr="00A57667">
        <w:rPr>
          <w:vertAlign w:val="subscript"/>
        </w:rPr>
        <w:t>1</w:t>
      </w:r>
      <w:r w:rsidRPr="00A57667">
        <w:t xml:space="preserve"> at the first cycle. The strength reduction factor </w:t>
      </w:r>
      <w:r w:rsidRPr="00A57667">
        <w:rPr>
          <w:i/>
          <w:iCs/>
        </w:rPr>
        <w:t>k</w:t>
      </w:r>
      <w:r w:rsidRPr="00A57667">
        <w:rPr>
          <w:vertAlign w:val="subscript"/>
        </w:rPr>
        <w:t>deg</w:t>
      </w:r>
      <w:r w:rsidRPr="00A57667">
        <w:t xml:space="preserve"> is the ratio of the resistance at the first cycle at the ultimate deformation </w:t>
      </w:r>
      <w:r w:rsidRPr="00A57667">
        <w:rPr>
          <w:i/>
          <w:iCs/>
        </w:rPr>
        <w:t>δ</w:t>
      </w:r>
      <w:r w:rsidRPr="00A57667">
        <w:rPr>
          <w:vertAlign w:val="subscript"/>
        </w:rPr>
        <w:t>u</w:t>
      </w:r>
      <w:r w:rsidRPr="00A57667">
        <w:t xml:space="preserve"> determined according to EN</w:t>
      </w:r>
      <w:r w:rsidR="002300E9">
        <w:t> </w:t>
      </w:r>
      <w:r w:rsidRPr="00A57667">
        <w:t>12512 to the maximum resistance in monotonic tests.</w:t>
      </w:r>
    </w:p>
    <w:p w14:paraId="4A2A5EEB" w14:textId="50D0A07C" w:rsidR="00A57667" w:rsidRPr="00A57667" w:rsidRDefault="00A57667" w:rsidP="00A57667">
      <w:pPr>
        <w:pStyle w:val="Notetext"/>
      </w:pPr>
      <w:r w:rsidRPr="00A57667">
        <w:t>NOTE 2</w:t>
      </w:r>
      <w:r w:rsidRPr="00A57667">
        <w:tab/>
        <w:t>Typical dissipative zones are single timber connections (e.g. a set of one or more fasteners connecting at least two timber and/or metal elements), 2D- or 3D-connectors (hold-down, foundation tie-down, angle bracket, shear plate, tie-down, or a 2D shear plate connecting a timber member with one or more members, etc), timber joints (a junction of two or more members involving one or more timber connections and/or 2D- or 3D-connectors</w:t>
      </w:r>
      <w:r w:rsidRPr="00A57667">
        <w:rPr>
          <w:strike/>
        </w:rPr>
        <w:t xml:space="preserve"> </w:t>
      </w:r>
      <w:r w:rsidRPr="00A57667">
        <w:t>and parts of a structure (a subassembly like a shear wall or a portal frame).</w:t>
      </w:r>
    </w:p>
    <w:p w14:paraId="56883F00" w14:textId="7467512C" w:rsidR="00A57667" w:rsidRPr="00A57667" w:rsidRDefault="00A57667" w:rsidP="00A57667">
      <w:pPr>
        <w:pStyle w:val="Notetext"/>
      </w:pPr>
      <w:r w:rsidRPr="00A57667">
        <w:t>NOTE 3</w:t>
      </w:r>
      <w:r w:rsidRPr="00A57667">
        <w:tab/>
      </w:r>
      <w:r w:rsidR="00E31AF1" w:rsidRPr="00E31AF1">
        <w:t>prCEN/TS</w:t>
      </w:r>
      <w:r w:rsidR="002300E9">
        <w:t> </w:t>
      </w:r>
      <w:r w:rsidR="00E31AF1" w:rsidRPr="00E31AF1">
        <w:t>1998-</w:t>
      </w:r>
      <w:r w:rsidR="00460A67">
        <w:t xml:space="preserve">1-101 </w:t>
      </w:r>
      <w:r w:rsidRPr="00A57667">
        <w:t xml:space="preserve">can be used to determine the mechanical properties of a dissipative zone such as the slip modulus </w:t>
      </w:r>
      <w:r w:rsidRPr="00A57667">
        <w:rPr>
          <w:i/>
        </w:rPr>
        <w:t>K</w:t>
      </w:r>
      <w:r w:rsidRPr="00A57667">
        <w:rPr>
          <w:vertAlign w:val="subscript"/>
          <w:lang w:val="en-US"/>
        </w:rPr>
        <w:t>SLS,v,mean,c</w:t>
      </w:r>
      <w:r w:rsidRPr="00A57667">
        <w:t xml:space="preserve"> (</w:t>
      </w:r>
      <w:r w:rsidRPr="002300E9">
        <w:t>see 13.5(2)),</w:t>
      </w:r>
      <w:r w:rsidRPr="00A57667">
        <w:t xml:space="preserve"> the strength reduction factor </w:t>
      </w:r>
      <w:r w:rsidRPr="00A57667">
        <w:rPr>
          <w:i/>
          <w:iCs/>
        </w:rPr>
        <w:t>k</w:t>
      </w:r>
      <w:r w:rsidRPr="00A57667">
        <w:rPr>
          <w:vertAlign w:val="subscript"/>
        </w:rPr>
        <w:t>deg</w:t>
      </w:r>
      <w:r w:rsidRPr="00A57667">
        <w:t xml:space="preserve"> and the ductility </w:t>
      </w:r>
      <w:r w:rsidRPr="00A57667">
        <w:rPr>
          <w:i/>
          <w:iCs/>
        </w:rPr>
        <w:t>μ</w:t>
      </w:r>
      <w:r w:rsidRPr="00A57667">
        <w:t xml:space="preserve"> in accordance with EN</w:t>
      </w:r>
      <w:r w:rsidR="002300E9">
        <w:t> </w:t>
      </w:r>
      <w:r w:rsidRPr="00A57667">
        <w:t>12512.</w:t>
      </w:r>
    </w:p>
    <w:p w14:paraId="43E5D6D7" w14:textId="7E428718" w:rsidR="00A57667" w:rsidRPr="00641E28" w:rsidRDefault="00A57667" w:rsidP="00724E4E">
      <w:pPr>
        <w:pStyle w:val="Clause"/>
      </w:pPr>
      <w:r w:rsidRPr="00641E28">
        <w:t xml:space="preserve">The displacement ductility </w:t>
      </w:r>
      <w:r w:rsidRPr="00641E28">
        <w:rPr>
          <w:i/>
          <w:iCs/>
        </w:rPr>
        <w:t>μ</w:t>
      </w:r>
      <w:r w:rsidRPr="00641E28">
        <w:t xml:space="preserve"> of carpentry connections in cyclic tests performed to EN</w:t>
      </w:r>
      <w:r w:rsidR="002300E9">
        <w:t> </w:t>
      </w:r>
      <w:r w:rsidRPr="00641E28">
        <w:t>12512 with</w:t>
      </w:r>
      <w:r w:rsidRPr="00641E28">
        <w:rPr>
          <w:i/>
          <w:iCs/>
        </w:rPr>
        <w:t xml:space="preserve"> </w:t>
      </w:r>
      <w:r w:rsidRPr="00641E28">
        <w:t xml:space="preserve">the conditions on </w:t>
      </w:r>
      <w:r w:rsidRPr="00641E28">
        <w:rPr>
          <w:i/>
          <w:iCs/>
        </w:rPr>
        <w:t>φ</w:t>
      </w:r>
      <w:r w:rsidRPr="00641E28">
        <w:rPr>
          <w:vertAlign w:val="subscript"/>
        </w:rPr>
        <w:t>imp</w:t>
      </w:r>
      <w:r w:rsidRPr="00641E28">
        <w:t xml:space="preserve"> and </w:t>
      </w:r>
      <w:r w:rsidRPr="00641E28">
        <w:rPr>
          <w:i/>
          <w:iCs/>
        </w:rPr>
        <w:t>k</w:t>
      </w:r>
      <w:r w:rsidRPr="00641E28">
        <w:rPr>
          <w:vertAlign w:val="subscript"/>
        </w:rPr>
        <w:t>deg</w:t>
      </w:r>
      <w:r w:rsidRPr="00641E28">
        <w:t xml:space="preserve"> in </w:t>
      </w:r>
      <w:r w:rsidRPr="00835C82">
        <w:t>(1)</w:t>
      </w:r>
      <w:r w:rsidRPr="00641E28">
        <w:t xml:space="preserve"> should not be smaller than 2.</w:t>
      </w:r>
    </w:p>
    <w:p w14:paraId="636FC8E6" w14:textId="0B63A47F" w:rsidR="00A57667" w:rsidRPr="00E05E29" w:rsidRDefault="00A57667" w:rsidP="00A57667">
      <w:pPr>
        <w:pStyle w:val="Notetext"/>
      </w:pPr>
      <w:r w:rsidRPr="00E05E29">
        <w:t>NOTE</w:t>
      </w:r>
      <w:r w:rsidRPr="00E05E29">
        <w:tab/>
        <w:t>Carpentry connections satisfying this condition have the needed energy dissipation capacity.</w:t>
      </w:r>
    </w:p>
    <w:p w14:paraId="527B14BE" w14:textId="0E8A9E8A" w:rsidR="00A57667" w:rsidRPr="00E05E29" w:rsidRDefault="00A57667" w:rsidP="00A57667">
      <w:pPr>
        <w:pStyle w:val="Heading3"/>
        <w:numPr>
          <w:ilvl w:val="0"/>
          <w:numId w:val="0"/>
        </w:numPr>
      </w:pPr>
      <w:bookmarkStart w:id="10263" w:name="_Toc50150566"/>
      <w:bookmarkStart w:id="10264" w:name="_Toc70886998"/>
      <w:bookmarkStart w:id="10265" w:name="_Toc108342568"/>
      <w:bookmarkStart w:id="10266" w:name="_Toc134198090"/>
      <w:r w:rsidRPr="00E05E29">
        <w:t>13.3.2 Material properties</w:t>
      </w:r>
      <w:bookmarkEnd w:id="10263"/>
      <w:bookmarkEnd w:id="10264"/>
      <w:bookmarkEnd w:id="10265"/>
      <w:bookmarkEnd w:id="10266"/>
    </w:p>
    <w:p w14:paraId="56D79A29" w14:textId="6DAD51A0" w:rsidR="00A57667" w:rsidRPr="00E05E29" w:rsidRDefault="00A57667" w:rsidP="0080187E">
      <w:pPr>
        <w:pStyle w:val="Clause"/>
        <w:numPr>
          <w:ilvl w:val="0"/>
          <w:numId w:val="448"/>
        </w:numPr>
      </w:pPr>
      <w:r w:rsidRPr="00E05E29">
        <w:t>The thickness of cross laminated timber</w:t>
      </w:r>
      <w:r>
        <w:t xml:space="preserve"> </w:t>
      </w:r>
      <w:r w:rsidRPr="00A57667">
        <w:t>(CLT</w:t>
      </w:r>
      <w:r>
        <w:t>)</w:t>
      </w:r>
      <w:r w:rsidRPr="00E05E29">
        <w:t xml:space="preserve"> and glue-laminated timber (glulam</w:t>
      </w:r>
      <w:r>
        <w:t xml:space="preserve"> or GLT</w:t>
      </w:r>
      <w:r w:rsidRPr="00E05E29">
        <w:t>) panels should be not smaller than 60 mm.</w:t>
      </w:r>
    </w:p>
    <w:p w14:paraId="2841E845" w14:textId="496EABD7" w:rsidR="00A57667" w:rsidRPr="00E05E29" w:rsidRDefault="00A57667" w:rsidP="00724E4E">
      <w:pPr>
        <w:pStyle w:val="Clause"/>
      </w:pPr>
      <w:r w:rsidRPr="00E05E29">
        <w:t>Glulam, Solid Wood Panels (SWP</w:t>
      </w:r>
      <w:r w:rsidRPr="00A57667">
        <w:t>), LVL and GLVL panels may be used in shear walls, floor and roof diaphragms, providing that measures are taken in order to limit in-plane shrinkage in the direction perpendicular to face grain. In floor and roof diaphragms, the designer should consider the different stiffness of glulam, SWP</w:t>
      </w:r>
      <w:r w:rsidRPr="00641E28">
        <w:rPr>
          <w:strike/>
        </w:rPr>
        <w:t xml:space="preserve">, </w:t>
      </w:r>
      <w:r w:rsidRPr="00A57667">
        <w:t xml:space="preserve">LVL and GLVL </w:t>
      </w:r>
      <w:r w:rsidRPr="00E05E29">
        <w:t>in both in-plane directions.</w:t>
      </w:r>
    </w:p>
    <w:p w14:paraId="03785C96" w14:textId="14A3297D" w:rsidR="00A57667" w:rsidRPr="00641E28" w:rsidRDefault="00A57667" w:rsidP="00724E4E">
      <w:pPr>
        <w:pStyle w:val="Clause"/>
      </w:pPr>
      <w:r w:rsidRPr="00641E28">
        <w:t xml:space="preserve">Material properties in </w:t>
      </w:r>
      <w:r w:rsidRPr="00835C82">
        <w:t>(4)</w:t>
      </w:r>
      <w:r w:rsidRPr="00641E28">
        <w:t xml:space="preserve"> and </w:t>
      </w:r>
      <w:r w:rsidRPr="00835C82">
        <w:t>(5)</w:t>
      </w:r>
      <w:r w:rsidRPr="00641E28">
        <w:t xml:space="preserve"> should be satisfied by panels in dissipative zones and their connections.</w:t>
      </w:r>
    </w:p>
    <w:p w14:paraId="3B849ED7" w14:textId="574C4137" w:rsidR="00A57667" w:rsidRPr="00641E28" w:rsidRDefault="00A57667" w:rsidP="00724E4E">
      <w:pPr>
        <w:pStyle w:val="Clause"/>
      </w:pPr>
      <w:r w:rsidRPr="00641E28">
        <w:t>The sheathing material should satisfy a) to h):</w:t>
      </w:r>
    </w:p>
    <w:p w14:paraId="69CE685B" w14:textId="5075B08D" w:rsidR="00A57667" w:rsidRPr="00E05E29" w:rsidRDefault="00A57667" w:rsidP="008217FC">
      <w:pPr>
        <w:pStyle w:val="Text"/>
        <w:numPr>
          <w:ilvl w:val="0"/>
          <w:numId w:val="659"/>
        </w:numPr>
        <w:spacing w:after="200"/>
        <w:rPr>
          <w:rFonts w:eastAsia="Cambria"/>
          <w:szCs w:val="22"/>
        </w:rPr>
      </w:pPr>
      <w:r w:rsidRPr="00E05E29">
        <w:t>Particleboard-sheathing should comply with EN</w:t>
      </w:r>
      <w:r w:rsidR="002300E9">
        <w:t> </w:t>
      </w:r>
      <w:r w:rsidRPr="00E05E29">
        <w:t>312, be at least 12 mm thick and have a characteristic density of at least 550 kg/m</w:t>
      </w:r>
      <w:r w:rsidRPr="00E05E29">
        <w:rPr>
          <w:vertAlign w:val="superscript"/>
        </w:rPr>
        <w:t>3</w:t>
      </w:r>
      <w:r w:rsidRPr="00E05E29">
        <w:t>.</w:t>
      </w:r>
    </w:p>
    <w:p w14:paraId="2E866B7D" w14:textId="5F96723E" w:rsidR="00A57667" w:rsidRPr="00E05E29" w:rsidRDefault="00A57667" w:rsidP="008217FC">
      <w:pPr>
        <w:pStyle w:val="Text"/>
        <w:numPr>
          <w:ilvl w:val="0"/>
          <w:numId w:val="659"/>
        </w:numPr>
        <w:spacing w:after="200"/>
      </w:pPr>
      <w:r w:rsidRPr="00E05E29">
        <w:t>Plywood-sheathing should comply with EN</w:t>
      </w:r>
      <w:r w:rsidR="002300E9">
        <w:t> </w:t>
      </w:r>
      <w:r w:rsidRPr="00E05E29">
        <w:t>636, be at least 9 mm thick, have at least 5 layers and have a characteristic density of at least 450 kg/m</w:t>
      </w:r>
      <w:r w:rsidRPr="00E05E29">
        <w:rPr>
          <w:vertAlign w:val="superscript"/>
        </w:rPr>
        <w:t>3</w:t>
      </w:r>
      <w:r w:rsidRPr="00E05E29">
        <w:t>.</w:t>
      </w:r>
    </w:p>
    <w:p w14:paraId="75D65A9F" w14:textId="51B1FFD1" w:rsidR="00A57667" w:rsidRPr="00E05E29" w:rsidRDefault="00A57667" w:rsidP="008217FC">
      <w:pPr>
        <w:pStyle w:val="Text"/>
        <w:numPr>
          <w:ilvl w:val="0"/>
          <w:numId w:val="659"/>
        </w:numPr>
        <w:spacing w:after="200"/>
      </w:pPr>
      <w:r w:rsidRPr="00E05E29">
        <w:t>Fibreboard-sheathing should comply with EN</w:t>
      </w:r>
      <w:r w:rsidR="002300E9">
        <w:t> </w:t>
      </w:r>
      <w:r w:rsidRPr="00E05E29">
        <w:t>622</w:t>
      </w:r>
      <w:r w:rsidR="0026060E">
        <w:t xml:space="preserve"> (all parts)</w:t>
      </w:r>
      <w:r w:rsidRPr="00E05E29">
        <w:t>, be at least 12 mm thick and have a characteristic density of at least 550 kg/m</w:t>
      </w:r>
      <w:r w:rsidRPr="00E05E29">
        <w:rPr>
          <w:vertAlign w:val="superscript"/>
        </w:rPr>
        <w:t>3</w:t>
      </w:r>
      <w:r w:rsidRPr="00E05E29">
        <w:t>.</w:t>
      </w:r>
    </w:p>
    <w:p w14:paraId="3B5F7927" w14:textId="635B1C0F" w:rsidR="00A57667" w:rsidRPr="00E05E29" w:rsidRDefault="00A57667" w:rsidP="008217FC">
      <w:pPr>
        <w:pStyle w:val="Text"/>
        <w:numPr>
          <w:ilvl w:val="0"/>
          <w:numId w:val="659"/>
        </w:numPr>
        <w:spacing w:after="200"/>
      </w:pPr>
      <w:r w:rsidRPr="00E05E29">
        <w:t>Oriented Strand Board (OSB) sheathing should comply with EN</w:t>
      </w:r>
      <w:r w:rsidR="002300E9">
        <w:t> </w:t>
      </w:r>
      <w:r w:rsidRPr="00E05E29">
        <w:t>300, be at least 12 mm thick and have a characteristic density of at least 550 kg/m</w:t>
      </w:r>
      <w:r w:rsidRPr="00E05E29">
        <w:rPr>
          <w:vertAlign w:val="superscript"/>
        </w:rPr>
        <w:t>3</w:t>
      </w:r>
      <w:r w:rsidRPr="00E05E29">
        <w:t>.</w:t>
      </w:r>
    </w:p>
    <w:p w14:paraId="58B79C84" w14:textId="5C67210A" w:rsidR="00A57667" w:rsidRPr="00E05E29" w:rsidRDefault="00A57667" w:rsidP="008217FC">
      <w:pPr>
        <w:pStyle w:val="Text"/>
        <w:numPr>
          <w:ilvl w:val="0"/>
          <w:numId w:val="659"/>
        </w:numPr>
        <w:spacing w:after="200"/>
      </w:pPr>
      <w:r w:rsidRPr="00E05E29">
        <w:t>Gypsum Fibre board (GF) sheathing should comply with EN</w:t>
      </w:r>
      <w:r w:rsidR="002300E9">
        <w:t> </w:t>
      </w:r>
      <w:r w:rsidRPr="00E05E29">
        <w:t>15283-2, be at least 12 mm thick and have a characteristic density of at least 1000 kg/m</w:t>
      </w:r>
      <w:r w:rsidRPr="00E05E29">
        <w:rPr>
          <w:vertAlign w:val="superscript"/>
        </w:rPr>
        <w:t>3</w:t>
      </w:r>
      <w:r w:rsidRPr="00E05E29">
        <w:t>.</w:t>
      </w:r>
    </w:p>
    <w:p w14:paraId="16FC5B82" w14:textId="60234EA7" w:rsidR="00A57667" w:rsidRPr="00E05E29" w:rsidRDefault="00A57667" w:rsidP="008217FC">
      <w:pPr>
        <w:pStyle w:val="Text"/>
        <w:numPr>
          <w:ilvl w:val="0"/>
          <w:numId w:val="659"/>
        </w:numPr>
        <w:spacing w:after="200"/>
      </w:pPr>
      <w:r w:rsidRPr="00E05E29">
        <w:t>Densified Veneer Wood sheathing should comply with EN</w:t>
      </w:r>
      <w:r w:rsidR="002300E9">
        <w:t> </w:t>
      </w:r>
      <w:r w:rsidRPr="00E05E29">
        <w:t>61061-3-1 and have a characteristic density of at least 1200 kg/m</w:t>
      </w:r>
      <w:r w:rsidRPr="00E05E29">
        <w:rPr>
          <w:vertAlign w:val="superscript"/>
        </w:rPr>
        <w:t>3</w:t>
      </w:r>
      <w:r w:rsidRPr="00E05E29">
        <w:t>.</w:t>
      </w:r>
    </w:p>
    <w:p w14:paraId="6A4F3EC0" w14:textId="586D887F" w:rsidR="00A57667" w:rsidRPr="00E05E29" w:rsidRDefault="00A57667" w:rsidP="008217FC">
      <w:pPr>
        <w:pStyle w:val="Text"/>
        <w:numPr>
          <w:ilvl w:val="0"/>
          <w:numId w:val="659"/>
        </w:numPr>
        <w:spacing w:after="200"/>
      </w:pPr>
      <w:r w:rsidRPr="00E05E29">
        <w:lastRenderedPageBreak/>
        <w:t>Solid wood panel (SWP) sheathing should comply with EN</w:t>
      </w:r>
      <w:r w:rsidR="002300E9">
        <w:t> </w:t>
      </w:r>
      <w:r w:rsidRPr="00E05E29">
        <w:t>13353, have at least 3 layers and have a characteristic density of at least 400 kg/m</w:t>
      </w:r>
      <w:r w:rsidRPr="00E05E29">
        <w:rPr>
          <w:vertAlign w:val="superscript"/>
        </w:rPr>
        <w:t>3</w:t>
      </w:r>
      <w:r w:rsidRPr="00E05E29">
        <w:t>.</w:t>
      </w:r>
    </w:p>
    <w:p w14:paraId="7D273240" w14:textId="3DC22849" w:rsidR="00A57667" w:rsidRPr="00E05E29" w:rsidRDefault="00A57667" w:rsidP="0080187E">
      <w:pPr>
        <w:pStyle w:val="Text"/>
        <w:numPr>
          <w:ilvl w:val="0"/>
          <w:numId w:val="659"/>
        </w:numPr>
      </w:pPr>
      <w:r w:rsidRPr="00E05E29">
        <w:t>For LVL sheathing panels, only LVL-C complying with EN</w:t>
      </w:r>
      <w:r w:rsidR="002300E9">
        <w:t> </w:t>
      </w:r>
      <w:r w:rsidRPr="00E05E29">
        <w:t>14279 and EN</w:t>
      </w:r>
      <w:r w:rsidR="002300E9">
        <w:t> </w:t>
      </w:r>
      <w:r w:rsidRPr="00E05E29">
        <w:t>14374 with a characteristic density of at least 450 kg/m</w:t>
      </w:r>
      <w:r w:rsidRPr="00E05E29">
        <w:rPr>
          <w:vertAlign w:val="superscript"/>
        </w:rPr>
        <w:t>3</w:t>
      </w:r>
      <w:r w:rsidRPr="00E05E29">
        <w:t xml:space="preserve"> should be used.</w:t>
      </w:r>
    </w:p>
    <w:p w14:paraId="63BFADAB" w14:textId="26E88BC6" w:rsidR="00A57667" w:rsidRPr="00E05E29" w:rsidRDefault="00A57667" w:rsidP="00724E4E">
      <w:pPr>
        <w:pStyle w:val="Clause"/>
      </w:pPr>
      <w:r w:rsidRPr="00E05E29">
        <w:t>Steel material for connections in dissipative zones should conform to a) to d):</w:t>
      </w:r>
    </w:p>
    <w:p w14:paraId="4B767307" w14:textId="7CC2B6BA" w:rsidR="00A57667" w:rsidRPr="002300E9" w:rsidRDefault="00A57667" w:rsidP="008217FC">
      <w:pPr>
        <w:pStyle w:val="Text"/>
        <w:numPr>
          <w:ilvl w:val="0"/>
          <w:numId w:val="660"/>
        </w:numPr>
        <w:spacing w:after="200"/>
      </w:pPr>
      <w:r w:rsidRPr="00B33E3E">
        <w:t xml:space="preserve">Steel plate elements </w:t>
      </w:r>
      <w:r w:rsidRPr="002300E9">
        <w:t xml:space="preserve">should comply with </w:t>
      </w:r>
      <w:r w:rsidR="00867476" w:rsidRPr="002300E9">
        <w:t>EN 1993-1-1</w:t>
      </w:r>
      <w:r w:rsidRPr="002300E9">
        <w:t>:202</w:t>
      </w:r>
      <w:r w:rsidR="00867476" w:rsidRPr="002300E9">
        <w:t>2</w:t>
      </w:r>
      <w:r w:rsidRPr="002300E9">
        <w:t xml:space="preserve">, 5, and be designed to remain elastic according to </w:t>
      </w:r>
      <w:r w:rsidR="00867476" w:rsidRPr="002300E9">
        <w:t>EN 1993-1-1</w:t>
      </w:r>
      <w:r w:rsidRPr="002300E9">
        <w:t>:202</w:t>
      </w:r>
      <w:r w:rsidR="00867476" w:rsidRPr="002300E9">
        <w:t>2</w:t>
      </w:r>
      <w:r w:rsidRPr="002300E9">
        <w:t>, 8.</w:t>
      </w:r>
    </w:p>
    <w:p w14:paraId="1A27C1B1" w14:textId="3ACB1613" w:rsidR="00A57667" w:rsidRPr="002300E9" w:rsidRDefault="00A57667" w:rsidP="008217FC">
      <w:pPr>
        <w:pStyle w:val="Text"/>
        <w:numPr>
          <w:ilvl w:val="0"/>
          <w:numId w:val="660"/>
        </w:numPr>
        <w:spacing w:after="200"/>
      </w:pPr>
      <w:r w:rsidRPr="002300E9">
        <w:t>Fasteners should belong to low cycle ductility classes S2 and S3 according to EN</w:t>
      </w:r>
      <w:r w:rsidR="002300E9">
        <w:t> </w:t>
      </w:r>
      <w:r w:rsidRPr="002300E9">
        <w:t>14592</w:t>
      </w:r>
      <w:r w:rsidR="00155F8D">
        <w:t>:2022</w:t>
      </w:r>
      <w:r w:rsidRPr="002300E9">
        <w:t>, 5.5, for Ductility Classes DC2 and DC3 structures, respectively.</w:t>
      </w:r>
    </w:p>
    <w:p w14:paraId="023E573B" w14:textId="5F164702" w:rsidR="00A57667" w:rsidRPr="002300E9" w:rsidRDefault="00A57667" w:rsidP="008217FC">
      <w:pPr>
        <w:pStyle w:val="Text"/>
        <w:numPr>
          <w:ilvl w:val="0"/>
          <w:numId w:val="660"/>
        </w:numPr>
        <w:spacing w:after="200"/>
      </w:pPr>
      <w:r w:rsidRPr="002300E9">
        <w:t xml:space="preserve">Screws and annular ringed shank nails used in steel-to-timber connections should be checked </w:t>
      </w:r>
      <w:r w:rsidR="0072022E" w:rsidRPr="002300E9">
        <w:t>according to EN</w:t>
      </w:r>
      <w:r w:rsidR="002300E9">
        <w:t> </w:t>
      </w:r>
      <w:r w:rsidR="0072022E" w:rsidRPr="002300E9">
        <w:t xml:space="preserve">12512 for the ductility ratios in Table 13.3 </w:t>
      </w:r>
      <w:r w:rsidRPr="002300E9">
        <w:t>to ensure that the fastener head does not shear off during cyclic tests.</w:t>
      </w:r>
    </w:p>
    <w:p w14:paraId="2CA52131" w14:textId="66D91ABB" w:rsidR="00A57667" w:rsidRDefault="00A57667" w:rsidP="008217FC">
      <w:pPr>
        <w:pStyle w:val="Text"/>
        <w:numPr>
          <w:ilvl w:val="0"/>
          <w:numId w:val="660"/>
        </w:numPr>
        <w:spacing w:after="200"/>
      </w:pPr>
      <w:r w:rsidRPr="002300E9">
        <w:t xml:space="preserve">The ratio between the </w:t>
      </w:r>
      <w:r w:rsidRPr="002300E9">
        <w:rPr>
          <w:lang w:val="en-US"/>
        </w:rPr>
        <w:t>95</w:t>
      </w:r>
      <w:r w:rsidRPr="002300E9">
        <w:rPr>
          <w:vertAlign w:val="superscript"/>
          <w:lang w:val="en-US"/>
        </w:rPr>
        <w:t>th</w:t>
      </w:r>
      <w:r w:rsidR="002300E9">
        <w:rPr>
          <w:lang w:val="en-US"/>
        </w:rPr>
        <w:t xml:space="preserve"> </w:t>
      </w:r>
      <w:r w:rsidRPr="002300E9">
        <w:rPr>
          <w:lang w:val="en-US"/>
        </w:rPr>
        <w:t xml:space="preserve">percentile and the </w:t>
      </w:r>
      <w:r w:rsidRPr="005E5FBD">
        <w:rPr>
          <w:lang w:val="en-US"/>
        </w:rPr>
        <w:t>declared characteristic</w:t>
      </w:r>
      <w:r w:rsidR="002300E9">
        <w:rPr>
          <w:lang w:val="en-US"/>
        </w:rPr>
        <w:t xml:space="preserve"> </w:t>
      </w:r>
      <w:r w:rsidRPr="00E05E29">
        <w:t>value</w:t>
      </w:r>
      <w:r>
        <w:t>s</w:t>
      </w:r>
      <w:r w:rsidRPr="00E05E29">
        <w:t xml:space="preserve"> of the mechanical properties defined according to EN</w:t>
      </w:r>
      <w:r w:rsidR="002300E9">
        <w:t> </w:t>
      </w:r>
      <w:r w:rsidRPr="00E05E29">
        <w:t>14592 should not exceed 1,</w:t>
      </w:r>
      <w:r>
        <w:t>4</w:t>
      </w:r>
      <w:r w:rsidRPr="00E05E29">
        <w:t xml:space="preserve"> for all metal fasteners.</w:t>
      </w:r>
    </w:p>
    <w:p w14:paraId="68029DE5" w14:textId="38956358" w:rsidR="0072022E" w:rsidRPr="0072022E" w:rsidRDefault="0072022E" w:rsidP="00724E4E">
      <w:pPr>
        <w:pStyle w:val="Clause"/>
      </w:pPr>
      <w:r w:rsidRPr="0072022E">
        <w:t xml:space="preserve">In order to avoid human errors during construction of structures designed to DC2 and DC3, the fasteners in non-dissipative connections should either be different for diameter or shape from those used in dissipative connections, or made of steel complying with </w:t>
      </w:r>
      <w:r w:rsidRPr="00835C82">
        <w:rPr>
          <w:bCs/>
        </w:rPr>
        <w:t>(5)</w:t>
      </w:r>
      <w:r w:rsidRPr="0072022E">
        <w:t>.</w:t>
      </w:r>
    </w:p>
    <w:p w14:paraId="55F71577" w14:textId="77777777" w:rsidR="00A57667" w:rsidRPr="00E05E29" w:rsidRDefault="00A57667" w:rsidP="00A57667">
      <w:pPr>
        <w:pStyle w:val="Heading2"/>
      </w:pPr>
      <w:bookmarkStart w:id="10267" w:name="_Toc118362689"/>
      <w:bookmarkStart w:id="10268" w:name="_Toc520573561"/>
      <w:bookmarkStart w:id="10269" w:name="_Toc2160616"/>
      <w:bookmarkStart w:id="10270" w:name="_Toc17491738"/>
      <w:bookmarkStart w:id="10271" w:name="_Toc50150567"/>
      <w:bookmarkStart w:id="10272" w:name="_Toc70886999"/>
      <w:bookmarkStart w:id="10273" w:name="_Toc108342569"/>
      <w:bookmarkStart w:id="10274" w:name="_Toc134198091"/>
      <w:bookmarkEnd w:id="10267"/>
      <w:r w:rsidRPr="00E05E29">
        <w:t>Structural types, behaviour factors, capacity design rules and limits of seismic action</w:t>
      </w:r>
      <w:bookmarkEnd w:id="10268"/>
      <w:bookmarkEnd w:id="10269"/>
      <w:bookmarkEnd w:id="10270"/>
      <w:bookmarkEnd w:id="10271"/>
      <w:bookmarkEnd w:id="10272"/>
      <w:bookmarkEnd w:id="10273"/>
      <w:bookmarkEnd w:id="10274"/>
    </w:p>
    <w:p w14:paraId="02FF5DB6" w14:textId="77777777" w:rsidR="00A57667" w:rsidRPr="00E05E29" w:rsidRDefault="00A57667" w:rsidP="00A57667">
      <w:pPr>
        <w:pStyle w:val="Heading3"/>
      </w:pPr>
      <w:bookmarkStart w:id="10275" w:name="_Toc520573562"/>
      <w:bookmarkStart w:id="10276" w:name="_Toc2160617"/>
      <w:bookmarkStart w:id="10277" w:name="_Toc17491739"/>
      <w:bookmarkStart w:id="10278" w:name="_Toc50150568"/>
      <w:bookmarkStart w:id="10279" w:name="_Toc70887000"/>
      <w:bookmarkStart w:id="10280" w:name="_Toc108342570"/>
      <w:bookmarkStart w:id="10281" w:name="_Toc134198092"/>
      <w:r w:rsidRPr="00E05E29">
        <w:t>Structural types</w:t>
      </w:r>
      <w:bookmarkEnd w:id="10275"/>
      <w:bookmarkEnd w:id="10276"/>
      <w:bookmarkEnd w:id="10277"/>
      <w:bookmarkEnd w:id="10278"/>
      <w:bookmarkEnd w:id="10279"/>
      <w:bookmarkEnd w:id="10280"/>
      <w:bookmarkEnd w:id="10281"/>
    </w:p>
    <w:p w14:paraId="19BABCAD" w14:textId="0218E2A9" w:rsidR="00A57667" w:rsidRPr="00E05E29" w:rsidRDefault="00A57667" w:rsidP="0080187E">
      <w:pPr>
        <w:pStyle w:val="Clause"/>
        <w:numPr>
          <w:ilvl w:val="0"/>
          <w:numId w:val="449"/>
        </w:numPr>
      </w:pPr>
      <w:r w:rsidRPr="00E05E29">
        <w:t>Buildings with a primary timber structure should be classified into one of the structural types defined in Table 13.1.</w:t>
      </w:r>
    </w:p>
    <w:p w14:paraId="2BE4FD1C" w14:textId="2E06859F" w:rsidR="00A57667" w:rsidRPr="00FD17CF" w:rsidRDefault="00A57667" w:rsidP="00353D73">
      <w:pPr>
        <w:pStyle w:val="Tabletitle"/>
      </w:pPr>
      <w:bookmarkStart w:id="10282" w:name="_Hlk720849"/>
      <w:r w:rsidRPr="00E05E29">
        <w:t xml:space="preserve">Table </w:t>
      </w:r>
      <w:r w:rsidR="002300E9">
        <w:t>13.1</w:t>
      </w:r>
      <w:r w:rsidRPr="00E05E29">
        <w:fldChar w:fldCharType="begin"/>
      </w:r>
      <w:r w:rsidRPr="00E05E29">
        <w:instrText xml:space="preserve">\IF </w:instrText>
      </w:r>
      <w:r w:rsidRPr="00E05E29">
        <w:fldChar w:fldCharType="begin"/>
      </w:r>
      <w:r w:rsidRPr="00E05E29">
        <w:instrText xml:space="preserve">SEQ aaa \c </w:instrText>
      </w:r>
      <w:r w:rsidRPr="00E05E29">
        <w:fldChar w:fldCharType="separate"/>
      </w:r>
      <w:r w:rsidR="000720CB">
        <w:rPr>
          <w:noProof/>
        </w:rPr>
        <w:instrText>0</w:instrText>
      </w:r>
      <w:r w:rsidRPr="00E05E29">
        <w:fldChar w:fldCharType="end"/>
      </w:r>
      <w:r w:rsidRPr="00E05E29">
        <w:instrText>&gt;= 1 "</w:instrText>
      </w:r>
      <w:r w:rsidRPr="00E05E29">
        <w:fldChar w:fldCharType="begin"/>
      </w:r>
      <w:r w:rsidRPr="00E05E29">
        <w:instrText xml:space="preserve">SEQ aaa \c \* ALPHABETIC </w:instrText>
      </w:r>
      <w:r w:rsidRPr="00E05E29">
        <w:fldChar w:fldCharType="separate"/>
      </w:r>
      <w:r w:rsidRPr="00E05E29">
        <w:instrText>A</w:instrText>
      </w:r>
      <w:r w:rsidRPr="00E05E29">
        <w:fldChar w:fldCharType="end"/>
      </w:r>
      <w:r w:rsidRPr="00E05E29">
        <w:instrText xml:space="preserve">." </w:instrText>
      </w:r>
      <w:r w:rsidRPr="00E05E29">
        <w:fldChar w:fldCharType="end"/>
      </w:r>
      <w:r w:rsidRPr="00132C1E">
        <w:t> — </w:t>
      </w:r>
      <w:r w:rsidRPr="00D1484A">
        <w:t xml:space="preserve">Timber structural types and </w:t>
      </w:r>
      <w:r w:rsidRPr="007E6F67">
        <w:t>examples of structures</w:t>
      </w:r>
    </w:p>
    <w:tbl>
      <w:tblPr>
        <w:tblStyle w:val="TableGrid"/>
        <w:tblW w:w="10201" w:type="dxa"/>
        <w:tblLook w:val="04A0" w:firstRow="1" w:lastRow="0" w:firstColumn="1" w:lastColumn="0" w:noHBand="0" w:noVBand="1"/>
      </w:tblPr>
      <w:tblGrid>
        <w:gridCol w:w="3426"/>
        <w:gridCol w:w="6775"/>
      </w:tblGrid>
      <w:tr w:rsidR="00A57667" w:rsidRPr="002300E9" w14:paraId="57E6DB13" w14:textId="77777777" w:rsidTr="002061E5">
        <w:tc>
          <w:tcPr>
            <w:tcW w:w="3426" w:type="dxa"/>
            <w:tcBorders>
              <w:top w:val="single" w:sz="4" w:space="0" w:color="auto"/>
              <w:left w:val="single" w:sz="4" w:space="0" w:color="auto"/>
              <w:bottom w:val="single" w:sz="4" w:space="0" w:color="auto"/>
              <w:right w:val="single" w:sz="4" w:space="0" w:color="auto"/>
            </w:tcBorders>
            <w:hideMark/>
          </w:tcPr>
          <w:p w14:paraId="0ACEF7DD" w14:textId="77777777" w:rsidR="00A57667" w:rsidRPr="002300E9" w:rsidRDefault="00A57667" w:rsidP="002061E5">
            <w:pPr>
              <w:pStyle w:val="Note"/>
              <w:jc w:val="center"/>
              <w:rPr>
                <w:b/>
                <w:sz w:val="22"/>
                <w:szCs w:val="22"/>
              </w:rPr>
            </w:pPr>
            <w:r w:rsidRPr="002300E9">
              <w:rPr>
                <w:b/>
                <w:sz w:val="22"/>
                <w:szCs w:val="22"/>
              </w:rPr>
              <w:t>Examples of structural types*</w:t>
            </w:r>
          </w:p>
        </w:tc>
        <w:tc>
          <w:tcPr>
            <w:tcW w:w="6775" w:type="dxa"/>
            <w:tcBorders>
              <w:top w:val="single" w:sz="4" w:space="0" w:color="auto"/>
              <w:left w:val="single" w:sz="4" w:space="0" w:color="auto"/>
              <w:bottom w:val="single" w:sz="4" w:space="0" w:color="auto"/>
              <w:right w:val="single" w:sz="4" w:space="0" w:color="auto"/>
            </w:tcBorders>
            <w:hideMark/>
          </w:tcPr>
          <w:p w14:paraId="410780D9" w14:textId="77777777" w:rsidR="00A57667" w:rsidRPr="002300E9" w:rsidRDefault="00A57667" w:rsidP="002061E5">
            <w:pPr>
              <w:pStyle w:val="Note"/>
              <w:jc w:val="center"/>
              <w:rPr>
                <w:b/>
                <w:sz w:val="22"/>
                <w:szCs w:val="22"/>
              </w:rPr>
            </w:pPr>
            <w:r w:rsidRPr="002300E9">
              <w:rPr>
                <w:b/>
                <w:sz w:val="22"/>
                <w:szCs w:val="22"/>
              </w:rPr>
              <w:t>Timber structural types</w:t>
            </w:r>
          </w:p>
        </w:tc>
      </w:tr>
      <w:tr w:rsidR="00A57667" w:rsidRPr="002300E9" w14:paraId="3B59DEBB" w14:textId="77777777" w:rsidTr="002300E9">
        <w:tc>
          <w:tcPr>
            <w:tcW w:w="3426" w:type="dxa"/>
            <w:tcBorders>
              <w:top w:val="single" w:sz="4" w:space="0" w:color="auto"/>
              <w:left w:val="single" w:sz="4" w:space="0" w:color="auto"/>
              <w:bottom w:val="single" w:sz="4" w:space="0" w:color="auto"/>
              <w:right w:val="single" w:sz="4" w:space="0" w:color="auto"/>
            </w:tcBorders>
            <w:hideMark/>
          </w:tcPr>
          <w:p w14:paraId="4E6F445D" w14:textId="495813C4" w:rsidR="00A57667" w:rsidRPr="002300E9" w:rsidRDefault="00115A6F" w:rsidP="002061E5">
            <w:pPr>
              <w:jc w:val="center"/>
              <w:rPr>
                <w:bCs/>
              </w:rPr>
            </w:pPr>
            <w:r>
              <w:rPr>
                <w:bCs/>
                <w:noProof/>
              </w:rPr>
              <w:drawing>
                <wp:inline distT="0" distB="0" distL="0" distR="0" wp14:anchorId="52FB2EBA" wp14:editId="199BDB8F">
                  <wp:extent cx="1440182" cy="1722123"/>
                  <wp:effectExtent l="0" t="0" r="7620" b="0"/>
                  <wp:docPr id="4" name="tbl_13_1_01.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bl_13_1_01.tiff"/>
                          <pic:cNvPicPr/>
                        </pic:nvPicPr>
                        <pic:blipFill>
                          <a:blip r:link="rId60"/>
                          <a:stretch>
                            <a:fillRect/>
                          </a:stretch>
                        </pic:blipFill>
                        <pic:spPr>
                          <a:xfrm>
                            <a:off x="0" y="0"/>
                            <a:ext cx="1440182" cy="1722123"/>
                          </a:xfrm>
                          <a:prstGeom prst="rect">
                            <a:avLst/>
                          </a:prstGeom>
                        </pic:spPr>
                      </pic:pic>
                    </a:graphicData>
                  </a:graphic>
                </wp:inline>
              </w:drawing>
            </w:r>
          </w:p>
        </w:tc>
        <w:tc>
          <w:tcPr>
            <w:tcW w:w="6775" w:type="dxa"/>
            <w:tcBorders>
              <w:top w:val="single" w:sz="4" w:space="0" w:color="auto"/>
              <w:left w:val="single" w:sz="4" w:space="0" w:color="auto"/>
              <w:bottom w:val="single" w:sz="4" w:space="0" w:color="auto"/>
              <w:right w:val="single" w:sz="4" w:space="0" w:color="auto"/>
            </w:tcBorders>
            <w:vAlign w:val="center"/>
          </w:tcPr>
          <w:p w14:paraId="1D9E832C" w14:textId="77777777" w:rsidR="00A57667" w:rsidRPr="002300E9" w:rsidRDefault="00A57667" w:rsidP="0080187E">
            <w:pPr>
              <w:pStyle w:val="ListParagraph"/>
              <w:numPr>
                <w:ilvl w:val="0"/>
                <w:numId w:val="205"/>
              </w:numPr>
              <w:spacing w:after="0" w:line="240" w:lineRule="auto"/>
              <w:ind w:left="429"/>
              <w:jc w:val="left"/>
              <w:rPr>
                <w:bCs/>
                <w:u w:val="single"/>
              </w:rPr>
            </w:pPr>
            <w:r w:rsidRPr="002300E9">
              <w:rPr>
                <w:bCs/>
                <w:u w:val="single"/>
              </w:rPr>
              <w:t>Cross laminated timber (CLT) structures</w:t>
            </w:r>
            <w:r w:rsidRPr="002300E9">
              <w:rPr>
                <w:bCs/>
                <w:u w:val="single"/>
                <w:vertAlign w:val="superscript"/>
              </w:rPr>
              <w:t>**</w:t>
            </w:r>
          </w:p>
          <w:p w14:paraId="651AEB3A" w14:textId="77777777" w:rsidR="00A57667" w:rsidRPr="002300E9" w:rsidRDefault="00A57667" w:rsidP="002300E9">
            <w:pPr>
              <w:pStyle w:val="ListParagraph"/>
              <w:spacing w:after="0" w:line="240" w:lineRule="auto"/>
              <w:ind w:left="429"/>
              <w:jc w:val="left"/>
              <w:rPr>
                <w:bCs/>
                <w:sz w:val="20"/>
                <w:u w:val="single"/>
              </w:rPr>
            </w:pPr>
          </w:p>
          <w:p w14:paraId="54BEEB68" w14:textId="77777777" w:rsidR="00A57667" w:rsidRPr="002300E9" w:rsidRDefault="00A57667" w:rsidP="002300E9">
            <w:pPr>
              <w:pStyle w:val="ListParagraph"/>
              <w:spacing w:after="0" w:line="240" w:lineRule="auto"/>
              <w:ind w:left="429"/>
              <w:rPr>
                <w:bCs/>
              </w:rPr>
            </w:pPr>
            <w:r w:rsidRPr="002300E9">
              <w:rPr>
                <w:bCs/>
                <w:sz w:val="20"/>
              </w:rPr>
              <w:t xml:space="preserve">CLT structures are those where the primary structure (see 3.1.23) is composed of shear walls made of cross laminated timber panels according to 13.3.2(1). Glulam, LVL or GLVL may be used as an alternative to CLT only in DC1 and DC2 design and for a seismicity index </w:t>
            </w:r>
            <w:r w:rsidRPr="002300E9">
              <w:rPr>
                <w:rFonts w:asciiTheme="majorHAnsi" w:hAnsiTheme="majorHAnsi"/>
                <w:bCs/>
                <w:i/>
                <w:sz w:val="20"/>
                <w:lang w:eastAsia="ja-JP"/>
              </w:rPr>
              <w:t>S</w:t>
            </w:r>
            <w:r w:rsidRPr="002300E9">
              <w:rPr>
                <w:rFonts w:asciiTheme="majorHAnsi" w:hAnsiTheme="majorHAnsi"/>
                <w:bCs/>
                <w:sz w:val="20"/>
                <w:vertAlign w:val="subscript"/>
                <w:lang w:eastAsia="ja-JP"/>
              </w:rPr>
              <w:t>δ</w:t>
            </w:r>
            <w:r w:rsidRPr="002300E9">
              <w:rPr>
                <w:bCs/>
                <w:sz w:val="20"/>
              </w:rPr>
              <w:t xml:space="preserve"> ≤ 4,0 [m/s</w:t>
            </w:r>
            <w:r w:rsidRPr="002300E9">
              <w:rPr>
                <w:bCs/>
                <w:sz w:val="20"/>
                <w:vertAlign w:val="superscript"/>
              </w:rPr>
              <w:t>2</w:t>
            </w:r>
            <w:r w:rsidRPr="002300E9">
              <w:rPr>
                <w:bCs/>
                <w:sz w:val="20"/>
              </w:rPr>
              <w:t>].</w:t>
            </w:r>
            <w:r w:rsidRPr="002300E9">
              <w:rPr>
                <w:rFonts w:ascii="Tahoma" w:eastAsia="Cambria" w:hAnsi="Tahoma" w:cs="Tahoma"/>
                <w:bCs/>
                <w:sz w:val="20"/>
                <w:lang w:eastAsia="de-DE"/>
              </w:rPr>
              <w:t xml:space="preserve"> </w:t>
            </w:r>
            <w:r w:rsidRPr="002300E9">
              <w:rPr>
                <w:bCs/>
                <w:sz w:val="20"/>
              </w:rPr>
              <w:t>CLT structures should be designed according to 13.7.</w:t>
            </w:r>
          </w:p>
        </w:tc>
      </w:tr>
      <w:tr w:rsidR="00A57667" w:rsidRPr="002300E9" w14:paraId="343F9A2B" w14:textId="77777777" w:rsidTr="002061E5">
        <w:tc>
          <w:tcPr>
            <w:tcW w:w="3426" w:type="dxa"/>
            <w:tcBorders>
              <w:top w:val="single" w:sz="4" w:space="0" w:color="auto"/>
              <w:left w:val="single" w:sz="4" w:space="0" w:color="auto"/>
              <w:bottom w:val="single" w:sz="4" w:space="0" w:color="auto"/>
              <w:right w:val="single" w:sz="4" w:space="0" w:color="auto"/>
            </w:tcBorders>
          </w:tcPr>
          <w:p w14:paraId="01C27FA2" w14:textId="0C462C6D" w:rsidR="00A57667" w:rsidRPr="002300E9" w:rsidRDefault="00991204" w:rsidP="002061E5">
            <w:pPr>
              <w:jc w:val="center"/>
              <w:rPr>
                <w:bCs/>
              </w:rPr>
            </w:pPr>
            <w:r>
              <w:rPr>
                <w:bCs/>
                <w:noProof/>
              </w:rPr>
              <w:lastRenderedPageBreak/>
              <w:drawing>
                <wp:inline distT="0" distB="0" distL="0" distR="0" wp14:anchorId="7B22F69C" wp14:editId="2FF695B6">
                  <wp:extent cx="1440182" cy="1734315"/>
                  <wp:effectExtent l="0" t="0" r="7620" b="0"/>
                  <wp:docPr id="5" name="tbl_13_1_02.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bl_13_1_02.tiff"/>
                          <pic:cNvPicPr/>
                        </pic:nvPicPr>
                        <pic:blipFill>
                          <a:blip r:link="rId61"/>
                          <a:stretch>
                            <a:fillRect/>
                          </a:stretch>
                        </pic:blipFill>
                        <pic:spPr>
                          <a:xfrm>
                            <a:off x="0" y="0"/>
                            <a:ext cx="1440182" cy="1734315"/>
                          </a:xfrm>
                          <a:prstGeom prst="rect">
                            <a:avLst/>
                          </a:prstGeom>
                        </pic:spPr>
                      </pic:pic>
                    </a:graphicData>
                  </a:graphic>
                </wp:inline>
              </w:drawing>
            </w:r>
          </w:p>
        </w:tc>
        <w:tc>
          <w:tcPr>
            <w:tcW w:w="6775" w:type="dxa"/>
            <w:tcBorders>
              <w:top w:val="single" w:sz="4" w:space="0" w:color="auto"/>
              <w:left w:val="single" w:sz="4" w:space="0" w:color="auto"/>
              <w:bottom w:val="single" w:sz="4" w:space="0" w:color="auto"/>
              <w:right w:val="single" w:sz="4" w:space="0" w:color="auto"/>
            </w:tcBorders>
          </w:tcPr>
          <w:p w14:paraId="1DA71935" w14:textId="05FC47E9" w:rsidR="00A57667" w:rsidRPr="002300E9" w:rsidRDefault="00A57667" w:rsidP="0080187E">
            <w:pPr>
              <w:pStyle w:val="ListParagraph"/>
              <w:numPr>
                <w:ilvl w:val="0"/>
                <w:numId w:val="205"/>
              </w:numPr>
              <w:spacing w:after="0" w:line="240" w:lineRule="auto"/>
              <w:ind w:left="429"/>
              <w:jc w:val="left"/>
              <w:rPr>
                <w:bCs/>
              </w:rPr>
            </w:pPr>
            <w:r w:rsidRPr="002300E9">
              <w:rPr>
                <w:bCs/>
                <w:u w:val="single"/>
              </w:rPr>
              <w:t>Framed wall structures</w:t>
            </w:r>
          </w:p>
          <w:p w14:paraId="2E7ED84E" w14:textId="77777777" w:rsidR="00A57667" w:rsidRPr="002300E9" w:rsidRDefault="00A57667" w:rsidP="002061E5">
            <w:pPr>
              <w:pStyle w:val="ListParagraph"/>
              <w:spacing w:after="0" w:line="240" w:lineRule="auto"/>
              <w:ind w:left="429"/>
              <w:rPr>
                <w:bCs/>
              </w:rPr>
            </w:pPr>
          </w:p>
          <w:p w14:paraId="533CEED8" w14:textId="7A4AB0AE" w:rsidR="00A57667" w:rsidRPr="002300E9" w:rsidRDefault="00A57667" w:rsidP="002061E5">
            <w:pPr>
              <w:pStyle w:val="ListParagraph"/>
              <w:spacing w:after="0" w:line="240" w:lineRule="auto"/>
              <w:ind w:left="429"/>
              <w:rPr>
                <w:bCs/>
                <w:sz w:val="20"/>
              </w:rPr>
            </w:pPr>
            <w:r w:rsidRPr="002300E9">
              <w:rPr>
                <w:bCs/>
                <w:sz w:val="20"/>
              </w:rPr>
              <w:t>Framed wall structures are those where the primary structure is composed of framed shear walls made of timber frames to which a wood-based panel (e.g. plywood or OSB) or other type of sheathing material is connected. Framed wall structures should be designed according to 13.8.</w:t>
            </w:r>
          </w:p>
          <w:p w14:paraId="63A3AB62" w14:textId="1C25ECDA" w:rsidR="00A57667" w:rsidRPr="002300E9" w:rsidRDefault="00A57667" w:rsidP="002061E5">
            <w:pPr>
              <w:spacing w:before="120"/>
              <w:rPr>
                <w:bCs/>
                <w:sz w:val="20"/>
              </w:rPr>
            </w:pPr>
            <w:r w:rsidRPr="002300E9">
              <w:rPr>
                <w:bCs/>
                <w:sz w:val="20"/>
              </w:rPr>
              <w:t xml:space="preserve">         b1) With fully anchored walls</w:t>
            </w:r>
            <w:r w:rsidR="00115A6F">
              <w:rPr>
                <w:bCs/>
                <w:sz w:val="20"/>
              </w:rPr>
              <w:t>;</w:t>
            </w:r>
          </w:p>
          <w:p w14:paraId="18F2C36B" w14:textId="77777777" w:rsidR="00A57667" w:rsidRPr="002300E9" w:rsidRDefault="00A57667" w:rsidP="002061E5">
            <w:pPr>
              <w:spacing w:before="120"/>
              <w:rPr>
                <w:bCs/>
                <w:sz w:val="20"/>
              </w:rPr>
            </w:pPr>
            <w:r w:rsidRPr="002300E9">
              <w:rPr>
                <w:bCs/>
                <w:sz w:val="20"/>
              </w:rPr>
              <w:t xml:space="preserve">         b2) With non-fully anchored walls.</w:t>
            </w:r>
          </w:p>
        </w:tc>
      </w:tr>
      <w:tr w:rsidR="00A57667" w:rsidRPr="002300E9" w14:paraId="5DB232B5" w14:textId="77777777" w:rsidTr="002300E9">
        <w:tc>
          <w:tcPr>
            <w:tcW w:w="3426" w:type="dxa"/>
            <w:tcBorders>
              <w:top w:val="single" w:sz="4" w:space="0" w:color="auto"/>
              <w:left w:val="single" w:sz="4" w:space="0" w:color="auto"/>
              <w:bottom w:val="single" w:sz="4" w:space="0" w:color="auto"/>
              <w:right w:val="single" w:sz="4" w:space="0" w:color="auto"/>
            </w:tcBorders>
          </w:tcPr>
          <w:p w14:paraId="070A233D" w14:textId="43C75472" w:rsidR="00A57667" w:rsidRPr="002300E9" w:rsidRDefault="00991204" w:rsidP="002061E5">
            <w:pPr>
              <w:jc w:val="center"/>
              <w:rPr>
                <w:bCs/>
              </w:rPr>
            </w:pPr>
            <w:r>
              <w:rPr>
                <w:bCs/>
                <w:noProof/>
              </w:rPr>
              <w:drawing>
                <wp:inline distT="0" distB="0" distL="0" distR="0" wp14:anchorId="50FF7A72" wp14:editId="2363BD6A">
                  <wp:extent cx="1799847" cy="1566675"/>
                  <wp:effectExtent l="0" t="0" r="0" b="0"/>
                  <wp:docPr id="19" name="tbl_13_1_03.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tbl_13_1_03.tiff"/>
                          <pic:cNvPicPr/>
                        </pic:nvPicPr>
                        <pic:blipFill>
                          <a:blip r:link="rId62"/>
                          <a:stretch>
                            <a:fillRect/>
                          </a:stretch>
                        </pic:blipFill>
                        <pic:spPr>
                          <a:xfrm>
                            <a:off x="0" y="0"/>
                            <a:ext cx="1799847" cy="1566675"/>
                          </a:xfrm>
                          <a:prstGeom prst="rect">
                            <a:avLst/>
                          </a:prstGeom>
                        </pic:spPr>
                      </pic:pic>
                    </a:graphicData>
                  </a:graphic>
                </wp:inline>
              </w:drawing>
            </w:r>
          </w:p>
        </w:tc>
        <w:tc>
          <w:tcPr>
            <w:tcW w:w="6775" w:type="dxa"/>
            <w:tcBorders>
              <w:top w:val="single" w:sz="4" w:space="0" w:color="auto"/>
              <w:left w:val="single" w:sz="4" w:space="0" w:color="auto"/>
              <w:bottom w:val="single" w:sz="4" w:space="0" w:color="auto"/>
              <w:right w:val="single" w:sz="4" w:space="0" w:color="auto"/>
            </w:tcBorders>
            <w:vAlign w:val="center"/>
          </w:tcPr>
          <w:p w14:paraId="2AF696CE" w14:textId="77777777" w:rsidR="00A57667" w:rsidRPr="002300E9" w:rsidRDefault="00A57667" w:rsidP="0080187E">
            <w:pPr>
              <w:pStyle w:val="ListParagraph"/>
              <w:numPr>
                <w:ilvl w:val="0"/>
                <w:numId w:val="205"/>
              </w:numPr>
              <w:spacing w:after="0" w:line="240" w:lineRule="auto"/>
              <w:ind w:left="429"/>
              <w:jc w:val="left"/>
              <w:rPr>
                <w:bCs/>
                <w:u w:val="single"/>
              </w:rPr>
            </w:pPr>
            <w:r w:rsidRPr="002300E9">
              <w:rPr>
                <w:bCs/>
                <w:u w:val="single"/>
              </w:rPr>
              <w:t>Log structures</w:t>
            </w:r>
          </w:p>
          <w:p w14:paraId="510426CA" w14:textId="77777777" w:rsidR="00A57667" w:rsidRPr="002300E9" w:rsidRDefault="00A57667" w:rsidP="002300E9">
            <w:pPr>
              <w:pStyle w:val="ListParagraph"/>
              <w:spacing w:after="0" w:line="240" w:lineRule="auto"/>
              <w:ind w:left="429"/>
              <w:jc w:val="left"/>
              <w:rPr>
                <w:bCs/>
                <w:sz w:val="20"/>
                <w:u w:val="single"/>
              </w:rPr>
            </w:pPr>
          </w:p>
          <w:p w14:paraId="2750F7F0" w14:textId="77777777" w:rsidR="00A57667" w:rsidRPr="002300E9" w:rsidRDefault="00A57667" w:rsidP="002300E9">
            <w:pPr>
              <w:pStyle w:val="ListParagraph"/>
              <w:spacing w:after="0" w:line="240" w:lineRule="auto"/>
              <w:ind w:left="429"/>
              <w:jc w:val="left"/>
              <w:rPr>
                <w:bCs/>
                <w:sz w:val="20"/>
              </w:rPr>
            </w:pPr>
            <w:r w:rsidRPr="002300E9">
              <w:rPr>
                <w:bCs/>
                <w:sz w:val="20"/>
              </w:rPr>
              <w:t xml:space="preserve">Log structures are those where the primary structure is composed by the superposition of rectangular or round solid or glulam timber elements (‘logs’), prefabricated with carpentry connections at their ends and with upper and lower grooves. </w:t>
            </w:r>
          </w:p>
          <w:p w14:paraId="275E09FF" w14:textId="582E43EF" w:rsidR="00A57667" w:rsidRPr="002300E9" w:rsidRDefault="00A57667" w:rsidP="002300E9">
            <w:pPr>
              <w:pStyle w:val="ListParagraph"/>
              <w:spacing w:after="0" w:line="240" w:lineRule="auto"/>
              <w:ind w:left="429"/>
              <w:jc w:val="left"/>
              <w:rPr>
                <w:bCs/>
              </w:rPr>
            </w:pPr>
            <w:r w:rsidRPr="002300E9">
              <w:rPr>
                <w:bCs/>
                <w:sz w:val="20"/>
              </w:rPr>
              <w:t>Log structures should be designed according to 13.9.</w:t>
            </w:r>
          </w:p>
        </w:tc>
      </w:tr>
      <w:tr w:rsidR="00A57667" w:rsidRPr="002300E9" w14:paraId="6BCD6A5C" w14:textId="77777777" w:rsidTr="002300E9">
        <w:tc>
          <w:tcPr>
            <w:tcW w:w="3426" w:type="dxa"/>
            <w:tcBorders>
              <w:top w:val="single" w:sz="4" w:space="0" w:color="auto"/>
              <w:left w:val="single" w:sz="4" w:space="0" w:color="auto"/>
              <w:bottom w:val="single" w:sz="4" w:space="0" w:color="auto"/>
              <w:right w:val="single" w:sz="4" w:space="0" w:color="auto"/>
            </w:tcBorders>
          </w:tcPr>
          <w:p w14:paraId="18503701" w14:textId="5E4AE516" w:rsidR="00A57667" w:rsidRPr="002300E9" w:rsidRDefault="00991204" w:rsidP="002061E5">
            <w:pPr>
              <w:jc w:val="center"/>
              <w:rPr>
                <w:bCs/>
              </w:rPr>
            </w:pPr>
            <w:r>
              <w:rPr>
                <w:bCs/>
                <w:noProof/>
              </w:rPr>
              <w:drawing>
                <wp:inline distT="0" distB="0" distL="0" distR="0" wp14:anchorId="7A43789F" wp14:editId="32578114">
                  <wp:extent cx="1799847" cy="1572771"/>
                  <wp:effectExtent l="0" t="0" r="0" b="8890"/>
                  <wp:docPr id="20" name="tbl_13_1_04.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tbl_13_1_04.tiff"/>
                          <pic:cNvPicPr/>
                        </pic:nvPicPr>
                        <pic:blipFill>
                          <a:blip r:link="rId63"/>
                          <a:stretch>
                            <a:fillRect/>
                          </a:stretch>
                        </pic:blipFill>
                        <pic:spPr>
                          <a:xfrm>
                            <a:off x="0" y="0"/>
                            <a:ext cx="1799847" cy="1572771"/>
                          </a:xfrm>
                          <a:prstGeom prst="rect">
                            <a:avLst/>
                          </a:prstGeom>
                        </pic:spPr>
                      </pic:pic>
                    </a:graphicData>
                  </a:graphic>
                </wp:inline>
              </w:drawing>
            </w:r>
          </w:p>
        </w:tc>
        <w:tc>
          <w:tcPr>
            <w:tcW w:w="6775" w:type="dxa"/>
            <w:tcBorders>
              <w:top w:val="single" w:sz="4" w:space="0" w:color="auto"/>
              <w:left w:val="single" w:sz="4" w:space="0" w:color="auto"/>
              <w:bottom w:val="single" w:sz="4" w:space="0" w:color="auto"/>
              <w:right w:val="single" w:sz="4" w:space="0" w:color="auto"/>
            </w:tcBorders>
            <w:vAlign w:val="center"/>
          </w:tcPr>
          <w:p w14:paraId="585ACE65" w14:textId="77777777" w:rsidR="00A57667" w:rsidRPr="002300E9" w:rsidRDefault="00A57667" w:rsidP="0080187E">
            <w:pPr>
              <w:pStyle w:val="ListParagraph"/>
              <w:numPr>
                <w:ilvl w:val="0"/>
                <w:numId w:val="205"/>
              </w:numPr>
              <w:spacing w:after="0" w:line="240" w:lineRule="auto"/>
              <w:ind w:left="429"/>
              <w:jc w:val="left"/>
              <w:rPr>
                <w:bCs/>
              </w:rPr>
            </w:pPr>
            <w:r w:rsidRPr="002300E9">
              <w:rPr>
                <w:bCs/>
                <w:u w:val="single"/>
              </w:rPr>
              <w:t>Moment-resisting frame structures</w:t>
            </w:r>
          </w:p>
          <w:p w14:paraId="2EACD8E7" w14:textId="77777777" w:rsidR="00A57667" w:rsidRPr="002300E9" w:rsidRDefault="00A57667" w:rsidP="002300E9">
            <w:pPr>
              <w:pStyle w:val="ListParagraph"/>
              <w:spacing w:after="0" w:line="240" w:lineRule="auto"/>
              <w:ind w:left="429"/>
              <w:jc w:val="left"/>
              <w:rPr>
                <w:bCs/>
                <w:sz w:val="20"/>
              </w:rPr>
            </w:pPr>
          </w:p>
          <w:p w14:paraId="3809D216" w14:textId="77777777" w:rsidR="00A57667" w:rsidRPr="002300E9" w:rsidRDefault="00A57667" w:rsidP="002300E9">
            <w:pPr>
              <w:pStyle w:val="ListParagraph"/>
              <w:spacing w:after="0" w:line="240" w:lineRule="auto"/>
              <w:ind w:left="429"/>
              <w:jc w:val="left"/>
              <w:rPr>
                <w:bCs/>
                <w:sz w:val="18"/>
                <w:szCs w:val="18"/>
              </w:rPr>
            </w:pPr>
            <w:r w:rsidRPr="002300E9">
              <w:rPr>
                <w:bCs/>
                <w:sz w:val="20"/>
              </w:rPr>
              <w:t>Moment-resisting frame structures are those where the primary structure is composed of frames made by timber elements with semi-rigid (as defined in 3.1.28) moment-transmitting joints between the members, achieved with mechanical fasteners. Moment-resisting frames structures should be designed according to 13.10.</w:t>
            </w:r>
          </w:p>
        </w:tc>
      </w:tr>
      <w:tr w:rsidR="00A57667" w:rsidRPr="002300E9" w14:paraId="7E96253A" w14:textId="77777777" w:rsidTr="002300E9">
        <w:tc>
          <w:tcPr>
            <w:tcW w:w="3426" w:type="dxa"/>
            <w:tcBorders>
              <w:top w:val="single" w:sz="4" w:space="0" w:color="auto"/>
              <w:left w:val="single" w:sz="4" w:space="0" w:color="auto"/>
              <w:bottom w:val="single" w:sz="4" w:space="0" w:color="auto"/>
              <w:right w:val="single" w:sz="4" w:space="0" w:color="auto"/>
            </w:tcBorders>
            <w:hideMark/>
          </w:tcPr>
          <w:p w14:paraId="4276397E" w14:textId="3AA5DF22" w:rsidR="00A57667" w:rsidRPr="002300E9" w:rsidRDefault="00A16B1A" w:rsidP="002061E5">
            <w:pPr>
              <w:jc w:val="center"/>
              <w:rPr>
                <w:bCs/>
              </w:rPr>
            </w:pPr>
            <w:r>
              <w:rPr>
                <w:bCs/>
                <w:noProof/>
              </w:rPr>
              <w:drawing>
                <wp:inline distT="0" distB="0" distL="0" distR="0" wp14:anchorId="086DE3F6" wp14:editId="737B1A7E">
                  <wp:extent cx="1799847" cy="1377698"/>
                  <wp:effectExtent l="0" t="0" r="0" b="0"/>
                  <wp:docPr id="53" name="tbl_13_1_05.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tbl_13_1_05.tiff"/>
                          <pic:cNvPicPr/>
                        </pic:nvPicPr>
                        <pic:blipFill>
                          <a:blip r:link="rId64"/>
                          <a:stretch>
                            <a:fillRect/>
                          </a:stretch>
                        </pic:blipFill>
                        <pic:spPr>
                          <a:xfrm>
                            <a:off x="0" y="0"/>
                            <a:ext cx="1799847" cy="1377698"/>
                          </a:xfrm>
                          <a:prstGeom prst="rect">
                            <a:avLst/>
                          </a:prstGeom>
                        </pic:spPr>
                      </pic:pic>
                    </a:graphicData>
                  </a:graphic>
                </wp:inline>
              </w:drawing>
            </w:r>
          </w:p>
        </w:tc>
        <w:tc>
          <w:tcPr>
            <w:tcW w:w="6775" w:type="dxa"/>
            <w:tcBorders>
              <w:top w:val="single" w:sz="4" w:space="0" w:color="auto"/>
              <w:left w:val="single" w:sz="4" w:space="0" w:color="auto"/>
              <w:bottom w:val="single" w:sz="4" w:space="0" w:color="auto"/>
              <w:right w:val="single" w:sz="4" w:space="0" w:color="auto"/>
            </w:tcBorders>
            <w:vAlign w:val="center"/>
          </w:tcPr>
          <w:p w14:paraId="4C886A2B" w14:textId="53B654A6" w:rsidR="00A57667" w:rsidRPr="002300E9" w:rsidRDefault="00A57667" w:rsidP="0080187E">
            <w:pPr>
              <w:pStyle w:val="ListParagraph"/>
              <w:numPr>
                <w:ilvl w:val="0"/>
                <w:numId w:val="205"/>
              </w:numPr>
              <w:spacing w:after="0" w:line="240" w:lineRule="auto"/>
              <w:ind w:left="429"/>
              <w:jc w:val="left"/>
              <w:rPr>
                <w:bCs/>
              </w:rPr>
            </w:pPr>
            <w:r w:rsidRPr="002300E9">
              <w:rPr>
                <w:bCs/>
                <w:u w:val="single"/>
              </w:rPr>
              <w:t>Braced frame structures with dowel-type connections</w:t>
            </w:r>
          </w:p>
          <w:p w14:paraId="285DD3D5" w14:textId="77777777" w:rsidR="00A57667" w:rsidRPr="002300E9" w:rsidRDefault="00A57667" w:rsidP="002300E9">
            <w:pPr>
              <w:pStyle w:val="ListParagraph"/>
              <w:spacing w:after="0" w:line="240" w:lineRule="auto"/>
              <w:ind w:left="429"/>
              <w:jc w:val="left"/>
              <w:rPr>
                <w:bCs/>
                <w:sz w:val="20"/>
              </w:rPr>
            </w:pPr>
          </w:p>
          <w:p w14:paraId="32944E8C" w14:textId="77777777" w:rsidR="00A57667" w:rsidRPr="002300E9" w:rsidRDefault="00A57667" w:rsidP="002300E9">
            <w:pPr>
              <w:pStyle w:val="ListParagraph"/>
              <w:spacing w:after="0" w:line="240" w:lineRule="auto"/>
              <w:ind w:left="429"/>
              <w:jc w:val="left"/>
              <w:rPr>
                <w:bCs/>
                <w:sz w:val="20"/>
              </w:rPr>
            </w:pPr>
            <w:r w:rsidRPr="002300E9">
              <w:rPr>
                <w:bCs/>
                <w:sz w:val="20"/>
              </w:rPr>
              <w:t>Braced frame structures with dowel-type connections are those consisting of timber columns and beams, where the primary structure is composed of timber diagonal bracings, with all pin-jointed dowel-type connections (as defined in 3.1.9). Braced frame structures with dowel-type connections should be designed according to 13.11.</w:t>
            </w:r>
          </w:p>
        </w:tc>
      </w:tr>
      <w:tr w:rsidR="00A57667" w:rsidRPr="002300E9" w14:paraId="2C8A2CC1" w14:textId="77777777" w:rsidTr="002300E9">
        <w:tc>
          <w:tcPr>
            <w:tcW w:w="3426" w:type="dxa"/>
            <w:tcBorders>
              <w:top w:val="single" w:sz="4" w:space="0" w:color="auto"/>
              <w:left w:val="single" w:sz="4" w:space="0" w:color="auto"/>
              <w:bottom w:val="single" w:sz="4" w:space="0" w:color="auto"/>
              <w:right w:val="single" w:sz="4" w:space="0" w:color="auto"/>
            </w:tcBorders>
            <w:hideMark/>
          </w:tcPr>
          <w:p w14:paraId="611F1023" w14:textId="65EF1CA5" w:rsidR="00A57667" w:rsidRPr="002300E9" w:rsidRDefault="00A16B1A" w:rsidP="002061E5">
            <w:pPr>
              <w:jc w:val="center"/>
              <w:rPr>
                <w:bCs/>
              </w:rPr>
            </w:pPr>
            <w:r>
              <w:rPr>
                <w:bCs/>
                <w:noProof/>
              </w:rPr>
              <w:drawing>
                <wp:inline distT="0" distB="0" distL="0" distR="0" wp14:anchorId="212AE09A" wp14:editId="78407351">
                  <wp:extent cx="1260350" cy="1484378"/>
                  <wp:effectExtent l="0" t="0" r="0" b="1905"/>
                  <wp:docPr id="1661690634" name="tbl_13_1_06.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1690634" name="tbl_13_1_06.tiff"/>
                          <pic:cNvPicPr/>
                        </pic:nvPicPr>
                        <pic:blipFill>
                          <a:blip r:link="rId65"/>
                          <a:stretch>
                            <a:fillRect/>
                          </a:stretch>
                        </pic:blipFill>
                        <pic:spPr>
                          <a:xfrm>
                            <a:off x="0" y="0"/>
                            <a:ext cx="1260350" cy="1484378"/>
                          </a:xfrm>
                          <a:prstGeom prst="rect">
                            <a:avLst/>
                          </a:prstGeom>
                        </pic:spPr>
                      </pic:pic>
                    </a:graphicData>
                  </a:graphic>
                </wp:inline>
              </w:drawing>
            </w:r>
          </w:p>
        </w:tc>
        <w:tc>
          <w:tcPr>
            <w:tcW w:w="6775" w:type="dxa"/>
            <w:tcBorders>
              <w:top w:val="single" w:sz="4" w:space="0" w:color="auto"/>
              <w:left w:val="single" w:sz="4" w:space="0" w:color="auto"/>
              <w:bottom w:val="single" w:sz="4" w:space="0" w:color="auto"/>
              <w:right w:val="single" w:sz="4" w:space="0" w:color="auto"/>
            </w:tcBorders>
            <w:vAlign w:val="center"/>
          </w:tcPr>
          <w:p w14:paraId="7FBB0878" w14:textId="77777777" w:rsidR="00A57667" w:rsidRPr="002300E9" w:rsidRDefault="00A57667" w:rsidP="0080187E">
            <w:pPr>
              <w:pStyle w:val="ListParagraph"/>
              <w:numPr>
                <w:ilvl w:val="0"/>
                <w:numId w:val="205"/>
              </w:numPr>
              <w:spacing w:after="0" w:line="240" w:lineRule="auto"/>
              <w:ind w:left="429"/>
              <w:jc w:val="left"/>
              <w:rPr>
                <w:bCs/>
                <w:u w:val="single"/>
              </w:rPr>
            </w:pPr>
            <w:r w:rsidRPr="002300E9">
              <w:rPr>
                <w:bCs/>
                <w:u w:val="single"/>
              </w:rPr>
              <w:t>Vertical cantilever structures</w:t>
            </w:r>
            <w:r w:rsidRPr="002300E9">
              <w:rPr>
                <w:bCs/>
                <w:u w:val="single"/>
                <w:vertAlign w:val="superscript"/>
              </w:rPr>
              <w:t>**</w:t>
            </w:r>
          </w:p>
          <w:p w14:paraId="4540EA2A" w14:textId="77777777" w:rsidR="00A57667" w:rsidRPr="002300E9" w:rsidRDefault="00A57667" w:rsidP="002300E9">
            <w:pPr>
              <w:pStyle w:val="ListParagraph"/>
              <w:spacing w:after="0" w:line="240" w:lineRule="auto"/>
              <w:ind w:left="429"/>
              <w:jc w:val="left"/>
              <w:rPr>
                <w:bCs/>
                <w:sz w:val="20"/>
                <w:u w:val="single"/>
              </w:rPr>
            </w:pPr>
          </w:p>
          <w:p w14:paraId="66642FC9" w14:textId="77777777" w:rsidR="00A57667" w:rsidRPr="002300E9" w:rsidRDefault="00A57667" w:rsidP="002300E9">
            <w:pPr>
              <w:pStyle w:val="ListParagraph"/>
              <w:spacing w:after="0" w:line="240" w:lineRule="auto"/>
              <w:ind w:left="429"/>
              <w:jc w:val="left"/>
              <w:rPr>
                <w:bCs/>
                <w:sz w:val="18"/>
                <w:szCs w:val="18"/>
              </w:rPr>
            </w:pPr>
            <w:r w:rsidRPr="002300E9">
              <w:rPr>
                <w:bCs/>
                <w:sz w:val="20"/>
              </w:rPr>
              <w:t>Vertical cantilever structures are those where the primary structure is composed of vertically continuous cantilever glulam, LVL, GLVL or CLT walls or columns without any horizontal joints. Vertical cantilever structures should be designed according to 13.12.</w:t>
            </w:r>
          </w:p>
        </w:tc>
      </w:tr>
      <w:tr w:rsidR="00A57667" w:rsidRPr="002300E9" w14:paraId="2718DE94" w14:textId="77777777" w:rsidTr="002300E9">
        <w:tc>
          <w:tcPr>
            <w:tcW w:w="3426" w:type="dxa"/>
            <w:tcBorders>
              <w:top w:val="single" w:sz="4" w:space="0" w:color="auto"/>
              <w:left w:val="single" w:sz="4" w:space="0" w:color="auto"/>
              <w:bottom w:val="single" w:sz="4" w:space="0" w:color="auto"/>
              <w:right w:val="single" w:sz="4" w:space="0" w:color="auto"/>
            </w:tcBorders>
            <w:hideMark/>
          </w:tcPr>
          <w:p w14:paraId="4BE3AFD2" w14:textId="3D3DE64D" w:rsidR="00A57667" w:rsidRPr="002300E9" w:rsidRDefault="00A16B1A" w:rsidP="002061E5">
            <w:pPr>
              <w:jc w:val="center"/>
              <w:rPr>
                <w:bCs/>
              </w:rPr>
            </w:pPr>
            <w:r>
              <w:rPr>
                <w:bCs/>
                <w:noProof/>
              </w:rPr>
              <w:lastRenderedPageBreak/>
              <w:drawing>
                <wp:inline distT="0" distB="0" distL="0" distR="0" wp14:anchorId="0AB8E707" wp14:editId="3E2568EE">
                  <wp:extent cx="1260350" cy="1684023"/>
                  <wp:effectExtent l="0" t="0" r="0" b="0"/>
                  <wp:docPr id="1661690635" name="tbl_13_1_07.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1690635" name="tbl_13_1_07.tiff"/>
                          <pic:cNvPicPr/>
                        </pic:nvPicPr>
                        <pic:blipFill>
                          <a:blip r:link="rId66"/>
                          <a:stretch>
                            <a:fillRect/>
                          </a:stretch>
                        </pic:blipFill>
                        <pic:spPr>
                          <a:xfrm>
                            <a:off x="0" y="0"/>
                            <a:ext cx="1260350" cy="1684023"/>
                          </a:xfrm>
                          <a:prstGeom prst="rect">
                            <a:avLst/>
                          </a:prstGeom>
                        </pic:spPr>
                      </pic:pic>
                    </a:graphicData>
                  </a:graphic>
                </wp:inline>
              </w:drawing>
            </w:r>
          </w:p>
        </w:tc>
        <w:tc>
          <w:tcPr>
            <w:tcW w:w="6775" w:type="dxa"/>
            <w:tcBorders>
              <w:top w:val="single" w:sz="4" w:space="0" w:color="auto"/>
              <w:left w:val="single" w:sz="4" w:space="0" w:color="auto"/>
              <w:bottom w:val="single" w:sz="4" w:space="0" w:color="auto"/>
              <w:right w:val="single" w:sz="4" w:space="0" w:color="auto"/>
            </w:tcBorders>
            <w:vAlign w:val="center"/>
          </w:tcPr>
          <w:p w14:paraId="78DCDE9B" w14:textId="77777777" w:rsidR="00A57667" w:rsidRPr="002300E9" w:rsidRDefault="00A57667" w:rsidP="0080187E">
            <w:pPr>
              <w:pStyle w:val="ListParagraph"/>
              <w:numPr>
                <w:ilvl w:val="0"/>
                <w:numId w:val="205"/>
              </w:numPr>
              <w:spacing w:after="0" w:line="240" w:lineRule="auto"/>
              <w:ind w:left="429"/>
              <w:jc w:val="left"/>
              <w:rPr>
                <w:bCs/>
              </w:rPr>
            </w:pPr>
            <w:r w:rsidRPr="002300E9">
              <w:rPr>
                <w:bCs/>
                <w:u w:val="single"/>
              </w:rPr>
              <w:t>Braced frame structures with carpentry connections and interacting masonry infill</w:t>
            </w:r>
          </w:p>
          <w:p w14:paraId="4C54DFE9" w14:textId="77777777" w:rsidR="00A57667" w:rsidRPr="002300E9" w:rsidRDefault="00A57667" w:rsidP="002300E9">
            <w:pPr>
              <w:pStyle w:val="ListParagraph"/>
              <w:spacing w:after="0" w:line="240" w:lineRule="auto"/>
              <w:ind w:left="429"/>
              <w:jc w:val="left"/>
              <w:rPr>
                <w:bCs/>
                <w:sz w:val="20"/>
              </w:rPr>
            </w:pPr>
          </w:p>
          <w:p w14:paraId="0CC61B7A" w14:textId="469E0049" w:rsidR="00A57667" w:rsidRPr="002300E9" w:rsidRDefault="00A57667" w:rsidP="002300E9">
            <w:pPr>
              <w:pStyle w:val="ListParagraph"/>
              <w:spacing w:after="0" w:line="240" w:lineRule="auto"/>
              <w:ind w:left="429"/>
              <w:jc w:val="left"/>
              <w:rPr>
                <w:bCs/>
                <w:szCs w:val="22"/>
                <w:u w:val="single"/>
              </w:rPr>
            </w:pPr>
            <w:r w:rsidRPr="002300E9">
              <w:rPr>
                <w:bCs/>
                <w:sz w:val="20"/>
              </w:rPr>
              <w:t>Braced frame structures with carpentry connections are those consisting of timber columns and beams, where the primary structure is composed of vertical timber bracing with compression-only carpentry connections and interacting masonry infill. Braced frame structures with carpentry connections and interacting masonry infill should be designed according to 13.13.</w:t>
            </w:r>
          </w:p>
        </w:tc>
      </w:tr>
      <w:tr w:rsidR="00A57667" w:rsidRPr="002300E9" w14:paraId="303629F4" w14:textId="77777777" w:rsidTr="002300E9">
        <w:tc>
          <w:tcPr>
            <w:tcW w:w="3426" w:type="dxa"/>
            <w:tcBorders>
              <w:top w:val="single" w:sz="4" w:space="0" w:color="auto"/>
              <w:left w:val="single" w:sz="4" w:space="0" w:color="auto"/>
              <w:bottom w:val="single" w:sz="4" w:space="0" w:color="auto"/>
              <w:right w:val="single" w:sz="4" w:space="0" w:color="auto"/>
            </w:tcBorders>
          </w:tcPr>
          <w:p w14:paraId="001FA3A5" w14:textId="7C4959ED" w:rsidR="00A57667" w:rsidRPr="002300E9" w:rsidRDefault="00A16B1A" w:rsidP="002061E5">
            <w:pPr>
              <w:jc w:val="center"/>
              <w:rPr>
                <w:bCs/>
              </w:rPr>
            </w:pPr>
            <w:r>
              <w:rPr>
                <w:bCs/>
                <w:noProof/>
              </w:rPr>
              <w:drawing>
                <wp:inline distT="0" distB="0" distL="0" distR="0" wp14:anchorId="250BDF85" wp14:editId="75EE76B6">
                  <wp:extent cx="1440182" cy="1481330"/>
                  <wp:effectExtent l="0" t="0" r="7620" b="5080"/>
                  <wp:docPr id="1661690636" name="tbl_13_1_08.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1690636" name="tbl_13_1_08.tiff"/>
                          <pic:cNvPicPr/>
                        </pic:nvPicPr>
                        <pic:blipFill>
                          <a:blip r:link="rId67"/>
                          <a:stretch>
                            <a:fillRect/>
                          </a:stretch>
                        </pic:blipFill>
                        <pic:spPr>
                          <a:xfrm>
                            <a:off x="0" y="0"/>
                            <a:ext cx="1440182" cy="1481330"/>
                          </a:xfrm>
                          <a:prstGeom prst="rect">
                            <a:avLst/>
                          </a:prstGeom>
                        </pic:spPr>
                      </pic:pic>
                    </a:graphicData>
                  </a:graphic>
                </wp:inline>
              </w:drawing>
            </w:r>
          </w:p>
        </w:tc>
        <w:tc>
          <w:tcPr>
            <w:tcW w:w="6775" w:type="dxa"/>
            <w:tcBorders>
              <w:top w:val="single" w:sz="4" w:space="0" w:color="auto"/>
              <w:left w:val="single" w:sz="4" w:space="0" w:color="auto"/>
              <w:bottom w:val="single" w:sz="4" w:space="0" w:color="auto"/>
              <w:right w:val="single" w:sz="4" w:space="0" w:color="auto"/>
            </w:tcBorders>
            <w:vAlign w:val="center"/>
          </w:tcPr>
          <w:p w14:paraId="58D5962E" w14:textId="2411A366" w:rsidR="00A57667" w:rsidRPr="002300E9" w:rsidRDefault="00A57667" w:rsidP="0080187E">
            <w:pPr>
              <w:pStyle w:val="ListParagraph"/>
              <w:numPr>
                <w:ilvl w:val="0"/>
                <w:numId w:val="205"/>
              </w:numPr>
              <w:spacing w:after="0" w:line="240" w:lineRule="auto"/>
              <w:ind w:left="429"/>
              <w:jc w:val="left"/>
              <w:rPr>
                <w:bCs/>
              </w:rPr>
            </w:pPr>
            <w:r w:rsidRPr="002300E9">
              <w:rPr>
                <w:bCs/>
                <w:u w:val="single"/>
              </w:rPr>
              <w:t>Braced frame structures with carpentry connections</w:t>
            </w:r>
          </w:p>
          <w:p w14:paraId="14EF471F" w14:textId="77777777" w:rsidR="00A57667" w:rsidRPr="002300E9" w:rsidRDefault="00A57667" w:rsidP="002300E9">
            <w:pPr>
              <w:pStyle w:val="ListParagraph"/>
              <w:spacing w:after="0" w:line="240" w:lineRule="auto"/>
              <w:ind w:left="429"/>
              <w:jc w:val="left"/>
              <w:rPr>
                <w:bCs/>
                <w:sz w:val="20"/>
              </w:rPr>
            </w:pPr>
          </w:p>
          <w:p w14:paraId="12826A56" w14:textId="68BE312D" w:rsidR="00A57667" w:rsidRPr="002300E9" w:rsidRDefault="00A57667" w:rsidP="002300E9">
            <w:pPr>
              <w:pStyle w:val="ListParagraph"/>
              <w:spacing w:after="0" w:line="240" w:lineRule="auto"/>
              <w:ind w:left="429"/>
              <w:jc w:val="left"/>
              <w:rPr>
                <w:bCs/>
              </w:rPr>
            </w:pPr>
            <w:r w:rsidRPr="002300E9">
              <w:rPr>
                <w:bCs/>
                <w:sz w:val="20"/>
              </w:rPr>
              <w:t>Braced frame structures with carpentry connections are those consisting of timber columns and beams, where the primary structure is composed of vertical timber bracing with compression-only carpentry connections. Braced frame structures with carpentry connections should be designed according to 13.14 as non-dissipative systems.</w:t>
            </w:r>
          </w:p>
        </w:tc>
      </w:tr>
      <w:tr w:rsidR="00A57667" w:rsidRPr="002300E9" w14:paraId="4A8813D5" w14:textId="77777777" w:rsidTr="002300E9">
        <w:tc>
          <w:tcPr>
            <w:tcW w:w="3426" w:type="dxa"/>
            <w:tcBorders>
              <w:top w:val="single" w:sz="4" w:space="0" w:color="auto"/>
              <w:left w:val="single" w:sz="4" w:space="0" w:color="auto"/>
              <w:bottom w:val="single" w:sz="4" w:space="0" w:color="auto"/>
              <w:right w:val="single" w:sz="4" w:space="0" w:color="auto"/>
            </w:tcBorders>
            <w:hideMark/>
          </w:tcPr>
          <w:p w14:paraId="28F43EC6" w14:textId="5BD8F6E1" w:rsidR="00A57667" w:rsidRPr="002300E9" w:rsidRDefault="00A16B1A" w:rsidP="002061E5">
            <w:pPr>
              <w:jc w:val="center"/>
              <w:rPr>
                <w:bCs/>
              </w:rPr>
            </w:pPr>
            <w:r>
              <w:rPr>
                <w:bCs/>
                <w:noProof/>
              </w:rPr>
              <w:drawing>
                <wp:inline distT="0" distB="0" distL="0" distR="0" wp14:anchorId="2D83F1D4" wp14:editId="16D9EF94">
                  <wp:extent cx="1979679" cy="911353"/>
                  <wp:effectExtent l="0" t="0" r="1905" b="3175"/>
                  <wp:docPr id="1661690637" name="tbl_13_1_09.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1690637" name="tbl_13_1_09.tiff"/>
                          <pic:cNvPicPr/>
                        </pic:nvPicPr>
                        <pic:blipFill>
                          <a:blip r:link="rId68"/>
                          <a:stretch>
                            <a:fillRect/>
                          </a:stretch>
                        </pic:blipFill>
                        <pic:spPr>
                          <a:xfrm>
                            <a:off x="0" y="0"/>
                            <a:ext cx="1979679" cy="911353"/>
                          </a:xfrm>
                          <a:prstGeom prst="rect">
                            <a:avLst/>
                          </a:prstGeom>
                        </pic:spPr>
                      </pic:pic>
                    </a:graphicData>
                  </a:graphic>
                </wp:inline>
              </w:drawing>
            </w:r>
          </w:p>
        </w:tc>
        <w:tc>
          <w:tcPr>
            <w:tcW w:w="6775" w:type="dxa"/>
            <w:tcBorders>
              <w:top w:val="single" w:sz="4" w:space="0" w:color="auto"/>
              <w:left w:val="single" w:sz="4" w:space="0" w:color="auto"/>
              <w:bottom w:val="single" w:sz="4" w:space="0" w:color="auto"/>
              <w:right w:val="single" w:sz="4" w:space="0" w:color="auto"/>
            </w:tcBorders>
            <w:vAlign w:val="center"/>
          </w:tcPr>
          <w:p w14:paraId="3D18F032" w14:textId="584D2598" w:rsidR="00A57667" w:rsidRPr="002300E9" w:rsidRDefault="00A57667" w:rsidP="0080187E">
            <w:pPr>
              <w:pStyle w:val="ListParagraph"/>
              <w:numPr>
                <w:ilvl w:val="0"/>
                <w:numId w:val="205"/>
              </w:numPr>
              <w:spacing w:after="0" w:line="240" w:lineRule="auto"/>
              <w:ind w:left="429"/>
              <w:jc w:val="left"/>
              <w:rPr>
                <w:bCs/>
                <w:u w:val="single"/>
              </w:rPr>
            </w:pPr>
            <w:r w:rsidRPr="002300E9">
              <w:rPr>
                <w:bCs/>
                <w:u w:val="single"/>
              </w:rPr>
              <w:t>Two-pin and three-pin arches, three-pin frames and dome structures</w:t>
            </w:r>
          </w:p>
          <w:p w14:paraId="00C385D6" w14:textId="77777777" w:rsidR="00A57667" w:rsidRPr="002300E9" w:rsidRDefault="00A57667" w:rsidP="002300E9">
            <w:pPr>
              <w:pStyle w:val="ListParagraph"/>
              <w:spacing w:after="0" w:line="240" w:lineRule="auto"/>
              <w:ind w:left="429"/>
              <w:jc w:val="left"/>
              <w:rPr>
                <w:bCs/>
                <w:sz w:val="20"/>
                <w:u w:val="single"/>
              </w:rPr>
            </w:pPr>
          </w:p>
          <w:p w14:paraId="67F203C9" w14:textId="77777777" w:rsidR="00A57667" w:rsidRPr="002300E9" w:rsidRDefault="00A57667" w:rsidP="002300E9">
            <w:pPr>
              <w:ind w:left="429"/>
              <w:jc w:val="left"/>
              <w:rPr>
                <w:bCs/>
              </w:rPr>
            </w:pPr>
            <w:r w:rsidRPr="002300E9">
              <w:rPr>
                <w:bCs/>
                <w:sz w:val="20"/>
              </w:rPr>
              <w:t>Structures composed by two-pin and three-pin timber arches, three-pin timber frames and timber dome structures should be designed as non-dissipative systems.</w:t>
            </w:r>
          </w:p>
        </w:tc>
      </w:tr>
      <w:tr w:rsidR="00A57667" w:rsidRPr="002300E9" w14:paraId="4DB5199A" w14:textId="77777777" w:rsidTr="002300E9">
        <w:tc>
          <w:tcPr>
            <w:tcW w:w="3426" w:type="dxa"/>
            <w:tcBorders>
              <w:top w:val="single" w:sz="4" w:space="0" w:color="auto"/>
              <w:left w:val="single" w:sz="4" w:space="0" w:color="auto"/>
              <w:bottom w:val="single" w:sz="4" w:space="0" w:color="auto"/>
              <w:right w:val="single" w:sz="4" w:space="0" w:color="auto"/>
            </w:tcBorders>
            <w:hideMark/>
          </w:tcPr>
          <w:p w14:paraId="616DA134" w14:textId="6404AC90" w:rsidR="00A57667" w:rsidRPr="002300E9" w:rsidRDefault="00BC3829" w:rsidP="002061E5">
            <w:pPr>
              <w:jc w:val="center"/>
              <w:rPr>
                <w:bCs/>
              </w:rPr>
            </w:pPr>
            <w:r>
              <w:rPr>
                <w:bCs/>
                <w:noProof/>
              </w:rPr>
              <w:drawing>
                <wp:inline distT="0" distB="0" distL="0" distR="0" wp14:anchorId="225D0979" wp14:editId="4DAC3B1E">
                  <wp:extent cx="1979679" cy="925070"/>
                  <wp:effectExtent l="0" t="0" r="1905" b="8890"/>
                  <wp:docPr id="1661690638" name="tbl_13_1_10.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1690638" name="tbl_13_1_10.tiff"/>
                          <pic:cNvPicPr/>
                        </pic:nvPicPr>
                        <pic:blipFill>
                          <a:blip r:link="rId69"/>
                          <a:stretch>
                            <a:fillRect/>
                          </a:stretch>
                        </pic:blipFill>
                        <pic:spPr>
                          <a:xfrm>
                            <a:off x="0" y="0"/>
                            <a:ext cx="1979679" cy="925070"/>
                          </a:xfrm>
                          <a:prstGeom prst="rect">
                            <a:avLst/>
                          </a:prstGeom>
                        </pic:spPr>
                      </pic:pic>
                    </a:graphicData>
                  </a:graphic>
                </wp:inline>
              </w:drawing>
            </w:r>
          </w:p>
        </w:tc>
        <w:tc>
          <w:tcPr>
            <w:tcW w:w="6775" w:type="dxa"/>
            <w:tcBorders>
              <w:top w:val="single" w:sz="4" w:space="0" w:color="auto"/>
              <w:left w:val="single" w:sz="4" w:space="0" w:color="auto"/>
              <w:bottom w:val="single" w:sz="4" w:space="0" w:color="auto"/>
              <w:right w:val="single" w:sz="4" w:space="0" w:color="auto"/>
            </w:tcBorders>
            <w:vAlign w:val="center"/>
          </w:tcPr>
          <w:p w14:paraId="45CE2507" w14:textId="22A80D44" w:rsidR="00A57667" w:rsidRPr="002300E9" w:rsidRDefault="00A57667" w:rsidP="0080187E">
            <w:pPr>
              <w:pStyle w:val="ListParagraph"/>
              <w:numPr>
                <w:ilvl w:val="0"/>
                <w:numId w:val="205"/>
              </w:numPr>
              <w:spacing w:after="0" w:line="240" w:lineRule="auto"/>
              <w:ind w:left="429"/>
              <w:jc w:val="left"/>
              <w:rPr>
                <w:bCs/>
                <w:u w:val="single"/>
              </w:rPr>
            </w:pPr>
            <w:r w:rsidRPr="002300E9">
              <w:rPr>
                <w:bCs/>
                <w:u w:val="single"/>
              </w:rPr>
              <w:t>Large span timber truss portal frame structures</w:t>
            </w:r>
          </w:p>
          <w:p w14:paraId="106F4EEB" w14:textId="77777777" w:rsidR="00A57667" w:rsidRPr="002300E9" w:rsidRDefault="00A57667" w:rsidP="002300E9">
            <w:pPr>
              <w:pStyle w:val="ListParagraph"/>
              <w:spacing w:after="0" w:line="240" w:lineRule="auto"/>
              <w:ind w:left="429"/>
              <w:jc w:val="left"/>
              <w:rPr>
                <w:bCs/>
                <w:sz w:val="20"/>
                <w:u w:val="single"/>
              </w:rPr>
            </w:pPr>
          </w:p>
          <w:p w14:paraId="5FCCC52C" w14:textId="7876B8D4" w:rsidR="00A57667" w:rsidRPr="002300E9" w:rsidRDefault="00A57667" w:rsidP="002300E9">
            <w:pPr>
              <w:pStyle w:val="ListParagraph"/>
              <w:spacing w:after="0" w:line="240" w:lineRule="auto"/>
              <w:ind w:left="429"/>
              <w:jc w:val="left"/>
              <w:rPr>
                <w:bCs/>
              </w:rPr>
            </w:pPr>
            <w:r w:rsidRPr="002300E9">
              <w:rPr>
                <w:bCs/>
                <w:sz w:val="20"/>
              </w:rPr>
              <w:t>Large span truss portal frame structures are those consisting of timber trusses with semi-rigid moment-transmitting joints between the chords and the columns, forming a moment frame. Large span truss portal frame structures should be designed as non-dissipative systems.</w:t>
            </w:r>
          </w:p>
        </w:tc>
      </w:tr>
      <w:tr w:rsidR="00A57667" w:rsidRPr="002300E9" w14:paraId="67735F5C" w14:textId="77777777" w:rsidTr="002061E5">
        <w:tc>
          <w:tcPr>
            <w:tcW w:w="10201" w:type="dxa"/>
            <w:gridSpan w:val="2"/>
            <w:tcBorders>
              <w:top w:val="single" w:sz="4" w:space="0" w:color="auto"/>
              <w:left w:val="single" w:sz="4" w:space="0" w:color="auto"/>
              <w:bottom w:val="single" w:sz="4" w:space="0" w:color="auto"/>
              <w:right w:val="single" w:sz="4" w:space="0" w:color="auto"/>
            </w:tcBorders>
          </w:tcPr>
          <w:p w14:paraId="37A40303" w14:textId="6364D1ED" w:rsidR="00A57667" w:rsidRPr="002300E9" w:rsidRDefault="00A57667" w:rsidP="002061E5">
            <w:pPr>
              <w:pStyle w:val="Note"/>
              <w:spacing w:before="120" w:after="120"/>
              <w:rPr>
                <w:bCs/>
              </w:rPr>
            </w:pPr>
            <w:r w:rsidRPr="002300E9">
              <w:rPr>
                <w:bCs/>
              </w:rPr>
              <w:t>*</w:t>
            </w:r>
            <w:r w:rsidR="00BC3829">
              <w:rPr>
                <w:bCs/>
              </w:rPr>
              <w:t xml:space="preserve"> </w:t>
            </w:r>
            <w:r w:rsidRPr="002300E9">
              <w:rPr>
                <w:bCs/>
              </w:rPr>
              <w:t>The drawings in Table 13.1 depict a part of a structure. Different number of storeys and structural layout may be used.</w:t>
            </w:r>
          </w:p>
          <w:p w14:paraId="2A144A4E" w14:textId="5CDFF95E" w:rsidR="00A57667" w:rsidRPr="002300E9" w:rsidRDefault="00A57667" w:rsidP="002061E5">
            <w:pPr>
              <w:ind w:left="69"/>
              <w:rPr>
                <w:bCs/>
                <w:u w:val="single"/>
                <w:lang w:val="en-US"/>
              </w:rPr>
            </w:pPr>
            <w:r w:rsidRPr="002300E9">
              <w:rPr>
                <w:bCs/>
                <w:sz w:val="20"/>
              </w:rPr>
              <w:t>**</w:t>
            </w:r>
            <w:r w:rsidR="00BC3829">
              <w:rPr>
                <w:bCs/>
                <w:sz w:val="20"/>
              </w:rPr>
              <w:t xml:space="preserve"> </w:t>
            </w:r>
            <w:r w:rsidRPr="002300E9">
              <w:rPr>
                <w:bCs/>
                <w:sz w:val="20"/>
              </w:rPr>
              <w:t>CLT structures can fall into either category a) or f) depending on whether the shear walls have heights equal to one interstorey height (platform frame construction – see 3.1.20) or more (balloon frame construction – see 3.1.2).</w:t>
            </w:r>
          </w:p>
        </w:tc>
      </w:tr>
    </w:tbl>
    <w:bookmarkEnd w:id="10282"/>
    <w:p w14:paraId="33DBF9E7" w14:textId="14F9D3FC" w:rsidR="00A57667" w:rsidRPr="00E05E29" w:rsidRDefault="00A57667" w:rsidP="00724E4E">
      <w:pPr>
        <w:pStyle w:val="Clause"/>
      </w:pPr>
      <w:r w:rsidRPr="00E05E29">
        <w:t xml:space="preserve">The primary structure (see </w:t>
      </w:r>
      <w:r w:rsidRPr="00835C82">
        <w:t>3.1.23</w:t>
      </w:r>
      <w:r w:rsidRPr="00E05E29">
        <w:t xml:space="preserve">) should be made of shear walls, cantilever walls, moment-resisting frames or braced frames, which should be structurally continuous from the base of the timber part of the building to the roof (Figure 13.1 A) or an intermediate level (Figure 13.1 B). If they are interrupted below an intermediate level (Figure 13.1 C), </w:t>
      </w:r>
      <w:r w:rsidRPr="00835C82">
        <w:t>6.2.11</w:t>
      </w:r>
      <w:r w:rsidRPr="00E05E29">
        <w:t xml:space="preserve"> and </w:t>
      </w:r>
      <w:r w:rsidRPr="00835C82">
        <w:t>13.16</w:t>
      </w:r>
      <w:r w:rsidRPr="00E05E29">
        <w:t xml:space="preserve"> should be applied for design to DC2 and DC3.</w:t>
      </w:r>
    </w:p>
    <w:p w14:paraId="190EEDCF" w14:textId="526A61C9" w:rsidR="00A57667" w:rsidRPr="00641E28" w:rsidRDefault="00A57667" w:rsidP="00724E4E">
      <w:pPr>
        <w:pStyle w:val="Clause"/>
      </w:pPr>
      <w:r w:rsidRPr="00641E28">
        <w:t xml:space="preserve">Partitions as defined in 3.1.18 should comply with </w:t>
      </w:r>
      <w:r w:rsidRPr="00835C82">
        <w:t>7.1,</w:t>
      </w:r>
      <w:r w:rsidRPr="00641E28">
        <w:t xml:space="preserve"> </w:t>
      </w:r>
      <w:r w:rsidRPr="00835C82">
        <w:t>7.2</w:t>
      </w:r>
      <w:r w:rsidRPr="00641E28">
        <w:t xml:space="preserve"> and </w:t>
      </w:r>
      <w:r w:rsidRPr="00835C82">
        <w:t>7.3</w:t>
      </w:r>
      <w:r w:rsidRPr="00641E28">
        <w:t xml:space="preserve"> and should be detailed not to attract lateral load according to </w:t>
      </w:r>
      <w:r w:rsidRPr="00835C82">
        <w:t>5.1.3(1)</w:t>
      </w:r>
      <w:r w:rsidRPr="00641E28">
        <w:t>.</w:t>
      </w:r>
    </w:p>
    <w:p w14:paraId="6CC5DE56" w14:textId="1E803F5F" w:rsidR="00A57667" w:rsidRPr="00132C1E" w:rsidRDefault="00BC3829" w:rsidP="00BC3829">
      <w:pPr>
        <w:pStyle w:val="FigureImage"/>
      </w:pPr>
      <w:r>
        <w:rPr>
          <w:noProof/>
        </w:rPr>
        <w:lastRenderedPageBreak/>
        <w:drawing>
          <wp:inline distT="0" distB="0" distL="0" distR="0" wp14:anchorId="390BE858" wp14:editId="1EBA4C55">
            <wp:extent cx="5940562" cy="2173228"/>
            <wp:effectExtent l="0" t="0" r="3175" b="0"/>
            <wp:docPr id="1661690639" name="0045.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1690639" name="0045.tiff"/>
                    <pic:cNvPicPr/>
                  </pic:nvPicPr>
                  <pic:blipFill>
                    <a:blip r:link="rId70"/>
                    <a:stretch>
                      <a:fillRect/>
                    </a:stretch>
                  </pic:blipFill>
                  <pic:spPr>
                    <a:xfrm>
                      <a:off x="0" y="0"/>
                      <a:ext cx="5940562" cy="2173228"/>
                    </a:xfrm>
                    <a:prstGeom prst="rect">
                      <a:avLst/>
                    </a:prstGeom>
                  </pic:spPr>
                </pic:pic>
              </a:graphicData>
            </a:graphic>
          </wp:inline>
        </w:drawing>
      </w:r>
    </w:p>
    <w:p w14:paraId="7DEF75A9" w14:textId="77777777" w:rsidR="00A57667" w:rsidRPr="00D1484A" w:rsidRDefault="00A57667" w:rsidP="00BC3829">
      <w:pPr>
        <w:pStyle w:val="KeyTitle"/>
      </w:pPr>
      <w:bookmarkStart w:id="10283" w:name="_Ref514831893"/>
      <w:r w:rsidRPr="00D1484A">
        <w:t>Key</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
        <w:gridCol w:w="9363"/>
      </w:tblGrid>
      <w:tr w:rsidR="00A57667" w:rsidRPr="009B221D" w14:paraId="17C88F0F" w14:textId="77777777" w:rsidTr="008217FC">
        <w:tc>
          <w:tcPr>
            <w:tcW w:w="388" w:type="dxa"/>
          </w:tcPr>
          <w:p w14:paraId="6681CE4D" w14:textId="77777777" w:rsidR="00A57667" w:rsidRPr="008618F2" w:rsidRDefault="00A57667" w:rsidP="008618F2">
            <w:pPr>
              <w:pStyle w:val="KeyText"/>
              <w:spacing w:before="0"/>
              <w:rPr>
                <w:iCs/>
              </w:rPr>
            </w:pPr>
            <w:r w:rsidRPr="008618F2">
              <w:rPr>
                <w:iCs/>
              </w:rPr>
              <w:t>A</w:t>
            </w:r>
          </w:p>
        </w:tc>
        <w:tc>
          <w:tcPr>
            <w:tcW w:w="9363" w:type="dxa"/>
          </w:tcPr>
          <w:p w14:paraId="1CD44E32" w14:textId="51B28DF1" w:rsidR="00A57667" w:rsidRPr="008618F2" w:rsidRDefault="00BC3829" w:rsidP="008618F2">
            <w:pPr>
              <w:pStyle w:val="KeyText"/>
              <w:spacing w:before="0"/>
            </w:pPr>
            <w:r w:rsidRPr="008618F2">
              <w:t>p</w:t>
            </w:r>
            <w:r w:rsidR="00A57667" w:rsidRPr="008618F2">
              <w:t>rimary structure with all shear walls structurally continuous from the foundation to the roof</w:t>
            </w:r>
          </w:p>
        </w:tc>
      </w:tr>
      <w:tr w:rsidR="00A57667" w:rsidRPr="009B221D" w14:paraId="39BF05E1" w14:textId="77777777" w:rsidTr="008217FC">
        <w:tc>
          <w:tcPr>
            <w:tcW w:w="388" w:type="dxa"/>
          </w:tcPr>
          <w:p w14:paraId="04250373" w14:textId="77777777" w:rsidR="00A57667" w:rsidRPr="008618F2" w:rsidRDefault="00A57667" w:rsidP="008618F2">
            <w:pPr>
              <w:pStyle w:val="KeyText"/>
              <w:spacing w:before="0"/>
              <w:rPr>
                <w:iCs/>
              </w:rPr>
            </w:pPr>
            <w:r w:rsidRPr="008618F2">
              <w:rPr>
                <w:iCs/>
              </w:rPr>
              <w:t>B</w:t>
            </w:r>
          </w:p>
        </w:tc>
        <w:tc>
          <w:tcPr>
            <w:tcW w:w="9363" w:type="dxa"/>
          </w:tcPr>
          <w:p w14:paraId="1B0213D1" w14:textId="58FE738C" w:rsidR="00A57667" w:rsidRPr="008618F2" w:rsidRDefault="00BC3829" w:rsidP="008618F2">
            <w:pPr>
              <w:pStyle w:val="KeyText"/>
              <w:spacing w:before="0"/>
            </w:pPr>
            <w:r w:rsidRPr="008618F2">
              <w:t>p</w:t>
            </w:r>
            <w:r w:rsidR="00A57667" w:rsidRPr="008618F2">
              <w:t>rimary structure with part of the shear walls structurally continuous from the foundation to the roof and</w:t>
            </w:r>
            <w:r w:rsidRPr="008618F2">
              <w:t xml:space="preserve"> </w:t>
            </w:r>
            <w:r w:rsidR="00A57667" w:rsidRPr="008618F2">
              <w:t>part of the shear walls interrupted at the top storey</w:t>
            </w:r>
          </w:p>
        </w:tc>
      </w:tr>
      <w:tr w:rsidR="00A57667" w:rsidRPr="009B221D" w14:paraId="2DD7D6A1" w14:textId="77777777" w:rsidTr="008217FC">
        <w:tc>
          <w:tcPr>
            <w:tcW w:w="388" w:type="dxa"/>
          </w:tcPr>
          <w:p w14:paraId="7051511E" w14:textId="77777777" w:rsidR="00A57667" w:rsidRPr="008618F2" w:rsidRDefault="00A57667" w:rsidP="008618F2">
            <w:pPr>
              <w:pStyle w:val="KeyText"/>
              <w:spacing w:before="0"/>
              <w:rPr>
                <w:iCs/>
              </w:rPr>
            </w:pPr>
            <w:r w:rsidRPr="008618F2">
              <w:rPr>
                <w:iCs/>
              </w:rPr>
              <w:t>C</w:t>
            </w:r>
          </w:p>
        </w:tc>
        <w:tc>
          <w:tcPr>
            <w:tcW w:w="9363" w:type="dxa"/>
          </w:tcPr>
          <w:p w14:paraId="7AA1D791" w14:textId="15357A4F" w:rsidR="00A57667" w:rsidRPr="008618F2" w:rsidRDefault="00BC3829" w:rsidP="008618F2">
            <w:pPr>
              <w:pStyle w:val="KeyText"/>
              <w:spacing w:before="0"/>
            </w:pPr>
            <w:r w:rsidRPr="008618F2">
              <w:t>p</w:t>
            </w:r>
            <w:r w:rsidR="00A57667" w:rsidRPr="008618F2">
              <w:t>rimary structure with part of the shear walls interrupted below the second and third storey</w:t>
            </w:r>
          </w:p>
        </w:tc>
      </w:tr>
      <w:tr w:rsidR="00A57667" w:rsidRPr="00132C1E" w14:paraId="3E30BCEA" w14:textId="77777777" w:rsidTr="008217FC">
        <w:tc>
          <w:tcPr>
            <w:tcW w:w="388" w:type="dxa"/>
          </w:tcPr>
          <w:p w14:paraId="4C51A931" w14:textId="77777777" w:rsidR="00A57667" w:rsidRPr="008618F2" w:rsidRDefault="00A57667" w:rsidP="008618F2">
            <w:pPr>
              <w:pStyle w:val="KeyText"/>
              <w:spacing w:before="0"/>
              <w:rPr>
                <w:iCs/>
              </w:rPr>
            </w:pPr>
            <w:r w:rsidRPr="008618F2">
              <w:rPr>
                <w:iCs/>
              </w:rPr>
              <w:t>1</w:t>
            </w:r>
          </w:p>
        </w:tc>
        <w:tc>
          <w:tcPr>
            <w:tcW w:w="9363" w:type="dxa"/>
          </w:tcPr>
          <w:p w14:paraId="73D49A4F" w14:textId="41A7C394" w:rsidR="00A57667" w:rsidRPr="008618F2" w:rsidRDefault="00BC3829" w:rsidP="008618F2">
            <w:pPr>
              <w:pStyle w:val="KeyText"/>
              <w:spacing w:before="0"/>
            </w:pPr>
            <w:r w:rsidRPr="008618F2">
              <w:t>s</w:t>
            </w:r>
            <w:r w:rsidR="00A57667" w:rsidRPr="008618F2">
              <w:t>tructural wall</w:t>
            </w:r>
          </w:p>
        </w:tc>
      </w:tr>
      <w:tr w:rsidR="00A57667" w:rsidRPr="00132C1E" w14:paraId="730EE9B5" w14:textId="77777777" w:rsidTr="008217FC">
        <w:tc>
          <w:tcPr>
            <w:tcW w:w="388" w:type="dxa"/>
          </w:tcPr>
          <w:p w14:paraId="6ECC2C5B" w14:textId="77777777" w:rsidR="00A57667" w:rsidRPr="008618F2" w:rsidRDefault="00A57667" w:rsidP="008618F2">
            <w:pPr>
              <w:pStyle w:val="KeyText"/>
              <w:spacing w:before="0"/>
              <w:rPr>
                <w:iCs/>
              </w:rPr>
            </w:pPr>
            <w:r w:rsidRPr="008618F2">
              <w:rPr>
                <w:iCs/>
              </w:rPr>
              <w:t>2</w:t>
            </w:r>
          </w:p>
        </w:tc>
        <w:tc>
          <w:tcPr>
            <w:tcW w:w="9363" w:type="dxa"/>
          </w:tcPr>
          <w:p w14:paraId="29CE869C" w14:textId="0CC7E6CE" w:rsidR="00A57667" w:rsidRPr="008618F2" w:rsidRDefault="00BC3829" w:rsidP="008618F2">
            <w:pPr>
              <w:pStyle w:val="KeyText"/>
              <w:spacing w:before="0"/>
            </w:pPr>
            <w:r w:rsidRPr="008618F2">
              <w:t>l</w:t>
            </w:r>
            <w:r w:rsidR="00A57667" w:rsidRPr="008618F2">
              <w:t>intel</w:t>
            </w:r>
          </w:p>
        </w:tc>
      </w:tr>
      <w:tr w:rsidR="00A57667" w:rsidRPr="00132C1E" w14:paraId="37E1E125" w14:textId="77777777" w:rsidTr="008217FC">
        <w:tc>
          <w:tcPr>
            <w:tcW w:w="388" w:type="dxa"/>
          </w:tcPr>
          <w:p w14:paraId="1E28B932" w14:textId="77777777" w:rsidR="00A57667" w:rsidRPr="008618F2" w:rsidRDefault="00A57667" w:rsidP="008618F2">
            <w:pPr>
              <w:pStyle w:val="KeyText"/>
              <w:spacing w:before="0"/>
              <w:rPr>
                <w:iCs/>
              </w:rPr>
            </w:pPr>
            <w:r w:rsidRPr="008618F2">
              <w:rPr>
                <w:iCs/>
              </w:rPr>
              <w:t>3</w:t>
            </w:r>
          </w:p>
        </w:tc>
        <w:tc>
          <w:tcPr>
            <w:tcW w:w="9363" w:type="dxa"/>
          </w:tcPr>
          <w:p w14:paraId="1B557122" w14:textId="2AFB3BFC" w:rsidR="00A57667" w:rsidRPr="008618F2" w:rsidRDefault="00BC3829" w:rsidP="008618F2">
            <w:pPr>
              <w:pStyle w:val="KeyText"/>
              <w:spacing w:before="0"/>
            </w:pPr>
            <w:r w:rsidRPr="008618F2">
              <w:t>o</w:t>
            </w:r>
            <w:r w:rsidR="00A57667" w:rsidRPr="008618F2">
              <w:t>pening</w:t>
            </w:r>
          </w:p>
        </w:tc>
      </w:tr>
      <w:tr w:rsidR="00A57667" w:rsidRPr="00132C1E" w14:paraId="73CEDE3F" w14:textId="77777777" w:rsidTr="008217FC">
        <w:tc>
          <w:tcPr>
            <w:tcW w:w="388" w:type="dxa"/>
          </w:tcPr>
          <w:p w14:paraId="6F872054" w14:textId="77777777" w:rsidR="00A57667" w:rsidRPr="008618F2" w:rsidRDefault="00A57667" w:rsidP="008618F2">
            <w:pPr>
              <w:pStyle w:val="KeyText"/>
              <w:spacing w:before="0"/>
              <w:rPr>
                <w:iCs/>
              </w:rPr>
            </w:pPr>
            <w:r w:rsidRPr="008618F2">
              <w:rPr>
                <w:iCs/>
              </w:rPr>
              <w:t>4</w:t>
            </w:r>
          </w:p>
        </w:tc>
        <w:tc>
          <w:tcPr>
            <w:tcW w:w="9363" w:type="dxa"/>
          </w:tcPr>
          <w:p w14:paraId="2DF03931" w14:textId="3B3EAA6F" w:rsidR="00A57667" w:rsidRPr="008618F2" w:rsidRDefault="00BC3829" w:rsidP="008618F2">
            <w:pPr>
              <w:pStyle w:val="KeyText"/>
              <w:spacing w:before="0"/>
            </w:pPr>
            <w:r w:rsidRPr="008618F2">
              <w:t>p</w:t>
            </w:r>
            <w:r w:rsidR="00A57667" w:rsidRPr="008618F2">
              <w:t>arapet</w:t>
            </w:r>
          </w:p>
        </w:tc>
      </w:tr>
    </w:tbl>
    <w:bookmarkEnd w:id="10283"/>
    <w:p w14:paraId="623101BC" w14:textId="3B058C21" w:rsidR="00A57667" w:rsidRPr="00FD17CF" w:rsidRDefault="00A57667" w:rsidP="00353D73">
      <w:pPr>
        <w:pStyle w:val="Figuretitle"/>
      </w:pPr>
      <w:r w:rsidRPr="00132C1E">
        <w:t xml:space="preserve">Figure </w:t>
      </w:r>
      <w:r w:rsidR="002300E9">
        <w:t>13.1</w:t>
      </w:r>
      <w:r w:rsidRPr="00132C1E">
        <w:t> </w:t>
      </w:r>
      <w:r w:rsidRPr="00D1484A">
        <w:rPr>
          <w:rFonts w:ascii="`ÃÍœ˛" w:eastAsia="Cambria" w:hAnsi="`ÃÍœ˛" w:cs="`ÃÍœ˛"/>
          <w:szCs w:val="22"/>
          <w:lang w:eastAsia="de-DE"/>
        </w:rPr>
        <w:t>—</w:t>
      </w:r>
      <w:r w:rsidRPr="00D1484A">
        <w:t xml:space="preserve"> Example of </w:t>
      </w:r>
      <w:r w:rsidRPr="007E6F67">
        <w:t xml:space="preserve">primary structure </w:t>
      </w:r>
      <w:r w:rsidRPr="00FD17CF">
        <w:t>with shear walls</w:t>
      </w:r>
    </w:p>
    <w:p w14:paraId="0D1C640A" w14:textId="79A5798F" w:rsidR="00A57667" w:rsidRPr="00E05E29" w:rsidRDefault="00A57667" w:rsidP="00724E4E">
      <w:pPr>
        <w:pStyle w:val="Clause"/>
      </w:pPr>
      <w:r w:rsidRPr="00E05E29">
        <w:t xml:space="preserve">Buildings with a primary timber structure other than those listed in </w:t>
      </w:r>
      <w:r w:rsidRPr="00835C82">
        <w:t>(1)</w:t>
      </w:r>
      <w:r w:rsidRPr="00E05E29" w:rsidDel="00203B66">
        <w:t xml:space="preserve"> </w:t>
      </w:r>
      <w:r w:rsidRPr="00E05E29">
        <w:t>may be used, provided that either a) or b) is fulfilled:</w:t>
      </w:r>
    </w:p>
    <w:p w14:paraId="153685D6" w14:textId="77777777" w:rsidR="00A57667" w:rsidRPr="00E05E29" w:rsidRDefault="00A57667" w:rsidP="008217FC">
      <w:pPr>
        <w:pStyle w:val="Text"/>
        <w:numPr>
          <w:ilvl w:val="0"/>
          <w:numId w:val="661"/>
        </w:numPr>
        <w:spacing w:after="200"/>
      </w:pPr>
      <w:r w:rsidRPr="00E05E29">
        <w:t>they are designed in DC1;</w:t>
      </w:r>
    </w:p>
    <w:p w14:paraId="67B9310A" w14:textId="62E5805B" w:rsidR="00A57667" w:rsidRPr="00B33E3E" w:rsidRDefault="00A57667" w:rsidP="008217FC">
      <w:pPr>
        <w:pStyle w:val="Text"/>
        <w:numPr>
          <w:ilvl w:val="0"/>
          <w:numId w:val="661"/>
        </w:numPr>
        <w:spacing w:after="200"/>
      </w:pPr>
      <w:r w:rsidRPr="00E05E29">
        <w:t xml:space="preserve">for a design as DC3 </w:t>
      </w:r>
      <w:r w:rsidRPr="00353D73">
        <w:t>or DC2 dissipative behaviour, the properties of both dissipative zones (timber connections, 2D or 3D</w:t>
      </w:r>
      <w:r w:rsidR="00353D73" w:rsidRPr="00353D73">
        <w:t xml:space="preserve"> </w:t>
      </w:r>
      <w:r w:rsidRPr="00353D73">
        <w:t xml:space="preserve">connectors, or timber joints) and subassemblies (e.g. shear walls, portal frames, etc.) are determined by cyclic tests in accordance with EN 12512 </w:t>
      </w:r>
      <w:r w:rsidRPr="000A0B30">
        <w:t>and 13.3.1(1), and</w:t>
      </w:r>
      <w:r w:rsidRPr="00353D73">
        <w:t xml:space="preserve"> with </w:t>
      </w:r>
      <w:r w:rsidR="00C30FF9">
        <w:t>EN 1</w:t>
      </w:r>
      <w:r w:rsidRPr="00353D73">
        <w:t>990:202</w:t>
      </w:r>
      <w:r w:rsidR="006455AE">
        <w:t>3</w:t>
      </w:r>
      <w:r w:rsidRPr="00835C82">
        <w:t>, Annex D.</w:t>
      </w:r>
    </w:p>
    <w:p w14:paraId="469B45B8" w14:textId="77777777" w:rsidR="00A57667" w:rsidRPr="00E05E29" w:rsidRDefault="00A57667" w:rsidP="00A57667">
      <w:pPr>
        <w:pStyle w:val="Heading3"/>
      </w:pPr>
      <w:bookmarkStart w:id="10284" w:name="_Toc520573563"/>
      <w:bookmarkStart w:id="10285" w:name="_Toc17491740"/>
      <w:bookmarkStart w:id="10286" w:name="_Toc2160618"/>
      <w:bookmarkStart w:id="10287" w:name="_Toc50150569"/>
      <w:bookmarkStart w:id="10288" w:name="_Toc70887001"/>
      <w:bookmarkStart w:id="10289" w:name="_Toc108342571"/>
      <w:bookmarkStart w:id="10290" w:name="_Toc134198093"/>
      <w:r w:rsidRPr="00E05E29">
        <w:t>Behaviour factors</w:t>
      </w:r>
      <w:bookmarkEnd w:id="10284"/>
      <w:bookmarkEnd w:id="10285"/>
      <w:bookmarkEnd w:id="10286"/>
      <w:bookmarkEnd w:id="10287"/>
      <w:bookmarkEnd w:id="10288"/>
      <w:bookmarkEnd w:id="10289"/>
      <w:bookmarkEnd w:id="10290"/>
    </w:p>
    <w:p w14:paraId="4DCE6BB3" w14:textId="3FA065F2" w:rsidR="00A57667" w:rsidRPr="00E05E29" w:rsidRDefault="00A57667" w:rsidP="0080187E">
      <w:pPr>
        <w:pStyle w:val="Clause"/>
        <w:numPr>
          <w:ilvl w:val="0"/>
          <w:numId w:val="450"/>
        </w:numPr>
      </w:pPr>
      <w:r w:rsidRPr="00E05E29">
        <w:t xml:space="preserve">For timber buildings, which are regular in elevation in accordance with </w:t>
      </w:r>
      <w:r w:rsidRPr="00835C82">
        <w:t>4.4.4.2</w:t>
      </w:r>
      <w:r w:rsidRPr="00E05E29">
        <w:t xml:space="preserve"> and are assigned to DC2 or DC3, the default values of the component </w:t>
      </w:r>
      <w:r w:rsidRPr="00C71292">
        <w:rPr>
          <w:i/>
        </w:rPr>
        <w:t>q</w:t>
      </w:r>
      <w:r w:rsidRPr="00C71292">
        <w:rPr>
          <w:vertAlign w:val="subscript"/>
        </w:rPr>
        <w:t>D</w:t>
      </w:r>
      <w:r w:rsidRPr="00E05E29">
        <w:t xml:space="preserve"> of the behaviour factor </w:t>
      </w:r>
      <w:r w:rsidRPr="00C71292">
        <w:rPr>
          <w:i/>
        </w:rPr>
        <w:t>q</w:t>
      </w:r>
      <w:r w:rsidRPr="00E05E29">
        <w:t xml:space="preserve"> should be taken from Table 13.2 provided that either </w:t>
      </w:r>
      <w:r w:rsidRPr="00835C82">
        <w:t>(4)</w:t>
      </w:r>
      <w:r w:rsidRPr="00E05E29">
        <w:t xml:space="preserve">, </w:t>
      </w:r>
      <w:r w:rsidRPr="00835C82">
        <w:t>(7)</w:t>
      </w:r>
      <w:r w:rsidRPr="00E05E29">
        <w:t xml:space="preserve">, </w:t>
      </w:r>
      <w:r w:rsidRPr="00835C82">
        <w:t>(10)</w:t>
      </w:r>
      <w:r w:rsidRPr="00E05E29">
        <w:t xml:space="preserve"> or </w:t>
      </w:r>
      <w:r w:rsidRPr="00835C82">
        <w:t>(11)</w:t>
      </w:r>
      <w:r w:rsidRPr="00E05E29">
        <w:t xml:space="preserve"> is satisfied, and provided that the capacity design rules defined in </w:t>
      </w:r>
      <w:r w:rsidRPr="00835C82">
        <w:t>13.4.3</w:t>
      </w:r>
      <w:r w:rsidRPr="00E05E29">
        <w:t xml:space="preserve"> for all structural types and in </w:t>
      </w:r>
      <w:r w:rsidRPr="00835C82">
        <w:t>13.7</w:t>
      </w:r>
      <w:r w:rsidRPr="00E05E29">
        <w:t xml:space="preserve"> to </w:t>
      </w:r>
      <w:r w:rsidRPr="00835C82">
        <w:t>13.13</w:t>
      </w:r>
      <w:r w:rsidRPr="00E05E29">
        <w:t xml:space="preserve"> for each structural type are also satisfied. The values of </w:t>
      </w:r>
      <w:r w:rsidRPr="00C71292">
        <w:rPr>
          <w:i/>
        </w:rPr>
        <w:t>q</w:t>
      </w:r>
      <w:r w:rsidRPr="00E05E29">
        <w:t xml:space="preserve"> are obtained according to </w:t>
      </w:r>
      <w:r>
        <w:t>pr</w:t>
      </w:r>
      <w:r w:rsidR="00C30FF9">
        <w:t>EN 1</w:t>
      </w:r>
      <w:r>
        <w:t>998-1-1:2022</w:t>
      </w:r>
      <w:r w:rsidRPr="00E05E29">
        <w:t xml:space="preserve">, </w:t>
      </w:r>
      <w:r w:rsidRPr="00835C82">
        <w:t>6.4.1(1)</w:t>
      </w:r>
      <w:r w:rsidRPr="00E05E29">
        <w:t xml:space="preserve">, as the product of the values of </w:t>
      </w:r>
      <w:r w:rsidRPr="00C71292">
        <w:rPr>
          <w:i/>
        </w:rPr>
        <w:t>q</w:t>
      </w:r>
      <w:r w:rsidRPr="00C71292">
        <w:rPr>
          <w:vertAlign w:val="subscript"/>
        </w:rPr>
        <w:t>D</w:t>
      </w:r>
      <w:r w:rsidRPr="00E05E29">
        <w:t xml:space="preserve">, </w:t>
      </w:r>
      <w:r w:rsidRPr="00C71292">
        <w:rPr>
          <w:i/>
        </w:rPr>
        <w:t>q</w:t>
      </w:r>
      <w:r w:rsidRPr="00C71292">
        <w:rPr>
          <w:vertAlign w:val="subscript"/>
        </w:rPr>
        <w:t>R</w:t>
      </w:r>
      <w:r w:rsidRPr="00E05E29">
        <w:t xml:space="preserve"> and </w:t>
      </w:r>
      <w:r w:rsidRPr="00C71292">
        <w:rPr>
          <w:i/>
        </w:rPr>
        <w:t>q</w:t>
      </w:r>
      <w:r w:rsidRPr="00C71292">
        <w:rPr>
          <w:vertAlign w:val="subscript"/>
        </w:rPr>
        <w:t>S</w:t>
      </w:r>
      <w:r w:rsidRPr="00E05E29">
        <w:t xml:space="preserve">, with </w:t>
      </w:r>
      <w:r w:rsidRPr="00C71292">
        <w:rPr>
          <w:i/>
        </w:rPr>
        <w:t>q</w:t>
      </w:r>
      <w:r w:rsidRPr="00C71292">
        <w:rPr>
          <w:vertAlign w:val="subscript"/>
        </w:rPr>
        <w:t>S</w:t>
      </w:r>
      <w:r w:rsidRPr="00E05E29">
        <w:t> = 1,5.</w:t>
      </w:r>
    </w:p>
    <w:p w14:paraId="0306934A" w14:textId="32E74970" w:rsidR="00A57667" w:rsidRPr="009A3C1A" w:rsidRDefault="00A57667" w:rsidP="00724E4E">
      <w:pPr>
        <w:pStyle w:val="Clause"/>
      </w:pPr>
      <w:r w:rsidRPr="009A3C1A">
        <w:t xml:space="preserve">The behaviour factor component </w:t>
      </w:r>
      <w:r w:rsidRPr="00641E28">
        <w:rPr>
          <w:i/>
        </w:rPr>
        <w:t>q</w:t>
      </w:r>
      <w:r w:rsidRPr="00641E28">
        <w:rPr>
          <w:vertAlign w:val="subscript"/>
        </w:rPr>
        <w:t>D</w:t>
      </w:r>
      <w:r w:rsidRPr="009A3C1A">
        <w:t xml:space="preserve"> of a hybrid building where the primary structure is made with a combination </w:t>
      </w:r>
      <w:r w:rsidRPr="00353D73">
        <w:t xml:space="preserve">of CLT and fully anchored framed shear walls </w:t>
      </w:r>
      <w:r w:rsidRPr="009A3C1A">
        <w:t xml:space="preserve">at the same level may be calculated by Formula (13.3) instead of </w:t>
      </w:r>
      <w:r w:rsidRPr="00835C82">
        <w:t>5.3.2(4)</w:t>
      </w:r>
      <w:r w:rsidRPr="009A3C1A">
        <w:t>.</w:t>
      </w:r>
    </w:p>
    <w:p w14:paraId="45F4A981" w14:textId="4F72F8F5" w:rsidR="00353D73" w:rsidRDefault="009B5CEC" w:rsidP="00353D73">
      <w:pPr>
        <w:pStyle w:val="Formula"/>
        <w:spacing w:before="240"/>
      </w:pPr>
      <m:oMath>
        <m:sSub>
          <m:sSubPr>
            <m:ctrlPr>
              <w:rPr>
                <w:rFonts w:ascii="Cambria Math" w:hAnsi="Cambria Math"/>
              </w:rPr>
            </m:ctrlPr>
          </m:sSubPr>
          <m:e>
            <m:r>
              <w:rPr>
                <w:rFonts w:ascii="Cambria Math" w:hAnsi="Cambria Math"/>
              </w:rPr>
              <m:t>q</m:t>
            </m:r>
          </m:e>
          <m:sub>
            <m:r>
              <m:rPr>
                <m:sty m:val="p"/>
              </m:rPr>
              <w:rPr>
                <w:rFonts w:ascii="Cambria Math" w:hAnsi="Cambria Math"/>
              </w:rPr>
              <m:t>D, Hyb</m:t>
            </m:r>
          </m:sub>
        </m:sSub>
        <m:r>
          <w:rPr>
            <w:rFonts w:ascii="Cambria Math" w:hAnsi="Cambria Math"/>
          </w:rPr>
          <m:t>=</m:t>
        </m:r>
        <m:d>
          <m:dPr>
            <m:ctrlPr>
              <w:rPr>
                <w:rFonts w:ascii="Cambria Math" w:eastAsia="Batang" w:hAnsi="Cambria Math"/>
              </w:rPr>
            </m:ctrlPr>
          </m:dPr>
          <m:e>
            <m:sSub>
              <m:sSubPr>
                <m:ctrlPr>
                  <w:rPr>
                    <w:rFonts w:ascii="Cambria Math" w:eastAsia="Batang" w:hAnsi="Cambria Math"/>
                  </w:rPr>
                </m:ctrlPr>
              </m:sSubPr>
              <m:e>
                <m:r>
                  <w:rPr>
                    <w:rFonts w:ascii="Cambria Math" w:eastAsia="Batang"/>
                  </w:rPr>
                  <m:t>q</m:t>
                </m:r>
              </m:e>
              <m:sub>
                <m:r>
                  <m:rPr>
                    <m:sty m:val="p"/>
                  </m:rPr>
                  <w:rPr>
                    <w:rFonts w:eastAsia="Batang"/>
                  </w:rPr>
                  <m:t>D,FW</m:t>
                </m:r>
              </m:sub>
            </m:sSub>
            <m:r>
              <w:rPr>
                <w:rFonts w:eastAsia="Batang"/>
              </w:rPr>
              <m:t>-</m:t>
            </m:r>
            <m:sSub>
              <m:sSubPr>
                <m:ctrlPr>
                  <w:rPr>
                    <w:rFonts w:ascii="Cambria Math" w:eastAsia="Batang" w:hAnsi="Cambria Math"/>
                  </w:rPr>
                </m:ctrlPr>
              </m:sSubPr>
              <m:e>
                <m:r>
                  <w:rPr>
                    <w:rFonts w:ascii="Cambria Math" w:eastAsia="Batang" w:hAnsi="Cambria Math"/>
                  </w:rPr>
                  <m:t>q</m:t>
                </m:r>
              </m:e>
              <m:sub>
                <m:r>
                  <m:rPr>
                    <m:sty m:val="p"/>
                  </m:rPr>
                  <w:rPr>
                    <w:rFonts w:eastAsia="Batang"/>
                  </w:rPr>
                  <m:t>D,CLT</m:t>
                </m:r>
              </m:sub>
            </m:sSub>
          </m:e>
        </m:d>
        <m:d>
          <m:dPr>
            <m:ctrlPr>
              <w:rPr>
                <w:rFonts w:ascii="Cambria Math" w:eastAsia="Batang" w:hAnsi="Cambria Math"/>
              </w:rPr>
            </m:ctrlPr>
          </m:dPr>
          <m:e>
            <m:r>
              <w:rPr>
                <w:rFonts w:eastAsia="Batang"/>
              </w:rPr>
              <m:t>1-</m:t>
            </m:r>
            <m:sSub>
              <m:sSubPr>
                <m:ctrlPr>
                  <w:rPr>
                    <w:rFonts w:ascii="Cambria Math" w:eastAsia="Batang" w:hAnsi="Cambria Math"/>
                  </w:rPr>
                </m:ctrlPr>
              </m:sSubPr>
              <m:e>
                <m:r>
                  <w:rPr>
                    <w:rFonts w:ascii="Cambria Math" w:eastAsia="Batang" w:hAnsi="Cambria Math"/>
                  </w:rPr>
                  <m:t>k</m:t>
                </m:r>
              </m:e>
              <m:sub>
                <m:r>
                  <m:rPr>
                    <m:sty m:val="p"/>
                  </m:rPr>
                  <w:rPr>
                    <w:rFonts w:eastAsia="Batang"/>
                  </w:rPr>
                  <m:t>stif</m:t>
                </m:r>
              </m:sub>
            </m:sSub>
          </m:e>
        </m:d>
        <m:r>
          <w:rPr>
            <w:rFonts w:eastAsia="Batang"/>
          </w:rPr>
          <m:t>+</m:t>
        </m:r>
        <m:sSub>
          <m:sSubPr>
            <m:ctrlPr>
              <w:rPr>
                <w:rFonts w:ascii="Cambria Math" w:eastAsia="Batang" w:hAnsi="Cambria Math"/>
              </w:rPr>
            </m:ctrlPr>
          </m:sSubPr>
          <m:e>
            <m:r>
              <w:rPr>
                <w:rFonts w:ascii="Cambria Math" w:eastAsia="Batang" w:hAnsi="Cambria Math"/>
              </w:rPr>
              <m:t>q</m:t>
            </m:r>
          </m:e>
          <m:sub>
            <m:r>
              <m:rPr>
                <m:sty m:val="p"/>
              </m:rPr>
              <w:rPr>
                <w:rFonts w:eastAsia="Batang"/>
              </w:rPr>
              <m:t>D,CLT</m:t>
            </m:r>
          </m:sub>
        </m:sSub>
      </m:oMath>
      <w:r w:rsidR="00353D73" w:rsidRPr="00870D59">
        <w:tab/>
        <w:t>(1</w:t>
      </w:r>
      <w:r w:rsidR="00353D73">
        <w:t>3</w:t>
      </w:r>
      <w:r w:rsidR="00353D73" w:rsidRPr="00870D59">
        <w:t>.</w:t>
      </w:r>
      <w:r w:rsidR="00353D73">
        <w:t>3</w:t>
      </w:r>
      <w:r w:rsidR="00353D73" w:rsidRPr="00870D59">
        <w:t>)</w:t>
      </w:r>
    </w:p>
    <w:p w14:paraId="08C5A4BA" w14:textId="62C35D01" w:rsidR="00416ACE" w:rsidRPr="00416ACE" w:rsidRDefault="00416ACE" w:rsidP="00416ACE">
      <w:pPr>
        <w:pStyle w:val="Text"/>
      </w:pPr>
      <w:r>
        <w:t>where</w:t>
      </w:r>
    </w:p>
    <w:tbl>
      <w:tblPr>
        <w:tblW w:w="0" w:type="auto"/>
        <w:tblInd w:w="346" w:type="dxa"/>
        <w:tblLook w:val="04A0" w:firstRow="1" w:lastRow="0" w:firstColumn="1" w:lastColumn="0" w:noHBand="0" w:noVBand="1"/>
      </w:tblPr>
      <w:tblGrid>
        <w:gridCol w:w="1734"/>
        <w:gridCol w:w="7479"/>
      </w:tblGrid>
      <w:tr w:rsidR="00353D73" w:rsidRPr="000F2AFF" w14:paraId="1D43E109" w14:textId="77777777" w:rsidTr="008217FC">
        <w:tc>
          <w:tcPr>
            <w:tcW w:w="1734" w:type="dxa"/>
          </w:tcPr>
          <w:p w14:paraId="56179AAB" w14:textId="54EC5A16" w:rsidR="00353D73" w:rsidRPr="000F2AFF" w:rsidRDefault="009D12CA" w:rsidP="002061E5">
            <w:pPr>
              <w:spacing w:after="60"/>
              <w:jc w:val="left"/>
              <w:rPr>
                <w:rFonts w:eastAsia="Times New Roman" w:cs="Cambria"/>
                <w:color w:val="000000" w:themeColor="text1"/>
                <w:szCs w:val="20"/>
                <w:lang w:eastAsia="fr-FR"/>
              </w:rPr>
            </w:pPr>
            <w:r w:rsidRPr="007E6F67">
              <w:rPr>
                <w:i/>
                <w:iCs/>
              </w:rPr>
              <w:lastRenderedPageBreak/>
              <w:t>q</w:t>
            </w:r>
            <w:r w:rsidRPr="00FD17CF">
              <w:rPr>
                <w:vertAlign w:val="subscript"/>
              </w:rPr>
              <w:t>D,Hyb</w:t>
            </w:r>
          </w:p>
        </w:tc>
        <w:tc>
          <w:tcPr>
            <w:tcW w:w="7479" w:type="dxa"/>
          </w:tcPr>
          <w:p w14:paraId="62958609" w14:textId="50103662" w:rsidR="00353D73" w:rsidRPr="00464B4C" w:rsidRDefault="009D12CA" w:rsidP="002061E5">
            <w:pPr>
              <w:spacing w:after="60"/>
              <w:rPr>
                <w:rFonts w:eastAsia="Times New Roman" w:cs="Cambria"/>
                <w:color w:val="000000" w:themeColor="text1"/>
                <w:szCs w:val="20"/>
                <w:lang w:eastAsia="fr-FR"/>
              </w:rPr>
            </w:pPr>
            <w:r w:rsidRPr="00FD17CF">
              <w:t xml:space="preserve">is the value of component </w:t>
            </w:r>
            <w:r w:rsidRPr="00644C3D">
              <w:rPr>
                <w:i/>
              </w:rPr>
              <w:t>q</w:t>
            </w:r>
            <w:r w:rsidRPr="00E05E29">
              <w:rPr>
                <w:vertAlign w:val="subscript"/>
              </w:rPr>
              <w:t>D</w:t>
            </w:r>
            <w:r w:rsidRPr="00E05E29">
              <w:t xml:space="preserve"> of the behaviour factor </w:t>
            </w:r>
            <w:r w:rsidRPr="00E05E29">
              <w:rPr>
                <w:i/>
              </w:rPr>
              <w:t>q</w:t>
            </w:r>
            <w:r w:rsidRPr="00E05E29">
              <w:t xml:space="preserve"> for the hybrid primary structure</w:t>
            </w:r>
            <w:r w:rsidRPr="00196951">
              <w:t>;</w:t>
            </w:r>
          </w:p>
        </w:tc>
      </w:tr>
      <w:tr w:rsidR="00353D73" w:rsidRPr="000F2AFF" w14:paraId="2428A761" w14:textId="77777777" w:rsidTr="008217FC">
        <w:tc>
          <w:tcPr>
            <w:tcW w:w="1734" w:type="dxa"/>
          </w:tcPr>
          <w:p w14:paraId="6D3CBB07" w14:textId="1708A65D" w:rsidR="00353D73" w:rsidRPr="000F2AFF" w:rsidRDefault="009D12CA" w:rsidP="002061E5">
            <w:pPr>
              <w:spacing w:after="60"/>
              <w:jc w:val="left"/>
              <w:rPr>
                <w:rFonts w:eastAsia="Times New Roman" w:cs="Cambria"/>
                <w:color w:val="000000" w:themeColor="text1"/>
                <w:szCs w:val="20"/>
                <w:lang w:eastAsia="fr-FR"/>
              </w:rPr>
            </w:pPr>
            <w:r w:rsidRPr="002144A0">
              <w:rPr>
                <w:i/>
                <w:iCs/>
              </w:rPr>
              <w:t>q</w:t>
            </w:r>
            <w:r w:rsidRPr="002144A0">
              <w:rPr>
                <w:vertAlign w:val="subscript"/>
              </w:rPr>
              <w:t>D</w:t>
            </w:r>
            <w:r>
              <w:rPr>
                <w:vertAlign w:val="subscript"/>
              </w:rPr>
              <w:t>,</w:t>
            </w:r>
            <w:r w:rsidRPr="009D12CA">
              <w:rPr>
                <w:vertAlign w:val="subscript"/>
              </w:rPr>
              <w:t>FW</w:t>
            </w:r>
          </w:p>
        </w:tc>
        <w:tc>
          <w:tcPr>
            <w:tcW w:w="7479" w:type="dxa"/>
          </w:tcPr>
          <w:p w14:paraId="4DDFF78C" w14:textId="361A0485" w:rsidR="00353D73" w:rsidRPr="009D12CA" w:rsidRDefault="009D12CA" w:rsidP="002061E5">
            <w:pPr>
              <w:spacing w:after="60"/>
              <w:rPr>
                <w:rFonts w:eastAsia="Times New Roman" w:cs="Cambria"/>
                <w:szCs w:val="20"/>
                <w:lang w:eastAsia="fr-FR"/>
              </w:rPr>
            </w:pPr>
            <w:r w:rsidRPr="009D12CA">
              <w:t xml:space="preserve">is the default value for the Ductility Class of component </w:t>
            </w:r>
            <w:r w:rsidRPr="009D12CA">
              <w:rPr>
                <w:i/>
              </w:rPr>
              <w:t>q</w:t>
            </w:r>
            <w:r w:rsidRPr="009D12CA">
              <w:rPr>
                <w:vertAlign w:val="subscript"/>
              </w:rPr>
              <w:t>D</w:t>
            </w:r>
            <w:r w:rsidRPr="009D12CA">
              <w:t xml:space="preserve"> for the framed wall primary structure;</w:t>
            </w:r>
          </w:p>
        </w:tc>
      </w:tr>
      <w:tr w:rsidR="00353D73" w:rsidRPr="000F2AFF" w14:paraId="1D55168B" w14:textId="77777777" w:rsidTr="008217FC">
        <w:tc>
          <w:tcPr>
            <w:tcW w:w="1734" w:type="dxa"/>
          </w:tcPr>
          <w:p w14:paraId="21F7E22C" w14:textId="79053E49" w:rsidR="00353D73" w:rsidRPr="000F2AFF" w:rsidRDefault="009D12CA" w:rsidP="002061E5">
            <w:pPr>
              <w:spacing w:after="60"/>
              <w:jc w:val="left"/>
              <w:rPr>
                <w:rFonts w:eastAsia="Times New Roman" w:cs="Cambria"/>
                <w:color w:val="000000" w:themeColor="text1"/>
                <w:szCs w:val="20"/>
                <w:lang w:eastAsia="fr-FR"/>
              </w:rPr>
            </w:pPr>
            <w:r w:rsidRPr="009A3C1A">
              <w:rPr>
                <w:i/>
                <w:iCs/>
              </w:rPr>
              <w:t>q</w:t>
            </w:r>
            <w:r w:rsidRPr="009A3C1A">
              <w:rPr>
                <w:vertAlign w:val="subscript"/>
              </w:rPr>
              <w:t>D,CL</w:t>
            </w:r>
            <w:r w:rsidRPr="009D12CA">
              <w:rPr>
                <w:vertAlign w:val="subscript"/>
              </w:rPr>
              <w:t>T</w:t>
            </w:r>
          </w:p>
        </w:tc>
        <w:tc>
          <w:tcPr>
            <w:tcW w:w="7479" w:type="dxa"/>
          </w:tcPr>
          <w:p w14:paraId="3DAC7D70" w14:textId="16A6321D" w:rsidR="00353D73" w:rsidRPr="00464B4C" w:rsidRDefault="009D12CA" w:rsidP="002061E5">
            <w:pPr>
              <w:spacing w:after="60"/>
              <w:rPr>
                <w:rFonts w:eastAsia="Times New Roman" w:cs="Cambria"/>
                <w:color w:val="000000" w:themeColor="text1"/>
                <w:szCs w:val="20"/>
                <w:lang w:eastAsia="fr-FR"/>
              </w:rPr>
            </w:pPr>
            <w:r w:rsidRPr="009A3C1A">
              <w:t xml:space="preserve">is the default value for the Ductility Class of component </w:t>
            </w:r>
            <w:r w:rsidRPr="009A3C1A">
              <w:rPr>
                <w:i/>
              </w:rPr>
              <w:t>q</w:t>
            </w:r>
            <w:r w:rsidRPr="009A3C1A">
              <w:rPr>
                <w:vertAlign w:val="subscript"/>
              </w:rPr>
              <w:t>D</w:t>
            </w:r>
            <w:r w:rsidRPr="009A3C1A">
              <w:t xml:space="preserve"> for the </w:t>
            </w:r>
            <w:r>
              <w:t>CL</w:t>
            </w:r>
            <w:r w:rsidRPr="009D12CA">
              <w:t xml:space="preserve">T </w:t>
            </w:r>
            <w:r w:rsidRPr="009A3C1A">
              <w:t>primary structure;</w:t>
            </w:r>
          </w:p>
        </w:tc>
      </w:tr>
      <w:tr w:rsidR="00353D73" w:rsidRPr="000F2AFF" w14:paraId="472630F2" w14:textId="77777777" w:rsidTr="008217FC">
        <w:tc>
          <w:tcPr>
            <w:tcW w:w="1734" w:type="dxa"/>
          </w:tcPr>
          <w:p w14:paraId="501CE0F9" w14:textId="4A157820" w:rsidR="00353D73" w:rsidRPr="000F2AFF" w:rsidRDefault="009D12CA" w:rsidP="002061E5">
            <w:pPr>
              <w:spacing w:after="60"/>
              <w:jc w:val="left"/>
              <w:rPr>
                <w:rFonts w:eastAsia="Times New Roman" w:cs="Cambria"/>
                <w:color w:val="000000" w:themeColor="text1"/>
                <w:szCs w:val="20"/>
                <w:lang w:eastAsia="fr-FR"/>
              </w:rPr>
            </w:pPr>
            <w:r w:rsidRPr="009A3C1A">
              <w:rPr>
                <w:i/>
                <w:iCs/>
              </w:rPr>
              <w:t>k</w:t>
            </w:r>
            <w:r w:rsidRPr="009A3C1A">
              <w:rPr>
                <w:iCs/>
                <w:vertAlign w:val="subscript"/>
              </w:rPr>
              <w:t>stif</w:t>
            </w:r>
            <w:r w:rsidRPr="009A3C1A">
              <w:rPr>
                <w:iCs/>
              </w:rPr>
              <w:t xml:space="preserve"> </w:t>
            </w:r>
            <w:r w:rsidRPr="00D92C9D">
              <w:rPr>
                <w:rFonts w:ascii="Symbol" w:hAnsi="Symbol"/>
              </w:rPr>
              <w:t></w:t>
            </w:r>
            <w:r w:rsidRPr="009A3C1A">
              <w:rPr>
                <w:i/>
                <w:iCs/>
              </w:rPr>
              <w:t xml:space="preserve"> </w:t>
            </w:r>
            <w:r w:rsidRPr="009A3C1A">
              <w:rPr>
                <w:iCs/>
              </w:rPr>
              <w:t>min</w:t>
            </w:r>
            <w:r>
              <w:rPr>
                <w:iCs/>
              </w:rPr>
              <w:t>(</w:t>
            </w:r>
            <w:r w:rsidRPr="009A3C1A">
              <w:rPr>
                <w:i/>
                <w:iCs/>
              </w:rPr>
              <w:t>k</w:t>
            </w:r>
            <w:r w:rsidRPr="009A3C1A">
              <w:rPr>
                <w:iCs/>
                <w:vertAlign w:val="subscript"/>
              </w:rPr>
              <w:t>stif,</w:t>
            </w:r>
            <w:r>
              <w:rPr>
                <w:iCs/>
                <w:vertAlign w:val="subscript"/>
              </w:rPr>
              <w:t>i</w:t>
            </w:r>
            <w:r>
              <w:rPr>
                <w:iCs/>
              </w:rPr>
              <w:t>)</w:t>
            </w:r>
            <w:r w:rsidRPr="009A3C1A">
              <w:rPr>
                <w:iCs/>
              </w:rPr>
              <w:t xml:space="preserve"> for </w:t>
            </w:r>
            <w:r>
              <w:rPr>
                <w:i/>
                <w:iCs/>
              </w:rPr>
              <w:t>i</w:t>
            </w:r>
            <w:r w:rsidRPr="009A3C1A">
              <w:rPr>
                <w:iCs/>
              </w:rPr>
              <w:t xml:space="preserve"> = 1,...,</w:t>
            </w:r>
            <w:r w:rsidRPr="009A3C1A">
              <w:rPr>
                <w:i/>
                <w:iCs/>
              </w:rPr>
              <w:t>N</w:t>
            </w:r>
            <w:r w:rsidRPr="009A3C1A">
              <w:rPr>
                <w:iCs/>
                <w:vertAlign w:val="subscript"/>
              </w:rPr>
              <w:t>s</w:t>
            </w:r>
          </w:p>
        </w:tc>
        <w:tc>
          <w:tcPr>
            <w:tcW w:w="7479" w:type="dxa"/>
          </w:tcPr>
          <w:p w14:paraId="7EEF8DF7" w14:textId="4615C2FA" w:rsidR="00353D73" w:rsidRPr="00464B4C" w:rsidRDefault="009D12CA" w:rsidP="002061E5">
            <w:pPr>
              <w:spacing w:after="60"/>
              <w:rPr>
                <w:rFonts w:eastAsia="Times New Roman" w:cs="Cambria"/>
                <w:color w:val="000000" w:themeColor="text1"/>
                <w:szCs w:val="20"/>
                <w:lang w:eastAsia="fr-FR"/>
              </w:rPr>
            </w:pPr>
            <w:r w:rsidRPr="009A3C1A">
              <w:rPr>
                <w:i/>
                <w:iCs/>
              </w:rPr>
              <w:t>N</w:t>
            </w:r>
            <w:r w:rsidRPr="009A3C1A">
              <w:rPr>
                <w:iCs/>
                <w:vertAlign w:val="subscript"/>
              </w:rPr>
              <w:t>s</w:t>
            </w:r>
            <w:r w:rsidRPr="009A3C1A">
              <w:rPr>
                <w:iCs/>
              </w:rPr>
              <w:t xml:space="preserve"> is </w:t>
            </w:r>
            <w:r w:rsidRPr="009A3C1A">
              <w:t xml:space="preserve">the minimum value of the ratio between the horizontal stiffness of the </w:t>
            </w:r>
            <w:r>
              <w:t>CL</w:t>
            </w:r>
            <w:r w:rsidRPr="009D12CA">
              <w:t>T</w:t>
            </w:r>
            <w:r w:rsidRPr="009A3C1A">
              <w:t xml:space="preserve"> walls and the total horizontal stiffness of the hybrid primary structure in each main direction at the </w:t>
            </w:r>
            <w:r w:rsidRPr="009A3C1A">
              <w:rPr>
                <w:i/>
              </w:rPr>
              <w:t>i</w:t>
            </w:r>
            <w:r w:rsidRPr="009A3C1A">
              <w:rPr>
                <w:vertAlign w:val="superscript"/>
              </w:rPr>
              <w:t>th</w:t>
            </w:r>
            <w:r w:rsidRPr="009A3C1A">
              <w:t xml:space="preserve"> storey;</w:t>
            </w:r>
          </w:p>
        </w:tc>
      </w:tr>
      <w:tr w:rsidR="00353D73" w:rsidRPr="000F2AFF" w14:paraId="65186DB7" w14:textId="77777777" w:rsidTr="008217FC">
        <w:tc>
          <w:tcPr>
            <w:tcW w:w="1734" w:type="dxa"/>
          </w:tcPr>
          <w:p w14:paraId="1F308344" w14:textId="19C464B7" w:rsidR="00353D73" w:rsidRPr="000F2AFF" w:rsidRDefault="009D12CA" w:rsidP="002061E5">
            <w:pPr>
              <w:spacing w:after="60"/>
              <w:jc w:val="left"/>
              <w:rPr>
                <w:rFonts w:eastAsia="Times New Roman" w:cs="Cambria"/>
                <w:color w:val="000000" w:themeColor="text1"/>
                <w:szCs w:val="20"/>
                <w:lang w:eastAsia="fr-FR"/>
              </w:rPr>
            </w:pPr>
            <w:r w:rsidRPr="009A3C1A">
              <w:rPr>
                <w:i/>
              </w:rPr>
              <w:t>N</w:t>
            </w:r>
            <w:r w:rsidRPr="009A3C1A">
              <w:rPr>
                <w:vertAlign w:val="subscript"/>
              </w:rPr>
              <w:t>s</w:t>
            </w:r>
          </w:p>
        </w:tc>
        <w:tc>
          <w:tcPr>
            <w:tcW w:w="7479" w:type="dxa"/>
          </w:tcPr>
          <w:p w14:paraId="232888E5" w14:textId="7CF09985" w:rsidR="00353D73" w:rsidRPr="00464B4C" w:rsidRDefault="009D12CA" w:rsidP="002061E5">
            <w:pPr>
              <w:spacing w:after="60"/>
              <w:rPr>
                <w:rFonts w:eastAsia="Times New Roman" w:cs="Cambria"/>
                <w:color w:val="000000" w:themeColor="text1"/>
                <w:szCs w:val="20"/>
                <w:lang w:eastAsia="fr-FR"/>
              </w:rPr>
            </w:pPr>
            <w:r w:rsidRPr="009A3C1A">
              <w:t>is the number of storeys of the building.</w:t>
            </w:r>
          </w:p>
        </w:tc>
      </w:tr>
    </w:tbl>
    <w:p w14:paraId="5148A883" w14:textId="1627E704" w:rsidR="009D12CA" w:rsidRPr="00E05E29" w:rsidRDefault="009D12CA" w:rsidP="009D12CA">
      <w:pPr>
        <w:pStyle w:val="Tabletitle"/>
      </w:pPr>
      <w:r w:rsidRPr="00E05E29">
        <w:t xml:space="preserve">Table </w:t>
      </w:r>
      <w:r w:rsidR="001F7CA7">
        <w:t>13.2</w:t>
      </w:r>
      <w:r w:rsidRPr="00E05E29">
        <w:fldChar w:fldCharType="begin"/>
      </w:r>
      <w:r w:rsidRPr="00E05E29">
        <w:instrText xml:space="preserve">\IF </w:instrText>
      </w:r>
      <w:r w:rsidRPr="00E05E29">
        <w:fldChar w:fldCharType="begin"/>
      </w:r>
      <w:r w:rsidRPr="00E05E29">
        <w:instrText xml:space="preserve">SEQ aaa \c </w:instrText>
      </w:r>
      <w:r w:rsidRPr="00E05E29">
        <w:fldChar w:fldCharType="separate"/>
      </w:r>
      <w:r w:rsidR="000720CB">
        <w:rPr>
          <w:noProof/>
        </w:rPr>
        <w:instrText>0</w:instrText>
      </w:r>
      <w:r w:rsidRPr="00E05E29">
        <w:fldChar w:fldCharType="end"/>
      </w:r>
      <w:r w:rsidRPr="00E05E29">
        <w:instrText>&gt;= 1 "</w:instrText>
      </w:r>
      <w:r w:rsidRPr="00E05E29">
        <w:fldChar w:fldCharType="begin"/>
      </w:r>
      <w:r w:rsidRPr="00E05E29">
        <w:instrText xml:space="preserve">SEQ aaa \c \* ALPHABETIC </w:instrText>
      </w:r>
      <w:r w:rsidRPr="00E05E29">
        <w:fldChar w:fldCharType="separate"/>
      </w:r>
      <w:r w:rsidRPr="00E05E29">
        <w:instrText>A</w:instrText>
      </w:r>
      <w:r w:rsidRPr="00E05E29">
        <w:fldChar w:fldCharType="end"/>
      </w:r>
      <w:r w:rsidRPr="00E05E29">
        <w:instrText xml:space="preserve">." </w:instrText>
      </w:r>
      <w:r w:rsidRPr="00E05E29">
        <w:fldChar w:fldCharType="end"/>
      </w:r>
      <w:r w:rsidRPr="00132C1E">
        <w:t> — </w:t>
      </w:r>
      <w:r w:rsidRPr="00D1484A">
        <w:t xml:space="preserve">Default values of the behaviour factors </w:t>
      </w:r>
      <w:r w:rsidRPr="00D1484A">
        <w:rPr>
          <w:i/>
          <w:iCs/>
        </w:rPr>
        <w:t>q</w:t>
      </w:r>
      <w:r w:rsidRPr="007E6F67">
        <w:t xml:space="preserve"> for buildings regular in elevation</w:t>
      </w:r>
      <w:r w:rsidRPr="00FD17CF">
        <w:t xml:space="preserve"> with maximum values of the seismic action index </w:t>
      </w:r>
      <w:r w:rsidRPr="00D80FA8">
        <w:rPr>
          <w:i/>
          <w:iCs/>
        </w:rPr>
        <w:t>S</w:t>
      </w:r>
      <w:r w:rsidRPr="00644C3D">
        <w:rPr>
          <w:vertAlign w:val="subscript"/>
        </w:rPr>
        <w:t>δ</w:t>
      </w:r>
      <w:r w:rsidRPr="00E05E29">
        <w:t xml:space="preserve"> for design in DC1</w:t>
      </w:r>
    </w:p>
    <w:tbl>
      <w:tblPr>
        <w:tblW w:w="10060" w:type="dxa"/>
        <w:tblCellMar>
          <w:left w:w="70" w:type="dxa"/>
          <w:right w:w="70" w:type="dxa"/>
        </w:tblCellMar>
        <w:tblLook w:val="04A0" w:firstRow="1" w:lastRow="0" w:firstColumn="1" w:lastColumn="0" w:noHBand="0" w:noVBand="1"/>
      </w:tblPr>
      <w:tblGrid>
        <w:gridCol w:w="3964"/>
        <w:gridCol w:w="1068"/>
        <w:gridCol w:w="709"/>
        <w:gridCol w:w="631"/>
        <w:gridCol w:w="1309"/>
        <w:gridCol w:w="613"/>
        <w:gridCol w:w="603"/>
        <w:gridCol w:w="586"/>
        <w:gridCol w:w="577"/>
      </w:tblGrid>
      <w:tr w:rsidR="009D12CA" w:rsidRPr="00132C1E" w14:paraId="0417F025" w14:textId="77777777" w:rsidTr="009D12CA">
        <w:trPr>
          <w:trHeight w:val="450"/>
        </w:trPr>
        <w:tc>
          <w:tcPr>
            <w:tcW w:w="396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759C61" w14:textId="77777777" w:rsidR="009D12CA" w:rsidRPr="009D12CA" w:rsidRDefault="009D12CA" w:rsidP="008217FC">
            <w:pPr>
              <w:spacing w:before="40"/>
              <w:jc w:val="center"/>
              <w:rPr>
                <w:rFonts w:asciiTheme="majorHAnsi" w:hAnsiTheme="majorHAnsi"/>
                <w:b/>
                <w:bCs/>
                <w:sz w:val="20"/>
                <w:lang w:eastAsia="ja-JP"/>
              </w:rPr>
            </w:pPr>
            <w:r w:rsidRPr="009D12CA">
              <w:rPr>
                <w:rFonts w:asciiTheme="majorHAnsi" w:hAnsiTheme="majorHAnsi"/>
                <w:b/>
                <w:bCs/>
                <w:sz w:val="20"/>
                <w:lang w:eastAsia="ja-JP"/>
              </w:rPr>
              <w:t>Structural type</w:t>
            </w:r>
          </w:p>
        </w:tc>
        <w:tc>
          <w:tcPr>
            <w:tcW w:w="1068" w:type="dxa"/>
            <w:vMerge w:val="restart"/>
            <w:tcBorders>
              <w:top w:val="single" w:sz="4" w:space="0" w:color="auto"/>
              <w:left w:val="single" w:sz="4" w:space="0" w:color="auto"/>
              <w:right w:val="single" w:sz="4" w:space="0" w:color="auto"/>
            </w:tcBorders>
            <w:shd w:val="clear" w:color="auto" w:fill="auto"/>
            <w:vAlign w:val="center"/>
            <w:hideMark/>
          </w:tcPr>
          <w:p w14:paraId="19FD1992" w14:textId="77777777" w:rsidR="009D12CA" w:rsidRPr="00E05E29" w:rsidRDefault="009D12CA" w:rsidP="008217FC">
            <w:pPr>
              <w:spacing w:before="40"/>
              <w:jc w:val="center"/>
              <w:rPr>
                <w:rFonts w:asciiTheme="majorHAnsi" w:hAnsiTheme="majorHAnsi"/>
                <w:b/>
                <w:color w:val="000000"/>
                <w:sz w:val="20"/>
                <w:lang w:eastAsia="ja-JP"/>
              </w:rPr>
            </w:pPr>
            <w:r w:rsidRPr="00E05E29">
              <w:rPr>
                <w:rFonts w:asciiTheme="majorHAnsi" w:hAnsiTheme="majorHAnsi"/>
                <w:b/>
                <w:color w:val="000000"/>
                <w:sz w:val="20"/>
                <w:lang w:eastAsia="ja-JP"/>
              </w:rPr>
              <w:t xml:space="preserve">Maximum </w:t>
            </w:r>
            <w:r w:rsidRPr="00E05E29">
              <w:rPr>
                <w:rFonts w:asciiTheme="majorHAnsi" w:hAnsiTheme="majorHAnsi"/>
                <w:b/>
                <w:i/>
                <w:color w:val="000000"/>
                <w:sz w:val="20"/>
                <w:lang w:eastAsia="ja-JP"/>
              </w:rPr>
              <w:t>S</w:t>
            </w:r>
            <w:r w:rsidRPr="00E05E29">
              <w:rPr>
                <w:rFonts w:asciiTheme="majorHAnsi" w:hAnsiTheme="majorHAnsi"/>
                <w:b/>
                <w:color w:val="000000"/>
                <w:sz w:val="20"/>
                <w:vertAlign w:val="subscript"/>
                <w:lang w:eastAsia="ja-JP"/>
              </w:rPr>
              <w:t>δ</w:t>
            </w:r>
            <w:r w:rsidRPr="00E05E29">
              <w:rPr>
                <w:rFonts w:asciiTheme="majorHAnsi" w:hAnsiTheme="majorHAnsi"/>
                <w:b/>
                <w:color w:val="000000"/>
                <w:sz w:val="20"/>
                <w:lang w:eastAsia="ja-JP"/>
              </w:rPr>
              <w:t xml:space="preserve"> for design in DC1 [m/s</w:t>
            </w:r>
            <w:r w:rsidRPr="00E05E29">
              <w:rPr>
                <w:rFonts w:asciiTheme="majorHAnsi" w:hAnsiTheme="majorHAnsi"/>
                <w:b/>
                <w:color w:val="000000"/>
                <w:sz w:val="20"/>
                <w:vertAlign w:val="superscript"/>
                <w:lang w:eastAsia="ja-JP"/>
              </w:rPr>
              <w:t>2</w:t>
            </w:r>
            <w:r w:rsidRPr="00E05E29">
              <w:rPr>
                <w:rFonts w:asciiTheme="majorHAnsi" w:hAnsiTheme="majorHAnsi"/>
                <w:b/>
                <w:color w:val="000000"/>
                <w:sz w:val="20"/>
                <w:lang w:eastAsia="ja-JP"/>
              </w:rPr>
              <w:t xml:space="preserve">] </w:t>
            </w:r>
          </w:p>
        </w:tc>
        <w:tc>
          <w:tcPr>
            <w:tcW w:w="5028" w:type="dxa"/>
            <w:gridSpan w:val="7"/>
            <w:tcBorders>
              <w:top w:val="single" w:sz="4" w:space="0" w:color="auto"/>
              <w:left w:val="nil"/>
              <w:bottom w:val="single" w:sz="4" w:space="0" w:color="auto"/>
              <w:right w:val="single" w:sz="4" w:space="0" w:color="auto"/>
            </w:tcBorders>
            <w:shd w:val="clear" w:color="auto" w:fill="auto"/>
            <w:noWrap/>
            <w:vAlign w:val="center"/>
            <w:hideMark/>
          </w:tcPr>
          <w:p w14:paraId="1DCAB1E9" w14:textId="77777777" w:rsidR="009D12CA" w:rsidRPr="00E05E29" w:rsidRDefault="009D12CA" w:rsidP="008217FC">
            <w:pPr>
              <w:spacing w:before="40"/>
              <w:jc w:val="center"/>
              <w:rPr>
                <w:rFonts w:asciiTheme="majorHAnsi" w:hAnsiTheme="majorHAnsi"/>
                <w:b/>
                <w:color w:val="000000"/>
                <w:sz w:val="20"/>
                <w:lang w:eastAsia="ja-JP"/>
              </w:rPr>
            </w:pPr>
            <w:r w:rsidRPr="00E05E29">
              <w:rPr>
                <w:b/>
                <w:sz w:val="20"/>
              </w:rPr>
              <w:t>Ductility class</w:t>
            </w:r>
          </w:p>
        </w:tc>
      </w:tr>
      <w:tr w:rsidR="009D12CA" w:rsidRPr="00132C1E" w14:paraId="12BB78A0" w14:textId="77777777" w:rsidTr="009D12CA">
        <w:trPr>
          <w:trHeight w:val="450"/>
        </w:trPr>
        <w:tc>
          <w:tcPr>
            <w:tcW w:w="3964" w:type="dxa"/>
            <w:vMerge/>
            <w:tcBorders>
              <w:left w:val="single" w:sz="4" w:space="0" w:color="auto"/>
              <w:bottom w:val="single" w:sz="4" w:space="0" w:color="auto"/>
            </w:tcBorders>
            <w:noWrap/>
            <w:vAlign w:val="center"/>
          </w:tcPr>
          <w:p w14:paraId="25646D45" w14:textId="77777777" w:rsidR="009D12CA" w:rsidRPr="009D12CA" w:rsidRDefault="009D12CA" w:rsidP="008217FC">
            <w:pPr>
              <w:spacing w:before="40"/>
              <w:jc w:val="center"/>
              <w:rPr>
                <w:rFonts w:asciiTheme="majorHAnsi" w:hAnsiTheme="majorHAnsi"/>
                <w:b/>
                <w:bCs/>
                <w:sz w:val="20"/>
                <w:lang w:eastAsia="ja-JP"/>
              </w:rPr>
            </w:pPr>
          </w:p>
        </w:tc>
        <w:tc>
          <w:tcPr>
            <w:tcW w:w="1068" w:type="dxa"/>
            <w:vMerge/>
            <w:vAlign w:val="center"/>
          </w:tcPr>
          <w:p w14:paraId="18C0C1E4" w14:textId="77777777" w:rsidR="009D12CA" w:rsidRPr="00132C1E" w:rsidRDefault="009D12CA" w:rsidP="008217FC">
            <w:pPr>
              <w:spacing w:before="40"/>
              <w:jc w:val="center"/>
              <w:rPr>
                <w:rFonts w:asciiTheme="majorHAnsi" w:hAnsiTheme="majorHAnsi"/>
                <w:b/>
                <w:color w:val="000000"/>
                <w:sz w:val="20"/>
                <w:lang w:eastAsia="ja-JP"/>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35DB08CB" w14:textId="77777777" w:rsidR="009D12CA" w:rsidRPr="00132C1E" w:rsidRDefault="009D12CA" w:rsidP="008217FC">
            <w:pPr>
              <w:spacing w:before="40"/>
              <w:jc w:val="center"/>
              <w:rPr>
                <w:rFonts w:asciiTheme="majorHAnsi" w:hAnsiTheme="majorHAnsi"/>
                <w:b/>
                <w:color w:val="000000"/>
                <w:sz w:val="20"/>
                <w:lang w:eastAsia="ja-JP"/>
              </w:rPr>
            </w:pPr>
            <w:r w:rsidRPr="00132C1E">
              <w:rPr>
                <w:rFonts w:asciiTheme="majorHAnsi" w:hAnsiTheme="majorHAnsi"/>
                <w:b/>
                <w:color w:val="000000"/>
                <w:sz w:val="20"/>
                <w:lang w:eastAsia="ja-JP"/>
              </w:rPr>
              <w:t>DC1</w:t>
            </w:r>
          </w:p>
        </w:tc>
        <w:tc>
          <w:tcPr>
            <w:tcW w:w="2553" w:type="dxa"/>
            <w:gridSpan w:val="3"/>
            <w:tcBorders>
              <w:top w:val="single" w:sz="4" w:space="0" w:color="auto"/>
              <w:left w:val="nil"/>
              <w:bottom w:val="single" w:sz="4" w:space="0" w:color="auto"/>
              <w:right w:val="single" w:sz="4" w:space="0" w:color="auto"/>
            </w:tcBorders>
            <w:shd w:val="clear" w:color="auto" w:fill="auto"/>
            <w:vAlign w:val="center"/>
          </w:tcPr>
          <w:p w14:paraId="2EED19BB" w14:textId="77777777" w:rsidR="009D12CA" w:rsidRPr="00132C1E" w:rsidRDefault="009D12CA" w:rsidP="008217FC">
            <w:pPr>
              <w:spacing w:before="40"/>
              <w:jc w:val="center"/>
              <w:rPr>
                <w:rFonts w:asciiTheme="majorHAnsi" w:hAnsiTheme="majorHAnsi"/>
                <w:b/>
                <w:color w:val="000000"/>
                <w:sz w:val="20"/>
                <w:lang w:eastAsia="ja-JP"/>
              </w:rPr>
            </w:pPr>
            <w:r w:rsidRPr="00132C1E">
              <w:rPr>
                <w:rFonts w:asciiTheme="majorHAnsi" w:hAnsiTheme="majorHAnsi"/>
                <w:b/>
                <w:color w:val="000000"/>
                <w:sz w:val="20"/>
                <w:lang w:eastAsia="ja-JP"/>
              </w:rPr>
              <w:t>DC2</w:t>
            </w:r>
          </w:p>
        </w:tc>
        <w:tc>
          <w:tcPr>
            <w:tcW w:w="1766" w:type="dxa"/>
            <w:gridSpan w:val="3"/>
            <w:tcBorders>
              <w:top w:val="single" w:sz="4" w:space="0" w:color="auto"/>
              <w:left w:val="nil"/>
              <w:bottom w:val="single" w:sz="4" w:space="0" w:color="auto"/>
              <w:right w:val="single" w:sz="4" w:space="0" w:color="auto"/>
            </w:tcBorders>
            <w:shd w:val="clear" w:color="auto" w:fill="auto"/>
            <w:vAlign w:val="center"/>
          </w:tcPr>
          <w:p w14:paraId="5900E76F" w14:textId="77777777" w:rsidR="009D12CA" w:rsidRPr="00132C1E" w:rsidRDefault="009D12CA" w:rsidP="008217FC">
            <w:pPr>
              <w:spacing w:before="40"/>
              <w:jc w:val="center"/>
              <w:rPr>
                <w:rFonts w:asciiTheme="majorHAnsi" w:hAnsiTheme="majorHAnsi"/>
                <w:b/>
                <w:color w:val="000000"/>
                <w:sz w:val="20"/>
                <w:lang w:eastAsia="ja-JP"/>
              </w:rPr>
            </w:pPr>
            <w:r w:rsidRPr="00132C1E">
              <w:rPr>
                <w:rFonts w:asciiTheme="majorHAnsi" w:hAnsiTheme="majorHAnsi"/>
                <w:b/>
                <w:color w:val="000000"/>
                <w:sz w:val="20"/>
                <w:lang w:eastAsia="ja-JP"/>
              </w:rPr>
              <w:t>DC3</w:t>
            </w:r>
          </w:p>
        </w:tc>
      </w:tr>
      <w:tr w:rsidR="009D12CA" w:rsidRPr="00132C1E" w14:paraId="218A7814" w14:textId="77777777" w:rsidTr="009D12CA">
        <w:trPr>
          <w:trHeight w:val="300"/>
        </w:trPr>
        <w:tc>
          <w:tcPr>
            <w:tcW w:w="3964" w:type="dxa"/>
            <w:vMerge/>
            <w:tcBorders>
              <w:left w:val="single" w:sz="4" w:space="0" w:color="auto"/>
              <w:bottom w:val="single" w:sz="4" w:space="0" w:color="auto"/>
            </w:tcBorders>
            <w:vAlign w:val="center"/>
            <w:hideMark/>
          </w:tcPr>
          <w:p w14:paraId="3D0F49CC" w14:textId="77777777" w:rsidR="009D12CA" w:rsidRPr="009D12CA" w:rsidRDefault="009D12CA" w:rsidP="008217FC">
            <w:pPr>
              <w:spacing w:before="40"/>
              <w:rPr>
                <w:b/>
                <w:bCs/>
                <w:sz w:val="18"/>
                <w:szCs w:val="18"/>
                <w:lang w:eastAsia="ja-JP"/>
              </w:rPr>
            </w:pPr>
          </w:p>
        </w:tc>
        <w:tc>
          <w:tcPr>
            <w:tcW w:w="1068" w:type="dxa"/>
            <w:vMerge/>
            <w:vAlign w:val="center"/>
            <w:hideMark/>
          </w:tcPr>
          <w:p w14:paraId="0E8EEF61" w14:textId="77777777" w:rsidR="009D12CA" w:rsidRPr="00132C1E" w:rsidRDefault="009D12CA" w:rsidP="008217FC">
            <w:pPr>
              <w:spacing w:before="40"/>
              <w:rPr>
                <w:color w:val="000000"/>
                <w:lang w:eastAsia="ja-JP"/>
              </w:rPr>
            </w:pPr>
          </w:p>
        </w:tc>
        <w:tc>
          <w:tcPr>
            <w:tcW w:w="709" w:type="dxa"/>
            <w:tcBorders>
              <w:top w:val="nil"/>
              <w:left w:val="nil"/>
              <w:bottom w:val="nil"/>
              <w:right w:val="single" w:sz="4" w:space="0" w:color="auto"/>
            </w:tcBorders>
            <w:shd w:val="clear" w:color="auto" w:fill="auto"/>
            <w:vAlign w:val="center"/>
            <w:hideMark/>
          </w:tcPr>
          <w:p w14:paraId="1C820EAB" w14:textId="77777777" w:rsidR="009D12CA" w:rsidRPr="00132C1E" w:rsidRDefault="009D12CA" w:rsidP="008217FC">
            <w:pPr>
              <w:spacing w:before="40"/>
              <w:jc w:val="center"/>
              <w:rPr>
                <w:rFonts w:cs="Calibri"/>
                <w:b/>
                <w:bCs/>
                <w:i/>
                <w:iCs/>
                <w:color w:val="000000"/>
                <w:sz w:val="20"/>
                <w:lang w:eastAsia="ja-JP"/>
              </w:rPr>
            </w:pPr>
            <w:r w:rsidRPr="00132C1E">
              <w:rPr>
                <w:rFonts w:cs="Calibri"/>
                <w:b/>
                <w:bCs/>
                <w:i/>
                <w:iCs/>
                <w:color w:val="000000"/>
                <w:sz w:val="20"/>
                <w:lang w:eastAsia="ja-JP"/>
              </w:rPr>
              <w:t>q</w:t>
            </w:r>
          </w:p>
        </w:tc>
        <w:tc>
          <w:tcPr>
            <w:tcW w:w="631" w:type="dxa"/>
            <w:tcBorders>
              <w:top w:val="nil"/>
              <w:left w:val="nil"/>
              <w:bottom w:val="nil"/>
              <w:right w:val="single" w:sz="4" w:space="0" w:color="auto"/>
            </w:tcBorders>
            <w:shd w:val="clear" w:color="auto" w:fill="auto"/>
            <w:vAlign w:val="center"/>
            <w:hideMark/>
          </w:tcPr>
          <w:p w14:paraId="447972F7" w14:textId="77777777" w:rsidR="009D12CA" w:rsidRPr="00132C1E" w:rsidRDefault="009D12CA" w:rsidP="008217FC">
            <w:pPr>
              <w:spacing w:before="40"/>
              <w:jc w:val="center"/>
              <w:rPr>
                <w:rFonts w:cs="Calibri"/>
                <w:b/>
                <w:bCs/>
                <w:i/>
                <w:iCs/>
                <w:color w:val="000000"/>
                <w:sz w:val="20"/>
                <w:lang w:eastAsia="ja-JP"/>
              </w:rPr>
            </w:pPr>
            <w:r w:rsidRPr="00132C1E">
              <w:rPr>
                <w:rFonts w:cs="Calibri"/>
                <w:b/>
                <w:bCs/>
                <w:i/>
                <w:iCs/>
                <w:color w:val="000000"/>
                <w:sz w:val="20"/>
                <w:lang w:eastAsia="ja-JP"/>
              </w:rPr>
              <w:t>q</w:t>
            </w:r>
            <w:r w:rsidRPr="00132C1E">
              <w:rPr>
                <w:rFonts w:cs="Calibri"/>
                <w:b/>
                <w:bCs/>
                <w:color w:val="000000"/>
                <w:sz w:val="20"/>
                <w:vertAlign w:val="subscript"/>
                <w:lang w:eastAsia="ja-JP"/>
              </w:rPr>
              <w:t>D</w:t>
            </w:r>
          </w:p>
        </w:tc>
        <w:tc>
          <w:tcPr>
            <w:tcW w:w="1309" w:type="dxa"/>
            <w:tcBorders>
              <w:top w:val="nil"/>
              <w:left w:val="nil"/>
              <w:bottom w:val="nil"/>
              <w:right w:val="single" w:sz="4" w:space="0" w:color="auto"/>
            </w:tcBorders>
            <w:shd w:val="clear" w:color="auto" w:fill="auto"/>
            <w:vAlign w:val="center"/>
            <w:hideMark/>
          </w:tcPr>
          <w:p w14:paraId="023C3418" w14:textId="77777777" w:rsidR="009D12CA" w:rsidRPr="00132C1E" w:rsidRDefault="009D12CA" w:rsidP="008217FC">
            <w:pPr>
              <w:spacing w:before="40"/>
              <w:jc w:val="center"/>
              <w:rPr>
                <w:rFonts w:cs="Calibri"/>
                <w:b/>
                <w:bCs/>
                <w:i/>
                <w:iCs/>
                <w:color w:val="000000"/>
                <w:sz w:val="20"/>
                <w:lang w:eastAsia="ja-JP"/>
              </w:rPr>
            </w:pPr>
            <w:r w:rsidRPr="00132C1E">
              <w:rPr>
                <w:rFonts w:cs="Calibri"/>
                <w:b/>
                <w:bCs/>
                <w:i/>
                <w:iCs/>
                <w:color w:val="000000"/>
                <w:sz w:val="20"/>
                <w:lang w:eastAsia="ja-JP"/>
              </w:rPr>
              <w:t>q</w:t>
            </w:r>
            <w:r w:rsidRPr="00132C1E">
              <w:rPr>
                <w:rFonts w:cs="Calibri"/>
                <w:b/>
                <w:bCs/>
                <w:color w:val="000000"/>
                <w:sz w:val="20"/>
                <w:vertAlign w:val="subscript"/>
                <w:lang w:eastAsia="ja-JP"/>
              </w:rPr>
              <w:t>R</w:t>
            </w:r>
          </w:p>
        </w:tc>
        <w:tc>
          <w:tcPr>
            <w:tcW w:w="613" w:type="dxa"/>
            <w:tcBorders>
              <w:top w:val="nil"/>
              <w:left w:val="nil"/>
              <w:bottom w:val="nil"/>
              <w:right w:val="single" w:sz="4" w:space="0" w:color="auto"/>
            </w:tcBorders>
            <w:shd w:val="clear" w:color="auto" w:fill="auto"/>
            <w:vAlign w:val="center"/>
            <w:hideMark/>
          </w:tcPr>
          <w:p w14:paraId="5AA71F56" w14:textId="77777777" w:rsidR="009D12CA" w:rsidRPr="00132C1E" w:rsidRDefault="009D12CA" w:rsidP="008217FC">
            <w:pPr>
              <w:spacing w:before="40"/>
              <w:jc w:val="center"/>
              <w:rPr>
                <w:rFonts w:cs="Calibri"/>
                <w:b/>
                <w:bCs/>
                <w:i/>
                <w:iCs/>
                <w:color w:val="000000"/>
                <w:sz w:val="20"/>
                <w:lang w:eastAsia="ja-JP"/>
              </w:rPr>
            </w:pPr>
            <w:r w:rsidRPr="00132C1E">
              <w:rPr>
                <w:rFonts w:cs="Calibri"/>
                <w:b/>
                <w:bCs/>
                <w:i/>
                <w:iCs/>
                <w:color w:val="000000"/>
                <w:sz w:val="20"/>
                <w:lang w:eastAsia="ja-JP"/>
              </w:rPr>
              <w:t>q</w:t>
            </w:r>
          </w:p>
        </w:tc>
        <w:tc>
          <w:tcPr>
            <w:tcW w:w="603" w:type="dxa"/>
            <w:tcBorders>
              <w:top w:val="nil"/>
              <w:left w:val="nil"/>
              <w:bottom w:val="nil"/>
              <w:right w:val="single" w:sz="4" w:space="0" w:color="auto"/>
            </w:tcBorders>
            <w:shd w:val="clear" w:color="auto" w:fill="auto"/>
            <w:vAlign w:val="center"/>
            <w:hideMark/>
          </w:tcPr>
          <w:p w14:paraId="5869FCEF" w14:textId="77777777" w:rsidR="009D12CA" w:rsidRPr="00132C1E" w:rsidRDefault="009D12CA" w:rsidP="008217FC">
            <w:pPr>
              <w:spacing w:before="40"/>
              <w:jc w:val="center"/>
              <w:rPr>
                <w:rFonts w:cs="Calibri"/>
                <w:b/>
                <w:bCs/>
                <w:i/>
                <w:iCs/>
                <w:color w:val="000000"/>
                <w:sz w:val="20"/>
                <w:lang w:eastAsia="ja-JP"/>
              </w:rPr>
            </w:pPr>
            <w:r w:rsidRPr="00132C1E">
              <w:rPr>
                <w:rFonts w:cs="Calibri"/>
                <w:b/>
                <w:bCs/>
                <w:i/>
                <w:iCs/>
                <w:color w:val="000000"/>
                <w:sz w:val="20"/>
                <w:lang w:eastAsia="ja-JP"/>
              </w:rPr>
              <w:t>q</w:t>
            </w:r>
            <w:r w:rsidRPr="00132C1E">
              <w:rPr>
                <w:rFonts w:cs="Calibri"/>
                <w:b/>
                <w:bCs/>
                <w:color w:val="000000"/>
                <w:sz w:val="20"/>
                <w:vertAlign w:val="subscript"/>
                <w:lang w:eastAsia="ja-JP"/>
              </w:rPr>
              <w:t>D</w:t>
            </w:r>
          </w:p>
        </w:tc>
        <w:tc>
          <w:tcPr>
            <w:tcW w:w="586" w:type="dxa"/>
            <w:tcBorders>
              <w:top w:val="nil"/>
              <w:left w:val="nil"/>
              <w:bottom w:val="nil"/>
              <w:right w:val="single" w:sz="4" w:space="0" w:color="auto"/>
            </w:tcBorders>
            <w:shd w:val="clear" w:color="auto" w:fill="auto"/>
            <w:vAlign w:val="center"/>
            <w:hideMark/>
          </w:tcPr>
          <w:p w14:paraId="751953BC" w14:textId="77777777" w:rsidR="009D12CA" w:rsidRPr="00132C1E" w:rsidRDefault="009D12CA" w:rsidP="008217FC">
            <w:pPr>
              <w:spacing w:before="40"/>
              <w:jc w:val="center"/>
              <w:rPr>
                <w:rFonts w:cs="Calibri"/>
                <w:b/>
                <w:bCs/>
                <w:i/>
                <w:iCs/>
                <w:color w:val="000000"/>
                <w:sz w:val="20"/>
                <w:lang w:eastAsia="ja-JP"/>
              </w:rPr>
            </w:pPr>
            <w:r w:rsidRPr="00132C1E">
              <w:rPr>
                <w:rFonts w:cs="Calibri"/>
                <w:b/>
                <w:bCs/>
                <w:i/>
                <w:iCs/>
                <w:color w:val="000000"/>
                <w:sz w:val="20"/>
                <w:lang w:eastAsia="ja-JP"/>
              </w:rPr>
              <w:t>q</w:t>
            </w:r>
            <w:r w:rsidRPr="00132C1E">
              <w:rPr>
                <w:rFonts w:cs="Calibri"/>
                <w:b/>
                <w:bCs/>
                <w:color w:val="000000"/>
                <w:sz w:val="20"/>
                <w:vertAlign w:val="subscript"/>
                <w:lang w:eastAsia="ja-JP"/>
              </w:rPr>
              <w:t>R</w:t>
            </w:r>
          </w:p>
        </w:tc>
        <w:tc>
          <w:tcPr>
            <w:tcW w:w="577" w:type="dxa"/>
            <w:tcBorders>
              <w:top w:val="nil"/>
              <w:left w:val="nil"/>
              <w:bottom w:val="nil"/>
              <w:right w:val="single" w:sz="4" w:space="0" w:color="auto"/>
            </w:tcBorders>
            <w:shd w:val="clear" w:color="auto" w:fill="auto"/>
            <w:vAlign w:val="center"/>
            <w:hideMark/>
          </w:tcPr>
          <w:p w14:paraId="67AE3740" w14:textId="77777777" w:rsidR="009D12CA" w:rsidRPr="00132C1E" w:rsidRDefault="009D12CA" w:rsidP="008217FC">
            <w:pPr>
              <w:spacing w:before="40"/>
              <w:jc w:val="center"/>
              <w:rPr>
                <w:rFonts w:cs="Calibri"/>
                <w:b/>
                <w:bCs/>
                <w:i/>
                <w:iCs/>
                <w:color w:val="000000"/>
                <w:sz w:val="20"/>
                <w:lang w:eastAsia="ja-JP"/>
              </w:rPr>
            </w:pPr>
            <w:r w:rsidRPr="00132C1E">
              <w:rPr>
                <w:rFonts w:cs="Calibri"/>
                <w:b/>
                <w:bCs/>
                <w:i/>
                <w:iCs/>
                <w:color w:val="000000"/>
                <w:sz w:val="20"/>
                <w:lang w:eastAsia="ja-JP"/>
              </w:rPr>
              <w:t>q</w:t>
            </w:r>
          </w:p>
        </w:tc>
      </w:tr>
      <w:tr w:rsidR="009D12CA" w:rsidRPr="00132C1E" w14:paraId="21C5F620" w14:textId="77777777" w:rsidTr="009D12CA">
        <w:trPr>
          <w:trHeight w:val="300"/>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2D6B56" w14:textId="77777777" w:rsidR="009D12CA" w:rsidRPr="009D12CA" w:rsidRDefault="009D12CA" w:rsidP="008217FC">
            <w:pPr>
              <w:spacing w:before="40"/>
              <w:rPr>
                <w:rFonts w:asciiTheme="majorHAnsi" w:hAnsiTheme="majorHAnsi" w:cs="Calibri"/>
                <w:sz w:val="20"/>
                <w:lang w:eastAsia="ja-JP"/>
              </w:rPr>
            </w:pPr>
            <w:r w:rsidRPr="009D12CA">
              <w:rPr>
                <w:rFonts w:asciiTheme="majorHAnsi" w:hAnsiTheme="majorHAnsi" w:cs="Calibri"/>
                <w:sz w:val="20"/>
                <w:lang w:eastAsia="ja-JP"/>
              </w:rPr>
              <w:t>a)</w:t>
            </w:r>
            <w:r w:rsidRPr="009D12CA">
              <w:rPr>
                <w:rFonts w:asciiTheme="majorHAnsi" w:hAnsiTheme="majorHAnsi" w:cs="Calibri"/>
                <w:sz w:val="20"/>
                <w:lang w:eastAsia="ja-JP"/>
              </w:rPr>
              <w:tab/>
              <w:t>Cross laminated timber (CLT) structures</w:t>
            </w:r>
          </w:p>
        </w:tc>
        <w:tc>
          <w:tcPr>
            <w:tcW w:w="1068" w:type="dxa"/>
            <w:tcBorders>
              <w:top w:val="single" w:sz="4" w:space="0" w:color="auto"/>
              <w:left w:val="nil"/>
              <w:bottom w:val="single" w:sz="4" w:space="0" w:color="auto"/>
              <w:right w:val="single" w:sz="4" w:space="0" w:color="auto"/>
            </w:tcBorders>
            <w:shd w:val="clear" w:color="auto" w:fill="auto"/>
            <w:vAlign w:val="center"/>
            <w:hideMark/>
          </w:tcPr>
          <w:p w14:paraId="617B9470" w14:textId="77777777" w:rsidR="009D12CA" w:rsidRPr="00FD17CF" w:rsidRDefault="009D12CA" w:rsidP="008217FC">
            <w:pPr>
              <w:spacing w:before="40"/>
              <w:jc w:val="center"/>
              <w:rPr>
                <w:color w:val="000000"/>
                <w:sz w:val="20"/>
                <w:lang w:eastAsia="ja-JP"/>
              </w:rPr>
            </w:pPr>
            <w:r w:rsidRPr="007E6F67">
              <w:rPr>
                <w:color w:val="000000"/>
                <w:sz w:val="20"/>
                <w:lang w:eastAsia="ja-JP"/>
              </w:rPr>
              <w:t>4,0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5CFA707E" w14:textId="77777777" w:rsidR="009D12CA" w:rsidRPr="00C92028" w:rsidRDefault="009D12CA" w:rsidP="008217FC">
            <w:pPr>
              <w:spacing w:before="40"/>
              <w:jc w:val="center"/>
              <w:rPr>
                <w:sz w:val="20"/>
                <w:lang w:eastAsia="ja-JP"/>
              </w:rPr>
            </w:pPr>
            <w:r w:rsidRPr="00C92028">
              <w:rPr>
                <w:sz w:val="20"/>
                <w:lang w:eastAsia="ja-JP"/>
              </w:rPr>
              <w:t>1,5</w:t>
            </w:r>
          </w:p>
        </w:tc>
        <w:tc>
          <w:tcPr>
            <w:tcW w:w="631" w:type="dxa"/>
            <w:tcBorders>
              <w:top w:val="single" w:sz="4" w:space="0" w:color="auto"/>
              <w:left w:val="nil"/>
              <w:bottom w:val="single" w:sz="4" w:space="0" w:color="auto"/>
              <w:right w:val="single" w:sz="4" w:space="0" w:color="auto"/>
            </w:tcBorders>
            <w:shd w:val="clear" w:color="auto" w:fill="auto"/>
            <w:vAlign w:val="center"/>
            <w:hideMark/>
          </w:tcPr>
          <w:p w14:paraId="0EBA6985" w14:textId="77777777" w:rsidR="009D12CA" w:rsidRPr="00C92028" w:rsidRDefault="009D12CA" w:rsidP="008217FC">
            <w:pPr>
              <w:spacing w:before="40"/>
              <w:jc w:val="center"/>
              <w:rPr>
                <w:sz w:val="20"/>
                <w:lang w:eastAsia="ja-JP"/>
              </w:rPr>
            </w:pPr>
            <w:r w:rsidRPr="00C92028">
              <w:rPr>
                <w:sz w:val="20"/>
                <w:lang w:eastAsia="ja-JP"/>
              </w:rPr>
              <w:t>1,2</w:t>
            </w:r>
          </w:p>
        </w:tc>
        <w:tc>
          <w:tcPr>
            <w:tcW w:w="1309" w:type="dxa"/>
            <w:tcBorders>
              <w:top w:val="single" w:sz="4" w:space="0" w:color="auto"/>
              <w:left w:val="nil"/>
              <w:bottom w:val="single" w:sz="4" w:space="0" w:color="auto"/>
              <w:right w:val="single" w:sz="4" w:space="0" w:color="auto"/>
            </w:tcBorders>
            <w:shd w:val="clear" w:color="auto" w:fill="auto"/>
            <w:vAlign w:val="center"/>
            <w:hideMark/>
          </w:tcPr>
          <w:p w14:paraId="206EBB55" w14:textId="77777777" w:rsidR="009D12CA" w:rsidRPr="00C92028" w:rsidRDefault="009D12CA" w:rsidP="008217FC">
            <w:pPr>
              <w:spacing w:before="40"/>
              <w:jc w:val="center"/>
              <w:rPr>
                <w:sz w:val="20"/>
                <w:lang w:eastAsia="ja-JP"/>
              </w:rPr>
            </w:pPr>
            <w:r w:rsidRPr="00C92028">
              <w:rPr>
                <w:sz w:val="20"/>
                <w:lang w:eastAsia="ja-JP"/>
              </w:rPr>
              <w:t>1,3</w:t>
            </w:r>
          </w:p>
        </w:tc>
        <w:tc>
          <w:tcPr>
            <w:tcW w:w="613" w:type="dxa"/>
            <w:tcBorders>
              <w:top w:val="single" w:sz="4" w:space="0" w:color="auto"/>
              <w:left w:val="nil"/>
              <w:bottom w:val="single" w:sz="4" w:space="0" w:color="auto"/>
              <w:right w:val="single" w:sz="4" w:space="0" w:color="auto"/>
            </w:tcBorders>
            <w:shd w:val="clear" w:color="auto" w:fill="auto"/>
            <w:vAlign w:val="center"/>
            <w:hideMark/>
          </w:tcPr>
          <w:p w14:paraId="53155F34" w14:textId="77777777" w:rsidR="009D12CA" w:rsidRPr="00C92028" w:rsidRDefault="009D12CA" w:rsidP="008217FC">
            <w:pPr>
              <w:spacing w:before="40"/>
              <w:jc w:val="center"/>
              <w:rPr>
                <w:sz w:val="20"/>
                <w:lang w:eastAsia="ja-JP"/>
              </w:rPr>
            </w:pPr>
            <w:r w:rsidRPr="00C92028">
              <w:rPr>
                <w:sz w:val="20"/>
                <w:lang w:eastAsia="ja-JP"/>
              </w:rPr>
              <w:t>2,3</w:t>
            </w:r>
          </w:p>
        </w:tc>
        <w:tc>
          <w:tcPr>
            <w:tcW w:w="603" w:type="dxa"/>
            <w:tcBorders>
              <w:top w:val="single" w:sz="4" w:space="0" w:color="auto"/>
              <w:left w:val="nil"/>
              <w:bottom w:val="single" w:sz="4" w:space="0" w:color="auto"/>
              <w:right w:val="single" w:sz="4" w:space="0" w:color="auto"/>
            </w:tcBorders>
            <w:shd w:val="clear" w:color="auto" w:fill="auto"/>
            <w:vAlign w:val="center"/>
            <w:hideMark/>
          </w:tcPr>
          <w:p w14:paraId="75F237FC" w14:textId="77777777" w:rsidR="009D12CA" w:rsidRPr="00C92028" w:rsidRDefault="009D12CA" w:rsidP="008217FC">
            <w:pPr>
              <w:spacing w:before="40"/>
              <w:jc w:val="center"/>
              <w:rPr>
                <w:sz w:val="20"/>
                <w:lang w:eastAsia="ja-JP"/>
              </w:rPr>
            </w:pPr>
            <w:r w:rsidRPr="00C92028">
              <w:rPr>
                <w:sz w:val="20"/>
                <w:lang w:eastAsia="ja-JP"/>
              </w:rPr>
              <w:t>1,4</w:t>
            </w:r>
          </w:p>
        </w:tc>
        <w:tc>
          <w:tcPr>
            <w:tcW w:w="586" w:type="dxa"/>
            <w:tcBorders>
              <w:top w:val="single" w:sz="4" w:space="0" w:color="auto"/>
              <w:left w:val="nil"/>
              <w:bottom w:val="single" w:sz="4" w:space="0" w:color="auto"/>
              <w:right w:val="single" w:sz="4" w:space="0" w:color="auto"/>
            </w:tcBorders>
            <w:shd w:val="clear" w:color="auto" w:fill="auto"/>
            <w:vAlign w:val="center"/>
            <w:hideMark/>
          </w:tcPr>
          <w:p w14:paraId="685AC68A" w14:textId="77777777" w:rsidR="009D12CA" w:rsidRPr="00C92028" w:rsidRDefault="009D12CA" w:rsidP="008217FC">
            <w:pPr>
              <w:spacing w:before="40"/>
              <w:jc w:val="center"/>
              <w:rPr>
                <w:sz w:val="20"/>
                <w:lang w:eastAsia="ja-JP"/>
              </w:rPr>
            </w:pPr>
            <w:r w:rsidRPr="00C92028">
              <w:rPr>
                <w:sz w:val="20"/>
                <w:lang w:eastAsia="ja-JP"/>
              </w:rPr>
              <w:t>1,5</w:t>
            </w:r>
          </w:p>
        </w:tc>
        <w:tc>
          <w:tcPr>
            <w:tcW w:w="577" w:type="dxa"/>
            <w:tcBorders>
              <w:top w:val="single" w:sz="4" w:space="0" w:color="auto"/>
              <w:left w:val="nil"/>
              <w:bottom w:val="single" w:sz="4" w:space="0" w:color="auto"/>
              <w:right w:val="single" w:sz="4" w:space="0" w:color="auto"/>
            </w:tcBorders>
            <w:shd w:val="clear" w:color="auto" w:fill="auto"/>
            <w:vAlign w:val="center"/>
            <w:hideMark/>
          </w:tcPr>
          <w:p w14:paraId="7D7F900B" w14:textId="77777777" w:rsidR="009D12CA" w:rsidRPr="00C92028" w:rsidRDefault="009D12CA" w:rsidP="008217FC">
            <w:pPr>
              <w:spacing w:before="40"/>
              <w:jc w:val="center"/>
              <w:rPr>
                <w:sz w:val="20"/>
                <w:lang w:eastAsia="ja-JP"/>
              </w:rPr>
            </w:pPr>
            <w:r w:rsidRPr="00C92028">
              <w:rPr>
                <w:sz w:val="20"/>
                <w:lang w:eastAsia="ja-JP"/>
              </w:rPr>
              <w:t>3,2</w:t>
            </w:r>
          </w:p>
        </w:tc>
      </w:tr>
      <w:tr w:rsidR="009D12CA" w:rsidRPr="009B221D" w14:paraId="42FFA4A9" w14:textId="77777777" w:rsidTr="002061E5">
        <w:trPr>
          <w:trHeight w:val="300"/>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7FF47B" w14:textId="66449934" w:rsidR="009D12CA" w:rsidRPr="009D12CA" w:rsidRDefault="009D12CA" w:rsidP="008217FC">
            <w:pPr>
              <w:pStyle w:val="ListNumber"/>
              <w:numPr>
                <w:ilvl w:val="0"/>
                <w:numId w:val="0"/>
              </w:numPr>
              <w:spacing w:before="40" w:after="0" w:line="240" w:lineRule="auto"/>
              <w:jc w:val="left"/>
              <w:rPr>
                <w:rFonts w:eastAsia="Times New Roman" w:cs="Calibri"/>
                <w:sz w:val="20"/>
                <w:lang w:eastAsia="ja-JP"/>
              </w:rPr>
            </w:pPr>
            <w:r w:rsidRPr="009D12CA">
              <w:rPr>
                <w:rFonts w:eastAsia="Times New Roman" w:cs="Calibri"/>
                <w:sz w:val="20"/>
                <w:lang w:eastAsia="ja-JP"/>
              </w:rPr>
              <w:t>b)</w:t>
            </w:r>
            <w:r w:rsidRPr="009D12CA">
              <w:rPr>
                <w:rFonts w:eastAsia="Times New Roman" w:cs="Calibri"/>
                <w:sz w:val="20"/>
                <w:lang w:eastAsia="ja-JP"/>
              </w:rPr>
              <w:tab/>
              <w:t>Framed wall structures</w:t>
            </w: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41D2D7C5" w14:textId="77777777" w:rsidR="009D12CA" w:rsidRPr="00D1484A" w:rsidRDefault="009D12CA" w:rsidP="008217FC">
            <w:pPr>
              <w:spacing w:before="40"/>
              <w:jc w:val="center"/>
              <w:rPr>
                <w:color w:val="000000"/>
                <w:sz w:val="20"/>
                <w:lang w:eastAsia="ja-JP"/>
              </w:rPr>
            </w:pPr>
            <w:r w:rsidRPr="00D1484A">
              <w:rPr>
                <w:color w:val="000000"/>
                <w:sz w:val="20"/>
                <w:lang w:eastAsia="ja-JP"/>
              </w:rPr>
              <w:t> </w:t>
            </w:r>
          </w:p>
        </w:tc>
        <w:tc>
          <w:tcPr>
            <w:tcW w:w="709" w:type="dxa"/>
            <w:tcBorders>
              <w:top w:val="nil"/>
              <w:left w:val="nil"/>
              <w:bottom w:val="single" w:sz="4" w:space="0" w:color="auto"/>
              <w:right w:val="single" w:sz="4" w:space="0" w:color="auto"/>
            </w:tcBorders>
            <w:shd w:val="clear" w:color="auto" w:fill="auto"/>
            <w:vAlign w:val="center"/>
            <w:hideMark/>
          </w:tcPr>
          <w:p w14:paraId="50AC662D" w14:textId="77777777" w:rsidR="009D12CA" w:rsidRPr="00FD17CF" w:rsidRDefault="009D12CA" w:rsidP="008217FC">
            <w:pPr>
              <w:spacing w:before="40"/>
              <w:jc w:val="center"/>
              <w:rPr>
                <w:color w:val="000000"/>
                <w:sz w:val="20"/>
                <w:lang w:eastAsia="ja-JP"/>
              </w:rPr>
            </w:pPr>
            <w:r w:rsidRPr="007E6F67">
              <w:rPr>
                <w:color w:val="000000"/>
                <w:sz w:val="20"/>
                <w:lang w:eastAsia="ja-JP"/>
              </w:rPr>
              <w:t> </w:t>
            </w:r>
          </w:p>
        </w:tc>
        <w:tc>
          <w:tcPr>
            <w:tcW w:w="631" w:type="dxa"/>
            <w:tcBorders>
              <w:top w:val="nil"/>
              <w:left w:val="nil"/>
              <w:bottom w:val="single" w:sz="4" w:space="0" w:color="auto"/>
              <w:right w:val="single" w:sz="4" w:space="0" w:color="auto"/>
            </w:tcBorders>
            <w:shd w:val="clear" w:color="auto" w:fill="auto"/>
            <w:vAlign w:val="center"/>
            <w:hideMark/>
          </w:tcPr>
          <w:p w14:paraId="00D89C60" w14:textId="77777777" w:rsidR="009D12CA" w:rsidRPr="00E05E29" w:rsidRDefault="009D12CA" w:rsidP="008217FC">
            <w:pPr>
              <w:spacing w:before="40"/>
              <w:jc w:val="center"/>
              <w:rPr>
                <w:color w:val="000000"/>
                <w:sz w:val="20"/>
                <w:lang w:eastAsia="ja-JP"/>
              </w:rPr>
            </w:pPr>
            <w:r w:rsidRPr="00644C3D">
              <w:rPr>
                <w:color w:val="000000"/>
                <w:sz w:val="20"/>
                <w:lang w:eastAsia="ja-JP"/>
              </w:rPr>
              <w:t> </w:t>
            </w:r>
          </w:p>
        </w:tc>
        <w:tc>
          <w:tcPr>
            <w:tcW w:w="1309" w:type="dxa"/>
            <w:tcBorders>
              <w:top w:val="nil"/>
              <w:left w:val="nil"/>
              <w:bottom w:val="single" w:sz="4" w:space="0" w:color="auto"/>
              <w:right w:val="single" w:sz="4" w:space="0" w:color="auto"/>
            </w:tcBorders>
            <w:shd w:val="clear" w:color="auto" w:fill="auto"/>
            <w:vAlign w:val="center"/>
            <w:hideMark/>
          </w:tcPr>
          <w:p w14:paraId="10F3C20E" w14:textId="77777777" w:rsidR="009D12CA" w:rsidRPr="002144A0" w:rsidRDefault="009D12CA" w:rsidP="008217FC">
            <w:pPr>
              <w:spacing w:before="40"/>
              <w:jc w:val="center"/>
              <w:rPr>
                <w:color w:val="000000"/>
                <w:sz w:val="20"/>
                <w:lang w:eastAsia="ja-JP"/>
              </w:rPr>
            </w:pPr>
            <w:r w:rsidRPr="00196951">
              <w:rPr>
                <w:color w:val="000000"/>
                <w:sz w:val="20"/>
                <w:lang w:eastAsia="ja-JP"/>
              </w:rPr>
              <w:t> </w:t>
            </w:r>
          </w:p>
        </w:tc>
        <w:tc>
          <w:tcPr>
            <w:tcW w:w="613" w:type="dxa"/>
            <w:tcBorders>
              <w:top w:val="nil"/>
              <w:left w:val="nil"/>
              <w:bottom w:val="single" w:sz="4" w:space="0" w:color="auto"/>
              <w:right w:val="single" w:sz="4" w:space="0" w:color="auto"/>
            </w:tcBorders>
            <w:shd w:val="clear" w:color="auto" w:fill="auto"/>
            <w:vAlign w:val="center"/>
            <w:hideMark/>
          </w:tcPr>
          <w:p w14:paraId="726848E2" w14:textId="77777777" w:rsidR="009D12CA" w:rsidRPr="002144A0" w:rsidRDefault="009D12CA" w:rsidP="008217FC">
            <w:pPr>
              <w:spacing w:before="40"/>
              <w:jc w:val="center"/>
              <w:rPr>
                <w:color w:val="000000"/>
                <w:sz w:val="20"/>
                <w:lang w:eastAsia="ja-JP"/>
              </w:rPr>
            </w:pPr>
            <w:r w:rsidRPr="002144A0">
              <w:rPr>
                <w:color w:val="000000"/>
                <w:sz w:val="20"/>
                <w:lang w:eastAsia="ja-JP"/>
              </w:rPr>
              <w:t> </w:t>
            </w:r>
          </w:p>
        </w:tc>
        <w:tc>
          <w:tcPr>
            <w:tcW w:w="603" w:type="dxa"/>
            <w:tcBorders>
              <w:top w:val="nil"/>
              <w:left w:val="nil"/>
              <w:bottom w:val="single" w:sz="4" w:space="0" w:color="auto"/>
              <w:right w:val="single" w:sz="4" w:space="0" w:color="auto"/>
            </w:tcBorders>
            <w:shd w:val="clear" w:color="auto" w:fill="auto"/>
            <w:vAlign w:val="center"/>
            <w:hideMark/>
          </w:tcPr>
          <w:p w14:paraId="25C0FB7B" w14:textId="77777777" w:rsidR="009D12CA" w:rsidRPr="002144A0" w:rsidRDefault="009D12CA" w:rsidP="008217FC">
            <w:pPr>
              <w:spacing w:before="40"/>
              <w:jc w:val="center"/>
              <w:rPr>
                <w:color w:val="000000"/>
                <w:sz w:val="20"/>
                <w:lang w:eastAsia="ja-JP"/>
              </w:rPr>
            </w:pPr>
            <w:r w:rsidRPr="002144A0">
              <w:rPr>
                <w:color w:val="000000"/>
                <w:sz w:val="20"/>
                <w:lang w:eastAsia="ja-JP"/>
              </w:rPr>
              <w:t> </w:t>
            </w:r>
          </w:p>
        </w:tc>
        <w:tc>
          <w:tcPr>
            <w:tcW w:w="586" w:type="dxa"/>
            <w:tcBorders>
              <w:top w:val="nil"/>
              <w:left w:val="nil"/>
              <w:bottom w:val="single" w:sz="4" w:space="0" w:color="auto"/>
              <w:right w:val="single" w:sz="4" w:space="0" w:color="auto"/>
            </w:tcBorders>
            <w:shd w:val="clear" w:color="auto" w:fill="auto"/>
            <w:vAlign w:val="center"/>
            <w:hideMark/>
          </w:tcPr>
          <w:p w14:paraId="777C52CE" w14:textId="77777777" w:rsidR="009D12CA" w:rsidRPr="002144A0" w:rsidRDefault="009D12CA" w:rsidP="008217FC">
            <w:pPr>
              <w:spacing w:before="40"/>
              <w:jc w:val="center"/>
              <w:rPr>
                <w:color w:val="000000"/>
                <w:sz w:val="20"/>
                <w:lang w:eastAsia="ja-JP"/>
              </w:rPr>
            </w:pPr>
            <w:r w:rsidRPr="002144A0">
              <w:rPr>
                <w:color w:val="000000"/>
                <w:sz w:val="20"/>
                <w:lang w:eastAsia="ja-JP"/>
              </w:rPr>
              <w:t> </w:t>
            </w:r>
          </w:p>
        </w:tc>
        <w:tc>
          <w:tcPr>
            <w:tcW w:w="577" w:type="dxa"/>
            <w:tcBorders>
              <w:top w:val="nil"/>
              <w:left w:val="nil"/>
              <w:bottom w:val="single" w:sz="4" w:space="0" w:color="auto"/>
              <w:right w:val="single" w:sz="4" w:space="0" w:color="auto"/>
            </w:tcBorders>
            <w:shd w:val="clear" w:color="auto" w:fill="auto"/>
            <w:vAlign w:val="center"/>
            <w:hideMark/>
          </w:tcPr>
          <w:p w14:paraId="7781A0B8" w14:textId="77777777" w:rsidR="009D12CA" w:rsidRPr="002144A0" w:rsidRDefault="009D12CA" w:rsidP="008217FC">
            <w:pPr>
              <w:spacing w:before="40"/>
              <w:jc w:val="center"/>
              <w:rPr>
                <w:color w:val="000000"/>
                <w:sz w:val="20"/>
                <w:lang w:eastAsia="ja-JP"/>
              </w:rPr>
            </w:pPr>
            <w:r w:rsidRPr="002144A0">
              <w:rPr>
                <w:color w:val="000000"/>
                <w:sz w:val="20"/>
                <w:lang w:eastAsia="ja-JP"/>
              </w:rPr>
              <w:t> </w:t>
            </w:r>
          </w:p>
        </w:tc>
      </w:tr>
      <w:tr w:rsidR="009D12CA" w:rsidRPr="00132C1E" w14:paraId="2511E183" w14:textId="77777777" w:rsidTr="002061E5">
        <w:trPr>
          <w:trHeight w:val="300"/>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5CBDEF" w14:textId="77777777" w:rsidR="009D12CA" w:rsidRPr="009D12CA" w:rsidRDefault="009D12CA" w:rsidP="008217FC">
            <w:pPr>
              <w:spacing w:before="40"/>
              <w:ind w:left="429"/>
              <w:rPr>
                <w:rFonts w:cs="Calibri"/>
                <w:sz w:val="20"/>
                <w:lang w:eastAsia="ja-JP"/>
              </w:rPr>
            </w:pPr>
            <w:r w:rsidRPr="009D12CA">
              <w:rPr>
                <w:rFonts w:cs="Calibri"/>
                <w:sz w:val="20"/>
                <w:lang w:eastAsia="ja-JP"/>
              </w:rPr>
              <w:t>b1) With fully anchored walls</w:t>
            </w: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54EF7228" w14:textId="77777777" w:rsidR="009D12CA" w:rsidRPr="00D1484A" w:rsidRDefault="009D12CA" w:rsidP="008217FC">
            <w:pPr>
              <w:spacing w:before="40"/>
              <w:jc w:val="center"/>
              <w:rPr>
                <w:color w:val="000000"/>
                <w:sz w:val="20"/>
                <w:lang w:eastAsia="ja-JP"/>
              </w:rPr>
            </w:pPr>
            <w:r w:rsidRPr="00D1484A">
              <w:rPr>
                <w:color w:val="000000"/>
                <w:sz w:val="20"/>
                <w:lang w:eastAsia="ja-JP"/>
              </w:rPr>
              <w:t>5,0</w:t>
            </w:r>
          </w:p>
        </w:tc>
        <w:tc>
          <w:tcPr>
            <w:tcW w:w="709" w:type="dxa"/>
            <w:tcBorders>
              <w:top w:val="nil"/>
              <w:left w:val="nil"/>
              <w:bottom w:val="single" w:sz="4" w:space="0" w:color="auto"/>
              <w:right w:val="single" w:sz="4" w:space="0" w:color="auto"/>
            </w:tcBorders>
            <w:shd w:val="clear" w:color="auto" w:fill="auto"/>
            <w:vAlign w:val="center"/>
            <w:hideMark/>
          </w:tcPr>
          <w:p w14:paraId="00FB5DCC" w14:textId="77777777" w:rsidR="009D12CA" w:rsidRPr="00FD17CF" w:rsidRDefault="009D12CA" w:rsidP="008217FC">
            <w:pPr>
              <w:spacing w:before="40"/>
              <w:jc w:val="center"/>
              <w:rPr>
                <w:color w:val="000000"/>
                <w:sz w:val="20"/>
                <w:lang w:eastAsia="ja-JP"/>
              </w:rPr>
            </w:pPr>
            <w:r w:rsidRPr="007E6F67">
              <w:rPr>
                <w:color w:val="000000"/>
                <w:sz w:val="20"/>
                <w:lang w:eastAsia="ja-JP"/>
              </w:rPr>
              <w:t>1,5</w:t>
            </w:r>
          </w:p>
        </w:tc>
        <w:tc>
          <w:tcPr>
            <w:tcW w:w="631" w:type="dxa"/>
            <w:tcBorders>
              <w:top w:val="nil"/>
              <w:left w:val="nil"/>
              <w:bottom w:val="single" w:sz="4" w:space="0" w:color="auto"/>
              <w:right w:val="single" w:sz="4" w:space="0" w:color="auto"/>
            </w:tcBorders>
            <w:shd w:val="clear" w:color="auto" w:fill="auto"/>
            <w:vAlign w:val="center"/>
            <w:hideMark/>
          </w:tcPr>
          <w:p w14:paraId="464A18DA" w14:textId="77777777" w:rsidR="009D12CA" w:rsidRPr="00E05E29" w:rsidRDefault="009D12CA" w:rsidP="008217FC">
            <w:pPr>
              <w:spacing w:before="40"/>
              <w:jc w:val="center"/>
              <w:rPr>
                <w:color w:val="000000"/>
                <w:sz w:val="20"/>
                <w:lang w:eastAsia="ja-JP"/>
              </w:rPr>
            </w:pPr>
            <w:r w:rsidRPr="00644C3D">
              <w:rPr>
                <w:color w:val="000000"/>
                <w:sz w:val="20"/>
                <w:lang w:eastAsia="ja-JP"/>
              </w:rPr>
              <w:t>1,5</w:t>
            </w:r>
          </w:p>
        </w:tc>
        <w:tc>
          <w:tcPr>
            <w:tcW w:w="1309" w:type="dxa"/>
            <w:tcBorders>
              <w:top w:val="nil"/>
              <w:left w:val="nil"/>
              <w:bottom w:val="single" w:sz="4" w:space="0" w:color="auto"/>
              <w:right w:val="single" w:sz="4" w:space="0" w:color="auto"/>
            </w:tcBorders>
            <w:shd w:val="clear" w:color="auto" w:fill="auto"/>
            <w:vAlign w:val="center"/>
            <w:hideMark/>
          </w:tcPr>
          <w:p w14:paraId="23A83073" w14:textId="77777777" w:rsidR="009D12CA" w:rsidRPr="002144A0" w:rsidRDefault="009D12CA" w:rsidP="008217FC">
            <w:pPr>
              <w:spacing w:before="40"/>
              <w:jc w:val="center"/>
              <w:rPr>
                <w:color w:val="000000"/>
                <w:sz w:val="20"/>
                <w:lang w:eastAsia="ja-JP"/>
              </w:rPr>
            </w:pPr>
            <w:r w:rsidRPr="00196951">
              <w:rPr>
                <w:color w:val="000000"/>
                <w:sz w:val="20"/>
                <w:lang w:eastAsia="ja-JP"/>
              </w:rPr>
              <w:t>1,1</w:t>
            </w:r>
          </w:p>
        </w:tc>
        <w:tc>
          <w:tcPr>
            <w:tcW w:w="613" w:type="dxa"/>
            <w:tcBorders>
              <w:top w:val="nil"/>
              <w:left w:val="nil"/>
              <w:bottom w:val="single" w:sz="4" w:space="0" w:color="auto"/>
              <w:right w:val="single" w:sz="4" w:space="0" w:color="auto"/>
            </w:tcBorders>
            <w:shd w:val="clear" w:color="auto" w:fill="auto"/>
            <w:vAlign w:val="center"/>
            <w:hideMark/>
          </w:tcPr>
          <w:p w14:paraId="06577523" w14:textId="77777777" w:rsidR="009D12CA" w:rsidRPr="002144A0" w:rsidRDefault="009D12CA" w:rsidP="008217FC">
            <w:pPr>
              <w:spacing w:before="40"/>
              <w:jc w:val="center"/>
              <w:rPr>
                <w:color w:val="000000"/>
                <w:sz w:val="20"/>
                <w:lang w:eastAsia="ja-JP"/>
              </w:rPr>
            </w:pPr>
            <w:r w:rsidRPr="002144A0">
              <w:rPr>
                <w:color w:val="000000"/>
                <w:sz w:val="20"/>
                <w:lang w:eastAsia="ja-JP"/>
              </w:rPr>
              <w:t>2,5</w:t>
            </w:r>
          </w:p>
        </w:tc>
        <w:tc>
          <w:tcPr>
            <w:tcW w:w="603" w:type="dxa"/>
            <w:tcBorders>
              <w:top w:val="nil"/>
              <w:left w:val="nil"/>
              <w:bottom w:val="single" w:sz="4" w:space="0" w:color="auto"/>
              <w:right w:val="single" w:sz="4" w:space="0" w:color="auto"/>
            </w:tcBorders>
            <w:shd w:val="clear" w:color="auto" w:fill="auto"/>
            <w:vAlign w:val="center"/>
            <w:hideMark/>
          </w:tcPr>
          <w:p w14:paraId="64356C85" w14:textId="77777777" w:rsidR="009D12CA" w:rsidRPr="002144A0" w:rsidRDefault="009D12CA" w:rsidP="008217FC">
            <w:pPr>
              <w:spacing w:before="40"/>
              <w:jc w:val="center"/>
              <w:rPr>
                <w:color w:val="000000"/>
                <w:sz w:val="20"/>
                <w:lang w:eastAsia="ja-JP"/>
              </w:rPr>
            </w:pPr>
            <w:r w:rsidRPr="002144A0">
              <w:rPr>
                <w:color w:val="000000"/>
                <w:sz w:val="20"/>
                <w:lang w:eastAsia="ja-JP"/>
              </w:rPr>
              <w:t>2,4</w:t>
            </w:r>
          </w:p>
        </w:tc>
        <w:tc>
          <w:tcPr>
            <w:tcW w:w="586" w:type="dxa"/>
            <w:tcBorders>
              <w:top w:val="nil"/>
              <w:left w:val="nil"/>
              <w:bottom w:val="single" w:sz="4" w:space="0" w:color="auto"/>
              <w:right w:val="single" w:sz="4" w:space="0" w:color="auto"/>
            </w:tcBorders>
            <w:shd w:val="clear" w:color="auto" w:fill="auto"/>
            <w:vAlign w:val="center"/>
            <w:hideMark/>
          </w:tcPr>
          <w:p w14:paraId="70911BFB" w14:textId="77777777" w:rsidR="009D12CA" w:rsidRPr="002144A0" w:rsidRDefault="009D12CA" w:rsidP="008217FC">
            <w:pPr>
              <w:spacing w:before="40"/>
              <w:jc w:val="center"/>
              <w:rPr>
                <w:color w:val="000000"/>
                <w:sz w:val="20"/>
                <w:lang w:eastAsia="ja-JP"/>
              </w:rPr>
            </w:pPr>
            <w:r w:rsidRPr="002144A0">
              <w:rPr>
                <w:color w:val="000000"/>
                <w:sz w:val="20"/>
                <w:lang w:eastAsia="ja-JP"/>
              </w:rPr>
              <w:t>1,1</w:t>
            </w:r>
          </w:p>
        </w:tc>
        <w:tc>
          <w:tcPr>
            <w:tcW w:w="577" w:type="dxa"/>
            <w:tcBorders>
              <w:top w:val="nil"/>
              <w:left w:val="nil"/>
              <w:bottom w:val="single" w:sz="4" w:space="0" w:color="auto"/>
              <w:right w:val="single" w:sz="4" w:space="0" w:color="auto"/>
            </w:tcBorders>
            <w:shd w:val="clear" w:color="auto" w:fill="auto"/>
            <w:vAlign w:val="center"/>
            <w:hideMark/>
          </w:tcPr>
          <w:p w14:paraId="09EB5B15" w14:textId="77777777" w:rsidR="009D12CA" w:rsidRPr="002144A0" w:rsidRDefault="009D12CA" w:rsidP="008217FC">
            <w:pPr>
              <w:spacing w:before="40"/>
              <w:jc w:val="center"/>
              <w:rPr>
                <w:color w:val="000000"/>
                <w:sz w:val="20"/>
                <w:lang w:eastAsia="ja-JP"/>
              </w:rPr>
            </w:pPr>
            <w:r w:rsidRPr="002144A0">
              <w:rPr>
                <w:color w:val="000000"/>
                <w:sz w:val="20"/>
                <w:lang w:eastAsia="ja-JP"/>
              </w:rPr>
              <w:t>4,0</w:t>
            </w:r>
          </w:p>
        </w:tc>
      </w:tr>
      <w:tr w:rsidR="009D12CA" w:rsidRPr="00132C1E" w14:paraId="7C14C959" w14:textId="77777777" w:rsidTr="002061E5">
        <w:trPr>
          <w:trHeight w:val="300"/>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0530DD" w14:textId="77777777" w:rsidR="009D12CA" w:rsidRPr="009D12CA" w:rsidRDefault="009D12CA" w:rsidP="008217FC">
            <w:pPr>
              <w:spacing w:before="40"/>
              <w:ind w:left="429"/>
              <w:rPr>
                <w:rFonts w:cs="Calibri"/>
                <w:sz w:val="20"/>
                <w:lang w:eastAsia="ja-JP"/>
              </w:rPr>
            </w:pPr>
            <w:r w:rsidRPr="009D12CA">
              <w:rPr>
                <w:rFonts w:cs="Calibri"/>
                <w:sz w:val="20"/>
                <w:lang w:eastAsia="ja-JP"/>
              </w:rPr>
              <w:t>b2) With non-fully anchored walls</w:t>
            </w: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743052B1" w14:textId="77777777" w:rsidR="009D12CA" w:rsidRPr="00D1484A" w:rsidRDefault="009D12CA" w:rsidP="008217FC">
            <w:pPr>
              <w:spacing w:before="40"/>
              <w:jc w:val="center"/>
              <w:rPr>
                <w:color w:val="000000"/>
                <w:sz w:val="20"/>
                <w:lang w:eastAsia="ja-JP"/>
              </w:rPr>
            </w:pPr>
            <w:r w:rsidRPr="00D1484A">
              <w:rPr>
                <w:color w:val="000000"/>
                <w:sz w:val="20"/>
                <w:lang w:eastAsia="ja-JP"/>
              </w:rPr>
              <w:t>3,0</w:t>
            </w:r>
          </w:p>
        </w:tc>
        <w:tc>
          <w:tcPr>
            <w:tcW w:w="709" w:type="dxa"/>
            <w:tcBorders>
              <w:top w:val="nil"/>
              <w:left w:val="nil"/>
              <w:bottom w:val="single" w:sz="4" w:space="0" w:color="auto"/>
              <w:right w:val="single" w:sz="4" w:space="0" w:color="auto"/>
            </w:tcBorders>
            <w:shd w:val="clear" w:color="auto" w:fill="auto"/>
            <w:vAlign w:val="center"/>
            <w:hideMark/>
          </w:tcPr>
          <w:p w14:paraId="7CE14A48" w14:textId="77777777" w:rsidR="009D12CA" w:rsidRPr="00FD17CF" w:rsidRDefault="009D12CA" w:rsidP="008217FC">
            <w:pPr>
              <w:spacing w:before="40"/>
              <w:jc w:val="center"/>
              <w:rPr>
                <w:color w:val="000000"/>
                <w:sz w:val="20"/>
                <w:lang w:eastAsia="ja-JP"/>
              </w:rPr>
            </w:pPr>
            <w:r w:rsidRPr="007E6F67">
              <w:rPr>
                <w:color w:val="000000"/>
                <w:sz w:val="20"/>
                <w:lang w:eastAsia="ja-JP"/>
              </w:rPr>
              <w:t>1,5</w:t>
            </w:r>
          </w:p>
        </w:tc>
        <w:tc>
          <w:tcPr>
            <w:tcW w:w="631" w:type="dxa"/>
            <w:tcBorders>
              <w:top w:val="nil"/>
              <w:left w:val="nil"/>
              <w:bottom w:val="single" w:sz="4" w:space="0" w:color="auto"/>
              <w:right w:val="single" w:sz="4" w:space="0" w:color="auto"/>
            </w:tcBorders>
            <w:shd w:val="clear" w:color="auto" w:fill="auto"/>
            <w:vAlign w:val="center"/>
            <w:hideMark/>
          </w:tcPr>
          <w:p w14:paraId="69EBA144" w14:textId="77777777" w:rsidR="009D12CA" w:rsidRPr="00E05E29" w:rsidRDefault="009D12CA" w:rsidP="008217FC">
            <w:pPr>
              <w:spacing w:before="40"/>
              <w:jc w:val="center"/>
              <w:rPr>
                <w:color w:val="000000"/>
                <w:sz w:val="20"/>
                <w:lang w:eastAsia="ja-JP"/>
              </w:rPr>
            </w:pPr>
            <w:r w:rsidRPr="00644C3D">
              <w:rPr>
                <w:color w:val="000000"/>
                <w:sz w:val="20"/>
                <w:lang w:eastAsia="ja-JP"/>
              </w:rPr>
              <w:t>N/A</w:t>
            </w:r>
          </w:p>
        </w:tc>
        <w:tc>
          <w:tcPr>
            <w:tcW w:w="1309" w:type="dxa"/>
            <w:tcBorders>
              <w:top w:val="nil"/>
              <w:left w:val="nil"/>
              <w:bottom w:val="single" w:sz="4" w:space="0" w:color="auto"/>
              <w:right w:val="single" w:sz="4" w:space="0" w:color="auto"/>
            </w:tcBorders>
            <w:shd w:val="clear" w:color="auto" w:fill="auto"/>
            <w:vAlign w:val="center"/>
            <w:hideMark/>
          </w:tcPr>
          <w:p w14:paraId="0F96AA50" w14:textId="77777777" w:rsidR="009D12CA" w:rsidRPr="002144A0" w:rsidRDefault="009D12CA" w:rsidP="008217FC">
            <w:pPr>
              <w:spacing w:before="40"/>
              <w:jc w:val="center"/>
              <w:rPr>
                <w:color w:val="000000"/>
                <w:sz w:val="20"/>
                <w:lang w:eastAsia="ja-JP"/>
              </w:rPr>
            </w:pPr>
            <w:r w:rsidRPr="00196951">
              <w:rPr>
                <w:color w:val="000000"/>
                <w:sz w:val="20"/>
                <w:lang w:eastAsia="ja-JP"/>
              </w:rPr>
              <w:t>N/A</w:t>
            </w:r>
          </w:p>
        </w:tc>
        <w:tc>
          <w:tcPr>
            <w:tcW w:w="613" w:type="dxa"/>
            <w:tcBorders>
              <w:top w:val="nil"/>
              <w:left w:val="nil"/>
              <w:bottom w:val="single" w:sz="4" w:space="0" w:color="auto"/>
              <w:right w:val="single" w:sz="4" w:space="0" w:color="auto"/>
            </w:tcBorders>
            <w:shd w:val="clear" w:color="auto" w:fill="auto"/>
            <w:vAlign w:val="center"/>
            <w:hideMark/>
          </w:tcPr>
          <w:p w14:paraId="2210752A" w14:textId="77777777" w:rsidR="009D12CA" w:rsidRPr="002144A0" w:rsidRDefault="009D12CA" w:rsidP="008217FC">
            <w:pPr>
              <w:spacing w:before="40"/>
              <w:jc w:val="center"/>
              <w:rPr>
                <w:color w:val="000000"/>
                <w:sz w:val="20"/>
                <w:lang w:eastAsia="ja-JP"/>
              </w:rPr>
            </w:pPr>
            <w:r w:rsidRPr="002144A0">
              <w:rPr>
                <w:color w:val="000000"/>
                <w:sz w:val="20"/>
                <w:lang w:eastAsia="ja-JP"/>
              </w:rPr>
              <w:t>N/A</w:t>
            </w:r>
          </w:p>
        </w:tc>
        <w:tc>
          <w:tcPr>
            <w:tcW w:w="603" w:type="dxa"/>
            <w:tcBorders>
              <w:top w:val="nil"/>
              <w:left w:val="nil"/>
              <w:bottom w:val="single" w:sz="4" w:space="0" w:color="auto"/>
              <w:right w:val="single" w:sz="4" w:space="0" w:color="auto"/>
            </w:tcBorders>
            <w:shd w:val="clear" w:color="auto" w:fill="auto"/>
            <w:vAlign w:val="center"/>
            <w:hideMark/>
          </w:tcPr>
          <w:p w14:paraId="6C6B8547" w14:textId="77777777" w:rsidR="009D12CA" w:rsidRPr="002144A0" w:rsidRDefault="009D12CA" w:rsidP="008217FC">
            <w:pPr>
              <w:spacing w:before="40"/>
              <w:jc w:val="center"/>
              <w:rPr>
                <w:color w:val="000000"/>
                <w:sz w:val="20"/>
                <w:lang w:eastAsia="ja-JP"/>
              </w:rPr>
            </w:pPr>
            <w:r w:rsidRPr="002144A0">
              <w:rPr>
                <w:color w:val="000000"/>
                <w:sz w:val="20"/>
                <w:lang w:eastAsia="ja-JP"/>
              </w:rPr>
              <w:t>N/A</w:t>
            </w:r>
          </w:p>
        </w:tc>
        <w:tc>
          <w:tcPr>
            <w:tcW w:w="586" w:type="dxa"/>
            <w:tcBorders>
              <w:top w:val="nil"/>
              <w:left w:val="nil"/>
              <w:bottom w:val="single" w:sz="4" w:space="0" w:color="auto"/>
              <w:right w:val="single" w:sz="4" w:space="0" w:color="auto"/>
            </w:tcBorders>
            <w:shd w:val="clear" w:color="auto" w:fill="auto"/>
            <w:vAlign w:val="center"/>
            <w:hideMark/>
          </w:tcPr>
          <w:p w14:paraId="73E4D765" w14:textId="77777777" w:rsidR="009D12CA" w:rsidRPr="002144A0" w:rsidRDefault="009D12CA" w:rsidP="008217FC">
            <w:pPr>
              <w:spacing w:before="40"/>
              <w:jc w:val="center"/>
              <w:rPr>
                <w:color w:val="000000"/>
                <w:sz w:val="20"/>
                <w:lang w:eastAsia="ja-JP"/>
              </w:rPr>
            </w:pPr>
            <w:r w:rsidRPr="002144A0">
              <w:rPr>
                <w:color w:val="000000"/>
                <w:sz w:val="20"/>
                <w:lang w:eastAsia="ja-JP"/>
              </w:rPr>
              <w:t>N/A</w:t>
            </w:r>
          </w:p>
        </w:tc>
        <w:tc>
          <w:tcPr>
            <w:tcW w:w="577" w:type="dxa"/>
            <w:tcBorders>
              <w:top w:val="nil"/>
              <w:left w:val="nil"/>
              <w:bottom w:val="single" w:sz="4" w:space="0" w:color="auto"/>
              <w:right w:val="single" w:sz="4" w:space="0" w:color="auto"/>
            </w:tcBorders>
            <w:shd w:val="clear" w:color="auto" w:fill="auto"/>
            <w:vAlign w:val="center"/>
            <w:hideMark/>
          </w:tcPr>
          <w:p w14:paraId="2D283F65" w14:textId="77777777" w:rsidR="009D12CA" w:rsidRPr="002144A0" w:rsidRDefault="009D12CA" w:rsidP="008217FC">
            <w:pPr>
              <w:spacing w:before="40"/>
              <w:jc w:val="center"/>
              <w:rPr>
                <w:color w:val="000000"/>
                <w:sz w:val="20"/>
                <w:lang w:eastAsia="ja-JP"/>
              </w:rPr>
            </w:pPr>
            <w:r w:rsidRPr="002144A0">
              <w:rPr>
                <w:color w:val="000000"/>
                <w:sz w:val="20"/>
                <w:lang w:eastAsia="ja-JP"/>
              </w:rPr>
              <w:t>N/A</w:t>
            </w:r>
          </w:p>
        </w:tc>
      </w:tr>
      <w:tr w:rsidR="009D12CA" w:rsidRPr="00132C1E" w14:paraId="3C08C72D" w14:textId="77777777" w:rsidTr="002061E5">
        <w:trPr>
          <w:trHeight w:val="300"/>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7D5C5C" w14:textId="77777777" w:rsidR="009D12CA" w:rsidRPr="009D12CA" w:rsidRDefault="009D12CA" w:rsidP="008217FC">
            <w:pPr>
              <w:pStyle w:val="ListNumber"/>
              <w:numPr>
                <w:ilvl w:val="0"/>
                <w:numId w:val="206"/>
              </w:numPr>
              <w:spacing w:before="40" w:after="0" w:line="240" w:lineRule="auto"/>
              <w:contextualSpacing w:val="0"/>
              <w:jc w:val="left"/>
              <w:rPr>
                <w:rFonts w:eastAsia="Times New Roman" w:cs="Calibri"/>
                <w:sz w:val="20"/>
                <w:lang w:eastAsia="ja-JP"/>
              </w:rPr>
            </w:pPr>
            <w:r w:rsidRPr="009D12CA">
              <w:rPr>
                <w:rFonts w:eastAsia="Times New Roman" w:cs="Calibri"/>
                <w:sz w:val="20"/>
                <w:lang w:eastAsia="ja-JP"/>
              </w:rPr>
              <w:t>Log structures</w:t>
            </w:r>
          </w:p>
        </w:tc>
        <w:tc>
          <w:tcPr>
            <w:tcW w:w="1068" w:type="dxa"/>
            <w:tcBorders>
              <w:top w:val="nil"/>
              <w:left w:val="nil"/>
              <w:bottom w:val="single" w:sz="4" w:space="0" w:color="auto"/>
              <w:right w:val="single" w:sz="4" w:space="0" w:color="auto"/>
            </w:tcBorders>
            <w:shd w:val="clear" w:color="auto" w:fill="auto"/>
            <w:vAlign w:val="center"/>
            <w:hideMark/>
          </w:tcPr>
          <w:p w14:paraId="184D072C" w14:textId="77777777" w:rsidR="009D12CA" w:rsidRPr="00FD17CF" w:rsidRDefault="009D12CA" w:rsidP="008217FC">
            <w:pPr>
              <w:spacing w:before="40"/>
              <w:jc w:val="center"/>
              <w:rPr>
                <w:color w:val="000000"/>
                <w:sz w:val="20"/>
                <w:lang w:eastAsia="ja-JP"/>
              </w:rPr>
            </w:pPr>
            <w:r w:rsidRPr="007E6F67">
              <w:rPr>
                <w:color w:val="000000"/>
                <w:sz w:val="20"/>
                <w:lang w:eastAsia="ja-JP"/>
              </w:rPr>
              <w:t>4,0</w:t>
            </w:r>
          </w:p>
        </w:tc>
        <w:tc>
          <w:tcPr>
            <w:tcW w:w="709" w:type="dxa"/>
            <w:tcBorders>
              <w:top w:val="nil"/>
              <w:left w:val="nil"/>
              <w:bottom w:val="single" w:sz="4" w:space="0" w:color="auto"/>
              <w:right w:val="single" w:sz="4" w:space="0" w:color="auto"/>
            </w:tcBorders>
            <w:shd w:val="clear" w:color="auto" w:fill="auto"/>
            <w:vAlign w:val="center"/>
            <w:hideMark/>
          </w:tcPr>
          <w:p w14:paraId="5E18DCFA" w14:textId="77777777" w:rsidR="009D12CA" w:rsidRPr="00E05E29" w:rsidRDefault="009D12CA" w:rsidP="008217FC">
            <w:pPr>
              <w:spacing w:before="40"/>
              <w:jc w:val="center"/>
              <w:rPr>
                <w:color w:val="000000"/>
                <w:sz w:val="20"/>
                <w:lang w:eastAsia="ja-JP"/>
              </w:rPr>
            </w:pPr>
            <w:r w:rsidRPr="00644C3D">
              <w:rPr>
                <w:color w:val="000000"/>
                <w:sz w:val="20"/>
                <w:lang w:eastAsia="ja-JP"/>
              </w:rPr>
              <w:t>1,5</w:t>
            </w:r>
          </w:p>
        </w:tc>
        <w:tc>
          <w:tcPr>
            <w:tcW w:w="631" w:type="dxa"/>
            <w:tcBorders>
              <w:top w:val="nil"/>
              <w:left w:val="nil"/>
              <w:bottom w:val="single" w:sz="4" w:space="0" w:color="auto"/>
              <w:right w:val="single" w:sz="4" w:space="0" w:color="auto"/>
            </w:tcBorders>
            <w:shd w:val="clear" w:color="auto" w:fill="auto"/>
            <w:vAlign w:val="center"/>
            <w:hideMark/>
          </w:tcPr>
          <w:p w14:paraId="7AE25349" w14:textId="77777777" w:rsidR="009D12CA" w:rsidRPr="002144A0" w:rsidRDefault="009D12CA" w:rsidP="008217FC">
            <w:pPr>
              <w:spacing w:before="40"/>
              <w:jc w:val="center"/>
              <w:rPr>
                <w:color w:val="000000"/>
                <w:sz w:val="20"/>
                <w:lang w:eastAsia="ja-JP"/>
              </w:rPr>
            </w:pPr>
            <w:r w:rsidRPr="00196951">
              <w:rPr>
                <w:color w:val="000000"/>
                <w:sz w:val="20"/>
                <w:lang w:eastAsia="ja-JP"/>
              </w:rPr>
              <w:t>1,2</w:t>
            </w:r>
          </w:p>
        </w:tc>
        <w:tc>
          <w:tcPr>
            <w:tcW w:w="1309" w:type="dxa"/>
            <w:tcBorders>
              <w:top w:val="nil"/>
              <w:left w:val="nil"/>
              <w:bottom w:val="single" w:sz="4" w:space="0" w:color="auto"/>
              <w:right w:val="single" w:sz="4" w:space="0" w:color="auto"/>
            </w:tcBorders>
            <w:shd w:val="clear" w:color="auto" w:fill="auto"/>
            <w:vAlign w:val="center"/>
            <w:hideMark/>
          </w:tcPr>
          <w:p w14:paraId="57A20A02" w14:textId="77777777" w:rsidR="009D12CA" w:rsidRPr="002144A0" w:rsidRDefault="009D12CA" w:rsidP="008217FC">
            <w:pPr>
              <w:spacing w:before="40"/>
              <w:jc w:val="center"/>
              <w:rPr>
                <w:color w:val="000000"/>
                <w:sz w:val="20"/>
                <w:lang w:eastAsia="ja-JP"/>
              </w:rPr>
            </w:pPr>
            <w:r w:rsidRPr="002144A0">
              <w:rPr>
                <w:color w:val="000000"/>
                <w:sz w:val="20"/>
                <w:lang w:eastAsia="ja-JP"/>
              </w:rPr>
              <w:t>1,1</w:t>
            </w:r>
          </w:p>
        </w:tc>
        <w:tc>
          <w:tcPr>
            <w:tcW w:w="613" w:type="dxa"/>
            <w:tcBorders>
              <w:top w:val="nil"/>
              <w:left w:val="nil"/>
              <w:bottom w:val="single" w:sz="4" w:space="0" w:color="auto"/>
              <w:right w:val="single" w:sz="4" w:space="0" w:color="auto"/>
            </w:tcBorders>
            <w:shd w:val="clear" w:color="auto" w:fill="auto"/>
            <w:vAlign w:val="center"/>
            <w:hideMark/>
          </w:tcPr>
          <w:p w14:paraId="7E66DD8B" w14:textId="77777777" w:rsidR="009D12CA" w:rsidRPr="002144A0" w:rsidRDefault="009D12CA" w:rsidP="008217FC">
            <w:pPr>
              <w:spacing w:before="40"/>
              <w:jc w:val="center"/>
              <w:rPr>
                <w:color w:val="000000"/>
                <w:sz w:val="20"/>
                <w:lang w:eastAsia="ja-JP"/>
              </w:rPr>
            </w:pPr>
            <w:r w:rsidRPr="002144A0">
              <w:rPr>
                <w:color w:val="000000"/>
                <w:sz w:val="20"/>
                <w:lang w:eastAsia="ja-JP"/>
              </w:rPr>
              <w:t>2,0</w:t>
            </w:r>
          </w:p>
        </w:tc>
        <w:tc>
          <w:tcPr>
            <w:tcW w:w="603" w:type="dxa"/>
            <w:tcBorders>
              <w:top w:val="nil"/>
              <w:left w:val="nil"/>
              <w:bottom w:val="single" w:sz="4" w:space="0" w:color="auto"/>
              <w:right w:val="single" w:sz="4" w:space="0" w:color="auto"/>
            </w:tcBorders>
            <w:shd w:val="clear" w:color="auto" w:fill="auto"/>
            <w:vAlign w:val="center"/>
            <w:hideMark/>
          </w:tcPr>
          <w:p w14:paraId="4B4E1023" w14:textId="77777777" w:rsidR="009D12CA" w:rsidRPr="002144A0" w:rsidRDefault="009D12CA" w:rsidP="008217FC">
            <w:pPr>
              <w:spacing w:before="40"/>
              <w:jc w:val="center"/>
              <w:rPr>
                <w:color w:val="000000"/>
                <w:sz w:val="20"/>
                <w:lang w:eastAsia="ja-JP"/>
              </w:rPr>
            </w:pPr>
            <w:r w:rsidRPr="002144A0">
              <w:rPr>
                <w:color w:val="000000"/>
                <w:sz w:val="20"/>
                <w:lang w:eastAsia="ja-JP"/>
              </w:rPr>
              <w:t>N/A</w:t>
            </w:r>
          </w:p>
        </w:tc>
        <w:tc>
          <w:tcPr>
            <w:tcW w:w="586" w:type="dxa"/>
            <w:tcBorders>
              <w:top w:val="nil"/>
              <w:left w:val="nil"/>
              <w:bottom w:val="single" w:sz="4" w:space="0" w:color="auto"/>
              <w:right w:val="single" w:sz="4" w:space="0" w:color="auto"/>
            </w:tcBorders>
            <w:shd w:val="clear" w:color="auto" w:fill="auto"/>
            <w:vAlign w:val="center"/>
            <w:hideMark/>
          </w:tcPr>
          <w:p w14:paraId="0CCDE543" w14:textId="77777777" w:rsidR="009D12CA" w:rsidRPr="002144A0" w:rsidRDefault="009D12CA" w:rsidP="008217FC">
            <w:pPr>
              <w:spacing w:before="40"/>
              <w:jc w:val="center"/>
              <w:rPr>
                <w:color w:val="000000"/>
                <w:sz w:val="20"/>
                <w:lang w:eastAsia="ja-JP"/>
              </w:rPr>
            </w:pPr>
            <w:r w:rsidRPr="002144A0">
              <w:rPr>
                <w:color w:val="000000"/>
                <w:sz w:val="20"/>
                <w:lang w:eastAsia="ja-JP"/>
              </w:rPr>
              <w:t>N/A</w:t>
            </w:r>
          </w:p>
        </w:tc>
        <w:tc>
          <w:tcPr>
            <w:tcW w:w="577" w:type="dxa"/>
            <w:tcBorders>
              <w:top w:val="nil"/>
              <w:left w:val="nil"/>
              <w:bottom w:val="single" w:sz="4" w:space="0" w:color="auto"/>
              <w:right w:val="single" w:sz="4" w:space="0" w:color="auto"/>
            </w:tcBorders>
            <w:shd w:val="clear" w:color="auto" w:fill="auto"/>
            <w:vAlign w:val="center"/>
            <w:hideMark/>
          </w:tcPr>
          <w:p w14:paraId="51E0E6F3" w14:textId="77777777" w:rsidR="009D12CA" w:rsidRPr="002144A0" w:rsidRDefault="009D12CA" w:rsidP="008217FC">
            <w:pPr>
              <w:spacing w:before="40"/>
              <w:jc w:val="center"/>
              <w:rPr>
                <w:color w:val="000000"/>
                <w:sz w:val="20"/>
                <w:lang w:eastAsia="ja-JP"/>
              </w:rPr>
            </w:pPr>
            <w:r w:rsidRPr="002144A0">
              <w:rPr>
                <w:color w:val="000000"/>
                <w:sz w:val="20"/>
                <w:lang w:eastAsia="ja-JP"/>
              </w:rPr>
              <w:t>N/A</w:t>
            </w:r>
          </w:p>
        </w:tc>
      </w:tr>
      <w:tr w:rsidR="009D12CA" w:rsidRPr="00132C1E" w14:paraId="2A64B0B4" w14:textId="77777777" w:rsidTr="002061E5">
        <w:trPr>
          <w:trHeight w:val="300"/>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14:paraId="37CDED74" w14:textId="77777777" w:rsidR="009D12CA" w:rsidRPr="009D12CA" w:rsidRDefault="009D12CA" w:rsidP="008217FC">
            <w:pPr>
              <w:pStyle w:val="ListNumber"/>
              <w:numPr>
                <w:ilvl w:val="0"/>
                <w:numId w:val="204"/>
              </w:numPr>
              <w:spacing w:before="40" w:after="0" w:line="240" w:lineRule="auto"/>
              <w:contextualSpacing w:val="0"/>
              <w:jc w:val="left"/>
              <w:rPr>
                <w:rFonts w:eastAsia="Times New Roman" w:cs="Calibri"/>
                <w:sz w:val="20"/>
                <w:lang w:eastAsia="ja-JP"/>
              </w:rPr>
            </w:pPr>
            <w:r w:rsidRPr="009D12CA">
              <w:rPr>
                <w:rFonts w:eastAsia="Times New Roman" w:cs="Calibri"/>
                <w:sz w:val="20"/>
                <w:lang w:eastAsia="ja-JP"/>
              </w:rPr>
              <w:t>Moment-resisting frames structures</w:t>
            </w:r>
          </w:p>
        </w:tc>
        <w:tc>
          <w:tcPr>
            <w:tcW w:w="1068" w:type="dxa"/>
            <w:tcBorders>
              <w:top w:val="nil"/>
              <w:left w:val="nil"/>
              <w:bottom w:val="single" w:sz="4" w:space="0" w:color="auto"/>
              <w:right w:val="single" w:sz="4" w:space="0" w:color="auto"/>
            </w:tcBorders>
            <w:shd w:val="clear" w:color="auto" w:fill="auto"/>
            <w:vAlign w:val="center"/>
            <w:hideMark/>
          </w:tcPr>
          <w:p w14:paraId="721B4864" w14:textId="77777777" w:rsidR="009D12CA" w:rsidRPr="00D1484A" w:rsidRDefault="009D12CA" w:rsidP="008217FC">
            <w:pPr>
              <w:spacing w:before="40"/>
              <w:jc w:val="center"/>
              <w:rPr>
                <w:color w:val="000000"/>
                <w:sz w:val="20"/>
                <w:lang w:eastAsia="ja-JP"/>
              </w:rPr>
            </w:pPr>
            <w:r w:rsidRPr="00D1484A">
              <w:rPr>
                <w:color w:val="000000"/>
                <w:sz w:val="20"/>
                <w:lang w:eastAsia="ja-JP"/>
              </w:rPr>
              <w:t> </w:t>
            </w:r>
          </w:p>
        </w:tc>
        <w:tc>
          <w:tcPr>
            <w:tcW w:w="709" w:type="dxa"/>
            <w:tcBorders>
              <w:top w:val="nil"/>
              <w:left w:val="nil"/>
              <w:bottom w:val="single" w:sz="4" w:space="0" w:color="auto"/>
              <w:right w:val="single" w:sz="4" w:space="0" w:color="auto"/>
            </w:tcBorders>
            <w:shd w:val="clear" w:color="auto" w:fill="auto"/>
            <w:vAlign w:val="center"/>
            <w:hideMark/>
          </w:tcPr>
          <w:p w14:paraId="1BB50896" w14:textId="77777777" w:rsidR="009D12CA" w:rsidRPr="00FD17CF" w:rsidRDefault="009D12CA" w:rsidP="008217FC">
            <w:pPr>
              <w:spacing w:before="40"/>
              <w:jc w:val="center"/>
              <w:rPr>
                <w:color w:val="000000"/>
                <w:sz w:val="20"/>
                <w:lang w:eastAsia="ja-JP"/>
              </w:rPr>
            </w:pPr>
            <w:r w:rsidRPr="007E6F67">
              <w:rPr>
                <w:color w:val="000000"/>
                <w:sz w:val="20"/>
                <w:lang w:eastAsia="ja-JP"/>
              </w:rPr>
              <w:t> </w:t>
            </w:r>
          </w:p>
        </w:tc>
        <w:tc>
          <w:tcPr>
            <w:tcW w:w="631" w:type="dxa"/>
            <w:tcBorders>
              <w:top w:val="nil"/>
              <w:left w:val="nil"/>
              <w:bottom w:val="single" w:sz="4" w:space="0" w:color="auto"/>
              <w:right w:val="single" w:sz="4" w:space="0" w:color="auto"/>
            </w:tcBorders>
            <w:shd w:val="clear" w:color="auto" w:fill="auto"/>
            <w:vAlign w:val="center"/>
            <w:hideMark/>
          </w:tcPr>
          <w:p w14:paraId="0B171778" w14:textId="77777777" w:rsidR="009D12CA" w:rsidRPr="00E05E29" w:rsidRDefault="009D12CA" w:rsidP="008217FC">
            <w:pPr>
              <w:spacing w:before="40"/>
              <w:jc w:val="center"/>
              <w:rPr>
                <w:color w:val="000000"/>
                <w:sz w:val="20"/>
                <w:lang w:eastAsia="ja-JP"/>
              </w:rPr>
            </w:pPr>
            <w:r w:rsidRPr="00644C3D">
              <w:rPr>
                <w:color w:val="000000"/>
                <w:sz w:val="20"/>
                <w:lang w:eastAsia="ja-JP"/>
              </w:rPr>
              <w:t> </w:t>
            </w:r>
          </w:p>
        </w:tc>
        <w:tc>
          <w:tcPr>
            <w:tcW w:w="1309" w:type="dxa"/>
            <w:tcBorders>
              <w:top w:val="nil"/>
              <w:left w:val="nil"/>
              <w:bottom w:val="single" w:sz="4" w:space="0" w:color="auto"/>
              <w:right w:val="single" w:sz="4" w:space="0" w:color="auto"/>
            </w:tcBorders>
            <w:shd w:val="clear" w:color="auto" w:fill="auto"/>
            <w:vAlign w:val="center"/>
            <w:hideMark/>
          </w:tcPr>
          <w:p w14:paraId="0FEC1A2F" w14:textId="77777777" w:rsidR="009D12CA" w:rsidRPr="002144A0" w:rsidRDefault="009D12CA" w:rsidP="008217FC">
            <w:pPr>
              <w:spacing w:before="40"/>
              <w:jc w:val="center"/>
              <w:rPr>
                <w:color w:val="000000"/>
                <w:sz w:val="20"/>
                <w:lang w:eastAsia="ja-JP"/>
              </w:rPr>
            </w:pPr>
            <w:r w:rsidRPr="00196951">
              <w:rPr>
                <w:color w:val="000000"/>
                <w:sz w:val="20"/>
                <w:lang w:eastAsia="ja-JP"/>
              </w:rPr>
              <w:t> </w:t>
            </w:r>
          </w:p>
        </w:tc>
        <w:tc>
          <w:tcPr>
            <w:tcW w:w="613" w:type="dxa"/>
            <w:tcBorders>
              <w:top w:val="nil"/>
              <w:left w:val="nil"/>
              <w:bottom w:val="single" w:sz="4" w:space="0" w:color="auto"/>
              <w:right w:val="single" w:sz="4" w:space="0" w:color="auto"/>
            </w:tcBorders>
            <w:shd w:val="clear" w:color="auto" w:fill="auto"/>
            <w:vAlign w:val="center"/>
            <w:hideMark/>
          </w:tcPr>
          <w:p w14:paraId="6FB52A67" w14:textId="77777777" w:rsidR="009D12CA" w:rsidRPr="002144A0" w:rsidRDefault="009D12CA" w:rsidP="008217FC">
            <w:pPr>
              <w:spacing w:before="40"/>
              <w:jc w:val="center"/>
              <w:rPr>
                <w:color w:val="000000"/>
                <w:sz w:val="20"/>
                <w:lang w:eastAsia="ja-JP"/>
              </w:rPr>
            </w:pPr>
            <w:r w:rsidRPr="002144A0">
              <w:rPr>
                <w:color w:val="000000"/>
                <w:sz w:val="20"/>
                <w:lang w:eastAsia="ja-JP"/>
              </w:rPr>
              <w:t> </w:t>
            </w:r>
          </w:p>
        </w:tc>
        <w:tc>
          <w:tcPr>
            <w:tcW w:w="603" w:type="dxa"/>
            <w:tcBorders>
              <w:top w:val="nil"/>
              <w:left w:val="nil"/>
              <w:bottom w:val="single" w:sz="4" w:space="0" w:color="auto"/>
              <w:right w:val="single" w:sz="4" w:space="0" w:color="auto"/>
            </w:tcBorders>
            <w:shd w:val="clear" w:color="auto" w:fill="auto"/>
            <w:vAlign w:val="center"/>
            <w:hideMark/>
          </w:tcPr>
          <w:p w14:paraId="1428AD81" w14:textId="77777777" w:rsidR="009D12CA" w:rsidRPr="002144A0" w:rsidRDefault="009D12CA" w:rsidP="008217FC">
            <w:pPr>
              <w:spacing w:before="40"/>
              <w:jc w:val="center"/>
              <w:rPr>
                <w:color w:val="000000"/>
                <w:sz w:val="20"/>
                <w:lang w:eastAsia="ja-JP"/>
              </w:rPr>
            </w:pPr>
            <w:r w:rsidRPr="002144A0">
              <w:rPr>
                <w:color w:val="000000"/>
                <w:sz w:val="20"/>
                <w:lang w:eastAsia="ja-JP"/>
              </w:rPr>
              <w:t> </w:t>
            </w:r>
          </w:p>
        </w:tc>
        <w:tc>
          <w:tcPr>
            <w:tcW w:w="586" w:type="dxa"/>
            <w:tcBorders>
              <w:top w:val="nil"/>
              <w:left w:val="nil"/>
              <w:bottom w:val="single" w:sz="4" w:space="0" w:color="auto"/>
              <w:right w:val="single" w:sz="4" w:space="0" w:color="auto"/>
            </w:tcBorders>
            <w:shd w:val="clear" w:color="auto" w:fill="auto"/>
            <w:vAlign w:val="center"/>
            <w:hideMark/>
          </w:tcPr>
          <w:p w14:paraId="7794D98B" w14:textId="77777777" w:rsidR="009D12CA" w:rsidRPr="002144A0" w:rsidRDefault="009D12CA" w:rsidP="008217FC">
            <w:pPr>
              <w:spacing w:before="40"/>
              <w:jc w:val="center"/>
              <w:rPr>
                <w:color w:val="000000"/>
                <w:sz w:val="20"/>
                <w:lang w:eastAsia="ja-JP"/>
              </w:rPr>
            </w:pPr>
            <w:r w:rsidRPr="002144A0">
              <w:rPr>
                <w:color w:val="000000"/>
                <w:sz w:val="20"/>
                <w:lang w:eastAsia="ja-JP"/>
              </w:rPr>
              <w:t> </w:t>
            </w:r>
          </w:p>
        </w:tc>
        <w:tc>
          <w:tcPr>
            <w:tcW w:w="577" w:type="dxa"/>
            <w:tcBorders>
              <w:top w:val="nil"/>
              <w:left w:val="nil"/>
              <w:bottom w:val="single" w:sz="4" w:space="0" w:color="auto"/>
              <w:right w:val="single" w:sz="4" w:space="0" w:color="auto"/>
            </w:tcBorders>
            <w:shd w:val="clear" w:color="auto" w:fill="auto"/>
            <w:vAlign w:val="center"/>
            <w:hideMark/>
          </w:tcPr>
          <w:p w14:paraId="246AA5BB" w14:textId="77777777" w:rsidR="009D12CA" w:rsidRPr="002144A0" w:rsidRDefault="009D12CA" w:rsidP="008217FC">
            <w:pPr>
              <w:spacing w:before="40"/>
              <w:jc w:val="center"/>
              <w:rPr>
                <w:color w:val="000000"/>
                <w:sz w:val="20"/>
                <w:lang w:eastAsia="ja-JP"/>
              </w:rPr>
            </w:pPr>
            <w:r w:rsidRPr="002144A0">
              <w:rPr>
                <w:color w:val="000000"/>
                <w:sz w:val="20"/>
                <w:lang w:eastAsia="ja-JP"/>
              </w:rPr>
              <w:t> </w:t>
            </w:r>
          </w:p>
        </w:tc>
      </w:tr>
      <w:tr w:rsidR="009D12CA" w:rsidRPr="00132C1E" w14:paraId="32EFBC58" w14:textId="77777777" w:rsidTr="002061E5">
        <w:trPr>
          <w:trHeight w:val="300"/>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14:paraId="73DBC4F3" w14:textId="77777777" w:rsidR="009D12CA" w:rsidRPr="009D12CA" w:rsidRDefault="009D12CA" w:rsidP="008217FC">
            <w:pPr>
              <w:spacing w:before="40"/>
              <w:ind w:left="429"/>
              <w:rPr>
                <w:rFonts w:cs="Calibri"/>
                <w:sz w:val="20"/>
                <w:lang w:eastAsia="ja-JP"/>
              </w:rPr>
            </w:pPr>
            <w:r w:rsidRPr="009D12CA">
              <w:rPr>
                <w:rFonts w:cs="Calibri"/>
                <w:sz w:val="20"/>
                <w:lang w:eastAsia="ja-JP"/>
              </w:rPr>
              <w:t>d1) Single storey</w:t>
            </w:r>
          </w:p>
        </w:tc>
        <w:tc>
          <w:tcPr>
            <w:tcW w:w="1068" w:type="dxa"/>
            <w:tcBorders>
              <w:top w:val="nil"/>
              <w:left w:val="nil"/>
              <w:bottom w:val="single" w:sz="4" w:space="0" w:color="auto"/>
              <w:right w:val="single" w:sz="4" w:space="0" w:color="auto"/>
            </w:tcBorders>
            <w:shd w:val="clear" w:color="auto" w:fill="auto"/>
            <w:vAlign w:val="center"/>
            <w:hideMark/>
          </w:tcPr>
          <w:p w14:paraId="511F9D21" w14:textId="77777777" w:rsidR="009D12CA" w:rsidRPr="00FD17CF" w:rsidRDefault="009D12CA" w:rsidP="008217FC">
            <w:pPr>
              <w:spacing w:before="40"/>
              <w:jc w:val="center"/>
              <w:rPr>
                <w:color w:val="000000"/>
                <w:sz w:val="20"/>
                <w:lang w:eastAsia="ja-JP"/>
              </w:rPr>
            </w:pPr>
            <w:r w:rsidRPr="007E6F67">
              <w:rPr>
                <w:color w:val="000000"/>
                <w:sz w:val="20"/>
                <w:lang w:eastAsia="ja-JP"/>
              </w:rPr>
              <w:t>4,0</w:t>
            </w:r>
          </w:p>
        </w:tc>
        <w:tc>
          <w:tcPr>
            <w:tcW w:w="709" w:type="dxa"/>
            <w:tcBorders>
              <w:top w:val="nil"/>
              <w:left w:val="nil"/>
              <w:bottom w:val="single" w:sz="4" w:space="0" w:color="auto"/>
              <w:right w:val="single" w:sz="4" w:space="0" w:color="auto"/>
            </w:tcBorders>
            <w:shd w:val="clear" w:color="auto" w:fill="auto"/>
            <w:vAlign w:val="center"/>
            <w:hideMark/>
          </w:tcPr>
          <w:p w14:paraId="44DBE8C2" w14:textId="77777777" w:rsidR="009D12CA" w:rsidRPr="00E05E29" w:rsidRDefault="009D12CA" w:rsidP="008217FC">
            <w:pPr>
              <w:spacing w:before="40"/>
              <w:jc w:val="center"/>
              <w:rPr>
                <w:color w:val="000000"/>
                <w:sz w:val="20"/>
                <w:lang w:eastAsia="ja-JP"/>
              </w:rPr>
            </w:pPr>
            <w:r w:rsidRPr="00644C3D">
              <w:rPr>
                <w:color w:val="000000"/>
                <w:sz w:val="20"/>
                <w:lang w:eastAsia="ja-JP"/>
              </w:rPr>
              <w:t>1,5</w:t>
            </w:r>
          </w:p>
        </w:tc>
        <w:tc>
          <w:tcPr>
            <w:tcW w:w="631" w:type="dxa"/>
            <w:tcBorders>
              <w:top w:val="nil"/>
              <w:left w:val="nil"/>
              <w:bottom w:val="single" w:sz="4" w:space="0" w:color="auto"/>
              <w:right w:val="single" w:sz="4" w:space="0" w:color="auto"/>
            </w:tcBorders>
            <w:shd w:val="clear" w:color="auto" w:fill="auto"/>
            <w:vAlign w:val="center"/>
            <w:hideMark/>
          </w:tcPr>
          <w:p w14:paraId="437D3849" w14:textId="77777777" w:rsidR="009D12CA" w:rsidRPr="002144A0" w:rsidRDefault="009D12CA" w:rsidP="008217FC">
            <w:pPr>
              <w:spacing w:before="40"/>
              <w:jc w:val="center"/>
              <w:rPr>
                <w:color w:val="000000"/>
                <w:sz w:val="20"/>
                <w:lang w:eastAsia="ja-JP"/>
              </w:rPr>
            </w:pPr>
            <w:r w:rsidRPr="00196951">
              <w:rPr>
                <w:color w:val="000000"/>
                <w:sz w:val="20"/>
                <w:lang w:eastAsia="ja-JP"/>
              </w:rPr>
              <w:t>1,3</w:t>
            </w:r>
          </w:p>
        </w:tc>
        <w:tc>
          <w:tcPr>
            <w:tcW w:w="1309" w:type="dxa"/>
            <w:tcBorders>
              <w:top w:val="nil"/>
              <w:left w:val="nil"/>
              <w:bottom w:val="single" w:sz="4" w:space="0" w:color="auto"/>
              <w:right w:val="single" w:sz="4" w:space="0" w:color="auto"/>
            </w:tcBorders>
            <w:shd w:val="clear" w:color="auto" w:fill="auto"/>
            <w:vAlign w:val="center"/>
            <w:hideMark/>
          </w:tcPr>
          <w:p w14:paraId="35E5323F" w14:textId="77777777" w:rsidR="009D12CA" w:rsidRPr="002144A0" w:rsidRDefault="009D12CA" w:rsidP="008217FC">
            <w:pPr>
              <w:spacing w:before="40"/>
              <w:jc w:val="center"/>
              <w:rPr>
                <w:color w:val="000000"/>
                <w:sz w:val="20"/>
                <w:lang w:eastAsia="ja-JP"/>
              </w:rPr>
            </w:pPr>
            <w:r w:rsidRPr="002144A0">
              <w:rPr>
                <w:color w:val="000000"/>
                <w:sz w:val="20"/>
                <w:lang w:eastAsia="ja-JP"/>
              </w:rPr>
              <w:t>1,1</w:t>
            </w:r>
          </w:p>
        </w:tc>
        <w:tc>
          <w:tcPr>
            <w:tcW w:w="613" w:type="dxa"/>
            <w:tcBorders>
              <w:top w:val="nil"/>
              <w:left w:val="nil"/>
              <w:bottom w:val="single" w:sz="4" w:space="0" w:color="auto"/>
              <w:right w:val="single" w:sz="4" w:space="0" w:color="auto"/>
            </w:tcBorders>
            <w:shd w:val="clear" w:color="auto" w:fill="auto"/>
            <w:vAlign w:val="center"/>
            <w:hideMark/>
          </w:tcPr>
          <w:p w14:paraId="34C559AD" w14:textId="77777777" w:rsidR="009D12CA" w:rsidRPr="002144A0" w:rsidRDefault="009D12CA" w:rsidP="008217FC">
            <w:pPr>
              <w:spacing w:before="40"/>
              <w:jc w:val="center"/>
              <w:rPr>
                <w:color w:val="000000"/>
                <w:sz w:val="20"/>
                <w:lang w:eastAsia="ja-JP"/>
              </w:rPr>
            </w:pPr>
            <w:r w:rsidRPr="002144A0">
              <w:rPr>
                <w:color w:val="000000"/>
                <w:sz w:val="20"/>
                <w:lang w:eastAsia="ja-JP"/>
              </w:rPr>
              <w:t>2,1</w:t>
            </w:r>
          </w:p>
        </w:tc>
        <w:tc>
          <w:tcPr>
            <w:tcW w:w="603" w:type="dxa"/>
            <w:tcBorders>
              <w:top w:val="nil"/>
              <w:left w:val="nil"/>
              <w:bottom w:val="single" w:sz="4" w:space="0" w:color="auto"/>
              <w:right w:val="single" w:sz="4" w:space="0" w:color="auto"/>
            </w:tcBorders>
            <w:shd w:val="clear" w:color="auto" w:fill="auto"/>
            <w:vAlign w:val="center"/>
            <w:hideMark/>
          </w:tcPr>
          <w:p w14:paraId="120E23EF" w14:textId="77777777" w:rsidR="009D12CA" w:rsidRPr="002144A0" w:rsidRDefault="009D12CA" w:rsidP="008217FC">
            <w:pPr>
              <w:spacing w:before="40"/>
              <w:jc w:val="center"/>
              <w:rPr>
                <w:color w:val="000000"/>
                <w:sz w:val="20"/>
                <w:lang w:eastAsia="ja-JP"/>
              </w:rPr>
            </w:pPr>
            <w:r w:rsidRPr="002144A0">
              <w:rPr>
                <w:color w:val="000000"/>
                <w:sz w:val="20"/>
                <w:lang w:eastAsia="ja-JP"/>
              </w:rPr>
              <w:t>2,0</w:t>
            </w:r>
          </w:p>
        </w:tc>
        <w:tc>
          <w:tcPr>
            <w:tcW w:w="586" w:type="dxa"/>
            <w:tcBorders>
              <w:top w:val="nil"/>
              <w:left w:val="nil"/>
              <w:bottom w:val="single" w:sz="4" w:space="0" w:color="auto"/>
              <w:right w:val="single" w:sz="4" w:space="0" w:color="auto"/>
            </w:tcBorders>
            <w:shd w:val="clear" w:color="auto" w:fill="auto"/>
            <w:vAlign w:val="center"/>
            <w:hideMark/>
          </w:tcPr>
          <w:p w14:paraId="43853262" w14:textId="77777777" w:rsidR="009D12CA" w:rsidRPr="002144A0" w:rsidRDefault="009D12CA" w:rsidP="008217FC">
            <w:pPr>
              <w:spacing w:before="40"/>
              <w:jc w:val="center"/>
              <w:rPr>
                <w:color w:val="000000"/>
                <w:sz w:val="20"/>
                <w:lang w:eastAsia="ja-JP"/>
              </w:rPr>
            </w:pPr>
            <w:r w:rsidRPr="002144A0">
              <w:rPr>
                <w:color w:val="000000"/>
                <w:sz w:val="20"/>
                <w:lang w:eastAsia="ja-JP"/>
              </w:rPr>
              <w:t>1,1</w:t>
            </w:r>
          </w:p>
        </w:tc>
        <w:tc>
          <w:tcPr>
            <w:tcW w:w="577" w:type="dxa"/>
            <w:tcBorders>
              <w:top w:val="nil"/>
              <w:left w:val="nil"/>
              <w:bottom w:val="single" w:sz="4" w:space="0" w:color="auto"/>
              <w:right w:val="single" w:sz="4" w:space="0" w:color="auto"/>
            </w:tcBorders>
            <w:shd w:val="clear" w:color="auto" w:fill="auto"/>
            <w:vAlign w:val="center"/>
            <w:hideMark/>
          </w:tcPr>
          <w:p w14:paraId="67EABA08" w14:textId="77777777" w:rsidR="009D12CA" w:rsidRPr="002144A0" w:rsidRDefault="009D12CA" w:rsidP="008217FC">
            <w:pPr>
              <w:spacing w:before="40"/>
              <w:jc w:val="center"/>
              <w:rPr>
                <w:color w:val="000000"/>
                <w:sz w:val="20"/>
                <w:lang w:eastAsia="ja-JP"/>
              </w:rPr>
            </w:pPr>
            <w:r w:rsidRPr="002144A0">
              <w:rPr>
                <w:color w:val="000000"/>
                <w:sz w:val="20"/>
                <w:lang w:eastAsia="ja-JP"/>
              </w:rPr>
              <w:t>3,3</w:t>
            </w:r>
          </w:p>
        </w:tc>
      </w:tr>
      <w:tr w:rsidR="009D12CA" w:rsidRPr="00132C1E" w14:paraId="6F373A91" w14:textId="77777777" w:rsidTr="002061E5">
        <w:trPr>
          <w:trHeight w:val="300"/>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14:paraId="321943FA" w14:textId="77777777" w:rsidR="009D12CA" w:rsidRPr="009D12CA" w:rsidRDefault="009D12CA" w:rsidP="008217FC">
            <w:pPr>
              <w:spacing w:before="40"/>
              <w:ind w:left="429"/>
              <w:rPr>
                <w:rFonts w:cs="Calibri"/>
                <w:sz w:val="20"/>
                <w:lang w:eastAsia="ja-JP"/>
              </w:rPr>
            </w:pPr>
            <w:r w:rsidRPr="009D12CA">
              <w:rPr>
                <w:rFonts w:cs="Calibri"/>
                <w:sz w:val="20"/>
                <w:lang w:eastAsia="ja-JP"/>
              </w:rPr>
              <w:t>d2) Multi-storey, one-bay</w:t>
            </w:r>
          </w:p>
        </w:tc>
        <w:tc>
          <w:tcPr>
            <w:tcW w:w="1068" w:type="dxa"/>
            <w:tcBorders>
              <w:top w:val="nil"/>
              <w:left w:val="nil"/>
              <w:bottom w:val="single" w:sz="4" w:space="0" w:color="auto"/>
              <w:right w:val="single" w:sz="4" w:space="0" w:color="auto"/>
            </w:tcBorders>
            <w:shd w:val="clear" w:color="auto" w:fill="auto"/>
            <w:vAlign w:val="center"/>
            <w:hideMark/>
          </w:tcPr>
          <w:p w14:paraId="0E5196A7" w14:textId="77777777" w:rsidR="009D12CA" w:rsidRPr="00D1484A" w:rsidRDefault="009D12CA" w:rsidP="008217FC">
            <w:pPr>
              <w:spacing w:before="40"/>
              <w:jc w:val="center"/>
              <w:rPr>
                <w:color w:val="000000"/>
                <w:sz w:val="20"/>
                <w:lang w:eastAsia="ja-JP"/>
              </w:rPr>
            </w:pPr>
            <w:r w:rsidRPr="00D1484A">
              <w:rPr>
                <w:color w:val="000000"/>
                <w:sz w:val="20"/>
                <w:lang w:eastAsia="ja-JP"/>
              </w:rPr>
              <w:t>4,0</w:t>
            </w:r>
          </w:p>
        </w:tc>
        <w:tc>
          <w:tcPr>
            <w:tcW w:w="709" w:type="dxa"/>
            <w:tcBorders>
              <w:top w:val="nil"/>
              <w:left w:val="nil"/>
              <w:bottom w:val="single" w:sz="4" w:space="0" w:color="auto"/>
              <w:right w:val="single" w:sz="4" w:space="0" w:color="auto"/>
            </w:tcBorders>
            <w:shd w:val="clear" w:color="auto" w:fill="auto"/>
            <w:vAlign w:val="center"/>
            <w:hideMark/>
          </w:tcPr>
          <w:p w14:paraId="6B0D4D6C" w14:textId="77777777" w:rsidR="009D12CA" w:rsidRPr="00FD17CF" w:rsidRDefault="009D12CA" w:rsidP="008217FC">
            <w:pPr>
              <w:spacing w:before="40"/>
              <w:jc w:val="center"/>
              <w:rPr>
                <w:color w:val="000000"/>
                <w:sz w:val="20"/>
                <w:lang w:eastAsia="ja-JP"/>
              </w:rPr>
            </w:pPr>
            <w:r w:rsidRPr="007E6F67">
              <w:rPr>
                <w:color w:val="000000"/>
                <w:sz w:val="20"/>
                <w:lang w:eastAsia="ja-JP"/>
              </w:rPr>
              <w:t>1,5</w:t>
            </w:r>
          </w:p>
        </w:tc>
        <w:tc>
          <w:tcPr>
            <w:tcW w:w="631" w:type="dxa"/>
            <w:tcBorders>
              <w:top w:val="nil"/>
              <w:left w:val="nil"/>
              <w:bottom w:val="single" w:sz="4" w:space="0" w:color="auto"/>
              <w:right w:val="single" w:sz="4" w:space="0" w:color="auto"/>
            </w:tcBorders>
            <w:shd w:val="clear" w:color="auto" w:fill="auto"/>
            <w:vAlign w:val="center"/>
            <w:hideMark/>
          </w:tcPr>
          <w:p w14:paraId="78601062" w14:textId="77777777" w:rsidR="009D12CA" w:rsidRPr="00E05E29" w:rsidRDefault="009D12CA" w:rsidP="008217FC">
            <w:pPr>
              <w:spacing w:before="40"/>
              <w:jc w:val="center"/>
              <w:rPr>
                <w:color w:val="000000"/>
                <w:sz w:val="20"/>
                <w:lang w:eastAsia="ja-JP"/>
              </w:rPr>
            </w:pPr>
            <w:r w:rsidRPr="00644C3D">
              <w:rPr>
                <w:color w:val="000000"/>
                <w:sz w:val="20"/>
                <w:lang w:eastAsia="ja-JP"/>
              </w:rPr>
              <w:t>1,3</w:t>
            </w:r>
          </w:p>
        </w:tc>
        <w:tc>
          <w:tcPr>
            <w:tcW w:w="1309" w:type="dxa"/>
            <w:tcBorders>
              <w:top w:val="nil"/>
              <w:left w:val="nil"/>
              <w:bottom w:val="single" w:sz="4" w:space="0" w:color="auto"/>
              <w:right w:val="single" w:sz="4" w:space="0" w:color="auto"/>
            </w:tcBorders>
            <w:shd w:val="clear" w:color="auto" w:fill="auto"/>
            <w:vAlign w:val="center"/>
            <w:hideMark/>
          </w:tcPr>
          <w:p w14:paraId="18616C07" w14:textId="77777777" w:rsidR="009D12CA" w:rsidRPr="002144A0" w:rsidRDefault="009D12CA" w:rsidP="008217FC">
            <w:pPr>
              <w:spacing w:before="40"/>
              <w:jc w:val="center"/>
              <w:rPr>
                <w:color w:val="000000"/>
                <w:sz w:val="20"/>
                <w:lang w:eastAsia="ja-JP"/>
              </w:rPr>
            </w:pPr>
            <w:r w:rsidRPr="00196951">
              <w:rPr>
                <w:color w:val="000000"/>
                <w:sz w:val="20"/>
                <w:lang w:eastAsia="ja-JP"/>
              </w:rPr>
              <w:t>1,2</w:t>
            </w:r>
          </w:p>
        </w:tc>
        <w:tc>
          <w:tcPr>
            <w:tcW w:w="613" w:type="dxa"/>
            <w:tcBorders>
              <w:top w:val="nil"/>
              <w:left w:val="nil"/>
              <w:bottom w:val="single" w:sz="4" w:space="0" w:color="auto"/>
              <w:right w:val="single" w:sz="4" w:space="0" w:color="auto"/>
            </w:tcBorders>
            <w:shd w:val="clear" w:color="auto" w:fill="auto"/>
            <w:vAlign w:val="center"/>
            <w:hideMark/>
          </w:tcPr>
          <w:p w14:paraId="6C79F5B9" w14:textId="77777777" w:rsidR="009D12CA" w:rsidRPr="002144A0" w:rsidRDefault="009D12CA" w:rsidP="008217FC">
            <w:pPr>
              <w:spacing w:before="40"/>
              <w:jc w:val="center"/>
              <w:rPr>
                <w:color w:val="000000"/>
                <w:sz w:val="20"/>
                <w:lang w:eastAsia="ja-JP"/>
              </w:rPr>
            </w:pPr>
            <w:r w:rsidRPr="002144A0">
              <w:rPr>
                <w:color w:val="000000"/>
                <w:sz w:val="20"/>
                <w:lang w:eastAsia="ja-JP"/>
              </w:rPr>
              <w:t>2,3</w:t>
            </w:r>
          </w:p>
        </w:tc>
        <w:tc>
          <w:tcPr>
            <w:tcW w:w="603" w:type="dxa"/>
            <w:tcBorders>
              <w:top w:val="nil"/>
              <w:left w:val="nil"/>
              <w:bottom w:val="single" w:sz="4" w:space="0" w:color="auto"/>
              <w:right w:val="single" w:sz="4" w:space="0" w:color="auto"/>
            </w:tcBorders>
            <w:shd w:val="clear" w:color="auto" w:fill="auto"/>
            <w:vAlign w:val="center"/>
            <w:hideMark/>
          </w:tcPr>
          <w:p w14:paraId="1DD4A85B" w14:textId="77777777" w:rsidR="009D12CA" w:rsidRPr="002144A0" w:rsidRDefault="009D12CA" w:rsidP="008217FC">
            <w:pPr>
              <w:spacing w:before="40"/>
              <w:jc w:val="center"/>
              <w:rPr>
                <w:color w:val="000000"/>
                <w:sz w:val="20"/>
                <w:lang w:eastAsia="ja-JP"/>
              </w:rPr>
            </w:pPr>
            <w:r w:rsidRPr="002144A0">
              <w:rPr>
                <w:color w:val="000000"/>
                <w:sz w:val="20"/>
                <w:lang w:eastAsia="ja-JP"/>
              </w:rPr>
              <w:t>2,0</w:t>
            </w:r>
          </w:p>
        </w:tc>
        <w:tc>
          <w:tcPr>
            <w:tcW w:w="586" w:type="dxa"/>
            <w:tcBorders>
              <w:top w:val="nil"/>
              <w:left w:val="nil"/>
              <w:bottom w:val="single" w:sz="4" w:space="0" w:color="auto"/>
              <w:right w:val="single" w:sz="4" w:space="0" w:color="auto"/>
            </w:tcBorders>
            <w:shd w:val="clear" w:color="auto" w:fill="auto"/>
            <w:vAlign w:val="center"/>
            <w:hideMark/>
          </w:tcPr>
          <w:p w14:paraId="024B5F23" w14:textId="77777777" w:rsidR="009D12CA" w:rsidRPr="002144A0" w:rsidRDefault="009D12CA" w:rsidP="008217FC">
            <w:pPr>
              <w:spacing w:before="40"/>
              <w:jc w:val="center"/>
              <w:rPr>
                <w:color w:val="000000"/>
                <w:sz w:val="20"/>
                <w:lang w:eastAsia="ja-JP"/>
              </w:rPr>
            </w:pPr>
            <w:r w:rsidRPr="002144A0">
              <w:rPr>
                <w:color w:val="000000"/>
                <w:sz w:val="20"/>
                <w:lang w:eastAsia="ja-JP"/>
              </w:rPr>
              <w:t>1,2</w:t>
            </w:r>
          </w:p>
        </w:tc>
        <w:tc>
          <w:tcPr>
            <w:tcW w:w="577" w:type="dxa"/>
            <w:tcBorders>
              <w:top w:val="nil"/>
              <w:left w:val="nil"/>
              <w:bottom w:val="single" w:sz="4" w:space="0" w:color="auto"/>
              <w:right w:val="single" w:sz="4" w:space="0" w:color="auto"/>
            </w:tcBorders>
            <w:shd w:val="clear" w:color="auto" w:fill="auto"/>
            <w:vAlign w:val="center"/>
            <w:hideMark/>
          </w:tcPr>
          <w:p w14:paraId="208D7E69" w14:textId="77777777" w:rsidR="009D12CA" w:rsidRPr="002144A0" w:rsidRDefault="009D12CA" w:rsidP="008217FC">
            <w:pPr>
              <w:spacing w:before="40"/>
              <w:jc w:val="center"/>
              <w:rPr>
                <w:color w:val="000000"/>
                <w:sz w:val="20"/>
                <w:lang w:eastAsia="ja-JP"/>
              </w:rPr>
            </w:pPr>
            <w:r w:rsidRPr="002144A0">
              <w:rPr>
                <w:color w:val="000000"/>
                <w:sz w:val="20"/>
                <w:lang w:eastAsia="ja-JP"/>
              </w:rPr>
              <w:t>3,6</w:t>
            </w:r>
          </w:p>
        </w:tc>
      </w:tr>
      <w:tr w:rsidR="009D12CA" w:rsidRPr="00132C1E" w14:paraId="0BEFC485" w14:textId="77777777" w:rsidTr="002061E5">
        <w:trPr>
          <w:trHeight w:val="300"/>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14:paraId="34CEB4E7" w14:textId="77777777" w:rsidR="009D12CA" w:rsidRPr="009D12CA" w:rsidRDefault="009D12CA" w:rsidP="008217FC">
            <w:pPr>
              <w:spacing w:before="40"/>
              <w:ind w:left="415"/>
              <w:rPr>
                <w:rFonts w:cs="Calibri"/>
                <w:sz w:val="20"/>
                <w:lang w:val="it-IT" w:eastAsia="ja-JP"/>
              </w:rPr>
            </w:pPr>
            <w:r w:rsidRPr="009D12CA">
              <w:rPr>
                <w:rFonts w:cs="Calibri"/>
                <w:sz w:val="20"/>
                <w:lang w:val="it-IT" w:eastAsia="ja-JP"/>
              </w:rPr>
              <w:t>d3) Multi-storey, multi-bay</w:t>
            </w:r>
          </w:p>
        </w:tc>
        <w:tc>
          <w:tcPr>
            <w:tcW w:w="1068" w:type="dxa"/>
            <w:tcBorders>
              <w:top w:val="nil"/>
              <w:left w:val="nil"/>
              <w:bottom w:val="single" w:sz="4" w:space="0" w:color="auto"/>
              <w:right w:val="single" w:sz="4" w:space="0" w:color="auto"/>
            </w:tcBorders>
            <w:shd w:val="clear" w:color="auto" w:fill="auto"/>
            <w:vAlign w:val="center"/>
            <w:hideMark/>
          </w:tcPr>
          <w:p w14:paraId="78FECEDE" w14:textId="77777777" w:rsidR="009D12CA" w:rsidRPr="00D1484A" w:rsidRDefault="009D12CA" w:rsidP="008217FC">
            <w:pPr>
              <w:spacing w:before="40"/>
              <w:jc w:val="center"/>
              <w:rPr>
                <w:color w:val="000000"/>
                <w:sz w:val="20"/>
                <w:lang w:eastAsia="ja-JP"/>
              </w:rPr>
            </w:pPr>
            <w:r w:rsidRPr="00D1484A">
              <w:rPr>
                <w:color w:val="000000"/>
                <w:sz w:val="20"/>
                <w:lang w:eastAsia="ja-JP"/>
              </w:rPr>
              <w:t>4,0</w:t>
            </w:r>
          </w:p>
        </w:tc>
        <w:tc>
          <w:tcPr>
            <w:tcW w:w="709" w:type="dxa"/>
            <w:tcBorders>
              <w:top w:val="nil"/>
              <w:left w:val="nil"/>
              <w:bottom w:val="single" w:sz="4" w:space="0" w:color="auto"/>
              <w:right w:val="single" w:sz="4" w:space="0" w:color="auto"/>
            </w:tcBorders>
            <w:shd w:val="clear" w:color="auto" w:fill="auto"/>
            <w:vAlign w:val="center"/>
            <w:hideMark/>
          </w:tcPr>
          <w:p w14:paraId="62530964" w14:textId="77777777" w:rsidR="009D12CA" w:rsidRPr="00FD17CF" w:rsidRDefault="009D12CA" w:rsidP="008217FC">
            <w:pPr>
              <w:spacing w:before="40"/>
              <w:jc w:val="center"/>
              <w:rPr>
                <w:color w:val="000000"/>
                <w:sz w:val="20"/>
                <w:lang w:eastAsia="ja-JP"/>
              </w:rPr>
            </w:pPr>
            <w:r w:rsidRPr="007E6F67">
              <w:rPr>
                <w:color w:val="000000"/>
                <w:sz w:val="20"/>
                <w:lang w:eastAsia="ja-JP"/>
              </w:rPr>
              <w:t>1,5</w:t>
            </w:r>
          </w:p>
        </w:tc>
        <w:tc>
          <w:tcPr>
            <w:tcW w:w="631" w:type="dxa"/>
            <w:tcBorders>
              <w:top w:val="nil"/>
              <w:left w:val="nil"/>
              <w:bottom w:val="single" w:sz="4" w:space="0" w:color="auto"/>
              <w:right w:val="single" w:sz="4" w:space="0" w:color="auto"/>
            </w:tcBorders>
            <w:shd w:val="clear" w:color="auto" w:fill="auto"/>
            <w:vAlign w:val="center"/>
            <w:hideMark/>
          </w:tcPr>
          <w:p w14:paraId="269C2D27" w14:textId="77777777" w:rsidR="009D12CA" w:rsidRPr="00E05E29" w:rsidRDefault="009D12CA" w:rsidP="008217FC">
            <w:pPr>
              <w:spacing w:before="40"/>
              <w:jc w:val="center"/>
              <w:rPr>
                <w:color w:val="000000"/>
                <w:sz w:val="20"/>
                <w:lang w:eastAsia="ja-JP"/>
              </w:rPr>
            </w:pPr>
            <w:r w:rsidRPr="00644C3D">
              <w:rPr>
                <w:color w:val="000000"/>
                <w:sz w:val="20"/>
                <w:lang w:eastAsia="ja-JP"/>
              </w:rPr>
              <w:t>1,3</w:t>
            </w:r>
          </w:p>
        </w:tc>
        <w:tc>
          <w:tcPr>
            <w:tcW w:w="1309" w:type="dxa"/>
            <w:tcBorders>
              <w:top w:val="nil"/>
              <w:left w:val="nil"/>
              <w:bottom w:val="single" w:sz="4" w:space="0" w:color="auto"/>
              <w:right w:val="single" w:sz="4" w:space="0" w:color="auto"/>
            </w:tcBorders>
            <w:shd w:val="clear" w:color="auto" w:fill="auto"/>
            <w:vAlign w:val="center"/>
            <w:hideMark/>
          </w:tcPr>
          <w:p w14:paraId="507CF341" w14:textId="77777777" w:rsidR="009D12CA" w:rsidRPr="002144A0" w:rsidRDefault="009D12CA" w:rsidP="008217FC">
            <w:pPr>
              <w:spacing w:before="40"/>
              <w:jc w:val="center"/>
              <w:rPr>
                <w:color w:val="000000"/>
                <w:sz w:val="20"/>
                <w:lang w:eastAsia="ja-JP"/>
              </w:rPr>
            </w:pPr>
            <w:r w:rsidRPr="00196951">
              <w:rPr>
                <w:color w:val="000000"/>
                <w:sz w:val="20"/>
                <w:lang w:eastAsia="ja-JP"/>
              </w:rPr>
              <w:t>1,3</w:t>
            </w:r>
          </w:p>
        </w:tc>
        <w:tc>
          <w:tcPr>
            <w:tcW w:w="613" w:type="dxa"/>
            <w:tcBorders>
              <w:top w:val="nil"/>
              <w:left w:val="nil"/>
              <w:bottom w:val="single" w:sz="4" w:space="0" w:color="auto"/>
              <w:right w:val="single" w:sz="4" w:space="0" w:color="auto"/>
            </w:tcBorders>
            <w:shd w:val="clear" w:color="auto" w:fill="auto"/>
            <w:vAlign w:val="center"/>
            <w:hideMark/>
          </w:tcPr>
          <w:p w14:paraId="648CE665" w14:textId="77777777" w:rsidR="009D12CA" w:rsidRPr="002144A0" w:rsidRDefault="009D12CA" w:rsidP="008217FC">
            <w:pPr>
              <w:spacing w:before="40"/>
              <w:jc w:val="center"/>
              <w:rPr>
                <w:color w:val="000000"/>
                <w:sz w:val="20"/>
                <w:lang w:eastAsia="ja-JP"/>
              </w:rPr>
            </w:pPr>
            <w:r w:rsidRPr="002144A0">
              <w:rPr>
                <w:color w:val="000000"/>
                <w:sz w:val="20"/>
                <w:lang w:eastAsia="ja-JP"/>
              </w:rPr>
              <w:t>2,5</w:t>
            </w:r>
          </w:p>
        </w:tc>
        <w:tc>
          <w:tcPr>
            <w:tcW w:w="603" w:type="dxa"/>
            <w:tcBorders>
              <w:top w:val="nil"/>
              <w:left w:val="nil"/>
              <w:bottom w:val="single" w:sz="4" w:space="0" w:color="auto"/>
              <w:right w:val="single" w:sz="4" w:space="0" w:color="auto"/>
            </w:tcBorders>
            <w:shd w:val="clear" w:color="auto" w:fill="auto"/>
            <w:vAlign w:val="center"/>
            <w:hideMark/>
          </w:tcPr>
          <w:p w14:paraId="0C6F8C1B" w14:textId="77777777" w:rsidR="009D12CA" w:rsidRPr="002144A0" w:rsidRDefault="009D12CA" w:rsidP="008217FC">
            <w:pPr>
              <w:spacing w:before="40"/>
              <w:jc w:val="center"/>
              <w:rPr>
                <w:color w:val="000000"/>
                <w:sz w:val="20"/>
                <w:lang w:eastAsia="ja-JP"/>
              </w:rPr>
            </w:pPr>
            <w:r w:rsidRPr="002144A0">
              <w:rPr>
                <w:color w:val="000000"/>
                <w:sz w:val="20"/>
                <w:lang w:eastAsia="ja-JP"/>
              </w:rPr>
              <w:t>2,0</w:t>
            </w:r>
          </w:p>
        </w:tc>
        <w:tc>
          <w:tcPr>
            <w:tcW w:w="586" w:type="dxa"/>
            <w:tcBorders>
              <w:top w:val="nil"/>
              <w:left w:val="nil"/>
              <w:bottom w:val="single" w:sz="4" w:space="0" w:color="auto"/>
              <w:right w:val="single" w:sz="4" w:space="0" w:color="auto"/>
            </w:tcBorders>
            <w:shd w:val="clear" w:color="auto" w:fill="auto"/>
            <w:vAlign w:val="center"/>
            <w:hideMark/>
          </w:tcPr>
          <w:p w14:paraId="2E5EB25D" w14:textId="77777777" w:rsidR="009D12CA" w:rsidRPr="002144A0" w:rsidRDefault="009D12CA" w:rsidP="008217FC">
            <w:pPr>
              <w:spacing w:before="40"/>
              <w:jc w:val="center"/>
              <w:rPr>
                <w:color w:val="000000"/>
                <w:sz w:val="20"/>
                <w:lang w:eastAsia="ja-JP"/>
              </w:rPr>
            </w:pPr>
            <w:r w:rsidRPr="002144A0">
              <w:rPr>
                <w:color w:val="000000"/>
                <w:sz w:val="20"/>
                <w:lang w:eastAsia="ja-JP"/>
              </w:rPr>
              <w:t>1,3</w:t>
            </w:r>
          </w:p>
        </w:tc>
        <w:tc>
          <w:tcPr>
            <w:tcW w:w="577" w:type="dxa"/>
            <w:tcBorders>
              <w:top w:val="nil"/>
              <w:left w:val="nil"/>
              <w:bottom w:val="single" w:sz="4" w:space="0" w:color="auto"/>
              <w:right w:val="single" w:sz="4" w:space="0" w:color="auto"/>
            </w:tcBorders>
            <w:shd w:val="clear" w:color="auto" w:fill="auto"/>
            <w:vAlign w:val="center"/>
            <w:hideMark/>
          </w:tcPr>
          <w:p w14:paraId="01ED695D" w14:textId="77777777" w:rsidR="009D12CA" w:rsidRPr="002144A0" w:rsidRDefault="009D12CA" w:rsidP="008217FC">
            <w:pPr>
              <w:spacing w:before="40"/>
              <w:jc w:val="center"/>
              <w:rPr>
                <w:color w:val="000000"/>
                <w:sz w:val="20"/>
                <w:lang w:eastAsia="ja-JP"/>
              </w:rPr>
            </w:pPr>
            <w:r w:rsidRPr="002144A0">
              <w:rPr>
                <w:color w:val="000000"/>
                <w:sz w:val="20"/>
                <w:lang w:eastAsia="ja-JP"/>
              </w:rPr>
              <w:t>3,9</w:t>
            </w:r>
          </w:p>
        </w:tc>
      </w:tr>
      <w:tr w:rsidR="009D12CA" w:rsidRPr="00132C1E" w14:paraId="2DF97725" w14:textId="77777777" w:rsidTr="002061E5">
        <w:trPr>
          <w:trHeight w:val="300"/>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14:paraId="0852CA7C" w14:textId="77777777" w:rsidR="009D12CA" w:rsidRPr="009D12CA" w:rsidRDefault="009D12CA" w:rsidP="008217FC">
            <w:pPr>
              <w:pStyle w:val="ListNumber"/>
              <w:numPr>
                <w:ilvl w:val="0"/>
                <w:numId w:val="204"/>
              </w:numPr>
              <w:spacing w:before="40" w:after="0" w:line="240" w:lineRule="auto"/>
              <w:contextualSpacing w:val="0"/>
              <w:jc w:val="left"/>
              <w:rPr>
                <w:rFonts w:eastAsia="Times New Roman" w:cs="Calibri"/>
                <w:sz w:val="20"/>
                <w:lang w:eastAsia="ja-JP"/>
              </w:rPr>
            </w:pPr>
            <w:r w:rsidRPr="009D12CA">
              <w:rPr>
                <w:rFonts w:eastAsia="Times New Roman" w:cs="Calibri"/>
                <w:sz w:val="20"/>
                <w:lang w:eastAsia="ja-JP"/>
              </w:rPr>
              <w:t xml:space="preserve">Braced frame structures with dowel-type connections </w:t>
            </w:r>
          </w:p>
        </w:tc>
        <w:tc>
          <w:tcPr>
            <w:tcW w:w="1068" w:type="dxa"/>
            <w:tcBorders>
              <w:top w:val="nil"/>
              <w:left w:val="nil"/>
              <w:bottom w:val="single" w:sz="4" w:space="0" w:color="auto"/>
              <w:right w:val="single" w:sz="4" w:space="0" w:color="auto"/>
            </w:tcBorders>
            <w:shd w:val="clear" w:color="auto" w:fill="auto"/>
            <w:vAlign w:val="center"/>
            <w:hideMark/>
          </w:tcPr>
          <w:p w14:paraId="6B2EA8F0" w14:textId="77777777" w:rsidR="009D12CA" w:rsidRPr="00FD17CF" w:rsidRDefault="009D12CA" w:rsidP="008217FC">
            <w:pPr>
              <w:spacing w:before="40"/>
              <w:jc w:val="center"/>
              <w:rPr>
                <w:color w:val="000000"/>
                <w:sz w:val="20"/>
                <w:lang w:eastAsia="ja-JP"/>
              </w:rPr>
            </w:pPr>
            <w:r w:rsidRPr="007E6F67">
              <w:rPr>
                <w:color w:val="000000"/>
                <w:sz w:val="20"/>
                <w:lang w:eastAsia="ja-JP"/>
              </w:rPr>
              <w:t>4,0</w:t>
            </w:r>
          </w:p>
        </w:tc>
        <w:tc>
          <w:tcPr>
            <w:tcW w:w="709" w:type="dxa"/>
            <w:tcBorders>
              <w:top w:val="nil"/>
              <w:left w:val="nil"/>
              <w:bottom w:val="single" w:sz="4" w:space="0" w:color="auto"/>
              <w:right w:val="single" w:sz="4" w:space="0" w:color="auto"/>
            </w:tcBorders>
            <w:shd w:val="clear" w:color="auto" w:fill="auto"/>
            <w:vAlign w:val="center"/>
            <w:hideMark/>
          </w:tcPr>
          <w:p w14:paraId="7813EF15" w14:textId="77777777" w:rsidR="009D12CA" w:rsidRPr="00E05E29" w:rsidRDefault="009D12CA" w:rsidP="008217FC">
            <w:pPr>
              <w:spacing w:before="40"/>
              <w:jc w:val="center"/>
              <w:rPr>
                <w:color w:val="000000"/>
                <w:sz w:val="20"/>
                <w:lang w:eastAsia="ja-JP"/>
              </w:rPr>
            </w:pPr>
            <w:r w:rsidRPr="00644C3D">
              <w:rPr>
                <w:color w:val="000000"/>
                <w:sz w:val="20"/>
                <w:lang w:eastAsia="ja-JP"/>
              </w:rPr>
              <w:t>1,5</w:t>
            </w:r>
          </w:p>
        </w:tc>
        <w:tc>
          <w:tcPr>
            <w:tcW w:w="631" w:type="dxa"/>
            <w:tcBorders>
              <w:top w:val="nil"/>
              <w:left w:val="nil"/>
              <w:bottom w:val="single" w:sz="4" w:space="0" w:color="auto"/>
              <w:right w:val="single" w:sz="4" w:space="0" w:color="auto"/>
            </w:tcBorders>
            <w:shd w:val="clear" w:color="auto" w:fill="auto"/>
            <w:vAlign w:val="center"/>
            <w:hideMark/>
          </w:tcPr>
          <w:p w14:paraId="2FC7E128" w14:textId="77777777" w:rsidR="009D12CA" w:rsidRPr="002144A0" w:rsidRDefault="009D12CA" w:rsidP="008217FC">
            <w:pPr>
              <w:spacing w:before="40"/>
              <w:jc w:val="center"/>
              <w:rPr>
                <w:color w:val="000000"/>
                <w:sz w:val="20"/>
                <w:lang w:eastAsia="ja-JP"/>
              </w:rPr>
            </w:pPr>
            <w:r w:rsidRPr="00196951">
              <w:rPr>
                <w:color w:val="000000"/>
                <w:sz w:val="20"/>
                <w:lang w:eastAsia="ja-JP"/>
              </w:rPr>
              <w:t>1,3</w:t>
            </w:r>
          </w:p>
        </w:tc>
        <w:tc>
          <w:tcPr>
            <w:tcW w:w="1309" w:type="dxa"/>
            <w:tcBorders>
              <w:top w:val="nil"/>
              <w:left w:val="nil"/>
              <w:bottom w:val="single" w:sz="4" w:space="0" w:color="auto"/>
              <w:right w:val="single" w:sz="4" w:space="0" w:color="auto"/>
            </w:tcBorders>
            <w:shd w:val="clear" w:color="auto" w:fill="auto"/>
            <w:vAlign w:val="center"/>
            <w:hideMark/>
          </w:tcPr>
          <w:p w14:paraId="22157DFF" w14:textId="77777777" w:rsidR="009D12CA" w:rsidRPr="002144A0" w:rsidRDefault="009D12CA" w:rsidP="008217FC">
            <w:pPr>
              <w:spacing w:before="40"/>
              <w:jc w:val="center"/>
              <w:rPr>
                <w:color w:val="000000"/>
                <w:sz w:val="20"/>
                <w:lang w:eastAsia="ja-JP"/>
              </w:rPr>
            </w:pPr>
            <w:r w:rsidRPr="002144A0">
              <w:rPr>
                <w:color w:val="000000"/>
                <w:sz w:val="20"/>
                <w:lang w:eastAsia="ja-JP"/>
              </w:rPr>
              <w:t>1,0</w:t>
            </w:r>
          </w:p>
        </w:tc>
        <w:tc>
          <w:tcPr>
            <w:tcW w:w="613" w:type="dxa"/>
            <w:tcBorders>
              <w:top w:val="nil"/>
              <w:left w:val="nil"/>
              <w:bottom w:val="single" w:sz="4" w:space="0" w:color="auto"/>
              <w:right w:val="single" w:sz="4" w:space="0" w:color="auto"/>
            </w:tcBorders>
            <w:shd w:val="clear" w:color="auto" w:fill="auto"/>
            <w:vAlign w:val="center"/>
            <w:hideMark/>
          </w:tcPr>
          <w:p w14:paraId="2D8F5789" w14:textId="77777777" w:rsidR="009D12CA" w:rsidRPr="002144A0" w:rsidRDefault="009D12CA" w:rsidP="008217FC">
            <w:pPr>
              <w:spacing w:before="40"/>
              <w:jc w:val="center"/>
              <w:rPr>
                <w:color w:val="000000"/>
                <w:sz w:val="20"/>
                <w:lang w:eastAsia="ja-JP"/>
              </w:rPr>
            </w:pPr>
            <w:r w:rsidRPr="002144A0">
              <w:rPr>
                <w:color w:val="000000"/>
                <w:sz w:val="20"/>
                <w:lang w:eastAsia="ja-JP"/>
              </w:rPr>
              <w:t>2,0</w:t>
            </w:r>
          </w:p>
        </w:tc>
        <w:tc>
          <w:tcPr>
            <w:tcW w:w="603" w:type="dxa"/>
            <w:tcBorders>
              <w:top w:val="nil"/>
              <w:left w:val="nil"/>
              <w:bottom w:val="single" w:sz="4" w:space="0" w:color="auto"/>
              <w:right w:val="single" w:sz="4" w:space="0" w:color="auto"/>
            </w:tcBorders>
            <w:shd w:val="clear" w:color="auto" w:fill="auto"/>
            <w:vAlign w:val="center"/>
            <w:hideMark/>
          </w:tcPr>
          <w:p w14:paraId="6F1DE993" w14:textId="77777777" w:rsidR="009D12CA" w:rsidRPr="002144A0" w:rsidRDefault="009D12CA" w:rsidP="008217FC">
            <w:pPr>
              <w:spacing w:before="40"/>
              <w:jc w:val="center"/>
              <w:rPr>
                <w:color w:val="000000"/>
                <w:sz w:val="20"/>
                <w:lang w:eastAsia="ja-JP"/>
              </w:rPr>
            </w:pPr>
            <w:r w:rsidRPr="002144A0">
              <w:rPr>
                <w:color w:val="000000"/>
                <w:sz w:val="20"/>
                <w:lang w:eastAsia="ja-JP"/>
              </w:rPr>
              <w:t>N/A</w:t>
            </w:r>
          </w:p>
        </w:tc>
        <w:tc>
          <w:tcPr>
            <w:tcW w:w="586" w:type="dxa"/>
            <w:tcBorders>
              <w:top w:val="nil"/>
              <w:left w:val="nil"/>
              <w:bottom w:val="single" w:sz="4" w:space="0" w:color="auto"/>
              <w:right w:val="single" w:sz="4" w:space="0" w:color="auto"/>
            </w:tcBorders>
            <w:shd w:val="clear" w:color="auto" w:fill="auto"/>
            <w:vAlign w:val="center"/>
            <w:hideMark/>
          </w:tcPr>
          <w:p w14:paraId="69969F31" w14:textId="77777777" w:rsidR="009D12CA" w:rsidRPr="002144A0" w:rsidRDefault="009D12CA" w:rsidP="008217FC">
            <w:pPr>
              <w:spacing w:before="40"/>
              <w:jc w:val="center"/>
              <w:rPr>
                <w:color w:val="000000"/>
                <w:sz w:val="20"/>
                <w:lang w:eastAsia="ja-JP"/>
              </w:rPr>
            </w:pPr>
            <w:r w:rsidRPr="002144A0">
              <w:rPr>
                <w:color w:val="000000"/>
                <w:sz w:val="20"/>
                <w:lang w:eastAsia="ja-JP"/>
              </w:rPr>
              <w:t>N/A</w:t>
            </w:r>
          </w:p>
        </w:tc>
        <w:tc>
          <w:tcPr>
            <w:tcW w:w="577" w:type="dxa"/>
            <w:tcBorders>
              <w:top w:val="nil"/>
              <w:left w:val="nil"/>
              <w:bottom w:val="single" w:sz="4" w:space="0" w:color="auto"/>
              <w:right w:val="single" w:sz="4" w:space="0" w:color="auto"/>
            </w:tcBorders>
            <w:shd w:val="clear" w:color="auto" w:fill="auto"/>
            <w:vAlign w:val="center"/>
            <w:hideMark/>
          </w:tcPr>
          <w:p w14:paraId="5265FF21" w14:textId="77777777" w:rsidR="009D12CA" w:rsidRPr="002144A0" w:rsidRDefault="009D12CA" w:rsidP="008217FC">
            <w:pPr>
              <w:spacing w:before="40"/>
              <w:jc w:val="center"/>
              <w:rPr>
                <w:color w:val="000000"/>
                <w:sz w:val="20"/>
                <w:lang w:eastAsia="ja-JP"/>
              </w:rPr>
            </w:pPr>
            <w:r w:rsidRPr="002144A0">
              <w:rPr>
                <w:color w:val="000000"/>
                <w:sz w:val="20"/>
                <w:lang w:eastAsia="ja-JP"/>
              </w:rPr>
              <w:t>N/A</w:t>
            </w:r>
          </w:p>
        </w:tc>
      </w:tr>
      <w:tr w:rsidR="009D12CA" w:rsidRPr="00132C1E" w14:paraId="5548AA79" w14:textId="77777777" w:rsidTr="002061E5">
        <w:trPr>
          <w:trHeight w:val="300"/>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14:paraId="565C9E55" w14:textId="77777777" w:rsidR="009D12CA" w:rsidRPr="009D12CA" w:rsidRDefault="009D12CA" w:rsidP="008217FC">
            <w:pPr>
              <w:pStyle w:val="ListNumber"/>
              <w:numPr>
                <w:ilvl w:val="0"/>
                <w:numId w:val="204"/>
              </w:numPr>
              <w:spacing w:before="40" w:after="0" w:line="240" w:lineRule="auto"/>
              <w:contextualSpacing w:val="0"/>
              <w:jc w:val="left"/>
              <w:rPr>
                <w:rFonts w:eastAsia="Times New Roman" w:cs="Calibri"/>
                <w:sz w:val="20"/>
                <w:lang w:eastAsia="ja-JP"/>
              </w:rPr>
            </w:pPr>
            <w:r w:rsidRPr="009D12CA">
              <w:rPr>
                <w:rFonts w:eastAsia="Times New Roman" w:cs="Calibri"/>
                <w:sz w:val="20"/>
                <w:lang w:eastAsia="ja-JP"/>
              </w:rPr>
              <w:t>Vertical cantilever structures</w:t>
            </w:r>
          </w:p>
        </w:tc>
        <w:tc>
          <w:tcPr>
            <w:tcW w:w="1068" w:type="dxa"/>
            <w:tcBorders>
              <w:top w:val="nil"/>
              <w:left w:val="nil"/>
              <w:bottom w:val="single" w:sz="4" w:space="0" w:color="auto"/>
              <w:right w:val="single" w:sz="4" w:space="0" w:color="auto"/>
            </w:tcBorders>
            <w:shd w:val="clear" w:color="auto" w:fill="auto"/>
            <w:vAlign w:val="center"/>
            <w:hideMark/>
          </w:tcPr>
          <w:p w14:paraId="3A32FF31" w14:textId="77777777" w:rsidR="009D12CA" w:rsidRPr="00D1484A" w:rsidRDefault="009D12CA" w:rsidP="008217FC">
            <w:pPr>
              <w:spacing w:before="40"/>
              <w:jc w:val="center"/>
              <w:rPr>
                <w:color w:val="000000"/>
                <w:sz w:val="20"/>
                <w:lang w:eastAsia="ja-JP"/>
              </w:rPr>
            </w:pPr>
            <w:r w:rsidRPr="00D1484A">
              <w:rPr>
                <w:color w:val="000000"/>
                <w:sz w:val="20"/>
                <w:lang w:eastAsia="ja-JP"/>
              </w:rPr>
              <w:t>4,0</w:t>
            </w:r>
          </w:p>
        </w:tc>
        <w:tc>
          <w:tcPr>
            <w:tcW w:w="709" w:type="dxa"/>
            <w:tcBorders>
              <w:top w:val="nil"/>
              <w:left w:val="nil"/>
              <w:bottom w:val="single" w:sz="4" w:space="0" w:color="auto"/>
              <w:right w:val="single" w:sz="4" w:space="0" w:color="auto"/>
            </w:tcBorders>
            <w:shd w:val="clear" w:color="auto" w:fill="auto"/>
            <w:vAlign w:val="center"/>
            <w:hideMark/>
          </w:tcPr>
          <w:p w14:paraId="5174CC3F" w14:textId="77777777" w:rsidR="009D12CA" w:rsidRPr="00FD17CF" w:rsidRDefault="009D12CA" w:rsidP="008217FC">
            <w:pPr>
              <w:spacing w:before="40"/>
              <w:jc w:val="center"/>
              <w:rPr>
                <w:color w:val="000000"/>
                <w:sz w:val="20"/>
                <w:lang w:eastAsia="ja-JP"/>
              </w:rPr>
            </w:pPr>
            <w:r w:rsidRPr="007E6F67">
              <w:rPr>
                <w:color w:val="000000"/>
                <w:sz w:val="20"/>
                <w:lang w:eastAsia="ja-JP"/>
              </w:rPr>
              <w:t>1,5</w:t>
            </w:r>
          </w:p>
        </w:tc>
        <w:tc>
          <w:tcPr>
            <w:tcW w:w="631" w:type="dxa"/>
            <w:tcBorders>
              <w:top w:val="nil"/>
              <w:left w:val="nil"/>
              <w:bottom w:val="single" w:sz="4" w:space="0" w:color="auto"/>
              <w:right w:val="single" w:sz="4" w:space="0" w:color="auto"/>
            </w:tcBorders>
            <w:shd w:val="clear" w:color="auto" w:fill="auto"/>
            <w:vAlign w:val="center"/>
            <w:hideMark/>
          </w:tcPr>
          <w:p w14:paraId="08CC77BD" w14:textId="77777777" w:rsidR="009D12CA" w:rsidRPr="00C92028" w:rsidRDefault="009D12CA" w:rsidP="008217FC">
            <w:pPr>
              <w:spacing w:before="40"/>
              <w:jc w:val="center"/>
              <w:rPr>
                <w:sz w:val="20"/>
                <w:lang w:eastAsia="ja-JP"/>
              </w:rPr>
            </w:pPr>
            <w:r w:rsidRPr="00C92028">
              <w:rPr>
                <w:sz w:val="20"/>
                <w:lang w:eastAsia="ja-JP"/>
              </w:rPr>
              <w:t>1,2</w:t>
            </w:r>
          </w:p>
        </w:tc>
        <w:tc>
          <w:tcPr>
            <w:tcW w:w="1309" w:type="dxa"/>
            <w:tcBorders>
              <w:top w:val="nil"/>
              <w:left w:val="nil"/>
              <w:bottom w:val="single" w:sz="4" w:space="0" w:color="auto"/>
              <w:right w:val="single" w:sz="4" w:space="0" w:color="auto"/>
            </w:tcBorders>
            <w:shd w:val="clear" w:color="auto" w:fill="auto"/>
            <w:vAlign w:val="center"/>
            <w:hideMark/>
          </w:tcPr>
          <w:p w14:paraId="271A41E3" w14:textId="77777777" w:rsidR="009D12CA" w:rsidRPr="00C92028" w:rsidRDefault="009D12CA" w:rsidP="008217FC">
            <w:pPr>
              <w:spacing w:before="40"/>
              <w:jc w:val="center"/>
              <w:rPr>
                <w:sz w:val="20"/>
                <w:lang w:eastAsia="ja-JP"/>
              </w:rPr>
            </w:pPr>
            <w:r w:rsidRPr="00C92028">
              <w:rPr>
                <w:sz w:val="20"/>
                <w:lang w:eastAsia="ja-JP"/>
              </w:rPr>
              <w:t>1,3</w:t>
            </w:r>
          </w:p>
        </w:tc>
        <w:tc>
          <w:tcPr>
            <w:tcW w:w="613" w:type="dxa"/>
            <w:tcBorders>
              <w:top w:val="nil"/>
              <w:left w:val="nil"/>
              <w:bottom w:val="single" w:sz="4" w:space="0" w:color="auto"/>
              <w:right w:val="single" w:sz="4" w:space="0" w:color="auto"/>
            </w:tcBorders>
            <w:shd w:val="clear" w:color="auto" w:fill="auto"/>
            <w:vAlign w:val="center"/>
            <w:hideMark/>
          </w:tcPr>
          <w:p w14:paraId="355E6C18" w14:textId="77777777" w:rsidR="009D12CA" w:rsidRPr="00C92028" w:rsidRDefault="009D12CA" w:rsidP="008217FC">
            <w:pPr>
              <w:spacing w:before="40"/>
              <w:jc w:val="center"/>
              <w:rPr>
                <w:sz w:val="20"/>
                <w:lang w:eastAsia="ja-JP"/>
              </w:rPr>
            </w:pPr>
            <w:r w:rsidRPr="00C92028">
              <w:rPr>
                <w:sz w:val="20"/>
                <w:lang w:eastAsia="ja-JP"/>
              </w:rPr>
              <w:t>2,3</w:t>
            </w:r>
          </w:p>
        </w:tc>
        <w:tc>
          <w:tcPr>
            <w:tcW w:w="603" w:type="dxa"/>
            <w:tcBorders>
              <w:top w:val="nil"/>
              <w:left w:val="nil"/>
              <w:bottom w:val="single" w:sz="4" w:space="0" w:color="auto"/>
              <w:right w:val="single" w:sz="4" w:space="0" w:color="auto"/>
            </w:tcBorders>
            <w:shd w:val="clear" w:color="auto" w:fill="auto"/>
            <w:vAlign w:val="center"/>
            <w:hideMark/>
          </w:tcPr>
          <w:p w14:paraId="0265AB44" w14:textId="77777777" w:rsidR="009D12CA" w:rsidRPr="002144A0" w:rsidRDefault="009D12CA" w:rsidP="008217FC">
            <w:pPr>
              <w:spacing w:before="40"/>
              <w:jc w:val="center"/>
              <w:rPr>
                <w:color w:val="000000"/>
                <w:sz w:val="20"/>
                <w:lang w:eastAsia="ja-JP"/>
              </w:rPr>
            </w:pPr>
            <w:r w:rsidRPr="002144A0">
              <w:rPr>
                <w:color w:val="000000"/>
                <w:sz w:val="20"/>
                <w:lang w:eastAsia="ja-JP"/>
              </w:rPr>
              <w:t>N/A</w:t>
            </w:r>
          </w:p>
        </w:tc>
        <w:tc>
          <w:tcPr>
            <w:tcW w:w="586" w:type="dxa"/>
            <w:tcBorders>
              <w:top w:val="nil"/>
              <w:left w:val="nil"/>
              <w:bottom w:val="single" w:sz="4" w:space="0" w:color="auto"/>
              <w:right w:val="single" w:sz="4" w:space="0" w:color="auto"/>
            </w:tcBorders>
            <w:shd w:val="clear" w:color="auto" w:fill="auto"/>
            <w:vAlign w:val="center"/>
            <w:hideMark/>
          </w:tcPr>
          <w:p w14:paraId="1167FB51" w14:textId="77777777" w:rsidR="009D12CA" w:rsidRPr="002144A0" w:rsidRDefault="009D12CA" w:rsidP="008217FC">
            <w:pPr>
              <w:spacing w:before="40"/>
              <w:jc w:val="center"/>
              <w:rPr>
                <w:color w:val="000000"/>
                <w:sz w:val="20"/>
                <w:lang w:eastAsia="ja-JP"/>
              </w:rPr>
            </w:pPr>
            <w:r w:rsidRPr="002144A0">
              <w:rPr>
                <w:color w:val="000000"/>
                <w:sz w:val="20"/>
                <w:lang w:eastAsia="ja-JP"/>
              </w:rPr>
              <w:t>N/A</w:t>
            </w:r>
          </w:p>
        </w:tc>
        <w:tc>
          <w:tcPr>
            <w:tcW w:w="577" w:type="dxa"/>
            <w:tcBorders>
              <w:top w:val="nil"/>
              <w:left w:val="nil"/>
              <w:bottom w:val="single" w:sz="4" w:space="0" w:color="auto"/>
              <w:right w:val="single" w:sz="4" w:space="0" w:color="auto"/>
            </w:tcBorders>
            <w:shd w:val="clear" w:color="auto" w:fill="auto"/>
            <w:vAlign w:val="center"/>
            <w:hideMark/>
          </w:tcPr>
          <w:p w14:paraId="5D20FAF6" w14:textId="77777777" w:rsidR="009D12CA" w:rsidRPr="002144A0" w:rsidRDefault="009D12CA" w:rsidP="008217FC">
            <w:pPr>
              <w:spacing w:before="40"/>
              <w:jc w:val="center"/>
              <w:rPr>
                <w:color w:val="000000"/>
                <w:sz w:val="20"/>
                <w:lang w:eastAsia="ja-JP"/>
              </w:rPr>
            </w:pPr>
            <w:r w:rsidRPr="002144A0">
              <w:rPr>
                <w:color w:val="000000"/>
                <w:sz w:val="20"/>
                <w:lang w:eastAsia="ja-JP"/>
              </w:rPr>
              <w:t>N/A</w:t>
            </w:r>
          </w:p>
        </w:tc>
      </w:tr>
      <w:tr w:rsidR="009D12CA" w:rsidRPr="00132C1E" w14:paraId="4A0FE578" w14:textId="77777777" w:rsidTr="002061E5">
        <w:trPr>
          <w:trHeight w:val="300"/>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14:paraId="5FC0CE81" w14:textId="77777777" w:rsidR="009D12CA" w:rsidRPr="009D12CA" w:rsidRDefault="009D12CA" w:rsidP="008217FC">
            <w:pPr>
              <w:pStyle w:val="ListNumber"/>
              <w:numPr>
                <w:ilvl w:val="0"/>
                <w:numId w:val="204"/>
              </w:numPr>
              <w:spacing w:before="40" w:after="0" w:line="240" w:lineRule="auto"/>
              <w:contextualSpacing w:val="0"/>
              <w:jc w:val="left"/>
              <w:rPr>
                <w:rFonts w:eastAsia="Times New Roman" w:cs="Calibri"/>
                <w:sz w:val="20"/>
                <w:lang w:eastAsia="ja-JP"/>
              </w:rPr>
            </w:pPr>
            <w:r w:rsidRPr="009D12CA">
              <w:rPr>
                <w:rFonts w:eastAsia="Times New Roman" w:cs="Calibri"/>
                <w:sz w:val="20"/>
                <w:lang w:eastAsia="ja-JP"/>
              </w:rPr>
              <w:t>Braced frame structures with carpentry connections and interacting masonry infills</w:t>
            </w:r>
          </w:p>
        </w:tc>
        <w:tc>
          <w:tcPr>
            <w:tcW w:w="1068" w:type="dxa"/>
            <w:tcBorders>
              <w:top w:val="nil"/>
              <w:left w:val="nil"/>
              <w:bottom w:val="single" w:sz="4" w:space="0" w:color="auto"/>
              <w:right w:val="single" w:sz="4" w:space="0" w:color="auto"/>
            </w:tcBorders>
            <w:shd w:val="clear" w:color="auto" w:fill="auto"/>
            <w:vAlign w:val="center"/>
            <w:hideMark/>
          </w:tcPr>
          <w:p w14:paraId="02BF0FF2" w14:textId="77777777" w:rsidR="009D12CA" w:rsidRPr="00E05E29" w:rsidRDefault="009D12CA" w:rsidP="008217FC">
            <w:pPr>
              <w:spacing w:before="40"/>
              <w:jc w:val="center"/>
              <w:rPr>
                <w:color w:val="000000"/>
                <w:sz w:val="20"/>
                <w:lang w:eastAsia="ja-JP"/>
              </w:rPr>
            </w:pPr>
            <w:r w:rsidRPr="00644C3D">
              <w:rPr>
                <w:color w:val="000000"/>
                <w:sz w:val="20"/>
                <w:lang w:eastAsia="ja-JP"/>
              </w:rPr>
              <w:t>4,0</w:t>
            </w:r>
          </w:p>
        </w:tc>
        <w:tc>
          <w:tcPr>
            <w:tcW w:w="709" w:type="dxa"/>
            <w:tcBorders>
              <w:top w:val="nil"/>
              <w:left w:val="nil"/>
              <w:bottom w:val="single" w:sz="4" w:space="0" w:color="auto"/>
              <w:right w:val="single" w:sz="4" w:space="0" w:color="auto"/>
            </w:tcBorders>
            <w:shd w:val="clear" w:color="auto" w:fill="auto"/>
            <w:vAlign w:val="center"/>
            <w:hideMark/>
          </w:tcPr>
          <w:p w14:paraId="76D36BA9" w14:textId="77777777" w:rsidR="009D12CA" w:rsidRPr="002144A0" w:rsidRDefault="009D12CA" w:rsidP="008217FC">
            <w:pPr>
              <w:spacing w:before="40"/>
              <w:jc w:val="center"/>
              <w:rPr>
                <w:color w:val="000000"/>
                <w:sz w:val="20"/>
                <w:lang w:eastAsia="ja-JP"/>
              </w:rPr>
            </w:pPr>
            <w:r w:rsidRPr="00196951">
              <w:rPr>
                <w:color w:val="000000"/>
                <w:sz w:val="20"/>
                <w:lang w:eastAsia="ja-JP"/>
              </w:rPr>
              <w:t>1,5</w:t>
            </w:r>
          </w:p>
        </w:tc>
        <w:tc>
          <w:tcPr>
            <w:tcW w:w="631" w:type="dxa"/>
            <w:tcBorders>
              <w:top w:val="nil"/>
              <w:left w:val="nil"/>
              <w:bottom w:val="single" w:sz="4" w:space="0" w:color="auto"/>
              <w:right w:val="single" w:sz="4" w:space="0" w:color="auto"/>
            </w:tcBorders>
            <w:shd w:val="clear" w:color="auto" w:fill="auto"/>
            <w:vAlign w:val="center"/>
            <w:hideMark/>
          </w:tcPr>
          <w:p w14:paraId="27D62DCE" w14:textId="77777777" w:rsidR="009D12CA" w:rsidRPr="002144A0" w:rsidRDefault="009D12CA" w:rsidP="008217FC">
            <w:pPr>
              <w:spacing w:before="40"/>
              <w:jc w:val="center"/>
              <w:rPr>
                <w:color w:val="000000"/>
                <w:sz w:val="20"/>
                <w:lang w:eastAsia="ja-JP"/>
              </w:rPr>
            </w:pPr>
            <w:r w:rsidRPr="002144A0">
              <w:rPr>
                <w:color w:val="000000"/>
                <w:sz w:val="20"/>
                <w:lang w:eastAsia="ja-JP"/>
              </w:rPr>
              <w:t>1,</w:t>
            </w:r>
            <w:r>
              <w:rPr>
                <w:color w:val="000000"/>
                <w:sz w:val="20"/>
                <w:lang w:eastAsia="ja-JP"/>
              </w:rPr>
              <w:t>3</w:t>
            </w:r>
          </w:p>
        </w:tc>
        <w:tc>
          <w:tcPr>
            <w:tcW w:w="1309" w:type="dxa"/>
            <w:tcBorders>
              <w:top w:val="nil"/>
              <w:left w:val="nil"/>
              <w:bottom w:val="single" w:sz="4" w:space="0" w:color="auto"/>
              <w:right w:val="single" w:sz="4" w:space="0" w:color="auto"/>
            </w:tcBorders>
            <w:shd w:val="clear" w:color="auto" w:fill="auto"/>
            <w:vAlign w:val="center"/>
            <w:hideMark/>
          </w:tcPr>
          <w:p w14:paraId="5EA80888" w14:textId="77777777" w:rsidR="009D12CA" w:rsidRPr="002144A0" w:rsidRDefault="009D12CA" w:rsidP="008217FC">
            <w:pPr>
              <w:spacing w:before="40"/>
              <w:jc w:val="center"/>
              <w:rPr>
                <w:color w:val="000000"/>
                <w:sz w:val="20"/>
                <w:lang w:eastAsia="ja-JP"/>
              </w:rPr>
            </w:pPr>
            <w:r w:rsidRPr="002144A0">
              <w:rPr>
                <w:color w:val="000000"/>
                <w:sz w:val="20"/>
                <w:lang w:eastAsia="ja-JP"/>
              </w:rPr>
              <w:t>1,1</w:t>
            </w:r>
          </w:p>
        </w:tc>
        <w:tc>
          <w:tcPr>
            <w:tcW w:w="613" w:type="dxa"/>
            <w:tcBorders>
              <w:top w:val="nil"/>
              <w:left w:val="nil"/>
              <w:bottom w:val="single" w:sz="4" w:space="0" w:color="auto"/>
              <w:right w:val="single" w:sz="4" w:space="0" w:color="auto"/>
            </w:tcBorders>
            <w:shd w:val="clear" w:color="auto" w:fill="auto"/>
            <w:vAlign w:val="center"/>
            <w:hideMark/>
          </w:tcPr>
          <w:p w14:paraId="6F5C3B4B" w14:textId="77777777" w:rsidR="009D12CA" w:rsidRPr="002144A0" w:rsidRDefault="009D12CA" w:rsidP="008217FC">
            <w:pPr>
              <w:spacing w:before="40"/>
              <w:jc w:val="center"/>
              <w:rPr>
                <w:color w:val="000000"/>
                <w:sz w:val="20"/>
                <w:lang w:eastAsia="ja-JP"/>
              </w:rPr>
            </w:pPr>
            <w:r w:rsidRPr="002144A0">
              <w:rPr>
                <w:color w:val="000000"/>
                <w:sz w:val="20"/>
                <w:lang w:eastAsia="ja-JP"/>
              </w:rPr>
              <w:t>2,0</w:t>
            </w:r>
          </w:p>
        </w:tc>
        <w:tc>
          <w:tcPr>
            <w:tcW w:w="603" w:type="dxa"/>
            <w:tcBorders>
              <w:top w:val="nil"/>
              <w:left w:val="nil"/>
              <w:bottom w:val="single" w:sz="4" w:space="0" w:color="auto"/>
              <w:right w:val="single" w:sz="4" w:space="0" w:color="auto"/>
            </w:tcBorders>
            <w:shd w:val="clear" w:color="auto" w:fill="auto"/>
            <w:vAlign w:val="center"/>
            <w:hideMark/>
          </w:tcPr>
          <w:p w14:paraId="405BB00C" w14:textId="77777777" w:rsidR="009D12CA" w:rsidRPr="002144A0" w:rsidRDefault="009D12CA" w:rsidP="008217FC">
            <w:pPr>
              <w:spacing w:before="40"/>
              <w:jc w:val="center"/>
              <w:rPr>
                <w:color w:val="000000"/>
                <w:sz w:val="20"/>
                <w:lang w:eastAsia="ja-JP"/>
              </w:rPr>
            </w:pPr>
            <w:r w:rsidRPr="002144A0">
              <w:rPr>
                <w:color w:val="000000"/>
                <w:sz w:val="20"/>
                <w:lang w:eastAsia="ja-JP"/>
              </w:rPr>
              <w:t>N/A</w:t>
            </w:r>
          </w:p>
        </w:tc>
        <w:tc>
          <w:tcPr>
            <w:tcW w:w="586" w:type="dxa"/>
            <w:tcBorders>
              <w:top w:val="nil"/>
              <w:left w:val="nil"/>
              <w:bottom w:val="single" w:sz="4" w:space="0" w:color="auto"/>
              <w:right w:val="single" w:sz="4" w:space="0" w:color="auto"/>
            </w:tcBorders>
            <w:shd w:val="clear" w:color="auto" w:fill="auto"/>
            <w:vAlign w:val="center"/>
            <w:hideMark/>
          </w:tcPr>
          <w:p w14:paraId="187D8352" w14:textId="77777777" w:rsidR="009D12CA" w:rsidRPr="002144A0" w:rsidRDefault="009D12CA" w:rsidP="008217FC">
            <w:pPr>
              <w:spacing w:before="40"/>
              <w:jc w:val="center"/>
              <w:rPr>
                <w:color w:val="000000"/>
                <w:sz w:val="20"/>
                <w:lang w:eastAsia="ja-JP"/>
              </w:rPr>
            </w:pPr>
            <w:r w:rsidRPr="002144A0">
              <w:rPr>
                <w:color w:val="000000"/>
                <w:sz w:val="20"/>
                <w:lang w:eastAsia="ja-JP"/>
              </w:rPr>
              <w:t>N/A</w:t>
            </w:r>
          </w:p>
        </w:tc>
        <w:tc>
          <w:tcPr>
            <w:tcW w:w="577" w:type="dxa"/>
            <w:tcBorders>
              <w:top w:val="nil"/>
              <w:left w:val="nil"/>
              <w:bottom w:val="single" w:sz="4" w:space="0" w:color="auto"/>
              <w:right w:val="single" w:sz="4" w:space="0" w:color="auto"/>
            </w:tcBorders>
            <w:shd w:val="clear" w:color="auto" w:fill="auto"/>
            <w:vAlign w:val="center"/>
            <w:hideMark/>
          </w:tcPr>
          <w:p w14:paraId="222394CB" w14:textId="77777777" w:rsidR="009D12CA" w:rsidRPr="002144A0" w:rsidRDefault="009D12CA" w:rsidP="008217FC">
            <w:pPr>
              <w:spacing w:before="40"/>
              <w:jc w:val="center"/>
              <w:rPr>
                <w:color w:val="000000"/>
                <w:sz w:val="20"/>
                <w:lang w:eastAsia="ja-JP"/>
              </w:rPr>
            </w:pPr>
            <w:r w:rsidRPr="002144A0">
              <w:rPr>
                <w:color w:val="000000"/>
                <w:sz w:val="20"/>
                <w:lang w:eastAsia="ja-JP"/>
              </w:rPr>
              <w:t>N/A</w:t>
            </w:r>
          </w:p>
        </w:tc>
      </w:tr>
      <w:tr w:rsidR="009D12CA" w:rsidRPr="00132C1E" w14:paraId="15FF569B" w14:textId="77777777" w:rsidTr="002061E5">
        <w:trPr>
          <w:trHeight w:val="300"/>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14:paraId="5EE30F7F" w14:textId="77777777" w:rsidR="009D12CA" w:rsidRPr="009D12CA" w:rsidRDefault="009D12CA" w:rsidP="008217FC">
            <w:pPr>
              <w:pStyle w:val="ListNumber"/>
              <w:numPr>
                <w:ilvl w:val="0"/>
                <w:numId w:val="0"/>
              </w:numPr>
              <w:spacing w:before="40" w:after="0" w:line="240" w:lineRule="auto"/>
              <w:ind w:left="412" w:hanging="429"/>
              <w:jc w:val="left"/>
              <w:rPr>
                <w:rFonts w:eastAsia="Times New Roman" w:cs="Calibri"/>
                <w:sz w:val="20"/>
                <w:lang w:eastAsia="ja-JP"/>
              </w:rPr>
            </w:pPr>
            <w:r w:rsidRPr="009D12CA">
              <w:rPr>
                <w:rFonts w:eastAsia="Times New Roman" w:cs="Calibri"/>
                <w:sz w:val="20"/>
                <w:lang w:eastAsia="ja-JP"/>
              </w:rPr>
              <w:t>h)</w:t>
            </w:r>
            <w:r w:rsidRPr="009D12CA">
              <w:rPr>
                <w:rFonts w:eastAsia="Times New Roman" w:cs="Calibri"/>
                <w:sz w:val="20"/>
                <w:lang w:eastAsia="ja-JP"/>
              </w:rPr>
              <w:tab/>
              <w:t xml:space="preserve">Braced frame structures with carpentry connections </w:t>
            </w:r>
          </w:p>
        </w:tc>
        <w:tc>
          <w:tcPr>
            <w:tcW w:w="1068" w:type="dxa"/>
            <w:tcBorders>
              <w:top w:val="nil"/>
              <w:left w:val="nil"/>
              <w:bottom w:val="single" w:sz="4" w:space="0" w:color="auto"/>
              <w:right w:val="single" w:sz="4" w:space="0" w:color="auto"/>
            </w:tcBorders>
            <w:shd w:val="clear" w:color="auto" w:fill="auto"/>
            <w:vAlign w:val="center"/>
            <w:hideMark/>
          </w:tcPr>
          <w:p w14:paraId="47D67259" w14:textId="77777777" w:rsidR="009D12CA" w:rsidRPr="00E05E29" w:rsidRDefault="009D12CA" w:rsidP="008217FC">
            <w:pPr>
              <w:spacing w:before="40"/>
              <w:jc w:val="center"/>
              <w:rPr>
                <w:color w:val="000000"/>
                <w:sz w:val="20"/>
                <w:lang w:eastAsia="ja-JP"/>
              </w:rPr>
            </w:pPr>
            <w:r w:rsidRPr="00644C3D">
              <w:rPr>
                <w:color w:val="000000"/>
                <w:sz w:val="20"/>
                <w:lang w:eastAsia="ja-JP"/>
              </w:rPr>
              <w:t>3,0</w:t>
            </w:r>
          </w:p>
        </w:tc>
        <w:tc>
          <w:tcPr>
            <w:tcW w:w="709" w:type="dxa"/>
            <w:tcBorders>
              <w:top w:val="nil"/>
              <w:left w:val="nil"/>
              <w:bottom w:val="single" w:sz="4" w:space="0" w:color="auto"/>
              <w:right w:val="single" w:sz="4" w:space="0" w:color="auto"/>
            </w:tcBorders>
            <w:shd w:val="clear" w:color="auto" w:fill="auto"/>
            <w:vAlign w:val="center"/>
            <w:hideMark/>
          </w:tcPr>
          <w:p w14:paraId="08ED99CD" w14:textId="77777777" w:rsidR="009D12CA" w:rsidRPr="002144A0" w:rsidRDefault="009D12CA" w:rsidP="008217FC">
            <w:pPr>
              <w:spacing w:before="40"/>
              <w:jc w:val="center"/>
              <w:rPr>
                <w:color w:val="000000"/>
                <w:sz w:val="20"/>
                <w:lang w:eastAsia="ja-JP"/>
              </w:rPr>
            </w:pPr>
            <w:r w:rsidRPr="00196951">
              <w:rPr>
                <w:color w:val="000000" w:themeColor="text1"/>
                <w:sz w:val="20"/>
                <w:lang w:eastAsia="ja-JP"/>
              </w:rPr>
              <w:t>1,5</w:t>
            </w:r>
          </w:p>
        </w:tc>
        <w:tc>
          <w:tcPr>
            <w:tcW w:w="631" w:type="dxa"/>
            <w:tcBorders>
              <w:top w:val="nil"/>
              <w:left w:val="nil"/>
              <w:bottom w:val="single" w:sz="4" w:space="0" w:color="auto"/>
              <w:right w:val="single" w:sz="4" w:space="0" w:color="auto"/>
            </w:tcBorders>
            <w:shd w:val="clear" w:color="auto" w:fill="auto"/>
            <w:vAlign w:val="center"/>
            <w:hideMark/>
          </w:tcPr>
          <w:p w14:paraId="1E31FC4E" w14:textId="77777777" w:rsidR="009D12CA" w:rsidRPr="002144A0" w:rsidRDefault="009D12CA" w:rsidP="008217FC">
            <w:pPr>
              <w:spacing w:before="40"/>
              <w:jc w:val="center"/>
              <w:rPr>
                <w:color w:val="000000"/>
                <w:sz w:val="20"/>
                <w:lang w:eastAsia="ja-JP"/>
              </w:rPr>
            </w:pPr>
            <w:r w:rsidRPr="002144A0">
              <w:rPr>
                <w:color w:val="000000"/>
                <w:sz w:val="20"/>
                <w:lang w:eastAsia="ja-JP"/>
              </w:rPr>
              <w:t>N/A</w:t>
            </w:r>
          </w:p>
        </w:tc>
        <w:tc>
          <w:tcPr>
            <w:tcW w:w="1309" w:type="dxa"/>
            <w:tcBorders>
              <w:top w:val="nil"/>
              <w:left w:val="nil"/>
              <w:bottom w:val="single" w:sz="4" w:space="0" w:color="auto"/>
              <w:right w:val="single" w:sz="4" w:space="0" w:color="auto"/>
            </w:tcBorders>
            <w:shd w:val="clear" w:color="auto" w:fill="auto"/>
            <w:vAlign w:val="center"/>
            <w:hideMark/>
          </w:tcPr>
          <w:p w14:paraId="7EA903F7" w14:textId="77777777" w:rsidR="009D12CA" w:rsidRPr="002144A0" w:rsidRDefault="009D12CA" w:rsidP="008217FC">
            <w:pPr>
              <w:spacing w:before="40"/>
              <w:jc w:val="center"/>
              <w:rPr>
                <w:color w:val="000000"/>
                <w:sz w:val="20"/>
                <w:lang w:eastAsia="ja-JP"/>
              </w:rPr>
            </w:pPr>
            <w:r w:rsidRPr="002144A0">
              <w:rPr>
                <w:color w:val="000000"/>
                <w:sz w:val="20"/>
                <w:lang w:eastAsia="ja-JP"/>
              </w:rPr>
              <w:t>N/A</w:t>
            </w:r>
          </w:p>
        </w:tc>
        <w:tc>
          <w:tcPr>
            <w:tcW w:w="613" w:type="dxa"/>
            <w:tcBorders>
              <w:top w:val="nil"/>
              <w:left w:val="nil"/>
              <w:bottom w:val="single" w:sz="4" w:space="0" w:color="auto"/>
              <w:right w:val="single" w:sz="4" w:space="0" w:color="auto"/>
            </w:tcBorders>
            <w:shd w:val="clear" w:color="auto" w:fill="auto"/>
            <w:vAlign w:val="center"/>
            <w:hideMark/>
          </w:tcPr>
          <w:p w14:paraId="350A0D72" w14:textId="77777777" w:rsidR="009D12CA" w:rsidRPr="002144A0" w:rsidRDefault="009D12CA" w:rsidP="008217FC">
            <w:pPr>
              <w:spacing w:before="40"/>
              <w:jc w:val="center"/>
              <w:rPr>
                <w:color w:val="000000"/>
                <w:sz w:val="20"/>
                <w:lang w:eastAsia="ja-JP"/>
              </w:rPr>
            </w:pPr>
            <w:r w:rsidRPr="002144A0">
              <w:rPr>
                <w:color w:val="000000"/>
                <w:sz w:val="20"/>
                <w:lang w:eastAsia="ja-JP"/>
              </w:rPr>
              <w:t>N/A</w:t>
            </w:r>
          </w:p>
        </w:tc>
        <w:tc>
          <w:tcPr>
            <w:tcW w:w="603" w:type="dxa"/>
            <w:tcBorders>
              <w:top w:val="nil"/>
              <w:left w:val="nil"/>
              <w:bottom w:val="single" w:sz="4" w:space="0" w:color="auto"/>
              <w:right w:val="single" w:sz="4" w:space="0" w:color="auto"/>
            </w:tcBorders>
            <w:shd w:val="clear" w:color="auto" w:fill="auto"/>
            <w:vAlign w:val="center"/>
            <w:hideMark/>
          </w:tcPr>
          <w:p w14:paraId="5DB2ABD9" w14:textId="77777777" w:rsidR="009D12CA" w:rsidRPr="002144A0" w:rsidRDefault="009D12CA" w:rsidP="008217FC">
            <w:pPr>
              <w:spacing w:before="40"/>
              <w:jc w:val="center"/>
              <w:rPr>
                <w:color w:val="000000"/>
                <w:sz w:val="20"/>
                <w:lang w:eastAsia="ja-JP"/>
              </w:rPr>
            </w:pPr>
            <w:r w:rsidRPr="002144A0">
              <w:rPr>
                <w:color w:val="000000"/>
                <w:sz w:val="20"/>
                <w:lang w:eastAsia="ja-JP"/>
              </w:rPr>
              <w:t>N/A</w:t>
            </w:r>
          </w:p>
        </w:tc>
        <w:tc>
          <w:tcPr>
            <w:tcW w:w="586" w:type="dxa"/>
            <w:tcBorders>
              <w:top w:val="nil"/>
              <w:left w:val="nil"/>
              <w:bottom w:val="single" w:sz="4" w:space="0" w:color="auto"/>
              <w:right w:val="single" w:sz="4" w:space="0" w:color="auto"/>
            </w:tcBorders>
            <w:shd w:val="clear" w:color="auto" w:fill="auto"/>
            <w:vAlign w:val="center"/>
            <w:hideMark/>
          </w:tcPr>
          <w:p w14:paraId="2A779114" w14:textId="77777777" w:rsidR="009D12CA" w:rsidRPr="002144A0" w:rsidRDefault="009D12CA" w:rsidP="008217FC">
            <w:pPr>
              <w:spacing w:before="40"/>
              <w:jc w:val="center"/>
              <w:rPr>
                <w:color w:val="000000"/>
                <w:sz w:val="20"/>
                <w:lang w:eastAsia="ja-JP"/>
              </w:rPr>
            </w:pPr>
            <w:r w:rsidRPr="002144A0">
              <w:rPr>
                <w:color w:val="000000"/>
                <w:sz w:val="20"/>
                <w:lang w:eastAsia="ja-JP"/>
              </w:rPr>
              <w:t>N/A</w:t>
            </w:r>
          </w:p>
        </w:tc>
        <w:tc>
          <w:tcPr>
            <w:tcW w:w="577" w:type="dxa"/>
            <w:tcBorders>
              <w:top w:val="nil"/>
              <w:left w:val="nil"/>
              <w:bottom w:val="single" w:sz="4" w:space="0" w:color="auto"/>
              <w:right w:val="single" w:sz="4" w:space="0" w:color="auto"/>
            </w:tcBorders>
            <w:shd w:val="clear" w:color="auto" w:fill="auto"/>
            <w:vAlign w:val="center"/>
            <w:hideMark/>
          </w:tcPr>
          <w:p w14:paraId="48057FA9" w14:textId="77777777" w:rsidR="009D12CA" w:rsidRPr="002144A0" w:rsidRDefault="009D12CA" w:rsidP="008217FC">
            <w:pPr>
              <w:spacing w:before="40"/>
              <w:jc w:val="center"/>
              <w:rPr>
                <w:color w:val="000000"/>
                <w:sz w:val="20"/>
                <w:lang w:eastAsia="ja-JP"/>
              </w:rPr>
            </w:pPr>
            <w:r w:rsidRPr="002144A0">
              <w:rPr>
                <w:color w:val="000000"/>
                <w:sz w:val="20"/>
                <w:lang w:eastAsia="ja-JP"/>
              </w:rPr>
              <w:t>N/A</w:t>
            </w:r>
          </w:p>
        </w:tc>
      </w:tr>
      <w:tr w:rsidR="009D12CA" w:rsidRPr="00132C1E" w14:paraId="5D500EE3" w14:textId="77777777" w:rsidTr="002061E5">
        <w:trPr>
          <w:trHeight w:val="300"/>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14:paraId="7FAA3479" w14:textId="77777777" w:rsidR="009D12CA" w:rsidRPr="009D12CA" w:rsidRDefault="009D12CA" w:rsidP="008217FC">
            <w:pPr>
              <w:pStyle w:val="ListNumber"/>
              <w:numPr>
                <w:ilvl w:val="0"/>
                <w:numId w:val="0"/>
              </w:numPr>
              <w:spacing w:before="40" w:after="0" w:line="240" w:lineRule="auto"/>
              <w:ind w:left="398" w:hanging="398"/>
              <w:jc w:val="left"/>
              <w:rPr>
                <w:rFonts w:eastAsia="Times New Roman" w:cs="Calibri"/>
                <w:sz w:val="20"/>
                <w:lang w:eastAsia="ja-JP"/>
              </w:rPr>
            </w:pPr>
            <w:r w:rsidRPr="009D12CA">
              <w:rPr>
                <w:rFonts w:eastAsia="Times New Roman" w:cs="Calibri"/>
                <w:sz w:val="20"/>
                <w:lang w:eastAsia="ja-JP"/>
              </w:rPr>
              <w:t>i)</w:t>
            </w:r>
            <w:r w:rsidRPr="009D12CA">
              <w:rPr>
                <w:rFonts w:eastAsia="Times New Roman" w:cs="Calibri"/>
                <w:sz w:val="20"/>
                <w:lang w:eastAsia="ja-JP"/>
              </w:rPr>
              <w:tab/>
              <w:t>Two-pin and three-pin timber arches, three-pin timber frames and timber dome structures</w:t>
            </w:r>
          </w:p>
        </w:tc>
        <w:tc>
          <w:tcPr>
            <w:tcW w:w="1068" w:type="dxa"/>
            <w:tcBorders>
              <w:top w:val="nil"/>
              <w:left w:val="nil"/>
              <w:bottom w:val="single" w:sz="4" w:space="0" w:color="auto"/>
              <w:right w:val="single" w:sz="4" w:space="0" w:color="auto"/>
            </w:tcBorders>
            <w:shd w:val="clear" w:color="auto" w:fill="auto"/>
            <w:vAlign w:val="center"/>
            <w:hideMark/>
          </w:tcPr>
          <w:p w14:paraId="3FAC00B1" w14:textId="77777777" w:rsidR="009D12CA" w:rsidRPr="00FD17CF" w:rsidRDefault="009D12CA" w:rsidP="008217FC">
            <w:pPr>
              <w:spacing w:before="40"/>
              <w:jc w:val="center"/>
              <w:rPr>
                <w:color w:val="000000"/>
                <w:sz w:val="20"/>
                <w:lang w:eastAsia="ja-JP"/>
              </w:rPr>
            </w:pPr>
            <w:r w:rsidRPr="007E6F67">
              <w:rPr>
                <w:color w:val="000000"/>
                <w:sz w:val="20"/>
                <w:lang w:eastAsia="ja-JP"/>
              </w:rPr>
              <w:t>3,0</w:t>
            </w:r>
          </w:p>
        </w:tc>
        <w:tc>
          <w:tcPr>
            <w:tcW w:w="709" w:type="dxa"/>
            <w:tcBorders>
              <w:top w:val="nil"/>
              <w:left w:val="nil"/>
              <w:bottom w:val="single" w:sz="4" w:space="0" w:color="auto"/>
              <w:right w:val="single" w:sz="4" w:space="0" w:color="auto"/>
            </w:tcBorders>
            <w:shd w:val="clear" w:color="auto" w:fill="auto"/>
            <w:vAlign w:val="center"/>
            <w:hideMark/>
          </w:tcPr>
          <w:p w14:paraId="44A34E28" w14:textId="77777777" w:rsidR="009D12CA" w:rsidRPr="00E05E29" w:rsidRDefault="009D12CA" w:rsidP="008217FC">
            <w:pPr>
              <w:spacing w:before="40"/>
              <w:jc w:val="center"/>
              <w:rPr>
                <w:color w:val="000000"/>
                <w:sz w:val="20"/>
                <w:lang w:eastAsia="ja-JP"/>
              </w:rPr>
            </w:pPr>
            <w:r w:rsidRPr="00644C3D">
              <w:rPr>
                <w:color w:val="000000" w:themeColor="text1"/>
                <w:sz w:val="20"/>
                <w:lang w:eastAsia="ja-JP"/>
              </w:rPr>
              <w:t>1,5</w:t>
            </w:r>
          </w:p>
        </w:tc>
        <w:tc>
          <w:tcPr>
            <w:tcW w:w="631" w:type="dxa"/>
            <w:tcBorders>
              <w:top w:val="nil"/>
              <w:left w:val="nil"/>
              <w:bottom w:val="single" w:sz="4" w:space="0" w:color="auto"/>
              <w:right w:val="single" w:sz="4" w:space="0" w:color="auto"/>
            </w:tcBorders>
            <w:shd w:val="clear" w:color="auto" w:fill="auto"/>
            <w:vAlign w:val="center"/>
            <w:hideMark/>
          </w:tcPr>
          <w:p w14:paraId="47FA35CA" w14:textId="77777777" w:rsidR="009D12CA" w:rsidRPr="002144A0" w:rsidRDefault="009D12CA" w:rsidP="008217FC">
            <w:pPr>
              <w:spacing w:before="40"/>
              <w:jc w:val="center"/>
              <w:rPr>
                <w:color w:val="000000"/>
                <w:sz w:val="20"/>
                <w:lang w:eastAsia="ja-JP"/>
              </w:rPr>
            </w:pPr>
            <w:r w:rsidRPr="00196951">
              <w:rPr>
                <w:color w:val="000000"/>
                <w:sz w:val="20"/>
                <w:lang w:eastAsia="ja-JP"/>
              </w:rPr>
              <w:t>N/A</w:t>
            </w:r>
          </w:p>
        </w:tc>
        <w:tc>
          <w:tcPr>
            <w:tcW w:w="1309" w:type="dxa"/>
            <w:tcBorders>
              <w:top w:val="nil"/>
              <w:left w:val="nil"/>
              <w:bottom w:val="single" w:sz="4" w:space="0" w:color="auto"/>
              <w:right w:val="single" w:sz="4" w:space="0" w:color="auto"/>
            </w:tcBorders>
            <w:shd w:val="clear" w:color="auto" w:fill="auto"/>
            <w:vAlign w:val="center"/>
            <w:hideMark/>
          </w:tcPr>
          <w:p w14:paraId="64EE5761" w14:textId="77777777" w:rsidR="009D12CA" w:rsidRPr="002144A0" w:rsidRDefault="009D12CA" w:rsidP="008217FC">
            <w:pPr>
              <w:spacing w:before="40"/>
              <w:jc w:val="center"/>
              <w:rPr>
                <w:color w:val="000000"/>
                <w:sz w:val="20"/>
                <w:lang w:eastAsia="ja-JP"/>
              </w:rPr>
            </w:pPr>
            <w:r w:rsidRPr="002144A0">
              <w:rPr>
                <w:color w:val="000000"/>
                <w:sz w:val="20"/>
                <w:lang w:eastAsia="ja-JP"/>
              </w:rPr>
              <w:t>N/A</w:t>
            </w:r>
          </w:p>
        </w:tc>
        <w:tc>
          <w:tcPr>
            <w:tcW w:w="613" w:type="dxa"/>
            <w:tcBorders>
              <w:top w:val="nil"/>
              <w:left w:val="nil"/>
              <w:bottom w:val="single" w:sz="4" w:space="0" w:color="auto"/>
              <w:right w:val="single" w:sz="4" w:space="0" w:color="auto"/>
            </w:tcBorders>
            <w:shd w:val="clear" w:color="auto" w:fill="auto"/>
            <w:vAlign w:val="center"/>
            <w:hideMark/>
          </w:tcPr>
          <w:p w14:paraId="269B0BA4" w14:textId="77777777" w:rsidR="009D12CA" w:rsidRPr="002144A0" w:rsidRDefault="009D12CA" w:rsidP="008217FC">
            <w:pPr>
              <w:spacing w:before="40"/>
              <w:jc w:val="center"/>
              <w:rPr>
                <w:color w:val="000000"/>
                <w:sz w:val="20"/>
                <w:lang w:eastAsia="ja-JP"/>
              </w:rPr>
            </w:pPr>
            <w:r w:rsidRPr="002144A0">
              <w:rPr>
                <w:color w:val="000000"/>
                <w:sz w:val="20"/>
                <w:lang w:eastAsia="ja-JP"/>
              </w:rPr>
              <w:t>N/A</w:t>
            </w:r>
          </w:p>
        </w:tc>
        <w:tc>
          <w:tcPr>
            <w:tcW w:w="603" w:type="dxa"/>
            <w:tcBorders>
              <w:top w:val="nil"/>
              <w:left w:val="nil"/>
              <w:bottom w:val="single" w:sz="4" w:space="0" w:color="auto"/>
              <w:right w:val="single" w:sz="4" w:space="0" w:color="auto"/>
            </w:tcBorders>
            <w:shd w:val="clear" w:color="auto" w:fill="auto"/>
            <w:vAlign w:val="center"/>
            <w:hideMark/>
          </w:tcPr>
          <w:p w14:paraId="251A5F88" w14:textId="77777777" w:rsidR="009D12CA" w:rsidRPr="002144A0" w:rsidRDefault="009D12CA" w:rsidP="008217FC">
            <w:pPr>
              <w:spacing w:before="40"/>
              <w:jc w:val="center"/>
              <w:rPr>
                <w:color w:val="000000"/>
                <w:sz w:val="20"/>
                <w:lang w:eastAsia="ja-JP"/>
              </w:rPr>
            </w:pPr>
            <w:r w:rsidRPr="002144A0">
              <w:rPr>
                <w:color w:val="000000"/>
                <w:sz w:val="20"/>
                <w:lang w:eastAsia="ja-JP"/>
              </w:rPr>
              <w:t>N/A</w:t>
            </w:r>
          </w:p>
        </w:tc>
        <w:tc>
          <w:tcPr>
            <w:tcW w:w="586" w:type="dxa"/>
            <w:tcBorders>
              <w:top w:val="nil"/>
              <w:left w:val="nil"/>
              <w:bottom w:val="single" w:sz="4" w:space="0" w:color="auto"/>
              <w:right w:val="single" w:sz="4" w:space="0" w:color="auto"/>
            </w:tcBorders>
            <w:shd w:val="clear" w:color="auto" w:fill="auto"/>
            <w:vAlign w:val="center"/>
            <w:hideMark/>
          </w:tcPr>
          <w:p w14:paraId="7FCFACC9" w14:textId="77777777" w:rsidR="009D12CA" w:rsidRPr="002144A0" w:rsidRDefault="009D12CA" w:rsidP="008217FC">
            <w:pPr>
              <w:spacing w:before="40"/>
              <w:jc w:val="center"/>
              <w:rPr>
                <w:color w:val="000000"/>
                <w:sz w:val="20"/>
                <w:lang w:eastAsia="ja-JP"/>
              </w:rPr>
            </w:pPr>
            <w:r w:rsidRPr="002144A0">
              <w:rPr>
                <w:color w:val="000000"/>
                <w:sz w:val="20"/>
                <w:lang w:eastAsia="ja-JP"/>
              </w:rPr>
              <w:t>N/A</w:t>
            </w:r>
          </w:p>
        </w:tc>
        <w:tc>
          <w:tcPr>
            <w:tcW w:w="577" w:type="dxa"/>
            <w:tcBorders>
              <w:top w:val="nil"/>
              <w:left w:val="nil"/>
              <w:bottom w:val="single" w:sz="4" w:space="0" w:color="auto"/>
              <w:right w:val="single" w:sz="4" w:space="0" w:color="auto"/>
            </w:tcBorders>
            <w:shd w:val="clear" w:color="auto" w:fill="auto"/>
            <w:vAlign w:val="center"/>
            <w:hideMark/>
          </w:tcPr>
          <w:p w14:paraId="5D2486B1" w14:textId="77777777" w:rsidR="009D12CA" w:rsidRPr="002144A0" w:rsidRDefault="009D12CA" w:rsidP="008217FC">
            <w:pPr>
              <w:spacing w:before="40"/>
              <w:jc w:val="center"/>
              <w:rPr>
                <w:color w:val="000000"/>
                <w:sz w:val="20"/>
                <w:lang w:eastAsia="ja-JP"/>
              </w:rPr>
            </w:pPr>
            <w:r w:rsidRPr="002144A0">
              <w:rPr>
                <w:color w:val="000000"/>
                <w:sz w:val="20"/>
                <w:lang w:eastAsia="ja-JP"/>
              </w:rPr>
              <w:t>N/A</w:t>
            </w:r>
          </w:p>
        </w:tc>
      </w:tr>
      <w:tr w:rsidR="009D12CA" w:rsidRPr="00132C1E" w14:paraId="49499D89" w14:textId="77777777" w:rsidTr="002061E5">
        <w:trPr>
          <w:trHeight w:val="300"/>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14:paraId="63580B74" w14:textId="77777777" w:rsidR="009D12CA" w:rsidRPr="009D12CA" w:rsidRDefault="009D12CA" w:rsidP="008217FC">
            <w:pPr>
              <w:pStyle w:val="ListNumber"/>
              <w:numPr>
                <w:ilvl w:val="0"/>
                <w:numId w:val="0"/>
              </w:numPr>
              <w:spacing w:before="40" w:after="0" w:line="240" w:lineRule="auto"/>
              <w:ind w:left="384" w:hanging="384"/>
              <w:jc w:val="left"/>
              <w:rPr>
                <w:rFonts w:eastAsia="Times New Roman" w:cs="Calibri"/>
                <w:sz w:val="20"/>
                <w:lang w:eastAsia="ja-JP"/>
              </w:rPr>
            </w:pPr>
            <w:r w:rsidRPr="009D12CA">
              <w:rPr>
                <w:rFonts w:eastAsia="Times New Roman" w:cs="Calibri"/>
                <w:sz w:val="20"/>
                <w:lang w:eastAsia="ja-JP"/>
              </w:rPr>
              <w:t>j)</w:t>
            </w:r>
            <w:r w:rsidRPr="009D12CA">
              <w:rPr>
                <w:rFonts w:eastAsia="Times New Roman" w:cs="Calibri"/>
                <w:sz w:val="20"/>
                <w:lang w:eastAsia="ja-JP"/>
              </w:rPr>
              <w:tab/>
              <w:t>Large span timber truss portal frame structures.</w:t>
            </w:r>
          </w:p>
        </w:tc>
        <w:tc>
          <w:tcPr>
            <w:tcW w:w="1068" w:type="dxa"/>
            <w:tcBorders>
              <w:top w:val="nil"/>
              <w:left w:val="nil"/>
              <w:bottom w:val="single" w:sz="4" w:space="0" w:color="auto"/>
              <w:right w:val="single" w:sz="4" w:space="0" w:color="auto"/>
            </w:tcBorders>
            <w:shd w:val="clear" w:color="auto" w:fill="auto"/>
            <w:vAlign w:val="center"/>
            <w:hideMark/>
          </w:tcPr>
          <w:p w14:paraId="43BC5E0C" w14:textId="77777777" w:rsidR="009D12CA" w:rsidRPr="00FD17CF" w:rsidRDefault="009D12CA" w:rsidP="008217FC">
            <w:pPr>
              <w:spacing w:before="40"/>
              <w:jc w:val="center"/>
              <w:rPr>
                <w:color w:val="000000"/>
                <w:sz w:val="20"/>
                <w:lang w:eastAsia="ja-JP"/>
              </w:rPr>
            </w:pPr>
            <w:r w:rsidRPr="007E6F67">
              <w:rPr>
                <w:color w:val="000000"/>
                <w:sz w:val="20"/>
                <w:lang w:eastAsia="ja-JP"/>
              </w:rPr>
              <w:t>3,0</w:t>
            </w:r>
          </w:p>
        </w:tc>
        <w:tc>
          <w:tcPr>
            <w:tcW w:w="709" w:type="dxa"/>
            <w:tcBorders>
              <w:top w:val="nil"/>
              <w:left w:val="nil"/>
              <w:bottom w:val="single" w:sz="4" w:space="0" w:color="auto"/>
              <w:right w:val="single" w:sz="4" w:space="0" w:color="auto"/>
            </w:tcBorders>
            <w:shd w:val="clear" w:color="auto" w:fill="auto"/>
            <w:vAlign w:val="center"/>
            <w:hideMark/>
          </w:tcPr>
          <w:p w14:paraId="2C70C455" w14:textId="77777777" w:rsidR="009D12CA" w:rsidRPr="00E05E29" w:rsidRDefault="009D12CA" w:rsidP="008217FC">
            <w:pPr>
              <w:spacing w:before="40"/>
              <w:jc w:val="center"/>
              <w:rPr>
                <w:color w:val="000000"/>
                <w:sz w:val="20"/>
                <w:lang w:eastAsia="ja-JP"/>
              </w:rPr>
            </w:pPr>
            <w:r w:rsidRPr="00644C3D">
              <w:rPr>
                <w:color w:val="000000" w:themeColor="text1"/>
                <w:sz w:val="20"/>
                <w:lang w:eastAsia="ja-JP"/>
              </w:rPr>
              <w:t>1,5</w:t>
            </w:r>
          </w:p>
        </w:tc>
        <w:tc>
          <w:tcPr>
            <w:tcW w:w="631" w:type="dxa"/>
            <w:tcBorders>
              <w:top w:val="nil"/>
              <w:left w:val="nil"/>
              <w:bottom w:val="single" w:sz="4" w:space="0" w:color="auto"/>
              <w:right w:val="single" w:sz="4" w:space="0" w:color="auto"/>
            </w:tcBorders>
            <w:shd w:val="clear" w:color="auto" w:fill="auto"/>
            <w:vAlign w:val="center"/>
            <w:hideMark/>
          </w:tcPr>
          <w:p w14:paraId="7D28BFC6" w14:textId="77777777" w:rsidR="009D12CA" w:rsidRPr="002144A0" w:rsidRDefault="009D12CA" w:rsidP="008217FC">
            <w:pPr>
              <w:spacing w:before="40"/>
              <w:jc w:val="center"/>
              <w:rPr>
                <w:color w:val="000000"/>
                <w:sz w:val="20"/>
                <w:lang w:eastAsia="ja-JP"/>
              </w:rPr>
            </w:pPr>
            <w:r w:rsidRPr="00196951">
              <w:rPr>
                <w:color w:val="000000"/>
                <w:sz w:val="20"/>
                <w:lang w:eastAsia="ja-JP"/>
              </w:rPr>
              <w:t>N/A</w:t>
            </w:r>
          </w:p>
        </w:tc>
        <w:tc>
          <w:tcPr>
            <w:tcW w:w="1309" w:type="dxa"/>
            <w:tcBorders>
              <w:top w:val="nil"/>
              <w:left w:val="nil"/>
              <w:bottom w:val="single" w:sz="4" w:space="0" w:color="auto"/>
              <w:right w:val="single" w:sz="4" w:space="0" w:color="auto"/>
            </w:tcBorders>
            <w:shd w:val="clear" w:color="auto" w:fill="auto"/>
            <w:vAlign w:val="center"/>
            <w:hideMark/>
          </w:tcPr>
          <w:p w14:paraId="1F521966" w14:textId="77777777" w:rsidR="009D12CA" w:rsidRPr="002144A0" w:rsidRDefault="009D12CA" w:rsidP="008217FC">
            <w:pPr>
              <w:spacing w:before="40"/>
              <w:jc w:val="center"/>
              <w:rPr>
                <w:color w:val="000000"/>
                <w:sz w:val="20"/>
                <w:lang w:eastAsia="ja-JP"/>
              </w:rPr>
            </w:pPr>
            <w:r w:rsidRPr="002144A0">
              <w:rPr>
                <w:color w:val="000000"/>
                <w:sz w:val="20"/>
                <w:lang w:eastAsia="ja-JP"/>
              </w:rPr>
              <w:t>N/A</w:t>
            </w:r>
          </w:p>
        </w:tc>
        <w:tc>
          <w:tcPr>
            <w:tcW w:w="613" w:type="dxa"/>
            <w:tcBorders>
              <w:top w:val="nil"/>
              <w:left w:val="nil"/>
              <w:bottom w:val="single" w:sz="4" w:space="0" w:color="auto"/>
              <w:right w:val="single" w:sz="4" w:space="0" w:color="auto"/>
            </w:tcBorders>
            <w:shd w:val="clear" w:color="auto" w:fill="auto"/>
            <w:vAlign w:val="center"/>
            <w:hideMark/>
          </w:tcPr>
          <w:p w14:paraId="2BA52B4F" w14:textId="77777777" w:rsidR="009D12CA" w:rsidRPr="002144A0" w:rsidRDefault="009D12CA" w:rsidP="008217FC">
            <w:pPr>
              <w:spacing w:before="40"/>
              <w:jc w:val="center"/>
              <w:rPr>
                <w:color w:val="000000"/>
                <w:sz w:val="20"/>
                <w:lang w:eastAsia="ja-JP"/>
              </w:rPr>
            </w:pPr>
            <w:r w:rsidRPr="002144A0">
              <w:rPr>
                <w:color w:val="000000"/>
                <w:sz w:val="20"/>
                <w:lang w:eastAsia="ja-JP"/>
              </w:rPr>
              <w:t>N/A</w:t>
            </w:r>
          </w:p>
        </w:tc>
        <w:tc>
          <w:tcPr>
            <w:tcW w:w="603" w:type="dxa"/>
            <w:tcBorders>
              <w:top w:val="nil"/>
              <w:left w:val="nil"/>
              <w:bottom w:val="single" w:sz="4" w:space="0" w:color="auto"/>
              <w:right w:val="single" w:sz="4" w:space="0" w:color="auto"/>
            </w:tcBorders>
            <w:shd w:val="clear" w:color="auto" w:fill="auto"/>
            <w:vAlign w:val="center"/>
            <w:hideMark/>
          </w:tcPr>
          <w:p w14:paraId="7A7B3396" w14:textId="77777777" w:rsidR="009D12CA" w:rsidRPr="002144A0" w:rsidRDefault="009D12CA" w:rsidP="008217FC">
            <w:pPr>
              <w:spacing w:before="40"/>
              <w:jc w:val="center"/>
              <w:rPr>
                <w:color w:val="000000"/>
                <w:sz w:val="20"/>
                <w:lang w:eastAsia="ja-JP"/>
              </w:rPr>
            </w:pPr>
            <w:r w:rsidRPr="002144A0">
              <w:rPr>
                <w:color w:val="000000"/>
                <w:sz w:val="20"/>
                <w:lang w:eastAsia="ja-JP"/>
              </w:rPr>
              <w:t>N/A</w:t>
            </w:r>
          </w:p>
        </w:tc>
        <w:tc>
          <w:tcPr>
            <w:tcW w:w="586" w:type="dxa"/>
            <w:tcBorders>
              <w:top w:val="nil"/>
              <w:left w:val="nil"/>
              <w:bottom w:val="single" w:sz="4" w:space="0" w:color="auto"/>
              <w:right w:val="single" w:sz="4" w:space="0" w:color="auto"/>
            </w:tcBorders>
            <w:shd w:val="clear" w:color="auto" w:fill="auto"/>
            <w:vAlign w:val="center"/>
            <w:hideMark/>
          </w:tcPr>
          <w:p w14:paraId="6377030B" w14:textId="77777777" w:rsidR="009D12CA" w:rsidRPr="002144A0" w:rsidRDefault="009D12CA" w:rsidP="008217FC">
            <w:pPr>
              <w:spacing w:before="40"/>
              <w:jc w:val="center"/>
              <w:rPr>
                <w:color w:val="000000"/>
                <w:sz w:val="20"/>
                <w:lang w:eastAsia="ja-JP"/>
              </w:rPr>
            </w:pPr>
            <w:r w:rsidRPr="002144A0">
              <w:rPr>
                <w:color w:val="000000"/>
                <w:sz w:val="20"/>
                <w:lang w:eastAsia="ja-JP"/>
              </w:rPr>
              <w:t>N/A</w:t>
            </w:r>
          </w:p>
        </w:tc>
        <w:tc>
          <w:tcPr>
            <w:tcW w:w="577" w:type="dxa"/>
            <w:tcBorders>
              <w:top w:val="nil"/>
              <w:left w:val="nil"/>
              <w:bottom w:val="single" w:sz="4" w:space="0" w:color="auto"/>
              <w:right w:val="single" w:sz="4" w:space="0" w:color="auto"/>
            </w:tcBorders>
            <w:shd w:val="clear" w:color="auto" w:fill="auto"/>
            <w:vAlign w:val="center"/>
            <w:hideMark/>
          </w:tcPr>
          <w:p w14:paraId="67BC9915" w14:textId="77777777" w:rsidR="009D12CA" w:rsidRPr="002144A0" w:rsidRDefault="009D12CA" w:rsidP="008217FC">
            <w:pPr>
              <w:spacing w:before="40"/>
              <w:jc w:val="center"/>
              <w:rPr>
                <w:color w:val="000000"/>
                <w:sz w:val="20"/>
                <w:lang w:eastAsia="ja-JP"/>
              </w:rPr>
            </w:pPr>
            <w:r w:rsidRPr="002144A0">
              <w:rPr>
                <w:color w:val="000000"/>
                <w:sz w:val="20"/>
                <w:lang w:eastAsia="ja-JP"/>
              </w:rPr>
              <w:t>N/A</w:t>
            </w:r>
          </w:p>
        </w:tc>
      </w:tr>
      <w:tr w:rsidR="009D12CA" w:rsidRPr="00132C1E" w14:paraId="7006C3DC" w14:textId="77777777" w:rsidTr="002061E5">
        <w:trPr>
          <w:trHeight w:val="300"/>
        </w:trPr>
        <w:tc>
          <w:tcPr>
            <w:tcW w:w="10060" w:type="dxa"/>
            <w:gridSpan w:val="9"/>
            <w:tcBorders>
              <w:top w:val="single" w:sz="4" w:space="0" w:color="auto"/>
              <w:left w:val="single" w:sz="4" w:space="0" w:color="auto"/>
              <w:bottom w:val="single" w:sz="4" w:space="0" w:color="auto"/>
              <w:right w:val="single" w:sz="4" w:space="0" w:color="auto"/>
            </w:tcBorders>
            <w:shd w:val="clear" w:color="auto" w:fill="auto"/>
            <w:noWrap/>
            <w:vAlign w:val="bottom"/>
          </w:tcPr>
          <w:p w14:paraId="282D619E" w14:textId="77777777" w:rsidR="009D12CA" w:rsidRPr="009D12CA" w:rsidRDefault="009D12CA" w:rsidP="008217FC">
            <w:pPr>
              <w:spacing w:before="40"/>
              <w:rPr>
                <w:sz w:val="20"/>
                <w:lang w:eastAsia="ja-JP"/>
              </w:rPr>
            </w:pPr>
            <w:r w:rsidRPr="009D12CA">
              <w:rPr>
                <w:sz w:val="20"/>
              </w:rPr>
              <w:t>N/A: Not Applicable</w:t>
            </w:r>
          </w:p>
        </w:tc>
      </w:tr>
    </w:tbl>
    <w:p w14:paraId="4E94CA7A" w14:textId="5889DBEB" w:rsidR="009D12CA" w:rsidRPr="001F7CA7" w:rsidRDefault="009D12CA" w:rsidP="009D12CA">
      <w:pPr>
        <w:pStyle w:val="Notetext"/>
      </w:pPr>
      <w:r w:rsidRPr="00D1484A">
        <w:t>NOTE</w:t>
      </w:r>
      <w:r w:rsidRPr="00D1484A">
        <w:tab/>
      </w:r>
      <w:r w:rsidRPr="007E6F67">
        <w:rPr>
          <w:rFonts w:asciiTheme="majorHAnsi" w:hAnsiTheme="majorHAnsi" w:cs="Segoe UI"/>
          <w:color w:val="000000"/>
          <w:shd w:val="clear" w:color="auto" w:fill="FDFCFA"/>
        </w:rPr>
        <w:t>Conditions to design s</w:t>
      </w:r>
      <w:r w:rsidRPr="00FD17CF">
        <w:rPr>
          <w:rFonts w:asciiTheme="majorHAnsi" w:hAnsiTheme="majorHAnsi"/>
        </w:rPr>
        <w:t>tructural</w:t>
      </w:r>
      <w:r w:rsidRPr="00FD17CF">
        <w:t xml:space="preserve"> types h), i) and j) for </w:t>
      </w:r>
      <w:r w:rsidRPr="00FD17CF">
        <w:rPr>
          <w:i/>
          <w:iCs/>
        </w:rPr>
        <w:t>S</w:t>
      </w:r>
      <w:r w:rsidRPr="00644C3D">
        <w:rPr>
          <w:vertAlign w:val="subscript"/>
        </w:rPr>
        <w:t>δ</w:t>
      </w:r>
      <w:r w:rsidRPr="00E05E29">
        <w:t xml:space="preserve"> greater than 3 </w:t>
      </w:r>
      <w:r w:rsidRPr="00E05E29">
        <w:rPr>
          <w:rFonts w:eastAsia="Times New Roman" w:cstheme="minorHAnsi"/>
          <w:color w:val="000000"/>
          <w:lang w:eastAsia="fr-BE"/>
        </w:rPr>
        <w:t>m/s</w:t>
      </w:r>
      <w:r w:rsidRPr="00E05E29">
        <w:rPr>
          <w:rFonts w:eastAsia="Times New Roman" w:cstheme="minorHAnsi"/>
          <w:color w:val="000000"/>
          <w:vertAlign w:val="superscript"/>
          <w:lang w:eastAsia="fr-BE"/>
        </w:rPr>
        <w:t>2</w:t>
      </w:r>
      <w:r w:rsidRPr="00E05E29">
        <w:rPr>
          <w:rFonts w:eastAsia="Times New Roman" w:cstheme="minorHAnsi"/>
          <w:color w:val="000000"/>
          <w:lang w:eastAsia="fr-BE"/>
        </w:rPr>
        <w:t xml:space="preserve"> are </w:t>
      </w:r>
      <w:r w:rsidRPr="001F7CA7">
        <w:rPr>
          <w:rFonts w:eastAsia="Times New Roman" w:cstheme="minorHAnsi"/>
          <w:color w:val="000000"/>
          <w:lang w:eastAsia="fr-BE"/>
        </w:rPr>
        <w:t>given in 13.4.4(3).</w:t>
      </w:r>
      <w:r w:rsidRPr="001F7CA7">
        <w:t xml:space="preserve"> </w:t>
      </w:r>
    </w:p>
    <w:p w14:paraId="3D289864" w14:textId="18515C1A" w:rsidR="009D12CA" w:rsidRPr="002144A0" w:rsidRDefault="009D12CA" w:rsidP="00724E4E">
      <w:pPr>
        <w:pStyle w:val="Clause"/>
      </w:pPr>
      <w:r w:rsidRPr="002144A0">
        <w:lastRenderedPageBreak/>
        <w:t xml:space="preserve">The behaviour factor component </w:t>
      </w:r>
      <w:r w:rsidRPr="00641E28">
        <w:rPr>
          <w:i/>
        </w:rPr>
        <w:t>q</w:t>
      </w:r>
      <w:r w:rsidRPr="00641E28">
        <w:rPr>
          <w:vertAlign w:val="subscript"/>
        </w:rPr>
        <w:t>R</w:t>
      </w:r>
      <w:r w:rsidRPr="002144A0">
        <w:t xml:space="preserve"> evaluated through an explicit calculation according to </w:t>
      </w:r>
      <w:r w:rsidRPr="00835C82">
        <w:t xml:space="preserve">5.3.2(6) </w:t>
      </w:r>
      <w:r w:rsidRPr="002144A0">
        <w:t>should not exceed the default values in Table 13.2 by more than 10</w:t>
      </w:r>
      <w:r w:rsidR="008217FC">
        <w:t> </w:t>
      </w:r>
      <w:r w:rsidRPr="002144A0">
        <w:t>%.</w:t>
      </w:r>
    </w:p>
    <w:p w14:paraId="596B07A6" w14:textId="22D1B073" w:rsidR="009D12CA" w:rsidRPr="004F25D7" w:rsidRDefault="009D12CA" w:rsidP="00724E4E">
      <w:pPr>
        <w:pStyle w:val="Clause"/>
      </w:pPr>
      <w:r w:rsidRPr="002144A0">
        <w:t>The dissipative zones, specified for each structural type designed in DC2 and DC3, should attain a ductility not smaller than the values in Table 13.3 in cyclic tests performed according to EN 12512.</w:t>
      </w:r>
    </w:p>
    <w:p w14:paraId="7A11448B" w14:textId="616AF847" w:rsidR="009D12CA" w:rsidRPr="00031900" w:rsidRDefault="009D12CA" w:rsidP="00724E4E">
      <w:pPr>
        <w:pStyle w:val="Clause"/>
      </w:pPr>
      <w:r w:rsidRPr="00031900">
        <w:t xml:space="preserve">For each structural type designed in DC2 and DC3, </w:t>
      </w:r>
      <w:r w:rsidRPr="00835C82">
        <w:t>(4)</w:t>
      </w:r>
      <w:r w:rsidRPr="00031900">
        <w:t xml:space="preserve"> should be fulfilled by at least one type of dissipative sub-assembly/joint/2D- or 3D-connector/connection in Table 13.3.</w:t>
      </w:r>
    </w:p>
    <w:p w14:paraId="037F6F27" w14:textId="5FC3A717" w:rsidR="009D12CA" w:rsidRPr="00132C1E" w:rsidRDefault="009D12CA" w:rsidP="00724E4E">
      <w:pPr>
        <w:pStyle w:val="Clause"/>
      </w:pPr>
      <w:r w:rsidRPr="007754C9">
        <w:t xml:space="preserve">In buildings with a primary timber structure listed in </w:t>
      </w:r>
      <w:r w:rsidRPr="00835C82">
        <w:t xml:space="preserve">13.4.1(1) </w:t>
      </w:r>
      <w:r w:rsidRPr="00641E28">
        <w:t>where</w:t>
      </w:r>
      <w:r w:rsidRPr="007754C9">
        <w:t xml:space="preserve"> the </w:t>
      </w:r>
      <w:r w:rsidRPr="00641E28">
        <w:t xml:space="preserve">energy dissipation does not take place by flexural yielding of metal fasteners but occurs in alternative systems used in the same dissipative zones listed in </w:t>
      </w:r>
      <w:r w:rsidRPr="00835C82">
        <w:t>13.7</w:t>
      </w:r>
      <w:r w:rsidRPr="00641E28">
        <w:t xml:space="preserve"> to </w:t>
      </w:r>
      <w:r w:rsidRPr="00835C82">
        <w:t>13.14</w:t>
      </w:r>
      <w:r w:rsidRPr="00641E28">
        <w:t xml:space="preserve">, the default values of the behaviour factors in Table 13.2 for design to DC2 and DC3 may be used </w:t>
      </w:r>
      <w:r w:rsidRPr="00132C1E">
        <w:t xml:space="preserve">provided that </w:t>
      </w:r>
      <w:r w:rsidRPr="00835C82">
        <w:t>(4)</w:t>
      </w:r>
      <w:r w:rsidRPr="00641E28">
        <w:t xml:space="preserve"> applies. In this case, </w:t>
      </w:r>
      <w:r w:rsidRPr="00835C82">
        <w:t>(7)</w:t>
      </w:r>
      <w:r w:rsidRPr="00641E28">
        <w:t>,</w:t>
      </w:r>
      <w:r w:rsidRPr="00835C82">
        <w:t xml:space="preserve"> (10) </w:t>
      </w:r>
      <w:r w:rsidRPr="00641E28">
        <w:t>and</w:t>
      </w:r>
      <w:r w:rsidRPr="00835C82">
        <w:t xml:space="preserve"> (11) </w:t>
      </w:r>
      <w:r w:rsidRPr="00641E28">
        <w:t>should not be used.</w:t>
      </w:r>
    </w:p>
    <w:p w14:paraId="4AD7D8F3" w14:textId="54489D5E" w:rsidR="009D12CA" w:rsidRPr="002144A0" w:rsidRDefault="009D12CA" w:rsidP="00724E4E">
      <w:pPr>
        <w:pStyle w:val="Clause"/>
      </w:pPr>
      <w:r w:rsidRPr="00132C1E">
        <w:t xml:space="preserve">For each structural type designed in DC2 and DC3, the default values of the behaviour factor </w:t>
      </w:r>
      <w:r w:rsidRPr="00641E28">
        <w:rPr>
          <w:i/>
        </w:rPr>
        <w:t>q</w:t>
      </w:r>
      <w:r w:rsidRPr="00132C1E">
        <w:t xml:space="preserve"> may be taken from Table 13.2 in all of the following cases a) to e), provided that </w:t>
      </w:r>
      <w:r w:rsidRPr="00835C82">
        <w:t>(8)</w:t>
      </w:r>
      <w:r w:rsidRPr="00132C1E">
        <w:t xml:space="preserve"> </w:t>
      </w:r>
      <w:r>
        <w:t>and</w:t>
      </w:r>
      <w:r w:rsidRPr="002144A0">
        <w:t xml:space="preserve"> </w:t>
      </w:r>
      <w:r w:rsidRPr="00835C82">
        <w:t>(9)</w:t>
      </w:r>
      <w:r w:rsidRPr="002144A0">
        <w:t xml:space="preserve"> are also satisfied:</w:t>
      </w:r>
    </w:p>
    <w:p w14:paraId="55AABB71" w14:textId="7CA7D525" w:rsidR="009D12CA" w:rsidRPr="001F7CA7" w:rsidRDefault="009D12CA" w:rsidP="008217FC">
      <w:pPr>
        <w:pStyle w:val="Text"/>
        <w:numPr>
          <w:ilvl w:val="0"/>
          <w:numId w:val="662"/>
        </w:numPr>
        <w:spacing w:after="200"/>
      </w:pPr>
      <w:r w:rsidRPr="002144A0">
        <w:t xml:space="preserve">In </w:t>
      </w:r>
      <w:r w:rsidRPr="00132C1E">
        <w:t xml:space="preserve">all DC2 </w:t>
      </w:r>
      <w:r w:rsidRPr="001F7CA7">
        <w:t>structural types different from framed shear walls with dissipative sheathing-to-framing stapled connections</w:t>
      </w:r>
      <w:r w:rsidR="001F7CA7">
        <w:t>;</w:t>
      </w:r>
    </w:p>
    <w:p w14:paraId="11E5BDBD" w14:textId="732A3333" w:rsidR="009D12CA" w:rsidRPr="001F7CA7" w:rsidRDefault="009D12CA" w:rsidP="008217FC">
      <w:pPr>
        <w:pStyle w:val="Text"/>
        <w:numPr>
          <w:ilvl w:val="0"/>
          <w:numId w:val="662"/>
        </w:numPr>
        <w:spacing w:after="200"/>
      </w:pPr>
      <w:r w:rsidRPr="001F7CA7">
        <w:t>In DC2 framed shear walls according to 13.8.2 with dissipative sheathing-to-framing stapled connections, when a ductile mechanism with at least one flexural plastic hinge in the mechanical fasteners is attained in the seismic design situation</w:t>
      </w:r>
      <w:r w:rsidR="001F7CA7">
        <w:t>;</w:t>
      </w:r>
    </w:p>
    <w:p w14:paraId="35ACAD6A" w14:textId="21176A23" w:rsidR="009D12CA" w:rsidRPr="001F7CA7" w:rsidRDefault="009D12CA" w:rsidP="008217FC">
      <w:pPr>
        <w:pStyle w:val="Text"/>
        <w:numPr>
          <w:ilvl w:val="0"/>
          <w:numId w:val="662"/>
        </w:numPr>
        <w:spacing w:after="200"/>
      </w:pPr>
      <w:r w:rsidRPr="001F7CA7">
        <w:t>In DC3 CLT systems with segmented walls according to 13.7.3</w:t>
      </w:r>
      <w:r w:rsidR="001F7CA7">
        <w:t>;</w:t>
      </w:r>
    </w:p>
    <w:p w14:paraId="3C85865D" w14:textId="765CDFA2" w:rsidR="009D12CA" w:rsidRPr="00C52095" w:rsidRDefault="009D12CA" w:rsidP="008217FC">
      <w:pPr>
        <w:pStyle w:val="Text"/>
        <w:numPr>
          <w:ilvl w:val="0"/>
          <w:numId w:val="662"/>
        </w:numPr>
        <w:spacing w:after="200"/>
      </w:pPr>
      <w:r w:rsidRPr="001F7CA7">
        <w:t>In DC3 framed shear walls according to 13.8.3 with dissipative sheathing-to-framing nailed connections, when a ductile mechanism with</w:t>
      </w:r>
      <w:r w:rsidRPr="004F25D7">
        <w:t xml:space="preserve"> at least one flexural plastic hinge in the nail (or screw) is attained in the seismic design situation</w:t>
      </w:r>
      <w:r w:rsidR="001F7CA7">
        <w:t>;</w:t>
      </w:r>
    </w:p>
    <w:p w14:paraId="698062DE" w14:textId="77777777" w:rsidR="009D12CA" w:rsidRPr="004F25D7" w:rsidRDefault="009D12CA" w:rsidP="008217FC">
      <w:pPr>
        <w:pStyle w:val="Text"/>
        <w:numPr>
          <w:ilvl w:val="0"/>
          <w:numId w:val="662"/>
        </w:numPr>
        <w:spacing w:after="200"/>
      </w:pPr>
      <w:r w:rsidRPr="00C52095">
        <w:t xml:space="preserve">In </w:t>
      </w:r>
      <w:r w:rsidRPr="00132C1E">
        <w:t xml:space="preserve">all other DC3 structural types, when a ductile mechanism with at least two flexural plastic hinges in the mechanical fasteners is attained </w:t>
      </w:r>
      <w:r>
        <w:t xml:space="preserve">in the dissipative zones </w:t>
      </w:r>
      <w:r w:rsidRPr="004F25D7">
        <w:t>in the seismic design situation.</w:t>
      </w:r>
    </w:p>
    <w:p w14:paraId="7D5DCA9E" w14:textId="0F08B9F5" w:rsidR="009D12CA" w:rsidRPr="00B33E3E" w:rsidRDefault="009D12CA" w:rsidP="00724E4E">
      <w:pPr>
        <w:pStyle w:val="Clause"/>
      </w:pPr>
      <w:r w:rsidRPr="00B33E3E">
        <w:t xml:space="preserve">Failure modes (a), (b) and (c) for fasteners in single shear as given in </w:t>
      </w:r>
      <w:r w:rsidR="007F3697">
        <w:t>prEN </w:t>
      </w:r>
      <w:r w:rsidR="006067DF">
        <w:t>1995-1-1:2023</w:t>
      </w:r>
      <w:r w:rsidRPr="00B33E3E">
        <w:t xml:space="preserve">, </w:t>
      </w:r>
      <w:r w:rsidRPr="00835C82">
        <w:t>11.3.2(1)</w:t>
      </w:r>
      <w:r w:rsidRPr="00B33E3E">
        <w:t xml:space="preserve">, and failure modes (a) and (b) for fasteners in double shear as given in </w:t>
      </w:r>
      <w:r w:rsidR="007F3697">
        <w:t>prEN </w:t>
      </w:r>
      <w:r w:rsidR="006067DF">
        <w:t>1995-1-1:2023</w:t>
      </w:r>
      <w:r w:rsidRPr="00B33E3E">
        <w:t xml:space="preserve">, </w:t>
      </w:r>
      <w:r w:rsidRPr="00835C82">
        <w:t>11.3.2(2)</w:t>
      </w:r>
      <w:r w:rsidRPr="00B33E3E">
        <w:t xml:space="preserve">, should be avoided in the dissipative zones by satisfying Formula (13.5). Failure modes (a) and (b) for fasteners in multiple shear as given in </w:t>
      </w:r>
      <w:r w:rsidR="007F3697">
        <w:t>prEN </w:t>
      </w:r>
      <w:r w:rsidR="006067DF">
        <w:t>1995-1-1:2023</w:t>
      </w:r>
      <w:r w:rsidRPr="00B33E3E">
        <w:t xml:space="preserve">, </w:t>
      </w:r>
      <w:r w:rsidRPr="00835C82">
        <w:t>11.3.5</w:t>
      </w:r>
      <w:r w:rsidRPr="00B33E3E">
        <w:t>,</w:t>
      </w:r>
      <w:r w:rsidRPr="00835C82">
        <w:t xml:space="preserve"> </w:t>
      </w:r>
      <w:r w:rsidRPr="00B33E3E">
        <w:t>should be avoided in the dissipative zones by satisfying Formula (13.5).</w:t>
      </w:r>
    </w:p>
    <w:p w14:paraId="123305CA" w14:textId="5CD2B5A8" w:rsidR="009D12CA" w:rsidRPr="00B33E3E" w:rsidRDefault="009D12CA" w:rsidP="00724E4E">
      <w:pPr>
        <w:pStyle w:val="Clause"/>
      </w:pPr>
      <w:r w:rsidRPr="00B33E3E">
        <w:t xml:space="preserve">Brittle failure modes like splitting, row shear, block shear, plug shear, and net tensile failure of wood in the connection regions, as defined in </w:t>
      </w:r>
      <w:r w:rsidR="007F3697">
        <w:t>prEN </w:t>
      </w:r>
      <w:r w:rsidR="006067DF">
        <w:t>1995-1-1:2023</w:t>
      </w:r>
      <w:r w:rsidRPr="00B33E3E">
        <w:t xml:space="preserve">, </w:t>
      </w:r>
      <w:r w:rsidRPr="00835C82">
        <w:t>11.6</w:t>
      </w:r>
      <w:r w:rsidRPr="00B33E3E">
        <w:t>, should be avoided by satisfying condition given by Formula (13.4).</w:t>
      </w:r>
    </w:p>
    <w:p w14:paraId="4A71C98F" w14:textId="1A8FDD14" w:rsidR="009D12CA" w:rsidRPr="001F7CA7" w:rsidRDefault="009D12CA" w:rsidP="009D12CA">
      <w:pPr>
        <w:pStyle w:val="note1"/>
      </w:pPr>
      <w:r w:rsidRPr="00B33E3E">
        <w:t>NOTE</w:t>
      </w:r>
      <w:r w:rsidRPr="00B33E3E">
        <w:tab/>
        <w:t xml:space="preserve">Reinforcement can be used </w:t>
      </w:r>
      <w:r w:rsidRPr="001F7CA7">
        <w:t xml:space="preserve">in a dissipative zone as a means to prevent brittle failure modes, see for example </w:t>
      </w:r>
      <w:r w:rsidR="007F3697" w:rsidRPr="001F7CA7">
        <w:rPr>
          <w:color w:val="auto"/>
        </w:rPr>
        <w:t>prEN </w:t>
      </w:r>
      <w:r w:rsidR="006067DF">
        <w:rPr>
          <w:color w:val="auto"/>
        </w:rPr>
        <w:t>1995-1-1:2023</w:t>
      </w:r>
      <w:r w:rsidRPr="001F7CA7">
        <w:rPr>
          <w:color w:val="auto"/>
        </w:rPr>
        <w:t>, 11.8.</w:t>
      </w:r>
    </w:p>
    <w:p w14:paraId="0A4E4F1D" w14:textId="19CAF9C5" w:rsidR="009D12CA" w:rsidRPr="001F7CA7" w:rsidRDefault="009D12CA" w:rsidP="00724E4E">
      <w:pPr>
        <w:pStyle w:val="Clause"/>
      </w:pPr>
      <w:r w:rsidRPr="001F7CA7">
        <w:t xml:space="preserve">As an alternative to (7), for each structural type designed in DC3, the default values of the behaviour factor </w:t>
      </w:r>
      <w:r w:rsidRPr="001F7CA7">
        <w:rPr>
          <w:i/>
          <w:iCs/>
        </w:rPr>
        <w:t>q</w:t>
      </w:r>
      <w:r w:rsidRPr="001F7CA7">
        <w:t xml:space="preserve"> may be taken from Table 13.2, if condition a) and either condition b) or c) are satisfied:</w:t>
      </w:r>
    </w:p>
    <w:p w14:paraId="793DCF0B" w14:textId="77777777" w:rsidR="009D12CA" w:rsidRPr="001F7CA7" w:rsidRDefault="009D12CA" w:rsidP="0080187E">
      <w:pPr>
        <w:pStyle w:val="Text"/>
        <w:numPr>
          <w:ilvl w:val="0"/>
          <w:numId w:val="663"/>
        </w:numPr>
      </w:pPr>
      <w:r w:rsidRPr="001F7CA7">
        <w:t>(9) is satisfied;</w:t>
      </w:r>
    </w:p>
    <w:p w14:paraId="533CCC16" w14:textId="0A4E3B91" w:rsidR="009D12CA" w:rsidRPr="00B33E3E" w:rsidRDefault="009D12CA" w:rsidP="0080187E">
      <w:pPr>
        <w:pStyle w:val="Text"/>
        <w:numPr>
          <w:ilvl w:val="0"/>
          <w:numId w:val="663"/>
        </w:numPr>
      </w:pPr>
      <w:r w:rsidRPr="001F7CA7">
        <w:t xml:space="preserve">for timber-to-timber connections, the thicknesses of the timber members are greater than the required minimum embedment lengths which ensures failure mode (f) according to </w:t>
      </w:r>
      <w:r w:rsidR="007F3697" w:rsidRPr="001F7CA7">
        <w:rPr>
          <w:szCs w:val="22"/>
        </w:rPr>
        <w:t>prEN </w:t>
      </w:r>
      <w:r w:rsidR="006067DF">
        <w:rPr>
          <w:szCs w:val="22"/>
        </w:rPr>
        <w:t>1995</w:t>
      </w:r>
      <w:r w:rsidR="008217FC">
        <w:rPr>
          <w:szCs w:val="22"/>
        </w:rPr>
        <w:noBreakHyphen/>
      </w:r>
      <w:r w:rsidR="006067DF">
        <w:rPr>
          <w:szCs w:val="22"/>
        </w:rPr>
        <w:t>1</w:t>
      </w:r>
      <w:r w:rsidR="008217FC">
        <w:rPr>
          <w:szCs w:val="22"/>
        </w:rPr>
        <w:noBreakHyphen/>
      </w:r>
      <w:r w:rsidR="006067DF">
        <w:rPr>
          <w:szCs w:val="22"/>
        </w:rPr>
        <w:t>1:2023</w:t>
      </w:r>
      <w:r w:rsidRPr="001F7CA7">
        <w:rPr>
          <w:szCs w:val="22"/>
        </w:rPr>
        <w:t>, 11.3.2(6), T</w:t>
      </w:r>
      <w:r w:rsidRPr="00B33E3E">
        <w:rPr>
          <w:szCs w:val="22"/>
        </w:rPr>
        <w:t>able 11.4;</w:t>
      </w:r>
    </w:p>
    <w:p w14:paraId="5E6E41D4" w14:textId="054C0458" w:rsidR="009D12CA" w:rsidRPr="001F7CA7" w:rsidRDefault="009D12CA" w:rsidP="0080187E">
      <w:pPr>
        <w:pStyle w:val="Text"/>
        <w:numPr>
          <w:ilvl w:val="0"/>
          <w:numId w:val="663"/>
        </w:numPr>
      </w:pPr>
      <w:r w:rsidRPr="00B33E3E">
        <w:lastRenderedPageBreak/>
        <w:t xml:space="preserve">for steel-to-timber connections, the thickness of the timber member is greater than the required minimum embedment lengths which ensures failure mode (f) according to </w:t>
      </w:r>
      <w:r w:rsidR="007F3697">
        <w:rPr>
          <w:szCs w:val="22"/>
        </w:rPr>
        <w:t>prEN </w:t>
      </w:r>
      <w:r w:rsidR="006067DF">
        <w:rPr>
          <w:szCs w:val="22"/>
        </w:rPr>
        <w:t>1995-1-1:2023</w:t>
      </w:r>
      <w:r w:rsidRPr="001F7CA7">
        <w:rPr>
          <w:szCs w:val="22"/>
        </w:rPr>
        <w:t>, 11.3.2(9).</w:t>
      </w:r>
    </w:p>
    <w:p w14:paraId="46E05A0D" w14:textId="504F4A2E" w:rsidR="009D12CA" w:rsidRPr="00B33E3E" w:rsidRDefault="009D12CA" w:rsidP="00724E4E">
      <w:pPr>
        <w:pStyle w:val="Clause"/>
      </w:pPr>
      <w:r w:rsidRPr="00B33E3E">
        <w:t xml:space="preserve">In cases where neither b) nor c) in </w:t>
      </w:r>
      <w:r w:rsidRPr="00835C82">
        <w:t>(10)</w:t>
      </w:r>
      <w:r w:rsidRPr="00B33E3E">
        <w:t xml:space="preserve"> are satisfied, the dissipative zones of all structural types may be considered as belonging to DC2 and the default values of the behaviour factor </w:t>
      </w:r>
      <w:r w:rsidRPr="00641E28">
        <w:rPr>
          <w:i/>
        </w:rPr>
        <w:t>q</w:t>
      </w:r>
      <w:r w:rsidRPr="00B33E3E">
        <w:t xml:space="preserve"> may be taken from Table 13.2, provided a) in </w:t>
      </w:r>
      <w:r w:rsidRPr="00835C82">
        <w:t>(10)</w:t>
      </w:r>
      <w:r w:rsidRPr="00B33E3E">
        <w:t xml:space="preserve"> is satisfied and, for timber-to-timber connections, the thicknesses of the timber members are greater than the required minimum embedment lengths which ensure the attainment of failure modes (d) or (e) according to </w:t>
      </w:r>
      <w:r w:rsidR="007F3697">
        <w:t>prEN </w:t>
      </w:r>
      <w:r w:rsidR="006067DF">
        <w:t>1995-1-1:2023</w:t>
      </w:r>
      <w:r w:rsidRPr="00B33E3E">
        <w:t xml:space="preserve">, </w:t>
      </w:r>
      <w:r w:rsidRPr="00835C82">
        <w:t>11.3.2(11)</w:t>
      </w:r>
      <w:r w:rsidRPr="00B33E3E">
        <w:t>, Table 11.5.</w:t>
      </w:r>
    </w:p>
    <w:p w14:paraId="27EB7E1D" w14:textId="7E012E2A" w:rsidR="009D12CA" w:rsidRPr="007754C9" w:rsidRDefault="009D12CA" w:rsidP="00724E4E">
      <w:pPr>
        <w:pStyle w:val="Clause"/>
      </w:pPr>
      <w:r w:rsidRPr="00835C82">
        <w:t>(11)</w:t>
      </w:r>
      <w:r w:rsidRPr="007754C9">
        <w:t xml:space="preserve"> may be applied to </w:t>
      </w:r>
      <w:r w:rsidRPr="00031900">
        <w:t xml:space="preserve">framed shear </w:t>
      </w:r>
      <w:r w:rsidRPr="007754C9">
        <w:t>walls with gypsum fibre boards with stapled connections and particle boards with stapled connections.</w:t>
      </w:r>
    </w:p>
    <w:p w14:paraId="1051ECC3" w14:textId="2D641100" w:rsidR="009D12CA" w:rsidRPr="00644C3D" w:rsidRDefault="009D12CA" w:rsidP="009D12CA">
      <w:pPr>
        <w:pStyle w:val="Tabletitle"/>
        <w:rPr>
          <w:szCs w:val="22"/>
        </w:rPr>
      </w:pPr>
      <w:r w:rsidRPr="00C52095">
        <w:t xml:space="preserve">Table </w:t>
      </w:r>
      <w:r w:rsidR="001F7CA7">
        <w:t>13.3</w:t>
      </w:r>
      <w:r w:rsidRPr="00E74E64">
        <w:fldChar w:fldCharType="begin"/>
      </w:r>
      <w:r w:rsidRPr="00132C1E">
        <w:instrText xml:space="preserve">\IF </w:instrText>
      </w:r>
      <w:r w:rsidRPr="00E74E64">
        <w:fldChar w:fldCharType="begin"/>
      </w:r>
      <w:r w:rsidRPr="00132C1E">
        <w:instrText xml:space="preserve">SEQ aaa \c </w:instrText>
      </w:r>
      <w:r w:rsidRPr="00E74E64">
        <w:fldChar w:fldCharType="separate"/>
      </w:r>
      <w:r w:rsidR="000720CB">
        <w:rPr>
          <w:noProof/>
        </w:rPr>
        <w:instrText>0</w:instrText>
      </w:r>
      <w:r w:rsidRPr="00E74E64">
        <w:fldChar w:fldCharType="end"/>
      </w:r>
      <w:r w:rsidRPr="00132C1E">
        <w:instrText>&gt;= 1 "</w:instrText>
      </w:r>
      <w:r w:rsidRPr="00E74E64">
        <w:fldChar w:fldCharType="begin"/>
      </w:r>
      <w:r w:rsidRPr="00132C1E">
        <w:instrText xml:space="preserve">SEQ aaa \c \* ALPHABETIC </w:instrText>
      </w:r>
      <w:r w:rsidRPr="00E74E64">
        <w:fldChar w:fldCharType="separate"/>
      </w:r>
      <w:r w:rsidRPr="00132C1E">
        <w:instrText>A</w:instrText>
      </w:r>
      <w:r w:rsidRPr="00E74E64">
        <w:fldChar w:fldCharType="end"/>
      </w:r>
      <w:r w:rsidRPr="00132C1E">
        <w:instrText xml:space="preserve">." </w:instrText>
      </w:r>
      <w:r w:rsidRPr="00E74E64">
        <w:fldChar w:fldCharType="end"/>
      </w:r>
      <w:r w:rsidRPr="00132C1E">
        <w:t> — </w:t>
      </w:r>
      <w:r w:rsidRPr="00D1484A">
        <w:rPr>
          <w:szCs w:val="22"/>
        </w:rPr>
        <w:t>Minimum</w:t>
      </w:r>
      <w:r w:rsidRPr="009D12CA">
        <w:rPr>
          <w:rStyle w:val="CommentReference"/>
          <w:b w:val="0"/>
          <w:lang w:val="en-US"/>
        </w:rPr>
        <w:t xml:space="preserve"> </w:t>
      </w:r>
      <w:r w:rsidRPr="00D1484A">
        <w:rPr>
          <w:szCs w:val="22"/>
        </w:rPr>
        <w:t xml:space="preserve">required ductility </w:t>
      </w:r>
      <w:r w:rsidRPr="007E6F67">
        <w:rPr>
          <w:rFonts w:asciiTheme="majorHAnsi" w:hAnsiTheme="majorHAnsi"/>
          <w:i/>
          <w:szCs w:val="22"/>
        </w:rPr>
        <w:t>μ</w:t>
      </w:r>
      <w:r w:rsidRPr="00FD17CF">
        <w:rPr>
          <w:szCs w:val="22"/>
        </w:rPr>
        <w:t xml:space="preserve"> as defined in EN</w:t>
      </w:r>
      <w:r w:rsidR="001F7CA7">
        <w:rPr>
          <w:szCs w:val="22"/>
        </w:rPr>
        <w:t> </w:t>
      </w:r>
      <w:r w:rsidRPr="00FD17CF">
        <w:rPr>
          <w:szCs w:val="22"/>
        </w:rPr>
        <w:t xml:space="preserve">12512 of </w:t>
      </w:r>
      <w:r w:rsidR="001F7CA7">
        <w:rPr>
          <w:szCs w:val="22"/>
        </w:rPr>
        <w:br/>
      </w:r>
      <w:r w:rsidRPr="00FD17CF">
        <w:rPr>
          <w:szCs w:val="22"/>
        </w:rPr>
        <w:t>dissipative zones tested accordingly</w:t>
      </w:r>
    </w:p>
    <w:tbl>
      <w:tblPr>
        <w:tblStyle w:val="TableGrid"/>
        <w:tblW w:w="9776" w:type="dxa"/>
        <w:shd w:val="clear" w:color="auto" w:fill="FFFFFF" w:themeFill="background1"/>
        <w:tblLayout w:type="fixed"/>
        <w:tblLook w:val="04A0" w:firstRow="1" w:lastRow="0" w:firstColumn="1" w:lastColumn="0" w:noHBand="0" w:noVBand="1"/>
      </w:tblPr>
      <w:tblGrid>
        <w:gridCol w:w="3343"/>
        <w:gridCol w:w="3373"/>
        <w:gridCol w:w="1383"/>
        <w:gridCol w:w="968"/>
        <w:gridCol w:w="709"/>
      </w:tblGrid>
      <w:tr w:rsidR="009D12CA" w:rsidRPr="00132C1E" w14:paraId="1449D624" w14:textId="77777777" w:rsidTr="00481083">
        <w:tc>
          <w:tcPr>
            <w:tcW w:w="3343" w:type="dxa"/>
            <w:shd w:val="clear" w:color="auto" w:fill="FFFFFF" w:themeFill="background1"/>
          </w:tcPr>
          <w:p w14:paraId="31F4C098" w14:textId="77777777" w:rsidR="009D12CA" w:rsidRPr="00031900" w:rsidRDefault="009D12CA" w:rsidP="002061E5">
            <w:pPr>
              <w:rPr>
                <w:b/>
                <w:sz w:val="20"/>
              </w:rPr>
            </w:pPr>
            <w:r w:rsidRPr="00031900">
              <w:rPr>
                <w:b/>
                <w:sz w:val="20"/>
              </w:rPr>
              <w:t>Structural type</w:t>
            </w:r>
          </w:p>
        </w:tc>
        <w:tc>
          <w:tcPr>
            <w:tcW w:w="3373" w:type="dxa"/>
            <w:shd w:val="clear" w:color="auto" w:fill="FFFFFF" w:themeFill="background1"/>
          </w:tcPr>
          <w:p w14:paraId="158D5333" w14:textId="67EE93EA" w:rsidR="009D12CA" w:rsidRPr="00031900" w:rsidRDefault="009D12CA" w:rsidP="001F7CA7">
            <w:pPr>
              <w:jc w:val="left"/>
              <w:rPr>
                <w:b/>
                <w:sz w:val="20"/>
              </w:rPr>
            </w:pPr>
            <w:r w:rsidRPr="00031900">
              <w:rPr>
                <w:b/>
                <w:sz w:val="20"/>
              </w:rPr>
              <w:t>Dissipative sub-assembly/joint/2D-or 3D</w:t>
            </w:r>
            <w:r w:rsidR="00031900" w:rsidRPr="00031900">
              <w:rPr>
                <w:b/>
                <w:sz w:val="20"/>
              </w:rPr>
              <w:t xml:space="preserve"> </w:t>
            </w:r>
            <w:r w:rsidRPr="00031900">
              <w:rPr>
                <w:b/>
                <w:sz w:val="20"/>
              </w:rPr>
              <w:t>connector/connection</w:t>
            </w:r>
          </w:p>
        </w:tc>
        <w:tc>
          <w:tcPr>
            <w:tcW w:w="1383" w:type="dxa"/>
            <w:shd w:val="clear" w:color="auto" w:fill="FFFFFF" w:themeFill="background1"/>
          </w:tcPr>
          <w:p w14:paraId="69BD860B" w14:textId="77777777" w:rsidR="009D12CA" w:rsidRPr="002144A0" w:rsidRDefault="009D12CA" w:rsidP="001F7CA7">
            <w:pPr>
              <w:jc w:val="left"/>
              <w:rPr>
                <w:b/>
                <w:sz w:val="20"/>
              </w:rPr>
            </w:pPr>
            <w:r w:rsidRPr="002144A0">
              <w:rPr>
                <w:b/>
                <w:sz w:val="20"/>
              </w:rPr>
              <w:t>Type of ductility</w:t>
            </w:r>
          </w:p>
        </w:tc>
        <w:tc>
          <w:tcPr>
            <w:tcW w:w="968" w:type="dxa"/>
            <w:shd w:val="clear" w:color="auto" w:fill="FFFFFF" w:themeFill="background1"/>
            <w:vAlign w:val="center"/>
          </w:tcPr>
          <w:p w14:paraId="26CC4EE1" w14:textId="77777777" w:rsidR="009D12CA" w:rsidRPr="00D80FA8" w:rsidRDefault="009D12CA" w:rsidP="002061E5">
            <w:pPr>
              <w:jc w:val="center"/>
              <w:rPr>
                <w:b/>
                <w:i/>
                <w:iCs/>
                <w:sz w:val="20"/>
              </w:rPr>
            </w:pPr>
            <w:r w:rsidRPr="00D80FA8">
              <w:rPr>
                <w:b/>
                <w:i/>
                <w:iCs/>
                <w:sz w:val="20"/>
              </w:rPr>
              <w:t>μ</w:t>
            </w:r>
          </w:p>
          <w:p w14:paraId="06FAE363" w14:textId="77777777" w:rsidR="009D12CA" w:rsidRPr="00C52095" w:rsidRDefault="009D12CA" w:rsidP="002061E5">
            <w:pPr>
              <w:jc w:val="center"/>
              <w:rPr>
                <w:b/>
                <w:sz w:val="20"/>
              </w:rPr>
            </w:pPr>
            <w:r w:rsidRPr="00C52095">
              <w:rPr>
                <w:b/>
                <w:sz w:val="20"/>
              </w:rPr>
              <w:t>DC2</w:t>
            </w:r>
          </w:p>
        </w:tc>
        <w:tc>
          <w:tcPr>
            <w:tcW w:w="709" w:type="dxa"/>
            <w:shd w:val="clear" w:color="auto" w:fill="FFFFFF" w:themeFill="background1"/>
            <w:vAlign w:val="center"/>
          </w:tcPr>
          <w:p w14:paraId="61F1F1AE" w14:textId="77777777" w:rsidR="009D12CA" w:rsidRPr="00D80FA8" w:rsidRDefault="009D12CA" w:rsidP="002061E5">
            <w:pPr>
              <w:jc w:val="center"/>
              <w:rPr>
                <w:b/>
                <w:i/>
                <w:iCs/>
                <w:sz w:val="20"/>
              </w:rPr>
            </w:pPr>
            <w:r w:rsidRPr="00D80FA8">
              <w:rPr>
                <w:b/>
                <w:i/>
                <w:iCs/>
                <w:sz w:val="20"/>
              </w:rPr>
              <w:t>μ</w:t>
            </w:r>
          </w:p>
          <w:p w14:paraId="19D17A34" w14:textId="77777777" w:rsidR="009D12CA" w:rsidRPr="007754C9" w:rsidRDefault="009D12CA" w:rsidP="002061E5">
            <w:pPr>
              <w:jc w:val="center"/>
              <w:rPr>
                <w:b/>
                <w:sz w:val="20"/>
              </w:rPr>
            </w:pPr>
            <w:r w:rsidRPr="007754C9">
              <w:rPr>
                <w:b/>
                <w:sz w:val="20"/>
              </w:rPr>
              <w:t>DC3</w:t>
            </w:r>
          </w:p>
        </w:tc>
      </w:tr>
      <w:tr w:rsidR="009D12CA" w:rsidRPr="00132C1E" w14:paraId="55012DCC" w14:textId="77777777" w:rsidTr="00481083">
        <w:tc>
          <w:tcPr>
            <w:tcW w:w="3343" w:type="dxa"/>
            <w:vMerge w:val="restart"/>
            <w:shd w:val="clear" w:color="auto" w:fill="FFFFFF" w:themeFill="background1"/>
          </w:tcPr>
          <w:p w14:paraId="6FA8CDDC" w14:textId="77777777" w:rsidR="009D12CA" w:rsidRPr="00031900" w:rsidRDefault="009D12CA" w:rsidP="002061E5">
            <w:pPr>
              <w:rPr>
                <w:sz w:val="20"/>
              </w:rPr>
            </w:pPr>
            <w:r w:rsidRPr="00031900">
              <w:rPr>
                <w:sz w:val="20"/>
              </w:rPr>
              <w:t>a) Cross laminated timber structures</w:t>
            </w:r>
          </w:p>
        </w:tc>
        <w:tc>
          <w:tcPr>
            <w:tcW w:w="3373" w:type="dxa"/>
            <w:shd w:val="clear" w:color="auto" w:fill="FFFFFF" w:themeFill="background1"/>
          </w:tcPr>
          <w:p w14:paraId="39EE6643" w14:textId="77777777" w:rsidR="009D12CA" w:rsidRPr="00031900" w:rsidRDefault="009D12CA" w:rsidP="002061E5">
            <w:pPr>
              <w:rPr>
                <w:sz w:val="20"/>
              </w:rPr>
            </w:pPr>
            <w:r w:rsidRPr="00031900">
              <w:rPr>
                <w:sz w:val="20"/>
              </w:rPr>
              <w:t>Shear wall*</w:t>
            </w:r>
          </w:p>
        </w:tc>
        <w:tc>
          <w:tcPr>
            <w:tcW w:w="1383" w:type="dxa"/>
            <w:shd w:val="clear" w:color="auto" w:fill="FFFFFF" w:themeFill="background1"/>
          </w:tcPr>
          <w:p w14:paraId="09D5DD34" w14:textId="77777777" w:rsidR="009D12CA" w:rsidRPr="00E05E29" w:rsidRDefault="009D12CA" w:rsidP="002061E5">
            <w:pPr>
              <w:rPr>
                <w:sz w:val="20"/>
              </w:rPr>
            </w:pPr>
            <w:r w:rsidRPr="00644C3D">
              <w:rPr>
                <w:sz w:val="20"/>
              </w:rPr>
              <w:t xml:space="preserve">Displacement </w:t>
            </w:r>
          </w:p>
        </w:tc>
        <w:tc>
          <w:tcPr>
            <w:tcW w:w="968" w:type="dxa"/>
            <w:shd w:val="clear" w:color="auto" w:fill="auto"/>
            <w:vAlign w:val="center"/>
          </w:tcPr>
          <w:p w14:paraId="6C93C497" w14:textId="77777777" w:rsidR="009D12CA" w:rsidRPr="00C92028" w:rsidRDefault="009D12CA" w:rsidP="002061E5">
            <w:pPr>
              <w:jc w:val="center"/>
              <w:rPr>
                <w:sz w:val="20"/>
              </w:rPr>
            </w:pPr>
            <w:r w:rsidRPr="00C92028">
              <w:rPr>
                <w:sz w:val="20"/>
              </w:rPr>
              <w:t>1,5</w:t>
            </w:r>
          </w:p>
        </w:tc>
        <w:tc>
          <w:tcPr>
            <w:tcW w:w="709" w:type="dxa"/>
            <w:shd w:val="clear" w:color="auto" w:fill="auto"/>
            <w:vAlign w:val="center"/>
          </w:tcPr>
          <w:p w14:paraId="7BE9D79A" w14:textId="77777777" w:rsidR="009D12CA" w:rsidRPr="00C92028" w:rsidRDefault="009D12CA" w:rsidP="002061E5">
            <w:pPr>
              <w:jc w:val="center"/>
              <w:rPr>
                <w:sz w:val="20"/>
              </w:rPr>
            </w:pPr>
            <w:r w:rsidRPr="00C92028">
              <w:rPr>
                <w:sz w:val="20"/>
              </w:rPr>
              <w:t>2,5</w:t>
            </w:r>
          </w:p>
        </w:tc>
      </w:tr>
      <w:tr w:rsidR="009D12CA" w:rsidRPr="00132C1E" w14:paraId="56EE4315" w14:textId="77777777" w:rsidTr="00481083">
        <w:tc>
          <w:tcPr>
            <w:tcW w:w="3343" w:type="dxa"/>
            <w:vMerge/>
            <w:shd w:val="clear" w:color="auto" w:fill="FFFFFF" w:themeFill="background1"/>
          </w:tcPr>
          <w:p w14:paraId="2946D8E2" w14:textId="77777777" w:rsidR="009D12CA" w:rsidRPr="00031900" w:rsidRDefault="009D12CA" w:rsidP="002061E5">
            <w:pPr>
              <w:rPr>
                <w:sz w:val="20"/>
              </w:rPr>
            </w:pPr>
          </w:p>
        </w:tc>
        <w:tc>
          <w:tcPr>
            <w:tcW w:w="3373" w:type="dxa"/>
            <w:shd w:val="clear" w:color="auto" w:fill="FFFFFF" w:themeFill="background1"/>
          </w:tcPr>
          <w:p w14:paraId="1DFB0D8D" w14:textId="77777777" w:rsidR="009D12CA" w:rsidRPr="00031900" w:rsidRDefault="009D12CA" w:rsidP="002061E5">
            <w:pPr>
              <w:rPr>
                <w:sz w:val="20"/>
              </w:rPr>
            </w:pPr>
            <w:r w:rsidRPr="00031900">
              <w:rPr>
                <w:sz w:val="20"/>
              </w:rPr>
              <w:t>Hold-downs, tie-downs, foundation tie-downs, angle brackets, shear plates</w:t>
            </w:r>
          </w:p>
        </w:tc>
        <w:tc>
          <w:tcPr>
            <w:tcW w:w="1383" w:type="dxa"/>
            <w:shd w:val="clear" w:color="auto" w:fill="FFFFFF" w:themeFill="background1"/>
          </w:tcPr>
          <w:p w14:paraId="43439D95" w14:textId="77777777" w:rsidR="009D12CA" w:rsidRPr="00132C1E" w:rsidRDefault="009D12CA" w:rsidP="002061E5">
            <w:pPr>
              <w:rPr>
                <w:sz w:val="20"/>
              </w:rPr>
            </w:pPr>
            <w:r w:rsidRPr="00132C1E">
              <w:rPr>
                <w:sz w:val="20"/>
              </w:rPr>
              <w:t xml:space="preserve">Displacement </w:t>
            </w:r>
          </w:p>
        </w:tc>
        <w:tc>
          <w:tcPr>
            <w:tcW w:w="968" w:type="dxa"/>
            <w:shd w:val="clear" w:color="auto" w:fill="auto"/>
          </w:tcPr>
          <w:p w14:paraId="14014249" w14:textId="77777777" w:rsidR="009D12CA" w:rsidRPr="00C92028" w:rsidRDefault="009D12CA" w:rsidP="002061E5">
            <w:pPr>
              <w:jc w:val="center"/>
              <w:rPr>
                <w:sz w:val="20"/>
              </w:rPr>
            </w:pPr>
            <w:r w:rsidRPr="00C92028">
              <w:rPr>
                <w:sz w:val="20"/>
              </w:rPr>
              <w:t>1,5</w:t>
            </w:r>
          </w:p>
        </w:tc>
        <w:tc>
          <w:tcPr>
            <w:tcW w:w="709" w:type="dxa"/>
            <w:shd w:val="clear" w:color="auto" w:fill="auto"/>
          </w:tcPr>
          <w:p w14:paraId="0F58A63E" w14:textId="77777777" w:rsidR="009D12CA" w:rsidRPr="00C92028" w:rsidRDefault="009D12CA" w:rsidP="002061E5">
            <w:pPr>
              <w:jc w:val="center"/>
              <w:rPr>
                <w:sz w:val="20"/>
              </w:rPr>
            </w:pPr>
            <w:r w:rsidRPr="00C92028">
              <w:rPr>
                <w:sz w:val="20"/>
              </w:rPr>
              <w:t>1,5</w:t>
            </w:r>
          </w:p>
        </w:tc>
      </w:tr>
      <w:tr w:rsidR="009D12CA" w:rsidRPr="00132C1E" w:rsidDel="0009295D" w14:paraId="7A798BC1" w14:textId="77777777" w:rsidTr="00481083">
        <w:tc>
          <w:tcPr>
            <w:tcW w:w="3343" w:type="dxa"/>
            <w:vMerge/>
            <w:shd w:val="clear" w:color="auto" w:fill="FFFFFF" w:themeFill="background1"/>
          </w:tcPr>
          <w:p w14:paraId="0D905D11" w14:textId="77777777" w:rsidR="009D12CA" w:rsidRPr="00031900" w:rsidRDefault="009D12CA" w:rsidP="002061E5">
            <w:pPr>
              <w:rPr>
                <w:sz w:val="20"/>
              </w:rPr>
            </w:pPr>
          </w:p>
        </w:tc>
        <w:tc>
          <w:tcPr>
            <w:tcW w:w="3373" w:type="dxa"/>
            <w:shd w:val="clear" w:color="auto" w:fill="FFFFFF" w:themeFill="background1"/>
          </w:tcPr>
          <w:p w14:paraId="764EFFE2" w14:textId="77777777" w:rsidR="009D12CA" w:rsidRPr="00031900" w:rsidRDefault="009D12CA" w:rsidP="002061E5">
            <w:pPr>
              <w:rPr>
                <w:sz w:val="20"/>
              </w:rPr>
            </w:pPr>
            <w:r w:rsidRPr="00031900">
              <w:rPr>
                <w:sz w:val="20"/>
              </w:rPr>
              <w:t>Screwed wall panel-to-panel joints</w:t>
            </w:r>
          </w:p>
        </w:tc>
        <w:tc>
          <w:tcPr>
            <w:tcW w:w="1383" w:type="dxa"/>
            <w:shd w:val="clear" w:color="auto" w:fill="FFFFFF" w:themeFill="background1"/>
          </w:tcPr>
          <w:p w14:paraId="4FBB6F78" w14:textId="77777777" w:rsidR="009D12CA" w:rsidRPr="00132C1E" w:rsidRDefault="009D12CA" w:rsidP="002061E5">
            <w:pPr>
              <w:rPr>
                <w:sz w:val="20"/>
              </w:rPr>
            </w:pPr>
            <w:r w:rsidRPr="00132C1E">
              <w:rPr>
                <w:sz w:val="20"/>
              </w:rPr>
              <w:t>Displacement</w:t>
            </w:r>
          </w:p>
        </w:tc>
        <w:tc>
          <w:tcPr>
            <w:tcW w:w="968" w:type="dxa"/>
            <w:shd w:val="clear" w:color="auto" w:fill="auto"/>
            <w:vAlign w:val="center"/>
          </w:tcPr>
          <w:p w14:paraId="64B03DDC" w14:textId="77777777" w:rsidR="009D12CA" w:rsidRPr="00C92028" w:rsidDel="0009295D" w:rsidRDefault="009D12CA" w:rsidP="002061E5">
            <w:pPr>
              <w:jc w:val="center"/>
              <w:rPr>
                <w:sz w:val="20"/>
              </w:rPr>
            </w:pPr>
            <w:r w:rsidRPr="00C92028">
              <w:rPr>
                <w:sz w:val="20"/>
              </w:rPr>
              <w:t>-</w:t>
            </w:r>
          </w:p>
        </w:tc>
        <w:tc>
          <w:tcPr>
            <w:tcW w:w="709" w:type="dxa"/>
            <w:shd w:val="clear" w:color="auto" w:fill="auto"/>
            <w:vAlign w:val="center"/>
          </w:tcPr>
          <w:p w14:paraId="58421702" w14:textId="77777777" w:rsidR="009D12CA" w:rsidRPr="00C92028" w:rsidDel="0009295D" w:rsidRDefault="009D12CA" w:rsidP="002061E5">
            <w:pPr>
              <w:jc w:val="center"/>
              <w:rPr>
                <w:sz w:val="20"/>
              </w:rPr>
            </w:pPr>
            <w:r w:rsidRPr="00C92028">
              <w:rPr>
                <w:sz w:val="20"/>
              </w:rPr>
              <w:t>5,5</w:t>
            </w:r>
          </w:p>
        </w:tc>
      </w:tr>
      <w:tr w:rsidR="009D12CA" w:rsidRPr="00132C1E" w14:paraId="27962319" w14:textId="77777777" w:rsidTr="00481083">
        <w:tc>
          <w:tcPr>
            <w:tcW w:w="3343" w:type="dxa"/>
            <w:vMerge w:val="restart"/>
            <w:shd w:val="clear" w:color="auto" w:fill="FFFFFF" w:themeFill="background1"/>
          </w:tcPr>
          <w:p w14:paraId="23F357C3" w14:textId="6D3C6117" w:rsidR="009D12CA" w:rsidRPr="00031900" w:rsidRDefault="009D12CA" w:rsidP="002061E5">
            <w:pPr>
              <w:rPr>
                <w:sz w:val="20"/>
              </w:rPr>
            </w:pPr>
            <w:r w:rsidRPr="00031900">
              <w:rPr>
                <w:sz w:val="20"/>
              </w:rPr>
              <w:t>b)</w:t>
            </w:r>
            <w:r w:rsidR="00031900" w:rsidRPr="00031900">
              <w:rPr>
                <w:sz w:val="20"/>
              </w:rPr>
              <w:t xml:space="preserve"> </w:t>
            </w:r>
            <w:r w:rsidRPr="00031900">
              <w:rPr>
                <w:sz w:val="20"/>
              </w:rPr>
              <w:t>Framed wall structures</w:t>
            </w:r>
          </w:p>
        </w:tc>
        <w:tc>
          <w:tcPr>
            <w:tcW w:w="3373" w:type="dxa"/>
            <w:shd w:val="clear" w:color="auto" w:fill="FFFFFF" w:themeFill="background1"/>
          </w:tcPr>
          <w:p w14:paraId="497A9600" w14:textId="77777777" w:rsidR="009D12CA" w:rsidRPr="00031900" w:rsidRDefault="009D12CA" w:rsidP="002061E5">
            <w:pPr>
              <w:rPr>
                <w:sz w:val="20"/>
              </w:rPr>
            </w:pPr>
            <w:r w:rsidRPr="00031900">
              <w:rPr>
                <w:sz w:val="20"/>
              </w:rPr>
              <w:t>Shear wall*</w:t>
            </w:r>
          </w:p>
        </w:tc>
        <w:tc>
          <w:tcPr>
            <w:tcW w:w="1383" w:type="dxa"/>
            <w:shd w:val="clear" w:color="auto" w:fill="FFFFFF" w:themeFill="background1"/>
          </w:tcPr>
          <w:p w14:paraId="7ED966BF" w14:textId="77777777" w:rsidR="009D12CA" w:rsidRPr="00E05E29" w:rsidRDefault="009D12CA" w:rsidP="002061E5">
            <w:pPr>
              <w:rPr>
                <w:sz w:val="20"/>
              </w:rPr>
            </w:pPr>
            <w:r w:rsidRPr="00644C3D">
              <w:rPr>
                <w:sz w:val="20"/>
              </w:rPr>
              <w:t xml:space="preserve">Displacement </w:t>
            </w:r>
          </w:p>
        </w:tc>
        <w:tc>
          <w:tcPr>
            <w:tcW w:w="968" w:type="dxa"/>
            <w:shd w:val="clear" w:color="auto" w:fill="auto"/>
            <w:vAlign w:val="center"/>
          </w:tcPr>
          <w:p w14:paraId="7547AB0A" w14:textId="77777777" w:rsidR="009D12CA" w:rsidRPr="002144A0" w:rsidRDefault="009D12CA" w:rsidP="002061E5">
            <w:pPr>
              <w:jc w:val="center"/>
              <w:rPr>
                <w:sz w:val="20"/>
              </w:rPr>
            </w:pPr>
            <w:r w:rsidRPr="00196951">
              <w:rPr>
                <w:sz w:val="20"/>
              </w:rPr>
              <w:t>2,2</w:t>
            </w:r>
          </w:p>
        </w:tc>
        <w:tc>
          <w:tcPr>
            <w:tcW w:w="709" w:type="dxa"/>
            <w:shd w:val="clear" w:color="auto" w:fill="auto"/>
            <w:vAlign w:val="center"/>
          </w:tcPr>
          <w:p w14:paraId="59799000" w14:textId="77777777" w:rsidR="009D12CA" w:rsidRPr="002144A0" w:rsidRDefault="009D12CA" w:rsidP="002061E5">
            <w:pPr>
              <w:jc w:val="center"/>
              <w:rPr>
                <w:sz w:val="20"/>
              </w:rPr>
            </w:pPr>
            <w:r w:rsidRPr="002144A0">
              <w:rPr>
                <w:sz w:val="20"/>
              </w:rPr>
              <w:t>3,5</w:t>
            </w:r>
          </w:p>
        </w:tc>
      </w:tr>
      <w:tr w:rsidR="009D12CA" w:rsidRPr="00132C1E" w14:paraId="3370141F" w14:textId="77777777" w:rsidTr="00481083">
        <w:tc>
          <w:tcPr>
            <w:tcW w:w="3343" w:type="dxa"/>
            <w:vMerge/>
            <w:shd w:val="clear" w:color="auto" w:fill="FFFFFF" w:themeFill="background1"/>
          </w:tcPr>
          <w:p w14:paraId="45CD3A6B" w14:textId="77777777" w:rsidR="009D12CA" w:rsidRPr="00031900" w:rsidRDefault="009D12CA" w:rsidP="002061E5">
            <w:pPr>
              <w:rPr>
                <w:sz w:val="20"/>
              </w:rPr>
            </w:pPr>
          </w:p>
        </w:tc>
        <w:tc>
          <w:tcPr>
            <w:tcW w:w="3373" w:type="dxa"/>
            <w:shd w:val="clear" w:color="auto" w:fill="FFFFFF" w:themeFill="background1"/>
          </w:tcPr>
          <w:p w14:paraId="6D46E785" w14:textId="77777777" w:rsidR="009D12CA" w:rsidRPr="00031900" w:rsidRDefault="009D12CA" w:rsidP="002061E5">
            <w:pPr>
              <w:rPr>
                <w:sz w:val="20"/>
              </w:rPr>
            </w:pPr>
            <w:r w:rsidRPr="00031900">
              <w:rPr>
                <w:sz w:val="20"/>
              </w:rPr>
              <w:t>Connection (nail/screw/staple)</w:t>
            </w:r>
          </w:p>
        </w:tc>
        <w:tc>
          <w:tcPr>
            <w:tcW w:w="1383" w:type="dxa"/>
            <w:shd w:val="clear" w:color="auto" w:fill="FFFFFF" w:themeFill="background1"/>
          </w:tcPr>
          <w:p w14:paraId="542CD28D" w14:textId="77777777" w:rsidR="009D12CA" w:rsidRPr="00132C1E" w:rsidRDefault="009D12CA" w:rsidP="002061E5">
            <w:pPr>
              <w:rPr>
                <w:sz w:val="20"/>
              </w:rPr>
            </w:pPr>
            <w:r w:rsidRPr="00132C1E">
              <w:rPr>
                <w:sz w:val="20"/>
              </w:rPr>
              <w:t xml:space="preserve">Displacement </w:t>
            </w:r>
          </w:p>
        </w:tc>
        <w:tc>
          <w:tcPr>
            <w:tcW w:w="968" w:type="dxa"/>
            <w:shd w:val="clear" w:color="auto" w:fill="auto"/>
            <w:vAlign w:val="center"/>
          </w:tcPr>
          <w:p w14:paraId="5696412A" w14:textId="77777777" w:rsidR="009D12CA" w:rsidRPr="00132C1E" w:rsidRDefault="009D12CA" w:rsidP="002061E5">
            <w:pPr>
              <w:jc w:val="center"/>
              <w:rPr>
                <w:sz w:val="20"/>
              </w:rPr>
            </w:pPr>
            <w:r w:rsidRPr="00132C1E">
              <w:rPr>
                <w:sz w:val="20"/>
              </w:rPr>
              <w:t>3,5</w:t>
            </w:r>
          </w:p>
        </w:tc>
        <w:tc>
          <w:tcPr>
            <w:tcW w:w="709" w:type="dxa"/>
            <w:shd w:val="clear" w:color="auto" w:fill="auto"/>
            <w:vAlign w:val="center"/>
          </w:tcPr>
          <w:p w14:paraId="5D4ECF35" w14:textId="77777777" w:rsidR="009D12CA" w:rsidRPr="00132C1E" w:rsidRDefault="009D12CA" w:rsidP="002061E5">
            <w:pPr>
              <w:jc w:val="center"/>
              <w:rPr>
                <w:sz w:val="20"/>
              </w:rPr>
            </w:pPr>
            <w:r w:rsidRPr="00132C1E">
              <w:rPr>
                <w:sz w:val="20"/>
              </w:rPr>
              <w:t>5,5</w:t>
            </w:r>
          </w:p>
        </w:tc>
      </w:tr>
      <w:tr w:rsidR="009D12CA" w:rsidRPr="00132C1E" w14:paraId="2FCF5634" w14:textId="77777777" w:rsidTr="00481083">
        <w:tc>
          <w:tcPr>
            <w:tcW w:w="3343" w:type="dxa"/>
            <w:shd w:val="clear" w:color="auto" w:fill="FFFFFF" w:themeFill="background1"/>
          </w:tcPr>
          <w:p w14:paraId="6DC0CA5E" w14:textId="77777777" w:rsidR="009D12CA" w:rsidRPr="00031900" w:rsidRDefault="009D12CA" w:rsidP="002061E5">
            <w:pPr>
              <w:rPr>
                <w:sz w:val="20"/>
              </w:rPr>
            </w:pPr>
            <w:r w:rsidRPr="00031900">
              <w:rPr>
                <w:sz w:val="20"/>
              </w:rPr>
              <w:t>c) Log structures</w:t>
            </w:r>
          </w:p>
        </w:tc>
        <w:tc>
          <w:tcPr>
            <w:tcW w:w="3373" w:type="dxa"/>
            <w:shd w:val="clear" w:color="auto" w:fill="FFFFFF" w:themeFill="background1"/>
          </w:tcPr>
          <w:p w14:paraId="18206193" w14:textId="77777777" w:rsidR="009D12CA" w:rsidRPr="00031900" w:rsidRDefault="009D12CA" w:rsidP="002061E5">
            <w:pPr>
              <w:rPr>
                <w:sz w:val="20"/>
              </w:rPr>
            </w:pPr>
            <w:r w:rsidRPr="00031900">
              <w:rPr>
                <w:sz w:val="20"/>
              </w:rPr>
              <w:t>Shear wall*</w:t>
            </w:r>
          </w:p>
        </w:tc>
        <w:tc>
          <w:tcPr>
            <w:tcW w:w="1383" w:type="dxa"/>
            <w:shd w:val="clear" w:color="auto" w:fill="FFFFFF" w:themeFill="background1"/>
          </w:tcPr>
          <w:p w14:paraId="2D4C0DC2" w14:textId="77777777" w:rsidR="009D12CA" w:rsidRPr="00E05E29" w:rsidRDefault="009D12CA" w:rsidP="002061E5">
            <w:pPr>
              <w:rPr>
                <w:sz w:val="20"/>
              </w:rPr>
            </w:pPr>
            <w:r w:rsidRPr="00644C3D">
              <w:rPr>
                <w:sz w:val="20"/>
              </w:rPr>
              <w:t xml:space="preserve">Displacement </w:t>
            </w:r>
          </w:p>
        </w:tc>
        <w:tc>
          <w:tcPr>
            <w:tcW w:w="968" w:type="dxa"/>
            <w:shd w:val="clear" w:color="auto" w:fill="auto"/>
            <w:vAlign w:val="center"/>
          </w:tcPr>
          <w:p w14:paraId="59B89EA5" w14:textId="77777777" w:rsidR="009D12CA" w:rsidRPr="002144A0" w:rsidRDefault="009D12CA" w:rsidP="002061E5">
            <w:pPr>
              <w:jc w:val="center"/>
              <w:rPr>
                <w:sz w:val="20"/>
              </w:rPr>
            </w:pPr>
            <w:r w:rsidRPr="00196951">
              <w:rPr>
                <w:sz w:val="20"/>
              </w:rPr>
              <w:t>1,4</w:t>
            </w:r>
          </w:p>
        </w:tc>
        <w:tc>
          <w:tcPr>
            <w:tcW w:w="709" w:type="dxa"/>
            <w:shd w:val="clear" w:color="auto" w:fill="auto"/>
            <w:vAlign w:val="center"/>
          </w:tcPr>
          <w:p w14:paraId="1AAB119C" w14:textId="77777777" w:rsidR="009D12CA" w:rsidRPr="002144A0" w:rsidRDefault="009D12CA" w:rsidP="002061E5">
            <w:pPr>
              <w:jc w:val="center"/>
              <w:rPr>
                <w:sz w:val="20"/>
              </w:rPr>
            </w:pPr>
            <w:r w:rsidRPr="002144A0">
              <w:rPr>
                <w:sz w:val="20"/>
              </w:rPr>
              <w:t>-</w:t>
            </w:r>
          </w:p>
        </w:tc>
      </w:tr>
      <w:tr w:rsidR="009D12CA" w:rsidRPr="00132C1E" w14:paraId="7684305B" w14:textId="77777777" w:rsidTr="00481083">
        <w:tc>
          <w:tcPr>
            <w:tcW w:w="3343" w:type="dxa"/>
            <w:vMerge w:val="restart"/>
            <w:shd w:val="clear" w:color="auto" w:fill="FFFFFF" w:themeFill="background1"/>
          </w:tcPr>
          <w:p w14:paraId="402ADC23" w14:textId="77777777" w:rsidR="009D12CA" w:rsidRPr="00031900" w:rsidRDefault="009D12CA" w:rsidP="002061E5">
            <w:pPr>
              <w:rPr>
                <w:sz w:val="20"/>
              </w:rPr>
            </w:pPr>
            <w:r w:rsidRPr="00031900">
              <w:rPr>
                <w:sz w:val="20"/>
              </w:rPr>
              <w:t>d) Moment-resisting frames</w:t>
            </w:r>
          </w:p>
        </w:tc>
        <w:tc>
          <w:tcPr>
            <w:tcW w:w="3373" w:type="dxa"/>
            <w:shd w:val="clear" w:color="auto" w:fill="FFFFFF" w:themeFill="background1"/>
          </w:tcPr>
          <w:p w14:paraId="474BFCFC" w14:textId="77777777" w:rsidR="009D12CA" w:rsidRPr="00031900" w:rsidRDefault="009D12CA" w:rsidP="002061E5">
            <w:pPr>
              <w:rPr>
                <w:sz w:val="20"/>
              </w:rPr>
            </w:pPr>
            <w:r w:rsidRPr="00031900">
              <w:rPr>
                <w:sz w:val="20"/>
              </w:rPr>
              <w:t>Portal Frame*</w:t>
            </w:r>
          </w:p>
        </w:tc>
        <w:tc>
          <w:tcPr>
            <w:tcW w:w="1383" w:type="dxa"/>
            <w:shd w:val="clear" w:color="auto" w:fill="FFFFFF" w:themeFill="background1"/>
          </w:tcPr>
          <w:p w14:paraId="49353A52" w14:textId="77777777" w:rsidR="009D12CA" w:rsidRPr="002144A0" w:rsidRDefault="009D12CA" w:rsidP="002061E5">
            <w:pPr>
              <w:rPr>
                <w:sz w:val="20"/>
              </w:rPr>
            </w:pPr>
            <w:r w:rsidRPr="00196951">
              <w:rPr>
                <w:sz w:val="20"/>
              </w:rPr>
              <w:t xml:space="preserve">Displacement </w:t>
            </w:r>
          </w:p>
        </w:tc>
        <w:tc>
          <w:tcPr>
            <w:tcW w:w="968" w:type="dxa"/>
            <w:shd w:val="clear" w:color="auto" w:fill="auto"/>
            <w:vAlign w:val="center"/>
          </w:tcPr>
          <w:p w14:paraId="1A0B2F69" w14:textId="77777777" w:rsidR="009D12CA" w:rsidRPr="002144A0" w:rsidRDefault="009D12CA" w:rsidP="002061E5">
            <w:pPr>
              <w:jc w:val="center"/>
              <w:rPr>
                <w:sz w:val="20"/>
              </w:rPr>
            </w:pPr>
            <w:r w:rsidRPr="002144A0">
              <w:rPr>
                <w:sz w:val="20"/>
              </w:rPr>
              <w:t>2,0</w:t>
            </w:r>
          </w:p>
        </w:tc>
        <w:tc>
          <w:tcPr>
            <w:tcW w:w="709" w:type="dxa"/>
            <w:shd w:val="clear" w:color="auto" w:fill="auto"/>
            <w:vAlign w:val="center"/>
          </w:tcPr>
          <w:p w14:paraId="3A269DE5" w14:textId="77777777" w:rsidR="009D12CA" w:rsidRPr="002144A0" w:rsidRDefault="009D12CA" w:rsidP="002061E5">
            <w:pPr>
              <w:jc w:val="center"/>
              <w:rPr>
                <w:sz w:val="20"/>
              </w:rPr>
            </w:pPr>
            <w:r w:rsidRPr="002144A0">
              <w:rPr>
                <w:sz w:val="20"/>
              </w:rPr>
              <w:t>3,0</w:t>
            </w:r>
          </w:p>
        </w:tc>
      </w:tr>
      <w:tr w:rsidR="009D12CA" w:rsidRPr="00132C1E" w14:paraId="08D2ACD5" w14:textId="77777777" w:rsidTr="00481083">
        <w:tc>
          <w:tcPr>
            <w:tcW w:w="3343" w:type="dxa"/>
            <w:vMerge/>
            <w:shd w:val="clear" w:color="auto" w:fill="FFFFFF" w:themeFill="background1"/>
          </w:tcPr>
          <w:p w14:paraId="48400EEA" w14:textId="77777777" w:rsidR="009D12CA" w:rsidRPr="00031900" w:rsidRDefault="009D12CA" w:rsidP="002061E5">
            <w:pPr>
              <w:rPr>
                <w:sz w:val="20"/>
              </w:rPr>
            </w:pPr>
          </w:p>
        </w:tc>
        <w:tc>
          <w:tcPr>
            <w:tcW w:w="3373" w:type="dxa"/>
            <w:shd w:val="clear" w:color="auto" w:fill="FFFFFF" w:themeFill="background1"/>
          </w:tcPr>
          <w:p w14:paraId="5C890A96" w14:textId="77777777" w:rsidR="009D12CA" w:rsidRPr="00031900" w:rsidRDefault="009D12CA" w:rsidP="002061E5">
            <w:pPr>
              <w:rPr>
                <w:sz w:val="20"/>
              </w:rPr>
            </w:pPr>
            <w:r w:rsidRPr="00031900">
              <w:rPr>
                <w:sz w:val="20"/>
              </w:rPr>
              <w:t>Beam-column joint</w:t>
            </w:r>
          </w:p>
        </w:tc>
        <w:tc>
          <w:tcPr>
            <w:tcW w:w="1383" w:type="dxa"/>
            <w:shd w:val="clear" w:color="auto" w:fill="FFFFFF" w:themeFill="background1"/>
          </w:tcPr>
          <w:p w14:paraId="106805B2" w14:textId="77777777" w:rsidR="009D12CA" w:rsidRPr="00132C1E" w:rsidRDefault="009D12CA" w:rsidP="002061E5">
            <w:pPr>
              <w:rPr>
                <w:sz w:val="20"/>
              </w:rPr>
            </w:pPr>
            <w:r w:rsidRPr="00132C1E">
              <w:rPr>
                <w:sz w:val="20"/>
              </w:rPr>
              <w:t xml:space="preserve">Rotational </w:t>
            </w:r>
          </w:p>
        </w:tc>
        <w:tc>
          <w:tcPr>
            <w:tcW w:w="968" w:type="dxa"/>
            <w:shd w:val="clear" w:color="auto" w:fill="auto"/>
            <w:vAlign w:val="center"/>
          </w:tcPr>
          <w:p w14:paraId="01AF320B" w14:textId="77777777" w:rsidR="009D12CA" w:rsidRPr="00132C1E" w:rsidRDefault="009D12CA" w:rsidP="002061E5">
            <w:pPr>
              <w:jc w:val="center"/>
              <w:rPr>
                <w:sz w:val="20"/>
              </w:rPr>
            </w:pPr>
            <w:r w:rsidRPr="00132C1E">
              <w:rPr>
                <w:sz w:val="20"/>
              </w:rPr>
              <w:t>4,0</w:t>
            </w:r>
          </w:p>
        </w:tc>
        <w:tc>
          <w:tcPr>
            <w:tcW w:w="709" w:type="dxa"/>
            <w:shd w:val="clear" w:color="auto" w:fill="auto"/>
            <w:vAlign w:val="center"/>
          </w:tcPr>
          <w:p w14:paraId="391F8233" w14:textId="77777777" w:rsidR="009D12CA" w:rsidRPr="00132C1E" w:rsidRDefault="009D12CA" w:rsidP="002061E5">
            <w:pPr>
              <w:jc w:val="center"/>
              <w:rPr>
                <w:sz w:val="20"/>
              </w:rPr>
            </w:pPr>
            <w:r w:rsidRPr="00132C1E">
              <w:rPr>
                <w:sz w:val="20"/>
              </w:rPr>
              <w:t>7,0</w:t>
            </w:r>
          </w:p>
        </w:tc>
      </w:tr>
      <w:tr w:rsidR="009D12CA" w:rsidRPr="00132C1E" w14:paraId="37300DEB" w14:textId="77777777" w:rsidTr="00481083">
        <w:tc>
          <w:tcPr>
            <w:tcW w:w="3343" w:type="dxa"/>
            <w:shd w:val="clear" w:color="auto" w:fill="FFFFFF" w:themeFill="background1"/>
          </w:tcPr>
          <w:p w14:paraId="153D2ABE" w14:textId="77777777" w:rsidR="009D12CA" w:rsidRPr="00031900" w:rsidRDefault="009D12CA" w:rsidP="002061E5">
            <w:pPr>
              <w:rPr>
                <w:sz w:val="20"/>
              </w:rPr>
            </w:pPr>
            <w:r w:rsidRPr="00031900">
              <w:rPr>
                <w:rFonts w:cs="Calibri"/>
                <w:sz w:val="20"/>
                <w:lang w:eastAsia="ja-JP"/>
              </w:rPr>
              <w:t>e) Braced frame structures with dowel-type connections</w:t>
            </w:r>
          </w:p>
        </w:tc>
        <w:tc>
          <w:tcPr>
            <w:tcW w:w="3373" w:type="dxa"/>
            <w:shd w:val="clear" w:color="auto" w:fill="FFFFFF" w:themeFill="background1"/>
          </w:tcPr>
          <w:p w14:paraId="669D79D0" w14:textId="77777777" w:rsidR="009D12CA" w:rsidRPr="00031900" w:rsidRDefault="009D12CA" w:rsidP="002061E5">
            <w:pPr>
              <w:rPr>
                <w:sz w:val="20"/>
              </w:rPr>
            </w:pPr>
            <w:r w:rsidRPr="00031900">
              <w:rPr>
                <w:sz w:val="20"/>
              </w:rPr>
              <w:t>Braced Frame*</w:t>
            </w:r>
          </w:p>
        </w:tc>
        <w:tc>
          <w:tcPr>
            <w:tcW w:w="1383" w:type="dxa"/>
            <w:shd w:val="clear" w:color="auto" w:fill="FFFFFF" w:themeFill="background1"/>
          </w:tcPr>
          <w:p w14:paraId="425702A5" w14:textId="77777777" w:rsidR="009D12CA" w:rsidRPr="00E05E29" w:rsidRDefault="009D12CA" w:rsidP="002061E5">
            <w:pPr>
              <w:rPr>
                <w:sz w:val="20"/>
              </w:rPr>
            </w:pPr>
            <w:r w:rsidRPr="00644C3D">
              <w:rPr>
                <w:sz w:val="20"/>
              </w:rPr>
              <w:t xml:space="preserve">Displacement </w:t>
            </w:r>
          </w:p>
        </w:tc>
        <w:tc>
          <w:tcPr>
            <w:tcW w:w="968" w:type="dxa"/>
            <w:shd w:val="clear" w:color="auto" w:fill="auto"/>
          </w:tcPr>
          <w:p w14:paraId="1F0D44DE" w14:textId="77777777" w:rsidR="009D12CA" w:rsidRPr="002144A0" w:rsidRDefault="009D12CA" w:rsidP="002061E5">
            <w:pPr>
              <w:jc w:val="center"/>
              <w:rPr>
                <w:sz w:val="20"/>
              </w:rPr>
            </w:pPr>
            <w:r w:rsidRPr="00196951">
              <w:rPr>
                <w:sz w:val="20"/>
              </w:rPr>
              <w:t>1,4</w:t>
            </w:r>
          </w:p>
        </w:tc>
        <w:tc>
          <w:tcPr>
            <w:tcW w:w="709" w:type="dxa"/>
            <w:shd w:val="clear" w:color="auto" w:fill="auto"/>
          </w:tcPr>
          <w:p w14:paraId="5B17B2B7" w14:textId="77777777" w:rsidR="009D12CA" w:rsidRPr="002144A0" w:rsidRDefault="009D12CA" w:rsidP="002061E5">
            <w:pPr>
              <w:jc w:val="center"/>
              <w:rPr>
                <w:sz w:val="20"/>
              </w:rPr>
            </w:pPr>
            <w:r w:rsidRPr="002144A0">
              <w:rPr>
                <w:sz w:val="20"/>
              </w:rPr>
              <w:t>-</w:t>
            </w:r>
          </w:p>
        </w:tc>
      </w:tr>
      <w:tr w:rsidR="009D12CA" w:rsidRPr="00132C1E" w14:paraId="1E629D44" w14:textId="77777777" w:rsidTr="00481083">
        <w:tc>
          <w:tcPr>
            <w:tcW w:w="3343" w:type="dxa"/>
            <w:shd w:val="clear" w:color="auto" w:fill="FFFFFF" w:themeFill="background1"/>
          </w:tcPr>
          <w:p w14:paraId="4992B860" w14:textId="77777777" w:rsidR="009D12CA" w:rsidRPr="00031900" w:rsidRDefault="009D12CA" w:rsidP="002061E5">
            <w:pPr>
              <w:rPr>
                <w:sz w:val="20"/>
              </w:rPr>
            </w:pPr>
            <w:r w:rsidRPr="00031900">
              <w:rPr>
                <w:rFonts w:cs="Calibri"/>
                <w:sz w:val="20"/>
                <w:lang w:eastAsia="ja-JP"/>
              </w:rPr>
              <w:t xml:space="preserve">f) Vertical cantilever structures </w:t>
            </w:r>
          </w:p>
        </w:tc>
        <w:tc>
          <w:tcPr>
            <w:tcW w:w="3373" w:type="dxa"/>
            <w:shd w:val="clear" w:color="auto" w:fill="FFFFFF" w:themeFill="background1"/>
          </w:tcPr>
          <w:p w14:paraId="1CB82A12" w14:textId="77777777" w:rsidR="009D12CA" w:rsidRPr="00031900" w:rsidRDefault="009D12CA" w:rsidP="002061E5">
            <w:pPr>
              <w:rPr>
                <w:sz w:val="20"/>
              </w:rPr>
            </w:pPr>
            <w:r w:rsidRPr="00031900">
              <w:rPr>
                <w:sz w:val="20"/>
              </w:rPr>
              <w:t>Shear wall*</w:t>
            </w:r>
          </w:p>
        </w:tc>
        <w:tc>
          <w:tcPr>
            <w:tcW w:w="1383" w:type="dxa"/>
            <w:shd w:val="clear" w:color="auto" w:fill="FFFFFF" w:themeFill="background1"/>
          </w:tcPr>
          <w:p w14:paraId="6032BD4B" w14:textId="77777777" w:rsidR="009D12CA" w:rsidRPr="00FD17CF" w:rsidRDefault="009D12CA" w:rsidP="002061E5">
            <w:pPr>
              <w:rPr>
                <w:sz w:val="20"/>
              </w:rPr>
            </w:pPr>
            <w:r w:rsidRPr="007E6F67">
              <w:rPr>
                <w:sz w:val="20"/>
              </w:rPr>
              <w:t xml:space="preserve">Displacement </w:t>
            </w:r>
          </w:p>
        </w:tc>
        <w:tc>
          <w:tcPr>
            <w:tcW w:w="968" w:type="dxa"/>
            <w:shd w:val="clear" w:color="auto" w:fill="auto"/>
            <w:vAlign w:val="center"/>
          </w:tcPr>
          <w:p w14:paraId="1594CE66" w14:textId="77777777" w:rsidR="009D12CA" w:rsidRPr="00E05E29" w:rsidRDefault="009D12CA" w:rsidP="002061E5">
            <w:pPr>
              <w:jc w:val="center"/>
              <w:rPr>
                <w:sz w:val="20"/>
              </w:rPr>
            </w:pPr>
            <w:r w:rsidRPr="00644C3D">
              <w:rPr>
                <w:sz w:val="20"/>
              </w:rPr>
              <w:t>2</w:t>
            </w:r>
            <w:r w:rsidRPr="00E05E29">
              <w:rPr>
                <w:sz w:val="20"/>
              </w:rPr>
              <w:t>,0</w:t>
            </w:r>
          </w:p>
        </w:tc>
        <w:tc>
          <w:tcPr>
            <w:tcW w:w="709" w:type="dxa"/>
            <w:shd w:val="clear" w:color="auto" w:fill="auto"/>
            <w:vAlign w:val="center"/>
          </w:tcPr>
          <w:p w14:paraId="08BEE4F7" w14:textId="77777777" w:rsidR="009D12CA" w:rsidRPr="002144A0" w:rsidRDefault="009D12CA" w:rsidP="002061E5">
            <w:pPr>
              <w:jc w:val="center"/>
              <w:rPr>
                <w:sz w:val="20"/>
              </w:rPr>
            </w:pPr>
            <w:r w:rsidRPr="00196951">
              <w:rPr>
                <w:sz w:val="20"/>
              </w:rPr>
              <w:t>-</w:t>
            </w:r>
          </w:p>
        </w:tc>
      </w:tr>
      <w:tr w:rsidR="009D12CA" w:rsidRPr="00132C1E" w14:paraId="219F95A6" w14:textId="77777777" w:rsidTr="00481083">
        <w:tc>
          <w:tcPr>
            <w:tcW w:w="3343" w:type="dxa"/>
            <w:shd w:val="clear" w:color="auto" w:fill="FFFFFF" w:themeFill="background1"/>
          </w:tcPr>
          <w:p w14:paraId="483802C2" w14:textId="77777777" w:rsidR="009D12CA" w:rsidRPr="00031900" w:rsidRDefault="009D12CA" w:rsidP="002061E5">
            <w:pPr>
              <w:rPr>
                <w:sz w:val="20"/>
              </w:rPr>
            </w:pPr>
            <w:r w:rsidRPr="00031900">
              <w:rPr>
                <w:sz w:val="20"/>
              </w:rPr>
              <w:t xml:space="preserve">g) </w:t>
            </w:r>
            <w:r w:rsidRPr="00031900">
              <w:rPr>
                <w:rFonts w:cs="Calibri"/>
                <w:sz w:val="20"/>
                <w:lang w:eastAsia="ja-JP"/>
              </w:rPr>
              <w:t>Braced frame structures with carpentry connections and interacting masonry infill</w:t>
            </w:r>
          </w:p>
        </w:tc>
        <w:tc>
          <w:tcPr>
            <w:tcW w:w="3373" w:type="dxa"/>
            <w:shd w:val="clear" w:color="auto" w:fill="FFFFFF" w:themeFill="background1"/>
          </w:tcPr>
          <w:p w14:paraId="27CEAA24" w14:textId="77777777" w:rsidR="009D12CA" w:rsidRPr="00031900" w:rsidRDefault="009D12CA" w:rsidP="002061E5">
            <w:pPr>
              <w:rPr>
                <w:sz w:val="20"/>
              </w:rPr>
            </w:pPr>
            <w:r w:rsidRPr="00031900">
              <w:rPr>
                <w:sz w:val="20"/>
              </w:rPr>
              <w:t>Shear wall*</w:t>
            </w:r>
          </w:p>
        </w:tc>
        <w:tc>
          <w:tcPr>
            <w:tcW w:w="1383" w:type="dxa"/>
            <w:shd w:val="clear" w:color="auto" w:fill="FFFFFF" w:themeFill="background1"/>
          </w:tcPr>
          <w:p w14:paraId="3E61DC81" w14:textId="77777777" w:rsidR="009D12CA" w:rsidRPr="002144A0" w:rsidRDefault="009D12CA" w:rsidP="002061E5">
            <w:pPr>
              <w:rPr>
                <w:sz w:val="20"/>
              </w:rPr>
            </w:pPr>
            <w:r w:rsidRPr="00196951">
              <w:rPr>
                <w:sz w:val="20"/>
              </w:rPr>
              <w:t xml:space="preserve">Displacement </w:t>
            </w:r>
          </w:p>
        </w:tc>
        <w:tc>
          <w:tcPr>
            <w:tcW w:w="968" w:type="dxa"/>
            <w:shd w:val="clear" w:color="auto" w:fill="auto"/>
          </w:tcPr>
          <w:p w14:paraId="4B5507E5" w14:textId="77777777" w:rsidR="009D12CA" w:rsidRPr="002144A0" w:rsidRDefault="009D12CA" w:rsidP="002061E5">
            <w:pPr>
              <w:jc w:val="center"/>
              <w:rPr>
                <w:sz w:val="20"/>
              </w:rPr>
            </w:pPr>
            <w:r w:rsidRPr="002144A0">
              <w:rPr>
                <w:sz w:val="20"/>
              </w:rPr>
              <w:t>1,4</w:t>
            </w:r>
          </w:p>
        </w:tc>
        <w:tc>
          <w:tcPr>
            <w:tcW w:w="709" w:type="dxa"/>
            <w:shd w:val="clear" w:color="auto" w:fill="auto"/>
          </w:tcPr>
          <w:p w14:paraId="181CBD87" w14:textId="77777777" w:rsidR="009D12CA" w:rsidRPr="002144A0" w:rsidRDefault="009D12CA" w:rsidP="002061E5">
            <w:pPr>
              <w:jc w:val="center"/>
              <w:rPr>
                <w:sz w:val="20"/>
              </w:rPr>
            </w:pPr>
            <w:r w:rsidRPr="002144A0">
              <w:rPr>
                <w:sz w:val="20"/>
              </w:rPr>
              <w:t>-</w:t>
            </w:r>
          </w:p>
        </w:tc>
      </w:tr>
      <w:tr w:rsidR="009D12CA" w:rsidRPr="009B221D" w14:paraId="6F5A5E08" w14:textId="77777777" w:rsidTr="00481083">
        <w:tc>
          <w:tcPr>
            <w:tcW w:w="9776" w:type="dxa"/>
            <w:gridSpan w:val="5"/>
            <w:shd w:val="clear" w:color="auto" w:fill="FFFFFF" w:themeFill="background1"/>
          </w:tcPr>
          <w:p w14:paraId="023CBE3A" w14:textId="77777777" w:rsidR="009D12CA" w:rsidRPr="002144A0" w:rsidRDefault="009D12CA" w:rsidP="002061E5">
            <w:pPr>
              <w:rPr>
                <w:sz w:val="20"/>
              </w:rPr>
            </w:pPr>
            <w:r w:rsidRPr="00132C1E">
              <w:rPr>
                <w:sz w:val="20"/>
              </w:rPr>
              <w:t xml:space="preserve">*The values provided refer to the system ductility of the sub-assembly, taking into account the ductility of all the individual connections and </w:t>
            </w:r>
            <w:r w:rsidRPr="00D1484A">
              <w:rPr>
                <w:sz w:val="20"/>
              </w:rPr>
              <w:t>components.</w:t>
            </w:r>
          </w:p>
        </w:tc>
      </w:tr>
    </w:tbl>
    <w:p w14:paraId="78D64421" w14:textId="2410977C" w:rsidR="009D12CA" w:rsidRDefault="009D12CA" w:rsidP="00724E4E">
      <w:pPr>
        <w:pStyle w:val="Clause"/>
      </w:pPr>
      <w:r w:rsidRPr="007754C9">
        <w:t>Connections made of dowel-type fasteners transferring load mainly via axial resistance (Figure 13.2 A and B) should not be considered as dissipative.</w:t>
      </w:r>
    </w:p>
    <w:p w14:paraId="4F00940F" w14:textId="0B3C9EE0" w:rsidR="009D12CA" w:rsidRPr="005716E3" w:rsidRDefault="009D12CA" w:rsidP="00724E4E">
      <w:pPr>
        <w:pStyle w:val="Clause"/>
      </w:pPr>
      <w:r w:rsidRPr="00133C4C">
        <w:t>Dowel-type fasteners in dissipative zones should be perpendicular to the shear force in the connection (Fig</w:t>
      </w:r>
      <w:r w:rsidR="008217FC">
        <w:t>ure</w:t>
      </w:r>
      <w:r w:rsidRPr="00133C4C">
        <w:t xml:space="preserve"> 13.2 C)</w:t>
      </w:r>
      <w:r>
        <w:t>.</w:t>
      </w:r>
    </w:p>
    <w:p w14:paraId="643CD6D8" w14:textId="1384F6B8" w:rsidR="009D12CA" w:rsidRPr="00132C1E" w:rsidRDefault="00684F9A" w:rsidP="00684F9A">
      <w:pPr>
        <w:pStyle w:val="FigureImage"/>
      </w:pPr>
      <w:r>
        <w:rPr>
          <w:noProof/>
        </w:rPr>
        <w:lastRenderedPageBreak/>
        <w:drawing>
          <wp:inline distT="0" distB="0" distL="0" distR="0" wp14:anchorId="6EF9BB78" wp14:editId="4C232FCD">
            <wp:extent cx="3599694" cy="2157988"/>
            <wp:effectExtent l="0" t="0" r="1270" b="0"/>
            <wp:docPr id="1661690640" name="0046.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1690640" name="0046.tiff"/>
                    <pic:cNvPicPr/>
                  </pic:nvPicPr>
                  <pic:blipFill>
                    <a:blip r:link="rId71"/>
                    <a:stretch>
                      <a:fillRect/>
                    </a:stretch>
                  </pic:blipFill>
                  <pic:spPr>
                    <a:xfrm>
                      <a:off x="0" y="0"/>
                      <a:ext cx="3599694" cy="2157988"/>
                    </a:xfrm>
                    <a:prstGeom prst="rect">
                      <a:avLst/>
                    </a:prstGeom>
                  </pic:spPr>
                </pic:pic>
              </a:graphicData>
            </a:graphic>
          </wp:inline>
        </w:drawing>
      </w:r>
    </w:p>
    <w:p w14:paraId="0D0AFCAE" w14:textId="77777777" w:rsidR="009D12CA" w:rsidRPr="00D1484A" w:rsidRDefault="009D12CA" w:rsidP="00684F9A">
      <w:pPr>
        <w:pStyle w:val="KeyTitle"/>
      </w:pPr>
      <w:r w:rsidRPr="00D1484A">
        <w:t>Key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
        <w:gridCol w:w="8868"/>
      </w:tblGrid>
      <w:tr w:rsidR="009D12CA" w:rsidRPr="009B221D" w14:paraId="77456486" w14:textId="77777777" w:rsidTr="002061E5">
        <w:tc>
          <w:tcPr>
            <w:tcW w:w="817" w:type="dxa"/>
          </w:tcPr>
          <w:p w14:paraId="798C5B60" w14:textId="77777777" w:rsidR="009D12CA" w:rsidRPr="00FD17CF" w:rsidRDefault="009D12CA" w:rsidP="008618F2">
            <w:pPr>
              <w:pStyle w:val="KeyText"/>
              <w:spacing w:before="0"/>
            </w:pPr>
            <w:r w:rsidRPr="007E6F67">
              <w:t>A and B</w:t>
            </w:r>
          </w:p>
        </w:tc>
        <w:tc>
          <w:tcPr>
            <w:tcW w:w="9604" w:type="dxa"/>
          </w:tcPr>
          <w:p w14:paraId="189A6C9C" w14:textId="6060E699" w:rsidR="009D12CA" w:rsidRPr="00196951" w:rsidRDefault="00684F9A" w:rsidP="008618F2">
            <w:pPr>
              <w:pStyle w:val="KeyText"/>
              <w:spacing w:before="0"/>
            </w:pPr>
            <w:r>
              <w:t>c</w:t>
            </w:r>
            <w:r w:rsidR="009D12CA" w:rsidRPr="00644C3D">
              <w:t>onnection with fasteners inserted inclined with respect to the direction of the shear force, transferring most of the load via axial resistance, which should not be considered as dissipative</w:t>
            </w:r>
          </w:p>
        </w:tc>
      </w:tr>
      <w:tr w:rsidR="009D12CA" w:rsidRPr="009B221D" w14:paraId="2992733D" w14:textId="77777777" w:rsidTr="002061E5">
        <w:tc>
          <w:tcPr>
            <w:tcW w:w="817" w:type="dxa"/>
          </w:tcPr>
          <w:p w14:paraId="3C2E704D" w14:textId="77777777" w:rsidR="009D12CA" w:rsidRPr="00D1484A" w:rsidRDefault="009D12CA" w:rsidP="008618F2">
            <w:pPr>
              <w:pStyle w:val="KeyText"/>
              <w:spacing w:before="0"/>
              <w:rPr>
                <w:iCs/>
              </w:rPr>
            </w:pPr>
            <w:r w:rsidRPr="00132C1E">
              <w:rPr>
                <w:iCs/>
              </w:rPr>
              <w:t>C</w:t>
            </w:r>
          </w:p>
        </w:tc>
        <w:tc>
          <w:tcPr>
            <w:tcW w:w="9604" w:type="dxa"/>
          </w:tcPr>
          <w:p w14:paraId="5C970B1E" w14:textId="0A95C491" w:rsidR="009D12CA" w:rsidRPr="007E6F67" w:rsidRDefault="00684F9A" w:rsidP="008618F2">
            <w:pPr>
              <w:pStyle w:val="KeyText"/>
              <w:spacing w:before="0"/>
            </w:pPr>
            <w:r>
              <w:t>c</w:t>
            </w:r>
            <w:r w:rsidR="009D12CA" w:rsidRPr="00D1484A">
              <w:t>onnection with fasteners inserted perpendicular with respect to the direction of the shear force, transferring most of the load via shear resistance, which may be considered dissipative</w:t>
            </w:r>
          </w:p>
        </w:tc>
      </w:tr>
      <w:tr w:rsidR="009D12CA" w:rsidRPr="009B221D" w14:paraId="61C294B5" w14:textId="77777777" w:rsidTr="002061E5">
        <w:tc>
          <w:tcPr>
            <w:tcW w:w="817" w:type="dxa"/>
          </w:tcPr>
          <w:p w14:paraId="725BAFDE" w14:textId="77777777" w:rsidR="009D12CA" w:rsidRPr="00D1484A" w:rsidRDefault="009D12CA" w:rsidP="008618F2">
            <w:pPr>
              <w:pStyle w:val="KeyText"/>
              <w:spacing w:before="0"/>
              <w:rPr>
                <w:iCs/>
              </w:rPr>
            </w:pPr>
            <w:r w:rsidRPr="00132C1E">
              <w:rPr>
                <w:iCs/>
              </w:rPr>
              <w:t>1</w:t>
            </w:r>
          </w:p>
        </w:tc>
        <w:tc>
          <w:tcPr>
            <w:tcW w:w="9604" w:type="dxa"/>
          </w:tcPr>
          <w:p w14:paraId="4276C724" w14:textId="303D9363" w:rsidR="009D12CA" w:rsidRPr="00D1484A" w:rsidRDefault="00684F9A" w:rsidP="008618F2">
            <w:pPr>
              <w:pStyle w:val="KeyText"/>
              <w:spacing w:before="0"/>
            </w:pPr>
            <w:r>
              <w:t>d</w:t>
            </w:r>
            <w:r w:rsidR="009D12CA" w:rsidRPr="00D1484A">
              <w:t>irection of the shear force being transferred</w:t>
            </w:r>
          </w:p>
        </w:tc>
      </w:tr>
      <w:tr w:rsidR="009D12CA" w:rsidRPr="009B221D" w14:paraId="4657A264" w14:textId="77777777" w:rsidTr="002061E5">
        <w:tc>
          <w:tcPr>
            <w:tcW w:w="817" w:type="dxa"/>
          </w:tcPr>
          <w:p w14:paraId="00CFBB6D" w14:textId="77777777" w:rsidR="009D12CA" w:rsidRPr="00D1484A" w:rsidRDefault="009D12CA" w:rsidP="008618F2">
            <w:pPr>
              <w:pStyle w:val="KeyText"/>
              <w:spacing w:before="0"/>
              <w:rPr>
                <w:iCs/>
              </w:rPr>
            </w:pPr>
            <w:r w:rsidRPr="00132C1E">
              <w:rPr>
                <w:iCs/>
              </w:rPr>
              <w:t>2</w:t>
            </w:r>
          </w:p>
        </w:tc>
        <w:tc>
          <w:tcPr>
            <w:tcW w:w="9604" w:type="dxa"/>
          </w:tcPr>
          <w:p w14:paraId="3C55E5A4" w14:textId="13B8F713" w:rsidR="009D12CA" w:rsidRPr="007E6F67" w:rsidRDefault="00684F9A" w:rsidP="008618F2">
            <w:pPr>
              <w:pStyle w:val="KeyText"/>
              <w:spacing w:before="0"/>
            </w:pPr>
            <w:r>
              <w:t>f</w:t>
            </w:r>
            <w:r w:rsidR="009D12CA" w:rsidRPr="00D1484A">
              <w:t>asteners inclined with respect to the direction of the shear force being transferred</w:t>
            </w:r>
          </w:p>
        </w:tc>
      </w:tr>
      <w:tr w:rsidR="009D12CA" w:rsidRPr="009B221D" w14:paraId="56B9CFB5" w14:textId="77777777" w:rsidTr="002061E5">
        <w:tc>
          <w:tcPr>
            <w:tcW w:w="817" w:type="dxa"/>
          </w:tcPr>
          <w:p w14:paraId="2AFDA528" w14:textId="77777777" w:rsidR="009D12CA" w:rsidRPr="00D1484A" w:rsidRDefault="009D12CA" w:rsidP="008618F2">
            <w:pPr>
              <w:pStyle w:val="KeyText"/>
              <w:spacing w:before="0"/>
              <w:rPr>
                <w:iCs/>
              </w:rPr>
            </w:pPr>
            <w:r w:rsidRPr="00132C1E">
              <w:rPr>
                <w:iCs/>
              </w:rPr>
              <w:t>3</w:t>
            </w:r>
          </w:p>
        </w:tc>
        <w:tc>
          <w:tcPr>
            <w:tcW w:w="9604" w:type="dxa"/>
          </w:tcPr>
          <w:p w14:paraId="5FB5A64D" w14:textId="275CF9A7" w:rsidR="009D12CA" w:rsidRPr="00D1484A" w:rsidRDefault="00684F9A" w:rsidP="008618F2">
            <w:pPr>
              <w:pStyle w:val="KeyText"/>
              <w:spacing w:before="0"/>
            </w:pPr>
            <w:r>
              <w:t>f</w:t>
            </w:r>
            <w:r w:rsidR="009D12CA" w:rsidRPr="00D1484A">
              <w:t>asteners perpendicular to the direction of the shear force being transferred</w:t>
            </w:r>
          </w:p>
        </w:tc>
      </w:tr>
    </w:tbl>
    <w:p w14:paraId="316236A2" w14:textId="40260C14" w:rsidR="009D12CA" w:rsidRPr="007E6F67" w:rsidRDefault="009D12CA" w:rsidP="00031900">
      <w:pPr>
        <w:pStyle w:val="Figuretitle"/>
        <w:rPr>
          <w:szCs w:val="22"/>
        </w:rPr>
      </w:pPr>
      <w:r w:rsidRPr="00132C1E">
        <w:t xml:space="preserve">Figure </w:t>
      </w:r>
      <w:r w:rsidR="001F7CA7">
        <w:t>13.2</w:t>
      </w:r>
      <w:r w:rsidRPr="00132C1E">
        <w:t> </w:t>
      </w:r>
      <w:r w:rsidRPr="00D1484A">
        <w:rPr>
          <w:rFonts w:ascii="`ÃÍœ˛" w:eastAsia="Cambria" w:hAnsi="`ÃÍœ˛" w:cs="`ÃÍœ˛"/>
          <w:szCs w:val="22"/>
          <w:lang w:eastAsia="de-DE"/>
        </w:rPr>
        <w:t>—</w:t>
      </w:r>
      <w:r w:rsidRPr="00D1484A">
        <w:t> </w:t>
      </w:r>
      <w:r w:rsidRPr="00D1484A">
        <w:rPr>
          <w:bCs/>
        </w:rPr>
        <w:t>Examples of non-dissipative and dissipative connections</w:t>
      </w:r>
    </w:p>
    <w:p w14:paraId="1FD6C390" w14:textId="77777777" w:rsidR="009D12CA" w:rsidRPr="00644C3D" w:rsidRDefault="009D12CA" w:rsidP="009D12CA">
      <w:pPr>
        <w:pStyle w:val="Heading3"/>
      </w:pPr>
      <w:bookmarkStart w:id="10291" w:name="_Toc520573564"/>
      <w:bookmarkStart w:id="10292" w:name="_Toc2160619"/>
      <w:bookmarkStart w:id="10293" w:name="_Toc17491741"/>
      <w:bookmarkStart w:id="10294" w:name="_Toc50150570"/>
      <w:bookmarkStart w:id="10295" w:name="_Toc70887002"/>
      <w:bookmarkStart w:id="10296" w:name="_Toc108342572"/>
      <w:bookmarkStart w:id="10297" w:name="_Toc134198094"/>
      <w:r w:rsidRPr="00FD17CF">
        <w:t>Capacity design rules common to all dissipative structural types</w:t>
      </w:r>
      <w:bookmarkEnd w:id="10291"/>
      <w:bookmarkEnd w:id="10292"/>
      <w:bookmarkEnd w:id="10293"/>
      <w:bookmarkEnd w:id="10294"/>
      <w:bookmarkEnd w:id="10295"/>
      <w:bookmarkEnd w:id="10296"/>
      <w:bookmarkEnd w:id="10297"/>
    </w:p>
    <w:p w14:paraId="0D193592" w14:textId="34EEE586" w:rsidR="009D12CA" w:rsidRPr="002144A0" w:rsidRDefault="009D12CA" w:rsidP="0080187E">
      <w:pPr>
        <w:pStyle w:val="Clause"/>
        <w:numPr>
          <w:ilvl w:val="0"/>
          <w:numId w:val="451"/>
        </w:numPr>
      </w:pPr>
      <w:r w:rsidRPr="00E05E29">
        <w:t>To ensure yielding of the dissipative zones, all non-dissipative members and connections in DC2 or DC3 structures shall be capacity designed</w:t>
      </w:r>
      <w:r w:rsidRPr="00196951">
        <w:t xml:space="preserve"> according to </w:t>
      </w:r>
      <w:r w:rsidRPr="00835C82">
        <w:t>(2)</w:t>
      </w:r>
      <w:r w:rsidRPr="002144A0">
        <w:t xml:space="preserve"> and either </w:t>
      </w:r>
      <w:r w:rsidRPr="00835C82">
        <w:t>(4)</w:t>
      </w:r>
      <w:r w:rsidRPr="002144A0">
        <w:t xml:space="preserve"> or </w:t>
      </w:r>
      <w:r w:rsidRPr="00835C82">
        <w:t>(5)</w:t>
      </w:r>
      <w:r w:rsidRPr="002144A0">
        <w:t>.</w:t>
      </w:r>
    </w:p>
    <w:p w14:paraId="1B28D5BE" w14:textId="31CEFD53" w:rsidR="009D12CA" w:rsidRPr="00641E28" w:rsidRDefault="009D12CA" w:rsidP="00724E4E">
      <w:pPr>
        <w:pStyle w:val="Clause"/>
        <w:rPr>
          <w:rFonts w:ascii="Cambria Math" w:hAnsi="Cambria Math"/>
        </w:rPr>
      </w:pPr>
      <w:r w:rsidRPr="002144A0">
        <w:t xml:space="preserve">For DC2 and DC3 design of the structural types in Table 13.2, the design strength </w:t>
      </w:r>
      <w:r w:rsidRPr="00641E28">
        <w:rPr>
          <w:i/>
        </w:rPr>
        <w:t>F</w:t>
      </w:r>
      <w:r w:rsidRPr="00641E28">
        <w:rPr>
          <w:vertAlign w:val="subscript"/>
        </w:rPr>
        <w:t>Rd,b</w:t>
      </w:r>
      <w:r w:rsidRPr="004F25D7">
        <w:t xml:space="preserve"> of the brittle components should satisfy Formula (13.</w:t>
      </w:r>
      <w:r w:rsidRPr="00C52095">
        <w:t>4).</w:t>
      </w:r>
    </w:p>
    <w:p w14:paraId="66B328CC" w14:textId="7BD3CA66" w:rsidR="00031900" w:rsidRDefault="009B5CEC" w:rsidP="00031900">
      <w:pPr>
        <w:pStyle w:val="Formula"/>
        <w:spacing w:before="240"/>
      </w:pPr>
      <m:oMath>
        <m:f>
          <m:fPr>
            <m:ctrlPr>
              <w:rPr>
                <w:rFonts w:ascii="Cambria Math" w:hAnsi="Cambria Math"/>
              </w:rPr>
            </m:ctrlPr>
          </m:fPr>
          <m:num>
            <m:sSub>
              <m:sSubPr>
                <m:ctrlPr>
                  <w:rPr>
                    <w:rFonts w:ascii="Cambria Math" w:hAnsi="Cambria Math"/>
                  </w:rPr>
                </m:ctrlPr>
              </m:sSubPr>
              <m:e>
                <m:r>
                  <w:rPr>
                    <w:rFonts w:ascii="Cambria Math" w:hAnsi="Cambria Math"/>
                  </w:rPr>
                  <m:t>γ</m:t>
                </m:r>
              </m:e>
              <m:sub>
                <m:r>
                  <m:rPr>
                    <m:sty m:val="p"/>
                  </m:rPr>
                  <w:rPr>
                    <w:rFonts w:ascii="Cambria Math" w:hAnsi="Cambria Math"/>
                  </w:rPr>
                  <m:t>Rd</m:t>
                </m:r>
              </m:sub>
            </m:sSub>
          </m:num>
          <m:den>
            <m:sSub>
              <m:sSubPr>
                <m:ctrlPr>
                  <w:rPr>
                    <w:rFonts w:ascii="Cambria Math" w:hAnsi="Cambria Math"/>
                  </w:rPr>
                </m:ctrlPr>
              </m:sSubPr>
              <m:e>
                <m:r>
                  <w:rPr>
                    <w:rFonts w:ascii="Cambria Math" w:hAnsi="Cambria Math"/>
                  </w:rPr>
                  <m:t>k</m:t>
                </m:r>
              </m:e>
              <m:sub>
                <m:r>
                  <m:rPr>
                    <m:sty m:val="p"/>
                  </m:rPr>
                  <w:rPr>
                    <w:rFonts w:ascii="Cambria Math" w:hAnsi="Cambria Math"/>
                  </w:rPr>
                  <m:t>deg</m:t>
                </m:r>
              </m:sub>
            </m:sSub>
          </m:den>
        </m:f>
        <m:sSub>
          <m:sSubPr>
            <m:ctrlPr>
              <w:rPr>
                <w:rFonts w:ascii="Cambria Math" w:hAnsi="Cambria Math"/>
              </w:rPr>
            </m:ctrlPr>
          </m:sSubPr>
          <m:e>
            <m:r>
              <w:rPr>
                <w:rFonts w:ascii="Cambria Math" w:hAnsi="Cambria Math"/>
              </w:rPr>
              <m:t>F</m:t>
            </m:r>
          </m:e>
          <m:sub>
            <m:r>
              <m:rPr>
                <m:sty m:val="p"/>
              </m:rPr>
              <w:rPr>
                <w:rFonts w:ascii="Cambria Math" w:hAnsi="Cambria Math"/>
              </w:rPr>
              <m:t>Rd,d</m:t>
            </m:r>
          </m:sub>
        </m:sSub>
        <m:r>
          <w:rPr>
            <w:rFonts w:ascii="Cambria Math" w:hAnsi="Cambria Math"/>
          </w:rPr>
          <m:t>≤</m:t>
        </m:r>
        <m:sSub>
          <m:sSubPr>
            <m:ctrlPr>
              <w:rPr>
                <w:rFonts w:ascii="Cambria Math" w:hAnsi="Cambria Math"/>
              </w:rPr>
            </m:ctrlPr>
          </m:sSubPr>
          <m:e>
            <m:r>
              <w:rPr>
                <w:rFonts w:ascii="Cambria Math" w:hAnsi="Cambria Math"/>
              </w:rPr>
              <m:t>F</m:t>
            </m:r>
          </m:e>
          <m:sub>
            <m:r>
              <m:rPr>
                <m:sty m:val="p"/>
              </m:rPr>
              <w:rPr>
                <w:rFonts w:ascii="Cambria Math" w:hAnsi="Cambria Math"/>
              </w:rPr>
              <m:t>Rd,b</m:t>
            </m:r>
          </m:sub>
        </m:sSub>
      </m:oMath>
      <w:r w:rsidR="00031900" w:rsidRPr="00132C1E">
        <w:t xml:space="preserve">            with the limitation</w:t>
      </w:r>
      <m:oMath>
        <m:r>
          <w:rPr>
            <w:rFonts w:ascii="Cambria Math" w:hAnsi="Cambria Math"/>
          </w:rPr>
          <m:t xml:space="preserve"> </m:t>
        </m:r>
        <m:sSub>
          <m:sSubPr>
            <m:ctrlPr>
              <w:rPr>
                <w:rFonts w:ascii="Cambria Math" w:eastAsia="Batang" w:hAnsi="Cambria Math"/>
                <w:lang w:eastAsia="de-DE"/>
              </w:rPr>
            </m:ctrlPr>
          </m:sSubPr>
          <m:e>
            <m:r>
              <w:rPr>
                <w:rFonts w:ascii="Cambria Math" w:hAnsi="Cambria Math"/>
              </w:rPr>
              <m:t>k</m:t>
            </m:r>
          </m:e>
          <m:sub>
            <m:r>
              <m:rPr>
                <m:sty m:val="p"/>
              </m:rPr>
              <w:rPr>
                <w:rFonts w:ascii="Cambria Math" w:hAnsi="Cambria Math"/>
              </w:rPr>
              <m:t>deg</m:t>
            </m:r>
          </m:sub>
        </m:sSub>
        <m:r>
          <w:rPr>
            <w:rFonts w:ascii="Cambria Math" w:eastAsia="Batang" w:hAnsi="Cambria Math"/>
            <w:lang w:eastAsia="de-DE"/>
          </w:rPr>
          <m:t>≤1</m:t>
        </m:r>
      </m:oMath>
      <w:r w:rsidR="00031900" w:rsidRPr="00870D59">
        <w:tab/>
        <w:t>(1</w:t>
      </w:r>
      <w:r w:rsidR="00031900">
        <w:t>3</w:t>
      </w:r>
      <w:r w:rsidR="00031900" w:rsidRPr="00870D59">
        <w:t>.</w:t>
      </w:r>
      <w:r w:rsidR="00031900">
        <w:t>4</w:t>
      </w:r>
      <w:r w:rsidR="00031900" w:rsidRPr="00870D59">
        <w:t>)</w:t>
      </w:r>
    </w:p>
    <w:p w14:paraId="07089F7F" w14:textId="54BC8488" w:rsidR="00416ACE" w:rsidRPr="00416ACE" w:rsidRDefault="00416ACE" w:rsidP="00416ACE">
      <w:pPr>
        <w:pStyle w:val="Text"/>
      </w:pPr>
      <w:r>
        <w:t>where</w:t>
      </w:r>
    </w:p>
    <w:tbl>
      <w:tblPr>
        <w:tblW w:w="0" w:type="auto"/>
        <w:tblInd w:w="346" w:type="dxa"/>
        <w:tblLook w:val="04A0" w:firstRow="1" w:lastRow="0" w:firstColumn="1" w:lastColumn="0" w:noHBand="0" w:noVBand="1"/>
      </w:tblPr>
      <w:tblGrid>
        <w:gridCol w:w="1275"/>
        <w:gridCol w:w="7938"/>
      </w:tblGrid>
      <w:tr w:rsidR="00031900" w:rsidRPr="000F2AFF" w14:paraId="4DD4F8F5" w14:textId="77777777" w:rsidTr="008217FC">
        <w:tc>
          <w:tcPr>
            <w:tcW w:w="1275" w:type="dxa"/>
          </w:tcPr>
          <w:p w14:paraId="023104E3" w14:textId="512CD7E2" w:rsidR="00031900" w:rsidRPr="000F2AFF" w:rsidRDefault="009800A9" w:rsidP="002061E5">
            <w:pPr>
              <w:spacing w:after="60"/>
              <w:jc w:val="left"/>
              <w:rPr>
                <w:rFonts w:eastAsia="Times New Roman" w:cs="Cambria"/>
                <w:color w:val="000000" w:themeColor="text1"/>
                <w:szCs w:val="20"/>
                <w:lang w:eastAsia="fr-FR"/>
              </w:rPr>
            </w:pPr>
            <w:r w:rsidRPr="00644C3D">
              <w:rPr>
                <w:rFonts w:ascii="Symbol" w:hAnsi="Symbol"/>
                <w:i/>
              </w:rPr>
              <w:t></w:t>
            </w:r>
            <w:r w:rsidRPr="00E05E29">
              <w:rPr>
                <w:vertAlign w:val="subscript"/>
              </w:rPr>
              <w:t>Rd</w:t>
            </w:r>
          </w:p>
        </w:tc>
        <w:tc>
          <w:tcPr>
            <w:tcW w:w="7938" w:type="dxa"/>
          </w:tcPr>
          <w:p w14:paraId="2D9525B9" w14:textId="77777777" w:rsidR="00031900" w:rsidRPr="00464B4C" w:rsidRDefault="00031900" w:rsidP="002061E5">
            <w:pPr>
              <w:spacing w:after="60"/>
              <w:rPr>
                <w:rFonts w:eastAsia="Times New Roman" w:cs="Cambria"/>
                <w:color w:val="000000" w:themeColor="text1"/>
                <w:szCs w:val="20"/>
                <w:lang w:eastAsia="fr-FR"/>
              </w:rPr>
            </w:pPr>
            <w:r w:rsidRPr="00E05E29">
              <w:t>is the design value of the strength of the dissipative zones;</w:t>
            </w:r>
          </w:p>
        </w:tc>
      </w:tr>
      <w:tr w:rsidR="00031900" w:rsidRPr="000F2AFF" w14:paraId="02B64E43" w14:textId="77777777" w:rsidTr="008217FC">
        <w:tc>
          <w:tcPr>
            <w:tcW w:w="1275" w:type="dxa"/>
          </w:tcPr>
          <w:p w14:paraId="7E5FBC2C" w14:textId="77777777" w:rsidR="00031900" w:rsidRPr="000F2AFF" w:rsidRDefault="00031900" w:rsidP="002061E5">
            <w:pPr>
              <w:spacing w:after="60"/>
              <w:jc w:val="left"/>
              <w:rPr>
                <w:rFonts w:eastAsia="Times New Roman" w:cs="Cambria"/>
                <w:color w:val="000000" w:themeColor="text1"/>
                <w:szCs w:val="20"/>
                <w:lang w:eastAsia="fr-FR"/>
              </w:rPr>
            </w:pPr>
            <w:r w:rsidRPr="00E05E29">
              <w:rPr>
                <w:i/>
                <w:iCs/>
              </w:rPr>
              <w:t>k</w:t>
            </w:r>
            <w:r w:rsidRPr="00E05E29">
              <w:rPr>
                <w:vertAlign w:val="subscript"/>
              </w:rPr>
              <w:t>deg</w:t>
            </w:r>
          </w:p>
        </w:tc>
        <w:tc>
          <w:tcPr>
            <w:tcW w:w="7938" w:type="dxa"/>
          </w:tcPr>
          <w:p w14:paraId="39C2D6C6" w14:textId="193B7F0F" w:rsidR="00031900" w:rsidRPr="001F7CA7" w:rsidRDefault="001A416D" w:rsidP="002061E5">
            <w:pPr>
              <w:spacing w:after="60"/>
              <w:rPr>
                <w:rFonts w:eastAsia="Times New Roman" w:cs="Cambria"/>
                <w:color w:val="000000" w:themeColor="text1"/>
                <w:szCs w:val="20"/>
                <w:lang w:eastAsia="fr-FR"/>
              </w:rPr>
            </w:pPr>
            <w:r w:rsidRPr="001F7CA7">
              <w:t>is the overstrength factor, given in Table 13.4;</w:t>
            </w:r>
          </w:p>
        </w:tc>
      </w:tr>
      <w:tr w:rsidR="00031900" w:rsidRPr="000F2AFF" w14:paraId="2DC969D7" w14:textId="77777777" w:rsidTr="008217FC">
        <w:tc>
          <w:tcPr>
            <w:tcW w:w="1275" w:type="dxa"/>
          </w:tcPr>
          <w:p w14:paraId="26E51C22" w14:textId="1D14E174" w:rsidR="00031900" w:rsidRPr="000F2AFF" w:rsidRDefault="009800A9" w:rsidP="002061E5">
            <w:pPr>
              <w:spacing w:after="60"/>
              <w:jc w:val="left"/>
              <w:rPr>
                <w:rFonts w:eastAsia="Times New Roman" w:cs="Cambria"/>
                <w:color w:val="000000" w:themeColor="text1"/>
                <w:szCs w:val="20"/>
                <w:lang w:eastAsia="fr-FR"/>
              </w:rPr>
            </w:pPr>
            <w:r w:rsidRPr="00E05E29">
              <w:rPr>
                <w:i/>
              </w:rPr>
              <w:t>k</w:t>
            </w:r>
            <w:r w:rsidRPr="00E05E29">
              <w:rPr>
                <w:vertAlign w:val="subscript"/>
              </w:rPr>
              <w:t>deg</w:t>
            </w:r>
          </w:p>
        </w:tc>
        <w:tc>
          <w:tcPr>
            <w:tcW w:w="7938" w:type="dxa"/>
          </w:tcPr>
          <w:p w14:paraId="3E751C3F" w14:textId="42357B03" w:rsidR="00031900" w:rsidRPr="001F7CA7" w:rsidRDefault="001A416D" w:rsidP="002061E5">
            <w:pPr>
              <w:spacing w:after="60"/>
              <w:rPr>
                <w:rFonts w:eastAsia="Times New Roman" w:cs="Cambria"/>
                <w:color w:val="000000" w:themeColor="text1"/>
                <w:szCs w:val="20"/>
                <w:lang w:eastAsia="fr-FR"/>
              </w:rPr>
            </w:pPr>
            <w:r w:rsidRPr="001F7CA7">
              <w:t>is the strength reduction factor defined in 13.3.1(1), for which the value given in 13.3.1(1) should be used;</w:t>
            </w:r>
          </w:p>
        </w:tc>
      </w:tr>
      <w:tr w:rsidR="00031900" w:rsidRPr="000F2AFF" w14:paraId="7BE5FA5B" w14:textId="77777777" w:rsidTr="008217FC">
        <w:tc>
          <w:tcPr>
            <w:tcW w:w="1275" w:type="dxa"/>
          </w:tcPr>
          <w:p w14:paraId="22EE257D" w14:textId="7E9389E4" w:rsidR="00031900" w:rsidRPr="000F2AFF" w:rsidRDefault="009800A9" w:rsidP="002061E5">
            <w:pPr>
              <w:spacing w:after="60"/>
              <w:jc w:val="left"/>
              <w:rPr>
                <w:rFonts w:eastAsia="Times New Roman" w:cs="Cambria"/>
                <w:color w:val="000000" w:themeColor="text1"/>
                <w:szCs w:val="20"/>
                <w:lang w:eastAsia="fr-FR"/>
              </w:rPr>
            </w:pPr>
            <w:r w:rsidRPr="002144A0">
              <w:rPr>
                <w:i/>
              </w:rPr>
              <w:t>F</w:t>
            </w:r>
            <w:r w:rsidRPr="002144A0">
              <w:rPr>
                <w:vertAlign w:val="subscript"/>
              </w:rPr>
              <w:t>Rd,d</w:t>
            </w:r>
          </w:p>
        </w:tc>
        <w:tc>
          <w:tcPr>
            <w:tcW w:w="7938" w:type="dxa"/>
          </w:tcPr>
          <w:p w14:paraId="2520F1B9" w14:textId="735E4513" w:rsidR="00031900" w:rsidRPr="001F7CA7" w:rsidRDefault="001A416D" w:rsidP="002061E5">
            <w:pPr>
              <w:spacing w:after="60"/>
              <w:rPr>
                <w:rFonts w:eastAsia="Times New Roman" w:cs="Cambria"/>
                <w:color w:val="000000" w:themeColor="text1"/>
                <w:szCs w:val="20"/>
                <w:lang w:eastAsia="fr-FR"/>
              </w:rPr>
            </w:pPr>
            <w:r w:rsidRPr="001F7CA7">
              <w:t>is the design strength of the ductile component, calculated according to 13.2.2(1);</w:t>
            </w:r>
          </w:p>
        </w:tc>
      </w:tr>
      <w:tr w:rsidR="00031900" w:rsidRPr="000F2AFF" w14:paraId="09AA85B8" w14:textId="77777777" w:rsidTr="008217FC">
        <w:tc>
          <w:tcPr>
            <w:tcW w:w="1275" w:type="dxa"/>
          </w:tcPr>
          <w:p w14:paraId="40C25F15" w14:textId="33550CF0" w:rsidR="00031900" w:rsidRPr="000F2AFF" w:rsidRDefault="009800A9" w:rsidP="002061E5">
            <w:pPr>
              <w:spacing w:after="60"/>
              <w:jc w:val="left"/>
              <w:rPr>
                <w:i/>
                <w:iCs/>
                <w:color w:val="000000" w:themeColor="text1"/>
              </w:rPr>
            </w:pPr>
            <w:r w:rsidRPr="00132C1E">
              <w:rPr>
                <w:i/>
              </w:rPr>
              <w:t>F</w:t>
            </w:r>
            <w:r w:rsidRPr="00132C1E">
              <w:rPr>
                <w:vertAlign w:val="subscript"/>
              </w:rPr>
              <w:t>Rd,b</w:t>
            </w:r>
          </w:p>
        </w:tc>
        <w:tc>
          <w:tcPr>
            <w:tcW w:w="7938" w:type="dxa"/>
          </w:tcPr>
          <w:p w14:paraId="7BC6835D" w14:textId="0CD0AA69" w:rsidR="00031900" w:rsidRPr="001F7CA7" w:rsidRDefault="001A416D" w:rsidP="002061E5">
            <w:pPr>
              <w:spacing w:after="60"/>
              <w:rPr>
                <w:color w:val="000000" w:themeColor="text1"/>
              </w:rPr>
            </w:pPr>
            <w:r w:rsidRPr="001F7CA7">
              <w:t>is the design strength of the brittle component, calculated according to 13.2.2(2).</w:t>
            </w:r>
          </w:p>
        </w:tc>
      </w:tr>
    </w:tbl>
    <w:p w14:paraId="58CFC2C5" w14:textId="50B7A52B" w:rsidR="001A416D" w:rsidRPr="00132C1E" w:rsidRDefault="001A416D" w:rsidP="00724E4E">
      <w:pPr>
        <w:pStyle w:val="Clause"/>
      </w:pPr>
      <w:r w:rsidRPr="00132C1E">
        <w:t>In DC2, the design forces in the non-dissipative connections, elements and anchorages to the foundation calculated with Formula (13.4) need not be taken as greater than the values from an analysis made considering a completely elastic behaviour (</w:t>
      </w:r>
      <w:r w:rsidRPr="00641E28">
        <w:rPr>
          <w:i/>
          <w:iCs/>
        </w:rPr>
        <w:t>q</w:t>
      </w:r>
      <w:r w:rsidRPr="00132C1E">
        <w:t xml:space="preserve"> = 1).</w:t>
      </w:r>
    </w:p>
    <w:p w14:paraId="356FF02F" w14:textId="0CDDB8FB" w:rsidR="001A416D" w:rsidRPr="00B33E3E" w:rsidRDefault="001A416D" w:rsidP="008217FC">
      <w:pPr>
        <w:pStyle w:val="Clause"/>
        <w:keepNext/>
        <w:keepLines/>
      </w:pPr>
      <w:r w:rsidRPr="00B33E3E">
        <w:lastRenderedPageBreak/>
        <w:t xml:space="preserve">If less ductile failure modes may occur according to </w:t>
      </w:r>
      <w:r w:rsidR="007F3697">
        <w:t>prEN </w:t>
      </w:r>
      <w:r w:rsidR="006067DF">
        <w:t>1995-1-1:2023</w:t>
      </w:r>
      <w:r w:rsidRPr="00B33E3E">
        <w:t xml:space="preserve">, </w:t>
      </w:r>
      <w:r w:rsidRPr="00835C82">
        <w:t>11.3.2</w:t>
      </w:r>
      <w:r w:rsidRPr="00B33E3E">
        <w:t>, in the dowel-type metal fasteners of the dissipative zones, the less ductile failure modes should be designed with a safety margin with respect to the selected ductile failure mode providing energy dissipation according to Formula (13.5).</w:t>
      </w:r>
    </w:p>
    <w:p w14:paraId="277D0A1F" w14:textId="5CBA4B5F" w:rsidR="00031900" w:rsidRDefault="001A416D" w:rsidP="00031900">
      <w:pPr>
        <w:pStyle w:val="Formula"/>
        <w:spacing w:before="240"/>
      </w:pPr>
      <m:oMath>
        <m:r>
          <w:rPr>
            <w:rFonts w:ascii="Cambria Math" w:hAnsi="Cambria Math"/>
          </w:rPr>
          <m:t>1,2</m:t>
        </m:r>
        <m:sSub>
          <m:sSubPr>
            <m:ctrlPr>
              <w:rPr>
                <w:rFonts w:ascii="Cambria Math" w:hAnsi="Cambria Math"/>
              </w:rPr>
            </m:ctrlPr>
          </m:sSubPr>
          <m:e>
            <m:r>
              <w:rPr>
                <w:rFonts w:ascii="Cambria Math" w:hAnsi="Cambria Math"/>
              </w:rPr>
              <m:t> F</m:t>
            </m:r>
          </m:e>
          <m:sub>
            <m:r>
              <m:rPr>
                <m:sty m:val="p"/>
              </m:rPr>
              <w:rPr>
                <w:rFonts w:ascii="Cambria Math" w:hAnsi="Cambria Math"/>
              </w:rPr>
              <m:t>v,Rk,d</m:t>
            </m:r>
          </m:sub>
        </m:sSub>
        <m:r>
          <w:rPr>
            <w:rFonts w:ascii="Cambria Math" w:hAnsi="Cambria Math"/>
          </w:rPr>
          <m:t>≤</m:t>
        </m:r>
        <m:sSub>
          <m:sSubPr>
            <m:ctrlPr>
              <w:rPr>
                <w:rFonts w:ascii="Cambria Math" w:hAnsi="Cambria Math"/>
              </w:rPr>
            </m:ctrlPr>
          </m:sSubPr>
          <m:e>
            <m:r>
              <w:rPr>
                <w:rFonts w:ascii="Cambria Math" w:hAnsi="Cambria Math"/>
              </w:rPr>
              <m:t>F</m:t>
            </m:r>
          </m:e>
          <m:sub>
            <m:r>
              <m:rPr>
                <m:sty m:val="p"/>
              </m:rPr>
              <w:rPr>
                <w:rFonts w:ascii="Cambria Math" w:hAnsi="Cambria Math"/>
              </w:rPr>
              <m:t>v,Rk,nd</m:t>
            </m:r>
          </m:sub>
        </m:sSub>
      </m:oMath>
      <w:r w:rsidR="00031900" w:rsidRPr="00870D59">
        <w:tab/>
        <w:t>(1</w:t>
      </w:r>
      <w:r w:rsidR="00031900">
        <w:t>3</w:t>
      </w:r>
      <w:r w:rsidR="00031900" w:rsidRPr="00870D59">
        <w:t>.</w:t>
      </w:r>
      <w:r>
        <w:t>5</w:t>
      </w:r>
      <w:r w:rsidR="00031900" w:rsidRPr="00870D59">
        <w:t>)</w:t>
      </w:r>
    </w:p>
    <w:p w14:paraId="71EA6742" w14:textId="335AB24B" w:rsidR="00416ACE" w:rsidRPr="00416ACE" w:rsidRDefault="00416ACE" w:rsidP="00416ACE">
      <w:pPr>
        <w:pStyle w:val="Text"/>
      </w:pPr>
      <w:r>
        <w:t>where</w:t>
      </w:r>
    </w:p>
    <w:tbl>
      <w:tblPr>
        <w:tblW w:w="0" w:type="auto"/>
        <w:tblInd w:w="346" w:type="dxa"/>
        <w:tblLook w:val="04A0" w:firstRow="1" w:lastRow="0" w:firstColumn="1" w:lastColumn="0" w:noHBand="0" w:noVBand="1"/>
      </w:tblPr>
      <w:tblGrid>
        <w:gridCol w:w="1275"/>
        <w:gridCol w:w="7938"/>
      </w:tblGrid>
      <w:tr w:rsidR="00031900" w:rsidRPr="001F7CA7" w14:paraId="2356CA57" w14:textId="77777777" w:rsidTr="008217FC">
        <w:tc>
          <w:tcPr>
            <w:tcW w:w="1275" w:type="dxa"/>
          </w:tcPr>
          <w:p w14:paraId="02FA0708" w14:textId="27FB244B" w:rsidR="00031900" w:rsidRPr="001F7CA7" w:rsidRDefault="001A416D" w:rsidP="002061E5">
            <w:pPr>
              <w:spacing w:after="60"/>
              <w:jc w:val="left"/>
              <w:rPr>
                <w:rFonts w:eastAsia="Times New Roman" w:cs="Cambria"/>
                <w:color w:val="000000" w:themeColor="text1"/>
                <w:szCs w:val="20"/>
                <w:lang w:eastAsia="fr-FR"/>
              </w:rPr>
            </w:pPr>
            <w:r w:rsidRPr="001F7CA7">
              <w:rPr>
                <w:i/>
              </w:rPr>
              <w:t>F</w:t>
            </w:r>
            <w:r w:rsidRPr="001F7CA7">
              <w:rPr>
                <w:vertAlign w:val="subscript"/>
              </w:rPr>
              <w:t>v,Rk,d</w:t>
            </w:r>
          </w:p>
        </w:tc>
        <w:tc>
          <w:tcPr>
            <w:tcW w:w="7938" w:type="dxa"/>
          </w:tcPr>
          <w:p w14:paraId="4CEC611F" w14:textId="310E28BC" w:rsidR="00031900" w:rsidRPr="001F7CA7" w:rsidRDefault="001A416D" w:rsidP="002061E5">
            <w:pPr>
              <w:spacing w:after="60"/>
              <w:rPr>
                <w:rFonts w:eastAsia="Times New Roman" w:cs="Cambria"/>
                <w:color w:val="000000" w:themeColor="text1"/>
                <w:szCs w:val="20"/>
                <w:lang w:eastAsia="fr-FR"/>
              </w:rPr>
            </w:pPr>
            <w:r w:rsidRPr="001F7CA7">
              <w:t xml:space="preserve">is the characteristic strength of the selected ductile failure mode providing energy dissipation, according to </w:t>
            </w:r>
            <w:r w:rsidR="007F3697" w:rsidRPr="001F7CA7">
              <w:t>prEN </w:t>
            </w:r>
            <w:r w:rsidR="006067DF">
              <w:t>1995-1-1:2023</w:t>
            </w:r>
            <w:r w:rsidRPr="001F7CA7">
              <w:t>, 11.3.2;</w:t>
            </w:r>
          </w:p>
        </w:tc>
      </w:tr>
      <w:tr w:rsidR="00031900" w:rsidRPr="001F7CA7" w14:paraId="3C55BB11" w14:textId="77777777" w:rsidTr="008217FC">
        <w:tc>
          <w:tcPr>
            <w:tcW w:w="1275" w:type="dxa"/>
          </w:tcPr>
          <w:p w14:paraId="539D418C" w14:textId="16B6CFCB" w:rsidR="00031900" w:rsidRPr="001F7CA7" w:rsidRDefault="001A416D" w:rsidP="002061E5">
            <w:pPr>
              <w:spacing w:after="60"/>
              <w:jc w:val="left"/>
              <w:rPr>
                <w:rFonts w:eastAsia="Times New Roman" w:cs="Cambria"/>
                <w:color w:val="000000" w:themeColor="text1"/>
                <w:szCs w:val="20"/>
                <w:lang w:eastAsia="fr-FR"/>
              </w:rPr>
            </w:pPr>
            <w:r w:rsidRPr="001F7CA7">
              <w:rPr>
                <w:i/>
              </w:rPr>
              <w:t>F</w:t>
            </w:r>
            <w:r w:rsidRPr="001F7CA7">
              <w:rPr>
                <w:vertAlign w:val="subscript"/>
              </w:rPr>
              <w:t>v,Rk,nd</w:t>
            </w:r>
          </w:p>
        </w:tc>
        <w:tc>
          <w:tcPr>
            <w:tcW w:w="7938" w:type="dxa"/>
          </w:tcPr>
          <w:p w14:paraId="52E87ECF" w14:textId="073D8CF1" w:rsidR="00031900" w:rsidRPr="001F7CA7" w:rsidRDefault="001A416D" w:rsidP="002061E5">
            <w:pPr>
              <w:spacing w:after="60"/>
              <w:rPr>
                <w:rFonts w:eastAsia="Times New Roman" w:cs="Cambria"/>
                <w:color w:val="000000" w:themeColor="text1"/>
                <w:szCs w:val="20"/>
                <w:lang w:eastAsia="fr-FR"/>
              </w:rPr>
            </w:pPr>
            <w:r w:rsidRPr="001F7CA7">
              <w:t xml:space="preserve">is the characteristic strength of the less ductile failure mode, according to </w:t>
            </w:r>
            <w:r w:rsidR="007F3697" w:rsidRPr="001F7CA7">
              <w:t>prEN </w:t>
            </w:r>
            <w:r w:rsidR="006067DF">
              <w:t>1995-1-1:2023</w:t>
            </w:r>
            <w:r w:rsidRPr="001F7CA7">
              <w:t>, 11.3.2.</w:t>
            </w:r>
          </w:p>
        </w:tc>
      </w:tr>
    </w:tbl>
    <w:p w14:paraId="5033B1B4" w14:textId="6C910FE4" w:rsidR="001A416D" w:rsidRPr="00132C1E" w:rsidRDefault="001A416D" w:rsidP="008217FC">
      <w:pPr>
        <w:pStyle w:val="Notetext"/>
        <w:spacing w:before="200"/>
      </w:pPr>
      <w:r w:rsidRPr="001F7CA7">
        <w:t>NOTE</w:t>
      </w:r>
      <w:r w:rsidRPr="001F7CA7">
        <w:tab/>
        <w:t>An example of a dissipative zone with dowel-type metal fasteners with more possible failure modes is a timber-to-timber connection with failure mechanisms character</w:t>
      </w:r>
      <w:r w:rsidR="00E10A24">
        <w:t>ize</w:t>
      </w:r>
      <w:r w:rsidRPr="001F7CA7">
        <w:t xml:space="preserve">d by only timber embedment (less ductile and less dissipative) (modes (a), (b) and (c) in </w:t>
      </w:r>
      <w:r w:rsidR="007F3697" w:rsidRPr="001F7CA7">
        <w:t>prEN 1995-1-1</w:t>
      </w:r>
      <w:r w:rsidR="009C69A2">
        <w:t>:2023</w:t>
      </w:r>
      <w:r w:rsidRPr="001F7CA7">
        <w:rPr>
          <w:szCs w:val="24"/>
        </w:rPr>
        <w:t xml:space="preserve">, </w:t>
      </w:r>
      <w:r w:rsidRPr="001F7CA7">
        <w:t>11.3.2) or</w:t>
      </w:r>
      <w:r w:rsidRPr="00B33E3E">
        <w:t xml:space="preserve"> by one or two flexural plastic hinges in the dowel (more ductile and more dissipative) (modes (d), (e) and (f)).</w:t>
      </w:r>
    </w:p>
    <w:p w14:paraId="6A351E34" w14:textId="48D82CCB" w:rsidR="001A416D" w:rsidRPr="009A3B02" w:rsidRDefault="001A416D" w:rsidP="00724E4E">
      <w:pPr>
        <w:pStyle w:val="Clause"/>
      </w:pPr>
      <w:r w:rsidRPr="00132C1E">
        <w:t>Formula (13.5) may be applied also to dissipative carpentry connections designed to DC2 to ensure non-ductile failure modes (e.g. longitudinal shear and tension perpendicular to grain) have sufficient overstrength with respect to the selected ductile one (compression). In this case,</w:t>
      </w:r>
      <w:r w:rsidRPr="009A3B02">
        <w:t xml:space="preserve"> the safety margin should be assumed equal to 1,3.</w:t>
      </w:r>
    </w:p>
    <w:p w14:paraId="12D4AC9A" w14:textId="20F7A62F" w:rsidR="001A416D" w:rsidRPr="00132C1E" w:rsidRDefault="001A416D" w:rsidP="00724E4E">
      <w:pPr>
        <w:pStyle w:val="Clause"/>
      </w:pPr>
      <w:r w:rsidRPr="00132C1E">
        <w:t xml:space="preserve">Additional capacity design rules are given in </w:t>
      </w:r>
      <w:r w:rsidRPr="00835C82">
        <w:t>13.7</w:t>
      </w:r>
      <w:r w:rsidRPr="00132C1E">
        <w:t xml:space="preserve"> to </w:t>
      </w:r>
      <w:r w:rsidRPr="00835C82">
        <w:t>13.14</w:t>
      </w:r>
      <w:r w:rsidRPr="00132C1E">
        <w:t xml:space="preserve"> for the different structural types.</w:t>
      </w:r>
    </w:p>
    <w:p w14:paraId="03EE3F27" w14:textId="4F290A0F" w:rsidR="001A416D" w:rsidRPr="00132C1E" w:rsidRDefault="001A416D" w:rsidP="001A416D">
      <w:pPr>
        <w:pStyle w:val="Heading3"/>
      </w:pPr>
      <w:bookmarkStart w:id="10298" w:name="_Toc50150571"/>
      <w:bookmarkStart w:id="10299" w:name="_Toc70887003"/>
      <w:bookmarkStart w:id="10300" w:name="_Toc108342573"/>
      <w:bookmarkStart w:id="10301" w:name="_Toc134198095"/>
      <w:r w:rsidRPr="00132C1E">
        <w:t>Limits of seismic action for design to DC1</w:t>
      </w:r>
      <w:bookmarkEnd w:id="10298"/>
      <w:bookmarkEnd w:id="10299"/>
      <w:bookmarkEnd w:id="10300"/>
      <w:bookmarkEnd w:id="10301"/>
    </w:p>
    <w:p w14:paraId="65F97F47" w14:textId="11853AC5" w:rsidR="001A416D" w:rsidRPr="00132C1E" w:rsidRDefault="001A416D" w:rsidP="0080187E">
      <w:pPr>
        <w:pStyle w:val="Clause"/>
        <w:numPr>
          <w:ilvl w:val="0"/>
          <w:numId w:val="452"/>
        </w:numPr>
      </w:pPr>
      <w:r w:rsidRPr="00132C1E">
        <w:t xml:space="preserve">For each structural type listed in </w:t>
      </w:r>
      <w:r w:rsidRPr="00835C82">
        <w:t>13.4.1(1)</w:t>
      </w:r>
      <w:r w:rsidRPr="00132C1E">
        <w:t xml:space="preserve">, design to DC1 should not be made above levels of the seismicity index </w:t>
      </w:r>
      <w:r w:rsidRPr="00C71292">
        <w:rPr>
          <w:i/>
        </w:rPr>
        <w:t>S</w:t>
      </w:r>
      <w:r w:rsidRPr="00C71292">
        <w:rPr>
          <w:vertAlign w:val="subscript"/>
        </w:rPr>
        <w:t>δ</w:t>
      </w:r>
      <w:r w:rsidRPr="00132C1E">
        <w:t xml:space="preserve"> given in Table 13.2</w:t>
      </w:r>
      <w:r>
        <w:t xml:space="preserve">, </w:t>
      </w:r>
      <w:r w:rsidRPr="00C92028">
        <w:t xml:space="preserve">unless </w:t>
      </w:r>
      <w:r w:rsidRPr="00835C82">
        <w:t>(3)</w:t>
      </w:r>
      <w:r w:rsidRPr="00C92028">
        <w:t xml:space="preserve"> is satisfied.</w:t>
      </w:r>
    </w:p>
    <w:p w14:paraId="2F94A4E7" w14:textId="786163F1" w:rsidR="001A416D" w:rsidRPr="00132C1E" w:rsidRDefault="001A416D" w:rsidP="00724E4E">
      <w:pPr>
        <w:pStyle w:val="Clause"/>
      </w:pPr>
      <w:r w:rsidRPr="00132C1E">
        <w:t xml:space="preserve">For structural types alternative to those listed in </w:t>
      </w:r>
      <w:r w:rsidRPr="00835C82">
        <w:t xml:space="preserve">13.4.1(1) </w:t>
      </w:r>
      <w:r w:rsidRPr="00132C1E">
        <w:t xml:space="preserve">in accordance with </w:t>
      </w:r>
      <w:r w:rsidRPr="00835C82">
        <w:t>13.4.1(4)</w:t>
      </w:r>
      <w:r w:rsidRPr="00132C1E">
        <w:t xml:space="preserve">, design to DC1 should not be made above level of the seismicity index </w:t>
      </w:r>
      <w:r w:rsidRPr="00132C1E">
        <w:rPr>
          <w:i/>
        </w:rPr>
        <w:t>S</w:t>
      </w:r>
      <w:r w:rsidRPr="00132C1E">
        <w:rPr>
          <w:vertAlign w:val="subscript"/>
        </w:rPr>
        <w:t>δ</w:t>
      </w:r>
      <w:r w:rsidRPr="00132C1E">
        <w:t xml:space="preserve"> of 3,0</w:t>
      </w:r>
      <w:r w:rsidR="001F7CA7">
        <w:t> </w:t>
      </w:r>
      <w:r w:rsidRPr="00132C1E">
        <w:t>m/s</w:t>
      </w:r>
      <w:r w:rsidRPr="00132C1E">
        <w:rPr>
          <w:vertAlign w:val="superscript"/>
        </w:rPr>
        <w:t>2</w:t>
      </w:r>
      <w:r w:rsidRPr="00132C1E">
        <w:t>.</w:t>
      </w:r>
    </w:p>
    <w:p w14:paraId="74871126" w14:textId="0014BC32" w:rsidR="001A416D" w:rsidRPr="00132C1E" w:rsidRDefault="001A416D" w:rsidP="00724E4E">
      <w:pPr>
        <w:pStyle w:val="Clause"/>
      </w:pPr>
      <w:r>
        <w:t>S</w:t>
      </w:r>
      <w:r w:rsidRPr="00132C1E">
        <w:t xml:space="preserve">tructural </w:t>
      </w:r>
      <w:r w:rsidRPr="0093166E">
        <w:t xml:space="preserve">types h), i) and j) </w:t>
      </w:r>
      <w:r>
        <w:t xml:space="preserve">of Table 13.2 </w:t>
      </w:r>
      <w:r w:rsidRPr="0093166E">
        <w:t xml:space="preserve">may be designed to DC1 for values of the seismic action index </w:t>
      </w:r>
      <w:r w:rsidRPr="0093166E">
        <w:rPr>
          <w:i/>
          <w:iCs/>
        </w:rPr>
        <w:t>S</w:t>
      </w:r>
      <w:r w:rsidRPr="0093166E">
        <w:rPr>
          <w:vertAlign w:val="subscript"/>
        </w:rPr>
        <w:t>δ</w:t>
      </w:r>
      <w:r w:rsidRPr="0093166E">
        <w:t xml:space="preserve"> greater than the limits in Table 13.2, according to </w:t>
      </w:r>
      <w:r>
        <w:t>pr</w:t>
      </w:r>
      <w:r w:rsidR="00C30FF9">
        <w:t>EN 1</w:t>
      </w:r>
      <w:r>
        <w:t>998-1-1:2022</w:t>
      </w:r>
      <w:r w:rsidRPr="0093166E">
        <w:t xml:space="preserve">, </w:t>
      </w:r>
      <w:r w:rsidRPr="00835C82">
        <w:t>4.1(7)</w:t>
      </w:r>
      <w:r w:rsidRPr="0093166E">
        <w:t>, using a value of the behaviour factor</w:t>
      </w:r>
      <w:r w:rsidRPr="0093166E">
        <w:rPr>
          <w:i/>
          <w:iCs/>
        </w:rPr>
        <w:t xml:space="preserve"> q</w:t>
      </w:r>
      <w:r w:rsidRPr="0093166E">
        <w:t xml:space="preserve"> = 1 and the values of </w:t>
      </w:r>
      <w:r w:rsidRPr="0093166E">
        <w:rPr>
          <w:rFonts w:ascii="Symbol" w:hAnsi="Symbol"/>
          <w:i/>
        </w:rPr>
        <w:t></w:t>
      </w:r>
      <w:r w:rsidRPr="0093166E">
        <w:rPr>
          <w:vertAlign w:val="subscript"/>
        </w:rPr>
        <w:t>M</w:t>
      </w:r>
      <w:r w:rsidRPr="0093166E">
        <w:t xml:space="preserve"> for design to DC1 according to </w:t>
      </w:r>
      <w:r w:rsidRPr="00835C82">
        <w:t>13.2.2</w:t>
      </w:r>
      <w:r w:rsidRPr="0093166E">
        <w:t>.</w:t>
      </w:r>
    </w:p>
    <w:p w14:paraId="7CA9D9D5" w14:textId="47426ADA" w:rsidR="001A416D" w:rsidRDefault="001A416D" w:rsidP="009A3B02">
      <w:pPr>
        <w:pStyle w:val="Tabletitle"/>
        <w:rPr>
          <w:szCs w:val="22"/>
        </w:rPr>
      </w:pPr>
      <w:r w:rsidRPr="00132C1E">
        <w:t xml:space="preserve">Table </w:t>
      </w:r>
      <w:r w:rsidR="001F7CA7">
        <w:t>13.4</w:t>
      </w:r>
      <w:r w:rsidRPr="00E74E64">
        <w:fldChar w:fldCharType="begin"/>
      </w:r>
      <w:r w:rsidRPr="00132C1E">
        <w:instrText xml:space="preserve">\IF </w:instrText>
      </w:r>
      <w:r w:rsidRPr="00E74E64">
        <w:fldChar w:fldCharType="begin"/>
      </w:r>
      <w:r w:rsidRPr="00132C1E">
        <w:instrText xml:space="preserve">SEQ aaa \c </w:instrText>
      </w:r>
      <w:r w:rsidRPr="00E74E64">
        <w:fldChar w:fldCharType="separate"/>
      </w:r>
      <w:r w:rsidR="000720CB">
        <w:rPr>
          <w:noProof/>
        </w:rPr>
        <w:instrText>0</w:instrText>
      </w:r>
      <w:r w:rsidRPr="00E74E64">
        <w:fldChar w:fldCharType="end"/>
      </w:r>
      <w:r w:rsidRPr="00132C1E">
        <w:instrText>&gt;= 1 "</w:instrText>
      </w:r>
      <w:r w:rsidRPr="00E74E64">
        <w:fldChar w:fldCharType="begin"/>
      </w:r>
      <w:r w:rsidRPr="00132C1E">
        <w:instrText xml:space="preserve">SEQ aaa \c \* ALPHABETIC </w:instrText>
      </w:r>
      <w:r w:rsidRPr="00E74E64">
        <w:fldChar w:fldCharType="separate"/>
      </w:r>
      <w:r w:rsidRPr="00132C1E">
        <w:instrText>A</w:instrText>
      </w:r>
      <w:r w:rsidRPr="00E74E64">
        <w:fldChar w:fldCharType="end"/>
      </w:r>
      <w:r w:rsidRPr="00132C1E">
        <w:instrText xml:space="preserve">." </w:instrText>
      </w:r>
      <w:r w:rsidRPr="00E74E64">
        <w:fldChar w:fldCharType="end"/>
      </w:r>
      <w:r w:rsidRPr="00132C1E">
        <w:t> — </w:t>
      </w:r>
      <w:r w:rsidRPr="00D1484A">
        <w:rPr>
          <w:szCs w:val="22"/>
        </w:rPr>
        <w:t xml:space="preserve">Values of the overstrength factors </w:t>
      </w:r>
      <w:r w:rsidRPr="00D1484A">
        <w:rPr>
          <w:rFonts w:ascii="Symbol" w:eastAsia="Symbol" w:hAnsi="Symbol" w:cs="Symbol"/>
          <w:i/>
          <w:szCs w:val="22"/>
        </w:rPr>
        <w:t></w:t>
      </w:r>
      <w:r w:rsidRPr="00D1484A">
        <w:rPr>
          <w:szCs w:val="22"/>
          <w:vertAlign w:val="subscript"/>
        </w:rPr>
        <w:t xml:space="preserve">Rd </w:t>
      </w:r>
      <w:r w:rsidRPr="007E6F67">
        <w:rPr>
          <w:szCs w:val="22"/>
        </w:rPr>
        <w:t>to be used in capacity design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327"/>
        <w:gridCol w:w="5756"/>
        <w:gridCol w:w="1417"/>
        <w:gridCol w:w="1078"/>
      </w:tblGrid>
      <w:tr w:rsidR="001A416D" w:rsidRPr="00610E25" w14:paraId="28BED841" w14:textId="77777777" w:rsidTr="008217FC">
        <w:trPr>
          <w:trHeight w:val="473"/>
          <w:tblHeader/>
          <w:jc w:val="center"/>
        </w:trPr>
        <w:tc>
          <w:tcPr>
            <w:tcW w:w="1327" w:type="dxa"/>
            <w:shd w:val="clear" w:color="auto" w:fill="FFFFFF"/>
          </w:tcPr>
          <w:p w14:paraId="1B16CA79" w14:textId="77777777" w:rsidR="001A416D" w:rsidRPr="00610E25" w:rsidRDefault="001A416D" w:rsidP="008217FC">
            <w:pPr>
              <w:spacing w:before="40" w:after="40"/>
              <w:rPr>
                <w:b/>
                <w:sz w:val="20"/>
              </w:rPr>
            </w:pPr>
            <w:r w:rsidRPr="00610E25">
              <w:rPr>
                <w:b/>
                <w:sz w:val="20"/>
              </w:rPr>
              <w:t>Capacity design at</w:t>
            </w:r>
          </w:p>
        </w:tc>
        <w:tc>
          <w:tcPr>
            <w:tcW w:w="5756" w:type="dxa"/>
            <w:shd w:val="clear" w:color="auto" w:fill="FFFFFF"/>
          </w:tcPr>
          <w:p w14:paraId="546254CE" w14:textId="77777777" w:rsidR="001A416D" w:rsidRPr="00610E25" w:rsidRDefault="001A416D" w:rsidP="008217FC">
            <w:pPr>
              <w:spacing w:before="40" w:after="40"/>
              <w:rPr>
                <w:b/>
                <w:sz w:val="20"/>
              </w:rPr>
            </w:pPr>
            <w:r w:rsidRPr="00610E25">
              <w:rPr>
                <w:b/>
                <w:sz w:val="20"/>
              </w:rPr>
              <w:t>Brittle/non-dissipative failure mode</w:t>
            </w:r>
          </w:p>
        </w:tc>
        <w:tc>
          <w:tcPr>
            <w:tcW w:w="1417" w:type="dxa"/>
            <w:shd w:val="clear" w:color="auto" w:fill="FFFFFF"/>
          </w:tcPr>
          <w:p w14:paraId="5B5C3C4D" w14:textId="77777777" w:rsidR="001A416D" w:rsidRPr="00610E25" w:rsidRDefault="001A416D" w:rsidP="008217FC">
            <w:pPr>
              <w:spacing w:before="40" w:after="40"/>
              <w:rPr>
                <w:b/>
                <w:sz w:val="20"/>
              </w:rPr>
            </w:pPr>
            <w:r w:rsidRPr="00610E25">
              <w:rPr>
                <w:b/>
                <w:sz w:val="20"/>
              </w:rPr>
              <w:t xml:space="preserve">Overstrength factor </w:t>
            </w:r>
            <w:r w:rsidRPr="00610E25">
              <w:rPr>
                <w:rFonts w:ascii="Symbol" w:hAnsi="Symbol"/>
                <w:b/>
                <w:i/>
                <w:sz w:val="20"/>
              </w:rPr>
              <w:t></w:t>
            </w:r>
            <w:r w:rsidRPr="00610E25">
              <w:rPr>
                <w:b/>
                <w:sz w:val="20"/>
                <w:vertAlign w:val="subscript"/>
              </w:rPr>
              <w:t>Rd</w:t>
            </w:r>
            <w:r w:rsidRPr="00610E25">
              <w:rPr>
                <w:sz w:val="20"/>
              </w:rPr>
              <w:t xml:space="preserve"> </w:t>
            </w:r>
          </w:p>
        </w:tc>
        <w:tc>
          <w:tcPr>
            <w:tcW w:w="1078" w:type="dxa"/>
            <w:shd w:val="clear" w:color="auto" w:fill="FFFFFF"/>
          </w:tcPr>
          <w:p w14:paraId="7C822B2A" w14:textId="77777777" w:rsidR="001A416D" w:rsidRPr="00610E25" w:rsidRDefault="001A416D" w:rsidP="008217FC">
            <w:pPr>
              <w:spacing w:before="40" w:after="40"/>
              <w:rPr>
                <w:b/>
                <w:sz w:val="20"/>
              </w:rPr>
            </w:pPr>
            <w:r w:rsidRPr="00610E25">
              <w:rPr>
                <w:b/>
                <w:sz w:val="20"/>
              </w:rPr>
              <w:t>Formula No.</w:t>
            </w:r>
          </w:p>
        </w:tc>
      </w:tr>
      <w:tr w:rsidR="001A416D" w:rsidRPr="00416ACE" w14:paraId="636C29FB" w14:textId="77777777" w:rsidTr="002061E5">
        <w:trPr>
          <w:jc w:val="center"/>
        </w:trPr>
        <w:tc>
          <w:tcPr>
            <w:tcW w:w="1327" w:type="dxa"/>
            <w:vMerge w:val="restart"/>
            <w:shd w:val="clear" w:color="auto" w:fill="FFFFFF"/>
            <w:vAlign w:val="center"/>
          </w:tcPr>
          <w:p w14:paraId="3C7B01F7" w14:textId="14A4B644" w:rsidR="001A416D" w:rsidRPr="009A3B02" w:rsidRDefault="001A416D" w:rsidP="008217FC">
            <w:pPr>
              <w:spacing w:before="40" w:after="40"/>
              <w:rPr>
                <w:sz w:val="20"/>
              </w:rPr>
            </w:pPr>
            <w:r w:rsidRPr="009A3B02">
              <w:rPr>
                <w:b/>
                <w:sz w:val="20"/>
              </w:rPr>
              <w:t>Connection and 2D- or 3D</w:t>
            </w:r>
            <w:r w:rsidR="009A3B02">
              <w:rPr>
                <w:b/>
                <w:sz w:val="20"/>
              </w:rPr>
              <w:t>-</w:t>
            </w:r>
            <w:r w:rsidRPr="009A3B02">
              <w:rPr>
                <w:b/>
                <w:sz w:val="20"/>
              </w:rPr>
              <w:t>connector level</w:t>
            </w:r>
          </w:p>
        </w:tc>
        <w:tc>
          <w:tcPr>
            <w:tcW w:w="5756" w:type="dxa"/>
            <w:shd w:val="clear" w:color="auto" w:fill="FFFFFF"/>
          </w:tcPr>
          <w:p w14:paraId="56073E17" w14:textId="0197F85F" w:rsidR="001A416D" w:rsidRPr="00416ACE" w:rsidRDefault="001A416D" w:rsidP="008217FC">
            <w:pPr>
              <w:spacing w:before="40" w:after="40"/>
              <w:rPr>
                <w:sz w:val="20"/>
              </w:rPr>
            </w:pPr>
            <w:r w:rsidRPr="00416ACE">
              <w:rPr>
                <w:sz w:val="20"/>
              </w:rPr>
              <w:t xml:space="preserve">Failure of timber by fracture in tension (net tensile failure, </w:t>
            </w:r>
            <w:r w:rsidR="007F3697" w:rsidRPr="00416ACE">
              <w:rPr>
                <w:sz w:val="20"/>
              </w:rPr>
              <w:t>prEN </w:t>
            </w:r>
            <w:r w:rsidR="006067DF">
              <w:rPr>
                <w:sz w:val="20"/>
              </w:rPr>
              <w:t>1995-1-1:2023</w:t>
            </w:r>
            <w:r w:rsidRPr="00416ACE">
              <w:rPr>
                <w:sz w:val="20"/>
              </w:rPr>
              <w:t>, 11.6.8), failure by row shear, block shear or plug shear (</w:t>
            </w:r>
            <w:r w:rsidR="007F3697" w:rsidRPr="00416ACE">
              <w:rPr>
                <w:sz w:val="20"/>
              </w:rPr>
              <w:t>prEN </w:t>
            </w:r>
            <w:r w:rsidR="006067DF">
              <w:rPr>
                <w:sz w:val="20"/>
              </w:rPr>
              <w:t>1995-1-1:2023</w:t>
            </w:r>
            <w:r w:rsidRPr="00416ACE">
              <w:rPr>
                <w:sz w:val="20"/>
              </w:rPr>
              <w:t>, 11.6.5, 11.6.6, 11.6.7), failure by splitting (</w:t>
            </w:r>
            <w:r w:rsidR="007F3697" w:rsidRPr="00416ACE">
              <w:rPr>
                <w:sz w:val="20"/>
              </w:rPr>
              <w:t>prEN </w:t>
            </w:r>
            <w:r w:rsidR="006067DF">
              <w:rPr>
                <w:sz w:val="20"/>
              </w:rPr>
              <w:t>1995-1-1:2023</w:t>
            </w:r>
            <w:r w:rsidRPr="00416ACE">
              <w:rPr>
                <w:sz w:val="20"/>
              </w:rPr>
              <w:t>, 11.4.4.2)</w:t>
            </w:r>
          </w:p>
        </w:tc>
        <w:tc>
          <w:tcPr>
            <w:tcW w:w="1417" w:type="dxa"/>
            <w:shd w:val="clear" w:color="auto" w:fill="FFFFFF"/>
            <w:vAlign w:val="center"/>
          </w:tcPr>
          <w:p w14:paraId="6EE5DEA1" w14:textId="77777777" w:rsidR="001A416D" w:rsidRPr="00416ACE" w:rsidRDefault="001A416D" w:rsidP="008217FC">
            <w:pPr>
              <w:spacing w:before="40" w:after="40"/>
              <w:jc w:val="center"/>
              <w:rPr>
                <w:sz w:val="20"/>
              </w:rPr>
            </w:pPr>
            <w:r w:rsidRPr="00416ACE">
              <w:rPr>
                <w:sz w:val="20"/>
              </w:rPr>
              <w:t>1,6*</w:t>
            </w:r>
          </w:p>
        </w:tc>
        <w:tc>
          <w:tcPr>
            <w:tcW w:w="1078" w:type="dxa"/>
            <w:shd w:val="clear" w:color="auto" w:fill="FFFFFF"/>
            <w:vAlign w:val="center"/>
          </w:tcPr>
          <w:p w14:paraId="039AC45F" w14:textId="77777777" w:rsidR="001A416D" w:rsidRPr="00416ACE" w:rsidRDefault="001A416D" w:rsidP="008217FC">
            <w:pPr>
              <w:spacing w:before="40" w:after="40"/>
              <w:jc w:val="center"/>
              <w:rPr>
                <w:sz w:val="20"/>
              </w:rPr>
            </w:pPr>
            <w:r w:rsidRPr="00416ACE">
              <w:rPr>
                <w:sz w:val="20"/>
              </w:rPr>
              <w:t>(13.4)</w:t>
            </w:r>
          </w:p>
        </w:tc>
      </w:tr>
      <w:tr w:rsidR="001A416D" w:rsidRPr="00416ACE" w14:paraId="25D1FABF" w14:textId="77777777" w:rsidTr="002061E5">
        <w:trPr>
          <w:jc w:val="center"/>
        </w:trPr>
        <w:tc>
          <w:tcPr>
            <w:tcW w:w="1327" w:type="dxa"/>
            <w:vMerge/>
            <w:shd w:val="clear" w:color="auto" w:fill="FFFFFF"/>
          </w:tcPr>
          <w:p w14:paraId="4793683C" w14:textId="77777777" w:rsidR="001A416D" w:rsidRPr="00B33E3E" w:rsidRDefault="001A416D" w:rsidP="008217FC">
            <w:pPr>
              <w:spacing w:before="40" w:after="40"/>
              <w:rPr>
                <w:sz w:val="20"/>
              </w:rPr>
            </w:pPr>
          </w:p>
        </w:tc>
        <w:tc>
          <w:tcPr>
            <w:tcW w:w="5756" w:type="dxa"/>
            <w:shd w:val="clear" w:color="auto" w:fill="FFFFFF"/>
          </w:tcPr>
          <w:p w14:paraId="7D12AEC5" w14:textId="0EC31FF6" w:rsidR="001A416D" w:rsidRPr="00416ACE" w:rsidRDefault="001A416D" w:rsidP="008217FC">
            <w:pPr>
              <w:spacing w:before="40" w:after="40"/>
              <w:rPr>
                <w:sz w:val="20"/>
              </w:rPr>
            </w:pPr>
            <w:r w:rsidRPr="00416ACE">
              <w:rPr>
                <w:sz w:val="20"/>
              </w:rPr>
              <w:t>Tensile (</w:t>
            </w:r>
            <w:r w:rsidR="002F2685">
              <w:rPr>
                <w:sz w:val="20"/>
              </w:rPr>
              <w:t>EN </w:t>
            </w:r>
            <w:r w:rsidRPr="00416ACE">
              <w:rPr>
                <w:sz w:val="20"/>
              </w:rPr>
              <w:t>1993-1-1:20</w:t>
            </w:r>
            <w:r w:rsidR="00672D10">
              <w:rPr>
                <w:sz w:val="20"/>
              </w:rPr>
              <w:t>22</w:t>
            </w:r>
            <w:r w:rsidRPr="00416ACE">
              <w:rPr>
                <w:sz w:val="20"/>
              </w:rPr>
              <w:t>, 8.2.3) and shear (</w:t>
            </w:r>
            <w:r w:rsidR="002F2685">
              <w:rPr>
                <w:sz w:val="20"/>
              </w:rPr>
              <w:t>EN </w:t>
            </w:r>
            <w:r w:rsidRPr="00416ACE">
              <w:rPr>
                <w:sz w:val="20"/>
              </w:rPr>
              <w:t>1993-1-1:20</w:t>
            </w:r>
            <w:r w:rsidR="00672D10">
              <w:rPr>
                <w:sz w:val="20"/>
              </w:rPr>
              <w:t>22</w:t>
            </w:r>
            <w:r w:rsidRPr="00416ACE">
              <w:rPr>
                <w:sz w:val="20"/>
              </w:rPr>
              <w:t>, 8.2.6</w:t>
            </w:r>
            <w:r w:rsidRPr="00416ACE">
              <w:rPr>
                <w:color w:val="000000"/>
                <w:sz w:val="20"/>
              </w:rPr>
              <w:t xml:space="preserve">) </w:t>
            </w:r>
            <w:r w:rsidRPr="00416ACE">
              <w:rPr>
                <w:sz w:val="20"/>
              </w:rPr>
              <w:t>failure of the steel plates (angle brackets, hold-downs, tie-downs, etc.), tensile (</w:t>
            </w:r>
            <w:r w:rsidR="00672D10">
              <w:rPr>
                <w:sz w:val="20"/>
              </w:rPr>
              <w:t>pr</w:t>
            </w:r>
            <w:r w:rsidR="002F2685">
              <w:rPr>
                <w:sz w:val="20"/>
              </w:rPr>
              <w:t>EN </w:t>
            </w:r>
            <w:r w:rsidRPr="00416ACE">
              <w:rPr>
                <w:sz w:val="20"/>
              </w:rPr>
              <w:t>1993-1-8:20</w:t>
            </w:r>
            <w:r w:rsidR="00672D10">
              <w:rPr>
                <w:sz w:val="20"/>
              </w:rPr>
              <w:t>21</w:t>
            </w:r>
            <w:r w:rsidRPr="00416ACE">
              <w:rPr>
                <w:sz w:val="20"/>
              </w:rPr>
              <w:t>, 5.7) and pull-through failure of anchor bolts or screws</w:t>
            </w:r>
          </w:p>
        </w:tc>
        <w:tc>
          <w:tcPr>
            <w:tcW w:w="1417" w:type="dxa"/>
            <w:shd w:val="clear" w:color="auto" w:fill="FFFFFF"/>
            <w:vAlign w:val="center"/>
          </w:tcPr>
          <w:p w14:paraId="50C7A7C3" w14:textId="77777777" w:rsidR="001A416D" w:rsidRPr="00416ACE" w:rsidRDefault="001A416D" w:rsidP="008217FC">
            <w:pPr>
              <w:spacing w:before="40" w:after="40"/>
              <w:jc w:val="center"/>
              <w:rPr>
                <w:sz w:val="20"/>
              </w:rPr>
            </w:pPr>
            <w:r w:rsidRPr="00416ACE">
              <w:rPr>
                <w:sz w:val="20"/>
              </w:rPr>
              <w:t>1,6*</w:t>
            </w:r>
          </w:p>
        </w:tc>
        <w:tc>
          <w:tcPr>
            <w:tcW w:w="1078" w:type="dxa"/>
            <w:shd w:val="clear" w:color="auto" w:fill="FFFFFF"/>
            <w:vAlign w:val="center"/>
          </w:tcPr>
          <w:p w14:paraId="167BC8C5" w14:textId="77777777" w:rsidR="001A416D" w:rsidRPr="00416ACE" w:rsidRDefault="001A416D" w:rsidP="008217FC">
            <w:pPr>
              <w:spacing w:before="40" w:after="40"/>
              <w:jc w:val="center"/>
              <w:rPr>
                <w:sz w:val="20"/>
              </w:rPr>
            </w:pPr>
            <w:r w:rsidRPr="00416ACE">
              <w:rPr>
                <w:sz w:val="20"/>
              </w:rPr>
              <w:t>(13.4)</w:t>
            </w:r>
          </w:p>
        </w:tc>
      </w:tr>
      <w:tr w:rsidR="0072022E" w:rsidRPr="00416ACE" w14:paraId="091B562D" w14:textId="77777777" w:rsidTr="002061E5">
        <w:trPr>
          <w:jc w:val="center"/>
        </w:trPr>
        <w:tc>
          <w:tcPr>
            <w:tcW w:w="1327" w:type="dxa"/>
            <w:vMerge/>
            <w:shd w:val="clear" w:color="auto" w:fill="FFFFFF"/>
          </w:tcPr>
          <w:p w14:paraId="37B64F76" w14:textId="77777777" w:rsidR="0072022E" w:rsidRPr="00B33E3E" w:rsidRDefault="0072022E" w:rsidP="008217FC">
            <w:pPr>
              <w:spacing w:before="40" w:after="40"/>
              <w:rPr>
                <w:sz w:val="20"/>
              </w:rPr>
            </w:pPr>
          </w:p>
        </w:tc>
        <w:tc>
          <w:tcPr>
            <w:tcW w:w="5756" w:type="dxa"/>
            <w:shd w:val="clear" w:color="auto" w:fill="FFFFFF"/>
          </w:tcPr>
          <w:p w14:paraId="68132706" w14:textId="0C39B01F" w:rsidR="0072022E" w:rsidRPr="00416ACE" w:rsidRDefault="0072022E" w:rsidP="008217FC">
            <w:pPr>
              <w:keepNext/>
              <w:keepLines/>
              <w:spacing w:before="40" w:after="40"/>
              <w:rPr>
                <w:sz w:val="20"/>
              </w:rPr>
            </w:pPr>
            <w:r w:rsidRPr="00416ACE">
              <w:rPr>
                <w:sz w:val="20"/>
              </w:rPr>
              <w:t>Tensile (</w:t>
            </w:r>
            <w:r w:rsidR="002F2685">
              <w:rPr>
                <w:sz w:val="20"/>
              </w:rPr>
              <w:t>EN </w:t>
            </w:r>
            <w:r w:rsidRPr="00416ACE">
              <w:rPr>
                <w:sz w:val="20"/>
              </w:rPr>
              <w:t xml:space="preserve">1992-4:2018, 7.2.1 and </w:t>
            </w:r>
            <w:r w:rsidR="002F2685">
              <w:rPr>
                <w:sz w:val="20"/>
              </w:rPr>
              <w:t>prEN </w:t>
            </w:r>
            <w:r w:rsidRPr="00416ACE">
              <w:rPr>
                <w:sz w:val="20"/>
              </w:rPr>
              <w:t>1998-1-1</w:t>
            </w:r>
            <w:r w:rsidR="00EA47AC">
              <w:rPr>
                <w:sz w:val="20"/>
                <w:lang w:val="en-US"/>
              </w:rPr>
              <w:t>:</w:t>
            </w:r>
            <w:r w:rsidR="002F2685">
              <w:rPr>
                <w:sz w:val="20"/>
              </w:rPr>
              <w:t>2022</w:t>
            </w:r>
            <w:r w:rsidRPr="00416ACE">
              <w:rPr>
                <w:sz w:val="20"/>
              </w:rPr>
              <w:t>, Annex G) and shear (</w:t>
            </w:r>
            <w:r w:rsidR="00EA47AC">
              <w:rPr>
                <w:sz w:val="20"/>
              </w:rPr>
              <w:t>EN </w:t>
            </w:r>
            <w:r w:rsidRPr="00416ACE">
              <w:rPr>
                <w:sz w:val="20"/>
              </w:rPr>
              <w:t xml:space="preserve">1992-4:2018, 7.2.2 and </w:t>
            </w:r>
            <w:r w:rsidR="00EA47AC">
              <w:rPr>
                <w:sz w:val="20"/>
              </w:rPr>
              <w:t>prEN </w:t>
            </w:r>
            <w:r w:rsidRPr="00416ACE">
              <w:rPr>
                <w:sz w:val="20"/>
              </w:rPr>
              <w:t>1998-1-1</w:t>
            </w:r>
            <w:r w:rsidR="00EA47AC" w:rsidRPr="00EA47AC">
              <w:rPr>
                <w:sz w:val="20"/>
                <w:lang w:val="en-US"/>
              </w:rPr>
              <w:t>:</w:t>
            </w:r>
            <w:r w:rsidR="00EA47AC">
              <w:rPr>
                <w:sz w:val="20"/>
              </w:rPr>
              <w:t>2022</w:t>
            </w:r>
            <w:r w:rsidRPr="00416ACE">
              <w:rPr>
                <w:sz w:val="20"/>
              </w:rPr>
              <w:t>, Annex G) of headed and post-installed fasteners between metal plates (e.g. hold-downs, tie-downs, angle brackets, etc) and reinforced concrete member.</w:t>
            </w:r>
          </w:p>
        </w:tc>
        <w:tc>
          <w:tcPr>
            <w:tcW w:w="1417" w:type="dxa"/>
            <w:shd w:val="clear" w:color="auto" w:fill="FFFFFF"/>
            <w:vAlign w:val="center"/>
          </w:tcPr>
          <w:p w14:paraId="41CD041F" w14:textId="330B4CBA" w:rsidR="0072022E" w:rsidRPr="00416ACE" w:rsidRDefault="0072022E" w:rsidP="008217FC">
            <w:pPr>
              <w:keepNext/>
              <w:keepLines/>
              <w:spacing w:before="40" w:after="40"/>
              <w:jc w:val="center"/>
              <w:rPr>
                <w:sz w:val="20"/>
              </w:rPr>
            </w:pPr>
            <w:r w:rsidRPr="00416ACE">
              <w:rPr>
                <w:sz w:val="20"/>
              </w:rPr>
              <w:t>1,6</w:t>
            </w:r>
            <w:r w:rsidR="00601D24" w:rsidRPr="00416ACE">
              <w:rPr>
                <w:sz w:val="20"/>
              </w:rPr>
              <w:t>*</w:t>
            </w:r>
          </w:p>
        </w:tc>
        <w:tc>
          <w:tcPr>
            <w:tcW w:w="1078" w:type="dxa"/>
            <w:shd w:val="clear" w:color="auto" w:fill="FFFFFF"/>
            <w:vAlign w:val="center"/>
          </w:tcPr>
          <w:p w14:paraId="7123E529" w14:textId="25BB59A7" w:rsidR="0072022E" w:rsidRPr="00416ACE" w:rsidRDefault="0072022E" w:rsidP="008217FC">
            <w:pPr>
              <w:keepNext/>
              <w:keepLines/>
              <w:spacing w:before="40" w:after="40"/>
              <w:jc w:val="center"/>
              <w:rPr>
                <w:sz w:val="20"/>
              </w:rPr>
            </w:pPr>
            <w:r w:rsidRPr="00416ACE">
              <w:rPr>
                <w:sz w:val="20"/>
              </w:rPr>
              <w:t>(13.4)</w:t>
            </w:r>
          </w:p>
        </w:tc>
      </w:tr>
      <w:tr w:rsidR="001A416D" w:rsidRPr="00416ACE" w14:paraId="436B053F" w14:textId="77777777" w:rsidTr="002061E5">
        <w:trPr>
          <w:jc w:val="center"/>
        </w:trPr>
        <w:tc>
          <w:tcPr>
            <w:tcW w:w="1327" w:type="dxa"/>
            <w:vMerge/>
            <w:shd w:val="clear" w:color="auto" w:fill="FFFFFF"/>
          </w:tcPr>
          <w:p w14:paraId="038D2850" w14:textId="77777777" w:rsidR="001A416D" w:rsidRPr="00B33E3E" w:rsidRDefault="001A416D" w:rsidP="008217FC">
            <w:pPr>
              <w:spacing w:before="40" w:after="40"/>
              <w:rPr>
                <w:sz w:val="20"/>
              </w:rPr>
            </w:pPr>
          </w:p>
        </w:tc>
        <w:tc>
          <w:tcPr>
            <w:tcW w:w="5756" w:type="dxa"/>
            <w:shd w:val="clear" w:color="auto" w:fill="FFFFFF"/>
          </w:tcPr>
          <w:p w14:paraId="59503E02" w14:textId="0BDC6E45" w:rsidR="001A416D" w:rsidRPr="00416ACE" w:rsidRDefault="001A416D" w:rsidP="008217FC">
            <w:pPr>
              <w:spacing w:before="40" w:after="40"/>
              <w:rPr>
                <w:sz w:val="20"/>
              </w:rPr>
            </w:pPr>
            <w:r w:rsidRPr="00416ACE">
              <w:rPr>
                <w:sz w:val="20"/>
              </w:rPr>
              <w:t>Axial (</w:t>
            </w:r>
            <w:r w:rsidR="007F3697" w:rsidRPr="00416ACE">
              <w:rPr>
                <w:sz w:val="20"/>
              </w:rPr>
              <w:t>prEN </w:t>
            </w:r>
            <w:r w:rsidR="006067DF">
              <w:rPr>
                <w:sz w:val="20"/>
              </w:rPr>
              <w:t>1995-1-1:2023</w:t>
            </w:r>
            <w:r w:rsidRPr="00416ACE">
              <w:rPr>
                <w:sz w:val="20"/>
              </w:rPr>
              <w:t xml:space="preserve">, 11.2) failures of dowel-type connections between metal plates (e.g. hold-downs, tie-downs, angle brackets, etc.) and timber members (head pull-through, withdrawal, tensile or buckling failure of the fastener, </w:t>
            </w:r>
            <w:r w:rsidR="007F3697" w:rsidRPr="00416ACE">
              <w:rPr>
                <w:sz w:val="20"/>
              </w:rPr>
              <w:t>prEN </w:t>
            </w:r>
            <w:r w:rsidR="006067DF">
              <w:rPr>
                <w:sz w:val="20"/>
              </w:rPr>
              <w:t>1995-1-1:2023</w:t>
            </w:r>
            <w:r w:rsidRPr="00416ACE">
              <w:rPr>
                <w:sz w:val="20"/>
              </w:rPr>
              <w:t xml:space="preserve">, 11.2.2, 11.2.3, 11.2.4, 11.2.5) </w:t>
            </w:r>
          </w:p>
        </w:tc>
        <w:tc>
          <w:tcPr>
            <w:tcW w:w="1417" w:type="dxa"/>
            <w:shd w:val="clear" w:color="auto" w:fill="FFFFFF"/>
            <w:vAlign w:val="center"/>
          </w:tcPr>
          <w:p w14:paraId="7667AE5C" w14:textId="77777777" w:rsidR="001A416D" w:rsidRPr="00416ACE" w:rsidRDefault="001A416D" w:rsidP="008217FC">
            <w:pPr>
              <w:spacing w:before="40" w:after="40"/>
              <w:jc w:val="center"/>
              <w:rPr>
                <w:sz w:val="20"/>
              </w:rPr>
            </w:pPr>
            <w:r w:rsidRPr="00416ACE">
              <w:rPr>
                <w:sz w:val="20"/>
              </w:rPr>
              <w:t>1,6*</w:t>
            </w:r>
          </w:p>
        </w:tc>
        <w:tc>
          <w:tcPr>
            <w:tcW w:w="1078" w:type="dxa"/>
            <w:shd w:val="clear" w:color="auto" w:fill="FFFFFF"/>
            <w:vAlign w:val="center"/>
          </w:tcPr>
          <w:p w14:paraId="0299053F" w14:textId="77777777" w:rsidR="001A416D" w:rsidRPr="00416ACE" w:rsidRDefault="001A416D" w:rsidP="008217FC">
            <w:pPr>
              <w:spacing w:before="40" w:after="40"/>
              <w:jc w:val="center"/>
              <w:rPr>
                <w:sz w:val="20"/>
              </w:rPr>
            </w:pPr>
            <w:r w:rsidRPr="00416ACE">
              <w:rPr>
                <w:sz w:val="20"/>
              </w:rPr>
              <w:t>(13.4)</w:t>
            </w:r>
          </w:p>
        </w:tc>
      </w:tr>
      <w:tr w:rsidR="001A416D" w:rsidRPr="00416ACE" w14:paraId="1EFDDE64" w14:textId="77777777" w:rsidTr="002061E5">
        <w:trPr>
          <w:jc w:val="center"/>
        </w:trPr>
        <w:tc>
          <w:tcPr>
            <w:tcW w:w="1327" w:type="dxa"/>
            <w:vMerge/>
            <w:shd w:val="clear" w:color="auto" w:fill="FFFFFF"/>
          </w:tcPr>
          <w:p w14:paraId="7BB5270A" w14:textId="77777777" w:rsidR="001A416D" w:rsidRPr="00B33E3E" w:rsidRDefault="001A416D" w:rsidP="008217FC">
            <w:pPr>
              <w:spacing w:before="40" w:after="40"/>
              <w:rPr>
                <w:sz w:val="20"/>
              </w:rPr>
            </w:pPr>
          </w:p>
        </w:tc>
        <w:tc>
          <w:tcPr>
            <w:tcW w:w="5756" w:type="dxa"/>
            <w:shd w:val="clear" w:color="auto" w:fill="FFFFFF"/>
          </w:tcPr>
          <w:p w14:paraId="6FA7A3B7" w14:textId="227F0664" w:rsidR="001A416D" w:rsidRPr="00416ACE" w:rsidRDefault="001A416D" w:rsidP="008217FC">
            <w:pPr>
              <w:spacing w:before="40" w:after="40"/>
              <w:rPr>
                <w:sz w:val="20"/>
              </w:rPr>
            </w:pPr>
            <w:r w:rsidRPr="00416ACE">
              <w:rPr>
                <w:sz w:val="20"/>
              </w:rPr>
              <w:t>Failure in shear (</w:t>
            </w:r>
            <w:r w:rsidR="007F3697" w:rsidRPr="00416ACE">
              <w:rPr>
                <w:sz w:val="20"/>
              </w:rPr>
              <w:t>prEN </w:t>
            </w:r>
            <w:r w:rsidR="006067DF">
              <w:rPr>
                <w:sz w:val="20"/>
              </w:rPr>
              <w:t>1995-1-1:2023</w:t>
            </w:r>
            <w:r w:rsidRPr="00416ACE">
              <w:rPr>
                <w:sz w:val="20"/>
              </w:rPr>
              <w:t>, 11.3) of dowel-type connections between metal plates (e.g. hold-downs, tie-downs, angle brackets, etc.) and timber members</w:t>
            </w:r>
          </w:p>
        </w:tc>
        <w:tc>
          <w:tcPr>
            <w:tcW w:w="1417" w:type="dxa"/>
            <w:shd w:val="clear" w:color="auto" w:fill="FFFFFF"/>
            <w:vAlign w:val="center"/>
          </w:tcPr>
          <w:p w14:paraId="0D4091B4" w14:textId="77777777" w:rsidR="001A416D" w:rsidRPr="00416ACE" w:rsidRDefault="001A416D" w:rsidP="008217FC">
            <w:pPr>
              <w:spacing w:before="40" w:after="40"/>
              <w:jc w:val="center"/>
              <w:rPr>
                <w:sz w:val="20"/>
              </w:rPr>
            </w:pPr>
            <w:r w:rsidRPr="00416ACE">
              <w:rPr>
                <w:sz w:val="20"/>
              </w:rPr>
              <w:t>1,3</w:t>
            </w:r>
          </w:p>
        </w:tc>
        <w:tc>
          <w:tcPr>
            <w:tcW w:w="1078" w:type="dxa"/>
            <w:shd w:val="clear" w:color="auto" w:fill="FFFFFF"/>
            <w:vAlign w:val="center"/>
          </w:tcPr>
          <w:p w14:paraId="0122615D" w14:textId="77777777" w:rsidR="001A416D" w:rsidRPr="00416ACE" w:rsidRDefault="001A416D" w:rsidP="008217FC">
            <w:pPr>
              <w:spacing w:before="40" w:after="40"/>
              <w:jc w:val="center"/>
              <w:rPr>
                <w:sz w:val="20"/>
              </w:rPr>
            </w:pPr>
            <w:r w:rsidRPr="00416ACE">
              <w:rPr>
                <w:sz w:val="20"/>
              </w:rPr>
              <w:t>(13.4)</w:t>
            </w:r>
          </w:p>
        </w:tc>
      </w:tr>
      <w:tr w:rsidR="001A416D" w:rsidRPr="00416ACE" w14:paraId="17E9A561" w14:textId="77777777" w:rsidTr="002061E5">
        <w:trPr>
          <w:trHeight w:val="442"/>
          <w:jc w:val="center"/>
        </w:trPr>
        <w:tc>
          <w:tcPr>
            <w:tcW w:w="1327" w:type="dxa"/>
            <w:vMerge w:val="restart"/>
            <w:shd w:val="clear" w:color="auto" w:fill="FFFFFF"/>
            <w:vAlign w:val="center"/>
          </w:tcPr>
          <w:p w14:paraId="0C495F40" w14:textId="77777777" w:rsidR="001A416D" w:rsidRPr="00B33E3E" w:rsidRDefault="001A416D" w:rsidP="008217FC">
            <w:pPr>
              <w:spacing w:before="40" w:after="40"/>
              <w:rPr>
                <w:b/>
                <w:sz w:val="20"/>
              </w:rPr>
            </w:pPr>
            <w:r w:rsidRPr="00B33E3E">
              <w:rPr>
                <w:b/>
                <w:sz w:val="20"/>
              </w:rPr>
              <w:t>Wall and building level</w:t>
            </w:r>
          </w:p>
        </w:tc>
        <w:tc>
          <w:tcPr>
            <w:tcW w:w="5756" w:type="dxa"/>
            <w:shd w:val="clear" w:color="auto" w:fill="FFFFFF"/>
            <w:vAlign w:val="center"/>
          </w:tcPr>
          <w:p w14:paraId="75D7CCB6" w14:textId="7E24DC14" w:rsidR="001A416D" w:rsidRPr="00416ACE" w:rsidRDefault="001A416D" w:rsidP="008217FC">
            <w:pPr>
              <w:spacing w:before="40" w:after="40"/>
              <w:rPr>
                <w:sz w:val="20"/>
              </w:rPr>
            </w:pPr>
            <w:r w:rsidRPr="00416ACE">
              <w:rPr>
                <w:sz w:val="20"/>
              </w:rPr>
              <w:t>Failure of timber members (</w:t>
            </w:r>
            <w:r w:rsidR="007F3697" w:rsidRPr="00416ACE">
              <w:rPr>
                <w:sz w:val="20"/>
              </w:rPr>
              <w:t>prEN </w:t>
            </w:r>
            <w:r w:rsidR="006067DF">
              <w:rPr>
                <w:sz w:val="20"/>
              </w:rPr>
              <w:t>1995-1-1:2023</w:t>
            </w:r>
            <w:r w:rsidRPr="00416ACE">
              <w:rPr>
                <w:sz w:val="20"/>
              </w:rPr>
              <w:t>, 8)</w:t>
            </w:r>
          </w:p>
        </w:tc>
        <w:tc>
          <w:tcPr>
            <w:tcW w:w="1417" w:type="dxa"/>
            <w:shd w:val="clear" w:color="auto" w:fill="FFFFFF"/>
            <w:vAlign w:val="center"/>
          </w:tcPr>
          <w:p w14:paraId="72D55BFC" w14:textId="77777777" w:rsidR="001A416D" w:rsidRPr="00416ACE" w:rsidRDefault="001A416D" w:rsidP="008217FC">
            <w:pPr>
              <w:spacing w:before="40" w:after="40"/>
              <w:jc w:val="center"/>
              <w:rPr>
                <w:sz w:val="20"/>
              </w:rPr>
            </w:pPr>
            <w:r w:rsidRPr="00416ACE">
              <w:rPr>
                <w:sz w:val="20"/>
              </w:rPr>
              <w:t>1,6*</w:t>
            </w:r>
          </w:p>
        </w:tc>
        <w:tc>
          <w:tcPr>
            <w:tcW w:w="1078" w:type="dxa"/>
            <w:shd w:val="clear" w:color="auto" w:fill="FFFFFF"/>
            <w:vAlign w:val="center"/>
          </w:tcPr>
          <w:p w14:paraId="7E36D07F" w14:textId="77777777" w:rsidR="001A416D" w:rsidRPr="00416ACE" w:rsidRDefault="001A416D" w:rsidP="008217FC">
            <w:pPr>
              <w:spacing w:before="40" w:after="40"/>
              <w:jc w:val="center"/>
              <w:rPr>
                <w:strike/>
                <w:sz w:val="20"/>
              </w:rPr>
            </w:pPr>
            <w:r w:rsidRPr="00416ACE">
              <w:rPr>
                <w:sz w:val="20"/>
              </w:rPr>
              <w:t>(13.7)</w:t>
            </w:r>
          </w:p>
        </w:tc>
      </w:tr>
      <w:tr w:rsidR="001A416D" w:rsidRPr="00416ACE" w14:paraId="0058CE52" w14:textId="77777777" w:rsidTr="002061E5">
        <w:trPr>
          <w:trHeight w:val="442"/>
          <w:jc w:val="center"/>
        </w:trPr>
        <w:tc>
          <w:tcPr>
            <w:tcW w:w="1327" w:type="dxa"/>
            <w:vMerge/>
            <w:shd w:val="clear" w:color="auto" w:fill="FFFFFF"/>
            <w:vAlign w:val="center"/>
          </w:tcPr>
          <w:p w14:paraId="797A3CD9" w14:textId="77777777" w:rsidR="001A416D" w:rsidRPr="00B33E3E" w:rsidRDefault="001A416D" w:rsidP="008217FC">
            <w:pPr>
              <w:spacing w:before="40" w:after="40"/>
              <w:rPr>
                <w:b/>
                <w:sz w:val="20"/>
              </w:rPr>
            </w:pPr>
          </w:p>
        </w:tc>
        <w:tc>
          <w:tcPr>
            <w:tcW w:w="5756" w:type="dxa"/>
            <w:shd w:val="clear" w:color="auto" w:fill="FFFFFF"/>
            <w:vAlign w:val="center"/>
          </w:tcPr>
          <w:p w14:paraId="617D3D07" w14:textId="32E64635" w:rsidR="001A416D" w:rsidRPr="00416ACE" w:rsidRDefault="001A416D" w:rsidP="008217FC">
            <w:pPr>
              <w:spacing w:before="40" w:after="40"/>
              <w:rPr>
                <w:sz w:val="20"/>
              </w:rPr>
            </w:pPr>
            <w:r w:rsidRPr="00416ACE">
              <w:rPr>
                <w:sz w:val="20"/>
              </w:rPr>
              <w:t>Axial (</w:t>
            </w:r>
            <w:r w:rsidR="007F3697" w:rsidRPr="00416ACE">
              <w:rPr>
                <w:sz w:val="20"/>
              </w:rPr>
              <w:t>prEN </w:t>
            </w:r>
            <w:r w:rsidR="006067DF">
              <w:rPr>
                <w:sz w:val="20"/>
              </w:rPr>
              <w:t>1995-1-1:2023</w:t>
            </w:r>
            <w:r w:rsidRPr="00416ACE">
              <w:rPr>
                <w:sz w:val="20"/>
              </w:rPr>
              <w:t xml:space="preserve">, 11.2) failures (head pull-through, withdrawal, tensile or compression failure of the fastener, </w:t>
            </w:r>
            <w:r w:rsidR="007F3697" w:rsidRPr="00416ACE">
              <w:rPr>
                <w:sz w:val="20"/>
              </w:rPr>
              <w:t>prEN </w:t>
            </w:r>
            <w:r w:rsidR="006067DF">
              <w:rPr>
                <w:sz w:val="20"/>
              </w:rPr>
              <w:t>1995-1-1:2023</w:t>
            </w:r>
            <w:r w:rsidRPr="00416ACE">
              <w:rPr>
                <w:sz w:val="20"/>
              </w:rPr>
              <w:t>, 11.2.2, 11.2.3, 11.2.4, 11.2.5) of:</w:t>
            </w:r>
          </w:p>
          <w:p w14:paraId="1C9B1A79" w14:textId="5741071A" w:rsidR="001A416D" w:rsidRPr="00416ACE" w:rsidRDefault="001A416D" w:rsidP="008217FC">
            <w:pPr>
              <w:spacing w:before="40" w:after="40"/>
              <w:rPr>
                <w:sz w:val="20"/>
              </w:rPr>
            </w:pPr>
            <w:r w:rsidRPr="00416ACE">
              <w:rPr>
                <w:sz w:val="20"/>
              </w:rPr>
              <w:t>- dowel-type joints between adjacent floor panels; floors and supporting walls underneath; orthogonal walls, including the ones at the building corners;</w:t>
            </w:r>
          </w:p>
          <w:p w14:paraId="05536123" w14:textId="77777777" w:rsidR="001A416D" w:rsidRPr="00416ACE" w:rsidRDefault="001A416D" w:rsidP="008217FC">
            <w:pPr>
              <w:spacing w:before="40" w:after="40"/>
              <w:rPr>
                <w:sz w:val="20"/>
              </w:rPr>
            </w:pPr>
            <w:r w:rsidRPr="00416ACE">
              <w:rPr>
                <w:sz w:val="20"/>
              </w:rPr>
              <w:t>- dowel-type connections between metal plates (e.g. hold-downs, tie-downs, angle brackets, etc.) and timber members</w:t>
            </w:r>
          </w:p>
        </w:tc>
        <w:tc>
          <w:tcPr>
            <w:tcW w:w="1417" w:type="dxa"/>
            <w:shd w:val="clear" w:color="auto" w:fill="FFFFFF"/>
            <w:vAlign w:val="center"/>
          </w:tcPr>
          <w:p w14:paraId="6AC232A3" w14:textId="77777777" w:rsidR="001A416D" w:rsidRPr="00416ACE" w:rsidRDefault="001A416D" w:rsidP="008217FC">
            <w:pPr>
              <w:spacing w:before="40" w:after="40"/>
              <w:jc w:val="center"/>
              <w:rPr>
                <w:sz w:val="20"/>
              </w:rPr>
            </w:pPr>
            <w:r w:rsidRPr="00416ACE">
              <w:rPr>
                <w:sz w:val="20"/>
              </w:rPr>
              <w:t>1,6*</w:t>
            </w:r>
          </w:p>
        </w:tc>
        <w:tc>
          <w:tcPr>
            <w:tcW w:w="1078" w:type="dxa"/>
            <w:shd w:val="clear" w:color="auto" w:fill="FFFFFF"/>
            <w:vAlign w:val="center"/>
          </w:tcPr>
          <w:p w14:paraId="371D7686" w14:textId="77777777" w:rsidR="001A416D" w:rsidRPr="00416ACE" w:rsidRDefault="001A416D" w:rsidP="008217FC">
            <w:pPr>
              <w:spacing w:before="40" w:after="40"/>
              <w:jc w:val="center"/>
              <w:rPr>
                <w:sz w:val="20"/>
              </w:rPr>
            </w:pPr>
            <w:r w:rsidRPr="00416ACE">
              <w:rPr>
                <w:sz w:val="20"/>
              </w:rPr>
              <w:t>(13.7)</w:t>
            </w:r>
          </w:p>
        </w:tc>
      </w:tr>
      <w:tr w:rsidR="001A416D" w:rsidRPr="00416ACE" w14:paraId="59EFBC51" w14:textId="77777777" w:rsidTr="002061E5">
        <w:trPr>
          <w:trHeight w:val="759"/>
          <w:jc w:val="center"/>
        </w:trPr>
        <w:tc>
          <w:tcPr>
            <w:tcW w:w="1327" w:type="dxa"/>
            <w:vMerge/>
            <w:shd w:val="clear" w:color="auto" w:fill="FFFFFF"/>
            <w:vAlign w:val="center"/>
          </w:tcPr>
          <w:p w14:paraId="69EFD8E2" w14:textId="77777777" w:rsidR="001A416D" w:rsidRPr="00B33E3E" w:rsidRDefault="001A416D" w:rsidP="008217FC">
            <w:pPr>
              <w:spacing w:before="40" w:after="40"/>
              <w:rPr>
                <w:b/>
                <w:sz w:val="20"/>
              </w:rPr>
            </w:pPr>
          </w:p>
        </w:tc>
        <w:tc>
          <w:tcPr>
            <w:tcW w:w="5756" w:type="dxa"/>
            <w:shd w:val="clear" w:color="auto" w:fill="FFFFFF"/>
            <w:vAlign w:val="center"/>
          </w:tcPr>
          <w:p w14:paraId="31603FAE" w14:textId="47202BD5" w:rsidR="001A416D" w:rsidRPr="00416ACE" w:rsidRDefault="001A416D" w:rsidP="008217FC">
            <w:pPr>
              <w:spacing w:before="40" w:after="40"/>
              <w:rPr>
                <w:sz w:val="20"/>
              </w:rPr>
            </w:pPr>
            <w:r w:rsidRPr="00416ACE">
              <w:rPr>
                <w:sz w:val="20"/>
              </w:rPr>
              <w:t>Failure in shear (</w:t>
            </w:r>
            <w:r w:rsidR="007F3697" w:rsidRPr="00416ACE">
              <w:rPr>
                <w:sz w:val="20"/>
              </w:rPr>
              <w:t>prEN </w:t>
            </w:r>
            <w:r w:rsidR="006067DF">
              <w:rPr>
                <w:sz w:val="20"/>
              </w:rPr>
              <w:t>1995-1-1:2023</w:t>
            </w:r>
            <w:r w:rsidRPr="00416ACE">
              <w:rPr>
                <w:sz w:val="20"/>
              </w:rPr>
              <w:t>, 11.3) of:</w:t>
            </w:r>
          </w:p>
          <w:p w14:paraId="5477B573" w14:textId="46291C18" w:rsidR="001A416D" w:rsidRPr="00416ACE" w:rsidRDefault="001A416D" w:rsidP="008217FC">
            <w:pPr>
              <w:spacing w:before="40" w:after="40"/>
              <w:rPr>
                <w:sz w:val="20"/>
              </w:rPr>
            </w:pPr>
            <w:r w:rsidRPr="00416ACE">
              <w:rPr>
                <w:sz w:val="20"/>
              </w:rPr>
              <w:t>- dowel-type joints between adjacent floor panels; floors and supporting walls underneath; orthogonal walls, including the ones at the building corners;</w:t>
            </w:r>
          </w:p>
          <w:p w14:paraId="0F78E24F" w14:textId="77777777" w:rsidR="001A416D" w:rsidRPr="00416ACE" w:rsidRDefault="001A416D" w:rsidP="008217FC">
            <w:pPr>
              <w:spacing w:before="40" w:after="40"/>
              <w:rPr>
                <w:sz w:val="20"/>
              </w:rPr>
            </w:pPr>
            <w:r w:rsidRPr="00416ACE">
              <w:rPr>
                <w:sz w:val="20"/>
              </w:rPr>
              <w:t>- dowel-type connections between metal plates (e.g. hold-downs, tie-downs, angle brackets, etc.) and timber members.</w:t>
            </w:r>
          </w:p>
        </w:tc>
        <w:tc>
          <w:tcPr>
            <w:tcW w:w="1417" w:type="dxa"/>
            <w:shd w:val="clear" w:color="auto" w:fill="FFFFFF"/>
            <w:vAlign w:val="center"/>
          </w:tcPr>
          <w:p w14:paraId="2B8EA8E6" w14:textId="77777777" w:rsidR="001A416D" w:rsidRPr="00416ACE" w:rsidRDefault="001A416D" w:rsidP="008217FC">
            <w:pPr>
              <w:spacing w:before="40" w:after="40"/>
              <w:jc w:val="center"/>
              <w:rPr>
                <w:sz w:val="20"/>
              </w:rPr>
            </w:pPr>
            <w:r w:rsidRPr="00416ACE">
              <w:rPr>
                <w:sz w:val="20"/>
              </w:rPr>
              <w:t>1,3</w:t>
            </w:r>
          </w:p>
        </w:tc>
        <w:tc>
          <w:tcPr>
            <w:tcW w:w="1078" w:type="dxa"/>
            <w:shd w:val="clear" w:color="auto" w:fill="FFFFFF"/>
            <w:vAlign w:val="center"/>
          </w:tcPr>
          <w:p w14:paraId="1AF23BE0" w14:textId="77777777" w:rsidR="001A416D" w:rsidRPr="00416ACE" w:rsidRDefault="001A416D" w:rsidP="008217FC">
            <w:pPr>
              <w:spacing w:before="40" w:after="40"/>
              <w:jc w:val="center"/>
              <w:rPr>
                <w:sz w:val="20"/>
              </w:rPr>
            </w:pPr>
            <w:r w:rsidRPr="00416ACE">
              <w:rPr>
                <w:sz w:val="20"/>
              </w:rPr>
              <w:t>(13.7)</w:t>
            </w:r>
          </w:p>
        </w:tc>
      </w:tr>
      <w:tr w:rsidR="001A416D" w:rsidRPr="00416ACE" w14:paraId="35A91641" w14:textId="77777777" w:rsidTr="002061E5">
        <w:trPr>
          <w:trHeight w:val="486"/>
          <w:jc w:val="center"/>
        </w:trPr>
        <w:tc>
          <w:tcPr>
            <w:tcW w:w="1327" w:type="dxa"/>
            <w:shd w:val="clear" w:color="auto" w:fill="FFFFFF"/>
            <w:vAlign w:val="center"/>
          </w:tcPr>
          <w:p w14:paraId="5D185540" w14:textId="77777777" w:rsidR="001A416D" w:rsidRPr="00B33E3E" w:rsidRDefault="001A416D" w:rsidP="008217FC">
            <w:pPr>
              <w:spacing w:before="40" w:after="40"/>
              <w:rPr>
                <w:b/>
                <w:sz w:val="20"/>
              </w:rPr>
            </w:pPr>
          </w:p>
        </w:tc>
        <w:tc>
          <w:tcPr>
            <w:tcW w:w="5756" w:type="dxa"/>
            <w:shd w:val="clear" w:color="auto" w:fill="FFFFFF"/>
            <w:vAlign w:val="center"/>
          </w:tcPr>
          <w:p w14:paraId="098B72B0" w14:textId="266E9CB1" w:rsidR="001A416D" w:rsidRPr="00416ACE" w:rsidRDefault="001A416D" w:rsidP="008217FC">
            <w:pPr>
              <w:spacing w:before="40" w:after="40"/>
              <w:rPr>
                <w:sz w:val="20"/>
              </w:rPr>
            </w:pPr>
            <w:r w:rsidRPr="00416ACE">
              <w:rPr>
                <w:sz w:val="20"/>
              </w:rPr>
              <w:t>Stabil</w:t>
            </w:r>
            <w:r w:rsidR="00E10A24">
              <w:rPr>
                <w:sz w:val="20"/>
              </w:rPr>
              <w:t>izing</w:t>
            </w:r>
            <w:r w:rsidRPr="00416ACE">
              <w:rPr>
                <w:sz w:val="20"/>
              </w:rPr>
              <w:t xml:space="preserve"> moment due to gravity loads in log shear</w:t>
            </w:r>
            <w:r w:rsidR="009A3B02" w:rsidRPr="00416ACE">
              <w:rPr>
                <w:sz w:val="20"/>
              </w:rPr>
              <w:t xml:space="preserve"> </w:t>
            </w:r>
            <w:r w:rsidRPr="00416ACE">
              <w:rPr>
                <w:sz w:val="20"/>
              </w:rPr>
              <w:t>walls.</w:t>
            </w:r>
          </w:p>
        </w:tc>
        <w:tc>
          <w:tcPr>
            <w:tcW w:w="1417" w:type="dxa"/>
            <w:shd w:val="clear" w:color="auto" w:fill="FFFFFF"/>
            <w:vAlign w:val="center"/>
          </w:tcPr>
          <w:p w14:paraId="45BB75C5" w14:textId="77777777" w:rsidR="001A416D" w:rsidRPr="00416ACE" w:rsidRDefault="001A416D" w:rsidP="008217FC">
            <w:pPr>
              <w:spacing w:before="40" w:after="40"/>
              <w:jc w:val="center"/>
              <w:rPr>
                <w:sz w:val="20"/>
              </w:rPr>
            </w:pPr>
            <w:r w:rsidRPr="00416ACE">
              <w:rPr>
                <w:sz w:val="20"/>
              </w:rPr>
              <w:t>1,3</w:t>
            </w:r>
          </w:p>
        </w:tc>
        <w:tc>
          <w:tcPr>
            <w:tcW w:w="1078" w:type="dxa"/>
            <w:shd w:val="clear" w:color="auto" w:fill="FFFFFF"/>
            <w:vAlign w:val="center"/>
          </w:tcPr>
          <w:p w14:paraId="43A1EA5F" w14:textId="77777777" w:rsidR="001A416D" w:rsidRPr="00416ACE" w:rsidRDefault="001A416D" w:rsidP="008217FC">
            <w:pPr>
              <w:spacing w:before="40" w:after="40"/>
              <w:jc w:val="center"/>
              <w:rPr>
                <w:sz w:val="20"/>
              </w:rPr>
            </w:pPr>
            <w:r w:rsidRPr="00416ACE">
              <w:rPr>
                <w:sz w:val="20"/>
              </w:rPr>
              <w:t>(13.19)</w:t>
            </w:r>
          </w:p>
        </w:tc>
      </w:tr>
      <w:tr w:rsidR="001A416D" w:rsidRPr="009B221D" w14:paraId="2C05889A" w14:textId="77777777" w:rsidTr="002061E5">
        <w:trPr>
          <w:trHeight w:val="486"/>
          <w:jc w:val="center"/>
        </w:trPr>
        <w:tc>
          <w:tcPr>
            <w:tcW w:w="9578" w:type="dxa"/>
            <w:gridSpan w:val="4"/>
            <w:shd w:val="clear" w:color="auto" w:fill="FFFFFF"/>
            <w:vAlign w:val="center"/>
          </w:tcPr>
          <w:p w14:paraId="32C789FD" w14:textId="1D00A423" w:rsidR="001A416D" w:rsidRPr="00B33E3E" w:rsidRDefault="001A416D" w:rsidP="008217FC">
            <w:pPr>
              <w:pStyle w:val="Note"/>
              <w:tabs>
                <w:tab w:val="clear" w:pos="960"/>
                <w:tab w:val="left" w:pos="426"/>
              </w:tabs>
              <w:spacing w:before="40" w:after="40"/>
              <w:ind w:right="566"/>
            </w:pPr>
            <w:r w:rsidRPr="00B33E3E">
              <w:t xml:space="preserve">*For high ductility moment-resisting frames with expanded tube fasteners and Densified Veneer Wood (according </w:t>
            </w:r>
            <w:r w:rsidRPr="00416ACE">
              <w:t>to 13.10.3(2)) and log</w:t>
            </w:r>
            <w:r w:rsidRPr="00B33E3E">
              <w:t xml:space="preserve"> structures, the value of </w:t>
            </w:r>
            <w:r w:rsidRPr="00B33E3E">
              <w:rPr>
                <w:rFonts w:ascii="Symbol" w:eastAsia="Symbol" w:hAnsi="Symbol" w:cs="Symbol"/>
                <w:i/>
                <w:szCs w:val="22"/>
              </w:rPr>
              <w:t></w:t>
            </w:r>
            <w:r w:rsidRPr="00B33E3E">
              <w:rPr>
                <w:szCs w:val="22"/>
                <w:vertAlign w:val="subscript"/>
              </w:rPr>
              <w:t>Rd</w:t>
            </w:r>
            <w:r w:rsidRPr="00B33E3E">
              <w:t xml:space="preserve"> may be reduced to 1,3.</w:t>
            </w:r>
          </w:p>
        </w:tc>
      </w:tr>
    </w:tbl>
    <w:p w14:paraId="6B563FAE" w14:textId="77777777" w:rsidR="001A416D" w:rsidRPr="00B33E3E" w:rsidRDefault="001A416D" w:rsidP="001A416D">
      <w:pPr>
        <w:pStyle w:val="Heading2"/>
      </w:pPr>
      <w:bookmarkStart w:id="10302" w:name="_Toc2160620"/>
      <w:bookmarkStart w:id="10303" w:name="_Toc17491742"/>
      <w:bookmarkStart w:id="10304" w:name="_Toc50150572"/>
      <w:bookmarkStart w:id="10305" w:name="_Toc70887004"/>
      <w:bookmarkStart w:id="10306" w:name="_Toc108342574"/>
      <w:bookmarkStart w:id="10307" w:name="_Toc134198096"/>
      <w:r w:rsidRPr="00B33E3E">
        <w:t>Structural analysis</w:t>
      </w:r>
      <w:bookmarkEnd w:id="10302"/>
      <w:bookmarkEnd w:id="10303"/>
      <w:bookmarkEnd w:id="10304"/>
      <w:bookmarkEnd w:id="10305"/>
      <w:bookmarkEnd w:id="10306"/>
      <w:bookmarkEnd w:id="10307"/>
    </w:p>
    <w:p w14:paraId="66D5D7D7" w14:textId="5D964C82" w:rsidR="001A416D" w:rsidRPr="00B33E3E" w:rsidRDefault="001A416D" w:rsidP="0080187E">
      <w:pPr>
        <w:pStyle w:val="Clause"/>
        <w:numPr>
          <w:ilvl w:val="0"/>
          <w:numId w:val="453"/>
        </w:numPr>
      </w:pPr>
      <w:r w:rsidRPr="00B33E3E">
        <w:t xml:space="preserve">The stiffness of the semi-rigid joints (as defined in </w:t>
      </w:r>
      <w:r w:rsidRPr="00835C82">
        <w:t>3.1.28</w:t>
      </w:r>
      <w:r w:rsidRPr="00B33E3E">
        <w:t>) should be taken into account in the analysis.</w:t>
      </w:r>
    </w:p>
    <w:p w14:paraId="34C64705" w14:textId="38AF98AB" w:rsidR="001A416D" w:rsidRPr="00B33E3E" w:rsidRDefault="001A416D" w:rsidP="00724E4E">
      <w:pPr>
        <w:pStyle w:val="Clause"/>
      </w:pPr>
      <w:r w:rsidRPr="00B33E3E">
        <w:t xml:space="preserve">The value of slip modulus </w:t>
      </w:r>
      <w:r w:rsidRPr="00B33E3E">
        <w:rPr>
          <w:i/>
        </w:rPr>
        <w:t>K</w:t>
      </w:r>
      <w:r w:rsidRPr="00B33E3E">
        <w:rPr>
          <w:vertAlign w:val="subscript"/>
          <w:lang w:val="en-US"/>
        </w:rPr>
        <w:t>SLS,v,mean,c</w:t>
      </w:r>
      <w:r w:rsidRPr="00B33E3E">
        <w:t xml:space="preserve"> of the connections measured in cyclic tests according to EN</w:t>
      </w:r>
      <w:r w:rsidR="000E61CC">
        <w:t> </w:t>
      </w:r>
      <w:r w:rsidRPr="00B33E3E">
        <w:t xml:space="preserve">12512 should be used. If experimental values of </w:t>
      </w:r>
      <w:r w:rsidRPr="00B33E3E">
        <w:rPr>
          <w:i/>
        </w:rPr>
        <w:t>K</w:t>
      </w:r>
      <w:r w:rsidRPr="00B33E3E">
        <w:rPr>
          <w:vertAlign w:val="subscript"/>
        </w:rPr>
        <w:t>SLS,v,mean,c</w:t>
      </w:r>
      <w:r w:rsidRPr="00B33E3E">
        <w:t xml:space="preserve"> are not available, the slip modulus </w:t>
      </w:r>
      <w:r w:rsidRPr="00B33E3E">
        <w:rPr>
          <w:i/>
        </w:rPr>
        <w:t>K</w:t>
      </w:r>
      <w:r w:rsidRPr="00B33E3E">
        <w:rPr>
          <w:vertAlign w:val="subscript"/>
        </w:rPr>
        <w:t>SLS,v,mean,c</w:t>
      </w:r>
      <w:r w:rsidRPr="00B33E3E">
        <w:t xml:space="preserve"> at serviceability limit state, calculated according to </w:t>
      </w:r>
      <w:r w:rsidR="007F3697">
        <w:t>prEN </w:t>
      </w:r>
      <w:r w:rsidR="006067DF">
        <w:t>1995-1-1:2023</w:t>
      </w:r>
      <w:r w:rsidRPr="00B33E3E">
        <w:t xml:space="preserve">, </w:t>
      </w:r>
      <w:r w:rsidRPr="00835C82">
        <w:t>11.4.7</w:t>
      </w:r>
      <w:r w:rsidRPr="009A3B02">
        <w:t>, Table 11.11a</w:t>
      </w:r>
      <w:r w:rsidRPr="00B33E3E">
        <w:t>, may be used.</w:t>
      </w:r>
    </w:p>
    <w:p w14:paraId="359F6495" w14:textId="681F641F" w:rsidR="001A416D" w:rsidRPr="00132C1E" w:rsidRDefault="001A416D" w:rsidP="00724E4E">
      <w:pPr>
        <w:pStyle w:val="Clause"/>
      </w:pPr>
      <w:r w:rsidRPr="00132C1E">
        <w:t>Two different axial stiffnesses, in compression and tension, should be used for uplift-restraining 2D- and 3D-</w:t>
      </w:r>
      <w:r w:rsidRPr="009A3B02">
        <w:t xml:space="preserve">connectors </w:t>
      </w:r>
      <w:r w:rsidRPr="00132C1E">
        <w:t xml:space="preserve">(hold-downs, tie-downs, foundation tie-downs, shear plates). If experimental values are not available, </w:t>
      </w:r>
      <w:r w:rsidRPr="009A3B02">
        <w:t xml:space="preserve">these 2D- and 3D-connectors may </w:t>
      </w:r>
      <w:r w:rsidRPr="00132C1E">
        <w:t>be considered as rigid in compression to represent the direct bearing of the wall on the support.</w:t>
      </w:r>
    </w:p>
    <w:p w14:paraId="3EE272D5" w14:textId="4D6DA52E" w:rsidR="001A416D" w:rsidRPr="00132C1E" w:rsidRDefault="001A416D" w:rsidP="00724E4E">
      <w:pPr>
        <w:pStyle w:val="Clause"/>
      </w:pPr>
      <w:r w:rsidRPr="00B33E3E">
        <w:lastRenderedPageBreak/>
        <w:t xml:space="preserve">Timber floor and roof diaphragms designed according to </w:t>
      </w:r>
      <w:r w:rsidR="007F3697">
        <w:t>prEN </w:t>
      </w:r>
      <w:r w:rsidR="006067DF">
        <w:t>1995-1-1:2023</w:t>
      </w:r>
      <w:r w:rsidRPr="00835C82">
        <w:rPr>
          <w:color w:val="auto"/>
        </w:rPr>
        <w:t>, 13.4</w:t>
      </w:r>
      <w:r w:rsidRPr="00835C82">
        <w:t>, 13.5</w:t>
      </w:r>
      <w:r w:rsidRPr="009A3B02">
        <w:t xml:space="preserve">, and to </w:t>
      </w:r>
      <w:r w:rsidRPr="00835C82">
        <w:t>13.6.2</w:t>
      </w:r>
      <w:r w:rsidRPr="009A3B02">
        <w:t xml:space="preserve"> and supported </w:t>
      </w:r>
      <w:r w:rsidRPr="00B33E3E">
        <w:t>by a primary timber structure may be modelled as rigid in plane if</w:t>
      </w:r>
      <w:r w:rsidRPr="00132C1E">
        <w:t xml:space="preserve"> conditions a) and either b), c) or d) are satisfied:</w:t>
      </w:r>
    </w:p>
    <w:p w14:paraId="105C32E5" w14:textId="759A2A59" w:rsidR="001A416D" w:rsidRPr="00416ACE" w:rsidRDefault="001A416D" w:rsidP="0080187E">
      <w:pPr>
        <w:pStyle w:val="Text"/>
        <w:numPr>
          <w:ilvl w:val="0"/>
          <w:numId w:val="664"/>
        </w:numPr>
      </w:pPr>
      <w:r w:rsidRPr="00132C1E">
        <w:t xml:space="preserve">Their openings do not markedly affect the overall in-plane rigidity of the floor: in a floor with a compact shape, namely a convex </w:t>
      </w:r>
      <w:r w:rsidRPr="00416ACE">
        <w:t>shape where the ratio between the maximum dimensions in the two principal directions as defined in 3.1.21 does not exceed 2,0, compact openings of less than 10</w:t>
      </w:r>
      <w:r w:rsidR="00D4445A">
        <w:t> </w:t>
      </w:r>
      <w:r w:rsidRPr="00416ACE">
        <w:t>% of the floor area which are not located along the perimeter may be assumed not to markedly affect the overall in-plane rigidity.</w:t>
      </w:r>
    </w:p>
    <w:p w14:paraId="3C1922AE" w14:textId="37794D1E" w:rsidR="001A416D" w:rsidRPr="00416ACE" w:rsidRDefault="001A416D" w:rsidP="0080187E">
      <w:pPr>
        <w:pStyle w:val="Text"/>
        <w:numPr>
          <w:ilvl w:val="0"/>
          <w:numId w:val="664"/>
        </w:numPr>
      </w:pPr>
      <w:r w:rsidRPr="00416ACE">
        <w:t>For all structural types in DC1, the diaphragm and its connections should be designed to transfer the in-plane seismic shear to the primary structure according to 6.2.8 using an ove</w:t>
      </w:r>
      <w:r w:rsidR="00416ACE">
        <w:t>r</w:t>
      </w:r>
      <w:r w:rsidRPr="00416ACE">
        <w:t xml:space="preserve">strength factor </w:t>
      </w:r>
      <w:r w:rsidRPr="00416ACE">
        <w:rPr>
          <w:rFonts w:ascii="Symbol" w:eastAsia="Symbol" w:hAnsi="Symbol" w:cs="Symbol"/>
          <w:i/>
          <w:iCs/>
        </w:rPr>
        <w:t></w:t>
      </w:r>
      <w:r w:rsidRPr="00416ACE">
        <w:rPr>
          <w:vertAlign w:val="subscript"/>
        </w:rPr>
        <w:t>d</w:t>
      </w:r>
      <w:r w:rsidRPr="00416ACE">
        <w:t xml:space="preserve"> of 1,5 instead of the values provided in Table 6.1.</w:t>
      </w:r>
    </w:p>
    <w:p w14:paraId="2B543C7D" w14:textId="3BF81639" w:rsidR="001A416D" w:rsidRPr="00132C1E" w:rsidRDefault="001A416D" w:rsidP="0080187E">
      <w:pPr>
        <w:pStyle w:val="Text"/>
        <w:numPr>
          <w:ilvl w:val="0"/>
          <w:numId w:val="664"/>
        </w:numPr>
      </w:pPr>
      <w:r w:rsidRPr="00416ACE">
        <w:t>For all structural types other than CLT and framed wall structures in DC2 and DC3, the diaphragm and its connections should be designed to transfer the in-plane seismic shear to the primary structure according to 6.2.8 using an</w:t>
      </w:r>
      <w:r w:rsidRPr="00132C1E">
        <w:t xml:space="preserve"> ove</w:t>
      </w:r>
      <w:r w:rsidR="00416ACE">
        <w:t>rs</w:t>
      </w:r>
      <w:r w:rsidRPr="00132C1E">
        <w:t xml:space="preserve">trength factor </w:t>
      </w:r>
      <w:r w:rsidRPr="00132C1E">
        <w:rPr>
          <w:rFonts w:ascii="Symbol" w:eastAsia="Symbol" w:hAnsi="Symbol" w:cs="Symbol"/>
          <w:i/>
          <w:iCs/>
        </w:rPr>
        <w:t></w:t>
      </w:r>
      <w:r w:rsidRPr="00132C1E">
        <w:rPr>
          <w:vertAlign w:val="subscript"/>
        </w:rPr>
        <w:t>d</w:t>
      </w:r>
      <w:r w:rsidRPr="00132C1E">
        <w:t xml:space="preserve"> of 2,0 instead of the values provided in Table 6.1.</w:t>
      </w:r>
    </w:p>
    <w:p w14:paraId="59A141A1" w14:textId="0E0A526D" w:rsidR="001A416D" w:rsidRPr="00132C1E" w:rsidRDefault="001A416D" w:rsidP="0080187E">
      <w:pPr>
        <w:pStyle w:val="Text"/>
        <w:numPr>
          <w:ilvl w:val="0"/>
          <w:numId w:val="664"/>
        </w:numPr>
      </w:pPr>
      <w:r w:rsidRPr="00132C1E">
        <w:t xml:space="preserve">For </w:t>
      </w:r>
      <w:r w:rsidRPr="009A3B02">
        <w:t xml:space="preserve">CLT and framed wall </w:t>
      </w:r>
      <w:r w:rsidRPr="00132C1E">
        <w:t>structures in DC2 and DC3, the diaphragm and its connections should be designed to transfer the in-plane seismic shear to the primary structure according to Formula (13.7).</w:t>
      </w:r>
    </w:p>
    <w:p w14:paraId="1A5F9C80" w14:textId="0266AAFC" w:rsidR="001A416D" w:rsidRPr="00132C1E" w:rsidRDefault="001A416D" w:rsidP="00724E4E">
      <w:pPr>
        <w:pStyle w:val="Clause"/>
      </w:pPr>
      <w:r w:rsidRPr="00B33E3E">
        <w:t xml:space="preserve">Timber-concrete composite floor and roof diaphragms designed according to </w:t>
      </w:r>
      <w:r w:rsidR="003D0D28">
        <w:rPr>
          <w:rFonts w:cs="Segoe UI"/>
          <w:color w:val="000000"/>
        </w:rPr>
        <w:t>C</w:t>
      </w:r>
      <w:r w:rsidRPr="00B33E3E">
        <w:rPr>
          <w:rFonts w:cs="Segoe UI"/>
          <w:color w:val="000000"/>
        </w:rPr>
        <w:t>EN/TS</w:t>
      </w:r>
      <w:r w:rsidR="00416ACE">
        <w:rPr>
          <w:rFonts w:cs="Segoe UI"/>
          <w:color w:val="000000"/>
        </w:rPr>
        <w:t> </w:t>
      </w:r>
      <w:r w:rsidRPr="00B33E3E">
        <w:rPr>
          <w:rFonts w:cs="Segoe UI"/>
          <w:color w:val="000000"/>
        </w:rPr>
        <w:t>19103</w:t>
      </w:r>
      <w:r w:rsidRPr="00B33E3E">
        <w:t>, and</w:t>
      </w:r>
      <w:r w:rsidRPr="00132C1E">
        <w:t xml:space="preserve"> </w:t>
      </w:r>
      <w:r w:rsidRPr="00835C82">
        <w:t>6.2.8(1)</w:t>
      </w:r>
      <w:r w:rsidRPr="00132C1E">
        <w:t xml:space="preserve"> may be considered as in-plane rigid if both conditions a) to b) are </w:t>
      </w:r>
      <w:r>
        <w:t>satisfied</w:t>
      </w:r>
      <w:r w:rsidRPr="00132C1E">
        <w:t>:</w:t>
      </w:r>
    </w:p>
    <w:p w14:paraId="61039A43" w14:textId="36579AA2" w:rsidR="001A416D" w:rsidRPr="00416ACE" w:rsidRDefault="001A416D" w:rsidP="0080187E">
      <w:pPr>
        <w:pStyle w:val="Text"/>
        <w:numPr>
          <w:ilvl w:val="0"/>
          <w:numId w:val="665"/>
        </w:numPr>
      </w:pPr>
      <w:r w:rsidRPr="00132C1E">
        <w:t xml:space="preserve">Their openings do not </w:t>
      </w:r>
      <w:r w:rsidRPr="00416ACE">
        <w:t>significantly affect the overall in-plane rigidity of the floors: in a floor with a compact shape according to (4), compact openings of less than 20</w:t>
      </w:r>
      <w:r w:rsidR="00D4445A">
        <w:t> </w:t>
      </w:r>
      <w:r w:rsidRPr="00416ACE">
        <w:t>% of the floor area may be assumed not to markedly affect the overall in-plane rigidity</w:t>
      </w:r>
      <w:r w:rsidR="003D0D28">
        <w:t>;</w:t>
      </w:r>
    </w:p>
    <w:p w14:paraId="6241EC48" w14:textId="77777777" w:rsidR="001A416D" w:rsidRPr="00416ACE" w:rsidRDefault="001A416D" w:rsidP="0080187E">
      <w:pPr>
        <w:pStyle w:val="Text"/>
        <w:numPr>
          <w:ilvl w:val="0"/>
          <w:numId w:val="665"/>
        </w:numPr>
      </w:pPr>
      <w:r w:rsidRPr="00416ACE">
        <w:t>The concrete topping should be at least 50 mm thick and should be connected to all primary members as defined in 3.1.22.</w:t>
      </w:r>
    </w:p>
    <w:p w14:paraId="16126E3C" w14:textId="28A5A9AC" w:rsidR="001A416D" w:rsidRPr="00132C1E" w:rsidRDefault="001A416D" w:rsidP="00724E4E">
      <w:pPr>
        <w:pStyle w:val="Clause"/>
      </w:pPr>
      <w:r w:rsidRPr="00132C1E">
        <w:t xml:space="preserve">As a simplification of </w:t>
      </w:r>
      <w:r w:rsidRPr="00835C82">
        <w:t>5.3.3(3)</w:t>
      </w:r>
      <w:r w:rsidRPr="00132C1E">
        <w:t>, for</w:t>
      </w:r>
      <w:r>
        <w:t xml:space="preserve"> </w:t>
      </w:r>
      <w:r w:rsidRPr="009A3B02">
        <w:t>CLT and framed wall buildings</w:t>
      </w:r>
      <w:r w:rsidRPr="00132C1E">
        <w:t xml:space="preserve">, the fundamental period of vibration of the building in a principal direction, </w:t>
      </w:r>
      <w:r w:rsidRPr="008F703C">
        <w:rPr>
          <w:i/>
        </w:rPr>
        <w:t>T</w:t>
      </w:r>
      <w:r w:rsidRPr="008F703C">
        <w:rPr>
          <w:vertAlign w:val="subscript"/>
        </w:rPr>
        <w:t>1,est</w:t>
      </w:r>
      <w:r w:rsidRPr="00132C1E">
        <w:t>, may be calculated by Formula (13.6).</w:t>
      </w:r>
    </w:p>
    <w:p w14:paraId="65CDB317" w14:textId="3C8B36C5" w:rsidR="009A3B02" w:rsidRPr="00870D59" w:rsidRDefault="009B5CEC" w:rsidP="009A3B02">
      <w:pPr>
        <w:pStyle w:val="Formula"/>
        <w:spacing w:before="240"/>
      </w:pPr>
      <m:oMath>
        <m:sSub>
          <m:sSubPr>
            <m:ctrlPr>
              <w:rPr>
                <w:rFonts w:ascii="Cambria Math" w:hAnsi="Cambria Math"/>
              </w:rPr>
            </m:ctrlPr>
          </m:sSubPr>
          <m:e>
            <m:r>
              <w:rPr>
                <w:rFonts w:ascii="Cambria Math" w:hAnsi="Cambria Math"/>
              </w:rPr>
              <m:t>T</m:t>
            </m:r>
          </m:e>
          <m:sub>
            <m:r>
              <m:rPr>
                <m:sty m:val="p"/>
              </m:rPr>
              <w:rPr>
                <w:rFonts w:ascii="Cambria Math" w:hAnsi="Cambria Math"/>
              </w:rPr>
              <m:t>1,est</m:t>
            </m:r>
          </m:sub>
        </m:sSub>
        <m:r>
          <w:rPr>
            <w:rFonts w:ascii="Cambria Math" w:hAnsi="Cambria Math"/>
          </w:rPr>
          <m:t>≤0,05×</m:t>
        </m:r>
        <m:sSubSup>
          <m:sSubSupPr>
            <m:ctrlPr>
              <w:rPr>
                <w:rFonts w:ascii="Cambria Math" w:hAnsi="Cambria Math"/>
              </w:rPr>
            </m:ctrlPr>
          </m:sSubSupPr>
          <m:e>
            <m:r>
              <w:rPr>
                <w:rFonts w:ascii="Cambria Math" w:hAnsi="Cambria Math"/>
              </w:rPr>
              <m:t>H</m:t>
            </m:r>
          </m:e>
          <m:sub>
            <m:r>
              <m:rPr>
                <m:sty m:val="p"/>
              </m:rPr>
              <w:rPr>
                <w:rFonts w:ascii="Cambria Math" w:hAnsi="Cambria Math"/>
              </w:rPr>
              <m:t>b</m:t>
            </m:r>
          </m:sub>
          <m:sup>
            <m:f>
              <m:fPr>
                <m:type m:val="skw"/>
                <m:ctrlPr>
                  <w:rPr>
                    <w:rFonts w:ascii="Cambria Math" w:hAnsi="Cambria Math"/>
                  </w:rPr>
                </m:ctrlPr>
              </m:fPr>
              <m:num>
                <m:r>
                  <w:rPr>
                    <w:rFonts w:ascii="Cambria Math" w:hAnsi="Cambria Math"/>
                  </w:rPr>
                  <m:t>3</m:t>
                </m:r>
              </m:num>
              <m:den>
                <m:r>
                  <w:rPr>
                    <w:rFonts w:ascii="Cambria Math" w:hAnsi="Cambria Math"/>
                  </w:rPr>
                  <m:t>4</m:t>
                </m:r>
              </m:den>
            </m:f>
          </m:sup>
        </m:sSubSup>
      </m:oMath>
      <w:r w:rsidR="009A3B02" w:rsidRPr="00870D59">
        <w:tab/>
        <w:t>(1</w:t>
      </w:r>
      <w:r w:rsidR="009A3B02">
        <w:t>3</w:t>
      </w:r>
      <w:r w:rsidR="009A3B02" w:rsidRPr="00870D59">
        <w:t>.</w:t>
      </w:r>
      <w:r w:rsidR="009A3B02">
        <w:t>6</w:t>
      </w:r>
      <w:r w:rsidR="009A3B02" w:rsidRPr="00870D59">
        <w:t>)</w:t>
      </w:r>
    </w:p>
    <w:p w14:paraId="19F4BAB1" w14:textId="4FF26A7D" w:rsidR="009A3B02" w:rsidRPr="00196951" w:rsidRDefault="009A3B02" w:rsidP="009A3B02">
      <w:pPr>
        <w:spacing w:before="240" w:after="240"/>
      </w:pPr>
      <w:r w:rsidRPr="00D1484A">
        <w:t xml:space="preserve">where </w:t>
      </w:r>
      <w:r w:rsidRPr="00D1484A">
        <w:rPr>
          <w:i/>
        </w:rPr>
        <w:t>H</w:t>
      </w:r>
      <w:r w:rsidRPr="007E6F67">
        <w:rPr>
          <w:vertAlign w:val="subscript"/>
        </w:rPr>
        <w:t>b</w:t>
      </w:r>
      <w:r w:rsidRPr="00FD17CF">
        <w:rPr>
          <w:i/>
        </w:rPr>
        <w:t xml:space="preserve"> </w:t>
      </w:r>
      <w:r w:rsidRPr="00FD17CF">
        <w:t xml:space="preserve">is the height of the building, in </w:t>
      </w:r>
      <w:r w:rsidRPr="00644C3D">
        <w:t>m</w:t>
      </w:r>
      <w:r w:rsidRPr="00E05E29">
        <w:t>, measured from the foundation or from the top of a rigid basement.</w:t>
      </w:r>
    </w:p>
    <w:p w14:paraId="5CAAC8C7" w14:textId="766AF237" w:rsidR="009A3B02" w:rsidRDefault="009A3B02" w:rsidP="008217FC">
      <w:pPr>
        <w:pStyle w:val="Clause"/>
        <w:spacing w:before="200" w:after="200"/>
      </w:pPr>
      <w:r w:rsidRPr="002144A0">
        <w:t xml:space="preserve">The fundamental period </w:t>
      </w:r>
      <w:r w:rsidRPr="008F703C">
        <w:rPr>
          <w:i/>
        </w:rPr>
        <w:t>T</w:t>
      </w:r>
      <w:r w:rsidRPr="008F703C">
        <w:rPr>
          <w:vertAlign w:val="subscript"/>
        </w:rPr>
        <w:t>1</w:t>
      </w:r>
      <w:r w:rsidRPr="002144A0">
        <w:t xml:space="preserve"> calculated via numerical and analytical modelling in accordance with </w:t>
      </w:r>
      <w:r w:rsidRPr="00835C82">
        <w:t>5.3.3(3)</w:t>
      </w:r>
      <w:r w:rsidRPr="002144A0">
        <w:t xml:space="preserve"> should not be taken longer than 2</w:t>
      </w:r>
      <w:r w:rsidRPr="008F703C">
        <w:rPr>
          <w:i/>
        </w:rPr>
        <w:t>T</w:t>
      </w:r>
      <w:r w:rsidRPr="008F703C">
        <w:rPr>
          <w:vertAlign w:val="subscript"/>
        </w:rPr>
        <w:t>1,est</w:t>
      </w:r>
      <w:r w:rsidRPr="002144A0">
        <w:t xml:space="preserve">, where </w:t>
      </w:r>
      <w:r w:rsidRPr="008F703C">
        <w:rPr>
          <w:i/>
        </w:rPr>
        <w:t>T</w:t>
      </w:r>
      <w:r w:rsidRPr="008F703C">
        <w:rPr>
          <w:vertAlign w:val="subscript"/>
        </w:rPr>
        <w:t>1,est</w:t>
      </w:r>
      <w:r w:rsidRPr="004F25D7">
        <w:t xml:space="preserve"> is the estimate from Formula (13.6).</w:t>
      </w:r>
    </w:p>
    <w:p w14:paraId="1EE56824" w14:textId="37BA2DC9" w:rsidR="009A3B02" w:rsidRDefault="009A3B02" w:rsidP="008217FC">
      <w:pPr>
        <w:pStyle w:val="Clause"/>
        <w:spacing w:before="200" w:after="200"/>
      </w:pPr>
      <w:r w:rsidRPr="00467EF3">
        <w:t xml:space="preserve">In </w:t>
      </w:r>
      <w:r>
        <w:t>linear-elastic analyse</w:t>
      </w:r>
      <w:r w:rsidRPr="00467EF3">
        <w:t>s, the elastic horizontal displacem</w:t>
      </w:r>
      <w:r>
        <w:t>ent of a point in the structure</w:t>
      </w:r>
      <w:r w:rsidRPr="00467EF3">
        <w:t xml:space="preserve"> </w:t>
      </w:r>
      <w:r w:rsidRPr="008F703C">
        <w:rPr>
          <w:i/>
        </w:rPr>
        <w:t>d</w:t>
      </w:r>
      <w:r w:rsidRPr="008F703C">
        <w:rPr>
          <w:vertAlign w:val="subscript"/>
        </w:rPr>
        <w:t>e</w:t>
      </w:r>
      <w:r w:rsidRPr="00467EF3">
        <w:t xml:space="preserve"> defined in </w:t>
      </w:r>
      <w:r w:rsidRPr="00B33E3E">
        <w:t>pr</w:t>
      </w:r>
      <w:r w:rsidR="00C30FF9">
        <w:t>EN 1</w:t>
      </w:r>
      <w:r w:rsidRPr="00B33E3E">
        <w:t xml:space="preserve">998-1-1:2022, </w:t>
      </w:r>
      <w:r w:rsidRPr="00835C82">
        <w:t>6.4.2(2)</w:t>
      </w:r>
      <w:r w:rsidRPr="00B33E3E">
        <w:t xml:space="preserve">, may be calculated using </w:t>
      </w:r>
      <w:r w:rsidR="007F3697">
        <w:t>prEN </w:t>
      </w:r>
      <w:r w:rsidR="006067DF">
        <w:t>1995-1-1:2023</w:t>
      </w:r>
      <w:r w:rsidRPr="004F74EA">
        <w:t xml:space="preserve">, </w:t>
      </w:r>
      <w:r w:rsidRPr="00835C82">
        <w:t>13.3.3,</w:t>
      </w:r>
      <w:r w:rsidRPr="004F74EA">
        <w:t xml:space="preserve"> for CLT and framed shear </w:t>
      </w:r>
      <w:r w:rsidRPr="00467EF3">
        <w:t>walls.</w:t>
      </w:r>
    </w:p>
    <w:p w14:paraId="61D8EB7E" w14:textId="7C7B4040" w:rsidR="009A3B02" w:rsidRDefault="009A3B02" w:rsidP="008217FC">
      <w:pPr>
        <w:pStyle w:val="Clause"/>
        <w:spacing w:before="200" w:after="200"/>
      </w:pPr>
      <w:r w:rsidRPr="00B33E3E">
        <w:t xml:space="preserve">In linear-elastic analyses, </w:t>
      </w:r>
      <w:r w:rsidR="007F3697">
        <w:t>prEN </w:t>
      </w:r>
      <w:r w:rsidR="006067DF">
        <w:t>1995-1-1:2023</w:t>
      </w:r>
      <w:r w:rsidRPr="00C71292">
        <w:rPr>
          <w:color w:val="auto"/>
        </w:rPr>
        <w:t xml:space="preserve">, 13.3.3, </w:t>
      </w:r>
      <w:r w:rsidRPr="00B33E3E">
        <w:t>may also be used to calculate the stiffness</w:t>
      </w:r>
      <w:r w:rsidRPr="00467EF3">
        <w:t xml:space="preserve"> matrix of a building </w:t>
      </w:r>
      <w:r w:rsidRPr="004F74EA">
        <w:t>with primary structure made of CLT and framed walls, and to determine the distribution of the seismic forces in the different shear walls</w:t>
      </w:r>
      <w:r w:rsidRPr="00467EF3">
        <w:t>.</w:t>
      </w:r>
    </w:p>
    <w:p w14:paraId="7B001666" w14:textId="7FD20E2A" w:rsidR="009A3B02" w:rsidRPr="00C52095" w:rsidRDefault="009A3B02" w:rsidP="008217FC">
      <w:pPr>
        <w:pStyle w:val="Clause"/>
        <w:spacing w:before="200" w:after="200"/>
      </w:pPr>
      <w:r w:rsidRPr="00C52095">
        <w:t>Non-linear behaviour of timber components may be considered in the analysis only if it has been demonstrated by experimental tests performed in accordance with EN 12512.</w:t>
      </w:r>
    </w:p>
    <w:p w14:paraId="4D684BFA" w14:textId="7FBBCAFB" w:rsidR="009A3B02" w:rsidRPr="00132C1E" w:rsidRDefault="009A3B02" w:rsidP="008217FC">
      <w:pPr>
        <w:pStyle w:val="Clause"/>
        <w:keepNext/>
        <w:keepLines/>
        <w:spacing w:before="200" w:after="200"/>
      </w:pPr>
      <w:bookmarkStart w:id="10308" w:name="_Hlk21897353"/>
      <w:r w:rsidRPr="007754C9">
        <w:lastRenderedPageBreak/>
        <w:t>In non-linear static analysis performed</w:t>
      </w:r>
      <w:r w:rsidRPr="00132C1E">
        <w:t xml:space="preserve"> according to </w:t>
      </w:r>
      <w:r>
        <w:t>pr</w:t>
      </w:r>
      <w:r w:rsidR="00C30FF9">
        <w:t>EN 1</w:t>
      </w:r>
      <w:r>
        <w:t>998-1-1:2022</w:t>
      </w:r>
      <w:r w:rsidRPr="00132C1E">
        <w:t xml:space="preserve">, </w:t>
      </w:r>
      <w:r w:rsidRPr="00835C82">
        <w:t>6.5</w:t>
      </w:r>
      <w:r w:rsidRPr="00132C1E">
        <w:t>,</w:t>
      </w:r>
      <w:r w:rsidRPr="00835C82">
        <w:t xml:space="preserve"> </w:t>
      </w:r>
      <w:r w:rsidRPr="00132C1E">
        <w:t>and</w:t>
      </w:r>
      <w:r w:rsidRPr="00835C82">
        <w:t xml:space="preserve"> </w:t>
      </w:r>
      <w:r w:rsidRPr="00263068">
        <w:t>Annex L</w:t>
      </w:r>
      <w:r w:rsidRPr="00132C1E">
        <w:t>, timber components and mechanical connections or devices character</w:t>
      </w:r>
      <w:r w:rsidR="00E10A24">
        <w:t>ize</w:t>
      </w:r>
      <w:r w:rsidRPr="00132C1E">
        <w:t>d by a brittle failure should be modelled as elastic elements, and ductile components and connections as non-linear elements with mean values of mechanical properties.</w:t>
      </w:r>
      <w:bookmarkEnd w:id="10308"/>
    </w:p>
    <w:p w14:paraId="353798A7" w14:textId="2E2CF8B8" w:rsidR="009A3B02" w:rsidRPr="00132C1E" w:rsidRDefault="009A3B02" w:rsidP="00724E4E">
      <w:pPr>
        <w:pStyle w:val="Clause"/>
      </w:pPr>
      <w:r w:rsidRPr="00132C1E">
        <w:t xml:space="preserve">The values of the ultimate deformation </w:t>
      </w:r>
      <w:r w:rsidRPr="008F703C">
        <w:rPr>
          <w:i/>
          <w:iCs/>
        </w:rPr>
        <w:t>δ</w:t>
      </w:r>
      <w:r w:rsidRPr="008F703C">
        <w:rPr>
          <w:vertAlign w:val="subscript"/>
        </w:rPr>
        <w:t>u</w:t>
      </w:r>
      <w:r w:rsidRPr="00132C1E">
        <w:t xml:space="preserve"> and yield deformation </w:t>
      </w:r>
      <w:r w:rsidRPr="008F703C">
        <w:rPr>
          <w:i/>
          <w:iCs/>
        </w:rPr>
        <w:t>δ</w:t>
      </w:r>
      <w:r w:rsidRPr="008F703C">
        <w:rPr>
          <w:vertAlign w:val="subscript"/>
        </w:rPr>
        <w:t>y</w:t>
      </w:r>
      <w:r w:rsidRPr="00132C1E">
        <w:t xml:space="preserve"> of connections, 2D- and 3D-</w:t>
      </w:r>
      <w:r w:rsidRPr="004F74EA">
        <w:t>connectors</w:t>
      </w:r>
      <w:r w:rsidRPr="00132C1E">
        <w:t xml:space="preserve">, joints and subassemblies for non-linear static analysis should be obtained from </w:t>
      </w:r>
      <w:r w:rsidRPr="00263068">
        <w:t>Annex L</w:t>
      </w:r>
      <w:r w:rsidRPr="00132C1E">
        <w:t xml:space="preserve"> by the trilinear curve determined from tests carried out according to EN 12512. If experimental results are not available, the trilinear curve may be determined by Formulas (L.4) to (L.9).</w:t>
      </w:r>
    </w:p>
    <w:p w14:paraId="30E8088C" w14:textId="0E4E7D1E" w:rsidR="009A3B02" w:rsidRPr="00132C1E" w:rsidRDefault="009A3B02" w:rsidP="00724E4E">
      <w:pPr>
        <w:pStyle w:val="Clause"/>
      </w:pPr>
      <w:r w:rsidRPr="00132C1E">
        <w:t xml:space="preserve">In non-linear static analysis, the design deformations </w:t>
      </w:r>
      <w:r w:rsidRPr="008F703C">
        <w:rPr>
          <w:i/>
          <w:iCs/>
        </w:rPr>
        <w:t>δ</w:t>
      </w:r>
      <w:r w:rsidRPr="008F703C">
        <w:rPr>
          <w:vertAlign w:val="subscript"/>
        </w:rPr>
        <w:t>NC</w:t>
      </w:r>
      <w:r w:rsidRPr="00132C1E">
        <w:t xml:space="preserve"> and </w:t>
      </w:r>
      <w:r w:rsidRPr="008F703C">
        <w:rPr>
          <w:i/>
          <w:iCs/>
        </w:rPr>
        <w:t>δ</w:t>
      </w:r>
      <w:r w:rsidRPr="008F703C">
        <w:rPr>
          <w:vertAlign w:val="subscript"/>
        </w:rPr>
        <w:t>SD</w:t>
      </w:r>
      <w:r w:rsidRPr="00132C1E">
        <w:t xml:space="preserve"> for Near Collapse and Significant Damage Limit States should be obtained from </w:t>
      </w:r>
      <w:r w:rsidRPr="00263068">
        <w:t>Annex L</w:t>
      </w:r>
      <w:r w:rsidRPr="00132C1E">
        <w:t>, Formula (L.3) and (L.2) respectively.</w:t>
      </w:r>
    </w:p>
    <w:p w14:paraId="509CC072" w14:textId="4315DABC" w:rsidR="009A3B02" w:rsidRPr="00132C1E" w:rsidRDefault="009A3B02" w:rsidP="009A3B02">
      <w:pPr>
        <w:pStyle w:val="Heading2"/>
      </w:pPr>
      <w:bookmarkStart w:id="10309" w:name="_Toc17491743"/>
      <w:bookmarkStart w:id="10310" w:name="_Toc2160621"/>
      <w:bookmarkStart w:id="10311" w:name="_Toc50150573"/>
      <w:bookmarkStart w:id="10312" w:name="_Toc70887005"/>
      <w:bookmarkStart w:id="10313" w:name="_Toc108342575"/>
      <w:bookmarkStart w:id="10314" w:name="_Toc134198097"/>
      <w:r w:rsidRPr="00132C1E">
        <w:t>Verification of limit states</w:t>
      </w:r>
      <w:bookmarkEnd w:id="10309"/>
      <w:bookmarkEnd w:id="10310"/>
      <w:bookmarkEnd w:id="10311"/>
      <w:bookmarkEnd w:id="10312"/>
      <w:bookmarkEnd w:id="10313"/>
      <w:bookmarkEnd w:id="10314"/>
    </w:p>
    <w:p w14:paraId="288FAA3C" w14:textId="77777777" w:rsidR="009A3B02" w:rsidRPr="00132C1E" w:rsidRDefault="009A3B02" w:rsidP="009A3B02">
      <w:pPr>
        <w:pStyle w:val="Heading3"/>
      </w:pPr>
      <w:bookmarkStart w:id="10315" w:name="_Toc50150574"/>
      <w:bookmarkStart w:id="10316" w:name="_Toc70887006"/>
      <w:bookmarkStart w:id="10317" w:name="_Toc108342576"/>
      <w:bookmarkStart w:id="10318" w:name="_Toc134198098"/>
      <w:r w:rsidRPr="00132C1E">
        <w:t>General</w:t>
      </w:r>
      <w:bookmarkEnd w:id="10315"/>
      <w:bookmarkEnd w:id="10316"/>
      <w:bookmarkEnd w:id="10317"/>
      <w:bookmarkEnd w:id="10318"/>
    </w:p>
    <w:p w14:paraId="2A828AF4" w14:textId="39118571" w:rsidR="009A3B02" w:rsidRPr="00B33E3E" w:rsidRDefault="009A3B02" w:rsidP="0080187E">
      <w:pPr>
        <w:pStyle w:val="Clause"/>
        <w:numPr>
          <w:ilvl w:val="0"/>
          <w:numId w:val="454"/>
        </w:numPr>
      </w:pPr>
      <w:r w:rsidRPr="00132C1E">
        <w:t xml:space="preserve">The strength values of the timber material and of the connections should be determined taking into </w:t>
      </w:r>
      <w:r w:rsidRPr="00B33E3E">
        <w:t xml:space="preserve">account the </w:t>
      </w:r>
      <w:r w:rsidRPr="00C71292">
        <w:rPr>
          <w:i/>
        </w:rPr>
        <w:t>k</w:t>
      </w:r>
      <w:r w:rsidRPr="00C71292">
        <w:rPr>
          <w:vertAlign w:val="subscript"/>
        </w:rPr>
        <w:t>mod</w:t>
      </w:r>
      <w:r w:rsidRPr="00B33E3E">
        <w:t xml:space="preserve">-values for instantaneous loading in accordance with </w:t>
      </w:r>
      <w:r w:rsidR="007F3697">
        <w:t>prEN </w:t>
      </w:r>
      <w:r w:rsidR="006067DF">
        <w:t>1995-1-1:2023</w:t>
      </w:r>
      <w:r w:rsidRPr="00B33E3E">
        <w:t xml:space="preserve">, </w:t>
      </w:r>
      <w:r w:rsidRPr="00835C82">
        <w:t>5.1.3</w:t>
      </w:r>
      <w:r w:rsidRPr="00B33E3E">
        <w:t>, Table</w:t>
      </w:r>
      <w:r w:rsidR="008217FC">
        <w:t> </w:t>
      </w:r>
      <w:r w:rsidRPr="00B33E3E">
        <w:t>5.1.</w:t>
      </w:r>
    </w:p>
    <w:p w14:paraId="6D196D3B" w14:textId="2DAAB628" w:rsidR="009A3B02" w:rsidRPr="00132C1E" w:rsidRDefault="009A3B02" w:rsidP="009A3B02">
      <w:pPr>
        <w:pStyle w:val="Heading3"/>
      </w:pPr>
      <w:bookmarkStart w:id="10319" w:name="_Toc50150575"/>
      <w:bookmarkStart w:id="10320" w:name="_Toc70887007"/>
      <w:bookmarkStart w:id="10321" w:name="_Toc108342577"/>
      <w:bookmarkStart w:id="10322" w:name="_Toc134198099"/>
      <w:r w:rsidRPr="00132C1E">
        <w:t>Limitation of interstorey drift at Significant Damage limit state</w:t>
      </w:r>
      <w:bookmarkEnd w:id="10319"/>
      <w:bookmarkEnd w:id="10320"/>
      <w:bookmarkEnd w:id="10321"/>
      <w:bookmarkEnd w:id="10322"/>
    </w:p>
    <w:p w14:paraId="0380724A" w14:textId="62CC282C" w:rsidR="009A3B02" w:rsidRPr="00132C1E" w:rsidRDefault="009A3B02" w:rsidP="0080187E">
      <w:pPr>
        <w:pStyle w:val="Clause"/>
        <w:numPr>
          <w:ilvl w:val="0"/>
          <w:numId w:val="455"/>
        </w:numPr>
      </w:pPr>
      <w:r w:rsidRPr="00132C1E">
        <w:t>For all ductility classes, the interstorey drift at SD limit state should be limited to:</w:t>
      </w:r>
    </w:p>
    <w:p w14:paraId="71AD2C1D" w14:textId="77777777" w:rsidR="009A3B02" w:rsidRPr="00132C1E" w:rsidRDefault="009A3B02" w:rsidP="0080187E">
      <w:pPr>
        <w:pStyle w:val="Text"/>
        <w:numPr>
          <w:ilvl w:val="0"/>
          <w:numId w:val="666"/>
        </w:numPr>
      </w:pPr>
      <w:r w:rsidRPr="00132C1E">
        <w:rPr>
          <w:i/>
        </w:rPr>
        <w:t>d</w:t>
      </w:r>
      <w:r w:rsidRPr="00132C1E">
        <w:rPr>
          <w:vertAlign w:val="subscript"/>
        </w:rPr>
        <w:t>r,SD</w:t>
      </w:r>
      <w:r w:rsidRPr="00132C1E">
        <w:t xml:space="preserve"> ≤ 0,025 </w:t>
      </w:r>
      <w:r w:rsidRPr="00132C1E">
        <w:rPr>
          <w:i/>
        </w:rPr>
        <w:t>h</w:t>
      </w:r>
      <w:r w:rsidRPr="00132C1E">
        <w:rPr>
          <w:iCs/>
          <w:vertAlign w:val="subscript"/>
        </w:rPr>
        <w:t>s</w:t>
      </w:r>
      <w:r w:rsidRPr="00132C1E">
        <w:t xml:space="preserve"> for log structures;</w:t>
      </w:r>
    </w:p>
    <w:p w14:paraId="1B824D52" w14:textId="77777777" w:rsidR="009A3B02" w:rsidRDefault="009A3B02" w:rsidP="0080187E">
      <w:pPr>
        <w:pStyle w:val="Text"/>
        <w:numPr>
          <w:ilvl w:val="0"/>
          <w:numId w:val="666"/>
        </w:numPr>
      </w:pPr>
      <w:r w:rsidRPr="004F74EA">
        <w:rPr>
          <w:i/>
        </w:rPr>
        <w:t>d</w:t>
      </w:r>
      <w:r w:rsidRPr="004F74EA">
        <w:rPr>
          <w:vertAlign w:val="subscript"/>
        </w:rPr>
        <w:t>r,S</w:t>
      </w:r>
      <w:r w:rsidRPr="00132C1E">
        <w:rPr>
          <w:vertAlign w:val="subscript"/>
        </w:rPr>
        <w:t>D</w:t>
      </w:r>
      <w:r w:rsidRPr="00132C1E">
        <w:t xml:space="preserve"> ≤ 0,020 </w:t>
      </w:r>
      <w:r w:rsidRPr="00132C1E">
        <w:rPr>
          <w:i/>
        </w:rPr>
        <w:t>h</w:t>
      </w:r>
      <w:r w:rsidRPr="00132C1E">
        <w:rPr>
          <w:iCs/>
          <w:vertAlign w:val="subscript"/>
        </w:rPr>
        <w:t>s</w:t>
      </w:r>
      <w:r w:rsidRPr="00132C1E">
        <w:rPr>
          <w:iCs/>
        </w:rPr>
        <w:t xml:space="preserve"> </w:t>
      </w:r>
      <w:r w:rsidRPr="00132C1E">
        <w:t>for moment-resisting frames;</w:t>
      </w:r>
    </w:p>
    <w:p w14:paraId="70DD1522" w14:textId="77777777" w:rsidR="009A3B02" w:rsidRPr="00EF4713" w:rsidRDefault="009A3B02" w:rsidP="0080187E">
      <w:pPr>
        <w:pStyle w:val="Text"/>
        <w:numPr>
          <w:ilvl w:val="0"/>
          <w:numId w:val="666"/>
        </w:numPr>
        <w:rPr>
          <w:rFonts w:eastAsia="Times New Roman" w:cs="Times New Roman"/>
          <w:bCs/>
          <w:color w:val="000000" w:themeColor="text1"/>
          <w:szCs w:val="24"/>
          <w:lang w:eastAsia="en-US"/>
        </w:rPr>
      </w:pPr>
      <w:r>
        <w:rPr>
          <w:rFonts w:eastAsia="Times New Roman" w:cs="Times New Roman"/>
          <w:bCs/>
          <w:color w:val="000000" w:themeColor="text1"/>
          <w:szCs w:val="24"/>
          <w:lang w:eastAsia="en-US"/>
        </w:rPr>
        <w:t>f</w:t>
      </w:r>
      <w:r w:rsidRPr="00EF4713">
        <w:rPr>
          <w:rFonts w:eastAsia="Times New Roman" w:cs="Times New Roman"/>
          <w:bCs/>
          <w:color w:val="000000" w:themeColor="text1"/>
          <w:szCs w:val="24"/>
          <w:lang w:eastAsia="en-US"/>
        </w:rPr>
        <w:t>or</w:t>
      </w:r>
      <w:r w:rsidRPr="004F74EA">
        <w:rPr>
          <w:rFonts w:eastAsia="Times New Roman" w:cs="Times New Roman"/>
          <w:bCs/>
          <w:szCs w:val="24"/>
          <w:lang w:eastAsia="en-US"/>
        </w:rPr>
        <w:t xml:space="preserve"> braced frame </w:t>
      </w:r>
      <w:r w:rsidRPr="0062443F">
        <w:rPr>
          <w:rFonts w:eastAsia="Times New Roman" w:cs="Times New Roman"/>
          <w:bCs/>
          <w:szCs w:val="24"/>
          <w:lang w:eastAsia="en-US"/>
        </w:rPr>
        <w:t>structures with carpentry connections and interacting masonry i</w:t>
      </w:r>
      <w:r w:rsidRPr="0062443F">
        <w:rPr>
          <w:rFonts w:eastAsia="Times New Roman" w:cs="Times New Roman"/>
          <w:bCs/>
          <w:color w:val="000000" w:themeColor="text1"/>
          <w:szCs w:val="24"/>
          <w:lang w:eastAsia="en-US"/>
        </w:rPr>
        <w:t>nfills, 7.4.2.1</w:t>
      </w:r>
      <w:r w:rsidRPr="00EF4713">
        <w:rPr>
          <w:rFonts w:eastAsia="Times New Roman" w:cs="Times New Roman"/>
          <w:bCs/>
          <w:color w:val="000000" w:themeColor="text1"/>
          <w:szCs w:val="24"/>
          <w:lang w:eastAsia="en-US"/>
        </w:rPr>
        <w:t xml:space="preserve"> should be applied</w:t>
      </w:r>
      <w:r>
        <w:rPr>
          <w:rFonts w:eastAsia="Times New Roman" w:cs="Times New Roman"/>
          <w:bCs/>
          <w:color w:val="000000" w:themeColor="text1"/>
          <w:szCs w:val="24"/>
          <w:lang w:eastAsia="en-US"/>
        </w:rPr>
        <w:t>;</w:t>
      </w:r>
    </w:p>
    <w:p w14:paraId="6C80AB17" w14:textId="77777777" w:rsidR="009A3B02" w:rsidRPr="00132C1E" w:rsidRDefault="009A3B02" w:rsidP="0080187E">
      <w:pPr>
        <w:pStyle w:val="Text"/>
        <w:numPr>
          <w:ilvl w:val="0"/>
          <w:numId w:val="666"/>
        </w:numPr>
      </w:pPr>
      <w:r w:rsidRPr="00132C1E">
        <w:rPr>
          <w:i/>
        </w:rPr>
        <w:t>d</w:t>
      </w:r>
      <w:r w:rsidRPr="00132C1E">
        <w:rPr>
          <w:vertAlign w:val="subscript"/>
        </w:rPr>
        <w:t>r,SD</w:t>
      </w:r>
      <w:r w:rsidRPr="00132C1E">
        <w:t xml:space="preserve"> ≤ 0,015 </w:t>
      </w:r>
      <w:r w:rsidRPr="00132C1E">
        <w:rPr>
          <w:i/>
        </w:rPr>
        <w:t>h</w:t>
      </w:r>
      <w:r w:rsidRPr="00132C1E">
        <w:rPr>
          <w:iCs/>
          <w:vertAlign w:val="subscript"/>
        </w:rPr>
        <w:t>s</w:t>
      </w:r>
      <w:r w:rsidRPr="00132C1E">
        <w:t xml:space="preserve"> for all other structural types;</w:t>
      </w:r>
    </w:p>
    <w:p w14:paraId="1F30875F" w14:textId="4632F40F" w:rsidR="009A3B02" w:rsidRDefault="00675EBA" w:rsidP="00416ACE">
      <w:pPr>
        <w:pStyle w:val="Text"/>
      </w:pPr>
      <w:r>
        <w:t>where</w:t>
      </w:r>
    </w:p>
    <w:tbl>
      <w:tblPr>
        <w:tblW w:w="0" w:type="auto"/>
        <w:tblInd w:w="346" w:type="dxa"/>
        <w:tblLook w:val="04A0" w:firstRow="1" w:lastRow="0" w:firstColumn="1" w:lastColumn="0" w:noHBand="0" w:noVBand="1"/>
      </w:tblPr>
      <w:tblGrid>
        <w:gridCol w:w="1275"/>
        <w:gridCol w:w="7938"/>
      </w:tblGrid>
      <w:tr w:rsidR="00416ACE" w:rsidRPr="001F7CA7" w14:paraId="0430291C" w14:textId="77777777" w:rsidTr="008217FC">
        <w:tc>
          <w:tcPr>
            <w:tcW w:w="1275" w:type="dxa"/>
          </w:tcPr>
          <w:p w14:paraId="77D0F622" w14:textId="18CBC6C1" w:rsidR="00416ACE" w:rsidRPr="001F7CA7" w:rsidRDefault="00416ACE" w:rsidP="002061E5">
            <w:pPr>
              <w:spacing w:after="60"/>
              <w:jc w:val="left"/>
              <w:rPr>
                <w:rFonts w:eastAsia="Times New Roman" w:cs="Cambria"/>
                <w:color w:val="000000" w:themeColor="text1"/>
                <w:szCs w:val="20"/>
                <w:lang w:eastAsia="fr-FR"/>
              </w:rPr>
            </w:pPr>
            <w:r w:rsidRPr="00132C1E">
              <w:rPr>
                <w:i/>
              </w:rPr>
              <w:t>d</w:t>
            </w:r>
            <w:r w:rsidRPr="00132C1E">
              <w:rPr>
                <w:vertAlign w:val="subscript"/>
              </w:rPr>
              <w:t>r,SD</w:t>
            </w:r>
          </w:p>
        </w:tc>
        <w:tc>
          <w:tcPr>
            <w:tcW w:w="7938" w:type="dxa"/>
          </w:tcPr>
          <w:p w14:paraId="267F7ECC" w14:textId="1EBACB36" w:rsidR="00416ACE" w:rsidRPr="001F7CA7" w:rsidRDefault="00416ACE" w:rsidP="002061E5">
            <w:pPr>
              <w:spacing w:after="60"/>
              <w:rPr>
                <w:rFonts w:eastAsia="Times New Roman" w:cs="Cambria"/>
                <w:color w:val="000000" w:themeColor="text1"/>
                <w:szCs w:val="20"/>
                <w:lang w:eastAsia="fr-FR"/>
              </w:rPr>
            </w:pPr>
            <w:r w:rsidRPr="00416ACE">
              <w:t>is as given in 6.2.</w:t>
            </w:r>
            <w:r w:rsidR="00B94E1F">
              <w:t>4</w:t>
            </w:r>
            <w:r w:rsidRPr="00416ACE">
              <w:t>;</w:t>
            </w:r>
          </w:p>
        </w:tc>
      </w:tr>
      <w:tr w:rsidR="00416ACE" w:rsidRPr="001F7CA7" w14:paraId="1C40156C" w14:textId="77777777" w:rsidTr="008217FC">
        <w:tc>
          <w:tcPr>
            <w:tcW w:w="1275" w:type="dxa"/>
          </w:tcPr>
          <w:p w14:paraId="46A5D836" w14:textId="3953AA37" w:rsidR="00416ACE" w:rsidRPr="001F7CA7" w:rsidRDefault="0062443F" w:rsidP="002061E5">
            <w:pPr>
              <w:spacing w:after="60"/>
              <w:jc w:val="left"/>
              <w:rPr>
                <w:rFonts w:eastAsia="Times New Roman" w:cs="Cambria"/>
                <w:color w:val="000000" w:themeColor="text1"/>
                <w:szCs w:val="20"/>
                <w:lang w:eastAsia="fr-FR"/>
              </w:rPr>
            </w:pPr>
            <w:r w:rsidRPr="00132C1E">
              <w:rPr>
                <w:i/>
              </w:rPr>
              <w:t>h</w:t>
            </w:r>
            <w:r w:rsidRPr="00132C1E">
              <w:rPr>
                <w:iCs/>
                <w:vertAlign w:val="subscript"/>
              </w:rPr>
              <w:t>s</w:t>
            </w:r>
          </w:p>
        </w:tc>
        <w:tc>
          <w:tcPr>
            <w:tcW w:w="7938" w:type="dxa"/>
          </w:tcPr>
          <w:p w14:paraId="63645C91" w14:textId="1E321666" w:rsidR="00416ACE" w:rsidRPr="001F7CA7" w:rsidRDefault="0062443F" w:rsidP="002061E5">
            <w:pPr>
              <w:spacing w:after="60"/>
              <w:rPr>
                <w:rFonts w:eastAsia="Times New Roman" w:cs="Cambria"/>
                <w:color w:val="000000" w:themeColor="text1"/>
                <w:szCs w:val="20"/>
                <w:lang w:eastAsia="fr-FR"/>
              </w:rPr>
            </w:pPr>
            <w:r w:rsidRPr="00132C1E">
              <w:t>is the interstorey height.</w:t>
            </w:r>
          </w:p>
        </w:tc>
      </w:tr>
    </w:tbl>
    <w:p w14:paraId="3E7099B5" w14:textId="249EDC33" w:rsidR="009A3B02" w:rsidRDefault="009A3B02" w:rsidP="009A3B02">
      <w:pPr>
        <w:pStyle w:val="Heading3"/>
      </w:pPr>
      <w:bookmarkStart w:id="10323" w:name="_Toc50150576"/>
      <w:bookmarkStart w:id="10324" w:name="_Toc70887008"/>
      <w:bookmarkStart w:id="10325" w:name="_Toc108342578"/>
      <w:bookmarkStart w:id="10326" w:name="_Toc134198100"/>
      <w:r w:rsidRPr="00132C1E">
        <w:t>Non-linear static analysis</w:t>
      </w:r>
      <w:bookmarkEnd w:id="10323"/>
      <w:bookmarkEnd w:id="10324"/>
      <w:bookmarkEnd w:id="10325"/>
      <w:bookmarkEnd w:id="10326"/>
    </w:p>
    <w:p w14:paraId="7D72463F" w14:textId="2EC01CE8" w:rsidR="004F74EA" w:rsidRPr="004F74EA" w:rsidRDefault="004F74EA" w:rsidP="0080187E">
      <w:pPr>
        <w:pStyle w:val="Clause"/>
        <w:numPr>
          <w:ilvl w:val="0"/>
          <w:numId w:val="456"/>
        </w:numPr>
      </w:pPr>
      <w:r w:rsidRPr="00CA205B">
        <w:t xml:space="preserve">Ductile components, modelled as non-linear, should be verified at Significant Damage Limit States by comparing the deformation (displacement or rotation) obtained by the analysis at the target displacement </w:t>
      </w:r>
      <w:r w:rsidRPr="00C71292">
        <w:rPr>
          <w:i/>
        </w:rPr>
        <w:t>d*</w:t>
      </w:r>
      <w:r w:rsidRPr="00C71292">
        <w:rPr>
          <w:vertAlign w:val="subscript"/>
        </w:rPr>
        <w:t>t</w:t>
      </w:r>
      <w:r w:rsidRPr="00CA205B">
        <w:t xml:space="preserve"> of the equivalent SDOF model in </w:t>
      </w:r>
      <w:r>
        <w:t>pr</w:t>
      </w:r>
      <w:r w:rsidR="00C30FF9">
        <w:t>EN 1</w:t>
      </w:r>
      <w:r>
        <w:t>998-1-1:2022</w:t>
      </w:r>
      <w:r w:rsidRPr="00CA205B">
        <w:t xml:space="preserve">, </w:t>
      </w:r>
      <w:r w:rsidRPr="00835C82">
        <w:t>6.5.4</w:t>
      </w:r>
      <w:r w:rsidRPr="00CA205B">
        <w:t xml:space="preserve">, with the design deformation </w:t>
      </w:r>
      <w:r w:rsidRPr="00C71292">
        <w:rPr>
          <w:i/>
        </w:rPr>
        <w:t>d</w:t>
      </w:r>
      <w:r w:rsidRPr="00C71292">
        <w:rPr>
          <w:vertAlign w:val="subscript"/>
        </w:rPr>
        <w:t>d</w:t>
      </w:r>
      <w:r w:rsidRPr="00CA205B">
        <w:t xml:space="preserve"> obtained at Significant Damage Limit States in accordance with </w:t>
      </w:r>
      <w:r w:rsidRPr="00835C82">
        <w:t>13.5(12)</w:t>
      </w:r>
      <w:r w:rsidRPr="00CA205B">
        <w:t xml:space="preserve"> and </w:t>
      </w:r>
      <w:r w:rsidRPr="00835C82">
        <w:t>13.5(13).</w:t>
      </w:r>
    </w:p>
    <w:p w14:paraId="36B9E65B" w14:textId="2485A8F5" w:rsidR="009A3B02" w:rsidRPr="00132C1E" w:rsidRDefault="009A3B02" w:rsidP="00724E4E">
      <w:pPr>
        <w:pStyle w:val="Clause"/>
      </w:pPr>
      <w:r w:rsidRPr="005D16C3">
        <w:t>Brittle components modelled as elastic should be verified at Significant Damage Limit States by comparing the general</w:t>
      </w:r>
      <w:r w:rsidR="00E10A24">
        <w:t>ize</w:t>
      </w:r>
      <w:r w:rsidRPr="005D16C3">
        <w:t xml:space="preserve">d stresses corresponding to the target displacement </w:t>
      </w:r>
      <w:r w:rsidRPr="00DB7B73">
        <w:rPr>
          <w:i/>
          <w:sz w:val="24"/>
        </w:rPr>
        <w:t>d*</w:t>
      </w:r>
      <w:r w:rsidRPr="00DB7B73">
        <w:rPr>
          <w:sz w:val="24"/>
          <w:vertAlign w:val="subscript"/>
        </w:rPr>
        <w:t>t</w:t>
      </w:r>
      <w:r w:rsidRPr="005D16C3">
        <w:t xml:space="preserve"> of the equivalent SDOF model in </w:t>
      </w:r>
      <w:r>
        <w:t>pr</w:t>
      </w:r>
      <w:r w:rsidR="00C30FF9">
        <w:t>EN 1</w:t>
      </w:r>
      <w:r>
        <w:t>998-1-1:2022</w:t>
      </w:r>
      <w:r w:rsidRPr="005D16C3">
        <w:t xml:space="preserve">, </w:t>
      </w:r>
      <w:r w:rsidRPr="00835C82">
        <w:rPr>
          <w:sz w:val="24"/>
        </w:rPr>
        <w:t>6.5.4</w:t>
      </w:r>
      <w:r w:rsidRPr="005D16C3">
        <w:t xml:space="preserve">, with the design resistance defined in </w:t>
      </w:r>
      <w:r w:rsidRPr="00F66603">
        <w:t>Annex L</w:t>
      </w:r>
      <w:r w:rsidRPr="005D16C3">
        <w:t xml:space="preserve">, </w:t>
      </w:r>
      <w:r w:rsidRPr="00835C82">
        <w:rPr>
          <w:sz w:val="24"/>
        </w:rPr>
        <w:t>L.4(1)</w:t>
      </w:r>
      <w:r w:rsidRPr="005D16C3">
        <w:t>, Formula</w:t>
      </w:r>
      <w:r w:rsidR="008217FC">
        <w:t> </w:t>
      </w:r>
      <w:r w:rsidRPr="005D16C3">
        <w:t xml:space="preserve">(L.10), in accordance with </w:t>
      </w:r>
      <w:r>
        <w:t>pr</w:t>
      </w:r>
      <w:r w:rsidR="00C30FF9">
        <w:t>EN 1</w:t>
      </w:r>
      <w:r>
        <w:t>998-1-1:2022</w:t>
      </w:r>
      <w:r w:rsidRPr="005D16C3">
        <w:t xml:space="preserve">, </w:t>
      </w:r>
      <w:r w:rsidRPr="00835C82">
        <w:rPr>
          <w:sz w:val="24"/>
        </w:rPr>
        <w:t>6.7.2(3)</w:t>
      </w:r>
      <w:r w:rsidRPr="00132C1E">
        <w:t>.</w:t>
      </w:r>
    </w:p>
    <w:p w14:paraId="14C70701" w14:textId="00BA4EA2" w:rsidR="009A3B02" w:rsidRPr="00132C1E" w:rsidRDefault="009A3B02" w:rsidP="009A3B02">
      <w:pPr>
        <w:pStyle w:val="Heading2"/>
      </w:pPr>
      <w:bookmarkStart w:id="10327" w:name="_Toc2160622"/>
      <w:bookmarkStart w:id="10328" w:name="_Toc17491744"/>
      <w:bookmarkStart w:id="10329" w:name="_Toc50150577"/>
      <w:bookmarkStart w:id="10330" w:name="_Toc70887009"/>
      <w:bookmarkStart w:id="10331" w:name="_Toc108342579"/>
      <w:bookmarkStart w:id="10332" w:name="_Toc134198101"/>
      <w:r w:rsidRPr="00132C1E">
        <w:lastRenderedPageBreak/>
        <w:t>Rules for cross laminated timber</w:t>
      </w:r>
      <w:r>
        <w:t xml:space="preserve"> (</w:t>
      </w:r>
      <w:r w:rsidRPr="004F74EA">
        <w:t>CLT)</w:t>
      </w:r>
      <w:r w:rsidRPr="00132C1E">
        <w:t xml:space="preserve"> structures</w:t>
      </w:r>
      <w:bookmarkEnd w:id="10327"/>
      <w:bookmarkEnd w:id="10328"/>
      <w:bookmarkEnd w:id="10329"/>
      <w:bookmarkEnd w:id="10330"/>
      <w:bookmarkEnd w:id="10331"/>
      <w:bookmarkEnd w:id="10332"/>
    </w:p>
    <w:p w14:paraId="32647D6B" w14:textId="77777777" w:rsidR="009A3B02" w:rsidRPr="00132C1E" w:rsidRDefault="009A3B02" w:rsidP="009A3B02">
      <w:pPr>
        <w:pStyle w:val="Heading3"/>
      </w:pPr>
      <w:bookmarkStart w:id="10333" w:name="_Toc520573566"/>
      <w:bookmarkStart w:id="10334" w:name="_Toc2160623"/>
      <w:bookmarkStart w:id="10335" w:name="_Toc17491745"/>
      <w:bookmarkStart w:id="10336" w:name="_Toc50150578"/>
      <w:bookmarkStart w:id="10337" w:name="_Toc70887010"/>
      <w:bookmarkStart w:id="10338" w:name="_Toc108342580"/>
      <w:bookmarkStart w:id="10339" w:name="_Toc134198102"/>
      <w:r w:rsidRPr="00132C1E">
        <w:t>General rules</w:t>
      </w:r>
      <w:bookmarkEnd w:id="10333"/>
      <w:bookmarkEnd w:id="10334"/>
      <w:bookmarkEnd w:id="10335"/>
      <w:bookmarkEnd w:id="10336"/>
      <w:bookmarkEnd w:id="10337"/>
      <w:bookmarkEnd w:id="10338"/>
      <w:bookmarkEnd w:id="10339"/>
    </w:p>
    <w:p w14:paraId="542C335C" w14:textId="2007B340" w:rsidR="009A3B02" w:rsidRPr="00132C1E" w:rsidRDefault="009A3B02" w:rsidP="0080187E">
      <w:pPr>
        <w:pStyle w:val="Clause"/>
        <w:numPr>
          <w:ilvl w:val="0"/>
          <w:numId w:val="457"/>
        </w:numPr>
      </w:pPr>
      <w:r w:rsidRPr="00132C1E">
        <w:t xml:space="preserve">The primary </w:t>
      </w:r>
      <w:r w:rsidRPr="00763938">
        <w:t xml:space="preserve">structure should be made of CLT panels according to </w:t>
      </w:r>
      <w:r w:rsidRPr="00835C82">
        <w:t>13.3.2(1)</w:t>
      </w:r>
      <w:r w:rsidRPr="00763938">
        <w:t xml:space="preserve">. Glulam, LVL or GLVL as defined in </w:t>
      </w:r>
      <w:r w:rsidRPr="00835C82">
        <w:t>13.3.2(2)</w:t>
      </w:r>
      <w:r w:rsidRPr="00763938">
        <w:t xml:space="preserve"> may be used in DC1 and DC2 design provided that the seismicity index </w:t>
      </w:r>
      <w:r w:rsidRPr="00C71292">
        <w:rPr>
          <w:i/>
          <w:iCs/>
        </w:rPr>
        <w:t>S</w:t>
      </w:r>
      <w:r w:rsidRPr="00763938">
        <w:rPr>
          <w:rFonts w:ascii="Symbol" w:eastAsia="Symbol" w:hAnsi="Symbol" w:cs="Symbol"/>
          <w:vertAlign w:val="subscript"/>
        </w:rPr>
        <w:t></w:t>
      </w:r>
      <w:r w:rsidRPr="00763938">
        <w:t xml:space="preserve"> is not greater than 4,0 m/s</w:t>
      </w:r>
      <w:r w:rsidRPr="00C71292">
        <w:rPr>
          <w:vertAlign w:val="superscript"/>
        </w:rPr>
        <w:t>2</w:t>
      </w:r>
      <w:r w:rsidRPr="00132C1E">
        <w:t>.</w:t>
      </w:r>
    </w:p>
    <w:p w14:paraId="3EBB20D2" w14:textId="4132B25E" w:rsidR="009A3B02" w:rsidRPr="00132C1E" w:rsidRDefault="009A3B02" w:rsidP="00724E4E">
      <w:pPr>
        <w:pStyle w:val="Clause"/>
      </w:pPr>
      <w:r w:rsidRPr="00132C1E">
        <w:t xml:space="preserve">The secondary structure should be made of either </w:t>
      </w:r>
      <w:r w:rsidRPr="00763938">
        <w:t>CLT panel</w:t>
      </w:r>
      <w:r w:rsidRPr="00132C1E">
        <w:t xml:space="preserve">s, or other types of solid wood panels as defined in </w:t>
      </w:r>
      <w:r w:rsidRPr="00835C82">
        <w:t>13.3.2(2)</w:t>
      </w:r>
      <w:r w:rsidRPr="00132C1E">
        <w:t>.</w:t>
      </w:r>
      <w:r w:rsidRPr="00132C1E">
        <w:rPr>
          <w:rFonts w:ascii="Segoe UI" w:hAnsi="Segoe UI" w:cs="Segoe UI"/>
          <w:color w:val="000000"/>
          <w:sz w:val="21"/>
          <w:szCs w:val="21"/>
          <w:shd w:val="clear" w:color="auto" w:fill="FDFCFA"/>
        </w:rPr>
        <w:t xml:space="preserve"> </w:t>
      </w:r>
      <w:r w:rsidRPr="00132C1E">
        <w:t>Post-and-beam members may also be used.</w:t>
      </w:r>
    </w:p>
    <w:p w14:paraId="2BE6EE4F" w14:textId="62745B8A" w:rsidR="009A3B02" w:rsidRDefault="009A3B02" w:rsidP="00724E4E">
      <w:pPr>
        <w:pStyle w:val="Clause"/>
      </w:pPr>
      <w:r w:rsidRPr="00132C1E">
        <w:t xml:space="preserve">The joint of the walls to the foundation should comply with conditions a) to </w:t>
      </w:r>
      <w:r w:rsidR="00601D24">
        <w:t>f</w:t>
      </w:r>
      <w:r w:rsidRPr="00132C1E">
        <w:t>):</w:t>
      </w:r>
    </w:p>
    <w:p w14:paraId="55511441" w14:textId="6CD0CFD0" w:rsidR="009A3B02" w:rsidRPr="00132C1E" w:rsidRDefault="009A3B02" w:rsidP="0080187E">
      <w:pPr>
        <w:pStyle w:val="Text"/>
        <w:numPr>
          <w:ilvl w:val="0"/>
          <w:numId w:val="667"/>
        </w:numPr>
      </w:pPr>
      <w:r w:rsidRPr="00132C1E">
        <w:t>It should be made by means of 2D- or 3D</w:t>
      </w:r>
      <w:r w:rsidRPr="00763938">
        <w:t>-connectors (e.g. hold</w:t>
      </w:r>
      <w:r w:rsidRPr="00132C1E">
        <w:t>-downs, foundation tie-downs, angle brackets, shear plates) and metal fasteners (e.g. anchoring bolts, nails and screws, etc.)</w:t>
      </w:r>
      <w:r w:rsidR="0062443F">
        <w:t>;</w:t>
      </w:r>
    </w:p>
    <w:p w14:paraId="2282ED5D" w14:textId="29F58D52" w:rsidR="009A3B02" w:rsidRPr="00132C1E" w:rsidRDefault="009A3B02" w:rsidP="0080187E">
      <w:pPr>
        <w:pStyle w:val="Text"/>
        <w:numPr>
          <w:ilvl w:val="0"/>
          <w:numId w:val="667"/>
        </w:numPr>
      </w:pPr>
      <w:r w:rsidRPr="00132C1E">
        <w:t>It should prevent uplift and sliding of the walls</w:t>
      </w:r>
      <w:r w:rsidR="0062443F">
        <w:t>;</w:t>
      </w:r>
    </w:p>
    <w:p w14:paraId="13D8C3E8" w14:textId="193E421E" w:rsidR="009A3B02" w:rsidRPr="00132C1E" w:rsidRDefault="009A3B02" w:rsidP="0080187E">
      <w:pPr>
        <w:pStyle w:val="Text"/>
        <w:numPr>
          <w:ilvl w:val="0"/>
          <w:numId w:val="667"/>
        </w:numPr>
      </w:pPr>
      <w:r w:rsidRPr="00763938">
        <w:t>Anchoring connections against overturning (hold</w:t>
      </w:r>
      <w:r w:rsidRPr="00132C1E">
        <w:t>-downs or foundation tie-downs) should be placed at wall ends, adjacent to door openings in wall panels, and at opening ends either: when the wall is made by separate panel elements (i.e. wall segments connected with lintels and parapets), or when the ratio between the area of the window opening and the area of the wall panel exceeds 0,50</w:t>
      </w:r>
      <w:r w:rsidR="0062443F">
        <w:t>;</w:t>
      </w:r>
    </w:p>
    <w:p w14:paraId="7DE05AD1" w14:textId="0905D490" w:rsidR="009A3B02" w:rsidRPr="00132C1E" w:rsidRDefault="009A3B02" w:rsidP="0080187E">
      <w:pPr>
        <w:pStyle w:val="Text"/>
        <w:numPr>
          <w:ilvl w:val="0"/>
          <w:numId w:val="667"/>
        </w:numPr>
      </w:pPr>
      <w:r w:rsidRPr="00132C1E">
        <w:t>Shear connection (shear plates, angle brackets, anchoring bolts, nails and screws, etc.) should be distributed uniformly along the wall width (Figure 13.3)</w:t>
      </w:r>
      <w:r w:rsidR="0062443F">
        <w:t>;</w:t>
      </w:r>
    </w:p>
    <w:p w14:paraId="1D45A7AC" w14:textId="1BFE3908" w:rsidR="00601D24" w:rsidRPr="00601D24" w:rsidRDefault="009A3B02" w:rsidP="0080187E">
      <w:pPr>
        <w:pStyle w:val="Text"/>
        <w:numPr>
          <w:ilvl w:val="0"/>
          <w:numId w:val="667"/>
        </w:numPr>
      </w:pPr>
      <w:r w:rsidRPr="00763938">
        <w:t xml:space="preserve">Shear connections and anchoring connections against overturning should be connected to the CLT </w:t>
      </w:r>
      <w:r w:rsidRPr="00132C1E">
        <w:t>panels using metal fasteners such as nails and screws, and to the foundation using anchor bolts</w:t>
      </w:r>
      <w:r w:rsidR="0062443F">
        <w:t>;</w:t>
      </w:r>
    </w:p>
    <w:p w14:paraId="57A0672B" w14:textId="14CF4200" w:rsidR="00601D24" w:rsidRDefault="00601D24" w:rsidP="0080187E">
      <w:pPr>
        <w:pStyle w:val="Text"/>
        <w:numPr>
          <w:ilvl w:val="0"/>
          <w:numId w:val="667"/>
        </w:numPr>
      </w:pPr>
      <w:r w:rsidRPr="00601D24">
        <w:t xml:space="preserve">Fastening to foundation should comply with </w:t>
      </w:r>
      <w:r w:rsidR="006E3FD9">
        <w:t>pr</w:t>
      </w:r>
      <w:r w:rsidRPr="00601D24">
        <w:t>EN</w:t>
      </w:r>
      <w:r w:rsidR="0062443F">
        <w:t> </w:t>
      </w:r>
      <w:r w:rsidRPr="00601D24">
        <w:t>1998-1-1</w:t>
      </w:r>
      <w:r w:rsidR="006E3FD9">
        <w:t>:2022</w:t>
      </w:r>
      <w:r w:rsidRPr="00601D24">
        <w:t>, Annex G</w:t>
      </w:r>
      <w:r>
        <w:t>.</w:t>
      </w:r>
    </w:p>
    <w:p w14:paraId="76458136" w14:textId="5404AF44" w:rsidR="00763938" w:rsidRDefault="00763938" w:rsidP="00724E4E">
      <w:pPr>
        <w:pStyle w:val="Clause"/>
      </w:pPr>
      <w:r w:rsidRPr="00132C1E">
        <w:t xml:space="preserve">The upper walls should bear on the floor panels (platform frame construction – see </w:t>
      </w:r>
      <w:r w:rsidRPr="00835C82">
        <w:t>3.1.20</w:t>
      </w:r>
      <w:r w:rsidRPr="00132C1E">
        <w:t>) and be connected to the lower walls with 2D- and 3D</w:t>
      </w:r>
      <w:r>
        <w:t>-</w:t>
      </w:r>
      <w:r w:rsidRPr="00763938">
        <w:t xml:space="preserve">connectors </w:t>
      </w:r>
      <w:r w:rsidRPr="00132C1E">
        <w:t xml:space="preserve">among those in </w:t>
      </w:r>
      <w:r w:rsidRPr="00835C82">
        <w:t>(3)</w:t>
      </w:r>
      <w:r w:rsidRPr="00132C1E">
        <w:t>. Tie-down connections nailed or screwed to the cross laminated timber walls may be used to restrain the external walls against uplift (Figure 13.3</w:t>
      </w:r>
      <w:r>
        <w:t>).</w:t>
      </w:r>
    </w:p>
    <w:p w14:paraId="185E1FB6" w14:textId="20B789E4" w:rsidR="00763938" w:rsidRDefault="00763938" w:rsidP="00724E4E">
      <w:pPr>
        <w:pStyle w:val="Clause"/>
      </w:pPr>
      <w:r w:rsidRPr="00763938">
        <w:t xml:space="preserve">Wall panels should have heights at least equal to the interstorey height, </w:t>
      </w:r>
      <w:r w:rsidRPr="00763938">
        <w:rPr>
          <w:i/>
          <w:iCs/>
        </w:rPr>
        <w:t>h</w:t>
      </w:r>
      <w:r w:rsidRPr="00763938">
        <w:rPr>
          <w:i/>
          <w:iCs/>
          <w:vertAlign w:val="subscript"/>
        </w:rPr>
        <w:t>s</w:t>
      </w:r>
      <w:r w:rsidRPr="00763938">
        <w:t>. Along their width, they should be either made of a single element (‘monolithic wall’, Figure 13.3(a)) or composed of more than one panel, which should measure in width not less than 0,25</w:t>
      </w:r>
      <w:r w:rsidRPr="00763938">
        <w:rPr>
          <w:i/>
          <w:iCs/>
        </w:rPr>
        <w:t>h</w:t>
      </w:r>
      <w:r w:rsidRPr="00763938">
        <w:rPr>
          <w:i/>
          <w:iCs/>
          <w:vertAlign w:val="subscript"/>
        </w:rPr>
        <w:t>s</w:t>
      </w:r>
      <w:r w:rsidRPr="00763938">
        <w:t>. Each of these panels should be connected to the other panels by means of vertical joints made with metal fasteners such as screws or nails ('segmented wall', Figure 13.3(b)). The vertical joints between adjacent panels may be omitted ('single uncoupled walls') provided that all conditions a) to c) are satisfied:</w:t>
      </w:r>
    </w:p>
    <w:p w14:paraId="26D28562" w14:textId="5A5EFD6E" w:rsidR="009A3B02" w:rsidRPr="004D47AC" w:rsidRDefault="009A3B02" w:rsidP="0080187E">
      <w:pPr>
        <w:pStyle w:val="Text"/>
        <w:numPr>
          <w:ilvl w:val="0"/>
          <w:numId w:val="668"/>
        </w:numPr>
      </w:pPr>
      <w:r w:rsidRPr="004D47AC">
        <w:t>the structure is not designed in DC3;</w:t>
      </w:r>
    </w:p>
    <w:p w14:paraId="7553BABE" w14:textId="0617F03F" w:rsidR="009A3B02" w:rsidRDefault="009A3B02" w:rsidP="0080187E">
      <w:pPr>
        <w:pStyle w:val="Text"/>
        <w:numPr>
          <w:ilvl w:val="0"/>
          <w:numId w:val="668"/>
        </w:numPr>
      </w:pPr>
      <w:r w:rsidRPr="00D71343">
        <w:t>the width of each panel is not less than 0,</w:t>
      </w:r>
      <w:r>
        <w:t>4</w:t>
      </w:r>
      <w:r w:rsidRPr="00D71343">
        <w:t>0</w:t>
      </w:r>
      <w:r w:rsidRPr="00D71343">
        <w:rPr>
          <w:i/>
          <w:iCs/>
        </w:rPr>
        <w:t>h</w:t>
      </w:r>
      <w:r w:rsidRPr="00D71343">
        <w:rPr>
          <w:vertAlign w:val="subscript"/>
        </w:rPr>
        <w:t>s</w:t>
      </w:r>
      <w:r w:rsidR="0062443F">
        <w:t xml:space="preserve"> </w:t>
      </w:r>
      <w:r>
        <w:t xml:space="preserve">for glulam, LVL and GLVL, and </w:t>
      </w:r>
      <w:r w:rsidRPr="00D71343">
        <w:t>0,</w:t>
      </w:r>
      <w:r>
        <w:t>2</w:t>
      </w:r>
      <w:r w:rsidRPr="00D71343">
        <w:t>5</w:t>
      </w:r>
      <w:r w:rsidRPr="00D71343">
        <w:rPr>
          <w:i/>
          <w:iCs/>
        </w:rPr>
        <w:t>h</w:t>
      </w:r>
      <w:r w:rsidRPr="00D71343">
        <w:rPr>
          <w:vertAlign w:val="subscript"/>
        </w:rPr>
        <w:t>s</w:t>
      </w:r>
      <w:r w:rsidR="0062443F">
        <w:t xml:space="preserve"> </w:t>
      </w:r>
      <w:r>
        <w:t>for CLT;</w:t>
      </w:r>
    </w:p>
    <w:p w14:paraId="2830096E" w14:textId="1AE0269E" w:rsidR="009A3B02" w:rsidRDefault="009A3B02" w:rsidP="0080187E">
      <w:pPr>
        <w:pStyle w:val="Text"/>
        <w:numPr>
          <w:ilvl w:val="0"/>
          <w:numId w:val="668"/>
        </w:numPr>
      </w:pPr>
      <w:r>
        <w:t xml:space="preserve">anchoring </w:t>
      </w:r>
      <w:r w:rsidRPr="007B2C1D">
        <w:t xml:space="preserve">connections </w:t>
      </w:r>
      <w:r>
        <w:t>against overturning caused by the seismic action are placed</w:t>
      </w:r>
      <w:r w:rsidRPr="00D71343">
        <w:t xml:space="preserve"> at both edges of each single panel</w:t>
      </w:r>
      <w:r>
        <w:t>.</w:t>
      </w:r>
    </w:p>
    <w:p w14:paraId="55E684EB" w14:textId="26350B59" w:rsidR="009A3B02" w:rsidRDefault="00763938" w:rsidP="00724E4E">
      <w:pPr>
        <w:pStyle w:val="Clause"/>
      </w:pPr>
      <w:r w:rsidRPr="002144A0">
        <w:t>The joints between orthogonal walls should be made with metal fasteners (usually screws)</w:t>
      </w:r>
      <w:r w:rsidR="009A3B02" w:rsidRPr="00132C1E">
        <w:t>.</w:t>
      </w:r>
    </w:p>
    <w:p w14:paraId="3FCFA8C2" w14:textId="5C011DA3" w:rsidR="009A3B02" w:rsidRPr="004F25D7" w:rsidRDefault="009A3B02" w:rsidP="00724E4E">
      <w:pPr>
        <w:pStyle w:val="Clause"/>
      </w:pPr>
      <w:r w:rsidRPr="002144A0">
        <w:t xml:space="preserve">Floor and roof diaphragms should be made of </w:t>
      </w:r>
      <w:r w:rsidRPr="00763938">
        <w:t>CLT acc</w:t>
      </w:r>
      <w:r w:rsidRPr="002144A0">
        <w:t xml:space="preserve">ording to </w:t>
      </w:r>
      <w:r w:rsidRPr="00835C82">
        <w:t>13.15.2</w:t>
      </w:r>
      <w:r w:rsidRPr="002144A0">
        <w:t>.</w:t>
      </w:r>
    </w:p>
    <w:p w14:paraId="1C89EE66" w14:textId="31DADAEB" w:rsidR="009A3B02" w:rsidRDefault="009A3B02" w:rsidP="00724E4E">
      <w:pPr>
        <w:pStyle w:val="Clause"/>
      </w:pPr>
      <w:r w:rsidRPr="00C52095">
        <w:t xml:space="preserve">Other types of floor and roof diaphragms than in </w:t>
      </w:r>
      <w:r w:rsidRPr="00835C82">
        <w:t>(8)</w:t>
      </w:r>
      <w:r w:rsidRPr="00C52095">
        <w:t xml:space="preserve"> may be used, provided that their in-plane resistance and stiffness is ensured (e.g. </w:t>
      </w:r>
      <w:r w:rsidRPr="00835C82">
        <w:t>13.15.3</w:t>
      </w:r>
      <w:r w:rsidRPr="007754C9">
        <w:t xml:space="preserve"> or </w:t>
      </w:r>
      <w:r w:rsidRPr="00835C82">
        <w:t>13.15.4</w:t>
      </w:r>
      <w:r w:rsidRPr="007754C9">
        <w:t>).</w:t>
      </w:r>
    </w:p>
    <w:p w14:paraId="728B8350" w14:textId="45FB9D4D" w:rsidR="009A3B02" w:rsidRPr="00132C1E" w:rsidRDefault="00CA74B8" w:rsidP="00CA74B8">
      <w:pPr>
        <w:pStyle w:val="FigureImage"/>
      </w:pPr>
      <w:r>
        <w:rPr>
          <w:noProof/>
        </w:rPr>
        <w:lastRenderedPageBreak/>
        <w:drawing>
          <wp:inline distT="0" distB="0" distL="0" distR="0" wp14:anchorId="60CE5F9F" wp14:editId="2A30B7FA">
            <wp:extent cx="5760729" cy="3749046"/>
            <wp:effectExtent l="0" t="0" r="0" b="3810"/>
            <wp:docPr id="1661690642" name="0047.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1690642" name="0047.tiff"/>
                    <pic:cNvPicPr/>
                  </pic:nvPicPr>
                  <pic:blipFill>
                    <a:blip r:link="rId72"/>
                    <a:stretch>
                      <a:fillRect/>
                    </a:stretch>
                  </pic:blipFill>
                  <pic:spPr>
                    <a:xfrm>
                      <a:off x="0" y="0"/>
                      <a:ext cx="5760729" cy="3749046"/>
                    </a:xfrm>
                    <a:prstGeom prst="rect">
                      <a:avLst/>
                    </a:prstGeom>
                  </pic:spPr>
                </pic:pic>
              </a:graphicData>
            </a:graphic>
          </wp:inline>
        </w:drawing>
      </w:r>
    </w:p>
    <w:p w14:paraId="6D39801B" w14:textId="77777777" w:rsidR="009A3B02" w:rsidRPr="00D1484A" w:rsidRDefault="009A3B02" w:rsidP="00CA74B8">
      <w:pPr>
        <w:pStyle w:val="KeyTitle"/>
      </w:pPr>
      <w:r w:rsidRPr="00D1484A">
        <w:t>Key</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9"/>
        <w:gridCol w:w="6274"/>
      </w:tblGrid>
      <w:tr w:rsidR="009A3B02" w:rsidRPr="009B221D" w14:paraId="3D8DAE09" w14:textId="77777777" w:rsidTr="008217FC">
        <w:tc>
          <w:tcPr>
            <w:tcW w:w="389" w:type="dxa"/>
          </w:tcPr>
          <w:p w14:paraId="51F48950" w14:textId="77777777" w:rsidR="009A3B02" w:rsidRPr="008618F2" w:rsidRDefault="009A3B02" w:rsidP="008618F2">
            <w:pPr>
              <w:pStyle w:val="KeyText"/>
              <w:spacing w:before="0"/>
              <w:rPr>
                <w:iCs/>
              </w:rPr>
            </w:pPr>
            <w:r w:rsidRPr="008618F2">
              <w:rPr>
                <w:iCs/>
              </w:rPr>
              <w:t>A</w:t>
            </w:r>
          </w:p>
        </w:tc>
        <w:tc>
          <w:tcPr>
            <w:tcW w:w="6274" w:type="dxa"/>
          </w:tcPr>
          <w:p w14:paraId="2D44A57E" w14:textId="2FBA7F22" w:rsidR="009A3B02" w:rsidRPr="008618F2" w:rsidRDefault="00CA74B8" w:rsidP="008618F2">
            <w:pPr>
              <w:pStyle w:val="KeyText"/>
              <w:spacing w:before="0"/>
            </w:pPr>
            <w:r w:rsidRPr="008618F2">
              <w:t>h</w:t>
            </w:r>
            <w:r w:rsidR="009A3B02" w:rsidRPr="008618F2">
              <w:t>orizontal joint between CLT floor panels</w:t>
            </w:r>
          </w:p>
        </w:tc>
      </w:tr>
      <w:tr w:rsidR="009A3B02" w:rsidRPr="00F66DBC" w14:paraId="18DD3686" w14:textId="77777777" w:rsidTr="008217FC">
        <w:tc>
          <w:tcPr>
            <w:tcW w:w="389" w:type="dxa"/>
          </w:tcPr>
          <w:p w14:paraId="7F5A723F" w14:textId="77777777" w:rsidR="009A3B02" w:rsidRPr="008618F2" w:rsidRDefault="009A3B02" w:rsidP="008618F2">
            <w:pPr>
              <w:pStyle w:val="KeyText"/>
              <w:spacing w:before="0"/>
              <w:rPr>
                <w:iCs/>
              </w:rPr>
            </w:pPr>
            <w:r w:rsidRPr="008618F2">
              <w:rPr>
                <w:iCs/>
              </w:rPr>
              <w:t>B</w:t>
            </w:r>
          </w:p>
        </w:tc>
        <w:tc>
          <w:tcPr>
            <w:tcW w:w="6274" w:type="dxa"/>
          </w:tcPr>
          <w:p w14:paraId="4BDDD911" w14:textId="20ABFC18" w:rsidR="009A3B02" w:rsidRPr="008618F2" w:rsidRDefault="009A3B02" w:rsidP="008618F2">
            <w:pPr>
              <w:pStyle w:val="KeyText"/>
              <w:spacing w:before="0"/>
            </w:pPr>
            <w:r w:rsidRPr="008618F2">
              <w:t>CLT floor panel</w:t>
            </w:r>
          </w:p>
        </w:tc>
      </w:tr>
      <w:tr w:rsidR="009A3B02" w:rsidRPr="009B221D" w14:paraId="3703B697" w14:textId="77777777" w:rsidTr="008217FC">
        <w:tc>
          <w:tcPr>
            <w:tcW w:w="389" w:type="dxa"/>
          </w:tcPr>
          <w:p w14:paraId="798161E2" w14:textId="77777777" w:rsidR="009A3B02" w:rsidRPr="008618F2" w:rsidRDefault="009A3B02" w:rsidP="008618F2">
            <w:pPr>
              <w:pStyle w:val="KeyText"/>
              <w:spacing w:before="0"/>
              <w:rPr>
                <w:iCs/>
              </w:rPr>
            </w:pPr>
            <w:r w:rsidRPr="008618F2">
              <w:rPr>
                <w:iCs/>
              </w:rPr>
              <w:t>C</w:t>
            </w:r>
          </w:p>
        </w:tc>
        <w:tc>
          <w:tcPr>
            <w:tcW w:w="6274" w:type="dxa"/>
          </w:tcPr>
          <w:p w14:paraId="73950592" w14:textId="5C9DF9A1" w:rsidR="009A3B02" w:rsidRPr="008618F2" w:rsidRDefault="00CA74B8" w:rsidP="008618F2">
            <w:pPr>
              <w:pStyle w:val="KeyText"/>
              <w:spacing w:before="0"/>
            </w:pPr>
            <w:r w:rsidRPr="008618F2">
              <w:t>s</w:t>
            </w:r>
            <w:r w:rsidR="009A3B02" w:rsidRPr="008618F2">
              <w:t>ingle piece CLT wall panel</w:t>
            </w:r>
          </w:p>
        </w:tc>
      </w:tr>
      <w:tr w:rsidR="009A3B02" w:rsidRPr="00132C1E" w14:paraId="4B2ABC76" w14:textId="77777777" w:rsidTr="008217FC">
        <w:tc>
          <w:tcPr>
            <w:tcW w:w="389" w:type="dxa"/>
          </w:tcPr>
          <w:p w14:paraId="24807EC5" w14:textId="77777777" w:rsidR="009A3B02" w:rsidRPr="008618F2" w:rsidRDefault="009A3B02" w:rsidP="008618F2">
            <w:pPr>
              <w:pStyle w:val="KeyText"/>
              <w:spacing w:before="0"/>
              <w:rPr>
                <w:iCs/>
              </w:rPr>
            </w:pPr>
            <w:r w:rsidRPr="008618F2">
              <w:rPr>
                <w:iCs/>
              </w:rPr>
              <w:t>D</w:t>
            </w:r>
          </w:p>
        </w:tc>
        <w:tc>
          <w:tcPr>
            <w:tcW w:w="6274" w:type="dxa"/>
          </w:tcPr>
          <w:p w14:paraId="708C2314" w14:textId="70C89356" w:rsidR="009A3B02" w:rsidRPr="008618F2" w:rsidRDefault="00CA74B8" w:rsidP="008618F2">
            <w:pPr>
              <w:pStyle w:val="KeyText"/>
              <w:spacing w:before="0"/>
            </w:pPr>
            <w:r w:rsidRPr="008618F2">
              <w:t>t</w:t>
            </w:r>
            <w:r w:rsidR="009A3B02" w:rsidRPr="008618F2">
              <w:t>ie-down</w:t>
            </w:r>
          </w:p>
        </w:tc>
      </w:tr>
      <w:tr w:rsidR="009A3B02" w:rsidRPr="00132C1E" w14:paraId="2798060F" w14:textId="77777777" w:rsidTr="008217FC">
        <w:tc>
          <w:tcPr>
            <w:tcW w:w="389" w:type="dxa"/>
          </w:tcPr>
          <w:p w14:paraId="418CE0FF" w14:textId="77777777" w:rsidR="009A3B02" w:rsidRPr="008618F2" w:rsidRDefault="009A3B02" w:rsidP="008618F2">
            <w:pPr>
              <w:pStyle w:val="KeyText"/>
              <w:spacing w:before="0"/>
              <w:rPr>
                <w:iCs/>
              </w:rPr>
            </w:pPr>
            <w:r w:rsidRPr="008618F2">
              <w:rPr>
                <w:iCs/>
              </w:rPr>
              <w:t>E</w:t>
            </w:r>
          </w:p>
        </w:tc>
        <w:tc>
          <w:tcPr>
            <w:tcW w:w="6274" w:type="dxa"/>
          </w:tcPr>
          <w:p w14:paraId="54A06037" w14:textId="6EDEB4D6" w:rsidR="009A3B02" w:rsidRPr="008618F2" w:rsidRDefault="00CA74B8" w:rsidP="008618F2">
            <w:pPr>
              <w:pStyle w:val="KeyText"/>
              <w:spacing w:before="0"/>
            </w:pPr>
            <w:r w:rsidRPr="008618F2">
              <w:t>h</w:t>
            </w:r>
            <w:r w:rsidR="009A3B02" w:rsidRPr="008618F2">
              <w:t>old-down</w:t>
            </w:r>
          </w:p>
        </w:tc>
      </w:tr>
      <w:tr w:rsidR="009A3B02" w:rsidRPr="00132C1E" w14:paraId="627AA93A" w14:textId="77777777" w:rsidTr="008217FC">
        <w:tc>
          <w:tcPr>
            <w:tcW w:w="389" w:type="dxa"/>
          </w:tcPr>
          <w:p w14:paraId="0E2D2C64" w14:textId="77777777" w:rsidR="009A3B02" w:rsidRPr="008618F2" w:rsidRDefault="009A3B02" w:rsidP="008618F2">
            <w:pPr>
              <w:pStyle w:val="KeyText"/>
              <w:spacing w:before="0"/>
              <w:rPr>
                <w:iCs/>
              </w:rPr>
            </w:pPr>
            <w:r w:rsidRPr="008618F2">
              <w:rPr>
                <w:iCs/>
              </w:rPr>
              <w:t>F</w:t>
            </w:r>
          </w:p>
        </w:tc>
        <w:tc>
          <w:tcPr>
            <w:tcW w:w="6274" w:type="dxa"/>
          </w:tcPr>
          <w:p w14:paraId="760CC1FB" w14:textId="5E708108" w:rsidR="009A3B02" w:rsidRPr="008618F2" w:rsidRDefault="00CA74B8" w:rsidP="008618F2">
            <w:pPr>
              <w:pStyle w:val="KeyText"/>
              <w:spacing w:before="0"/>
            </w:pPr>
            <w:r w:rsidRPr="008618F2">
              <w:t>f</w:t>
            </w:r>
            <w:r w:rsidR="009A3B02" w:rsidRPr="008618F2">
              <w:t>oundation tie-down</w:t>
            </w:r>
          </w:p>
        </w:tc>
      </w:tr>
      <w:tr w:rsidR="009A3B02" w:rsidRPr="00132C1E" w14:paraId="51124CE1" w14:textId="77777777" w:rsidTr="008217FC">
        <w:tc>
          <w:tcPr>
            <w:tcW w:w="389" w:type="dxa"/>
          </w:tcPr>
          <w:p w14:paraId="16BAF768" w14:textId="77777777" w:rsidR="009A3B02" w:rsidRPr="008618F2" w:rsidRDefault="009A3B02" w:rsidP="008618F2">
            <w:pPr>
              <w:pStyle w:val="KeyText"/>
              <w:spacing w:before="0"/>
              <w:rPr>
                <w:iCs/>
              </w:rPr>
            </w:pPr>
            <w:r w:rsidRPr="008618F2">
              <w:rPr>
                <w:iCs/>
              </w:rPr>
              <w:t>G</w:t>
            </w:r>
          </w:p>
        </w:tc>
        <w:tc>
          <w:tcPr>
            <w:tcW w:w="6274" w:type="dxa"/>
          </w:tcPr>
          <w:p w14:paraId="1DB20263" w14:textId="755247A1" w:rsidR="009A3B02" w:rsidRPr="008618F2" w:rsidRDefault="00CA74B8" w:rsidP="008618F2">
            <w:pPr>
              <w:pStyle w:val="KeyText"/>
              <w:spacing w:before="0"/>
            </w:pPr>
            <w:r w:rsidRPr="008618F2">
              <w:t>a</w:t>
            </w:r>
            <w:r w:rsidR="009A3B02" w:rsidRPr="008618F2">
              <w:t>ngle bracket</w:t>
            </w:r>
          </w:p>
        </w:tc>
      </w:tr>
      <w:tr w:rsidR="009A3B02" w:rsidRPr="009B221D" w14:paraId="31EB4E5B" w14:textId="77777777" w:rsidTr="008217FC">
        <w:tc>
          <w:tcPr>
            <w:tcW w:w="389" w:type="dxa"/>
          </w:tcPr>
          <w:p w14:paraId="461C476D" w14:textId="77777777" w:rsidR="009A3B02" w:rsidRPr="008618F2" w:rsidRDefault="009A3B02" w:rsidP="008618F2">
            <w:pPr>
              <w:pStyle w:val="KeyText"/>
              <w:spacing w:before="0"/>
              <w:rPr>
                <w:iCs/>
              </w:rPr>
            </w:pPr>
            <w:r w:rsidRPr="008618F2">
              <w:rPr>
                <w:iCs/>
              </w:rPr>
              <w:t>H</w:t>
            </w:r>
          </w:p>
        </w:tc>
        <w:tc>
          <w:tcPr>
            <w:tcW w:w="6274" w:type="dxa"/>
          </w:tcPr>
          <w:p w14:paraId="45ED0BD2" w14:textId="0942108B" w:rsidR="009A3B02" w:rsidRPr="008618F2" w:rsidRDefault="00CA74B8" w:rsidP="008618F2">
            <w:pPr>
              <w:pStyle w:val="KeyText"/>
              <w:spacing w:before="0"/>
            </w:pPr>
            <w:r w:rsidRPr="008618F2">
              <w:t>v</w:t>
            </w:r>
            <w:r w:rsidR="009A3B02" w:rsidRPr="008618F2">
              <w:t>ertical CLT</w:t>
            </w:r>
            <w:r w:rsidR="00AE6391" w:rsidRPr="008618F2">
              <w:t xml:space="preserve"> </w:t>
            </w:r>
            <w:r w:rsidR="009A3B02" w:rsidRPr="008618F2">
              <w:t>panel joint</w:t>
            </w:r>
          </w:p>
        </w:tc>
      </w:tr>
      <w:tr w:rsidR="009A3B02" w:rsidRPr="00F66DBC" w14:paraId="175301BF" w14:textId="77777777" w:rsidTr="008217FC">
        <w:tc>
          <w:tcPr>
            <w:tcW w:w="389" w:type="dxa"/>
          </w:tcPr>
          <w:p w14:paraId="2B29D572" w14:textId="77777777" w:rsidR="009A3B02" w:rsidRPr="008618F2" w:rsidRDefault="009A3B02" w:rsidP="008618F2">
            <w:pPr>
              <w:pStyle w:val="KeyText"/>
              <w:spacing w:before="0"/>
              <w:rPr>
                <w:iCs/>
              </w:rPr>
            </w:pPr>
            <w:r w:rsidRPr="008618F2">
              <w:rPr>
                <w:iCs/>
              </w:rPr>
              <w:t>I</w:t>
            </w:r>
          </w:p>
        </w:tc>
        <w:tc>
          <w:tcPr>
            <w:tcW w:w="6274" w:type="dxa"/>
          </w:tcPr>
          <w:p w14:paraId="7EEE4ED3" w14:textId="46815799" w:rsidR="009A3B02" w:rsidRPr="008618F2" w:rsidRDefault="009A3B02" w:rsidP="008618F2">
            <w:pPr>
              <w:pStyle w:val="KeyText"/>
              <w:spacing w:before="0"/>
            </w:pPr>
            <w:r w:rsidRPr="008618F2">
              <w:t>CLT wall panel</w:t>
            </w:r>
          </w:p>
        </w:tc>
      </w:tr>
      <w:tr w:rsidR="009A3B02" w:rsidRPr="00132C1E" w14:paraId="542468A5" w14:textId="77777777" w:rsidTr="008217FC">
        <w:tc>
          <w:tcPr>
            <w:tcW w:w="389" w:type="dxa"/>
          </w:tcPr>
          <w:p w14:paraId="6676B10F" w14:textId="77777777" w:rsidR="009A3B02" w:rsidRPr="008618F2" w:rsidRDefault="009A3B02" w:rsidP="008618F2">
            <w:pPr>
              <w:pStyle w:val="KeyText"/>
              <w:spacing w:before="0"/>
              <w:rPr>
                <w:iCs/>
              </w:rPr>
            </w:pPr>
            <w:r w:rsidRPr="008618F2">
              <w:rPr>
                <w:iCs/>
              </w:rPr>
              <w:t>J</w:t>
            </w:r>
          </w:p>
        </w:tc>
        <w:tc>
          <w:tcPr>
            <w:tcW w:w="6274" w:type="dxa"/>
          </w:tcPr>
          <w:p w14:paraId="727380E3" w14:textId="612BEA73" w:rsidR="009A3B02" w:rsidRPr="008618F2" w:rsidRDefault="00CA74B8" w:rsidP="008618F2">
            <w:pPr>
              <w:pStyle w:val="KeyText"/>
              <w:spacing w:before="0"/>
            </w:pPr>
            <w:r w:rsidRPr="008618F2">
              <w:t>s</w:t>
            </w:r>
            <w:r w:rsidR="009A3B02" w:rsidRPr="008618F2">
              <w:t>hear plate</w:t>
            </w:r>
          </w:p>
        </w:tc>
      </w:tr>
      <w:tr w:rsidR="009A3B02" w:rsidRPr="009B221D" w14:paraId="7C43A8FE" w14:textId="77777777" w:rsidTr="008217FC">
        <w:tc>
          <w:tcPr>
            <w:tcW w:w="389" w:type="dxa"/>
          </w:tcPr>
          <w:p w14:paraId="13CF563D" w14:textId="77777777" w:rsidR="009A3B02" w:rsidRPr="008618F2" w:rsidRDefault="009A3B02" w:rsidP="008618F2">
            <w:pPr>
              <w:pStyle w:val="KeyText"/>
              <w:spacing w:before="0"/>
              <w:rPr>
                <w:iCs/>
              </w:rPr>
            </w:pPr>
            <w:r w:rsidRPr="008618F2">
              <w:rPr>
                <w:iCs/>
              </w:rPr>
              <w:t>K</w:t>
            </w:r>
          </w:p>
        </w:tc>
        <w:tc>
          <w:tcPr>
            <w:tcW w:w="6274" w:type="dxa"/>
          </w:tcPr>
          <w:p w14:paraId="142C22E7" w14:textId="5EE42EDD" w:rsidR="009A3B02" w:rsidRPr="008618F2" w:rsidRDefault="00CA74B8" w:rsidP="008618F2">
            <w:pPr>
              <w:pStyle w:val="KeyText"/>
              <w:spacing w:before="0"/>
            </w:pPr>
            <w:r w:rsidRPr="008618F2">
              <w:t>c</w:t>
            </w:r>
            <w:r w:rsidR="009A3B02" w:rsidRPr="008618F2">
              <w:t>oncrete base beam connected to the foundation and waterproof layer</w:t>
            </w:r>
          </w:p>
        </w:tc>
      </w:tr>
    </w:tbl>
    <w:p w14:paraId="4AB71780" w14:textId="7F80A72D" w:rsidR="009A3B02" w:rsidRPr="002144A0" w:rsidRDefault="009A3B02" w:rsidP="00AE6391">
      <w:pPr>
        <w:pStyle w:val="Figuretitle"/>
      </w:pPr>
      <w:r w:rsidRPr="00132C1E">
        <w:t xml:space="preserve">Figure </w:t>
      </w:r>
      <w:r w:rsidR="0062443F">
        <w:t>13.3</w:t>
      </w:r>
      <w:r w:rsidRPr="00132C1E">
        <w:t> </w:t>
      </w:r>
      <w:r w:rsidRPr="00D1484A">
        <w:rPr>
          <w:rFonts w:ascii="`ÃÍœ˛" w:eastAsia="Cambria" w:hAnsi="`ÃÍœ˛" w:cs="`ÃÍœ˛"/>
          <w:szCs w:val="22"/>
          <w:lang w:eastAsia="de-DE"/>
        </w:rPr>
        <w:t>—</w:t>
      </w:r>
      <w:r w:rsidRPr="00D1484A">
        <w:t> </w:t>
      </w:r>
      <w:r w:rsidR="00CA74B8">
        <w:t>W</w:t>
      </w:r>
      <w:r w:rsidRPr="00D1484A">
        <w:t xml:space="preserve">alls and floors in </w:t>
      </w:r>
      <w:r>
        <w:t>C</w:t>
      </w:r>
      <w:r w:rsidRPr="0062443F">
        <w:t xml:space="preserve">LT </w:t>
      </w:r>
      <w:r w:rsidRPr="002144A0">
        <w:t>structures</w:t>
      </w:r>
      <w:r w:rsidR="00CA74B8">
        <w:t>: (a) e</w:t>
      </w:r>
      <w:r w:rsidR="00CA74B8" w:rsidRPr="00D1484A">
        <w:t>xterior</w:t>
      </w:r>
      <w:r w:rsidR="00CA74B8">
        <w:t xml:space="preserve"> and</w:t>
      </w:r>
      <w:r w:rsidR="00CA74B8" w:rsidRPr="00D1484A">
        <w:t xml:space="preserve"> </w:t>
      </w:r>
      <w:r w:rsidR="00CA74B8">
        <w:br/>
      </w:r>
      <w:r w:rsidR="00CA74B8" w:rsidRPr="00D1484A">
        <w:t>monolithic</w:t>
      </w:r>
      <w:r w:rsidR="00CA74B8">
        <w:t>;</w:t>
      </w:r>
      <w:r w:rsidR="00CA74B8" w:rsidRPr="00D1484A">
        <w:t xml:space="preserve"> (</w:t>
      </w:r>
      <w:r w:rsidR="00CA74B8">
        <w:t>b</w:t>
      </w:r>
      <w:r w:rsidR="00CA74B8" w:rsidRPr="00D1484A">
        <w:t>) interior</w:t>
      </w:r>
      <w:r w:rsidR="00CA74B8">
        <w:t xml:space="preserve"> and </w:t>
      </w:r>
      <w:r w:rsidR="00CA74B8" w:rsidRPr="00D1484A">
        <w:t>segmented</w:t>
      </w:r>
    </w:p>
    <w:p w14:paraId="6D0D73D2" w14:textId="77777777" w:rsidR="009A3B02" w:rsidRPr="00132C1E" w:rsidRDefault="009A3B02" w:rsidP="009A3B02">
      <w:pPr>
        <w:pStyle w:val="Heading3"/>
      </w:pPr>
      <w:bookmarkStart w:id="10340" w:name="_Toc520573568"/>
      <w:bookmarkStart w:id="10341" w:name="_Toc2160625"/>
      <w:bookmarkStart w:id="10342" w:name="_Toc17491746"/>
      <w:bookmarkStart w:id="10343" w:name="_Toc50150579"/>
      <w:bookmarkStart w:id="10344" w:name="_Toc70887011"/>
      <w:bookmarkStart w:id="10345" w:name="_Toc108342581"/>
      <w:bookmarkStart w:id="10346" w:name="_Toc134198103"/>
      <w:r>
        <w:t>Verification in</w:t>
      </w:r>
      <w:r w:rsidRPr="007754C9">
        <w:t xml:space="preserve"> DC2</w:t>
      </w:r>
      <w:bookmarkEnd w:id="10340"/>
      <w:bookmarkEnd w:id="10341"/>
      <w:bookmarkEnd w:id="10342"/>
      <w:bookmarkEnd w:id="10343"/>
      <w:bookmarkEnd w:id="10344"/>
      <w:bookmarkEnd w:id="10345"/>
      <w:bookmarkEnd w:id="10346"/>
    </w:p>
    <w:p w14:paraId="382135D4" w14:textId="3478F8BA" w:rsidR="009A3B02" w:rsidRPr="00C71292" w:rsidRDefault="009A3B02" w:rsidP="0080187E">
      <w:pPr>
        <w:pStyle w:val="Clause"/>
        <w:numPr>
          <w:ilvl w:val="0"/>
          <w:numId w:val="458"/>
        </w:numPr>
        <w:rPr>
          <w:rFonts w:eastAsia="Cambria"/>
        </w:rPr>
      </w:pPr>
      <w:r w:rsidRPr="0008785B">
        <w:t xml:space="preserve">In </w:t>
      </w:r>
      <w:r w:rsidRPr="00AE6391">
        <w:t xml:space="preserve">CLT structures designed for DC2, each wall panel at every floor may be composed either of only one monolithic CLT panel or of multiple panels according to </w:t>
      </w:r>
      <w:r w:rsidRPr="00835C82">
        <w:t>13.7.1(5)</w:t>
      </w:r>
      <w:r w:rsidRPr="00AE6391">
        <w:t xml:space="preserve"> </w:t>
      </w:r>
      <w:r w:rsidRPr="004709EB">
        <w:t>when the design rules for DC3 do not apply</w:t>
      </w:r>
      <w:r w:rsidRPr="00C71292">
        <w:rPr>
          <w:rFonts w:eastAsia="Cambria"/>
        </w:rPr>
        <w:t>.</w:t>
      </w:r>
    </w:p>
    <w:p w14:paraId="6D1AC747" w14:textId="1FEAC174" w:rsidR="009A3B02" w:rsidRPr="003228DA" w:rsidRDefault="009A3B02" w:rsidP="00724E4E">
      <w:pPr>
        <w:pStyle w:val="Clause"/>
      </w:pPr>
      <w:r w:rsidRPr="003228DA">
        <w:t>The dissipative connections should be of type a) and b):</w:t>
      </w:r>
    </w:p>
    <w:p w14:paraId="375BD0A6" w14:textId="49A4A509" w:rsidR="009A3B02" w:rsidRPr="00132C1E" w:rsidRDefault="009A3B02" w:rsidP="008217FC">
      <w:pPr>
        <w:pStyle w:val="Text"/>
        <w:keepNext/>
        <w:keepLines/>
        <w:numPr>
          <w:ilvl w:val="0"/>
          <w:numId w:val="669"/>
        </w:numPr>
        <w:ind w:left="357" w:hanging="357"/>
      </w:pPr>
      <w:r w:rsidRPr="00132C1E">
        <w:lastRenderedPageBreak/>
        <w:t xml:space="preserve">the shear connections between walls and the floor underneath, and between walls and foundation (usually the nailed or screwed connections between the angle brackets </w:t>
      </w:r>
      <w:r w:rsidRPr="00116E48">
        <w:t xml:space="preserve">and the CLT wall panels, Figure 13.3(a) or the nailed or the screwed connections between the shear plates the CLT </w:t>
      </w:r>
      <w:r w:rsidRPr="00132C1E">
        <w:t>wall panel, Figure 13.3(b))</w:t>
      </w:r>
      <w:r w:rsidR="00116E48">
        <w:t>;</w:t>
      </w:r>
    </w:p>
    <w:p w14:paraId="586052D6" w14:textId="4C5C32B8" w:rsidR="009A3B02" w:rsidRPr="00132C1E" w:rsidRDefault="009A3B02" w:rsidP="0080187E">
      <w:pPr>
        <w:pStyle w:val="Text"/>
        <w:numPr>
          <w:ilvl w:val="0"/>
          <w:numId w:val="669"/>
        </w:numPr>
      </w:pPr>
      <w:r w:rsidRPr="00132C1E">
        <w:t xml:space="preserve">the anchoring connections </w:t>
      </w:r>
      <w:r w:rsidRPr="00116E48">
        <w:t xml:space="preserve">against overturning placed at wall ends and at wall openings (usually the nailed or screwed connections between hold-down anchors and CLT wall panel, Figure 13.3(a) or between tie-downs and CLT </w:t>
      </w:r>
      <w:r w:rsidRPr="00132C1E">
        <w:t>wall panel, Fig. 13.3(b)).</w:t>
      </w:r>
    </w:p>
    <w:p w14:paraId="0256B01E" w14:textId="091B658C" w:rsidR="009A3B02" w:rsidRPr="00132C1E" w:rsidRDefault="00EE4F80" w:rsidP="00EE4F80">
      <w:pPr>
        <w:pStyle w:val="FigureImage"/>
      </w:pPr>
      <w:r>
        <w:rPr>
          <w:noProof/>
        </w:rPr>
        <w:drawing>
          <wp:inline distT="0" distB="0" distL="0" distR="0" wp14:anchorId="7B136D58" wp14:editId="22063F07">
            <wp:extent cx="5760729" cy="5129792"/>
            <wp:effectExtent l="0" t="0" r="0" b="0"/>
            <wp:docPr id="1661690643" name="0048.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1690643" name="0048.tiff"/>
                    <pic:cNvPicPr/>
                  </pic:nvPicPr>
                  <pic:blipFill>
                    <a:blip r:link="rId73"/>
                    <a:stretch>
                      <a:fillRect/>
                    </a:stretch>
                  </pic:blipFill>
                  <pic:spPr>
                    <a:xfrm>
                      <a:off x="0" y="0"/>
                      <a:ext cx="5760729" cy="5129792"/>
                    </a:xfrm>
                    <a:prstGeom prst="rect">
                      <a:avLst/>
                    </a:prstGeom>
                  </pic:spPr>
                </pic:pic>
              </a:graphicData>
            </a:graphic>
          </wp:inline>
        </w:drawing>
      </w:r>
    </w:p>
    <w:p w14:paraId="52AF103E" w14:textId="77777777" w:rsidR="009A3B02" w:rsidRPr="00D1484A" w:rsidRDefault="009A3B02" w:rsidP="00EE4F80">
      <w:pPr>
        <w:pStyle w:val="KeyTitle"/>
      </w:pPr>
      <w:bookmarkStart w:id="10347" w:name="_Ref414283064"/>
      <w:r w:rsidRPr="00D1484A">
        <w:t>Key</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9"/>
        <w:gridCol w:w="3864"/>
      </w:tblGrid>
      <w:tr w:rsidR="009A3B02" w:rsidRPr="009B221D" w14:paraId="00E28EB5" w14:textId="77777777" w:rsidTr="008217FC">
        <w:tc>
          <w:tcPr>
            <w:tcW w:w="389" w:type="dxa"/>
          </w:tcPr>
          <w:p w14:paraId="210EEDD9" w14:textId="77777777" w:rsidR="009A3B02" w:rsidRPr="008618F2" w:rsidRDefault="009A3B02" w:rsidP="008618F2">
            <w:pPr>
              <w:pStyle w:val="KeyText"/>
              <w:spacing w:before="0"/>
              <w:rPr>
                <w:iCs/>
              </w:rPr>
            </w:pPr>
            <w:r w:rsidRPr="008618F2">
              <w:rPr>
                <w:iCs/>
              </w:rPr>
              <w:t>A</w:t>
            </w:r>
          </w:p>
        </w:tc>
        <w:tc>
          <w:tcPr>
            <w:tcW w:w="3864" w:type="dxa"/>
          </w:tcPr>
          <w:p w14:paraId="54C767B6" w14:textId="552481CA" w:rsidR="009A3B02" w:rsidRPr="008618F2" w:rsidRDefault="00EE4F80" w:rsidP="008618F2">
            <w:pPr>
              <w:pStyle w:val="KeyText"/>
              <w:spacing w:before="0"/>
            </w:pPr>
            <w:r w:rsidRPr="008618F2">
              <w:t>j</w:t>
            </w:r>
            <w:r w:rsidR="009A3B02" w:rsidRPr="008618F2">
              <w:t>oint between adjacent floor panels</w:t>
            </w:r>
          </w:p>
        </w:tc>
      </w:tr>
      <w:tr w:rsidR="009A3B02" w:rsidRPr="00132C1E" w14:paraId="00001008" w14:textId="77777777" w:rsidTr="008217FC">
        <w:tc>
          <w:tcPr>
            <w:tcW w:w="389" w:type="dxa"/>
          </w:tcPr>
          <w:p w14:paraId="0E896436" w14:textId="77777777" w:rsidR="009A3B02" w:rsidRPr="008618F2" w:rsidRDefault="009A3B02" w:rsidP="008618F2">
            <w:pPr>
              <w:pStyle w:val="KeyText"/>
              <w:spacing w:before="0"/>
              <w:rPr>
                <w:iCs/>
              </w:rPr>
            </w:pPr>
            <w:r w:rsidRPr="008618F2">
              <w:rPr>
                <w:iCs/>
              </w:rPr>
              <w:t>B</w:t>
            </w:r>
          </w:p>
        </w:tc>
        <w:tc>
          <w:tcPr>
            <w:tcW w:w="3864" w:type="dxa"/>
          </w:tcPr>
          <w:p w14:paraId="47D636C5" w14:textId="64CFC438" w:rsidR="009A3B02" w:rsidRPr="008618F2" w:rsidRDefault="00EE4F80" w:rsidP="008618F2">
            <w:pPr>
              <w:pStyle w:val="KeyText"/>
              <w:spacing w:before="0"/>
            </w:pPr>
            <w:r w:rsidRPr="008618F2">
              <w:t>f</w:t>
            </w:r>
            <w:r w:rsidR="009A3B02" w:rsidRPr="008618F2">
              <w:t>loor panel</w:t>
            </w:r>
          </w:p>
        </w:tc>
      </w:tr>
      <w:tr w:rsidR="009A3B02" w:rsidRPr="009B221D" w14:paraId="4D4F21DC" w14:textId="77777777" w:rsidTr="008217FC">
        <w:tc>
          <w:tcPr>
            <w:tcW w:w="389" w:type="dxa"/>
          </w:tcPr>
          <w:p w14:paraId="1D73A048" w14:textId="77777777" w:rsidR="009A3B02" w:rsidRPr="008618F2" w:rsidRDefault="009A3B02" w:rsidP="008618F2">
            <w:pPr>
              <w:pStyle w:val="KeyText"/>
              <w:spacing w:before="0"/>
              <w:rPr>
                <w:iCs/>
              </w:rPr>
            </w:pPr>
            <w:r w:rsidRPr="008618F2">
              <w:rPr>
                <w:iCs/>
              </w:rPr>
              <w:t>C</w:t>
            </w:r>
          </w:p>
        </w:tc>
        <w:tc>
          <w:tcPr>
            <w:tcW w:w="3864" w:type="dxa"/>
          </w:tcPr>
          <w:p w14:paraId="77D8A56C" w14:textId="06647B9C" w:rsidR="009A3B02" w:rsidRPr="008618F2" w:rsidRDefault="00EE4F80" w:rsidP="008618F2">
            <w:pPr>
              <w:pStyle w:val="KeyText"/>
              <w:spacing w:before="0"/>
            </w:pPr>
            <w:r w:rsidRPr="008618F2">
              <w:t>j</w:t>
            </w:r>
            <w:r w:rsidR="009A3B02" w:rsidRPr="008618F2">
              <w:t>oint between floors and walls underneath</w:t>
            </w:r>
          </w:p>
        </w:tc>
      </w:tr>
      <w:tr w:rsidR="009A3B02" w:rsidRPr="00132C1E" w14:paraId="41972592" w14:textId="77777777" w:rsidTr="008217FC">
        <w:tc>
          <w:tcPr>
            <w:tcW w:w="389" w:type="dxa"/>
          </w:tcPr>
          <w:p w14:paraId="6FD2D80D" w14:textId="77777777" w:rsidR="009A3B02" w:rsidRPr="008618F2" w:rsidRDefault="009A3B02" w:rsidP="008618F2">
            <w:pPr>
              <w:pStyle w:val="KeyText"/>
              <w:spacing w:before="0"/>
              <w:rPr>
                <w:iCs/>
              </w:rPr>
            </w:pPr>
            <w:r w:rsidRPr="008618F2">
              <w:rPr>
                <w:iCs/>
              </w:rPr>
              <w:t>D</w:t>
            </w:r>
          </w:p>
        </w:tc>
        <w:tc>
          <w:tcPr>
            <w:tcW w:w="3864" w:type="dxa"/>
          </w:tcPr>
          <w:p w14:paraId="06B7507B" w14:textId="131F7EBC" w:rsidR="009A3B02" w:rsidRPr="008618F2" w:rsidRDefault="00EE4F80" w:rsidP="008618F2">
            <w:pPr>
              <w:pStyle w:val="KeyText"/>
              <w:spacing w:before="0"/>
            </w:pPr>
            <w:r w:rsidRPr="008618F2">
              <w:t>j</w:t>
            </w:r>
            <w:r w:rsidR="009A3B02" w:rsidRPr="008618F2">
              <w:t>oint between perpendicular walls</w:t>
            </w:r>
          </w:p>
        </w:tc>
      </w:tr>
      <w:tr w:rsidR="009A3B02" w:rsidRPr="00132C1E" w14:paraId="57079C56" w14:textId="77777777" w:rsidTr="008217FC">
        <w:tc>
          <w:tcPr>
            <w:tcW w:w="389" w:type="dxa"/>
          </w:tcPr>
          <w:p w14:paraId="5E89364B" w14:textId="77777777" w:rsidR="009A3B02" w:rsidRPr="008618F2" w:rsidRDefault="009A3B02" w:rsidP="008618F2">
            <w:pPr>
              <w:pStyle w:val="KeyText"/>
              <w:spacing w:before="0"/>
              <w:rPr>
                <w:iCs/>
              </w:rPr>
            </w:pPr>
            <w:r w:rsidRPr="008618F2">
              <w:rPr>
                <w:iCs/>
              </w:rPr>
              <w:t>E</w:t>
            </w:r>
          </w:p>
        </w:tc>
        <w:tc>
          <w:tcPr>
            <w:tcW w:w="3864" w:type="dxa"/>
          </w:tcPr>
          <w:p w14:paraId="50F4B66F" w14:textId="50112C46" w:rsidR="009A3B02" w:rsidRPr="008618F2" w:rsidRDefault="00EE4F80" w:rsidP="008618F2">
            <w:pPr>
              <w:pStyle w:val="KeyText"/>
              <w:spacing w:before="0"/>
            </w:pPr>
            <w:r w:rsidRPr="008618F2">
              <w:t>w</w:t>
            </w:r>
            <w:r w:rsidR="009A3B02" w:rsidRPr="008618F2">
              <w:t>all panel</w:t>
            </w:r>
          </w:p>
        </w:tc>
      </w:tr>
    </w:tbl>
    <w:bookmarkEnd w:id="10347"/>
    <w:p w14:paraId="5A056B2E" w14:textId="3D759667" w:rsidR="009A3B02" w:rsidRPr="00FD17CF" w:rsidRDefault="009A3B02" w:rsidP="00116E48">
      <w:pPr>
        <w:pStyle w:val="Figuretitle"/>
      </w:pPr>
      <w:r w:rsidRPr="00132C1E">
        <w:t xml:space="preserve">Figure </w:t>
      </w:r>
      <w:r w:rsidR="0062443F">
        <w:t>13.4</w:t>
      </w:r>
      <w:r w:rsidRPr="00132C1E">
        <w:t> </w:t>
      </w:r>
      <w:r w:rsidRPr="00D1484A">
        <w:rPr>
          <w:rFonts w:ascii="`ÃÍœ˛" w:eastAsia="Cambria" w:hAnsi="`ÃÍœ˛" w:cs="`ÃÍœ˛"/>
          <w:szCs w:val="22"/>
          <w:lang w:eastAsia="de-DE"/>
        </w:rPr>
        <w:t>—</w:t>
      </w:r>
      <w:r w:rsidRPr="00D1484A">
        <w:t xml:space="preserve"> Connections and members to be designed with overstrength in order to fulfil the capacity design criteria in </w:t>
      </w:r>
      <w:r w:rsidRPr="00116E48">
        <w:t>CLT s</w:t>
      </w:r>
      <w:r w:rsidRPr="007E6F67">
        <w:t xml:space="preserve">tructures </w:t>
      </w:r>
      <w:r w:rsidRPr="00FD17CF">
        <w:t>in DC2</w:t>
      </w:r>
    </w:p>
    <w:p w14:paraId="1CED98AF" w14:textId="0699B694" w:rsidR="009A3B02" w:rsidRPr="00DB7B73" w:rsidRDefault="009A3B02" w:rsidP="00724E4E">
      <w:pPr>
        <w:pStyle w:val="Clause"/>
      </w:pPr>
      <w:r w:rsidRPr="00DB7B73">
        <w:t>Vertical joints between adjacent parallel wall panels within the segmented shear walls may be designed either as dissipative or as non-dissipative.</w:t>
      </w:r>
    </w:p>
    <w:p w14:paraId="6207244D" w14:textId="1974D0D8" w:rsidR="009A3B02" w:rsidRPr="003228DA" w:rsidRDefault="009A3B02" w:rsidP="00724E4E">
      <w:pPr>
        <w:pStyle w:val="Clause"/>
      </w:pPr>
      <w:r w:rsidRPr="00835C82">
        <w:lastRenderedPageBreak/>
        <w:t>13.4.2(13)</w:t>
      </w:r>
      <w:r w:rsidRPr="00116E48">
        <w:t xml:space="preserve"> and </w:t>
      </w:r>
      <w:r w:rsidRPr="00835C82">
        <w:t>(14)</w:t>
      </w:r>
      <w:r w:rsidRPr="00116E48">
        <w:t xml:space="preserve"> should </w:t>
      </w:r>
      <w:r w:rsidRPr="003228DA">
        <w:t>be applied.</w:t>
      </w:r>
    </w:p>
    <w:p w14:paraId="470876B0" w14:textId="317CA46B" w:rsidR="009A3B02" w:rsidRPr="001C3306" w:rsidRDefault="009A3B02" w:rsidP="00724E4E">
      <w:pPr>
        <w:pStyle w:val="Clause"/>
      </w:pPr>
      <w:r w:rsidRPr="003228DA">
        <w:t>Structural members and joints listed in a) to d) (see Figure 13.4) and non-dissipative vertical joints should be capacity designed using Formula (13.7):</w:t>
      </w:r>
    </w:p>
    <w:p w14:paraId="2ABE1A2D" w14:textId="77777777" w:rsidR="009A3B02" w:rsidRPr="0062443F" w:rsidRDefault="009A3B02" w:rsidP="0080187E">
      <w:pPr>
        <w:pStyle w:val="Text"/>
        <w:numPr>
          <w:ilvl w:val="0"/>
          <w:numId w:val="670"/>
        </w:numPr>
      </w:pPr>
      <w:r w:rsidRPr="0062443F">
        <w:t>all CLT wall and floor panels;</w:t>
      </w:r>
    </w:p>
    <w:p w14:paraId="59FEFAD3" w14:textId="506702BC" w:rsidR="009A3B02" w:rsidRPr="0062443F" w:rsidRDefault="009A3B02" w:rsidP="0080187E">
      <w:pPr>
        <w:pStyle w:val="Text"/>
        <w:numPr>
          <w:ilvl w:val="0"/>
          <w:numId w:val="670"/>
        </w:numPr>
      </w:pPr>
      <w:r w:rsidRPr="0062443F">
        <w:t>joints between adjacent floor panels or joints of other types of sheathing material like in 13.7.1(9)</w:t>
      </w:r>
      <w:r w:rsidR="00116E48" w:rsidRPr="0062443F">
        <w:t>;</w:t>
      </w:r>
    </w:p>
    <w:p w14:paraId="25E95FA0" w14:textId="77777777" w:rsidR="009A3B02" w:rsidRPr="0062443F" w:rsidRDefault="009A3B02" w:rsidP="0080187E">
      <w:pPr>
        <w:pStyle w:val="Text"/>
        <w:numPr>
          <w:ilvl w:val="0"/>
          <w:numId w:val="670"/>
        </w:numPr>
      </w:pPr>
      <w:r w:rsidRPr="0062443F">
        <w:t>joints between floors and supporting walls underneath;</w:t>
      </w:r>
    </w:p>
    <w:p w14:paraId="050630FB" w14:textId="77777777" w:rsidR="009A3B02" w:rsidRPr="0062443F" w:rsidRDefault="009A3B02" w:rsidP="0080187E">
      <w:pPr>
        <w:pStyle w:val="Text"/>
        <w:numPr>
          <w:ilvl w:val="0"/>
          <w:numId w:val="670"/>
        </w:numPr>
      </w:pPr>
      <w:r w:rsidRPr="0062443F">
        <w:t>joints between orthogonal walls, including the ones at the building corners.</w:t>
      </w:r>
    </w:p>
    <w:p w14:paraId="2FB6876C" w14:textId="5C008234" w:rsidR="00116E48" w:rsidRDefault="009B5CEC" w:rsidP="00116E48">
      <w:pPr>
        <w:pStyle w:val="Formula"/>
        <w:spacing w:before="240"/>
      </w:pPr>
      <m:oMath>
        <m:sSub>
          <m:sSubPr>
            <m:ctrlPr>
              <w:rPr>
                <w:rFonts w:ascii="Cambria Math" w:hAnsi="Cambria Math"/>
              </w:rPr>
            </m:ctrlPr>
          </m:sSubPr>
          <m:e>
            <m:r>
              <w:rPr>
                <w:rFonts w:ascii="Cambria Math" w:hAnsi="Cambria Math"/>
              </w:rPr>
              <m:t>F</m:t>
            </m:r>
          </m:e>
          <m:sub>
            <m:r>
              <m:rPr>
                <m:sty m:val="p"/>
              </m:rPr>
              <w:rPr>
                <w:rFonts w:ascii="Cambria Math" w:hAnsi="Cambria Math"/>
              </w:rPr>
              <m:t>Rd,b</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γ</m:t>
                </m:r>
              </m:e>
              <m:sub>
                <m:r>
                  <m:rPr>
                    <m:sty m:val="p"/>
                  </m:rPr>
                  <w:rPr>
                    <w:rFonts w:ascii="Cambria Math" w:hAnsi="Cambria Math"/>
                  </w:rPr>
                  <m:t>Rd</m:t>
                </m:r>
              </m:sub>
            </m:sSub>
          </m:num>
          <m:den>
            <m:sSub>
              <m:sSubPr>
                <m:ctrlPr>
                  <w:rPr>
                    <w:rFonts w:ascii="Cambria Math" w:hAnsi="Cambria Math"/>
                  </w:rPr>
                </m:ctrlPr>
              </m:sSubPr>
              <m:e>
                <m:r>
                  <w:rPr>
                    <w:rFonts w:ascii="Cambria Math" w:hAnsi="Cambria Math"/>
                  </w:rPr>
                  <m:t>k</m:t>
                </m:r>
              </m:e>
              <m:sub>
                <m:r>
                  <m:rPr>
                    <m:sty m:val="p"/>
                  </m:rPr>
                  <w:rPr>
                    <w:rFonts w:ascii="Cambria Math" w:hAnsi="Cambria Math"/>
                  </w:rPr>
                  <m:t>deg</m:t>
                </m:r>
              </m:sub>
            </m:sSub>
          </m:den>
        </m:f>
        <m:sSub>
          <m:sSubPr>
            <m:ctrlPr>
              <w:rPr>
                <w:rFonts w:ascii="Cambria Math" w:hAnsi="Cambria Math" w:cs="Arial"/>
              </w:rPr>
            </m:ctrlPr>
          </m:sSubPr>
          <m:e>
            <m:r>
              <w:rPr>
                <w:rFonts w:ascii="Cambria Math" w:hAnsi="Cambria Math" w:cs="Arial"/>
              </w:rPr>
              <m:t>Ω</m:t>
            </m:r>
          </m:e>
          <m:sub>
            <m:r>
              <m:rPr>
                <m:sty m:val="p"/>
              </m:rPr>
              <w:rPr>
                <w:rFonts w:ascii="Cambria Math" w:hAnsi="Cambria Math" w:cs="Arial"/>
              </w:rPr>
              <m:t>d</m:t>
            </m:r>
          </m:sub>
        </m:sSub>
        <m:r>
          <w:rPr>
            <w:rFonts w:ascii="Cambria Math" w:hAnsi="Cambria Math"/>
          </w:rPr>
          <m:t xml:space="preserve"> </m:t>
        </m:r>
        <m:sSub>
          <m:sSubPr>
            <m:ctrlPr>
              <w:rPr>
                <w:rFonts w:ascii="Cambria Math" w:hAnsi="Cambria Math"/>
              </w:rPr>
            </m:ctrlPr>
          </m:sSubPr>
          <m:e>
            <m:r>
              <w:rPr>
                <w:rFonts w:ascii="Cambria Math" w:hAnsi="Cambria Math"/>
              </w:rPr>
              <m:t>F</m:t>
            </m:r>
          </m:e>
          <m:sub>
            <m:r>
              <m:rPr>
                <m:sty m:val="p"/>
              </m:rPr>
              <w:rPr>
                <w:rFonts w:ascii="Cambria Math" w:hAnsi="Cambria Math"/>
              </w:rPr>
              <m:t>Ed,E</m:t>
            </m:r>
          </m:sub>
        </m:sSub>
        <m:r>
          <w:rPr>
            <w:rFonts w:ascii="Cambria Math" w:hAnsi="Cambria Math"/>
          </w:rPr>
          <m:t>+</m:t>
        </m:r>
        <m:sSub>
          <m:sSubPr>
            <m:ctrlPr>
              <w:rPr>
                <w:rFonts w:ascii="Cambria Math" w:hAnsi="Cambria Math"/>
              </w:rPr>
            </m:ctrlPr>
          </m:sSubPr>
          <m:e>
            <m:r>
              <w:rPr>
                <w:rFonts w:ascii="Cambria Math" w:hAnsi="Cambria Math"/>
              </w:rPr>
              <m:t>F</m:t>
            </m:r>
          </m:e>
          <m:sub>
            <m:r>
              <m:rPr>
                <m:sty m:val="p"/>
              </m:rPr>
              <w:rPr>
                <w:rFonts w:ascii="Cambria Math" w:hAnsi="Cambria Math"/>
              </w:rPr>
              <m:t>Ed,G</m:t>
            </m:r>
          </m:sub>
        </m:sSub>
      </m:oMath>
      <w:r w:rsidR="00116E48" w:rsidRPr="00132C1E">
        <w:t xml:space="preserve">                             </w:t>
      </w:r>
      <w:r w:rsidR="00116E48" w:rsidRPr="00D1484A">
        <w:t xml:space="preserve">with the limitation </w:t>
      </w:r>
      <w:r w:rsidR="00116E48" w:rsidRPr="00D80FA8">
        <w:rPr>
          <w:i/>
        </w:rPr>
        <w:t>k</w:t>
      </w:r>
      <w:r w:rsidR="00116E48" w:rsidRPr="00D1484A">
        <w:rPr>
          <w:vertAlign w:val="subscript"/>
        </w:rPr>
        <w:t>deg</w:t>
      </w:r>
      <w:r w:rsidR="00116E48" w:rsidRPr="007E6F67">
        <w:t xml:space="preserve"> ≤ 1</w:t>
      </w:r>
      <w:r w:rsidR="00116E48" w:rsidRPr="00870D59">
        <w:tab/>
        <w:t>(1</w:t>
      </w:r>
      <w:r w:rsidR="00116E48">
        <w:t>3</w:t>
      </w:r>
      <w:r w:rsidR="00116E48" w:rsidRPr="00870D59">
        <w:t>.</w:t>
      </w:r>
      <w:r w:rsidR="00116E48">
        <w:t>7</w:t>
      </w:r>
      <w:r w:rsidR="00116E48" w:rsidRPr="00870D59">
        <w:t>)</w:t>
      </w:r>
    </w:p>
    <w:p w14:paraId="454EFC86" w14:textId="1823AE6D" w:rsidR="001B2671" w:rsidRPr="001B2671" w:rsidRDefault="00675EBA" w:rsidP="001B2671">
      <w:pPr>
        <w:pStyle w:val="BodyText"/>
      </w:pPr>
      <w:r>
        <w:t>where</w:t>
      </w:r>
    </w:p>
    <w:tbl>
      <w:tblPr>
        <w:tblW w:w="0" w:type="auto"/>
        <w:tblInd w:w="346" w:type="dxa"/>
        <w:tblLook w:val="04A0" w:firstRow="1" w:lastRow="0" w:firstColumn="1" w:lastColumn="0" w:noHBand="0" w:noVBand="1"/>
      </w:tblPr>
      <w:tblGrid>
        <w:gridCol w:w="1275"/>
        <w:gridCol w:w="7938"/>
      </w:tblGrid>
      <w:tr w:rsidR="00116E48" w:rsidRPr="000F2AFF" w14:paraId="5FD6DA62" w14:textId="77777777" w:rsidTr="008217FC">
        <w:tc>
          <w:tcPr>
            <w:tcW w:w="1275" w:type="dxa"/>
          </w:tcPr>
          <w:p w14:paraId="0875F4D5" w14:textId="024D0E16" w:rsidR="00116E48" w:rsidRPr="000F2AFF" w:rsidRDefault="00116E48" w:rsidP="002061E5">
            <w:pPr>
              <w:spacing w:after="60"/>
              <w:jc w:val="left"/>
              <w:rPr>
                <w:rFonts w:eastAsia="Times New Roman" w:cs="Cambria"/>
                <w:color w:val="000000" w:themeColor="text1"/>
                <w:szCs w:val="20"/>
                <w:lang w:eastAsia="fr-FR"/>
              </w:rPr>
            </w:pPr>
            <w:r w:rsidRPr="00196951">
              <w:rPr>
                <w:i/>
              </w:rPr>
              <w:t>F</w:t>
            </w:r>
            <w:r w:rsidRPr="002144A0">
              <w:rPr>
                <w:vertAlign w:val="subscript"/>
              </w:rPr>
              <w:t>Rd,b</w:t>
            </w:r>
          </w:p>
        </w:tc>
        <w:tc>
          <w:tcPr>
            <w:tcW w:w="7938" w:type="dxa"/>
          </w:tcPr>
          <w:p w14:paraId="303E4481" w14:textId="49DE7D02" w:rsidR="00116E48" w:rsidRPr="00464B4C" w:rsidRDefault="001B2671" w:rsidP="002061E5">
            <w:pPr>
              <w:spacing w:after="60"/>
              <w:rPr>
                <w:rFonts w:eastAsia="Times New Roman" w:cs="Cambria"/>
                <w:color w:val="000000" w:themeColor="text1"/>
                <w:szCs w:val="20"/>
                <w:lang w:eastAsia="fr-FR"/>
              </w:rPr>
            </w:pPr>
            <w:r w:rsidRPr="00132C1E">
              <w:t>is the design strength of the non-dissipative joint or structural member from Formula (13.2);</w:t>
            </w:r>
          </w:p>
        </w:tc>
      </w:tr>
      <w:tr w:rsidR="00116E48" w:rsidRPr="000F2AFF" w14:paraId="2E926BB9" w14:textId="77777777" w:rsidTr="008217FC">
        <w:tc>
          <w:tcPr>
            <w:tcW w:w="1275" w:type="dxa"/>
          </w:tcPr>
          <w:p w14:paraId="071CB47C" w14:textId="0B2998BD" w:rsidR="00116E48" w:rsidRPr="000F2AFF" w:rsidRDefault="00116E48" w:rsidP="002061E5">
            <w:pPr>
              <w:spacing w:after="60"/>
              <w:jc w:val="left"/>
              <w:rPr>
                <w:rFonts w:eastAsia="Times New Roman" w:cs="Cambria"/>
                <w:color w:val="000000" w:themeColor="text1"/>
                <w:szCs w:val="20"/>
                <w:lang w:eastAsia="fr-FR"/>
              </w:rPr>
            </w:pPr>
            <w:r w:rsidRPr="00132C1E">
              <w:rPr>
                <w:rFonts w:ascii="Symbol" w:eastAsia="Symbol" w:hAnsi="Symbol" w:cs="Symbol"/>
                <w:i/>
              </w:rPr>
              <w:t></w:t>
            </w:r>
            <w:r w:rsidRPr="00132C1E">
              <w:rPr>
                <w:vertAlign w:val="subscript"/>
              </w:rPr>
              <w:t>Rd</w:t>
            </w:r>
          </w:p>
        </w:tc>
        <w:tc>
          <w:tcPr>
            <w:tcW w:w="7938" w:type="dxa"/>
          </w:tcPr>
          <w:p w14:paraId="7344B9A2" w14:textId="4D1C52B7" w:rsidR="00116E48" w:rsidRPr="0062443F" w:rsidRDefault="001B2671" w:rsidP="002061E5">
            <w:pPr>
              <w:spacing w:after="60"/>
              <w:rPr>
                <w:rFonts w:eastAsia="Times New Roman" w:cs="Cambria"/>
                <w:color w:val="000000" w:themeColor="text1"/>
                <w:szCs w:val="20"/>
                <w:lang w:eastAsia="fr-FR"/>
              </w:rPr>
            </w:pPr>
            <w:r w:rsidRPr="0062443F">
              <w:t>is the overstrength factor, given in Table 13.4;</w:t>
            </w:r>
          </w:p>
        </w:tc>
      </w:tr>
      <w:tr w:rsidR="00116E48" w:rsidRPr="000F2AFF" w14:paraId="4D25D39A" w14:textId="77777777" w:rsidTr="008217FC">
        <w:tc>
          <w:tcPr>
            <w:tcW w:w="1275" w:type="dxa"/>
          </w:tcPr>
          <w:p w14:paraId="36C8B590" w14:textId="1EF7D8C5" w:rsidR="00116E48" w:rsidRPr="000F2AFF" w:rsidRDefault="00116E48" w:rsidP="002061E5">
            <w:pPr>
              <w:spacing w:after="60"/>
              <w:jc w:val="left"/>
              <w:rPr>
                <w:rFonts w:eastAsia="Times New Roman" w:cs="Cambria"/>
                <w:color w:val="000000" w:themeColor="text1"/>
                <w:szCs w:val="20"/>
                <w:lang w:eastAsia="fr-FR"/>
              </w:rPr>
            </w:pPr>
            <w:r w:rsidRPr="00132C1E">
              <w:rPr>
                <w:i/>
              </w:rPr>
              <w:t>k</w:t>
            </w:r>
            <w:r w:rsidRPr="00132C1E">
              <w:rPr>
                <w:vertAlign w:val="subscript"/>
              </w:rPr>
              <w:t>deg</w:t>
            </w:r>
          </w:p>
        </w:tc>
        <w:tc>
          <w:tcPr>
            <w:tcW w:w="7938" w:type="dxa"/>
          </w:tcPr>
          <w:p w14:paraId="4CEA21F7" w14:textId="2BB5E26E" w:rsidR="00116E48" w:rsidRPr="0062443F" w:rsidRDefault="001B2671" w:rsidP="002061E5">
            <w:pPr>
              <w:spacing w:after="60"/>
              <w:rPr>
                <w:rFonts w:eastAsia="Times New Roman" w:cs="Cambria"/>
                <w:color w:val="000000" w:themeColor="text1"/>
                <w:szCs w:val="20"/>
                <w:lang w:eastAsia="fr-FR"/>
              </w:rPr>
            </w:pPr>
            <w:r w:rsidRPr="0062443F">
              <w:t>is the strength reduction factor defined in 13.3.1(1), for which the value given in 13.3.1(1) should be used;</w:t>
            </w:r>
          </w:p>
        </w:tc>
      </w:tr>
      <w:tr w:rsidR="00116E48" w:rsidRPr="000F2AFF" w14:paraId="6A0037DE" w14:textId="77777777" w:rsidTr="008217FC">
        <w:tc>
          <w:tcPr>
            <w:tcW w:w="1275" w:type="dxa"/>
          </w:tcPr>
          <w:p w14:paraId="36496D98" w14:textId="6DF16FF2" w:rsidR="00116E48" w:rsidRPr="000F2AFF" w:rsidRDefault="00116E48" w:rsidP="002061E5">
            <w:pPr>
              <w:spacing w:after="60"/>
              <w:jc w:val="left"/>
              <w:rPr>
                <w:rFonts w:eastAsia="Times New Roman" w:cs="Cambria"/>
                <w:color w:val="000000" w:themeColor="text1"/>
                <w:szCs w:val="20"/>
                <w:lang w:eastAsia="fr-FR"/>
              </w:rPr>
            </w:pPr>
            <w:r w:rsidRPr="00132C1E">
              <w:rPr>
                <w:i/>
              </w:rPr>
              <w:t>F</w:t>
            </w:r>
            <w:r w:rsidRPr="00132C1E">
              <w:rPr>
                <w:vertAlign w:val="subscript"/>
              </w:rPr>
              <w:t>Ed,E</w:t>
            </w:r>
          </w:p>
        </w:tc>
        <w:tc>
          <w:tcPr>
            <w:tcW w:w="7938" w:type="dxa"/>
          </w:tcPr>
          <w:p w14:paraId="39FE4094" w14:textId="5E0E422C" w:rsidR="00116E48" w:rsidRPr="00464B4C" w:rsidRDefault="001B2671" w:rsidP="002061E5">
            <w:pPr>
              <w:spacing w:after="60"/>
              <w:rPr>
                <w:rFonts w:eastAsia="Times New Roman" w:cs="Cambria"/>
                <w:color w:val="000000" w:themeColor="text1"/>
                <w:szCs w:val="20"/>
                <w:lang w:eastAsia="fr-FR"/>
              </w:rPr>
            </w:pPr>
            <w:r w:rsidRPr="00132C1E">
              <w:t xml:space="preserve">is the action </w:t>
            </w:r>
            <w:r w:rsidRPr="00132C1E">
              <w:rPr>
                <w:rFonts w:eastAsia="Times New Roman"/>
              </w:rPr>
              <w:t>effect in the non-dissipative joint or member due to the design seismic action</w:t>
            </w:r>
            <w:r w:rsidRPr="00132C1E">
              <w:t>;</w:t>
            </w:r>
          </w:p>
        </w:tc>
      </w:tr>
      <w:tr w:rsidR="00116E48" w:rsidRPr="000F2AFF" w14:paraId="56AB3126" w14:textId="77777777" w:rsidTr="008217FC">
        <w:tc>
          <w:tcPr>
            <w:tcW w:w="1275" w:type="dxa"/>
          </w:tcPr>
          <w:p w14:paraId="3446EF0C" w14:textId="6B0ED852" w:rsidR="00116E48" w:rsidRPr="000F2AFF" w:rsidRDefault="00116E48" w:rsidP="002061E5">
            <w:pPr>
              <w:spacing w:after="60"/>
              <w:jc w:val="left"/>
              <w:rPr>
                <w:rFonts w:eastAsia="Times New Roman" w:cs="Cambria"/>
                <w:color w:val="000000" w:themeColor="text1"/>
                <w:szCs w:val="20"/>
                <w:lang w:eastAsia="fr-FR"/>
              </w:rPr>
            </w:pPr>
            <w:r w:rsidRPr="00132C1E">
              <w:rPr>
                <w:i/>
              </w:rPr>
              <w:t>F</w:t>
            </w:r>
            <w:r w:rsidRPr="00132C1E">
              <w:rPr>
                <w:vertAlign w:val="subscript"/>
              </w:rPr>
              <w:t>Ed,G</w:t>
            </w:r>
          </w:p>
        </w:tc>
        <w:tc>
          <w:tcPr>
            <w:tcW w:w="7938" w:type="dxa"/>
          </w:tcPr>
          <w:p w14:paraId="204D75C1" w14:textId="0F23C36A" w:rsidR="00116E48" w:rsidRPr="00464B4C" w:rsidRDefault="001B2671" w:rsidP="002061E5">
            <w:pPr>
              <w:spacing w:after="60"/>
              <w:rPr>
                <w:rFonts w:eastAsia="Times New Roman" w:cs="Cambria"/>
                <w:color w:val="000000" w:themeColor="text1"/>
                <w:szCs w:val="20"/>
                <w:lang w:eastAsia="fr-FR"/>
              </w:rPr>
            </w:pPr>
            <w:r w:rsidRPr="00132C1E">
              <w:t xml:space="preserve">is the action </w:t>
            </w:r>
            <w:r w:rsidRPr="00132C1E">
              <w:rPr>
                <w:rFonts w:eastAsia="Times New Roman"/>
              </w:rPr>
              <w:t xml:space="preserve">effect in the non-dissipative joint or member due to the non-seismic actions in the </w:t>
            </w:r>
            <w:r w:rsidR="00D1289D" w:rsidRPr="00132C1E">
              <w:rPr>
                <w:rFonts w:eastAsia="Times New Roman"/>
              </w:rPr>
              <w:t xml:space="preserve">seismic </w:t>
            </w:r>
            <w:r w:rsidRPr="00132C1E">
              <w:rPr>
                <w:rFonts w:eastAsia="Times New Roman"/>
              </w:rPr>
              <w:t>design situation</w:t>
            </w:r>
            <w:r w:rsidRPr="00132C1E">
              <w:t>;</w:t>
            </w:r>
          </w:p>
        </w:tc>
      </w:tr>
      <w:tr w:rsidR="00116E48" w:rsidRPr="000F2AFF" w14:paraId="455B0346" w14:textId="77777777" w:rsidTr="008217FC">
        <w:tc>
          <w:tcPr>
            <w:tcW w:w="1275" w:type="dxa"/>
          </w:tcPr>
          <w:p w14:paraId="0251135E" w14:textId="7C336D87" w:rsidR="00116E48" w:rsidRPr="000F2AFF" w:rsidRDefault="00116E48" w:rsidP="002061E5">
            <w:pPr>
              <w:spacing w:after="60"/>
              <w:jc w:val="left"/>
              <w:rPr>
                <w:rFonts w:eastAsia="Times New Roman" w:cs="Cambria"/>
                <w:color w:val="000000" w:themeColor="text1"/>
                <w:szCs w:val="20"/>
                <w:lang w:eastAsia="fr-FR"/>
              </w:rPr>
            </w:pPr>
            <w:r w:rsidRPr="00927C38">
              <w:rPr>
                <w:rFonts w:ascii="Cambria Math" w:hAnsi="Cambria Math"/>
                <w:i/>
              </w:rPr>
              <w:t>Ω</w:t>
            </w:r>
            <w:r w:rsidRPr="00927C38">
              <w:rPr>
                <w:vertAlign w:val="subscript"/>
              </w:rPr>
              <w:t>d</w:t>
            </w:r>
          </w:p>
        </w:tc>
        <w:tc>
          <w:tcPr>
            <w:tcW w:w="7938" w:type="dxa"/>
          </w:tcPr>
          <w:p w14:paraId="7B60A305" w14:textId="631F06E4" w:rsidR="00116E48" w:rsidRPr="00464B4C" w:rsidRDefault="001B2671" w:rsidP="002061E5">
            <w:pPr>
              <w:spacing w:after="60"/>
              <w:rPr>
                <w:rFonts w:eastAsia="Times New Roman" w:cs="Cambria"/>
                <w:color w:val="000000" w:themeColor="text1"/>
                <w:szCs w:val="20"/>
                <w:lang w:eastAsia="fr-FR"/>
              </w:rPr>
            </w:pPr>
            <w:r w:rsidRPr="00927C38">
              <w:t xml:space="preserve">is the minimum value of all overstrength ratios </w:t>
            </w:r>
            <w:r w:rsidRPr="00927C38">
              <w:rPr>
                <w:rFonts w:ascii="Cambria Math" w:hAnsi="Cambria Math"/>
                <w:i/>
              </w:rPr>
              <w:t>Ω</w:t>
            </w:r>
            <w:r w:rsidRPr="00927C38">
              <w:rPr>
                <w:vertAlign w:val="subscript"/>
              </w:rPr>
              <w:t>d.i</w:t>
            </w:r>
            <w:r>
              <w:t>, calculated by Formula (13.8);</w:t>
            </w:r>
          </w:p>
        </w:tc>
      </w:tr>
    </w:tbl>
    <w:p w14:paraId="258FB563" w14:textId="187E5164" w:rsidR="00116E48" w:rsidRDefault="009B5CEC" w:rsidP="00116E48">
      <w:pPr>
        <w:pStyle w:val="Formula"/>
        <w:spacing w:before="240"/>
      </w:pPr>
      <m:oMath>
        <m:sSub>
          <m:sSubPr>
            <m:ctrlPr>
              <w:rPr>
                <w:rFonts w:ascii="Cambria Math" w:hAnsi="Cambria Math"/>
                <w:color w:val="000000" w:themeColor="text1"/>
              </w:rPr>
            </m:ctrlPr>
          </m:sSubPr>
          <m:e>
            <m:r>
              <w:rPr>
                <w:rFonts w:ascii="Cambria Math" w:hAnsi="Cambria Math"/>
                <w:color w:val="000000" w:themeColor="text1"/>
              </w:rPr>
              <m:t>Ω</m:t>
            </m:r>
          </m:e>
          <m:sub>
            <m:r>
              <m:rPr>
                <m:sty m:val="p"/>
              </m:rPr>
              <w:rPr>
                <w:rFonts w:ascii="Cambria Math" w:hAnsi="Cambria Math"/>
                <w:color w:val="000000" w:themeColor="text1"/>
              </w:rPr>
              <m:t>d</m:t>
            </m:r>
          </m:sub>
        </m:sSub>
        <m:r>
          <m:rPr>
            <m:sty m:val="p"/>
          </m:rPr>
          <w:rPr>
            <w:rFonts w:ascii="Cambria Math" w:hAnsi="Cambria Math"/>
            <w:color w:val="000000" w:themeColor="text1"/>
          </w:rPr>
          <m:t>=min</m:t>
        </m:r>
        <m:d>
          <m:dPr>
            <m:ctrlPr>
              <w:rPr>
                <w:rFonts w:ascii="Cambria Math" w:hAnsi="Cambria Math"/>
                <w:color w:val="000000" w:themeColor="text1"/>
              </w:rPr>
            </m:ctrlPr>
          </m:dPr>
          <m:e>
            <m:sSub>
              <m:sSubPr>
                <m:ctrlPr>
                  <w:rPr>
                    <w:rFonts w:ascii="Cambria Math" w:hAnsi="Cambria Math"/>
                    <w:color w:val="000000" w:themeColor="text1"/>
                  </w:rPr>
                </m:ctrlPr>
              </m:sSubPr>
              <m:e>
                <m:r>
                  <w:rPr>
                    <w:rFonts w:ascii="Cambria Math" w:hAnsi="Cambria Math"/>
                    <w:color w:val="000000" w:themeColor="text1"/>
                  </w:rPr>
                  <m:t>Ω</m:t>
                </m:r>
              </m:e>
              <m:sub>
                <m:r>
                  <m:rPr>
                    <m:sty m:val="p"/>
                  </m:rPr>
                  <w:rPr>
                    <w:rFonts w:ascii="Cambria Math" w:hAnsi="Cambria Math"/>
                    <w:color w:val="000000" w:themeColor="text1"/>
                  </w:rPr>
                  <m:t>d,i</m:t>
                </m:r>
              </m:sub>
            </m:sSub>
          </m:e>
        </m:d>
      </m:oMath>
      <w:r w:rsidR="00116E48" w:rsidRPr="00870D59">
        <w:tab/>
        <w:t>(1</w:t>
      </w:r>
      <w:r w:rsidR="00116E48">
        <w:t>3</w:t>
      </w:r>
      <w:r w:rsidR="00116E48" w:rsidRPr="00870D59">
        <w:t>.</w:t>
      </w:r>
      <w:r w:rsidR="00116E48">
        <w:t>8</w:t>
      </w:r>
      <w:r w:rsidR="00116E48" w:rsidRPr="00870D59">
        <w:t>)</w:t>
      </w:r>
    </w:p>
    <w:p w14:paraId="410516A9" w14:textId="71200B12" w:rsidR="008217FC" w:rsidRPr="008217FC" w:rsidRDefault="008217FC" w:rsidP="008217FC">
      <w:pPr>
        <w:pStyle w:val="BodyText"/>
      </w:pPr>
      <w:r>
        <w:t>where</w:t>
      </w:r>
    </w:p>
    <w:tbl>
      <w:tblPr>
        <w:tblW w:w="0" w:type="auto"/>
        <w:tblInd w:w="346" w:type="dxa"/>
        <w:tblLook w:val="04A0" w:firstRow="1" w:lastRow="0" w:firstColumn="1" w:lastColumn="0" w:noHBand="0" w:noVBand="1"/>
      </w:tblPr>
      <w:tblGrid>
        <w:gridCol w:w="1275"/>
        <w:gridCol w:w="7938"/>
      </w:tblGrid>
      <w:tr w:rsidR="00116E48" w:rsidRPr="000F2AFF" w14:paraId="3DE2BDCE" w14:textId="77777777" w:rsidTr="008217FC">
        <w:tc>
          <w:tcPr>
            <w:tcW w:w="1275" w:type="dxa"/>
          </w:tcPr>
          <w:p w14:paraId="67E0613A" w14:textId="1A36CB64" w:rsidR="00116E48" w:rsidRPr="000F2AFF" w:rsidRDefault="00116E48" w:rsidP="002061E5">
            <w:pPr>
              <w:spacing w:after="60"/>
              <w:jc w:val="left"/>
              <w:rPr>
                <w:rFonts w:eastAsia="Times New Roman" w:cs="Cambria"/>
                <w:color w:val="000000" w:themeColor="text1"/>
                <w:szCs w:val="20"/>
                <w:lang w:eastAsia="fr-FR"/>
              </w:rPr>
            </w:pPr>
            <w:r w:rsidRPr="00927C38">
              <w:rPr>
                <w:rFonts w:ascii="Cambria Math" w:hAnsi="Cambria Math"/>
                <w:i/>
              </w:rPr>
              <w:t>Ω</w:t>
            </w:r>
            <w:r w:rsidRPr="00927C38">
              <w:rPr>
                <w:vertAlign w:val="subscript"/>
              </w:rPr>
              <w:t>d.i</w:t>
            </w:r>
          </w:p>
        </w:tc>
        <w:tc>
          <w:tcPr>
            <w:tcW w:w="7938" w:type="dxa"/>
          </w:tcPr>
          <w:p w14:paraId="25FEDFF7" w14:textId="7B81DB19" w:rsidR="00116E48" w:rsidRPr="00464B4C" w:rsidRDefault="001B2671" w:rsidP="002061E5">
            <w:pPr>
              <w:spacing w:after="60"/>
              <w:rPr>
                <w:rFonts w:eastAsia="Times New Roman" w:cs="Cambria"/>
                <w:color w:val="000000" w:themeColor="text1"/>
                <w:szCs w:val="20"/>
                <w:lang w:eastAsia="fr-FR"/>
              </w:rPr>
            </w:pPr>
            <w:r w:rsidRPr="00927C38">
              <w:t xml:space="preserve">is the overstrength ratio at the </w:t>
            </w:r>
            <w:r w:rsidRPr="00927C38">
              <w:rPr>
                <w:i/>
              </w:rPr>
              <w:t>i</w:t>
            </w:r>
            <w:r w:rsidRPr="00927C38">
              <w:rPr>
                <w:i/>
                <w:vertAlign w:val="superscript"/>
              </w:rPr>
              <w:t>th</w:t>
            </w:r>
            <w:r w:rsidRPr="00927C38">
              <w:rPr>
                <w:i/>
              </w:rPr>
              <w:t xml:space="preserve"> </w:t>
            </w:r>
            <w:r w:rsidRPr="00927C38">
              <w:t xml:space="preserve">storey calculated </w:t>
            </w:r>
            <w:r>
              <w:t>by Formula (13.9);</w:t>
            </w:r>
          </w:p>
        </w:tc>
      </w:tr>
    </w:tbl>
    <w:p w14:paraId="093BD2E3" w14:textId="7555987D" w:rsidR="001B2671" w:rsidRDefault="009B5CEC" w:rsidP="001B2671">
      <w:pPr>
        <w:pStyle w:val="Formula"/>
        <w:spacing w:before="240"/>
      </w:pPr>
      <m:oMath>
        <m:sSub>
          <m:sSubPr>
            <m:ctrlPr>
              <w:rPr>
                <w:rFonts w:ascii="Cambria Math" w:hAnsi="Cambria Math"/>
                <w:color w:val="000000" w:themeColor="text1"/>
              </w:rPr>
            </m:ctrlPr>
          </m:sSubPr>
          <m:e>
            <m:r>
              <w:rPr>
                <w:rFonts w:ascii="Cambria Math" w:hAnsi="Cambria Math"/>
                <w:color w:val="000000" w:themeColor="text1"/>
              </w:rPr>
              <m:t>Ω</m:t>
            </m:r>
          </m:e>
          <m:sub>
            <m:r>
              <m:rPr>
                <m:sty m:val="p"/>
              </m:rPr>
              <w:rPr>
                <w:rFonts w:ascii="Cambria Math" w:hAnsi="Cambria Math"/>
                <w:color w:val="000000" w:themeColor="text1"/>
              </w:rPr>
              <m:t>d,i</m:t>
            </m:r>
          </m:sub>
        </m:sSub>
        <m:r>
          <m:rPr>
            <m:sty m:val="p"/>
          </m:rPr>
          <w:rPr>
            <w:rFonts w:ascii="Cambria Math" w:hAnsi="Cambria Math"/>
            <w:color w:val="000000" w:themeColor="text1"/>
          </w:rPr>
          <m:t>=</m:t>
        </m:r>
        <m:f>
          <m:fPr>
            <m:ctrlPr>
              <w:rPr>
                <w:rFonts w:ascii="Cambria Math" w:hAnsi="Cambria Math"/>
                <w:color w:val="000000" w:themeColor="text1"/>
              </w:rPr>
            </m:ctrlPr>
          </m:fPr>
          <m:num>
            <m:sSub>
              <m:sSubPr>
                <m:ctrlPr>
                  <w:rPr>
                    <w:rFonts w:ascii="Cambria Math" w:hAnsi="Cambria Math"/>
                    <w:color w:val="000000" w:themeColor="text1"/>
                  </w:rPr>
                </m:ctrlPr>
              </m:sSubPr>
              <m:e>
                <m:r>
                  <w:rPr>
                    <w:rFonts w:ascii="Cambria Math" w:hAnsi="Cambria Math"/>
                    <w:color w:val="000000" w:themeColor="text1"/>
                  </w:rPr>
                  <m:t>V</m:t>
                </m:r>
              </m:e>
              <m:sub>
                <m:r>
                  <m:rPr>
                    <m:sty m:val="p"/>
                  </m:rPr>
                  <w:rPr>
                    <w:rFonts w:ascii="Cambria Math" w:hAnsi="Cambria Math"/>
                    <w:color w:val="000000" w:themeColor="text1"/>
                  </w:rPr>
                  <m:t>Rd,LLRS,i</m:t>
                </m:r>
              </m:sub>
            </m:sSub>
          </m:num>
          <m:den>
            <m:sSub>
              <m:sSubPr>
                <m:ctrlPr>
                  <w:rPr>
                    <w:rFonts w:ascii="Cambria Math" w:hAnsi="Cambria Math"/>
                    <w:color w:val="000000" w:themeColor="text1"/>
                  </w:rPr>
                </m:ctrlPr>
              </m:sSubPr>
              <m:e>
                <m:r>
                  <w:rPr>
                    <w:rFonts w:ascii="Cambria Math" w:hAnsi="Cambria Math"/>
                    <w:color w:val="000000" w:themeColor="text1"/>
                  </w:rPr>
                  <m:t>V</m:t>
                </m:r>
              </m:e>
              <m:sub>
                <m:r>
                  <m:rPr>
                    <m:sty m:val="p"/>
                  </m:rPr>
                  <w:rPr>
                    <w:rFonts w:ascii="Cambria Math" w:hAnsi="Cambria Math"/>
                    <w:color w:val="000000" w:themeColor="text1"/>
                  </w:rPr>
                  <m:t>Ed,E,LLRS,i</m:t>
                </m:r>
              </m:sub>
            </m:sSub>
          </m:den>
        </m:f>
      </m:oMath>
      <w:r w:rsidR="001B2671" w:rsidRPr="00870D59">
        <w:tab/>
        <w:t>(1</w:t>
      </w:r>
      <w:r w:rsidR="001B2671">
        <w:t>3</w:t>
      </w:r>
      <w:r w:rsidR="001B2671" w:rsidRPr="00870D59">
        <w:t>.</w:t>
      </w:r>
      <w:r w:rsidR="001B2671">
        <w:t>9</w:t>
      </w:r>
      <w:r w:rsidR="001B2671" w:rsidRPr="00870D59">
        <w:t>)</w:t>
      </w:r>
    </w:p>
    <w:p w14:paraId="6FC7E36D" w14:textId="006A43B6" w:rsidR="008217FC" w:rsidRPr="008217FC" w:rsidRDefault="008217FC" w:rsidP="008217FC">
      <w:pPr>
        <w:pStyle w:val="BodyText"/>
      </w:pPr>
      <w:r>
        <w:t>where</w:t>
      </w:r>
    </w:p>
    <w:tbl>
      <w:tblPr>
        <w:tblW w:w="0" w:type="auto"/>
        <w:tblInd w:w="346" w:type="dxa"/>
        <w:tblLook w:val="04A0" w:firstRow="1" w:lastRow="0" w:firstColumn="1" w:lastColumn="0" w:noHBand="0" w:noVBand="1"/>
      </w:tblPr>
      <w:tblGrid>
        <w:gridCol w:w="1275"/>
        <w:gridCol w:w="7938"/>
      </w:tblGrid>
      <w:tr w:rsidR="00116E48" w:rsidRPr="000F2AFF" w14:paraId="4133CF95" w14:textId="77777777" w:rsidTr="008217FC">
        <w:tc>
          <w:tcPr>
            <w:tcW w:w="1275" w:type="dxa"/>
          </w:tcPr>
          <w:p w14:paraId="4112505E" w14:textId="4BFE6D7B" w:rsidR="00116E48" w:rsidRPr="000F2AFF" w:rsidRDefault="001B2671" w:rsidP="002061E5">
            <w:pPr>
              <w:spacing w:after="60"/>
              <w:jc w:val="left"/>
              <w:rPr>
                <w:rFonts w:eastAsia="Times New Roman" w:cs="Cambria"/>
                <w:color w:val="000000" w:themeColor="text1"/>
                <w:szCs w:val="20"/>
                <w:lang w:eastAsia="fr-FR"/>
              </w:rPr>
            </w:pPr>
            <w:r w:rsidRPr="00927C38">
              <w:rPr>
                <w:i/>
              </w:rPr>
              <w:t>V</w:t>
            </w:r>
            <w:r w:rsidRPr="00927C38">
              <w:rPr>
                <w:vertAlign w:val="subscript"/>
              </w:rPr>
              <w:t>Rd,</w:t>
            </w:r>
            <w:r>
              <w:rPr>
                <w:vertAlign w:val="subscript"/>
              </w:rPr>
              <w:t>LLRS,</w:t>
            </w:r>
            <w:r w:rsidRPr="00927C38">
              <w:rPr>
                <w:vertAlign w:val="subscript"/>
              </w:rPr>
              <w:t>i</w:t>
            </w:r>
          </w:p>
        </w:tc>
        <w:tc>
          <w:tcPr>
            <w:tcW w:w="7938" w:type="dxa"/>
          </w:tcPr>
          <w:p w14:paraId="76A208AD" w14:textId="0DBFD37D" w:rsidR="00116E48" w:rsidRPr="00464B4C" w:rsidRDefault="001B2671" w:rsidP="002061E5">
            <w:pPr>
              <w:spacing w:after="60"/>
              <w:rPr>
                <w:rFonts w:eastAsia="Times New Roman" w:cs="Cambria"/>
                <w:color w:val="000000" w:themeColor="text1"/>
                <w:szCs w:val="20"/>
                <w:lang w:eastAsia="fr-FR"/>
              </w:rPr>
            </w:pPr>
            <w:r w:rsidRPr="00927C38">
              <w:t xml:space="preserve">is the design lateral strength of the </w:t>
            </w:r>
            <w:r>
              <w:t xml:space="preserve">primary structure </w:t>
            </w:r>
            <w:r w:rsidRPr="00927C38">
              <w:t xml:space="preserve">at the </w:t>
            </w:r>
            <w:r w:rsidRPr="00927C38">
              <w:rPr>
                <w:i/>
              </w:rPr>
              <w:t>i</w:t>
            </w:r>
            <w:r w:rsidRPr="00927C38">
              <w:rPr>
                <w:i/>
                <w:vertAlign w:val="superscript"/>
              </w:rPr>
              <w:t>th</w:t>
            </w:r>
            <w:r w:rsidRPr="00927C38">
              <w:t xml:space="preserve"> storey;</w:t>
            </w:r>
          </w:p>
        </w:tc>
      </w:tr>
      <w:tr w:rsidR="00116E48" w:rsidRPr="000F2AFF" w14:paraId="2B492C64" w14:textId="77777777" w:rsidTr="008217FC">
        <w:tc>
          <w:tcPr>
            <w:tcW w:w="1275" w:type="dxa"/>
          </w:tcPr>
          <w:p w14:paraId="3C2381FC" w14:textId="3C8B347D" w:rsidR="00116E48" w:rsidRPr="000F2AFF" w:rsidRDefault="001B2671" w:rsidP="002061E5">
            <w:pPr>
              <w:spacing w:after="60"/>
              <w:jc w:val="left"/>
              <w:rPr>
                <w:rFonts w:eastAsia="Times New Roman" w:cs="Cambria"/>
                <w:color w:val="000000" w:themeColor="text1"/>
                <w:szCs w:val="20"/>
                <w:lang w:eastAsia="fr-FR"/>
              </w:rPr>
            </w:pPr>
            <w:r w:rsidRPr="00927C38">
              <w:rPr>
                <w:i/>
              </w:rPr>
              <w:t>V</w:t>
            </w:r>
            <w:r w:rsidRPr="00927C38">
              <w:rPr>
                <w:vertAlign w:val="subscript"/>
              </w:rPr>
              <w:t>Ed,E,</w:t>
            </w:r>
            <w:r>
              <w:rPr>
                <w:vertAlign w:val="subscript"/>
              </w:rPr>
              <w:t>LLRS,</w:t>
            </w:r>
            <w:r w:rsidRPr="00927C38">
              <w:rPr>
                <w:vertAlign w:val="subscript"/>
              </w:rPr>
              <w:t>i</w:t>
            </w:r>
          </w:p>
        </w:tc>
        <w:tc>
          <w:tcPr>
            <w:tcW w:w="7938" w:type="dxa"/>
          </w:tcPr>
          <w:p w14:paraId="393E6F86" w14:textId="5697CDAA" w:rsidR="00116E48" w:rsidRPr="00464B4C" w:rsidRDefault="001B2671" w:rsidP="002061E5">
            <w:pPr>
              <w:spacing w:after="60"/>
              <w:rPr>
                <w:rFonts w:eastAsia="Times New Roman" w:cs="Cambria"/>
                <w:color w:val="000000" w:themeColor="text1"/>
                <w:szCs w:val="20"/>
                <w:lang w:eastAsia="fr-FR"/>
              </w:rPr>
            </w:pPr>
            <w:r w:rsidRPr="00927C38">
              <w:t xml:space="preserve">is the design global shear of the </w:t>
            </w:r>
            <w:r w:rsidRPr="00927C38">
              <w:rPr>
                <w:i/>
              </w:rPr>
              <w:t>i</w:t>
            </w:r>
            <w:r w:rsidRPr="00927C38">
              <w:rPr>
                <w:i/>
                <w:vertAlign w:val="superscript"/>
              </w:rPr>
              <w:t>th</w:t>
            </w:r>
            <w:r w:rsidRPr="00927C38">
              <w:t xml:space="preserve"> storey due to the seismic action.</w:t>
            </w:r>
          </w:p>
        </w:tc>
      </w:tr>
    </w:tbl>
    <w:p w14:paraId="1F8522AE" w14:textId="46DEF899" w:rsidR="001B2671" w:rsidRPr="001C3306" w:rsidRDefault="001B2671" w:rsidP="008217FC">
      <w:pPr>
        <w:pStyle w:val="Notetext"/>
        <w:spacing w:before="120"/>
      </w:pPr>
      <w:r w:rsidRPr="00212FD4">
        <w:t>NOTE</w:t>
      </w:r>
      <w:r>
        <w:tab/>
      </w:r>
      <w:r w:rsidRPr="00212FD4">
        <w:t xml:space="preserve">The design forces in the non-dissipative joints or structural elements can be taken not greater than the forces determined using a behaviour factor </w:t>
      </w:r>
      <w:r w:rsidRPr="00212FD4">
        <w:rPr>
          <w:rFonts w:ascii="Cambria Math" w:hAnsi="Cambria Math" w:cs="Cambria Math"/>
        </w:rPr>
        <w:t>𝑞</w:t>
      </w:r>
      <w:r w:rsidRPr="00212FD4">
        <w:t xml:space="preserve"> equal to 1.</w:t>
      </w:r>
    </w:p>
    <w:p w14:paraId="0280AB70" w14:textId="6B6F6F81" w:rsidR="001B2671" w:rsidRPr="001C3306" w:rsidRDefault="001B2671" w:rsidP="00724E4E">
      <w:pPr>
        <w:pStyle w:val="Clause"/>
      </w:pPr>
      <w:r w:rsidRPr="001B2671">
        <w:t xml:space="preserve">When a unidirectional behaviour of the shear connections and the anchoring connections against overturning is assumed, so that shear connections and the anchoring connections against overturning are only considered effective along the shear-horizontal and tensile-vertical direction, respectively, the overstrength ratio </w:t>
      </w:r>
      <w:r w:rsidRPr="001B2671">
        <w:rPr>
          <w:i/>
          <w:iCs/>
        </w:rPr>
        <w:t>Ω</w:t>
      </w:r>
      <w:r w:rsidRPr="001B2671">
        <w:rPr>
          <w:vertAlign w:val="subscript"/>
        </w:rPr>
        <w:t>d,i</w:t>
      </w:r>
      <w:r w:rsidRPr="001B2671">
        <w:t xml:space="preserve"> of the primary structures at the </w:t>
      </w:r>
      <w:r w:rsidRPr="001B2671">
        <w:rPr>
          <w:i/>
          <w:iCs/>
        </w:rPr>
        <w:t>i</w:t>
      </w:r>
      <w:r w:rsidRPr="001B2671">
        <w:rPr>
          <w:i/>
          <w:iCs/>
          <w:vertAlign w:val="superscript"/>
        </w:rPr>
        <w:t>th</w:t>
      </w:r>
      <w:r w:rsidRPr="001B2671">
        <w:t xml:space="preserve"> storey should be calculated by Formula (13.10</w:t>
      </w:r>
      <w:r w:rsidRPr="003228DA">
        <w:t>):</w:t>
      </w:r>
    </w:p>
    <w:p w14:paraId="3043AA53" w14:textId="604B4135" w:rsidR="001B2671" w:rsidRDefault="009B5CEC" w:rsidP="001B2671">
      <w:pPr>
        <w:pStyle w:val="Formula"/>
        <w:spacing w:before="240"/>
      </w:pPr>
      <m:oMath>
        <m:sSub>
          <m:sSubPr>
            <m:ctrlPr>
              <w:rPr>
                <w:rFonts w:ascii="Cambria Math" w:hAnsi="Cambria Math"/>
              </w:rPr>
            </m:ctrlPr>
          </m:sSubPr>
          <m:e>
            <m:r>
              <w:rPr>
                <w:rFonts w:ascii="Cambria Math" w:hAnsi="Cambria Math"/>
              </w:rPr>
              <m:t>Ω</m:t>
            </m:r>
          </m:e>
          <m:sub>
            <m:r>
              <m:rPr>
                <m:sty m:val="p"/>
              </m:rPr>
              <w:rPr>
                <w:rFonts w:ascii="Cambria Math" w:hAnsi="Cambria Math"/>
              </w:rPr>
              <m:t>d,i</m:t>
            </m:r>
          </m:sub>
        </m:sSub>
        <m:r>
          <w:rPr>
            <w:rFonts w:ascii="Cambria Math" w:hAnsi="Cambria Math"/>
          </w:rPr>
          <m:t>=</m:t>
        </m:r>
        <m:r>
          <m:rPr>
            <m:sty m:val="p"/>
          </m:rPr>
          <w:rPr>
            <w:rFonts w:ascii="Cambria Math" w:hAnsi="Cambria Math"/>
          </w:rPr>
          <m:t>min</m:t>
        </m:r>
        <m:d>
          <m:dPr>
            <m:ctrlPr>
              <w:rPr>
                <w:rFonts w:ascii="Cambria Math" w:hAnsi="Cambria Math"/>
              </w:rPr>
            </m:ctrlPr>
          </m:dPr>
          <m:e>
            <m:f>
              <m:fPr>
                <m:ctrlPr>
                  <w:rPr>
                    <w:rFonts w:ascii="Cambria Math" w:hAnsi="Cambria Math"/>
                  </w:rPr>
                </m:ctrlPr>
              </m:fPr>
              <m:num>
                <m:nary>
                  <m:naryPr>
                    <m:chr m:val="∑"/>
                    <m:limLoc m:val="undOvr"/>
                    <m:ctrlPr>
                      <w:rPr>
                        <w:rFonts w:ascii="Cambria Math" w:hAnsi="Cambria Math"/>
                      </w:rPr>
                    </m:ctrlPr>
                  </m:naryPr>
                  <m:sub>
                    <m:r>
                      <w:rPr>
                        <w:rFonts w:ascii="Cambria Math"/>
                      </w:rPr>
                      <m:t>j</m:t>
                    </m:r>
                    <m:r>
                      <w:rPr>
                        <w:rFonts w:ascii="Cambria Math" w:hAnsi="Cambria Math"/>
                      </w:rPr>
                      <m:t>=1</m:t>
                    </m:r>
                  </m:sub>
                  <m:sup>
                    <m:sSub>
                      <m:sSubPr>
                        <m:ctrlPr>
                          <w:rPr>
                            <w:rFonts w:ascii="Cambria Math" w:hAnsi="Cambria Math"/>
                          </w:rPr>
                        </m:ctrlPr>
                      </m:sSubPr>
                      <m:e>
                        <m:r>
                          <w:rPr>
                            <w:rFonts w:ascii="Cambria Math"/>
                          </w:rPr>
                          <m:t>N</m:t>
                        </m:r>
                      </m:e>
                      <m:sub>
                        <m:r>
                          <m:rPr>
                            <m:sty m:val="p"/>
                          </m:rPr>
                          <w:rPr>
                            <w:rFonts w:ascii="Cambria Math" w:hAnsi="Cambria Math"/>
                          </w:rPr>
                          <m:t>i</m:t>
                        </m:r>
                      </m:sub>
                    </m:sSub>
                  </m:sup>
                  <m:e>
                    <m:d>
                      <m:dPr>
                        <m:begChr m:val="|"/>
                        <m:endChr m:val="|"/>
                        <m:ctrlPr>
                          <w:rPr>
                            <w:rFonts w:ascii="Cambria Math" w:hAnsi="Cambria Math"/>
                          </w:rPr>
                        </m:ctrlPr>
                      </m:dPr>
                      <m:e>
                        <m:sSub>
                          <m:sSubPr>
                            <m:ctrlPr>
                              <w:rPr>
                                <w:rFonts w:ascii="Cambria Math" w:hAnsi="Cambria Math"/>
                              </w:rPr>
                            </m:ctrlPr>
                          </m:sSubPr>
                          <m:e>
                            <m:r>
                              <w:rPr>
                                <w:rFonts w:ascii="Cambria Math" w:hAnsi="Cambria Math"/>
                              </w:rPr>
                              <m:t>ν</m:t>
                            </m:r>
                          </m:e>
                          <m:sub>
                            <m:r>
                              <m:rPr>
                                <m:sty m:val="p"/>
                              </m:rPr>
                              <w:rPr>
                                <w:rFonts w:ascii="Cambria Math" w:hAnsi="Cambria Math"/>
                              </w:rPr>
                              <m:t>Rd,a,i,j</m:t>
                            </m:r>
                          </m:sub>
                        </m:sSub>
                      </m:e>
                    </m:d>
                  </m:e>
                </m:nary>
              </m:num>
              <m:den>
                <m:nary>
                  <m:naryPr>
                    <m:chr m:val="∑"/>
                    <m:limLoc m:val="undOvr"/>
                    <m:ctrlPr>
                      <w:rPr>
                        <w:rFonts w:ascii="Cambria Math" w:hAnsi="Cambria Math"/>
                      </w:rPr>
                    </m:ctrlPr>
                  </m:naryPr>
                  <m:sub>
                    <m:r>
                      <w:rPr>
                        <w:rFonts w:ascii="Cambria Math"/>
                      </w:rPr>
                      <m:t>j</m:t>
                    </m:r>
                    <m:r>
                      <w:rPr>
                        <w:rFonts w:ascii="Cambria Math" w:hAnsi="Cambria Math"/>
                      </w:rPr>
                      <m:t>=1</m:t>
                    </m:r>
                  </m:sub>
                  <m:sup>
                    <m:sSub>
                      <m:sSubPr>
                        <m:ctrlPr>
                          <w:rPr>
                            <w:rFonts w:ascii="Cambria Math" w:hAnsi="Cambria Math"/>
                          </w:rPr>
                        </m:ctrlPr>
                      </m:sSubPr>
                      <m:e>
                        <m:r>
                          <w:rPr>
                            <w:rFonts w:ascii="Cambria Math"/>
                          </w:rPr>
                          <m:t>N</m:t>
                        </m:r>
                      </m:e>
                      <m:sub>
                        <m:r>
                          <m:rPr>
                            <m:sty m:val="p"/>
                          </m:rPr>
                          <w:rPr>
                            <w:rFonts w:ascii="Cambria Math" w:hAnsi="Cambria Math"/>
                          </w:rPr>
                          <m:t>i</m:t>
                        </m:r>
                      </m:sub>
                    </m:sSub>
                  </m:sup>
                  <m:e>
                    <m:d>
                      <m:dPr>
                        <m:begChr m:val="|"/>
                        <m:endChr m:val="|"/>
                        <m:ctrlPr>
                          <w:rPr>
                            <w:rFonts w:ascii="Cambria Math" w:hAnsi="Cambria Math"/>
                          </w:rPr>
                        </m:ctrlPr>
                      </m:dPr>
                      <m:e>
                        <m:sSub>
                          <m:sSubPr>
                            <m:ctrlPr>
                              <w:rPr>
                                <w:rFonts w:ascii="Cambria Math" w:hAnsi="Cambria Math"/>
                              </w:rPr>
                            </m:ctrlPr>
                          </m:sSubPr>
                          <m:e>
                            <m:r>
                              <w:rPr>
                                <w:rFonts w:ascii="Cambria Math" w:hAnsi="Cambria Math"/>
                              </w:rPr>
                              <m:t>ν</m:t>
                            </m:r>
                          </m:e>
                          <m:sub>
                            <m:r>
                              <m:rPr>
                                <m:sty m:val="p"/>
                              </m:rPr>
                              <w:rPr>
                                <w:rFonts w:ascii="Cambria Math" w:hAnsi="Cambria Math"/>
                              </w:rPr>
                              <m:t>Ed,E,i,j</m:t>
                            </m:r>
                          </m:sub>
                        </m:sSub>
                      </m:e>
                    </m:d>
                  </m:e>
                </m:nary>
              </m:den>
            </m:f>
            <m:r>
              <w:rPr>
                <w:rFonts w:ascii="Cambria Math" w:hAnsi="Cambria Math"/>
              </w:rPr>
              <m:t>;</m:t>
            </m:r>
            <m:f>
              <m:fPr>
                <m:ctrlPr>
                  <w:rPr>
                    <w:rFonts w:ascii="Cambria Math" w:hAnsi="Cambria Math"/>
                  </w:rPr>
                </m:ctrlPr>
              </m:fPr>
              <m:num>
                <m:nary>
                  <m:naryPr>
                    <m:chr m:val="∑"/>
                    <m:limLoc m:val="undOvr"/>
                    <m:ctrlPr>
                      <w:rPr>
                        <w:rFonts w:ascii="Cambria Math" w:hAnsi="Cambria Math"/>
                      </w:rPr>
                    </m:ctrlPr>
                  </m:naryPr>
                  <m:sub>
                    <m:r>
                      <w:rPr>
                        <w:rFonts w:ascii="Cambria Math"/>
                      </w:rPr>
                      <m:t>j</m:t>
                    </m:r>
                    <m:r>
                      <w:rPr>
                        <w:rFonts w:ascii="Cambria Math" w:hAnsi="Cambria Math"/>
                      </w:rPr>
                      <m:t>=1</m:t>
                    </m:r>
                  </m:sub>
                  <m:sup>
                    <m:sSub>
                      <m:sSubPr>
                        <m:ctrlPr>
                          <w:rPr>
                            <w:rFonts w:ascii="Cambria Math" w:hAnsi="Cambria Math"/>
                          </w:rPr>
                        </m:ctrlPr>
                      </m:sSubPr>
                      <m:e>
                        <m:r>
                          <w:rPr>
                            <w:rFonts w:ascii="Cambria Math" w:hAnsi="Cambria Math"/>
                          </w:rPr>
                          <m:t>N</m:t>
                        </m:r>
                      </m:e>
                      <m:sub>
                        <m:r>
                          <w:rPr>
                            <w:rFonts w:ascii="Cambria Math" w:hAnsi="Cambria Math"/>
                          </w:rPr>
                          <m:t>i</m:t>
                        </m:r>
                      </m:sub>
                    </m:sSub>
                  </m:sup>
                  <m:e>
                    <m:d>
                      <m:dPr>
                        <m:begChr m:val="|"/>
                        <m:endChr m:val="|"/>
                        <m:ctrlPr>
                          <w:rPr>
                            <w:rFonts w:ascii="Cambria Math" w:hAnsi="Cambria Math"/>
                          </w:rPr>
                        </m:ctrlPr>
                      </m:dPr>
                      <m:e>
                        <m:sSub>
                          <m:sSubPr>
                            <m:ctrlPr>
                              <w:rPr>
                                <w:rFonts w:ascii="Cambria Math" w:hAnsi="Cambria Math"/>
                              </w:rPr>
                            </m:ctrlPr>
                          </m:sSubPr>
                          <m:e>
                            <m:r>
                              <w:rPr>
                                <w:rFonts w:ascii="Cambria Math"/>
                              </w:rPr>
                              <m:t>M</m:t>
                            </m:r>
                          </m:e>
                          <m:sub>
                            <m:r>
                              <m:rPr>
                                <m:sty m:val="p"/>
                              </m:rPr>
                              <w:rPr>
                                <w:rFonts w:ascii="Cambria Math" w:hAnsi="Cambria Math"/>
                              </w:rPr>
                              <m:t>Rd,rock,i,j</m:t>
                            </m:r>
                          </m:sub>
                        </m:sSub>
                      </m:e>
                    </m:d>
                  </m:e>
                </m:nary>
              </m:num>
              <m:den>
                <m:nary>
                  <m:naryPr>
                    <m:chr m:val="∑"/>
                    <m:limLoc m:val="undOvr"/>
                    <m:ctrlPr>
                      <w:rPr>
                        <w:rFonts w:ascii="Cambria Math" w:hAnsi="Cambria Math"/>
                      </w:rPr>
                    </m:ctrlPr>
                  </m:naryPr>
                  <m:sub>
                    <m:r>
                      <w:rPr>
                        <w:rFonts w:ascii="Cambria Math"/>
                      </w:rPr>
                      <m:t>j</m:t>
                    </m:r>
                    <m:r>
                      <w:rPr>
                        <w:rFonts w:ascii="Cambria Math" w:hAnsi="Cambria Math"/>
                      </w:rPr>
                      <m:t>=1</m:t>
                    </m:r>
                  </m:sub>
                  <m:sup>
                    <m:sSub>
                      <m:sSubPr>
                        <m:ctrlPr>
                          <w:rPr>
                            <w:rFonts w:ascii="Cambria Math" w:hAnsi="Cambria Math"/>
                          </w:rPr>
                        </m:ctrlPr>
                      </m:sSubPr>
                      <m:e>
                        <m:r>
                          <w:rPr>
                            <w:rFonts w:ascii="Cambria Math"/>
                          </w:rPr>
                          <m:t>N</m:t>
                        </m:r>
                      </m:e>
                      <m:sub>
                        <m:r>
                          <m:rPr>
                            <m:sty m:val="p"/>
                          </m:rPr>
                          <w:rPr>
                            <w:rFonts w:ascii="Cambria Math" w:hAnsi="Cambria Math"/>
                          </w:rPr>
                          <m:t>i</m:t>
                        </m:r>
                      </m:sub>
                    </m:sSub>
                  </m:sup>
                  <m:e>
                    <m:d>
                      <m:dPr>
                        <m:begChr m:val="|"/>
                        <m:endChr m:val="|"/>
                        <m:ctrlPr>
                          <w:rPr>
                            <w:rFonts w:ascii="Cambria Math" w:hAnsi="Cambria Math"/>
                          </w:rPr>
                        </m:ctrlPr>
                      </m:dPr>
                      <m:e>
                        <m:sSub>
                          <m:sSubPr>
                            <m:ctrlPr>
                              <w:rPr>
                                <w:rFonts w:ascii="Cambria Math" w:hAnsi="Cambria Math"/>
                              </w:rPr>
                            </m:ctrlPr>
                          </m:sSubPr>
                          <m:e>
                            <m:r>
                              <w:rPr>
                                <w:rFonts w:ascii="Cambria Math"/>
                              </w:rPr>
                              <m:t>M</m:t>
                            </m:r>
                          </m:e>
                          <m:sub>
                            <m:r>
                              <m:rPr>
                                <m:sty m:val="p"/>
                              </m:rPr>
                              <w:rPr>
                                <w:rFonts w:ascii="Cambria Math" w:hAnsi="Cambria Math"/>
                              </w:rPr>
                              <m:t>Ed,E,i,j</m:t>
                            </m:r>
                          </m:sub>
                        </m:sSub>
                      </m:e>
                    </m:d>
                  </m:e>
                </m:nary>
              </m:den>
            </m:f>
          </m:e>
        </m:d>
      </m:oMath>
      <w:r w:rsidR="001B2671" w:rsidRPr="00870D59">
        <w:tab/>
        <w:t>(1</w:t>
      </w:r>
      <w:r w:rsidR="001B2671">
        <w:t>3</w:t>
      </w:r>
      <w:r w:rsidR="001B2671" w:rsidRPr="00870D59">
        <w:t>.</w:t>
      </w:r>
      <w:r w:rsidR="001B2671">
        <w:t>10</w:t>
      </w:r>
      <w:r w:rsidR="001B2671" w:rsidRPr="00870D59">
        <w:t>)</w:t>
      </w:r>
    </w:p>
    <w:p w14:paraId="2EE9F849" w14:textId="61490F20" w:rsidR="001B2671" w:rsidRPr="001B2671" w:rsidRDefault="00675EBA" w:rsidP="001B2671">
      <w:pPr>
        <w:pStyle w:val="BodyText"/>
      </w:pPr>
      <w:r>
        <w:lastRenderedPageBreak/>
        <w:t>where</w:t>
      </w:r>
    </w:p>
    <w:tbl>
      <w:tblPr>
        <w:tblW w:w="0" w:type="auto"/>
        <w:tblInd w:w="346" w:type="dxa"/>
        <w:tblLook w:val="04A0" w:firstRow="1" w:lastRow="0" w:firstColumn="1" w:lastColumn="0" w:noHBand="0" w:noVBand="1"/>
      </w:tblPr>
      <w:tblGrid>
        <w:gridCol w:w="1275"/>
        <w:gridCol w:w="7938"/>
      </w:tblGrid>
      <w:tr w:rsidR="001B2671" w:rsidRPr="000F2AFF" w14:paraId="0111823D" w14:textId="77777777" w:rsidTr="008217FC">
        <w:tc>
          <w:tcPr>
            <w:tcW w:w="1275" w:type="dxa"/>
          </w:tcPr>
          <w:p w14:paraId="60E6E2F5" w14:textId="08613900" w:rsidR="001B2671" w:rsidRPr="000F2AFF" w:rsidRDefault="001B2671" w:rsidP="002061E5">
            <w:pPr>
              <w:spacing w:after="60"/>
              <w:jc w:val="left"/>
              <w:rPr>
                <w:rFonts w:eastAsia="Times New Roman" w:cs="Cambria"/>
                <w:color w:val="000000" w:themeColor="text1"/>
                <w:szCs w:val="20"/>
                <w:lang w:eastAsia="fr-FR"/>
              </w:rPr>
            </w:pPr>
            <w:r w:rsidRPr="00927C38">
              <w:rPr>
                <w:i/>
              </w:rPr>
              <w:t>V</w:t>
            </w:r>
            <w:r w:rsidRPr="00927C38">
              <w:rPr>
                <w:vertAlign w:val="subscript"/>
              </w:rPr>
              <w:t>Rd,a,i,j</w:t>
            </w:r>
          </w:p>
        </w:tc>
        <w:tc>
          <w:tcPr>
            <w:tcW w:w="7938" w:type="dxa"/>
          </w:tcPr>
          <w:p w14:paraId="149DB410" w14:textId="124B98A9" w:rsidR="001B2671" w:rsidRPr="00464B4C" w:rsidRDefault="001B2671" w:rsidP="002061E5">
            <w:pPr>
              <w:spacing w:after="60"/>
              <w:rPr>
                <w:rFonts w:eastAsia="Times New Roman" w:cs="Cambria"/>
                <w:color w:val="000000" w:themeColor="text1"/>
                <w:szCs w:val="20"/>
                <w:lang w:eastAsia="fr-FR"/>
              </w:rPr>
            </w:pPr>
            <w:r w:rsidRPr="00927C38">
              <w:t xml:space="preserve">is the design lateral strength related to shear connections of the </w:t>
            </w:r>
            <w:r w:rsidRPr="00927C38">
              <w:rPr>
                <w:i/>
              </w:rPr>
              <w:t>j</w:t>
            </w:r>
            <w:r w:rsidRPr="00927C38">
              <w:rPr>
                <w:i/>
                <w:vertAlign w:val="superscript"/>
              </w:rPr>
              <w:t>th</w:t>
            </w:r>
            <w:r w:rsidRPr="00927C38">
              <w:t xml:space="preserve"> shear</w:t>
            </w:r>
            <w:r>
              <w:t xml:space="preserve"> </w:t>
            </w:r>
            <w:r w:rsidRPr="00927C38">
              <w:t xml:space="preserve">wall at the </w:t>
            </w:r>
            <w:r w:rsidRPr="00927C38">
              <w:rPr>
                <w:i/>
              </w:rPr>
              <w:t>i</w:t>
            </w:r>
            <w:r w:rsidRPr="00927C38">
              <w:rPr>
                <w:i/>
                <w:vertAlign w:val="superscript"/>
              </w:rPr>
              <w:t>th</w:t>
            </w:r>
            <w:r w:rsidRPr="00927C38">
              <w:t xml:space="preserve"> storey;</w:t>
            </w:r>
          </w:p>
        </w:tc>
      </w:tr>
      <w:tr w:rsidR="001B2671" w:rsidRPr="000F2AFF" w14:paraId="7176EA4B" w14:textId="77777777" w:rsidTr="008217FC">
        <w:tc>
          <w:tcPr>
            <w:tcW w:w="1275" w:type="dxa"/>
          </w:tcPr>
          <w:p w14:paraId="0AD5814E" w14:textId="65BBD54F" w:rsidR="001B2671" w:rsidRPr="000F2AFF" w:rsidRDefault="001B2671" w:rsidP="002061E5">
            <w:pPr>
              <w:spacing w:after="60"/>
              <w:jc w:val="left"/>
              <w:rPr>
                <w:rFonts w:eastAsia="Times New Roman" w:cs="Cambria"/>
                <w:color w:val="000000" w:themeColor="text1"/>
                <w:szCs w:val="20"/>
                <w:lang w:eastAsia="fr-FR"/>
              </w:rPr>
            </w:pPr>
            <w:r w:rsidRPr="00927C38">
              <w:rPr>
                <w:i/>
              </w:rPr>
              <w:t>M</w:t>
            </w:r>
            <w:r w:rsidRPr="00927C38">
              <w:rPr>
                <w:vertAlign w:val="subscript"/>
              </w:rPr>
              <w:t>Rd,rock,i,j</w:t>
            </w:r>
          </w:p>
        </w:tc>
        <w:tc>
          <w:tcPr>
            <w:tcW w:w="7938" w:type="dxa"/>
          </w:tcPr>
          <w:p w14:paraId="3BCE393F" w14:textId="6EB4451B" w:rsidR="001B2671" w:rsidRPr="00464B4C" w:rsidRDefault="001B2671" w:rsidP="002061E5">
            <w:pPr>
              <w:spacing w:after="60"/>
              <w:rPr>
                <w:rFonts w:eastAsia="Times New Roman" w:cs="Cambria"/>
                <w:color w:val="000000" w:themeColor="text1"/>
                <w:szCs w:val="20"/>
                <w:lang w:eastAsia="fr-FR"/>
              </w:rPr>
            </w:pPr>
            <w:r w:rsidRPr="00927C38">
              <w:t xml:space="preserve">is the design rocking strength related to the anchoring connections </w:t>
            </w:r>
            <w:r w:rsidRPr="00F12EA6">
              <w:t>against</w:t>
            </w:r>
            <w:r w:rsidRPr="00927C38">
              <w:t xml:space="preserve"> </w:t>
            </w:r>
            <w:r w:rsidRPr="002E02B8">
              <w:t>overturning of</w:t>
            </w:r>
            <w:r w:rsidRPr="00927C38">
              <w:t xml:space="preserve"> the </w:t>
            </w:r>
            <w:r w:rsidRPr="00927C38">
              <w:rPr>
                <w:i/>
              </w:rPr>
              <w:t>j</w:t>
            </w:r>
            <w:r w:rsidRPr="00927C38">
              <w:rPr>
                <w:i/>
                <w:vertAlign w:val="superscript"/>
              </w:rPr>
              <w:t>th</w:t>
            </w:r>
            <w:r w:rsidRPr="00927C38">
              <w:t xml:space="preserve"> shear</w:t>
            </w:r>
            <w:r>
              <w:t xml:space="preserve"> </w:t>
            </w:r>
            <w:r w:rsidRPr="00927C38">
              <w:t xml:space="preserve">wall at the </w:t>
            </w:r>
            <w:r w:rsidRPr="00927C38">
              <w:rPr>
                <w:i/>
              </w:rPr>
              <w:t>i</w:t>
            </w:r>
            <w:r w:rsidRPr="00927C38">
              <w:rPr>
                <w:i/>
                <w:vertAlign w:val="superscript"/>
              </w:rPr>
              <w:t>th</w:t>
            </w:r>
            <w:r w:rsidRPr="00927C38">
              <w:t xml:space="preserve"> storey including the stabilizing effect of the vertical load;</w:t>
            </w:r>
          </w:p>
        </w:tc>
      </w:tr>
      <w:tr w:rsidR="001B2671" w:rsidRPr="000F2AFF" w14:paraId="62C70DDA" w14:textId="77777777" w:rsidTr="008217FC">
        <w:tc>
          <w:tcPr>
            <w:tcW w:w="1275" w:type="dxa"/>
          </w:tcPr>
          <w:p w14:paraId="5455F051" w14:textId="474CAF85" w:rsidR="001B2671" w:rsidRPr="000F2AFF" w:rsidRDefault="001B2671" w:rsidP="002061E5">
            <w:pPr>
              <w:spacing w:after="60"/>
              <w:jc w:val="left"/>
              <w:rPr>
                <w:rFonts w:eastAsia="Times New Roman" w:cs="Cambria"/>
                <w:color w:val="000000" w:themeColor="text1"/>
                <w:szCs w:val="20"/>
                <w:lang w:eastAsia="fr-FR"/>
              </w:rPr>
            </w:pPr>
            <w:r w:rsidRPr="00927C38">
              <w:rPr>
                <w:i/>
              </w:rPr>
              <w:t>V</w:t>
            </w:r>
            <w:r w:rsidRPr="00927C38">
              <w:rPr>
                <w:vertAlign w:val="subscript"/>
              </w:rPr>
              <w:t>Ed,E,i,j</w:t>
            </w:r>
          </w:p>
        </w:tc>
        <w:tc>
          <w:tcPr>
            <w:tcW w:w="7938" w:type="dxa"/>
          </w:tcPr>
          <w:p w14:paraId="7FF12FE3" w14:textId="6AA89C85" w:rsidR="001B2671" w:rsidRPr="00464B4C" w:rsidRDefault="002E02B8" w:rsidP="002061E5">
            <w:pPr>
              <w:spacing w:after="60"/>
              <w:rPr>
                <w:rFonts w:eastAsia="Times New Roman" w:cs="Cambria"/>
                <w:color w:val="000000" w:themeColor="text1"/>
                <w:szCs w:val="20"/>
                <w:lang w:eastAsia="fr-FR"/>
              </w:rPr>
            </w:pPr>
            <w:r w:rsidRPr="00927C38">
              <w:t xml:space="preserve">is the design shear of the </w:t>
            </w:r>
            <w:r w:rsidRPr="00927C38">
              <w:rPr>
                <w:i/>
              </w:rPr>
              <w:t>j</w:t>
            </w:r>
            <w:r w:rsidRPr="00927C38">
              <w:rPr>
                <w:i/>
                <w:vertAlign w:val="superscript"/>
              </w:rPr>
              <w:t>th</w:t>
            </w:r>
            <w:r w:rsidRPr="00927C38">
              <w:t xml:space="preserve"> shear</w:t>
            </w:r>
            <w:r>
              <w:t xml:space="preserve"> </w:t>
            </w:r>
            <w:r w:rsidRPr="00927C38">
              <w:t xml:space="preserve">wall at the </w:t>
            </w:r>
            <w:r w:rsidRPr="00927C38">
              <w:rPr>
                <w:i/>
              </w:rPr>
              <w:t>i</w:t>
            </w:r>
            <w:r w:rsidRPr="00927C38">
              <w:rPr>
                <w:i/>
                <w:vertAlign w:val="superscript"/>
              </w:rPr>
              <w:t>th</w:t>
            </w:r>
            <w:r w:rsidRPr="00927C38">
              <w:t xml:space="preserve"> storey due to the seismic action;</w:t>
            </w:r>
          </w:p>
        </w:tc>
      </w:tr>
      <w:tr w:rsidR="001B2671" w:rsidRPr="000F2AFF" w14:paraId="1B1136EF" w14:textId="77777777" w:rsidTr="008217FC">
        <w:tc>
          <w:tcPr>
            <w:tcW w:w="1275" w:type="dxa"/>
          </w:tcPr>
          <w:p w14:paraId="17BE0906" w14:textId="77D23AFB" w:rsidR="001B2671" w:rsidRPr="000F2AFF" w:rsidRDefault="001B2671" w:rsidP="002061E5">
            <w:pPr>
              <w:spacing w:after="60"/>
              <w:jc w:val="left"/>
              <w:rPr>
                <w:rFonts w:eastAsia="Times New Roman" w:cs="Cambria"/>
                <w:color w:val="000000" w:themeColor="text1"/>
                <w:szCs w:val="20"/>
                <w:lang w:eastAsia="fr-FR"/>
              </w:rPr>
            </w:pPr>
            <w:r w:rsidRPr="00927C38">
              <w:rPr>
                <w:i/>
              </w:rPr>
              <w:t>M</w:t>
            </w:r>
            <w:r w:rsidRPr="00927C38">
              <w:rPr>
                <w:vertAlign w:val="subscript"/>
              </w:rPr>
              <w:t>Ed,E,i,j</w:t>
            </w:r>
          </w:p>
        </w:tc>
        <w:tc>
          <w:tcPr>
            <w:tcW w:w="7938" w:type="dxa"/>
          </w:tcPr>
          <w:p w14:paraId="706CDAC2" w14:textId="0BCD4421" w:rsidR="001B2671" w:rsidRPr="00464B4C" w:rsidRDefault="002E02B8" w:rsidP="002061E5">
            <w:pPr>
              <w:spacing w:after="60"/>
              <w:rPr>
                <w:rFonts w:eastAsia="Times New Roman" w:cs="Cambria"/>
                <w:color w:val="000000" w:themeColor="text1"/>
                <w:szCs w:val="20"/>
                <w:lang w:eastAsia="fr-FR"/>
              </w:rPr>
            </w:pPr>
            <w:r w:rsidRPr="00927C38">
              <w:t xml:space="preserve">is the design rocking moment of the </w:t>
            </w:r>
            <w:r w:rsidRPr="00927C38">
              <w:rPr>
                <w:i/>
              </w:rPr>
              <w:t>j</w:t>
            </w:r>
            <w:r w:rsidRPr="00927C38">
              <w:rPr>
                <w:i/>
                <w:vertAlign w:val="superscript"/>
              </w:rPr>
              <w:t>th</w:t>
            </w:r>
            <w:r>
              <w:t xml:space="preserve"> shear </w:t>
            </w:r>
            <w:r w:rsidRPr="00927C38">
              <w:t xml:space="preserve">wall at the </w:t>
            </w:r>
            <w:r w:rsidRPr="00927C38">
              <w:rPr>
                <w:i/>
              </w:rPr>
              <w:t>i</w:t>
            </w:r>
            <w:r w:rsidRPr="00927C38">
              <w:rPr>
                <w:i/>
                <w:vertAlign w:val="superscript"/>
              </w:rPr>
              <w:t>th</w:t>
            </w:r>
            <w:r w:rsidRPr="00927C38">
              <w:t xml:space="preserve"> storey due to the seismic action;</w:t>
            </w:r>
          </w:p>
        </w:tc>
      </w:tr>
      <w:tr w:rsidR="001B2671" w:rsidRPr="000F2AFF" w14:paraId="38853ABD" w14:textId="77777777" w:rsidTr="008217FC">
        <w:tc>
          <w:tcPr>
            <w:tcW w:w="1275" w:type="dxa"/>
          </w:tcPr>
          <w:p w14:paraId="7E7520A6" w14:textId="7864DE75" w:rsidR="001B2671" w:rsidRPr="000F2AFF" w:rsidRDefault="001B2671" w:rsidP="002061E5">
            <w:pPr>
              <w:spacing w:after="60"/>
              <w:jc w:val="left"/>
              <w:rPr>
                <w:rFonts w:eastAsia="Times New Roman" w:cs="Cambria"/>
                <w:color w:val="000000" w:themeColor="text1"/>
                <w:szCs w:val="20"/>
                <w:lang w:eastAsia="fr-FR"/>
              </w:rPr>
            </w:pPr>
            <w:r w:rsidRPr="00927C38">
              <w:rPr>
                <w:i/>
              </w:rPr>
              <w:t>N</w:t>
            </w:r>
            <w:r w:rsidRPr="00927C38">
              <w:rPr>
                <w:iCs/>
                <w:vertAlign w:val="subscript"/>
              </w:rPr>
              <w:t>i</w:t>
            </w:r>
          </w:p>
        </w:tc>
        <w:tc>
          <w:tcPr>
            <w:tcW w:w="7938" w:type="dxa"/>
          </w:tcPr>
          <w:p w14:paraId="6E72787D" w14:textId="02B7190E" w:rsidR="001B2671" w:rsidRPr="00464B4C" w:rsidRDefault="002E02B8" w:rsidP="002061E5">
            <w:pPr>
              <w:spacing w:after="60"/>
              <w:rPr>
                <w:rFonts w:eastAsia="Times New Roman" w:cs="Cambria"/>
                <w:color w:val="000000" w:themeColor="text1"/>
                <w:szCs w:val="20"/>
                <w:lang w:eastAsia="fr-FR"/>
              </w:rPr>
            </w:pPr>
            <w:r w:rsidRPr="00927C38">
              <w:t>is the number of shear</w:t>
            </w:r>
            <w:r>
              <w:t xml:space="preserve"> </w:t>
            </w:r>
            <w:r w:rsidRPr="00927C38">
              <w:t xml:space="preserve">walls parallel to the seismic action at the </w:t>
            </w:r>
            <w:r w:rsidRPr="00927C38">
              <w:rPr>
                <w:i/>
              </w:rPr>
              <w:t>i</w:t>
            </w:r>
            <w:r w:rsidRPr="00927C38">
              <w:rPr>
                <w:i/>
                <w:vertAlign w:val="superscript"/>
              </w:rPr>
              <w:t>th</w:t>
            </w:r>
            <w:r w:rsidRPr="00927C38">
              <w:t xml:space="preserve"> storey.</w:t>
            </w:r>
          </w:p>
        </w:tc>
      </w:tr>
    </w:tbl>
    <w:p w14:paraId="21314818" w14:textId="57B64B7B" w:rsidR="00E80767" w:rsidRPr="001C3306" w:rsidRDefault="00E80767" w:rsidP="00724E4E">
      <w:pPr>
        <w:pStyle w:val="Clause"/>
      </w:pPr>
      <w:r w:rsidRPr="003228DA">
        <w:t xml:space="preserve">The design rocking strength </w:t>
      </w:r>
      <w:r w:rsidRPr="003228DA">
        <w:rPr>
          <w:i/>
        </w:rPr>
        <w:t>M</w:t>
      </w:r>
      <w:r w:rsidRPr="003228DA">
        <w:rPr>
          <w:vertAlign w:val="subscript"/>
        </w:rPr>
        <w:t>Rd,rock,i,j</w:t>
      </w:r>
      <w:r w:rsidRPr="003228DA">
        <w:t xml:space="preserve"> related to the anchoring </w:t>
      </w:r>
      <w:r w:rsidRPr="00E80767">
        <w:t xml:space="preserve">connections against overturning </w:t>
      </w:r>
      <w:r w:rsidRPr="003228DA">
        <w:t xml:space="preserve">of the </w:t>
      </w:r>
      <w:r w:rsidRPr="003228DA">
        <w:rPr>
          <w:i/>
        </w:rPr>
        <w:t>j</w:t>
      </w:r>
      <w:r w:rsidRPr="003228DA">
        <w:rPr>
          <w:i/>
          <w:vertAlign w:val="superscript"/>
        </w:rPr>
        <w:t>th</w:t>
      </w:r>
      <w:r w:rsidRPr="003228DA">
        <w:t xml:space="preserve"> monolithic shear wall at the </w:t>
      </w:r>
      <w:r w:rsidRPr="003228DA">
        <w:rPr>
          <w:i/>
        </w:rPr>
        <w:t>i</w:t>
      </w:r>
      <w:r w:rsidRPr="003228DA">
        <w:rPr>
          <w:i/>
          <w:vertAlign w:val="superscript"/>
        </w:rPr>
        <w:t>th</w:t>
      </w:r>
      <w:r w:rsidRPr="003228DA">
        <w:t xml:space="preserve"> storey including the stabilizing effect of the vertical load and neglecting the contribution of the shear connections should be calculated by Formula (13.11)</w:t>
      </w:r>
      <w:r>
        <w:t>:</w:t>
      </w:r>
    </w:p>
    <w:p w14:paraId="7AA77CCF" w14:textId="48235024" w:rsidR="00E80767" w:rsidRDefault="009B5CEC" w:rsidP="00E80767">
      <w:pPr>
        <w:pStyle w:val="Formula"/>
        <w:spacing w:before="240"/>
      </w:pPr>
      <m:oMath>
        <m:sSub>
          <m:sSubPr>
            <m:ctrlPr>
              <w:rPr>
                <w:rFonts w:ascii="Cambria Math" w:hAnsi="Cambria Math"/>
              </w:rPr>
            </m:ctrlPr>
          </m:sSubPr>
          <m:e>
            <m:r>
              <w:rPr>
                <w:rFonts w:ascii="Cambria Math"/>
              </w:rPr>
              <m:t>M</m:t>
            </m:r>
          </m:e>
          <m:sub>
            <m:r>
              <m:rPr>
                <m:sty m:val="p"/>
              </m:rPr>
              <w:rPr>
                <w:rFonts w:ascii="Cambria Math" w:hAnsi="Cambria Math"/>
              </w:rPr>
              <m:t>Rd,rock,i,j</m:t>
            </m:r>
          </m:sub>
        </m:sSub>
        <m:r>
          <w:rPr>
            <w:rFonts w:ascii="Cambria Math" w:hAnsi="Cambria Math"/>
          </w:rPr>
          <m:t>=</m:t>
        </m:r>
        <m:sSub>
          <m:sSubPr>
            <m:ctrlPr>
              <w:rPr>
                <w:rFonts w:ascii="Cambria Math" w:hAnsi="Cambria Math"/>
              </w:rPr>
            </m:ctrlPr>
          </m:sSubPr>
          <m:e>
            <m:r>
              <w:rPr>
                <w:rFonts w:ascii="Cambria Math"/>
              </w:rPr>
              <m:t>F</m:t>
            </m:r>
          </m:e>
          <m:sub>
            <m:r>
              <m:rPr>
                <m:sty m:val="p"/>
              </m:rPr>
              <w:rPr>
                <w:rFonts w:ascii="Cambria Math" w:hAnsi="Cambria Math"/>
              </w:rPr>
              <m:t>Rd,hd,i,j</m:t>
            </m:r>
          </m:sub>
        </m:sSub>
        <m:d>
          <m:dPr>
            <m:ctrlPr>
              <w:rPr>
                <w:rFonts w:ascii="Cambria Math" w:hAnsi="Cambria Math"/>
              </w:rPr>
            </m:ctrlPr>
          </m:dPr>
          <m:e>
            <m:f>
              <m:fPr>
                <m:ctrlPr>
                  <w:rPr>
                    <w:rFonts w:ascii="Cambria Math" w:hAnsi="Cambria Math"/>
                  </w:rPr>
                </m:ctrlPr>
              </m:fPr>
              <m:num>
                <m:sSub>
                  <m:sSubPr>
                    <m:ctrlPr>
                      <w:rPr>
                        <w:rFonts w:ascii="Cambria Math" w:hAnsi="Cambria Math"/>
                      </w:rPr>
                    </m:ctrlPr>
                  </m:sSubPr>
                  <m:e>
                    <m:r>
                      <w:rPr>
                        <w:rFonts w:ascii="Cambria Math"/>
                      </w:rPr>
                      <m:t>B</m:t>
                    </m:r>
                  </m:e>
                  <m:sub>
                    <m:r>
                      <m:rPr>
                        <m:sty m:val="p"/>
                      </m:rPr>
                      <w:rPr>
                        <w:rFonts w:ascii="Cambria Math" w:hAnsi="Cambria Math"/>
                      </w:rPr>
                      <m:t>CLT,i,j</m:t>
                    </m:r>
                  </m:sub>
                </m:sSub>
              </m:num>
              <m:den>
                <m:r>
                  <w:rPr>
                    <w:rFonts w:ascii="Cambria Math" w:hAnsi="Cambria Math"/>
                  </w:rPr>
                  <m:t>2</m:t>
                </m:r>
              </m:den>
            </m:f>
            <m:r>
              <w:rPr>
                <w:rFonts w:ascii="Cambria Math" w:hAnsi="Cambria Math"/>
              </w:rPr>
              <m:t>-</m:t>
            </m:r>
            <m:sSub>
              <m:sSubPr>
                <m:ctrlPr>
                  <w:rPr>
                    <w:rFonts w:ascii="Cambria Math" w:hAnsi="Cambria Math"/>
                  </w:rPr>
                </m:ctrlPr>
              </m:sSubPr>
              <m:e>
                <m:r>
                  <w:rPr>
                    <w:rFonts w:ascii="Cambria Math"/>
                  </w:rPr>
                  <m:t>c</m:t>
                </m:r>
              </m:e>
              <m:sub>
                <m:r>
                  <m:rPr>
                    <m:sty m:val="p"/>
                  </m:rPr>
                  <w:rPr>
                    <w:rFonts w:ascii="Cambria Math" w:hAnsi="Cambria Math"/>
                  </w:rPr>
                  <m:t>hd</m:t>
                </m:r>
              </m:sub>
            </m:sSub>
          </m:e>
        </m:d>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rPr>
                  <m:t>N</m:t>
                </m:r>
              </m:e>
              <m:sub>
                <m:r>
                  <m:rPr>
                    <m:sty m:val="p"/>
                  </m:rPr>
                  <w:rPr>
                    <w:rFonts w:ascii="Cambria Math" w:hAnsi="Cambria Math"/>
                  </w:rPr>
                  <m:t>Ed,i,j</m:t>
                </m:r>
              </m:sub>
            </m:sSub>
            <m:r>
              <w:rPr>
                <w:rFonts w:ascii="Cambria Math" w:hAnsi="Cambria Math"/>
              </w:rPr>
              <m:t>+</m:t>
            </m:r>
            <m:sSub>
              <m:sSubPr>
                <m:ctrlPr>
                  <w:rPr>
                    <w:rFonts w:ascii="Cambria Math" w:hAnsi="Cambria Math"/>
                  </w:rPr>
                </m:ctrlPr>
              </m:sSubPr>
              <m:e>
                <m:r>
                  <w:rPr>
                    <w:rFonts w:ascii="Cambria Math"/>
                  </w:rPr>
                  <m:t>F</m:t>
                </m:r>
              </m:e>
              <m:sub>
                <m:r>
                  <m:rPr>
                    <m:sty m:val="p"/>
                  </m:rPr>
                  <w:rPr>
                    <w:rFonts w:ascii="Cambria Math" w:hAnsi="Cambria Math"/>
                  </w:rPr>
                  <m:t>Rd,hd,i,j</m:t>
                </m:r>
              </m:sub>
            </m:sSub>
          </m:num>
          <m:den>
            <m:r>
              <w:rPr>
                <w:rFonts w:ascii="Cambria Math" w:hAnsi="Cambria Math"/>
              </w:rPr>
              <m:t>2</m:t>
            </m:r>
          </m:den>
        </m:f>
        <m:d>
          <m:dPr>
            <m:ctrlPr>
              <w:rPr>
                <w:rFonts w:ascii="Cambria Math" w:hAnsi="Cambria Math"/>
              </w:rPr>
            </m:ctrlPr>
          </m:dPr>
          <m:e>
            <m:sSub>
              <m:sSubPr>
                <m:ctrlPr>
                  <w:rPr>
                    <w:rFonts w:ascii="Cambria Math" w:hAnsi="Cambria Math"/>
                  </w:rPr>
                </m:ctrlPr>
              </m:sSubPr>
              <m:e>
                <m:r>
                  <w:rPr>
                    <w:rFonts w:ascii="Cambria Math"/>
                  </w:rPr>
                  <m:t>B</m:t>
                </m:r>
              </m:e>
              <m:sub>
                <m:r>
                  <m:rPr>
                    <m:sty m:val="p"/>
                  </m:rPr>
                  <w:rPr>
                    <w:rFonts w:ascii="Cambria Math" w:hAnsi="Cambria Math"/>
                  </w:rPr>
                  <m:t>CLT,i,j</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rPr>
                      <m:t>N</m:t>
                    </m:r>
                  </m:e>
                  <m:sub>
                    <m:r>
                      <m:rPr>
                        <m:sty m:val="p"/>
                      </m:rPr>
                      <w:rPr>
                        <w:rFonts w:ascii="Cambria Math" w:hAnsi="Cambria Math"/>
                      </w:rPr>
                      <m:t>Ed,i,j</m:t>
                    </m:r>
                  </m:sub>
                </m:sSub>
                <m:r>
                  <w:rPr>
                    <w:rFonts w:ascii="Cambria Math" w:hAnsi="Cambria Math"/>
                  </w:rPr>
                  <m:t>+</m:t>
                </m:r>
                <m:sSub>
                  <m:sSubPr>
                    <m:ctrlPr>
                      <w:rPr>
                        <w:rFonts w:ascii="Cambria Math" w:hAnsi="Cambria Math"/>
                      </w:rPr>
                    </m:ctrlPr>
                  </m:sSubPr>
                  <m:e>
                    <m:r>
                      <w:rPr>
                        <w:rFonts w:ascii="Cambria Math"/>
                      </w:rPr>
                      <m:t>F</m:t>
                    </m:r>
                  </m:e>
                  <m:sub>
                    <m:r>
                      <m:rPr>
                        <m:sty m:val="p"/>
                      </m:rPr>
                      <w:rPr>
                        <w:rFonts w:ascii="Cambria Math" w:hAnsi="Cambria Math"/>
                      </w:rPr>
                      <m:t>Rd,hd,i,j</m:t>
                    </m:r>
                  </m:sub>
                </m:sSub>
              </m:num>
              <m:den>
                <m:sSub>
                  <m:sSubPr>
                    <m:ctrlPr>
                      <w:rPr>
                        <w:rFonts w:ascii="Cambria Math" w:hAnsi="Cambria Math"/>
                      </w:rPr>
                    </m:ctrlPr>
                  </m:sSubPr>
                  <m:e>
                    <m:r>
                      <w:rPr>
                        <w:rFonts w:ascii="Cambria Math"/>
                      </w:rPr>
                      <m:t>f</m:t>
                    </m:r>
                  </m:e>
                  <m:sub>
                    <m:r>
                      <m:rPr>
                        <m:sty m:val="p"/>
                      </m:rPr>
                      <w:rPr>
                        <w:rFonts w:ascii="Cambria Math" w:hAnsi="Cambria Math"/>
                      </w:rPr>
                      <m:t xml:space="preserve">c,eff,CLT.i,j </m:t>
                    </m:r>
                  </m:sub>
                </m:sSub>
                <m:sSub>
                  <m:sSubPr>
                    <m:ctrlPr>
                      <w:rPr>
                        <w:rFonts w:ascii="Cambria Math" w:hAnsi="Cambria Math"/>
                      </w:rPr>
                    </m:ctrlPr>
                  </m:sSubPr>
                  <m:e>
                    <m:r>
                      <w:rPr>
                        <w:rFonts w:ascii="Cambria Math"/>
                      </w:rPr>
                      <m:t>t</m:t>
                    </m:r>
                  </m:e>
                  <m:sub>
                    <m:r>
                      <m:rPr>
                        <m:sty m:val="p"/>
                      </m:rPr>
                      <w:rPr>
                        <w:rFonts w:ascii="Cambria Math" w:hAnsi="Cambria Math"/>
                      </w:rPr>
                      <m:t>eff,CLT.i,j</m:t>
                    </m:r>
                  </m:sub>
                </m:sSub>
              </m:den>
            </m:f>
          </m:e>
        </m:d>
      </m:oMath>
      <w:r w:rsidR="00E80767" w:rsidRPr="00870D59">
        <w:tab/>
        <w:t>(1</w:t>
      </w:r>
      <w:r w:rsidR="00E80767">
        <w:t>3</w:t>
      </w:r>
      <w:r w:rsidR="00E80767" w:rsidRPr="00870D59">
        <w:t>.</w:t>
      </w:r>
      <w:r w:rsidR="00E80767">
        <w:t>11</w:t>
      </w:r>
      <w:r w:rsidR="00E80767" w:rsidRPr="00870D59">
        <w:t>)</w:t>
      </w:r>
    </w:p>
    <w:p w14:paraId="066C04F8" w14:textId="140D8C8B" w:rsidR="00E80767" w:rsidRPr="001B2671" w:rsidRDefault="00675EBA" w:rsidP="00E80767">
      <w:pPr>
        <w:pStyle w:val="BodyText"/>
      </w:pPr>
      <w:r>
        <w:t>where</w:t>
      </w:r>
    </w:p>
    <w:tbl>
      <w:tblPr>
        <w:tblW w:w="0" w:type="auto"/>
        <w:tblInd w:w="346" w:type="dxa"/>
        <w:tblLook w:val="04A0" w:firstRow="1" w:lastRow="0" w:firstColumn="1" w:lastColumn="0" w:noHBand="0" w:noVBand="1"/>
      </w:tblPr>
      <w:tblGrid>
        <w:gridCol w:w="1275"/>
        <w:gridCol w:w="7938"/>
      </w:tblGrid>
      <w:tr w:rsidR="00E80767" w:rsidRPr="000F2AFF" w14:paraId="5A9172D8" w14:textId="77777777" w:rsidTr="008217FC">
        <w:tc>
          <w:tcPr>
            <w:tcW w:w="1275" w:type="dxa"/>
          </w:tcPr>
          <w:p w14:paraId="790743A1" w14:textId="529BF461" w:rsidR="00E80767" w:rsidRPr="00E80767" w:rsidRDefault="009B5CEC" w:rsidP="002061E5">
            <w:pPr>
              <w:spacing w:after="60"/>
              <w:jc w:val="left"/>
              <w:rPr>
                <w:rFonts w:eastAsia="Times New Roman" w:cs="Cambria"/>
                <w:color w:val="000000" w:themeColor="text1"/>
                <w:szCs w:val="20"/>
                <w:lang w:eastAsia="fr-FR"/>
              </w:rPr>
            </w:pPr>
            <m:oMathPara>
              <m:oMathParaPr>
                <m:jc m:val="left"/>
              </m:oMathParaPr>
              <m:oMath>
                <m:sSub>
                  <m:sSubPr>
                    <m:ctrlPr>
                      <w:rPr>
                        <w:rFonts w:ascii="Cambria Math" w:eastAsia="MS Mincho" w:hAnsi="Cambria Math" w:cs="Cambria"/>
                        <w:i/>
                        <w:color w:val="000000" w:themeColor="text1"/>
                        <w:szCs w:val="20"/>
                      </w:rPr>
                    </m:ctrlPr>
                  </m:sSubPr>
                  <m:e>
                    <m:r>
                      <w:rPr>
                        <w:rFonts w:ascii="Cambria Math" w:eastAsia="MS Mincho" w:hAnsi="Cambria Math" w:cs="Cambria"/>
                        <w:color w:val="000000" w:themeColor="text1"/>
                        <w:szCs w:val="20"/>
                      </w:rPr>
                      <m:t>F</m:t>
                    </m:r>
                  </m:e>
                  <m:sub>
                    <m:r>
                      <m:rPr>
                        <m:sty m:val="p"/>
                      </m:rPr>
                      <w:rPr>
                        <w:rFonts w:ascii="Cambria Math" w:eastAsia="MS Mincho" w:hAnsi="Cambria Math" w:cs="Cambria"/>
                        <w:color w:val="000000" w:themeColor="text1"/>
                        <w:szCs w:val="20"/>
                      </w:rPr>
                      <m:t>Rd,hd,i,j</m:t>
                    </m:r>
                  </m:sub>
                </m:sSub>
              </m:oMath>
            </m:oMathPara>
          </w:p>
        </w:tc>
        <w:tc>
          <w:tcPr>
            <w:tcW w:w="7938" w:type="dxa"/>
          </w:tcPr>
          <w:p w14:paraId="26BA77C4" w14:textId="5664636D" w:rsidR="00E80767" w:rsidRPr="00464B4C" w:rsidRDefault="00E80767" w:rsidP="002061E5">
            <w:pPr>
              <w:spacing w:after="60"/>
              <w:rPr>
                <w:rFonts w:eastAsia="Times New Roman" w:cs="Cambria"/>
                <w:color w:val="000000" w:themeColor="text1"/>
                <w:szCs w:val="20"/>
                <w:lang w:eastAsia="fr-FR"/>
              </w:rPr>
            </w:pPr>
            <w:r w:rsidRPr="00741EE5">
              <w:rPr>
                <w:rFonts w:eastAsia="MS Mincho" w:cs="Cambria"/>
                <w:color w:val="000000" w:themeColor="text1"/>
                <w:szCs w:val="20"/>
              </w:rPr>
              <w:t xml:space="preserve">is the tensile-vertical design strength of the anchoring connections </w:t>
            </w:r>
            <w:r w:rsidRPr="00F12EA6">
              <w:rPr>
                <w:rFonts w:eastAsia="MS Mincho" w:cs="Cambria"/>
                <w:color w:val="000000" w:themeColor="text1"/>
                <w:szCs w:val="20"/>
              </w:rPr>
              <w:t>against</w:t>
            </w:r>
            <w:r w:rsidRPr="00741EE5">
              <w:rPr>
                <w:rFonts w:eastAsia="MS Mincho" w:cs="Cambria"/>
                <w:color w:val="000000" w:themeColor="text1"/>
                <w:szCs w:val="20"/>
              </w:rPr>
              <w:t xml:space="preserve"> </w:t>
            </w:r>
            <w:r w:rsidRPr="00E80767">
              <w:rPr>
                <w:rFonts w:eastAsia="MS Mincho" w:cs="Cambria"/>
                <w:szCs w:val="20"/>
              </w:rPr>
              <w:t xml:space="preserve">overturning </w:t>
            </w:r>
            <w:r w:rsidRPr="00741EE5">
              <w:rPr>
                <w:rFonts w:eastAsia="MS Mincho" w:cs="Cambria"/>
                <w:color w:val="000000" w:themeColor="text1"/>
                <w:szCs w:val="20"/>
              </w:rPr>
              <w:t xml:space="preserve">of the </w:t>
            </w:r>
            <w:r w:rsidRPr="00741EE5">
              <w:rPr>
                <w:rFonts w:eastAsia="MS Mincho" w:cs="Cambria"/>
                <w:i/>
                <w:color w:val="000000" w:themeColor="text1"/>
                <w:szCs w:val="20"/>
              </w:rPr>
              <w:t>j</w:t>
            </w:r>
            <w:r w:rsidRPr="00741EE5">
              <w:rPr>
                <w:rFonts w:eastAsia="MS Mincho" w:cs="Cambria"/>
                <w:i/>
                <w:color w:val="000000" w:themeColor="text1"/>
                <w:szCs w:val="20"/>
                <w:vertAlign w:val="superscript"/>
              </w:rPr>
              <w:t>th</w:t>
            </w:r>
            <w:r w:rsidRPr="00741EE5">
              <w:rPr>
                <w:rFonts w:eastAsia="MS Mincho" w:cs="Cambria"/>
                <w:color w:val="000000" w:themeColor="text1"/>
                <w:szCs w:val="20"/>
              </w:rPr>
              <w:t xml:space="preserve"> shear</w:t>
            </w:r>
            <w:r>
              <w:rPr>
                <w:rFonts w:eastAsia="MS Mincho" w:cs="Cambria"/>
                <w:color w:val="000000" w:themeColor="text1"/>
                <w:szCs w:val="20"/>
              </w:rPr>
              <w:t xml:space="preserve"> </w:t>
            </w:r>
            <w:r w:rsidRPr="00741EE5">
              <w:rPr>
                <w:rFonts w:eastAsia="MS Mincho" w:cs="Cambria"/>
                <w:color w:val="000000" w:themeColor="text1"/>
                <w:szCs w:val="20"/>
              </w:rPr>
              <w:t xml:space="preserve">wall at the </w:t>
            </w:r>
            <w:r w:rsidRPr="00741EE5">
              <w:rPr>
                <w:rFonts w:eastAsia="MS Mincho" w:cs="Cambria"/>
                <w:i/>
                <w:color w:val="000000" w:themeColor="text1"/>
                <w:szCs w:val="20"/>
              </w:rPr>
              <w:t>i</w:t>
            </w:r>
            <w:r w:rsidRPr="00741EE5">
              <w:rPr>
                <w:rFonts w:eastAsia="MS Mincho" w:cs="Cambria"/>
                <w:i/>
                <w:color w:val="000000" w:themeColor="text1"/>
                <w:szCs w:val="20"/>
                <w:vertAlign w:val="superscript"/>
              </w:rPr>
              <w:t>th</w:t>
            </w:r>
            <w:r w:rsidRPr="00741EE5">
              <w:rPr>
                <w:rFonts w:eastAsia="MS Mincho" w:cs="Cambria"/>
                <w:color w:val="000000" w:themeColor="text1"/>
                <w:szCs w:val="20"/>
              </w:rPr>
              <w:t xml:space="preserve"> storey;</w:t>
            </w:r>
          </w:p>
        </w:tc>
      </w:tr>
      <w:tr w:rsidR="00E80767" w:rsidRPr="000F2AFF" w14:paraId="31F91492" w14:textId="77777777" w:rsidTr="008217FC">
        <w:tc>
          <w:tcPr>
            <w:tcW w:w="1275" w:type="dxa"/>
          </w:tcPr>
          <w:p w14:paraId="18EF9DBD" w14:textId="34E905AC" w:rsidR="00E80767" w:rsidRPr="00E80767" w:rsidRDefault="009B5CEC" w:rsidP="002061E5">
            <w:pPr>
              <w:spacing w:after="60"/>
              <w:jc w:val="left"/>
              <w:rPr>
                <w:rFonts w:eastAsia="Times New Roman" w:cs="Cambria"/>
                <w:color w:val="000000" w:themeColor="text1"/>
                <w:szCs w:val="20"/>
                <w:lang w:eastAsia="fr-FR"/>
              </w:rPr>
            </w:pPr>
            <m:oMathPara>
              <m:oMathParaPr>
                <m:jc m:val="left"/>
              </m:oMathParaPr>
              <m:oMath>
                <m:sSub>
                  <m:sSubPr>
                    <m:ctrlPr>
                      <w:rPr>
                        <w:rFonts w:ascii="Cambria Math" w:eastAsia="MS Mincho" w:hAnsi="Cambria Math" w:cs="Cambria"/>
                        <w:i/>
                        <w:color w:val="000000" w:themeColor="text1"/>
                        <w:szCs w:val="20"/>
                      </w:rPr>
                    </m:ctrlPr>
                  </m:sSubPr>
                  <m:e>
                    <m:r>
                      <w:rPr>
                        <w:rFonts w:ascii="Cambria Math" w:eastAsia="MS Mincho" w:hAnsi="Cambria Math" w:cs="Cambria"/>
                        <w:color w:val="000000" w:themeColor="text1"/>
                        <w:szCs w:val="20"/>
                      </w:rPr>
                      <m:t>N</m:t>
                    </m:r>
                  </m:e>
                  <m:sub>
                    <m:r>
                      <m:rPr>
                        <m:sty m:val="p"/>
                      </m:rPr>
                      <w:rPr>
                        <w:rFonts w:ascii="Cambria Math" w:eastAsia="MS Mincho" w:hAnsi="Cambria Math" w:cs="Cambria"/>
                        <w:color w:val="000000" w:themeColor="text1"/>
                        <w:szCs w:val="20"/>
                      </w:rPr>
                      <m:t>Ed,i,j</m:t>
                    </m:r>
                  </m:sub>
                </m:sSub>
              </m:oMath>
            </m:oMathPara>
          </w:p>
        </w:tc>
        <w:tc>
          <w:tcPr>
            <w:tcW w:w="7938" w:type="dxa"/>
          </w:tcPr>
          <w:p w14:paraId="3B832A43" w14:textId="63450B42" w:rsidR="00E80767" w:rsidRPr="00464B4C" w:rsidRDefault="00646E89" w:rsidP="002061E5">
            <w:pPr>
              <w:spacing w:after="60"/>
              <w:rPr>
                <w:rFonts w:eastAsia="Times New Roman" w:cs="Cambria"/>
                <w:color w:val="000000" w:themeColor="text1"/>
                <w:szCs w:val="20"/>
                <w:lang w:eastAsia="fr-FR"/>
              </w:rPr>
            </w:pPr>
            <w:r w:rsidRPr="00741EE5">
              <w:rPr>
                <w:rFonts w:eastAsia="MS Mincho" w:cs="Cambria"/>
                <w:color w:val="000000" w:themeColor="text1"/>
                <w:szCs w:val="20"/>
              </w:rPr>
              <w:t xml:space="preserve">is the total compressive axial load acting on the </w:t>
            </w:r>
            <w:r w:rsidRPr="00741EE5">
              <w:rPr>
                <w:rFonts w:eastAsia="MS Mincho" w:cs="Cambria"/>
                <w:i/>
                <w:color w:val="000000" w:themeColor="text1"/>
                <w:szCs w:val="20"/>
              </w:rPr>
              <w:t>j</w:t>
            </w:r>
            <w:r w:rsidRPr="00741EE5">
              <w:rPr>
                <w:rFonts w:eastAsia="MS Mincho" w:cs="Cambria"/>
                <w:i/>
                <w:color w:val="000000" w:themeColor="text1"/>
                <w:szCs w:val="20"/>
                <w:vertAlign w:val="superscript"/>
              </w:rPr>
              <w:t>th</w:t>
            </w:r>
            <w:r w:rsidRPr="00741EE5">
              <w:rPr>
                <w:rFonts w:eastAsia="MS Mincho" w:cs="Cambria"/>
                <w:color w:val="000000" w:themeColor="text1"/>
                <w:szCs w:val="20"/>
              </w:rPr>
              <w:t xml:space="preserve"> shear</w:t>
            </w:r>
            <w:r>
              <w:rPr>
                <w:rFonts w:eastAsia="MS Mincho" w:cs="Cambria"/>
                <w:color w:val="000000" w:themeColor="text1"/>
                <w:szCs w:val="20"/>
              </w:rPr>
              <w:t xml:space="preserve"> </w:t>
            </w:r>
            <w:r w:rsidRPr="00741EE5">
              <w:rPr>
                <w:rFonts w:eastAsia="MS Mincho" w:cs="Cambria"/>
                <w:color w:val="000000" w:themeColor="text1"/>
                <w:szCs w:val="20"/>
              </w:rPr>
              <w:t xml:space="preserve">wall at the </w:t>
            </w:r>
            <w:r w:rsidRPr="00741EE5">
              <w:rPr>
                <w:rFonts w:eastAsia="MS Mincho" w:cs="Cambria"/>
                <w:i/>
                <w:color w:val="000000" w:themeColor="text1"/>
                <w:szCs w:val="20"/>
              </w:rPr>
              <w:t>i</w:t>
            </w:r>
            <w:r w:rsidRPr="00741EE5">
              <w:rPr>
                <w:rFonts w:eastAsia="MS Mincho" w:cs="Cambria"/>
                <w:i/>
                <w:color w:val="000000" w:themeColor="text1"/>
                <w:szCs w:val="20"/>
                <w:vertAlign w:val="superscript"/>
              </w:rPr>
              <w:t>th</w:t>
            </w:r>
            <w:r w:rsidRPr="00741EE5">
              <w:rPr>
                <w:rFonts w:eastAsia="MS Mincho" w:cs="Cambria"/>
                <w:color w:val="000000" w:themeColor="text1"/>
                <w:szCs w:val="20"/>
              </w:rPr>
              <w:t xml:space="preserve"> storey;</w:t>
            </w:r>
          </w:p>
        </w:tc>
      </w:tr>
      <w:tr w:rsidR="00E80767" w:rsidRPr="000F2AFF" w14:paraId="0EBB4ADA" w14:textId="77777777" w:rsidTr="008217FC">
        <w:tc>
          <w:tcPr>
            <w:tcW w:w="1275" w:type="dxa"/>
          </w:tcPr>
          <w:p w14:paraId="3B9702C6" w14:textId="38B5B7EC" w:rsidR="00E80767" w:rsidRPr="000F2AFF" w:rsidRDefault="00E80767" w:rsidP="002061E5">
            <w:pPr>
              <w:spacing w:after="60"/>
              <w:jc w:val="left"/>
              <w:rPr>
                <w:rFonts w:eastAsia="Times New Roman" w:cs="Cambria"/>
                <w:color w:val="000000" w:themeColor="text1"/>
                <w:szCs w:val="20"/>
                <w:lang w:eastAsia="fr-FR"/>
              </w:rPr>
            </w:pPr>
            <w:r w:rsidRPr="00741EE5">
              <w:rPr>
                <w:rFonts w:eastAsia="MS Mincho" w:cs="Cambria"/>
                <w:i/>
                <w:color w:val="000000" w:themeColor="text1"/>
                <w:szCs w:val="20"/>
              </w:rPr>
              <w:t>B</w:t>
            </w:r>
            <w:r w:rsidRPr="00741EE5">
              <w:rPr>
                <w:rFonts w:eastAsia="MS Mincho" w:cs="Cambria"/>
                <w:color w:val="000000" w:themeColor="text1"/>
                <w:szCs w:val="20"/>
                <w:vertAlign w:val="subscript"/>
              </w:rPr>
              <w:t>CL</w:t>
            </w:r>
            <w:r w:rsidRPr="00E80767">
              <w:rPr>
                <w:rFonts w:eastAsia="MS Mincho" w:cs="Cambria"/>
                <w:szCs w:val="20"/>
                <w:vertAlign w:val="subscript"/>
              </w:rPr>
              <w:t>T,i</w:t>
            </w:r>
            <w:r w:rsidRPr="00741EE5">
              <w:rPr>
                <w:rFonts w:eastAsia="MS Mincho" w:cs="Cambria"/>
                <w:color w:val="000000" w:themeColor="text1"/>
                <w:szCs w:val="20"/>
                <w:vertAlign w:val="subscript"/>
              </w:rPr>
              <w:t>,j</w:t>
            </w:r>
          </w:p>
        </w:tc>
        <w:tc>
          <w:tcPr>
            <w:tcW w:w="7938" w:type="dxa"/>
          </w:tcPr>
          <w:p w14:paraId="2B5248B0" w14:textId="2E848299" w:rsidR="00E80767" w:rsidRPr="00464B4C" w:rsidRDefault="00646E89" w:rsidP="002061E5">
            <w:pPr>
              <w:spacing w:after="60"/>
              <w:rPr>
                <w:rFonts w:eastAsia="Times New Roman" w:cs="Cambria"/>
                <w:color w:val="000000" w:themeColor="text1"/>
                <w:szCs w:val="20"/>
                <w:lang w:eastAsia="fr-FR"/>
              </w:rPr>
            </w:pPr>
            <w:r w:rsidRPr="00741EE5">
              <w:rPr>
                <w:rFonts w:eastAsia="MS Mincho" w:cs="Cambria"/>
                <w:color w:val="000000" w:themeColor="text1"/>
                <w:szCs w:val="20"/>
              </w:rPr>
              <w:t xml:space="preserve">is the length of the </w:t>
            </w:r>
            <w:r w:rsidRPr="00741EE5">
              <w:rPr>
                <w:rFonts w:eastAsia="MS Mincho" w:cs="Cambria"/>
                <w:i/>
                <w:color w:val="000000" w:themeColor="text1"/>
                <w:szCs w:val="20"/>
              </w:rPr>
              <w:t>j</w:t>
            </w:r>
            <w:r w:rsidRPr="00741EE5">
              <w:rPr>
                <w:rFonts w:eastAsia="MS Mincho" w:cs="Cambria"/>
                <w:i/>
                <w:color w:val="000000" w:themeColor="text1"/>
                <w:szCs w:val="20"/>
                <w:vertAlign w:val="superscript"/>
              </w:rPr>
              <w:t>th</w:t>
            </w:r>
            <w:r w:rsidRPr="00741EE5">
              <w:rPr>
                <w:rFonts w:eastAsia="MS Mincho" w:cs="Cambria"/>
                <w:color w:val="000000" w:themeColor="text1"/>
                <w:szCs w:val="20"/>
              </w:rPr>
              <w:t xml:space="preserve"> shear</w:t>
            </w:r>
            <w:r>
              <w:rPr>
                <w:rFonts w:eastAsia="MS Mincho" w:cs="Cambria"/>
                <w:color w:val="000000" w:themeColor="text1"/>
                <w:szCs w:val="20"/>
              </w:rPr>
              <w:t xml:space="preserve"> </w:t>
            </w:r>
            <w:r w:rsidRPr="00741EE5">
              <w:rPr>
                <w:rFonts w:eastAsia="MS Mincho" w:cs="Cambria"/>
                <w:color w:val="000000" w:themeColor="text1"/>
                <w:szCs w:val="20"/>
              </w:rPr>
              <w:t xml:space="preserve">wall at the </w:t>
            </w:r>
            <w:r w:rsidRPr="00741EE5">
              <w:rPr>
                <w:rFonts w:eastAsia="MS Mincho" w:cs="Cambria"/>
                <w:i/>
                <w:color w:val="000000" w:themeColor="text1"/>
                <w:szCs w:val="20"/>
              </w:rPr>
              <w:t>i</w:t>
            </w:r>
            <w:r w:rsidRPr="00741EE5">
              <w:rPr>
                <w:rFonts w:eastAsia="MS Mincho" w:cs="Cambria"/>
                <w:i/>
                <w:color w:val="000000" w:themeColor="text1"/>
                <w:szCs w:val="20"/>
                <w:vertAlign w:val="superscript"/>
              </w:rPr>
              <w:t>th</w:t>
            </w:r>
            <w:r w:rsidRPr="00741EE5">
              <w:rPr>
                <w:rFonts w:eastAsia="MS Mincho" w:cs="Cambria"/>
                <w:color w:val="000000" w:themeColor="text1"/>
                <w:szCs w:val="20"/>
              </w:rPr>
              <w:t xml:space="preserve"> storey;</w:t>
            </w:r>
          </w:p>
        </w:tc>
      </w:tr>
      <w:tr w:rsidR="00E80767" w:rsidRPr="000F2AFF" w14:paraId="7E06BE70" w14:textId="77777777" w:rsidTr="008217FC">
        <w:tc>
          <w:tcPr>
            <w:tcW w:w="1275" w:type="dxa"/>
          </w:tcPr>
          <w:p w14:paraId="4233488A" w14:textId="0E888D8B" w:rsidR="00E80767" w:rsidRPr="00E80767" w:rsidRDefault="009B5CEC" w:rsidP="002061E5">
            <w:pPr>
              <w:spacing w:after="60"/>
              <w:jc w:val="left"/>
              <w:rPr>
                <w:rFonts w:eastAsia="Times New Roman" w:cs="Cambria"/>
                <w:color w:val="000000" w:themeColor="text1"/>
                <w:szCs w:val="20"/>
                <w:lang w:eastAsia="fr-FR"/>
              </w:rPr>
            </w:pPr>
            <m:oMathPara>
              <m:oMathParaPr>
                <m:jc m:val="left"/>
              </m:oMathParaPr>
              <m:oMath>
                <m:sSub>
                  <m:sSubPr>
                    <m:ctrlPr>
                      <w:rPr>
                        <w:rFonts w:ascii="Cambria Math" w:eastAsia="MS Mincho" w:hAnsi="Cambria Math" w:cs="Cambria"/>
                        <w:i/>
                        <w:color w:val="000000" w:themeColor="text1"/>
                        <w:szCs w:val="20"/>
                      </w:rPr>
                    </m:ctrlPr>
                  </m:sSubPr>
                  <m:e>
                    <m:r>
                      <w:rPr>
                        <w:rFonts w:ascii="Cambria Math" w:eastAsia="MS Mincho" w:hAnsi="Cambria Math" w:cs="Cambria"/>
                        <w:color w:val="000000" w:themeColor="text1"/>
                        <w:szCs w:val="20"/>
                      </w:rPr>
                      <m:t>c</m:t>
                    </m:r>
                  </m:e>
                  <m:sub>
                    <m:r>
                      <w:rPr>
                        <w:rFonts w:ascii="Cambria Math" w:eastAsia="MS Mincho" w:hAnsi="Cambria Math" w:cs="Cambria"/>
                        <w:color w:val="000000" w:themeColor="text1"/>
                        <w:szCs w:val="20"/>
                      </w:rPr>
                      <m:t>hd</m:t>
                    </m:r>
                  </m:sub>
                </m:sSub>
              </m:oMath>
            </m:oMathPara>
          </w:p>
        </w:tc>
        <w:tc>
          <w:tcPr>
            <w:tcW w:w="7938" w:type="dxa"/>
          </w:tcPr>
          <w:p w14:paraId="4472AA94" w14:textId="51275838" w:rsidR="00E80767" w:rsidRPr="00464B4C" w:rsidRDefault="00646E89" w:rsidP="002061E5">
            <w:pPr>
              <w:spacing w:after="60"/>
              <w:rPr>
                <w:rFonts w:eastAsia="Times New Roman" w:cs="Cambria"/>
                <w:color w:val="000000" w:themeColor="text1"/>
                <w:szCs w:val="20"/>
                <w:lang w:eastAsia="fr-FR"/>
              </w:rPr>
            </w:pPr>
            <w:r w:rsidRPr="00741EE5">
              <w:rPr>
                <w:rFonts w:eastAsia="MS Mincho" w:cs="Cambria"/>
                <w:color w:val="000000" w:themeColor="text1"/>
                <w:szCs w:val="20"/>
              </w:rPr>
              <w:t xml:space="preserve">is the distance from the anchoring connections </w:t>
            </w:r>
            <w:r w:rsidRPr="00F12EA6">
              <w:rPr>
                <w:rFonts w:eastAsia="MS Mincho" w:cs="Cambria"/>
                <w:color w:val="000000" w:themeColor="text1"/>
                <w:szCs w:val="20"/>
              </w:rPr>
              <w:t>against</w:t>
            </w:r>
            <w:r w:rsidRPr="00741EE5">
              <w:rPr>
                <w:rFonts w:eastAsia="MS Mincho" w:cs="Cambria"/>
                <w:color w:val="000000" w:themeColor="text1"/>
                <w:szCs w:val="20"/>
              </w:rPr>
              <w:t xml:space="preserve"> </w:t>
            </w:r>
            <w:r w:rsidRPr="00646E89">
              <w:rPr>
                <w:rFonts w:eastAsia="MS Mincho" w:cs="Cambria"/>
                <w:szCs w:val="20"/>
              </w:rPr>
              <w:t xml:space="preserve">overturning </w:t>
            </w:r>
            <w:r w:rsidRPr="00741EE5">
              <w:rPr>
                <w:rFonts w:eastAsia="MS Mincho" w:cs="Cambria"/>
                <w:color w:val="000000" w:themeColor="text1"/>
                <w:szCs w:val="20"/>
              </w:rPr>
              <w:t>to the nearest vertical edge of the cross-laminated timber panel;</w:t>
            </w:r>
          </w:p>
        </w:tc>
      </w:tr>
      <w:tr w:rsidR="00E80767" w:rsidRPr="000F2AFF" w14:paraId="1D29754A" w14:textId="77777777" w:rsidTr="008217FC">
        <w:tc>
          <w:tcPr>
            <w:tcW w:w="1275" w:type="dxa"/>
          </w:tcPr>
          <w:p w14:paraId="63C4C440" w14:textId="77C76A69" w:rsidR="00E80767" w:rsidRPr="000F2AFF" w:rsidRDefault="009B5CEC" w:rsidP="002061E5">
            <w:pPr>
              <w:spacing w:after="60"/>
              <w:jc w:val="left"/>
              <w:rPr>
                <w:rFonts w:eastAsia="Times New Roman" w:cs="Cambria"/>
                <w:color w:val="000000" w:themeColor="text1"/>
                <w:szCs w:val="20"/>
                <w:lang w:eastAsia="fr-FR"/>
              </w:rPr>
            </w:pPr>
            <m:oMathPara>
              <m:oMath>
                <m:sSub>
                  <m:sSubPr>
                    <m:ctrlPr>
                      <w:rPr>
                        <w:rFonts w:ascii="Cambria Math" w:eastAsia="MS Mincho" w:hAnsi="Cambria Math" w:cs="Cambria"/>
                        <w:i/>
                        <w:color w:val="000000" w:themeColor="text1"/>
                        <w:szCs w:val="20"/>
                      </w:rPr>
                    </m:ctrlPr>
                  </m:sSubPr>
                  <m:e>
                    <m:r>
                      <w:rPr>
                        <w:rFonts w:ascii="Cambria Math" w:eastAsia="MS Mincho" w:hAnsi="Cambria Math" w:cs="Cambria"/>
                        <w:color w:val="000000" w:themeColor="text1"/>
                        <w:szCs w:val="20"/>
                      </w:rPr>
                      <m:t>f</m:t>
                    </m:r>
                  </m:e>
                  <m:sub>
                    <m:r>
                      <m:rPr>
                        <m:sty m:val="p"/>
                      </m:rPr>
                      <w:rPr>
                        <w:rFonts w:ascii="Cambria Math" w:eastAsia="MS Mincho" w:hAnsi="Cambria Math" w:cs="Cambria"/>
                        <w:color w:val="000000" w:themeColor="text1"/>
                        <w:szCs w:val="20"/>
                      </w:rPr>
                      <m:t>c,eff,CLT,i,j∙</m:t>
                    </m:r>
                  </m:sub>
                </m:sSub>
              </m:oMath>
            </m:oMathPara>
          </w:p>
        </w:tc>
        <w:tc>
          <w:tcPr>
            <w:tcW w:w="7938" w:type="dxa"/>
          </w:tcPr>
          <w:p w14:paraId="0EA9A4F1" w14:textId="6514FCDE" w:rsidR="00E80767" w:rsidRPr="00464B4C" w:rsidRDefault="00646E89" w:rsidP="002061E5">
            <w:pPr>
              <w:spacing w:after="60"/>
              <w:rPr>
                <w:rFonts w:eastAsia="Times New Roman" w:cs="Cambria"/>
                <w:color w:val="000000" w:themeColor="text1"/>
                <w:szCs w:val="20"/>
                <w:lang w:eastAsia="fr-FR"/>
              </w:rPr>
            </w:pPr>
            <w:r w:rsidRPr="00741EE5">
              <w:rPr>
                <w:rFonts w:eastAsia="MS Mincho" w:cs="Cambria"/>
                <w:color w:val="000000" w:themeColor="text1"/>
                <w:szCs w:val="20"/>
              </w:rPr>
              <w:t xml:space="preserve">is the effective compressive design strength of the </w:t>
            </w:r>
            <w:r w:rsidRPr="00741EE5">
              <w:rPr>
                <w:rFonts w:eastAsia="MS Mincho" w:cs="Cambria"/>
                <w:i/>
                <w:color w:val="000000" w:themeColor="text1"/>
                <w:szCs w:val="20"/>
              </w:rPr>
              <w:t>j</w:t>
            </w:r>
            <w:r w:rsidRPr="00741EE5">
              <w:rPr>
                <w:rFonts w:eastAsia="MS Mincho" w:cs="Cambria"/>
                <w:i/>
                <w:color w:val="000000" w:themeColor="text1"/>
                <w:szCs w:val="20"/>
                <w:vertAlign w:val="superscript"/>
              </w:rPr>
              <w:t>th</w:t>
            </w:r>
            <w:r w:rsidRPr="00741EE5">
              <w:rPr>
                <w:rFonts w:eastAsia="MS Mincho" w:cs="Cambria"/>
                <w:color w:val="000000" w:themeColor="text1"/>
                <w:szCs w:val="20"/>
              </w:rPr>
              <w:t xml:space="preserve"> shear</w:t>
            </w:r>
            <w:r>
              <w:rPr>
                <w:rFonts w:eastAsia="MS Mincho" w:cs="Cambria"/>
                <w:color w:val="000000" w:themeColor="text1"/>
                <w:szCs w:val="20"/>
              </w:rPr>
              <w:t xml:space="preserve"> </w:t>
            </w:r>
            <w:r w:rsidRPr="00741EE5">
              <w:rPr>
                <w:rFonts w:eastAsia="MS Mincho" w:cs="Cambria"/>
                <w:color w:val="000000" w:themeColor="text1"/>
                <w:szCs w:val="20"/>
              </w:rPr>
              <w:t xml:space="preserve">wall at the </w:t>
            </w:r>
            <w:r w:rsidRPr="00741EE5">
              <w:rPr>
                <w:rFonts w:eastAsia="MS Mincho" w:cs="Cambria"/>
                <w:i/>
                <w:color w:val="000000" w:themeColor="text1"/>
                <w:szCs w:val="20"/>
              </w:rPr>
              <w:t>i</w:t>
            </w:r>
            <w:r w:rsidRPr="00741EE5">
              <w:rPr>
                <w:rFonts w:eastAsia="MS Mincho" w:cs="Cambria"/>
                <w:i/>
                <w:color w:val="000000" w:themeColor="text1"/>
                <w:szCs w:val="20"/>
                <w:vertAlign w:val="superscript"/>
              </w:rPr>
              <w:t>th</w:t>
            </w:r>
            <w:r w:rsidRPr="00741EE5">
              <w:rPr>
                <w:rFonts w:eastAsia="MS Mincho" w:cs="Cambria"/>
                <w:color w:val="000000" w:themeColor="text1"/>
                <w:szCs w:val="20"/>
              </w:rPr>
              <w:t xml:space="preserve"> storey. It may be assumed to be equal to </w:t>
            </w:r>
            <w:r>
              <w:rPr>
                <w:rFonts w:eastAsia="MS Mincho" w:cs="Cambria"/>
                <w:color w:val="000000" w:themeColor="text1"/>
                <w:szCs w:val="20"/>
              </w:rPr>
              <w:t xml:space="preserve">either (i) </w:t>
            </w:r>
            <w:r w:rsidRPr="00741EE5">
              <w:rPr>
                <w:rFonts w:eastAsia="MS Mincho" w:cs="Cambria"/>
                <w:color w:val="000000" w:themeColor="text1"/>
                <w:szCs w:val="20"/>
              </w:rPr>
              <w:t>the compressive design strength parallel to the grain of wood laminations for shear</w:t>
            </w:r>
            <w:r>
              <w:rPr>
                <w:rFonts w:eastAsia="MS Mincho" w:cs="Cambria"/>
                <w:color w:val="000000" w:themeColor="text1"/>
                <w:szCs w:val="20"/>
              </w:rPr>
              <w:t xml:space="preserve"> </w:t>
            </w:r>
            <w:r w:rsidRPr="00741EE5">
              <w:rPr>
                <w:rFonts w:eastAsia="MS Mincho" w:cs="Cambria"/>
                <w:color w:val="000000" w:themeColor="text1"/>
                <w:szCs w:val="20"/>
              </w:rPr>
              <w:t xml:space="preserve">walls at ground level when directly placed on concrete or steel members, or </w:t>
            </w:r>
            <w:r>
              <w:rPr>
                <w:rFonts w:eastAsia="MS Mincho" w:cs="Cambria"/>
                <w:color w:val="000000" w:themeColor="text1"/>
                <w:szCs w:val="20"/>
              </w:rPr>
              <w:t>(ii)</w:t>
            </w:r>
            <w:r w:rsidRPr="00741EE5">
              <w:rPr>
                <w:rFonts w:eastAsia="MS Mincho" w:cs="Cambria"/>
                <w:color w:val="000000" w:themeColor="text1"/>
                <w:szCs w:val="20"/>
              </w:rPr>
              <w:t xml:space="preserve"> the compressive design strength perpendicular to the grain of wood laminations for the shear</w:t>
            </w:r>
            <w:r>
              <w:rPr>
                <w:rFonts w:eastAsia="MS Mincho" w:cs="Cambria"/>
                <w:color w:val="000000" w:themeColor="text1"/>
                <w:szCs w:val="20"/>
              </w:rPr>
              <w:t xml:space="preserve"> </w:t>
            </w:r>
            <w:r w:rsidRPr="00741EE5">
              <w:rPr>
                <w:rFonts w:eastAsia="MS Mincho" w:cs="Cambria"/>
                <w:color w:val="000000" w:themeColor="text1"/>
                <w:szCs w:val="20"/>
              </w:rPr>
              <w:t xml:space="preserve">walls at the upper levels when placed on </w:t>
            </w:r>
            <w:r w:rsidRPr="00646E89">
              <w:rPr>
                <w:rFonts w:eastAsia="MS Mincho" w:cs="Cambria"/>
                <w:szCs w:val="20"/>
              </w:rPr>
              <w:t>CLT f</w:t>
            </w:r>
            <w:r w:rsidRPr="00741EE5">
              <w:rPr>
                <w:rFonts w:eastAsia="MS Mincho" w:cs="Cambria"/>
                <w:color w:val="000000" w:themeColor="text1"/>
                <w:szCs w:val="20"/>
              </w:rPr>
              <w:t>loor panels;</w:t>
            </w:r>
          </w:p>
        </w:tc>
      </w:tr>
      <w:tr w:rsidR="00E80767" w:rsidRPr="000F2AFF" w14:paraId="52A7C032" w14:textId="77777777" w:rsidTr="008217FC">
        <w:tc>
          <w:tcPr>
            <w:tcW w:w="1275" w:type="dxa"/>
          </w:tcPr>
          <w:p w14:paraId="5583CDF8" w14:textId="1527E3C0" w:rsidR="00E80767" w:rsidRPr="00927C38" w:rsidRDefault="009B5CEC" w:rsidP="002061E5">
            <w:pPr>
              <w:spacing w:after="60"/>
              <w:jc w:val="left"/>
              <w:rPr>
                <w:i/>
              </w:rPr>
            </w:pPr>
            <m:oMathPara>
              <m:oMath>
                <m:sSub>
                  <m:sSubPr>
                    <m:ctrlPr>
                      <w:rPr>
                        <w:rFonts w:ascii="Cambria Math" w:eastAsia="MS Mincho" w:hAnsi="Cambria Math" w:cs="Cambria"/>
                        <w:i/>
                        <w:color w:val="000000" w:themeColor="text1"/>
                        <w:szCs w:val="20"/>
                      </w:rPr>
                    </m:ctrlPr>
                  </m:sSubPr>
                  <m:e>
                    <m:r>
                      <w:rPr>
                        <w:rFonts w:ascii="Cambria Math" w:eastAsia="MS Mincho" w:hAnsi="Cambria Math" w:cs="Cambria"/>
                        <w:color w:val="000000" w:themeColor="text1"/>
                        <w:szCs w:val="20"/>
                      </w:rPr>
                      <m:t>t</m:t>
                    </m:r>
                  </m:e>
                  <m:sub>
                    <m:r>
                      <m:rPr>
                        <m:sty m:val="p"/>
                      </m:rPr>
                      <w:rPr>
                        <w:rFonts w:ascii="Cambria Math" w:eastAsia="MS Mincho" w:hAnsi="Cambria Math" w:cs="Cambria"/>
                        <w:color w:val="000000" w:themeColor="text1"/>
                        <w:szCs w:val="20"/>
                      </w:rPr>
                      <m:t>eff,CLT,i,j∙</m:t>
                    </m:r>
                  </m:sub>
                </m:sSub>
              </m:oMath>
            </m:oMathPara>
          </w:p>
        </w:tc>
        <w:tc>
          <w:tcPr>
            <w:tcW w:w="7938" w:type="dxa"/>
          </w:tcPr>
          <w:p w14:paraId="3C8197C2" w14:textId="5D1C2B19" w:rsidR="00E80767" w:rsidRPr="00927C38" w:rsidRDefault="00646E89" w:rsidP="002061E5">
            <w:pPr>
              <w:spacing w:after="60"/>
            </w:pPr>
            <w:r w:rsidRPr="00741EE5">
              <w:rPr>
                <w:rFonts w:eastAsia="MS Mincho" w:cs="Cambria"/>
                <w:color w:val="000000" w:themeColor="text1"/>
                <w:szCs w:val="20"/>
              </w:rPr>
              <w:t xml:space="preserve">is the effective compressive thickness of the </w:t>
            </w:r>
            <w:r w:rsidRPr="00741EE5">
              <w:rPr>
                <w:rFonts w:eastAsia="MS Mincho" w:cs="Cambria"/>
                <w:i/>
                <w:color w:val="000000" w:themeColor="text1"/>
                <w:szCs w:val="20"/>
              </w:rPr>
              <w:t>j</w:t>
            </w:r>
            <w:r w:rsidRPr="00741EE5">
              <w:rPr>
                <w:rFonts w:eastAsia="MS Mincho" w:cs="Cambria"/>
                <w:i/>
                <w:color w:val="000000" w:themeColor="text1"/>
                <w:szCs w:val="20"/>
                <w:vertAlign w:val="superscript"/>
              </w:rPr>
              <w:t>th</w:t>
            </w:r>
            <w:r w:rsidRPr="00741EE5">
              <w:rPr>
                <w:rFonts w:eastAsia="MS Mincho" w:cs="Cambria"/>
                <w:color w:val="000000" w:themeColor="text1"/>
                <w:szCs w:val="20"/>
              </w:rPr>
              <w:t xml:space="preserve"> shear</w:t>
            </w:r>
            <w:r>
              <w:rPr>
                <w:rFonts w:eastAsia="MS Mincho" w:cs="Cambria"/>
                <w:color w:val="000000" w:themeColor="text1"/>
                <w:szCs w:val="20"/>
              </w:rPr>
              <w:t xml:space="preserve"> </w:t>
            </w:r>
            <w:r w:rsidRPr="00741EE5">
              <w:rPr>
                <w:rFonts w:eastAsia="MS Mincho" w:cs="Cambria"/>
                <w:color w:val="000000" w:themeColor="text1"/>
                <w:szCs w:val="20"/>
              </w:rPr>
              <w:t xml:space="preserve">wall at the </w:t>
            </w:r>
            <w:r w:rsidRPr="00741EE5">
              <w:rPr>
                <w:rFonts w:eastAsia="MS Mincho" w:cs="Cambria"/>
                <w:i/>
                <w:color w:val="000000" w:themeColor="text1"/>
                <w:szCs w:val="20"/>
              </w:rPr>
              <w:t>i</w:t>
            </w:r>
            <w:r w:rsidRPr="00741EE5">
              <w:rPr>
                <w:rFonts w:eastAsia="MS Mincho" w:cs="Cambria"/>
                <w:i/>
                <w:color w:val="000000" w:themeColor="text1"/>
                <w:szCs w:val="20"/>
                <w:vertAlign w:val="superscript"/>
              </w:rPr>
              <w:t>th</w:t>
            </w:r>
            <w:r w:rsidRPr="00741EE5">
              <w:rPr>
                <w:rFonts w:eastAsia="MS Mincho" w:cs="Cambria"/>
                <w:color w:val="000000" w:themeColor="text1"/>
                <w:szCs w:val="20"/>
              </w:rPr>
              <w:t xml:space="preserve"> storey. It may be assumed to be equal to </w:t>
            </w:r>
            <w:r>
              <w:rPr>
                <w:rFonts w:eastAsia="MS Mincho" w:cs="Cambria"/>
                <w:color w:val="000000" w:themeColor="text1"/>
                <w:szCs w:val="20"/>
              </w:rPr>
              <w:t xml:space="preserve">(i) the </w:t>
            </w:r>
            <w:r w:rsidRPr="00741EE5">
              <w:rPr>
                <w:rFonts w:eastAsia="MS Mincho" w:cs="Cambria"/>
                <w:color w:val="000000" w:themeColor="text1"/>
                <w:szCs w:val="20"/>
              </w:rPr>
              <w:t>total thickness of vertical layers for shear</w:t>
            </w:r>
            <w:r>
              <w:rPr>
                <w:rFonts w:eastAsia="MS Mincho" w:cs="Cambria"/>
                <w:color w:val="000000" w:themeColor="text1"/>
                <w:szCs w:val="20"/>
              </w:rPr>
              <w:t xml:space="preserve"> </w:t>
            </w:r>
            <w:r w:rsidRPr="00741EE5">
              <w:rPr>
                <w:rFonts w:eastAsia="MS Mincho" w:cs="Cambria"/>
                <w:color w:val="000000" w:themeColor="text1"/>
                <w:szCs w:val="20"/>
              </w:rPr>
              <w:t xml:space="preserve">walls at the ground </w:t>
            </w:r>
            <w:r w:rsidRPr="00646E89">
              <w:rPr>
                <w:rFonts w:eastAsia="MS Mincho" w:cs="Cambria"/>
                <w:szCs w:val="20"/>
              </w:rPr>
              <w:t>level when directly placed on either concrete or steel members, or (ii) the total thickness of the CLT panel for shear walls at the upper levels when placed on CLT flo</w:t>
            </w:r>
            <w:r w:rsidRPr="00741EE5">
              <w:rPr>
                <w:rFonts w:eastAsia="MS Mincho" w:cs="Cambria"/>
                <w:color w:val="000000" w:themeColor="text1"/>
                <w:szCs w:val="20"/>
              </w:rPr>
              <w:t>or panels</w:t>
            </w:r>
            <w:r>
              <w:rPr>
                <w:rFonts w:eastAsia="MS Mincho" w:cs="Cambria"/>
                <w:color w:val="000000" w:themeColor="text1"/>
                <w:szCs w:val="20"/>
              </w:rPr>
              <w:t>.</w:t>
            </w:r>
          </w:p>
        </w:tc>
      </w:tr>
    </w:tbl>
    <w:p w14:paraId="176A7144" w14:textId="07B443A2" w:rsidR="00646E89" w:rsidRPr="00741EE5" w:rsidRDefault="00646E89" w:rsidP="00646E89">
      <w:pPr>
        <w:pStyle w:val="Notetext"/>
      </w:pPr>
      <w:r w:rsidRPr="00741EE5">
        <w:t>NOTE</w:t>
      </w:r>
      <w:r w:rsidRPr="00741EE5">
        <w:tab/>
        <w:t>A rectangular stress-block model on 80</w:t>
      </w:r>
      <w:r w:rsidR="008217FC">
        <w:t> </w:t>
      </w:r>
      <w:r w:rsidRPr="00741EE5">
        <w:t xml:space="preserve">% of the length of the compression zone </w:t>
      </w:r>
      <m:oMath>
        <m:sSub>
          <m:sSubPr>
            <m:ctrlPr>
              <w:rPr>
                <w:rFonts w:ascii="Cambria Math" w:hAnsi="Cambria Math"/>
                <w:i/>
              </w:rPr>
            </m:ctrlPr>
          </m:sSubPr>
          <m:e>
            <m:r>
              <w:rPr>
                <w:rFonts w:ascii="Cambria Math" w:hAnsi="Cambria Math"/>
              </w:rPr>
              <m:t>x</m:t>
            </m:r>
          </m:e>
          <m:sub>
            <m:r>
              <m:rPr>
                <m:sty m:val="p"/>
              </m:rPr>
              <w:rPr>
                <w:rFonts w:ascii="Cambria Math" w:hAnsi="Cambria Math"/>
              </w:rPr>
              <m:t>c</m:t>
            </m:r>
          </m:sub>
        </m:sSub>
        <m:r>
          <w:rPr>
            <w:rFonts w:ascii="Cambria Math" w:hAnsi="Cambria Math"/>
          </w:rPr>
          <m:t xml:space="preserve"> </m:t>
        </m:r>
      </m:oMath>
      <w:r w:rsidRPr="00741EE5">
        <w:t xml:space="preserve">is adopted in the caldulation of the design rocking strength as shown in Figure </w:t>
      </w:r>
      <w:r>
        <w:t>13.5</w:t>
      </w:r>
      <w:r w:rsidRPr="00741EE5">
        <w:t>.</w:t>
      </w:r>
    </w:p>
    <w:p w14:paraId="1EA6CA1C" w14:textId="0A277593" w:rsidR="00646E89" w:rsidRDefault="008D5E59" w:rsidP="008D5E59">
      <w:pPr>
        <w:pStyle w:val="FigureImage"/>
        <w:rPr>
          <w:rFonts w:eastAsia="MS Mincho"/>
        </w:rPr>
      </w:pPr>
      <w:r>
        <w:rPr>
          <w:rFonts w:eastAsia="MS Mincho"/>
          <w:noProof/>
        </w:rPr>
        <w:lastRenderedPageBreak/>
        <w:drawing>
          <wp:inline distT="0" distB="0" distL="0" distR="0" wp14:anchorId="26D643F9" wp14:editId="41C904E5">
            <wp:extent cx="3599694" cy="2894081"/>
            <wp:effectExtent l="0" t="0" r="1270" b="0"/>
            <wp:docPr id="1661690644" name="0049.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1690644" name="0049.tiff"/>
                    <pic:cNvPicPr/>
                  </pic:nvPicPr>
                  <pic:blipFill>
                    <a:blip r:link="rId74"/>
                    <a:stretch>
                      <a:fillRect/>
                    </a:stretch>
                  </pic:blipFill>
                  <pic:spPr>
                    <a:xfrm>
                      <a:off x="0" y="0"/>
                      <a:ext cx="3599694" cy="2894081"/>
                    </a:xfrm>
                    <a:prstGeom prst="rect">
                      <a:avLst/>
                    </a:prstGeom>
                  </pic:spPr>
                </pic:pic>
              </a:graphicData>
            </a:graphic>
          </wp:inline>
        </w:drawing>
      </w:r>
    </w:p>
    <w:p w14:paraId="7FA45DAC" w14:textId="2F9A7746" w:rsidR="00646E89" w:rsidRDefault="00646E89" w:rsidP="00646E89">
      <w:pPr>
        <w:pStyle w:val="Figuretitle"/>
      </w:pPr>
      <w:r w:rsidRPr="00265754">
        <w:t xml:space="preserve">Figure </w:t>
      </w:r>
      <w:r w:rsidR="0062443F">
        <w:t>13.5</w:t>
      </w:r>
      <w:r w:rsidRPr="00265754">
        <w:t> </w:t>
      </w:r>
      <w:r w:rsidRPr="00265754">
        <w:rPr>
          <w:rFonts w:ascii="`ÃÍœ˛" w:eastAsia="Cambria" w:hAnsi="`ÃÍœ˛" w:cs="`ÃÍœ˛"/>
          <w:szCs w:val="22"/>
          <w:lang w:eastAsia="de-DE"/>
        </w:rPr>
        <w:t>—</w:t>
      </w:r>
      <w:r w:rsidRPr="00265754">
        <w:t> </w:t>
      </w:r>
      <w:r w:rsidRPr="009E2611">
        <w:t xml:space="preserve">Calculation model for the design rocking strength of a single-panel </w:t>
      </w:r>
      <w:r w:rsidRPr="00646E89">
        <w:t>CLT s</w:t>
      </w:r>
      <w:r w:rsidRPr="009E2611">
        <w:t>hear</w:t>
      </w:r>
      <w:r>
        <w:t xml:space="preserve"> </w:t>
      </w:r>
      <w:r w:rsidRPr="009E2611">
        <w:t>wall</w:t>
      </w:r>
    </w:p>
    <w:p w14:paraId="5FAA96F4" w14:textId="0412FF70" w:rsidR="00646E89" w:rsidRDefault="00646E89" w:rsidP="00724E4E">
      <w:pPr>
        <w:pStyle w:val="Clause"/>
      </w:pPr>
      <w:r w:rsidRPr="005E3704">
        <w:t xml:space="preserve">The design lateral strength </w:t>
      </w:r>
      <w:r w:rsidRPr="005E3704">
        <w:rPr>
          <w:i/>
        </w:rPr>
        <w:t>V</w:t>
      </w:r>
      <w:r w:rsidRPr="00C349E7">
        <w:rPr>
          <w:vertAlign w:val="subscript"/>
        </w:rPr>
        <w:t>Rd,a,i,j</w:t>
      </w:r>
      <w:r w:rsidRPr="00C349E7">
        <w:t xml:space="preserve"> related to shear connections of the </w:t>
      </w:r>
      <w:r w:rsidRPr="00C349E7">
        <w:rPr>
          <w:i/>
        </w:rPr>
        <w:t>j</w:t>
      </w:r>
      <w:r w:rsidRPr="00C349E7">
        <w:rPr>
          <w:i/>
          <w:vertAlign w:val="superscript"/>
        </w:rPr>
        <w:t>th</w:t>
      </w:r>
      <w:r w:rsidRPr="00C349E7">
        <w:t xml:space="preserve"> shear wall at the i</w:t>
      </w:r>
      <w:r w:rsidRPr="00C349E7">
        <w:rPr>
          <w:i/>
          <w:vertAlign w:val="superscript"/>
        </w:rPr>
        <w:t>th</w:t>
      </w:r>
      <w:r w:rsidRPr="00C349E7">
        <w:t xml:space="preserve"> storey should be calculated as the sum of the horizontal-shear strength of all shear connections used to anchor the shear wall to the foundation or the floor underneath.</w:t>
      </w:r>
    </w:p>
    <w:p w14:paraId="2E6DF811" w14:textId="67DE30B2" w:rsidR="00646E89" w:rsidRDefault="00646E89" w:rsidP="00724E4E">
      <w:pPr>
        <w:pStyle w:val="Clause"/>
      </w:pPr>
      <w:r>
        <w:t xml:space="preserve">Alternatively to </w:t>
      </w:r>
      <w:r w:rsidRPr="00835C82">
        <w:t>(6)</w:t>
      </w:r>
      <w:r>
        <w:t xml:space="preserve"> to </w:t>
      </w:r>
      <w:r w:rsidRPr="00835C82">
        <w:t>(8)</w:t>
      </w:r>
      <w:r>
        <w:t>, t</w:t>
      </w:r>
      <w:r w:rsidRPr="00D75444">
        <w:t xml:space="preserve">he minimum value of all overstrength ratios </w:t>
      </w:r>
      <m:oMath>
        <m:sSub>
          <m:sSubPr>
            <m:ctrlPr>
              <w:rPr>
                <w:rFonts w:ascii="Cambria Math" w:hAnsi="Cambria Math"/>
              </w:rPr>
            </m:ctrlPr>
          </m:sSubPr>
          <m:e>
            <m:r>
              <w:rPr>
                <w:rFonts w:ascii="Cambria Math" w:hAnsi="Cambria Math"/>
              </w:rPr>
              <m:t>Ω</m:t>
            </m:r>
          </m:e>
          <m:sub>
            <m:r>
              <m:rPr>
                <m:sty m:val="p"/>
              </m:rPr>
              <w:rPr>
                <w:rFonts w:ascii="Cambria Math" w:hAnsi="Cambria Math"/>
              </w:rPr>
              <m:t>d</m:t>
            </m:r>
          </m:sub>
        </m:sSub>
        <m:r>
          <m:rPr>
            <m:sty m:val="p"/>
          </m:rPr>
          <w:rPr>
            <w:rFonts w:ascii="Cambria Math" w:hAnsi="Cambria Math"/>
          </w:rPr>
          <m:t xml:space="preserve"> </m:t>
        </m:r>
      </m:oMath>
      <w:r>
        <w:t>may</w:t>
      </w:r>
      <w:r w:rsidRPr="00D75444">
        <w:t xml:space="preserve"> be assumed equal to 1,1.</w:t>
      </w:r>
    </w:p>
    <w:p w14:paraId="4BD26D75" w14:textId="5BAB2898" w:rsidR="00646E89" w:rsidRPr="00132C1E" w:rsidRDefault="00646E89" w:rsidP="00646E89">
      <w:pPr>
        <w:pStyle w:val="Notetext"/>
      </w:pPr>
      <w:r>
        <w:t>NOTE</w:t>
      </w:r>
      <w:r>
        <w:tab/>
      </w:r>
      <w:r w:rsidRPr="0062443F">
        <w:rPr>
          <w:rFonts w:eastAsia="Cambria"/>
          <w:bCs/>
        </w:rPr>
        <w:t>(6) to (8) give a</w:t>
      </w:r>
      <w:r w:rsidRPr="0062443F">
        <w:rPr>
          <w:bCs/>
        </w:rPr>
        <w:t xml:space="preserve"> rigorous</w:t>
      </w:r>
      <w:r w:rsidRPr="00E63ABD">
        <w:t xml:space="preserve"> approach for the determination of </w:t>
      </w:r>
      <m:oMath>
        <m:sSub>
          <m:sSubPr>
            <m:ctrlPr>
              <w:rPr>
                <w:rFonts w:ascii="Cambria Math" w:hAnsi="Cambria Math"/>
              </w:rPr>
            </m:ctrlPr>
          </m:sSubPr>
          <m:e>
            <m:r>
              <w:rPr>
                <w:rFonts w:ascii="Cambria Math" w:hAnsi="Cambria Math"/>
              </w:rPr>
              <m:t>Ω</m:t>
            </m:r>
          </m:e>
          <m:sub>
            <m:r>
              <m:rPr>
                <m:sty m:val="p"/>
              </m:rPr>
              <w:rPr>
                <w:rFonts w:ascii="Cambria Math" w:hAnsi="Cambria Math"/>
              </w:rPr>
              <m:t>d</m:t>
            </m:r>
          </m:sub>
        </m:sSub>
      </m:oMath>
      <w:r w:rsidRPr="00E63ABD">
        <w:t>.</w:t>
      </w:r>
    </w:p>
    <w:p w14:paraId="62BDEDB4" w14:textId="51FF01AB" w:rsidR="00646E89" w:rsidRPr="0075140E" w:rsidRDefault="00646E89" w:rsidP="00724E4E">
      <w:pPr>
        <w:pStyle w:val="Clause"/>
      </w:pPr>
      <w:r w:rsidRPr="005E3704">
        <w:t xml:space="preserve">The ductility of the dissipative connections defined in </w:t>
      </w:r>
      <w:r w:rsidRPr="00835C82">
        <w:t>(2)</w:t>
      </w:r>
      <w:r w:rsidRPr="00C349E7">
        <w:t xml:space="preserve"> should be achieved by satisfying either </w:t>
      </w:r>
      <w:r w:rsidRPr="00835C82">
        <w:t>13.4.2(7)</w:t>
      </w:r>
      <w:r w:rsidRPr="00C349E7">
        <w:t xml:space="preserve"> or </w:t>
      </w:r>
      <w:r w:rsidRPr="00835C82">
        <w:t>13.4.2(11)</w:t>
      </w:r>
      <w:r w:rsidRPr="0075140E">
        <w:t>.</w:t>
      </w:r>
    </w:p>
    <w:p w14:paraId="2B55082E" w14:textId="460A82C0" w:rsidR="00646E89" w:rsidRPr="003228DA" w:rsidRDefault="00646E89" w:rsidP="00724E4E">
      <w:pPr>
        <w:pStyle w:val="Clause"/>
      </w:pPr>
      <w:r w:rsidRPr="003228DA">
        <w:t xml:space="preserve">Brittle failures in the dissipative connections listed in </w:t>
      </w:r>
      <w:r w:rsidRPr="00835C82">
        <w:t>(2)</w:t>
      </w:r>
      <w:r w:rsidRPr="003228DA">
        <w:t xml:space="preserve">, such as net tensile failure of timber, failure </w:t>
      </w:r>
      <w:r w:rsidRPr="00B33E3E">
        <w:t xml:space="preserve">by row shear, block shear, plug shear and failure by splitting according to </w:t>
      </w:r>
      <w:r w:rsidR="007F3697">
        <w:t>prEN </w:t>
      </w:r>
      <w:r w:rsidR="006067DF">
        <w:t>1995-1-1:2023</w:t>
      </w:r>
      <w:r w:rsidRPr="00B33E3E">
        <w:t xml:space="preserve">, </w:t>
      </w:r>
      <w:r w:rsidRPr="00835C82">
        <w:t>11.6</w:t>
      </w:r>
      <w:r w:rsidRPr="00B33E3E">
        <w:t>, should</w:t>
      </w:r>
      <w:r w:rsidRPr="003228DA">
        <w:t xml:space="preserve"> be avoided </w:t>
      </w:r>
      <w:bookmarkStart w:id="10348" w:name="_Hlk16950392"/>
      <w:r w:rsidRPr="003228DA">
        <w:t>by satisfying Formula (13.4) with consideration of the overstrength factors given in Table 13.4 at connection level.</w:t>
      </w:r>
      <w:bookmarkEnd w:id="10348"/>
    </w:p>
    <w:p w14:paraId="782794DD" w14:textId="4B8357FD" w:rsidR="00646E89" w:rsidRPr="003228DA" w:rsidRDefault="00646E89" w:rsidP="00724E4E">
      <w:pPr>
        <w:pStyle w:val="Clause"/>
      </w:pPr>
      <w:r w:rsidRPr="003228DA">
        <w:t>The overstrength factors in Table 13.4 at connection level should be used to satisfy Formula (13.4) such that brittle failure mechanisms of 2D- and 3D-</w:t>
      </w:r>
      <w:r w:rsidRPr="00646E89">
        <w:t>connectors</w:t>
      </w:r>
      <w:r w:rsidRPr="003228DA">
        <w:t>, listed in a) to f), do not occur:</w:t>
      </w:r>
    </w:p>
    <w:p w14:paraId="2186DF6B" w14:textId="77777777" w:rsidR="00646E89" w:rsidRPr="00132C1E" w:rsidRDefault="00646E89" w:rsidP="008217FC">
      <w:pPr>
        <w:pStyle w:val="Text"/>
        <w:numPr>
          <w:ilvl w:val="0"/>
          <w:numId w:val="671"/>
        </w:numPr>
        <w:spacing w:after="200"/>
      </w:pPr>
      <w:r w:rsidRPr="00132C1E">
        <w:t>withdrawal failure of anchor bolts or screws connecting the hold-down to the floor or the foundation;</w:t>
      </w:r>
    </w:p>
    <w:p w14:paraId="4E35CC89" w14:textId="77777777" w:rsidR="00646E89" w:rsidRPr="00132C1E" w:rsidRDefault="00646E89" w:rsidP="008217FC">
      <w:pPr>
        <w:pStyle w:val="Text"/>
        <w:numPr>
          <w:ilvl w:val="0"/>
          <w:numId w:val="671"/>
        </w:numPr>
        <w:spacing w:after="200"/>
      </w:pPr>
      <w:r w:rsidRPr="00132C1E">
        <w:t>shear failure of anchor bolts, screws or nails connecting the tie-down with the wall underneath or the foundation;</w:t>
      </w:r>
    </w:p>
    <w:p w14:paraId="00F4743F" w14:textId="77777777" w:rsidR="00646E89" w:rsidRPr="00132C1E" w:rsidRDefault="00646E89" w:rsidP="008217FC">
      <w:pPr>
        <w:pStyle w:val="Text"/>
        <w:numPr>
          <w:ilvl w:val="0"/>
          <w:numId w:val="671"/>
        </w:numPr>
        <w:spacing w:after="200"/>
      </w:pPr>
      <w:r w:rsidRPr="00132C1E">
        <w:t>shear failure of screws or anchor bolts connecting the angle bracket or the shear plate with the floor or foundation underneath;</w:t>
      </w:r>
    </w:p>
    <w:p w14:paraId="3D1C4B83" w14:textId="77777777" w:rsidR="00646E89" w:rsidRPr="00132C1E" w:rsidRDefault="00646E89" w:rsidP="008217FC">
      <w:pPr>
        <w:pStyle w:val="Text"/>
        <w:numPr>
          <w:ilvl w:val="0"/>
          <w:numId w:val="671"/>
        </w:numPr>
        <w:spacing w:after="200"/>
      </w:pPr>
      <w:r w:rsidRPr="00132C1E">
        <w:t>shear, tensile and pull-through failure of anchor bolts or screws;</w:t>
      </w:r>
    </w:p>
    <w:p w14:paraId="0189A408" w14:textId="77777777" w:rsidR="00646E89" w:rsidRPr="00132C1E" w:rsidRDefault="00646E89" w:rsidP="008217FC">
      <w:pPr>
        <w:pStyle w:val="Text"/>
        <w:numPr>
          <w:ilvl w:val="0"/>
          <w:numId w:val="671"/>
        </w:numPr>
        <w:spacing w:after="200"/>
      </w:pPr>
      <w:r w:rsidRPr="00132C1E">
        <w:t>steel plate tensile fracture in the weakest section of hold-down and tie-downs;</w:t>
      </w:r>
    </w:p>
    <w:p w14:paraId="186671C5" w14:textId="77777777" w:rsidR="00646E89" w:rsidRPr="00132C1E" w:rsidRDefault="00646E89" w:rsidP="008217FC">
      <w:pPr>
        <w:pStyle w:val="Text"/>
        <w:numPr>
          <w:ilvl w:val="0"/>
          <w:numId w:val="671"/>
        </w:numPr>
        <w:spacing w:after="200"/>
      </w:pPr>
      <w:r w:rsidRPr="00132C1E">
        <w:t>shear failure in the weakest section of angle brackets and shear plates.</w:t>
      </w:r>
    </w:p>
    <w:p w14:paraId="2D274226" w14:textId="77777777" w:rsidR="00646E89" w:rsidRPr="00132C1E" w:rsidRDefault="00646E89" w:rsidP="00646E89">
      <w:pPr>
        <w:pStyle w:val="Heading3"/>
      </w:pPr>
      <w:bookmarkStart w:id="10349" w:name="_Toc520573571"/>
      <w:bookmarkStart w:id="10350" w:name="_Toc2160626"/>
      <w:bookmarkStart w:id="10351" w:name="_Toc17491747"/>
      <w:bookmarkStart w:id="10352" w:name="_Toc50150580"/>
      <w:bookmarkStart w:id="10353" w:name="_Toc70887012"/>
      <w:bookmarkStart w:id="10354" w:name="_Toc108342582"/>
      <w:bookmarkStart w:id="10355" w:name="_Toc134198104"/>
      <w:r>
        <w:lastRenderedPageBreak/>
        <w:t>Verification in</w:t>
      </w:r>
      <w:r w:rsidRPr="00132C1E">
        <w:t xml:space="preserve"> DC3</w:t>
      </w:r>
      <w:bookmarkEnd w:id="10349"/>
      <w:bookmarkEnd w:id="10350"/>
      <w:bookmarkEnd w:id="10351"/>
      <w:bookmarkEnd w:id="10352"/>
      <w:bookmarkEnd w:id="10353"/>
      <w:bookmarkEnd w:id="10354"/>
      <w:bookmarkEnd w:id="10355"/>
    </w:p>
    <w:p w14:paraId="562177E5" w14:textId="19669F03" w:rsidR="00646E89" w:rsidRDefault="00646E89" w:rsidP="0080187E">
      <w:pPr>
        <w:pStyle w:val="Clause"/>
        <w:numPr>
          <w:ilvl w:val="0"/>
          <w:numId w:val="459"/>
        </w:numPr>
      </w:pPr>
      <w:r w:rsidRPr="00E921F5">
        <w:t>In</w:t>
      </w:r>
      <w:r w:rsidRPr="00132C1E">
        <w:t xml:space="preserve"> </w:t>
      </w:r>
      <w:r>
        <w:t>C</w:t>
      </w:r>
      <w:r w:rsidRPr="00646E89">
        <w:t>LT</w:t>
      </w:r>
      <w:r w:rsidRPr="00132C1E">
        <w:t xml:space="preserve"> structures designed for DC3, the primary shear walls should all be segmented walls in each principal direction.</w:t>
      </w:r>
    </w:p>
    <w:p w14:paraId="5D016458" w14:textId="575BCF48" w:rsidR="00646E89" w:rsidRPr="00132C1E" w:rsidRDefault="00646E89" w:rsidP="00724E4E">
      <w:pPr>
        <w:pStyle w:val="Clause"/>
      </w:pPr>
      <w:r w:rsidRPr="00132C1E">
        <w:t>Segmented walls (Figure 13.3(b)) should be composed of more than on</w:t>
      </w:r>
      <w:r w:rsidRPr="003C131A">
        <w:rPr>
          <w:color w:val="auto"/>
        </w:rPr>
        <w:t>e CLT panel, each with a length not smaller than 0,25</w:t>
      </w:r>
      <w:r w:rsidRPr="003C131A">
        <w:rPr>
          <w:i/>
          <w:color w:val="auto"/>
        </w:rPr>
        <w:t>h</w:t>
      </w:r>
      <w:r w:rsidRPr="003C131A">
        <w:rPr>
          <w:iCs/>
          <w:color w:val="auto"/>
          <w:vertAlign w:val="subscript"/>
        </w:rPr>
        <w:t>s</w:t>
      </w:r>
      <w:r w:rsidRPr="003C131A">
        <w:rPr>
          <w:color w:val="auto"/>
        </w:rPr>
        <w:t xml:space="preserve"> and not greater than </w:t>
      </w:r>
      <w:r w:rsidRPr="003C131A">
        <w:rPr>
          <w:i/>
          <w:color w:val="auto"/>
        </w:rPr>
        <w:t>h</w:t>
      </w:r>
      <w:r w:rsidRPr="003C131A">
        <w:rPr>
          <w:iCs/>
          <w:color w:val="auto"/>
          <w:vertAlign w:val="subscript"/>
        </w:rPr>
        <w:t>s</w:t>
      </w:r>
      <w:r w:rsidRPr="003C131A">
        <w:rPr>
          <w:color w:val="auto"/>
        </w:rPr>
        <w:t xml:space="preserve">, where </w:t>
      </w:r>
      <w:r w:rsidRPr="003C131A">
        <w:rPr>
          <w:i/>
          <w:color w:val="auto"/>
        </w:rPr>
        <w:t>h</w:t>
      </w:r>
      <w:r w:rsidRPr="003C131A">
        <w:rPr>
          <w:iCs/>
          <w:color w:val="auto"/>
          <w:vertAlign w:val="subscript"/>
        </w:rPr>
        <w:t>s</w:t>
      </w:r>
      <w:r w:rsidRPr="003C131A">
        <w:rPr>
          <w:color w:val="auto"/>
        </w:rPr>
        <w:t xml:space="preserve"> is t</w:t>
      </w:r>
      <w:r w:rsidRPr="00132C1E">
        <w:t>he interstorey height.</w:t>
      </w:r>
    </w:p>
    <w:p w14:paraId="19736587" w14:textId="380A76C8" w:rsidR="00646E89" w:rsidRDefault="00646E89" w:rsidP="00724E4E">
      <w:pPr>
        <w:pStyle w:val="Clause"/>
      </w:pPr>
      <w:r w:rsidRPr="00132C1E">
        <w:t xml:space="preserve">In a segmented wall, the </w:t>
      </w:r>
      <w:r w:rsidRPr="003C131A">
        <w:rPr>
          <w:color w:val="auto"/>
        </w:rPr>
        <w:t xml:space="preserve">CLT panels </w:t>
      </w:r>
      <w:r w:rsidRPr="00132C1E">
        <w:t xml:space="preserve">should be connected with vertical joints made with metal fasteners (screws or nails) inserted perpendicular to the shear plane. Sheathing material according to </w:t>
      </w:r>
      <w:r w:rsidRPr="00835C82">
        <w:t>13.3.2(4)</w:t>
      </w:r>
      <w:r w:rsidRPr="00132C1E">
        <w:t xml:space="preserve"> may be used in the joint.</w:t>
      </w:r>
    </w:p>
    <w:p w14:paraId="7B0AB28C" w14:textId="047B9D51" w:rsidR="00646E89" w:rsidRDefault="00646E89" w:rsidP="00724E4E">
      <w:pPr>
        <w:pStyle w:val="Clause"/>
      </w:pPr>
      <w:r w:rsidRPr="00132C1E">
        <w:t xml:space="preserve">In addition to </w:t>
      </w:r>
      <w:r w:rsidRPr="00835C82">
        <w:t>13.7.2(2)</w:t>
      </w:r>
      <w:r w:rsidRPr="00132C1E">
        <w:t xml:space="preserve">, vertical screwed or nailed joints between adjacent parallel wall panels within the segmented shear walls </w:t>
      </w:r>
      <w:r w:rsidRPr="0075140E">
        <w:t>should be</w:t>
      </w:r>
      <w:r w:rsidRPr="00132C1E">
        <w:t xml:space="preserve"> </w:t>
      </w:r>
      <w:r w:rsidRPr="0075140E">
        <w:t>designed for dissipative behaviour.</w:t>
      </w:r>
    </w:p>
    <w:p w14:paraId="6470A223" w14:textId="154EEAEB" w:rsidR="00646E89" w:rsidRPr="00A1437F" w:rsidRDefault="00646E89" w:rsidP="00724E4E">
      <w:pPr>
        <w:pStyle w:val="Clause"/>
      </w:pPr>
      <w:r w:rsidRPr="0075140E">
        <w:t xml:space="preserve">Structural members and joints listed in a) to d) in </w:t>
      </w:r>
      <w:r w:rsidRPr="00835C82">
        <w:rPr>
          <w:rFonts w:eastAsia="Cambria"/>
        </w:rPr>
        <w:t>13.7.2(5)</w:t>
      </w:r>
      <w:r w:rsidRPr="0075140E">
        <w:t xml:space="preserve"> should be capacity designed using Formula (13.7).</w:t>
      </w:r>
    </w:p>
    <w:p w14:paraId="50090D87" w14:textId="45649D8D" w:rsidR="00646E89" w:rsidRDefault="00646E89" w:rsidP="00724E4E">
      <w:pPr>
        <w:pStyle w:val="Clause"/>
      </w:pPr>
      <w:r w:rsidRPr="00132C1E">
        <w:t xml:space="preserve">If the sum of the vertical </w:t>
      </w:r>
      <w:r w:rsidRPr="00646E89">
        <w:t xml:space="preserve">stiffness of the shear resistant 2D- or 3D-connectors (angle brackets, shear plates) in a single panel of the segmented wall is smaller than one-fourth of the vertical stiffness of the anchoring 2D- or 3D-connectors against overturning (hold-downs, tie-downs, foundation tie-downs), and the latter ones are located at the corners of the wall </w:t>
      </w:r>
      <w:r w:rsidRPr="00132C1E">
        <w:t xml:space="preserve">(see Figure 13.5), </w:t>
      </w:r>
      <w:r w:rsidRPr="00835C82">
        <w:t>13.4.3(1)</w:t>
      </w:r>
      <w:r w:rsidRPr="00132C1E">
        <w:t xml:space="preserve"> may be considered satisfied at wall and building level if </w:t>
      </w:r>
      <w:r w:rsidRPr="00835C82">
        <w:t>(7)</w:t>
      </w:r>
      <w:r w:rsidRPr="00132C1E">
        <w:t xml:space="preserve">, </w:t>
      </w:r>
      <w:r w:rsidRPr="00835C82">
        <w:t>(8)</w:t>
      </w:r>
      <w:r>
        <w:t xml:space="preserve">, </w:t>
      </w:r>
      <w:r w:rsidRPr="00835C82">
        <w:t>(9)</w:t>
      </w:r>
      <w:r w:rsidRPr="00132C1E">
        <w:t xml:space="preserve"> </w:t>
      </w:r>
      <w:r w:rsidRPr="00265754">
        <w:t xml:space="preserve">and </w:t>
      </w:r>
      <w:r w:rsidRPr="00835C82">
        <w:t xml:space="preserve">(10) </w:t>
      </w:r>
      <w:r w:rsidRPr="00132C1E">
        <w:t>are verified.</w:t>
      </w:r>
    </w:p>
    <w:p w14:paraId="0658D4B4" w14:textId="2ED7B22C" w:rsidR="00646E89" w:rsidRPr="00132C1E" w:rsidRDefault="00646E89" w:rsidP="00724E4E">
      <w:pPr>
        <w:pStyle w:val="Clause"/>
      </w:pPr>
      <w:r w:rsidRPr="00132C1E">
        <w:t>For each segmented wall, conditions given by Formula (13.1</w:t>
      </w:r>
      <w:r>
        <w:t>2</w:t>
      </w:r>
      <w:r w:rsidRPr="00132C1E">
        <w:t>) should be satisfied.</w:t>
      </w:r>
    </w:p>
    <w:p w14:paraId="6B745178" w14:textId="311C9FAF" w:rsidR="00646E89" w:rsidRDefault="009B5CEC" w:rsidP="00646E89">
      <w:pPr>
        <w:pStyle w:val="Formula"/>
        <w:spacing w:before="240"/>
      </w:pPr>
      <m:oMath>
        <m:m>
          <m:mPr>
            <m:mcs>
              <m:mc>
                <m:mcPr>
                  <m:count m:val="1"/>
                  <m:mcJc m:val="center"/>
                </m:mcPr>
              </m:mc>
            </m:mcs>
            <m:ctrlPr>
              <w:rPr>
                <w:rFonts w:ascii="Cambria Math" w:hAnsi="Cambria Math"/>
                <w:i/>
              </w:rPr>
            </m:ctrlPr>
          </m:mPr>
          <m:mr>
            <m:e>
              <m:sSub>
                <m:sSubPr>
                  <m:ctrlPr>
                    <w:rPr>
                      <w:rFonts w:ascii="Cambria Math" w:hAnsi="Cambria Math"/>
                    </w:rPr>
                  </m:ctrlPr>
                </m:sSubPr>
                <m:e>
                  <m:r>
                    <w:rPr>
                      <w:rFonts w:ascii="Cambria Math" w:hAnsi="Cambria Math"/>
                    </w:rPr>
                    <m:t>F</m:t>
                  </m:r>
                </m:e>
                <m:sub>
                  <m:r>
                    <m:rPr>
                      <m:sty m:val="p"/>
                    </m:rPr>
                    <w:rPr>
                      <w:rFonts w:ascii="Cambria Math" w:hAnsi="Cambria Math"/>
                    </w:rPr>
                    <m:t>Rd,hd</m:t>
                  </m:r>
                </m:sub>
              </m:sSub>
              <m:r>
                <w:rPr>
                  <w:rFonts w:ascii="Cambria Math" w:hAnsi="Cambria Math"/>
                </w:rPr>
                <m:t>≥1,1</m:t>
              </m:r>
              <m:sSub>
                <m:sSubPr>
                  <m:ctrlPr>
                    <w:rPr>
                      <w:rFonts w:ascii="Cambria Math" w:hAnsi="Cambria Math"/>
                    </w:rPr>
                  </m:ctrlPr>
                </m:sSubPr>
                <m:e>
                  <m:r>
                    <w:rPr>
                      <w:rFonts w:ascii="Cambria Math" w:hAnsi="Cambria Math"/>
                    </w:rPr>
                    <m:t>F</m:t>
                  </m:r>
                </m:e>
                <m:sub>
                  <m:r>
                    <m:rPr>
                      <m:sty m:val="p"/>
                    </m:rPr>
                    <w:rPr>
                      <w:rFonts w:ascii="Cambria Math" w:hAnsi="Cambria Math"/>
                    </w:rPr>
                    <m:t>Rd,c</m:t>
                  </m:r>
                </m:sub>
              </m:sSub>
              <m:f>
                <m:fPr>
                  <m:ctrlPr>
                    <w:rPr>
                      <w:rFonts w:ascii="Cambria Math" w:hAnsi="Cambria Math"/>
                    </w:rPr>
                  </m:ctrlPr>
                </m:fPr>
                <m:num>
                  <m:sSub>
                    <m:sSubPr>
                      <m:ctrlPr>
                        <w:rPr>
                          <w:rFonts w:ascii="Cambria Math" w:hAnsi="Cambria Math"/>
                        </w:rPr>
                      </m:ctrlPr>
                    </m:sSubPr>
                    <m:e>
                      <m:r>
                        <w:rPr>
                          <w:rFonts w:ascii="Cambria Math" w:hAnsi="Cambria Math"/>
                        </w:rPr>
                        <m:t>K</m:t>
                      </m:r>
                    </m:e>
                    <m:sub>
                      <m:r>
                        <m:rPr>
                          <m:sty m:val="p"/>
                        </m:rPr>
                        <w:rPr>
                          <w:rFonts w:ascii="Cambria Math" w:hAnsi="Cambria Math"/>
                        </w:rPr>
                        <m:t>SLS,anc</m:t>
                      </m:r>
                    </m:sub>
                  </m:sSub>
                </m:num>
                <m:den>
                  <m:sSub>
                    <m:sSubPr>
                      <m:ctrlPr>
                        <w:rPr>
                          <w:rFonts w:ascii="Cambria Math" w:hAnsi="Cambria Math"/>
                        </w:rPr>
                      </m:ctrlPr>
                    </m:sSubPr>
                    <m:e>
                      <m:r>
                        <w:rPr>
                          <w:rFonts w:ascii="Cambria Math" w:hAnsi="Cambria Math"/>
                        </w:rPr>
                        <m:t>K</m:t>
                      </m:r>
                    </m:e>
                    <m:sub>
                      <m:r>
                        <m:rPr>
                          <m:sty m:val="p"/>
                        </m:rPr>
                        <w:rPr>
                          <w:rFonts w:ascii="Cambria Math" w:hAnsi="Cambria Math"/>
                        </w:rPr>
                        <m:t>SLS,con</m:t>
                      </m:r>
                    </m:sub>
                  </m:sSub>
                </m:den>
              </m:f>
              <m:r>
                <w:rPr>
                  <w:rFonts w:ascii="Cambria Math"/>
                </w:rPr>
                <m:t xml:space="preserve"> </m:t>
              </m:r>
              <m:r>
                <m:rPr>
                  <m:sty m:val="p"/>
                </m:rPr>
                <w:rPr>
                  <w:rFonts w:ascii="Cambria Math" w:hAnsi="Cambria Math"/>
                </w:rPr>
                <m:t xml:space="preserve">                                                          if </m:t>
              </m:r>
              <m:sSub>
                <m:sSubPr>
                  <m:ctrlPr>
                    <w:rPr>
                      <w:rFonts w:ascii="Cambria Math" w:hAnsi="Cambria Math"/>
                    </w:rPr>
                  </m:ctrlPr>
                </m:sSubPr>
                <m:e>
                  <m:r>
                    <w:rPr>
                      <w:rFonts w:ascii="Cambria Math" w:hAnsi="Cambria Math"/>
                    </w:rPr>
                    <m:t>K</m:t>
                  </m:r>
                </m:e>
                <m:sub>
                  <m:r>
                    <m:rPr>
                      <m:sty m:val="p"/>
                    </m:rPr>
                    <w:rPr>
                      <w:rFonts w:ascii="Cambria Math" w:hAnsi="Cambria Math"/>
                    </w:rPr>
                    <m:t>SLS,anc</m:t>
                  </m:r>
                </m:sub>
              </m:sSub>
              <m:r>
                <w:rPr>
                  <w:rFonts w:ascii="Cambria Math" w:hAnsi="Cambria Math"/>
                </w:rPr>
                <m:t xml:space="preserve">≥n </m:t>
              </m:r>
              <m:sSub>
                <m:sSubPr>
                  <m:ctrlPr>
                    <w:rPr>
                      <w:rFonts w:ascii="Cambria Math" w:hAnsi="Cambria Math"/>
                    </w:rPr>
                  </m:ctrlPr>
                </m:sSubPr>
                <m:e>
                  <m:r>
                    <w:rPr>
                      <w:rFonts w:ascii="Cambria Math" w:hAnsi="Cambria Math"/>
                    </w:rPr>
                    <m:t>K</m:t>
                  </m:r>
                </m:e>
                <m:sub>
                  <m:r>
                    <m:rPr>
                      <m:sty m:val="p"/>
                    </m:rPr>
                    <w:rPr>
                      <w:rFonts w:ascii="Cambria Math" w:hAnsi="Cambria Math"/>
                    </w:rPr>
                    <m:t>SLS,con</m:t>
                  </m:r>
                </m:sub>
              </m:sSub>
            </m:e>
          </m:mr>
          <m:mr>
            <m:e>
              <m:sSub>
                <m:sSubPr>
                  <m:ctrlPr>
                    <w:rPr>
                      <w:rFonts w:ascii="Cambria Math" w:hAnsi="Cambria Math"/>
                    </w:rPr>
                  </m:ctrlPr>
                </m:sSubPr>
                <m:e>
                  <m:r>
                    <w:rPr>
                      <w:rFonts w:ascii="Cambria Math" w:hAnsi="Cambria Math"/>
                    </w:rPr>
                    <m:t>F</m:t>
                  </m:r>
                </m:e>
                <m:sub>
                  <m:r>
                    <m:rPr>
                      <m:sty m:val="p"/>
                    </m:rPr>
                    <w:rPr>
                      <w:rFonts w:ascii="Cambria Math" w:hAnsi="Cambria Math"/>
                    </w:rPr>
                    <m:t>Rd,hd</m:t>
                  </m:r>
                </m:sub>
              </m:sSub>
              <m:r>
                <w:rPr>
                  <w:rFonts w:ascii="Cambria Math" w:hAnsi="Cambria Math"/>
                </w:rPr>
                <m:t>≥</m:t>
              </m:r>
              <m:r>
                <m:rPr>
                  <m:sty m:val="p"/>
                </m:rPr>
                <w:rPr>
                  <w:rFonts w:ascii="Cambria Math" w:hAnsi="Cambria Math"/>
                </w:rPr>
                <m:t>max</m:t>
              </m:r>
              <m:d>
                <m:dPr>
                  <m:begChr m:val="["/>
                  <m:endChr m:val="]"/>
                  <m:ctrlPr>
                    <w:rPr>
                      <w:rFonts w:ascii="Cambria Math" w:hAnsi="Cambria Math"/>
                    </w:rPr>
                  </m:ctrlPr>
                </m:dPr>
                <m:e>
                  <m:r>
                    <w:rPr>
                      <w:rFonts w:ascii="Cambria Math" w:hAnsi="Cambria Math"/>
                    </w:rPr>
                    <m:t xml:space="preserve">1,1 </m:t>
                  </m:r>
                  <m:sSub>
                    <m:sSubPr>
                      <m:ctrlPr>
                        <w:rPr>
                          <w:rFonts w:ascii="Cambria Math" w:hAnsi="Cambria Math"/>
                        </w:rPr>
                      </m:ctrlPr>
                    </m:sSubPr>
                    <m:e>
                      <m:r>
                        <w:rPr>
                          <w:rFonts w:ascii="Cambria Math" w:hAnsi="Cambria Math"/>
                        </w:rPr>
                        <m:t>F</m:t>
                      </m:r>
                    </m:e>
                    <m:sub>
                      <m:r>
                        <m:rPr>
                          <m:sty m:val="p"/>
                        </m:rPr>
                        <w:rPr>
                          <w:rFonts w:ascii="Cambria Math" w:hAnsi="Cambria Math"/>
                        </w:rPr>
                        <m:t>Rd,c</m:t>
                      </m:r>
                    </m:sub>
                  </m:sSub>
                  <m:f>
                    <m:fPr>
                      <m:ctrlPr>
                        <w:rPr>
                          <w:rFonts w:ascii="Cambria Math" w:hAnsi="Cambria Math"/>
                        </w:rPr>
                      </m:ctrlPr>
                    </m:fPr>
                    <m:num>
                      <m:sSub>
                        <m:sSubPr>
                          <m:ctrlPr>
                            <w:rPr>
                              <w:rFonts w:ascii="Cambria Math" w:hAnsi="Cambria Math"/>
                            </w:rPr>
                          </m:ctrlPr>
                        </m:sSubPr>
                        <m:e>
                          <m:r>
                            <w:rPr>
                              <w:rFonts w:ascii="Cambria Math" w:hAnsi="Cambria Math"/>
                            </w:rPr>
                            <m:t>K</m:t>
                          </m:r>
                        </m:e>
                        <m:sub>
                          <m:r>
                            <m:rPr>
                              <m:sty m:val="p"/>
                            </m:rPr>
                            <w:rPr>
                              <w:rFonts w:ascii="Cambria Math" w:hAnsi="Cambria Math"/>
                            </w:rPr>
                            <m:t>SLS,anc</m:t>
                          </m:r>
                        </m:sub>
                      </m:sSub>
                    </m:num>
                    <m:den>
                      <m:sSub>
                        <m:sSubPr>
                          <m:ctrlPr>
                            <w:rPr>
                              <w:rFonts w:ascii="Cambria Math" w:hAnsi="Cambria Math"/>
                            </w:rPr>
                          </m:ctrlPr>
                        </m:sSubPr>
                        <m:e>
                          <m:r>
                            <w:rPr>
                              <w:rFonts w:ascii="Cambria Math" w:hAnsi="Cambria Math"/>
                            </w:rPr>
                            <m:t>K</m:t>
                          </m:r>
                        </m:e>
                        <m:sub>
                          <m:r>
                            <m:rPr>
                              <m:sty m:val="p"/>
                            </m:rPr>
                            <w:rPr>
                              <w:rFonts w:ascii="Cambria Math" w:hAnsi="Cambria Math"/>
                            </w:rPr>
                            <m:t>SLS,con</m:t>
                          </m:r>
                        </m:sub>
                      </m:sSub>
                    </m:den>
                  </m:f>
                  <m:r>
                    <w:rPr>
                      <w:rFonts w:ascii="Cambria Math" w:hAnsi="Cambria Math"/>
                    </w:rPr>
                    <m:t xml:space="preserve">;1,1 </m:t>
                  </m:r>
                  <m:sSub>
                    <m:sSubPr>
                      <m:ctrlPr>
                        <w:rPr>
                          <w:rFonts w:ascii="Cambria Math" w:hAnsi="Cambria Math"/>
                        </w:rPr>
                      </m:ctrlPr>
                    </m:sSubPr>
                    <m:e>
                      <m:sSub>
                        <m:sSubPr>
                          <m:ctrlPr>
                            <w:rPr>
                              <w:rFonts w:ascii="Cambria Math" w:hAnsi="Cambria Math"/>
                            </w:rPr>
                          </m:ctrlPr>
                        </m:sSubPr>
                        <m:e>
                          <m:r>
                            <w:rPr>
                              <w:rFonts w:ascii="Cambria Math" w:hAnsi="Cambria Math"/>
                            </w:rPr>
                            <m:t>n</m:t>
                          </m:r>
                        </m:e>
                        <m:sub>
                          <m:r>
                            <m:rPr>
                              <m:sty m:val="p"/>
                            </m:rPr>
                            <w:rPr>
                              <w:rFonts w:ascii="Cambria Math" w:hAnsi="Cambria Math"/>
                            </w:rPr>
                            <m:t>vj</m:t>
                          </m:r>
                        </m:sub>
                      </m:sSub>
                      <m:r>
                        <w:rPr>
                          <w:rFonts w:ascii="Cambria Math" w:hAnsi="Cambria Math"/>
                        </w:rPr>
                        <m:t xml:space="preserve"> F</m:t>
                      </m:r>
                    </m:e>
                    <m:sub>
                      <m:r>
                        <m:rPr>
                          <m:sty m:val="p"/>
                        </m:rPr>
                        <w:rPr>
                          <w:rFonts w:ascii="Cambria Math" w:hAnsi="Cambria Math"/>
                        </w:rPr>
                        <m:t>Rd,c</m:t>
                      </m:r>
                    </m:sub>
                  </m:sSub>
                  <m:r>
                    <w:rPr>
                      <w:rFonts w:ascii="Cambria Math" w:hAnsi="Cambria Math"/>
                    </w:rPr>
                    <m:t>-</m:t>
                  </m:r>
                  <m:f>
                    <m:fPr>
                      <m:ctrlPr>
                        <w:rPr>
                          <w:rFonts w:ascii="Cambria Math" w:eastAsia="Cambria" w:hAnsi="Cambria Math" w:cs="Helvetica"/>
                          <w:i/>
                          <w:color w:val="000000"/>
                          <w:sz w:val="27"/>
                          <w:szCs w:val="27"/>
                          <w:lang w:eastAsia="de-DE"/>
                        </w:rPr>
                      </m:ctrlPr>
                    </m:fPr>
                    <m:num>
                      <m:sSub>
                        <m:sSubPr>
                          <m:ctrlPr>
                            <w:rPr>
                              <w:rFonts w:ascii="Cambria Math" w:eastAsia="Cambria" w:hAnsi="Cambria Math" w:cs="Helvetica"/>
                              <w:color w:val="000000"/>
                              <w:sz w:val="27"/>
                              <w:szCs w:val="27"/>
                              <w:lang w:eastAsia="de-DE"/>
                            </w:rPr>
                          </m:ctrlPr>
                        </m:sSubPr>
                        <m:e>
                          <m:r>
                            <w:rPr>
                              <w:rFonts w:ascii="Cambria Math" w:eastAsia="Cambria" w:cs="Helvetica"/>
                              <w:color w:val="000000"/>
                              <w:sz w:val="27"/>
                              <w:szCs w:val="27"/>
                              <w:lang w:eastAsia="de-DE"/>
                            </w:rPr>
                            <m:t>N</m:t>
                          </m:r>
                        </m:e>
                        <m:sub>
                          <m:r>
                            <m:rPr>
                              <m:sty m:val="p"/>
                            </m:rPr>
                            <w:rPr>
                              <w:rFonts w:eastAsia="Cambria" w:cs="Helvetica"/>
                              <w:color w:val="000000"/>
                              <w:sz w:val="27"/>
                              <w:szCs w:val="27"/>
                              <w:lang w:eastAsia="de-DE"/>
                            </w:rPr>
                            <m:t>Ed</m:t>
                          </m:r>
                        </m:sub>
                      </m:sSub>
                      <m:ctrlPr>
                        <w:rPr>
                          <w:rFonts w:ascii="Cambria Math" w:hAnsi="Cambria Math"/>
                          <w:i/>
                        </w:rPr>
                      </m:ctrlPr>
                    </m:num>
                    <m:den>
                      <m:sSub>
                        <m:sSubPr>
                          <m:ctrlPr>
                            <w:rPr>
                              <w:rFonts w:ascii="Cambria Math" w:eastAsia="Cambria" w:hAnsi="Cambria Math" w:cs="Helvetica"/>
                              <w:color w:val="000000"/>
                              <w:sz w:val="27"/>
                              <w:szCs w:val="27"/>
                              <w:lang w:eastAsia="de-DE"/>
                            </w:rPr>
                          </m:ctrlPr>
                        </m:sSubPr>
                        <m:e>
                          <m:r>
                            <w:rPr>
                              <w:rFonts w:ascii="Cambria Math" w:eastAsia="Cambria" w:cs="Helvetica"/>
                              <w:color w:val="000000"/>
                              <w:sz w:val="27"/>
                              <w:szCs w:val="27"/>
                              <w:lang w:eastAsia="de-DE"/>
                            </w:rPr>
                            <m:t>m</m:t>
                          </m:r>
                        </m:e>
                        <m:sub>
                          <m:r>
                            <m:rPr>
                              <m:sty m:val="p"/>
                            </m:rPr>
                            <w:rPr>
                              <w:rFonts w:eastAsia="Cambria" w:cs="Helvetica"/>
                              <w:color w:val="000000"/>
                              <w:sz w:val="27"/>
                              <w:szCs w:val="27"/>
                              <w:lang w:eastAsia="de-DE"/>
                            </w:rPr>
                            <m:t>lp</m:t>
                          </m:r>
                        </m:sub>
                      </m:sSub>
                    </m:den>
                  </m:f>
                </m:e>
              </m:d>
              <m:r>
                <w:rPr>
                  <w:rFonts w:ascii="Cambria Math"/>
                </w:rPr>
                <m:t xml:space="preserve"> </m:t>
              </m:r>
              <m:r>
                <m:rPr>
                  <m:sty m:val="p"/>
                </m:rPr>
                <w:rPr>
                  <w:rFonts w:ascii="Cambria Math" w:hAnsi="Cambria Math"/>
                </w:rPr>
                <m:t xml:space="preserve">         if </m:t>
              </m:r>
              <m:sSub>
                <m:sSubPr>
                  <m:ctrlPr>
                    <w:rPr>
                      <w:rFonts w:ascii="Cambria Math" w:hAnsi="Cambria Math"/>
                    </w:rPr>
                  </m:ctrlPr>
                </m:sSubPr>
                <m:e>
                  <m:r>
                    <w:rPr>
                      <w:rFonts w:ascii="Cambria Math" w:hAnsi="Cambria Math"/>
                    </w:rPr>
                    <m:t>K</m:t>
                  </m:r>
                </m:e>
                <m:sub>
                  <m:r>
                    <m:rPr>
                      <m:sty m:val="p"/>
                    </m:rPr>
                    <w:rPr>
                      <w:rFonts w:ascii="Cambria Math" w:hAnsi="Cambria Math"/>
                    </w:rPr>
                    <m:t>SLS,anc</m:t>
                  </m:r>
                </m:sub>
              </m:sSub>
              <m:r>
                <w:rPr>
                  <w:rFonts w:ascii="Cambria Math" w:hAnsi="Cambria Math"/>
                </w:rPr>
                <m:t xml:space="preserve">&lt;n </m:t>
              </m:r>
              <m:sSub>
                <m:sSubPr>
                  <m:ctrlPr>
                    <w:rPr>
                      <w:rFonts w:ascii="Cambria Math" w:hAnsi="Cambria Math"/>
                    </w:rPr>
                  </m:ctrlPr>
                </m:sSubPr>
                <m:e>
                  <m:r>
                    <w:rPr>
                      <w:rFonts w:ascii="Cambria Math" w:hAnsi="Cambria Math"/>
                    </w:rPr>
                    <m:t>K</m:t>
                  </m:r>
                </m:e>
                <m:sub>
                  <m:r>
                    <m:rPr>
                      <m:sty m:val="p"/>
                    </m:rPr>
                    <w:rPr>
                      <w:rFonts w:ascii="Cambria Math" w:hAnsi="Cambria Math"/>
                    </w:rPr>
                    <m:t>SLS,con</m:t>
                  </m:r>
                </m:sub>
              </m:sSub>
            </m:e>
          </m:mr>
        </m:m>
      </m:oMath>
      <w:r w:rsidR="00646E89" w:rsidRPr="00870D59">
        <w:tab/>
        <w:t>(1</w:t>
      </w:r>
      <w:r w:rsidR="00646E89">
        <w:t>3</w:t>
      </w:r>
      <w:r w:rsidR="00646E89" w:rsidRPr="00870D59">
        <w:t>.</w:t>
      </w:r>
      <w:r w:rsidR="00646E89">
        <w:t>1</w:t>
      </w:r>
      <w:r w:rsidR="00EE18C5">
        <w:t>2</w:t>
      </w:r>
      <w:r w:rsidR="00646E89" w:rsidRPr="00870D59">
        <w:t>)</w:t>
      </w:r>
    </w:p>
    <w:p w14:paraId="686667E5" w14:textId="21E22AB8" w:rsidR="00646E89" w:rsidRPr="001B2671" w:rsidRDefault="00675EBA" w:rsidP="00646E89">
      <w:pPr>
        <w:pStyle w:val="BodyText"/>
      </w:pPr>
      <w:r>
        <w:t>where</w:t>
      </w:r>
    </w:p>
    <w:tbl>
      <w:tblPr>
        <w:tblW w:w="0" w:type="auto"/>
        <w:tblInd w:w="346" w:type="dxa"/>
        <w:tblLook w:val="04A0" w:firstRow="1" w:lastRow="0" w:firstColumn="1" w:lastColumn="0" w:noHBand="0" w:noVBand="1"/>
      </w:tblPr>
      <w:tblGrid>
        <w:gridCol w:w="1275"/>
        <w:gridCol w:w="7938"/>
      </w:tblGrid>
      <w:tr w:rsidR="00646E89" w:rsidRPr="000F2AFF" w14:paraId="18E34F0B" w14:textId="77777777" w:rsidTr="008217FC">
        <w:tc>
          <w:tcPr>
            <w:tcW w:w="1275" w:type="dxa"/>
          </w:tcPr>
          <w:p w14:paraId="3BACAD69" w14:textId="56390042" w:rsidR="00646E89" w:rsidRPr="00E80767" w:rsidRDefault="00EE18C5" w:rsidP="002061E5">
            <w:pPr>
              <w:spacing w:after="60"/>
              <w:jc w:val="left"/>
              <w:rPr>
                <w:rFonts w:eastAsia="Times New Roman" w:cs="Cambria"/>
                <w:color w:val="000000" w:themeColor="text1"/>
                <w:szCs w:val="20"/>
                <w:lang w:eastAsia="fr-FR"/>
              </w:rPr>
            </w:pPr>
            <w:r w:rsidRPr="00D1484A">
              <w:rPr>
                <w:i/>
              </w:rPr>
              <w:t>F</w:t>
            </w:r>
            <w:r w:rsidRPr="007E6F67">
              <w:rPr>
                <w:vertAlign w:val="subscript"/>
              </w:rPr>
              <w:t>Rd,h</w:t>
            </w:r>
            <w:r>
              <w:rPr>
                <w:vertAlign w:val="subscript"/>
              </w:rPr>
              <w:t>d</w:t>
            </w:r>
          </w:p>
        </w:tc>
        <w:tc>
          <w:tcPr>
            <w:tcW w:w="7938" w:type="dxa"/>
          </w:tcPr>
          <w:p w14:paraId="6A855A3A" w14:textId="71EDB046" w:rsidR="00646E89" w:rsidRPr="00464B4C" w:rsidRDefault="00720943" w:rsidP="002061E5">
            <w:pPr>
              <w:spacing w:after="60"/>
              <w:rPr>
                <w:rFonts w:eastAsia="Times New Roman" w:cs="Cambria"/>
                <w:color w:val="000000" w:themeColor="text1"/>
                <w:szCs w:val="20"/>
                <w:lang w:eastAsia="fr-FR"/>
              </w:rPr>
            </w:pPr>
            <w:r w:rsidRPr="00720943">
              <w:t>is the design strength of the anchoring 2D- or 3D-connectors against overturning from Formula (13.</w:t>
            </w:r>
            <w:r w:rsidRPr="00132C1E">
              <w:t>1);</w:t>
            </w:r>
          </w:p>
        </w:tc>
      </w:tr>
      <w:tr w:rsidR="00646E89" w:rsidRPr="000F2AFF" w14:paraId="18624539" w14:textId="77777777" w:rsidTr="008217FC">
        <w:tc>
          <w:tcPr>
            <w:tcW w:w="1275" w:type="dxa"/>
          </w:tcPr>
          <w:p w14:paraId="635C2905" w14:textId="42BF65B7" w:rsidR="00646E89" w:rsidRPr="00E80767" w:rsidRDefault="00EE18C5" w:rsidP="002061E5">
            <w:pPr>
              <w:spacing w:after="60"/>
              <w:jc w:val="left"/>
              <w:rPr>
                <w:rFonts w:eastAsia="Times New Roman" w:cs="Cambria"/>
                <w:color w:val="000000" w:themeColor="text1"/>
                <w:szCs w:val="20"/>
                <w:lang w:eastAsia="fr-FR"/>
              </w:rPr>
            </w:pPr>
            <w:r w:rsidRPr="00132C1E">
              <w:rPr>
                <w:i/>
              </w:rPr>
              <w:t>F</w:t>
            </w:r>
            <w:r w:rsidRPr="00132C1E">
              <w:rPr>
                <w:vertAlign w:val="subscript"/>
              </w:rPr>
              <w:t>Rd,c</w:t>
            </w:r>
          </w:p>
        </w:tc>
        <w:tc>
          <w:tcPr>
            <w:tcW w:w="7938" w:type="dxa"/>
          </w:tcPr>
          <w:p w14:paraId="619E7E5B" w14:textId="52D04D67" w:rsidR="00646E89" w:rsidRPr="00464B4C" w:rsidRDefault="00720943" w:rsidP="002061E5">
            <w:pPr>
              <w:spacing w:after="60"/>
              <w:rPr>
                <w:rFonts w:eastAsia="Times New Roman" w:cs="Cambria"/>
                <w:color w:val="000000" w:themeColor="text1"/>
                <w:szCs w:val="20"/>
                <w:lang w:eastAsia="fr-FR"/>
              </w:rPr>
            </w:pPr>
            <w:r w:rsidRPr="00132C1E">
              <w:t>is the design strength of the single timber-to-timber connection used in the vertical joint from Formula (13.1);</w:t>
            </w:r>
          </w:p>
        </w:tc>
      </w:tr>
      <w:tr w:rsidR="00646E89" w:rsidRPr="000F2AFF" w14:paraId="662BF060" w14:textId="77777777" w:rsidTr="008217FC">
        <w:tc>
          <w:tcPr>
            <w:tcW w:w="1275" w:type="dxa"/>
          </w:tcPr>
          <w:p w14:paraId="0D065F39" w14:textId="5A864818" w:rsidR="00646E89" w:rsidRPr="000F2AFF" w:rsidRDefault="00EE18C5" w:rsidP="002061E5">
            <w:pPr>
              <w:spacing w:after="60"/>
              <w:jc w:val="left"/>
              <w:rPr>
                <w:rFonts w:eastAsia="Times New Roman" w:cs="Cambria"/>
                <w:color w:val="000000" w:themeColor="text1"/>
                <w:szCs w:val="20"/>
                <w:lang w:eastAsia="fr-FR"/>
              </w:rPr>
            </w:pPr>
            <w:r w:rsidRPr="00132C1E">
              <w:rPr>
                <w:i/>
              </w:rPr>
              <w:t>K</w:t>
            </w:r>
            <w:r>
              <w:rPr>
                <w:vertAlign w:val="subscript"/>
              </w:rPr>
              <w:t>SLS</w:t>
            </w:r>
            <w:r w:rsidRPr="00132C1E">
              <w:rPr>
                <w:vertAlign w:val="subscript"/>
              </w:rPr>
              <w:t>,anc</w:t>
            </w:r>
          </w:p>
        </w:tc>
        <w:tc>
          <w:tcPr>
            <w:tcW w:w="7938" w:type="dxa"/>
          </w:tcPr>
          <w:p w14:paraId="487FB412" w14:textId="19AA00B9" w:rsidR="00646E89" w:rsidRPr="00464B4C" w:rsidRDefault="00720943" w:rsidP="002061E5">
            <w:pPr>
              <w:spacing w:after="60"/>
              <w:rPr>
                <w:rFonts w:eastAsia="Times New Roman" w:cs="Cambria"/>
                <w:color w:val="000000" w:themeColor="text1"/>
                <w:szCs w:val="20"/>
                <w:lang w:eastAsia="fr-FR"/>
              </w:rPr>
            </w:pPr>
            <w:r w:rsidRPr="00132C1E">
              <w:t xml:space="preserve">is the elastic stiffness of the </w:t>
            </w:r>
            <w:r w:rsidRPr="00720943">
              <w:t>anchoring 2D- or 3D-connectors against overturning</w:t>
            </w:r>
            <w:r w:rsidRPr="00132C1E">
              <w:t>;</w:t>
            </w:r>
          </w:p>
        </w:tc>
      </w:tr>
      <w:tr w:rsidR="00646E89" w:rsidRPr="000F2AFF" w14:paraId="54C7B57E" w14:textId="77777777" w:rsidTr="008217FC">
        <w:tc>
          <w:tcPr>
            <w:tcW w:w="1275" w:type="dxa"/>
          </w:tcPr>
          <w:p w14:paraId="3EB18AE9" w14:textId="5EB88290" w:rsidR="00646E89" w:rsidRPr="00E80767" w:rsidRDefault="00EE18C5" w:rsidP="002061E5">
            <w:pPr>
              <w:spacing w:after="60"/>
              <w:jc w:val="left"/>
              <w:rPr>
                <w:rFonts w:eastAsia="Times New Roman" w:cs="Cambria"/>
                <w:color w:val="000000" w:themeColor="text1"/>
                <w:szCs w:val="20"/>
                <w:lang w:eastAsia="fr-FR"/>
              </w:rPr>
            </w:pPr>
            <w:r w:rsidRPr="00A1437F">
              <w:rPr>
                <w:i/>
              </w:rPr>
              <w:t>K</w:t>
            </w:r>
            <w:r w:rsidRPr="00A1437F">
              <w:rPr>
                <w:vertAlign w:val="subscript"/>
              </w:rPr>
              <w:t>SLS,con</w:t>
            </w:r>
          </w:p>
        </w:tc>
        <w:tc>
          <w:tcPr>
            <w:tcW w:w="7938" w:type="dxa"/>
          </w:tcPr>
          <w:p w14:paraId="3C2AE609" w14:textId="74CB7F4F" w:rsidR="00646E89" w:rsidRPr="00464B4C" w:rsidRDefault="00720943" w:rsidP="002061E5">
            <w:pPr>
              <w:spacing w:after="60"/>
              <w:rPr>
                <w:rFonts w:eastAsia="Times New Roman" w:cs="Cambria"/>
                <w:color w:val="000000" w:themeColor="text1"/>
                <w:szCs w:val="20"/>
                <w:lang w:eastAsia="fr-FR"/>
              </w:rPr>
            </w:pPr>
            <w:r w:rsidRPr="000529B2">
              <w:t xml:space="preserve">is the elastic stiffness of the single timber-to-timber connection </w:t>
            </w:r>
            <w:r w:rsidRPr="00A1437F">
              <w:t>used in the vertical joint;</w:t>
            </w:r>
          </w:p>
        </w:tc>
      </w:tr>
      <w:tr w:rsidR="00646E89" w:rsidRPr="000F2AFF" w14:paraId="07D151B9" w14:textId="77777777" w:rsidTr="008217FC">
        <w:tc>
          <w:tcPr>
            <w:tcW w:w="1275" w:type="dxa"/>
          </w:tcPr>
          <w:p w14:paraId="0C8A94E5" w14:textId="17599926" w:rsidR="00646E89" w:rsidRPr="000F2AFF" w:rsidRDefault="00EE18C5" w:rsidP="002061E5">
            <w:pPr>
              <w:spacing w:after="60"/>
              <w:jc w:val="left"/>
              <w:rPr>
                <w:rFonts w:eastAsia="Times New Roman" w:cs="Cambria"/>
                <w:color w:val="000000" w:themeColor="text1"/>
                <w:szCs w:val="20"/>
                <w:lang w:eastAsia="fr-FR"/>
              </w:rPr>
            </w:pPr>
            <w:r w:rsidRPr="00A1437F">
              <w:rPr>
                <w:i/>
              </w:rPr>
              <w:t>n</w:t>
            </w:r>
            <w:r w:rsidRPr="00A1437F">
              <w:rPr>
                <w:iCs/>
                <w:vertAlign w:val="subscript"/>
              </w:rPr>
              <w:t>vj</w:t>
            </w:r>
          </w:p>
        </w:tc>
        <w:tc>
          <w:tcPr>
            <w:tcW w:w="7938" w:type="dxa"/>
          </w:tcPr>
          <w:p w14:paraId="3B7EBACE" w14:textId="3B66857D" w:rsidR="00646E89" w:rsidRPr="00464B4C" w:rsidRDefault="00720943" w:rsidP="002061E5">
            <w:pPr>
              <w:spacing w:after="60"/>
              <w:rPr>
                <w:rFonts w:eastAsia="Times New Roman" w:cs="Cambria"/>
                <w:color w:val="000000" w:themeColor="text1"/>
                <w:szCs w:val="20"/>
                <w:lang w:eastAsia="fr-FR"/>
              </w:rPr>
            </w:pPr>
            <w:r w:rsidRPr="00A1437F">
              <w:t>is the number of fastener connections used in the vertical joint;</w:t>
            </w:r>
          </w:p>
        </w:tc>
      </w:tr>
      <w:tr w:rsidR="00646E89" w:rsidRPr="000F2AFF" w14:paraId="5E374C0A" w14:textId="77777777" w:rsidTr="008217FC">
        <w:tc>
          <w:tcPr>
            <w:tcW w:w="1275" w:type="dxa"/>
          </w:tcPr>
          <w:p w14:paraId="0438D45E" w14:textId="03E3B4E8" w:rsidR="00646E89" w:rsidRPr="00927C38" w:rsidRDefault="00EE18C5" w:rsidP="002061E5">
            <w:pPr>
              <w:spacing w:after="60"/>
              <w:jc w:val="left"/>
              <w:rPr>
                <w:i/>
              </w:rPr>
            </w:pPr>
            <w:r w:rsidRPr="00A1437F">
              <w:rPr>
                <w:i/>
              </w:rPr>
              <w:t>N</w:t>
            </w:r>
            <w:r w:rsidRPr="00A1437F">
              <w:rPr>
                <w:iCs/>
                <w:vertAlign w:val="subscript"/>
              </w:rPr>
              <w:t>Ed</w:t>
            </w:r>
          </w:p>
        </w:tc>
        <w:tc>
          <w:tcPr>
            <w:tcW w:w="7938" w:type="dxa"/>
          </w:tcPr>
          <w:p w14:paraId="1337C96E" w14:textId="27B5133E" w:rsidR="00646E89" w:rsidRPr="00927C38" w:rsidRDefault="00720943" w:rsidP="002061E5">
            <w:pPr>
              <w:spacing w:after="60"/>
            </w:pPr>
            <w:r w:rsidRPr="00A1437F">
              <w:rPr>
                <w:iCs/>
              </w:rPr>
              <w:t>is the total compressive axial load acting on the entire segmented shear wall;</w:t>
            </w:r>
          </w:p>
        </w:tc>
      </w:tr>
      <w:tr w:rsidR="00EE18C5" w:rsidRPr="000F2AFF" w14:paraId="21726DBC" w14:textId="77777777" w:rsidTr="008217FC">
        <w:tc>
          <w:tcPr>
            <w:tcW w:w="1275" w:type="dxa"/>
          </w:tcPr>
          <w:p w14:paraId="2A255A2C" w14:textId="30E2E989" w:rsidR="00EE18C5" w:rsidRPr="00927C38" w:rsidRDefault="00EE18C5" w:rsidP="002061E5">
            <w:pPr>
              <w:spacing w:after="60"/>
              <w:jc w:val="left"/>
              <w:rPr>
                <w:i/>
              </w:rPr>
            </w:pPr>
            <w:r w:rsidRPr="00A1437F">
              <w:rPr>
                <w:i/>
                <w:iCs/>
              </w:rPr>
              <w:t>m</w:t>
            </w:r>
            <w:r w:rsidRPr="00A1437F">
              <w:rPr>
                <w:vertAlign w:val="subscript"/>
              </w:rPr>
              <w:t>lp</w:t>
            </w:r>
          </w:p>
        </w:tc>
        <w:tc>
          <w:tcPr>
            <w:tcW w:w="7938" w:type="dxa"/>
          </w:tcPr>
          <w:p w14:paraId="76010D91" w14:textId="7D9BDA4C" w:rsidR="00EE18C5" w:rsidRPr="00927C38" w:rsidRDefault="00720943" w:rsidP="002061E5">
            <w:pPr>
              <w:spacing w:after="60"/>
            </w:pPr>
            <w:r w:rsidRPr="00A1437F">
              <w:t>is the number of CL</w:t>
            </w:r>
            <w:r w:rsidRPr="00720943">
              <w:t xml:space="preserve">T </w:t>
            </w:r>
            <w:r w:rsidRPr="00A1437F">
              <w:t xml:space="preserve">panels in a segmented wall (e.g. </w:t>
            </w:r>
            <w:r w:rsidRPr="00A1437F">
              <w:rPr>
                <w:i/>
                <w:iCs/>
              </w:rPr>
              <w:t>m</w:t>
            </w:r>
            <w:r w:rsidRPr="00A1437F">
              <w:rPr>
                <w:vertAlign w:val="subscript"/>
              </w:rPr>
              <w:t>lp</w:t>
            </w:r>
            <w:r w:rsidRPr="00A1437F">
              <w:t> </w:t>
            </w:r>
            <w:r w:rsidRPr="00A1437F">
              <w:rPr>
                <w:rFonts w:ascii="Symbol" w:hAnsi="Symbol"/>
              </w:rPr>
              <w:t></w:t>
            </w:r>
            <w:r w:rsidRPr="00A1437F">
              <w:t> 3 in Figure 13.6).</w:t>
            </w:r>
          </w:p>
        </w:tc>
      </w:tr>
    </w:tbl>
    <w:p w14:paraId="4081D915" w14:textId="394DAF8C" w:rsidR="00720943" w:rsidRPr="00132C1E" w:rsidRDefault="00720943" w:rsidP="00724E4E">
      <w:pPr>
        <w:pStyle w:val="Clause"/>
      </w:pPr>
      <w:r w:rsidRPr="00A1437F">
        <w:t>The overstrength ratio,</w:t>
      </w:r>
      <w:r w:rsidRPr="000529B2">
        <w:t xml:space="preserve"> </w:t>
      </w:r>
      <w:r w:rsidRPr="000529B2">
        <w:rPr>
          <w:rFonts w:ascii="Cambria Math" w:hAnsi="Cambria Math"/>
          <w:i/>
        </w:rPr>
        <w:t>Ω</w:t>
      </w:r>
      <w:r w:rsidRPr="00A1437F">
        <w:rPr>
          <w:vertAlign w:val="subscript"/>
        </w:rPr>
        <w:t>d.i</w:t>
      </w:r>
      <w:r w:rsidRPr="00A1437F">
        <w:t xml:space="preserve">, of the primary structure at the </w:t>
      </w:r>
      <w:r w:rsidRPr="00A1437F">
        <w:rPr>
          <w:i/>
        </w:rPr>
        <w:t>i</w:t>
      </w:r>
      <w:r w:rsidRPr="00A1437F">
        <w:rPr>
          <w:i/>
          <w:vertAlign w:val="superscript"/>
        </w:rPr>
        <w:t>th</w:t>
      </w:r>
      <w:r w:rsidRPr="00A1437F">
        <w:t xml:space="preserve"> storey should be calculated by Formula</w:t>
      </w:r>
      <w:r w:rsidR="008217FC">
        <w:t> </w:t>
      </w:r>
      <w:r w:rsidRPr="00A1437F">
        <w:t>(13.13)</w:t>
      </w:r>
      <w:r w:rsidRPr="00132C1E">
        <w:t>.</w:t>
      </w:r>
    </w:p>
    <w:p w14:paraId="5071DFA2" w14:textId="57D73576" w:rsidR="00720943" w:rsidRDefault="009B5CEC" w:rsidP="00720943">
      <w:pPr>
        <w:pStyle w:val="Formula"/>
        <w:spacing w:before="240"/>
      </w:pPr>
      <m:oMath>
        <m:sSub>
          <m:sSubPr>
            <m:ctrlPr>
              <w:rPr>
                <w:rFonts w:ascii="Cambria Math" w:hAnsi="Cambria Math"/>
              </w:rPr>
            </m:ctrlPr>
          </m:sSubPr>
          <m:e>
            <m:r>
              <w:rPr>
                <w:rFonts w:ascii="Cambria Math" w:hAnsi="Cambria Math"/>
              </w:rPr>
              <m:t>Ω</m:t>
            </m:r>
          </m:e>
          <m:sub>
            <m:r>
              <m:rPr>
                <m:sty m:val="p"/>
              </m:rPr>
              <w:rPr>
                <w:rFonts w:ascii="Cambria Math" w:hAnsi="Cambria Math"/>
              </w:rPr>
              <m:t>d,i</m:t>
            </m:r>
          </m:sub>
        </m:sSub>
        <m:r>
          <w:rPr>
            <w:rFonts w:ascii="Cambria Math" w:hAnsi="Cambria Math"/>
          </w:rPr>
          <m:t>=</m:t>
        </m:r>
        <m:r>
          <m:rPr>
            <m:sty m:val="p"/>
          </m:rPr>
          <w:rPr>
            <w:rFonts w:ascii="Cambria Math" w:hAnsi="Cambria Math"/>
          </w:rPr>
          <m:t>min</m:t>
        </m:r>
        <m:d>
          <m:dPr>
            <m:ctrlPr>
              <w:rPr>
                <w:rFonts w:ascii="Cambria Math" w:hAnsi="Cambria Math"/>
              </w:rPr>
            </m:ctrlPr>
          </m:dPr>
          <m:e>
            <m:f>
              <m:fPr>
                <m:ctrlPr>
                  <w:rPr>
                    <w:rFonts w:ascii="Cambria Math" w:hAnsi="Cambria Math"/>
                  </w:rPr>
                </m:ctrlPr>
              </m:fPr>
              <m:num>
                <m:nary>
                  <m:naryPr>
                    <m:chr m:val="∑"/>
                    <m:limLoc m:val="undOvr"/>
                    <m:ctrlPr>
                      <w:rPr>
                        <w:rFonts w:ascii="Cambria Math" w:hAnsi="Cambria Math"/>
                      </w:rPr>
                    </m:ctrlPr>
                  </m:naryPr>
                  <m:sub>
                    <m:r>
                      <w:rPr>
                        <w:rFonts w:ascii="Cambria Math"/>
                      </w:rPr>
                      <m:t>j</m:t>
                    </m:r>
                    <m:r>
                      <w:rPr>
                        <w:rFonts w:ascii="Cambria Math" w:hAnsi="Cambria Math"/>
                      </w:rPr>
                      <m:t>=1</m:t>
                    </m:r>
                  </m:sub>
                  <m:sup>
                    <m:sSub>
                      <m:sSubPr>
                        <m:ctrlPr>
                          <w:rPr>
                            <w:rFonts w:ascii="Cambria Math" w:hAnsi="Cambria Math"/>
                          </w:rPr>
                        </m:ctrlPr>
                      </m:sSubPr>
                      <m:e>
                        <m:r>
                          <w:rPr>
                            <w:rFonts w:ascii="Cambria Math" w:hAnsi="Cambria Math"/>
                          </w:rPr>
                          <m:t>N</m:t>
                        </m:r>
                      </m:e>
                      <m:sub>
                        <m:r>
                          <w:rPr>
                            <w:rFonts w:ascii="Cambria Math" w:hAnsi="Cambria Math"/>
                          </w:rPr>
                          <m:t>i</m:t>
                        </m:r>
                      </m:sub>
                    </m:sSub>
                  </m:sup>
                  <m:e>
                    <m:d>
                      <m:dPr>
                        <m:begChr m:val="|"/>
                        <m:endChr m:val="|"/>
                        <m:ctrlPr>
                          <w:rPr>
                            <w:rFonts w:ascii="Cambria Math" w:hAnsi="Cambria Math"/>
                          </w:rPr>
                        </m:ctrlPr>
                      </m:dPr>
                      <m:e>
                        <m:sSub>
                          <m:sSubPr>
                            <m:ctrlPr>
                              <w:rPr>
                                <w:rFonts w:ascii="Cambria Math" w:hAnsi="Cambria Math"/>
                              </w:rPr>
                            </m:ctrlPr>
                          </m:sSubPr>
                          <m:e>
                            <m:r>
                              <w:rPr>
                                <w:rFonts w:ascii="Cambria Math"/>
                              </w:rPr>
                              <m:t>M</m:t>
                            </m:r>
                          </m:e>
                          <m:sub>
                            <m:r>
                              <m:rPr>
                                <m:sty m:val="p"/>
                              </m:rPr>
                              <w:rPr>
                                <w:rFonts w:ascii="Cambria Math" w:hAnsi="Cambria Math"/>
                              </w:rPr>
                              <m:t>Rd,rock,i,j</m:t>
                            </m:r>
                          </m:sub>
                        </m:sSub>
                      </m:e>
                    </m:d>
                  </m:e>
                </m:nary>
              </m:num>
              <m:den>
                <m:nary>
                  <m:naryPr>
                    <m:chr m:val="∑"/>
                    <m:limLoc m:val="undOvr"/>
                    <m:ctrlPr>
                      <w:rPr>
                        <w:rFonts w:ascii="Cambria Math" w:hAnsi="Cambria Math"/>
                      </w:rPr>
                    </m:ctrlPr>
                  </m:naryPr>
                  <m:sub>
                    <m:r>
                      <w:rPr>
                        <w:rFonts w:ascii="Cambria Math"/>
                      </w:rPr>
                      <m:t>j</m:t>
                    </m:r>
                    <m:r>
                      <w:rPr>
                        <w:rFonts w:ascii="Cambria Math" w:hAnsi="Cambria Math"/>
                      </w:rPr>
                      <m:t>=1</m:t>
                    </m:r>
                  </m:sub>
                  <m:sup>
                    <m:sSub>
                      <m:sSubPr>
                        <m:ctrlPr>
                          <w:rPr>
                            <w:rFonts w:ascii="Cambria Math" w:hAnsi="Cambria Math"/>
                          </w:rPr>
                        </m:ctrlPr>
                      </m:sSubPr>
                      <m:e>
                        <m:r>
                          <w:rPr>
                            <w:rFonts w:ascii="Cambria Math"/>
                          </w:rPr>
                          <m:t>N</m:t>
                        </m:r>
                      </m:e>
                      <m:sub>
                        <m:r>
                          <m:rPr>
                            <m:sty m:val="p"/>
                          </m:rPr>
                          <w:rPr>
                            <w:rFonts w:ascii="Cambria Math" w:hAnsi="Cambria Math"/>
                          </w:rPr>
                          <m:t>i</m:t>
                        </m:r>
                      </m:sub>
                    </m:sSub>
                  </m:sup>
                  <m:e>
                    <m:d>
                      <m:dPr>
                        <m:begChr m:val="|"/>
                        <m:endChr m:val="|"/>
                        <m:ctrlPr>
                          <w:rPr>
                            <w:rFonts w:ascii="Cambria Math" w:hAnsi="Cambria Math"/>
                          </w:rPr>
                        </m:ctrlPr>
                      </m:dPr>
                      <m:e>
                        <m:sSub>
                          <m:sSubPr>
                            <m:ctrlPr>
                              <w:rPr>
                                <w:rFonts w:ascii="Cambria Math" w:hAnsi="Cambria Math"/>
                              </w:rPr>
                            </m:ctrlPr>
                          </m:sSubPr>
                          <m:e>
                            <m:r>
                              <w:rPr>
                                <w:rFonts w:ascii="Cambria Math"/>
                              </w:rPr>
                              <m:t>M</m:t>
                            </m:r>
                          </m:e>
                          <m:sub>
                            <m:r>
                              <m:rPr>
                                <m:sty m:val="p"/>
                              </m:rPr>
                              <w:rPr>
                                <w:rFonts w:ascii="Cambria Math" w:hAnsi="Cambria Math"/>
                              </w:rPr>
                              <m:t>Ed,E,i,j</m:t>
                            </m:r>
                          </m:sub>
                        </m:sSub>
                      </m:e>
                    </m:d>
                  </m:e>
                </m:nary>
              </m:den>
            </m:f>
          </m:e>
        </m:d>
      </m:oMath>
      <w:r w:rsidR="00720943" w:rsidRPr="00870D59">
        <w:tab/>
        <w:t>(1</w:t>
      </w:r>
      <w:r w:rsidR="00720943">
        <w:t>3</w:t>
      </w:r>
      <w:r w:rsidR="00720943" w:rsidRPr="00870D59">
        <w:t>.</w:t>
      </w:r>
      <w:r w:rsidR="00720943">
        <w:t>13</w:t>
      </w:r>
      <w:r w:rsidR="00720943" w:rsidRPr="00870D59">
        <w:t>)</w:t>
      </w:r>
    </w:p>
    <w:p w14:paraId="3B9D1DFF" w14:textId="60231BE3" w:rsidR="00720943" w:rsidRPr="001B2671" w:rsidRDefault="00675EBA" w:rsidP="00720943">
      <w:pPr>
        <w:pStyle w:val="BodyText"/>
      </w:pPr>
      <w:r>
        <w:t>where</w:t>
      </w:r>
    </w:p>
    <w:tbl>
      <w:tblPr>
        <w:tblW w:w="0" w:type="auto"/>
        <w:tblInd w:w="346" w:type="dxa"/>
        <w:tblLook w:val="04A0" w:firstRow="1" w:lastRow="0" w:firstColumn="1" w:lastColumn="0" w:noHBand="0" w:noVBand="1"/>
      </w:tblPr>
      <w:tblGrid>
        <w:gridCol w:w="1275"/>
        <w:gridCol w:w="7938"/>
      </w:tblGrid>
      <w:tr w:rsidR="00720943" w:rsidRPr="000F2AFF" w14:paraId="005C66A7" w14:textId="77777777" w:rsidTr="008217FC">
        <w:tc>
          <w:tcPr>
            <w:tcW w:w="1275" w:type="dxa"/>
          </w:tcPr>
          <w:p w14:paraId="159498CE" w14:textId="48097ACF" w:rsidR="00720943" w:rsidRPr="00E80767" w:rsidRDefault="00D84AD0" w:rsidP="002061E5">
            <w:pPr>
              <w:spacing w:after="60"/>
              <w:jc w:val="left"/>
              <w:rPr>
                <w:rFonts w:eastAsia="Times New Roman" w:cs="Cambria"/>
                <w:color w:val="000000" w:themeColor="text1"/>
                <w:szCs w:val="20"/>
                <w:lang w:eastAsia="fr-FR"/>
              </w:rPr>
            </w:pPr>
            <w:r w:rsidRPr="00C550C7">
              <w:rPr>
                <w:i/>
              </w:rPr>
              <w:lastRenderedPageBreak/>
              <w:t>M</w:t>
            </w:r>
            <w:r w:rsidRPr="00C550C7">
              <w:rPr>
                <w:vertAlign w:val="subscript"/>
              </w:rPr>
              <w:t>Rd,rock,i,j</w:t>
            </w:r>
          </w:p>
        </w:tc>
        <w:tc>
          <w:tcPr>
            <w:tcW w:w="7938" w:type="dxa"/>
          </w:tcPr>
          <w:p w14:paraId="00B6D029" w14:textId="08D5C793" w:rsidR="00720943" w:rsidRPr="00464B4C" w:rsidRDefault="00D84AD0" w:rsidP="002061E5">
            <w:pPr>
              <w:spacing w:after="60"/>
              <w:rPr>
                <w:rFonts w:eastAsia="Times New Roman" w:cs="Cambria"/>
                <w:color w:val="000000" w:themeColor="text1"/>
                <w:szCs w:val="20"/>
                <w:lang w:eastAsia="fr-FR"/>
              </w:rPr>
            </w:pPr>
            <w:r w:rsidRPr="00C550C7">
              <w:t xml:space="preserve">is the design rocking strength related to the anchoring connections </w:t>
            </w:r>
            <w:r w:rsidRPr="00F12EA6">
              <w:t>against</w:t>
            </w:r>
            <w:r w:rsidRPr="00C550C7">
              <w:t xml:space="preserve"> </w:t>
            </w:r>
            <w:r w:rsidRPr="00D84AD0">
              <w:t xml:space="preserve">overturning </w:t>
            </w:r>
            <w:r w:rsidRPr="00C550C7">
              <w:t xml:space="preserve">of the </w:t>
            </w:r>
            <w:r w:rsidRPr="00C550C7">
              <w:rPr>
                <w:i/>
              </w:rPr>
              <w:t>j</w:t>
            </w:r>
            <w:r w:rsidRPr="000B3EA1">
              <w:rPr>
                <w:iCs/>
                <w:vertAlign w:val="superscript"/>
              </w:rPr>
              <w:t>th</w:t>
            </w:r>
            <w:r w:rsidRPr="00C550C7">
              <w:t xml:space="preserve"> shear</w:t>
            </w:r>
            <w:r>
              <w:t xml:space="preserve"> </w:t>
            </w:r>
            <w:r w:rsidRPr="00C550C7">
              <w:t xml:space="preserve">wall at the </w:t>
            </w:r>
            <w:r w:rsidRPr="00C550C7">
              <w:rPr>
                <w:i/>
              </w:rPr>
              <w:t>i</w:t>
            </w:r>
            <w:r w:rsidRPr="000B3EA1">
              <w:rPr>
                <w:iCs/>
                <w:vertAlign w:val="superscript"/>
              </w:rPr>
              <w:t>th</w:t>
            </w:r>
            <w:r>
              <w:t xml:space="preserve"> storey including the stabil</w:t>
            </w:r>
            <w:r w:rsidR="00E10A24">
              <w:t>izing</w:t>
            </w:r>
            <w:r w:rsidRPr="00C550C7">
              <w:t xml:space="preserve"> effect of the vertical load;</w:t>
            </w:r>
          </w:p>
        </w:tc>
      </w:tr>
      <w:tr w:rsidR="00720943" w:rsidRPr="000F2AFF" w14:paraId="39B070E6" w14:textId="77777777" w:rsidTr="008217FC">
        <w:tc>
          <w:tcPr>
            <w:tcW w:w="1275" w:type="dxa"/>
          </w:tcPr>
          <w:p w14:paraId="73DAB928" w14:textId="01160A22" w:rsidR="00720943" w:rsidRPr="00E80767" w:rsidRDefault="00D84AD0" w:rsidP="002061E5">
            <w:pPr>
              <w:spacing w:after="60"/>
              <w:jc w:val="left"/>
              <w:rPr>
                <w:rFonts w:eastAsia="Times New Roman" w:cs="Cambria"/>
                <w:color w:val="000000" w:themeColor="text1"/>
                <w:szCs w:val="20"/>
                <w:lang w:eastAsia="fr-FR"/>
              </w:rPr>
            </w:pPr>
            <w:r w:rsidRPr="00C550C7">
              <w:rPr>
                <w:i/>
              </w:rPr>
              <w:t>M</w:t>
            </w:r>
            <w:r w:rsidRPr="00C550C7">
              <w:rPr>
                <w:vertAlign w:val="subscript"/>
              </w:rPr>
              <w:t>Ed,E,i,j</w:t>
            </w:r>
          </w:p>
        </w:tc>
        <w:tc>
          <w:tcPr>
            <w:tcW w:w="7938" w:type="dxa"/>
          </w:tcPr>
          <w:p w14:paraId="28FE2A7B" w14:textId="0EFC43C7" w:rsidR="00720943" w:rsidRPr="00464B4C" w:rsidRDefault="00D84AD0" w:rsidP="002061E5">
            <w:pPr>
              <w:spacing w:after="60"/>
              <w:rPr>
                <w:rFonts w:eastAsia="Times New Roman" w:cs="Cambria"/>
                <w:color w:val="000000" w:themeColor="text1"/>
                <w:szCs w:val="20"/>
                <w:lang w:eastAsia="fr-FR"/>
              </w:rPr>
            </w:pPr>
            <w:r w:rsidRPr="00C550C7">
              <w:t xml:space="preserve">is the design rocking moment of the </w:t>
            </w:r>
            <w:r w:rsidRPr="00C550C7">
              <w:rPr>
                <w:i/>
              </w:rPr>
              <w:t>j</w:t>
            </w:r>
            <w:r w:rsidRPr="000B3EA1">
              <w:rPr>
                <w:iCs/>
                <w:vertAlign w:val="superscript"/>
              </w:rPr>
              <w:t>th</w:t>
            </w:r>
            <w:r w:rsidRPr="00C550C7">
              <w:t xml:space="preserve"> shear</w:t>
            </w:r>
            <w:r>
              <w:t xml:space="preserve"> </w:t>
            </w:r>
            <w:r w:rsidRPr="00C550C7">
              <w:t xml:space="preserve">wall at the </w:t>
            </w:r>
            <w:r w:rsidRPr="00C550C7">
              <w:rPr>
                <w:i/>
              </w:rPr>
              <w:t>i</w:t>
            </w:r>
            <w:r w:rsidRPr="000B3EA1">
              <w:rPr>
                <w:iCs/>
                <w:vertAlign w:val="superscript"/>
              </w:rPr>
              <w:t>th</w:t>
            </w:r>
            <w:r w:rsidRPr="00C550C7">
              <w:t xml:space="preserve"> storey due to the seismic action.</w:t>
            </w:r>
          </w:p>
        </w:tc>
      </w:tr>
    </w:tbl>
    <w:p w14:paraId="3F1E5A9C" w14:textId="3AD42DCD" w:rsidR="00D84AD0" w:rsidRPr="00132C1E" w:rsidRDefault="00D84AD0" w:rsidP="00724E4E">
      <w:pPr>
        <w:pStyle w:val="Clause"/>
      </w:pPr>
      <w:r w:rsidRPr="00C550C7">
        <w:t>The maximum storey overstrength ratio max(</w:t>
      </w:r>
      <w:r w:rsidRPr="00C550C7">
        <w:rPr>
          <w:i/>
        </w:rPr>
        <w:t>Ω</w:t>
      </w:r>
      <w:r w:rsidRPr="00C550C7">
        <w:rPr>
          <w:vertAlign w:val="subscript"/>
        </w:rPr>
        <w:t>d,i</w:t>
      </w:r>
      <w:r w:rsidRPr="00C550C7">
        <w:t xml:space="preserve">) and the minimum storey overstrength ratio </w:t>
      </w:r>
      <w:r w:rsidRPr="00C550C7">
        <w:rPr>
          <w:rFonts w:ascii="Symbol" w:hAnsi="Symbol"/>
          <w:i/>
        </w:rPr>
        <w:t></w:t>
      </w:r>
      <w:r w:rsidRPr="00C550C7">
        <w:rPr>
          <w:vertAlign w:val="subscript"/>
        </w:rPr>
        <w:t>d</w:t>
      </w:r>
      <w:r w:rsidRPr="00C550C7">
        <w:t xml:space="preserve">, with </w:t>
      </w:r>
      <w:r w:rsidRPr="00C550C7">
        <w:rPr>
          <w:rFonts w:ascii="Symbol" w:hAnsi="Symbol"/>
          <w:i/>
        </w:rPr>
        <w:t></w:t>
      </w:r>
      <w:r w:rsidRPr="00C550C7">
        <w:rPr>
          <w:vertAlign w:val="subscript"/>
        </w:rPr>
        <w:t>d</w:t>
      </w:r>
      <w:r>
        <w:t xml:space="preserve"> given by Formula</w:t>
      </w:r>
      <w:r w:rsidRPr="00C550C7">
        <w:t xml:space="preserve"> (13.8), should </w:t>
      </w:r>
      <w:r>
        <w:t>verify</w:t>
      </w:r>
      <w:r w:rsidRPr="00C550C7">
        <w:t xml:space="preserve"> Formula (13.14).</w:t>
      </w:r>
    </w:p>
    <w:p w14:paraId="078A75AB" w14:textId="2DFD5DB2" w:rsidR="00D84AD0" w:rsidRDefault="009B5CEC" w:rsidP="00D84AD0">
      <w:pPr>
        <w:pStyle w:val="Formula"/>
        <w:spacing w:before="240"/>
      </w:pPr>
      <m:oMath>
        <m:f>
          <m:fPr>
            <m:ctrlPr>
              <w:rPr>
                <w:rFonts w:ascii="Cambria Math" w:hAnsi="Cambria Math"/>
              </w:rPr>
            </m:ctrlPr>
          </m:fPr>
          <m:num>
            <m:r>
              <m:rPr>
                <m:sty m:val="p"/>
              </m:rPr>
              <w:rPr>
                <w:rFonts w:ascii="Cambria Math" w:hAnsi="Cambria Math"/>
              </w:rPr>
              <m:t>max</m:t>
            </m:r>
            <m:r>
              <w:rPr>
                <w:rFonts w:ascii="Cambria Math" w:hAnsi="Cambria Math"/>
              </w:rPr>
              <m:t>⁡</m:t>
            </m:r>
            <m:d>
              <m:dPr>
                <m:ctrlPr>
                  <w:rPr>
                    <w:rFonts w:ascii="Cambria Math" w:hAnsi="Cambria Math"/>
                  </w:rPr>
                </m:ctrlPr>
              </m:dPr>
              <m:e>
                <m:sSub>
                  <m:sSubPr>
                    <m:ctrlPr>
                      <w:rPr>
                        <w:rFonts w:ascii="Cambria Math" w:hAnsi="Cambria Math"/>
                      </w:rPr>
                    </m:ctrlPr>
                  </m:sSubPr>
                  <m:e>
                    <m:r>
                      <w:rPr>
                        <w:rFonts w:ascii="Cambria Math" w:hAnsi="Cambria Math"/>
                      </w:rPr>
                      <m:t>Ω</m:t>
                    </m:r>
                  </m:e>
                  <m:sub>
                    <m:r>
                      <m:rPr>
                        <m:sty m:val="p"/>
                      </m:rPr>
                      <w:rPr>
                        <w:rFonts w:ascii="Cambria Math" w:hAnsi="Cambria Math"/>
                      </w:rPr>
                      <m:t>d,i</m:t>
                    </m:r>
                  </m:sub>
                </m:sSub>
              </m:e>
            </m:d>
          </m:num>
          <m:den>
            <m:sSub>
              <m:sSubPr>
                <m:ctrlPr>
                  <w:rPr>
                    <w:rFonts w:ascii="Cambria Math" w:hAnsi="Cambria Math"/>
                  </w:rPr>
                </m:ctrlPr>
              </m:sSubPr>
              <m:e>
                <m:r>
                  <w:rPr>
                    <w:rFonts w:ascii="Cambria Math" w:hAnsi="Cambria Math"/>
                  </w:rPr>
                  <m:t>Ω</m:t>
                </m:r>
              </m:e>
              <m:sub>
                <m:r>
                  <m:rPr>
                    <m:sty m:val="p"/>
                  </m:rPr>
                  <w:rPr>
                    <w:rFonts w:ascii="Cambria Math" w:hAnsi="Cambria Math"/>
                  </w:rPr>
                  <m:t>d</m:t>
                </m:r>
              </m:sub>
            </m:sSub>
          </m:den>
        </m:f>
        <m:r>
          <w:rPr>
            <w:rFonts w:ascii="Cambria Math" w:hAnsi="Cambria Math"/>
          </w:rPr>
          <m:t>≤1,25</m:t>
        </m:r>
      </m:oMath>
      <w:r w:rsidR="00D84AD0" w:rsidRPr="00870D59">
        <w:tab/>
        <w:t>(1</w:t>
      </w:r>
      <w:r w:rsidR="00D84AD0">
        <w:t>3</w:t>
      </w:r>
      <w:r w:rsidR="00D84AD0" w:rsidRPr="00870D59">
        <w:t>.</w:t>
      </w:r>
      <w:r w:rsidR="00D84AD0">
        <w:t>1</w:t>
      </w:r>
      <w:r w:rsidR="00C331C6">
        <w:t>4</w:t>
      </w:r>
      <w:r w:rsidR="00D84AD0" w:rsidRPr="00870D59">
        <w:t>)</w:t>
      </w:r>
    </w:p>
    <w:p w14:paraId="132B22AF" w14:textId="174A7B67" w:rsidR="00C331C6" w:rsidRPr="00132C1E" w:rsidRDefault="004B4E74" w:rsidP="004B4E74">
      <w:pPr>
        <w:pStyle w:val="FigureImage"/>
        <w:rPr>
          <w:highlight w:val="yellow"/>
        </w:rPr>
      </w:pPr>
      <w:r>
        <w:rPr>
          <w:noProof/>
        </w:rPr>
        <w:drawing>
          <wp:inline distT="0" distB="0" distL="0" distR="0" wp14:anchorId="1F6CE5C1" wp14:editId="1D0642CF">
            <wp:extent cx="2880365" cy="2353060"/>
            <wp:effectExtent l="0" t="0" r="0" b="9525"/>
            <wp:docPr id="1661690645" name="0050.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1690645" name="0050.tiff"/>
                    <pic:cNvPicPr/>
                  </pic:nvPicPr>
                  <pic:blipFill>
                    <a:blip r:link="rId75"/>
                    <a:stretch>
                      <a:fillRect/>
                    </a:stretch>
                  </pic:blipFill>
                  <pic:spPr>
                    <a:xfrm>
                      <a:off x="0" y="0"/>
                      <a:ext cx="2880365" cy="2353060"/>
                    </a:xfrm>
                    <a:prstGeom prst="rect">
                      <a:avLst/>
                    </a:prstGeom>
                  </pic:spPr>
                </pic:pic>
              </a:graphicData>
            </a:graphic>
          </wp:inline>
        </w:drawing>
      </w:r>
    </w:p>
    <w:p w14:paraId="78DE52F6" w14:textId="77777777" w:rsidR="00C331C6" w:rsidRPr="00D1484A" w:rsidRDefault="00C331C6" w:rsidP="004B4E74">
      <w:pPr>
        <w:pStyle w:val="KeyTitle"/>
      </w:pPr>
      <w:r w:rsidRPr="00D1484A">
        <w:t>Key</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
        <w:gridCol w:w="9363"/>
      </w:tblGrid>
      <w:tr w:rsidR="00C331C6" w:rsidRPr="009B221D" w14:paraId="122676F8" w14:textId="77777777" w:rsidTr="008217FC">
        <w:tc>
          <w:tcPr>
            <w:tcW w:w="388" w:type="dxa"/>
          </w:tcPr>
          <w:p w14:paraId="04219AD6" w14:textId="77777777" w:rsidR="00C331C6" w:rsidRPr="008618F2" w:rsidRDefault="00C331C6" w:rsidP="008618F2">
            <w:pPr>
              <w:pStyle w:val="KeyText"/>
              <w:spacing w:before="0"/>
              <w:rPr>
                <w:iCs/>
              </w:rPr>
            </w:pPr>
            <w:r w:rsidRPr="008618F2">
              <w:rPr>
                <w:iCs/>
              </w:rPr>
              <w:t>A</w:t>
            </w:r>
          </w:p>
        </w:tc>
        <w:tc>
          <w:tcPr>
            <w:tcW w:w="9363" w:type="dxa"/>
          </w:tcPr>
          <w:p w14:paraId="183DB3C6" w14:textId="02AC0727" w:rsidR="00C331C6" w:rsidRPr="008618F2" w:rsidRDefault="004B4E74" w:rsidP="008618F2">
            <w:pPr>
              <w:pStyle w:val="KeyText"/>
              <w:spacing w:before="0"/>
            </w:pPr>
            <w:r w:rsidRPr="008618F2">
              <w:t>a</w:t>
            </w:r>
            <w:r w:rsidR="00C331C6" w:rsidRPr="008618F2">
              <w:t>nchoring 2D- or 3D-connector against overturning (hold-down, tie-down, foundation tie-down)</w:t>
            </w:r>
          </w:p>
        </w:tc>
      </w:tr>
      <w:tr w:rsidR="00C331C6" w:rsidRPr="009B221D" w14:paraId="5187B871" w14:textId="77777777" w:rsidTr="008217FC">
        <w:tc>
          <w:tcPr>
            <w:tcW w:w="388" w:type="dxa"/>
          </w:tcPr>
          <w:p w14:paraId="68AEB8DF" w14:textId="77777777" w:rsidR="00C331C6" w:rsidRPr="008618F2" w:rsidRDefault="00C331C6" w:rsidP="008618F2">
            <w:pPr>
              <w:pStyle w:val="KeyText"/>
              <w:spacing w:before="0"/>
              <w:rPr>
                <w:iCs/>
              </w:rPr>
            </w:pPr>
            <w:r w:rsidRPr="008618F2">
              <w:rPr>
                <w:iCs/>
              </w:rPr>
              <w:t>B</w:t>
            </w:r>
          </w:p>
        </w:tc>
        <w:tc>
          <w:tcPr>
            <w:tcW w:w="9363" w:type="dxa"/>
          </w:tcPr>
          <w:p w14:paraId="11F7265F" w14:textId="2938CA0C" w:rsidR="00C331C6" w:rsidRPr="008618F2" w:rsidRDefault="004B4E74" w:rsidP="008618F2">
            <w:pPr>
              <w:pStyle w:val="KeyText"/>
              <w:spacing w:before="0"/>
            </w:pPr>
            <w:r w:rsidRPr="008618F2">
              <w:t>s</w:t>
            </w:r>
            <w:r w:rsidR="00C331C6" w:rsidRPr="008618F2">
              <w:t>ingle fastener connection in vertical joint</w:t>
            </w:r>
          </w:p>
        </w:tc>
      </w:tr>
      <w:tr w:rsidR="00C331C6" w:rsidRPr="009B221D" w14:paraId="79B96A89" w14:textId="77777777" w:rsidTr="008217FC">
        <w:tc>
          <w:tcPr>
            <w:tcW w:w="388" w:type="dxa"/>
          </w:tcPr>
          <w:p w14:paraId="5EBBAE27" w14:textId="77777777" w:rsidR="00C331C6" w:rsidRPr="008618F2" w:rsidRDefault="00C331C6" w:rsidP="008618F2">
            <w:pPr>
              <w:pStyle w:val="KeyText"/>
              <w:spacing w:before="0"/>
              <w:rPr>
                <w:iCs/>
              </w:rPr>
            </w:pPr>
            <w:r w:rsidRPr="008618F2">
              <w:rPr>
                <w:iCs/>
              </w:rPr>
              <w:t>C</w:t>
            </w:r>
          </w:p>
        </w:tc>
        <w:tc>
          <w:tcPr>
            <w:tcW w:w="9363" w:type="dxa"/>
          </w:tcPr>
          <w:p w14:paraId="6114E59C" w14:textId="1C9B2003" w:rsidR="00C331C6" w:rsidRPr="008618F2" w:rsidRDefault="00C331C6" w:rsidP="008618F2">
            <w:pPr>
              <w:pStyle w:val="KeyText"/>
              <w:spacing w:before="0"/>
            </w:pPr>
            <w:r w:rsidRPr="008618F2">
              <w:t>2D- or 3D-connector resisting shear (angle-bracket, shear plate)</w:t>
            </w:r>
          </w:p>
        </w:tc>
      </w:tr>
    </w:tbl>
    <w:p w14:paraId="5938F3F1" w14:textId="79762010" w:rsidR="00C331C6" w:rsidRDefault="00C331C6" w:rsidP="00C331C6">
      <w:pPr>
        <w:pStyle w:val="Figuretitle"/>
      </w:pPr>
      <w:r w:rsidRPr="00132C1E">
        <w:t xml:space="preserve">Figure </w:t>
      </w:r>
      <w:r w:rsidR="0062443F">
        <w:t>13</w:t>
      </w:r>
      <w:r w:rsidRPr="00132C1E">
        <w:t>.</w:t>
      </w:r>
      <w:r>
        <w:t>6</w:t>
      </w:r>
      <w:r w:rsidRPr="00132C1E">
        <w:t> </w:t>
      </w:r>
      <w:r w:rsidRPr="00D1484A">
        <w:rPr>
          <w:rFonts w:ascii="`ÃÍœ˛" w:eastAsia="Cambria" w:hAnsi="`ÃÍœ˛" w:cs="`ÃÍœ˛"/>
          <w:szCs w:val="22"/>
          <w:lang w:eastAsia="de-DE"/>
        </w:rPr>
        <w:t>—</w:t>
      </w:r>
      <w:r w:rsidRPr="00D1484A">
        <w:t xml:space="preserve"> Segmented </w:t>
      </w:r>
      <w:r>
        <w:t>CL</w:t>
      </w:r>
      <w:r w:rsidRPr="00C331C6">
        <w:t>T</w:t>
      </w:r>
      <w:r w:rsidRPr="00FD17CF">
        <w:t xml:space="preserve"> wall</w:t>
      </w:r>
    </w:p>
    <w:p w14:paraId="40A70038" w14:textId="30B06B1E" w:rsidR="00C331C6" w:rsidRPr="00132C1E" w:rsidRDefault="00C331C6" w:rsidP="00724E4E">
      <w:pPr>
        <w:pStyle w:val="Clause"/>
      </w:pPr>
      <w:r w:rsidRPr="00542F28">
        <w:t>For each segmented wall, the shear connections should be verified using Formula (13.15)</w:t>
      </w:r>
      <w:r w:rsidRPr="00C550C7">
        <w:t>.</w:t>
      </w:r>
    </w:p>
    <w:p w14:paraId="61C03903" w14:textId="29935F44" w:rsidR="00C331C6" w:rsidRDefault="009B5CEC" w:rsidP="00C331C6">
      <w:pPr>
        <w:pStyle w:val="Formula"/>
        <w:spacing w:before="240"/>
      </w:pPr>
      <m:oMath>
        <m:sSub>
          <m:sSubPr>
            <m:ctrlPr>
              <w:rPr>
                <w:rFonts w:ascii="Cambria Math" w:hAnsi="Cambria Math"/>
              </w:rPr>
            </m:ctrlPr>
          </m:sSubPr>
          <m:e>
            <m:r>
              <w:rPr>
                <w:rFonts w:ascii="Cambria Math"/>
              </w:rPr>
              <m:t>F</m:t>
            </m:r>
          </m:e>
          <m:sub>
            <m:r>
              <m:rPr>
                <m:sty m:val="p"/>
              </m:rPr>
              <w:rPr>
                <w:rFonts w:ascii="Cambria Math" w:hAnsi="Cambria Math"/>
              </w:rPr>
              <m:t>Rd,s</m:t>
            </m:r>
          </m:sub>
        </m:sSub>
        <m:r>
          <w:rPr>
            <w:rFonts w:ascii="Cambria Math" w:hAnsi="Cambria Math"/>
          </w:rPr>
          <m:t xml:space="preserve">≥1,1 </m:t>
        </m:r>
        <m:f>
          <m:fPr>
            <m:ctrlPr>
              <w:rPr>
                <w:rFonts w:ascii="Cambria Math" w:hAnsi="Cambria Math" w:cs="Arial"/>
              </w:rPr>
            </m:ctrlPr>
          </m:fPr>
          <m:num>
            <m:sSub>
              <m:sSubPr>
                <m:ctrlPr>
                  <w:rPr>
                    <w:rFonts w:ascii="Cambria Math" w:hAnsi="Cambria Math"/>
                  </w:rPr>
                </m:ctrlPr>
              </m:sSubPr>
              <m:e>
                <m:r>
                  <w:rPr>
                    <w:rFonts w:ascii="Cambria Math" w:hAnsi="Cambria Math"/>
                  </w:rPr>
                  <m:t>M</m:t>
                </m:r>
              </m:e>
              <m:sub>
                <m:r>
                  <m:rPr>
                    <m:sty m:val="p"/>
                  </m:rPr>
                  <w:rPr>
                    <w:rFonts w:ascii="Cambria Math" w:hAnsi="Cambria Math"/>
                  </w:rPr>
                  <m:t>Rd,rock</m:t>
                </m:r>
              </m:sub>
            </m:sSub>
          </m:num>
          <m:den>
            <m:sSub>
              <m:sSubPr>
                <m:ctrlPr>
                  <w:rPr>
                    <w:rFonts w:ascii="Cambria Math" w:hAnsi="Cambria Math"/>
                  </w:rPr>
                </m:ctrlPr>
              </m:sSubPr>
              <m:e>
                <m:r>
                  <w:rPr>
                    <w:rFonts w:ascii="Cambria Math" w:hAnsi="Cambria Math"/>
                  </w:rPr>
                  <m:t>M</m:t>
                </m:r>
              </m:e>
              <m:sub>
                <m:r>
                  <m:rPr>
                    <m:sty m:val="p"/>
                  </m:rPr>
                  <w:rPr>
                    <w:rFonts w:ascii="Cambria Math" w:hAnsi="Cambria Math"/>
                  </w:rPr>
                  <m:t>Ed,E</m:t>
                </m:r>
              </m:sub>
            </m:sSub>
          </m:den>
        </m:f>
        <m:r>
          <w:rPr>
            <w:rFonts w:ascii="Cambria Math" w:hAnsi="Cambria Math"/>
          </w:rPr>
          <m:t xml:space="preserve">  </m:t>
        </m:r>
        <m:sSub>
          <m:sSubPr>
            <m:ctrlPr>
              <w:rPr>
                <w:rFonts w:ascii="Cambria Math" w:hAnsi="Cambria Math"/>
              </w:rPr>
            </m:ctrlPr>
          </m:sSubPr>
          <m:e>
            <m:r>
              <w:rPr>
                <w:rFonts w:ascii="Cambria Math" w:hAnsi="Cambria Math"/>
              </w:rPr>
              <m:t>F</m:t>
            </m:r>
          </m:e>
          <m:sub>
            <m:r>
              <m:rPr>
                <m:sty m:val="p"/>
              </m:rPr>
              <w:rPr>
                <w:rFonts w:ascii="Cambria Math" w:hAnsi="Cambria Math"/>
              </w:rPr>
              <m:t>Ed,E,s</m:t>
            </m:r>
          </m:sub>
        </m:sSub>
      </m:oMath>
      <w:r w:rsidR="00C331C6" w:rsidRPr="00870D59">
        <w:tab/>
        <w:t>(1</w:t>
      </w:r>
      <w:r w:rsidR="00C331C6">
        <w:t>3</w:t>
      </w:r>
      <w:r w:rsidR="00C331C6" w:rsidRPr="00870D59">
        <w:t>.</w:t>
      </w:r>
      <w:r w:rsidR="00C331C6">
        <w:t>15</w:t>
      </w:r>
      <w:r w:rsidR="00C331C6" w:rsidRPr="00870D59">
        <w:t>)</w:t>
      </w:r>
    </w:p>
    <w:p w14:paraId="15BA88A3" w14:textId="3A7E362C" w:rsidR="008217FC" w:rsidRPr="008217FC" w:rsidRDefault="008217FC" w:rsidP="008217FC">
      <w:pPr>
        <w:pStyle w:val="BodyText"/>
      </w:pPr>
      <w:r>
        <w:t>where</w:t>
      </w:r>
    </w:p>
    <w:tbl>
      <w:tblPr>
        <w:tblW w:w="0" w:type="auto"/>
        <w:tblInd w:w="346" w:type="dxa"/>
        <w:tblLook w:val="04A0" w:firstRow="1" w:lastRow="0" w:firstColumn="1" w:lastColumn="0" w:noHBand="0" w:noVBand="1"/>
      </w:tblPr>
      <w:tblGrid>
        <w:gridCol w:w="1275"/>
        <w:gridCol w:w="7938"/>
      </w:tblGrid>
      <w:tr w:rsidR="00C331C6" w:rsidRPr="000F2AFF" w14:paraId="228B6BD9" w14:textId="77777777" w:rsidTr="008217FC">
        <w:tc>
          <w:tcPr>
            <w:tcW w:w="1275" w:type="dxa"/>
          </w:tcPr>
          <w:p w14:paraId="16E3F8C8" w14:textId="6FD1D067" w:rsidR="00C331C6" w:rsidRPr="00E80767" w:rsidRDefault="009B5CEC" w:rsidP="002061E5">
            <w:pPr>
              <w:spacing w:after="60"/>
              <w:jc w:val="left"/>
              <w:rPr>
                <w:rFonts w:eastAsia="Times New Roman" w:cs="Cambria"/>
                <w:color w:val="000000" w:themeColor="text1"/>
                <w:szCs w:val="20"/>
                <w:lang w:eastAsia="fr-FR"/>
              </w:rPr>
            </w:pPr>
            <m:oMathPara>
              <m:oMathParaPr>
                <m:jc m:val="left"/>
              </m:oMathParaPr>
              <m:oMath>
                <m:sSub>
                  <m:sSubPr>
                    <m:ctrlPr>
                      <w:rPr>
                        <w:rFonts w:ascii="Cambria Math" w:hAnsi="Cambria Math"/>
                      </w:rPr>
                    </m:ctrlPr>
                  </m:sSubPr>
                  <m:e>
                    <m:r>
                      <w:rPr>
                        <w:rFonts w:ascii="Cambria Math" w:hAnsi="Cambria Math"/>
                      </w:rPr>
                      <m:t>F</m:t>
                    </m:r>
                  </m:e>
                  <m:sub>
                    <m:r>
                      <m:rPr>
                        <m:sty m:val="p"/>
                      </m:rPr>
                      <w:rPr>
                        <w:rFonts w:ascii="Cambria Math" w:hAnsi="Cambria Math"/>
                      </w:rPr>
                      <m:t>Rd,s</m:t>
                    </m:r>
                  </m:sub>
                </m:sSub>
              </m:oMath>
            </m:oMathPara>
          </w:p>
        </w:tc>
        <w:tc>
          <w:tcPr>
            <w:tcW w:w="7938" w:type="dxa"/>
          </w:tcPr>
          <w:p w14:paraId="42CBE134" w14:textId="40BE4CDC" w:rsidR="00C331C6" w:rsidRPr="00464B4C" w:rsidRDefault="00C331C6" w:rsidP="002061E5">
            <w:pPr>
              <w:spacing w:after="60"/>
              <w:rPr>
                <w:rFonts w:eastAsia="Times New Roman" w:cs="Cambria"/>
                <w:color w:val="000000" w:themeColor="text1"/>
                <w:szCs w:val="20"/>
                <w:lang w:eastAsia="fr-FR"/>
              </w:rPr>
            </w:pPr>
            <w:r w:rsidRPr="00C550C7">
              <w:t>is the design st</w:t>
            </w:r>
            <w:r>
              <w:t>rength of the shear connections;</w:t>
            </w:r>
          </w:p>
        </w:tc>
      </w:tr>
      <w:tr w:rsidR="00C331C6" w:rsidRPr="000F2AFF" w14:paraId="759F879F" w14:textId="77777777" w:rsidTr="008217FC">
        <w:tc>
          <w:tcPr>
            <w:tcW w:w="1275" w:type="dxa"/>
          </w:tcPr>
          <w:p w14:paraId="59B52325" w14:textId="0CF4ECF6" w:rsidR="00C331C6" w:rsidRPr="00E80767" w:rsidRDefault="009B5CEC" w:rsidP="002061E5">
            <w:pPr>
              <w:spacing w:after="60"/>
              <w:jc w:val="left"/>
              <w:rPr>
                <w:rFonts w:eastAsia="Times New Roman" w:cs="Cambria"/>
                <w:color w:val="000000" w:themeColor="text1"/>
                <w:szCs w:val="20"/>
                <w:lang w:eastAsia="fr-FR"/>
              </w:rPr>
            </w:pPr>
            <m:oMathPara>
              <m:oMathParaPr>
                <m:jc m:val="left"/>
              </m:oMathParaPr>
              <m:oMath>
                <m:sSub>
                  <m:sSubPr>
                    <m:ctrlPr>
                      <w:rPr>
                        <w:rFonts w:ascii="Cambria Math" w:hAnsi="Cambria Math"/>
                      </w:rPr>
                    </m:ctrlPr>
                  </m:sSubPr>
                  <m:e>
                    <m:r>
                      <w:rPr>
                        <w:rFonts w:ascii="Cambria Math" w:hAnsi="Cambria Math"/>
                      </w:rPr>
                      <m:t>F</m:t>
                    </m:r>
                  </m:e>
                  <m:sub>
                    <m:r>
                      <m:rPr>
                        <m:sty m:val="p"/>
                      </m:rPr>
                      <w:rPr>
                        <w:rFonts w:ascii="Cambria Math" w:hAnsi="Cambria Math"/>
                      </w:rPr>
                      <m:t>Ed,E,s</m:t>
                    </m:r>
                  </m:sub>
                </m:sSub>
              </m:oMath>
            </m:oMathPara>
          </w:p>
        </w:tc>
        <w:tc>
          <w:tcPr>
            <w:tcW w:w="7938" w:type="dxa"/>
          </w:tcPr>
          <w:p w14:paraId="15122EF1" w14:textId="32BABC8E" w:rsidR="00C331C6" w:rsidRPr="00464B4C" w:rsidRDefault="00C331C6" w:rsidP="002061E5">
            <w:pPr>
              <w:spacing w:after="60"/>
              <w:rPr>
                <w:rFonts w:eastAsia="Times New Roman" w:cs="Cambria"/>
                <w:color w:val="000000" w:themeColor="text1"/>
                <w:szCs w:val="20"/>
                <w:lang w:eastAsia="fr-FR"/>
              </w:rPr>
            </w:pPr>
            <w:r w:rsidRPr="00C550C7">
              <w:t>is the action effect in the shear connections due to the design seismic action;</w:t>
            </w:r>
          </w:p>
        </w:tc>
      </w:tr>
      <w:tr w:rsidR="00C331C6" w:rsidRPr="000F2AFF" w14:paraId="720AC3C7" w14:textId="77777777" w:rsidTr="008217FC">
        <w:tc>
          <w:tcPr>
            <w:tcW w:w="1275" w:type="dxa"/>
          </w:tcPr>
          <w:p w14:paraId="174DCCD1" w14:textId="6DA8702C" w:rsidR="00C331C6" w:rsidRPr="00C550C7" w:rsidRDefault="00C331C6" w:rsidP="00C331C6">
            <w:pPr>
              <w:spacing w:after="60"/>
              <w:jc w:val="left"/>
              <w:rPr>
                <w:i/>
              </w:rPr>
            </w:pPr>
            <w:r w:rsidRPr="00C550C7">
              <w:rPr>
                <w:i/>
              </w:rPr>
              <w:t>M</w:t>
            </w:r>
            <w:r w:rsidRPr="00C550C7">
              <w:rPr>
                <w:vertAlign w:val="subscript"/>
              </w:rPr>
              <w:t>Rd,rock</w:t>
            </w:r>
          </w:p>
        </w:tc>
        <w:tc>
          <w:tcPr>
            <w:tcW w:w="7938" w:type="dxa"/>
          </w:tcPr>
          <w:p w14:paraId="1EB71E1B" w14:textId="408754B3" w:rsidR="00C331C6" w:rsidRPr="00C550C7" w:rsidRDefault="00C331C6" w:rsidP="00C331C6">
            <w:pPr>
              <w:spacing w:after="60"/>
            </w:pPr>
            <w:r w:rsidRPr="00C550C7">
              <w:t xml:space="preserve">is the design rocking strength related to the anchoring connections </w:t>
            </w:r>
            <w:r w:rsidRPr="00B024ED">
              <w:t>against</w:t>
            </w:r>
            <w:r w:rsidRPr="00C550C7">
              <w:t xml:space="preserve"> </w:t>
            </w:r>
            <w:r w:rsidRPr="00C331C6">
              <w:t xml:space="preserve">overturning </w:t>
            </w:r>
            <w:r w:rsidRPr="00C550C7">
              <w:t>of the shear</w:t>
            </w:r>
            <w:r>
              <w:t xml:space="preserve"> </w:t>
            </w:r>
            <w:r w:rsidRPr="00C550C7">
              <w:t>wall including the stabilizing effect of the vertical load;</w:t>
            </w:r>
          </w:p>
        </w:tc>
      </w:tr>
      <w:tr w:rsidR="00C331C6" w:rsidRPr="000F2AFF" w14:paraId="411744B6" w14:textId="77777777" w:rsidTr="008217FC">
        <w:tc>
          <w:tcPr>
            <w:tcW w:w="1275" w:type="dxa"/>
          </w:tcPr>
          <w:p w14:paraId="4704E06C" w14:textId="57D7B25A" w:rsidR="00C331C6" w:rsidRPr="00C550C7" w:rsidRDefault="00C331C6" w:rsidP="00C331C6">
            <w:pPr>
              <w:spacing w:after="60"/>
              <w:jc w:val="left"/>
              <w:rPr>
                <w:i/>
              </w:rPr>
            </w:pPr>
            <w:r w:rsidRPr="00C550C7">
              <w:rPr>
                <w:i/>
              </w:rPr>
              <w:t>M</w:t>
            </w:r>
            <w:r w:rsidRPr="00C550C7">
              <w:rPr>
                <w:vertAlign w:val="subscript"/>
              </w:rPr>
              <w:t>Ed,E</w:t>
            </w:r>
          </w:p>
        </w:tc>
        <w:tc>
          <w:tcPr>
            <w:tcW w:w="7938" w:type="dxa"/>
          </w:tcPr>
          <w:p w14:paraId="21226F5F" w14:textId="27D9DDC1" w:rsidR="00C331C6" w:rsidRPr="00C550C7" w:rsidRDefault="00C331C6" w:rsidP="00C331C6">
            <w:pPr>
              <w:spacing w:after="60"/>
            </w:pPr>
            <w:r w:rsidRPr="00C550C7">
              <w:t>is the design rocking moment of the shear</w:t>
            </w:r>
            <w:r>
              <w:t xml:space="preserve"> </w:t>
            </w:r>
            <w:r w:rsidRPr="00C550C7">
              <w:t>wall due to the seismic action.</w:t>
            </w:r>
          </w:p>
        </w:tc>
      </w:tr>
    </w:tbl>
    <w:p w14:paraId="29533EC7" w14:textId="53F23C78" w:rsidR="00C331C6" w:rsidRPr="00132C1E" w:rsidRDefault="00C331C6" w:rsidP="00724E4E">
      <w:pPr>
        <w:pStyle w:val="Clause"/>
      </w:pPr>
      <w:r w:rsidRPr="00B50899">
        <w:t xml:space="preserve">In segmented walls with panels of the same </w:t>
      </w:r>
      <w:r w:rsidRPr="00C331C6">
        <w:t xml:space="preserve">length </w:t>
      </w:r>
      <w:r w:rsidRPr="00C331C6">
        <w:rPr>
          <w:i/>
          <w:iCs/>
        </w:rPr>
        <w:t>b</w:t>
      </w:r>
      <w:r w:rsidRPr="00C331C6">
        <w:rPr>
          <w:vertAlign w:val="subscript"/>
        </w:rPr>
        <w:t>CLT</w:t>
      </w:r>
      <w:r w:rsidRPr="00C331C6">
        <w:t xml:space="preserve"> and vertical joints with the same type of fastener at the same spacing, when the wall is anchored against uplift at the corners and the shear connection do not affect rocking behaviour, the design rocking strength </w:t>
      </w:r>
      <w:r w:rsidRPr="00C331C6">
        <w:rPr>
          <w:i/>
          <w:iCs/>
        </w:rPr>
        <w:t>M</w:t>
      </w:r>
      <w:r w:rsidRPr="00C331C6">
        <w:rPr>
          <w:vertAlign w:val="subscript"/>
        </w:rPr>
        <w:t>Rd,rock</w:t>
      </w:r>
      <w:r w:rsidRPr="00C331C6">
        <w:t xml:space="preserve"> should </w:t>
      </w:r>
      <w:r w:rsidRPr="00B50899">
        <w:t>be calculated by Formula (13.16)</w:t>
      </w:r>
      <w:r w:rsidRPr="00C550C7">
        <w:t>.</w:t>
      </w:r>
    </w:p>
    <w:p w14:paraId="799C253E" w14:textId="74546440" w:rsidR="00C331C6" w:rsidRDefault="009B5CEC" w:rsidP="00C331C6">
      <w:pPr>
        <w:pStyle w:val="Formula"/>
        <w:spacing w:before="240"/>
      </w:pPr>
      <m:oMath>
        <m:sSub>
          <m:sSubPr>
            <m:ctrlPr>
              <w:rPr>
                <w:rFonts w:ascii="Cambria Math" w:hAnsi="Cambria Math"/>
              </w:rPr>
            </m:ctrlPr>
          </m:sSubPr>
          <m:e>
            <m:r>
              <w:rPr>
                <w:rFonts w:ascii="Cambria Math" w:hAnsi="Cambria Math"/>
              </w:rPr>
              <m:t>M</m:t>
            </m:r>
          </m:e>
          <m:sub>
            <m:r>
              <m:rPr>
                <m:sty m:val="p"/>
              </m:rPr>
              <w:rPr>
                <w:rFonts w:ascii="Cambria Math" w:hAnsi="Cambria Math"/>
              </w:rPr>
              <m:t>Rd,rock</m:t>
            </m:r>
          </m:sub>
        </m:sSub>
        <m:r>
          <w:rPr>
            <w:rFonts w:ascii="Cambria Math" w:hAnsi="Cambria Math"/>
          </w:rPr>
          <m:t>=</m:t>
        </m:r>
        <m:sSub>
          <m:sSubPr>
            <m:ctrlPr>
              <w:rPr>
                <w:rFonts w:ascii="Cambria Math" w:hAnsi="Cambria Math"/>
              </w:rPr>
            </m:ctrlPr>
          </m:sSubPr>
          <m:e>
            <m:r>
              <w:rPr>
                <w:rFonts w:ascii="Cambria Math" w:hAnsi="Cambria Math"/>
              </w:rPr>
              <m:t>b</m:t>
            </m:r>
          </m:e>
          <m:sub>
            <m:r>
              <m:rPr>
                <m:sty m:val="p"/>
              </m:rPr>
              <w:rPr>
                <w:rFonts w:ascii="Cambria Math" w:hAnsi="Cambria Math"/>
              </w:rPr>
              <m:t>CLT</m:t>
            </m:r>
          </m:sub>
        </m:sSub>
        <m:d>
          <m:dPr>
            <m:begChr m:val="["/>
            <m:endChr m:val="]"/>
            <m:ctrlPr>
              <w:rPr>
                <w:rFonts w:ascii="Cambria Math" w:hAnsi="Cambria Math"/>
              </w:rPr>
            </m:ctrlPr>
          </m:dPr>
          <m:e>
            <m:sSub>
              <m:sSubPr>
                <m:ctrlPr>
                  <w:rPr>
                    <w:rFonts w:ascii="Cambria Math" w:hAnsi="Cambria Math"/>
                  </w:rPr>
                </m:ctrlPr>
              </m:sSubPr>
              <m:e>
                <m:r>
                  <w:rPr>
                    <w:rFonts w:ascii="Cambria Math" w:hAnsi="Cambria Math"/>
                  </w:rPr>
                  <m:t>F</m:t>
                </m:r>
              </m:e>
              <m:sub>
                <m:r>
                  <m:rPr>
                    <m:sty m:val="p"/>
                  </m:rPr>
                  <w:rPr>
                    <w:rFonts w:ascii="Cambria Math" w:hAnsi="Cambria Math"/>
                  </w:rPr>
                  <m:t>Rd,hd</m:t>
                </m:r>
              </m:sub>
            </m:sSub>
            <m:r>
              <w:rPr>
                <w:rFonts w:ascii="Cambria Math" w:hAnsi="Cambria Math"/>
              </w:rPr>
              <m:t>+</m:t>
            </m:r>
            <m:sSub>
              <m:sSubPr>
                <m:ctrlPr>
                  <w:rPr>
                    <w:rFonts w:ascii="Cambria Math" w:hAnsi="Cambria Math"/>
                  </w:rPr>
                </m:ctrlPr>
              </m:sSubPr>
              <m:e>
                <m:r>
                  <w:rPr>
                    <w:rFonts w:ascii="Cambria Math" w:hAnsi="Cambria Math"/>
                  </w:rPr>
                  <m:t>F</m:t>
                </m:r>
              </m:e>
              <m:sub>
                <m:r>
                  <m:rPr>
                    <m:sty m:val="p"/>
                  </m:rPr>
                  <w:rPr>
                    <w:rFonts w:ascii="Cambria Math" w:hAnsi="Cambria Math"/>
                  </w:rPr>
                  <m:t>Rd,c</m:t>
                </m:r>
              </m:sub>
            </m:sSub>
            <m:r>
              <w:rPr>
                <w:rFonts w:ascii="Cambria Math" w:hAnsi="Cambria Math"/>
              </w:rPr>
              <m:t xml:space="preserve"> </m:t>
            </m:r>
            <m:d>
              <m:dPr>
                <m:ctrlPr>
                  <w:rPr>
                    <w:rFonts w:ascii="Cambria Math" w:hAnsi="Cambria Math"/>
                  </w:rPr>
                </m:ctrlPr>
              </m:dPr>
              <m:e>
                <m:sSub>
                  <m:sSubPr>
                    <m:ctrlPr>
                      <w:rPr>
                        <w:rFonts w:ascii="Cambria Math" w:hAnsi="Cambria Math"/>
                      </w:rPr>
                    </m:ctrlPr>
                  </m:sSubPr>
                  <m:e>
                    <m:r>
                      <w:rPr>
                        <w:rFonts w:ascii="Cambria Math" w:hAnsi="Cambria Math"/>
                      </w:rPr>
                      <m:t>m</m:t>
                    </m:r>
                  </m:e>
                  <m:sub>
                    <m:r>
                      <m:rPr>
                        <m:sty m:val="p"/>
                      </m:rPr>
                      <w:rPr>
                        <w:rFonts w:ascii="Cambria Math" w:hAnsi="Cambria Math"/>
                      </w:rPr>
                      <m:t>lp</m:t>
                    </m:r>
                  </m:sub>
                </m:sSub>
                <m:r>
                  <w:rPr>
                    <w:rFonts w:ascii="Cambria Math" w:hAnsi="Cambria Math"/>
                  </w:rPr>
                  <m:t>-1</m:t>
                </m:r>
              </m:e>
            </m:d>
            <m:r>
              <w:rPr>
                <w:rFonts w:ascii="Cambria Math" w:hAnsi="Cambria Math"/>
              </w:rPr>
              <m:t xml:space="preserve"> </m:t>
            </m:r>
            <m:sSub>
              <m:sSubPr>
                <m:ctrlPr>
                  <w:rPr>
                    <w:rFonts w:ascii="Cambria Math" w:hAnsi="Cambria Math"/>
                  </w:rPr>
                </m:ctrlPr>
              </m:sSubPr>
              <m:e>
                <m:r>
                  <w:rPr>
                    <w:rFonts w:ascii="Cambria Math" w:hAnsi="Cambria Math"/>
                  </w:rPr>
                  <m:t>n</m:t>
                </m:r>
              </m:e>
              <m:sub>
                <m:r>
                  <m:rPr>
                    <m:sty m:val="p"/>
                  </m:rPr>
                  <w:rPr>
                    <w:rFonts w:ascii="Cambria Math" w:hAnsi="Cambria Math"/>
                  </w:rPr>
                  <m:t>vj</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N</m:t>
                    </m:r>
                  </m:e>
                  <m:sub>
                    <m:r>
                      <m:rPr>
                        <m:sty m:val="p"/>
                      </m:rPr>
                      <w:rPr>
                        <w:rFonts w:ascii="Cambria Math" w:hAnsi="Cambria Math"/>
                      </w:rPr>
                      <m:t>Ed</m:t>
                    </m:r>
                  </m:sub>
                </m:sSub>
              </m:num>
              <m:den>
                <m:r>
                  <w:rPr>
                    <w:rFonts w:ascii="Cambria Math" w:hAnsi="Cambria Math"/>
                  </w:rPr>
                  <m:t>2</m:t>
                </m:r>
              </m:den>
            </m:f>
          </m:e>
        </m:d>
      </m:oMath>
      <w:r w:rsidR="00C331C6" w:rsidRPr="00870D59">
        <w:tab/>
        <w:t>(1</w:t>
      </w:r>
      <w:r w:rsidR="00C331C6">
        <w:t>3</w:t>
      </w:r>
      <w:r w:rsidR="00C331C6" w:rsidRPr="00870D59">
        <w:t>.</w:t>
      </w:r>
      <w:r w:rsidR="00C331C6">
        <w:t>15</w:t>
      </w:r>
      <w:r w:rsidR="00C331C6" w:rsidRPr="00870D59">
        <w:t>)</w:t>
      </w:r>
    </w:p>
    <w:p w14:paraId="6496D5A5" w14:textId="51A9B0C5" w:rsidR="008217FC" w:rsidRPr="008217FC" w:rsidRDefault="008217FC" w:rsidP="008217FC">
      <w:pPr>
        <w:pStyle w:val="BodyText"/>
      </w:pPr>
      <w:r>
        <w:t>where</w:t>
      </w:r>
    </w:p>
    <w:tbl>
      <w:tblPr>
        <w:tblW w:w="0" w:type="auto"/>
        <w:tblInd w:w="346" w:type="dxa"/>
        <w:tblLook w:val="04A0" w:firstRow="1" w:lastRow="0" w:firstColumn="1" w:lastColumn="0" w:noHBand="0" w:noVBand="1"/>
      </w:tblPr>
      <w:tblGrid>
        <w:gridCol w:w="1275"/>
        <w:gridCol w:w="7938"/>
      </w:tblGrid>
      <w:tr w:rsidR="004C377F" w:rsidRPr="000F2AFF" w14:paraId="702AA334" w14:textId="77777777" w:rsidTr="008217FC">
        <w:tc>
          <w:tcPr>
            <w:tcW w:w="1275" w:type="dxa"/>
          </w:tcPr>
          <w:p w14:paraId="764DAA44" w14:textId="4A77E2DE" w:rsidR="004C377F" w:rsidRPr="00E80767" w:rsidRDefault="004C377F" w:rsidP="004C377F">
            <w:pPr>
              <w:spacing w:after="60"/>
              <w:jc w:val="left"/>
              <w:rPr>
                <w:rFonts w:eastAsia="Times New Roman" w:cs="Cambria"/>
                <w:color w:val="000000" w:themeColor="text1"/>
                <w:szCs w:val="20"/>
                <w:lang w:eastAsia="fr-FR"/>
              </w:rPr>
            </w:pPr>
            <w:r w:rsidRPr="00C550C7">
              <w:rPr>
                <w:i/>
              </w:rPr>
              <w:t>M</w:t>
            </w:r>
            <w:r w:rsidRPr="00C550C7">
              <w:rPr>
                <w:vertAlign w:val="subscript"/>
              </w:rPr>
              <w:t>Rd,rock</w:t>
            </w:r>
          </w:p>
        </w:tc>
        <w:tc>
          <w:tcPr>
            <w:tcW w:w="7938" w:type="dxa"/>
          </w:tcPr>
          <w:p w14:paraId="1C89DE87" w14:textId="5DF451C6" w:rsidR="004C377F" w:rsidRPr="00464B4C" w:rsidRDefault="004C377F" w:rsidP="004C377F">
            <w:pPr>
              <w:spacing w:after="60"/>
              <w:rPr>
                <w:rFonts w:eastAsia="Times New Roman" w:cs="Cambria"/>
                <w:color w:val="000000" w:themeColor="text1"/>
                <w:szCs w:val="20"/>
                <w:lang w:eastAsia="fr-FR"/>
              </w:rPr>
            </w:pPr>
            <w:r w:rsidRPr="00132C1E">
              <w:t>is the design rocking strength;</w:t>
            </w:r>
          </w:p>
        </w:tc>
      </w:tr>
      <w:tr w:rsidR="004C377F" w:rsidRPr="000F2AFF" w14:paraId="771C31AE" w14:textId="77777777" w:rsidTr="008217FC">
        <w:tc>
          <w:tcPr>
            <w:tcW w:w="1275" w:type="dxa"/>
          </w:tcPr>
          <w:p w14:paraId="2EC3EAA4" w14:textId="698D329E" w:rsidR="004C377F" w:rsidRPr="00E80767" w:rsidRDefault="004C377F" w:rsidP="004C377F">
            <w:pPr>
              <w:spacing w:after="60"/>
              <w:jc w:val="left"/>
              <w:rPr>
                <w:rFonts w:eastAsia="Times New Roman" w:cs="Cambria"/>
                <w:color w:val="000000" w:themeColor="text1"/>
                <w:szCs w:val="20"/>
                <w:lang w:eastAsia="fr-FR"/>
              </w:rPr>
            </w:pPr>
            <w:r w:rsidRPr="00132C1E">
              <w:rPr>
                <w:i/>
              </w:rPr>
              <w:t>F</w:t>
            </w:r>
            <w:r w:rsidRPr="00132C1E">
              <w:rPr>
                <w:vertAlign w:val="subscript"/>
              </w:rPr>
              <w:t>Rd,h</w:t>
            </w:r>
            <w:r>
              <w:rPr>
                <w:vertAlign w:val="subscript"/>
              </w:rPr>
              <w:t>d</w:t>
            </w:r>
          </w:p>
        </w:tc>
        <w:tc>
          <w:tcPr>
            <w:tcW w:w="7938" w:type="dxa"/>
          </w:tcPr>
          <w:p w14:paraId="2D0D6D05" w14:textId="725ACE9A" w:rsidR="004C377F" w:rsidRPr="00464B4C" w:rsidRDefault="004C377F" w:rsidP="004C377F">
            <w:pPr>
              <w:spacing w:after="60"/>
              <w:rPr>
                <w:rFonts w:eastAsia="Times New Roman" w:cs="Cambria"/>
                <w:color w:val="000000" w:themeColor="text1"/>
                <w:szCs w:val="20"/>
                <w:lang w:eastAsia="fr-FR"/>
              </w:rPr>
            </w:pPr>
            <w:r w:rsidRPr="004C377F">
              <w:t>is the design strength of the anchoring 2D- or 3D-connector against overturning calculated using Formula (13.1);</w:t>
            </w:r>
          </w:p>
        </w:tc>
      </w:tr>
      <w:tr w:rsidR="004C377F" w:rsidRPr="000F2AFF" w14:paraId="26E8461E" w14:textId="77777777" w:rsidTr="008217FC">
        <w:tc>
          <w:tcPr>
            <w:tcW w:w="1275" w:type="dxa"/>
          </w:tcPr>
          <w:p w14:paraId="0FAACA63" w14:textId="2743DB6D" w:rsidR="004C377F" w:rsidRPr="00C550C7" w:rsidRDefault="004C377F" w:rsidP="004C377F">
            <w:pPr>
              <w:spacing w:after="60"/>
              <w:jc w:val="left"/>
              <w:rPr>
                <w:i/>
              </w:rPr>
            </w:pPr>
            <w:r w:rsidRPr="00132C1E">
              <w:rPr>
                <w:i/>
              </w:rPr>
              <w:t>F</w:t>
            </w:r>
            <w:r w:rsidRPr="00132C1E">
              <w:rPr>
                <w:vertAlign w:val="subscript"/>
              </w:rPr>
              <w:t>Rd,c</w:t>
            </w:r>
          </w:p>
        </w:tc>
        <w:tc>
          <w:tcPr>
            <w:tcW w:w="7938" w:type="dxa"/>
          </w:tcPr>
          <w:p w14:paraId="2622FA47" w14:textId="189FEE50" w:rsidR="004C377F" w:rsidRPr="00C550C7" w:rsidRDefault="004C377F" w:rsidP="004C377F">
            <w:pPr>
              <w:spacing w:after="60"/>
            </w:pPr>
            <w:r w:rsidRPr="00132C1E">
              <w:t>is the design strength of the single timber-to-timber connection used in the vertical joint using Formula (13.1);</w:t>
            </w:r>
          </w:p>
        </w:tc>
      </w:tr>
      <w:tr w:rsidR="004C377F" w:rsidRPr="000F2AFF" w14:paraId="2E979004" w14:textId="77777777" w:rsidTr="008217FC">
        <w:tc>
          <w:tcPr>
            <w:tcW w:w="1275" w:type="dxa"/>
          </w:tcPr>
          <w:p w14:paraId="37D6BBF3" w14:textId="4404FD79" w:rsidR="004C377F" w:rsidRPr="00C550C7" w:rsidRDefault="004C377F" w:rsidP="004C377F">
            <w:pPr>
              <w:spacing w:after="60"/>
              <w:jc w:val="left"/>
              <w:rPr>
                <w:i/>
              </w:rPr>
            </w:pPr>
            <w:r w:rsidRPr="00132C1E">
              <w:rPr>
                <w:i/>
              </w:rPr>
              <w:t>n</w:t>
            </w:r>
            <w:r w:rsidRPr="00132C1E">
              <w:rPr>
                <w:iCs/>
                <w:vertAlign w:val="subscript"/>
              </w:rPr>
              <w:t>vj</w:t>
            </w:r>
          </w:p>
        </w:tc>
        <w:tc>
          <w:tcPr>
            <w:tcW w:w="7938" w:type="dxa"/>
          </w:tcPr>
          <w:p w14:paraId="43F524F4" w14:textId="0B91CBB6" w:rsidR="004C377F" w:rsidRPr="00C550C7" w:rsidRDefault="004C377F" w:rsidP="004C377F">
            <w:pPr>
              <w:spacing w:after="60"/>
            </w:pPr>
            <w:r w:rsidRPr="00132C1E">
              <w:t>is the number of fasteners used in the vertical joint;</w:t>
            </w:r>
          </w:p>
        </w:tc>
      </w:tr>
      <w:tr w:rsidR="004C377F" w:rsidRPr="000F2AFF" w14:paraId="68B3B2D8" w14:textId="77777777" w:rsidTr="008217FC">
        <w:tc>
          <w:tcPr>
            <w:tcW w:w="1275" w:type="dxa"/>
          </w:tcPr>
          <w:p w14:paraId="2552A6DA" w14:textId="71F0BE5A" w:rsidR="004C377F" w:rsidRPr="00132C1E" w:rsidRDefault="004C377F" w:rsidP="004C377F">
            <w:pPr>
              <w:spacing w:after="60"/>
              <w:jc w:val="left"/>
              <w:rPr>
                <w:i/>
              </w:rPr>
            </w:pPr>
            <w:r w:rsidRPr="00132C1E">
              <w:rPr>
                <w:i/>
              </w:rPr>
              <w:t>b</w:t>
            </w:r>
            <w:r w:rsidRPr="00132C1E">
              <w:rPr>
                <w:vertAlign w:val="subscript"/>
              </w:rPr>
              <w:t>CL</w:t>
            </w:r>
            <w:r w:rsidRPr="004C377F">
              <w:rPr>
                <w:vertAlign w:val="subscript"/>
              </w:rPr>
              <w:t>T</w:t>
            </w:r>
          </w:p>
        </w:tc>
        <w:tc>
          <w:tcPr>
            <w:tcW w:w="7938" w:type="dxa"/>
          </w:tcPr>
          <w:p w14:paraId="6ED7D282" w14:textId="4C9B8EED" w:rsidR="004C377F" w:rsidRPr="00C550C7" w:rsidRDefault="004C377F" w:rsidP="004C377F">
            <w:pPr>
              <w:spacing w:after="60"/>
            </w:pPr>
            <w:r w:rsidRPr="00132C1E">
              <w:t>is the length of each single panel</w:t>
            </w:r>
            <w:r>
              <w:t>.</w:t>
            </w:r>
          </w:p>
        </w:tc>
      </w:tr>
    </w:tbl>
    <w:p w14:paraId="69FE6542" w14:textId="7402D107" w:rsidR="004C377F" w:rsidRPr="00132C1E" w:rsidRDefault="004C377F" w:rsidP="00724E4E">
      <w:pPr>
        <w:pStyle w:val="Clause"/>
      </w:pPr>
      <w:r w:rsidRPr="00B50899">
        <w:t xml:space="preserve">The ductility of the dissipative connections defined in </w:t>
      </w:r>
      <w:r w:rsidRPr="00835C82">
        <w:t xml:space="preserve">(4) </w:t>
      </w:r>
      <w:r w:rsidRPr="00B50899">
        <w:t xml:space="preserve">and in </w:t>
      </w:r>
      <w:r w:rsidRPr="00835C82">
        <w:t>13.7.2(2)</w:t>
      </w:r>
      <w:r w:rsidRPr="00B50899">
        <w:t xml:space="preserve"> should be achieved by satisfying either </w:t>
      </w:r>
      <w:r w:rsidRPr="00835C82">
        <w:t>13.4.2(7)</w:t>
      </w:r>
      <w:r w:rsidRPr="00B50899">
        <w:t xml:space="preserve"> or </w:t>
      </w:r>
      <w:r w:rsidRPr="00835C82">
        <w:t>13.4.2(10)</w:t>
      </w:r>
      <w:r w:rsidRPr="00C550C7">
        <w:t>.</w:t>
      </w:r>
    </w:p>
    <w:p w14:paraId="5F7F76C2" w14:textId="058D943F" w:rsidR="004C377F" w:rsidRPr="00132C1E" w:rsidRDefault="004C377F" w:rsidP="00724E4E">
      <w:pPr>
        <w:pStyle w:val="Clause"/>
      </w:pPr>
      <w:r w:rsidRPr="00835C82">
        <w:t xml:space="preserve">13.7.2(10) </w:t>
      </w:r>
      <w:r w:rsidRPr="00B50899">
        <w:t xml:space="preserve">should be applied to the dissipative connections defined in </w:t>
      </w:r>
      <w:r w:rsidRPr="00835C82">
        <w:t>(4)</w:t>
      </w:r>
      <w:r w:rsidRPr="00B50899">
        <w:t xml:space="preserve"> and in </w:t>
      </w:r>
      <w:r w:rsidRPr="00835C82">
        <w:t>13.7.2(2)</w:t>
      </w:r>
      <w:r w:rsidRPr="00C550C7">
        <w:t>.</w:t>
      </w:r>
    </w:p>
    <w:p w14:paraId="37FBCBE4" w14:textId="237CF3C1" w:rsidR="004C377F" w:rsidRPr="00132C1E" w:rsidRDefault="004C377F" w:rsidP="00724E4E">
      <w:pPr>
        <w:pStyle w:val="Clause"/>
      </w:pPr>
      <w:r w:rsidRPr="00835C82">
        <w:t xml:space="preserve">13.7.2(11) </w:t>
      </w:r>
      <w:r w:rsidRPr="00B50899">
        <w:t>should be applied to 2D- and 3D-</w:t>
      </w:r>
      <w:r w:rsidRPr="004C377F">
        <w:t xml:space="preserve">connectors </w:t>
      </w:r>
      <w:r w:rsidRPr="00B50899">
        <w:t xml:space="preserve">defined in </w:t>
      </w:r>
      <w:r w:rsidRPr="00835C82">
        <w:t>13.7.2(2)</w:t>
      </w:r>
      <w:r w:rsidRPr="00C550C7">
        <w:t>.</w:t>
      </w:r>
    </w:p>
    <w:p w14:paraId="6AF104EF" w14:textId="7965CDD4" w:rsidR="005A1AFC" w:rsidRPr="00132C1E" w:rsidRDefault="005A1AFC" w:rsidP="005A1AFC">
      <w:pPr>
        <w:pStyle w:val="Heading3"/>
      </w:pPr>
      <w:bookmarkStart w:id="10356" w:name="_Toc520573574"/>
      <w:bookmarkStart w:id="10357" w:name="_Toc2160627"/>
      <w:bookmarkStart w:id="10358" w:name="_Toc17491748"/>
      <w:bookmarkStart w:id="10359" w:name="_Toc50150581"/>
      <w:bookmarkStart w:id="10360" w:name="_Toc70887013"/>
      <w:bookmarkStart w:id="10361" w:name="_Toc108342583"/>
      <w:bookmarkStart w:id="10362" w:name="_Toc134198105"/>
      <w:r w:rsidRPr="00132C1E">
        <w:t>Detailing rules</w:t>
      </w:r>
      <w:bookmarkEnd w:id="10356"/>
      <w:bookmarkEnd w:id="10357"/>
      <w:bookmarkEnd w:id="10358"/>
      <w:bookmarkEnd w:id="10359"/>
      <w:bookmarkEnd w:id="10360"/>
      <w:bookmarkEnd w:id="10361"/>
      <w:bookmarkEnd w:id="10362"/>
    </w:p>
    <w:p w14:paraId="3B57287B" w14:textId="249BAFB3" w:rsidR="005A1AFC" w:rsidRPr="00132C1E" w:rsidRDefault="005A1AFC" w:rsidP="0080187E">
      <w:pPr>
        <w:pStyle w:val="Clause"/>
        <w:numPr>
          <w:ilvl w:val="0"/>
          <w:numId w:val="460"/>
        </w:numPr>
      </w:pPr>
      <w:r w:rsidRPr="00132C1E">
        <w:t>In the case of tension perpendicular to the grain, additional design measures should be taken to avoid splitting (e.g. by reinforcing with screws, glued-in rebars, nailed metal plates or plywood plates).</w:t>
      </w:r>
    </w:p>
    <w:p w14:paraId="19B8C0A4" w14:textId="45255CC4" w:rsidR="005A1AFC" w:rsidRPr="00132C1E" w:rsidRDefault="005A1AFC" w:rsidP="00724E4E">
      <w:pPr>
        <w:pStyle w:val="Clause"/>
      </w:pPr>
      <w:r w:rsidRPr="005A1AFC">
        <w:t>CLT wall</w:t>
      </w:r>
      <w:r w:rsidRPr="00132C1E">
        <w:t>-to-wall and floor-to-wall connection screws should be inserted inclined (as per Figure 13.</w:t>
      </w:r>
      <w:r>
        <w:t>7</w:t>
      </w:r>
      <w:r w:rsidR="00C473EF">
        <w:t xml:space="preserve"> </w:t>
      </w:r>
      <w:r w:rsidRPr="00132C1E">
        <w:t>C) unless a correct insertion of cross layer screws within layers with grain direction perpendicular to the screw axis can be ensured (Figure 13.</w:t>
      </w:r>
      <w:r>
        <w:t>7</w:t>
      </w:r>
      <w:r w:rsidR="00C473EF">
        <w:t xml:space="preserve"> </w:t>
      </w:r>
      <w:r w:rsidRPr="00132C1E">
        <w:t>B).</w:t>
      </w:r>
    </w:p>
    <w:p w14:paraId="5FC311C4" w14:textId="22DAD9DF" w:rsidR="005A1AFC" w:rsidRPr="00132C1E" w:rsidRDefault="007F2A89" w:rsidP="007F2A89">
      <w:pPr>
        <w:pStyle w:val="FigureImage"/>
        <w:rPr>
          <w:highlight w:val="yellow"/>
        </w:rPr>
      </w:pPr>
      <w:r>
        <w:rPr>
          <w:noProof/>
        </w:rPr>
        <w:drawing>
          <wp:inline distT="0" distB="0" distL="0" distR="0" wp14:anchorId="40E4FA75" wp14:editId="7C327AD9">
            <wp:extent cx="5399541" cy="1563627"/>
            <wp:effectExtent l="0" t="0" r="0" b="0"/>
            <wp:docPr id="10" name="0051.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0051.tiff"/>
                    <pic:cNvPicPr/>
                  </pic:nvPicPr>
                  <pic:blipFill>
                    <a:blip r:link="rId76"/>
                    <a:stretch>
                      <a:fillRect/>
                    </a:stretch>
                  </pic:blipFill>
                  <pic:spPr>
                    <a:xfrm>
                      <a:off x="0" y="0"/>
                      <a:ext cx="5399541" cy="1563627"/>
                    </a:xfrm>
                    <a:prstGeom prst="rect">
                      <a:avLst/>
                    </a:prstGeom>
                  </pic:spPr>
                </pic:pic>
              </a:graphicData>
            </a:graphic>
          </wp:inline>
        </w:drawing>
      </w:r>
    </w:p>
    <w:p w14:paraId="598D8343" w14:textId="77777777" w:rsidR="005A1AFC" w:rsidRPr="00D1484A" w:rsidRDefault="005A1AFC" w:rsidP="007F2A89">
      <w:pPr>
        <w:pStyle w:val="KeyTitle"/>
      </w:pPr>
      <w:r w:rsidRPr="00D1484A">
        <w:t>Key</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
        <w:gridCol w:w="9363"/>
      </w:tblGrid>
      <w:tr w:rsidR="005A1AFC" w:rsidRPr="009B221D" w14:paraId="32FC00E5" w14:textId="77777777" w:rsidTr="008217FC">
        <w:tc>
          <w:tcPr>
            <w:tcW w:w="388" w:type="dxa"/>
          </w:tcPr>
          <w:p w14:paraId="24F1933C" w14:textId="77777777" w:rsidR="005A1AFC" w:rsidRPr="008618F2" w:rsidRDefault="005A1AFC" w:rsidP="008618F2">
            <w:pPr>
              <w:pStyle w:val="KeyText"/>
              <w:spacing w:before="0"/>
              <w:rPr>
                <w:iCs/>
              </w:rPr>
            </w:pPr>
            <w:r w:rsidRPr="008618F2">
              <w:rPr>
                <w:iCs/>
              </w:rPr>
              <w:t>A</w:t>
            </w:r>
          </w:p>
        </w:tc>
        <w:tc>
          <w:tcPr>
            <w:tcW w:w="9363" w:type="dxa"/>
          </w:tcPr>
          <w:p w14:paraId="62AA1BDE" w14:textId="6B5058D2" w:rsidR="005A1AFC" w:rsidRPr="008618F2" w:rsidRDefault="007F2A89" w:rsidP="008618F2">
            <w:pPr>
              <w:pStyle w:val="KeyText"/>
              <w:spacing w:before="0"/>
            </w:pPr>
            <w:r w:rsidRPr="008618F2">
              <w:t>w</w:t>
            </w:r>
            <w:r w:rsidR="005A1AFC" w:rsidRPr="008618F2">
              <w:t xml:space="preserve">rong </w:t>
            </w:r>
            <w:r w:rsidRPr="008618F2">
              <w:t>–</w:t>
            </w:r>
            <w:r w:rsidR="005A1AFC" w:rsidRPr="008618F2">
              <w:t xml:space="preserve"> screws inserted in layers with grain direction parallel to the screw axis</w:t>
            </w:r>
          </w:p>
        </w:tc>
      </w:tr>
      <w:tr w:rsidR="005A1AFC" w:rsidRPr="009B221D" w14:paraId="16DEAB90" w14:textId="77777777" w:rsidTr="008217FC">
        <w:tc>
          <w:tcPr>
            <w:tcW w:w="388" w:type="dxa"/>
          </w:tcPr>
          <w:p w14:paraId="08BB2497" w14:textId="77777777" w:rsidR="005A1AFC" w:rsidRPr="008618F2" w:rsidRDefault="005A1AFC" w:rsidP="008618F2">
            <w:pPr>
              <w:pStyle w:val="KeyText"/>
              <w:spacing w:before="0"/>
              <w:rPr>
                <w:iCs/>
              </w:rPr>
            </w:pPr>
            <w:r w:rsidRPr="008618F2">
              <w:rPr>
                <w:iCs/>
              </w:rPr>
              <w:t>B</w:t>
            </w:r>
          </w:p>
        </w:tc>
        <w:tc>
          <w:tcPr>
            <w:tcW w:w="9363" w:type="dxa"/>
          </w:tcPr>
          <w:p w14:paraId="0E776EB4" w14:textId="56847D31" w:rsidR="005A1AFC" w:rsidRPr="008618F2" w:rsidRDefault="007F2A89" w:rsidP="008618F2">
            <w:pPr>
              <w:pStyle w:val="KeyText"/>
              <w:spacing w:before="0"/>
            </w:pPr>
            <w:r w:rsidRPr="008618F2">
              <w:t>correct,</w:t>
            </w:r>
            <w:r w:rsidR="005A1AFC" w:rsidRPr="008618F2">
              <w:t xml:space="preserve"> but difficult to achieve </w:t>
            </w:r>
            <w:r w:rsidRPr="008618F2">
              <w:t>–</w:t>
            </w:r>
            <w:r w:rsidR="005A1AFC" w:rsidRPr="008618F2">
              <w:t xml:space="preserve"> screws inserted in layers with grain direction perpendicular to the screw axis</w:t>
            </w:r>
          </w:p>
        </w:tc>
      </w:tr>
      <w:tr w:rsidR="005A1AFC" w:rsidRPr="00132C1E" w14:paraId="5B523188" w14:textId="77777777" w:rsidTr="008217FC">
        <w:tc>
          <w:tcPr>
            <w:tcW w:w="388" w:type="dxa"/>
          </w:tcPr>
          <w:p w14:paraId="77686151" w14:textId="77777777" w:rsidR="005A1AFC" w:rsidRPr="008618F2" w:rsidRDefault="005A1AFC" w:rsidP="008618F2">
            <w:pPr>
              <w:pStyle w:val="KeyText"/>
              <w:spacing w:before="0"/>
              <w:rPr>
                <w:iCs/>
              </w:rPr>
            </w:pPr>
            <w:r w:rsidRPr="008618F2">
              <w:rPr>
                <w:iCs/>
              </w:rPr>
              <w:t>C</w:t>
            </w:r>
          </w:p>
        </w:tc>
        <w:tc>
          <w:tcPr>
            <w:tcW w:w="9363" w:type="dxa"/>
          </w:tcPr>
          <w:p w14:paraId="7A6A4E7E" w14:textId="71908A98" w:rsidR="005A1AFC" w:rsidRPr="008618F2" w:rsidRDefault="007F2A89" w:rsidP="008618F2">
            <w:pPr>
              <w:pStyle w:val="KeyText"/>
              <w:spacing w:before="0"/>
            </w:pPr>
            <w:r w:rsidRPr="008618F2">
              <w:t>correct</w:t>
            </w:r>
            <w:r w:rsidR="005A1AFC" w:rsidRPr="008618F2">
              <w:t xml:space="preserve"> </w:t>
            </w:r>
            <w:r w:rsidRPr="008618F2">
              <w:t>–</w:t>
            </w:r>
            <w:r w:rsidR="005A1AFC" w:rsidRPr="008618F2">
              <w:t xml:space="preserve"> screws inserted inclined</w:t>
            </w:r>
          </w:p>
        </w:tc>
      </w:tr>
    </w:tbl>
    <w:p w14:paraId="7B430EB0" w14:textId="01B997A1" w:rsidR="005A1AFC" w:rsidRPr="007E6F67" w:rsidRDefault="005A1AFC" w:rsidP="005A1AFC">
      <w:pPr>
        <w:pStyle w:val="Figuretitle"/>
      </w:pPr>
      <w:r w:rsidRPr="00132C1E">
        <w:t xml:space="preserve">Figure </w:t>
      </w:r>
      <w:r w:rsidR="0062443F">
        <w:t>13</w:t>
      </w:r>
      <w:r w:rsidRPr="00132C1E">
        <w:t>.</w:t>
      </w:r>
      <w:r>
        <w:t>7</w:t>
      </w:r>
      <w:r w:rsidRPr="00132C1E">
        <w:t> </w:t>
      </w:r>
      <w:r w:rsidRPr="00D1484A">
        <w:rPr>
          <w:rFonts w:ascii="`ÃÍœ˛" w:eastAsia="Cambria" w:hAnsi="`ÃÍœ˛" w:cs="`ÃÍœ˛"/>
          <w:szCs w:val="22"/>
          <w:lang w:eastAsia="de-DE"/>
        </w:rPr>
        <w:t>—</w:t>
      </w:r>
      <w:r w:rsidRPr="00D1484A">
        <w:t> </w:t>
      </w:r>
      <w:r w:rsidRPr="005A1AFC">
        <w:t xml:space="preserve">CLT </w:t>
      </w:r>
      <w:r>
        <w:t>w</w:t>
      </w:r>
      <w:r w:rsidRPr="00D1484A">
        <w:t>all-to-wall connection</w:t>
      </w:r>
    </w:p>
    <w:p w14:paraId="56975F6F" w14:textId="0BFCCD6B" w:rsidR="005A1AFC" w:rsidRPr="003C0179" w:rsidRDefault="005A1AFC" w:rsidP="003C0179">
      <w:pPr>
        <w:pStyle w:val="Heading2"/>
      </w:pPr>
      <w:bookmarkStart w:id="10363" w:name="_Toc520573575"/>
      <w:bookmarkStart w:id="10364" w:name="_Toc2160628"/>
      <w:bookmarkStart w:id="10365" w:name="_Toc17491749"/>
      <w:bookmarkStart w:id="10366" w:name="_Toc50150582"/>
      <w:bookmarkStart w:id="10367" w:name="_Toc70887014"/>
      <w:bookmarkStart w:id="10368" w:name="_Toc108342584"/>
      <w:bookmarkStart w:id="10369" w:name="_Toc134198106"/>
      <w:r w:rsidRPr="003C0179">
        <w:lastRenderedPageBreak/>
        <w:t>Rules for framed wall structures</w:t>
      </w:r>
      <w:bookmarkEnd w:id="10363"/>
      <w:bookmarkEnd w:id="10364"/>
      <w:bookmarkEnd w:id="10365"/>
      <w:bookmarkEnd w:id="10366"/>
      <w:bookmarkEnd w:id="10367"/>
      <w:bookmarkEnd w:id="10368"/>
      <w:bookmarkEnd w:id="10369"/>
    </w:p>
    <w:p w14:paraId="08351BF0" w14:textId="77777777" w:rsidR="005A1AFC" w:rsidRPr="002144A0" w:rsidRDefault="005A1AFC" w:rsidP="005A1AFC">
      <w:pPr>
        <w:pStyle w:val="Heading3"/>
      </w:pPr>
      <w:bookmarkStart w:id="10370" w:name="_Toc520573576"/>
      <w:bookmarkStart w:id="10371" w:name="_Toc2160629"/>
      <w:bookmarkStart w:id="10372" w:name="_Toc17491750"/>
      <w:bookmarkStart w:id="10373" w:name="_Toc50150583"/>
      <w:bookmarkStart w:id="10374" w:name="_Toc70887015"/>
      <w:bookmarkStart w:id="10375" w:name="_Toc108342585"/>
      <w:bookmarkStart w:id="10376" w:name="_Toc134198107"/>
      <w:r w:rsidRPr="00196951">
        <w:t>General rules</w:t>
      </w:r>
      <w:bookmarkEnd w:id="10370"/>
      <w:bookmarkEnd w:id="10371"/>
      <w:bookmarkEnd w:id="10372"/>
      <w:bookmarkEnd w:id="10373"/>
      <w:bookmarkEnd w:id="10374"/>
      <w:bookmarkEnd w:id="10375"/>
      <w:bookmarkEnd w:id="10376"/>
    </w:p>
    <w:p w14:paraId="787D8E44" w14:textId="5495C7A3" w:rsidR="005A1AFC" w:rsidRPr="004F25D7" w:rsidRDefault="005A1AFC" w:rsidP="008618F2">
      <w:pPr>
        <w:pStyle w:val="Clause"/>
        <w:numPr>
          <w:ilvl w:val="0"/>
          <w:numId w:val="461"/>
        </w:numPr>
        <w:spacing w:before="0" w:after="160"/>
      </w:pPr>
      <w:r w:rsidRPr="002144A0">
        <w:t>The primary system should be made of shear walls composed by timber frames with a sheathing material (Figure 13.</w:t>
      </w:r>
      <w:r>
        <w:t>8</w:t>
      </w:r>
      <w:r w:rsidRPr="002144A0">
        <w:t>).</w:t>
      </w:r>
      <w:r w:rsidRPr="004F25D7">
        <w:t xml:space="preserve"> The upper walls should bear on the floor (platform frame construction – see </w:t>
      </w:r>
      <w:r w:rsidRPr="00835C82">
        <w:t>3.1.20</w:t>
      </w:r>
      <w:r w:rsidRPr="004F25D7">
        <w:t>).</w:t>
      </w:r>
    </w:p>
    <w:p w14:paraId="03C7BCDE" w14:textId="1118901C" w:rsidR="005A1AFC" w:rsidRPr="007754C9" w:rsidRDefault="005A1AFC" w:rsidP="008618F2">
      <w:pPr>
        <w:pStyle w:val="Clause"/>
        <w:spacing w:before="0" w:after="160"/>
      </w:pPr>
      <w:r w:rsidRPr="005A1AFC">
        <w:t xml:space="preserve">In framed shear </w:t>
      </w:r>
      <w:r w:rsidRPr="00C52095">
        <w:t>walls, the frames (Figure 13.</w:t>
      </w:r>
      <w:r>
        <w:t>8</w:t>
      </w:r>
      <w:r w:rsidRPr="00C52095">
        <w:t xml:space="preserve"> F) should be composed by equally spaced vertical studs (Figure 13.</w:t>
      </w:r>
      <w:r>
        <w:t>8</w:t>
      </w:r>
      <w:r w:rsidRPr="00C52095">
        <w:t xml:space="preserve"> </w:t>
      </w:r>
      <w:r w:rsidRPr="007754C9">
        <w:t>G), a bottom plate (Figure 13.</w:t>
      </w:r>
      <w:r>
        <w:t>8</w:t>
      </w:r>
      <w:r w:rsidRPr="007754C9">
        <w:t xml:space="preserve"> H) and a top plate.</w:t>
      </w:r>
    </w:p>
    <w:p w14:paraId="20A5555C" w14:textId="765D381E" w:rsidR="005A1AFC" w:rsidRPr="00132C1E" w:rsidRDefault="005A1AFC" w:rsidP="008618F2">
      <w:pPr>
        <w:pStyle w:val="Clause"/>
        <w:spacing w:before="0" w:after="160"/>
      </w:pPr>
      <w:r w:rsidRPr="007754C9">
        <w:t>The shea</w:t>
      </w:r>
      <w:r w:rsidRPr="00132C1E">
        <w:t>thing material should be connected to the frame on one or both sides by means of screws, nails or staples (Figure 13.</w:t>
      </w:r>
      <w:r>
        <w:t>8</w:t>
      </w:r>
      <w:r w:rsidRPr="00132C1E">
        <w:t xml:space="preserve"> C).</w:t>
      </w:r>
    </w:p>
    <w:p w14:paraId="01C8738E" w14:textId="713ECEB5" w:rsidR="005A1AFC" w:rsidRPr="00132C1E" w:rsidRDefault="005A1AFC" w:rsidP="008618F2">
      <w:pPr>
        <w:pStyle w:val="Clause"/>
        <w:spacing w:before="0" w:after="160"/>
      </w:pPr>
      <w:r w:rsidRPr="00132C1E">
        <w:t xml:space="preserve">Floor and roof diaphragms should be made according to </w:t>
      </w:r>
      <w:r w:rsidRPr="00835C82">
        <w:t>13.15.3</w:t>
      </w:r>
      <w:r w:rsidRPr="00132C1E">
        <w:t>.</w:t>
      </w:r>
    </w:p>
    <w:p w14:paraId="0205CCDB" w14:textId="2681ADF3" w:rsidR="005A1AFC" w:rsidRPr="00132C1E" w:rsidRDefault="008618F2" w:rsidP="008618F2">
      <w:pPr>
        <w:pStyle w:val="FigureImage"/>
        <w:spacing w:before="120"/>
      </w:pPr>
      <w:r>
        <w:rPr>
          <w:noProof/>
        </w:rPr>
        <w:t>+</w:t>
      </w:r>
      <w:r w:rsidR="007F2A89">
        <w:rPr>
          <w:noProof/>
        </w:rPr>
        <w:drawing>
          <wp:inline distT="0" distB="0" distL="0" distR="0" wp14:anchorId="09FC9113" wp14:editId="19467CCC">
            <wp:extent cx="4140715" cy="3898398"/>
            <wp:effectExtent l="0" t="0" r="0" b="6985"/>
            <wp:docPr id="11" name="0052.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0052.tiff"/>
                    <pic:cNvPicPr/>
                  </pic:nvPicPr>
                  <pic:blipFill>
                    <a:blip r:link="rId77"/>
                    <a:stretch>
                      <a:fillRect/>
                    </a:stretch>
                  </pic:blipFill>
                  <pic:spPr>
                    <a:xfrm>
                      <a:off x="0" y="0"/>
                      <a:ext cx="4140715" cy="3898398"/>
                    </a:xfrm>
                    <a:prstGeom prst="rect">
                      <a:avLst/>
                    </a:prstGeom>
                  </pic:spPr>
                </pic:pic>
              </a:graphicData>
            </a:graphic>
          </wp:inline>
        </w:drawing>
      </w:r>
    </w:p>
    <w:p w14:paraId="33909EDD" w14:textId="77777777" w:rsidR="005A1AFC" w:rsidRPr="00D1484A" w:rsidRDefault="005A1AFC" w:rsidP="007F2A89">
      <w:pPr>
        <w:pStyle w:val="KeyTitle"/>
      </w:pPr>
      <w:r w:rsidRPr="00D1484A">
        <w:t>Key</w:t>
      </w:r>
    </w:p>
    <w:tbl>
      <w:tblPr>
        <w:tblStyle w:val="TableGrid"/>
        <w:tblW w:w="1003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5681"/>
        <w:gridCol w:w="425"/>
        <w:gridCol w:w="3544"/>
      </w:tblGrid>
      <w:tr w:rsidR="008618F2" w:rsidRPr="009B221D" w14:paraId="54215EBC" w14:textId="05685FA7" w:rsidTr="008618F2">
        <w:tc>
          <w:tcPr>
            <w:tcW w:w="381" w:type="dxa"/>
          </w:tcPr>
          <w:p w14:paraId="4E2B62B1" w14:textId="77777777" w:rsidR="008618F2" w:rsidRPr="008618F2" w:rsidRDefault="008618F2" w:rsidP="008618F2">
            <w:pPr>
              <w:pStyle w:val="KeyText"/>
              <w:spacing w:before="0"/>
              <w:rPr>
                <w:iCs/>
              </w:rPr>
            </w:pPr>
            <w:r w:rsidRPr="008618F2">
              <w:rPr>
                <w:iCs/>
              </w:rPr>
              <w:t>A</w:t>
            </w:r>
          </w:p>
        </w:tc>
        <w:tc>
          <w:tcPr>
            <w:tcW w:w="5681" w:type="dxa"/>
          </w:tcPr>
          <w:p w14:paraId="7175ED66" w14:textId="355BFC6B" w:rsidR="008618F2" w:rsidRPr="008618F2" w:rsidRDefault="008618F2" w:rsidP="008618F2">
            <w:pPr>
              <w:pStyle w:val="KeyText"/>
              <w:spacing w:before="0"/>
            </w:pPr>
            <w:r w:rsidRPr="008618F2">
              <w:t>nailed, screwed or stapled sheathing-to-framing floor connection</w:t>
            </w:r>
          </w:p>
        </w:tc>
        <w:tc>
          <w:tcPr>
            <w:tcW w:w="425" w:type="dxa"/>
          </w:tcPr>
          <w:p w14:paraId="054577C1" w14:textId="3B97453C" w:rsidR="008618F2" w:rsidRPr="008618F2" w:rsidRDefault="008618F2" w:rsidP="008618F2">
            <w:pPr>
              <w:pStyle w:val="KeyText"/>
              <w:spacing w:before="0"/>
            </w:pPr>
            <w:r w:rsidRPr="008618F2">
              <w:rPr>
                <w:iCs/>
              </w:rPr>
              <w:t>G</w:t>
            </w:r>
          </w:p>
        </w:tc>
        <w:tc>
          <w:tcPr>
            <w:tcW w:w="3544" w:type="dxa"/>
          </w:tcPr>
          <w:p w14:paraId="102A31E8" w14:textId="3547DA40" w:rsidR="008618F2" w:rsidRPr="008618F2" w:rsidRDefault="008618F2" w:rsidP="008618F2">
            <w:pPr>
              <w:pStyle w:val="KeyText"/>
              <w:spacing w:before="0"/>
            </w:pPr>
            <w:r w:rsidRPr="008618F2">
              <w:t>vertical stud</w:t>
            </w:r>
          </w:p>
        </w:tc>
      </w:tr>
      <w:tr w:rsidR="008618F2" w:rsidRPr="00132C1E" w14:paraId="08FAFD5D" w14:textId="3DC95983" w:rsidTr="008618F2">
        <w:tc>
          <w:tcPr>
            <w:tcW w:w="381" w:type="dxa"/>
          </w:tcPr>
          <w:p w14:paraId="1F3C35BB" w14:textId="77777777" w:rsidR="008618F2" w:rsidRPr="008618F2" w:rsidRDefault="008618F2" w:rsidP="008618F2">
            <w:pPr>
              <w:pStyle w:val="KeyText"/>
              <w:spacing w:before="0"/>
              <w:rPr>
                <w:iCs/>
              </w:rPr>
            </w:pPr>
            <w:r w:rsidRPr="008618F2">
              <w:rPr>
                <w:iCs/>
              </w:rPr>
              <w:t>B</w:t>
            </w:r>
          </w:p>
        </w:tc>
        <w:tc>
          <w:tcPr>
            <w:tcW w:w="5681" w:type="dxa"/>
          </w:tcPr>
          <w:p w14:paraId="63E5FBD5" w14:textId="660A3E34" w:rsidR="008618F2" w:rsidRPr="008618F2" w:rsidRDefault="008618F2" w:rsidP="008618F2">
            <w:pPr>
              <w:pStyle w:val="KeyText"/>
              <w:spacing w:before="0"/>
            </w:pPr>
            <w:r w:rsidRPr="008618F2">
              <w:t>floor-to-wall connection</w:t>
            </w:r>
          </w:p>
        </w:tc>
        <w:tc>
          <w:tcPr>
            <w:tcW w:w="425" w:type="dxa"/>
          </w:tcPr>
          <w:p w14:paraId="5995834E" w14:textId="208C9FB8" w:rsidR="008618F2" w:rsidRPr="008618F2" w:rsidRDefault="008618F2" w:rsidP="008618F2">
            <w:pPr>
              <w:pStyle w:val="KeyText"/>
              <w:spacing w:before="0"/>
            </w:pPr>
            <w:r w:rsidRPr="008618F2">
              <w:rPr>
                <w:iCs/>
              </w:rPr>
              <w:t>H</w:t>
            </w:r>
          </w:p>
        </w:tc>
        <w:tc>
          <w:tcPr>
            <w:tcW w:w="3544" w:type="dxa"/>
          </w:tcPr>
          <w:p w14:paraId="707BD453" w14:textId="4DD820D9" w:rsidR="008618F2" w:rsidRPr="008618F2" w:rsidRDefault="008618F2" w:rsidP="008618F2">
            <w:pPr>
              <w:pStyle w:val="KeyText"/>
              <w:spacing w:before="0"/>
            </w:pPr>
            <w:r w:rsidRPr="008618F2">
              <w:t>plate</w:t>
            </w:r>
          </w:p>
        </w:tc>
      </w:tr>
      <w:tr w:rsidR="008618F2" w:rsidRPr="009B221D" w14:paraId="0E65F96F" w14:textId="598D56E8" w:rsidTr="008618F2">
        <w:tc>
          <w:tcPr>
            <w:tcW w:w="381" w:type="dxa"/>
          </w:tcPr>
          <w:p w14:paraId="1FD68A3D" w14:textId="77777777" w:rsidR="008618F2" w:rsidRPr="008618F2" w:rsidRDefault="008618F2" w:rsidP="008618F2">
            <w:pPr>
              <w:pStyle w:val="KeyText"/>
              <w:spacing w:before="0"/>
              <w:rPr>
                <w:iCs/>
              </w:rPr>
            </w:pPr>
            <w:r w:rsidRPr="008618F2">
              <w:rPr>
                <w:iCs/>
              </w:rPr>
              <w:t>C</w:t>
            </w:r>
          </w:p>
        </w:tc>
        <w:tc>
          <w:tcPr>
            <w:tcW w:w="5681" w:type="dxa"/>
          </w:tcPr>
          <w:p w14:paraId="04821B82" w14:textId="054C9BDA" w:rsidR="008618F2" w:rsidRPr="008618F2" w:rsidRDefault="008618F2" w:rsidP="008618F2">
            <w:pPr>
              <w:pStyle w:val="KeyText"/>
              <w:spacing w:before="0"/>
            </w:pPr>
            <w:r w:rsidRPr="008618F2">
              <w:t>nailed, screwed or stapled sheathing-to-framing wall connection</w:t>
            </w:r>
          </w:p>
        </w:tc>
        <w:tc>
          <w:tcPr>
            <w:tcW w:w="425" w:type="dxa"/>
          </w:tcPr>
          <w:p w14:paraId="0FC4E84B" w14:textId="7770F7D9" w:rsidR="008618F2" w:rsidRPr="008618F2" w:rsidRDefault="008618F2" w:rsidP="008618F2">
            <w:pPr>
              <w:pStyle w:val="KeyText"/>
              <w:spacing w:before="0"/>
            </w:pPr>
            <w:r w:rsidRPr="008618F2">
              <w:rPr>
                <w:iCs/>
              </w:rPr>
              <w:t>I</w:t>
            </w:r>
          </w:p>
        </w:tc>
        <w:tc>
          <w:tcPr>
            <w:tcW w:w="3544" w:type="dxa"/>
          </w:tcPr>
          <w:p w14:paraId="1E4BEBB5" w14:textId="43E149ED" w:rsidR="008618F2" w:rsidRPr="008618F2" w:rsidRDefault="008618F2" w:rsidP="008618F2">
            <w:pPr>
              <w:pStyle w:val="KeyText"/>
              <w:spacing w:before="0"/>
            </w:pPr>
            <w:r w:rsidRPr="008618F2">
              <w:t>perpendicular wall-to-wall connection</w:t>
            </w:r>
          </w:p>
        </w:tc>
      </w:tr>
      <w:tr w:rsidR="008618F2" w:rsidRPr="009B221D" w14:paraId="1BBDF490" w14:textId="619E4808" w:rsidTr="008618F2">
        <w:tc>
          <w:tcPr>
            <w:tcW w:w="381" w:type="dxa"/>
          </w:tcPr>
          <w:p w14:paraId="791EDB6E" w14:textId="77777777" w:rsidR="008618F2" w:rsidRPr="008618F2" w:rsidRDefault="008618F2" w:rsidP="008618F2">
            <w:pPr>
              <w:pStyle w:val="KeyText"/>
              <w:spacing w:before="0"/>
              <w:rPr>
                <w:iCs/>
              </w:rPr>
            </w:pPr>
            <w:r w:rsidRPr="008618F2">
              <w:rPr>
                <w:iCs/>
              </w:rPr>
              <w:t>D</w:t>
            </w:r>
          </w:p>
        </w:tc>
        <w:tc>
          <w:tcPr>
            <w:tcW w:w="5681" w:type="dxa"/>
          </w:tcPr>
          <w:p w14:paraId="2FD50F6F" w14:textId="01F54B5B" w:rsidR="008618F2" w:rsidRPr="008618F2" w:rsidRDefault="008618F2" w:rsidP="008618F2">
            <w:pPr>
              <w:pStyle w:val="KeyText"/>
              <w:spacing w:before="0"/>
            </w:pPr>
            <w:r w:rsidRPr="008618F2">
              <w:t>base and interstorey anchoring connection against overturning</w:t>
            </w:r>
          </w:p>
        </w:tc>
        <w:tc>
          <w:tcPr>
            <w:tcW w:w="425" w:type="dxa"/>
          </w:tcPr>
          <w:p w14:paraId="5C200310" w14:textId="34DDD9F2" w:rsidR="008618F2" w:rsidRPr="008618F2" w:rsidRDefault="008618F2" w:rsidP="008618F2">
            <w:pPr>
              <w:pStyle w:val="KeyText"/>
              <w:spacing w:before="0"/>
            </w:pPr>
            <w:r w:rsidRPr="008618F2">
              <w:rPr>
                <w:iCs/>
              </w:rPr>
              <w:t>J</w:t>
            </w:r>
          </w:p>
        </w:tc>
        <w:tc>
          <w:tcPr>
            <w:tcW w:w="3544" w:type="dxa"/>
          </w:tcPr>
          <w:p w14:paraId="103E4D7A" w14:textId="3DFEF261" w:rsidR="008618F2" w:rsidRPr="008618F2" w:rsidRDefault="008618F2" w:rsidP="008618F2">
            <w:pPr>
              <w:pStyle w:val="KeyText"/>
              <w:spacing w:before="0"/>
            </w:pPr>
            <w:r w:rsidRPr="008618F2">
              <w:t>joist</w:t>
            </w:r>
          </w:p>
        </w:tc>
      </w:tr>
      <w:tr w:rsidR="008618F2" w:rsidRPr="009B221D" w14:paraId="48D04605" w14:textId="412EEA62" w:rsidTr="008618F2">
        <w:tc>
          <w:tcPr>
            <w:tcW w:w="381" w:type="dxa"/>
          </w:tcPr>
          <w:p w14:paraId="615BE69E" w14:textId="77777777" w:rsidR="008618F2" w:rsidRPr="008618F2" w:rsidRDefault="008618F2" w:rsidP="008618F2">
            <w:pPr>
              <w:pStyle w:val="KeyText"/>
              <w:spacing w:before="0"/>
              <w:rPr>
                <w:iCs/>
              </w:rPr>
            </w:pPr>
            <w:r w:rsidRPr="008618F2">
              <w:rPr>
                <w:iCs/>
              </w:rPr>
              <w:t>E</w:t>
            </w:r>
          </w:p>
        </w:tc>
        <w:tc>
          <w:tcPr>
            <w:tcW w:w="5681" w:type="dxa"/>
          </w:tcPr>
          <w:p w14:paraId="1DAB1EFB" w14:textId="517BA497" w:rsidR="008618F2" w:rsidRPr="008618F2" w:rsidRDefault="008618F2" w:rsidP="008618F2">
            <w:pPr>
              <w:pStyle w:val="KeyText"/>
              <w:spacing w:before="0"/>
            </w:pPr>
            <w:r w:rsidRPr="008618F2">
              <w:t>base and interstorey shear</w:t>
            </w:r>
            <w:r w:rsidRPr="008618F2">
              <w:rPr>
                <w:strike/>
              </w:rPr>
              <w:t>-</w:t>
            </w:r>
            <w:r w:rsidRPr="008618F2">
              <w:t xml:space="preserve"> connection against sliding</w:t>
            </w:r>
          </w:p>
        </w:tc>
        <w:tc>
          <w:tcPr>
            <w:tcW w:w="425" w:type="dxa"/>
          </w:tcPr>
          <w:p w14:paraId="6A9EF117" w14:textId="78A5486E" w:rsidR="008618F2" w:rsidRPr="008618F2" w:rsidRDefault="008618F2" w:rsidP="008618F2">
            <w:pPr>
              <w:pStyle w:val="KeyText"/>
              <w:spacing w:before="0"/>
            </w:pPr>
            <w:r w:rsidRPr="008618F2">
              <w:rPr>
                <w:iCs/>
              </w:rPr>
              <w:t>K</w:t>
            </w:r>
          </w:p>
        </w:tc>
        <w:tc>
          <w:tcPr>
            <w:tcW w:w="3544" w:type="dxa"/>
          </w:tcPr>
          <w:p w14:paraId="3FE279C2" w14:textId="77D891F4" w:rsidR="008618F2" w:rsidRPr="008618F2" w:rsidRDefault="008618F2" w:rsidP="008618F2">
            <w:pPr>
              <w:pStyle w:val="KeyText"/>
              <w:spacing w:before="0"/>
            </w:pPr>
            <w:r w:rsidRPr="008618F2">
              <w:t>blocking</w:t>
            </w:r>
          </w:p>
        </w:tc>
      </w:tr>
      <w:tr w:rsidR="008618F2" w:rsidRPr="00132C1E" w14:paraId="0A598E9F" w14:textId="6E65DE3E" w:rsidTr="008618F2">
        <w:tc>
          <w:tcPr>
            <w:tcW w:w="381" w:type="dxa"/>
          </w:tcPr>
          <w:p w14:paraId="791B088D" w14:textId="77777777" w:rsidR="008618F2" w:rsidRPr="008618F2" w:rsidRDefault="008618F2" w:rsidP="008618F2">
            <w:pPr>
              <w:pStyle w:val="KeyText"/>
              <w:spacing w:before="0"/>
              <w:rPr>
                <w:iCs/>
              </w:rPr>
            </w:pPr>
            <w:r w:rsidRPr="008618F2">
              <w:rPr>
                <w:iCs/>
              </w:rPr>
              <w:t>F</w:t>
            </w:r>
          </w:p>
        </w:tc>
        <w:tc>
          <w:tcPr>
            <w:tcW w:w="5681" w:type="dxa"/>
          </w:tcPr>
          <w:p w14:paraId="1D240827" w14:textId="5994386C" w:rsidR="008618F2" w:rsidRPr="008618F2" w:rsidRDefault="008618F2" w:rsidP="008618F2">
            <w:pPr>
              <w:pStyle w:val="KeyText"/>
              <w:spacing w:before="0"/>
            </w:pPr>
            <w:r w:rsidRPr="008618F2">
              <w:t>framing member</w:t>
            </w:r>
          </w:p>
        </w:tc>
        <w:tc>
          <w:tcPr>
            <w:tcW w:w="425" w:type="dxa"/>
          </w:tcPr>
          <w:p w14:paraId="3F0A9F42" w14:textId="4A64305B" w:rsidR="008618F2" w:rsidRPr="008618F2" w:rsidRDefault="008618F2" w:rsidP="008618F2">
            <w:pPr>
              <w:pStyle w:val="KeyText"/>
              <w:spacing w:before="0"/>
            </w:pPr>
            <w:r w:rsidRPr="008618F2">
              <w:rPr>
                <w:iCs/>
              </w:rPr>
              <w:t>L</w:t>
            </w:r>
          </w:p>
        </w:tc>
        <w:tc>
          <w:tcPr>
            <w:tcW w:w="3544" w:type="dxa"/>
          </w:tcPr>
          <w:p w14:paraId="550BD766" w14:textId="009FF080" w:rsidR="008618F2" w:rsidRPr="008618F2" w:rsidRDefault="008618F2" w:rsidP="008618F2">
            <w:pPr>
              <w:pStyle w:val="KeyText"/>
              <w:spacing w:before="0"/>
            </w:pPr>
            <w:r w:rsidRPr="008618F2">
              <w:t>perimeter edge beam</w:t>
            </w:r>
          </w:p>
        </w:tc>
      </w:tr>
    </w:tbl>
    <w:p w14:paraId="5DE6BB90" w14:textId="24C34E88" w:rsidR="005A1AFC" w:rsidRPr="00E05E29" w:rsidRDefault="005A1AFC" w:rsidP="00266819">
      <w:pPr>
        <w:pStyle w:val="Figuretitle"/>
      </w:pPr>
      <w:r w:rsidRPr="00132C1E">
        <w:t xml:space="preserve">Figure </w:t>
      </w:r>
      <w:r w:rsidR="0062443F">
        <w:t>13</w:t>
      </w:r>
      <w:r w:rsidRPr="00132C1E">
        <w:t>.</w:t>
      </w:r>
      <w:r>
        <w:t>8</w:t>
      </w:r>
      <w:r w:rsidRPr="00D1484A">
        <w:t> </w:t>
      </w:r>
      <w:r w:rsidRPr="00D1484A">
        <w:rPr>
          <w:rFonts w:ascii="`ÃÍœ˛" w:eastAsia="Cambria" w:hAnsi="`ÃÍœ˛" w:cs="`ÃÍœ˛"/>
          <w:szCs w:val="22"/>
          <w:lang w:eastAsia="de-DE"/>
        </w:rPr>
        <w:t>—</w:t>
      </w:r>
      <w:r w:rsidRPr="00D1484A">
        <w:t> </w:t>
      </w:r>
      <w:r w:rsidRPr="007E6F67">
        <w:t xml:space="preserve">Example of </w:t>
      </w:r>
      <w:r w:rsidRPr="00266819">
        <w:t xml:space="preserve">framed wall structure </w:t>
      </w:r>
      <w:r w:rsidRPr="00E05E29">
        <w:t>with typical connections</w:t>
      </w:r>
    </w:p>
    <w:p w14:paraId="77B67354" w14:textId="7DA29768" w:rsidR="005A1AFC" w:rsidRPr="00C52095" w:rsidRDefault="005A1AFC" w:rsidP="008618F2">
      <w:pPr>
        <w:pStyle w:val="Clause"/>
        <w:keepNext/>
        <w:keepLines/>
      </w:pPr>
      <w:r w:rsidRPr="002144A0">
        <w:lastRenderedPageBreak/>
        <w:t xml:space="preserve">Other types of floor and roof diaphragms than in </w:t>
      </w:r>
      <w:r w:rsidRPr="00835C82">
        <w:t>(4)</w:t>
      </w:r>
      <w:r w:rsidRPr="002144A0">
        <w:t xml:space="preserve"> may be used, provided that their in-plane resistance is ensured (e.g. </w:t>
      </w:r>
      <w:r w:rsidRPr="00835C82">
        <w:t>13.15.2</w:t>
      </w:r>
      <w:r w:rsidRPr="002144A0">
        <w:t xml:space="preserve"> or </w:t>
      </w:r>
      <w:r w:rsidRPr="00835C82">
        <w:t>13.15.4</w:t>
      </w:r>
      <w:r w:rsidRPr="004F25D7">
        <w:t>).</w:t>
      </w:r>
    </w:p>
    <w:p w14:paraId="2D734C90" w14:textId="4379C749" w:rsidR="005A1AFC" w:rsidRPr="00132C1E" w:rsidRDefault="005A1AFC" w:rsidP="00724E4E">
      <w:pPr>
        <w:pStyle w:val="Clause"/>
      </w:pPr>
      <w:r w:rsidRPr="00C52095">
        <w:t xml:space="preserve">The </w:t>
      </w:r>
      <w:r w:rsidRPr="007754C9">
        <w:t xml:space="preserve">joint of </w:t>
      </w:r>
      <w:r w:rsidRPr="00266819">
        <w:t xml:space="preserve">the walls to the foundation or to the walls underneath should be made by means of anchoring 2D- or 3D-connectors </w:t>
      </w:r>
      <w:r w:rsidRPr="007754C9">
        <w:t>(e.g. hold-downs (Figure 13.</w:t>
      </w:r>
      <w:r>
        <w:t>8</w:t>
      </w:r>
      <w:r w:rsidRPr="007754C9">
        <w:t xml:space="preserve"> </w:t>
      </w:r>
      <w:r w:rsidRPr="00132C1E">
        <w:t>D), angle brackets, tie-downs) and/or shear connections (e.g. anchor bolts (Figure 13.</w:t>
      </w:r>
      <w:r>
        <w:t>8</w:t>
      </w:r>
      <w:r w:rsidRPr="00132C1E">
        <w:t xml:space="preserve"> E), nails and screws) and should restrain the wall against overturning and sliding.</w:t>
      </w:r>
    </w:p>
    <w:p w14:paraId="3B4CEB48" w14:textId="31DF0A92" w:rsidR="005A1AFC" w:rsidRPr="00132C1E" w:rsidRDefault="005A1AFC" w:rsidP="00724E4E">
      <w:pPr>
        <w:pStyle w:val="Clause"/>
      </w:pPr>
      <w:r w:rsidRPr="00132C1E">
        <w:t xml:space="preserve">In fully anchored walls, </w:t>
      </w:r>
      <w:r w:rsidRPr="00266819">
        <w:t xml:space="preserve">specific anchoring connections against </w:t>
      </w:r>
      <w:r w:rsidRPr="00132C1E">
        <w:t>overturning (hold-downs and tie-downs, Figure 13.</w:t>
      </w:r>
      <w:r>
        <w:t>8</w:t>
      </w:r>
      <w:r w:rsidRPr="00132C1E">
        <w:t xml:space="preserve"> D) should be placed at wall ends and at opening ends.</w:t>
      </w:r>
    </w:p>
    <w:p w14:paraId="10EB0120" w14:textId="63DCF59F" w:rsidR="005A1AFC" w:rsidRPr="00B33E3E" w:rsidRDefault="005A1AFC" w:rsidP="00266819">
      <w:pPr>
        <w:pStyle w:val="Notetext"/>
      </w:pPr>
      <w:r w:rsidRPr="00132C1E">
        <w:t>NOTE</w:t>
      </w:r>
      <w:r w:rsidRPr="00132C1E">
        <w:tab/>
        <w:t xml:space="preserve">If a vertical action applied directly either on top or onto the framing member at wall ends and at opening ends </w:t>
      </w:r>
      <w:r w:rsidRPr="00B33E3E">
        <w:t xml:space="preserve">in accordance with </w:t>
      </w:r>
      <w:r w:rsidR="007F3697">
        <w:t>prEN </w:t>
      </w:r>
      <w:r w:rsidR="006067DF">
        <w:t>1995-1-1:2023</w:t>
      </w:r>
      <w:r w:rsidRPr="0062443F">
        <w:t xml:space="preserve">, 13.3.2(1), is used as an alternative to specific anchoring connections against overturning, the walls cannot be regarded as fully anchored. They can be designed for earthquake actions by following the provisions for </w:t>
      </w:r>
      <w:r w:rsidRPr="0062443F">
        <w:rPr>
          <w:szCs w:val="24"/>
        </w:rPr>
        <w:t xml:space="preserve">non-fully </w:t>
      </w:r>
      <w:r w:rsidRPr="0062443F">
        <w:t>anchored walls according to (9).</w:t>
      </w:r>
    </w:p>
    <w:p w14:paraId="2296E58B" w14:textId="401F13C7" w:rsidR="005A1AFC" w:rsidRPr="00B33E3E" w:rsidRDefault="005A1AFC" w:rsidP="00724E4E">
      <w:pPr>
        <w:pStyle w:val="Clause"/>
      </w:pPr>
      <w:r w:rsidRPr="00B33E3E">
        <w:t>Connections against sliding (Figure 13.8 E) should be distributed uniformly along the wall length.</w:t>
      </w:r>
    </w:p>
    <w:p w14:paraId="11F0D2D3" w14:textId="2EC7C95A" w:rsidR="005A1AFC" w:rsidRPr="00B33E3E" w:rsidRDefault="005A1AFC" w:rsidP="00724E4E">
      <w:pPr>
        <w:pStyle w:val="Clause"/>
      </w:pPr>
      <w:r w:rsidRPr="00B33E3E">
        <w:t xml:space="preserve">In non-fully anchored walls, as an alternative to </w:t>
      </w:r>
      <w:r w:rsidRPr="00835C82">
        <w:t>(7)</w:t>
      </w:r>
      <w:r w:rsidRPr="00B33E3E">
        <w:t xml:space="preserve">, walls may be restrained against overturning, according to </w:t>
      </w:r>
      <w:r w:rsidR="007F3697">
        <w:rPr>
          <w:rFonts w:cs="Segoe UI"/>
          <w:color w:val="000000"/>
        </w:rPr>
        <w:t>prEN </w:t>
      </w:r>
      <w:r w:rsidR="006067DF">
        <w:rPr>
          <w:rFonts w:cs="Segoe UI"/>
          <w:color w:val="000000"/>
        </w:rPr>
        <w:t>1995-1-1:2023</w:t>
      </w:r>
      <w:r w:rsidRPr="00B33E3E">
        <w:t xml:space="preserve">, </w:t>
      </w:r>
      <w:r w:rsidRPr="00835C82">
        <w:t>13.3.2(1)</w:t>
      </w:r>
      <w:r w:rsidRPr="00266819">
        <w:t xml:space="preserve">, by </w:t>
      </w:r>
      <w:r w:rsidRPr="00B33E3E">
        <w:rPr>
          <w:rFonts w:eastAsia="Cambria"/>
          <w:color w:val="000000"/>
          <w:lang w:eastAsia="de-DE"/>
        </w:rPr>
        <w:t xml:space="preserve">vertical action applied directly onto or immediately above the framing member </w:t>
      </w:r>
      <w:r w:rsidRPr="00B33E3E">
        <w:t>at wall ends and at opening ends.</w:t>
      </w:r>
    </w:p>
    <w:p w14:paraId="5ED4AD83" w14:textId="400CBFA2" w:rsidR="005A1AFC" w:rsidRPr="00132C1E" w:rsidRDefault="005A1AFC" w:rsidP="00724E4E">
      <w:pPr>
        <w:pStyle w:val="Clause"/>
      </w:pPr>
      <w:r w:rsidRPr="00132C1E">
        <w:t xml:space="preserve">Wall height at each level of the building should be the same as the interstorey height. </w:t>
      </w:r>
    </w:p>
    <w:p w14:paraId="201151A9" w14:textId="210B98DC" w:rsidR="005A1AFC" w:rsidRPr="00132C1E" w:rsidRDefault="005A1AFC" w:rsidP="00724E4E">
      <w:pPr>
        <w:pStyle w:val="Clause"/>
      </w:pPr>
      <w:r w:rsidRPr="00132C1E">
        <w:t>Perpendicular walls should be connected by joining together two vertical studs with mechanical fasteners (nails, screws or bolts, Figure 13.</w:t>
      </w:r>
      <w:r>
        <w:t>8</w:t>
      </w:r>
      <w:r w:rsidRPr="00132C1E">
        <w:t xml:space="preserve"> I).</w:t>
      </w:r>
    </w:p>
    <w:p w14:paraId="5376766B" w14:textId="4EA33C39" w:rsidR="005A1AFC" w:rsidRPr="00132C1E" w:rsidRDefault="005A1AFC" w:rsidP="005A1AFC">
      <w:pPr>
        <w:pStyle w:val="Heading3"/>
      </w:pPr>
      <w:bookmarkStart w:id="10377" w:name="_Toc520573578"/>
      <w:bookmarkStart w:id="10378" w:name="_Toc2160631"/>
      <w:bookmarkStart w:id="10379" w:name="_Toc17491751"/>
      <w:bookmarkStart w:id="10380" w:name="_Toc50150584"/>
      <w:bookmarkStart w:id="10381" w:name="_Toc70887016"/>
      <w:bookmarkStart w:id="10382" w:name="_Toc108342586"/>
      <w:bookmarkStart w:id="10383" w:name="_Toc134198108"/>
      <w:r>
        <w:t>Verification in</w:t>
      </w:r>
      <w:r w:rsidRPr="00132C1E">
        <w:t xml:space="preserve"> DC2</w:t>
      </w:r>
      <w:bookmarkEnd w:id="10377"/>
      <w:bookmarkEnd w:id="10378"/>
      <w:bookmarkEnd w:id="10379"/>
      <w:bookmarkEnd w:id="10380"/>
      <w:bookmarkEnd w:id="10381"/>
      <w:bookmarkEnd w:id="10382"/>
      <w:bookmarkEnd w:id="10383"/>
    </w:p>
    <w:p w14:paraId="02A9BF4A" w14:textId="580B3785" w:rsidR="005A1AFC" w:rsidRPr="00132C1E" w:rsidRDefault="005A1AFC" w:rsidP="0080187E">
      <w:pPr>
        <w:pStyle w:val="Clause"/>
        <w:numPr>
          <w:ilvl w:val="0"/>
          <w:numId w:val="462"/>
        </w:numPr>
      </w:pPr>
      <w:r w:rsidRPr="00132C1E">
        <w:t xml:space="preserve">Shear walls may be sheathed with all the types of sheathing material defined in </w:t>
      </w:r>
      <w:r w:rsidRPr="00835C82">
        <w:t>13.3.2(4)</w:t>
      </w:r>
      <w:r w:rsidRPr="00132C1E">
        <w:t>, connected to the wall framing by means of nails, screws or staples according to EN</w:t>
      </w:r>
      <w:r w:rsidR="0062443F">
        <w:t> </w:t>
      </w:r>
      <w:r w:rsidRPr="00132C1E">
        <w:t>14592</w:t>
      </w:r>
      <w:r w:rsidR="00155F8D">
        <w:t>:2022</w:t>
      </w:r>
      <w:r w:rsidRPr="00132C1E">
        <w:t xml:space="preserve">, </w:t>
      </w:r>
      <w:r w:rsidRPr="00835C82">
        <w:t>Annex F</w:t>
      </w:r>
      <w:r w:rsidRPr="00132C1E">
        <w:t>.</w:t>
      </w:r>
    </w:p>
    <w:p w14:paraId="451C3A3F" w14:textId="57509D02" w:rsidR="005A1AFC" w:rsidRPr="00132C1E" w:rsidRDefault="005A1AFC" w:rsidP="00724E4E">
      <w:pPr>
        <w:pStyle w:val="Clause"/>
      </w:pPr>
      <w:r w:rsidRPr="00266819">
        <w:t xml:space="preserve">Framed wall structures </w:t>
      </w:r>
      <w:r w:rsidRPr="00132C1E">
        <w:t>designed to DC2 should be made only of fully anchored walls.</w:t>
      </w:r>
    </w:p>
    <w:p w14:paraId="66F35DDA" w14:textId="4AA440B9" w:rsidR="005A1AFC" w:rsidRPr="00132C1E" w:rsidRDefault="005A1AFC" w:rsidP="00724E4E">
      <w:pPr>
        <w:pStyle w:val="Clause"/>
      </w:pPr>
      <w:r w:rsidRPr="00132C1E">
        <w:t>Connections with dissipative behaviour should be those given in a) to c):</w:t>
      </w:r>
    </w:p>
    <w:p w14:paraId="2164524F" w14:textId="77777777" w:rsidR="005A1AFC" w:rsidRPr="00132C1E" w:rsidRDefault="005A1AFC" w:rsidP="008217FC">
      <w:pPr>
        <w:pStyle w:val="Text"/>
        <w:numPr>
          <w:ilvl w:val="0"/>
          <w:numId w:val="672"/>
        </w:numPr>
        <w:spacing w:after="200"/>
      </w:pPr>
      <w:r w:rsidRPr="00132C1E">
        <w:t>screwed, nailed or stapled connections between sheathing material and timber frame in shear walls;</w:t>
      </w:r>
    </w:p>
    <w:p w14:paraId="20B65992" w14:textId="77777777" w:rsidR="005A1AFC" w:rsidRPr="00132C1E" w:rsidRDefault="005A1AFC" w:rsidP="008217FC">
      <w:pPr>
        <w:pStyle w:val="Text"/>
        <w:numPr>
          <w:ilvl w:val="0"/>
          <w:numId w:val="672"/>
        </w:numPr>
        <w:spacing w:after="200"/>
      </w:pPr>
      <w:r w:rsidRPr="00132C1E">
        <w:t>shear connections between upper and lower walls, and between walls and foundation;</w:t>
      </w:r>
    </w:p>
    <w:p w14:paraId="0E970AB6" w14:textId="675CC75F" w:rsidR="005A1AFC" w:rsidRPr="00132C1E" w:rsidRDefault="005A1AFC" w:rsidP="008217FC">
      <w:pPr>
        <w:pStyle w:val="Text"/>
        <w:numPr>
          <w:ilvl w:val="0"/>
          <w:numId w:val="672"/>
        </w:numPr>
        <w:spacing w:after="200"/>
      </w:pPr>
      <w:r w:rsidRPr="00266819">
        <w:t>anchoring connections</w:t>
      </w:r>
      <w:r w:rsidR="00266819" w:rsidRPr="00266819">
        <w:t xml:space="preserve"> </w:t>
      </w:r>
      <w:r w:rsidRPr="00266819">
        <w:t xml:space="preserve">against overturning placed at wall ends </w:t>
      </w:r>
      <w:r w:rsidRPr="00132C1E">
        <w:t>and at wall openings.</w:t>
      </w:r>
    </w:p>
    <w:p w14:paraId="5382A555" w14:textId="1A53E1BC" w:rsidR="005A1AFC" w:rsidRPr="00132C1E" w:rsidRDefault="005A1AFC" w:rsidP="00724E4E">
      <w:pPr>
        <w:pStyle w:val="Clause"/>
      </w:pPr>
      <w:r w:rsidRPr="00132C1E">
        <w:t>Structural members, connections and joints listed in a) to e) (see Figure 13.</w:t>
      </w:r>
      <w:r>
        <w:t>8</w:t>
      </w:r>
      <w:r w:rsidRPr="00132C1E">
        <w:t xml:space="preserve">) should be capacity designed using Formula (13.7), with </w:t>
      </w:r>
      <w:r w:rsidRPr="00132C1E">
        <w:rPr>
          <w:i/>
        </w:rPr>
        <w:t>Ω</w:t>
      </w:r>
      <w:r w:rsidRPr="00132C1E">
        <w:rPr>
          <w:vertAlign w:val="subscript"/>
        </w:rPr>
        <w:t xml:space="preserve">d </w:t>
      </w:r>
      <w:r w:rsidRPr="00132C1E">
        <w:t xml:space="preserve">given by Formula (13.8) and </w:t>
      </w:r>
      <w:r w:rsidRPr="00132C1E">
        <w:rPr>
          <w:i/>
        </w:rPr>
        <w:t>Ω</w:t>
      </w:r>
      <w:r w:rsidRPr="00132C1E">
        <w:rPr>
          <w:vertAlign w:val="subscript"/>
        </w:rPr>
        <w:t xml:space="preserve">d,i </w:t>
      </w:r>
      <w:r w:rsidRPr="00132C1E">
        <w:t>given by Formula (13.1</w:t>
      </w:r>
      <w:r>
        <w:t>7</w:t>
      </w:r>
      <w:r w:rsidRPr="00132C1E">
        <w:t>):</w:t>
      </w:r>
    </w:p>
    <w:p w14:paraId="560D9714" w14:textId="77777777" w:rsidR="005A1AFC" w:rsidRPr="00132C1E" w:rsidRDefault="005A1AFC" w:rsidP="008217FC">
      <w:pPr>
        <w:pStyle w:val="Text"/>
        <w:numPr>
          <w:ilvl w:val="0"/>
          <w:numId w:val="673"/>
        </w:numPr>
        <w:spacing w:after="200"/>
      </w:pPr>
      <w:r w:rsidRPr="00132C1E">
        <w:t>sheathing panels under in-plane shear induced by seismic actions;</w:t>
      </w:r>
    </w:p>
    <w:p w14:paraId="6269B501" w14:textId="77777777" w:rsidR="005A1AFC" w:rsidRPr="00132C1E" w:rsidRDefault="005A1AFC" w:rsidP="008217FC">
      <w:pPr>
        <w:pStyle w:val="Text"/>
        <w:numPr>
          <w:ilvl w:val="0"/>
          <w:numId w:val="673"/>
        </w:numPr>
        <w:spacing w:after="200"/>
      </w:pPr>
      <w:r w:rsidRPr="00132C1E">
        <w:t>timber framing members (studs, plates, and joists) under axial forces induced by seismic actions;</w:t>
      </w:r>
    </w:p>
    <w:p w14:paraId="0C51BFEF" w14:textId="77777777" w:rsidR="005A1AFC" w:rsidRPr="00132C1E" w:rsidRDefault="005A1AFC" w:rsidP="0080187E">
      <w:pPr>
        <w:pStyle w:val="Text"/>
        <w:numPr>
          <w:ilvl w:val="0"/>
          <w:numId w:val="673"/>
        </w:numPr>
      </w:pPr>
      <w:r w:rsidRPr="00132C1E">
        <w:t>nailed, screwed or stapled shear connections between sheathing and timber joists/beams at each floor;</w:t>
      </w:r>
    </w:p>
    <w:p w14:paraId="373CDBC3" w14:textId="77777777" w:rsidR="005A1AFC" w:rsidRPr="00132C1E" w:rsidRDefault="005A1AFC" w:rsidP="0080187E">
      <w:pPr>
        <w:pStyle w:val="Text"/>
        <w:numPr>
          <w:ilvl w:val="0"/>
          <w:numId w:val="673"/>
        </w:numPr>
      </w:pPr>
      <w:r w:rsidRPr="00132C1E">
        <w:t>joints between floors and walls underneath;</w:t>
      </w:r>
    </w:p>
    <w:p w14:paraId="34C79A90" w14:textId="77777777" w:rsidR="005A1AFC" w:rsidRPr="00132C1E" w:rsidRDefault="005A1AFC" w:rsidP="0080187E">
      <w:pPr>
        <w:pStyle w:val="Text"/>
        <w:numPr>
          <w:ilvl w:val="0"/>
          <w:numId w:val="673"/>
        </w:numPr>
      </w:pPr>
      <w:r w:rsidRPr="00132C1E">
        <w:t>joints between orthogonal walls, particularly at the building corners.</w:t>
      </w:r>
    </w:p>
    <w:p w14:paraId="00E518CA" w14:textId="4F37DD4D" w:rsidR="00266819" w:rsidRDefault="009B5CEC" w:rsidP="00266819">
      <w:pPr>
        <w:pStyle w:val="Formula"/>
        <w:spacing w:before="240"/>
      </w:pPr>
      <m:oMath>
        <m:sSub>
          <m:sSubPr>
            <m:ctrlPr>
              <w:rPr>
                <w:rFonts w:ascii="Cambria Math" w:hAnsi="Cambria Math"/>
              </w:rPr>
            </m:ctrlPr>
          </m:sSubPr>
          <m:e>
            <m:r>
              <w:rPr>
                <w:rFonts w:ascii="Cambria Math" w:hAnsi="Cambria Math"/>
              </w:rPr>
              <m:t>Ω</m:t>
            </m:r>
          </m:e>
          <m:sub>
            <m:r>
              <m:rPr>
                <m:sty m:val="p"/>
              </m:rPr>
              <w:rPr>
                <w:rFonts w:ascii="Cambria Math" w:hAnsi="Cambria Math"/>
              </w:rPr>
              <m:t>d,i</m:t>
            </m:r>
          </m:sub>
        </m:sSub>
        <m:r>
          <w:rPr>
            <w:rFonts w:ascii="Cambria Math" w:hAnsi="Cambria Math"/>
          </w:rPr>
          <m:t>=</m:t>
        </m:r>
        <m:r>
          <m:rPr>
            <m:sty m:val="p"/>
          </m:rPr>
          <w:rPr>
            <w:rFonts w:ascii="Cambria Math" w:hAnsi="Cambria Math"/>
          </w:rPr>
          <m:t>min</m:t>
        </m:r>
        <m:d>
          <m:dPr>
            <m:ctrlPr>
              <w:rPr>
                <w:rFonts w:ascii="Cambria Math" w:hAnsi="Cambria Math"/>
              </w:rPr>
            </m:ctrlPr>
          </m:dPr>
          <m:e>
            <m:f>
              <m:fPr>
                <m:ctrlPr>
                  <w:rPr>
                    <w:rFonts w:ascii="Cambria Math" w:hAnsi="Cambria Math"/>
                  </w:rPr>
                </m:ctrlPr>
              </m:fPr>
              <m:num>
                <m:nary>
                  <m:naryPr>
                    <m:chr m:val="∑"/>
                    <m:limLoc m:val="undOvr"/>
                    <m:ctrlPr>
                      <w:rPr>
                        <w:rFonts w:ascii="Cambria Math" w:hAnsi="Cambria Math"/>
                      </w:rPr>
                    </m:ctrlPr>
                  </m:naryPr>
                  <m:sub>
                    <m:r>
                      <w:rPr>
                        <w:rFonts w:ascii="Cambria Math" w:hAnsi="Cambria Math"/>
                      </w:rPr>
                      <m:t>j=1</m:t>
                    </m:r>
                  </m:sub>
                  <m:sup>
                    <m:sSub>
                      <m:sSubPr>
                        <m:ctrlPr>
                          <w:rPr>
                            <w:rFonts w:ascii="Cambria Math" w:hAnsi="Cambria Math"/>
                          </w:rPr>
                        </m:ctrlPr>
                      </m:sSubPr>
                      <m:e>
                        <m:r>
                          <w:rPr>
                            <w:rFonts w:ascii="Cambria Math" w:hAnsi="Cambria Math"/>
                          </w:rPr>
                          <m:t>N</m:t>
                        </m:r>
                      </m:e>
                      <m:sub>
                        <m:r>
                          <m:rPr>
                            <m:sty m:val="p"/>
                          </m:rPr>
                          <w:rPr>
                            <w:rFonts w:ascii="Cambria Math" w:hAnsi="Cambria Math"/>
                          </w:rPr>
                          <m:t>i</m:t>
                        </m:r>
                      </m:sub>
                    </m:sSub>
                  </m:sup>
                  <m:e>
                    <m:d>
                      <m:dPr>
                        <m:begChr m:val="|"/>
                        <m:endChr m:val="|"/>
                        <m:ctrlPr>
                          <w:rPr>
                            <w:rFonts w:ascii="Cambria Math" w:hAnsi="Cambria Math"/>
                          </w:rPr>
                        </m:ctrlPr>
                      </m:dPr>
                      <m:e>
                        <m:sSub>
                          <m:sSubPr>
                            <m:ctrlPr>
                              <w:rPr>
                                <w:rFonts w:ascii="Cambria Math" w:hAnsi="Cambria Math"/>
                              </w:rPr>
                            </m:ctrlPr>
                          </m:sSubPr>
                          <m:e>
                            <m:r>
                              <w:rPr>
                                <w:rFonts w:ascii="Cambria Math" w:hAnsi="Cambria Math"/>
                              </w:rPr>
                              <m:t>ν</m:t>
                            </m:r>
                          </m:e>
                          <m:sub>
                            <m:r>
                              <m:rPr>
                                <m:sty m:val="p"/>
                              </m:rPr>
                              <w:rPr>
                                <w:rFonts w:ascii="Cambria Math" w:hAnsi="Cambria Math"/>
                              </w:rPr>
                              <m:t>Rd,sh,i,j</m:t>
                            </m:r>
                          </m:sub>
                        </m:sSub>
                      </m:e>
                    </m:d>
                  </m:e>
                </m:nary>
              </m:num>
              <m:den>
                <m:nary>
                  <m:naryPr>
                    <m:chr m:val="∑"/>
                    <m:limLoc m:val="undOvr"/>
                    <m:ctrlPr>
                      <w:rPr>
                        <w:rFonts w:ascii="Cambria Math" w:hAnsi="Cambria Math"/>
                      </w:rPr>
                    </m:ctrlPr>
                  </m:naryPr>
                  <m:sub>
                    <m:r>
                      <w:rPr>
                        <w:rFonts w:ascii="Cambria Math" w:hAnsi="Cambria Math"/>
                      </w:rPr>
                      <m:t>j=1</m:t>
                    </m:r>
                  </m:sub>
                  <m:sup>
                    <m:sSub>
                      <m:sSubPr>
                        <m:ctrlPr>
                          <w:rPr>
                            <w:rFonts w:ascii="Cambria Math" w:hAnsi="Cambria Math"/>
                          </w:rPr>
                        </m:ctrlPr>
                      </m:sSubPr>
                      <m:e>
                        <m:r>
                          <w:rPr>
                            <w:rFonts w:ascii="Cambria Math" w:hAnsi="Cambria Math"/>
                          </w:rPr>
                          <m:t>N</m:t>
                        </m:r>
                      </m:e>
                      <m:sub>
                        <m:r>
                          <m:rPr>
                            <m:sty m:val="p"/>
                          </m:rPr>
                          <w:rPr>
                            <w:rFonts w:ascii="Cambria Math" w:hAnsi="Cambria Math"/>
                          </w:rPr>
                          <m:t>i</m:t>
                        </m:r>
                      </m:sub>
                    </m:sSub>
                  </m:sup>
                  <m:e>
                    <m:d>
                      <m:dPr>
                        <m:begChr m:val="|"/>
                        <m:endChr m:val="|"/>
                        <m:ctrlPr>
                          <w:rPr>
                            <w:rFonts w:ascii="Cambria Math" w:hAnsi="Cambria Math"/>
                          </w:rPr>
                        </m:ctrlPr>
                      </m:dPr>
                      <m:e>
                        <m:sSub>
                          <m:sSubPr>
                            <m:ctrlPr>
                              <w:rPr>
                                <w:rFonts w:ascii="Cambria Math" w:hAnsi="Cambria Math"/>
                              </w:rPr>
                            </m:ctrlPr>
                          </m:sSubPr>
                          <m:e>
                            <m:r>
                              <w:rPr>
                                <w:rFonts w:ascii="Cambria Math" w:hAnsi="Cambria Math"/>
                              </w:rPr>
                              <m:t>ν</m:t>
                            </m:r>
                          </m:e>
                          <m:sub>
                            <m:r>
                              <m:rPr>
                                <m:sty m:val="p"/>
                              </m:rPr>
                              <w:rPr>
                                <w:rFonts w:ascii="Cambria Math" w:hAnsi="Cambria Math"/>
                              </w:rPr>
                              <m:t>Ed,E,i,j</m:t>
                            </m:r>
                          </m:sub>
                        </m:sSub>
                      </m:e>
                    </m:d>
                  </m:e>
                </m:nary>
              </m:den>
            </m:f>
            <m:r>
              <w:rPr>
                <w:rFonts w:ascii="Cambria Math" w:hAnsi="Cambria Math"/>
              </w:rPr>
              <m:t>;</m:t>
            </m:r>
            <m:f>
              <m:fPr>
                <m:ctrlPr>
                  <w:rPr>
                    <w:rFonts w:ascii="Cambria Math" w:hAnsi="Cambria Math"/>
                  </w:rPr>
                </m:ctrlPr>
              </m:fPr>
              <m:num>
                <m:nary>
                  <m:naryPr>
                    <m:chr m:val="∑"/>
                    <m:limLoc m:val="undOvr"/>
                    <m:ctrlPr>
                      <w:rPr>
                        <w:rFonts w:ascii="Cambria Math" w:hAnsi="Cambria Math"/>
                      </w:rPr>
                    </m:ctrlPr>
                  </m:naryPr>
                  <m:sub>
                    <m:r>
                      <w:rPr>
                        <w:rFonts w:ascii="Cambria Math" w:hAnsi="Cambria Math"/>
                      </w:rPr>
                      <m:t>j=1</m:t>
                    </m:r>
                  </m:sub>
                  <m:sup>
                    <m:sSub>
                      <m:sSubPr>
                        <m:ctrlPr>
                          <w:rPr>
                            <w:rFonts w:ascii="Cambria Math" w:hAnsi="Cambria Math"/>
                          </w:rPr>
                        </m:ctrlPr>
                      </m:sSubPr>
                      <m:e>
                        <m:r>
                          <w:rPr>
                            <w:rFonts w:ascii="Cambria Math" w:hAnsi="Cambria Math"/>
                          </w:rPr>
                          <m:t>N</m:t>
                        </m:r>
                      </m:e>
                      <m:sub>
                        <m:r>
                          <m:rPr>
                            <m:sty m:val="p"/>
                          </m:rPr>
                          <w:rPr>
                            <w:rFonts w:ascii="Cambria Math" w:hAnsi="Cambria Math"/>
                          </w:rPr>
                          <m:t>i</m:t>
                        </m:r>
                      </m:sub>
                    </m:sSub>
                  </m:sup>
                  <m:e>
                    <m:d>
                      <m:dPr>
                        <m:begChr m:val="|"/>
                        <m:endChr m:val="|"/>
                        <m:ctrlPr>
                          <w:rPr>
                            <w:rFonts w:ascii="Cambria Math" w:hAnsi="Cambria Math"/>
                          </w:rPr>
                        </m:ctrlPr>
                      </m:dPr>
                      <m:e>
                        <m:sSub>
                          <m:sSubPr>
                            <m:ctrlPr>
                              <w:rPr>
                                <w:rFonts w:ascii="Cambria Math" w:hAnsi="Cambria Math"/>
                              </w:rPr>
                            </m:ctrlPr>
                          </m:sSubPr>
                          <m:e>
                            <m:r>
                              <w:rPr>
                                <w:rFonts w:ascii="Cambria Math" w:hAnsi="Cambria Math"/>
                              </w:rPr>
                              <m:t>ν</m:t>
                            </m:r>
                          </m:e>
                          <m:sub>
                            <m:r>
                              <m:rPr>
                                <m:sty m:val="p"/>
                              </m:rPr>
                              <w:rPr>
                                <w:rFonts w:ascii="Cambria Math" w:hAnsi="Cambria Math"/>
                              </w:rPr>
                              <m:t>Rd,a,i,j</m:t>
                            </m:r>
                          </m:sub>
                        </m:sSub>
                      </m:e>
                    </m:d>
                  </m:e>
                </m:nary>
              </m:num>
              <m:den>
                <m:nary>
                  <m:naryPr>
                    <m:chr m:val="∑"/>
                    <m:limLoc m:val="undOvr"/>
                    <m:ctrlPr>
                      <w:rPr>
                        <w:rFonts w:ascii="Cambria Math" w:hAnsi="Cambria Math"/>
                      </w:rPr>
                    </m:ctrlPr>
                  </m:naryPr>
                  <m:sub>
                    <m:r>
                      <w:rPr>
                        <w:rFonts w:ascii="Cambria Math" w:hAnsi="Cambria Math"/>
                      </w:rPr>
                      <m:t>j=1</m:t>
                    </m:r>
                  </m:sub>
                  <m:sup>
                    <m:sSub>
                      <m:sSubPr>
                        <m:ctrlPr>
                          <w:rPr>
                            <w:rFonts w:ascii="Cambria Math" w:hAnsi="Cambria Math"/>
                          </w:rPr>
                        </m:ctrlPr>
                      </m:sSubPr>
                      <m:e>
                        <m:r>
                          <w:rPr>
                            <w:rFonts w:ascii="Cambria Math" w:hAnsi="Cambria Math"/>
                          </w:rPr>
                          <m:t>N</m:t>
                        </m:r>
                      </m:e>
                      <m:sub>
                        <m:r>
                          <m:rPr>
                            <m:sty m:val="p"/>
                          </m:rPr>
                          <w:rPr>
                            <w:rFonts w:ascii="Cambria Math" w:hAnsi="Cambria Math"/>
                          </w:rPr>
                          <m:t>i</m:t>
                        </m:r>
                      </m:sub>
                    </m:sSub>
                  </m:sup>
                  <m:e>
                    <m:d>
                      <m:dPr>
                        <m:begChr m:val="|"/>
                        <m:endChr m:val="|"/>
                        <m:ctrlPr>
                          <w:rPr>
                            <w:rFonts w:ascii="Cambria Math" w:hAnsi="Cambria Math"/>
                          </w:rPr>
                        </m:ctrlPr>
                      </m:dPr>
                      <m:e>
                        <m:sSub>
                          <m:sSubPr>
                            <m:ctrlPr>
                              <w:rPr>
                                <w:rFonts w:ascii="Cambria Math" w:hAnsi="Cambria Math"/>
                              </w:rPr>
                            </m:ctrlPr>
                          </m:sSubPr>
                          <m:e>
                            <m:r>
                              <w:rPr>
                                <w:rFonts w:ascii="Cambria Math" w:hAnsi="Cambria Math"/>
                              </w:rPr>
                              <m:t>ν</m:t>
                            </m:r>
                          </m:e>
                          <m:sub>
                            <m:r>
                              <m:rPr>
                                <m:sty m:val="p"/>
                              </m:rPr>
                              <w:rPr>
                                <w:rFonts w:ascii="Cambria Math" w:hAnsi="Cambria Math"/>
                              </w:rPr>
                              <m:t>Ed,E,i,j</m:t>
                            </m:r>
                          </m:sub>
                        </m:sSub>
                      </m:e>
                    </m:d>
                  </m:e>
                </m:nary>
              </m:den>
            </m:f>
            <m:r>
              <w:rPr>
                <w:rFonts w:ascii="Cambria Math" w:hAnsi="Cambria Math"/>
              </w:rPr>
              <m:t>;</m:t>
            </m:r>
            <m:f>
              <m:fPr>
                <m:ctrlPr>
                  <w:rPr>
                    <w:rFonts w:ascii="Cambria Math" w:hAnsi="Cambria Math"/>
                  </w:rPr>
                </m:ctrlPr>
              </m:fPr>
              <m:num>
                <m:nary>
                  <m:naryPr>
                    <m:chr m:val="∑"/>
                    <m:limLoc m:val="undOvr"/>
                    <m:ctrlPr>
                      <w:rPr>
                        <w:rFonts w:ascii="Cambria Math" w:hAnsi="Cambria Math"/>
                      </w:rPr>
                    </m:ctrlPr>
                  </m:naryPr>
                  <m:sub>
                    <m:r>
                      <w:rPr>
                        <w:rFonts w:ascii="Cambria Math" w:hAnsi="Cambria Math"/>
                      </w:rPr>
                      <m:t>j=1</m:t>
                    </m:r>
                  </m:sub>
                  <m:sup>
                    <m:sSub>
                      <m:sSubPr>
                        <m:ctrlPr>
                          <w:rPr>
                            <w:rFonts w:ascii="Cambria Math" w:hAnsi="Cambria Math"/>
                          </w:rPr>
                        </m:ctrlPr>
                      </m:sSubPr>
                      <m:e>
                        <m:r>
                          <w:rPr>
                            <w:rFonts w:ascii="Cambria Math" w:hAnsi="Cambria Math"/>
                          </w:rPr>
                          <m:t>N</m:t>
                        </m:r>
                      </m:e>
                      <m:sub>
                        <m:r>
                          <w:rPr>
                            <w:rFonts w:ascii="Cambria Math" w:hAnsi="Cambria Math"/>
                          </w:rPr>
                          <m:t>i</m:t>
                        </m:r>
                      </m:sub>
                    </m:sSub>
                  </m:sup>
                  <m:e>
                    <m:d>
                      <m:dPr>
                        <m:begChr m:val="|"/>
                        <m:endChr m:val="|"/>
                        <m:ctrlPr>
                          <w:rPr>
                            <w:rFonts w:ascii="Cambria Math" w:hAnsi="Cambria Math"/>
                          </w:rPr>
                        </m:ctrlPr>
                      </m:dPr>
                      <m:e>
                        <m:sSub>
                          <m:sSubPr>
                            <m:ctrlPr>
                              <w:rPr>
                                <w:rFonts w:ascii="Cambria Math" w:hAnsi="Cambria Math"/>
                              </w:rPr>
                            </m:ctrlPr>
                          </m:sSubPr>
                          <m:e>
                            <m:r>
                              <w:rPr>
                                <w:rFonts w:ascii="Cambria Math" w:hAnsi="Cambria Math"/>
                              </w:rPr>
                              <m:t>M</m:t>
                            </m:r>
                          </m:e>
                          <m:sub>
                            <m:r>
                              <m:rPr>
                                <m:sty m:val="p"/>
                              </m:rPr>
                              <w:rPr>
                                <w:rFonts w:ascii="Cambria Math" w:hAnsi="Cambria Math"/>
                              </w:rPr>
                              <m:t>Rd,rock,i,j</m:t>
                            </m:r>
                          </m:sub>
                        </m:sSub>
                      </m:e>
                    </m:d>
                  </m:e>
                </m:nary>
              </m:num>
              <m:den>
                <m:nary>
                  <m:naryPr>
                    <m:chr m:val="∑"/>
                    <m:limLoc m:val="undOvr"/>
                    <m:ctrlPr>
                      <w:rPr>
                        <w:rFonts w:ascii="Cambria Math" w:hAnsi="Cambria Math"/>
                      </w:rPr>
                    </m:ctrlPr>
                  </m:naryPr>
                  <m:sub>
                    <m:r>
                      <w:rPr>
                        <w:rFonts w:ascii="Cambria Math" w:hAnsi="Cambria Math"/>
                      </w:rPr>
                      <m:t>j=1</m:t>
                    </m:r>
                  </m:sub>
                  <m:sup>
                    <m:sSub>
                      <m:sSubPr>
                        <m:ctrlPr>
                          <w:rPr>
                            <w:rFonts w:ascii="Cambria Math" w:hAnsi="Cambria Math"/>
                          </w:rPr>
                        </m:ctrlPr>
                      </m:sSubPr>
                      <m:e>
                        <m:r>
                          <w:rPr>
                            <w:rFonts w:ascii="Cambria Math" w:hAnsi="Cambria Math"/>
                          </w:rPr>
                          <m:t>N</m:t>
                        </m:r>
                      </m:e>
                      <m:sub>
                        <m:r>
                          <m:rPr>
                            <m:sty m:val="p"/>
                          </m:rPr>
                          <w:rPr>
                            <w:rFonts w:ascii="Cambria Math" w:hAnsi="Cambria Math"/>
                          </w:rPr>
                          <m:t>i</m:t>
                        </m:r>
                      </m:sub>
                    </m:sSub>
                  </m:sup>
                  <m:e>
                    <m:d>
                      <m:dPr>
                        <m:begChr m:val="|"/>
                        <m:endChr m:val="|"/>
                        <m:ctrlPr>
                          <w:rPr>
                            <w:rFonts w:ascii="Cambria Math" w:hAnsi="Cambria Math"/>
                          </w:rPr>
                        </m:ctrlPr>
                      </m:dPr>
                      <m:e>
                        <m:sSub>
                          <m:sSubPr>
                            <m:ctrlPr>
                              <w:rPr>
                                <w:rFonts w:ascii="Cambria Math" w:hAnsi="Cambria Math"/>
                              </w:rPr>
                            </m:ctrlPr>
                          </m:sSubPr>
                          <m:e>
                            <m:r>
                              <w:rPr>
                                <w:rFonts w:ascii="Cambria Math" w:hAnsi="Cambria Math"/>
                              </w:rPr>
                              <m:t>M</m:t>
                            </m:r>
                          </m:e>
                          <m:sub>
                            <m:r>
                              <m:rPr>
                                <m:sty m:val="p"/>
                              </m:rPr>
                              <w:rPr>
                                <w:rFonts w:ascii="Cambria Math" w:hAnsi="Cambria Math"/>
                              </w:rPr>
                              <m:t>Ed,E,i,j</m:t>
                            </m:r>
                          </m:sub>
                        </m:sSub>
                      </m:e>
                    </m:d>
                  </m:e>
                </m:nary>
              </m:den>
            </m:f>
            <m:r>
              <m:rPr>
                <m:sty m:val="p"/>
              </m:rPr>
              <w:rPr>
                <w:rFonts w:ascii="Cambria Math" w:hAnsi="Cambria Math"/>
              </w:rPr>
              <m:t xml:space="preserve"> </m:t>
            </m:r>
          </m:e>
        </m:d>
      </m:oMath>
      <w:r w:rsidR="00266819" w:rsidRPr="00870D59">
        <w:tab/>
        <w:t>(1</w:t>
      </w:r>
      <w:r w:rsidR="00266819">
        <w:t>3</w:t>
      </w:r>
      <w:r w:rsidR="00266819" w:rsidRPr="00870D59">
        <w:t>.</w:t>
      </w:r>
      <w:r w:rsidR="00266819">
        <w:t>17</w:t>
      </w:r>
      <w:r w:rsidR="00266819" w:rsidRPr="00870D59">
        <w:t>)</w:t>
      </w:r>
    </w:p>
    <w:p w14:paraId="6FF4B6B3" w14:textId="7C3ED33F" w:rsidR="00266819" w:rsidRPr="001B2671" w:rsidRDefault="00675EBA" w:rsidP="0062443F">
      <w:pPr>
        <w:pStyle w:val="Text"/>
      </w:pPr>
      <w:r>
        <w:t>where</w:t>
      </w:r>
    </w:p>
    <w:tbl>
      <w:tblPr>
        <w:tblW w:w="0" w:type="auto"/>
        <w:tblInd w:w="346" w:type="dxa"/>
        <w:tblLook w:val="04A0" w:firstRow="1" w:lastRow="0" w:firstColumn="1" w:lastColumn="0" w:noHBand="0" w:noVBand="1"/>
      </w:tblPr>
      <w:tblGrid>
        <w:gridCol w:w="1275"/>
        <w:gridCol w:w="7938"/>
      </w:tblGrid>
      <w:tr w:rsidR="00266819" w:rsidRPr="000F2AFF" w14:paraId="486FABCC" w14:textId="77777777" w:rsidTr="008217FC">
        <w:tc>
          <w:tcPr>
            <w:tcW w:w="1275" w:type="dxa"/>
          </w:tcPr>
          <w:p w14:paraId="1A11EF83" w14:textId="0388877C" w:rsidR="00266819" w:rsidRPr="000F2AFF" w:rsidRDefault="00072A39" w:rsidP="002061E5">
            <w:pPr>
              <w:spacing w:after="60"/>
              <w:jc w:val="left"/>
              <w:rPr>
                <w:rFonts w:eastAsia="Times New Roman" w:cs="Cambria"/>
                <w:color w:val="000000" w:themeColor="text1"/>
                <w:szCs w:val="20"/>
                <w:lang w:eastAsia="fr-FR"/>
              </w:rPr>
            </w:pPr>
            <w:r w:rsidRPr="007E6F67">
              <w:rPr>
                <w:i/>
              </w:rPr>
              <w:t>V</w:t>
            </w:r>
            <w:r w:rsidRPr="00FD17CF">
              <w:rPr>
                <w:vertAlign w:val="subscript"/>
              </w:rPr>
              <w:t>Rd,sh,i,j</w:t>
            </w:r>
          </w:p>
        </w:tc>
        <w:tc>
          <w:tcPr>
            <w:tcW w:w="7938" w:type="dxa"/>
          </w:tcPr>
          <w:p w14:paraId="3D1E249F" w14:textId="0B9C00C2" w:rsidR="00266819" w:rsidRPr="00DF3AF1" w:rsidRDefault="00072A39" w:rsidP="002061E5">
            <w:pPr>
              <w:spacing w:after="60"/>
              <w:rPr>
                <w:rFonts w:eastAsia="Times New Roman" w:cs="Cambria"/>
                <w:szCs w:val="20"/>
                <w:lang w:eastAsia="fr-FR"/>
              </w:rPr>
            </w:pPr>
            <w:r w:rsidRPr="00DF3AF1">
              <w:t xml:space="preserve">is the design lateral strength related to connections between sheathing material and timber frame of the </w:t>
            </w:r>
            <w:r w:rsidRPr="00DF3AF1">
              <w:rPr>
                <w:i/>
              </w:rPr>
              <w:t>j</w:t>
            </w:r>
            <w:r w:rsidRPr="00DF3AF1">
              <w:rPr>
                <w:iCs/>
                <w:vertAlign w:val="superscript"/>
              </w:rPr>
              <w:t>th</w:t>
            </w:r>
            <w:r w:rsidRPr="00DF3AF1">
              <w:t xml:space="preserve"> shear wall at the </w:t>
            </w:r>
            <w:r w:rsidRPr="00DF3AF1">
              <w:rPr>
                <w:i/>
              </w:rPr>
              <w:t>i</w:t>
            </w:r>
            <w:r w:rsidRPr="00DF3AF1">
              <w:rPr>
                <w:iCs/>
                <w:vertAlign w:val="superscript"/>
              </w:rPr>
              <w:t>th</w:t>
            </w:r>
            <w:r w:rsidRPr="00DF3AF1">
              <w:t xml:space="preserve"> storey calculated according to </w:t>
            </w:r>
            <w:r w:rsidR="007F3697">
              <w:t>prEN </w:t>
            </w:r>
            <w:r w:rsidR="006067DF">
              <w:t>1995-1-1:2023</w:t>
            </w:r>
            <w:r w:rsidRPr="0062443F">
              <w:t>, 13.3.2, Formula</w:t>
            </w:r>
            <w:r w:rsidRPr="00DF3AF1">
              <w:t xml:space="preserve"> (13.13)</w:t>
            </w:r>
            <w:r w:rsidRPr="00DF3AF1">
              <w:rPr>
                <w:szCs w:val="24"/>
              </w:rPr>
              <w:t>;</w:t>
            </w:r>
          </w:p>
        </w:tc>
      </w:tr>
      <w:tr w:rsidR="00266819" w:rsidRPr="000F2AFF" w14:paraId="19CB28C1" w14:textId="77777777" w:rsidTr="008217FC">
        <w:tc>
          <w:tcPr>
            <w:tcW w:w="1275" w:type="dxa"/>
          </w:tcPr>
          <w:p w14:paraId="7F1E883F" w14:textId="459FEAD4" w:rsidR="00266819" w:rsidRPr="000F2AFF" w:rsidRDefault="00072A39" w:rsidP="002061E5">
            <w:pPr>
              <w:spacing w:after="60"/>
              <w:jc w:val="left"/>
              <w:rPr>
                <w:rFonts w:eastAsia="Times New Roman" w:cs="Cambria"/>
                <w:color w:val="000000" w:themeColor="text1"/>
                <w:szCs w:val="20"/>
                <w:lang w:eastAsia="fr-FR"/>
              </w:rPr>
            </w:pPr>
            <w:r w:rsidRPr="00C52095">
              <w:rPr>
                <w:i/>
              </w:rPr>
              <w:t>V</w:t>
            </w:r>
            <w:r w:rsidRPr="007754C9">
              <w:rPr>
                <w:vertAlign w:val="subscript"/>
              </w:rPr>
              <w:t>Rd,a,i,j</w:t>
            </w:r>
          </w:p>
        </w:tc>
        <w:tc>
          <w:tcPr>
            <w:tcW w:w="7938" w:type="dxa"/>
          </w:tcPr>
          <w:p w14:paraId="515DE29B" w14:textId="0E6FDB97" w:rsidR="00266819" w:rsidRPr="00464B4C" w:rsidRDefault="00072A39" w:rsidP="002061E5">
            <w:pPr>
              <w:spacing w:after="60"/>
              <w:rPr>
                <w:rFonts w:eastAsia="Times New Roman" w:cs="Cambria"/>
                <w:color w:val="000000" w:themeColor="text1"/>
                <w:szCs w:val="20"/>
                <w:lang w:eastAsia="fr-FR"/>
              </w:rPr>
            </w:pPr>
            <w:r w:rsidRPr="007754C9">
              <w:t xml:space="preserve">is the design lateral strength related to shear connections of the </w:t>
            </w:r>
            <w:r w:rsidRPr="007754C9">
              <w:rPr>
                <w:i/>
              </w:rPr>
              <w:t>j</w:t>
            </w:r>
            <w:r w:rsidRPr="005156DD">
              <w:rPr>
                <w:iCs/>
                <w:vertAlign w:val="superscript"/>
              </w:rPr>
              <w:t>th</w:t>
            </w:r>
            <w:r w:rsidRPr="00132C1E">
              <w:t xml:space="preserve"> shear wall at the </w:t>
            </w:r>
            <w:r w:rsidRPr="00132C1E">
              <w:rPr>
                <w:i/>
              </w:rPr>
              <w:t>i</w:t>
            </w:r>
            <w:r w:rsidRPr="005156DD">
              <w:rPr>
                <w:iCs/>
                <w:vertAlign w:val="superscript"/>
              </w:rPr>
              <w:t>th</w:t>
            </w:r>
            <w:r w:rsidRPr="00132C1E">
              <w:t xml:space="preserve"> storey;</w:t>
            </w:r>
          </w:p>
        </w:tc>
      </w:tr>
      <w:tr w:rsidR="00072A39" w:rsidRPr="000F2AFF" w14:paraId="508BC6CC" w14:textId="77777777" w:rsidTr="008217FC">
        <w:tc>
          <w:tcPr>
            <w:tcW w:w="1275" w:type="dxa"/>
          </w:tcPr>
          <w:p w14:paraId="42CC366E" w14:textId="10FA8B6C" w:rsidR="00072A39" w:rsidRPr="00927C38" w:rsidRDefault="00072A39" w:rsidP="00072A39">
            <w:pPr>
              <w:spacing w:after="60"/>
              <w:jc w:val="left"/>
              <w:rPr>
                <w:i/>
              </w:rPr>
            </w:pPr>
            <w:r w:rsidRPr="00927C38">
              <w:rPr>
                <w:i/>
              </w:rPr>
              <w:t>M</w:t>
            </w:r>
            <w:r w:rsidRPr="00927C38">
              <w:rPr>
                <w:vertAlign w:val="subscript"/>
              </w:rPr>
              <w:t>Rd,rock,i,j</w:t>
            </w:r>
          </w:p>
        </w:tc>
        <w:tc>
          <w:tcPr>
            <w:tcW w:w="7938" w:type="dxa"/>
          </w:tcPr>
          <w:p w14:paraId="2F50F9CC" w14:textId="4C14E0A2" w:rsidR="00072A39" w:rsidRPr="00927C38" w:rsidRDefault="00072A39" w:rsidP="00072A39">
            <w:pPr>
              <w:spacing w:after="60"/>
            </w:pPr>
            <w:r w:rsidRPr="00132C1E">
              <w:t xml:space="preserve">is the design rocking strength of the </w:t>
            </w:r>
            <w:r w:rsidRPr="00132C1E">
              <w:rPr>
                <w:i/>
              </w:rPr>
              <w:t>j</w:t>
            </w:r>
            <w:r w:rsidRPr="005156DD">
              <w:rPr>
                <w:iCs/>
                <w:vertAlign w:val="superscript"/>
              </w:rPr>
              <w:t>th</w:t>
            </w:r>
            <w:r w:rsidRPr="00132C1E">
              <w:t xml:space="preserve"> shear wall at the </w:t>
            </w:r>
            <w:r w:rsidRPr="00132C1E">
              <w:rPr>
                <w:i/>
              </w:rPr>
              <w:t>i</w:t>
            </w:r>
            <w:r w:rsidRPr="005156DD">
              <w:rPr>
                <w:iCs/>
                <w:vertAlign w:val="superscript"/>
              </w:rPr>
              <w:t>th</w:t>
            </w:r>
            <w:r w:rsidRPr="00132C1E">
              <w:t xml:space="preserve"> storey;</w:t>
            </w:r>
          </w:p>
        </w:tc>
      </w:tr>
      <w:tr w:rsidR="00072A39" w:rsidRPr="000F2AFF" w14:paraId="770E43BD" w14:textId="77777777" w:rsidTr="008217FC">
        <w:tc>
          <w:tcPr>
            <w:tcW w:w="1275" w:type="dxa"/>
          </w:tcPr>
          <w:p w14:paraId="21E742CA" w14:textId="77777777" w:rsidR="00072A39" w:rsidRPr="000F2AFF" w:rsidRDefault="00072A39" w:rsidP="00072A39">
            <w:pPr>
              <w:spacing w:after="60"/>
              <w:jc w:val="left"/>
              <w:rPr>
                <w:rFonts w:eastAsia="Times New Roman" w:cs="Cambria"/>
                <w:color w:val="000000" w:themeColor="text1"/>
                <w:szCs w:val="20"/>
                <w:lang w:eastAsia="fr-FR"/>
              </w:rPr>
            </w:pPr>
            <w:r w:rsidRPr="00927C38">
              <w:rPr>
                <w:i/>
              </w:rPr>
              <w:t>V</w:t>
            </w:r>
            <w:r w:rsidRPr="00927C38">
              <w:rPr>
                <w:vertAlign w:val="subscript"/>
              </w:rPr>
              <w:t>Ed,E,i,j</w:t>
            </w:r>
          </w:p>
        </w:tc>
        <w:tc>
          <w:tcPr>
            <w:tcW w:w="7938" w:type="dxa"/>
          </w:tcPr>
          <w:p w14:paraId="3FFA0E95" w14:textId="4FD69956" w:rsidR="00072A39" w:rsidRPr="00464B4C" w:rsidRDefault="00072A39" w:rsidP="00072A39">
            <w:pPr>
              <w:spacing w:after="60"/>
              <w:rPr>
                <w:rFonts w:eastAsia="Times New Roman" w:cs="Cambria"/>
                <w:color w:val="000000" w:themeColor="text1"/>
                <w:szCs w:val="20"/>
                <w:lang w:eastAsia="fr-FR"/>
              </w:rPr>
            </w:pPr>
            <w:r w:rsidRPr="00132C1E">
              <w:t xml:space="preserve">is the design global shear of the </w:t>
            </w:r>
            <w:r w:rsidRPr="00132C1E">
              <w:rPr>
                <w:i/>
              </w:rPr>
              <w:t>j</w:t>
            </w:r>
            <w:r w:rsidRPr="005156DD">
              <w:rPr>
                <w:iCs/>
                <w:vertAlign w:val="superscript"/>
              </w:rPr>
              <w:t>th</w:t>
            </w:r>
            <w:r w:rsidRPr="00132C1E">
              <w:t xml:space="preserve"> shear wall at the </w:t>
            </w:r>
            <w:r w:rsidRPr="00132C1E">
              <w:rPr>
                <w:i/>
              </w:rPr>
              <w:t>i</w:t>
            </w:r>
            <w:r w:rsidRPr="005156DD">
              <w:rPr>
                <w:iCs/>
                <w:vertAlign w:val="superscript"/>
              </w:rPr>
              <w:t>th</w:t>
            </w:r>
            <w:r w:rsidRPr="00132C1E">
              <w:t xml:space="preserve"> storey due to the seismic action;</w:t>
            </w:r>
          </w:p>
        </w:tc>
      </w:tr>
      <w:tr w:rsidR="00072A39" w:rsidRPr="000F2AFF" w14:paraId="6A143EC7" w14:textId="77777777" w:rsidTr="008217FC">
        <w:tc>
          <w:tcPr>
            <w:tcW w:w="1275" w:type="dxa"/>
          </w:tcPr>
          <w:p w14:paraId="7949B327" w14:textId="77777777" w:rsidR="00072A39" w:rsidRPr="000F2AFF" w:rsidRDefault="00072A39" w:rsidP="00072A39">
            <w:pPr>
              <w:spacing w:after="60"/>
              <w:jc w:val="left"/>
              <w:rPr>
                <w:rFonts w:eastAsia="Times New Roman" w:cs="Cambria"/>
                <w:color w:val="000000" w:themeColor="text1"/>
                <w:szCs w:val="20"/>
                <w:lang w:eastAsia="fr-FR"/>
              </w:rPr>
            </w:pPr>
            <w:r w:rsidRPr="00927C38">
              <w:rPr>
                <w:i/>
              </w:rPr>
              <w:t>M</w:t>
            </w:r>
            <w:r w:rsidRPr="00927C38">
              <w:rPr>
                <w:vertAlign w:val="subscript"/>
              </w:rPr>
              <w:t>Ed,E,i,j</w:t>
            </w:r>
          </w:p>
        </w:tc>
        <w:tc>
          <w:tcPr>
            <w:tcW w:w="7938" w:type="dxa"/>
          </w:tcPr>
          <w:p w14:paraId="1B6AC500" w14:textId="172DAD9E" w:rsidR="00072A39" w:rsidRPr="00464B4C" w:rsidRDefault="00072A39" w:rsidP="00072A39">
            <w:pPr>
              <w:spacing w:after="60"/>
              <w:rPr>
                <w:rFonts w:eastAsia="Times New Roman" w:cs="Cambria"/>
                <w:color w:val="000000" w:themeColor="text1"/>
                <w:szCs w:val="20"/>
                <w:lang w:eastAsia="fr-FR"/>
              </w:rPr>
            </w:pPr>
            <w:r w:rsidRPr="00132C1E">
              <w:t xml:space="preserve">is the design rocking moment of the </w:t>
            </w:r>
            <w:r w:rsidRPr="00132C1E">
              <w:rPr>
                <w:i/>
              </w:rPr>
              <w:t>j</w:t>
            </w:r>
            <w:r w:rsidRPr="005156DD">
              <w:rPr>
                <w:iCs/>
                <w:vertAlign w:val="superscript"/>
              </w:rPr>
              <w:t>th</w:t>
            </w:r>
            <w:r w:rsidRPr="00132C1E">
              <w:t xml:space="preserve"> shear wall at the </w:t>
            </w:r>
            <w:r w:rsidRPr="00132C1E">
              <w:rPr>
                <w:i/>
              </w:rPr>
              <w:t>i</w:t>
            </w:r>
            <w:r w:rsidRPr="005156DD">
              <w:rPr>
                <w:iCs/>
                <w:vertAlign w:val="superscript"/>
              </w:rPr>
              <w:t>th</w:t>
            </w:r>
            <w:r w:rsidRPr="00132C1E">
              <w:t xml:space="preserve"> storey due to the seismic action;</w:t>
            </w:r>
          </w:p>
        </w:tc>
      </w:tr>
      <w:tr w:rsidR="00072A39" w:rsidRPr="000F2AFF" w14:paraId="6BF81292" w14:textId="77777777" w:rsidTr="008217FC">
        <w:tc>
          <w:tcPr>
            <w:tcW w:w="1275" w:type="dxa"/>
          </w:tcPr>
          <w:p w14:paraId="25B957D3" w14:textId="77777777" w:rsidR="00072A39" w:rsidRPr="000F2AFF" w:rsidRDefault="00072A39" w:rsidP="00072A39">
            <w:pPr>
              <w:spacing w:after="60"/>
              <w:jc w:val="left"/>
              <w:rPr>
                <w:rFonts w:eastAsia="Times New Roman" w:cs="Cambria"/>
                <w:color w:val="000000" w:themeColor="text1"/>
                <w:szCs w:val="20"/>
                <w:lang w:eastAsia="fr-FR"/>
              </w:rPr>
            </w:pPr>
            <w:r w:rsidRPr="00927C38">
              <w:rPr>
                <w:i/>
              </w:rPr>
              <w:t>N</w:t>
            </w:r>
            <w:r w:rsidRPr="00927C38">
              <w:rPr>
                <w:iCs/>
                <w:vertAlign w:val="subscript"/>
              </w:rPr>
              <w:t>i</w:t>
            </w:r>
          </w:p>
        </w:tc>
        <w:tc>
          <w:tcPr>
            <w:tcW w:w="7938" w:type="dxa"/>
          </w:tcPr>
          <w:p w14:paraId="526AF2F9" w14:textId="77777777" w:rsidR="00072A39" w:rsidRPr="00464B4C" w:rsidRDefault="00072A39" w:rsidP="00072A39">
            <w:pPr>
              <w:spacing w:after="60"/>
              <w:rPr>
                <w:rFonts w:eastAsia="Times New Roman" w:cs="Cambria"/>
                <w:color w:val="000000" w:themeColor="text1"/>
                <w:szCs w:val="20"/>
                <w:lang w:eastAsia="fr-FR"/>
              </w:rPr>
            </w:pPr>
            <w:r w:rsidRPr="00927C38">
              <w:t>is the number of shear</w:t>
            </w:r>
            <w:r>
              <w:t xml:space="preserve"> </w:t>
            </w:r>
            <w:r w:rsidRPr="00927C38">
              <w:t xml:space="preserve">walls parallel to the seismic action at the </w:t>
            </w:r>
            <w:r w:rsidRPr="00927C38">
              <w:rPr>
                <w:i/>
              </w:rPr>
              <w:t>i</w:t>
            </w:r>
            <w:r w:rsidRPr="00927C38">
              <w:rPr>
                <w:i/>
                <w:vertAlign w:val="superscript"/>
              </w:rPr>
              <w:t>th</w:t>
            </w:r>
            <w:r w:rsidRPr="00927C38">
              <w:t xml:space="preserve"> storey.</w:t>
            </w:r>
          </w:p>
        </w:tc>
      </w:tr>
    </w:tbl>
    <w:p w14:paraId="036A18DD" w14:textId="49156F0F" w:rsidR="00DF3AF1" w:rsidRPr="00132C1E" w:rsidRDefault="00DF3AF1" w:rsidP="00724E4E">
      <w:pPr>
        <w:pStyle w:val="Clause"/>
      </w:pPr>
      <w:r>
        <w:t xml:space="preserve">As an alternative to a rigorous approach using </w:t>
      </w:r>
      <w:r w:rsidRPr="00265754">
        <w:t xml:space="preserve">Formula (13.8) </w:t>
      </w:r>
      <w:r>
        <w:t xml:space="preserve">and </w:t>
      </w:r>
      <w:r w:rsidRPr="00265754">
        <w:t>Formula (13.</w:t>
      </w:r>
      <w:r>
        <w:t>17</w:t>
      </w:r>
      <w:r w:rsidRPr="00265754">
        <w:t>)</w:t>
      </w:r>
      <w:r>
        <w:t>,</w:t>
      </w:r>
      <w:r w:rsidRPr="00265754">
        <w:t xml:space="preserve"> </w:t>
      </w:r>
      <w:r>
        <w:t>t</w:t>
      </w:r>
      <w:r w:rsidRPr="00AC7F57">
        <w:t xml:space="preserve">he minimum value of all overstrength ratios </w:t>
      </w:r>
      <m:oMath>
        <m:sSub>
          <m:sSubPr>
            <m:ctrlPr>
              <w:rPr>
                <w:rFonts w:ascii="Cambria Math" w:hAnsi="Cambria Math"/>
              </w:rPr>
            </m:ctrlPr>
          </m:sSubPr>
          <m:e>
            <m:r>
              <w:rPr>
                <w:rFonts w:ascii="Cambria Math" w:hAnsi="Cambria Math"/>
              </w:rPr>
              <m:t>Ω</m:t>
            </m:r>
          </m:e>
          <m:sub>
            <m:r>
              <m:rPr>
                <m:sty m:val="p"/>
              </m:rPr>
              <w:rPr>
                <w:rFonts w:ascii="Cambria Math" w:hAnsi="Cambria Math"/>
              </w:rPr>
              <m:t>d</m:t>
            </m:r>
          </m:sub>
        </m:sSub>
        <m:r>
          <m:rPr>
            <m:sty m:val="p"/>
          </m:rPr>
          <w:rPr>
            <w:rFonts w:ascii="Cambria Math" w:hAnsi="Cambria Math"/>
          </w:rPr>
          <m:t xml:space="preserve"> </m:t>
        </m:r>
      </m:oMath>
      <w:r>
        <w:t>may</w:t>
      </w:r>
      <w:r w:rsidRPr="004E2E4D">
        <w:t xml:space="preserve"> be assumed to be equal to 1</w:t>
      </w:r>
      <w:r>
        <w:t>,</w:t>
      </w:r>
      <w:r w:rsidRPr="004E2E4D">
        <w:t>1.</w:t>
      </w:r>
    </w:p>
    <w:p w14:paraId="1848863E" w14:textId="56525ECD" w:rsidR="00DF3AF1" w:rsidRPr="00132C1E" w:rsidRDefault="00DF3AF1" w:rsidP="00724E4E">
      <w:pPr>
        <w:pStyle w:val="Clause"/>
      </w:pPr>
      <w:r w:rsidRPr="00835C82">
        <w:t>13.7.2(9)</w:t>
      </w:r>
      <w:r w:rsidRPr="00132C1E">
        <w:t xml:space="preserve"> should be applied for the ductility of the dissipative connections defined in </w:t>
      </w:r>
      <w:r w:rsidRPr="00835C82">
        <w:t>(3)</w:t>
      </w:r>
      <w:r w:rsidRPr="00132C1E">
        <w:t>.</w:t>
      </w:r>
    </w:p>
    <w:p w14:paraId="3152B597" w14:textId="310BBBD6" w:rsidR="00DF3AF1" w:rsidRPr="00132C1E" w:rsidRDefault="00DF3AF1" w:rsidP="00724E4E">
      <w:pPr>
        <w:pStyle w:val="Clause"/>
      </w:pPr>
      <w:r w:rsidRPr="00835C82">
        <w:t>13.7.2(10)</w:t>
      </w:r>
      <w:r w:rsidRPr="00132C1E">
        <w:t xml:space="preserve"> should be applied to the dissipative connections defined in </w:t>
      </w:r>
      <w:r w:rsidRPr="00835C82">
        <w:t>(3)</w:t>
      </w:r>
      <w:r w:rsidRPr="00132C1E">
        <w:t>.</w:t>
      </w:r>
    </w:p>
    <w:p w14:paraId="4D0D3D1E" w14:textId="2A31C0A8" w:rsidR="00DF3AF1" w:rsidRPr="00132C1E" w:rsidRDefault="00DF3AF1" w:rsidP="00724E4E">
      <w:pPr>
        <w:pStyle w:val="Clause"/>
      </w:pPr>
      <w:r w:rsidRPr="00835C82">
        <w:t>13.7.2(11)</w:t>
      </w:r>
      <w:r w:rsidRPr="00132C1E">
        <w:t xml:space="preserve"> should be applied.</w:t>
      </w:r>
    </w:p>
    <w:p w14:paraId="0FEE8AE2" w14:textId="51BF2855" w:rsidR="00DF3AF1" w:rsidRPr="00132C1E" w:rsidRDefault="00DF3AF1" w:rsidP="00DF3AF1">
      <w:pPr>
        <w:pStyle w:val="Heading3"/>
      </w:pPr>
      <w:bookmarkStart w:id="10384" w:name="_Toc520573581"/>
      <w:bookmarkStart w:id="10385" w:name="_Toc2160632"/>
      <w:bookmarkStart w:id="10386" w:name="_Toc17491752"/>
      <w:bookmarkStart w:id="10387" w:name="_Toc50150585"/>
      <w:bookmarkStart w:id="10388" w:name="_Toc70887017"/>
      <w:bookmarkStart w:id="10389" w:name="_Toc108342587"/>
      <w:bookmarkStart w:id="10390" w:name="_Toc134198109"/>
      <w:r>
        <w:t>Verification in</w:t>
      </w:r>
      <w:r w:rsidRPr="00132C1E">
        <w:t xml:space="preserve"> DC3</w:t>
      </w:r>
      <w:bookmarkEnd w:id="10384"/>
      <w:bookmarkEnd w:id="10385"/>
      <w:bookmarkEnd w:id="10386"/>
      <w:bookmarkEnd w:id="10387"/>
      <w:bookmarkEnd w:id="10388"/>
      <w:bookmarkEnd w:id="10389"/>
      <w:bookmarkEnd w:id="10390"/>
    </w:p>
    <w:p w14:paraId="4D52B18E" w14:textId="2A34017E" w:rsidR="00DF3AF1" w:rsidRPr="00B33E3E" w:rsidRDefault="00DF3AF1" w:rsidP="0080187E">
      <w:pPr>
        <w:pStyle w:val="Clause"/>
        <w:numPr>
          <w:ilvl w:val="0"/>
          <w:numId w:val="463"/>
        </w:numPr>
      </w:pPr>
      <w:r w:rsidRPr="00132C1E">
        <w:t xml:space="preserve">In </w:t>
      </w:r>
      <w:r w:rsidRPr="00DF3AF1">
        <w:t xml:space="preserve">framed wall structures </w:t>
      </w:r>
      <w:r w:rsidRPr="00132C1E">
        <w:t xml:space="preserve">designed for DC3, only plywood or OSB panels as defined in </w:t>
      </w:r>
      <w:r w:rsidRPr="00835C82">
        <w:t>13.3.2(4)</w:t>
      </w:r>
      <w:r w:rsidRPr="00132C1E">
        <w:t xml:space="preserve"> should be used as sheathing material. The sheathing material should be connected to the wall framing only by means of nails</w:t>
      </w:r>
      <w:r w:rsidRPr="003C131A">
        <w:rPr>
          <w:vertAlign w:val="superscript"/>
        </w:rPr>
        <w:t xml:space="preserve"> </w:t>
      </w:r>
      <w:r w:rsidRPr="00132C1E">
        <w:t>according to EN</w:t>
      </w:r>
      <w:r w:rsidR="0075055D">
        <w:t> </w:t>
      </w:r>
      <w:r w:rsidRPr="00132C1E">
        <w:t>14592</w:t>
      </w:r>
      <w:r w:rsidR="00155F8D">
        <w:t>:2022</w:t>
      </w:r>
      <w:r w:rsidRPr="00132C1E">
        <w:t xml:space="preserve">, </w:t>
      </w:r>
      <w:r w:rsidRPr="00835C82">
        <w:t>Annex F</w:t>
      </w:r>
      <w:r w:rsidRPr="00132C1E">
        <w:t xml:space="preserve">. Stapled and screw connections should not be used for the sheathing-to-frame connection. For smooth nails, the </w:t>
      </w:r>
      <w:r>
        <w:t>anchorage depth</w:t>
      </w:r>
      <w:r w:rsidRPr="00132C1E">
        <w:t xml:space="preserve"> </w:t>
      </w:r>
      <w:r w:rsidRPr="003C131A">
        <w:rPr>
          <w:i/>
        </w:rPr>
        <w:t>t</w:t>
      </w:r>
      <w:r w:rsidRPr="003C131A">
        <w:rPr>
          <w:vertAlign w:val="subscript"/>
        </w:rPr>
        <w:t>w</w:t>
      </w:r>
      <w:r w:rsidRPr="00132C1E">
        <w:t xml:space="preserve"> should be increased by </w:t>
      </w:r>
      <w:r w:rsidRPr="00B33E3E">
        <w:t>25</w:t>
      </w:r>
      <w:r w:rsidR="00D4445A">
        <w:t> </w:t>
      </w:r>
      <w:r w:rsidRPr="00B33E3E">
        <w:t xml:space="preserve">% compared to the minimum values according to </w:t>
      </w:r>
      <w:r w:rsidR="007F3697">
        <w:t>prEN </w:t>
      </w:r>
      <w:r w:rsidR="006067DF">
        <w:t>1995-1-1:2023</w:t>
      </w:r>
      <w:r w:rsidRPr="00B33E3E">
        <w:t xml:space="preserve">, </w:t>
      </w:r>
      <w:r w:rsidRPr="00835C82">
        <w:t>11.2.3</w:t>
      </w:r>
      <w:r w:rsidRPr="00B33E3E">
        <w:t>,</w:t>
      </w:r>
      <w:r w:rsidRPr="00835C82">
        <w:t xml:space="preserve"> </w:t>
      </w:r>
      <w:r w:rsidRPr="00B33E3E">
        <w:t>Table</w:t>
      </w:r>
      <w:r w:rsidR="008618F2">
        <w:t> </w:t>
      </w:r>
      <w:r w:rsidRPr="00B33E3E">
        <w:t>11.2.</w:t>
      </w:r>
    </w:p>
    <w:p w14:paraId="787269ED" w14:textId="644A6D8F" w:rsidR="00DF3AF1" w:rsidRPr="00132C1E" w:rsidRDefault="00DF3AF1" w:rsidP="00724E4E">
      <w:pPr>
        <w:pStyle w:val="Clause"/>
      </w:pPr>
      <w:r w:rsidRPr="00835C82">
        <w:t>13.8.2(2)</w:t>
      </w:r>
      <w:r w:rsidRPr="00132C1E">
        <w:t xml:space="preserve"> should be applied.</w:t>
      </w:r>
    </w:p>
    <w:p w14:paraId="5856A507" w14:textId="1659E36A" w:rsidR="00DF3AF1" w:rsidRPr="00132C1E" w:rsidRDefault="00DF3AF1" w:rsidP="00724E4E">
      <w:pPr>
        <w:pStyle w:val="Clause"/>
      </w:pPr>
      <w:r w:rsidRPr="00132C1E">
        <w:t>Connections with dissipative behaviour should be only the nailed connections between sheathing material and timber frame in the shear walls.</w:t>
      </w:r>
    </w:p>
    <w:p w14:paraId="0F05E82B" w14:textId="11761288" w:rsidR="00DF3AF1" w:rsidRPr="00132C1E" w:rsidRDefault="00DF3AF1" w:rsidP="00724E4E">
      <w:pPr>
        <w:pStyle w:val="Clause"/>
      </w:pPr>
      <w:r w:rsidRPr="00132C1E">
        <w:t>Capacity designed structural members should be (Figure 13.</w:t>
      </w:r>
      <w:r>
        <w:t>8</w:t>
      </w:r>
      <w:r w:rsidRPr="00132C1E">
        <w:t>) all elements, 2D- and 3D-</w:t>
      </w:r>
      <w:r w:rsidRPr="00DF3AF1">
        <w:t>connectors</w:t>
      </w:r>
      <w:r w:rsidRPr="00132C1E">
        <w:t>, and connections except nails in dissipative zones, listed in a) to c):</w:t>
      </w:r>
    </w:p>
    <w:p w14:paraId="70A87F4D" w14:textId="77777777" w:rsidR="00DF3AF1" w:rsidRPr="00132C1E" w:rsidRDefault="00DF3AF1" w:rsidP="0080187E">
      <w:pPr>
        <w:pStyle w:val="Text"/>
        <w:numPr>
          <w:ilvl w:val="0"/>
          <w:numId w:val="674"/>
        </w:numPr>
      </w:pPr>
      <w:r w:rsidRPr="00132C1E">
        <w:t xml:space="preserve">all those given in a) to e) </w:t>
      </w:r>
      <w:r w:rsidRPr="0062443F">
        <w:t>in 13.8.2(4);</w:t>
      </w:r>
    </w:p>
    <w:p w14:paraId="0B28AA55" w14:textId="77777777" w:rsidR="00DF3AF1" w:rsidRPr="00132C1E" w:rsidRDefault="00DF3AF1" w:rsidP="0080187E">
      <w:pPr>
        <w:pStyle w:val="Text"/>
        <w:numPr>
          <w:ilvl w:val="0"/>
          <w:numId w:val="674"/>
        </w:numPr>
      </w:pPr>
      <w:r w:rsidRPr="00132C1E">
        <w:t>shear connections between upper and lower walls, and between walls and foundation;</w:t>
      </w:r>
    </w:p>
    <w:p w14:paraId="321B2E03" w14:textId="76D1CEC8" w:rsidR="00DF3AF1" w:rsidRPr="00132C1E" w:rsidRDefault="00DF3AF1" w:rsidP="0080187E">
      <w:pPr>
        <w:pStyle w:val="Text"/>
        <w:numPr>
          <w:ilvl w:val="0"/>
          <w:numId w:val="674"/>
        </w:numPr>
      </w:pPr>
      <w:r w:rsidRPr="00DF3AF1">
        <w:t xml:space="preserve">anchoring connections against overturning placed </w:t>
      </w:r>
      <w:r w:rsidRPr="00132C1E">
        <w:t>at wall ends and at wall openings.</w:t>
      </w:r>
    </w:p>
    <w:p w14:paraId="57C0E63B" w14:textId="79B1A7A5" w:rsidR="00DF3AF1" w:rsidRDefault="00DF3AF1" w:rsidP="00724E4E">
      <w:pPr>
        <w:pStyle w:val="Clause"/>
      </w:pPr>
      <w:r w:rsidRPr="00132C1E">
        <w:t xml:space="preserve">The non-dissipative structural </w:t>
      </w:r>
      <w:r w:rsidRPr="00DF3AF1">
        <w:t xml:space="preserve">members, 2D- and 3D-connectors </w:t>
      </w:r>
      <w:r w:rsidRPr="00132C1E">
        <w:t xml:space="preserve">and connections listed from a) to c) in </w:t>
      </w:r>
      <w:r w:rsidRPr="00835C82">
        <w:t>(4)</w:t>
      </w:r>
      <w:r w:rsidRPr="00132C1E">
        <w:t xml:space="preserve"> should satisfy Formula (13.7) with </w:t>
      </w:r>
      <w:r w:rsidRPr="00132C1E">
        <w:rPr>
          <w:i/>
        </w:rPr>
        <w:t>Ω</w:t>
      </w:r>
      <w:r w:rsidRPr="00132C1E">
        <w:rPr>
          <w:vertAlign w:val="subscript"/>
        </w:rPr>
        <w:t xml:space="preserve">d </w:t>
      </w:r>
      <w:r w:rsidRPr="00132C1E">
        <w:t xml:space="preserve">given by Formula (13.8) and </w:t>
      </w:r>
      <w:r w:rsidRPr="00132C1E">
        <w:rPr>
          <w:i/>
        </w:rPr>
        <w:t>Ω</w:t>
      </w:r>
      <w:r w:rsidRPr="00132C1E">
        <w:rPr>
          <w:vertAlign w:val="subscript"/>
        </w:rPr>
        <w:t xml:space="preserve">d,i </w:t>
      </w:r>
      <w:r w:rsidRPr="00132C1E">
        <w:t>given by Formula (13.1</w:t>
      </w:r>
      <w:r>
        <w:t>8</w:t>
      </w:r>
      <w:r w:rsidRPr="00132C1E">
        <w:t>).</w:t>
      </w:r>
    </w:p>
    <w:p w14:paraId="18663A62" w14:textId="7479132E" w:rsidR="00DF3AF1" w:rsidRDefault="009B5CEC" w:rsidP="00DF3AF1">
      <w:pPr>
        <w:pStyle w:val="Formula"/>
        <w:spacing w:before="240"/>
      </w:pPr>
      <m:oMath>
        <m:sSub>
          <m:sSubPr>
            <m:ctrlPr>
              <w:rPr>
                <w:rFonts w:ascii="Cambria Math" w:hAnsi="Cambria Math"/>
              </w:rPr>
            </m:ctrlPr>
          </m:sSubPr>
          <m:e>
            <m:r>
              <w:rPr>
                <w:rFonts w:ascii="Cambria Math" w:hAnsi="Cambria Math"/>
              </w:rPr>
              <m:t>Ω</m:t>
            </m:r>
          </m:e>
          <m:sub>
            <m:r>
              <m:rPr>
                <m:sty m:val="p"/>
              </m:rPr>
              <w:rPr>
                <w:rFonts w:ascii="Cambria Math" w:hAnsi="Cambria Math"/>
              </w:rPr>
              <m:t>d,i</m:t>
            </m:r>
          </m:sub>
        </m:sSub>
        <m:r>
          <w:rPr>
            <w:rFonts w:ascii="Cambria Math" w:hAnsi="Cambria Math"/>
          </w:rPr>
          <m:t>=</m:t>
        </m:r>
        <m:f>
          <m:fPr>
            <m:ctrlPr>
              <w:rPr>
                <w:rFonts w:ascii="Cambria Math" w:hAnsi="Cambria Math"/>
              </w:rPr>
            </m:ctrlPr>
          </m:fPr>
          <m:num>
            <m:nary>
              <m:naryPr>
                <m:chr m:val="∑"/>
                <m:limLoc m:val="undOvr"/>
                <m:ctrlPr>
                  <w:rPr>
                    <w:rFonts w:ascii="Cambria Math" w:hAnsi="Cambria Math"/>
                  </w:rPr>
                </m:ctrlPr>
              </m:naryPr>
              <m:sub>
                <m:r>
                  <w:rPr>
                    <w:rFonts w:ascii="Cambria Math" w:hAnsi="Cambria Math"/>
                  </w:rPr>
                  <m:t>j=1</m:t>
                </m:r>
              </m:sub>
              <m:sup>
                <m:sSub>
                  <m:sSubPr>
                    <m:ctrlPr>
                      <w:rPr>
                        <w:rFonts w:ascii="Cambria Math" w:hAnsi="Cambria Math"/>
                      </w:rPr>
                    </m:ctrlPr>
                  </m:sSubPr>
                  <m:e>
                    <m:r>
                      <w:rPr>
                        <w:rFonts w:ascii="Cambria Math" w:hAnsi="Cambria Math"/>
                      </w:rPr>
                      <m:t>N</m:t>
                    </m:r>
                  </m:e>
                  <m:sub>
                    <m:r>
                      <m:rPr>
                        <m:sty m:val="p"/>
                      </m:rPr>
                      <w:rPr>
                        <w:rFonts w:ascii="Cambria Math" w:hAnsi="Cambria Math"/>
                      </w:rPr>
                      <m:t>i</m:t>
                    </m:r>
                  </m:sub>
                </m:sSub>
              </m:sup>
              <m:e>
                <m:d>
                  <m:dPr>
                    <m:begChr m:val="|"/>
                    <m:endChr m:val="|"/>
                    <m:ctrlPr>
                      <w:rPr>
                        <w:rFonts w:ascii="Cambria Math" w:hAnsi="Cambria Math"/>
                      </w:rPr>
                    </m:ctrlPr>
                  </m:dPr>
                  <m:e>
                    <m:sSub>
                      <m:sSubPr>
                        <m:ctrlPr>
                          <w:rPr>
                            <w:rFonts w:ascii="Cambria Math" w:hAnsi="Cambria Math"/>
                          </w:rPr>
                        </m:ctrlPr>
                      </m:sSubPr>
                      <m:e>
                        <m:r>
                          <w:rPr>
                            <w:rFonts w:ascii="Cambria Math" w:hAnsi="Cambria Math"/>
                          </w:rPr>
                          <m:t>ν</m:t>
                        </m:r>
                      </m:e>
                      <m:sub>
                        <m:r>
                          <m:rPr>
                            <m:sty m:val="p"/>
                          </m:rPr>
                          <w:rPr>
                            <w:rFonts w:ascii="Cambria Math" w:hAnsi="Cambria Math"/>
                          </w:rPr>
                          <m:t>Rd,sh,i,j</m:t>
                        </m:r>
                      </m:sub>
                    </m:sSub>
                  </m:e>
                </m:d>
              </m:e>
            </m:nary>
          </m:num>
          <m:den>
            <m:nary>
              <m:naryPr>
                <m:chr m:val="∑"/>
                <m:limLoc m:val="undOvr"/>
                <m:ctrlPr>
                  <w:rPr>
                    <w:rFonts w:ascii="Cambria Math" w:hAnsi="Cambria Math"/>
                  </w:rPr>
                </m:ctrlPr>
              </m:naryPr>
              <m:sub>
                <m:r>
                  <w:rPr>
                    <w:rFonts w:ascii="Cambria Math" w:hAnsi="Cambria Math"/>
                  </w:rPr>
                  <m:t>j=1</m:t>
                </m:r>
              </m:sub>
              <m:sup>
                <m:sSub>
                  <m:sSubPr>
                    <m:ctrlPr>
                      <w:rPr>
                        <w:rFonts w:ascii="Cambria Math" w:hAnsi="Cambria Math"/>
                      </w:rPr>
                    </m:ctrlPr>
                  </m:sSubPr>
                  <m:e>
                    <m:r>
                      <w:rPr>
                        <w:rFonts w:ascii="Cambria Math" w:hAnsi="Cambria Math"/>
                      </w:rPr>
                      <m:t>N</m:t>
                    </m:r>
                  </m:e>
                  <m:sub>
                    <m:r>
                      <m:rPr>
                        <m:sty m:val="p"/>
                      </m:rPr>
                      <w:rPr>
                        <w:rFonts w:ascii="Cambria Math" w:hAnsi="Cambria Math"/>
                      </w:rPr>
                      <m:t>i</m:t>
                    </m:r>
                  </m:sub>
                </m:sSub>
              </m:sup>
              <m:e>
                <m:d>
                  <m:dPr>
                    <m:begChr m:val="|"/>
                    <m:endChr m:val="|"/>
                    <m:ctrlPr>
                      <w:rPr>
                        <w:rFonts w:ascii="Cambria Math" w:hAnsi="Cambria Math"/>
                      </w:rPr>
                    </m:ctrlPr>
                  </m:dPr>
                  <m:e>
                    <m:sSub>
                      <m:sSubPr>
                        <m:ctrlPr>
                          <w:rPr>
                            <w:rFonts w:ascii="Cambria Math" w:hAnsi="Cambria Math"/>
                          </w:rPr>
                        </m:ctrlPr>
                      </m:sSubPr>
                      <m:e>
                        <m:r>
                          <w:rPr>
                            <w:rFonts w:ascii="Cambria Math" w:hAnsi="Cambria Math"/>
                          </w:rPr>
                          <m:t>ν</m:t>
                        </m:r>
                      </m:e>
                      <m:sub>
                        <m:r>
                          <m:rPr>
                            <m:sty m:val="p"/>
                          </m:rPr>
                          <w:rPr>
                            <w:rFonts w:ascii="Cambria Math" w:hAnsi="Cambria Math"/>
                          </w:rPr>
                          <m:t>Ed,E,i,j</m:t>
                        </m:r>
                      </m:sub>
                    </m:sSub>
                  </m:e>
                </m:d>
              </m:e>
            </m:nary>
          </m:den>
        </m:f>
        <m:r>
          <m:rPr>
            <m:sty m:val="p"/>
          </m:rPr>
          <w:rPr>
            <w:rFonts w:ascii="Cambria Math" w:hAnsi="Cambria Math"/>
          </w:rPr>
          <m:t xml:space="preserve"> </m:t>
        </m:r>
      </m:oMath>
      <w:r w:rsidR="00DF3AF1" w:rsidRPr="00870D59">
        <w:tab/>
        <w:t>(1</w:t>
      </w:r>
      <w:r w:rsidR="00DF3AF1">
        <w:t>3</w:t>
      </w:r>
      <w:r w:rsidR="00DF3AF1" w:rsidRPr="00870D59">
        <w:t>.</w:t>
      </w:r>
      <w:r w:rsidR="00DF3AF1">
        <w:t>1</w:t>
      </w:r>
      <w:r w:rsidR="009762DF">
        <w:t>8</w:t>
      </w:r>
      <w:r w:rsidR="00DF3AF1" w:rsidRPr="00870D59">
        <w:t>)</w:t>
      </w:r>
    </w:p>
    <w:p w14:paraId="24DA8EC8" w14:textId="20775A5E" w:rsidR="00DF3AF1" w:rsidRPr="001B2671" w:rsidRDefault="00675EBA" w:rsidP="00DF3AF1">
      <w:pPr>
        <w:pStyle w:val="BodyText"/>
      </w:pPr>
      <w:r>
        <w:t>where</w:t>
      </w:r>
    </w:p>
    <w:tbl>
      <w:tblPr>
        <w:tblW w:w="0" w:type="auto"/>
        <w:tblInd w:w="346" w:type="dxa"/>
        <w:tblLook w:val="04A0" w:firstRow="1" w:lastRow="0" w:firstColumn="1" w:lastColumn="0" w:noHBand="0" w:noVBand="1"/>
      </w:tblPr>
      <w:tblGrid>
        <w:gridCol w:w="1275"/>
        <w:gridCol w:w="7938"/>
      </w:tblGrid>
      <w:tr w:rsidR="00DF3AF1" w:rsidRPr="000F2AFF" w14:paraId="14A49A8B" w14:textId="77777777" w:rsidTr="008217FC">
        <w:tc>
          <w:tcPr>
            <w:tcW w:w="1275" w:type="dxa"/>
          </w:tcPr>
          <w:p w14:paraId="6FA44593" w14:textId="77777777" w:rsidR="00DF3AF1" w:rsidRPr="000F2AFF" w:rsidRDefault="00DF3AF1" w:rsidP="002061E5">
            <w:pPr>
              <w:spacing w:after="60"/>
              <w:jc w:val="left"/>
              <w:rPr>
                <w:rFonts w:eastAsia="Times New Roman" w:cs="Cambria"/>
                <w:color w:val="000000" w:themeColor="text1"/>
                <w:szCs w:val="20"/>
                <w:lang w:eastAsia="fr-FR"/>
              </w:rPr>
            </w:pPr>
            <w:r w:rsidRPr="007E6F67">
              <w:rPr>
                <w:i/>
              </w:rPr>
              <w:t>V</w:t>
            </w:r>
            <w:r w:rsidRPr="00FD17CF">
              <w:rPr>
                <w:vertAlign w:val="subscript"/>
              </w:rPr>
              <w:t>Rd,sh,i,j</w:t>
            </w:r>
          </w:p>
        </w:tc>
        <w:tc>
          <w:tcPr>
            <w:tcW w:w="7938" w:type="dxa"/>
          </w:tcPr>
          <w:p w14:paraId="0C0E1E14" w14:textId="77262727" w:rsidR="00DF3AF1" w:rsidRPr="00DF3AF1" w:rsidRDefault="00DF3AF1" w:rsidP="002061E5">
            <w:pPr>
              <w:spacing w:after="60"/>
              <w:rPr>
                <w:rFonts w:eastAsia="Times New Roman" w:cs="Cambria"/>
                <w:szCs w:val="20"/>
                <w:lang w:eastAsia="fr-FR"/>
              </w:rPr>
            </w:pPr>
            <w:r w:rsidRPr="00DF3AF1">
              <w:t xml:space="preserve">is the design lateral strength related to connections between sheathing material and timber frame of the </w:t>
            </w:r>
            <w:r w:rsidRPr="00DF3AF1">
              <w:rPr>
                <w:i/>
              </w:rPr>
              <w:t>j</w:t>
            </w:r>
            <w:r w:rsidRPr="00DF3AF1">
              <w:rPr>
                <w:iCs/>
                <w:vertAlign w:val="superscript"/>
              </w:rPr>
              <w:t>th</w:t>
            </w:r>
            <w:r w:rsidRPr="00DF3AF1">
              <w:t xml:space="preserve"> </w:t>
            </w:r>
            <w:r w:rsidRPr="0062443F">
              <w:t xml:space="preserve">shear wall at the </w:t>
            </w:r>
            <w:r w:rsidRPr="0062443F">
              <w:rPr>
                <w:i/>
              </w:rPr>
              <w:t>i</w:t>
            </w:r>
            <w:r w:rsidRPr="0062443F">
              <w:rPr>
                <w:iCs/>
                <w:vertAlign w:val="superscript"/>
              </w:rPr>
              <w:t>th</w:t>
            </w:r>
            <w:r w:rsidRPr="0062443F">
              <w:t xml:space="preserve"> storey calculated according to </w:t>
            </w:r>
            <w:r w:rsidR="007F3697" w:rsidRPr="0062443F">
              <w:t>prEN </w:t>
            </w:r>
            <w:r w:rsidR="006067DF">
              <w:t>1995-1-1:2023</w:t>
            </w:r>
            <w:r w:rsidRPr="0062443F">
              <w:t>, 13.3.2, Formula</w:t>
            </w:r>
            <w:r w:rsidRPr="00DF3AF1">
              <w:t xml:space="preserve"> (13.13)</w:t>
            </w:r>
            <w:r w:rsidRPr="00DF3AF1">
              <w:rPr>
                <w:szCs w:val="24"/>
              </w:rPr>
              <w:t>;</w:t>
            </w:r>
          </w:p>
        </w:tc>
      </w:tr>
      <w:tr w:rsidR="00DF3AF1" w:rsidRPr="000F2AFF" w14:paraId="4D13BC3A" w14:textId="77777777" w:rsidTr="008217FC">
        <w:tc>
          <w:tcPr>
            <w:tcW w:w="1275" w:type="dxa"/>
          </w:tcPr>
          <w:p w14:paraId="1B51F70A" w14:textId="77777777" w:rsidR="00DF3AF1" w:rsidRPr="000F2AFF" w:rsidRDefault="00DF3AF1" w:rsidP="002061E5">
            <w:pPr>
              <w:spacing w:after="60"/>
              <w:jc w:val="left"/>
              <w:rPr>
                <w:rFonts w:eastAsia="Times New Roman" w:cs="Cambria"/>
                <w:color w:val="000000" w:themeColor="text1"/>
                <w:szCs w:val="20"/>
                <w:lang w:eastAsia="fr-FR"/>
              </w:rPr>
            </w:pPr>
            <w:r w:rsidRPr="00927C38">
              <w:rPr>
                <w:i/>
              </w:rPr>
              <w:t>V</w:t>
            </w:r>
            <w:r w:rsidRPr="00927C38">
              <w:rPr>
                <w:vertAlign w:val="subscript"/>
              </w:rPr>
              <w:t>Ed,E,i,j</w:t>
            </w:r>
          </w:p>
        </w:tc>
        <w:tc>
          <w:tcPr>
            <w:tcW w:w="7938" w:type="dxa"/>
          </w:tcPr>
          <w:p w14:paraId="327EFF45" w14:textId="77777777" w:rsidR="00DF3AF1" w:rsidRPr="00464B4C" w:rsidRDefault="00DF3AF1" w:rsidP="002061E5">
            <w:pPr>
              <w:spacing w:after="60"/>
              <w:rPr>
                <w:rFonts w:eastAsia="Times New Roman" w:cs="Cambria"/>
                <w:color w:val="000000" w:themeColor="text1"/>
                <w:szCs w:val="20"/>
                <w:lang w:eastAsia="fr-FR"/>
              </w:rPr>
            </w:pPr>
            <w:r w:rsidRPr="00132C1E">
              <w:t xml:space="preserve">is the design global shear of the </w:t>
            </w:r>
            <w:r w:rsidRPr="00132C1E">
              <w:rPr>
                <w:i/>
              </w:rPr>
              <w:t>j</w:t>
            </w:r>
            <w:r w:rsidRPr="005156DD">
              <w:rPr>
                <w:iCs/>
                <w:vertAlign w:val="superscript"/>
              </w:rPr>
              <w:t>th</w:t>
            </w:r>
            <w:r w:rsidRPr="00132C1E">
              <w:t xml:space="preserve"> shear wall at the </w:t>
            </w:r>
            <w:r w:rsidRPr="00132C1E">
              <w:rPr>
                <w:i/>
              </w:rPr>
              <w:t>i</w:t>
            </w:r>
            <w:r w:rsidRPr="005156DD">
              <w:rPr>
                <w:iCs/>
                <w:vertAlign w:val="superscript"/>
              </w:rPr>
              <w:t>th</w:t>
            </w:r>
            <w:r w:rsidRPr="00132C1E">
              <w:t xml:space="preserve"> storey due to the seismic action;</w:t>
            </w:r>
          </w:p>
        </w:tc>
      </w:tr>
      <w:tr w:rsidR="00DF3AF1" w:rsidRPr="000F2AFF" w14:paraId="5A91D54E" w14:textId="77777777" w:rsidTr="008217FC">
        <w:tc>
          <w:tcPr>
            <w:tcW w:w="1275" w:type="dxa"/>
          </w:tcPr>
          <w:p w14:paraId="0A3CCE82" w14:textId="77777777" w:rsidR="00DF3AF1" w:rsidRPr="000F2AFF" w:rsidRDefault="00DF3AF1" w:rsidP="002061E5">
            <w:pPr>
              <w:spacing w:after="60"/>
              <w:jc w:val="left"/>
              <w:rPr>
                <w:rFonts w:eastAsia="Times New Roman" w:cs="Cambria"/>
                <w:color w:val="000000" w:themeColor="text1"/>
                <w:szCs w:val="20"/>
                <w:lang w:eastAsia="fr-FR"/>
              </w:rPr>
            </w:pPr>
            <w:r w:rsidRPr="00927C38">
              <w:rPr>
                <w:i/>
              </w:rPr>
              <w:t>N</w:t>
            </w:r>
            <w:r w:rsidRPr="00927C38">
              <w:rPr>
                <w:iCs/>
                <w:vertAlign w:val="subscript"/>
              </w:rPr>
              <w:t>i</w:t>
            </w:r>
          </w:p>
        </w:tc>
        <w:tc>
          <w:tcPr>
            <w:tcW w:w="7938" w:type="dxa"/>
          </w:tcPr>
          <w:p w14:paraId="59CAF7D0" w14:textId="77777777" w:rsidR="00DF3AF1" w:rsidRPr="00464B4C" w:rsidRDefault="00DF3AF1" w:rsidP="002061E5">
            <w:pPr>
              <w:spacing w:after="60"/>
              <w:rPr>
                <w:rFonts w:eastAsia="Times New Roman" w:cs="Cambria"/>
                <w:color w:val="000000" w:themeColor="text1"/>
                <w:szCs w:val="20"/>
                <w:lang w:eastAsia="fr-FR"/>
              </w:rPr>
            </w:pPr>
            <w:r w:rsidRPr="00927C38">
              <w:t>is the number of shear</w:t>
            </w:r>
            <w:r>
              <w:t xml:space="preserve"> </w:t>
            </w:r>
            <w:r w:rsidRPr="00927C38">
              <w:t xml:space="preserve">walls parallel to the seismic action at the </w:t>
            </w:r>
            <w:r w:rsidRPr="00927C38">
              <w:rPr>
                <w:i/>
              </w:rPr>
              <w:t>i</w:t>
            </w:r>
            <w:r w:rsidRPr="00927C38">
              <w:rPr>
                <w:i/>
                <w:vertAlign w:val="superscript"/>
              </w:rPr>
              <w:t>th</w:t>
            </w:r>
            <w:r w:rsidRPr="00927C38">
              <w:t xml:space="preserve"> storey.</w:t>
            </w:r>
          </w:p>
        </w:tc>
      </w:tr>
    </w:tbl>
    <w:p w14:paraId="6D5CBF7F" w14:textId="39CFA794" w:rsidR="00C56C45" w:rsidRPr="00132C1E" w:rsidRDefault="00C56C45" w:rsidP="00724E4E">
      <w:pPr>
        <w:pStyle w:val="Clause"/>
      </w:pPr>
      <w:r w:rsidRPr="00835C82">
        <w:t>13.7.3(9)</w:t>
      </w:r>
      <w:r w:rsidRPr="00132C1E">
        <w:t xml:space="preserve"> should be applied. </w:t>
      </w:r>
    </w:p>
    <w:p w14:paraId="1A2B6AE4" w14:textId="6E5CA26B" w:rsidR="00C56C45" w:rsidRPr="00132C1E" w:rsidRDefault="00C56C45" w:rsidP="00724E4E">
      <w:pPr>
        <w:pStyle w:val="Clause"/>
      </w:pPr>
      <w:r w:rsidRPr="00835C82">
        <w:t>13.7.3(12)</w:t>
      </w:r>
      <w:r w:rsidRPr="00132C1E">
        <w:t xml:space="preserve"> should be applied for the ductility of the dissipative connections defined in </w:t>
      </w:r>
      <w:r w:rsidRPr="00835C82">
        <w:t>(3)</w:t>
      </w:r>
      <w:r w:rsidRPr="00132C1E">
        <w:t>.</w:t>
      </w:r>
    </w:p>
    <w:p w14:paraId="0EB07B22" w14:textId="72CFD1E9" w:rsidR="00C56C45" w:rsidRPr="00132C1E" w:rsidRDefault="00C56C45" w:rsidP="00724E4E">
      <w:pPr>
        <w:pStyle w:val="Clause"/>
      </w:pPr>
      <w:r w:rsidRPr="00835C82">
        <w:t>13.7.2(10)</w:t>
      </w:r>
      <w:r w:rsidRPr="00132C1E">
        <w:t xml:space="preserve"> should be applied to the dissipative connections defined in </w:t>
      </w:r>
      <w:r w:rsidRPr="00835C82">
        <w:t>(3)</w:t>
      </w:r>
      <w:r w:rsidRPr="00132C1E">
        <w:t>.</w:t>
      </w:r>
    </w:p>
    <w:p w14:paraId="237073B6" w14:textId="7D1A6E7C" w:rsidR="00C56C45" w:rsidRPr="00132C1E" w:rsidRDefault="00C56C45" w:rsidP="00C56C45">
      <w:pPr>
        <w:pStyle w:val="Heading3"/>
      </w:pPr>
      <w:bookmarkStart w:id="10391" w:name="_Toc520573584"/>
      <w:bookmarkStart w:id="10392" w:name="_Toc2160633"/>
      <w:bookmarkStart w:id="10393" w:name="_Toc17491753"/>
      <w:bookmarkStart w:id="10394" w:name="_Toc50150586"/>
      <w:bookmarkStart w:id="10395" w:name="_Toc70887018"/>
      <w:bookmarkStart w:id="10396" w:name="_Toc108342588"/>
      <w:bookmarkStart w:id="10397" w:name="_Toc134198110"/>
      <w:r w:rsidRPr="00132C1E">
        <w:t>Detailing rules</w:t>
      </w:r>
      <w:bookmarkEnd w:id="10391"/>
      <w:bookmarkEnd w:id="10392"/>
      <w:bookmarkEnd w:id="10393"/>
      <w:bookmarkEnd w:id="10394"/>
      <w:bookmarkEnd w:id="10395"/>
      <w:bookmarkEnd w:id="10396"/>
      <w:bookmarkEnd w:id="10397"/>
    </w:p>
    <w:p w14:paraId="2C13D4FA" w14:textId="38A7A810" w:rsidR="00C56C45" w:rsidRPr="00132C1E" w:rsidRDefault="00C56C45" w:rsidP="0080187E">
      <w:pPr>
        <w:pStyle w:val="Clause"/>
        <w:numPr>
          <w:ilvl w:val="0"/>
          <w:numId w:val="464"/>
        </w:numPr>
      </w:pPr>
      <w:r w:rsidRPr="00835C82">
        <w:t xml:space="preserve">13.7.4(1) </w:t>
      </w:r>
      <w:r w:rsidRPr="00132C1E">
        <w:t>should be applied.</w:t>
      </w:r>
    </w:p>
    <w:p w14:paraId="0FDE35B8" w14:textId="427F77D3" w:rsidR="00C56C45" w:rsidRPr="00132C1E" w:rsidRDefault="00C56C45" w:rsidP="00C56C45">
      <w:pPr>
        <w:pStyle w:val="Heading2"/>
      </w:pPr>
      <w:bookmarkStart w:id="10398" w:name="_Toc520573585"/>
      <w:bookmarkStart w:id="10399" w:name="_Toc2160634"/>
      <w:bookmarkStart w:id="10400" w:name="_Toc17491754"/>
      <w:bookmarkStart w:id="10401" w:name="_Toc50150587"/>
      <w:bookmarkStart w:id="10402" w:name="_Toc70887019"/>
      <w:bookmarkStart w:id="10403" w:name="_Toc108342589"/>
      <w:bookmarkStart w:id="10404" w:name="_Toc134198111"/>
      <w:r w:rsidRPr="00132C1E">
        <w:t>Rules for log structures</w:t>
      </w:r>
      <w:bookmarkEnd w:id="10398"/>
      <w:bookmarkEnd w:id="10399"/>
      <w:bookmarkEnd w:id="10400"/>
      <w:bookmarkEnd w:id="10401"/>
      <w:bookmarkEnd w:id="10402"/>
      <w:bookmarkEnd w:id="10403"/>
      <w:bookmarkEnd w:id="10404"/>
    </w:p>
    <w:p w14:paraId="5ABF7E7A" w14:textId="77F16405" w:rsidR="00C56C45" w:rsidRPr="00132C1E" w:rsidRDefault="00C56C45" w:rsidP="00C56C45">
      <w:pPr>
        <w:pStyle w:val="Heading3"/>
      </w:pPr>
      <w:bookmarkStart w:id="10405" w:name="_Toc520573586"/>
      <w:bookmarkStart w:id="10406" w:name="_Toc2160635"/>
      <w:bookmarkStart w:id="10407" w:name="_Toc17491755"/>
      <w:bookmarkStart w:id="10408" w:name="_Toc50150588"/>
      <w:bookmarkStart w:id="10409" w:name="_Toc70887020"/>
      <w:bookmarkStart w:id="10410" w:name="_Toc108342590"/>
      <w:bookmarkStart w:id="10411" w:name="_Toc134198112"/>
      <w:r w:rsidRPr="00132C1E">
        <w:t xml:space="preserve">General </w:t>
      </w:r>
      <w:r w:rsidR="008217FC">
        <w:t>r</w:t>
      </w:r>
      <w:r w:rsidRPr="00132C1E">
        <w:t>ules</w:t>
      </w:r>
      <w:bookmarkEnd w:id="10405"/>
      <w:bookmarkEnd w:id="10406"/>
      <w:bookmarkEnd w:id="10407"/>
      <w:bookmarkEnd w:id="10408"/>
      <w:bookmarkEnd w:id="10409"/>
      <w:bookmarkEnd w:id="10410"/>
      <w:bookmarkEnd w:id="10411"/>
    </w:p>
    <w:p w14:paraId="7F63F5B8" w14:textId="44538956" w:rsidR="00C56C45" w:rsidRPr="00132C1E" w:rsidRDefault="00C56C45" w:rsidP="0080187E">
      <w:pPr>
        <w:pStyle w:val="Clause"/>
        <w:numPr>
          <w:ilvl w:val="0"/>
          <w:numId w:val="465"/>
        </w:numPr>
      </w:pPr>
      <w:r w:rsidRPr="00132C1E">
        <w:t>The primary structure should be made by the superposition of rectangular or round solid or glulam elements (‘logs’), prefabricated with upper and lower grooves.</w:t>
      </w:r>
    </w:p>
    <w:p w14:paraId="38D68729" w14:textId="53C87EB5" w:rsidR="00C56C45" w:rsidRPr="00132C1E" w:rsidRDefault="00C56C45" w:rsidP="00724E4E">
      <w:pPr>
        <w:pStyle w:val="Clause"/>
      </w:pPr>
      <w:r w:rsidRPr="00132C1E">
        <w:t>The joint between orthogonal walls should be made by means of carpentry connections obtained by notching the logs of the two walls or by means of screws, dowels or bolts (Figure 13.</w:t>
      </w:r>
      <w:r>
        <w:t>9</w:t>
      </w:r>
      <w:r w:rsidRPr="00132C1E">
        <w:t>).</w:t>
      </w:r>
    </w:p>
    <w:p w14:paraId="190BF85A" w14:textId="4DB1D71F" w:rsidR="00C56C45" w:rsidRPr="00132C1E" w:rsidRDefault="00C56C45" w:rsidP="00724E4E">
      <w:pPr>
        <w:pStyle w:val="Clause"/>
      </w:pPr>
      <w:r w:rsidRPr="00132C1E">
        <w:t xml:space="preserve">Floor and roof diaphragms may be detailed according to </w:t>
      </w:r>
      <w:r w:rsidRPr="00835C82">
        <w:t>13.15.2</w:t>
      </w:r>
      <w:r w:rsidRPr="00132C1E">
        <w:t xml:space="preserve"> to </w:t>
      </w:r>
      <w:r w:rsidRPr="00835C82">
        <w:t>4</w:t>
      </w:r>
      <w:r w:rsidRPr="00132C1E">
        <w:t>.</w:t>
      </w:r>
    </w:p>
    <w:p w14:paraId="7B4360F8" w14:textId="3D9D14E3" w:rsidR="00C56C45" w:rsidRPr="00132C1E" w:rsidRDefault="00C56C45" w:rsidP="00724E4E">
      <w:pPr>
        <w:pStyle w:val="Clause"/>
      </w:pPr>
      <w:r w:rsidRPr="00835C82">
        <w:t>13.8.1(6)</w:t>
      </w:r>
      <w:r w:rsidRPr="00132C1E">
        <w:t xml:space="preserve"> to </w:t>
      </w:r>
      <w:r w:rsidRPr="00835C82">
        <w:t>(8)</w:t>
      </w:r>
      <w:r w:rsidRPr="00132C1E">
        <w:t xml:space="preserve"> and </w:t>
      </w:r>
      <w:r w:rsidRPr="00835C82">
        <w:t>13.8.1(10)</w:t>
      </w:r>
      <w:r w:rsidRPr="00132C1E">
        <w:t xml:space="preserve"> should be applied (Figure 13.</w:t>
      </w:r>
      <w:r>
        <w:t>9</w:t>
      </w:r>
      <w:r w:rsidRPr="00132C1E">
        <w:t>).</w:t>
      </w:r>
    </w:p>
    <w:p w14:paraId="62EC06D9" w14:textId="4C28C1DB" w:rsidR="00C56C45" w:rsidRPr="00132C1E" w:rsidRDefault="00917703" w:rsidP="00917703">
      <w:pPr>
        <w:pStyle w:val="FigureImage"/>
      </w:pPr>
      <w:r>
        <w:rPr>
          <w:noProof/>
        </w:rPr>
        <w:lastRenderedPageBreak/>
        <w:drawing>
          <wp:inline distT="0" distB="0" distL="0" distR="0" wp14:anchorId="52A1D596" wp14:editId="106EF948">
            <wp:extent cx="4140715" cy="2833121"/>
            <wp:effectExtent l="0" t="0" r="0" b="5715"/>
            <wp:docPr id="2081949440" name="0053.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1949440" name="0053.tiff"/>
                    <pic:cNvPicPr/>
                  </pic:nvPicPr>
                  <pic:blipFill>
                    <a:blip r:link="rId78"/>
                    <a:stretch>
                      <a:fillRect/>
                    </a:stretch>
                  </pic:blipFill>
                  <pic:spPr>
                    <a:xfrm>
                      <a:off x="0" y="0"/>
                      <a:ext cx="4140715" cy="2833121"/>
                    </a:xfrm>
                    <a:prstGeom prst="rect">
                      <a:avLst/>
                    </a:prstGeom>
                  </pic:spPr>
                </pic:pic>
              </a:graphicData>
            </a:graphic>
          </wp:inline>
        </w:drawing>
      </w:r>
    </w:p>
    <w:p w14:paraId="13CF9D4F" w14:textId="77777777" w:rsidR="00C56C45" w:rsidRPr="00D1484A" w:rsidRDefault="00C56C45" w:rsidP="00917703">
      <w:pPr>
        <w:pStyle w:val="KeyTitle"/>
      </w:pPr>
      <w:r w:rsidRPr="00D1484A">
        <w:t>Key</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9"/>
        <w:gridCol w:w="9362"/>
      </w:tblGrid>
      <w:tr w:rsidR="00C56C45" w:rsidRPr="009B221D" w14:paraId="3D12E7F9" w14:textId="77777777" w:rsidTr="008618F2">
        <w:tc>
          <w:tcPr>
            <w:tcW w:w="389" w:type="dxa"/>
          </w:tcPr>
          <w:p w14:paraId="1ED29773" w14:textId="77777777" w:rsidR="00C56C45" w:rsidRPr="008618F2" w:rsidRDefault="00C56C45" w:rsidP="008618F2">
            <w:pPr>
              <w:pStyle w:val="KeyText"/>
              <w:spacing w:before="0"/>
              <w:rPr>
                <w:iCs/>
              </w:rPr>
            </w:pPr>
            <w:r w:rsidRPr="008618F2">
              <w:rPr>
                <w:iCs/>
              </w:rPr>
              <w:t>A</w:t>
            </w:r>
          </w:p>
        </w:tc>
        <w:tc>
          <w:tcPr>
            <w:tcW w:w="9362" w:type="dxa"/>
          </w:tcPr>
          <w:p w14:paraId="1008CFA7" w14:textId="312BFCEB" w:rsidR="00C56C45" w:rsidRPr="008618F2" w:rsidRDefault="00917703" w:rsidP="008618F2">
            <w:pPr>
              <w:pStyle w:val="KeyText"/>
              <w:spacing w:before="0"/>
            </w:pPr>
            <w:r w:rsidRPr="008618F2">
              <w:t>p</w:t>
            </w:r>
            <w:r w:rsidR="00C56C45" w:rsidRPr="008618F2">
              <w:t>ossible steel rods as uplift restraint for timber logs</w:t>
            </w:r>
          </w:p>
        </w:tc>
      </w:tr>
    </w:tbl>
    <w:p w14:paraId="195A1F0A" w14:textId="3AF01652" w:rsidR="00C56C45" w:rsidRPr="00E05E29" w:rsidRDefault="00C56C45" w:rsidP="00991897">
      <w:pPr>
        <w:pStyle w:val="Figuretitle"/>
      </w:pPr>
      <w:r w:rsidRPr="00132C1E">
        <w:t xml:space="preserve">Figure </w:t>
      </w:r>
      <w:r w:rsidR="0062443F">
        <w:t>13</w:t>
      </w:r>
      <w:r w:rsidRPr="00132C1E">
        <w:t>.</w:t>
      </w:r>
      <w:r>
        <w:t>9</w:t>
      </w:r>
      <w:r w:rsidRPr="00D1484A">
        <w:t> </w:t>
      </w:r>
      <w:r w:rsidRPr="00D1484A">
        <w:rPr>
          <w:rFonts w:ascii="`ÃÍœ˛" w:eastAsia="Cambria" w:hAnsi="`ÃÍœ˛" w:cs="`ÃÍœ˛"/>
          <w:szCs w:val="22"/>
          <w:lang w:eastAsia="de-DE"/>
        </w:rPr>
        <w:t>—</w:t>
      </w:r>
      <w:r w:rsidRPr="00D1484A">
        <w:t> </w:t>
      </w:r>
      <w:r w:rsidRPr="007E6F67">
        <w:t>Typical corner joint and connection</w:t>
      </w:r>
      <w:r w:rsidRPr="00FD17CF">
        <w:t xml:space="preserve"> details in log </w:t>
      </w:r>
      <w:r w:rsidRPr="00E05E29">
        <w:t>structures</w:t>
      </w:r>
    </w:p>
    <w:p w14:paraId="31658578" w14:textId="03FE08B0" w:rsidR="00C56C45" w:rsidRPr="002144A0" w:rsidRDefault="00C56C45" w:rsidP="00724E4E">
      <w:pPr>
        <w:pStyle w:val="Clause"/>
      </w:pPr>
      <w:r w:rsidRPr="00196951">
        <w:t>Uplift of the logs due to overturning moment should be prevented by either a) or b):</w:t>
      </w:r>
    </w:p>
    <w:p w14:paraId="1EBE2756" w14:textId="5CD00787" w:rsidR="00C56C45" w:rsidRPr="00C52095" w:rsidRDefault="00C56C45" w:rsidP="0080187E">
      <w:pPr>
        <w:pStyle w:val="Text"/>
        <w:numPr>
          <w:ilvl w:val="0"/>
          <w:numId w:val="675"/>
        </w:numPr>
      </w:pPr>
      <w:r w:rsidRPr="002144A0">
        <w:t>By verifying that the stabil</w:t>
      </w:r>
      <w:r w:rsidR="00E10A24">
        <w:t>izing</w:t>
      </w:r>
      <w:r w:rsidRPr="002144A0">
        <w:t xml:space="preserve"> moment due to the non-seismic actions in the seismic design situation is greater than or equal to the overturning moment due to seismic action multiplied by the overstrength factor </w:t>
      </w:r>
      <w:r w:rsidRPr="004F25D7">
        <w:rPr>
          <w:rFonts w:ascii="Symbol" w:hAnsi="Symbol"/>
          <w:i/>
          <w:iCs/>
        </w:rPr>
        <w:t></w:t>
      </w:r>
      <w:r w:rsidRPr="00C52095">
        <w:rPr>
          <w:vertAlign w:val="subscript"/>
        </w:rPr>
        <w:t>Rd</w:t>
      </w:r>
      <w:r w:rsidRPr="00C52095">
        <w:t xml:space="preserve"> according to Formula (13.1</w:t>
      </w:r>
      <w:r>
        <w:t>9</w:t>
      </w:r>
      <w:r w:rsidRPr="00C52095">
        <w:t>).</w:t>
      </w:r>
    </w:p>
    <w:p w14:paraId="5529B259" w14:textId="66241B12" w:rsidR="009762DF" w:rsidRDefault="009B5CEC" w:rsidP="009762DF">
      <w:pPr>
        <w:pStyle w:val="Formula"/>
        <w:spacing w:before="240"/>
      </w:pPr>
      <m:oMath>
        <m:sSub>
          <m:sSubPr>
            <m:ctrlPr>
              <w:rPr>
                <w:rFonts w:ascii="Cambria Math" w:hAnsi="Cambria Math"/>
              </w:rPr>
            </m:ctrlPr>
          </m:sSubPr>
          <m:e>
            <m:r>
              <w:rPr>
                <w:rFonts w:ascii="Cambria Math" w:hAnsi="Cambria Math"/>
              </w:rPr>
              <m:t>γ</m:t>
            </m:r>
          </m:e>
          <m:sub>
            <m:r>
              <m:rPr>
                <m:sty m:val="p"/>
              </m:rPr>
              <w:rPr>
                <w:rFonts w:ascii="Cambria Math" w:hAnsi="Cambria Math"/>
              </w:rPr>
              <m:t>Rd</m:t>
            </m:r>
          </m:sub>
        </m:sSub>
        <m:r>
          <m:rPr>
            <m:sty m:val="p"/>
          </m:rPr>
          <w:rPr>
            <w:rFonts w:ascii="Cambria Math" w:hAnsi="Cambria Math"/>
          </w:rPr>
          <m:t xml:space="preserve"> </m:t>
        </m:r>
        <m:sSub>
          <m:sSubPr>
            <m:ctrlPr>
              <w:rPr>
                <w:rFonts w:ascii="Cambria Math" w:hAnsi="Cambria Math"/>
              </w:rPr>
            </m:ctrlPr>
          </m:sSubPr>
          <m:e>
            <m:r>
              <w:rPr>
                <w:rFonts w:ascii="Cambria Math" w:hAnsi="Cambria Math"/>
              </w:rPr>
              <m:t>M</m:t>
            </m:r>
          </m:e>
          <m:sub>
            <m:r>
              <m:rPr>
                <m:sty m:val="p"/>
              </m:rPr>
              <w:rPr>
                <w:rFonts w:ascii="Cambria Math" w:hAnsi="Cambria Math"/>
              </w:rPr>
              <m:t>dst,d,E</m:t>
            </m:r>
          </m:sub>
        </m:sSub>
        <m:r>
          <m:rPr>
            <m:sty m:val="p"/>
          </m:rPr>
          <w:rPr>
            <w:rFonts w:ascii="Cambria Math" w:hAnsi="Cambria Math"/>
          </w:rPr>
          <m:t>≤</m:t>
        </m:r>
        <m:sSub>
          <m:sSubPr>
            <m:ctrlPr>
              <w:rPr>
                <w:rFonts w:ascii="Cambria Math" w:hAnsi="Cambria Math"/>
              </w:rPr>
            </m:ctrlPr>
          </m:sSubPr>
          <m:e>
            <m:r>
              <w:rPr>
                <w:rFonts w:ascii="Cambria Math" w:hAnsi="Cambria Math"/>
              </w:rPr>
              <m:t>M</m:t>
            </m:r>
          </m:e>
          <m:sub>
            <m:r>
              <m:rPr>
                <m:sty m:val="p"/>
              </m:rPr>
              <w:rPr>
                <w:rFonts w:ascii="Cambria Math" w:hAnsi="Cambria Math"/>
              </w:rPr>
              <m:t>stb,d,G</m:t>
            </m:r>
          </m:sub>
        </m:sSub>
        <m:r>
          <m:rPr>
            <m:sty m:val="p"/>
          </m:rPr>
          <w:rPr>
            <w:rFonts w:ascii="Cambria Math" w:hAnsi="Cambria Math"/>
          </w:rPr>
          <m:t xml:space="preserve"> </m:t>
        </m:r>
      </m:oMath>
      <w:r w:rsidR="009762DF" w:rsidRPr="00870D59">
        <w:tab/>
        <w:t>(1</w:t>
      </w:r>
      <w:r w:rsidR="009762DF">
        <w:t>3</w:t>
      </w:r>
      <w:r w:rsidR="009762DF" w:rsidRPr="00870D59">
        <w:t>.</w:t>
      </w:r>
      <w:r w:rsidR="009762DF">
        <w:t>19</w:t>
      </w:r>
      <w:r w:rsidR="009762DF" w:rsidRPr="00870D59">
        <w:t>)</w:t>
      </w:r>
    </w:p>
    <w:p w14:paraId="3BABDC45" w14:textId="30A0C67E" w:rsidR="009762DF" w:rsidRPr="001B2671" w:rsidRDefault="00675EBA" w:rsidP="0062443F">
      <w:pPr>
        <w:pStyle w:val="Text"/>
      </w:pPr>
      <w:r>
        <w:t>where</w:t>
      </w:r>
    </w:p>
    <w:tbl>
      <w:tblPr>
        <w:tblW w:w="0" w:type="auto"/>
        <w:tblInd w:w="346" w:type="dxa"/>
        <w:tblLook w:val="04A0" w:firstRow="1" w:lastRow="0" w:firstColumn="1" w:lastColumn="0" w:noHBand="0" w:noVBand="1"/>
      </w:tblPr>
      <w:tblGrid>
        <w:gridCol w:w="1275"/>
        <w:gridCol w:w="7938"/>
      </w:tblGrid>
      <w:tr w:rsidR="009762DF" w:rsidRPr="000F2AFF" w14:paraId="0197A424" w14:textId="77777777" w:rsidTr="008217FC">
        <w:tc>
          <w:tcPr>
            <w:tcW w:w="1275" w:type="dxa"/>
          </w:tcPr>
          <w:p w14:paraId="4B2E1809" w14:textId="34C40365" w:rsidR="009762DF" w:rsidRPr="000F2AFF" w:rsidRDefault="009762DF" w:rsidP="002061E5">
            <w:pPr>
              <w:spacing w:after="60"/>
              <w:jc w:val="left"/>
              <w:rPr>
                <w:rFonts w:eastAsia="Times New Roman" w:cs="Cambria"/>
                <w:color w:val="000000" w:themeColor="text1"/>
                <w:szCs w:val="20"/>
                <w:lang w:eastAsia="fr-FR"/>
              </w:rPr>
            </w:pPr>
            <w:r w:rsidRPr="007E6F67">
              <w:rPr>
                <w:rFonts w:ascii="Symbol" w:hAnsi="Symbol"/>
                <w:i/>
              </w:rPr>
              <w:t></w:t>
            </w:r>
            <w:r w:rsidRPr="00FD17CF">
              <w:rPr>
                <w:vertAlign w:val="subscript"/>
              </w:rPr>
              <w:t>Rd</w:t>
            </w:r>
          </w:p>
        </w:tc>
        <w:tc>
          <w:tcPr>
            <w:tcW w:w="7938" w:type="dxa"/>
          </w:tcPr>
          <w:p w14:paraId="425CEA5C" w14:textId="6F3822C6" w:rsidR="009762DF" w:rsidRPr="00DF3AF1" w:rsidRDefault="009762DF" w:rsidP="002061E5">
            <w:pPr>
              <w:spacing w:after="60"/>
              <w:rPr>
                <w:rFonts w:eastAsia="Times New Roman" w:cs="Cambria"/>
                <w:szCs w:val="20"/>
                <w:lang w:eastAsia="fr-FR"/>
              </w:rPr>
            </w:pPr>
            <w:r w:rsidRPr="00FD17CF">
              <w:t>is the overstrength factor, given in Table 13.4;</w:t>
            </w:r>
          </w:p>
        </w:tc>
      </w:tr>
      <w:tr w:rsidR="009762DF" w:rsidRPr="000F2AFF" w14:paraId="0000265F" w14:textId="77777777" w:rsidTr="008217FC">
        <w:tc>
          <w:tcPr>
            <w:tcW w:w="1275" w:type="dxa"/>
          </w:tcPr>
          <w:p w14:paraId="3180AEF4" w14:textId="7B748490" w:rsidR="009762DF" w:rsidRPr="000F2AFF" w:rsidRDefault="009762DF" w:rsidP="002061E5">
            <w:pPr>
              <w:spacing w:after="60"/>
              <w:jc w:val="left"/>
              <w:rPr>
                <w:rFonts w:eastAsia="Times New Roman" w:cs="Cambria"/>
                <w:color w:val="000000" w:themeColor="text1"/>
                <w:szCs w:val="20"/>
                <w:lang w:eastAsia="fr-FR"/>
              </w:rPr>
            </w:pPr>
            <w:r w:rsidRPr="00E05E29">
              <w:rPr>
                <w:i/>
              </w:rPr>
              <w:t>M</w:t>
            </w:r>
            <w:r w:rsidRPr="00E05E29">
              <w:rPr>
                <w:vertAlign w:val="subscript"/>
              </w:rPr>
              <w:t>dst,d,E</w:t>
            </w:r>
          </w:p>
        </w:tc>
        <w:tc>
          <w:tcPr>
            <w:tcW w:w="7938" w:type="dxa"/>
          </w:tcPr>
          <w:p w14:paraId="30C4911F" w14:textId="752FBB64" w:rsidR="009762DF" w:rsidRPr="00464B4C" w:rsidRDefault="009762DF" w:rsidP="002061E5">
            <w:pPr>
              <w:spacing w:after="60"/>
              <w:rPr>
                <w:rFonts w:eastAsia="Times New Roman" w:cs="Cambria"/>
                <w:color w:val="000000" w:themeColor="text1"/>
                <w:szCs w:val="20"/>
                <w:lang w:eastAsia="fr-FR"/>
              </w:rPr>
            </w:pPr>
            <w:r w:rsidRPr="00196951">
              <w:t>is the overturning moment due to the design seismic action;</w:t>
            </w:r>
          </w:p>
        </w:tc>
      </w:tr>
      <w:tr w:rsidR="009762DF" w:rsidRPr="000F2AFF" w14:paraId="4DC27E62" w14:textId="77777777" w:rsidTr="008217FC">
        <w:tc>
          <w:tcPr>
            <w:tcW w:w="1275" w:type="dxa"/>
          </w:tcPr>
          <w:p w14:paraId="20CCCD03" w14:textId="51152192" w:rsidR="009762DF" w:rsidRPr="000F2AFF" w:rsidRDefault="009762DF" w:rsidP="002061E5">
            <w:pPr>
              <w:spacing w:after="60"/>
              <w:jc w:val="left"/>
              <w:rPr>
                <w:rFonts w:eastAsia="Times New Roman" w:cs="Cambria"/>
                <w:color w:val="000000" w:themeColor="text1"/>
                <w:szCs w:val="20"/>
                <w:lang w:eastAsia="fr-FR"/>
              </w:rPr>
            </w:pPr>
            <w:r w:rsidRPr="002144A0">
              <w:rPr>
                <w:i/>
                <w:iCs/>
              </w:rPr>
              <w:t>M</w:t>
            </w:r>
            <w:r w:rsidRPr="002144A0">
              <w:rPr>
                <w:vertAlign w:val="subscript"/>
              </w:rPr>
              <w:t>stb,d,G</w:t>
            </w:r>
          </w:p>
        </w:tc>
        <w:tc>
          <w:tcPr>
            <w:tcW w:w="7938" w:type="dxa"/>
          </w:tcPr>
          <w:p w14:paraId="6BE1BAA7" w14:textId="0E6BDE9A" w:rsidR="009762DF" w:rsidRPr="00464B4C" w:rsidRDefault="009762DF" w:rsidP="002061E5">
            <w:pPr>
              <w:spacing w:after="60"/>
              <w:rPr>
                <w:rFonts w:eastAsia="Times New Roman" w:cs="Cambria"/>
                <w:color w:val="000000" w:themeColor="text1"/>
                <w:szCs w:val="20"/>
                <w:lang w:eastAsia="fr-FR"/>
              </w:rPr>
            </w:pPr>
            <w:r w:rsidRPr="002144A0">
              <w:t>is the stabil</w:t>
            </w:r>
            <w:r w:rsidR="00E10A24">
              <w:t>izing</w:t>
            </w:r>
            <w:r w:rsidRPr="002144A0">
              <w:t xml:space="preserve"> moment due to the </w:t>
            </w:r>
            <w:r w:rsidRPr="004F25D7">
              <w:t>n</w:t>
            </w:r>
            <w:r w:rsidRPr="00C52095">
              <w:t>on-seismic actions in the seismic design situation.</w:t>
            </w:r>
          </w:p>
        </w:tc>
      </w:tr>
    </w:tbl>
    <w:p w14:paraId="38F77BF4" w14:textId="77777777" w:rsidR="009762DF" w:rsidRPr="007754C9" w:rsidRDefault="009762DF" w:rsidP="0080187E">
      <w:pPr>
        <w:pStyle w:val="Text"/>
        <w:numPr>
          <w:ilvl w:val="0"/>
          <w:numId w:val="675"/>
        </w:numPr>
        <w:rPr>
          <w:noProof/>
          <w:lang w:eastAsia="en-GB"/>
        </w:rPr>
      </w:pPr>
      <w:r w:rsidRPr="007754C9">
        <w:t>If Formula (13.1</w:t>
      </w:r>
      <w:r>
        <w:t>9</w:t>
      </w:r>
      <w:r w:rsidRPr="007754C9">
        <w:t>) is not satisfied, uplift is resisted by using steel tie-rods or screws (Figure 13.</w:t>
      </w:r>
      <w:r>
        <w:t>9</w:t>
      </w:r>
      <w:r w:rsidRPr="007754C9">
        <w:t>).</w:t>
      </w:r>
    </w:p>
    <w:p w14:paraId="3FDB7DEA" w14:textId="24A35DA4" w:rsidR="009762DF" w:rsidRPr="00132C1E" w:rsidRDefault="00917703" w:rsidP="00917703">
      <w:pPr>
        <w:pStyle w:val="FigureImage"/>
        <w:rPr>
          <w:highlight w:val="yellow"/>
        </w:rPr>
      </w:pPr>
      <w:r>
        <w:rPr>
          <w:noProof/>
        </w:rPr>
        <w:lastRenderedPageBreak/>
        <w:drawing>
          <wp:inline distT="0" distB="0" distL="0" distR="0" wp14:anchorId="2A4C13F4" wp14:editId="253EC66B">
            <wp:extent cx="4860044" cy="4297687"/>
            <wp:effectExtent l="0" t="0" r="0" b="7620"/>
            <wp:docPr id="2081949441" name="0054.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1949441" name="0054.tiff"/>
                    <pic:cNvPicPr/>
                  </pic:nvPicPr>
                  <pic:blipFill>
                    <a:blip r:link="rId79"/>
                    <a:stretch>
                      <a:fillRect/>
                    </a:stretch>
                  </pic:blipFill>
                  <pic:spPr>
                    <a:xfrm>
                      <a:off x="0" y="0"/>
                      <a:ext cx="4860044" cy="4297687"/>
                    </a:xfrm>
                    <a:prstGeom prst="rect">
                      <a:avLst/>
                    </a:prstGeom>
                  </pic:spPr>
                </pic:pic>
              </a:graphicData>
            </a:graphic>
          </wp:inline>
        </w:drawing>
      </w:r>
    </w:p>
    <w:p w14:paraId="627A3D84" w14:textId="77777777" w:rsidR="009762DF" w:rsidRPr="00D1484A" w:rsidRDefault="009762DF" w:rsidP="00917703">
      <w:pPr>
        <w:pStyle w:val="KeyTitle"/>
      </w:pPr>
      <w:r w:rsidRPr="00D1484A">
        <w:t>Key</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
        <w:gridCol w:w="9363"/>
      </w:tblGrid>
      <w:tr w:rsidR="009762DF" w:rsidRPr="00B5422C" w14:paraId="45180A6A" w14:textId="77777777" w:rsidTr="008217FC">
        <w:tc>
          <w:tcPr>
            <w:tcW w:w="388" w:type="dxa"/>
          </w:tcPr>
          <w:p w14:paraId="0696E40C" w14:textId="77777777" w:rsidR="009762DF" w:rsidRPr="008618F2" w:rsidRDefault="009762DF" w:rsidP="008618F2">
            <w:pPr>
              <w:pStyle w:val="KeyText"/>
              <w:spacing w:before="0"/>
              <w:rPr>
                <w:iCs/>
              </w:rPr>
            </w:pPr>
            <w:r w:rsidRPr="008618F2">
              <w:rPr>
                <w:iCs/>
              </w:rPr>
              <w:t>A</w:t>
            </w:r>
          </w:p>
        </w:tc>
        <w:tc>
          <w:tcPr>
            <w:tcW w:w="9363" w:type="dxa"/>
          </w:tcPr>
          <w:p w14:paraId="65B753D5" w14:textId="7ED5AEE7" w:rsidR="009762DF" w:rsidRPr="008618F2" w:rsidRDefault="00917703" w:rsidP="008618F2">
            <w:pPr>
              <w:pStyle w:val="KeyText"/>
              <w:spacing w:before="0"/>
            </w:pPr>
            <w:r w:rsidRPr="008618F2">
              <w:t>p</w:t>
            </w:r>
            <w:r w:rsidR="009762DF" w:rsidRPr="008618F2">
              <w:t>erpendicular to the grain verification area</w:t>
            </w:r>
          </w:p>
        </w:tc>
      </w:tr>
      <w:tr w:rsidR="009762DF" w:rsidRPr="00132C1E" w14:paraId="637ADA68" w14:textId="77777777" w:rsidTr="008217FC">
        <w:tc>
          <w:tcPr>
            <w:tcW w:w="388" w:type="dxa"/>
          </w:tcPr>
          <w:p w14:paraId="46545DE6" w14:textId="77777777" w:rsidR="009762DF" w:rsidRPr="008618F2" w:rsidRDefault="009762DF" w:rsidP="008618F2">
            <w:pPr>
              <w:pStyle w:val="KeyText"/>
              <w:spacing w:before="0"/>
              <w:rPr>
                <w:iCs/>
              </w:rPr>
            </w:pPr>
            <w:r w:rsidRPr="008618F2">
              <w:rPr>
                <w:iCs/>
              </w:rPr>
              <w:t>B</w:t>
            </w:r>
          </w:p>
        </w:tc>
        <w:tc>
          <w:tcPr>
            <w:tcW w:w="9363" w:type="dxa"/>
          </w:tcPr>
          <w:p w14:paraId="2DA30EC8" w14:textId="6981D2C5" w:rsidR="009762DF" w:rsidRPr="008618F2" w:rsidRDefault="00917703" w:rsidP="008618F2">
            <w:pPr>
              <w:pStyle w:val="KeyText"/>
              <w:spacing w:before="0"/>
            </w:pPr>
            <w:r w:rsidRPr="008618F2">
              <w:t>l</w:t>
            </w:r>
            <w:r w:rsidR="009762DF" w:rsidRPr="008618F2">
              <w:t>ongitudinal shear verification area</w:t>
            </w:r>
          </w:p>
        </w:tc>
      </w:tr>
    </w:tbl>
    <w:p w14:paraId="7B19BA1E" w14:textId="79D79F7C" w:rsidR="009762DF" w:rsidRPr="002144A0" w:rsidRDefault="009762DF" w:rsidP="009762DF">
      <w:pPr>
        <w:pStyle w:val="Figuretitle"/>
      </w:pPr>
      <w:r w:rsidRPr="00132C1E">
        <w:t xml:space="preserve">Figure </w:t>
      </w:r>
      <w:r w:rsidR="00917703">
        <w:t>13</w:t>
      </w:r>
      <w:r w:rsidRPr="00132C1E">
        <w:t>.</w:t>
      </w:r>
      <w:r>
        <w:t>10</w:t>
      </w:r>
      <w:r w:rsidRPr="00D1484A">
        <w:t> </w:t>
      </w:r>
      <w:r w:rsidRPr="00D1484A">
        <w:rPr>
          <w:rFonts w:ascii="`ÃÍœ˛" w:eastAsia="Cambria" w:hAnsi="`ÃÍœ˛" w:cs="`ÃÍœ˛"/>
          <w:szCs w:val="22"/>
          <w:lang w:eastAsia="de-DE"/>
        </w:rPr>
        <w:t>—</w:t>
      </w:r>
      <w:r w:rsidRPr="00D1484A">
        <w:t> </w:t>
      </w:r>
      <w:r w:rsidRPr="007E6F67">
        <w:t xml:space="preserve">Perpendicular to the grain and longitudinal shear verification of a typical carpentry </w:t>
      </w:r>
      <w:r w:rsidRPr="00FD17CF">
        <w:t>connection between logs</w:t>
      </w:r>
      <w:r w:rsidR="00917703">
        <w:t xml:space="preserve">: </w:t>
      </w:r>
      <w:r w:rsidRPr="00FD17CF">
        <w:t>(a) plan view of a log</w:t>
      </w:r>
      <w:r w:rsidR="00E2667F">
        <w:t>;</w:t>
      </w:r>
      <w:r w:rsidRPr="00FD17CF">
        <w:t xml:space="preserve"> (b) cross-section of a log</w:t>
      </w:r>
      <w:r w:rsidR="00E2667F">
        <w:t>;</w:t>
      </w:r>
      <w:r w:rsidRPr="00FD17CF">
        <w:t xml:space="preserve"> (c) side view of a log</w:t>
      </w:r>
      <w:r w:rsidR="00E2667F">
        <w:t>;</w:t>
      </w:r>
      <w:r w:rsidRPr="00FD17CF">
        <w:t xml:space="preserve"> (d) side view of a joint with dashed compression perpendicular to t</w:t>
      </w:r>
      <w:r w:rsidRPr="00E05E29">
        <w:t>he grain verification area</w:t>
      </w:r>
      <w:r w:rsidR="00E2667F">
        <w:t>;</w:t>
      </w:r>
      <w:r w:rsidRPr="00E05E29">
        <w:t xml:space="preserve"> (e) 3D view of a </w:t>
      </w:r>
      <w:r w:rsidRPr="00196951">
        <w:t>connection</w:t>
      </w:r>
      <w:r w:rsidRPr="002144A0">
        <w:t xml:space="preserve"> with dashed compression perpendicular to the grain verification area</w:t>
      </w:r>
      <w:r w:rsidR="00E2667F">
        <w:t>;</w:t>
      </w:r>
      <w:r w:rsidRPr="002144A0">
        <w:t xml:space="preserve"> (f) 3D view of a log with dashed longitudinal shear verification area</w:t>
      </w:r>
    </w:p>
    <w:p w14:paraId="25061825" w14:textId="77777777" w:rsidR="009762DF" w:rsidRPr="004F25D7" w:rsidRDefault="009762DF" w:rsidP="009762DF">
      <w:pPr>
        <w:pStyle w:val="Heading3"/>
      </w:pPr>
      <w:bookmarkStart w:id="10412" w:name="_Toc520573588"/>
      <w:bookmarkStart w:id="10413" w:name="_Toc2160637"/>
      <w:bookmarkStart w:id="10414" w:name="_Toc17491756"/>
      <w:bookmarkStart w:id="10415" w:name="_Toc50150589"/>
      <w:bookmarkStart w:id="10416" w:name="_Toc70887021"/>
      <w:bookmarkStart w:id="10417" w:name="_Toc108342591"/>
      <w:bookmarkStart w:id="10418" w:name="_Toc134198113"/>
      <w:r>
        <w:t>Verification in</w:t>
      </w:r>
      <w:r w:rsidRPr="002144A0">
        <w:t xml:space="preserve"> DC2</w:t>
      </w:r>
      <w:bookmarkEnd w:id="10412"/>
      <w:bookmarkEnd w:id="10413"/>
      <w:bookmarkEnd w:id="10414"/>
      <w:bookmarkEnd w:id="10415"/>
      <w:bookmarkEnd w:id="10416"/>
      <w:bookmarkEnd w:id="10417"/>
      <w:bookmarkEnd w:id="10418"/>
    </w:p>
    <w:p w14:paraId="75D91808" w14:textId="75AA7A25" w:rsidR="009762DF" w:rsidRPr="00C52095" w:rsidRDefault="009762DF" w:rsidP="0080187E">
      <w:pPr>
        <w:pStyle w:val="Clause"/>
        <w:numPr>
          <w:ilvl w:val="0"/>
          <w:numId w:val="466"/>
        </w:numPr>
      </w:pPr>
      <w:r w:rsidRPr="00C52095">
        <w:t>Log structures should be designed to behave as box-type structures.</w:t>
      </w:r>
    </w:p>
    <w:p w14:paraId="247BEDE2" w14:textId="281CC43F" w:rsidR="009762DF" w:rsidRPr="007754C9" w:rsidRDefault="009762DF" w:rsidP="00724E4E">
      <w:pPr>
        <w:pStyle w:val="Clause"/>
      </w:pPr>
      <w:r w:rsidRPr="00C52095">
        <w:t xml:space="preserve">Energy dissipation should take place by friction at the interface between superimposed logs, and compression perpendicular to the grain in the carpentry </w:t>
      </w:r>
      <w:r w:rsidRPr="007754C9">
        <w:t xml:space="preserve">connections between orthogonal walls. </w:t>
      </w:r>
    </w:p>
    <w:p w14:paraId="4161BE0F" w14:textId="72A16074" w:rsidR="009762DF" w:rsidRPr="00132C1E" w:rsidRDefault="009762DF" w:rsidP="00724E4E">
      <w:pPr>
        <w:pStyle w:val="Clause"/>
      </w:pPr>
      <w:r w:rsidRPr="00132C1E">
        <w:t>Timber diaphragms, timber logs and their connections to the foundation or between any massive sub-element should be capacity designed by complying with Formula (13.4).</w:t>
      </w:r>
    </w:p>
    <w:p w14:paraId="5DC51FD0" w14:textId="3B054399" w:rsidR="009762DF" w:rsidRPr="00132C1E" w:rsidRDefault="009762DF" w:rsidP="00724E4E">
      <w:pPr>
        <w:pStyle w:val="Clause"/>
      </w:pPr>
      <w:r w:rsidRPr="00132C1E">
        <w:t>Carpentry connections should be capacity designed against shear failure by complying with Formula</w:t>
      </w:r>
      <w:r w:rsidR="008217FC">
        <w:t> </w:t>
      </w:r>
      <w:r w:rsidRPr="00132C1E">
        <w:t xml:space="preserve">(13.5) in accordance with </w:t>
      </w:r>
      <w:r w:rsidRPr="00835C82">
        <w:t>13.4.3(5)</w:t>
      </w:r>
      <w:r w:rsidRPr="00132C1E">
        <w:t>.</w:t>
      </w:r>
    </w:p>
    <w:p w14:paraId="6E624AA6" w14:textId="11293D8B" w:rsidR="009762DF" w:rsidRPr="00132C1E" w:rsidRDefault="009762DF" w:rsidP="009762DF">
      <w:pPr>
        <w:pStyle w:val="Heading3"/>
      </w:pPr>
      <w:bookmarkStart w:id="10419" w:name="_Toc520573590"/>
      <w:bookmarkStart w:id="10420" w:name="_Toc2160638"/>
      <w:bookmarkStart w:id="10421" w:name="_Toc17491757"/>
      <w:bookmarkStart w:id="10422" w:name="_Toc50150590"/>
      <w:bookmarkStart w:id="10423" w:name="_Toc70887022"/>
      <w:bookmarkStart w:id="10424" w:name="_Toc108342592"/>
      <w:bookmarkStart w:id="10425" w:name="_Toc134198114"/>
      <w:r w:rsidRPr="00132C1E">
        <w:t>Detailing rules</w:t>
      </w:r>
      <w:bookmarkEnd w:id="10419"/>
      <w:bookmarkEnd w:id="10420"/>
      <w:bookmarkEnd w:id="10421"/>
      <w:bookmarkEnd w:id="10422"/>
      <w:bookmarkEnd w:id="10423"/>
      <w:bookmarkEnd w:id="10424"/>
      <w:bookmarkEnd w:id="10425"/>
    </w:p>
    <w:p w14:paraId="4BD6A536" w14:textId="4D75989F" w:rsidR="009762DF" w:rsidRPr="00132C1E" w:rsidRDefault="009762DF" w:rsidP="0080187E">
      <w:pPr>
        <w:pStyle w:val="Clause"/>
        <w:numPr>
          <w:ilvl w:val="0"/>
          <w:numId w:val="467"/>
        </w:numPr>
      </w:pPr>
      <w:r w:rsidRPr="00835C82">
        <w:t>13.7.4(1)</w:t>
      </w:r>
      <w:r w:rsidRPr="00132C1E">
        <w:t xml:space="preserve"> should be applied.</w:t>
      </w:r>
    </w:p>
    <w:p w14:paraId="048CD978" w14:textId="336CF39D" w:rsidR="009762DF" w:rsidRPr="00132C1E" w:rsidRDefault="009762DF" w:rsidP="00724E4E">
      <w:pPr>
        <w:pStyle w:val="Clause"/>
      </w:pPr>
      <w:r w:rsidRPr="00132C1E">
        <w:lastRenderedPageBreak/>
        <w:t>Compression members and their connections (e.g. carpentry connections) should be designed to prevent separation of elements.</w:t>
      </w:r>
    </w:p>
    <w:p w14:paraId="2A7F83B2" w14:textId="75CA9E6E" w:rsidR="009762DF" w:rsidRPr="00132C1E" w:rsidRDefault="009762DF" w:rsidP="00724E4E">
      <w:pPr>
        <w:pStyle w:val="Clause"/>
      </w:pPr>
      <w:r w:rsidRPr="00132C1E">
        <w:t>The shear resistance of shear walls should be provided by the perpendicular to the grain and longitudinal shear resistance of carpentry connections obtained by notching the logs of the two walls like in Figure 13.</w:t>
      </w:r>
      <w:r>
        <w:t>10</w:t>
      </w:r>
      <w:r w:rsidRPr="00132C1E">
        <w:t>.</w:t>
      </w:r>
    </w:p>
    <w:p w14:paraId="78EC18DB" w14:textId="792CDE57" w:rsidR="009762DF" w:rsidRPr="00132C1E" w:rsidRDefault="009762DF" w:rsidP="00724E4E">
      <w:pPr>
        <w:pStyle w:val="Clause"/>
      </w:pPr>
      <w:r w:rsidRPr="009762DF">
        <w:t xml:space="preserve">Alternative solutions by means of screws, dowels or bolts like in Figure 13.11 may be used but in such case the design shear resistance should be entirely due to the mechanical connection without any </w:t>
      </w:r>
      <w:r w:rsidRPr="00132C1E">
        <w:t>possible contribution from the carpentry connections.</w:t>
      </w:r>
    </w:p>
    <w:p w14:paraId="1482778E" w14:textId="5CD3A17C" w:rsidR="009762DF" w:rsidRPr="00132C1E" w:rsidRDefault="00F357DA" w:rsidP="00F357DA">
      <w:pPr>
        <w:pStyle w:val="FigureImage"/>
        <w:rPr>
          <w:highlight w:val="yellow"/>
        </w:rPr>
      </w:pPr>
      <w:r>
        <w:rPr>
          <w:noProof/>
        </w:rPr>
        <w:drawing>
          <wp:inline distT="0" distB="0" distL="0" distR="0" wp14:anchorId="3DE6ED76" wp14:editId="4954C34B">
            <wp:extent cx="4320547" cy="2889509"/>
            <wp:effectExtent l="0" t="0" r="3810" b="6350"/>
            <wp:docPr id="2081949442" name="0055.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1949442" name="0055.tiff"/>
                    <pic:cNvPicPr/>
                  </pic:nvPicPr>
                  <pic:blipFill>
                    <a:blip r:link="rId80"/>
                    <a:stretch>
                      <a:fillRect/>
                    </a:stretch>
                  </pic:blipFill>
                  <pic:spPr>
                    <a:xfrm>
                      <a:off x="0" y="0"/>
                      <a:ext cx="4320547" cy="2889509"/>
                    </a:xfrm>
                    <a:prstGeom prst="rect">
                      <a:avLst/>
                    </a:prstGeom>
                  </pic:spPr>
                </pic:pic>
              </a:graphicData>
            </a:graphic>
          </wp:inline>
        </w:drawing>
      </w:r>
    </w:p>
    <w:p w14:paraId="6C314EEF" w14:textId="77777777" w:rsidR="009762DF" w:rsidRPr="00D1484A" w:rsidRDefault="009762DF" w:rsidP="00F357DA">
      <w:pPr>
        <w:pStyle w:val="KeyTitle"/>
      </w:pPr>
      <w:r w:rsidRPr="00D1484A">
        <w:t>Key</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
        <w:gridCol w:w="9363"/>
      </w:tblGrid>
      <w:tr w:rsidR="009762DF" w:rsidRPr="00B5422C" w14:paraId="7B8D8CF8" w14:textId="77777777" w:rsidTr="008217FC">
        <w:tc>
          <w:tcPr>
            <w:tcW w:w="388" w:type="dxa"/>
          </w:tcPr>
          <w:p w14:paraId="3AAE2A8C" w14:textId="77777777" w:rsidR="009762DF" w:rsidRPr="008618F2" w:rsidRDefault="009762DF" w:rsidP="008618F2">
            <w:pPr>
              <w:pStyle w:val="KeyText"/>
              <w:spacing w:before="0"/>
              <w:rPr>
                <w:iCs/>
              </w:rPr>
            </w:pPr>
            <w:r w:rsidRPr="008618F2">
              <w:rPr>
                <w:iCs/>
              </w:rPr>
              <w:t>A</w:t>
            </w:r>
          </w:p>
        </w:tc>
        <w:tc>
          <w:tcPr>
            <w:tcW w:w="9363" w:type="dxa"/>
          </w:tcPr>
          <w:p w14:paraId="46A32349" w14:textId="677E2B66" w:rsidR="009762DF" w:rsidRPr="008618F2" w:rsidRDefault="00F357DA" w:rsidP="008618F2">
            <w:pPr>
              <w:pStyle w:val="KeyText"/>
              <w:spacing w:before="0"/>
            </w:pPr>
            <w:r w:rsidRPr="008618F2">
              <w:t>c</w:t>
            </w:r>
            <w:r w:rsidR="009762DF" w:rsidRPr="008618F2">
              <w:t>onnection between timber logs by means of self-tapping screws</w:t>
            </w:r>
          </w:p>
        </w:tc>
      </w:tr>
      <w:tr w:rsidR="009762DF" w:rsidRPr="00B5422C" w14:paraId="3B0C11B3" w14:textId="77777777" w:rsidTr="008217FC">
        <w:tc>
          <w:tcPr>
            <w:tcW w:w="388" w:type="dxa"/>
          </w:tcPr>
          <w:p w14:paraId="0066040D" w14:textId="77777777" w:rsidR="009762DF" w:rsidRPr="008618F2" w:rsidRDefault="009762DF" w:rsidP="008618F2">
            <w:pPr>
              <w:pStyle w:val="KeyText"/>
              <w:spacing w:before="0"/>
              <w:rPr>
                <w:rFonts w:asciiTheme="majorHAnsi" w:hAnsiTheme="majorHAnsi"/>
                <w:iCs/>
              </w:rPr>
            </w:pPr>
            <w:r w:rsidRPr="008618F2">
              <w:rPr>
                <w:rFonts w:asciiTheme="majorHAnsi" w:hAnsiTheme="majorHAnsi"/>
                <w:iCs/>
              </w:rPr>
              <w:t>B</w:t>
            </w:r>
          </w:p>
        </w:tc>
        <w:tc>
          <w:tcPr>
            <w:tcW w:w="9363" w:type="dxa"/>
          </w:tcPr>
          <w:p w14:paraId="64B6273C" w14:textId="15D9CF06" w:rsidR="009762DF" w:rsidRPr="008618F2" w:rsidRDefault="00F357DA" w:rsidP="008618F2">
            <w:pPr>
              <w:pStyle w:val="KeyText"/>
              <w:spacing w:before="0"/>
              <w:rPr>
                <w:rFonts w:asciiTheme="majorHAnsi" w:hAnsiTheme="majorHAnsi"/>
              </w:rPr>
            </w:pPr>
            <w:r w:rsidRPr="008618F2">
              <w:rPr>
                <w:rFonts w:asciiTheme="majorHAnsi" w:hAnsiTheme="majorHAnsi"/>
              </w:rPr>
              <w:t>b</w:t>
            </w:r>
            <w:r w:rsidR="009762DF" w:rsidRPr="008618F2">
              <w:rPr>
                <w:rFonts w:asciiTheme="majorHAnsi" w:hAnsiTheme="majorHAnsi"/>
              </w:rPr>
              <w:t>olted connection to foundation (right: side view; left: cross-section)</w:t>
            </w:r>
          </w:p>
        </w:tc>
      </w:tr>
    </w:tbl>
    <w:p w14:paraId="590FCD47" w14:textId="68385508" w:rsidR="009762DF" w:rsidRPr="00FD17CF" w:rsidRDefault="009762DF" w:rsidP="009762DF">
      <w:pPr>
        <w:pStyle w:val="Figuretitle"/>
      </w:pPr>
      <w:r w:rsidRPr="00132C1E">
        <w:t xml:space="preserve">Figure </w:t>
      </w:r>
      <w:r w:rsidR="00FD4EB5">
        <w:t>13</w:t>
      </w:r>
      <w:r w:rsidRPr="00132C1E">
        <w:t>.</w:t>
      </w:r>
      <w:r w:rsidRPr="00D1484A">
        <w:t>1</w:t>
      </w:r>
      <w:r>
        <w:t>1</w:t>
      </w:r>
      <w:r w:rsidRPr="00D1484A">
        <w:t> </w:t>
      </w:r>
      <w:r w:rsidRPr="00D1484A">
        <w:rPr>
          <w:rFonts w:ascii="`ÃÍœ˛" w:eastAsia="Cambria" w:hAnsi="`ÃÍœ˛" w:cs="`ÃÍœ˛"/>
          <w:szCs w:val="22"/>
          <w:lang w:eastAsia="de-DE"/>
        </w:rPr>
        <w:t>—</w:t>
      </w:r>
      <w:r w:rsidRPr="00D1484A">
        <w:t> </w:t>
      </w:r>
      <w:r w:rsidRPr="007E6F67">
        <w:t>Connection between timber logs by</w:t>
      </w:r>
      <w:r w:rsidRPr="00FD17CF">
        <w:t xml:space="preserve"> means of self-tapping screws</w:t>
      </w:r>
    </w:p>
    <w:p w14:paraId="4E43010C" w14:textId="77777777" w:rsidR="009762DF" w:rsidRPr="00E05E29" w:rsidRDefault="009762DF" w:rsidP="009762DF">
      <w:pPr>
        <w:pStyle w:val="Heading2"/>
      </w:pPr>
      <w:bookmarkStart w:id="10426" w:name="_Toc520573591"/>
      <w:bookmarkStart w:id="10427" w:name="_Toc2160639"/>
      <w:bookmarkStart w:id="10428" w:name="_Toc17491758"/>
      <w:bookmarkStart w:id="10429" w:name="_Toc50150591"/>
      <w:bookmarkStart w:id="10430" w:name="_Toc70887023"/>
      <w:bookmarkStart w:id="10431" w:name="_Toc108342593"/>
      <w:bookmarkStart w:id="10432" w:name="_Toc134198115"/>
      <w:r w:rsidRPr="00E05E29">
        <w:t>Rules for moment-resisting frames</w:t>
      </w:r>
      <w:bookmarkEnd w:id="10426"/>
      <w:bookmarkEnd w:id="10427"/>
      <w:bookmarkEnd w:id="10428"/>
      <w:bookmarkEnd w:id="10429"/>
      <w:bookmarkEnd w:id="10430"/>
      <w:bookmarkEnd w:id="10431"/>
      <w:bookmarkEnd w:id="10432"/>
    </w:p>
    <w:p w14:paraId="7B8C048B" w14:textId="77777777" w:rsidR="009762DF" w:rsidRPr="002144A0" w:rsidRDefault="009762DF" w:rsidP="009762DF">
      <w:pPr>
        <w:pStyle w:val="Heading3"/>
      </w:pPr>
      <w:bookmarkStart w:id="10433" w:name="_Toc520573592"/>
      <w:bookmarkStart w:id="10434" w:name="_Toc2160640"/>
      <w:bookmarkStart w:id="10435" w:name="_Toc17491759"/>
      <w:bookmarkStart w:id="10436" w:name="_Toc50150592"/>
      <w:bookmarkStart w:id="10437" w:name="_Toc70887024"/>
      <w:bookmarkStart w:id="10438" w:name="_Toc108342594"/>
      <w:bookmarkStart w:id="10439" w:name="_Toc134198116"/>
      <w:r w:rsidRPr="00196951">
        <w:t>General rules</w:t>
      </w:r>
      <w:bookmarkEnd w:id="10433"/>
      <w:bookmarkEnd w:id="10434"/>
      <w:bookmarkEnd w:id="10435"/>
      <w:bookmarkEnd w:id="10436"/>
      <w:bookmarkEnd w:id="10437"/>
      <w:bookmarkEnd w:id="10438"/>
      <w:bookmarkEnd w:id="10439"/>
    </w:p>
    <w:p w14:paraId="45974ADF" w14:textId="15E020DA" w:rsidR="009762DF" w:rsidRPr="00C52095" w:rsidRDefault="009762DF" w:rsidP="0080187E">
      <w:pPr>
        <w:pStyle w:val="Clause"/>
        <w:numPr>
          <w:ilvl w:val="0"/>
          <w:numId w:val="468"/>
        </w:numPr>
      </w:pPr>
      <w:r w:rsidRPr="002144A0">
        <w:t>Moment-resisting frames should be made of timber member</w:t>
      </w:r>
      <w:r w:rsidRPr="004F25D7">
        <w:t xml:space="preserve">s connected with semi-rigid joints made of dowel-type </w:t>
      </w:r>
      <w:r w:rsidRPr="00C52095">
        <w:t>metal fasteners. The column-foundation connections may be pinned or semi-rigid.</w:t>
      </w:r>
    </w:p>
    <w:p w14:paraId="582028F3" w14:textId="52591B38" w:rsidR="009762DF" w:rsidRPr="007754C9" w:rsidRDefault="009762DF" w:rsidP="00724E4E">
      <w:pPr>
        <w:pStyle w:val="Clause"/>
      </w:pPr>
      <w:r w:rsidRPr="00835C82">
        <w:t>13.9.1(3)</w:t>
      </w:r>
      <w:r w:rsidRPr="007754C9">
        <w:t xml:space="preserve"> should be applied.</w:t>
      </w:r>
    </w:p>
    <w:p w14:paraId="64CFC73E" w14:textId="404BF11C" w:rsidR="009762DF" w:rsidRPr="007754C9" w:rsidRDefault="009762DF" w:rsidP="009762DF">
      <w:pPr>
        <w:pStyle w:val="Heading3"/>
      </w:pPr>
      <w:bookmarkStart w:id="10440" w:name="_Toc520573594"/>
      <w:bookmarkStart w:id="10441" w:name="_Toc2160642"/>
      <w:bookmarkStart w:id="10442" w:name="_Toc17491760"/>
      <w:bookmarkStart w:id="10443" w:name="_Toc50150593"/>
      <w:bookmarkStart w:id="10444" w:name="_Toc70887025"/>
      <w:bookmarkStart w:id="10445" w:name="_Toc108342595"/>
      <w:bookmarkStart w:id="10446" w:name="_Toc134198117"/>
      <w:r>
        <w:t>Verification in</w:t>
      </w:r>
      <w:r w:rsidRPr="007754C9">
        <w:t xml:space="preserve"> DC2</w:t>
      </w:r>
      <w:bookmarkEnd w:id="10440"/>
      <w:bookmarkEnd w:id="10441"/>
      <w:bookmarkEnd w:id="10442"/>
      <w:bookmarkEnd w:id="10443"/>
      <w:bookmarkEnd w:id="10444"/>
      <w:bookmarkEnd w:id="10445"/>
      <w:bookmarkEnd w:id="10446"/>
    </w:p>
    <w:p w14:paraId="121B94FB" w14:textId="09E585EE" w:rsidR="009762DF" w:rsidRPr="00132C1E" w:rsidRDefault="009762DF" w:rsidP="0080187E">
      <w:pPr>
        <w:pStyle w:val="Clause"/>
        <w:numPr>
          <w:ilvl w:val="0"/>
          <w:numId w:val="469"/>
        </w:numPr>
      </w:pPr>
      <w:r w:rsidRPr="00132C1E">
        <w:t>In order to ensure yielding of the fasteners in the dissipative joints, the timber members and metal plates used in joints should be capacity designed according to Formula (13.4), where the timber members and metal plates are the brittle components and the semi-rigid joints the ductile ones.</w:t>
      </w:r>
    </w:p>
    <w:p w14:paraId="472F1389" w14:textId="454FA68B" w:rsidR="009762DF" w:rsidRPr="00132C1E" w:rsidRDefault="009762DF" w:rsidP="00724E4E">
      <w:pPr>
        <w:pStyle w:val="Clause"/>
      </w:pPr>
      <w:r w:rsidRPr="00835C82">
        <w:t>13.7.2(9)</w:t>
      </w:r>
      <w:r w:rsidRPr="00132C1E">
        <w:t xml:space="preserve"> should be applied for the ductility of the dissipative joints.</w:t>
      </w:r>
    </w:p>
    <w:p w14:paraId="740D4B01" w14:textId="1BB50D59" w:rsidR="009762DF" w:rsidRPr="00132C1E" w:rsidRDefault="009762DF" w:rsidP="00724E4E">
      <w:pPr>
        <w:pStyle w:val="Clause"/>
      </w:pPr>
      <w:r w:rsidRPr="00835C82">
        <w:t>13.7.2(10)</w:t>
      </w:r>
      <w:r w:rsidRPr="00132C1E">
        <w:t xml:space="preserve"> should be applied to the dissipative connections.</w:t>
      </w:r>
    </w:p>
    <w:p w14:paraId="3D035635" w14:textId="0BCDC390" w:rsidR="009762DF" w:rsidRPr="00132C1E" w:rsidRDefault="009762DF" w:rsidP="00724E4E">
      <w:pPr>
        <w:pStyle w:val="Clause"/>
      </w:pPr>
      <w:r w:rsidRPr="00132C1E">
        <w:lastRenderedPageBreak/>
        <w:t xml:space="preserve">The columns should be designed to the magnified axial force </w:t>
      </w:r>
      <w:r w:rsidRPr="00132C1E">
        <w:rPr>
          <w:i/>
        </w:rPr>
        <w:t>N</w:t>
      </w:r>
      <w:r w:rsidRPr="00132C1E">
        <w:rPr>
          <w:vertAlign w:val="subscript"/>
        </w:rPr>
        <w:t>Ed</w:t>
      </w:r>
      <w:r w:rsidRPr="00132C1E">
        <w:t xml:space="preserve"> given by Formula (13.</w:t>
      </w:r>
      <w:r>
        <w:t>20</w:t>
      </w:r>
      <w:r w:rsidRPr="00132C1E">
        <w:t>):</w:t>
      </w:r>
    </w:p>
    <w:p w14:paraId="7633AD8B" w14:textId="5897B096" w:rsidR="009762DF" w:rsidRDefault="009B5CEC" w:rsidP="009762DF">
      <w:pPr>
        <w:pStyle w:val="Formula"/>
        <w:spacing w:before="240"/>
      </w:pPr>
      <m:oMath>
        <m:sSub>
          <m:sSubPr>
            <m:ctrlPr>
              <w:rPr>
                <w:rFonts w:ascii="Cambria Math" w:hAnsi="Cambria Math"/>
              </w:rPr>
            </m:ctrlPr>
          </m:sSubPr>
          <m:e>
            <m:r>
              <w:rPr>
                <w:rFonts w:ascii="Cambria Math" w:hAnsi="Cambria Math"/>
              </w:rPr>
              <m:t>N</m:t>
            </m:r>
          </m:e>
          <m:sub>
            <m:r>
              <m:rPr>
                <m:sty m:val="p"/>
              </m:rPr>
              <w:rPr>
                <w:rFonts w:ascii="Cambria Math" w:hAnsi="Cambria Math"/>
              </w:rPr>
              <m:t>Ed</m:t>
            </m:r>
          </m:sub>
        </m:sSub>
        <m:r>
          <w:rPr>
            <w:rFonts w:ascii="Cambria Math" w:hAnsi="Cambria Math"/>
          </w:rPr>
          <m:t>=</m:t>
        </m:r>
        <m:sSub>
          <m:sSubPr>
            <m:ctrlPr>
              <w:rPr>
                <w:rFonts w:ascii="Cambria Math" w:hAnsi="Cambria Math"/>
              </w:rPr>
            </m:ctrlPr>
          </m:sSubPr>
          <m:e>
            <m:r>
              <w:rPr>
                <w:rFonts w:ascii="Cambria Math" w:hAnsi="Cambria Math"/>
              </w:rPr>
              <m:t>N</m:t>
            </m:r>
          </m:e>
          <m:sub>
            <m:r>
              <m:rPr>
                <m:sty m:val="p"/>
              </m:rPr>
              <w:rPr>
                <w:rFonts w:ascii="Cambria Math" w:hAnsi="Cambria Math"/>
              </w:rPr>
              <m:t>Ed,G</m:t>
            </m:r>
          </m:sub>
        </m:sSub>
        <m:r>
          <w:rPr>
            <w:rFonts w:ascii="Cambria Math" w:hAnsi="Cambria Math"/>
          </w:rPr>
          <m:t xml:space="preserve"> "+" </m:t>
        </m:r>
        <m:sSub>
          <m:sSubPr>
            <m:ctrlPr>
              <w:rPr>
                <w:rFonts w:ascii="Cambria Math" w:hAnsi="Cambria Math"/>
              </w:rPr>
            </m:ctrlPr>
          </m:sSubPr>
          <m:e>
            <m:r>
              <w:rPr>
                <w:rFonts w:ascii="Cambria Math" w:hAnsi="Cambria Math"/>
              </w:rPr>
              <m:t>Ω N</m:t>
            </m:r>
          </m:e>
          <m:sub>
            <m:r>
              <m:rPr>
                <m:sty m:val="p"/>
              </m:rPr>
              <w:rPr>
                <w:rFonts w:ascii="Cambria Math" w:hAnsi="Cambria Math"/>
              </w:rPr>
              <m:t>Ed,E</m:t>
            </m:r>
            <m:r>
              <w:rPr>
                <w:rFonts w:ascii="Cambria Math" w:hAnsi="Cambria Math"/>
              </w:rPr>
              <m:t xml:space="preserve"> </m:t>
            </m:r>
          </m:sub>
        </m:sSub>
      </m:oMath>
      <w:r w:rsidR="009762DF" w:rsidRPr="00870D59">
        <w:tab/>
        <w:t>(1</w:t>
      </w:r>
      <w:r w:rsidR="009762DF">
        <w:t>3</w:t>
      </w:r>
      <w:r w:rsidR="009762DF" w:rsidRPr="00870D59">
        <w:t>.</w:t>
      </w:r>
      <w:r w:rsidR="009762DF">
        <w:t>20</w:t>
      </w:r>
      <w:r w:rsidR="009762DF" w:rsidRPr="00870D59">
        <w:t>)</w:t>
      </w:r>
    </w:p>
    <w:p w14:paraId="3795ABFA" w14:textId="468BD58F" w:rsidR="009762DF" w:rsidRPr="001B2671" w:rsidRDefault="00675EBA" w:rsidP="00FD4EB5">
      <w:pPr>
        <w:pStyle w:val="Text"/>
      </w:pPr>
      <w:r>
        <w:t>where</w:t>
      </w:r>
    </w:p>
    <w:tbl>
      <w:tblPr>
        <w:tblW w:w="0" w:type="auto"/>
        <w:tblInd w:w="346" w:type="dxa"/>
        <w:tblLook w:val="04A0" w:firstRow="1" w:lastRow="0" w:firstColumn="1" w:lastColumn="0" w:noHBand="0" w:noVBand="1"/>
      </w:tblPr>
      <w:tblGrid>
        <w:gridCol w:w="1275"/>
        <w:gridCol w:w="7938"/>
      </w:tblGrid>
      <w:tr w:rsidR="009762DF" w:rsidRPr="000F2AFF" w14:paraId="1E7B436F" w14:textId="77777777" w:rsidTr="008217FC">
        <w:tc>
          <w:tcPr>
            <w:tcW w:w="1275" w:type="dxa"/>
          </w:tcPr>
          <w:p w14:paraId="03F360AD" w14:textId="70CCEA76" w:rsidR="009762DF" w:rsidRPr="000F2AFF" w:rsidRDefault="009762DF" w:rsidP="002061E5">
            <w:pPr>
              <w:spacing w:after="60"/>
              <w:jc w:val="left"/>
              <w:rPr>
                <w:rFonts w:eastAsia="Times New Roman" w:cs="Cambria"/>
                <w:color w:val="000000" w:themeColor="text1"/>
                <w:szCs w:val="20"/>
                <w:lang w:eastAsia="fr-FR"/>
              </w:rPr>
            </w:pPr>
            <w:r w:rsidRPr="001F5996">
              <w:rPr>
                <w:i/>
                <w:iCs/>
              </w:rPr>
              <w:t>N</w:t>
            </w:r>
            <w:r w:rsidRPr="001F5996">
              <w:rPr>
                <w:vertAlign w:val="subscript"/>
              </w:rPr>
              <w:t>Ed,G</w:t>
            </w:r>
          </w:p>
        </w:tc>
        <w:tc>
          <w:tcPr>
            <w:tcW w:w="7938" w:type="dxa"/>
          </w:tcPr>
          <w:p w14:paraId="2AD091EF" w14:textId="77474CAB" w:rsidR="009762DF" w:rsidRPr="00DF3AF1" w:rsidRDefault="009762DF" w:rsidP="002061E5">
            <w:pPr>
              <w:spacing w:after="60"/>
              <w:rPr>
                <w:rFonts w:eastAsia="Times New Roman" w:cs="Cambria"/>
                <w:szCs w:val="20"/>
                <w:lang w:eastAsia="fr-FR"/>
              </w:rPr>
            </w:pPr>
            <w:r w:rsidRPr="001F5996">
              <w:t>is the axial force in the column due to the non-seismic actions in the seismic design situation;</w:t>
            </w:r>
          </w:p>
        </w:tc>
      </w:tr>
      <w:tr w:rsidR="009762DF" w:rsidRPr="000F2AFF" w14:paraId="3129B8E5" w14:textId="77777777" w:rsidTr="008217FC">
        <w:tc>
          <w:tcPr>
            <w:tcW w:w="1275" w:type="dxa"/>
          </w:tcPr>
          <w:p w14:paraId="724BB26B" w14:textId="18C2778D" w:rsidR="009762DF" w:rsidRPr="000F2AFF" w:rsidRDefault="009762DF" w:rsidP="002061E5">
            <w:pPr>
              <w:spacing w:after="60"/>
              <w:jc w:val="left"/>
              <w:rPr>
                <w:rFonts w:eastAsia="Times New Roman" w:cs="Cambria"/>
                <w:color w:val="000000" w:themeColor="text1"/>
                <w:szCs w:val="20"/>
                <w:lang w:eastAsia="fr-FR"/>
              </w:rPr>
            </w:pPr>
            <w:r w:rsidRPr="001F5996">
              <w:rPr>
                <w:i/>
                <w:iCs/>
              </w:rPr>
              <w:t>N</w:t>
            </w:r>
            <w:r w:rsidRPr="001F5996">
              <w:rPr>
                <w:vertAlign w:val="subscript"/>
              </w:rPr>
              <w:t>Ed,E</w:t>
            </w:r>
          </w:p>
        </w:tc>
        <w:tc>
          <w:tcPr>
            <w:tcW w:w="7938" w:type="dxa"/>
          </w:tcPr>
          <w:p w14:paraId="5D08AEE0" w14:textId="6B5E3354" w:rsidR="009762DF" w:rsidRPr="00DF3AF1" w:rsidRDefault="009762DF" w:rsidP="002061E5">
            <w:pPr>
              <w:spacing w:after="60"/>
              <w:rPr>
                <w:rFonts w:eastAsia="Times New Roman" w:cs="Cambria"/>
                <w:szCs w:val="20"/>
                <w:lang w:eastAsia="fr-FR"/>
              </w:rPr>
            </w:pPr>
            <w:r w:rsidRPr="001F5996">
              <w:t>is the axial force in the column due to the design seismic action;</w:t>
            </w:r>
          </w:p>
        </w:tc>
      </w:tr>
      <w:tr w:rsidR="009762DF" w:rsidRPr="000F2AFF" w14:paraId="09B42B41" w14:textId="77777777" w:rsidTr="008217FC">
        <w:tc>
          <w:tcPr>
            <w:tcW w:w="1275" w:type="dxa"/>
          </w:tcPr>
          <w:p w14:paraId="79D6C958" w14:textId="7E02569B" w:rsidR="009762DF" w:rsidRPr="000F2AFF" w:rsidRDefault="009762DF" w:rsidP="002061E5">
            <w:pPr>
              <w:spacing w:after="60"/>
              <w:jc w:val="left"/>
              <w:rPr>
                <w:rFonts w:eastAsia="Times New Roman" w:cs="Cambria"/>
                <w:color w:val="000000" w:themeColor="text1"/>
                <w:szCs w:val="20"/>
                <w:lang w:eastAsia="fr-FR"/>
              </w:rPr>
            </w:pPr>
            <w:r w:rsidRPr="001F5996">
              <w:rPr>
                <w:rFonts w:ascii="Symbol" w:eastAsia="Symbol" w:hAnsi="Symbol" w:cs="Symbol"/>
                <w:i/>
                <w:iCs/>
              </w:rPr>
              <w:t></w:t>
            </w:r>
          </w:p>
        </w:tc>
        <w:tc>
          <w:tcPr>
            <w:tcW w:w="7938" w:type="dxa"/>
          </w:tcPr>
          <w:p w14:paraId="3FF734DF" w14:textId="0F9C7264" w:rsidR="009762DF" w:rsidRPr="00464B4C" w:rsidRDefault="009762DF" w:rsidP="002061E5">
            <w:pPr>
              <w:spacing w:after="60"/>
              <w:rPr>
                <w:rFonts w:eastAsia="Times New Roman" w:cs="Cambria"/>
                <w:color w:val="000000" w:themeColor="text1"/>
                <w:szCs w:val="20"/>
                <w:lang w:eastAsia="fr-FR"/>
              </w:rPr>
            </w:pPr>
            <w:r w:rsidRPr="001F5996">
              <w:t>is the seismic action magnification factor;</w:t>
            </w:r>
          </w:p>
        </w:tc>
      </w:tr>
      <w:tr w:rsidR="009762DF" w:rsidRPr="000F2AFF" w14:paraId="13D45E59" w14:textId="77777777" w:rsidTr="008217FC">
        <w:tc>
          <w:tcPr>
            <w:tcW w:w="1275" w:type="dxa"/>
          </w:tcPr>
          <w:p w14:paraId="5FEC00BA" w14:textId="1B059ABE" w:rsidR="009762DF" w:rsidRPr="000F2AFF" w:rsidRDefault="009762DF" w:rsidP="002061E5">
            <w:pPr>
              <w:spacing w:after="60"/>
              <w:jc w:val="left"/>
              <w:rPr>
                <w:rFonts w:eastAsia="Times New Roman" w:cs="Cambria"/>
                <w:color w:val="000000" w:themeColor="text1"/>
                <w:szCs w:val="20"/>
                <w:lang w:eastAsia="fr-FR"/>
              </w:rPr>
            </w:pPr>
            <w:r w:rsidRPr="001F5996">
              <w:t>"+"</w:t>
            </w:r>
          </w:p>
        </w:tc>
        <w:tc>
          <w:tcPr>
            <w:tcW w:w="7938" w:type="dxa"/>
          </w:tcPr>
          <w:p w14:paraId="7BE4CE89" w14:textId="0D34048B" w:rsidR="009762DF" w:rsidRPr="00464B4C" w:rsidRDefault="009762DF" w:rsidP="002061E5">
            <w:pPr>
              <w:spacing w:after="60"/>
              <w:rPr>
                <w:rFonts w:eastAsia="Times New Roman" w:cs="Cambria"/>
                <w:color w:val="000000" w:themeColor="text1"/>
                <w:szCs w:val="20"/>
                <w:lang w:eastAsia="fr-FR"/>
              </w:rPr>
            </w:pPr>
            <w:r w:rsidRPr="001F5996">
              <w:t>means combined with + or – sign</w:t>
            </w:r>
            <w:r>
              <w:t>.</w:t>
            </w:r>
          </w:p>
        </w:tc>
      </w:tr>
    </w:tbl>
    <w:p w14:paraId="5070016D" w14:textId="6FD40F93" w:rsidR="009762DF" w:rsidRPr="007754C9" w:rsidRDefault="009762DF" w:rsidP="00724E4E">
      <w:pPr>
        <w:pStyle w:val="Clause"/>
      </w:pPr>
      <w:r w:rsidRPr="004F25D7">
        <w:t xml:space="preserve">The seismic action magnification factor </w:t>
      </w:r>
      <w:r w:rsidRPr="00C52095">
        <w:rPr>
          <w:rFonts w:ascii="Symbol" w:eastAsia="Symbol" w:hAnsi="Symbol" w:cs="Symbol"/>
          <w:i/>
          <w:iCs/>
        </w:rPr>
        <w:t></w:t>
      </w:r>
      <w:r w:rsidRPr="00C52095">
        <w:rPr>
          <w:i/>
          <w:iCs/>
        </w:rPr>
        <w:t xml:space="preserve"> </w:t>
      </w:r>
      <w:r w:rsidRPr="00C52095">
        <w:t>should be taken as given in a) to c), as appr</w:t>
      </w:r>
      <w:r w:rsidRPr="007754C9">
        <w:t>opriate:</w:t>
      </w:r>
    </w:p>
    <w:p w14:paraId="73F38384" w14:textId="4E75C9F1" w:rsidR="009762DF" w:rsidRPr="007754C9" w:rsidRDefault="009762DF" w:rsidP="0080187E">
      <w:pPr>
        <w:pStyle w:val="Text"/>
        <w:numPr>
          <w:ilvl w:val="0"/>
          <w:numId w:val="676"/>
        </w:numPr>
        <w:rPr>
          <w:rFonts w:eastAsia="Cambria"/>
        </w:rPr>
      </w:pPr>
      <w:r w:rsidRPr="007754C9">
        <w:t xml:space="preserve">1,6 for single-storey </w:t>
      </w:r>
      <w:r>
        <w:t>m</w:t>
      </w:r>
      <w:r w:rsidRPr="002144A0">
        <w:t>oment-resisting frames</w:t>
      </w:r>
      <w:r w:rsidRPr="007754C9">
        <w:t>;</w:t>
      </w:r>
    </w:p>
    <w:p w14:paraId="600965BF" w14:textId="7264FB0D" w:rsidR="009762DF" w:rsidRPr="00132C1E" w:rsidRDefault="009762DF" w:rsidP="0080187E">
      <w:pPr>
        <w:pStyle w:val="Text"/>
        <w:numPr>
          <w:ilvl w:val="0"/>
          <w:numId w:val="676"/>
        </w:numPr>
      </w:pPr>
      <w:r w:rsidRPr="00132C1E">
        <w:t xml:space="preserve">1,8 for multi-storey, one-bay </w:t>
      </w:r>
      <w:r>
        <w:t>m</w:t>
      </w:r>
      <w:r w:rsidRPr="002144A0">
        <w:t>oment-resisting frames</w:t>
      </w:r>
      <w:r w:rsidRPr="00132C1E">
        <w:t>;</w:t>
      </w:r>
    </w:p>
    <w:p w14:paraId="639147E5" w14:textId="270008C0" w:rsidR="009762DF" w:rsidRPr="00132C1E" w:rsidRDefault="009762DF" w:rsidP="0080187E">
      <w:pPr>
        <w:pStyle w:val="Text"/>
        <w:numPr>
          <w:ilvl w:val="0"/>
          <w:numId w:val="676"/>
        </w:numPr>
      </w:pPr>
      <w:r w:rsidRPr="00132C1E">
        <w:t xml:space="preserve">2,0 for multi-storey, multi-bay </w:t>
      </w:r>
      <w:r>
        <w:t>m</w:t>
      </w:r>
      <w:r w:rsidRPr="002144A0">
        <w:t>oment-resisting frames</w:t>
      </w:r>
      <w:r w:rsidRPr="00132C1E">
        <w:t>.</w:t>
      </w:r>
    </w:p>
    <w:p w14:paraId="57801187" w14:textId="77777777" w:rsidR="009762DF" w:rsidRPr="00132C1E" w:rsidRDefault="009762DF" w:rsidP="009762DF">
      <w:pPr>
        <w:pStyle w:val="Heading3"/>
      </w:pPr>
      <w:bookmarkStart w:id="10447" w:name="_Toc50150594"/>
      <w:bookmarkStart w:id="10448" w:name="_Toc70887026"/>
      <w:bookmarkStart w:id="10449" w:name="_Toc108342596"/>
      <w:bookmarkStart w:id="10450" w:name="_Toc134198118"/>
      <w:r>
        <w:t>Verification in</w:t>
      </w:r>
      <w:r w:rsidRPr="00132C1E">
        <w:t xml:space="preserve"> DC3</w:t>
      </w:r>
      <w:bookmarkEnd w:id="10447"/>
      <w:bookmarkEnd w:id="10448"/>
      <w:bookmarkEnd w:id="10449"/>
      <w:bookmarkEnd w:id="10450"/>
    </w:p>
    <w:p w14:paraId="672D531D" w14:textId="6AC8F63D" w:rsidR="009762DF" w:rsidRDefault="009762DF" w:rsidP="0080187E">
      <w:pPr>
        <w:pStyle w:val="Clause"/>
        <w:numPr>
          <w:ilvl w:val="0"/>
          <w:numId w:val="470"/>
        </w:numPr>
      </w:pPr>
      <w:r w:rsidRPr="00835C82">
        <w:t>13.10.2(1)</w:t>
      </w:r>
      <w:r w:rsidRPr="00132C1E">
        <w:t xml:space="preserve"> should be applied.</w:t>
      </w:r>
    </w:p>
    <w:p w14:paraId="50DA6F07" w14:textId="7B1E78F1" w:rsidR="009762DF" w:rsidRPr="00132C1E" w:rsidRDefault="009762DF" w:rsidP="00724E4E">
      <w:pPr>
        <w:pStyle w:val="Clause"/>
      </w:pPr>
      <w:r w:rsidRPr="00835C82">
        <w:t>6.2.7(3)</w:t>
      </w:r>
      <w:r w:rsidRPr="00F04EE9">
        <w:t xml:space="preserve"> should not be applied.</w:t>
      </w:r>
    </w:p>
    <w:p w14:paraId="66E2442B" w14:textId="3E6F60F1" w:rsidR="009762DF" w:rsidRPr="00132C1E" w:rsidRDefault="009762DF" w:rsidP="00724E4E">
      <w:pPr>
        <w:pStyle w:val="Clause"/>
      </w:pPr>
      <w:r w:rsidRPr="00132C1E">
        <w:t xml:space="preserve">High-ductility joints shall be used, namely joints with a rotational ductility </w:t>
      </w:r>
      <w:r w:rsidRPr="00132C1E">
        <w:rPr>
          <w:i/>
        </w:rPr>
        <w:t>μ</w:t>
      </w:r>
      <w:r w:rsidRPr="00132C1E">
        <w:t xml:space="preserve"> defined in accordance with EN</w:t>
      </w:r>
      <w:r w:rsidR="00FD4EB5">
        <w:t> </w:t>
      </w:r>
      <w:r w:rsidRPr="00132C1E">
        <w:t xml:space="preserve">12512 not less than 7 determined accordingly, with a value of </w:t>
      </w:r>
      <w:r w:rsidRPr="00132C1E">
        <w:rPr>
          <w:i/>
        </w:rPr>
        <w:t>k</w:t>
      </w:r>
      <w:r w:rsidRPr="00132C1E">
        <w:rPr>
          <w:vertAlign w:val="subscript"/>
        </w:rPr>
        <w:t>deg</w:t>
      </w:r>
      <w:r w:rsidRPr="00132C1E">
        <w:t xml:space="preserve"> defined in </w:t>
      </w:r>
      <w:r w:rsidRPr="00835C82">
        <w:t>13.3.1(1)</w:t>
      </w:r>
      <w:r w:rsidRPr="00132C1E">
        <w:t xml:space="preserve"> not less than 0,8 and a value of </w:t>
      </w:r>
      <w:r w:rsidRPr="00132C1E">
        <w:rPr>
          <w:i/>
        </w:rPr>
        <w:t>φ</w:t>
      </w:r>
      <w:r w:rsidRPr="00132C1E">
        <w:rPr>
          <w:i/>
          <w:vertAlign w:val="subscript"/>
        </w:rPr>
        <w:t>i</w:t>
      </w:r>
      <w:r w:rsidRPr="00132C1E">
        <w:rPr>
          <w:vertAlign w:val="subscript"/>
        </w:rPr>
        <w:t>mp</w:t>
      </w:r>
      <w:r w:rsidRPr="00132C1E">
        <w:t xml:space="preserve"> defined in </w:t>
      </w:r>
      <w:r w:rsidRPr="00835C82">
        <w:t>13.3.1(1)</w:t>
      </w:r>
      <w:r w:rsidRPr="00132C1E">
        <w:t xml:space="preserve"> not greater than 0,3.</w:t>
      </w:r>
    </w:p>
    <w:p w14:paraId="115E23A7" w14:textId="0D222C81" w:rsidR="009762DF" w:rsidRPr="00FD4EB5" w:rsidRDefault="009762DF" w:rsidP="00B80F46">
      <w:pPr>
        <w:pStyle w:val="Notetext"/>
      </w:pPr>
      <w:r w:rsidRPr="00132C1E">
        <w:t>NOTE</w:t>
      </w:r>
      <w:r w:rsidRPr="00132C1E">
        <w:tab/>
        <w:t xml:space="preserve">Joints with expanded tube fasteners reinforced with densified veneer wood designed and constructed in </w:t>
      </w:r>
      <w:r w:rsidRPr="00B33E3E">
        <w:t xml:space="preserve">accordance with </w:t>
      </w:r>
      <w:r w:rsidR="007F3697">
        <w:t>prEN </w:t>
      </w:r>
      <w:r w:rsidR="006067DF">
        <w:t>1995-1-1:2023</w:t>
      </w:r>
      <w:r w:rsidRPr="00FD4EB5">
        <w:t>, Annex R, can be considered as high ductility joints according to (3).</w:t>
      </w:r>
    </w:p>
    <w:p w14:paraId="638A8513" w14:textId="5B12B693" w:rsidR="009762DF" w:rsidRPr="00B33E3E" w:rsidRDefault="009762DF" w:rsidP="00724E4E">
      <w:pPr>
        <w:pStyle w:val="Clause"/>
      </w:pPr>
      <w:r w:rsidRPr="00835C82">
        <w:t>13.7.3(9)</w:t>
      </w:r>
      <w:r w:rsidRPr="00B33E3E">
        <w:t xml:space="preserve"> should be applied.</w:t>
      </w:r>
    </w:p>
    <w:p w14:paraId="542007B6" w14:textId="77F31D82" w:rsidR="009762DF" w:rsidRPr="00B33E3E" w:rsidRDefault="009762DF" w:rsidP="00724E4E">
      <w:pPr>
        <w:pStyle w:val="Clause"/>
      </w:pPr>
      <w:r w:rsidRPr="00835C82">
        <w:t>13.7.3(12)</w:t>
      </w:r>
      <w:r w:rsidRPr="00B33E3E">
        <w:t xml:space="preserve"> should be applied for the ductility of the high ductility joints.</w:t>
      </w:r>
    </w:p>
    <w:p w14:paraId="6BD4BAD7" w14:textId="127AC534" w:rsidR="009762DF" w:rsidRPr="00B33E3E" w:rsidRDefault="009762DF" w:rsidP="00724E4E">
      <w:pPr>
        <w:pStyle w:val="Clause"/>
      </w:pPr>
      <w:r w:rsidRPr="00835C82">
        <w:t>13.7.2(10)</w:t>
      </w:r>
      <w:r w:rsidRPr="00B33E3E">
        <w:t xml:space="preserve"> should be applied to the dissipative connections.</w:t>
      </w:r>
    </w:p>
    <w:p w14:paraId="5B10AF42" w14:textId="1BFF875E" w:rsidR="009762DF" w:rsidRPr="00B33E3E" w:rsidRDefault="009762DF" w:rsidP="00724E4E">
      <w:pPr>
        <w:pStyle w:val="Clause"/>
      </w:pPr>
      <w:bookmarkStart w:id="10451" w:name="_Toc520573599"/>
      <w:bookmarkStart w:id="10452" w:name="_Toc2160644"/>
      <w:bookmarkStart w:id="10453" w:name="_Toc17491762"/>
      <w:r w:rsidRPr="00835C82">
        <w:t>13.10.2(4)</w:t>
      </w:r>
      <w:r w:rsidRPr="00B33E3E">
        <w:t xml:space="preserve"> and </w:t>
      </w:r>
      <w:r w:rsidRPr="00835C82">
        <w:t>(5)</w:t>
      </w:r>
      <w:r w:rsidRPr="00B33E3E">
        <w:t xml:space="preserve"> should be applied.</w:t>
      </w:r>
    </w:p>
    <w:p w14:paraId="2A205936" w14:textId="754CD45A" w:rsidR="009762DF" w:rsidRPr="00B33E3E" w:rsidRDefault="009762DF" w:rsidP="009762DF">
      <w:pPr>
        <w:pStyle w:val="Heading3"/>
      </w:pPr>
      <w:bookmarkStart w:id="10454" w:name="_Toc50150595"/>
      <w:bookmarkStart w:id="10455" w:name="_Toc70887027"/>
      <w:bookmarkStart w:id="10456" w:name="_Toc108342597"/>
      <w:bookmarkStart w:id="10457" w:name="_Toc134198119"/>
      <w:r w:rsidRPr="00B33E3E">
        <w:t>Detailing rules</w:t>
      </w:r>
      <w:bookmarkEnd w:id="10451"/>
      <w:bookmarkEnd w:id="10452"/>
      <w:bookmarkEnd w:id="10453"/>
      <w:bookmarkEnd w:id="10454"/>
      <w:bookmarkEnd w:id="10455"/>
      <w:bookmarkEnd w:id="10456"/>
      <w:bookmarkEnd w:id="10457"/>
    </w:p>
    <w:p w14:paraId="360B251D" w14:textId="772CD522" w:rsidR="009762DF" w:rsidRPr="00B33E3E" w:rsidRDefault="009762DF" w:rsidP="0080187E">
      <w:pPr>
        <w:pStyle w:val="Clause"/>
        <w:numPr>
          <w:ilvl w:val="0"/>
          <w:numId w:val="471"/>
        </w:numPr>
      </w:pPr>
      <w:r w:rsidRPr="00835C82">
        <w:t>13.7.4(1)</w:t>
      </w:r>
      <w:r w:rsidRPr="00B33E3E">
        <w:t xml:space="preserve"> should be applied.</w:t>
      </w:r>
    </w:p>
    <w:p w14:paraId="649BA1B9" w14:textId="0DF969AC" w:rsidR="009762DF" w:rsidRPr="00B33E3E" w:rsidRDefault="009762DF" w:rsidP="00724E4E">
      <w:pPr>
        <w:pStyle w:val="Clause"/>
      </w:pPr>
      <w:r w:rsidRPr="00B33E3E">
        <w:t>Dowels, smooth nails and staples should be used with measures against withdrawal (e.g., some fasteners with withdrawal resistance, see Figure 13.12) to avoid member separation due to possible out-of-plane loads. Such measures may be omitted in secondary members.</w:t>
      </w:r>
    </w:p>
    <w:p w14:paraId="41982E64" w14:textId="73120B74" w:rsidR="009762DF" w:rsidRPr="00132C1E" w:rsidRDefault="009762DF" w:rsidP="00724E4E">
      <w:pPr>
        <w:pStyle w:val="Clause"/>
      </w:pPr>
      <w:r w:rsidRPr="00B33E3E">
        <w:t>Splitting of wood due to secondary tensile stresses induced by the bending moment should be avoided by reinforcing the connection region with screws or glued-in rods (Fig</w:t>
      </w:r>
      <w:r w:rsidR="00B80F46">
        <w:t>ure</w:t>
      </w:r>
      <w:r w:rsidRPr="00B33E3E">
        <w:t xml:space="preserve"> 13.12). Reinforcing elements should be designed according to </w:t>
      </w:r>
      <w:r w:rsidR="007F3697">
        <w:t>prEN </w:t>
      </w:r>
      <w:r w:rsidR="006067DF">
        <w:t>1995-1-1:2023</w:t>
      </w:r>
      <w:r w:rsidRPr="00B33E3E">
        <w:t xml:space="preserve">, </w:t>
      </w:r>
      <w:r w:rsidRPr="00835C82">
        <w:t xml:space="preserve">11.4.2 </w:t>
      </w:r>
      <w:r w:rsidRPr="00B80F46">
        <w:t xml:space="preserve">and </w:t>
      </w:r>
      <w:r w:rsidRPr="00835C82">
        <w:t>11.2</w:t>
      </w:r>
      <w:r w:rsidRPr="00B33E3E">
        <w:t xml:space="preserve">, to resist a tensile force </w:t>
      </w:r>
      <w:r w:rsidRPr="00B33E3E">
        <w:rPr>
          <w:i/>
        </w:rPr>
        <w:t>F</w:t>
      </w:r>
      <w:r w:rsidRPr="00B33E3E">
        <w:rPr>
          <w:vertAlign w:val="subscript"/>
        </w:rPr>
        <w:t>t,90.Ed</w:t>
      </w:r>
      <w:r w:rsidRPr="00B33E3E">
        <w:t xml:space="preserve"> given</w:t>
      </w:r>
      <w:r w:rsidRPr="00132C1E">
        <w:t xml:space="preserve"> by Formula (13.</w:t>
      </w:r>
      <w:r>
        <w:t>21</w:t>
      </w:r>
      <w:r w:rsidRPr="00132C1E">
        <w:t>)</w:t>
      </w:r>
      <w:r>
        <w:t>.</w:t>
      </w:r>
    </w:p>
    <w:p w14:paraId="75DCC3F5" w14:textId="4B9C9100" w:rsidR="00B80F46" w:rsidRDefault="009B5CEC" w:rsidP="00B80F46">
      <w:pPr>
        <w:pStyle w:val="Formula"/>
        <w:spacing w:before="240"/>
      </w:pPr>
      <m:oMath>
        <m:sSub>
          <m:sSubPr>
            <m:ctrlPr>
              <w:rPr>
                <w:rFonts w:ascii="Cambria Math" w:hAnsi="Cambria Math"/>
              </w:rPr>
            </m:ctrlPr>
          </m:sSubPr>
          <m:e>
            <m:r>
              <w:rPr>
                <w:rFonts w:ascii="Cambria Math" w:hAnsi="Cambria Math"/>
              </w:rPr>
              <m:t>F</m:t>
            </m:r>
          </m:e>
          <m:sub>
            <m:r>
              <m:rPr>
                <m:sty m:val="p"/>
              </m:rPr>
              <w:rPr>
                <w:rFonts w:ascii="Cambria Math" w:hAnsi="Cambria Math"/>
              </w:rPr>
              <m:t>t,90,Ed</m:t>
            </m:r>
          </m:sub>
        </m:sSub>
        <m:r>
          <w:rPr>
            <w:rFonts w:ascii="Cambria Math" w:hAnsi="Cambria Math"/>
          </w:rPr>
          <m:t>=</m:t>
        </m:r>
        <m:f>
          <m:fPr>
            <m:ctrlPr>
              <w:rPr>
                <w:rFonts w:ascii="Cambria Math" w:hAnsi="Cambria Math"/>
              </w:rPr>
            </m:ctrlPr>
          </m:fPr>
          <m:num>
            <m:r>
              <w:rPr>
                <w:rFonts w:ascii="Cambria Math" w:hAnsi="Cambria Math"/>
              </w:rPr>
              <m:t>1</m:t>
            </m:r>
          </m:num>
          <m:den>
            <m:r>
              <w:rPr>
                <w:rFonts w:ascii="Cambria Math" w:hAnsi="Cambria Math"/>
              </w:rPr>
              <m:t>12</m:t>
            </m:r>
          </m:den>
        </m:f>
        <m:sSub>
          <m:sSubPr>
            <m:ctrlPr>
              <w:rPr>
                <w:rFonts w:ascii="Cambria Math" w:hAnsi="Cambria Math"/>
              </w:rPr>
            </m:ctrlPr>
          </m:sSubPr>
          <m:e>
            <m:r>
              <w:rPr>
                <w:rFonts w:ascii="Cambria Math" w:hAnsi="Cambria Math"/>
              </w:rPr>
              <m:t>n</m:t>
            </m:r>
          </m:e>
          <m:sub>
            <m:r>
              <m:rPr>
                <m:sty m:val="p"/>
              </m:rPr>
              <w:rPr>
                <w:rFonts w:ascii="Cambria Math" w:hAnsi="Cambria Math"/>
              </w:rPr>
              <m:t>e</m:t>
            </m:r>
          </m:sub>
        </m:sSub>
        <m:r>
          <w:rPr>
            <w:rFonts w:ascii="Cambria Math" w:hAnsi="Cambria Math"/>
          </w:rPr>
          <m:t xml:space="preserve"> </m:t>
        </m:r>
        <m:sSub>
          <m:sSubPr>
            <m:ctrlPr>
              <w:rPr>
                <w:rFonts w:ascii="Cambria Math" w:hAnsi="Cambria Math"/>
              </w:rPr>
            </m:ctrlPr>
          </m:sSubPr>
          <m:e>
            <m:r>
              <w:rPr>
                <w:rFonts w:ascii="Cambria Math" w:hAnsi="Cambria Math"/>
              </w:rPr>
              <m:t>F</m:t>
            </m:r>
          </m:e>
          <m:sub>
            <m:r>
              <m:rPr>
                <m:sty m:val="p"/>
              </m:rPr>
              <w:rPr>
                <w:rFonts w:ascii="Cambria Math" w:hAnsi="Cambria Math"/>
              </w:rPr>
              <m:t>M,Ed</m:t>
            </m:r>
          </m:sub>
        </m:sSub>
      </m:oMath>
      <w:r w:rsidR="00B80F46" w:rsidRPr="00870D59">
        <w:tab/>
        <w:t>(1</w:t>
      </w:r>
      <w:r w:rsidR="00B80F46">
        <w:t>3</w:t>
      </w:r>
      <w:r w:rsidR="00B80F46" w:rsidRPr="00870D59">
        <w:t>.</w:t>
      </w:r>
      <w:r w:rsidR="00B80F46">
        <w:t>21</w:t>
      </w:r>
      <w:r w:rsidR="00B80F46" w:rsidRPr="00870D59">
        <w:t>)</w:t>
      </w:r>
    </w:p>
    <w:p w14:paraId="315681C5" w14:textId="1978F072" w:rsidR="00B80F46" w:rsidRPr="001B2671" w:rsidRDefault="00675EBA" w:rsidP="00FD4EB5">
      <w:pPr>
        <w:pStyle w:val="Text"/>
      </w:pPr>
      <w:r>
        <w:t>where</w:t>
      </w:r>
    </w:p>
    <w:tbl>
      <w:tblPr>
        <w:tblW w:w="0" w:type="auto"/>
        <w:tblInd w:w="284" w:type="dxa"/>
        <w:tblLook w:val="04A0" w:firstRow="1" w:lastRow="0" w:firstColumn="1" w:lastColumn="0" w:noHBand="0" w:noVBand="1"/>
      </w:tblPr>
      <w:tblGrid>
        <w:gridCol w:w="1525"/>
        <w:gridCol w:w="7938"/>
      </w:tblGrid>
      <w:tr w:rsidR="00B80F46" w:rsidRPr="000F2AFF" w14:paraId="6870D2DD" w14:textId="77777777" w:rsidTr="000E61CC">
        <w:tc>
          <w:tcPr>
            <w:tcW w:w="1525" w:type="dxa"/>
          </w:tcPr>
          <w:p w14:paraId="5EBD2E78" w14:textId="13C1DBEF" w:rsidR="00B80F46" w:rsidRPr="000F2AFF" w:rsidRDefault="00B80F46" w:rsidP="002061E5">
            <w:pPr>
              <w:spacing w:after="60"/>
              <w:jc w:val="left"/>
              <w:rPr>
                <w:rFonts w:eastAsia="Times New Roman" w:cs="Cambria"/>
                <w:color w:val="000000" w:themeColor="text1"/>
                <w:szCs w:val="20"/>
                <w:lang w:eastAsia="fr-FR"/>
              </w:rPr>
            </w:pPr>
            <w:r w:rsidRPr="007E6F67">
              <w:rPr>
                <w:i/>
              </w:rPr>
              <w:t>F</w:t>
            </w:r>
            <w:r w:rsidRPr="00FD17CF">
              <w:rPr>
                <w:vertAlign w:val="subscript"/>
              </w:rPr>
              <w:t>t,90,Ed</w:t>
            </w:r>
          </w:p>
        </w:tc>
        <w:tc>
          <w:tcPr>
            <w:tcW w:w="7938" w:type="dxa"/>
          </w:tcPr>
          <w:p w14:paraId="1AAC8B83" w14:textId="7BA0AF20" w:rsidR="00B80F46" w:rsidRPr="00DF3AF1" w:rsidRDefault="00B80F46" w:rsidP="002061E5">
            <w:pPr>
              <w:spacing w:after="60"/>
              <w:rPr>
                <w:rFonts w:eastAsia="Times New Roman" w:cs="Cambria"/>
                <w:szCs w:val="20"/>
                <w:lang w:eastAsia="fr-FR"/>
              </w:rPr>
            </w:pPr>
            <w:r w:rsidRPr="00FD17CF">
              <w:t>is the design tensile force in the reinforcement;</w:t>
            </w:r>
          </w:p>
        </w:tc>
      </w:tr>
      <w:tr w:rsidR="00B80F46" w:rsidRPr="000F2AFF" w14:paraId="674CA4B0" w14:textId="77777777" w:rsidTr="000E61CC">
        <w:tc>
          <w:tcPr>
            <w:tcW w:w="1525" w:type="dxa"/>
          </w:tcPr>
          <w:p w14:paraId="4B5663EB" w14:textId="49AA93C0" w:rsidR="00B80F46" w:rsidRPr="000F2AFF" w:rsidRDefault="00B80F46" w:rsidP="002061E5">
            <w:pPr>
              <w:spacing w:after="60"/>
              <w:jc w:val="left"/>
              <w:rPr>
                <w:rFonts w:eastAsia="Times New Roman" w:cs="Cambria"/>
                <w:color w:val="000000" w:themeColor="text1"/>
                <w:szCs w:val="20"/>
                <w:lang w:eastAsia="fr-FR"/>
              </w:rPr>
            </w:pPr>
            <w:r w:rsidRPr="00E05E29">
              <w:rPr>
                <w:i/>
              </w:rPr>
              <w:t>F</w:t>
            </w:r>
            <w:r w:rsidRPr="00E05E29">
              <w:rPr>
                <w:vertAlign w:val="subscript"/>
              </w:rPr>
              <w:t>M,Ed</w:t>
            </w:r>
          </w:p>
        </w:tc>
        <w:tc>
          <w:tcPr>
            <w:tcW w:w="7938" w:type="dxa"/>
          </w:tcPr>
          <w:p w14:paraId="4C43FCF8" w14:textId="4B9DD8C5" w:rsidR="00B80F46" w:rsidRPr="00DF3AF1" w:rsidRDefault="00B80F46" w:rsidP="002061E5">
            <w:pPr>
              <w:spacing w:after="60"/>
              <w:rPr>
                <w:rFonts w:eastAsia="Times New Roman" w:cs="Cambria"/>
                <w:szCs w:val="20"/>
                <w:lang w:eastAsia="fr-FR"/>
              </w:rPr>
            </w:pPr>
            <w:r w:rsidRPr="00E05E29">
              <w:t>is the design shear force in a fastener in the outer circle due to the bending moment transmitted by the joint;</w:t>
            </w:r>
          </w:p>
        </w:tc>
      </w:tr>
      <w:tr w:rsidR="00B80F46" w:rsidRPr="000F2AFF" w14:paraId="12AE8B71" w14:textId="77777777" w:rsidTr="000E61CC">
        <w:tc>
          <w:tcPr>
            <w:tcW w:w="1525" w:type="dxa"/>
          </w:tcPr>
          <w:p w14:paraId="0256D1AD" w14:textId="1EC51609" w:rsidR="00B80F46" w:rsidRPr="000F2AFF" w:rsidRDefault="00B80F46" w:rsidP="002061E5">
            <w:pPr>
              <w:spacing w:after="60"/>
              <w:jc w:val="left"/>
              <w:rPr>
                <w:rFonts w:eastAsia="Times New Roman" w:cs="Cambria"/>
                <w:color w:val="000000" w:themeColor="text1"/>
                <w:szCs w:val="20"/>
                <w:lang w:eastAsia="fr-FR"/>
              </w:rPr>
            </w:pPr>
            <w:r w:rsidRPr="002144A0">
              <w:rPr>
                <w:i/>
              </w:rPr>
              <w:t>n</w:t>
            </w:r>
            <w:r w:rsidRPr="002144A0">
              <w:rPr>
                <w:vertAlign w:val="subscript"/>
              </w:rPr>
              <w:t>e</w:t>
            </w:r>
          </w:p>
        </w:tc>
        <w:tc>
          <w:tcPr>
            <w:tcW w:w="7938" w:type="dxa"/>
          </w:tcPr>
          <w:p w14:paraId="57B6963D" w14:textId="6F306E85" w:rsidR="00B80F46" w:rsidRPr="00464B4C" w:rsidRDefault="00B80F46" w:rsidP="002061E5">
            <w:pPr>
              <w:spacing w:after="60"/>
              <w:rPr>
                <w:rFonts w:eastAsia="Times New Roman" w:cs="Cambria"/>
                <w:color w:val="000000" w:themeColor="text1"/>
                <w:szCs w:val="20"/>
                <w:lang w:eastAsia="fr-FR"/>
              </w:rPr>
            </w:pPr>
            <w:r w:rsidRPr="002144A0">
              <w:t>is the number of fasteners in the outer circle.</w:t>
            </w:r>
          </w:p>
        </w:tc>
      </w:tr>
    </w:tbl>
    <w:p w14:paraId="306971D1" w14:textId="49CBA981" w:rsidR="00B80F46" w:rsidRPr="00132C1E" w:rsidRDefault="00F357DA" w:rsidP="00F357DA">
      <w:pPr>
        <w:pStyle w:val="FigureImage"/>
        <w:rPr>
          <w:highlight w:val="yellow"/>
        </w:rPr>
      </w:pPr>
      <w:r>
        <w:rPr>
          <w:noProof/>
        </w:rPr>
        <w:drawing>
          <wp:inline distT="0" distB="0" distL="0" distR="0" wp14:anchorId="25329CFF" wp14:editId="02FDB3A6">
            <wp:extent cx="2880365" cy="3226313"/>
            <wp:effectExtent l="0" t="0" r="0" b="0"/>
            <wp:docPr id="2081949443" name="0056.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1949443" name="0056.tiff"/>
                    <pic:cNvPicPr/>
                  </pic:nvPicPr>
                  <pic:blipFill>
                    <a:blip r:link="rId81"/>
                    <a:stretch>
                      <a:fillRect/>
                    </a:stretch>
                  </pic:blipFill>
                  <pic:spPr>
                    <a:xfrm>
                      <a:off x="0" y="0"/>
                      <a:ext cx="2880365" cy="3226313"/>
                    </a:xfrm>
                    <a:prstGeom prst="rect">
                      <a:avLst/>
                    </a:prstGeom>
                  </pic:spPr>
                </pic:pic>
              </a:graphicData>
            </a:graphic>
          </wp:inline>
        </w:drawing>
      </w:r>
    </w:p>
    <w:p w14:paraId="58403012" w14:textId="77777777" w:rsidR="00B80F46" w:rsidRPr="00D1484A" w:rsidRDefault="00B80F46" w:rsidP="00F357DA">
      <w:pPr>
        <w:pStyle w:val="KeyTitle"/>
      </w:pPr>
      <w:r w:rsidRPr="00D1484A">
        <w:t>Key</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
        <w:gridCol w:w="9363"/>
      </w:tblGrid>
      <w:tr w:rsidR="00B80F46" w:rsidRPr="00B5422C" w14:paraId="36BF1FE9" w14:textId="77777777" w:rsidTr="008217FC">
        <w:tc>
          <w:tcPr>
            <w:tcW w:w="388" w:type="dxa"/>
          </w:tcPr>
          <w:p w14:paraId="318117E1" w14:textId="77777777" w:rsidR="00B80F46" w:rsidRPr="008618F2" w:rsidRDefault="00B80F46" w:rsidP="008618F2">
            <w:pPr>
              <w:pStyle w:val="KeyText"/>
              <w:spacing w:before="0"/>
              <w:rPr>
                <w:iCs/>
              </w:rPr>
            </w:pPr>
            <w:r w:rsidRPr="008618F2">
              <w:rPr>
                <w:iCs/>
              </w:rPr>
              <w:t>A</w:t>
            </w:r>
          </w:p>
        </w:tc>
        <w:tc>
          <w:tcPr>
            <w:tcW w:w="9363" w:type="dxa"/>
          </w:tcPr>
          <w:p w14:paraId="407DD773" w14:textId="1019E9E5" w:rsidR="00B80F46" w:rsidRPr="008618F2" w:rsidRDefault="00F357DA" w:rsidP="008618F2">
            <w:pPr>
              <w:pStyle w:val="KeyText"/>
              <w:spacing w:before="0"/>
            </w:pPr>
            <w:r w:rsidRPr="008618F2">
              <w:t>s</w:t>
            </w:r>
            <w:r w:rsidR="00B80F46" w:rsidRPr="008618F2">
              <w:t>elf-tapping screws or glued-in rods reinforcement</w:t>
            </w:r>
          </w:p>
        </w:tc>
      </w:tr>
      <w:tr w:rsidR="00B80F46" w:rsidRPr="00132C1E" w14:paraId="60A4C178" w14:textId="77777777" w:rsidTr="008217FC">
        <w:tc>
          <w:tcPr>
            <w:tcW w:w="388" w:type="dxa"/>
          </w:tcPr>
          <w:p w14:paraId="5D37EBE9" w14:textId="77777777" w:rsidR="00B80F46" w:rsidRPr="008618F2" w:rsidRDefault="00B80F46" w:rsidP="008618F2">
            <w:pPr>
              <w:pStyle w:val="KeyText"/>
              <w:spacing w:before="0"/>
              <w:rPr>
                <w:iCs/>
              </w:rPr>
            </w:pPr>
            <w:r w:rsidRPr="008618F2">
              <w:rPr>
                <w:iCs/>
              </w:rPr>
              <w:t>B</w:t>
            </w:r>
          </w:p>
        </w:tc>
        <w:tc>
          <w:tcPr>
            <w:tcW w:w="9363" w:type="dxa"/>
          </w:tcPr>
          <w:p w14:paraId="45622150" w14:textId="18BFE852" w:rsidR="00B80F46" w:rsidRPr="008618F2" w:rsidRDefault="00F357DA" w:rsidP="008618F2">
            <w:pPr>
              <w:pStyle w:val="KeyText"/>
              <w:spacing w:before="0"/>
            </w:pPr>
            <w:r w:rsidRPr="008618F2">
              <w:t>d</w:t>
            </w:r>
            <w:r w:rsidR="00B80F46" w:rsidRPr="008618F2">
              <w:t>owels</w:t>
            </w:r>
          </w:p>
        </w:tc>
      </w:tr>
      <w:tr w:rsidR="00B80F46" w:rsidRPr="00132C1E" w14:paraId="4F01C53B" w14:textId="77777777" w:rsidTr="008217FC">
        <w:tc>
          <w:tcPr>
            <w:tcW w:w="388" w:type="dxa"/>
          </w:tcPr>
          <w:p w14:paraId="2B9EF668" w14:textId="77777777" w:rsidR="00B80F46" w:rsidRPr="008618F2" w:rsidRDefault="00B80F46" w:rsidP="008618F2">
            <w:pPr>
              <w:pStyle w:val="KeyText"/>
              <w:spacing w:before="0"/>
              <w:rPr>
                <w:iCs/>
              </w:rPr>
            </w:pPr>
            <w:r w:rsidRPr="008618F2">
              <w:rPr>
                <w:iCs/>
              </w:rPr>
              <w:t>C</w:t>
            </w:r>
          </w:p>
        </w:tc>
        <w:tc>
          <w:tcPr>
            <w:tcW w:w="9363" w:type="dxa"/>
          </w:tcPr>
          <w:p w14:paraId="0C5FB725" w14:textId="060FF014" w:rsidR="00B80F46" w:rsidRPr="008618F2" w:rsidRDefault="00F357DA" w:rsidP="008618F2">
            <w:pPr>
              <w:pStyle w:val="KeyText"/>
              <w:spacing w:before="0"/>
            </w:pPr>
            <w:r w:rsidRPr="008618F2">
              <w:t>b</w:t>
            </w:r>
            <w:r w:rsidR="00B80F46" w:rsidRPr="008618F2">
              <w:t>olts</w:t>
            </w:r>
          </w:p>
        </w:tc>
      </w:tr>
    </w:tbl>
    <w:p w14:paraId="11F84A85" w14:textId="3874726B" w:rsidR="00B80F46" w:rsidRPr="00E05E29" w:rsidRDefault="00B80F46" w:rsidP="00B80F46">
      <w:pPr>
        <w:pStyle w:val="Figuretitle"/>
      </w:pPr>
      <w:r w:rsidRPr="00132C1E">
        <w:t xml:space="preserve">Figure </w:t>
      </w:r>
      <w:r w:rsidR="00FD4EB5">
        <w:t>13</w:t>
      </w:r>
      <w:r w:rsidRPr="00132C1E">
        <w:t>.</w:t>
      </w:r>
      <w:r w:rsidRPr="00D1484A">
        <w:t>1</w:t>
      </w:r>
      <w:r>
        <w:t>2</w:t>
      </w:r>
      <w:r w:rsidRPr="00D1484A">
        <w:t> </w:t>
      </w:r>
      <w:r w:rsidRPr="00D1484A">
        <w:rPr>
          <w:rFonts w:ascii="`ÃÍœ˛" w:eastAsia="Cambria" w:hAnsi="`ÃÍœ˛" w:cs="`ÃÍœ˛"/>
          <w:szCs w:val="22"/>
          <w:lang w:eastAsia="de-DE"/>
        </w:rPr>
        <w:t>—</w:t>
      </w:r>
      <w:r w:rsidRPr="007E6F67">
        <w:t> Possible detail to avoid splitting of wood and member sepa</w:t>
      </w:r>
      <w:r w:rsidRPr="00FD17CF">
        <w:t>ration in the joint region</w:t>
      </w:r>
    </w:p>
    <w:p w14:paraId="7D4F7ADF" w14:textId="164E62FF" w:rsidR="00B80F46" w:rsidRPr="00C52095" w:rsidRDefault="00B80F46" w:rsidP="00724E4E">
      <w:pPr>
        <w:pStyle w:val="Clause"/>
      </w:pPr>
      <w:r w:rsidRPr="00B33E3E">
        <w:t xml:space="preserve">In high ductility joints with expanded tube fasteners according to </w:t>
      </w:r>
      <w:r w:rsidR="007F3697">
        <w:t>prEN </w:t>
      </w:r>
      <w:r w:rsidR="006067DF">
        <w:t>1995-1-1:2023</w:t>
      </w:r>
      <w:r w:rsidRPr="00B33E3E">
        <w:t xml:space="preserve">, </w:t>
      </w:r>
      <w:r w:rsidRPr="00835C82">
        <w:t>Annex R</w:t>
      </w:r>
      <w:r w:rsidRPr="00B80F46">
        <w:t>, t</w:t>
      </w:r>
      <w:r w:rsidRPr="00B33E3E">
        <w:t>he</w:t>
      </w:r>
      <w:r w:rsidRPr="002144A0">
        <w:t xml:space="preserve"> connection area should be reinforced with glued densified veneer wood in accordance with </w:t>
      </w:r>
      <w:r w:rsidRPr="00835C82">
        <w:t>13.3.2(4)</w:t>
      </w:r>
      <w:r w:rsidRPr="002144A0">
        <w:t xml:space="preserve"> f)</w:t>
      </w:r>
      <w:r>
        <w:t xml:space="preserve"> </w:t>
      </w:r>
      <w:r w:rsidRPr="002144A0">
        <w:t>or any equivalent type of reinforcing panels in order to allow yielding of the metal tube</w:t>
      </w:r>
      <w:r w:rsidRPr="004F25D7">
        <w:t>.</w:t>
      </w:r>
      <w:r w:rsidRPr="00E1602A">
        <w:t xml:space="preserve"> </w:t>
      </w:r>
    </w:p>
    <w:p w14:paraId="6D29C3CE" w14:textId="2FE0A93B" w:rsidR="00B80F46" w:rsidRPr="007754C9" w:rsidRDefault="00B80F46" w:rsidP="00B80F46">
      <w:pPr>
        <w:pStyle w:val="Heading2"/>
      </w:pPr>
      <w:bookmarkStart w:id="10458" w:name="_Toc520573600"/>
      <w:bookmarkStart w:id="10459" w:name="_Toc2160645"/>
      <w:bookmarkStart w:id="10460" w:name="_Toc17491763"/>
      <w:bookmarkStart w:id="10461" w:name="_Toc50150596"/>
      <w:bookmarkStart w:id="10462" w:name="_Toc70887028"/>
      <w:bookmarkStart w:id="10463" w:name="_Toc108342598"/>
      <w:bookmarkStart w:id="10464" w:name="_Toc134198120"/>
      <w:r w:rsidRPr="00C52095">
        <w:t>Rules for braced frame structures with dowel-type connections</w:t>
      </w:r>
      <w:bookmarkEnd w:id="10458"/>
      <w:bookmarkEnd w:id="10459"/>
      <w:bookmarkEnd w:id="10460"/>
      <w:bookmarkEnd w:id="10461"/>
      <w:bookmarkEnd w:id="10462"/>
      <w:bookmarkEnd w:id="10463"/>
      <w:bookmarkEnd w:id="10464"/>
    </w:p>
    <w:p w14:paraId="7649AD58" w14:textId="77777777" w:rsidR="00B80F46" w:rsidRPr="007754C9" w:rsidRDefault="00B80F46" w:rsidP="00B80F46">
      <w:pPr>
        <w:pStyle w:val="Heading3"/>
      </w:pPr>
      <w:bookmarkStart w:id="10465" w:name="_Toc520573601"/>
      <w:bookmarkStart w:id="10466" w:name="_Toc2160646"/>
      <w:bookmarkStart w:id="10467" w:name="_Toc17491764"/>
      <w:bookmarkStart w:id="10468" w:name="_Toc50150597"/>
      <w:bookmarkStart w:id="10469" w:name="_Toc70887029"/>
      <w:bookmarkStart w:id="10470" w:name="_Toc108342599"/>
      <w:bookmarkStart w:id="10471" w:name="_Toc134198121"/>
      <w:r w:rsidRPr="007754C9">
        <w:t>General rules</w:t>
      </w:r>
      <w:bookmarkEnd w:id="10465"/>
      <w:bookmarkEnd w:id="10466"/>
      <w:bookmarkEnd w:id="10467"/>
      <w:bookmarkEnd w:id="10468"/>
      <w:bookmarkEnd w:id="10469"/>
      <w:bookmarkEnd w:id="10470"/>
      <w:bookmarkEnd w:id="10471"/>
    </w:p>
    <w:p w14:paraId="038BFE63" w14:textId="6FA11BFE" w:rsidR="00B80F46" w:rsidRPr="00132C1E" w:rsidRDefault="00B80F46" w:rsidP="0080187E">
      <w:pPr>
        <w:pStyle w:val="Clause"/>
        <w:numPr>
          <w:ilvl w:val="0"/>
          <w:numId w:val="472"/>
        </w:numPr>
      </w:pPr>
      <w:r w:rsidRPr="00132C1E">
        <w:t xml:space="preserve">The primary structure should be composed of timber trusses with dowel-type connections as defined in </w:t>
      </w:r>
      <w:r w:rsidRPr="00835C82">
        <w:t>3.1.9</w:t>
      </w:r>
      <w:r w:rsidRPr="00132C1E">
        <w:t>. The secondary structure should be made of timber columns and beams pin-jointed with dowel-type connections.</w:t>
      </w:r>
    </w:p>
    <w:p w14:paraId="2CAAC15B" w14:textId="5A623F6E" w:rsidR="00B80F46" w:rsidRPr="00132C1E" w:rsidRDefault="00B80F46" w:rsidP="00724E4E">
      <w:pPr>
        <w:pStyle w:val="Clause"/>
      </w:pPr>
      <w:r w:rsidRPr="00132C1E">
        <w:t xml:space="preserve">Primary reinforced concrete walls and cores, designed according to </w:t>
      </w:r>
      <w:r w:rsidR="00835C82">
        <w:t xml:space="preserve">Clause </w:t>
      </w:r>
      <w:r w:rsidRPr="00835C82">
        <w:t>10</w:t>
      </w:r>
      <w:r w:rsidRPr="00132C1E">
        <w:t>, may be used as an alternative to primary timber bracings. In such a case the behaviour factors in Table 10.1 should be used.</w:t>
      </w:r>
    </w:p>
    <w:p w14:paraId="2DC88C0A" w14:textId="7BD4B733" w:rsidR="00B80F46" w:rsidRPr="00132C1E" w:rsidRDefault="00B80F46" w:rsidP="00724E4E">
      <w:pPr>
        <w:pStyle w:val="Clause"/>
      </w:pPr>
      <w:r w:rsidRPr="00132C1E">
        <w:lastRenderedPageBreak/>
        <w:t xml:space="preserve">Primary steel bracings with the frame and the diagonals made of steel, designed according to </w:t>
      </w:r>
      <w:r w:rsidR="00835C82">
        <w:t>Clause</w:t>
      </w:r>
      <w:r w:rsidR="008217FC">
        <w:t> </w:t>
      </w:r>
      <w:r w:rsidRPr="00835C82">
        <w:t>11</w:t>
      </w:r>
      <w:r w:rsidRPr="00132C1E">
        <w:t>, may be used as an alternative to primary timber bracings. In such a case the behaviour factors in Table 11.</w:t>
      </w:r>
      <w:r w:rsidR="00FD5CC7">
        <w:t>2</w:t>
      </w:r>
      <w:r w:rsidRPr="00132C1E">
        <w:t xml:space="preserve"> should be used.</w:t>
      </w:r>
    </w:p>
    <w:p w14:paraId="01B11628" w14:textId="68FD3E6D" w:rsidR="00B80F46" w:rsidRPr="00132C1E" w:rsidRDefault="00B80F46" w:rsidP="00724E4E">
      <w:pPr>
        <w:pStyle w:val="Clause"/>
      </w:pPr>
      <w:r w:rsidRPr="00132C1E">
        <w:t>Primary structure with a timber frame and steel diagonals pinned connected to the timber frame may be used as an alternative to primary timber bracings. In such a case the steel diagonals should be designed according to</w:t>
      </w:r>
      <w:r w:rsidR="00835C82">
        <w:t xml:space="preserve"> Clause</w:t>
      </w:r>
      <w:r w:rsidRPr="00132C1E">
        <w:t xml:space="preserve"> </w:t>
      </w:r>
      <w:r w:rsidRPr="00835C82">
        <w:t>11</w:t>
      </w:r>
      <w:r w:rsidRPr="00132C1E">
        <w:t>, and the behaviour factors listed in Table 11.</w:t>
      </w:r>
      <w:r w:rsidR="00FD5CC7">
        <w:t>2</w:t>
      </w:r>
      <w:r w:rsidRPr="00132C1E">
        <w:t xml:space="preserve"> should be used.</w:t>
      </w:r>
    </w:p>
    <w:p w14:paraId="01ABAAB1" w14:textId="149572FB" w:rsidR="00B80F46" w:rsidRPr="00132C1E" w:rsidRDefault="00B80F46" w:rsidP="00724E4E">
      <w:pPr>
        <w:pStyle w:val="Clause"/>
      </w:pPr>
      <w:r w:rsidRPr="00B80F46">
        <w:t xml:space="preserve">Framed or CLT shear </w:t>
      </w:r>
      <w:r w:rsidRPr="00132C1E">
        <w:t xml:space="preserve">walls may be used as an alternative to primary timber bracings. They should be designed for DC2 according to </w:t>
      </w:r>
      <w:r w:rsidRPr="00835C82">
        <w:t>13.8</w:t>
      </w:r>
      <w:r w:rsidRPr="00132C1E">
        <w:t xml:space="preserve"> or to </w:t>
      </w:r>
      <w:r w:rsidRPr="00835C82">
        <w:t>13.7</w:t>
      </w:r>
      <w:r w:rsidRPr="00132C1E">
        <w:t xml:space="preserve"> respectively.</w:t>
      </w:r>
      <w:r w:rsidRPr="00132C1E" w:rsidDel="008D0F02">
        <w:t xml:space="preserve"> </w:t>
      </w:r>
      <w:r w:rsidRPr="00132C1E">
        <w:t xml:space="preserve">In such a case the relevant behaviour factor for </w:t>
      </w:r>
      <w:r w:rsidRPr="00B80F46">
        <w:t xml:space="preserve">framed wall and CLT </w:t>
      </w:r>
      <w:r w:rsidRPr="00132C1E">
        <w:t>structures in Table 13.2 for DC2 should be used.</w:t>
      </w:r>
    </w:p>
    <w:p w14:paraId="31BFF796" w14:textId="4468B38B" w:rsidR="00B80F46" w:rsidRPr="00132C1E" w:rsidRDefault="00B80F46" w:rsidP="00724E4E">
      <w:pPr>
        <w:pStyle w:val="Clause"/>
      </w:pPr>
      <w:r w:rsidRPr="00835C82">
        <w:t>13.9.1(3)</w:t>
      </w:r>
      <w:r w:rsidRPr="00132C1E">
        <w:t xml:space="preserve"> should be applied.</w:t>
      </w:r>
    </w:p>
    <w:p w14:paraId="2C89F135" w14:textId="21A6B313" w:rsidR="00B80F46" w:rsidRPr="00132C1E" w:rsidRDefault="00B80F46" w:rsidP="00B80F46">
      <w:pPr>
        <w:pStyle w:val="Heading3"/>
      </w:pPr>
      <w:bookmarkStart w:id="10472" w:name="_Toc520573603"/>
      <w:bookmarkStart w:id="10473" w:name="_Toc2160648"/>
      <w:bookmarkStart w:id="10474" w:name="_Toc17491765"/>
      <w:bookmarkStart w:id="10475" w:name="_Toc50150598"/>
      <w:bookmarkStart w:id="10476" w:name="_Toc70887030"/>
      <w:bookmarkStart w:id="10477" w:name="_Toc108342600"/>
      <w:bookmarkStart w:id="10478" w:name="_Toc134198122"/>
      <w:r>
        <w:t>Verification in</w:t>
      </w:r>
      <w:r w:rsidRPr="00132C1E">
        <w:t xml:space="preserve"> DC2</w:t>
      </w:r>
      <w:bookmarkEnd w:id="10472"/>
      <w:bookmarkEnd w:id="10473"/>
      <w:bookmarkEnd w:id="10474"/>
      <w:bookmarkEnd w:id="10475"/>
      <w:bookmarkEnd w:id="10476"/>
      <w:bookmarkEnd w:id="10477"/>
      <w:bookmarkEnd w:id="10478"/>
    </w:p>
    <w:p w14:paraId="42F74789" w14:textId="0844A972" w:rsidR="00B80F46" w:rsidRPr="00132C1E" w:rsidRDefault="00B80F46" w:rsidP="0080187E">
      <w:pPr>
        <w:pStyle w:val="Clause"/>
        <w:numPr>
          <w:ilvl w:val="0"/>
          <w:numId w:val="473"/>
        </w:numPr>
      </w:pPr>
      <w:r w:rsidRPr="00132C1E">
        <w:t>In order to ensure yielding of the fasteners, the timber members, metal plates in the joint, and floor diaphragms should be capacity designed according to Formula (13.4), where the timber members, metal plates in the joint, and floor diaphragms are the brittle components and the metal fasteners the ductile ones.</w:t>
      </w:r>
    </w:p>
    <w:p w14:paraId="23801EF9" w14:textId="4D253289" w:rsidR="00B80F46" w:rsidRPr="00132C1E" w:rsidRDefault="00B80F46" w:rsidP="00724E4E">
      <w:pPr>
        <w:pStyle w:val="Clause"/>
      </w:pPr>
      <w:r w:rsidRPr="00835C82">
        <w:t>13.7.2(9)</w:t>
      </w:r>
      <w:r w:rsidRPr="00132C1E">
        <w:t xml:space="preserve"> should be applied for the ductility of the dissipative connections. </w:t>
      </w:r>
    </w:p>
    <w:p w14:paraId="053105E3" w14:textId="27108D7C" w:rsidR="00B80F46" w:rsidRPr="00132C1E" w:rsidRDefault="00B80F46" w:rsidP="00724E4E">
      <w:pPr>
        <w:pStyle w:val="Clause"/>
      </w:pPr>
      <w:r w:rsidRPr="00835C82">
        <w:t>13.7.2(10)</w:t>
      </w:r>
      <w:r w:rsidRPr="00132C1E">
        <w:t xml:space="preserve"> should be applied to the dissipative connections.</w:t>
      </w:r>
    </w:p>
    <w:p w14:paraId="44BB7742" w14:textId="41108E1C" w:rsidR="00B80F46" w:rsidRPr="00E1602A" w:rsidRDefault="00B80F46" w:rsidP="00724E4E">
      <w:pPr>
        <w:pStyle w:val="Clause"/>
      </w:pPr>
      <w:r w:rsidRPr="00132C1E">
        <w:t xml:space="preserve">When reinforced concrete walls, steel bracings, </w:t>
      </w:r>
      <w:r w:rsidRPr="00B80F46">
        <w:t xml:space="preserve">framed </w:t>
      </w:r>
      <w:r w:rsidRPr="00132C1E">
        <w:t xml:space="preserve">shear walls or </w:t>
      </w:r>
      <w:r w:rsidRPr="00B80F46">
        <w:t>CLT wa</w:t>
      </w:r>
      <w:r w:rsidRPr="00132C1E">
        <w:t xml:space="preserve">lls are used as primary structure according to </w:t>
      </w:r>
      <w:r w:rsidRPr="00835C82">
        <w:t>13.11.1(2), 13.11.1(3)</w:t>
      </w:r>
      <w:r w:rsidRPr="00132C1E">
        <w:t xml:space="preserve"> and </w:t>
      </w:r>
      <w:r w:rsidRPr="00835C82">
        <w:t>13.11.1(5)</w:t>
      </w:r>
      <w:r w:rsidRPr="00132C1E">
        <w:t xml:space="preserve"> as an alternative to timber trusses with dowel-type connections, the beam-to-column pinned joints</w:t>
      </w:r>
      <w:r w:rsidRPr="00E1602A">
        <w:t>, the timber members and the floor diaphragms.</w:t>
      </w:r>
      <w:r w:rsidRPr="00132C1E">
        <w:t xml:space="preserve"> should be capacity designed according to Formula (13.4).</w:t>
      </w:r>
    </w:p>
    <w:p w14:paraId="66DAF5BE" w14:textId="4F431450" w:rsidR="00B80F46" w:rsidRPr="00E1602A" w:rsidRDefault="00B80F46" w:rsidP="00724E4E">
      <w:pPr>
        <w:pStyle w:val="Clause"/>
      </w:pPr>
      <w:r w:rsidRPr="00132C1E">
        <w:t xml:space="preserve">When a timber frame with steel diagonals is used as primary structure according to </w:t>
      </w:r>
      <w:r w:rsidRPr="00835C82">
        <w:t>13.11.1(4)</w:t>
      </w:r>
      <w:r w:rsidRPr="00132C1E">
        <w:t xml:space="preserve"> as an alternative to primary timber trusses with dowel-type connections, the timber frame, the diagonal-to-frame pinned connections</w:t>
      </w:r>
      <w:r w:rsidRPr="00E1602A">
        <w:t>, the timber members and floor diaphragms</w:t>
      </w:r>
      <w:r w:rsidRPr="00132C1E">
        <w:t xml:space="preserve"> should be capacity designed using Formula (13.4).</w:t>
      </w:r>
    </w:p>
    <w:p w14:paraId="791260E6" w14:textId="37D347E8" w:rsidR="00B80F46" w:rsidRPr="00132C1E" w:rsidRDefault="00B80F46" w:rsidP="00B80F46">
      <w:pPr>
        <w:pStyle w:val="Heading3"/>
      </w:pPr>
      <w:bookmarkStart w:id="10479" w:name="_Toc520573605"/>
      <w:bookmarkStart w:id="10480" w:name="_Toc2160649"/>
      <w:bookmarkStart w:id="10481" w:name="_Toc17491766"/>
      <w:bookmarkStart w:id="10482" w:name="_Toc50150599"/>
      <w:bookmarkStart w:id="10483" w:name="_Toc70887031"/>
      <w:bookmarkStart w:id="10484" w:name="_Toc108342601"/>
      <w:bookmarkStart w:id="10485" w:name="_Toc134198123"/>
      <w:r w:rsidRPr="00132C1E">
        <w:t>Detailing rules</w:t>
      </w:r>
      <w:bookmarkEnd w:id="10479"/>
      <w:bookmarkEnd w:id="10480"/>
      <w:bookmarkEnd w:id="10481"/>
      <w:bookmarkEnd w:id="10482"/>
      <w:bookmarkEnd w:id="10483"/>
      <w:bookmarkEnd w:id="10484"/>
      <w:bookmarkEnd w:id="10485"/>
    </w:p>
    <w:p w14:paraId="511C4074" w14:textId="640D120A" w:rsidR="00B80F46" w:rsidRPr="00132C1E" w:rsidRDefault="00B80F46" w:rsidP="0080187E">
      <w:pPr>
        <w:pStyle w:val="Clause"/>
        <w:numPr>
          <w:ilvl w:val="0"/>
          <w:numId w:val="474"/>
        </w:numPr>
      </w:pPr>
      <w:r w:rsidRPr="00835C82">
        <w:t>13.7.4(1)</w:t>
      </w:r>
      <w:r w:rsidRPr="00132C1E">
        <w:t xml:space="preserve"> should be applied.</w:t>
      </w:r>
    </w:p>
    <w:p w14:paraId="43E1875E" w14:textId="647A002B" w:rsidR="00B80F46" w:rsidRPr="00132C1E" w:rsidRDefault="00B80F46" w:rsidP="00724E4E">
      <w:pPr>
        <w:pStyle w:val="Clause"/>
      </w:pPr>
      <w:r w:rsidRPr="00132C1E">
        <w:t xml:space="preserve">Mechanical joints with dowel-type fasteners between beams and columns should be always regarded as pinned. Only glued joints (e.g. with glued-in rods) may be regarded as rigid as defined in </w:t>
      </w:r>
      <w:r w:rsidRPr="00835C82">
        <w:t>3.1.25</w:t>
      </w:r>
      <w:r w:rsidRPr="00132C1E">
        <w:t>.</w:t>
      </w:r>
    </w:p>
    <w:p w14:paraId="3E130A33" w14:textId="37655919" w:rsidR="00B80F46" w:rsidRPr="00132C1E" w:rsidRDefault="00B80F46" w:rsidP="00724E4E">
      <w:pPr>
        <w:pStyle w:val="Clause"/>
      </w:pPr>
      <w:r w:rsidRPr="00132C1E">
        <w:t>Brittle failures of dowel-type connections due to splitting of wood caused by shrinkage perpendicular to the grain in the connection area should be prevented by using a) to c):</w:t>
      </w:r>
    </w:p>
    <w:p w14:paraId="7B7B1353" w14:textId="072EA32C" w:rsidR="00B80F46" w:rsidRPr="00132C1E" w:rsidRDefault="00B80F46" w:rsidP="0080187E">
      <w:pPr>
        <w:pStyle w:val="Text"/>
        <w:numPr>
          <w:ilvl w:val="0"/>
          <w:numId w:val="677"/>
        </w:numPr>
      </w:pPr>
      <w:r w:rsidRPr="00132C1E">
        <w:t>oval</w:t>
      </w:r>
      <w:r w:rsidR="00E10A24">
        <w:t>ize</w:t>
      </w:r>
      <w:r w:rsidRPr="00132C1E">
        <w:t>d holes in the timber and metal plates, for the free movement of wood;</w:t>
      </w:r>
    </w:p>
    <w:p w14:paraId="3BA15E53" w14:textId="77777777" w:rsidR="00B80F46" w:rsidRPr="00132C1E" w:rsidRDefault="00B80F46" w:rsidP="0080187E">
      <w:pPr>
        <w:pStyle w:val="Text"/>
        <w:numPr>
          <w:ilvl w:val="0"/>
          <w:numId w:val="677"/>
        </w:numPr>
      </w:pPr>
      <w:r w:rsidRPr="00132C1E">
        <w:t>as few fasteners as possible, near to each other in a way not to restrain shrinkage of wood perpendicular to the grain;</w:t>
      </w:r>
    </w:p>
    <w:p w14:paraId="38AC63B4" w14:textId="77777777" w:rsidR="00B80F46" w:rsidRPr="00132C1E" w:rsidRDefault="00B80F46" w:rsidP="0080187E">
      <w:pPr>
        <w:pStyle w:val="Text"/>
        <w:numPr>
          <w:ilvl w:val="0"/>
          <w:numId w:val="677"/>
        </w:numPr>
      </w:pPr>
      <w:r w:rsidRPr="00132C1E">
        <w:t>reinforcement in the connection region to resist the tension perpendicular to the grain due to the restrained shrinkage of wood.</w:t>
      </w:r>
    </w:p>
    <w:p w14:paraId="4879CA28" w14:textId="4617E800" w:rsidR="00B80F46" w:rsidRPr="00132C1E" w:rsidRDefault="00B80F46" w:rsidP="00724E4E">
      <w:pPr>
        <w:pStyle w:val="Clause"/>
      </w:pPr>
      <w:r w:rsidRPr="00132C1E">
        <w:t>Reinforcement may be used in post-to-beam connections against brittle failure due to load reversal.</w:t>
      </w:r>
    </w:p>
    <w:p w14:paraId="034D2B3D" w14:textId="67AFC9E0" w:rsidR="00B80F46" w:rsidRPr="00132C1E" w:rsidRDefault="00B80F46" w:rsidP="00B80F46">
      <w:pPr>
        <w:pStyle w:val="Heading2"/>
      </w:pPr>
      <w:bookmarkStart w:id="10486" w:name="_Toc520573606"/>
      <w:bookmarkStart w:id="10487" w:name="_Toc2160650"/>
      <w:bookmarkStart w:id="10488" w:name="_Toc17491767"/>
      <w:bookmarkStart w:id="10489" w:name="_Toc50150600"/>
      <w:bookmarkStart w:id="10490" w:name="_Toc70887032"/>
      <w:bookmarkStart w:id="10491" w:name="_Toc108342602"/>
      <w:bookmarkStart w:id="10492" w:name="_Toc134198124"/>
      <w:r w:rsidRPr="00132C1E">
        <w:lastRenderedPageBreak/>
        <w:t>Rules for vertical cantilever structures</w:t>
      </w:r>
      <w:bookmarkEnd w:id="10486"/>
      <w:bookmarkEnd w:id="10487"/>
      <w:bookmarkEnd w:id="10488"/>
      <w:bookmarkEnd w:id="10489"/>
      <w:bookmarkEnd w:id="10490"/>
      <w:bookmarkEnd w:id="10491"/>
      <w:bookmarkEnd w:id="10492"/>
    </w:p>
    <w:p w14:paraId="42807A4F" w14:textId="77777777" w:rsidR="00B80F46" w:rsidRPr="00132C1E" w:rsidRDefault="00B80F46" w:rsidP="00B80F46">
      <w:pPr>
        <w:pStyle w:val="Heading3"/>
      </w:pPr>
      <w:bookmarkStart w:id="10493" w:name="_Toc520573607"/>
      <w:bookmarkStart w:id="10494" w:name="_Toc2160651"/>
      <w:bookmarkStart w:id="10495" w:name="_Toc17491768"/>
      <w:bookmarkStart w:id="10496" w:name="_Toc50150601"/>
      <w:bookmarkStart w:id="10497" w:name="_Toc70887033"/>
      <w:bookmarkStart w:id="10498" w:name="_Toc108342603"/>
      <w:bookmarkStart w:id="10499" w:name="_Toc134198125"/>
      <w:r w:rsidRPr="00132C1E">
        <w:t>General rules</w:t>
      </w:r>
      <w:bookmarkEnd w:id="10493"/>
      <w:bookmarkEnd w:id="10494"/>
      <w:bookmarkEnd w:id="10495"/>
      <w:bookmarkEnd w:id="10496"/>
      <w:bookmarkEnd w:id="10497"/>
      <w:bookmarkEnd w:id="10498"/>
      <w:bookmarkEnd w:id="10499"/>
    </w:p>
    <w:p w14:paraId="55E0F68D" w14:textId="42EAA4D7" w:rsidR="00B80F46" w:rsidRPr="00132C1E" w:rsidRDefault="00B80F46" w:rsidP="0080187E">
      <w:pPr>
        <w:pStyle w:val="Clause"/>
        <w:numPr>
          <w:ilvl w:val="0"/>
          <w:numId w:val="475"/>
        </w:numPr>
      </w:pPr>
      <w:r w:rsidRPr="00132C1E">
        <w:t xml:space="preserve">Vertical cantilever structures should be composed of either walls or columns </w:t>
      </w:r>
      <w:r w:rsidRPr="0078708F">
        <w:t xml:space="preserve">made of CLT, glulam, LVL or GLVL </w:t>
      </w:r>
      <w:r w:rsidRPr="00132C1E">
        <w:t xml:space="preserve">according to </w:t>
      </w:r>
      <w:r w:rsidRPr="00835C82">
        <w:t xml:space="preserve">13.3.2(1) </w:t>
      </w:r>
      <w:r w:rsidRPr="00132C1E">
        <w:t>and</w:t>
      </w:r>
      <w:r w:rsidRPr="00835C82">
        <w:t xml:space="preserve"> (2)</w:t>
      </w:r>
      <w:r w:rsidRPr="00132C1E">
        <w:t xml:space="preserve"> connected to the foundation and floors by means of mechanical devices (usually, metal plates connected with dowel-type fasteners to the wall or column, see Figure 13.1</w:t>
      </w:r>
      <w:r>
        <w:t>3</w:t>
      </w:r>
      <w:r w:rsidRPr="00132C1E">
        <w:t>).</w:t>
      </w:r>
    </w:p>
    <w:p w14:paraId="325F6580" w14:textId="3EC2B501" w:rsidR="00B80F46" w:rsidRPr="00132C1E" w:rsidRDefault="00B80F46" w:rsidP="00724E4E">
      <w:pPr>
        <w:pStyle w:val="Clause"/>
      </w:pPr>
      <w:r w:rsidRPr="00132C1E">
        <w:t xml:space="preserve">The walls or columns should be structurally continuous across the floors (balloon frame construction – see </w:t>
      </w:r>
      <w:r w:rsidRPr="00835C82">
        <w:t>3.1.2</w:t>
      </w:r>
      <w:r w:rsidRPr="00132C1E">
        <w:t>).</w:t>
      </w:r>
    </w:p>
    <w:p w14:paraId="10C5B705" w14:textId="4EA6CC97" w:rsidR="00B80F46" w:rsidRPr="00132C1E" w:rsidRDefault="00B80F46" w:rsidP="00724E4E">
      <w:pPr>
        <w:pStyle w:val="Clause"/>
      </w:pPr>
      <w:r w:rsidRPr="00835C82">
        <w:t>13.9.1(3)</w:t>
      </w:r>
      <w:r w:rsidRPr="00132C1E">
        <w:t xml:space="preserve"> should be applied.</w:t>
      </w:r>
    </w:p>
    <w:p w14:paraId="0C0AF44A" w14:textId="5C8881F2" w:rsidR="00B80F46" w:rsidRPr="00132C1E" w:rsidRDefault="007864F5" w:rsidP="00F357DA">
      <w:pPr>
        <w:pStyle w:val="FigureImage"/>
      </w:pPr>
      <w:r>
        <w:rPr>
          <w:noProof/>
        </w:rPr>
        <w:drawing>
          <wp:inline distT="0" distB="0" distL="0" distR="0" wp14:anchorId="7BEE0191" wp14:editId="12F04BC5">
            <wp:extent cx="1440182" cy="3499110"/>
            <wp:effectExtent l="0" t="0" r="7620" b="6350"/>
            <wp:docPr id="2081949444" name="0057.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1949444" name="0057.tiff"/>
                    <pic:cNvPicPr/>
                  </pic:nvPicPr>
                  <pic:blipFill>
                    <a:blip r:link="rId82"/>
                    <a:stretch>
                      <a:fillRect/>
                    </a:stretch>
                  </pic:blipFill>
                  <pic:spPr>
                    <a:xfrm>
                      <a:off x="0" y="0"/>
                      <a:ext cx="1440182" cy="3499110"/>
                    </a:xfrm>
                    <a:prstGeom prst="rect">
                      <a:avLst/>
                    </a:prstGeom>
                  </pic:spPr>
                </pic:pic>
              </a:graphicData>
            </a:graphic>
          </wp:inline>
        </w:drawing>
      </w:r>
    </w:p>
    <w:p w14:paraId="1B4A7A93" w14:textId="57E20940" w:rsidR="00B80F46" w:rsidRPr="00FD17CF" w:rsidRDefault="00B80F46" w:rsidP="0078708F">
      <w:pPr>
        <w:pStyle w:val="Figuretitle"/>
      </w:pPr>
      <w:r w:rsidRPr="00D1484A">
        <w:t xml:space="preserve">Figure </w:t>
      </w:r>
      <w:r w:rsidR="00FD4EB5">
        <w:t>13</w:t>
      </w:r>
      <w:r w:rsidRPr="00132C1E">
        <w:t>.</w:t>
      </w:r>
      <w:r w:rsidRPr="00D1484A">
        <w:t>1</w:t>
      </w:r>
      <w:r>
        <w:t>3</w:t>
      </w:r>
      <w:r w:rsidRPr="00D1484A">
        <w:t> </w:t>
      </w:r>
      <w:r w:rsidRPr="00D1484A">
        <w:rPr>
          <w:rFonts w:ascii="`ÃÍœ˛" w:eastAsia="Cambria" w:hAnsi="`ÃÍœ˛" w:cs="`ÃÍœ˛"/>
          <w:szCs w:val="22"/>
          <w:lang w:eastAsia="de-DE"/>
        </w:rPr>
        <w:t>—</w:t>
      </w:r>
      <w:r w:rsidRPr="007E6F67">
        <w:t> Vertical cantilever w</w:t>
      </w:r>
      <w:r w:rsidRPr="00FD17CF">
        <w:t>all with metal plates and dowel-type fasteners</w:t>
      </w:r>
    </w:p>
    <w:p w14:paraId="134D1C04" w14:textId="77777777" w:rsidR="00B80F46" w:rsidRPr="00E05E29" w:rsidRDefault="00B80F46" w:rsidP="00B80F46">
      <w:pPr>
        <w:pStyle w:val="Heading3"/>
      </w:pPr>
      <w:bookmarkStart w:id="10500" w:name="_Toc520573609"/>
      <w:bookmarkStart w:id="10501" w:name="_Toc2160653"/>
      <w:bookmarkStart w:id="10502" w:name="_Toc17491769"/>
      <w:bookmarkStart w:id="10503" w:name="_Toc50150602"/>
      <w:bookmarkStart w:id="10504" w:name="_Toc70887034"/>
      <w:bookmarkStart w:id="10505" w:name="_Toc108342604"/>
      <w:bookmarkStart w:id="10506" w:name="_Toc134198126"/>
      <w:r>
        <w:t>Verification in</w:t>
      </w:r>
      <w:r w:rsidRPr="00E05E29">
        <w:t xml:space="preserve"> DC2</w:t>
      </w:r>
      <w:bookmarkEnd w:id="10500"/>
      <w:bookmarkEnd w:id="10501"/>
      <w:bookmarkEnd w:id="10502"/>
      <w:bookmarkEnd w:id="10503"/>
      <w:bookmarkEnd w:id="10504"/>
      <w:bookmarkEnd w:id="10505"/>
      <w:bookmarkEnd w:id="10506"/>
    </w:p>
    <w:p w14:paraId="10388B4A" w14:textId="3EE683C7" w:rsidR="00B80F46" w:rsidRPr="00C52095" w:rsidRDefault="00B80F46" w:rsidP="0080187E">
      <w:pPr>
        <w:pStyle w:val="Clause"/>
        <w:numPr>
          <w:ilvl w:val="0"/>
          <w:numId w:val="476"/>
        </w:numPr>
      </w:pPr>
      <w:r w:rsidRPr="002144A0">
        <w:t>In order to ensure yielding of the fasteners at the wall-foundation or column-foundation joint, the timber members, the metal plates, the floor diaphragms and the other possible wall or column spliced joints should be capacity designed according to Formula (13.4), where the ductile components are the connections with dowel-type fasteners</w:t>
      </w:r>
      <w:r w:rsidRPr="004F25D7">
        <w:t>.</w:t>
      </w:r>
    </w:p>
    <w:p w14:paraId="64445472" w14:textId="2C5A39B1" w:rsidR="00B80F46" w:rsidRPr="007754C9" w:rsidRDefault="00B80F46" w:rsidP="00724E4E">
      <w:pPr>
        <w:pStyle w:val="Clause"/>
      </w:pPr>
      <w:r w:rsidRPr="00835C82">
        <w:t>13.11.2(2)</w:t>
      </w:r>
      <w:r w:rsidRPr="007754C9">
        <w:t xml:space="preserve"> and </w:t>
      </w:r>
      <w:r w:rsidRPr="00835C82">
        <w:t>13.11.2(3)</w:t>
      </w:r>
      <w:r w:rsidRPr="007754C9">
        <w:t xml:space="preserve"> should be applied.</w:t>
      </w:r>
    </w:p>
    <w:p w14:paraId="2C688CF4" w14:textId="1C641152" w:rsidR="00B80F46" w:rsidRPr="00132C1E" w:rsidRDefault="00B80F46" w:rsidP="00724E4E">
      <w:pPr>
        <w:pStyle w:val="Clause"/>
      </w:pPr>
      <w:r w:rsidRPr="00835C82">
        <w:t>13.7.2(11)</w:t>
      </w:r>
      <w:r w:rsidRPr="00132C1E">
        <w:t xml:space="preserve"> should be applied to the metal plates linked to the dissipative connections.</w:t>
      </w:r>
    </w:p>
    <w:p w14:paraId="41F449ED" w14:textId="2E20F46C" w:rsidR="00B80F46" w:rsidRPr="00132C1E" w:rsidRDefault="00B80F46" w:rsidP="00B80F46">
      <w:pPr>
        <w:pStyle w:val="Heading3"/>
      </w:pPr>
      <w:bookmarkStart w:id="10507" w:name="_Toc520573611"/>
      <w:bookmarkStart w:id="10508" w:name="_Toc2160654"/>
      <w:bookmarkStart w:id="10509" w:name="_Toc17491770"/>
      <w:bookmarkStart w:id="10510" w:name="_Toc50150603"/>
      <w:bookmarkStart w:id="10511" w:name="_Toc70887035"/>
      <w:bookmarkStart w:id="10512" w:name="_Toc108342605"/>
      <w:bookmarkStart w:id="10513" w:name="_Toc134198127"/>
      <w:r w:rsidRPr="00132C1E">
        <w:t>Detailing rules</w:t>
      </w:r>
      <w:bookmarkEnd w:id="10507"/>
      <w:bookmarkEnd w:id="10508"/>
      <w:bookmarkEnd w:id="10509"/>
      <w:bookmarkEnd w:id="10510"/>
      <w:bookmarkEnd w:id="10511"/>
      <w:bookmarkEnd w:id="10512"/>
      <w:bookmarkEnd w:id="10513"/>
    </w:p>
    <w:p w14:paraId="53C4E868" w14:textId="3A110775" w:rsidR="00B80F46" w:rsidRPr="00132C1E" w:rsidRDefault="00B80F46" w:rsidP="0080187E">
      <w:pPr>
        <w:pStyle w:val="Clause"/>
        <w:numPr>
          <w:ilvl w:val="0"/>
          <w:numId w:val="477"/>
        </w:numPr>
      </w:pPr>
      <w:r w:rsidRPr="00835C82">
        <w:t>13.7.4</w:t>
      </w:r>
      <w:r w:rsidRPr="00132C1E">
        <w:t xml:space="preserve"> should be applied.</w:t>
      </w:r>
    </w:p>
    <w:p w14:paraId="4414B96B" w14:textId="3A57F8E2" w:rsidR="00B80F46" w:rsidRPr="00132C1E" w:rsidRDefault="00B80F46" w:rsidP="00724E4E">
      <w:pPr>
        <w:pStyle w:val="Clause"/>
      </w:pPr>
      <w:r w:rsidRPr="00132C1E">
        <w:lastRenderedPageBreak/>
        <w:t>The intermediate floor-to-wall or floor-to-column joint (see Figure 13.1</w:t>
      </w:r>
      <w:r>
        <w:t>4</w:t>
      </w:r>
      <w:r w:rsidRPr="00132C1E">
        <w:t>) should be capacity designed using Formula (13.4).</w:t>
      </w:r>
    </w:p>
    <w:p w14:paraId="6A1A1D54" w14:textId="65EE25F5" w:rsidR="00B80F46" w:rsidRPr="00132C1E" w:rsidRDefault="007864F5" w:rsidP="007864F5">
      <w:pPr>
        <w:pStyle w:val="FigureImage"/>
      </w:pPr>
      <w:r>
        <w:rPr>
          <w:noProof/>
        </w:rPr>
        <w:drawing>
          <wp:inline distT="0" distB="0" distL="0" distR="0" wp14:anchorId="7C33189E" wp14:editId="2C4A0234">
            <wp:extent cx="2880365" cy="4034035"/>
            <wp:effectExtent l="0" t="0" r="0" b="5080"/>
            <wp:docPr id="2081949445" name="0058.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1949445" name="0058.tiff"/>
                    <pic:cNvPicPr/>
                  </pic:nvPicPr>
                  <pic:blipFill>
                    <a:blip r:link="rId83"/>
                    <a:stretch>
                      <a:fillRect/>
                    </a:stretch>
                  </pic:blipFill>
                  <pic:spPr>
                    <a:xfrm>
                      <a:off x="0" y="0"/>
                      <a:ext cx="2880365" cy="4034035"/>
                    </a:xfrm>
                    <a:prstGeom prst="rect">
                      <a:avLst/>
                    </a:prstGeom>
                  </pic:spPr>
                </pic:pic>
              </a:graphicData>
            </a:graphic>
          </wp:inline>
        </w:drawing>
      </w:r>
    </w:p>
    <w:p w14:paraId="06E40918" w14:textId="77777777" w:rsidR="00B80F46" w:rsidRPr="00D1484A" w:rsidRDefault="00B80F46" w:rsidP="007864F5">
      <w:pPr>
        <w:pStyle w:val="KeyTitle"/>
      </w:pPr>
      <w:r w:rsidRPr="00D1484A">
        <w:t>Key</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
        <w:gridCol w:w="9363"/>
      </w:tblGrid>
      <w:tr w:rsidR="00B80F46" w:rsidRPr="00B5422C" w14:paraId="120AFD09" w14:textId="77777777" w:rsidTr="0032603B">
        <w:tc>
          <w:tcPr>
            <w:tcW w:w="388" w:type="dxa"/>
          </w:tcPr>
          <w:p w14:paraId="753D8E92" w14:textId="77777777" w:rsidR="00B80F46" w:rsidRPr="008618F2" w:rsidRDefault="00B80F46" w:rsidP="008618F2">
            <w:pPr>
              <w:pStyle w:val="KeyText"/>
              <w:spacing w:before="0"/>
              <w:rPr>
                <w:iCs/>
              </w:rPr>
            </w:pPr>
            <w:r w:rsidRPr="008618F2">
              <w:rPr>
                <w:iCs/>
              </w:rPr>
              <w:t>A</w:t>
            </w:r>
          </w:p>
        </w:tc>
        <w:tc>
          <w:tcPr>
            <w:tcW w:w="9363" w:type="dxa"/>
          </w:tcPr>
          <w:p w14:paraId="5593615C" w14:textId="63BD2F5A" w:rsidR="00B80F46" w:rsidRPr="008618F2" w:rsidRDefault="007864F5" w:rsidP="008618F2">
            <w:pPr>
              <w:pStyle w:val="KeyText"/>
              <w:spacing w:before="0"/>
            </w:pPr>
            <w:r w:rsidRPr="008618F2">
              <w:t>p</w:t>
            </w:r>
            <w:r w:rsidR="00B80F46" w:rsidRPr="008618F2">
              <w:t>ossible intermediate floor-to-wall joint</w:t>
            </w:r>
          </w:p>
        </w:tc>
      </w:tr>
    </w:tbl>
    <w:p w14:paraId="4A9A0A5A" w14:textId="6543E641" w:rsidR="00B80F46" w:rsidRPr="00FD17CF" w:rsidRDefault="00B80F46" w:rsidP="0078708F">
      <w:pPr>
        <w:pStyle w:val="Figuretitle"/>
      </w:pPr>
      <w:r w:rsidRPr="00132C1E">
        <w:t xml:space="preserve">Figure </w:t>
      </w:r>
      <w:r w:rsidR="00FD4EB5">
        <w:t>13</w:t>
      </w:r>
      <w:r w:rsidRPr="00132C1E">
        <w:t>.</w:t>
      </w:r>
      <w:r w:rsidRPr="00D1484A">
        <w:t>1</w:t>
      </w:r>
      <w:r>
        <w:t>4</w:t>
      </w:r>
      <w:r w:rsidRPr="00D1484A">
        <w:t> </w:t>
      </w:r>
      <w:r w:rsidRPr="00D1484A">
        <w:rPr>
          <w:rFonts w:ascii="`ÃÍœ˛" w:eastAsia="Cambria" w:hAnsi="`ÃÍœ˛" w:cs="`ÃÍœ˛"/>
          <w:szCs w:val="22"/>
          <w:lang w:eastAsia="de-DE"/>
        </w:rPr>
        <w:t>—</w:t>
      </w:r>
      <w:r w:rsidRPr="007E6F67">
        <w:t xml:space="preserve"> Joint </w:t>
      </w:r>
      <w:r w:rsidRPr="00FD17CF">
        <w:t>between intermediate floor and shear walls</w:t>
      </w:r>
    </w:p>
    <w:p w14:paraId="128BEE7F" w14:textId="77777777" w:rsidR="00B80F46" w:rsidRPr="002144A0" w:rsidRDefault="00B80F46" w:rsidP="00CF5B0C">
      <w:pPr>
        <w:pStyle w:val="Heading2"/>
      </w:pPr>
      <w:bookmarkStart w:id="10514" w:name="_Toc17491771"/>
      <w:bookmarkStart w:id="10515" w:name="_Toc50150604"/>
      <w:bookmarkStart w:id="10516" w:name="_Toc70887036"/>
      <w:bookmarkStart w:id="10517" w:name="_Toc108342606"/>
      <w:bookmarkStart w:id="10518" w:name="_Toc134198128"/>
      <w:bookmarkStart w:id="10519" w:name="_Toc2160655"/>
      <w:r w:rsidRPr="00E05E29">
        <w:t xml:space="preserve">Rules for braced frame structures with carpentry </w:t>
      </w:r>
      <w:r w:rsidRPr="00196951">
        <w:t>connections</w:t>
      </w:r>
      <w:r w:rsidRPr="002144A0">
        <w:t xml:space="preserve"> and </w:t>
      </w:r>
      <w:r w:rsidRPr="0078708F">
        <w:t xml:space="preserve">interacting </w:t>
      </w:r>
      <w:r w:rsidRPr="002144A0">
        <w:t>masonry infill</w:t>
      </w:r>
      <w:bookmarkEnd w:id="10514"/>
      <w:bookmarkEnd w:id="10515"/>
      <w:bookmarkEnd w:id="10516"/>
      <w:bookmarkEnd w:id="10517"/>
      <w:bookmarkEnd w:id="10518"/>
    </w:p>
    <w:p w14:paraId="1D4942C6" w14:textId="77777777" w:rsidR="00B80F46" w:rsidRPr="002144A0" w:rsidRDefault="00B80F46" w:rsidP="00B80F46">
      <w:pPr>
        <w:pStyle w:val="Heading3"/>
      </w:pPr>
      <w:bookmarkStart w:id="10520" w:name="_Toc17491772"/>
      <w:bookmarkStart w:id="10521" w:name="_Toc50150605"/>
      <w:bookmarkStart w:id="10522" w:name="_Toc70887037"/>
      <w:bookmarkStart w:id="10523" w:name="_Toc108342607"/>
      <w:bookmarkStart w:id="10524" w:name="_Toc134198129"/>
      <w:r w:rsidRPr="002144A0">
        <w:t>General rules</w:t>
      </w:r>
      <w:bookmarkEnd w:id="10520"/>
      <w:bookmarkEnd w:id="10521"/>
      <w:bookmarkEnd w:id="10522"/>
      <w:bookmarkEnd w:id="10523"/>
      <w:bookmarkEnd w:id="10524"/>
    </w:p>
    <w:p w14:paraId="1E936818" w14:textId="213A54D9" w:rsidR="00B80F46" w:rsidRPr="007754C9" w:rsidRDefault="00B80F46" w:rsidP="0080187E">
      <w:pPr>
        <w:pStyle w:val="Clause"/>
        <w:numPr>
          <w:ilvl w:val="0"/>
          <w:numId w:val="478"/>
        </w:numPr>
      </w:pPr>
      <w:bookmarkStart w:id="10525" w:name="_Hlk90460078"/>
      <w:r w:rsidRPr="004F25D7">
        <w:t>T</w:t>
      </w:r>
      <w:r w:rsidRPr="00C52095">
        <w:t xml:space="preserve">he primary structure should be made by timber frames with carpentry </w:t>
      </w:r>
      <w:r w:rsidRPr="007754C9">
        <w:t>connections between posts and beams, and a masonry infill inside.</w:t>
      </w:r>
    </w:p>
    <w:p w14:paraId="180D231C" w14:textId="55D5C67F" w:rsidR="00B80F46" w:rsidRDefault="00B80F46" w:rsidP="00724E4E">
      <w:pPr>
        <w:pStyle w:val="Clause"/>
      </w:pPr>
      <w:r w:rsidRPr="00132C1E">
        <w:t>Bracings such as diagonal timber members with carpentry connections may be added in the timber frames.</w:t>
      </w:r>
      <w:r w:rsidRPr="00B75613">
        <w:t xml:space="preserve"> </w:t>
      </w:r>
    </w:p>
    <w:p w14:paraId="4B089A1A" w14:textId="2604FB09" w:rsidR="00B80F46" w:rsidRDefault="00B80F46" w:rsidP="00724E4E">
      <w:pPr>
        <w:pStyle w:val="Clause"/>
      </w:pPr>
      <w:r>
        <w:t xml:space="preserve">Finishings, such as a plaster layers, should be detailed so that the increase in lateral stiffness of the wall is negligible. </w:t>
      </w:r>
    </w:p>
    <w:p w14:paraId="240CA260" w14:textId="281F3CB9" w:rsidR="00B80F46" w:rsidRDefault="00B80F46" w:rsidP="00724E4E">
      <w:pPr>
        <w:pStyle w:val="Clause"/>
      </w:pPr>
      <w:r>
        <w:t xml:space="preserve">The joint of orthogonal walls should be made by means of carpentry connections, connections with dowel-type fasteners or steel plates to promote a box-type structural behaviour. </w:t>
      </w:r>
    </w:p>
    <w:p w14:paraId="13BE08EE" w14:textId="51693E60" w:rsidR="00B80F46" w:rsidRDefault="00B80F46" w:rsidP="00724E4E">
      <w:pPr>
        <w:pStyle w:val="Clause"/>
      </w:pPr>
      <w:r>
        <w:t>The joint between the walls and the timber diaphragm should prevent uplifting of the posts and out-of-plane overturning mechanisms of the walls.</w:t>
      </w:r>
    </w:p>
    <w:p w14:paraId="7C6953F2" w14:textId="4D8AD96B" w:rsidR="00B80F46" w:rsidRDefault="00B80F46" w:rsidP="00724E4E">
      <w:pPr>
        <w:pStyle w:val="Clause"/>
      </w:pPr>
      <w:r>
        <w:lastRenderedPageBreak/>
        <w:t xml:space="preserve">When external masonry walls are used, either a timber or a steel skeleton should be embedded into these walls and connected to the inner timber frame walls with carpentry connections and masonry infills to ensure a box-type behaviour. Carpentry connections, connections with dowel-type fasteners, steel plates or injected anchors should be used to connect the skeleton of the external masonry walls to the inner timber frame walls. </w:t>
      </w:r>
    </w:p>
    <w:p w14:paraId="6FC661AC" w14:textId="62C3B0F7" w:rsidR="00B80F46" w:rsidRDefault="00B80F46" w:rsidP="00724E4E">
      <w:pPr>
        <w:pStyle w:val="Clause"/>
      </w:pPr>
      <w:r w:rsidRPr="00835C82">
        <w:t>13.9.1(3)</w:t>
      </w:r>
      <w:r>
        <w:t xml:space="preserve"> should be applied.</w:t>
      </w:r>
    </w:p>
    <w:p w14:paraId="289DFFF1" w14:textId="15554C0F" w:rsidR="00B80F46" w:rsidRDefault="00B80F46" w:rsidP="00724E4E">
      <w:pPr>
        <w:pStyle w:val="Clause"/>
      </w:pPr>
      <w:r>
        <w:t>The joints of the walls to the foundation should be made by means of 2D- or 3D-</w:t>
      </w:r>
      <w:r w:rsidRPr="0078708F">
        <w:t xml:space="preserve">connectors </w:t>
      </w:r>
      <w:r>
        <w:t>(hold-downs, angle-brackets), tie rods, anchor bolts, nails and screws, etc.</w:t>
      </w:r>
    </w:p>
    <w:p w14:paraId="50708F26" w14:textId="04538A49" w:rsidR="00B80F46" w:rsidRDefault="00B80F46" w:rsidP="00724E4E">
      <w:pPr>
        <w:pStyle w:val="Clause"/>
      </w:pPr>
      <w:r>
        <w:t>If timber frame walls with carpentry connections and masonry infills are used above the masonry walls of a lower floor, the timber frames should be connected (e.g. using 2D- or 3D-</w:t>
      </w:r>
      <w:r w:rsidRPr="0078708F">
        <w:t>connectors</w:t>
      </w:r>
      <w:r>
        <w:t>) to a perimeter edge beam linked to the masonry walls.</w:t>
      </w:r>
    </w:p>
    <w:p w14:paraId="09309367" w14:textId="13ECB3CA" w:rsidR="00B80F46" w:rsidRPr="00132C1E" w:rsidRDefault="00B80F46" w:rsidP="00724E4E">
      <w:pPr>
        <w:pStyle w:val="Clause"/>
      </w:pPr>
      <w:r>
        <w:t xml:space="preserve">The analysis and design of timber frames with infills should satisfy </w:t>
      </w:r>
      <w:r w:rsidRPr="00835C82">
        <w:t>7.4</w:t>
      </w:r>
      <w:bookmarkStart w:id="10526" w:name="_Hlk90460112"/>
      <w:bookmarkEnd w:id="10525"/>
      <w:r>
        <w:t>.</w:t>
      </w:r>
    </w:p>
    <w:p w14:paraId="27938DCB" w14:textId="77777777" w:rsidR="00B80F46" w:rsidRPr="00132C1E" w:rsidRDefault="00B80F46" w:rsidP="00B80F46">
      <w:pPr>
        <w:pStyle w:val="Heading3"/>
      </w:pPr>
      <w:bookmarkStart w:id="10527" w:name="_Toc17491773"/>
      <w:bookmarkStart w:id="10528" w:name="_Toc50150606"/>
      <w:bookmarkStart w:id="10529" w:name="_Toc70887038"/>
      <w:bookmarkStart w:id="10530" w:name="_Toc108342608"/>
      <w:bookmarkStart w:id="10531" w:name="_Toc134198130"/>
      <w:bookmarkEnd w:id="10526"/>
      <w:r>
        <w:t>Verification in</w:t>
      </w:r>
      <w:r w:rsidRPr="00132C1E">
        <w:t xml:space="preserve"> DC2</w:t>
      </w:r>
      <w:bookmarkEnd w:id="10527"/>
      <w:bookmarkEnd w:id="10528"/>
      <w:bookmarkEnd w:id="10529"/>
      <w:bookmarkEnd w:id="10530"/>
      <w:bookmarkEnd w:id="10531"/>
    </w:p>
    <w:p w14:paraId="62B36123" w14:textId="071CE2DB" w:rsidR="00B80F46" w:rsidRPr="00132C1E" w:rsidRDefault="00B80F46" w:rsidP="0080187E">
      <w:pPr>
        <w:pStyle w:val="Clause"/>
        <w:numPr>
          <w:ilvl w:val="0"/>
          <w:numId w:val="479"/>
        </w:numPr>
      </w:pPr>
      <w:r w:rsidRPr="00132C1E">
        <w:t>Buildings with timber frame walls with carpentry connections and</w:t>
      </w:r>
      <w:r>
        <w:t xml:space="preserve"> </w:t>
      </w:r>
      <w:r w:rsidRPr="0078708F">
        <w:t xml:space="preserve">interacting </w:t>
      </w:r>
      <w:r w:rsidRPr="00132C1E">
        <w:t>masonry infill should be designed to behave as box-type structures.</w:t>
      </w:r>
    </w:p>
    <w:p w14:paraId="16A264FE" w14:textId="7A37A5A0" w:rsidR="00B80F46" w:rsidRPr="00132C1E" w:rsidRDefault="00B80F46" w:rsidP="00724E4E">
      <w:pPr>
        <w:pStyle w:val="Clause"/>
      </w:pPr>
      <w:r w:rsidRPr="00132C1E">
        <w:t>Local failures which may compromise the box-type behaviour should be prevented.</w:t>
      </w:r>
    </w:p>
    <w:p w14:paraId="6F091F9D" w14:textId="43D9E290" w:rsidR="00B80F46" w:rsidRPr="00132C1E" w:rsidRDefault="00B80F46" w:rsidP="00724E4E">
      <w:pPr>
        <w:pStyle w:val="Clause"/>
      </w:pPr>
      <w:r w:rsidRPr="00132C1E">
        <w:t>Energy dissipation due to friction should take place in the walls at the interface between posts, beams and bracing members, and the infill.</w:t>
      </w:r>
    </w:p>
    <w:p w14:paraId="4C0EC4D8" w14:textId="18D57679" w:rsidR="00B80F46" w:rsidRPr="00132C1E" w:rsidRDefault="00B80F46" w:rsidP="00724E4E">
      <w:pPr>
        <w:pStyle w:val="Clause"/>
      </w:pPr>
      <w:r w:rsidRPr="00132C1E">
        <w:t>Floor diaphragms and the joints with the walls should be capacity designed using Formula (13.4).</w:t>
      </w:r>
    </w:p>
    <w:p w14:paraId="6DA26137" w14:textId="0F2ABB54" w:rsidR="00B80F46" w:rsidRPr="00132C1E" w:rsidRDefault="00B80F46" w:rsidP="00724E4E">
      <w:pPr>
        <w:pStyle w:val="Clause"/>
      </w:pPr>
      <w:r w:rsidRPr="00132C1E">
        <w:t>Carpentry connections should be capacity designed to prevent brittle shear failure using Formula</w:t>
      </w:r>
      <w:r w:rsidR="0032603B">
        <w:t> </w:t>
      </w:r>
      <w:r w:rsidRPr="00132C1E">
        <w:t xml:space="preserve">(13.5) in accordance with </w:t>
      </w:r>
      <w:r w:rsidRPr="00835C82">
        <w:t>13.4.3(5)</w:t>
      </w:r>
      <w:r w:rsidRPr="00132C1E">
        <w:t>.</w:t>
      </w:r>
    </w:p>
    <w:p w14:paraId="09787784" w14:textId="77777777" w:rsidR="00B80F46" w:rsidRPr="00132C1E" w:rsidRDefault="00B80F46" w:rsidP="00B80F46">
      <w:pPr>
        <w:pStyle w:val="Heading3"/>
      </w:pPr>
      <w:bookmarkStart w:id="10532" w:name="_Toc17491774"/>
      <w:bookmarkStart w:id="10533" w:name="_Toc50150607"/>
      <w:bookmarkStart w:id="10534" w:name="_Toc70887039"/>
      <w:bookmarkStart w:id="10535" w:name="_Toc108342609"/>
      <w:bookmarkStart w:id="10536" w:name="_Toc134198131"/>
      <w:r w:rsidRPr="00132C1E">
        <w:t>Detailing rules</w:t>
      </w:r>
      <w:bookmarkEnd w:id="10532"/>
      <w:bookmarkEnd w:id="10533"/>
      <w:bookmarkEnd w:id="10534"/>
      <w:bookmarkEnd w:id="10535"/>
      <w:bookmarkEnd w:id="10536"/>
    </w:p>
    <w:p w14:paraId="6D8DB23B" w14:textId="2A30A04D" w:rsidR="00B80F46" w:rsidRPr="00132C1E" w:rsidRDefault="00B80F46" w:rsidP="0080187E">
      <w:pPr>
        <w:pStyle w:val="Clause"/>
        <w:numPr>
          <w:ilvl w:val="0"/>
          <w:numId w:val="480"/>
        </w:numPr>
      </w:pPr>
      <w:r w:rsidRPr="00835C82">
        <w:t xml:space="preserve">13.7.4(1) </w:t>
      </w:r>
      <w:r w:rsidRPr="00132C1E">
        <w:t>and</w:t>
      </w:r>
      <w:r w:rsidRPr="00835C82">
        <w:t xml:space="preserve"> 13.9.3(2)</w:t>
      </w:r>
      <w:r w:rsidRPr="00132C1E">
        <w:t xml:space="preserve"> should be applied.</w:t>
      </w:r>
    </w:p>
    <w:p w14:paraId="6FFB72DF" w14:textId="26826C83" w:rsidR="00B80F46" w:rsidRPr="00132C1E" w:rsidRDefault="00B80F46" w:rsidP="00724E4E">
      <w:pPr>
        <w:pStyle w:val="Clause"/>
      </w:pPr>
      <w:r w:rsidRPr="00132C1E">
        <w:t>Joints between bracing members (e.g. diagonal timber members) and the timber frame (posts and beams) should allow movement (e.g., by using nails or screws in timber-to-timber joints).</w:t>
      </w:r>
    </w:p>
    <w:p w14:paraId="1C72D584" w14:textId="199ECA23" w:rsidR="00B80F46" w:rsidRPr="00132C1E" w:rsidRDefault="00B80F46" w:rsidP="00B80F46">
      <w:pPr>
        <w:pStyle w:val="Heading2"/>
      </w:pPr>
      <w:bookmarkStart w:id="10537" w:name="_Toc17491775"/>
      <w:bookmarkStart w:id="10538" w:name="_Toc50150608"/>
      <w:bookmarkStart w:id="10539" w:name="_Toc70887040"/>
      <w:bookmarkStart w:id="10540" w:name="_Toc108342610"/>
      <w:bookmarkStart w:id="10541" w:name="_Toc134198132"/>
      <w:r w:rsidRPr="00132C1E">
        <w:t>Rules for braced frame structures with carpentry connections</w:t>
      </w:r>
      <w:bookmarkEnd w:id="10519"/>
      <w:bookmarkEnd w:id="10537"/>
      <w:bookmarkEnd w:id="10538"/>
      <w:bookmarkEnd w:id="10539"/>
      <w:bookmarkEnd w:id="10540"/>
      <w:bookmarkEnd w:id="10541"/>
    </w:p>
    <w:p w14:paraId="7C75F035" w14:textId="77777777" w:rsidR="00B80F46" w:rsidRPr="00132C1E" w:rsidRDefault="00B80F46" w:rsidP="00B80F46">
      <w:pPr>
        <w:pStyle w:val="Heading3"/>
      </w:pPr>
      <w:bookmarkStart w:id="10542" w:name="_Toc2160656"/>
      <w:bookmarkStart w:id="10543" w:name="_Toc17491776"/>
      <w:bookmarkStart w:id="10544" w:name="_Toc50150609"/>
      <w:bookmarkStart w:id="10545" w:name="_Toc70887041"/>
      <w:bookmarkStart w:id="10546" w:name="_Toc108342611"/>
      <w:bookmarkStart w:id="10547" w:name="_Toc134198133"/>
      <w:r w:rsidRPr="00132C1E">
        <w:t>General rules</w:t>
      </w:r>
      <w:bookmarkEnd w:id="10542"/>
      <w:bookmarkEnd w:id="10543"/>
      <w:bookmarkEnd w:id="10544"/>
      <w:bookmarkEnd w:id="10545"/>
      <w:bookmarkEnd w:id="10546"/>
      <w:bookmarkEnd w:id="10547"/>
    </w:p>
    <w:p w14:paraId="538D177D" w14:textId="36B48EB1" w:rsidR="00B80F46" w:rsidRPr="00132C1E" w:rsidRDefault="00B80F46" w:rsidP="0080187E">
      <w:pPr>
        <w:pStyle w:val="Clause"/>
        <w:numPr>
          <w:ilvl w:val="0"/>
          <w:numId w:val="481"/>
        </w:numPr>
      </w:pPr>
      <w:bookmarkStart w:id="10548" w:name="_Hlk715356"/>
      <w:r w:rsidRPr="00132C1E">
        <w:t>Braced frame structures with carpentry connections should be composed of timber columns and beams pinned connected with mechanical joints and of eccentric timber diagonals connected to beams with carpentry connections (Figure 13.1</w:t>
      </w:r>
      <w:r>
        <w:t>5</w:t>
      </w:r>
      <w:r w:rsidRPr="00132C1E">
        <w:t>). They should not be used in buildings of more than two-storeys, with an interstorey height not exceeding 4,5 m.</w:t>
      </w:r>
    </w:p>
    <w:bookmarkEnd w:id="10548"/>
    <w:p w14:paraId="66CB0886" w14:textId="47D2EFC5" w:rsidR="00B80F46" w:rsidRPr="00132C1E" w:rsidRDefault="00B80F46" w:rsidP="00724E4E">
      <w:pPr>
        <w:pStyle w:val="Clause"/>
      </w:pPr>
      <w:r w:rsidRPr="00132C1E">
        <w:t>Since carpentry connections work in compression, a bracing wall should have two symmetrical diagonals which should not cross each other.</w:t>
      </w:r>
    </w:p>
    <w:p w14:paraId="1612EF06" w14:textId="02453FBF" w:rsidR="00B80F46" w:rsidRPr="00132C1E" w:rsidRDefault="00B80F46" w:rsidP="00724E4E">
      <w:pPr>
        <w:pStyle w:val="Clause"/>
      </w:pPr>
      <w:r w:rsidRPr="00132C1E">
        <w:t>The pinned connection between columns and beams should be made either of dowel-type fasteners or 3D-</w:t>
      </w:r>
      <w:r w:rsidRPr="0078708F">
        <w:t xml:space="preserve">connectors </w:t>
      </w:r>
      <w:r w:rsidRPr="00132C1E">
        <w:t>like hold-downs.</w:t>
      </w:r>
    </w:p>
    <w:p w14:paraId="6F6873B2" w14:textId="35AB3A6F" w:rsidR="00B80F46" w:rsidRPr="00132C1E" w:rsidRDefault="00B80F46" w:rsidP="00724E4E">
      <w:pPr>
        <w:pStyle w:val="Clause"/>
      </w:pPr>
      <w:r w:rsidRPr="00835C82">
        <w:lastRenderedPageBreak/>
        <w:t>13.9.1(3)</w:t>
      </w:r>
      <w:r w:rsidRPr="00132C1E">
        <w:t xml:space="preserve"> should be applied.</w:t>
      </w:r>
    </w:p>
    <w:p w14:paraId="152B6E8D" w14:textId="6A4BB6E7" w:rsidR="00B80F46" w:rsidRPr="00132C1E" w:rsidRDefault="007864F5" w:rsidP="007864F5">
      <w:pPr>
        <w:pStyle w:val="FigureImage"/>
      </w:pPr>
      <w:r>
        <w:rPr>
          <w:noProof/>
        </w:rPr>
        <w:drawing>
          <wp:inline distT="0" distB="0" distL="0" distR="0" wp14:anchorId="75B4A50A" wp14:editId="5F6F617E">
            <wp:extent cx="5940562" cy="4081279"/>
            <wp:effectExtent l="0" t="0" r="3175" b="0"/>
            <wp:docPr id="2081949446" name="0059.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1949446" name="0059.tiff"/>
                    <pic:cNvPicPr/>
                  </pic:nvPicPr>
                  <pic:blipFill>
                    <a:blip r:link="rId84"/>
                    <a:stretch>
                      <a:fillRect/>
                    </a:stretch>
                  </pic:blipFill>
                  <pic:spPr>
                    <a:xfrm>
                      <a:off x="0" y="0"/>
                      <a:ext cx="5940562" cy="4081279"/>
                    </a:xfrm>
                    <a:prstGeom prst="rect">
                      <a:avLst/>
                    </a:prstGeom>
                  </pic:spPr>
                </pic:pic>
              </a:graphicData>
            </a:graphic>
          </wp:inline>
        </w:drawing>
      </w:r>
    </w:p>
    <w:p w14:paraId="3E3CC681" w14:textId="253CEB8F" w:rsidR="00B80F46" w:rsidRPr="00E05E29" w:rsidRDefault="00B80F46" w:rsidP="0078708F">
      <w:pPr>
        <w:pStyle w:val="Figuretitle"/>
      </w:pPr>
      <w:r w:rsidRPr="00D1484A">
        <w:t xml:space="preserve">Figure </w:t>
      </w:r>
      <w:r w:rsidR="00FD4EB5">
        <w:t>13</w:t>
      </w:r>
      <w:r w:rsidRPr="00132C1E">
        <w:t>.</w:t>
      </w:r>
      <w:r w:rsidRPr="00D1484A">
        <w:t>1</w:t>
      </w:r>
      <w:r>
        <w:t>5</w:t>
      </w:r>
      <w:r w:rsidRPr="00D1484A">
        <w:t> </w:t>
      </w:r>
      <w:r w:rsidRPr="00D1484A">
        <w:rPr>
          <w:rFonts w:ascii="`ÃÍœ˛" w:eastAsia="Cambria" w:hAnsi="`ÃÍœ˛" w:cs="`ÃÍœ˛"/>
          <w:szCs w:val="22"/>
          <w:lang w:eastAsia="de-DE"/>
        </w:rPr>
        <w:t>—</w:t>
      </w:r>
      <w:r w:rsidRPr="007E6F67">
        <w:t xml:space="preserve"> Examples of </w:t>
      </w:r>
      <w:r w:rsidRPr="00FD17CF">
        <w:t>braced frame structures with carpentry connections</w:t>
      </w:r>
    </w:p>
    <w:p w14:paraId="3C980DF1" w14:textId="77777777" w:rsidR="00B80F46" w:rsidRPr="002144A0" w:rsidRDefault="00B80F46" w:rsidP="00B80F46">
      <w:pPr>
        <w:pStyle w:val="Heading3"/>
      </w:pPr>
      <w:bookmarkStart w:id="10549" w:name="_Toc2160659"/>
      <w:bookmarkStart w:id="10550" w:name="_Toc17491777"/>
      <w:bookmarkStart w:id="10551" w:name="_Toc50150610"/>
      <w:bookmarkStart w:id="10552" w:name="_Toc70887042"/>
      <w:bookmarkStart w:id="10553" w:name="_Toc108342612"/>
      <w:bookmarkStart w:id="10554" w:name="_Toc134198134"/>
      <w:r w:rsidRPr="00196951">
        <w:t>Detailing rules</w:t>
      </w:r>
      <w:bookmarkEnd w:id="10549"/>
      <w:bookmarkEnd w:id="10550"/>
      <w:bookmarkEnd w:id="10551"/>
      <w:bookmarkEnd w:id="10552"/>
      <w:bookmarkEnd w:id="10553"/>
      <w:bookmarkEnd w:id="10554"/>
    </w:p>
    <w:p w14:paraId="305BB08A" w14:textId="2F726506" w:rsidR="00B80F46" w:rsidRPr="004F25D7" w:rsidRDefault="00B80F46" w:rsidP="0080187E">
      <w:pPr>
        <w:pStyle w:val="Clause"/>
        <w:numPr>
          <w:ilvl w:val="0"/>
          <w:numId w:val="482"/>
        </w:numPr>
      </w:pPr>
      <w:r w:rsidRPr="00835C82">
        <w:t>13.7.4(1)</w:t>
      </w:r>
      <w:r w:rsidRPr="002144A0">
        <w:t xml:space="preserve"> should be applied.</w:t>
      </w:r>
    </w:p>
    <w:p w14:paraId="48907DBE" w14:textId="529A63C1" w:rsidR="00B80F46" w:rsidRPr="00C52095" w:rsidRDefault="00B80F46" w:rsidP="00724E4E">
      <w:pPr>
        <w:pStyle w:val="Clause"/>
      </w:pPr>
      <w:r w:rsidRPr="00835C82">
        <w:t>13.9.3(2)</w:t>
      </w:r>
      <w:r w:rsidRPr="00C52095">
        <w:t xml:space="preserve"> should be applied.</w:t>
      </w:r>
    </w:p>
    <w:p w14:paraId="6A34B32B" w14:textId="75139B76" w:rsidR="00B80F46" w:rsidRPr="00132C1E" w:rsidRDefault="00B80F46" w:rsidP="00B80F46">
      <w:pPr>
        <w:pStyle w:val="Heading2"/>
      </w:pPr>
      <w:bookmarkStart w:id="10555" w:name="_Toc50150611"/>
      <w:bookmarkStart w:id="10556" w:name="_Toc70887043"/>
      <w:bookmarkStart w:id="10557" w:name="_Toc108342613"/>
      <w:bookmarkStart w:id="10558" w:name="_Toc134198135"/>
      <w:r>
        <w:t>Verification of f</w:t>
      </w:r>
      <w:r w:rsidRPr="007754C9">
        <w:t>loor and roof diaphragms</w:t>
      </w:r>
      <w:bookmarkEnd w:id="10555"/>
      <w:bookmarkEnd w:id="10556"/>
      <w:bookmarkEnd w:id="10557"/>
      <w:bookmarkEnd w:id="10558"/>
    </w:p>
    <w:p w14:paraId="02CA6DF6" w14:textId="77777777" w:rsidR="00B80F46" w:rsidRPr="00132C1E" w:rsidRDefault="00B80F46" w:rsidP="00B80F46">
      <w:pPr>
        <w:pStyle w:val="Heading3"/>
      </w:pPr>
      <w:bookmarkStart w:id="10559" w:name="_Toc50150612"/>
      <w:bookmarkStart w:id="10560" w:name="_Toc70887044"/>
      <w:bookmarkStart w:id="10561" w:name="_Toc108342614"/>
      <w:bookmarkStart w:id="10562" w:name="_Toc134198136"/>
      <w:r w:rsidRPr="00132C1E">
        <w:t>General rules</w:t>
      </w:r>
      <w:bookmarkEnd w:id="10559"/>
      <w:bookmarkEnd w:id="10560"/>
      <w:bookmarkEnd w:id="10561"/>
      <w:bookmarkEnd w:id="10562"/>
    </w:p>
    <w:p w14:paraId="70CC0EA2" w14:textId="07F1D562" w:rsidR="0078708F" w:rsidRDefault="00B80F46" w:rsidP="0080187E">
      <w:pPr>
        <w:pStyle w:val="Clause"/>
        <w:numPr>
          <w:ilvl w:val="0"/>
          <w:numId w:val="483"/>
        </w:numPr>
      </w:pPr>
      <w:r w:rsidRPr="00132C1E">
        <w:t xml:space="preserve">Floor and roof diaphragms should be made according to </w:t>
      </w:r>
      <w:r w:rsidRPr="00835C82">
        <w:t>13.15.2</w:t>
      </w:r>
      <w:r w:rsidRPr="00132C1E">
        <w:t xml:space="preserve">, </w:t>
      </w:r>
      <w:r w:rsidRPr="00835C82">
        <w:t xml:space="preserve">13.15.3 </w:t>
      </w:r>
      <w:r w:rsidRPr="00132C1E">
        <w:t xml:space="preserve">or </w:t>
      </w:r>
      <w:r w:rsidRPr="00835C82">
        <w:t>13.15.4</w:t>
      </w:r>
      <w:r w:rsidRPr="00132C1E">
        <w:t xml:space="preserve">. Other types of floors such as those made of solid wood panels listed in </w:t>
      </w:r>
      <w:r w:rsidRPr="00835C82">
        <w:t>13.3.2(2)</w:t>
      </w:r>
      <w:r w:rsidRPr="00132C1E">
        <w:t xml:space="preserve"> may be used provided that they are capable of transferring in-plane horizontal actions to the primary structure.</w:t>
      </w:r>
    </w:p>
    <w:p w14:paraId="7886B87C" w14:textId="6393C426" w:rsidR="0078708F" w:rsidRPr="00132C1E" w:rsidRDefault="0078708F" w:rsidP="00724E4E">
      <w:pPr>
        <w:pStyle w:val="Clause"/>
      </w:pPr>
      <w:r w:rsidRPr="0078708F">
        <w:t>Openings, discontinuities and irregularities in horizontal diaphragms should be designed to ensure continuity of in-plane shear and flexural forces and to avoid any type of failures including those due to stress concentration. Analysis and design should be based on strut-and-tie, truss or finite-element models to determine an effective load path. Where required by the design, framing of the openings, in the form of perimetral beams, supporting walls or ties, should be provided</w:t>
      </w:r>
      <w:r w:rsidRPr="00132C1E">
        <w:t>.</w:t>
      </w:r>
    </w:p>
    <w:p w14:paraId="504D01BF" w14:textId="36D8E4CF" w:rsidR="0078708F" w:rsidRPr="00132C1E" w:rsidRDefault="0078708F" w:rsidP="00724E4E">
      <w:pPr>
        <w:pStyle w:val="Clause"/>
      </w:pPr>
      <w:r w:rsidRPr="0078708F">
        <w:t>Perimeter diaphragm chords should be assessed for the tensile and compressive forces arising from diaphragm action. Chords should always incorporate a perimeter beam to resist the full tensile and compressive forces, unless properly connected supporting walls are provided underneath the diaphragm</w:t>
      </w:r>
      <w:r w:rsidRPr="00132C1E">
        <w:t>.</w:t>
      </w:r>
    </w:p>
    <w:p w14:paraId="3548D122" w14:textId="7250E1E1" w:rsidR="0078708F" w:rsidRPr="00132C1E" w:rsidRDefault="0078708F" w:rsidP="00724E4E">
      <w:pPr>
        <w:pStyle w:val="Clause"/>
      </w:pPr>
      <w:r w:rsidRPr="00835C82">
        <w:lastRenderedPageBreak/>
        <w:t>6.2.8(2)</w:t>
      </w:r>
      <w:r w:rsidRPr="0078708F">
        <w:t xml:space="preserve"> may be applied for the design to DC2 and DC3 of timber diaphragms for building systems other than CLT and framed shear walls with the value of </w:t>
      </w:r>
      <w:r w:rsidRPr="0078708F">
        <w:rPr>
          <w:i/>
          <w:iCs/>
        </w:rPr>
        <w:t>γ</w:t>
      </w:r>
      <w:r w:rsidRPr="0078708F">
        <w:rPr>
          <w:vertAlign w:val="subscript"/>
        </w:rPr>
        <w:t>d</w:t>
      </w:r>
      <w:r w:rsidRPr="0078708F">
        <w:t xml:space="preserve"> for brittle failure as given in Table 6.1 multiplied by 1,5</w:t>
      </w:r>
      <w:r w:rsidRPr="00132C1E">
        <w:t>.</w:t>
      </w:r>
    </w:p>
    <w:p w14:paraId="1277DB59" w14:textId="135F048D" w:rsidR="00B80F46" w:rsidRPr="00132C1E" w:rsidRDefault="00B80F46" w:rsidP="00B80F46">
      <w:pPr>
        <w:pStyle w:val="Heading3"/>
      </w:pPr>
      <w:bookmarkStart w:id="10563" w:name="_Toc50150613"/>
      <w:bookmarkStart w:id="10564" w:name="_Toc70887045"/>
      <w:bookmarkStart w:id="10565" w:name="_Toc108342615"/>
      <w:bookmarkStart w:id="10566" w:name="_Toc134198137"/>
      <w:r w:rsidRPr="00132C1E">
        <w:t xml:space="preserve">Cross laminated </w:t>
      </w:r>
      <w:r w:rsidRPr="00FC236C">
        <w:t>timber (CLT) f</w:t>
      </w:r>
      <w:r w:rsidRPr="00132C1E">
        <w:t>loor and roof diaphragms</w:t>
      </w:r>
      <w:bookmarkEnd w:id="10563"/>
      <w:bookmarkEnd w:id="10564"/>
      <w:bookmarkEnd w:id="10565"/>
      <w:bookmarkEnd w:id="10566"/>
      <w:r w:rsidRPr="00132C1E">
        <w:tab/>
      </w:r>
    </w:p>
    <w:p w14:paraId="1B269CB5" w14:textId="4EFC1349" w:rsidR="00B80F46" w:rsidRPr="00822589" w:rsidRDefault="00B80F46" w:rsidP="0080187E">
      <w:pPr>
        <w:pStyle w:val="Clause"/>
        <w:numPr>
          <w:ilvl w:val="0"/>
          <w:numId w:val="484"/>
        </w:numPr>
      </w:pPr>
      <w:r w:rsidRPr="00FD12D8">
        <w:t>CLT f</w:t>
      </w:r>
      <w:r w:rsidRPr="0091521B">
        <w:t>loor and roof diaphragms should be made of C</w:t>
      </w:r>
      <w:r w:rsidRPr="00FC236C">
        <w:t>LT</w:t>
      </w:r>
      <w:r w:rsidRPr="0091521B">
        <w:t xml:space="preserve"> panels according to </w:t>
      </w:r>
      <w:r w:rsidRPr="00835C82">
        <w:t>13.3.2(1)</w:t>
      </w:r>
      <w:r w:rsidRPr="0091521B">
        <w:t xml:space="preserve"> connected together and to the supporting walls or beams using metal fasteners (screws and nails).</w:t>
      </w:r>
    </w:p>
    <w:p w14:paraId="33568826" w14:textId="0D3E78E3" w:rsidR="00B80F46" w:rsidRPr="00132C1E" w:rsidRDefault="007864F5" w:rsidP="007864F5">
      <w:pPr>
        <w:pStyle w:val="FigureImage"/>
        <w:rPr>
          <w:highlight w:val="yellow"/>
        </w:rPr>
      </w:pPr>
      <w:r>
        <w:rPr>
          <w:noProof/>
        </w:rPr>
        <w:drawing>
          <wp:inline distT="0" distB="0" distL="0" distR="0" wp14:anchorId="30B04CCB" wp14:editId="2D30EADE">
            <wp:extent cx="2880365" cy="2394208"/>
            <wp:effectExtent l="0" t="0" r="0" b="6350"/>
            <wp:docPr id="2081949447" name="0060.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1949447" name="0060.tiff"/>
                    <pic:cNvPicPr/>
                  </pic:nvPicPr>
                  <pic:blipFill>
                    <a:blip r:link="rId85"/>
                    <a:stretch>
                      <a:fillRect/>
                    </a:stretch>
                  </pic:blipFill>
                  <pic:spPr>
                    <a:xfrm>
                      <a:off x="0" y="0"/>
                      <a:ext cx="2880365" cy="2394208"/>
                    </a:xfrm>
                    <a:prstGeom prst="rect">
                      <a:avLst/>
                    </a:prstGeom>
                  </pic:spPr>
                </pic:pic>
              </a:graphicData>
            </a:graphic>
          </wp:inline>
        </w:drawing>
      </w:r>
    </w:p>
    <w:p w14:paraId="19B1DCB8" w14:textId="77777777" w:rsidR="00B80F46" w:rsidRPr="00D1484A" w:rsidRDefault="00B80F46" w:rsidP="007864F5">
      <w:pPr>
        <w:pStyle w:val="KeyTitle"/>
      </w:pPr>
      <w:r w:rsidRPr="00D1484A">
        <w:t>Key</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
        <w:gridCol w:w="9363"/>
      </w:tblGrid>
      <w:tr w:rsidR="00B80F46" w:rsidRPr="00B5422C" w14:paraId="78C707C6" w14:textId="77777777" w:rsidTr="0032603B">
        <w:tc>
          <w:tcPr>
            <w:tcW w:w="388" w:type="dxa"/>
          </w:tcPr>
          <w:p w14:paraId="576D3A30" w14:textId="77777777" w:rsidR="00B80F46" w:rsidRPr="008618F2" w:rsidRDefault="00B80F46" w:rsidP="008618F2">
            <w:pPr>
              <w:pStyle w:val="KeyText"/>
              <w:spacing w:before="0"/>
              <w:rPr>
                <w:iCs/>
              </w:rPr>
            </w:pPr>
            <w:r w:rsidRPr="008618F2">
              <w:rPr>
                <w:iCs/>
              </w:rPr>
              <w:t>A</w:t>
            </w:r>
          </w:p>
        </w:tc>
        <w:tc>
          <w:tcPr>
            <w:tcW w:w="9363" w:type="dxa"/>
          </w:tcPr>
          <w:p w14:paraId="145E17E2" w14:textId="29037C54" w:rsidR="00B80F46" w:rsidRPr="008618F2" w:rsidRDefault="007864F5" w:rsidP="008618F2">
            <w:pPr>
              <w:pStyle w:val="KeyText"/>
              <w:spacing w:before="0"/>
            </w:pPr>
            <w:r w:rsidRPr="008618F2">
              <w:t>j</w:t>
            </w:r>
            <w:r w:rsidR="00B80F46" w:rsidRPr="008618F2">
              <w:t>oints between horizontal CLT panels staggered with respect to joints between vertical panels</w:t>
            </w:r>
          </w:p>
        </w:tc>
      </w:tr>
      <w:tr w:rsidR="00B80F46" w:rsidRPr="00B5422C" w14:paraId="361813F7" w14:textId="77777777" w:rsidTr="0032603B">
        <w:tc>
          <w:tcPr>
            <w:tcW w:w="388" w:type="dxa"/>
          </w:tcPr>
          <w:p w14:paraId="06822C7F" w14:textId="77777777" w:rsidR="00B80F46" w:rsidRPr="008618F2" w:rsidRDefault="00B80F46" w:rsidP="008618F2">
            <w:pPr>
              <w:pStyle w:val="KeyText"/>
              <w:spacing w:before="0"/>
              <w:rPr>
                <w:iCs/>
              </w:rPr>
            </w:pPr>
            <w:r w:rsidRPr="008618F2">
              <w:rPr>
                <w:iCs/>
              </w:rPr>
              <w:t>B</w:t>
            </w:r>
          </w:p>
        </w:tc>
        <w:tc>
          <w:tcPr>
            <w:tcW w:w="9363" w:type="dxa"/>
          </w:tcPr>
          <w:p w14:paraId="4AF1B776" w14:textId="5530C112" w:rsidR="00B80F46" w:rsidRPr="008618F2" w:rsidRDefault="007864F5" w:rsidP="008618F2">
            <w:pPr>
              <w:pStyle w:val="KeyText"/>
              <w:spacing w:before="0"/>
            </w:pPr>
            <w:r w:rsidRPr="008618F2">
              <w:t>j</w:t>
            </w:r>
            <w:r w:rsidR="00B80F46" w:rsidRPr="008618F2">
              <w:t>oints between horizontal CLT panels corresponding to joints between vertical CLT panels</w:t>
            </w:r>
          </w:p>
        </w:tc>
      </w:tr>
      <w:tr w:rsidR="00B80F46" w:rsidRPr="00B5422C" w14:paraId="7D69B222" w14:textId="77777777" w:rsidTr="0032603B">
        <w:tc>
          <w:tcPr>
            <w:tcW w:w="388" w:type="dxa"/>
          </w:tcPr>
          <w:p w14:paraId="54C2CC5C" w14:textId="77777777" w:rsidR="00B80F46" w:rsidRPr="008618F2" w:rsidRDefault="00B80F46" w:rsidP="008618F2">
            <w:pPr>
              <w:pStyle w:val="KeyText"/>
              <w:spacing w:before="0"/>
              <w:rPr>
                <w:iCs/>
              </w:rPr>
            </w:pPr>
            <w:r w:rsidRPr="008618F2">
              <w:rPr>
                <w:iCs/>
              </w:rPr>
              <w:t>C</w:t>
            </w:r>
          </w:p>
        </w:tc>
        <w:tc>
          <w:tcPr>
            <w:tcW w:w="9363" w:type="dxa"/>
          </w:tcPr>
          <w:p w14:paraId="5026D943" w14:textId="56F8BABF" w:rsidR="00B80F46" w:rsidRPr="008618F2" w:rsidRDefault="007864F5" w:rsidP="008618F2">
            <w:pPr>
              <w:pStyle w:val="KeyText"/>
              <w:spacing w:before="0"/>
            </w:pPr>
            <w:r w:rsidRPr="008618F2">
              <w:t>s</w:t>
            </w:r>
            <w:r w:rsidR="00B80F46" w:rsidRPr="008618F2">
              <w:t>teel strap to connect the CLT floor panels and transfer the tension forces due to the horizontal seismic actions</w:t>
            </w:r>
          </w:p>
        </w:tc>
      </w:tr>
    </w:tbl>
    <w:p w14:paraId="5AE3B78A" w14:textId="24C9BFB4" w:rsidR="00B80F46" w:rsidRPr="002144A0" w:rsidRDefault="00B80F46" w:rsidP="00FD12D8">
      <w:pPr>
        <w:pStyle w:val="Figuretitle"/>
      </w:pPr>
      <w:r w:rsidRPr="00132C1E">
        <w:t xml:space="preserve">Figure </w:t>
      </w:r>
      <w:r w:rsidR="00FD4EB5">
        <w:t>13</w:t>
      </w:r>
      <w:r w:rsidRPr="00132C1E">
        <w:t>.</w:t>
      </w:r>
      <w:r w:rsidRPr="00C92028">
        <w:t>16 </w:t>
      </w:r>
      <w:r w:rsidRPr="00C92028">
        <w:rPr>
          <w:rFonts w:ascii="`ÃÍœ˛" w:eastAsia="Cambria" w:hAnsi="`ÃÍœ˛" w:cs="`ÃÍœ˛"/>
          <w:szCs w:val="22"/>
          <w:lang w:eastAsia="de-DE"/>
        </w:rPr>
        <w:t>—</w:t>
      </w:r>
      <w:r w:rsidRPr="00C92028">
        <w:t> </w:t>
      </w:r>
      <w:r w:rsidRPr="007E6F67">
        <w:t xml:space="preserve">Correspondence between horizontal joints in </w:t>
      </w:r>
      <w:r>
        <w:t>CL</w:t>
      </w:r>
      <w:r w:rsidRPr="00FD12D8">
        <w:t xml:space="preserve">T </w:t>
      </w:r>
      <w:r w:rsidRPr="00FD17CF">
        <w:t xml:space="preserve">diaphragms and </w:t>
      </w:r>
      <w:r w:rsidR="00FD4EB5">
        <w:br/>
      </w:r>
      <w:r w:rsidRPr="00FD17CF">
        <w:t xml:space="preserve">vertical joints in </w:t>
      </w:r>
      <w:r w:rsidRPr="00FD12D8">
        <w:t>CLT w</w:t>
      </w:r>
      <w:r w:rsidRPr="00196951">
        <w:t>alls</w:t>
      </w:r>
    </w:p>
    <w:p w14:paraId="6D050644" w14:textId="7F9C7B4F" w:rsidR="00B80F46" w:rsidRPr="004F25D7" w:rsidRDefault="00B80F46" w:rsidP="00724E4E">
      <w:pPr>
        <w:pStyle w:val="Clause"/>
      </w:pPr>
      <w:r w:rsidRPr="002144A0">
        <w:t xml:space="preserve">Holes for installations placed across </w:t>
      </w:r>
      <w:r w:rsidRPr="005A0DAF">
        <w:rPr>
          <w:color w:val="auto"/>
        </w:rPr>
        <w:t>two CLT pane</w:t>
      </w:r>
      <w:r w:rsidRPr="00C92028">
        <w:t xml:space="preserve">ls </w:t>
      </w:r>
      <w:r w:rsidRPr="002144A0">
        <w:t>should be such that they ensure the transmission of horizontal seismic forces in the panel-to-panel reduced length of joint.</w:t>
      </w:r>
    </w:p>
    <w:p w14:paraId="2AD6EAB8" w14:textId="40BB3696" w:rsidR="00B80F46" w:rsidRPr="00132C1E" w:rsidRDefault="00B80F46" w:rsidP="00724E4E">
      <w:pPr>
        <w:pStyle w:val="Clause"/>
      </w:pPr>
      <w:r w:rsidRPr="00132C1E">
        <w:t xml:space="preserve">Joints between horizontal panels in </w:t>
      </w:r>
      <w:r w:rsidRPr="00FD12D8">
        <w:t xml:space="preserve">CLT diaphragms should be staggered with respect to joints between vertical panels in CLT </w:t>
      </w:r>
      <w:r w:rsidRPr="00C92028">
        <w:t>walls like in Figure 13.16</w:t>
      </w:r>
      <w:r w:rsidR="00C473EF">
        <w:t xml:space="preserve"> </w:t>
      </w:r>
      <w:r w:rsidRPr="00C92028">
        <w:t>A). If they are not staggered like in Figure 13.16</w:t>
      </w:r>
      <w:r w:rsidR="00C473EF">
        <w:t xml:space="preserve"> </w:t>
      </w:r>
      <w:r w:rsidRPr="00C92028">
        <w:t>B, additional measures (such as continuous beams or steel straps like in Figure 13.16</w:t>
      </w:r>
      <w:r w:rsidR="00C473EF">
        <w:t xml:space="preserve"> </w:t>
      </w:r>
      <w:r w:rsidRPr="00C92028">
        <w:t xml:space="preserve">C) </w:t>
      </w:r>
      <w:r w:rsidRPr="00132C1E">
        <w:t>should be taken to connect the floor panels above the wall and across the joint in order to transfer the tension forces due to the in-plane bending moment.</w:t>
      </w:r>
    </w:p>
    <w:p w14:paraId="5CA2D325" w14:textId="59B95D11" w:rsidR="00FD12D8" w:rsidRPr="00132C1E" w:rsidRDefault="00FD12D8" w:rsidP="00FD12D8">
      <w:pPr>
        <w:pStyle w:val="Heading3"/>
      </w:pPr>
      <w:bookmarkStart w:id="10567" w:name="_Toc50150614"/>
      <w:bookmarkStart w:id="10568" w:name="_Toc70887046"/>
      <w:bookmarkStart w:id="10569" w:name="_Toc108342616"/>
      <w:bookmarkStart w:id="10570" w:name="_Toc134198138"/>
      <w:r w:rsidRPr="00FD12D8">
        <w:t>Framed</w:t>
      </w:r>
      <w:r w:rsidRPr="00132C1E">
        <w:t xml:space="preserve"> floor and roof </w:t>
      </w:r>
      <w:r w:rsidRPr="005056DD">
        <w:t>diaphragms</w:t>
      </w:r>
      <w:bookmarkEnd w:id="10567"/>
      <w:bookmarkEnd w:id="10568"/>
      <w:bookmarkEnd w:id="10569"/>
      <w:bookmarkEnd w:id="10570"/>
    </w:p>
    <w:p w14:paraId="6D8B1113" w14:textId="381E9DA8" w:rsidR="00FD12D8" w:rsidRPr="00132C1E" w:rsidRDefault="00FD12D8" w:rsidP="0080187E">
      <w:pPr>
        <w:pStyle w:val="Clause"/>
        <w:numPr>
          <w:ilvl w:val="0"/>
          <w:numId w:val="485"/>
        </w:numPr>
      </w:pPr>
      <w:r>
        <w:t xml:space="preserve">Framed </w:t>
      </w:r>
      <w:r w:rsidRPr="00132C1E">
        <w:t>floor and roof diaphragms should be composed of equally spaced beams or joists (Figure 13.</w:t>
      </w:r>
      <w:r>
        <w:t>8</w:t>
      </w:r>
      <w:r w:rsidRPr="00132C1E">
        <w:t xml:space="preserve"> J) and timber blocking (Figure 13.</w:t>
      </w:r>
      <w:r>
        <w:t>8</w:t>
      </w:r>
      <w:r w:rsidRPr="00132C1E">
        <w:t xml:space="preserve"> K) in between and sheathing panels.</w:t>
      </w:r>
    </w:p>
    <w:p w14:paraId="0B1AEF8E" w14:textId="0992F905" w:rsidR="00FD12D8" w:rsidRPr="00132C1E" w:rsidRDefault="00FD12D8" w:rsidP="00724E4E">
      <w:pPr>
        <w:pStyle w:val="Clause"/>
      </w:pPr>
      <w:r w:rsidRPr="00132C1E">
        <w:t>The sheathing panels should be placed on top of the beams, joists and blockings, and connected by means of screws, nails or staples along the whole perimeter of the sheathing panel (Figure 13.</w:t>
      </w:r>
      <w:r>
        <w:t>8</w:t>
      </w:r>
      <w:r w:rsidRPr="00132C1E">
        <w:t xml:space="preserve"> A).</w:t>
      </w:r>
    </w:p>
    <w:p w14:paraId="2364D28F" w14:textId="6667F720" w:rsidR="00FD12D8" w:rsidRPr="00132C1E" w:rsidRDefault="00FD12D8" w:rsidP="00724E4E">
      <w:pPr>
        <w:pStyle w:val="Clause"/>
      </w:pPr>
      <w:r w:rsidRPr="00132C1E">
        <w:t>At each floor, a perimeter edge beam (Figure 13.</w:t>
      </w:r>
      <w:r>
        <w:t>8</w:t>
      </w:r>
      <w:r w:rsidRPr="00132C1E">
        <w:t xml:space="preserve"> L) should be provided to resist the tensile and compressive forces arising from the diaphragm action when the floor is loaded by horizontal forces acting in its plane.</w:t>
      </w:r>
    </w:p>
    <w:p w14:paraId="2B2A8D7A" w14:textId="3D807D50" w:rsidR="00FD12D8" w:rsidRPr="00132C1E" w:rsidRDefault="00FD12D8" w:rsidP="00724E4E">
      <w:pPr>
        <w:pStyle w:val="Clause"/>
      </w:pPr>
      <w:r w:rsidRPr="00132C1E">
        <w:lastRenderedPageBreak/>
        <w:t>Sheathing edges not meeting on framing members should be supported on and connected to the transverse blocking placed between the wooden joists.</w:t>
      </w:r>
    </w:p>
    <w:p w14:paraId="6EE7FE43" w14:textId="0554351E" w:rsidR="00FD12D8" w:rsidRPr="00132C1E" w:rsidRDefault="00FD12D8" w:rsidP="00724E4E">
      <w:pPr>
        <w:pStyle w:val="Clause"/>
      </w:pPr>
      <w:r w:rsidRPr="00132C1E">
        <w:t>Blocking should be provided in the horizontal diaphragms above the primary vertical members (e.g. walls).</w:t>
      </w:r>
    </w:p>
    <w:p w14:paraId="67487908" w14:textId="0A866537" w:rsidR="00FD12D8" w:rsidRPr="00132C1E" w:rsidRDefault="00FD12D8" w:rsidP="00724E4E">
      <w:pPr>
        <w:pStyle w:val="Clause"/>
      </w:pPr>
      <w:r w:rsidRPr="00132C1E">
        <w:t xml:space="preserve">Alternative systems to </w:t>
      </w:r>
      <w:r w:rsidRPr="00835C82">
        <w:t xml:space="preserve">(4) </w:t>
      </w:r>
      <w:r w:rsidRPr="00132C1E">
        <w:t xml:space="preserve">and </w:t>
      </w:r>
      <w:r w:rsidRPr="00835C82">
        <w:t>(5)</w:t>
      </w:r>
      <w:r w:rsidRPr="00132C1E">
        <w:t xml:space="preserve"> like steel straps, wooden boards or plywood straps running along the unsupported edge of the sheathing panel may replace the timber blocking. In that case, such a system should be designed to transfer the in-plane shear forces between adjacent sheathing panels.</w:t>
      </w:r>
    </w:p>
    <w:p w14:paraId="31333F10" w14:textId="60E5B3FD" w:rsidR="00FD12D8" w:rsidRPr="00132C1E" w:rsidRDefault="00AF23CF" w:rsidP="00724E4E">
      <w:pPr>
        <w:pStyle w:val="Clause"/>
      </w:pPr>
      <w:r w:rsidRPr="00132C1E">
        <w:t>The structural continuity of the beams and joists along the perimeter of the floor diaphragm should be verified; such beams and joists should be designed to resist the tension and compression forces due to the in-plane seismic forces and transfer them to the primary structure</w:t>
      </w:r>
      <w:r w:rsidR="00FD12D8" w:rsidRPr="00132C1E">
        <w:t>.</w:t>
      </w:r>
    </w:p>
    <w:p w14:paraId="2976E045" w14:textId="6736D5E9" w:rsidR="00AF23CF" w:rsidRPr="00132C1E" w:rsidRDefault="00AF23CF" w:rsidP="00724E4E">
      <w:pPr>
        <w:pStyle w:val="Clause"/>
      </w:pPr>
      <w:r w:rsidRPr="00132C1E">
        <w:t>Structurally continuous trimmer joists should be placed around holes in the diaphragms and designed to resist the tension and compression forces due the in-plane seismic forces.</w:t>
      </w:r>
    </w:p>
    <w:p w14:paraId="7879EF5D" w14:textId="3DB94627" w:rsidR="00AF23CF" w:rsidRPr="00132C1E" w:rsidRDefault="00AF23CF" w:rsidP="00724E4E">
      <w:pPr>
        <w:pStyle w:val="Clause"/>
      </w:pPr>
      <w:r w:rsidRPr="00132C1E">
        <w:t>If intermediate transverse blocking is not present in the floor diaphragm over the full depth of the beams and joists, the depth-to-width ratio (</w:t>
      </w:r>
      <w:r w:rsidRPr="00A8381A">
        <w:rPr>
          <w:i/>
        </w:rPr>
        <w:t>h/b</w:t>
      </w:r>
      <w:r w:rsidRPr="00132C1E">
        <w:t>) of the beams and joists should not be greater than 4.</w:t>
      </w:r>
    </w:p>
    <w:p w14:paraId="63459473" w14:textId="02B5A38F" w:rsidR="00AF23CF" w:rsidRPr="00132C1E" w:rsidRDefault="00AF23CF" w:rsidP="00724E4E">
      <w:pPr>
        <w:pStyle w:val="Clause"/>
      </w:pPr>
      <w:r w:rsidRPr="00B33E3E">
        <w:t xml:space="preserve">If </w:t>
      </w:r>
      <w:r w:rsidRPr="00B33E3E">
        <w:rPr>
          <w:i/>
        </w:rPr>
        <w:t>S</w:t>
      </w:r>
      <w:r w:rsidRPr="00B33E3E">
        <w:rPr>
          <w:vertAlign w:val="subscript"/>
        </w:rPr>
        <w:t>δ</w:t>
      </w:r>
      <w:r w:rsidRPr="00B33E3E">
        <w:t xml:space="preserve"> &gt; 2 m/s</w:t>
      </w:r>
      <w:r w:rsidRPr="00B33E3E">
        <w:rPr>
          <w:vertAlign w:val="superscript"/>
        </w:rPr>
        <w:t>2</w:t>
      </w:r>
      <w:r w:rsidRPr="00B33E3E">
        <w:t xml:space="preserve">, the spacing of fasteners in areas of discontinuity calculated according to </w:t>
      </w:r>
      <w:r w:rsidR="007F3697">
        <w:t>prEN </w:t>
      </w:r>
      <w:r w:rsidR="006067DF">
        <w:t>1995</w:t>
      </w:r>
      <w:r w:rsidR="000E61CC">
        <w:noBreakHyphen/>
      </w:r>
      <w:r w:rsidR="006067DF">
        <w:t>1</w:t>
      </w:r>
      <w:r w:rsidR="000E61CC">
        <w:noBreakHyphen/>
      </w:r>
      <w:r w:rsidR="006067DF">
        <w:t>1:2023</w:t>
      </w:r>
      <w:r w:rsidRPr="00B33E3E">
        <w:t xml:space="preserve">, </w:t>
      </w:r>
      <w:r w:rsidRPr="00835C82">
        <w:t>13.4.2</w:t>
      </w:r>
      <w:r w:rsidRPr="00AF23CF">
        <w:t>,</w:t>
      </w:r>
      <w:r w:rsidRPr="00835C82">
        <w:t xml:space="preserve"> 13.4.3 </w:t>
      </w:r>
      <w:r w:rsidRPr="00AF23CF">
        <w:t>and</w:t>
      </w:r>
      <w:r w:rsidRPr="00835C82">
        <w:t xml:space="preserve"> 13.4.4</w:t>
      </w:r>
      <w:r w:rsidRPr="00AF23CF">
        <w:t>, should be reduced by 25</w:t>
      </w:r>
      <w:r w:rsidR="000E61CC">
        <w:t> </w:t>
      </w:r>
      <w:r w:rsidRPr="00AF23CF">
        <w:t xml:space="preserve">%, but not to less than the minimum spacing specified in </w:t>
      </w:r>
      <w:r w:rsidR="007F3697">
        <w:t>prEN </w:t>
      </w:r>
      <w:r w:rsidR="006067DF">
        <w:t>1995-1-1:2023</w:t>
      </w:r>
      <w:r w:rsidRPr="00AF23CF">
        <w:t xml:space="preserve">, </w:t>
      </w:r>
      <w:r w:rsidRPr="00835C82">
        <w:t>13.2.2(9)</w:t>
      </w:r>
      <w:r w:rsidRPr="00AF23CF">
        <w:t>.</w:t>
      </w:r>
    </w:p>
    <w:p w14:paraId="7F5CEE98" w14:textId="0B9B01DE" w:rsidR="00AF23CF" w:rsidRPr="00BC6605" w:rsidRDefault="007F3697" w:rsidP="00724E4E">
      <w:pPr>
        <w:pStyle w:val="Clause"/>
      </w:pPr>
      <w:r w:rsidRPr="00BC6605">
        <w:t>prEN </w:t>
      </w:r>
      <w:r w:rsidR="006067DF">
        <w:t>1995-1-1:2023</w:t>
      </w:r>
      <w:r w:rsidR="00AF23CF" w:rsidRPr="00BC6605">
        <w:t>, 14.1, 14.2 and 14.4, 13.1, 13.2 and 13.4, should be applied.</w:t>
      </w:r>
    </w:p>
    <w:p w14:paraId="78127E22" w14:textId="2525860B" w:rsidR="00AF23CF" w:rsidRPr="00132C1E" w:rsidRDefault="00AF23CF" w:rsidP="00AF23CF">
      <w:pPr>
        <w:pStyle w:val="Heading3"/>
      </w:pPr>
      <w:bookmarkStart w:id="10571" w:name="_Toc50150615"/>
      <w:bookmarkStart w:id="10572" w:name="_Toc70887047"/>
      <w:bookmarkStart w:id="10573" w:name="_Toc108342617"/>
      <w:bookmarkStart w:id="10574" w:name="_Toc134198139"/>
      <w:r w:rsidRPr="00132C1E">
        <w:t>Timber-concrete composite floor and roof diaphragms</w:t>
      </w:r>
      <w:bookmarkEnd w:id="10571"/>
      <w:bookmarkEnd w:id="10572"/>
      <w:bookmarkEnd w:id="10573"/>
      <w:bookmarkEnd w:id="10574"/>
    </w:p>
    <w:p w14:paraId="787DD51C" w14:textId="1778D026" w:rsidR="00AF23CF" w:rsidRPr="00FD17CF" w:rsidRDefault="00AF23CF" w:rsidP="0080187E">
      <w:pPr>
        <w:pStyle w:val="Clause"/>
        <w:numPr>
          <w:ilvl w:val="0"/>
          <w:numId w:val="486"/>
        </w:numPr>
      </w:pPr>
      <w:r w:rsidRPr="00BC6605">
        <w:t>Timber-concrete composite floor and roof diaphragms according to the C</w:t>
      </w:r>
      <w:r w:rsidRPr="00BC6605">
        <w:rPr>
          <w:rFonts w:cs="Segoe UI"/>
        </w:rPr>
        <w:t>EN/TS</w:t>
      </w:r>
      <w:r w:rsidR="00BC6605">
        <w:rPr>
          <w:rFonts w:cs="Segoe UI"/>
        </w:rPr>
        <w:t> </w:t>
      </w:r>
      <w:r w:rsidRPr="00BC6605">
        <w:rPr>
          <w:rFonts w:cs="Segoe UI"/>
        </w:rPr>
        <w:t>19103</w:t>
      </w:r>
      <w:r w:rsidR="0026060E">
        <w:rPr>
          <w:rFonts w:cs="Segoe UI"/>
        </w:rPr>
        <w:t xml:space="preserve"> </w:t>
      </w:r>
      <w:r w:rsidRPr="00BC6605">
        <w:t>should</w:t>
      </w:r>
      <w:r w:rsidRPr="00132C1E">
        <w:t xml:space="preserve"> be </w:t>
      </w:r>
      <w:r w:rsidRPr="00D1484A">
        <w:t xml:space="preserve">jointed to the lower and upper walls by means of </w:t>
      </w:r>
      <w:r w:rsidRPr="007E6F67">
        <w:t xml:space="preserve">connections with metal fasteners. </w:t>
      </w:r>
    </w:p>
    <w:p w14:paraId="0E658FA2" w14:textId="2171E419" w:rsidR="00AF23CF" w:rsidRPr="002144A0" w:rsidRDefault="00AF23CF" w:rsidP="00724E4E">
      <w:pPr>
        <w:pStyle w:val="Clause"/>
      </w:pPr>
      <w:r w:rsidRPr="00E05E29">
        <w:t xml:space="preserve">The concrete topping should be connected to the vertical primary members to ensure the in-plane shear due to the diaphragm action </w:t>
      </w:r>
      <w:r w:rsidRPr="00196951">
        <w:t xml:space="preserve">is </w:t>
      </w:r>
      <w:r w:rsidRPr="002144A0">
        <w:t>transferred to the walls underneath and down to the foundations.</w:t>
      </w:r>
    </w:p>
    <w:p w14:paraId="6943E216" w14:textId="68B1FCA4" w:rsidR="00AF23CF" w:rsidRPr="00C52095" w:rsidRDefault="00AF23CF" w:rsidP="00AF23CF">
      <w:pPr>
        <w:pStyle w:val="Heading2"/>
      </w:pPr>
      <w:bookmarkStart w:id="10575" w:name="_Toc50150616"/>
      <w:bookmarkStart w:id="10576" w:name="_Toc70887048"/>
      <w:bookmarkStart w:id="10577" w:name="_Toc108342618"/>
      <w:bookmarkStart w:id="10578" w:name="_Toc134198140"/>
      <w:r w:rsidRPr="002144A0">
        <w:t xml:space="preserve">Transfer </w:t>
      </w:r>
      <w:r>
        <w:t>zones</w:t>
      </w:r>
      <w:r w:rsidRPr="002144A0">
        <w:t xml:space="preserve">. Design </w:t>
      </w:r>
      <w:r w:rsidRPr="004F25D7">
        <w:t>for</w:t>
      </w:r>
      <w:r w:rsidRPr="00C52095">
        <w:t xml:space="preserve"> DC2 and DC3</w:t>
      </w:r>
      <w:bookmarkEnd w:id="10575"/>
      <w:bookmarkEnd w:id="10576"/>
      <w:bookmarkEnd w:id="10577"/>
      <w:bookmarkEnd w:id="10578"/>
    </w:p>
    <w:p w14:paraId="6C455495" w14:textId="5004BF99" w:rsidR="00AF23CF" w:rsidRPr="00132C1E" w:rsidRDefault="00AF23CF" w:rsidP="0080187E">
      <w:pPr>
        <w:pStyle w:val="Clause"/>
        <w:numPr>
          <w:ilvl w:val="0"/>
          <w:numId w:val="487"/>
        </w:numPr>
      </w:pPr>
      <w:r w:rsidRPr="00C52095">
        <w:t xml:space="preserve">Diaphragms in transfer </w:t>
      </w:r>
      <w:r w:rsidRPr="007754C9">
        <w:t xml:space="preserve">zones </w:t>
      </w:r>
      <w:r w:rsidRPr="00132C1E">
        <w:t xml:space="preserve">as defined in </w:t>
      </w:r>
      <w:r w:rsidRPr="00835C82">
        <w:t>3.1.32</w:t>
      </w:r>
      <w:r w:rsidRPr="00132C1E">
        <w:t xml:space="preserve"> should be designed according to </w:t>
      </w:r>
      <w:r w:rsidRPr="00835C82">
        <w:t>6.2.11</w:t>
      </w:r>
      <w:r w:rsidRPr="00132C1E">
        <w:t xml:space="preserve"> and </w:t>
      </w:r>
      <w:r w:rsidRPr="00835C82">
        <w:t>13.15</w:t>
      </w:r>
      <w:r w:rsidRPr="00132C1E">
        <w:t>.</w:t>
      </w:r>
    </w:p>
    <w:p w14:paraId="3ACADC3A" w14:textId="5B3B082E" w:rsidR="00AF23CF" w:rsidRPr="00132C1E" w:rsidRDefault="00AF23CF" w:rsidP="00724E4E">
      <w:pPr>
        <w:pStyle w:val="Clause"/>
      </w:pPr>
      <w:r w:rsidRPr="00835C82">
        <w:t>6.2.11</w:t>
      </w:r>
      <w:r w:rsidRPr="00132C1E">
        <w:t xml:space="preserve"> should be applied only for buildings up to 4 storeys.</w:t>
      </w:r>
      <w:r w:rsidRPr="00835C82">
        <w:t xml:space="preserve"> </w:t>
      </w:r>
      <w:r w:rsidRPr="00132C1E">
        <w:t xml:space="preserve">Above </w:t>
      </w:r>
      <w:r>
        <w:t>four</w:t>
      </w:r>
      <w:r w:rsidRPr="00132C1E">
        <w:t xml:space="preserve"> storeys</w:t>
      </w:r>
      <w:r>
        <w:t>,</w:t>
      </w:r>
      <w:r w:rsidRPr="00132C1E">
        <w:t xml:space="preserve"> at least 80</w:t>
      </w:r>
      <w:r w:rsidR="000E61CC">
        <w:t> </w:t>
      </w:r>
      <w:r w:rsidRPr="00132C1E">
        <w:t>% of the primary structure should be structurally continuous, in each main direction, from the base of the timber part of the building up to the roof (Figure 13.1 A).</w:t>
      </w:r>
    </w:p>
    <w:p w14:paraId="136F7FE7" w14:textId="1EA7E8C9" w:rsidR="00AF23CF" w:rsidRPr="00132C1E" w:rsidRDefault="00AF23CF" w:rsidP="00724E4E">
      <w:pPr>
        <w:pStyle w:val="Clause"/>
      </w:pPr>
      <w:r w:rsidRPr="00132C1E">
        <w:rPr>
          <w:rFonts w:ascii="Symbol" w:hAnsi="Symbol"/>
          <w:i/>
          <w:iCs/>
        </w:rPr>
        <w:t></w:t>
      </w:r>
      <w:r w:rsidRPr="00132C1E">
        <w:rPr>
          <w:vertAlign w:val="subscript"/>
        </w:rPr>
        <w:t>d</w:t>
      </w:r>
      <w:r w:rsidRPr="00132C1E">
        <w:t xml:space="preserve"> in </w:t>
      </w:r>
      <w:r w:rsidRPr="00835C82">
        <w:t>6.2.11(9)</w:t>
      </w:r>
      <w:r w:rsidRPr="00132C1E">
        <w:t xml:space="preserve"> should be taken equal to the value given in Table 13.4 for capacity design at wall and building level.</w:t>
      </w:r>
    </w:p>
    <w:p w14:paraId="378A8ACC" w14:textId="625AF4F3" w:rsidR="00AF23CF" w:rsidRPr="00132C1E" w:rsidRDefault="00AF23CF" w:rsidP="00724E4E">
      <w:pPr>
        <w:pStyle w:val="Clause"/>
      </w:pPr>
      <w:r w:rsidRPr="00132C1E">
        <w:t>The flexibility of the timber floor diaphragm should be taken into account.</w:t>
      </w:r>
    </w:p>
    <w:p w14:paraId="58FB91B2" w14:textId="5673EF4F" w:rsidR="00AF23CF" w:rsidRPr="00132C1E" w:rsidRDefault="00AF23CF" w:rsidP="00724E4E">
      <w:pPr>
        <w:pStyle w:val="Clause"/>
      </w:pPr>
      <w:r w:rsidRPr="00132C1E">
        <w:t xml:space="preserve">The resistance of the diaphragm to in-plane forces, calculated according to </w:t>
      </w:r>
      <w:r w:rsidRPr="00835C82">
        <w:t>(1)</w:t>
      </w:r>
      <w:r w:rsidRPr="00132C1E">
        <w:t>, should be checked.</w:t>
      </w:r>
    </w:p>
    <w:p w14:paraId="46112E7C" w14:textId="42C027FF" w:rsidR="00AF23CF" w:rsidRPr="00132C1E" w:rsidRDefault="00AF23CF" w:rsidP="00AF23CF">
      <w:pPr>
        <w:pStyle w:val="Heading2"/>
      </w:pPr>
      <w:bookmarkStart w:id="10579" w:name="_Toc50150617"/>
      <w:bookmarkStart w:id="10580" w:name="_Toc70887049"/>
      <w:bookmarkStart w:id="10581" w:name="_Toc108342619"/>
      <w:bookmarkStart w:id="10582" w:name="_Toc134198141"/>
      <w:r w:rsidRPr="00132C1E">
        <w:t>Checking of design and construction</w:t>
      </w:r>
      <w:bookmarkEnd w:id="10579"/>
      <w:bookmarkEnd w:id="10580"/>
      <w:r>
        <w:t xml:space="preserve"> data</w:t>
      </w:r>
      <w:bookmarkEnd w:id="10581"/>
      <w:bookmarkEnd w:id="10582"/>
    </w:p>
    <w:p w14:paraId="1C311634" w14:textId="4C050E1E" w:rsidR="00AF23CF" w:rsidRPr="00132C1E" w:rsidRDefault="00AF23CF" w:rsidP="0080187E">
      <w:pPr>
        <w:pStyle w:val="Clause"/>
        <w:numPr>
          <w:ilvl w:val="0"/>
          <w:numId w:val="488"/>
        </w:numPr>
      </w:pPr>
      <w:r w:rsidRPr="00376018">
        <w:t>The structural elements in a) to h) should be identified on the design drawings</w:t>
      </w:r>
      <w:r w:rsidRPr="00132C1E">
        <w:t>:</w:t>
      </w:r>
    </w:p>
    <w:p w14:paraId="222D837D" w14:textId="44208EB5" w:rsidR="00AF23CF" w:rsidRPr="00132C1E" w:rsidRDefault="00AF23CF" w:rsidP="0032603B">
      <w:pPr>
        <w:pStyle w:val="Text"/>
        <w:numPr>
          <w:ilvl w:val="0"/>
          <w:numId w:val="678"/>
        </w:numPr>
        <w:spacing w:after="200"/>
      </w:pPr>
      <w:r w:rsidRPr="00132C1E">
        <w:lastRenderedPageBreak/>
        <w:t>details and plan of the uplift and sliding restraint connections of all the primary vertical members to foundation and interstorey floor elements;</w:t>
      </w:r>
    </w:p>
    <w:p w14:paraId="471A0789" w14:textId="77777777" w:rsidR="00AF23CF" w:rsidRPr="00132C1E" w:rsidRDefault="00AF23CF" w:rsidP="0032603B">
      <w:pPr>
        <w:pStyle w:val="Text"/>
        <w:numPr>
          <w:ilvl w:val="0"/>
          <w:numId w:val="678"/>
        </w:numPr>
        <w:spacing w:after="200"/>
      </w:pPr>
      <w:r w:rsidRPr="00132C1E">
        <w:t>details of joints between horizontal diaphragms and primary vertical members underneath;</w:t>
      </w:r>
    </w:p>
    <w:p w14:paraId="4C9FE44B" w14:textId="77777777" w:rsidR="00AF23CF" w:rsidRPr="00132C1E" w:rsidRDefault="00AF23CF" w:rsidP="0032603B">
      <w:pPr>
        <w:pStyle w:val="Text"/>
        <w:numPr>
          <w:ilvl w:val="0"/>
          <w:numId w:val="678"/>
        </w:numPr>
        <w:spacing w:after="200"/>
      </w:pPr>
      <w:r w:rsidRPr="00132C1E">
        <w:t>details of joints between perpendicular or intersecting primary vertical members;</w:t>
      </w:r>
    </w:p>
    <w:p w14:paraId="2D05DCB3" w14:textId="77777777" w:rsidR="00AF23CF" w:rsidRPr="00E67759" w:rsidRDefault="00AF23CF" w:rsidP="0032603B">
      <w:pPr>
        <w:pStyle w:val="Text"/>
        <w:numPr>
          <w:ilvl w:val="0"/>
          <w:numId w:val="678"/>
        </w:numPr>
        <w:spacing w:after="200"/>
      </w:pPr>
      <w:r w:rsidRPr="00132C1E">
        <w:t>details of connections between sheathing panels and timber framing in horizontal and vertical diaphragms;</w:t>
      </w:r>
    </w:p>
    <w:p w14:paraId="54F0957E" w14:textId="77777777" w:rsidR="00AF23CF" w:rsidRPr="00132C1E" w:rsidRDefault="00AF23CF" w:rsidP="0032603B">
      <w:pPr>
        <w:pStyle w:val="Text"/>
        <w:numPr>
          <w:ilvl w:val="0"/>
          <w:numId w:val="678"/>
        </w:numPr>
        <w:spacing w:after="200"/>
      </w:pPr>
      <w:r w:rsidRPr="00E67759">
        <w:t>details of joints between CLT p</w:t>
      </w:r>
      <w:r w:rsidRPr="00132C1E">
        <w:t>anels in horizontal diaphragms and vertical walls;</w:t>
      </w:r>
    </w:p>
    <w:p w14:paraId="2CA3F424" w14:textId="77777777" w:rsidR="00AF23CF" w:rsidRPr="00132C1E" w:rsidRDefault="00AF23CF" w:rsidP="0032603B">
      <w:pPr>
        <w:pStyle w:val="Text"/>
        <w:numPr>
          <w:ilvl w:val="0"/>
          <w:numId w:val="678"/>
        </w:numPr>
        <w:spacing w:after="200"/>
      </w:pPr>
      <w:r w:rsidRPr="00132C1E">
        <w:t>details of connections in diagonal tension and compression timber trusses used for bracing;</w:t>
      </w:r>
    </w:p>
    <w:p w14:paraId="28D9DC1A" w14:textId="77777777" w:rsidR="00AF23CF" w:rsidRPr="00132C1E" w:rsidRDefault="00AF23CF" w:rsidP="0032603B">
      <w:pPr>
        <w:pStyle w:val="Text"/>
        <w:numPr>
          <w:ilvl w:val="0"/>
          <w:numId w:val="678"/>
        </w:numPr>
        <w:spacing w:after="200"/>
      </w:pPr>
      <w:r w:rsidRPr="00132C1E">
        <w:t>details and sizes of any carpentry connection;</w:t>
      </w:r>
    </w:p>
    <w:p w14:paraId="48DD8ED0" w14:textId="77777777" w:rsidR="00AF23CF" w:rsidRDefault="00AF23CF" w:rsidP="0032603B">
      <w:pPr>
        <w:pStyle w:val="Text"/>
        <w:numPr>
          <w:ilvl w:val="0"/>
          <w:numId w:val="678"/>
        </w:numPr>
        <w:spacing w:after="200"/>
      </w:pPr>
      <w:r w:rsidRPr="00132C1E">
        <w:t>details of any tension or perpendicular to the grain reinforcement in timber members or connection area.</w:t>
      </w:r>
    </w:p>
    <w:p w14:paraId="76BC9255" w14:textId="123894E8" w:rsidR="00AF23CF" w:rsidRDefault="00AF23CF" w:rsidP="00724E4E">
      <w:pPr>
        <w:pStyle w:val="Clause"/>
      </w:pPr>
      <w:r w:rsidRPr="00B33E3E">
        <w:t xml:space="preserve">The control during construction should be performed </w:t>
      </w:r>
      <w:r w:rsidRPr="00E67759">
        <w:t xml:space="preserve">according to </w:t>
      </w:r>
      <w:r w:rsidRPr="00E67759">
        <w:rPr>
          <w:rFonts w:eastAsia="Cambria"/>
        </w:rPr>
        <w:t>pr</w:t>
      </w:r>
      <w:r w:rsidR="00C30FF9">
        <w:rPr>
          <w:rFonts w:eastAsia="Cambria"/>
        </w:rPr>
        <w:t>EN 1</w:t>
      </w:r>
      <w:r w:rsidRPr="00E67759">
        <w:rPr>
          <w:rFonts w:eastAsia="Cambria"/>
        </w:rPr>
        <w:t>995-</w:t>
      </w:r>
      <w:r w:rsidR="00AD28A7">
        <w:rPr>
          <w:rFonts w:eastAsia="Cambria"/>
        </w:rPr>
        <w:t xml:space="preserve">3:2023, </w:t>
      </w:r>
      <w:r w:rsidRPr="00835C82">
        <w:t>Annex</w:t>
      </w:r>
      <w:r w:rsidRPr="00B33E3E">
        <w:t xml:space="preserve"> </w:t>
      </w:r>
      <w:r w:rsidRPr="00835C82">
        <w:t>G</w:t>
      </w:r>
      <w:r w:rsidRPr="00B33E3E">
        <w:t>, on execution of timber structures.</w:t>
      </w:r>
    </w:p>
    <w:p w14:paraId="6DEB69DF" w14:textId="2E433A9D" w:rsidR="00A94717" w:rsidRPr="00132C1E" w:rsidRDefault="00A94717" w:rsidP="00641E28">
      <w:pPr>
        <w:pStyle w:val="Heading1"/>
        <w:tabs>
          <w:tab w:val="num" w:pos="360"/>
        </w:tabs>
      </w:pPr>
      <w:bookmarkStart w:id="10583" w:name="_Ref20134935"/>
      <w:bookmarkStart w:id="10584" w:name="_Toc50150618"/>
      <w:bookmarkStart w:id="10585" w:name="_Toc70887050"/>
      <w:bookmarkStart w:id="10586" w:name="_Toc108342620"/>
      <w:bookmarkStart w:id="10587" w:name="_Toc134198142"/>
      <w:r w:rsidRPr="00132C1E">
        <w:t>Specific rules for masonry buildings</w:t>
      </w:r>
      <w:bookmarkEnd w:id="10583"/>
      <w:bookmarkEnd w:id="10584"/>
      <w:bookmarkEnd w:id="10585"/>
      <w:bookmarkEnd w:id="10586"/>
      <w:bookmarkEnd w:id="10587"/>
    </w:p>
    <w:p w14:paraId="7B49807A" w14:textId="77777777" w:rsidR="00A94717" w:rsidRPr="008A1B64" w:rsidRDefault="00A94717" w:rsidP="00641E28">
      <w:pPr>
        <w:pStyle w:val="Heading2"/>
        <w:rPr>
          <w:color w:val="000000" w:themeColor="text1"/>
        </w:rPr>
      </w:pPr>
      <w:bookmarkStart w:id="10588" w:name="_Toc108342621"/>
      <w:bookmarkStart w:id="10589" w:name="_Toc134198143"/>
      <w:r w:rsidRPr="008A1B64">
        <w:rPr>
          <w:color w:val="000000" w:themeColor="text1"/>
        </w:rPr>
        <w:t>General</w:t>
      </w:r>
      <w:bookmarkEnd w:id="10588"/>
      <w:bookmarkEnd w:id="10589"/>
    </w:p>
    <w:p w14:paraId="4DD2BAE3" w14:textId="74D0BEBB" w:rsidR="00A94717" w:rsidRPr="00132C1E" w:rsidRDefault="00835C82" w:rsidP="0080187E">
      <w:pPr>
        <w:pStyle w:val="Clause"/>
        <w:numPr>
          <w:ilvl w:val="0"/>
          <w:numId w:val="489"/>
        </w:numPr>
      </w:pPr>
      <w:bookmarkStart w:id="10590" w:name="_Toc7368752"/>
      <w:bookmarkStart w:id="10591" w:name="_Toc19566919"/>
      <w:r w:rsidRPr="00835C82">
        <w:t xml:space="preserve">Clause </w:t>
      </w:r>
      <w:r w:rsidR="00A94717" w:rsidRPr="00835C82">
        <w:t>14</w:t>
      </w:r>
      <w:r w:rsidR="00A94717" w:rsidRPr="00132C1E">
        <w:t xml:space="preserve"> should be applied to the design and the verification of masonry buildings in seismic regions.</w:t>
      </w:r>
    </w:p>
    <w:p w14:paraId="285865F7" w14:textId="5E982A75" w:rsidR="00A94717" w:rsidRPr="00132C1E" w:rsidRDefault="00835C82" w:rsidP="00724E4E">
      <w:pPr>
        <w:pStyle w:val="Clause"/>
      </w:pPr>
      <w:bookmarkStart w:id="10592" w:name="_Hlk38267590"/>
      <w:r w:rsidRPr="00835C82">
        <w:t xml:space="preserve">Clause </w:t>
      </w:r>
      <w:r w:rsidR="00A94717" w:rsidRPr="00835C82">
        <w:t>14</w:t>
      </w:r>
      <w:r w:rsidR="00A94717" w:rsidRPr="00132C1E">
        <w:t xml:space="preserve"> should be applied as a complement to </w:t>
      </w:r>
      <w:r w:rsidR="00A94717">
        <w:t>EN</w:t>
      </w:r>
      <w:r>
        <w:t> </w:t>
      </w:r>
      <w:r w:rsidR="00A94717">
        <w:t>199</w:t>
      </w:r>
      <w:r w:rsidR="00A94717" w:rsidRPr="00132C1E">
        <w:t>6-1-1.</w:t>
      </w:r>
    </w:p>
    <w:bookmarkEnd w:id="10592"/>
    <w:p w14:paraId="624C83DA" w14:textId="50F3DB61" w:rsidR="00A94717" w:rsidRPr="005B7D13" w:rsidRDefault="00A94717" w:rsidP="00A94717">
      <w:pPr>
        <w:pStyle w:val="Notetext"/>
      </w:pPr>
      <w:r w:rsidRPr="00132C1E">
        <w:t>NOTE</w:t>
      </w:r>
      <w:r w:rsidRPr="00132C1E">
        <w:tab/>
        <w:t xml:space="preserve">Masonry infilled frames are </w:t>
      </w:r>
      <w:r w:rsidRPr="005B7D13">
        <w:t>covered in 7.4.</w:t>
      </w:r>
    </w:p>
    <w:p w14:paraId="2C6B3B35" w14:textId="6BE541B9" w:rsidR="00A94717" w:rsidRPr="00132C1E" w:rsidRDefault="00835C82" w:rsidP="00724E4E">
      <w:pPr>
        <w:pStyle w:val="Clause"/>
      </w:pPr>
      <w:r w:rsidRPr="00835C82">
        <w:t xml:space="preserve">Clause </w:t>
      </w:r>
      <w:r w:rsidR="00A94717" w:rsidRPr="00835C82">
        <w:t>14</w:t>
      </w:r>
      <w:r w:rsidR="00A94717" w:rsidRPr="00132C1E">
        <w:t xml:space="preserve"> should be applied to unreinforced masonry, confined masonry and reinforced masonry as defined in </w:t>
      </w:r>
      <w:r w:rsidR="00A94717">
        <w:t>EN</w:t>
      </w:r>
      <w:r>
        <w:t> </w:t>
      </w:r>
      <w:r w:rsidR="00A94717">
        <w:t>199</w:t>
      </w:r>
      <w:r w:rsidR="00A94717" w:rsidRPr="00132C1E">
        <w:t>6-1-1 with the complementary rules defined herein.</w:t>
      </w:r>
    </w:p>
    <w:p w14:paraId="28CB2125" w14:textId="7F1519D4" w:rsidR="00A94717" w:rsidRPr="00132C1E" w:rsidRDefault="00A94717" w:rsidP="00641E28">
      <w:pPr>
        <w:pStyle w:val="Heading2"/>
      </w:pPr>
      <w:bookmarkStart w:id="10593" w:name="_Toc50150620"/>
      <w:bookmarkStart w:id="10594" w:name="_Toc70887052"/>
      <w:bookmarkStart w:id="10595" w:name="_Toc108342622"/>
      <w:bookmarkStart w:id="10596" w:name="_Toc134198144"/>
      <w:r w:rsidRPr="00132C1E">
        <w:t>Basis of design</w:t>
      </w:r>
      <w:bookmarkEnd w:id="10590"/>
      <w:bookmarkEnd w:id="10591"/>
      <w:bookmarkEnd w:id="10593"/>
      <w:bookmarkEnd w:id="10594"/>
      <w:bookmarkEnd w:id="10595"/>
      <w:bookmarkEnd w:id="10596"/>
    </w:p>
    <w:p w14:paraId="13C34776" w14:textId="77777777" w:rsidR="00A94717" w:rsidRPr="00132C1E" w:rsidRDefault="00A94717" w:rsidP="00641E28">
      <w:pPr>
        <w:pStyle w:val="Heading3"/>
      </w:pPr>
      <w:bookmarkStart w:id="10597" w:name="_Toc19566920"/>
      <w:bookmarkStart w:id="10598" w:name="_Toc50150621"/>
      <w:bookmarkStart w:id="10599" w:name="_Toc70887053"/>
      <w:bookmarkStart w:id="10600" w:name="_Toc108342623"/>
      <w:bookmarkStart w:id="10601" w:name="_Toc134198145"/>
      <w:r w:rsidRPr="00132C1E">
        <w:t>Design concepts</w:t>
      </w:r>
      <w:bookmarkEnd w:id="10597"/>
      <w:bookmarkEnd w:id="10598"/>
      <w:bookmarkEnd w:id="10599"/>
      <w:bookmarkEnd w:id="10600"/>
      <w:bookmarkEnd w:id="10601"/>
    </w:p>
    <w:p w14:paraId="45992420" w14:textId="765BBBBF" w:rsidR="00A94717" w:rsidRPr="00132C1E" w:rsidRDefault="00A94717" w:rsidP="0080187E">
      <w:pPr>
        <w:pStyle w:val="Clause"/>
        <w:numPr>
          <w:ilvl w:val="0"/>
          <w:numId w:val="490"/>
        </w:numPr>
      </w:pPr>
      <w:bookmarkStart w:id="10602" w:name="_Toc19566921"/>
      <w:r w:rsidRPr="00132C1E">
        <w:t>Masonry buildings shall be designed to achieve a box behaviour of the building.</w:t>
      </w:r>
    </w:p>
    <w:p w14:paraId="1F0BCA8D" w14:textId="167CD27F" w:rsidR="00A94717" w:rsidRPr="005B7D13" w:rsidRDefault="00A94717" w:rsidP="00A94717">
      <w:pPr>
        <w:pStyle w:val="Notetext"/>
        <w:rPr>
          <w:lang w:eastAsia="fr-BE"/>
        </w:rPr>
      </w:pPr>
      <w:r w:rsidRPr="00A94717">
        <w:t>NOTE</w:t>
      </w:r>
      <w:r w:rsidRPr="00A94717">
        <w:tab/>
        <w:t xml:space="preserve">In a box behaviour, the horizontal components of the seismic action and the consequent inertia forces are transferred to the foundation prevailingly through in-plane forces in walls and diaphragms; the out-of-plane stability of walls is improved because the restraint reactions on their </w:t>
      </w:r>
      <w:r w:rsidRPr="005B7D13">
        <w:t>boundaries can be transferred to the foundation or equilibrated by in-plane action in other walls and/or diaphragms.</w:t>
      </w:r>
      <w:r w:rsidRPr="005B7D13">
        <w:rPr>
          <w:lang w:eastAsia="fr-BE"/>
        </w:rPr>
        <w:t xml:space="preserve"> See also 3.1.4.</w:t>
      </w:r>
    </w:p>
    <w:p w14:paraId="22663E6B" w14:textId="2CF0E35D" w:rsidR="00A94717" w:rsidRPr="00132C1E" w:rsidRDefault="00A94717" w:rsidP="00724E4E">
      <w:pPr>
        <w:pStyle w:val="Clause"/>
      </w:pPr>
      <w:r w:rsidRPr="00132C1E">
        <w:t>Masonry buildings should be designed to either DC1 or DC2.</w:t>
      </w:r>
    </w:p>
    <w:p w14:paraId="47755561" w14:textId="304F280D" w:rsidR="00A94717" w:rsidRPr="00132C1E" w:rsidRDefault="00A94717" w:rsidP="00724E4E">
      <w:pPr>
        <w:pStyle w:val="Clause"/>
      </w:pPr>
      <w:r w:rsidRPr="00132C1E">
        <w:t xml:space="preserve">For </w:t>
      </w:r>
      <w:r w:rsidRPr="00132C1E">
        <w:rPr>
          <w:i/>
          <w:iCs/>
        </w:rPr>
        <w:t>S</w:t>
      </w:r>
      <w:r w:rsidRPr="00132C1E">
        <w:rPr>
          <w:vertAlign w:val="subscript"/>
        </w:rPr>
        <w:t>δ</w:t>
      </w:r>
      <w:r w:rsidRPr="00132C1E">
        <w:t xml:space="preserve"> greater than 3 m/s</w:t>
      </w:r>
      <w:r w:rsidRPr="00132C1E">
        <w:rPr>
          <w:vertAlign w:val="superscript"/>
        </w:rPr>
        <w:t>2</w:t>
      </w:r>
      <w:r w:rsidRPr="00132C1E">
        <w:t>, unreinforced masonry buildings should be designed to DC2.</w:t>
      </w:r>
    </w:p>
    <w:p w14:paraId="7B594127" w14:textId="0A36A14F" w:rsidR="00A94717" w:rsidRDefault="00A94717" w:rsidP="00641E28">
      <w:pPr>
        <w:pStyle w:val="Heading3"/>
      </w:pPr>
      <w:bookmarkStart w:id="10603" w:name="_Toc50150622"/>
      <w:bookmarkStart w:id="10604" w:name="_Toc70887054"/>
      <w:bookmarkStart w:id="10605" w:name="_Toc108342624"/>
      <w:bookmarkStart w:id="10606" w:name="_Toc134198146"/>
      <w:r w:rsidRPr="00132C1E">
        <w:t>Rules applicable to structures designed to DC1 or DC2</w:t>
      </w:r>
      <w:bookmarkEnd w:id="10602"/>
      <w:bookmarkEnd w:id="10603"/>
      <w:bookmarkEnd w:id="10604"/>
      <w:bookmarkEnd w:id="10605"/>
      <w:bookmarkEnd w:id="10606"/>
    </w:p>
    <w:p w14:paraId="1C299B9A" w14:textId="5AAA26EE" w:rsidR="00A94717" w:rsidRDefault="00A94717" w:rsidP="0080187E">
      <w:pPr>
        <w:pStyle w:val="Clause"/>
        <w:numPr>
          <w:ilvl w:val="0"/>
          <w:numId w:val="491"/>
        </w:numPr>
      </w:pPr>
      <w:r>
        <w:t>Masonry buildings should be composed of floors and walls.</w:t>
      </w:r>
    </w:p>
    <w:p w14:paraId="0343366B" w14:textId="4CA46063" w:rsidR="00A94717" w:rsidRDefault="00A94717" w:rsidP="00724E4E">
      <w:pPr>
        <w:pStyle w:val="Clause"/>
      </w:pPr>
      <w:r>
        <w:lastRenderedPageBreak/>
        <w:t>There should be walls in two principal directions; they should be connected to each other at intersections and to the floors above and below.</w:t>
      </w:r>
    </w:p>
    <w:p w14:paraId="428E6678" w14:textId="59128D54" w:rsidR="00A94717" w:rsidRPr="00A94717" w:rsidRDefault="00A94717" w:rsidP="00724E4E">
      <w:pPr>
        <w:pStyle w:val="Clause"/>
      </w:pPr>
      <w:r>
        <w:t>Floors should be designed to act as diaphragms; to this end, a) to f) should be satisfied:</w:t>
      </w:r>
    </w:p>
    <w:p w14:paraId="16DE89AE" w14:textId="77777777" w:rsidR="00A94717" w:rsidRPr="00132C1E" w:rsidRDefault="00A94717" w:rsidP="0032603B">
      <w:pPr>
        <w:pStyle w:val="Text"/>
        <w:numPr>
          <w:ilvl w:val="0"/>
          <w:numId w:val="679"/>
        </w:numPr>
        <w:spacing w:after="200"/>
      </w:pPr>
      <w:r w:rsidRPr="00132C1E">
        <w:t>there should be diaphragms, ring ties or ring beams at each floor level, at a vertical spacing not exceeding 4 m;</w:t>
      </w:r>
    </w:p>
    <w:p w14:paraId="72548A1C" w14:textId="383E927C" w:rsidR="00A94717" w:rsidRPr="00132C1E" w:rsidRDefault="00A94717" w:rsidP="0032603B">
      <w:pPr>
        <w:pStyle w:val="Text"/>
        <w:numPr>
          <w:ilvl w:val="0"/>
          <w:numId w:val="679"/>
        </w:numPr>
        <w:spacing w:after="200"/>
      </w:pPr>
      <w:r w:rsidRPr="00132C1E">
        <w:t xml:space="preserve">diaphragms should restrain wall displacements in the direction perpendicular to wall planes; </w:t>
      </w:r>
    </w:p>
    <w:p w14:paraId="30435354" w14:textId="77777777" w:rsidR="00A94717" w:rsidRPr="00132C1E" w:rsidRDefault="00A94717" w:rsidP="0032603B">
      <w:pPr>
        <w:pStyle w:val="Text"/>
        <w:numPr>
          <w:ilvl w:val="0"/>
          <w:numId w:val="679"/>
        </w:numPr>
        <w:spacing w:after="200"/>
      </w:pPr>
      <w:r w:rsidRPr="00132C1E">
        <w:rPr>
          <w:color w:val="000000" w:themeColor="text1"/>
        </w:rPr>
        <w:t>diaphragms should possess in-plane shear stiffness</w:t>
      </w:r>
      <w:r w:rsidRPr="00132C1E">
        <w:rPr>
          <w:color w:val="000000" w:themeColor="text1"/>
          <w:lang w:eastAsia="fr-BE"/>
        </w:rPr>
        <w:t>;</w:t>
      </w:r>
    </w:p>
    <w:p w14:paraId="21E07A6F" w14:textId="77777777" w:rsidR="00A94717" w:rsidRPr="00132C1E" w:rsidRDefault="00A94717" w:rsidP="0032603B">
      <w:pPr>
        <w:pStyle w:val="Text"/>
        <w:numPr>
          <w:ilvl w:val="0"/>
          <w:numId w:val="679"/>
        </w:numPr>
        <w:spacing w:after="200"/>
      </w:pPr>
      <w:r w:rsidRPr="00132C1E">
        <w:t xml:space="preserve">ring ties or ring beams may be part of the diaphragms; </w:t>
      </w:r>
    </w:p>
    <w:p w14:paraId="3BC5C1A7" w14:textId="77777777" w:rsidR="00A94717" w:rsidRPr="00132C1E" w:rsidRDefault="00A94717" w:rsidP="0032603B">
      <w:pPr>
        <w:pStyle w:val="Text"/>
        <w:numPr>
          <w:ilvl w:val="0"/>
          <w:numId w:val="679"/>
        </w:numPr>
        <w:spacing w:after="200"/>
      </w:pPr>
      <w:r w:rsidRPr="00132C1E">
        <w:t>ring beams, ring ties, diaphragms and walls should be connected together;</w:t>
      </w:r>
    </w:p>
    <w:p w14:paraId="2CA2E887" w14:textId="63EEDF86" w:rsidR="00A94717" w:rsidRPr="005B7D13" w:rsidRDefault="00A94717" w:rsidP="0032603B">
      <w:pPr>
        <w:pStyle w:val="Text"/>
        <w:numPr>
          <w:ilvl w:val="0"/>
          <w:numId w:val="679"/>
        </w:numPr>
        <w:spacing w:after="200"/>
      </w:pPr>
      <w:r w:rsidRPr="00132C1E">
        <w:t xml:space="preserve">ring beams, ring ties, diaphragms, joints internal and peripheral to diaphragms should be designed to resist design action effects and </w:t>
      </w:r>
      <w:r w:rsidRPr="005B7D13">
        <w:t>satisfy 6.2.8.</w:t>
      </w:r>
    </w:p>
    <w:p w14:paraId="00BF5A1D" w14:textId="5F3C2910" w:rsidR="00A94717" w:rsidRPr="005B7D13" w:rsidRDefault="00A94717" w:rsidP="003F4C5A">
      <w:pPr>
        <w:pStyle w:val="Notetext"/>
      </w:pPr>
      <w:r w:rsidRPr="00C43780">
        <w:t>NOTE</w:t>
      </w:r>
      <w:r w:rsidRPr="00C43780">
        <w:tab/>
        <w:t>For ring beams and ring ties</w:t>
      </w:r>
      <w:r w:rsidRPr="005B7D13">
        <w:t>, rules are given in EN</w:t>
      </w:r>
      <w:r w:rsidR="005B7D13" w:rsidRPr="005B7D13">
        <w:t> </w:t>
      </w:r>
      <w:r w:rsidRPr="005B7D13">
        <w:t>1996-1</w:t>
      </w:r>
      <w:r w:rsidR="005B7D13" w:rsidRPr="005B7D13">
        <w:t>-1</w:t>
      </w:r>
      <w:r w:rsidRPr="005B7D13">
        <w:t>:202</w:t>
      </w:r>
      <w:r w:rsidR="0063506B" w:rsidRPr="005B7D13">
        <w:t>2</w:t>
      </w:r>
      <w:r w:rsidRPr="005B7D13">
        <w:t xml:space="preserve">, 10.5.1.4, and additional rules for DC2 buildings in 14.7.2 to 14.7.4. </w:t>
      </w:r>
      <w:r w:rsidRPr="005B7D13">
        <w:rPr>
          <w:lang w:val="en-US"/>
        </w:rPr>
        <w:t>Rules for timber framed floor and roof diaphragms are given in 13.15.3 and 13.15.4.</w:t>
      </w:r>
    </w:p>
    <w:p w14:paraId="73790CE1" w14:textId="37C4C7C7" w:rsidR="003F4C5A" w:rsidRDefault="003F4C5A" w:rsidP="00724E4E">
      <w:pPr>
        <w:pStyle w:val="Clause"/>
      </w:pPr>
      <w:r>
        <w:t>Unreinforced masonry buildings with flexible diaphragms should be designed to DC1 and satisfy 14.5.1.3.</w:t>
      </w:r>
    </w:p>
    <w:p w14:paraId="1780727D" w14:textId="1330E53A" w:rsidR="003F4C5A" w:rsidRDefault="003F4C5A" w:rsidP="00724E4E">
      <w:pPr>
        <w:pStyle w:val="Clause"/>
      </w:pPr>
      <w:r>
        <w:t>Unreinforced masonry buildings with rigid diaphragms may be designed to DC1 or DC2.</w:t>
      </w:r>
    </w:p>
    <w:p w14:paraId="06B90FFB" w14:textId="7FBE7D70" w:rsidR="00A94717" w:rsidRPr="005B7D13" w:rsidRDefault="00A94717" w:rsidP="003F4C5A">
      <w:pPr>
        <w:pStyle w:val="Notetext"/>
        <w:rPr>
          <w:lang w:val="en-US"/>
        </w:rPr>
      </w:pPr>
      <w:r w:rsidRPr="00B45D20">
        <w:t>NOTE</w:t>
      </w:r>
      <w:r w:rsidRPr="00B45D20">
        <w:tab/>
        <w:t>A great in-plane shear stiffness of the diaphragms is necessary to activate the redundancy against horizontal actions which character</w:t>
      </w:r>
      <w:r w:rsidR="00E10A24">
        <w:t>ize</w:t>
      </w:r>
      <w:r w:rsidRPr="00B45D20">
        <w:t>s DC2.</w:t>
      </w:r>
      <w:r w:rsidRPr="00B45D20">
        <w:rPr>
          <w:rFonts w:ascii="Arial" w:eastAsia="Times New Roman" w:hAnsi="Arial"/>
          <w:sz w:val="22"/>
        </w:rPr>
        <w:t xml:space="preserve"> </w:t>
      </w:r>
      <w:r w:rsidRPr="003F4C5A">
        <w:rPr>
          <w:lang w:val="en-US"/>
        </w:rPr>
        <w:t xml:space="preserve">Definitions of rigid diaphragms are </w:t>
      </w:r>
      <w:r w:rsidRPr="005B7D13">
        <w:rPr>
          <w:lang w:val="en-US"/>
        </w:rPr>
        <w:t>given in 14.5.1.3(3) and (4).</w:t>
      </w:r>
    </w:p>
    <w:p w14:paraId="05F301D0" w14:textId="55D6A3EE" w:rsidR="003F4C5A" w:rsidRDefault="002D0393" w:rsidP="00724E4E">
      <w:pPr>
        <w:pStyle w:val="Clause"/>
      </w:pPr>
      <w:r w:rsidRPr="007D3F64">
        <w:t>Masonry slab systems with a concrete topping which satisf</w:t>
      </w:r>
      <w:r>
        <w:t>y</w:t>
      </w:r>
      <w:r w:rsidRPr="007D3F64">
        <w:t xml:space="preserve"> </w:t>
      </w:r>
      <w:r w:rsidRPr="00835C82">
        <w:t>10.12.1(2)</w:t>
      </w:r>
      <w:r w:rsidRPr="007D3F64">
        <w:t xml:space="preserve"> may be considered as rigid diaphragms</w:t>
      </w:r>
      <w:r w:rsidR="003F4C5A">
        <w:t>.</w:t>
      </w:r>
    </w:p>
    <w:p w14:paraId="0BA487F8" w14:textId="56DCA815" w:rsidR="00A94717" w:rsidRPr="00132C1E" w:rsidRDefault="00A94717" w:rsidP="00641E28">
      <w:pPr>
        <w:pStyle w:val="Heading2"/>
      </w:pPr>
      <w:bookmarkStart w:id="10607" w:name="_Ref7261339"/>
      <w:bookmarkStart w:id="10608" w:name="_Toc7368753"/>
      <w:bookmarkStart w:id="10609" w:name="_Toc19566923"/>
      <w:bookmarkStart w:id="10610" w:name="_Toc50150623"/>
      <w:bookmarkStart w:id="10611" w:name="_Toc70887055"/>
      <w:bookmarkStart w:id="10612" w:name="_Toc108342625"/>
      <w:bookmarkStart w:id="10613" w:name="_Toc134198147"/>
      <w:r w:rsidRPr="00132C1E">
        <w:t>Materials</w:t>
      </w:r>
      <w:bookmarkEnd w:id="10607"/>
      <w:bookmarkEnd w:id="10608"/>
      <w:bookmarkEnd w:id="10609"/>
      <w:bookmarkEnd w:id="10610"/>
      <w:bookmarkEnd w:id="10611"/>
      <w:bookmarkEnd w:id="10612"/>
      <w:bookmarkEnd w:id="10613"/>
    </w:p>
    <w:p w14:paraId="4200E3A0" w14:textId="117E75AE" w:rsidR="00A94717" w:rsidRPr="00132C1E" w:rsidRDefault="00A94717" w:rsidP="0080187E">
      <w:pPr>
        <w:pStyle w:val="Clause"/>
        <w:numPr>
          <w:ilvl w:val="0"/>
          <w:numId w:val="492"/>
        </w:numPr>
      </w:pPr>
      <w:bookmarkStart w:id="10614" w:name="_Toc18144212"/>
      <w:bookmarkStart w:id="10615" w:name="_Toc18160104"/>
      <w:bookmarkStart w:id="10616" w:name="_Toc18160201"/>
      <w:bookmarkStart w:id="10617" w:name="_Toc18166407"/>
      <w:bookmarkStart w:id="10618" w:name="_Toc18238096"/>
      <w:bookmarkStart w:id="10619" w:name="_Toc19364964"/>
      <w:bookmarkStart w:id="10620" w:name="_Toc19365405"/>
      <w:bookmarkStart w:id="10621" w:name="_Toc19367249"/>
      <w:bookmarkStart w:id="10622" w:name="_Toc19371754"/>
      <w:bookmarkStart w:id="10623" w:name="_Toc19452118"/>
      <w:bookmarkStart w:id="10624" w:name="_Toc19453063"/>
      <w:bookmarkStart w:id="10625" w:name="_Toc19454091"/>
      <w:bookmarkStart w:id="10626" w:name="_Toc19454605"/>
      <w:bookmarkStart w:id="10627" w:name="_Toc18144213"/>
      <w:bookmarkStart w:id="10628" w:name="_Toc18160105"/>
      <w:bookmarkStart w:id="10629" w:name="_Toc18160202"/>
      <w:bookmarkStart w:id="10630" w:name="_Toc18166408"/>
      <w:bookmarkStart w:id="10631" w:name="_Toc18238097"/>
      <w:bookmarkStart w:id="10632" w:name="_Toc19364965"/>
      <w:bookmarkStart w:id="10633" w:name="_Toc19365406"/>
      <w:bookmarkStart w:id="10634" w:name="_Toc19367250"/>
      <w:bookmarkStart w:id="10635" w:name="_Toc19371755"/>
      <w:bookmarkStart w:id="10636" w:name="_Toc19452119"/>
      <w:bookmarkStart w:id="10637" w:name="_Toc19453064"/>
      <w:bookmarkStart w:id="10638" w:name="_Toc19454092"/>
      <w:bookmarkStart w:id="10639" w:name="_Toc19454606"/>
      <w:bookmarkStart w:id="10640" w:name="_Ref18165409"/>
      <w:bookmarkStart w:id="10641" w:name="_Ref7363894"/>
      <w:bookmarkStart w:id="10642" w:name="_Toc7368756"/>
      <w:bookmarkStart w:id="10643" w:name="_Toc19566929"/>
      <w:bookmarkEnd w:id="10614"/>
      <w:bookmarkEnd w:id="10615"/>
      <w:bookmarkEnd w:id="10616"/>
      <w:bookmarkEnd w:id="10617"/>
      <w:bookmarkEnd w:id="10618"/>
      <w:bookmarkEnd w:id="10619"/>
      <w:bookmarkEnd w:id="10620"/>
      <w:bookmarkEnd w:id="10621"/>
      <w:bookmarkEnd w:id="10622"/>
      <w:bookmarkEnd w:id="10623"/>
      <w:bookmarkEnd w:id="10624"/>
      <w:bookmarkEnd w:id="10625"/>
      <w:bookmarkEnd w:id="10626"/>
      <w:bookmarkEnd w:id="10627"/>
      <w:bookmarkEnd w:id="10628"/>
      <w:bookmarkEnd w:id="10629"/>
      <w:bookmarkEnd w:id="10630"/>
      <w:bookmarkEnd w:id="10631"/>
      <w:bookmarkEnd w:id="10632"/>
      <w:bookmarkEnd w:id="10633"/>
      <w:bookmarkEnd w:id="10634"/>
      <w:bookmarkEnd w:id="10635"/>
      <w:bookmarkEnd w:id="10636"/>
      <w:bookmarkEnd w:id="10637"/>
      <w:bookmarkEnd w:id="10638"/>
      <w:bookmarkEnd w:id="10639"/>
      <w:r w:rsidRPr="00132C1E">
        <w:t>The normal</w:t>
      </w:r>
      <w:r w:rsidR="00E10A24">
        <w:t>ize</w:t>
      </w:r>
      <w:r w:rsidRPr="00132C1E">
        <w:t xml:space="preserve">d compressive strength </w:t>
      </w:r>
      <w:r w:rsidRPr="00DC49D1">
        <w:rPr>
          <w:i/>
        </w:rPr>
        <w:t>f</w:t>
      </w:r>
      <w:r w:rsidRPr="00DC49D1">
        <w:rPr>
          <w:vertAlign w:val="subscript"/>
        </w:rPr>
        <w:t>b</w:t>
      </w:r>
      <w:r w:rsidRPr="00132C1E">
        <w:t xml:space="preserve"> of masonry units determined in accordance with EN 772-1 should satisfy a) or b) or c):</w:t>
      </w:r>
    </w:p>
    <w:p w14:paraId="3729433F" w14:textId="6A0EA4C4" w:rsidR="00A94717" w:rsidRPr="00132C1E" w:rsidRDefault="00A94717" w:rsidP="0032603B">
      <w:pPr>
        <w:pStyle w:val="List2"/>
        <w:numPr>
          <w:ilvl w:val="0"/>
          <w:numId w:val="207"/>
        </w:numPr>
        <w:tabs>
          <w:tab w:val="left" w:pos="2694"/>
        </w:tabs>
        <w:spacing w:before="0" w:after="240" w:line="230" w:lineRule="atLeast"/>
        <w:contextualSpacing w:val="0"/>
      </w:pPr>
      <w:r w:rsidRPr="00132C1E">
        <w:t xml:space="preserve">In DC1 for </w:t>
      </w:r>
      <w:r w:rsidRPr="006D466D">
        <w:rPr>
          <w:i/>
          <w:iCs/>
        </w:rPr>
        <w:t>S</w:t>
      </w:r>
      <w:r w:rsidRPr="006D466D">
        <w:rPr>
          <w:vertAlign w:val="subscript"/>
        </w:rPr>
        <w:t xml:space="preserve">δ </w:t>
      </w:r>
      <w:r w:rsidRPr="00132C1E">
        <w:t>≤ 3 m/s</w:t>
      </w:r>
      <w:r w:rsidRPr="006D466D">
        <w:rPr>
          <w:vertAlign w:val="superscript"/>
        </w:rPr>
        <w:t>2</w:t>
      </w:r>
      <w:r w:rsidRPr="00132C1E">
        <w:t>:</w:t>
      </w:r>
      <w:r w:rsidR="0032603B">
        <w:tab/>
      </w:r>
      <w:r w:rsidRPr="00132C1E">
        <w:t xml:space="preserve">Normal to bed face: </w:t>
      </w:r>
      <w:r w:rsidR="008618F2">
        <w:t xml:space="preserve">     </w:t>
      </w:r>
      <w:r w:rsidRPr="006D466D">
        <w:rPr>
          <w:i/>
          <w:iCs/>
        </w:rPr>
        <w:t>f</w:t>
      </w:r>
      <w:r w:rsidRPr="006D466D">
        <w:rPr>
          <w:vertAlign w:val="subscript"/>
        </w:rPr>
        <w:t>b</w:t>
      </w:r>
      <w:r w:rsidRPr="00132C1E">
        <w:t> =</w:t>
      </w:r>
      <w:r w:rsidRPr="006D466D">
        <w:rPr>
          <w:i/>
          <w:iCs/>
        </w:rPr>
        <w:t xml:space="preserve"> f</w:t>
      </w:r>
      <w:r w:rsidRPr="006D466D">
        <w:rPr>
          <w:vertAlign w:val="subscript"/>
        </w:rPr>
        <w:t>bv</w:t>
      </w:r>
      <w:r w:rsidRPr="00132C1E">
        <w:t xml:space="preserve"> ≥ 3 MPa</w:t>
      </w:r>
    </w:p>
    <w:p w14:paraId="4505A4B9" w14:textId="6A99194A" w:rsidR="00A94717" w:rsidRPr="00132C1E" w:rsidRDefault="00A94717" w:rsidP="0032603B">
      <w:pPr>
        <w:pStyle w:val="List2"/>
        <w:numPr>
          <w:ilvl w:val="0"/>
          <w:numId w:val="207"/>
        </w:numPr>
        <w:tabs>
          <w:tab w:val="num" w:pos="0"/>
          <w:tab w:val="left" w:pos="2694"/>
          <w:tab w:val="left" w:pos="2835"/>
        </w:tabs>
        <w:spacing w:before="0" w:after="240" w:line="230" w:lineRule="atLeast"/>
        <w:contextualSpacing w:val="0"/>
      </w:pPr>
      <w:r w:rsidRPr="00132C1E">
        <w:t xml:space="preserve">In DC2 for </w:t>
      </w:r>
      <w:r w:rsidRPr="00132C1E">
        <w:rPr>
          <w:i/>
          <w:iCs/>
        </w:rPr>
        <w:t>S</w:t>
      </w:r>
      <w:r w:rsidRPr="00132C1E">
        <w:rPr>
          <w:vertAlign w:val="subscript"/>
        </w:rPr>
        <w:t xml:space="preserve">δ </w:t>
      </w:r>
      <w:r w:rsidRPr="00132C1E">
        <w:t>≤ 3 m/s</w:t>
      </w:r>
      <w:r w:rsidRPr="00132C1E">
        <w:rPr>
          <w:vertAlign w:val="superscript"/>
        </w:rPr>
        <w:t>2</w:t>
      </w:r>
      <w:r w:rsidRPr="00132C1E">
        <w:t>:</w:t>
      </w:r>
      <w:r w:rsidR="0032603B">
        <w:tab/>
      </w:r>
      <w:r w:rsidRPr="00132C1E">
        <w:t xml:space="preserve">Normal to bed face: </w:t>
      </w:r>
      <w:r w:rsidR="008618F2">
        <w:t xml:space="preserve">     </w:t>
      </w:r>
      <w:r w:rsidRPr="00132C1E">
        <w:rPr>
          <w:i/>
          <w:iCs/>
        </w:rPr>
        <w:t>f</w:t>
      </w:r>
      <w:r w:rsidRPr="00132C1E">
        <w:rPr>
          <w:vertAlign w:val="subscript"/>
        </w:rPr>
        <w:t>b</w:t>
      </w:r>
      <w:r w:rsidRPr="00132C1E">
        <w:t> =</w:t>
      </w:r>
      <w:r w:rsidRPr="00132C1E">
        <w:rPr>
          <w:i/>
          <w:iCs/>
        </w:rPr>
        <w:t xml:space="preserve"> f</w:t>
      </w:r>
      <w:r w:rsidRPr="00132C1E">
        <w:rPr>
          <w:vertAlign w:val="subscript"/>
        </w:rPr>
        <w:t>bv</w:t>
      </w:r>
      <w:r w:rsidRPr="00132C1E">
        <w:t xml:space="preserve"> ≥ 3 MPa</w:t>
      </w:r>
    </w:p>
    <w:p w14:paraId="048D2913" w14:textId="08995C3C" w:rsidR="00A94717" w:rsidRPr="00132C1E" w:rsidRDefault="00A94717" w:rsidP="0032603B">
      <w:pPr>
        <w:tabs>
          <w:tab w:val="left" w:pos="2835"/>
        </w:tabs>
        <w:ind w:left="2552" w:firstLine="142"/>
      </w:pPr>
      <w:r w:rsidRPr="00132C1E">
        <w:t xml:space="preserve">Parallel to bed face in the plane of the wall:  </w:t>
      </w:r>
      <w:r w:rsidRPr="00132C1E">
        <w:rPr>
          <w:i/>
          <w:iCs/>
        </w:rPr>
        <w:t>f</w:t>
      </w:r>
      <w:r w:rsidRPr="00132C1E">
        <w:rPr>
          <w:vertAlign w:val="subscript"/>
        </w:rPr>
        <w:t>b</w:t>
      </w:r>
      <w:r w:rsidRPr="00132C1E">
        <w:t>  =</w:t>
      </w:r>
      <w:r w:rsidRPr="00132C1E">
        <w:rPr>
          <w:i/>
          <w:iCs/>
        </w:rPr>
        <w:t xml:space="preserve"> f</w:t>
      </w:r>
      <w:r w:rsidRPr="00132C1E">
        <w:rPr>
          <w:vertAlign w:val="subscript"/>
        </w:rPr>
        <w:t>bh</w:t>
      </w:r>
      <w:r w:rsidRPr="00132C1E">
        <w:t xml:space="preserve"> ≥ max{0,1 </w:t>
      </w:r>
      <w:r w:rsidRPr="00132C1E">
        <w:rPr>
          <w:i/>
          <w:iCs/>
        </w:rPr>
        <w:t>f</w:t>
      </w:r>
      <w:r w:rsidRPr="00132C1E">
        <w:rPr>
          <w:vertAlign w:val="subscript"/>
        </w:rPr>
        <w:t>bv</w:t>
      </w:r>
      <w:r w:rsidRPr="00132C1E">
        <w:t>; 1,5 MPa}</w:t>
      </w:r>
    </w:p>
    <w:p w14:paraId="366D658A" w14:textId="0DAD564B" w:rsidR="00A94717" w:rsidRDefault="00A94717" w:rsidP="0080187E">
      <w:pPr>
        <w:pStyle w:val="List2"/>
        <w:numPr>
          <w:ilvl w:val="0"/>
          <w:numId w:val="207"/>
        </w:numPr>
        <w:tabs>
          <w:tab w:val="num" w:pos="0"/>
        </w:tabs>
        <w:spacing w:before="0" w:after="240" w:line="230" w:lineRule="atLeast"/>
        <w:contextualSpacing w:val="0"/>
        <w:rPr>
          <w:rFonts w:cs="Arial"/>
        </w:rPr>
      </w:pPr>
      <w:r w:rsidRPr="00132C1E">
        <w:t xml:space="preserve">In DC2 for </w:t>
      </w:r>
      <w:r w:rsidRPr="00132C1E">
        <w:rPr>
          <w:i/>
          <w:iCs/>
        </w:rPr>
        <w:t>S</w:t>
      </w:r>
      <w:r w:rsidRPr="00132C1E">
        <w:rPr>
          <w:vertAlign w:val="subscript"/>
        </w:rPr>
        <w:t xml:space="preserve">δ </w:t>
      </w:r>
      <w:r w:rsidRPr="00132C1E">
        <w:t>&gt; 3 m/s</w:t>
      </w:r>
      <w:r w:rsidRPr="00132C1E">
        <w:rPr>
          <w:vertAlign w:val="superscript"/>
        </w:rPr>
        <w:t>2</w:t>
      </w:r>
      <w:r w:rsidRPr="00132C1E">
        <w:t>:</w:t>
      </w:r>
      <w:r w:rsidR="0032603B" w:rsidRPr="0032603B">
        <w:t xml:space="preserve"> </w:t>
      </w:r>
      <w:r w:rsidR="0032603B">
        <w:t xml:space="preserve">    </w:t>
      </w:r>
      <w:r w:rsidRPr="00132C1E">
        <w:t xml:space="preserve">Normal to bed face: </w:t>
      </w:r>
      <w:r w:rsidR="0032603B">
        <w:t xml:space="preserve">     </w:t>
      </w:r>
      <w:r w:rsidRPr="00132C1E">
        <w:rPr>
          <w:i/>
          <w:iCs/>
        </w:rPr>
        <w:t>f</w:t>
      </w:r>
      <w:r w:rsidRPr="00132C1E">
        <w:rPr>
          <w:vertAlign w:val="subscript"/>
        </w:rPr>
        <w:t>b</w:t>
      </w:r>
      <w:r w:rsidRPr="00132C1E">
        <w:rPr>
          <w:rFonts w:cs="Arial"/>
        </w:rPr>
        <w:t> </w:t>
      </w:r>
      <w:r w:rsidRPr="00132C1E">
        <w:t>=</w:t>
      </w:r>
      <w:r w:rsidRPr="00132C1E">
        <w:rPr>
          <w:i/>
          <w:iCs/>
        </w:rPr>
        <w:t xml:space="preserve"> f</w:t>
      </w:r>
      <w:r w:rsidRPr="00132C1E">
        <w:rPr>
          <w:vertAlign w:val="subscript"/>
        </w:rPr>
        <w:t>bv</w:t>
      </w:r>
      <w:r w:rsidRPr="00132C1E">
        <w:rPr>
          <w:rFonts w:cs="Arial"/>
        </w:rPr>
        <w:t> ≥ 4 MPa for Group 1</w:t>
      </w:r>
    </w:p>
    <w:p w14:paraId="1DDD3C59" w14:textId="77777777" w:rsidR="00A94717" w:rsidRPr="00132C1E" w:rsidRDefault="00A94717" w:rsidP="0032603B">
      <w:pPr>
        <w:pStyle w:val="List2"/>
        <w:ind w:left="4820" w:hanging="5"/>
        <w:rPr>
          <w:rFonts w:cs="Arial"/>
        </w:rPr>
      </w:pPr>
      <w:r>
        <w:rPr>
          <w:i/>
          <w:iCs/>
        </w:rPr>
        <w:t>f</w:t>
      </w:r>
      <w:r>
        <w:rPr>
          <w:i/>
          <w:iCs/>
          <w:vertAlign w:val="subscript"/>
        </w:rPr>
        <w:t>b</w:t>
      </w:r>
      <w:r>
        <w:rPr>
          <w:i/>
          <w:iCs/>
        </w:rPr>
        <w:t xml:space="preserve"> = </w:t>
      </w:r>
      <w:r w:rsidRPr="004A5F4B">
        <w:rPr>
          <w:i/>
          <w:iCs/>
        </w:rPr>
        <w:t>f</w:t>
      </w:r>
      <w:r w:rsidRPr="004A5F4B">
        <w:rPr>
          <w:vertAlign w:val="subscript"/>
        </w:rPr>
        <w:t>bv</w:t>
      </w:r>
      <w:r w:rsidRPr="004A5F4B">
        <w:t xml:space="preserve"> ≥ 3 MPa for Group 1 with thin layer mortar</w:t>
      </w:r>
    </w:p>
    <w:p w14:paraId="4B60D44F" w14:textId="2398E1C4" w:rsidR="00A94717" w:rsidRPr="00132C1E" w:rsidRDefault="00A94717" w:rsidP="0032603B">
      <w:pPr>
        <w:ind w:left="4820"/>
        <w:rPr>
          <w:rFonts w:cs="Arial"/>
        </w:rPr>
      </w:pPr>
      <w:r w:rsidRPr="00132C1E">
        <w:rPr>
          <w:rFonts w:cs="Arial"/>
          <w:i/>
          <w:iCs/>
        </w:rPr>
        <w:t>f</w:t>
      </w:r>
      <w:r w:rsidRPr="00132C1E">
        <w:rPr>
          <w:rFonts w:cs="Arial"/>
          <w:vertAlign w:val="subscript"/>
        </w:rPr>
        <w:t>b</w:t>
      </w:r>
      <w:r w:rsidRPr="00132C1E">
        <w:rPr>
          <w:rFonts w:cs="Arial"/>
        </w:rPr>
        <w:t xml:space="preserve"> </w:t>
      </w:r>
      <w:r w:rsidRPr="00132C1E">
        <w:t>=</w:t>
      </w:r>
      <w:r w:rsidRPr="00132C1E">
        <w:rPr>
          <w:i/>
          <w:iCs/>
        </w:rPr>
        <w:t xml:space="preserve"> f</w:t>
      </w:r>
      <w:r w:rsidRPr="00132C1E">
        <w:rPr>
          <w:vertAlign w:val="subscript"/>
        </w:rPr>
        <w:t>bv</w:t>
      </w:r>
      <w:r w:rsidRPr="00132C1E">
        <w:t xml:space="preserve"> </w:t>
      </w:r>
      <w:r w:rsidRPr="00132C1E">
        <w:rPr>
          <w:rFonts w:cs="Arial"/>
        </w:rPr>
        <w:t>≥ 5 MPa for groups 2 to 4</w:t>
      </w:r>
    </w:p>
    <w:p w14:paraId="5CBDBA75" w14:textId="205D3C31" w:rsidR="00A94717" w:rsidRPr="00132C1E" w:rsidRDefault="00A94717" w:rsidP="0032603B">
      <w:pPr>
        <w:ind w:left="2694"/>
      </w:pPr>
      <w:r w:rsidRPr="00132C1E">
        <w:t xml:space="preserve">Parallel to bed face in the plane of the wall:  </w:t>
      </w:r>
      <w:r w:rsidRPr="00132C1E">
        <w:rPr>
          <w:i/>
          <w:iCs/>
        </w:rPr>
        <w:t>f</w:t>
      </w:r>
      <w:r w:rsidRPr="00132C1E">
        <w:rPr>
          <w:vertAlign w:val="subscript"/>
        </w:rPr>
        <w:t>b</w:t>
      </w:r>
      <w:r w:rsidRPr="00132C1E">
        <w:t> =</w:t>
      </w:r>
      <w:r w:rsidRPr="00132C1E">
        <w:rPr>
          <w:i/>
          <w:iCs/>
        </w:rPr>
        <w:t xml:space="preserve"> f</w:t>
      </w:r>
      <w:r w:rsidRPr="00132C1E">
        <w:rPr>
          <w:vertAlign w:val="subscript"/>
        </w:rPr>
        <w:t>bh</w:t>
      </w:r>
      <w:r w:rsidRPr="00132C1E">
        <w:t xml:space="preserve"> ≥ max{0,1</w:t>
      </w:r>
      <w:r w:rsidRPr="00132C1E">
        <w:rPr>
          <w:i/>
          <w:iCs/>
        </w:rPr>
        <w:t xml:space="preserve"> f</w:t>
      </w:r>
      <w:r w:rsidRPr="00132C1E">
        <w:rPr>
          <w:vertAlign w:val="subscript"/>
        </w:rPr>
        <w:t>bv</w:t>
      </w:r>
      <w:r w:rsidRPr="00132C1E">
        <w:t>; 2,0 MPa}</w:t>
      </w:r>
    </w:p>
    <w:p w14:paraId="75A6F996" w14:textId="7F1FB792" w:rsidR="00A94717" w:rsidRPr="00C43780" w:rsidRDefault="00A94717" w:rsidP="00724E4E">
      <w:pPr>
        <w:pStyle w:val="Clause"/>
      </w:pPr>
      <w:r w:rsidRPr="00132C1E">
        <w:t>For unreinforced masonry and confined masonry, the strength of general purpose mortar</w:t>
      </w:r>
      <w:r w:rsidRPr="000960D5">
        <w:t xml:space="preserve"> as defined in </w:t>
      </w:r>
      <w:r w:rsidRPr="00C43780">
        <w:rPr>
          <w:rFonts w:eastAsia="Cambria"/>
        </w:rPr>
        <w:t>EN</w:t>
      </w:r>
      <w:r w:rsidR="005B7D13">
        <w:rPr>
          <w:rFonts w:eastAsia="Cambria"/>
        </w:rPr>
        <w:t> </w:t>
      </w:r>
      <w:r w:rsidRPr="00C43780">
        <w:rPr>
          <w:rFonts w:eastAsia="Cambria"/>
        </w:rPr>
        <w:t>1996-1-1:202</w:t>
      </w:r>
      <w:r w:rsidR="0063506B">
        <w:rPr>
          <w:rFonts w:eastAsia="Cambria"/>
        </w:rPr>
        <w:t>2</w:t>
      </w:r>
      <w:r w:rsidRPr="00C43780">
        <w:rPr>
          <w:rFonts w:eastAsia="Cambria"/>
        </w:rPr>
        <w:t xml:space="preserve">, </w:t>
      </w:r>
      <w:r w:rsidRPr="00835C82">
        <w:rPr>
          <w:rFonts w:eastAsia="Cambria"/>
        </w:rPr>
        <w:t>3.4.2</w:t>
      </w:r>
      <w:r w:rsidRPr="00C43780">
        <w:t>, should not be smaller than given in a) or b):</w:t>
      </w:r>
    </w:p>
    <w:p w14:paraId="21C1DC97" w14:textId="37B5AA33" w:rsidR="00A94717" w:rsidRDefault="00A94717" w:rsidP="0080187E">
      <w:pPr>
        <w:pStyle w:val="List2"/>
        <w:numPr>
          <w:ilvl w:val="0"/>
          <w:numId w:val="208"/>
        </w:numPr>
        <w:spacing w:before="0" w:after="240" w:line="230" w:lineRule="atLeast"/>
        <w:contextualSpacing w:val="0"/>
      </w:pPr>
      <w:r w:rsidRPr="00C43780">
        <w:t xml:space="preserve">for </w:t>
      </w:r>
      <w:r w:rsidRPr="00C43780">
        <w:rPr>
          <w:i/>
          <w:iCs/>
        </w:rPr>
        <w:t>S</w:t>
      </w:r>
      <w:r w:rsidRPr="00C43780">
        <w:rPr>
          <w:vertAlign w:val="subscript"/>
        </w:rPr>
        <w:t xml:space="preserve">δ </w:t>
      </w:r>
      <w:r w:rsidRPr="00C43780">
        <w:t>≤ 3 m/s</w:t>
      </w:r>
      <w:r w:rsidRPr="00C43780">
        <w:rPr>
          <w:vertAlign w:val="superscript"/>
        </w:rPr>
        <w:t>2</w:t>
      </w:r>
      <w:r w:rsidRPr="00C43780">
        <w:t xml:space="preserve">: </w:t>
      </w:r>
      <w:r w:rsidRPr="00C43780">
        <w:rPr>
          <w:i/>
          <w:iCs/>
        </w:rPr>
        <w:t>f</w:t>
      </w:r>
      <w:r w:rsidRPr="00C43780">
        <w:rPr>
          <w:vertAlign w:val="subscript"/>
        </w:rPr>
        <w:t>m,min</w:t>
      </w:r>
      <w:r w:rsidRPr="00C43780">
        <w:t> = 2,5 MPa</w:t>
      </w:r>
    </w:p>
    <w:p w14:paraId="4F4F48AF" w14:textId="5022A140" w:rsidR="002D0393" w:rsidRPr="00C43780" w:rsidRDefault="002D0393" w:rsidP="0080187E">
      <w:pPr>
        <w:pStyle w:val="List2"/>
        <w:numPr>
          <w:ilvl w:val="0"/>
          <w:numId w:val="208"/>
        </w:numPr>
        <w:spacing w:before="0" w:after="240" w:line="230" w:lineRule="atLeast"/>
        <w:contextualSpacing w:val="0"/>
      </w:pPr>
      <w:r w:rsidRPr="00C43780">
        <w:lastRenderedPageBreak/>
        <w:t xml:space="preserve">for </w:t>
      </w:r>
      <w:r w:rsidRPr="00C43780">
        <w:rPr>
          <w:i/>
          <w:iCs/>
        </w:rPr>
        <w:t>S</w:t>
      </w:r>
      <w:r w:rsidRPr="00C43780">
        <w:rPr>
          <w:vertAlign w:val="subscript"/>
        </w:rPr>
        <w:t xml:space="preserve">δ </w:t>
      </w:r>
      <w:r w:rsidRPr="00C43780">
        <w:t>&gt; 3 m/s</w:t>
      </w:r>
      <w:r w:rsidRPr="00C43780">
        <w:rPr>
          <w:vertAlign w:val="superscript"/>
        </w:rPr>
        <w:t>2</w:t>
      </w:r>
      <w:r w:rsidRPr="00C43780">
        <w:t xml:space="preserve">: </w:t>
      </w:r>
      <w:r w:rsidRPr="00C43780">
        <w:rPr>
          <w:i/>
          <w:iCs/>
        </w:rPr>
        <w:t>f</w:t>
      </w:r>
      <w:r w:rsidRPr="00C43780">
        <w:rPr>
          <w:vertAlign w:val="subscript"/>
        </w:rPr>
        <w:t>m,min</w:t>
      </w:r>
      <w:r w:rsidRPr="00C43780">
        <w:t> = 5 MPa</w:t>
      </w:r>
    </w:p>
    <w:p w14:paraId="7CBAAF82" w14:textId="6069A66E" w:rsidR="00A94717" w:rsidRPr="00C43780" w:rsidRDefault="00A94717" w:rsidP="00724E4E">
      <w:pPr>
        <w:pStyle w:val="Clause"/>
      </w:pPr>
      <w:r w:rsidRPr="00C43780">
        <w:t xml:space="preserve">For reinforced masonry with reinforcement embedded in general purpose mortar, the strength of mortar should not be smaller than </w:t>
      </w:r>
      <w:r w:rsidRPr="00C43780">
        <w:rPr>
          <w:i/>
          <w:iCs/>
        </w:rPr>
        <w:t>f</w:t>
      </w:r>
      <w:r w:rsidRPr="00C43780">
        <w:rPr>
          <w:vertAlign w:val="subscript"/>
        </w:rPr>
        <w:t>m,min</w:t>
      </w:r>
      <w:r w:rsidRPr="00C43780">
        <w:t> = 10 MPa.</w:t>
      </w:r>
    </w:p>
    <w:p w14:paraId="20EC1660" w14:textId="68153DAA" w:rsidR="00A94717" w:rsidRPr="00C43780" w:rsidRDefault="00A94717" w:rsidP="00724E4E">
      <w:pPr>
        <w:pStyle w:val="Clause"/>
      </w:pPr>
      <w:r w:rsidRPr="00C43780">
        <w:t xml:space="preserve">Values of </w:t>
      </w:r>
      <w:r w:rsidRPr="00C43780">
        <w:rPr>
          <w:i/>
          <w:iCs/>
        </w:rPr>
        <w:t>f</w:t>
      </w:r>
      <w:r w:rsidRPr="00C43780">
        <w:rPr>
          <w:vertAlign w:val="subscript"/>
        </w:rPr>
        <w:t>b</w:t>
      </w:r>
      <w:r w:rsidRPr="00C43780">
        <w:t xml:space="preserve"> smaller than in </w:t>
      </w:r>
      <w:r w:rsidRPr="00835C82">
        <w:t>(1)</w:t>
      </w:r>
      <w:r w:rsidRPr="00C43780">
        <w:t xml:space="preserve"> may be used if the resulting characteristic compressive strength of masonry </w:t>
      </w:r>
      <w:r w:rsidRPr="00C43780">
        <w:rPr>
          <w:i/>
          <w:iCs/>
        </w:rPr>
        <w:t>f</w:t>
      </w:r>
      <w:r w:rsidRPr="00C43780">
        <w:rPr>
          <w:vertAlign w:val="subscript"/>
        </w:rPr>
        <w:t>k</w:t>
      </w:r>
      <w:r w:rsidRPr="00C43780">
        <w:t>, according to EN</w:t>
      </w:r>
      <w:r w:rsidR="005B7D13">
        <w:t> </w:t>
      </w:r>
      <w:r w:rsidRPr="00C43780">
        <w:t>1996-1-1:202</w:t>
      </w:r>
      <w:r w:rsidR="0063506B">
        <w:t>2</w:t>
      </w:r>
      <w:r w:rsidRPr="00C43780">
        <w:t xml:space="preserve">, </w:t>
      </w:r>
      <w:r w:rsidRPr="00835C82">
        <w:t>5.7.1</w:t>
      </w:r>
      <w:r w:rsidRPr="00C43780">
        <w:t>, is not smaller than given in a) or b):</w:t>
      </w:r>
    </w:p>
    <w:p w14:paraId="1C231600" w14:textId="72709AA4" w:rsidR="00A94717" w:rsidRPr="007B70CF" w:rsidRDefault="00A94717" w:rsidP="0080187E">
      <w:pPr>
        <w:pStyle w:val="List2"/>
        <w:numPr>
          <w:ilvl w:val="0"/>
          <w:numId w:val="209"/>
        </w:numPr>
        <w:spacing w:before="0" w:after="240" w:line="230" w:lineRule="atLeast"/>
        <w:contextualSpacing w:val="0"/>
      </w:pPr>
      <w:r w:rsidRPr="00132C1E">
        <w:t xml:space="preserve">for </w:t>
      </w:r>
      <w:r w:rsidRPr="006D466D">
        <w:rPr>
          <w:i/>
          <w:iCs/>
        </w:rPr>
        <w:t>S</w:t>
      </w:r>
      <w:r w:rsidRPr="006D466D">
        <w:rPr>
          <w:vertAlign w:val="subscript"/>
        </w:rPr>
        <w:t>δ</w:t>
      </w:r>
      <w:r w:rsidRPr="00132C1E">
        <w:t xml:space="preserve"> ≤ 3 m/s</w:t>
      </w:r>
      <w:r w:rsidRPr="006D466D">
        <w:rPr>
          <w:vertAlign w:val="superscript"/>
        </w:rPr>
        <w:t>2</w:t>
      </w:r>
      <w:r w:rsidRPr="00132C1E">
        <w:t>:</w:t>
      </w:r>
    </w:p>
    <w:p w14:paraId="090FCF87" w14:textId="7E8F9BA9" w:rsidR="00A94717" w:rsidRPr="00132C1E" w:rsidRDefault="00A94717" w:rsidP="007B70CF">
      <w:pPr>
        <w:spacing w:after="60"/>
        <w:ind w:left="567"/>
      </w:pPr>
      <w:r w:rsidRPr="00132C1E">
        <w:t>Normal to the bed face:</w:t>
      </w:r>
      <w:r w:rsidR="007B70CF">
        <w:t xml:space="preserve"> </w:t>
      </w:r>
      <w:r w:rsidR="00E91A53">
        <w:t xml:space="preserve">   </w:t>
      </w:r>
      <w:r w:rsidRPr="00132C1E">
        <w:rPr>
          <w:i/>
          <w:iCs/>
        </w:rPr>
        <w:t>f</w:t>
      </w:r>
      <w:r w:rsidRPr="00132C1E">
        <w:rPr>
          <w:vertAlign w:val="subscript"/>
        </w:rPr>
        <w:t>k</w:t>
      </w:r>
      <w:r w:rsidRPr="00132C1E">
        <w:t>=</w:t>
      </w:r>
      <w:r w:rsidRPr="00132C1E">
        <w:rPr>
          <w:i/>
          <w:iCs/>
        </w:rPr>
        <w:t xml:space="preserve"> f</w:t>
      </w:r>
      <w:r w:rsidRPr="00132C1E">
        <w:rPr>
          <w:vertAlign w:val="subscript"/>
        </w:rPr>
        <w:t>kv</w:t>
      </w:r>
      <w:r w:rsidRPr="00132C1E">
        <w:t xml:space="preserve"> ≥ 1,</w:t>
      </w:r>
      <w:r>
        <w:t>6</w:t>
      </w:r>
      <w:r w:rsidRPr="00132C1E">
        <w:t> MPa for unreinforced and confined masonry;</w:t>
      </w:r>
    </w:p>
    <w:p w14:paraId="3E991322" w14:textId="745867B6" w:rsidR="00A94717" w:rsidRPr="00132C1E" w:rsidRDefault="00E91A53" w:rsidP="007B70CF">
      <w:pPr>
        <w:tabs>
          <w:tab w:val="left" w:pos="2410"/>
        </w:tabs>
        <w:spacing w:after="60"/>
        <w:ind w:left="2835" w:hanging="1"/>
      </w:pPr>
      <w:r>
        <w:rPr>
          <w:i/>
          <w:iCs/>
        </w:rPr>
        <w:t xml:space="preserve">  </w:t>
      </w:r>
      <w:r w:rsidR="00A94717" w:rsidRPr="00132C1E">
        <w:rPr>
          <w:i/>
          <w:iCs/>
        </w:rPr>
        <w:t>f</w:t>
      </w:r>
      <w:r w:rsidR="00A94717" w:rsidRPr="00132C1E">
        <w:rPr>
          <w:vertAlign w:val="subscript"/>
        </w:rPr>
        <w:t>k</w:t>
      </w:r>
      <w:r w:rsidR="00A94717" w:rsidRPr="00132C1E">
        <w:t>=</w:t>
      </w:r>
      <w:r w:rsidR="00A94717" w:rsidRPr="00132C1E">
        <w:rPr>
          <w:i/>
          <w:iCs/>
        </w:rPr>
        <w:t xml:space="preserve"> f</w:t>
      </w:r>
      <w:r w:rsidR="00A94717" w:rsidRPr="00132C1E">
        <w:rPr>
          <w:vertAlign w:val="subscript"/>
        </w:rPr>
        <w:t>kv</w:t>
      </w:r>
      <w:r w:rsidR="00A94717" w:rsidRPr="00132C1E">
        <w:t xml:space="preserve"> ≥ 2,8 MPa for reinforced masonry;</w:t>
      </w:r>
    </w:p>
    <w:p w14:paraId="117FD5D2" w14:textId="472BBF58" w:rsidR="00A94717" w:rsidRPr="00132C1E" w:rsidRDefault="00A94717" w:rsidP="00E91A53">
      <w:pPr>
        <w:spacing w:after="200"/>
        <w:ind w:left="567"/>
      </w:pPr>
      <w:r w:rsidRPr="00132C1E">
        <w:t xml:space="preserve">Parallel to the bed face: </w:t>
      </w:r>
      <w:r w:rsidR="00E91A53">
        <w:t xml:space="preserve">  </w:t>
      </w:r>
      <w:r w:rsidRPr="00132C1E">
        <w:rPr>
          <w:i/>
          <w:iCs/>
        </w:rPr>
        <w:t>f</w:t>
      </w:r>
      <w:r w:rsidRPr="00132C1E">
        <w:rPr>
          <w:vertAlign w:val="subscript"/>
        </w:rPr>
        <w:t>k</w:t>
      </w:r>
      <w:r w:rsidRPr="00132C1E">
        <w:t>=</w:t>
      </w:r>
      <w:r w:rsidRPr="00132C1E">
        <w:rPr>
          <w:i/>
          <w:iCs/>
        </w:rPr>
        <w:t xml:space="preserve"> f</w:t>
      </w:r>
      <w:r w:rsidRPr="00132C1E">
        <w:rPr>
          <w:vertAlign w:val="subscript"/>
        </w:rPr>
        <w:t>kh</w:t>
      </w:r>
      <w:r w:rsidRPr="00132C1E">
        <w:t xml:space="preserve"> ≥ 0,15 </w:t>
      </w:r>
      <w:r w:rsidRPr="00132C1E">
        <w:rPr>
          <w:i/>
          <w:iCs/>
        </w:rPr>
        <w:t>f</w:t>
      </w:r>
      <w:r w:rsidRPr="00132C1E">
        <w:rPr>
          <w:vertAlign w:val="subscript"/>
        </w:rPr>
        <w:t>kv</w:t>
      </w:r>
      <w:r w:rsidRPr="00132C1E">
        <w:t xml:space="preserve"> for unreinforced, confined and reinforced masonry;</w:t>
      </w:r>
    </w:p>
    <w:p w14:paraId="703AA44A" w14:textId="02856C3D" w:rsidR="00A94717" w:rsidRPr="007B70CF" w:rsidRDefault="00A94717" w:rsidP="0080187E">
      <w:pPr>
        <w:pStyle w:val="List2"/>
        <w:numPr>
          <w:ilvl w:val="0"/>
          <w:numId w:val="209"/>
        </w:numPr>
        <w:tabs>
          <w:tab w:val="num" w:pos="0"/>
        </w:tabs>
        <w:spacing w:before="0" w:after="240" w:line="230" w:lineRule="atLeast"/>
        <w:contextualSpacing w:val="0"/>
      </w:pPr>
      <w:r w:rsidRPr="00132C1E">
        <w:t xml:space="preserve">for </w:t>
      </w:r>
      <w:r w:rsidRPr="00132C1E">
        <w:rPr>
          <w:i/>
          <w:iCs/>
        </w:rPr>
        <w:t>S</w:t>
      </w:r>
      <w:r w:rsidRPr="00132C1E">
        <w:rPr>
          <w:vertAlign w:val="subscript"/>
        </w:rPr>
        <w:t>δ</w:t>
      </w:r>
      <w:r w:rsidRPr="00132C1E">
        <w:t xml:space="preserve"> &gt; 3 m/s</w:t>
      </w:r>
      <w:r w:rsidRPr="00132C1E">
        <w:rPr>
          <w:vertAlign w:val="superscript"/>
        </w:rPr>
        <w:t>2</w:t>
      </w:r>
      <w:r w:rsidRPr="00132C1E">
        <w:t>:</w:t>
      </w:r>
    </w:p>
    <w:p w14:paraId="14BDA445" w14:textId="604F9392" w:rsidR="00A94717" w:rsidRPr="00132C1E" w:rsidRDefault="00A94717" w:rsidP="007B70CF">
      <w:pPr>
        <w:spacing w:afterLines="60" w:after="144"/>
        <w:ind w:left="567"/>
      </w:pPr>
      <w:r w:rsidRPr="00132C1E">
        <w:t xml:space="preserve">Normal to the bed face: </w:t>
      </w:r>
      <w:r w:rsidR="00E91A53">
        <w:t xml:space="preserve">   </w:t>
      </w:r>
      <w:r w:rsidRPr="00132C1E">
        <w:rPr>
          <w:i/>
          <w:iCs/>
        </w:rPr>
        <w:t>f</w:t>
      </w:r>
      <w:r w:rsidRPr="00132C1E">
        <w:rPr>
          <w:vertAlign w:val="subscript"/>
        </w:rPr>
        <w:t>k</w:t>
      </w:r>
      <w:r w:rsidRPr="00132C1E">
        <w:t>=</w:t>
      </w:r>
      <w:r w:rsidRPr="00132C1E">
        <w:rPr>
          <w:i/>
          <w:iCs/>
        </w:rPr>
        <w:t xml:space="preserve"> f</w:t>
      </w:r>
      <w:r w:rsidRPr="00132C1E">
        <w:rPr>
          <w:vertAlign w:val="subscript"/>
        </w:rPr>
        <w:t>kv</w:t>
      </w:r>
      <w:r w:rsidRPr="00132C1E">
        <w:t xml:space="preserve"> ≥ 2,</w:t>
      </w:r>
      <w:r>
        <w:t>2</w:t>
      </w:r>
      <w:r w:rsidRPr="00132C1E">
        <w:t xml:space="preserve"> MPa for unreinforced and confined masonry; </w:t>
      </w:r>
    </w:p>
    <w:p w14:paraId="4A53A86F" w14:textId="648869CC" w:rsidR="00A94717" w:rsidRPr="00132C1E" w:rsidRDefault="00E91A53" w:rsidP="00A94717">
      <w:pPr>
        <w:spacing w:afterLines="60" w:after="144"/>
        <w:ind w:left="2269" w:firstLine="567"/>
      </w:pPr>
      <w:r>
        <w:rPr>
          <w:i/>
          <w:iCs/>
        </w:rPr>
        <w:t xml:space="preserve">  </w:t>
      </w:r>
      <w:r w:rsidR="00A94717" w:rsidRPr="00132C1E">
        <w:rPr>
          <w:i/>
          <w:iCs/>
        </w:rPr>
        <w:t>f</w:t>
      </w:r>
      <w:r w:rsidR="00A94717" w:rsidRPr="00132C1E">
        <w:rPr>
          <w:vertAlign w:val="subscript"/>
        </w:rPr>
        <w:t>k</w:t>
      </w:r>
      <w:r w:rsidR="00A94717" w:rsidRPr="00132C1E">
        <w:t>=</w:t>
      </w:r>
      <w:r w:rsidR="00A94717" w:rsidRPr="00132C1E">
        <w:rPr>
          <w:i/>
          <w:iCs/>
        </w:rPr>
        <w:t xml:space="preserve"> f</w:t>
      </w:r>
      <w:r w:rsidR="00A94717" w:rsidRPr="00132C1E">
        <w:rPr>
          <w:vertAlign w:val="subscript"/>
        </w:rPr>
        <w:t>kv</w:t>
      </w:r>
      <w:r w:rsidR="00A94717" w:rsidRPr="00132C1E">
        <w:t xml:space="preserve"> ≥ 3,5 MPa for reinforced masonry;</w:t>
      </w:r>
    </w:p>
    <w:p w14:paraId="06717B1A" w14:textId="3B73CCE6" w:rsidR="00A94717" w:rsidRPr="00132C1E" w:rsidRDefault="00A94717" w:rsidP="007B70CF">
      <w:pPr>
        <w:spacing w:afterLines="60" w:after="144"/>
        <w:ind w:left="567"/>
      </w:pPr>
      <w:r w:rsidRPr="00132C1E">
        <w:t xml:space="preserve">Parallel to the bed face: </w:t>
      </w:r>
      <w:r w:rsidR="00E91A53">
        <w:t xml:space="preserve">  </w:t>
      </w:r>
      <w:r w:rsidRPr="00132C1E">
        <w:rPr>
          <w:i/>
          <w:iCs/>
        </w:rPr>
        <w:t>f</w:t>
      </w:r>
      <w:r w:rsidRPr="00132C1E">
        <w:rPr>
          <w:vertAlign w:val="subscript"/>
        </w:rPr>
        <w:t>k</w:t>
      </w:r>
      <w:r w:rsidRPr="00132C1E">
        <w:t>=</w:t>
      </w:r>
      <w:r w:rsidRPr="00132C1E">
        <w:rPr>
          <w:i/>
          <w:iCs/>
        </w:rPr>
        <w:t xml:space="preserve"> f</w:t>
      </w:r>
      <w:r w:rsidRPr="00132C1E">
        <w:rPr>
          <w:vertAlign w:val="subscript"/>
        </w:rPr>
        <w:t>kh</w:t>
      </w:r>
      <w:r w:rsidRPr="00132C1E">
        <w:t xml:space="preserve"> ≥ 0,15 </w:t>
      </w:r>
      <w:r w:rsidRPr="00132C1E">
        <w:rPr>
          <w:i/>
          <w:iCs/>
        </w:rPr>
        <w:t>f</w:t>
      </w:r>
      <w:r w:rsidRPr="00132C1E">
        <w:rPr>
          <w:vertAlign w:val="subscript"/>
        </w:rPr>
        <w:t>kv</w:t>
      </w:r>
      <w:r w:rsidRPr="00132C1E">
        <w:t xml:space="preserve"> for unreinforced, confined and reinforced masonry.</w:t>
      </w:r>
    </w:p>
    <w:p w14:paraId="4A8C4094" w14:textId="46CB995B" w:rsidR="00A94717" w:rsidRPr="00B86C82" w:rsidRDefault="00A94717" w:rsidP="00724E4E">
      <w:pPr>
        <w:pStyle w:val="Clause"/>
      </w:pPr>
      <w:r w:rsidRPr="00B86C82">
        <w:t xml:space="preserve">For the Significant Damage (SD) limit state verifications, partial factors, partial factors for masonry and steel strengths </w:t>
      </w:r>
      <w:r w:rsidRPr="00B86C82">
        <w:rPr>
          <w:rFonts w:eastAsia="Cambria"/>
          <w:i/>
          <w:iCs/>
        </w:rPr>
        <w:t>γ</w:t>
      </w:r>
      <w:r w:rsidRPr="00B86C82">
        <w:rPr>
          <w:rFonts w:eastAsia="Cambria"/>
          <w:vertAlign w:val="subscript"/>
        </w:rPr>
        <w:t>M</w:t>
      </w:r>
      <w:r w:rsidRPr="00B86C82">
        <w:t xml:space="preserve"> and </w:t>
      </w:r>
      <w:r w:rsidRPr="00B86C82">
        <w:rPr>
          <w:rFonts w:eastAsia="Cambria"/>
          <w:i/>
          <w:iCs/>
        </w:rPr>
        <w:t>γ</w:t>
      </w:r>
      <w:r w:rsidRPr="00B86C82">
        <w:rPr>
          <w:rFonts w:eastAsia="Cambria"/>
          <w:vertAlign w:val="subscript"/>
        </w:rPr>
        <w:t>s</w:t>
      </w:r>
      <w:r w:rsidRPr="00B86C82">
        <w:t xml:space="preserve"> not </w:t>
      </w:r>
      <w:r w:rsidRPr="00132C1E">
        <w:t>smaller</w:t>
      </w:r>
      <w:r w:rsidRPr="00B86C82">
        <w:t xml:space="preserve"> than 1,0 should be used.</w:t>
      </w:r>
    </w:p>
    <w:p w14:paraId="01964716" w14:textId="6FC27D66" w:rsidR="00A94717" w:rsidRDefault="00A94717" w:rsidP="007B70CF">
      <w:pPr>
        <w:pStyle w:val="Notetext"/>
      </w:pPr>
      <w:r w:rsidRPr="00132C1E">
        <w:t>NOTE</w:t>
      </w:r>
      <w:r w:rsidR="007B70CF">
        <w:tab/>
      </w:r>
      <w:r w:rsidRPr="00132C1E">
        <w:rPr>
          <w:i/>
          <w:iCs/>
        </w:rPr>
        <w:t>γ</w:t>
      </w:r>
      <w:r w:rsidRPr="00132C1E">
        <w:rPr>
          <w:vertAlign w:val="subscript"/>
        </w:rPr>
        <w:t>M</w:t>
      </w:r>
      <w:r w:rsidRPr="00132C1E">
        <w:t xml:space="preserve"> and </w:t>
      </w:r>
      <w:r w:rsidRPr="00132C1E">
        <w:rPr>
          <w:i/>
          <w:iCs/>
        </w:rPr>
        <w:t>γ</w:t>
      </w:r>
      <w:r w:rsidRPr="00132C1E">
        <w:rPr>
          <w:vertAlign w:val="subscript"/>
        </w:rPr>
        <w:t>s</w:t>
      </w:r>
      <w:r w:rsidRPr="00132C1E">
        <w:t xml:space="preserve"> are equal to 1,5 and 1,15 respectively, unless the National Annex gives different values for use in a country.</w:t>
      </w:r>
      <w:bookmarkStart w:id="10644" w:name="_Toc50150624"/>
      <w:bookmarkStart w:id="10645" w:name="_Toc70887056"/>
      <w:bookmarkEnd w:id="10640"/>
    </w:p>
    <w:p w14:paraId="7D31B7E2" w14:textId="65642CBE" w:rsidR="00A94717" w:rsidRPr="00132C1E" w:rsidRDefault="00A94717" w:rsidP="00641E28">
      <w:pPr>
        <w:pStyle w:val="Heading2"/>
      </w:pPr>
      <w:bookmarkStart w:id="10646" w:name="_Toc108342626"/>
      <w:bookmarkStart w:id="10647" w:name="_Toc134198148"/>
      <w:r w:rsidRPr="00132C1E">
        <w:t>Behaviour factors</w:t>
      </w:r>
      <w:bookmarkEnd w:id="10641"/>
      <w:bookmarkEnd w:id="10642"/>
      <w:bookmarkEnd w:id="10643"/>
      <w:bookmarkEnd w:id="10644"/>
      <w:bookmarkEnd w:id="10645"/>
      <w:bookmarkEnd w:id="10646"/>
      <w:bookmarkEnd w:id="10647"/>
    </w:p>
    <w:p w14:paraId="77684F56" w14:textId="1BC95354" w:rsidR="00A94717" w:rsidRDefault="00A94717" w:rsidP="00641E28">
      <w:pPr>
        <w:pStyle w:val="Heading3"/>
      </w:pPr>
      <w:bookmarkStart w:id="10648" w:name="_Ref19566830"/>
      <w:bookmarkStart w:id="10649" w:name="_Toc19566930"/>
      <w:bookmarkStart w:id="10650" w:name="_Toc50150625"/>
      <w:bookmarkStart w:id="10651" w:name="_Toc70887057"/>
      <w:bookmarkStart w:id="10652" w:name="_Toc108342627"/>
      <w:bookmarkStart w:id="10653" w:name="_Toc134198149"/>
      <w:r w:rsidRPr="00132C1E">
        <w:t>Behaviour factors for in-plane analysis</w:t>
      </w:r>
      <w:bookmarkEnd w:id="10648"/>
      <w:bookmarkEnd w:id="10649"/>
      <w:bookmarkEnd w:id="10650"/>
      <w:bookmarkEnd w:id="10651"/>
      <w:bookmarkEnd w:id="10652"/>
      <w:bookmarkEnd w:id="10653"/>
    </w:p>
    <w:p w14:paraId="577A1FA9" w14:textId="77777777" w:rsidR="007F5A1E" w:rsidRPr="00E05E29" w:rsidRDefault="007F5A1E" w:rsidP="0080187E">
      <w:pPr>
        <w:pStyle w:val="Heading4"/>
        <w:numPr>
          <w:ilvl w:val="3"/>
          <w:numId w:val="634"/>
        </w:numPr>
      </w:pPr>
      <w:r w:rsidRPr="00E05E29">
        <w:t>Design for DC1</w:t>
      </w:r>
    </w:p>
    <w:p w14:paraId="77B893BE" w14:textId="1745BA15" w:rsidR="00A94717" w:rsidRPr="00DC49D1" w:rsidRDefault="00A94717" w:rsidP="0080187E">
      <w:pPr>
        <w:pStyle w:val="Clause"/>
        <w:numPr>
          <w:ilvl w:val="0"/>
          <w:numId w:val="493"/>
        </w:numPr>
        <w:rPr>
          <w:rFonts w:eastAsia="Cambria"/>
        </w:rPr>
      </w:pPr>
      <w:bookmarkStart w:id="10654" w:name="_Hlk38788104"/>
      <w:bookmarkStart w:id="10655" w:name="_Hlk38268860"/>
      <w:r w:rsidRPr="00132C1E">
        <w:t xml:space="preserve">In DC1, a behaviour factor </w:t>
      </w:r>
      <w:r w:rsidRPr="00DC49D1">
        <w:rPr>
          <w:rFonts w:ascii="AODJCD+TimesNewRoman,Italic" w:hAnsi="AODJCD+TimesNewRoman,Italic" w:cs="AODJCD+TimesNewRoman,Italic"/>
          <w:i/>
          <w:iCs/>
        </w:rPr>
        <w:t>q</w:t>
      </w:r>
      <w:r w:rsidRPr="00DC49D1">
        <w:rPr>
          <w:rFonts w:ascii="AODJCD+TimesNewRoman,Italic" w:hAnsi="AODJCD+TimesNewRoman,Italic" w:cs="AODJCD+TimesNewRoman,Italic"/>
        </w:rPr>
        <w:t xml:space="preserve"> up to </w:t>
      </w:r>
      <w:r w:rsidRPr="00132C1E">
        <w:t>1,5 may be used, regardless of the structural type, the masonry type, the diaphragm stiffness and the regularity.</w:t>
      </w:r>
    </w:p>
    <w:p w14:paraId="3B0F0A94" w14:textId="21842D4C" w:rsidR="007F5A1E" w:rsidRPr="00E05E29" w:rsidRDefault="007F5A1E" w:rsidP="007F5A1E">
      <w:pPr>
        <w:pStyle w:val="Heading4"/>
      </w:pPr>
      <w:bookmarkStart w:id="10656" w:name="_Hlk95472335"/>
      <w:r w:rsidRPr="00E05E29">
        <w:t>Design for DC</w:t>
      </w:r>
      <w:r>
        <w:t>2</w:t>
      </w:r>
    </w:p>
    <w:bookmarkEnd w:id="10654"/>
    <w:bookmarkEnd w:id="10655"/>
    <w:bookmarkEnd w:id="10656"/>
    <w:p w14:paraId="13FED244" w14:textId="68A0AFA3" w:rsidR="00A94717" w:rsidRPr="00132C1E" w:rsidRDefault="00A94717" w:rsidP="0080187E">
      <w:pPr>
        <w:pStyle w:val="Clause"/>
        <w:numPr>
          <w:ilvl w:val="0"/>
          <w:numId w:val="635"/>
        </w:numPr>
      </w:pPr>
      <w:r w:rsidRPr="00132C1E">
        <w:t xml:space="preserve">The default values of the behaviour factor components </w:t>
      </w:r>
      <w:r w:rsidRPr="007F5A1E">
        <w:rPr>
          <w:i/>
          <w:iCs/>
        </w:rPr>
        <w:t>q</w:t>
      </w:r>
      <w:r w:rsidRPr="007F5A1E">
        <w:rPr>
          <w:vertAlign w:val="subscript"/>
        </w:rPr>
        <w:t>R</w:t>
      </w:r>
      <w:r w:rsidRPr="00132C1E">
        <w:t xml:space="preserve"> and </w:t>
      </w:r>
      <w:r w:rsidRPr="007F5A1E">
        <w:rPr>
          <w:i/>
          <w:iCs/>
        </w:rPr>
        <w:t>q</w:t>
      </w:r>
      <w:r w:rsidRPr="007F5A1E">
        <w:rPr>
          <w:vertAlign w:val="subscript"/>
        </w:rPr>
        <w:t>D</w:t>
      </w:r>
      <w:r w:rsidRPr="00132C1E">
        <w:t xml:space="preserve"> and of the behaviour factor </w:t>
      </w:r>
      <w:r w:rsidRPr="007F5A1E">
        <w:rPr>
          <w:i/>
          <w:iCs/>
        </w:rPr>
        <w:t>q</w:t>
      </w:r>
      <w:r w:rsidRPr="00132C1E">
        <w:t xml:space="preserve"> for the design in DC2 of buildings regular in elevation and not torsionally flexible are given in Table 14.1; </w:t>
      </w:r>
      <w:r w:rsidR="00EB270B">
        <w:t xml:space="preserve">the </w:t>
      </w:r>
      <w:r w:rsidRPr="00132C1E">
        <w:t xml:space="preserve">values of </w:t>
      </w:r>
      <w:r w:rsidRPr="007F5A1E">
        <w:rPr>
          <w:i/>
          <w:iCs/>
        </w:rPr>
        <w:t>q</w:t>
      </w:r>
      <w:r w:rsidRPr="007F5A1E">
        <w:rPr>
          <w:i/>
          <w:iCs/>
          <w:vertAlign w:val="subscript"/>
        </w:rPr>
        <w:t>D</w:t>
      </w:r>
      <w:r w:rsidRPr="00132C1E">
        <w:t xml:space="preserve"> in Table 14.1 require that Formula (14.1)</w:t>
      </w:r>
      <w:r w:rsidR="00EB270B">
        <w:t xml:space="preserve"> and</w:t>
      </w:r>
      <w:r w:rsidRPr="00132C1E">
        <w:t xml:space="preserve"> </w:t>
      </w:r>
      <w:r w:rsidR="00EB270B" w:rsidRPr="00835C82">
        <w:rPr>
          <w:bCs/>
          <w:lang w:val="en-US"/>
        </w:rPr>
        <w:t>(4)</w:t>
      </w:r>
      <w:r w:rsidR="00EB270B" w:rsidRPr="00EB270B">
        <w:rPr>
          <w:lang w:val="en-US"/>
        </w:rPr>
        <w:t xml:space="preserve"> and </w:t>
      </w:r>
      <w:r w:rsidR="00EB270B" w:rsidRPr="00835C82">
        <w:rPr>
          <w:bCs/>
          <w:lang w:val="en-US"/>
        </w:rPr>
        <w:t>(5)</w:t>
      </w:r>
      <w:r w:rsidR="00EB270B" w:rsidRPr="00EB270B">
        <w:rPr>
          <w:lang w:val="en-US"/>
        </w:rPr>
        <w:t xml:space="preserve"> </w:t>
      </w:r>
      <w:r w:rsidRPr="00132C1E">
        <w:t>be satisfied</w:t>
      </w:r>
      <w:r w:rsidR="00EB270B">
        <w:t xml:space="preserve"> in all primary walls</w:t>
      </w:r>
      <w:r w:rsidRPr="00132C1E">
        <w:t>:</w:t>
      </w:r>
    </w:p>
    <w:p w14:paraId="2FE3DD59" w14:textId="572F1160" w:rsidR="00A94717" w:rsidRDefault="007E0ACA" w:rsidP="00A94717">
      <w:pPr>
        <w:pStyle w:val="Formula"/>
        <w:spacing w:before="240"/>
      </w:pPr>
      <m:oMath>
        <m:r>
          <m:rPr>
            <m:sty m:val="p"/>
          </m:rPr>
          <w:rPr>
            <w:rFonts w:ascii="Cambria Math" w:hAnsi="Cambria Math"/>
          </w:rPr>
          <m:t xml:space="preserve"> </m:t>
        </m:r>
        <m:sSub>
          <m:sSubPr>
            <m:ctrlPr>
              <w:rPr>
                <w:rFonts w:ascii="Cambria Math" w:hAnsi="Cambria Math"/>
              </w:rPr>
            </m:ctrlPr>
          </m:sSubPr>
          <m:e>
            <m:r>
              <w:rPr>
                <w:rFonts w:ascii="Cambria Math" w:hAnsi="Cambria Math"/>
              </w:rPr>
              <m:t>ν</m:t>
            </m:r>
          </m:e>
          <m:sub>
            <m:r>
              <m:rPr>
                <m:sty m:val="p"/>
              </m:rPr>
              <w:rPr>
                <w:rFonts w:ascii="Cambria Math" w:hAnsi="Cambria Math"/>
                <w:vertAlign w:val="subscript"/>
              </w:rPr>
              <m:t>G,k,i</m:t>
            </m:r>
          </m:sub>
        </m:sSub>
        <m:r>
          <m:rPr>
            <m:sty m:val="p"/>
          </m:rPr>
          <w:rPr>
            <w:rFonts w:ascii="Cambria Math" w:hAnsi="Cambria Math"/>
          </w:rPr>
          <m:t>≤ 0,2</m:t>
        </m:r>
      </m:oMath>
      <w:r w:rsidR="00A94717" w:rsidRPr="00870D59">
        <w:tab/>
        <w:t>(1</w:t>
      </w:r>
      <w:r w:rsidR="00A94717">
        <w:t>4</w:t>
      </w:r>
      <w:r w:rsidR="00A94717" w:rsidRPr="00870D59">
        <w:t>.</w:t>
      </w:r>
      <w:r w:rsidR="00A94717">
        <w:t>1</w:t>
      </w:r>
      <w:r w:rsidR="00A94717" w:rsidRPr="00870D59">
        <w:t>)</w:t>
      </w:r>
    </w:p>
    <w:p w14:paraId="53AF591A" w14:textId="11890DDF" w:rsidR="00A94717" w:rsidRPr="005B7D13" w:rsidRDefault="006447BF" w:rsidP="005B7D13">
      <w:pPr>
        <w:pStyle w:val="Text"/>
      </w:pPr>
      <w:r>
        <w:t>w</w:t>
      </w:r>
      <w:r w:rsidR="00A94717">
        <w:t>here</w:t>
      </w:r>
      <w:r w:rsidR="00EB270B">
        <w:t xml:space="preserve"> </w:t>
      </w:r>
      <w:r w:rsidR="00EB270B" w:rsidRPr="00132C1E">
        <w:rPr>
          <w:rFonts w:ascii="Symbol" w:hAnsi="Symbol"/>
          <w:i/>
          <w:iCs/>
        </w:rPr>
        <w:t></w:t>
      </w:r>
      <w:r w:rsidR="00EB270B" w:rsidRPr="00132C1E">
        <w:rPr>
          <w:iCs/>
          <w:vertAlign w:val="subscript"/>
        </w:rPr>
        <w:t>G,k</w:t>
      </w:r>
      <w:r>
        <w:rPr>
          <w:iCs/>
          <w:vertAlign w:val="subscript"/>
        </w:rPr>
        <w:t>,i</w:t>
      </w:r>
      <w:r w:rsidR="00EB270B">
        <w:rPr>
          <w:iCs/>
          <w:vertAlign w:val="subscript"/>
        </w:rPr>
        <w:t xml:space="preserve"> </w:t>
      </w:r>
      <w:r>
        <w:rPr>
          <w:iCs/>
        </w:rPr>
        <w:t xml:space="preserve"> </w:t>
      </w:r>
      <w:r w:rsidRPr="00132C1E">
        <w:t xml:space="preserve">is the </w:t>
      </w:r>
      <w:r w:rsidRPr="00B45D20">
        <w:t xml:space="preserve">wall axial load ratio </w:t>
      </w:r>
      <w:r w:rsidR="0011732E">
        <w:t xml:space="preserve">in wall </w:t>
      </w:r>
      <w:r w:rsidR="0011732E">
        <w:rPr>
          <w:i/>
          <w:iCs/>
        </w:rPr>
        <w:t>i</w:t>
      </w:r>
      <w:r w:rsidR="0011732E">
        <w:t xml:space="preserve"> </w:t>
      </w:r>
      <w:r w:rsidRPr="00B45D20">
        <w:t>due to non-seismic actions calculated as</w:t>
      </w:r>
      <w:r>
        <w:t xml:space="preserve"> given </w:t>
      </w:r>
      <w:r w:rsidRPr="005B7D13">
        <w:t>in (4)</w:t>
      </w:r>
      <w:r w:rsidR="005B7D13">
        <w:t>.</w:t>
      </w:r>
    </w:p>
    <w:p w14:paraId="4F5B442E" w14:textId="51E5CF2B" w:rsidR="0092459A" w:rsidRPr="00132C1E" w:rsidRDefault="0092459A" w:rsidP="00E91A53">
      <w:pPr>
        <w:pStyle w:val="Tabletitle"/>
        <w:keepLines/>
        <w:rPr>
          <w:bCs/>
        </w:rPr>
      </w:pPr>
      <w:r w:rsidRPr="00132C1E">
        <w:lastRenderedPageBreak/>
        <w:t xml:space="preserve">Table 14.1 — Structural layout, masonry types and default values of the behaviour factor </w:t>
      </w:r>
      <w:r w:rsidRPr="00132C1E">
        <w:rPr>
          <w:i/>
        </w:rPr>
        <w:t xml:space="preserve">q </w:t>
      </w:r>
      <w:r w:rsidRPr="00132C1E">
        <w:rPr>
          <w:iCs/>
        </w:rPr>
        <w:t>in DC2</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68"/>
        <w:gridCol w:w="992"/>
        <w:gridCol w:w="3686"/>
        <w:gridCol w:w="850"/>
        <w:gridCol w:w="993"/>
      </w:tblGrid>
      <w:tr w:rsidR="0092459A" w:rsidRPr="00132C1E" w14:paraId="000E7B86" w14:textId="77777777" w:rsidTr="005B7D13">
        <w:trPr>
          <w:trHeight w:val="705"/>
          <w:jc w:val="center"/>
        </w:trPr>
        <w:tc>
          <w:tcPr>
            <w:tcW w:w="2268" w:type="dxa"/>
            <w:shd w:val="clear" w:color="auto" w:fill="auto"/>
            <w:noWrap/>
            <w:vAlign w:val="center"/>
            <w:hideMark/>
          </w:tcPr>
          <w:p w14:paraId="7B538295" w14:textId="7849966F" w:rsidR="0092459A" w:rsidRPr="005B7D13" w:rsidRDefault="0092459A" w:rsidP="00E91A53">
            <w:pPr>
              <w:pStyle w:val="Tablebody"/>
              <w:keepNext/>
              <w:keepLines/>
              <w:jc w:val="center"/>
              <w:rPr>
                <w:b/>
                <w:bCs/>
              </w:rPr>
            </w:pPr>
            <w:r w:rsidRPr="005B7D13">
              <w:rPr>
                <w:b/>
                <w:bCs/>
              </w:rPr>
              <w:t>Structural layout in the earthquake direction</w:t>
            </w:r>
          </w:p>
        </w:tc>
        <w:tc>
          <w:tcPr>
            <w:tcW w:w="992" w:type="dxa"/>
            <w:shd w:val="clear" w:color="auto" w:fill="auto"/>
            <w:noWrap/>
            <w:vAlign w:val="center"/>
            <w:hideMark/>
          </w:tcPr>
          <w:p w14:paraId="4DC58138" w14:textId="77777777" w:rsidR="0092459A" w:rsidRPr="005B7D13" w:rsidRDefault="0092459A" w:rsidP="00E91A53">
            <w:pPr>
              <w:pStyle w:val="Tablebody"/>
              <w:keepNext/>
              <w:keepLines/>
              <w:jc w:val="center"/>
              <w:rPr>
                <w:b/>
                <w:bCs/>
              </w:rPr>
            </w:pPr>
            <w:r w:rsidRPr="005B7D13">
              <w:rPr>
                <w:b/>
                <w:bCs/>
                <w:i/>
                <w:iCs/>
              </w:rPr>
              <w:t>q</w:t>
            </w:r>
            <w:r w:rsidRPr="005B7D13">
              <w:rPr>
                <w:b/>
                <w:bCs/>
                <w:vertAlign w:val="subscript"/>
              </w:rPr>
              <w:t>R</w:t>
            </w:r>
          </w:p>
        </w:tc>
        <w:tc>
          <w:tcPr>
            <w:tcW w:w="3686" w:type="dxa"/>
            <w:shd w:val="clear" w:color="auto" w:fill="auto"/>
            <w:noWrap/>
            <w:vAlign w:val="center"/>
            <w:hideMark/>
          </w:tcPr>
          <w:p w14:paraId="2CFB1B2F" w14:textId="77777777" w:rsidR="0092459A" w:rsidRPr="005B7D13" w:rsidRDefault="0092459A" w:rsidP="00E91A53">
            <w:pPr>
              <w:pStyle w:val="Tablebody"/>
              <w:keepNext/>
              <w:keepLines/>
              <w:jc w:val="center"/>
              <w:rPr>
                <w:b/>
                <w:bCs/>
              </w:rPr>
            </w:pPr>
            <w:r w:rsidRPr="005B7D13">
              <w:rPr>
                <w:b/>
                <w:bCs/>
              </w:rPr>
              <w:t>Masonry type</w:t>
            </w:r>
          </w:p>
        </w:tc>
        <w:tc>
          <w:tcPr>
            <w:tcW w:w="850" w:type="dxa"/>
            <w:shd w:val="clear" w:color="auto" w:fill="auto"/>
            <w:noWrap/>
            <w:vAlign w:val="center"/>
            <w:hideMark/>
          </w:tcPr>
          <w:p w14:paraId="384EABBF" w14:textId="77777777" w:rsidR="0092459A" w:rsidRPr="005B7D13" w:rsidRDefault="0092459A" w:rsidP="00E91A53">
            <w:pPr>
              <w:pStyle w:val="Tablebody"/>
              <w:keepNext/>
              <w:keepLines/>
              <w:jc w:val="center"/>
              <w:rPr>
                <w:b/>
                <w:bCs/>
              </w:rPr>
            </w:pPr>
            <w:r w:rsidRPr="005B7D13">
              <w:rPr>
                <w:b/>
                <w:bCs/>
                <w:i/>
                <w:iCs/>
              </w:rPr>
              <w:t>q</w:t>
            </w:r>
            <w:r w:rsidRPr="005B7D13">
              <w:rPr>
                <w:b/>
                <w:bCs/>
                <w:vertAlign w:val="subscript"/>
              </w:rPr>
              <w:t>D</w:t>
            </w:r>
          </w:p>
        </w:tc>
        <w:tc>
          <w:tcPr>
            <w:tcW w:w="993" w:type="dxa"/>
            <w:shd w:val="clear" w:color="auto" w:fill="auto"/>
            <w:noWrap/>
            <w:vAlign w:val="center"/>
            <w:hideMark/>
          </w:tcPr>
          <w:p w14:paraId="3D1F97C7" w14:textId="77777777" w:rsidR="0092459A" w:rsidRPr="005B7D13" w:rsidRDefault="0092459A" w:rsidP="00E91A53">
            <w:pPr>
              <w:pStyle w:val="Tablebody"/>
              <w:keepNext/>
              <w:keepLines/>
              <w:jc w:val="center"/>
              <w:rPr>
                <w:b/>
                <w:bCs/>
                <w:i/>
                <w:iCs/>
              </w:rPr>
            </w:pPr>
            <w:r w:rsidRPr="005B7D13">
              <w:rPr>
                <w:b/>
                <w:bCs/>
                <w:i/>
                <w:iCs/>
              </w:rPr>
              <w:t>q</w:t>
            </w:r>
          </w:p>
        </w:tc>
      </w:tr>
      <w:tr w:rsidR="0092459A" w:rsidRPr="00132C1E" w14:paraId="1A648788" w14:textId="77777777" w:rsidTr="005B7D13">
        <w:trPr>
          <w:trHeight w:val="284"/>
          <w:jc w:val="center"/>
        </w:trPr>
        <w:tc>
          <w:tcPr>
            <w:tcW w:w="2268" w:type="dxa"/>
            <w:vMerge w:val="restart"/>
            <w:shd w:val="clear" w:color="auto" w:fill="auto"/>
            <w:vAlign w:val="center"/>
            <w:hideMark/>
          </w:tcPr>
          <w:p w14:paraId="46A56912" w14:textId="77777777" w:rsidR="0092459A" w:rsidRPr="007E6F67" w:rsidRDefault="0092459A" w:rsidP="00E91A53">
            <w:pPr>
              <w:pStyle w:val="Tablebody"/>
              <w:keepNext/>
              <w:keepLines/>
              <w:jc w:val="left"/>
            </w:pPr>
            <w:r w:rsidRPr="00132C1E">
              <w:t xml:space="preserve">At </w:t>
            </w:r>
            <w:r w:rsidRPr="00B45D20">
              <w:t>least 6 walls of various lengths and a significant coupling effect</w:t>
            </w:r>
          </w:p>
        </w:tc>
        <w:tc>
          <w:tcPr>
            <w:tcW w:w="992" w:type="dxa"/>
            <w:shd w:val="clear" w:color="auto" w:fill="auto"/>
            <w:noWrap/>
            <w:vAlign w:val="bottom"/>
            <w:hideMark/>
          </w:tcPr>
          <w:p w14:paraId="52BCA384" w14:textId="77777777" w:rsidR="0092459A" w:rsidRPr="00FD17CF" w:rsidRDefault="0092459A" w:rsidP="00E91A53">
            <w:pPr>
              <w:pStyle w:val="Tablebody"/>
              <w:keepNext/>
              <w:keepLines/>
              <w:jc w:val="center"/>
            </w:pPr>
            <w:r w:rsidRPr="007E6F67">
              <w:t>1,4</w:t>
            </w:r>
          </w:p>
        </w:tc>
        <w:tc>
          <w:tcPr>
            <w:tcW w:w="3686" w:type="dxa"/>
            <w:shd w:val="clear" w:color="auto" w:fill="auto"/>
            <w:noWrap/>
            <w:vAlign w:val="bottom"/>
            <w:hideMark/>
          </w:tcPr>
          <w:p w14:paraId="29D9ED79" w14:textId="77777777" w:rsidR="0092459A" w:rsidRPr="00E05E29" w:rsidRDefault="0092459A" w:rsidP="00E91A53">
            <w:pPr>
              <w:pStyle w:val="Tablebody"/>
              <w:keepNext/>
              <w:keepLines/>
            </w:pPr>
            <w:r w:rsidRPr="00E05E29">
              <w:t xml:space="preserve">URM (general) </w:t>
            </w:r>
          </w:p>
        </w:tc>
        <w:tc>
          <w:tcPr>
            <w:tcW w:w="850" w:type="dxa"/>
            <w:shd w:val="clear" w:color="auto" w:fill="auto"/>
            <w:noWrap/>
            <w:vAlign w:val="bottom"/>
            <w:hideMark/>
          </w:tcPr>
          <w:p w14:paraId="287811BA" w14:textId="77777777" w:rsidR="0092459A" w:rsidRPr="002144A0" w:rsidRDefault="0092459A" w:rsidP="00E91A53">
            <w:pPr>
              <w:pStyle w:val="Tablebody"/>
              <w:keepNext/>
              <w:keepLines/>
              <w:jc w:val="center"/>
            </w:pPr>
            <w:r w:rsidRPr="00196951">
              <w:t>1,2</w:t>
            </w:r>
          </w:p>
        </w:tc>
        <w:tc>
          <w:tcPr>
            <w:tcW w:w="993" w:type="dxa"/>
            <w:shd w:val="clear" w:color="auto" w:fill="auto"/>
            <w:noWrap/>
            <w:vAlign w:val="bottom"/>
            <w:hideMark/>
          </w:tcPr>
          <w:p w14:paraId="214CCD16" w14:textId="77777777" w:rsidR="0092459A" w:rsidRPr="002144A0" w:rsidRDefault="0092459A" w:rsidP="00E91A53">
            <w:pPr>
              <w:pStyle w:val="Tablebody"/>
              <w:keepNext/>
              <w:keepLines/>
              <w:jc w:val="center"/>
            </w:pPr>
            <w:r w:rsidRPr="002144A0">
              <w:t>2,6</w:t>
            </w:r>
          </w:p>
        </w:tc>
      </w:tr>
      <w:tr w:rsidR="0092459A" w:rsidRPr="00132C1E" w14:paraId="3B272B03" w14:textId="77777777" w:rsidTr="005B7D13">
        <w:trPr>
          <w:trHeight w:val="284"/>
          <w:jc w:val="center"/>
        </w:trPr>
        <w:tc>
          <w:tcPr>
            <w:tcW w:w="2268" w:type="dxa"/>
            <w:vMerge/>
            <w:vAlign w:val="center"/>
            <w:hideMark/>
          </w:tcPr>
          <w:p w14:paraId="1DB02B46" w14:textId="77777777" w:rsidR="0092459A" w:rsidRPr="00132C1E" w:rsidRDefault="0092459A" w:rsidP="00E91A53">
            <w:pPr>
              <w:pStyle w:val="Tablebody"/>
              <w:keepNext/>
              <w:keepLines/>
              <w:jc w:val="left"/>
            </w:pPr>
          </w:p>
        </w:tc>
        <w:tc>
          <w:tcPr>
            <w:tcW w:w="992" w:type="dxa"/>
            <w:shd w:val="clear" w:color="auto" w:fill="auto"/>
            <w:noWrap/>
            <w:vAlign w:val="bottom"/>
            <w:hideMark/>
          </w:tcPr>
          <w:p w14:paraId="0A78DF1F" w14:textId="77777777" w:rsidR="0092459A" w:rsidRPr="00132C1E" w:rsidRDefault="0092459A" w:rsidP="00E91A53">
            <w:pPr>
              <w:pStyle w:val="Tablebody"/>
              <w:keepNext/>
              <w:keepLines/>
              <w:jc w:val="center"/>
            </w:pPr>
            <w:r w:rsidRPr="00132C1E">
              <w:t>1,4</w:t>
            </w:r>
          </w:p>
        </w:tc>
        <w:tc>
          <w:tcPr>
            <w:tcW w:w="3686" w:type="dxa"/>
            <w:shd w:val="clear" w:color="auto" w:fill="auto"/>
            <w:noWrap/>
            <w:vAlign w:val="bottom"/>
            <w:hideMark/>
          </w:tcPr>
          <w:p w14:paraId="5A144EB3" w14:textId="77777777" w:rsidR="0092459A" w:rsidRPr="00132C1E" w:rsidRDefault="0092459A" w:rsidP="00E91A53">
            <w:pPr>
              <w:pStyle w:val="Tablebody"/>
              <w:keepNext/>
              <w:keepLines/>
            </w:pPr>
            <w:r w:rsidRPr="00132C1E">
              <w:t>Calcium silicate (hollow and solid)</w:t>
            </w:r>
          </w:p>
        </w:tc>
        <w:tc>
          <w:tcPr>
            <w:tcW w:w="850" w:type="dxa"/>
            <w:shd w:val="clear" w:color="auto" w:fill="auto"/>
            <w:noWrap/>
            <w:vAlign w:val="bottom"/>
            <w:hideMark/>
          </w:tcPr>
          <w:p w14:paraId="581C09D5" w14:textId="77777777" w:rsidR="0092459A" w:rsidRPr="00132C1E" w:rsidRDefault="0092459A" w:rsidP="00E91A53">
            <w:pPr>
              <w:pStyle w:val="Tablebody"/>
              <w:keepNext/>
              <w:keepLines/>
              <w:jc w:val="center"/>
            </w:pPr>
            <w:r w:rsidRPr="00132C1E">
              <w:t>1,0</w:t>
            </w:r>
          </w:p>
        </w:tc>
        <w:tc>
          <w:tcPr>
            <w:tcW w:w="993" w:type="dxa"/>
            <w:shd w:val="clear" w:color="auto" w:fill="auto"/>
            <w:noWrap/>
            <w:vAlign w:val="bottom"/>
            <w:hideMark/>
          </w:tcPr>
          <w:p w14:paraId="46B2244B" w14:textId="77777777" w:rsidR="0092459A" w:rsidRPr="00132C1E" w:rsidRDefault="0092459A" w:rsidP="00E91A53">
            <w:pPr>
              <w:pStyle w:val="Tablebody"/>
              <w:keepNext/>
              <w:keepLines/>
              <w:jc w:val="center"/>
            </w:pPr>
            <w:r w:rsidRPr="00132C1E">
              <w:t>2,2</w:t>
            </w:r>
          </w:p>
        </w:tc>
      </w:tr>
      <w:tr w:rsidR="0092459A" w:rsidRPr="00132C1E" w14:paraId="35015D3E" w14:textId="77777777" w:rsidTr="005B7D13">
        <w:trPr>
          <w:trHeight w:val="284"/>
          <w:jc w:val="center"/>
        </w:trPr>
        <w:tc>
          <w:tcPr>
            <w:tcW w:w="2268" w:type="dxa"/>
            <w:vMerge/>
            <w:vAlign w:val="center"/>
            <w:hideMark/>
          </w:tcPr>
          <w:p w14:paraId="68A9DCCB" w14:textId="77777777" w:rsidR="0092459A" w:rsidRPr="00132C1E" w:rsidRDefault="0092459A" w:rsidP="00E91A53">
            <w:pPr>
              <w:pStyle w:val="Tablebody"/>
              <w:jc w:val="left"/>
            </w:pPr>
          </w:p>
        </w:tc>
        <w:tc>
          <w:tcPr>
            <w:tcW w:w="992" w:type="dxa"/>
            <w:shd w:val="clear" w:color="auto" w:fill="auto"/>
            <w:noWrap/>
            <w:vAlign w:val="bottom"/>
            <w:hideMark/>
          </w:tcPr>
          <w:p w14:paraId="57883541" w14:textId="77777777" w:rsidR="0092459A" w:rsidRPr="00132C1E" w:rsidRDefault="0092459A" w:rsidP="005B7D13">
            <w:pPr>
              <w:pStyle w:val="Tablebody"/>
              <w:jc w:val="center"/>
            </w:pPr>
            <w:r w:rsidRPr="00132C1E">
              <w:t>1,4</w:t>
            </w:r>
          </w:p>
        </w:tc>
        <w:tc>
          <w:tcPr>
            <w:tcW w:w="3686" w:type="dxa"/>
            <w:shd w:val="clear" w:color="auto" w:fill="auto"/>
            <w:noWrap/>
            <w:vAlign w:val="bottom"/>
            <w:hideMark/>
          </w:tcPr>
          <w:p w14:paraId="1F6FF2D4" w14:textId="77777777" w:rsidR="0092459A" w:rsidRPr="00132C1E" w:rsidRDefault="0092459A" w:rsidP="005B7D13">
            <w:pPr>
              <w:pStyle w:val="Tablebody"/>
            </w:pPr>
            <w:r w:rsidRPr="00132C1E">
              <w:t>AAC Gr 1 and 1s</w:t>
            </w:r>
          </w:p>
        </w:tc>
        <w:tc>
          <w:tcPr>
            <w:tcW w:w="850" w:type="dxa"/>
            <w:shd w:val="clear" w:color="auto" w:fill="auto"/>
            <w:noWrap/>
            <w:vAlign w:val="bottom"/>
            <w:hideMark/>
          </w:tcPr>
          <w:p w14:paraId="24C37E4B" w14:textId="77777777" w:rsidR="0092459A" w:rsidRPr="00132C1E" w:rsidRDefault="0092459A" w:rsidP="005B7D13">
            <w:pPr>
              <w:pStyle w:val="Tablebody"/>
              <w:jc w:val="center"/>
            </w:pPr>
            <w:r w:rsidRPr="00132C1E">
              <w:t>1,4</w:t>
            </w:r>
          </w:p>
        </w:tc>
        <w:tc>
          <w:tcPr>
            <w:tcW w:w="993" w:type="dxa"/>
            <w:shd w:val="clear" w:color="auto" w:fill="auto"/>
            <w:noWrap/>
            <w:vAlign w:val="bottom"/>
            <w:hideMark/>
          </w:tcPr>
          <w:p w14:paraId="7AD0BD76" w14:textId="77777777" w:rsidR="0092459A" w:rsidRPr="00132C1E" w:rsidRDefault="0092459A" w:rsidP="005B7D13">
            <w:pPr>
              <w:pStyle w:val="Tablebody"/>
              <w:jc w:val="center"/>
            </w:pPr>
            <w:r w:rsidRPr="00132C1E">
              <w:t>2,8</w:t>
            </w:r>
          </w:p>
        </w:tc>
      </w:tr>
      <w:tr w:rsidR="0092459A" w:rsidRPr="00132C1E" w14:paraId="36750CBD" w14:textId="77777777" w:rsidTr="005B7D13">
        <w:trPr>
          <w:trHeight w:val="284"/>
          <w:jc w:val="center"/>
        </w:trPr>
        <w:tc>
          <w:tcPr>
            <w:tcW w:w="2268" w:type="dxa"/>
            <w:vMerge/>
            <w:vAlign w:val="center"/>
            <w:hideMark/>
          </w:tcPr>
          <w:p w14:paraId="1062D34A" w14:textId="77777777" w:rsidR="0092459A" w:rsidRPr="00132C1E" w:rsidRDefault="0092459A" w:rsidP="00E91A53">
            <w:pPr>
              <w:pStyle w:val="Tablebody"/>
              <w:jc w:val="left"/>
            </w:pPr>
          </w:p>
        </w:tc>
        <w:tc>
          <w:tcPr>
            <w:tcW w:w="992" w:type="dxa"/>
            <w:shd w:val="clear" w:color="auto" w:fill="auto"/>
            <w:noWrap/>
            <w:vAlign w:val="bottom"/>
            <w:hideMark/>
          </w:tcPr>
          <w:p w14:paraId="3A508777" w14:textId="77777777" w:rsidR="0092459A" w:rsidRPr="00132C1E" w:rsidRDefault="0092459A" w:rsidP="005B7D13">
            <w:pPr>
              <w:pStyle w:val="Tablebody"/>
              <w:jc w:val="center"/>
            </w:pPr>
            <w:r w:rsidRPr="00132C1E">
              <w:t>1,4</w:t>
            </w:r>
          </w:p>
        </w:tc>
        <w:tc>
          <w:tcPr>
            <w:tcW w:w="3686" w:type="dxa"/>
            <w:shd w:val="clear" w:color="auto" w:fill="auto"/>
            <w:noWrap/>
            <w:vAlign w:val="bottom"/>
            <w:hideMark/>
          </w:tcPr>
          <w:p w14:paraId="3E69A1F1" w14:textId="77777777" w:rsidR="0092459A" w:rsidRPr="00132C1E" w:rsidRDefault="0092459A" w:rsidP="005B7D13">
            <w:pPr>
              <w:pStyle w:val="Tablebody"/>
            </w:pPr>
            <w:r w:rsidRPr="00132C1E">
              <w:t>URM Gr 1 and 1s clay</w:t>
            </w:r>
          </w:p>
        </w:tc>
        <w:tc>
          <w:tcPr>
            <w:tcW w:w="850" w:type="dxa"/>
            <w:shd w:val="clear" w:color="auto" w:fill="auto"/>
            <w:noWrap/>
            <w:vAlign w:val="bottom"/>
            <w:hideMark/>
          </w:tcPr>
          <w:p w14:paraId="75767FDA" w14:textId="77777777" w:rsidR="0092459A" w:rsidRPr="00132C1E" w:rsidRDefault="0092459A" w:rsidP="005B7D13">
            <w:pPr>
              <w:pStyle w:val="Tablebody"/>
              <w:jc w:val="center"/>
            </w:pPr>
            <w:r w:rsidRPr="00132C1E">
              <w:t>1,6</w:t>
            </w:r>
          </w:p>
        </w:tc>
        <w:tc>
          <w:tcPr>
            <w:tcW w:w="993" w:type="dxa"/>
            <w:shd w:val="clear" w:color="auto" w:fill="auto"/>
            <w:noWrap/>
            <w:vAlign w:val="bottom"/>
            <w:hideMark/>
          </w:tcPr>
          <w:p w14:paraId="5E13BE36" w14:textId="77777777" w:rsidR="0092459A" w:rsidRPr="00132C1E" w:rsidRDefault="0092459A" w:rsidP="005B7D13">
            <w:pPr>
              <w:pStyle w:val="Tablebody"/>
              <w:jc w:val="center"/>
            </w:pPr>
            <w:r w:rsidRPr="00132C1E">
              <w:t>2,8</w:t>
            </w:r>
          </w:p>
        </w:tc>
      </w:tr>
      <w:tr w:rsidR="0092459A" w:rsidRPr="00132C1E" w14:paraId="5D1C6E89" w14:textId="77777777" w:rsidTr="005B7D13">
        <w:trPr>
          <w:trHeight w:val="284"/>
          <w:jc w:val="center"/>
        </w:trPr>
        <w:tc>
          <w:tcPr>
            <w:tcW w:w="2268" w:type="dxa"/>
            <w:vMerge/>
            <w:vAlign w:val="center"/>
            <w:hideMark/>
          </w:tcPr>
          <w:p w14:paraId="43767073" w14:textId="77777777" w:rsidR="0092459A" w:rsidRPr="00132C1E" w:rsidRDefault="0092459A" w:rsidP="00E91A53">
            <w:pPr>
              <w:pStyle w:val="Tablebody"/>
              <w:jc w:val="left"/>
            </w:pPr>
          </w:p>
        </w:tc>
        <w:tc>
          <w:tcPr>
            <w:tcW w:w="992" w:type="dxa"/>
            <w:shd w:val="clear" w:color="auto" w:fill="auto"/>
            <w:noWrap/>
            <w:vAlign w:val="bottom"/>
            <w:hideMark/>
          </w:tcPr>
          <w:p w14:paraId="31C4B1B0" w14:textId="77777777" w:rsidR="0092459A" w:rsidRPr="00132C1E" w:rsidRDefault="0092459A" w:rsidP="005B7D13">
            <w:pPr>
              <w:pStyle w:val="Tablebody"/>
              <w:jc w:val="center"/>
            </w:pPr>
            <w:r w:rsidRPr="00132C1E">
              <w:t>1,4</w:t>
            </w:r>
          </w:p>
        </w:tc>
        <w:tc>
          <w:tcPr>
            <w:tcW w:w="3686" w:type="dxa"/>
            <w:shd w:val="clear" w:color="auto" w:fill="auto"/>
            <w:noWrap/>
            <w:vAlign w:val="bottom"/>
            <w:hideMark/>
          </w:tcPr>
          <w:p w14:paraId="61E17278" w14:textId="77777777" w:rsidR="0092459A" w:rsidRPr="00132C1E" w:rsidRDefault="0092459A" w:rsidP="005B7D13">
            <w:pPr>
              <w:pStyle w:val="Tablebody"/>
            </w:pPr>
            <w:r w:rsidRPr="00132C1E">
              <w:t>Confined masonry (general)</w:t>
            </w:r>
          </w:p>
        </w:tc>
        <w:tc>
          <w:tcPr>
            <w:tcW w:w="850" w:type="dxa"/>
            <w:shd w:val="clear" w:color="auto" w:fill="auto"/>
            <w:noWrap/>
            <w:vAlign w:val="bottom"/>
            <w:hideMark/>
          </w:tcPr>
          <w:p w14:paraId="20F15504" w14:textId="77777777" w:rsidR="0092459A" w:rsidRPr="00132C1E" w:rsidRDefault="0092459A" w:rsidP="005B7D13">
            <w:pPr>
              <w:pStyle w:val="Tablebody"/>
              <w:jc w:val="center"/>
            </w:pPr>
            <w:r w:rsidRPr="00132C1E">
              <w:t>1,65</w:t>
            </w:r>
          </w:p>
        </w:tc>
        <w:tc>
          <w:tcPr>
            <w:tcW w:w="993" w:type="dxa"/>
            <w:shd w:val="clear" w:color="auto" w:fill="auto"/>
            <w:noWrap/>
            <w:vAlign w:val="bottom"/>
            <w:hideMark/>
          </w:tcPr>
          <w:p w14:paraId="655731C0" w14:textId="77777777" w:rsidR="0092459A" w:rsidRPr="00132C1E" w:rsidRDefault="0092459A" w:rsidP="005B7D13">
            <w:pPr>
              <w:pStyle w:val="Tablebody"/>
              <w:jc w:val="center"/>
            </w:pPr>
            <w:r w:rsidRPr="00132C1E">
              <w:t>3,4</w:t>
            </w:r>
          </w:p>
        </w:tc>
      </w:tr>
      <w:tr w:rsidR="0092459A" w:rsidRPr="00132C1E" w14:paraId="1A62D703" w14:textId="77777777" w:rsidTr="005B7D13">
        <w:trPr>
          <w:trHeight w:val="284"/>
          <w:jc w:val="center"/>
        </w:trPr>
        <w:tc>
          <w:tcPr>
            <w:tcW w:w="2268" w:type="dxa"/>
            <w:vMerge/>
            <w:vAlign w:val="center"/>
            <w:hideMark/>
          </w:tcPr>
          <w:p w14:paraId="26C96B2B" w14:textId="77777777" w:rsidR="0092459A" w:rsidRPr="00132C1E" w:rsidRDefault="0092459A" w:rsidP="00E91A53">
            <w:pPr>
              <w:pStyle w:val="Tablebody"/>
              <w:jc w:val="left"/>
            </w:pPr>
          </w:p>
        </w:tc>
        <w:tc>
          <w:tcPr>
            <w:tcW w:w="992" w:type="dxa"/>
            <w:shd w:val="clear" w:color="auto" w:fill="auto"/>
            <w:noWrap/>
            <w:vAlign w:val="bottom"/>
            <w:hideMark/>
          </w:tcPr>
          <w:p w14:paraId="18210B98" w14:textId="77777777" w:rsidR="0092459A" w:rsidRPr="00132C1E" w:rsidRDefault="0092459A" w:rsidP="005B7D13">
            <w:pPr>
              <w:pStyle w:val="Tablebody"/>
              <w:jc w:val="center"/>
            </w:pPr>
            <w:r w:rsidRPr="00132C1E">
              <w:t>1,4</w:t>
            </w:r>
          </w:p>
        </w:tc>
        <w:tc>
          <w:tcPr>
            <w:tcW w:w="3686" w:type="dxa"/>
            <w:shd w:val="clear" w:color="auto" w:fill="auto"/>
            <w:noWrap/>
            <w:vAlign w:val="bottom"/>
            <w:hideMark/>
          </w:tcPr>
          <w:p w14:paraId="46C677D2" w14:textId="77777777" w:rsidR="0092459A" w:rsidRPr="00132C1E" w:rsidRDefault="0092459A" w:rsidP="005B7D13">
            <w:pPr>
              <w:pStyle w:val="Tablebody"/>
            </w:pPr>
            <w:r w:rsidRPr="00132C1E">
              <w:t>Reinforced masonry (general)</w:t>
            </w:r>
          </w:p>
        </w:tc>
        <w:tc>
          <w:tcPr>
            <w:tcW w:w="850" w:type="dxa"/>
            <w:shd w:val="clear" w:color="auto" w:fill="auto"/>
            <w:noWrap/>
            <w:vAlign w:val="bottom"/>
            <w:hideMark/>
          </w:tcPr>
          <w:p w14:paraId="46EF9692" w14:textId="77777777" w:rsidR="0092459A" w:rsidRPr="00132C1E" w:rsidRDefault="0092459A" w:rsidP="005B7D13">
            <w:pPr>
              <w:pStyle w:val="Tablebody"/>
              <w:jc w:val="center"/>
            </w:pPr>
            <w:r w:rsidRPr="00132C1E">
              <w:t>1,8</w:t>
            </w:r>
          </w:p>
        </w:tc>
        <w:tc>
          <w:tcPr>
            <w:tcW w:w="993" w:type="dxa"/>
            <w:shd w:val="clear" w:color="auto" w:fill="auto"/>
            <w:noWrap/>
            <w:vAlign w:val="bottom"/>
            <w:hideMark/>
          </w:tcPr>
          <w:p w14:paraId="70702C5D" w14:textId="77777777" w:rsidR="0092459A" w:rsidRPr="00132C1E" w:rsidRDefault="0092459A" w:rsidP="005B7D13">
            <w:pPr>
              <w:pStyle w:val="Tablebody"/>
              <w:jc w:val="center"/>
            </w:pPr>
            <w:r w:rsidRPr="00132C1E">
              <w:t>3,8</w:t>
            </w:r>
          </w:p>
        </w:tc>
      </w:tr>
      <w:tr w:rsidR="0092459A" w:rsidRPr="00B45D20" w14:paraId="6DA52580" w14:textId="77777777" w:rsidTr="005B7D13">
        <w:trPr>
          <w:trHeight w:val="284"/>
          <w:jc w:val="center"/>
        </w:trPr>
        <w:tc>
          <w:tcPr>
            <w:tcW w:w="2268" w:type="dxa"/>
            <w:vMerge w:val="restart"/>
            <w:shd w:val="clear" w:color="auto" w:fill="auto"/>
            <w:vAlign w:val="center"/>
            <w:hideMark/>
          </w:tcPr>
          <w:p w14:paraId="5CDF3EDE" w14:textId="77777777" w:rsidR="0092459A" w:rsidRPr="00B45D20" w:rsidRDefault="0092459A" w:rsidP="00E91A53">
            <w:pPr>
              <w:pStyle w:val="Tablebody"/>
              <w:jc w:val="left"/>
            </w:pPr>
            <w:r w:rsidRPr="00B45D20">
              <w:t>At least 6 walls of various lengths without significant coupling effect, or at least 4 walls and a significant coupling effect</w:t>
            </w:r>
          </w:p>
        </w:tc>
        <w:tc>
          <w:tcPr>
            <w:tcW w:w="992" w:type="dxa"/>
            <w:shd w:val="clear" w:color="auto" w:fill="auto"/>
            <w:noWrap/>
            <w:vAlign w:val="bottom"/>
            <w:hideMark/>
          </w:tcPr>
          <w:p w14:paraId="7B7BAE00" w14:textId="77777777" w:rsidR="0092459A" w:rsidRPr="00B45D20" w:rsidRDefault="0092459A" w:rsidP="005B7D13">
            <w:pPr>
              <w:pStyle w:val="Tablebody"/>
              <w:jc w:val="center"/>
            </w:pPr>
            <w:r w:rsidRPr="00B45D20">
              <w:t>1,2</w:t>
            </w:r>
          </w:p>
        </w:tc>
        <w:tc>
          <w:tcPr>
            <w:tcW w:w="3686" w:type="dxa"/>
            <w:shd w:val="clear" w:color="auto" w:fill="auto"/>
            <w:noWrap/>
            <w:vAlign w:val="bottom"/>
            <w:hideMark/>
          </w:tcPr>
          <w:p w14:paraId="52CF30A8" w14:textId="77777777" w:rsidR="0092459A" w:rsidRPr="00B45D20" w:rsidRDefault="0092459A" w:rsidP="005B7D13">
            <w:pPr>
              <w:pStyle w:val="Tablebody"/>
            </w:pPr>
            <w:r w:rsidRPr="00B45D20">
              <w:t>URM (general)</w:t>
            </w:r>
          </w:p>
        </w:tc>
        <w:tc>
          <w:tcPr>
            <w:tcW w:w="850" w:type="dxa"/>
            <w:shd w:val="clear" w:color="auto" w:fill="auto"/>
            <w:noWrap/>
            <w:vAlign w:val="bottom"/>
            <w:hideMark/>
          </w:tcPr>
          <w:p w14:paraId="718A8434" w14:textId="77777777" w:rsidR="0092459A" w:rsidRPr="00B45D20" w:rsidRDefault="0092459A" w:rsidP="005B7D13">
            <w:pPr>
              <w:pStyle w:val="Tablebody"/>
              <w:jc w:val="center"/>
            </w:pPr>
            <w:r w:rsidRPr="00B45D20">
              <w:t>1,2</w:t>
            </w:r>
          </w:p>
        </w:tc>
        <w:tc>
          <w:tcPr>
            <w:tcW w:w="993" w:type="dxa"/>
            <w:shd w:val="clear" w:color="auto" w:fill="auto"/>
            <w:noWrap/>
            <w:vAlign w:val="bottom"/>
            <w:hideMark/>
          </w:tcPr>
          <w:p w14:paraId="69FEC3A9" w14:textId="77777777" w:rsidR="0092459A" w:rsidRPr="00B45D20" w:rsidRDefault="0092459A" w:rsidP="005B7D13">
            <w:pPr>
              <w:pStyle w:val="Tablebody"/>
              <w:jc w:val="center"/>
            </w:pPr>
            <w:r w:rsidRPr="00B45D20">
              <w:t>2,1</w:t>
            </w:r>
          </w:p>
        </w:tc>
      </w:tr>
      <w:tr w:rsidR="0092459A" w:rsidRPr="00B45D20" w14:paraId="001E355F" w14:textId="77777777" w:rsidTr="005B7D13">
        <w:trPr>
          <w:trHeight w:val="284"/>
          <w:jc w:val="center"/>
        </w:trPr>
        <w:tc>
          <w:tcPr>
            <w:tcW w:w="2268" w:type="dxa"/>
            <w:vMerge/>
            <w:vAlign w:val="center"/>
            <w:hideMark/>
          </w:tcPr>
          <w:p w14:paraId="739C8A0C" w14:textId="77777777" w:rsidR="0092459A" w:rsidRPr="00B45D20" w:rsidRDefault="0092459A" w:rsidP="00E91A53">
            <w:pPr>
              <w:pStyle w:val="Tablebody"/>
              <w:jc w:val="left"/>
            </w:pPr>
          </w:p>
        </w:tc>
        <w:tc>
          <w:tcPr>
            <w:tcW w:w="992" w:type="dxa"/>
            <w:shd w:val="clear" w:color="auto" w:fill="auto"/>
            <w:noWrap/>
            <w:vAlign w:val="bottom"/>
            <w:hideMark/>
          </w:tcPr>
          <w:p w14:paraId="5768D396" w14:textId="77777777" w:rsidR="0092459A" w:rsidRPr="00B45D20" w:rsidRDefault="0092459A" w:rsidP="005B7D13">
            <w:pPr>
              <w:pStyle w:val="Tablebody"/>
              <w:jc w:val="center"/>
            </w:pPr>
            <w:r w:rsidRPr="00B45D20">
              <w:t>1,2</w:t>
            </w:r>
          </w:p>
        </w:tc>
        <w:tc>
          <w:tcPr>
            <w:tcW w:w="3686" w:type="dxa"/>
            <w:shd w:val="clear" w:color="auto" w:fill="auto"/>
            <w:noWrap/>
            <w:vAlign w:val="bottom"/>
            <w:hideMark/>
          </w:tcPr>
          <w:p w14:paraId="6B8A0A9D" w14:textId="77777777" w:rsidR="0092459A" w:rsidRPr="00B45D20" w:rsidRDefault="0092459A" w:rsidP="005B7D13">
            <w:pPr>
              <w:pStyle w:val="Tablebody"/>
            </w:pPr>
            <w:r w:rsidRPr="00B45D20">
              <w:t>Calcium silicate (hollow and solid)</w:t>
            </w:r>
          </w:p>
        </w:tc>
        <w:tc>
          <w:tcPr>
            <w:tcW w:w="850" w:type="dxa"/>
            <w:shd w:val="clear" w:color="auto" w:fill="auto"/>
            <w:noWrap/>
            <w:vAlign w:val="bottom"/>
            <w:hideMark/>
          </w:tcPr>
          <w:p w14:paraId="29C6232C" w14:textId="77777777" w:rsidR="0092459A" w:rsidRPr="00B45D20" w:rsidRDefault="0092459A" w:rsidP="005B7D13">
            <w:pPr>
              <w:pStyle w:val="Tablebody"/>
              <w:jc w:val="center"/>
            </w:pPr>
            <w:r w:rsidRPr="00B45D20">
              <w:t>1,0</w:t>
            </w:r>
          </w:p>
        </w:tc>
        <w:tc>
          <w:tcPr>
            <w:tcW w:w="993" w:type="dxa"/>
            <w:shd w:val="clear" w:color="auto" w:fill="auto"/>
            <w:noWrap/>
            <w:vAlign w:val="bottom"/>
            <w:hideMark/>
          </w:tcPr>
          <w:p w14:paraId="31400575" w14:textId="77777777" w:rsidR="0092459A" w:rsidRPr="00B45D20" w:rsidRDefault="0092459A" w:rsidP="005B7D13">
            <w:pPr>
              <w:pStyle w:val="Tablebody"/>
              <w:jc w:val="center"/>
            </w:pPr>
            <w:r w:rsidRPr="00B45D20">
              <w:t>1,8</w:t>
            </w:r>
          </w:p>
        </w:tc>
      </w:tr>
      <w:tr w:rsidR="0092459A" w:rsidRPr="00B45D20" w14:paraId="79A1F703" w14:textId="77777777" w:rsidTr="005B7D13">
        <w:trPr>
          <w:trHeight w:val="284"/>
          <w:jc w:val="center"/>
        </w:trPr>
        <w:tc>
          <w:tcPr>
            <w:tcW w:w="2268" w:type="dxa"/>
            <w:vMerge/>
            <w:vAlign w:val="center"/>
            <w:hideMark/>
          </w:tcPr>
          <w:p w14:paraId="21F22527" w14:textId="77777777" w:rsidR="0092459A" w:rsidRPr="00B45D20" w:rsidRDefault="0092459A" w:rsidP="00E91A53">
            <w:pPr>
              <w:pStyle w:val="Tablebody"/>
              <w:jc w:val="left"/>
            </w:pPr>
          </w:p>
        </w:tc>
        <w:tc>
          <w:tcPr>
            <w:tcW w:w="992" w:type="dxa"/>
            <w:shd w:val="clear" w:color="auto" w:fill="auto"/>
            <w:noWrap/>
            <w:vAlign w:val="bottom"/>
            <w:hideMark/>
          </w:tcPr>
          <w:p w14:paraId="61880004" w14:textId="77777777" w:rsidR="0092459A" w:rsidRPr="00B45D20" w:rsidRDefault="0092459A" w:rsidP="005B7D13">
            <w:pPr>
              <w:pStyle w:val="Tablebody"/>
              <w:jc w:val="center"/>
            </w:pPr>
            <w:r w:rsidRPr="00B45D20">
              <w:t>1,2</w:t>
            </w:r>
          </w:p>
        </w:tc>
        <w:tc>
          <w:tcPr>
            <w:tcW w:w="3686" w:type="dxa"/>
            <w:shd w:val="clear" w:color="auto" w:fill="auto"/>
            <w:noWrap/>
            <w:vAlign w:val="bottom"/>
            <w:hideMark/>
          </w:tcPr>
          <w:p w14:paraId="3975802E" w14:textId="77777777" w:rsidR="0092459A" w:rsidRPr="00B45D20" w:rsidRDefault="0092459A" w:rsidP="005B7D13">
            <w:pPr>
              <w:pStyle w:val="Tablebody"/>
            </w:pPr>
            <w:r w:rsidRPr="00B45D20">
              <w:t>AAC Gr 1 and 1s</w:t>
            </w:r>
          </w:p>
        </w:tc>
        <w:tc>
          <w:tcPr>
            <w:tcW w:w="850" w:type="dxa"/>
            <w:shd w:val="clear" w:color="auto" w:fill="auto"/>
            <w:noWrap/>
            <w:vAlign w:val="bottom"/>
            <w:hideMark/>
          </w:tcPr>
          <w:p w14:paraId="6BC33FAC" w14:textId="77777777" w:rsidR="0092459A" w:rsidRPr="00B45D20" w:rsidRDefault="0092459A" w:rsidP="005B7D13">
            <w:pPr>
              <w:pStyle w:val="Tablebody"/>
              <w:jc w:val="center"/>
            </w:pPr>
            <w:r w:rsidRPr="00B45D20">
              <w:t>1,4</w:t>
            </w:r>
          </w:p>
        </w:tc>
        <w:tc>
          <w:tcPr>
            <w:tcW w:w="993" w:type="dxa"/>
            <w:shd w:val="clear" w:color="auto" w:fill="auto"/>
            <w:noWrap/>
            <w:vAlign w:val="bottom"/>
            <w:hideMark/>
          </w:tcPr>
          <w:p w14:paraId="3C6E96F5" w14:textId="77777777" w:rsidR="0092459A" w:rsidRPr="00B45D20" w:rsidRDefault="0092459A" w:rsidP="005B7D13">
            <w:pPr>
              <w:pStyle w:val="Tablebody"/>
              <w:jc w:val="center"/>
            </w:pPr>
            <w:r w:rsidRPr="00B45D20">
              <w:t>2,5</w:t>
            </w:r>
          </w:p>
        </w:tc>
      </w:tr>
      <w:tr w:rsidR="0092459A" w:rsidRPr="00B45D20" w14:paraId="2B274A39" w14:textId="77777777" w:rsidTr="005B7D13">
        <w:trPr>
          <w:trHeight w:val="284"/>
          <w:jc w:val="center"/>
        </w:trPr>
        <w:tc>
          <w:tcPr>
            <w:tcW w:w="2268" w:type="dxa"/>
            <w:vMerge/>
            <w:vAlign w:val="center"/>
            <w:hideMark/>
          </w:tcPr>
          <w:p w14:paraId="558E2F44" w14:textId="77777777" w:rsidR="0092459A" w:rsidRPr="00B45D20" w:rsidRDefault="0092459A" w:rsidP="00E91A53">
            <w:pPr>
              <w:pStyle w:val="Tablebody"/>
              <w:jc w:val="left"/>
            </w:pPr>
          </w:p>
        </w:tc>
        <w:tc>
          <w:tcPr>
            <w:tcW w:w="992" w:type="dxa"/>
            <w:shd w:val="clear" w:color="auto" w:fill="auto"/>
            <w:noWrap/>
            <w:vAlign w:val="bottom"/>
            <w:hideMark/>
          </w:tcPr>
          <w:p w14:paraId="4AB8233D" w14:textId="77777777" w:rsidR="0092459A" w:rsidRPr="00B45D20" w:rsidRDefault="0092459A" w:rsidP="005B7D13">
            <w:pPr>
              <w:pStyle w:val="Tablebody"/>
              <w:jc w:val="center"/>
            </w:pPr>
            <w:r w:rsidRPr="00B45D20">
              <w:t>1,2</w:t>
            </w:r>
          </w:p>
        </w:tc>
        <w:tc>
          <w:tcPr>
            <w:tcW w:w="3686" w:type="dxa"/>
            <w:shd w:val="clear" w:color="auto" w:fill="auto"/>
            <w:noWrap/>
            <w:vAlign w:val="bottom"/>
            <w:hideMark/>
          </w:tcPr>
          <w:p w14:paraId="152CA558" w14:textId="77777777" w:rsidR="0092459A" w:rsidRPr="00B45D20" w:rsidRDefault="0092459A" w:rsidP="005B7D13">
            <w:pPr>
              <w:pStyle w:val="Tablebody"/>
            </w:pPr>
            <w:r w:rsidRPr="00B45D20">
              <w:t>URM Gr 1 and 1s clay</w:t>
            </w:r>
          </w:p>
        </w:tc>
        <w:tc>
          <w:tcPr>
            <w:tcW w:w="850" w:type="dxa"/>
            <w:shd w:val="clear" w:color="auto" w:fill="auto"/>
            <w:noWrap/>
            <w:vAlign w:val="bottom"/>
            <w:hideMark/>
          </w:tcPr>
          <w:p w14:paraId="6CCFCDB3" w14:textId="77777777" w:rsidR="0092459A" w:rsidRPr="00B45D20" w:rsidRDefault="0092459A" w:rsidP="005B7D13">
            <w:pPr>
              <w:pStyle w:val="Tablebody"/>
              <w:jc w:val="center"/>
            </w:pPr>
            <w:r w:rsidRPr="00B45D20">
              <w:t>1,6</w:t>
            </w:r>
          </w:p>
        </w:tc>
        <w:tc>
          <w:tcPr>
            <w:tcW w:w="993" w:type="dxa"/>
            <w:shd w:val="clear" w:color="auto" w:fill="auto"/>
            <w:noWrap/>
            <w:vAlign w:val="bottom"/>
            <w:hideMark/>
          </w:tcPr>
          <w:p w14:paraId="7B1336B9" w14:textId="77777777" w:rsidR="0092459A" w:rsidRPr="00B45D20" w:rsidRDefault="0092459A" w:rsidP="005B7D13">
            <w:pPr>
              <w:pStyle w:val="Tablebody"/>
              <w:jc w:val="center"/>
            </w:pPr>
            <w:r w:rsidRPr="00B45D20">
              <w:t>2,8</w:t>
            </w:r>
          </w:p>
        </w:tc>
      </w:tr>
      <w:tr w:rsidR="0092459A" w:rsidRPr="00B45D20" w14:paraId="195F0939" w14:textId="77777777" w:rsidTr="005B7D13">
        <w:trPr>
          <w:trHeight w:val="284"/>
          <w:jc w:val="center"/>
        </w:trPr>
        <w:tc>
          <w:tcPr>
            <w:tcW w:w="2268" w:type="dxa"/>
            <w:vMerge/>
            <w:vAlign w:val="center"/>
            <w:hideMark/>
          </w:tcPr>
          <w:p w14:paraId="1D573FA8" w14:textId="77777777" w:rsidR="0092459A" w:rsidRPr="00B45D20" w:rsidRDefault="0092459A" w:rsidP="00E91A53">
            <w:pPr>
              <w:pStyle w:val="Tablebody"/>
              <w:jc w:val="left"/>
            </w:pPr>
          </w:p>
        </w:tc>
        <w:tc>
          <w:tcPr>
            <w:tcW w:w="992" w:type="dxa"/>
            <w:shd w:val="clear" w:color="auto" w:fill="auto"/>
            <w:noWrap/>
            <w:vAlign w:val="bottom"/>
            <w:hideMark/>
          </w:tcPr>
          <w:p w14:paraId="3731C66E" w14:textId="77777777" w:rsidR="0092459A" w:rsidRPr="00B45D20" w:rsidRDefault="0092459A" w:rsidP="005B7D13">
            <w:pPr>
              <w:pStyle w:val="Tablebody"/>
              <w:jc w:val="center"/>
            </w:pPr>
            <w:r w:rsidRPr="00B45D20">
              <w:t>1,2</w:t>
            </w:r>
          </w:p>
        </w:tc>
        <w:tc>
          <w:tcPr>
            <w:tcW w:w="3686" w:type="dxa"/>
            <w:shd w:val="clear" w:color="auto" w:fill="auto"/>
            <w:noWrap/>
            <w:vAlign w:val="bottom"/>
            <w:hideMark/>
          </w:tcPr>
          <w:p w14:paraId="0B963EDC" w14:textId="77777777" w:rsidR="0092459A" w:rsidRPr="00B45D20" w:rsidRDefault="0092459A" w:rsidP="005B7D13">
            <w:pPr>
              <w:pStyle w:val="Tablebody"/>
            </w:pPr>
            <w:r w:rsidRPr="00B45D20">
              <w:t>Confined masonry (general)</w:t>
            </w:r>
          </w:p>
        </w:tc>
        <w:tc>
          <w:tcPr>
            <w:tcW w:w="850" w:type="dxa"/>
            <w:shd w:val="clear" w:color="auto" w:fill="auto"/>
            <w:noWrap/>
            <w:vAlign w:val="bottom"/>
            <w:hideMark/>
          </w:tcPr>
          <w:p w14:paraId="1DF629AF" w14:textId="77777777" w:rsidR="0092459A" w:rsidRPr="00B45D20" w:rsidRDefault="0092459A" w:rsidP="005B7D13">
            <w:pPr>
              <w:pStyle w:val="Tablebody"/>
              <w:jc w:val="center"/>
            </w:pPr>
            <w:r w:rsidRPr="00B45D20">
              <w:t>1,65</w:t>
            </w:r>
          </w:p>
        </w:tc>
        <w:tc>
          <w:tcPr>
            <w:tcW w:w="993" w:type="dxa"/>
            <w:shd w:val="clear" w:color="auto" w:fill="auto"/>
            <w:noWrap/>
            <w:vAlign w:val="bottom"/>
            <w:hideMark/>
          </w:tcPr>
          <w:p w14:paraId="07A9D50D" w14:textId="77777777" w:rsidR="0092459A" w:rsidRPr="00B45D20" w:rsidRDefault="0092459A" w:rsidP="005B7D13">
            <w:pPr>
              <w:pStyle w:val="Tablebody"/>
              <w:jc w:val="center"/>
            </w:pPr>
            <w:r w:rsidRPr="00B45D20">
              <w:t>2,9</w:t>
            </w:r>
          </w:p>
        </w:tc>
      </w:tr>
      <w:tr w:rsidR="0092459A" w:rsidRPr="00B45D20" w14:paraId="38A37066" w14:textId="77777777" w:rsidTr="005B7D13">
        <w:trPr>
          <w:trHeight w:val="284"/>
          <w:jc w:val="center"/>
        </w:trPr>
        <w:tc>
          <w:tcPr>
            <w:tcW w:w="2268" w:type="dxa"/>
            <w:vMerge/>
            <w:vAlign w:val="center"/>
            <w:hideMark/>
          </w:tcPr>
          <w:p w14:paraId="6DF19DB4" w14:textId="77777777" w:rsidR="0092459A" w:rsidRPr="00B45D20" w:rsidRDefault="0092459A" w:rsidP="00E91A53">
            <w:pPr>
              <w:pStyle w:val="Tablebody"/>
              <w:jc w:val="left"/>
            </w:pPr>
          </w:p>
        </w:tc>
        <w:tc>
          <w:tcPr>
            <w:tcW w:w="992" w:type="dxa"/>
            <w:shd w:val="clear" w:color="auto" w:fill="auto"/>
            <w:noWrap/>
            <w:vAlign w:val="bottom"/>
            <w:hideMark/>
          </w:tcPr>
          <w:p w14:paraId="693C05F6" w14:textId="77777777" w:rsidR="0092459A" w:rsidRPr="00B45D20" w:rsidRDefault="0092459A" w:rsidP="005B7D13">
            <w:pPr>
              <w:pStyle w:val="Tablebody"/>
              <w:jc w:val="center"/>
            </w:pPr>
            <w:r w:rsidRPr="00B45D20">
              <w:t>1,2</w:t>
            </w:r>
          </w:p>
        </w:tc>
        <w:tc>
          <w:tcPr>
            <w:tcW w:w="3686" w:type="dxa"/>
            <w:shd w:val="clear" w:color="auto" w:fill="auto"/>
            <w:noWrap/>
            <w:vAlign w:val="bottom"/>
            <w:hideMark/>
          </w:tcPr>
          <w:p w14:paraId="3EBDAD12" w14:textId="77777777" w:rsidR="0092459A" w:rsidRPr="00B45D20" w:rsidRDefault="0092459A" w:rsidP="005B7D13">
            <w:pPr>
              <w:pStyle w:val="Tablebody"/>
            </w:pPr>
            <w:r w:rsidRPr="00B45D20">
              <w:t>Reinforced masonry (general)</w:t>
            </w:r>
          </w:p>
        </w:tc>
        <w:tc>
          <w:tcPr>
            <w:tcW w:w="850" w:type="dxa"/>
            <w:shd w:val="clear" w:color="auto" w:fill="auto"/>
            <w:noWrap/>
            <w:vAlign w:val="bottom"/>
            <w:hideMark/>
          </w:tcPr>
          <w:p w14:paraId="0DA56B4D" w14:textId="77777777" w:rsidR="0092459A" w:rsidRPr="00B45D20" w:rsidRDefault="0092459A" w:rsidP="005B7D13">
            <w:pPr>
              <w:pStyle w:val="Tablebody"/>
              <w:jc w:val="center"/>
            </w:pPr>
            <w:r w:rsidRPr="00B45D20">
              <w:t>1,8</w:t>
            </w:r>
          </w:p>
        </w:tc>
        <w:tc>
          <w:tcPr>
            <w:tcW w:w="993" w:type="dxa"/>
            <w:shd w:val="clear" w:color="auto" w:fill="auto"/>
            <w:noWrap/>
            <w:vAlign w:val="bottom"/>
            <w:hideMark/>
          </w:tcPr>
          <w:p w14:paraId="1E1221B2" w14:textId="77777777" w:rsidR="0092459A" w:rsidRPr="00B45D20" w:rsidRDefault="0092459A" w:rsidP="005B7D13">
            <w:pPr>
              <w:pStyle w:val="Tablebody"/>
              <w:jc w:val="center"/>
            </w:pPr>
            <w:r w:rsidRPr="00B45D20">
              <w:t>3,2</w:t>
            </w:r>
          </w:p>
        </w:tc>
      </w:tr>
      <w:tr w:rsidR="0092459A" w:rsidRPr="00B45D20" w14:paraId="1995E8DD" w14:textId="77777777" w:rsidTr="005B7D13">
        <w:trPr>
          <w:trHeight w:val="284"/>
          <w:jc w:val="center"/>
        </w:trPr>
        <w:tc>
          <w:tcPr>
            <w:tcW w:w="2268" w:type="dxa"/>
            <w:vMerge w:val="restart"/>
            <w:shd w:val="clear" w:color="auto" w:fill="auto"/>
            <w:vAlign w:val="center"/>
            <w:hideMark/>
          </w:tcPr>
          <w:p w14:paraId="711BBE83" w14:textId="77777777" w:rsidR="0092459A" w:rsidRPr="00B45D20" w:rsidRDefault="0092459A" w:rsidP="00E91A53">
            <w:pPr>
              <w:pStyle w:val="Tablebody"/>
              <w:jc w:val="left"/>
            </w:pPr>
            <w:r w:rsidRPr="00B45D20">
              <w:t xml:space="preserve">Less than 6 walls of various lengths, and no significant coupling effect; </w:t>
            </w:r>
          </w:p>
        </w:tc>
        <w:tc>
          <w:tcPr>
            <w:tcW w:w="992" w:type="dxa"/>
            <w:shd w:val="clear" w:color="auto" w:fill="auto"/>
            <w:noWrap/>
            <w:vAlign w:val="bottom"/>
            <w:hideMark/>
          </w:tcPr>
          <w:p w14:paraId="5068900A" w14:textId="77777777" w:rsidR="0092459A" w:rsidRPr="00B45D20" w:rsidRDefault="0092459A" w:rsidP="005B7D13">
            <w:pPr>
              <w:pStyle w:val="Tablebody"/>
              <w:jc w:val="center"/>
            </w:pPr>
            <w:r w:rsidRPr="00B45D20">
              <w:t>1,0</w:t>
            </w:r>
          </w:p>
        </w:tc>
        <w:tc>
          <w:tcPr>
            <w:tcW w:w="3686" w:type="dxa"/>
            <w:shd w:val="clear" w:color="auto" w:fill="auto"/>
            <w:noWrap/>
            <w:vAlign w:val="bottom"/>
            <w:hideMark/>
          </w:tcPr>
          <w:p w14:paraId="566AB190" w14:textId="77777777" w:rsidR="0092459A" w:rsidRPr="00B45D20" w:rsidRDefault="0092459A" w:rsidP="005B7D13">
            <w:pPr>
              <w:pStyle w:val="Tablebody"/>
            </w:pPr>
            <w:r w:rsidRPr="00B45D20">
              <w:t>URM (general)</w:t>
            </w:r>
          </w:p>
        </w:tc>
        <w:tc>
          <w:tcPr>
            <w:tcW w:w="850" w:type="dxa"/>
            <w:shd w:val="clear" w:color="auto" w:fill="auto"/>
            <w:noWrap/>
            <w:vAlign w:val="bottom"/>
            <w:hideMark/>
          </w:tcPr>
          <w:p w14:paraId="562ACAA9" w14:textId="77777777" w:rsidR="0092459A" w:rsidRPr="00B45D20" w:rsidRDefault="0092459A" w:rsidP="005B7D13">
            <w:pPr>
              <w:pStyle w:val="Tablebody"/>
              <w:jc w:val="center"/>
            </w:pPr>
            <w:r w:rsidRPr="00B45D20">
              <w:t>1,2</w:t>
            </w:r>
          </w:p>
        </w:tc>
        <w:tc>
          <w:tcPr>
            <w:tcW w:w="993" w:type="dxa"/>
            <w:shd w:val="clear" w:color="auto" w:fill="auto"/>
            <w:noWrap/>
            <w:vAlign w:val="bottom"/>
            <w:hideMark/>
          </w:tcPr>
          <w:p w14:paraId="42AD9E12" w14:textId="77777777" w:rsidR="0092459A" w:rsidRPr="00B45D20" w:rsidRDefault="0092459A" w:rsidP="005B7D13">
            <w:pPr>
              <w:pStyle w:val="Tablebody"/>
              <w:jc w:val="center"/>
            </w:pPr>
            <w:r w:rsidRPr="00B45D20">
              <w:t>1,8</w:t>
            </w:r>
          </w:p>
        </w:tc>
      </w:tr>
      <w:tr w:rsidR="0092459A" w:rsidRPr="00B45D20" w14:paraId="2980301B" w14:textId="77777777" w:rsidTr="005B7D13">
        <w:trPr>
          <w:trHeight w:val="284"/>
          <w:jc w:val="center"/>
        </w:trPr>
        <w:tc>
          <w:tcPr>
            <w:tcW w:w="2268" w:type="dxa"/>
            <w:vMerge/>
            <w:vAlign w:val="center"/>
            <w:hideMark/>
          </w:tcPr>
          <w:p w14:paraId="27133556" w14:textId="77777777" w:rsidR="0092459A" w:rsidRPr="00B45D20" w:rsidRDefault="0092459A" w:rsidP="00E91A53">
            <w:pPr>
              <w:pStyle w:val="Tablebody"/>
              <w:jc w:val="left"/>
            </w:pPr>
          </w:p>
        </w:tc>
        <w:tc>
          <w:tcPr>
            <w:tcW w:w="992" w:type="dxa"/>
            <w:shd w:val="clear" w:color="auto" w:fill="auto"/>
            <w:noWrap/>
            <w:vAlign w:val="bottom"/>
            <w:hideMark/>
          </w:tcPr>
          <w:p w14:paraId="26F1EFEC" w14:textId="77777777" w:rsidR="0092459A" w:rsidRPr="00B45D20" w:rsidRDefault="0092459A" w:rsidP="005B7D13">
            <w:pPr>
              <w:pStyle w:val="Tablebody"/>
              <w:jc w:val="center"/>
            </w:pPr>
            <w:r w:rsidRPr="00B45D20">
              <w:t>1,0</w:t>
            </w:r>
          </w:p>
        </w:tc>
        <w:tc>
          <w:tcPr>
            <w:tcW w:w="3686" w:type="dxa"/>
            <w:shd w:val="clear" w:color="auto" w:fill="auto"/>
            <w:noWrap/>
            <w:vAlign w:val="bottom"/>
            <w:hideMark/>
          </w:tcPr>
          <w:p w14:paraId="2A8DF5BF" w14:textId="77777777" w:rsidR="0092459A" w:rsidRPr="00B45D20" w:rsidRDefault="0092459A" w:rsidP="005B7D13">
            <w:pPr>
              <w:pStyle w:val="Tablebody"/>
            </w:pPr>
            <w:r w:rsidRPr="00B45D20">
              <w:t>Calcium silicate (hollow and solid)</w:t>
            </w:r>
          </w:p>
        </w:tc>
        <w:tc>
          <w:tcPr>
            <w:tcW w:w="850" w:type="dxa"/>
            <w:shd w:val="clear" w:color="auto" w:fill="auto"/>
            <w:noWrap/>
            <w:vAlign w:val="bottom"/>
            <w:hideMark/>
          </w:tcPr>
          <w:p w14:paraId="23195F07" w14:textId="77777777" w:rsidR="0092459A" w:rsidRPr="00B45D20" w:rsidRDefault="0092459A" w:rsidP="005B7D13">
            <w:pPr>
              <w:pStyle w:val="Tablebody"/>
              <w:jc w:val="center"/>
            </w:pPr>
            <w:r w:rsidRPr="00B45D20">
              <w:t>1,0</w:t>
            </w:r>
          </w:p>
        </w:tc>
        <w:tc>
          <w:tcPr>
            <w:tcW w:w="993" w:type="dxa"/>
            <w:shd w:val="clear" w:color="auto" w:fill="auto"/>
            <w:noWrap/>
            <w:vAlign w:val="bottom"/>
            <w:hideMark/>
          </w:tcPr>
          <w:p w14:paraId="1F5F63B1" w14:textId="77777777" w:rsidR="0092459A" w:rsidRPr="00B45D20" w:rsidRDefault="0092459A" w:rsidP="005B7D13">
            <w:pPr>
              <w:pStyle w:val="Tablebody"/>
              <w:jc w:val="center"/>
            </w:pPr>
            <w:r w:rsidRPr="00B45D20">
              <w:t>1,5</w:t>
            </w:r>
          </w:p>
        </w:tc>
      </w:tr>
      <w:tr w:rsidR="0092459A" w:rsidRPr="00B45D20" w14:paraId="66E82454" w14:textId="77777777" w:rsidTr="005B7D13">
        <w:trPr>
          <w:trHeight w:val="284"/>
          <w:jc w:val="center"/>
        </w:trPr>
        <w:tc>
          <w:tcPr>
            <w:tcW w:w="2268" w:type="dxa"/>
            <w:vMerge/>
            <w:vAlign w:val="center"/>
            <w:hideMark/>
          </w:tcPr>
          <w:p w14:paraId="35C23521" w14:textId="77777777" w:rsidR="0092459A" w:rsidRPr="00B45D20" w:rsidRDefault="0092459A" w:rsidP="00E91A53">
            <w:pPr>
              <w:pStyle w:val="Tablebody"/>
              <w:jc w:val="left"/>
            </w:pPr>
          </w:p>
        </w:tc>
        <w:tc>
          <w:tcPr>
            <w:tcW w:w="992" w:type="dxa"/>
            <w:shd w:val="clear" w:color="auto" w:fill="auto"/>
            <w:noWrap/>
            <w:vAlign w:val="bottom"/>
            <w:hideMark/>
          </w:tcPr>
          <w:p w14:paraId="767D0B1A" w14:textId="77777777" w:rsidR="0092459A" w:rsidRPr="00B45D20" w:rsidRDefault="0092459A" w:rsidP="005B7D13">
            <w:pPr>
              <w:pStyle w:val="Tablebody"/>
              <w:jc w:val="center"/>
            </w:pPr>
            <w:r w:rsidRPr="00B45D20">
              <w:t>1,0</w:t>
            </w:r>
          </w:p>
        </w:tc>
        <w:tc>
          <w:tcPr>
            <w:tcW w:w="3686" w:type="dxa"/>
            <w:shd w:val="clear" w:color="auto" w:fill="auto"/>
            <w:noWrap/>
            <w:vAlign w:val="bottom"/>
            <w:hideMark/>
          </w:tcPr>
          <w:p w14:paraId="361FD5AA" w14:textId="77777777" w:rsidR="0092459A" w:rsidRPr="00B45D20" w:rsidRDefault="0092459A" w:rsidP="005B7D13">
            <w:pPr>
              <w:pStyle w:val="Tablebody"/>
            </w:pPr>
            <w:r w:rsidRPr="00B45D20">
              <w:t>AAC Gr 1 and 1s</w:t>
            </w:r>
          </w:p>
        </w:tc>
        <w:tc>
          <w:tcPr>
            <w:tcW w:w="850" w:type="dxa"/>
            <w:shd w:val="clear" w:color="auto" w:fill="auto"/>
            <w:noWrap/>
            <w:vAlign w:val="bottom"/>
            <w:hideMark/>
          </w:tcPr>
          <w:p w14:paraId="7E549FEA" w14:textId="77777777" w:rsidR="0092459A" w:rsidRPr="00B45D20" w:rsidRDefault="0092459A" w:rsidP="005B7D13">
            <w:pPr>
              <w:pStyle w:val="Tablebody"/>
              <w:jc w:val="center"/>
            </w:pPr>
            <w:r w:rsidRPr="00B45D20">
              <w:t>1,4</w:t>
            </w:r>
          </w:p>
        </w:tc>
        <w:tc>
          <w:tcPr>
            <w:tcW w:w="993" w:type="dxa"/>
            <w:shd w:val="clear" w:color="auto" w:fill="auto"/>
            <w:noWrap/>
            <w:vAlign w:val="bottom"/>
            <w:hideMark/>
          </w:tcPr>
          <w:p w14:paraId="0F87C6F3" w14:textId="77777777" w:rsidR="0092459A" w:rsidRPr="00B45D20" w:rsidRDefault="0092459A" w:rsidP="005B7D13">
            <w:pPr>
              <w:pStyle w:val="Tablebody"/>
              <w:jc w:val="center"/>
            </w:pPr>
            <w:r w:rsidRPr="00B45D20">
              <w:t>2,1</w:t>
            </w:r>
          </w:p>
        </w:tc>
      </w:tr>
      <w:tr w:rsidR="0092459A" w:rsidRPr="00B45D20" w14:paraId="5F308108" w14:textId="77777777" w:rsidTr="005B7D13">
        <w:trPr>
          <w:trHeight w:val="284"/>
          <w:jc w:val="center"/>
        </w:trPr>
        <w:tc>
          <w:tcPr>
            <w:tcW w:w="2268" w:type="dxa"/>
            <w:vMerge/>
            <w:vAlign w:val="center"/>
            <w:hideMark/>
          </w:tcPr>
          <w:p w14:paraId="72C6925D" w14:textId="77777777" w:rsidR="0092459A" w:rsidRPr="00B45D20" w:rsidRDefault="0092459A" w:rsidP="00E91A53">
            <w:pPr>
              <w:pStyle w:val="Tablebody"/>
              <w:jc w:val="left"/>
            </w:pPr>
          </w:p>
        </w:tc>
        <w:tc>
          <w:tcPr>
            <w:tcW w:w="992" w:type="dxa"/>
            <w:shd w:val="clear" w:color="auto" w:fill="auto"/>
            <w:noWrap/>
            <w:vAlign w:val="bottom"/>
            <w:hideMark/>
          </w:tcPr>
          <w:p w14:paraId="46E9F08C" w14:textId="77777777" w:rsidR="0092459A" w:rsidRPr="00B45D20" w:rsidRDefault="0092459A" w:rsidP="005B7D13">
            <w:pPr>
              <w:pStyle w:val="Tablebody"/>
              <w:jc w:val="center"/>
            </w:pPr>
            <w:r w:rsidRPr="00B45D20">
              <w:t>1,0</w:t>
            </w:r>
          </w:p>
        </w:tc>
        <w:tc>
          <w:tcPr>
            <w:tcW w:w="3686" w:type="dxa"/>
            <w:shd w:val="clear" w:color="auto" w:fill="auto"/>
            <w:noWrap/>
            <w:vAlign w:val="bottom"/>
            <w:hideMark/>
          </w:tcPr>
          <w:p w14:paraId="17BE00F4" w14:textId="77777777" w:rsidR="0092459A" w:rsidRPr="00B45D20" w:rsidRDefault="0092459A" w:rsidP="005B7D13">
            <w:pPr>
              <w:pStyle w:val="Tablebody"/>
            </w:pPr>
            <w:r w:rsidRPr="00B45D20">
              <w:t>URM Gr 1 and 1s clay</w:t>
            </w:r>
          </w:p>
        </w:tc>
        <w:tc>
          <w:tcPr>
            <w:tcW w:w="850" w:type="dxa"/>
            <w:shd w:val="clear" w:color="auto" w:fill="auto"/>
            <w:noWrap/>
            <w:vAlign w:val="bottom"/>
            <w:hideMark/>
          </w:tcPr>
          <w:p w14:paraId="6F375F2A" w14:textId="77777777" w:rsidR="0092459A" w:rsidRPr="00B45D20" w:rsidRDefault="0092459A" w:rsidP="005B7D13">
            <w:pPr>
              <w:pStyle w:val="Tablebody"/>
              <w:jc w:val="center"/>
            </w:pPr>
            <w:r w:rsidRPr="00B45D20">
              <w:t>1,6</w:t>
            </w:r>
          </w:p>
        </w:tc>
        <w:tc>
          <w:tcPr>
            <w:tcW w:w="993" w:type="dxa"/>
            <w:shd w:val="clear" w:color="auto" w:fill="auto"/>
            <w:noWrap/>
            <w:vAlign w:val="bottom"/>
            <w:hideMark/>
          </w:tcPr>
          <w:p w14:paraId="3A4AB5E2" w14:textId="77777777" w:rsidR="0092459A" w:rsidRPr="00B45D20" w:rsidRDefault="0092459A" w:rsidP="005B7D13">
            <w:pPr>
              <w:pStyle w:val="Tablebody"/>
              <w:jc w:val="center"/>
            </w:pPr>
            <w:r w:rsidRPr="00B45D20">
              <w:t>2,4</w:t>
            </w:r>
          </w:p>
        </w:tc>
      </w:tr>
      <w:tr w:rsidR="0092459A" w:rsidRPr="00B45D20" w14:paraId="27CB9856" w14:textId="77777777" w:rsidTr="005B7D13">
        <w:trPr>
          <w:trHeight w:val="284"/>
          <w:jc w:val="center"/>
        </w:trPr>
        <w:tc>
          <w:tcPr>
            <w:tcW w:w="2268" w:type="dxa"/>
            <w:vMerge/>
            <w:vAlign w:val="center"/>
            <w:hideMark/>
          </w:tcPr>
          <w:p w14:paraId="62D2F941" w14:textId="77777777" w:rsidR="0092459A" w:rsidRPr="00B45D20" w:rsidRDefault="0092459A" w:rsidP="00E91A53">
            <w:pPr>
              <w:pStyle w:val="Tablebody"/>
              <w:jc w:val="left"/>
            </w:pPr>
          </w:p>
        </w:tc>
        <w:tc>
          <w:tcPr>
            <w:tcW w:w="992" w:type="dxa"/>
            <w:shd w:val="clear" w:color="auto" w:fill="auto"/>
            <w:noWrap/>
            <w:vAlign w:val="bottom"/>
            <w:hideMark/>
          </w:tcPr>
          <w:p w14:paraId="52B11B4A" w14:textId="77777777" w:rsidR="0092459A" w:rsidRPr="00B45D20" w:rsidRDefault="0092459A" w:rsidP="005B7D13">
            <w:pPr>
              <w:pStyle w:val="Tablebody"/>
              <w:jc w:val="center"/>
            </w:pPr>
            <w:r w:rsidRPr="00B45D20">
              <w:t>1,0</w:t>
            </w:r>
          </w:p>
        </w:tc>
        <w:tc>
          <w:tcPr>
            <w:tcW w:w="3686" w:type="dxa"/>
            <w:shd w:val="clear" w:color="auto" w:fill="auto"/>
            <w:noWrap/>
            <w:vAlign w:val="bottom"/>
            <w:hideMark/>
          </w:tcPr>
          <w:p w14:paraId="6F70B634" w14:textId="77777777" w:rsidR="0092459A" w:rsidRPr="00B45D20" w:rsidRDefault="0092459A" w:rsidP="005B7D13">
            <w:pPr>
              <w:pStyle w:val="Tablebody"/>
            </w:pPr>
            <w:r w:rsidRPr="00B45D20">
              <w:t>Confined masonry (general)</w:t>
            </w:r>
          </w:p>
        </w:tc>
        <w:tc>
          <w:tcPr>
            <w:tcW w:w="850" w:type="dxa"/>
            <w:shd w:val="clear" w:color="auto" w:fill="auto"/>
            <w:noWrap/>
            <w:vAlign w:val="bottom"/>
            <w:hideMark/>
          </w:tcPr>
          <w:p w14:paraId="520ADE4D" w14:textId="77777777" w:rsidR="0092459A" w:rsidRPr="00B45D20" w:rsidRDefault="0092459A" w:rsidP="005B7D13">
            <w:pPr>
              <w:pStyle w:val="Tablebody"/>
              <w:jc w:val="center"/>
            </w:pPr>
            <w:r w:rsidRPr="00B45D20">
              <w:t>1,65</w:t>
            </w:r>
          </w:p>
        </w:tc>
        <w:tc>
          <w:tcPr>
            <w:tcW w:w="993" w:type="dxa"/>
            <w:shd w:val="clear" w:color="auto" w:fill="auto"/>
            <w:noWrap/>
            <w:vAlign w:val="bottom"/>
            <w:hideMark/>
          </w:tcPr>
          <w:p w14:paraId="05FF2218" w14:textId="77777777" w:rsidR="0092459A" w:rsidRPr="00B45D20" w:rsidRDefault="0092459A" w:rsidP="005B7D13">
            <w:pPr>
              <w:pStyle w:val="Tablebody"/>
              <w:jc w:val="center"/>
            </w:pPr>
            <w:r w:rsidRPr="00B45D20">
              <w:t>2,5</w:t>
            </w:r>
          </w:p>
        </w:tc>
      </w:tr>
      <w:tr w:rsidR="0092459A" w:rsidRPr="00B45D20" w14:paraId="43BA068E" w14:textId="77777777" w:rsidTr="005B7D13">
        <w:trPr>
          <w:trHeight w:val="284"/>
          <w:jc w:val="center"/>
        </w:trPr>
        <w:tc>
          <w:tcPr>
            <w:tcW w:w="2268" w:type="dxa"/>
            <w:vMerge/>
            <w:vAlign w:val="center"/>
            <w:hideMark/>
          </w:tcPr>
          <w:p w14:paraId="489FD5C3" w14:textId="77777777" w:rsidR="0092459A" w:rsidRPr="00B45D20" w:rsidRDefault="0092459A" w:rsidP="00E91A53">
            <w:pPr>
              <w:pStyle w:val="Tablebody"/>
              <w:jc w:val="left"/>
            </w:pPr>
          </w:p>
        </w:tc>
        <w:tc>
          <w:tcPr>
            <w:tcW w:w="992" w:type="dxa"/>
            <w:shd w:val="clear" w:color="auto" w:fill="auto"/>
            <w:noWrap/>
            <w:vAlign w:val="bottom"/>
            <w:hideMark/>
          </w:tcPr>
          <w:p w14:paraId="36D86E5C" w14:textId="77777777" w:rsidR="0092459A" w:rsidRPr="00B45D20" w:rsidRDefault="0092459A" w:rsidP="005B7D13">
            <w:pPr>
              <w:pStyle w:val="Tablebody"/>
              <w:jc w:val="center"/>
            </w:pPr>
            <w:r w:rsidRPr="00B45D20">
              <w:t>1,0</w:t>
            </w:r>
          </w:p>
        </w:tc>
        <w:tc>
          <w:tcPr>
            <w:tcW w:w="3686" w:type="dxa"/>
            <w:shd w:val="clear" w:color="auto" w:fill="auto"/>
            <w:noWrap/>
            <w:vAlign w:val="bottom"/>
            <w:hideMark/>
          </w:tcPr>
          <w:p w14:paraId="280E9511" w14:textId="77777777" w:rsidR="0092459A" w:rsidRPr="00B45D20" w:rsidRDefault="0092459A" w:rsidP="005B7D13">
            <w:pPr>
              <w:pStyle w:val="Tablebody"/>
            </w:pPr>
            <w:r w:rsidRPr="00B45D20">
              <w:t>Reinforced masonry (general)</w:t>
            </w:r>
          </w:p>
        </w:tc>
        <w:tc>
          <w:tcPr>
            <w:tcW w:w="850" w:type="dxa"/>
            <w:shd w:val="clear" w:color="auto" w:fill="auto"/>
            <w:noWrap/>
            <w:vAlign w:val="bottom"/>
            <w:hideMark/>
          </w:tcPr>
          <w:p w14:paraId="52797841" w14:textId="77777777" w:rsidR="0092459A" w:rsidRPr="00B45D20" w:rsidRDefault="0092459A" w:rsidP="005B7D13">
            <w:pPr>
              <w:pStyle w:val="Tablebody"/>
              <w:jc w:val="center"/>
            </w:pPr>
            <w:r w:rsidRPr="00B45D20">
              <w:t>1,8</w:t>
            </w:r>
          </w:p>
        </w:tc>
        <w:tc>
          <w:tcPr>
            <w:tcW w:w="993" w:type="dxa"/>
            <w:shd w:val="clear" w:color="auto" w:fill="auto"/>
            <w:noWrap/>
            <w:vAlign w:val="bottom"/>
            <w:hideMark/>
          </w:tcPr>
          <w:p w14:paraId="19072F9B" w14:textId="77777777" w:rsidR="0092459A" w:rsidRPr="00B45D20" w:rsidRDefault="0092459A" w:rsidP="005B7D13">
            <w:pPr>
              <w:pStyle w:val="Tablebody"/>
              <w:jc w:val="center"/>
            </w:pPr>
            <w:r w:rsidRPr="00B45D20">
              <w:t>2,7</w:t>
            </w:r>
          </w:p>
        </w:tc>
      </w:tr>
      <w:tr w:rsidR="0092459A" w:rsidRPr="00B45D20" w14:paraId="034B37C6" w14:textId="77777777" w:rsidTr="005B7D13">
        <w:trPr>
          <w:trHeight w:val="294"/>
          <w:jc w:val="center"/>
        </w:trPr>
        <w:tc>
          <w:tcPr>
            <w:tcW w:w="2268" w:type="dxa"/>
            <w:vMerge w:val="restart"/>
            <w:shd w:val="clear" w:color="auto" w:fill="auto"/>
            <w:vAlign w:val="center"/>
            <w:hideMark/>
          </w:tcPr>
          <w:p w14:paraId="529A46BC" w14:textId="77777777" w:rsidR="0092459A" w:rsidRPr="00B45D20" w:rsidRDefault="0092459A" w:rsidP="00E91A53">
            <w:pPr>
              <w:pStyle w:val="Tablebody"/>
              <w:jc w:val="left"/>
            </w:pPr>
            <w:r w:rsidRPr="00B45D20">
              <w:t xml:space="preserve">Buildings with flexible diaphragms </w:t>
            </w:r>
          </w:p>
        </w:tc>
        <w:tc>
          <w:tcPr>
            <w:tcW w:w="992" w:type="dxa"/>
            <w:shd w:val="clear" w:color="auto" w:fill="auto"/>
            <w:noWrap/>
            <w:vAlign w:val="bottom"/>
            <w:hideMark/>
          </w:tcPr>
          <w:p w14:paraId="03986946" w14:textId="77777777" w:rsidR="0092459A" w:rsidRPr="00B45D20" w:rsidRDefault="0092459A" w:rsidP="005B7D13">
            <w:pPr>
              <w:pStyle w:val="Tablebody"/>
              <w:jc w:val="center"/>
            </w:pPr>
            <w:r w:rsidRPr="00B45D20">
              <w:t>1,0</w:t>
            </w:r>
          </w:p>
        </w:tc>
        <w:tc>
          <w:tcPr>
            <w:tcW w:w="3686" w:type="dxa"/>
            <w:shd w:val="clear" w:color="auto" w:fill="auto"/>
            <w:noWrap/>
            <w:vAlign w:val="bottom"/>
            <w:hideMark/>
          </w:tcPr>
          <w:p w14:paraId="090B6725" w14:textId="77777777" w:rsidR="0092459A" w:rsidRPr="00B45D20" w:rsidRDefault="0092459A" w:rsidP="005B7D13">
            <w:pPr>
              <w:pStyle w:val="Tablebody"/>
            </w:pPr>
            <w:r w:rsidRPr="00B45D20">
              <w:t>Confined masonry</w:t>
            </w:r>
          </w:p>
        </w:tc>
        <w:tc>
          <w:tcPr>
            <w:tcW w:w="850" w:type="dxa"/>
            <w:shd w:val="clear" w:color="auto" w:fill="auto"/>
            <w:noWrap/>
            <w:vAlign w:val="bottom"/>
            <w:hideMark/>
          </w:tcPr>
          <w:p w14:paraId="15809936" w14:textId="77777777" w:rsidR="0092459A" w:rsidRPr="00B45D20" w:rsidRDefault="0092459A" w:rsidP="005B7D13">
            <w:pPr>
              <w:pStyle w:val="Tablebody"/>
              <w:jc w:val="center"/>
            </w:pPr>
            <w:r w:rsidRPr="00B45D20">
              <w:t>1,35</w:t>
            </w:r>
          </w:p>
        </w:tc>
        <w:tc>
          <w:tcPr>
            <w:tcW w:w="993" w:type="dxa"/>
            <w:shd w:val="clear" w:color="auto" w:fill="auto"/>
            <w:noWrap/>
            <w:vAlign w:val="bottom"/>
            <w:hideMark/>
          </w:tcPr>
          <w:p w14:paraId="01826AE3" w14:textId="77777777" w:rsidR="0092459A" w:rsidRPr="00B45D20" w:rsidRDefault="0092459A" w:rsidP="005B7D13">
            <w:pPr>
              <w:pStyle w:val="Tablebody"/>
              <w:jc w:val="center"/>
            </w:pPr>
            <w:r w:rsidRPr="00B45D20">
              <w:t>2,0</w:t>
            </w:r>
          </w:p>
        </w:tc>
      </w:tr>
      <w:tr w:rsidR="0092459A" w:rsidRPr="00B45D20" w14:paraId="1BFA2980" w14:textId="77777777" w:rsidTr="005B7D13">
        <w:trPr>
          <w:trHeight w:val="270"/>
          <w:jc w:val="center"/>
        </w:trPr>
        <w:tc>
          <w:tcPr>
            <w:tcW w:w="2268" w:type="dxa"/>
            <w:vMerge/>
            <w:vAlign w:val="center"/>
            <w:hideMark/>
          </w:tcPr>
          <w:p w14:paraId="77A747F9" w14:textId="77777777" w:rsidR="0092459A" w:rsidRPr="00B45D20" w:rsidRDefault="0092459A" w:rsidP="005B7D13">
            <w:pPr>
              <w:pStyle w:val="Tablebody"/>
            </w:pPr>
          </w:p>
        </w:tc>
        <w:tc>
          <w:tcPr>
            <w:tcW w:w="992" w:type="dxa"/>
            <w:shd w:val="clear" w:color="auto" w:fill="auto"/>
            <w:noWrap/>
            <w:vAlign w:val="bottom"/>
            <w:hideMark/>
          </w:tcPr>
          <w:p w14:paraId="678104C4" w14:textId="77777777" w:rsidR="0092459A" w:rsidRPr="00B45D20" w:rsidRDefault="0092459A" w:rsidP="005B7D13">
            <w:pPr>
              <w:pStyle w:val="Tablebody"/>
              <w:jc w:val="center"/>
            </w:pPr>
            <w:r w:rsidRPr="00B45D20">
              <w:t>1,0</w:t>
            </w:r>
          </w:p>
        </w:tc>
        <w:tc>
          <w:tcPr>
            <w:tcW w:w="3686" w:type="dxa"/>
            <w:shd w:val="clear" w:color="auto" w:fill="auto"/>
            <w:noWrap/>
            <w:vAlign w:val="bottom"/>
            <w:hideMark/>
          </w:tcPr>
          <w:p w14:paraId="5BA0B4AF" w14:textId="77777777" w:rsidR="0092459A" w:rsidRPr="00B45D20" w:rsidRDefault="0092459A" w:rsidP="005B7D13">
            <w:pPr>
              <w:pStyle w:val="Tablebody"/>
            </w:pPr>
            <w:r w:rsidRPr="00B45D20">
              <w:t>Reinforced masonry</w:t>
            </w:r>
          </w:p>
        </w:tc>
        <w:tc>
          <w:tcPr>
            <w:tcW w:w="850" w:type="dxa"/>
            <w:shd w:val="clear" w:color="auto" w:fill="auto"/>
            <w:noWrap/>
            <w:vAlign w:val="bottom"/>
            <w:hideMark/>
          </w:tcPr>
          <w:p w14:paraId="3F40837A" w14:textId="77777777" w:rsidR="0092459A" w:rsidRPr="00B45D20" w:rsidRDefault="0092459A" w:rsidP="005B7D13">
            <w:pPr>
              <w:pStyle w:val="Tablebody"/>
              <w:jc w:val="center"/>
            </w:pPr>
            <w:r w:rsidRPr="00B45D20">
              <w:t>1,6</w:t>
            </w:r>
          </w:p>
        </w:tc>
        <w:tc>
          <w:tcPr>
            <w:tcW w:w="993" w:type="dxa"/>
            <w:shd w:val="clear" w:color="auto" w:fill="auto"/>
            <w:noWrap/>
            <w:vAlign w:val="bottom"/>
            <w:hideMark/>
          </w:tcPr>
          <w:p w14:paraId="2900BA5C" w14:textId="77777777" w:rsidR="0092459A" w:rsidRPr="00B45D20" w:rsidRDefault="0092459A" w:rsidP="005B7D13">
            <w:pPr>
              <w:pStyle w:val="Tablebody"/>
              <w:jc w:val="center"/>
            </w:pPr>
            <w:r w:rsidRPr="00B45D20">
              <w:t>2,4</w:t>
            </w:r>
          </w:p>
        </w:tc>
      </w:tr>
      <w:tr w:rsidR="0092459A" w:rsidRPr="00B45D20" w14:paraId="34E43D6E" w14:textId="77777777" w:rsidTr="005B7D13">
        <w:trPr>
          <w:trHeight w:val="270"/>
          <w:jc w:val="center"/>
        </w:trPr>
        <w:tc>
          <w:tcPr>
            <w:tcW w:w="2268" w:type="dxa"/>
            <w:vMerge/>
            <w:vAlign w:val="center"/>
          </w:tcPr>
          <w:p w14:paraId="6716D150" w14:textId="77777777" w:rsidR="0092459A" w:rsidRPr="00B45D20" w:rsidRDefault="0092459A" w:rsidP="005B7D13">
            <w:pPr>
              <w:pStyle w:val="Tablebody"/>
            </w:pPr>
          </w:p>
        </w:tc>
        <w:tc>
          <w:tcPr>
            <w:tcW w:w="992" w:type="dxa"/>
            <w:shd w:val="clear" w:color="auto" w:fill="auto"/>
            <w:noWrap/>
            <w:vAlign w:val="bottom"/>
          </w:tcPr>
          <w:p w14:paraId="7168E4A4" w14:textId="77777777" w:rsidR="0092459A" w:rsidRPr="00B45D20" w:rsidRDefault="0092459A" w:rsidP="005B7D13">
            <w:pPr>
              <w:pStyle w:val="Tablebody"/>
              <w:jc w:val="center"/>
            </w:pPr>
            <w:r w:rsidRPr="00B45D20">
              <w:t>1,0</w:t>
            </w:r>
          </w:p>
        </w:tc>
        <w:tc>
          <w:tcPr>
            <w:tcW w:w="3686" w:type="dxa"/>
            <w:shd w:val="clear" w:color="auto" w:fill="auto"/>
            <w:noWrap/>
            <w:vAlign w:val="bottom"/>
          </w:tcPr>
          <w:p w14:paraId="60186E13" w14:textId="77777777" w:rsidR="0092459A" w:rsidRPr="00B45D20" w:rsidRDefault="0092459A" w:rsidP="005B7D13">
            <w:pPr>
              <w:pStyle w:val="Tablebody"/>
            </w:pPr>
            <w:r w:rsidRPr="00B45D20">
              <w:t xml:space="preserve">Unreinforced masonry </w:t>
            </w:r>
          </w:p>
        </w:tc>
        <w:tc>
          <w:tcPr>
            <w:tcW w:w="850" w:type="dxa"/>
            <w:shd w:val="clear" w:color="auto" w:fill="auto"/>
            <w:noWrap/>
            <w:vAlign w:val="bottom"/>
          </w:tcPr>
          <w:p w14:paraId="2443AA8B" w14:textId="77777777" w:rsidR="0092459A" w:rsidRPr="00B45D20" w:rsidRDefault="0092459A" w:rsidP="005B7D13">
            <w:pPr>
              <w:pStyle w:val="Tablebody"/>
              <w:jc w:val="center"/>
            </w:pPr>
            <w:r w:rsidRPr="00B45D20">
              <w:t>1,0</w:t>
            </w:r>
          </w:p>
        </w:tc>
        <w:tc>
          <w:tcPr>
            <w:tcW w:w="993" w:type="dxa"/>
            <w:shd w:val="clear" w:color="auto" w:fill="auto"/>
            <w:noWrap/>
            <w:vAlign w:val="bottom"/>
          </w:tcPr>
          <w:p w14:paraId="52F24F97" w14:textId="77777777" w:rsidR="0092459A" w:rsidRPr="00B45D20" w:rsidRDefault="0092459A" w:rsidP="005B7D13">
            <w:pPr>
              <w:pStyle w:val="Tablebody"/>
              <w:jc w:val="center"/>
            </w:pPr>
            <w:r w:rsidRPr="00B45D20">
              <w:t>1,5</w:t>
            </w:r>
          </w:p>
        </w:tc>
      </w:tr>
    </w:tbl>
    <w:p w14:paraId="33157C2E" w14:textId="360F34BC" w:rsidR="0092459A" w:rsidRPr="005B7D13" w:rsidRDefault="0092459A" w:rsidP="0092459A">
      <w:pPr>
        <w:pStyle w:val="Notetext"/>
        <w:rPr>
          <w:rFonts w:eastAsia="Cambria"/>
        </w:rPr>
      </w:pPr>
      <w:r w:rsidRPr="00B45D20">
        <w:t>NOTE</w:t>
      </w:r>
      <w:r w:rsidRPr="00B45D20">
        <w:tab/>
        <w:t xml:space="preserve">Hybrid structures are covered </w:t>
      </w:r>
      <w:r w:rsidRPr="005B7D13">
        <w:t>in 4.4.1(4) and (5) and their behaviour factor in 5.3.2(4).</w:t>
      </w:r>
    </w:p>
    <w:p w14:paraId="5A49B4AB" w14:textId="24AA8081" w:rsidR="0092459A" w:rsidRPr="00E05E29" w:rsidRDefault="0092459A" w:rsidP="00724E4E">
      <w:pPr>
        <w:pStyle w:val="Clause"/>
      </w:pPr>
      <w:r w:rsidRPr="00D1484A">
        <w:t>In Table 1</w:t>
      </w:r>
      <w:r w:rsidRPr="007E6F67">
        <w:t>4.1, walls in one direction should be considered to have various length if the longest length of each of 75</w:t>
      </w:r>
      <w:r w:rsidR="00D4445A">
        <w:t> </w:t>
      </w:r>
      <w:r w:rsidRPr="007E6F67">
        <w:t>% of the walls, or each of the percentage just below 75</w:t>
      </w:r>
      <w:r w:rsidR="00D4445A">
        <w:t> </w:t>
      </w:r>
      <w:r w:rsidRPr="007E6F67">
        <w:t xml:space="preserve">%, </w:t>
      </w:r>
      <w:r w:rsidRPr="00FD17CF">
        <w:t>is smaller than 0,8 times the length of the longest of all walls in that direction.</w:t>
      </w:r>
    </w:p>
    <w:p w14:paraId="58A4FAA8" w14:textId="39FE24C7" w:rsidR="0092459A" w:rsidRPr="002144A0" w:rsidRDefault="0092459A" w:rsidP="00724E4E">
      <w:pPr>
        <w:pStyle w:val="Clause"/>
      </w:pPr>
      <w:r>
        <w:t>I</w:t>
      </w:r>
      <w:r w:rsidRPr="00196951">
        <w:t>n Table</w:t>
      </w:r>
      <w:r w:rsidRPr="002144A0">
        <w:t xml:space="preserve"> 14.1, a coupling effect by floors, ring beams and/or reinforced or confined spandrels may be considered significant if a) and b) are satisfied:</w:t>
      </w:r>
    </w:p>
    <w:p w14:paraId="4C30E682" w14:textId="77777777" w:rsidR="0092459A" w:rsidRPr="004F25D7" w:rsidRDefault="0092459A" w:rsidP="0080187E">
      <w:pPr>
        <w:pStyle w:val="List2"/>
        <w:numPr>
          <w:ilvl w:val="0"/>
          <w:numId w:val="210"/>
        </w:numPr>
        <w:spacing w:before="0" w:after="240" w:line="230" w:lineRule="atLeast"/>
        <w:contextualSpacing w:val="0"/>
      </w:pPr>
      <w:r w:rsidRPr="002144A0">
        <w:t>the building is more than one storey high;</w:t>
      </w:r>
    </w:p>
    <w:p w14:paraId="0B07DD26" w14:textId="52EC5507" w:rsidR="0092459A" w:rsidRPr="007754C9" w:rsidRDefault="0092459A" w:rsidP="0080187E">
      <w:pPr>
        <w:pStyle w:val="List2"/>
        <w:numPr>
          <w:ilvl w:val="0"/>
          <w:numId w:val="210"/>
        </w:numPr>
        <w:tabs>
          <w:tab w:val="num" w:pos="0"/>
        </w:tabs>
        <w:spacing w:before="0" w:after="240" w:line="230" w:lineRule="atLeast"/>
        <w:contextualSpacing w:val="0"/>
      </w:pPr>
      <w:r w:rsidRPr="004F25D7">
        <w:t>the stiffness of the building is at least 1</w:t>
      </w:r>
      <w:r w:rsidRPr="00C52095">
        <w:t>,5 times greater when the coupling is considered than when it is not considered.</w:t>
      </w:r>
    </w:p>
    <w:p w14:paraId="47BBBF10" w14:textId="02F25745" w:rsidR="0092459A" w:rsidRPr="00B45D20" w:rsidRDefault="0092459A" w:rsidP="00724E4E">
      <w:pPr>
        <w:pStyle w:val="Clause"/>
      </w:pPr>
      <w:r w:rsidRPr="007754C9">
        <w:lastRenderedPageBreak/>
        <w:t>The axia</w:t>
      </w:r>
      <w:r w:rsidRPr="00B45D20">
        <w:t>l load ratio</w:t>
      </w:r>
      <w:r w:rsidR="007F5A1E">
        <w:t xml:space="preserve"> </w:t>
      </w:r>
      <w:r w:rsidR="007F5A1E" w:rsidRPr="00B45D20">
        <w:rPr>
          <w:rFonts w:ascii="Symbol" w:hAnsi="Symbol"/>
          <w:i/>
          <w:iCs/>
        </w:rPr>
        <w:t></w:t>
      </w:r>
      <w:r w:rsidR="007F5A1E" w:rsidRPr="00B45D20">
        <w:rPr>
          <w:vertAlign w:val="subscript"/>
        </w:rPr>
        <w:t>G,k,</w:t>
      </w:r>
      <w:r w:rsidR="007F5A1E">
        <w:rPr>
          <w:vertAlign w:val="subscript"/>
        </w:rPr>
        <w:t>i</w:t>
      </w:r>
      <w:r w:rsidRPr="00B45D20">
        <w:t xml:space="preserve"> should not be greater than 0,4 in any primary wall</w:t>
      </w:r>
      <w:r w:rsidR="007F5A1E">
        <w:t xml:space="preserve"> </w:t>
      </w:r>
      <w:r w:rsidR="007F5A1E">
        <w:rPr>
          <w:i/>
          <w:iCs/>
        </w:rPr>
        <w:t>i</w:t>
      </w:r>
      <w:r w:rsidRPr="00B45D20">
        <w:t xml:space="preserve"> and the average axial load ratio of primary walls in each horizontal direction of any storey, </w:t>
      </w:r>
      <w:r w:rsidRPr="00B45D20">
        <w:rPr>
          <w:rFonts w:ascii="Symbol" w:hAnsi="Symbol"/>
          <w:i/>
          <w:iCs/>
        </w:rPr>
        <w:t></w:t>
      </w:r>
      <w:r w:rsidRPr="00B45D20">
        <w:rPr>
          <w:vertAlign w:val="subscript"/>
        </w:rPr>
        <w:t>G,k,av</w:t>
      </w:r>
      <w:r w:rsidRPr="00B45D20">
        <w:t>, should not be greater than 0,2, where:</w:t>
      </w:r>
    </w:p>
    <w:tbl>
      <w:tblPr>
        <w:tblW w:w="0" w:type="auto"/>
        <w:tblInd w:w="284" w:type="dxa"/>
        <w:tblLook w:val="04A0" w:firstRow="1" w:lastRow="0" w:firstColumn="1" w:lastColumn="0" w:noHBand="0" w:noVBand="1"/>
      </w:tblPr>
      <w:tblGrid>
        <w:gridCol w:w="2356"/>
        <w:gridCol w:w="6999"/>
      </w:tblGrid>
      <w:tr w:rsidR="005B7D13" w:rsidRPr="000F2AFF" w14:paraId="20879935" w14:textId="77777777" w:rsidTr="00E91A53">
        <w:tc>
          <w:tcPr>
            <w:tcW w:w="2356" w:type="dxa"/>
          </w:tcPr>
          <w:p w14:paraId="7A22AE14" w14:textId="0C2D7854" w:rsidR="005B7D13" w:rsidRPr="00B272E6" w:rsidRDefault="005B7D13" w:rsidP="002061E5">
            <w:pPr>
              <w:spacing w:after="60"/>
              <w:jc w:val="left"/>
              <w:rPr>
                <w:rFonts w:ascii="Symbol" w:hAnsi="Symbol"/>
                <w:lang w:val="it-IT"/>
              </w:rPr>
            </w:pPr>
            <w:r w:rsidRPr="00B45D20">
              <w:rPr>
                <w:rFonts w:ascii="Symbol" w:hAnsi="Symbol"/>
              </w:rPr>
              <w:t></w:t>
            </w:r>
            <w:r w:rsidRPr="00B272E6">
              <w:rPr>
                <w:vertAlign w:val="subscript"/>
                <w:lang w:val="it-IT"/>
              </w:rPr>
              <w:t>G,k,i </w:t>
            </w:r>
            <w:r w:rsidRPr="00B272E6">
              <w:rPr>
                <w:lang w:val="it-IT"/>
              </w:rPr>
              <w:t>= </w:t>
            </w:r>
            <w:r w:rsidRPr="00B272E6">
              <w:rPr>
                <w:i/>
                <w:iCs/>
                <w:lang w:val="it-IT"/>
              </w:rPr>
              <w:t>N</w:t>
            </w:r>
            <w:r w:rsidRPr="00B272E6">
              <w:rPr>
                <w:vertAlign w:val="subscript"/>
                <w:lang w:val="it-IT"/>
              </w:rPr>
              <w:t>Ed,G</w:t>
            </w:r>
            <w:r w:rsidRPr="00B272E6">
              <w:rPr>
                <w:i/>
                <w:iCs/>
                <w:vertAlign w:val="subscript"/>
                <w:lang w:val="it-IT"/>
              </w:rPr>
              <w:t>,</w:t>
            </w:r>
            <w:r w:rsidRPr="00B272E6">
              <w:rPr>
                <w:vertAlign w:val="subscript"/>
                <w:lang w:val="it-IT"/>
              </w:rPr>
              <w:t>i</w:t>
            </w:r>
            <w:r w:rsidRPr="00B272E6">
              <w:rPr>
                <w:lang w:val="it-IT"/>
              </w:rPr>
              <w:t>/</w:t>
            </w:r>
            <w:r w:rsidRPr="00B272E6">
              <w:rPr>
                <w:i/>
                <w:iCs/>
                <w:lang w:val="it-IT"/>
              </w:rPr>
              <w:t>A</w:t>
            </w:r>
            <w:r w:rsidRPr="00B272E6">
              <w:rPr>
                <w:iCs/>
                <w:vertAlign w:val="subscript"/>
                <w:lang w:val="it-IT"/>
              </w:rPr>
              <w:t xml:space="preserve">p,i </w:t>
            </w:r>
            <w:r w:rsidRPr="00B272E6">
              <w:rPr>
                <w:i/>
                <w:iCs/>
                <w:lang w:val="it-IT"/>
              </w:rPr>
              <w:t>f</w:t>
            </w:r>
            <w:r w:rsidRPr="00B272E6">
              <w:rPr>
                <w:iCs/>
                <w:vertAlign w:val="subscript"/>
                <w:lang w:val="it-IT"/>
              </w:rPr>
              <w:t>ki</w:t>
            </w:r>
          </w:p>
        </w:tc>
        <w:tc>
          <w:tcPr>
            <w:tcW w:w="6999" w:type="dxa"/>
          </w:tcPr>
          <w:p w14:paraId="1F7D2F2D" w14:textId="58667E22" w:rsidR="005B7D13" w:rsidRPr="00B45D20" w:rsidRDefault="005B7D13" w:rsidP="0092459A">
            <w:pPr>
              <w:pStyle w:val="Listofsymbols"/>
            </w:pPr>
            <w:r>
              <w:t xml:space="preserve">is the </w:t>
            </w:r>
            <w:r w:rsidRPr="007754C9">
              <w:t>axia</w:t>
            </w:r>
            <w:r w:rsidRPr="00B45D20">
              <w:t>l load ratio</w:t>
            </w:r>
            <w:r>
              <w:t xml:space="preserve"> in the </w:t>
            </w:r>
            <w:r w:rsidRPr="00B45D20">
              <w:t xml:space="preserve">primary wall </w:t>
            </w:r>
            <w:r w:rsidRPr="00B45D20">
              <w:rPr>
                <w:i/>
              </w:rPr>
              <w:t>i</w:t>
            </w:r>
          </w:p>
        </w:tc>
      </w:tr>
      <w:tr w:rsidR="0092459A" w:rsidRPr="000F2AFF" w14:paraId="270FCE26" w14:textId="77777777" w:rsidTr="00E91A53">
        <w:tc>
          <w:tcPr>
            <w:tcW w:w="2356" w:type="dxa"/>
          </w:tcPr>
          <w:p w14:paraId="5FD87C8F" w14:textId="235F2415" w:rsidR="0092459A" w:rsidRPr="000F2AFF" w:rsidRDefault="0092459A" w:rsidP="002061E5">
            <w:pPr>
              <w:spacing w:after="60"/>
              <w:jc w:val="left"/>
              <w:rPr>
                <w:rFonts w:eastAsia="Times New Roman" w:cs="Cambria"/>
                <w:color w:val="000000" w:themeColor="text1"/>
                <w:szCs w:val="20"/>
                <w:lang w:eastAsia="fr-FR"/>
              </w:rPr>
            </w:pPr>
            <w:r w:rsidRPr="00B45D20">
              <w:rPr>
                <w:rFonts w:ascii="Symbol" w:hAnsi="Symbol"/>
              </w:rPr>
              <w:t></w:t>
            </w:r>
            <w:r w:rsidRPr="00B45D20">
              <w:rPr>
                <w:vertAlign w:val="subscript"/>
              </w:rPr>
              <w:t>G,k,av </w:t>
            </w:r>
            <w:r w:rsidRPr="00B45D20">
              <w:t>= </w:t>
            </w:r>
            <w:r w:rsidRPr="00B45D20">
              <w:rPr>
                <w:rFonts w:ascii="Symbol" w:hAnsi="Symbol"/>
              </w:rPr>
              <w:t></w:t>
            </w:r>
            <w:r w:rsidRPr="00B45D20">
              <w:rPr>
                <w:i/>
                <w:iCs/>
              </w:rPr>
              <w:t>N</w:t>
            </w:r>
            <w:r w:rsidRPr="00B45D20">
              <w:rPr>
                <w:vertAlign w:val="subscript"/>
              </w:rPr>
              <w:t>Ed,G</w:t>
            </w:r>
            <w:r w:rsidRPr="00B45D20">
              <w:rPr>
                <w:i/>
                <w:iCs/>
                <w:vertAlign w:val="subscript"/>
              </w:rPr>
              <w:t>,</w:t>
            </w:r>
            <w:r w:rsidRPr="00B45D20">
              <w:rPr>
                <w:vertAlign w:val="subscript"/>
              </w:rPr>
              <w:t>i</w:t>
            </w:r>
            <w:r w:rsidRPr="00B45D20">
              <w:t>/</w:t>
            </w:r>
            <w:r w:rsidRPr="00B45D20">
              <w:rPr>
                <w:rFonts w:ascii="Symbol" w:hAnsi="Symbol"/>
              </w:rPr>
              <w:t></w:t>
            </w:r>
            <w:r w:rsidRPr="00B45D20">
              <w:t>(</w:t>
            </w:r>
            <w:r w:rsidRPr="00B45D20">
              <w:rPr>
                <w:i/>
                <w:iCs/>
              </w:rPr>
              <w:t>A</w:t>
            </w:r>
            <w:r w:rsidRPr="00B45D20">
              <w:rPr>
                <w:iCs/>
                <w:vertAlign w:val="subscript"/>
              </w:rPr>
              <w:t>p</w:t>
            </w:r>
            <w:r w:rsidRPr="00B45D20">
              <w:rPr>
                <w:i/>
                <w:iCs/>
              </w:rPr>
              <w:t>f</w:t>
            </w:r>
            <w:r w:rsidRPr="00B45D20">
              <w:rPr>
                <w:iCs/>
                <w:vertAlign w:val="subscript"/>
              </w:rPr>
              <w:t>ki</w:t>
            </w:r>
            <w:r w:rsidRPr="00B45D20">
              <w:t>)</w:t>
            </w:r>
          </w:p>
        </w:tc>
        <w:tc>
          <w:tcPr>
            <w:tcW w:w="6999" w:type="dxa"/>
          </w:tcPr>
          <w:p w14:paraId="0F2F5D02" w14:textId="05594DE4" w:rsidR="0092459A" w:rsidRPr="0092459A" w:rsidRDefault="0092459A" w:rsidP="0092459A">
            <w:pPr>
              <w:pStyle w:val="Listofsymbols"/>
            </w:pPr>
            <w:r w:rsidRPr="00B45D20">
              <w:t>is the average axial load ratio;</w:t>
            </w:r>
          </w:p>
        </w:tc>
      </w:tr>
      <w:tr w:rsidR="0092459A" w:rsidRPr="000F2AFF" w14:paraId="0E357700" w14:textId="77777777" w:rsidTr="00E91A53">
        <w:tc>
          <w:tcPr>
            <w:tcW w:w="2356" w:type="dxa"/>
          </w:tcPr>
          <w:p w14:paraId="24645907" w14:textId="4D25C9AB" w:rsidR="0092459A" w:rsidRPr="000F2AFF" w:rsidRDefault="0092459A" w:rsidP="002061E5">
            <w:pPr>
              <w:spacing w:after="60"/>
              <w:jc w:val="left"/>
              <w:rPr>
                <w:rFonts w:eastAsia="Times New Roman" w:cs="Cambria"/>
                <w:color w:val="000000" w:themeColor="text1"/>
                <w:szCs w:val="20"/>
                <w:lang w:eastAsia="fr-FR"/>
              </w:rPr>
            </w:pPr>
            <w:r w:rsidRPr="00B45D20">
              <w:rPr>
                <w:i/>
              </w:rPr>
              <w:t>i</w:t>
            </w:r>
          </w:p>
        </w:tc>
        <w:tc>
          <w:tcPr>
            <w:tcW w:w="6999" w:type="dxa"/>
          </w:tcPr>
          <w:p w14:paraId="38B8377D" w14:textId="486DDD98" w:rsidR="0092459A" w:rsidRPr="00DF3AF1" w:rsidRDefault="0092459A" w:rsidP="002061E5">
            <w:pPr>
              <w:spacing w:after="60"/>
              <w:rPr>
                <w:rFonts w:eastAsia="Times New Roman" w:cs="Cambria"/>
                <w:szCs w:val="20"/>
                <w:lang w:eastAsia="fr-FR"/>
              </w:rPr>
            </w:pPr>
            <w:r w:rsidRPr="00B45D20">
              <w:t xml:space="preserve">refers to a primary wall </w:t>
            </w:r>
            <w:r w:rsidRPr="00B45D20">
              <w:rPr>
                <w:i/>
              </w:rPr>
              <w:t>i</w:t>
            </w:r>
            <w:r w:rsidRPr="00B45D20">
              <w:t xml:space="preserve"> in the considered direction;</w:t>
            </w:r>
          </w:p>
        </w:tc>
      </w:tr>
      <w:tr w:rsidR="0092459A" w:rsidRPr="000F2AFF" w14:paraId="03357886" w14:textId="77777777" w:rsidTr="00E91A53">
        <w:tc>
          <w:tcPr>
            <w:tcW w:w="2356" w:type="dxa"/>
          </w:tcPr>
          <w:p w14:paraId="34230481" w14:textId="4DDC2DC4" w:rsidR="0092459A" w:rsidRPr="000F2AFF" w:rsidRDefault="0092459A" w:rsidP="002061E5">
            <w:pPr>
              <w:spacing w:after="60"/>
              <w:jc w:val="left"/>
              <w:rPr>
                <w:rFonts w:eastAsia="Times New Roman" w:cs="Cambria"/>
                <w:color w:val="000000" w:themeColor="text1"/>
                <w:szCs w:val="20"/>
                <w:lang w:eastAsia="fr-FR"/>
              </w:rPr>
            </w:pPr>
            <w:r w:rsidRPr="00B45D20">
              <w:rPr>
                <w:i/>
                <w:iCs/>
              </w:rPr>
              <w:t>N</w:t>
            </w:r>
            <w:r w:rsidRPr="00B45D20">
              <w:rPr>
                <w:iCs/>
                <w:vertAlign w:val="subscript"/>
              </w:rPr>
              <w:t>Ed,G,i</w:t>
            </w:r>
          </w:p>
        </w:tc>
        <w:tc>
          <w:tcPr>
            <w:tcW w:w="6999" w:type="dxa"/>
          </w:tcPr>
          <w:p w14:paraId="3E70A9F9" w14:textId="390F532D" w:rsidR="0092459A" w:rsidRPr="00464B4C" w:rsidRDefault="0092459A" w:rsidP="002061E5">
            <w:pPr>
              <w:spacing w:after="60"/>
              <w:rPr>
                <w:rFonts w:eastAsia="Times New Roman" w:cs="Cambria"/>
                <w:color w:val="000000" w:themeColor="text1"/>
                <w:szCs w:val="20"/>
                <w:lang w:eastAsia="fr-FR"/>
              </w:rPr>
            </w:pPr>
            <w:r w:rsidRPr="00B45D20">
              <w:t xml:space="preserve">is the axial load in the considered wall </w:t>
            </w:r>
            <w:r w:rsidR="006F0CD9">
              <w:rPr>
                <w:i/>
                <w:iCs/>
              </w:rPr>
              <w:t>i</w:t>
            </w:r>
            <w:r w:rsidR="006F0CD9">
              <w:t xml:space="preserve"> </w:t>
            </w:r>
            <w:r w:rsidRPr="00B45D20">
              <w:t xml:space="preserve">due to non-seismic actions in the seismic </w:t>
            </w:r>
            <w:r w:rsidR="006447BF">
              <w:t xml:space="preserve">design </w:t>
            </w:r>
            <w:r w:rsidRPr="00B45D20">
              <w:t>situation;</w:t>
            </w:r>
          </w:p>
        </w:tc>
      </w:tr>
      <w:tr w:rsidR="0092459A" w:rsidRPr="000F2AFF" w14:paraId="7F314171" w14:textId="77777777" w:rsidTr="00E91A53">
        <w:tc>
          <w:tcPr>
            <w:tcW w:w="2356" w:type="dxa"/>
          </w:tcPr>
          <w:p w14:paraId="355D4F99" w14:textId="7024F597" w:rsidR="0092459A" w:rsidRPr="00B45D20" w:rsidRDefault="009E2DA7" w:rsidP="002061E5">
            <w:pPr>
              <w:spacing w:after="60"/>
              <w:jc w:val="left"/>
              <w:rPr>
                <w:i/>
                <w:iCs/>
              </w:rPr>
            </w:pPr>
            <w:r w:rsidRPr="00B45D20">
              <w:rPr>
                <w:i/>
                <w:iCs/>
              </w:rPr>
              <w:t>A</w:t>
            </w:r>
            <w:r w:rsidRPr="00B45D20">
              <w:rPr>
                <w:iCs/>
                <w:vertAlign w:val="subscript"/>
              </w:rPr>
              <w:t>p</w:t>
            </w:r>
            <w:r w:rsidR="006F50D2">
              <w:rPr>
                <w:iCs/>
                <w:vertAlign w:val="subscript"/>
              </w:rPr>
              <w:t>,i</w:t>
            </w:r>
          </w:p>
        </w:tc>
        <w:tc>
          <w:tcPr>
            <w:tcW w:w="6999" w:type="dxa"/>
          </w:tcPr>
          <w:p w14:paraId="57C36CC9" w14:textId="05C47B78" w:rsidR="0092459A" w:rsidRPr="005B7D13" w:rsidRDefault="009E2DA7" w:rsidP="002061E5">
            <w:pPr>
              <w:spacing w:after="60"/>
              <w:rPr>
                <w:lang w:val="en-US"/>
              </w:rPr>
            </w:pPr>
            <w:r w:rsidRPr="00B45D20">
              <w:t>is the area of the considered primary wall</w:t>
            </w:r>
            <w:r w:rsidR="005B7D13">
              <w:t xml:space="preserve">, </w:t>
            </w:r>
            <w:r w:rsidR="006447BF" w:rsidRPr="00B45D20">
              <w:t xml:space="preserve">calculated as </w:t>
            </w:r>
            <w:r w:rsidR="006447BF" w:rsidRPr="005E5FBD">
              <w:rPr>
                <w:i/>
                <w:iCs/>
                <w:lang w:val="en-US"/>
              </w:rPr>
              <w:t>A</w:t>
            </w:r>
            <w:r w:rsidR="006447BF" w:rsidRPr="005E5FBD">
              <w:rPr>
                <w:vertAlign w:val="subscript"/>
                <w:lang w:val="en-US"/>
              </w:rPr>
              <w:t>p</w:t>
            </w:r>
            <w:r w:rsidR="006447BF">
              <w:rPr>
                <w:vertAlign w:val="subscript"/>
                <w:lang w:val="en-US"/>
              </w:rPr>
              <w:t>,i</w:t>
            </w:r>
            <w:r w:rsidR="006447BF" w:rsidRPr="005E5FBD">
              <w:rPr>
                <w:lang w:val="en-US"/>
              </w:rPr>
              <w:t xml:space="preserve"> = </w:t>
            </w:r>
            <w:r w:rsidR="006447BF" w:rsidRPr="005E5FBD">
              <w:rPr>
                <w:i/>
                <w:iCs/>
                <w:lang w:val="en-US"/>
              </w:rPr>
              <w:t>l</w:t>
            </w:r>
            <w:r w:rsidR="006447BF" w:rsidRPr="005E5FBD">
              <w:rPr>
                <w:vertAlign w:val="subscript"/>
                <w:lang w:val="en-US"/>
              </w:rPr>
              <w:t>mp</w:t>
            </w:r>
            <w:r w:rsidR="006447BF">
              <w:rPr>
                <w:vertAlign w:val="subscript"/>
                <w:lang w:val="en-US"/>
              </w:rPr>
              <w:t>,i</w:t>
            </w:r>
            <w:r w:rsidR="006447BF" w:rsidRPr="005E5FBD">
              <w:rPr>
                <w:lang w:val="en-US"/>
              </w:rPr>
              <w:t xml:space="preserve"> x </w:t>
            </w:r>
            <w:r w:rsidR="006447BF" w:rsidRPr="005E5FBD">
              <w:rPr>
                <w:i/>
                <w:iCs/>
                <w:lang w:val="en-US"/>
              </w:rPr>
              <w:t>t</w:t>
            </w:r>
            <w:r w:rsidR="006447BF" w:rsidRPr="005E5FBD">
              <w:rPr>
                <w:vertAlign w:val="subscript"/>
                <w:lang w:val="en-US"/>
              </w:rPr>
              <w:t>ef</w:t>
            </w:r>
            <w:r w:rsidR="006447BF">
              <w:rPr>
                <w:vertAlign w:val="subscript"/>
                <w:lang w:val="en-US"/>
              </w:rPr>
              <w:t>,</w:t>
            </w:r>
            <w:r w:rsidR="005B7D13">
              <w:rPr>
                <w:vertAlign w:val="subscript"/>
                <w:lang w:val="en-US"/>
              </w:rPr>
              <w:t>I</w:t>
            </w:r>
            <w:r w:rsidR="005B7D13">
              <w:rPr>
                <w:lang w:val="en-US"/>
              </w:rPr>
              <w:t>;</w:t>
            </w:r>
          </w:p>
        </w:tc>
      </w:tr>
      <w:tr w:rsidR="009E2DA7" w:rsidRPr="000F2AFF" w14:paraId="3661377F" w14:textId="77777777" w:rsidTr="00E91A53">
        <w:tc>
          <w:tcPr>
            <w:tcW w:w="2356" w:type="dxa"/>
          </w:tcPr>
          <w:p w14:paraId="32503010" w14:textId="505CAB71" w:rsidR="009E2DA7" w:rsidRPr="00B45D20" w:rsidRDefault="009E2DA7" w:rsidP="002061E5">
            <w:pPr>
              <w:spacing w:after="60"/>
              <w:jc w:val="left"/>
              <w:rPr>
                <w:i/>
                <w:iCs/>
              </w:rPr>
            </w:pPr>
            <w:r w:rsidRPr="00B45D20">
              <w:rPr>
                <w:i/>
                <w:iCs/>
              </w:rPr>
              <w:t>f</w:t>
            </w:r>
            <w:r w:rsidRPr="00B45D20">
              <w:rPr>
                <w:iCs/>
                <w:vertAlign w:val="subscript"/>
              </w:rPr>
              <w:t>ki</w:t>
            </w:r>
          </w:p>
        </w:tc>
        <w:tc>
          <w:tcPr>
            <w:tcW w:w="6999" w:type="dxa"/>
          </w:tcPr>
          <w:p w14:paraId="4950A89C" w14:textId="5E9EA612" w:rsidR="009E2DA7" w:rsidRPr="00B45D20" w:rsidRDefault="009E2DA7" w:rsidP="002061E5">
            <w:pPr>
              <w:spacing w:after="60"/>
            </w:pPr>
            <w:r w:rsidRPr="00B45D20">
              <w:t>is the characteristic compressive strength of the considered primary wall</w:t>
            </w:r>
            <w:r w:rsidR="005B7D13">
              <w:t>;</w:t>
            </w:r>
          </w:p>
        </w:tc>
      </w:tr>
      <w:tr w:rsidR="005B7D13" w:rsidRPr="000F2AFF" w14:paraId="0A15DCF3" w14:textId="77777777" w:rsidTr="00E91A53">
        <w:tc>
          <w:tcPr>
            <w:tcW w:w="2356" w:type="dxa"/>
          </w:tcPr>
          <w:p w14:paraId="47664533" w14:textId="4E473560" w:rsidR="005B7D13" w:rsidRPr="00B45D20" w:rsidRDefault="005B7D13" w:rsidP="002061E5">
            <w:pPr>
              <w:spacing w:after="60"/>
              <w:jc w:val="left"/>
              <w:rPr>
                <w:i/>
                <w:iCs/>
              </w:rPr>
            </w:pPr>
            <w:r w:rsidRPr="006447BF">
              <w:rPr>
                <w:i/>
                <w:iCs/>
                <w:lang w:val="fr-BE"/>
              </w:rPr>
              <w:t>t</w:t>
            </w:r>
            <w:r w:rsidRPr="006447BF">
              <w:rPr>
                <w:i/>
                <w:iCs/>
                <w:vertAlign w:val="subscript"/>
                <w:lang w:val="fr-BE"/>
              </w:rPr>
              <w:t>ef</w:t>
            </w:r>
            <w:r>
              <w:rPr>
                <w:i/>
                <w:iCs/>
                <w:vertAlign w:val="subscript"/>
                <w:lang w:val="fr-BE"/>
              </w:rPr>
              <w:t>,i</w:t>
            </w:r>
          </w:p>
        </w:tc>
        <w:tc>
          <w:tcPr>
            <w:tcW w:w="6999" w:type="dxa"/>
          </w:tcPr>
          <w:p w14:paraId="3979A0AD" w14:textId="4890603F" w:rsidR="005B7D13" w:rsidRPr="00B45D20" w:rsidRDefault="005B7D13" w:rsidP="002061E5">
            <w:pPr>
              <w:spacing w:after="60"/>
            </w:pPr>
            <w:r w:rsidRPr="006447BF">
              <w:t xml:space="preserve">is </w:t>
            </w:r>
            <w:r w:rsidRPr="005B7D13">
              <w:t xml:space="preserve">the effective thickness of the wall or pier </w:t>
            </w:r>
            <w:r w:rsidRPr="005B7D13">
              <w:rPr>
                <w:i/>
                <w:iCs/>
              </w:rPr>
              <w:t>i</w:t>
            </w:r>
            <w:r w:rsidRPr="005B7D13">
              <w:t xml:space="preserve"> as given in EN 1996</w:t>
            </w:r>
            <w:r w:rsidR="00E91A53">
              <w:noBreakHyphen/>
            </w:r>
            <w:r w:rsidRPr="005B7D13">
              <w:t>1</w:t>
            </w:r>
            <w:r w:rsidR="00E91A53">
              <w:noBreakHyphen/>
            </w:r>
            <w:r w:rsidRPr="005B7D13">
              <w:t xml:space="preserve">1:2022, 7.5.1.4. Unless there are transverse stiffening piers, </w:t>
            </w:r>
            <w:r w:rsidRPr="005B7D13">
              <w:rPr>
                <w:i/>
                <w:iCs/>
              </w:rPr>
              <w:t>t</w:t>
            </w:r>
            <w:r w:rsidRPr="005B7D13">
              <w:rPr>
                <w:vertAlign w:val="subscript"/>
              </w:rPr>
              <w:t>ef,i</w:t>
            </w:r>
            <w:r w:rsidRPr="005B7D13">
              <w:t xml:space="preserve"> is equal to the wall thickness</w:t>
            </w:r>
            <w:r w:rsidRPr="006447BF">
              <w:t xml:space="preserve"> </w:t>
            </w:r>
            <w:r w:rsidRPr="006447BF">
              <w:rPr>
                <w:i/>
                <w:iCs/>
              </w:rPr>
              <w:t>t</w:t>
            </w:r>
            <w:r>
              <w:rPr>
                <w:vertAlign w:val="subscript"/>
              </w:rPr>
              <w:t>i</w:t>
            </w:r>
            <w:r>
              <w:t>;</w:t>
            </w:r>
          </w:p>
        </w:tc>
      </w:tr>
      <w:tr w:rsidR="005B7D13" w:rsidRPr="000F2AFF" w14:paraId="00C38BDA" w14:textId="77777777" w:rsidTr="00E91A53">
        <w:tc>
          <w:tcPr>
            <w:tcW w:w="2356" w:type="dxa"/>
          </w:tcPr>
          <w:p w14:paraId="5B2382AD" w14:textId="07FDCC20" w:rsidR="005B7D13" w:rsidRPr="00B45D20" w:rsidRDefault="005B7D13" w:rsidP="002061E5">
            <w:pPr>
              <w:spacing w:after="60"/>
              <w:jc w:val="left"/>
              <w:rPr>
                <w:i/>
                <w:iCs/>
              </w:rPr>
            </w:pPr>
            <w:r w:rsidRPr="005E5FBD">
              <w:rPr>
                <w:i/>
                <w:iCs/>
                <w:lang w:val="en-US"/>
              </w:rPr>
              <w:t>l</w:t>
            </w:r>
            <w:r w:rsidRPr="005E5FBD">
              <w:rPr>
                <w:vertAlign w:val="subscript"/>
                <w:lang w:val="en-US"/>
              </w:rPr>
              <w:t>mp</w:t>
            </w:r>
            <w:r>
              <w:rPr>
                <w:vertAlign w:val="subscript"/>
                <w:lang w:val="en-US"/>
              </w:rPr>
              <w:t>,i</w:t>
            </w:r>
          </w:p>
        </w:tc>
        <w:tc>
          <w:tcPr>
            <w:tcW w:w="6999" w:type="dxa"/>
          </w:tcPr>
          <w:p w14:paraId="7C591690" w14:textId="67302193" w:rsidR="005B7D13" w:rsidRPr="00B45D20" w:rsidRDefault="005B7D13" w:rsidP="002061E5">
            <w:pPr>
              <w:spacing w:after="60"/>
            </w:pPr>
            <w:r>
              <w:t xml:space="preserve">is </w:t>
            </w:r>
            <w:r w:rsidRPr="00422F5E">
              <w:t>the length of the pier that the wall may contain</w:t>
            </w:r>
            <w:r>
              <w:t>.</w:t>
            </w:r>
          </w:p>
        </w:tc>
      </w:tr>
    </w:tbl>
    <w:p w14:paraId="4851AFE0" w14:textId="66DE9076" w:rsidR="0092459A" w:rsidRPr="00B45D20" w:rsidRDefault="0092459A" w:rsidP="00724E4E">
      <w:pPr>
        <w:pStyle w:val="Clause"/>
      </w:pPr>
      <w:r w:rsidRPr="00B45D20">
        <w:t xml:space="preserve">If, in a given direction of a storey in which inelastic deformations are expected, the wall axial load ratio </w:t>
      </w:r>
      <w:r w:rsidRPr="00B45D20">
        <w:rPr>
          <w:i/>
          <w:iCs/>
        </w:rPr>
        <w:t>ν</w:t>
      </w:r>
      <w:r w:rsidRPr="00B45D20">
        <w:rPr>
          <w:vertAlign w:val="subscript"/>
        </w:rPr>
        <w:t>G,k</w:t>
      </w:r>
      <w:r w:rsidR="006F50D2">
        <w:rPr>
          <w:vertAlign w:val="subscript"/>
        </w:rPr>
        <w:t>,i</w:t>
      </w:r>
      <w:r w:rsidRPr="00B45D20">
        <w:t xml:space="preserve"> is greater than 0,2 in more than 25</w:t>
      </w:r>
      <w:r w:rsidR="00E91A53">
        <w:t> </w:t>
      </w:r>
      <w:r w:rsidRPr="00B45D20">
        <w:t xml:space="preserve">% of the total area of walls, the behaviour factor component </w:t>
      </w:r>
      <w:r w:rsidRPr="00B45D20">
        <w:rPr>
          <w:i/>
          <w:iCs/>
        </w:rPr>
        <w:t>q</w:t>
      </w:r>
      <w:r w:rsidRPr="00B45D20">
        <w:rPr>
          <w:vertAlign w:val="subscript"/>
        </w:rPr>
        <w:t>D</w:t>
      </w:r>
      <w:r w:rsidRPr="00B45D20">
        <w:t xml:space="preserve"> should be reduced by 20</w:t>
      </w:r>
      <w:r w:rsidR="00E91A53">
        <w:t> </w:t>
      </w:r>
      <w:r w:rsidRPr="00B45D20">
        <w:t>%, but not taken smaller than 1,0. It should also be checked that the axial loads carried by the primary walls with ν</w:t>
      </w:r>
      <w:r w:rsidRPr="00B45D20">
        <w:rPr>
          <w:vertAlign w:val="subscript"/>
        </w:rPr>
        <w:t>G,k</w:t>
      </w:r>
      <w:r w:rsidR="006F50D2">
        <w:rPr>
          <w:vertAlign w:val="subscript"/>
        </w:rPr>
        <w:t>,i</w:t>
      </w:r>
      <w:r w:rsidRPr="00B45D20">
        <w:t xml:space="preserve"> &gt;0,2 may be redistributed to other walls according to </w:t>
      </w:r>
      <w:r w:rsidRPr="00835C82">
        <w:t>14.5.3</w:t>
      </w:r>
      <w:r w:rsidRPr="00B45D20">
        <w:t>.</w:t>
      </w:r>
    </w:p>
    <w:p w14:paraId="00D50017" w14:textId="77777777" w:rsidR="0092459A" w:rsidRPr="00B45D20" w:rsidRDefault="0092459A" w:rsidP="00724E4E">
      <w:pPr>
        <w:pStyle w:val="Clause"/>
      </w:pPr>
      <w:r w:rsidRPr="00B45D20">
        <w:t xml:space="preserve">If the axial load at the top of a wall acts at with an eccentricity to the central plane of the wall, the deformation capacity of the wall is reduced and </w:t>
      </w:r>
      <w:r w:rsidRPr="00B45D20">
        <w:rPr>
          <w:i/>
        </w:rPr>
        <w:t>q</w:t>
      </w:r>
      <w:r w:rsidRPr="00B45D20">
        <w:rPr>
          <w:vertAlign w:val="subscript"/>
        </w:rPr>
        <w:t>D</w:t>
      </w:r>
      <w:r w:rsidRPr="00B45D20">
        <w:t xml:space="preserve"> should be reduced.</w:t>
      </w:r>
    </w:p>
    <w:p w14:paraId="0671326C" w14:textId="003D13BD" w:rsidR="0092459A" w:rsidRPr="00B45D20" w:rsidRDefault="0092459A" w:rsidP="009E2DA7">
      <w:pPr>
        <w:pStyle w:val="Notetext"/>
      </w:pPr>
      <w:r w:rsidRPr="00B45D20">
        <w:t>NOTE</w:t>
      </w:r>
      <w:r w:rsidRPr="00B45D20">
        <w:tab/>
        <w:t>Annex J gives information for the reduction of</w:t>
      </w:r>
      <w:r w:rsidRPr="00B45D20">
        <w:rPr>
          <w:i/>
        </w:rPr>
        <w:t xml:space="preserve"> q</w:t>
      </w:r>
      <w:r w:rsidRPr="00B45D20">
        <w:rPr>
          <w:vertAlign w:val="subscript"/>
        </w:rPr>
        <w:t>D</w:t>
      </w:r>
      <w:r w:rsidRPr="00B45D20">
        <w:t>.</w:t>
      </w:r>
    </w:p>
    <w:p w14:paraId="3FA81853" w14:textId="6A82DBDF" w:rsidR="0092459A" w:rsidRPr="00132C1E" w:rsidRDefault="0092459A" w:rsidP="00724E4E">
      <w:pPr>
        <w:pStyle w:val="Clause"/>
      </w:pPr>
      <w:r w:rsidRPr="00132C1E">
        <w:t xml:space="preserve">The values given in table 14.1. should be applied unless other values are supported by test results obtained in accordance with </w:t>
      </w:r>
      <w:r>
        <w:t>EN</w:t>
      </w:r>
      <w:r w:rsidR="005B7D13">
        <w:t> </w:t>
      </w:r>
      <w:r>
        <w:t>199</w:t>
      </w:r>
      <w:r w:rsidRPr="00132C1E">
        <w:t>6-1-1.</w:t>
      </w:r>
    </w:p>
    <w:p w14:paraId="2EBA0B3E" w14:textId="0563A2EE" w:rsidR="0092459A" w:rsidRPr="00132C1E" w:rsidRDefault="0092459A" w:rsidP="009E2DA7">
      <w:pPr>
        <w:pStyle w:val="Notetext"/>
      </w:pPr>
      <w:r w:rsidRPr="00132C1E">
        <w:t>NOTE</w:t>
      </w:r>
      <w:r w:rsidRPr="00132C1E">
        <w:tab/>
      </w:r>
      <w:r w:rsidRPr="00B45D20">
        <w:t>prCEN/TS</w:t>
      </w:r>
      <w:r w:rsidR="005B7D13">
        <w:t> </w:t>
      </w:r>
      <w:r w:rsidRPr="00B45D20">
        <w:t>1998-</w:t>
      </w:r>
      <w:r w:rsidR="00460A67">
        <w:t xml:space="preserve">1-101 </w:t>
      </w:r>
      <w:r w:rsidRPr="00132C1E">
        <w:t>gives a loading protocol, interpretation and acceptance criteria for such tests.</w:t>
      </w:r>
    </w:p>
    <w:p w14:paraId="324E1102" w14:textId="77777777" w:rsidR="0092459A" w:rsidRPr="009E2DA7" w:rsidRDefault="0092459A" w:rsidP="00641E28">
      <w:pPr>
        <w:pStyle w:val="Heading3"/>
      </w:pPr>
      <w:bookmarkStart w:id="10657" w:name="_Ref19534739"/>
      <w:bookmarkStart w:id="10658" w:name="_Toc19566931"/>
      <w:bookmarkStart w:id="10659" w:name="_Toc50150626"/>
      <w:bookmarkStart w:id="10660" w:name="_Toc70887058"/>
      <w:bookmarkStart w:id="10661" w:name="_Toc108342628"/>
      <w:bookmarkStart w:id="10662" w:name="_Toc134198150"/>
      <w:r w:rsidRPr="009E2DA7">
        <w:t>Behaviour factors for out-of-plane analysis</w:t>
      </w:r>
      <w:bookmarkEnd w:id="10657"/>
      <w:bookmarkEnd w:id="10658"/>
      <w:bookmarkEnd w:id="10659"/>
      <w:bookmarkEnd w:id="10660"/>
      <w:bookmarkEnd w:id="10661"/>
      <w:bookmarkEnd w:id="10662"/>
    </w:p>
    <w:p w14:paraId="77EF3824" w14:textId="77777777" w:rsidR="0092459A" w:rsidRPr="00B45D20" w:rsidRDefault="0092459A" w:rsidP="0080187E">
      <w:pPr>
        <w:pStyle w:val="Clause"/>
        <w:numPr>
          <w:ilvl w:val="0"/>
          <w:numId w:val="494"/>
        </w:numPr>
      </w:pPr>
      <w:bookmarkStart w:id="10663" w:name="_Toc7368757"/>
      <w:bookmarkStart w:id="10664" w:name="_Ref17284022"/>
      <w:bookmarkStart w:id="10665" w:name="_Toc19566932"/>
      <w:r w:rsidRPr="00132C1E">
        <w:t>For unreinforced and confined mason</w:t>
      </w:r>
      <w:r w:rsidRPr="00B45D20">
        <w:t xml:space="preserve">ry walls, the </w:t>
      </w:r>
      <w:bookmarkStart w:id="10666" w:name="_Hlk37494020"/>
      <w:r w:rsidRPr="00B45D20">
        <w:t xml:space="preserve">behaviour factor </w:t>
      </w:r>
      <w:r w:rsidRPr="00DC49D1">
        <w:rPr>
          <w:i/>
          <w:iCs/>
        </w:rPr>
        <w:t>q</w:t>
      </w:r>
      <w:r w:rsidRPr="00DC49D1">
        <w:rPr>
          <w:vertAlign w:val="subscript"/>
        </w:rPr>
        <w:t>oop</w:t>
      </w:r>
      <w:r w:rsidRPr="00B45D20">
        <w:t xml:space="preserve"> for out-of-plane bending </w:t>
      </w:r>
      <w:bookmarkEnd w:id="10666"/>
      <w:r w:rsidRPr="00B45D20">
        <w:t>should be taken equal to 1,25.</w:t>
      </w:r>
    </w:p>
    <w:p w14:paraId="2F49A2AF" w14:textId="77777777" w:rsidR="0092459A" w:rsidRPr="00B45D20" w:rsidRDefault="0092459A" w:rsidP="00724E4E">
      <w:pPr>
        <w:pStyle w:val="Clause"/>
      </w:pPr>
      <w:r w:rsidRPr="00B45D20">
        <w:t xml:space="preserve">For reinforced masonry walls, the behaviour factor </w:t>
      </w:r>
      <w:r w:rsidRPr="00B45D20">
        <w:rPr>
          <w:i/>
          <w:iCs/>
        </w:rPr>
        <w:t>q</w:t>
      </w:r>
      <w:r w:rsidRPr="00B45D20">
        <w:rPr>
          <w:vertAlign w:val="subscript"/>
        </w:rPr>
        <w:t>oop</w:t>
      </w:r>
      <w:r w:rsidRPr="00B45D20">
        <w:t xml:space="preserve"> for out-of-plane bending should be taken equal to 1,5.</w:t>
      </w:r>
    </w:p>
    <w:p w14:paraId="36F2D2BD" w14:textId="0951367A" w:rsidR="0092459A" w:rsidRDefault="0092459A" w:rsidP="00641E28">
      <w:pPr>
        <w:pStyle w:val="Heading2"/>
      </w:pPr>
      <w:bookmarkStart w:id="10667" w:name="_Toc50150627"/>
      <w:bookmarkStart w:id="10668" w:name="_Toc70887059"/>
      <w:bookmarkStart w:id="10669" w:name="_Toc108342629"/>
      <w:bookmarkStart w:id="10670" w:name="_Toc134198151"/>
      <w:r w:rsidRPr="009E2DA7">
        <w:t>Structural analysis</w:t>
      </w:r>
      <w:bookmarkEnd w:id="10663"/>
      <w:bookmarkEnd w:id="10664"/>
      <w:bookmarkEnd w:id="10665"/>
      <w:bookmarkEnd w:id="10667"/>
      <w:bookmarkEnd w:id="10668"/>
      <w:bookmarkEnd w:id="10669"/>
      <w:bookmarkEnd w:id="10670"/>
    </w:p>
    <w:p w14:paraId="1C8B7B39" w14:textId="5B2ECED9" w:rsidR="0092459A" w:rsidRPr="00132C1E" w:rsidRDefault="0092459A" w:rsidP="00641E28">
      <w:pPr>
        <w:pStyle w:val="Heading3"/>
      </w:pPr>
      <w:bookmarkStart w:id="10671" w:name="_Toc50150628"/>
      <w:bookmarkStart w:id="10672" w:name="_Toc70887060"/>
      <w:bookmarkStart w:id="10673" w:name="_Toc108342630"/>
      <w:bookmarkStart w:id="10674" w:name="_Toc7368759"/>
      <w:bookmarkStart w:id="10675" w:name="_Ref7369549"/>
      <w:bookmarkStart w:id="10676" w:name="_Toc19566934"/>
      <w:bookmarkStart w:id="10677" w:name="_Toc134198152"/>
      <w:r w:rsidRPr="00132C1E">
        <w:t>Modelling rules for linear analyses</w:t>
      </w:r>
      <w:bookmarkEnd w:id="10671"/>
      <w:bookmarkEnd w:id="10672"/>
      <w:bookmarkEnd w:id="10673"/>
      <w:bookmarkEnd w:id="10674"/>
      <w:bookmarkEnd w:id="10675"/>
      <w:bookmarkEnd w:id="10676"/>
      <w:bookmarkEnd w:id="10677"/>
    </w:p>
    <w:p w14:paraId="2E02F607" w14:textId="77777777" w:rsidR="0092459A" w:rsidRPr="00B45D20" w:rsidRDefault="0092459A" w:rsidP="00CF5B0C">
      <w:pPr>
        <w:pStyle w:val="Heading4"/>
      </w:pPr>
      <w:bookmarkStart w:id="10678" w:name="_Toc108342631"/>
      <w:r w:rsidRPr="00B45D20">
        <w:t>W</w:t>
      </w:r>
      <w:r w:rsidRPr="00B45D20">
        <w:rPr>
          <w:lang w:val="fr-FR"/>
        </w:rPr>
        <w:t>alls</w:t>
      </w:r>
      <w:bookmarkEnd w:id="10678"/>
    </w:p>
    <w:p w14:paraId="42A5267C" w14:textId="77777777" w:rsidR="0092459A" w:rsidRPr="00132C1E" w:rsidRDefault="0092459A" w:rsidP="0080187E">
      <w:pPr>
        <w:pStyle w:val="Clause"/>
        <w:numPr>
          <w:ilvl w:val="0"/>
          <w:numId w:val="495"/>
        </w:numPr>
      </w:pPr>
      <w:bookmarkStart w:id="10679" w:name="_Ref19374672"/>
      <w:r w:rsidRPr="00B45D20">
        <w:t xml:space="preserve">The stiffness of the walls should be </w:t>
      </w:r>
      <w:r w:rsidRPr="00132C1E">
        <w:t>evaluated taking into account their flexural, shear and axial deformations.</w:t>
      </w:r>
    </w:p>
    <w:p w14:paraId="54C248E0" w14:textId="71CD2D91" w:rsidR="0092459A" w:rsidRPr="00132C1E" w:rsidRDefault="0092459A" w:rsidP="00724E4E">
      <w:pPr>
        <w:pStyle w:val="Clause"/>
      </w:pPr>
      <w:r w:rsidRPr="00F341D2">
        <w:lastRenderedPageBreak/>
        <w:t>Piers</w:t>
      </w:r>
      <w:r w:rsidRPr="009E2DA7">
        <w:t xml:space="preserve"> </w:t>
      </w:r>
      <w:r w:rsidRPr="00132C1E">
        <w:t>of all types of masonry that are expected to crack under seismic loading should be assigned a reduced stiffness values which may be taken equal to the secant stiffness at 70</w:t>
      </w:r>
      <w:r w:rsidR="00E91A53">
        <w:t> </w:t>
      </w:r>
      <w:r w:rsidRPr="00132C1E">
        <w:t>% of the pier’s ultimate strength.</w:t>
      </w:r>
    </w:p>
    <w:p w14:paraId="3C728D72" w14:textId="035BBF79" w:rsidR="0092459A" w:rsidRPr="00132C1E" w:rsidRDefault="0092459A" w:rsidP="00724E4E">
      <w:pPr>
        <w:pStyle w:val="Clause"/>
      </w:pPr>
      <w:r w:rsidRPr="00132C1E">
        <w:t xml:space="preserve">For all types of masonry, the elastic flexural and shear stiffness of cracked </w:t>
      </w:r>
      <w:r w:rsidRPr="00F341D2">
        <w:t>piers</w:t>
      </w:r>
      <w:r w:rsidRPr="00132C1E">
        <w:t xml:space="preserve"> may be taken equal to respectively 50</w:t>
      </w:r>
      <w:r w:rsidR="00E91A53">
        <w:t> </w:t>
      </w:r>
      <w:r w:rsidRPr="00132C1E">
        <w:t>% and 35</w:t>
      </w:r>
      <w:r w:rsidR="00E91A53">
        <w:t> </w:t>
      </w:r>
      <w:r w:rsidRPr="00132C1E">
        <w:t>% of the flexural and shear stiffness of the uncracked pier.</w:t>
      </w:r>
    </w:p>
    <w:p w14:paraId="11A9209D" w14:textId="62416139" w:rsidR="0092459A" w:rsidRPr="00132C1E" w:rsidRDefault="0092459A" w:rsidP="0092459A">
      <w:pPr>
        <w:pStyle w:val="Heading4"/>
      </w:pPr>
      <w:bookmarkStart w:id="10680" w:name="_Toc108342632"/>
      <w:r w:rsidRPr="00132C1E">
        <w:t>Spandrels and ring beams</w:t>
      </w:r>
      <w:bookmarkEnd w:id="10679"/>
      <w:bookmarkEnd w:id="10680"/>
    </w:p>
    <w:p w14:paraId="2054E47B" w14:textId="77777777" w:rsidR="0092459A" w:rsidRPr="00B45D20" w:rsidRDefault="0092459A" w:rsidP="0080187E">
      <w:pPr>
        <w:pStyle w:val="Clause"/>
        <w:numPr>
          <w:ilvl w:val="0"/>
          <w:numId w:val="496"/>
        </w:numPr>
      </w:pPr>
      <w:r w:rsidRPr="00B86C82">
        <w:t xml:space="preserve">Masonry spandrels may be considered as coupling beams between </w:t>
      </w:r>
      <w:r w:rsidRPr="00B45D20">
        <w:t>two walls if they are regularly bonded to the adjacent members.</w:t>
      </w:r>
    </w:p>
    <w:p w14:paraId="73CDF40F" w14:textId="77777777" w:rsidR="0092459A" w:rsidRPr="00B45D20" w:rsidRDefault="0092459A" w:rsidP="00724E4E">
      <w:pPr>
        <w:pStyle w:val="Clause"/>
      </w:pPr>
      <w:r w:rsidRPr="00B45D20">
        <w:t xml:space="preserve">Reinforced concrete ring beams may be considered as coupling beams between two walls. </w:t>
      </w:r>
    </w:p>
    <w:p w14:paraId="3F18D830" w14:textId="77777777" w:rsidR="0092459A" w:rsidRPr="00B45D20" w:rsidRDefault="0092459A" w:rsidP="00724E4E">
      <w:pPr>
        <w:pStyle w:val="Clause"/>
      </w:pPr>
      <w:r w:rsidRPr="00B45D20">
        <w:t>Ring beams and masonry spandrels may be modelled as beams connected to the walls by means of stiff beams or rigid links over the distance from the edge of the wall to the axis of the wall modelled as a column in order to form an equivalent frame model.</w:t>
      </w:r>
    </w:p>
    <w:p w14:paraId="372A8347" w14:textId="77777777" w:rsidR="0092459A" w:rsidRPr="00B45D20" w:rsidRDefault="0092459A" w:rsidP="00724E4E">
      <w:pPr>
        <w:pStyle w:val="Clause"/>
      </w:pPr>
      <w:r w:rsidRPr="00B45D20">
        <w:t>In equivalent frame models, unless more detailed information is available, it may be assumed that the joints are rigid and have dimensions similar to those of the adjacent walls and spandrels.</w:t>
      </w:r>
    </w:p>
    <w:p w14:paraId="74FB0C76" w14:textId="6759FEBF" w:rsidR="0092459A" w:rsidRPr="00B86C82" w:rsidRDefault="0092459A" w:rsidP="00724E4E">
      <w:pPr>
        <w:pStyle w:val="Clause"/>
      </w:pPr>
      <w:r w:rsidRPr="00B86C82">
        <w:t>The flexural stiffness of cracked ring beams may be taken as 50</w:t>
      </w:r>
      <w:r w:rsidR="00E91A53">
        <w:t> </w:t>
      </w:r>
      <w:r w:rsidRPr="00B86C82">
        <w:t>% of that of the uncracked beams. The shear deformation of ring beams may be neglected.</w:t>
      </w:r>
    </w:p>
    <w:p w14:paraId="5E1A0A9E" w14:textId="1161B5F1" w:rsidR="0092459A" w:rsidRPr="00B86C82" w:rsidRDefault="0092459A" w:rsidP="00724E4E">
      <w:pPr>
        <w:pStyle w:val="Clause"/>
      </w:pPr>
      <w:r w:rsidRPr="00B86C82">
        <w:t xml:space="preserve">The elastic modulus and shear modulus of a horizontal masonry member such as a spandrel may be </w:t>
      </w:r>
      <w:r w:rsidRPr="00C43780">
        <w:t>calculated as given in EN</w:t>
      </w:r>
      <w:r w:rsidR="0063506B">
        <w:t> </w:t>
      </w:r>
      <w:r w:rsidRPr="00C43780">
        <w:t>1996-1-1:202</w:t>
      </w:r>
      <w:r w:rsidR="0063506B">
        <w:t>2</w:t>
      </w:r>
      <w:r w:rsidRPr="00C43780">
        <w:t xml:space="preserve">, </w:t>
      </w:r>
      <w:r w:rsidRPr="00835C82">
        <w:t>5.8.2</w:t>
      </w:r>
      <w:r w:rsidRPr="00C43780">
        <w:t xml:space="preserve"> and </w:t>
      </w:r>
      <w:r w:rsidRPr="00835C82">
        <w:t>5.8.3</w:t>
      </w:r>
      <w:r w:rsidRPr="00C43780">
        <w:t xml:space="preserve">, taking into account </w:t>
      </w:r>
      <w:r w:rsidRPr="00C43780">
        <w:rPr>
          <w:i/>
          <w:iCs/>
        </w:rPr>
        <w:t>f</w:t>
      </w:r>
      <w:r w:rsidRPr="00C43780">
        <w:rPr>
          <w:vertAlign w:val="subscript"/>
        </w:rPr>
        <w:t xml:space="preserve">k </w:t>
      </w:r>
      <w:r w:rsidRPr="00C43780">
        <w:t>of the units in the relevant</w:t>
      </w:r>
      <w:r w:rsidRPr="00B86C82">
        <w:t xml:space="preserve"> horizontal direction. </w:t>
      </w:r>
    </w:p>
    <w:p w14:paraId="28164410" w14:textId="77777777" w:rsidR="0092459A" w:rsidRPr="00B86C82" w:rsidRDefault="0092459A" w:rsidP="00724E4E">
      <w:pPr>
        <w:pStyle w:val="Clause"/>
      </w:pPr>
      <w:r w:rsidRPr="00B86C82">
        <w:t>Unless a more accurate analysis of the cracked members is performed, the elastic flexural and shear stiffness properties of the cracked spandrel may be taken as given in a) or b):</w:t>
      </w:r>
    </w:p>
    <w:p w14:paraId="793DEC88" w14:textId="028ED4F6" w:rsidR="0092459A" w:rsidRPr="00132C1E" w:rsidRDefault="0092459A" w:rsidP="00E91A53">
      <w:pPr>
        <w:pStyle w:val="Text"/>
        <w:numPr>
          <w:ilvl w:val="0"/>
          <w:numId w:val="680"/>
        </w:numPr>
        <w:spacing w:after="200"/>
      </w:pPr>
      <w:r w:rsidRPr="00132C1E">
        <w:t>Unreinforced masonry spandrel: 25</w:t>
      </w:r>
      <w:r w:rsidR="00E91A53">
        <w:t> </w:t>
      </w:r>
      <w:r w:rsidRPr="00132C1E">
        <w:t>% of the stiffness of uncracked member;</w:t>
      </w:r>
    </w:p>
    <w:p w14:paraId="57A80BA0" w14:textId="3C8C803D" w:rsidR="0092459A" w:rsidRPr="00132C1E" w:rsidRDefault="0092459A" w:rsidP="00E91A53">
      <w:pPr>
        <w:pStyle w:val="Text"/>
        <w:numPr>
          <w:ilvl w:val="0"/>
          <w:numId w:val="680"/>
        </w:numPr>
        <w:spacing w:after="200"/>
      </w:pPr>
      <w:r w:rsidRPr="00132C1E">
        <w:t>Reinforced and confined masonry spandrel: 50</w:t>
      </w:r>
      <w:r w:rsidR="00E91A53">
        <w:t> </w:t>
      </w:r>
      <w:r w:rsidRPr="00132C1E">
        <w:t>% of the stiffness of uncracked member.</w:t>
      </w:r>
    </w:p>
    <w:p w14:paraId="64D2DA74" w14:textId="77777777" w:rsidR="0092459A" w:rsidRPr="00B86C82" w:rsidRDefault="0092459A" w:rsidP="00724E4E">
      <w:pPr>
        <w:pStyle w:val="Clause"/>
      </w:pPr>
      <w:r w:rsidRPr="00B86C82">
        <w:t>A composite spandrel consisting of a masonry spandrel and a reinforced concrete beam or slab strip may be modelled as two parallel entities, neglecting the interaction between them.</w:t>
      </w:r>
    </w:p>
    <w:p w14:paraId="08139279" w14:textId="71E7D9DA" w:rsidR="0092459A" w:rsidRPr="00B86C82" w:rsidRDefault="0092459A" w:rsidP="00724E4E">
      <w:pPr>
        <w:pStyle w:val="Clause"/>
      </w:pPr>
      <w:bookmarkStart w:id="10681" w:name="_Hlk63665391"/>
      <w:r w:rsidRPr="00B86C82">
        <w:t xml:space="preserve">In the case of force-based verification, </w:t>
      </w:r>
      <w:bookmarkStart w:id="10682" w:name="_Hlk115774047"/>
      <w:r w:rsidR="0011732E" w:rsidRPr="0011732E">
        <w:rPr>
          <w:lang w:val="en-US"/>
        </w:rPr>
        <w:t>the flexural stiffness of the horizontal members may be set to zero if this does not result in a design base shear smaller than the one found considering those stiffness</w:t>
      </w:r>
      <w:r w:rsidR="005B7D13">
        <w:rPr>
          <w:lang w:val="en-US"/>
        </w:rPr>
        <w:t>es</w:t>
      </w:r>
      <w:r w:rsidR="0011732E" w:rsidRPr="0011732E">
        <w:rPr>
          <w:lang w:val="en-US"/>
        </w:rPr>
        <w:t>.</w:t>
      </w:r>
      <w:bookmarkEnd w:id="10681"/>
      <w:bookmarkEnd w:id="10682"/>
    </w:p>
    <w:p w14:paraId="71E6E8DF" w14:textId="4BDCFC1E" w:rsidR="0092459A" w:rsidRPr="00132C1E" w:rsidRDefault="0092459A" w:rsidP="0092459A">
      <w:pPr>
        <w:pStyle w:val="Heading4"/>
      </w:pPr>
      <w:bookmarkStart w:id="10683" w:name="_Toc108342633"/>
      <w:r w:rsidRPr="00132C1E">
        <w:t>Diaphragms and slabs</w:t>
      </w:r>
      <w:bookmarkEnd w:id="10683"/>
    </w:p>
    <w:p w14:paraId="4280A6B3" w14:textId="77777777" w:rsidR="0092459A" w:rsidRPr="00B86C82" w:rsidRDefault="0092459A" w:rsidP="0080187E">
      <w:pPr>
        <w:pStyle w:val="Clause"/>
        <w:numPr>
          <w:ilvl w:val="0"/>
          <w:numId w:val="497"/>
        </w:numPr>
      </w:pPr>
      <w:bookmarkStart w:id="10684" w:name="_Ref7307940"/>
      <w:r w:rsidRPr="00B86C82">
        <w:t xml:space="preserve">The model should represent the actual stiffness of the diaphragm, unless the diaphragm is rigid according to </w:t>
      </w:r>
      <w:r w:rsidRPr="00835C82">
        <w:t xml:space="preserve">(3) </w:t>
      </w:r>
      <w:r w:rsidRPr="00B45D20">
        <w:t xml:space="preserve">or </w:t>
      </w:r>
      <w:r w:rsidRPr="00835C82">
        <w:t>(4</w:t>
      </w:r>
      <w:r w:rsidRPr="005B7D13">
        <w:rPr>
          <w:color w:val="auto"/>
        </w:rPr>
        <w:t xml:space="preserve">). If the </w:t>
      </w:r>
      <w:r w:rsidRPr="00B86C82">
        <w:t>diaphragm is rigid, the stiffness may be set to a value greater than the actual stiffness.</w:t>
      </w:r>
    </w:p>
    <w:p w14:paraId="5C880C40" w14:textId="77777777" w:rsidR="0092459A" w:rsidRPr="00B86C82" w:rsidRDefault="0092459A" w:rsidP="00724E4E">
      <w:pPr>
        <w:pStyle w:val="Clause"/>
      </w:pPr>
      <w:r w:rsidRPr="00B86C82">
        <w:t>In the absence of a more detailed analysis, diaphragms may be considered as uncracked.</w:t>
      </w:r>
    </w:p>
    <w:p w14:paraId="6A4ACA50" w14:textId="77777777" w:rsidR="0092459A" w:rsidRPr="00132C1E" w:rsidRDefault="0092459A" w:rsidP="00724E4E">
      <w:pPr>
        <w:pStyle w:val="Clause"/>
      </w:pPr>
      <w:r w:rsidRPr="00132C1E">
        <w:t xml:space="preserve">A diaphragm may be considered rigid in tension, compression and shear if the period </w:t>
      </w:r>
      <w:r w:rsidRPr="00B86C82">
        <w:rPr>
          <w:i/>
          <w:iCs/>
        </w:rPr>
        <w:t>T</w:t>
      </w:r>
      <w:r w:rsidRPr="00B86C82">
        <w:rPr>
          <w:vertAlign w:val="subscript"/>
        </w:rPr>
        <w:t>i</w:t>
      </w:r>
      <w:r w:rsidRPr="00132C1E">
        <w:t xml:space="preserve"> of each mode </w:t>
      </w:r>
      <w:r w:rsidRPr="00B86C82">
        <w:rPr>
          <w:i/>
          <w:iCs/>
        </w:rPr>
        <w:t xml:space="preserve">i </w:t>
      </w:r>
      <w:r w:rsidRPr="00132C1E">
        <w:t>that contributes significantly to the global response does not change by more than max(0,1</w:t>
      </w:r>
      <w:r w:rsidRPr="00B86C82">
        <w:rPr>
          <w:i/>
          <w:iCs/>
        </w:rPr>
        <w:t>T</w:t>
      </w:r>
      <w:r w:rsidRPr="00B86C82">
        <w:rPr>
          <w:vertAlign w:val="subscript"/>
        </w:rPr>
        <w:t>i</w:t>
      </w:r>
      <w:r w:rsidRPr="00132C1E">
        <w:t>, 0,05s) between a model of the system with the actual diaphragm stiffness and a model with rigid diaphragms.</w:t>
      </w:r>
    </w:p>
    <w:p w14:paraId="524061D0" w14:textId="77777777" w:rsidR="0092459A" w:rsidRPr="00B86C82" w:rsidRDefault="0092459A" w:rsidP="00724E4E">
      <w:pPr>
        <w:pStyle w:val="Clause"/>
      </w:pPr>
      <w:r w:rsidRPr="00B86C82">
        <w:t xml:space="preserve">A reinforced concrete slab may be considered as rigid in tension, compression and shear, if it complies with </w:t>
      </w:r>
      <w:r w:rsidRPr="00835C82">
        <w:t>10.12.1(1)</w:t>
      </w:r>
      <w:r w:rsidRPr="00B86C82">
        <w:t xml:space="preserve"> or </w:t>
      </w:r>
      <w:r w:rsidRPr="00835C82">
        <w:t>10.12.1(2).</w:t>
      </w:r>
    </w:p>
    <w:p w14:paraId="0AF540FB" w14:textId="77777777" w:rsidR="0092459A" w:rsidRPr="00B45D20" w:rsidRDefault="0092459A" w:rsidP="00724E4E">
      <w:pPr>
        <w:pStyle w:val="Clause"/>
      </w:pPr>
      <w:r w:rsidRPr="00B45D20">
        <w:lastRenderedPageBreak/>
        <w:t>Flexible diaphragms may be modelled using either shell members or strut-and-tie models.</w:t>
      </w:r>
    </w:p>
    <w:p w14:paraId="7DCA9D8B" w14:textId="77777777" w:rsidR="0092459A" w:rsidRPr="00B45D20" w:rsidRDefault="0092459A" w:rsidP="00724E4E">
      <w:pPr>
        <w:pStyle w:val="Clause"/>
      </w:pPr>
      <w:r w:rsidRPr="00B45D20">
        <w:t>The global structural model may consider the coupling effect provided by the slab.</w:t>
      </w:r>
    </w:p>
    <w:p w14:paraId="610ADED2" w14:textId="77777777" w:rsidR="0092459A" w:rsidRPr="009E2DA7" w:rsidRDefault="0092459A" w:rsidP="009E2DA7">
      <w:pPr>
        <w:pStyle w:val="Notetext"/>
      </w:pPr>
      <w:r w:rsidRPr="009E2DA7">
        <w:t>NOTE</w:t>
      </w:r>
      <w:r w:rsidRPr="009E2DA7">
        <w:tab/>
      </w:r>
      <w:r w:rsidRPr="00B272E6">
        <w:t xml:space="preserve">This applies if the floor slab is supported by piers or walls in such a way that horizontal loading of the structure induces bending of the slab. </w:t>
      </w:r>
      <w:r w:rsidRPr="009E2DA7">
        <w:rPr>
          <w:lang w:val="de-DE"/>
        </w:rPr>
        <w:t>See also note to (7)c).</w:t>
      </w:r>
    </w:p>
    <w:p w14:paraId="79130BE8" w14:textId="77777777" w:rsidR="0092459A" w:rsidRPr="00B86C82" w:rsidRDefault="0092459A" w:rsidP="00724E4E">
      <w:pPr>
        <w:pStyle w:val="Clause"/>
      </w:pPr>
      <w:r w:rsidRPr="00B86C82">
        <w:t>In buildings where several walls lie in the same vertical plane and are continuous over the height, the coupling effect provided by the slabs may be modelled by means of horizontal beams between the walls in the vertical plane of the walls. The horizontal beams may be modelled as rigid from the centreline to the end of each wall and deformable over the free span between two walls. Their effective width may be taken equal to the values in a), b) or c):</w:t>
      </w:r>
    </w:p>
    <w:p w14:paraId="6ABCB984" w14:textId="77777777" w:rsidR="0092459A" w:rsidRPr="00132C1E" w:rsidRDefault="0092459A" w:rsidP="0080187E">
      <w:pPr>
        <w:pStyle w:val="Text"/>
        <w:numPr>
          <w:ilvl w:val="0"/>
          <w:numId w:val="681"/>
        </w:numPr>
      </w:pPr>
      <w:bookmarkStart w:id="10685" w:name="_Ref17545212"/>
      <w:r w:rsidRPr="00132C1E">
        <w:t>In buildings with flat slabs, for all types of masonry, 0,1</w:t>
      </w:r>
      <w:r w:rsidRPr="00B86C82">
        <w:rPr>
          <w:i/>
        </w:rPr>
        <w:t>l</w:t>
      </w:r>
      <w:r w:rsidRPr="00B86C82">
        <w:rPr>
          <w:vertAlign w:val="subscript"/>
        </w:rPr>
        <w:t>0</w:t>
      </w:r>
      <w:r w:rsidRPr="00132C1E">
        <w:t xml:space="preserve"> at the edge of the slab and 0,2</w:t>
      </w:r>
      <w:r w:rsidRPr="00B86C82">
        <w:rPr>
          <w:i/>
        </w:rPr>
        <w:t>l</w:t>
      </w:r>
      <w:r w:rsidRPr="00B86C82">
        <w:rPr>
          <w:vertAlign w:val="subscript"/>
        </w:rPr>
        <w:t>0</w:t>
      </w:r>
      <w:r w:rsidRPr="00132C1E">
        <w:t xml:space="preserve"> in the interior of the slab, where </w:t>
      </w:r>
      <w:bookmarkStart w:id="10686" w:name="_Hlk38287465"/>
      <w:r w:rsidRPr="00B86C82">
        <w:rPr>
          <w:i/>
        </w:rPr>
        <w:t>l</w:t>
      </w:r>
      <w:r w:rsidRPr="00B86C82">
        <w:rPr>
          <w:vertAlign w:val="subscript"/>
        </w:rPr>
        <w:t>0</w:t>
      </w:r>
      <w:r w:rsidRPr="00132C1E">
        <w:t xml:space="preserve"> is the distance between the centrelines of the two walls</w:t>
      </w:r>
      <w:bookmarkEnd w:id="10686"/>
      <w:r w:rsidRPr="00132C1E">
        <w:t>.</w:t>
      </w:r>
      <w:bookmarkEnd w:id="10685"/>
    </w:p>
    <w:p w14:paraId="6525EF11" w14:textId="799D3989" w:rsidR="0092459A" w:rsidRPr="00BC7C6D" w:rsidRDefault="0092459A" w:rsidP="0080187E">
      <w:pPr>
        <w:pStyle w:val="Text"/>
        <w:numPr>
          <w:ilvl w:val="0"/>
          <w:numId w:val="681"/>
        </w:numPr>
      </w:pPr>
      <w:r w:rsidRPr="00132C1E">
        <w:t>In unreinforced masonry buildings with flat slabs, respectively 25</w:t>
      </w:r>
      <w:r w:rsidR="00E91A53">
        <w:t> </w:t>
      </w:r>
      <w:r w:rsidRPr="00132C1E">
        <w:t>% of the values in a) for the top floor and 50</w:t>
      </w:r>
      <w:r w:rsidR="00E91A53">
        <w:t> </w:t>
      </w:r>
      <w:r w:rsidRPr="00132C1E">
        <w:t>% of the values in a) for the floor below the top floor</w:t>
      </w:r>
      <w:r>
        <w:t xml:space="preserve">, </w:t>
      </w:r>
      <w:r w:rsidRPr="00BC7C6D">
        <w:t>but not smaller than the wall thickness.</w:t>
      </w:r>
    </w:p>
    <w:p w14:paraId="7B515183" w14:textId="5A6E3B88" w:rsidR="0092459A" w:rsidRPr="00C43780" w:rsidRDefault="0092459A" w:rsidP="0080187E">
      <w:pPr>
        <w:pStyle w:val="Text"/>
        <w:numPr>
          <w:ilvl w:val="0"/>
          <w:numId w:val="681"/>
        </w:numPr>
      </w:pPr>
      <w:r w:rsidRPr="00BC7C6D">
        <w:t xml:space="preserve">In buildings with slabs casted monolithically with beams, the effective width of beam may be determined </w:t>
      </w:r>
      <w:r w:rsidRPr="00C43780">
        <w:t xml:space="preserve">according to </w:t>
      </w:r>
      <w:r w:rsidR="0026060E">
        <w:t>prEN 1992-1-1:2021</w:t>
      </w:r>
      <w:r w:rsidRPr="00EA47AC">
        <w:t>, 7.2.3,</w:t>
      </w:r>
      <w:r w:rsidRPr="00C43780">
        <w:rPr>
          <w:b/>
          <w:bCs/>
        </w:rPr>
        <w:t xml:space="preserve"> </w:t>
      </w:r>
      <w:r w:rsidRPr="00C43780">
        <w:t>and assumed constant along the beam length.</w:t>
      </w:r>
    </w:p>
    <w:p w14:paraId="79B115D5" w14:textId="4CA0E2C7" w:rsidR="0092459A" w:rsidRPr="00BC7C6D" w:rsidRDefault="0092459A" w:rsidP="009E2DA7">
      <w:pPr>
        <w:pStyle w:val="Notetext"/>
      </w:pPr>
      <w:r w:rsidRPr="00BC7C6D">
        <w:t>NOTE</w:t>
      </w:r>
      <w:r w:rsidRPr="00BC7C6D">
        <w:tab/>
        <w:t>In unreinforced masonry buildings subjected to horizontal loads, slabs can experience uplift from the masonry walls. The wall length over which the uplift takes place depends on the axial force in the walls above and below the slab.</w:t>
      </w:r>
    </w:p>
    <w:p w14:paraId="199F8757" w14:textId="77777777" w:rsidR="0092459A" w:rsidRPr="00132C1E" w:rsidRDefault="0092459A" w:rsidP="00724E4E">
      <w:pPr>
        <w:pStyle w:val="Clause"/>
      </w:pPr>
      <w:r w:rsidRPr="00BC7C6D">
        <w:t xml:space="preserve">In buildings where walls do not lie in few vertical planes, the out-of-plane stiffness </w:t>
      </w:r>
      <w:r w:rsidRPr="00132C1E">
        <w:t>of slabs may be modelled with shell elements.</w:t>
      </w:r>
    </w:p>
    <w:p w14:paraId="1817CAEE" w14:textId="77777777" w:rsidR="0092459A" w:rsidRPr="00132C1E" w:rsidRDefault="0092459A" w:rsidP="00724E4E">
      <w:pPr>
        <w:pStyle w:val="Clause"/>
      </w:pPr>
      <w:r w:rsidRPr="00132C1E">
        <w:t xml:space="preserve">The uplift of the slab from unreinforced masonry walls may be modelled by reducing the wall length over which the slab is connected to the wall or, if the walls are modelled as beams, by reducing the length of the rigid links. </w:t>
      </w:r>
    </w:p>
    <w:p w14:paraId="63D0DA62" w14:textId="03624BFD" w:rsidR="0092459A" w:rsidRPr="00132C1E" w:rsidRDefault="0092459A" w:rsidP="0092459A">
      <w:pPr>
        <w:pStyle w:val="Heading4"/>
      </w:pPr>
      <w:bookmarkStart w:id="10687" w:name="_Toc108342634"/>
      <w:r w:rsidRPr="00132C1E">
        <w:t>Secondary seismic members</w:t>
      </w:r>
      <w:bookmarkEnd w:id="10684"/>
      <w:bookmarkEnd w:id="10687"/>
    </w:p>
    <w:p w14:paraId="5E56DE35" w14:textId="77777777" w:rsidR="0092459A" w:rsidRPr="00BC7C6D" w:rsidRDefault="0092459A" w:rsidP="0080187E">
      <w:pPr>
        <w:pStyle w:val="Clause"/>
        <w:numPr>
          <w:ilvl w:val="0"/>
          <w:numId w:val="498"/>
        </w:numPr>
      </w:pPr>
      <w:bookmarkStart w:id="10688" w:name="_Ref7301761"/>
      <w:bookmarkStart w:id="10689" w:name="_Toc7368760"/>
      <w:bookmarkStart w:id="10690" w:name="_Toc19566935"/>
      <w:r w:rsidRPr="00BC7C6D">
        <w:t xml:space="preserve">Walls should be considered as secondary if they do not satisfy the limits of </w:t>
      </w:r>
      <w:r w:rsidRPr="00DC49D1">
        <w:rPr>
          <w:i/>
          <w:iCs/>
        </w:rPr>
        <w:t>l</w:t>
      </w:r>
      <w:r w:rsidRPr="00DC49D1">
        <w:rPr>
          <w:vertAlign w:val="subscript"/>
        </w:rPr>
        <w:t>mp</w:t>
      </w:r>
      <w:r w:rsidRPr="00BC7C6D">
        <w:t>/</w:t>
      </w:r>
      <w:r w:rsidRPr="00DC49D1">
        <w:rPr>
          <w:i/>
          <w:iCs/>
        </w:rPr>
        <w:t>h</w:t>
      </w:r>
      <w:r w:rsidRPr="00DC49D1">
        <w:rPr>
          <w:vertAlign w:val="subscript"/>
        </w:rPr>
        <w:t>op</w:t>
      </w:r>
      <w:r w:rsidRPr="00BC7C6D">
        <w:t xml:space="preserve"> of Table 14.2.</w:t>
      </w:r>
    </w:p>
    <w:p w14:paraId="459773B7" w14:textId="77777777" w:rsidR="0092459A" w:rsidRPr="00BC7C6D" w:rsidRDefault="0092459A" w:rsidP="00724E4E">
      <w:pPr>
        <w:pStyle w:val="Clause"/>
      </w:pPr>
      <w:r w:rsidRPr="00BC7C6D">
        <w:t>Spandrels may be classified as primary or secondary spandrels.</w:t>
      </w:r>
    </w:p>
    <w:p w14:paraId="34C38AE4" w14:textId="77777777" w:rsidR="0092459A" w:rsidRPr="00BC7C6D" w:rsidRDefault="0092459A" w:rsidP="00724E4E">
      <w:pPr>
        <w:pStyle w:val="Clause"/>
      </w:pPr>
      <w:r w:rsidRPr="00BC7C6D">
        <w:t>If secondary walls and spandrels are included in the model, they should be modelled such that they do not transfer shear and bending forces due to seismic action.</w:t>
      </w:r>
    </w:p>
    <w:p w14:paraId="4CB4282A" w14:textId="2458CD60" w:rsidR="0092459A" w:rsidRPr="00132C1E" w:rsidRDefault="0092459A" w:rsidP="0092459A">
      <w:pPr>
        <w:pStyle w:val="Heading3"/>
      </w:pPr>
      <w:bookmarkStart w:id="10691" w:name="_Toc50150629"/>
      <w:bookmarkStart w:id="10692" w:name="_Toc70887061"/>
      <w:bookmarkStart w:id="10693" w:name="_Toc108342635"/>
      <w:bookmarkStart w:id="10694" w:name="_Toc134198153"/>
      <w:r w:rsidRPr="00132C1E">
        <w:rPr>
          <w:color w:val="000000" w:themeColor="text1"/>
        </w:rPr>
        <w:t>Modelling rules for non-linear analyses</w:t>
      </w:r>
      <w:bookmarkEnd w:id="10688"/>
      <w:bookmarkEnd w:id="10689"/>
      <w:bookmarkEnd w:id="10690"/>
      <w:bookmarkEnd w:id="10691"/>
      <w:bookmarkEnd w:id="10692"/>
      <w:bookmarkEnd w:id="10693"/>
      <w:bookmarkEnd w:id="10694"/>
    </w:p>
    <w:p w14:paraId="3675BD35" w14:textId="77777777" w:rsidR="0092459A" w:rsidRPr="00132C1E" w:rsidRDefault="0092459A" w:rsidP="0092459A">
      <w:pPr>
        <w:pStyle w:val="Heading4"/>
      </w:pPr>
      <w:bookmarkStart w:id="10695" w:name="_Toc108342636"/>
      <w:r w:rsidRPr="00132C1E">
        <w:t>General</w:t>
      </w:r>
      <w:bookmarkEnd w:id="10695"/>
    </w:p>
    <w:p w14:paraId="5DE86DF3" w14:textId="77777777" w:rsidR="0092459A" w:rsidRPr="00C86D02" w:rsidRDefault="0092459A" w:rsidP="0080187E">
      <w:pPr>
        <w:pStyle w:val="Clause"/>
        <w:numPr>
          <w:ilvl w:val="0"/>
          <w:numId w:val="499"/>
        </w:numPr>
      </w:pPr>
      <w:r w:rsidRPr="00835C82">
        <w:t>14.5.2</w:t>
      </w:r>
      <w:r w:rsidRPr="00C86D02">
        <w:t xml:space="preserve"> should be applied to the global non-linear analysis of unreinforced, confined and reinforced masonry structures, in addition to </w:t>
      </w:r>
      <w:r w:rsidRPr="00835C82">
        <w:t>14.5.1</w:t>
      </w:r>
      <w:r w:rsidRPr="00C86D02">
        <w:t>.</w:t>
      </w:r>
    </w:p>
    <w:p w14:paraId="38CED8FF" w14:textId="77777777" w:rsidR="0092459A" w:rsidRDefault="0092459A" w:rsidP="00724E4E">
      <w:pPr>
        <w:pStyle w:val="Clause"/>
      </w:pPr>
      <w:r w:rsidRPr="00C86D02">
        <w:t>For non-linear response-history analyses, appropriate hysteretic laws should be assigned to individual elements.</w:t>
      </w:r>
    </w:p>
    <w:p w14:paraId="726780AE" w14:textId="629FF367" w:rsidR="0092459A" w:rsidRDefault="0092459A" w:rsidP="00724E4E">
      <w:pPr>
        <w:pStyle w:val="Clause"/>
      </w:pPr>
      <w:r w:rsidRPr="00C86D02">
        <w:t>For non-linear static analyses, simplified constitutive laws may be applied.</w:t>
      </w:r>
    </w:p>
    <w:p w14:paraId="07C08F72" w14:textId="2D499B33" w:rsidR="0092459A" w:rsidRPr="009E2DA7" w:rsidRDefault="0092459A" w:rsidP="00724E4E">
      <w:pPr>
        <w:pStyle w:val="Clause"/>
      </w:pPr>
      <w:r w:rsidRPr="009E2DA7">
        <w:lastRenderedPageBreak/>
        <w:t xml:space="preserve">The condition in </w:t>
      </w:r>
      <w:r w:rsidRPr="00835C82">
        <w:t>5.3.5.1(3)</w:t>
      </w:r>
      <w:r w:rsidRPr="009E2DA7">
        <w:t xml:space="preserve"> may be considered as satisfied if the average aspect ratio of structural walls is smaller than 1,0 in two storey masonry buildings or smaller than 0,5 in three storeys buildings.</w:t>
      </w:r>
    </w:p>
    <w:p w14:paraId="014BC230" w14:textId="5A3E6980" w:rsidR="0092459A" w:rsidRPr="00BC7C6D" w:rsidRDefault="0092459A" w:rsidP="0092459A">
      <w:pPr>
        <w:pStyle w:val="Heading4"/>
      </w:pPr>
      <w:bookmarkStart w:id="10696" w:name="_Toc108342637"/>
      <w:r w:rsidRPr="00BC7C6D">
        <w:t>Walls</w:t>
      </w:r>
      <w:bookmarkEnd w:id="10696"/>
    </w:p>
    <w:p w14:paraId="526560A3" w14:textId="79478D51" w:rsidR="0092459A" w:rsidRPr="00BC7C6D" w:rsidRDefault="0092459A" w:rsidP="0080187E">
      <w:pPr>
        <w:pStyle w:val="Clause"/>
        <w:numPr>
          <w:ilvl w:val="0"/>
          <w:numId w:val="500"/>
        </w:numPr>
      </w:pPr>
      <w:r w:rsidRPr="00BC7C6D">
        <w:t xml:space="preserve">A bilinear force-displacement relationship with zero post-yield stiffness may be used in which the elastic stiffness should correspond to cracked section properties and the plateau should extend up to </w:t>
      </w:r>
      <w:r w:rsidRPr="00DC49D1">
        <w:rPr>
          <w:rFonts w:ascii="Symbol" w:hAnsi="Symbol"/>
          <w:i/>
        </w:rPr>
        <w:t></w:t>
      </w:r>
      <w:r w:rsidRPr="00DC49D1">
        <w:rPr>
          <w:vertAlign w:val="subscript"/>
        </w:rPr>
        <w:t>NC</w:t>
      </w:r>
      <w:r>
        <w:t xml:space="preserve">, </w:t>
      </w:r>
      <w:r w:rsidRPr="00641E28">
        <w:t xml:space="preserve">where </w:t>
      </w:r>
      <w:r w:rsidRPr="00DC49D1">
        <w:rPr>
          <w:i/>
          <w:iCs/>
          <w:lang w:val="de-DE"/>
        </w:rPr>
        <w:t>θ</w:t>
      </w:r>
      <w:r w:rsidRPr="00DC49D1">
        <w:rPr>
          <w:vertAlign w:val="subscript"/>
        </w:rPr>
        <w:t>NC</w:t>
      </w:r>
      <w:r w:rsidRPr="00641E28">
        <w:t xml:space="preserve"> is the interstorey drift in the near collapse NC situation. Beyond </w:t>
      </w:r>
      <w:r w:rsidRPr="00DC49D1">
        <w:rPr>
          <w:rFonts w:ascii="Symbol" w:hAnsi="Symbol"/>
          <w:i/>
        </w:rPr>
        <w:t></w:t>
      </w:r>
      <w:r w:rsidRPr="00DC49D1">
        <w:rPr>
          <w:vertAlign w:val="subscript"/>
        </w:rPr>
        <w:t>NC</w:t>
      </w:r>
      <w:r w:rsidRPr="00641E28">
        <w:t xml:space="preserve">, the horizontal </w:t>
      </w:r>
      <w:r w:rsidRPr="00BC7C6D">
        <w:t>strength of the walls should drop to a residual strength.</w:t>
      </w:r>
    </w:p>
    <w:p w14:paraId="163925B6" w14:textId="77777777" w:rsidR="0092459A" w:rsidRPr="00BC7C6D" w:rsidRDefault="0092459A" w:rsidP="00724E4E">
      <w:pPr>
        <w:pStyle w:val="Clause"/>
      </w:pPr>
      <w:r w:rsidRPr="00BC7C6D">
        <w:t>Unless more detailed information is available, it should be assumed that the residual horizontal strength is equal to zero.</w:t>
      </w:r>
    </w:p>
    <w:p w14:paraId="2968638D" w14:textId="77777777" w:rsidR="0092459A" w:rsidRPr="00BC7C6D" w:rsidRDefault="0092459A" w:rsidP="00724E4E">
      <w:pPr>
        <w:pStyle w:val="Clause"/>
      </w:pPr>
      <w:r w:rsidRPr="00BC7C6D">
        <w:t xml:space="preserve">It may be assumed that walls maintain their axial load bearing capacity beyond </w:t>
      </w:r>
      <w:r w:rsidRPr="00BC7C6D">
        <w:rPr>
          <w:rFonts w:ascii="Symbol" w:hAnsi="Symbol"/>
          <w:i/>
        </w:rPr>
        <w:t></w:t>
      </w:r>
      <w:r w:rsidRPr="00BC7C6D">
        <w:rPr>
          <w:vertAlign w:val="subscript"/>
        </w:rPr>
        <w:t>NC</w:t>
      </w:r>
      <w:r w:rsidRPr="00BC7C6D">
        <w:t>.</w:t>
      </w:r>
    </w:p>
    <w:p w14:paraId="24BFE70D" w14:textId="77777777" w:rsidR="0092459A" w:rsidRPr="00BC7C6D" w:rsidRDefault="0092459A" w:rsidP="00641E28">
      <w:pPr>
        <w:pStyle w:val="Notetext"/>
      </w:pPr>
      <w:r w:rsidRPr="00BC7C6D">
        <w:t>NOTE</w:t>
      </w:r>
      <w:r w:rsidRPr="00BC7C6D">
        <w:tab/>
        <w:t xml:space="preserve">The deformation capacity of walls is given in Table 14.4. </w:t>
      </w:r>
    </w:p>
    <w:p w14:paraId="710F947E" w14:textId="77777777" w:rsidR="0092459A" w:rsidRPr="00BC7C6D" w:rsidRDefault="0092459A" w:rsidP="00724E4E">
      <w:pPr>
        <w:pStyle w:val="Clause"/>
      </w:pPr>
      <w:r w:rsidRPr="00BC7C6D">
        <w:t>The force-displacement models for walls should take into account the interaction between the shear resistance and axial forces, and between the moment resistance and axial force.</w:t>
      </w:r>
    </w:p>
    <w:p w14:paraId="7DC09D81" w14:textId="66316B2C" w:rsidR="0092459A" w:rsidRPr="00132C1E" w:rsidRDefault="0092459A" w:rsidP="0092459A">
      <w:pPr>
        <w:pStyle w:val="Heading4"/>
      </w:pPr>
      <w:bookmarkStart w:id="10697" w:name="_Toc108342638"/>
      <w:r w:rsidRPr="00132C1E">
        <w:t>Spandrels and ring beams</w:t>
      </w:r>
      <w:bookmarkEnd w:id="10697"/>
    </w:p>
    <w:p w14:paraId="61676841" w14:textId="77777777" w:rsidR="0092459A" w:rsidRPr="00132C1E" w:rsidRDefault="0092459A" w:rsidP="0080187E">
      <w:pPr>
        <w:pStyle w:val="Clause"/>
        <w:numPr>
          <w:ilvl w:val="0"/>
          <w:numId w:val="501"/>
        </w:numPr>
      </w:pPr>
      <w:bookmarkStart w:id="10698" w:name="_Ref19456174"/>
      <w:r w:rsidRPr="00132C1E">
        <w:t xml:space="preserve">The shear force–chord rotation relationship of </w:t>
      </w:r>
      <w:bookmarkStart w:id="10699" w:name="_Hlk37494267"/>
      <w:r w:rsidRPr="00132C1E">
        <w:t xml:space="preserve">an unreinforced masonry spandrel that is not supported by a reinforced concrete beam or a steel beam or a slab strip may be assumed elastic up to the </w:t>
      </w:r>
      <w:bookmarkStart w:id="10700" w:name="_Hlk38288240"/>
      <w:r w:rsidRPr="00132C1E">
        <w:t xml:space="preserve">peak shear strength </w:t>
      </w:r>
      <w:r w:rsidRPr="00DC49D1">
        <w:rPr>
          <w:i/>
          <w:iCs/>
        </w:rPr>
        <w:t>V</w:t>
      </w:r>
      <w:r w:rsidRPr="00DC49D1">
        <w:rPr>
          <w:vertAlign w:val="subscript"/>
        </w:rPr>
        <w:t>R,peak</w:t>
      </w:r>
      <w:r w:rsidRPr="00132C1E">
        <w:t xml:space="preserve"> </w:t>
      </w:r>
      <w:bookmarkEnd w:id="10700"/>
      <w:r w:rsidRPr="00132C1E">
        <w:t>c</w:t>
      </w:r>
      <w:bookmarkEnd w:id="10699"/>
      <w:r w:rsidRPr="00132C1E">
        <w:t>alculated by Formula (14.2).</w:t>
      </w:r>
      <w:bookmarkEnd w:id="10698"/>
    </w:p>
    <w:p w14:paraId="4360CDA8" w14:textId="37CE0718" w:rsidR="00641E28" w:rsidRDefault="009B5CEC" w:rsidP="00641E28">
      <w:pPr>
        <w:pStyle w:val="Formula"/>
        <w:spacing w:before="240"/>
      </w:pPr>
      <m:oMath>
        <m:sSub>
          <m:sSubPr>
            <m:ctrlPr>
              <w:rPr>
                <w:rFonts w:ascii="Cambria Math" w:hAnsi="Cambria Math"/>
              </w:rPr>
            </m:ctrlPr>
          </m:sSubPr>
          <m:e>
            <m:r>
              <w:rPr>
                <w:rFonts w:ascii="Cambria Math" w:hAnsi="Cambria Math"/>
              </w:rPr>
              <m:t>V</m:t>
            </m:r>
          </m:e>
          <m:sub>
            <m:r>
              <m:rPr>
                <m:sty m:val="p"/>
              </m:rPr>
              <w:rPr>
                <w:rFonts w:ascii="Cambria Math" w:hAnsi="Cambria Math"/>
              </w:rPr>
              <m:t>R,peak</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d</m:t>
                </m:r>
              </m:e>
              <m:sub>
                <m:r>
                  <m:rPr>
                    <m:sty m:val="p"/>
                  </m:rPr>
                  <w:rPr>
                    <w:rFonts w:ascii="Cambria Math" w:hAnsi="Cambria Math"/>
                  </w:rPr>
                  <m:t>sp</m:t>
                </m:r>
              </m:sub>
            </m:sSub>
            <m:sSub>
              <m:sSubPr>
                <m:ctrlPr>
                  <w:rPr>
                    <w:rFonts w:ascii="Cambria Math" w:hAnsi="Cambria Math"/>
                  </w:rPr>
                </m:ctrlPr>
              </m:sSubPr>
              <m:e>
                <m:r>
                  <w:rPr>
                    <w:rFonts w:ascii="Cambria Math" w:hAnsi="Cambria Math"/>
                  </w:rPr>
                  <m:t>t</m:t>
                </m:r>
              </m:e>
              <m:sub>
                <m:r>
                  <m:rPr>
                    <m:sty m:val="p"/>
                  </m:rPr>
                  <w:rPr>
                    <w:rFonts w:ascii="Cambria Math" w:hAnsi="Cambria Math"/>
                  </w:rPr>
                  <m:t>sp</m:t>
                </m:r>
              </m:sub>
            </m:sSub>
          </m:num>
          <m:den>
            <m:sSub>
              <m:sSubPr>
                <m:ctrlPr>
                  <w:rPr>
                    <w:rFonts w:ascii="Cambria Math" w:hAnsi="Cambria Math"/>
                  </w:rPr>
                </m:ctrlPr>
              </m:sSubPr>
              <m:e>
                <m:r>
                  <w:rPr>
                    <w:rFonts w:ascii="Cambria Math" w:hAnsi="Cambria Math"/>
                  </w:rPr>
                  <m:t>b</m:t>
                </m:r>
              </m:e>
              <m:sub>
                <m:r>
                  <m:rPr>
                    <m:sty m:val="p"/>
                  </m:rPr>
                  <w:rPr>
                    <w:rFonts w:ascii="Cambria Math" w:hAnsi="Cambria Math"/>
                  </w:rPr>
                  <m:t>sp</m:t>
                </m:r>
              </m:sub>
            </m:sSub>
          </m:den>
        </m:f>
        <m:sSub>
          <m:sSubPr>
            <m:ctrlPr>
              <w:rPr>
                <w:rFonts w:ascii="Cambria Math" w:hAnsi="Cambria Math"/>
              </w:rPr>
            </m:ctrlPr>
          </m:sSubPr>
          <m:e>
            <m:r>
              <w:rPr>
                <w:rFonts w:ascii="Cambria Math" w:hAnsi="Cambria Math"/>
              </w:rPr>
              <m:t>f</m:t>
            </m:r>
          </m:e>
          <m:sub>
            <m:r>
              <m:rPr>
                <m:sty m:val="p"/>
              </m:rPr>
              <w:rPr>
                <w:rFonts w:ascii="Cambria Math" w:hAnsi="Cambria Math"/>
              </w:rPr>
              <m:t>vk0</m:t>
            </m:r>
          </m:sub>
        </m:sSub>
        <m:r>
          <w:rPr>
            <w:rFonts w:ascii="Cambria Math" w:hAnsi="Cambria Math"/>
          </w:rPr>
          <m:t xml:space="preserve"> ≤</m:t>
        </m:r>
        <m:sSub>
          <m:sSubPr>
            <m:ctrlPr>
              <w:rPr>
                <w:rFonts w:ascii="Cambria Math" w:hAnsi="Cambria Math"/>
              </w:rPr>
            </m:ctrlPr>
          </m:sSubPr>
          <m:e>
            <m:r>
              <w:rPr>
                <w:rFonts w:ascii="Cambria Math" w:hAnsi="Cambria Math"/>
              </w:rPr>
              <m:t>V</m:t>
            </m:r>
          </m:e>
          <m:sub>
            <m:r>
              <m:rPr>
                <m:sty m:val="p"/>
              </m:rPr>
              <w:rPr>
                <w:rFonts w:ascii="Cambria Math" w:hAnsi="Cambria Math"/>
              </w:rPr>
              <m:t>R,lim</m:t>
            </m:r>
          </m:sub>
        </m:sSub>
      </m:oMath>
      <w:r w:rsidR="00641E28" w:rsidRPr="00870D59">
        <w:tab/>
        <w:t>(1</w:t>
      </w:r>
      <w:r w:rsidR="00641E28">
        <w:t>4</w:t>
      </w:r>
      <w:r w:rsidR="00641E28" w:rsidRPr="00870D59">
        <w:t>.</w:t>
      </w:r>
      <w:r w:rsidR="00641E28">
        <w:t>2</w:t>
      </w:r>
      <w:r w:rsidR="00641E28" w:rsidRPr="00870D59">
        <w:t>)</w:t>
      </w:r>
    </w:p>
    <w:p w14:paraId="73BE8736" w14:textId="38FA9E54" w:rsidR="00641E28" w:rsidRPr="001B2671" w:rsidRDefault="00675EBA" w:rsidP="00641E28">
      <w:pPr>
        <w:pStyle w:val="BodyText"/>
      </w:pPr>
      <w:r>
        <w:t>where</w:t>
      </w:r>
    </w:p>
    <w:tbl>
      <w:tblPr>
        <w:tblW w:w="0" w:type="auto"/>
        <w:tblInd w:w="346" w:type="dxa"/>
        <w:tblLook w:val="04A0" w:firstRow="1" w:lastRow="0" w:firstColumn="1" w:lastColumn="0" w:noHBand="0" w:noVBand="1"/>
      </w:tblPr>
      <w:tblGrid>
        <w:gridCol w:w="1275"/>
        <w:gridCol w:w="7938"/>
      </w:tblGrid>
      <w:tr w:rsidR="00641E28" w:rsidRPr="000F2AFF" w14:paraId="08CFA6E8" w14:textId="77777777" w:rsidTr="00E91A53">
        <w:tc>
          <w:tcPr>
            <w:tcW w:w="1275" w:type="dxa"/>
          </w:tcPr>
          <w:p w14:paraId="6F561302" w14:textId="7E980C25" w:rsidR="00641E28" w:rsidRPr="000F2AFF" w:rsidRDefault="00641E28" w:rsidP="002061E5">
            <w:pPr>
              <w:spacing w:after="60"/>
              <w:jc w:val="left"/>
              <w:rPr>
                <w:rFonts w:eastAsia="Times New Roman" w:cs="Cambria"/>
                <w:color w:val="000000" w:themeColor="text1"/>
                <w:szCs w:val="20"/>
                <w:lang w:eastAsia="fr-FR"/>
              </w:rPr>
            </w:pPr>
            <w:r w:rsidRPr="00E05E29">
              <w:rPr>
                <w:i/>
                <w:iCs/>
              </w:rPr>
              <w:t>V</w:t>
            </w:r>
            <w:r w:rsidRPr="00E05E29">
              <w:rPr>
                <w:vertAlign w:val="subscript"/>
              </w:rPr>
              <w:t>R, lim</w:t>
            </w:r>
          </w:p>
        </w:tc>
        <w:tc>
          <w:tcPr>
            <w:tcW w:w="7938" w:type="dxa"/>
          </w:tcPr>
          <w:p w14:paraId="54241F3F" w14:textId="6DD309CB" w:rsidR="00641E28" w:rsidRPr="00DF3AF1" w:rsidRDefault="00641E28" w:rsidP="002061E5">
            <w:pPr>
              <w:spacing w:after="60"/>
              <w:rPr>
                <w:rFonts w:eastAsia="Times New Roman" w:cs="Cambria"/>
                <w:szCs w:val="20"/>
                <w:lang w:eastAsia="fr-FR"/>
              </w:rPr>
            </w:pPr>
            <w:r w:rsidRPr="00E05E29">
              <w:t>is given by Formula (14.3);</w:t>
            </w:r>
          </w:p>
        </w:tc>
      </w:tr>
    </w:tbl>
    <w:p w14:paraId="7335FE99" w14:textId="1FB5346F" w:rsidR="00B9765C" w:rsidRDefault="009B5CEC" w:rsidP="00B9765C">
      <w:pPr>
        <w:pStyle w:val="Formula"/>
        <w:spacing w:before="240"/>
      </w:pPr>
      <m:oMath>
        <m:sSub>
          <m:sSubPr>
            <m:ctrlPr>
              <w:rPr>
                <w:rFonts w:ascii="Cambria Math" w:hAnsi="Cambria Math"/>
              </w:rPr>
            </m:ctrlPr>
          </m:sSubPr>
          <m:e>
            <m:r>
              <w:rPr>
                <w:rFonts w:ascii="Cambria Math" w:hAnsi="Cambria Math"/>
              </w:rPr>
              <m:t>V</m:t>
            </m:r>
          </m:e>
          <m:sub>
            <m:r>
              <m:rPr>
                <m:sty m:val="p"/>
              </m:rPr>
              <w:rPr>
                <w:rFonts w:ascii="Cambria Math" w:hAnsi="Cambria Math"/>
              </w:rPr>
              <m:t>R,lim</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d</m:t>
                </m:r>
              </m:e>
              <m:sub>
                <m:r>
                  <m:rPr>
                    <m:sty m:val="p"/>
                  </m:rPr>
                  <w:rPr>
                    <w:rFonts w:ascii="Cambria Math" w:hAnsi="Cambria Math"/>
                  </w:rPr>
                  <m:t>sp</m:t>
                </m:r>
              </m:sub>
            </m:sSub>
            <m:sSub>
              <m:sSubPr>
                <m:ctrlPr>
                  <w:rPr>
                    <w:rFonts w:ascii="Cambria Math" w:hAnsi="Cambria Math"/>
                  </w:rPr>
                </m:ctrlPr>
              </m:sSubPr>
              <m:e>
                <m:r>
                  <w:rPr>
                    <w:rFonts w:ascii="Cambria Math" w:hAnsi="Cambria Math"/>
                  </w:rPr>
                  <m:t>t</m:t>
                </m:r>
              </m:e>
              <m:sub>
                <m:r>
                  <m:rPr>
                    <m:sty m:val="p"/>
                  </m:rPr>
                  <w:rPr>
                    <w:rFonts w:ascii="Cambria Math" w:hAnsi="Cambria Math"/>
                  </w:rPr>
                  <m:t>sp</m:t>
                </m:r>
              </m:sub>
            </m:sSub>
          </m:num>
          <m:den>
            <m:sSub>
              <m:sSubPr>
                <m:ctrlPr>
                  <w:rPr>
                    <w:rFonts w:ascii="Cambria Math" w:hAnsi="Cambria Math"/>
                  </w:rPr>
                </m:ctrlPr>
              </m:sSubPr>
              <m:e>
                <m:r>
                  <w:rPr>
                    <w:rFonts w:ascii="Cambria Math" w:hAnsi="Cambria Math"/>
                  </w:rPr>
                  <m:t>b</m:t>
                </m:r>
              </m:e>
              <m:sub>
                <m:r>
                  <m:rPr>
                    <m:sty m:val="p"/>
                  </m:rPr>
                  <w:rPr>
                    <w:rFonts w:ascii="Cambria Math" w:hAnsi="Cambria Math"/>
                  </w:rPr>
                  <m:t>sp</m:t>
                </m:r>
              </m:sub>
            </m:sSub>
          </m:den>
        </m:f>
        <m:sSub>
          <m:sSubPr>
            <m:ctrlPr>
              <w:rPr>
                <w:rFonts w:ascii="Cambria Math" w:hAnsi="Cambria Math" w:cstheme="minorBidi"/>
              </w:rPr>
            </m:ctrlPr>
          </m:sSubPr>
          <m:e>
            <m:r>
              <w:rPr>
                <w:rFonts w:ascii="Cambria Math" w:hAnsi="Cambria Math"/>
              </w:rPr>
              <m:t>f</m:t>
            </m:r>
          </m:e>
          <m:sub>
            <m:r>
              <m:rPr>
                <m:sty m:val="p"/>
              </m:rPr>
              <w:rPr>
                <w:rFonts w:ascii="Cambria Math" w:hAnsi="Cambria Math"/>
              </w:rPr>
              <m:t>vlt</m:t>
            </m:r>
          </m:sub>
        </m:sSub>
      </m:oMath>
      <w:r w:rsidR="00B9765C" w:rsidRPr="00870D59">
        <w:tab/>
        <w:t>(1</w:t>
      </w:r>
      <w:r w:rsidR="00B9765C">
        <w:t>4</w:t>
      </w:r>
      <w:r w:rsidR="00B9765C" w:rsidRPr="00870D59">
        <w:t>.</w:t>
      </w:r>
      <w:r w:rsidR="00B9765C">
        <w:t>3</w:t>
      </w:r>
      <w:r w:rsidR="00B9765C" w:rsidRPr="00870D59">
        <w:t>)</w:t>
      </w:r>
    </w:p>
    <w:p w14:paraId="05A93CF3" w14:textId="601D2EEC" w:rsidR="00E91A53" w:rsidRPr="00E91A53" w:rsidRDefault="00E91A53" w:rsidP="00E91A53">
      <w:pPr>
        <w:pStyle w:val="BodyText"/>
      </w:pPr>
      <w:r>
        <w:t>where</w:t>
      </w:r>
    </w:p>
    <w:tbl>
      <w:tblPr>
        <w:tblW w:w="0" w:type="auto"/>
        <w:tblInd w:w="346" w:type="dxa"/>
        <w:tblLook w:val="04A0" w:firstRow="1" w:lastRow="0" w:firstColumn="1" w:lastColumn="0" w:noHBand="0" w:noVBand="1"/>
      </w:tblPr>
      <w:tblGrid>
        <w:gridCol w:w="1275"/>
        <w:gridCol w:w="7938"/>
      </w:tblGrid>
      <w:tr w:rsidR="00641E28" w:rsidRPr="000F2AFF" w14:paraId="056B945E" w14:textId="77777777" w:rsidTr="00E91A53">
        <w:tc>
          <w:tcPr>
            <w:tcW w:w="1275" w:type="dxa"/>
          </w:tcPr>
          <w:p w14:paraId="2142BECA" w14:textId="4405D8AF" w:rsidR="00641E28" w:rsidRPr="000F2AFF" w:rsidRDefault="00B9765C" w:rsidP="002061E5">
            <w:pPr>
              <w:spacing w:after="60"/>
              <w:jc w:val="left"/>
              <w:rPr>
                <w:rFonts w:eastAsia="Times New Roman" w:cs="Cambria"/>
                <w:color w:val="000000" w:themeColor="text1"/>
                <w:szCs w:val="20"/>
                <w:lang w:eastAsia="fr-FR"/>
              </w:rPr>
            </w:pPr>
            <w:r w:rsidRPr="00FD17CF">
              <w:rPr>
                <w:i/>
                <w:lang w:eastAsia="de-DE"/>
              </w:rPr>
              <w:t>f</w:t>
            </w:r>
            <w:r w:rsidRPr="00FD17CF">
              <w:rPr>
                <w:vertAlign w:val="subscript"/>
                <w:lang w:eastAsia="de-DE"/>
              </w:rPr>
              <w:t>vk0</w:t>
            </w:r>
          </w:p>
        </w:tc>
        <w:tc>
          <w:tcPr>
            <w:tcW w:w="7938" w:type="dxa"/>
          </w:tcPr>
          <w:p w14:paraId="189E212E" w14:textId="4EB04080" w:rsidR="00641E28" w:rsidRPr="00DF3AF1" w:rsidRDefault="00B9765C" w:rsidP="002061E5">
            <w:pPr>
              <w:spacing w:after="60"/>
              <w:rPr>
                <w:rFonts w:eastAsia="Times New Roman" w:cs="Cambria"/>
                <w:szCs w:val="20"/>
                <w:lang w:eastAsia="fr-FR"/>
              </w:rPr>
            </w:pPr>
            <w:r w:rsidRPr="00E05E29">
              <w:t>is the characteristic initial shear strength of masonry, under zero compressive stress;</w:t>
            </w:r>
          </w:p>
        </w:tc>
      </w:tr>
      <w:tr w:rsidR="00B9765C" w:rsidRPr="000F2AFF" w14:paraId="2D6564EC" w14:textId="77777777" w:rsidTr="00E91A53">
        <w:tc>
          <w:tcPr>
            <w:tcW w:w="1275" w:type="dxa"/>
          </w:tcPr>
          <w:p w14:paraId="4F7532B7" w14:textId="4339B177" w:rsidR="00B9765C" w:rsidRPr="000F2AFF" w:rsidRDefault="00B9765C" w:rsidP="002061E5">
            <w:pPr>
              <w:spacing w:after="60"/>
              <w:jc w:val="left"/>
              <w:rPr>
                <w:rFonts w:eastAsia="Times New Roman" w:cs="Cambria"/>
                <w:color w:val="000000" w:themeColor="text1"/>
                <w:szCs w:val="20"/>
                <w:lang w:eastAsia="fr-FR"/>
              </w:rPr>
            </w:pPr>
            <w:r w:rsidRPr="00E05E29">
              <w:rPr>
                <w:i/>
                <w:iCs/>
                <w:lang w:eastAsia="de-DE"/>
              </w:rPr>
              <w:t>d</w:t>
            </w:r>
            <w:r w:rsidRPr="00E05E29">
              <w:rPr>
                <w:iCs/>
                <w:vertAlign w:val="subscript"/>
                <w:lang w:eastAsia="de-DE"/>
              </w:rPr>
              <w:t>sp</w:t>
            </w:r>
          </w:p>
        </w:tc>
        <w:tc>
          <w:tcPr>
            <w:tcW w:w="7938" w:type="dxa"/>
          </w:tcPr>
          <w:p w14:paraId="5E2786A6" w14:textId="26F56752" w:rsidR="00B9765C" w:rsidRPr="00DF3AF1" w:rsidRDefault="00035ECF" w:rsidP="002061E5">
            <w:pPr>
              <w:spacing w:after="60"/>
              <w:rPr>
                <w:rFonts w:eastAsia="Times New Roman" w:cs="Cambria"/>
                <w:szCs w:val="20"/>
                <w:lang w:eastAsia="fr-FR"/>
              </w:rPr>
            </w:pPr>
            <w:r w:rsidRPr="00E05E29">
              <w:t>is the spandrel depth;</w:t>
            </w:r>
          </w:p>
        </w:tc>
      </w:tr>
      <w:tr w:rsidR="00B9765C" w:rsidRPr="000F2AFF" w14:paraId="61B14E48" w14:textId="77777777" w:rsidTr="00E91A53">
        <w:tc>
          <w:tcPr>
            <w:tcW w:w="1275" w:type="dxa"/>
          </w:tcPr>
          <w:p w14:paraId="7732B39A" w14:textId="466930F9" w:rsidR="00B9765C" w:rsidRPr="000F2AFF" w:rsidRDefault="00B9765C" w:rsidP="002061E5">
            <w:pPr>
              <w:spacing w:after="60"/>
              <w:jc w:val="left"/>
              <w:rPr>
                <w:rFonts w:eastAsia="Times New Roman" w:cs="Cambria"/>
                <w:color w:val="000000" w:themeColor="text1"/>
                <w:szCs w:val="20"/>
                <w:lang w:eastAsia="fr-FR"/>
              </w:rPr>
            </w:pPr>
            <w:r w:rsidRPr="00196951">
              <w:rPr>
                <w:rFonts w:ascii="TimesNewRoman,Italic" w:hAnsi="TimesNewRoman,Italic" w:cs="TimesNewRoman,Italic"/>
                <w:i/>
                <w:lang w:eastAsia="de-DE"/>
              </w:rPr>
              <w:t>t</w:t>
            </w:r>
            <w:r w:rsidRPr="002144A0">
              <w:rPr>
                <w:iCs/>
                <w:vertAlign w:val="subscript"/>
                <w:lang w:eastAsia="de-DE"/>
              </w:rPr>
              <w:t>sp</w:t>
            </w:r>
          </w:p>
        </w:tc>
        <w:tc>
          <w:tcPr>
            <w:tcW w:w="7938" w:type="dxa"/>
          </w:tcPr>
          <w:p w14:paraId="6F210B09" w14:textId="7250B660" w:rsidR="00B9765C" w:rsidRPr="00DF3AF1" w:rsidRDefault="00035ECF" w:rsidP="002061E5">
            <w:pPr>
              <w:spacing w:after="60"/>
              <w:rPr>
                <w:rFonts w:eastAsia="Times New Roman" w:cs="Cambria"/>
                <w:szCs w:val="20"/>
                <w:lang w:eastAsia="fr-FR"/>
              </w:rPr>
            </w:pPr>
            <w:r w:rsidRPr="002144A0">
              <w:t>is the spandrel thickness;</w:t>
            </w:r>
          </w:p>
        </w:tc>
      </w:tr>
      <w:tr w:rsidR="00B9765C" w:rsidRPr="000F2AFF" w14:paraId="770F051D" w14:textId="77777777" w:rsidTr="00E91A53">
        <w:tc>
          <w:tcPr>
            <w:tcW w:w="1275" w:type="dxa"/>
          </w:tcPr>
          <w:p w14:paraId="11394C48" w14:textId="5F265C1D" w:rsidR="00B9765C" w:rsidRPr="000F2AFF" w:rsidRDefault="00035ECF" w:rsidP="002061E5">
            <w:pPr>
              <w:spacing w:after="60"/>
              <w:jc w:val="left"/>
              <w:rPr>
                <w:rFonts w:eastAsia="Times New Roman" w:cs="Cambria"/>
                <w:color w:val="000000" w:themeColor="text1"/>
                <w:szCs w:val="20"/>
                <w:lang w:eastAsia="fr-FR"/>
              </w:rPr>
            </w:pPr>
            <w:r w:rsidRPr="002144A0">
              <w:rPr>
                <w:rFonts w:ascii="TimesNewRoman,Italic" w:hAnsi="TimesNewRoman,Italic" w:cs="TimesNewRoman,Italic"/>
                <w:i/>
                <w:lang w:eastAsia="de-DE"/>
              </w:rPr>
              <w:t>h</w:t>
            </w:r>
            <w:r w:rsidRPr="002144A0">
              <w:rPr>
                <w:iCs/>
                <w:vertAlign w:val="subscript"/>
                <w:lang w:eastAsia="de-DE"/>
              </w:rPr>
              <w:t>sp</w:t>
            </w:r>
          </w:p>
        </w:tc>
        <w:tc>
          <w:tcPr>
            <w:tcW w:w="7938" w:type="dxa"/>
          </w:tcPr>
          <w:p w14:paraId="5E301E80" w14:textId="29107E39" w:rsidR="00B9765C" w:rsidRPr="00DF3AF1" w:rsidRDefault="00035ECF" w:rsidP="002061E5">
            <w:pPr>
              <w:spacing w:after="60"/>
              <w:rPr>
                <w:rFonts w:eastAsia="Times New Roman" w:cs="Cambria"/>
                <w:szCs w:val="20"/>
                <w:lang w:eastAsia="fr-FR"/>
              </w:rPr>
            </w:pPr>
            <w:r w:rsidRPr="004F25D7">
              <w:t xml:space="preserve">is the </w:t>
            </w:r>
            <w:r w:rsidRPr="00C52095">
              <w:t>spandrel length;</w:t>
            </w:r>
          </w:p>
        </w:tc>
      </w:tr>
      <w:tr w:rsidR="00641E28" w:rsidRPr="000F2AFF" w14:paraId="101D334F" w14:textId="77777777" w:rsidTr="00E91A53">
        <w:tc>
          <w:tcPr>
            <w:tcW w:w="1275" w:type="dxa"/>
          </w:tcPr>
          <w:p w14:paraId="0B278589" w14:textId="1FCB0732" w:rsidR="00641E28" w:rsidRPr="000F2AFF" w:rsidRDefault="00035ECF" w:rsidP="002061E5">
            <w:pPr>
              <w:spacing w:after="60"/>
              <w:jc w:val="left"/>
              <w:rPr>
                <w:rFonts w:eastAsia="Times New Roman" w:cs="Cambria"/>
                <w:color w:val="000000" w:themeColor="text1"/>
                <w:szCs w:val="20"/>
                <w:lang w:eastAsia="fr-FR"/>
              </w:rPr>
            </w:pPr>
            <w:r w:rsidRPr="00C52095">
              <w:rPr>
                <w:rFonts w:ascii="TimesNewRoman,Italic" w:hAnsi="TimesNewRoman,Italic" w:cs="TimesNewRoman,Italic"/>
                <w:i/>
                <w:lang w:eastAsia="de-DE"/>
              </w:rPr>
              <w:t>b</w:t>
            </w:r>
            <w:r w:rsidRPr="00C52095">
              <w:rPr>
                <w:iCs/>
                <w:vertAlign w:val="subscript"/>
                <w:lang w:eastAsia="de-DE"/>
              </w:rPr>
              <w:t>sp</w:t>
            </w:r>
          </w:p>
        </w:tc>
        <w:tc>
          <w:tcPr>
            <w:tcW w:w="7938" w:type="dxa"/>
          </w:tcPr>
          <w:p w14:paraId="063A92C5" w14:textId="3E68F2B2" w:rsidR="00641E28" w:rsidRPr="00464B4C" w:rsidRDefault="00035ECF" w:rsidP="002061E5">
            <w:pPr>
              <w:spacing w:after="60"/>
              <w:rPr>
                <w:rFonts w:eastAsia="Times New Roman" w:cs="Cambria"/>
                <w:color w:val="000000" w:themeColor="text1"/>
                <w:szCs w:val="20"/>
                <w:lang w:eastAsia="fr-FR"/>
              </w:rPr>
            </w:pPr>
            <w:r w:rsidRPr="007754C9">
              <w:t xml:space="preserve">is a correction coefficient related to the shear stress distribution in the middle section of the panel and to the aspect ratio </w:t>
            </w:r>
            <w:r w:rsidRPr="00132C1E">
              <w:rPr>
                <w:i/>
                <w:iCs/>
              </w:rPr>
              <w:t>h</w:t>
            </w:r>
            <w:r w:rsidRPr="00132C1E">
              <w:rPr>
                <w:vertAlign w:val="subscript"/>
              </w:rPr>
              <w:t>sp</w:t>
            </w:r>
            <w:r w:rsidRPr="00132C1E">
              <w:t>/</w:t>
            </w:r>
            <w:r w:rsidRPr="00132C1E">
              <w:rPr>
                <w:i/>
                <w:iCs/>
              </w:rPr>
              <w:t>d</w:t>
            </w:r>
            <w:r w:rsidRPr="00132C1E">
              <w:rPr>
                <w:vertAlign w:val="subscript"/>
              </w:rPr>
              <w:t>sp</w:t>
            </w:r>
            <w:r w:rsidRPr="00132C1E">
              <w:t xml:space="preserve"> of the panel, however not smaller than 1,0 and not greater than 1,5;</w:t>
            </w:r>
          </w:p>
        </w:tc>
      </w:tr>
      <w:tr w:rsidR="00641E28" w:rsidRPr="000F2AFF" w14:paraId="1497583D" w14:textId="77777777" w:rsidTr="00E91A53">
        <w:tc>
          <w:tcPr>
            <w:tcW w:w="1275" w:type="dxa"/>
          </w:tcPr>
          <w:p w14:paraId="4B4629D3" w14:textId="51A42211" w:rsidR="00641E28" w:rsidRPr="00B45D20" w:rsidRDefault="00035ECF" w:rsidP="002061E5">
            <w:pPr>
              <w:spacing w:after="60"/>
              <w:jc w:val="left"/>
              <w:rPr>
                <w:i/>
                <w:iCs/>
              </w:rPr>
            </w:pPr>
            <w:r w:rsidRPr="00C43780">
              <w:rPr>
                <w:i/>
                <w:iCs/>
                <w:lang w:eastAsia="de-DE"/>
              </w:rPr>
              <w:t>f</w:t>
            </w:r>
            <w:r w:rsidRPr="00C43780">
              <w:rPr>
                <w:vertAlign w:val="subscript"/>
                <w:lang w:eastAsia="de-DE"/>
              </w:rPr>
              <w:t>vlt</w:t>
            </w:r>
          </w:p>
        </w:tc>
        <w:tc>
          <w:tcPr>
            <w:tcW w:w="7938" w:type="dxa"/>
          </w:tcPr>
          <w:p w14:paraId="5DBF7278" w14:textId="148BB303" w:rsidR="00641E28" w:rsidRPr="0092459A" w:rsidRDefault="00035ECF" w:rsidP="002061E5">
            <w:pPr>
              <w:spacing w:after="60"/>
              <w:rPr>
                <w:lang w:val="en-US"/>
              </w:rPr>
            </w:pPr>
            <w:r w:rsidRPr="00C43780">
              <w:rPr>
                <w:rFonts w:eastAsia="Cambria"/>
                <w:i/>
                <w:iCs/>
              </w:rPr>
              <w:t>f</w:t>
            </w:r>
            <w:r w:rsidRPr="00C43780">
              <w:rPr>
                <w:rFonts w:eastAsia="Cambria"/>
                <w:vertAlign w:val="subscript"/>
              </w:rPr>
              <w:t>vlt</w:t>
            </w:r>
            <w:r w:rsidRPr="00C43780">
              <w:rPr>
                <w:rFonts w:eastAsia="Cambria"/>
              </w:rPr>
              <w:t xml:space="preserve"> is a limit to the </w:t>
            </w:r>
            <w:r w:rsidRPr="005B7D13">
              <w:rPr>
                <w:rFonts w:eastAsia="Cambria"/>
              </w:rPr>
              <w:t xml:space="preserve">value of </w:t>
            </w:r>
            <w:r w:rsidRPr="005B7D13">
              <w:rPr>
                <w:rFonts w:eastAsia="Cambria"/>
                <w:i/>
                <w:iCs/>
              </w:rPr>
              <w:t>f</w:t>
            </w:r>
            <w:r w:rsidRPr="005B7D13">
              <w:rPr>
                <w:rFonts w:eastAsia="Cambria"/>
                <w:vertAlign w:val="subscript"/>
              </w:rPr>
              <w:t>vk</w:t>
            </w:r>
            <w:r w:rsidRPr="005B7D13">
              <w:rPr>
                <w:rFonts w:eastAsia="Cambria"/>
              </w:rPr>
              <w:t xml:space="preserve"> as in EN</w:t>
            </w:r>
            <w:r w:rsidR="0063506B" w:rsidRPr="005B7D13">
              <w:rPr>
                <w:rFonts w:eastAsia="Cambria"/>
              </w:rPr>
              <w:t> </w:t>
            </w:r>
            <w:r w:rsidRPr="005B7D13">
              <w:rPr>
                <w:rFonts w:eastAsia="Cambria"/>
              </w:rPr>
              <w:t>1996-1-1:202</w:t>
            </w:r>
            <w:r w:rsidR="0063506B" w:rsidRPr="005B7D13">
              <w:rPr>
                <w:rFonts w:eastAsia="Cambria"/>
              </w:rPr>
              <w:t>2</w:t>
            </w:r>
            <w:r w:rsidRPr="005B7D13">
              <w:rPr>
                <w:rFonts w:eastAsia="Cambria"/>
              </w:rPr>
              <w:t>, 5.7.2.1(1).</w:t>
            </w:r>
          </w:p>
        </w:tc>
      </w:tr>
    </w:tbl>
    <w:p w14:paraId="1CD66C9D" w14:textId="77777777" w:rsidR="00035ECF" w:rsidRPr="00132C1E" w:rsidRDefault="00035ECF" w:rsidP="00724E4E">
      <w:pPr>
        <w:pStyle w:val="Clause"/>
      </w:pPr>
      <w:r w:rsidRPr="00132C1E">
        <w:t xml:space="preserve">More refined modelling than in </w:t>
      </w:r>
      <w:r w:rsidRPr="00835C82">
        <w:t>(1)</w:t>
      </w:r>
      <w:r w:rsidRPr="00132C1E">
        <w:t xml:space="preserve"> may be used if the axial force in the spandrel can be reliably estimated.</w:t>
      </w:r>
    </w:p>
    <w:p w14:paraId="691187AB" w14:textId="77777777" w:rsidR="00035ECF" w:rsidRPr="00132C1E" w:rsidRDefault="00035ECF" w:rsidP="00724E4E">
      <w:pPr>
        <w:pStyle w:val="Clause"/>
      </w:pPr>
      <w:r w:rsidRPr="00132C1E">
        <w:lastRenderedPageBreak/>
        <w:t>If the model used for an unreinforced masonry spandrel does not capture the elongation due to non-linear flexural deformations, its shear force-chord relationship may be assumed as elastic-perfectly plastic.</w:t>
      </w:r>
    </w:p>
    <w:p w14:paraId="608E93A5" w14:textId="77777777" w:rsidR="00035ECF" w:rsidRPr="00132C1E" w:rsidRDefault="00035ECF" w:rsidP="00724E4E">
      <w:pPr>
        <w:pStyle w:val="Clause"/>
      </w:pPr>
      <w:r w:rsidRPr="00C86D02">
        <w:t xml:space="preserve">With a model of unreinforced masonry spandrel model able to represent the elongation due to non-linear flexural deformations, the shear force-chord rotation relationship of the spandrel may be modelled as trilinear with the three branches a), b) and c): </w:t>
      </w:r>
      <w:bookmarkStart w:id="10701" w:name="_Hlk38287994"/>
      <w:bookmarkStart w:id="10702" w:name="_Hlk38288094"/>
      <w:bookmarkEnd w:id="10701"/>
      <w:bookmarkEnd w:id="10702"/>
    </w:p>
    <w:p w14:paraId="58C309B1" w14:textId="77777777" w:rsidR="00035ECF" w:rsidRPr="00C86D02" w:rsidRDefault="00035ECF" w:rsidP="00E91A53">
      <w:pPr>
        <w:pStyle w:val="Text"/>
        <w:numPr>
          <w:ilvl w:val="0"/>
          <w:numId w:val="682"/>
        </w:numPr>
        <w:spacing w:after="200"/>
      </w:pPr>
      <w:r w:rsidRPr="00C86D02">
        <w:t xml:space="preserve">a linear elastic branch up to the chord rotation </w:t>
      </w:r>
      <w:r w:rsidRPr="00C86D02">
        <w:rPr>
          <w:i/>
        </w:rPr>
        <w:t>θ</w:t>
      </w:r>
      <w:r w:rsidRPr="00C86D02">
        <w:rPr>
          <w:vertAlign w:val="subscript"/>
        </w:rPr>
        <w:t>y</w:t>
      </w:r>
      <w:r w:rsidRPr="00C86D02">
        <w:t> </w:t>
      </w:r>
      <w:r w:rsidRPr="00C86D02">
        <w:rPr>
          <w:rFonts w:ascii="Symbol" w:hAnsi="Symbol"/>
        </w:rPr>
        <w:t></w:t>
      </w:r>
      <w:r w:rsidRPr="00C86D02">
        <w:t> </w:t>
      </w:r>
      <w:r w:rsidRPr="00C86D02">
        <w:rPr>
          <w:i/>
        </w:rPr>
        <w:t>V</w:t>
      </w:r>
      <w:r w:rsidRPr="00C86D02">
        <w:rPr>
          <w:vertAlign w:val="subscript"/>
        </w:rPr>
        <w:t>R,peak</w:t>
      </w:r>
      <w:r w:rsidRPr="00C86D02">
        <w:t>/</w:t>
      </w:r>
      <w:r w:rsidRPr="00C86D02">
        <w:rPr>
          <w:i/>
        </w:rPr>
        <w:t>K</w:t>
      </w:r>
      <w:r w:rsidRPr="00C86D02">
        <w:rPr>
          <w:vertAlign w:val="subscript"/>
        </w:rPr>
        <w:t>eff</w:t>
      </w:r>
      <w:r w:rsidRPr="00C86D02">
        <w:t xml:space="preserve"> where </w:t>
      </w:r>
      <w:r w:rsidRPr="00C86D02">
        <w:rPr>
          <w:i/>
        </w:rPr>
        <w:t>V</w:t>
      </w:r>
      <w:r w:rsidRPr="00C86D02">
        <w:rPr>
          <w:vertAlign w:val="subscript"/>
        </w:rPr>
        <w:t>R,peak</w:t>
      </w:r>
      <w:r w:rsidRPr="00C86D02">
        <w:t xml:space="preserve"> is given by Formula (14.2);</w:t>
      </w:r>
    </w:p>
    <w:p w14:paraId="4D57A297" w14:textId="77777777" w:rsidR="00035ECF" w:rsidRPr="00C86D02" w:rsidRDefault="00035ECF" w:rsidP="00E91A53">
      <w:pPr>
        <w:pStyle w:val="Text"/>
        <w:numPr>
          <w:ilvl w:val="0"/>
          <w:numId w:val="682"/>
        </w:numPr>
        <w:spacing w:after="200"/>
      </w:pPr>
      <w:r w:rsidRPr="00C86D02">
        <w:t>a linear decreasing branch down to a residual strength;</w:t>
      </w:r>
    </w:p>
    <w:p w14:paraId="36056C26" w14:textId="1CFA3824" w:rsidR="00035ECF" w:rsidRPr="00C86D02" w:rsidRDefault="00035ECF" w:rsidP="00E91A53">
      <w:pPr>
        <w:pStyle w:val="Text"/>
        <w:numPr>
          <w:ilvl w:val="0"/>
          <w:numId w:val="682"/>
        </w:numPr>
        <w:spacing w:after="200"/>
      </w:pPr>
      <w:r w:rsidRPr="00C86D02">
        <w:t xml:space="preserve">a horizontal branch representing the residual strength; the latter may be taken as a function of the axial force in the spandrel only, but not greater than </w:t>
      </w:r>
      <w:r w:rsidRPr="00C86D02">
        <w:rPr>
          <w:i/>
        </w:rPr>
        <w:t>V</w:t>
      </w:r>
      <w:r w:rsidRPr="00C86D02">
        <w:rPr>
          <w:vertAlign w:val="subscript"/>
        </w:rPr>
        <w:t>R,peak</w:t>
      </w:r>
      <w:r w:rsidRPr="00C86D02">
        <w:t>.</w:t>
      </w:r>
    </w:p>
    <w:p w14:paraId="0912B9DC" w14:textId="77777777" w:rsidR="00035ECF" w:rsidRPr="00C86D02" w:rsidRDefault="00035ECF" w:rsidP="00724E4E">
      <w:pPr>
        <w:pStyle w:val="Clause"/>
      </w:pPr>
      <w:r w:rsidRPr="00C86D02">
        <w:t xml:space="preserve">When using the model in </w:t>
      </w:r>
      <w:r w:rsidRPr="00835C82">
        <w:t>(4)</w:t>
      </w:r>
      <w:r w:rsidRPr="00C86D02">
        <w:t>, the shear action effect may be calculated assuming flexural rocking in the two end sections of the spandrel for a zero tensile strength</w:t>
      </w:r>
      <w:r w:rsidRPr="00132C1E">
        <w:t xml:space="preserve"> </w:t>
      </w:r>
    </w:p>
    <w:p w14:paraId="2E70EE69" w14:textId="77777777" w:rsidR="00035ECF" w:rsidRPr="00C86D02" w:rsidRDefault="00035ECF" w:rsidP="00724E4E">
      <w:pPr>
        <w:pStyle w:val="Clause"/>
      </w:pPr>
      <w:r w:rsidRPr="00132C1E">
        <w:t>The flexural and shear capacity of reinforced and confined masonry spandrels and reinforced concrete ring beams may be calculated assuming zero axial force. The shear force-chord relationship may be assumed as elastic-perfectly plastic.</w:t>
      </w:r>
    </w:p>
    <w:p w14:paraId="3D77028B" w14:textId="77777777" w:rsidR="00035ECF" w:rsidRPr="00132C1E" w:rsidRDefault="00035ECF" w:rsidP="00724E4E">
      <w:pPr>
        <w:pStyle w:val="Clause"/>
      </w:pPr>
      <w:r w:rsidRPr="00132C1E">
        <w:t>Spandrels and ring beams may be modelled as elastic-perfectly plastic in compression with an unlimited deformation capacity. In tension, unreinforced masonry spandrels may be modelled as elastic-perfectly brittle; reinforced and confined masonry spandrels and ring beams may be modelled as elastic-perfectly plastic with an unlimited deformation capacity.</w:t>
      </w:r>
    </w:p>
    <w:p w14:paraId="19A96484" w14:textId="2B9969BE" w:rsidR="00035ECF" w:rsidRPr="00132C1E" w:rsidRDefault="00035ECF" w:rsidP="00035ECF">
      <w:pPr>
        <w:pStyle w:val="Notetext"/>
      </w:pPr>
      <w:r w:rsidRPr="00132C1E">
        <w:t>NOTE</w:t>
      </w:r>
      <w:r w:rsidRPr="00132C1E">
        <w:tab/>
        <w:t xml:space="preserve">The deformation capacity of spandrels </w:t>
      </w:r>
      <w:r w:rsidRPr="003E2FDF">
        <w:t>is given in 14.9(5). The deformation capacity of reinforced concrete beams is given in pr</w:t>
      </w:r>
      <w:r w:rsidR="00C30FF9" w:rsidRPr="003E2FDF">
        <w:t>EN 1</w:t>
      </w:r>
      <w:r w:rsidRPr="003E2FDF">
        <w:t>998-1-1:2022, 7.2.</w:t>
      </w:r>
    </w:p>
    <w:p w14:paraId="1281E383" w14:textId="77777777" w:rsidR="00035ECF" w:rsidRPr="00132C1E" w:rsidRDefault="00035ECF" w:rsidP="00035ECF">
      <w:pPr>
        <w:pStyle w:val="Heading4"/>
      </w:pPr>
      <w:bookmarkStart w:id="10703" w:name="_Toc108342639"/>
      <w:r w:rsidRPr="00132C1E">
        <w:t>Diaphragms and slabs</w:t>
      </w:r>
      <w:bookmarkEnd w:id="10703"/>
    </w:p>
    <w:p w14:paraId="1C01DDFA" w14:textId="77777777" w:rsidR="00035ECF" w:rsidRPr="00132C1E" w:rsidRDefault="00035ECF" w:rsidP="0080187E">
      <w:pPr>
        <w:pStyle w:val="Clause"/>
        <w:numPr>
          <w:ilvl w:val="0"/>
          <w:numId w:val="502"/>
        </w:numPr>
      </w:pPr>
      <w:r w:rsidRPr="00132C1E">
        <w:t xml:space="preserve">If the diaphragm stiffness does not satisfy the condition of rigidity in </w:t>
      </w:r>
      <w:r w:rsidRPr="00835C82">
        <w:t>14.5.1.3(3)</w:t>
      </w:r>
      <w:r w:rsidRPr="00132C1E">
        <w:t>, its actual stiffness should be reflected in the model.</w:t>
      </w:r>
    </w:p>
    <w:p w14:paraId="0EAD7AF1" w14:textId="77777777" w:rsidR="00035ECF" w:rsidRPr="00132C1E" w:rsidRDefault="00035ECF" w:rsidP="00724E4E">
      <w:pPr>
        <w:pStyle w:val="Clause"/>
      </w:pPr>
      <w:r w:rsidRPr="00132C1E">
        <w:t>Slabs and diaphragms may be modelled with a linear behaviour.</w:t>
      </w:r>
    </w:p>
    <w:p w14:paraId="30522F17" w14:textId="01BD6D09" w:rsidR="00035ECF" w:rsidRPr="00132C1E" w:rsidRDefault="00035ECF" w:rsidP="00035ECF">
      <w:pPr>
        <w:pStyle w:val="Heading3"/>
      </w:pPr>
      <w:bookmarkStart w:id="10704" w:name="_Toc7368761"/>
      <w:bookmarkStart w:id="10705" w:name="_Toc19566936"/>
      <w:bookmarkStart w:id="10706" w:name="_Toc50150630"/>
      <w:bookmarkStart w:id="10707" w:name="_Toc70887062"/>
      <w:bookmarkStart w:id="10708" w:name="_Toc108342640"/>
      <w:bookmarkStart w:id="10709" w:name="_Toc134198154"/>
      <w:r w:rsidRPr="00132C1E">
        <w:t>Force based analysis</w:t>
      </w:r>
      <w:bookmarkEnd w:id="10704"/>
      <w:bookmarkEnd w:id="10705"/>
      <w:bookmarkEnd w:id="10706"/>
      <w:bookmarkEnd w:id="10707"/>
      <w:bookmarkEnd w:id="10708"/>
      <w:bookmarkEnd w:id="10709"/>
    </w:p>
    <w:p w14:paraId="5BE56064" w14:textId="77777777" w:rsidR="00035ECF" w:rsidRPr="00132C1E" w:rsidRDefault="00035ECF" w:rsidP="0080187E">
      <w:pPr>
        <w:pStyle w:val="Clause"/>
        <w:numPr>
          <w:ilvl w:val="0"/>
          <w:numId w:val="636"/>
        </w:numPr>
      </w:pPr>
      <w:bookmarkStart w:id="10710" w:name="_Toc18144223"/>
      <w:bookmarkStart w:id="10711" w:name="_Toc18144224"/>
      <w:bookmarkEnd w:id="10710"/>
      <w:bookmarkEnd w:id="10711"/>
      <w:r w:rsidRPr="00132C1E">
        <w:t xml:space="preserve">The control of second order effects according to </w:t>
      </w:r>
      <w:r w:rsidRPr="00835C82">
        <w:t>6.2.4</w:t>
      </w:r>
      <w:r w:rsidRPr="00132C1E">
        <w:t xml:space="preserve"> may be neglected.</w:t>
      </w:r>
      <w:bookmarkStart w:id="10712" w:name="_Ref19457042"/>
    </w:p>
    <w:p w14:paraId="09AFD0C5" w14:textId="2E642FFE" w:rsidR="00035ECF" w:rsidRPr="00C86D02" w:rsidRDefault="00035ECF" w:rsidP="00724E4E">
      <w:pPr>
        <w:pStyle w:val="Clause"/>
      </w:pPr>
      <w:r w:rsidRPr="00132C1E">
        <w:t xml:space="preserve">The shear force and bending moments </w:t>
      </w:r>
      <w:r w:rsidRPr="00BC7C6D">
        <w:t xml:space="preserve">in walls obtained by linear analysis may be redistributed among the walls if </w:t>
      </w:r>
      <w:r w:rsidRPr="00835C82">
        <w:t>(3)</w:t>
      </w:r>
      <w:r w:rsidRPr="00BC7C6D">
        <w:t xml:space="preserve"> and </w:t>
      </w:r>
      <w:r w:rsidRPr="00835C82">
        <w:t>(4)</w:t>
      </w:r>
      <w:r w:rsidR="003E2FDF">
        <w:t>,</w:t>
      </w:r>
      <w:r w:rsidRPr="00BC7C6D">
        <w:t xml:space="preserve"> or </w:t>
      </w:r>
      <w:r w:rsidRPr="00835C82">
        <w:t>(5)</w:t>
      </w:r>
      <w:r w:rsidRPr="00BC7C6D">
        <w:t xml:space="preserve"> and</w:t>
      </w:r>
      <w:r w:rsidRPr="00835C82">
        <w:t xml:space="preserve"> (8)</w:t>
      </w:r>
      <w:r w:rsidR="003E2FDF">
        <w:t>,</w:t>
      </w:r>
      <w:r w:rsidRPr="00835C82">
        <w:t xml:space="preserve"> </w:t>
      </w:r>
      <w:r w:rsidRPr="00BC7C6D">
        <w:t xml:space="preserve">and </w:t>
      </w:r>
      <w:r w:rsidRPr="00835C82">
        <w:t>(9)</w:t>
      </w:r>
      <w:r w:rsidRPr="00BC7C6D">
        <w:t xml:space="preserve"> are satisfied.</w:t>
      </w:r>
      <w:bookmarkStart w:id="10713" w:name="_Ref19456913"/>
      <w:bookmarkEnd w:id="10712"/>
    </w:p>
    <w:p w14:paraId="38E8D362" w14:textId="77777777" w:rsidR="00035ECF" w:rsidRPr="00132C1E" w:rsidRDefault="00035ECF" w:rsidP="00724E4E">
      <w:pPr>
        <w:pStyle w:val="Clause"/>
      </w:pPr>
      <w:r w:rsidRPr="00132C1E">
        <w:t>Whenever redistribution is carried out, global equilibrium should be satisfied.</w:t>
      </w:r>
    </w:p>
    <w:p w14:paraId="57022AD2" w14:textId="1F4305FB" w:rsidR="00035ECF" w:rsidRPr="00132C1E" w:rsidRDefault="00035ECF" w:rsidP="00035ECF">
      <w:pPr>
        <w:pStyle w:val="Notetext"/>
      </w:pPr>
      <w:r w:rsidRPr="00132C1E">
        <w:t>NOTE</w:t>
      </w:r>
      <w:r w:rsidRPr="00132C1E">
        <w:tab/>
        <w:t>This is real</w:t>
      </w:r>
      <w:r w:rsidR="00E10A24">
        <w:t>ize</w:t>
      </w:r>
      <w:r w:rsidRPr="00132C1E">
        <w:t>d if the total storey shear and the position of the resultant force are the same.</w:t>
      </w:r>
      <w:bookmarkEnd w:id="10713"/>
    </w:p>
    <w:p w14:paraId="09319A6D" w14:textId="77777777" w:rsidR="00035ECF" w:rsidRPr="00BC7C6D" w:rsidRDefault="00035ECF" w:rsidP="00724E4E">
      <w:pPr>
        <w:pStyle w:val="Clause"/>
      </w:pPr>
      <w:r w:rsidRPr="00132C1E">
        <w:t xml:space="preserve">If </w:t>
      </w:r>
      <w:r w:rsidRPr="00C86D02">
        <w:rPr>
          <w:i/>
        </w:rPr>
        <w:t>q</w:t>
      </w:r>
      <w:r w:rsidRPr="00C86D02">
        <w:rPr>
          <w:vertAlign w:val="subscript"/>
        </w:rPr>
        <w:t>R</w:t>
      </w:r>
      <w:r w:rsidRPr="00132C1E">
        <w:t xml:space="preserve"> is taken greater than 1,0, the reduction or increase </w:t>
      </w:r>
      <w:r w:rsidRPr="00C86D02">
        <w:rPr>
          <w:rFonts w:ascii="Symbol" w:hAnsi="Symbol"/>
          <w:i/>
        </w:rPr>
        <w:t></w:t>
      </w:r>
      <w:r w:rsidRPr="00C86D02">
        <w:rPr>
          <w:i/>
        </w:rPr>
        <w:t>V</w:t>
      </w:r>
      <w:r w:rsidRPr="00132C1E">
        <w:t xml:space="preserve"> of the absolute value of the shear force in </w:t>
      </w:r>
      <w:r w:rsidRPr="00BC7C6D">
        <w:t xml:space="preserve">wall </w:t>
      </w:r>
      <w:r w:rsidRPr="00066897">
        <w:rPr>
          <w:i/>
          <w:iCs/>
        </w:rPr>
        <w:t>i</w:t>
      </w:r>
      <w:r w:rsidRPr="00BC7C6D">
        <w:t xml:space="preserve"> in any type of masonry resulting from a redistribution of forces should not be greater than </w:t>
      </w:r>
      <w:r w:rsidRPr="00BC7C6D">
        <w:rPr>
          <w:rFonts w:ascii="Symbol" w:hAnsi="Symbol"/>
          <w:i/>
        </w:rPr>
        <w:t></w:t>
      </w:r>
      <w:r w:rsidRPr="00BC7C6D">
        <w:rPr>
          <w:i/>
        </w:rPr>
        <w:t>V</w:t>
      </w:r>
      <w:r w:rsidRPr="00BC7C6D">
        <w:rPr>
          <w:vertAlign w:val="subscript"/>
        </w:rPr>
        <w:t>max,i</w:t>
      </w:r>
      <w:r w:rsidRPr="00BC7C6D">
        <w:t xml:space="preserve"> given by Formula (14.4).</w:t>
      </w:r>
    </w:p>
    <w:p w14:paraId="4907C599" w14:textId="220FB048" w:rsidR="00035ECF" w:rsidRDefault="009B5CEC" w:rsidP="00035ECF">
      <w:pPr>
        <w:pStyle w:val="Formula"/>
        <w:spacing w:before="240"/>
      </w:pPr>
      <m:oMath>
        <m:sSub>
          <m:sSubPr>
            <m:ctrlPr>
              <w:rPr>
                <w:rFonts w:ascii="Cambria Math" w:hAnsi="Cambria Math"/>
              </w:rPr>
            </m:ctrlPr>
          </m:sSubPr>
          <m:e>
            <m:r>
              <w:rPr>
                <w:rFonts w:ascii="Cambria Math" w:hAnsi="Cambria Math"/>
              </w:rPr>
              <m:t>∆V</m:t>
            </m:r>
          </m:e>
          <m:sub>
            <m:r>
              <m:rPr>
                <m:sty m:val="p"/>
              </m:rPr>
              <w:rPr>
                <w:rFonts w:ascii="Cambria Math" w:hAnsi="Cambria Math"/>
              </w:rPr>
              <m:t>max,i</m:t>
            </m:r>
          </m:sub>
        </m:sSub>
        <m:r>
          <w:rPr>
            <w:rFonts w:ascii="Cambria Math" w:hAnsi="Cambria Math"/>
          </w:rPr>
          <m:t>=</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
                  <m:sSubPr>
                    <m:ctrlPr>
                      <w:rPr>
                        <w:rFonts w:ascii="Cambria Math" w:hAnsi="Cambria Math"/>
                      </w:rPr>
                    </m:ctrlPr>
                  </m:sSubPr>
                  <m:e>
                    <m:r>
                      <w:rPr>
                        <w:rFonts w:ascii="Cambria Math" w:hAnsi="Cambria Math"/>
                      </w:rPr>
                      <m:t>V</m:t>
                    </m:r>
                  </m:e>
                  <m:sub>
                    <m:r>
                      <m:rPr>
                        <m:sty m:val="p"/>
                      </m:rPr>
                      <w:rPr>
                        <w:rFonts w:ascii="Cambria Math" w:hAnsi="Cambria Math"/>
                      </w:rPr>
                      <m:t>i</m:t>
                    </m:r>
                  </m:sub>
                </m:sSub>
                <m:r>
                  <w:rPr>
                    <w:rFonts w:ascii="Cambria Math" w:hAnsi="Cambria Math"/>
                  </w:rPr>
                  <m:t>; 0,05</m:t>
                </m:r>
                <m:sSub>
                  <m:sSubPr>
                    <m:ctrlPr>
                      <w:rPr>
                        <w:rFonts w:ascii="Cambria Math" w:hAnsi="Cambria Math"/>
                      </w:rPr>
                    </m:ctrlPr>
                  </m:sSubPr>
                  <m:e>
                    <m:r>
                      <w:rPr>
                        <w:rFonts w:ascii="Cambria Math" w:hAnsi="Cambria Math"/>
                      </w:rPr>
                      <m:t>V</m:t>
                    </m:r>
                  </m:e>
                  <m:sub>
                    <m:r>
                      <m:rPr>
                        <m:sty m:val="p"/>
                      </m:rPr>
                      <w:rPr>
                        <w:rFonts w:ascii="Cambria Math" w:hAnsi="Cambria Math"/>
                      </w:rPr>
                      <m:t>storey</m:t>
                    </m:r>
                  </m:sub>
                </m:sSub>
              </m:e>
            </m:d>
          </m:e>
        </m:func>
      </m:oMath>
      <w:r w:rsidR="00035ECF" w:rsidRPr="00870D59">
        <w:tab/>
        <w:t>(1</w:t>
      </w:r>
      <w:r w:rsidR="00035ECF">
        <w:t>4</w:t>
      </w:r>
      <w:r w:rsidR="00035ECF" w:rsidRPr="00870D59">
        <w:t>.</w:t>
      </w:r>
      <w:r w:rsidR="00035ECF">
        <w:t>4</w:t>
      </w:r>
      <w:r w:rsidR="00035ECF" w:rsidRPr="00870D59">
        <w:t>)</w:t>
      </w:r>
    </w:p>
    <w:p w14:paraId="4A346D53" w14:textId="604468A4" w:rsidR="00035ECF" w:rsidRPr="001B2671" w:rsidRDefault="00675EBA" w:rsidP="00035ECF">
      <w:pPr>
        <w:pStyle w:val="BodyText"/>
      </w:pPr>
      <w:r>
        <w:t>where</w:t>
      </w:r>
    </w:p>
    <w:tbl>
      <w:tblPr>
        <w:tblW w:w="0" w:type="auto"/>
        <w:tblInd w:w="346" w:type="dxa"/>
        <w:tblLook w:val="04A0" w:firstRow="1" w:lastRow="0" w:firstColumn="1" w:lastColumn="0" w:noHBand="0" w:noVBand="1"/>
      </w:tblPr>
      <w:tblGrid>
        <w:gridCol w:w="1275"/>
        <w:gridCol w:w="7938"/>
      </w:tblGrid>
      <w:tr w:rsidR="00035ECF" w:rsidRPr="000F2AFF" w14:paraId="3776BE48" w14:textId="77777777" w:rsidTr="00ED5D26">
        <w:tc>
          <w:tcPr>
            <w:tcW w:w="1275" w:type="dxa"/>
          </w:tcPr>
          <w:p w14:paraId="5852F4D3" w14:textId="1A4187DE" w:rsidR="00035ECF" w:rsidRPr="000F2AFF" w:rsidRDefault="00035ECF" w:rsidP="002061E5">
            <w:pPr>
              <w:spacing w:after="60"/>
              <w:jc w:val="left"/>
              <w:rPr>
                <w:rFonts w:eastAsia="Times New Roman" w:cs="Cambria"/>
                <w:color w:val="000000" w:themeColor="text1"/>
                <w:szCs w:val="20"/>
                <w:lang w:eastAsia="fr-FR"/>
              </w:rPr>
            </w:pPr>
            <w:r w:rsidRPr="00BC7C6D">
              <w:rPr>
                <w:i/>
                <w:iCs/>
              </w:rPr>
              <w:lastRenderedPageBreak/>
              <w:t>V</w:t>
            </w:r>
            <w:r w:rsidRPr="00BC7C6D">
              <w:rPr>
                <w:vertAlign w:val="subscript"/>
              </w:rPr>
              <w:t>i</w:t>
            </w:r>
          </w:p>
        </w:tc>
        <w:tc>
          <w:tcPr>
            <w:tcW w:w="7938" w:type="dxa"/>
          </w:tcPr>
          <w:p w14:paraId="01871D2B" w14:textId="58DBB3A5" w:rsidR="00035ECF" w:rsidRPr="00DF3AF1" w:rsidRDefault="00035ECF" w:rsidP="002061E5">
            <w:pPr>
              <w:spacing w:after="60"/>
              <w:rPr>
                <w:rFonts w:eastAsia="Times New Roman" w:cs="Cambria"/>
                <w:szCs w:val="20"/>
                <w:lang w:eastAsia="fr-FR"/>
              </w:rPr>
            </w:pPr>
            <w:r w:rsidRPr="00BC7C6D">
              <w:t xml:space="preserve">is the </w:t>
            </w:r>
            <w:bookmarkStart w:id="10714" w:name="_Hlk38288817"/>
            <w:r w:rsidRPr="00BC7C6D">
              <w:t xml:space="preserve">shear force in wall </w:t>
            </w:r>
            <w:r w:rsidRPr="00BC7C6D">
              <w:rPr>
                <w:i/>
                <w:iCs/>
              </w:rPr>
              <w:t>i</w:t>
            </w:r>
            <w:bookmarkEnd w:id="10714"/>
            <w:r w:rsidRPr="00BC7C6D">
              <w:t>;</w:t>
            </w:r>
          </w:p>
        </w:tc>
      </w:tr>
      <w:tr w:rsidR="00035ECF" w:rsidRPr="000F2AFF" w14:paraId="74D27E47" w14:textId="77777777" w:rsidTr="00ED5D26">
        <w:tc>
          <w:tcPr>
            <w:tcW w:w="1275" w:type="dxa"/>
          </w:tcPr>
          <w:p w14:paraId="21B1C68E" w14:textId="68ABCE5E" w:rsidR="00035ECF" w:rsidRPr="00E05E29" w:rsidRDefault="00035ECF" w:rsidP="002061E5">
            <w:pPr>
              <w:spacing w:after="60"/>
              <w:jc w:val="left"/>
              <w:rPr>
                <w:i/>
                <w:iCs/>
              </w:rPr>
            </w:pPr>
            <w:r w:rsidRPr="00BC7C6D">
              <w:rPr>
                <w:i/>
              </w:rPr>
              <w:t>V</w:t>
            </w:r>
            <w:r w:rsidRPr="00BC7C6D">
              <w:rPr>
                <w:vertAlign w:val="subscript"/>
              </w:rPr>
              <w:t>storey</w:t>
            </w:r>
          </w:p>
        </w:tc>
        <w:tc>
          <w:tcPr>
            <w:tcW w:w="7938" w:type="dxa"/>
          </w:tcPr>
          <w:p w14:paraId="3C1B0D1A" w14:textId="5AAAC1EA" w:rsidR="00035ECF" w:rsidRPr="00E05E29" w:rsidRDefault="00035ECF" w:rsidP="002061E5">
            <w:pPr>
              <w:spacing w:after="60"/>
            </w:pPr>
            <w:r w:rsidRPr="00BC7C6D">
              <w:t xml:space="preserve">is the storey shear force in the direction </w:t>
            </w:r>
            <w:r w:rsidR="000A6B65" w:rsidRPr="000A6B65">
              <w:rPr>
                <w:lang w:val="en-US"/>
              </w:rPr>
              <w:t xml:space="preserve">parallel to the plane </w:t>
            </w:r>
            <w:r w:rsidRPr="00BC7C6D">
              <w:t>of the wall;</w:t>
            </w:r>
          </w:p>
        </w:tc>
      </w:tr>
      <w:tr w:rsidR="00035ECF" w:rsidRPr="000F2AFF" w14:paraId="05B67583" w14:textId="77777777" w:rsidTr="00ED5D26">
        <w:tc>
          <w:tcPr>
            <w:tcW w:w="1275" w:type="dxa"/>
          </w:tcPr>
          <w:p w14:paraId="244C6CFE" w14:textId="4C163E26" w:rsidR="00035ECF" w:rsidRPr="00E05E29" w:rsidRDefault="00035ECF" w:rsidP="002061E5">
            <w:pPr>
              <w:spacing w:after="60"/>
              <w:jc w:val="left"/>
              <w:rPr>
                <w:i/>
                <w:iCs/>
              </w:rPr>
            </w:pPr>
            <w:r w:rsidRPr="00BC7C6D">
              <w:rPr>
                <w:rFonts w:ascii="Symbol" w:hAnsi="Symbol"/>
                <w:bCs/>
                <w:i/>
              </w:rPr>
              <w:t></w:t>
            </w:r>
            <w:r w:rsidRPr="00BC7C6D">
              <w:rPr>
                <w:bCs/>
                <w:i/>
              </w:rPr>
              <w:t>V</w:t>
            </w:r>
            <w:r w:rsidRPr="00BC7C6D">
              <w:rPr>
                <w:bCs/>
                <w:vertAlign w:val="subscript"/>
              </w:rPr>
              <w:t>max,</w:t>
            </w:r>
          </w:p>
        </w:tc>
        <w:tc>
          <w:tcPr>
            <w:tcW w:w="7938" w:type="dxa"/>
          </w:tcPr>
          <w:p w14:paraId="22FE0299" w14:textId="039BE5E7" w:rsidR="00035ECF" w:rsidRPr="00E05E29" w:rsidRDefault="00035ECF" w:rsidP="002061E5">
            <w:pPr>
              <w:spacing w:after="60"/>
            </w:pPr>
            <w:r w:rsidRPr="00BC7C6D">
              <w:rPr>
                <w:bCs/>
              </w:rPr>
              <w:t xml:space="preserve">is the maximum value of the reduction or increase </w:t>
            </w:r>
            <w:r w:rsidRPr="00BC7C6D">
              <w:rPr>
                <w:rFonts w:ascii="Symbol" w:hAnsi="Symbol"/>
                <w:bCs/>
                <w:i/>
              </w:rPr>
              <w:t></w:t>
            </w:r>
            <w:r w:rsidRPr="00BC7C6D">
              <w:rPr>
                <w:bCs/>
                <w:i/>
              </w:rPr>
              <w:t>V</w:t>
            </w:r>
            <w:r w:rsidRPr="00BC7C6D">
              <w:rPr>
                <w:bCs/>
              </w:rPr>
              <w:t xml:space="preserve"> of the absolute value of the shear force in a </w:t>
            </w:r>
            <w:r w:rsidRPr="00BC7C6D">
              <w:t>wall</w:t>
            </w:r>
            <w:r w:rsidRPr="00BC7C6D">
              <w:rPr>
                <w:bCs/>
              </w:rPr>
              <w:t xml:space="preserve"> resulting from a redistribution of forces.</w:t>
            </w:r>
          </w:p>
        </w:tc>
      </w:tr>
    </w:tbl>
    <w:p w14:paraId="4E4AB2CE" w14:textId="77777777" w:rsidR="00035ECF" w:rsidRPr="00BC7C6D" w:rsidRDefault="00035ECF" w:rsidP="00724E4E">
      <w:pPr>
        <w:pStyle w:val="Clause"/>
      </w:pPr>
      <w:r w:rsidRPr="00BC7C6D">
        <w:t xml:space="preserve">If the behaviour factor component </w:t>
      </w:r>
      <w:r w:rsidRPr="00BC7C6D">
        <w:rPr>
          <w:i/>
        </w:rPr>
        <w:t>q</w:t>
      </w:r>
      <w:r w:rsidRPr="00BC7C6D">
        <w:rPr>
          <w:vertAlign w:val="subscript"/>
        </w:rPr>
        <w:t>R</w:t>
      </w:r>
      <w:r w:rsidRPr="00BC7C6D">
        <w:t xml:space="preserve"> is taken equal to 1,0 and redistribution effects are not taken into account, the redistribution of the shear forces in walls in any type of masonry building with rigid diaphragms may be carried out according to </w:t>
      </w:r>
      <w:r w:rsidRPr="00835C82">
        <w:t>(6)</w:t>
      </w:r>
      <w:r w:rsidRPr="00BC7C6D">
        <w:t xml:space="preserve"> and </w:t>
      </w:r>
      <w:r w:rsidRPr="00835C82">
        <w:t>(7)</w:t>
      </w:r>
      <w:r w:rsidRPr="00BC7C6D">
        <w:t>.</w:t>
      </w:r>
    </w:p>
    <w:p w14:paraId="22BA6659" w14:textId="68057CFD" w:rsidR="00035ECF" w:rsidRPr="00BC7C6D" w:rsidRDefault="00035ECF" w:rsidP="00724E4E">
      <w:pPr>
        <w:pStyle w:val="Clause"/>
      </w:pPr>
      <w:bookmarkStart w:id="10715" w:name="_Ref18231150"/>
      <w:r w:rsidRPr="00BC7C6D">
        <w:t xml:space="preserve">If </w:t>
      </w:r>
      <w:r w:rsidRPr="00BC7C6D">
        <w:rPr>
          <w:i/>
        </w:rPr>
        <w:t>q</w:t>
      </w:r>
      <w:r w:rsidRPr="00BC7C6D">
        <w:rPr>
          <w:vertAlign w:val="subscript"/>
        </w:rPr>
        <w:t>R</w:t>
      </w:r>
      <w:r w:rsidRPr="00BC7C6D">
        <w:t xml:space="preserve"> = 1,0, the maximum reduction or increase </w:t>
      </w:r>
      <w:r w:rsidRPr="00BC7C6D">
        <w:rPr>
          <w:i/>
          <w:iCs/>
        </w:rPr>
        <w:t>ΔV</w:t>
      </w:r>
      <w:r w:rsidRPr="00BC7C6D">
        <w:rPr>
          <w:vertAlign w:val="subscript"/>
        </w:rPr>
        <w:t>max,i</w:t>
      </w:r>
      <w:r w:rsidRPr="00BC7C6D">
        <w:t xml:space="preserve"> of the absolute value of the shear force in wall </w:t>
      </w:r>
      <w:r w:rsidRPr="00066897">
        <w:rPr>
          <w:i/>
          <w:iCs/>
        </w:rPr>
        <w:t>i</w:t>
      </w:r>
      <w:r w:rsidRPr="00BC7C6D">
        <w:t xml:space="preserve"> is defined in </w:t>
      </w:r>
      <w:r w:rsidRPr="00835C82">
        <w:t>(7)</w:t>
      </w:r>
      <w:r w:rsidRPr="00BC7C6D">
        <w:t xml:space="preserve"> if the storey in the direction of the shear force that is redistributed is torsionally restrained or in </w:t>
      </w:r>
      <w:r w:rsidRPr="00835C82">
        <w:t>(8)</w:t>
      </w:r>
      <w:r w:rsidRPr="00BC7C6D">
        <w:t xml:space="preserve"> if it is unrestrained. The storey </w:t>
      </w:r>
      <w:r w:rsidRPr="00BC7C6D">
        <w:rPr>
          <w:i/>
        </w:rPr>
        <w:t>j</w:t>
      </w:r>
      <w:r w:rsidRPr="00BC7C6D">
        <w:t xml:space="preserve"> may be considered as torsionally restrained in the horizontal direction </w:t>
      </w:r>
      <w:r w:rsidRPr="00BC7C6D">
        <w:rPr>
          <w:i/>
        </w:rPr>
        <w:t>x</w:t>
      </w:r>
      <w:r w:rsidRPr="00BC7C6D">
        <w:t xml:space="preserve"> (or </w:t>
      </w:r>
      <w:r w:rsidRPr="00BC7C6D">
        <w:rPr>
          <w:i/>
        </w:rPr>
        <w:t>y</w:t>
      </w:r>
      <w:r w:rsidRPr="00BC7C6D">
        <w:t>, respectively), if Formula (14.5) is satisfied.</w:t>
      </w:r>
      <w:bookmarkStart w:id="10716" w:name="_Hlk38289001"/>
      <w:bookmarkEnd w:id="10715"/>
      <w:bookmarkEnd w:id="10716"/>
    </w:p>
    <w:p w14:paraId="755EFDD3" w14:textId="1BE6E695" w:rsidR="00035ECF" w:rsidRDefault="009B5CEC" w:rsidP="00035ECF">
      <w:pPr>
        <w:pStyle w:val="Formula"/>
        <w:spacing w:before="240"/>
      </w:pPr>
      <m:oMath>
        <m:sSub>
          <m:sSubPr>
            <m:ctrlPr>
              <w:rPr>
                <w:rFonts w:ascii="Cambria Math" w:hAnsi="Cambria Math"/>
              </w:rPr>
            </m:ctrlPr>
          </m:sSubPr>
          <m:e>
            <m:r>
              <w:rPr>
                <w:rFonts w:ascii="Cambria Math" w:hAnsi="Cambria Math"/>
              </w:rPr>
              <m:t>r</m:t>
            </m:r>
          </m:e>
          <m:sub>
            <m:r>
              <m:rPr>
                <m:sty m:val="p"/>
              </m:rPr>
              <w:rPr>
                <w:rFonts w:ascii="Cambria Math" w:hAnsi="Cambria Math"/>
              </w:rPr>
              <m:t>y,j</m:t>
            </m:r>
          </m:sub>
        </m:sSub>
        <m:r>
          <w:rPr>
            <w:rFonts w:ascii="Cambria Math" w:hAnsi="Cambria Math"/>
          </w:rPr>
          <m:t>≥</m:t>
        </m:r>
        <m:sSub>
          <m:sSubPr>
            <m:ctrlPr>
              <w:rPr>
                <w:rFonts w:ascii="Cambria Math" w:hAnsi="Cambria Math"/>
              </w:rPr>
            </m:ctrlPr>
          </m:sSubPr>
          <m:e>
            <m:r>
              <w:rPr>
                <w:rFonts w:ascii="Cambria Math" w:hAnsi="Cambria Math"/>
              </w:rPr>
              <m:t>l</m:t>
            </m:r>
          </m:e>
          <m:sub>
            <m:r>
              <m:rPr>
                <m:sty m:val="p"/>
              </m:rPr>
              <w:rPr>
                <w:rFonts w:ascii="Cambria Math" w:hAnsi="Cambria Math"/>
              </w:rPr>
              <m:t>s,j</m:t>
            </m:r>
          </m:sub>
        </m:sSub>
        <m:r>
          <m:rPr>
            <m:sty m:val="p"/>
          </m:rPr>
          <w:rPr>
            <w:rFonts w:ascii="Cambria Math" w:hAnsi="Cambria Math"/>
          </w:rPr>
          <m:t xml:space="preserve">  (respectively,  </m:t>
        </m:r>
        <m:sSub>
          <m:sSubPr>
            <m:ctrlPr>
              <w:rPr>
                <w:rFonts w:ascii="Cambria Math" w:hAnsi="Cambria Math"/>
              </w:rPr>
            </m:ctrlPr>
          </m:sSubPr>
          <m:e>
            <m:r>
              <w:rPr>
                <w:rFonts w:ascii="Cambria Math" w:hAnsi="Cambria Math"/>
              </w:rPr>
              <m:t>r</m:t>
            </m:r>
          </m:e>
          <m:sub>
            <m:r>
              <m:rPr>
                <m:sty m:val="p"/>
              </m:rPr>
              <w:rPr>
                <w:rFonts w:ascii="Cambria Math" w:hAnsi="Cambria Math"/>
              </w:rPr>
              <m:t>x,j</m:t>
            </m:r>
          </m:sub>
        </m:sSub>
        <m:r>
          <w:rPr>
            <w:rFonts w:ascii="Cambria Math" w:hAnsi="Cambria Math"/>
          </w:rPr>
          <m:t>≥</m:t>
        </m:r>
        <m:sSub>
          <m:sSubPr>
            <m:ctrlPr>
              <w:rPr>
                <w:rFonts w:ascii="Cambria Math" w:hAnsi="Cambria Math"/>
              </w:rPr>
            </m:ctrlPr>
          </m:sSubPr>
          <m:e>
            <m:r>
              <w:rPr>
                <w:rFonts w:ascii="Cambria Math" w:hAnsi="Cambria Math"/>
              </w:rPr>
              <m:t>l</m:t>
            </m:r>
          </m:e>
          <m:sub>
            <m:r>
              <m:rPr>
                <m:sty m:val="p"/>
              </m:rPr>
              <w:rPr>
                <w:rFonts w:ascii="Cambria Math" w:hAnsi="Cambria Math"/>
              </w:rPr>
              <m:t>s,j</m:t>
            </m:r>
          </m:sub>
        </m:sSub>
        <m:r>
          <w:rPr>
            <w:rFonts w:ascii="Cambria Math" w:hAnsi="Cambria Math"/>
          </w:rPr>
          <m:t>)</m:t>
        </m:r>
      </m:oMath>
      <w:r w:rsidR="00035ECF" w:rsidRPr="00870D59">
        <w:tab/>
        <w:t>(1</w:t>
      </w:r>
      <w:r w:rsidR="00035ECF">
        <w:t>4</w:t>
      </w:r>
      <w:r w:rsidR="00035ECF" w:rsidRPr="00870D59">
        <w:t>.</w:t>
      </w:r>
      <w:r w:rsidR="00035ECF">
        <w:t>5</w:t>
      </w:r>
      <w:r w:rsidR="00035ECF" w:rsidRPr="00870D59">
        <w:t>)</w:t>
      </w:r>
    </w:p>
    <w:p w14:paraId="583C8275" w14:textId="7B670784" w:rsidR="00035ECF" w:rsidRPr="003E2FDF" w:rsidRDefault="00035ECF" w:rsidP="003E2FDF">
      <w:pPr>
        <w:pStyle w:val="Text"/>
      </w:pPr>
      <w:r>
        <w:t>where</w:t>
      </w:r>
      <w:r w:rsidRPr="00035ECF">
        <w:rPr>
          <w:i/>
        </w:rPr>
        <w:t xml:space="preserve"> </w:t>
      </w:r>
      <w:r w:rsidRPr="007E6F67">
        <w:rPr>
          <w:i/>
        </w:rPr>
        <w:t>r</w:t>
      </w:r>
      <w:r w:rsidRPr="00FD17CF">
        <w:rPr>
          <w:vertAlign w:val="subscript"/>
        </w:rPr>
        <w:t>y,j</w:t>
      </w:r>
      <w:r w:rsidRPr="00FD17CF">
        <w:t xml:space="preserve">, </w:t>
      </w:r>
      <w:r w:rsidRPr="00FD17CF">
        <w:rPr>
          <w:i/>
        </w:rPr>
        <w:t>r</w:t>
      </w:r>
      <w:r w:rsidRPr="00E05E29">
        <w:rPr>
          <w:vertAlign w:val="subscript"/>
        </w:rPr>
        <w:t>x,j</w:t>
      </w:r>
      <w:r w:rsidRPr="00E05E29">
        <w:t xml:space="preserve"> and</w:t>
      </w:r>
      <w:r w:rsidRPr="00E05E29">
        <w:rPr>
          <w:i/>
        </w:rPr>
        <w:t xml:space="preserve"> l</w:t>
      </w:r>
      <w:r w:rsidRPr="00E05E29">
        <w:rPr>
          <w:vertAlign w:val="subscript"/>
        </w:rPr>
        <w:t>s,j</w:t>
      </w:r>
      <w:r w:rsidRPr="00E05E29">
        <w:t xml:space="preserve"> are </w:t>
      </w:r>
      <w:r w:rsidRPr="003E2FDF">
        <w:t>defined in 4.4.3.</w:t>
      </w:r>
    </w:p>
    <w:p w14:paraId="47A8E223" w14:textId="0428A0EC" w:rsidR="00035ECF" w:rsidRPr="00132C1E" w:rsidRDefault="00035ECF" w:rsidP="00724E4E">
      <w:pPr>
        <w:pStyle w:val="Clause"/>
      </w:pPr>
      <w:r w:rsidRPr="00132C1E">
        <w:t>If storey</w:t>
      </w:r>
      <w:r w:rsidRPr="00066897">
        <w:rPr>
          <w:i/>
          <w:iCs/>
        </w:rPr>
        <w:t xml:space="preserve"> j</w:t>
      </w:r>
      <w:r w:rsidRPr="00132C1E">
        <w:t xml:space="preserve"> is torsionally restrained in the direction </w:t>
      </w:r>
      <w:r w:rsidRPr="008554D2">
        <w:rPr>
          <w:i/>
        </w:rPr>
        <w:t>x</w:t>
      </w:r>
      <w:r w:rsidRPr="00132C1E">
        <w:t xml:space="preserve"> (or </w:t>
      </w:r>
      <w:r w:rsidRPr="008554D2">
        <w:rPr>
          <w:i/>
        </w:rPr>
        <w:t>y</w:t>
      </w:r>
      <w:r w:rsidRPr="00132C1E">
        <w:t>), redistribution may be carried out so that the increase of shear in an</w:t>
      </w:r>
      <w:r w:rsidRPr="00BC7C6D">
        <w:t xml:space="preserve">y wall </w:t>
      </w:r>
      <w:r w:rsidRPr="00132C1E">
        <w:t>along that direction is not greater than that given by Formula (14.6).</w:t>
      </w:r>
    </w:p>
    <w:p w14:paraId="7A18CF0D" w14:textId="584684A6" w:rsidR="0069601C" w:rsidRDefault="009B5CEC" w:rsidP="0069601C">
      <w:pPr>
        <w:pStyle w:val="Formula"/>
        <w:spacing w:before="240"/>
      </w:pPr>
      <m:oMath>
        <m:sSub>
          <m:sSubPr>
            <m:ctrlPr>
              <w:rPr>
                <w:rFonts w:ascii="Cambria Math" w:hAnsi="Cambria Math"/>
              </w:rPr>
            </m:ctrlPr>
          </m:sSubPr>
          <m:e>
            <m:r>
              <w:rPr>
                <w:rFonts w:ascii="Cambria Math" w:hAnsi="Cambria Math"/>
              </w:rPr>
              <m:t>∆V</m:t>
            </m:r>
          </m:e>
          <m:sub>
            <m:r>
              <m:rPr>
                <m:sty m:val="p"/>
              </m:rPr>
              <w:rPr>
                <w:rFonts w:ascii="Cambria Math" w:hAnsi="Cambria Math"/>
              </w:rPr>
              <m:t>max,i</m:t>
            </m:r>
          </m:sub>
        </m:sSub>
        <m:r>
          <w:rPr>
            <w:rFonts w:ascii="Cambria Math" w:hAnsi="Cambria Math"/>
          </w:rPr>
          <m:t>=</m:t>
        </m:r>
        <m:sSub>
          <m:sSubPr>
            <m:ctrlPr>
              <w:rPr>
                <w:rFonts w:ascii="Cambria Math" w:hAnsi="Cambria Math"/>
              </w:rPr>
            </m:ctrlPr>
          </m:sSubPr>
          <m:e>
            <m:r>
              <w:rPr>
                <w:rFonts w:ascii="Cambria Math" w:hAnsi="Cambria Math"/>
              </w:rPr>
              <m:t>V</m:t>
            </m:r>
          </m:e>
          <m:sub>
            <m:r>
              <m:rPr>
                <m:sty m:val="p"/>
              </m:rPr>
              <w:rPr>
                <w:rFonts w:ascii="Cambria Math" w:hAnsi="Cambria Math"/>
              </w:rPr>
              <m:t>i</m:t>
            </m:r>
          </m:sub>
        </m:sSub>
        <m:r>
          <w:rPr>
            <w:rFonts w:ascii="Cambria Math" w:hAnsi="Cambria Math"/>
          </w:rPr>
          <m:t xml:space="preserve"> </m:t>
        </m:r>
        <m:d>
          <m:dPr>
            <m:ctrlPr>
              <w:rPr>
                <w:rFonts w:ascii="Cambria Math" w:hAnsi="Cambria Math"/>
              </w:rPr>
            </m:ctrlPr>
          </m:dPr>
          <m:e>
            <m:f>
              <m:fPr>
                <m:ctrlPr>
                  <w:rPr>
                    <w:rFonts w:ascii="Cambria Math" w:hAnsi="Cambria Math"/>
                  </w:rPr>
                </m:ctrlPr>
              </m:fPr>
              <m:num>
                <m:sSub>
                  <m:sSubPr>
                    <m:ctrlPr>
                      <w:rPr>
                        <w:rFonts w:ascii="Cambria Math" w:hAnsi="Cambria Math"/>
                      </w:rPr>
                    </m:ctrlPr>
                  </m:sSubPr>
                  <m:e>
                    <m:r>
                      <w:rPr>
                        <w:rFonts w:ascii="Cambria Math" w:hAnsi="Cambria Math"/>
                      </w:rPr>
                      <m:t>u</m:t>
                    </m:r>
                  </m:e>
                  <m:sub>
                    <m:r>
                      <m:rPr>
                        <m:sty m:val="p"/>
                      </m:rPr>
                      <w:rPr>
                        <w:rFonts w:ascii="Cambria Math" w:hAnsi="Cambria Math"/>
                      </w:rPr>
                      <m:t>ult,i</m:t>
                    </m:r>
                  </m:sub>
                </m:sSub>
              </m:num>
              <m:den>
                <m:sSub>
                  <m:sSubPr>
                    <m:ctrlPr>
                      <w:rPr>
                        <w:rFonts w:ascii="Cambria Math" w:hAnsi="Cambria Math"/>
                      </w:rPr>
                    </m:ctrlPr>
                  </m:sSubPr>
                  <m:e>
                    <m:r>
                      <w:rPr>
                        <w:rFonts w:ascii="Cambria Math" w:hAnsi="Cambria Math"/>
                      </w:rPr>
                      <m:t>θ</m:t>
                    </m:r>
                  </m:e>
                  <m:sub>
                    <m:r>
                      <m:rPr>
                        <m:sty m:val="p"/>
                      </m:rPr>
                      <w:rPr>
                        <w:rFonts w:ascii="Cambria Math" w:hAnsi="Cambria Math"/>
                      </w:rPr>
                      <m:t>i</m:t>
                    </m:r>
                  </m:sub>
                </m:sSub>
                <m:r>
                  <w:rPr>
                    <w:rFonts w:ascii="Cambria Math" w:hAnsi="Cambria Math"/>
                  </w:rPr>
                  <m:t xml:space="preserve"> </m:t>
                </m:r>
                <m:sSub>
                  <m:sSubPr>
                    <m:ctrlPr>
                      <w:rPr>
                        <w:rFonts w:ascii="Cambria Math" w:hAnsi="Cambria Math"/>
                      </w:rPr>
                    </m:ctrlPr>
                  </m:sSubPr>
                  <m:e>
                    <m:r>
                      <w:rPr>
                        <w:rFonts w:ascii="Cambria Math" w:hAnsi="Cambria Math"/>
                      </w:rPr>
                      <m:t>h</m:t>
                    </m:r>
                  </m:e>
                  <m:sub>
                    <m:r>
                      <m:rPr>
                        <m:sty m:val="p"/>
                      </m:rPr>
                      <w:rPr>
                        <w:rFonts w:ascii="Cambria Math" w:hAnsi="Cambria Math"/>
                      </w:rPr>
                      <m:t>i</m:t>
                    </m:r>
                  </m:sub>
                </m:sSub>
              </m:den>
            </m:f>
            <m:r>
              <w:rPr>
                <w:rFonts w:ascii="Cambria Math" w:hAnsi="Cambria Math"/>
              </w:rPr>
              <m:t>-1</m:t>
            </m:r>
          </m:e>
        </m:d>
      </m:oMath>
      <w:r w:rsidR="0069601C" w:rsidRPr="00870D59">
        <w:tab/>
        <w:t>(1</w:t>
      </w:r>
      <w:r w:rsidR="0069601C">
        <w:t>4</w:t>
      </w:r>
      <w:r w:rsidR="0069601C" w:rsidRPr="00870D59">
        <w:t>.</w:t>
      </w:r>
      <w:r w:rsidR="0069601C">
        <w:t>6</w:t>
      </w:r>
      <w:r w:rsidR="0069601C" w:rsidRPr="00870D59">
        <w:t>)</w:t>
      </w:r>
    </w:p>
    <w:p w14:paraId="24CC2C39" w14:textId="37E1FEA8" w:rsidR="0069601C" w:rsidRPr="001B2671" w:rsidRDefault="00675EBA" w:rsidP="003E2FDF">
      <w:pPr>
        <w:pStyle w:val="Text"/>
      </w:pPr>
      <w:r>
        <w:t>where</w:t>
      </w:r>
    </w:p>
    <w:tbl>
      <w:tblPr>
        <w:tblW w:w="0" w:type="auto"/>
        <w:tblInd w:w="346" w:type="dxa"/>
        <w:tblLook w:val="04A0" w:firstRow="1" w:lastRow="0" w:firstColumn="1" w:lastColumn="0" w:noHBand="0" w:noVBand="1"/>
      </w:tblPr>
      <w:tblGrid>
        <w:gridCol w:w="1275"/>
        <w:gridCol w:w="7938"/>
      </w:tblGrid>
      <w:tr w:rsidR="0069601C" w:rsidRPr="000F2AFF" w14:paraId="6D72DC26" w14:textId="77777777" w:rsidTr="00ED5D26">
        <w:tc>
          <w:tcPr>
            <w:tcW w:w="1275" w:type="dxa"/>
          </w:tcPr>
          <w:p w14:paraId="47C93BFB" w14:textId="77777777" w:rsidR="0069601C" w:rsidRPr="000F2AFF" w:rsidRDefault="0069601C" w:rsidP="002061E5">
            <w:pPr>
              <w:spacing w:after="60"/>
              <w:jc w:val="left"/>
              <w:rPr>
                <w:rFonts w:eastAsia="Times New Roman" w:cs="Cambria"/>
                <w:color w:val="000000" w:themeColor="text1"/>
                <w:szCs w:val="20"/>
                <w:lang w:eastAsia="fr-FR"/>
              </w:rPr>
            </w:pPr>
            <w:r w:rsidRPr="00BC7C6D">
              <w:rPr>
                <w:i/>
                <w:iCs/>
              </w:rPr>
              <w:t>V</w:t>
            </w:r>
            <w:r w:rsidRPr="00BC7C6D">
              <w:rPr>
                <w:vertAlign w:val="subscript"/>
              </w:rPr>
              <w:t>i</w:t>
            </w:r>
          </w:p>
        </w:tc>
        <w:tc>
          <w:tcPr>
            <w:tcW w:w="7938" w:type="dxa"/>
          </w:tcPr>
          <w:p w14:paraId="0E0EEBA5" w14:textId="0C7EDAC9" w:rsidR="0069601C" w:rsidRPr="00DF3AF1" w:rsidRDefault="0069601C" w:rsidP="002061E5">
            <w:pPr>
              <w:spacing w:after="60"/>
              <w:rPr>
                <w:rFonts w:eastAsia="Times New Roman" w:cs="Cambria"/>
                <w:szCs w:val="20"/>
                <w:lang w:eastAsia="fr-FR"/>
              </w:rPr>
            </w:pPr>
            <w:r w:rsidRPr="00132C1E">
              <w:t xml:space="preserve">is the shear force along direction </w:t>
            </w:r>
            <w:r w:rsidRPr="00132C1E">
              <w:rPr>
                <w:i/>
              </w:rPr>
              <w:t>x</w:t>
            </w:r>
            <w:r w:rsidRPr="00132C1E">
              <w:t xml:space="preserve"> (or </w:t>
            </w:r>
            <w:r w:rsidRPr="00132C1E">
              <w:rPr>
                <w:i/>
              </w:rPr>
              <w:t>y</w:t>
            </w:r>
            <w:r w:rsidRPr="00132C1E">
              <w:rPr>
                <w:iCs/>
              </w:rPr>
              <w:t>)</w:t>
            </w:r>
            <w:r w:rsidRPr="00132C1E">
              <w:rPr>
                <w:i/>
              </w:rPr>
              <w:t xml:space="preserve"> </w:t>
            </w:r>
            <w:r w:rsidRPr="00132C1E">
              <w:t xml:space="preserve">obtained from linear analysis in the pier </w:t>
            </w:r>
            <w:r w:rsidRPr="00132C1E">
              <w:rPr>
                <w:i/>
                <w:iCs/>
              </w:rPr>
              <w:t>i</w:t>
            </w:r>
            <w:r w:rsidRPr="00132C1E">
              <w:t xml:space="preserve"> where the shear force is increased;</w:t>
            </w:r>
          </w:p>
        </w:tc>
      </w:tr>
      <w:tr w:rsidR="0069601C" w:rsidRPr="000F2AFF" w14:paraId="5DE99C45" w14:textId="77777777" w:rsidTr="00ED5D26">
        <w:tc>
          <w:tcPr>
            <w:tcW w:w="1275" w:type="dxa"/>
          </w:tcPr>
          <w:p w14:paraId="6A749B62" w14:textId="26B3EE63" w:rsidR="0069601C" w:rsidRPr="00E05E29" w:rsidRDefault="0069601C" w:rsidP="002061E5">
            <w:pPr>
              <w:spacing w:after="60"/>
              <w:jc w:val="left"/>
              <w:rPr>
                <w:i/>
                <w:iCs/>
              </w:rPr>
            </w:pPr>
            <w:r w:rsidRPr="00132C1E">
              <w:rPr>
                <w:rFonts w:ascii="Symbol" w:hAnsi="Symbol"/>
                <w:i/>
                <w:iCs/>
              </w:rPr>
              <w:t></w:t>
            </w:r>
            <w:r w:rsidRPr="00132C1E">
              <w:rPr>
                <w:iCs/>
                <w:vertAlign w:val="subscript"/>
              </w:rPr>
              <w:t>i</w:t>
            </w:r>
          </w:p>
        </w:tc>
        <w:tc>
          <w:tcPr>
            <w:tcW w:w="7938" w:type="dxa"/>
          </w:tcPr>
          <w:p w14:paraId="1679E8ED" w14:textId="5FCD0BCD" w:rsidR="0069601C" w:rsidRPr="00E05E29" w:rsidRDefault="0069601C" w:rsidP="002061E5">
            <w:pPr>
              <w:spacing w:after="60"/>
            </w:pPr>
            <w:r w:rsidRPr="00132C1E">
              <w:t xml:space="preserve">is the largest chord </w:t>
            </w:r>
            <w:r w:rsidRPr="00BC7C6D">
              <w:t xml:space="preserve">rotation in pier </w:t>
            </w:r>
            <w:r w:rsidRPr="00BC7C6D">
              <w:rPr>
                <w:i/>
                <w:iCs/>
              </w:rPr>
              <w:t>i</w:t>
            </w:r>
            <w:r w:rsidRPr="00BC7C6D">
              <w:t xml:space="preserve"> calculated from the linear analysis;</w:t>
            </w:r>
          </w:p>
        </w:tc>
      </w:tr>
      <w:tr w:rsidR="0069601C" w:rsidRPr="000F2AFF" w14:paraId="141ED294" w14:textId="77777777" w:rsidTr="00ED5D26">
        <w:tc>
          <w:tcPr>
            <w:tcW w:w="1275" w:type="dxa"/>
          </w:tcPr>
          <w:p w14:paraId="40E941B5" w14:textId="4444F207" w:rsidR="0069601C" w:rsidRPr="00E05E29" w:rsidRDefault="0069601C" w:rsidP="002061E5">
            <w:pPr>
              <w:spacing w:after="60"/>
              <w:jc w:val="left"/>
              <w:rPr>
                <w:i/>
                <w:iCs/>
              </w:rPr>
            </w:pPr>
            <w:r w:rsidRPr="00BC7C6D">
              <w:rPr>
                <w:i/>
                <w:iCs/>
              </w:rPr>
              <w:t>h</w:t>
            </w:r>
            <w:r w:rsidRPr="00BC7C6D">
              <w:rPr>
                <w:iCs/>
                <w:vertAlign w:val="subscript"/>
              </w:rPr>
              <w:t>i</w:t>
            </w:r>
          </w:p>
        </w:tc>
        <w:tc>
          <w:tcPr>
            <w:tcW w:w="7938" w:type="dxa"/>
          </w:tcPr>
          <w:p w14:paraId="4F8A9FBC" w14:textId="2405C824" w:rsidR="0069601C" w:rsidRPr="00E05E29" w:rsidRDefault="0069601C" w:rsidP="002061E5">
            <w:pPr>
              <w:spacing w:after="60"/>
            </w:pPr>
            <w:r w:rsidRPr="00BC7C6D">
              <w:t>is the free height of the wall over which the shear force is incremented;</w:t>
            </w:r>
          </w:p>
        </w:tc>
      </w:tr>
      <w:tr w:rsidR="0069601C" w:rsidRPr="000F2AFF" w14:paraId="42F73682" w14:textId="77777777" w:rsidTr="00ED5D26">
        <w:tc>
          <w:tcPr>
            <w:tcW w:w="1275" w:type="dxa"/>
          </w:tcPr>
          <w:p w14:paraId="5352FAE8" w14:textId="12B8118D" w:rsidR="0069601C" w:rsidRPr="0069601C" w:rsidRDefault="009B5CEC" w:rsidP="002061E5">
            <w:pPr>
              <w:spacing w:after="60"/>
              <w:jc w:val="left"/>
              <w:rPr>
                <w:i/>
                <w:iCs/>
              </w:rPr>
            </w:pPr>
            <m:oMathPara>
              <m:oMathParaPr>
                <m:jc m:val="left"/>
              </m:oMathParaPr>
              <m:oMath>
                <m:sSub>
                  <m:sSubPr>
                    <m:ctrlPr>
                      <w:rPr>
                        <w:rFonts w:ascii="Cambria Math" w:hAnsi="Cambria Math"/>
                        <w:i/>
                        <w:iCs/>
                      </w:rPr>
                    </m:ctrlPr>
                  </m:sSubPr>
                  <m:e>
                    <m:r>
                      <w:rPr>
                        <w:rFonts w:ascii="Cambria Math" w:hAnsi="Cambria Math"/>
                      </w:rPr>
                      <m:t>u</m:t>
                    </m:r>
                  </m:e>
                  <m:sub>
                    <m:r>
                      <m:rPr>
                        <m:sty m:val="p"/>
                      </m:rPr>
                      <w:rPr>
                        <w:rFonts w:ascii="Cambria Math" w:hAnsi="Cambria Math"/>
                      </w:rPr>
                      <m:t>ult,i</m:t>
                    </m:r>
                  </m:sub>
                </m:sSub>
              </m:oMath>
            </m:oMathPara>
          </w:p>
        </w:tc>
        <w:tc>
          <w:tcPr>
            <w:tcW w:w="7938" w:type="dxa"/>
          </w:tcPr>
          <w:p w14:paraId="317079A3" w14:textId="4F9E685C" w:rsidR="0069601C" w:rsidRPr="00E05E29" w:rsidRDefault="0069601C" w:rsidP="002061E5">
            <w:pPr>
              <w:spacing w:after="60"/>
            </w:pPr>
            <w:r w:rsidRPr="00BC7C6D">
              <w:t xml:space="preserve">is the </w:t>
            </w:r>
            <w:bookmarkStart w:id="10717" w:name="_Hlk38289566"/>
            <w:r w:rsidRPr="00BC7C6D">
              <w:t xml:space="preserve">interstorey displacement along direction </w:t>
            </w:r>
            <w:r w:rsidRPr="00BC7C6D">
              <w:rPr>
                <w:i/>
              </w:rPr>
              <w:t>x</w:t>
            </w:r>
            <w:r w:rsidRPr="00BC7C6D">
              <w:t xml:space="preserve"> (or </w:t>
            </w:r>
            <w:r w:rsidRPr="00BC7C6D">
              <w:rPr>
                <w:i/>
              </w:rPr>
              <w:t>y</w:t>
            </w:r>
            <w:r w:rsidRPr="00BC7C6D">
              <w:rPr>
                <w:iCs/>
              </w:rPr>
              <w:t>)</w:t>
            </w:r>
            <w:r w:rsidRPr="00BC7C6D">
              <w:t xml:space="preserve"> at the pier where the shear force is incremented, corresponding to the attainment of the ultimate rotation in any wall of the storey along direction </w:t>
            </w:r>
            <w:r w:rsidRPr="00BC7C6D">
              <w:rPr>
                <w:i/>
              </w:rPr>
              <w:t>x</w:t>
            </w:r>
            <w:r w:rsidRPr="00BC7C6D">
              <w:t xml:space="preserve"> </w:t>
            </w:r>
            <w:bookmarkEnd w:id="10717"/>
            <w:r w:rsidRPr="00BC7C6D">
              <w:t xml:space="preserve">(or </w:t>
            </w:r>
            <w:r w:rsidRPr="00BC7C6D">
              <w:rPr>
                <w:i/>
              </w:rPr>
              <w:t>y</w:t>
            </w:r>
            <w:r w:rsidRPr="00BC7C6D">
              <w:rPr>
                <w:iCs/>
              </w:rPr>
              <w:t>)</w:t>
            </w:r>
            <w:r w:rsidRPr="00BC7C6D">
              <w:t xml:space="preserve">; </w:t>
            </w:r>
            <w:r w:rsidRPr="00BC7C6D">
              <w:rPr>
                <w:rFonts w:eastAsia="Cambria"/>
                <w:i/>
                <w:iCs/>
              </w:rPr>
              <w:t>θ</w:t>
            </w:r>
            <w:r w:rsidRPr="00BC7C6D">
              <w:rPr>
                <w:iCs/>
                <w:vertAlign w:val="subscript"/>
              </w:rPr>
              <w:t>ult,i</w:t>
            </w:r>
            <w:r w:rsidRPr="00BC7C6D">
              <w:rPr>
                <w:iCs/>
              </w:rPr>
              <w:t xml:space="preserve"> may be taken as given by</w:t>
            </w:r>
            <w:r w:rsidRPr="00BC7C6D">
              <w:t xml:space="preserve"> Formula (14.7);</w:t>
            </w:r>
          </w:p>
        </w:tc>
      </w:tr>
    </w:tbl>
    <w:p w14:paraId="2427A20A" w14:textId="44E5F74A" w:rsidR="0069601C" w:rsidRDefault="0069601C" w:rsidP="0069601C">
      <w:pPr>
        <w:pStyle w:val="Formula"/>
        <w:spacing w:before="240"/>
      </w:pPr>
      <w:r w:rsidRPr="00BC7C6D">
        <w:rPr>
          <w:rFonts w:eastAsia="Cambria"/>
          <w:i/>
        </w:rPr>
        <w:t>θ</w:t>
      </w:r>
      <w:r w:rsidRPr="00BC7C6D">
        <w:rPr>
          <w:rFonts w:eastAsia="Cambria"/>
          <w:vertAlign w:val="subscript"/>
        </w:rPr>
        <w:t>ult,i</w:t>
      </w:r>
      <w:r w:rsidRPr="00BC7C6D">
        <w:rPr>
          <w:rFonts w:eastAsia="Cambria"/>
        </w:rPr>
        <w:t xml:space="preserve"> = </w:t>
      </w:r>
      <w:r w:rsidRPr="00BC7C6D">
        <w:rPr>
          <w:rFonts w:eastAsia="Cambria"/>
          <w:i/>
        </w:rPr>
        <w:t>θ</w:t>
      </w:r>
      <w:r w:rsidRPr="00BC7C6D">
        <w:rPr>
          <w:rFonts w:eastAsia="Cambria"/>
          <w:vertAlign w:val="subscript"/>
        </w:rPr>
        <w:t>i</w:t>
      </w:r>
      <w:r w:rsidRPr="00BC7C6D">
        <w:rPr>
          <w:rFonts w:eastAsia="Cambria"/>
        </w:rPr>
        <w:t xml:space="preserve"> </w:t>
      </w:r>
      <w:r w:rsidRPr="00BC7C6D">
        <w:rPr>
          <w:rFonts w:eastAsia="Cambria"/>
          <w:i/>
        </w:rPr>
        <w:t>h</w:t>
      </w:r>
      <w:r w:rsidRPr="00BC7C6D">
        <w:rPr>
          <w:rFonts w:eastAsia="Cambria"/>
          <w:vertAlign w:val="subscript"/>
        </w:rPr>
        <w:t xml:space="preserve">i </w:t>
      </w:r>
      <w:r w:rsidRPr="00BC7C6D">
        <w:rPr>
          <w:rFonts w:eastAsia="Cambria"/>
          <w:i/>
        </w:rPr>
        <w:t>θ</w:t>
      </w:r>
      <w:r w:rsidRPr="00BC7C6D">
        <w:rPr>
          <w:rFonts w:eastAsia="Cambria"/>
          <w:vertAlign w:val="subscript"/>
        </w:rPr>
        <w:t>SD</w:t>
      </w:r>
      <w:r w:rsidRPr="00BC7C6D">
        <w:rPr>
          <w:rFonts w:eastAsia="Cambria"/>
        </w:rPr>
        <w:t xml:space="preserve"> / </w:t>
      </w:r>
      <w:r w:rsidRPr="00BC7C6D">
        <w:rPr>
          <w:rFonts w:eastAsia="Cambria"/>
          <w:i/>
        </w:rPr>
        <w:t>θ</w:t>
      </w:r>
      <w:r w:rsidRPr="00BC7C6D">
        <w:rPr>
          <w:rFonts w:eastAsia="Cambria"/>
        </w:rPr>
        <w:t xml:space="preserve">* ≤ </w:t>
      </w:r>
      <w:r w:rsidRPr="00BC7C6D">
        <w:rPr>
          <w:rFonts w:eastAsia="Cambria"/>
          <w:i/>
        </w:rPr>
        <w:t>θ</w:t>
      </w:r>
      <w:r w:rsidRPr="00BC7C6D">
        <w:rPr>
          <w:rFonts w:eastAsia="Cambria"/>
          <w:vertAlign w:val="subscript"/>
        </w:rPr>
        <w:t>SD</w:t>
      </w:r>
      <w:r w:rsidRPr="00BC7C6D">
        <w:rPr>
          <w:rFonts w:eastAsia="Cambria"/>
        </w:rPr>
        <w:t xml:space="preserve"> </w:t>
      </w:r>
      <w:r w:rsidRPr="00BC7C6D">
        <w:rPr>
          <w:rFonts w:eastAsia="Cambria"/>
          <w:i/>
        </w:rPr>
        <w:t>h</w:t>
      </w:r>
      <w:r w:rsidRPr="00BC7C6D">
        <w:rPr>
          <w:rFonts w:eastAsia="Cambria"/>
          <w:vertAlign w:val="subscript"/>
        </w:rPr>
        <w:t>min</w:t>
      </w:r>
      <w:r w:rsidRPr="00870D59">
        <w:tab/>
        <w:t>(1</w:t>
      </w:r>
      <w:r>
        <w:t>4</w:t>
      </w:r>
      <w:r w:rsidRPr="00870D59">
        <w:t>.</w:t>
      </w:r>
      <w:r>
        <w:t>7</w:t>
      </w:r>
      <w:r w:rsidRPr="00870D59">
        <w:t>)</w:t>
      </w:r>
    </w:p>
    <w:p w14:paraId="454CA295" w14:textId="08477F78" w:rsidR="00ED5D26" w:rsidRPr="00ED5D26" w:rsidRDefault="00ED5D26" w:rsidP="00ED5D26">
      <w:pPr>
        <w:pStyle w:val="BodyText"/>
      </w:pPr>
      <w:r>
        <w:t>where</w:t>
      </w:r>
    </w:p>
    <w:tbl>
      <w:tblPr>
        <w:tblW w:w="0" w:type="auto"/>
        <w:tblInd w:w="346" w:type="dxa"/>
        <w:tblLook w:val="04A0" w:firstRow="1" w:lastRow="0" w:firstColumn="1" w:lastColumn="0" w:noHBand="0" w:noVBand="1"/>
      </w:tblPr>
      <w:tblGrid>
        <w:gridCol w:w="1275"/>
        <w:gridCol w:w="7938"/>
      </w:tblGrid>
      <w:tr w:rsidR="0069601C" w:rsidRPr="000F2AFF" w14:paraId="5E4D7EF6" w14:textId="77777777" w:rsidTr="00ED5D26">
        <w:tc>
          <w:tcPr>
            <w:tcW w:w="1275" w:type="dxa"/>
          </w:tcPr>
          <w:p w14:paraId="7F6728DE" w14:textId="17C3F03C" w:rsidR="0069601C" w:rsidRPr="00E05E29" w:rsidRDefault="0069601C" w:rsidP="002061E5">
            <w:pPr>
              <w:spacing w:after="60"/>
              <w:jc w:val="left"/>
              <w:rPr>
                <w:i/>
                <w:iCs/>
              </w:rPr>
            </w:pPr>
            <w:r w:rsidRPr="00BC7C6D">
              <w:rPr>
                <w:rFonts w:ascii="Symbol" w:hAnsi="Symbol"/>
                <w:i/>
                <w:iCs/>
              </w:rPr>
              <w:t></w:t>
            </w:r>
            <w:r w:rsidRPr="00BC7C6D">
              <w:rPr>
                <w:vertAlign w:val="subscript"/>
              </w:rPr>
              <w:t>SD</w:t>
            </w:r>
          </w:p>
        </w:tc>
        <w:tc>
          <w:tcPr>
            <w:tcW w:w="7938" w:type="dxa"/>
          </w:tcPr>
          <w:p w14:paraId="3397B6D3" w14:textId="5B2F919D" w:rsidR="0069601C" w:rsidRPr="00E05E29" w:rsidRDefault="0069601C" w:rsidP="002061E5">
            <w:pPr>
              <w:spacing w:after="60"/>
            </w:pPr>
            <w:r w:rsidRPr="00BC7C6D">
              <w:t>is the chord rotation capacity of a wall failing in shear given by Formula (14.18);</w:t>
            </w:r>
          </w:p>
        </w:tc>
      </w:tr>
      <w:tr w:rsidR="0069601C" w:rsidRPr="000F2AFF" w14:paraId="1FEABF08" w14:textId="77777777" w:rsidTr="00ED5D26">
        <w:tc>
          <w:tcPr>
            <w:tcW w:w="1275" w:type="dxa"/>
          </w:tcPr>
          <w:p w14:paraId="31833C65" w14:textId="3B0A4651" w:rsidR="0069601C" w:rsidRPr="00E05E29" w:rsidRDefault="0069601C" w:rsidP="002061E5">
            <w:pPr>
              <w:spacing w:after="60"/>
              <w:jc w:val="left"/>
              <w:rPr>
                <w:i/>
                <w:iCs/>
              </w:rPr>
            </w:pPr>
            <w:r w:rsidRPr="00BC7C6D">
              <w:rPr>
                <w:i/>
                <w:iCs/>
              </w:rPr>
              <w:t>h</w:t>
            </w:r>
            <w:r w:rsidRPr="00BC7C6D">
              <w:rPr>
                <w:vertAlign w:val="subscript"/>
              </w:rPr>
              <w:t>min</w:t>
            </w:r>
          </w:p>
        </w:tc>
        <w:tc>
          <w:tcPr>
            <w:tcW w:w="7938" w:type="dxa"/>
          </w:tcPr>
          <w:p w14:paraId="12B0B3B4" w14:textId="71ED5523" w:rsidR="0069601C" w:rsidRPr="00E05E29" w:rsidRDefault="0069601C" w:rsidP="002061E5">
            <w:pPr>
              <w:spacing w:after="60"/>
            </w:pPr>
            <w:r w:rsidRPr="00BC7C6D">
              <w:t xml:space="preserve">is the free height of the shortest wall (i.e. with the lowest </w:t>
            </w:r>
            <w:r w:rsidRPr="00BC7C6D">
              <w:rPr>
                <w:i/>
                <w:iCs/>
              </w:rPr>
              <w:t>h</w:t>
            </w:r>
            <w:r w:rsidRPr="00BC7C6D">
              <w:rPr>
                <w:iCs/>
                <w:vertAlign w:val="subscript"/>
              </w:rPr>
              <w:t>i</w:t>
            </w:r>
            <w:r w:rsidRPr="00BC7C6D">
              <w:t xml:space="preserve">) in storey </w:t>
            </w:r>
            <w:r w:rsidRPr="00BC7C6D">
              <w:rPr>
                <w:i/>
              </w:rPr>
              <w:t>j</w:t>
            </w:r>
            <w:r w:rsidRPr="00BC7C6D">
              <w:t>, along the considered direction;</w:t>
            </w:r>
          </w:p>
        </w:tc>
      </w:tr>
      <w:tr w:rsidR="0069601C" w:rsidRPr="000F2AFF" w14:paraId="08247297" w14:textId="77777777" w:rsidTr="00ED5D26">
        <w:tc>
          <w:tcPr>
            <w:tcW w:w="1275" w:type="dxa"/>
          </w:tcPr>
          <w:p w14:paraId="65ACDD25" w14:textId="5BCA274D" w:rsidR="0069601C" w:rsidRPr="00E05E29" w:rsidRDefault="0069601C" w:rsidP="002061E5">
            <w:pPr>
              <w:spacing w:after="60"/>
              <w:jc w:val="left"/>
              <w:rPr>
                <w:i/>
                <w:iCs/>
              </w:rPr>
            </w:pPr>
            <w:r w:rsidRPr="00BC7C6D">
              <w:rPr>
                <w:rFonts w:ascii="Symbol" w:hAnsi="Symbol"/>
                <w:i/>
                <w:iCs/>
              </w:rPr>
              <w:t></w:t>
            </w:r>
            <w:r w:rsidRPr="00BC7C6D">
              <w:rPr>
                <w:rFonts w:ascii="Symbol" w:hAnsi="Symbol"/>
                <w:i/>
                <w:iCs/>
                <w:vertAlign w:val="superscript"/>
              </w:rPr>
              <w:t></w:t>
            </w:r>
          </w:p>
        </w:tc>
        <w:tc>
          <w:tcPr>
            <w:tcW w:w="7938" w:type="dxa"/>
          </w:tcPr>
          <w:p w14:paraId="33ACD2EC" w14:textId="737496BF" w:rsidR="0069601C" w:rsidRPr="00E05E29" w:rsidRDefault="0069601C" w:rsidP="002061E5">
            <w:pPr>
              <w:spacing w:after="60"/>
            </w:pPr>
            <w:r w:rsidRPr="00BC7C6D">
              <w:t xml:space="preserve">is the largest chord rotation in the shortest wall (i.e. with the lowest </w:t>
            </w:r>
            <w:r w:rsidRPr="00BC7C6D">
              <w:rPr>
                <w:i/>
                <w:iCs/>
              </w:rPr>
              <w:t>h</w:t>
            </w:r>
            <w:r w:rsidRPr="00BC7C6D">
              <w:rPr>
                <w:iCs/>
                <w:vertAlign w:val="subscript"/>
              </w:rPr>
              <w:t>i</w:t>
            </w:r>
            <w:r w:rsidRPr="00BC7C6D">
              <w:t xml:space="preserve">) in the storey </w:t>
            </w:r>
            <w:r w:rsidRPr="00BC7C6D">
              <w:rPr>
                <w:i/>
              </w:rPr>
              <w:t>j</w:t>
            </w:r>
            <w:r w:rsidRPr="00BC7C6D">
              <w:t>, along the considered direction, calculated from the linear analysis.</w:t>
            </w:r>
          </w:p>
        </w:tc>
      </w:tr>
    </w:tbl>
    <w:p w14:paraId="05A18DE5" w14:textId="77777777" w:rsidR="0069601C" w:rsidRPr="003E2FDF" w:rsidRDefault="0069601C" w:rsidP="00ED5D26">
      <w:pPr>
        <w:pStyle w:val="Notetext"/>
        <w:spacing w:before="120"/>
      </w:pPr>
      <w:r w:rsidRPr="00132C1E">
        <w:rPr>
          <w:rFonts w:ascii="Symbol" w:hAnsi="Symbol"/>
        </w:rPr>
        <w:t></w:t>
      </w:r>
      <w:r w:rsidRPr="00132C1E">
        <w:rPr>
          <w:rFonts w:ascii="Symbol" w:hAnsi="Symbol"/>
        </w:rPr>
        <w:t></w:t>
      </w:r>
      <w:r w:rsidRPr="00132C1E">
        <w:rPr>
          <w:rFonts w:ascii="Symbol" w:hAnsi="Symbol"/>
        </w:rPr>
        <w:t></w:t>
      </w:r>
      <w:r w:rsidRPr="00132C1E">
        <w:rPr>
          <w:rFonts w:ascii="Symbol" w:hAnsi="Symbol"/>
        </w:rPr>
        <w:t></w:t>
      </w:r>
      <w:r w:rsidRPr="00132C1E">
        <w:rPr>
          <w:rFonts w:ascii="Symbol" w:hAnsi="Symbol"/>
        </w:rPr>
        <w:tab/>
      </w:r>
      <w:r w:rsidRPr="00132C1E">
        <w:rPr>
          <w:rFonts w:ascii="Symbol" w:hAnsi="Symbol"/>
        </w:rPr>
        <w:t></w:t>
      </w:r>
      <w:r w:rsidRPr="00132C1E">
        <w:rPr>
          <w:rFonts w:ascii="Symbol" w:hAnsi="Symbol"/>
        </w:rPr>
        <w:t></w:t>
      </w:r>
      <w:r w:rsidRPr="00132C1E">
        <w:rPr>
          <w:rFonts w:ascii="Symbol" w:hAnsi="Symbol"/>
        </w:rPr>
        <w:t></w:t>
      </w:r>
      <w:r w:rsidRPr="00132C1E">
        <w:t>condition is</w:t>
      </w:r>
      <w:r w:rsidRPr="00BC7C6D">
        <w:t xml:space="preserve"> imposed to the reduction of shear in walls resulting from the application </w:t>
      </w:r>
      <w:r w:rsidRPr="003E2FDF">
        <w:t>of (7) or (8).</w:t>
      </w:r>
    </w:p>
    <w:p w14:paraId="21CD3BB9" w14:textId="05B5935B" w:rsidR="0069601C" w:rsidRPr="00BC7C6D" w:rsidRDefault="0069601C" w:rsidP="00724E4E">
      <w:pPr>
        <w:pStyle w:val="Clause"/>
      </w:pPr>
      <w:r w:rsidRPr="00BC7C6D">
        <w:t xml:space="preserve">If storey </w:t>
      </w:r>
      <w:r w:rsidRPr="00BC7C6D">
        <w:rPr>
          <w:i/>
        </w:rPr>
        <w:t>j</w:t>
      </w:r>
      <w:r w:rsidRPr="00BC7C6D">
        <w:t xml:space="preserve"> is not torsionally restrained in the direction </w:t>
      </w:r>
      <w:r w:rsidRPr="00BC7C6D">
        <w:rPr>
          <w:i/>
        </w:rPr>
        <w:t>x</w:t>
      </w:r>
      <w:r w:rsidRPr="00BC7C6D">
        <w:t xml:space="preserve"> (or </w:t>
      </w:r>
      <w:r w:rsidRPr="00BC7C6D">
        <w:rPr>
          <w:i/>
        </w:rPr>
        <w:t>y</w:t>
      </w:r>
      <w:r w:rsidRPr="00BC7C6D">
        <w:t xml:space="preserve">), the increase of shear due to redistribution in any wall along that direction should not be greater than </w:t>
      </w:r>
      <w:r w:rsidRPr="00066897">
        <w:rPr>
          <w:iCs/>
        </w:rPr>
        <w:t>Δ</w:t>
      </w:r>
      <w:r w:rsidRPr="00BC7C6D">
        <w:rPr>
          <w:i/>
        </w:rPr>
        <w:t>V</w:t>
      </w:r>
      <w:r w:rsidRPr="00BC7C6D">
        <w:rPr>
          <w:vertAlign w:val="subscript"/>
        </w:rPr>
        <w:t>max,i</w:t>
      </w:r>
      <w:r w:rsidRPr="00BC7C6D">
        <w:t xml:space="preserve"> given by Formula (14.8). There is no limitation to the reduction of shear in a wall. </w:t>
      </w:r>
    </w:p>
    <w:p w14:paraId="14689EC5" w14:textId="6963FE43" w:rsidR="0069601C" w:rsidRDefault="009B5CEC" w:rsidP="0069601C">
      <w:pPr>
        <w:pStyle w:val="Formula"/>
        <w:spacing w:before="240"/>
      </w:pPr>
      <m:oMath>
        <m:sSub>
          <m:sSubPr>
            <m:ctrlPr>
              <w:rPr>
                <w:rFonts w:ascii="Cambria Math" w:hAnsi="Cambria Math"/>
              </w:rPr>
            </m:ctrlPr>
          </m:sSubPr>
          <m:e>
            <m:r>
              <w:rPr>
                <w:rFonts w:ascii="Cambria Math" w:hAnsi="Cambria Math"/>
              </w:rPr>
              <m:t>∆V</m:t>
            </m:r>
          </m:e>
          <m:sub>
            <m:r>
              <m:rPr>
                <m:sty m:val="p"/>
              </m:rPr>
              <w:rPr>
                <w:rFonts w:ascii="Cambria Math" w:hAnsi="Cambria Math"/>
              </w:rPr>
              <m:t>max,i</m:t>
            </m:r>
          </m:sub>
        </m:sSub>
        <m:r>
          <w:rPr>
            <w:rFonts w:ascii="Cambria Math" w:hAnsi="Cambria Math"/>
          </w:rPr>
          <m:t>=</m:t>
        </m:r>
        <m:func>
          <m:funcPr>
            <m:ctrlPr>
              <w:rPr>
                <w:rFonts w:ascii="Cambria Math" w:hAnsi="Cambria Math"/>
              </w:rPr>
            </m:ctrlPr>
          </m:funcPr>
          <m:fName>
            <m:r>
              <w:rPr>
                <w:rFonts w:ascii="Cambria Math" w:hAnsi="Cambria Math"/>
              </w:rPr>
              <m:t>max</m:t>
            </m:r>
          </m:fName>
          <m:e>
            <m:d>
              <m:dPr>
                <m:ctrlPr>
                  <w:rPr>
                    <w:rFonts w:ascii="Cambria Math" w:hAnsi="Cambria Math"/>
                  </w:rPr>
                </m:ctrlPr>
              </m:dPr>
              <m:e>
                <m:r>
                  <w:rPr>
                    <w:rFonts w:ascii="Cambria Math" w:hAnsi="Cambria Math"/>
                  </w:rPr>
                  <m:t>0,2</m:t>
                </m:r>
                <m:sSub>
                  <m:sSubPr>
                    <m:ctrlPr>
                      <w:rPr>
                        <w:rFonts w:ascii="Cambria Math" w:hAnsi="Cambria Math"/>
                      </w:rPr>
                    </m:ctrlPr>
                  </m:sSubPr>
                  <m:e>
                    <m:r>
                      <w:rPr>
                        <w:rFonts w:ascii="Cambria Math" w:hAnsi="Cambria Math"/>
                      </w:rPr>
                      <m:t xml:space="preserve"> V</m:t>
                    </m:r>
                  </m:e>
                  <m:sub>
                    <m:r>
                      <m:rPr>
                        <m:sty m:val="p"/>
                      </m:rPr>
                      <w:rPr>
                        <w:rFonts w:ascii="Cambria Math" w:hAnsi="Cambria Math"/>
                      </w:rPr>
                      <m:t>i</m:t>
                    </m:r>
                  </m:sub>
                </m:sSub>
                <m:r>
                  <w:rPr>
                    <w:rFonts w:ascii="Cambria Math" w:hAnsi="Cambria Math"/>
                  </w:rPr>
                  <m:t xml:space="preserve">; 0,1 </m:t>
                </m:r>
                <m:sSub>
                  <m:sSubPr>
                    <m:ctrlPr>
                      <w:rPr>
                        <w:rFonts w:ascii="Cambria Math" w:hAnsi="Cambria Math"/>
                      </w:rPr>
                    </m:ctrlPr>
                  </m:sSubPr>
                  <m:e>
                    <m:r>
                      <w:rPr>
                        <w:rFonts w:ascii="Cambria Math" w:hAnsi="Cambria Math"/>
                      </w:rPr>
                      <m:t>V</m:t>
                    </m:r>
                  </m:e>
                  <m:sub>
                    <m:r>
                      <m:rPr>
                        <m:sty m:val="p"/>
                      </m:rPr>
                      <w:rPr>
                        <w:rFonts w:ascii="Cambria Math" w:hAnsi="Cambria Math"/>
                      </w:rPr>
                      <m:t>storey</m:t>
                    </m:r>
                  </m:sub>
                </m:sSub>
              </m:e>
            </m:d>
          </m:e>
        </m:func>
      </m:oMath>
      <w:r w:rsidR="0069601C" w:rsidRPr="00870D59">
        <w:tab/>
        <w:t>(1</w:t>
      </w:r>
      <w:r w:rsidR="0069601C">
        <w:t>4</w:t>
      </w:r>
      <w:r w:rsidR="0069601C" w:rsidRPr="00870D59">
        <w:t>.</w:t>
      </w:r>
      <w:r w:rsidR="0069601C">
        <w:t>8</w:t>
      </w:r>
      <w:r w:rsidR="0069601C" w:rsidRPr="00870D59">
        <w:t>)</w:t>
      </w:r>
    </w:p>
    <w:p w14:paraId="0C9FAA96" w14:textId="595CE739" w:rsidR="0069601C" w:rsidRPr="001B2671" w:rsidRDefault="00675EBA" w:rsidP="003E2FDF">
      <w:pPr>
        <w:pStyle w:val="Text"/>
      </w:pPr>
      <w:r>
        <w:t>where</w:t>
      </w:r>
    </w:p>
    <w:tbl>
      <w:tblPr>
        <w:tblW w:w="0" w:type="auto"/>
        <w:tblInd w:w="346" w:type="dxa"/>
        <w:tblLook w:val="04A0" w:firstRow="1" w:lastRow="0" w:firstColumn="1" w:lastColumn="0" w:noHBand="0" w:noVBand="1"/>
      </w:tblPr>
      <w:tblGrid>
        <w:gridCol w:w="1275"/>
        <w:gridCol w:w="7938"/>
      </w:tblGrid>
      <w:tr w:rsidR="0069601C" w:rsidRPr="000F2AFF" w14:paraId="5F852E0A" w14:textId="77777777" w:rsidTr="00ED5D26">
        <w:tc>
          <w:tcPr>
            <w:tcW w:w="1275" w:type="dxa"/>
          </w:tcPr>
          <w:p w14:paraId="645FE6C0" w14:textId="77777777" w:rsidR="0069601C" w:rsidRPr="000F2AFF" w:rsidRDefault="0069601C" w:rsidP="002061E5">
            <w:pPr>
              <w:spacing w:after="60"/>
              <w:jc w:val="left"/>
              <w:rPr>
                <w:rFonts w:eastAsia="Times New Roman" w:cs="Cambria"/>
                <w:color w:val="000000" w:themeColor="text1"/>
                <w:szCs w:val="20"/>
                <w:lang w:eastAsia="fr-FR"/>
              </w:rPr>
            </w:pPr>
            <w:r w:rsidRPr="00BC7C6D">
              <w:rPr>
                <w:i/>
                <w:iCs/>
              </w:rPr>
              <w:t>V</w:t>
            </w:r>
            <w:r w:rsidRPr="00BC7C6D">
              <w:rPr>
                <w:vertAlign w:val="subscript"/>
              </w:rPr>
              <w:t>i</w:t>
            </w:r>
          </w:p>
        </w:tc>
        <w:tc>
          <w:tcPr>
            <w:tcW w:w="7938" w:type="dxa"/>
          </w:tcPr>
          <w:p w14:paraId="4E243EAC" w14:textId="04064126" w:rsidR="0069601C" w:rsidRPr="00DF3AF1" w:rsidRDefault="00051C8C" w:rsidP="002061E5">
            <w:pPr>
              <w:spacing w:after="60"/>
              <w:rPr>
                <w:rFonts w:eastAsia="Times New Roman" w:cs="Cambria"/>
                <w:szCs w:val="20"/>
                <w:lang w:eastAsia="fr-FR"/>
              </w:rPr>
            </w:pPr>
            <w:r w:rsidRPr="00BC7C6D">
              <w:t>is the shear force obtained by the linear analysis in the wall where the shear force is increased or decreased;</w:t>
            </w:r>
          </w:p>
        </w:tc>
      </w:tr>
      <w:tr w:rsidR="0069601C" w:rsidRPr="000F2AFF" w14:paraId="07D5181C" w14:textId="77777777" w:rsidTr="00ED5D26">
        <w:tc>
          <w:tcPr>
            <w:tcW w:w="1275" w:type="dxa"/>
          </w:tcPr>
          <w:p w14:paraId="13442282" w14:textId="469A01E4" w:rsidR="0069601C" w:rsidRPr="00E05E29" w:rsidRDefault="0069601C" w:rsidP="002061E5">
            <w:pPr>
              <w:spacing w:after="60"/>
              <w:jc w:val="left"/>
              <w:rPr>
                <w:i/>
                <w:iCs/>
              </w:rPr>
            </w:pPr>
            <w:r w:rsidRPr="00BC7C6D">
              <w:rPr>
                <w:i/>
                <w:iCs/>
              </w:rPr>
              <w:t>V</w:t>
            </w:r>
            <w:r w:rsidRPr="00BC7C6D">
              <w:rPr>
                <w:iCs/>
                <w:vertAlign w:val="subscript"/>
              </w:rPr>
              <w:t>storey</w:t>
            </w:r>
          </w:p>
        </w:tc>
        <w:tc>
          <w:tcPr>
            <w:tcW w:w="7938" w:type="dxa"/>
          </w:tcPr>
          <w:p w14:paraId="37EC85C8" w14:textId="2A0CC405" w:rsidR="0069601C" w:rsidRPr="00E05E29" w:rsidRDefault="00051C8C" w:rsidP="002061E5">
            <w:pPr>
              <w:spacing w:after="60"/>
            </w:pPr>
            <w:r w:rsidRPr="00BC7C6D">
              <w:t>is the corresponding total storey shear force in the same direction.</w:t>
            </w:r>
          </w:p>
        </w:tc>
      </w:tr>
    </w:tbl>
    <w:p w14:paraId="36F628D4" w14:textId="77777777" w:rsidR="00051C8C" w:rsidRPr="00BC7C6D" w:rsidRDefault="00051C8C" w:rsidP="00724E4E">
      <w:pPr>
        <w:pStyle w:val="Clause"/>
      </w:pPr>
      <w:r w:rsidRPr="00BC7C6D">
        <w:t xml:space="preserve">Shear force redistribution should not be carried out when the </w:t>
      </w:r>
      <w:r w:rsidRPr="00BC7C6D">
        <w:rPr>
          <w:i/>
        </w:rPr>
        <w:t>q</w:t>
      </w:r>
      <w:r w:rsidRPr="00BC7C6D">
        <w:rPr>
          <w:vertAlign w:val="subscript"/>
        </w:rPr>
        <w:t>R</w:t>
      </w:r>
      <w:r w:rsidRPr="00BC7C6D">
        <w:t xml:space="preserve"> factor has been obtained by a non-linear static analysis. </w:t>
      </w:r>
    </w:p>
    <w:p w14:paraId="1C8928CE" w14:textId="2B856DF9" w:rsidR="00051C8C" w:rsidRPr="00BC7C6D" w:rsidRDefault="00051C8C" w:rsidP="00724E4E">
      <w:pPr>
        <w:pStyle w:val="Clause"/>
      </w:pPr>
      <w:r w:rsidRPr="00BC7C6D">
        <w:t>The effects of shear force redistribution for the diaphragms, ring beams and drag ties should be taken into account.</w:t>
      </w:r>
    </w:p>
    <w:p w14:paraId="54EF2DDE" w14:textId="38D8A759" w:rsidR="00051C8C" w:rsidRPr="00BC7C6D" w:rsidRDefault="00051C8C" w:rsidP="00724E4E">
      <w:pPr>
        <w:pStyle w:val="Clause"/>
      </w:pPr>
      <w:r w:rsidRPr="00BC7C6D">
        <w:t>If diaphragms are flexible, shear forces may be redistributed among walls in the same vertical plane according to</w:t>
      </w:r>
      <w:r w:rsidRPr="00835C82">
        <w:t xml:space="preserve"> (6)</w:t>
      </w:r>
      <w:r w:rsidRPr="00BC7C6D">
        <w:t>,</w:t>
      </w:r>
      <w:r w:rsidRPr="00835C82">
        <w:t xml:space="preserve"> (7)</w:t>
      </w:r>
      <w:r w:rsidRPr="00BC7C6D">
        <w:t xml:space="preserve"> and </w:t>
      </w:r>
      <w:r w:rsidRPr="00835C82">
        <w:t>(8)</w:t>
      </w:r>
      <w:r w:rsidRPr="00BC7C6D">
        <w:t xml:space="preserve"> provided that walls are connected at each floor level by beams designed to resist and transmit the effects of shear force redistribution.</w:t>
      </w:r>
    </w:p>
    <w:p w14:paraId="76BF7EFA" w14:textId="046F9075" w:rsidR="00051C8C" w:rsidRPr="00BC7C6D" w:rsidRDefault="00051C8C" w:rsidP="00051C8C">
      <w:pPr>
        <w:pStyle w:val="Notetext"/>
      </w:pPr>
      <w:r w:rsidRPr="00BC7C6D">
        <w:t>NOTE</w:t>
      </w:r>
      <w:r w:rsidRPr="00BC7C6D">
        <w:tab/>
        <w:t xml:space="preserve">In such case, the criteria associated to Formula (14.4), (14.6), (14.7) and (14.8) are applicable assuming that the system of walls in the same vertical plane is a stand-alone planar structure (e.g. </w:t>
      </w:r>
      <w:r w:rsidRPr="00BC7C6D">
        <w:rPr>
          <w:i/>
          <w:iCs/>
        </w:rPr>
        <w:t>V</w:t>
      </w:r>
      <w:r w:rsidRPr="00BC7C6D">
        <w:rPr>
          <w:vertAlign w:val="subscript"/>
        </w:rPr>
        <w:t>storey</w:t>
      </w:r>
      <w:r w:rsidRPr="00BC7C6D">
        <w:t xml:space="preserve"> is the sum of the shears in the walls at the same storey, belonging to the same vertical plane).</w:t>
      </w:r>
    </w:p>
    <w:p w14:paraId="2B773B27" w14:textId="32325870" w:rsidR="00051C8C" w:rsidRPr="00C43780" w:rsidRDefault="00051C8C" w:rsidP="00724E4E">
      <w:pPr>
        <w:pStyle w:val="Clause"/>
      </w:pPr>
      <w:r w:rsidRPr="00C43780">
        <w:t>The redistribution of moments in beams of reinforced masonry buildings should satisfy EN</w:t>
      </w:r>
      <w:r w:rsidR="0063506B">
        <w:t> </w:t>
      </w:r>
      <w:r w:rsidRPr="00C43780">
        <w:t>1996</w:t>
      </w:r>
      <w:r w:rsidR="00ED5D26">
        <w:noBreakHyphen/>
      </w:r>
      <w:r w:rsidRPr="00C43780">
        <w:t>1</w:t>
      </w:r>
      <w:r w:rsidR="00ED5D26">
        <w:noBreakHyphen/>
      </w:r>
      <w:r w:rsidR="0063506B">
        <w:t>1</w:t>
      </w:r>
      <w:r w:rsidRPr="00C43780">
        <w:t>:202</w:t>
      </w:r>
      <w:r w:rsidR="0063506B">
        <w:t>2</w:t>
      </w:r>
      <w:r w:rsidRPr="00C43780">
        <w:t xml:space="preserve">, </w:t>
      </w:r>
      <w:r w:rsidRPr="00835C82">
        <w:t>7.5.3.5</w:t>
      </w:r>
      <w:r w:rsidRPr="00C43780">
        <w:t>.</w:t>
      </w:r>
    </w:p>
    <w:p w14:paraId="1825043D" w14:textId="2384C02A" w:rsidR="00051C8C" w:rsidRPr="00BC7C6D" w:rsidRDefault="00051C8C" w:rsidP="00051C8C">
      <w:pPr>
        <w:pStyle w:val="Heading3"/>
        <w:rPr>
          <w:rFonts w:eastAsia="Cambria"/>
          <w:szCs w:val="22"/>
        </w:rPr>
      </w:pPr>
      <w:bookmarkStart w:id="10718" w:name="_Toc108342641"/>
      <w:bookmarkStart w:id="10719" w:name="_Toc134198155"/>
      <w:r w:rsidRPr="00BC7C6D">
        <w:t>Linear structural analysis for determining the out-of-plane bending moment demand on walls</w:t>
      </w:r>
      <w:bookmarkEnd w:id="10718"/>
      <w:bookmarkEnd w:id="10719"/>
    </w:p>
    <w:p w14:paraId="5F204D0F" w14:textId="77777777" w:rsidR="00051C8C" w:rsidRPr="00132C1E" w:rsidRDefault="00051C8C" w:rsidP="0080187E">
      <w:pPr>
        <w:pStyle w:val="Clause"/>
        <w:numPr>
          <w:ilvl w:val="0"/>
          <w:numId w:val="503"/>
        </w:numPr>
      </w:pPr>
      <w:bookmarkStart w:id="10720" w:name="_Toc19532387"/>
      <w:bookmarkStart w:id="10721" w:name="_Toc19532388"/>
      <w:bookmarkStart w:id="10722" w:name="_Toc19532405"/>
      <w:bookmarkStart w:id="10723" w:name="_Toc19532406"/>
      <w:bookmarkStart w:id="10724" w:name="_Toc19532407"/>
      <w:bookmarkStart w:id="10725" w:name="_Toc19532408"/>
      <w:bookmarkStart w:id="10726" w:name="_Toc19532409"/>
      <w:bookmarkEnd w:id="10720"/>
      <w:bookmarkEnd w:id="10721"/>
      <w:bookmarkEnd w:id="10722"/>
      <w:bookmarkEnd w:id="10723"/>
      <w:bookmarkEnd w:id="10724"/>
      <w:bookmarkEnd w:id="10725"/>
      <w:bookmarkEnd w:id="10726"/>
      <w:r w:rsidRPr="00132C1E">
        <w:t xml:space="preserve">If </w:t>
      </w:r>
      <w:r w:rsidRPr="007929AA">
        <w:rPr>
          <w:i/>
        </w:rPr>
        <w:t>E</w:t>
      </w:r>
      <w:r w:rsidRPr="007929AA">
        <w:rPr>
          <w:vertAlign w:val="subscript"/>
        </w:rPr>
        <w:t>Ed,E</w:t>
      </w:r>
      <w:r w:rsidRPr="00132C1E">
        <w:t xml:space="preserve"> is calculated with a first order analysis, second order effects should be controlled according to </w:t>
      </w:r>
      <w:r w:rsidRPr="00835C82">
        <w:t>6.2.4</w:t>
      </w:r>
      <w:r w:rsidRPr="00132C1E">
        <w:t xml:space="preserve">. </w:t>
      </w:r>
      <w:bookmarkStart w:id="10727" w:name="_Hlk38290026"/>
      <w:bookmarkEnd w:id="10727"/>
    </w:p>
    <w:p w14:paraId="75391B6D" w14:textId="77777777" w:rsidR="00051C8C" w:rsidRPr="008554D2" w:rsidRDefault="00051C8C" w:rsidP="00724E4E">
      <w:pPr>
        <w:pStyle w:val="Clause"/>
      </w:pPr>
      <w:r w:rsidRPr="00132C1E">
        <w:t xml:space="preserve">The seismic action effects </w:t>
      </w:r>
      <w:r w:rsidRPr="008554D2">
        <w:rPr>
          <w:i/>
        </w:rPr>
        <w:t>E</w:t>
      </w:r>
      <w:r w:rsidRPr="008554D2">
        <w:rPr>
          <w:vertAlign w:val="subscript"/>
        </w:rPr>
        <w:t>Ed,E</w:t>
      </w:r>
      <w:r w:rsidRPr="00132C1E">
        <w:t xml:space="preserve"> may be calculated by means of a floor acceleration response spectrum </w:t>
      </w:r>
      <w:r w:rsidRPr="008554D2">
        <w:t xml:space="preserve">according </w:t>
      </w:r>
      <w:r w:rsidRPr="00721B11">
        <w:t xml:space="preserve">to </w:t>
      </w:r>
      <w:r w:rsidRPr="008554D2">
        <w:t>Annex C</w:t>
      </w:r>
      <w:r>
        <w:t xml:space="preserve">, </w:t>
      </w:r>
      <w:r w:rsidRPr="00BC7C6D">
        <w:t>considering the first vibration period.</w:t>
      </w:r>
    </w:p>
    <w:p w14:paraId="2ADE22C7" w14:textId="3C1097ED" w:rsidR="00051C8C" w:rsidRPr="00015E4B" w:rsidRDefault="00051C8C" w:rsidP="00724E4E">
      <w:pPr>
        <w:pStyle w:val="Clause"/>
      </w:pPr>
      <w:r w:rsidRPr="00132C1E">
        <w:t xml:space="preserve">The height </w:t>
      </w:r>
      <w:r w:rsidRPr="008554D2">
        <w:rPr>
          <w:i/>
        </w:rPr>
        <w:t>z</w:t>
      </w:r>
      <w:r w:rsidRPr="008554D2">
        <w:rPr>
          <w:vertAlign w:val="subscript"/>
        </w:rPr>
        <w:t>j</w:t>
      </w:r>
      <w:r w:rsidRPr="00132C1E">
        <w:t xml:space="preserve"> may be assumed </w:t>
      </w:r>
      <w:r w:rsidRPr="00015E4B">
        <w:t xml:space="preserve">as the height at the centre of the wall. The damping ratio </w:t>
      </w:r>
      <w:r w:rsidRPr="00015E4B">
        <w:rPr>
          <w:i/>
        </w:rPr>
        <w:t>ξ</w:t>
      </w:r>
      <w:r w:rsidRPr="00015E4B">
        <w:rPr>
          <w:vertAlign w:val="subscript"/>
        </w:rPr>
        <w:t>a</w:t>
      </w:r>
      <w:r w:rsidRPr="00015E4B">
        <w:t xml:space="preserve"> may be taken equal to 5</w:t>
      </w:r>
      <w:r w:rsidR="00D4445A">
        <w:t> </w:t>
      </w:r>
      <w:r w:rsidRPr="00015E4B">
        <w:t xml:space="preserve">%. Factor </w:t>
      </w:r>
      <w:r w:rsidRPr="00015E4B">
        <w:rPr>
          <w:i/>
        </w:rPr>
        <w:t>q</w:t>
      </w:r>
      <w:r w:rsidRPr="00015E4B">
        <w:rPr>
          <w:vertAlign w:val="subscript"/>
        </w:rPr>
        <w:t>D</w:t>
      </w:r>
      <w:r w:rsidRPr="00015E4B">
        <w:t xml:space="preserve"> in Formula (7.3), in Formula (C.1) and in Formula (C.3) may be taken as given in a) or b):</w:t>
      </w:r>
      <w:bookmarkStart w:id="10728" w:name="_Ref18054991"/>
    </w:p>
    <w:p w14:paraId="26E901A3" w14:textId="77777777" w:rsidR="00051C8C" w:rsidRPr="00015E4B" w:rsidRDefault="00051C8C" w:rsidP="00D4445A">
      <w:pPr>
        <w:pStyle w:val="Text"/>
        <w:numPr>
          <w:ilvl w:val="0"/>
          <w:numId w:val="683"/>
        </w:numPr>
        <w:spacing w:after="200"/>
      </w:pPr>
      <w:r w:rsidRPr="00015E4B">
        <w:t>for the SD verification of systems designed for DC1: 1,0;</w:t>
      </w:r>
    </w:p>
    <w:p w14:paraId="53F09FC8" w14:textId="77777777" w:rsidR="00051C8C" w:rsidRPr="003E2FDF" w:rsidRDefault="00051C8C" w:rsidP="00D4445A">
      <w:pPr>
        <w:pStyle w:val="Text"/>
        <w:numPr>
          <w:ilvl w:val="0"/>
          <w:numId w:val="683"/>
        </w:numPr>
        <w:spacing w:after="200"/>
      </w:pPr>
      <w:r w:rsidRPr="00015E4B">
        <w:t xml:space="preserve">for the SD verification of systems designed for DC2: </w:t>
      </w:r>
      <w:r w:rsidRPr="00015E4B">
        <w:rPr>
          <w:i/>
          <w:iCs/>
        </w:rPr>
        <w:t>q</w:t>
      </w:r>
      <w:r w:rsidRPr="00015E4B">
        <w:rPr>
          <w:iCs/>
          <w:vertAlign w:val="subscript"/>
        </w:rPr>
        <w:t>oop</w:t>
      </w:r>
      <w:r w:rsidRPr="00015E4B">
        <w:t xml:space="preserve"> according </w:t>
      </w:r>
      <w:r w:rsidRPr="003E2FDF">
        <w:t>to 14.4.2.</w:t>
      </w:r>
    </w:p>
    <w:p w14:paraId="512EA621" w14:textId="0FFD4CB8" w:rsidR="00051C8C" w:rsidRPr="00015E4B" w:rsidRDefault="00051C8C" w:rsidP="00724E4E">
      <w:pPr>
        <w:pStyle w:val="Clause"/>
      </w:pPr>
      <w:r w:rsidRPr="00C43780">
        <w:t>The boundary conditions of out-of-plane loaded walls should be determined according to EN</w:t>
      </w:r>
      <w:r w:rsidR="0063506B">
        <w:t> </w:t>
      </w:r>
      <w:r w:rsidRPr="00C43780">
        <w:t>1996</w:t>
      </w:r>
      <w:r w:rsidR="00ED5D26">
        <w:noBreakHyphen/>
      </w:r>
      <w:r w:rsidRPr="00C43780">
        <w:t>1</w:t>
      </w:r>
      <w:r w:rsidR="0063506B">
        <w:t>-1</w:t>
      </w:r>
      <w:r w:rsidRPr="00C43780">
        <w:t>:202</w:t>
      </w:r>
      <w:r w:rsidR="0063506B">
        <w:t>2</w:t>
      </w:r>
      <w:r w:rsidRPr="00C43780">
        <w:t xml:space="preserve">, </w:t>
      </w:r>
      <w:r w:rsidRPr="00835C82">
        <w:t>7.5.1.</w:t>
      </w:r>
      <w:r w:rsidRPr="00C43780">
        <w:t xml:space="preserve"> Restraint at a vertical edge may be considered or, as a simplification, neglected. Walls may be modelled</w:t>
      </w:r>
      <w:r w:rsidRPr="00015E4B">
        <w:t xml:space="preserve"> as 1D elements spanning between two floors or standing as a cantilever on one floor.</w:t>
      </w:r>
      <w:bookmarkEnd w:id="10728"/>
    </w:p>
    <w:p w14:paraId="05A81E1A" w14:textId="77777777" w:rsidR="00051C8C" w:rsidRPr="00015E4B" w:rsidRDefault="00051C8C" w:rsidP="00724E4E">
      <w:pPr>
        <w:pStyle w:val="Clause"/>
      </w:pPr>
      <w:r w:rsidRPr="00015E4B">
        <w:t xml:space="preserve">For walls modelled as 1D elements, the first period </w:t>
      </w:r>
      <w:r w:rsidRPr="00015E4B">
        <w:rPr>
          <w:i/>
        </w:rPr>
        <w:t>T</w:t>
      </w:r>
      <w:r w:rsidRPr="00015E4B">
        <w:rPr>
          <w:vertAlign w:val="subscript"/>
        </w:rPr>
        <w:t>0</w:t>
      </w:r>
      <w:r w:rsidRPr="00015E4B">
        <w:t xml:space="preserve"> of the out-of-plane mechanism may be calculated by Formula (14.9):</w:t>
      </w:r>
    </w:p>
    <w:p w14:paraId="6CF5087E" w14:textId="5B3240BB" w:rsidR="00051C8C" w:rsidRDefault="009B5CEC" w:rsidP="00051C8C">
      <w:pPr>
        <w:pStyle w:val="Formula"/>
        <w:spacing w:before="240"/>
      </w:pPr>
      <m:oMath>
        <m:sSub>
          <m:sSubPr>
            <m:ctrlPr>
              <w:rPr>
                <w:rFonts w:ascii="Cambria Math" w:hAnsi="Cambria Math"/>
              </w:rPr>
            </m:ctrlPr>
          </m:sSubPr>
          <m:e>
            <m:r>
              <w:rPr>
                <w:rFonts w:ascii="Cambria Math" w:hAnsi="Cambria Math"/>
              </w:rPr>
              <m:t>T</m:t>
            </m:r>
          </m:e>
          <m:sub>
            <m:r>
              <w:rPr>
                <w:rFonts w:ascii="Cambria Math" w:hAnsi="Cambria Math"/>
              </w:rPr>
              <m:t>0</m:t>
            </m:r>
          </m:sub>
        </m:sSub>
        <m:r>
          <w:rPr>
            <w:rFonts w:ascii="Cambria Math" w:hAnsi="Cambria Math"/>
          </w:rPr>
          <m:t xml:space="preserve">=β </m:t>
        </m:r>
        <m:sSubSup>
          <m:sSubSupPr>
            <m:ctrlPr>
              <w:rPr>
                <w:rFonts w:ascii="Cambria Math" w:hAnsi="Cambria Math"/>
              </w:rPr>
            </m:ctrlPr>
          </m:sSubSupPr>
          <m:e>
            <m:r>
              <w:rPr>
                <w:rFonts w:ascii="Cambria Math" w:hAnsi="Cambria Math"/>
              </w:rPr>
              <m:t>h</m:t>
            </m:r>
          </m:e>
          <m:sub>
            <m:r>
              <m:rPr>
                <m:sty m:val="p"/>
              </m:rPr>
              <w:rPr>
                <w:rFonts w:ascii="Cambria Math" w:hAnsi="Cambria Math"/>
              </w:rPr>
              <m:t>wall</m:t>
            </m:r>
          </m:sub>
          <m:sup>
            <m:r>
              <w:rPr>
                <w:rFonts w:ascii="Cambria Math" w:hAnsi="Cambria Math"/>
              </w:rPr>
              <m:t>2</m:t>
            </m:r>
          </m:sup>
        </m:sSubSup>
        <m:rad>
          <m:radPr>
            <m:degHide m:val="1"/>
            <m:ctrlPr>
              <w:rPr>
                <w:rFonts w:ascii="Cambria Math" w:hAnsi="Cambria Math"/>
              </w:rPr>
            </m:ctrlPr>
          </m:radPr>
          <m:deg/>
          <m:e>
            <m:f>
              <m:fPr>
                <m:ctrlPr>
                  <w:rPr>
                    <w:rFonts w:ascii="Cambria Math" w:hAnsi="Cambria Math"/>
                  </w:rPr>
                </m:ctrlPr>
              </m:fPr>
              <m:num>
                <m:sSub>
                  <m:sSubPr>
                    <m:ctrlPr>
                      <w:rPr>
                        <w:rFonts w:ascii="Cambria Math" w:hAnsi="Cambria Math"/>
                      </w:rPr>
                    </m:ctrlPr>
                  </m:sSubPr>
                  <m:e>
                    <m:r>
                      <w:rPr>
                        <w:rFonts w:ascii="Cambria Math" w:hAnsi="Cambria Math"/>
                      </w:rPr>
                      <m:t>m</m:t>
                    </m:r>
                  </m:e>
                  <m:sub>
                    <m:r>
                      <m:rPr>
                        <m:sty m:val="p"/>
                      </m:rPr>
                      <w:rPr>
                        <w:rFonts w:ascii="Cambria Math" w:hAnsi="Cambria Math"/>
                      </w:rPr>
                      <m:t>wall</m:t>
                    </m:r>
                  </m:sub>
                </m:sSub>
              </m:num>
              <m:den>
                <m:sSub>
                  <m:sSubPr>
                    <m:ctrlPr>
                      <w:rPr>
                        <w:rFonts w:ascii="Cambria Math" w:hAnsi="Cambria Math"/>
                      </w:rPr>
                    </m:ctrlPr>
                  </m:sSubPr>
                  <m:e>
                    <m:r>
                      <w:rPr>
                        <w:rFonts w:ascii="Cambria Math" w:hAnsi="Cambria Math"/>
                      </w:rPr>
                      <m:t>E</m:t>
                    </m:r>
                  </m:e>
                  <m:sub>
                    <m:r>
                      <m:rPr>
                        <m:sty m:val="p"/>
                      </m:rPr>
                      <w:rPr>
                        <w:rFonts w:ascii="Cambria Math" w:hAnsi="Cambria Math"/>
                      </w:rPr>
                      <m:t>sec</m:t>
                    </m:r>
                  </m:sub>
                </m:sSub>
                <m:sSub>
                  <m:sSubPr>
                    <m:ctrlPr>
                      <w:rPr>
                        <w:rFonts w:ascii="Cambria Math" w:hAnsi="Cambria Math"/>
                      </w:rPr>
                    </m:ctrlPr>
                  </m:sSubPr>
                  <m:e>
                    <m:r>
                      <w:rPr>
                        <w:rFonts w:ascii="Cambria Math" w:hAnsi="Cambria Math"/>
                      </w:rPr>
                      <m:t>I</m:t>
                    </m:r>
                  </m:e>
                  <m:sub>
                    <m:r>
                      <m:rPr>
                        <m:sty m:val="p"/>
                      </m:rPr>
                      <w:rPr>
                        <w:rFonts w:ascii="Cambria Math" w:hAnsi="Cambria Math"/>
                      </w:rPr>
                      <m:t>oop</m:t>
                    </m:r>
                  </m:sub>
                </m:sSub>
                <m:sSub>
                  <m:sSubPr>
                    <m:ctrlPr>
                      <w:rPr>
                        <w:rFonts w:ascii="Cambria Math" w:hAnsi="Cambria Math"/>
                      </w:rPr>
                    </m:ctrlPr>
                  </m:sSubPr>
                  <m:e>
                    <m:r>
                      <w:rPr>
                        <w:rFonts w:ascii="Cambria Math" w:hAnsi="Cambria Math"/>
                      </w:rPr>
                      <m:t>h</m:t>
                    </m:r>
                  </m:e>
                  <m:sub>
                    <m:r>
                      <m:rPr>
                        <m:sty m:val="p"/>
                      </m:rPr>
                      <w:rPr>
                        <w:rFonts w:ascii="Cambria Math" w:hAnsi="Cambria Math"/>
                      </w:rPr>
                      <m:t>wall</m:t>
                    </m:r>
                  </m:sub>
                </m:sSub>
              </m:den>
            </m:f>
          </m:e>
        </m:rad>
      </m:oMath>
      <w:r w:rsidR="00051C8C" w:rsidRPr="00870D59">
        <w:tab/>
        <w:t>(1</w:t>
      </w:r>
      <w:r w:rsidR="00051C8C">
        <w:t>4</w:t>
      </w:r>
      <w:r w:rsidR="00051C8C" w:rsidRPr="00870D59">
        <w:t>.</w:t>
      </w:r>
      <w:r w:rsidR="00051C8C">
        <w:t>9</w:t>
      </w:r>
      <w:r w:rsidR="00051C8C" w:rsidRPr="00870D59">
        <w:t>)</w:t>
      </w:r>
    </w:p>
    <w:p w14:paraId="0F53CCAD" w14:textId="3B0A1F33" w:rsidR="00051C8C" w:rsidRPr="001B2671" w:rsidRDefault="00675EBA" w:rsidP="003E2FDF">
      <w:pPr>
        <w:pStyle w:val="Text"/>
      </w:pPr>
      <w:r>
        <w:t>where</w:t>
      </w:r>
    </w:p>
    <w:tbl>
      <w:tblPr>
        <w:tblW w:w="0" w:type="auto"/>
        <w:tblInd w:w="346" w:type="dxa"/>
        <w:tblLook w:val="04A0" w:firstRow="1" w:lastRow="0" w:firstColumn="1" w:lastColumn="0" w:noHBand="0" w:noVBand="1"/>
      </w:tblPr>
      <w:tblGrid>
        <w:gridCol w:w="1275"/>
        <w:gridCol w:w="7938"/>
      </w:tblGrid>
      <w:tr w:rsidR="00051C8C" w:rsidRPr="000F2AFF" w14:paraId="2EAB2EAD" w14:textId="77777777" w:rsidTr="00ED5D26">
        <w:tc>
          <w:tcPr>
            <w:tcW w:w="1275" w:type="dxa"/>
          </w:tcPr>
          <w:p w14:paraId="1CDFC8EA" w14:textId="42BE3CB8" w:rsidR="00051C8C" w:rsidRPr="000F2AFF" w:rsidRDefault="00051C8C" w:rsidP="002061E5">
            <w:pPr>
              <w:spacing w:after="60"/>
              <w:jc w:val="left"/>
              <w:rPr>
                <w:rFonts w:eastAsia="Times New Roman" w:cs="Cambria"/>
                <w:color w:val="000000" w:themeColor="text1"/>
                <w:szCs w:val="20"/>
                <w:lang w:eastAsia="fr-FR"/>
              </w:rPr>
            </w:pPr>
            <w:r w:rsidRPr="007E6F67">
              <w:rPr>
                <w:rFonts w:ascii="Symbol" w:hAnsi="Symbol"/>
                <w:i/>
                <w:iCs/>
              </w:rPr>
              <w:lastRenderedPageBreak/>
              <w:t></w:t>
            </w:r>
          </w:p>
        </w:tc>
        <w:tc>
          <w:tcPr>
            <w:tcW w:w="7938" w:type="dxa"/>
          </w:tcPr>
          <w:p w14:paraId="18858FE9" w14:textId="77777777" w:rsidR="00051C8C" w:rsidRPr="00FD17CF" w:rsidRDefault="00051C8C" w:rsidP="00051C8C">
            <w:pPr>
              <w:pStyle w:val="Listofsymbols"/>
            </w:pPr>
            <w:r w:rsidRPr="00FD17CF">
              <w:t>is a coefficient to account for the boundary conditions which may be taken equal to:</w:t>
            </w:r>
          </w:p>
          <w:p w14:paraId="56EEAB45" w14:textId="3AC940D0" w:rsidR="00051C8C" w:rsidRPr="00E05E29" w:rsidRDefault="00051C8C" w:rsidP="00051C8C">
            <w:pPr>
              <w:pStyle w:val="Listofsymbols"/>
            </w:pPr>
            <w:r w:rsidRPr="00E05E29">
              <w:t xml:space="preserve">1,8 for </w:t>
            </w:r>
            <w:r w:rsidRPr="00E05E29">
              <w:rPr>
                <w:rFonts w:ascii="Symbol" w:hAnsi="Symbol"/>
                <w:i/>
              </w:rPr>
              <w:t></w:t>
            </w:r>
            <w:r w:rsidRPr="00E05E29">
              <w:rPr>
                <w:vertAlign w:val="subscript"/>
              </w:rPr>
              <w:t>n </w:t>
            </w:r>
            <w:r w:rsidRPr="00E05E29">
              <w:t>= 2,0,</w:t>
            </w:r>
          </w:p>
          <w:p w14:paraId="1D2D56CD" w14:textId="77777777" w:rsidR="00051C8C" w:rsidRPr="002144A0" w:rsidRDefault="00051C8C" w:rsidP="00051C8C">
            <w:pPr>
              <w:pStyle w:val="Listofsymbols"/>
            </w:pPr>
            <w:r w:rsidRPr="00196951">
              <w:t xml:space="preserve">0,6 </w:t>
            </w:r>
            <w:r w:rsidRPr="002144A0">
              <w:t xml:space="preserve">for </w:t>
            </w:r>
            <w:r w:rsidRPr="002144A0">
              <w:rPr>
                <w:rFonts w:ascii="Symbol" w:hAnsi="Symbol"/>
                <w:i/>
              </w:rPr>
              <w:t></w:t>
            </w:r>
            <w:r w:rsidRPr="002144A0">
              <w:rPr>
                <w:vertAlign w:val="subscript"/>
              </w:rPr>
              <w:t>n</w:t>
            </w:r>
            <w:r w:rsidRPr="002144A0">
              <w:t xml:space="preserve"> = 1,0,</w:t>
            </w:r>
          </w:p>
          <w:p w14:paraId="502B7819" w14:textId="7DB24335" w:rsidR="00051C8C" w:rsidRPr="00DF3AF1" w:rsidRDefault="00051C8C" w:rsidP="00051C8C">
            <w:pPr>
              <w:pStyle w:val="Listofsymbols"/>
              <w:rPr>
                <w:rFonts w:eastAsia="Times New Roman"/>
              </w:rPr>
            </w:pPr>
            <w:r w:rsidRPr="002144A0">
              <w:t xml:space="preserve">0,45 </w:t>
            </w:r>
            <w:r w:rsidRPr="004F25D7">
              <w:t xml:space="preserve">for </w:t>
            </w:r>
            <w:r w:rsidRPr="00C52095">
              <w:rPr>
                <w:rFonts w:ascii="Symbol" w:hAnsi="Symbol"/>
                <w:i/>
              </w:rPr>
              <w:t></w:t>
            </w:r>
            <w:r w:rsidRPr="00C52095">
              <w:rPr>
                <w:vertAlign w:val="subscript"/>
              </w:rPr>
              <w:t>n</w:t>
            </w:r>
            <w:r w:rsidRPr="00C52095">
              <w:t xml:space="preserve"> = 0,75;</w:t>
            </w:r>
          </w:p>
        </w:tc>
      </w:tr>
      <w:tr w:rsidR="00051C8C" w:rsidRPr="000F2AFF" w14:paraId="7D502A33" w14:textId="77777777" w:rsidTr="00ED5D26">
        <w:tc>
          <w:tcPr>
            <w:tcW w:w="1275" w:type="dxa"/>
          </w:tcPr>
          <w:p w14:paraId="782A6348" w14:textId="0F048319" w:rsidR="00051C8C" w:rsidRPr="00E05E29" w:rsidRDefault="00051C8C" w:rsidP="002061E5">
            <w:pPr>
              <w:spacing w:after="60"/>
              <w:jc w:val="left"/>
              <w:rPr>
                <w:i/>
                <w:iCs/>
              </w:rPr>
            </w:pPr>
            <w:r w:rsidRPr="00C43780">
              <w:rPr>
                <w:rFonts w:ascii="Symbol" w:hAnsi="Symbol"/>
                <w:i/>
              </w:rPr>
              <w:t></w:t>
            </w:r>
            <w:r w:rsidRPr="00C43780">
              <w:rPr>
                <w:vertAlign w:val="subscript"/>
              </w:rPr>
              <w:t>n</w:t>
            </w:r>
          </w:p>
        </w:tc>
        <w:tc>
          <w:tcPr>
            <w:tcW w:w="7938" w:type="dxa"/>
          </w:tcPr>
          <w:p w14:paraId="0D2FC974" w14:textId="63A080D0" w:rsidR="00051C8C" w:rsidRPr="003E2FDF" w:rsidRDefault="00051C8C" w:rsidP="002061E5">
            <w:pPr>
              <w:spacing w:after="60"/>
            </w:pPr>
            <w:r w:rsidRPr="003E2FDF">
              <w:rPr>
                <w:rFonts w:eastAsia="Cambria"/>
                <w:lang w:eastAsia="de-DE"/>
              </w:rPr>
              <w:t xml:space="preserve">is a factor related to the effective height </w:t>
            </w:r>
            <w:r w:rsidRPr="003E2FDF">
              <w:t>defined in EN</w:t>
            </w:r>
            <w:r w:rsidR="0063506B" w:rsidRPr="003E2FDF">
              <w:t> </w:t>
            </w:r>
            <w:r w:rsidRPr="003E2FDF">
              <w:t>1996-1</w:t>
            </w:r>
            <w:r w:rsidR="0063506B" w:rsidRPr="003E2FDF">
              <w:t>-1</w:t>
            </w:r>
            <w:r w:rsidRPr="003E2FDF">
              <w:t>:202</w:t>
            </w:r>
            <w:r w:rsidR="0063506B" w:rsidRPr="003E2FDF">
              <w:t>2</w:t>
            </w:r>
            <w:r w:rsidRPr="003E2FDF">
              <w:t>, 7.5.1.3(10);</w:t>
            </w:r>
          </w:p>
        </w:tc>
      </w:tr>
      <w:tr w:rsidR="00051C8C" w:rsidRPr="000F2AFF" w14:paraId="5E13315F" w14:textId="77777777" w:rsidTr="00ED5D26">
        <w:tc>
          <w:tcPr>
            <w:tcW w:w="1275" w:type="dxa"/>
          </w:tcPr>
          <w:p w14:paraId="7ADEA60E" w14:textId="6ACA6497" w:rsidR="00051C8C" w:rsidRPr="00C43780" w:rsidRDefault="00051C8C" w:rsidP="002061E5">
            <w:pPr>
              <w:spacing w:after="60"/>
              <w:jc w:val="left"/>
              <w:rPr>
                <w:rFonts w:ascii="Symbol" w:hAnsi="Symbol"/>
                <w:i/>
              </w:rPr>
            </w:pPr>
            <w:r w:rsidRPr="00C43780">
              <w:rPr>
                <w:i/>
              </w:rPr>
              <w:t>h</w:t>
            </w:r>
            <w:r w:rsidRPr="00C43780">
              <w:rPr>
                <w:iCs/>
                <w:vertAlign w:val="subscript"/>
              </w:rPr>
              <w:t>wall</w:t>
            </w:r>
          </w:p>
        </w:tc>
        <w:tc>
          <w:tcPr>
            <w:tcW w:w="7938" w:type="dxa"/>
          </w:tcPr>
          <w:p w14:paraId="4A95560E" w14:textId="4B30A20B" w:rsidR="00051C8C" w:rsidRPr="003E2FDF" w:rsidRDefault="00051C8C" w:rsidP="002061E5">
            <w:pPr>
              <w:spacing w:after="60"/>
              <w:rPr>
                <w:rFonts w:eastAsia="Cambria"/>
                <w:lang w:eastAsia="de-DE"/>
              </w:rPr>
            </w:pPr>
            <w:r w:rsidRPr="003E2FDF">
              <w:t xml:space="preserve">is the clear height of the wall </w:t>
            </w:r>
            <w:bookmarkStart w:id="10729" w:name="_Hlk38290421"/>
            <w:r w:rsidRPr="003E2FDF">
              <w:t>defined in EN</w:t>
            </w:r>
            <w:r w:rsidR="0063506B" w:rsidRPr="003E2FDF">
              <w:t> </w:t>
            </w:r>
            <w:r w:rsidRPr="003E2FDF">
              <w:t>1996-1</w:t>
            </w:r>
            <w:r w:rsidR="0063506B" w:rsidRPr="003E2FDF">
              <w:t>-1</w:t>
            </w:r>
            <w:r w:rsidRPr="003E2FDF">
              <w:t>:202</w:t>
            </w:r>
            <w:r w:rsidR="0063506B" w:rsidRPr="003E2FDF">
              <w:t>2</w:t>
            </w:r>
            <w:r w:rsidRPr="003E2FDF">
              <w:t>,</w:t>
            </w:r>
            <w:r w:rsidRPr="003E2FDF" w:rsidDel="00097D3F">
              <w:t xml:space="preserve"> </w:t>
            </w:r>
            <w:r w:rsidRPr="003E2FDF">
              <w:t>7.5.1.3(9);</w:t>
            </w:r>
            <w:bookmarkEnd w:id="10729"/>
          </w:p>
        </w:tc>
      </w:tr>
      <w:tr w:rsidR="00051C8C" w:rsidRPr="000F2AFF" w14:paraId="2D89DDDB" w14:textId="77777777" w:rsidTr="00ED5D26">
        <w:tc>
          <w:tcPr>
            <w:tcW w:w="1275" w:type="dxa"/>
          </w:tcPr>
          <w:p w14:paraId="2DE73972" w14:textId="4AB99145" w:rsidR="00051C8C" w:rsidRPr="00C43780" w:rsidRDefault="00051C8C" w:rsidP="002061E5">
            <w:pPr>
              <w:spacing w:after="60"/>
              <w:jc w:val="left"/>
              <w:rPr>
                <w:rFonts w:ascii="Symbol" w:hAnsi="Symbol"/>
                <w:i/>
              </w:rPr>
            </w:pPr>
            <w:r w:rsidRPr="00015E4B">
              <w:rPr>
                <w:rFonts w:ascii="Times New Roman" w:hAnsi="Times New Roman"/>
                <w:i/>
                <w:iCs/>
              </w:rPr>
              <w:t>m</w:t>
            </w:r>
            <w:r w:rsidRPr="00015E4B">
              <w:rPr>
                <w:rFonts w:ascii="Times New Roman" w:hAnsi="Times New Roman"/>
                <w:vertAlign w:val="subscript"/>
              </w:rPr>
              <w:t>wall</w:t>
            </w:r>
          </w:p>
        </w:tc>
        <w:tc>
          <w:tcPr>
            <w:tcW w:w="7938" w:type="dxa"/>
          </w:tcPr>
          <w:p w14:paraId="1A93A767" w14:textId="73865632" w:rsidR="00051C8C" w:rsidRPr="003E2FDF" w:rsidRDefault="00051C8C" w:rsidP="002061E5">
            <w:pPr>
              <w:spacing w:after="60"/>
              <w:rPr>
                <w:rFonts w:eastAsia="Cambria"/>
                <w:lang w:eastAsia="de-DE"/>
              </w:rPr>
            </w:pPr>
            <w:r w:rsidRPr="003E2FDF">
              <w:t>is the mass of the wall, mass of plaster and non-loadbearing leave included, if any;</w:t>
            </w:r>
          </w:p>
        </w:tc>
      </w:tr>
      <w:tr w:rsidR="00051C8C" w:rsidRPr="000F2AFF" w14:paraId="0CDF6915" w14:textId="77777777" w:rsidTr="00ED5D26">
        <w:tc>
          <w:tcPr>
            <w:tcW w:w="1275" w:type="dxa"/>
          </w:tcPr>
          <w:p w14:paraId="10F6E444" w14:textId="7C41D52F" w:rsidR="00051C8C" w:rsidRPr="00C43780" w:rsidRDefault="00051C8C" w:rsidP="002061E5">
            <w:pPr>
              <w:spacing w:after="60"/>
              <w:jc w:val="left"/>
              <w:rPr>
                <w:rFonts w:ascii="Symbol" w:hAnsi="Symbol"/>
                <w:i/>
              </w:rPr>
            </w:pPr>
            <w:r w:rsidRPr="00015E4B">
              <w:rPr>
                <w:i/>
                <w:iCs/>
              </w:rPr>
              <w:t>E</w:t>
            </w:r>
            <w:r w:rsidRPr="00015E4B">
              <w:rPr>
                <w:vertAlign w:val="subscript"/>
              </w:rPr>
              <w:t>sec</w:t>
            </w:r>
          </w:p>
        </w:tc>
        <w:tc>
          <w:tcPr>
            <w:tcW w:w="7938" w:type="dxa"/>
          </w:tcPr>
          <w:p w14:paraId="6A9FBB40" w14:textId="6B867243" w:rsidR="00051C8C" w:rsidRPr="00C43780" w:rsidRDefault="00051C8C" w:rsidP="002061E5">
            <w:pPr>
              <w:spacing w:after="60"/>
              <w:rPr>
                <w:rFonts w:eastAsia="Cambria"/>
                <w:lang w:eastAsia="de-DE"/>
              </w:rPr>
            </w:pPr>
            <w:r w:rsidRPr="00015E4B">
              <w:t xml:space="preserve">is the </w:t>
            </w:r>
            <w:r w:rsidRPr="00015E4B">
              <w:rPr>
                <w:rFonts w:eastAsia="Cambria"/>
              </w:rPr>
              <w:t>short-term secant modulus of elasticity of masonry;</w:t>
            </w:r>
          </w:p>
        </w:tc>
      </w:tr>
      <w:tr w:rsidR="00051C8C" w:rsidRPr="000F2AFF" w14:paraId="579094F6" w14:textId="77777777" w:rsidTr="00ED5D26">
        <w:tc>
          <w:tcPr>
            <w:tcW w:w="1275" w:type="dxa"/>
          </w:tcPr>
          <w:p w14:paraId="6C56AC74" w14:textId="41850C6B" w:rsidR="00051C8C" w:rsidRPr="00C43780" w:rsidRDefault="00051C8C" w:rsidP="002061E5">
            <w:pPr>
              <w:spacing w:after="60"/>
              <w:jc w:val="left"/>
              <w:rPr>
                <w:rFonts w:ascii="Symbol" w:hAnsi="Symbol"/>
                <w:i/>
              </w:rPr>
            </w:pPr>
            <w:r w:rsidRPr="00015E4B">
              <w:rPr>
                <w:i/>
                <w:iCs/>
              </w:rPr>
              <w:t>I</w:t>
            </w:r>
            <w:r w:rsidRPr="00015E4B">
              <w:rPr>
                <w:vertAlign w:val="subscript"/>
              </w:rPr>
              <w:t>oop</w:t>
            </w:r>
          </w:p>
        </w:tc>
        <w:tc>
          <w:tcPr>
            <w:tcW w:w="7938" w:type="dxa"/>
          </w:tcPr>
          <w:p w14:paraId="5422D6A0" w14:textId="62A189BA" w:rsidR="00051C8C" w:rsidRPr="00C43780" w:rsidRDefault="00051C8C" w:rsidP="002061E5">
            <w:pPr>
              <w:spacing w:after="60"/>
              <w:rPr>
                <w:rFonts w:eastAsia="Cambria"/>
                <w:lang w:eastAsia="de-DE"/>
              </w:rPr>
            </w:pPr>
            <w:r w:rsidRPr="00015E4B">
              <w:t xml:space="preserve">is the moment of inertia of the wall with regard to out-of-plane bending </w:t>
            </w:r>
            <w:r w:rsidRPr="00015E4B">
              <w:rPr>
                <w:lang w:val="en-US"/>
              </w:rPr>
              <w:t xml:space="preserve">calculated based on the effective stiffness </w:t>
            </w:r>
            <w:r w:rsidRPr="00015E4B">
              <w:rPr>
                <w:i/>
                <w:iCs/>
                <w:lang w:val="en-US"/>
              </w:rPr>
              <w:t>t</w:t>
            </w:r>
            <w:r w:rsidRPr="00015E4B">
              <w:rPr>
                <w:vertAlign w:val="subscript"/>
                <w:lang w:val="en-US"/>
              </w:rPr>
              <w:t>ef</w:t>
            </w:r>
            <w:r w:rsidRPr="00015E4B">
              <w:t>.</w:t>
            </w:r>
          </w:p>
        </w:tc>
      </w:tr>
    </w:tbl>
    <w:p w14:paraId="35113DA0" w14:textId="77777777" w:rsidR="00051C8C" w:rsidRPr="00015E4B" w:rsidRDefault="00051C8C" w:rsidP="00724E4E">
      <w:pPr>
        <w:pStyle w:val="Clause"/>
      </w:pPr>
      <w:r w:rsidRPr="00015E4B">
        <w:t xml:space="preserve">A pier may be assumed as rigid in its out-of-plane direction if </w:t>
      </w:r>
      <w:r w:rsidRPr="00015E4B">
        <w:rPr>
          <w:i/>
        </w:rPr>
        <w:t>T</w:t>
      </w:r>
      <w:r w:rsidRPr="00015E4B">
        <w:rPr>
          <w:vertAlign w:val="subscript"/>
        </w:rPr>
        <w:t>0</w:t>
      </w:r>
      <w:r w:rsidRPr="00015E4B">
        <w:t>/</w:t>
      </w:r>
      <w:r w:rsidRPr="00015E4B">
        <w:rPr>
          <w:i/>
        </w:rPr>
        <w:t>T</w:t>
      </w:r>
      <w:r w:rsidRPr="00015E4B">
        <w:rPr>
          <w:vertAlign w:val="subscript"/>
        </w:rPr>
        <w:t>1</w:t>
      </w:r>
      <w:r w:rsidRPr="00015E4B">
        <w:t xml:space="preserve"> &lt; 0,2 where </w:t>
      </w:r>
      <w:r w:rsidRPr="00015E4B">
        <w:rPr>
          <w:i/>
        </w:rPr>
        <w:t>T</w:t>
      </w:r>
      <w:r w:rsidRPr="00015E4B">
        <w:rPr>
          <w:vertAlign w:val="subscript"/>
        </w:rPr>
        <w:t>1</w:t>
      </w:r>
      <w:r w:rsidRPr="00015E4B">
        <w:t xml:space="preserve"> is the period of the first mode in the considered horizontal direction. </w:t>
      </w:r>
      <w:bookmarkStart w:id="10730" w:name="_Hlk38290937"/>
      <w:bookmarkStart w:id="10731" w:name="_Ref18055000"/>
    </w:p>
    <w:bookmarkEnd w:id="10730"/>
    <w:p w14:paraId="7175E44F" w14:textId="46AB4DF4" w:rsidR="00051C8C" w:rsidRPr="00015E4B" w:rsidRDefault="00051C8C" w:rsidP="00724E4E">
      <w:pPr>
        <w:pStyle w:val="Clause"/>
      </w:pPr>
      <w:r w:rsidRPr="00015E4B">
        <w:t xml:space="preserve">The resultant horizontal force </w:t>
      </w:r>
      <w:r w:rsidRPr="00015E4B">
        <w:rPr>
          <w:i/>
        </w:rPr>
        <w:t>F</w:t>
      </w:r>
      <w:r w:rsidRPr="00015E4B">
        <w:rPr>
          <w:vertAlign w:val="subscript"/>
        </w:rPr>
        <w:t>oop</w:t>
      </w:r>
      <w:r w:rsidRPr="00015E4B">
        <w:t xml:space="preserve"> acting on the out-of-plane loaded wall may be calculated using Formula (14.10). If the wall is rigid in its out-of-plane direction, Formula (14.11) may be used.</w:t>
      </w:r>
      <w:bookmarkStart w:id="10732" w:name="_Hlk38291049"/>
      <w:bookmarkEnd w:id="10731"/>
      <w:bookmarkEnd w:id="10732"/>
    </w:p>
    <w:p w14:paraId="5516C923" w14:textId="51292EB3" w:rsidR="00051C8C" w:rsidRDefault="009B5CEC" w:rsidP="00051C8C">
      <w:pPr>
        <w:pStyle w:val="Formula"/>
        <w:spacing w:before="240"/>
      </w:pPr>
      <m:oMath>
        <m:sSub>
          <m:sSubPr>
            <m:ctrlPr>
              <w:rPr>
                <w:rFonts w:ascii="Cambria Math" w:hAnsi="Cambria Math"/>
              </w:rPr>
            </m:ctrlPr>
          </m:sSubPr>
          <m:e>
            <m:r>
              <w:rPr>
                <w:rFonts w:ascii="Cambria Math" w:hAnsi="Cambria Math"/>
              </w:rPr>
              <m:t>F</m:t>
            </m:r>
          </m:e>
          <m:sub>
            <m:r>
              <m:rPr>
                <m:sty m:val="p"/>
              </m:rPr>
              <w:rPr>
                <w:rFonts w:ascii="Cambria Math" w:hAnsi="Cambria Math"/>
              </w:rPr>
              <m:t>oop</m:t>
            </m:r>
          </m:sub>
        </m:sSub>
        <m:r>
          <w:rPr>
            <w:rFonts w:ascii="Cambria Math" w:hAnsi="Cambria Math"/>
          </w:rPr>
          <m:t>=</m:t>
        </m:r>
        <m:sSub>
          <m:sSubPr>
            <m:ctrlPr>
              <w:rPr>
                <w:rFonts w:ascii="Cambria Math" w:hAnsi="Cambria Math"/>
              </w:rPr>
            </m:ctrlPr>
          </m:sSubPr>
          <m:e>
            <m:r>
              <w:rPr>
                <w:rFonts w:ascii="Cambria Math" w:hAnsi="Cambria Math"/>
              </w:rPr>
              <m:t>m</m:t>
            </m:r>
          </m:e>
          <m:sub>
            <m:r>
              <m:rPr>
                <m:sty m:val="p"/>
              </m:rPr>
              <w:rPr>
                <w:rFonts w:ascii="Cambria Math" w:hAnsi="Cambria Math"/>
              </w:rPr>
              <m:t>wall</m:t>
            </m:r>
          </m:sub>
        </m:sSub>
        <m:r>
          <w:rPr>
            <w:rFonts w:ascii="Cambria Math" w:hAnsi="Cambria Math"/>
          </w:rPr>
          <m:t xml:space="preserve"> </m:t>
        </m:r>
        <m:f>
          <m:fPr>
            <m:ctrlPr>
              <w:rPr>
                <w:rFonts w:ascii="Cambria Math" w:hAnsi="Cambria Math"/>
              </w:rPr>
            </m:ctrlPr>
          </m:fPr>
          <m:num>
            <m:sSub>
              <m:sSubPr>
                <m:ctrlPr>
                  <w:rPr>
                    <w:rFonts w:ascii="Cambria Math" w:hAnsi="Cambria Math"/>
                  </w:rPr>
                </m:ctrlPr>
              </m:sSubPr>
              <m:e>
                <m:r>
                  <w:rPr>
                    <w:rFonts w:ascii="Cambria Math" w:hAnsi="Cambria Math"/>
                  </w:rPr>
                  <m:t>S</m:t>
                </m:r>
              </m:e>
              <m:sub>
                <m:r>
                  <m:rPr>
                    <m:sty m:val="p"/>
                  </m:rPr>
                  <w:rPr>
                    <w:rFonts w:ascii="Cambria Math" w:hAnsi="Cambria Math"/>
                  </w:rPr>
                  <m:t>an,ij</m:t>
                </m:r>
              </m:sub>
            </m:sSub>
          </m:num>
          <m:den>
            <m:sSub>
              <m:sSubPr>
                <m:ctrlPr>
                  <w:rPr>
                    <w:rFonts w:ascii="Cambria Math" w:hAnsi="Cambria Math"/>
                  </w:rPr>
                </m:ctrlPr>
              </m:sSubPr>
              <m:e>
                <m:r>
                  <w:rPr>
                    <w:rFonts w:ascii="Cambria Math" w:hAnsi="Cambria Math"/>
                  </w:rPr>
                  <m:t>q</m:t>
                </m:r>
              </m:e>
              <m:sub>
                <m:r>
                  <m:rPr>
                    <m:sty m:val="p"/>
                  </m:rPr>
                  <w:rPr>
                    <w:rFonts w:ascii="Cambria Math" w:hAnsi="Cambria Math"/>
                  </w:rPr>
                  <m:t>oop</m:t>
                </m:r>
              </m:sub>
            </m:sSub>
          </m:den>
        </m:f>
      </m:oMath>
      <w:r w:rsidR="00051C8C" w:rsidRPr="00870D59">
        <w:tab/>
        <w:t>(1</w:t>
      </w:r>
      <w:r w:rsidR="00051C8C">
        <w:t>4</w:t>
      </w:r>
      <w:r w:rsidR="00051C8C" w:rsidRPr="00870D59">
        <w:t>.</w:t>
      </w:r>
      <w:r w:rsidR="00051C8C">
        <w:t>10</w:t>
      </w:r>
      <w:r w:rsidR="00051C8C" w:rsidRPr="00870D59">
        <w:t>)</w:t>
      </w:r>
    </w:p>
    <w:p w14:paraId="662F37ED" w14:textId="2CC9CDBC" w:rsidR="00051C8C" w:rsidRDefault="009B5CEC" w:rsidP="00051C8C">
      <w:pPr>
        <w:pStyle w:val="Formula"/>
        <w:spacing w:before="240"/>
      </w:pPr>
      <m:oMath>
        <m:sSub>
          <m:sSubPr>
            <m:ctrlPr>
              <w:rPr>
                <w:rFonts w:ascii="Cambria Math" w:hAnsi="Cambria Math"/>
              </w:rPr>
            </m:ctrlPr>
          </m:sSubPr>
          <m:e>
            <m:r>
              <w:rPr>
                <w:rFonts w:ascii="Cambria Math" w:hAnsi="Cambria Math"/>
              </w:rPr>
              <m:t>F</m:t>
            </m:r>
          </m:e>
          <m:sub>
            <m:r>
              <m:rPr>
                <m:sty m:val="p"/>
              </m:rPr>
              <w:rPr>
                <w:rFonts w:ascii="Cambria Math" w:hAnsi="Cambria Math"/>
              </w:rPr>
              <m:t>oop</m:t>
            </m:r>
          </m:sub>
        </m:sSub>
        <m:r>
          <w:rPr>
            <w:rFonts w:ascii="Cambria Math" w:hAnsi="Cambria Math"/>
          </w:rPr>
          <m:t>=</m:t>
        </m:r>
        <m:sSub>
          <m:sSubPr>
            <m:ctrlPr>
              <w:rPr>
                <w:rFonts w:ascii="Cambria Math" w:hAnsi="Cambria Math"/>
              </w:rPr>
            </m:ctrlPr>
          </m:sSubPr>
          <m:e>
            <m:r>
              <w:rPr>
                <w:rFonts w:ascii="Cambria Math" w:hAnsi="Cambria Math"/>
              </w:rPr>
              <m:t>m</m:t>
            </m:r>
          </m:e>
          <m:sub>
            <m:r>
              <m:rPr>
                <m:sty m:val="p"/>
              </m:rPr>
              <w:rPr>
                <w:rFonts w:ascii="Cambria Math" w:hAnsi="Cambria Math"/>
              </w:rPr>
              <m:t>wall</m:t>
            </m:r>
          </m:sub>
        </m:sSub>
        <m:r>
          <w:rPr>
            <w:rFonts w:ascii="Cambria Math" w:hAnsi="Cambria Math"/>
          </w:rPr>
          <m:t xml:space="preserve"> </m:t>
        </m:r>
        <m:f>
          <m:fPr>
            <m:ctrlPr>
              <w:rPr>
                <w:rFonts w:ascii="Cambria Math" w:hAnsi="Cambria Math"/>
              </w:rPr>
            </m:ctrlPr>
          </m:fPr>
          <m:num>
            <m:r>
              <w:rPr>
                <w:rFonts w:ascii="Cambria Math" w:hAnsi="Cambria Math"/>
              </w:rPr>
              <m:t>PF</m:t>
            </m:r>
            <m:sSub>
              <m:sSubPr>
                <m:ctrlPr>
                  <w:rPr>
                    <w:rFonts w:ascii="Cambria Math" w:hAnsi="Cambria Math"/>
                  </w:rPr>
                </m:ctrlPr>
              </m:sSubPr>
              <m:e>
                <m:r>
                  <w:rPr>
                    <w:rFonts w:ascii="Cambria Math" w:hAnsi="Cambria Math"/>
                  </w:rPr>
                  <m:t>A</m:t>
                </m:r>
              </m:e>
              <m:sub>
                <m:r>
                  <m:rPr>
                    <m:sty m:val="p"/>
                  </m:rPr>
                  <w:rPr>
                    <w:rFonts w:ascii="Cambria Math" w:hAnsi="Cambria Math"/>
                  </w:rPr>
                  <m:t>ii</m:t>
                </m:r>
              </m:sub>
            </m:sSub>
          </m:num>
          <m:den>
            <m:sSub>
              <m:sSubPr>
                <m:ctrlPr>
                  <w:rPr>
                    <w:rFonts w:ascii="Cambria Math" w:hAnsi="Cambria Math"/>
                  </w:rPr>
                </m:ctrlPr>
              </m:sSubPr>
              <m:e>
                <m:r>
                  <w:rPr>
                    <w:rFonts w:ascii="Cambria Math" w:hAnsi="Cambria Math"/>
                  </w:rPr>
                  <m:t>q</m:t>
                </m:r>
              </m:e>
              <m:sub>
                <m:r>
                  <m:rPr>
                    <m:sty m:val="p"/>
                  </m:rPr>
                  <w:rPr>
                    <w:rFonts w:ascii="Cambria Math" w:hAnsi="Cambria Math"/>
                  </w:rPr>
                  <m:t>oop</m:t>
                </m:r>
              </m:sub>
            </m:sSub>
          </m:den>
        </m:f>
      </m:oMath>
      <w:r w:rsidR="00051C8C" w:rsidRPr="00870D59">
        <w:tab/>
        <w:t>(1</w:t>
      </w:r>
      <w:r w:rsidR="00051C8C">
        <w:t>4</w:t>
      </w:r>
      <w:r w:rsidR="00051C8C" w:rsidRPr="00870D59">
        <w:t>.</w:t>
      </w:r>
      <w:r w:rsidR="00051C8C">
        <w:t>11</w:t>
      </w:r>
      <w:r w:rsidR="00051C8C" w:rsidRPr="00870D59">
        <w:t>)</w:t>
      </w:r>
    </w:p>
    <w:p w14:paraId="0F4F15FC" w14:textId="71D97C06" w:rsidR="00051C8C" w:rsidRPr="001B2671" w:rsidRDefault="00675EBA" w:rsidP="003E2FDF">
      <w:pPr>
        <w:pStyle w:val="Text"/>
      </w:pPr>
      <w:r>
        <w:t>where</w:t>
      </w:r>
    </w:p>
    <w:tbl>
      <w:tblPr>
        <w:tblW w:w="0" w:type="auto"/>
        <w:tblInd w:w="346" w:type="dxa"/>
        <w:tblLook w:val="04A0" w:firstRow="1" w:lastRow="0" w:firstColumn="1" w:lastColumn="0" w:noHBand="0" w:noVBand="1"/>
      </w:tblPr>
      <w:tblGrid>
        <w:gridCol w:w="1275"/>
        <w:gridCol w:w="7938"/>
      </w:tblGrid>
      <w:tr w:rsidR="00051C8C" w:rsidRPr="000F2AFF" w14:paraId="25656384" w14:textId="77777777" w:rsidTr="00ED5D26">
        <w:tc>
          <w:tcPr>
            <w:tcW w:w="1275" w:type="dxa"/>
          </w:tcPr>
          <w:p w14:paraId="680B11A7" w14:textId="5A8F2A25" w:rsidR="00051C8C" w:rsidRPr="000F2AFF" w:rsidRDefault="00051C8C" w:rsidP="002061E5">
            <w:pPr>
              <w:spacing w:after="60"/>
              <w:jc w:val="left"/>
              <w:rPr>
                <w:rFonts w:eastAsia="Times New Roman" w:cs="Cambria"/>
                <w:color w:val="000000" w:themeColor="text1"/>
                <w:szCs w:val="20"/>
                <w:lang w:eastAsia="fr-FR"/>
              </w:rPr>
            </w:pPr>
            <w:r w:rsidRPr="00015E4B">
              <w:rPr>
                <w:i/>
                <w:iCs/>
              </w:rPr>
              <w:t>S</w:t>
            </w:r>
            <w:r w:rsidRPr="00015E4B">
              <w:rPr>
                <w:vertAlign w:val="subscript"/>
              </w:rPr>
              <w:t>an,ij</w:t>
            </w:r>
          </w:p>
        </w:tc>
        <w:tc>
          <w:tcPr>
            <w:tcW w:w="7938" w:type="dxa"/>
          </w:tcPr>
          <w:p w14:paraId="6865D33B" w14:textId="5152C57E" w:rsidR="00051C8C" w:rsidRPr="00DF3AF1" w:rsidRDefault="00051C8C" w:rsidP="002061E5">
            <w:pPr>
              <w:pStyle w:val="Listofsymbols"/>
              <w:rPr>
                <w:rFonts w:eastAsia="Times New Roman"/>
              </w:rPr>
            </w:pPr>
            <w:r w:rsidRPr="00015E4B">
              <w:t>is given in Annex C, Formulas (C1) and (C2)</w:t>
            </w:r>
            <w:r>
              <w:t>,</w:t>
            </w:r>
            <w:r w:rsidRPr="00015E4B">
              <w:t xml:space="preserve"> or</w:t>
            </w:r>
            <w:r>
              <w:t xml:space="preserve"> by</w:t>
            </w:r>
            <w:r w:rsidRPr="00015E4B">
              <w:t xml:space="preserve"> (7.2);</w:t>
            </w:r>
          </w:p>
        </w:tc>
      </w:tr>
      <w:tr w:rsidR="00051C8C" w:rsidRPr="000F2AFF" w14:paraId="3687A362" w14:textId="77777777" w:rsidTr="00ED5D26">
        <w:tc>
          <w:tcPr>
            <w:tcW w:w="1275" w:type="dxa"/>
          </w:tcPr>
          <w:p w14:paraId="3DA773B4" w14:textId="3B132F8B" w:rsidR="00051C8C" w:rsidRPr="00E05E29" w:rsidRDefault="00051C8C" w:rsidP="002061E5">
            <w:pPr>
              <w:spacing w:after="60"/>
              <w:jc w:val="left"/>
              <w:rPr>
                <w:i/>
                <w:iCs/>
              </w:rPr>
            </w:pPr>
            <w:r w:rsidRPr="00AD3528">
              <w:rPr>
                <w:i/>
                <w:iCs/>
              </w:rPr>
              <w:t>PFA</w:t>
            </w:r>
            <w:r w:rsidRPr="00F04F4F">
              <w:rPr>
                <w:vertAlign w:val="subscript"/>
              </w:rPr>
              <w:t>ii</w:t>
            </w:r>
          </w:p>
        </w:tc>
        <w:tc>
          <w:tcPr>
            <w:tcW w:w="7938" w:type="dxa"/>
          </w:tcPr>
          <w:p w14:paraId="5C0E956F" w14:textId="5F0C5642" w:rsidR="00051C8C" w:rsidRPr="00E05E29" w:rsidRDefault="00051C8C" w:rsidP="002061E5">
            <w:pPr>
              <w:spacing w:after="60"/>
            </w:pPr>
            <w:r w:rsidRPr="00AD3528">
              <w:t xml:space="preserve">is given </w:t>
            </w:r>
            <w:r>
              <w:t>in</w:t>
            </w:r>
            <w:r w:rsidRPr="00AD3528">
              <w:t xml:space="preserve"> Annex C</w:t>
            </w:r>
            <w:r>
              <w:t>,</w:t>
            </w:r>
            <w:r w:rsidRPr="00094DCA">
              <w:t xml:space="preserve"> </w:t>
            </w:r>
            <w:r w:rsidRPr="00AD3528">
              <w:t xml:space="preserve">Formula </w:t>
            </w:r>
            <w:r>
              <w:t>(</w:t>
            </w:r>
            <w:r w:rsidRPr="00AD3528">
              <w:t>C3</w:t>
            </w:r>
            <w:r>
              <w:t>)</w:t>
            </w:r>
            <w:r w:rsidRPr="00051C8C">
              <w:t>;</w:t>
            </w:r>
          </w:p>
        </w:tc>
      </w:tr>
      <w:tr w:rsidR="00051C8C" w:rsidRPr="000F2AFF" w14:paraId="6CF81E3F" w14:textId="77777777" w:rsidTr="00ED5D26">
        <w:tc>
          <w:tcPr>
            <w:tcW w:w="1275" w:type="dxa"/>
          </w:tcPr>
          <w:p w14:paraId="0C93BB33" w14:textId="3D5167E6" w:rsidR="00051C8C" w:rsidRPr="00C43780" w:rsidRDefault="00051C8C" w:rsidP="002061E5">
            <w:pPr>
              <w:spacing w:after="60"/>
              <w:jc w:val="left"/>
              <w:rPr>
                <w:rFonts w:ascii="Symbol" w:hAnsi="Symbol"/>
                <w:i/>
              </w:rPr>
            </w:pPr>
            <w:r w:rsidRPr="007E6F67">
              <w:rPr>
                <w:i/>
                <w:iCs/>
              </w:rPr>
              <w:t>q</w:t>
            </w:r>
            <w:r w:rsidRPr="007E6F67">
              <w:rPr>
                <w:iCs/>
                <w:vertAlign w:val="subscript"/>
              </w:rPr>
              <w:t>oop</w:t>
            </w:r>
          </w:p>
        </w:tc>
        <w:tc>
          <w:tcPr>
            <w:tcW w:w="7938" w:type="dxa"/>
          </w:tcPr>
          <w:p w14:paraId="1A8149C7" w14:textId="2B9ABFB4" w:rsidR="00051C8C" w:rsidRPr="00C43780" w:rsidRDefault="00051C8C" w:rsidP="002061E5">
            <w:pPr>
              <w:spacing w:after="60"/>
              <w:rPr>
                <w:rFonts w:eastAsia="Cambria"/>
                <w:lang w:eastAsia="de-DE"/>
              </w:rPr>
            </w:pPr>
            <w:r w:rsidRPr="00FD17CF">
              <w:t xml:space="preserve">is the behaviour factor for out-of-plane bending </w:t>
            </w:r>
            <w:r w:rsidRPr="003E2FDF">
              <w:t>defined in 14.4.2.</w:t>
            </w:r>
          </w:p>
        </w:tc>
      </w:tr>
    </w:tbl>
    <w:p w14:paraId="2A06FA8F" w14:textId="144FE7E5" w:rsidR="00051C8C" w:rsidRPr="00132C1E" w:rsidRDefault="00051C8C" w:rsidP="00724E4E">
      <w:pPr>
        <w:pStyle w:val="Clause"/>
      </w:pPr>
      <w:r w:rsidRPr="00E05E29">
        <w:t xml:space="preserve">The design bending moment </w:t>
      </w:r>
      <w:r w:rsidRPr="004A2034">
        <w:rPr>
          <w:i/>
        </w:rPr>
        <w:t>M</w:t>
      </w:r>
      <w:r w:rsidRPr="004A2034">
        <w:rPr>
          <w:vertAlign w:val="subscript"/>
        </w:rPr>
        <w:t>oop,Ed</w:t>
      </w:r>
      <w:r w:rsidRPr="008554D2">
        <w:t xml:space="preserve"> </w:t>
      </w:r>
      <w:r w:rsidRPr="002144A0">
        <w:t xml:space="preserve">due to </w:t>
      </w:r>
      <w:r w:rsidRPr="00015E4B">
        <w:t>out</w:t>
      </w:r>
      <w:r w:rsidR="003E2FDF">
        <w:t>-</w:t>
      </w:r>
      <w:r w:rsidRPr="00015E4B">
        <w:t>of</w:t>
      </w:r>
      <w:r w:rsidR="003E2FDF">
        <w:t>-</w:t>
      </w:r>
      <w:r w:rsidRPr="00015E4B">
        <w:t xml:space="preserve">plane action in a wall may be calculated with the boundary conditions as in </w:t>
      </w:r>
      <w:r w:rsidRPr="00835C82">
        <w:t>(4)</w:t>
      </w:r>
      <w:r w:rsidRPr="00015E4B">
        <w:t xml:space="preserve"> and </w:t>
      </w:r>
      <w:r w:rsidRPr="00015E4B">
        <w:rPr>
          <w:i/>
        </w:rPr>
        <w:t>F</w:t>
      </w:r>
      <w:r w:rsidRPr="00015E4B">
        <w:rPr>
          <w:vertAlign w:val="subscript"/>
        </w:rPr>
        <w:t>oop</w:t>
      </w:r>
      <w:r w:rsidRPr="00015E4B">
        <w:t xml:space="preserve"> as in </w:t>
      </w:r>
      <w:r w:rsidRPr="00835C82">
        <w:t>(7)</w:t>
      </w:r>
      <w:r w:rsidRPr="00015E4B">
        <w:t xml:space="preserve">. </w:t>
      </w:r>
      <w:r w:rsidRPr="00015E4B">
        <w:rPr>
          <w:i/>
        </w:rPr>
        <w:t>F</w:t>
      </w:r>
      <w:r w:rsidRPr="00015E4B">
        <w:rPr>
          <w:vertAlign w:val="subscript"/>
        </w:rPr>
        <w:t xml:space="preserve">oop </w:t>
      </w:r>
      <w:r w:rsidRPr="00015E4B">
        <w:t>may be distributed over the out-of-plane loaded wall in proportion to the distribution of mass in the wall.</w:t>
      </w:r>
    </w:p>
    <w:p w14:paraId="68C70734" w14:textId="5DAC27E1" w:rsidR="00051C8C" w:rsidRPr="00132C1E" w:rsidRDefault="00051C8C" w:rsidP="00051C8C">
      <w:pPr>
        <w:pStyle w:val="Heading2"/>
      </w:pPr>
      <w:bookmarkStart w:id="10733" w:name="_Toc50150631"/>
      <w:bookmarkStart w:id="10734" w:name="_Toc70887063"/>
      <w:bookmarkStart w:id="10735" w:name="_Toc108342642"/>
      <w:bookmarkStart w:id="10736" w:name="_Toc134198156"/>
      <w:r w:rsidRPr="00132C1E">
        <w:t>Verification of limit states</w:t>
      </w:r>
      <w:bookmarkEnd w:id="10733"/>
      <w:bookmarkEnd w:id="10734"/>
      <w:bookmarkEnd w:id="10735"/>
      <w:bookmarkEnd w:id="10736"/>
    </w:p>
    <w:p w14:paraId="366C4C21" w14:textId="77777777" w:rsidR="00051C8C" w:rsidRPr="00132C1E" w:rsidRDefault="00051C8C" w:rsidP="00051C8C">
      <w:pPr>
        <w:pStyle w:val="Heading3"/>
      </w:pPr>
      <w:r w:rsidRPr="00132C1E">
        <w:t xml:space="preserve"> </w:t>
      </w:r>
      <w:bookmarkStart w:id="10737" w:name="_Toc70887064"/>
      <w:bookmarkStart w:id="10738" w:name="_Toc108342643"/>
      <w:bookmarkStart w:id="10739" w:name="_Toc134198157"/>
      <w:r>
        <w:t>General requirements</w:t>
      </w:r>
      <w:bookmarkEnd w:id="10737"/>
      <w:bookmarkEnd w:id="10738"/>
      <w:bookmarkEnd w:id="10739"/>
    </w:p>
    <w:p w14:paraId="73B15997" w14:textId="77777777" w:rsidR="00051C8C" w:rsidRPr="004A2034" w:rsidRDefault="00051C8C" w:rsidP="0080187E">
      <w:pPr>
        <w:pStyle w:val="Clause"/>
        <w:numPr>
          <w:ilvl w:val="0"/>
          <w:numId w:val="504"/>
        </w:numPr>
      </w:pPr>
      <w:r w:rsidRPr="004A2034">
        <w:t xml:space="preserve">In unreinforced and confined masonry buildings, the in-plane and the out-of-plane resistances of members should satisfy </w:t>
      </w:r>
      <w:r w:rsidRPr="00835C82">
        <w:t>6.2.3</w:t>
      </w:r>
      <w:r w:rsidRPr="004A2034">
        <w:t xml:space="preserve">. </w:t>
      </w:r>
    </w:p>
    <w:p w14:paraId="75C6DA42" w14:textId="77777777" w:rsidR="00051C8C" w:rsidRPr="004A2034" w:rsidRDefault="00051C8C" w:rsidP="00724E4E">
      <w:pPr>
        <w:pStyle w:val="Clause"/>
      </w:pPr>
      <w:r w:rsidRPr="004A2034">
        <w:t>In reinforced masonry buildings, the in-plane and the out-of-plane resistances of members should satisfy</w:t>
      </w:r>
      <w:r w:rsidRPr="00835C82">
        <w:t xml:space="preserve"> 6.2.3 </w:t>
      </w:r>
      <w:r w:rsidRPr="00B272E6">
        <w:t>for the action effects calculated as given in 14.6.2 and 14.6.3 each being considered to act alone</w:t>
      </w:r>
      <w:r w:rsidRPr="00051C8C">
        <w:t>, un</w:t>
      </w:r>
      <w:r w:rsidRPr="004A2034">
        <w:t xml:space="preserve">less </w:t>
      </w:r>
      <w:r w:rsidRPr="00835C82">
        <w:t>(3)</w:t>
      </w:r>
      <w:r w:rsidRPr="004A2034">
        <w:t xml:space="preserve"> </w:t>
      </w:r>
      <w:r>
        <w:t>is</w:t>
      </w:r>
      <w:r w:rsidRPr="004A2034">
        <w:t xml:space="preserve"> applied.</w:t>
      </w:r>
    </w:p>
    <w:p w14:paraId="68AFFF19" w14:textId="77777777" w:rsidR="00051C8C" w:rsidRPr="00132C1E" w:rsidRDefault="00051C8C" w:rsidP="00724E4E">
      <w:pPr>
        <w:pStyle w:val="Clause"/>
      </w:pPr>
      <w:r w:rsidRPr="002144A0">
        <w:t xml:space="preserve">The verification of </w:t>
      </w:r>
      <w:r w:rsidRPr="004F25D7">
        <w:t xml:space="preserve">out-of-plane resistance of </w:t>
      </w:r>
      <w:r w:rsidRPr="004A2034">
        <w:t xml:space="preserve">reinforced masonry </w:t>
      </w:r>
      <w:r w:rsidRPr="00C52095">
        <w:t>walls spanning between rigid floor</w:t>
      </w:r>
      <w:r>
        <w:t xml:space="preserve"> diaphragms</w:t>
      </w:r>
      <w:r w:rsidRPr="00C52095">
        <w:t xml:space="preserve"> or </w:t>
      </w:r>
      <w:r>
        <w:t xml:space="preserve">between rigid floor and </w:t>
      </w:r>
      <w:r w:rsidRPr="00C52095">
        <w:t xml:space="preserve">roof diaphragms </w:t>
      </w:r>
      <w:r w:rsidRPr="007754C9">
        <w:t>may be neglected</w:t>
      </w:r>
      <w:r w:rsidRPr="00132C1E">
        <w:t xml:space="preserve"> if the free storey height is smaller than 4 m.</w:t>
      </w:r>
    </w:p>
    <w:p w14:paraId="42DA5C4A" w14:textId="7FCCC54B" w:rsidR="00051C8C" w:rsidRPr="00132C1E" w:rsidRDefault="00051C8C" w:rsidP="00051C8C">
      <w:pPr>
        <w:pStyle w:val="Heading3"/>
      </w:pPr>
      <w:bookmarkStart w:id="10740" w:name="_Toc50150632"/>
      <w:bookmarkStart w:id="10741" w:name="_Toc70887065"/>
      <w:bookmarkStart w:id="10742" w:name="_Toc108342644"/>
      <w:bookmarkStart w:id="10743" w:name="_Toc134198158"/>
      <w:r w:rsidRPr="00132C1E">
        <w:lastRenderedPageBreak/>
        <w:t>Verification for in-plane actions</w:t>
      </w:r>
      <w:bookmarkEnd w:id="10740"/>
      <w:bookmarkEnd w:id="10741"/>
      <w:bookmarkEnd w:id="10742"/>
      <w:bookmarkEnd w:id="10743"/>
    </w:p>
    <w:p w14:paraId="4E136689" w14:textId="77777777" w:rsidR="00051C8C" w:rsidRPr="00132C1E" w:rsidRDefault="00051C8C" w:rsidP="00051C8C">
      <w:pPr>
        <w:pStyle w:val="Heading4"/>
      </w:pPr>
      <w:bookmarkStart w:id="10744" w:name="_Toc108342645"/>
      <w:r w:rsidRPr="00132C1E">
        <w:t>General</w:t>
      </w:r>
      <w:bookmarkEnd w:id="10744"/>
    </w:p>
    <w:p w14:paraId="595185F0" w14:textId="0B23386E" w:rsidR="00051C8C" w:rsidRPr="004A2034" w:rsidRDefault="00051C8C" w:rsidP="0080187E">
      <w:pPr>
        <w:pStyle w:val="Clause"/>
        <w:numPr>
          <w:ilvl w:val="0"/>
          <w:numId w:val="505"/>
        </w:numPr>
      </w:pPr>
      <w:r w:rsidRPr="004A2034">
        <w:t xml:space="preserve">The SD limit state </w:t>
      </w:r>
      <w:r>
        <w:t>should</w:t>
      </w:r>
      <w:r w:rsidRPr="004A2034">
        <w:t xml:space="preserve"> be verified using the force-based approach in </w:t>
      </w:r>
      <w:r>
        <w:t>pr</w:t>
      </w:r>
      <w:r w:rsidR="00C30FF9">
        <w:t>EN 1</w:t>
      </w:r>
      <w:r>
        <w:t>998-1-1:2022</w:t>
      </w:r>
      <w:r w:rsidRPr="004A2034">
        <w:t xml:space="preserve">, </w:t>
      </w:r>
      <w:r w:rsidRPr="00835C82">
        <w:t>6.4</w:t>
      </w:r>
      <w:r w:rsidRPr="004A2034">
        <w:t xml:space="preserve">, or the displacement-based approach in </w:t>
      </w:r>
      <w:r>
        <w:t>pr</w:t>
      </w:r>
      <w:r w:rsidR="00C30FF9">
        <w:t>EN 1</w:t>
      </w:r>
      <w:r>
        <w:t>998-1-1:2022</w:t>
      </w:r>
      <w:r w:rsidRPr="004A2034">
        <w:t>,</w:t>
      </w:r>
      <w:r w:rsidRPr="00835C82">
        <w:t xml:space="preserve"> 6.5</w:t>
      </w:r>
      <w:r w:rsidRPr="004A2034">
        <w:t>.</w:t>
      </w:r>
    </w:p>
    <w:p w14:paraId="278C1ECE" w14:textId="36B3F586" w:rsidR="00051C8C" w:rsidRPr="004A2034" w:rsidRDefault="00051C8C" w:rsidP="00724E4E">
      <w:pPr>
        <w:pStyle w:val="Clause"/>
      </w:pPr>
      <w:r w:rsidRPr="00132C1E">
        <w:t>The resistance in terms of general</w:t>
      </w:r>
      <w:r w:rsidR="00E10A24">
        <w:t>ize</w:t>
      </w:r>
      <w:r w:rsidRPr="00132C1E">
        <w:t xml:space="preserve">d forces of each masonry member </w:t>
      </w:r>
      <w:r>
        <w:t>should</w:t>
      </w:r>
      <w:r w:rsidRPr="00132C1E">
        <w:t xml:space="preserve"> be calculated in accordance with </w:t>
      </w:r>
      <w:r>
        <w:t>EN</w:t>
      </w:r>
      <w:r w:rsidR="0063506B">
        <w:t> </w:t>
      </w:r>
      <w:r>
        <w:t>199</w:t>
      </w:r>
      <w:r w:rsidRPr="00132C1E">
        <w:t>6-1-1</w:t>
      </w:r>
      <w:r w:rsidRPr="004A2034">
        <w:t xml:space="preserve"> taking into consideration the factor </w:t>
      </w:r>
      <w:r w:rsidRPr="004A2034">
        <w:rPr>
          <w:i/>
        </w:rPr>
        <w:t>γ</w:t>
      </w:r>
      <w:r w:rsidRPr="004A2034">
        <w:rPr>
          <w:vertAlign w:val="subscript"/>
        </w:rPr>
        <w:t>M</w:t>
      </w:r>
      <w:r w:rsidRPr="004A2034">
        <w:t xml:space="preserve"> in </w:t>
      </w:r>
      <w:r w:rsidRPr="00835C82">
        <w:t>14.3(5)</w:t>
      </w:r>
      <w:r w:rsidRPr="004A2034">
        <w:t>.</w:t>
      </w:r>
    </w:p>
    <w:p w14:paraId="45869DC7" w14:textId="77777777" w:rsidR="00051C8C" w:rsidRPr="00132C1E" w:rsidRDefault="00051C8C" w:rsidP="00724E4E">
      <w:pPr>
        <w:pStyle w:val="Clause"/>
      </w:pPr>
      <w:r w:rsidRPr="00132C1E">
        <w:t xml:space="preserve">Diaphragms and bracings in horizontal planes </w:t>
      </w:r>
      <w:r w:rsidRPr="004A2034">
        <w:t>and sub-horizontal planes (roofs)</w:t>
      </w:r>
      <w:r w:rsidRPr="00132C1E">
        <w:t xml:space="preserve"> should satisfy </w:t>
      </w:r>
      <w:r w:rsidRPr="00835C82">
        <w:t>6.2.8</w:t>
      </w:r>
      <w:r w:rsidRPr="00132C1E">
        <w:t>.</w:t>
      </w:r>
    </w:p>
    <w:p w14:paraId="585FA612" w14:textId="77777777" w:rsidR="00051C8C" w:rsidRPr="00132C1E" w:rsidRDefault="00051C8C" w:rsidP="00724E4E">
      <w:pPr>
        <w:pStyle w:val="Clause"/>
      </w:pPr>
      <w:r w:rsidRPr="00132C1E">
        <w:t>Force-based verifications of in-plane loaded primary members should be carried out in terms of axial force, shear force and bending moment.</w:t>
      </w:r>
    </w:p>
    <w:p w14:paraId="6872E504" w14:textId="77777777" w:rsidR="00051C8C" w:rsidRPr="00132C1E" w:rsidRDefault="00051C8C" w:rsidP="00724E4E">
      <w:pPr>
        <w:pStyle w:val="Clause"/>
      </w:pPr>
      <w:r w:rsidRPr="00132C1E">
        <w:t>Displacement-based verification should be carried out in terms of displacements at the control nodes.</w:t>
      </w:r>
    </w:p>
    <w:p w14:paraId="1AC8BA8C" w14:textId="77777777" w:rsidR="00051C8C" w:rsidRDefault="00051C8C" w:rsidP="00724E4E">
      <w:pPr>
        <w:pStyle w:val="Clause"/>
      </w:pPr>
      <w:r w:rsidRPr="00132C1E">
        <w:t xml:space="preserve">The shear and flexural resistance of in-plane loaded </w:t>
      </w:r>
      <w:r w:rsidRPr="00015E4B">
        <w:t xml:space="preserve">walls should </w:t>
      </w:r>
      <w:r w:rsidRPr="00132C1E">
        <w:t>be calculated taking into account the axial force of the seismic design situation.</w:t>
      </w:r>
    </w:p>
    <w:p w14:paraId="21A95C83" w14:textId="67348C17" w:rsidR="00051C8C" w:rsidRPr="00FC6B8F" w:rsidRDefault="00051C8C" w:rsidP="00724E4E">
      <w:pPr>
        <w:pStyle w:val="Clause"/>
      </w:pPr>
      <w:r w:rsidRPr="00FC6B8F">
        <w:t xml:space="preserve">If the displacement-based approach is used, the </w:t>
      </w:r>
      <w:r w:rsidRPr="00051C8C">
        <w:t xml:space="preserve">variation </w:t>
      </w:r>
      <w:r w:rsidRPr="00FC6B8F">
        <w:t>of axial forces with increased displacement should be taken into account in the calculation of the shear and flexural resistance</w:t>
      </w:r>
      <w:r>
        <w:t>s</w:t>
      </w:r>
      <w:r w:rsidRPr="00FC6B8F">
        <w:t>.</w:t>
      </w:r>
    </w:p>
    <w:p w14:paraId="794EC449" w14:textId="3215B62D" w:rsidR="00051C8C" w:rsidRPr="00132C1E" w:rsidRDefault="00051C8C" w:rsidP="00724E4E">
      <w:pPr>
        <w:pStyle w:val="Clause"/>
      </w:pPr>
      <w:r w:rsidRPr="00132C1E">
        <w:t>The shear and flexural resistance of reinforced and confined masonry spandrels and of reinforced concrete ring beams may be calculated assuming a zero-axial force.</w:t>
      </w:r>
    </w:p>
    <w:p w14:paraId="5DCD1549" w14:textId="51B1EE74" w:rsidR="00051C8C" w:rsidRPr="00D1484A" w:rsidRDefault="00051C8C" w:rsidP="00724E4E">
      <w:pPr>
        <w:pStyle w:val="Clause"/>
      </w:pPr>
      <w:bookmarkStart w:id="10745" w:name="_Hlk63667117"/>
      <w:r w:rsidRPr="00015E4B">
        <w:rPr>
          <w:rFonts w:cs="Arial"/>
          <w:shd w:val="clear" w:color="auto" w:fill="FDFCFA"/>
        </w:rPr>
        <w:t>In force-based and displacement-based approach, the verification,</w:t>
      </w:r>
      <w:r w:rsidRPr="00015E4B">
        <w:t xml:space="preserve"> the verification of flexural resistance of unreinforced masonry spandrels may be neglected when ties or ring beams or stiff diaphragms are present in the proximity of the spandrel</w:t>
      </w:r>
      <w:r w:rsidRPr="00132C1E">
        <w:t>.</w:t>
      </w:r>
      <w:bookmarkEnd w:id="10745"/>
    </w:p>
    <w:p w14:paraId="1FB67999" w14:textId="01202B8A" w:rsidR="00051C8C" w:rsidRPr="007E6F67" w:rsidRDefault="00051C8C" w:rsidP="00051C8C">
      <w:pPr>
        <w:pStyle w:val="Heading4"/>
      </w:pPr>
      <w:bookmarkStart w:id="10746" w:name="_Toc108342646"/>
      <w:r w:rsidRPr="00D1484A">
        <w:t>Verification of the SD limit state by the force-based approach</w:t>
      </w:r>
      <w:bookmarkEnd w:id="10746"/>
      <w:r w:rsidRPr="00D1484A">
        <w:t xml:space="preserve"> </w:t>
      </w:r>
    </w:p>
    <w:p w14:paraId="3663A186" w14:textId="538224E6" w:rsidR="00051C8C" w:rsidRPr="004A2034" w:rsidRDefault="00051C8C" w:rsidP="0080187E">
      <w:pPr>
        <w:pStyle w:val="Clause"/>
        <w:numPr>
          <w:ilvl w:val="0"/>
          <w:numId w:val="506"/>
        </w:numPr>
      </w:pPr>
      <w:r w:rsidRPr="004A2034">
        <w:t xml:space="preserve">The seismic action effects Ed should be calculated according to </w:t>
      </w:r>
      <w:r>
        <w:t>pr</w:t>
      </w:r>
      <w:r w:rsidR="00C30FF9">
        <w:t>EN 1</w:t>
      </w:r>
      <w:r>
        <w:t>998-1-1:2022</w:t>
      </w:r>
      <w:r w:rsidRPr="004A2034">
        <w:t xml:space="preserve">, </w:t>
      </w:r>
      <w:r w:rsidRPr="00835C82">
        <w:t>6.4</w:t>
      </w:r>
      <w:r w:rsidRPr="004A2034">
        <w:t>.</w:t>
      </w:r>
    </w:p>
    <w:p w14:paraId="27385B56" w14:textId="736903B3" w:rsidR="00051C8C" w:rsidRPr="004A2034" w:rsidRDefault="00051C8C" w:rsidP="00724E4E">
      <w:pPr>
        <w:pStyle w:val="Clause"/>
      </w:pPr>
      <w:r w:rsidRPr="004A2034">
        <w:t xml:space="preserve">The resistance of horizontal masonry members should be greater than the design action effects; if not, their design stiffness should be reduced until at least one </w:t>
      </w:r>
      <w:r w:rsidRPr="00015E4B">
        <w:t xml:space="preserve">wall is first </w:t>
      </w:r>
      <w:r w:rsidRPr="004A2034">
        <w:t>to reach its design resistance.</w:t>
      </w:r>
    </w:p>
    <w:p w14:paraId="3814BAEC" w14:textId="033A03B0" w:rsidR="00051C8C" w:rsidRPr="00132C1E" w:rsidRDefault="00051C8C" w:rsidP="00724E4E">
      <w:pPr>
        <w:pStyle w:val="Clause"/>
      </w:pPr>
      <w:r>
        <w:t>pr</w:t>
      </w:r>
      <w:r w:rsidR="00C30FF9">
        <w:t>EN 1</w:t>
      </w:r>
      <w:r>
        <w:t>998-1-1:2022</w:t>
      </w:r>
      <w:r w:rsidRPr="00132C1E">
        <w:t xml:space="preserve">, Formula (6.31), </w:t>
      </w:r>
      <w:r w:rsidRPr="007929AA">
        <w:t>should</w:t>
      </w:r>
      <w:r w:rsidRPr="00132C1E">
        <w:t xml:space="preserve"> be satisfied for all primary members.</w:t>
      </w:r>
    </w:p>
    <w:p w14:paraId="0E53D0EB" w14:textId="7F91C113" w:rsidR="00051C8C" w:rsidRPr="00132C1E" w:rsidRDefault="00051C8C" w:rsidP="00051C8C">
      <w:pPr>
        <w:pStyle w:val="Heading4"/>
      </w:pPr>
      <w:bookmarkStart w:id="10747" w:name="_Toc108342647"/>
      <w:r w:rsidRPr="00132C1E">
        <w:t>Verification of the SD limit state through the displacement-based approach</w:t>
      </w:r>
      <w:bookmarkEnd w:id="10747"/>
    </w:p>
    <w:p w14:paraId="40829167" w14:textId="5C8B3136" w:rsidR="00051C8C" w:rsidRPr="004A2034" w:rsidRDefault="00051C8C" w:rsidP="0080187E">
      <w:pPr>
        <w:pStyle w:val="Clause"/>
        <w:numPr>
          <w:ilvl w:val="0"/>
          <w:numId w:val="507"/>
        </w:numPr>
      </w:pPr>
      <w:r w:rsidRPr="004A2034">
        <w:t xml:space="preserve">The target displacement </w:t>
      </w:r>
      <w:r w:rsidRPr="007929AA">
        <w:rPr>
          <w:i/>
        </w:rPr>
        <w:t>d</w:t>
      </w:r>
      <w:r w:rsidRPr="007929AA">
        <w:rPr>
          <w:vertAlign w:val="subscript"/>
        </w:rPr>
        <w:t>t</w:t>
      </w:r>
      <w:r w:rsidRPr="004A2034">
        <w:t xml:space="preserve">* may be calculated according to </w:t>
      </w:r>
      <w:r>
        <w:t>pr</w:t>
      </w:r>
      <w:r w:rsidR="00C30FF9">
        <w:t>EN 1</w:t>
      </w:r>
      <w:r>
        <w:t>998-1-1:2022</w:t>
      </w:r>
      <w:r w:rsidRPr="004A2034">
        <w:t xml:space="preserve">, </w:t>
      </w:r>
      <w:r w:rsidRPr="00835C82">
        <w:t>6.5.4</w:t>
      </w:r>
      <w:r w:rsidRPr="00132C1E">
        <w:t>,</w:t>
      </w:r>
      <w:r w:rsidRPr="004A2034">
        <w:t xml:space="preserve"> without considering the upper limit of 3</w:t>
      </w:r>
      <w:r w:rsidRPr="007929AA">
        <w:rPr>
          <w:i/>
        </w:rPr>
        <w:t>d</w:t>
      </w:r>
      <w:r w:rsidRPr="007929AA">
        <w:rPr>
          <w:vertAlign w:val="subscript"/>
        </w:rPr>
        <w:t>et</w:t>
      </w:r>
      <w:r w:rsidRPr="004A2034">
        <w:t xml:space="preserve">* for </w:t>
      </w:r>
      <w:r w:rsidRPr="007929AA">
        <w:rPr>
          <w:i/>
        </w:rPr>
        <w:t>T</w:t>
      </w:r>
      <w:r w:rsidRPr="004A2034">
        <w:t>*</w:t>
      </w:r>
      <w:r>
        <w:t> </w:t>
      </w:r>
      <w:r w:rsidRPr="004A2034">
        <w:t>&lt;</w:t>
      </w:r>
      <w:r>
        <w:t> </w:t>
      </w:r>
      <w:r w:rsidRPr="007929AA">
        <w:rPr>
          <w:i/>
        </w:rPr>
        <w:t>T</w:t>
      </w:r>
      <w:r w:rsidRPr="007929AA">
        <w:rPr>
          <w:vertAlign w:val="subscript"/>
        </w:rPr>
        <w:t>C</w:t>
      </w:r>
      <w:r w:rsidRPr="004A2034">
        <w:t>.</w:t>
      </w:r>
    </w:p>
    <w:p w14:paraId="6C10E193" w14:textId="77777777" w:rsidR="00051C8C" w:rsidRPr="004A2034" w:rsidRDefault="00051C8C" w:rsidP="00724E4E">
      <w:pPr>
        <w:pStyle w:val="Clause"/>
      </w:pPr>
      <w:r w:rsidRPr="004A2034">
        <w:t xml:space="preserve">The resistance </w:t>
      </w:r>
      <w:r w:rsidRPr="004A2034">
        <w:rPr>
          <w:i/>
        </w:rPr>
        <w:t>d</w:t>
      </w:r>
      <w:r w:rsidRPr="004A2034">
        <w:rPr>
          <w:vertAlign w:val="subscript"/>
        </w:rPr>
        <w:t>SD</w:t>
      </w:r>
      <w:r w:rsidRPr="004A2034">
        <w:t xml:space="preserve"> at the SD limit state in terms of displacement at the control node of the masonry building should be taken as given in Formula (14.12).</w:t>
      </w:r>
    </w:p>
    <w:p w14:paraId="2822047F" w14:textId="15EB9A2C" w:rsidR="00736D6A" w:rsidRDefault="00736D6A" w:rsidP="00736D6A">
      <w:pPr>
        <w:pStyle w:val="Formula"/>
        <w:spacing w:before="240"/>
      </w:pPr>
      <m:oMath>
        <m:r>
          <w:rPr>
            <w:rFonts w:ascii="Cambria Math" w:hAnsi="Cambria Math"/>
          </w:rPr>
          <m:t xml:space="preserve"> </m:t>
        </m:r>
        <m:sSub>
          <m:sSubPr>
            <m:ctrlPr>
              <w:rPr>
                <w:rFonts w:ascii="Cambria Math" w:hAnsi="Cambria Math"/>
              </w:rPr>
            </m:ctrlPr>
          </m:sSubPr>
          <m:e>
            <m:r>
              <w:rPr>
                <w:rFonts w:ascii="Cambria Math" w:hAnsi="Cambria Math"/>
              </w:rPr>
              <m:t>d</m:t>
            </m:r>
          </m:e>
          <m:sub>
            <m:r>
              <m:rPr>
                <m:sty m:val="p"/>
              </m:rPr>
              <w:rPr>
                <w:rFonts w:ascii="Cambria Math" w:hAnsi="Cambria Math"/>
              </w:rPr>
              <m:t>SD</m:t>
            </m:r>
          </m:sub>
        </m:sSub>
        <m:r>
          <w:rPr>
            <w:rFonts w:ascii="Cambria Math" w:hAnsi="Cambria Math"/>
          </w:rPr>
          <m:t>=</m:t>
        </m:r>
        <m:f>
          <m:fPr>
            <m:ctrlPr>
              <w:rPr>
                <w:rFonts w:ascii="Cambria Math" w:hAnsi="Cambria Math"/>
              </w:rPr>
            </m:ctrlPr>
          </m:fPr>
          <m:num>
            <m:r>
              <w:rPr>
                <w:rFonts w:ascii="Cambria Math" w:hAnsi="Cambria Math"/>
              </w:rPr>
              <m:t>1</m:t>
            </m:r>
          </m:num>
          <m:den>
            <m:sSub>
              <m:sSubPr>
                <m:ctrlPr>
                  <w:rPr>
                    <w:rFonts w:ascii="Cambria Math" w:hAnsi="Cambria Math"/>
                  </w:rPr>
                </m:ctrlPr>
              </m:sSubPr>
              <m:e>
                <m:r>
                  <w:rPr>
                    <w:rFonts w:ascii="Cambria Math" w:hAnsi="Cambria Math"/>
                  </w:rPr>
                  <m:t>γ</m:t>
                </m:r>
              </m:e>
              <m:sub>
                <m:r>
                  <m:rPr>
                    <m:sty m:val="p"/>
                  </m:rPr>
                  <w:rPr>
                    <w:rFonts w:ascii="Cambria Math" w:hAnsi="Cambria Math"/>
                  </w:rPr>
                  <m:t>Rd,SD</m:t>
                </m:r>
              </m:sub>
            </m:sSub>
          </m:den>
        </m:f>
        <m:sSub>
          <m:sSubPr>
            <m:ctrlPr>
              <w:rPr>
                <w:rFonts w:ascii="Cambria Math" w:hAnsi="Cambria Math"/>
              </w:rPr>
            </m:ctrlPr>
          </m:sSubPr>
          <m:e>
            <m:r>
              <w:rPr>
                <w:rFonts w:ascii="Cambria Math" w:hAnsi="Cambria Math"/>
              </w:rPr>
              <m:t>d</m:t>
            </m:r>
          </m:e>
          <m:sub>
            <m:r>
              <m:rPr>
                <m:sty m:val="p"/>
              </m:rPr>
              <w:rPr>
                <w:rFonts w:ascii="Cambria Math" w:hAnsi="Cambria Math"/>
              </w:rPr>
              <m:t>SD,θ</m:t>
            </m:r>
          </m:sub>
        </m:sSub>
      </m:oMath>
      <w:r w:rsidRPr="00870D59">
        <w:tab/>
        <w:t>(1</w:t>
      </w:r>
      <w:r>
        <w:t>4</w:t>
      </w:r>
      <w:r w:rsidRPr="00870D59">
        <w:t>.</w:t>
      </w:r>
      <w:r>
        <w:t>12</w:t>
      </w:r>
      <w:r w:rsidRPr="00870D59">
        <w:t>)</w:t>
      </w:r>
    </w:p>
    <w:p w14:paraId="3C1334C8" w14:textId="75C8C04C" w:rsidR="00736D6A" w:rsidRPr="001B2671" w:rsidRDefault="00675EBA" w:rsidP="003E2FDF">
      <w:pPr>
        <w:pStyle w:val="Text"/>
      </w:pPr>
      <w:r>
        <w:t>where</w:t>
      </w:r>
    </w:p>
    <w:tbl>
      <w:tblPr>
        <w:tblW w:w="0" w:type="auto"/>
        <w:tblInd w:w="346" w:type="dxa"/>
        <w:tblLook w:val="04A0" w:firstRow="1" w:lastRow="0" w:firstColumn="1" w:lastColumn="0" w:noHBand="0" w:noVBand="1"/>
      </w:tblPr>
      <w:tblGrid>
        <w:gridCol w:w="1275"/>
        <w:gridCol w:w="7938"/>
      </w:tblGrid>
      <w:tr w:rsidR="00736D6A" w:rsidRPr="000F2AFF" w14:paraId="7DB86FA7" w14:textId="77777777" w:rsidTr="00ED5D26">
        <w:tc>
          <w:tcPr>
            <w:tcW w:w="1275" w:type="dxa"/>
          </w:tcPr>
          <w:p w14:paraId="47DCC2C9" w14:textId="2DDFA9A4" w:rsidR="00736D6A" w:rsidRPr="000F2AFF" w:rsidRDefault="00736D6A" w:rsidP="002061E5">
            <w:pPr>
              <w:spacing w:after="60"/>
              <w:jc w:val="left"/>
              <w:rPr>
                <w:rFonts w:eastAsia="Times New Roman" w:cs="Cambria"/>
                <w:color w:val="000000" w:themeColor="text1"/>
                <w:szCs w:val="20"/>
                <w:lang w:eastAsia="fr-FR"/>
              </w:rPr>
            </w:pPr>
            <w:r w:rsidRPr="007E6F67">
              <w:rPr>
                <w:rFonts w:ascii="Symbol" w:hAnsi="Symbol"/>
                <w:i/>
                <w:iCs/>
              </w:rPr>
              <w:t></w:t>
            </w:r>
            <w:r w:rsidRPr="00FD17CF">
              <w:rPr>
                <w:iCs/>
                <w:vertAlign w:val="subscript"/>
              </w:rPr>
              <w:t>Rd</w:t>
            </w:r>
            <w:r w:rsidRPr="00FD17CF">
              <w:rPr>
                <w:rFonts w:ascii="Symbol" w:hAnsi="Symbol"/>
                <w:iCs/>
              </w:rPr>
              <w:t></w:t>
            </w:r>
            <w:r w:rsidRPr="00FD17CF">
              <w:rPr>
                <w:iCs/>
                <w:vertAlign w:val="subscript"/>
              </w:rPr>
              <w:t>SD</w:t>
            </w:r>
          </w:p>
        </w:tc>
        <w:tc>
          <w:tcPr>
            <w:tcW w:w="7938" w:type="dxa"/>
          </w:tcPr>
          <w:p w14:paraId="7B296299" w14:textId="711C4F91" w:rsidR="00736D6A" w:rsidRPr="00DF3AF1" w:rsidRDefault="00736D6A" w:rsidP="002061E5">
            <w:pPr>
              <w:pStyle w:val="Listofsymbols"/>
              <w:rPr>
                <w:rFonts w:eastAsia="Times New Roman"/>
              </w:rPr>
            </w:pPr>
            <w:r w:rsidRPr="00132C1E">
              <w:t>is the partial factor on resistance in terms of general</w:t>
            </w:r>
            <w:r w:rsidR="00E10A24">
              <w:t>ize</w:t>
            </w:r>
            <w:r w:rsidRPr="00132C1E">
              <w:t>d displacements at SD;</w:t>
            </w:r>
          </w:p>
        </w:tc>
      </w:tr>
      <w:tr w:rsidR="00736D6A" w:rsidRPr="000F2AFF" w14:paraId="13D45300" w14:textId="77777777" w:rsidTr="00ED5D26">
        <w:tc>
          <w:tcPr>
            <w:tcW w:w="1275" w:type="dxa"/>
          </w:tcPr>
          <w:p w14:paraId="27A06569" w14:textId="36ADCE72" w:rsidR="00736D6A" w:rsidRPr="00E05E29" w:rsidRDefault="00736D6A" w:rsidP="002061E5">
            <w:pPr>
              <w:spacing w:after="60"/>
              <w:jc w:val="left"/>
              <w:rPr>
                <w:i/>
                <w:iCs/>
              </w:rPr>
            </w:pPr>
            <w:r w:rsidRPr="00132C1E">
              <w:rPr>
                <w:i/>
                <w:iCs/>
              </w:rPr>
              <w:lastRenderedPageBreak/>
              <w:t>d</w:t>
            </w:r>
            <w:r w:rsidRPr="00132C1E">
              <w:rPr>
                <w:iCs/>
                <w:vertAlign w:val="subscript"/>
              </w:rPr>
              <w:t>SD,</w:t>
            </w:r>
            <w:r w:rsidRPr="00132C1E">
              <w:rPr>
                <w:rFonts w:ascii="Symbol" w:hAnsi="Symbol"/>
                <w:iCs/>
                <w:vertAlign w:val="subscript"/>
              </w:rPr>
              <w:t></w:t>
            </w:r>
          </w:p>
        </w:tc>
        <w:tc>
          <w:tcPr>
            <w:tcW w:w="7938" w:type="dxa"/>
          </w:tcPr>
          <w:p w14:paraId="4F5F3DD7" w14:textId="43659463" w:rsidR="00736D6A" w:rsidRPr="00E05E29" w:rsidRDefault="00736D6A" w:rsidP="002061E5">
            <w:pPr>
              <w:spacing w:after="60"/>
            </w:pPr>
            <w:r w:rsidRPr="00132C1E">
              <w:t xml:space="preserve">is the </w:t>
            </w:r>
            <w:r w:rsidRPr="00015E4B">
              <w:t>displacement of the control node at which a primary wall first reaches its resistance in terms of general</w:t>
            </w:r>
            <w:r w:rsidR="00E10A24">
              <w:t>ize</w:t>
            </w:r>
            <w:r w:rsidRPr="00015E4B">
              <w:t xml:space="preserve">d in-plane deformations, that is the member drift ratio. The resistance in terms of </w:t>
            </w:r>
            <w:r w:rsidRPr="003E2FDF">
              <w:t>member drift ratio is given in 14.9.</w:t>
            </w:r>
            <w:r w:rsidRPr="003E2FDF">
              <w:rPr>
                <w:i/>
                <w:iCs/>
              </w:rPr>
              <w:t xml:space="preserve"> d</w:t>
            </w:r>
            <w:r w:rsidRPr="003E2FDF">
              <w:rPr>
                <w:iCs/>
                <w:vertAlign w:val="subscript"/>
              </w:rPr>
              <w:t>SD,</w:t>
            </w:r>
            <w:r w:rsidRPr="003E2FDF">
              <w:rPr>
                <w:rFonts w:ascii="Symbol" w:hAnsi="Symbol"/>
                <w:iCs/>
                <w:vertAlign w:val="subscript"/>
              </w:rPr>
              <w:t></w:t>
            </w:r>
            <w:r w:rsidRPr="003E2FDF">
              <w:rPr>
                <w:rFonts w:ascii="Symbol" w:hAnsi="Symbol"/>
                <w:iCs/>
              </w:rPr>
              <w:t></w:t>
            </w:r>
            <w:r w:rsidRPr="003E2FDF">
              <w:t>correspond</w:t>
            </w:r>
            <w:r w:rsidR="003E2FDF">
              <w:t>s</w:t>
            </w:r>
            <w:r w:rsidRPr="003E2FDF">
              <w:t xml:space="preserve"> to </w:t>
            </w:r>
            <w:r w:rsidRPr="003E2FDF">
              <w:rPr>
                <w:i/>
                <w:iCs/>
              </w:rPr>
              <w:t>d</w:t>
            </w:r>
            <w:r w:rsidRPr="003E2FDF">
              <w:rPr>
                <w:iCs/>
                <w:vertAlign w:val="subscript"/>
              </w:rPr>
              <w:t>m</w:t>
            </w:r>
            <w:r w:rsidRPr="003E2FDF">
              <w:rPr>
                <w:iCs/>
              </w:rPr>
              <w:t xml:space="preserve"> in pr</w:t>
            </w:r>
            <w:r w:rsidR="00C30FF9" w:rsidRPr="003E2FDF">
              <w:rPr>
                <w:iCs/>
              </w:rPr>
              <w:t>EN 1</w:t>
            </w:r>
            <w:r w:rsidRPr="003E2FDF">
              <w:rPr>
                <w:iCs/>
              </w:rPr>
              <w:t>998-1-1:2022, Figure 6.1.</w:t>
            </w:r>
          </w:p>
        </w:tc>
      </w:tr>
    </w:tbl>
    <w:p w14:paraId="1800D333" w14:textId="24886855" w:rsidR="00736D6A" w:rsidRPr="00132C1E" w:rsidRDefault="00736D6A" w:rsidP="00ED5D26">
      <w:pPr>
        <w:pStyle w:val="Notetext"/>
        <w:spacing w:before="120"/>
      </w:pPr>
      <w:r w:rsidRPr="00132C1E">
        <w:t>NOTE 1</w:t>
      </w:r>
      <w:r w:rsidRPr="00132C1E">
        <w:tab/>
      </w:r>
      <w:r w:rsidRPr="00132C1E">
        <w:rPr>
          <w:rFonts w:eastAsia="Cambria" w:cs="Times-Roman"/>
          <w:lang w:eastAsia="de-DE"/>
        </w:rPr>
        <w:t xml:space="preserve">The value of </w:t>
      </w:r>
      <w:r w:rsidRPr="00132C1E">
        <w:rPr>
          <w:rFonts w:ascii="Symbol" w:hAnsi="Symbol"/>
          <w:i/>
          <w:iCs/>
        </w:rPr>
        <w:t></w:t>
      </w:r>
      <w:r w:rsidRPr="00132C1E">
        <w:rPr>
          <w:iCs/>
          <w:vertAlign w:val="subscript"/>
        </w:rPr>
        <w:t>Rd</w:t>
      </w:r>
      <w:r w:rsidRPr="00132C1E">
        <w:rPr>
          <w:rFonts w:ascii="Symbol" w:hAnsi="Symbol"/>
          <w:iCs/>
        </w:rPr>
        <w:t></w:t>
      </w:r>
      <w:r w:rsidRPr="00132C1E">
        <w:rPr>
          <w:iCs/>
          <w:vertAlign w:val="subscript"/>
        </w:rPr>
        <w:t>SD</w:t>
      </w:r>
      <w:r w:rsidRPr="00132C1E">
        <w:t xml:space="preserve"> is 1,75 </w:t>
      </w:r>
      <w:r w:rsidRPr="00132C1E">
        <w:rPr>
          <w:rFonts w:eastAsia="Cambria" w:cs="Times-Roman"/>
          <w:lang w:eastAsia="de-DE"/>
        </w:rPr>
        <w:t>unless the National Annex give</w:t>
      </w:r>
      <w:r w:rsidR="003E2FDF">
        <w:rPr>
          <w:rFonts w:eastAsia="Cambria" w:cs="Times-Roman"/>
          <w:lang w:eastAsia="de-DE"/>
        </w:rPr>
        <w:t>s</w:t>
      </w:r>
      <w:r w:rsidRPr="00132C1E">
        <w:rPr>
          <w:rFonts w:eastAsia="Cambria" w:cs="Times-Roman"/>
          <w:lang w:eastAsia="de-DE"/>
        </w:rPr>
        <w:t xml:space="preserve"> different values of </w:t>
      </w:r>
      <w:r w:rsidRPr="00132C1E">
        <w:rPr>
          <w:rFonts w:ascii="Symbol" w:hAnsi="Symbol"/>
          <w:i/>
          <w:iCs/>
        </w:rPr>
        <w:t></w:t>
      </w:r>
      <w:r w:rsidRPr="00132C1E">
        <w:rPr>
          <w:iCs/>
          <w:vertAlign w:val="subscript"/>
        </w:rPr>
        <w:t>Rd</w:t>
      </w:r>
      <w:r w:rsidRPr="00132C1E">
        <w:rPr>
          <w:rFonts w:ascii="Symbol" w:hAnsi="Symbol"/>
          <w:iCs/>
        </w:rPr>
        <w:t></w:t>
      </w:r>
      <w:r w:rsidRPr="00132C1E">
        <w:rPr>
          <w:iCs/>
          <w:vertAlign w:val="subscript"/>
        </w:rPr>
        <w:t>SD</w:t>
      </w:r>
      <w:r w:rsidRPr="00132C1E">
        <w:rPr>
          <w:rFonts w:eastAsia="Cambria" w:cs="Times-Roman"/>
          <w:lang w:eastAsia="de-DE"/>
        </w:rPr>
        <w:t xml:space="preserve"> for use in a country.</w:t>
      </w:r>
      <w:r w:rsidRPr="00132C1E">
        <w:t xml:space="preserve"> The National Annex can specify different values of </w:t>
      </w:r>
      <w:r w:rsidRPr="00132C1E">
        <w:rPr>
          <w:rFonts w:ascii="Symbol" w:hAnsi="Symbol"/>
          <w:i/>
          <w:iCs/>
        </w:rPr>
        <w:t></w:t>
      </w:r>
      <w:r w:rsidRPr="00132C1E">
        <w:rPr>
          <w:iCs/>
          <w:vertAlign w:val="subscript"/>
        </w:rPr>
        <w:t>Rd</w:t>
      </w:r>
      <w:r w:rsidRPr="00132C1E">
        <w:rPr>
          <w:rFonts w:ascii="Symbol" w:hAnsi="Symbol"/>
          <w:iCs/>
        </w:rPr>
        <w:t></w:t>
      </w:r>
      <w:r w:rsidRPr="00132C1E">
        <w:rPr>
          <w:iCs/>
          <w:vertAlign w:val="subscript"/>
        </w:rPr>
        <w:t>SD</w:t>
      </w:r>
      <w:r w:rsidRPr="00132C1E">
        <w:t xml:space="preserve"> for unreinforced masonry, confined masonry and reinforced masonry buildings.</w:t>
      </w:r>
    </w:p>
    <w:p w14:paraId="72B30093" w14:textId="29F89FF1" w:rsidR="00736D6A" w:rsidRPr="003E2FDF" w:rsidRDefault="00736D6A" w:rsidP="00736D6A">
      <w:pPr>
        <w:pStyle w:val="Notetext"/>
      </w:pPr>
      <w:r w:rsidRPr="00132C1E">
        <w:t>NOTE 2</w:t>
      </w:r>
      <w:r w:rsidRPr="00132C1E">
        <w:tab/>
        <w:t xml:space="preserve">This definition replaces the </w:t>
      </w:r>
      <w:r w:rsidRPr="003E2FDF">
        <w:t>one in pr</w:t>
      </w:r>
      <w:r w:rsidR="00C30FF9" w:rsidRPr="003E2FDF">
        <w:t>EN 1</w:t>
      </w:r>
      <w:r w:rsidRPr="003E2FDF">
        <w:t>998-1-1:2022, 6.7.2(2).</w:t>
      </w:r>
    </w:p>
    <w:p w14:paraId="5829F851" w14:textId="77777777" w:rsidR="00736D6A" w:rsidRPr="004A2034" w:rsidRDefault="00736D6A" w:rsidP="00724E4E">
      <w:pPr>
        <w:pStyle w:val="Clause"/>
      </w:pPr>
      <w:r w:rsidRPr="004A2034">
        <w:t>The structure should satisfy Formula (14.13).</w:t>
      </w:r>
    </w:p>
    <w:p w14:paraId="396E228F" w14:textId="1792FDC6" w:rsidR="00736D6A" w:rsidRDefault="009B5CEC" w:rsidP="00736D6A">
      <w:pPr>
        <w:pStyle w:val="Formula"/>
        <w:spacing w:before="240"/>
      </w:pPr>
      <m:oMath>
        <m:sSubSup>
          <m:sSubSupPr>
            <m:ctrlPr>
              <w:rPr>
                <w:rFonts w:ascii="Cambria Math" w:hAnsi="Cambria Math"/>
              </w:rPr>
            </m:ctrlPr>
          </m:sSubSupPr>
          <m:e>
            <m:r>
              <w:rPr>
                <w:rFonts w:ascii="Cambria Math" w:hAnsi="Cambria Math"/>
              </w:rPr>
              <m:t>d</m:t>
            </m:r>
          </m:e>
          <m:sub>
            <m:r>
              <m:rPr>
                <m:sty m:val="p"/>
              </m:rPr>
              <w:rPr>
                <w:rFonts w:ascii="Cambria Math" w:hAnsi="Cambria Math"/>
              </w:rPr>
              <m:t>t</m:t>
            </m:r>
          </m:sub>
          <m:sup>
            <m:r>
              <w:rPr>
                <w:rFonts w:ascii="Cambria Math" w:hAnsi="Cambria Math"/>
              </w:rPr>
              <m:t>*</m:t>
            </m:r>
          </m:sup>
        </m:sSubSup>
        <m:r>
          <w:rPr>
            <w:rFonts w:ascii="Cambria Math" w:hAnsi="Cambria Math"/>
          </w:rPr>
          <m:t>≤</m:t>
        </m:r>
        <m:func>
          <m:funcPr>
            <m:ctrlPr>
              <w:rPr>
                <w:rFonts w:ascii="Cambria Math" w:hAnsi="Cambria Math"/>
              </w:rPr>
            </m:ctrlPr>
          </m:funcPr>
          <m:fName>
            <m:r>
              <m:rPr>
                <m:sty m:val="p"/>
              </m:rPr>
              <w:rPr>
                <w:rFonts w:ascii="Cambria Math" w:hAnsi="Cambria Math"/>
              </w:rPr>
              <m:t>max</m:t>
            </m:r>
          </m:fName>
          <m:e>
            <m:d>
              <m:dPr>
                <m:ctrlPr>
                  <w:rPr>
                    <w:rFonts w:ascii="Cambria Math" w:hAnsi="Cambria Math"/>
                  </w:rPr>
                </m:ctrlPr>
              </m:dPr>
              <m:e>
                <m:sSubSup>
                  <m:sSubSupPr>
                    <m:ctrlPr>
                      <w:rPr>
                        <w:rFonts w:ascii="Cambria Math" w:hAnsi="Cambria Math"/>
                      </w:rPr>
                    </m:ctrlPr>
                  </m:sSubSupPr>
                  <m:e>
                    <m:r>
                      <w:rPr>
                        <w:rFonts w:ascii="Cambria Math" w:hAnsi="Cambria Math"/>
                      </w:rPr>
                      <m:t>d</m:t>
                    </m:r>
                  </m:e>
                  <m:sub>
                    <m:r>
                      <m:rPr>
                        <m:sty m:val="p"/>
                      </m:rPr>
                      <w:rPr>
                        <w:rFonts w:ascii="Cambria Math" w:hAnsi="Cambria Math"/>
                      </w:rPr>
                      <m:t>y</m:t>
                    </m:r>
                  </m:sub>
                  <m:sup>
                    <m:r>
                      <w:rPr>
                        <w:rFonts w:ascii="Cambria Math" w:hAnsi="Cambria Math"/>
                      </w:rPr>
                      <m:t>*</m:t>
                    </m:r>
                  </m:sup>
                </m:sSubSup>
                <m:r>
                  <w:rPr>
                    <w:rFonts w:ascii="Cambria Math" w:hAnsi="Cambria Math"/>
                  </w:rPr>
                  <m:t xml:space="preserve">, </m:t>
                </m:r>
                <m:sSubSup>
                  <m:sSubSupPr>
                    <m:ctrlPr>
                      <w:rPr>
                        <w:rFonts w:ascii="Cambria Math" w:hAnsi="Cambria Math"/>
                      </w:rPr>
                    </m:ctrlPr>
                  </m:sSubSupPr>
                  <m:e>
                    <m:r>
                      <w:rPr>
                        <w:rFonts w:ascii="Cambria Math" w:hAnsi="Cambria Math"/>
                      </w:rPr>
                      <m:t>d</m:t>
                    </m:r>
                  </m:e>
                  <m:sub>
                    <m:r>
                      <m:rPr>
                        <m:sty m:val="p"/>
                      </m:rPr>
                      <w:rPr>
                        <w:rFonts w:ascii="Cambria Math" w:hAnsi="Cambria Math"/>
                      </w:rPr>
                      <m:t>SD</m:t>
                    </m:r>
                  </m:sub>
                  <m:sup>
                    <m:r>
                      <w:rPr>
                        <w:rFonts w:ascii="Cambria Math" w:hAnsi="Cambria Math"/>
                      </w:rPr>
                      <m:t>*</m:t>
                    </m:r>
                  </m:sup>
                </m:sSubSup>
              </m:e>
            </m:d>
          </m:e>
        </m:func>
      </m:oMath>
      <w:r w:rsidR="00736D6A" w:rsidRPr="00870D59">
        <w:tab/>
        <w:t>(1</w:t>
      </w:r>
      <w:r w:rsidR="00736D6A">
        <w:t>4</w:t>
      </w:r>
      <w:r w:rsidR="00736D6A" w:rsidRPr="00870D59">
        <w:t>.</w:t>
      </w:r>
      <w:r w:rsidR="00736D6A">
        <w:t>13</w:t>
      </w:r>
      <w:r w:rsidR="00736D6A" w:rsidRPr="00870D59">
        <w:t>)</w:t>
      </w:r>
    </w:p>
    <w:p w14:paraId="51309161" w14:textId="7FA3308E" w:rsidR="00736D6A" w:rsidRPr="001B2671" w:rsidRDefault="00675EBA" w:rsidP="003E2FDF">
      <w:pPr>
        <w:pStyle w:val="Text"/>
      </w:pPr>
      <w:r>
        <w:t>where</w:t>
      </w:r>
    </w:p>
    <w:tbl>
      <w:tblPr>
        <w:tblW w:w="0" w:type="auto"/>
        <w:tblInd w:w="346" w:type="dxa"/>
        <w:tblLook w:val="04A0" w:firstRow="1" w:lastRow="0" w:firstColumn="1" w:lastColumn="0" w:noHBand="0" w:noVBand="1"/>
      </w:tblPr>
      <w:tblGrid>
        <w:gridCol w:w="1275"/>
        <w:gridCol w:w="7938"/>
      </w:tblGrid>
      <w:tr w:rsidR="00736D6A" w:rsidRPr="000F2AFF" w14:paraId="69BB9823" w14:textId="77777777" w:rsidTr="00ED5D26">
        <w:tc>
          <w:tcPr>
            <w:tcW w:w="1275" w:type="dxa"/>
          </w:tcPr>
          <w:p w14:paraId="4F461060" w14:textId="44334DC6" w:rsidR="00736D6A" w:rsidRPr="00736D6A" w:rsidRDefault="009B5CEC" w:rsidP="002061E5">
            <w:pPr>
              <w:spacing w:after="60"/>
              <w:jc w:val="left"/>
              <w:rPr>
                <w:rFonts w:eastAsia="Times New Roman" w:cs="Cambria"/>
                <w:color w:val="000000" w:themeColor="text1"/>
                <w:szCs w:val="20"/>
                <w:lang w:eastAsia="fr-FR"/>
              </w:rPr>
            </w:pPr>
            <m:oMathPara>
              <m:oMathParaPr>
                <m:jc m:val="left"/>
              </m:oMathParaPr>
              <m:oMath>
                <m:sSubSup>
                  <m:sSubSupPr>
                    <m:ctrlPr>
                      <w:rPr>
                        <w:rFonts w:ascii="Cambria Math" w:hAnsi="Cambria Math"/>
                      </w:rPr>
                    </m:ctrlPr>
                  </m:sSubSupPr>
                  <m:e>
                    <m:r>
                      <w:rPr>
                        <w:rFonts w:ascii="Cambria Math" w:hAnsi="Cambria Math"/>
                      </w:rPr>
                      <m:t>d</m:t>
                    </m:r>
                  </m:e>
                  <m:sub>
                    <m:r>
                      <m:rPr>
                        <m:sty m:val="p"/>
                      </m:rPr>
                      <w:rPr>
                        <w:rFonts w:ascii="Cambria Math" w:hAnsi="Cambria Math"/>
                      </w:rPr>
                      <m:t>y</m:t>
                    </m:r>
                  </m:sub>
                  <m:sup>
                    <m:r>
                      <m:rPr>
                        <m:sty m:val="p"/>
                      </m:rPr>
                      <w:rPr>
                        <w:rFonts w:ascii="Cambria Math" w:hAnsi="Cambria Math"/>
                      </w:rPr>
                      <m:t>*</m:t>
                    </m:r>
                  </m:sup>
                </m:sSubSup>
              </m:oMath>
            </m:oMathPara>
          </w:p>
        </w:tc>
        <w:tc>
          <w:tcPr>
            <w:tcW w:w="7938" w:type="dxa"/>
          </w:tcPr>
          <w:p w14:paraId="4DEF206B" w14:textId="61FC6D73" w:rsidR="00736D6A" w:rsidRPr="00DF3AF1" w:rsidRDefault="00736D6A" w:rsidP="00736D6A">
            <w:pPr>
              <w:pStyle w:val="Listofsymbols"/>
              <w:tabs>
                <w:tab w:val="clear" w:pos="1134"/>
                <w:tab w:val="left" w:pos="1347"/>
              </w:tabs>
              <w:ind w:left="0" w:firstLine="0"/>
              <w:rPr>
                <w:rFonts w:eastAsia="Times New Roman"/>
              </w:rPr>
            </w:pPr>
            <w:r w:rsidRPr="00F126F8">
              <w:rPr>
                <w:lang w:val="en-US"/>
              </w:rPr>
              <w:t>is the</w:t>
            </w:r>
            <w:r w:rsidRPr="00943908">
              <w:rPr>
                <w:color w:val="FF0000"/>
                <w:lang w:val="en-US"/>
              </w:rPr>
              <w:t xml:space="preserve"> </w:t>
            </w:r>
            <w:r w:rsidRPr="00736D6A">
              <w:rPr>
                <w:lang w:val="en-US"/>
              </w:rPr>
              <w:t xml:space="preserve">equivalent </w:t>
            </w:r>
            <w:r w:rsidRPr="00F126F8">
              <w:rPr>
                <w:lang w:val="en-US"/>
              </w:rPr>
              <w:t>yield displacement of the equivalent single degree of freedom (SDOF) model; d</w:t>
            </w:r>
            <w:r w:rsidRPr="00F126F8">
              <w:rPr>
                <w:vertAlign w:val="subscript"/>
                <w:lang w:val="en-US"/>
              </w:rPr>
              <w:t>y</w:t>
            </w:r>
            <w:r w:rsidRPr="00F126F8">
              <w:rPr>
                <w:vertAlign w:val="superscript"/>
                <w:lang w:val="en-US"/>
              </w:rPr>
              <w:t xml:space="preserve">* </w:t>
            </w:r>
            <w:r w:rsidRPr="00F126F8">
              <w:rPr>
                <w:lang w:val="en-US"/>
              </w:rPr>
              <w:t xml:space="preserve">should be calculated from </w:t>
            </w:r>
            <w:r w:rsidRPr="00F126F8">
              <w:rPr>
                <w:i/>
                <w:iCs/>
                <w:lang w:val="en-US"/>
              </w:rPr>
              <w:t>d</w:t>
            </w:r>
            <w:r w:rsidRPr="00F126F8">
              <w:rPr>
                <w:vertAlign w:val="subscript"/>
                <w:lang w:val="en-US"/>
              </w:rPr>
              <w:t>m</w:t>
            </w:r>
            <w:r w:rsidRPr="00F126F8">
              <w:rPr>
                <w:lang w:val="en-US"/>
              </w:rPr>
              <w:t>* according to pr</w:t>
            </w:r>
            <w:r w:rsidR="00C30FF9">
              <w:rPr>
                <w:lang w:val="en-US"/>
              </w:rPr>
              <w:t>EN 1</w:t>
            </w:r>
            <w:r>
              <w:rPr>
                <w:lang w:val="en-US"/>
              </w:rPr>
              <w:t>99</w:t>
            </w:r>
            <w:r w:rsidRPr="00F126F8">
              <w:rPr>
                <w:lang w:val="en-US"/>
              </w:rPr>
              <w:t>8-1-1, Formula (6.27).</w:t>
            </w:r>
          </w:p>
        </w:tc>
      </w:tr>
      <w:tr w:rsidR="00736D6A" w:rsidRPr="000F2AFF" w14:paraId="58389325" w14:textId="77777777" w:rsidTr="00ED5D26">
        <w:tc>
          <w:tcPr>
            <w:tcW w:w="1275" w:type="dxa"/>
          </w:tcPr>
          <w:p w14:paraId="5CC86CCD" w14:textId="48FA1D68" w:rsidR="00736D6A" w:rsidRPr="00E05E29" w:rsidRDefault="00736D6A" w:rsidP="002061E5">
            <w:pPr>
              <w:spacing w:after="60"/>
              <w:jc w:val="left"/>
              <w:rPr>
                <w:i/>
                <w:iCs/>
              </w:rPr>
            </w:pPr>
            <w:r w:rsidRPr="00196951">
              <w:rPr>
                <w:bCs/>
                <w:i/>
                <w:iCs/>
              </w:rPr>
              <w:t>d</w:t>
            </w:r>
            <w:r w:rsidRPr="002144A0">
              <w:rPr>
                <w:bCs/>
                <w:iCs/>
                <w:vertAlign w:val="subscript"/>
              </w:rPr>
              <w:t>SD</w:t>
            </w:r>
            <w:r w:rsidRPr="002144A0">
              <w:rPr>
                <w:bCs/>
                <w:iCs/>
              </w:rPr>
              <w:t>*</w:t>
            </w:r>
          </w:p>
        </w:tc>
        <w:tc>
          <w:tcPr>
            <w:tcW w:w="7938" w:type="dxa"/>
          </w:tcPr>
          <w:p w14:paraId="1002D881" w14:textId="0BC66A78" w:rsidR="00736D6A" w:rsidRPr="00E05E29" w:rsidRDefault="00736D6A" w:rsidP="002061E5">
            <w:pPr>
              <w:spacing w:after="60"/>
            </w:pPr>
            <w:r w:rsidRPr="002144A0">
              <w:rPr>
                <w:bCs/>
              </w:rPr>
              <w:t xml:space="preserve">should be calculated from </w:t>
            </w:r>
            <w:r w:rsidRPr="002144A0">
              <w:rPr>
                <w:bCs/>
                <w:i/>
                <w:iCs/>
              </w:rPr>
              <w:t>d</w:t>
            </w:r>
            <w:r w:rsidRPr="002144A0">
              <w:rPr>
                <w:bCs/>
                <w:iCs/>
                <w:vertAlign w:val="subscript"/>
              </w:rPr>
              <w:t>SD</w:t>
            </w:r>
            <w:r w:rsidRPr="002144A0">
              <w:rPr>
                <w:bCs/>
              </w:rPr>
              <w:t xml:space="preserve"> acco</w:t>
            </w:r>
            <w:r w:rsidRPr="004F25D7">
              <w:rPr>
                <w:bCs/>
              </w:rPr>
              <w:t xml:space="preserve">rding to </w:t>
            </w:r>
            <w:r>
              <w:rPr>
                <w:bCs/>
              </w:rPr>
              <w:t>pr</w:t>
            </w:r>
            <w:r w:rsidR="00C30FF9">
              <w:rPr>
                <w:bCs/>
              </w:rPr>
              <w:t>EN 1</w:t>
            </w:r>
            <w:r>
              <w:rPr>
                <w:bCs/>
              </w:rPr>
              <w:t>998-1-1:2022</w:t>
            </w:r>
            <w:r w:rsidRPr="00C52095">
              <w:rPr>
                <w:bCs/>
              </w:rPr>
              <w:t>, Formula (6.25</w:t>
            </w:r>
            <w:r w:rsidRPr="007754C9">
              <w:rPr>
                <w:bCs/>
              </w:rPr>
              <w:t>).</w:t>
            </w:r>
          </w:p>
        </w:tc>
      </w:tr>
    </w:tbl>
    <w:p w14:paraId="50453671" w14:textId="77777777" w:rsidR="00736D6A" w:rsidRPr="00132C1E" w:rsidRDefault="00736D6A" w:rsidP="00736D6A">
      <w:pPr>
        <w:pStyle w:val="Heading4"/>
      </w:pPr>
      <w:bookmarkStart w:id="10748" w:name="_Toc108342648"/>
      <w:r w:rsidRPr="00132C1E">
        <w:t>Verification of the NC limit state</w:t>
      </w:r>
      <w:bookmarkEnd w:id="10748"/>
    </w:p>
    <w:p w14:paraId="0A467248" w14:textId="5542C550" w:rsidR="00736D6A" w:rsidRPr="004A2034" w:rsidRDefault="00736D6A" w:rsidP="0080187E">
      <w:pPr>
        <w:pStyle w:val="Clause"/>
        <w:numPr>
          <w:ilvl w:val="0"/>
          <w:numId w:val="508"/>
        </w:numPr>
      </w:pPr>
      <w:r w:rsidRPr="004A2034">
        <w:t xml:space="preserve">In case the NC limit state is used, the seismic action effects </w:t>
      </w:r>
      <w:r w:rsidRPr="003E2FDF">
        <w:rPr>
          <w:i/>
          <w:iCs/>
        </w:rPr>
        <w:t>E</w:t>
      </w:r>
      <w:r w:rsidRPr="003E2FDF">
        <w:rPr>
          <w:vertAlign w:val="subscript"/>
        </w:rPr>
        <w:t>d</w:t>
      </w:r>
      <w:r w:rsidRPr="004A2034">
        <w:t xml:space="preserve"> may be determined according to </w:t>
      </w:r>
      <w:r>
        <w:t>pr</w:t>
      </w:r>
      <w:r w:rsidR="00C30FF9">
        <w:t>EN 1</w:t>
      </w:r>
      <w:r>
        <w:t>998-1-1:2022</w:t>
      </w:r>
      <w:r w:rsidRPr="004A2034">
        <w:t xml:space="preserve">, </w:t>
      </w:r>
      <w:r w:rsidRPr="00835C82">
        <w:t>6.5</w:t>
      </w:r>
      <w:r w:rsidRPr="004A2034">
        <w:t>.</w:t>
      </w:r>
    </w:p>
    <w:p w14:paraId="4B9AF6D8" w14:textId="53D8FDDD" w:rsidR="00736D6A" w:rsidRPr="004A2034" w:rsidRDefault="00736D6A" w:rsidP="00724E4E">
      <w:pPr>
        <w:pStyle w:val="Clause"/>
      </w:pPr>
      <w:r w:rsidRPr="00835C82">
        <w:t>14.6.1.3(1)</w:t>
      </w:r>
      <w:r w:rsidRPr="004A2034">
        <w:t xml:space="preserve"> should be applied.</w:t>
      </w:r>
    </w:p>
    <w:p w14:paraId="12FC8946" w14:textId="468FE7DE" w:rsidR="00736D6A" w:rsidRPr="004A2034" w:rsidRDefault="00736D6A" w:rsidP="00724E4E">
      <w:pPr>
        <w:pStyle w:val="Clause"/>
      </w:pPr>
      <w:bookmarkStart w:id="10749" w:name="_Ref19530379"/>
      <w:r w:rsidRPr="004A2034">
        <w:t xml:space="preserve">The resistance </w:t>
      </w:r>
      <w:r w:rsidRPr="004A2034">
        <w:rPr>
          <w:i/>
        </w:rPr>
        <w:t>d</w:t>
      </w:r>
      <w:r w:rsidRPr="004A2034">
        <w:rPr>
          <w:vertAlign w:val="subscript"/>
        </w:rPr>
        <w:t>NC</w:t>
      </w:r>
      <w:r w:rsidRPr="004A2034">
        <w:t xml:space="preserve"> of the masonry building should be taken as given in Formula (14.14).</w:t>
      </w:r>
      <w:bookmarkEnd w:id="10749"/>
    </w:p>
    <w:p w14:paraId="137B416B" w14:textId="1B58AE1A" w:rsidR="00736D6A" w:rsidRDefault="009B5CEC" w:rsidP="00736D6A">
      <w:pPr>
        <w:pStyle w:val="Formula"/>
        <w:spacing w:before="240"/>
      </w:pPr>
      <m:oMath>
        <m:sSub>
          <m:sSubPr>
            <m:ctrlPr>
              <w:rPr>
                <w:rFonts w:ascii="Cambria Math" w:hAnsi="Cambria Math"/>
              </w:rPr>
            </m:ctrlPr>
          </m:sSubPr>
          <m:e>
            <m:r>
              <w:rPr>
                <w:rFonts w:ascii="Cambria Math" w:hAnsi="Cambria Math"/>
              </w:rPr>
              <m:t>d</m:t>
            </m:r>
          </m:e>
          <m:sub>
            <m:r>
              <m:rPr>
                <m:sty m:val="p"/>
              </m:rPr>
              <w:rPr>
                <w:rFonts w:ascii="Cambria Math" w:hAnsi="Cambria Math"/>
              </w:rPr>
              <m:t>NC</m:t>
            </m:r>
          </m:sub>
        </m:sSub>
        <m:r>
          <w:rPr>
            <w:rFonts w:ascii="Cambria Math" w:hAnsi="Cambria Math"/>
          </w:rPr>
          <m:t>=</m:t>
        </m:r>
        <m:r>
          <m:rPr>
            <m:sty m:val="p"/>
          </m:rPr>
          <w:rPr>
            <w:rFonts w:ascii="Cambria Math" w:hAnsi="Cambria Math"/>
          </w:rPr>
          <m:t>max⁡</m:t>
        </m:r>
        <m:r>
          <w:rPr>
            <w:rFonts w:ascii="Cambria Math" w:hAnsi="Cambria Math"/>
          </w:rPr>
          <m:t>(</m:t>
        </m:r>
        <m:sSub>
          <m:sSubPr>
            <m:ctrlPr>
              <w:rPr>
                <w:rFonts w:ascii="Cambria Math" w:hAnsi="Cambria Math"/>
              </w:rPr>
            </m:ctrlPr>
          </m:sSubPr>
          <m:e>
            <m:r>
              <w:rPr>
                <w:rFonts w:ascii="Cambria Math" w:hAnsi="Cambria Math"/>
              </w:rPr>
              <m:t>d</m:t>
            </m:r>
          </m:e>
          <m:sub>
            <m:r>
              <m:rPr>
                <m:sty m:val="p"/>
              </m:rPr>
              <w:rPr>
                <w:rFonts w:ascii="Cambria Math" w:hAnsi="Cambria Math"/>
              </w:rPr>
              <m:t>y</m:t>
            </m:r>
          </m:sub>
        </m:sSub>
        <m:r>
          <w:rPr>
            <w:rFonts w:ascii="Cambria Math" w:hAnsi="Cambria Math"/>
          </w:rPr>
          <m:t>,</m:t>
        </m:r>
        <m:f>
          <m:fPr>
            <m:ctrlPr>
              <w:rPr>
                <w:rFonts w:ascii="Cambria Math" w:hAnsi="Cambria Math"/>
              </w:rPr>
            </m:ctrlPr>
          </m:fPr>
          <m:num>
            <m:r>
              <w:rPr>
                <w:rFonts w:ascii="Cambria Math" w:hAnsi="Cambria Math"/>
              </w:rPr>
              <m:t>1</m:t>
            </m:r>
          </m:num>
          <m:den>
            <m:sSub>
              <m:sSubPr>
                <m:ctrlPr>
                  <w:rPr>
                    <w:rFonts w:ascii="Cambria Math" w:hAnsi="Cambria Math"/>
                  </w:rPr>
                </m:ctrlPr>
              </m:sSubPr>
              <m:e>
                <m:r>
                  <w:rPr>
                    <w:rFonts w:ascii="Cambria Math" w:hAnsi="Cambria Math"/>
                  </w:rPr>
                  <m:t>γ</m:t>
                </m:r>
              </m:e>
              <m:sub>
                <m:r>
                  <m:rPr>
                    <m:sty m:val="p"/>
                  </m:rPr>
                  <w:rPr>
                    <w:rFonts w:ascii="Cambria Math" w:hAnsi="Cambria Math"/>
                  </w:rPr>
                  <m:t>Rd,NC</m:t>
                </m:r>
              </m:sub>
            </m:sSub>
          </m:den>
        </m:f>
        <m:sSub>
          <m:sSubPr>
            <m:ctrlPr>
              <w:rPr>
                <w:rFonts w:ascii="Cambria Math" w:hAnsi="Cambria Math"/>
              </w:rPr>
            </m:ctrlPr>
          </m:sSubPr>
          <m:e>
            <m:r>
              <w:rPr>
                <w:rFonts w:ascii="Cambria Math" w:hAnsi="Cambria Math"/>
              </w:rPr>
              <m:t>d</m:t>
            </m:r>
          </m:e>
          <m:sub>
            <m:r>
              <m:rPr>
                <m:sty m:val="p"/>
              </m:rPr>
              <w:rPr>
                <w:rFonts w:ascii="Cambria Math" w:hAnsi="Cambria Math"/>
              </w:rPr>
              <m:t>NC,θ</m:t>
            </m:r>
          </m:sub>
        </m:sSub>
        <m:r>
          <w:rPr>
            <w:rFonts w:ascii="Cambria Math" w:hAnsi="Cambria Math"/>
          </w:rPr>
          <m:t>)</m:t>
        </m:r>
      </m:oMath>
      <w:r w:rsidR="00736D6A" w:rsidRPr="00870D59">
        <w:tab/>
        <w:t>(1</w:t>
      </w:r>
      <w:r w:rsidR="00736D6A">
        <w:t>4</w:t>
      </w:r>
      <w:r w:rsidR="00736D6A" w:rsidRPr="00870D59">
        <w:t>.</w:t>
      </w:r>
      <w:r w:rsidR="00736D6A">
        <w:t>14</w:t>
      </w:r>
      <w:r w:rsidR="00736D6A" w:rsidRPr="00870D59">
        <w:t>)</w:t>
      </w:r>
    </w:p>
    <w:p w14:paraId="7A8952C0" w14:textId="0BEDD269" w:rsidR="00736D6A" w:rsidRPr="001B2671" w:rsidRDefault="00675EBA" w:rsidP="00736D6A">
      <w:pPr>
        <w:pStyle w:val="BodyText"/>
      </w:pPr>
      <w:r>
        <w:t>where</w:t>
      </w:r>
    </w:p>
    <w:tbl>
      <w:tblPr>
        <w:tblW w:w="0" w:type="auto"/>
        <w:tblInd w:w="346" w:type="dxa"/>
        <w:tblLook w:val="04A0" w:firstRow="1" w:lastRow="0" w:firstColumn="1" w:lastColumn="0" w:noHBand="0" w:noVBand="1"/>
      </w:tblPr>
      <w:tblGrid>
        <w:gridCol w:w="1275"/>
        <w:gridCol w:w="7938"/>
      </w:tblGrid>
      <w:tr w:rsidR="00736D6A" w:rsidRPr="000F2AFF" w14:paraId="36CEB03D" w14:textId="77777777" w:rsidTr="00ED5D26">
        <w:tc>
          <w:tcPr>
            <w:tcW w:w="1275" w:type="dxa"/>
          </w:tcPr>
          <w:p w14:paraId="01388864" w14:textId="65DF5507" w:rsidR="00736D6A" w:rsidRPr="00736D6A" w:rsidRDefault="00736D6A" w:rsidP="002061E5">
            <w:pPr>
              <w:spacing w:after="60"/>
              <w:jc w:val="left"/>
              <w:rPr>
                <w:rFonts w:eastAsia="Times New Roman" w:cs="Cambria"/>
                <w:color w:val="000000" w:themeColor="text1"/>
                <w:szCs w:val="20"/>
                <w:lang w:eastAsia="fr-FR"/>
              </w:rPr>
            </w:pPr>
            <w:r w:rsidRPr="00E05E29">
              <w:rPr>
                <w:rFonts w:ascii="Symbol" w:hAnsi="Symbol"/>
                <w:i/>
                <w:iCs/>
              </w:rPr>
              <w:t></w:t>
            </w:r>
            <w:r w:rsidRPr="00E05E29">
              <w:rPr>
                <w:rFonts w:ascii="Times New Roman" w:hAnsi="Times New Roman"/>
                <w:iCs/>
                <w:vertAlign w:val="subscript"/>
              </w:rPr>
              <w:t>Rd</w:t>
            </w:r>
            <w:r w:rsidRPr="00E05E29">
              <w:rPr>
                <w:rFonts w:ascii="Symbol" w:hAnsi="Symbol"/>
                <w:iCs/>
              </w:rPr>
              <w:t></w:t>
            </w:r>
            <w:r w:rsidRPr="00E05E29">
              <w:rPr>
                <w:iCs/>
                <w:vertAlign w:val="subscript"/>
              </w:rPr>
              <w:t>NC</w:t>
            </w:r>
          </w:p>
        </w:tc>
        <w:tc>
          <w:tcPr>
            <w:tcW w:w="7938" w:type="dxa"/>
          </w:tcPr>
          <w:p w14:paraId="70D50286" w14:textId="64C39CCF" w:rsidR="00736D6A" w:rsidRPr="00DF3AF1" w:rsidRDefault="00736D6A" w:rsidP="002061E5">
            <w:pPr>
              <w:pStyle w:val="Listofsymbols"/>
              <w:tabs>
                <w:tab w:val="clear" w:pos="1134"/>
                <w:tab w:val="left" w:pos="1347"/>
              </w:tabs>
              <w:ind w:left="0" w:firstLine="0"/>
              <w:rPr>
                <w:rFonts w:eastAsia="Times New Roman"/>
              </w:rPr>
            </w:pPr>
            <w:r w:rsidRPr="00132C1E">
              <w:t>is the partial factor on resistance in terms of general</w:t>
            </w:r>
            <w:r w:rsidR="00E10A24">
              <w:t>ize</w:t>
            </w:r>
            <w:r w:rsidRPr="00132C1E">
              <w:t>d displacements at NC;</w:t>
            </w:r>
          </w:p>
        </w:tc>
      </w:tr>
      <w:tr w:rsidR="00736D6A" w:rsidRPr="000F2AFF" w14:paraId="37E9F90A" w14:textId="77777777" w:rsidTr="00ED5D26">
        <w:tc>
          <w:tcPr>
            <w:tcW w:w="1275" w:type="dxa"/>
          </w:tcPr>
          <w:p w14:paraId="31D3C3C5" w14:textId="3C031D53" w:rsidR="00736D6A" w:rsidRPr="00736D6A" w:rsidRDefault="00736D6A" w:rsidP="002061E5">
            <w:pPr>
              <w:spacing w:after="60"/>
              <w:jc w:val="left"/>
              <w:rPr>
                <w:rFonts w:eastAsia="Times New Roman" w:cs="Cambria"/>
                <w:color w:val="000000" w:themeColor="text1"/>
                <w:szCs w:val="20"/>
                <w:lang w:eastAsia="fr-FR"/>
              </w:rPr>
            </w:pPr>
            <w:r w:rsidRPr="00132C1E">
              <w:rPr>
                <w:i/>
                <w:iCs/>
              </w:rPr>
              <w:t>d</w:t>
            </w:r>
            <w:r w:rsidRPr="00132C1E">
              <w:rPr>
                <w:iCs/>
                <w:vertAlign w:val="subscript"/>
              </w:rPr>
              <w:t>y</w:t>
            </w:r>
          </w:p>
        </w:tc>
        <w:tc>
          <w:tcPr>
            <w:tcW w:w="7938" w:type="dxa"/>
          </w:tcPr>
          <w:p w14:paraId="240A3D9A" w14:textId="6B1B964F" w:rsidR="00736D6A" w:rsidRPr="00DF3AF1" w:rsidRDefault="00736D6A" w:rsidP="002061E5">
            <w:pPr>
              <w:pStyle w:val="Listofsymbols"/>
              <w:tabs>
                <w:tab w:val="clear" w:pos="1134"/>
                <w:tab w:val="left" w:pos="1347"/>
              </w:tabs>
              <w:ind w:left="0" w:firstLine="0"/>
              <w:rPr>
                <w:rFonts w:eastAsia="Times New Roman"/>
              </w:rPr>
            </w:pPr>
            <w:r w:rsidRPr="00132C1E">
              <w:t xml:space="preserve">is the displacement of the control node for which the first </w:t>
            </w:r>
            <w:r w:rsidRPr="00015E4B">
              <w:t xml:space="preserve">primary wall reaches </w:t>
            </w:r>
            <w:r w:rsidRPr="00132C1E">
              <w:t>its resistance in terms of general</w:t>
            </w:r>
            <w:r w:rsidR="00E10A24">
              <w:t>ize</w:t>
            </w:r>
            <w:r w:rsidRPr="00132C1E">
              <w:t>d in-plane forces;</w:t>
            </w:r>
          </w:p>
        </w:tc>
      </w:tr>
      <w:tr w:rsidR="00736D6A" w:rsidRPr="000F2AFF" w14:paraId="278D663F" w14:textId="77777777" w:rsidTr="00ED5D26">
        <w:tc>
          <w:tcPr>
            <w:tcW w:w="1275" w:type="dxa"/>
          </w:tcPr>
          <w:p w14:paraId="324BE635" w14:textId="5DDFF5F5" w:rsidR="00736D6A" w:rsidRPr="00E05E29" w:rsidRDefault="00736D6A" w:rsidP="002061E5">
            <w:pPr>
              <w:spacing w:after="60"/>
              <w:jc w:val="left"/>
              <w:rPr>
                <w:i/>
                <w:iCs/>
              </w:rPr>
            </w:pPr>
            <w:r w:rsidRPr="00132C1E">
              <w:rPr>
                <w:i/>
                <w:iCs/>
              </w:rPr>
              <w:t>d</w:t>
            </w:r>
            <w:r w:rsidRPr="00132C1E">
              <w:rPr>
                <w:iCs/>
                <w:vertAlign w:val="subscript"/>
              </w:rPr>
              <w:t>NC,θ</w:t>
            </w:r>
          </w:p>
        </w:tc>
        <w:tc>
          <w:tcPr>
            <w:tcW w:w="7938" w:type="dxa"/>
          </w:tcPr>
          <w:p w14:paraId="24CB5520" w14:textId="59D40DE5" w:rsidR="00736D6A" w:rsidRPr="00E05E29" w:rsidRDefault="00736D6A" w:rsidP="002061E5">
            <w:pPr>
              <w:spacing w:after="60"/>
            </w:pPr>
            <w:r w:rsidRPr="00132C1E">
              <w:t>is the displacement of the control node for which the total base shear of the system has dropped below 80</w:t>
            </w:r>
            <w:r w:rsidR="00D4445A">
              <w:t> </w:t>
            </w:r>
            <w:r w:rsidRPr="00132C1E">
              <w:t xml:space="preserve">% of the peak resistance or the displacement at which the first primary member reaches an element drift ratio of 1,5 times its resistance at the NC limit </w:t>
            </w:r>
            <w:r w:rsidRPr="003E2FDF">
              <w:t>state, whichever occurs first. The resistance in terms of element drift ratio is given in 14.9.</w:t>
            </w:r>
          </w:p>
        </w:tc>
      </w:tr>
    </w:tbl>
    <w:p w14:paraId="316C779D" w14:textId="6A9E0F71" w:rsidR="00112B9F" w:rsidRPr="00A1437F" w:rsidRDefault="00112B9F" w:rsidP="00ED5D26">
      <w:pPr>
        <w:pStyle w:val="Notetext"/>
        <w:spacing w:before="120"/>
      </w:pPr>
      <w:r w:rsidRPr="00A1437F">
        <w:t>NOTE 1</w:t>
      </w:r>
      <w:r w:rsidRPr="00A1437F">
        <w:tab/>
      </w:r>
      <w:r w:rsidRPr="00A1437F">
        <w:rPr>
          <w:rFonts w:eastAsia="Cambria" w:cs="Times-Roman"/>
          <w:color w:val="000000"/>
          <w:lang w:eastAsia="de-DE"/>
        </w:rPr>
        <w:t xml:space="preserve">The value of </w:t>
      </w:r>
      <w:r w:rsidRPr="00A1437F">
        <w:rPr>
          <w:i/>
          <w:iCs/>
        </w:rPr>
        <w:t>γ</w:t>
      </w:r>
      <w:r w:rsidRPr="00A1437F">
        <w:rPr>
          <w:iCs/>
          <w:vertAlign w:val="subscript"/>
        </w:rPr>
        <w:t>Rd</w:t>
      </w:r>
      <w:r w:rsidRPr="00A1437F">
        <w:rPr>
          <w:iCs/>
        </w:rPr>
        <w:t>,</w:t>
      </w:r>
      <w:r w:rsidRPr="00A1437F">
        <w:rPr>
          <w:iCs/>
          <w:vertAlign w:val="subscript"/>
        </w:rPr>
        <w:t>NC</w:t>
      </w:r>
      <w:r w:rsidRPr="00A1437F">
        <w:t xml:space="preserve"> is 1,</w:t>
      </w:r>
      <w:r w:rsidRPr="000529B2">
        <w:t xml:space="preserve">75 </w:t>
      </w:r>
      <w:r w:rsidRPr="00A1437F">
        <w:rPr>
          <w:rFonts w:eastAsia="Cambria" w:cs="Times-Roman"/>
          <w:color w:val="000000"/>
          <w:lang w:eastAsia="de-DE"/>
        </w:rPr>
        <w:t>unless the National Annex give</w:t>
      </w:r>
      <w:r w:rsidR="003E2FDF">
        <w:rPr>
          <w:rFonts w:eastAsia="Cambria" w:cs="Times-Roman"/>
          <w:color w:val="000000"/>
          <w:lang w:eastAsia="de-DE"/>
        </w:rPr>
        <w:t>s</w:t>
      </w:r>
      <w:r w:rsidRPr="00A1437F">
        <w:rPr>
          <w:rFonts w:eastAsia="Cambria" w:cs="Times-Roman"/>
          <w:color w:val="000000"/>
          <w:lang w:eastAsia="de-DE"/>
        </w:rPr>
        <w:t xml:space="preserve"> different values of </w:t>
      </w:r>
      <w:r w:rsidRPr="00A1437F">
        <w:rPr>
          <w:i/>
          <w:iCs/>
        </w:rPr>
        <w:t>γ</w:t>
      </w:r>
      <w:r w:rsidRPr="00A1437F">
        <w:rPr>
          <w:iCs/>
          <w:vertAlign w:val="subscript"/>
        </w:rPr>
        <w:t>Rd</w:t>
      </w:r>
      <w:r w:rsidRPr="00A1437F">
        <w:rPr>
          <w:iCs/>
        </w:rPr>
        <w:t>,</w:t>
      </w:r>
      <w:r w:rsidRPr="00A1437F">
        <w:rPr>
          <w:iCs/>
          <w:vertAlign w:val="subscript"/>
        </w:rPr>
        <w:t>NC</w:t>
      </w:r>
      <w:r w:rsidRPr="00A1437F">
        <w:rPr>
          <w:rFonts w:eastAsia="Cambria" w:cs="Times-Roman"/>
          <w:color w:val="000000"/>
          <w:lang w:eastAsia="de-DE"/>
        </w:rPr>
        <w:t xml:space="preserve"> for use in a country.</w:t>
      </w:r>
      <w:r w:rsidRPr="00A1437F">
        <w:t xml:space="preserve"> The National Annex can specify different values of </w:t>
      </w:r>
      <w:r w:rsidRPr="00A1437F">
        <w:rPr>
          <w:i/>
          <w:iCs/>
        </w:rPr>
        <w:t>γ</w:t>
      </w:r>
      <w:r w:rsidRPr="00A1437F">
        <w:rPr>
          <w:iCs/>
          <w:vertAlign w:val="subscript"/>
        </w:rPr>
        <w:t>Rd</w:t>
      </w:r>
      <w:r w:rsidRPr="00A1437F">
        <w:rPr>
          <w:iCs/>
        </w:rPr>
        <w:t>,</w:t>
      </w:r>
      <w:r w:rsidRPr="00A1437F">
        <w:rPr>
          <w:iCs/>
          <w:vertAlign w:val="subscript"/>
        </w:rPr>
        <w:t>NC</w:t>
      </w:r>
      <w:r w:rsidRPr="00A1437F">
        <w:t xml:space="preserve"> for unreinforced masonry, confined masonry and reinforced masonry buildings.</w:t>
      </w:r>
    </w:p>
    <w:p w14:paraId="29359FB2" w14:textId="5B72139B" w:rsidR="00112B9F" w:rsidRPr="00FE7888" w:rsidRDefault="00112B9F" w:rsidP="00112B9F">
      <w:pPr>
        <w:pStyle w:val="Notetext"/>
        <w:rPr>
          <w:lang w:val="fr-BE"/>
        </w:rPr>
      </w:pPr>
      <w:r w:rsidRPr="00FE7888">
        <w:rPr>
          <w:lang w:val="fr-BE"/>
        </w:rPr>
        <w:t>NOTE 2</w:t>
      </w:r>
      <w:r w:rsidRPr="00FE7888">
        <w:rPr>
          <w:lang w:val="fr-BE"/>
        </w:rPr>
        <w:tab/>
        <w:t xml:space="preserve">Formula (14.14) replaces </w:t>
      </w:r>
      <w:r>
        <w:rPr>
          <w:lang w:val="fr-BE"/>
        </w:rPr>
        <w:t>pr</w:t>
      </w:r>
      <w:r w:rsidR="00C30FF9">
        <w:rPr>
          <w:lang w:val="fr-BE"/>
        </w:rPr>
        <w:t>EN 1</w:t>
      </w:r>
      <w:r>
        <w:rPr>
          <w:lang w:val="fr-BE"/>
        </w:rPr>
        <w:t>998-1-1:2022</w:t>
      </w:r>
      <w:r w:rsidRPr="003E2FDF">
        <w:rPr>
          <w:lang w:val="fr-BE"/>
        </w:rPr>
        <w:t>, 6.7.3(2), Formula</w:t>
      </w:r>
      <w:r w:rsidRPr="00FE7888">
        <w:rPr>
          <w:lang w:val="fr-BE"/>
        </w:rPr>
        <w:t xml:space="preserve"> (6.32).</w:t>
      </w:r>
    </w:p>
    <w:p w14:paraId="093C4B74" w14:textId="77777777" w:rsidR="00112B9F" w:rsidRPr="00A1437F" w:rsidRDefault="00112B9F" w:rsidP="00724E4E">
      <w:pPr>
        <w:pStyle w:val="Clause"/>
      </w:pPr>
      <w:r w:rsidRPr="00A1437F">
        <w:t>The structure should satisfy Formula (14.15).</w:t>
      </w:r>
    </w:p>
    <w:p w14:paraId="101D443E" w14:textId="32D7F893" w:rsidR="00112B9F" w:rsidRPr="00422F5E" w:rsidRDefault="009B5CEC" w:rsidP="00112B9F">
      <w:pPr>
        <w:pStyle w:val="Formula"/>
        <w:spacing w:before="240"/>
        <w:rPr>
          <w:lang w:val="fr-BE"/>
        </w:rPr>
      </w:pPr>
      <m:oMath>
        <m:sSubSup>
          <m:sSubSupPr>
            <m:ctrlPr>
              <w:rPr>
                <w:rFonts w:ascii="Cambria Math" w:hAnsi="Cambria Math"/>
              </w:rPr>
            </m:ctrlPr>
          </m:sSubSupPr>
          <m:e>
            <m:r>
              <w:rPr>
                <w:rFonts w:ascii="Cambria Math" w:hAnsi="Cambria Math"/>
              </w:rPr>
              <m:t>d</m:t>
            </m:r>
          </m:e>
          <m:sub>
            <m:r>
              <m:rPr>
                <m:sty m:val="p"/>
              </m:rPr>
              <w:rPr>
                <w:rFonts w:ascii="Cambria Math" w:hAnsi="Cambria Math"/>
                <w:lang w:val="fr-BE"/>
              </w:rPr>
              <m:t>t</m:t>
            </m:r>
          </m:sub>
          <m:sup>
            <m:r>
              <w:rPr>
                <w:rFonts w:ascii="Cambria Math" w:hAnsi="Cambria Math"/>
                <w:lang w:val="fr-BE"/>
              </w:rPr>
              <m:t>*</m:t>
            </m:r>
          </m:sup>
        </m:sSubSup>
        <m:r>
          <w:rPr>
            <w:rFonts w:ascii="Cambria Math" w:hAnsi="Cambria Math"/>
            <w:lang w:val="fr-BE"/>
          </w:rPr>
          <m:t>≤</m:t>
        </m:r>
        <m:sSubSup>
          <m:sSubSupPr>
            <m:ctrlPr>
              <w:rPr>
                <w:rFonts w:ascii="Cambria Math" w:hAnsi="Cambria Math"/>
              </w:rPr>
            </m:ctrlPr>
          </m:sSubSupPr>
          <m:e>
            <m:r>
              <w:rPr>
                <w:rFonts w:ascii="Cambria Math" w:hAnsi="Cambria Math"/>
              </w:rPr>
              <m:t>d</m:t>
            </m:r>
          </m:e>
          <m:sub>
            <m:r>
              <m:rPr>
                <m:sty m:val="p"/>
              </m:rPr>
              <w:rPr>
                <w:rFonts w:ascii="Cambria Math" w:hAnsi="Cambria Math"/>
                <w:lang w:val="fr-BE"/>
              </w:rPr>
              <m:t>NC</m:t>
            </m:r>
          </m:sub>
          <m:sup>
            <m:r>
              <w:rPr>
                <w:rFonts w:ascii="Cambria Math" w:hAnsi="Cambria Math"/>
                <w:lang w:val="fr-BE"/>
              </w:rPr>
              <m:t>*</m:t>
            </m:r>
          </m:sup>
        </m:sSubSup>
      </m:oMath>
      <w:r w:rsidR="00112B9F" w:rsidRPr="00422F5E">
        <w:rPr>
          <w:lang w:val="fr-BE"/>
        </w:rPr>
        <w:t xml:space="preserve"> </w:t>
      </w:r>
      <w:r w:rsidR="000A6B65" w:rsidRPr="00422F5E">
        <w:rPr>
          <w:lang w:val="fr-BE"/>
        </w:rPr>
        <w:t>≤ (1+3</w:t>
      </w:r>
      <w:r w:rsidR="000A6B65" w:rsidRPr="00422F5E">
        <w:rPr>
          <w:i/>
          <w:iCs/>
          <w:lang w:val="fr-BE"/>
        </w:rPr>
        <w:t>T</w:t>
      </w:r>
      <w:r w:rsidR="000A6B65" w:rsidRPr="00422F5E">
        <w:rPr>
          <w:vertAlign w:val="subscript"/>
          <w:lang w:val="fr-BE"/>
        </w:rPr>
        <w:t>C</w:t>
      </w:r>
      <w:r w:rsidR="000A6B65" w:rsidRPr="00422F5E">
        <w:rPr>
          <w:lang w:val="fr-BE"/>
        </w:rPr>
        <w:t>/</w:t>
      </w:r>
      <w:r w:rsidR="000A6B65" w:rsidRPr="00422F5E">
        <w:rPr>
          <w:i/>
          <w:iCs/>
          <w:lang w:val="fr-BE"/>
        </w:rPr>
        <w:t>T</w:t>
      </w:r>
      <w:r w:rsidR="000A6B65" w:rsidRPr="00422F5E">
        <w:rPr>
          <w:lang w:val="fr-BE"/>
        </w:rPr>
        <w:t>*)</w:t>
      </w:r>
      <w:r w:rsidR="000A6B65" w:rsidRPr="00422F5E">
        <w:rPr>
          <w:i/>
          <w:iCs/>
          <w:lang w:val="fr-BE"/>
        </w:rPr>
        <w:t>d</w:t>
      </w:r>
      <w:r w:rsidR="000A6B65" w:rsidRPr="00422F5E">
        <w:rPr>
          <w:vertAlign w:val="subscript"/>
          <w:lang w:val="fr-BE"/>
        </w:rPr>
        <w:t>y</w:t>
      </w:r>
      <w:r w:rsidR="000A6B65">
        <w:rPr>
          <w:vertAlign w:val="superscript"/>
          <w:lang w:val="fr-BE"/>
        </w:rPr>
        <w:t>*</w:t>
      </w:r>
      <w:r w:rsidR="00112B9F" w:rsidRPr="00422F5E">
        <w:rPr>
          <w:lang w:val="fr-BE"/>
        </w:rPr>
        <w:tab/>
        <w:t>(14.15)</w:t>
      </w:r>
    </w:p>
    <w:p w14:paraId="4DCFBBE4" w14:textId="04D1A611" w:rsidR="00112B9F" w:rsidRPr="001B2671" w:rsidRDefault="00112B9F" w:rsidP="00112B9F">
      <w:pPr>
        <w:pStyle w:val="BodyText"/>
      </w:pPr>
      <w:r>
        <w:lastRenderedPageBreak/>
        <w:t>where</w:t>
      </w:r>
      <w:r w:rsidRPr="00112B9F">
        <w:rPr>
          <w:i/>
          <w:iCs/>
        </w:rPr>
        <w:t xml:space="preserve"> </w:t>
      </w:r>
      <w:r w:rsidRPr="00A1437F">
        <w:rPr>
          <w:i/>
          <w:iCs/>
        </w:rPr>
        <w:t>d</w:t>
      </w:r>
      <w:r w:rsidRPr="00A1437F">
        <w:rPr>
          <w:iCs/>
          <w:vertAlign w:val="subscript"/>
        </w:rPr>
        <w:t>NC</w:t>
      </w:r>
      <w:r w:rsidRPr="00A1437F">
        <w:rPr>
          <w:iCs/>
        </w:rPr>
        <w:t xml:space="preserve">* </w:t>
      </w:r>
      <w:r w:rsidRPr="00A1437F">
        <w:t xml:space="preserve">should be calculated from </w:t>
      </w:r>
      <w:r w:rsidRPr="00A1437F">
        <w:rPr>
          <w:i/>
          <w:iCs/>
        </w:rPr>
        <w:t>d</w:t>
      </w:r>
      <w:r w:rsidRPr="00A1437F">
        <w:rPr>
          <w:iCs/>
          <w:vertAlign w:val="subscript"/>
        </w:rPr>
        <w:t>NC</w:t>
      </w:r>
      <w:r w:rsidRPr="00A1437F">
        <w:t xml:space="preserve"> according to </w:t>
      </w:r>
      <w:r>
        <w:t>pr</w:t>
      </w:r>
      <w:r w:rsidR="00C30FF9">
        <w:t>EN 1</w:t>
      </w:r>
      <w:r>
        <w:t>998-1-1:2022</w:t>
      </w:r>
      <w:r w:rsidRPr="00A1437F">
        <w:t>, Formula (6.25).</w:t>
      </w:r>
    </w:p>
    <w:p w14:paraId="410780F0" w14:textId="77777777" w:rsidR="00112B9F" w:rsidRPr="00A1437F" w:rsidRDefault="00112B9F" w:rsidP="00112B9F">
      <w:pPr>
        <w:pStyle w:val="Heading3"/>
      </w:pPr>
      <w:bookmarkStart w:id="10750" w:name="_Toc50150633"/>
      <w:bookmarkStart w:id="10751" w:name="_Toc70887066"/>
      <w:bookmarkStart w:id="10752" w:name="_Toc108342649"/>
      <w:bookmarkStart w:id="10753" w:name="_Toc134198159"/>
      <w:r w:rsidRPr="00A1437F">
        <w:t>Verification for out-of-plane actions at SD limit state</w:t>
      </w:r>
      <w:bookmarkEnd w:id="10750"/>
      <w:bookmarkEnd w:id="10751"/>
      <w:bookmarkEnd w:id="10752"/>
      <w:bookmarkEnd w:id="10753"/>
    </w:p>
    <w:p w14:paraId="57EA41BD" w14:textId="1C8828DD" w:rsidR="00112B9F" w:rsidRPr="00C52095" w:rsidRDefault="00112B9F" w:rsidP="0080187E">
      <w:pPr>
        <w:pStyle w:val="Clause"/>
        <w:numPr>
          <w:ilvl w:val="0"/>
          <w:numId w:val="509"/>
        </w:numPr>
      </w:pPr>
      <w:r w:rsidRPr="002144A0">
        <w:t xml:space="preserve">For out-of-plane action effects, primary and secondary </w:t>
      </w:r>
      <w:r w:rsidR="000A6B65">
        <w:t>members such as</w:t>
      </w:r>
      <w:r w:rsidRPr="002144A0">
        <w:t xml:space="preserve"> </w:t>
      </w:r>
      <w:r w:rsidRPr="00015E4B">
        <w:t>walls</w:t>
      </w:r>
      <w:r w:rsidR="000A6B65">
        <w:t xml:space="preserve"> and piers</w:t>
      </w:r>
      <w:r w:rsidRPr="00015E4B">
        <w:t xml:space="preserve">, </w:t>
      </w:r>
      <w:r w:rsidRPr="002144A0">
        <w:t>including parapets and gables walls,</w:t>
      </w:r>
      <w:r>
        <w:t xml:space="preserve"> </w:t>
      </w:r>
      <w:r w:rsidRPr="002144A0">
        <w:t xml:space="preserve">should satisfy in all critical sections Formula (14.16), unless they comply with </w:t>
      </w:r>
      <w:r w:rsidRPr="00835C82">
        <w:t>14.7.1(3)</w:t>
      </w:r>
      <w:r w:rsidRPr="004F25D7">
        <w:t>.</w:t>
      </w:r>
    </w:p>
    <w:p w14:paraId="7BFDB64E" w14:textId="22C828C1" w:rsidR="00112B9F" w:rsidRDefault="009B5CEC" w:rsidP="00112B9F">
      <w:pPr>
        <w:pStyle w:val="Formula"/>
        <w:spacing w:before="240"/>
      </w:pPr>
      <m:oMath>
        <m:sSub>
          <m:sSubPr>
            <m:ctrlPr>
              <w:rPr>
                <w:rFonts w:ascii="Cambria Math" w:hAnsi="Cambria Math"/>
              </w:rPr>
            </m:ctrlPr>
          </m:sSubPr>
          <m:e>
            <m:r>
              <w:rPr>
                <w:rFonts w:ascii="Cambria Math"/>
              </w:rPr>
              <m:t>M</m:t>
            </m:r>
          </m:e>
          <m:sub>
            <m:r>
              <m:rPr>
                <m:sty m:val="p"/>
              </m:rPr>
              <w:rPr>
                <w:rFonts w:ascii="Cambria Math" w:hAnsi="Cambria Math"/>
              </w:rPr>
              <m:t>oop,Ed</m:t>
            </m:r>
          </m:sub>
        </m:sSub>
        <m:r>
          <w:rPr>
            <w:rFonts w:ascii="Cambria Math" w:hAnsi="Cambria Math"/>
          </w:rPr>
          <m:t>≤</m:t>
        </m:r>
        <m:sSub>
          <m:sSubPr>
            <m:ctrlPr>
              <w:rPr>
                <w:rFonts w:ascii="Cambria Math" w:hAnsi="Cambria Math"/>
              </w:rPr>
            </m:ctrlPr>
          </m:sSubPr>
          <m:e>
            <m:r>
              <w:rPr>
                <w:rFonts w:ascii="Cambria Math"/>
              </w:rPr>
              <m:t>M</m:t>
            </m:r>
          </m:e>
          <m:sub>
            <m:r>
              <m:rPr>
                <m:sty m:val="p"/>
              </m:rPr>
              <w:rPr>
                <w:rFonts w:ascii="Cambria Math" w:hAnsi="Cambria Math"/>
              </w:rPr>
              <m:t>oop,Rd</m:t>
            </m:r>
          </m:sub>
        </m:sSub>
      </m:oMath>
      <w:r w:rsidR="00112B9F" w:rsidRPr="00870D59">
        <w:tab/>
        <w:t>(1</w:t>
      </w:r>
      <w:r w:rsidR="00112B9F">
        <w:t>4</w:t>
      </w:r>
      <w:r w:rsidR="00112B9F" w:rsidRPr="00870D59">
        <w:t>.</w:t>
      </w:r>
      <w:r w:rsidR="00112B9F">
        <w:t>16</w:t>
      </w:r>
      <w:r w:rsidR="00112B9F" w:rsidRPr="00870D59">
        <w:t>)</w:t>
      </w:r>
    </w:p>
    <w:p w14:paraId="4F47D1FC" w14:textId="4D4973D6" w:rsidR="00112B9F" w:rsidRPr="001B2671" w:rsidRDefault="00675EBA" w:rsidP="00112B9F">
      <w:pPr>
        <w:pStyle w:val="BodyText"/>
      </w:pPr>
      <w:r>
        <w:t>where</w:t>
      </w:r>
    </w:p>
    <w:tbl>
      <w:tblPr>
        <w:tblW w:w="0" w:type="auto"/>
        <w:tblInd w:w="346" w:type="dxa"/>
        <w:tblLook w:val="04A0" w:firstRow="1" w:lastRow="0" w:firstColumn="1" w:lastColumn="0" w:noHBand="0" w:noVBand="1"/>
      </w:tblPr>
      <w:tblGrid>
        <w:gridCol w:w="1275"/>
        <w:gridCol w:w="7938"/>
      </w:tblGrid>
      <w:tr w:rsidR="00112B9F" w:rsidRPr="000F2AFF" w14:paraId="35AAE784" w14:textId="77777777" w:rsidTr="00ED5D26">
        <w:tc>
          <w:tcPr>
            <w:tcW w:w="1275" w:type="dxa"/>
          </w:tcPr>
          <w:p w14:paraId="114F8FEF" w14:textId="2FE3E40F" w:rsidR="00112B9F" w:rsidRPr="00736D6A" w:rsidRDefault="00112B9F" w:rsidP="002061E5">
            <w:pPr>
              <w:spacing w:after="60"/>
              <w:jc w:val="left"/>
              <w:rPr>
                <w:rFonts w:eastAsia="Times New Roman" w:cs="Cambria"/>
                <w:color w:val="000000" w:themeColor="text1"/>
                <w:szCs w:val="20"/>
                <w:lang w:eastAsia="fr-FR"/>
              </w:rPr>
            </w:pPr>
            <w:r w:rsidRPr="00FD17CF">
              <w:rPr>
                <w:i/>
              </w:rPr>
              <w:t>M</w:t>
            </w:r>
            <w:r w:rsidRPr="00FD17CF">
              <w:rPr>
                <w:vertAlign w:val="subscript"/>
              </w:rPr>
              <w:t>oop,Ed</w:t>
            </w:r>
          </w:p>
        </w:tc>
        <w:tc>
          <w:tcPr>
            <w:tcW w:w="7938" w:type="dxa"/>
          </w:tcPr>
          <w:p w14:paraId="34518011" w14:textId="23DDD1C2" w:rsidR="00112B9F" w:rsidRPr="00DF3AF1" w:rsidRDefault="00112B9F" w:rsidP="002061E5">
            <w:pPr>
              <w:pStyle w:val="Listofsymbols"/>
              <w:tabs>
                <w:tab w:val="clear" w:pos="1134"/>
                <w:tab w:val="left" w:pos="1347"/>
              </w:tabs>
              <w:ind w:left="0" w:firstLine="0"/>
              <w:rPr>
                <w:rFonts w:eastAsia="Times New Roman"/>
              </w:rPr>
            </w:pPr>
            <w:r w:rsidRPr="00E05E29">
              <w:t>is the design bending moment due to out of plane action;</w:t>
            </w:r>
          </w:p>
        </w:tc>
      </w:tr>
      <w:tr w:rsidR="00112B9F" w:rsidRPr="000F2AFF" w14:paraId="6D791DCE" w14:textId="77777777" w:rsidTr="00ED5D26">
        <w:tc>
          <w:tcPr>
            <w:tcW w:w="1275" w:type="dxa"/>
          </w:tcPr>
          <w:p w14:paraId="78807689" w14:textId="573330F3" w:rsidR="00112B9F" w:rsidRPr="00736D6A" w:rsidRDefault="00112B9F" w:rsidP="002061E5">
            <w:pPr>
              <w:spacing w:after="60"/>
              <w:jc w:val="left"/>
              <w:rPr>
                <w:rFonts w:eastAsia="Times New Roman" w:cs="Cambria"/>
                <w:color w:val="000000" w:themeColor="text1"/>
                <w:szCs w:val="20"/>
                <w:lang w:eastAsia="fr-FR"/>
              </w:rPr>
            </w:pPr>
            <w:r w:rsidRPr="00E05E29">
              <w:rPr>
                <w:i/>
              </w:rPr>
              <w:t>M</w:t>
            </w:r>
            <w:r w:rsidRPr="00E05E29">
              <w:rPr>
                <w:vertAlign w:val="subscript"/>
              </w:rPr>
              <w:t>oop,Rd</w:t>
            </w:r>
          </w:p>
        </w:tc>
        <w:tc>
          <w:tcPr>
            <w:tcW w:w="7938" w:type="dxa"/>
          </w:tcPr>
          <w:p w14:paraId="73505FD3" w14:textId="4601E256" w:rsidR="00112B9F" w:rsidRPr="00DF3AF1" w:rsidRDefault="00112B9F" w:rsidP="002061E5">
            <w:pPr>
              <w:pStyle w:val="Listofsymbols"/>
              <w:tabs>
                <w:tab w:val="clear" w:pos="1134"/>
                <w:tab w:val="left" w:pos="1347"/>
              </w:tabs>
              <w:ind w:left="0" w:firstLine="0"/>
              <w:rPr>
                <w:rFonts w:eastAsia="Times New Roman"/>
              </w:rPr>
            </w:pPr>
            <w:r w:rsidRPr="00E05E29">
              <w:t>is the design bending resistance against out of plane action effect.</w:t>
            </w:r>
          </w:p>
        </w:tc>
      </w:tr>
    </w:tbl>
    <w:p w14:paraId="3922AC94" w14:textId="0C8F70D7" w:rsidR="00112B9F" w:rsidRPr="00C43780" w:rsidRDefault="00112B9F" w:rsidP="00724E4E">
      <w:pPr>
        <w:pStyle w:val="Clause"/>
      </w:pPr>
      <w:r w:rsidRPr="00C43780">
        <w:t xml:space="preserve">The design resistance, </w:t>
      </w:r>
      <w:r w:rsidRPr="00C43780">
        <w:rPr>
          <w:i/>
        </w:rPr>
        <w:t>M</w:t>
      </w:r>
      <w:r w:rsidRPr="00C43780">
        <w:rPr>
          <w:vertAlign w:val="subscript"/>
        </w:rPr>
        <w:t>oop,Rd</w:t>
      </w:r>
      <w:r w:rsidRPr="00C43780">
        <w:t>, may be calculated according to EN</w:t>
      </w:r>
      <w:r w:rsidR="0063506B">
        <w:t> </w:t>
      </w:r>
      <w:r w:rsidRPr="00C43780">
        <w:t>1996-1-1:202</w:t>
      </w:r>
      <w:r w:rsidR="0063506B">
        <w:t>2</w:t>
      </w:r>
      <w:r w:rsidRPr="00C43780">
        <w:t xml:space="preserve">, </w:t>
      </w:r>
      <w:r w:rsidRPr="00835C82">
        <w:t>8.5.4</w:t>
      </w:r>
      <w:r w:rsidRPr="00C43780">
        <w:t xml:space="preserve">, assuming a rectangular stress distribution on the cross section of the wall and taking into consideration the factor </w:t>
      </w:r>
      <w:r w:rsidRPr="00C43780">
        <w:rPr>
          <w:i/>
        </w:rPr>
        <w:t>γ</w:t>
      </w:r>
      <w:r w:rsidRPr="00C43780">
        <w:rPr>
          <w:vertAlign w:val="subscript"/>
        </w:rPr>
        <w:t>M</w:t>
      </w:r>
      <w:r w:rsidRPr="00C43780">
        <w:t xml:space="preserve"> in </w:t>
      </w:r>
      <w:r w:rsidRPr="00835C82">
        <w:t>14.3(5)</w:t>
      </w:r>
      <w:r w:rsidRPr="00C43780">
        <w:t>.</w:t>
      </w:r>
    </w:p>
    <w:p w14:paraId="02437154" w14:textId="7B9C0DE8" w:rsidR="00112B9F" w:rsidRPr="003E2FDF" w:rsidRDefault="00112B9F" w:rsidP="002F46E7">
      <w:pPr>
        <w:pStyle w:val="Notetext"/>
      </w:pPr>
      <w:r w:rsidRPr="00C43780">
        <w:t>NOTE</w:t>
      </w:r>
      <w:r w:rsidRPr="00C43780">
        <w:tab/>
        <w:t>Second</w:t>
      </w:r>
      <w:r w:rsidR="003E2FDF">
        <w:t>-</w:t>
      </w:r>
      <w:r w:rsidRPr="00C43780">
        <w:t xml:space="preserve">order effects are accounted for </w:t>
      </w:r>
      <w:r w:rsidRPr="003E2FDF">
        <w:t>on the resistance side by referring to the provisions given in EN</w:t>
      </w:r>
      <w:r w:rsidR="0063506B" w:rsidRPr="003E2FDF">
        <w:t> </w:t>
      </w:r>
      <w:r w:rsidRPr="003E2FDF">
        <w:t>1996-1-1:202</w:t>
      </w:r>
      <w:r w:rsidR="0063506B" w:rsidRPr="003E2FDF">
        <w:t>2</w:t>
      </w:r>
      <w:r w:rsidRPr="003E2FDF">
        <w:t>, Annex F, for unreinforced masonry, EN</w:t>
      </w:r>
      <w:r w:rsidR="0063506B" w:rsidRPr="003E2FDF">
        <w:t> </w:t>
      </w:r>
      <w:r w:rsidRPr="003E2FDF">
        <w:t>1996-1-1:202</w:t>
      </w:r>
      <w:r w:rsidR="0063506B" w:rsidRPr="003E2FDF">
        <w:t>2</w:t>
      </w:r>
      <w:r w:rsidRPr="003E2FDF">
        <w:t>, 8.7.4, for reinforced masonry and EN</w:t>
      </w:r>
      <w:r w:rsidR="0063506B" w:rsidRPr="003E2FDF">
        <w:t> </w:t>
      </w:r>
      <w:r w:rsidRPr="003E2FDF">
        <w:t>1996-1-1:202</w:t>
      </w:r>
      <w:r w:rsidR="0063506B" w:rsidRPr="003E2FDF">
        <w:t>2</w:t>
      </w:r>
      <w:r w:rsidRPr="003E2FDF">
        <w:t>, 8.10.4, for confined masonry.</w:t>
      </w:r>
    </w:p>
    <w:p w14:paraId="705F4289" w14:textId="470960E6" w:rsidR="00112B9F" w:rsidRPr="00C43780" w:rsidRDefault="00112B9F" w:rsidP="00724E4E">
      <w:pPr>
        <w:pStyle w:val="Clause"/>
      </w:pPr>
      <w:r w:rsidRPr="00C43780">
        <w:rPr>
          <w:i/>
        </w:rPr>
        <w:t>M</w:t>
      </w:r>
      <w:r w:rsidRPr="00C43780">
        <w:rPr>
          <w:vertAlign w:val="subscript"/>
        </w:rPr>
        <w:t>oop,Rd</w:t>
      </w:r>
      <w:r w:rsidRPr="00C43780">
        <w:t xml:space="preserve"> may be calculated assuming an axial load on the wall </w:t>
      </w:r>
      <w:r w:rsidRPr="00C43780">
        <w:rPr>
          <w:i/>
        </w:rPr>
        <w:t>N</w:t>
      </w:r>
      <w:r w:rsidRPr="00C43780">
        <w:rPr>
          <w:vertAlign w:val="subscript"/>
        </w:rPr>
        <w:t>Ed,G</w:t>
      </w:r>
      <w:r w:rsidRPr="00C43780">
        <w:t xml:space="preserve"> of the non-seismic actions in the seismic design situation.</w:t>
      </w:r>
    </w:p>
    <w:p w14:paraId="11886342" w14:textId="4DD72B79" w:rsidR="00112B9F" w:rsidRPr="00C43780" w:rsidRDefault="00112B9F" w:rsidP="00724E4E">
      <w:pPr>
        <w:pStyle w:val="Clause"/>
      </w:pPr>
      <w:bookmarkStart w:id="10754" w:name="_Hlk95482379"/>
      <w:r w:rsidRPr="00C43780">
        <w:t xml:space="preserve">The action effect </w:t>
      </w:r>
      <w:r w:rsidRPr="00C43780">
        <w:rPr>
          <w:i/>
        </w:rPr>
        <w:t>M</w:t>
      </w:r>
      <w:r w:rsidRPr="00C43780">
        <w:rPr>
          <w:vertAlign w:val="subscript"/>
        </w:rPr>
        <w:t>oop,d</w:t>
      </w:r>
      <w:r w:rsidRPr="00C43780">
        <w:t xml:space="preserve"> at the SD limit state may be calculated according to </w:t>
      </w:r>
      <w:r w:rsidRPr="00835C82">
        <w:t>14.5.4</w:t>
      </w:r>
      <w:r w:rsidRPr="00C43780">
        <w:t>.</w:t>
      </w:r>
    </w:p>
    <w:bookmarkEnd w:id="10754"/>
    <w:p w14:paraId="38548B28" w14:textId="719D8618" w:rsidR="00112B9F" w:rsidRPr="003E2FDF" w:rsidRDefault="00112B9F" w:rsidP="002F46E7">
      <w:pPr>
        <w:pStyle w:val="Notetext"/>
      </w:pPr>
      <w:r w:rsidRPr="00C43780">
        <w:t>NOTE</w:t>
      </w:r>
      <w:r w:rsidRPr="00C43780">
        <w:tab/>
        <w:t xml:space="preserve">As alternative </w:t>
      </w:r>
      <w:r w:rsidRPr="003E2FDF">
        <w:t>method to check the out-of-plane stability at the SD limit state is the displacement-based approach in prEN</w:t>
      </w:r>
      <w:r w:rsidR="0063506B" w:rsidRPr="003E2FDF">
        <w:t> </w:t>
      </w:r>
      <w:r w:rsidRPr="003E2FDF">
        <w:t>1998-3:202</w:t>
      </w:r>
      <w:r w:rsidR="00116385">
        <w:t>3</w:t>
      </w:r>
      <w:r w:rsidRPr="003E2FDF">
        <w:t>, 11.3.3.</w:t>
      </w:r>
    </w:p>
    <w:p w14:paraId="1E6B4F81" w14:textId="61FFDC18" w:rsidR="00112B9F" w:rsidRPr="00015E4B" w:rsidRDefault="00112B9F" w:rsidP="00724E4E">
      <w:pPr>
        <w:pStyle w:val="Clause"/>
      </w:pPr>
      <w:r>
        <w:t>A</w:t>
      </w:r>
      <w:r w:rsidRPr="00015E4B">
        <w:t xml:space="preserve">ncillary walls and partitions should satisfy </w:t>
      </w:r>
      <w:r w:rsidRPr="00835C82">
        <w:t>7.6</w:t>
      </w:r>
      <w:r w:rsidRPr="00015E4B">
        <w:t xml:space="preserve">. </w:t>
      </w:r>
    </w:p>
    <w:p w14:paraId="15D5D6C4" w14:textId="50C84D56" w:rsidR="00112B9F" w:rsidRPr="00C43780" w:rsidRDefault="00112B9F" w:rsidP="00724E4E">
      <w:pPr>
        <w:pStyle w:val="Clause"/>
      </w:pPr>
      <w:r w:rsidRPr="00015E4B">
        <w:t xml:space="preserve">The design lateral (out-of-plane) resistance of ancillary walls and partitions may be calculated as given in </w:t>
      </w:r>
      <w:r w:rsidRPr="00C43780">
        <w:t>EN</w:t>
      </w:r>
      <w:r w:rsidR="0063506B">
        <w:t> </w:t>
      </w:r>
      <w:r w:rsidRPr="00C43780">
        <w:t>1996-1-1:202</w:t>
      </w:r>
      <w:r w:rsidR="0063506B">
        <w:t>2</w:t>
      </w:r>
      <w:r w:rsidRPr="00C43780">
        <w:t xml:space="preserve">, </w:t>
      </w:r>
      <w:r w:rsidRPr="00835C82">
        <w:t xml:space="preserve">8.4.2 </w:t>
      </w:r>
      <w:r w:rsidRPr="00C43780">
        <w:t xml:space="preserve">and </w:t>
      </w:r>
      <w:r w:rsidRPr="00835C82">
        <w:t>8.4.3.</w:t>
      </w:r>
    </w:p>
    <w:p w14:paraId="479CDAF2" w14:textId="29077B27" w:rsidR="00112B9F" w:rsidRPr="00015E4B" w:rsidRDefault="00112B9F" w:rsidP="00724E4E">
      <w:pPr>
        <w:pStyle w:val="Clause"/>
      </w:pPr>
      <w:r w:rsidRPr="00015E4B">
        <w:t xml:space="preserve">The resistance of wall ties of non-loadbearing leaves of cavity walls and of veneer walls should be greater than the seismic action effects calculated as given in </w:t>
      </w:r>
      <w:r w:rsidRPr="00835C82">
        <w:t xml:space="preserve">7.2.1(3) </w:t>
      </w:r>
      <w:r w:rsidRPr="00015E4B">
        <w:t xml:space="preserve">in which the performance factor should be taken as given in </w:t>
      </w:r>
      <w:r w:rsidRPr="00835C82">
        <w:t>7.2.2(2)</w:t>
      </w:r>
      <w:r w:rsidRPr="00015E4B">
        <w:t xml:space="preserve"> and the behaviour factor should be taken equal to </w:t>
      </w:r>
      <w:r w:rsidRPr="00015E4B">
        <w:rPr>
          <w:i/>
          <w:iCs/>
        </w:rPr>
        <w:t>q</w:t>
      </w:r>
      <w:r w:rsidRPr="00015E4B">
        <w:rPr>
          <w:vertAlign w:val="subscript"/>
        </w:rPr>
        <w:t>oop</w:t>
      </w:r>
      <w:r w:rsidRPr="00015E4B">
        <w:t xml:space="preserve"> as given in </w:t>
      </w:r>
      <w:r w:rsidRPr="00835C82">
        <w:t>14.4.2,</w:t>
      </w:r>
      <w:r w:rsidRPr="00015E4B">
        <w:t xml:space="preserve"> in the case of cavity walls, and as given in Annex C, </w:t>
      </w:r>
      <w:r w:rsidRPr="00835C82">
        <w:t>C4</w:t>
      </w:r>
      <w:r w:rsidRPr="00015E4B">
        <w:t>, for veneers.</w:t>
      </w:r>
    </w:p>
    <w:p w14:paraId="6788432A" w14:textId="0CEDB6E3" w:rsidR="00112B9F" w:rsidRPr="00015E4B" w:rsidRDefault="00112B9F" w:rsidP="00112B9F">
      <w:pPr>
        <w:pStyle w:val="Heading2"/>
      </w:pPr>
      <w:bookmarkStart w:id="10755" w:name="_Toc50150634"/>
      <w:bookmarkStart w:id="10756" w:name="_Toc70887067"/>
      <w:bookmarkStart w:id="10757" w:name="_Toc108342650"/>
      <w:bookmarkStart w:id="10758" w:name="_Toc134198160"/>
      <w:r w:rsidRPr="00015E4B">
        <w:t>Design rules for members</w:t>
      </w:r>
      <w:bookmarkEnd w:id="10755"/>
      <w:bookmarkEnd w:id="10756"/>
      <w:bookmarkEnd w:id="10757"/>
      <w:bookmarkEnd w:id="10758"/>
      <w:r w:rsidRPr="00015E4B">
        <w:t xml:space="preserve"> </w:t>
      </w:r>
    </w:p>
    <w:p w14:paraId="71858682" w14:textId="77777777" w:rsidR="00112B9F" w:rsidRPr="00015E4B" w:rsidRDefault="00112B9F" w:rsidP="00112B9F">
      <w:pPr>
        <w:pStyle w:val="Heading3"/>
      </w:pPr>
      <w:bookmarkStart w:id="10759" w:name="_Toc50150635"/>
      <w:bookmarkStart w:id="10760" w:name="_Toc70887068"/>
      <w:bookmarkStart w:id="10761" w:name="_Toc108342651"/>
      <w:bookmarkStart w:id="10762" w:name="_Toc134198161"/>
      <w:r w:rsidRPr="00015E4B">
        <w:t>Limitations of piers and walls dimensions in DC1 and DC2</w:t>
      </w:r>
      <w:bookmarkEnd w:id="10759"/>
      <w:bookmarkEnd w:id="10760"/>
      <w:bookmarkEnd w:id="10761"/>
      <w:bookmarkEnd w:id="10762"/>
    </w:p>
    <w:p w14:paraId="2A862AC7" w14:textId="77777777" w:rsidR="00112B9F" w:rsidRPr="00132C1E" w:rsidRDefault="00112B9F" w:rsidP="0080187E">
      <w:pPr>
        <w:pStyle w:val="Clause"/>
        <w:numPr>
          <w:ilvl w:val="0"/>
          <w:numId w:val="510"/>
        </w:numPr>
      </w:pPr>
      <w:bookmarkStart w:id="10763" w:name="_Hlk35854247"/>
      <w:bookmarkStart w:id="10764" w:name="_Hlk36547796"/>
      <w:r w:rsidRPr="00015E4B">
        <w:t xml:space="preserve">For piers in primary walls, the </w:t>
      </w:r>
      <w:r w:rsidRPr="00132C1E">
        <w:t xml:space="preserve">ratio of their length </w:t>
      </w:r>
      <w:r w:rsidRPr="0077136A">
        <w:rPr>
          <w:i/>
        </w:rPr>
        <w:t>l</w:t>
      </w:r>
      <w:r w:rsidRPr="0077136A">
        <w:rPr>
          <w:vertAlign w:val="subscript"/>
        </w:rPr>
        <w:t>mp</w:t>
      </w:r>
      <w:r w:rsidRPr="00132C1E">
        <w:t xml:space="preserve"> to the greater clear height </w:t>
      </w:r>
      <w:r w:rsidRPr="0077136A">
        <w:rPr>
          <w:i/>
        </w:rPr>
        <w:t>h</w:t>
      </w:r>
      <w:r w:rsidRPr="0077136A">
        <w:rPr>
          <w:vertAlign w:val="subscript"/>
        </w:rPr>
        <w:t>op</w:t>
      </w:r>
      <w:r w:rsidRPr="00132C1E">
        <w:t xml:space="preserve"> of the adjacent openings should not be smaller than (</w:t>
      </w:r>
      <w:r w:rsidRPr="0077136A">
        <w:rPr>
          <w:i/>
        </w:rPr>
        <w:t>l</w:t>
      </w:r>
      <w:r w:rsidRPr="0077136A">
        <w:rPr>
          <w:vertAlign w:val="subscript"/>
        </w:rPr>
        <w:t>mp</w:t>
      </w:r>
      <w:r w:rsidRPr="00132C1E">
        <w:t>/</w:t>
      </w:r>
      <w:r w:rsidRPr="0077136A">
        <w:rPr>
          <w:i/>
        </w:rPr>
        <w:t>h</w:t>
      </w:r>
      <w:r w:rsidRPr="0077136A">
        <w:rPr>
          <w:vertAlign w:val="subscript"/>
        </w:rPr>
        <w:t>op</w:t>
      </w:r>
      <w:r w:rsidRPr="00132C1E">
        <w:t>)</w:t>
      </w:r>
      <w:r w:rsidRPr="0077136A">
        <w:rPr>
          <w:vertAlign w:val="subscript"/>
        </w:rPr>
        <w:t>min</w:t>
      </w:r>
      <w:r w:rsidRPr="00132C1E">
        <w:t xml:space="preserve"> given in Table 14.2.</w:t>
      </w:r>
    </w:p>
    <w:p w14:paraId="7823F060" w14:textId="77777777" w:rsidR="00112B9F" w:rsidRPr="00132C1E" w:rsidRDefault="00112B9F" w:rsidP="002F46E7">
      <w:pPr>
        <w:pStyle w:val="Notetext"/>
      </w:pPr>
      <w:r w:rsidRPr="00132C1E">
        <w:t>NOTE</w:t>
      </w:r>
      <w:r w:rsidRPr="00132C1E">
        <w:tab/>
        <w:t>The values of (</w:t>
      </w:r>
      <w:r w:rsidRPr="00132C1E">
        <w:rPr>
          <w:i/>
          <w:iCs/>
        </w:rPr>
        <w:t>l</w:t>
      </w:r>
      <w:r w:rsidRPr="00132C1E">
        <w:rPr>
          <w:vertAlign w:val="subscript"/>
        </w:rPr>
        <w:t>mp</w:t>
      </w:r>
      <w:r w:rsidRPr="00132C1E">
        <w:t>/</w:t>
      </w:r>
      <w:r w:rsidRPr="00132C1E">
        <w:rPr>
          <w:i/>
          <w:iCs/>
        </w:rPr>
        <w:t>h</w:t>
      </w:r>
      <w:r w:rsidRPr="00132C1E">
        <w:rPr>
          <w:vertAlign w:val="subscript"/>
        </w:rPr>
        <w:t>op</w:t>
      </w:r>
      <w:r w:rsidRPr="00132C1E">
        <w:t>)</w:t>
      </w:r>
      <w:r w:rsidRPr="00132C1E">
        <w:rPr>
          <w:vertAlign w:val="subscript"/>
        </w:rPr>
        <w:t>min</w:t>
      </w:r>
      <w:r w:rsidRPr="00132C1E">
        <w:t xml:space="preserve"> in Table 14.2 are absolute limits.</w:t>
      </w:r>
    </w:p>
    <w:p w14:paraId="15C99C26" w14:textId="2479EC75" w:rsidR="00112B9F" w:rsidRPr="00A1437F" w:rsidRDefault="00112B9F" w:rsidP="00724E4E">
      <w:pPr>
        <w:pStyle w:val="Clause"/>
      </w:pPr>
      <w:r w:rsidRPr="00A1437F">
        <w:t xml:space="preserve">The out-of-plane failures of </w:t>
      </w:r>
      <w:r w:rsidRPr="00015E4B">
        <w:t xml:space="preserve">primary and secondary </w:t>
      </w:r>
      <w:r w:rsidRPr="00A1437F">
        <w:t>walls</w:t>
      </w:r>
      <w:r w:rsidRPr="00E10A17">
        <w:rPr>
          <w:color w:val="FF0000"/>
        </w:rPr>
        <w:t xml:space="preserve"> </w:t>
      </w:r>
      <w:r w:rsidRPr="00A1437F">
        <w:t>should be prevented.</w:t>
      </w:r>
    </w:p>
    <w:p w14:paraId="72780849" w14:textId="48BD8DA9" w:rsidR="00112B9F" w:rsidRPr="003E2FDF" w:rsidRDefault="00112B9F" w:rsidP="002F46E7">
      <w:pPr>
        <w:pStyle w:val="Notetext"/>
      </w:pPr>
      <w:r w:rsidRPr="00A1437F">
        <w:t>NOTE</w:t>
      </w:r>
      <w:r w:rsidRPr="00A1437F">
        <w:tab/>
        <w:t xml:space="preserve">The conditions for a member to be secondary are </w:t>
      </w:r>
      <w:r w:rsidRPr="003E2FDF">
        <w:t>given in 4.4.2</w:t>
      </w:r>
      <w:r w:rsidRPr="003E2FDF">
        <w:rPr>
          <w:rFonts w:ascii="Arial" w:eastAsia="Times New Roman" w:hAnsi="Arial" w:cs="Arial"/>
          <w:color w:val="000000"/>
          <w:sz w:val="22"/>
          <w:szCs w:val="18"/>
        </w:rPr>
        <w:t xml:space="preserve"> </w:t>
      </w:r>
      <w:r w:rsidRPr="003E2FDF">
        <w:t>and 14.5.1.4.</w:t>
      </w:r>
    </w:p>
    <w:p w14:paraId="01E2D85A" w14:textId="77777777" w:rsidR="00112B9F" w:rsidRPr="003E2FDF" w:rsidRDefault="00112B9F" w:rsidP="00724E4E">
      <w:pPr>
        <w:pStyle w:val="Clause"/>
      </w:pPr>
      <w:r w:rsidRPr="003E2FDF">
        <w:lastRenderedPageBreak/>
        <w:t xml:space="preserve">(2) may be considered satisfied if the ratio </w:t>
      </w:r>
      <w:r w:rsidRPr="003E2FDF">
        <w:rPr>
          <w:i/>
        </w:rPr>
        <w:t>h</w:t>
      </w:r>
      <w:r w:rsidRPr="003E2FDF">
        <w:rPr>
          <w:vertAlign w:val="subscript"/>
        </w:rPr>
        <w:t>ef</w:t>
      </w:r>
      <w:r w:rsidRPr="003E2FDF">
        <w:t>/</w:t>
      </w:r>
      <w:r w:rsidRPr="003E2FDF">
        <w:rPr>
          <w:i/>
        </w:rPr>
        <w:t>t</w:t>
      </w:r>
      <w:r w:rsidRPr="003E2FDF">
        <w:rPr>
          <w:vertAlign w:val="subscript"/>
        </w:rPr>
        <w:t>ef</w:t>
      </w:r>
      <w:r w:rsidRPr="003E2FDF">
        <w:t xml:space="preserve"> of the effective wall height to its effective thickness does not exceed (</w:t>
      </w:r>
      <w:r w:rsidRPr="003E2FDF">
        <w:rPr>
          <w:i/>
        </w:rPr>
        <w:t>h</w:t>
      </w:r>
      <w:r w:rsidRPr="003E2FDF">
        <w:rPr>
          <w:vertAlign w:val="subscript"/>
        </w:rPr>
        <w:t>ef</w:t>
      </w:r>
      <w:r w:rsidRPr="003E2FDF">
        <w:t>/</w:t>
      </w:r>
      <w:r w:rsidRPr="003E2FDF">
        <w:rPr>
          <w:i/>
        </w:rPr>
        <w:t>t</w:t>
      </w:r>
      <w:r w:rsidRPr="003E2FDF">
        <w:rPr>
          <w:vertAlign w:val="subscript"/>
        </w:rPr>
        <w:t>ef</w:t>
      </w:r>
      <w:r w:rsidRPr="003E2FDF">
        <w:t>)</w:t>
      </w:r>
      <w:r w:rsidRPr="003E2FDF">
        <w:rPr>
          <w:vertAlign w:val="subscript"/>
        </w:rPr>
        <w:t>max</w:t>
      </w:r>
      <w:r w:rsidRPr="003E2FDF">
        <w:t xml:space="preserve"> given in Table 14.2. for the relevant values of </w:t>
      </w:r>
      <w:r w:rsidRPr="003E2FDF">
        <w:rPr>
          <w:i/>
        </w:rPr>
        <w:t>S</w:t>
      </w:r>
      <w:r w:rsidRPr="003E2FDF">
        <w:rPr>
          <w:vertAlign w:val="subscript"/>
        </w:rPr>
        <w:t>δ</w:t>
      </w:r>
      <w:r w:rsidRPr="003E2FDF">
        <w:t>.</w:t>
      </w:r>
    </w:p>
    <w:p w14:paraId="7692A3AC" w14:textId="3FC62E3D" w:rsidR="00112B9F" w:rsidRPr="003E2FDF" w:rsidRDefault="00112B9F" w:rsidP="002F46E7">
      <w:pPr>
        <w:pStyle w:val="Notetext"/>
      </w:pPr>
      <w:r w:rsidRPr="003E2FDF">
        <w:t>NOTE</w:t>
      </w:r>
      <w:r w:rsidRPr="003E2FDF">
        <w:tab/>
        <w:t xml:space="preserve">The effective height </w:t>
      </w:r>
      <w:r w:rsidRPr="003E2FDF">
        <w:rPr>
          <w:i/>
        </w:rPr>
        <w:t>h</w:t>
      </w:r>
      <w:r w:rsidRPr="003E2FDF">
        <w:rPr>
          <w:vertAlign w:val="subscript"/>
        </w:rPr>
        <w:t>ef</w:t>
      </w:r>
      <w:r w:rsidRPr="003E2FDF">
        <w:t xml:space="preserve"> and the effective thickness </w:t>
      </w:r>
      <w:r w:rsidRPr="003E2FDF">
        <w:rPr>
          <w:i/>
        </w:rPr>
        <w:t>t</w:t>
      </w:r>
      <w:r w:rsidRPr="003E2FDF">
        <w:rPr>
          <w:vertAlign w:val="subscript"/>
        </w:rPr>
        <w:t>ef</w:t>
      </w:r>
      <w:r w:rsidRPr="003E2FDF">
        <w:t xml:space="preserve"> are defined in EN</w:t>
      </w:r>
      <w:r w:rsidR="0063506B" w:rsidRPr="003E2FDF">
        <w:t> </w:t>
      </w:r>
      <w:r w:rsidRPr="003E2FDF">
        <w:t>1996-1-1:202</w:t>
      </w:r>
      <w:r w:rsidR="0063506B" w:rsidRPr="003E2FDF">
        <w:t>2</w:t>
      </w:r>
      <w:r w:rsidRPr="003E2FDF">
        <w:t>, 7.5.1.3 and 7.5.1.4.</w:t>
      </w:r>
    </w:p>
    <w:p w14:paraId="729DF96A" w14:textId="77777777" w:rsidR="00112B9F" w:rsidRPr="00723ABF" w:rsidRDefault="00112B9F" w:rsidP="00724E4E">
      <w:pPr>
        <w:pStyle w:val="Clause"/>
      </w:pPr>
      <w:r w:rsidRPr="003E2FDF">
        <w:t xml:space="preserve">If the limitations of </w:t>
      </w:r>
      <w:r w:rsidRPr="003E2FDF">
        <w:rPr>
          <w:i/>
        </w:rPr>
        <w:t>S</w:t>
      </w:r>
      <w:r w:rsidRPr="003E2FDF">
        <w:rPr>
          <w:vertAlign w:val="subscript"/>
        </w:rPr>
        <w:t>δ</w:t>
      </w:r>
      <w:r w:rsidRPr="003E2FDF">
        <w:t xml:space="preserve"> and </w:t>
      </w:r>
      <w:r w:rsidRPr="003E2FDF">
        <w:rPr>
          <w:i/>
        </w:rPr>
        <w:t>h</w:t>
      </w:r>
      <w:r w:rsidRPr="003E2FDF">
        <w:rPr>
          <w:vertAlign w:val="subscript"/>
        </w:rPr>
        <w:t>ef</w:t>
      </w:r>
      <w:r w:rsidRPr="003E2FDF">
        <w:t>/</w:t>
      </w:r>
      <w:r w:rsidRPr="003E2FDF">
        <w:rPr>
          <w:i/>
        </w:rPr>
        <w:t>t</w:t>
      </w:r>
      <w:r w:rsidRPr="003E2FDF">
        <w:rPr>
          <w:vertAlign w:val="subscript"/>
        </w:rPr>
        <w:t>ef</w:t>
      </w:r>
      <w:r w:rsidRPr="003E2FDF">
        <w:t xml:space="preserve"> in (3) are not sat</w:t>
      </w:r>
      <w:r w:rsidRPr="00132C1E">
        <w:t>isfied, the out-of-plane capacity</w:t>
      </w:r>
      <w:r w:rsidRPr="00723ABF">
        <w:t xml:space="preserve"> of primary and secondary walls should satisfy </w:t>
      </w:r>
      <w:r w:rsidRPr="00835C82">
        <w:t>14.6.3</w:t>
      </w:r>
      <w:r w:rsidRPr="00723ABF">
        <w:t>.</w:t>
      </w:r>
    </w:p>
    <w:p w14:paraId="3176590F" w14:textId="0B25899F" w:rsidR="00112B9F" w:rsidRPr="00723ABF" w:rsidRDefault="00112B9F" w:rsidP="00724E4E">
      <w:pPr>
        <w:pStyle w:val="Clause"/>
      </w:pPr>
      <w:r w:rsidRPr="00BF2399">
        <w:t xml:space="preserve">The resistance of wall ties of non-loadbearing leaves of cavity walls and of veneer walls should be greater than the seismic action effects calculated as given in </w:t>
      </w:r>
      <w:r w:rsidRPr="00835C82">
        <w:t xml:space="preserve">7.2.1(3) </w:t>
      </w:r>
      <w:r w:rsidRPr="00BF2399">
        <w:t xml:space="preserve">in which the performance factor should be taken as given in </w:t>
      </w:r>
      <w:r w:rsidRPr="00835C82">
        <w:t>7.2.2(2)</w:t>
      </w:r>
      <w:r w:rsidRPr="00BF2399">
        <w:t xml:space="preserve"> and the behaviour factor should be taken equal to </w:t>
      </w:r>
      <w:r w:rsidRPr="00BF2399">
        <w:rPr>
          <w:i/>
          <w:iCs/>
        </w:rPr>
        <w:t>q</w:t>
      </w:r>
      <w:r w:rsidRPr="00BF2399">
        <w:rPr>
          <w:vertAlign w:val="subscript"/>
        </w:rPr>
        <w:t>oop</w:t>
      </w:r>
      <w:r w:rsidRPr="00BF2399">
        <w:t xml:space="preserve"> as given in </w:t>
      </w:r>
      <w:r w:rsidRPr="00835C82">
        <w:t>14.4.2</w:t>
      </w:r>
      <w:r w:rsidRPr="00BF2399">
        <w:t xml:space="preserve"> in the case of cavity walls and as given in Annex C, C4, for veneers.</w:t>
      </w:r>
    </w:p>
    <w:p w14:paraId="2443708A" w14:textId="77777777" w:rsidR="00112B9F" w:rsidRPr="00723ABF" w:rsidRDefault="00112B9F" w:rsidP="002F46E7">
      <w:pPr>
        <w:pStyle w:val="FiguretitleANNEXZ"/>
        <w:keepNext/>
      </w:pPr>
      <w:bookmarkStart w:id="10765" w:name="_Hlk38202539"/>
      <w:bookmarkEnd w:id="10763"/>
      <w:bookmarkEnd w:id="10764"/>
      <w:r w:rsidRPr="00723ABF">
        <w:t>Table 14.2 — Geometric reference limit values for walls and piers</w:t>
      </w:r>
      <w:r w:rsidRPr="00723ABF">
        <w:rPr>
          <w:b w:val="0"/>
        </w:rPr>
        <w:t>*</w:t>
      </w:r>
    </w:p>
    <w:tbl>
      <w:tblPr>
        <w:tblW w:w="78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732"/>
        <w:gridCol w:w="1386"/>
        <w:gridCol w:w="1276"/>
        <w:gridCol w:w="1491"/>
      </w:tblGrid>
      <w:tr w:rsidR="00112B9F" w:rsidRPr="00132C1E" w14:paraId="02E6B001" w14:textId="77777777" w:rsidTr="002F46E7">
        <w:trPr>
          <w:jc w:val="center"/>
        </w:trPr>
        <w:tc>
          <w:tcPr>
            <w:tcW w:w="1980" w:type="dxa"/>
            <w:vAlign w:val="center"/>
          </w:tcPr>
          <w:p w14:paraId="4A411AAD" w14:textId="77777777" w:rsidR="00112B9F" w:rsidRPr="003E2FDF" w:rsidRDefault="00112B9F" w:rsidP="003E2FDF">
            <w:pPr>
              <w:pStyle w:val="Tablebody"/>
              <w:rPr>
                <w:b/>
                <w:bCs/>
              </w:rPr>
            </w:pPr>
            <w:r w:rsidRPr="003E2FDF">
              <w:rPr>
                <w:b/>
                <w:bCs/>
              </w:rPr>
              <w:t>Masonry type</w:t>
            </w:r>
          </w:p>
        </w:tc>
        <w:tc>
          <w:tcPr>
            <w:tcW w:w="1732" w:type="dxa"/>
            <w:vAlign w:val="center"/>
          </w:tcPr>
          <w:p w14:paraId="3EA92FB2" w14:textId="77777777" w:rsidR="00112B9F" w:rsidRPr="003E2FDF" w:rsidRDefault="00112B9F" w:rsidP="003E2FDF">
            <w:pPr>
              <w:pStyle w:val="Tablebody"/>
              <w:jc w:val="center"/>
              <w:rPr>
                <w:b/>
                <w:bCs/>
                <w:i/>
              </w:rPr>
            </w:pPr>
            <w:r w:rsidRPr="003E2FDF">
              <w:rPr>
                <w:b/>
                <w:bCs/>
                <w:i/>
                <w:iCs/>
              </w:rPr>
              <w:t>S</w:t>
            </w:r>
            <w:r w:rsidRPr="003E2FDF">
              <w:rPr>
                <w:rFonts w:ascii="Symbol" w:hAnsi="Symbol"/>
                <w:b/>
                <w:bCs/>
                <w:vertAlign w:val="subscript"/>
              </w:rPr>
              <w:t></w:t>
            </w:r>
            <w:r w:rsidRPr="003E2FDF">
              <w:rPr>
                <w:b/>
                <w:bCs/>
              </w:rPr>
              <w:t xml:space="preserve"> (m/s</w:t>
            </w:r>
            <w:r w:rsidRPr="003E2FDF">
              <w:rPr>
                <w:b/>
                <w:bCs/>
                <w:vertAlign w:val="superscript"/>
              </w:rPr>
              <w:t>2</w:t>
            </w:r>
            <w:r w:rsidRPr="003E2FDF">
              <w:rPr>
                <w:b/>
                <w:bCs/>
              </w:rPr>
              <w:t>)</w:t>
            </w:r>
          </w:p>
        </w:tc>
        <w:tc>
          <w:tcPr>
            <w:tcW w:w="1386" w:type="dxa"/>
            <w:vAlign w:val="center"/>
          </w:tcPr>
          <w:p w14:paraId="7B979920" w14:textId="77777777" w:rsidR="00112B9F" w:rsidRPr="003E2FDF" w:rsidRDefault="00112B9F" w:rsidP="003E2FDF">
            <w:pPr>
              <w:pStyle w:val="Tablebody"/>
              <w:jc w:val="center"/>
              <w:rPr>
                <w:b/>
                <w:bCs/>
              </w:rPr>
            </w:pPr>
            <w:r w:rsidRPr="003E2FDF">
              <w:rPr>
                <w:b/>
                <w:bCs/>
              </w:rPr>
              <w:t>Wall</w:t>
            </w:r>
          </w:p>
          <w:p w14:paraId="01DA5C30" w14:textId="77777777" w:rsidR="00112B9F" w:rsidRPr="003E2FDF" w:rsidRDefault="00112B9F" w:rsidP="003E2FDF">
            <w:pPr>
              <w:pStyle w:val="Tablebody"/>
              <w:jc w:val="center"/>
              <w:rPr>
                <w:b/>
                <w:bCs/>
              </w:rPr>
            </w:pPr>
            <w:r w:rsidRPr="003E2FDF">
              <w:rPr>
                <w:b/>
                <w:bCs/>
              </w:rPr>
              <w:t>(</w:t>
            </w:r>
            <w:r w:rsidRPr="003E2FDF">
              <w:rPr>
                <w:b/>
                <w:bCs/>
                <w:i/>
              </w:rPr>
              <w:t>h</w:t>
            </w:r>
            <w:r w:rsidRPr="003E2FDF">
              <w:rPr>
                <w:b/>
                <w:bCs/>
                <w:vertAlign w:val="subscript"/>
              </w:rPr>
              <w:t>ef</w:t>
            </w:r>
            <w:r w:rsidRPr="003E2FDF">
              <w:rPr>
                <w:b/>
                <w:bCs/>
                <w:i/>
                <w:vertAlign w:val="subscript"/>
              </w:rPr>
              <w:t xml:space="preserve"> </w:t>
            </w:r>
            <w:r w:rsidRPr="003E2FDF">
              <w:rPr>
                <w:b/>
                <w:bCs/>
              </w:rPr>
              <w:t>/</w:t>
            </w:r>
            <w:r w:rsidRPr="003E2FDF">
              <w:rPr>
                <w:b/>
                <w:bCs/>
                <w:i/>
              </w:rPr>
              <w:t>t</w:t>
            </w:r>
            <w:r w:rsidRPr="003E2FDF">
              <w:rPr>
                <w:b/>
                <w:bCs/>
                <w:vertAlign w:val="subscript"/>
              </w:rPr>
              <w:t>ef</w:t>
            </w:r>
            <w:r w:rsidRPr="003E2FDF">
              <w:rPr>
                <w:b/>
                <w:bCs/>
              </w:rPr>
              <w:t>)</w:t>
            </w:r>
            <w:r w:rsidRPr="003E2FDF">
              <w:rPr>
                <w:b/>
                <w:bCs/>
                <w:vertAlign w:val="subscript"/>
              </w:rPr>
              <w:t>max</w:t>
            </w:r>
          </w:p>
          <w:p w14:paraId="310F3EC8" w14:textId="77777777" w:rsidR="00112B9F" w:rsidRPr="003E2FDF" w:rsidRDefault="00112B9F" w:rsidP="003E2FDF">
            <w:pPr>
              <w:pStyle w:val="Tablebody"/>
              <w:jc w:val="center"/>
              <w:rPr>
                <w:b/>
                <w:bCs/>
              </w:rPr>
            </w:pPr>
            <w:r w:rsidRPr="003E2FDF">
              <w:rPr>
                <w:b/>
                <w:bCs/>
              </w:rPr>
              <w:t>Config. 1</w:t>
            </w:r>
          </w:p>
        </w:tc>
        <w:tc>
          <w:tcPr>
            <w:tcW w:w="1276" w:type="dxa"/>
            <w:vAlign w:val="center"/>
          </w:tcPr>
          <w:p w14:paraId="30E851FB" w14:textId="77777777" w:rsidR="00112B9F" w:rsidRPr="003E2FDF" w:rsidRDefault="00112B9F" w:rsidP="003E2FDF">
            <w:pPr>
              <w:pStyle w:val="Tablebody"/>
              <w:jc w:val="center"/>
              <w:rPr>
                <w:b/>
                <w:bCs/>
              </w:rPr>
            </w:pPr>
            <w:r w:rsidRPr="003E2FDF">
              <w:rPr>
                <w:b/>
                <w:bCs/>
              </w:rPr>
              <w:t>Wall</w:t>
            </w:r>
          </w:p>
          <w:p w14:paraId="5B9DD410" w14:textId="77777777" w:rsidR="00112B9F" w:rsidRPr="003E2FDF" w:rsidRDefault="00112B9F" w:rsidP="003E2FDF">
            <w:pPr>
              <w:pStyle w:val="Tablebody"/>
              <w:jc w:val="center"/>
              <w:rPr>
                <w:b/>
                <w:bCs/>
              </w:rPr>
            </w:pPr>
            <w:r w:rsidRPr="003E2FDF">
              <w:rPr>
                <w:b/>
                <w:bCs/>
              </w:rPr>
              <w:t>(</w:t>
            </w:r>
            <w:r w:rsidRPr="003E2FDF">
              <w:rPr>
                <w:b/>
                <w:bCs/>
                <w:i/>
              </w:rPr>
              <w:t>h</w:t>
            </w:r>
            <w:r w:rsidRPr="003E2FDF">
              <w:rPr>
                <w:b/>
                <w:bCs/>
                <w:vertAlign w:val="subscript"/>
              </w:rPr>
              <w:t>ef</w:t>
            </w:r>
            <w:r w:rsidRPr="003E2FDF">
              <w:rPr>
                <w:b/>
                <w:bCs/>
                <w:i/>
                <w:vertAlign w:val="subscript"/>
              </w:rPr>
              <w:t xml:space="preserve"> </w:t>
            </w:r>
            <w:r w:rsidRPr="003E2FDF">
              <w:rPr>
                <w:b/>
                <w:bCs/>
              </w:rPr>
              <w:t>/</w:t>
            </w:r>
            <w:r w:rsidRPr="003E2FDF">
              <w:rPr>
                <w:b/>
                <w:bCs/>
                <w:i/>
              </w:rPr>
              <w:t>t</w:t>
            </w:r>
            <w:r w:rsidRPr="003E2FDF">
              <w:rPr>
                <w:b/>
                <w:bCs/>
                <w:vertAlign w:val="subscript"/>
              </w:rPr>
              <w:t>ef</w:t>
            </w:r>
            <w:r w:rsidRPr="003E2FDF">
              <w:rPr>
                <w:b/>
                <w:bCs/>
              </w:rPr>
              <w:t>)</w:t>
            </w:r>
            <w:r w:rsidRPr="003E2FDF">
              <w:rPr>
                <w:b/>
                <w:bCs/>
                <w:vertAlign w:val="subscript"/>
              </w:rPr>
              <w:t>max</w:t>
            </w:r>
          </w:p>
          <w:p w14:paraId="50DD4766" w14:textId="77777777" w:rsidR="00112B9F" w:rsidRPr="003E2FDF" w:rsidRDefault="00112B9F" w:rsidP="003E2FDF">
            <w:pPr>
              <w:pStyle w:val="Tablebody"/>
              <w:jc w:val="center"/>
              <w:rPr>
                <w:b/>
                <w:bCs/>
              </w:rPr>
            </w:pPr>
            <w:r w:rsidRPr="003E2FDF">
              <w:rPr>
                <w:b/>
                <w:bCs/>
              </w:rPr>
              <w:t>Config. 2</w:t>
            </w:r>
          </w:p>
        </w:tc>
        <w:tc>
          <w:tcPr>
            <w:tcW w:w="1491" w:type="dxa"/>
            <w:vAlign w:val="center"/>
          </w:tcPr>
          <w:p w14:paraId="5408E8DF" w14:textId="77777777" w:rsidR="00112B9F" w:rsidRPr="003E2FDF" w:rsidRDefault="00112B9F" w:rsidP="003E2FDF">
            <w:pPr>
              <w:pStyle w:val="Tablebody"/>
              <w:jc w:val="center"/>
              <w:rPr>
                <w:b/>
                <w:bCs/>
              </w:rPr>
            </w:pPr>
            <w:r w:rsidRPr="003E2FDF">
              <w:rPr>
                <w:b/>
                <w:bCs/>
              </w:rPr>
              <w:t>Pier</w:t>
            </w:r>
          </w:p>
          <w:p w14:paraId="74DAA486" w14:textId="77777777" w:rsidR="00112B9F" w:rsidRPr="003E2FDF" w:rsidRDefault="00112B9F" w:rsidP="003E2FDF">
            <w:pPr>
              <w:pStyle w:val="Tablebody"/>
              <w:jc w:val="center"/>
              <w:rPr>
                <w:b/>
                <w:bCs/>
              </w:rPr>
            </w:pPr>
            <w:r w:rsidRPr="003E2FDF">
              <w:rPr>
                <w:b/>
                <w:bCs/>
              </w:rPr>
              <w:t>(</w:t>
            </w:r>
            <w:r w:rsidRPr="003E2FDF">
              <w:rPr>
                <w:b/>
                <w:bCs/>
                <w:i/>
              </w:rPr>
              <w:t>l</w:t>
            </w:r>
            <w:r w:rsidRPr="003E2FDF">
              <w:rPr>
                <w:b/>
                <w:bCs/>
                <w:iCs/>
                <w:vertAlign w:val="subscript"/>
              </w:rPr>
              <w:t>mp</w:t>
            </w:r>
            <w:r w:rsidRPr="003E2FDF">
              <w:rPr>
                <w:b/>
                <w:bCs/>
              </w:rPr>
              <w:t>/</w:t>
            </w:r>
            <w:r w:rsidRPr="003E2FDF">
              <w:rPr>
                <w:b/>
                <w:bCs/>
                <w:i/>
              </w:rPr>
              <w:t>h</w:t>
            </w:r>
            <w:r w:rsidRPr="003E2FDF">
              <w:rPr>
                <w:b/>
                <w:bCs/>
                <w:iCs/>
                <w:vertAlign w:val="subscript"/>
              </w:rPr>
              <w:t>op</w:t>
            </w:r>
            <w:r w:rsidRPr="003E2FDF">
              <w:rPr>
                <w:b/>
                <w:bCs/>
              </w:rPr>
              <w:t>)</w:t>
            </w:r>
            <w:r w:rsidRPr="003E2FDF">
              <w:rPr>
                <w:b/>
                <w:bCs/>
                <w:vertAlign w:val="subscript"/>
              </w:rPr>
              <w:t>min</w:t>
            </w:r>
          </w:p>
        </w:tc>
      </w:tr>
      <w:tr w:rsidR="00112B9F" w:rsidRPr="00132C1E" w14:paraId="1A1D2220" w14:textId="77777777" w:rsidTr="002061E5">
        <w:trPr>
          <w:jc w:val="center"/>
        </w:trPr>
        <w:tc>
          <w:tcPr>
            <w:tcW w:w="1980" w:type="dxa"/>
            <w:vMerge w:val="restart"/>
            <w:vAlign w:val="center"/>
          </w:tcPr>
          <w:p w14:paraId="66FACBA3" w14:textId="77777777" w:rsidR="00112B9F" w:rsidRPr="00D1484A" w:rsidRDefault="00112B9F" w:rsidP="003E2FDF">
            <w:pPr>
              <w:pStyle w:val="Tablebody"/>
            </w:pPr>
            <w:r w:rsidRPr="00132C1E">
              <w:t xml:space="preserve">Unreinforced </w:t>
            </w:r>
          </w:p>
          <w:p w14:paraId="3E630BAD" w14:textId="77777777" w:rsidR="00112B9F" w:rsidRPr="007E6F67" w:rsidRDefault="00112B9F" w:rsidP="003E2FDF">
            <w:pPr>
              <w:pStyle w:val="Tablebody"/>
            </w:pPr>
            <w:r w:rsidRPr="00D1484A">
              <w:t>Group 1 and 1S</w:t>
            </w:r>
          </w:p>
        </w:tc>
        <w:tc>
          <w:tcPr>
            <w:tcW w:w="1732" w:type="dxa"/>
            <w:vAlign w:val="center"/>
          </w:tcPr>
          <w:p w14:paraId="78C3C60F" w14:textId="4FCC4096" w:rsidR="00112B9F" w:rsidRPr="002F46E7" w:rsidRDefault="00112B9F" w:rsidP="003E2FDF">
            <w:pPr>
              <w:pStyle w:val="Tablebody"/>
              <w:jc w:val="center"/>
            </w:pPr>
            <w:r w:rsidRPr="002F46E7">
              <w:t xml:space="preserve">5,0 &lt; </w:t>
            </w:r>
            <w:r w:rsidRPr="002F46E7">
              <w:rPr>
                <w:i/>
                <w:iCs/>
              </w:rPr>
              <w:t>S</w:t>
            </w:r>
            <w:r w:rsidRPr="002F46E7">
              <w:rPr>
                <w:rFonts w:ascii="Symbol" w:hAnsi="Symbol"/>
                <w:vertAlign w:val="subscript"/>
              </w:rPr>
              <w:t></w:t>
            </w:r>
            <w:r w:rsidRPr="002F46E7">
              <w:t xml:space="preserve"> ≤ 6,50</w:t>
            </w:r>
          </w:p>
        </w:tc>
        <w:tc>
          <w:tcPr>
            <w:tcW w:w="1386" w:type="dxa"/>
            <w:vAlign w:val="center"/>
          </w:tcPr>
          <w:p w14:paraId="099221F7" w14:textId="77777777" w:rsidR="00112B9F" w:rsidRPr="002F46E7" w:rsidRDefault="00112B9F" w:rsidP="003E2FDF">
            <w:pPr>
              <w:pStyle w:val="Tablebody"/>
              <w:jc w:val="center"/>
            </w:pPr>
            <w:r w:rsidRPr="002F46E7">
              <w:t>7</w:t>
            </w:r>
          </w:p>
        </w:tc>
        <w:tc>
          <w:tcPr>
            <w:tcW w:w="1276" w:type="dxa"/>
            <w:vAlign w:val="center"/>
          </w:tcPr>
          <w:p w14:paraId="462DC597" w14:textId="77777777" w:rsidR="00112B9F" w:rsidRPr="002F46E7" w:rsidRDefault="00112B9F" w:rsidP="003E2FDF">
            <w:pPr>
              <w:pStyle w:val="Tablebody"/>
              <w:jc w:val="center"/>
            </w:pPr>
            <w:r w:rsidRPr="002F46E7">
              <w:t>5</w:t>
            </w:r>
          </w:p>
        </w:tc>
        <w:tc>
          <w:tcPr>
            <w:tcW w:w="1491" w:type="dxa"/>
            <w:vAlign w:val="center"/>
          </w:tcPr>
          <w:p w14:paraId="650208EC" w14:textId="77777777" w:rsidR="00112B9F" w:rsidRPr="004F25D7" w:rsidRDefault="00112B9F" w:rsidP="003E2FDF">
            <w:pPr>
              <w:pStyle w:val="Tablebody"/>
              <w:jc w:val="center"/>
            </w:pPr>
            <w:r w:rsidRPr="002144A0">
              <w:t>0,50</w:t>
            </w:r>
          </w:p>
        </w:tc>
      </w:tr>
      <w:tr w:rsidR="00112B9F" w:rsidRPr="00132C1E" w14:paraId="4675F2B9" w14:textId="77777777" w:rsidTr="002061E5">
        <w:trPr>
          <w:jc w:val="center"/>
        </w:trPr>
        <w:tc>
          <w:tcPr>
            <w:tcW w:w="1980" w:type="dxa"/>
            <w:vMerge/>
            <w:vAlign w:val="center"/>
          </w:tcPr>
          <w:p w14:paraId="6AB2D7AD" w14:textId="77777777" w:rsidR="00112B9F" w:rsidRPr="00132C1E" w:rsidRDefault="00112B9F" w:rsidP="003E2FDF">
            <w:pPr>
              <w:pStyle w:val="Tablebody"/>
            </w:pPr>
          </w:p>
        </w:tc>
        <w:tc>
          <w:tcPr>
            <w:tcW w:w="1732" w:type="dxa"/>
            <w:vAlign w:val="center"/>
          </w:tcPr>
          <w:p w14:paraId="6A08EE92" w14:textId="229FEE8C" w:rsidR="00112B9F" w:rsidRPr="002F46E7" w:rsidRDefault="00112B9F" w:rsidP="003E2FDF">
            <w:pPr>
              <w:pStyle w:val="Tablebody"/>
              <w:jc w:val="center"/>
            </w:pPr>
            <w:r w:rsidRPr="002F46E7">
              <w:t xml:space="preserve">3,25 &lt; </w:t>
            </w:r>
            <w:r w:rsidRPr="002F46E7">
              <w:rPr>
                <w:i/>
                <w:iCs/>
              </w:rPr>
              <w:t>S</w:t>
            </w:r>
            <w:r w:rsidRPr="002F46E7">
              <w:rPr>
                <w:rFonts w:ascii="Symbol" w:hAnsi="Symbol"/>
                <w:vertAlign w:val="subscript"/>
              </w:rPr>
              <w:t></w:t>
            </w:r>
            <w:r w:rsidRPr="002F46E7">
              <w:t xml:space="preserve"> </w:t>
            </w:r>
            <w:r w:rsidRPr="002F46E7">
              <w:rPr>
                <w:u w:val="single"/>
              </w:rPr>
              <w:t>&lt;</w:t>
            </w:r>
            <w:r w:rsidRPr="002F46E7">
              <w:t xml:space="preserve"> 5,0</w:t>
            </w:r>
          </w:p>
        </w:tc>
        <w:tc>
          <w:tcPr>
            <w:tcW w:w="1386" w:type="dxa"/>
            <w:vAlign w:val="center"/>
          </w:tcPr>
          <w:p w14:paraId="73B5585D" w14:textId="77777777" w:rsidR="00112B9F" w:rsidRPr="002F46E7" w:rsidRDefault="00112B9F" w:rsidP="003E2FDF">
            <w:pPr>
              <w:pStyle w:val="Tablebody"/>
              <w:jc w:val="center"/>
            </w:pPr>
            <w:r w:rsidRPr="002F46E7">
              <w:t>12</w:t>
            </w:r>
          </w:p>
        </w:tc>
        <w:tc>
          <w:tcPr>
            <w:tcW w:w="1276" w:type="dxa"/>
            <w:vAlign w:val="center"/>
          </w:tcPr>
          <w:p w14:paraId="0F0BD542" w14:textId="77777777" w:rsidR="00112B9F" w:rsidRPr="002F46E7" w:rsidRDefault="00112B9F" w:rsidP="003E2FDF">
            <w:pPr>
              <w:pStyle w:val="Tablebody"/>
              <w:jc w:val="center"/>
            </w:pPr>
            <w:r w:rsidRPr="002F46E7">
              <w:t>7</w:t>
            </w:r>
          </w:p>
        </w:tc>
        <w:tc>
          <w:tcPr>
            <w:tcW w:w="1491" w:type="dxa"/>
            <w:vAlign w:val="center"/>
          </w:tcPr>
          <w:p w14:paraId="540106FD" w14:textId="77777777" w:rsidR="00112B9F" w:rsidRPr="00132C1E" w:rsidRDefault="00112B9F" w:rsidP="003E2FDF">
            <w:pPr>
              <w:pStyle w:val="Tablebody"/>
              <w:jc w:val="center"/>
            </w:pPr>
            <w:r w:rsidRPr="00132C1E">
              <w:t>0,45</w:t>
            </w:r>
          </w:p>
        </w:tc>
      </w:tr>
      <w:tr w:rsidR="00112B9F" w:rsidRPr="00132C1E" w14:paraId="28D7CFE5" w14:textId="77777777" w:rsidTr="002061E5">
        <w:trPr>
          <w:jc w:val="center"/>
        </w:trPr>
        <w:tc>
          <w:tcPr>
            <w:tcW w:w="1980" w:type="dxa"/>
            <w:vMerge/>
          </w:tcPr>
          <w:p w14:paraId="35ED82BE" w14:textId="77777777" w:rsidR="00112B9F" w:rsidRPr="00132C1E" w:rsidRDefault="00112B9F" w:rsidP="003E2FDF">
            <w:pPr>
              <w:pStyle w:val="Tablebody"/>
            </w:pPr>
          </w:p>
        </w:tc>
        <w:tc>
          <w:tcPr>
            <w:tcW w:w="1732" w:type="dxa"/>
            <w:vAlign w:val="center"/>
          </w:tcPr>
          <w:p w14:paraId="73BD7D33" w14:textId="69D69993" w:rsidR="00112B9F" w:rsidRPr="002F46E7" w:rsidRDefault="00112B9F" w:rsidP="003E2FDF">
            <w:pPr>
              <w:pStyle w:val="Tablebody"/>
              <w:jc w:val="center"/>
            </w:pPr>
            <w:r w:rsidRPr="002F46E7">
              <w:rPr>
                <w:i/>
                <w:iCs/>
              </w:rPr>
              <w:t>S</w:t>
            </w:r>
            <w:r w:rsidRPr="002F46E7">
              <w:rPr>
                <w:rFonts w:ascii="Symbol" w:hAnsi="Symbol"/>
                <w:vertAlign w:val="subscript"/>
              </w:rPr>
              <w:t></w:t>
            </w:r>
            <w:r w:rsidRPr="002F46E7">
              <w:t xml:space="preserve"> </w:t>
            </w:r>
            <w:r w:rsidRPr="002F46E7">
              <w:rPr>
                <w:u w:val="single"/>
              </w:rPr>
              <w:t>&lt;</w:t>
            </w:r>
            <w:r w:rsidRPr="002F46E7">
              <w:t xml:space="preserve"> 3,25</w:t>
            </w:r>
          </w:p>
        </w:tc>
        <w:tc>
          <w:tcPr>
            <w:tcW w:w="1386" w:type="dxa"/>
            <w:vAlign w:val="center"/>
          </w:tcPr>
          <w:p w14:paraId="477906FC" w14:textId="77777777" w:rsidR="00112B9F" w:rsidRPr="002F46E7" w:rsidRDefault="00112B9F" w:rsidP="003E2FDF">
            <w:pPr>
              <w:pStyle w:val="Tablebody"/>
              <w:jc w:val="center"/>
            </w:pPr>
            <w:r w:rsidRPr="002F46E7">
              <w:t>20</w:t>
            </w:r>
          </w:p>
        </w:tc>
        <w:tc>
          <w:tcPr>
            <w:tcW w:w="1276" w:type="dxa"/>
            <w:vAlign w:val="center"/>
          </w:tcPr>
          <w:p w14:paraId="090DDC53" w14:textId="77777777" w:rsidR="00112B9F" w:rsidRPr="002F46E7" w:rsidRDefault="00112B9F" w:rsidP="003E2FDF">
            <w:pPr>
              <w:pStyle w:val="Tablebody"/>
              <w:jc w:val="center"/>
            </w:pPr>
            <w:r w:rsidRPr="002F46E7">
              <w:t>10</w:t>
            </w:r>
          </w:p>
        </w:tc>
        <w:tc>
          <w:tcPr>
            <w:tcW w:w="1491" w:type="dxa"/>
            <w:vAlign w:val="center"/>
          </w:tcPr>
          <w:p w14:paraId="73CA0968" w14:textId="77777777" w:rsidR="00112B9F" w:rsidRPr="00132C1E" w:rsidRDefault="00112B9F" w:rsidP="003E2FDF">
            <w:pPr>
              <w:pStyle w:val="Tablebody"/>
              <w:jc w:val="center"/>
            </w:pPr>
            <w:r w:rsidRPr="00132C1E">
              <w:t>0,35</w:t>
            </w:r>
          </w:p>
        </w:tc>
      </w:tr>
      <w:tr w:rsidR="00112B9F" w:rsidRPr="00132C1E" w14:paraId="4D823E39" w14:textId="77777777" w:rsidTr="003E2FDF">
        <w:trPr>
          <w:jc w:val="center"/>
        </w:trPr>
        <w:tc>
          <w:tcPr>
            <w:tcW w:w="1980" w:type="dxa"/>
            <w:vMerge w:val="restart"/>
            <w:vAlign w:val="center"/>
          </w:tcPr>
          <w:p w14:paraId="7A4F5A6E" w14:textId="77777777" w:rsidR="00112B9F" w:rsidRPr="00D1484A" w:rsidRDefault="00112B9F" w:rsidP="003E2FDF">
            <w:pPr>
              <w:pStyle w:val="Tablebody"/>
              <w:jc w:val="left"/>
            </w:pPr>
            <w:r w:rsidRPr="00132C1E">
              <w:t xml:space="preserve">Unreinforced </w:t>
            </w:r>
          </w:p>
          <w:p w14:paraId="514D30C9" w14:textId="77777777" w:rsidR="00112B9F" w:rsidRPr="007E6F67" w:rsidRDefault="00112B9F" w:rsidP="003E2FDF">
            <w:pPr>
              <w:pStyle w:val="Tablebody"/>
              <w:jc w:val="left"/>
            </w:pPr>
            <w:r w:rsidRPr="00D1484A">
              <w:t>Other Groups</w:t>
            </w:r>
          </w:p>
        </w:tc>
        <w:tc>
          <w:tcPr>
            <w:tcW w:w="1732" w:type="dxa"/>
            <w:vAlign w:val="center"/>
          </w:tcPr>
          <w:p w14:paraId="19556E8E" w14:textId="68CE897F" w:rsidR="00112B9F" w:rsidRPr="002F46E7" w:rsidRDefault="00112B9F" w:rsidP="003E2FDF">
            <w:pPr>
              <w:pStyle w:val="Tablebody"/>
              <w:jc w:val="center"/>
            </w:pPr>
            <w:r w:rsidRPr="002F46E7">
              <w:t xml:space="preserve">5,0 &lt; </w:t>
            </w:r>
            <w:r w:rsidRPr="002F46E7">
              <w:rPr>
                <w:i/>
                <w:iCs/>
              </w:rPr>
              <w:t>S</w:t>
            </w:r>
            <w:r w:rsidRPr="002F46E7">
              <w:rPr>
                <w:rFonts w:ascii="Symbol" w:hAnsi="Symbol"/>
                <w:vertAlign w:val="subscript"/>
              </w:rPr>
              <w:t></w:t>
            </w:r>
            <w:r w:rsidRPr="002F46E7">
              <w:t xml:space="preserve"> ≤ 6,50</w:t>
            </w:r>
          </w:p>
        </w:tc>
        <w:tc>
          <w:tcPr>
            <w:tcW w:w="1386" w:type="dxa"/>
            <w:vAlign w:val="center"/>
          </w:tcPr>
          <w:p w14:paraId="7D7F07C3" w14:textId="77777777" w:rsidR="00112B9F" w:rsidRPr="002F46E7" w:rsidRDefault="00112B9F" w:rsidP="003E2FDF">
            <w:pPr>
              <w:pStyle w:val="Tablebody"/>
              <w:jc w:val="center"/>
            </w:pPr>
            <w:r w:rsidRPr="002F46E7">
              <w:t>10</w:t>
            </w:r>
          </w:p>
        </w:tc>
        <w:tc>
          <w:tcPr>
            <w:tcW w:w="1276" w:type="dxa"/>
            <w:vAlign w:val="center"/>
          </w:tcPr>
          <w:p w14:paraId="0D59BD4D" w14:textId="77777777" w:rsidR="00112B9F" w:rsidRPr="002F46E7" w:rsidRDefault="00112B9F" w:rsidP="003E2FDF">
            <w:pPr>
              <w:pStyle w:val="Tablebody"/>
              <w:jc w:val="center"/>
            </w:pPr>
            <w:r w:rsidRPr="002F46E7">
              <w:t>5</w:t>
            </w:r>
          </w:p>
        </w:tc>
        <w:tc>
          <w:tcPr>
            <w:tcW w:w="1491" w:type="dxa"/>
            <w:vAlign w:val="center"/>
          </w:tcPr>
          <w:p w14:paraId="46BFF762" w14:textId="77777777" w:rsidR="00112B9F" w:rsidRPr="004F25D7" w:rsidRDefault="00112B9F" w:rsidP="003E2FDF">
            <w:pPr>
              <w:pStyle w:val="Tablebody"/>
              <w:jc w:val="center"/>
            </w:pPr>
            <w:r w:rsidRPr="002144A0">
              <w:t>0,40</w:t>
            </w:r>
          </w:p>
        </w:tc>
      </w:tr>
      <w:tr w:rsidR="00112B9F" w:rsidRPr="00132C1E" w14:paraId="48223A76" w14:textId="77777777" w:rsidTr="002061E5">
        <w:trPr>
          <w:jc w:val="center"/>
        </w:trPr>
        <w:tc>
          <w:tcPr>
            <w:tcW w:w="1980" w:type="dxa"/>
            <w:vMerge/>
            <w:vAlign w:val="center"/>
          </w:tcPr>
          <w:p w14:paraId="1899DF76" w14:textId="77777777" w:rsidR="00112B9F" w:rsidRPr="00132C1E" w:rsidRDefault="00112B9F" w:rsidP="003E2FDF">
            <w:pPr>
              <w:pStyle w:val="Tablebody"/>
            </w:pPr>
          </w:p>
        </w:tc>
        <w:tc>
          <w:tcPr>
            <w:tcW w:w="1732" w:type="dxa"/>
            <w:vAlign w:val="center"/>
          </w:tcPr>
          <w:p w14:paraId="621E61AB" w14:textId="5ADC995E" w:rsidR="00112B9F" w:rsidRPr="002F46E7" w:rsidRDefault="00112B9F" w:rsidP="003E2FDF">
            <w:pPr>
              <w:pStyle w:val="Tablebody"/>
              <w:jc w:val="center"/>
            </w:pPr>
            <w:r w:rsidRPr="002F46E7">
              <w:t xml:space="preserve">3,25 &lt; </w:t>
            </w:r>
            <w:r w:rsidRPr="002F46E7">
              <w:rPr>
                <w:i/>
                <w:iCs/>
              </w:rPr>
              <w:t>S</w:t>
            </w:r>
            <w:r w:rsidRPr="002F46E7">
              <w:rPr>
                <w:rFonts w:ascii="Symbol" w:hAnsi="Symbol"/>
                <w:vertAlign w:val="subscript"/>
              </w:rPr>
              <w:t></w:t>
            </w:r>
            <w:r w:rsidRPr="002F46E7">
              <w:t xml:space="preserve"> </w:t>
            </w:r>
            <w:r w:rsidRPr="002F46E7">
              <w:rPr>
                <w:u w:val="single"/>
              </w:rPr>
              <w:t>&lt;</w:t>
            </w:r>
            <w:r w:rsidRPr="002F46E7">
              <w:t xml:space="preserve"> 5,0</w:t>
            </w:r>
          </w:p>
        </w:tc>
        <w:tc>
          <w:tcPr>
            <w:tcW w:w="1386" w:type="dxa"/>
            <w:vAlign w:val="center"/>
          </w:tcPr>
          <w:p w14:paraId="4295D8FA" w14:textId="77777777" w:rsidR="00112B9F" w:rsidRPr="002F46E7" w:rsidRDefault="00112B9F" w:rsidP="003E2FDF">
            <w:pPr>
              <w:pStyle w:val="Tablebody"/>
              <w:jc w:val="center"/>
            </w:pPr>
            <w:r w:rsidRPr="002F46E7">
              <w:t>15</w:t>
            </w:r>
          </w:p>
        </w:tc>
        <w:tc>
          <w:tcPr>
            <w:tcW w:w="1276" w:type="dxa"/>
            <w:vAlign w:val="center"/>
          </w:tcPr>
          <w:p w14:paraId="09B1D254" w14:textId="77777777" w:rsidR="00112B9F" w:rsidRPr="002F46E7" w:rsidRDefault="00112B9F" w:rsidP="003E2FDF">
            <w:pPr>
              <w:pStyle w:val="Tablebody"/>
              <w:jc w:val="center"/>
            </w:pPr>
            <w:r w:rsidRPr="002F46E7">
              <w:t>7</w:t>
            </w:r>
          </w:p>
        </w:tc>
        <w:tc>
          <w:tcPr>
            <w:tcW w:w="1491" w:type="dxa"/>
            <w:vAlign w:val="center"/>
          </w:tcPr>
          <w:p w14:paraId="05DE9C63" w14:textId="77777777" w:rsidR="00112B9F" w:rsidRPr="00132C1E" w:rsidRDefault="00112B9F" w:rsidP="003E2FDF">
            <w:pPr>
              <w:pStyle w:val="Tablebody"/>
              <w:jc w:val="center"/>
            </w:pPr>
            <w:r w:rsidRPr="00132C1E">
              <w:t>0,40</w:t>
            </w:r>
          </w:p>
        </w:tc>
      </w:tr>
      <w:tr w:rsidR="00112B9F" w:rsidRPr="00132C1E" w14:paraId="08B95AA3" w14:textId="77777777" w:rsidTr="002061E5">
        <w:trPr>
          <w:jc w:val="center"/>
        </w:trPr>
        <w:tc>
          <w:tcPr>
            <w:tcW w:w="1980" w:type="dxa"/>
            <w:vMerge/>
          </w:tcPr>
          <w:p w14:paraId="6429990E" w14:textId="77777777" w:rsidR="00112B9F" w:rsidRPr="00132C1E" w:rsidRDefault="00112B9F" w:rsidP="003E2FDF">
            <w:pPr>
              <w:pStyle w:val="Tablebody"/>
            </w:pPr>
          </w:p>
        </w:tc>
        <w:tc>
          <w:tcPr>
            <w:tcW w:w="1732" w:type="dxa"/>
            <w:vAlign w:val="center"/>
          </w:tcPr>
          <w:p w14:paraId="2AE1A646" w14:textId="567DB8F5" w:rsidR="00112B9F" w:rsidRPr="002F46E7" w:rsidRDefault="00112B9F" w:rsidP="003E2FDF">
            <w:pPr>
              <w:pStyle w:val="Tablebody"/>
              <w:jc w:val="center"/>
            </w:pPr>
            <w:r w:rsidRPr="002F46E7">
              <w:rPr>
                <w:i/>
                <w:iCs/>
              </w:rPr>
              <w:t>S</w:t>
            </w:r>
            <w:r w:rsidRPr="002F46E7">
              <w:rPr>
                <w:rFonts w:ascii="Symbol" w:hAnsi="Symbol"/>
                <w:vertAlign w:val="subscript"/>
              </w:rPr>
              <w:t></w:t>
            </w:r>
            <w:r w:rsidRPr="002F46E7">
              <w:t xml:space="preserve"> </w:t>
            </w:r>
            <w:r w:rsidRPr="002F46E7">
              <w:rPr>
                <w:u w:val="single"/>
              </w:rPr>
              <w:t>&lt;</w:t>
            </w:r>
            <w:r w:rsidRPr="002F46E7">
              <w:t xml:space="preserve"> 3,25</w:t>
            </w:r>
          </w:p>
        </w:tc>
        <w:tc>
          <w:tcPr>
            <w:tcW w:w="1386" w:type="dxa"/>
            <w:vAlign w:val="center"/>
          </w:tcPr>
          <w:p w14:paraId="2DB48C65" w14:textId="77777777" w:rsidR="00112B9F" w:rsidRPr="002F46E7" w:rsidRDefault="00112B9F" w:rsidP="003E2FDF">
            <w:pPr>
              <w:pStyle w:val="Tablebody"/>
              <w:jc w:val="center"/>
            </w:pPr>
            <w:r w:rsidRPr="002F46E7">
              <w:t>20</w:t>
            </w:r>
          </w:p>
        </w:tc>
        <w:tc>
          <w:tcPr>
            <w:tcW w:w="1276" w:type="dxa"/>
            <w:vAlign w:val="center"/>
          </w:tcPr>
          <w:p w14:paraId="027AC4AE" w14:textId="77777777" w:rsidR="00112B9F" w:rsidRPr="002F46E7" w:rsidRDefault="00112B9F" w:rsidP="003E2FDF">
            <w:pPr>
              <w:pStyle w:val="Tablebody"/>
              <w:jc w:val="center"/>
            </w:pPr>
            <w:r w:rsidRPr="002F46E7">
              <w:t>10</w:t>
            </w:r>
          </w:p>
        </w:tc>
        <w:tc>
          <w:tcPr>
            <w:tcW w:w="1491" w:type="dxa"/>
            <w:vAlign w:val="center"/>
          </w:tcPr>
          <w:p w14:paraId="3AD7ED5A" w14:textId="77777777" w:rsidR="00112B9F" w:rsidRPr="00132C1E" w:rsidRDefault="00112B9F" w:rsidP="003E2FDF">
            <w:pPr>
              <w:pStyle w:val="Tablebody"/>
              <w:jc w:val="center"/>
            </w:pPr>
            <w:r w:rsidRPr="00132C1E">
              <w:t>0,35</w:t>
            </w:r>
          </w:p>
        </w:tc>
      </w:tr>
      <w:tr w:rsidR="00112B9F" w:rsidRPr="00132C1E" w14:paraId="7DC00DCE" w14:textId="77777777" w:rsidTr="002061E5">
        <w:trPr>
          <w:jc w:val="center"/>
        </w:trPr>
        <w:tc>
          <w:tcPr>
            <w:tcW w:w="1980" w:type="dxa"/>
          </w:tcPr>
          <w:p w14:paraId="49D6C787" w14:textId="77777777" w:rsidR="00112B9F" w:rsidRPr="00D1484A" w:rsidRDefault="00112B9F" w:rsidP="003E2FDF">
            <w:pPr>
              <w:pStyle w:val="Tablebody"/>
            </w:pPr>
            <w:r w:rsidRPr="00132C1E">
              <w:t>Confined masonry</w:t>
            </w:r>
          </w:p>
        </w:tc>
        <w:tc>
          <w:tcPr>
            <w:tcW w:w="1732" w:type="dxa"/>
            <w:vAlign w:val="center"/>
          </w:tcPr>
          <w:p w14:paraId="4FB1553E" w14:textId="0763C652" w:rsidR="00112B9F" w:rsidRPr="002F46E7" w:rsidRDefault="00112B9F" w:rsidP="003E2FDF">
            <w:pPr>
              <w:pStyle w:val="Tablebody"/>
              <w:jc w:val="center"/>
            </w:pPr>
            <w:r w:rsidRPr="002F46E7">
              <w:rPr>
                <w:i/>
                <w:iCs/>
              </w:rPr>
              <w:t>S</w:t>
            </w:r>
            <w:r w:rsidRPr="002F46E7">
              <w:rPr>
                <w:rFonts w:ascii="Symbol" w:hAnsi="Symbol"/>
                <w:vertAlign w:val="subscript"/>
              </w:rPr>
              <w:t></w:t>
            </w:r>
            <w:r w:rsidRPr="002F46E7">
              <w:t xml:space="preserve"> ≤ 6,50</w:t>
            </w:r>
          </w:p>
        </w:tc>
        <w:tc>
          <w:tcPr>
            <w:tcW w:w="1386" w:type="dxa"/>
            <w:vAlign w:val="center"/>
          </w:tcPr>
          <w:p w14:paraId="61200523" w14:textId="77777777" w:rsidR="00112B9F" w:rsidRPr="002F46E7" w:rsidRDefault="00112B9F" w:rsidP="003E2FDF">
            <w:pPr>
              <w:pStyle w:val="Tablebody"/>
              <w:jc w:val="center"/>
            </w:pPr>
            <w:r w:rsidRPr="002F46E7">
              <w:t>20</w:t>
            </w:r>
          </w:p>
        </w:tc>
        <w:tc>
          <w:tcPr>
            <w:tcW w:w="1276" w:type="dxa"/>
            <w:vAlign w:val="center"/>
          </w:tcPr>
          <w:p w14:paraId="2471F2D9" w14:textId="77777777" w:rsidR="00112B9F" w:rsidRPr="002F46E7" w:rsidRDefault="00112B9F" w:rsidP="003E2FDF">
            <w:pPr>
              <w:pStyle w:val="Tablebody"/>
              <w:jc w:val="center"/>
            </w:pPr>
            <w:r w:rsidRPr="002F46E7">
              <w:t>20</w:t>
            </w:r>
          </w:p>
        </w:tc>
        <w:tc>
          <w:tcPr>
            <w:tcW w:w="1491" w:type="dxa"/>
            <w:vAlign w:val="center"/>
          </w:tcPr>
          <w:p w14:paraId="427E2E39" w14:textId="77777777" w:rsidR="00112B9F" w:rsidRPr="002144A0" w:rsidRDefault="00112B9F" w:rsidP="003E2FDF">
            <w:pPr>
              <w:pStyle w:val="Tablebody"/>
              <w:jc w:val="center"/>
            </w:pPr>
            <w:r w:rsidRPr="002144A0">
              <w:t>0,30</w:t>
            </w:r>
          </w:p>
        </w:tc>
      </w:tr>
      <w:tr w:rsidR="00112B9F" w:rsidRPr="00132C1E" w14:paraId="281BC5A9" w14:textId="77777777" w:rsidTr="002061E5">
        <w:trPr>
          <w:jc w:val="center"/>
        </w:trPr>
        <w:tc>
          <w:tcPr>
            <w:tcW w:w="1980" w:type="dxa"/>
          </w:tcPr>
          <w:p w14:paraId="4BDE9484" w14:textId="77777777" w:rsidR="00112B9F" w:rsidRPr="00D1484A" w:rsidRDefault="00112B9F" w:rsidP="003E2FDF">
            <w:pPr>
              <w:pStyle w:val="Tablebody"/>
            </w:pPr>
            <w:r w:rsidRPr="00132C1E">
              <w:t>Reinforced masonry</w:t>
            </w:r>
          </w:p>
        </w:tc>
        <w:tc>
          <w:tcPr>
            <w:tcW w:w="1732" w:type="dxa"/>
            <w:vAlign w:val="center"/>
          </w:tcPr>
          <w:p w14:paraId="34F46F62" w14:textId="5BB5C4EC" w:rsidR="00112B9F" w:rsidRPr="002F46E7" w:rsidRDefault="00112B9F" w:rsidP="003E2FDF">
            <w:pPr>
              <w:pStyle w:val="Tablebody"/>
              <w:jc w:val="center"/>
            </w:pPr>
            <w:r w:rsidRPr="002F46E7">
              <w:rPr>
                <w:i/>
                <w:iCs/>
              </w:rPr>
              <w:t>S</w:t>
            </w:r>
            <w:r w:rsidRPr="002F46E7">
              <w:rPr>
                <w:rFonts w:ascii="Symbol" w:hAnsi="Symbol"/>
                <w:vertAlign w:val="subscript"/>
              </w:rPr>
              <w:t></w:t>
            </w:r>
            <w:r w:rsidRPr="002F46E7">
              <w:t xml:space="preserve"> ≤ 6,50</w:t>
            </w:r>
          </w:p>
        </w:tc>
        <w:tc>
          <w:tcPr>
            <w:tcW w:w="1386" w:type="dxa"/>
            <w:vAlign w:val="center"/>
          </w:tcPr>
          <w:p w14:paraId="2061DDDE" w14:textId="77777777" w:rsidR="00112B9F" w:rsidRPr="002F46E7" w:rsidRDefault="00112B9F" w:rsidP="003E2FDF">
            <w:pPr>
              <w:pStyle w:val="Tablebody"/>
              <w:jc w:val="center"/>
            </w:pPr>
            <w:r w:rsidRPr="002F46E7">
              <w:t>20</w:t>
            </w:r>
          </w:p>
        </w:tc>
        <w:tc>
          <w:tcPr>
            <w:tcW w:w="1276" w:type="dxa"/>
            <w:vAlign w:val="center"/>
          </w:tcPr>
          <w:p w14:paraId="65894A43" w14:textId="77777777" w:rsidR="00112B9F" w:rsidRPr="002F46E7" w:rsidRDefault="00112B9F" w:rsidP="003E2FDF">
            <w:pPr>
              <w:pStyle w:val="Tablebody"/>
              <w:jc w:val="center"/>
            </w:pPr>
            <w:r w:rsidRPr="002F46E7">
              <w:t>20</w:t>
            </w:r>
          </w:p>
        </w:tc>
        <w:tc>
          <w:tcPr>
            <w:tcW w:w="1491" w:type="dxa"/>
            <w:vAlign w:val="center"/>
          </w:tcPr>
          <w:p w14:paraId="5EF2EA84" w14:textId="77777777" w:rsidR="00112B9F" w:rsidRPr="002144A0" w:rsidRDefault="00112B9F" w:rsidP="003E2FDF">
            <w:pPr>
              <w:pStyle w:val="Tablebody"/>
              <w:jc w:val="center"/>
            </w:pPr>
            <w:r w:rsidRPr="002144A0">
              <w:t>No limit</w:t>
            </w:r>
          </w:p>
        </w:tc>
      </w:tr>
      <w:tr w:rsidR="00112B9F" w:rsidRPr="00D56DA5" w14:paraId="18A7F738" w14:textId="77777777" w:rsidTr="002061E5">
        <w:trPr>
          <w:jc w:val="center"/>
        </w:trPr>
        <w:tc>
          <w:tcPr>
            <w:tcW w:w="7865" w:type="dxa"/>
            <w:gridSpan w:val="5"/>
          </w:tcPr>
          <w:p w14:paraId="4C7AB9F6" w14:textId="77777777" w:rsidR="00112B9F" w:rsidRPr="002F46E7" w:rsidRDefault="00112B9F" w:rsidP="003E2FDF">
            <w:pPr>
              <w:pStyle w:val="Tablebody"/>
              <w:rPr>
                <w:rFonts w:asciiTheme="majorHAnsi" w:hAnsiTheme="majorHAnsi"/>
                <w:spacing w:val="-1"/>
              </w:rPr>
            </w:pPr>
            <w:r w:rsidRPr="002F46E7">
              <w:rPr>
                <w:rFonts w:asciiTheme="majorHAnsi" w:hAnsiTheme="majorHAnsi"/>
                <w:spacing w:val="-1"/>
              </w:rPr>
              <w:t>* The table differentiates between two configurations:</w:t>
            </w:r>
          </w:p>
          <w:p w14:paraId="1B3CFCD8" w14:textId="77777777" w:rsidR="00112B9F" w:rsidRPr="002F46E7" w:rsidRDefault="00112B9F" w:rsidP="003E2FDF">
            <w:pPr>
              <w:pStyle w:val="Tablebody"/>
              <w:rPr>
                <w:rFonts w:asciiTheme="majorHAnsi" w:hAnsiTheme="majorHAnsi"/>
                <w:spacing w:val="-1"/>
              </w:rPr>
            </w:pPr>
            <w:r w:rsidRPr="002F46E7">
              <w:rPr>
                <w:rFonts w:asciiTheme="majorHAnsi" w:hAnsiTheme="majorHAnsi"/>
                <w:spacing w:val="-1"/>
              </w:rPr>
              <w:t>a) Configuration 1 comprises walls spanning between two floors.</w:t>
            </w:r>
          </w:p>
          <w:p w14:paraId="0DBCA238" w14:textId="77777777" w:rsidR="00112B9F" w:rsidRPr="002F46E7" w:rsidRDefault="00112B9F" w:rsidP="003E2FDF">
            <w:pPr>
              <w:pStyle w:val="Tablebody"/>
            </w:pPr>
            <w:r w:rsidRPr="002F46E7">
              <w:rPr>
                <w:rFonts w:asciiTheme="majorHAnsi" w:hAnsiTheme="majorHAnsi"/>
                <w:spacing w:val="-1"/>
              </w:rPr>
              <w:t>b) Configuration 2 comprises parapets, cantilever piers or walls and chimneys.</w:t>
            </w:r>
          </w:p>
        </w:tc>
      </w:tr>
    </w:tbl>
    <w:p w14:paraId="7EC3CDA5" w14:textId="0A2A3279" w:rsidR="00112B9F" w:rsidRPr="00132C1E" w:rsidRDefault="00112B9F" w:rsidP="00112B9F">
      <w:pPr>
        <w:pStyle w:val="Heading3"/>
      </w:pPr>
      <w:bookmarkStart w:id="10766" w:name="_Toc50150636"/>
      <w:bookmarkStart w:id="10767" w:name="_Toc70887069"/>
      <w:bookmarkStart w:id="10768" w:name="_Toc108342652"/>
      <w:bookmarkStart w:id="10769" w:name="_Toc134198162"/>
      <w:bookmarkEnd w:id="10765"/>
      <w:r w:rsidRPr="00132C1E">
        <w:t>Design rules for unreinforced masonry in DC2</w:t>
      </w:r>
      <w:bookmarkEnd w:id="10766"/>
      <w:bookmarkEnd w:id="10767"/>
      <w:bookmarkEnd w:id="10768"/>
      <w:bookmarkEnd w:id="10769"/>
    </w:p>
    <w:p w14:paraId="38B53CE3" w14:textId="4BE8E36C" w:rsidR="00112B9F" w:rsidRPr="0088515A" w:rsidRDefault="00112B9F" w:rsidP="0080187E">
      <w:pPr>
        <w:pStyle w:val="Clause"/>
        <w:numPr>
          <w:ilvl w:val="0"/>
          <w:numId w:val="511"/>
        </w:numPr>
      </w:pPr>
      <w:bookmarkStart w:id="10770" w:name="_Ref7349565"/>
      <w:bookmarkStart w:id="10771" w:name="_Toc7368769"/>
      <w:bookmarkStart w:id="10772" w:name="_Toc19566941"/>
      <w:r w:rsidRPr="0088515A">
        <w:t xml:space="preserve">The action effects in the ring ties or ring beams should be determined as for other structural members and satisfy </w:t>
      </w:r>
      <w:r w:rsidR="006633B5">
        <w:t xml:space="preserve">Clauses </w:t>
      </w:r>
      <w:r w:rsidRPr="00835C82">
        <w:t>10</w:t>
      </w:r>
      <w:r w:rsidRPr="0088515A">
        <w:t xml:space="preserve">, </w:t>
      </w:r>
      <w:r w:rsidRPr="00835C82">
        <w:t>11</w:t>
      </w:r>
      <w:r w:rsidRPr="0088515A">
        <w:t xml:space="preserve">, </w:t>
      </w:r>
      <w:r w:rsidRPr="00835C82">
        <w:t>12</w:t>
      </w:r>
      <w:r w:rsidRPr="0088515A">
        <w:t>,</w:t>
      </w:r>
      <w:r w:rsidRPr="00835C82">
        <w:t xml:space="preserve"> 13</w:t>
      </w:r>
      <w:r w:rsidRPr="0088515A">
        <w:t xml:space="preserve"> or </w:t>
      </w:r>
      <w:r w:rsidRPr="00835C82">
        <w:t>15</w:t>
      </w:r>
      <w:r w:rsidRPr="0088515A">
        <w:t xml:space="preserve"> </w:t>
      </w:r>
      <w:r w:rsidRPr="00132C1E">
        <w:t>as appropriate for the material considered</w:t>
      </w:r>
      <w:r w:rsidRPr="0088515A">
        <w:t>. The axial resistance of ring ties and ring beams should not be smaller than 150 kN.</w:t>
      </w:r>
    </w:p>
    <w:p w14:paraId="1BED9361" w14:textId="1546E08A" w:rsidR="00112B9F" w:rsidRPr="00132C1E" w:rsidRDefault="00112B9F" w:rsidP="00724E4E">
      <w:pPr>
        <w:pStyle w:val="Clause"/>
      </w:pPr>
      <w:r w:rsidRPr="00132C1E">
        <w:t>Reinforced concrete ring beams should satisfy a)</w:t>
      </w:r>
      <w:r>
        <w:t xml:space="preserve"> to</w:t>
      </w:r>
      <w:r w:rsidRPr="00132C1E">
        <w:t xml:space="preserve"> d):</w:t>
      </w:r>
      <w:bookmarkStart w:id="10773" w:name="_Hlk37498859"/>
    </w:p>
    <w:p w14:paraId="043BAB96" w14:textId="77777777" w:rsidR="00112B9F" w:rsidRPr="00132C1E" w:rsidRDefault="00112B9F" w:rsidP="0080187E">
      <w:pPr>
        <w:pStyle w:val="Text"/>
        <w:numPr>
          <w:ilvl w:val="0"/>
          <w:numId w:val="684"/>
        </w:numPr>
      </w:pPr>
      <w:r w:rsidRPr="00132C1E">
        <w:t xml:space="preserve">their depth </w:t>
      </w:r>
      <w:r w:rsidRPr="0088515A">
        <w:rPr>
          <w:rFonts w:eastAsia="Cambria,Italic"/>
          <w:i/>
          <w:iCs/>
        </w:rPr>
        <w:t>h</w:t>
      </w:r>
      <w:r w:rsidRPr="0088515A">
        <w:rPr>
          <w:vertAlign w:val="subscript"/>
        </w:rPr>
        <w:t>RB</w:t>
      </w:r>
      <w:r w:rsidRPr="00132C1E">
        <w:t xml:space="preserve"> </w:t>
      </w:r>
      <w:bookmarkEnd w:id="10773"/>
      <w:r w:rsidRPr="00132C1E">
        <w:t>should not be smaller than 150 mm or the slab thickness, whichever is greater;</w:t>
      </w:r>
    </w:p>
    <w:p w14:paraId="00324794" w14:textId="77777777" w:rsidR="00112B9F" w:rsidRPr="00132C1E" w:rsidRDefault="00112B9F" w:rsidP="0080187E">
      <w:pPr>
        <w:pStyle w:val="Text"/>
        <w:numPr>
          <w:ilvl w:val="0"/>
          <w:numId w:val="684"/>
        </w:numPr>
      </w:pPr>
      <w:bookmarkStart w:id="10774" w:name="_Hlk37504776"/>
      <w:r w:rsidRPr="00132C1E">
        <w:t xml:space="preserve">their width </w:t>
      </w:r>
      <w:r w:rsidRPr="00132C1E">
        <w:rPr>
          <w:rFonts w:eastAsia="Cambria,Italic"/>
          <w:i/>
          <w:iCs/>
        </w:rPr>
        <w:t>t</w:t>
      </w:r>
      <w:r w:rsidRPr="00132C1E">
        <w:rPr>
          <w:vertAlign w:val="subscript"/>
        </w:rPr>
        <w:t>RB</w:t>
      </w:r>
      <w:r w:rsidRPr="00132C1E">
        <w:t xml:space="preserve"> should be such that the beam extends over the entire wall thickness </w:t>
      </w:r>
      <w:r w:rsidRPr="00132C1E">
        <w:rPr>
          <w:rFonts w:eastAsia="Cambria,Italic"/>
          <w:i/>
          <w:iCs/>
        </w:rPr>
        <w:t>t</w:t>
      </w:r>
      <w:r w:rsidRPr="00132C1E">
        <w:rPr>
          <w:vertAlign w:val="subscript"/>
        </w:rPr>
        <w:t>w</w:t>
      </w:r>
      <w:r w:rsidRPr="00132C1E">
        <w:t xml:space="preserve"> minus a set-back; the set-back should not be greater than max(60 mm, </w:t>
      </w:r>
      <w:r w:rsidRPr="00132C1E">
        <w:rPr>
          <w:bCs/>
        </w:rPr>
        <w:t>0,3</w:t>
      </w:r>
      <w:r w:rsidRPr="00132C1E">
        <w:t xml:space="preserve"> </w:t>
      </w:r>
      <w:r w:rsidRPr="00132C1E">
        <w:rPr>
          <w:rFonts w:eastAsia="Cambria,Italic"/>
          <w:i/>
          <w:iCs/>
        </w:rPr>
        <w:t>t</w:t>
      </w:r>
      <w:r w:rsidRPr="00132C1E">
        <w:rPr>
          <w:vertAlign w:val="subscript"/>
        </w:rPr>
        <w:t>w</w:t>
      </w:r>
      <w:r w:rsidRPr="00132C1E">
        <w:t xml:space="preserve">) if </w:t>
      </w:r>
      <w:r w:rsidRPr="00132C1E">
        <w:rPr>
          <w:i/>
          <w:iCs/>
        </w:rPr>
        <w:t>t</w:t>
      </w:r>
      <w:r w:rsidRPr="00132C1E">
        <w:rPr>
          <w:vertAlign w:val="subscript"/>
        </w:rPr>
        <w:t xml:space="preserve">w </w:t>
      </w:r>
      <w:r w:rsidRPr="00132C1E">
        <w:t xml:space="preserve">≤ 300 mm and </w:t>
      </w:r>
      <w:r w:rsidRPr="00132C1E">
        <w:rPr>
          <w:bCs/>
        </w:rPr>
        <w:t>0,3</w:t>
      </w:r>
      <w:r w:rsidRPr="00132C1E">
        <w:rPr>
          <w:rFonts w:eastAsia="Cambria,Italic"/>
          <w:i/>
          <w:iCs/>
        </w:rPr>
        <w:t>t</w:t>
      </w:r>
      <w:r w:rsidRPr="00132C1E">
        <w:rPr>
          <w:vertAlign w:val="subscript"/>
        </w:rPr>
        <w:t>w</w:t>
      </w:r>
      <w:r w:rsidRPr="00132C1E">
        <w:t xml:space="preserve"> if </w:t>
      </w:r>
      <w:r w:rsidRPr="00132C1E">
        <w:rPr>
          <w:rFonts w:eastAsia="Cambria,Italic"/>
          <w:i/>
          <w:iCs/>
        </w:rPr>
        <w:t>t</w:t>
      </w:r>
      <w:r w:rsidRPr="00132C1E">
        <w:rPr>
          <w:vertAlign w:val="subscript"/>
        </w:rPr>
        <w:t>w</w:t>
      </w:r>
      <w:r w:rsidRPr="00132C1E">
        <w:t xml:space="preserve"> &gt; 300 mm</w:t>
      </w:r>
      <w:r w:rsidRPr="00132C1E">
        <w:rPr>
          <w:rFonts w:ascii="Times New Roman" w:hAnsi="Times New Roman"/>
          <w:sz w:val="24"/>
          <w:szCs w:val="24"/>
          <w:lang w:eastAsia="fr-BE"/>
        </w:rPr>
        <w:t>;</w:t>
      </w:r>
    </w:p>
    <w:p w14:paraId="23F0A114" w14:textId="77777777" w:rsidR="00112B9F" w:rsidRPr="00132C1E" w:rsidRDefault="00112B9F" w:rsidP="0080187E">
      <w:pPr>
        <w:pStyle w:val="Text"/>
        <w:numPr>
          <w:ilvl w:val="0"/>
          <w:numId w:val="684"/>
        </w:numPr>
      </w:pPr>
      <w:r w:rsidRPr="00132C1E">
        <w:rPr>
          <w:bCs/>
        </w:rPr>
        <w:t xml:space="preserve">the area of longitudinal reinforcement should not be smaller than </w:t>
      </w:r>
      <w:r w:rsidRPr="00132C1E">
        <w:rPr>
          <w:bCs/>
          <w:i/>
          <w:iCs/>
        </w:rPr>
        <w:t>A</w:t>
      </w:r>
      <w:r w:rsidRPr="00132C1E">
        <w:rPr>
          <w:bCs/>
          <w:iCs/>
          <w:vertAlign w:val="subscript"/>
        </w:rPr>
        <w:t>sl</w:t>
      </w:r>
      <w:r w:rsidRPr="00132C1E">
        <w:rPr>
          <w:bCs/>
          <w:iCs/>
        </w:rPr>
        <w:t xml:space="preserve"> </w:t>
      </w:r>
      <w:r w:rsidRPr="00005FDA">
        <w:rPr>
          <w:rFonts w:ascii="Symbol" w:hAnsi="Symbol"/>
          <w:bCs/>
          <w:iCs/>
        </w:rPr>
        <w:t></w:t>
      </w:r>
      <w:r w:rsidRPr="00132C1E">
        <w:rPr>
          <w:bCs/>
          <w:iCs/>
        </w:rPr>
        <w:t xml:space="preserve"> </w:t>
      </w:r>
      <w:r w:rsidRPr="00132C1E">
        <w:rPr>
          <w:bCs/>
        </w:rPr>
        <w:t>450 mm</w:t>
      </w:r>
      <w:r w:rsidRPr="00132C1E">
        <w:rPr>
          <w:bCs/>
          <w:vertAlign w:val="superscript"/>
        </w:rPr>
        <w:t>2</w:t>
      </w:r>
      <w:r w:rsidRPr="00132C1E">
        <w:rPr>
          <w:bCs/>
        </w:rPr>
        <w:t>;</w:t>
      </w:r>
    </w:p>
    <w:p w14:paraId="61604B77" w14:textId="0CA354F1" w:rsidR="00112B9F" w:rsidRPr="00132C1E" w:rsidRDefault="00112B9F" w:rsidP="0080187E">
      <w:pPr>
        <w:pStyle w:val="Text"/>
        <w:numPr>
          <w:ilvl w:val="0"/>
          <w:numId w:val="684"/>
        </w:numPr>
      </w:pPr>
      <w:r w:rsidRPr="00132C1E">
        <w:rPr>
          <w:bCs/>
        </w:rPr>
        <w:t xml:space="preserve">the shear reinforcement should be closed stirrups with an area not smaller than </w:t>
      </w:r>
      <w:r w:rsidRPr="00132C1E">
        <w:rPr>
          <w:bCs/>
          <w:i/>
          <w:iCs/>
        </w:rPr>
        <w:t>A</w:t>
      </w:r>
      <w:r w:rsidRPr="00132C1E">
        <w:rPr>
          <w:bCs/>
          <w:iCs/>
          <w:vertAlign w:val="subscript"/>
        </w:rPr>
        <w:t>sw</w:t>
      </w:r>
      <w:bookmarkEnd w:id="10774"/>
      <w:r w:rsidR="003E2FDF">
        <w:rPr>
          <w:bCs/>
          <w:iCs/>
        </w:rPr>
        <w:t> = </w:t>
      </w:r>
      <w:r w:rsidRPr="00132C1E">
        <w:rPr>
          <w:bCs/>
        </w:rPr>
        <w:t>225</w:t>
      </w:r>
      <w:r w:rsidR="003E2FDF">
        <w:rPr>
          <w:bCs/>
        </w:rPr>
        <w:t> </w:t>
      </w:r>
      <w:r w:rsidRPr="00132C1E">
        <w:rPr>
          <w:bCs/>
        </w:rPr>
        <w:t>mm</w:t>
      </w:r>
      <w:r w:rsidRPr="00132C1E">
        <w:rPr>
          <w:bCs/>
          <w:vertAlign w:val="superscript"/>
        </w:rPr>
        <w:t>2</w:t>
      </w:r>
      <w:r w:rsidRPr="00132C1E">
        <w:rPr>
          <w:bCs/>
        </w:rPr>
        <w:t>/m.</w:t>
      </w:r>
    </w:p>
    <w:p w14:paraId="463BFC3B" w14:textId="0F7F423A" w:rsidR="00112B9F" w:rsidRPr="00132C1E" w:rsidRDefault="00112B9F" w:rsidP="00112B9F">
      <w:pPr>
        <w:pStyle w:val="Heading3"/>
      </w:pPr>
      <w:bookmarkStart w:id="10775" w:name="_Toc50150637"/>
      <w:bookmarkStart w:id="10776" w:name="_Toc70887070"/>
      <w:bookmarkStart w:id="10777" w:name="_Toc108342653"/>
      <w:bookmarkStart w:id="10778" w:name="_Toc134198163"/>
      <w:r w:rsidRPr="00132C1E">
        <w:lastRenderedPageBreak/>
        <w:t>Design rules for confined masonry in DC2</w:t>
      </w:r>
      <w:bookmarkEnd w:id="10770"/>
      <w:bookmarkEnd w:id="10771"/>
      <w:bookmarkEnd w:id="10772"/>
      <w:bookmarkEnd w:id="10775"/>
      <w:bookmarkEnd w:id="10776"/>
      <w:bookmarkEnd w:id="10777"/>
      <w:bookmarkEnd w:id="10778"/>
    </w:p>
    <w:p w14:paraId="064841C6" w14:textId="77777777" w:rsidR="00112B9F" w:rsidRPr="00132C1E" w:rsidRDefault="00112B9F" w:rsidP="0080187E">
      <w:pPr>
        <w:pStyle w:val="Clause"/>
        <w:numPr>
          <w:ilvl w:val="0"/>
          <w:numId w:val="512"/>
        </w:numPr>
      </w:pPr>
      <w:bookmarkStart w:id="10779" w:name="_Toc7368770"/>
      <w:bookmarkStart w:id="10780" w:name="_Toc19566942"/>
      <w:r w:rsidRPr="00132C1E">
        <w:t>The horizontal and vertical confining members should be bonded together, anchored to the members of the main structural system and to the foundation. Longitudinal reinforcement from vertical confining members should be anchored at the bottom of the foundation.</w:t>
      </w:r>
    </w:p>
    <w:p w14:paraId="1D0FF058" w14:textId="77777777" w:rsidR="00112B9F" w:rsidRPr="00132C1E" w:rsidRDefault="00112B9F" w:rsidP="00724E4E">
      <w:pPr>
        <w:pStyle w:val="Clause"/>
      </w:pPr>
      <w:r w:rsidRPr="00132C1E">
        <w:t>The concrete of the confining members should be cast after the masonry is constructed. Effective bond should be ensured either by toothing at the wall-to-vertical confining member interface or by providing horizontal dowel bars at regular spacing over the wall height. Horizontal dowel reinforcement should be placed either in the form of a single reinforcing bar of minimum 6 mm diamet</w:t>
      </w:r>
      <w:r>
        <w:t>re</w:t>
      </w:r>
      <w:r w:rsidRPr="00132C1E">
        <w:t xml:space="preserve"> and 400 mm length at maximum 600 mm vertical spacing, or in the form of ladder-shaped wire reinforcement at maximum 400 mm vertical spacing.</w:t>
      </w:r>
    </w:p>
    <w:p w14:paraId="07842847" w14:textId="77777777" w:rsidR="00112B9F" w:rsidRPr="00132C1E" w:rsidRDefault="00112B9F" w:rsidP="00724E4E">
      <w:pPr>
        <w:pStyle w:val="Clause"/>
      </w:pPr>
      <w:r w:rsidRPr="00132C1E">
        <w:t xml:space="preserve">The cross-sectional dimensions of both horizontal and vertical confining members should not be smaller than 150 mm. </w:t>
      </w:r>
    </w:p>
    <w:p w14:paraId="7409EA21" w14:textId="77777777" w:rsidR="00112B9F" w:rsidRPr="00132C1E" w:rsidRDefault="00112B9F" w:rsidP="00724E4E">
      <w:pPr>
        <w:pStyle w:val="Clause"/>
      </w:pPr>
      <w:r w:rsidRPr="00132C1E">
        <w:t xml:space="preserve">In double-leaf walls in which both leaves are structural walls, each confining member should confine the two leaves simultaneously.  </w:t>
      </w:r>
      <w:bookmarkStart w:id="10781" w:name="_Ref18161388"/>
    </w:p>
    <w:p w14:paraId="3B67F8FD" w14:textId="77777777" w:rsidR="00112B9F" w:rsidRPr="00132C1E" w:rsidRDefault="00112B9F" w:rsidP="00724E4E">
      <w:pPr>
        <w:pStyle w:val="Clause"/>
      </w:pPr>
      <w:r w:rsidRPr="00132C1E">
        <w:t>Vertical confining members should be placed as given in a) to d):</w:t>
      </w:r>
      <w:bookmarkEnd w:id="10781"/>
      <w:r w:rsidRPr="0088515A">
        <w:t xml:space="preserve"> </w:t>
      </w:r>
    </w:p>
    <w:p w14:paraId="1EC7C546" w14:textId="77777777" w:rsidR="00112B9F" w:rsidRPr="00132C1E" w:rsidRDefault="00112B9F" w:rsidP="00ED5D26">
      <w:pPr>
        <w:pStyle w:val="Text"/>
        <w:numPr>
          <w:ilvl w:val="0"/>
          <w:numId w:val="685"/>
        </w:numPr>
        <w:spacing w:after="200"/>
      </w:pPr>
      <w:r w:rsidRPr="00132C1E">
        <w:t>at the free edges of each structural wall;</w:t>
      </w:r>
    </w:p>
    <w:p w14:paraId="70E7CD38" w14:textId="77777777" w:rsidR="00112B9F" w:rsidRPr="00132C1E" w:rsidRDefault="00112B9F" w:rsidP="00ED5D26">
      <w:pPr>
        <w:pStyle w:val="Text"/>
        <w:numPr>
          <w:ilvl w:val="0"/>
          <w:numId w:val="685"/>
        </w:numPr>
        <w:spacing w:after="200"/>
      </w:pPr>
      <w:r w:rsidRPr="00132C1E">
        <w:t>at both sides of any wall opening of area greater than 1,5 m</w:t>
      </w:r>
      <w:r w:rsidRPr="00132C1E">
        <w:rPr>
          <w:vertAlign w:val="superscript"/>
        </w:rPr>
        <w:t>2</w:t>
      </w:r>
      <w:r w:rsidRPr="00132C1E">
        <w:t>;</w:t>
      </w:r>
    </w:p>
    <w:p w14:paraId="07B8BF6E" w14:textId="3BF85E75" w:rsidR="00112B9F" w:rsidRPr="00132C1E" w:rsidRDefault="00112B9F" w:rsidP="00ED5D26">
      <w:pPr>
        <w:pStyle w:val="Text"/>
        <w:numPr>
          <w:ilvl w:val="0"/>
          <w:numId w:val="685"/>
        </w:numPr>
        <w:spacing w:after="200"/>
      </w:pPr>
      <w:r w:rsidRPr="00132C1E">
        <w:t xml:space="preserve">with a spacing not exceeding </w:t>
      </w:r>
      <w:r w:rsidR="000F480D">
        <w:t>5</w:t>
      </w:r>
      <w:r w:rsidRPr="00132C1E">
        <w:t xml:space="preserve"> m</w:t>
      </w:r>
      <w:r w:rsidR="000F480D">
        <w:t>;</w:t>
      </w:r>
      <w:r w:rsidRPr="00132C1E">
        <w:t xml:space="preserve"> </w:t>
      </w:r>
    </w:p>
    <w:p w14:paraId="55948998" w14:textId="54C2157C" w:rsidR="00112B9F" w:rsidRPr="00132C1E" w:rsidRDefault="00112B9F" w:rsidP="00ED5D26">
      <w:pPr>
        <w:pStyle w:val="Text"/>
        <w:numPr>
          <w:ilvl w:val="0"/>
          <w:numId w:val="685"/>
        </w:numPr>
        <w:spacing w:after="200"/>
      </w:pPr>
      <w:r w:rsidRPr="00132C1E">
        <w:rPr>
          <w:rFonts w:cs="Arial"/>
          <w:szCs w:val="18"/>
        </w:rPr>
        <w:t>at all structural wall intersections.</w:t>
      </w:r>
    </w:p>
    <w:p w14:paraId="3E6F739F" w14:textId="77777777" w:rsidR="00112B9F" w:rsidRPr="00132C1E" w:rsidRDefault="00112B9F" w:rsidP="00724E4E">
      <w:pPr>
        <w:pStyle w:val="Clause"/>
      </w:pPr>
      <w:r w:rsidRPr="00132C1E">
        <w:t xml:space="preserve">Vertical confining members complying with </w:t>
      </w:r>
      <w:r w:rsidRPr="00835C82">
        <w:t>(4)</w:t>
      </w:r>
      <w:r w:rsidRPr="00132C1E">
        <w:t xml:space="preserve"> but which are distant of less than 1 m from the confining member present at a wall intersection may be omitted.</w:t>
      </w:r>
      <w:bookmarkStart w:id="10782" w:name="_Hlk36400655"/>
    </w:p>
    <w:p w14:paraId="54B367B6" w14:textId="77777777" w:rsidR="00112B9F" w:rsidRPr="00132C1E" w:rsidRDefault="00112B9F" w:rsidP="00724E4E">
      <w:pPr>
        <w:pStyle w:val="Clause"/>
      </w:pPr>
      <w:r w:rsidRPr="00132C1E">
        <w:t>Vertical confining members should be placed at wall intersections.</w:t>
      </w:r>
    </w:p>
    <w:p w14:paraId="019E9FDE" w14:textId="77777777" w:rsidR="00112B9F" w:rsidRPr="00132C1E" w:rsidRDefault="00112B9F" w:rsidP="00724E4E">
      <w:pPr>
        <w:pStyle w:val="Clause"/>
      </w:pPr>
      <w:r w:rsidRPr="00132C1E">
        <w:t>The horizontal confining members should be placed in the plane of the wall at every floor level with a vertical spacing not greater than 4 m.</w:t>
      </w:r>
      <w:bookmarkStart w:id="10783" w:name="_Hlk35866987"/>
      <w:bookmarkEnd w:id="10782"/>
    </w:p>
    <w:p w14:paraId="3D67A698" w14:textId="585E7ADD" w:rsidR="00112B9F" w:rsidRPr="00132C1E" w:rsidRDefault="00112B9F" w:rsidP="00724E4E">
      <w:pPr>
        <w:pStyle w:val="Clause"/>
      </w:pPr>
      <w:r w:rsidRPr="00132C1E">
        <w:t>The longitudinal reinforcement ratio in confining members should not be smaller than 0,8</w:t>
      </w:r>
      <w:r w:rsidR="00D4445A">
        <w:t> </w:t>
      </w:r>
      <w:r w:rsidRPr="00132C1E">
        <w:t xml:space="preserve">% or four diameter 10 mm whichever the greater. </w:t>
      </w:r>
      <w:bookmarkStart w:id="10784" w:name="_Ref7349736"/>
      <w:bookmarkEnd w:id="10783"/>
    </w:p>
    <w:p w14:paraId="4C6EEFBC" w14:textId="1675E9F8" w:rsidR="00112B9F" w:rsidRPr="00132C1E" w:rsidRDefault="00112B9F" w:rsidP="00724E4E">
      <w:pPr>
        <w:pStyle w:val="Clause"/>
      </w:pPr>
      <w:r w:rsidRPr="00132C1E">
        <w:t xml:space="preserve">The diameter of stirrups should not be smaller than </w:t>
      </w:r>
      <w:r w:rsidR="000F480D">
        <w:t>6</w:t>
      </w:r>
      <w:r w:rsidRPr="00132C1E">
        <w:t xml:space="preserve"> mm and their spacing not greater than 150</w:t>
      </w:r>
      <w:r w:rsidR="00ED5D26">
        <w:t> </w:t>
      </w:r>
      <w:r w:rsidRPr="00132C1E">
        <w:t>mm.</w:t>
      </w:r>
      <w:bookmarkEnd w:id="10784"/>
      <w:r w:rsidRPr="00132C1E">
        <w:t xml:space="preserve"> </w:t>
      </w:r>
      <w:r w:rsidR="006D62C5">
        <w:t>T</w:t>
      </w:r>
      <w:r w:rsidRPr="0088515A">
        <w:t>he spacing of stirrups in vertical confining members should not be greater than 100 mm within 0,6 m of the member ends at each storey level.</w:t>
      </w:r>
      <w:bookmarkStart w:id="10785" w:name="_Ref7349738"/>
    </w:p>
    <w:p w14:paraId="56EFCE6C" w14:textId="7BFE643D" w:rsidR="00112B9F" w:rsidRPr="00132C1E" w:rsidRDefault="00112B9F" w:rsidP="00724E4E">
      <w:pPr>
        <w:pStyle w:val="Clause"/>
      </w:pPr>
      <w:r w:rsidRPr="0088515A">
        <w:rPr>
          <w:rFonts w:eastAsia="CIDFont+F2"/>
        </w:rPr>
        <w:t xml:space="preserve">If </w:t>
      </w:r>
      <w:r w:rsidRPr="0088515A">
        <w:rPr>
          <w:i/>
        </w:rPr>
        <w:t>S</w:t>
      </w:r>
      <w:r w:rsidRPr="0088515A">
        <w:rPr>
          <w:vertAlign w:val="subscript"/>
        </w:rPr>
        <w:t>δ</w:t>
      </w:r>
      <w:r w:rsidRPr="00132C1E">
        <w:t xml:space="preserve"> &gt; 6,25 m/s</w:t>
      </w:r>
      <w:r w:rsidRPr="0088515A">
        <w:rPr>
          <w:vertAlign w:val="superscript"/>
        </w:rPr>
        <w:t>2</w:t>
      </w:r>
      <w:r w:rsidRPr="00132C1E">
        <w:t>, longitudinal reinforcement should be Class B or C; stirrups may be of Class B.</w:t>
      </w:r>
      <w:bookmarkEnd w:id="10785"/>
      <w:r w:rsidRPr="00132C1E">
        <w:t xml:space="preserve"> </w:t>
      </w:r>
      <w:r w:rsidRPr="0088515A">
        <w:rPr>
          <w:rFonts w:eastAsia="CIDFont+F2"/>
        </w:rPr>
        <w:t xml:space="preserve">If </w:t>
      </w:r>
      <w:r w:rsidRPr="0088515A">
        <w:rPr>
          <w:i/>
        </w:rPr>
        <w:t>S</w:t>
      </w:r>
      <w:r w:rsidRPr="0088515A">
        <w:rPr>
          <w:vertAlign w:val="subscript"/>
        </w:rPr>
        <w:t>δ</w:t>
      </w:r>
      <w:r w:rsidRPr="00132C1E">
        <w:t> ≤ 6,25 m/s</w:t>
      </w:r>
      <w:r w:rsidRPr="0088515A">
        <w:rPr>
          <w:vertAlign w:val="superscript"/>
        </w:rPr>
        <w:t>2</w:t>
      </w:r>
      <w:r w:rsidRPr="00132C1E">
        <w:t>, longitudinal reinforcement may be Class B and stirrups Class A.</w:t>
      </w:r>
      <w:bookmarkStart w:id="10786" w:name="_Ref7349740"/>
    </w:p>
    <w:p w14:paraId="48CED7E1" w14:textId="7F6DB7CA" w:rsidR="00112B9F" w:rsidRPr="00132C1E" w:rsidRDefault="00112B9F" w:rsidP="00724E4E">
      <w:pPr>
        <w:pStyle w:val="Clause"/>
      </w:pPr>
      <w:r w:rsidRPr="00132C1E">
        <w:t>Lap splices should not be shorter than 60 times the diameter of the bars being spliced.</w:t>
      </w:r>
      <w:bookmarkEnd w:id="10786"/>
    </w:p>
    <w:p w14:paraId="423CB9FD" w14:textId="3E680478" w:rsidR="00112B9F" w:rsidRPr="00132C1E" w:rsidRDefault="00112B9F" w:rsidP="00112B9F">
      <w:pPr>
        <w:pStyle w:val="Heading3"/>
      </w:pPr>
      <w:bookmarkStart w:id="10787" w:name="_Toc50150638"/>
      <w:bookmarkStart w:id="10788" w:name="_Toc70887071"/>
      <w:bookmarkStart w:id="10789" w:name="_Toc108342654"/>
      <w:bookmarkStart w:id="10790" w:name="_Toc134198164"/>
      <w:r w:rsidRPr="00132C1E">
        <w:t>Design rules for reinforced masonry in DC2</w:t>
      </w:r>
      <w:bookmarkEnd w:id="10779"/>
      <w:bookmarkEnd w:id="10780"/>
      <w:bookmarkEnd w:id="10787"/>
      <w:bookmarkEnd w:id="10788"/>
      <w:bookmarkEnd w:id="10789"/>
      <w:bookmarkEnd w:id="10790"/>
    </w:p>
    <w:p w14:paraId="2EB8044A" w14:textId="77777777" w:rsidR="00112B9F" w:rsidRPr="00132C1E" w:rsidRDefault="00112B9F" w:rsidP="0080187E">
      <w:pPr>
        <w:pStyle w:val="Clause"/>
        <w:numPr>
          <w:ilvl w:val="0"/>
          <w:numId w:val="513"/>
        </w:numPr>
      </w:pPr>
      <w:r w:rsidRPr="00132C1E">
        <w:t>Horizontal reinforcement should be placed either in the bed joints or in grooves in the units, with a vertical spacing not exceeding 600 mm.</w:t>
      </w:r>
    </w:p>
    <w:p w14:paraId="64895B81" w14:textId="77777777" w:rsidR="00112B9F" w:rsidRPr="00474979" w:rsidRDefault="00112B9F" w:rsidP="00724E4E">
      <w:pPr>
        <w:pStyle w:val="Clause"/>
      </w:pPr>
      <w:r w:rsidRPr="00474979">
        <w:lastRenderedPageBreak/>
        <w:t>Masonry units with recesses should accommodate the reinforcement needed in lintels and parapets. Prefabricated lintels with the needed reinforcement may also be used.</w:t>
      </w:r>
      <w:r w:rsidRPr="00132C1E">
        <w:t xml:space="preserve"> </w:t>
      </w:r>
    </w:p>
    <w:p w14:paraId="04884ECA" w14:textId="77777777" w:rsidR="00112B9F" w:rsidRPr="00132C1E" w:rsidRDefault="00112B9F" w:rsidP="00724E4E">
      <w:pPr>
        <w:pStyle w:val="Clause"/>
      </w:pPr>
      <w:r w:rsidRPr="00132C1E">
        <w:t>Parapets and lintels should be regularly bonded to the masonry of the adjoining walls and connected by means of continuous longitudinal reinforcement.</w:t>
      </w:r>
    </w:p>
    <w:p w14:paraId="7C435693" w14:textId="77777777" w:rsidR="00112B9F" w:rsidRPr="00132C1E" w:rsidRDefault="00112B9F" w:rsidP="00724E4E">
      <w:pPr>
        <w:pStyle w:val="Clause"/>
      </w:pPr>
      <w:r w:rsidRPr="00132C1E">
        <w:t>The diamet</w:t>
      </w:r>
      <w:r>
        <w:t>re</w:t>
      </w:r>
      <w:r w:rsidRPr="00132C1E">
        <w:t xml:space="preserve"> of horizontal reinforcing bars should not be less than 5 mm; they should be anchored by bends or hooks or loops around the vertical bars at the edges of the wall.</w:t>
      </w:r>
    </w:p>
    <w:p w14:paraId="3E5D3246" w14:textId="7FE7BBB3" w:rsidR="00112B9F" w:rsidRPr="00132C1E" w:rsidRDefault="00112B9F" w:rsidP="00724E4E">
      <w:pPr>
        <w:pStyle w:val="Clause"/>
      </w:pPr>
      <w:r w:rsidRPr="00132C1E">
        <w:t>The percentage of horizontal reinforcement in the wall, normal</w:t>
      </w:r>
      <w:r w:rsidR="00E10A24">
        <w:t>ize</w:t>
      </w:r>
      <w:r w:rsidRPr="00132C1E">
        <w:t>d with respect to the gross area of the section, should not be smaller than 0,05</w:t>
      </w:r>
      <w:r w:rsidR="00ED5D26">
        <w:t> </w:t>
      </w:r>
      <w:r w:rsidRPr="00132C1E">
        <w:t>%.</w:t>
      </w:r>
    </w:p>
    <w:p w14:paraId="185E7E6D" w14:textId="77777777" w:rsidR="00112B9F" w:rsidRPr="00132C1E" w:rsidRDefault="00112B9F" w:rsidP="00724E4E">
      <w:pPr>
        <w:pStyle w:val="Clause"/>
      </w:pPr>
      <w:bookmarkStart w:id="10791" w:name="_Hlk38271518"/>
      <w:r w:rsidRPr="00132C1E">
        <w:t xml:space="preserve">The amount of horizontal reinforcement should not lead to a failure of compression struts prior to the yielding of the horizontal steel reinforcement. </w:t>
      </w:r>
    </w:p>
    <w:bookmarkEnd w:id="10791"/>
    <w:p w14:paraId="7C24CAA6" w14:textId="10F6BEEB" w:rsidR="00112B9F" w:rsidRPr="003E2FDF" w:rsidRDefault="00112B9F" w:rsidP="002F46E7">
      <w:pPr>
        <w:pStyle w:val="Notetext"/>
      </w:pPr>
      <w:r w:rsidRPr="00C43780">
        <w:t>NOTE</w:t>
      </w:r>
      <w:r w:rsidRPr="00C43780">
        <w:tab/>
        <w:t>Compression strut failure can be verified according to EN</w:t>
      </w:r>
      <w:r w:rsidR="0063506B">
        <w:t> </w:t>
      </w:r>
      <w:r w:rsidRPr="003E2FDF">
        <w:t>1996-1</w:t>
      </w:r>
      <w:r w:rsidR="00F64C2F">
        <w:t>-1</w:t>
      </w:r>
      <w:r w:rsidRPr="003E2FDF">
        <w:t>:202</w:t>
      </w:r>
      <w:r w:rsidR="0063506B" w:rsidRPr="003E2FDF">
        <w:t>2</w:t>
      </w:r>
      <w:r w:rsidRPr="003E2FDF">
        <w:t>, 8.8.2(4).</w:t>
      </w:r>
    </w:p>
    <w:p w14:paraId="2A7F4535" w14:textId="77777777" w:rsidR="00112B9F" w:rsidRPr="00132C1E" w:rsidRDefault="00112B9F" w:rsidP="00724E4E">
      <w:pPr>
        <w:pStyle w:val="Clause"/>
      </w:pPr>
      <w:r w:rsidRPr="00132C1E">
        <w:t xml:space="preserve">The amount of horizontal reinforcement should not lead to a failure of compression struts prior to the yielding of the horizontal steel reinforcement. </w:t>
      </w:r>
    </w:p>
    <w:p w14:paraId="6F8EC251" w14:textId="6B927698" w:rsidR="00112B9F" w:rsidRPr="00132C1E" w:rsidRDefault="00112B9F" w:rsidP="00724E4E">
      <w:pPr>
        <w:pStyle w:val="Clause"/>
      </w:pPr>
      <w:r w:rsidRPr="00132C1E">
        <w:t>The total amount of vertical reinforcement in a wall should not be smaller than 0,05</w:t>
      </w:r>
      <w:r w:rsidR="00ED5D26">
        <w:t> </w:t>
      </w:r>
      <w:r w:rsidRPr="00132C1E">
        <w:t>% of the gross area of its horizontal section.</w:t>
      </w:r>
    </w:p>
    <w:p w14:paraId="52C182E1" w14:textId="77777777" w:rsidR="00112B9F" w:rsidRPr="00132C1E" w:rsidRDefault="00112B9F" w:rsidP="00724E4E">
      <w:pPr>
        <w:pStyle w:val="Clause"/>
      </w:pPr>
      <w:r w:rsidRPr="00132C1E">
        <w:t>Vertical reinforcement should be placed in pockets, cavities or holes in the units.</w:t>
      </w:r>
    </w:p>
    <w:p w14:paraId="64C6C97A" w14:textId="2EDA3484" w:rsidR="00112B9F" w:rsidRPr="00132C1E" w:rsidRDefault="00112B9F" w:rsidP="00724E4E">
      <w:pPr>
        <w:pStyle w:val="Clause"/>
      </w:pPr>
      <w:r w:rsidRPr="00132C1E">
        <w:t>Vertical reinforcement with a cross-sectional area not smaller than 200 mm</w:t>
      </w:r>
      <w:r w:rsidRPr="00474979">
        <w:rPr>
          <w:vertAlign w:val="superscript"/>
        </w:rPr>
        <w:t>2</w:t>
      </w:r>
      <w:r w:rsidRPr="00132C1E">
        <w:t xml:space="preserve"> should be placed as given in a) to d):</w:t>
      </w:r>
    </w:p>
    <w:p w14:paraId="392C420F" w14:textId="77777777" w:rsidR="00112B9F" w:rsidRPr="00132C1E" w:rsidRDefault="00112B9F" w:rsidP="00ED5D26">
      <w:pPr>
        <w:pStyle w:val="Text"/>
        <w:numPr>
          <w:ilvl w:val="0"/>
          <w:numId w:val="686"/>
        </w:numPr>
        <w:spacing w:after="200"/>
      </w:pPr>
      <w:r w:rsidRPr="00132C1E">
        <w:t>at both free ends of a wall;</w:t>
      </w:r>
    </w:p>
    <w:p w14:paraId="71EF1323" w14:textId="77777777" w:rsidR="00112B9F" w:rsidRPr="00132C1E" w:rsidRDefault="00112B9F" w:rsidP="00ED5D26">
      <w:pPr>
        <w:pStyle w:val="Text"/>
        <w:numPr>
          <w:ilvl w:val="0"/>
          <w:numId w:val="686"/>
        </w:numPr>
        <w:spacing w:after="200"/>
      </w:pPr>
      <w:r w:rsidRPr="00132C1E">
        <w:t>at each wall intersection;</w:t>
      </w:r>
    </w:p>
    <w:p w14:paraId="7BBE0FCF" w14:textId="77777777" w:rsidR="00112B9F" w:rsidRPr="00132C1E" w:rsidRDefault="00112B9F" w:rsidP="00ED5D26">
      <w:pPr>
        <w:pStyle w:val="Text"/>
        <w:numPr>
          <w:ilvl w:val="0"/>
          <w:numId w:val="686"/>
        </w:numPr>
        <w:spacing w:after="200"/>
      </w:pPr>
      <w:r w:rsidRPr="00132C1E">
        <w:t>within the wall, not exceeding a horizontal spacing of 5 m between such reinforcing bars;</w:t>
      </w:r>
    </w:p>
    <w:p w14:paraId="45718032" w14:textId="77777777" w:rsidR="00112B9F" w:rsidRPr="00132C1E" w:rsidRDefault="00112B9F" w:rsidP="00ED5D26">
      <w:pPr>
        <w:pStyle w:val="Text"/>
        <w:numPr>
          <w:ilvl w:val="0"/>
          <w:numId w:val="686"/>
        </w:numPr>
        <w:spacing w:after="200"/>
      </w:pPr>
      <w:r w:rsidRPr="00132C1E">
        <w:t>at both sides of any wall opening of area greater than 1,5 m</w:t>
      </w:r>
      <w:r w:rsidRPr="00132C1E">
        <w:rPr>
          <w:vertAlign w:val="superscript"/>
        </w:rPr>
        <w:t>2</w:t>
      </w:r>
      <w:r w:rsidRPr="00132C1E">
        <w:t>.</w:t>
      </w:r>
    </w:p>
    <w:p w14:paraId="2E4FCBB7" w14:textId="7A2FBF19" w:rsidR="00112B9F" w:rsidRPr="00132C1E" w:rsidRDefault="00112B9F" w:rsidP="00724E4E">
      <w:pPr>
        <w:pStyle w:val="Clause"/>
      </w:pPr>
      <w:r w:rsidRPr="00132C1E">
        <w:t xml:space="preserve">The amount of horizontal reinforcement should not lead to a failure of compression struts prior to the yielding of the horizontal steel reinforcement. </w:t>
      </w:r>
    </w:p>
    <w:p w14:paraId="4647053F" w14:textId="1C240669" w:rsidR="00112B9F" w:rsidRPr="00132C1E" w:rsidRDefault="00112B9F" w:rsidP="00724E4E">
      <w:pPr>
        <w:pStyle w:val="Clause"/>
      </w:pPr>
      <w:r w:rsidRPr="00474979">
        <w:t xml:space="preserve">If </w:t>
      </w:r>
      <w:r w:rsidRPr="00474979">
        <w:rPr>
          <w:i/>
        </w:rPr>
        <w:t>S</w:t>
      </w:r>
      <w:r w:rsidRPr="00474979">
        <w:rPr>
          <w:vertAlign w:val="subscript"/>
        </w:rPr>
        <w:t>δ</w:t>
      </w:r>
      <w:r w:rsidRPr="00132C1E">
        <w:t xml:space="preserve"> &gt; 3m/s</w:t>
      </w:r>
      <w:r w:rsidRPr="00474979">
        <w:rPr>
          <w:vertAlign w:val="superscript"/>
        </w:rPr>
        <w:t>2</w:t>
      </w:r>
      <w:r w:rsidRPr="00132C1E">
        <w:t>, longitudinal reinforcement should be Class C while shear reinforcement may be of Class B.</w:t>
      </w:r>
      <w:r w:rsidRPr="00474979">
        <w:t xml:space="preserve"> If </w:t>
      </w:r>
      <w:r w:rsidRPr="00474979">
        <w:rPr>
          <w:i/>
        </w:rPr>
        <w:t>S</w:t>
      </w:r>
      <w:r w:rsidRPr="00474979">
        <w:rPr>
          <w:vertAlign w:val="subscript"/>
        </w:rPr>
        <w:t>δ</w:t>
      </w:r>
      <w:r w:rsidRPr="00132C1E">
        <w:t xml:space="preserve"> ≤ 3m/s</w:t>
      </w:r>
      <w:r w:rsidRPr="00474979">
        <w:rPr>
          <w:vertAlign w:val="superscript"/>
        </w:rPr>
        <w:t>2</w:t>
      </w:r>
      <w:r w:rsidRPr="00132C1E">
        <w:t>, longitudinal reinforcement may be Class B and shear reinforcement Class A.</w:t>
      </w:r>
    </w:p>
    <w:p w14:paraId="2DA10C97" w14:textId="5A642F02" w:rsidR="00112B9F" w:rsidRPr="00132C1E" w:rsidRDefault="00112B9F" w:rsidP="00724E4E">
      <w:pPr>
        <w:pStyle w:val="Clause"/>
      </w:pPr>
      <w:r w:rsidRPr="00132C1E">
        <w:t>Lap splices should not be shorter than 60 times the diametre of the bars being spliced.</w:t>
      </w:r>
    </w:p>
    <w:p w14:paraId="166CDA5E" w14:textId="799E97B9" w:rsidR="00112B9F" w:rsidRPr="00132C1E" w:rsidRDefault="00112B9F" w:rsidP="00112B9F">
      <w:pPr>
        <w:pStyle w:val="Heading2"/>
      </w:pPr>
      <w:bookmarkStart w:id="10792" w:name="_Toc7368771"/>
      <w:bookmarkStart w:id="10793" w:name="_Ref7369624"/>
      <w:bookmarkStart w:id="10794" w:name="_Ref18242477"/>
      <w:bookmarkStart w:id="10795" w:name="_Toc19566943"/>
      <w:bookmarkStart w:id="10796" w:name="_Toc50150639"/>
      <w:bookmarkStart w:id="10797" w:name="_Toc70887072"/>
      <w:bookmarkStart w:id="10798" w:name="_Toc108342655"/>
      <w:bookmarkStart w:id="10799" w:name="_Toc134198165"/>
      <w:r w:rsidRPr="00132C1E">
        <w:t>Rules for simple masonry buildings</w:t>
      </w:r>
      <w:bookmarkEnd w:id="10792"/>
      <w:bookmarkEnd w:id="10793"/>
      <w:bookmarkEnd w:id="10794"/>
      <w:bookmarkEnd w:id="10795"/>
      <w:bookmarkEnd w:id="10796"/>
      <w:bookmarkEnd w:id="10797"/>
      <w:bookmarkEnd w:id="10798"/>
      <w:bookmarkEnd w:id="10799"/>
    </w:p>
    <w:p w14:paraId="690215FF" w14:textId="77777777" w:rsidR="00112B9F" w:rsidRPr="00132C1E" w:rsidRDefault="00112B9F" w:rsidP="00112B9F">
      <w:pPr>
        <w:pStyle w:val="Heading3"/>
      </w:pPr>
      <w:bookmarkStart w:id="10800" w:name="_Toc7368772"/>
      <w:bookmarkStart w:id="10801" w:name="_Toc19566944"/>
      <w:bookmarkStart w:id="10802" w:name="_Toc50150640"/>
      <w:bookmarkStart w:id="10803" w:name="_Toc70887073"/>
      <w:bookmarkStart w:id="10804" w:name="_Toc108342656"/>
      <w:bookmarkStart w:id="10805" w:name="_Toc134198166"/>
      <w:r w:rsidRPr="00132C1E">
        <w:t>General</w:t>
      </w:r>
      <w:bookmarkEnd w:id="10800"/>
      <w:bookmarkEnd w:id="10801"/>
      <w:bookmarkEnd w:id="10802"/>
      <w:bookmarkEnd w:id="10803"/>
      <w:bookmarkEnd w:id="10804"/>
      <w:bookmarkEnd w:id="10805"/>
    </w:p>
    <w:p w14:paraId="1012CD47" w14:textId="304B765C" w:rsidR="00112B9F" w:rsidRPr="00474979" w:rsidRDefault="00112B9F" w:rsidP="0080187E">
      <w:pPr>
        <w:pStyle w:val="Clause"/>
        <w:numPr>
          <w:ilvl w:val="0"/>
          <w:numId w:val="514"/>
        </w:numPr>
      </w:pPr>
      <w:bookmarkStart w:id="10806" w:name="_Toc19566945"/>
      <w:bookmarkStart w:id="10807" w:name="_Ref19567005"/>
      <w:r w:rsidRPr="00474979">
        <w:t xml:space="preserve">Buildings conforming to </w:t>
      </w:r>
      <w:r w:rsidRPr="00835C82">
        <w:t>14.8.2</w:t>
      </w:r>
      <w:r w:rsidRPr="00474979">
        <w:t xml:space="preserve"> </w:t>
      </w:r>
      <w:r w:rsidR="000921A9">
        <w:t>may be</w:t>
      </w:r>
      <w:r w:rsidRPr="00474979">
        <w:t xml:space="preserve"> classified</w:t>
      </w:r>
      <w:r w:rsidR="000921A9">
        <w:t xml:space="preserve"> as</w:t>
      </w:r>
      <w:r w:rsidRPr="00474979">
        <w:t xml:space="preserve"> “simple masonry buildings”.</w:t>
      </w:r>
    </w:p>
    <w:p w14:paraId="3C59D703" w14:textId="75995404" w:rsidR="00112B9F" w:rsidRPr="00474979" w:rsidRDefault="00112B9F" w:rsidP="00724E4E">
      <w:pPr>
        <w:pStyle w:val="Clause"/>
      </w:pPr>
      <w:r w:rsidRPr="00474979">
        <w:t xml:space="preserve">For simple masonry buildings, the verifications in </w:t>
      </w:r>
      <w:r w:rsidRPr="00835C82">
        <w:t>14.6</w:t>
      </w:r>
      <w:r w:rsidRPr="00474979">
        <w:t xml:space="preserve"> may be replaced by those in</w:t>
      </w:r>
      <w:r w:rsidRPr="00835C82">
        <w:t xml:space="preserve"> 14.8.</w:t>
      </w:r>
      <w:r w:rsidR="000921A9">
        <w:t>2(6)</w:t>
      </w:r>
    </w:p>
    <w:p w14:paraId="5D9A6D19" w14:textId="3BDAC199" w:rsidR="00112B9F" w:rsidRPr="00132C1E" w:rsidRDefault="00112B9F" w:rsidP="00112B9F">
      <w:pPr>
        <w:pStyle w:val="Heading3"/>
      </w:pPr>
      <w:bookmarkStart w:id="10808" w:name="_Toc50150641"/>
      <w:bookmarkStart w:id="10809" w:name="_Toc70887074"/>
      <w:bookmarkStart w:id="10810" w:name="_Toc108342657"/>
      <w:bookmarkStart w:id="10811" w:name="_Toc134198167"/>
      <w:bookmarkEnd w:id="10806"/>
      <w:bookmarkEnd w:id="10807"/>
      <w:r w:rsidRPr="00132C1E">
        <w:t xml:space="preserve">Design </w:t>
      </w:r>
      <w:r w:rsidR="009845F1">
        <w:t>rules</w:t>
      </w:r>
      <w:bookmarkEnd w:id="10808"/>
      <w:bookmarkEnd w:id="10809"/>
      <w:bookmarkEnd w:id="10810"/>
      <w:bookmarkEnd w:id="10811"/>
    </w:p>
    <w:p w14:paraId="08583E37" w14:textId="4DF7D0A0" w:rsidR="00112B9F" w:rsidRPr="00D1484A" w:rsidRDefault="00112B9F" w:rsidP="0080187E">
      <w:pPr>
        <w:pStyle w:val="Clause"/>
        <w:numPr>
          <w:ilvl w:val="0"/>
          <w:numId w:val="515"/>
        </w:numPr>
      </w:pPr>
      <w:bookmarkStart w:id="10812" w:name="_Ref17289170"/>
      <w:bookmarkStart w:id="10813" w:name="_Ref19565748"/>
      <w:bookmarkStart w:id="10814" w:name="_Toc19566946"/>
      <w:bookmarkStart w:id="10815" w:name="_Ref17289236"/>
      <w:r w:rsidRPr="00132C1E">
        <w:t xml:space="preserve">The plan configuration of buildings should </w:t>
      </w:r>
      <w:r w:rsidR="009845F1">
        <w:t>satisfy</w:t>
      </w:r>
      <w:r w:rsidRPr="00132C1E">
        <w:t xml:space="preserve"> </w:t>
      </w:r>
      <w:r w:rsidR="0049475C">
        <w:t>a)</w:t>
      </w:r>
      <w:r w:rsidRPr="00132C1E">
        <w:t xml:space="preserve"> to c)</w:t>
      </w:r>
      <w:r w:rsidRPr="00D1484A">
        <w:t>:</w:t>
      </w:r>
      <w:bookmarkEnd w:id="10812"/>
    </w:p>
    <w:p w14:paraId="3C576733" w14:textId="77777777" w:rsidR="00112B9F" w:rsidRPr="00FD17CF" w:rsidRDefault="00112B9F" w:rsidP="00ED5D26">
      <w:pPr>
        <w:pStyle w:val="Text"/>
        <w:numPr>
          <w:ilvl w:val="0"/>
          <w:numId w:val="687"/>
        </w:numPr>
        <w:spacing w:after="200"/>
      </w:pPr>
      <w:bookmarkStart w:id="10816" w:name="_Ref19538546"/>
      <w:r w:rsidRPr="007E6F67">
        <w:lastRenderedPageBreak/>
        <w:t>the plan should be approximately rectangular;</w:t>
      </w:r>
      <w:bookmarkStart w:id="10817" w:name="_Ref19538559"/>
      <w:bookmarkEnd w:id="10816"/>
    </w:p>
    <w:p w14:paraId="001ED13E" w14:textId="674D297E" w:rsidR="00112B9F" w:rsidRPr="00E05E29" w:rsidRDefault="00112B9F" w:rsidP="00ED5D26">
      <w:pPr>
        <w:pStyle w:val="Text"/>
        <w:numPr>
          <w:ilvl w:val="0"/>
          <w:numId w:val="687"/>
        </w:numPr>
        <w:spacing w:after="200"/>
      </w:pPr>
      <w:r w:rsidRPr="00E05E29">
        <w:t>the ratio between the length of the small side and the length of the long side should not be smaller than 0,25;</w:t>
      </w:r>
      <w:bookmarkStart w:id="10818" w:name="_Ref19538565"/>
      <w:bookmarkEnd w:id="10817"/>
    </w:p>
    <w:p w14:paraId="394DF677" w14:textId="6CDC96CF" w:rsidR="00112B9F" w:rsidRPr="002144A0" w:rsidRDefault="00112B9F" w:rsidP="00ED5D26">
      <w:pPr>
        <w:pStyle w:val="Text"/>
        <w:numPr>
          <w:ilvl w:val="0"/>
          <w:numId w:val="687"/>
        </w:numPr>
        <w:spacing w:after="200"/>
      </w:pPr>
      <w:r w:rsidRPr="00196951">
        <w:t xml:space="preserve">the area of projections of recesses from the rectangular shape </w:t>
      </w:r>
      <w:r w:rsidRPr="002144A0">
        <w:t>should be not greater than 15</w:t>
      </w:r>
      <w:r w:rsidR="00ED5D26">
        <w:t> </w:t>
      </w:r>
      <w:r w:rsidRPr="002144A0">
        <w:t>% of the total floor area above the level considered.</w:t>
      </w:r>
      <w:bookmarkEnd w:id="10818"/>
    </w:p>
    <w:p w14:paraId="7EF4FCE2" w14:textId="03D3DFEF" w:rsidR="00112B9F" w:rsidRPr="00474979" w:rsidRDefault="00112B9F" w:rsidP="00724E4E">
      <w:pPr>
        <w:pStyle w:val="Clause"/>
      </w:pPr>
      <w:r w:rsidRPr="002144A0">
        <w:t xml:space="preserve">Buildings should be regular in elevation and comply with </w:t>
      </w:r>
      <w:r w:rsidRPr="00835C82">
        <w:rPr>
          <w:rFonts w:eastAsia="Cambria"/>
        </w:rPr>
        <w:t>4.4.4.2(1)</w:t>
      </w:r>
      <w:r w:rsidRPr="00474979">
        <w:t xml:space="preserve"> </w:t>
      </w:r>
      <w:r w:rsidRPr="00835C82">
        <w:rPr>
          <w:rFonts w:eastAsia="Cambria"/>
        </w:rPr>
        <w:t>a)</w:t>
      </w:r>
      <w:r w:rsidRPr="00474979">
        <w:t xml:space="preserve"> and </w:t>
      </w:r>
      <w:r w:rsidRPr="00835C82">
        <w:rPr>
          <w:rFonts w:eastAsia="Cambria"/>
        </w:rPr>
        <w:t>b)</w:t>
      </w:r>
      <w:r w:rsidRPr="00474979">
        <w:t>.</w:t>
      </w:r>
    </w:p>
    <w:p w14:paraId="17966789" w14:textId="72428280" w:rsidR="00112B9F" w:rsidRPr="00132C1E" w:rsidRDefault="00112B9F" w:rsidP="00724E4E">
      <w:pPr>
        <w:pStyle w:val="Clause"/>
      </w:pPr>
      <w:r w:rsidRPr="00132C1E">
        <w:t xml:space="preserve">The roof and slab diaphragms should comply with </w:t>
      </w:r>
      <w:r w:rsidRPr="00835C82">
        <w:t>14.2.2.</w:t>
      </w:r>
    </w:p>
    <w:p w14:paraId="000EA8F2" w14:textId="471B6FBC" w:rsidR="00112B9F" w:rsidRPr="00132C1E" w:rsidRDefault="00112B9F" w:rsidP="00724E4E">
      <w:pPr>
        <w:pStyle w:val="Clause"/>
      </w:pPr>
      <w:r w:rsidRPr="00132C1E">
        <w:t xml:space="preserve">The shear walls of simple masonry buildings should satisfy conditions a) to </w:t>
      </w:r>
      <w:r w:rsidR="009845F1">
        <w:t>k</w:t>
      </w:r>
      <w:r w:rsidRPr="00132C1E">
        <w:t>):</w:t>
      </w:r>
    </w:p>
    <w:p w14:paraId="4D740BE7" w14:textId="78580D2B" w:rsidR="00112B9F" w:rsidRPr="00132C1E" w:rsidRDefault="00112B9F" w:rsidP="0080187E">
      <w:pPr>
        <w:pStyle w:val="Text"/>
        <w:numPr>
          <w:ilvl w:val="0"/>
          <w:numId w:val="688"/>
        </w:numPr>
      </w:pPr>
      <w:r w:rsidRPr="00132C1E">
        <w:t>The primary walls should be placed almost symmetrically in plan in two orthogonal directions.</w:t>
      </w:r>
    </w:p>
    <w:p w14:paraId="77F97B67" w14:textId="77777777" w:rsidR="00112B9F" w:rsidRPr="00132C1E" w:rsidRDefault="00112B9F" w:rsidP="0080187E">
      <w:pPr>
        <w:pStyle w:val="Text"/>
        <w:numPr>
          <w:ilvl w:val="0"/>
          <w:numId w:val="688"/>
        </w:numPr>
      </w:pPr>
      <w:r w:rsidRPr="00132C1E">
        <w:t>The primary walls should be placed far from the centre of mass so that the building is not classified as torsionally flexible.</w:t>
      </w:r>
    </w:p>
    <w:p w14:paraId="390007C5" w14:textId="77777777" w:rsidR="00112B9F" w:rsidRPr="00132C1E" w:rsidRDefault="00112B9F" w:rsidP="0080187E">
      <w:pPr>
        <w:pStyle w:val="Text"/>
        <w:numPr>
          <w:ilvl w:val="0"/>
          <w:numId w:val="688"/>
        </w:numPr>
      </w:pPr>
      <w:r w:rsidRPr="00132C1E">
        <w:t>The primary walls should be continuous from the foundation to the top of the building.</w:t>
      </w:r>
    </w:p>
    <w:p w14:paraId="5136D307" w14:textId="77777777" w:rsidR="00112B9F" w:rsidRPr="00132C1E" w:rsidRDefault="00112B9F" w:rsidP="0080187E">
      <w:pPr>
        <w:pStyle w:val="Text"/>
        <w:numPr>
          <w:ilvl w:val="0"/>
          <w:numId w:val="688"/>
        </w:numPr>
      </w:pPr>
      <w:r w:rsidRPr="00132C1E">
        <w:t xml:space="preserve">The primary and secondary walls should satisfy the limitations to </w:t>
      </w:r>
      <w:r w:rsidRPr="00132C1E">
        <w:rPr>
          <w:i/>
          <w:iCs/>
        </w:rPr>
        <w:t>h</w:t>
      </w:r>
      <w:r w:rsidRPr="00132C1E">
        <w:rPr>
          <w:vertAlign w:val="subscript"/>
        </w:rPr>
        <w:t>ef</w:t>
      </w:r>
      <w:r w:rsidRPr="00132C1E">
        <w:t>/</w:t>
      </w:r>
      <w:r w:rsidRPr="00132C1E">
        <w:rPr>
          <w:i/>
          <w:iCs/>
        </w:rPr>
        <w:t>t</w:t>
      </w:r>
      <w:r w:rsidRPr="00132C1E">
        <w:rPr>
          <w:vertAlign w:val="subscript"/>
        </w:rPr>
        <w:t>ef</w:t>
      </w:r>
      <w:r w:rsidRPr="00132C1E">
        <w:t xml:space="preserve"> in Table 14.2; primary walls should also satisfy the limitations to </w:t>
      </w:r>
      <w:r w:rsidRPr="00132C1E">
        <w:rPr>
          <w:i/>
          <w:iCs/>
        </w:rPr>
        <w:t>l</w:t>
      </w:r>
      <w:r w:rsidRPr="00132C1E">
        <w:rPr>
          <w:vertAlign w:val="subscript"/>
        </w:rPr>
        <w:t>mp</w:t>
      </w:r>
      <w:r w:rsidRPr="00132C1E">
        <w:t>/</w:t>
      </w:r>
      <w:r w:rsidRPr="00132C1E">
        <w:rPr>
          <w:i/>
          <w:iCs/>
        </w:rPr>
        <w:t>h</w:t>
      </w:r>
      <w:r w:rsidRPr="00132C1E">
        <w:rPr>
          <w:vertAlign w:val="subscript"/>
        </w:rPr>
        <w:t>op</w:t>
      </w:r>
      <w:r w:rsidRPr="00132C1E">
        <w:t xml:space="preserve"> in Table 14.2.</w:t>
      </w:r>
    </w:p>
    <w:p w14:paraId="3F4A91CE" w14:textId="77777777" w:rsidR="00112B9F" w:rsidRPr="0049475C" w:rsidRDefault="00112B9F" w:rsidP="0080187E">
      <w:pPr>
        <w:pStyle w:val="Text"/>
        <w:numPr>
          <w:ilvl w:val="0"/>
          <w:numId w:val="688"/>
        </w:numPr>
      </w:pPr>
      <w:r w:rsidRPr="00132C1E">
        <w:t xml:space="preserve">For </w:t>
      </w:r>
      <w:r w:rsidRPr="00132C1E">
        <w:rPr>
          <w:i/>
          <w:iCs/>
        </w:rPr>
        <w:t>S</w:t>
      </w:r>
      <w:r w:rsidRPr="00132C1E">
        <w:rPr>
          <w:vertAlign w:val="subscript"/>
        </w:rPr>
        <w:t>δ</w:t>
      </w:r>
      <w:r w:rsidRPr="00132C1E">
        <w:t xml:space="preserve"> &gt; 3 m/s</w:t>
      </w:r>
      <w:r w:rsidRPr="00132C1E">
        <w:rPr>
          <w:vertAlign w:val="superscript"/>
        </w:rPr>
        <w:t>2</w:t>
      </w:r>
      <w:r w:rsidRPr="00132C1E">
        <w:t xml:space="preserve">, primary </w:t>
      </w:r>
      <w:r w:rsidRPr="0049475C">
        <w:t>walls in unreinforced masonry should satisfy 14.7.2, primary walls in confined masonry should satisfy 14.7.3 and primary walls in reinforced masonry should satisfy 14.7.4.</w:t>
      </w:r>
    </w:p>
    <w:p w14:paraId="2AC852A5" w14:textId="2C482CCF" w:rsidR="00112B9F" w:rsidRPr="00132C1E" w:rsidRDefault="009845F1" w:rsidP="0080187E">
      <w:pPr>
        <w:pStyle w:val="Text"/>
        <w:numPr>
          <w:ilvl w:val="0"/>
          <w:numId w:val="688"/>
        </w:numPr>
      </w:pPr>
      <w:r>
        <w:t>A</w:t>
      </w:r>
      <w:r w:rsidR="00112B9F" w:rsidRPr="00132C1E">
        <w:t>t least 75</w:t>
      </w:r>
      <w:r w:rsidR="00ED5D26">
        <w:t> </w:t>
      </w:r>
      <w:r w:rsidR="00112B9F" w:rsidRPr="00132C1E">
        <w:t xml:space="preserve">% of the vertical loads should be supported by primary walls and should be distributed almost equally to primary walls in both </w:t>
      </w:r>
      <w:r>
        <w:t xml:space="preserve">principal </w:t>
      </w:r>
      <w:r w:rsidR="00112B9F" w:rsidRPr="00132C1E">
        <w:t>directions.</w:t>
      </w:r>
    </w:p>
    <w:p w14:paraId="6217505E" w14:textId="3C9E9F0B" w:rsidR="00112B9F" w:rsidRPr="00132C1E" w:rsidRDefault="009845F1" w:rsidP="0080187E">
      <w:pPr>
        <w:pStyle w:val="Text"/>
        <w:numPr>
          <w:ilvl w:val="0"/>
          <w:numId w:val="688"/>
        </w:numPr>
      </w:pPr>
      <w:r>
        <w:t>T</w:t>
      </w:r>
      <w:r w:rsidR="00112B9F" w:rsidRPr="00132C1E">
        <w:t xml:space="preserve">here should be at least two primary shear walls in each </w:t>
      </w:r>
      <w:r>
        <w:t xml:space="preserve">principal </w:t>
      </w:r>
      <w:r w:rsidR="00112B9F" w:rsidRPr="00132C1E">
        <w:t>direction which should have a length</w:t>
      </w:r>
      <w:r w:rsidR="00112B9F" w:rsidRPr="00132C1E">
        <w:rPr>
          <w:i/>
          <w:iCs/>
        </w:rPr>
        <w:t xml:space="preserve"> l</w:t>
      </w:r>
      <w:r w:rsidR="00112B9F" w:rsidRPr="00132C1E">
        <w:rPr>
          <w:vertAlign w:val="subscript"/>
        </w:rPr>
        <w:t>mp</w:t>
      </w:r>
      <w:r w:rsidR="00112B9F" w:rsidRPr="00132C1E">
        <w:t xml:space="preserve"> not less than that corresponding to twice the minimum value of </w:t>
      </w:r>
      <w:r w:rsidR="00112B9F" w:rsidRPr="00132C1E">
        <w:rPr>
          <w:i/>
          <w:iCs/>
        </w:rPr>
        <w:t>l</w:t>
      </w:r>
      <w:r w:rsidR="00112B9F" w:rsidRPr="00132C1E">
        <w:rPr>
          <w:vertAlign w:val="subscript"/>
        </w:rPr>
        <w:t>mp</w:t>
      </w:r>
      <w:r w:rsidR="00112B9F" w:rsidRPr="00132C1E">
        <w:t>/</w:t>
      </w:r>
      <w:r w:rsidR="00112B9F" w:rsidRPr="00132C1E">
        <w:rPr>
          <w:i/>
          <w:iCs/>
        </w:rPr>
        <w:t>h</w:t>
      </w:r>
      <w:r w:rsidR="00112B9F" w:rsidRPr="00132C1E">
        <w:rPr>
          <w:vertAlign w:val="subscript"/>
        </w:rPr>
        <w:t>op</w:t>
      </w:r>
      <w:r w:rsidR="00112B9F" w:rsidRPr="00132C1E">
        <w:t xml:space="preserve"> in Table 14.2. In each horizontal direction, the spacing of these two primary walls should not be smaller than 60</w:t>
      </w:r>
      <w:r w:rsidR="00ED5D26">
        <w:t> </w:t>
      </w:r>
      <w:r w:rsidR="00112B9F" w:rsidRPr="00132C1E">
        <w:t>% of the building dimension orthogonal to the wall plane.</w:t>
      </w:r>
      <w:r w:rsidR="00112B9F" w:rsidRPr="00132C1E">
        <w:rPr>
          <w:rFonts w:ascii="Arial" w:hAnsi="Arial"/>
          <w:sz w:val="18"/>
          <w:szCs w:val="18"/>
        </w:rPr>
        <w:t xml:space="preserve"> </w:t>
      </w:r>
    </w:p>
    <w:p w14:paraId="33730A7A" w14:textId="3D248211" w:rsidR="00112B9F" w:rsidRDefault="00112B9F" w:rsidP="0080187E">
      <w:pPr>
        <w:pStyle w:val="Text"/>
        <w:numPr>
          <w:ilvl w:val="0"/>
          <w:numId w:val="688"/>
        </w:numPr>
      </w:pPr>
      <w:r w:rsidRPr="00132C1E">
        <w:t xml:space="preserve">In unreinforced masonry buildings, if </w:t>
      </w:r>
      <w:r w:rsidRPr="00132C1E">
        <w:rPr>
          <w:i/>
          <w:iCs/>
        </w:rPr>
        <w:t>S</w:t>
      </w:r>
      <w:r w:rsidRPr="00132C1E">
        <w:rPr>
          <w:vertAlign w:val="subscript"/>
        </w:rPr>
        <w:t>δ</w:t>
      </w:r>
      <w:r w:rsidRPr="00132C1E">
        <w:t xml:space="preserve"> ≤ 3 m/</w:t>
      </w:r>
      <w:r w:rsidRPr="00723ABF">
        <w:t>s</w:t>
      </w:r>
      <w:r w:rsidRPr="00723ABF">
        <w:rPr>
          <w:vertAlign w:val="superscript"/>
        </w:rPr>
        <w:t>2</w:t>
      </w:r>
      <w:r w:rsidRPr="00723ABF">
        <w:t xml:space="preserve">, the spacing of two primary walls </w:t>
      </w:r>
      <w:r w:rsidR="009845F1">
        <w:t xml:space="preserve">required in g) </w:t>
      </w:r>
      <w:r w:rsidRPr="00723ABF">
        <w:t>should not be smaller than 75</w:t>
      </w:r>
      <w:r w:rsidR="00ED5D26">
        <w:t> </w:t>
      </w:r>
      <w:r w:rsidRPr="00723ABF">
        <w:t>% of the building dimension orthogonal to the wall plane</w:t>
      </w:r>
      <w:r w:rsidR="009845F1">
        <w:t xml:space="preserve"> in one principal direction</w:t>
      </w:r>
      <w:r w:rsidRPr="00723ABF">
        <w:t>.</w:t>
      </w:r>
    </w:p>
    <w:p w14:paraId="6D8886AA" w14:textId="65926B1F" w:rsidR="009845F1" w:rsidRDefault="009845F1" w:rsidP="0080187E">
      <w:pPr>
        <w:pStyle w:val="Text"/>
        <w:numPr>
          <w:ilvl w:val="0"/>
          <w:numId w:val="688"/>
        </w:numPr>
      </w:pPr>
      <w:r w:rsidRPr="009B4FA7">
        <w:t xml:space="preserve">In unreinforced masonry buildings, if </w:t>
      </w:r>
      <w:r w:rsidRPr="009B4FA7">
        <w:rPr>
          <w:i/>
          <w:iCs/>
        </w:rPr>
        <w:t>S</w:t>
      </w:r>
      <w:r w:rsidRPr="009B4FA7">
        <w:rPr>
          <w:vertAlign w:val="subscript"/>
        </w:rPr>
        <w:t>δ</w:t>
      </w:r>
      <w:r w:rsidRPr="009B4FA7">
        <w:t xml:space="preserve"> </w:t>
      </w:r>
      <w:r>
        <w:t>&gt;</w:t>
      </w:r>
      <w:r w:rsidRPr="009B4FA7">
        <w:t xml:space="preserve"> 3 m/s</w:t>
      </w:r>
      <w:r w:rsidRPr="009B4FA7">
        <w:rPr>
          <w:vertAlign w:val="superscript"/>
        </w:rPr>
        <w:t>2</w:t>
      </w:r>
      <w:r w:rsidRPr="009B4FA7">
        <w:t xml:space="preserve">, the spacing of the two primary walls </w:t>
      </w:r>
      <w:r>
        <w:t xml:space="preserve">required in g) </w:t>
      </w:r>
      <w:r w:rsidRPr="009B4FA7">
        <w:t>should not be smaller than 60</w:t>
      </w:r>
      <w:r w:rsidR="00ED5D26">
        <w:t> </w:t>
      </w:r>
      <w:r w:rsidRPr="009B4FA7">
        <w:t>% of the building dimension orthogonal to the wall plane</w:t>
      </w:r>
      <w:r>
        <w:t xml:space="preserve"> i</w:t>
      </w:r>
      <w:r w:rsidRPr="009B4FA7">
        <w:t xml:space="preserve">n each </w:t>
      </w:r>
      <w:r>
        <w:t>princip</w:t>
      </w:r>
      <w:r w:rsidRPr="009B4FA7">
        <w:t>al direction.</w:t>
      </w:r>
    </w:p>
    <w:p w14:paraId="199D9139" w14:textId="7B94E989" w:rsidR="009845F1" w:rsidRPr="00132C1E" w:rsidRDefault="009845F1" w:rsidP="0080187E">
      <w:pPr>
        <w:pStyle w:val="Text"/>
        <w:numPr>
          <w:ilvl w:val="0"/>
          <w:numId w:val="688"/>
        </w:numPr>
      </w:pPr>
      <w:r>
        <w:t>In</w:t>
      </w:r>
      <w:r w:rsidRPr="009B4FA7">
        <w:t xml:space="preserve"> reinforced </w:t>
      </w:r>
      <w:r>
        <w:t>and</w:t>
      </w:r>
      <w:r w:rsidRPr="009B4FA7">
        <w:t xml:space="preserve"> confined masonry buildings, the average primary wall length should not be smaller than 1,5 m</w:t>
      </w:r>
      <w:r>
        <w:t>.</w:t>
      </w:r>
    </w:p>
    <w:p w14:paraId="5F65CC7A" w14:textId="2523843C" w:rsidR="00112B9F" w:rsidRPr="00132C1E" w:rsidRDefault="009845F1" w:rsidP="0080187E">
      <w:pPr>
        <w:pStyle w:val="Text"/>
        <w:numPr>
          <w:ilvl w:val="0"/>
          <w:numId w:val="688"/>
        </w:numPr>
      </w:pPr>
      <w:r>
        <w:t>In</w:t>
      </w:r>
      <w:r w:rsidR="00112B9F" w:rsidRPr="00132C1E">
        <w:t xml:space="preserve"> reinforced </w:t>
      </w:r>
      <w:r>
        <w:t>and</w:t>
      </w:r>
      <w:r w:rsidR="00112B9F" w:rsidRPr="00132C1E">
        <w:t xml:space="preserve"> confined masonry buildings</w:t>
      </w:r>
      <w:r w:rsidR="00242E8C">
        <w:t xml:space="preserve"> of</w:t>
      </w:r>
      <w:r w:rsidR="00422F5E">
        <w:t xml:space="preserve"> </w:t>
      </w:r>
      <w:r w:rsidR="00112B9F" w:rsidRPr="00132C1E">
        <w:t>3 or 4 storeys and</w:t>
      </w:r>
      <w:r w:rsidR="00242E8C">
        <w:t xml:space="preserve"> for</w:t>
      </w:r>
      <w:r w:rsidR="00112B9F" w:rsidRPr="00132C1E">
        <w:t xml:space="preserve"> </w:t>
      </w:r>
      <w:r w:rsidR="00112B9F" w:rsidRPr="00132C1E">
        <w:rPr>
          <w:i/>
          <w:iCs/>
        </w:rPr>
        <w:t>S</w:t>
      </w:r>
      <w:r w:rsidR="00112B9F" w:rsidRPr="00132C1E">
        <w:rPr>
          <w:vertAlign w:val="subscript"/>
        </w:rPr>
        <w:t xml:space="preserve">δ </w:t>
      </w:r>
      <w:r w:rsidR="00112B9F" w:rsidRPr="00132C1E">
        <w:t xml:space="preserve">&gt; </w:t>
      </w:r>
      <w:r w:rsidR="006D62C5">
        <w:t>3</w:t>
      </w:r>
      <w:r w:rsidR="00112B9F" w:rsidRPr="00132C1E">
        <w:t xml:space="preserve"> m/s</w:t>
      </w:r>
      <w:r w:rsidR="00112B9F" w:rsidRPr="00132C1E">
        <w:rPr>
          <w:vertAlign w:val="superscript"/>
        </w:rPr>
        <w:t>2</w:t>
      </w:r>
      <w:r w:rsidR="00112B9F" w:rsidRPr="00132C1E">
        <w:t>, th</w:t>
      </w:r>
      <w:r w:rsidR="00242E8C">
        <w:t>e</w:t>
      </w:r>
      <w:r w:rsidR="00112B9F" w:rsidRPr="00132C1E">
        <w:t xml:space="preserve"> minimum average </w:t>
      </w:r>
      <w:r w:rsidR="00242E8C">
        <w:t xml:space="preserve">primary </w:t>
      </w:r>
      <w:r w:rsidR="00112B9F" w:rsidRPr="00132C1E">
        <w:t>wall length should</w:t>
      </w:r>
      <w:r w:rsidR="00242E8C">
        <w:t xml:space="preserve"> not</w:t>
      </w:r>
      <w:r w:rsidR="00112B9F" w:rsidRPr="00132C1E">
        <w:t xml:space="preserve"> be</w:t>
      </w:r>
      <w:r w:rsidR="00242E8C">
        <w:t xml:space="preserve"> smaller than</w:t>
      </w:r>
      <w:r w:rsidR="00112B9F" w:rsidRPr="00132C1E">
        <w:t xml:space="preserve"> 2,5 m.</w:t>
      </w:r>
    </w:p>
    <w:p w14:paraId="5F623C36" w14:textId="76412709" w:rsidR="00112B9F" w:rsidRPr="00132C1E" w:rsidRDefault="00112B9F" w:rsidP="003D0B8E">
      <w:pPr>
        <w:pStyle w:val="Notetext"/>
      </w:pPr>
      <w:r w:rsidRPr="00132C1E">
        <w:t>NOTE</w:t>
      </w:r>
      <w:r w:rsidRPr="00132C1E">
        <w:tab/>
        <w:t>The average wall length is defined as the sum of the lengths of all walls divided by the number of walls.</w:t>
      </w:r>
    </w:p>
    <w:p w14:paraId="56ACBFEE" w14:textId="05947166" w:rsidR="00112B9F" w:rsidRPr="00132C1E" w:rsidRDefault="00112B9F" w:rsidP="00724E4E">
      <w:pPr>
        <w:pStyle w:val="Clause"/>
      </w:pPr>
      <w:r w:rsidRPr="00132C1E">
        <w:t>In unreinforced masonry buildings, walls in one direction should be connected with walls in the orthogonal direction at a maximum spacing of 7 m. The connection may be achieved through interlocking of units or details that have similar effects.</w:t>
      </w:r>
    </w:p>
    <w:bookmarkEnd w:id="10813"/>
    <w:bookmarkEnd w:id="10814"/>
    <w:bookmarkEnd w:id="10815"/>
    <w:p w14:paraId="461DE63C" w14:textId="55083993" w:rsidR="00112B9F" w:rsidRPr="00132C1E" w:rsidRDefault="00112B9F" w:rsidP="00724E4E">
      <w:pPr>
        <w:pStyle w:val="Clause"/>
      </w:pPr>
      <w:r w:rsidRPr="00132C1E">
        <w:t xml:space="preserve">The ratio </w:t>
      </w:r>
      <w:r w:rsidR="00242E8C">
        <w:rPr>
          <w:i/>
          <w:iCs/>
        </w:rPr>
        <w:t>p</w:t>
      </w:r>
      <w:r w:rsidR="00242E8C">
        <w:rPr>
          <w:vertAlign w:val="subscript"/>
        </w:rPr>
        <w:t>A</w:t>
      </w:r>
      <w:r w:rsidR="00242E8C">
        <w:rPr>
          <w:i/>
          <w:iCs/>
        </w:rPr>
        <w:t xml:space="preserve"> </w:t>
      </w:r>
      <w:r w:rsidRPr="00132C1E">
        <w:t xml:space="preserve">of the total cross-sectional area </w:t>
      </w:r>
      <w:r w:rsidRPr="00FB5B3D">
        <w:rPr>
          <w:i/>
          <w:iCs/>
        </w:rPr>
        <w:t>A</w:t>
      </w:r>
      <w:r w:rsidRPr="00FB5B3D">
        <w:rPr>
          <w:vertAlign w:val="subscript"/>
        </w:rPr>
        <w:t>mp,tot</w:t>
      </w:r>
      <w:r w:rsidRPr="00132C1E">
        <w:t xml:space="preserve"> of walls in each direction to the </w:t>
      </w:r>
      <w:r w:rsidRPr="00474979">
        <w:t>total floor area per storey</w:t>
      </w:r>
      <w:r w:rsidRPr="00132C1E">
        <w:t xml:space="preserve"> should be greater than </w:t>
      </w:r>
      <w:r w:rsidR="00242E8C">
        <w:t>the</w:t>
      </w:r>
      <w:r w:rsidRPr="00132C1E">
        <w:t xml:space="preserve"> ratio </w:t>
      </w:r>
      <w:r w:rsidRPr="00FB5B3D">
        <w:rPr>
          <w:i/>
        </w:rPr>
        <w:t>p</w:t>
      </w:r>
      <w:r w:rsidRPr="00FB5B3D">
        <w:rPr>
          <w:vertAlign w:val="subscript"/>
        </w:rPr>
        <w:t>A</w:t>
      </w:r>
      <w:r w:rsidR="00242E8C">
        <w:rPr>
          <w:vertAlign w:val="subscript"/>
        </w:rPr>
        <w:t>,min</w:t>
      </w:r>
      <w:r w:rsidRPr="00132C1E">
        <w:t xml:space="preserve"> </w:t>
      </w:r>
      <w:r w:rsidR="00242E8C">
        <w:t xml:space="preserve">satisfying (7). Only walls satisfying (4)c) should be taken into account in calculating </w:t>
      </w:r>
      <w:r w:rsidR="00242E8C" w:rsidRPr="009B4FA7">
        <w:rPr>
          <w:i/>
          <w:iCs/>
        </w:rPr>
        <w:t>A</w:t>
      </w:r>
      <w:r w:rsidR="00242E8C" w:rsidRPr="009B4FA7">
        <w:rPr>
          <w:vertAlign w:val="subscript"/>
        </w:rPr>
        <w:t>mp,tot</w:t>
      </w:r>
      <w:r w:rsidR="00242E8C" w:rsidRPr="009B4FA7">
        <w:t xml:space="preserve"> </w:t>
      </w:r>
      <w:r w:rsidR="00242E8C">
        <w:t>.</w:t>
      </w:r>
    </w:p>
    <w:p w14:paraId="0C39E570" w14:textId="77777777" w:rsidR="00242E8C" w:rsidRDefault="00242E8C" w:rsidP="00724E4E">
      <w:pPr>
        <w:pStyle w:val="Clause"/>
      </w:pPr>
      <w:bookmarkStart w:id="10819" w:name="_Hlk38273428"/>
      <w:r>
        <w:lastRenderedPageBreak/>
        <w:t>The</w:t>
      </w:r>
      <w:r w:rsidRPr="009B4FA7">
        <w:t xml:space="preserve"> </w:t>
      </w:r>
      <w:bookmarkStart w:id="10820" w:name="_Hlk117170154"/>
      <w:r w:rsidRPr="009B4FA7">
        <w:t xml:space="preserve">ratio </w:t>
      </w:r>
      <w:r w:rsidRPr="009B4FA7">
        <w:rPr>
          <w:i/>
        </w:rPr>
        <w:t>p</w:t>
      </w:r>
      <w:r w:rsidRPr="009B4FA7">
        <w:rPr>
          <w:vertAlign w:val="subscript"/>
        </w:rPr>
        <w:t>A</w:t>
      </w:r>
      <w:r>
        <w:rPr>
          <w:vertAlign w:val="subscript"/>
        </w:rPr>
        <w:t>,min</w:t>
      </w:r>
      <w:r w:rsidRPr="009B4FA7">
        <w:t xml:space="preserve"> </w:t>
      </w:r>
      <w:bookmarkEnd w:id="10820"/>
      <w:r>
        <w:t>should be established considering the influence of parameters a) to h):</w:t>
      </w:r>
    </w:p>
    <w:p w14:paraId="2423A91E" w14:textId="77777777" w:rsidR="00242E8C" w:rsidRDefault="00242E8C" w:rsidP="008A133F">
      <w:pPr>
        <w:pStyle w:val="Text"/>
        <w:numPr>
          <w:ilvl w:val="0"/>
          <w:numId w:val="689"/>
        </w:numPr>
        <w:spacing w:after="200"/>
      </w:pPr>
      <w:r w:rsidRPr="00B5135B">
        <w:t xml:space="preserve">number </w:t>
      </w:r>
      <w:r w:rsidRPr="00B5135B">
        <w:rPr>
          <w:i/>
          <w:iCs/>
        </w:rPr>
        <w:t>N</w:t>
      </w:r>
      <w:r w:rsidRPr="00B5135B">
        <w:rPr>
          <w:vertAlign w:val="subscript"/>
        </w:rPr>
        <w:t>s</w:t>
      </w:r>
      <w:r w:rsidRPr="00B5135B">
        <w:t xml:space="preserve"> of storeys</w:t>
      </w:r>
      <w:r>
        <w:t>;</w:t>
      </w:r>
    </w:p>
    <w:p w14:paraId="071BBCEB" w14:textId="1579E8E3" w:rsidR="00242E8C" w:rsidRPr="009B4FA7" w:rsidRDefault="00242E8C" w:rsidP="008A133F">
      <w:pPr>
        <w:autoSpaceDE w:val="0"/>
        <w:autoSpaceDN w:val="0"/>
        <w:adjustRightInd w:val="0"/>
        <w:spacing w:after="200"/>
        <w:ind w:left="360"/>
        <w:rPr>
          <w:rFonts w:eastAsia="MS Mincho" w:cs="Cambria"/>
          <w:sz w:val="20"/>
          <w:szCs w:val="20"/>
          <w:lang w:eastAsia="fr-FR"/>
        </w:rPr>
      </w:pPr>
      <w:bookmarkStart w:id="10821" w:name="_Hlk117169523"/>
      <w:r w:rsidRPr="009B4FA7">
        <w:rPr>
          <w:rFonts w:eastAsia="MS Mincho" w:cs="Cambria"/>
          <w:bCs/>
          <w:sz w:val="20"/>
          <w:szCs w:val="20"/>
          <w:lang w:eastAsia="fr-FR"/>
        </w:rPr>
        <w:t>NOTE</w:t>
      </w:r>
      <w:r w:rsidRPr="009B4FA7">
        <w:rPr>
          <w:rFonts w:eastAsia="MS Mincho" w:cs="Cambria"/>
          <w:bCs/>
          <w:sz w:val="20"/>
          <w:szCs w:val="20"/>
          <w:lang w:eastAsia="fr-FR"/>
        </w:rPr>
        <w:tab/>
      </w:r>
      <w:r w:rsidRPr="009B4FA7">
        <w:rPr>
          <w:rFonts w:eastAsia="MS Mincho" w:cs="Cambria"/>
          <w:sz w:val="20"/>
          <w:szCs w:val="20"/>
          <w:lang w:eastAsia="fr-FR"/>
        </w:rPr>
        <w:t xml:space="preserve">The number </w:t>
      </w:r>
      <w:r w:rsidRPr="009B4FA7">
        <w:rPr>
          <w:rFonts w:eastAsia="MS Mincho" w:cs="Cambria"/>
          <w:i/>
          <w:iCs/>
          <w:sz w:val="20"/>
          <w:szCs w:val="20"/>
          <w:lang w:eastAsia="fr-FR"/>
        </w:rPr>
        <w:t>N</w:t>
      </w:r>
      <w:r w:rsidRPr="009B4FA7">
        <w:rPr>
          <w:rFonts w:eastAsia="MS Mincho" w:cs="Cambria"/>
          <w:sz w:val="20"/>
          <w:szCs w:val="20"/>
          <w:vertAlign w:val="subscript"/>
          <w:lang w:eastAsia="fr-FR"/>
        </w:rPr>
        <w:t>s</w:t>
      </w:r>
      <w:r w:rsidRPr="009B4FA7">
        <w:rPr>
          <w:rFonts w:eastAsia="MS Mincho" w:cs="Cambria"/>
          <w:sz w:val="20"/>
          <w:szCs w:val="20"/>
          <w:lang w:eastAsia="fr-FR"/>
        </w:rPr>
        <w:t xml:space="preserve"> of storeys includes the ground storey and does not include the underground storeys and the roof space above full storeys</w:t>
      </w:r>
      <w:bookmarkEnd w:id="10821"/>
      <w:r w:rsidRPr="009B4FA7">
        <w:rPr>
          <w:rFonts w:eastAsia="MS Mincho" w:cs="Cambria"/>
          <w:sz w:val="20"/>
          <w:szCs w:val="20"/>
          <w:lang w:eastAsia="fr-FR"/>
        </w:rPr>
        <w:t xml:space="preserve">. </w:t>
      </w:r>
    </w:p>
    <w:p w14:paraId="4E2B2EC1" w14:textId="77777777" w:rsidR="00242E8C" w:rsidRPr="003C0781" w:rsidRDefault="00242E8C" w:rsidP="008A133F">
      <w:pPr>
        <w:pStyle w:val="Text"/>
        <w:numPr>
          <w:ilvl w:val="0"/>
          <w:numId w:val="689"/>
        </w:numPr>
        <w:spacing w:after="200"/>
      </w:pPr>
      <w:r>
        <w:t xml:space="preserve">seismic action </w:t>
      </w:r>
      <w:r w:rsidRPr="009B4FA7">
        <w:rPr>
          <w:rFonts w:eastAsia="Calibri" w:cs="Times New Roman"/>
          <w:i/>
          <w:iCs/>
        </w:rPr>
        <w:t>S</w:t>
      </w:r>
      <w:r w:rsidRPr="009B4FA7">
        <w:rPr>
          <w:rFonts w:eastAsia="Calibri" w:cs="Times New Roman"/>
          <w:vertAlign w:val="subscript"/>
        </w:rPr>
        <w:t>δ</w:t>
      </w:r>
    </w:p>
    <w:p w14:paraId="69AD8278" w14:textId="77777777" w:rsidR="00242E8C" w:rsidRDefault="00242E8C" w:rsidP="008A133F">
      <w:pPr>
        <w:pStyle w:val="Text"/>
        <w:numPr>
          <w:ilvl w:val="0"/>
          <w:numId w:val="689"/>
        </w:numPr>
        <w:spacing w:after="200"/>
      </w:pPr>
      <w:r>
        <w:t>type of masonry: unreinforced, reinforced or confined;</w:t>
      </w:r>
    </w:p>
    <w:p w14:paraId="40732610" w14:textId="77777777" w:rsidR="00242E8C" w:rsidRDefault="00242E8C" w:rsidP="008A133F">
      <w:pPr>
        <w:pStyle w:val="Text"/>
        <w:numPr>
          <w:ilvl w:val="0"/>
          <w:numId w:val="689"/>
        </w:numPr>
        <w:spacing w:after="200"/>
      </w:pPr>
      <w:r>
        <w:t xml:space="preserve">characteristic compressive strength </w:t>
      </w:r>
      <w:r>
        <w:rPr>
          <w:i/>
          <w:iCs/>
        </w:rPr>
        <w:t>f</w:t>
      </w:r>
      <w:r>
        <w:rPr>
          <w:vertAlign w:val="subscript"/>
        </w:rPr>
        <w:t>k</w:t>
      </w:r>
      <w:r>
        <w:t xml:space="preserve"> of the masonry units;</w:t>
      </w:r>
    </w:p>
    <w:p w14:paraId="1C87FFF1" w14:textId="77777777" w:rsidR="00242E8C" w:rsidRDefault="00242E8C" w:rsidP="008A133F">
      <w:pPr>
        <w:pStyle w:val="Text"/>
        <w:numPr>
          <w:ilvl w:val="0"/>
          <w:numId w:val="689"/>
        </w:numPr>
        <w:spacing w:after="200"/>
      </w:pPr>
      <w:r>
        <w:t xml:space="preserve">use of masonry units of different </w:t>
      </w:r>
      <w:r>
        <w:rPr>
          <w:i/>
          <w:iCs/>
        </w:rPr>
        <w:t>f</w:t>
      </w:r>
      <w:r>
        <w:rPr>
          <w:vertAlign w:val="subscript"/>
        </w:rPr>
        <w:t>k</w:t>
      </w:r>
      <w:r>
        <w:t xml:space="preserve"> in different walls</w:t>
      </w:r>
    </w:p>
    <w:p w14:paraId="28728902" w14:textId="77777777" w:rsidR="00242E8C" w:rsidRPr="003C0781" w:rsidRDefault="00242E8C" w:rsidP="008A133F">
      <w:pPr>
        <w:pStyle w:val="Text"/>
        <w:numPr>
          <w:ilvl w:val="0"/>
          <w:numId w:val="689"/>
        </w:numPr>
        <w:spacing w:after="200"/>
      </w:pPr>
      <w:bookmarkStart w:id="10822" w:name="_Hlk117169375"/>
      <w:r>
        <w:t xml:space="preserve">axial load ratio </w:t>
      </w:r>
      <w:r w:rsidRPr="009B4FA7">
        <w:rPr>
          <w:rFonts w:ascii="Symbol" w:eastAsia="Calibri" w:hAnsi="Symbol" w:cs="Times New Roman"/>
          <w:i/>
        </w:rPr>
        <w:t></w:t>
      </w:r>
      <w:r w:rsidRPr="009B4FA7">
        <w:rPr>
          <w:rFonts w:eastAsia="Calibri" w:cs="Times New Roman"/>
          <w:vertAlign w:val="subscript"/>
        </w:rPr>
        <w:t>Gk,i</w:t>
      </w:r>
      <w:r>
        <w:rPr>
          <w:rFonts w:eastAsia="Calibri" w:cs="Times New Roman"/>
        </w:rPr>
        <w:t xml:space="preserve"> </w:t>
      </w:r>
      <w:bookmarkEnd w:id="10822"/>
      <w:r>
        <w:rPr>
          <w:rFonts w:eastAsia="Calibri" w:cs="Times New Roman"/>
        </w:rPr>
        <w:t xml:space="preserve">in each wall </w:t>
      </w:r>
      <w:r>
        <w:rPr>
          <w:rFonts w:eastAsia="Calibri" w:cs="Times New Roman"/>
          <w:i/>
          <w:iCs/>
        </w:rPr>
        <w:t>i;</w:t>
      </w:r>
    </w:p>
    <w:p w14:paraId="4CFEDE01" w14:textId="77777777" w:rsidR="00242E8C" w:rsidRPr="0049475C" w:rsidRDefault="00242E8C" w:rsidP="008A133F">
      <w:pPr>
        <w:autoSpaceDE w:val="0"/>
        <w:autoSpaceDN w:val="0"/>
        <w:adjustRightInd w:val="0"/>
        <w:spacing w:after="200"/>
        <w:ind w:left="360"/>
        <w:rPr>
          <w:rFonts w:eastAsia="MS Mincho" w:cs="Cambria"/>
          <w:sz w:val="20"/>
          <w:szCs w:val="20"/>
          <w:lang w:eastAsia="fr-FR"/>
        </w:rPr>
      </w:pPr>
      <w:r w:rsidRPr="0049475C">
        <w:rPr>
          <w:rFonts w:eastAsia="MS Mincho" w:cs="Cambria"/>
          <w:sz w:val="20"/>
          <w:szCs w:val="20"/>
          <w:lang w:eastAsia="fr-FR"/>
        </w:rPr>
        <w:t>NOTE</w:t>
      </w:r>
      <w:r w:rsidRPr="0049475C">
        <w:rPr>
          <w:rFonts w:eastAsia="MS Mincho" w:cs="Cambria"/>
          <w:sz w:val="20"/>
          <w:szCs w:val="20"/>
          <w:lang w:eastAsia="fr-FR"/>
        </w:rPr>
        <w:tab/>
      </w:r>
      <w:r w:rsidRPr="0049475C">
        <w:rPr>
          <w:rFonts w:eastAsia="MS Mincho" w:cs="Cambria"/>
          <w:i/>
          <w:sz w:val="20"/>
          <w:szCs w:val="20"/>
          <w:lang w:eastAsia="fr-FR"/>
        </w:rPr>
        <w:t>ν</w:t>
      </w:r>
      <w:r w:rsidRPr="0049475C">
        <w:rPr>
          <w:rFonts w:eastAsia="MS Mincho" w:cs="Cambria"/>
          <w:sz w:val="20"/>
          <w:szCs w:val="20"/>
          <w:vertAlign w:val="subscript"/>
          <w:lang w:eastAsia="fr-FR"/>
        </w:rPr>
        <w:t>Gk,i</w:t>
      </w:r>
      <w:r w:rsidRPr="0049475C">
        <w:rPr>
          <w:rFonts w:eastAsia="MS Mincho" w:cs="Cambria"/>
          <w:sz w:val="20"/>
          <w:szCs w:val="20"/>
          <w:lang w:eastAsia="fr-FR"/>
        </w:rPr>
        <w:t xml:space="preserve"> is defined in 14.4.1.2(4).</w:t>
      </w:r>
    </w:p>
    <w:p w14:paraId="6897A2C1" w14:textId="77777777" w:rsidR="00242E8C" w:rsidRPr="003C0781" w:rsidRDefault="00242E8C" w:rsidP="008A133F">
      <w:pPr>
        <w:pStyle w:val="Text"/>
        <w:numPr>
          <w:ilvl w:val="0"/>
          <w:numId w:val="689"/>
        </w:numPr>
        <w:spacing w:after="200"/>
        <w:rPr>
          <w:sz w:val="20"/>
        </w:rPr>
      </w:pPr>
      <w:r w:rsidRPr="003C0781">
        <w:t xml:space="preserve">average axial load ratio </w:t>
      </w:r>
      <w:r>
        <w:rPr>
          <w:rFonts w:eastAsia="Calibri" w:cs="Times New Roman"/>
          <w:i/>
        </w:rPr>
        <w:t>ν</w:t>
      </w:r>
      <w:r w:rsidRPr="003C0781">
        <w:rPr>
          <w:rFonts w:eastAsia="Calibri" w:cs="Times New Roman"/>
          <w:vertAlign w:val="subscript"/>
        </w:rPr>
        <w:t>Gk,i</w:t>
      </w:r>
    </w:p>
    <w:p w14:paraId="1C4BB084" w14:textId="77777777" w:rsidR="00242E8C" w:rsidRDefault="00242E8C" w:rsidP="008A133F">
      <w:pPr>
        <w:pStyle w:val="Text"/>
        <w:numPr>
          <w:ilvl w:val="0"/>
          <w:numId w:val="689"/>
        </w:numPr>
        <w:spacing w:after="200"/>
      </w:pPr>
      <w:r>
        <w:t>stiffness of the storey beams and slab and of the foundation influencing the in-plane clamping moments.</w:t>
      </w:r>
    </w:p>
    <w:p w14:paraId="1EBF68BC" w14:textId="008865C4" w:rsidR="00242E8C" w:rsidRPr="003C0781" w:rsidRDefault="00242E8C" w:rsidP="00242E8C">
      <w:pPr>
        <w:autoSpaceDE w:val="0"/>
        <w:autoSpaceDN w:val="0"/>
        <w:adjustRightInd w:val="0"/>
        <w:rPr>
          <w:rFonts w:eastAsia="MS Mincho" w:cs="Cambria"/>
          <w:sz w:val="20"/>
          <w:szCs w:val="20"/>
          <w:lang w:eastAsia="fr-FR"/>
        </w:rPr>
      </w:pPr>
      <w:r w:rsidRPr="003C0781">
        <w:rPr>
          <w:rFonts w:eastAsia="MS Mincho" w:cs="Cambria"/>
          <w:bCs/>
          <w:sz w:val="20"/>
          <w:szCs w:val="20"/>
          <w:lang w:eastAsia="fr-FR"/>
        </w:rPr>
        <w:t>NOTE</w:t>
      </w:r>
      <w:r>
        <w:rPr>
          <w:rFonts w:eastAsia="MS Mincho" w:cs="Cambria"/>
          <w:bCs/>
          <w:sz w:val="20"/>
          <w:szCs w:val="20"/>
          <w:lang w:eastAsia="fr-FR"/>
        </w:rPr>
        <w:tab/>
      </w:r>
      <w:r>
        <w:rPr>
          <w:rFonts w:eastAsia="MS Mincho" w:cs="Cambria"/>
          <w:sz w:val="20"/>
          <w:szCs w:val="20"/>
          <w:lang w:eastAsia="fr-FR"/>
        </w:rPr>
        <w:t xml:space="preserve">Given the great variability of masonry types, masonry units, architectural styles and constructional practice over Europe, the </w:t>
      </w:r>
      <w:r w:rsidRPr="003C0781">
        <w:rPr>
          <w:rFonts w:eastAsia="MS Mincho" w:cs="Cambria"/>
          <w:sz w:val="20"/>
          <w:szCs w:val="20"/>
          <w:lang w:eastAsia="fr-FR"/>
        </w:rPr>
        <w:t xml:space="preserve">ratio </w:t>
      </w:r>
      <w:r w:rsidRPr="003C0781">
        <w:rPr>
          <w:rFonts w:eastAsia="MS Mincho" w:cs="Cambria"/>
          <w:i/>
          <w:sz w:val="20"/>
          <w:szCs w:val="20"/>
          <w:lang w:eastAsia="fr-FR"/>
        </w:rPr>
        <w:t>p</w:t>
      </w:r>
      <w:r w:rsidRPr="003C0781">
        <w:rPr>
          <w:rFonts w:eastAsia="MS Mincho" w:cs="Cambria"/>
          <w:sz w:val="20"/>
          <w:szCs w:val="20"/>
          <w:vertAlign w:val="subscript"/>
          <w:lang w:eastAsia="fr-FR"/>
        </w:rPr>
        <w:t>A,min</w:t>
      </w:r>
      <w:r>
        <w:rPr>
          <w:rFonts w:eastAsia="MS Mincho" w:cs="Cambria"/>
          <w:sz w:val="20"/>
          <w:szCs w:val="20"/>
          <w:lang w:eastAsia="fr-FR"/>
        </w:rPr>
        <w:t xml:space="preserve"> to be used in a </w:t>
      </w:r>
      <w:r w:rsidR="0049475C">
        <w:rPr>
          <w:rFonts w:eastAsia="MS Mincho" w:cs="Cambria"/>
          <w:sz w:val="20"/>
          <w:szCs w:val="20"/>
          <w:lang w:eastAsia="fr-FR"/>
        </w:rPr>
        <w:t>c</w:t>
      </w:r>
      <w:r>
        <w:rPr>
          <w:rFonts w:eastAsia="MS Mincho" w:cs="Cambria"/>
          <w:sz w:val="20"/>
          <w:szCs w:val="20"/>
          <w:lang w:eastAsia="fr-FR"/>
        </w:rPr>
        <w:t>ountry are given in its National Annex.</w:t>
      </w:r>
    </w:p>
    <w:p w14:paraId="2A6C0B41" w14:textId="77777777" w:rsidR="000C070C" w:rsidRPr="002144A0" w:rsidRDefault="000C070C" w:rsidP="000C070C">
      <w:pPr>
        <w:pStyle w:val="Heading2"/>
      </w:pPr>
      <w:bookmarkStart w:id="10823" w:name="_Toc50150643"/>
      <w:bookmarkStart w:id="10824" w:name="_Toc70887076"/>
      <w:bookmarkStart w:id="10825" w:name="_Toc108342659"/>
      <w:bookmarkStart w:id="10826" w:name="_Toc134198168"/>
      <w:bookmarkEnd w:id="10819"/>
      <w:r w:rsidRPr="00196951">
        <w:t xml:space="preserve">Ultimate </w:t>
      </w:r>
      <w:r w:rsidRPr="002144A0">
        <w:t>deformations</w:t>
      </w:r>
      <w:bookmarkEnd w:id="10823"/>
      <w:bookmarkEnd w:id="10824"/>
      <w:bookmarkEnd w:id="10825"/>
      <w:bookmarkEnd w:id="10826"/>
    </w:p>
    <w:p w14:paraId="0DF898DA" w14:textId="77777777" w:rsidR="000C070C" w:rsidRPr="002144A0" w:rsidRDefault="000C070C" w:rsidP="000C070C">
      <w:pPr>
        <w:pStyle w:val="Heading3"/>
      </w:pPr>
      <w:bookmarkStart w:id="10827" w:name="_Toc7368775"/>
      <w:bookmarkStart w:id="10828" w:name="_Toc19566948"/>
      <w:bookmarkStart w:id="10829" w:name="_Toc50150644"/>
      <w:bookmarkStart w:id="10830" w:name="_Toc70887077"/>
      <w:bookmarkStart w:id="10831" w:name="_Toc108342660"/>
      <w:bookmarkStart w:id="10832" w:name="_Toc134198169"/>
      <w:r w:rsidRPr="002144A0">
        <w:t>General</w:t>
      </w:r>
      <w:bookmarkEnd w:id="10827"/>
      <w:bookmarkEnd w:id="10828"/>
      <w:bookmarkEnd w:id="10829"/>
      <w:bookmarkEnd w:id="10830"/>
      <w:bookmarkEnd w:id="10831"/>
      <w:bookmarkEnd w:id="10832"/>
    </w:p>
    <w:p w14:paraId="150CADAD" w14:textId="0A35E1CA" w:rsidR="000C070C" w:rsidRPr="00EF591D" w:rsidRDefault="000C070C" w:rsidP="0080187E">
      <w:pPr>
        <w:pStyle w:val="Clause"/>
        <w:numPr>
          <w:ilvl w:val="0"/>
          <w:numId w:val="516"/>
        </w:numPr>
      </w:pPr>
      <w:r w:rsidRPr="00EF591D">
        <w:t xml:space="preserve">The </w:t>
      </w:r>
      <w:bookmarkStart w:id="10833" w:name="_Hlk37493355"/>
      <w:r w:rsidRPr="00EF591D">
        <w:t xml:space="preserve">drift ratio or chord rotation </w:t>
      </w:r>
      <w:r w:rsidRPr="00FB5B3D">
        <w:rPr>
          <w:rFonts w:ascii="Symbol" w:hAnsi="Symbol"/>
          <w:i/>
          <w:iCs/>
        </w:rPr>
        <w:t></w:t>
      </w:r>
      <w:r w:rsidRPr="00FB5B3D">
        <w:rPr>
          <w:iCs/>
          <w:vertAlign w:val="subscript"/>
        </w:rPr>
        <w:t>e</w:t>
      </w:r>
      <w:r w:rsidRPr="00EF591D">
        <w:t xml:space="preserve"> of a masonry member </w:t>
      </w:r>
      <w:bookmarkEnd w:id="10833"/>
      <w:r w:rsidRPr="00EF591D">
        <w:t>should be calculated as given by Formula</w:t>
      </w:r>
      <w:r w:rsidR="008A133F">
        <w:t> </w:t>
      </w:r>
      <w:r w:rsidRPr="00EF591D">
        <w:t>(14.18).</w:t>
      </w:r>
    </w:p>
    <w:p w14:paraId="23346080" w14:textId="201A3508" w:rsidR="00BC007B" w:rsidRDefault="009B5CEC" w:rsidP="00BC007B">
      <w:pPr>
        <w:pStyle w:val="Formula"/>
        <w:spacing w:before="240"/>
      </w:pPr>
      <m:oMath>
        <m:sSub>
          <m:sSubPr>
            <m:ctrlPr>
              <w:rPr>
                <w:rFonts w:ascii="Cambria Math" w:hAnsi="Cambria Math"/>
              </w:rPr>
            </m:ctrlPr>
          </m:sSubPr>
          <m:e>
            <m:r>
              <w:rPr>
                <w:rFonts w:ascii="Cambria Math" w:hAnsi="Cambria Math"/>
              </w:rPr>
              <m:t>θ</m:t>
            </m:r>
          </m:e>
          <m:sub>
            <m:r>
              <m:rPr>
                <m:sty m:val="p"/>
              </m:rPr>
              <w:rPr>
                <w:rFonts w:ascii="Cambria Math" w:hAnsi="Cambria Math"/>
              </w:rPr>
              <m:t>e</m:t>
            </m:r>
          </m:sub>
        </m:sSub>
        <m:r>
          <w:rPr>
            <w:rFonts w:ascii="Cambria Math" w:hAnsi="Cambria Math"/>
          </w:rPr>
          <m:t>=</m:t>
        </m:r>
        <m:func>
          <m:funcPr>
            <m:ctrlPr>
              <w:rPr>
                <w:rFonts w:ascii="Cambria Math" w:hAnsi="Cambria Math"/>
              </w:rPr>
            </m:ctrlPr>
          </m:funcPr>
          <m:fName>
            <m:r>
              <m:rPr>
                <m:sty m:val="p"/>
              </m:rPr>
              <w:rPr>
                <w:rFonts w:ascii="Cambria Math" w:hAnsi="Cambria Math"/>
              </w:rPr>
              <m:t>max</m:t>
            </m:r>
          </m:fName>
          <m:e>
            <m:d>
              <m:dPr>
                <m:ctrlPr>
                  <w:rPr>
                    <w:rFonts w:ascii="Cambria Math" w:hAnsi="Cambria Math"/>
                  </w:rPr>
                </m:ctrlPr>
              </m:dPr>
              <m:e>
                <m:sSub>
                  <m:sSubPr>
                    <m:ctrlPr>
                      <w:rPr>
                        <w:rFonts w:ascii="Cambria Math" w:hAnsi="Cambria Math"/>
                      </w:rPr>
                    </m:ctrlPr>
                  </m:sSubPr>
                  <m:e>
                    <m:r>
                      <w:rPr>
                        <w:rFonts w:ascii="Cambria Math" w:hAnsi="Cambria Math"/>
                      </w:rPr>
                      <m:t>θ</m:t>
                    </m:r>
                  </m:e>
                  <m:sub>
                    <m:r>
                      <m:rPr>
                        <m:sty m:val="p"/>
                      </m:rPr>
                      <w:rPr>
                        <w:rFonts w:ascii="Cambria Math" w:hAnsi="Cambria Math"/>
                      </w:rPr>
                      <m:t>i</m:t>
                    </m:r>
                  </m:sub>
                </m:sSub>
                <m:r>
                  <w:rPr>
                    <w:rFonts w:ascii="Cambria Math" w:hAnsi="Cambria Math"/>
                  </w:rPr>
                  <m:t xml:space="preserve">, </m:t>
                </m:r>
                <m:sSub>
                  <m:sSubPr>
                    <m:ctrlPr>
                      <w:rPr>
                        <w:rFonts w:ascii="Cambria Math" w:hAnsi="Cambria Math"/>
                      </w:rPr>
                    </m:ctrlPr>
                  </m:sSubPr>
                  <m:e>
                    <m:r>
                      <w:rPr>
                        <w:rFonts w:ascii="Cambria Math" w:hAnsi="Cambria Math"/>
                      </w:rPr>
                      <m:t>θ</m:t>
                    </m:r>
                  </m:e>
                  <m:sub>
                    <m:r>
                      <m:rPr>
                        <m:sty m:val="p"/>
                      </m:rPr>
                      <w:rPr>
                        <w:rFonts w:ascii="Cambria Math" w:hAnsi="Cambria Math"/>
                      </w:rPr>
                      <m:t>j</m:t>
                    </m:r>
                  </m:sub>
                </m:sSub>
              </m:e>
            </m:d>
          </m:e>
        </m:func>
      </m:oMath>
      <w:r w:rsidR="00BC007B" w:rsidRPr="00132C1E">
        <w:t xml:space="preserve"> </w:t>
      </w:r>
      <w:r w:rsidR="00BC007B" w:rsidRPr="00870D59">
        <w:tab/>
        <w:t>(1</w:t>
      </w:r>
      <w:r w:rsidR="00BC007B">
        <w:t>4</w:t>
      </w:r>
      <w:r w:rsidR="00BC007B" w:rsidRPr="00870D59">
        <w:t>.</w:t>
      </w:r>
      <w:r w:rsidR="00BC007B">
        <w:t>18</w:t>
      </w:r>
      <w:r w:rsidR="00BC007B" w:rsidRPr="00870D59">
        <w:t>)</w:t>
      </w:r>
    </w:p>
    <w:p w14:paraId="46416806" w14:textId="342E3940" w:rsidR="000C070C" w:rsidRDefault="00BC007B" w:rsidP="00BC007B">
      <w:pPr>
        <w:pStyle w:val="BodyText"/>
      </w:pPr>
      <w:r>
        <w:t>where</w:t>
      </w:r>
      <w:bookmarkStart w:id="10834" w:name="_Hlk38293412"/>
      <w:r w:rsidRPr="007E6F67">
        <w:rPr>
          <w:rFonts w:ascii="Symbol" w:hAnsi="Symbol"/>
          <w:i/>
          <w:iCs/>
        </w:rPr>
        <w:t></w:t>
      </w:r>
      <w:r w:rsidRPr="00FD17CF">
        <w:rPr>
          <w:rFonts w:ascii="Symbol" w:hAnsi="Symbol"/>
          <w:i/>
          <w:iCs/>
          <w:vertAlign w:val="subscript"/>
        </w:rPr>
        <w:t></w:t>
      </w:r>
      <w:r w:rsidRPr="00FD17CF">
        <w:rPr>
          <w:iCs/>
          <w:vertAlign w:val="subscript"/>
        </w:rPr>
        <w:t>i</w:t>
      </w:r>
      <w:r w:rsidRPr="00FD17CF">
        <w:t xml:space="preserve"> (resp. </w:t>
      </w:r>
      <w:r w:rsidRPr="00E05E29">
        <w:rPr>
          <w:rFonts w:ascii="Symbol" w:hAnsi="Symbol"/>
          <w:i/>
          <w:iCs/>
        </w:rPr>
        <w:t></w:t>
      </w:r>
      <w:r w:rsidRPr="00E05E29">
        <w:rPr>
          <w:rFonts w:ascii="Symbol" w:hAnsi="Symbol"/>
          <w:i/>
          <w:iCs/>
          <w:vertAlign w:val="subscript"/>
        </w:rPr>
        <w:t></w:t>
      </w:r>
      <w:r w:rsidRPr="00E05E29">
        <w:rPr>
          <w:iCs/>
          <w:vertAlign w:val="subscript"/>
        </w:rPr>
        <w:t>j</w:t>
      </w:r>
      <w:r w:rsidRPr="00E05E29">
        <w:rPr>
          <w:iCs/>
        </w:rPr>
        <w:t>)</w:t>
      </w:r>
      <w:r w:rsidRPr="00E05E29">
        <w:t xml:space="preserve"> is the angle between the </w:t>
      </w:r>
      <w:r w:rsidRPr="00E05E29">
        <w:rPr>
          <w:bCs/>
        </w:rPr>
        <w:t>member</w:t>
      </w:r>
      <w:r w:rsidRPr="00E05E29">
        <w:t xml:space="preserve"> axis at end section </w:t>
      </w:r>
      <w:r w:rsidRPr="00E05E29">
        <w:rPr>
          <w:i/>
        </w:rPr>
        <w:t xml:space="preserve">i </w:t>
      </w:r>
      <w:r w:rsidRPr="00E05E29">
        <w:t xml:space="preserve">(respectively </w:t>
      </w:r>
      <w:r w:rsidRPr="00E05E29">
        <w:rPr>
          <w:i/>
        </w:rPr>
        <w:t>j</w:t>
      </w:r>
      <w:r w:rsidRPr="00196951">
        <w:t>)</w:t>
      </w:r>
      <w:bookmarkStart w:id="10835" w:name="_Hlk38293479"/>
      <w:r w:rsidRPr="00196951">
        <w:t xml:space="preserve"> </w:t>
      </w:r>
      <w:bookmarkEnd w:id="10834"/>
      <w:r w:rsidRPr="00196951">
        <w:t>and the chord line that joins the centroids of the two end sections</w:t>
      </w:r>
      <w:bookmarkEnd w:id="10835"/>
      <w:r w:rsidRPr="00196951">
        <w:t>.</w:t>
      </w:r>
    </w:p>
    <w:p w14:paraId="470E1DB4" w14:textId="77777777" w:rsidR="00BC007B" w:rsidRPr="002144A0" w:rsidRDefault="00BC007B" w:rsidP="00BC007B">
      <w:pPr>
        <w:pStyle w:val="Heading3"/>
      </w:pPr>
      <w:bookmarkStart w:id="10836" w:name="_Toc50150645"/>
      <w:bookmarkStart w:id="10837" w:name="_Toc70887078"/>
      <w:bookmarkStart w:id="10838" w:name="_Toc108342661"/>
      <w:bookmarkStart w:id="10839" w:name="_Toc134198170"/>
      <w:r w:rsidRPr="002144A0">
        <w:t>Unreinforced masonry members</w:t>
      </w:r>
      <w:bookmarkEnd w:id="10836"/>
      <w:bookmarkEnd w:id="10837"/>
      <w:bookmarkEnd w:id="10838"/>
      <w:bookmarkEnd w:id="10839"/>
    </w:p>
    <w:p w14:paraId="03966CA5" w14:textId="7C841AE7" w:rsidR="00BC007B" w:rsidRPr="00EF591D" w:rsidRDefault="00BC007B" w:rsidP="0080187E">
      <w:pPr>
        <w:pStyle w:val="Clause"/>
        <w:numPr>
          <w:ilvl w:val="0"/>
          <w:numId w:val="517"/>
        </w:numPr>
      </w:pPr>
      <w:bookmarkStart w:id="10840" w:name="_Toc7368777"/>
      <w:bookmarkStart w:id="10841" w:name="_Toc19566950"/>
      <w:r w:rsidRPr="00FB5B3D">
        <w:rPr>
          <w:rFonts w:ascii="Symbol" w:hAnsi="Symbol"/>
          <w:i/>
        </w:rPr>
        <w:t></w:t>
      </w:r>
      <w:r w:rsidRPr="00FB5B3D">
        <w:rPr>
          <w:vertAlign w:val="subscript"/>
        </w:rPr>
        <w:t>u2,SD</w:t>
      </w:r>
      <w:r w:rsidRPr="00EF591D">
        <w:t xml:space="preserve"> of </w:t>
      </w:r>
      <w:r w:rsidR="00D21C7C">
        <w:t>walls</w:t>
      </w:r>
      <w:r w:rsidRPr="00EF591D">
        <w:t xml:space="preserve"> failing in shear should be taken as a) or b):</w:t>
      </w:r>
    </w:p>
    <w:p w14:paraId="3CD298C9" w14:textId="77777777" w:rsidR="00BC007B" w:rsidRPr="00132C1E" w:rsidRDefault="00BC007B" w:rsidP="008A133F">
      <w:pPr>
        <w:pStyle w:val="Text"/>
        <w:numPr>
          <w:ilvl w:val="0"/>
          <w:numId w:val="690"/>
        </w:numPr>
        <w:spacing w:after="200"/>
      </w:pPr>
      <w:bookmarkStart w:id="10842" w:name="_Ref22566295"/>
      <w:r w:rsidRPr="00132C1E">
        <w:t xml:space="preserve">the value given in Table 14.4, for axial load ratios </w:t>
      </w:r>
      <w:r w:rsidRPr="00EF591D">
        <w:rPr>
          <w:rFonts w:ascii="Symbol" w:hAnsi="Symbol"/>
          <w:i/>
        </w:rPr>
        <w:t></w:t>
      </w:r>
      <w:r w:rsidRPr="00EF591D">
        <w:rPr>
          <w:vertAlign w:val="subscript"/>
        </w:rPr>
        <w:t>Ek </w:t>
      </w:r>
      <w:r w:rsidRPr="00132C1E">
        <w:t>≤ 0,3;</w:t>
      </w:r>
    </w:p>
    <w:p w14:paraId="763C1C40" w14:textId="6EE3C4A6" w:rsidR="00BC007B" w:rsidRPr="00132C1E" w:rsidRDefault="00BC007B" w:rsidP="008A133F">
      <w:pPr>
        <w:pStyle w:val="Text"/>
        <w:numPr>
          <w:ilvl w:val="0"/>
          <w:numId w:val="690"/>
        </w:numPr>
        <w:spacing w:after="200"/>
      </w:pPr>
      <w:r w:rsidRPr="00132C1E">
        <w:t>the value given in Table 14.4 divided by 3</w:t>
      </w:r>
      <w:r w:rsidR="00D21C7C" w:rsidRPr="00D21C7C">
        <w:rPr>
          <w:rFonts w:ascii="Arial" w:eastAsia="Times New Roman" w:hAnsi="Arial" w:cs="Arial"/>
          <w:lang w:val="en-US" w:eastAsia="de-AT"/>
        </w:rPr>
        <w:t xml:space="preserve"> </w:t>
      </w:r>
      <w:r w:rsidR="00D21C7C" w:rsidRPr="00D21C7C">
        <w:rPr>
          <w:lang w:val="en-US"/>
        </w:rPr>
        <w:t>and multiplied by (1- v</w:t>
      </w:r>
      <w:r w:rsidR="00D21C7C" w:rsidRPr="00D21C7C">
        <w:rPr>
          <w:vertAlign w:val="subscript"/>
          <w:lang w:val="en-US"/>
        </w:rPr>
        <w:t xml:space="preserve">E,k </w:t>
      </w:r>
      <w:r w:rsidR="00D21C7C" w:rsidRPr="00D21C7C">
        <w:rPr>
          <w:lang w:val="en-US"/>
        </w:rPr>
        <w:t xml:space="preserve">)/0.7 </w:t>
      </w:r>
      <w:r w:rsidRPr="00132C1E">
        <w:t>or the deformation capacity at the elastic limit</w:t>
      </w:r>
      <w:r w:rsidR="00422F5E">
        <w:t xml:space="preserve"> </w:t>
      </w:r>
      <w:r w:rsidRPr="00132C1E">
        <w:t xml:space="preserve">for axial load ratios </w:t>
      </w:r>
      <w:r w:rsidRPr="00132C1E">
        <w:rPr>
          <w:rFonts w:ascii="Symbol" w:hAnsi="Symbol"/>
          <w:i/>
          <w:iCs/>
        </w:rPr>
        <w:t></w:t>
      </w:r>
      <w:r w:rsidRPr="00132C1E">
        <w:rPr>
          <w:iCs/>
          <w:vertAlign w:val="subscript"/>
        </w:rPr>
        <w:t>E,k</w:t>
      </w:r>
      <w:r w:rsidRPr="00132C1E">
        <w:t xml:space="preserve"> &gt; 0,3</w:t>
      </w:r>
      <w:r w:rsidR="00D21C7C" w:rsidRPr="00D21C7C">
        <w:t>, whichever is greater</w:t>
      </w:r>
      <w:r w:rsidRPr="00132C1E">
        <w:t>.</w:t>
      </w:r>
      <w:bookmarkEnd w:id="10842"/>
    </w:p>
    <w:p w14:paraId="7B14BD28" w14:textId="33C38576" w:rsidR="00BC007B" w:rsidRDefault="008A133F" w:rsidP="0049475C">
      <w:pPr>
        <w:pStyle w:val="Text"/>
      </w:pPr>
      <w:r>
        <w:t>w</w:t>
      </w:r>
      <w:r w:rsidR="00675EBA">
        <w:t>here</w:t>
      </w:r>
    </w:p>
    <w:tbl>
      <w:tblPr>
        <w:tblW w:w="0" w:type="auto"/>
        <w:tblInd w:w="346" w:type="dxa"/>
        <w:tblLook w:val="04A0" w:firstRow="1" w:lastRow="0" w:firstColumn="1" w:lastColumn="0" w:noHBand="0" w:noVBand="1"/>
      </w:tblPr>
      <w:tblGrid>
        <w:gridCol w:w="1275"/>
        <w:gridCol w:w="7938"/>
      </w:tblGrid>
      <w:tr w:rsidR="0049475C" w:rsidRPr="000F2AFF" w14:paraId="049531D3" w14:textId="77777777" w:rsidTr="008A133F">
        <w:tc>
          <w:tcPr>
            <w:tcW w:w="1275" w:type="dxa"/>
          </w:tcPr>
          <w:p w14:paraId="24B00A57" w14:textId="49604CB4" w:rsidR="0049475C" w:rsidRPr="00736D6A" w:rsidRDefault="0049475C" w:rsidP="002061E5">
            <w:pPr>
              <w:spacing w:after="60"/>
              <w:jc w:val="left"/>
              <w:rPr>
                <w:rFonts w:eastAsia="Times New Roman" w:cs="Cambria"/>
                <w:color w:val="000000" w:themeColor="text1"/>
                <w:szCs w:val="20"/>
                <w:lang w:eastAsia="fr-FR"/>
              </w:rPr>
            </w:pPr>
            <w:r w:rsidRPr="00132C1E">
              <w:rPr>
                <w:rFonts w:ascii="Symbol" w:hAnsi="Symbol"/>
                <w:i/>
                <w:iCs/>
              </w:rPr>
              <w:t></w:t>
            </w:r>
            <w:r w:rsidRPr="00132C1E">
              <w:rPr>
                <w:iCs/>
                <w:vertAlign w:val="subscript"/>
              </w:rPr>
              <w:t>E,k</w:t>
            </w:r>
          </w:p>
        </w:tc>
        <w:tc>
          <w:tcPr>
            <w:tcW w:w="7938" w:type="dxa"/>
          </w:tcPr>
          <w:p w14:paraId="10897689" w14:textId="102326FC" w:rsidR="0049475C" w:rsidRPr="0049475C" w:rsidRDefault="0049475C" w:rsidP="0049475C">
            <w:pPr>
              <w:pStyle w:val="Listofsymbols"/>
            </w:pPr>
            <w:r w:rsidRPr="00132C1E">
              <w:t>is</w:t>
            </w:r>
            <w:r>
              <w:t xml:space="preserve"> </w:t>
            </w:r>
            <w:r w:rsidRPr="00132C1E">
              <w:t xml:space="preserve">the </w:t>
            </w:r>
            <w:r>
              <w:t>wall</w:t>
            </w:r>
            <w:r w:rsidRPr="00132C1E">
              <w:t xml:space="preserve"> axial load ratio calculated as </w:t>
            </w:r>
            <w:r w:rsidRPr="00132C1E">
              <w:rPr>
                <w:rFonts w:ascii="Symbol" w:hAnsi="Symbol"/>
                <w:i/>
                <w:iCs/>
              </w:rPr>
              <w:t></w:t>
            </w:r>
            <w:r w:rsidRPr="00132C1E">
              <w:rPr>
                <w:iCs/>
                <w:vertAlign w:val="subscript"/>
              </w:rPr>
              <w:t>E,k</w:t>
            </w:r>
            <w:r w:rsidRPr="00132C1E">
              <w:t xml:space="preserve"> </w:t>
            </w:r>
            <w:r w:rsidRPr="00887609">
              <w:rPr>
                <w:rFonts w:ascii="Symbol" w:hAnsi="Symbol"/>
              </w:rPr>
              <w:t></w:t>
            </w:r>
            <w:r>
              <w:t> </w:t>
            </w:r>
            <w:r w:rsidRPr="00132C1E">
              <w:rPr>
                <w:i/>
                <w:iCs/>
              </w:rPr>
              <w:t>N</w:t>
            </w:r>
            <w:r w:rsidRPr="00132C1E">
              <w:rPr>
                <w:iCs/>
                <w:vertAlign w:val="subscript"/>
              </w:rPr>
              <w:t>Ed</w:t>
            </w:r>
            <w:r w:rsidRPr="00132C1E">
              <w:t>/(</w:t>
            </w:r>
            <w:r w:rsidRPr="00132C1E">
              <w:rPr>
                <w:i/>
                <w:iCs/>
              </w:rPr>
              <w:t>A</w:t>
            </w:r>
            <w:r w:rsidRPr="00132C1E">
              <w:rPr>
                <w:vertAlign w:val="subscript"/>
              </w:rPr>
              <w:t>p</w:t>
            </w:r>
            <w:r w:rsidRPr="00132C1E">
              <w:t xml:space="preserve"> </w:t>
            </w:r>
            <w:r w:rsidRPr="00132C1E">
              <w:rPr>
                <w:i/>
                <w:iCs/>
              </w:rPr>
              <w:t>f</w:t>
            </w:r>
            <w:r w:rsidRPr="00132C1E">
              <w:rPr>
                <w:vertAlign w:val="subscript"/>
              </w:rPr>
              <w:t>k</w:t>
            </w:r>
            <w:r w:rsidRPr="00132C1E">
              <w:t>);</w:t>
            </w:r>
          </w:p>
        </w:tc>
      </w:tr>
      <w:tr w:rsidR="0049475C" w:rsidRPr="000F2AFF" w14:paraId="6583B456" w14:textId="77777777" w:rsidTr="008A133F">
        <w:tc>
          <w:tcPr>
            <w:tcW w:w="1275" w:type="dxa"/>
          </w:tcPr>
          <w:p w14:paraId="6AA52D23" w14:textId="422F6C49" w:rsidR="0049475C" w:rsidRPr="00736D6A" w:rsidRDefault="0049475C" w:rsidP="002061E5">
            <w:pPr>
              <w:spacing w:after="60"/>
              <w:jc w:val="left"/>
              <w:rPr>
                <w:rFonts w:eastAsia="Times New Roman" w:cs="Cambria"/>
                <w:color w:val="000000" w:themeColor="text1"/>
                <w:szCs w:val="20"/>
                <w:lang w:eastAsia="fr-FR"/>
              </w:rPr>
            </w:pPr>
            <w:r w:rsidRPr="00132C1E">
              <w:rPr>
                <w:i/>
                <w:iCs/>
              </w:rPr>
              <w:t>N</w:t>
            </w:r>
            <w:r w:rsidRPr="00132C1E">
              <w:rPr>
                <w:iCs/>
                <w:vertAlign w:val="subscript"/>
              </w:rPr>
              <w:t>Ed</w:t>
            </w:r>
          </w:p>
        </w:tc>
        <w:tc>
          <w:tcPr>
            <w:tcW w:w="7938" w:type="dxa"/>
          </w:tcPr>
          <w:p w14:paraId="5DC18E7A" w14:textId="076A4E45" w:rsidR="0049475C" w:rsidRPr="00DF3AF1" w:rsidRDefault="0049475C" w:rsidP="002061E5">
            <w:pPr>
              <w:pStyle w:val="Listofsymbols"/>
              <w:tabs>
                <w:tab w:val="clear" w:pos="1134"/>
                <w:tab w:val="left" w:pos="1347"/>
              </w:tabs>
              <w:ind w:left="0" w:firstLine="0"/>
              <w:rPr>
                <w:rFonts w:eastAsia="Times New Roman"/>
              </w:rPr>
            </w:pPr>
            <w:r w:rsidRPr="00132C1E">
              <w:t xml:space="preserve">is the axial force </w:t>
            </w:r>
            <w:r w:rsidRPr="00132C1E">
              <w:rPr>
                <w:rFonts w:eastAsia="Cambria"/>
                <w:lang w:eastAsia="de-DE"/>
              </w:rPr>
              <w:t>in the seismic design situation</w:t>
            </w:r>
            <w:r w:rsidRPr="00132C1E">
              <w:t>;</w:t>
            </w:r>
          </w:p>
        </w:tc>
      </w:tr>
      <w:tr w:rsidR="0049475C" w:rsidRPr="000F2AFF" w14:paraId="04F37CB2" w14:textId="77777777" w:rsidTr="008A133F">
        <w:tc>
          <w:tcPr>
            <w:tcW w:w="1275" w:type="dxa"/>
          </w:tcPr>
          <w:p w14:paraId="3C0A3ABC" w14:textId="048FC62F" w:rsidR="0049475C" w:rsidRPr="00E05E29" w:rsidRDefault="0049475C" w:rsidP="002061E5">
            <w:pPr>
              <w:spacing w:after="60"/>
              <w:jc w:val="left"/>
              <w:rPr>
                <w:i/>
              </w:rPr>
            </w:pPr>
            <w:r w:rsidRPr="00132C1E">
              <w:rPr>
                <w:i/>
                <w:iCs/>
              </w:rPr>
              <w:t>A</w:t>
            </w:r>
            <w:r w:rsidRPr="00132C1E">
              <w:rPr>
                <w:vertAlign w:val="subscript"/>
              </w:rPr>
              <w:t>p</w:t>
            </w:r>
          </w:p>
        </w:tc>
        <w:tc>
          <w:tcPr>
            <w:tcW w:w="7938" w:type="dxa"/>
          </w:tcPr>
          <w:p w14:paraId="6F7C0C5F" w14:textId="2654F454" w:rsidR="0049475C" w:rsidRPr="00E05E29" w:rsidRDefault="0049475C" w:rsidP="002061E5">
            <w:pPr>
              <w:pStyle w:val="Listofsymbols"/>
              <w:tabs>
                <w:tab w:val="clear" w:pos="1134"/>
                <w:tab w:val="left" w:pos="1347"/>
              </w:tabs>
              <w:ind w:left="0" w:firstLine="0"/>
            </w:pPr>
            <w:r w:rsidRPr="00132C1E">
              <w:t xml:space="preserve">is the </w:t>
            </w:r>
            <w:r>
              <w:t>wall</w:t>
            </w:r>
            <w:r w:rsidRPr="00132C1E">
              <w:t xml:space="preserve"> section area</w:t>
            </w:r>
            <w:r>
              <w:t xml:space="preserve"> as given in 14.4.1.2(4)</w:t>
            </w:r>
            <w:r w:rsidRPr="00132C1E">
              <w:t>;</w:t>
            </w:r>
          </w:p>
        </w:tc>
      </w:tr>
      <w:tr w:rsidR="0049475C" w:rsidRPr="000F2AFF" w14:paraId="5BA6B2A7" w14:textId="77777777" w:rsidTr="008A133F">
        <w:tc>
          <w:tcPr>
            <w:tcW w:w="1275" w:type="dxa"/>
          </w:tcPr>
          <w:p w14:paraId="4DDC6D3B" w14:textId="66FAFED8" w:rsidR="0049475C" w:rsidRPr="00E05E29" w:rsidRDefault="0049475C" w:rsidP="002061E5">
            <w:pPr>
              <w:spacing w:after="60"/>
              <w:jc w:val="left"/>
              <w:rPr>
                <w:i/>
              </w:rPr>
            </w:pPr>
            <w:r w:rsidRPr="00132C1E">
              <w:rPr>
                <w:i/>
                <w:iCs/>
              </w:rPr>
              <w:t>f</w:t>
            </w:r>
            <w:r w:rsidRPr="00132C1E">
              <w:rPr>
                <w:iCs/>
                <w:vertAlign w:val="subscript"/>
              </w:rPr>
              <w:t>k</w:t>
            </w:r>
          </w:p>
        </w:tc>
        <w:tc>
          <w:tcPr>
            <w:tcW w:w="7938" w:type="dxa"/>
          </w:tcPr>
          <w:p w14:paraId="1C574960" w14:textId="4000BAD6" w:rsidR="0049475C" w:rsidRPr="00E05E29" w:rsidRDefault="0049475C" w:rsidP="002061E5">
            <w:pPr>
              <w:pStyle w:val="Listofsymbols"/>
              <w:tabs>
                <w:tab w:val="clear" w:pos="1134"/>
                <w:tab w:val="left" w:pos="1347"/>
              </w:tabs>
              <w:ind w:left="0" w:firstLine="0"/>
            </w:pPr>
            <w:r w:rsidRPr="00132C1E">
              <w:t xml:space="preserve">is the characteristic compressive strength of the masonry </w:t>
            </w:r>
            <w:r>
              <w:t>wall</w:t>
            </w:r>
            <w:r w:rsidRPr="00132C1E">
              <w:t>.</w:t>
            </w:r>
          </w:p>
        </w:tc>
      </w:tr>
    </w:tbl>
    <w:p w14:paraId="0B9558FF" w14:textId="6DAC8F03" w:rsidR="00BC007B" w:rsidRPr="00EF591D" w:rsidRDefault="00BC007B" w:rsidP="00724E4E">
      <w:pPr>
        <w:pStyle w:val="Clause"/>
      </w:pPr>
      <w:r w:rsidRPr="00132C1E">
        <w:lastRenderedPageBreak/>
        <w:t xml:space="preserve">If </w:t>
      </w:r>
      <w:r w:rsidRPr="00F71D03">
        <w:rPr>
          <w:i/>
          <w:iCs/>
        </w:rPr>
        <w:t>ν</w:t>
      </w:r>
      <w:r w:rsidRPr="00F71D03">
        <w:rPr>
          <w:vertAlign w:val="subscript"/>
        </w:rPr>
        <w:t>G,k </w:t>
      </w:r>
      <w:r w:rsidRPr="00132C1E">
        <w:t xml:space="preserve">≤ 0,2, </w:t>
      </w:r>
      <w:r w:rsidRPr="00835C82">
        <w:t>(1)a)</w:t>
      </w:r>
      <w:r w:rsidRPr="00132C1E">
        <w:t xml:space="preserve"> may be applied.</w:t>
      </w:r>
    </w:p>
    <w:p w14:paraId="77246BDF" w14:textId="18295320" w:rsidR="00BC007B" w:rsidRPr="00EF591D" w:rsidRDefault="00BC007B" w:rsidP="00724E4E">
      <w:pPr>
        <w:pStyle w:val="Clause"/>
      </w:pPr>
      <w:r w:rsidRPr="00132C1E">
        <w:t>The drift capacity of piers failing in flexure may be taken equal to twice the capacity of a pier failing in shear.</w:t>
      </w:r>
      <w:r w:rsidRPr="00EF591D">
        <w:t xml:space="preserve"> </w:t>
      </w:r>
    </w:p>
    <w:p w14:paraId="4B4B4771" w14:textId="0B5A26B5" w:rsidR="00BC007B" w:rsidRPr="00EF591D" w:rsidRDefault="00BC007B" w:rsidP="00724E4E">
      <w:pPr>
        <w:pStyle w:val="Clause"/>
      </w:pPr>
      <w:r w:rsidRPr="00EF591D">
        <w:t>The deformation capacity in terms of member drift ratio of the pier at 20</w:t>
      </w:r>
      <w:r w:rsidR="008A133F">
        <w:t> </w:t>
      </w:r>
      <w:r w:rsidRPr="00EF591D">
        <w:t xml:space="preserve">% drop in strength may be taken as 1,5 times </w:t>
      </w:r>
      <w:r w:rsidRPr="00F71D03">
        <w:rPr>
          <w:i/>
          <w:iCs/>
        </w:rPr>
        <w:t>θ</w:t>
      </w:r>
      <w:r w:rsidRPr="00F71D03">
        <w:rPr>
          <w:vertAlign w:val="subscript"/>
        </w:rPr>
        <w:t>SD</w:t>
      </w:r>
      <w:r w:rsidRPr="00EF591D">
        <w:t>.</w:t>
      </w:r>
    </w:p>
    <w:p w14:paraId="22009697" w14:textId="03C95BB4" w:rsidR="00BC007B" w:rsidRPr="00EF591D" w:rsidRDefault="00BC007B" w:rsidP="00724E4E">
      <w:pPr>
        <w:pStyle w:val="Clause"/>
      </w:pPr>
      <w:r w:rsidRPr="00132C1E">
        <w:t>The deformation capacity of unreinforced masonry spandrels in terms of chord rotation may be taken equal to four times the drift capacity of unreinforced masonry piers.</w:t>
      </w:r>
    </w:p>
    <w:p w14:paraId="0B9DDED9" w14:textId="5ECFBB7D" w:rsidR="00BC007B" w:rsidRPr="00EF591D" w:rsidRDefault="00BC007B" w:rsidP="00724E4E">
      <w:pPr>
        <w:pStyle w:val="Clause"/>
      </w:pPr>
      <w:r w:rsidRPr="00132C1E">
        <w:t>The deformation capacity of a composite spandrel in terms of chord rotation may be calculated from the rotational capacity of the beam.</w:t>
      </w:r>
    </w:p>
    <w:p w14:paraId="427AE2F4" w14:textId="5F40E460" w:rsidR="00BC007B" w:rsidRPr="00132C1E" w:rsidRDefault="00BC007B" w:rsidP="00BC007B">
      <w:pPr>
        <w:pStyle w:val="Heading3"/>
      </w:pPr>
      <w:bookmarkStart w:id="10843" w:name="_Toc50150646"/>
      <w:bookmarkStart w:id="10844" w:name="_Toc70887079"/>
      <w:bookmarkStart w:id="10845" w:name="_Toc108342662"/>
      <w:bookmarkStart w:id="10846" w:name="_Toc134198171"/>
      <w:r w:rsidRPr="00132C1E">
        <w:t>Reinforced masonry members</w:t>
      </w:r>
      <w:bookmarkEnd w:id="10840"/>
      <w:bookmarkEnd w:id="10841"/>
      <w:bookmarkEnd w:id="10843"/>
      <w:bookmarkEnd w:id="10844"/>
      <w:bookmarkEnd w:id="10845"/>
      <w:bookmarkEnd w:id="10846"/>
    </w:p>
    <w:p w14:paraId="7F618659" w14:textId="418748DC" w:rsidR="00BC007B" w:rsidRPr="00132C1E" w:rsidRDefault="00BC007B" w:rsidP="0080187E">
      <w:pPr>
        <w:pStyle w:val="Clause"/>
        <w:numPr>
          <w:ilvl w:val="0"/>
          <w:numId w:val="518"/>
        </w:numPr>
      </w:pPr>
      <w:bookmarkStart w:id="10847" w:name="_Toc7368778"/>
      <w:bookmarkStart w:id="10848" w:name="_Toc19566951"/>
      <w:r w:rsidRPr="00EF591D">
        <w:t xml:space="preserve">The drift capacity of reinforced masonry members may be assumed as 1,5 times those of unreinforced masonry, unless other values are demonstrated by tests. </w:t>
      </w:r>
    </w:p>
    <w:p w14:paraId="5B6C111F" w14:textId="05934397" w:rsidR="00BC007B" w:rsidRPr="007B4C44" w:rsidRDefault="00BC007B" w:rsidP="007B4C44">
      <w:pPr>
        <w:pStyle w:val="Notetext"/>
      </w:pPr>
      <w:r w:rsidRPr="007B4C44">
        <w:t>NOTE</w:t>
      </w:r>
      <w:r w:rsidRPr="007B4C44">
        <w:tab/>
      </w:r>
      <w:r w:rsidR="0026060E">
        <w:t xml:space="preserve">prCEN/TS 1998-1-101 </w:t>
      </w:r>
      <w:r w:rsidRPr="007B4C44">
        <w:t>gives a loading protocol, interpretation and acceptance criteria for such tests.</w:t>
      </w:r>
    </w:p>
    <w:p w14:paraId="5BD9B7CA" w14:textId="758BBA3C" w:rsidR="00BC007B" w:rsidRPr="00132C1E" w:rsidRDefault="00BC007B" w:rsidP="00BC007B">
      <w:pPr>
        <w:pStyle w:val="Heading3"/>
      </w:pPr>
      <w:bookmarkStart w:id="10849" w:name="_Toc50150647"/>
      <w:bookmarkStart w:id="10850" w:name="_Toc70887080"/>
      <w:bookmarkStart w:id="10851" w:name="_Toc108342663"/>
      <w:bookmarkStart w:id="10852" w:name="_Toc134198172"/>
      <w:r w:rsidRPr="00132C1E">
        <w:t>Confined masonry members</w:t>
      </w:r>
      <w:bookmarkEnd w:id="10847"/>
      <w:bookmarkEnd w:id="10848"/>
      <w:bookmarkEnd w:id="10849"/>
      <w:bookmarkEnd w:id="10850"/>
      <w:bookmarkEnd w:id="10851"/>
      <w:bookmarkEnd w:id="10852"/>
    </w:p>
    <w:p w14:paraId="4A6C9EF1" w14:textId="1C973760" w:rsidR="00BC007B" w:rsidRPr="00EF591D" w:rsidRDefault="00BC007B" w:rsidP="0080187E">
      <w:pPr>
        <w:pStyle w:val="Clause"/>
        <w:numPr>
          <w:ilvl w:val="0"/>
          <w:numId w:val="519"/>
        </w:numPr>
      </w:pPr>
      <w:r w:rsidRPr="00EF591D">
        <w:t>Unless drift capacity estimates are available from tests on confined masonry members, the drift capacity of confined masonry members may be assumed as 1,25 times those of unreinforced masonry ones.</w:t>
      </w:r>
    </w:p>
    <w:p w14:paraId="441A663B" w14:textId="77777777" w:rsidR="00BC007B" w:rsidRPr="00132C1E" w:rsidRDefault="00BC007B" w:rsidP="00BC007B">
      <w:pPr>
        <w:spacing w:before="120"/>
        <w:jc w:val="center"/>
        <w:rPr>
          <w:b/>
        </w:rPr>
      </w:pPr>
      <w:r w:rsidRPr="00132C1E">
        <w:rPr>
          <w:b/>
        </w:rPr>
        <w:t>Table 14.4</w:t>
      </w:r>
      <w:r w:rsidRPr="00132C1E">
        <w:t>— </w:t>
      </w:r>
      <w:r w:rsidRPr="00132C1E">
        <w:rPr>
          <w:b/>
        </w:rPr>
        <w:t xml:space="preserve">Unreinforced masonry: deformation capacities for </w:t>
      </w:r>
      <w:r w:rsidRPr="00BC007B">
        <w:rPr>
          <w:b/>
        </w:rPr>
        <w:t>piers or walls failin</w:t>
      </w:r>
      <w:r w:rsidRPr="00132C1E">
        <w:rPr>
          <w:b/>
        </w:rPr>
        <w:t xml:space="preserve">g in shear. Applicable for axial load ratios </w:t>
      </w:r>
      <w:r w:rsidRPr="00132C1E">
        <w:rPr>
          <w:rFonts w:ascii="Symbol" w:hAnsi="Symbol"/>
          <w:b/>
          <w:i/>
          <w:iCs/>
        </w:rPr>
        <w:t></w:t>
      </w:r>
      <w:r w:rsidRPr="00132C1E">
        <w:rPr>
          <w:b/>
          <w:vertAlign w:val="subscript"/>
        </w:rPr>
        <w:t>Ek</w:t>
      </w:r>
      <w:r w:rsidRPr="00132C1E">
        <w:rPr>
          <w:b/>
        </w:rPr>
        <w:t xml:space="preserve"> ≤ 0,3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11"/>
        <w:gridCol w:w="1701"/>
      </w:tblGrid>
      <w:tr w:rsidR="00BC007B" w:rsidRPr="00132C1E" w14:paraId="7240267A" w14:textId="77777777" w:rsidTr="002061E5">
        <w:trPr>
          <w:jc w:val="center"/>
        </w:trPr>
        <w:tc>
          <w:tcPr>
            <w:tcW w:w="5511" w:type="dxa"/>
            <w:tcBorders>
              <w:top w:val="single" w:sz="4" w:space="0" w:color="auto"/>
              <w:left w:val="single" w:sz="4" w:space="0" w:color="auto"/>
              <w:bottom w:val="single" w:sz="4" w:space="0" w:color="auto"/>
              <w:right w:val="single" w:sz="4" w:space="0" w:color="auto"/>
            </w:tcBorders>
            <w:hideMark/>
          </w:tcPr>
          <w:p w14:paraId="43D0C7BD" w14:textId="77777777" w:rsidR="00BC007B" w:rsidRPr="0049475C" w:rsidRDefault="00BC007B" w:rsidP="0049475C">
            <w:pPr>
              <w:pStyle w:val="Tablebody"/>
              <w:rPr>
                <w:b/>
                <w:bCs/>
              </w:rPr>
            </w:pPr>
            <w:r w:rsidRPr="0049475C">
              <w:rPr>
                <w:b/>
                <w:bCs/>
              </w:rPr>
              <w:t>Masonry type</w:t>
            </w:r>
          </w:p>
        </w:tc>
        <w:tc>
          <w:tcPr>
            <w:tcW w:w="1701" w:type="dxa"/>
            <w:tcBorders>
              <w:top w:val="single" w:sz="4" w:space="0" w:color="auto"/>
              <w:left w:val="single" w:sz="4" w:space="0" w:color="auto"/>
              <w:bottom w:val="single" w:sz="4" w:space="0" w:color="auto"/>
              <w:right w:val="single" w:sz="4" w:space="0" w:color="auto"/>
            </w:tcBorders>
            <w:hideMark/>
          </w:tcPr>
          <w:p w14:paraId="3B8B837D" w14:textId="2A73967D" w:rsidR="00BC007B" w:rsidRPr="0049475C" w:rsidRDefault="00BC007B" w:rsidP="0049475C">
            <w:pPr>
              <w:pStyle w:val="Tablebody"/>
              <w:jc w:val="center"/>
              <w:rPr>
                <w:b/>
                <w:bCs/>
                <w:i/>
                <w:iCs/>
              </w:rPr>
            </w:pPr>
            <w:r w:rsidRPr="0049475C">
              <w:rPr>
                <w:rFonts w:cstheme="minorHAnsi"/>
                <w:b/>
                <w:bCs/>
                <w:color w:val="000000"/>
                <w:lang w:eastAsia="fr-BE"/>
              </w:rPr>
              <w:t>Drift limits at SD [%]</w:t>
            </w:r>
          </w:p>
        </w:tc>
      </w:tr>
      <w:tr w:rsidR="00BC007B" w:rsidRPr="00132C1E" w14:paraId="2ECED91C" w14:textId="77777777" w:rsidTr="002061E5">
        <w:trPr>
          <w:jc w:val="center"/>
        </w:trPr>
        <w:tc>
          <w:tcPr>
            <w:tcW w:w="5511" w:type="dxa"/>
            <w:tcBorders>
              <w:top w:val="single" w:sz="4" w:space="0" w:color="auto"/>
              <w:left w:val="single" w:sz="4" w:space="0" w:color="auto"/>
              <w:bottom w:val="single" w:sz="4" w:space="0" w:color="auto"/>
              <w:right w:val="single" w:sz="4" w:space="0" w:color="auto"/>
            </w:tcBorders>
            <w:hideMark/>
          </w:tcPr>
          <w:p w14:paraId="22110EE2" w14:textId="77777777" w:rsidR="00BC007B" w:rsidRPr="00D1484A" w:rsidRDefault="00BC007B" w:rsidP="0049475C">
            <w:pPr>
              <w:pStyle w:val="Tablebody"/>
            </w:pPr>
            <w:r w:rsidRPr="00132C1E">
              <w:t>Clay units, Gr 2</w:t>
            </w:r>
          </w:p>
        </w:tc>
        <w:tc>
          <w:tcPr>
            <w:tcW w:w="1701" w:type="dxa"/>
            <w:tcBorders>
              <w:top w:val="single" w:sz="4" w:space="0" w:color="auto"/>
              <w:left w:val="single" w:sz="4" w:space="0" w:color="auto"/>
              <w:bottom w:val="single" w:sz="4" w:space="0" w:color="auto"/>
              <w:right w:val="single" w:sz="4" w:space="0" w:color="auto"/>
            </w:tcBorders>
            <w:hideMark/>
          </w:tcPr>
          <w:p w14:paraId="0374B19F" w14:textId="77777777" w:rsidR="00BC007B" w:rsidRPr="00FD17CF" w:rsidRDefault="00BC007B" w:rsidP="0049475C">
            <w:pPr>
              <w:pStyle w:val="Tablebody"/>
              <w:jc w:val="center"/>
            </w:pPr>
            <w:r w:rsidRPr="00D1484A">
              <w:t>0</w:t>
            </w:r>
            <w:r w:rsidRPr="007E6F67">
              <w:t>,30</w:t>
            </w:r>
          </w:p>
        </w:tc>
      </w:tr>
      <w:tr w:rsidR="00BC007B" w:rsidRPr="00132C1E" w14:paraId="76AE65F8" w14:textId="77777777" w:rsidTr="002061E5">
        <w:trPr>
          <w:jc w:val="center"/>
        </w:trPr>
        <w:tc>
          <w:tcPr>
            <w:tcW w:w="5511" w:type="dxa"/>
            <w:tcBorders>
              <w:top w:val="single" w:sz="4" w:space="0" w:color="auto"/>
              <w:left w:val="single" w:sz="4" w:space="0" w:color="auto"/>
              <w:bottom w:val="single" w:sz="4" w:space="0" w:color="auto"/>
              <w:right w:val="single" w:sz="4" w:space="0" w:color="auto"/>
            </w:tcBorders>
            <w:hideMark/>
          </w:tcPr>
          <w:p w14:paraId="506BD16D" w14:textId="77777777" w:rsidR="00BC007B" w:rsidRPr="00D1484A" w:rsidRDefault="00BC007B" w:rsidP="0049475C">
            <w:pPr>
              <w:pStyle w:val="Tablebody"/>
            </w:pPr>
            <w:r w:rsidRPr="00132C1E">
              <w:t>Clay units, Gr 1s</w:t>
            </w:r>
          </w:p>
        </w:tc>
        <w:tc>
          <w:tcPr>
            <w:tcW w:w="1701" w:type="dxa"/>
            <w:tcBorders>
              <w:top w:val="single" w:sz="4" w:space="0" w:color="auto"/>
              <w:left w:val="single" w:sz="4" w:space="0" w:color="auto"/>
              <w:bottom w:val="single" w:sz="4" w:space="0" w:color="auto"/>
              <w:right w:val="single" w:sz="4" w:space="0" w:color="auto"/>
            </w:tcBorders>
            <w:hideMark/>
          </w:tcPr>
          <w:p w14:paraId="534E1CA9" w14:textId="77777777" w:rsidR="00BC007B" w:rsidRPr="00FD17CF" w:rsidRDefault="00BC007B" w:rsidP="0049475C">
            <w:pPr>
              <w:pStyle w:val="Tablebody"/>
              <w:jc w:val="center"/>
            </w:pPr>
            <w:r w:rsidRPr="00D1484A">
              <w:t>0</w:t>
            </w:r>
            <w:r w:rsidRPr="007E6F67">
              <w:t>,6</w:t>
            </w:r>
            <w:r w:rsidRPr="00FD17CF">
              <w:t>8</w:t>
            </w:r>
          </w:p>
        </w:tc>
      </w:tr>
      <w:tr w:rsidR="00BC007B" w:rsidRPr="00132C1E" w14:paraId="6A6D1C3D" w14:textId="77777777" w:rsidTr="002061E5">
        <w:trPr>
          <w:jc w:val="center"/>
        </w:trPr>
        <w:tc>
          <w:tcPr>
            <w:tcW w:w="5511" w:type="dxa"/>
            <w:tcBorders>
              <w:top w:val="single" w:sz="4" w:space="0" w:color="auto"/>
              <w:left w:val="single" w:sz="4" w:space="0" w:color="auto"/>
              <w:bottom w:val="single" w:sz="4" w:space="0" w:color="auto"/>
              <w:right w:val="single" w:sz="4" w:space="0" w:color="auto"/>
            </w:tcBorders>
            <w:hideMark/>
          </w:tcPr>
          <w:p w14:paraId="1B8ACE7C" w14:textId="77777777" w:rsidR="00BC007B" w:rsidRPr="00D1484A" w:rsidRDefault="00BC007B" w:rsidP="0049475C">
            <w:pPr>
              <w:pStyle w:val="Tablebody"/>
            </w:pPr>
            <w:r w:rsidRPr="00132C1E">
              <w:t xml:space="preserve">Calcium silicate (hollow and solid) </w:t>
            </w:r>
          </w:p>
        </w:tc>
        <w:tc>
          <w:tcPr>
            <w:tcW w:w="1701" w:type="dxa"/>
            <w:tcBorders>
              <w:top w:val="single" w:sz="4" w:space="0" w:color="auto"/>
              <w:left w:val="single" w:sz="4" w:space="0" w:color="auto"/>
              <w:bottom w:val="single" w:sz="4" w:space="0" w:color="auto"/>
              <w:right w:val="single" w:sz="4" w:space="0" w:color="auto"/>
            </w:tcBorders>
            <w:hideMark/>
          </w:tcPr>
          <w:p w14:paraId="37203A66" w14:textId="77777777" w:rsidR="00BC007B" w:rsidRPr="00FD17CF" w:rsidRDefault="00BC007B" w:rsidP="0049475C">
            <w:pPr>
              <w:pStyle w:val="Tablebody"/>
              <w:jc w:val="center"/>
            </w:pPr>
            <w:r w:rsidRPr="00D1484A">
              <w:t>0</w:t>
            </w:r>
            <w:r w:rsidRPr="007E6F67">
              <w:t>,2</w:t>
            </w:r>
            <w:r w:rsidRPr="00FD17CF">
              <w:t>8</w:t>
            </w:r>
          </w:p>
        </w:tc>
      </w:tr>
      <w:tr w:rsidR="00BC007B" w:rsidRPr="00132C1E" w14:paraId="534E195D" w14:textId="77777777" w:rsidTr="002061E5">
        <w:trPr>
          <w:jc w:val="center"/>
        </w:trPr>
        <w:tc>
          <w:tcPr>
            <w:tcW w:w="5511" w:type="dxa"/>
            <w:tcBorders>
              <w:top w:val="single" w:sz="4" w:space="0" w:color="auto"/>
              <w:left w:val="single" w:sz="4" w:space="0" w:color="auto"/>
              <w:bottom w:val="single" w:sz="4" w:space="0" w:color="auto"/>
              <w:right w:val="single" w:sz="4" w:space="0" w:color="auto"/>
            </w:tcBorders>
            <w:hideMark/>
          </w:tcPr>
          <w:p w14:paraId="76E15169" w14:textId="77777777" w:rsidR="00BC007B" w:rsidRPr="00D1484A" w:rsidRDefault="00BC007B" w:rsidP="0049475C">
            <w:pPr>
              <w:pStyle w:val="Tablebody"/>
            </w:pPr>
            <w:r w:rsidRPr="00132C1E">
              <w:t>AAC Gr 1 and 1s</w:t>
            </w:r>
          </w:p>
        </w:tc>
        <w:tc>
          <w:tcPr>
            <w:tcW w:w="1701" w:type="dxa"/>
            <w:tcBorders>
              <w:top w:val="single" w:sz="4" w:space="0" w:color="auto"/>
              <w:left w:val="single" w:sz="4" w:space="0" w:color="auto"/>
              <w:bottom w:val="single" w:sz="4" w:space="0" w:color="auto"/>
              <w:right w:val="single" w:sz="4" w:space="0" w:color="auto"/>
            </w:tcBorders>
            <w:hideMark/>
          </w:tcPr>
          <w:p w14:paraId="3CFD0FA6" w14:textId="77777777" w:rsidR="00BC007B" w:rsidRPr="00FD17CF" w:rsidRDefault="00BC007B" w:rsidP="0049475C">
            <w:pPr>
              <w:pStyle w:val="Tablebody"/>
              <w:jc w:val="center"/>
            </w:pPr>
            <w:r w:rsidRPr="00D1484A">
              <w:t>0</w:t>
            </w:r>
            <w:r w:rsidRPr="007E6F67">
              <w:t>,3</w:t>
            </w:r>
            <w:r w:rsidRPr="00FD17CF">
              <w:t>8</w:t>
            </w:r>
          </w:p>
        </w:tc>
      </w:tr>
      <w:tr w:rsidR="00BC007B" w:rsidRPr="00132C1E" w14:paraId="14C54FDF" w14:textId="77777777" w:rsidTr="002061E5">
        <w:trPr>
          <w:jc w:val="center"/>
        </w:trPr>
        <w:tc>
          <w:tcPr>
            <w:tcW w:w="5511" w:type="dxa"/>
            <w:tcBorders>
              <w:top w:val="single" w:sz="4" w:space="0" w:color="auto"/>
              <w:left w:val="single" w:sz="4" w:space="0" w:color="auto"/>
              <w:bottom w:val="single" w:sz="4" w:space="0" w:color="auto"/>
              <w:right w:val="single" w:sz="4" w:space="0" w:color="auto"/>
            </w:tcBorders>
            <w:hideMark/>
          </w:tcPr>
          <w:p w14:paraId="762FD841" w14:textId="77777777" w:rsidR="00BC007B" w:rsidRPr="00D1484A" w:rsidRDefault="00BC007B" w:rsidP="0049475C">
            <w:pPr>
              <w:pStyle w:val="Tablebody"/>
            </w:pPr>
            <w:r w:rsidRPr="00132C1E">
              <w:t>Light-weight concrete units, Gr 1</w:t>
            </w:r>
          </w:p>
        </w:tc>
        <w:tc>
          <w:tcPr>
            <w:tcW w:w="1701" w:type="dxa"/>
            <w:tcBorders>
              <w:top w:val="single" w:sz="4" w:space="0" w:color="auto"/>
              <w:left w:val="single" w:sz="4" w:space="0" w:color="auto"/>
              <w:bottom w:val="single" w:sz="4" w:space="0" w:color="auto"/>
              <w:right w:val="single" w:sz="4" w:space="0" w:color="auto"/>
            </w:tcBorders>
            <w:hideMark/>
          </w:tcPr>
          <w:p w14:paraId="24881CCB" w14:textId="77777777" w:rsidR="00BC007B" w:rsidRPr="00FD17CF" w:rsidRDefault="00BC007B" w:rsidP="0049475C">
            <w:pPr>
              <w:pStyle w:val="Tablebody"/>
              <w:jc w:val="center"/>
            </w:pPr>
            <w:r w:rsidRPr="00D1484A">
              <w:t>0</w:t>
            </w:r>
            <w:r w:rsidRPr="007E6F67">
              <w:t>,30</w:t>
            </w:r>
          </w:p>
        </w:tc>
      </w:tr>
    </w:tbl>
    <w:p w14:paraId="4CA60A44" w14:textId="77777777" w:rsidR="00835C82" w:rsidRPr="00835C82" w:rsidRDefault="00835C82" w:rsidP="00835C82">
      <w:pPr>
        <w:pStyle w:val="Text"/>
      </w:pPr>
      <w:bookmarkStart w:id="10853" w:name="_Toc790928"/>
      <w:bookmarkStart w:id="10854" w:name="_Toc3399361"/>
      <w:bookmarkStart w:id="10855" w:name="_Toc50150648"/>
      <w:bookmarkStart w:id="10856" w:name="_Toc70887081"/>
      <w:bookmarkStart w:id="10857" w:name="_Toc108342664"/>
    </w:p>
    <w:p w14:paraId="1765BCEF" w14:textId="77777777" w:rsidR="00835C82" w:rsidRDefault="00835C82">
      <w:pPr>
        <w:spacing w:before="0" w:after="0" w:line="240" w:lineRule="auto"/>
        <w:jc w:val="left"/>
        <w:rPr>
          <w:rFonts w:eastAsia="MS Mincho" w:cs="Cambria"/>
          <w:b/>
          <w:sz w:val="26"/>
          <w:szCs w:val="20"/>
          <w:lang w:eastAsia="fr-FR"/>
        </w:rPr>
      </w:pPr>
      <w:r>
        <w:br w:type="page"/>
      </w:r>
    </w:p>
    <w:p w14:paraId="466031C9" w14:textId="0B38A6DA" w:rsidR="007B4C44" w:rsidRPr="007B4C44" w:rsidRDefault="007B4C44" w:rsidP="007B4C44">
      <w:pPr>
        <w:pStyle w:val="Heading1"/>
      </w:pPr>
      <w:bookmarkStart w:id="10858" w:name="_Toc134198173"/>
      <w:r w:rsidRPr="007B4C44">
        <w:lastRenderedPageBreak/>
        <w:t>Specific rules for aluminium buildings</w:t>
      </w:r>
      <w:bookmarkEnd w:id="10853"/>
      <w:bookmarkEnd w:id="10854"/>
      <w:bookmarkEnd w:id="10855"/>
      <w:bookmarkEnd w:id="10856"/>
      <w:bookmarkEnd w:id="10857"/>
      <w:bookmarkEnd w:id="10858"/>
    </w:p>
    <w:p w14:paraId="7362C196" w14:textId="77777777" w:rsidR="007B4C44" w:rsidRPr="007B4C44" w:rsidRDefault="007B4C44" w:rsidP="007B4C44">
      <w:pPr>
        <w:pStyle w:val="Heading2"/>
      </w:pPr>
      <w:bookmarkStart w:id="10859" w:name="_Toc108342665"/>
      <w:bookmarkStart w:id="10860" w:name="_Toc134198174"/>
      <w:r w:rsidRPr="007B4C44">
        <w:t>General</w:t>
      </w:r>
      <w:bookmarkEnd w:id="10859"/>
      <w:bookmarkEnd w:id="10860"/>
    </w:p>
    <w:p w14:paraId="2EA981F7" w14:textId="21578891" w:rsidR="007B4C44" w:rsidRPr="00E05E29" w:rsidRDefault="00835C82" w:rsidP="0080187E">
      <w:pPr>
        <w:pStyle w:val="Clause"/>
        <w:numPr>
          <w:ilvl w:val="0"/>
          <w:numId w:val="520"/>
        </w:numPr>
      </w:pPr>
      <w:r>
        <w:t xml:space="preserve">Clause </w:t>
      </w:r>
      <w:r w:rsidR="007B4C44" w:rsidRPr="00835C82">
        <w:t>15</w:t>
      </w:r>
      <w:r w:rsidR="007B4C44" w:rsidRPr="00E05E29">
        <w:t xml:space="preserve"> should be applied to the design and the verification of aluminium buildings in seismic regions.</w:t>
      </w:r>
    </w:p>
    <w:p w14:paraId="37EBBEEB" w14:textId="05C01111" w:rsidR="007B4C44" w:rsidRPr="002144A0" w:rsidRDefault="00835C82" w:rsidP="00724E4E">
      <w:pPr>
        <w:pStyle w:val="Clause"/>
      </w:pPr>
      <w:r w:rsidRPr="00835C82">
        <w:t xml:space="preserve">Clause </w:t>
      </w:r>
      <w:r w:rsidR="007B4C44" w:rsidRPr="00835C82">
        <w:t>15</w:t>
      </w:r>
      <w:r w:rsidR="007B4C44" w:rsidRPr="002144A0">
        <w:t xml:space="preserve"> should be applied as a complement to </w:t>
      </w:r>
      <w:r w:rsidR="00C30FF9">
        <w:t>EN 1</w:t>
      </w:r>
      <w:r w:rsidR="007B4C44">
        <w:t>99</w:t>
      </w:r>
      <w:r w:rsidR="007B4C44" w:rsidRPr="002144A0">
        <w:t>9-1-1.</w:t>
      </w:r>
    </w:p>
    <w:p w14:paraId="6A07FD35" w14:textId="11A77F50" w:rsidR="007B4C44" w:rsidRPr="007B4C44" w:rsidRDefault="007B4C44" w:rsidP="007B4C44">
      <w:pPr>
        <w:pStyle w:val="Heading2"/>
      </w:pPr>
      <w:bookmarkStart w:id="10861" w:name="_Toc790930"/>
      <w:bookmarkStart w:id="10862" w:name="_Toc3399363"/>
      <w:bookmarkStart w:id="10863" w:name="_Toc50150650"/>
      <w:bookmarkStart w:id="10864" w:name="_Toc70887083"/>
      <w:bookmarkStart w:id="10865" w:name="_Toc108342666"/>
      <w:bookmarkStart w:id="10866" w:name="_Toc134198175"/>
      <w:r w:rsidRPr="007B4C44">
        <w:t>Basis of Design</w:t>
      </w:r>
      <w:bookmarkEnd w:id="10861"/>
      <w:bookmarkEnd w:id="10862"/>
      <w:bookmarkEnd w:id="10863"/>
      <w:bookmarkEnd w:id="10864"/>
      <w:bookmarkEnd w:id="10865"/>
      <w:bookmarkEnd w:id="10866"/>
    </w:p>
    <w:p w14:paraId="4F89D12A" w14:textId="77777777" w:rsidR="007B4C44" w:rsidRPr="007B4C44" w:rsidRDefault="007B4C44" w:rsidP="007B4C44">
      <w:pPr>
        <w:pStyle w:val="Heading3"/>
      </w:pPr>
      <w:bookmarkStart w:id="10867" w:name="_Toc790931"/>
      <w:bookmarkStart w:id="10868" w:name="_Toc3399364"/>
      <w:bookmarkStart w:id="10869" w:name="_Toc50150651"/>
      <w:bookmarkStart w:id="10870" w:name="_Toc70887084"/>
      <w:bookmarkStart w:id="10871" w:name="_Toc108342667"/>
      <w:bookmarkStart w:id="10872" w:name="_Toc134198176"/>
      <w:r w:rsidRPr="007B4C44">
        <w:t>Design concepts</w:t>
      </w:r>
      <w:bookmarkEnd w:id="10867"/>
      <w:bookmarkEnd w:id="10868"/>
      <w:bookmarkEnd w:id="10869"/>
      <w:bookmarkEnd w:id="10870"/>
      <w:bookmarkEnd w:id="10871"/>
      <w:bookmarkEnd w:id="10872"/>
    </w:p>
    <w:p w14:paraId="752A1C36" w14:textId="2E4DDB73" w:rsidR="007B4C44" w:rsidRPr="00D1484A" w:rsidRDefault="007B4C44" w:rsidP="0080187E">
      <w:pPr>
        <w:pStyle w:val="Clause"/>
        <w:numPr>
          <w:ilvl w:val="0"/>
          <w:numId w:val="521"/>
        </w:numPr>
      </w:pPr>
      <w:r w:rsidRPr="00C52095">
        <w:t>Earthquake resistant aluminium buildings should be designed in one of the Ductility Classes in a) or b)</w:t>
      </w:r>
      <w:r w:rsidRPr="007754C9">
        <w:t xml:space="preserve"> (see </w:t>
      </w:r>
      <w:r w:rsidR="00071D6D" w:rsidRPr="00071D6D">
        <w:rPr>
          <w:color w:val="auto"/>
        </w:rPr>
        <w:t>Table 15.1</w:t>
      </w:r>
      <w:r w:rsidRPr="00071D6D">
        <w:rPr>
          <w:color w:val="auto"/>
        </w:rPr>
        <w:t>):</w:t>
      </w:r>
    </w:p>
    <w:p w14:paraId="6B89294B" w14:textId="2705D2D0" w:rsidR="007B4C44" w:rsidRPr="007E6F67" w:rsidRDefault="007B4C44" w:rsidP="008A133F">
      <w:pPr>
        <w:pStyle w:val="Text"/>
        <w:numPr>
          <w:ilvl w:val="0"/>
          <w:numId w:val="691"/>
        </w:numPr>
        <w:spacing w:after="200"/>
      </w:pPr>
      <w:r w:rsidRPr="00D1484A">
        <w:t>DC1:</w:t>
      </w:r>
      <w:r w:rsidR="00071D6D">
        <w:t xml:space="preserve"> </w:t>
      </w:r>
      <w:r w:rsidRPr="00D1484A">
        <w:t>Low-dissipative structural behaviour;</w:t>
      </w:r>
    </w:p>
    <w:p w14:paraId="08020ED2" w14:textId="1F268318" w:rsidR="007B4C44" w:rsidRPr="00FD17CF" w:rsidRDefault="007B4C44" w:rsidP="008A133F">
      <w:pPr>
        <w:pStyle w:val="Text"/>
        <w:numPr>
          <w:ilvl w:val="0"/>
          <w:numId w:val="691"/>
        </w:numPr>
        <w:spacing w:after="200"/>
      </w:pPr>
      <w:r w:rsidRPr="007E6F67">
        <w:t>DC2:</w:t>
      </w:r>
      <w:r w:rsidR="00071D6D">
        <w:t xml:space="preserve"> </w:t>
      </w:r>
      <w:r w:rsidRPr="007E6F67">
        <w:t>Dissipative structural behaviour.</w:t>
      </w:r>
    </w:p>
    <w:p w14:paraId="51FF4968" w14:textId="363CC9F1" w:rsidR="007B4C44" w:rsidRPr="007E6F67" w:rsidRDefault="007B4C44" w:rsidP="007B4C44">
      <w:pPr>
        <w:pStyle w:val="Tabletitle"/>
      </w:pPr>
      <w:bookmarkStart w:id="10873" w:name="_Ref13496745"/>
      <w:r w:rsidRPr="00FD17CF">
        <w:t xml:space="preserve">Table </w:t>
      </w:r>
      <w:r w:rsidR="00071D6D">
        <w:t>15.1</w:t>
      </w:r>
      <w:bookmarkEnd w:id="10873"/>
      <w:r w:rsidRPr="00132C1E">
        <w:t> —</w:t>
      </w:r>
      <w:r w:rsidRPr="00D1484A">
        <w:t xml:space="preserve"> Structural ductility classes and upper limit reference values </w:t>
      </w:r>
      <w:r w:rsidR="00071D6D">
        <w:br/>
      </w:r>
      <w:r w:rsidRPr="00D1484A">
        <w:t>of the behaviour factors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11"/>
        <w:gridCol w:w="2970"/>
      </w:tblGrid>
      <w:tr w:rsidR="007B4C44" w:rsidRPr="00D56DA5" w14:paraId="107E991D" w14:textId="77777777" w:rsidTr="00071D6D">
        <w:trPr>
          <w:trHeight w:val="528"/>
          <w:jc w:val="center"/>
        </w:trPr>
        <w:tc>
          <w:tcPr>
            <w:tcW w:w="2211" w:type="dxa"/>
            <w:tcBorders>
              <w:top w:val="single" w:sz="4" w:space="0" w:color="auto"/>
              <w:left w:val="single" w:sz="4" w:space="0" w:color="auto"/>
              <w:bottom w:val="single" w:sz="4" w:space="0" w:color="auto"/>
              <w:right w:val="single" w:sz="4" w:space="0" w:color="auto"/>
            </w:tcBorders>
            <w:vAlign w:val="center"/>
          </w:tcPr>
          <w:p w14:paraId="49B000AF" w14:textId="77777777" w:rsidR="007B4C44" w:rsidRPr="00071D6D" w:rsidRDefault="007B4C44" w:rsidP="00071D6D">
            <w:pPr>
              <w:pStyle w:val="Tablebody"/>
              <w:jc w:val="center"/>
              <w:rPr>
                <w:b/>
                <w:bCs/>
              </w:rPr>
            </w:pPr>
            <w:r w:rsidRPr="00071D6D">
              <w:rPr>
                <w:b/>
                <w:bCs/>
              </w:rPr>
              <w:t>Structural ductility class</w:t>
            </w:r>
          </w:p>
        </w:tc>
        <w:tc>
          <w:tcPr>
            <w:tcW w:w="2970" w:type="dxa"/>
            <w:tcBorders>
              <w:top w:val="single" w:sz="4" w:space="0" w:color="auto"/>
              <w:left w:val="single" w:sz="4" w:space="0" w:color="auto"/>
              <w:bottom w:val="single" w:sz="4" w:space="0" w:color="auto"/>
              <w:right w:val="single" w:sz="4" w:space="0" w:color="auto"/>
            </w:tcBorders>
            <w:vAlign w:val="center"/>
          </w:tcPr>
          <w:p w14:paraId="0017149E" w14:textId="77777777" w:rsidR="007B4C44" w:rsidRPr="00071D6D" w:rsidRDefault="007B4C44" w:rsidP="00071D6D">
            <w:pPr>
              <w:pStyle w:val="Tablebody"/>
              <w:jc w:val="center"/>
              <w:rPr>
                <w:b/>
                <w:bCs/>
                <w:vertAlign w:val="subscript"/>
              </w:rPr>
            </w:pPr>
            <w:r w:rsidRPr="00071D6D">
              <w:rPr>
                <w:b/>
                <w:bCs/>
              </w:rPr>
              <w:t xml:space="preserve">Range of the reference values of the behaviour factor </w:t>
            </w:r>
            <w:r w:rsidRPr="00071D6D">
              <w:rPr>
                <w:b/>
                <w:bCs/>
                <w:i/>
              </w:rPr>
              <w:t>q</w:t>
            </w:r>
          </w:p>
        </w:tc>
      </w:tr>
      <w:tr w:rsidR="007B4C44" w:rsidRPr="00132C1E" w14:paraId="7A54248D" w14:textId="77777777" w:rsidTr="00071D6D">
        <w:trPr>
          <w:trHeight w:val="511"/>
          <w:jc w:val="center"/>
        </w:trPr>
        <w:tc>
          <w:tcPr>
            <w:tcW w:w="2211" w:type="dxa"/>
            <w:tcBorders>
              <w:top w:val="single" w:sz="4" w:space="0" w:color="auto"/>
              <w:left w:val="single" w:sz="4" w:space="0" w:color="auto"/>
              <w:right w:val="single" w:sz="4" w:space="0" w:color="auto"/>
            </w:tcBorders>
            <w:vAlign w:val="center"/>
          </w:tcPr>
          <w:p w14:paraId="63C4AB5A" w14:textId="0537CA90" w:rsidR="007B4C44" w:rsidRPr="00D1484A" w:rsidRDefault="007B4C44" w:rsidP="00071D6D">
            <w:pPr>
              <w:pStyle w:val="Tablebody"/>
              <w:jc w:val="center"/>
            </w:pPr>
            <w:r w:rsidRPr="00132C1E">
              <w:t>DC1</w:t>
            </w:r>
          </w:p>
        </w:tc>
        <w:tc>
          <w:tcPr>
            <w:tcW w:w="2970" w:type="dxa"/>
            <w:tcBorders>
              <w:top w:val="single" w:sz="4" w:space="0" w:color="auto"/>
              <w:left w:val="single" w:sz="4" w:space="0" w:color="auto"/>
              <w:right w:val="single" w:sz="4" w:space="0" w:color="auto"/>
            </w:tcBorders>
            <w:vAlign w:val="center"/>
          </w:tcPr>
          <w:p w14:paraId="0AEE7D93" w14:textId="77777777" w:rsidR="007B4C44" w:rsidRPr="007E6F67" w:rsidRDefault="007B4C44" w:rsidP="00071D6D">
            <w:pPr>
              <w:pStyle w:val="Tablebody"/>
              <w:jc w:val="center"/>
              <w:rPr>
                <w:strike/>
              </w:rPr>
            </w:pPr>
            <w:r w:rsidRPr="00D1484A">
              <w:t>≤</w:t>
            </w:r>
            <w:r w:rsidRPr="007E6F67">
              <w:t>1,5</w:t>
            </w:r>
          </w:p>
        </w:tc>
      </w:tr>
      <w:tr w:rsidR="007B4C44" w:rsidRPr="00D56DA5" w14:paraId="31FE68B1" w14:textId="77777777" w:rsidTr="00071D6D">
        <w:trPr>
          <w:trHeight w:val="405"/>
          <w:jc w:val="center"/>
        </w:trPr>
        <w:tc>
          <w:tcPr>
            <w:tcW w:w="2211" w:type="dxa"/>
            <w:tcBorders>
              <w:top w:val="single" w:sz="4" w:space="0" w:color="auto"/>
              <w:left w:val="single" w:sz="4" w:space="0" w:color="auto"/>
              <w:bottom w:val="single" w:sz="4" w:space="0" w:color="auto"/>
              <w:right w:val="single" w:sz="4" w:space="0" w:color="auto"/>
            </w:tcBorders>
            <w:vAlign w:val="center"/>
          </w:tcPr>
          <w:p w14:paraId="090B1F40" w14:textId="4862B687" w:rsidR="007B4C44" w:rsidRPr="00D1484A" w:rsidRDefault="007B4C44" w:rsidP="00071D6D">
            <w:pPr>
              <w:pStyle w:val="Tablebody"/>
              <w:jc w:val="center"/>
            </w:pPr>
            <w:r w:rsidRPr="00132C1E">
              <w:t>DC2</w:t>
            </w:r>
          </w:p>
        </w:tc>
        <w:tc>
          <w:tcPr>
            <w:tcW w:w="2970" w:type="dxa"/>
            <w:tcBorders>
              <w:top w:val="single" w:sz="4" w:space="0" w:color="auto"/>
              <w:left w:val="single" w:sz="4" w:space="0" w:color="auto"/>
              <w:bottom w:val="single" w:sz="4" w:space="0" w:color="auto"/>
              <w:right w:val="single" w:sz="4" w:space="0" w:color="auto"/>
            </w:tcBorders>
            <w:vAlign w:val="center"/>
          </w:tcPr>
          <w:p w14:paraId="0ABA8EA1" w14:textId="11F25FF5" w:rsidR="007B4C44" w:rsidRPr="007E6F67" w:rsidRDefault="007B4C44" w:rsidP="00071D6D">
            <w:pPr>
              <w:pStyle w:val="Tablebody"/>
              <w:jc w:val="center"/>
            </w:pPr>
            <w:r w:rsidRPr="00D1484A">
              <w:t xml:space="preserve">only limited by the values of </w:t>
            </w:r>
            <w:r w:rsidRPr="007E6F67">
              <w:t>Table 15.3</w:t>
            </w:r>
          </w:p>
        </w:tc>
      </w:tr>
    </w:tbl>
    <w:p w14:paraId="7A6D12AA" w14:textId="40E39B0D" w:rsidR="007B4C44" w:rsidRPr="00D1484A" w:rsidRDefault="007B4C44" w:rsidP="008A133F">
      <w:pPr>
        <w:pStyle w:val="Clause"/>
        <w:spacing w:before="200" w:after="200"/>
      </w:pPr>
      <w:r w:rsidRPr="00D1484A">
        <w:t>In DC1, the action effects may be calculated on the basis of an elastic global analysis without taking into account the non-linear material behaviour.</w:t>
      </w:r>
    </w:p>
    <w:p w14:paraId="4571F1FA" w14:textId="1B6BEA54" w:rsidR="007B4C44" w:rsidRPr="00835C82" w:rsidRDefault="007B4C44" w:rsidP="008A133F">
      <w:pPr>
        <w:pStyle w:val="Clause"/>
        <w:spacing w:before="200" w:after="200"/>
      </w:pPr>
      <w:r w:rsidRPr="007E6F67">
        <w:t xml:space="preserve">In DC1, the resistance of the members and of the connections should be evaluated in accordance with </w:t>
      </w:r>
      <w:r w:rsidR="00C30FF9">
        <w:t>EN 1</w:t>
      </w:r>
      <w:r>
        <w:t>99</w:t>
      </w:r>
      <w:r w:rsidRPr="007E6F67">
        <w:t>9</w:t>
      </w:r>
      <w:r w:rsidR="00146231">
        <w:t>-1-1</w:t>
      </w:r>
      <w:r w:rsidRPr="00FD17CF">
        <w:t xml:space="preserve"> without any additional provisions.</w:t>
      </w:r>
    </w:p>
    <w:p w14:paraId="3F5CE527" w14:textId="422ABDC7" w:rsidR="007B4C44" w:rsidRPr="00132C1E" w:rsidRDefault="007B4C44" w:rsidP="008A133F">
      <w:pPr>
        <w:pStyle w:val="Clause"/>
        <w:spacing w:before="200" w:after="200"/>
      </w:pPr>
      <w:r w:rsidRPr="00196951">
        <w:t>In DC2, the capability of parts of the structure (dissipative zones) to resist earthquake actions through inelastic behaviour may be taken into account with</w:t>
      </w:r>
      <w:r w:rsidRPr="002144A0">
        <w:t xml:space="preserve"> upper limit values of </w:t>
      </w:r>
      <w:r w:rsidRPr="002144A0">
        <w:rPr>
          <w:i/>
        </w:rPr>
        <w:t>q</w:t>
      </w:r>
      <w:r w:rsidRPr="002144A0">
        <w:rPr>
          <w:iCs/>
          <w:vertAlign w:val="subscript"/>
        </w:rPr>
        <w:t>D</w:t>
      </w:r>
      <w:r w:rsidRPr="002144A0">
        <w:rPr>
          <w:iCs/>
        </w:rPr>
        <w:t xml:space="preserve"> </w:t>
      </w:r>
      <w:r w:rsidRPr="002144A0">
        <w:t xml:space="preserve">and </w:t>
      </w:r>
      <w:r w:rsidRPr="002144A0">
        <w:rPr>
          <w:i/>
        </w:rPr>
        <w:t>q</w:t>
      </w:r>
      <w:r w:rsidRPr="004F25D7">
        <w:rPr>
          <w:iCs/>
          <w:vertAlign w:val="subscript"/>
        </w:rPr>
        <w:t>R</w:t>
      </w:r>
      <w:r w:rsidRPr="00C52095">
        <w:rPr>
          <w:iCs/>
        </w:rPr>
        <w:t xml:space="preserve"> </w:t>
      </w:r>
      <w:r w:rsidRPr="00C52095">
        <w:t xml:space="preserve">depending on the Ductility Class and the structural type (see </w:t>
      </w:r>
      <w:r w:rsidRPr="00835C82">
        <w:t>15.4</w:t>
      </w:r>
      <w:r w:rsidRPr="007B4C44">
        <w:t xml:space="preserve">). </w:t>
      </w:r>
      <w:r w:rsidRPr="00835C82">
        <w:t>15.3</w:t>
      </w:r>
      <w:r w:rsidRPr="007B4C44">
        <w:t xml:space="preserve"> to </w:t>
      </w:r>
      <w:r w:rsidRPr="00835C82">
        <w:t>15.6</w:t>
      </w:r>
      <w:r w:rsidRPr="007B4C44">
        <w:t xml:space="preserve"> and </w:t>
      </w:r>
      <w:r w:rsidRPr="00835C82">
        <w:t>15.8</w:t>
      </w:r>
      <w:r w:rsidRPr="007B4C44">
        <w:t xml:space="preserve"> to </w:t>
      </w:r>
      <w:r w:rsidRPr="00835C82">
        <w:t>15.14</w:t>
      </w:r>
      <w:r w:rsidRPr="007B4C44">
        <w:t xml:space="preserve"> </w:t>
      </w:r>
      <w:r w:rsidRPr="00132C1E">
        <w:t>should be applied.</w:t>
      </w:r>
    </w:p>
    <w:p w14:paraId="69CFE122" w14:textId="7CBF6085" w:rsidR="007B4C44" w:rsidRPr="00132C1E" w:rsidRDefault="007B4C44" w:rsidP="008A133F">
      <w:pPr>
        <w:pStyle w:val="Clause"/>
        <w:spacing w:before="200" w:after="200"/>
      </w:pPr>
      <w:r w:rsidRPr="00132C1E">
        <w:t xml:space="preserve">In order for DC2 class to provide an increased ability of the structure to dissipate energy in plastic mechanisms, specific provisions in one or more of the following aspects should be </w:t>
      </w:r>
      <w:r>
        <w:t>satisfied</w:t>
      </w:r>
      <w:r w:rsidRPr="00132C1E">
        <w:t>: plastic deformation capacity of structural members and connections, ability to form global plastic mechanisms.</w:t>
      </w:r>
    </w:p>
    <w:p w14:paraId="66FCB8A1" w14:textId="77777777" w:rsidR="007B4C44" w:rsidRPr="007B4C44" w:rsidRDefault="007B4C44" w:rsidP="008A133F">
      <w:pPr>
        <w:pStyle w:val="Heading3"/>
        <w:spacing w:before="200" w:after="200"/>
      </w:pPr>
      <w:r w:rsidRPr="007B4C44">
        <w:t xml:space="preserve"> </w:t>
      </w:r>
      <w:bookmarkStart w:id="10874" w:name="_Toc50150652"/>
      <w:bookmarkStart w:id="10875" w:name="_Toc70887085"/>
      <w:bookmarkStart w:id="10876" w:name="_Toc108342668"/>
      <w:bookmarkStart w:id="10877" w:name="_Toc134198177"/>
      <w:r w:rsidRPr="007B4C44">
        <w:t>Safety verifications</w:t>
      </w:r>
      <w:bookmarkStart w:id="10878" w:name="_Toc790932"/>
      <w:bookmarkStart w:id="10879" w:name="_Toc3399365"/>
      <w:bookmarkEnd w:id="10874"/>
      <w:bookmarkEnd w:id="10875"/>
      <w:bookmarkEnd w:id="10876"/>
      <w:bookmarkEnd w:id="10878"/>
      <w:bookmarkEnd w:id="10879"/>
      <w:bookmarkEnd w:id="10877"/>
    </w:p>
    <w:p w14:paraId="0843EC2E" w14:textId="5CF047DA" w:rsidR="007B4C44" w:rsidRPr="00FD17CF" w:rsidRDefault="007B4C44" w:rsidP="008A133F">
      <w:pPr>
        <w:pStyle w:val="Clause"/>
        <w:numPr>
          <w:ilvl w:val="0"/>
          <w:numId w:val="522"/>
        </w:numPr>
        <w:spacing w:before="200" w:after="200"/>
      </w:pPr>
      <w:r w:rsidRPr="00132C1E">
        <w:t xml:space="preserve">In the capacity design verifications specified </w:t>
      </w:r>
      <w:r w:rsidRPr="007B4C44">
        <w:t xml:space="preserve">in </w:t>
      </w:r>
      <w:r w:rsidRPr="00835C82">
        <w:t>15.8</w:t>
      </w:r>
      <w:r w:rsidRPr="007B4C44">
        <w:t xml:space="preserve"> to </w:t>
      </w:r>
      <w:r w:rsidRPr="00835C82">
        <w:t>15.14</w:t>
      </w:r>
      <w:r w:rsidRPr="00132C1E">
        <w:t xml:space="preserve">, the possibility that the actual strength of aluminium is greater than the nominal one should be taken into account by a factor </w:t>
      </w:r>
      <w:r w:rsidRPr="00FB5B3D">
        <w:rPr>
          <w:i/>
        </w:rPr>
        <w:t>ω</w:t>
      </w:r>
      <w:r w:rsidRPr="00FB5B3D">
        <w:rPr>
          <w:vertAlign w:val="subscript"/>
        </w:rPr>
        <w:t>rm</w:t>
      </w:r>
      <w:r w:rsidRPr="00132C1E">
        <w:t xml:space="preserve">, which is the </w:t>
      </w:r>
      <w:bookmarkStart w:id="10880" w:name="_Hlk38872409"/>
      <w:r w:rsidRPr="00132C1E">
        <w:t xml:space="preserve">ratio of the expected (i.e. average) value of the conventional elastic limit </w:t>
      </w:r>
      <m:oMath>
        <m:sSub>
          <m:sSubPr>
            <m:ctrlPr>
              <w:rPr>
                <w:rFonts w:ascii="Cambria Math" w:hAnsi="Cambria Math"/>
                <w:i/>
              </w:rPr>
            </m:ctrlPr>
          </m:sSubPr>
          <m:e>
            <m:r>
              <w:rPr>
                <w:rFonts w:ascii="Cambria Math" w:hAnsi="Cambria Math"/>
              </w:rPr>
              <m:t>f</m:t>
            </m:r>
          </m:e>
          <m:sub>
            <m:r>
              <m:rPr>
                <m:sty m:val="p"/>
              </m:rPr>
              <w:rPr>
                <w:rFonts w:ascii="Cambria Math" w:hAnsi="Cambria Math"/>
              </w:rPr>
              <m:t>o</m:t>
            </m:r>
          </m:sub>
        </m:sSub>
        <m:r>
          <w:rPr>
            <w:rFonts w:ascii="Cambria Math" w:hAnsi="Cambria Math"/>
          </w:rPr>
          <m:t xml:space="preserve"> </m:t>
        </m:r>
      </m:oMath>
      <w:r w:rsidRPr="00D1484A">
        <w:t xml:space="preserve"> </w:t>
      </w:r>
      <w:bookmarkStart w:id="10881" w:name="_Hlk38872438"/>
      <w:bookmarkEnd w:id="10880"/>
      <w:r w:rsidRPr="00D1484A">
        <w:t xml:space="preserve">to its design value </w:t>
      </w:r>
      <w:r w:rsidRPr="00C43780">
        <w:t xml:space="preserve">from </w:t>
      </w:r>
      <w:r w:rsidR="00C30FF9">
        <w:t>EN 1</w:t>
      </w:r>
      <w:r w:rsidRPr="00C43780">
        <w:t>999-1-1</w:t>
      </w:r>
      <w:bookmarkEnd w:id="10881"/>
      <w:r w:rsidRPr="00C43780">
        <w:t>:202</w:t>
      </w:r>
      <w:r w:rsidR="0049617D">
        <w:t>2, 5.2.</w:t>
      </w:r>
      <w:r w:rsidR="0049617D" w:rsidRPr="004B502C">
        <w:rPr>
          <w:rFonts w:eastAsiaTheme="minorHAnsi" w:cstheme="minorHAnsi"/>
          <w:color w:val="auto"/>
          <w:szCs w:val="22"/>
          <w:lang w:eastAsia="en-US"/>
        </w:rPr>
        <w:t xml:space="preserve"> </w:t>
      </w:r>
      <w:r w:rsidR="0049617D" w:rsidRPr="004B502C">
        <w:t xml:space="preserve">In absence of experimental characterization of the material of the dissipative zones, </w:t>
      </w:r>
      <w:r w:rsidR="0049617D" w:rsidRPr="00071D6D">
        <w:rPr>
          <w:i/>
          <w:iCs/>
          <w:lang w:val="fr-BE"/>
        </w:rPr>
        <w:t>ω</w:t>
      </w:r>
      <w:r w:rsidR="0049617D" w:rsidRPr="004B502C">
        <w:rPr>
          <w:vertAlign w:val="subscript"/>
        </w:rPr>
        <w:t>rm</w:t>
      </w:r>
      <w:r w:rsidR="0049617D" w:rsidRPr="004B502C">
        <w:t xml:space="preserve"> may be assumed equal to 1.5.</w:t>
      </w:r>
    </w:p>
    <w:p w14:paraId="30C86592" w14:textId="11592BEC" w:rsidR="007B4C44" w:rsidRPr="002144A0" w:rsidRDefault="007B4C44" w:rsidP="00724E4E">
      <w:pPr>
        <w:pStyle w:val="Clause"/>
        <w:rPr>
          <w:iCs/>
        </w:rPr>
      </w:pPr>
      <w:r w:rsidRPr="00E05E29">
        <w:t xml:space="preserve">The partial factors </w:t>
      </w:r>
      <w:r w:rsidRPr="00E05E29">
        <w:rPr>
          <w:i/>
          <w:iCs/>
        </w:rPr>
        <w:t>γ</w:t>
      </w:r>
      <w:r w:rsidRPr="00E05E29">
        <w:rPr>
          <w:vertAlign w:val="subscript"/>
        </w:rPr>
        <w:t>M,i</w:t>
      </w:r>
      <w:r w:rsidRPr="00E05E29">
        <w:t xml:space="preserve"> given by </w:t>
      </w:r>
      <w:r w:rsidR="00C30FF9">
        <w:t>EN 1</w:t>
      </w:r>
      <w:r w:rsidRPr="007B4C44">
        <w:t>999-1-1:202</w:t>
      </w:r>
      <w:r w:rsidR="00155F8D">
        <w:t>3</w:t>
      </w:r>
      <w:r w:rsidRPr="00C43780">
        <w:t>,</w:t>
      </w:r>
      <w:r w:rsidR="00C6162E">
        <w:t xml:space="preserve"> 4.4.</w:t>
      </w:r>
      <w:r w:rsidR="00C6162E" w:rsidRPr="00071D6D">
        <w:rPr>
          <w:color w:val="auto"/>
        </w:rPr>
        <w:t>3</w:t>
      </w:r>
      <w:r w:rsidRPr="00071D6D">
        <w:rPr>
          <w:color w:val="auto"/>
        </w:rPr>
        <w:t>, sh</w:t>
      </w:r>
      <w:r w:rsidRPr="008070E9">
        <w:t xml:space="preserve">ould be used </w:t>
      </w:r>
      <w:r w:rsidRPr="002144A0">
        <w:t>for both non-dissipative and dissipative members</w:t>
      </w:r>
      <w:r>
        <w:t>.</w:t>
      </w:r>
    </w:p>
    <w:p w14:paraId="12ED691C" w14:textId="18FB51D6" w:rsidR="007B4C44" w:rsidRPr="007B4C44" w:rsidRDefault="007B4C44" w:rsidP="007B4C44">
      <w:pPr>
        <w:pStyle w:val="Heading2"/>
      </w:pPr>
      <w:bookmarkStart w:id="10882" w:name="_Toc790933"/>
      <w:bookmarkStart w:id="10883" w:name="_Toc3399366"/>
      <w:bookmarkStart w:id="10884" w:name="_Toc50150653"/>
      <w:bookmarkStart w:id="10885" w:name="_Toc70887086"/>
      <w:bookmarkStart w:id="10886" w:name="_Toc108342669"/>
      <w:bookmarkStart w:id="10887" w:name="_Toc134198178"/>
      <w:r w:rsidRPr="007B4C44">
        <w:lastRenderedPageBreak/>
        <w:t>Materials</w:t>
      </w:r>
      <w:bookmarkEnd w:id="10882"/>
      <w:bookmarkEnd w:id="10883"/>
      <w:bookmarkEnd w:id="10884"/>
      <w:bookmarkEnd w:id="10885"/>
      <w:bookmarkEnd w:id="10886"/>
      <w:bookmarkEnd w:id="10887"/>
    </w:p>
    <w:p w14:paraId="38E60D32" w14:textId="23FEB54D" w:rsidR="007B4C44" w:rsidRPr="00132C1E" w:rsidRDefault="007B4C44" w:rsidP="0080187E">
      <w:pPr>
        <w:pStyle w:val="Clause"/>
        <w:numPr>
          <w:ilvl w:val="0"/>
          <w:numId w:val="524"/>
        </w:numPr>
      </w:pPr>
      <w:r w:rsidRPr="002144A0">
        <w:t xml:space="preserve">Structural aluminium should conform to standards referred to in </w:t>
      </w:r>
      <w:r w:rsidR="00155F8D">
        <w:t>EN 1999-1-1:2023</w:t>
      </w:r>
      <w:r w:rsidR="00484D1D">
        <w:t>, Bibliography</w:t>
      </w:r>
      <w:r w:rsidRPr="00C52095">
        <w:t>. For the dissipative member</w:t>
      </w:r>
      <w:r w:rsidRPr="007754C9">
        <w:t xml:space="preserve">s of </w:t>
      </w:r>
      <w:r w:rsidRPr="007B4C44">
        <w:t xml:space="preserve">DC2, Table 15.2 </w:t>
      </w:r>
      <w:r w:rsidRPr="00132C1E">
        <w:t xml:space="preserve">should be used. The alloys to be used for DC1 structures and DC2 non-dissipative members should conform to </w:t>
      </w:r>
      <w:r w:rsidR="00155F8D">
        <w:t>EN 1999-1-1:2023</w:t>
      </w:r>
      <w:r w:rsidR="00484D1D">
        <w:t>.</w:t>
      </w:r>
    </w:p>
    <w:p w14:paraId="6C950F94" w14:textId="3725EA40" w:rsidR="007B4C44" w:rsidRPr="00132C1E" w:rsidRDefault="007B4C44" w:rsidP="00724E4E">
      <w:pPr>
        <w:pStyle w:val="Clause"/>
      </w:pPr>
      <w:r w:rsidRPr="00132C1E">
        <w:t xml:space="preserve">Alloys </w:t>
      </w:r>
      <w:r w:rsidRPr="00FB5B3D">
        <w:t>different</w:t>
      </w:r>
      <w:r w:rsidRPr="00132C1E">
        <w:t xml:space="preserve"> from those </w:t>
      </w:r>
      <w:r w:rsidRPr="00FB5B3D">
        <w:t>specified</w:t>
      </w:r>
      <w:r w:rsidRPr="00132C1E">
        <w:t xml:space="preserve"> in Table 15.2 may be used, provided that the ratio </w:t>
      </w:r>
      <w:r w:rsidRPr="00FB5B3D">
        <w:rPr>
          <w:i/>
        </w:rPr>
        <w:t>f</w:t>
      </w:r>
      <w:r w:rsidRPr="00FB5B3D">
        <w:rPr>
          <w:vertAlign w:val="subscript"/>
        </w:rPr>
        <w:t>u</w:t>
      </w:r>
      <w:r w:rsidRPr="00132C1E">
        <w:t>/</w:t>
      </w:r>
      <w:r w:rsidRPr="00FB5B3D">
        <w:rPr>
          <w:i/>
        </w:rPr>
        <w:t>f</w:t>
      </w:r>
      <w:r w:rsidRPr="00FB5B3D">
        <w:rPr>
          <w:vertAlign w:val="subscript"/>
        </w:rPr>
        <w:t>0</w:t>
      </w:r>
      <w:r w:rsidRPr="00132C1E">
        <w:t xml:space="preserve"> is not smaller than 1,10 and the </w:t>
      </w:r>
      <w:r w:rsidRPr="00FB5B3D">
        <w:t>elongation</w:t>
      </w:r>
      <w:r w:rsidRPr="00132C1E">
        <w:t xml:space="preserve"> at failure is not smaller than 10</w:t>
      </w:r>
      <w:r w:rsidR="00D4445A">
        <w:t> </w:t>
      </w:r>
      <w:r w:rsidRPr="00132C1E">
        <w:t xml:space="preserve">%, where </w:t>
      </w:r>
      <w:bookmarkStart w:id="10888" w:name="_Hlk38872566"/>
      <w:r w:rsidRPr="00FB5B3D">
        <w:rPr>
          <w:i/>
        </w:rPr>
        <w:t>f</w:t>
      </w:r>
      <w:r w:rsidRPr="00FB5B3D">
        <w:rPr>
          <w:vertAlign w:val="subscript"/>
        </w:rPr>
        <w:t>u</w:t>
      </w:r>
      <w:r w:rsidRPr="00132C1E">
        <w:t xml:space="preserve"> is the ultimate tensile strength and </w:t>
      </w:r>
      <w:r w:rsidRPr="00FB5B3D">
        <w:rPr>
          <w:i/>
          <w:iCs/>
        </w:rPr>
        <w:t>f</w:t>
      </w:r>
      <w:r w:rsidRPr="00FB5B3D">
        <w:rPr>
          <w:vertAlign w:val="subscript"/>
        </w:rPr>
        <w:t>0</w:t>
      </w:r>
      <w:r w:rsidRPr="00132C1E">
        <w:t xml:space="preserve"> is the conventional elastic strength.</w:t>
      </w:r>
      <w:bookmarkEnd w:id="10888"/>
    </w:p>
    <w:p w14:paraId="2D83877E" w14:textId="66426163" w:rsidR="007B4C44" w:rsidRPr="00132C1E" w:rsidRDefault="007B4C44" w:rsidP="00724E4E">
      <w:pPr>
        <w:pStyle w:val="Clause"/>
      </w:pPr>
      <w:r w:rsidRPr="00132C1E">
        <w:t>In bolted connections high strength pre-loaded galvan</w:t>
      </w:r>
      <w:r w:rsidR="00E10A24">
        <w:t>ize</w:t>
      </w:r>
      <w:r w:rsidRPr="00132C1E">
        <w:t>d steel bolts grade 8.8 or 10.9 or stainless-steel bolts should be used.</w:t>
      </w:r>
    </w:p>
    <w:p w14:paraId="29F1C7D0" w14:textId="4DD85CC0" w:rsidR="007B4C44" w:rsidRPr="00132C1E" w:rsidRDefault="007B4C44" w:rsidP="00724E4E">
      <w:pPr>
        <w:pStyle w:val="Clause"/>
      </w:pPr>
      <w:r w:rsidRPr="00132C1E">
        <w:t xml:space="preserve">Material properties should comply </w:t>
      </w:r>
      <w:r w:rsidRPr="007B4C44">
        <w:t>with ISO</w:t>
      </w:r>
      <w:r w:rsidR="00071D6D">
        <w:t> </w:t>
      </w:r>
      <w:r w:rsidRPr="007B4C44">
        <w:t>6892-1</w:t>
      </w:r>
      <w:r w:rsidRPr="00132C1E">
        <w:t>.</w:t>
      </w:r>
    </w:p>
    <w:p w14:paraId="3B8B44A3" w14:textId="094062E8" w:rsidR="007B4C44" w:rsidRPr="007E6F67" w:rsidRDefault="007B4C44" w:rsidP="007B4C44">
      <w:pPr>
        <w:pStyle w:val="Tabletitle"/>
        <w:rPr>
          <w:sz w:val="20"/>
        </w:rPr>
      </w:pPr>
      <w:bookmarkStart w:id="10889" w:name="_Ref6609685"/>
      <w:r w:rsidRPr="00132C1E">
        <w:t xml:space="preserve">Table </w:t>
      </w:r>
      <w:r w:rsidR="00071D6D">
        <w:t>15.2</w:t>
      </w:r>
      <w:bookmarkEnd w:id="10889"/>
      <w:r w:rsidRPr="00132C1E">
        <w:t> —</w:t>
      </w:r>
      <w:r w:rsidRPr="00D1484A">
        <w:t xml:space="preserve"> Aluminium alloys for </w:t>
      </w:r>
      <w:r w:rsidRPr="007E6F67">
        <w:t>dissipative parts of DC2 seismic resisting frames</w:t>
      </w:r>
    </w:p>
    <w:tbl>
      <w:tblPr>
        <w:tblW w:w="723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2537"/>
        <w:gridCol w:w="1137"/>
        <w:gridCol w:w="279"/>
        <w:gridCol w:w="847"/>
        <w:gridCol w:w="1156"/>
        <w:gridCol w:w="1274"/>
      </w:tblGrid>
      <w:tr w:rsidR="007B4C44" w:rsidRPr="00132C1E" w14:paraId="0B8ABA0F" w14:textId="77777777" w:rsidTr="002061E5">
        <w:trPr>
          <w:trHeight w:val="300"/>
          <w:jc w:val="center"/>
        </w:trPr>
        <w:tc>
          <w:tcPr>
            <w:tcW w:w="2552" w:type="dxa"/>
            <w:shd w:val="clear" w:color="auto" w:fill="auto"/>
            <w:tcMar>
              <w:left w:w="0" w:type="dxa"/>
              <w:right w:w="0" w:type="dxa"/>
            </w:tcMar>
            <w:vAlign w:val="center"/>
            <w:hideMark/>
          </w:tcPr>
          <w:p w14:paraId="68D50564" w14:textId="77777777" w:rsidR="007B4C44" w:rsidRPr="00071D6D" w:rsidRDefault="007B4C44" w:rsidP="00071D6D">
            <w:pPr>
              <w:pStyle w:val="Tablebody"/>
              <w:jc w:val="center"/>
              <w:rPr>
                <w:b/>
                <w:bCs/>
              </w:rPr>
            </w:pPr>
            <w:r w:rsidRPr="00071D6D">
              <w:rPr>
                <w:b/>
                <w:bCs/>
              </w:rPr>
              <w:t>Structural member</w:t>
            </w:r>
          </w:p>
        </w:tc>
        <w:tc>
          <w:tcPr>
            <w:tcW w:w="1418" w:type="dxa"/>
            <w:gridSpan w:val="2"/>
            <w:shd w:val="clear" w:color="auto" w:fill="auto"/>
            <w:tcMar>
              <w:left w:w="0" w:type="dxa"/>
              <w:right w:w="0" w:type="dxa"/>
            </w:tcMar>
            <w:vAlign w:val="center"/>
            <w:hideMark/>
          </w:tcPr>
          <w:p w14:paraId="4F3CC7E9" w14:textId="77777777" w:rsidR="007B4C44" w:rsidRPr="00071D6D" w:rsidRDefault="007B4C44" w:rsidP="00071D6D">
            <w:pPr>
              <w:pStyle w:val="Tablebody"/>
              <w:jc w:val="center"/>
              <w:rPr>
                <w:b/>
                <w:bCs/>
              </w:rPr>
            </w:pPr>
            <w:r w:rsidRPr="00071D6D">
              <w:rPr>
                <w:b/>
                <w:bCs/>
              </w:rPr>
              <w:t>Product form</w:t>
            </w:r>
          </w:p>
        </w:tc>
        <w:tc>
          <w:tcPr>
            <w:tcW w:w="850" w:type="dxa"/>
            <w:shd w:val="clear" w:color="auto" w:fill="auto"/>
            <w:tcMar>
              <w:left w:w="0" w:type="dxa"/>
              <w:right w:w="0" w:type="dxa"/>
            </w:tcMar>
            <w:vAlign w:val="center"/>
            <w:hideMark/>
          </w:tcPr>
          <w:p w14:paraId="69CE15C6" w14:textId="019792D9" w:rsidR="007B4C44" w:rsidRPr="00071D6D" w:rsidRDefault="007B4C44" w:rsidP="00071D6D">
            <w:pPr>
              <w:pStyle w:val="Tablebody"/>
              <w:jc w:val="center"/>
              <w:rPr>
                <w:b/>
                <w:bCs/>
              </w:rPr>
            </w:pPr>
            <w:r w:rsidRPr="00071D6D">
              <w:rPr>
                <w:b/>
                <w:bCs/>
              </w:rPr>
              <w:t>alloy</w:t>
            </w:r>
          </w:p>
        </w:tc>
        <w:tc>
          <w:tcPr>
            <w:tcW w:w="1134" w:type="dxa"/>
            <w:shd w:val="clear" w:color="auto" w:fill="auto"/>
            <w:tcMar>
              <w:left w:w="0" w:type="dxa"/>
              <w:right w:w="0" w:type="dxa"/>
            </w:tcMar>
            <w:vAlign w:val="center"/>
          </w:tcPr>
          <w:p w14:paraId="22264EDC" w14:textId="77777777" w:rsidR="007B4C44" w:rsidRPr="00071D6D" w:rsidRDefault="007B4C44" w:rsidP="00071D6D">
            <w:pPr>
              <w:pStyle w:val="Tablebody"/>
              <w:jc w:val="center"/>
              <w:rPr>
                <w:b/>
                <w:bCs/>
              </w:rPr>
            </w:pPr>
            <w:r w:rsidRPr="00071D6D">
              <w:rPr>
                <w:b/>
                <w:bCs/>
              </w:rPr>
              <w:t>temper</w:t>
            </w:r>
          </w:p>
        </w:tc>
        <w:tc>
          <w:tcPr>
            <w:tcW w:w="1276" w:type="dxa"/>
            <w:vAlign w:val="center"/>
          </w:tcPr>
          <w:p w14:paraId="32AC000D" w14:textId="77777777" w:rsidR="007B4C44" w:rsidRPr="00071D6D" w:rsidRDefault="007B4C44" w:rsidP="00071D6D">
            <w:pPr>
              <w:pStyle w:val="Tablebody"/>
              <w:jc w:val="center"/>
              <w:rPr>
                <w:b/>
                <w:bCs/>
              </w:rPr>
            </w:pPr>
            <w:r w:rsidRPr="00071D6D">
              <w:rPr>
                <w:b/>
                <w:bCs/>
              </w:rPr>
              <w:t>thickness</w:t>
            </w:r>
          </w:p>
        </w:tc>
      </w:tr>
      <w:tr w:rsidR="007B4C44" w:rsidRPr="00132C1E" w14:paraId="58609C28" w14:textId="77777777" w:rsidTr="002061E5">
        <w:trPr>
          <w:trHeight w:val="288"/>
          <w:jc w:val="center"/>
        </w:trPr>
        <w:tc>
          <w:tcPr>
            <w:tcW w:w="2552" w:type="dxa"/>
            <w:vMerge w:val="restart"/>
            <w:shd w:val="clear" w:color="auto" w:fill="auto"/>
            <w:tcMar>
              <w:left w:w="0" w:type="dxa"/>
              <w:right w:w="0" w:type="dxa"/>
            </w:tcMar>
            <w:vAlign w:val="center"/>
          </w:tcPr>
          <w:p w14:paraId="641081ED" w14:textId="77777777" w:rsidR="007B4C44" w:rsidRPr="00D1484A" w:rsidRDefault="007B4C44" w:rsidP="00071D6D">
            <w:pPr>
              <w:pStyle w:val="Tablebody"/>
              <w:jc w:val="center"/>
            </w:pPr>
            <w:r w:rsidRPr="00132C1E">
              <w:t>Sheet, strip and plate</w:t>
            </w:r>
          </w:p>
        </w:tc>
        <w:tc>
          <w:tcPr>
            <w:tcW w:w="1418" w:type="dxa"/>
            <w:gridSpan w:val="2"/>
            <w:vMerge w:val="restart"/>
            <w:shd w:val="clear" w:color="auto" w:fill="auto"/>
            <w:tcMar>
              <w:left w:w="0" w:type="dxa"/>
              <w:right w:w="0" w:type="dxa"/>
            </w:tcMar>
            <w:vAlign w:val="center"/>
          </w:tcPr>
          <w:p w14:paraId="68554EF1" w14:textId="277B1749" w:rsidR="007B4C44" w:rsidRPr="007E6F67" w:rsidRDefault="00071D6D" w:rsidP="00071D6D">
            <w:pPr>
              <w:pStyle w:val="Tablebody"/>
              <w:jc w:val="center"/>
            </w:pPr>
            <w:r>
              <w:t>-</w:t>
            </w:r>
          </w:p>
        </w:tc>
        <w:tc>
          <w:tcPr>
            <w:tcW w:w="850" w:type="dxa"/>
            <w:shd w:val="clear" w:color="auto" w:fill="auto"/>
            <w:tcMar>
              <w:left w:w="0" w:type="dxa"/>
              <w:right w:w="0" w:type="dxa"/>
            </w:tcMar>
            <w:vAlign w:val="center"/>
          </w:tcPr>
          <w:p w14:paraId="2BC25855" w14:textId="77777777" w:rsidR="007B4C44" w:rsidRPr="00FD17CF" w:rsidRDefault="007B4C44" w:rsidP="00071D6D">
            <w:pPr>
              <w:pStyle w:val="Tablebody"/>
              <w:jc w:val="center"/>
            </w:pPr>
            <w:r w:rsidRPr="007E6F67">
              <w:t>5052</w:t>
            </w:r>
          </w:p>
        </w:tc>
        <w:tc>
          <w:tcPr>
            <w:tcW w:w="1134" w:type="dxa"/>
            <w:shd w:val="clear" w:color="auto" w:fill="auto"/>
            <w:tcMar>
              <w:left w:w="0" w:type="dxa"/>
              <w:right w:w="0" w:type="dxa"/>
            </w:tcMar>
            <w:vAlign w:val="center"/>
          </w:tcPr>
          <w:p w14:paraId="59C3741E" w14:textId="77777777" w:rsidR="007B4C44" w:rsidRPr="00196951" w:rsidRDefault="007B4C44" w:rsidP="00071D6D">
            <w:pPr>
              <w:pStyle w:val="Tablebody"/>
              <w:jc w:val="center"/>
            </w:pPr>
            <w:r w:rsidRPr="00E05E29">
              <w:t>H12 | H22/H32</w:t>
            </w:r>
          </w:p>
        </w:tc>
        <w:tc>
          <w:tcPr>
            <w:tcW w:w="1276" w:type="dxa"/>
            <w:vAlign w:val="center"/>
          </w:tcPr>
          <w:p w14:paraId="3A4A886D" w14:textId="77777777" w:rsidR="007B4C44" w:rsidRPr="002144A0" w:rsidRDefault="007B4C44" w:rsidP="00071D6D">
            <w:pPr>
              <w:pStyle w:val="Tablebody"/>
              <w:jc w:val="center"/>
            </w:pPr>
            <w:r w:rsidRPr="002144A0">
              <w:t>≤</w:t>
            </w:r>
            <w:r>
              <w:t> </w:t>
            </w:r>
            <w:r w:rsidRPr="002144A0">
              <w:t>40</w:t>
            </w:r>
          </w:p>
        </w:tc>
      </w:tr>
      <w:tr w:rsidR="007B4C44" w:rsidRPr="00132C1E" w14:paraId="7F981BFC" w14:textId="77777777" w:rsidTr="002061E5">
        <w:trPr>
          <w:trHeight w:val="288"/>
          <w:jc w:val="center"/>
        </w:trPr>
        <w:tc>
          <w:tcPr>
            <w:tcW w:w="2552" w:type="dxa"/>
            <w:vMerge/>
            <w:shd w:val="clear" w:color="auto" w:fill="auto"/>
            <w:tcMar>
              <w:left w:w="0" w:type="dxa"/>
              <w:right w:w="0" w:type="dxa"/>
            </w:tcMar>
            <w:vAlign w:val="center"/>
          </w:tcPr>
          <w:p w14:paraId="0D538D37" w14:textId="77777777" w:rsidR="007B4C44" w:rsidRPr="00132C1E" w:rsidRDefault="007B4C44" w:rsidP="00071D6D">
            <w:pPr>
              <w:pStyle w:val="Tablebody"/>
              <w:jc w:val="center"/>
            </w:pPr>
          </w:p>
        </w:tc>
        <w:tc>
          <w:tcPr>
            <w:tcW w:w="1418" w:type="dxa"/>
            <w:gridSpan w:val="2"/>
            <w:vMerge/>
            <w:shd w:val="clear" w:color="auto" w:fill="auto"/>
            <w:tcMar>
              <w:left w:w="0" w:type="dxa"/>
              <w:right w:w="0" w:type="dxa"/>
            </w:tcMar>
            <w:vAlign w:val="center"/>
          </w:tcPr>
          <w:p w14:paraId="595D32EC" w14:textId="77777777" w:rsidR="007B4C44" w:rsidRPr="00132C1E" w:rsidRDefault="007B4C44" w:rsidP="00071D6D">
            <w:pPr>
              <w:pStyle w:val="Tablebody"/>
              <w:jc w:val="center"/>
            </w:pPr>
          </w:p>
        </w:tc>
        <w:tc>
          <w:tcPr>
            <w:tcW w:w="850" w:type="dxa"/>
            <w:shd w:val="clear" w:color="auto" w:fill="auto"/>
            <w:tcMar>
              <w:left w:w="0" w:type="dxa"/>
              <w:right w:w="0" w:type="dxa"/>
            </w:tcMar>
            <w:vAlign w:val="center"/>
          </w:tcPr>
          <w:p w14:paraId="67776D8F" w14:textId="77777777" w:rsidR="007B4C44" w:rsidRPr="00132C1E" w:rsidRDefault="007B4C44" w:rsidP="00071D6D">
            <w:pPr>
              <w:pStyle w:val="Tablebody"/>
              <w:jc w:val="center"/>
            </w:pPr>
            <w:r w:rsidRPr="00132C1E">
              <w:t>5049</w:t>
            </w:r>
          </w:p>
        </w:tc>
        <w:tc>
          <w:tcPr>
            <w:tcW w:w="1134" w:type="dxa"/>
            <w:shd w:val="clear" w:color="auto" w:fill="auto"/>
            <w:tcMar>
              <w:left w:w="0" w:type="dxa"/>
              <w:right w:w="0" w:type="dxa"/>
            </w:tcMar>
            <w:vAlign w:val="center"/>
          </w:tcPr>
          <w:p w14:paraId="6BB30161" w14:textId="77777777" w:rsidR="007B4C44" w:rsidRPr="00132C1E" w:rsidRDefault="007B4C44" w:rsidP="00071D6D">
            <w:pPr>
              <w:pStyle w:val="Tablebody"/>
              <w:jc w:val="center"/>
            </w:pPr>
            <w:r w:rsidRPr="00132C1E">
              <w:t>O / H111</w:t>
            </w:r>
          </w:p>
        </w:tc>
        <w:tc>
          <w:tcPr>
            <w:tcW w:w="1276" w:type="dxa"/>
            <w:vAlign w:val="center"/>
          </w:tcPr>
          <w:p w14:paraId="4D48DECC" w14:textId="77777777" w:rsidR="007B4C44" w:rsidRPr="00132C1E" w:rsidRDefault="007B4C44" w:rsidP="00071D6D">
            <w:pPr>
              <w:pStyle w:val="Tablebody"/>
              <w:jc w:val="center"/>
            </w:pPr>
            <w:r w:rsidRPr="00132C1E">
              <w:t>≤</w:t>
            </w:r>
            <w:r>
              <w:t> </w:t>
            </w:r>
            <w:r w:rsidRPr="00132C1E">
              <w:t>100</w:t>
            </w:r>
          </w:p>
        </w:tc>
      </w:tr>
      <w:tr w:rsidR="007B4C44" w:rsidRPr="00132C1E" w14:paraId="145DCDAD" w14:textId="77777777" w:rsidTr="002061E5">
        <w:trPr>
          <w:trHeight w:val="288"/>
          <w:jc w:val="center"/>
        </w:trPr>
        <w:tc>
          <w:tcPr>
            <w:tcW w:w="2552" w:type="dxa"/>
            <w:vMerge/>
            <w:shd w:val="clear" w:color="auto" w:fill="auto"/>
            <w:tcMar>
              <w:left w:w="0" w:type="dxa"/>
              <w:right w:w="0" w:type="dxa"/>
            </w:tcMar>
            <w:vAlign w:val="center"/>
          </w:tcPr>
          <w:p w14:paraId="097697A0" w14:textId="77777777" w:rsidR="007B4C44" w:rsidRPr="00132C1E" w:rsidRDefault="007B4C44" w:rsidP="00071D6D">
            <w:pPr>
              <w:pStyle w:val="Tablebody"/>
              <w:jc w:val="center"/>
            </w:pPr>
          </w:p>
        </w:tc>
        <w:tc>
          <w:tcPr>
            <w:tcW w:w="1418" w:type="dxa"/>
            <w:gridSpan w:val="2"/>
            <w:vMerge/>
            <w:shd w:val="clear" w:color="auto" w:fill="auto"/>
            <w:tcMar>
              <w:left w:w="0" w:type="dxa"/>
              <w:right w:w="0" w:type="dxa"/>
            </w:tcMar>
            <w:vAlign w:val="center"/>
          </w:tcPr>
          <w:p w14:paraId="25A37905" w14:textId="77777777" w:rsidR="007B4C44" w:rsidRPr="00132C1E" w:rsidRDefault="007B4C44" w:rsidP="00071D6D">
            <w:pPr>
              <w:pStyle w:val="Tablebody"/>
              <w:jc w:val="center"/>
            </w:pPr>
          </w:p>
        </w:tc>
        <w:tc>
          <w:tcPr>
            <w:tcW w:w="850" w:type="dxa"/>
            <w:shd w:val="clear" w:color="auto" w:fill="auto"/>
            <w:tcMar>
              <w:left w:w="0" w:type="dxa"/>
              <w:right w:w="0" w:type="dxa"/>
            </w:tcMar>
            <w:vAlign w:val="center"/>
          </w:tcPr>
          <w:p w14:paraId="0B666885" w14:textId="77777777" w:rsidR="007B4C44" w:rsidRPr="00132C1E" w:rsidRDefault="007B4C44" w:rsidP="00071D6D">
            <w:pPr>
              <w:pStyle w:val="Tablebody"/>
              <w:jc w:val="center"/>
            </w:pPr>
            <w:r w:rsidRPr="00132C1E">
              <w:t>5083</w:t>
            </w:r>
          </w:p>
        </w:tc>
        <w:tc>
          <w:tcPr>
            <w:tcW w:w="1134" w:type="dxa"/>
            <w:shd w:val="clear" w:color="auto" w:fill="auto"/>
            <w:tcMar>
              <w:left w:w="0" w:type="dxa"/>
              <w:right w:w="0" w:type="dxa"/>
            </w:tcMar>
            <w:vAlign w:val="center"/>
          </w:tcPr>
          <w:p w14:paraId="72C47687" w14:textId="77777777" w:rsidR="007B4C44" w:rsidRPr="00132C1E" w:rsidRDefault="007B4C44" w:rsidP="00071D6D">
            <w:pPr>
              <w:pStyle w:val="Tablebody"/>
              <w:jc w:val="center"/>
            </w:pPr>
            <w:r w:rsidRPr="00132C1E">
              <w:t>O/H111</w:t>
            </w:r>
          </w:p>
        </w:tc>
        <w:tc>
          <w:tcPr>
            <w:tcW w:w="1276" w:type="dxa"/>
            <w:vAlign w:val="center"/>
          </w:tcPr>
          <w:p w14:paraId="76040C6E" w14:textId="77777777" w:rsidR="007B4C44" w:rsidRPr="00132C1E" w:rsidRDefault="007B4C44" w:rsidP="00071D6D">
            <w:pPr>
              <w:pStyle w:val="Tablebody"/>
              <w:jc w:val="center"/>
            </w:pPr>
            <w:r w:rsidRPr="00132C1E">
              <w:t>≤</w:t>
            </w:r>
            <w:r>
              <w:t> </w:t>
            </w:r>
            <w:r w:rsidRPr="00132C1E">
              <w:t>80</w:t>
            </w:r>
          </w:p>
        </w:tc>
      </w:tr>
      <w:tr w:rsidR="007B4C44" w:rsidRPr="00132C1E" w14:paraId="2E17121D" w14:textId="77777777" w:rsidTr="002061E5">
        <w:trPr>
          <w:trHeight w:val="288"/>
          <w:jc w:val="center"/>
        </w:trPr>
        <w:tc>
          <w:tcPr>
            <w:tcW w:w="2552" w:type="dxa"/>
            <w:vMerge/>
            <w:shd w:val="clear" w:color="auto" w:fill="auto"/>
            <w:tcMar>
              <w:left w:w="0" w:type="dxa"/>
              <w:right w:w="0" w:type="dxa"/>
            </w:tcMar>
            <w:vAlign w:val="center"/>
          </w:tcPr>
          <w:p w14:paraId="6DA8271C" w14:textId="77777777" w:rsidR="007B4C44" w:rsidRPr="00132C1E" w:rsidRDefault="007B4C44" w:rsidP="00071D6D">
            <w:pPr>
              <w:pStyle w:val="Tablebody"/>
              <w:jc w:val="center"/>
            </w:pPr>
          </w:p>
        </w:tc>
        <w:tc>
          <w:tcPr>
            <w:tcW w:w="1418" w:type="dxa"/>
            <w:gridSpan w:val="2"/>
            <w:vMerge/>
            <w:shd w:val="clear" w:color="auto" w:fill="auto"/>
            <w:tcMar>
              <w:left w:w="0" w:type="dxa"/>
              <w:right w:w="0" w:type="dxa"/>
            </w:tcMar>
            <w:vAlign w:val="center"/>
          </w:tcPr>
          <w:p w14:paraId="66F13F07" w14:textId="77777777" w:rsidR="007B4C44" w:rsidRPr="00132C1E" w:rsidRDefault="007B4C44" w:rsidP="00071D6D">
            <w:pPr>
              <w:pStyle w:val="Tablebody"/>
              <w:jc w:val="center"/>
            </w:pPr>
          </w:p>
        </w:tc>
        <w:tc>
          <w:tcPr>
            <w:tcW w:w="850" w:type="dxa"/>
            <w:vMerge w:val="restart"/>
            <w:shd w:val="clear" w:color="auto" w:fill="auto"/>
            <w:tcMar>
              <w:left w:w="0" w:type="dxa"/>
              <w:right w:w="0" w:type="dxa"/>
            </w:tcMar>
            <w:vAlign w:val="center"/>
          </w:tcPr>
          <w:p w14:paraId="500BD213" w14:textId="77777777" w:rsidR="007B4C44" w:rsidRPr="00132C1E" w:rsidRDefault="007B4C44" w:rsidP="00071D6D">
            <w:pPr>
              <w:pStyle w:val="Tablebody"/>
              <w:jc w:val="center"/>
            </w:pPr>
            <w:r w:rsidRPr="00132C1E">
              <w:t>5383</w:t>
            </w:r>
          </w:p>
        </w:tc>
        <w:tc>
          <w:tcPr>
            <w:tcW w:w="1134" w:type="dxa"/>
            <w:shd w:val="clear" w:color="auto" w:fill="auto"/>
            <w:tcMar>
              <w:left w:w="0" w:type="dxa"/>
              <w:right w:w="0" w:type="dxa"/>
            </w:tcMar>
            <w:vAlign w:val="center"/>
          </w:tcPr>
          <w:p w14:paraId="7086F745" w14:textId="77777777" w:rsidR="007B4C44" w:rsidRPr="00132C1E" w:rsidRDefault="007B4C44" w:rsidP="00071D6D">
            <w:pPr>
              <w:pStyle w:val="Tablebody"/>
              <w:jc w:val="center"/>
            </w:pPr>
            <w:r w:rsidRPr="00132C1E">
              <w:t>O/H111</w:t>
            </w:r>
          </w:p>
        </w:tc>
        <w:tc>
          <w:tcPr>
            <w:tcW w:w="1276" w:type="dxa"/>
            <w:vAlign w:val="center"/>
          </w:tcPr>
          <w:p w14:paraId="04C90024" w14:textId="77777777" w:rsidR="007B4C44" w:rsidRPr="00132C1E" w:rsidRDefault="007B4C44" w:rsidP="00071D6D">
            <w:pPr>
              <w:pStyle w:val="Tablebody"/>
              <w:jc w:val="center"/>
            </w:pPr>
            <w:r w:rsidRPr="00132C1E">
              <w:t>≤</w:t>
            </w:r>
            <w:r>
              <w:t> </w:t>
            </w:r>
            <w:r w:rsidRPr="00132C1E">
              <w:t>120</w:t>
            </w:r>
          </w:p>
        </w:tc>
      </w:tr>
      <w:tr w:rsidR="007B4C44" w:rsidRPr="00132C1E" w14:paraId="00D540D5" w14:textId="77777777" w:rsidTr="002061E5">
        <w:trPr>
          <w:trHeight w:val="288"/>
          <w:jc w:val="center"/>
        </w:trPr>
        <w:tc>
          <w:tcPr>
            <w:tcW w:w="2552" w:type="dxa"/>
            <w:vMerge/>
            <w:shd w:val="clear" w:color="auto" w:fill="auto"/>
            <w:tcMar>
              <w:left w:w="0" w:type="dxa"/>
              <w:right w:w="0" w:type="dxa"/>
            </w:tcMar>
            <w:vAlign w:val="center"/>
          </w:tcPr>
          <w:p w14:paraId="461E9C61" w14:textId="77777777" w:rsidR="007B4C44" w:rsidRPr="00132C1E" w:rsidRDefault="007B4C44" w:rsidP="00071D6D">
            <w:pPr>
              <w:pStyle w:val="Tablebody"/>
              <w:jc w:val="center"/>
            </w:pPr>
          </w:p>
        </w:tc>
        <w:tc>
          <w:tcPr>
            <w:tcW w:w="1418" w:type="dxa"/>
            <w:gridSpan w:val="2"/>
            <w:vMerge/>
            <w:shd w:val="clear" w:color="auto" w:fill="auto"/>
            <w:tcMar>
              <w:left w:w="0" w:type="dxa"/>
              <w:right w:w="0" w:type="dxa"/>
            </w:tcMar>
            <w:vAlign w:val="center"/>
          </w:tcPr>
          <w:p w14:paraId="1F6217C5" w14:textId="77777777" w:rsidR="007B4C44" w:rsidRPr="00132C1E" w:rsidRDefault="007B4C44" w:rsidP="00071D6D">
            <w:pPr>
              <w:pStyle w:val="Tablebody"/>
              <w:jc w:val="center"/>
            </w:pPr>
          </w:p>
        </w:tc>
        <w:tc>
          <w:tcPr>
            <w:tcW w:w="850" w:type="dxa"/>
            <w:vMerge/>
            <w:shd w:val="clear" w:color="auto" w:fill="auto"/>
            <w:tcMar>
              <w:left w:w="0" w:type="dxa"/>
              <w:right w:w="0" w:type="dxa"/>
            </w:tcMar>
            <w:vAlign w:val="center"/>
          </w:tcPr>
          <w:p w14:paraId="1136B4F0" w14:textId="77777777" w:rsidR="007B4C44" w:rsidRPr="00132C1E" w:rsidRDefault="007B4C44" w:rsidP="00071D6D">
            <w:pPr>
              <w:pStyle w:val="Tablebody"/>
              <w:jc w:val="center"/>
            </w:pPr>
          </w:p>
        </w:tc>
        <w:tc>
          <w:tcPr>
            <w:tcW w:w="1134" w:type="dxa"/>
            <w:shd w:val="clear" w:color="auto" w:fill="auto"/>
            <w:tcMar>
              <w:left w:w="0" w:type="dxa"/>
              <w:right w:w="0" w:type="dxa"/>
            </w:tcMar>
            <w:vAlign w:val="center"/>
          </w:tcPr>
          <w:p w14:paraId="7AC822E4" w14:textId="77777777" w:rsidR="007B4C44" w:rsidRPr="00132C1E" w:rsidRDefault="007B4C44" w:rsidP="00071D6D">
            <w:pPr>
              <w:pStyle w:val="Tablebody"/>
              <w:jc w:val="center"/>
            </w:pPr>
            <w:r w:rsidRPr="00132C1E">
              <w:t>H116/H321</w:t>
            </w:r>
          </w:p>
        </w:tc>
        <w:tc>
          <w:tcPr>
            <w:tcW w:w="1276" w:type="dxa"/>
            <w:vAlign w:val="center"/>
          </w:tcPr>
          <w:p w14:paraId="6AEF7E82" w14:textId="77777777" w:rsidR="007B4C44" w:rsidRPr="00132C1E" w:rsidRDefault="007B4C44" w:rsidP="00071D6D">
            <w:pPr>
              <w:pStyle w:val="Tablebody"/>
              <w:jc w:val="center"/>
            </w:pPr>
            <w:r w:rsidRPr="00132C1E">
              <w:t>≤</w:t>
            </w:r>
            <w:r>
              <w:t> </w:t>
            </w:r>
            <w:r w:rsidRPr="00132C1E">
              <w:t>80</w:t>
            </w:r>
          </w:p>
        </w:tc>
      </w:tr>
      <w:tr w:rsidR="007B4C44" w:rsidRPr="00132C1E" w14:paraId="7B61C39E" w14:textId="77777777" w:rsidTr="002061E5">
        <w:trPr>
          <w:trHeight w:val="288"/>
          <w:jc w:val="center"/>
        </w:trPr>
        <w:tc>
          <w:tcPr>
            <w:tcW w:w="2552" w:type="dxa"/>
            <w:vMerge/>
            <w:shd w:val="clear" w:color="auto" w:fill="auto"/>
            <w:tcMar>
              <w:left w:w="0" w:type="dxa"/>
              <w:right w:w="0" w:type="dxa"/>
            </w:tcMar>
            <w:vAlign w:val="center"/>
          </w:tcPr>
          <w:p w14:paraId="1024EBBF" w14:textId="77777777" w:rsidR="007B4C44" w:rsidRPr="00132C1E" w:rsidRDefault="007B4C44" w:rsidP="00071D6D">
            <w:pPr>
              <w:pStyle w:val="Tablebody"/>
              <w:jc w:val="center"/>
            </w:pPr>
          </w:p>
        </w:tc>
        <w:tc>
          <w:tcPr>
            <w:tcW w:w="1418" w:type="dxa"/>
            <w:gridSpan w:val="2"/>
            <w:vMerge/>
            <w:shd w:val="clear" w:color="auto" w:fill="auto"/>
            <w:tcMar>
              <w:left w:w="0" w:type="dxa"/>
              <w:right w:w="0" w:type="dxa"/>
            </w:tcMar>
            <w:vAlign w:val="center"/>
          </w:tcPr>
          <w:p w14:paraId="7374B2FC" w14:textId="77777777" w:rsidR="007B4C44" w:rsidRPr="00132C1E" w:rsidRDefault="007B4C44" w:rsidP="00071D6D">
            <w:pPr>
              <w:pStyle w:val="Tablebody"/>
              <w:jc w:val="center"/>
            </w:pPr>
          </w:p>
        </w:tc>
        <w:tc>
          <w:tcPr>
            <w:tcW w:w="850" w:type="dxa"/>
            <w:shd w:val="clear" w:color="auto" w:fill="auto"/>
            <w:tcMar>
              <w:left w:w="0" w:type="dxa"/>
              <w:right w:w="0" w:type="dxa"/>
            </w:tcMar>
            <w:vAlign w:val="center"/>
          </w:tcPr>
          <w:p w14:paraId="5F036684" w14:textId="77777777" w:rsidR="007B4C44" w:rsidRPr="00132C1E" w:rsidRDefault="007B4C44" w:rsidP="00071D6D">
            <w:pPr>
              <w:pStyle w:val="Tablebody"/>
              <w:jc w:val="center"/>
            </w:pPr>
            <w:r w:rsidRPr="00132C1E">
              <w:t>5454</w:t>
            </w:r>
          </w:p>
        </w:tc>
        <w:tc>
          <w:tcPr>
            <w:tcW w:w="1134" w:type="dxa"/>
            <w:shd w:val="clear" w:color="auto" w:fill="auto"/>
            <w:tcMar>
              <w:left w:w="0" w:type="dxa"/>
              <w:right w:w="0" w:type="dxa"/>
            </w:tcMar>
            <w:vAlign w:val="center"/>
          </w:tcPr>
          <w:p w14:paraId="2080CD04" w14:textId="77777777" w:rsidR="007B4C44" w:rsidRPr="00132C1E" w:rsidRDefault="007B4C44" w:rsidP="00071D6D">
            <w:pPr>
              <w:pStyle w:val="Tablebody"/>
              <w:jc w:val="center"/>
            </w:pPr>
            <w:r w:rsidRPr="00132C1E">
              <w:t>O/H111</w:t>
            </w:r>
          </w:p>
        </w:tc>
        <w:tc>
          <w:tcPr>
            <w:tcW w:w="1276" w:type="dxa"/>
            <w:vAlign w:val="center"/>
          </w:tcPr>
          <w:p w14:paraId="0845DDFC" w14:textId="77777777" w:rsidR="007B4C44" w:rsidRPr="00132C1E" w:rsidRDefault="007B4C44" w:rsidP="00071D6D">
            <w:pPr>
              <w:pStyle w:val="Tablebody"/>
              <w:jc w:val="center"/>
            </w:pPr>
            <w:r w:rsidRPr="00132C1E">
              <w:t>≤</w:t>
            </w:r>
            <w:r>
              <w:t> </w:t>
            </w:r>
            <w:r w:rsidRPr="00132C1E">
              <w:t>80</w:t>
            </w:r>
          </w:p>
        </w:tc>
      </w:tr>
      <w:tr w:rsidR="007B4C44" w:rsidRPr="00132C1E" w14:paraId="423A1914" w14:textId="77777777" w:rsidTr="002061E5">
        <w:trPr>
          <w:trHeight w:val="288"/>
          <w:jc w:val="center"/>
        </w:trPr>
        <w:tc>
          <w:tcPr>
            <w:tcW w:w="2552" w:type="dxa"/>
            <w:vMerge/>
            <w:shd w:val="clear" w:color="auto" w:fill="auto"/>
            <w:tcMar>
              <w:left w:w="0" w:type="dxa"/>
              <w:right w:w="0" w:type="dxa"/>
            </w:tcMar>
            <w:vAlign w:val="center"/>
          </w:tcPr>
          <w:p w14:paraId="709A71A4" w14:textId="77777777" w:rsidR="007B4C44" w:rsidRPr="00132C1E" w:rsidRDefault="007B4C44" w:rsidP="00071D6D">
            <w:pPr>
              <w:pStyle w:val="Tablebody"/>
              <w:jc w:val="center"/>
            </w:pPr>
          </w:p>
        </w:tc>
        <w:tc>
          <w:tcPr>
            <w:tcW w:w="1418" w:type="dxa"/>
            <w:gridSpan w:val="2"/>
            <w:vMerge/>
            <w:shd w:val="clear" w:color="auto" w:fill="auto"/>
            <w:tcMar>
              <w:left w:w="0" w:type="dxa"/>
              <w:right w:w="0" w:type="dxa"/>
            </w:tcMar>
            <w:vAlign w:val="center"/>
          </w:tcPr>
          <w:p w14:paraId="70069A7C" w14:textId="77777777" w:rsidR="007B4C44" w:rsidRPr="00132C1E" w:rsidRDefault="007B4C44" w:rsidP="00071D6D">
            <w:pPr>
              <w:pStyle w:val="Tablebody"/>
              <w:jc w:val="center"/>
            </w:pPr>
          </w:p>
        </w:tc>
        <w:tc>
          <w:tcPr>
            <w:tcW w:w="850" w:type="dxa"/>
            <w:shd w:val="clear" w:color="auto" w:fill="auto"/>
            <w:tcMar>
              <w:left w:w="0" w:type="dxa"/>
              <w:right w:w="0" w:type="dxa"/>
            </w:tcMar>
            <w:vAlign w:val="center"/>
          </w:tcPr>
          <w:p w14:paraId="48617544" w14:textId="77777777" w:rsidR="007B4C44" w:rsidRPr="00132C1E" w:rsidRDefault="007B4C44" w:rsidP="00071D6D">
            <w:pPr>
              <w:pStyle w:val="Tablebody"/>
              <w:jc w:val="center"/>
            </w:pPr>
            <w:r w:rsidRPr="00132C1E">
              <w:t>5754</w:t>
            </w:r>
          </w:p>
        </w:tc>
        <w:tc>
          <w:tcPr>
            <w:tcW w:w="1134" w:type="dxa"/>
            <w:shd w:val="clear" w:color="auto" w:fill="auto"/>
            <w:tcMar>
              <w:left w:w="0" w:type="dxa"/>
              <w:right w:w="0" w:type="dxa"/>
            </w:tcMar>
            <w:vAlign w:val="center"/>
          </w:tcPr>
          <w:p w14:paraId="5DDC9309" w14:textId="77777777" w:rsidR="007B4C44" w:rsidRPr="00132C1E" w:rsidRDefault="007B4C44" w:rsidP="00071D6D">
            <w:pPr>
              <w:pStyle w:val="Tablebody"/>
              <w:jc w:val="center"/>
            </w:pPr>
            <w:r w:rsidRPr="00132C1E">
              <w:t>O/H111</w:t>
            </w:r>
          </w:p>
        </w:tc>
        <w:tc>
          <w:tcPr>
            <w:tcW w:w="1276" w:type="dxa"/>
            <w:vAlign w:val="center"/>
          </w:tcPr>
          <w:p w14:paraId="7201983C" w14:textId="77777777" w:rsidR="007B4C44" w:rsidRPr="00132C1E" w:rsidRDefault="007B4C44" w:rsidP="00071D6D">
            <w:pPr>
              <w:pStyle w:val="Tablebody"/>
              <w:jc w:val="center"/>
            </w:pPr>
            <w:r w:rsidRPr="00132C1E">
              <w:t>≤</w:t>
            </w:r>
            <w:r>
              <w:t> </w:t>
            </w:r>
            <w:r w:rsidRPr="00132C1E">
              <w:t>100</w:t>
            </w:r>
          </w:p>
        </w:tc>
      </w:tr>
      <w:tr w:rsidR="007B4C44" w:rsidRPr="00132C1E" w14:paraId="307ED588" w14:textId="77777777" w:rsidTr="002061E5">
        <w:trPr>
          <w:trHeight w:val="288"/>
          <w:jc w:val="center"/>
        </w:trPr>
        <w:tc>
          <w:tcPr>
            <w:tcW w:w="2552" w:type="dxa"/>
            <w:vMerge/>
            <w:shd w:val="clear" w:color="auto" w:fill="auto"/>
            <w:tcMar>
              <w:left w:w="0" w:type="dxa"/>
              <w:right w:w="0" w:type="dxa"/>
            </w:tcMar>
            <w:vAlign w:val="center"/>
          </w:tcPr>
          <w:p w14:paraId="49E0E1AB" w14:textId="77777777" w:rsidR="007B4C44" w:rsidRPr="00132C1E" w:rsidRDefault="007B4C44" w:rsidP="00071D6D">
            <w:pPr>
              <w:pStyle w:val="Tablebody"/>
              <w:jc w:val="center"/>
            </w:pPr>
          </w:p>
        </w:tc>
        <w:tc>
          <w:tcPr>
            <w:tcW w:w="1418" w:type="dxa"/>
            <w:gridSpan w:val="2"/>
            <w:vMerge/>
            <w:shd w:val="clear" w:color="auto" w:fill="auto"/>
            <w:tcMar>
              <w:left w:w="0" w:type="dxa"/>
              <w:right w:w="0" w:type="dxa"/>
            </w:tcMar>
            <w:vAlign w:val="center"/>
          </w:tcPr>
          <w:p w14:paraId="533E28F3" w14:textId="77777777" w:rsidR="007B4C44" w:rsidRPr="00132C1E" w:rsidRDefault="007B4C44" w:rsidP="00071D6D">
            <w:pPr>
              <w:pStyle w:val="Tablebody"/>
              <w:jc w:val="center"/>
            </w:pPr>
          </w:p>
        </w:tc>
        <w:tc>
          <w:tcPr>
            <w:tcW w:w="850" w:type="dxa"/>
            <w:shd w:val="clear" w:color="auto" w:fill="auto"/>
            <w:tcMar>
              <w:left w:w="0" w:type="dxa"/>
              <w:right w:w="0" w:type="dxa"/>
            </w:tcMar>
            <w:vAlign w:val="center"/>
          </w:tcPr>
          <w:p w14:paraId="12B5C53A" w14:textId="77777777" w:rsidR="007B4C44" w:rsidRPr="00132C1E" w:rsidRDefault="007B4C44" w:rsidP="00071D6D">
            <w:pPr>
              <w:pStyle w:val="Tablebody"/>
              <w:jc w:val="center"/>
            </w:pPr>
            <w:r w:rsidRPr="00132C1E">
              <w:t>6061</w:t>
            </w:r>
          </w:p>
        </w:tc>
        <w:tc>
          <w:tcPr>
            <w:tcW w:w="1134" w:type="dxa"/>
            <w:shd w:val="clear" w:color="auto" w:fill="auto"/>
            <w:tcMar>
              <w:left w:w="0" w:type="dxa"/>
              <w:right w:w="0" w:type="dxa"/>
            </w:tcMar>
            <w:vAlign w:val="center"/>
          </w:tcPr>
          <w:p w14:paraId="625BF877" w14:textId="77777777" w:rsidR="007B4C44" w:rsidRPr="00132C1E" w:rsidRDefault="007B4C44" w:rsidP="00071D6D">
            <w:pPr>
              <w:pStyle w:val="Tablebody"/>
              <w:jc w:val="center"/>
            </w:pPr>
            <w:r w:rsidRPr="00132C1E">
              <w:t>T4 / T451</w:t>
            </w:r>
          </w:p>
        </w:tc>
        <w:tc>
          <w:tcPr>
            <w:tcW w:w="1276" w:type="dxa"/>
            <w:vAlign w:val="center"/>
          </w:tcPr>
          <w:p w14:paraId="7D57E87C" w14:textId="77777777" w:rsidR="007B4C44" w:rsidRPr="00132C1E" w:rsidRDefault="007B4C44" w:rsidP="00071D6D">
            <w:pPr>
              <w:pStyle w:val="Tablebody"/>
              <w:jc w:val="center"/>
            </w:pPr>
            <w:r w:rsidRPr="00132C1E">
              <w:t>≤</w:t>
            </w:r>
            <w:r>
              <w:t> </w:t>
            </w:r>
            <w:r w:rsidRPr="00132C1E">
              <w:t>12,5</w:t>
            </w:r>
          </w:p>
        </w:tc>
      </w:tr>
      <w:tr w:rsidR="007B4C44" w:rsidRPr="00132C1E" w14:paraId="68E15396" w14:textId="77777777" w:rsidTr="002061E5">
        <w:trPr>
          <w:trHeight w:val="288"/>
          <w:jc w:val="center"/>
        </w:trPr>
        <w:tc>
          <w:tcPr>
            <w:tcW w:w="2552" w:type="dxa"/>
            <w:vMerge/>
            <w:shd w:val="clear" w:color="auto" w:fill="auto"/>
            <w:tcMar>
              <w:left w:w="0" w:type="dxa"/>
              <w:right w:w="0" w:type="dxa"/>
            </w:tcMar>
            <w:vAlign w:val="center"/>
          </w:tcPr>
          <w:p w14:paraId="0CD29F3F" w14:textId="77777777" w:rsidR="007B4C44" w:rsidRPr="00132C1E" w:rsidRDefault="007B4C44" w:rsidP="00071D6D">
            <w:pPr>
              <w:pStyle w:val="Tablebody"/>
              <w:jc w:val="center"/>
            </w:pPr>
          </w:p>
        </w:tc>
        <w:tc>
          <w:tcPr>
            <w:tcW w:w="1418" w:type="dxa"/>
            <w:gridSpan w:val="2"/>
            <w:vMerge/>
            <w:shd w:val="clear" w:color="auto" w:fill="auto"/>
            <w:tcMar>
              <w:left w:w="0" w:type="dxa"/>
              <w:right w:w="0" w:type="dxa"/>
            </w:tcMar>
            <w:vAlign w:val="center"/>
          </w:tcPr>
          <w:p w14:paraId="0733E964" w14:textId="77777777" w:rsidR="007B4C44" w:rsidRPr="00132C1E" w:rsidRDefault="007B4C44" w:rsidP="00071D6D">
            <w:pPr>
              <w:pStyle w:val="Tablebody"/>
              <w:jc w:val="center"/>
            </w:pPr>
          </w:p>
        </w:tc>
        <w:tc>
          <w:tcPr>
            <w:tcW w:w="850" w:type="dxa"/>
            <w:shd w:val="clear" w:color="auto" w:fill="auto"/>
            <w:tcMar>
              <w:left w:w="0" w:type="dxa"/>
              <w:right w:w="0" w:type="dxa"/>
            </w:tcMar>
            <w:vAlign w:val="center"/>
          </w:tcPr>
          <w:p w14:paraId="6D8D48F6" w14:textId="77777777" w:rsidR="007B4C44" w:rsidRPr="00132C1E" w:rsidRDefault="007B4C44" w:rsidP="00071D6D">
            <w:pPr>
              <w:pStyle w:val="Tablebody"/>
              <w:jc w:val="center"/>
            </w:pPr>
            <w:r w:rsidRPr="00132C1E">
              <w:t>6082</w:t>
            </w:r>
          </w:p>
        </w:tc>
        <w:tc>
          <w:tcPr>
            <w:tcW w:w="1134" w:type="dxa"/>
            <w:shd w:val="clear" w:color="auto" w:fill="auto"/>
            <w:tcMar>
              <w:left w:w="0" w:type="dxa"/>
              <w:right w:w="0" w:type="dxa"/>
            </w:tcMar>
            <w:vAlign w:val="center"/>
          </w:tcPr>
          <w:p w14:paraId="603508F1" w14:textId="77777777" w:rsidR="007B4C44" w:rsidRPr="00132C1E" w:rsidRDefault="007B4C44" w:rsidP="00071D6D">
            <w:pPr>
              <w:pStyle w:val="Tablebody"/>
              <w:jc w:val="center"/>
            </w:pPr>
            <w:r w:rsidRPr="00132C1E">
              <w:t>T4 / T451</w:t>
            </w:r>
          </w:p>
        </w:tc>
        <w:tc>
          <w:tcPr>
            <w:tcW w:w="1276" w:type="dxa"/>
            <w:vAlign w:val="center"/>
          </w:tcPr>
          <w:p w14:paraId="6DA4DDE4" w14:textId="77777777" w:rsidR="007B4C44" w:rsidRPr="00132C1E" w:rsidRDefault="007B4C44" w:rsidP="00071D6D">
            <w:pPr>
              <w:pStyle w:val="Tablebody"/>
              <w:jc w:val="center"/>
            </w:pPr>
            <w:r w:rsidRPr="00132C1E">
              <w:t>≤</w:t>
            </w:r>
            <w:r>
              <w:t> </w:t>
            </w:r>
            <w:r w:rsidRPr="00132C1E">
              <w:t>12,5</w:t>
            </w:r>
          </w:p>
        </w:tc>
      </w:tr>
      <w:tr w:rsidR="007B4C44" w:rsidRPr="00132C1E" w14:paraId="53E32EAB" w14:textId="77777777" w:rsidTr="002061E5">
        <w:trPr>
          <w:trHeight w:val="300"/>
          <w:jc w:val="center"/>
        </w:trPr>
        <w:tc>
          <w:tcPr>
            <w:tcW w:w="2552" w:type="dxa"/>
            <w:vMerge w:val="restart"/>
            <w:shd w:val="clear" w:color="auto" w:fill="auto"/>
            <w:tcMar>
              <w:left w:w="0" w:type="dxa"/>
              <w:right w:w="0" w:type="dxa"/>
            </w:tcMar>
            <w:vAlign w:val="center"/>
          </w:tcPr>
          <w:p w14:paraId="275080BA" w14:textId="77777777" w:rsidR="007B4C44" w:rsidRPr="00D1484A" w:rsidRDefault="007B4C44" w:rsidP="00071D6D">
            <w:pPr>
              <w:pStyle w:val="Tablebody"/>
              <w:jc w:val="center"/>
            </w:pPr>
            <w:r w:rsidRPr="00132C1E">
              <w:t>Extruded profiles, extruded tube, extruded rod/bar and drawn tube</w:t>
            </w:r>
          </w:p>
        </w:tc>
        <w:tc>
          <w:tcPr>
            <w:tcW w:w="1418" w:type="dxa"/>
            <w:gridSpan w:val="2"/>
            <w:shd w:val="clear" w:color="auto" w:fill="auto"/>
            <w:tcMar>
              <w:left w:w="0" w:type="dxa"/>
              <w:right w:w="0" w:type="dxa"/>
            </w:tcMar>
            <w:vAlign w:val="center"/>
          </w:tcPr>
          <w:p w14:paraId="5667343D" w14:textId="77777777" w:rsidR="007B4C44" w:rsidRPr="00FD17CF" w:rsidRDefault="007B4C44" w:rsidP="00071D6D">
            <w:pPr>
              <w:pStyle w:val="Tablebody"/>
              <w:jc w:val="center"/>
            </w:pPr>
            <w:r w:rsidRPr="007E6F67">
              <w:t>ET,EP,ER/B</w:t>
            </w:r>
          </w:p>
        </w:tc>
        <w:tc>
          <w:tcPr>
            <w:tcW w:w="850" w:type="dxa"/>
            <w:shd w:val="clear" w:color="auto" w:fill="auto"/>
            <w:tcMar>
              <w:left w:w="0" w:type="dxa"/>
              <w:right w:w="0" w:type="dxa"/>
            </w:tcMar>
            <w:vAlign w:val="center"/>
          </w:tcPr>
          <w:p w14:paraId="504BEBBD" w14:textId="77777777" w:rsidR="007B4C44" w:rsidRPr="00E05E29" w:rsidRDefault="007B4C44" w:rsidP="00071D6D">
            <w:pPr>
              <w:pStyle w:val="Tablebody"/>
              <w:jc w:val="center"/>
            </w:pPr>
            <w:r w:rsidRPr="00E05E29">
              <w:t>5083</w:t>
            </w:r>
          </w:p>
        </w:tc>
        <w:tc>
          <w:tcPr>
            <w:tcW w:w="1134" w:type="dxa"/>
            <w:shd w:val="clear" w:color="auto" w:fill="auto"/>
            <w:tcMar>
              <w:left w:w="0" w:type="dxa"/>
              <w:right w:w="0" w:type="dxa"/>
            </w:tcMar>
            <w:vAlign w:val="center"/>
          </w:tcPr>
          <w:p w14:paraId="0B9F9ADD" w14:textId="77777777" w:rsidR="007B4C44" w:rsidRPr="002144A0" w:rsidRDefault="007B4C44" w:rsidP="00071D6D">
            <w:pPr>
              <w:pStyle w:val="Tablebody"/>
              <w:jc w:val="center"/>
            </w:pPr>
            <w:r w:rsidRPr="00196951">
              <w:t>O/H111</w:t>
            </w:r>
          </w:p>
          <w:p w14:paraId="0504C4AA" w14:textId="77777777" w:rsidR="007B4C44" w:rsidRPr="002144A0" w:rsidRDefault="007B4C44" w:rsidP="00071D6D">
            <w:pPr>
              <w:pStyle w:val="Tablebody"/>
              <w:jc w:val="center"/>
            </w:pPr>
            <w:r w:rsidRPr="002144A0">
              <w:t>F/H112</w:t>
            </w:r>
          </w:p>
        </w:tc>
        <w:tc>
          <w:tcPr>
            <w:tcW w:w="1276" w:type="dxa"/>
            <w:vAlign w:val="center"/>
          </w:tcPr>
          <w:p w14:paraId="22F95FF6" w14:textId="77777777" w:rsidR="007B4C44" w:rsidRPr="004F25D7" w:rsidRDefault="007B4C44" w:rsidP="00071D6D">
            <w:pPr>
              <w:pStyle w:val="Tablebody"/>
              <w:jc w:val="center"/>
            </w:pPr>
            <w:r w:rsidRPr="002144A0">
              <w:t>≤</w:t>
            </w:r>
            <w:r>
              <w:t> </w:t>
            </w:r>
            <w:r w:rsidRPr="002144A0">
              <w:t>200</w:t>
            </w:r>
          </w:p>
        </w:tc>
      </w:tr>
      <w:tr w:rsidR="007B4C44" w:rsidRPr="00132C1E" w14:paraId="38E2B27D" w14:textId="77777777" w:rsidTr="002061E5">
        <w:trPr>
          <w:trHeight w:val="300"/>
          <w:jc w:val="center"/>
        </w:trPr>
        <w:tc>
          <w:tcPr>
            <w:tcW w:w="2552" w:type="dxa"/>
            <w:vMerge/>
            <w:shd w:val="clear" w:color="auto" w:fill="auto"/>
            <w:tcMar>
              <w:left w:w="0" w:type="dxa"/>
              <w:right w:w="0" w:type="dxa"/>
            </w:tcMar>
            <w:vAlign w:val="center"/>
          </w:tcPr>
          <w:p w14:paraId="4D8228D7" w14:textId="77777777" w:rsidR="007B4C44" w:rsidRPr="00132C1E" w:rsidRDefault="007B4C44" w:rsidP="00071D6D">
            <w:pPr>
              <w:pStyle w:val="Tablebody"/>
              <w:jc w:val="center"/>
            </w:pPr>
          </w:p>
        </w:tc>
        <w:tc>
          <w:tcPr>
            <w:tcW w:w="1418" w:type="dxa"/>
            <w:gridSpan w:val="2"/>
            <w:shd w:val="clear" w:color="auto" w:fill="auto"/>
            <w:tcMar>
              <w:left w:w="0" w:type="dxa"/>
              <w:right w:w="0" w:type="dxa"/>
            </w:tcMar>
            <w:vAlign w:val="center"/>
          </w:tcPr>
          <w:p w14:paraId="1565AE54" w14:textId="77777777" w:rsidR="007B4C44" w:rsidRPr="00132C1E" w:rsidRDefault="007B4C44" w:rsidP="00071D6D">
            <w:pPr>
              <w:pStyle w:val="Tablebody"/>
              <w:jc w:val="center"/>
            </w:pPr>
            <w:r w:rsidRPr="00132C1E">
              <w:t>ET,EP,ER/B</w:t>
            </w:r>
          </w:p>
        </w:tc>
        <w:tc>
          <w:tcPr>
            <w:tcW w:w="850" w:type="dxa"/>
            <w:shd w:val="clear" w:color="auto" w:fill="auto"/>
            <w:tcMar>
              <w:left w:w="0" w:type="dxa"/>
              <w:right w:w="0" w:type="dxa"/>
            </w:tcMar>
            <w:vAlign w:val="center"/>
          </w:tcPr>
          <w:p w14:paraId="78DD8768" w14:textId="77777777" w:rsidR="007B4C44" w:rsidRPr="00132C1E" w:rsidRDefault="007B4C44" w:rsidP="00071D6D">
            <w:pPr>
              <w:pStyle w:val="Tablebody"/>
              <w:jc w:val="center"/>
            </w:pPr>
            <w:r w:rsidRPr="00132C1E">
              <w:t>5454</w:t>
            </w:r>
          </w:p>
        </w:tc>
        <w:tc>
          <w:tcPr>
            <w:tcW w:w="1134" w:type="dxa"/>
            <w:shd w:val="clear" w:color="auto" w:fill="auto"/>
            <w:tcMar>
              <w:left w:w="0" w:type="dxa"/>
              <w:right w:w="0" w:type="dxa"/>
            </w:tcMar>
            <w:vAlign w:val="center"/>
          </w:tcPr>
          <w:p w14:paraId="65A09824" w14:textId="77777777" w:rsidR="007B4C44" w:rsidRPr="00132C1E" w:rsidRDefault="007B4C44" w:rsidP="00071D6D">
            <w:pPr>
              <w:pStyle w:val="Tablebody"/>
              <w:jc w:val="center"/>
            </w:pPr>
            <w:r w:rsidRPr="00132C1E">
              <w:t>O/H111</w:t>
            </w:r>
          </w:p>
          <w:p w14:paraId="5CF9848D" w14:textId="77777777" w:rsidR="007B4C44" w:rsidRPr="00132C1E" w:rsidRDefault="007B4C44" w:rsidP="00071D6D">
            <w:pPr>
              <w:pStyle w:val="Tablebody"/>
              <w:jc w:val="center"/>
            </w:pPr>
            <w:r w:rsidRPr="00132C1E">
              <w:t>F/H112</w:t>
            </w:r>
          </w:p>
        </w:tc>
        <w:tc>
          <w:tcPr>
            <w:tcW w:w="1276" w:type="dxa"/>
            <w:vAlign w:val="center"/>
          </w:tcPr>
          <w:p w14:paraId="6B5F0F81" w14:textId="77777777" w:rsidR="007B4C44" w:rsidRPr="00132C1E" w:rsidRDefault="007B4C44" w:rsidP="00071D6D">
            <w:pPr>
              <w:pStyle w:val="Tablebody"/>
              <w:jc w:val="center"/>
            </w:pPr>
            <w:r w:rsidRPr="00132C1E">
              <w:t>≤</w:t>
            </w:r>
            <w:r>
              <w:t> </w:t>
            </w:r>
            <w:r w:rsidRPr="00132C1E">
              <w:t>25</w:t>
            </w:r>
          </w:p>
        </w:tc>
      </w:tr>
      <w:tr w:rsidR="007B4C44" w:rsidRPr="00132C1E" w14:paraId="5BC81681" w14:textId="77777777" w:rsidTr="002061E5">
        <w:trPr>
          <w:trHeight w:val="300"/>
          <w:jc w:val="center"/>
        </w:trPr>
        <w:tc>
          <w:tcPr>
            <w:tcW w:w="2552" w:type="dxa"/>
            <w:vMerge/>
            <w:shd w:val="clear" w:color="auto" w:fill="auto"/>
            <w:tcMar>
              <w:left w:w="0" w:type="dxa"/>
              <w:right w:w="0" w:type="dxa"/>
            </w:tcMar>
            <w:vAlign w:val="center"/>
          </w:tcPr>
          <w:p w14:paraId="6BE62B2B" w14:textId="77777777" w:rsidR="007B4C44" w:rsidRPr="00132C1E" w:rsidRDefault="007B4C44" w:rsidP="00071D6D">
            <w:pPr>
              <w:pStyle w:val="Tablebody"/>
              <w:jc w:val="center"/>
            </w:pPr>
          </w:p>
        </w:tc>
        <w:tc>
          <w:tcPr>
            <w:tcW w:w="1418" w:type="dxa"/>
            <w:gridSpan w:val="2"/>
            <w:shd w:val="clear" w:color="auto" w:fill="auto"/>
            <w:tcMar>
              <w:left w:w="0" w:type="dxa"/>
              <w:right w:w="0" w:type="dxa"/>
            </w:tcMar>
            <w:vAlign w:val="center"/>
          </w:tcPr>
          <w:p w14:paraId="7812EE94" w14:textId="77777777" w:rsidR="007B4C44" w:rsidRPr="00132C1E" w:rsidRDefault="007B4C44" w:rsidP="00071D6D">
            <w:pPr>
              <w:pStyle w:val="Tablebody"/>
              <w:jc w:val="center"/>
            </w:pPr>
            <w:r w:rsidRPr="00132C1E">
              <w:t>ET,EP,ER/B</w:t>
            </w:r>
          </w:p>
        </w:tc>
        <w:tc>
          <w:tcPr>
            <w:tcW w:w="850" w:type="dxa"/>
            <w:shd w:val="clear" w:color="auto" w:fill="auto"/>
            <w:tcMar>
              <w:left w:w="0" w:type="dxa"/>
              <w:right w:w="0" w:type="dxa"/>
            </w:tcMar>
            <w:vAlign w:val="center"/>
          </w:tcPr>
          <w:p w14:paraId="09579B94" w14:textId="77777777" w:rsidR="007B4C44" w:rsidRPr="00132C1E" w:rsidRDefault="007B4C44" w:rsidP="00071D6D">
            <w:pPr>
              <w:pStyle w:val="Tablebody"/>
              <w:jc w:val="center"/>
            </w:pPr>
            <w:r w:rsidRPr="00132C1E">
              <w:t>5754</w:t>
            </w:r>
          </w:p>
        </w:tc>
        <w:tc>
          <w:tcPr>
            <w:tcW w:w="1134" w:type="dxa"/>
            <w:shd w:val="clear" w:color="auto" w:fill="auto"/>
            <w:tcMar>
              <w:left w:w="0" w:type="dxa"/>
              <w:right w:w="0" w:type="dxa"/>
            </w:tcMar>
            <w:vAlign w:val="center"/>
          </w:tcPr>
          <w:p w14:paraId="00F84154" w14:textId="77777777" w:rsidR="007B4C44" w:rsidRPr="00132C1E" w:rsidRDefault="007B4C44" w:rsidP="00071D6D">
            <w:pPr>
              <w:pStyle w:val="Tablebody"/>
              <w:jc w:val="center"/>
            </w:pPr>
            <w:r w:rsidRPr="00132C1E">
              <w:t>O/H111</w:t>
            </w:r>
          </w:p>
          <w:p w14:paraId="4EEEEEB5" w14:textId="77777777" w:rsidR="007B4C44" w:rsidRPr="00132C1E" w:rsidRDefault="007B4C44" w:rsidP="00071D6D">
            <w:pPr>
              <w:pStyle w:val="Tablebody"/>
              <w:jc w:val="center"/>
            </w:pPr>
            <w:r w:rsidRPr="00132C1E">
              <w:t>F/H112</w:t>
            </w:r>
          </w:p>
        </w:tc>
        <w:tc>
          <w:tcPr>
            <w:tcW w:w="1276" w:type="dxa"/>
            <w:vAlign w:val="center"/>
          </w:tcPr>
          <w:p w14:paraId="3F4882A0" w14:textId="77777777" w:rsidR="007B4C44" w:rsidRPr="00132C1E" w:rsidRDefault="007B4C44" w:rsidP="00071D6D">
            <w:pPr>
              <w:pStyle w:val="Tablebody"/>
              <w:jc w:val="center"/>
            </w:pPr>
            <w:r w:rsidRPr="00132C1E">
              <w:t>≤</w:t>
            </w:r>
            <w:r>
              <w:t> </w:t>
            </w:r>
            <w:r w:rsidRPr="00132C1E">
              <w:t>25</w:t>
            </w:r>
          </w:p>
        </w:tc>
      </w:tr>
      <w:tr w:rsidR="007B4C44" w:rsidRPr="00132C1E" w14:paraId="6ED55AA0" w14:textId="77777777" w:rsidTr="002061E5">
        <w:trPr>
          <w:trHeight w:val="300"/>
          <w:jc w:val="center"/>
        </w:trPr>
        <w:tc>
          <w:tcPr>
            <w:tcW w:w="2552" w:type="dxa"/>
            <w:vMerge/>
            <w:shd w:val="clear" w:color="auto" w:fill="auto"/>
            <w:tcMar>
              <w:left w:w="0" w:type="dxa"/>
              <w:right w:w="0" w:type="dxa"/>
            </w:tcMar>
            <w:vAlign w:val="center"/>
          </w:tcPr>
          <w:p w14:paraId="26143FA9" w14:textId="77777777" w:rsidR="007B4C44" w:rsidRPr="00132C1E" w:rsidRDefault="007B4C44" w:rsidP="00071D6D">
            <w:pPr>
              <w:pStyle w:val="Tablebody"/>
              <w:jc w:val="center"/>
            </w:pPr>
          </w:p>
        </w:tc>
        <w:tc>
          <w:tcPr>
            <w:tcW w:w="1418" w:type="dxa"/>
            <w:gridSpan w:val="2"/>
            <w:shd w:val="clear" w:color="auto" w:fill="auto"/>
            <w:tcMar>
              <w:left w:w="0" w:type="dxa"/>
              <w:right w:w="0" w:type="dxa"/>
            </w:tcMar>
            <w:vAlign w:val="center"/>
          </w:tcPr>
          <w:p w14:paraId="71DB0657" w14:textId="77777777" w:rsidR="007B4C44" w:rsidRPr="00132C1E" w:rsidRDefault="007B4C44" w:rsidP="00071D6D">
            <w:pPr>
              <w:pStyle w:val="Tablebody"/>
              <w:jc w:val="center"/>
            </w:pPr>
            <w:r w:rsidRPr="00132C1E">
              <w:t>DT</w:t>
            </w:r>
          </w:p>
        </w:tc>
        <w:tc>
          <w:tcPr>
            <w:tcW w:w="850" w:type="dxa"/>
            <w:vMerge w:val="restart"/>
            <w:shd w:val="clear" w:color="auto" w:fill="auto"/>
            <w:tcMar>
              <w:left w:w="0" w:type="dxa"/>
              <w:right w:w="0" w:type="dxa"/>
            </w:tcMar>
            <w:vAlign w:val="center"/>
          </w:tcPr>
          <w:p w14:paraId="7A8F3089" w14:textId="77777777" w:rsidR="007B4C44" w:rsidRPr="00132C1E" w:rsidRDefault="007B4C44" w:rsidP="00071D6D">
            <w:pPr>
              <w:pStyle w:val="Tablebody"/>
              <w:jc w:val="center"/>
            </w:pPr>
            <w:r w:rsidRPr="00132C1E">
              <w:t>6060</w:t>
            </w:r>
          </w:p>
        </w:tc>
        <w:tc>
          <w:tcPr>
            <w:tcW w:w="1134" w:type="dxa"/>
            <w:shd w:val="clear" w:color="auto" w:fill="auto"/>
            <w:tcMar>
              <w:left w:w="0" w:type="dxa"/>
              <w:right w:w="0" w:type="dxa"/>
            </w:tcMar>
            <w:vAlign w:val="center"/>
          </w:tcPr>
          <w:p w14:paraId="6245FE90" w14:textId="77777777" w:rsidR="007B4C44" w:rsidRPr="00132C1E" w:rsidRDefault="007B4C44" w:rsidP="00071D6D">
            <w:pPr>
              <w:pStyle w:val="Tablebody"/>
              <w:jc w:val="center"/>
            </w:pPr>
            <w:r w:rsidRPr="00132C1E">
              <w:t>T6</w:t>
            </w:r>
          </w:p>
        </w:tc>
        <w:tc>
          <w:tcPr>
            <w:tcW w:w="1276" w:type="dxa"/>
            <w:vAlign w:val="center"/>
          </w:tcPr>
          <w:p w14:paraId="3243D1D3" w14:textId="77777777" w:rsidR="007B4C44" w:rsidRPr="00132C1E" w:rsidRDefault="007B4C44" w:rsidP="00071D6D">
            <w:pPr>
              <w:pStyle w:val="Tablebody"/>
              <w:jc w:val="center"/>
            </w:pPr>
            <w:r w:rsidRPr="00132C1E">
              <w:t>≤</w:t>
            </w:r>
            <w:r>
              <w:t> </w:t>
            </w:r>
            <w:r w:rsidRPr="00132C1E">
              <w:t>20</w:t>
            </w:r>
          </w:p>
        </w:tc>
      </w:tr>
      <w:tr w:rsidR="007B4C44" w:rsidRPr="00132C1E" w14:paraId="53765286" w14:textId="77777777" w:rsidTr="002061E5">
        <w:trPr>
          <w:trHeight w:val="300"/>
          <w:jc w:val="center"/>
        </w:trPr>
        <w:tc>
          <w:tcPr>
            <w:tcW w:w="2552" w:type="dxa"/>
            <w:vMerge/>
            <w:shd w:val="clear" w:color="auto" w:fill="auto"/>
            <w:tcMar>
              <w:left w:w="0" w:type="dxa"/>
              <w:right w:w="0" w:type="dxa"/>
            </w:tcMar>
            <w:vAlign w:val="center"/>
          </w:tcPr>
          <w:p w14:paraId="0A029733" w14:textId="77777777" w:rsidR="007B4C44" w:rsidRPr="00132C1E" w:rsidRDefault="007B4C44" w:rsidP="00071D6D">
            <w:pPr>
              <w:pStyle w:val="Tablebody"/>
              <w:jc w:val="center"/>
            </w:pPr>
          </w:p>
        </w:tc>
        <w:tc>
          <w:tcPr>
            <w:tcW w:w="1418" w:type="dxa"/>
            <w:gridSpan w:val="2"/>
            <w:shd w:val="clear" w:color="auto" w:fill="auto"/>
            <w:tcMar>
              <w:left w:w="0" w:type="dxa"/>
              <w:right w:w="0" w:type="dxa"/>
            </w:tcMar>
            <w:vAlign w:val="center"/>
          </w:tcPr>
          <w:p w14:paraId="206F48BC" w14:textId="77777777" w:rsidR="007B4C44" w:rsidRPr="00132C1E" w:rsidRDefault="007B4C44" w:rsidP="00071D6D">
            <w:pPr>
              <w:pStyle w:val="Tablebody"/>
              <w:jc w:val="center"/>
            </w:pPr>
            <w:r w:rsidRPr="00132C1E">
              <w:t>EP,ET,ER/B</w:t>
            </w:r>
          </w:p>
        </w:tc>
        <w:tc>
          <w:tcPr>
            <w:tcW w:w="850" w:type="dxa"/>
            <w:vMerge/>
            <w:shd w:val="clear" w:color="auto" w:fill="auto"/>
            <w:tcMar>
              <w:left w:w="0" w:type="dxa"/>
              <w:right w:w="0" w:type="dxa"/>
            </w:tcMar>
            <w:vAlign w:val="center"/>
          </w:tcPr>
          <w:p w14:paraId="68461987" w14:textId="77777777" w:rsidR="007B4C44" w:rsidRPr="00132C1E" w:rsidRDefault="007B4C44" w:rsidP="00071D6D">
            <w:pPr>
              <w:pStyle w:val="Tablebody"/>
              <w:jc w:val="center"/>
            </w:pPr>
          </w:p>
        </w:tc>
        <w:tc>
          <w:tcPr>
            <w:tcW w:w="1134" w:type="dxa"/>
            <w:shd w:val="clear" w:color="auto" w:fill="auto"/>
            <w:tcMar>
              <w:left w:w="0" w:type="dxa"/>
              <w:right w:w="0" w:type="dxa"/>
            </w:tcMar>
            <w:vAlign w:val="center"/>
          </w:tcPr>
          <w:p w14:paraId="644E49F3" w14:textId="77777777" w:rsidR="007B4C44" w:rsidRPr="00132C1E" w:rsidRDefault="007B4C44" w:rsidP="00071D6D">
            <w:pPr>
              <w:pStyle w:val="Tablebody"/>
              <w:jc w:val="center"/>
            </w:pPr>
            <w:r w:rsidRPr="00132C1E">
              <w:t>T64</w:t>
            </w:r>
          </w:p>
        </w:tc>
        <w:tc>
          <w:tcPr>
            <w:tcW w:w="1276" w:type="dxa"/>
            <w:vAlign w:val="center"/>
          </w:tcPr>
          <w:p w14:paraId="2A77DD6C" w14:textId="77777777" w:rsidR="007B4C44" w:rsidRPr="00132C1E" w:rsidRDefault="007B4C44" w:rsidP="00071D6D">
            <w:pPr>
              <w:pStyle w:val="Tablebody"/>
              <w:jc w:val="center"/>
            </w:pPr>
            <w:r w:rsidRPr="00132C1E">
              <w:t>≤</w:t>
            </w:r>
            <w:r>
              <w:t> </w:t>
            </w:r>
            <w:r w:rsidRPr="00132C1E">
              <w:t>15</w:t>
            </w:r>
          </w:p>
        </w:tc>
      </w:tr>
      <w:tr w:rsidR="007B4C44" w:rsidRPr="00132C1E" w14:paraId="22B84D3C" w14:textId="77777777" w:rsidTr="002061E5">
        <w:trPr>
          <w:trHeight w:val="300"/>
          <w:jc w:val="center"/>
        </w:trPr>
        <w:tc>
          <w:tcPr>
            <w:tcW w:w="2552" w:type="dxa"/>
            <w:vMerge/>
            <w:shd w:val="clear" w:color="auto" w:fill="auto"/>
            <w:tcMar>
              <w:left w:w="0" w:type="dxa"/>
              <w:right w:w="0" w:type="dxa"/>
            </w:tcMar>
            <w:vAlign w:val="center"/>
          </w:tcPr>
          <w:p w14:paraId="7D48B3CB" w14:textId="77777777" w:rsidR="007B4C44" w:rsidRPr="00132C1E" w:rsidRDefault="007B4C44" w:rsidP="00071D6D">
            <w:pPr>
              <w:pStyle w:val="Tablebody"/>
              <w:jc w:val="center"/>
            </w:pPr>
          </w:p>
        </w:tc>
        <w:tc>
          <w:tcPr>
            <w:tcW w:w="1418" w:type="dxa"/>
            <w:gridSpan w:val="2"/>
            <w:shd w:val="clear" w:color="auto" w:fill="auto"/>
            <w:tcMar>
              <w:left w:w="0" w:type="dxa"/>
              <w:right w:w="0" w:type="dxa"/>
            </w:tcMar>
            <w:vAlign w:val="center"/>
          </w:tcPr>
          <w:p w14:paraId="69268022" w14:textId="77777777" w:rsidR="007B4C44" w:rsidRPr="00132C1E" w:rsidRDefault="007B4C44" w:rsidP="00071D6D">
            <w:pPr>
              <w:pStyle w:val="Tablebody"/>
              <w:jc w:val="center"/>
            </w:pPr>
            <w:r w:rsidRPr="00132C1E">
              <w:t>EP,ET,ER/B</w:t>
            </w:r>
          </w:p>
        </w:tc>
        <w:tc>
          <w:tcPr>
            <w:tcW w:w="850" w:type="dxa"/>
            <w:vMerge w:val="restart"/>
            <w:shd w:val="clear" w:color="auto" w:fill="auto"/>
            <w:tcMar>
              <w:left w:w="0" w:type="dxa"/>
              <w:right w:w="0" w:type="dxa"/>
            </w:tcMar>
            <w:vAlign w:val="center"/>
          </w:tcPr>
          <w:p w14:paraId="050E8F44" w14:textId="77777777" w:rsidR="007B4C44" w:rsidRPr="00132C1E" w:rsidRDefault="007B4C44" w:rsidP="00071D6D">
            <w:pPr>
              <w:pStyle w:val="Tablebody"/>
              <w:jc w:val="center"/>
            </w:pPr>
            <w:r w:rsidRPr="00132C1E">
              <w:t>6061</w:t>
            </w:r>
          </w:p>
        </w:tc>
        <w:tc>
          <w:tcPr>
            <w:tcW w:w="1134" w:type="dxa"/>
            <w:shd w:val="clear" w:color="auto" w:fill="auto"/>
            <w:tcMar>
              <w:left w:w="0" w:type="dxa"/>
              <w:right w:w="0" w:type="dxa"/>
            </w:tcMar>
            <w:vAlign w:val="center"/>
          </w:tcPr>
          <w:p w14:paraId="1A9AE14C" w14:textId="77777777" w:rsidR="007B4C44" w:rsidRPr="00132C1E" w:rsidRDefault="007B4C44" w:rsidP="00071D6D">
            <w:pPr>
              <w:pStyle w:val="Tablebody"/>
              <w:jc w:val="center"/>
            </w:pPr>
            <w:r w:rsidRPr="00132C1E">
              <w:t>T4</w:t>
            </w:r>
          </w:p>
        </w:tc>
        <w:tc>
          <w:tcPr>
            <w:tcW w:w="1276" w:type="dxa"/>
            <w:vAlign w:val="center"/>
          </w:tcPr>
          <w:p w14:paraId="42C1DFED" w14:textId="77777777" w:rsidR="007B4C44" w:rsidRPr="00132C1E" w:rsidRDefault="007B4C44" w:rsidP="00071D6D">
            <w:pPr>
              <w:pStyle w:val="Tablebody"/>
              <w:jc w:val="center"/>
            </w:pPr>
            <w:r w:rsidRPr="00132C1E">
              <w:t>≤</w:t>
            </w:r>
            <w:r>
              <w:t> </w:t>
            </w:r>
            <w:r w:rsidRPr="00132C1E">
              <w:t>25</w:t>
            </w:r>
          </w:p>
        </w:tc>
      </w:tr>
      <w:tr w:rsidR="007B4C44" w:rsidRPr="00132C1E" w14:paraId="773C80F3" w14:textId="77777777" w:rsidTr="002061E5">
        <w:trPr>
          <w:trHeight w:val="300"/>
          <w:jc w:val="center"/>
        </w:trPr>
        <w:tc>
          <w:tcPr>
            <w:tcW w:w="2552" w:type="dxa"/>
            <w:vMerge/>
            <w:shd w:val="clear" w:color="auto" w:fill="auto"/>
            <w:tcMar>
              <w:left w:w="0" w:type="dxa"/>
              <w:right w:w="0" w:type="dxa"/>
            </w:tcMar>
            <w:vAlign w:val="center"/>
          </w:tcPr>
          <w:p w14:paraId="1377AAE0" w14:textId="77777777" w:rsidR="007B4C44" w:rsidRPr="00132C1E" w:rsidRDefault="007B4C44" w:rsidP="00071D6D">
            <w:pPr>
              <w:pStyle w:val="Tablebody"/>
              <w:jc w:val="center"/>
            </w:pPr>
          </w:p>
        </w:tc>
        <w:tc>
          <w:tcPr>
            <w:tcW w:w="1418" w:type="dxa"/>
            <w:gridSpan w:val="2"/>
            <w:shd w:val="clear" w:color="auto" w:fill="auto"/>
            <w:tcMar>
              <w:left w:w="0" w:type="dxa"/>
              <w:right w:w="0" w:type="dxa"/>
            </w:tcMar>
            <w:vAlign w:val="center"/>
          </w:tcPr>
          <w:p w14:paraId="70E31010" w14:textId="77777777" w:rsidR="007B4C44" w:rsidRPr="00132C1E" w:rsidRDefault="007B4C44" w:rsidP="00071D6D">
            <w:pPr>
              <w:pStyle w:val="Tablebody"/>
              <w:jc w:val="center"/>
            </w:pPr>
            <w:r w:rsidRPr="00132C1E">
              <w:t>DT</w:t>
            </w:r>
          </w:p>
        </w:tc>
        <w:tc>
          <w:tcPr>
            <w:tcW w:w="850" w:type="dxa"/>
            <w:vMerge/>
            <w:shd w:val="clear" w:color="auto" w:fill="auto"/>
            <w:tcMar>
              <w:left w:w="0" w:type="dxa"/>
              <w:right w:w="0" w:type="dxa"/>
            </w:tcMar>
            <w:vAlign w:val="center"/>
          </w:tcPr>
          <w:p w14:paraId="51EC3AF6" w14:textId="77777777" w:rsidR="007B4C44" w:rsidRPr="00132C1E" w:rsidRDefault="007B4C44" w:rsidP="00071D6D">
            <w:pPr>
              <w:pStyle w:val="Tablebody"/>
              <w:jc w:val="center"/>
            </w:pPr>
          </w:p>
        </w:tc>
        <w:tc>
          <w:tcPr>
            <w:tcW w:w="1134" w:type="dxa"/>
            <w:shd w:val="clear" w:color="auto" w:fill="auto"/>
            <w:tcMar>
              <w:left w:w="0" w:type="dxa"/>
              <w:right w:w="0" w:type="dxa"/>
            </w:tcMar>
            <w:vAlign w:val="center"/>
          </w:tcPr>
          <w:p w14:paraId="6E9EC0A9" w14:textId="77777777" w:rsidR="007B4C44" w:rsidRPr="00132C1E" w:rsidRDefault="007B4C44" w:rsidP="00071D6D">
            <w:pPr>
              <w:pStyle w:val="Tablebody"/>
              <w:jc w:val="center"/>
            </w:pPr>
            <w:r w:rsidRPr="00132C1E">
              <w:t>T4</w:t>
            </w:r>
          </w:p>
        </w:tc>
        <w:tc>
          <w:tcPr>
            <w:tcW w:w="1276" w:type="dxa"/>
            <w:vAlign w:val="center"/>
          </w:tcPr>
          <w:p w14:paraId="5B5216AB" w14:textId="77777777" w:rsidR="007B4C44" w:rsidRPr="00132C1E" w:rsidRDefault="007B4C44" w:rsidP="00071D6D">
            <w:pPr>
              <w:pStyle w:val="Tablebody"/>
              <w:jc w:val="center"/>
            </w:pPr>
            <w:r w:rsidRPr="00132C1E">
              <w:t>≤</w:t>
            </w:r>
            <w:r>
              <w:t> </w:t>
            </w:r>
            <w:r w:rsidRPr="00132C1E">
              <w:t>20</w:t>
            </w:r>
          </w:p>
        </w:tc>
      </w:tr>
      <w:tr w:rsidR="007B4C44" w:rsidRPr="00132C1E" w14:paraId="0BFC608C" w14:textId="77777777" w:rsidTr="002061E5">
        <w:trPr>
          <w:trHeight w:val="300"/>
          <w:jc w:val="center"/>
        </w:trPr>
        <w:tc>
          <w:tcPr>
            <w:tcW w:w="2552" w:type="dxa"/>
            <w:vMerge/>
            <w:shd w:val="clear" w:color="auto" w:fill="auto"/>
            <w:tcMar>
              <w:left w:w="0" w:type="dxa"/>
              <w:right w:w="0" w:type="dxa"/>
            </w:tcMar>
            <w:vAlign w:val="center"/>
          </w:tcPr>
          <w:p w14:paraId="672BDA85" w14:textId="77777777" w:rsidR="007B4C44" w:rsidRPr="00132C1E" w:rsidRDefault="007B4C44" w:rsidP="00071D6D">
            <w:pPr>
              <w:pStyle w:val="Tablebody"/>
              <w:jc w:val="center"/>
            </w:pPr>
          </w:p>
        </w:tc>
        <w:tc>
          <w:tcPr>
            <w:tcW w:w="1418" w:type="dxa"/>
            <w:gridSpan w:val="2"/>
            <w:shd w:val="clear" w:color="auto" w:fill="auto"/>
            <w:tcMar>
              <w:left w:w="0" w:type="dxa"/>
              <w:right w:w="0" w:type="dxa"/>
            </w:tcMar>
            <w:vAlign w:val="center"/>
          </w:tcPr>
          <w:p w14:paraId="186AFE0E" w14:textId="77777777" w:rsidR="007B4C44" w:rsidRPr="00132C1E" w:rsidRDefault="007B4C44" w:rsidP="00071D6D">
            <w:pPr>
              <w:pStyle w:val="Tablebody"/>
              <w:jc w:val="center"/>
            </w:pPr>
            <w:r w:rsidRPr="00132C1E">
              <w:t>EP,ET,ER/B</w:t>
            </w:r>
          </w:p>
        </w:tc>
        <w:tc>
          <w:tcPr>
            <w:tcW w:w="850" w:type="dxa"/>
            <w:shd w:val="clear" w:color="auto" w:fill="auto"/>
            <w:tcMar>
              <w:left w:w="0" w:type="dxa"/>
              <w:right w:w="0" w:type="dxa"/>
            </w:tcMar>
            <w:vAlign w:val="center"/>
          </w:tcPr>
          <w:p w14:paraId="5BA11B7A" w14:textId="77777777" w:rsidR="007B4C44" w:rsidRPr="00132C1E" w:rsidRDefault="007B4C44" w:rsidP="00071D6D">
            <w:pPr>
              <w:pStyle w:val="Tablebody"/>
              <w:jc w:val="center"/>
            </w:pPr>
            <w:r w:rsidRPr="00132C1E">
              <w:t>6082</w:t>
            </w:r>
          </w:p>
        </w:tc>
        <w:tc>
          <w:tcPr>
            <w:tcW w:w="1134" w:type="dxa"/>
            <w:shd w:val="clear" w:color="auto" w:fill="auto"/>
            <w:tcMar>
              <w:left w:w="0" w:type="dxa"/>
              <w:right w:w="0" w:type="dxa"/>
            </w:tcMar>
            <w:vAlign w:val="center"/>
          </w:tcPr>
          <w:p w14:paraId="4EA80098" w14:textId="77777777" w:rsidR="007B4C44" w:rsidRPr="00132C1E" w:rsidRDefault="007B4C44" w:rsidP="00071D6D">
            <w:pPr>
              <w:pStyle w:val="Tablebody"/>
              <w:jc w:val="center"/>
            </w:pPr>
            <w:r w:rsidRPr="00132C1E">
              <w:t>T4</w:t>
            </w:r>
          </w:p>
        </w:tc>
        <w:tc>
          <w:tcPr>
            <w:tcW w:w="1276" w:type="dxa"/>
            <w:vAlign w:val="center"/>
          </w:tcPr>
          <w:p w14:paraId="1E2BA8ED" w14:textId="77777777" w:rsidR="007B4C44" w:rsidRPr="00132C1E" w:rsidRDefault="007B4C44" w:rsidP="00071D6D">
            <w:pPr>
              <w:pStyle w:val="Tablebody"/>
              <w:jc w:val="center"/>
            </w:pPr>
            <w:r w:rsidRPr="00132C1E">
              <w:t>≤</w:t>
            </w:r>
            <w:r>
              <w:t> </w:t>
            </w:r>
            <w:r w:rsidRPr="00132C1E">
              <w:t>25</w:t>
            </w:r>
          </w:p>
        </w:tc>
      </w:tr>
      <w:tr w:rsidR="007B4C44" w:rsidRPr="00132C1E" w14:paraId="0B51CF01" w14:textId="77777777" w:rsidTr="002061E5">
        <w:trPr>
          <w:trHeight w:val="300"/>
          <w:jc w:val="center"/>
        </w:trPr>
        <w:tc>
          <w:tcPr>
            <w:tcW w:w="3690" w:type="dxa"/>
            <w:gridSpan w:val="2"/>
            <w:tcBorders>
              <w:right w:val="single" w:sz="6" w:space="0" w:color="FFFFFF" w:themeColor="background1"/>
            </w:tcBorders>
            <w:shd w:val="clear" w:color="auto" w:fill="auto"/>
            <w:tcMar>
              <w:left w:w="0" w:type="dxa"/>
              <w:right w:w="0" w:type="dxa"/>
            </w:tcMar>
            <w:vAlign w:val="center"/>
          </w:tcPr>
          <w:p w14:paraId="6C10832B" w14:textId="2EE95019" w:rsidR="007B4C44" w:rsidRPr="00D1484A" w:rsidRDefault="007B4C44" w:rsidP="00071D6D">
            <w:pPr>
              <w:pStyle w:val="Tablebody"/>
              <w:jc w:val="left"/>
            </w:pPr>
            <w:r w:rsidRPr="00132C1E">
              <w:t>Legend:</w:t>
            </w:r>
          </w:p>
          <w:p w14:paraId="5084FE2F" w14:textId="77777777" w:rsidR="007B4C44" w:rsidRPr="007E6F67" w:rsidRDefault="007B4C44" w:rsidP="00071D6D">
            <w:pPr>
              <w:pStyle w:val="Tablebody"/>
              <w:jc w:val="left"/>
            </w:pPr>
            <w:r w:rsidRPr="00D1484A">
              <w:t>EP- Extruded profiles</w:t>
            </w:r>
          </w:p>
          <w:p w14:paraId="19182AC4" w14:textId="77777777" w:rsidR="007B4C44" w:rsidRPr="00FD17CF" w:rsidRDefault="007B4C44" w:rsidP="00071D6D">
            <w:pPr>
              <w:pStyle w:val="Tablebody"/>
              <w:jc w:val="left"/>
            </w:pPr>
            <w:r w:rsidRPr="007E6F67">
              <w:t>ER/B- Extruded rod and bar</w:t>
            </w:r>
          </w:p>
        </w:tc>
        <w:tc>
          <w:tcPr>
            <w:tcW w:w="3540" w:type="dxa"/>
            <w:gridSpan w:val="4"/>
            <w:tcBorders>
              <w:left w:val="single" w:sz="6" w:space="0" w:color="FFFFFF" w:themeColor="background1"/>
            </w:tcBorders>
            <w:shd w:val="clear" w:color="auto" w:fill="auto"/>
            <w:vAlign w:val="center"/>
          </w:tcPr>
          <w:p w14:paraId="4F2D64F0" w14:textId="77777777" w:rsidR="007B4C44" w:rsidRPr="00E05E29" w:rsidRDefault="007B4C44" w:rsidP="00071D6D">
            <w:pPr>
              <w:pStyle w:val="Tablebody"/>
              <w:jc w:val="left"/>
            </w:pPr>
          </w:p>
          <w:p w14:paraId="1B862CD2" w14:textId="77777777" w:rsidR="007B4C44" w:rsidRPr="002144A0" w:rsidRDefault="007B4C44" w:rsidP="00071D6D">
            <w:pPr>
              <w:pStyle w:val="Tablebody"/>
              <w:jc w:val="left"/>
            </w:pPr>
            <w:r w:rsidRPr="00196951">
              <w:t>ET- Extruded tube</w:t>
            </w:r>
          </w:p>
          <w:p w14:paraId="057241C5" w14:textId="77777777" w:rsidR="007B4C44" w:rsidRPr="002144A0" w:rsidRDefault="007B4C44" w:rsidP="00071D6D">
            <w:pPr>
              <w:pStyle w:val="Tablebody"/>
              <w:jc w:val="left"/>
            </w:pPr>
            <w:r w:rsidRPr="002144A0">
              <w:t>DT- Drawn tube</w:t>
            </w:r>
          </w:p>
        </w:tc>
      </w:tr>
    </w:tbl>
    <w:p w14:paraId="5C7F01D3" w14:textId="77777777" w:rsidR="007B4C44" w:rsidRPr="007B4C44" w:rsidRDefault="007B4C44" w:rsidP="007B4C44">
      <w:pPr>
        <w:pStyle w:val="Heading2"/>
      </w:pPr>
      <w:bookmarkStart w:id="10890" w:name="_Toc3399367"/>
      <w:bookmarkStart w:id="10891" w:name="_Toc50150654"/>
      <w:bookmarkStart w:id="10892" w:name="_Toc70887087"/>
      <w:bookmarkStart w:id="10893" w:name="_Toc108342670"/>
      <w:bookmarkStart w:id="10894" w:name="_Toc134198179"/>
      <w:r w:rsidRPr="007B4C44">
        <w:lastRenderedPageBreak/>
        <w:t>Structural types, behaviour factors and limits of seismic action</w:t>
      </w:r>
      <w:bookmarkEnd w:id="10890"/>
      <w:bookmarkEnd w:id="10891"/>
      <w:bookmarkEnd w:id="10892"/>
      <w:bookmarkEnd w:id="10893"/>
      <w:bookmarkEnd w:id="10894"/>
    </w:p>
    <w:p w14:paraId="0F75D8CB" w14:textId="77777777" w:rsidR="007B4C44" w:rsidRPr="007B4C44" w:rsidRDefault="007B4C44" w:rsidP="007B4C44">
      <w:pPr>
        <w:pStyle w:val="Heading3"/>
      </w:pPr>
      <w:bookmarkStart w:id="10895" w:name="_Toc3399368"/>
      <w:r w:rsidRPr="007B4C44">
        <w:tab/>
      </w:r>
      <w:bookmarkStart w:id="10896" w:name="_Toc50150655"/>
      <w:bookmarkStart w:id="10897" w:name="_Toc70887088"/>
      <w:bookmarkStart w:id="10898" w:name="_Toc108342671"/>
      <w:bookmarkStart w:id="10899" w:name="_Toc134198180"/>
      <w:r w:rsidRPr="007B4C44">
        <w:t>Structural types</w:t>
      </w:r>
      <w:bookmarkEnd w:id="10895"/>
      <w:bookmarkEnd w:id="10896"/>
      <w:bookmarkEnd w:id="10897"/>
      <w:bookmarkEnd w:id="10898"/>
      <w:bookmarkEnd w:id="10899"/>
    </w:p>
    <w:p w14:paraId="370A8EC1" w14:textId="1BD4C51F" w:rsidR="007B4C44" w:rsidRPr="00196951" w:rsidRDefault="007B4C44" w:rsidP="0080187E">
      <w:pPr>
        <w:pStyle w:val="Clause"/>
        <w:numPr>
          <w:ilvl w:val="0"/>
          <w:numId w:val="525"/>
        </w:numPr>
      </w:pPr>
      <w:r w:rsidRPr="00FD17CF">
        <w:t>Aluminium</w:t>
      </w:r>
      <w:r w:rsidRPr="00FD17CF" w:rsidDel="006A61C6">
        <w:t xml:space="preserve"> </w:t>
      </w:r>
      <w:r w:rsidRPr="00E05E29">
        <w:t>buildings may be assigned to one of the structural types in a) to d) according to the behaviour of their primary resisting structure under seismic actions:</w:t>
      </w:r>
    </w:p>
    <w:p w14:paraId="2B1365FF" w14:textId="02A5F43F" w:rsidR="007B4C44" w:rsidRPr="002144A0" w:rsidRDefault="007B4C44" w:rsidP="0080187E">
      <w:pPr>
        <w:pStyle w:val="Text"/>
        <w:numPr>
          <w:ilvl w:val="0"/>
          <w:numId w:val="692"/>
        </w:numPr>
      </w:pPr>
      <w:r w:rsidRPr="002144A0">
        <w:t>Moment resisting frames, in which horizontal forces are mainly resisted by members acting in an essentially flexural manner (see Figure 11.1)</w:t>
      </w:r>
      <w:r w:rsidR="00071D6D">
        <w:t>;</w:t>
      </w:r>
    </w:p>
    <w:p w14:paraId="223C9FFC" w14:textId="5F8719A0" w:rsidR="007B4C44" w:rsidRPr="00C52095" w:rsidRDefault="007B4C44" w:rsidP="0080187E">
      <w:pPr>
        <w:pStyle w:val="Text"/>
        <w:numPr>
          <w:ilvl w:val="0"/>
          <w:numId w:val="692"/>
        </w:numPr>
      </w:pPr>
      <w:r w:rsidRPr="002144A0">
        <w:t>Frames with concentric bracings, in which horizontal forces are mainly resisted by members subjected to axial forces</w:t>
      </w:r>
      <w:r w:rsidRPr="004F25D7">
        <w:t xml:space="preserve"> (see Figures 11.2 and 11.3)</w:t>
      </w:r>
      <w:r w:rsidR="00071D6D">
        <w:t>;</w:t>
      </w:r>
    </w:p>
    <w:p w14:paraId="0AD250CE" w14:textId="5023BB07" w:rsidR="007B4C44" w:rsidRPr="00132C1E" w:rsidRDefault="007B4C44" w:rsidP="0080187E">
      <w:pPr>
        <w:pStyle w:val="Text"/>
        <w:numPr>
          <w:ilvl w:val="0"/>
          <w:numId w:val="692"/>
        </w:numPr>
      </w:pPr>
      <w:r w:rsidRPr="00C52095">
        <w:t>Dual frames, in which at least 25</w:t>
      </w:r>
      <w:r w:rsidR="008A133F">
        <w:t> </w:t>
      </w:r>
      <w:r w:rsidRPr="00C52095">
        <w:t>% of t</w:t>
      </w:r>
      <w:r w:rsidRPr="007754C9">
        <w:t>he lateral force resistance is provided by moment resisting frames that are combined with frames with concentric bracings, which provide the rest of the lateral force resistance</w:t>
      </w:r>
      <w:r w:rsidRPr="00132C1E">
        <w:t xml:space="preserve"> (see Figure 11.6)</w:t>
      </w:r>
      <w:r w:rsidR="00071D6D">
        <w:t>:</w:t>
      </w:r>
    </w:p>
    <w:p w14:paraId="4172A289" w14:textId="05CAE1AD" w:rsidR="007B4C44" w:rsidRPr="00132C1E" w:rsidRDefault="007B4C44" w:rsidP="0080187E">
      <w:pPr>
        <w:pStyle w:val="Text"/>
        <w:numPr>
          <w:ilvl w:val="0"/>
          <w:numId w:val="692"/>
        </w:numPr>
      </w:pPr>
      <w:r w:rsidRPr="00132C1E">
        <w:t>Inverted pendulum structures, in which 50</w:t>
      </w:r>
      <w:r w:rsidR="008A133F">
        <w:t> </w:t>
      </w:r>
      <w:r w:rsidRPr="00132C1E">
        <w:t>% or more of the mass is in the upper third of the height of the structure, or in which the dissipation of energy takes place mainly at the base of a single building member or at the bases of columns (see Figure 11.8).</w:t>
      </w:r>
    </w:p>
    <w:p w14:paraId="65D24858" w14:textId="4C9AF3C7" w:rsidR="007B4C44" w:rsidRDefault="007B4C44" w:rsidP="00724E4E">
      <w:pPr>
        <w:pStyle w:val="Clause"/>
      </w:pPr>
      <w:r w:rsidRPr="00835C82">
        <w:t>11.4.1(2)</w:t>
      </w:r>
      <w:r w:rsidRPr="00657A18">
        <w:rPr>
          <w:sz w:val="24"/>
        </w:rPr>
        <w:t xml:space="preserve">, </w:t>
      </w:r>
      <w:r w:rsidRPr="00835C82">
        <w:rPr>
          <w:sz w:val="24"/>
        </w:rPr>
        <w:t>11.4.1(3)</w:t>
      </w:r>
      <w:r w:rsidRPr="00132C1E">
        <w:rPr>
          <w:sz w:val="24"/>
        </w:rPr>
        <w:t xml:space="preserve">, </w:t>
      </w:r>
      <w:r w:rsidRPr="00835C82">
        <w:rPr>
          <w:sz w:val="24"/>
        </w:rPr>
        <w:t>11.10(1)</w:t>
      </w:r>
      <w:r w:rsidRPr="00132C1E">
        <w:rPr>
          <w:sz w:val="24"/>
        </w:rPr>
        <w:t xml:space="preserve"> and </w:t>
      </w:r>
      <w:r w:rsidRPr="00835C82">
        <w:rPr>
          <w:sz w:val="24"/>
        </w:rPr>
        <w:t>11.10.2(2)</w:t>
      </w:r>
      <w:r w:rsidRPr="00132C1E">
        <w:rPr>
          <w:sz w:val="24"/>
        </w:rPr>
        <w:t xml:space="preserve"> a) and b)</w:t>
      </w:r>
      <w:r w:rsidRPr="00132C1E">
        <w:t xml:space="preserve"> should be applied to aluminium buildings.</w:t>
      </w:r>
    </w:p>
    <w:p w14:paraId="4F2E4B5C" w14:textId="54237059" w:rsidR="007B4C44" w:rsidRPr="007264AF" w:rsidRDefault="007B4C44" w:rsidP="00724E4E">
      <w:pPr>
        <w:pStyle w:val="Clause"/>
      </w:pPr>
      <w:r w:rsidRPr="007264AF">
        <w:t xml:space="preserve">Structural </w:t>
      </w:r>
      <w:r w:rsidRPr="006F0C82">
        <w:t xml:space="preserve">systems which cannot be assigned to one of the structural types in (1) may be used; they should be designed for strength according to </w:t>
      </w:r>
      <w:r w:rsidRPr="00835C82">
        <w:t>15.7.3.</w:t>
      </w:r>
    </w:p>
    <w:p w14:paraId="3E0DD7C5" w14:textId="6C76EA3B" w:rsidR="007B4C44" w:rsidRPr="00657A18" w:rsidRDefault="007B4C44" w:rsidP="00657A18">
      <w:pPr>
        <w:pStyle w:val="Heading3"/>
      </w:pPr>
      <w:bookmarkStart w:id="10900" w:name="_Toc3399369"/>
      <w:bookmarkStart w:id="10901" w:name="_Toc50150656"/>
      <w:bookmarkStart w:id="10902" w:name="_Toc70887089"/>
      <w:bookmarkStart w:id="10903" w:name="_Toc108342672"/>
      <w:bookmarkStart w:id="10904" w:name="_Toc134198181"/>
      <w:r w:rsidRPr="00657A18">
        <w:t>Behaviour factors</w:t>
      </w:r>
      <w:bookmarkEnd w:id="10900"/>
      <w:bookmarkEnd w:id="10901"/>
      <w:bookmarkEnd w:id="10902"/>
      <w:bookmarkEnd w:id="10903"/>
      <w:bookmarkEnd w:id="10904"/>
    </w:p>
    <w:p w14:paraId="341B881E" w14:textId="4C4B4631" w:rsidR="007B4C44" w:rsidRPr="00132C1E" w:rsidRDefault="007B4C44" w:rsidP="0080187E">
      <w:pPr>
        <w:pStyle w:val="Clause"/>
        <w:numPr>
          <w:ilvl w:val="0"/>
          <w:numId w:val="526"/>
        </w:numPr>
      </w:pPr>
      <w:r w:rsidRPr="00132C1E">
        <w:t xml:space="preserve">The behaviour factor </w:t>
      </w:r>
      <w:r w:rsidRPr="00FB5B3D">
        <w:rPr>
          <w:i/>
        </w:rPr>
        <w:t>q</w:t>
      </w:r>
      <w:r w:rsidRPr="00132C1E">
        <w:t xml:space="preserve">, complying </w:t>
      </w:r>
      <w:r w:rsidRPr="00657A18">
        <w:t>with pr</w:t>
      </w:r>
      <w:r w:rsidR="00C30FF9">
        <w:t>EN 1</w:t>
      </w:r>
      <w:r w:rsidRPr="00657A18">
        <w:t xml:space="preserve">998-1-1:2022, </w:t>
      </w:r>
      <w:r w:rsidRPr="00835C82">
        <w:t>6.4.1</w:t>
      </w:r>
      <w:r w:rsidRPr="00657A18">
        <w:t xml:space="preserve">, should account for the deformation capacity, the energy dissipation capacity of the structure and the relevant sources of overstrength. For regular structural systems, where softening effects of Heat Affected Zones (HAZ) are not detrimental for their performance, the behaviour factor components </w:t>
      </w:r>
      <w:r w:rsidRPr="00FB5B3D">
        <w:rPr>
          <w:i/>
        </w:rPr>
        <w:t>q</w:t>
      </w:r>
      <w:r w:rsidRPr="00FB5B3D">
        <w:rPr>
          <w:iCs/>
          <w:vertAlign w:val="subscript"/>
        </w:rPr>
        <w:t>D</w:t>
      </w:r>
      <w:r w:rsidRPr="00657A18">
        <w:t xml:space="preserve"> and </w:t>
      </w:r>
      <w:r w:rsidRPr="00FB5B3D">
        <w:rPr>
          <w:i/>
        </w:rPr>
        <w:t>q</w:t>
      </w:r>
      <w:r w:rsidRPr="00FB5B3D">
        <w:rPr>
          <w:iCs/>
          <w:vertAlign w:val="subscript"/>
        </w:rPr>
        <w:t>R</w:t>
      </w:r>
      <w:r w:rsidRPr="00657A18">
        <w:t xml:space="preserve"> may be taken with default values given in Table 15.3, provided that </w:t>
      </w:r>
      <w:r w:rsidRPr="00835C82">
        <w:t>15.8</w:t>
      </w:r>
      <w:r w:rsidRPr="00657A18">
        <w:t xml:space="preserve"> to </w:t>
      </w:r>
      <w:r w:rsidRPr="00835C82">
        <w:t>15.14</w:t>
      </w:r>
      <w:r w:rsidRPr="00657A18">
        <w:t xml:space="preserve"> </w:t>
      </w:r>
      <w:r w:rsidRPr="00132C1E">
        <w:t xml:space="preserve">are </w:t>
      </w:r>
      <w:r>
        <w:t>satisfied</w:t>
      </w:r>
      <w:r w:rsidRPr="00132C1E">
        <w:t>.</w:t>
      </w:r>
    </w:p>
    <w:p w14:paraId="1F41C1CA" w14:textId="0752DF15" w:rsidR="007B4C44" w:rsidRPr="007E6F67" w:rsidRDefault="007B4C44" w:rsidP="00657A18">
      <w:pPr>
        <w:pStyle w:val="Tabletitle"/>
        <w:rPr>
          <w:sz w:val="20"/>
        </w:rPr>
      </w:pPr>
      <w:bookmarkStart w:id="10905" w:name="_Ref32157694"/>
      <w:r w:rsidRPr="00132C1E">
        <w:t xml:space="preserve">Table </w:t>
      </w:r>
      <w:r w:rsidR="00071D6D">
        <w:t>15.3</w:t>
      </w:r>
      <w:bookmarkEnd w:id="10905"/>
      <w:r w:rsidRPr="00132C1E">
        <w:t> —</w:t>
      </w:r>
      <w:r w:rsidRPr="00D1484A">
        <w:t> Default values of behaviour factors for aluminium building regular in elevation</w:t>
      </w:r>
    </w:p>
    <w:tbl>
      <w:tblPr>
        <w:tblW w:w="6961" w:type="dxa"/>
        <w:jc w:val="center"/>
        <w:tblCellMar>
          <w:left w:w="70" w:type="dxa"/>
          <w:right w:w="70" w:type="dxa"/>
        </w:tblCellMar>
        <w:tblLook w:val="04A0" w:firstRow="1" w:lastRow="0" w:firstColumn="1" w:lastColumn="0" w:noHBand="0" w:noVBand="1"/>
      </w:tblPr>
      <w:tblGrid>
        <w:gridCol w:w="4537"/>
        <w:gridCol w:w="849"/>
        <w:gridCol w:w="753"/>
        <w:gridCol w:w="822"/>
      </w:tblGrid>
      <w:tr w:rsidR="007B4C44" w:rsidRPr="00132C1E" w14:paraId="36FD0A22" w14:textId="77777777" w:rsidTr="00B94E1F">
        <w:trPr>
          <w:trHeight w:val="300"/>
          <w:jc w:val="center"/>
        </w:trPr>
        <w:tc>
          <w:tcPr>
            <w:tcW w:w="4537" w:type="dxa"/>
            <w:tcBorders>
              <w:top w:val="single" w:sz="8" w:space="0" w:color="auto"/>
              <w:left w:val="single" w:sz="8" w:space="0" w:color="auto"/>
              <w:bottom w:val="single" w:sz="8" w:space="0" w:color="auto"/>
              <w:right w:val="single" w:sz="8" w:space="0" w:color="000000"/>
            </w:tcBorders>
            <w:shd w:val="clear" w:color="auto" w:fill="auto"/>
            <w:tcMar>
              <w:left w:w="0" w:type="dxa"/>
              <w:right w:w="0" w:type="dxa"/>
            </w:tcMar>
            <w:vAlign w:val="center"/>
          </w:tcPr>
          <w:p w14:paraId="38B42286" w14:textId="77777777" w:rsidR="007B4C44" w:rsidRPr="007E6F67" w:rsidRDefault="007B4C44" w:rsidP="00071D6D">
            <w:pPr>
              <w:pStyle w:val="Tablebody"/>
            </w:pPr>
          </w:p>
        </w:tc>
        <w:tc>
          <w:tcPr>
            <w:tcW w:w="2424" w:type="dxa"/>
            <w:gridSpan w:val="3"/>
            <w:tcBorders>
              <w:top w:val="single" w:sz="8" w:space="0" w:color="auto"/>
              <w:left w:val="nil"/>
              <w:bottom w:val="single" w:sz="8" w:space="0" w:color="auto"/>
              <w:right w:val="single" w:sz="8" w:space="0" w:color="auto"/>
            </w:tcBorders>
            <w:shd w:val="clear" w:color="auto" w:fill="auto"/>
            <w:tcMar>
              <w:left w:w="0" w:type="dxa"/>
              <w:right w:w="0" w:type="dxa"/>
            </w:tcMar>
            <w:vAlign w:val="center"/>
          </w:tcPr>
          <w:p w14:paraId="719D34BC" w14:textId="77777777" w:rsidR="007B4C44" w:rsidRPr="00071D6D" w:rsidRDefault="007B4C44" w:rsidP="00071D6D">
            <w:pPr>
              <w:pStyle w:val="Tablebody"/>
              <w:jc w:val="center"/>
              <w:rPr>
                <w:b/>
                <w:bCs/>
              </w:rPr>
            </w:pPr>
            <w:r w:rsidRPr="00071D6D">
              <w:rPr>
                <w:b/>
                <w:bCs/>
              </w:rPr>
              <w:t>Ductility Class</w:t>
            </w:r>
          </w:p>
        </w:tc>
      </w:tr>
      <w:tr w:rsidR="007B4C44" w:rsidRPr="00132C1E" w14:paraId="7BB8C0A5" w14:textId="77777777" w:rsidTr="00B94E1F">
        <w:trPr>
          <w:trHeight w:val="300"/>
          <w:jc w:val="center"/>
        </w:trPr>
        <w:tc>
          <w:tcPr>
            <w:tcW w:w="4537" w:type="dxa"/>
            <w:tcBorders>
              <w:top w:val="single" w:sz="8" w:space="0" w:color="auto"/>
              <w:left w:val="single" w:sz="8" w:space="0" w:color="auto"/>
              <w:bottom w:val="single" w:sz="8" w:space="0" w:color="auto"/>
              <w:right w:val="single" w:sz="8" w:space="0" w:color="000000"/>
            </w:tcBorders>
            <w:shd w:val="clear" w:color="auto" w:fill="auto"/>
            <w:tcMar>
              <w:left w:w="0" w:type="dxa"/>
              <w:right w:w="0" w:type="dxa"/>
            </w:tcMar>
            <w:vAlign w:val="center"/>
          </w:tcPr>
          <w:p w14:paraId="247A7B51" w14:textId="12D84EFE" w:rsidR="007B4C44" w:rsidRPr="00071D6D" w:rsidRDefault="007B4C44" w:rsidP="00071D6D">
            <w:pPr>
              <w:pStyle w:val="Tablebody"/>
              <w:jc w:val="center"/>
              <w:rPr>
                <w:b/>
                <w:bCs/>
              </w:rPr>
            </w:pPr>
            <w:r w:rsidRPr="00071D6D">
              <w:rPr>
                <w:b/>
                <w:bCs/>
              </w:rPr>
              <w:t>S</w:t>
            </w:r>
            <w:r w:rsidR="00071D6D" w:rsidRPr="00071D6D">
              <w:rPr>
                <w:b/>
                <w:bCs/>
              </w:rPr>
              <w:t>tructural Type</w:t>
            </w:r>
          </w:p>
        </w:tc>
        <w:tc>
          <w:tcPr>
            <w:tcW w:w="2424" w:type="dxa"/>
            <w:gridSpan w:val="3"/>
            <w:tcBorders>
              <w:top w:val="nil"/>
              <w:left w:val="nil"/>
              <w:bottom w:val="single" w:sz="8" w:space="0" w:color="auto"/>
              <w:right w:val="single" w:sz="8" w:space="0" w:color="auto"/>
            </w:tcBorders>
            <w:shd w:val="clear" w:color="auto" w:fill="auto"/>
            <w:tcMar>
              <w:left w:w="0" w:type="dxa"/>
              <w:right w:w="0" w:type="dxa"/>
            </w:tcMar>
            <w:vAlign w:val="center"/>
          </w:tcPr>
          <w:p w14:paraId="09D9986A" w14:textId="77777777" w:rsidR="007B4C44" w:rsidRPr="00071D6D" w:rsidRDefault="007B4C44" w:rsidP="00071D6D">
            <w:pPr>
              <w:pStyle w:val="Tablebody"/>
              <w:jc w:val="center"/>
              <w:rPr>
                <w:b/>
                <w:bCs/>
              </w:rPr>
            </w:pPr>
            <w:r w:rsidRPr="00071D6D">
              <w:rPr>
                <w:b/>
                <w:bCs/>
              </w:rPr>
              <w:t>DC2</w:t>
            </w:r>
          </w:p>
        </w:tc>
      </w:tr>
      <w:tr w:rsidR="007B4C44" w:rsidRPr="00132C1E" w14:paraId="332B9BFF" w14:textId="77777777" w:rsidTr="00B94E1F">
        <w:trPr>
          <w:trHeight w:val="300"/>
          <w:jc w:val="center"/>
        </w:trPr>
        <w:tc>
          <w:tcPr>
            <w:tcW w:w="4537" w:type="dxa"/>
            <w:tcBorders>
              <w:top w:val="single" w:sz="8" w:space="0" w:color="auto"/>
              <w:left w:val="single" w:sz="8" w:space="0" w:color="auto"/>
              <w:bottom w:val="single" w:sz="8" w:space="0" w:color="auto"/>
              <w:right w:val="single" w:sz="8" w:space="0" w:color="000000"/>
            </w:tcBorders>
            <w:shd w:val="clear" w:color="auto" w:fill="auto"/>
            <w:tcMar>
              <w:left w:w="0" w:type="dxa"/>
              <w:right w:w="0" w:type="dxa"/>
            </w:tcMar>
            <w:vAlign w:val="center"/>
            <w:hideMark/>
          </w:tcPr>
          <w:p w14:paraId="79C3653C" w14:textId="77777777" w:rsidR="007B4C44" w:rsidRPr="00D1484A" w:rsidRDefault="007B4C44" w:rsidP="00071D6D">
            <w:pPr>
              <w:pStyle w:val="Tablebody"/>
            </w:pPr>
            <w:r w:rsidRPr="00132C1E">
              <w:t> </w:t>
            </w:r>
          </w:p>
        </w:tc>
        <w:tc>
          <w:tcPr>
            <w:tcW w:w="849" w:type="dxa"/>
            <w:tcBorders>
              <w:top w:val="nil"/>
              <w:left w:val="nil"/>
              <w:bottom w:val="single" w:sz="8" w:space="0" w:color="auto"/>
              <w:right w:val="single" w:sz="8" w:space="0" w:color="auto"/>
            </w:tcBorders>
            <w:shd w:val="clear" w:color="auto" w:fill="auto"/>
            <w:tcMar>
              <w:left w:w="0" w:type="dxa"/>
              <w:right w:w="0" w:type="dxa"/>
            </w:tcMar>
            <w:vAlign w:val="center"/>
            <w:hideMark/>
          </w:tcPr>
          <w:p w14:paraId="580FB332" w14:textId="77777777" w:rsidR="007B4C44" w:rsidRPr="00071D6D" w:rsidRDefault="007B4C44" w:rsidP="00071D6D">
            <w:pPr>
              <w:pStyle w:val="Tablebody"/>
              <w:jc w:val="center"/>
              <w:rPr>
                <w:b/>
                <w:bCs/>
              </w:rPr>
            </w:pPr>
            <w:r w:rsidRPr="00071D6D">
              <w:rPr>
                <w:b/>
                <w:bCs/>
                <w:i/>
                <w:iCs/>
              </w:rPr>
              <w:t>q</w:t>
            </w:r>
            <w:r w:rsidRPr="00071D6D">
              <w:rPr>
                <w:b/>
                <w:bCs/>
                <w:vertAlign w:val="subscript"/>
              </w:rPr>
              <w:t>D</w:t>
            </w:r>
          </w:p>
        </w:tc>
        <w:tc>
          <w:tcPr>
            <w:tcW w:w="753" w:type="dxa"/>
            <w:tcBorders>
              <w:top w:val="nil"/>
              <w:left w:val="nil"/>
              <w:bottom w:val="single" w:sz="8" w:space="0" w:color="auto"/>
              <w:right w:val="single" w:sz="8" w:space="0" w:color="auto"/>
            </w:tcBorders>
            <w:shd w:val="clear" w:color="auto" w:fill="auto"/>
            <w:tcMar>
              <w:left w:w="0" w:type="dxa"/>
              <w:right w:w="0" w:type="dxa"/>
            </w:tcMar>
            <w:vAlign w:val="center"/>
            <w:hideMark/>
          </w:tcPr>
          <w:p w14:paraId="6D5A5D81" w14:textId="77777777" w:rsidR="007B4C44" w:rsidRPr="00071D6D" w:rsidRDefault="007B4C44" w:rsidP="00071D6D">
            <w:pPr>
              <w:pStyle w:val="Tablebody"/>
              <w:jc w:val="center"/>
              <w:rPr>
                <w:b/>
                <w:bCs/>
              </w:rPr>
            </w:pPr>
            <w:r w:rsidRPr="00071D6D">
              <w:rPr>
                <w:b/>
                <w:bCs/>
                <w:i/>
                <w:iCs/>
              </w:rPr>
              <w:t>q</w:t>
            </w:r>
            <w:r w:rsidRPr="00071D6D">
              <w:rPr>
                <w:b/>
                <w:bCs/>
                <w:vertAlign w:val="subscript"/>
              </w:rPr>
              <w:t>R</w:t>
            </w:r>
          </w:p>
        </w:tc>
        <w:tc>
          <w:tcPr>
            <w:tcW w:w="822" w:type="dxa"/>
            <w:tcBorders>
              <w:left w:val="nil"/>
              <w:bottom w:val="single" w:sz="8" w:space="0" w:color="auto"/>
              <w:right w:val="single" w:sz="8" w:space="0" w:color="auto"/>
            </w:tcBorders>
            <w:shd w:val="clear" w:color="auto" w:fill="auto"/>
            <w:tcMar>
              <w:left w:w="0" w:type="dxa"/>
              <w:right w:w="0" w:type="dxa"/>
            </w:tcMar>
            <w:vAlign w:val="center"/>
            <w:hideMark/>
          </w:tcPr>
          <w:p w14:paraId="3EC1FD9F" w14:textId="77777777" w:rsidR="007B4C44" w:rsidRPr="00071D6D" w:rsidRDefault="007B4C44" w:rsidP="00071D6D">
            <w:pPr>
              <w:pStyle w:val="Tablebody"/>
              <w:jc w:val="center"/>
              <w:rPr>
                <w:b/>
                <w:bCs/>
                <w:i/>
                <w:iCs/>
              </w:rPr>
            </w:pPr>
            <w:r w:rsidRPr="00071D6D">
              <w:rPr>
                <w:b/>
                <w:bCs/>
                <w:i/>
                <w:iCs/>
              </w:rPr>
              <w:t>q</w:t>
            </w:r>
          </w:p>
        </w:tc>
      </w:tr>
      <w:tr w:rsidR="007B4C44" w:rsidRPr="00132C1E" w14:paraId="12BE4AD7" w14:textId="77777777" w:rsidTr="00B94E1F">
        <w:trPr>
          <w:trHeight w:val="288"/>
          <w:jc w:val="center"/>
        </w:trPr>
        <w:tc>
          <w:tcPr>
            <w:tcW w:w="4537" w:type="dxa"/>
            <w:tcBorders>
              <w:top w:val="single" w:sz="8" w:space="0" w:color="auto"/>
              <w:left w:val="single" w:sz="8" w:space="0" w:color="auto"/>
              <w:bottom w:val="nil"/>
              <w:right w:val="single" w:sz="8" w:space="0" w:color="000000"/>
            </w:tcBorders>
            <w:shd w:val="clear" w:color="auto" w:fill="auto"/>
            <w:tcMar>
              <w:left w:w="0" w:type="dxa"/>
              <w:right w:w="0" w:type="dxa"/>
            </w:tcMar>
            <w:vAlign w:val="center"/>
            <w:hideMark/>
          </w:tcPr>
          <w:p w14:paraId="2B0C5A4F" w14:textId="77777777" w:rsidR="007B4C44" w:rsidRPr="00071D6D" w:rsidRDefault="007B4C44" w:rsidP="00071D6D">
            <w:pPr>
              <w:pStyle w:val="Tablebody"/>
              <w:rPr>
                <w:b/>
                <w:bCs/>
              </w:rPr>
            </w:pPr>
            <w:r w:rsidRPr="00071D6D">
              <w:rPr>
                <w:b/>
                <w:bCs/>
              </w:rPr>
              <w:t>Moment resisting frames (MRFs)</w:t>
            </w:r>
          </w:p>
        </w:tc>
        <w:tc>
          <w:tcPr>
            <w:tcW w:w="849" w:type="dxa"/>
            <w:tcBorders>
              <w:top w:val="nil"/>
              <w:left w:val="nil"/>
              <w:right w:val="single" w:sz="8" w:space="0" w:color="auto"/>
            </w:tcBorders>
            <w:shd w:val="clear" w:color="auto" w:fill="auto"/>
            <w:tcMar>
              <w:left w:w="0" w:type="dxa"/>
              <w:right w:w="0" w:type="dxa"/>
            </w:tcMar>
            <w:vAlign w:val="center"/>
          </w:tcPr>
          <w:p w14:paraId="13F145EB" w14:textId="77777777" w:rsidR="007B4C44" w:rsidRPr="007E6F67" w:rsidRDefault="007B4C44" w:rsidP="00071D6D">
            <w:pPr>
              <w:pStyle w:val="Tablebody"/>
            </w:pPr>
          </w:p>
        </w:tc>
        <w:tc>
          <w:tcPr>
            <w:tcW w:w="753" w:type="dxa"/>
            <w:tcBorders>
              <w:top w:val="nil"/>
              <w:left w:val="nil"/>
              <w:right w:val="single" w:sz="8" w:space="0" w:color="auto"/>
            </w:tcBorders>
            <w:shd w:val="clear" w:color="auto" w:fill="auto"/>
            <w:tcMar>
              <w:left w:w="0" w:type="dxa"/>
              <w:right w:w="0" w:type="dxa"/>
            </w:tcMar>
            <w:vAlign w:val="center"/>
          </w:tcPr>
          <w:p w14:paraId="2A140B35" w14:textId="77777777" w:rsidR="007B4C44" w:rsidRPr="00E05E29" w:rsidRDefault="007B4C44" w:rsidP="00071D6D">
            <w:pPr>
              <w:pStyle w:val="Tablebody"/>
            </w:pPr>
          </w:p>
        </w:tc>
        <w:tc>
          <w:tcPr>
            <w:tcW w:w="822" w:type="dxa"/>
            <w:tcBorders>
              <w:top w:val="nil"/>
              <w:left w:val="nil"/>
              <w:right w:val="single" w:sz="8" w:space="0" w:color="auto"/>
            </w:tcBorders>
            <w:shd w:val="clear" w:color="auto" w:fill="auto"/>
            <w:tcMar>
              <w:left w:w="0" w:type="dxa"/>
              <w:right w:w="0" w:type="dxa"/>
            </w:tcMar>
            <w:vAlign w:val="center"/>
          </w:tcPr>
          <w:p w14:paraId="5DFECAFE" w14:textId="77777777" w:rsidR="007B4C44" w:rsidRPr="00196951" w:rsidRDefault="007B4C44" w:rsidP="00071D6D">
            <w:pPr>
              <w:pStyle w:val="Tablebody"/>
            </w:pPr>
          </w:p>
        </w:tc>
      </w:tr>
      <w:tr w:rsidR="007B4C44" w:rsidRPr="00132C1E" w14:paraId="41594671" w14:textId="77777777" w:rsidTr="00B94E1F">
        <w:trPr>
          <w:trHeight w:val="288"/>
          <w:jc w:val="center"/>
        </w:trPr>
        <w:tc>
          <w:tcPr>
            <w:tcW w:w="4537" w:type="dxa"/>
            <w:tcBorders>
              <w:top w:val="nil"/>
              <w:left w:val="single" w:sz="8" w:space="0" w:color="auto"/>
              <w:bottom w:val="nil"/>
              <w:right w:val="single" w:sz="8" w:space="0" w:color="000000"/>
            </w:tcBorders>
            <w:shd w:val="clear" w:color="auto" w:fill="auto"/>
            <w:tcMar>
              <w:left w:w="0" w:type="dxa"/>
              <w:right w:w="0" w:type="dxa"/>
            </w:tcMar>
            <w:vAlign w:val="center"/>
            <w:hideMark/>
          </w:tcPr>
          <w:p w14:paraId="2949E868" w14:textId="77777777" w:rsidR="007B4C44" w:rsidRPr="00D1484A" w:rsidRDefault="007B4C44" w:rsidP="00071D6D">
            <w:pPr>
              <w:pStyle w:val="Tablebody"/>
            </w:pPr>
            <w:r w:rsidRPr="00132C1E">
              <w:t>Single-storey MRFs</w:t>
            </w:r>
          </w:p>
        </w:tc>
        <w:tc>
          <w:tcPr>
            <w:tcW w:w="849" w:type="dxa"/>
            <w:tcBorders>
              <w:left w:val="nil"/>
              <w:right w:val="single" w:sz="8" w:space="0" w:color="auto"/>
            </w:tcBorders>
            <w:shd w:val="clear" w:color="auto" w:fill="auto"/>
            <w:tcMar>
              <w:left w:w="0" w:type="dxa"/>
              <w:right w:w="0" w:type="dxa"/>
            </w:tcMar>
            <w:vAlign w:val="center"/>
            <w:hideMark/>
          </w:tcPr>
          <w:p w14:paraId="1365B081" w14:textId="77777777" w:rsidR="007B4C44" w:rsidRPr="007E6F67" w:rsidRDefault="007B4C44" w:rsidP="00071D6D">
            <w:pPr>
              <w:pStyle w:val="Tablebody"/>
            </w:pPr>
            <w:r w:rsidRPr="00D1484A">
              <w:t>1,5</w:t>
            </w:r>
          </w:p>
        </w:tc>
        <w:tc>
          <w:tcPr>
            <w:tcW w:w="753" w:type="dxa"/>
            <w:tcBorders>
              <w:left w:val="nil"/>
              <w:right w:val="single" w:sz="8" w:space="0" w:color="auto"/>
            </w:tcBorders>
            <w:shd w:val="clear" w:color="auto" w:fill="auto"/>
            <w:tcMar>
              <w:left w:w="0" w:type="dxa"/>
              <w:right w:w="0" w:type="dxa"/>
            </w:tcMar>
            <w:vAlign w:val="center"/>
            <w:hideMark/>
          </w:tcPr>
          <w:p w14:paraId="3F310CB8" w14:textId="77777777" w:rsidR="007B4C44" w:rsidRPr="00FD17CF" w:rsidRDefault="007B4C44" w:rsidP="00071D6D">
            <w:pPr>
              <w:pStyle w:val="Tablebody"/>
            </w:pPr>
            <w:r w:rsidRPr="007E6F67">
              <w:t>1,1</w:t>
            </w:r>
          </w:p>
        </w:tc>
        <w:tc>
          <w:tcPr>
            <w:tcW w:w="822" w:type="dxa"/>
            <w:tcBorders>
              <w:left w:val="nil"/>
              <w:right w:val="single" w:sz="8" w:space="0" w:color="auto"/>
            </w:tcBorders>
            <w:shd w:val="clear" w:color="auto" w:fill="auto"/>
            <w:tcMar>
              <w:left w:w="0" w:type="dxa"/>
              <w:right w:w="0" w:type="dxa"/>
            </w:tcMar>
            <w:vAlign w:val="center"/>
            <w:hideMark/>
          </w:tcPr>
          <w:p w14:paraId="57C1D019" w14:textId="77777777" w:rsidR="007B4C44" w:rsidRPr="00E05E29" w:rsidRDefault="007B4C44" w:rsidP="00071D6D">
            <w:pPr>
              <w:pStyle w:val="Tablebody"/>
            </w:pPr>
            <w:r w:rsidRPr="00E05E29">
              <w:t>2,5</w:t>
            </w:r>
          </w:p>
        </w:tc>
      </w:tr>
      <w:tr w:rsidR="007B4C44" w:rsidRPr="00132C1E" w14:paraId="00BF20A1" w14:textId="77777777" w:rsidTr="00B94E1F">
        <w:trPr>
          <w:trHeight w:val="300"/>
          <w:jc w:val="center"/>
        </w:trPr>
        <w:tc>
          <w:tcPr>
            <w:tcW w:w="4537" w:type="dxa"/>
            <w:tcBorders>
              <w:top w:val="nil"/>
              <w:left w:val="single" w:sz="8" w:space="0" w:color="auto"/>
              <w:bottom w:val="single" w:sz="8" w:space="0" w:color="auto"/>
              <w:right w:val="single" w:sz="8" w:space="0" w:color="000000"/>
            </w:tcBorders>
            <w:shd w:val="clear" w:color="auto" w:fill="auto"/>
            <w:tcMar>
              <w:left w:w="0" w:type="dxa"/>
              <w:right w:w="0" w:type="dxa"/>
            </w:tcMar>
            <w:vAlign w:val="center"/>
            <w:hideMark/>
          </w:tcPr>
          <w:p w14:paraId="18F04474" w14:textId="77777777" w:rsidR="007B4C44" w:rsidRPr="00D1484A" w:rsidRDefault="007B4C44" w:rsidP="00071D6D">
            <w:pPr>
              <w:pStyle w:val="Tablebody"/>
            </w:pPr>
            <w:r w:rsidRPr="00132C1E">
              <w:t>Multi-storey MRFs</w:t>
            </w:r>
          </w:p>
        </w:tc>
        <w:tc>
          <w:tcPr>
            <w:tcW w:w="849" w:type="dxa"/>
            <w:tcBorders>
              <w:left w:val="nil"/>
              <w:bottom w:val="single" w:sz="8" w:space="0" w:color="auto"/>
              <w:right w:val="single" w:sz="8" w:space="0" w:color="auto"/>
            </w:tcBorders>
            <w:shd w:val="clear" w:color="auto" w:fill="auto"/>
            <w:tcMar>
              <w:left w:w="0" w:type="dxa"/>
              <w:right w:w="0" w:type="dxa"/>
            </w:tcMar>
            <w:vAlign w:val="center"/>
            <w:hideMark/>
          </w:tcPr>
          <w:p w14:paraId="547EE317" w14:textId="77777777" w:rsidR="007B4C44" w:rsidRPr="007E6F67" w:rsidRDefault="007B4C44" w:rsidP="00071D6D">
            <w:pPr>
              <w:pStyle w:val="Tablebody"/>
            </w:pPr>
            <w:r w:rsidRPr="00D1484A">
              <w:t>1,5</w:t>
            </w:r>
          </w:p>
        </w:tc>
        <w:tc>
          <w:tcPr>
            <w:tcW w:w="753" w:type="dxa"/>
            <w:tcBorders>
              <w:left w:val="nil"/>
              <w:bottom w:val="single" w:sz="8" w:space="0" w:color="auto"/>
              <w:right w:val="single" w:sz="8" w:space="0" w:color="auto"/>
            </w:tcBorders>
            <w:shd w:val="clear" w:color="auto" w:fill="auto"/>
            <w:tcMar>
              <w:left w:w="0" w:type="dxa"/>
              <w:right w:w="0" w:type="dxa"/>
            </w:tcMar>
            <w:vAlign w:val="center"/>
            <w:hideMark/>
          </w:tcPr>
          <w:p w14:paraId="22DAD81A" w14:textId="77777777" w:rsidR="007B4C44" w:rsidRPr="00FD17CF" w:rsidRDefault="007B4C44" w:rsidP="00071D6D">
            <w:pPr>
              <w:pStyle w:val="Tablebody"/>
            </w:pPr>
            <w:r w:rsidRPr="007E6F67">
              <w:t>1,3</w:t>
            </w:r>
          </w:p>
        </w:tc>
        <w:tc>
          <w:tcPr>
            <w:tcW w:w="822" w:type="dxa"/>
            <w:tcBorders>
              <w:left w:val="nil"/>
              <w:bottom w:val="single" w:sz="8" w:space="0" w:color="auto"/>
              <w:right w:val="single" w:sz="8" w:space="0" w:color="auto"/>
            </w:tcBorders>
            <w:shd w:val="clear" w:color="auto" w:fill="auto"/>
            <w:tcMar>
              <w:left w:w="0" w:type="dxa"/>
              <w:right w:w="0" w:type="dxa"/>
            </w:tcMar>
            <w:vAlign w:val="center"/>
            <w:hideMark/>
          </w:tcPr>
          <w:p w14:paraId="40A122C1" w14:textId="77777777" w:rsidR="007B4C44" w:rsidRPr="00E05E29" w:rsidRDefault="007B4C44" w:rsidP="00071D6D">
            <w:pPr>
              <w:pStyle w:val="Tablebody"/>
            </w:pPr>
            <w:r w:rsidRPr="00E05E29">
              <w:t>3,0</w:t>
            </w:r>
          </w:p>
        </w:tc>
      </w:tr>
      <w:tr w:rsidR="007B4C44" w:rsidRPr="00132C1E" w14:paraId="09497455" w14:textId="77777777" w:rsidTr="00B94E1F">
        <w:trPr>
          <w:trHeight w:val="288"/>
          <w:jc w:val="center"/>
        </w:trPr>
        <w:tc>
          <w:tcPr>
            <w:tcW w:w="4537" w:type="dxa"/>
            <w:tcBorders>
              <w:top w:val="single" w:sz="8" w:space="0" w:color="auto"/>
              <w:left w:val="single" w:sz="8" w:space="0" w:color="auto"/>
              <w:bottom w:val="nil"/>
              <w:right w:val="single" w:sz="8" w:space="0" w:color="000000"/>
            </w:tcBorders>
            <w:shd w:val="clear" w:color="auto" w:fill="auto"/>
            <w:tcMar>
              <w:left w:w="0" w:type="dxa"/>
              <w:right w:w="0" w:type="dxa"/>
            </w:tcMar>
            <w:vAlign w:val="center"/>
            <w:hideMark/>
          </w:tcPr>
          <w:p w14:paraId="3F538426" w14:textId="77777777" w:rsidR="007B4C44" w:rsidRPr="00B94E1F" w:rsidRDefault="007B4C44" w:rsidP="00071D6D">
            <w:pPr>
              <w:pStyle w:val="Tablebody"/>
              <w:rPr>
                <w:b/>
                <w:bCs/>
              </w:rPr>
            </w:pPr>
            <w:r w:rsidRPr="00B94E1F">
              <w:rPr>
                <w:b/>
                <w:bCs/>
              </w:rPr>
              <w:t>Frames with concentric bracings</w:t>
            </w:r>
          </w:p>
        </w:tc>
        <w:tc>
          <w:tcPr>
            <w:tcW w:w="849" w:type="dxa"/>
            <w:vMerge w:val="restart"/>
            <w:tcBorders>
              <w:top w:val="nil"/>
              <w:left w:val="single" w:sz="8" w:space="0" w:color="auto"/>
              <w:bottom w:val="single" w:sz="8" w:space="0" w:color="000000"/>
              <w:right w:val="single" w:sz="8" w:space="0" w:color="auto"/>
            </w:tcBorders>
            <w:shd w:val="clear" w:color="auto" w:fill="auto"/>
            <w:tcMar>
              <w:left w:w="0" w:type="dxa"/>
              <w:right w:w="0" w:type="dxa"/>
            </w:tcMar>
            <w:vAlign w:val="center"/>
            <w:hideMark/>
          </w:tcPr>
          <w:p w14:paraId="02018079" w14:textId="77777777" w:rsidR="007B4C44" w:rsidRPr="007E6F67" w:rsidRDefault="007B4C44" w:rsidP="00071D6D">
            <w:pPr>
              <w:pStyle w:val="Tablebody"/>
            </w:pPr>
            <w:r w:rsidRPr="00D1484A">
              <w:t>1,5</w:t>
            </w:r>
          </w:p>
        </w:tc>
        <w:tc>
          <w:tcPr>
            <w:tcW w:w="753" w:type="dxa"/>
            <w:vMerge w:val="restart"/>
            <w:tcBorders>
              <w:top w:val="nil"/>
              <w:left w:val="single" w:sz="8" w:space="0" w:color="auto"/>
              <w:bottom w:val="single" w:sz="8" w:space="0" w:color="000000"/>
              <w:right w:val="single" w:sz="8" w:space="0" w:color="auto"/>
            </w:tcBorders>
            <w:shd w:val="clear" w:color="auto" w:fill="auto"/>
            <w:tcMar>
              <w:left w:w="0" w:type="dxa"/>
              <w:right w:w="0" w:type="dxa"/>
            </w:tcMar>
            <w:vAlign w:val="center"/>
            <w:hideMark/>
          </w:tcPr>
          <w:p w14:paraId="0EAA58A8" w14:textId="77777777" w:rsidR="007B4C44" w:rsidRPr="00FD17CF" w:rsidRDefault="007B4C44" w:rsidP="00071D6D">
            <w:pPr>
              <w:pStyle w:val="Tablebody"/>
            </w:pPr>
            <w:r w:rsidRPr="007E6F67">
              <w:t>1,0</w:t>
            </w:r>
          </w:p>
        </w:tc>
        <w:tc>
          <w:tcPr>
            <w:tcW w:w="822" w:type="dxa"/>
            <w:vMerge w:val="restart"/>
            <w:tcBorders>
              <w:top w:val="nil"/>
              <w:left w:val="single" w:sz="8" w:space="0" w:color="auto"/>
              <w:bottom w:val="single" w:sz="8" w:space="0" w:color="000000"/>
              <w:right w:val="single" w:sz="8" w:space="0" w:color="auto"/>
            </w:tcBorders>
            <w:shd w:val="clear" w:color="auto" w:fill="auto"/>
            <w:tcMar>
              <w:left w:w="0" w:type="dxa"/>
              <w:right w:w="0" w:type="dxa"/>
            </w:tcMar>
            <w:vAlign w:val="center"/>
            <w:hideMark/>
          </w:tcPr>
          <w:p w14:paraId="3817EF70" w14:textId="77777777" w:rsidR="007B4C44" w:rsidRPr="00E05E29" w:rsidRDefault="007B4C44" w:rsidP="00071D6D">
            <w:pPr>
              <w:pStyle w:val="Tablebody"/>
            </w:pPr>
            <w:r w:rsidRPr="00E05E29">
              <w:t>2,3</w:t>
            </w:r>
          </w:p>
        </w:tc>
      </w:tr>
      <w:tr w:rsidR="007B4C44" w:rsidRPr="00132C1E" w14:paraId="0B0AB87C" w14:textId="77777777" w:rsidTr="00B94E1F">
        <w:trPr>
          <w:trHeight w:val="288"/>
          <w:jc w:val="center"/>
        </w:trPr>
        <w:tc>
          <w:tcPr>
            <w:tcW w:w="4537" w:type="dxa"/>
            <w:tcBorders>
              <w:top w:val="nil"/>
              <w:left w:val="single" w:sz="8" w:space="0" w:color="auto"/>
              <w:bottom w:val="nil"/>
              <w:right w:val="single" w:sz="8" w:space="0" w:color="000000"/>
            </w:tcBorders>
            <w:shd w:val="clear" w:color="auto" w:fill="auto"/>
            <w:tcMar>
              <w:left w:w="0" w:type="dxa"/>
              <w:right w:w="0" w:type="dxa"/>
            </w:tcMar>
            <w:vAlign w:val="center"/>
            <w:hideMark/>
          </w:tcPr>
          <w:p w14:paraId="62008FC8" w14:textId="77777777" w:rsidR="007B4C44" w:rsidRPr="00D1484A" w:rsidRDefault="007B4C44" w:rsidP="00071D6D">
            <w:pPr>
              <w:pStyle w:val="Tablebody"/>
            </w:pPr>
            <w:r w:rsidRPr="00132C1E">
              <w:t>Diagonal bracings</w:t>
            </w:r>
          </w:p>
        </w:tc>
        <w:tc>
          <w:tcPr>
            <w:tcW w:w="849" w:type="dxa"/>
            <w:vMerge/>
            <w:tcBorders>
              <w:top w:val="nil"/>
              <w:left w:val="single" w:sz="8" w:space="0" w:color="auto"/>
              <w:bottom w:val="single" w:sz="8" w:space="0" w:color="000000"/>
              <w:right w:val="single" w:sz="8" w:space="0" w:color="auto"/>
            </w:tcBorders>
            <w:tcMar>
              <w:left w:w="0" w:type="dxa"/>
              <w:right w:w="0" w:type="dxa"/>
            </w:tcMar>
            <w:vAlign w:val="center"/>
            <w:hideMark/>
          </w:tcPr>
          <w:p w14:paraId="4A98E09E" w14:textId="77777777" w:rsidR="007B4C44" w:rsidRPr="00132C1E" w:rsidRDefault="007B4C44" w:rsidP="00071D6D">
            <w:pPr>
              <w:pStyle w:val="Tablebody"/>
            </w:pPr>
          </w:p>
        </w:tc>
        <w:tc>
          <w:tcPr>
            <w:tcW w:w="753" w:type="dxa"/>
            <w:vMerge/>
            <w:tcBorders>
              <w:top w:val="nil"/>
              <w:left w:val="single" w:sz="8" w:space="0" w:color="auto"/>
              <w:bottom w:val="single" w:sz="8" w:space="0" w:color="000000"/>
              <w:right w:val="single" w:sz="8" w:space="0" w:color="auto"/>
            </w:tcBorders>
            <w:tcMar>
              <w:left w:w="0" w:type="dxa"/>
              <w:right w:w="0" w:type="dxa"/>
            </w:tcMar>
            <w:vAlign w:val="center"/>
            <w:hideMark/>
          </w:tcPr>
          <w:p w14:paraId="65EDFBFE" w14:textId="77777777" w:rsidR="007B4C44" w:rsidRPr="00132C1E" w:rsidRDefault="007B4C44" w:rsidP="00071D6D">
            <w:pPr>
              <w:pStyle w:val="Tablebody"/>
            </w:pPr>
          </w:p>
        </w:tc>
        <w:tc>
          <w:tcPr>
            <w:tcW w:w="822" w:type="dxa"/>
            <w:vMerge/>
            <w:tcBorders>
              <w:top w:val="nil"/>
              <w:left w:val="single" w:sz="8" w:space="0" w:color="auto"/>
              <w:bottom w:val="single" w:sz="8" w:space="0" w:color="000000"/>
              <w:right w:val="single" w:sz="8" w:space="0" w:color="auto"/>
            </w:tcBorders>
            <w:tcMar>
              <w:left w:w="0" w:type="dxa"/>
              <w:right w:w="0" w:type="dxa"/>
            </w:tcMar>
            <w:vAlign w:val="center"/>
            <w:hideMark/>
          </w:tcPr>
          <w:p w14:paraId="75E91D01" w14:textId="77777777" w:rsidR="007B4C44" w:rsidRPr="00132C1E" w:rsidRDefault="007B4C44" w:rsidP="00071D6D">
            <w:pPr>
              <w:pStyle w:val="Tablebody"/>
            </w:pPr>
          </w:p>
        </w:tc>
      </w:tr>
      <w:tr w:rsidR="007B4C44" w:rsidRPr="00132C1E" w14:paraId="498AA2B8" w14:textId="77777777" w:rsidTr="00B94E1F">
        <w:trPr>
          <w:trHeight w:val="288"/>
          <w:jc w:val="center"/>
        </w:trPr>
        <w:tc>
          <w:tcPr>
            <w:tcW w:w="4537" w:type="dxa"/>
            <w:tcBorders>
              <w:top w:val="nil"/>
              <w:left w:val="single" w:sz="8" w:space="0" w:color="auto"/>
              <w:bottom w:val="nil"/>
              <w:right w:val="single" w:sz="8" w:space="0" w:color="000000"/>
            </w:tcBorders>
            <w:shd w:val="clear" w:color="auto" w:fill="auto"/>
            <w:tcMar>
              <w:left w:w="0" w:type="dxa"/>
              <w:right w:w="0" w:type="dxa"/>
            </w:tcMar>
            <w:vAlign w:val="center"/>
            <w:hideMark/>
          </w:tcPr>
          <w:p w14:paraId="3554301C" w14:textId="77777777" w:rsidR="007B4C44" w:rsidRPr="00D1484A" w:rsidRDefault="007B4C44" w:rsidP="00071D6D">
            <w:pPr>
              <w:pStyle w:val="Tablebody"/>
            </w:pPr>
            <w:r w:rsidRPr="00132C1E">
              <w:t>V-bracings</w:t>
            </w:r>
          </w:p>
        </w:tc>
        <w:tc>
          <w:tcPr>
            <w:tcW w:w="849" w:type="dxa"/>
            <w:vMerge/>
            <w:tcBorders>
              <w:top w:val="nil"/>
              <w:left w:val="single" w:sz="8" w:space="0" w:color="auto"/>
              <w:bottom w:val="single" w:sz="8" w:space="0" w:color="000000"/>
              <w:right w:val="single" w:sz="8" w:space="0" w:color="auto"/>
            </w:tcBorders>
            <w:tcMar>
              <w:left w:w="0" w:type="dxa"/>
              <w:right w:w="0" w:type="dxa"/>
            </w:tcMar>
            <w:vAlign w:val="center"/>
            <w:hideMark/>
          </w:tcPr>
          <w:p w14:paraId="79C66B73" w14:textId="77777777" w:rsidR="007B4C44" w:rsidRPr="00132C1E" w:rsidRDefault="007B4C44" w:rsidP="00071D6D">
            <w:pPr>
              <w:pStyle w:val="Tablebody"/>
            </w:pPr>
          </w:p>
        </w:tc>
        <w:tc>
          <w:tcPr>
            <w:tcW w:w="753" w:type="dxa"/>
            <w:vMerge/>
            <w:tcBorders>
              <w:top w:val="nil"/>
              <w:left w:val="single" w:sz="8" w:space="0" w:color="auto"/>
              <w:bottom w:val="single" w:sz="8" w:space="0" w:color="000000"/>
              <w:right w:val="single" w:sz="8" w:space="0" w:color="auto"/>
            </w:tcBorders>
            <w:tcMar>
              <w:left w:w="0" w:type="dxa"/>
              <w:right w:w="0" w:type="dxa"/>
            </w:tcMar>
            <w:vAlign w:val="center"/>
            <w:hideMark/>
          </w:tcPr>
          <w:p w14:paraId="4C150D58" w14:textId="77777777" w:rsidR="007B4C44" w:rsidRPr="00132C1E" w:rsidRDefault="007B4C44" w:rsidP="00071D6D">
            <w:pPr>
              <w:pStyle w:val="Tablebody"/>
            </w:pPr>
          </w:p>
        </w:tc>
        <w:tc>
          <w:tcPr>
            <w:tcW w:w="822" w:type="dxa"/>
            <w:vMerge/>
            <w:tcBorders>
              <w:top w:val="nil"/>
              <w:left w:val="single" w:sz="8" w:space="0" w:color="auto"/>
              <w:bottom w:val="single" w:sz="8" w:space="0" w:color="000000"/>
              <w:right w:val="single" w:sz="8" w:space="0" w:color="auto"/>
            </w:tcBorders>
            <w:tcMar>
              <w:left w:w="0" w:type="dxa"/>
              <w:right w:w="0" w:type="dxa"/>
            </w:tcMar>
            <w:vAlign w:val="center"/>
            <w:hideMark/>
          </w:tcPr>
          <w:p w14:paraId="5EADB877" w14:textId="77777777" w:rsidR="007B4C44" w:rsidRPr="00132C1E" w:rsidRDefault="007B4C44" w:rsidP="00071D6D">
            <w:pPr>
              <w:pStyle w:val="Tablebody"/>
            </w:pPr>
          </w:p>
        </w:tc>
      </w:tr>
      <w:tr w:rsidR="007B4C44" w:rsidRPr="00D56DA5" w14:paraId="69718917" w14:textId="77777777" w:rsidTr="00B94E1F">
        <w:trPr>
          <w:trHeight w:val="300"/>
          <w:jc w:val="center"/>
        </w:trPr>
        <w:tc>
          <w:tcPr>
            <w:tcW w:w="4537" w:type="dxa"/>
            <w:tcBorders>
              <w:top w:val="nil"/>
              <w:left w:val="single" w:sz="8" w:space="0" w:color="auto"/>
              <w:bottom w:val="single" w:sz="4" w:space="0" w:color="auto"/>
              <w:right w:val="single" w:sz="8" w:space="0" w:color="000000"/>
            </w:tcBorders>
            <w:shd w:val="clear" w:color="auto" w:fill="auto"/>
            <w:tcMar>
              <w:left w:w="0" w:type="dxa"/>
              <w:right w:w="0" w:type="dxa"/>
            </w:tcMar>
            <w:vAlign w:val="center"/>
            <w:hideMark/>
          </w:tcPr>
          <w:p w14:paraId="66913F7D" w14:textId="77777777" w:rsidR="007B4C44" w:rsidRPr="00D1484A" w:rsidRDefault="007B4C44" w:rsidP="00071D6D">
            <w:pPr>
              <w:pStyle w:val="Tablebody"/>
            </w:pPr>
            <w:r w:rsidRPr="00132C1E">
              <w:t>X-bracings on either single or two-storey</w:t>
            </w:r>
          </w:p>
        </w:tc>
        <w:tc>
          <w:tcPr>
            <w:tcW w:w="849" w:type="dxa"/>
            <w:vMerge/>
            <w:tcBorders>
              <w:top w:val="nil"/>
              <w:left w:val="single" w:sz="8" w:space="0" w:color="auto"/>
              <w:bottom w:val="single" w:sz="4" w:space="0" w:color="auto"/>
              <w:right w:val="single" w:sz="8" w:space="0" w:color="auto"/>
            </w:tcBorders>
            <w:tcMar>
              <w:left w:w="0" w:type="dxa"/>
              <w:right w:w="0" w:type="dxa"/>
            </w:tcMar>
            <w:vAlign w:val="center"/>
            <w:hideMark/>
          </w:tcPr>
          <w:p w14:paraId="6D3D85A9" w14:textId="77777777" w:rsidR="007B4C44" w:rsidRPr="00132C1E" w:rsidRDefault="007B4C44" w:rsidP="00071D6D">
            <w:pPr>
              <w:pStyle w:val="Tablebody"/>
            </w:pPr>
          </w:p>
        </w:tc>
        <w:tc>
          <w:tcPr>
            <w:tcW w:w="753" w:type="dxa"/>
            <w:vMerge/>
            <w:tcBorders>
              <w:top w:val="nil"/>
              <w:left w:val="single" w:sz="8" w:space="0" w:color="auto"/>
              <w:bottom w:val="single" w:sz="4" w:space="0" w:color="auto"/>
              <w:right w:val="single" w:sz="8" w:space="0" w:color="auto"/>
            </w:tcBorders>
            <w:tcMar>
              <w:left w:w="0" w:type="dxa"/>
              <w:right w:w="0" w:type="dxa"/>
            </w:tcMar>
            <w:vAlign w:val="center"/>
            <w:hideMark/>
          </w:tcPr>
          <w:p w14:paraId="6C3D89C5" w14:textId="77777777" w:rsidR="007B4C44" w:rsidRPr="00132C1E" w:rsidRDefault="007B4C44" w:rsidP="00071D6D">
            <w:pPr>
              <w:pStyle w:val="Tablebody"/>
            </w:pPr>
          </w:p>
        </w:tc>
        <w:tc>
          <w:tcPr>
            <w:tcW w:w="822" w:type="dxa"/>
            <w:vMerge/>
            <w:tcBorders>
              <w:top w:val="nil"/>
              <w:left w:val="single" w:sz="8" w:space="0" w:color="auto"/>
              <w:bottom w:val="single" w:sz="4" w:space="0" w:color="auto"/>
              <w:right w:val="single" w:sz="8" w:space="0" w:color="auto"/>
            </w:tcBorders>
            <w:tcMar>
              <w:left w:w="0" w:type="dxa"/>
              <w:right w:w="0" w:type="dxa"/>
            </w:tcMar>
            <w:vAlign w:val="center"/>
            <w:hideMark/>
          </w:tcPr>
          <w:p w14:paraId="0FDB41A1" w14:textId="77777777" w:rsidR="007B4C44" w:rsidRPr="00132C1E" w:rsidRDefault="007B4C44" w:rsidP="00071D6D">
            <w:pPr>
              <w:pStyle w:val="Tablebody"/>
            </w:pPr>
          </w:p>
        </w:tc>
      </w:tr>
      <w:tr w:rsidR="007B4C44" w:rsidRPr="00132C1E" w14:paraId="59D9158C" w14:textId="77777777" w:rsidTr="00B94E1F">
        <w:trPr>
          <w:trHeight w:val="300"/>
          <w:jc w:val="center"/>
        </w:trPr>
        <w:tc>
          <w:tcPr>
            <w:tcW w:w="4537"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14:paraId="43A51BC2" w14:textId="77777777" w:rsidR="007B4C44" w:rsidRPr="00B94E1F" w:rsidRDefault="007B4C44" w:rsidP="00071D6D">
            <w:pPr>
              <w:pStyle w:val="Tablebody"/>
              <w:rPr>
                <w:b/>
                <w:bCs/>
              </w:rPr>
            </w:pPr>
            <w:r w:rsidRPr="00B94E1F">
              <w:rPr>
                <w:b/>
                <w:bCs/>
              </w:rPr>
              <w:t>Dual frames (MRFs with concentric bracing)</w:t>
            </w:r>
          </w:p>
        </w:tc>
        <w:tc>
          <w:tcPr>
            <w:tcW w:w="849"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14:paraId="3026CA9A" w14:textId="77777777" w:rsidR="007B4C44" w:rsidRPr="007E6F67" w:rsidRDefault="007B4C44" w:rsidP="00071D6D">
            <w:pPr>
              <w:pStyle w:val="Tablebody"/>
            </w:pPr>
            <w:r w:rsidRPr="00D1484A">
              <w:t>1,7</w:t>
            </w:r>
          </w:p>
        </w:tc>
        <w:tc>
          <w:tcPr>
            <w:tcW w:w="75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14:paraId="5B3749B7" w14:textId="77777777" w:rsidR="007B4C44" w:rsidRPr="00FD17CF" w:rsidRDefault="007B4C44" w:rsidP="00071D6D">
            <w:pPr>
              <w:pStyle w:val="Tablebody"/>
            </w:pPr>
            <w:r w:rsidRPr="007E6F67">
              <w:t>1,2</w:t>
            </w:r>
          </w:p>
        </w:tc>
        <w:tc>
          <w:tcPr>
            <w:tcW w:w="82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14:paraId="7313CE2A" w14:textId="77777777" w:rsidR="007B4C44" w:rsidRPr="00E05E29" w:rsidRDefault="007B4C44" w:rsidP="00071D6D">
            <w:pPr>
              <w:pStyle w:val="Tablebody"/>
            </w:pPr>
            <w:r w:rsidRPr="00E05E29">
              <w:t>3,0</w:t>
            </w:r>
          </w:p>
        </w:tc>
      </w:tr>
      <w:tr w:rsidR="007B4C44" w:rsidRPr="00132C1E" w14:paraId="1932BCC7" w14:textId="77777777" w:rsidTr="00B94E1F">
        <w:trPr>
          <w:trHeight w:val="300"/>
          <w:jc w:val="center"/>
        </w:trPr>
        <w:tc>
          <w:tcPr>
            <w:tcW w:w="4537" w:type="dxa"/>
            <w:tcBorders>
              <w:top w:val="single" w:sz="4" w:space="0" w:color="auto"/>
              <w:left w:val="single" w:sz="8" w:space="0" w:color="auto"/>
              <w:bottom w:val="single" w:sz="8" w:space="0" w:color="auto"/>
              <w:right w:val="single" w:sz="8" w:space="0" w:color="auto"/>
            </w:tcBorders>
            <w:shd w:val="clear" w:color="auto" w:fill="auto"/>
            <w:tcMar>
              <w:left w:w="0" w:type="dxa"/>
              <w:right w:w="0" w:type="dxa"/>
            </w:tcMar>
            <w:vAlign w:val="center"/>
          </w:tcPr>
          <w:p w14:paraId="781C7219" w14:textId="77777777" w:rsidR="007B4C44" w:rsidRPr="00B94E1F" w:rsidRDefault="007B4C44" w:rsidP="00071D6D">
            <w:pPr>
              <w:pStyle w:val="Tablebody"/>
              <w:rPr>
                <w:b/>
                <w:bCs/>
              </w:rPr>
            </w:pPr>
            <w:r w:rsidRPr="00B94E1F">
              <w:rPr>
                <w:b/>
                <w:bCs/>
              </w:rPr>
              <w:t>Inverted pendulum</w:t>
            </w:r>
          </w:p>
        </w:tc>
        <w:tc>
          <w:tcPr>
            <w:tcW w:w="849" w:type="dxa"/>
            <w:tcBorders>
              <w:top w:val="single" w:sz="4" w:space="0" w:color="auto"/>
              <w:left w:val="single" w:sz="8" w:space="0" w:color="auto"/>
              <w:bottom w:val="single" w:sz="8" w:space="0" w:color="auto"/>
              <w:right w:val="single" w:sz="8" w:space="0" w:color="auto"/>
            </w:tcBorders>
            <w:shd w:val="clear" w:color="auto" w:fill="auto"/>
            <w:tcMar>
              <w:left w:w="0" w:type="dxa"/>
              <w:right w:w="0" w:type="dxa"/>
            </w:tcMar>
            <w:vAlign w:val="center"/>
          </w:tcPr>
          <w:p w14:paraId="76522BE7" w14:textId="77777777" w:rsidR="007B4C44" w:rsidRPr="007E6F67" w:rsidRDefault="007B4C44" w:rsidP="00071D6D">
            <w:pPr>
              <w:pStyle w:val="Tablebody"/>
            </w:pPr>
            <w:r w:rsidRPr="00D1484A">
              <w:t>1,3</w:t>
            </w:r>
          </w:p>
        </w:tc>
        <w:tc>
          <w:tcPr>
            <w:tcW w:w="753" w:type="dxa"/>
            <w:tcBorders>
              <w:top w:val="single" w:sz="4" w:space="0" w:color="auto"/>
              <w:left w:val="single" w:sz="8" w:space="0" w:color="auto"/>
              <w:bottom w:val="single" w:sz="8" w:space="0" w:color="auto"/>
              <w:right w:val="single" w:sz="8" w:space="0" w:color="auto"/>
            </w:tcBorders>
            <w:shd w:val="clear" w:color="auto" w:fill="auto"/>
            <w:tcMar>
              <w:left w:w="0" w:type="dxa"/>
              <w:right w:w="0" w:type="dxa"/>
            </w:tcMar>
            <w:vAlign w:val="center"/>
          </w:tcPr>
          <w:p w14:paraId="496B42D1" w14:textId="77777777" w:rsidR="007B4C44" w:rsidRPr="00FD17CF" w:rsidRDefault="007B4C44" w:rsidP="00071D6D">
            <w:pPr>
              <w:pStyle w:val="Tablebody"/>
            </w:pPr>
            <w:r w:rsidRPr="007E6F67">
              <w:t>1,0</w:t>
            </w:r>
          </w:p>
        </w:tc>
        <w:tc>
          <w:tcPr>
            <w:tcW w:w="822" w:type="dxa"/>
            <w:tcBorders>
              <w:top w:val="single" w:sz="4" w:space="0" w:color="auto"/>
              <w:left w:val="single" w:sz="8" w:space="0" w:color="auto"/>
              <w:bottom w:val="single" w:sz="8" w:space="0" w:color="auto"/>
              <w:right w:val="single" w:sz="8" w:space="0" w:color="auto"/>
            </w:tcBorders>
            <w:shd w:val="clear" w:color="auto" w:fill="auto"/>
            <w:tcMar>
              <w:left w:w="0" w:type="dxa"/>
              <w:right w:w="0" w:type="dxa"/>
            </w:tcMar>
            <w:vAlign w:val="center"/>
          </w:tcPr>
          <w:p w14:paraId="32EF162E" w14:textId="77777777" w:rsidR="007B4C44" w:rsidRPr="00E05E29" w:rsidRDefault="007B4C44" w:rsidP="00071D6D">
            <w:pPr>
              <w:pStyle w:val="Tablebody"/>
            </w:pPr>
            <w:r w:rsidRPr="00E05E29">
              <w:t>2,0</w:t>
            </w:r>
          </w:p>
        </w:tc>
      </w:tr>
    </w:tbl>
    <w:p w14:paraId="4A80DE82" w14:textId="2C15BE28" w:rsidR="007B4C44" w:rsidRPr="00FD17CF" w:rsidRDefault="007B4C44" w:rsidP="00724E4E">
      <w:pPr>
        <w:pStyle w:val="Clause"/>
      </w:pPr>
      <w:r w:rsidRPr="00835C82">
        <w:t>11.4.2(2)</w:t>
      </w:r>
      <w:r w:rsidRPr="00D1484A">
        <w:t xml:space="preserve"> </w:t>
      </w:r>
      <w:r w:rsidRPr="007E6F67">
        <w:t>should be applie</w:t>
      </w:r>
      <w:r w:rsidRPr="00FD17CF">
        <w:t xml:space="preserve">d. </w:t>
      </w:r>
    </w:p>
    <w:p w14:paraId="4CE4EE41" w14:textId="24FC2314" w:rsidR="007B4C44" w:rsidRPr="00C52095" w:rsidRDefault="007B4C44" w:rsidP="00724E4E">
      <w:pPr>
        <w:pStyle w:val="Clause"/>
      </w:pPr>
      <w:r>
        <w:lastRenderedPageBreak/>
        <w:t>pr</w:t>
      </w:r>
      <w:r w:rsidR="00C30FF9">
        <w:t>EN 1</w:t>
      </w:r>
      <w:r>
        <w:t>998-1-1:2022</w:t>
      </w:r>
      <w:r w:rsidRPr="001B7AFB">
        <w:t xml:space="preserve">, </w:t>
      </w:r>
      <w:r w:rsidRPr="00835C82">
        <w:t>4.1(7)</w:t>
      </w:r>
      <w:r w:rsidRPr="001B7AFB">
        <w:t xml:space="preserve">, may be </w:t>
      </w:r>
      <w:r w:rsidRPr="008070E9">
        <w:t xml:space="preserve">used within the limitations given in </w:t>
      </w:r>
      <w:r w:rsidRPr="00835C82">
        <w:t>15.6.3(1)b)</w:t>
      </w:r>
      <w:r w:rsidRPr="008070E9">
        <w:t xml:space="preserve"> and </w:t>
      </w:r>
      <w:r w:rsidRPr="00835C82">
        <w:t>15.7.3</w:t>
      </w:r>
      <w:r w:rsidRPr="008070E9">
        <w:t>.</w:t>
      </w:r>
    </w:p>
    <w:p w14:paraId="059502F7" w14:textId="6B0D571E" w:rsidR="007B4C44" w:rsidRPr="00657A18" w:rsidRDefault="007B4C44" w:rsidP="00657A18">
      <w:pPr>
        <w:pStyle w:val="Heading3"/>
      </w:pPr>
      <w:bookmarkStart w:id="10906" w:name="_Toc50150657"/>
      <w:bookmarkStart w:id="10907" w:name="_Toc70887090"/>
      <w:bookmarkStart w:id="10908" w:name="_Toc108342673"/>
      <w:bookmarkStart w:id="10909" w:name="_Toc134198182"/>
      <w:bookmarkStart w:id="10910" w:name="_Toc3399370"/>
      <w:r w:rsidRPr="00657A18">
        <w:t>Limits of seismic action for design to DC1 and DC2</w:t>
      </w:r>
      <w:bookmarkEnd w:id="10906"/>
      <w:bookmarkEnd w:id="10907"/>
      <w:bookmarkEnd w:id="10908"/>
      <w:bookmarkEnd w:id="10909"/>
      <w:r w:rsidRPr="00657A18">
        <w:t xml:space="preserve"> </w:t>
      </w:r>
      <w:bookmarkEnd w:id="10910"/>
    </w:p>
    <w:p w14:paraId="409F7EEB" w14:textId="1516C1A9" w:rsidR="007B4C44" w:rsidRPr="00132C1E" w:rsidRDefault="007B4C44" w:rsidP="0080187E">
      <w:pPr>
        <w:pStyle w:val="Clause"/>
        <w:numPr>
          <w:ilvl w:val="0"/>
          <w:numId w:val="527"/>
        </w:numPr>
      </w:pPr>
      <w:r w:rsidRPr="007754C9">
        <w:t>For each structural type, design to a given Ductility Class should not b</w:t>
      </w:r>
      <w:r w:rsidRPr="00132C1E">
        <w:t xml:space="preserve">e made above levels of seismic action index </w:t>
      </w:r>
      <w:r w:rsidRPr="00FB5B3D">
        <w:rPr>
          <w:i/>
        </w:rPr>
        <w:t>S</w:t>
      </w:r>
      <w:r w:rsidRPr="00FB5B3D">
        <w:rPr>
          <w:iCs/>
          <w:vertAlign w:val="subscript"/>
        </w:rPr>
        <w:t>δ</w:t>
      </w:r>
      <w:r w:rsidRPr="00132C1E">
        <w:t xml:space="preserve"> (see </w:t>
      </w:r>
      <w:r>
        <w:t>pr</w:t>
      </w:r>
      <w:r w:rsidR="00C30FF9">
        <w:t>EN 1</w:t>
      </w:r>
      <w:r>
        <w:t>998-1-1:2022</w:t>
      </w:r>
      <w:r w:rsidRPr="00132C1E">
        <w:t xml:space="preserve">, </w:t>
      </w:r>
      <w:r w:rsidRPr="00835C82">
        <w:t>4.1(4)</w:t>
      </w:r>
      <w:r w:rsidRPr="00132C1E">
        <w:t>) given in Table 15.4.</w:t>
      </w:r>
    </w:p>
    <w:p w14:paraId="41D4D842" w14:textId="2AA7A310" w:rsidR="007B4C44" w:rsidRPr="00FD17CF" w:rsidRDefault="007B4C44" w:rsidP="00657A18">
      <w:pPr>
        <w:pStyle w:val="Tabletitle"/>
        <w:rPr>
          <w:sz w:val="20"/>
        </w:rPr>
      </w:pPr>
      <w:bookmarkStart w:id="10911" w:name="_Ref32157748"/>
      <w:r w:rsidRPr="00132C1E">
        <w:t xml:space="preserve">Table </w:t>
      </w:r>
      <w:r w:rsidR="00071D6D">
        <w:t>15.4</w:t>
      </w:r>
      <w:bookmarkEnd w:id="10911"/>
      <w:r w:rsidRPr="00132C1E">
        <w:t> —</w:t>
      </w:r>
      <w:r w:rsidRPr="00D1484A">
        <w:t xml:space="preserve"> Limits of seismic action index </w:t>
      </w:r>
      <w:r w:rsidRPr="007E6F67">
        <w:rPr>
          <w:i/>
          <w:iCs/>
        </w:rPr>
        <w:t>S</w:t>
      </w:r>
      <w:r w:rsidRPr="007E6F67">
        <w:rPr>
          <w:vertAlign w:val="subscript"/>
        </w:rPr>
        <w:t>δ</w:t>
      </w:r>
      <w:r w:rsidRPr="00FD17CF">
        <w:t xml:space="preserve"> for design of aluminium buildings to DC1 and DC2</w:t>
      </w:r>
    </w:p>
    <w:tbl>
      <w:tblPr>
        <w:tblW w:w="7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1701"/>
        <w:gridCol w:w="1701"/>
        <w:gridCol w:w="8"/>
      </w:tblGrid>
      <w:tr w:rsidR="007B4C44" w:rsidRPr="00D56DA5" w14:paraId="7F26027D" w14:textId="77777777" w:rsidTr="00B94E1F">
        <w:trPr>
          <w:trHeight w:val="345"/>
          <w:jc w:val="center"/>
        </w:trPr>
        <w:tc>
          <w:tcPr>
            <w:tcW w:w="4536" w:type="dxa"/>
            <w:shd w:val="clear" w:color="auto" w:fill="auto"/>
            <w:vAlign w:val="center"/>
          </w:tcPr>
          <w:p w14:paraId="1D79427B" w14:textId="77777777" w:rsidR="007B4C44" w:rsidRPr="00071D6D" w:rsidRDefault="007B4C44" w:rsidP="00071D6D">
            <w:pPr>
              <w:pStyle w:val="Tablebody"/>
              <w:jc w:val="center"/>
              <w:rPr>
                <w:b/>
                <w:bCs/>
              </w:rPr>
            </w:pPr>
            <w:r w:rsidRPr="00071D6D">
              <w:rPr>
                <w:b/>
                <w:bCs/>
              </w:rPr>
              <w:t>Structural type</w:t>
            </w:r>
          </w:p>
        </w:tc>
        <w:tc>
          <w:tcPr>
            <w:tcW w:w="3410" w:type="dxa"/>
            <w:gridSpan w:val="3"/>
            <w:vAlign w:val="center"/>
          </w:tcPr>
          <w:p w14:paraId="4FF82EBE" w14:textId="77777777" w:rsidR="007B4C44" w:rsidRPr="00071D6D" w:rsidRDefault="007B4C44" w:rsidP="00071D6D">
            <w:pPr>
              <w:pStyle w:val="Tablebody"/>
              <w:jc w:val="center"/>
              <w:rPr>
                <w:b/>
                <w:bCs/>
              </w:rPr>
            </w:pPr>
            <w:r w:rsidRPr="00071D6D">
              <w:rPr>
                <w:b/>
                <w:bCs/>
              </w:rPr>
              <w:t xml:space="preserve">Limits of seismicity index </w:t>
            </w:r>
            <w:r w:rsidRPr="00071D6D">
              <w:rPr>
                <w:b/>
                <w:bCs/>
                <w:i/>
              </w:rPr>
              <w:t>S</w:t>
            </w:r>
            <w:r w:rsidRPr="00071D6D">
              <w:rPr>
                <w:b/>
                <w:bCs/>
                <w:iCs/>
                <w:vertAlign w:val="subscript"/>
              </w:rPr>
              <w:t>δ</w:t>
            </w:r>
            <w:r w:rsidRPr="00071D6D">
              <w:rPr>
                <w:b/>
                <w:bCs/>
              </w:rPr>
              <w:t xml:space="preserve"> (m/s</w:t>
            </w:r>
            <w:r w:rsidRPr="00071D6D">
              <w:rPr>
                <w:b/>
                <w:bCs/>
                <w:vertAlign w:val="superscript"/>
              </w:rPr>
              <w:t>2</w:t>
            </w:r>
            <w:r w:rsidRPr="00071D6D">
              <w:rPr>
                <w:b/>
                <w:bCs/>
              </w:rPr>
              <w:t>)</w:t>
            </w:r>
          </w:p>
        </w:tc>
      </w:tr>
      <w:tr w:rsidR="007B4C44" w:rsidRPr="00132C1E" w14:paraId="38F43D85" w14:textId="77777777" w:rsidTr="00B94E1F">
        <w:trPr>
          <w:gridAfter w:val="1"/>
          <w:wAfter w:w="8" w:type="dxa"/>
          <w:trHeight w:val="345"/>
          <w:jc w:val="center"/>
        </w:trPr>
        <w:tc>
          <w:tcPr>
            <w:tcW w:w="4536" w:type="dxa"/>
            <w:shd w:val="clear" w:color="auto" w:fill="auto"/>
            <w:vAlign w:val="center"/>
          </w:tcPr>
          <w:p w14:paraId="703A82F2" w14:textId="77777777" w:rsidR="007B4C44" w:rsidRPr="00071D6D" w:rsidRDefault="007B4C44" w:rsidP="00071D6D">
            <w:pPr>
              <w:pStyle w:val="Tablebody"/>
              <w:jc w:val="center"/>
              <w:rPr>
                <w:b/>
                <w:bCs/>
              </w:rPr>
            </w:pPr>
          </w:p>
        </w:tc>
        <w:tc>
          <w:tcPr>
            <w:tcW w:w="1701" w:type="dxa"/>
            <w:vAlign w:val="center"/>
          </w:tcPr>
          <w:p w14:paraId="0FBE82C4" w14:textId="77777777" w:rsidR="007B4C44" w:rsidRPr="00071D6D" w:rsidRDefault="007B4C44" w:rsidP="00071D6D">
            <w:pPr>
              <w:pStyle w:val="Tablebody"/>
              <w:jc w:val="center"/>
              <w:rPr>
                <w:b/>
                <w:bCs/>
              </w:rPr>
            </w:pPr>
            <w:r w:rsidRPr="00071D6D">
              <w:rPr>
                <w:b/>
                <w:bCs/>
              </w:rPr>
              <w:t>DC1</w:t>
            </w:r>
          </w:p>
        </w:tc>
        <w:tc>
          <w:tcPr>
            <w:tcW w:w="1701" w:type="dxa"/>
            <w:vAlign w:val="center"/>
          </w:tcPr>
          <w:p w14:paraId="1AAB4EA1" w14:textId="77777777" w:rsidR="007B4C44" w:rsidRPr="00071D6D" w:rsidRDefault="007B4C44" w:rsidP="00071D6D">
            <w:pPr>
              <w:pStyle w:val="Tablebody"/>
              <w:jc w:val="center"/>
              <w:rPr>
                <w:b/>
                <w:bCs/>
              </w:rPr>
            </w:pPr>
            <w:r w:rsidRPr="00071D6D">
              <w:rPr>
                <w:b/>
                <w:bCs/>
              </w:rPr>
              <w:t>DC2</w:t>
            </w:r>
          </w:p>
        </w:tc>
      </w:tr>
      <w:tr w:rsidR="007B4C44" w:rsidRPr="00132C1E" w14:paraId="00E885AA" w14:textId="77777777" w:rsidTr="00B94E1F">
        <w:trPr>
          <w:gridAfter w:val="1"/>
          <w:wAfter w:w="8" w:type="dxa"/>
          <w:trHeight w:val="345"/>
          <w:jc w:val="center"/>
        </w:trPr>
        <w:tc>
          <w:tcPr>
            <w:tcW w:w="4536" w:type="dxa"/>
            <w:shd w:val="clear" w:color="auto" w:fill="auto"/>
            <w:vAlign w:val="center"/>
          </w:tcPr>
          <w:p w14:paraId="0CE8F8A7" w14:textId="7C596646" w:rsidR="007B4C44" w:rsidRPr="00D1484A" w:rsidRDefault="007B4C44" w:rsidP="00071D6D">
            <w:pPr>
              <w:pStyle w:val="Tablebody"/>
              <w:jc w:val="left"/>
            </w:pPr>
            <w:r w:rsidRPr="00132C1E">
              <w:t xml:space="preserve">Moment </w:t>
            </w:r>
            <w:r w:rsidR="00B94E1F">
              <w:t xml:space="preserve">resisting </w:t>
            </w:r>
            <w:r w:rsidRPr="00132C1E">
              <w:t>frames</w:t>
            </w:r>
            <w:r w:rsidR="00B94E1F">
              <w:t xml:space="preserve"> (MRFs)</w:t>
            </w:r>
          </w:p>
        </w:tc>
        <w:tc>
          <w:tcPr>
            <w:tcW w:w="1701" w:type="dxa"/>
            <w:vAlign w:val="center"/>
          </w:tcPr>
          <w:p w14:paraId="6097D045" w14:textId="77777777" w:rsidR="007B4C44" w:rsidRPr="007E6F67" w:rsidRDefault="007B4C44" w:rsidP="00071D6D">
            <w:pPr>
              <w:pStyle w:val="Tablebody"/>
              <w:jc w:val="center"/>
            </w:pPr>
            <w:r w:rsidRPr="00D1484A">
              <w:t>5,0</w:t>
            </w:r>
          </w:p>
        </w:tc>
        <w:tc>
          <w:tcPr>
            <w:tcW w:w="1701" w:type="dxa"/>
            <w:vAlign w:val="center"/>
          </w:tcPr>
          <w:p w14:paraId="3B1DCA59" w14:textId="77777777" w:rsidR="007B4C44" w:rsidRPr="00FD17CF" w:rsidRDefault="007B4C44" w:rsidP="00071D6D">
            <w:pPr>
              <w:pStyle w:val="Tablebody"/>
              <w:jc w:val="center"/>
            </w:pPr>
            <w:r w:rsidRPr="007E6F67">
              <w:t>no limits</w:t>
            </w:r>
          </w:p>
        </w:tc>
      </w:tr>
      <w:tr w:rsidR="007B4C44" w:rsidRPr="00132C1E" w14:paraId="1B518615" w14:textId="77777777" w:rsidTr="00B94E1F">
        <w:trPr>
          <w:gridAfter w:val="1"/>
          <w:wAfter w:w="8" w:type="dxa"/>
          <w:trHeight w:val="345"/>
          <w:jc w:val="center"/>
        </w:trPr>
        <w:tc>
          <w:tcPr>
            <w:tcW w:w="4536" w:type="dxa"/>
            <w:shd w:val="clear" w:color="auto" w:fill="auto"/>
            <w:vAlign w:val="center"/>
          </w:tcPr>
          <w:p w14:paraId="735C6940" w14:textId="77777777" w:rsidR="007B4C44" w:rsidRPr="00D1484A" w:rsidRDefault="007B4C44" w:rsidP="00071D6D">
            <w:pPr>
              <w:pStyle w:val="Tablebody"/>
              <w:jc w:val="left"/>
            </w:pPr>
            <w:r w:rsidRPr="00132C1E">
              <w:t>Frames with concentric bracings</w:t>
            </w:r>
          </w:p>
        </w:tc>
        <w:tc>
          <w:tcPr>
            <w:tcW w:w="1701" w:type="dxa"/>
            <w:vAlign w:val="center"/>
          </w:tcPr>
          <w:p w14:paraId="3B3EB9AF" w14:textId="77777777" w:rsidR="007B4C44" w:rsidRPr="007E6F67" w:rsidRDefault="007B4C44" w:rsidP="00071D6D">
            <w:pPr>
              <w:pStyle w:val="Tablebody"/>
              <w:jc w:val="center"/>
            </w:pPr>
            <w:r w:rsidRPr="00D1484A">
              <w:t>5,0</w:t>
            </w:r>
          </w:p>
        </w:tc>
        <w:tc>
          <w:tcPr>
            <w:tcW w:w="1701" w:type="dxa"/>
            <w:vAlign w:val="center"/>
          </w:tcPr>
          <w:p w14:paraId="70663022" w14:textId="77777777" w:rsidR="007B4C44" w:rsidRPr="00FD17CF" w:rsidRDefault="007B4C44" w:rsidP="00071D6D">
            <w:pPr>
              <w:pStyle w:val="Tablebody"/>
              <w:jc w:val="center"/>
            </w:pPr>
            <w:r w:rsidRPr="007E6F67">
              <w:t>no limits</w:t>
            </w:r>
          </w:p>
        </w:tc>
      </w:tr>
      <w:tr w:rsidR="007B4C44" w:rsidRPr="00132C1E" w14:paraId="1072C9EF" w14:textId="77777777" w:rsidTr="00B94E1F">
        <w:trPr>
          <w:gridAfter w:val="1"/>
          <w:wAfter w:w="8" w:type="dxa"/>
          <w:trHeight w:val="345"/>
          <w:jc w:val="center"/>
        </w:trPr>
        <w:tc>
          <w:tcPr>
            <w:tcW w:w="4536" w:type="dxa"/>
            <w:shd w:val="clear" w:color="auto" w:fill="auto"/>
            <w:vAlign w:val="center"/>
          </w:tcPr>
          <w:p w14:paraId="2191A5AD" w14:textId="2D2B6688" w:rsidR="007B4C44" w:rsidRPr="00D1484A" w:rsidRDefault="007B4C44" w:rsidP="00071D6D">
            <w:pPr>
              <w:pStyle w:val="Tablebody"/>
              <w:jc w:val="left"/>
            </w:pPr>
            <w:r w:rsidRPr="00132C1E">
              <w:t>Dual frames (</w:t>
            </w:r>
            <w:r w:rsidR="00B94E1F">
              <w:t>MRFs</w:t>
            </w:r>
            <w:r w:rsidRPr="00132C1E">
              <w:t xml:space="preserve"> with concentric bracing)</w:t>
            </w:r>
          </w:p>
        </w:tc>
        <w:tc>
          <w:tcPr>
            <w:tcW w:w="1701" w:type="dxa"/>
            <w:vAlign w:val="center"/>
          </w:tcPr>
          <w:p w14:paraId="6B8DB3B7" w14:textId="77777777" w:rsidR="007B4C44" w:rsidRPr="007E6F67" w:rsidRDefault="007B4C44" w:rsidP="00071D6D">
            <w:pPr>
              <w:pStyle w:val="Tablebody"/>
              <w:jc w:val="center"/>
            </w:pPr>
            <w:r w:rsidRPr="00D1484A">
              <w:t>5,0</w:t>
            </w:r>
          </w:p>
        </w:tc>
        <w:tc>
          <w:tcPr>
            <w:tcW w:w="1701" w:type="dxa"/>
            <w:vAlign w:val="center"/>
          </w:tcPr>
          <w:p w14:paraId="36345377" w14:textId="77777777" w:rsidR="007B4C44" w:rsidRPr="00FD17CF" w:rsidRDefault="007B4C44" w:rsidP="00071D6D">
            <w:pPr>
              <w:pStyle w:val="Tablebody"/>
              <w:jc w:val="center"/>
            </w:pPr>
            <w:r w:rsidRPr="007E6F67">
              <w:t>no limits</w:t>
            </w:r>
          </w:p>
        </w:tc>
      </w:tr>
      <w:tr w:rsidR="007B4C44" w:rsidRPr="00132C1E" w14:paraId="0BAE079F" w14:textId="77777777" w:rsidTr="00B94E1F">
        <w:trPr>
          <w:gridAfter w:val="1"/>
          <w:wAfter w:w="8" w:type="dxa"/>
          <w:trHeight w:val="145"/>
          <w:jc w:val="center"/>
        </w:trPr>
        <w:tc>
          <w:tcPr>
            <w:tcW w:w="4536" w:type="dxa"/>
            <w:shd w:val="clear" w:color="auto" w:fill="auto"/>
            <w:vAlign w:val="center"/>
          </w:tcPr>
          <w:p w14:paraId="1EB9972A" w14:textId="77777777" w:rsidR="007B4C44" w:rsidRPr="00D1484A" w:rsidRDefault="007B4C44" w:rsidP="00071D6D">
            <w:pPr>
              <w:pStyle w:val="Tablebody"/>
              <w:jc w:val="left"/>
            </w:pPr>
            <w:r w:rsidRPr="00132C1E">
              <w:t>Inverted pendulum</w:t>
            </w:r>
          </w:p>
        </w:tc>
        <w:tc>
          <w:tcPr>
            <w:tcW w:w="1701" w:type="dxa"/>
            <w:vAlign w:val="center"/>
          </w:tcPr>
          <w:p w14:paraId="50E8E8B8" w14:textId="77777777" w:rsidR="007B4C44" w:rsidRPr="007E6F67" w:rsidRDefault="007B4C44" w:rsidP="00071D6D">
            <w:pPr>
              <w:pStyle w:val="Tablebody"/>
              <w:jc w:val="center"/>
            </w:pPr>
            <w:r w:rsidRPr="00D1484A">
              <w:t>2,5</w:t>
            </w:r>
          </w:p>
        </w:tc>
        <w:tc>
          <w:tcPr>
            <w:tcW w:w="1701" w:type="dxa"/>
            <w:vAlign w:val="center"/>
          </w:tcPr>
          <w:p w14:paraId="1234B91B" w14:textId="77777777" w:rsidR="007B4C44" w:rsidRPr="00FD17CF" w:rsidRDefault="007B4C44" w:rsidP="00071D6D">
            <w:pPr>
              <w:pStyle w:val="Tablebody"/>
              <w:jc w:val="center"/>
            </w:pPr>
            <w:r w:rsidRPr="007E6F67">
              <w:t>5,0</w:t>
            </w:r>
          </w:p>
        </w:tc>
      </w:tr>
    </w:tbl>
    <w:p w14:paraId="2E6704D4" w14:textId="77777777" w:rsidR="007B4C44" w:rsidRPr="00657A18" w:rsidRDefault="007B4C44" w:rsidP="00657A18">
      <w:pPr>
        <w:pStyle w:val="Heading2"/>
      </w:pPr>
      <w:bookmarkStart w:id="10912" w:name="_Toc3399371"/>
      <w:bookmarkStart w:id="10913" w:name="_Toc50150658"/>
      <w:bookmarkStart w:id="10914" w:name="_Toc70887091"/>
      <w:bookmarkStart w:id="10915" w:name="_Toc108342674"/>
      <w:bookmarkStart w:id="10916" w:name="_Toc134198183"/>
      <w:r w:rsidRPr="00657A18">
        <w:t>Structural analysis</w:t>
      </w:r>
      <w:bookmarkEnd w:id="10912"/>
      <w:bookmarkEnd w:id="10913"/>
      <w:bookmarkEnd w:id="10914"/>
      <w:bookmarkEnd w:id="10915"/>
      <w:bookmarkEnd w:id="10916"/>
    </w:p>
    <w:p w14:paraId="4130F6FB" w14:textId="74B90F00" w:rsidR="007B4C44" w:rsidRPr="00E05E29" w:rsidRDefault="007B4C44" w:rsidP="0080187E">
      <w:pPr>
        <w:pStyle w:val="Clause"/>
        <w:numPr>
          <w:ilvl w:val="0"/>
          <w:numId w:val="528"/>
        </w:numPr>
      </w:pPr>
      <w:r w:rsidRPr="007E6F67">
        <w:t xml:space="preserve">Except where otherwise specified in </w:t>
      </w:r>
      <w:r w:rsidR="00835C82">
        <w:t xml:space="preserve">Clause </w:t>
      </w:r>
      <w:r w:rsidRPr="00835C82">
        <w:t>15</w:t>
      </w:r>
      <w:r w:rsidRPr="00657A18">
        <w:t xml:space="preserve"> (</w:t>
      </w:r>
      <w:r w:rsidRPr="00FD17CF">
        <w:t xml:space="preserve">e.g. frames with tension-only concentric bracings, see </w:t>
      </w:r>
      <w:r w:rsidRPr="00835C82">
        <w:t>15.10.2(2)</w:t>
      </w:r>
      <w:r w:rsidRPr="00657A18">
        <w:t xml:space="preserve">), </w:t>
      </w:r>
      <w:r w:rsidRPr="00E05E29">
        <w:t>the analysis of the structure may be made assuming that all primary members are active.</w:t>
      </w:r>
    </w:p>
    <w:p w14:paraId="0E7FDD58" w14:textId="33A4568D" w:rsidR="007B4C44" w:rsidRPr="00657A18" w:rsidRDefault="007B4C44" w:rsidP="00657A18">
      <w:pPr>
        <w:pStyle w:val="Heading2"/>
      </w:pPr>
      <w:bookmarkStart w:id="10917" w:name="_Toc3399372"/>
      <w:bookmarkStart w:id="10918" w:name="_Toc50150659"/>
      <w:bookmarkStart w:id="10919" w:name="_Toc70887092"/>
      <w:bookmarkStart w:id="10920" w:name="_Toc108342675"/>
      <w:bookmarkStart w:id="10921" w:name="_Toc134198184"/>
      <w:r w:rsidRPr="00657A18">
        <w:t>Verification to Limit States</w:t>
      </w:r>
      <w:bookmarkEnd w:id="10917"/>
      <w:bookmarkEnd w:id="10918"/>
      <w:bookmarkEnd w:id="10919"/>
      <w:bookmarkEnd w:id="10920"/>
      <w:bookmarkEnd w:id="10921"/>
    </w:p>
    <w:p w14:paraId="5A5B2A7F" w14:textId="77777777" w:rsidR="007B4C44" w:rsidRPr="00657A18" w:rsidRDefault="007B4C44" w:rsidP="00657A18">
      <w:pPr>
        <w:pStyle w:val="Heading3"/>
      </w:pPr>
      <w:bookmarkStart w:id="10922" w:name="_Toc3399373"/>
      <w:bookmarkStart w:id="10923" w:name="_Toc50150660"/>
      <w:bookmarkStart w:id="10924" w:name="_Toc70887093"/>
      <w:bookmarkStart w:id="10925" w:name="_Toc108342676"/>
      <w:bookmarkStart w:id="10926" w:name="_Toc134198185"/>
      <w:r w:rsidRPr="00657A18">
        <w:t>General</w:t>
      </w:r>
      <w:bookmarkEnd w:id="10922"/>
      <w:bookmarkEnd w:id="10923"/>
      <w:bookmarkEnd w:id="10924"/>
      <w:bookmarkEnd w:id="10925"/>
      <w:bookmarkEnd w:id="10926"/>
    </w:p>
    <w:p w14:paraId="767A2672" w14:textId="3471C344" w:rsidR="007B4C44" w:rsidRPr="00132C1E" w:rsidRDefault="007B4C44" w:rsidP="0080187E">
      <w:pPr>
        <w:pStyle w:val="Clause"/>
        <w:numPr>
          <w:ilvl w:val="0"/>
          <w:numId w:val="529"/>
        </w:numPr>
      </w:pPr>
      <w:r w:rsidRPr="002144A0">
        <w:t xml:space="preserve">The verification of structural </w:t>
      </w:r>
      <w:r w:rsidRPr="004F25D7">
        <w:t>member</w:t>
      </w:r>
      <w:r w:rsidRPr="00C52095">
        <w:t xml:space="preserve">s to limit states should comply </w:t>
      </w:r>
      <w:r w:rsidRPr="00657A18">
        <w:t xml:space="preserve">with </w:t>
      </w:r>
      <w:r w:rsidRPr="00835C82">
        <w:t>6.1</w:t>
      </w:r>
      <w:r w:rsidRPr="00657A18">
        <w:t xml:space="preserve">, </w:t>
      </w:r>
      <w:r w:rsidRPr="00835C82">
        <w:t>6.2</w:t>
      </w:r>
      <w:r w:rsidRPr="00657A18">
        <w:t xml:space="preserve"> and </w:t>
      </w:r>
      <w:r w:rsidRPr="00835C82">
        <w:t>6.3</w:t>
      </w:r>
      <w:r w:rsidRPr="00132C1E">
        <w:t>.</w:t>
      </w:r>
    </w:p>
    <w:p w14:paraId="4721DB39" w14:textId="65A1ABED" w:rsidR="007B4C44" w:rsidRPr="00132C1E" w:rsidRDefault="007B4C44" w:rsidP="00657A18">
      <w:pPr>
        <w:pStyle w:val="Heading3"/>
      </w:pPr>
      <w:bookmarkStart w:id="10927" w:name="_Toc3399374"/>
      <w:bookmarkStart w:id="10928" w:name="_Toc50150661"/>
      <w:bookmarkStart w:id="10929" w:name="_Toc70887094"/>
      <w:bookmarkStart w:id="10930" w:name="_Toc108342677"/>
      <w:bookmarkStart w:id="10931" w:name="_Toc134198186"/>
      <w:r w:rsidRPr="00132C1E">
        <w:t>Resistance conditions at Significant Damage limit state</w:t>
      </w:r>
      <w:bookmarkEnd w:id="10927"/>
      <w:bookmarkEnd w:id="10928"/>
      <w:bookmarkEnd w:id="10929"/>
      <w:bookmarkEnd w:id="10930"/>
      <w:bookmarkEnd w:id="10931"/>
    </w:p>
    <w:p w14:paraId="78E404A0" w14:textId="276EC59F" w:rsidR="007B4C44" w:rsidRPr="00C43780" w:rsidRDefault="007B4C44" w:rsidP="0080187E">
      <w:pPr>
        <w:pStyle w:val="Clause"/>
        <w:numPr>
          <w:ilvl w:val="0"/>
          <w:numId w:val="530"/>
        </w:numPr>
      </w:pPr>
      <w:r w:rsidRPr="00C43780">
        <w:t xml:space="preserve">The resistance of structural members and connections at SD should be verified using </w:t>
      </w:r>
      <w:r w:rsidR="00C30FF9">
        <w:t>EN 1</w:t>
      </w:r>
      <w:r w:rsidRPr="00C43780">
        <w:t>999</w:t>
      </w:r>
      <w:r w:rsidR="00146231">
        <w:t>-1-1</w:t>
      </w:r>
      <w:r w:rsidRPr="00C43780">
        <w:t>.</w:t>
      </w:r>
    </w:p>
    <w:p w14:paraId="5E92760B" w14:textId="3512B2D6" w:rsidR="007B4C44" w:rsidRPr="00132C1E" w:rsidRDefault="007B4C44" w:rsidP="00724E4E">
      <w:pPr>
        <w:pStyle w:val="Clause"/>
      </w:pPr>
      <w:r w:rsidRPr="00132C1E">
        <w:t xml:space="preserve">The second-order effects should be verified in accordance </w:t>
      </w:r>
      <w:r w:rsidRPr="00657A18">
        <w:t xml:space="preserve">with </w:t>
      </w:r>
      <w:r w:rsidRPr="00835C82">
        <w:t>6.2.4</w:t>
      </w:r>
      <w:r w:rsidRPr="00132C1E">
        <w:t>.</w:t>
      </w:r>
    </w:p>
    <w:p w14:paraId="33C77105" w14:textId="66A41E8C" w:rsidR="007B4C44" w:rsidRPr="00132C1E" w:rsidRDefault="007B4C44" w:rsidP="00657A18">
      <w:pPr>
        <w:pStyle w:val="Heading3"/>
      </w:pPr>
      <w:bookmarkStart w:id="10932" w:name="_Toc3399375"/>
      <w:bookmarkStart w:id="10933" w:name="_Toc50150662"/>
      <w:bookmarkStart w:id="10934" w:name="_Toc70887095"/>
      <w:bookmarkStart w:id="10935" w:name="_Toc108342678"/>
      <w:bookmarkStart w:id="10936" w:name="_Toc134198187"/>
      <w:r w:rsidRPr="00132C1E">
        <w:t>Limitation of interstorey drift at Significant Damage limit state</w:t>
      </w:r>
      <w:bookmarkEnd w:id="10932"/>
      <w:bookmarkEnd w:id="10933"/>
      <w:bookmarkEnd w:id="10934"/>
      <w:bookmarkEnd w:id="10935"/>
      <w:bookmarkEnd w:id="10936"/>
    </w:p>
    <w:p w14:paraId="05478B4F" w14:textId="2C5F419D" w:rsidR="007B4C44" w:rsidRPr="00132C1E" w:rsidRDefault="007B4C44" w:rsidP="0080187E">
      <w:pPr>
        <w:pStyle w:val="Clause"/>
        <w:numPr>
          <w:ilvl w:val="0"/>
          <w:numId w:val="531"/>
        </w:numPr>
      </w:pPr>
      <w:r w:rsidRPr="00132C1E">
        <w:t>The interstorey drift at SD limit state should be limited as given in a) or b):</w:t>
      </w:r>
    </w:p>
    <w:p w14:paraId="24B81BE9" w14:textId="77777777" w:rsidR="007B4C44" w:rsidRDefault="007B4C44" w:rsidP="008A133F">
      <w:pPr>
        <w:pStyle w:val="Text"/>
        <w:numPr>
          <w:ilvl w:val="0"/>
          <w:numId w:val="693"/>
        </w:numPr>
        <w:spacing w:after="200"/>
      </w:pPr>
      <w:r w:rsidRPr="00132C1E">
        <w:rPr>
          <w:i/>
        </w:rPr>
        <w:t>d</w:t>
      </w:r>
      <w:r w:rsidRPr="00132C1E">
        <w:rPr>
          <w:vertAlign w:val="subscript"/>
        </w:rPr>
        <w:t>r,SD</w:t>
      </w:r>
      <w:r w:rsidRPr="00132C1E">
        <w:t xml:space="preserve"> ≤ 0,020 </w:t>
      </w:r>
      <w:r w:rsidRPr="00132C1E">
        <w:rPr>
          <w:i/>
        </w:rPr>
        <w:t>h</w:t>
      </w:r>
      <w:r w:rsidRPr="00132C1E">
        <w:rPr>
          <w:iCs/>
          <w:vertAlign w:val="subscript"/>
        </w:rPr>
        <w:t>s</w:t>
      </w:r>
      <w:r w:rsidRPr="00132C1E">
        <w:t xml:space="preserve"> for moment frames;</w:t>
      </w:r>
    </w:p>
    <w:p w14:paraId="461374B0" w14:textId="77777777" w:rsidR="007B4C44" w:rsidRPr="00AA3D1A" w:rsidRDefault="007B4C44" w:rsidP="008A133F">
      <w:pPr>
        <w:pStyle w:val="Text"/>
        <w:numPr>
          <w:ilvl w:val="0"/>
          <w:numId w:val="693"/>
        </w:numPr>
        <w:spacing w:after="200"/>
      </w:pPr>
      <w:r>
        <w:t>f</w:t>
      </w:r>
      <w:r w:rsidRPr="00AA3D1A">
        <w:t>or moment resisting frames with interacting infills</w:t>
      </w:r>
      <w:r w:rsidRPr="00B94E1F">
        <w:t>, 7.4.2.1 should</w:t>
      </w:r>
      <w:r w:rsidRPr="00AA3D1A">
        <w:t xml:space="preserve"> be applied</w:t>
      </w:r>
      <w:r>
        <w:t>;</w:t>
      </w:r>
    </w:p>
    <w:p w14:paraId="737062DE" w14:textId="77777777" w:rsidR="007B4C44" w:rsidRPr="00132C1E" w:rsidRDefault="007B4C44" w:rsidP="008A133F">
      <w:pPr>
        <w:pStyle w:val="Text"/>
        <w:numPr>
          <w:ilvl w:val="0"/>
          <w:numId w:val="693"/>
        </w:numPr>
        <w:spacing w:after="200"/>
      </w:pPr>
      <w:r w:rsidRPr="00C17D6C">
        <w:rPr>
          <w:i/>
          <w:iCs/>
        </w:rPr>
        <w:t>d</w:t>
      </w:r>
      <w:r w:rsidRPr="00C17D6C">
        <w:rPr>
          <w:vertAlign w:val="subscript"/>
        </w:rPr>
        <w:t>r,SD</w:t>
      </w:r>
      <w:r w:rsidRPr="00132C1E">
        <w:t xml:space="preserve"> ≤ 0,015 </w:t>
      </w:r>
      <w:r w:rsidRPr="00C17D6C">
        <w:rPr>
          <w:i/>
          <w:iCs/>
        </w:rPr>
        <w:t>h</w:t>
      </w:r>
      <w:r w:rsidRPr="00C17D6C">
        <w:rPr>
          <w:vertAlign w:val="subscript"/>
        </w:rPr>
        <w:t>s</w:t>
      </w:r>
      <w:r w:rsidRPr="00132C1E">
        <w:t xml:space="preserve"> for frames with concentric bracings, for dual frames</w:t>
      </w:r>
      <w:r>
        <w:t>, for</w:t>
      </w:r>
      <w:r w:rsidRPr="00132C1E">
        <w:t xml:space="preserve"> inverted pendulum structures</w:t>
      </w:r>
      <w:r>
        <w:t xml:space="preserve"> </w:t>
      </w:r>
      <w:r w:rsidRPr="008E47BA">
        <w:t>and for all other structural types;</w:t>
      </w:r>
    </w:p>
    <w:p w14:paraId="398DE42C" w14:textId="01D51685" w:rsidR="007B4C44" w:rsidRDefault="00675EBA" w:rsidP="00B94E1F">
      <w:pPr>
        <w:pStyle w:val="Text"/>
      </w:pPr>
      <w:r>
        <w:t>where</w:t>
      </w:r>
    </w:p>
    <w:tbl>
      <w:tblPr>
        <w:tblW w:w="0" w:type="auto"/>
        <w:tblInd w:w="346" w:type="dxa"/>
        <w:tblLook w:val="04A0" w:firstRow="1" w:lastRow="0" w:firstColumn="1" w:lastColumn="0" w:noHBand="0" w:noVBand="1"/>
      </w:tblPr>
      <w:tblGrid>
        <w:gridCol w:w="1275"/>
        <w:gridCol w:w="7938"/>
      </w:tblGrid>
      <w:tr w:rsidR="00B94E1F" w:rsidRPr="001F7CA7" w14:paraId="140EF964" w14:textId="77777777" w:rsidTr="008A133F">
        <w:tc>
          <w:tcPr>
            <w:tcW w:w="1275" w:type="dxa"/>
          </w:tcPr>
          <w:p w14:paraId="76BA9FF9" w14:textId="77777777" w:rsidR="00B94E1F" w:rsidRPr="001F7CA7" w:rsidRDefault="00B94E1F" w:rsidP="002061E5">
            <w:pPr>
              <w:spacing w:after="60"/>
              <w:jc w:val="left"/>
              <w:rPr>
                <w:rFonts w:eastAsia="Times New Roman" w:cs="Cambria"/>
                <w:color w:val="000000" w:themeColor="text1"/>
                <w:szCs w:val="20"/>
                <w:lang w:eastAsia="fr-FR"/>
              </w:rPr>
            </w:pPr>
            <w:r w:rsidRPr="00132C1E">
              <w:rPr>
                <w:i/>
              </w:rPr>
              <w:t>d</w:t>
            </w:r>
            <w:r w:rsidRPr="00132C1E">
              <w:rPr>
                <w:vertAlign w:val="subscript"/>
              </w:rPr>
              <w:t>r,SD</w:t>
            </w:r>
          </w:p>
        </w:tc>
        <w:tc>
          <w:tcPr>
            <w:tcW w:w="7938" w:type="dxa"/>
          </w:tcPr>
          <w:p w14:paraId="70980BF0" w14:textId="08BDE490" w:rsidR="00B94E1F" w:rsidRPr="001F7CA7" w:rsidRDefault="00B94E1F" w:rsidP="002061E5">
            <w:pPr>
              <w:spacing w:after="60"/>
              <w:rPr>
                <w:rFonts w:eastAsia="Times New Roman" w:cs="Cambria"/>
                <w:color w:val="000000" w:themeColor="text1"/>
                <w:szCs w:val="20"/>
                <w:lang w:eastAsia="fr-FR"/>
              </w:rPr>
            </w:pPr>
            <w:r w:rsidRPr="00416ACE">
              <w:t>is as given in 6.2.</w:t>
            </w:r>
            <w:r>
              <w:t>4</w:t>
            </w:r>
            <w:r w:rsidRPr="00416ACE">
              <w:t>;</w:t>
            </w:r>
          </w:p>
        </w:tc>
      </w:tr>
      <w:tr w:rsidR="00B94E1F" w:rsidRPr="001F7CA7" w14:paraId="21951D8F" w14:textId="77777777" w:rsidTr="008A133F">
        <w:tc>
          <w:tcPr>
            <w:tcW w:w="1275" w:type="dxa"/>
          </w:tcPr>
          <w:p w14:paraId="1D8226E7" w14:textId="77777777" w:rsidR="00B94E1F" w:rsidRPr="001F7CA7" w:rsidRDefault="00B94E1F" w:rsidP="002061E5">
            <w:pPr>
              <w:spacing w:after="60"/>
              <w:jc w:val="left"/>
              <w:rPr>
                <w:rFonts w:eastAsia="Times New Roman" w:cs="Cambria"/>
                <w:color w:val="000000" w:themeColor="text1"/>
                <w:szCs w:val="20"/>
                <w:lang w:eastAsia="fr-FR"/>
              </w:rPr>
            </w:pPr>
            <w:r w:rsidRPr="00132C1E">
              <w:rPr>
                <w:i/>
              </w:rPr>
              <w:t>h</w:t>
            </w:r>
            <w:r w:rsidRPr="00132C1E">
              <w:rPr>
                <w:iCs/>
                <w:vertAlign w:val="subscript"/>
              </w:rPr>
              <w:t>s</w:t>
            </w:r>
          </w:p>
        </w:tc>
        <w:tc>
          <w:tcPr>
            <w:tcW w:w="7938" w:type="dxa"/>
          </w:tcPr>
          <w:p w14:paraId="251B40E3" w14:textId="77777777" w:rsidR="00B94E1F" w:rsidRPr="001F7CA7" w:rsidRDefault="00B94E1F" w:rsidP="002061E5">
            <w:pPr>
              <w:spacing w:after="60"/>
              <w:rPr>
                <w:rFonts w:eastAsia="Times New Roman" w:cs="Cambria"/>
                <w:color w:val="000000" w:themeColor="text1"/>
                <w:szCs w:val="20"/>
                <w:lang w:eastAsia="fr-FR"/>
              </w:rPr>
            </w:pPr>
            <w:r w:rsidRPr="00132C1E">
              <w:t>is the interstorey height.</w:t>
            </w:r>
          </w:p>
        </w:tc>
      </w:tr>
    </w:tbl>
    <w:p w14:paraId="7871F808" w14:textId="77777777" w:rsidR="007B4C44" w:rsidRPr="00657A18" w:rsidRDefault="007B4C44" w:rsidP="00657A18">
      <w:pPr>
        <w:pStyle w:val="Heading2"/>
      </w:pPr>
      <w:bookmarkStart w:id="10937" w:name="_Toc3399377"/>
      <w:bookmarkStart w:id="10938" w:name="_Toc50150663"/>
      <w:bookmarkStart w:id="10939" w:name="_Toc70887096"/>
      <w:bookmarkStart w:id="10940" w:name="_Toc108342679"/>
      <w:bookmarkStart w:id="10941" w:name="_Toc134198188"/>
      <w:r w:rsidRPr="00657A18">
        <w:lastRenderedPageBreak/>
        <w:t>Design rules for low-dissipative (DC1) and non-dissipative structural behaviour common to all structural types</w:t>
      </w:r>
      <w:bookmarkEnd w:id="10937"/>
      <w:bookmarkEnd w:id="10938"/>
      <w:bookmarkEnd w:id="10939"/>
      <w:bookmarkEnd w:id="10940"/>
      <w:bookmarkEnd w:id="10941"/>
    </w:p>
    <w:p w14:paraId="47455047" w14:textId="77777777" w:rsidR="007B4C44" w:rsidRPr="00657A18" w:rsidRDefault="007B4C44" w:rsidP="00657A18">
      <w:pPr>
        <w:pStyle w:val="Heading3"/>
      </w:pPr>
      <w:bookmarkStart w:id="10942" w:name="_Toc3399378"/>
      <w:bookmarkStart w:id="10943" w:name="_Toc50150664"/>
      <w:bookmarkStart w:id="10944" w:name="_Toc70887097"/>
      <w:bookmarkStart w:id="10945" w:name="_Toc108342680"/>
      <w:bookmarkStart w:id="10946" w:name="_Toc134198189"/>
      <w:r w:rsidRPr="00657A18">
        <w:t>General</w:t>
      </w:r>
      <w:bookmarkEnd w:id="10942"/>
      <w:bookmarkEnd w:id="10943"/>
      <w:bookmarkEnd w:id="10944"/>
      <w:bookmarkEnd w:id="10945"/>
      <w:bookmarkEnd w:id="10946"/>
    </w:p>
    <w:p w14:paraId="492599EC" w14:textId="22D430E1" w:rsidR="007B4C44" w:rsidRPr="00132C1E" w:rsidRDefault="007B4C44" w:rsidP="0080187E">
      <w:pPr>
        <w:pStyle w:val="Clause"/>
        <w:numPr>
          <w:ilvl w:val="0"/>
          <w:numId w:val="532"/>
        </w:numPr>
      </w:pPr>
      <w:r w:rsidRPr="00835C82">
        <w:t>15.7.2</w:t>
      </w:r>
      <w:r w:rsidRPr="00657A18">
        <w:t xml:space="preserve"> </w:t>
      </w:r>
      <w:r w:rsidRPr="00132C1E">
        <w:t>should be applied to the primary members of structures designed for low-dissipative behaviour.</w:t>
      </w:r>
    </w:p>
    <w:p w14:paraId="428EBC50" w14:textId="197810D2" w:rsidR="007B4C44" w:rsidRPr="00132C1E" w:rsidRDefault="007B4C44" w:rsidP="00657A18">
      <w:pPr>
        <w:pStyle w:val="Heading3"/>
      </w:pPr>
      <w:bookmarkStart w:id="10947" w:name="_Toc3399379"/>
      <w:bookmarkStart w:id="10948" w:name="_Toc50150665"/>
      <w:bookmarkStart w:id="10949" w:name="_Toc70887098"/>
      <w:bookmarkStart w:id="10950" w:name="_Toc108342681"/>
      <w:bookmarkStart w:id="10951" w:name="_Toc134198190"/>
      <w:r w:rsidRPr="00132C1E">
        <w:t>Design rules for low-dissipative structures</w:t>
      </w:r>
      <w:bookmarkEnd w:id="10947"/>
      <w:bookmarkEnd w:id="10948"/>
      <w:bookmarkEnd w:id="10949"/>
      <w:bookmarkEnd w:id="10950"/>
      <w:bookmarkEnd w:id="10951"/>
    </w:p>
    <w:p w14:paraId="78DB3122" w14:textId="3EF9898E" w:rsidR="007B4C44" w:rsidRPr="00871BBB" w:rsidRDefault="007B4C44" w:rsidP="0080187E">
      <w:pPr>
        <w:pStyle w:val="Clause"/>
        <w:numPr>
          <w:ilvl w:val="0"/>
          <w:numId w:val="533"/>
        </w:numPr>
      </w:pPr>
      <w:r w:rsidRPr="00132C1E">
        <w:t xml:space="preserve">Structural members and connections should have adequate stiffness, resistance and stability, which should be verified in accordance with </w:t>
      </w:r>
      <w:r w:rsidR="00155F8D">
        <w:t>EN 1999-1-1:2023</w:t>
      </w:r>
      <w:r w:rsidR="00C6162E">
        <w:t xml:space="preserve">, </w:t>
      </w:r>
      <w:r w:rsidR="004B502C">
        <w:t>Clauses</w:t>
      </w:r>
      <w:r w:rsidR="00E40C58">
        <w:t xml:space="preserve"> 8 and 10. </w:t>
      </w:r>
    </w:p>
    <w:p w14:paraId="0BF8F105" w14:textId="67E28ABC" w:rsidR="007B4C44" w:rsidRPr="008E47BA" w:rsidRDefault="007B4C44" w:rsidP="00657A18">
      <w:pPr>
        <w:pStyle w:val="Heading3"/>
      </w:pPr>
      <w:bookmarkStart w:id="10952" w:name="_Toc108342682"/>
      <w:bookmarkStart w:id="10953" w:name="_Toc134198191"/>
      <w:r w:rsidRPr="008E47BA">
        <w:t>Design rules for non-dissipative structures</w:t>
      </w:r>
      <w:bookmarkEnd w:id="10952"/>
      <w:bookmarkEnd w:id="10953"/>
    </w:p>
    <w:p w14:paraId="68431678" w14:textId="146B5F31" w:rsidR="007B4C44" w:rsidRPr="00657A18" w:rsidRDefault="007B4C44" w:rsidP="0080187E">
      <w:pPr>
        <w:pStyle w:val="Clause"/>
        <w:numPr>
          <w:ilvl w:val="0"/>
          <w:numId w:val="211"/>
        </w:numPr>
        <w:rPr>
          <w:bCs/>
          <w:szCs w:val="22"/>
        </w:rPr>
      </w:pPr>
      <w:r w:rsidRPr="00657A18">
        <w:rPr>
          <w:bCs/>
          <w:szCs w:val="22"/>
        </w:rPr>
        <w:t xml:space="preserve">Non-dissipative structures should be designed to resist seismic actions in the elastic range and their behaviour factor </w:t>
      </w:r>
      <w:r w:rsidRPr="00657A18">
        <w:rPr>
          <w:bCs/>
          <w:i/>
          <w:iCs/>
          <w:szCs w:val="22"/>
        </w:rPr>
        <w:t>q</w:t>
      </w:r>
      <w:r w:rsidRPr="00657A18">
        <w:rPr>
          <w:bCs/>
          <w:szCs w:val="22"/>
        </w:rPr>
        <w:t xml:space="preserve"> should be taken equal to 1,0.</w:t>
      </w:r>
    </w:p>
    <w:p w14:paraId="70C1E8A3" w14:textId="228F1943" w:rsidR="007B4C44" w:rsidRPr="008E47BA" w:rsidRDefault="007B4C44" w:rsidP="00657A18">
      <w:pPr>
        <w:pStyle w:val="Notetext"/>
      </w:pPr>
      <w:r w:rsidRPr="008E47BA">
        <w:t>NOTE</w:t>
      </w:r>
      <w:r w:rsidRPr="008E47BA">
        <w:tab/>
        <w:t>Non-dissipative design is used for structures for which a ductile behaviour can hardly be conceived, e.g. aluminium domes, or cannot be supported by research reference. It is also used for specific structural systems for which non-dissipative design can be safe and more economical.</w:t>
      </w:r>
    </w:p>
    <w:p w14:paraId="5A069665" w14:textId="435BE452" w:rsidR="007B4C44" w:rsidRPr="008E47BA" w:rsidRDefault="007B4C44" w:rsidP="0080187E">
      <w:pPr>
        <w:pStyle w:val="Clause"/>
        <w:numPr>
          <w:ilvl w:val="0"/>
          <w:numId w:val="96"/>
        </w:numPr>
        <w:rPr>
          <w:bCs/>
          <w:szCs w:val="22"/>
        </w:rPr>
      </w:pPr>
      <w:r>
        <w:rPr>
          <w:bCs/>
          <w:szCs w:val="22"/>
        </w:rPr>
        <w:t>pr</w:t>
      </w:r>
      <w:r w:rsidR="00C30FF9">
        <w:rPr>
          <w:bCs/>
          <w:szCs w:val="22"/>
        </w:rPr>
        <w:t>EN 1</w:t>
      </w:r>
      <w:r>
        <w:rPr>
          <w:bCs/>
          <w:szCs w:val="22"/>
        </w:rPr>
        <w:t>998-1-1:2022</w:t>
      </w:r>
      <w:r w:rsidRPr="008E47BA">
        <w:rPr>
          <w:bCs/>
          <w:szCs w:val="22"/>
        </w:rPr>
        <w:t xml:space="preserve">, </w:t>
      </w:r>
      <w:r w:rsidRPr="00835C82">
        <w:rPr>
          <w:bCs/>
          <w:szCs w:val="22"/>
        </w:rPr>
        <w:t>4.1(7)</w:t>
      </w:r>
      <w:r w:rsidRPr="008E47BA">
        <w:rPr>
          <w:bCs/>
          <w:szCs w:val="22"/>
        </w:rPr>
        <w:t xml:space="preserve">, may be used in the design of single-storey buildings; the limits of seismic action index </w:t>
      </w:r>
      <w:r w:rsidRPr="008E47BA">
        <w:rPr>
          <w:bCs/>
          <w:i/>
          <w:iCs/>
          <w:szCs w:val="22"/>
        </w:rPr>
        <w:t>S</w:t>
      </w:r>
      <w:r w:rsidRPr="008E47BA">
        <w:rPr>
          <w:bCs/>
          <w:szCs w:val="22"/>
          <w:vertAlign w:val="subscript"/>
        </w:rPr>
        <w:t>δ</w:t>
      </w:r>
      <w:r w:rsidRPr="008E47BA">
        <w:rPr>
          <w:bCs/>
          <w:szCs w:val="22"/>
        </w:rPr>
        <w:t xml:space="preserve"> for their design to DC1 in 15.4.3 may be waived, provided that the condition in </w:t>
      </w:r>
      <w:r w:rsidRPr="00835C82">
        <w:rPr>
          <w:szCs w:val="22"/>
        </w:rPr>
        <w:t>(4)</w:t>
      </w:r>
      <w:r w:rsidRPr="008E47BA">
        <w:rPr>
          <w:bCs/>
          <w:szCs w:val="22"/>
        </w:rPr>
        <w:t xml:space="preserve"> and in </w:t>
      </w:r>
      <w:r w:rsidRPr="00835C82">
        <w:rPr>
          <w:szCs w:val="22"/>
        </w:rPr>
        <w:t>15.6(3)b)</w:t>
      </w:r>
      <w:r w:rsidRPr="008E47BA">
        <w:rPr>
          <w:bCs/>
          <w:szCs w:val="22"/>
        </w:rPr>
        <w:t xml:space="preserve"> are satisfied.</w:t>
      </w:r>
    </w:p>
    <w:p w14:paraId="49C49129" w14:textId="049F50EA" w:rsidR="007B4C44" w:rsidRPr="008E47BA" w:rsidRDefault="007B4C44" w:rsidP="0080187E">
      <w:pPr>
        <w:pStyle w:val="Clause"/>
        <w:numPr>
          <w:ilvl w:val="0"/>
          <w:numId w:val="96"/>
        </w:numPr>
        <w:rPr>
          <w:bCs/>
          <w:szCs w:val="22"/>
        </w:rPr>
      </w:pPr>
      <w:r>
        <w:rPr>
          <w:bCs/>
          <w:szCs w:val="22"/>
        </w:rPr>
        <w:t>pr</w:t>
      </w:r>
      <w:r w:rsidR="00C30FF9">
        <w:rPr>
          <w:bCs/>
          <w:szCs w:val="22"/>
        </w:rPr>
        <w:t>EN 1</w:t>
      </w:r>
      <w:r>
        <w:rPr>
          <w:bCs/>
          <w:szCs w:val="22"/>
        </w:rPr>
        <w:t>998-1-1:2022</w:t>
      </w:r>
      <w:r w:rsidRPr="008E47BA">
        <w:rPr>
          <w:bCs/>
          <w:szCs w:val="22"/>
        </w:rPr>
        <w:t xml:space="preserve">, </w:t>
      </w:r>
      <w:r w:rsidRPr="00835C82">
        <w:rPr>
          <w:bCs/>
          <w:szCs w:val="22"/>
        </w:rPr>
        <w:t>4.1(7)</w:t>
      </w:r>
      <w:r w:rsidRPr="008E47BA">
        <w:rPr>
          <w:bCs/>
          <w:szCs w:val="22"/>
        </w:rPr>
        <w:t xml:space="preserve">, may be used without limitation of the seismic action index </w:t>
      </w:r>
      <w:r w:rsidRPr="008E47BA">
        <w:rPr>
          <w:bCs/>
          <w:i/>
          <w:iCs/>
          <w:szCs w:val="22"/>
        </w:rPr>
        <w:t>S</w:t>
      </w:r>
      <w:r w:rsidRPr="008E47BA">
        <w:rPr>
          <w:bCs/>
          <w:szCs w:val="22"/>
          <w:vertAlign w:val="subscript"/>
        </w:rPr>
        <w:t>δ</w:t>
      </w:r>
      <w:r w:rsidRPr="008E47BA">
        <w:rPr>
          <w:bCs/>
          <w:szCs w:val="22"/>
        </w:rPr>
        <w:t xml:space="preserve"> in the design of structural systems which cannot be assigned to one of the types in </w:t>
      </w:r>
      <w:r w:rsidRPr="00835C82">
        <w:rPr>
          <w:szCs w:val="22"/>
        </w:rPr>
        <w:t>15.4.1(1) a)</w:t>
      </w:r>
      <w:r w:rsidRPr="008E47BA">
        <w:rPr>
          <w:bCs/>
          <w:szCs w:val="22"/>
        </w:rPr>
        <w:t xml:space="preserve"> to </w:t>
      </w:r>
      <w:r w:rsidRPr="00835C82">
        <w:rPr>
          <w:szCs w:val="22"/>
        </w:rPr>
        <w:t>d)</w:t>
      </w:r>
      <w:r w:rsidRPr="008E47BA">
        <w:rPr>
          <w:bCs/>
          <w:szCs w:val="22"/>
        </w:rPr>
        <w:t xml:space="preserve">, provided that the conditions in </w:t>
      </w:r>
      <w:r w:rsidRPr="00835C82">
        <w:rPr>
          <w:szCs w:val="22"/>
        </w:rPr>
        <w:t>(4)</w:t>
      </w:r>
      <w:r w:rsidRPr="008E47BA">
        <w:rPr>
          <w:bCs/>
          <w:szCs w:val="22"/>
        </w:rPr>
        <w:t xml:space="preserve"> and in </w:t>
      </w:r>
      <w:r w:rsidRPr="00835C82">
        <w:rPr>
          <w:szCs w:val="22"/>
        </w:rPr>
        <w:t>15.6(3)b)</w:t>
      </w:r>
      <w:r w:rsidRPr="008E47BA">
        <w:rPr>
          <w:bCs/>
          <w:szCs w:val="22"/>
        </w:rPr>
        <w:t xml:space="preserve"> are satisfied.</w:t>
      </w:r>
    </w:p>
    <w:p w14:paraId="15019E06" w14:textId="7FE0BCA3" w:rsidR="007B4C44" w:rsidRPr="008E47BA" w:rsidRDefault="007B4C44" w:rsidP="0080187E">
      <w:pPr>
        <w:pStyle w:val="Clause"/>
        <w:numPr>
          <w:ilvl w:val="0"/>
          <w:numId w:val="96"/>
        </w:numPr>
        <w:rPr>
          <w:bCs/>
          <w:szCs w:val="22"/>
        </w:rPr>
      </w:pPr>
      <w:r w:rsidRPr="008E47BA">
        <w:rPr>
          <w:bCs/>
          <w:szCs w:val="22"/>
        </w:rPr>
        <w:t xml:space="preserve">The connections should be designed for action effects calculated for the return period </w:t>
      </w:r>
      <w:r w:rsidRPr="008E47BA">
        <w:rPr>
          <w:bCs/>
          <w:i/>
          <w:iCs/>
          <w:szCs w:val="22"/>
        </w:rPr>
        <w:t>T</w:t>
      </w:r>
      <w:r w:rsidRPr="008E47BA">
        <w:rPr>
          <w:bCs/>
          <w:szCs w:val="22"/>
          <w:vertAlign w:val="subscript"/>
        </w:rPr>
        <w:t>LS,CC</w:t>
      </w:r>
      <w:r w:rsidRPr="008E47BA">
        <w:rPr>
          <w:bCs/>
          <w:szCs w:val="22"/>
        </w:rPr>
        <w:t xml:space="preserve"> at the NC limit state given in Table 4.3 (when using </w:t>
      </w:r>
      <w:r>
        <w:rPr>
          <w:bCs/>
          <w:szCs w:val="22"/>
        </w:rPr>
        <w:t>pr</w:t>
      </w:r>
      <w:r w:rsidR="00C30FF9">
        <w:rPr>
          <w:bCs/>
          <w:szCs w:val="22"/>
        </w:rPr>
        <w:t>EN 1</w:t>
      </w:r>
      <w:r>
        <w:rPr>
          <w:bCs/>
          <w:szCs w:val="22"/>
        </w:rPr>
        <w:t>99</w:t>
      </w:r>
      <w:r w:rsidRPr="008E47BA">
        <w:rPr>
          <w:bCs/>
          <w:szCs w:val="22"/>
        </w:rPr>
        <w:t>8-1-1</w:t>
      </w:r>
      <w:r>
        <w:rPr>
          <w:bCs/>
          <w:szCs w:val="22"/>
        </w:rPr>
        <w:t xml:space="preserve">, </w:t>
      </w:r>
      <w:r w:rsidRPr="00835C82">
        <w:rPr>
          <w:szCs w:val="22"/>
        </w:rPr>
        <w:t>4.3(3)</w:t>
      </w:r>
      <w:r w:rsidRPr="008E47BA">
        <w:rPr>
          <w:bCs/>
          <w:szCs w:val="22"/>
        </w:rPr>
        <w:t xml:space="preserve">) or the performance factor </w:t>
      </w:r>
      <w:r w:rsidRPr="008E47BA">
        <w:rPr>
          <w:bCs/>
          <w:i/>
          <w:iCs/>
          <w:szCs w:val="22"/>
        </w:rPr>
        <w:t>γ</w:t>
      </w:r>
      <w:r w:rsidRPr="008E47BA">
        <w:rPr>
          <w:bCs/>
          <w:szCs w:val="22"/>
          <w:vertAlign w:val="subscript"/>
        </w:rPr>
        <w:t>LS,CC</w:t>
      </w:r>
      <w:r w:rsidRPr="008E47BA">
        <w:rPr>
          <w:bCs/>
          <w:szCs w:val="22"/>
        </w:rPr>
        <w:t xml:space="preserve"> at the NC limit state given in Table 4.4 (when using </w:t>
      </w:r>
      <w:r>
        <w:rPr>
          <w:bCs/>
          <w:szCs w:val="22"/>
        </w:rPr>
        <w:t>pr</w:t>
      </w:r>
      <w:r w:rsidR="00C30FF9">
        <w:rPr>
          <w:bCs/>
          <w:szCs w:val="22"/>
        </w:rPr>
        <w:t>EN 1</w:t>
      </w:r>
      <w:r>
        <w:rPr>
          <w:bCs/>
          <w:szCs w:val="22"/>
        </w:rPr>
        <w:t>99</w:t>
      </w:r>
      <w:r w:rsidRPr="008E47BA">
        <w:rPr>
          <w:bCs/>
          <w:szCs w:val="22"/>
        </w:rPr>
        <w:t>8-1-1</w:t>
      </w:r>
      <w:r>
        <w:rPr>
          <w:bCs/>
          <w:szCs w:val="22"/>
        </w:rPr>
        <w:t xml:space="preserve">, </w:t>
      </w:r>
      <w:r w:rsidRPr="00835C82">
        <w:rPr>
          <w:szCs w:val="22"/>
        </w:rPr>
        <w:t>4.3(5)</w:t>
      </w:r>
      <w:r w:rsidRPr="008E47BA">
        <w:rPr>
          <w:bCs/>
          <w:szCs w:val="22"/>
        </w:rPr>
        <w:t>).</w:t>
      </w:r>
    </w:p>
    <w:p w14:paraId="7A1814A2" w14:textId="77777777" w:rsidR="007B4C44" w:rsidRPr="00657A18" w:rsidRDefault="007B4C44" w:rsidP="00657A18">
      <w:pPr>
        <w:pStyle w:val="Heading2"/>
      </w:pPr>
      <w:bookmarkStart w:id="10954" w:name="_Toc3399380"/>
      <w:bookmarkStart w:id="10955" w:name="_Toc50150666"/>
      <w:bookmarkStart w:id="10956" w:name="_Toc70887099"/>
      <w:bookmarkStart w:id="10957" w:name="_Toc108342683"/>
      <w:bookmarkStart w:id="10958" w:name="_Toc134198192"/>
      <w:r w:rsidRPr="00657A18">
        <w:t>Design rules for dissipative (DC2) structural behaviour common to all structural types</w:t>
      </w:r>
      <w:bookmarkEnd w:id="10954"/>
      <w:bookmarkEnd w:id="10955"/>
      <w:bookmarkEnd w:id="10956"/>
      <w:bookmarkEnd w:id="10957"/>
      <w:bookmarkEnd w:id="10958"/>
    </w:p>
    <w:p w14:paraId="08DC7D7F" w14:textId="77777777" w:rsidR="007B4C44" w:rsidRPr="00657A18" w:rsidRDefault="007B4C44" w:rsidP="00657A18">
      <w:pPr>
        <w:pStyle w:val="Heading3"/>
      </w:pPr>
      <w:bookmarkStart w:id="10959" w:name="_Toc3399381"/>
      <w:bookmarkStart w:id="10960" w:name="_Toc50150667"/>
      <w:bookmarkStart w:id="10961" w:name="_Toc70887100"/>
      <w:bookmarkStart w:id="10962" w:name="_Toc108342684"/>
      <w:bookmarkStart w:id="10963" w:name="_Toc134198193"/>
      <w:r w:rsidRPr="00657A18">
        <w:t>General</w:t>
      </w:r>
      <w:bookmarkEnd w:id="10959"/>
      <w:bookmarkEnd w:id="10960"/>
      <w:bookmarkEnd w:id="10961"/>
      <w:bookmarkEnd w:id="10962"/>
      <w:bookmarkEnd w:id="10963"/>
    </w:p>
    <w:p w14:paraId="0DC72152" w14:textId="66080EE7" w:rsidR="007B4C44" w:rsidRPr="00132C1E" w:rsidRDefault="007B4C44" w:rsidP="0080187E">
      <w:pPr>
        <w:pStyle w:val="Clause"/>
        <w:numPr>
          <w:ilvl w:val="0"/>
          <w:numId w:val="534"/>
        </w:numPr>
      </w:pPr>
      <w:r w:rsidRPr="00835C82">
        <w:t>15.8.2</w:t>
      </w:r>
      <w:r w:rsidRPr="00657A18">
        <w:t xml:space="preserve"> to </w:t>
      </w:r>
      <w:r w:rsidRPr="00835C82">
        <w:t>15.8.5</w:t>
      </w:r>
      <w:r w:rsidRPr="00657A18">
        <w:t xml:space="preserve"> </w:t>
      </w:r>
      <w:r w:rsidRPr="00132C1E">
        <w:t>should be applied to the members of the primary structures designed for dissipative behaviour.</w:t>
      </w:r>
    </w:p>
    <w:p w14:paraId="2B55F266" w14:textId="6783EEDB" w:rsidR="007B4C44" w:rsidRPr="00132C1E" w:rsidRDefault="007B4C44" w:rsidP="00657A18">
      <w:pPr>
        <w:pStyle w:val="Heading3"/>
      </w:pPr>
      <w:bookmarkStart w:id="10964" w:name="_Toc3399382"/>
      <w:bookmarkStart w:id="10965" w:name="_Toc50150668"/>
      <w:bookmarkStart w:id="10966" w:name="_Toc70887101"/>
      <w:bookmarkStart w:id="10967" w:name="_Toc108342685"/>
      <w:bookmarkStart w:id="10968" w:name="_Toc134198194"/>
      <w:r w:rsidRPr="00132C1E">
        <w:t>Design criteria for dissipative structures</w:t>
      </w:r>
      <w:bookmarkEnd w:id="10964"/>
      <w:bookmarkEnd w:id="10965"/>
      <w:bookmarkEnd w:id="10966"/>
      <w:bookmarkEnd w:id="10967"/>
      <w:bookmarkEnd w:id="10968"/>
    </w:p>
    <w:p w14:paraId="1B4101F5" w14:textId="3F62B01C" w:rsidR="007B4C44" w:rsidRPr="00132C1E" w:rsidRDefault="007B4C44" w:rsidP="0080187E">
      <w:pPr>
        <w:pStyle w:val="Clause"/>
        <w:numPr>
          <w:ilvl w:val="0"/>
          <w:numId w:val="535"/>
        </w:numPr>
      </w:pPr>
      <w:r w:rsidRPr="00835C82">
        <w:t>11.8.2(1)</w:t>
      </w:r>
      <w:r w:rsidRPr="00657A18">
        <w:t xml:space="preserve"> and </w:t>
      </w:r>
      <w:r w:rsidRPr="00835C82">
        <w:t>(2)</w:t>
      </w:r>
      <w:r w:rsidRPr="00657A18">
        <w:t xml:space="preserve"> </w:t>
      </w:r>
      <w:r w:rsidRPr="00132C1E">
        <w:t>should be applied in aluminium buildings.</w:t>
      </w:r>
    </w:p>
    <w:p w14:paraId="27F4D1BF" w14:textId="35EE8829" w:rsidR="007B4C44" w:rsidRPr="00132C1E" w:rsidRDefault="007B4C44" w:rsidP="00724E4E">
      <w:pPr>
        <w:pStyle w:val="Clause"/>
      </w:pPr>
      <w:r w:rsidRPr="00132C1E">
        <w:t>Dissipative zones may be located in the structural members.</w:t>
      </w:r>
    </w:p>
    <w:p w14:paraId="761F59A3" w14:textId="1AEA6CE1" w:rsidR="007B4C44" w:rsidRPr="00132C1E" w:rsidRDefault="007B4C44" w:rsidP="00724E4E">
      <w:pPr>
        <w:pStyle w:val="Clause"/>
      </w:pPr>
      <w:r w:rsidRPr="00132C1E">
        <w:t>The non-dissipative parts and the connections of the dissipative parts to the rest of the structure should have sufficient overstrength to allow the development of cyclic yielding in the dissipative parts.</w:t>
      </w:r>
    </w:p>
    <w:p w14:paraId="2BBEA678" w14:textId="38F6EDEE" w:rsidR="007B4C44" w:rsidRPr="00132C1E" w:rsidRDefault="007B4C44" w:rsidP="00724E4E">
      <w:pPr>
        <w:pStyle w:val="Clause"/>
      </w:pPr>
      <w:r w:rsidRPr="00132C1E">
        <w:t>The use of transversal welds in dissipative zones should be avoided.</w:t>
      </w:r>
    </w:p>
    <w:p w14:paraId="4C0524EE" w14:textId="2F3A6A08" w:rsidR="007B4C44" w:rsidRPr="00132C1E" w:rsidRDefault="007B4C44" w:rsidP="00657A18">
      <w:pPr>
        <w:pStyle w:val="Heading3"/>
      </w:pPr>
      <w:bookmarkStart w:id="10969" w:name="_Toc3399383"/>
      <w:bookmarkStart w:id="10970" w:name="_Toc50150669"/>
      <w:bookmarkStart w:id="10971" w:name="_Toc70887102"/>
      <w:bookmarkStart w:id="10972" w:name="_Toc108342686"/>
      <w:bookmarkStart w:id="10973" w:name="_Toc134198195"/>
      <w:r w:rsidRPr="00132C1E">
        <w:lastRenderedPageBreak/>
        <w:t>Design rules for dissipative members in compression or bending</w:t>
      </w:r>
      <w:bookmarkEnd w:id="10969"/>
      <w:bookmarkEnd w:id="10970"/>
      <w:bookmarkEnd w:id="10971"/>
      <w:bookmarkEnd w:id="10972"/>
      <w:bookmarkEnd w:id="10973"/>
    </w:p>
    <w:p w14:paraId="7C66A868" w14:textId="21609A34" w:rsidR="007B4C44" w:rsidRPr="00132C1E" w:rsidRDefault="007B4C44" w:rsidP="0080187E">
      <w:pPr>
        <w:pStyle w:val="Clause"/>
        <w:numPr>
          <w:ilvl w:val="0"/>
          <w:numId w:val="536"/>
        </w:numPr>
      </w:pPr>
      <w:r w:rsidRPr="00132C1E">
        <w:t xml:space="preserve">Members which dissipate energy in compression or bending should be limited to cross-sectional class 1 in </w:t>
      </w:r>
      <w:r w:rsidR="00C30FF9">
        <w:t>EN 1</w:t>
      </w:r>
      <w:r w:rsidRPr="00657A18">
        <w:t>999-1-1.</w:t>
      </w:r>
    </w:p>
    <w:p w14:paraId="095797D8" w14:textId="7E246674" w:rsidR="007B4C44" w:rsidRPr="00657A18" w:rsidRDefault="007B4C44" w:rsidP="00657A18">
      <w:pPr>
        <w:pStyle w:val="Heading3"/>
      </w:pPr>
      <w:bookmarkStart w:id="10974" w:name="_Toc3399384"/>
      <w:bookmarkStart w:id="10975" w:name="_Toc50150670"/>
      <w:bookmarkStart w:id="10976" w:name="_Toc70887103"/>
      <w:bookmarkStart w:id="10977" w:name="_Toc108342687"/>
      <w:bookmarkStart w:id="10978" w:name="_Toc134198196"/>
      <w:r w:rsidRPr="00657A18">
        <w:t>Design rules for dissipative parts of members in tension</w:t>
      </w:r>
      <w:bookmarkEnd w:id="10974"/>
      <w:bookmarkEnd w:id="10975"/>
      <w:bookmarkEnd w:id="10976"/>
      <w:bookmarkEnd w:id="10977"/>
      <w:bookmarkEnd w:id="10978"/>
    </w:p>
    <w:p w14:paraId="0068E8E7" w14:textId="6CCAE9C7" w:rsidR="007B4C44" w:rsidRPr="00132C1E" w:rsidRDefault="007B4C44" w:rsidP="0080187E">
      <w:pPr>
        <w:pStyle w:val="Clause"/>
        <w:numPr>
          <w:ilvl w:val="0"/>
          <w:numId w:val="537"/>
        </w:numPr>
      </w:pPr>
      <w:r w:rsidRPr="00132C1E">
        <w:t xml:space="preserve">For tension members or parts of members in tension, the ductility </w:t>
      </w:r>
      <w:r w:rsidRPr="00146231">
        <w:rPr>
          <w:color w:val="auto"/>
        </w:rPr>
        <w:t xml:space="preserve">requirement of </w:t>
      </w:r>
      <w:r w:rsidR="00C30FF9" w:rsidRPr="00146231">
        <w:rPr>
          <w:color w:val="auto"/>
        </w:rPr>
        <w:t>EN 1</w:t>
      </w:r>
      <w:r w:rsidRPr="00146231">
        <w:rPr>
          <w:color w:val="auto"/>
        </w:rPr>
        <w:t>999</w:t>
      </w:r>
      <w:r w:rsidRPr="00657A18">
        <w:t xml:space="preserve">-1-1 </w:t>
      </w:r>
      <w:r w:rsidRPr="00132C1E">
        <w:t xml:space="preserve">should be </w:t>
      </w:r>
      <w:r>
        <w:t>satisfied</w:t>
      </w:r>
      <w:r w:rsidRPr="00132C1E">
        <w:t>.</w:t>
      </w:r>
    </w:p>
    <w:p w14:paraId="53BB9892" w14:textId="4FA9AA06" w:rsidR="007B4C44" w:rsidRPr="00657A18" w:rsidRDefault="007B4C44" w:rsidP="00657A18">
      <w:pPr>
        <w:pStyle w:val="Heading3"/>
      </w:pPr>
      <w:bookmarkStart w:id="10979" w:name="_Toc3399385"/>
      <w:bookmarkStart w:id="10980" w:name="_Toc50150671"/>
      <w:bookmarkStart w:id="10981" w:name="_Toc70887104"/>
      <w:bookmarkStart w:id="10982" w:name="_Toc108342688"/>
      <w:bookmarkStart w:id="10983" w:name="_Toc134198197"/>
      <w:r w:rsidRPr="00657A18">
        <w:t>Design rules for non-dissipative members</w:t>
      </w:r>
      <w:bookmarkEnd w:id="10979"/>
      <w:bookmarkEnd w:id="10980"/>
      <w:bookmarkEnd w:id="10981"/>
      <w:bookmarkEnd w:id="10982"/>
      <w:bookmarkEnd w:id="10983"/>
    </w:p>
    <w:p w14:paraId="5ED8EAC9" w14:textId="372B0A38" w:rsidR="007B4C44" w:rsidRPr="00132C1E" w:rsidRDefault="007B4C44" w:rsidP="0080187E">
      <w:pPr>
        <w:pStyle w:val="Clause"/>
        <w:numPr>
          <w:ilvl w:val="0"/>
          <w:numId w:val="538"/>
        </w:numPr>
      </w:pPr>
      <w:r w:rsidRPr="00132C1E">
        <w:t>The strength and stability of non-dissipative members in DC2 should be verified considering the most unfavourable combination of the axial force</w:t>
      </w:r>
      <w:r w:rsidRPr="00FB5B3D">
        <w:rPr>
          <w:i/>
        </w:rPr>
        <w:t xml:space="preserve"> N</w:t>
      </w:r>
      <w:r w:rsidRPr="00FB5B3D">
        <w:rPr>
          <w:vertAlign w:val="subscript"/>
        </w:rPr>
        <w:t>Ed</w:t>
      </w:r>
      <w:r w:rsidRPr="00132C1E">
        <w:t xml:space="preserve">, bending moments </w:t>
      </w:r>
      <w:r w:rsidRPr="00FB5B3D">
        <w:rPr>
          <w:i/>
        </w:rPr>
        <w:t>M</w:t>
      </w:r>
      <w:r w:rsidRPr="00FB5B3D">
        <w:rPr>
          <w:vertAlign w:val="subscript"/>
        </w:rPr>
        <w:t>Ed</w:t>
      </w:r>
      <w:r w:rsidRPr="00132C1E">
        <w:t xml:space="preserve"> and shear force</w:t>
      </w:r>
      <w:r w:rsidRPr="00FB5B3D">
        <w:rPr>
          <w:i/>
        </w:rPr>
        <w:t xml:space="preserve"> V</w:t>
      </w:r>
      <w:r w:rsidRPr="00FB5B3D">
        <w:rPr>
          <w:vertAlign w:val="subscript"/>
        </w:rPr>
        <w:t>Ed</w:t>
      </w:r>
      <w:r w:rsidRPr="00132C1E">
        <w:t xml:space="preserve">, calculated according </w:t>
      </w:r>
      <w:r w:rsidRPr="00657A18">
        <w:t>to Formula (15.</w:t>
      </w:r>
      <w:r w:rsidRPr="00C46ABE">
        <w:t>1)</w:t>
      </w:r>
      <w:r w:rsidRPr="00132C1E">
        <w:t>.</w:t>
      </w:r>
    </w:p>
    <w:p w14:paraId="4CC7005D" w14:textId="44F2302B" w:rsidR="00C46ABE" w:rsidRDefault="009B5CEC" w:rsidP="00C46ABE">
      <w:pPr>
        <w:pStyle w:val="Formula"/>
        <w:spacing w:before="240"/>
      </w:pPr>
      <m:oMath>
        <m:m>
          <m:mPr>
            <m:mcs>
              <m:mc>
                <m:mcPr>
                  <m:count m:val="1"/>
                  <m:mcJc m:val="center"/>
                </m:mcPr>
              </m:mc>
            </m:mcs>
            <m:ctrlPr>
              <w:rPr>
                <w:rFonts w:ascii="Cambria Math" w:hAnsi="Cambria Math"/>
              </w:rPr>
            </m:ctrlPr>
          </m:mPr>
          <m:mr>
            <m:e>
              <m:sSub>
                <m:sSubPr>
                  <m:ctrlPr>
                    <w:rPr>
                      <w:rFonts w:ascii="Cambria Math" w:hAnsi="Cambria Math"/>
                      <w:i/>
                      <w:noProof/>
                    </w:rPr>
                  </m:ctrlPr>
                </m:sSubPr>
                <m:e>
                  <m:r>
                    <w:rPr>
                      <w:rFonts w:ascii="Cambria Math" w:hAnsi="Cambria Math"/>
                      <w:noProof/>
                    </w:rPr>
                    <m:t>N</m:t>
                  </m:r>
                </m:e>
                <m:sub>
                  <m:r>
                    <m:rPr>
                      <m:sty m:val="p"/>
                    </m:rPr>
                    <w:rPr>
                      <w:rFonts w:ascii="Cambria Math" w:hAnsi="Cambria Math"/>
                      <w:noProof/>
                    </w:rPr>
                    <m:t>Ed</m:t>
                  </m:r>
                </m:sub>
              </m:sSub>
              <m:r>
                <w:rPr>
                  <w:rFonts w:ascii="Cambria Math" w:hAnsi="Cambria Math"/>
                  <w:noProof/>
                </w:rPr>
                <m:t>=</m:t>
              </m:r>
              <m:sSub>
                <m:sSubPr>
                  <m:ctrlPr>
                    <w:rPr>
                      <w:rFonts w:ascii="Cambria Math" w:hAnsi="Cambria Math"/>
                      <w:i/>
                      <w:noProof/>
                    </w:rPr>
                  </m:ctrlPr>
                </m:sSubPr>
                <m:e>
                  <m:r>
                    <w:rPr>
                      <w:rFonts w:ascii="Cambria Math" w:hAnsi="Cambria Math"/>
                      <w:noProof/>
                    </w:rPr>
                    <m:t>N</m:t>
                  </m:r>
                </m:e>
                <m:sub>
                  <m:r>
                    <m:rPr>
                      <m:sty m:val="p"/>
                    </m:rPr>
                    <w:rPr>
                      <w:rFonts w:ascii="Cambria Math" w:hAnsi="Cambria Math"/>
                      <w:noProof/>
                    </w:rPr>
                    <m:t>Ed,G</m:t>
                  </m:r>
                </m:sub>
              </m:sSub>
              <m:r>
                <w:rPr>
                  <w:rFonts w:ascii="Cambria Math" w:hAnsi="Cambria Math"/>
                  <w:noProof/>
                </w:rPr>
                <m:t xml:space="preserve"> "</m:t>
              </m:r>
              <m:r>
                <m:rPr>
                  <m:nor/>
                </m:rPr>
                <w:rPr>
                  <w:rFonts w:ascii="Cambria Math" w:hAnsi="Cambria Math"/>
                  <w:noProof/>
                </w:rPr>
                <m:t>+"</m:t>
              </m:r>
              <m:r>
                <w:rPr>
                  <w:rFonts w:ascii="Cambria Math" w:hAnsi="Cambria Math"/>
                  <w:noProof/>
                </w:rPr>
                <m:t xml:space="preserve"> </m:t>
              </m:r>
              <m:sSub>
                <m:sSubPr>
                  <m:ctrlPr>
                    <w:rPr>
                      <w:rFonts w:ascii="Cambria Math" w:hAnsi="Cambria Math"/>
                      <w:i/>
                      <w:noProof/>
                    </w:rPr>
                  </m:ctrlPr>
                </m:sSubPr>
                <m:e>
                  <m:r>
                    <w:rPr>
                      <w:rFonts w:ascii="Cambria Math" w:hAnsi="Cambria Math"/>
                      <w:noProof/>
                    </w:rPr>
                    <m:t>Ω∙N</m:t>
                  </m:r>
                </m:e>
                <m:sub>
                  <m:r>
                    <m:rPr>
                      <m:sty m:val="p"/>
                    </m:rPr>
                    <w:rPr>
                      <w:rFonts w:ascii="Cambria Math" w:hAnsi="Cambria Math"/>
                      <w:noProof/>
                    </w:rPr>
                    <m:t>Ed,E</m:t>
                  </m:r>
                  <m:r>
                    <w:rPr>
                      <w:rFonts w:ascii="Cambria Math" w:hAnsi="Cambria Math"/>
                      <w:noProof/>
                    </w:rPr>
                    <m:t xml:space="preserve"> </m:t>
                  </m:r>
                </m:sub>
              </m:sSub>
            </m:e>
          </m:mr>
          <m:mr>
            <m:e>
              <m:sSub>
                <m:sSubPr>
                  <m:ctrlPr>
                    <w:rPr>
                      <w:rFonts w:ascii="Cambria Math" w:hAnsi="Cambria Math"/>
                      <w:i/>
                      <w:noProof/>
                    </w:rPr>
                  </m:ctrlPr>
                </m:sSubPr>
                <m:e>
                  <m:r>
                    <w:rPr>
                      <w:rFonts w:ascii="Cambria Math" w:hAnsi="Cambria Math"/>
                      <w:noProof/>
                    </w:rPr>
                    <m:t>M</m:t>
                  </m:r>
                </m:e>
                <m:sub>
                  <m:r>
                    <m:rPr>
                      <m:sty m:val="p"/>
                    </m:rPr>
                    <w:rPr>
                      <w:rFonts w:ascii="Cambria Math" w:hAnsi="Cambria Math"/>
                      <w:noProof/>
                    </w:rPr>
                    <m:t>Ed</m:t>
                  </m:r>
                </m:sub>
              </m:sSub>
              <m:r>
                <w:rPr>
                  <w:rFonts w:ascii="Cambria Math" w:hAnsi="Cambria Math"/>
                  <w:noProof/>
                </w:rPr>
                <m:t>=</m:t>
              </m:r>
              <m:sSub>
                <m:sSubPr>
                  <m:ctrlPr>
                    <w:rPr>
                      <w:rFonts w:ascii="Cambria Math" w:hAnsi="Cambria Math"/>
                      <w:i/>
                      <w:noProof/>
                    </w:rPr>
                  </m:ctrlPr>
                </m:sSubPr>
                <m:e>
                  <m:r>
                    <w:rPr>
                      <w:rFonts w:ascii="Cambria Math" w:hAnsi="Cambria Math"/>
                      <w:noProof/>
                    </w:rPr>
                    <m:t>M</m:t>
                  </m:r>
                </m:e>
                <m:sub>
                  <m:r>
                    <m:rPr>
                      <m:sty m:val="p"/>
                    </m:rPr>
                    <w:rPr>
                      <w:rFonts w:ascii="Cambria Math" w:hAnsi="Cambria Math"/>
                      <w:noProof/>
                    </w:rPr>
                    <m:t>Ed,G</m:t>
                  </m:r>
                </m:sub>
              </m:sSub>
              <m:r>
                <w:rPr>
                  <w:rFonts w:ascii="Cambria Math" w:hAnsi="Cambria Math"/>
                  <w:noProof/>
                </w:rPr>
                <m:t xml:space="preserve"> "+" </m:t>
              </m:r>
              <m:sSub>
                <m:sSubPr>
                  <m:ctrlPr>
                    <w:rPr>
                      <w:rFonts w:ascii="Cambria Math" w:hAnsi="Cambria Math"/>
                      <w:i/>
                      <w:noProof/>
                    </w:rPr>
                  </m:ctrlPr>
                </m:sSubPr>
                <m:e>
                  <m:r>
                    <w:rPr>
                      <w:rFonts w:ascii="Cambria Math" w:hAnsi="Cambria Math"/>
                      <w:noProof/>
                    </w:rPr>
                    <m:t>Ω∙M</m:t>
                  </m:r>
                </m:e>
                <m:sub>
                  <m:r>
                    <m:rPr>
                      <m:sty m:val="p"/>
                    </m:rPr>
                    <w:rPr>
                      <w:rFonts w:ascii="Cambria Math" w:hAnsi="Cambria Math"/>
                      <w:noProof/>
                    </w:rPr>
                    <m:t>Ed,E</m:t>
                  </m:r>
                </m:sub>
              </m:sSub>
            </m:e>
          </m:mr>
          <m:mr>
            <m:e>
              <m:sSub>
                <m:sSubPr>
                  <m:ctrlPr>
                    <w:rPr>
                      <w:rFonts w:ascii="Cambria Math" w:hAnsi="Cambria Math"/>
                      <w:i/>
                      <w:noProof/>
                    </w:rPr>
                  </m:ctrlPr>
                </m:sSubPr>
                <m:e>
                  <m:r>
                    <w:rPr>
                      <w:rFonts w:ascii="Cambria Math" w:hAnsi="Cambria Math"/>
                      <w:noProof/>
                    </w:rPr>
                    <m:t>V</m:t>
                  </m:r>
                </m:e>
                <m:sub>
                  <m:r>
                    <m:rPr>
                      <m:sty m:val="p"/>
                    </m:rPr>
                    <w:rPr>
                      <w:rFonts w:ascii="Cambria Math" w:hAnsi="Cambria Math"/>
                      <w:noProof/>
                    </w:rPr>
                    <m:t>Ed</m:t>
                  </m:r>
                </m:sub>
              </m:sSub>
              <m:r>
                <w:rPr>
                  <w:rFonts w:ascii="Cambria Math" w:hAnsi="Cambria Math"/>
                  <w:noProof/>
                </w:rPr>
                <m:t>=</m:t>
              </m:r>
              <m:sSub>
                <m:sSubPr>
                  <m:ctrlPr>
                    <w:rPr>
                      <w:rFonts w:ascii="Cambria Math" w:hAnsi="Cambria Math"/>
                      <w:i/>
                      <w:noProof/>
                    </w:rPr>
                  </m:ctrlPr>
                </m:sSubPr>
                <m:e>
                  <m:r>
                    <w:rPr>
                      <w:rFonts w:ascii="Cambria Math" w:hAnsi="Cambria Math"/>
                      <w:noProof/>
                    </w:rPr>
                    <m:t>V</m:t>
                  </m:r>
                </m:e>
                <m:sub>
                  <m:r>
                    <m:rPr>
                      <m:sty m:val="p"/>
                    </m:rPr>
                    <w:rPr>
                      <w:rFonts w:ascii="Cambria Math" w:hAnsi="Cambria Math"/>
                      <w:noProof/>
                    </w:rPr>
                    <m:t>Ed,G</m:t>
                  </m:r>
                </m:sub>
              </m:sSub>
              <m:r>
                <w:rPr>
                  <w:rFonts w:ascii="Cambria Math" w:hAnsi="Cambria Math"/>
                  <w:noProof/>
                </w:rPr>
                <m:t xml:space="preserve"> "+" </m:t>
              </m:r>
              <m:sSub>
                <m:sSubPr>
                  <m:ctrlPr>
                    <w:rPr>
                      <w:rFonts w:ascii="Cambria Math" w:hAnsi="Cambria Math"/>
                      <w:i/>
                      <w:noProof/>
                    </w:rPr>
                  </m:ctrlPr>
                </m:sSubPr>
                <m:e>
                  <m:r>
                    <w:rPr>
                      <w:rFonts w:ascii="Cambria Math" w:hAnsi="Cambria Math"/>
                      <w:noProof/>
                    </w:rPr>
                    <m:t>Ω∙V</m:t>
                  </m:r>
                </m:e>
                <m:sub>
                  <m:r>
                    <m:rPr>
                      <m:sty m:val="p"/>
                    </m:rPr>
                    <w:rPr>
                      <w:rFonts w:ascii="Cambria Math" w:hAnsi="Cambria Math"/>
                      <w:noProof/>
                    </w:rPr>
                    <m:t>Ed,E</m:t>
                  </m:r>
                </m:sub>
              </m:sSub>
            </m:e>
          </m:mr>
        </m:m>
      </m:oMath>
      <w:r w:rsidR="00C46ABE" w:rsidRPr="00870D59">
        <w:tab/>
        <w:t>(1</w:t>
      </w:r>
      <w:r w:rsidR="00C46ABE">
        <w:t>5</w:t>
      </w:r>
      <w:r w:rsidR="00C46ABE" w:rsidRPr="00870D59">
        <w:t>.</w:t>
      </w:r>
      <w:r w:rsidR="00C46ABE">
        <w:t>1</w:t>
      </w:r>
      <w:r w:rsidR="00C46ABE" w:rsidRPr="00870D59">
        <w:t>)</w:t>
      </w:r>
    </w:p>
    <w:p w14:paraId="0965D6E4" w14:textId="106F86E5" w:rsidR="00C46ABE" w:rsidRPr="001B2671" w:rsidRDefault="00675EBA" w:rsidP="00C46ABE">
      <w:pPr>
        <w:pStyle w:val="BodyText"/>
      </w:pPr>
      <w:r>
        <w:t>where</w:t>
      </w:r>
    </w:p>
    <w:tbl>
      <w:tblPr>
        <w:tblW w:w="0" w:type="auto"/>
        <w:tblInd w:w="346" w:type="dxa"/>
        <w:tblLook w:val="04A0" w:firstRow="1" w:lastRow="0" w:firstColumn="1" w:lastColumn="0" w:noHBand="0" w:noVBand="1"/>
      </w:tblPr>
      <w:tblGrid>
        <w:gridCol w:w="1275"/>
        <w:gridCol w:w="7938"/>
      </w:tblGrid>
      <w:tr w:rsidR="00C46ABE" w:rsidRPr="000F2AFF" w14:paraId="01529F9E" w14:textId="77777777" w:rsidTr="008A133F">
        <w:tc>
          <w:tcPr>
            <w:tcW w:w="1275" w:type="dxa"/>
          </w:tcPr>
          <w:p w14:paraId="22F199E9" w14:textId="6074E450" w:rsidR="00C46ABE" w:rsidRPr="00736D6A" w:rsidRDefault="00C46ABE" w:rsidP="002061E5">
            <w:pPr>
              <w:spacing w:after="60"/>
              <w:jc w:val="left"/>
              <w:rPr>
                <w:rFonts w:eastAsia="Times New Roman" w:cs="Cambria"/>
                <w:color w:val="000000" w:themeColor="text1"/>
                <w:szCs w:val="20"/>
                <w:lang w:eastAsia="fr-FR"/>
              </w:rPr>
            </w:pPr>
            <w:r w:rsidRPr="007E6F67">
              <w:rPr>
                <w:i/>
              </w:rPr>
              <w:t>N</w:t>
            </w:r>
            <w:r w:rsidRPr="007E6F67">
              <w:rPr>
                <w:vertAlign w:val="subscript"/>
              </w:rPr>
              <w:t>Ed,G</w:t>
            </w:r>
            <w:r w:rsidRPr="00FD17CF">
              <w:t xml:space="preserve"> , </w:t>
            </w:r>
            <w:r w:rsidRPr="00FD17CF">
              <w:rPr>
                <w:i/>
              </w:rPr>
              <w:t>M</w:t>
            </w:r>
            <w:r w:rsidRPr="00FD17CF">
              <w:rPr>
                <w:vertAlign w:val="subscript"/>
              </w:rPr>
              <w:t>Ed,G</w:t>
            </w:r>
            <w:r w:rsidRPr="00E05E29">
              <w:t xml:space="preserve"> and </w:t>
            </w:r>
            <w:r w:rsidRPr="00E05E29">
              <w:rPr>
                <w:i/>
              </w:rPr>
              <w:t>V</w:t>
            </w:r>
            <w:r w:rsidRPr="00E05E29">
              <w:rPr>
                <w:vertAlign w:val="subscript"/>
              </w:rPr>
              <w:t>Ed,G</w:t>
            </w:r>
          </w:p>
        </w:tc>
        <w:tc>
          <w:tcPr>
            <w:tcW w:w="7938" w:type="dxa"/>
          </w:tcPr>
          <w:p w14:paraId="29AA3226" w14:textId="5BE3327D" w:rsidR="00C46ABE" w:rsidRPr="00DF3AF1" w:rsidRDefault="00C46ABE" w:rsidP="002061E5">
            <w:pPr>
              <w:pStyle w:val="Listofsymbols"/>
              <w:tabs>
                <w:tab w:val="clear" w:pos="1134"/>
                <w:tab w:val="left" w:pos="1347"/>
              </w:tabs>
              <w:ind w:left="0" w:firstLine="0"/>
              <w:rPr>
                <w:rFonts w:eastAsia="Times New Roman"/>
              </w:rPr>
            </w:pPr>
            <w:r w:rsidRPr="00E05E29">
              <w:t>are the axial force, the bending moment and shear force in the non-dissipative member due to the non-seismic actions in the seismic design situation;</w:t>
            </w:r>
          </w:p>
        </w:tc>
      </w:tr>
      <w:tr w:rsidR="00C46ABE" w:rsidRPr="000F2AFF" w14:paraId="240E9FAD" w14:textId="77777777" w:rsidTr="008A133F">
        <w:tc>
          <w:tcPr>
            <w:tcW w:w="1275" w:type="dxa"/>
          </w:tcPr>
          <w:p w14:paraId="59C232A2" w14:textId="52FA141C" w:rsidR="00C46ABE" w:rsidRPr="00EB30A2" w:rsidRDefault="00C46ABE" w:rsidP="002061E5">
            <w:pPr>
              <w:spacing w:after="60"/>
              <w:jc w:val="left"/>
              <w:rPr>
                <w:rFonts w:eastAsia="Times New Roman" w:cs="Cambria"/>
                <w:color w:val="000000" w:themeColor="text1"/>
                <w:szCs w:val="20"/>
                <w:lang w:val="it-IT" w:eastAsia="fr-FR"/>
              </w:rPr>
            </w:pPr>
            <w:r w:rsidRPr="00EB30A2">
              <w:rPr>
                <w:i/>
                <w:lang w:val="it-IT"/>
              </w:rPr>
              <w:t>N</w:t>
            </w:r>
            <w:r w:rsidRPr="00EB30A2">
              <w:rPr>
                <w:vertAlign w:val="subscript"/>
                <w:lang w:val="it-IT"/>
              </w:rPr>
              <w:t xml:space="preserve">Ed,E </w:t>
            </w:r>
            <w:r w:rsidRPr="00EB30A2">
              <w:rPr>
                <w:lang w:val="it-IT"/>
              </w:rPr>
              <w:t xml:space="preserve">, </w:t>
            </w:r>
            <w:r w:rsidRPr="00EB30A2">
              <w:rPr>
                <w:i/>
                <w:lang w:val="it-IT"/>
              </w:rPr>
              <w:t>M</w:t>
            </w:r>
            <w:r w:rsidRPr="00EB30A2">
              <w:rPr>
                <w:vertAlign w:val="subscript"/>
                <w:lang w:val="it-IT"/>
              </w:rPr>
              <w:t>Ed,E</w:t>
            </w:r>
            <w:r w:rsidRPr="00EB30A2">
              <w:rPr>
                <w:lang w:val="it-IT"/>
              </w:rPr>
              <w:t xml:space="preserve"> and </w:t>
            </w:r>
            <w:r w:rsidRPr="00EB30A2">
              <w:rPr>
                <w:i/>
                <w:lang w:val="it-IT"/>
              </w:rPr>
              <w:t>V</w:t>
            </w:r>
            <w:r w:rsidRPr="00EB30A2">
              <w:rPr>
                <w:vertAlign w:val="subscript"/>
                <w:lang w:val="it-IT"/>
              </w:rPr>
              <w:t>Ed,E</w:t>
            </w:r>
          </w:p>
        </w:tc>
        <w:tc>
          <w:tcPr>
            <w:tcW w:w="7938" w:type="dxa"/>
          </w:tcPr>
          <w:p w14:paraId="0A1D6093" w14:textId="5526791B" w:rsidR="00C46ABE" w:rsidRPr="00DF3AF1" w:rsidRDefault="00C46ABE" w:rsidP="002061E5">
            <w:pPr>
              <w:pStyle w:val="Listofsymbols"/>
              <w:tabs>
                <w:tab w:val="clear" w:pos="1134"/>
                <w:tab w:val="left" w:pos="1347"/>
              </w:tabs>
              <w:ind w:left="0" w:firstLine="0"/>
              <w:rPr>
                <w:rFonts w:eastAsia="Times New Roman"/>
              </w:rPr>
            </w:pPr>
            <w:r w:rsidRPr="00C52095">
              <w:t xml:space="preserve">are the axial force, the bending moment and shear force in the non-dissipative member </w:t>
            </w:r>
            <w:r>
              <w:t xml:space="preserve">due </w:t>
            </w:r>
            <w:r w:rsidRPr="00C52095">
              <w:t>to the design seismic action;</w:t>
            </w:r>
          </w:p>
        </w:tc>
      </w:tr>
      <w:tr w:rsidR="00C46ABE" w:rsidRPr="000F2AFF" w14:paraId="79FD16F8" w14:textId="77777777" w:rsidTr="008A133F">
        <w:tc>
          <w:tcPr>
            <w:tcW w:w="1275" w:type="dxa"/>
          </w:tcPr>
          <w:p w14:paraId="60107322" w14:textId="5F0B3109" w:rsidR="00C46ABE" w:rsidRPr="00E05E29" w:rsidRDefault="00C46ABE" w:rsidP="002061E5">
            <w:pPr>
              <w:spacing w:after="60"/>
              <w:jc w:val="left"/>
              <w:rPr>
                <w:i/>
                <w:iCs/>
              </w:rPr>
            </w:pPr>
            <w:r w:rsidRPr="00132C1E">
              <w:rPr>
                <w:rFonts w:ascii="Symbol" w:eastAsia="Symbol" w:hAnsi="Symbol" w:cs="Symbol"/>
                <w:i/>
              </w:rPr>
              <w:t></w:t>
            </w:r>
          </w:p>
        </w:tc>
        <w:tc>
          <w:tcPr>
            <w:tcW w:w="7938" w:type="dxa"/>
          </w:tcPr>
          <w:p w14:paraId="721DBD89" w14:textId="09525840" w:rsidR="00C46ABE" w:rsidRPr="00E05E29" w:rsidRDefault="00C46ABE" w:rsidP="002061E5">
            <w:pPr>
              <w:pStyle w:val="Listofsymbols"/>
              <w:tabs>
                <w:tab w:val="clear" w:pos="1134"/>
                <w:tab w:val="left" w:pos="1347"/>
              </w:tabs>
              <w:ind w:left="0" w:firstLine="0"/>
            </w:pPr>
            <w:r w:rsidRPr="00132C1E">
              <w:t xml:space="preserve">is the action magnification factor </w:t>
            </w:r>
            <w:r w:rsidRPr="00B94E1F">
              <w:t>given in (3).</w:t>
            </w:r>
          </w:p>
        </w:tc>
      </w:tr>
    </w:tbl>
    <w:p w14:paraId="43150125" w14:textId="1F3BE7D4" w:rsidR="00C46ABE" w:rsidRPr="00D574B2" w:rsidRDefault="00C46ABE" w:rsidP="00724E4E">
      <w:pPr>
        <w:pStyle w:val="Clause"/>
      </w:pPr>
      <w:r w:rsidRPr="00D574B2">
        <w:t>The action magnification factor</w:t>
      </w:r>
      <w:r w:rsidRPr="00D574B2" w:rsidDel="00337BC5">
        <w:t xml:space="preserve"> </w:t>
      </w:r>
      <w:r w:rsidRPr="00452E84">
        <w:rPr>
          <w:i/>
          <w:iCs/>
        </w:rPr>
        <w:t>Ω</w:t>
      </w:r>
      <w:r w:rsidRPr="00D574B2">
        <w:t xml:space="preserve"> should be taken to depend on the type of plastic behaviour of the dissipative zone and on the structural system according to Table 15.5.</w:t>
      </w:r>
    </w:p>
    <w:p w14:paraId="17D9CECC" w14:textId="615E28E4" w:rsidR="00C46ABE" w:rsidRPr="00C46ABE" w:rsidRDefault="00C46ABE" w:rsidP="00C46ABE">
      <w:pPr>
        <w:pStyle w:val="Tabletitle"/>
      </w:pPr>
      <w:bookmarkStart w:id="10984" w:name="_Ref32087552"/>
      <w:r w:rsidRPr="00C46ABE">
        <w:t xml:space="preserve">Table </w:t>
      </w:r>
      <w:r w:rsidR="00B94E1F">
        <w:t>15.5</w:t>
      </w:r>
      <w:bookmarkEnd w:id="10984"/>
      <w:r w:rsidRPr="00C46ABE">
        <w:t> — Members to which (1) apply. Values of seismic action magnification factor</w:t>
      </w:r>
      <w:r w:rsidRPr="00C46ABE" w:rsidDel="00337BC5">
        <w:t xml:space="preserve"> </w:t>
      </w:r>
      <w:r w:rsidRPr="00C46ABE">
        <w:t>Ω in DC2</w:t>
      </w:r>
    </w:p>
    <w:tbl>
      <w:tblPr>
        <w:tblW w:w="94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15"/>
        <w:gridCol w:w="1559"/>
        <w:gridCol w:w="3063"/>
      </w:tblGrid>
      <w:tr w:rsidR="00C46ABE" w:rsidRPr="00B342A8" w14:paraId="3633621A" w14:textId="77777777" w:rsidTr="00B342A8">
        <w:trPr>
          <w:trHeight w:val="300"/>
          <w:jc w:val="center"/>
        </w:trPr>
        <w:tc>
          <w:tcPr>
            <w:tcW w:w="4815" w:type="dxa"/>
            <w:tcBorders>
              <w:bottom w:val="single" w:sz="4" w:space="0" w:color="auto"/>
            </w:tcBorders>
            <w:shd w:val="clear" w:color="auto" w:fill="auto"/>
            <w:tcMar>
              <w:left w:w="28" w:type="dxa"/>
              <w:right w:w="28" w:type="dxa"/>
            </w:tcMar>
            <w:vAlign w:val="center"/>
          </w:tcPr>
          <w:p w14:paraId="19DF203C" w14:textId="6934D852" w:rsidR="00C46ABE" w:rsidRPr="00B342A8" w:rsidRDefault="00C46ABE" w:rsidP="00B342A8">
            <w:pPr>
              <w:pStyle w:val="Tablebody"/>
              <w:jc w:val="center"/>
              <w:rPr>
                <w:b/>
                <w:bCs/>
              </w:rPr>
            </w:pPr>
            <w:r w:rsidRPr="00B342A8">
              <w:rPr>
                <w:b/>
                <w:bCs/>
              </w:rPr>
              <w:t>S</w:t>
            </w:r>
            <w:r w:rsidR="00B342A8" w:rsidRPr="00B342A8">
              <w:rPr>
                <w:b/>
                <w:bCs/>
              </w:rPr>
              <w:t>tructural type</w:t>
            </w:r>
          </w:p>
        </w:tc>
        <w:tc>
          <w:tcPr>
            <w:tcW w:w="1559" w:type="dxa"/>
            <w:tcBorders>
              <w:bottom w:val="single" w:sz="4" w:space="0" w:color="auto"/>
            </w:tcBorders>
            <w:shd w:val="clear" w:color="auto" w:fill="auto"/>
            <w:tcMar>
              <w:left w:w="28" w:type="dxa"/>
              <w:right w:w="28" w:type="dxa"/>
            </w:tcMar>
            <w:vAlign w:val="center"/>
          </w:tcPr>
          <w:p w14:paraId="1FE45326" w14:textId="77777777" w:rsidR="00C46ABE" w:rsidRPr="00B342A8" w:rsidRDefault="00C46ABE" w:rsidP="00B342A8">
            <w:pPr>
              <w:pStyle w:val="Tablebody"/>
              <w:jc w:val="center"/>
              <w:rPr>
                <w:b/>
                <w:bCs/>
              </w:rPr>
            </w:pPr>
            <w:r w:rsidRPr="00B342A8">
              <w:rPr>
                <w:b/>
                <w:bCs/>
                <w:i/>
              </w:rPr>
              <w:t>Ω</w:t>
            </w:r>
          </w:p>
        </w:tc>
        <w:tc>
          <w:tcPr>
            <w:tcW w:w="3063" w:type="dxa"/>
            <w:tcBorders>
              <w:bottom w:val="single" w:sz="4" w:space="0" w:color="auto"/>
            </w:tcBorders>
            <w:vAlign w:val="center"/>
          </w:tcPr>
          <w:p w14:paraId="155698DF" w14:textId="77777777" w:rsidR="00C46ABE" w:rsidRPr="00B342A8" w:rsidRDefault="00C46ABE" w:rsidP="00B342A8">
            <w:pPr>
              <w:pStyle w:val="Tablebody"/>
              <w:jc w:val="center"/>
              <w:rPr>
                <w:b/>
                <w:bCs/>
                <w:i/>
              </w:rPr>
            </w:pPr>
            <w:r w:rsidRPr="00B342A8">
              <w:rPr>
                <w:b/>
                <w:bCs/>
              </w:rPr>
              <w:t>Members to which (1) applies</w:t>
            </w:r>
          </w:p>
        </w:tc>
      </w:tr>
      <w:tr w:rsidR="00C46ABE" w:rsidRPr="00132C1E" w14:paraId="518C9BF1" w14:textId="77777777" w:rsidTr="00B342A8">
        <w:trPr>
          <w:trHeight w:val="288"/>
          <w:jc w:val="center"/>
        </w:trPr>
        <w:tc>
          <w:tcPr>
            <w:tcW w:w="4815" w:type="dxa"/>
            <w:tcBorders>
              <w:bottom w:val="nil"/>
            </w:tcBorders>
            <w:shd w:val="clear" w:color="auto" w:fill="auto"/>
            <w:tcMar>
              <w:left w:w="57" w:type="dxa"/>
              <w:right w:w="28" w:type="dxa"/>
            </w:tcMar>
            <w:vAlign w:val="center"/>
            <w:hideMark/>
          </w:tcPr>
          <w:p w14:paraId="6C475709" w14:textId="77777777" w:rsidR="00C46ABE" w:rsidRPr="00B342A8" w:rsidRDefault="00C46ABE" w:rsidP="00B342A8">
            <w:pPr>
              <w:pStyle w:val="Tablebody"/>
              <w:rPr>
                <w:b/>
                <w:bCs/>
              </w:rPr>
            </w:pPr>
            <w:r w:rsidRPr="00B342A8">
              <w:rPr>
                <w:b/>
                <w:bCs/>
              </w:rPr>
              <w:t>Moment resisting frames (MRFs)</w:t>
            </w:r>
          </w:p>
        </w:tc>
        <w:tc>
          <w:tcPr>
            <w:tcW w:w="1559" w:type="dxa"/>
            <w:tcBorders>
              <w:bottom w:val="nil"/>
            </w:tcBorders>
            <w:shd w:val="clear" w:color="auto" w:fill="auto"/>
            <w:tcMar>
              <w:left w:w="28" w:type="dxa"/>
              <w:right w:w="28" w:type="dxa"/>
            </w:tcMar>
            <w:vAlign w:val="center"/>
          </w:tcPr>
          <w:p w14:paraId="07E2DB13" w14:textId="77777777" w:rsidR="00C46ABE" w:rsidRPr="00D1484A" w:rsidRDefault="00C46ABE" w:rsidP="00B342A8">
            <w:pPr>
              <w:pStyle w:val="Tablebody"/>
              <w:jc w:val="center"/>
            </w:pPr>
          </w:p>
        </w:tc>
        <w:tc>
          <w:tcPr>
            <w:tcW w:w="3063" w:type="dxa"/>
            <w:tcBorders>
              <w:bottom w:val="nil"/>
            </w:tcBorders>
            <w:vAlign w:val="center"/>
          </w:tcPr>
          <w:p w14:paraId="24FB2379" w14:textId="77777777" w:rsidR="00C46ABE" w:rsidRPr="007E6F67" w:rsidRDefault="00C46ABE" w:rsidP="00B342A8">
            <w:pPr>
              <w:pStyle w:val="Tablebody"/>
              <w:jc w:val="center"/>
            </w:pPr>
          </w:p>
        </w:tc>
      </w:tr>
      <w:tr w:rsidR="00C46ABE" w:rsidRPr="00132C1E" w14:paraId="4A01C3B3" w14:textId="77777777" w:rsidTr="00B342A8">
        <w:trPr>
          <w:trHeight w:val="288"/>
          <w:jc w:val="center"/>
        </w:trPr>
        <w:tc>
          <w:tcPr>
            <w:tcW w:w="4815" w:type="dxa"/>
            <w:tcBorders>
              <w:top w:val="nil"/>
              <w:bottom w:val="nil"/>
            </w:tcBorders>
            <w:shd w:val="clear" w:color="auto" w:fill="auto"/>
            <w:tcMar>
              <w:left w:w="57" w:type="dxa"/>
              <w:right w:w="28" w:type="dxa"/>
            </w:tcMar>
            <w:vAlign w:val="center"/>
            <w:hideMark/>
          </w:tcPr>
          <w:p w14:paraId="1A47553A" w14:textId="77777777" w:rsidR="00C46ABE" w:rsidRPr="00D1484A" w:rsidRDefault="00C46ABE" w:rsidP="00B342A8">
            <w:pPr>
              <w:pStyle w:val="Tablebody"/>
            </w:pPr>
            <w:r w:rsidRPr="00132C1E">
              <w:t xml:space="preserve">Single-storey MRFs </w:t>
            </w:r>
          </w:p>
        </w:tc>
        <w:tc>
          <w:tcPr>
            <w:tcW w:w="1559" w:type="dxa"/>
            <w:tcBorders>
              <w:top w:val="nil"/>
              <w:bottom w:val="nil"/>
            </w:tcBorders>
            <w:shd w:val="clear" w:color="auto" w:fill="auto"/>
            <w:tcMar>
              <w:left w:w="28" w:type="dxa"/>
              <w:right w:w="28" w:type="dxa"/>
            </w:tcMar>
            <w:vAlign w:val="center"/>
            <w:hideMark/>
          </w:tcPr>
          <w:p w14:paraId="3D9D6265" w14:textId="77777777" w:rsidR="00C46ABE" w:rsidRPr="007E6F67" w:rsidRDefault="00C46ABE" w:rsidP="00B342A8">
            <w:pPr>
              <w:pStyle w:val="Tablebody"/>
              <w:jc w:val="center"/>
            </w:pPr>
            <w:r w:rsidRPr="00D1484A">
              <w:t>1,8</w:t>
            </w:r>
          </w:p>
        </w:tc>
        <w:tc>
          <w:tcPr>
            <w:tcW w:w="3063" w:type="dxa"/>
            <w:vMerge w:val="restart"/>
            <w:tcBorders>
              <w:top w:val="nil"/>
            </w:tcBorders>
            <w:vAlign w:val="center"/>
          </w:tcPr>
          <w:p w14:paraId="59D48BBD" w14:textId="77777777" w:rsidR="00C46ABE" w:rsidRPr="00FD17CF" w:rsidRDefault="00C46ABE" w:rsidP="00B342A8">
            <w:pPr>
              <w:pStyle w:val="Tablebody"/>
              <w:jc w:val="center"/>
            </w:pPr>
            <w:r w:rsidRPr="007E6F67">
              <w:t>columns</w:t>
            </w:r>
          </w:p>
        </w:tc>
      </w:tr>
      <w:tr w:rsidR="00C46ABE" w:rsidRPr="00132C1E" w14:paraId="44A18E62" w14:textId="77777777" w:rsidTr="00B342A8">
        <w:trPr>
          <w:trHeight w:val="300"/>
          <w:jc w:val="center"/>
        </w:trPr>
        <w:tc>
          <w:tcPr>
            <w:tcW w:w="4815" w:type="dxa"/>
            <w:tcBorders>
              <w:top w:val="nil"/>
              <w:bottom w:val="single" w:sz="4" w:space="0" w:color="auto"/>
            </w:tcBorders>
            <w:shd w:val="clear" w:color="auto" w:fill="auto"/>
            <w:tcMar>
              <w:left w:w="57" w:type="dxa"/>
              <w:right w:w="28" w:type="dxa"/>
            </w:tcMar>
            <w:vAlign w:val="center"/>
            <w:hideMark/>
          </w:tcPr>
          <w:p w14:paraId="40BD9566" w14:textId="77777777" w:rsidR="00C46ABE" w:rsidRPr="00D1484A" w:rsidRDefault="00C46ABE" w:rsidP="00B342A8">
            <w:pPr>
              <w:pStyle w:val="Tablebody"/>
            </w:pPr>
            <w:r w:rsidRPr="00132C1E">
              <w:t>Multi-storey MRFs</w:t>
            </w:r>
          </w:p>
        </w:tc>
        <w:tc>
          <w:tcPr>
            <w:tcW w:w="1559" w:type="dxa"/>
            <w:tcBorders>
              <w:top w:val="nil"/>
            </w:tcBorders>
            <w:shd w:val="clear" w:color="auto" w:fill="auto"/>
            <w:tcMar>
              <w:left w:w="28" w:type="dxa"/>
              <w:right w:w="28" w:type="dxa"/>
            </w:tcMar>
            <w:vAlign w:val="center"/>
            <w:hideMark/>
          </w:tcPr>
          <w:p w14:paraId="44194F0F" w14:textId="77777777" w:rsidR="00C46ABE" w:rsidRPr="007E6F67" w:rsidRDefault="00C46ABE" w:rsidP="00B342A8">
            <w:pPr>
              <w:pStyle w:val="Tablebody"/>
              <w:jc w:val="center"/>
            </w:pPr>
            <w:r w:rsidRPr="00D1484A">
              <w:t>2,0</w:t>
            </w:r>
          </w:p>
        </w:tc>
        <w:tc>
          <w:tcPr>
            <w:tcW w:w="3063" w:type="dxa"/>
            <w:vMerge/>
            <w:vAlign w:val="center"/>
          </w:tcPr>
          <w:p w14:paraId="19FAC699" w14:textId="77777777" w:rsidR="00C46ABE" w:rsidRPr="00132C1E" w:rsidRDefault="00C46ABE" w:rsidP="00B342A8">
            <w:pPr>
              <w:pStyle w:val="Tablebody"/>
              <w:jc w:val="center"/>
            </w:pPr>
          </w:p>
        </w:tc>
      </w:tr>
      <w:tr w:rsidR="00C46ABE" w:rsidRPr="00132C1E" w14:paraId="3E8190A0" w14:textId="77777777" w:rsidTr="00B342A8">
        <w:trPr>
          <w:trHeight w:val="288"/>
          <w:jc w:val="center"/>
        </w:trPr>
        <w:tc>
          <w:tcPr>
            <w:tcW w:w="4815" w:type="dxa"/>
            <w:tcBorders>
              <w:bottom w:val="nil"/>
            </w:tcBorders>
            <w:shd w:val="clear" w:color="auto" w:fill="auto"/>
            <w:tcMar>
              <w:left w:w="57" w:type="dxa"/>
              <w:right w:w="28" w:type="dxa"/>
            </w:tcMar>
            <w:vAlign w:val="center"/>
            <w:hideMark/>
          </w:tcPr>
          <w:p w14:paraId="04E0254A" w14:textId="77777777" w:rsidR="00C46ABE" w:rsidRPr="00B342A8" w:rsidRDefault="00C46ABE" w:rsidP="00B342A8">
            <w:pPr>
              <w:pStyle w:val="Tablebody"/>
              <w:rPr>
                <w:b/>
                <w:bCs/>
              </w:rPr>
            </w:pPr>
            <w:r w:rsidRPr="00B342A8">
              <w:rPr>
                <w:b/>
                <w:bCs/>
              </w:rPr>
              <w:t>Frames with concentric bracings</w:t>
            </w:r>
          </w:p>
        </w:tc>
        <w:tc>
          <w:tcPr>
            <w:tcW w:w="1559" w:type="dxa"/>
            <w:vMerge w:val="restart"/>
            <w:shd w:val="clear" w:color="auto" w:fill="auto"/>
            <w:tcMar>
              <w:left w:w="28" w:type="dxa"/>
              <w:right w:w="28" w:type="dxa"/>
            </w:tcMar>
            <w:vAlign w:val="center"/>
            <w:hideMark/>
          </w:tcPr>
          <w:p w14:paraId="260339A3" w14:textId="77777777" w:rsidR="00C46ABE" w:rsidRPr="007E6F67" w:rsidRDefault="00C46ABE" w:rsidP="00B342A8">
            <w:pPr>
              <w:pStyle w:val="Tablebody"/>
              <w:jc w:val="center"/>
            </w:pPr>
            <w:r w:rsidRPr="00D1484A">
              <w:t>1,5</w:t>
            </w:r>
          </w:p>
        </w:tc>
        <w:tc>
          <w:tcPr>
            <w:tcW w:w="3063" w:type="dxa"/>
            <w:tcBorders>
              <w:bottom w:val="single" w:sz="4" w:space="0" w:color="FFFFFF" w:themeColor="background1"/>
            </w:tcBorders>
            <w:vAlign w:val="center"/>
          </w:tcPr>
          <w:p w14:paraId="64C6ED11" w14:textId="77777777" w:rsidR="00C46ABE" w:rsidRPr="007E6F67" w:rsidRDefault="00C46ABE" w:rsidP="00B342A8">
            <w:pPr>
              <w:pStyle w:val="Tablebody"/>
              <w:jc w:val="center"/>
            </w:pPr>
          </w:p>
        </w:tc>
      </w:tr>
      <w:tr w:rsidR="00C46ABE" w:rsidRPr="00132C1E" w14:paraId="1A4D50AE" w14:textId="77777777" w:rsidTr="00B342A8">
        <w:trPr>
          <w:trHeight w:val="288"/>
          <w:jc w:val="center"/>
        </w:trPr>
        <w:tc>
          <w:tcPr>
            <w:tcW w:w="4815" w:type="dxa"/>
            <w:tcBorders>
              <w:top w:val="nil"/>
              <w:bottom w:val="nil"/>
            </w:tcBorders>
            <w:shd w:val="clear" w:color="auto" w:fill="auto"/>
            <w:tcMar>
              <w:left w:w="57" w:type="dxa"/>
              <w:right w:w="28" w:type="dxa"/>
            </w:tcMar>
            <w:vAlign w:val="center"/>
            <w:hideMark/>
          </w:tcPr>
          <w:p w14:paraId="0B960FBD" w14:textId="77777777" w:rsidR="00C46ABE" w:rsidRPr="00D1484A" w:rsidRDefault="00C46ABE" w:rsidP="00B342A8">
            <w:pPr>
              <w:pStyle w:val="Tablebody"/>
            </w:pPr>
            <w:r w:rsidRPr="00132C1E">
              <w:t xml:space="preserve">Diagonal </w:t>
            </w:r>
            <w:r w:rsidRPr="00D1484A">
              <w:t>bracings</w:t>
            </w:r>
          </w:p>
        </w:tc>
        <w:tc>
          <w:tcPr>
            <w:tcW w:w="1559" w:type="dxa"/>
            <w:vMerge/>
            <w:tcMar>
              <w:left w:w="28" w:type="dxa"/>
              <w:right w:w="28" w:type="dxa"/>
            </w:tcMar>
            <w:vAlign w:val="center"/>
            <w:hideMark/>
          </w:tcPr>
          <w:p w14:paraId="16E66F53" w14:textId="77777777" w:rsidR="00C46ABE" w:rsidRPr="00132C1E" w:rsidRDefault="00C46ABE" w:rsidP="00B342A8">
            <w:pPr>
              <w:pStyle w:val="Tablebody"/>
              <w:jc w:val="center"/>
            </w:pPr>
          </w:p>
        </w:tc>
        <w:tc>
          <w:tcPr>
            <w:tcW w:w="3063" w:type="dxa"/>
            <w:vMerge w:val="restart"/>
            <w:tcBorders>
              <w:top w:val="single" w:sz="4" w:space="0" w:color="FFFFFF" w:themeColor="background1"/>
            </w:tcBorders>
            <w:vAlign w:val="center"/>
          </w:tcPr>
          <w:p w14:paraId="21497655" w14:textId="77777777" w:rsidR="00C46ABE" w:rsidRPr="00132C1E" w:rsidRDefault="00C46ABE" w:rsidP="00B342A8">
            <w:pPr>
              <w:pStyle w:val="Tablebody"/>
              <w:jc w:val="center"/>
            </w:pPr>
            <w:r w:rsidRPr="00132C1E">
              <w:t>beams and columns</w:t>
            </w:r>
          </w:p>
        </w:tc>
      </w:tr>
      <w:tr w:rsidR="00C46ABE" w:rsidRPr="00132C1E" w14:paraId="0251F86F" w14:textId="77777777" w:rsidTr="00B342A8">
        <w:trPr>
          <w:trHeight w:val="288"/>
          <w:jc w:val="center"/>
        </w:trPr>
        <w:tc>
          <w:tcPr>
            <w:tcW w:w="4815" w:type="dxa"/>
            <w:tcBorders>
              <w:top w:val="nil"/>
              <w:bottom w:val="nil"/>
            </w:tcBorders>
            <w:shd w:val="clear" w:color="auto" w:fill="auto"/>
            <w:tcMar>
              <w:left w:w="57" w:type="dxa"/>
              <w:right w:w="28" w:type="dxa"/>
            </w:tcMar>
            <w:vAlign w:val="center"/>
            <w:hideMark/>
          </w:tcPr>
          <w:p w14:paraId="231CE6B9" w14:textId="77777777" w:rsidR="00C46ABE" w:rsidRPr="00D1484A" w:rsidRDefault="00C46ABE" w:rsidP="00B342A8">
            <w:pPr>
              <w:pStyle w:val="Tablebody"/>
            </w:pPr>
            <w:r w:rsidRPr="00132C1E">
              <w:t>V-bracings</w:t>
            </w:r>
          </w:p>
        </w:tc>
        <w:tc>
          <w:tcPr>
            <w:tcW w:w="1559" w:type="dxa"/>
            <w:vMerge/>
            <w:tcMar>
              <w:left w:w="28" w:type="dxa"/>
              <w:right w:w="28" w:type="dxa"/>
            </w:tcMar>
            <w:vAlign w:val="center"/>
            <w:hideMark/>
          </w:tcPr>
          <w:p w14:paraId="26CC13EF" w14:textId="77777777" w:rsidR="00C46ABE" w:rsidRPr="00132C1E" w:rsidRDefault="00C46ABE" w:rsidP="00B342A8">
            <w:pPr>
              <w:pStyle w:val="Tablebody"/>
              <w:jc w:val="center"/>
            </w:pPr>
          </w:p>
        </w:tc>
        <w:tc>
          <w:tcPr>
            <w:tcW w:w="3063" w:type="dxa"/>
            <w:vMerge/>
            <w:vAlign w:val="center"/>
          </w:tcPr>
          <w:p w14:paraId="7E2591A9" w14:textId="77777777" w:rsidR="00C46ABE" w:rsidRPr="00132C1E" w:rsidRDefault="00C46ABE" w:rsidP="00B342A8">
            <w:pPr>
              <w:pStyle w:val="Tablebody"/>
              <w:jc w:val="center"/>
            </w:pPr>
          </w:p>
        </w:tc>
      </w:tr>
      <w:tr w:rsidR="00C46ABE" w:rsidRPr="00D56DA5" w14:paraId="72B3C016" w14:textId="77777777" w:rsidTr="00B342A8">
        <w:trPr>
          <w:trHeight w:val="300"/>
          <w:jc w:val="center"/>
        </w:trPr>
        <w:tc>
          <w:tcPr>
            <w:tcW w:w="4815" w:type="dxa"/>
            <w:tcBorders>
              <w:top w:val="nil"/>
            </w:tcBorders>
            <w:shd w:val="clear" w:color="auto" w:fill="auto"/>
            <w:tcMar>
              <w:left w:w="57" w:type="dxa"/>
              <w:right w:w="28" w:type="dxa"/>
            </w:tcMar>
            <w:vAlign w:val="center"/>
            <w:hideMark/>
          </w:tcPr>
          <w:p w14:paraId="1DB46D81" w14:textId="77777777" w:rsidR="00C46ABE" w:rsidRPr="00D1484A" w:rsidRDefault="00C46ABE" w:rsidP="00B342A8">
            <w:pPr>
              <w:pStyle w:val="Tablebody"/>
            </w:pPr>
            <w:r w:rsidRPr="00132C1E">
              <w:t>X-bracings on either single or two-storey</w:t>
            </w:r>
          </w:p>
        </w:tc>
        <w:tc>
          <w:tcPr>
            <w:tcW w:w="1559" w:type="dxa"/>
            <w:vMerge/>
            <w:tcMar>
              <w:left w:w="28" w:type="dxa"/>
              <w:right w:w="28" w:type="dxa"/>
            </w:tcMar>
            <w:vAlign w:val="center"/>
            <w:hideMark/>
          </w:tcPr>
          <w:p w14:paraId="2DD9A3AA" w14:textId="77777777" w:rsidR="00C46ABE" w:rsidRPr="00132C1E" w:rsidRDefault="00C46ABE" w:rsidP="00B342A8">
            <w:pPr>
              <w:pStyle w:val="Tablebody"/>
              <w:jc w:val="center"/>
            </w:pPr>
          </w:p>
        </w:tc>
        <w:tc>
          <w:tcPr>
            <w:tcW w:w="3063" w:type="dxa"/>
            <w:vMerge/>
            <w:vAlign w:val="center"/>
          </w:tcPr>
          <w:p w14:paraId="11688B46" w14:textId="77777777" w:rsidR="00C46ABE" w:rsidRPr="00132C1E" w:rsidRDefault="00C46ABE" w:rsidP="00B342A8">
            <w:pPr>
              <w:pStyle w:val="Tablebody"/>
              <w:jc w:val="center"/>
            </w:pPr>
          </w:p>
        </w:tc>
      </w:tr>
      <w:tr w:rsidR="00C46ABE" w:rsidRPr="00D56DA5" w14:paraId="3612AE76" w14:textId="77777777" w:rsidTr="00B342A8">
        <w:trPr>
          <w:trHeight w:val="288"/>
          <w:jc w:val="center"/>
        </w:trPr>
        <w:tc>
          <w:tcPr>
            <w:tcW w:w="4815" w:type="dxa"/>
            <w:tcBorders>
              <w:bottom w:val="nil"/>
            </w:tcBorders>
            <w:shd w:val="clear" w:color="auto" w:fill="auto"/>
            <w:tcMar>
              <w:left w:w="57" w:type="dxa"/>
              <w:right w:w="28" w:type="dxa"/>
            </w:tcMar>
            <w:vAlign w:val="center"/>
            <w:hideMark/>
          </w:tcPr>
          <w:p w14:paraId="74DD0D04" w14:textId="77777777" w:rsidR="00C46ABE" w:rsidRPr="00B342A8" w:rsidRDefault="00C46ABE" w:rsidP="00B342A8">
            <w:pPr>
              <w:pStyle w:val="Tablebody"/>
              <w:rPr>
                <w:b/>
                <w:bCs/>
              </w:rPr>
            </w:pPr>
            <w:r w:rsidRPr="00B342A8">
              <w:rPr>
                <w:b/>
                <w:bCs/>
              </w:rPr>
              <w:t>Dual frames (MRFs with concentric bracing)</w:t>
            </w:r>
          </w:p>
        </w:tc>
        <w:tc>
          <w:tcPr>
            <w:tcW w:w="1559" w:type="dxa"/>
            <w:tcBorders>
              <w:bottom w:val="nil"/>
            </w:tcBorders>
            <w:shd w:val="clear" w:color="auto" w:fill="auto"/>
            <w:tcMar>
              <w:left w:w="28" w:type="dxa"/>
              <w:right w:w="28" w:type="dxa"/>
            </w:tcMar>
            <w:vAlign w:val="center"/>
            <w:hideMark/>
          </w:tcPr>
          <w:p w14:paraId="5F494A90" w14:textId="77777777" w:rsidR="00C46ABE" w:rsidRPr="007E6F67" w:rsidRDefault="00C46ABE" w:rsidP="00B342A8">
            <w:pPr>
              <w:pStyle w:val="Tablebody"/>
              <w:jc w:val="center"/>
            </w:pPr>
            <w:r w:rsidRPr="00D1484A">
              <w:t>2,0</w:t>
            </w:r>
          </w:p>
        </w:tc>
        <w:tc>
          <w:tcPr>
            <w:tcW w:w="3063" w:type="dxa"/>
            <w:tcBorders>
              <w:bottom w:val="nil"/>
            </w:tcBorders>
            <w:vAlign w:val="center"/>
          </w:tcPr>
          <w:p w14:paraId="19BE56BF" w14:textId="77777777" w:rsidR="00C46ABE" w:rsidRPr="00196951" w:rsidRDefault="00C46ABE" w:rsidP="00B342A8">
            <w:pPr>
              <w:pStyle w:val="Tablebody"/>
              <w:jc w:val="center"/>
            </w:pPr>
            <w:r w:rsidRPr="007E6F67">
              <w:t>beams and columns of the concentric bracing;</w:t>
            </w:r>
            <w:r w:rsidRPr="00E05E29">
              <w:t xml:space="preserve"> columns of the MRF</w:t>
            </w:r>
          </w:p>
        </w:tc>
      </w:tr>
      <w:tr w:rsidR="00C46ABE" w:rsidRPr="00132C1E" w14:paraId="3A11CCE1" w14:textId="77777777" w:rsidTr="00B342A8">
        <w:trPr>
          <w:trHeight w:val="300"/>
          <w:jc w:val="center"/>
        </w:trPr>
        <w:tc>
          <w:tcPr>
            <w:tcW w:w="4815" w:type="dxa"/>
            <w:tcBorders>
              <w:bottom w:val="single" w:sz="4" w:space="0" w:color="auto"/>
            </w:tcBorders>
            <w:shd w:val="clear" w:color="auto" w:fill="auto"/>
            <w:tcMar>
              <w:left w:w="57" w:type="dxa"/>
              <w:right w:w="28" w:type="dxa"/>
            </w:tcMar>
            <w:vAlign w:val="center"/>
            <w:hideMark/>
          </w:tcPr>
          <w:p w14:paraId="05BBACE1" w14:textId="77777777" w:rsidR="00C46ABE" w:rsidRPr="00B342A8" w:rsidRDefault="00C46ABE" w:rsidP="00B342A8">
            <w:pPr>
              <w:pStyle w:val="Tablebody"/>
              <w:rPr>
                <w:b/>
                <w:bCs/>
              </w:rPr>
            </w:pPr>
            <w:r w:rsidRPr="00B342A8">
              <w:rPr>
                <w:b/>
                <w:bCs/>
              </w:rPr>
              <w:t>Inverted pendulum</w:t>
            </w:r>
          </w:p>
        </w:tc>
        <w:tc>
          <w:tcPr>
            <w:tcW w:w="1559" w:type="dxa"/>
            <w:tcBorders>
              <w:bottom w:val="single" w:sz="4" w:space="0" w:color="auto"/>
            </w:tcBorders>
            <w:shd w:val="clear" w:color="auto" w:fill="auto"/>
            <w:tcMar>
              <w:left w:w="28" w:type="dxa"/>
              <w:right w:w="28" w:type="dxa"/>
            </w:tcMar>
            <w:vAlign w:val="center"/>
            <w:hideMark/>
          </w:tcPr>
          <w:p w14:paraId="0BE3D635" w14:textId="77777777" w:rsidR="00C46ABE" w:rsidRPr="007E6F67" w:rsidRDefault="00C46ABE" w:rsidP="00B342A8">
            <w:pPr>
              <w:pStyle w:val="Tablebody"/>
              <w:jc w:val="center"/>
            </w:pPr>
            <w:r w:rsidRPr="00D1484A">
              <w:t>1,5</w:t>
            </w:r>
          </w:p>
        </w:tc>
        <w:tc>
          <w:tcPr>
            <w:tcW w:w="3063" w:type="dxa"/>
            <w:tcBorders>
              <w:bottom w:val="single" w:sz="4" w:space="0" w:color="auto"/>
            </w:tcBorders>
            <w:vAlign w:val="center"/>
          </w:tcPr>
          <w:p w14:paraId="3E9D7802" w14:textId="77777777" w:rsidR="00C46ABE" w:rsidRPr="00FD17CF" w:rsidRDefault="00C46ABE" w:rsidP="00B342A8">
            <w:pPr>
              <w:pStyle w:val="Tablebody"/>
              <w:jc w:val="center"/>
            </w:pPr>
            <w:r w:rsidRPr="007E6F67">
              <w:t>columns</w:t>
            </w:r>
          </w:p>
        </w:tc>
      </w:tr>
    </w:tbl>
    <w:p w14:paraId="57ED99A5" w14:textId="77777777" w:rsidR="00C46ABE" w:rsidRPr="00D1484A" w:rsidRDefault="00C46ABE" w:rsidP="00C46ABE">
      <w:pPr>
        <w:pStyle w:val="Heading3"/>
      </w:pPr>
      <w:bookmarkStart w:id="10985" w:name="_Toc3399386"/>
      <w:bookmarkStart w:id="10986" w:name="_Toc50150672"/>
      <w:bookmarkStart w:id="10987" w:name="_Toc70887105"/>
      <w:bookmarkStart w:id="10988" w:name="_Toc108342689"/>
      <w:bookmarkStart w:id="10989" w:name="_Toc134198198"/>
      <w:r w:rsidRPr="00132C1E">
        <w:lastRenderedPageBreak/>
        <w:t xml:space="preserve">Design rules for </w:t>
      </w:r>
      <w:r w:rsidRPr="00D1484A">
        <w:t>connections in dissipative zones</w:t>
      </w:r>
      <w:bookmarkEnd w:id="10985"/>
      <w:bookmarkEnd w:id="10986"/>
      <w:bookmarkEnd w:id="10987"/>
      <w:bookmarkEnd w:id="10988"/>
      <w:bookmarkEnd w:id="10989"/>
    </w:p>
    <w:p w14:paraId="512C3AD6" w14:textId="60B51B82" w:rsidR="00C46ABE" w:rsidRPr="002144A0" w:rsidRDefault="00C46ABE" w:rsidP="0080187E">
      <w:pPr>
        <w:pStyle w:val="Clause"/>
        <w:numPr>
          <w:ilvl w:val="0"/>
          <w:numId w:val="213"/>
        </w:numPr>
      </w:pPr>
      <w:r w:rsidRPr="007E6F67">
        <w:t>The resistance of non-dissipative connections of dissipative members made by means of welds sh</w:t>
      </w:r>
      <w:r w:rsidRPr="00E05E29">
        <w:t xml:space="preserve">ould be </w:t>
      </w:r>
      <w:r w:rsidRPr="00FB5B3D">
        <w:t>evaluated</w:t>
      </w:r>
      <w:r w:rsidRPr="00E05E29">
        <w:t xml:space="preserve"> by accounting for the deteriorated contribution of the heat affected zone in order to </w:t>
      </w:r>
      <w:r w:rsidRPr="00FB5B3D">
        <w:rPr>
          <w:color w:val="auto"/>
        </w:rPr>
        <w:t>satisfy Formula (15.2).</w:t>
      </w:r>
    </w:p>
    <w:p w14:paraId="28DA132A" w14:textId="0E0E4980" w:rsidR="00C46ABE" w:rsidRPr="00C52095" w:rsidRDefault="00C46ABE" w:rsidP="0080187E">
      <w:pPr>
        <w:pStyle w:val="Clause"/>
        <w:numPr>
          <w:ilvl w:val="0"/>
          <w:numId w:val="211"/>
        </w:numPr>
      </w:pPr>
      <w:r w:rsidRPr="002144A0">
        <w:t xml:space="preserve">Non-dissipative connections should be designed for the relevant forces/moments at the location of the connection in accordance </w:t>
      </w:r>
      <w:r w:rsidRPr="00C46ABE">
        <w:rPr>
          <w:color w:val="auto"/>
        </w:rPr>
        <w:t xml:space="preserve">with </w:t>
      </w:r>
      <w:r w:rsidRPr="00835C82">
        <w:rPr>
          <w:color w:val="auto"/>
        </w:rPr>
        <w:t>15.8.5</w:t>
      </w:r>
      <w:r w:rsidRPr="00C46ABE">
        <w:rPr>
          <w:color w:val="auto"/>
        </w:rPr>
        <w:t xml:space="preserve">. For fillet welded or bolted non-dissipative connections at the location the dissipative zones, the condition given by Formula (15.2) should </w:t>
      </w:r>
      <w:r w:rsidRPr="00C52095">
        <w:t>be satisfied.</w:t>
      </w:r>
    </w:p>
    <w:p w14:paraId="4DEE8F57" w14:textId="731A532E" w:rsidR="00C46ABE" w:rsidRDefault="009B5CEC" w:rsidP="00C46ABE">
      <w:pPr>
        <w:pStyle w:val="Formula"/>
        <w:spacing w:before="240"/>
      </w:pPr>
      <m:oMath>
        <m:sSub>
          <m:sSubPr>
            <m:ctrlPr>
              <w:rPr>
                <w:rFonts w:ascii="Cambria Math" w:hAnsi="Cambria Math"/>
                <w:i/>
              </w:rPr>
            </m:ctrlPr>
          </m:sSubPr>
          <m:e>
            <m:sSub>
              <m:sSubPr>
                <m:ctrlPr>
                  <w:rPr>
                    <w:rFonts w:ascii="Cambria Math" w:hAnsi="Cambria Math"/>
                    <w:i/>
                  </w:rPr>
                </m:ctrlPr>
              </m:sSubPr>
              <m:e>
                <m:sSub>
                  <m:sSubPr>
                    <m:ctrlPr>
                      <w:rPr>
                        <w:rFonts w:ascii="Cambria Math" w:hAnsi="Cambria Math"/>
                        <w:i/>
                      </w:rPr>
                    </m:ctrlPr>
                  </m:sSubPr>
                  <m:e>
                    <m:r>
                      <w:rPr>
                        <w:rFonts w:ascii="Cambria Math" w:hAnsi="Cambria Math"/>
                      </w:rPr>
                      <m:t>R</m:t>
                    </m:r>
                  </m:e>
                  <m:sub>
                    <m:r>
                      <m:rPr>
                        <m:sty m:val="p"/>
                      </m:rPr>
                      <w:rPr>
                        <w:rFonts w:ascii="Cambria Math" w:hAnsi="Cambria Math"/>
                      </w:rPr>
                      <m:t>d</m:t>
                    </m:r>
                  </m:sub>
                </m:sSub>
                <m:r>
                  <w:rPr>
                    <w:rFonts w:ascii="Cambria Math" w:hAnsi="Cambria Math"/>
                  </w:rPr>
                  <m:t xml:space="preserve"> ≥ω</m:t>
                </m:r>
              </m:e>
              <m:sub>
                <m:r>
                  <m:rPr>
                    <m:sty m:val="p"/>
                  </m:rPr>
                  <w:rPr>
                    <w:rFonts w:ascii="Cambria Math" w:hAnsi="Cambria Math"/>
                  </w:rPr>
                  <m:t>rm</m:t>
                </m:r>
              </m:sub>
            </m:sSub>
            <m:sSub>
              <m:sSubPr>
                <m:ctrlPr>
                  <w:rPr>
                    <w:rFonts w:ascii="Cambria Math" w:hAnsi="Cambria Math"/>
                    <w:i/>
                  </w:rPr>
                </m:ctrlPr>
              </m:sSubPr>
              <m:e>
                <m:r>
                  <w:rPr>
                    <w:rFonts w:ascii="Cambria Math" w:hAnsi="Cambria Math"/>
                  </w:rPr>
                  <m:t xml:space="preserve"> ω</m:t>
                </m:r>
              </m:e>
              <m:sub>
                <m:r>
                  <m:rPr>
                    <m:sty m:val="p"/>
                  </m:rPr>
                  <w:rPr>
                    <w:rFonts w:ascii="Cambria Math" w:hAnsi="Cambria Math"/>
                  </w:rPr>
                  <m:t>sh</m:t>
                </m:r>
              </m:sub>
            </m:sSub>
            <m:r>
              <w:rPr>
                <w:rFonts w:ascii="Cambria Math" w:hAnsi="Cambria Math"/>
              </w:rPr>
              <m:t xml:space="preserve"> R</m:t>
            </m:r>
          </m:e>
          <m:sub>
            <m:r>
              <m:rPr>
                <m:sty m:val="p"/>
              </m:rPr>
              <w:rPr>
                <w:rFonts w:ascii="Cambria Math" w:hAnsi="Cambria Math"/>
              </w:rPr>
              <m:t>fo</m:t>
            </m:r>
          </m:sub>
        </m:sSub>
      </m:oMath>
      <w:r w:rsidR="00C46ABE" w:rsidRPr="00870D59">
        <w:tab/>
        <w:t>(1</w:t>
      </w:r>
      <w:r w:rsidR="00C46ABE">
        <w:t>5</w:t>
      </w:r>
      <w:r w:rsidR="00C46ABE" w:rsidRPr="00870D59">
        <w:t>.</w:t>
      </w:r>
      <w:r w:rsidR="00C46ABE">
        <w:t>2</w:t>
      </w:r>
      <w:r w:rsidR="00C46ABE" w:rsidRPr="00870D59">
        <w:t>)</w:t>
      </w:r>
    </w:p>
    <w:p w14:paraId="53FDD984" w14:textId="2BC46DA4" w:rsidR="00C46ABE" w:rsidRPr="001B2671" w:rsidRDefault="00675EBA" w:rsidP="00C46ABE">
      <w:pPr>
        <w:pStyle w:val="BodyText"/>
      </w:pPr>
      <w:r>
        <w:t>where</w:t>
      </w:r>
    </w:p>
    <w:tbl>
      <w:tblPr>
        <w:tblW w:w="0" w:type="auto"/>
        <w:tblInd w:w="346" w:type="dxa"/>
        <w:tblLook w:val="04A0" w:firstRow="1" w:lastRow="0" w:firstColumn="1" w:lastColumn="0" w:noHBand="0" w:noVBand="1"/>
      </w:tblPr>
      <w:tblGrid>
        <w:gridCol w:w="1275"/>
        <w:gridCol w:w="7938"/>
      </w:tblGrid>
      <w:tr w:rsidR="00C46ABE" w:rsidRPr="000F2AFF" w14:paraId="68DA5423" w14:textId="77777777" w:rsidTr="008A133F">
        <w:tc>
          <w:tcPr>
            <w:tcW w:w="1275" w:type="dxa"/>
          </w:tcPr>
          <w:p w14:paraId="4C8E7FC8" w14:textId="53C56D31" w:rsidR="00C46ABE" w:rsidRPr="00736D6A" w:rsidRDefault="00C46ABE" w:rsidP="002061E5">
            <w:pPr>
              <w:spacing w:after="60"/>
              <w:jc w:val="left"/>
              <w:rPr>
                <w:rFonts w:eastAsia="Times New Roman" w:cs="Cambria"/>
                <w:color w:val="000000" w:themeColor="text1"/>
                <w:szCs w:val="20"/>
                <w:lang w:eastAsia="fr-FR"/>
              </w:rPr>
            </w:pPr>
            <w:r w:rsidRPr="007E6F67">
              <w:rPr>
                <w:i/>
              </w:rPr>
              <w:t>R</w:t>
            </w:r>
            <w:r w:rsidRPr="00FD17CF">
              <w:rPr>
                <w:vertAlign w:val="subscript"/>
              </w:rPr>
              <w:t>d</w:t>
            </w:r>
          </w:p>
        </w:tc>
        <w:tc>
          <w:tcPr>
            <w:tcW w:w="7938" w:type="dxa"/>
          </w:tcPr>
          <w:p w14:paraId="11C90BE7" w14:textId="0DFA95B2" w:rsidR="00C46ABE" w:rsidRPr="00DF3AF1" w:rsidRDefault="00C46ABE" w:rsidP="002061E5">
            <w:pPr>
              <w:pStyle w:val="Listofsymbols"/>
              <w:tabs>
                <w:tab w:val="clear" w:pos="1134"/>
                <w:tab w:val="left" w:pos="1347"/>
              </w:tabs>
              <w:ind w:left="0" w:firstLine="0"/>
              <w:rPr>
                <w:rFonts w:eastAsia="Times New Roman"/>
              </w:rPr>
            </w:pPr>
            <w:r w:rsidRPr="00FD17CF">
              <w:t xml:space="preserve">is the design </w:t>
            </w:r>
            <w:r w:rsidRPr="00E05E29">
              <w:t xml:space="preserve">resistance of the connection in accordance with </w:t>
            </w:r>
            <w:r w:rsidR="00C30FF9">
              <w:t>EN 1</w:t>
            </w:r>
            <w:r>
              <w:t>99</w:t>
            </w:r>
            <w:r w:rsidRPr="00E05E29">
              <w:t>9-1-1;</w:t>
            </w:r>
          </w:p>
        </w:tc>
      </w:tr>
      <w:tr w:rsidR="00C46ABE" w:rsidRPr="000F2AFF" w14:paraId="7CE95FAE" w14:textId="77777777" w:rsidTr="008A133F">
        <w:tc>
          <w:tcPr>
            <w:tcW w:w="1275" w:type="dxa"/>
          </w:tcPr>
          <w:p w14:paraId="29976111" w14:textId="4EFA7FF3" w:rsidR="00C46ABE" w:rsidRPr="00736D6A" w:rsidRDefault="00C46ABE" w:rsidP="002061E5">
            <w:pPr>
              <w:spacing w:after="60"/>
              <w:jc w:val="left"/>
              <w:rPr>
                <w:rFonts w:eastAsia="Times New Roman" w:cs="Cambria"/>
                <w:color w:val="000000" w:themeColor="text1"/>
                <w:szCs w:val="20"/>
                <w:lang w:eastAsia="fr-FR"/>
              </w:rPr>
            </w:pPr>
            <w:r w:rsidRPr="00196951">
              <w:rPr>
                <w:i/>
              </w:rPr>
              <w:t>R</w:t>
            </w:r>
            <w:r w:rsidRPr="002144A0">
              <w:rPr>
                <w:vertAlign w:val="subscript"/>
              </w:rPr>
              <w:t>fo</w:t>
            </w:r>
          </w:p>
        </w:tc>
        <w:tc>
          <w:tcPr>
            <w:tcW w:w="7938" w:type="dxa"/>
          </w:tcPr>
          <w:p w14:paraId="2F737F5A" w14:textId="788AAF47" w:rsidR="00C46ABE" w:rsidRPr="00DF3AF1" w:rsidRDefault="00C46ABE" w:rsidP="002061E5">
            <w:pPr>
              <w:pStyle w:val="Listofsymbols"/>
              <w:tabs>
                <w:tab w:val="clear" w:pos="1134"/>
                <w:tab w:val="left" w:pos="1347"/>
              </w:tabs>
              <w:ind w:left="0" w:firstLine="0"/>
              <w:rPr>
                <w:rFonts w:eastAsia="Times New Roman"/>
              </w:rPr>
            </w:pPr>
            <w:r w:rsidRPr="00132C1E">
              <w:t xml:space="preserve">is the plastic resistance of the connected dissipative member evaluated in the expected position of the plastic hinge and based on the nominal conventional elastic strength of the material as defined in </w:t>
            </w:r>
            <w:r w:rsidR="00C30FF9">
              <w:t>EN 1</w:t>
            </w:r>
            <w:r>
              <w:t>99</w:t>
            </w:r>
            <w:r w:rsidRPr="00132C1E">
              <w:t>9-1-1;</w:t>
            </w:r>
          </w:p>
        </w:tc>
      </w:tr>
      <w:tr w:rsidR="00C46ABE" w:rsidRPr="000F2AFF" w14:paraId="15665FB7" w14:textId="77777777" w:rsidTr="008A133F">
        <w:tc>
          <w:tcPr>
            <w:tcW w:w="1275" w:type="dxa"/>
          </w:tcPr>
          <w:p w14:paraId="1ADABDE6" w14:textId="19748AD1" w:rsidR="00C46ABE" w:rsidRPr="00736D6A" w:rsidRDefault="00C46ABE" w:rsidP="002061E5">
            <w:pPr>
              <w:spacing w:after="60"/>
              <w:jc w:val="left"/>
              <w:rPr>
                <w:rFonts w:eastAsia="Times New Roman" w:cs="Cambria"/>
                <w:color w:val="000000" w:themeColor="text1"/>
                <w:szCs w:val="20"/>
                <w:lang w:eastAsia="fr-FR"/>
              </w:rPr>
            </w:pPr>
            <w:r w:rsidRPr="00132C1E">
              <w:rPr>
                <w:i/>
              </w:rPr>
              <w:t>ω</w:t>
            </w:r>
            <w:r w:rsidRPr="00132C1E">
              <w:rPr>
                <w:vertAlign w:val="subscript"/>
              </w:rPr>
              <w:t>rm</w:t>
            </w:r>
          </w:p>
        </w:tc>
        <w:tc>
          <w:tcPr>
            <w:tcW w:w="7938" w:type="dxa"/>
          </w:tcPr>
          <w:p w14:paraId="54B3EBB5" w14:textId="61893C08" w:rsidR="00C46ABE" w:rsidRPr="00B342A8" w:rsidRDefault="00C46ABE" w:rsidP="002061E5">
            <w:pPr>
              <w:pStyle w:val="Listofsymbols"/>
              <w:tabs>
                <w:tab w:val="clear" w:pos="1134"/>
                <w:tab w:val="left" w:pos="1347"/>
              </w:tabs>
              <w:ind w:left="0" w:firstLine="0"/>
              <w:rPr>
                <w:rFonts w:eastAsia="Times New Roman"/>
              </w:rPr>
            </w:pPr>
            <w:r w:rsidRPr="00B342A8">
              <w:t>is the material overstrength factor in the dissipative zones (see 15.2.2);</w:t>
            </w:r>
            <w:r w:rsidR="00902E5B" w:rsidRPr="00B342A8">
              <w:t xml:space="preserve"> in absence of experimental characterization, </w:t>
            </w:r>
            <w:r w:rsidR="00902E5B" w:rsidRPr="00B342A8">
              <w:rPr>
                <w:i/>
              </w:rPr>
              <w:t>ω</w:t>
            </w:r>
            <w:r w:rsidR="00902E5B" w:rsidRPr="00B342A8">
              <w:rPr>
                <w:vertAlign w:val="subscript"/>
              </w:rPr>
              <w:t>rm</w:t>
            </w:r>
            <w:r w:rsidR="00902E5B" w:rsidRPr="00B342A8">
              <w:t xml:space="preserve"> may be taken equal to 1,5;</w:t>
            </w:r>
          </w:p>
        </w:tc>
      </w:tr>
      <w:tr w:rsidR="00C46ABE" w:rsidRPr="000F2AFF" w14:paraId="14FD79D6" w14:textId="77777777" w:rsidTr="008A133F">
        <w:tc>
          <w:tcPr>
            <w:tcW w:w="1275" w:type="dxa"/>
          </w:tcPr>
          <w:p w14:paraId="1372A49C" w14:textId="1A3A7C6E" w:rsidR="00C46ABE" w:rsidRPr="00E05E29" w:rsidRDefault="00C46ABE" w:rsidP="002061E5">
            <w:pPr>
              <w:spacing w:after="60"/>
              <w:jc w:val="left"/>
              <w:rPr>
                <w:i/>
                <w:iCs/>
              </w:rPr>
            </w:pPr>
            <w:r w:rsidRPr="00132C1E">
              <w:rPr>
                <w:i/>
              </w:rPr>
              <w:t>ω</w:t>
            </w:r>
            <w:r w:rsidRPr="00132C1E">
              <w:rPr>
                <w:vertAlign w:val="subscript"/>
              </w:rPr>
              <w:t>sh</w:t>
            </w:r>
          </w:p>
        </w:tc>
        <w:tc>
          <w:tcPr>
            <w:tcW w:w="7938" w:type="dxa"/>
          </w:tcPr>
          <w:p w14:paraId="30219FD5" w14:textId="6F8DA55B" w:rsidR="00C46ABE" w:rsidRPr="00B342A8" w:rsidRDefault="00FA3E2C" w:rsidP="002061E5">
            <w:pPr>
              <w:pStyle w:val="Listofsymbols"/>
              <w:tabs>
                <w:tab w:val="clear" w:pos="1134"/>
                <w:tab w:val="left" w:pos="1347"/>
              </w:tabs>
              <w:ind w:left="0" w:firstLine="0"/>
            </w:pPr>
            <w:r w:rsidRPr="00B342A8">
              <w:t>is the hardening factor in the dissipative zones (see 15.8.6(</w:t>
            </w:r>
            <w:r w:rsidR="00107550" w:rsidRPr="00B342A8">
              <w:t>2</w:t>
            </w:r>
            <w:r w:rsidRPr="00B342A8">
              <w:t>)).</w:t>
            </w:r>
          </w:p>
        </w:tc>
      </w:tr>
    </w:tbl>
    <w:p w14:paraId="4BA8E0E5" w14:textId="4B510C52" w:rsidR="00FA3E2C" w:rsidRPr="00132C1E" w:rsidRDefault="00FA3E2C" w:rsidP="0080187E">
      <w:pPr>
        <w:pStyle w:val="Clause"/>
        <w:numPr>
          <w:ilvl w:val="0"/>
          <w:numId w:val="211"/>
        </w:numPr>
      </w:pPr>
      <w:r w:rsidRPr="00132C1E">
        <w:t xml:space="preserve">Factor </w:t>
      </w:r>
      <w:r>
        <w:rPr>
          <w:rFonts w:ascii="Cambria Math" w:eastAsia="Symbol" w:hAnsi="Cambria Math" w:cs="Symbol"/>
          <w:i/>
          <w:iCs/>
        </w:rPr>
        <w:t>ω</w:t>
      </w:r>
      <w:r w:rsidRPr="00132C1E">
        <w:rPr>
          <w:vertAlign w:val="subscript"/>
        </w:rPr>
        <w:t>sh</w:t>
      </w:r>
      <w:r w:rsidRPr="00132C1E">
        <w:t xml:space="preserve"> should be taken to depend on the type of plastic behaviour of the dissipative zone and on the structural system. Unless estimated with a refined analytical method, experimental validation or numerical simulation, </w:t>
      </w:r>
      <w:r w:rsidRPr="00132C1E">
        <w:rPr>
          <w:i/>
          <w:iCs/>
        </w:rPr>
        <w:t>γ</w:t>
      </w:r>
      <w:r w:rsidRPr="00132C1E">
        <w:rPr>
          <w:vertAlign w:val="subscript"/>
        </w:rPr>
        <w:t>sh</w:t>
      </w:r>
      <w:r w:rsidRPr="00132C1E">
        <w:t xml:space="preserve"> should be taken as given in a) or b):</w:t>
      </w:r>
    </w:p>
    <w:p w14:paraId="28C889D5" w14:textId="0B0D79DE" w:rsidR="00FA3E2C" w:rsidRPr="00B342A8" w:rsidRDefault="00FA3E2C" w:rsidP="0080187E">
      <w:pPr>
        <w:pStyle w:val="Text"/>
        <w:numPr>
          <w:ilvl w:val="0"/>
          <w:numId w:val="694"/>
        </w:numPr>
      </w:pPr>
      <w:r w:rsidRPr="00B342A8">
        <w:t xml:space="preserve">for members in plastic bending: as 1,3 or the value calculated in accordance with </w:t>
      </w:r>
      <w:r w:rsidR="00155F8D">
        <w:t>EN 1999-1-1:2023</w:t>
      </w:r>
      <w:r w:rsidRPr="00B342A8">
        <w:t>, Annex L, whichever is greater;</w:t>
      </w:r>
    </w:p>
    <w:p w14:paraId="305C85A6" w14:textId="77777777" w:rsidR="00FA3E2C" w:rsidRPr="00B342A8" w:rsidRDefault="00FA3E2C" w:rsidP="0080187E">
      <w:pPr>
        <w:pStyle w:val="Text"/>
        <w:numPr>
          <w:ilvl w:val="0"/>
          <w:numId w:val="694"/>
        </w:numPr>
      </w:pPr>
      <w:r w:rsidRPr="00B342A8">
        <w:t xml:space="preserve">for members in plastic tension: as 1,5 or the ratio </w:t>
      </w:r>
      <m:oMath>
        <m:f>
          <m:fPr>
            <m:ctrlPr>
              <w:rPr>
                <w:rFonts w:ascii="Cambria Math" w:hAnsi="Cambria Math"/>
                <w:i/>
              </w:rPr>
            </m:ctrlPr>
          </m:fPr>
          <m:num>
            <m:sSub>
              <m:sSubPr>
                <m:ctrlPr>
                  <w:rPr>
                    <w:rFonts w:ascii="Cambria Math" w:hAnsi="Cambria Math"/>
                    <w:i/>
                  </w:rPr>
                </m:ctrlPr>
              </m:sSubPr>
              <m:e>
                <m:r>
                  <w:rPr>
                    <w:rFonts w:ascii="Cambria Math" w:hAnsi="Cambria Math"/>
                  </w:rPr>
                  <m:t>f</m:t>
                </m:r>
              </m:e>
              <m:sub>
                <m:r>
                  <m:rPr>
                    <m:sty m:val="p"/>
                  </m:rPr>
                  <w:rPr>
                    <w:rFonts w:ascii="Cambria Math" w:hAnsi="Cambria Math"/>
                  </w:rPr>
                  <m:t>u</m:t>
                </m:r>
              </m:sub>
            </m:sSub>
          </m:num>
          <m:den>
            <m:sSub>
              <m:sSubPr>
                <m:ctrlPr>
                  <w:rPr>
                    <w:rFonts w:ascii="Cambria Math" w:hAnsi="Cambria Math"/>
                    <w:i/>
                  </w:rPr>
                </m:ctrlPr>
              </m:sSubPr>
              <m:e>
                <m:r>
                  <w:rPr>
                    <w:rFonts w:ascii="Cambria Math" w:hAnsi="Cambria Math"/>
                  </w:rPr>
                  <m:t>f</m:t>
                </m:r>
              </m:e>
              <m:sub>
                <m:r>
                  <w:rPr>
                    <w:rFonts w:ascii="Cambria Math" w:hAnsi="Cambria Math"/>
                  </w:rPr>
                  <m:t>o</m:t>
                </m:r>
              </m:sub>
            </m:sSub>
          </m:den>
        </m:f>
      </m:oMath>
      <w:r w:rsidRPr="00B342A8">
        <w:t>, whichever is greater.</w:t>
      </w:r>
    </w:p>
    <w:p w14:paraId="687FFFE7" w14:textId="798D502A" w:rsidR="00FA3E2C" w:rsidRPr="002144A0" w:rsidRDefault="00FA3E2C" w:rsidP="0080187E">
      <w:pPr>
        <w:pStyle w:val="Clause"/>
        <w:numPr>
          <w:ilvl w:val="0"/>
          <w:numId w:val="211"/>
        </w:numPr>
      </w:pPr>
      <w:r w:rsidRPr="00D1484A">
        <w:t xml:space="preserve">Category </w:t>
      </w:r>
      <w:r w:rsidRPr="004B502C">
        <w:t>C</w:t>
      </w:r>
      <w:r w:rsidRPr="007E6F67">
        <w:t xml:space="preserve"> bolted joints in shear</w:t>
      </w:r>
      <w:r w:rsidRPr="00FD17CF">
        <w:rPr>
          <w:color w:val="00B050"/>
        </w:rPr>
        <w:t xml:space="preserve"> </w:t>
      </w:r>
      <w:r w:rsidRPr="00FD17CF">
        <w:t xml:space="preserve">and category </w:t>
      </w:r>
      <w:r w:rsidRPr="004B502C">
        <w:t>E</w:t>
      </w:r>
      <w:r w:rsidRPr="00E05E29">
        <w:t xml:space="preserve"> bolted joints in tension in accordance with </w:t>
      </w:r>
      <w:r w:rsidR="00155F8D">
        <w:t>EN 1999-1-1:2023</w:t>
      </w:r>
      <w:r w:rsidR="00484D1D">
        <w:t>, 10.5.3.1</w:t>
      </w:r>
      <w:r w:rsidR="00484D1D" w:rsidRPr="00835C82">
        <w:t>,</w:t>
      </w:r>
      <w:r w:rsidRPr="002144A0">
        <w:t xml:space="preserve"> should be used </w:t>
      </w:r>
      <w:r w:rsidRPr="00FA3E2C">
        <w:rPr>
          <w:color w:val="auto"/>
        </w:rPr>
        <w:t>for the connections of dissipative members in DC2</w:t>
      </w:r>
      <w:r w:rsidRPr="002144A0">
        <w:t>.</w:t>
      </w:r>
    </w:p>
    <w:p w14:paraId="11892F84" w14:textId="77777777" w:rsidR="00FA3E2C" w:rsidRPr="00C52095" w:rsidRDefault="00FA3E2C" w:rsidP="00FA3E2C">
      <w:pPr>
        <w:pStyle w:val="Heading3"/>
      </w:pPr>
      <w:bookmarkStart w:id="10990" w:name="_Toc3399387"/>
      <w:bookmarkStart w:id="10991" w:name="_Toc50150673"/>
      <w:bookmarkStart w:id="10992" w:name="_Toc70887106"/>
      <w:bookmarkStart w:id="10993" w:name="_Toc108342690"/>
      <w:bookmarkStart w:id="10994" w:name="_Toc134198199"/>
      <w:r w:rsidRPr="004F25D7">
        <w:t>Design rules for column-to-column splices</w:t>
      </w:r>
      <w:bookmarkEnd w:id="10990"/>
      <w:bookmarkEnd w:id="10991"/>
      <w:bookmarkEnd w:id="10992"/>
      <w:bookmarkEnd w:id="10993"/>
      <w:bookmarkEnd w:id="10994"/>
    </w:p>
    <w:p w14:paraId="56F09253" w14:textId="6FBFAE22" w:rsidR="00FA3E2C" w:rsidRPr="00974A37" w:rsidRDefault="00FA3E2C" w:rsidP="0080187E">
      <w:pPr>
        <w:pStyle w:val="Clause"/>
        <w:numPr>
          <w:ilvl w:val="0"/>
          <w:numId w:val="539"/>
        </w:numPr>
      </w:pPr>
      <w:r w:rsidRPr="00974A37">
        <w:t xml:space="preserve">11.8.7(1), (2) and (4) should be applied. </w:t>
      </w:r>
    </w:p>
    <w:p w14:paraId="662A5CE8" w14:textId="278834DB" w:rsidR="00FA3E2C" w:rsidRPr="00974A37" w:rsidRDefault="00FA3E2C" w:rsidP="00724E4E">
      <w:pPr>
        <w:pStyle w:val="Clause"/>
      </w:pPr>
      <w:r w:rsidRPr="00974A37">
        <w:t>The resistance of the welded splice should be evaluated accounting for the influence of the heat affected zone.</w:t>
      </w:r>
    </w:p>
    <w:p w14:paraId="023B198F" w14:textId="174BC39D" w:rsidR="00FA3E2C" w:rsidRPr="00132C1E" w:rsidRDefault="00FA3E2C" w:rsidP="00FA3E2C">
      <w:pPr>
        <w:pStyle w:val="Heading2"/>
      </w:pPr>
      <w:bookmarkStart w:id="10995" w:name="_Toc3399388"/>
      <w:bookmarkStart w:id="10996" w:name="_Toc50150674"/>
      <w:bookmarkStart w:id="10997" w:name="_Toc70887107"/>
      <w:bookmarkStart w:id="10998" w:name="_Toc108342691"/>
      <w:bookmarkStart w:id="10999" w:name="_Toc134198200"/>
      <w:r w:rsidRPr="00132C1E">
        <w:t>Design rules for moment resisting frames</w:t>
      </w:r>
      <w:bookmarkEnd w:id="10995"/>
      <w:bookmarkEnd w:id="10996"/>
      <w:bookmarkEnd w:id="10997"/>
      <w:bookmarkEnd w:id="10998"/>
      <w:bookmarkEnd w:id="10999"/>
    </w:p>
    <w:p w14:paraId="30503E4B" w14:textId="77777777" w:rsidR="00FA3E2C" w:rsidRPr="00132C1E" w:rsidRDefault="00FA3E2C" w:rsidP="00FA3E2C">
      <w:pPr>
        <w:pStyle w:val="Heading3"/>
      </w:pPr>
      <w:r w:rsidRPr="00132C1E">
        <w:t xml:space="preserve"> </w:t>
      </w:r>
      <w:bookmarkStart w:id="11000" w:name="_Toc50150675"/>
      <w:bookmarkStart w:id="11001" w:name="_Toc70887108"/>
      <w:bookmarkStart w:id="11002" w:name="_Toc108342692"/>
      <w:bookmarkStart w:id="11003" w:name="_Toc134198201"/>
      <w:r w:rsidRPr="00132C1E">
        <w:t>Design criteria</w:t>
      </w:r>
      <w:bookmarkStart w:id="11004" w:name="_Toc3399389"/>
      <w:bookmarkEnd w:id="11000"/>
      <w:bookmarkEnd w:id="11001"/>
      <w:bookmarkEnd w:id="11002"/>
      <w:bookmarkEnd w:id="11004"/>
      <w:bookmarkEnd w:id="11003"/>
    </w:p>
    <w:p w14:paraId="117297B2" w14:textId="3891637D" w:rsidR="00FA3E2C" w:rsidRPr="00974A37" w:rsidRDefault="00FA3E2C" w:rsidP="0080187E">
      <w:pPr>
        <w:pStyle w:val="Clause"/>
        <w:numPr>
          <w:ilvl w:val="0"/>
          <w:numId w:val="540"/>
        </w:numPr>
      </w:pPr>
      <w:r w:rsidRPr="00CB04BC">
        <w:t>11.9.1(1)</w:t>
      </w:r>
      <w:r w:rsidRPr="00974A37">
        <w:t xml:space="preserve"> should be applied.</w:t>
      </w:r>
    </w:p>
    <w:p w14:paraId="743246FA" w14:textId="3CA286B4" w:rsidR="00FA3E2C" w:rsidRPr="00974A37" w:rsidRDefault="00FA3E2C" w:rsidP="00724E4E">
      <w:pPr>
        <w:pStyle w:val="Clause"/>
      </w:pPr>
      <w:r w:rsidRPr="00974A37">
        <w:t xml:space="preserve">Depending on the location of the dissipative zones, either </w:t>
      </w:r>
      <w:r w:rsidRPr="00CB04BC">
        <w:t>15.8.2(4)</w:t>
      </w:r>
      <w:r w:rsidRPr="00974A37">
        <w:t xml:space="preserve"> or </w:t>
      </w:r>
      <w:r w:rsidRPr="00CB04BC">
        <w:t>15.8.2(5)</w:t>
      </w:r>
      <w:r w:rsidRPr="00974A37">
        <w:t xml:space="preserve"> should be applied.</w:t>
      </w:r>
    </w:p>
    <w:p w14:paraId="47D9D151" w14:textId="42168E7E" w:rsidR="00FA3E2C" w:rsidRPr="00974A37" w:rsidRDefault="00FA3E2C" w:rsidP="00724E4E">
      <w:pPr>
        <w:pStyle w:val="Clause"/>
      </w:pPr>
      <w:r w:rsidRPr="00974A37">
        <w:t xml:space="preserve">The target hinge formation pattern should be achieved by conforming to </w:t>
      </w:r>
      <w:r w:rsidRPr="00CB04BC">
        <w:t>15.9.2</w:t>
      </w:r>
      <w:r w:rsidRPr="00974A37">
        <w:t xml:space="preserve">, </w:t>
      </w:r>
      <w:r w:rsidRPr="00CB04BC">
        <w:t>15.9.3</w:t>
      </w:r>
      <w:r w:rsidRPr="00974A37">
        <w:t xml:space="preserve"> and </w:t>
      </w:r>
      <w:r w:rsidRPr="00CB04BC">
        <w:t>15.9.4</w:t>
      </w:r>
      <w:r w:rsidRPr="00974A37">
        <w:t>.</w:t>
      </w:r>
    </w:p>
    <w:p w14:paraId="0A3FEADE" w14:textId="3B11EA8F" w:rsidR="00FA3E2C" w:rsidRPr="00132C1E" w:rsidRDefault="00FA3E2C" w:rsidP="00FA3E2C">
      <w:pPr>
        <w:pStyle w:val="Heading3"/>
      </w:pPr>
      <w:bookmarkStart w:id="11005" w:name="_Toc50150676"/>
      <w:bookmarkStart w:id="11006" w:name="_Toc70887109"/>
      <w:bookmarkStart w:id="11007" w:name="_Toc108342693"/>
      <w:bookmarkStart w:id="11008" w:name="_Toc134198202"/>
      <w:bookmarkStart w:id="11009" w:name="_Toc3399390"/>
      <w:r w:rsidRPr="00132C1E">
        <w:lastRenderedPageBreak/>
        <w:t>Beams</w:t>
      </w:r>
      <w:bookmarkEnd w:id="11005"/>
      <w:bookmarkEnd w:id="11006"/>
      <w:bookmarkEnd w:id="11007"/>
      <w:bookmarkEnd w:id="11008"/>
      <w:r w:rsidRPr="00132C1E">
        <w:t xml:space="preserve"> </w:t>
      </w:r>
      <w:bookmarkEnd w:id="11009"/>
    </w:p>
    <w:p w14:paraId="51220357" w14:textId="708DA6A8" w:rsidR="00FA3E2C" w:rsidRPr="00974A37" w:rsidRDefault="00FA3E2C" w:rsidP="0080187E">
      <w:pPr>
        <w:pStyle w:val="Clause"/>
        <w:numPr>
          <w:ilvl w:val="0"/>
          <w:numId w:val="541"/>
        </w:numPr>
      </w:pPr>
      <w:r w:rsidRPr="00974A37">
        <w:t xml:space="preserve">Beams should be verified to have sufficient resistance against lateral and lateral torsional buckling in accordance with </w:t>
      </w:r>
      <w:r w:rsidR="00155F8D">
        <w:t>EN 1999-1-1:2023</w:t>
      </w:r>
      <w:r w:rsidR="00484D1D">
        <w:t>, Annex I,</w:t>
      </w:r>
      <w:r w:rsidRPr="00974A37">
        <w:t xml:space="preserve"> assuming the formation of a plastic hinge at one end of the beam. The most stressed beam end in the seismic design situation should be considered for the verification.</w:t>
      </w:r>
    </w:p>
    <w:p w14:paraId="20E6FF64" w14:textId="47FC31E0" w:rsidR="00FA3E2C" w:rsidRPr="00974A37" w:rsidRDefault="00FA3E2C" w:rsidP="00724E4E">
      <w:pPr>
        <w:pStyle w:val="Clause"/>
      </w:pPr>
      <w:r w:rsidRPr="00CB04BC">
        <w:t>15.8.3(1)</w:t>
      </w:r>
      <w:r w:rsidRPr="00974A37">
        <w:t xml:space="preserve"> should be applied. </w:t>
      </w:r>
    </w:p>
    <w:p w14:paraId="58E0708D" w14:textId="3FD59D3F" w:rsidR="00FA3E2C" w:rsidRPr="00132C1E" w:rsidRDefault="00FA3E2C" w:rsidP="00FA3E2C">
      <w:pPr>
        <w:pStyle w:val="Heading3"/>
      </w:pPr>
      <w:bookmarkStart w:id="11010" w:name="_Toc3399391"/>
      <w:bookmarkStart w:id="11011" w:name="_Toc50150677"/>
      <w:bookmarkStart w:id="11012" w:name="_Toc70887110"/>
      <w:bookmarkStart w:id="11013" w:name="_Toc108342694"/>
      <w:bookmarkStart w:id="11014" w:name="_Toc134198203"/>
      <w:r w:rsidRPr="00132C1E">
        <w:t>Columns</w:t>
      </w:r>
      <w:bookmarkEnd w:id="11010"/>
      <w:bookmarkEnd w:id="11011"/>
      <w:bookmarkEnd w:id="11012"/>
      <w:bookmarkEnd w:id="11013"/>
      <w:bookmarkEnd w:id="11014"/>
    </w:p>
    <w:p w14:paraId="354AA72B" w14:textId="03CCF0CA" w:rsidR="00FA3E2C" w:rsidRPr="00CB04BC" w:rsidRDefault="00FA3E2C" w:rsidP="0080187E">
      <w:pPr>
        <w:pStyle w:val="Clause"/>
        <w:numPr>
          <w:ilvl w:val="0"/>
          <w:numId w:val="542"/>
        </w:numPr>
      </w:pPr>
      <w:r w:rsidRPr="00CB04BC">
        <w:t xml:space="preserve">The strength and stability of columns should be verified in compression, bending and shear considering the most unfavourable combination of </w:t>
      </w:r>
      <w:r w:rsidRPr="00646639">
        <w:rPr>
          <w:i/>
        </w:rPr>
        <w:t>N</w:t>
      </w:r>
      <w:r w:rsidRPr="00646639">
        <w:rPr>
          <w:vertAlign w:val="subscript"/>
        </w:rPr>
        <w:t>Ed</w:t>
      </w:r>
      <w:r w:rsidRPr="00CB04BC">
        <w:t xml:space="preserve">, </w:t>
      </w:r>
      <w:r w:rsidRPr="00646639">
        <w:rPr>
          <w:i/>
        </w:rPr>
        <w:t>M</w:t>
      </w:r>
      <w:r w:rsidRPr="00646639">
        <w:rPr>
          <w:vertAlign w:val="subscript"/>
        </w:rPr>
        <w:t>Ed</w:t>
      </w:r>
      <w:r w:rsidRPr="00CB04BC">
        <w:t xml:space="preserve"> and </w:t>
      </w:r>
      <w:r w:rsidRPr="00646639">
        <w:rPr>
          <w:i/>
        </w:rPr>
        <w:t>V</w:t>
      </w:r>
      <w:r w:rsidRPr="00646639">
        <w:rPr>
          <w:vertAlign w:val="subscript"/>
        </w:rPr>
        <w:t>Ed</w:t>
      </w:r>
      <w:r w:rsidRPr="00CB04BC">
        <w:t xml:space="preserve"> from 15.8.5(1).</w:t>
      </w:r>
    </w:p>
    <w:p w14:paraId="0BFBDD36" w14:textId="3226F350" w:rsidR="00FA3E2C" w:rsidRPr="00CB04BC" w:rsidRDefault="00FA3E2C" w:rsidP="00724E4E">
      <w:pPr>
        <w:pStyle w:val="Clause"/>
      </w:pPr>
      <w:r w:rsidRPr="00CB04BC">
        <w:t xml:space="preserve">The resistance verifications of columns should be made in accordance with </w:t>
      </w:r>
      <w:r w:rsidR="00155F8D">
        <w:t>EN 1999-1-1:2023</w:t>
      </w:r>
      <w:r w:rsidR="00484D1D">
        <w:t>, 8.2. and 8.3.</w:t>
      </w:r>
    </w:p>
    <w:p w14:paraId="58622A1F" w14:textId="338173CB" w:rsidR="00FA3E2C" w:rsidRPr="00CB04BC" w:rsidRDefault="00FA3E2C" w:rsidP="00724E4E">
      <w:pPr>
        <w:pStyle w:val="Clause"/>
      </w:pPr>
      <w:r w:rsidRPr="00CB04BC">
        <w:t xml:space="preserve">If a plastic hinge is expected in the column, the shear force </w:t>
      </w:r>
      <w:r w:rsidRPr="00CB04BC">
        <w:rPr>
          <w:i/>
        </w:rPr>
        <w:t>V</w:t>
      </w:r>
      <w:r w:rsidRPr="00CB04BC">
        <w:rPr>
          <w:vertAlign w:val="subscript"/>
        </w:rPr>
        <w:t>Ed</w:t>
      </w:r>
      <w:r w:rsidRPr="00CB04BC">
        <w:t xml:space="preserve"> from the analysis should satisfy Formula (15.3).</w:t>
      </w:r>
    </w:p>
    <w:p w14:paraId="56B3105E" w14:textId="491B65C0" w:rsidR="00FA3E2C" w:rsidRDefault="009B5CEC" w:rsidP="00FA3E2C">
      <w:pPr>
        <w:pStyle w:val="Formula"/>
        <w:spacing w:before="240"/>
      </w:pPr>
      <m:oMath>
        <m:sSub>
          <m:sSubPr>
            <m:ctrlPr>
              <w:rPr>
                <w:rFonts w:ascii="Cambria Math" w:hAnsi="Cambria Math"/>
                <w:i/>
              </w:rPr>
            </m:ctrlPr>
          </m:sSubPr>
          <m:e>
            <m:r>
              <w:rPr>
                <w:rFonts w:ascii="Cambria Math" w:hAnsi="Cambria Math"/>
              </w:rPr>
              <m:t>V</m:t>
            </m:r>
          </m:e>
          <m:sub>
            <m:r>
              <m:rPr>
                <m:sty m:val="p"/>
              </m:rPr>
              <w:rPr>
                <w:rFonts w:ascii="Cambria Math" w:hAnsi="Cambria Math"/>
              </w:rPr>
              <m:t>Ed</m:t>
            </m:r>
          </m:sub>
        </m:sSub>
        <m:r>
          <w:rPr>
            <w:rFonts w:ascii="Cambria Math" w:hAnsi="Cambria Math"/>
          </w:rPr>
          <m:t>≤</m:t>
        </m:r>
        <m:sSub>
          <m:sSubPr>
            <m:ctrlPr>
              <w:rPr>
                <w:rFonts w:ascii="Cambria Math" w:hAnsi="Cambria Math"/>
                <w:i/>
              </w:rPr>
            </m:ctrlPr>
          </m:sSubPr>
          <m:e>
            <m:r>
              <w:rPr>
                <w:rFonts w:ascii="Cambria Math" w:hAnsi="Cambria Math"/>
              </w:rPr>
              <m:t>0,5 V</m:t>
            </m:r>
          </m:e>
          <m:sub>
            <m:r>
              <m:rPr>
                <m:sty m:val="p"/>
              </m:rPr>
              <w:rPr>
                <w:rFonts w:ascii="Cambria Math" w:hAnsi="Cambria Math"/>
              </w:rPr>
              <m:t>Rd</m:t>
            </m:r>
          </m:sub>
        </m:sSub>
      </m:oMath>
      <w:r w:rsidR="00FA3E2C" w:rsidRPr="00870D59">
        <w:tab/>
        <w:t>(1</w:t>
      </w:r>
      <w:r w:rsidR="00FA3E2C">
        <w:t>5</w:t>
      </w:r>
      <w:r w:rsidR="00FA3E2C" w:rsidRPr="00870D59">
        <w:t>.</w:t>
      </w:r>
      <w:r w:rsidR="00FA3E2C">
        <w:t>3</w:t>
      </w:r>
      <w:r w:rsidR="00FA3E2C" w:rsidRPr="00870D59">
        <w:t>)</w:t>
      </w:r>
    </w:p>
    <w:p w14:paraId="114D95DF" w14:textId="08440578" w:rsidR="00FA3E2C" w:rsidRPr="00CB04BC" w:rsidRDefault="00FA3E2C" w:rsidP="00724E4E">
      <w:pPr>
        <w:pStyle w:val="Clause"/>
      </w:pPr>
      <w:r w:rsidRPr="00835C82">
        <w:rPr>
          <w:bCs/>
        </w:rPr>
        <w:t>11.9.3(6)</w:t>
      </w:r>
      <w:r w:rsidRPr="00CB04BC">
        <w:t xml:space="preserve"> and </w:t>
      </w:r>
      <w:r w:rsidRPr="00835C82">
        <w:rPr>
          <w:bCs/>
        </w:rPr>
        <w:t>(7)</w:t>
      </w:r>
      <w:r w:rsidRPr="00CB04BC">
        <w:t xml:space="preserve"> should be applied.</w:t>
      </w:r>
    </w:p>
    <w:p w14:paraId="687B481A" w14:textId="20A41268" w:rsidR="00FA3E2C" w:rsidRPr="002144A0" w:rsidRDefault="00FA3E2C" w:rsidP="00FA3E2C">
      <w:pPr>
        <w:pStyle w:val="Heading3"/>
      </w:pPr>
      <w:bookmarkStart w:id="11015" w:name="_Toc50150678"/>
      <w:bookmarkStart w:id="11016" w:name="_Toc70887111"/>
      <w:bookmarkStart w:id="11017" w:name="_Toc108342695"/>
      <w:bookmarkStart w:id="11018" w:name="_Toc134198204"/>
      <w:r w:rsidRPr="00196951">
        <w:t>Beam to column joints</w:t>
      </w:r>
      <w:bookmarkEnd w:id="11015"/>
      <w:bookmarkEnd w:id="11016"/>
      <w:bookmarkEnd w:id="11017"/>
      <w:bookmarkEnd w:id="11018"/>
      <w:r w:rsidRPr="00196951">
        <w:t xml:space="preserve"> </w:t>
      </w:r>
      <w:bookmarkStart w:id="11019" w:name="_Toc3399392"/>
      <w:bookmarkEnd w:id="11019"/>
    </w:p>
    <w:p w14:paraId="5C8A0135" w14:textId="4CB110BF" w:rsidR="00FA3E2C" w:rsidRPr="004F25D7" w:rsidRDefault="00FA3E2C" w:rsidP="0080187E">
      <w:pPr>
        <w:pStyle w:val="Clause"/>
        <w:numPr>
          <w:ilvl w:val="0"/>
          <w:numId w:val="543"/>
        </w:numPr>
      </w:pPr>
      <w:r w:rsidRPr="002144A0">
        <w:t xml:space="preserve">The connections of the beams to the columns and the column web panels should be designed for overstrength as given </w:t>
      </w:r>
      <w:r w:rsidRPr="00FA3E2C">
        <w:t xml:space="preserve">by Formula (15.2) for </w:t>
      </w:r>
      <w:r w:rsidRPr="002144A0">
        <w:t>both single- and double-sided joints.</w:t>
      </w:r>
    </w:p>
    <w:p w14:paraId="355D4072" w14:textId="3FDC4927" w:rsidR="00FA3E2C" w:rsidRPr="00132C1E" w:rsidRDefault="00FA3E2C" w:rsidP="00724E4E">
      <w:pPr>
        <w:pStyle w:val="Clause"/>
      </w:pPr>
      <w:r w:rsidRPr="00835C82">
        <w:t>11.9.4(5)</w:t>
      </w:r>
      <w:r w:rsidRPr="00FA3E2C">
        <w:t xml:space="preserve"> and </w:t>
      </w:r>
      <w:r w:rsidRPr="00835C82">
        <w:t>(6)</w:t>
      </w:r>
      <w:r w:rsidRPr="00FA3E2C">
        <w:t xml:space="preserve"> should </w:t>
      </w:r>
      <w:r w:rsidRPr="00132C1E">
        <w:t>be applied.</w:t>
      </w:r>
    </w:p>
    <w:p w14:paraId="557E285C" w14:textId="5EEFAC2D" w:rsidR="00FA3E2C" w:rsidRPr="00132C1E" w:rsidRDefault="00FA3E2C" w:rsidP="00FA3E2C">
      <w:pPr>
        <w:pStyle w:val="Heading3"/>
      </w:pPr>
      <w:bookmarkStart w:id="11020" w:name="_Toc3399393"/>
      <w:bookmarkStart w:id="11021" w:name="_Toc50150679"/>
      <w:bookmarkStart w:id="11022" w:name="_Toc70887112"/>
      <w:bookmarkStart w:id="11023" w:name="_Toc108342696"/>
      <w:bookmarkStart w:id="11024" w:name="_Toc134198205"/>
      <w:r w:rsidRPr="00132C1E">
        <w:t>Column base joints</w:t>
      </w:r>
      <w:bookmarkEnd w:id="11020"/>
      <w:bookmarkEnd w:id="11021"/>
      <w:bookmarkEnd w:id="11022"/>
      <w:bookmarkEnd w:id="11023"/>
      <w:bookmarkEnd w:id="11024"/>
    </w:p>
    <w:p w14:paraId="63DF2E2E" w14:textId="555E1354" w:rsidR="00FA3E2C" w:rsidRPr="00132C1E" w:rsidRDefault="00FA3E2C" w:rsidP="0080187E">
      <w:pPr>
        <w:pStyle w:val="Clause"/>
        <w:numPr>
          <w:ilvl w:val="0"/>
          <w:numId w:val="544"/>
        </w:numPr>
      </w:pPr>
      <w:r w:rsidRPr="00132C1E">
        <w:t>The resistance of rigid full strength non-dissipative</w:t>
      </w:r>
      <w:r w:rsidRPr="00132C1E" w:rsidDel="00932F78">
        <w:t xml:space="preserve"> </w:t>
      </w:r>
      <w:r w:rsidRPr="00132C1E">
        <w:t xml:space="preserve">base connections </w:t>
      </w:r>
      <w:r w:rsidRPr="00646639">
        <w:rPr>
          <w:i/>
        </w:rPr>
        <w:t>M</w:t>
      </w:r>
      <w:r w:rsidRPr="00646639">
        <w:rPr>
          <w:vertAlign w:val="subscript"/>
        </w:rPr>
        <w:t>c,j,Rd</w:t>
      </w:r>
      <w:r w:rsidRPr="00132C1E">
        <w:t xml:space="preserve"> should comply with </w:t>
      </w:r>
      <w:r w:rsidRPr="00FA3E2C">
        <w:t>Formula (15.4).</w:t>
      </w:r>
    </w:p>
    <w:p w14:paraId="0FB56CA5" w14:textId="105F8F46" w:rsidR="00FA3E2C" w:rsidRDefault="009B5CEC" w:rsidP="00FA3E2C">
      <w:pPr>
        <w:pStyle w:val="Formula"/>
        <w:spacing w:before="240"/>
      </w:pPr>
      <m:oMath>
        <m:sSub>
          <m:sSubPr>
            <m:ctrlPr>
              <w:rPr>
                <w:rFonts w:ascii="Cambria Math" w:hAnsi="Cambria Math"/>
                <w:i/>
              </w:rPr>
            </m:ctrlPr>
          </m:sSubPr>
          <m:e>
            <m:r>
              <w:rPr>
                <w:rFonts w:ascii="Cambria Math" w:hAnsi="Cambria Math"/>
              </w:rPr>
              <m:t>M</m:t>
            </m:r>
          </m:e>
          <m:sub>
            <m:r>
              <m:rPr>
                <m:sty m:val="p"/>
              </m:rPr>
              <w:rPr>
                <w:rFonts w:ascii="Cambria Math" w:hAnsi="Cambria Math"/>
              </w:rPr>
              <m:t>c,j,Rd</m:t>
            </m:r>
          </m:sub>
        </m:sSub>
        <m:r>
          <w:rPr>
            <w:rFonts w:ascii="Cambria Math" w:hAnsi="Cambria Math"/>
          </w:rPr>
          <m:t>≥</m:t>
        </m:r>
        <m:sSub>
          <m:sSubPr>
            <m:ctrlPr>
              <w:rPr>
                <w:rFonts w:ascii="Cambria Math" w:hAnsi="Cambria Math"/>
                <w:i/>
              </w:rPr>
            </m:ctrlPr>
          </m:sSubPr>
          <m:e>
            <m:r>
              <w:rPr>
                <w:rFonts w:ascii="Cambria Math" w:hAnsi="Cambria Math"/>
              </w:rPr>
              <m:t>ω</m:t>
            </m:r>
          </m:e>
          <m:sub>
            <m:r>
              <m:rPr>
                <m:sty m:val="p"/>
              </m:rPr>
              <w:rPr>
                <w:rFonts w:ascii="Cambria Math" w:hAnsi="Cambria Math"/>
              </w:rPr>
              <m:t>rm</m:t>
            </m:r>
          </m:sub>
        </m:sSub>
        <m:r>
          <w:rPr>
            <w:rFonts w:ascii="Cambria Math" w:hAnsi="Cambria Math"/>
          </w:rPr>
          <m:t xml:space="preserve"> </m:t>
        </m:r>
        <m:sSub>
          <m:sSubPr>
            <m:ctrlPr>
              <w:rPr>
                <w:rFonts w:ascii="Cambria Math" w:hAnsi="Cambria Math"/>
                <w:i/>
              </w:rPr>
            </m:ctrlPr>
          </m:sSubPr>
          <m:e>
            <m:r>
              <w:rPr>
                <w:rFonts w:ascii="Cambria Math" w:hAnsi="Cambria Math"/>
              </w:rPr>
              <m:t>ω</m:t>
            </m:r>
          </m:e>
          <m:sub>
            <m:r>
              <m:rPr>
                <m:sty m:val="p"/>
              </m:rPr>
              <w:rPr>
                <w:rFonts w:ascii="Cambria Math" w:hAnsi="Cambria Math"/>
              </w:rPr>
              <m:t>sh</m:t>
            </m:r>
          </m:sub>
        </m:sSub>
        <m:r>
          <w:rPr>
            <w:rFonts w:ascii="Cambria Math" w:hAnsi="Cambria Math"/>
          </w:rPr>
          <m:t xml:space="preserve"> </m:t>
        </m:r>
        <m:sSub>
          <m:sSubPr>
            <m:ctrlPr>
              <w:rPr>
                <w:rFonts w:ascii="Cambria Math" w:hAnsi="Cambria Math"/>
                <w:i/>
              </w:rPr>
            </m:ctrlPr>
          </m:sSubPr>
          <m:e>
            <m:r>
              <w:rPr>
                <w:rFonts w:ascii="Cambria Math" w:hAnsi="Cambria Math"/>
              </w:rPr>
              <m:t>M</m:t>
            </m:r>
          </m:e>
          <m:sub>
            <m:r>
              <m:rPr>
                <m:sty m:val="p"/>
              </m:rPr>
              <w:rPr>
                <w:rFonts w:ascii="Cambria Math" w:hAnsi="Cambria Math"/>
              </w:rPr>
              <m:t>Rd,c</m:t>
            </m:r>
          </m:sub>
        </m:sSub>
        <m:d>
          <m:dPr>
            <m:ctrlPr>
              <w:rPr>
                <w:rFonts w:ascii="Cambria Math" w:hAnsi="Cambria Math"/>
                <w:i/>
              </w:rPr>
            </m:ctrlPr>
          </m:dPr>
          <m:e>
            <m:sSub>
              <m:sSubPr>
                <m:ctrlPr>
                  <w:rPr>
                    <w:rFonts w:ascii="Cambria Math" w:hAnsi="Cambria Math"/>
                    <w:i/>
                  </w:rPr>
                </m:ctrlPr>
              </m:sSubPr>
              <m:e>
                <m:r>
                  <w:rPr>
                    <w:rFonts w:ascii="Cambria Math" w:hAnsi="Cambria Math"/>
                  </w:rPr>
                  <m:t>N</m:t>
                </m:r>
              </m:e>
              <m:sub>
                <m:r>
                  <m:rPr>
                    <m:sty m:val="p"/>
                  </m:rPr>
                  <w:rPr>
                    <w:rFonts w:ascii="Cambria Math" w:hAnsi="Cambria Math"/>
                  </w:rPr>
                  <m:t>Ed</m:t>
                </m:r>
              </m:sub>
            </m:sSub>
          </m:e>
        </m:d>
      </m:oMath>
      <w:r w:rsidR="00FA3E2C" w:rsidRPr="00870D59">
        <w:tab/>
        <w:t>(1</w:t>
      </w:r>
      <w:r w:rsidR="00FA3E2C">
        <w:t>5</w:t>
      </w:r>
      <w:r w:rsidR="00FA3E2C" w:rsidRPr="00870D59">
        <w:t>.</w:t>
      </w:r>
      <w:r w:rsidR="00FA3E2C">
        <w:t>4</w:t>
      </w:r>
      <w:r w:rsidR="00FA3E2C" w:rsidRPr="00870D59">
        <w:t>)</w:t>
      </w:r>
    </w:p>
    <w:p w14:paraId="3E15B448" w14:textId="398214F5" w:rsidR="00FA3E2C" w:rsidRPr="001B2671" w:rsidRDefault="00675EBA" w:rsidP="00FA3E2C">
      <w:pPr>
        <w:pStyle w:val="BodyText"/>
      </w:pPr>
      <w:r>
        <w:t>where</w:t>
      </w:r>
    </w:p>
    <w:tbl>
      <w:tblPr>
        <w:tblW w:w="0" w:type="auto"/>
        <w:tblInd w:w="346" w:type="dxa"/>
        <w:tblLook w:val="04A0" w:firstRow="1" w:lastRow="0" w:firstColumn="1" w:lastColumn="0" w:noHBand="0" w:noVBand="1"/>
      </w:tblPr>
      <w:tblGrid>
        <w:gridCol w:w="1275"/>
        <w:gridCol w:w="7938"/>
      </w:tblGrid>
      <w:tr w:rsidR="00FA3E2C" w:rsidRPr="000F2AFF" w14:paraId="7E5F9016" w14:textId="77777777" w:rsidTr="008A133F">
        <w:tc>
          <w:tcPr>
            <w:tcW w:w="1275" w:type="dxa"/>
          </w:tcPr>
          <w:p w14:paraId="61B20CCA" w14:textId="113BCB2B" w:rsidR="00FA3E2C" w:rsidRPr="00736D6A" w:rsidRDefault="00FA3E2C" w:rsidP="002061E5">
            <w:pPr>
              <w:spacing w:after="60"/>
              <w:jc w:val="left"/>
              <w:rPr>
                <w:rFonts w:eastAsia="Times New Roman" w:cs="Cambria"/>
                <w:color w:val="000000" w:themeColor="text1"/>
                <w:szCs w:val="20"/>
                <w:lang w:eastAsia="fr-FR"/>
              </w:rPr>
            </w:pPr>
            <w:r w:rsidRPr="007E6F67">
              <w:rPr>
                <w:i/>
              </w:rPr>
              <w:t>M</w:t>
            </w:r>
            <w:r w:rsidRPr="00FD17CF">
              <w:rPr>
                <w:iCs/>
                <w:vertAlign w:val="subscript"/>
              </w:rPr>
              <w:t>Rd,c</w:t>
            </w:r>
            <w:r w:rsidRPr="00FD17CF">
              <w:t>(</w:t>
            </w:r>
            <w:r w:rsidRPr="00E05E29">
              <w:rPr>
                <w:i/>
              </w:rPr>
              <w:t>N</w:t>
            </w:r>
            <w:r w:rsidRPr="00E05E29">
              <w:rPr>
                <w:vertAlign w:val="subscript"/>
              </w:rPr>
              <w:t>Ed</w:t>
            </w:r>
            <w:r w:rsidRPr="00E05E29">
              <w:t>)</w:t>
            </w:r>
          </w:p>
        </w:tc>
        <w:tc>
          <w:tcPr>
            <w:tcW w:w="7938" w:type="dxa"/>
          </w:tcPr>
          <w:p w14:paraId="06A18B09" w14:textId="637E83E3" w:rsidR="00FA3E2C" w:rsidRPr="00DF3AF1" w:rsidRDefault="00FA3E2C" w:rsidP="002061E5">
            <w:pPr>
              <w:pStyle w:val="Listofsymbols"/>
              <w:tabs>
                <w:tab w:val="clear" w:pos="1134"/>
                <w:tab w:val="left" w:pos="1347"/>
              </w:tabs>
              <w:ind w:left="0" w:firstLine="0"/>
              <w:rPr>
                <w:rFonts w:eastAsia="Times New Roman"/>
              </w:rPr>
            </w:pPr>
            <w:r w:rsidRPr="00E05E29">
              <w:t xml:space="preserve">is the design moment resistance of the column taking into account the axial load </w:t>
            </w:r>
            <w:r w:rsidRPr="00E05E29">
              <w:rPr>
                <w:i/>
              </w:rPr>
              <w:t>N</w:t>
            </w:r>
            <w:r w:rsidRPr="00196951">
              <w:rPr>
                <w:iCs/>
                <w:vertAlign w:val="subscript"/>
              </w:rPr>
              <w:t>Ed</w:t>
            </w:r>
            <w:r w:rsidRPr="002144A0">
              <w:t>, in the seismic design situation;</w:t>
            </w:r>
          </w:p>
        </w:tc>
      </w:tr>
      <w:tr w:rsidR="00FA3E2C" w:rsidRPr="000F2AFF" w14:paraId="54EF5A17" w14:textId="77777777" w:rsidTr="008A133F">
        <w:tc>
          <w:tcPr>
            <w:tcW w:w="1275" w:type="dxa"/>
          </w:tcPr>
          <w:p w14:paraId="3327A88F" w14:textId="00DC1568" w:rsidR="00FA3E2C" w:rsidRPr="00736D6A" w:rsidRDefault="00FA3E2C" w:rsidP="002061E5">
            <w:pPr>
              <w:spacing w:after="60"/>
              <w:jc w:val="left"/>
              <w:rPr>
                <w:rFonts w:eastAsia="Times New Roman" w:cs="Cambria"/>
                <w:color w:val="000000" w:themeColor="text1"/>
                <w:szCs w:val="20"/>
                <w:lang w:eastAsia="fr-FR"/>
              </w:rPr>
            </w:pPr>
            <w:r w:rsidRPr="002144A0">
              <w:rPr>
                <w:i/>
              </w:rPr>
              <w:t>ω</w:t>
            </w:r>
            <w:r w:rsidRPr="002144A0">
              <w:rPr>
                <w:vertAlign w:val="subscript"/>
              </w:rPr>
              <w:t>rm</w:t>
            </w:r>
          </w:p>
        </w:tc>
        <w:tc>
          <w:tcPr>
            <w:tcW w:w="7938" w:type="dxa"/>
          </w:tcPr>
          <w:p w14:paraId="137A4680" w14:textId="2D140547" w:rsidR="00FA3E2C" w:rsidRPr="00B342A8" w:rsidRDefault="00FA3E2C" w:rsidP="002061E5">
            <w:pPr>
              <w:pStyle w:val="Listofsymbols"/>
              <w:tabs>
                <w:tab w:val="clear" w:pos="1134"/>
                <w:tab w:val="left" w:pos="1347"/>
              </w:tabs>
              <w:ind w:left="0" w:firstLine="0"/>
              <w:rPr>
                <w:rFonts w:eastAsia="Times New Roman"/>
              </w:rPr>
            </w:pPr>
            <w:r w:rsidRPr="00B342A8">
              <w:t>is the material overstrength factor given in 15.2.2</w:t>
            </w:r>
            <w:r w:rsidR="00B342A8">
              <w:t>;</w:t>
            </w:r>
          </w:p>
        </w:tc>
      </w:tr>
      <w:tr w:rsidR="00FA3E2C" w:rsidRPr="000F2AFF" w14:paraId="55A166DB" w14:textId="77777777" w:rsidTr="008A133F">
        <w:tc>
          <w:tcPr>
            <w:tcW w:w="1275" w:type="dxa"/>
          </w:tcPr>
          <w:p w14:paraId="7D600A08" w14:textId="25CCB2BC" w:rsidR="00FA3E2C" w:rsidRPr="00736D6A" w:rsidRDefault="00FA3E2C" w:rsidP="002061E5">
            <w:pPr>
              <w:spacing w:after="60"/>
              <w:jc w:val="left"/>
              <w:rPr>
                <w:rFonts w:eastAsia="Times New Roman" w:cs="Cambria"/>
                <w:color w:val="000000" w:themeColor="text1"/>
                <w:szCs w:val="20"/>
                <w:lang w:eastAsia="fr-FR"/>
              </w:rPr>
            </w:pPr>
            <w:r w:rsidRPr="00C52095">
              <w:rPr>
                <w:i/>
              </w:rPr>
              <w:t>ω</w:t>
            </w:r>
            <w:r w:rsidRPr="007754C9">
              <w:rPr>
                <w:vertAlign w:val="subscript"/>
              </w:rPr>
              <w:t>sh</w:t>
            </w:r>
          </w:p>
        </w:tc>
        <w:tc>
          <w:tcPr>
            <w:tcW w:w="7938" w:type="dxa"/>
          </w:tcPr>
          <w:p w14:paraId="686DC166" w14:textId="785C496D" w:rsidR="00FA3E2C" w:rsidRPr="00B342A8" w:rsidRDefault="00FA3E2C" w:rsidP="002061E5">
            <w:pPr>
              <w:pStyle w:val="Listofsymbols"/>
              <w:tabs>
                <w:tab w:val="clear" w:pos="1134"/>
                <w:tab w:val="left" w:pos="1347"/>
              </w:tabs>
              <w:ind w:left="0" w:firstLine="0"/>
              <w:rPr>
                <w:rFonts w:eastAsia="Times New Roman"/>
              </w:rPr>
            </w:pPr>
            <w:r w:rsidRPr="00B342A8">
              <w:t>is the hardening factor of the plastic hinge (see 15.8.6(3)).</w:t>
            </w:r>
          </w:p>
        </w:tc>
      </w:tr>
    </w:tbl>
    <w:p w14:paraId="39AE593A" w14:textId="77777777" w:rsidR="00974A37" w:rsidRPr="00974A37" w:rsidRDefault="00974A37" w:rsidP="00974A37">
      <w:pPr>
        <w:pStyle w:val="Heading2"/>
      </w:pPr>
      <w:bookmarkStart w:id="11025" w:name="_Toc3399394"/>
      <w:bookmarkStart w:id="11026" w:name="_Toc50150680"/>
      <w:bookmarkStart w:id="11027" w:name="_Toc70887113"/>
      <w:bookmarkStart w:id="11028" w:name="_Toc108342697"/>
      <w:bookmarkStart w:id="11029" w:name="_Toc134198206"/>
      <w:r w:rsidRPr="00974A37">
        <w:t>Design rules for frames with concentric bracings</w:t>
      </w:r>
      <w:bookmarkEnd w:id="11025"/>
      <w:bookmarkEnd w:id="11026"/>
      <w:bookmarkEnd w:id="11027"/>
      <w:bookmarkEnd w:id="11028"/>
      <w:bookmarkEnd w:id="11029"/>
    </w:p>
    <w:p w14:paraId="70A1DF9B" w14:textId="77777777" w:rsidR="00974A37" w:rsidRPr="00132C1E" w:rsidRDefault="00974A37" w:rsidP="00974A37">
      <w:pPr>
        <w:pStyle w:val="Heading3"/>
      </w:pPr>
      <w:bookmarkStart w:id="11030" w:name="_Toc50150681"/>
      <w:bookmarkStart w:id="11031" w:name="_Toc70887114"/>
      <w:bookmarkStart w:id="11032" w:name="_Toc108342698"/>
      <w:bookmarkStart w:id="11033" w:name="_Toc134198207"/>
      <w:bookmarkStart w:id="11034" w:name="_Toc3399395"/>
      <w:r w:rsidRPr="00132C1E">
        <w:t>Design criteria for DC2</w:t>
      </w:r>
      <w:bookmarkEnd w:id="11030"/>
      <w:bookmarkEnd w:id="11031"/>
      <w:bookmarkEnd w:id="11032"/>
      <w:bookmarkEnd w:id="11033"/>
      <w:r w:rsidRPr="00132C1E">
        <w:t xml:space="preserve"> </w:t>
      </w:r>
      <w:bookmarkEnd w:id="11034"/>
    </w:p>
    <w:p w14:paraId="0D0C3FD6" w14:textId="6633EAA0" w:rsidR="00974A37" w:rsidRPr="00132C1E" w:rsidRDefault="00974A37" w:rsidP="0080187E">
      <w:pPr>
        <w:pStyle w:val="Clause"/>
        <w:numPr>
          <w:ilvl w:val="0"/>
          <w:numId w:val="545"/>
        </w:numPr>
      </w:pPr>
      <w:r w:rsidRPr="00835C82">
        <w:t>11.10.1(1)</w:t>
      </w:r>
      <w:r w:rsidRPr="00974A37">
        <w:t xml:space="preserve"> shall </w:t>
      </w:r>
      <w:r w:rsidRPr="00132C1E">
        <w:t xml:space="preserve">be applied. </w:t>
      </w:r>
    </w:p>
    <w:p w14:paraId="29F9B867" w14:textId="5E439234" w:rsidR="00974A37" w:rsidRPr="00132C1E" w:rsidRDefault="00974A37" w:rsidP="00724E4E">
      <w:pPr>
        <w:pStyle w:val="Clause"/>
      </w:pPr>
      <w:r w:rsidRPr="00835C82">
        <w:t>11.10.1(2)</w:t>
      </w:r>
      <w:r w:rsidRPr="00974A37">
        <w:t xml:space="preserve"> and</w:t>
      </w:r>
      <w:r w:rsidRPr="00835C82">
        <w:t xml:space="preserve"> (3)</w:t>
      </w:r>
      <w:r w:rsidRPr="00974A37">
        <w:t xml:space="preserve"> should </w:t>
      </w:r>
      <w:r w:rsidRPr="00132C1E">
        <w:t xml:space="preserve">be applied. </w:t>
      </w:r>
    </w:p>
    <w:p w14:paraId="6C242214" w14:textId="5F7B0A77" w:rsidR="00974A37" w:rsidRPr="00132C1E" w:rsidRDefault="00974A37" w:rsidP="00974A37">
      <w:pPr>
        <w:pStyle w:val="Heading3"/>
      </w:pPr>
      <w:bookmarkStart w:id="11035" w:name="_Toc3399396"/>
      <w:bookmarkStart w:id="11036" w:name="_Toc50150682"/>
      <w:bookmarkStart w:id="11037" w:name="_Toc70887115"/>
      <w:bookmarkStart w:id="11038" w:name="_Toc108342699"/>
      <w:bookmarkStart w:id="11039" w:name="_Toc134198208"/>
      <w:r w:rsidRPr="00132C1E">
        <w:lastRenderedPageBreak/>
        <w:t>Analysis for DC2</w:t>
      </w:r>
      <w:bookmarkEnd w:id="11035"/>
      <w:bookmarkEnd w:id="11036"/>
      <w:bookmarkEnd w:id="11037"/>
      <w:bookmarkEnd w:id="11038"/>
      <w:bookmarkEnd w:id="11039"/>
    </w:p>
    <w:p w14:paraId="413C513A" w14:textId="3B672343" w:rsidR="00974A37" w:rsidRPr="00132C1E" w:rsidRDefault="00974A37" w:rsidP="0080187E">
      <w:pPr>
        <w:pStyle w:val="Clause"/>
        <w:numPr>
          <w:ilvl w:val="0"/>
          <w:numId w:val="214"/>
        </w:numPr>
      </w:pPr>
      <w:r w:rsidRPr="00835C82">
        <w:rPr>
          <w:color w:val="auto"/>
        </w:rPr>
        <w:t>11.10.2(1)</w:t>
      </w:r>
      <w:r w:rsidRPr="00974A37">
        <w:rPr>
          <w:color w:val="auto"/>
        </w:rPr>
        <w:t xml:space="preserve"> should be </w:t>
      </w:r>
      <w:r w:rsidRPr="00132C1E">
        <w:t>applied.</w:t>
      </w:r>
    </w:p>
    <w:p w14:paraId="4204F091" w14:textId="7EC09482" w:rsidR="00974A37" w:rsidRPr="00132C1E" w:rsidRDefault="00974A37" w:rsidP="0080187E">
      <w:pPr>
        <w:pStyle w:val="Clause"/>
        <w:numPr>
          <w:ilvl w:val="0"/>
          <w:numId w:val="213"/>
        </w:numPr>
      </w:pPr>
      <w:r w:rsidRPr="00132C1E">
        <w:t>The diagonals should be taken into account using an elastic analysis of the structure for the seismic action, according to a) and b):</w:t>
      </w:r>
    </w:p>
    <w:p w14:paraId="528DC3FD" w14:textId="77777777" w:rsidR="00974A37" w:rsidRPr="00132C1E" w:rsidRDefault="00974A37" w:rsidP="008A133F">
      <w:pPr>
        <w:pStyle w:val="Text"/>
        <w:numPr>
          <w:ilvl w:val="0"/>
          <w:numId w:val="695"/>
        </w:numPr>
        <w:spacing w:after="200"/>
      </w:pPr>
      <w:r w:rsidRPr="00132C1E">
        <w:t>The “tension-only” model may be only used for frames with X diagonal bracings or split X diagonal bracings;</w:t>
      </w:r>
    </w:p>
    <w:p w14:paraId="23A4AE88" w14:textId="01ABFC82" w:rsidR="00974A37" w:rsidRPr="00132C1E" w:rsidRDefault="00974A37" w:rsidP="008A133F">
      <w:pPr>
        <w:pStyle w:val="Text"/>
        <w:numPr>
          <w:ilvl w:val="0"/>
          <w:numId w:val="695"/>
        </w:numPr>
        <w:spacing w:after="200"/>
      </w:pPr>
      <w:r w:rsidRPr="00132C1E">
        <w:t>In frames with V bracings, both the tension and compression diagonals should be taken into account</w:t>
      </w:r>
      <w:r w:rsidR="00301F2A">
        <w:t>.</w:t>
      </w:r>
    </w:p>
    <w:p w14:paraId="7FC86747" w14:textId="3D0E30E5" w:rsidR="00974A37" w:rsidRPr="00132C1E" w:rsidRDefault="00974A37" w:rsidP="0080187E">
      <w:pPr>
        <w:pStyle w:val="Clause"/>
        <w:numPr>
          <w:ilvl w:val="0"/>
          <w:numId w:val="213"/>
        </w:numPr>
      </w:pPr>
      <w:r w:rsidRPr="00835C82">
        <w:rPr>
          <w:color w:val="auto"/>
        </w:rPr>
        <w:t>11.10.2(3)</w:t>
      </w:r>
      <w:r w:rsidRPr="00974A37">
        <w:rPr>
          <w:color w:val="auto"/>
        </w:rPr>
        <w:t xml:space="preserve"> and</w:t>
      </w:r>
      <w:r w:rsidRPr="00835C82">
        <w:rPr>
          <w:color w:val="auto"/>
        </w:rPr>
        <w:t xml:space="preserve"> (4)</w:t>
      </w:r>
      <w:r w:rsidRPr="00974A37">
        <w:rPr>
          <w:color w:val="auto"/>
        </w:rPr>
        <w:t xml:space="preserve"> should </w:t>
      </w:r>
      <w:r w:rsidRPr="00132C1E">
        <w:t>be applied.</w:t>
      </w:r>
    </w:p>
    <w:p w14:paraId="462F00C2" w14:textId="77777777" w:rsidR="00974A37" w:rsidRPr="00132C1E" w:rsidRDefault="00974A37" w:rsidP="00974A37">
      <w:pPr>
        <w:pStyle w:val="Heading3"/>
      </w:pPr>
      <w:bookmarkStart w:id="11040" w:name="_Toc3399397"/>
      <w:bookmarkStart w:id="11041" w:name="_Toc50150683"/>
      <w:bookmarkStart w:id="11042" w:name="_Toc70887116"/>
      <w:bookmarkStart w:id="11043" w:name="_Toc108342700"/>
      <w:bookmarkStart w:id="11044" w:name="_Toc134198209"/>
      <w:r w:rsidRPr="00132C1E">
        <w:t>Diagonal members</w:t>
      </w:r>
      <w:bookmarkEnd w:id="11040"/>
      <w:bookmarkEnd w:id="11041"/>
      <w:bookmarkEnd w:id="11042"/>
      <w:bookmarkEnd w:id="11043"/>
      <w:bookmarkEnd w:id="11044"/>
    </w:p>
    <w:p w14:paraId="143CF6F5" w14:textId="53134E24" w:rsidR="00974A37" w:rsidRPr="00146231" w:rsidRDefault="00974A37" w:rsidP="0080187E">
      <w:pPr>
        <w:pStyle w:val="Clause"/>
        <w:numPr>
          <w:ilvl w:val="0"/>
          <w:numId w:val="546"/>
        </w:numPr>
        <w:rPr>
          <w:color w:val="auto"/>
        </w:rPr>
      </w:pPr>
      <w:r w:rsidRPr="00132C1E">
        <w:t xml:space="preserve">The cross section of diagonal bracings should be of class 1 according to </w:t>
      </w:r>
      <w:r w:rsidR="00C30FF9" w:rsidRPr="00146231">
        <w:rPr>
          <w:color w:val="auto"/>
        </w:rPr>
        <w:t>EN 1</w:t>
      </w:r>
      <w:r w:rsidRPr="00146231">
        <w:rPr>
          <w:color w:val="auto"/>
        </w:rPr>
        <w:t>999-1-1.</w:t>
      </w:r>
    </w:p>
    <w:p w14:paraId="01DADEBD" w14:textId="48CEA21B" w:rsidR="00974A37" w:rsidRDefault="00974A37" w:rsidP="00724E4E">
      <w:pPr>
        <w:pStyle w:val="Clause"/>
      </w:pPr>
      <w:r w:rsidRPr="00835C82">
        <w:t>11.10.3(2)</w:t>
      </w:r>
      <w:r w:rsidRPr="00974A37">
        <w:t xml:space="preserve"> to </w:t>
      </w:r>
      <w:r w:rsidRPr="00835C82">
        <w:t>(7)</w:t>
      </w:r>
      <w:r w:rsidRPr="00974A37">
        <w:t xml:space="preserve"> should </w:t>
      </w:r>
      <w:r w:rsidRPr="00132C1E">
        <w:t>be applied.</w:t>
      </w:r>
    </w:p>
    <w:p w14:paraId="449FA1F2" w14:textId="3A2DB96E" w:rsidR="00974A37" w:rsidRPr="00EF45AF" w:rsidRDefault="00974A37" w:rsidP="00724E4E">
      <w:pPr>
        <w:pStyle w:val="Clause"/>
      </w:pPr>
      <w:r w:rsidRPr="00EF45AF">
        <w:t xml:space="preserve">The connections of the diagonals to any member should satisfy the rules of </w:t>
      </w:r>
      <w:r w:rsidRPr="00835C82">
        <w:t>15.8.6</w:t>
      </w:r>
      <w:r w:rsidRPr="00974A37">
        <w:t xml:space="preserve"> </w:t>
      </w:r>
      <w:r w:rsidRPr="00EF45AF">
        <w:t xml:space="preserve">with </w:t>
      </w:r>
      <w:r w:rsidRPr="00EF45AF">
        <w:rPr>
          <w:i/>
        </w:rPr>
        <w:t>γ</w:t>
      </w:r>
      <w:r w:rsidRPr="00EF45AF">
        <w:rPr>
          <w:vertAlign w:val="subscript"/>
        </w:rPr>
        <w:t>sh</w:t>
      </w:r>
      <w:r w:rsidRPr="00EF45AF">
        <w:t xml:space="preserve"> given in </w:t>
      </w:r>
      <w:r w:rsidRPr="00835C82">
        <w:t>15.8.6(4)</w:t>
      </w:r>
      <w:r w:rsidRPr="00974A37">
        <w:t>.</w:t>
      </w:r>
    </w:p>
    <w:p w14:paraId="3B149DFA" w14:textId="76E40826" w:rsidR="00974A37" w:rsidRPr="00132C1E" w:rsidRDefault="00974A37" w:rsidP="00974A37">
      <w:pPr>
        <w:pStyle w:val="Heading3"/>
      </w:pPr>
      <w:bookmarkStart w:id="11045" w:name="_Toc3399398"/>
      <w:bookmarkStart w:id="11046" w:name="_Toc50150684"/>
      <w:bookmarkStart w:id="11047" w:name="_Toc70887117"/>
      <w:bookmarkStart w:id="11048" w:name="_Toc108342701"/>
      <w:bookmarkStart w:id="11049" w:name="_Toc134198210"/>
      <w:r w:rsidRPr="00132C1E">
        <w:t>Beams and columns</w:t>
      </w:r>
      <w:bookmarkEnd w:id="11045"/>
      <w:bookmarkEnd w:id="11046"/>
      <w:bookmarkEnd w:id="11047"/>
      <w:bookmarkEnd w:id="11048"/>
      <w:bookmarkEnd w:id="11049"/>
    </w:p>
    <w:p w14:paraId="20FD613B" w14:textId="5281899C" w:rsidR="00974A37" w:rsidRPr="00974A37" w:rsidRDefault="00974A37" w:rsidP="0080187E">
      <w:pPr>
        <w:pStyle w:val="Clause"/>
        <w:numPr>
          <w:ilvl w:val="0"/>
          <w:numId w:val="215"/>
        </w:numPr>
        <w:rPr>
          <w:rFonts w:eastAsia="Times New Roman" w:cs="Times New Roman"/>
          <w:bCs/>
          <w:lang w:eastAsia="en-US"/>
        </w:rPr>
      </w:pPr>
      <w:r w:rsidRPr="00974A37">
        <w:rPr>
          <w:rFonts w:eastAsia="Times New Roman" w:cs="Times New Roman"/>
          <w:bCs/>
          <w:lang w:eastAsia="en-US"/>
        </w:rPr>
        <w:t xml:space="preserve">The strength and stability of both beams and columns should be verified in compression, bending and shear considering the most unfavourable combination of the axial force </w:t>
      </w:r>
      <w:r w:rsidRPr="00974A37">
        <w:rPr>
          <w:rFonts w:eastAsia="Times New Roman" w:cs="Times New Roman"/>
          <w:bCs/>
          <w:i/>
          <w:iCs/>
          <w:lang w:eastAsia="en-US"/>
        </w:rPr>
        <w:t>N</w:t>
      </w:r>
      <w:r w:rsidRPr="00974A37">
        <w:rPr>
          <w:rFonts w:eastAsia="Times New Roman" w:cs="Times New Roman"/>
          <w:bCs/>
          <w:vertAlign w:val="subscript"/>
          <w:lang w:eastAsia="en-US"/>
        </w:rPr>
        <w:t>Ed</w:t>
      </w:r>
      <w:r w:rsidRPr="00974A37">
        <w:rPr>
          <w:rFonts w:eastAsia="Times New Roman" w:cs="Times New Roman"/>
          <w:bCs/>
          <w:lang w:eastAsia="en-US"/>
        </w:rPr>
        <w:t xml:space="preserve">, bending moments </w:t>
      </w:r>
      <w:r w:rsidRPr="00974A37">
        <w:rPr>
          <w:rFonts w:eastAsia="Times New Roman" w:cs="Times New Roman"/>
          <w:bCs/>
          <w:i/>
          <w:iCs/>
          <w:lang w:eastAsia="en-US"/>
        </w:rPr>
        <w:t>M</w:t>
      </w:r>
      <w:r w:rsidRPr="00974A37">
        <w:rPr>
          <w:rFonts w:eastAsia="Times New Roman" w:cs="Times New Roman"/>
          <w:bCs/>
          <w:vertAlign w:val="subscript"/>
          <w:lang w:eastAsia="en-US"/>
        </w:rPr>
        <w:t>Ed</w:t>
      </w:r>
      <w:r w:rsidRPr="00974A37">
        <w:rPr>
          <w:rFonts w:eastAsia="Times New Roman" w:cs="Times New Roman"/>
          <w:bCs/>
          <w:lang w:eastAsia="en-US"/>
        </w:rPr>
        <w:t xml:space="preserve"> and shear force </w:t>
      </w:r>
      <w:r w:rsidRPr="00974A37">
        <w:rPr>
          <w:rFonts w:eastAsia="Times New Roman" w:cs="Times New Roman"/>
          <w:bCs/>
          <w:i/>
          <w:iCs/>
          <w:lang w:eastAsia="en-US"/>
        </w:rPr>
        <w:t>V</w:t>
      </w:r>
      <w:r w:rsidRPr="00974A37">
        <w:rPr>
          <w:rFonts w:eastAsia="Times New Roman" w:cs="Times New Roman"/>
          <w:bCs/>
          <w:vertAlign w:val="subscript"/>
          <w:lang w:eastAsia="en-US"/>
        </w:rPr>
        <w:t>Ed</w:t>
      </w:r>
      <w:r w:rsidRPr="00974A37">
        <w:rPr>
          <w:rFonts w:eastAsia="Times New Roman" w:cs="Times New Roman"/>
          <w:bCs/>
          <w:lang w:eastAsia="en-US"/>
        </w:rPr>
        <w:t xml:space="preserve"> calculated in accordance with </w:t>
      </w:r>
      <w:r w:rsidRPr="00974A37">
        <w:rPr>
          <w:rFonts w:eastAsia="Times New Roman" w:cs="Times New Roman"/>
          <w:bCs/>
          <w:color w:val="auto"/>
          <w:lang w:eastAsia="en-US"/>
        </w:rPr>
        <w:t>Formula (15.1).</w:t>
      </w:r>
    </w:p>
    <w:p w14:paraId="3387CD01" w14:textId="4E891491" w:rsidR="00974A37" w:rsidRPr="00132C1E" w:rsidRDefault="00974A37" w:rsidP="0080187E">
      <w:pPr>
        <w:pStyle w:val="Clause"/>
        <w:numPr>
          <w:ilvl w:val="0"/>
          <w:numId w:val="214"/>
        </w:numPr>
      </w:pPr>
      <w:r w:rsidRPr="00835C82">
        <w:rPr>
          <w:color w:val="auto"/>
        </w:rPr>
        <w:t xml:space="preserve">11.10.4(4) </w:t>
      </w:r>
      <w:r w:rsidRPr="00974A37">
        <w:rPr>
          <w:color w:val="auto"/>
        </w:rPr>
        <w:t xml:space="preserve">and </w:t>
      </w:r>
      <w:r w:rsidRPr="00835C82">
        <w:rPr>
          <w:color w:val="auto"/>
        </w:rPr>
        <w:t>(8)</w:t>
      </w:r>
      <w:r w:rsidRPr="00974A37">
        <w:rPr>
          <w:color w:val="auto"/>
        </w:rPr>
        <w:t xml:space="preserve"> should </w:t>
      </w:r>
      <w:r w:rsidRPr="00132C1E">
        <w:t>be applied.</w:t>
      </w:r>
    </w:p>
    <w:p w14:paraId="7BD07E85" w14:textId="77777777" w:rsidR="00974A37" w:rsidRPr="00132C1E" w:rsidRDefault="00974A37" w:rsidP="00974A37">
      <w:pPr>
        <w:pStyle w:val="Heading3"/>
      </w:pPr>
      <w:bookmarkStart w:id="11050" w:name="_Toc3399399"/>
      <w:bookmarkStart w:id="11051" w:name="_Toc50150685"/>
      <w:bookmarkStart w:id="11052" w:name="_Toc70887118"/>
      <w:bookmarkStart w:id="11053" w:name="_Toc108342702"/>
      <w:bookmarkStart w:id="11054" w:name="_Toc134198211"/>
      <w:r w:rsidRPr="00132C1E">
        <w:t>Beam to column connections</w:t>
      </w:r>
      <w:bookmarkEnd w:id="11050"/>
      <w:bookmarkEnd w:id="11051"/>
      <w:bookmarkEnd w:id="11052"/>
      <w:bookmarkEnd w:id="11053"/>
      <w:bookmarkEnd w:id="11054"/>
    </w:p>
    <w:p w14:paraId="0892A862" w14:textId="3A5BBD9F" w:rsidR="00974A37" w:rsidRPr="00132C1E" w:rsidRDefault="00974A37" w:rsidP="0080187E">
      <w:pPr>
        <w:pStyle w:val="Clause"/>
        <w:numPr>
          <w:ilvl w:val="0"/>
          <w:numId w:val="547"/>
        </w:numPr>
      </w:pPr>
      <w:r w:rsidRPr="00835C82">
        <w:t>11.10.5(1)</w:t>
      </w:r>
      <w:r w:rsidRPr="00974A37">
        <w:t xml:space="preserve"> should </w:t>
      </w:r>
      <w:r w:rsidRPr="00132C1E">
        <w:t>be applied.</w:t>
      </w:r>
    </w:p>
    <w:p w14:paraId="7D527903" w14:textId="6C86607D" w:rsidR="00974A37" w:rsidRPr="00132C1E" w:rsidRDefault="00974A37" w:rsidP="00724E4E">
      <w:pPr>
        <w:pStyle w:val="Clause"/>
      </w:pPr>
      <w:r w:rsidRPr="00835C82">
        <w:t>11.10.5(2)</w:t>
      </w:r>
      <w:r w:rsidRPr="00974A37">
        <w:t xml:space="preserve"> should be applied with the material variability factor </w:t>
      </w:r>
      <w:r w:rsidRPr="00974A37">
        <w:rPr>
          <w:i/>
        </w:rPr>
        <w:t>ω</w:t>
      </w:r>
      <w:r w:rsidRPr="00974A37">
        <w:rPr>
          <w:vertAlign w:val="subscript"/>
        </w:rPr>
        <w:t>rm</w:t>
      </w:r>
      <w:r w:rsidRPr="00974A37">
        <w:t xml:space="preserve"> as in </w:t>
      </w:r>
      <w:r w:rsidRPr="00835C82">
        <w:t>15.2.2</w:t>
      </w:r>
      <w:r w:rsidRPr="00974A37">
        <w:t xml:space="preserve"> and </w:t>
      </w:r>
      <w:r w:rsidRPr="00974A37">
        <w:rPr>
          <w:i/>
        </w:rPr>
        <w:t>ω</w:t>
      </w:r>
      <w:r w:rsidRPr="00974A37">
        <w:rPr>
          <w:vertAlign w:val="subscript"/>
        </w:rPr>
        <w:t>sh</w:t>
      </w:r>
      <w:r w:rsidRPr="00974A37">
        <w:t xml:space="preserve">, the hardening factor, as in </w:t>
      </w:r>
      <w:r w:rsidRPr="00835C82">
        <w:t>15.8.6(3)</w:t>
      </w:r>
      <w:r w:rsidRPr="00974A37">
        <w:t>.</w:t>
      </w:r>
    </w:p>
    <w:p w14:paraId="5FF957E2" w14:textId="7D6EF7C2" w:rsidR="00974A37" w:rsidRPr="00132C1E" w:rsidRDefault="00974A37" w:rsidP="00974A37">
      <w:pPr>
        <w:pStyle w:val="Heading3"/>
      </w:pPr>
      <w:bookmarkStart w:id="11055" w:name="_Toc3399400"/>
      <w:bookmarkStart w:id="11056" w:name="_Toc50150686"/>
      <w:bookmarkStart w:id="11057" w:name="_Toc70887119"/>
      <w:bookmarkStart w:id="11058" w:name="_Toc108342703"/>
      <w:bookmarkStart w:id="11059" w:name="_Toc134198212"/>
      <w:r w:rsidRPr="00132C1E">
        <w:t>Brace connections</w:t>
      </w:r>
      <w:bookmarkEnd w:id="11055"/>
      <w:bookmarkEnd w:id="11056"/>
      <w:bookmarkEnd w:id="11057"/>
      <w:bookmarkEnd w:id="11058"/>
      <w:bookmarkEnd w:id="11059"/>
    </w:p>
    <w:p w14:paraId="7BAD533D" w14:textId="5558381E" w:rsidR="00974A37" w:rsidRPr="00132C1E" w:rsidRDefault="00974A37" w:rsidP="0080187E">
      <w:pPr>
        <w:pStyle w:val="Clause"/>
        <w:numPr>
          <w:ilvl w:val="0"/>
          <w:numId w:val="548"/>
        </w:numPr>
      </w:pPr>
      <w:r w:rsidRPr="00835C82">
        <w:t>11.10.6(1)</w:t>
      </w:r>
      <w:r w:rsidRPr="00CB04BC">
        <w:t xml:space="preserve"> to </w:t>
      </w:r>
      <w:r w:rsidRPr="00835C82">
        <w:t>(4)</w:t>
      </w:r>
      <w:r w:rsidRPr="00CB04BC">
        <w:t xml:space="preserve"> should </w:t>
      </w:r>
      <w:r w:rsidRPr="00132C1E">
        <w:t>be applied.</w:t>
      </w:r>
    </w:p>
    <w:p w14:paraId="435F38B5" w14:textId="04D65890" w:rsidR="00974A37" w:rsidRPr="00132C1E" w:rsidRDefault="00974A37" w:rsidP="00974A37">
      <w:pPr>
        <w:pStyle w:val="Heading3"/>
      </w:pPr>
      <w:bookmarkStart w:id="11060" w:name="_Toc3399401"/>
      <w:bookmarkStart w:id="11061" w:name="_Toc50150687"/>
      <w:bookmarkStart w:id="11062" w:name="_Toc70887120"/>
      <w:bookmarkStart w:id="11063" w:name="_Toc108342704"/>
      <w:bookmarkStart w:id="11064" w:name="_Toc134198213"/>
      <w:r w:rsidRPr="00132C1E">
        <w:t>Column base joints</w:t>
      </w:r>
      <w:bookmarkEnd w:id="11060"/>
      <w:bookmarkEnd w:id="11061"/>
      <w:bookmarkEnd w:id="11062"/>
      <w:bookmarkEnd w:id="11063"/>
      <w:bookmarkEnd w:id="11064"/>
    </w:p>
    <w:p w14:paraId="370F40CF" w14:textId="623F59DC" w:rsidR="00974A37" w:rsidRPr="00132C1E" w:rsidRDefault="00974A37" w:rsidP="0080187E">
      <w:pPr>
        <w:pStyle w:val="Clause"/>
        <w:numPr>
          <w:ilvl w:val="0"/>
          <w:numId w:val="549"/>
        </w:numPr>
      </w:pPr>
      <w:r w:rsidRPr="00835C82">
        <w:t xml:space="preserve">11.10.7(1) </w:t>
      </w:r>
      <w:r w:rsidRPr="00CB04BC">
        <w:t xml:space="preserve">should be applied, with </w:t>
      </w:r>
      <w:r w:rsidRPr="00646639">
        <w:rPr>
          <w:i/>
        </w:rPr>
        <w:t>ω</w:t>
      </w:r>
      <w:r w:rsidRPr="00646639">
        <w:rPr>
          <w:vertAlign w:val="subscript"/>
        </w:rPr>
        <w:t>rm</w:t>
      </w:r>
      <w:r w:rsidRPr="00CB04BC">
        <w:t xml:space="preserve"> and </w:t>
      </w:r>
      <w:r w:rsidRPr="00646639">
        <w:rPr>
          <w:i/>
        </w:rPr>
        <w:t>ω</w:t>
      </w:r>
      <w:r w:rsidRPr="00646639">
        <w:rPr>
          <w:vertAlign w:val="subscript"/>
        </w:rPr>
        <w:t>sh</w:t>
      </w:r>
      <w:r w:rsidRPr="00CB04BC">
        <w:t xml:space="preserve"> as in </w:t>
      </w:r>
      <w:r w:rsidRPr="00835C82">
        <w:t>15.10.5(2)</w:t>
      </w:r>
      <w:r w:rsidRPr="00132C1E">
        <w:t>.</w:t>
      </w:r>
    </w:p>
    <w:p w14:paraId="5F3622DC" w14:textId="33674AE1" w:rsidR="00974A37" w:rsidRPr="00132C1E" w:rsidRDefault="00974A37" w:rsidP="00724E4E">
      <w:pPr>
        <w:pStyle w:val="Clause"/>
      </w:pPr>
      <w:r w:rsidRPr="00835C82">
        <w:t>11.10.7(2)</w:t>
      </w:r>
      <w:r w:rsidRPr="00CB04BC">
        <w:t xml:space="preserve"> and </w:t>
      </w:r>
      <w:r w:rsidRPr="00835C82">
        <w:t>(3)</w:t>
      </w:r>
      <w:r w:rsidRPr="00CB04BC">
        <w:t xml:space="preserve"> </w:t>
      </w:r>
      <w:r w:rsidRPr="00132C1E">
        <w:t>should be applied.</w:t>
      </w:r>
    </w:p>
    <w:p w14:paraId="3AE42DB6" w14:textId="04D694AE" w:rsidR="00974A37" w:rsidRPr="00132C1E" w:rsidRDefault="00974A37" w:rsidP="008A133F">
      <w:pPr>
        <w:pStyle w:val="Heading2"/>
        <w:keepLines/>
      </w:pPr>
      <w:bookmarkStart w:id="11065" w:name="_Toc50150688"/>
      <w:bookmarkStart w:id="11066" w:name="_Toc70887121"/>
      <w:bookmarkStart w:id="11067" w:name="_Toc108342705"/>
      <w:bookmarkStart w:id="11068" w:name="_Toc134198214"/>
      <w:bookmarkStart w:id="11069" w:name="_Toc3399402"/>
      <w:r w:rsidRPr="00132C1E">
        <w:t>Design rules for dual frames - moment resisting frames combined with concentric bracings</w:t>
      </w:r>
      <w:bookmarkEnd w:id="11065"/>
      <w:bookmarkEnd w:id="11066"/>
      <w:bookmarkEnd w:id="11067"/>
      <w:bookmarkEnd w:id="11068"/>
      <w:r w:rsidRPr="00132C1E">
        <w:t xml:space="preserve"> </w:t>
      </w:r>
      <w:bookmarkEnd w:id="11069"/>
    </w:p>
    <w:p w14:paraId="5EBA6626" w14:textId="77777777" w:rsidR="00974A37" w:rsidRPr="00132C1E" w:rsidRDefault="00974A37" w:rsidP="008A133F">
      <w:pPr>
        <w:pStyle w:val="Heading3"/>
        <w:keepLines/>
      </w:pPr>
      <w:bookmarkStart w:id="11070" w:name="_Toc3399403"/>
      <w:bookmarkStart w:id="11071" w:name="_Toc50150689"/>
      <w:bookmarkStart w:id="11072" w:name="_Toc70887122"/>
      <w:bookmarkStart w:id="11073" w:name="_Toc108342706"/>
      <w:bookmarkStart w:id="11074" w:name="_Toc134198215"/>
      <w:r w:rsidRPr="00132C1E">
        <w:t>Design criteria</w:t>
      </w:r>
      <w:bookmarkEnd w:id="11070"/>
      <w:bookmarkEnd w:id="11071"/>
      <w:bookmarkEnd w:id="11072"/>
      <w:bookmarkEnd w:id="11073"/>
      <w:bookmarkEnd w:id="11074"/>
    </w:p>
    <w:p w14:paraId="2FEDA123" w14:textId="4E912D8F" w:rsidR="00974A37" w:rsidRPr="00132C1E" w:rsidRDefault="00974A37" w:rsidP="008A133F">
      <w:pPr>
        <w:pStyle w:val="Clause"/>
        <w:keepNext/>
        <w:keepLines/>
        <w:numPr>
          <w:ilvl w:val="0"/>
          <w:numId w:val="550"/>
        </w:numPr>
      </w:pPr>
      <w:r w:rsidRPr="00835C82">
        <w:t>11.13.1(1)</w:t>
      </w:r>
      <w:r w:rsidRPr="00CB04BC">
        <w:t xml:space="preserve"> and </w:t>
      </w:r>
      <w:r w:rsidRPr="00835C82">
        <w:t>(2)</w:t>
      </w:r>
      <w:r w:rsidRPr="00CB04BC">
        <w:t xml:space="preserve"> </w:t>
      </w:r>
      <w:r w:rsidRPr="00132C1E">
        <w:t>should be applied.</w:t>
      </w:r>
    </w:p>
    <w:p w14:paraId="4A4B93AE" w14:textId="328D9B52" w:rsidR="00974A37" w:rsidRPr="00132C1E" w:rsidRDefault="00974A37" w:rsidP="00724E4E">
      <w:pPr>
        <w:pStyle w:val="Clause"/>
      </w:pPr>
      <w:r w:rsidRPr="00132C1E">
        <w:t xml:space="preserve">The moment resisting frames and the braced frames should conform to </w:t>
      </w:r>
      <w:r w:rsidRPr="00835C82">
        <w:t>15.9</w:t>
      </w:r>
      <w:r w:rsidRPr="00CB04BC">
        <w:t xml:space="preserve">. and </w:t>
      </w:r>
      <w:r w:rsidRPr="00835C82">
        <w:t>15.10</w:t>
      </w:r>
      <w:r w:rsidRPr="00132C1E">
        <w:t>, respectively.</w:t>
      </w:r>
    </w:p>
    <w:p w14:paraId="506D5D7E" w14:textId="155CD9C5" w:rsidR="00974A37" w:rsidRPr="00132C1E" w:rsidRDefault="00974A37" w:rsidP="00974A37">
      <w:pPr>
        <w:pStyle w:val="Heading2"/>
      </w:pPr>
      <w:bookmarkStart w:id="11075" w:name="_Toc3399404"/>
      <w:bookmarkStart w:id="11076" w:name="_Toc50150690"/>
      <w:bookmarkStart w:id="11077" w:name="_Toc70887123"/>
      <w:bookmarkStart w:id="11078" w:name="_Toc108342707"/>
      <w:bookmarkStart w:id="11079" w:name="_Toc134198216"/>
      <w:r w:rsidRPr="00132C1E">
        <w:lastRenderedPageBreak/>
        <w:t>Design rules for inverted pendulum structures</w:t>
      </w:r>
      <w:bookmarkEnd w:id="11075"/>
      <w:bookmarkEnd w:id="11076"/>
      <w:bookmarkEnd w:id="11077"/>
      <w:bookmarkEnd w:id="11078"/>
      <w:bookmarkEnd w:id="11079"/>
    </w:p>
    <w:p w14:paraId="0EA8781A" w14:textId="71205377" w:rsidR="00974A37" w:rsidRPr="00132C1E" w:rsidRDefault="00974A37" w:rsidP="0080187E">
      <w:pPr>
        <w:pStyle w:val="Clause"/>
        <w:numPr>
          <w:ilvl w:val="0"/>
          <w:numId w:val="551"/>
        </w:numPr>
      </w:pPr>
      <w:r w:rsidRPr="00835C82">
        <w:t>11.15(1) to (4)</w:t>
      </w:r>
      <w:r w:rsidRPr="00CB04BC">
        <w:t xml:space="preserve"> should be applied to inverted pendulum aluminium structures (defined in </w:t>
      </w:r>
      <w:r w:rsidRPr="00835C82">
        <w:t>15.4.1(d)</w:t>
      </w:r>
      <w:r w:rsidRPr="00CB04BC">
        <w:t>)</w:t>
      </w:r>
      <w:r w:rsidRPr="00646639">
        <w:rPr>
          <w:color w:val="00B050"/>
        </w:rPr>
        <w:t>.</w:t>
      </w:r>
    </w:p>
    <w:p w14:paraId="7014424D" w14:textId="1A8ECF9F" w:rsidR="00974A37" w:rsidRPr="00132C1E" w:rsidRDefault="00974A37" w:rsidP="00974A37">
      <w:pPr>
        <w:pStyle w:val="Heading2"/>
      </w:pPr>
      <w:bookmarkStart w:id="11080" w:name="_Toc3399405"/>
      <w:bookmarkStart w:id="11081" w:name="_Toc50150691"/>
      <w:bookmarkStart w:id="11082" w:name="_Toc70887124"/>
      <w:bookmarkStart w:id="11083" w:name="_Toc108342708"/>
      <w:bookmarkStart w:id="11084" w:name="_Toc134198217"/>
      <w:r w:rsidRPr="00132C1E">
        <w:t>Aluminium diaphragms</w:t>
      </w:r>
      <w:bookmarkEnd w:id="11080"/>
      <w:bookmarkEnd w:id="11081"/>
      <w:bookmarkEnd w:id="11082"/>
      <w:bookmarkEnd w:id="11083"/>
      <w:bookmarkEnd w:id="11084"/>
    </w:p>
    <w:p w14:paraId="54408167" w14:textId="1658045F" w:rsidR="00974A37" w:rsidRPr="00132C1E" w:rsidRDefault="00974A37" w:rsidP="0080187E">
      <w:pPr>
        <w:pStyle w:val="Clause"/>
        <w:numPr>
          <w:ilvl w:val="0"/>
          <w:numId w:val="552"/>
        </w:numPr>
      </w:pPr>
      <w:r w:rsidRPr="00132C1E">
        <w:t xml:space="preserve">The design of floor diaphragms, chord and collector beams should conform </w:t>
      </w:r>
      <w:r w:rsidRPr="00CB04BC">
        <w:t xml:space="preserve">to </w:t>
      </w:r>
      <w:r w:rsidRPr="00835C82">
        <w:t xml:space="preserve">6.2.8 </w:t>
      </w:r>
      <w:r w:rsidRPr="00CB04BC">
        <w:t>and</w:t>
      </w:r>
      <w:r w:rsidRPr="00835C82">
        <w:t xml:space="preserve"> 11.17</w:t>
      </w:r>
      <w:r w:rsidRPr="00132C1E">
        <w:t>.</w:t>
      </w:r>
    </w:p>
    <w:p w14:paraId="49B128F4" w14:textId="07E343F0" w:rsidR="00974A37" w:rsidRPr="00132C1E" w:rsidRDefault="00974A37" w:rsidP="00974A37">
      <w:pPr>
        <w:pStyle w:val="Heading2"/>
      </w:pPr>
      <w:bookmarkStart w:id="11085" w:name="_Toc50150692"/>
      <w:bookmarkStart w:id="11086" w:name="_Toc70887125"/>
      <w:bookmarkStart w:id="11087" w:name="_Toc108342709"/>
      <w:bookmarkStart w:id="11088" w:name="_Toc134198218"/>
      <w:bookmarkStart w:id="11089" w:name="_Toc3399406"/>
      <w:r w:rsidRPr="00132C1E">
        <w:t xml:space="preserve">Transfer </w:t>
      </w:r>
      <w:r>
        <w:t>zones</w:t>
      </w:r>
      <w:r w:rsidRPr="00132C1E">
        <w:t>. Design for DC2</w:t>
      </w:r>
      <w:bookmarkEnd w:id="11085"/>
      <w:bookmarkEnd w:id="11086"/>
      <w:bookmarkEnd w:id="11087"/>
      <w:bookmarkEnd w:id="11088"/>
      <w:r w:rsidRPr="00132C1E">
        <w:t xml:space="preserve"> </w:t>
      </w:r>
      <w:bookmarkEnd w:id="11089"/>
    </w:p>
    <w:p w14:paraId="2C7CFEFF" w14:textId="037F236A" w:rsidR="00974A37" w:rsidRPr="00132C1E" w:rsidRDefault="00974A37" w:rsidP="0080187E">
      <w:pPr>
        <w:pStyle w:val="Clause"/>
        <w:numPr>
          <w:ilvl w:val="0"/>
          <w:numId w:val="553"/>
        </w:numPr>
      </w:pPr>
      <w:r w:rsidRPr="00132C1E">
        <w:t xml:space="preserve">Diaphragms in transfer </w:t>
      </w:r>
      <w:r>
        <w:t>zone</w:t>
      </w:r>
      <w:r w:rsidRPr="00132C1E">
        <w:t xml:space="preserve">s should be designed </w:t>
      </w:r>
      <w:r w:rsidRPr="00CB04BC">
        <w:t xml:space="preserve">to </w:t>
      </w:r>
      <w:r w:rsidRPr="00835C82">
        <w:t>6.2.9(7)</w:t>
      </w:r>
      <w:r w:rsidRPr="00CB04BC">
        <w:t xml:space="preserve"> and </w:t>
      </w:r>
      <w:r w:rsidRPr="00835C82">
        <w:t>11.17</w:t>
      </w:r>
      <w:r w:rsidRPr="00132C1E">
        <w:t>.</w:t>
      </w:r>
    </w:p>
    <w:p w14:paraId="524F34C2" w14:textId="695E6EBF" w:rsidR="00974A37" w:rsidRPr="00132C1E" w:rsidRDefault="00974A37" w:rsidP="00974A37">
      <w:pPr>
        <w:pStyle w:val="Heading2"/>
      </w:pPr>
      <w:bookmarkStart w:id="11090" w:name="_Toc3399407"/>
      <w:bookmarkStart w:id="11091" w:name="_Toc50150693"/>
      <w:bookmarkStart w:id="11092" w:name="_Toc70887126"/>
      <w:bookmarkStart w:id="11093" w:name="_Toc108342710"/>
      <w:bookmarkStart w:id="11094" w:name="_Toc134198219"/>
      <w:r w:rsidRPr="00132C1E">
        <w:t>Checking of design, supply of material and execution</w:t>
      </w:r>
      <w:bookmarkEnd w:id="11090"/>
      <w:bookmarkEnd w:id="11091"/>
      <w:bookmarkEnd w:id="11092"/>
      <w:bookmarkEnd w:id="11093"/>
      <w:bookmarkEnd w:id="11094"/>
    </w:p>
    <w:p w14:paraId="43A7D230" w14:textId="2746FDBB" w:rsidR="00974A37" w:rsidRPr="00132C1E" w:rsidRDefault="00974A37" w:rsidP="0080187E">
      <w:pPr>
        <w:pStyle w:val="Clause"/>
        <w:numPr>
          <w:ilvl w:val="0"/>
          <w:numId w:val="554"/>
        </w:numPr>
      </w:pPr>
      <w:r w:rsidRPr="00132C1E">
        <w:t xml:space="preserve">The type of aluminium alloy and the relevant maximum yield stress </w:t>
      </w:r>
      <w:r w:rsidRPr="00646639">
        <w:rPr>
          <w:i/>
        </w:rPr>
        <w:t>f</w:t>
      </w:r>
      <w:r w:rsidRPr="00646639">
        <w:rPr>
          <w:vertAlign w:val="subscript"/>
        </w:rPr>
        <w:t>0</w:t>
      </w:r>
      <w:r w:rsidRPr="00132C1E">
        <w:t xml:space="preserve"> in the dissipative zones, the grade and the tightening force of bolts and the quality of the welds should be indicated in the drawings for fabrication.</w:t>
      </w:r>
    </w:p>
    <w:p w14:paraId="183761DE" w14:textId="58A59D46" w:rsidR="00974A37" w:rsidRPr="00132C1E" w:rsidRDefault="00974A37" w:rsidP="00724E4E">
      <w:pPr>
        <w:pStyle w:val="Clause"/>
      </w:pPr>
      <w:r w:rsidRPr="00132C1E">
        <w:t>The technical drawings and reports should clearly specify that aluminium alloys with resistance greater than specified should not be supplied for the dissipative zones.</w:t>
      </w:r>
    </w:p>
    <w:p w14:paraId="1FB240BE" w14:textId="648F5CF9" w:rsidR="00974A37" w:rsidRPr="00132C1E" w:rsidRDefault="00974A37" w:rsidP="00724E4E">
      <w:pPr>
        <w:pStyle w:val="Clause"/>
      </w:pPr>
      <w:r w:rsidRPr="00132C1E">
        <w:t xml:space="preserve">Execution Class 3 should be considered for all consequence classes and ductility classes, with the exception </w:t>
      </w:r>
      <w:r w:rsidRPr="00CB04BC">
        <w:t xml:space="preserve">of Execution class 2 that may be adopted for </w:t>
      </w:r>
      <w:r w:rsidRPr="00132C1E">
        <w:t>Consequence Class 1</w:t>
      </w:r>
      <w:r>
        <w:t>.</w:t>
      </w:r>
    </w:p>
    <w:p w14:paraId="59A71002" w14:textId="77777777" w:rsidR="00FA3E2C" w:rsidRPr="007F74E6" w:rsidRDefault="00FA3E2C" w:rsidP="00301F2A">
      <w:pPr>
        <w:pStyle w:val="Text"/>
      </w:pPr>
    </w:p>
    <w:p w14:paraId="28D1382E" w14:textId="430A320F" w:rsidR="00DB201D" w:rsidRPr="00870D59" w:rsidRDefault="00DB201D" w:rsidP="00E1784B">
      <w:pPr>
        <w:pStyle w:val="ANNEX"/>
      </w:pPr>
      <w:bookmarkStart w:id="11095" w:name="_Toc473640204"/>
      <w:r w:rsidRPr="00870D59">
        <w:lastRenderedPageBreak/>
        <w:br/>
      </w:r>
      <w:bookmarkStart w:id="11096" w:name="_Toc134198220"/>
      <w:r w:rsidRPr="00870D59">
        <w:rPr>
          <w:b w:val="0"/>
        </w:rPr>
        <w:t>(informative)</w:t>
      </w:r>
      <w:r w:rsidRPr="00870D59">
        <w:fldChar w:fldCharType="begin"/>
      </w:r>
      <w:r w:rsidRPr="00870D59">
        <w:instrText xml:space="preserve">SEQ aaa \h </w:instrText>
      </w:r>
      <w:r w:rsidRPr="00870D59">
        <w:fldChar w:fldCharType="end"/>
      </w:r>
      <w:r w:rsidRPr="00870D59">
        <w:fldChar w:fldCharType="begin"/>
      </w:r>
      <w:r w:rsidRPr="00870D59">
        <w:instrText xml:space="preserve">SEQ table \r0\h </w:instrText>
      </w:r>
      <w:r w:rsidRPr="00870D59">
        <w:fldChar w:fldCharType="end"/>
      </w:r>
      <w:r w:rsidRPr="00870D59">
        <w:fldChar w:fldCharType="begin"/>
      </w:r>
      <w:r w:rsidRPr="00870D59">
        <w:instrText xml:space="preserve">SEQ figure \r0\h </w:instrText>
      </w:r>
      <w:r w:rsidRPr="00870D59">
        <w:fldChar w:fldCharType="end"/>
      </w:r>
      <w:r w:rsidRPr="00870D59">
        <w:br/>
      </w:r>
      <w:r w:rsidRPr="00870D59">
        <w:br/>
      </w:r>
      <w:bookmarkEnd w:id="11095"/>
      <w:r w:rsidR="00855135" w:rsidRPr="00870D59">
        <w:t xml:space="preserve">Characteristics of earthquake resistant </w:t>
      </w:r>
      <w:r w:rsidR="00B817DA" w:rsidRPr="00D1484A">
        <w:t>buildings and in plan regularity</w:t>
      </w:r>
      <w:bookmarkEnd w:id="11096"/>
    </w:p>
    <w:p w14:paraId="7D6515F2" w14:textId="79066B71" w:rsidR="00727FC2" w:rsidRPr="00870D59" w:rsidRDefault="00053CB8" w:rsidP="00A670FA">
      <w:pPr>
        <w:pStyle w:val="a2"/>
        <w:rPr>
          <w:color w:val="000000" w:themeColor="text1"/>
        </w:rPr>
      </w:pPr>
      <w:bookmarkStart w:id="11097" w:name="_Toc134198221"/>
      <w:r w:rsidRPr="00870D59">
        <w:rPr>
          <w:color w:val="000000" w:themeColor="text1"/>
        </w:rPr>
        <w:t>Use of this annex</w:t>
      </w:r>
      <w:bookmarkEnd w:id="11097"/>
    </w:p>
    <w:p w14:paraId="6A1451BE" w14:textId="045DB885" w:rsidR="00053CB8" w:rsidRPr="00870D59" w:rsidRDefault="004F7E5B" w:rsidP="0080187E">
      <w:pPr>
        <w:pStyle w:val="Clause"/>
        <w:numPr>
          <w:ilvl w:val="0"/>
          <w:numId w:val="18"/>
        </w:numPr>
      </w:pPr>
      <w:r w:rsidRPr="00870D59">
        <w:t>This Informative Annex provides complementary/supplementary guidance to 4.4.</w:t>
      </w:r>
    </w:p>
    <w:p w14:paraId="2890CA34" w14:textId="3541AA2F" w:rsidR="00053CB8" w:rsidRPr="00870D59" w:rsidRDefault="00053CB8" w:rsidP="00053CB8">
      <w:pPr>
        <w:pStyle w:val="Notetext"/>
      </w:pPr>
      <w:r w:rsidRPr="00870D59">
        <w:t>NOTE</w:t>
      </w:r>
      <w:r w:rsidRPr="00870D59">
        <w:tab/>
      </w:r>
      <w:r w:rsidR="004F7E5B" w:rsidRPr="00870D59">
        <w:t>National choice on the application of this Informative Annex is given in the National Annex. If the National Annex contains no information on the application of this Informative Annex, it can be used</w:t>
      </w:r>
      <w:r w:rsidRPr="00870D59">
        <w:t>.</w:t>
      </w:r>
    </w:p>
    <w:p w14:paraId="224175A7" w14:textId="67002D05" w:rsidR="00053CB8" w:rsidRPr="00870D59" w:rsidRDefault="00053CB8" w:rsidP="00053CB8">
      <w:pPr>
        <w:pStyle w:val="a2"/>
        <w:rPr>
          <w:color w:val="000000" w:themeColor="text1"/>
        </w:rPr>
      </w:pPr>
      <w:bookmarkStart w:id="11098" w:name="_Toc134198222"/>
      <w:r w:rsidRPr="00870D59">
        <w:rPr>
          <w:color w:val="000000" w:themeColor="text1"/>
        </w:rPr>
        <w:t xml:space="preserve">Scope and </w:t>
      </w:r>
      <w:r w:rsidR="00301F2A">
        <w:rPr>
          <w:color w:val="000000" w:themeColor="text1"/>
        </w:rPr>
        <w:t>field of application</w:t>
      </w:r>
      <w:bookmarkEnd w:id="11098"/>
    </w:p>
    <w:p w14:paraId="308397B9" w14:textId="162C1F09" w:rsidR="00053CB8" w:rsidRDefault="00B817DA" w:rsidP="0080187E">
      <w:pPr>
        <w:pStyle w:val="Clause"/>
        <w:numPr>
          <w:ilvl w:val="0"/>
          <w:numId w:val="35"/>
        </w:numPr>
      </w:pPr>
      <w:r w:rsidRPr="00C52095">
        <w:t>This annex gives good practice rules governing earthquake resistant design relative to</w:t>
      </w:r>
      <w:r w:rsidR="004F7E5B" w:rsidRPr="00870D59">
        <w:t>:</w:t>
      </w:r>
    </w:p>
    <w:p w14:paraId="23A9CC02" w14:textId="264EF64B" w:rsidR="00B817DA" w:rsidRDefault="00B817DA" w:rsidP="0080187E">
      <w:pPr>
        <w:pStyle w:val="Text"/>
        <w:numPr>
          <w:ilvl w:val="0"/>
          <w:numId w:val="696"/>
        </w:numPr>
      </w:pPr>
      <w:r w:rsidRPr="00C52095">
        <w:t>structural simplicity;</w:t>
      </w:r>
    </w:p>
    <w:p w14:paraId="44041C81" w14:textId="51CAF50A" w:rsidR="00B817DA" w:rsidRDefault="00B817DA" w:rsidP="0080187E">
      <w:pPr>
        <w:pStyle w:val="Text"/>
        <w:numPr>
          <w:ilvl w:val="0"/>
          <w:numId w:val="696"/>
        </w:numPr>
      </w:pPr>
      <w:r w:rsidRPr="007754C9">
        <w:t>uniformity, symmetry and redundancy;</w:t>
      </w:r>
    </w:p>
    <w:p w14:paraId="6CC6480B" w14:textId="7227517A" w:rsidR="00B817DA" w:rsidRDefault="00B817DA" w:rsidP="0080187E">
      <w:pPr>
        <w:pStyle w:val="Text"/>
        <w:numPr>
          <w:ilvl w:val="0"/>
          <w:numId w:val="696"/>
        </w:numPr>
      </w:pPr>
      <w:r w:rsidRPr="007754C9">
        <w:t>bi-directional resistance and stiffness;</w:t>
      </w:r>
    </w:p>
    <w:p w14:paraId="0DC6BD45" w14:textId="77640A7F" w:rsidR="00B817DA" w:rsidRDefault="00B817DA" w:rsidP="0080187E">
      <w:pPr>
        <w:pStyle w:val="Text"/>
        <w:numPr>
          <w:ilvl w:val="0"/>
          <w:numId w:val="696"/>
        </w:numPr>
      </w:pPr>
      <w:r w:rsidRPr="007754C9">
        <w:t>torsional resistance and stiffness;</w:t>
      </w:r>
    </w:p>
    <w:p w14:paraId="1C57A981" w14:textId="53538F67" w:rsidR="00B817DA" w:rsidRDefault="00B817DA" w:rsidP="0080187E">
      <w:pPr>
        <w:pStyle w:val="Text"/>
        <w:numPr>
          <w:ilvl w:val="0"/>
          <w:numId w:val="696"/>
        </w:numPr>
      </w:pPr>
      <w:r w:rsidRPr="007754C9">
        <w:t>diaphragmatic behaviour at storey level;</w:t>
      </w:r>
    </w:p>
    <w:p w14:paraId="6A0E7E7F" w14:textId="47B149AB" w:rsidR="00B817DA" w:rsidRDefault="00B817DA" w:rsidP="0080187E">
      <w:pPr>
        <w:pStyle w:val="Text"/>
        <w:numPr>
          <w:ilvl w:val="0"/>
          <w:numId w:val="696"/>
        </w:numPr>
      </w:pPr>
      <w:r>
        <w:t>ad</w:t>
      </w:r>
      <w:r w:rsidRPr="007754C9">
        <w:t>equate foundation;</w:t>
      </w:r>
    </w:p>
    <w:p w14:paraId="4917B6A9" w14:textId="39281FAA" w:rsidR="00B817DA" w:rsidRDefault="00B817DA" w:rsidP="0080187E">
      <w:pPr>
        <w:pStyle w:val="Text"/>
        <w:numPr>
          <w:ilvl w:val="0"/>
          <w:numId w:val="696"/>
        </w:numPr>
      </w:pPr>
      <w:r w:rsidRPr="007754C9">
        <w:t>structural regularity in plan.</w:t>
      </w:r>
    </w:p>
    <w:p w14:paraId="2DC75A25" w14:textId="77777777" w:rsidR="00B817DA" w:rsidRPr="008721BF" w:rsidRDefault="00B817DA" w:rsidP="00301F2A">
      <w:pPr>
        <w:pStyle w:val="Text"/>
      </w:pPr>
      <w:r w:rsidRPr="008721BF">
        <w:t>These good practice rules are further elaborated hereunder.</w:t>
      </w:r>
    </w:p>
    <w:p w14:paraId="53DA14BB" w14:textId="6F6AD652" w:rsidR="00B817DA" w:rsidRPr="00835C82" w:rsidRDefault="00B817DA" w:rsidP="0080187E">
      <w:pPr>
        <w:pStyle w:val="Clause"/>
        <w:numPr>
          <w:ilvl w:val="0"/>
          <w:numId w:val="35"/>
        </w:numPr>
      </w:pPr>
      <w:r w:rsidRPr="00132C1E">
        <w:t>Good practice rules should not be considered as mandatory, as they cannot in practice be all satisfied.</w:t>
      </w:r>
    </w:p>
    <w:p w14:paraId="68CD901A" w14:textId="4CFE16C2" w:rsidR="004F7E5B" w:rsidRPr="00870D59" w:rsidRDefault="004F7E5B" w:rsidP="004F7E5B">
      <w:pPr>
        <w:pStyle w:val="Notetext"/>
      </w:pPr>
      <w:r w:rsidRPr="00870D59">
        <w:t>NOTE</w:t>
      </w:r>
      <w:r w:rsidRPr="00870D59">
        <w:tab/>
        <w:t>Satisfying good practice rules allows for more economical design.</w:t>
      </w:r>
    </w:p>
    <w:p w14:paraId="436055FF" w14:textId="2AEDC725" w:rsidR="00053CB8" w:rsidRPr="00870D59" w:rsidRDefault="00B817DA" w:rsidP="008D3E7F">
      <w:pPr>
        <w:pStyle w:val="a2"/>
        <w:rPr>
          <w:color w:val="000000" w:themeColor="text1"/>
        </w:rPr>
      </w:pPr>
      <w:bookmarkStart w:id="11099" w:name="_Toc16927714"/>
      <w:bookmarkStart w:id="11100" w:name="_Toc50150697"/>
      <w:bookmarkStart w:id="11101" w:name="_Toc70887130"/>
      <w:bookmarkStart w:id="11102" w:name="_Toc108342714"/>
      <w:bookmarkStart w:id="11103" w:name="_Toc134198223"/>
      <w:r w:rsidRPr="00132C1E">
        <w:t>Structural simplicity</w:t>
      </w:r>
      <w:bookmarkEnd w:id="11099"/>
      <w:bookmarkEnd w:id="11100"/>
      <w:bookmarkEnd w:id="11101"/>
      <w:bookmarkEnd w:id="11102"/>
      <w:bookmarkEnd w:id="11103"/>
    </w:p>
    <w:p w14:paraId="388E2FC6" w14:textId="3D22D329" w:rsidR="004F7E5B" w:rsidRPr="00870D59" w:rsidRDefault="00B817DA" w:rsidP="0080187E">
      <w:pPr>
        <w:pStyle w:val="Clause"/>
        <w:numPr>
          <w:ilvl w:val="0"/>
          <w:numId w:val="33"/>
        </w:numPr>
      </w:pPr>
      <w:r w:rsidRPr="00132C1E">
        <w:t>Structural simplicity, character</w:t>
      </w:r>
      <w:r w:rsidR="00E10A24">
        <w:t>ize</w:t>
      </w:r>
      <w:r w:rsidRPr="00132C1E">
        <w:t>d by the existence of clear and direct paths for the transmission of the seismic actions, should be pursued, since the modelling, analysis, dimensioning, detailing and construction of simple structures are subject to much less uncertainty and thus the prediction of its seismic behaviour is much more reliable</w:t>
      </w:r>
      <w:r w:rsidR="004F7E5B" w:rsidRPr="00870D59">
        <w:t>.</w:t>
      </w:r>
    </w:p>
    <w:p w14:paraId="5F1D1B47" w14:textId="1DD1D15C" w:rsidR="008D3E7F" w:rsidRPr="00870D59" w:rsidRDefault="00B817DA" w:rsidP="008D3E7F">
      <w:pPr>
        <w:pStyle w:val="a2"/>
        <w:rPr>
          <w:color w:val="000000" w:themeColor="text1"/>
        </w:rPr>
      </w:pPr>
      <w:bookmarkStart w:id="11104" w:name="_Toc16927715"/>
      <w:bookmarkStart w:id="11105" w:name="_Toc50150698"/>
      <w:bookmarkStart w:id="11106" w:name="_Toc70887131"/>
      <w:bookmarkStart w:id="11107" w:name="_Toc108342715"/>
      <w:bookmarkStart w:id="11108" w:name="_Toc134198224"/>
      <w:r w:rsidRPr="00132C1E">
        <w:t>Uniformity, symmetry and redundancy</w:t>
      </w:r>
      <w:bookmarkEnd w:id="11104"/>
      <w:bookmarkEnd w:id="11105"/>
      <w:bookmarkEnd w:id="11106"/>
      <w:bookmarkEnd w:id="11107"/>
      <w:bookmarkEnd w:id="11108"/>
    </w:p>
    <w:p w14:paraId="2A68675A" w14:textId="73BDF6AF" w:rsidR="008D3E7F" w:rsidRPr="00870D59" w:rsidRDefault="00B817DA" w:rsidP="0080187E">
      <w:pPr>
        <w:pStyle w:val="Clause"/>
        <w:numPr>
          <w:ilvl w:val="0"/>
          <w:numId w:val="19"/>
        </w:numPr>
      </w:pPr>
      <w:r w:rsidRPr="00132C1E">
        <w:t>Uniformity, symmetry and redundancy should be pursued by means appropriate to the considered structure</w:t>
      </w:r>
      <w:r w:rsidR="004F7E5B" w:rsidRPr="00870D59">
        <w:t>.</w:t>
      </w:r>
    </w:p>
    <w:p w14:paraId="7FBD602A" w14:textId="6580335D" w:rsidR="00B817DA" w:rsidRPr="00132C1E" w:rsidRDefault="00B817DA" w:rsidP="00B817DA">
      <w:pPr>
        <w:pStyle w:val="Notetext"/>
      </w:pPr>
      <w:r w:rsidRPr="00132C1E">
        <w:t>NOTE 1</w:t>
      </w:r>
      <w:r w:rsidRPr="00132C1E">
        <w:tab/>
        <w:t>Uniformity in plan</w:t>
      </w:r>
      <w:r w:rsidRPr="00B817DA">
        <w:rPr>
          <w:i/>
        </w:rPr>
        <w:t xml:space="preserve"> </w:t>
      </w:r>
      <w:r w:rsidRPr="00132C1E">
        <w:t>is character</w:t>
      </w:r>
      <w:r w:rsidR="00E10A24">
        <w:t>ize</w:t>
      </w:r>
      <w:r w:rsidRPr="00132C1E">
        <w:t>d by an even distribution of the structural members which allows short and direct transmission of the inertia forces created in the distributed masses of the building.</w:t>
      </w:r>
    </w:p>
    <w:p w14:paraId="1F1F2817" w14:textId="55B3B161" w:rsidR="00B817DA" w:rsidRPr="00132C1E" w:rsidRDefault="00B817DA" w:rsidP="00B817DA">
      <w:pPr>
        <w:pStyle w:val="Notetext"/>
      </w:pPr>
      <w:r w:rsidRPr="00132C1E">
        <w:t>NOTE 2</w:t>
      </w:r>
      <w:r w:rsidRPr="00132C1E">
        <w:tab/>
        <w:t>Uniformity can be real</w:t>
      </w:r>
      <w:r w:rsidR="00E10A24">
        <w:t>ize</w:t>
      </w:r>
      <w:r w:rsidRPr="00132C1E">
        <w:t xml:space="preserve">d by subdividing the entire building by seismic joints into dynamically independent units, if these joints are designed against pounding of the individual units in </w:t>
      </w:r>
      <w:r w:rsidRPr="00301F2A">
        <w:t>accordance with 6.2.8.</w:t>
      </w:r>
    </w:p>
    <w:p w14:paraId="0951C583" w14:textId="77777777" w:rsidR="00B817DA" w:rsidRPr="00132C1E" w:rsidRDefault="00B817DA" w:rsidP="00B817DA">
      <w:pPr>
        <w:pStyle w:val="Notetext"/>
      </w:pPr>
      <w:r w:rsidRPr="00132C1E">
        <w:lastRenderedPageBreak/>
        <w:t>NOTE 3</w:t>
      </w:r>
      <w:r w:rsidRPr="00132C1E">
        <w:tab/>
        <w:t>Uniformity in the development of the structure along the height of the building tends to eliminate the occurrence of sensitive zones where concentrations of stress or large ductility demands might prematurely cause collapse.</w:t>
      </w:r>
    </w:p>
    <w:p w14:paraId="2112ED30" w14:textId="77777777" w:rsidR="00B817DA" w:rsidRPr="00132C1E" w:rsidRDefault="00B817DA" w:rsidP="00B817DA">
      <w:pPr>
        <w:pStyle w:val="Notetext"/>
      </w:pPr>
      <w:r w:rsidRPr="00132C1E">
        <w:t>NOTE 4</w:t>
      </w:r>
      <w:r w:rsidRPr="00132C1E">
        <w:tab/>
        <w:t>A close relationship between the distribution of masses and the distribution of resistance and stiffness eliminates large eccentricities between mass and stiffness.</w:t>
      </w:r>
    </w:p>
    <w:p w14:paraId="6E21FF8F" w14:textId="77777777" w:rsidR="00B817DA" w:rsidRPr="00132C1E" w:rsidRDefault="00B817DA" w:rsidP="00B817DA">
      <w:pPr>
        <w:pStyle w:val="Notetext"/>
      </w:pPr>
      <w:r w:rsidRPr="00132C1E">
        <w:t>NOTE 5</w:t>
      </w:r>
      <w:r w:rsidRPr="00132C1E">
        <w:tab/>
        <w:t>If the building configuration is symmetric or quasi-symmetric, a symmetric layout of well-distributed in-plan structural members is appropriate for the achievement of uniformity.</w:t>
      </w:r>
    </w:p>
    <w:p w14:paraId="295608D6" w14:textId="77777777" w:rsidR="00B817DA" w:rsidRPr="00132C1E" w:rsidRDefault="00B817DA" w:rsidP="00B817DA">
      <w:pPr>
        <w:pStyle w:val="Notetext"/>
      </w:pPr>
      <w:r w:rsidRPr="00132C1E">
        <w:t>NOTE 6</w:t>
      </w:r>
      <w:r w:rsidRPr="00132C1E">
        <w:tab/>
        <w:t>The use of evenly distributed structural members increases redundancy and allows a more favourable redistribution of action effects and widespread energy dissipation across the entire structure.</w:t>
      </w:r>
    </w:p>
    <w:p w14:paraId="79360866" w14:textId="57DD3AD3" w:rsidR="000F119F" w:rsidRDefault="00B817DA" w:rsidP="000F119F">
      <w:pPr>
        <w:pStyle w:val="a2"/>
      </w:pPr>
      <w:bookmarkStart w:id="11109" w:name="_Toc16927716"/>
      <w:bookmarkStart w:id="11110" w:name="_Toc50150699"/>
      <w:bookmarkStart w:id="11111" w:name="_Toc70887132"/>
      <w:bookmarkStart w:id="11112" w:name="_Toc108342716"/>
      <w:bookmarkStart w:id="11113" w:name="_Toc134198225"/>
      <w:r w:rsidRPr="00132C1E">
        <w:t>Bi-directional resistance and stiffness</w:t>
      </w:r>
      <w:bookmarkEnd w:id="11109"/>
      <w:bookmarkEnd w:id="11110"/>
      <w:bookmarkEnd w:id="11111"/>
      <w:bookmarkEnd w:id="11112"/>
      <w:bookmarkEnd w:id="11113"/>
    </w:p>
    <w:p w14:paraId="34605F5F" w14:textId="77777777" w:rsidR="00B817DA" w:rsidRPr="00132C1E" w:rsidRDefault="00B817DA" w:rsidP="0080187E">
      <w:pPr>
        <w:pStyle w:val="Clause"/>
        <w:numPr>
          <w:ilvl w:val="0"/>
          <w:numId w:val="555"/>
        </w:numPr>
      </w:pPr>
      <w:r w:rsidRPr="00132C1E">
        <w:t xml:space="preserve">To satisfy </w:t>
      </w:r>
      <w:r w:rsidRPr="00835C82">
        <w:t>4.4.1(1)</w:t>
      </w:r>
      <w:r w:rsidRPr="00132C1E">
        <w:t>, the structural members should be arranged in an orthogonal in-plan structural pattern, ensuring similar resistance and stiffness characteristics in both main directions.</w:t>
      </w:r>
    </w:p>
    <w:p w14:paraId="70379F44" w14:textId="060DA83D" w:rsidR="00B817DA" w:rsidRPr="00132C1E" w:rsidRDefault="00B817DA" w:rsidP="00724E4E">
      <w:pPr>
        <w:pStyle w:val="Clause"/>
      </w:pPr>
      <w:r w:rsidRPr="00132C1E">
        <w:t>The choice of the stiffness characteristics of the structure, while attempting to minim</w:t>
      </w:r>
      <w:r w:rsidR="00E10A24">
        <w:t>ize</w:t>
      </w:r>
      <w:r w:rsidRPr="00132C1E">
        <w:t xml:space="preserve"> the effects of the seismic action (considering its specific features at the site) should also limit the development of excessive displacements that might lead to either instabilities due to second order effects or excessive damages.</w:t>
      </w:r>
    </w:p>
    <w:p w14:paraId="20E5F927" w14:textId="6EFC03A9" w:rsidR="00B817DA" w:rsidRPr="00132C1E" w:rsidRDefault="00B817DA" w:rsidP="00B817DA">
      <w:pPr>
        <w:pStyle w:val="a2"/>
      </w:pPr>
      <w:bookmarkStart w:id="11114" w:name="_Toc16927717"/>
      <w:bookmarkStart w:id="11115" w:name="_Toc50150700"/>
      <w:bookmarkStart w:id="11116" w:name="_Toc70887133"/>
      <w:bookmarkStart w:id="11117" w:name="_Toc108342717"/>
      <w:bookmarkStart w:id="11118" w:name="_Toc134198226"/>
      <w:r w:rsidRPr="00132C1E">
        <w:t>Torsional resistance and stiffness</w:t>
      </w:r>
      <w:bookmarkEnd w:id="11114"/>
      <w:bookmarkEnd w:id="11115"/>
      <w:bookmarkEnd w:id="11116"/>
      <w:bookmarkEnd w:id="11117"/>
      <w:bookmarkEnd w:id="11118"/>
    </w:p>
    <w:p w14:paraId="319413FA" w14:textId="77777777" w:rsidR="00B817DA" w:rsidRPr="00132C1E" w:rsidRDefault="00B817DA" w:rsidP="0080187E">
      <w:pPr>
        <w:pStyle w:val="Clause"/>
        <w:numPr>
          <w:ilvl w:val="0"/>
          <w:numId w:val="556"/>
        </w:numPr>
      </w:pPr>
      <w:r w:rsidRPr="00132C1E">
        <w:t>Besides lateral resistance and stiffness, building structures should possess adequate torsional resistance and stiffness to limit the development of torsional motions which tend to stress the different structural members in a non-uniform way. In this respect, arrangements in which the main elements resisting the seismic action are distributed close to the periphery of the building should be preferred.</w:t>
      </w:r>
    </w:p>
    <w:p w14:paraId="18CF2A40" w14:textId="314C6975" w:rsidR="00B817DA" w:rsidRPr="00132C1E" w:rsidRDefault="00B817DA" w:rsidP="00B817DA">
      <w:pPr>
        <w:pStyle w:val="a2"/>
      </w:pPr>
      <w:bookmarkStart w:id="11119" w:name="_Toc16927718"/>
      <w:bookmarkStart w:id="11120" w:name="_Toc50150701"/>
      <w:bookmarkStart w:id="11121" w:name="_Toc70887134"/>
      <w:bookmarkStart w:id="11122" w:name="_Toc108342718"/>
      <w:bookmarkStart w:id="11123" w:name="_Toc134198227"/>
      <w:r w:rsidRPr="00132C1E">
        <w:t>Diaphragmatic behaviour at storey level</w:t>
      </w:r>
      <w:bookmarkEnd w:id="11119"/>
      <w:bookmarkEnd w:id="11120"/>
      <w:bookmarkEnd w:id="11121"/>
      <w:bookmarkEnd w:id="11122"/>
      <w:bookmarkEnd w:id="11123"/>
    </w:p>
    <w:p w14:paraId="5E949737" w14:textId="77777777" w:rsidR="00B817DA" w:rsidRPr="00132C1E" w:rsidRDefault="00B817DA" w:rsidP="0080187E">
      <w:pPr>
        <w:pStyle w:val="Clause"/>
        <w:numPr>
          <w:ilvl w:val="0"/>
          <w:numId w:val="557"/>
        </w:numPr>
      </w:pPr>
      <w:r w:rsidRPr="00132C1E">
        <w:t xml:space="preserve">Floor systems and the roof should be provided with in-plane stiffness and resistance and with effective connection to the vertical structural systems. Particular care should be taken in cases of non-compact or very elongated in-plan shapes and in cases of large floor openings, especially if the latter are in the vicinity of the main vertical structural members, thus hindering such effective connection </w:t>
      </w:r>
      <w:r w:rsidRPr="00646639">
        <w:rPr>
          <w:iCs/>
        </w:rPr>
        <w:t>between the vertical and horizontal structure.</w:t>
      </w:r>
    </w:p>
    <w:p w14:paraId="0579FB24" w14:textId="77777777" w:rsidR="00B817DA" w:rsidRPr="00132C1E" w:rsidRDefault="00B817DA" w:rsidP="00B817DA">
      <w:pPr>
        <w:pStyle w:val="Notetext"/>
      </w:pPr>
      <w:r w:rsidRPr="00132C1E">
        <w:t>NOTE</w:t>
      </w:r>
      <w:r w:rsidRPr="00132C1E">
        <w:tab/>
        <w:t>In buildings, floors (including the roof) play a very important role in the overall seismic behaviour of the structure. They act as horizontal diaphragms that collect and transmit the seismic actions to the vertical structural systems and ensure that those systems act together in resisting the horizontal seismic action. The action of floors as diaphragms is especially relevant in cases of complex and non-uniform layouts of the vertical structural systems, or where systems with different horizontal deformability characteristics are used together (e.g. in dual or mixed systems).</w:t>
      </w:r>
    </w:p>
    <w:p w14:paraId="33A4459B" w14:textId="77777777" w:rsidR="00B817DA" w:rsidRPr="00132C1E" w:rsidRDefault="00B817DA" w:rsidP="00724E4E">
      <w:pPr>
        <w:pStyle w:val="Clause"/>
      </w:pPr>
      <w:r w:rsidRPr="00132C1E">
        <w:t>Diaphragms should have sufficient in-plane stiffness for the distribution of horizontal inertia forces to the vertical structural systems in accordance with the assumptions of the analysis (e.g. rigidity of the diaphragm), particularly when there are significant changes in stiffness or offsets of vertical members above and below the diaphragm.</w:t>
      </w:r>
    </w:p>
    <w:p w14:paraId="400F279F" w14:textId="03797B08" w:rsidR="00B817DA" w:rsidRPr="00132C1E" w:rsidRDefault="00B817DA" w:rsidP="00B817DA">
      <w:pPr>
        <w:pStyle w:val="a2"/>
      </w:pPr>
      <w:bookmarkStart w:id="11124" w:name="_Toc16927719"/>
      <w:bookmarkStart w:id="11125" w:name="_Toc50150702"/>
      <w:bookmarkStart w:id="11126" w:name="_Toc70887135"/>
      <w:bookmarkStart w:id="11127" w:name="_Toc108342719"/>
      <w:bookmarkStart w:id="11128" w:name="_Toc134198228"/>
      <w:r w:rsidRPr="00132C1E">
        <w:t>Adequate foundation</w:t>
      </w:r>
      <w:bookmarkEnd w:id="11124"/>
      <w:bookmarkEnd w:id="11125"/>
      <w:bookmarkEnd w:id="11126"/>
      <w:bookmarkEnd w:id="11127"/>
      <w:bookmarkEnd w:id="11128"/>
    </w:p>
    <w:p w14:paraId="206FD036" w14:textId="77777777" w:rsidR="00B817DA" w:rsidRPr="00132C1E" w:rsidRDefault="00B817DA" w:rsidP="0080187E">
      <w:pPr>
        <w:pStyle w:val="Clause"/>
        <w:numPr>
          <w:ilvl w:val="0"/>
          <w:numId w:val="558"/>
        </w:numPr>
      </w:pPr>
      <w:r w:rsidRPr="00132C1E">
        <w:t>The design and construction of the foundations and of the connection to the superstructure should ensure that the whole building is subjected to a uniform seismic excitation.</w:t>
      </w:r>
    </w:p>
    <w:p w14:paraId="7C936C19" w14:textId="0056C9BA" w:rsidR="00B817DA" w:rsidRPr="00132C1E" w:rsidRDefault="00B817DA" w:rsidP="00B817DA">
      <w:pPr>
        <w:pStyle w:val="a2"/>
      </w:pPr>
      <w:bookmarkStart w:id="11129" w:name="_Toc16927720"/>
      <w:bookmarkStart w:id="11130" w:name="_Toc50150703"/>
      <w:bookmarkStart w:id="11131" w:name="_Toc70887136"/>
      <w:bookmarkStart w:id="11132" w:name="_Toc108342720"/>
      <w:bookmarkStart w:id="11133" w:name="_Toc134198229"/>
      <w:r w:rsidRPr="00132C1E">
        <w:lastRenderedPageBreak/>
        <w:t>Regularity in plan</w:t>
      </w:r>
      <w:bookmarkEnd w:id="11129"/>
      <w:bookmarkEnd w:id="11130"/>
      <w:bookmarkEnd w:id="11131"/>
      <w:bookmarkEnd w:id="11132"/>
      <w:bookmarkEnd w:id="11133"/>
    </w:p>
    <w:p w14:paraId="3EA6FC09" w14:textId="5F65CEE0" w:rsidR="00B817DA" w:rsidRPr="00132C1E" w:rsidRDefault="00B817DA" w:rsidP="0080187E">
      <w:pPr>
        <w:pStyle w:val="Clause"/>
        <w:numPr>
          <w:ilvl w:val="0"/>
          <w:numId w:val="559"/>
        </w:numPr>
      </w:pPr>
      <w:r w:rsidRPr="00132C1E">
        <w:t>Implementing good practices given in a) to e) may contribute to obtain favourable in-plan regularity and to minim</w:t>
      </w:r>
      <w:r w:rsidR="00E10A24">
        <w:t>ize</w:t>
      </w:r>
      <w:r w:rsidRPr="00132C1E">
        <w:t xml:space="preserve"> undesirable torsional effects about the vertical axis:</w:t>
      </w:r>
    </w:p>
    <w:p w14:paraId="271FAFFA" w14:textId="77777777" w:rsidR="00B817DA" w:rsidRPr="00132C1E" w:rsidRDefault="00B817DA" w:rsidP="0080187E">
      <w:pPr>
        <w:pStyle w:val="List2"/>
        <w:numPr>
          <w:ilvl w:val="0"/>
          <w:numId w:val="216"/>
        </w:numPr>
        <w:spacing w:before="0" w:after="240" w:line="230" w:lineRule="atLeast"/>
        <w:contextualSpacing w:val="0"/>
      </w:pPr>
      <w:r w:rsidRPr="00132C1E">
        <w:t>With respect to the lateral stiffness and mass distribution, the building structure is approximately symmetric in plan with respect to two orthogonal axes.</w:t>
      </w:r>
    </w:p>
    <w:p w14:paraId="05AEC0F9" w14:textId="77777777" w:rsidR="00B817DA" w:rsidRPr="00132C1E" w:rsidRDefault="00B817DA" w:rsidP="0080187E">
      <w:pPr>
        <w:pStyle w:val="List2"/>
        <w:numPr>
          <w:ilvl w:val="0"/>
          <w:numId w:val="216"/>
        </w:numPr>
        <w:spacing w:before="0" w:after="240" w:line="230" w:lineRule="atLeast"/>
        <w:contextualSpacing w:val="0"/>
      </w:pPr>
      <w:r w:rsidRPr="00132C1E">
        <w:t xml:space="preserve">The plan configuration is compact, i.e., each floor is delimited by a polygonal convex line. If in plan set-backs (re-entrant corners or edge recesses) exist, they do not affect the floor in-plan stiffness. For each set-back, the area between the outline of the floor and a convex polygonal line enveloping the floor does not exceed 15 % of the floor area. </w:t>
      </w:r>
    </w:p>
    <w:p w14:paraId="1C2DB7F2" w14:textId="44986DD8" w:rsidR="00B817DA" w:rsidRPr="00132C1E" w:rsidRDefault="00B817DA" w:rsidP="0080187E">
      <w:pPr>
        <w:pStyle w:val="List2"/>
        <w:numPr>
          <w:ilvl w:val="0"/>
          <w:numId w:val="216"/>
        </w:numPr>
        <w:spacing w:before="0" w:after="240" w:line="230" w:lineRule="atLeast"/>
        <w:contextualSpacing w:val="0"/>
      </w:pPr>
      <w:r w:rsidRPr="00132C1E">
        <w:t>The in</w:t>
      </w:r>
      <w:r w:rsidRPr="00132C1E">
        <w:noBreakHyphen/>
        <w:t xml:space="preserve">plan stiffness of the floors is sufficiently large in comparison with the lateral stiffness of the vertical structural members, so that the deformation of the floor has a small effect on the distribution of the forces among the vertical structural members. </w:t>
      </w:r>
      <w:r w:rsidR="002B4125" w:rsidRPr="002B4125">
        <w:t>The effect may be considered small if the forces among the vertical structural members does not differ of more than 20</w:t>
      </w:r>
      <w:r w:rsidR="00D4445A">
        <w:t> </w:t>
      </w:r>
      <w:r w:rsidR="002B4125" w:rsidRPr="002B4125">
        <w:t>% of the values found with an infinitely stiff diaphragm</w:t>
      </w:r>
      <w:r w:rsidR="002B4125">
        <w:t>.</w:t>
      </w:r>
      <w:r w:rsidR="002B4125" w:rsidRPr="002B4125">
        <w:t xml:space="preserve"> </w:t>
      </w:r>
      <w:r w:rsidRPr="00132C1E">
        <w:t>In this respect, L, C, H, I, and X plan shapes should be carefully examined concerning the stiffness of the lateral branches, which should be comparable to that of the central part, to satisfy the rigid diaphragm condition. The application of this paragraph should be considered for the global behaviour of the building.</w:t>
      </w:r>
    </w:p>
    <w:p w14:paraId="20F68E31" w14:textId="77777777" w:rsidR="00B817DA" w:rsidRPr="00B817DA" w:rsidRDefault="00B817DA" w:rsidP="0080187E">
      <w:pPr>
        <w:pStyle w:val="List2"/>
        <w:numPr>
          <w:ilvl w:val="0"/>
          <w:numId w:val="216"/>
        </w:numPr>
        <w:spacing w:before="0" w:after="240" w:line="230" w:lineRule="atLeast"/>
        <w:contextualSpacing w:val="0"/>
      </w:pPr>
      <w:r w:rsidRPr="00B817DA">
        <w:t xml:space="preserve">For buildings in which the primary structure is in the facades, if the slenderness λ= </w:t>
      </w:r>
      <w:r w:rsidRPr="00B817DA">
        <w:rPr>
          <w:i/>
          <w:iCs/>
        </w:rPr>
        <w:t>L</w:t>
      </w:r>
      <w:r w:rsidRPr="00B817DA">
        <w:rPr>
          <w:vertAlign w:val="subscript"/>
        </w:rPr>
        <w:t>max</w:t>
      </w:r>
      <w:r w:rsidRPr="00B817DA">
        <w:t>/</w:t>
      </w:r>
      <w:r w:rsidRPr="00B817DA">
        <w:rPr>
          <w:i/>
          <w:iCs/>
        </w:rPr>
        <w:t>L</w:t>
      </w:r>
      <w:r w:rsidRPr="00B817DA">
        <w:rPr>
          <w:vertAlign w:val="subscript"/>
        </w:rPr>
        <w:t>min</w:t>
      </w:r>
      <w:r w:rsidRPr="00B817DA">
        <w:t xml:space="preserve"> of the building in plan is not greater than 4, where</w:t>
      </w:r>
      <w:r w:rsidRPr="00B817DA">
        <w:rPr>
          <w:i/>
          <w:iCs/>
        </w:rPr>
        <w:t xml:space="preserve"> L</w:t>
      </w:r>
      <w:r w:rsidRPr="00B817DA">
        <w:rPr>
          <w:vertAlign w:val="subscript"/>
        </w:rPr>
        <w:t>max</w:t>
      </w:r>
      <w:r w:rsidRPr="00B817DA">
        <w:t xml:space="preserve"> and </w:t>
      </w:r>
      <w:r w:rsidRPr="00B817DA">
        <w:rPr>
          <w:i/>
          <w:iCs/>
        </w:rPr>
        <w:t>L</w:t>
      </w:r>
      <w:r w:rsidRPr="00B817DA">
        <w:rPr>
          <w:vertAlign w:val="subscript"/>
        </w:rPr>
        <w:t>min</w:t>
      </w:r>
      <w:r w:rsidRPr="00B817DA">
        <w:t xml:space="preserve"> are respectively the greater and smaller in plan dimension of the building, measured in orthogonal directions.</w:t>
      </w:r>
    </w:p>
    <w:p w14:paraId="2DB9A806" w14:textId="40FD40F9" w:rsidR="00B817DA" w:rsidRPr="00D15455" w:rsidRDefault="00B817DA" w:rsidP="00BD628C">
      <w:pPr>
        <w:pStyle w:val="Notetext"/>
        <w:ind w:left="360"/>
      </w:pPr>
      <w:r w:rsidRPr="00D15455">
        <w:t>NOTE</w:t>
      </w:r>
      <w:r w:rsidR="00301F2A">
        <w:tab/>
        <w:t>I</w:t>
      </w:r>
      <w:r w:rsidRPr="00D15455">
        <w:t xml:space="preserve">f the number of lines of primary seismic structures perpendicular to the long side of a building is greater than 0,5 </w:t>
      </w:r>
      <w:r w:rsidRPr="00D15455">
        <w:rPr>
          <w:i/>
          <w:iCs/>
        </w:rPr>
        <w:t>λ</w:t>
      </w:r>
      <w:r w:rsidRPr="00D15455">
        <w:t>, like for instance in long industrial halls, with many parallel frames perpendicular to the long dimension, there is no need to satisfy that condition.</w:t>
      </w:r>
    </w:p>
    <w:p w14:paraId="445FD2C8" w14:textId="62A24E4F" w:rsidR="00B817DA" w:rsidRDefault="00B817DA" w:rsidP="0080187E">
      <w:pPr>
        <w:pStyle w:val="List2"/>
        <w:numPr>
          <w:ilvl w:val="0"/>
          <w:numId w:val="216"/>
        </w:numPr>
        <w:spacing w:before="0" w:after="240" w:line="230" w:lineRule="atLeast"/>
        <w:contextualSpacing w:val="0"/>
      </w:pPr>
      <w:r w:rsidRPr="00132C1E">
        <w:t xml:space="preserve">At each level </w:t>
      </w:r>
      <w:r w:rsidRPr="00132C1E">
        <w:rPr>
          <w:i/>
          <w:iCs/>
        </w:rPr>
        <w:t>i</w:t>
      </w:r>
      <w:r w:rsidRPr="00132C1E">
        <w:t xml:space="preserve"> and for each direction of analysis </w:t>
      </w:r>
      <w:r w:rsidRPr="00132C1E">
        <w:rPr>
          <w:i/>
        </w:rPr>
        <w:t>x</w:t>
      </w:r>
      <w:r w:rsidRPr="00132C1E">
        <w:t xml:space="preserve"> or </w:t>
      </w:r>
      <w:r w:rsidRPr="00132C1E">
        <w:rPr>
          <w:i/>
        </w:rPr>
        <w:t>y</w:t>
      </w:r>
      <w:r w:rsidRPr="00132C1E">
        <w:t xml:space="preserve">, the structural eccentricity </w:t>
      </w:r>
      <w:r w:rsidRPr="00132C1E">
        <w:rPr>
          <w:i/>
        </w:rPr>
        <w:t>e</w:t>
      </w:r>
      <w:r w:rsidRPr="00132C1E">
        <w:rPr>
          <w:vertAlign w:val="subscript"/>
        </w:rPr>
        <w:t>o</w:t>
      </w:r>
      <w:r w:rsidRPr="00132C1E">
        <w:t xml:space="preserve"> and the torsional radius </w:t>
      </w:r>
      <w:r w:rsidRPr="00132C1E">
        <w:rPr>
          <w:i/>
        </w:rPr>
        <w:t>r</w:t>
      </w:r>
      <w:r w:rsidRPr="00132C1E">
        <w:t xml:space="preserve"> satisfy the two conditions given by Formula</w:t>
      </w:r>
      <w:r w:rsidR="00BD628C">
        <w:t>e</w:t>
      </w:r>
      <w:r w:rsidRPr="00132C1E">
        <w:t xml:space="preserve"> (A.1) and (A.2), expressed for the direction of analysis </w:t>
      </w:r>
      <w:r w:rsidRPr="00132C1E">
        <w:rPr>
          <w:i/>
        </w:rPr>
        <w:t>y</w:t>
      </w:r>
      <w:r w:rsidRPr="00132C1E">
        <w:t>.</w:t>
      </w:r>
    </w:p>
    <w:p w14:paraId="42C2C5E4" w14:textId="4D58CAEB" w:rsidR="00B817DA" w:rsidRDefault="009B5CEC" w:rsidP="00B817DA">
      <w:pPr>
        <w:pStyle w:val="Formula"/>
        <w:spacing w:before="240"/>
      </w:pPr>
      <m:oMath>
        <m:sSub>
          <m:sSubPr>
            <m:ctrlPr>
              <w:rPr>
                <w:rFonts w:ascii="Cambria Math" w:hAnsi="Cambria Math"/>
              </w:rPr>
            </m:ctrlPr>
          </m:sSubPr>
          <m:e>
            <m:r>
              <w:rPr>
                <w:rFonts w:ascii="Cambria Math" w:hAnsi="Cambria Math"/>
              </w:rPr>
              <m:t>e</m:t>
            </m:r>
          </m:e>
          <m:sub>
            <m:r>
              <m:rPr>
                <m:sty m:val="p"/>
              </m:rPr>
              <w:rPr>
                <w:rFonts w:ascii="Cambria Math" w:hAnsi="Cambria Math"/>
              </w:rPr>
              <m:t>0x,i</m:t>
            </m:r>
          </m:sub>
        </m:sSub>
        <m:r>
          <w:rPr>
            <w:rFonts w:ascii="Cambria Math" w:hAnsi="Cambria Math"/>
          </w:rPr>
          <m:t>≤0,30 </m:t>
        </m:r>
        <m:sSub>
          <m:sSubPr>
            <m:ctrlPr>
              <w:rPr>
                <w:rFonts w:ascii="Cambria Math" w:hAnsi="Cambria Math"/>
              </w:rPr>
            </m:ctrlPr>
          </m:sSubPr>
          <m:e>
            <m:r>
              <w:rPr>
                <w:rFonts w:ascii="Cambria Math" w:hAnsi="Cambria Math"/>
              </w:rPr>
              <m:t>r</m:t>
            </m:r>
          </m:e>
          <m:sub>
            <m:r>
              <m:rPr>
                <m:sty m:val="p"/>
              </m:rPr>
              <w:rPr>
                <w:rFonts w:ascii="Cambria Math" w:hAnsi="Cambria Math"/>
              </w:rPr>
              <m:t>x,i</m:t>
            </m:r>
          </m:sub>
        </m:sSub>
        <m:r>
          <w:rPr>
            <w:rFonts w:ascii="Cambria Math" w:hAnsi="Cambria Math"/>
          </w:rPr>
          <m:t xml:space="preserve">  </m:t>
        </m:r>
      </m:oMath>
      <w:r w:rsidR="00B817DA" w:rsidRPr="00870D59">
        <w:tab/>
        <w:t>(</w:t>
      </w:r>
      <w:r w:rsidR="00AD332A">
        <w:t>A</w:t>
      </w:r>
      <w:r w:rsidR="00B817DA" w:rsidRPr="00870D59">
        <w:t>.</w:t>
      </w:r>
      <w:r w:rsidR="00AD332A">
        <w:t>1</w:t>
      </w:r>
      <w:r w:rsidR="00B817DA" w:rsidRPr="00870D59">
        <w:t>)</w:t>
      </w:r>
    </w:p>
    <w:p w14:paraId="6521CB43" w14:textId="717FFAE0" w:rsidR="00AD332A" w:rsidRDefault="009B5CEC" w:rsidP="00AD332A">
      <w:pPr>
        <w:pStyle w:val="Formula"/>
        <w:spacing w:before="240"/>
      </w:pPr>
      <m:oMath>
        <m:sSub>
          <m:sSubPr>
            <m:ctrlPr>
              <w:rPr>
                <w:rFonts w:ascii="Cambria Math" w:hAnsi="Cambria Math"/>
              </w:rPr>
            </m:ctrlPr>
          </m:sSubPr>
          <m:e>
            <m:r>
              <w:rPr>
                <w:rFonts w:ascii="Cambria Math" w:hAnsi="Cambria Math"/>
              </w:rPr>
              <m:t>r</m:t>
            </m:r>
          </m:e>
          <m:sub>
            <m:r>
              <m:rPr>
                <m:sty m:val="p"/>
              </m:rPr>
              <w:rPr>
                <w:rFonts w:ascii="Cambria Math" w:hAnsi="Cambria Math"/>
              </w:rPr>
              <m:t>x,i</m:t>
            </m:r>
          </m:sub>
        </m:sSub>
        <m:r>
          <w:rPr>
            <w:rFonts w:ascii="Cambria Math" w:hAnsi="Cambria Math"/>
          </w:rPr>
          <m:t>≥</m:t>
        </m:r>
        <m:sSub>
          <m:sSubPr>
            <m:ctrlPr>
              <w:rPr>
                <w:rFonts w:ascii="Cambria Math" w:hAnsi="Cambria Math"/>
              </w:rPr>
            </m:ctrlPr>
          </m:sSubPr>
          <m:e>
            <m:r>
              <w:rPr>
                <w:rFonts w:ascii="Cambria Math" w:hAnsi="Cambria Math"/>
              </w:rPr>
              <m:t>l</m:t>
            </m:r>
          </m:e>
          <m:sub>
            <m:r>
              <m:rPr>
                <m:sty m:val="p"/>
              </m:rPr>
              <w:rPr>
                <w:rFonts w:ascii="Cambria Math" w:hAnsi="Cambria Math"/>
              </w:rPr>
              <m:t>s,i</m:t>
            </m:r>
          </m:sub>
        </m:sSub>
      </m:oMath>
      <w:r w:rsidR="00AD332A" w:rsidRPr="00870D59">
        <w:tab/>
        <w:t>(</w:t>
      </w:r>
      <w:r w:rsidR="00AD332A">
        <w:t>A</w:t>
      </w:r>
      <w:r w:rsidR="00AD332A" w:rsidRPr="00870D59">
        <w:t>.</w:t>
      </w:r>
      <w:r w:rsidR="00AD332A">
        <w:t>2</w:t>
      </w:r>
      <w:r w:rsidR="00AD332A" w:rsidRPr="00870D59">
        <w:t>)</w:t>
      </w:r>
    </w:p>
    <w:p w14:paraId="452E8D46" w14:textId="752EE039" w:rsidR="00B817DA" w:rsidRPr="001B2671" w:rsidRDefault="00675EBA" w:rsidP="00301F2A">
      <w:pPr>
        <w:pStyle w:val="Text"/>
      </w:pPr>
      <w:r>
        <w:t>where</w:t>
      </w:r>
    </w:p>
    <w:tbl>
      <w:tblPr>
        <w:tblW w:w="0" w:type="auto"/>
        <w:tblInd w:w="346" w:type="dxa"/>
        <w:tblLook w:val="04A0" w:firstRow="1" w:lastRow="0" w:firstColumn="1" w:lastColumn="0" w:noHBand="0" w:noVBand="1"/>
      </w:tblPr>
      <w:tblGrid>
        <w:gridCol w:w="1275"/>
        <w:gridCol w:w="7938"/>
      </w:tblGrid>
      <w:tr w:rsidR="00B817DA" w:rsidRPr="000F2AFF" w14:paraId="0391A93C" w14:textId="77777777" w:rsidTr="00BD628C">
        <w:tc>
          <w:tcPr>
            <w:tcW w:w="1275" w:type="dxa"/>
          </w:tcPr>
          <w:p w14:paraId="25EEA148" w14:textId="62661A73" w:rsidR="00B817DA" w:rsidRPr="00736D6A" w:rsidRDefault="00AD332A" w:rsidP="002061E5">
            <w:pPr>
              <w:spacing w:after="60"/>
              <w:jc w:val="left"/>
              <w:rPr>
                <w:rFonts w:eastAsia="Times New Roman" w:cs="Cambria"/>
                <w:color w:val="000000" w:themeColor="text1"/>
                <w:szCs w:val="20"/>
                <w:lang w:eastAsia="fr-FR"/>
              </w:rPr>
            </w:pPr>
            <w:r w:rsidRPr="007E6F67">
              <w:rPr>
                <w:i/>
              </w:rPr>
              <w:t>e</w:t>
            </w:r>
            <w:r w:rsidRPr="00FD17CF">
              <w:rPr>
                <w:vertAlign w:val="subscript"/>
              </w:rPr>
              <w:t>ox,i</w:t>
            </w:r>
          </w:p>
        </w:tc>
        <w:tc>
          <w:tcPr>
            <w:tcW w:w="7938" w:type="dxa"/>
          </w:tcPr>
          <w:p w14:paraId="4EADFB61" w14:textId="06B0D117" w:rsidR="00B817DA" w:rsidRPr="00DF3AF1" w:rsidRDefault="00AD332A" w:rsidP="002061E5">
            <w:pPr>
              <w:pStyle w:val="Listofsymbols"/>
              <w:tabs>
                <w:tab w:val="clear" w:pos="1134"/>
                <w:tab w:val="left" w:pos="1347"/>
              </w:tabs>
              <w:ind w:left="0" w:firstLine="0"/>
              <w:rPr>
                <w:rFonts w:eastAsia="Times New Roman"/>
              </w:rPr>
            </w:pPr>
            <w:r w:rsidRPr="00FD17CF">
              <w:t xml:space="preserve">is the </w:t>
            </w:r>
            <w:r w:rsidRPr="00FD17CF">
              <w:rPr>
                <w:i/>
                <w:iCs/>
              </w:rPr>
              <w:t>x</w:t>
            </w:r>
            <w:r w:rsidRPr="00E05E29">
              <w:t xml:space="preserve"> component of the natural eccentricity, normal to the direction of analysis </w:t>
            </w:r>
            <w:r w:rsidRPr="00E05E29">
              <w:rPr>
                <w:i/>
              </w:rPr>
              <w:t>y</w:t>
            </w:r>
            <w:r w:rsidRPr="00E05E29">
              <w:t xml:space="preserve"> considered;</w:t>
            </w:r>
          </w:p>
        </w:tc>
      </w:tr>
      <w:tr w:rsidR="00B817DA" w:rsidRPr="000F2AFF" w14:paraId="73BD84A5" w14:textId="77777777" w:rsidTr="00BD628C">
        <w:tc>
          <w:tcPr>
            <w:tcW w:w="1275" w:type="dxa"/>
          </w:tcPr>
          <w:p w14:paraId="061612FB" w14:textId="28505AA7" w:rsidR="00B817DA" w:rsidRPr="00736D6A" w:rsidRDefault="00AD332A" w:rsidP="002061E5">
            <w:pPr>
              <w:spacing w:after="60"/>
              <w:jc w:val="left"/>
              <w:rPr>
                <w:rFonts w:eastAsia="Times New Roman" w:cs="Cambria"/>
                <w:color w:val="000000" w:themeColor="text1"/>
                <w:szCs w:val="20"/>
                <w:lang w:eastAsia="fr-FR"/>
              </w:rPr>
            </w:pPr>
            <w:r w:rsidRPr="00196951">
              <w:rPr>
                <w:i/>
                <w:iCs/>
              </w:rPr>
              <w:t>r</w:t>
            </w:r>
            <w:r w:rsidRPr="002144A0">
              <w:rPr>
                <w:vertAlign w:val="subscript"/>
              </w:rPr>
              <w:t>x,i</w:t>
            </w:r>
          </w:p>
        </w:tc>
        <w:tc>
          <w:tcPr>
            <w:tcW w:w="7938" w:type="dxa"/>
          </w:tcPr>
          <w:p w14:paraId="17E2D2CB" w14:textId="21B4F655" w:rsidR="00B817DA" w:rsidRPr="00FA3E2C" w:rsidRDefault="00AD332A" w:rsidP="002061E5">
            <w:pPr>
              <w:pStyle w:val="Listofsymbols"/>
              <w:tabs>
                <w:tab w:val="clear" w:pos="1134"/>
                <w:tab w:val="left" w:pos="1347"/>
              </w:tabs>
              <w:ind w:left="0" w:firstLine="0"/>
              <w:rPr>
                <w:rFonts w:eastAsia="Times New Roman"/>
              </w:rPr>
            </w:pPr>
            <w:r w:rsidRPr="002144A0">
              <w:t xml:space="preserve">is the </w:t>
            </w:r>
            <w:r w:rsidRPr="002144A0">
              <w:rPr>
                <w:i/>
                <w:iCs/>
              </w:rPr>
              <w:t>x</w:t>
            </w:r>
            <w:r w:rsidRPr="002144A0">
              <w:t xml:space="preserve"> component of the torsional radius;</w:t>
            </w:r>
          </w:p>
        </w:tc>
      </w:tr>
      <w:tr w:rsidR="00B817DA" w:rsidRPr="000F2AFF" w14:paraId="302A7BED" w14:textId="77777777" w:rsidTr="00BD628C">
        <w:tc>
          <w:tcPr>
            <w:tcW w:w="1275" w:type="dxa"/>
          </w:tcPr>
          <w:p w14:paraId="4896920C" w14:textId="4B6D5BB9" w:rsidR="00B817DA" w:rsidRPr="00736D6A" w:rsidRDefault="00AD332A" w:rsidP="002061E5">
            <w:pPr>
              <w:spacing w:after="60"/>
              <w:jc w:val="left"/>
              <w:rPr>
                <w:rFonts w:eastAsia="Times New Roman" w:cs="Cambria"/>
                <w:color w:val="000000" w:themeColor="text1"/>
                <w:szCs w:val="20"/>
                <w:lang w:eastAsia="fr-FR"/>
              </w:rPr>
            </w:pPr>
            <w:r w:rsidRPr="007754C9">
              <w:rPr>
                <w:i/>
                <w:iCs/>
              </w:rPr>
              <w:t>l</w:t>
            </w:r>
            <w:r w:rsidRPr="00132C1E">
              <w:rPr>
                <w:vertAlign w:val="subscript"/>
              </w:rPr>
              <w:t>s,i</w:t>
            </w:r>
          </w:p>
        </w:tc>
        <w:tc>
          <w:tcPr>
            <w:tcW w:w="7938" w:type="dxa"/>
          </w:tcPr>
          <w:p w14:paraId="536DA39C" w14:textId="1330F15E" w:rsidR="00B817DA" w:rsidRPr="00FA3E2C" w:rsidRDefault="00AD332A" w:rsidP="002061E5">
            <w:pPr>
              <w:pStyle w:val="Listofsymbols"/>
              <w:tabs>
                <w:tab w:val="clear" w:pos="1134"/>
                <w:tab w:val="left" w:pos="1347"/>
              </w:tabs>
              <w:ind w:left="0" w:firstLine="0"/>
              <w:rPr>
                <w:rFonts w:eastAsia="Times New Roman"/>
              </w:rPr>
            </w:pPr>
            <w:r w:rsidRPr="00132C1E">
              <w:t xml:space="preserve">is the radius of gyration of floor </w:t>
            </w:r>
            <w:r w:rsidRPr="00132C1E">
              <w:rPr>
                <w:i/>
                <w:iCs/>
              </w:rPr>
              <w:t>i</w:t>
            </w:r>
            <w:r w:rsidRPr="00132C1E">
              <w:t xml:space="preserve"> </w:t>
            </w:r>
            <w:r w:rsidRPr="00301F2A">
              <w:t>defined in 4.4.3(2).</w:t>
            </w:r>
          </w:p>
        </w:tc>
      </w:tr>
    </w:tbl>
    <w:p w14:paraId="7A194908" w14:textId="697D7BB4" w:rsidR="00301F2A" w:rsidRDefault="00301F2A" w:rsidP="00AD332A">
      <w:pPr>
        <w:pStyle w:val="Notetext"/>
      </w:pPr>
      <w:r w:rsidRPr="00C52095">
        <w:t>NOTE</w:t>
      </w:r>
      <w:r>
        <w:t xml:space="preserve"> 1</w:t>
      </w:r>
      <w:r w:rsidRPr="00C52095">
        <w:tab/>
        <w:t>Annex B gives procedures for calculating the natural eccentricity and the torsional radius.</w:t>
      </w:r>
    </w:p>
    <w:p w14:paraId="124BAA9D" w14:textId="7174BE59" w:rsidR="00AD332A" w:rsidRPr="00132C1E" w:rsidRDefault="00AD332A" w:rsidP="00AD332A">
      <w:pPr>
        <w:pStyle w:val="Notetext"/>
      </w:pPr>
      <w:r w:rsidRPr="00132C1E">
        <w:t>NOTE</w:t>
      </w:r>
      <w:r w:rsidR="00301F2A">
        <w:t xml:space="preserve"> 2</w:t>
      </w:r>
      <w:r w:rsidRPr="00132C1E">
        <w:tab/>
        <w:t>Formula</w:t>
      </w:r>
      <w:r w:rsidR="00BD628C">
        <w:t>e</w:t>
      </w:r>
      <w:r w:rsidRPr="00132C1E">
        <w:t xml:space="preserve"> similar to (A.1) and (A.2) apply for the direction of analysis </w:t>
      </w:r>
      <w:r w:rsidRPr="00132C1E">
        <w:rPr>
          <w:i/>
          <w:iCs/>
        </w:rPr>
        <w:t>x</w:t>
      </w:r>
      <w:r w:rsidRPr="00132C1E">
        <w:t>.</w:t>
      </w:r>
    </w:p>
    <w:p w14:paraId="75DDB97B" w14:textId="77777777" w:rsidR="00B817DA" w:rsidRPr="00132C1E" w:rsidRDefault="00B817DA" w:rsidP="00301F2A">
      <w:pPr>
        <w:pStyle w:val="Text"/>
      </w:pPr>
    </w:p>
    <w:p w14:paraId="1ED3E3E8" w14:textId="5282B9AA" w:rsidR="00EF6BE2" w:rsidRPr="00870D59" w:rsidRDefault="00EF6BE2" w:rsidP="00EF6BE2">
      <w:pPr>
        <w:pStyle w:val="ANNEX"/>
      </w:pPr>
      <w:bookmarkStart w:id="11134" w:name="_Toc423351916"/>
      <w:r w:rsidRPr="00870D59">
        <w:lastRenderedPageBreak/>
        <w:br/>
      </w:r>
      <w:bookmarkStart w:id="11135" w:name="_Toc134198230"/>
      <w:r w:rsidRPr="00870D59">
        <w:rPr>
          <w:b w:val="0"/>
        </w:rPr>
        <w:t>(informative)</w:t>
      </w:r>
      <w:r w:rsidRPr="00870D59">
        <w:fldChar w:fldCharType="begin"/>
      </w:r>
      <w:r w:rsidRPr="00870D59">
        <w:instrText xml:space="preserve">SEQ aaa \h </w:instrText>
      </w:r>
      <w:r w:rsidRPr="00870D59">
        <w:fldChar w:fldCharType="end"/>
      </w:r>
      <w:r w:rsidRPr="00870D59">
        <w:fldChar w:fldCharType="begin"/>
      </w:r>
      <w:r w:rsidRPr="00870D59">
        <w:instrText xml:space="preserve">SEQ table \r0\h </w:instrText>
      </w:r>
      <w:r w:rsidRPr="00870D59">
        <w:fldChar w:fldCharType="end"/>
      </w:r>
      <w:r w:rsidRPr="00870D59">
        <w:fldChar w:fldCharType="begin"/>
      </w:r>
      <w:r w:rsidRPr="00870D59">
        <w:instrText xml:space="preserve">SEQ figure \r0\h </w:instrText>
      </w:r>
      <w:r w:rsidRPr="00870D59">
        <w:fldChar w:fldCharType="end"/>
      </w:r>
      <w:r w:rsidRPr="00870D59">
        <w:br/>
      </w:r>
      <w:r w:rsidRPr="00870D59">
        <w:br/>
      </w:r>
      <w:r w:rsidR="001E7BC3" w:rsidRPr="001E7BC3">
        <w:t>Natural eccentricity and torsional radius</w:t>
      </w:r>
      <w:bookmarkEnd w:id="11135"/>
    </w:p>
    <w:p w14:paraId="41DB0B28" w14:textId="5CAB5947" w:rsidR="00EF6BE2" w:rsidRPr="00870D59" w:rsidRDefault="00EF6BE2" w:rsidP="00EF6BE2">
      <w:pPr>
        <w:pStyle w:val="a2"/>
        <w:rPr>
          <w:color w:val="000000" w:themeColor="text1"/>
        </w:rPr>
      </w:pPr>
      <w:bookmarkStart w:id="11136" w:name="_Toc134198231"/>
      <w:r w:rsidRPr="00870D59">
        <w:rPr>
          <w:color w:val="000000" w:themeColor="text1"/>
        </w:rPr>
        <w:t>Use of this annex</w:t>
      </w:r>
      <w:bookmarkEnd w:id="11136"/>
    </w:p>
    <w:p w14:paraId="4970D462" w14:textId="0F63F8ED" w:rsidR="00EF6BE2" w:rsidRPr="00870D59" w:rsidRDefault="001E7BC3" w:rsidP="0080187E">
      <w:pPr>
        <w:pStyle w:val="Clause"/>
        <w:numPr>
          <w:ilvl w:val="0"/>
          <w:numId w:val="20"/>
        </w:numPr>
      </w:pPr>
      <w:r w:rsidRPr="00321389">
        <w:t>This Informative Annex provides complementary / supplementary guidance</w:t>
      </w:r>
      <w:r w:rsidRPr="00835C82">
        <w:t xml:space="preserve"> </w:t>
      </w:r>
      <w:r w:rsidRPr="00BF3C88">
        <w:t>to</w:t>
      </w:r>
      <w:r w:rsidRPr="00835C82">
        <w:t xml:space="preserve"> 4.4.3</w:t>
      </w:r>
      <w:r w:rsidR="00015ABC" w:rsidRPr="00870D59">
        <w:rPr>
          <w:bCs/>
        </w:rPr>
        <w:t>.</w:t>
      </w:r>
    </w:p>
    <w:p w14:paraId="08909829" w14:textId="3CE65827" w:rsidR="00EF6BE2" w:rsidRPr="00870D59" w:rsidRDefault="00EF6BE2" w:rsidP="00EF6BE2">
      <w:pPr>
        <w:pStyle w:val="Notetext"/>
      </w:pPr>
      <w:r w:rsidRPr="00870D59">
        <w:t>NOTE</w:t>
      </w:r>
      <w:r w:rsidRPr="00870D59">
        <w:tab/>
      </w:r>
      <w:r w:rsidR="001E7BC3" w:rsidRPr="00132C1E">
        <w:t>National choice on the application of this Informative Annex is given in the National Annex. If the National Annex contains no information on the application of this Informative Annex, it can be used</w:t>
      </w:r>
      <w:r w:rsidR="00015ABC" w:rsidRPr="00870D59">
        <w:t>.</w:t>
      </w:r>
    </w:p>
    <w:p w14:paraId="0D162065" w14:textId="3490C305" w:rsidR="00EF6BE2" w:rsidRPr="00870D59" w:rsidRDefault="00EF6BE2" w:rsidP="00EF6BE2">
      <w:pPr>
        <w:pStyle w:val="a2"/>
        <w:rPr>
          <w:color w:val="000000" w:themeColor="text1"/>
        </w:rPr>
      </w:pPr>
      <w:bookmarkStart w:id="11137" w:name="_Toc134198232"/>
      <w:r w:rsidRPr="00870D59">
        <w:rPr>
          <w:color w:val="000000" w:themeColor="text1"/>
        </w:rPr>
        <w:t>Scope</w:t>
      </w:r>
      <w:r w:rsidR="00301F2A">
        <w:rPr>
          <w:color w:val="000000" w:themeColor="text1"/>
        </w:rPr>
        <w:t xml:space="preserve"> and field of application</w:t>
      </w:r>
      <w:bookmarkEnd w:id="11137"/>
    </w:p>
    <w:p w14:paraId="24E56E00" w14:textId="6B8F0E76" w:rsidR="00EF6BE2" w:rsidRPr="00870D59" w:rsidRDefault="001E7BC3" w:rsidP="0080187E">
      <w:pPr>
        <w:pStyle w:val="Clause"/>
        <w:numPr>
          <w:ilvl w:val="0"/>
          <w:numId w:val="36"/>
        </w:numPr>
      </w:pPr>
      <w:r w:rsidRPr="00132C1E">
        <w:t>This annex gives possible methods to calculate the natural eccentricity and the torsional radius.</w:t>
      </w:r>
    </w:p>
    <w:p w14:paraId="10B9CF65" w14:textId="10AD6F21" w:rsidR="00EF6BE2" w:rsidRDefault="001E7BC3" w:rsidP="00EF6BE2">
      <w:pPr>
        <w:pStyle w:val="a2"/>
      </w:pPr>
      <w:bookmarkStart w:id="11138" w:name="_Toc134198233"/>
      <w:r>
        <w:t>General</w:t>
      </w:r>
      <w:bookmarkEnd w:id="11138"/>
    </w:p>
    <w:p w14:paraId="7B9E86C3" w14:textId="77777777" w:rsidR="00773100" w:rsidRPr="00132C1E" w:rsidRDefault="00773100" w:rsidP="0080187E">
      <w:pPr>
        <w:pStyle w:val="Clause"/>
        <w:numPr>
          <w:ilvl w:val="0"/>
          <w:numId w:val="560"/>
        </w:numPr>
      </w:pPr>
      <w:r w:rsidRPr="00132C1E">
        <w:t xml:space="preserve">The natural eccentricity </w:t>
      </w:r>
      <w:r w:rsidRPr="00835C82">
        <w:rPr>
          <w:i/>
          <w:iCs/>
        </w:rPr>
        <w:t>e</w:t>
      </w:r>
      <w:r w:rsidRPr="00646639">
        <w:rPr>
          <w:vertAlign w:val="subscript"/>
        </w:rPr>
        <w:t>0,i</w:t>
      </w:r>
      <w:r w:rsidRPr="00132C1E">
        <w:t xml:space="preserve"> of floor </w:t>
      </w:r>
      <w:r w:rsidRPr="00646639">
        <w:rPr>
          <w:i/>
        </w:rPr>
        <w:t>i</w:t>
      </w:r>
      <w:r w:rsidRPr="00132C1E">
        <w:t xml:space="preserve"> of a building should be defined as the horizontal vector </w:t>
      </w:r>
      <w:r w:rsidRPr="00646639">
        <w:rPr>
          <w:i/>
        </w:rPr>
        <w:t>C</w:t>
      </w:r>
      <w:r w:rsidRPr="00646639">
        <w:rPr>
          <w:vertAlign w:val="subscript"/>
        </w:rPr>
        <w:t>i</w:t>
      </w:r>
      <w:r w:rsidRPr="00646639">
        <w:rPr>
          <w:i/>
        </w:rPr>
        <w:t>G</w:t>
      </w:r>
      <w:r w:rsidRPr="00646639">
        <w:rPr>
          <w:vertAlign w:val="subscript"/>
        </w:rPr>
        <w:t>i</w:t>
      </w:r>
      <w:r w:rsidRPr="00132C1E">
        <w:t xml:space="preserve"> joining the two points defined in a) and b):</w:t>
      </w:r>
    </w:p>
    <w:p w14:paraId="0BA4E087" w14:textId="0AA6B844" w:rsidR="00773100" w:rsidRPr="00301F2A" w:rsidRDefault="00301F2A" w:rsidP="00BD628C">
      <w:pPr>
        <w:pStyle w:val="Text"/>
        <w:numPr>
          <w:ilvl w:val="0"/>
          <w:numId w:val="697"/>
        </w:numPr>
        <w:spacing w:after="200"/>
      </w:pPr>
      <w:r>
        <w:t>t</w:t>
      </w:r>
      <w:r w:rsidR="00773100" w:rsidRPr="00132C1E">
        <w:t xml:space="preserve">he centre of masses </w:t>
      </w:r>
      <w:r w:rsidR="00773100" w:rsidRPr="00132C1E">
        <w:rPr>
          <w:i/>
        </w:rPr>
        <w:t>G</w:t>
      </w:r>
      <w:r w:rsidR="00773100" w:rsidRPr="00132C1E">
        <w:rPr>
          <w:vertAlign w:val="subscript"/>
        </w:rPr>
        <w:t>i</w:t>
      </w:r>
      <w:r w:rsidR="00773100" w:rsidRPr="00132C1E">
        <w:t xml:space="preserve"> of floor </w:t>
      </w:r>
      <w:r w:rsidR="00773100" w:rsidRPr="00132C1E">
        <w:rPr>
          <w:i/>
        </w:rPr>
        <w:t>i,</w:t>
      </w:r>
      <w:r w:rsidR="00773100" w:rsidRPr="00132C1E">
        <w:t xml:space="preserve"> including the mass of the vertical </w:t>
      </w:r>
      <w:r w:rsidR="00773100" w:rsidRPr="00301F2A">
        <w:t>members in the mid height of the storeys below and above the floor, the mass being calculated according to 5.1.2(1)</w:t>
      </w:r>
      <w:r w:rsidRPr="00301F2A">
        <w:t>;</w:t>
      </w:r>
    </w:p>
    <w:p w14:paraId="4F464DEB" w14:textId="1314E139" w:rsidR="00773100" w:rsidRPr="00132C1E" w:rsidRDefault="00301F2A" w:rsidP="0080187E">
      <w:pPr>
        <w:pStyle w:val="Text"/>
        <w:numPr>
          <w:ilvl w:val="0"/>
          <w:numId w:val="697"/>
        </w:numPr>
      </w:pPr>
      <w:r>
        <w:t>t</w:t>
      </w:r>
      <w:r w:rsidR="00773100" w:rsidRPr="00132C1E">
        <w:t xml:space="preserve">he projection </w:t>
      </w:r>
      <w:r w:rsidR="00773100" w:rsidRPr="00132C1E">
        <w:rPr>
          <w:i/>
        </w:rPr>
        <w:t>C</w:t>
      </w:r>
      <w:r w:rsidR="00773100" w:rsidRPr="00132C1E">
        <w:rPr>
          <w:vertAlign w:val="subscript"/>
        </w:rPr>
        <w:t>i</w:t>
      </w:r>
      <w:r w:rsidR="00773100" w:rsidRPr="00132C1E">
        <w:t xml:space="preserve"> on floor </w:t>
      </w:r>
      <w:r w:rsidR="00773100" w:rsidRPr="00132C1E">
        <w:rPr>
          <w:i/>
        </w:rPr>
        <w:t>i</w:t>
      </w:r>
      <w:r w:rsidR="00773100" w:rsidRPr="00132C1E">
        <w:t xml:space="preserve"> of the stiffness centre of the storey below the floor, including all vertical structures taken into account in the model for seismic analysis.</w:t>
      </w:r>
    </w:p>
    <w:p w14:paraId="57281706" w14:textId="77777777" w:rsidR="00773100" w:rsidRPr="00132C1E" w:rsidRDefault="00773100" w:rsidP="00724E4E">
      <w:pPr>
        <w:pStyle w:val="Clause"/>
      </w:pPr>
      <w:r w:rsidRPr="00132C1E">
        <w:t xml:space="preserve">The two components </w:t>
      </w:r>
      <w:r w:rsidRPr="00132C1E">
        <w:rPr>
          <w:i/>
        </w:rPr>
        <w:t>e</w:t>
      </w:r>
      <w:r w:rsidRPr="00132C1E">
        <w:rPr>
          <w:vertAlign w:val="subscript"/>
        </w:rPr>
        <w:t>0x,i</w:t>
      </w:r>
      <w:r w:rsidRPr="00132C1E">
        <w:t xml:space="preserve"> and </w:t>
      </w:r>
      <w:r w:rsidRPr="00132C1E">
        <w:rPr>
          <w:i/>
        </w:rPr>
        <w:t>e</w:t>
      </w:r>
      <w:r w:rsidRPr="00132C1E">
        <w:rPr>
          <w:vertAlign w:val="subscript"/>
        </w:rPr>
        <w:t>0y,i</w:t>
      </w:r>
      <w:r w:rsidRPr="00132C1E">
        <w:t xml:space="preserve"> </w:t>
      </w:r>
      <w:r w:rsidRPr="00835C82">
        <w:t xml:space="preserve">of </w:t>
      </w:r>
      <w:r w:rsidRPr="00835C82">
        <w:rPr>
          <w:i/>
        </w:rPr>
        <w:t>e</w:t>
      </w:r>
      <w:r w:rsidRPr="00132C1E">
        <w:rPr>
          <w:vertAlign w:val="subscript"/>
        </w:rPr>
        <w:t>0,i</w:t>
      </w:r>
      <w:r w:rsidRPr="00132C1E">
        <w:t xml:space="preserve"> in orthogonal horizontal axes may be obtained as the difference of coordinates of </w:t>
      </w:r>
      <w:r w:rsidRPr="00132C1E">
        <w:rPr>
          <w:i/>
        </w:rPr>
        <w:t>G</w:t>
      </w:r>
      <w:r w:rsidRPr="00132C1E">
        <w:rPr>
          <w:vertAlign w:val="subscript"/>
        </w:rPr>
        <w:t>i</w:t>
      </w:r>
      <w:r w:rsidRPr="00132C1E">
        <w:t xml:space="preserve"> and </w:t>
      </w:r>
      <w:r w:rsidRPr="00132C1E">
        <w:rPr>
          <w:i/>
        </w:rPr>
        <w:t>C</w:t>
      </w:r>
      <w:r w:rsidRPr="00132C1E">
        <w:rPr>
          <w:vertAlign w:val="subscript"/>
        </w:rPr>
        <w:t>i</w:t>
      </w:r>
      <w:r w:rsidRPr="00132C1E">
        <w:t xml:space="preserve"> in the same axes.</w:t>
      </w:r>
    </w:p>
    <w:p w14:paraId="3808152D" w14:textId="77777777" w:rsidR="00773100" w:rsidRPr="00301F2A" w:rsidRDefault="00773100" w:rsidP="00773100">
      <w:pPr>
        <w:pStyle w:val="Notetext"/>
      </w:pPr>
      <w:r w:rsidRPr="00132C1E">
        <w:t>NOTE</w:t>
      </w:r>
      <w:r w:rsidRPr="00132C1E">
        <w:tab/>
        <w:t xml:space="preserve">The two components </w:t>
      </w:r>
      <w:r w:rsidRPr="00132C1E">
        <w:rPr>
          <w:i/>
        </w:rPr>
        <w:t>e</w:t>
      </w:r>
      <w:r w:rsidRPr="00132C1E">
        <w:rPr>
          <w:vertAlign w:val="subscript"/>
        </w:rPr>
        <w:t>0x,i</w:t>
      </w:r>
      <w:r w:rsidRPr="00132C1E">
        <w:t xml:space="preserve"> and </w:t>
      </w:r>
      <w:r w:rsidRPr="00132C1E">
        <w:rPr>
          <w:i/>
        </w:rPr>
        <w:t>e</w:t>
      </w:r>
      <w:r w:rsidRPr="00132C1E">
        <w:rPr>
          <w:vertAlign w:val="subscript"/>
        </w:rPr>
        <w:t>0y,i</w:t>
      </w:r>
      <w:r w:rsidRPr="00132C1E">
        <w:t xml:space="preserve"> of </w:t>
      </w:r>
      <w:r w:rsidRPr="00132C1E">
        <w:rPr>
          <w:b/>
          <w:i/>
        </w:rPr>
        <w:t>e</w:t>
      </w:r>
      <w:r w:rsidRPr="00132C1E">
        <w:rPr>
          <w:vertAlign w:val="subscript"/>
        </w:rPr>
        <w:t>0,i</w:t>
      </w:r>
      <w:r w:rsidRPr="00132C1E">
        <w:t xml:space="preserve"> in orthogonal horizontal axes are used </w:t>
      </w:r>
      <w:r w:rsidRPr="00301F2A">
        <w:t>in 5.2(2).</w:t>
      </w:r>
    </w:p>
    <w:p w14:paraId="29212A94" w14:textId="77777777" w:rsidR="00773100" w:rsidRPr="00132C1E" w:rsidRDefault="00773100" w:rsidP="00724E4E">
      <w:pPr>
        <w:pStyle w:val="Clause"/>
      </w:pPr>
      <w:r w:rsidRPr="00132C1E">
        <w:t xml:space="preserve">The </w:t>
      </w:r>
      <w:r w:rsidRPr="00132C1E">
        <w:rPr>
          <w:i/>
          <w:iCs/>
        </w:rPr>
        <w:t>x</w:t>
      </w:r>
      <w:r w:rsidRPr="00132C1E">
        <w:t xml:space="preserve"> component of the torsional radius, </w:t>
      </w:r>
      <w:r w:rsidRPr="00132C1E">
        <w:rPr>
          <w:i/>
          <w:iCs/>
        </w:rPr>
        <w:t>r</w:t>
      </w:r>
      <w:r w:rsidRPr="00132C1E">
        <w:rPr>
          <w:vertAlign w:val="subscript"/>
        </w:rPr>
        <w:t>x,i</w:t>
      </w:r>
      <w:r w:rsidRPr="00132C1E">
        <w:t xml:space="preserve">, of the </w:t>
      </w:r>
      <w:r w:rsidRPr="00132C1E">
        <w:rPr>
          <w:i/>
          <w:iCs/>
        </w:rPr>
        <w:t>i</w:t>
      </w:r>
      <w:r w:rsidRPr="00132C1E">
        <w:t xml:space="preserve">-th floor should be defined as the square root of the ratio of the torsional stiffness with respect to the stiffness centre </w:t>
      </w:r>
      <w:r w:rsidRPr="00132C1E">
        <w:rPr>
          <w:i/>
          <w:iCs/>
        </w:rPr>
        <w:t>C</w:t>
      </w:r>
      <w:r w:rsidRPr="00132C1E">
        <w:rPr>
          <w:vertAlign w:val="subscript"/>
        </w:rPr>
        <w:t>i</w:t>
      </w:r>
      <w:r w:rsidRPr="00132C1E">
        <w:t xml:space="preserve"> to the floor lateral stiffness in the </w:t>
      </w:r>
      <w:r w:rsidRPr="00132C1E">
        <w:rPr>
          <w:i/>
          <w:iCs/>
        </w:rPr>
        <w:t>y</w:t>
      </w:r>
      <w:r w:rsidRPr="00132C1E">
        <w:t xml:space="preserve"> direction.</w:t>
      </w:r>
    </w:p>
    <w:p w14:paraId="786B3153" w14:textId="77777777" w:rsidR="00773100" w:rsidRPr="00132C1E" w:rsidRDefault="00773100" w:rsidP="00773100">
      <w:pPr>
        <w:pStyle w:val="Notetext"/>
      </w:pPr>
      <w:r w:rsidRPr="00132C1E">
        <w:t>NOTE</w:t>
      </w:r>
      <w:r w:rsidRPr="00132C1E">
        <w:tab/>
        <w:t>Similar definition applies to the</w:t>
      </w:r>
      <w:r w:rsidRPr="00132C1E">
        <w:rPr>
          <w:i/>
          <w:iCs/>
        </w:rPr>
        <w:t xml:space="preserve"> y</w:t>
      </w:r>
      <w:r w:rsidRPr="00132C1E">
        <w:t xml:space="preserve"> component </w:t>
      </w:r>
      <w:r w:rsidRPr="00132C1E">
        <w:rPr>
          <w:i/>
          <w:iCs/>
        </w:rPr>
        <w:t>r</w:t>
      </w:r>
      <w:r w:rsidRPr="00132C1E">
        <w:rPr>
          <w:vertAlign w:val="subscript"/>
        </w:rPr>
        <w:t>y,i</w:t>
      </w:r>
      <w:r w:rsidRPr="00132C1E">
        <w:t>,</w:t>
      </w:r>
    </w:p>
    <w:p w14:paraId="2C5FD08A" w14:textId="77777777" w:rsidR="00773100" w:rsidRPr="00132C1E" w:rsidRDefault="00773100" w:rsidP="00773100">
      <w:pPr>
        <w:pStyle w:val="a2"/>
      </w:pPr>
      <w:bookmarkStart w:id="11139" w:name="_Toc16927723"/>
      <w:bookmarkStart w:id="11140" w:name="_Toc50150708"/>
      <w:bookmarkStart w:id="11141" w:name="_Toc70887141"/>
      <w:bookmarkStart w:id="11142" w:name="_Toc108342725"/>
      <w:bookmarkStart w:id="11143" w:name="_Toc134198234"/>
      <w:r w:rsidRPr="00132C1E">
        <w:rPr>
          <w:lang w:eastAsia="en-US"/>
        </w:rPr>
        <w:t>Uniform type of lateral load resisting system</w:t>
      </w:r>
      <w:bookmarkEnd w:id="11139"/>
      <w:bookmarkEnd w:id="11140"/>
      <w:bookmarkEnd w:id="11141"/>
      <w:bookmarkEnd w:id="11142"/>
      <w:bookmarkEnd w:id="11143"/>
    </w:p>
    <w:p w14:paraId="72D00C5B" w14:textId="338B7F03" w:rsidR="00773100" w:rsidRPr="00132C1E" w:rsidRDefault="00773100" w:rsidP="0080187E">
      <w:pPr>
        <w:pStyle w:val="Clause"/>
        <w:numPr>
          <w:ilvl w:val="0"/>
          <w:numId w:val="561"/>
        </w:numPr>
      </w:pPr>
      <w:r w:rsidRPr="00132C1E">
        <w:t>When the primary structure is composed of the same type of primary bracings continuous from the basement to the level under consideration, the coordinates of the natural eccentricity may be calculated as given by Formula (B.1), see Figure B</w:t>
      </w:r>
      <w:r w:rsidR="009A2522">
        <w:t>.</w:t>
      </w:r>
      <w:r w:rsidRPr="00132C1E">
        <w:t>1.</w:t>
      </w:r>
    </w:p>
    <w:p w14:paraId="680E54A5" w14:textId="557C36AD" w:rsidR="00773100" w:rsidRDefault="009B5CEC" w:rsidP="00773100">
      <w:pPr>
        <w:pStyle w:val="Formula"/>
        <w:spacing w:before="240"/>
      </w:pPr>
      <m:oMath>
        <m:sSub>
          <m:sSubPr>
            <m:ctrlPr>
              <w:rPr>
                <w:rFonts w:ascii="Cambria Math" w:hAnsi="Cambria Math"/>
              </w:rPr>
            </m:ctrlPr>
          </m:sSubPr>
          <m:e>
            <m:r>
              <w:rPr>
                <w:rFonts w:ascii="Cambria Math" w:hAnsi="Cambria Math"/>
              </w:rPr>
              <m:t>x</m:t>
            </m:r>
          </m:e>
          <m:sub>
            <m:r>
              <m:rPr>
                <m:sty m:val="p"/>
              </m:rPr>
              <w:rPr>
                <w:rFonts w:ascii="Cambria Math" w:hAnsi="Cambria Math"/>
              </w:rPr>
              <m:t>Ci</m:t>
            </m:r>
          </m:sub>
        </m:sSub>
        <m:r>
          <w:rPr>
            <w:rFonts w:ascii="Cambria Math" w:hAnsi="Cambria Math"/>
          </w:rPr>
          <m:t>=</m:t>
        </m:r>
        <m:f>
          <m:fPr>
            <m:ctrlPr>
              <w:rPr>
                <w:rFonts w:ascii="Cambria Math" w:hAnsi="Cambria Math"/>
              </w:rPr>
            </m:ctrlPr>
          </m:fPr>
          <m:num>
            <m:nary>
              <m:naryPr>
                <m:chr m:val="∑"/>
                <m:limLoc m:val="undOvr"/>
                <m:supHide m:val="1"/>
                <m:ctrlPr>
                  <w:rPr>
                    <w:rFonts w:ascii="Cambria Math" w:hAnsi="Cambria Math"/>
                  </w:rPr>
                </m:ctrlPr>
              </m:naryPr>
              <m:sub>
                <m:r>
                  <m:rPr>
                    <m:sty m:val="p"/>
                  </m:rPr>
                  <w:rPr>
                    <w:rFonts w:ascii="Cambria Math" w:hAnsi="Cambria Math"/>
                  </w:rPr>
                  <m:t>j</m:t>
                </m:r>
              </m:sub>
              <m:sup/>
              <m:e>
                <m:sSub>
                  <m:sSubPr>
                    <m:ctrlPr>
                      <w:rPr>
                        <w:rFonts w:ascii="Cambria Math" w:hAnsi="Cambria Math"/>
                      </w:rPr>
                    </m:ctrlPr>
                  </m:sSubPr>
                  <m:e>
                    <m:r>
                      <w:rPr>
                        <w:rFonts w:ascii="Cambria Math" w:hAnsi="Cambria Math"/>
                      </w:rPr>
                      <m:t>x</m:t>
                    </m:r>
                  </m:e>
                  <m:sub>
                    <m:r>
                      <m:rPr>
                        <m:sty m:val="p"/>
                      </m:rPr>
                      <w:rPr>
                        <w:rFonts w:ascii="Cambria Math" w:hAnsi="Cambria Math"/>
                      </w:rPr>
                      <m:t>j</m:t>
                    </m:r>
                  </m:sub>
                </m:sSub>
                <m:sSub>
                  <m:sSubPr>
                    <m:ctrlPr>
                      <w:rPr>
                        <w:rFonts w:ascii="Cambria Math" w:hAnsi="Cambria Math"/>
                      </w:rPr>
                    </m:ctrlPr>
                  </m:sSubPr>
                  <m:e>
                    <m:r>
                      <w:rPr>
                        <w:rFonts w:ascii="Cambria Math" w:hAnsi="Cambria Math"/>
                      </w:rPr>
                      <m:t>K</m:t>
                    </m:r>
                  </m:e>
                  <m:sub>
                    <m:r>
                      <m:rPr>
                        <m:sty m:val="p"/>
                      </m:rPr>
                      <w:rPr>
                        <w:rFonts w:ascii="Cambria Math" w:hAnsi="Cambria Math"/>
                      </w:rPr>
                      <m:t>x,ij</m:t>
                    </m:r>
                  </m:sub>
                </m:sSub>
              </m:e>
            </m:nary>
          </m:num>
          <m:den>
            <m:nary>
              <m:naryPr>
                <m:chr m:val="∑"/>
                <m:limLoc m:val="undOvr"/>
                <m:supHide m:val="1"/>
                <m:ctrlPr>
                  <w:rPr>
                    <w:rFonts w:ascii="Cambria Math" w:hAnsi="Cambria Math"/>
                  </w:rPr>
                </m:ctrlPr>
              </m:naryPr>
              <m:sub>
                <m:r>
                  <m:rPr>
                    <m:sty m:val="p"/>
                  </m:rPr>
                  <w:rPr>
                    <w:rFonts w:ascii="Cambria Math" w:hAnsi="Cambria Math"/>
                  </w:rPr>
                  <m:t>j</m:t>
                </m:r>
              </m:sub>
              <m:sup/>
              <m:e>
                <m:sSub>
                  <m:sSubPr>
                    <m:ctrlPr>
                      <w:rPr>
                        <w:rFonts w:ascii="Cambria Math" w:hAnsi="Cambria Math"/>
                      </w:rPr>
                    </m:ctrlPr>
                  </m:sSubPr>
                  <m:e>
                    <m:r>
                      <w:rPr>
                        <w:rFonts w:ascii="Cambria Math" w:hAnsi="Cambria Math"/>
                      </w:rPr>
                      <m:t>K</m:t>
                    </m:r>
                  </m:e>
                  <m:sub>
                    <m:r>
                      <m:rPr>
                        <m:sty m:val="p"/>
                      </m:rPr>
                      <w:rPr>
                        <w:rFonts w:ascii="Cambria Math" w:hAnsi="Cambria Math"/>
                      </w:rPr>
                      <m:t>x,ij</m:t>
                    </m:r>
                  </m:sub>
                </m:sSub>
              </m:e>
            </m:nary>
          </m:den>
        </m:f>
      </m:oMath>
      <w:r w:rsidR="00773100" w:rsidRPr="00132C1E">
        <w:t xml:space="preserve"> ; </w:t>
      </w:r>
      <m:oMath>
        <m:sSub>
          <m:sSubPr>
            <m:ctrlPr>
              <w:rPr>
                <w:rFonts w:ascii="Cambria Math" w:hAnsi="Cambria Math"/>
              </w:rPr>
            </m:ctrlPr>
          </m:sSubPr>
          <m:e>
            <m:r>
              <w:rPr>
                <w:rFonts w:ascii="Cambria Math" w:hAnsi="Cambria Math"/>
              </w:rPr>
              <m:t>y</m:t>
            </m:r>
          </m:e>
          <m:sub>
            <m:r>
              <m:rPr>
                <m:sty m:val="p"/>
              </m:rPr>
              <w:rPr>
                <w:rFonts w:ascii="Cambria Math" w:hAnsi="Cambria Math"/>
              </w:rPr>
              <m:t>Ci</m:t>
            </m:r>
          </m:sub>
        </m:sSub>
        <m:r>
          <w:rPr>
            <w:rFonts w:ascii="Cambria Math" w:hAnsi="Cambria Math"/>
          </w:rPr>
          <m:t>=</m:t>
        </m:r>
        <m:f>
          <m:fPr>
            <m:ctrlPr>
              <w:rPr>
                <w:rFonts w:ascii="Cambria Math" w:hAnsi="Cambria Math"/>
              </w:rPr>
            </m:ctrlPr>
          </m:fPr>
          <m:num>
            <m:nary>
              <m:naryPr>
                <m:chr m:val="∑"/>
                <m:limLoc m:val="undOvr"/>
                <m:supHide m:val="1"/>
                <m:ctrlPr>
                  <w:rPr>
                    <w:rFonts w:ascii="Cambria Math" w:hAnsi="Cambria Math"/>
                  </w:rPr>
                </m:ctrlPr>
              </m:naryPr>
              <m:sub>
                <m:r>
                  <m:rPr>
                    <m:sty m:val="p"/>
                  </m:rPr>
                  <w:rPr>
                    <w:rFonts w:ascii="Cambria Math" w:hAnsi="Cambria Math"/>
                  </w:rPr>
                  <m:t>j</m:t>
                </m:r>
              </m:sub>
              <m:sup/>
              <m:e>
                <m:sSub>
                  <m:sSubPr>
                    <m:ctrlPr>
                      <w:rPr>
                        <w:rFonts w:ascii="Cambria Math" w:hAnsi="Cambria Math"/>
                      </w:rPr>
                    </m:ctrlPr>
                  </m:sSubPr>
                  <m:e>
                    <m:r>
                      <w:rPr>
                        <w:rFonts w:ascii="Cambria Math" w:hAnsi="Cambria Math"/>
                      </w:rPr>
                      <m:t>y</m:t>
                    </m:r>
                  </m:e>
                  <m:sub>
                    <m:r>
                      <m:rPr>
                        <m:sty m:val="p"/>
                      </m:rPr>
                      <w:rPr>
                        <w:rFonts w:ascii="Cambria Math" w:hAnsi="Cambria Math"/>
                      </w:rPr>
                      <m:t>j</m:t>
                    </m:r>
                  </m:sub>
                </m:sSub>
                <m:sSub>
                  <m:sSubPr>
                    <m:ctrlPr>
                      <w:rPr>
                        <w:rFonts w:ascii="Cambria Math" w:hAnsi="Cambria Math"/>
                      </w:rPr>
                    </m:ctrlPr>
                  </m:sSubPr>
                  <m:e>
                    <m:r>
                      <w:rPr>
                        <w:rFonts w:ascii="Cambria Math" w:hAnsi="Cambria Math"/>
                      </w:rPr>
                      <m:t>K</m:t>
                    </m:r>
                  </m:e>
                  <m:sub>
                    <m:r>
                      <m:rPr>
                        <m:sty m:val="p"/>
                      </m:rPr>
                      <w:rPr>
                        <w:rFonts w:ascii="Cambria Math" w:hAnsi="Cambria Math"/>
                      </w:rPr>
                      <m:t>y,ij</m:t>
                    </m:r>
                  </m:sub>
                </m:sSub>
              </m:e>
            </m:nary>
          </m:num>
          <m:den>
            <m:nary>
              <m:naryPr>
                <m:chr m:val="∑"/>
                <m:limLoc m:val="undOvr"/>
                <m:supHide m:val="1"/>
                <m:ctrlPr>
                  <w:rPr>
                    <w:rFonts w:ascii="Cambria Math" w:hAnsi="Cambria Math"/>
                  </w:rPr>
                </m:ctrlPr>
              </m:naryPr>
              <m:sub>
                <m:r>
                  <m:rPr>
                    <m:sty m:val="p"/>
                  </m:rPr>
                  <w:rPr>
                    <w:rFonts w:ascii="Cambria Math" w:hAnsi="Cambria Math"/>
                  </w:rPr>
                  <m:t>j</m:t>
                </m:r>
              </m:sub>
              <m:sup/>
              <m:e>
                <m:sSub>
                  <m:sSubPr>
                    <m:ctrlPr>
                      <w:rPr>
                        <w:rFonts w:ascii="Cambria Math" w:hAnsi="Cambria Math"/>
                      </w:rPr>
                    </m:ctrlPr>
                  </m:sSubPr>
                  <m:e>
                    <m:r>
                      <w:rPr>
                        <w:rFonts w:ascii="Cambria Math" w:hAnsi="Cambria Math"/>
                      </w:rPr>
                      <m:t>K</m:t>
                    </m:r>
                  </m:e>
                  <m:sub>
                    <m:r>
                      <m:rPr>
                        <m:sty m:val="p"/>
                      </m:rPr>
                      <w:rPr>
                        <w:rFonts w:ascii="Cambria Math" w:hAnsi="Cambria Math"/>
                      </w:rPr>
                      <m:t>y,ij</m:t>
                    </m:r>
                  </m:sub>
                </m:sSub>
              </m:e>
            </m:nary>
          </m:den>
        </m:f>
      </m:oMath>
      <w:r w:rsidR="00773100" w:rsidRPr="00870D59">
        <w:tab/>
        <w:t>(</w:t>
      </w:r>
      <w:r w:rsidR="00773100">
        <w:t>B</w:t>
      </w:r>
      <w:r w:rsidR="00773100" w:rsidRPr="00870D59">
        <w:t>.</w:t>
      </w:r>
      <w:r w:rsidR="00773100">
        <w:t>1</w:t>
      </w:r>
      <w:r w:rsidR="00773100" w:rsidRPr="00870D59">
        <w:t>)</w:t>
      </w:r>
    </w:p>
    <w:p w14:paraId="08D22D4A" w14:textId="5E7C631E" w:rsidR="00773100" w:rsidRPr="001B2671" w:rsidRDefault="00675EBA" w:rsidP="00301F2A">
      <w:pPr>
        <w:pStyle w:val="Text"/>
      </w:pPr>
      <w:r>
        <w:t>where</w:t>
      </w:r>
    </w:p>
    <w:tbl>
      <w:tblPr>
        <w:tblW w:w="0" w:type="auto"/>
        <w:tblInd w:w="346" w:type="dxa"/>
        <w:tblLook w:val="04A0" w:firstRow="1" w:lastRow="0" w:firstColumn="1" w:lastColumn="0" w:noHBand="0" w:noVBand="1"/>
      </w:tblPr>
      <w:tblGrid>
        <w:gridCol w:w="1275"/>
        <w:gridCol w:w="7938"/>
      </w:tblGrid>
      <w:tr w:rsidR="00773100" w:rsidRPr="000F2AFF" w14:paraId="5141DCB4" w14:textId="77777777" w:rsidTr="00BD628C">
        <w:tc>
          <w:tcPr>
            <w:tcW w:w="1275" w:type="dxa"/>
          </w:tcPr>
          <w:p w14:paraId="02202037" w14:textId="7A225ACC" w:rsidR="00773100" w:rsidRPr="00736D6A" w:rsidRDefault="00773100" w:rsidP="002061E5">
            <w:pPr>
              <w:spacing w:after="60"/>
              <w:jc w:val="left"/>
              <w:rPr>
                <w:rFonts w:eastAsia="Times New Roman" w:cs="Cambria"/>
                <w:color w:val="000000" w:themeColor="text1"/>
                <w:szCs w:val="20"/>
                <w:lang w:eastAsia="fr-FR"/>
              </w:rPr>
            </w:pPr>
            <w:r w:rsidRPr="007E6F67">
              <w:rPr>
                <w:i/>
              </w:rPr>
              <w:t>x</w:t>
            </w:r>
            <w:r w:rsidRPr="00FD17CF">
              <w:rPr>
                <w:vertAlign w:val="subscript"/>
              </w:rPr>
              <w:t>Ci</w:t>
            </w:r>
            <w:r w:rsidRPr="00FD17CF">
              <w:t xml:space="preserve"> and </w:t>
            </w:r>
            <w:r w:rsidRPr="00FD17CF">
              <w:rPr>
                <w:i/>
              </w:rPr>
              <w:t>y</w:t>
            </w:r>
            <w:r w:rsidRPr="00E05E29">
              <w:rPr>
                <w:vertAlign w:val="subscript"/>
              </w:rPr>
              <w:t>Ci</w:t>
            </w:r>
          </w:p>
        </w:tc>
        <w:tc>
          <w:tcPr>
            <w:tcW w:w="7938" w:type="dxa"/>
          </w:tcPr>
          <w:p w14:paraId="25809787" w14:textId="7CAE3019" w:rsidR="00773100" w:rsidRPr="00DF3AF1" w:rsidRDefault="00773100" w:rsidP="002061E5">
            <w:pPr>
              <w:pStyle w:val="Listofsymbols"/>
              <w:tabs>
                <w:tab w:val="clear" w:pos="1134"/>
                <w:tab w:val="left" w:pos="1347"/>
              </w:tabs>
              <w:ind w:left="0" w:firstLine="0"/>
              <w:rPr>
                <w:rFonts w:eastAsia="Times New Roman"/>
              </w:rPr>
            </w:pPr>
            <w:r w:rsidRPr="00132C1E">
              <w:rPr>
                <w:lang w:eastAsia="en-US"/>
              </w:rPr>
              <w:t xml:space="preserve">are the coordinates of the </w:t>
            </w:r>
            <w:r w:rsidRPr="00132C1E">
              <w:t xml:space="preserve">stiffness </w:t>
            </w:r>
            <w:r w:rsidRPr="00132C1E">
              <w:rPr>
                <w:lang w:eastAsia="en-US"/>
              </w:rPr>
              <w:t xml:space="preserve">centre in orthogonal horizontal axis </w:t>
            </w:r>
            <w:r w:rsidRPr="00132C1E">
              <w:rPr>
                <w:i/>
                <w:lang w:eastAsia="en-US"/>
              </w:rPr>
              <w:t>x</w:t>
            </w:r>
            <w:r w:rsidRPr="00132C1E">
              <w:rPr>
                <w:lang w:eastAsia="en-US"/>
              </w:rPr>
              <w:t xml:space="preserve"> and </w:t>
            </w:r>
            <w:r w:rsidRPr="00132C1E">
              <w:rPr>
                <w:i/>
                <w:lang w:eastAsia="en-US"/>
              </w:rPr>
              <w:t>y</w:t>
            </w:r>
            <w:r w:rsidRPr="00132C1E">
              <w:rPr>
                <w:lang w:eastAsia="en-US"/>
              </w:rPr>
              <w:t>;</w:t>
            </w:r>
          </w:p>
        </w:tc>
      </w:tr>
      <w:tr w:rsidR="00773100" w:rsidRPr="000F2AFF" w14:paraId="749B40DE" w14:textId="77777777" w:rsidTr="00BD628C">
        <w:tc>
          <w:tcPr>
            <w:tcW w:w="1275" w:type="dxa"/>
          </w:tcPr>
          <w:p w14:paraId="2F78B3A4" w14:textId="2E86C04C" w:rsidR="00773100" w:rsidRPr="00736D6A" w:rsidRDefault="00773100" w:rsidP="002061E5">
            <w:pPr>
              <w:spacing w:after="60"/>
              <w:jc w:val="left"/>
              <w:rPr>
                <w:rFonts w:eastAsia="Times New Roman" w:cs="Cambria"/>
                <w:color w:val="000000" w:themeColor="text1"/>
                <w:szCs w:val="20"/>
                <w:lang w:eastAsia="fr-FR"/>
              </w:rPr>
            </w:pPr>
            <w:r w:rsidRPr="00132C1E">
              <w:rPr>
                <w:i/>
              </w:rPr>
              <w:lastRenderedPageBreak/>
              <w:t>x</w:t>
            </w:r>
            <w:r w:rsidRPr="00132C1E">
              <w:rPr>
                <w:vertAlign w:val="subscript"/>
              </w:rPr>
              <w:t>j</w:t>
            </w:r>
            <w:r w:rsidRPr="00132C1E">
              <w:t xml:space="preserve"> and </w:t>
            </w:r>
            <w:r w:rsidRPr="00132C1E">
              <w:rPr>
                <w:i/>
              </w:rPr>
              <w:t>y</w:t>
            </w:r>
            <w:r w:rsidRPr="00132C1E">
              <w:rPr>
                <w:vertAlign w:val="subscript"/>
              </w:rPr>
              <w:t>j</w:t>
            </w:r>
          </w:p>
        </w:tc>
        <w:tc>
          <w:tcPr>
            <w:tcW w:w="7938" w:type="dxa"/>
          </w:tcPr>
          <w:p w14:paraId="44907312" w14:textId="046C1C4D" w:rsidR="00773100" w:rsidRPr="00DF3AF1" w:rsidRDefault="00773100" w:rsidP="002061E5">
            <w:pPr>
              <w:pStyle w:val="Listofsymbols"/>
              <w:tabs>
                <w:tab w:val="clear" w:pos="1134"/>
                <w:tab w:val="left" w:pos="1347"/>
              </w:tabs>
              <w:ind w:left="0" w:firstLine="0"/>
              <w:rPr>
                <w:rFonts w:eastAsia="Times New Roman"/>
              </w:rPr>
            </w:pPr>
            <w:r w:rsidRPr="00132C1E">
              <w:rPr>
                <w:lang w:eastAsia="en-US"/>
              </w:rPr>
              <w:t xml:space="preserve">are the coordinates of bracing element </w:t>
            </w:r>
            <w:r w:rsidRPr="00132C1E">
              <w:rPr>
                <w:i/>
                <w:iCs/>
                <w:lang w:eastAsia="en-US"/>
              </w:rPr>
              <w:t>j</w:t>
            </w:r>
            <w:r w:rsidRPr="00132C1E">
              <w:rPr>
                <w:lang w:eastAsia="en-US"/>
              </w:rPr>
              <w:t xml:space="preserve"> of the floor under consideration;</w:t>
            </w:r>
          </w:p>
        </w:tc>
      </w:tr>
      <w:tr w:rsidR="00773100" w:rsidRPr="000F2AFF" w14:paraId="5B659C6A" w14:textId="77777777" w:rsidTr="00BD628C">
        <w:tc>
          <w:tcPr>
            <w:tcW w:w="1275" w:type="dxa"/>
          </w:tcPr>
          <w:p w14:paraId="0CAE224A" w14:textId="0E66BE8C" w:rsidR="00773100" w:rsidRPr="00736D6A" w:rsidRDefault="00773100" w:rsidP="002061E5">
            <w:pPr>
              <w:spacing w:after="60"/>
              <w:jc w:val="left"/>
              <w:rPr>
                <w:rFonts w:eastAsia="Times New Roman" w:cs="Cambria"/>
                <w:color w:val="000000" w:themeColor="text1"/>
                <w:szCs w:val="20"/>
                <w:lang w:eastAsia="fr-FR"/>
              </w:rPr>
            </w:pPr>
            <w:r w:rsidRPr="00132C1E">
              <w:rPr>
                <w:i/>
              </w:rPr>
              <w:t>K</w:t>
            </w:r>
            <w:r w:rsidRPr="00132C1E">
              <w:rPr>
                <w:vertAlign w:val="subscript"/>
              </w:rPr>
              <w:t>x,ij</w:t>
            </w:r>
          </w:p>
        </w:tc>
        <w:tc>
          <w:tcPr>
            <w:tcW w:w="7938" w:type="dxa"/>
          </w:tcPr>
          <w:p w14:paraId="0F661CA5" w14:textId="68573C7F" w:rsidR="00773100" w:rsidRPr="00DF3AF1" w:rsidRDefault="00773100" w:rsidP="002061E5">
            <w:pPr>
              <w:pStyle w:val="Listofsymbols"/>
              <w:tabs>
                <w:tab w:val="clear" w:pos="1134"/>
                <w:tab w:val="left" w:pos="1347"/>
              </w:tabs>
              <w:ind w:left="0" w:firstLine="0"/>
              <w:rPr>
                <w:rFonts w:eastAsia="Times New Roman"/>
              </w:rPr>
            </w:pPr>
            <w:r w:rsidRPr="00132C1E">
              <w:rPr>
                <w:lang w:eastAsia="en-US"/>
              </w:rPr>
              <w:t xml:space="preserve">is the lateral stiffness in the </w:t>
            </w:r>
            <w:r w:rsidRPr="00132C1E">
              <w:rPr>
                <w:i/>
                <w:lang w:eastAsia="en-US"/>
              </w:rPr>
              <w:t>x</w:t>
            </w:r>
            <w:r w:rsidRPr="00132C1E">
              <w:rPr>
                <w:lang w:eastAsia="en-US"/>
              </w:rPr>
              <w:t xml:space="preserve"> direction of </w:t>
            </w:r>
            <w:r w:rsidRPr="00132C1E">
              <w:t>primary bracing</w:t>
            </w:r>
            <w:r w:rsidRPr="00132C1E">
              <w:rPr>
                <w:lang w:eastAsia="en-US"/>
              </w:rPr>
              <w:t xml:space="preserve"> </w:t>
            </w:r>
            <w:r w:rsidRPr="00132C1E">
              <w:rPr>
                <w:i/>
                <w:lang w:eastAsia="en-US"/>
              </w:rPr>
              <w:t>j</w:t>
            </w:r>
            <w:r w:rsidRPr="00132C1E">
              <w:rPr>
                <w:lang w:eastAsia="en-US"/>
              </w:rPr>
              <w:t xml:space="preserve"> in the storey below floor </w:t>
            </w:r>
            <w:r w:rsidRPr="00132C1E">
              <w:rPr>
                <w:i/>
                <w:lang w:eastAsia="en-US"/>
              </w:rPr>
              <w:t>i</w:t>
            </w:r>
            <w:r w:rsidRPr="00132C1E">
              <w:rPr>
                <w:lang w:eastAsia="en-US"/>
              </w:rPr>
              <w:t>, as given in (2);</w:t>
            </w:r>
          </w:p>
        </w:tc>
      </w:tr>
      <w:tr w:rsidR="00773100" w:rsidRPr="000F2AFF" w14:paraId="3146438A" w14:textId="77777777" w:rsidTr="00BD628C">
        <w:tc>
          <w:tcPr>
            <w:tcW w:w="1275" w:type="dxa"/>
          </w:tcPr>
          <w:p w14:paraId="66BCBAE2" w14:textId="485202F9" w:rsidR="00773100" w:rsidRPr="00736D6A" w:rsidRDefault="00773100" w:rsidP="002061E5">
            <w:pPr>
              <w:spacing w:after="60"/>
              <w:jc w:val="left"/>
              <w:rPr>
                <w:rFonts w:eastAsia="Times New Roman" w:cs="Cambria"/>
                <w:color w:val="000000" w:themeColor="text1"/>
                <w:szCs w:val="20"/>
                <w:lang w:eastAsia="fr-FR"/>
              </w:rPr>
            </w:pPr>
            <w:r w:rsidRPr="00132C1E">
              <w:rPr>
                <w:i/>
              </w:rPr>
              <w:t>K</w:t>
            </w:r>
            <w:r>
              <w:rPr>
                <w:vertAlign w:val="subscript"/>
              </w:rPr>
              <w:t>y</w:t>
            </w:r>
            <w:r w:rsidRPr="00132C1E">
              <w:rPr>
                <w:vertAlign w:val="subscript"/>
              </w:rPr>
              <w:t>,ij</w:t>
            </w:r>
          </w:p>
        </w:tc>
        <w:tc>
          <w:tcPr>
            <w:tcW w:w="7938" w:type="dxa"/>
          </w:tcPr>
          <w:p w14:paraId="715A539B" w14:textId="239B48EB" w:rsidR="00773100" w:rsidRPr="00FA3E2C" w:rsidRDefault="00773100" w:rsidP="002061E5">
            <w:pPr>
              <w:pStyle w:val="Listofsymbols"/>
              <w:tabs>
                <w:tab w:val="clear" w:pos="1134"/>
                <w:tab w:val="left" w:pos="1347"/>
              </w:tabs>
              <w:ind w:left="0" w:firstLine="0"/>
              <w:rPr>
                <w:rFonts w:eastAsia="Times New Roman"/>
              </w:rPr>
            </w:pPr>
            <w:r w:rsidRPr="00132C1E">
              <w:rPr>
                <w:lang w:eastAsia="en-US"/>
              </w:rPr>
              <w:t xml:space="preserve">is defined similarly to </w:t>
            </w:r>
            <w:r w:rsidRPr="00132C1E">
              <w:rPr>
                <w:i/>
                <w:lang w:eastAsia="en-US"/>
              </w:rPr>
              <w:t>K</w:t>
            </w:r>
            <w:r w:rsidRPr="00132C1E">
              <w:rPr>
                <w:vertAlign w:val="subscript"/>
                <w:lang w:eastAsia="en-US"/>
              </w:rPr>
              <w:t>x,ij</w:t>
            </w:r>
            <w:r w:rsidRPr="00132C1E">
              <w:rPr>
                <w:lang w:eastAsia="en-US"/>
              </w:rPr>
              <w:t xml:space="preserve">, but in the </w:t>
            </w:r>
            <w:r w:rsidRPr="00132C1E">
              <w:rPr>
                <w:i/>
                <w:lang w:eastAsia="en-US"/>
              </w:rPr>
              <w:t>y</w:t>
            </w:r>
            <w:r w:rsidRPr="00132C1E">
              <w:rPr>
                <w:lang w:eastAsia="en-US"/>
              </w:rPr>
              <w:t xml:space="preserve"> direction.</w:t>
            </w:r>
          </w:p>
        </w:tc>
      </w:tr>
    </w:tbl>
    <w:p w14:paraId="06E44950" w14:textId="58869EF8" w:rsidR="00773100" w:rsidRPr="00132C1E" w:rsidRDefault="009A2522" w:rsidP="009A2522">
      <w:pPr>
        <w:pStyle w:val="FigureImage"/>
        <w:rPr>
          <w:noProof/>
        </w:rPr>
      </w:pPr>
      <w:r>
        <w:rPr>
          <w:noProof/>
        </w:rPr>
        <w:drawing>
          <wp:inline distT="0" distB="0" distL="0" distR="0" wp14:anchorId="3F8D6609" wp14:editId="672FBAB9">
            <wp:extent cx="5399541" cy="1767843"/>
            <wp:effectExtent l="0" t="0" r="0" b="3810"/>
            <wp:docPr id="2081949449" name="b001.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1949449" name="b001.tiff"/>
                    <pic:cNvPicPr/>
                  </pic:nvPicPr>
                  <pic:blipFill>
                    <a:blip r:link="rId86"/>
                    <a:stretch>
                      <a:fillRect/>
                    </a:stretch>
                  </pic:blipFill>
                  <pic:spPr>
                    <a:xfrm>
                      <a:off x="0" y="0"/>
                      <a:ext cx="5399541" cy="1767843"/>
                    </a:xfrm>
                    <a:prstGeom prst="rect">
                      <a:avLst/>
                    </a:prstGeom>
                  </pic:spPr>
                </pic:pic>
              </a:graphicData>
            </a:graphic>
          </wp:inline>
        </w:drawing>
      </w:r>
    </w:p>
    <w:p w14:paraId="7EDD4785" w14:textId="09945E40" w:rsidR="00773100" w:rsidRPr="00FD17CF" w:rsidRDefault="00773100" w:rsidP="00773100">
      <w:pPr>
        <w:pStyle w:val="Figuretitle"/>
        <w:rPr>
          <w:lang w:eastAsia="en-US"/>
        </w:rPr>
      </w:pPr>
      <w:r w:rsidRPr="00D1484A">
        <w:rPr>
          <w:lang w:eastAsia="en-US"/>
        </w:rPr>
        <w:t>Figure B</w:t>
      </w:r>
      <w:r w:rsidR="009A2522">
        <w:rPr>
          <w:lang w:eastAsia="en-US"/>
        </w:rPr>
        <w:t>.</w:t>
      </w:r>
      <w:r w:rsidRPr="00D1484A">
        <w:rPr>
          <w:lang w:eastAsia="en-US"/>
        </w:rPr>
        <w:t>1</w:t>
      </w:r>
      <w:r w:rsidRPr="00D1484A">
        <w:t> </w:t>
      </w:r>
      <w:r w:rsidRPr="007E6F67">
        <w:rPr>
          <w:rFonts w:ascii="`ÃÍœ˛" w:eastAsia="Cambria" w:hAnsi="`ÃÍœ˛" w:cs="`ÃÍœ˛"/>
          <w:szCs w:val="22"/>
          <w:lang w:eastAsia="de-DE"/>
        </w:rPr>
        <w:t>—</w:t>
      </w:r>
      <w:r w:rsidRPr="007E6F67">
        <w:rPr>
          <w:lang w:eastAsia="en-US"/>
        </w:rPr>
        <w:t xml:space="preserve"> Buildings with a uniform type of lateral load resisting system</w:t>
      </w:r>
      <w:r w:rsidR="009A2522">
        <w:rPr>
          <w:lang w:eastAsia="en-US"/>
        </w:rPr>
        <w:t>:</w:t>
      </w:r>
      <w:r w:rsidRPr="007E6F67">
        <w:rPr>
          <w:lang w:eastAsia="en-US"/>
        </w:rPr>
        <w:t xml:space="preserve"> (a) with columns</w:t>
      </w:r>
      <w:r w:rsidR="009A2522">
        <w:rPr>
          <w:lang w:eastAsia="en-US"/>
        </w:rPr>
        <w:t>;</w:t>
      </w:r>
      <w:r w:rsidRPr="007E6F67">
        <w:rPr>
          <w:lang w:eastAsia="en-US"/>
        </w:rPr>
        <w:t xml:space="preserve"> (b) with walls and box walls</w:t>
      </w:r>
    </w:p>
    <w:p w14:paraId="0A0DAD46" w14:textId="1BF06DA8" w:rsidR="00773100" w:rsidRPr="00196951" w:rsidRDefault="00773100" w:rsidP="00724E4E">
      <w:pPr>
        <w:pStyle w:val="Clause"/>
      </w:pPr>
      <w:r w:rsidRPr="00E05E29">
        <w:t>For a primary structure composed of columns (Figure B</w:t>
      </w:r>
      <w:r w:rsidR="009A2522">
        <w:t>.</w:t>
      </w:r>
      <w:r w:rsidRPr="00E05E29">
        <w:t xml:space="preserve">1(a)), the lateral stiffness </w:t>
      </w:r>
      <w:r w:rsidRPr="00E05E29">
        <w:rPr>
          <w:i/>
        </w:rPr>
        <w:t>K</w:t>
      </w:r>
      <w:r w:rsidRPr="00E05E29">
        <w:rPr>
          <w:vertAlign w:val="subscript"/>
        </w:rPr>
        <w:t>x,ij</w:t>
      </w:r>
      <w:r w:rsidRPr="00196951">
        <w:t xml:space="preserve"> in the x direction may be taken as given by Formula (B.2).</w:t>
      </w:r>
    </w:p>
    <w:p w14:paraId="3B78FE59" w14:textId="7FF17382" w:rsidR="00773100" w:rsidRDefault="009B5CEC" w:rsidP="00773100">
      <w:pPr>
        <w:pStyle w:val="Formula"/>
        <w:spacing w:before="240"/>
      </w:pPr>
      <m:oMath>
        <m:sSub>
          <m:sSubPr>
            <m:ctrlPr>
              <w:rPr>
                <w:rFonts w:ascii="Cambria Math" w:hAnsi="Cambria Math"/>
              </w:rPr>
            </m:ctrlPr>
          </m:sSubPr>
          <m:e>
            <m:r>
              <w:rPr>
                <w:rFonts w:ascii="Cambria Math" w:hAnsi="Cambria Math"/>
              </w:rPr>
              <m:t>K</m:t>
            </m:r>
          </m:e>
          <m:sub>
            <m:r>
              <m:rPr>
                <m:sty m:val="p"/>
              </m:rPr>
              <w:rPr>
                <w:rFonts w:ascii="Cambria Math" w:hAnsi="Cambria Math"/>
              </w:rPr>
              <m:t>x,ij</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EI</m:t>
                </m:r>
              </m:e>
              <m:sub>
                <m:r>
                  <m:rPr>
                    <m:sty m:val="p"/>
                  </m:rPr>
                  <w:rPr>
                    <w:rFonts w:ascii="Cambria Math" w:hAnsi="Cambria Math"/>
                  </w:rPr>
                  <m:t>x,j</m:t>
                </m:r>
              </m:sub>
            </m:sSub>
          </m:num>
          <m:den>
            <m:sSup>
              <m:sSupPr>
                <m:ctrlPr>
                  <w:rPr>
                    <w:rFonts w:ascii="Cambria Math" w:hAnsi="Cambria Math"/>
                  </w:rPr>
                </m:ctrlPr>
              </m:sSupPr>
              <m:e>
                <m:sSub>
                  <m:sSubPr>
                    <m:ctrlPr>
                      <w:rPr>
                        <w:rFonts w:ascii="Cambria Math" w:hAnsi="Cambria Math"/>
                      </w:rPr>
                    </m:ctrlPr>
                  </m:sSubPr>
                  <m:e>
                    <m:r>
                      <w:rPr>
                        <w:rFonts w:ascii="Cambria Math" w:hAnsi="Cambria Math"/>
                      </w:rPr>
                      <m:t>h</m:t>
                    </m:r>
                  </m:e>
                  <m:sub>
                    <m:r>
                      <m:rPr>
                        <m:sty m:val="p"/>
                      </m:rPr>
                      <w:rPr>
                        <w:rFonts w:ascii="Cambria Math" w:hAnsi="Cambria Math"/>
                      </w:rPr>
                      <m:t>i</m:t>
                    </m:r>
                  </m:sub>
                </m:sSub>
              </m:e>
              <m:sup>
                <m:r>
                  <w:rPr>
                    <w:rFonts w:ascii="Cambria Math" w:hAnsi="Cambria Math"/>
                  </w:rPr>
                  <m:t>3</m:t>
                </m:r>
              </m:sup>
            </m:sSup>
          </m:den>
        </m:f>
      </m:oMath>
      <w:r w:rsidR="00773100" w:rsidRPr="00870D59">
        <w:tab/>
        <w:t>(</w:t>
      </w:r>
      <w:r w:rsidR="00773100">
        <w:t>B</w:t>
      </w:r>
      <w:r w:rsidR="00773100" w:rsidRPr="00870D59">
        <w:t>.</w:t>
      </w:r>
      <w:r w:rsidR="00E204C1">
        <w:t>2</w:t>
      </w:r>
      <w:r w:rsidR="00773100" w:rsidRPr="00870D59">
        <w:t>)</w:t>
      </w:r>
    </w:p>
    <w:p w14:paraId="2BC2696F" w14:textId="692C4A74" w:rsidR="00773100" w:rsidRPr="001B2671" w:rsidRDefault="00675EBA" w:rsidP="00301F2A">
      <w:pPr>
        <w:pStyle w:val="Text"/>
      </w:pPr>
      <w:r>
        <w:t>where</w:t>
      </w:r>
    </w:p>
    <w:tbl>
      <w:tblPr>
        <w:tblW w:w="0" w:type="auto"/>
        <w:tblInd w:w="346" w:type="dxa"/>
        <w:tblLook w:val="04A0" w:firstRow="1" w:lastRow="0" w:firstColumn="1" w:lastColumn="0" w:noHBand="0" w:noVBand="1"/>
      </w:tblPr>
      <w:tblGrid>
        <w:gridCol w:w="1275"/>
        <w:gridCol w:w="7938"/>
      </w:tblGrid>
      <w:tr w:rsidR="00773100" w:rsidRPr="000F2AFF" w14:paraId="62E2A7FD" w14:textId="77777777" w:rsidTr="00BD628C">
        <w:tc>
          <w:tcPr>
            <w:tcW w:w="1275" w:type="dxa"/>
          </w:tcPr>
          <w:p w14:paraId="5C539DA4" w14:textId="26485224" w:rsidR="00773100" w:rsidRPr="00773100" w:rsidRDefault="009B5CEC" w:rsidP="002061E5">
            <w:pPr>
              <w:spacing w:after="60"/>
              <w:jc w:val="left"/>
              <w:rPr>
                <w:rFonts w:eastAsia="Times New Roman" w:cs="Cambria"/>
                <w:color w:val="000000" w:themeColor="text1"/>
                <w:szCs w:val="20"/>
                <w:lang w:eastAsia="fr-FR"/>
              </w:rPr>
            </w:pPr>
            <m:oMathPara>
              <m:oMathParaPr>
                <m:jc m:val="left"/>
              </m:oMathParaPr>
              <m:oMath>
                <m:sSub>
                  <m:sSubPr>
                    <m:ctrlPr>
                      <w:rPr>
                        <w:rFonts w:ascii="Cambria Math" w:hAnsi="Cambria Math"/>
                      </w:rPr>
                    </m:ctrlPr>
                  </m:sSubPr>
                  <m:e>
                    <m:r>
                      <w:rPr>
                        <w:rFonts w:ascii="Cambria Math" w:hAnsi="Cambria Math"/>
                      </w:rPr>
                      <m:t>EI</m:t>
                    </m:r>
                  </m:e>
                  <m:sub>
                    <m:r>
                      <m:rPr>
                        <m:sty m:val="p"/>
                      </m:rPr>
                      <w:rPr>
                        <w:rFonts w:ascii="Cambria Math" w:hAnsi="Cambria Math"/>
                      </w:rPr>
                      <m:t>x,j</m:t>
                    </m:r>
                  </m:sub>
                </m:sSub>
              </m:oMath>
            </m:oMathPara>
          </w:p>
        </w:tc>
        <w:tc>
          <w:tcPr>
            <w:tcW w:w="7938" w:type="dxa"/>
          </w:tcPr>
          <w:p w14:paraId="0ED38003" w14:textId="1AF2E6A1" w:rsidR="00773100" w:rsidRPr="00DF3AF1" w:rsidRDefault="00773100" w:rsidP="002061E5">
            <w:pPr>
              <w:pStyle w:val="Listofsymbols"/>
              <w:tabs>
                <w:tab w:val="clear" w:pos="1134"/>
                <w:tab w:val="left" w:pos="1347"/>
              </w:tabs>
              <w:ind w:left="0" w:firstLine="0"/>
              <w:rPr>
                <w:rFonts w:eastAsia="Times New Roman"/>
              </w:rPr>
            </w:pPr>
            <w:r w:rsidRPr="00132C1E">
              <w:t>is the flexural stiffness of the column</w:t>
            </w:r>
            <w:r w:rsidRPr="00D1484A">
              <w:t xml:space="preserve"> </w:t>
            </w:r>
            <w:r w:rsidRPr="00D1484A">
              <w:rPr>
                <w:i/>
              </w:rPr>
              <w:t>j</w:t>
            </w:r>
            <w:r w:rsidRPr="007E6F67">
              <w:t xml:space="preserve"> in the storey below floor </w:t>
            </w:r>
            <w:r w:rsidRPr="007E6F67">
              <w:rPr>
                <w:i/>
              </w:rPr>
              <w:t>i</w:t>
            </w:r>
            <w:r w:rsidRPr="00FD17CF">
              <w:t xml:space="preserve"> in the direction x;</w:t>
            </w:r>
          </w:p>
        </w:tc>
      </w:tr>
      <w:tr w:rsidR="00773100" w:rsidRPr="000F2AFF" w14:paraId="2AE8B849" w14:textId="77777777" w:rsidTr="00BD628C">
        <w:tc>
          <w:tcPr>
            <w:tcW w:w="1275" w:type="dxa"/>
          </w:tcPr>
          <w:p w14:paraId="2C5377E4" w14:textId="321A748E" w:rsidR="00773100" w:rsidRPr="00773100" w:rsidRDefault="009B5CEC" w:rsidP="002061E5">
            <w:pPr>
              <w:spacing w:after="60"/>
              <w:jc w:val="left"/>
              <w:rPr>
                <w:rFonts w:eastAsia="Times New Roman" w:cs="Cambria"/>
                <w:color w:val="000000" w:themeColor="text1"/>
                <w:szCs w:val="20"/>
                <w:lang w:eastAsia="fr-FR"/>
              </w:rPr>
            </w:pPr>
            <m:oMathPara>
              <m:oMathParaPr>
                <m:jc m:val="left"/>
              </m:oMathParaPr>
              <m:oMath>
                <m:sSub>
                  <m:sSubPr>
                    <m:ctrlPr>
                      <w:rPr>
                        <w:rFonts w:ascii="Cambria Math" w:hAnsi="Cambria Math"/>
                      </w:rPr>
                    </m:ctrlPr>
                  </m:sSubPr>
                  <m:e>
                    <m:r>
                      <w:rPr>
                        <w:rFonts w:ascii="Cambria Math" w:hAnsi="Cambria Math"/>
                      </w:rPr>
                      <m:t>h</m:t>
                    </m:r>
                  </m:e>
                  <m:sub>
                    <m:r>
                      <m:rPr>
                        <m:sty m:val="p"/>
                      </m:rPr>
                      <w:rPr>
                        <w:rFonts w:ascii="Cambria Math" w:hAnsi="Cambria Math"/>
                      </w:rPr>
                      <m:t>i</m:t>
                    </m:r>
                  </m:sub>
                </m:sSub>
              </m:oMath>
            </m:oMathPara>
          </w:p>
        </w:tc>
        <w:tc>
          <w:tcPr>
            <w:tcW w:w="7938" w:type="dxa"/>
          </w:tcPr>
          <w:p w14:paraId="192B3DA6" w14:textId="52B89F52" w:rsidR="00773100" w:rsidRPr="00DF3AF1" w:rsidRDefault="00E204C1" w:rsidP="002061E5">
            <w:pPr>
              <w:pStyle w:val="Listofsymbols"/>
              <w:tabs>
                <w:tab w:val="clear" w:pos="1134"/>
                <w:tab w:val="left" w:pos="1347"/>
              </w:tabs>
              <w:ind w:left="0" w:firstLine="0"/>
              <w:rPr>
                <w:rFonts w:eastAsia="Times New Roman"/>
              </w:rPr>
            </w:pPr>
            <w:r w:rsidRPr="00132C1E">
              <w:t>is the free height of the column</w:t>
            </w:r>
            <w:r w:rsidRPr="00D1484A">
              <w:rPr>
                <w:i/>
              </w:rPr>
              <w:t xml:space="preserve"> j</w:t>
            </w:r>
            <w:r w:rsidRPr="00D1484A">
              <w:t xml:space="preserve"> in the storey below floor </w:t>
            </w:r>
            <w:r w:rsidRPr="007E6F67">
              <w:rPr>
                <w:i/>
              </w:rPr>
              <w:t>i</w:t>
            </w:r>
            <w:r w:rsidRPr="007E6F67">
              <w:t>.</w:t>
            </w:r>
          </w:p>
        </w:tc>
      </w:tr>
    </w:tbl>
    <w:p w14:paraId="4F791896" w14:textId="5405E6EB" w:rsidR="00CB6D5F" w:rsidRPr="002144A0" w:rsidRDefault="00CB6D5F" w:rsidP="00724E4E">
      <w:pPr>
        <w:pStyle w:val="Clause"/>
      </w:pPr>
      <w:r w:rsidRPr="00E05E29">
        <w:t>For a primary structure composed of walls and box walls (Figure B</w:t>
      </w:r>
      <w:r w:rsidR="009A2522">
        <w:t>.1</w:t>
      </w:r>
      <w:r w:rsidRPr="00E05E29">
        <w:t xml:space="preserve">(b)), the lateral stiffness </w:t>
      </w:r>
      <w:r w:rsidRPr="00E05E29">
        <w:rPr>
          <w:i/>
        </w:rPr>
        <w:t>K</w:t>
      </w:r>
      <w:r w:rsidRPr="00E05E29">
        <w:rPr>
          <w:vertAlign w:val="subscript"/>
        </w:rPr>
        <w:t>x,ij</w:t>
      </w:r>
      <w:r w:rsidRPr="00196951">
        <w:t xml:space="preserve"> in the </w:t>
      </w:r>
      <w:r w:rsidRPr="00196951">
        <w:rPr>
          <w:i/>
        </w:rPr>
        <w:t>x</w:t>
      </w:r>
      <w:r w:rsidRPr="002144A0">
        <w:t xml:space="preserve"> direction may be taken as given by Formula (B.3). For box walls, stiffnesses may be calculated considering the tubular inertia and area.</w:t>
      </w:r>
    </w:p>
    <w:p w14:paraId="6643ED6E" w14:textId="1B36D5F5" w:rsidR="00E204C1" w:rsidRDefault="009B5CEC" w:rsidP="00E204C1">
      <w:pPr>
        <w:pStyle w:val="Formula"/>
        <w:spacing w:before="240"/>
      </w:pPr>
      <m:oMath>
        <m:sSub>
          <m:sSubPr>
            <m:ctrlPr>
              <w:rPr>
                <w:rFonts w:ascii="Cambria Math" w:hAnsi="Cambria Math"/>
              </w:rPr>
            </m:ctrlPr>
          </m:sSubPr>
          <m:e>
            <m:r>
              <w:rPr>
                <w:rFonts w:ascii="Cambria Math" w:hAnsi="Cambria Math"/>
              </w:rPr>
              <m:t>K</m:t>
            </m:r>
          </m:e>
          <m:sub>
            <m:r>
              <m:rPr>
                <m:sty m:val="p"/>
              </m:rPr>
              <w:rPr>
                <w:rFonts w:ascii="Cambria Math" w:hAnsi="Cambria Math"/>
              </w:rPr>
              <m:t>x,ij</m:t>
            </m:r>
          </m:sub>
        </m:sSub>
        <m:r>
          <w:rPr>
            <w:rFonts w:ascii="Cambria Math" w:hAnsi="Cambria Math"/>
          </w:rPr>
          <m:t>=</m:t>
        </m:r>
        <m:sSup>
          <m:sSupPr>
            <m:ctrlPr>
              <w:rPr>
                <w:rFonts w:ascii="Cambria Math" w:hAnsi="Cambria Math"/>
                <w:sz w:val="20"/>
              </w:rPr>
            </m:ctrlPr>
          </m:sSupPr>
          <m:e>
            <m:d>
              <m:dPr>
                <m:begChr m:val="["/>
                <m:endChr m:val="]"/>
                <m:ctrlPr>
                  <w:rPr>
                    <w:rFonts w:ascii="Cambria Math" w:hAnsi="Cambria Math"/>
                    <w:sz w:val="20"/>
                  </w:rPr>
                </m:ctrlPr>
              </m:dPr>
              <m:e>
                <m:sSup>
                  <m:sSupPr>
                    <m:ctrlPr>
                      <w:rPr>
                        <w:rFonts w:ascii="Cambria Math" w:hAnsi="Cambria Math"/>
                        <w:sz w:val="20"/>
                      </w:rPr>
                    </m:ctrlPr>
                  </m:sSupPr>
                  <m:e>
                    <m:d>
                      <m:dPr>
                        <m:ctrlPr>
                          <w:rPr>
                            <w:rFonts w:ascii="Cambria Math" w:hAnsi="Cambria Math"/>
                            <w:sz w:val="20"/>
                          </w:rPr>
                        </m:ctrlPr>
                      </m:dPr>
                      <m:e>
                        <m:f>
                          <m:fPr>
                            <m:ctrlPr>
                              <w:rPr>
                                <w:rFonts w:ascii="Cambria Math" w:hAnsi="Cambria Math"/>
                              </w:rPr>
                            </m:ctrlPr>
                          </m:fPr>
                          <m:num>
                            <m:sSub>
                              <m:sSubPr>
                                <m:ctrlPr>
                                  <w:rPr>
                                    <w:rFonts w:ascii="Cambria Math" w:hAnsi="Cambria Math"/>
                                  </w:rPr>
                                </m:ctrlPr>
                              </m:sSubPr>
                              <m:e>
                                <m:r>
                                  <w:rPr>
                                    <w:rFonts w:ascii="Cambria Math" w:hAnsi="Cambria Math"/>
                                  </w:rPr>
                                  <m:t>EI</m:t>
                                </m:r>
                              </m:e>
                              <m:sub>
                                <m:r>
                                  <m:rPr>
                                    <m:sty m:val="p"/>
                                  </m:rPr>
                                  <w:rPr>
                                    <w:rFonts w:ascii="Cambria Math" w:hAnsi="Cambria Math"/>
                                  </w:rPr>
                                  <m:t>x,j</m:t>
                                </m:r>
                              </m:sub>
                            </m:sSub>
                          </m:num>
                          <m:den>
                            <m:sSup>
                              <m:sSupPr>
                                <m:ctrlPr>
                                  <w:rPr>
                                    <w:rFonts w:ascii="Cambria Math" w:hAnsi="Cambria Math"/>
                                  </w:rPr>
                                </m:ctrlPr>
                              </m:sSupPr>
                              <m:e>
                                <m:sSub>
                                  <m:sSubPr>
                                    <m:ctrlPr>
                                      <w:rPr>
                                        <w:rFonts w:ascii="Cambria Math" w:hAnsi="Cambria Math"/>
                                      </w:rPr>
                                    </m:ctrlPr>
                                  </m:sSubPr>
                                  <m:e>
                                    <m:r>
                                      <w:rPr>
                                        <w:rFonts w:ascii="Cambria Math" w:hAnsi="Cambria Math"/>
                                      </w:rPr>
                                      <m:t>h</m:t>
                                    </m:r>
                                  </m:e>
                                  <m:sub>
                                    <m:r>
                                      <m:rPr>
                                        <m:sty m:val="p"/>
                                      </m:rPr>
                                      <w:rPr>
                                        <w:rFonts w:ascii="Cambria Math" w:hAnsi="Cambria Math"/>
                                      </w:rPr>
                                      <m:t>i</m:t>
                                    </m:r>
                                  </m:sub>
                                </m:sSub>
                              </m:e>
                              <m:sup>
                                <m:r>
                                  <w:rPr>
                                    <w:rFonts w:ascii="Cambria Math" w:hAnsi="Cambria Math"/>
                                  </w:rPr>
                                  <m:t>3</m:t>
                                </m:r>
                              </m:sup>
                            </m:sSup>
                          </m:den>
                        </m:f>
                      </m:e>
                    </m:d>
                  </m:e>
                  <m:sup>
                    <m:r>
                      <w:rPr>
                        <w:rFonts w:ascii="Cambria Math" w:hAnsi="Cambria Math"/>
                      </w:rPr>
                      <m:t>-1</m:t>
                    </m:r>
                  </m:sup>
                </m:sSup>
                <m:r>
                  <w:rPr>
                    <w:rFonts w:ascii="Cambria Math" w:hAnsi="Cambria Math"/>
                  </w:rPr>
                  <m:t>+</m:t>
                </m:r>
                <m:sSup>
                  <m:sSupPr>
                    <m:ctrlPr>
                      <w:rPr>
                        <w:rFonts w:ascii="Cambria Math" w:hAnsi="Cambria Math"/>
                        <w:sz w:val="20"/>
                      </w:rPr>
                    </m:ctrlPr>
                  </m:sSupPr>
                  <m:e>
                    <m:d>
                      <m:dPr>
                        <m:ctrlPr>
                          <w:rPr>
                            <w:rFonts w:ascii="Cambria Math" w:hAnsi="Cambria Math"/>
                            <w:sz w:val="20"/>
                          </w:rPr>
                        </m:ctrlPr>
                      </m:dPr>
                      <m:e>
                        <m:f>
                          <m:fPr>
                            <m:ctrlPr>
                              <w:rPr>
                                <w:rFonts w:ascii="Cambria Math" w:hAnsi="Cambria Math"/>
                              </w:rPr>
                            </m:ctrlPr>
                          </m:fPr>
                          <m:num>
                            <m:r>
                              <w:rPr>
                                <w:rFonts w:ascii="Cambria Math" w:hAnsi="Cambria Math"/>
                              </w:rPr>
                              <m:t>5</m:t>
                            </m:r>
                          </m:num>
                          <m:den>
                            <m:r>
                              <w:rPr>
                                <w:rFonts w:ascii="Cambria Math" w:hAnsi="Cambria Math"/>
                              </w:rPr>
                              <m:t>12</m:t>
                            </m:r>
                          </m:den>
                        </m:f>
                        <m:f>
                          <m:fPr>
                            <m:ctrlPr>
                              <w:rPr>
                                <w:rFonts w:ascii="Cambria Math" w:hAnsi="Cambria Math"/>
                              </w:rPr>
                            </m:ctrlPr>
                          </m:fPr>
                          <m:num>
                            <m:r>
                              <w:rPr>
                                <w:rFonts w:ascii="Cambria Math" w:hAnsi="Cambria Math"/>
                              </w:rPr>
                              <m:t>E</m:t>
                            </m:r>
                            <m:sSub>
                              <m:sSubPr>
                                <m:ctrlPr>
                                  <w:rPr>
                                    <w:rFonts w:ascii="Cambria Math" w:hAnsi="Cambria Math"/>
                                  </w:rPr>
                                </m:ctrlPr>
                              </m:sSubPr>
                              <m:e>
                                <m:r>
                                  <w:rPr>
                                    <w:rFonts w:ascii="Cambria Math" w:hAnsi="Cambria Math"/>
                                  </w:rPr>
                                  <m:t>A</m:t>
                                </m:r>
                              </m:e>
                              <m:sub>
                                <m:r>
                                  <m:rPr>
                                    <m:sty m:val="p"/>
                                  </m:rPr>
                                  <w:rPr>
                                    <w:rFonts w:ascii="Cambria Math" w:hAnsi="Cambria Math"/>
                                  </w:rPr>
                                  <m:t>x,i</m:t>
                                </m:r>
                              </m:sub>
                            </m:sSub>
                          </m:num>
                          <m:den>
                            <m:sSub>
                              <m:sSubPr>
                                <m:ctrlPr>
                                  <w:rPr>
                                    <w:rFonts w:ascii="Cambria Math" w:hAnsi="Cambria Math"/>
                                  </w:rPr>
                                </m:ctrlPr>
                              </m:sSubPr>
                              <m:e>
                                <m:r>
                                  <w:rPr>
                                    <w:rFonts w:ascii="Cambria Math" w:hAnsi="Cambria Math"/>
                                  </w:rPr>
                                  <m:t>h</m:t>
                                </m:r>
                              </m:e>
                              <m:sub>
                                <m:r>
                                  <m:rPr>
                                    <m:sty m:val="p"/>
                                  </m:rPr>
                                  <w:rPr>
                                    <w:rFonts w:ascii="Cambria Math" w:hAnsi="Cambria Math"/>
                                  </w:rPr>
                                  <m:t>i</m:t>
                                </m:r>
                              </m:sub>
                            </m:sSub>
                          </m:den>
                        </m:f>
                      </m:e>
                    </m:d>
                  </m:e>
                  <m:sup>
                    <m:r>
                      <w:rPr>
                        <w:rFonts w:ascii="Cambria Math" w:hAnsi="Cambria Math"/>
                      </w:rPr>
                      <m:t>-1</m:t>
                    </m:r>
                  </m:sup>
                </m:sSup>
              </m:e>
            </m:d>
          </m:e>
          <m:sup>
            <m:r>
              <w:rPr>
                <w:rFonts w:ascii="Cambria Math" w:hAnsi="Cambria Math"/>
              </w:rPr>
              <m:t>-1</m:t>
            </m:r>
          </m:sup>
        </m:sSup>
      </m:oMath>
      <w:r w:rsidR="00E204C1" w:rsidRPr="00870D59">
        <w:tab/>
        <w:t>(</w:t>
      </w:r>
      <w:r w:rsidR="00E204C1">
        <w:t>B</w:t>
      </w:r>
      <w:r w:rsidR="00E204C1" w:rsidRPr="00870D59">
        <w:t>.</w:t>
      </w:r>
      <w:r w:rsidR="00E204C1">
        <w:t>3</w:t>
      </w:r>
      <w:r w:rsidR="00E204C1" w:rsidRPr="00870D59">
        <w:t>)</w:t>
      </w:r>
    </w:p>
    <w:p w14:paraId="56F889C6" w14:textId="727128A6" w:rsidR="00E204C1" w:rsidRPr="001B2671" w:rsidRDefault="00675EBA" w:rsidP="00301F2A">
      <w:pPr>
        <w:pStyle w:val="Text"/>
      </w:pPr>
      <w:r>
        <w:t>where</w:t>
      </w:r>
    </w:p>
    <w:tbl>
      <w:tblPr>
        <w:tblW w:w="0" w:type="auto"/>
        <w:tblInd w:w="346" w:type="dxa"/>
        <w:tblLook w:val="04A0" w:firstRow="1" w:lastRow="0" w:firstColumn="1" w:lastColumn="0" w:noHBand="0" w:noVBand="1"/>
      </w:tblPr>
      <w:tblGrid>
        <w:gridCol w:w="1275"/>
        <w:gridCol w:w="7938"/>
      </w:tblGrid>
      <w:tr w:rsidR="00E204C1" w:rsidRPr="000F2AFF" w14:paraId="31DF569A" w14:textId="77777777" w:rsidTr="00BD628C">
        <w:tc>
          <w:tcPr>
            <w:tcW w:w="1275" w:type="dxa"/>
          </w:tcPr>
          <w:p w14:paraId="17CA5197" w14:textId="77777777" w:rsidR="00E204C1" w:rsidRPr="00773100" w:rsidRDefault="009B5CEC" w:rsidP="002061E5">
            <w:pPr>
              <w:spacing w:after="60"/>
              <w:jc w:val="left"/>
              <w:rPr>
                <w:rFonts w:eastAsia="Times New Roman" w:cs="Cambria"/>
                <w:color w:val="000000" w:themeColor="text1"/>
                <w:szCs w:val="20"/>
                <w:lang w:eastAsia="fr-FR"/>
              </w:rPr>
            </w:pPr>
            <m:oMathPara>
              <m:oMathParaPr>
                <m:jc m:val="left"/>
              </m:oMathParaPr>
              <m:oMath>
                <m:sSub>
                  <m:sSubPr>
                    <m:ctrlPr>
                      <w:rPr>
                        <w:rFonts w:ascii="Cambria Math" w:hAnsi="Cambria Math"/>
                      </w:rPr>
                    </m:ctrlPr>
                  </m:sSubPr>
                  <m:e>
                    <m:r>
                      <w:rPr>
                        <w:rFonts w:ascii="Cambria Math" w:hAnsi="Cambria Math"/>
                      </w:rPr>
                      <m:t>EI</m:t>
                    </m:r>
                  </m:e>
                  <m:sub>
                    <m:r>
                      <m:rPr>
                        <m:sty m:val="p"/>
                      </m:rPr>
                      <w:rPr>
                        <w:rFonts w:ascii="Cambria Math" w:hAnsi="Cambria Math"/>
                      </w:rPr>
                      <m:t>x,j</m:t>
                    </m:r>
                  </m:sub>
                </m:sSub>
              </m:oMath>
            </m:oMathPara>
          </w:p>
        </w:tc>
        <w:tc>
          <w:tcPr>
            <w:tcW w:w="7938" w:type="dxa"/>
          </w:tcPr>
          <w:p w14:paraId="47A8CD78" w14:textId="43CC6CCB" w:rsidR="00E204C1" w:rsidRPr="00DF3AF1" w:rsidRDefault="00E204C1" w:rsidP="002061E5">
            <w:pPr>
              <w:pStyle w:val="Listofsymbols"/>
              <w:tabs>
                <w:tab w:val="clear" w:pos="1134"/>
                <w:tab w:val="left" w:pos="1347"/>
              </w:tabs>
              <w:ind w:left="0" w:firstLine="0"/>
              <w:rPr>
                <w:rFonts w:eastAsia="Times New Roman"/>
              </w:rPr>
            </w:pPr>
            <w:r w:rsidRPr="00D1484A">
              <w:t xml:space="preserve">is the flexural stiffness of the wall j in the storey below floor i in the direction </w:t>
            </w:r>
            <w:r w:rsidRPr="00D1484A">
              <w:rPr>
                <w:i/>
              </w:rPr>
              <w:t>x</w:t>
            </w:r>
            <w:r w:rsidRPr="007E6F67">
              <w:t>;</w:t>
            </w:r>
          </w:p>
        </w:tc>
      </w:tr>
      <w:tr w:rsidR="00E204C1" w:rsidRPr="000F2AFF" w14:paraId="05CBA1E0" w14:textId="77777777" w:rsidTr="00BD628C">
        <w:tc>
          <w:tcPr>
            <w:tcW w:w="1275" w:type="dxa"/>
          </w:tcPr>
          <w:p w14:paraId="600A1BE6" w14:textId="1904C824" w:rsidR="00E204C1" w:rsidRPr="00773100" w:rsidRDefault="009B5CEC" w:rsidP="002061E5">
            <w:pPr>
              <w:spacing w:after="60"/>
              <w:jc w:val="left"/>
              <w:rPr>
                <w:rFonts w:eastAsia="Times New Roman" w:cs="Cambria"/>
                <w:color w:val="000000" w:themeColor="text1"/>
                <w:szCs w:val="20"/>
                <w:lang w:eastAsia="fr-FR"/>
              </w:rPr>
            </w:pPr>
            <m:oMathPara>
              <m:oMathParaPr>
                <m:jc m:val="left"/>
              </m:oMathParaPr>
              <m:oMath>
                <m:sSub>
                  <m:sSubPr>
                    <m:ctrlPr>
                      <w:rPr>
                        <w:rFonts w:ascii="Cambria Math" w:hAnsi="Cambria Math"/>
                        <w:i/>
                      </w:rPr>
                    </m:ctrlPr>
                  </m:sSubPr>
                  <m:e>
                    <m:r>
                      <w:rPr>
                        <w:rFonts w:ascii="Cambria Math" w:hAnsi="Cambria Math"/>
                      </w:rPr>
                      <m:t>A</m:t>
                    </m:r>
                  </m:e>
                  <m:sub>
                    <m:r>
                      <m:rPr>
                        <m:sty m:val="p"/>
                      </m:rPr>
                      <w:rPr>
                        <w:rFonts w:ascii="Cambria Math" w:hAnsi="Cambria Math"/>
                      </w:rPr>
                      <m:t>x,i</m:t>
                    </m:r>
                  </m:sub>
                </m:sSub>
              </m:oMath>
            </m:oMathPara>
          </w:p>
        </w:tc>
        <w:tc>
          <w:tcPr>
            <w:tcW w:w="7938" w:type="dxa"/>
          </w:tcPr>
          <w:p w14:paraId="7EDD2B1B" w14:textId="3EA9EB3B" w:rsidR="00E204C1" w:rsidRPr="00DF3AF1" w:rsidRDefault="00E204C1" w:rsidP="002061E5">
            <w:pPr>
              <w:pStyle w:val="Listofsymbols"/>
              <w:tabs>
                <w:tab w:val="clear" w:pos="1134"/>
                <w:tab w:val="left" w:pos="1347"/>
              </w:tabs>
              <w:ind w:left="0" w:firstLine="0"/>
              <w:rPr>
                <w:rFonts w:eastAsia="Times New Roman"/>
              </w:rPr>
            </w:pPr>
            <w:r w:rsidRPr="00132C1E">
              <w:t>is the gross area of the section of the wall.</w:t>
            </w:r>
          </w:p>
        </w:tc>
      </w:tr>
    </w:tbl>
    <w:p w14:paraId="7A98CC05" w14:textId="1DEA91EE" w:rsidR="00E204C1" w:rsidRPr="002144A0" w:rsidRDefault="00E204C1" w:rsidP="00724E4E">
      <w:pPr>
        <w:pStyle w:val="Clause"/>
      </w:pPr>
      <w:r w:rsidRPr="00D1484A">
        <w:t xml:space="preserve">For a primary structure composed of frames with bracings, the lateral stiffness </w:t>
      </w:r>
      <w:r w:rsidRPr="007E6F67">
        <w:rPr>
          <w:i/>
        </w:rPr>
        <w:t>K</w:t>
      </w:r>
      <w:r w:rsidRPr="007E6F67">
        <w:rPr>
          <w:vertAlign w:val="subscript"/>
        </w:rPr>
        <w:t>x,ij</w:t>
      </w:r>
      <w:r w:rsidRPr="00FD17CF">
        <w:t xml:space="preserve"> in the </w:t>
      </w:r>
      <w:r w:rsidRPr="00FD17CF">
        <w:rPr>
          <w:i/>
        </w:rPr>
        <w:t>x</w:t>
      </w:r>
      <w:r w:rsidRPr="00FD17CF">
        <w:t xml:space="preserve"> direction may be take</w:t>
      </w:r>
      <w:r w:rsidRPr="00E05E29">
        <w:t>n as given by Formula (B.4).</w:t>
      </w:r>
    </w:p>
    <w:p w14:paraId="52D7CCBC" w14:textId="4328DA82" w:rsidR="00E204C1" w:rsidRDefault="009B5CEC" w:rsidP="00E204C1">
      <w:pPr>
        <w:pStyle w:val="Formula"/>
        <w:spacing w:before="240"/>
      </w:pPr>
      <m:oMath>
        <m:sSub>
          <m:sSubPr>
            <m:ctrlPr>
              <w:rPr>
                <w:rFonts w:ascii="Cambria Math" w:eastAsia="Calibri" w:hAnsi="Cambria Math"/>
                <w:i/>
                <w:szCs w:val="22"/>
                <w:lang w:eastAsia="en-US"/>
              </w:rPr>
            </m:ctrlPr>
          </m:sSubPr>
          <m:e>
            <m:r>
              <w:rPr>
                <w:rFonts w:ascii="Cambria Math" w:eastAsia="Calibri" w:hAnsi="Cambria Math"/>
                <w:szCs w:val="22"/>
                <w:lang w:eastAsia="en-US"/>
              </w:rPr>
              <m:t>K</m:t>
            </m:r>
          </m:e>
          <m:sub>
            <m:r>
              <w:rPr>
                <w:rFonts w:ascii="Cambria Math" w:eastAsia="Calibri" w:hAnsi="Cambria Math"/>
                <w:szCs w:val="22"/>
                <w:lang w:eastAsia="en-US"/>
              </w:rPr>
              <m:t>x,ij</m:t>
            </m:r>
          </m:sub>
        </m:sSub>
        <m:r>
          <w:rPr>
            <w:rFonts w:ascii="Cambria Math" w:eastAsia="Calibri" w:hAnsi="Cambria Math"/>
            <w:szCs w:val="22"/>
            <w:lang w:eastAsia="en-US"/>
          </w:rPr>
          <m:t>=</m:t>
        </m:r>
        <m:f>
          <m:fPr>
            <m:ctrlPr>
              <w:rPr>
                <w:rFonts w:ascii="Cambria Math" w:eastAsia="Calibri" w:hAnsi="Cambria Math"/>
                <w:i/>
                <w:szCs w:val="22"/>
                <w:lang w:eastAsia="en-US"/>
              </w:rPr>
            </m:ctrlPr>
          </m:fPr>
          <m:num>
            <m:r>
              <w:rPr>
                <w:rFonts w:ascii="Cambria Math" w:eastAsia="Calibri" w:hAnsi="Cambria Math"/>
                <w:szCs w:val="22"/>
                <w:lang w:eastAsia="en-US"/>
              </w:rPr>
              <m:t xml:space="preserve">E </m:t>
            </m:r>
            <m:sSub>
              <m:sSubPr>
                <m:ctrlPr>
                  <w:rPr>
                    <w:rFonts w:ascii="Cambria Math" w:eastAsia="Calibri" w:hAnsi="Cambria Math"/>
                    <w:i/>
                    <w:szCs w:val="22"/>
                    <w:lang w:eastAsia="en-US"/>
                  </w:rPr>
                </m:ctrlPr>
              </m:sSubPr>
              <m:e>
                <m:r>
                  <w:rPr>
                    <w:rFonts w:ascii="Cambria Math" w:eastAsia="Calibri" w:hAnsi="Cambria Math"/>
                    <w:szCs w:val="22"/>
                    <w:lang w:eastAsia="en-US"/>
                  </w:rPr>
                  <m:t>A</m:t>
                </m:r>
              </m:e>
              <m:sub>
                <m:r>
                  <w:rPr>
                    <w:rFonts w:ascii="Cambria Math" w:eastAsia="Calibri" w:hAnsi="Cambria Math"/>
                    <w:szCs w:val="22"/>
                    <w:lang w:eastAsia="en-US"/>
                  </w:rPr>
                  <m:t xml:space="preserve">xa,i </m:t>
                </m:r>
              </m:sub>
            </m:sSub>
          </m:num>
          <m:den>
            <m:sSub>
              <m:sSubPr>
                <m:ctrlPr>
                  <w:rPr>
                    <w:rFonts w:ascii="Cambria Math" w:eastAsia="Calibri" w:hAnsi="Cambria Math"/>
                    <w:i/>
                    <w:szCs w:val="22"/>
                    <w:lang w:eastAsia="en-US"/>
                  </w:rPr>
                </m:ctrlPr>
              </m:sSubPr>
              <m:e>
                <m:r>
                  <w:rPr>
                    <w:rFonts w:ascii="Cambria Math" w:eastAsia="Calibri" w:hAnsi="Cambria Math"/>
                    <w:szCs w:val="22"/>
                    <w:lang w:eastAsia="en-US"/>
                  </w:rPr>
                  <m:t>d</m:t>
                </m:r>
              </m:e>
              <m:sub>
                <m:r>
                  <w:rPr>
                    <w:rFonts w:ascii="Cambria Math" w:eastAsia="Calibri" w:hAnsi="Cambria Math"/>
                    <w:szCs w:val="22"/>
                    <w:lang w:eastAsia="en-US"/>
                  </w:rPr>
                  <m:t>i</m:t>
                </m:r>
              </m:sub>
            </m:sSub>
          </m:den>
        </m:f>
        <m:sSup>
          <m:sSupPr>
            <m:ctrlPr>
              <w:rPr>
                <w:rFonts w:ascii="Cambria Math" w:eastAsia="Calibri" w:hAnsi="Cambria Math"/>
                <w:i/>
                <w:szCs w:val="22"/>
                <w:lang w:eastAsia="en-US"/>
              </w:rPr>
            </m:ctrlPr>
          </m:sSupPr>
          <m:e>
            <m:d>
              <m:dPr>
                <m:ctrlPr>
                  <w:rPr>
                    <w:rFonts w:ascii="Cambria Math" w:eastAsia="Calibri" w:hAnsi="Cambria Math"/>
                    <w:i/>
                    <w:szCs w:val="22"/>
                    <w:lang w:eastAsia="en-US"/>
                  </w:rPr>
                </m:ctrlPr>
              </m:dPr>
              <m:e>
                <m:func>
                  <m:funcPr>
                    <m:ctrlPr>
                      <w:rPr>
                        <w:rFonts w:ascii="Cambria Math" w:eastAsia="Calibri" w:hAnsi="Cambria Math"/>
                        <w:i/>
                        <w:szCs w:val="22"/>
                        <w:lang w:eastAsia="en-US"/>
                      </w:rPr>
                    </m:ctrlPr>
                  </m:funcPr>
                  <m:fName>
                    <m:r>
                      <m:rPr>
                        <m:sty m:val="p"/>
                      </m:rPr>
                      <w:rPr>
                        <w:rFonts w:ascii="Cambria Math" w:eastAsia="Calibri" w:hAnsi="Cambria Math"/>
                        <w:szCs w:val="22"/>
                        <w:lang w:eastAsia="en-US"/>
                      </w:rPr>
                      <m:t>cos</m:t>
                    </m:r>
                  </m:fName>
                  <m:e>
                    <m:sSub>
                      <m:sSubPr>
                        <m:ctrlPr>
                          <w:rPr>
                            <w:rFonts w:ascii="Cambria Math" w:eastAsia="Calibri" w:hAnsi="Cambria Math"/>
                            <w:i/>
                            <w:szCs w:val="22"/>
                            <w:lang w:eastAsia="en-US"/>
                          </w:rPr>
                        </m:ctrlPr>
                      </m:sSubPr>
                      <m:e>
                        <m:r>
                          <w:rPr>
                            <w:rFonts w:ascii="Cambria Math" w:eastAsia="Calibri" w:hAnsi="Cambria Math"/>
                            <w:szCs w:val="22"/>
                            <w:lang w:eastAsia="en-US"/>
                          </w:rPr>
                          <m:t>α</m:t>
                        </m:r>
                      </m:e>
                      <m:sub>
                        <m:r>
                          <w:rPr>
                            <w:rFonts w:ascii="Cambria Math" w:eastAsia="Calibri" w:hAnsi="Cambria Math"/>
                            <w:szCs w:val="22"/>
                            <w:lang w:eastAsia="en-US"/>
                          </w:rPr>
                          <m:t>i</m:t>
                        </m:r>
                      </m:sub>
                    </m:sSub>
                  </m:e>
                </m:func>
              </m:e>
            </m:d>
          </m:e>
          <m:sup>
            <m:r>
              <w:rPr>
                <w:rFonts w:ascii="Cambria Math" w:eastAsia="Calibri" w:hAnsi="Cambria Math"/>
                <w:szCs w:val="22"/>
                <w:lang w:eastAsia="en-US"/>
              </w:rPr>
              <m:t>2</m:t>
            </m:r>
          </m:sup>
        </m:sSup>
      </m:oMath>
      <w:r w:rsidR="00E204C1" w:rsidRPr="00870D59">
        <w:tab/>
        <w:t>(</w:t>
      </w:r>
      <w:r w:rsidR="00E204C1">
        <w:t>B</w:t>
      </w:r>
      <w:r w:rsidR="00E204C1" w:rsidRPr="00870D59">
        <w:t>.</w:t>
      </w:r>
      <w:r w:rsidR="00E204C1">
        <w:t>4</w:t>
      </w:r>
      <w:r w:rsidR="00E204C1" w:rsidRPr="00870D59">
        <w:t>)</w:t>
      </w:r>
    </w:p>
    <w:p w14:paraId="3BD617F2" w14:textId="533E43A9" w:rsidR="00E204C1" w:rsidRPr="001B2671" w:rsidRDefault="00675EBA" w:rsidP="00301F2A">
      <w:pPr>
        <w:pStyle w:val="Text"/>
      </w:pPr>
      <w:r>
        <w:t>where</w:t>
      </w:r>
    </w:p>
    <w:tbl>
      <w:tblPr>
        <w:tblW w:w="0" w:type="auto"/>
        <w:tblInd w:w="346" w:type="dxa"/>
        <w:tblLook w:val="04A0" w:firstRow="1" w:lastRow="0" w:firstColumn="1" w:lastColumn="0" w:noHBand="0" w:noVBand="1"/>
      </w:tblPr>
      <w:tblGrid>
        <w:gridCol w:w="1275"/>
        <w:gridCol w:w="7938"/>
      </w:tblGrid>
      <w:tr w:rsidR="00E204C1" w:rsidRPr="000F2AFF" w14:paraId="5255A2B5" w14:textId="77777777" w:rsidTr="00BD628C">
        <w:tc>
          <w:tcPr>
            <w:tcW w:w="1275" w:type="dxa"/>
          </w:tcPr>
          <w:p w14:paraId="1F617BFA" w14:textId="5539092D" w:rsidR="00E204C1" w:rsidRPr="00773100" w:rsidRDefault="00E204C1" w:rsidP="002061E5">
            <w:pPr>
              <w:spacing w:after="60"/>
              <w:jc w:val="left"/>
              <w:rPr>
                <w:rFonts w:eastAsia="Times New Roman" w:cs="Cambria"/>
                <w:color w:val="000000" w:themeColor="text1"/>
                <w:szCs w:val="20"/>
                <w:lang w:eastAsia="fr-FR"/>
              </w:rPr>
            </w:pPr>
            <w:r w:rsidRPr="00E204C1">
              <w:rPr>
                <w:i/>
                <w:iCs/>
              </w:rPr>
              <w:lastRenderedPageBreak/>
              <w:t>d</w:t>
            </w:r>
            <w:r w:rsidRPr="00E204C1">
              <w:rPr>
                <w:vertAlign w:val="subscript"/>
              </w:rPr>
              <w:t>i</w:t>
            </w:r>
          </w:p>
        </w:tc>
        <w:tc>
          <w:tcPr>
            <w:tcW w:w="7938" w:type="dxa"/>
          </w:tcPr>
          <w:p w14:paraId="79DDF039" w14:textId="5F8EC347" w:rsidR="00E204C1" w:rsidRPr="005C7E1C" w:rsidRDefault="00E204C1" w:rsidP="002061E5">
            <w:pPr>
              <w:pStyle w:val="Listofsymbols"/>
              <w:tabs>
                <w:tab w:val="clear" w:pos="1134"/>
                <w:tab w:val="left" w:pos="1347"/>
              </w:tabs>
              <w:ind w:left="0" w:firstLine="0"/>
              <w:rPr>
                <w:rFonts w:eastAsia="Times New Roman"/>
                <w:szCs w:val="22"/>
              </w:rPr>
            </w:pPr>
            <w:r w:rsidRPr="005C7E1C">
              <w:rPr>
                <w:rFonts w:eastAsia="Calibri"/>
                <w:szCs w:val="22"/>
                <w:lang w:eastAsia="en-US"/>
              </w:rPr>
              <w:t>is the length of the bracing element;</w:t>
            </w:r>
          </w:p>
        </w:tc>
      </w:tr>
      <w:tr w:rsidR="00E204C1" w:rsidRPr="000F2AFF" w14:paraId="3CA1B8A8" w14:textId="77777777" w:rsidTr="00BD628C">
        <w:tc>
          <w:tcPr>
            <w:tcW w:w="1275" w:type="dxa"/>
          </w:tcPr>
          <w:p w14:paraId="3A4FD817" w14:textId="191CE6EA" w:rsidR="00E204C1" w:rsidRPr="00773100" w:rsidRDefault="00E204C1" w:rsidP="002061E5">
            <w:pPr>
              <w:spacing w:after="60"/>
              <w:jc w:val="left"/>
              <w:rPr>
                <w:rFonts w:eastAsia="Times New Roman" w:cs="Cambria"/>
                <w:color w:val="000000" w:themeColor="text1"/>
                <w:szCs w:val="20"/>
                <w:lang w:eastAsia="fr-FR"/>
              </w:rPr>
            </w:pPr>
            <w:r w:rsidRPr="007E6F67">
              <w:rPr>
                <w:rFonts w:ascii="Symbol" w:hAnsi="Symbol"/>
                <w:i/>
              </w:rPr>
              <w:t></w:t>
            </w:r>
          </w:p>
        </w:tc>
        <w:tc>
          <w:tcPr>
            <w:tcW w:w="7938" w:type="dxa"/>
          </w:tcPr>
          <w:p w14:paraId="2421B822" w14:textId="2E1A70B8" w:rsidR="00E204C1" w:rsidRPr="005C7E1C" w:rsidRDefault="00E204C1" w:rsidP="002061E5">
            <w:pPr>
              <w:pStyle w:val="Listofsymbols"/>
              <w:tabs>
                <w:tab w:val="clear" w:pos="1134"/>
                <w:tab w:val="left" w:pos="1347"/>
              </w:tabs>
              <w:ind w:left="0" w:firstLine="0"/>
              <w:rPr>
                <w:rFonts w:eastAsia="Times New Roman"/>
                <w:szCs w:val="22"/>
              </w:rPr>
            </w:pPr>
            <w:r w:rsidRPr="005C7E1C">
              <w:rPr>
                <w:rFonts w:eastAsia="Times New Roman" w:cs="Times New Roman"/>
                <w:bCs/>
                <w:szCs w:val="22"/>
                <w:lang w:eastAsia="en-US"/>
              </w:rPr>
              <w:t>is the angle of the bracing element to the horizontal;</w:t>
            </w:r>
          </w:p>
        </w:tc>
      </w:tr>
      <w:tr w:rsidR="00E204C1" w:rsidRPr="000F2AFF" w14:paraId="6ECFFEB0" w14:textId="77777777" w:rsidTr="00BD628C">
        <w:tc>
          <w:tcPr>
            <w:tcW w:w="1275" w:type="dxa"/>
          </w:tcPr>
          <w:p w14:paraId="117ECCB5" w14:textId="5259675B" w:rsidR="00E204C1" w:rsidRPr="00E204C1" w:rsidRDefault="00E204C1" w:rsidP="002061E5">
            <w:pPr>
              <w:spacing w:after="60"/>
              <w:jc w:val="left"/>
              <w:rPr>
                <w:rFonts w:ascii="Symbol" w:hAnsi="Symbol"/>
                <w:i/>
              </w:rPr>
            </w:pPr>
            <m:oMathPara>
              <m:oMathParaPr>
                <m:jc m:val="left"/>
              </m:oMathParaPr>
              <m:oMath>
                <m:r>
                  <w:rPr>
                    <w:rFonts w:ascii="Cambria Math" w:hAnsi="Cambria Math"/>
                  </w:rPr>
                  <m:t>E</m:t>
                </m:r>
                <m:sSub>
                  <m:sSubPr>
                    <m:ctrlPr>
                      <w:rPr>
                        <w:rFonts w:ascii="Cambria Math" w:eastAsia="Times New Roman" w:hAnsi="Cambria Math"/>
                        <w:bCs/>
                        <w:i/>
                        <w:noProof/>
                        <w:sz w:val="24"/>
                      </w:rPr>
                    </m:ctrlPr>
                  </m:sSubPr>
                  <m:e>
                    <m:r>
                      <w:rPr>
                        <w:rFonts w:ascii="Cambria Math" w:hAnsi="Cambria Math"/>
                      </w:rPr>
                      <m:t>A</m:t>
                    </m:r>
                  </m:e>
                  <m:sub>
                    <m:r>
                      <m:rPr>
                        <m:sty m:val="p"/>
                      </m:rPr>
                      <w:rPr>
                        <w:rFonts w:ascii="Cambria Math" w:hAnsi="Cambria Math"/>
                      </w:rPr>
                      <m:t>xα,i</m:t>
                    </m:r>
                  </m:sub>
                </m:sSub>
              </m:oMath>
            </m:oMathPara>
          </w:p>
        </w:tc>
        <w:tc>
          <w:tcPr>
            <w:tcW w:w="7938" w:type="dxa"/>
          </w:tcPr>
          <w:p w14:paraId="487FEDBB" w14:textId="0AAC59EA" w:rsidR="00E204C1" w:rsidRPr="005C7E1C" w:rsidRDefault="00E204C1" w:rsidP="002061E5">
            <w:pPr>
              <w:pStyle w:val="Listofsymbols"/>
              <w:tabs>
                <w:tab w:val="clear" w:pos="1134"/>
                <w:tab w:val="left" w:pos="1347"/>
              </w:tabs>
              <w:ind w:left="0" w:firstLine="0"/>
              <w:rPr>
                <w:szCs w:val="22"/>
              </w:rPr>
            </w:pPr>
            <w:r w:rsidRPr="005C7E1C">
              <w:rPr>
                <w:rFonts w:eastAsia="Times New Roman" w:cs="Times New Roman"/>
                <w:bCs/>
                <w:szCs w:val="22"/>
                <w:lang w:eastAsia="en-US"/>
              </w:rPr>
              <w:t>is the axial stiffnesses of the bracing element considered.</w:t>
            </w:r>
          </w:p>
        </w:tc>
      </w:tr>
    </w:tbl>
    <w:p w14:paraId="7CD62886" w14:textId="77777777" w:rsidR="005C7E1C" w:rsidRPr="00196951" w:rsidRDefault="005C7E1C" w:rsidP="00BD628C">
      <w:pPr>
        <w:pStyle w:val="Notetext"/>
        <w:spacing w:before="120"/>
      </w:pPr>
      <w:r w:rsidRPr="007E6F67">
        <w:t>NOTE</w:t>
      </w:r>
      <w:r w:rsidRPr="007E6F67">
        <w:tab/>
      </w:r>
      <w:r w:rsidRPr="00301F2A">
        <w:rPr>
          <w:bCs/>
        </w:rPr>
        <w:t>(2) to (4) apply</w:t>
      </w:r>
      <w:r w:rsidRPr="00FD17CF">
        <w:t xml:space="preserve"> similarly to </w:t>
      </w:r>
      <w:r w:rsidRPr="00E05E29">
        <w:rPr>
          <w:i/>
        </w:rPr>
        <w:t>K</w:t>
      </w:r>
      <w:r w:rsidRPr="00E05E29">
        <w:rPr>
          <w:vertAlign w:val="subscript"/>
        </w:rPr>
        <w:t>y ,ij</w:t>
      </w:r>
      <w:r w:rsidRPr="00E05E29">
        <w:t>.</w:t>
      </w:r>
    </w:p>
    <w:p w14:paraId="3EDD9F81" w14:textId="77777777" w:rsidR="005C7E1C" w:rsidRPr="00196951" w:rsidRDefault="005C7E1C" w:rsidP="00724E4E">
      <w:pPr>
        <w:pStyle w:val="Clause"/>
      </w:pPr>
      <w:r w:rsidRPr="00196951">
        <w:t xml:space="preserve">The </w:t>
      </w:r>
      <w:r w:rsidRPr="00196951">
        <w:rPr>
          <w:i/>
          <w:iCs/>
        </w:rPr>
        <w:t>x</w:t>
      </w:r>
      <w:r w:rsidRPr="00196951">
        <w:t xml:space="preserve"> component of the torsional radius, </w:t>
      </w:r>
      <w:r w:rsidRPr="00196951">
        <w:rPr>
          <w:i/>
          <w:iCs/>
        </w:rPr>
        <w:t>r</w:t>
      </w:r>
      <w:r w:rsidRPr="00196951">
        <w:rPr>
          <w:vertAlign w:val="subscript"/>
        </w:rPr>
        <w:t>x,i</w:t>
      </w:r>
      <w:r w:rsidRPr="00196951">
        <w:t xml:space="preserve">, of the </w:t>
      </w:r>
      <w:r w:rsidRPr="00196951">
        <w:rPr>
          <w:i/>
          <w:iCs/>
        </w:rPr>
        <w:t>i</w:t>
      </w:r>
      <w:r w:rsidRPr="00196951">
        <w:t>-th floor may be taken as given by Formula (B.5).</w:t>
      </w:r>
    </w:p>
    <w:p w14:paraId="2FC38B1F" w14:textId="755FAB8B" w:rsidR="005C7E1C" w:rsidRDefault="009B5CEC" w:rsidP="005C7E1C">
      <w:pPr>
        <w:pStyle w:val="Formula"/>
        <w:spacing w:before="240"/>
      </w:pPr>
      <m:oMath>
        <m:sSub>
          <m:sSubPr>
            <m:ctrlPr>
              <w:rPr>
                <w:rFonts w:ascii="Cambria Math" w:hAnsi="Cambria Math"/>
              </w:rPr>
            </m:ctrlPr>
          </m:sSubPr>
          <m:e>
            <m:r>
              <w:rPr>
                <w:rFonts w:ascii="Cambria Math" w:hAnsi="Cambria Math"/>
              </w:rPr>
              <m:t>r</m:t>
            </m:r>
          </m:e>
          <m:sub>
            <m:r>
              <m:rPr>
                <m:sty m:val="p"/>
              </m:rPr>
              <w:rPr>
                <w:rFonts w:ascii="Cambria Math" w:hAnsi="Cambria Math"/>
              </w:rPr>
              <m:t>x,i</m:t>
            </m:r>
          </m:sub>
        </m:sSub>
        <m:r>
          <w:rPr>
            <w:rFonts w:ascii="Cambria Math" w:hAnsi="Cambria Math"/>
          </w:rPr>
          <m:t>=</m:t>
        </m:r>
        <m:rad>
          <m:radPr>
            <m:degHide m:val="1"/>
            <m:ctrlPr>
              <w:rPr>
                <w:rFonts w:ascii="Cambria Math" w:hAnsi="Cambria Math"/>
              </w:rPr>
            </m:ctrlPr>
          </m:radPr>
          <m:deg/>
          <m:e>
            <m:f>
              <m:fPr>
                <m:ctrlPr>
                  <w:rPr>
                    <w:rFonts w:ascii="Cambria Math" w:hAnsi="Cambria Math"/>
                  </w:rPr>
                </m:ctrlPr>
              </m:fPr>
              <m:num>
                <m:nary>
                  <m:naryPr>
                    <m:chr m:val="∑"/>
                    <m:limLoc m:val="undOvr"/>
                    <m:supHide m:val="1"/>
                    <m:ctrlPr>
                      <w:rPr>
                        <w:rFonts w:ascii="Cambria Math" w:hAnsi="Cambria Math"/>
                      </w:rPr>
                    </m:ctrlPr>
                  </m:naryPr>
                  <m:sub>
                    <m:r>
                      <m:rPr>
                        <m:sty m:val="p"/>
                      </m:rPr>
                      <w:rPr>
                        <w:rFonts w:ascii="Cambria Math" w:hAnsi="Cambria Math"/>
                      </w:rPr>
                      <m:t>j</m:t>
                    </m:r>
                  </m:sub>
                  <m:sup/>
                  <m:e>
                    <m:sSub>
                      <m:sSubPr>
                        <m:ctrlPr>
                          <w:rPr>
                            <w:rFonts w:ascii="Cambria Math" w:hAnsi="Cambria Math"/>
                          </w:rPr>
                        </m:ctrlPr>
                      </m:sSubPr>
                      <m:e>
                        <m:r>
                          <w:rPr>
                            <w:rFonts w:ascii="Cambria Math" w:hAnsi="Cambria Math"/>
                          </w:rPr>
                          <m:t>K</m:t>
                        </m:r>
                      </m:e>
                      <m:sub>
                        <m:r>
                          <m:rPr>
                            <m:sty m:val="p"/>
                          </m:rPr>
                          <w:rPr>
                            <w:rFonts w:ascii="Cambria Math" w:hAnsi="Cambria Math"/>
                          </w:rPr>
                          <m:t>x,ij</m:t>
                        </m:r>
                      </m:sub>
                    </m:sSub>
                    <m:sSup>
                      <m:sSupPr>
                        <m:ctrlPr>
                          <w:rPr>
                            <w:rFonts w:ascii="Cambria Math" w:hAnsi="Cambria Math"/>
                          </w:rPr>
                        </m:ctrlPr>
                      </m:sSupPr>
                      <m:e>
                        <m:d>
                          <m:dPr>
                            <m:ctrlPr>
                              <w:rPr>
                                <w:rFonts w:ascii="Cambria Math" w:hAnsi="Cambria Math"/>
                              </w:rPr>
                            </m:ctrlPr>
                          </m:dPr>
                          <m:e>
                            <m:sSub>
                              <m:sSubPr>
                                <m:ctrlPr>
                                  <w:rPr>
                                    <w:rFonts w:ascii="Cambria Math" w:hAnsi="Cambria Math"/>
                                  </w:rPr>
                                </m:ctrlPr>
                              </m:sSubPr>
                              <m:e>
                                <m:r>
                                  <w:rPr>
                                    <w:rFonts w:ascii="Cambria Math" w:hAnsi="Cambria Math"/>
                                  </w:rPr>
                                  <m:t>y</m:t>
                                </m:r>
                              </m:e>
                              <m:sub>
                                <m:r>
                                  <m:rPr>
                                    <m:sty m:val="p"/>
                                  </m:rPr>
                                  <w:rPr>
                                    <w:rFonts w:ascii="Cambria Math" w:hAnsi="Cambria Math"/>
                                  </w:rPr>
                                  <m:t>j</m:t>
                                </m:r>
                              </m:sub>
                            </m:sSub>
                            <m:r>
                              <w:rPr>
                                <w:rFonts w:ascii="Cambria Math" w:hAnsi="Cambria Math"/>
                              </w:rPr>
                              <m:t>-</m:t>
                            </m:r>
                            <m:sSub>
                              <m:sSubPr>
                                <m:ctrlPr>
                                  <w:rPr>
                                    <w:rFonts w:ascii="Cambria Math" w:hAnsi="Cambria Math"/>
                                  </w:rPr>
                                </m:ctrlPr>
                              </m:sSubPr>
                              <m:e>
                                <m:r>
                                  <w:rPr>
                                    <w:rFonts w:ascii="Cambria Math" w:hAnsi="Cambria Math"/>
                                  </w:rPr>
                                  <m:t>y</m:t>
                                </m:r>
                              </m:e>
                              <m:sub>
                                <m:r>
                                  <m:rPr>
                                    <m:sty m:val="p"/>
                                  </m:rPr>
                                  <w:rPr>
                                    <w:rFonts w:ascii="Cambria Math" w:hAnsi="Cambria Math"/>
                                  </w:rPr>
                                  <m:t>Ci</m:t>
                                </m:r>
                              </m:sub>
                            </m:sSub>
                          </m:e>
                        </m:d>
                      </m:e>
                      <m:sup>
                        <m:r>
                          <w:rPr>
                            <w:rFonts w:ascii="Cambria Math" w:hAnsi="Cambria Math"/>
                          </w:rPr>
                          <m:t>2</m:t>
                        </m:r>
                      </m:sup>
                    </m:sSup>
                  </m:e>
                </m:nary>
                <m:r>
                  <w:rPr>
                    <w:rFonts w:ascii="Cambria Math" w:hAnsi="Cambria Math"/>
                  </w:rPr>
                  <m:t>+</m:t>
                </m:r>
                <m:nary>
                  <m:naryPr>
                    <m:chr m:val="∑"/>
                    <m:limLoc m:val="undOvr"/>
                    <m:supHide m:val="1"/>
                    <m:ctrlPr>
                      <w:rPr>
                        <w:rFonts w:ascii="Cambria Math" w:hAnsi="Cambria Math"/>
                      </w:rPr>
                    </m:ctrlPr>
                  </m:naryPr>
                  <m:sub>
                    <m:r>
                      <m:rPr>
                        <m:sty m:val="p"/>
                      </m:rPr>
                      <w:rPr>
                        <w:rFonts w:ascii="Cambria Math" w:hAnsi="Cambria Math"/>
                      </w:rPr>
                      <m:t>k</m:t>
                    </m:r>
                  </m:sub>
                  <m:sup/>
                  <m:e>
                    <m:sSub>
                      <m:sSubPr>
                        <m:ctrlPr>
                          <w:rPr>
                            <w:rFonts w:ascii="Cambria Math" w:hAnsi="Cambria Math"/>
                          </w:rPr>
                        </m:ctrlPr>
                      </m:sSubPr>
                      <m:e>
                        <m:r>
                          <w:rPr>
                            <w:rFonts w:ascii="Cambria Math" w:hAnsi="Cambria Math"/>
                          </w:rPr>
                          <m:t>K</m:t>
                        </m:r>
                      </m:e>
                      <m:sub>
                        <m:r>
                          <m:rPr>
                            <m:sty m:val="p"/>
                          </m:rPr>
                          <w:rPr>
                            <w:rFonts w:ascii="Cambria Math" w:hAnsi="Cambria Math"/>
                          </w:rPr>
                          <m:t>y,ik</m:t>
                        </m:r>
                      </m:sub>
                    </m:sSub>
                    <m:sSup>
                      <m:sSupPr>
                        <m:ctrlPr>
                          <w:rPr>
                            <w:rFonts w:ascii="Cambria Math" w:hAnsi="Cambria Math"/>
                          </w:rPr>
                        </m:ctrlPr>
                      </m:sSupPr>
                      <m:e>
                        <m:d>
                          <m:dPr>
                            <m:ctrlPr>
                              <w:rPr>
                                <w:rFonts w:ascii="Cambria Math" w:hAnsi="Cambria Math"/>
                              </w:rPr>
                            </m:ctrlPr>
                          </m:dPr>
                          <m:e>
                            <m:sSub>
                              <m:sSubPr>
                                <m:ctrlPr>
                                  <w:rPr>
                                    <w:rFonts w:ascii="Cambria Math" w:hAnsi="Cambria Math"/>
                                  </w:rPr>
                                </m:ctrlPr>
                              </m:sSubPr>
                              <m:e>
                                <m:r>
                                  <w:rPr>
                                    <w:rFonts w:ascii="Cambria Math" w:hAnsi="Cambria Math"/>
                                  </w:rPr>
                                  <m:t>x</m:t>
                                </m:r>
                              </m:e>
                              <m:sub>
                                <m:r>
                                  <m:rPr>
                                    <m:sty m:val="p"/>
                                  </m:rPr>
                                  <w:rPr>
                                    <w:rFonts w:ascii="Cambria Math" w:hAnsi="Cambria Math"/>
                                  </w:rPr>
                                  <m:t>k</m:t>
                                </m:r>
                              </m:sub>
                            </m:sSub>
                            <m:r>
                              <w:rPr>
                                <w:rFonts w:ascii="Cambria Math" w:hAnsi="Cambria Math"/>
                              </w:rPr>
                              <m:t>-</m:t>
                            </m:r>
                            <m:sSub>
                              <m:sSubPr>
                                <m:ctrlPr>
                                  <w:rPr>
                                    <w:rFonts w:ascii="Cambria Math" w:hAnsi="Cambria Math"/>
                                  </w:rPr>
                                </m:ctrlPr>
                              </m:sSubPr>
                              <m:e>
                                <m:r>
                                  <w:rPr>
                                    <w:rFonts w:ascii="Cambria Math" w:hAnsi="Cambria Math"/>
                                  </w:rPr>
                                  <m:t>x</m:t>
                                </m:r>
                              </m:e>
                              <m:sub>
                                <m:r>
                                  <m:rPr>
                                    <m:sty m:val="p"/>
                                  </m:rPr>
                                  <w:rPr>
                                    <w:rFonts w:ascii="Cambria Math" w:hAnsi="Cambria Math"/>
                                  </w:rPr>
                                  <m:t>Ci</m:t>
                                </m:r>
                              </m:sub>
                            </m:sSub>
                          </m:e>
                        </m:d>
                      </m:e>
                      <m:sup>
                        <m:r>
                          <w:rPr>
                            <w:rFonts w:ascii="Cambria Math" w:hAnsi="Cambria Math"/>
                          </w:rPr>
                          <m:t>2</m:t>
                        </m:r>
                      </m:sup>
                    </m:sSup>
                  </m:e>
                </m:nary>
              </m:num>
              <m:den>
                <m:nary>
                  <m:naryPr>
                    <m:chr m:val="∑"/>
                    <m:limLoc m:val="undOvr"/>
                    <m:supHide m:val="1"/>
                    <m:ctrlPr>
                      <w:rPr>
                        <w:rFonts w:ascii="Cambria Math" w:hAnsi="Cambria Math"/>
                      </w:rPr>
                    </m:ctrlPr>
                  </m:naryPr>
                  <m:sub>
                    <m:r>
                      <m:rPr>
                        <m:sty m:val="p"/>
                      </m:rPr>
                      <w:rPr>
                        <w:rFonts w:ascii="Cambria Math" w:hAnsi="Cambria Math"/>
                      </w:rPr>
                      <m:t>k</m:t>
                    </m:r>
                  </m:sub>
                  <m:sup/>
                  <m:e>
                    <m:sSub>
                      <m:sSubPr>
                        <m:ctrlPr>
                          <w:rPr>
                            <w:rFonts w:ascii="Cambria Math" w:hAnsi="Cambria Math"/>
                          </w:rPr>
                        </m:ctrlPr>
                      </m:sSubPr>
                      <m:e>
                        <m:r>
                          <w:rPr>
                            <w:rFonts w:ascii="Cambria Math" w:hAnsi="Cambria Math"/>
                          </w:rPr>
                          <m:t>K</m:t>
                        </m:r>
                      </m:e>
                      <m:sub>
                        <m:r>
                          <m:rPr>
                            <m:sty m:val="p"/>
                          </m:rPr>
                          <w:rPr>
                            <w:rFonts w:ascii="Cambria Math" w:hAnsi="Cambria Math"/>
                          </w:rPr>
                          <m:t>y,ik</m:t>
                        </m:r>
                      </m:sub>
                    </m:sSub>
                  </m:e>
                </m:nary>
              </m:den>
            </m:f>
          </m:e>
        </m:rad>
      </m:oMath>
      <w:r w:rsidR="005C7E1C" w:rsidRPr="00870D59">
        <w:tab/>
        <w:t>(</w:t>
      </w:r>
      <w:r w:rsidR="005C7E1C">
        <w:t>B</w:t>
      </w:r>
      <w:r w:rsidR="005C7E1C" w:rsidRPr="00870D59">
        <w:t>.</w:t>
      </w:r>
      <w:r w:rsidR="005C7E1C">
        <w:t>5</w:t>
      </w:r>
      <w:r w:rsidR="005C7E1C" w:rsidRPr="00870D59">
        <w:t>)</w:t>
      </w:r>
    </w:p>
    <w:p w14:paraId="7BBCED3D" w14:textId="60B328C2" w:rsidR="005C7E1C" w:rsidRPr="001B2671" w:rsidRDefault="005C7E1C" w:rsidP="00301F2A">
      <w:pPr>
        <w:pStyle w:val="Text"/>
      </w:pPr>
      <w:r>
        <w:t>where</w:t>
      </w:r>
      <m:oMath>
        <m:r>
          <w:rPr>
            <w:rFonts w:ascii="Cambria Math" w:hAnsi="Cambria Math"/>
          </w:rPr>
          <m:t xml:space="preserve"> </m:t>
        </m:r>
        <m:sSub>
          <m:sSubPr>
            <m:ctrlPr>
              <w:rPr>
                <w:rFonts w:ascii="Cambria Math" w:hAnsi="Cambria Math"/>
              </w:rPr>
            </m:ctrlPr>
          </m:sSubPr>
          <m:e>
            <m:r>
              <w:rPr>
                <w:rFonts w:ascii="Cambria Math" w:hAnsi="Cambria Math"/>
              </w:rPr>
              <m:t>K</m:t>
            </m:r>
          </m:e>
          <m:sub>
            <m:r>
              <m:rPr>
                <m:sty m:val="p"/>
              </m:rPr>
              <w:rPr>
                <w:rFonts w:ascii="Cambria Math" w:hAnsi="Cambria Math"/>
              </w:rPr>
              <m:t>x,ij</m:t>
            </m:r>
          </m:sub>
        </m:sSub>
      </m:oMath>
      <w:r w:rsidRPr="00735304">
        <w:t xml:space="preserve">and </w:t>
      </w:r>
      <m:oMath>
        <m:sSub>
          <m:sSubPr>
            <m:ctrlPr>
              <w:rPr>
                <w:rFonts w:ascii="Cambria Math" w:hAnsi="Cambria Math"/>
              </w:rPr>
            </m:ctrlPr>
          </m:sSubPr>
          <m:e>
            <m:r>
              <w:rPr>
                <w:rFonts w:ascii="Cambria Math" w:hAnsi="Cambria Math"/>
              </w:rPr>
              <m:t>K</m:t>
            </m:r>
          </m:e>
          <m:sub>
            <m:r>
              <m:rPr>
                <m:sty m:val="p"/>
              </m:rPr>
              <w:rPr>
                <w:rFonts w:ascii="Cambria Math" w:hAnsi="Cambria Math"/>
              </w:rPr>
              <m:t>y,ik</m:t>
            </m:r>
          </m:sub>
        </m:sSub>
      </m:oMath>
      <w:r w:rsidRPr="00735304">
        <w:t xml:space="preserve"> may be taken as </w:t>
      </w:r>
      <w:r w:rsidRPr="00301F2A">
        <w:t>in (2) to (4), as</w:t>
      </w:r>
      <w:r w:rsidRPr="00735304">
        <w:t xml:space="preserve"> appropriate</w:t>
      </w:r>
      <w:r>
        <w:t>.</w:t>
      </w:r>
    </w:p>
    <w:p w14:paraId="7FA70145" w14:textId="77777777" w:rsidR="005C7E1C" w:rsidRPr="00D1484A" w:rsidRDefault="005C7E1C" w:rsidP="005C7E1C">
      <w:pPr>
        <w:pStyle w:val="Notetext"/>
      </w:pPr>
      <w:r w:rsidRPr="00E05E29">
        <w:t>NOTE</w:t>
      </w:r>
      <w:r w:rsidRPr="00E05E29">
        <w:tab/>
      </w:r>
      <w:r w:rsidRPr="00196951">
        <w:t xml:space="preserve">A Formula similar to (B.5) applies to </w:t>
      </w:r>
      <m:oMath>
        <m:sSub>
          <m:sSubPr>
            <m:ctrlPr>
              <w:rPr>
                <w:rFonts w:ascii="Cambria Math" w:hAnsi="Cambria Math"/>
              </w:rPr>
            </m:ctrlPr>
          </m:sSubPr>
          <m:e>
            <m:r>
              <w:rPr>
                <w:rFonts w:ascii="Cambria Math" w:hAnsi="Cambria Math"/>
              </w:rPr>
              <m:t>r</m:t>
            </m:r>
          </m:e>
          <m:sub>
            <m:r>
              <m:rPr>
                <m:sty m:val="p"/>
              </m:rPr>
              <w:rPr>
                <w:rFonts w:ascii="Cambria Math" w:hAnsi="Cambria Math"/>
              </w:rPr>
              <m:t>y,i</m:t>
            </m:r>
          </m:sub>
        </m:sSub>
      </m:oMath>
      <w:r w:rsidRPr="00132C1E">
        <w:t>.</w:t>
      </w:r>
    </w:p>
    <w:p w14:paraId="67AF5642" w14:textId="77777777" w:rsidR="005C7E1C" w:rsidRPr="007E6F67" w:rsidRDefault="005C7E1C" w:rsidP="005C7E1C">
      <w:pPr>
        <w:pStyle w:val="a2"/>
        <w:rPr>
          <w:lang w:eastAsia="en-US"/>
        </w:rPr>
      </w:pPr>
      <w:bookmarkStart w:id="11144" w:name="_Toc16927724"/>
      <w:bookmarkStart w:id="11145" w:name="_Toc50150709"/>
      <w:bookmarkStart w:id="11146" w:name="_Toc70887142"/>
      <w:bookmarkStart w:id="11147" w:name="_Toc108342726"/>
      <w:bookmarkStart w:id="11148" w:name="_Toc134198235"/>
      <w:r w:rsidRPr="00D1484A">
        <w:rPr>
          <w:lang w:eastAsia="en-US"/>
        </w:rPr>
        <w:t>Calculation by a 3D model</w:t>
      </w:r>
      <w:bookmarkEnd w:id="11144"/>
      <w:bookmarkEnd w:id="11145"/>
      <w:bookmarkEnd w:id="11146"/>
      <w:bookmarkEnd w:id="11147"/>
      <w:bookmarkEnd w:id="11148"/>
    </w:p>
    <w:p w14:paraId="4C8D1045" w14:textId="77777777" w:rsidR="005C7E1C" w:rsidRPr="002144A0" w:rsidRDefault="005C7E1C" w:rsidP="0080187E">
      <w:pPr>
        <w:pStyle w:val="Clause"/>
        <w:numPr>
          <w:ilvl w:val="0"/>
          <w:numId w:val="562"/>
        </w:numPr>
      </w:pPr>
      <w:r w:rsidRPr="007E6F67">
        <w:t xml:space="preserve">The components of the natural </w:t>
      </w:r>
      <w:r w:rsidRPr="00B00B3D">
        <w:t xml:space="preserve">eccentricity </w:t>
      </w:r>
      <w:r w:rsidRPr="00B00B3D">
        <w:rPr>
          <w:i/>
        </w:rPr>
        <w:t>e</w:t>
      </w:r>
      <w:r w:rsidRPr="00B00B3D">
        <w:rPr>
          <w:vertAlign w:val="subscript"/>
        </w:rPr>
        <w:t>0,i</w:t>
      </w:r>
      <w:r w:rsidRPr="00FD17CF">
        <w:t xml:space="preserve"> in two orthogonal horizontal axes </w:t>
      </w:r>
      <w:r w:rsidRPr="00646639">
        <w:rPr>
          <w:i/>
        </w:rPr>
        <w:t>x</w:t>
      </w:r>
      <w:r w:rsidRPr="00196951">
        <w:t xml:space="preserve"> and </w:t>
      </w:r>
      <w:r w:rsidRPr="00646639">
        <w:rPr>
          <w:i/>
        </w:rPr>
        <w:t>y</w:t>
      </w:r>
      <w:r w:rsidRPr="00196951">
        <w:t xml:space="preserve"> may be calculated at all floors of a building using a 3D model and the procedure in </w:t>
      </w:r>
      <w:r w:rsidRPr="00835C82">
        <w:t>(2)</w:t>
      </w:r>
      <w:r w:rsidRPr="002144A0">
        <w:t xml:space="preserve"> to </w:t>
      </w:r>
      <w:r w:rsidRPr="00835C82">
        <w:t>(4)</w:t>
      </w:r>
      <w:r w:rsidRPr="002144A0">
        <w:t>, with the condition that the floors may be considered as rigid in their planes.</w:t>
      </w:r>
    </w:p>
    <w:p w14:paraId="5AB60F4A" w14:textId="26E62222" w:rsidR="005C7E1C" w:rsidRPr="00132C1E" w:rsidRDefault="005C7E1C" w:rsidP="00724E4E">
      <w:pPr>
        <w:pStyle w:val="Clause"/>
      </w:pPr>
      <w:r w:rsidRPr="004F25D7">
        <w:t xml:space="preserve">A profile of forces should be defined in applying at each floor </w:t>
      </w:r>
      <w:r w:rsidRPr="00C52095">
        <w:rPr>
          <w:i/>
          <w:iCs/>
        </w:rPr>
        <w:t>i</w:t>
      </w:r>
      <w:r w:rsidRPr="00C52095">
        <w:t xml:space="preserve"> a unit acceleration to the mass</w:t>
      </w:r>
      <w:r w:rsidR="002B4125">
        <w:t xml:space="preserve"> which, as</w:t>
      </w:r>
      <w:r w:rsidRPr="00C52095">
        <w:t xml:space="preserve"> defined in </w:t>
      </w:r>
      <w:r w:rsidRPr="00835C82">
        <w:t>B3(1)a)</w:t>
      </w:r>
      <w:r w:rsidR="002B4125" w:rsidRPr="00835C82">
        <w:t xml:space="preserve">, </w:t>
      </w:r>
      <w:r w:rsidR="002B4125" w:rsidRPr="004B502C">
        <w:rPr>
          <w:bCs/>
        </w:rPr>
        <w:t xml:space="preserve">is calculated according to </w:t>
      </w:r>
      <w:r w:rsidR="002B4125" w:rsidRPr="00835C82">
        <w:t>5.1.2(1)</w:t>
      </w:r>
      <w:r w:rsidRPr="002B4125">
        <w:rPr>
          <w:bCs/>
        </w:rPr>
        <w:t>.</w:t>
      </w:r>
    </w:p>
    <w:p w14:paraId="15757D20" w14:textId="77777777" w:rsidR="005C7E1C" w:rsidRPr="00132C1E" w:rsidRDefault="005C7E1C" w:rsidP="005C7E1C">
      <w:pPr>
        <w:pStyle w:val="Notetext"/>
      </w:pPr>
      <w:r w:rsidRPr="00132C1E">
        <w:t>NOTE</w:t>
      </w:r>
      <w:r w:rsidRPr="00132C1E">
        <w:tab/>
        <w:t>This simple profile allows for an approximate value of the natural eccentricity at each floor considered sufficient for its use in this Standard.</w:t>
      </w:r>
    </w:p>
    <w:p w14:paraId="574DF609" w14:textId="77777777" w:rsidR="005C7E1C" w:rsidRPr="00132C1E" w:rsidRDefault="005C7E1C" w:rsidP="00724E4E">
      <w:pPr>
        <w:pStyle w:val="Clause"/>
      </w:pPr>
      <w:r w:rsidRPr="00132C1E">
        <w:t>Three load cases should be applied separately to the structure, as given in a) to c):</w:t>
      </w:r>
    </w:p>
    <w:p w14:paraId="64E4A710" w14:textId="3530FCB0" w:rsidR="005C7E1C" w:rsidRPr="00B44610" w:rsidRDefault="005C7E1C" w:rsidP="00BD628C">
      <w:pPr>
        <w:pStyle w:val="Text"/>
        <w:numPr>
          <w:ilvl w:val="0"/>
          <w:numId w:val="698"/>
        </w:numPr>
        <w:spacing w:after="200"/>
      </w:pPr>
      <w:r w:rsidRPr="00B44610">
        <w:t xml:space="preserve">Case 1: the profile of forces defined in (2) applied in the </w:t>
      </w:r>
      <w:r w:rsidRPr="00B44610">
        <w:rPr>
          <w:i/>
          <w:iCs/>
        </w:rPr>
        <w:t>x</w:t>
      </w:r>
      <w:r w:rsidRPr="00B44610">
        <w:t xml:space="preserve"> direction, which gives </w:t>
      </w:r>
      <m:oMath>
        <m:r>
          <m:rPr>
            <m:sty m:val="p"/>
          </m:rPr>
          <w:rPr>
            <w:rFonts w:ascii="Cambria Math" w:hAnsi="Cambria Math"/>
          </w:rPr>
          <m:t>Δ</m:t>
        </m:r>
        <m:sSub>
          <m:sSubPr>
            <m:ctrlPr>
              <w:rPr>
                <w:rFonts w:ascii="Cambria Math" w:eastAsia="Times New Roman" w:hAnsi="Cambria Math"/>
                <w:i/>
                <w:noProof/>
                <w:sz w:val="24"/>
              </w:rPr>
            </m:ctrlPr>
          </m:sSubPr>
          <m:e>
            <m:r>
              <w:rPr>
                <w:rFonts w:ascii="Cambria Math" w:hAnsi="Cambria Math"/>
              </w:rPr>
              <m:t>θ</m:t>
            </m:r>
          </m:e>
          <m:sub>
            <m:r>
              <m:rPr>
                <m:sty m:val="p"/>
              </m:rPr>
              <w:rPr>
                <w:rFonts w:ascii="Cambria Math" w:hAnsi="Cambria Math"/>
              </w:rPr>
              <m:t>y,i</m:t>
            </m:r>
          </m:sub>
        </m:sSub>
      </m:oMath>
    </w:p>
    <w:p w14:paraId="32E9EAF4" w14:textId="78E02639" w:rsidR="005C7E1C" w:rsidRPr="00B44610" w:rsidRDefault="005C7E1C" w:rsidP="00BD628C">
      <w:pPr>
        <w:pStyle w:val="Text"/>
        <w:numPr>
          <w:ilvl w:val="0"/>
          <w:numId w:val="698"/>
        </w:numPr>
        <w:spacing w:after="200"/>
      </w:pPr>
      <w:r w:rsidRPr="00B44610">
        <w:t xml:space="preserve">Case 2: the profile of forces defined in (2) applied in the </w:t>
      </w:r>
      <w:r w:rsidRPr="00B44610">
        <w:rPr>
          <w:i/>
          <w:iCs/>
        </w:rPr>
        <w:t>y</w:t>
      </w:r>
      <w:r w:rsidRPr="00B44610">
        <w:t xml:space="preserve"> direction, which gives </w:t>
      </w:r>
      <m:oMath>
        <m:r>
          <m:rPr>
            <m:sty m:val="p"/>
          </m:rPr>
          <w:rPr>
            <w:rFonts w:ascii="Cambria Math" w:hAnsi="Cambria Math"/>
          </w:rPr>
          <m:t>Δ</m:t>
        </m:r>
        <m:sSub>
          <m:sSubPr>
            <m:ctrlPr>
              <w:rPr>
                <w:rFonts w:ascii="Cambria Math" w:eastAsia="Times New Roman" w:hAnsi="Cambria Math"/>
                <w:i/>
                <w:noProof/>
                <w:sz w:val="24"/>
              </w:rPr>
            </m:ctrlPr>
          </m:sSubPr>
          <m:e>
            <m:r>
              <w:rPr>
                <w:rFonts w:ascii="Cambria Math" w:hAnsi="Cambria Math"/>
              </w:rPr>
              <m:t>θ</m:t>
            </m:r>
          </m:e>
          <m:sub>
            <m:r>
              <m:rPr>
                <m:sty m:val="p"/>
              </m:rPr>
              <w:rPr>
                <w:rFonts w:ascii="Cambria Math" w:hAnsi="Cambria Math"/>
              </w:rPr>
              <m:t>y,i</m:t>
            </m:r>
          </m:sub>
        </m:sSub>
      </m:oMath>
      <w:r w:rsidRPr="00B44610">
        <w:t>.</w:t>
      </w:r>
    </w:p>
    <w:p w14:paraId="52E759D2" w14:textId="0C80D26E" w:rsidR="005C7E1C" w:rsidRPr="00B44610" w:rsidRDefault="005C7E1C" w:rsidP="00BD628C">
      <w:pPr>
        <w:pStyle w:val="Text"/>
        <w:numPr>
          <w:ilvl w:val="0"/>
          <w:numId w:val="698"/>
        </w:numPr>
        <w:spacing w:after="200"/>
      </w:pPr>
      <w:r w:rsidRPr="00B44610">
        <w:t xml:space="preserve">Case 3: a profile of moments about the vertical axis applied at the centres of masses of the floors, which gives </w:t>
      </w:r>
      <m:oMath>
        <m:r>
          <m:rPr>
            <m:sty m:val="p"/>
          </m:rPr>
          <w:rPr>
            <w:rFonts w:ascii="Cambria Math" w:hAnsi="Cambria Math"/>
          </w:rPr>
          <m:t>Δ</m:t>
        </m:r>
        <m:sSub>
          <m:sSubPr>
            <m:ctrlPr>
              <w:rPr>
                <w:rFonts w:ascii="Cambria Math" w:eastAsia="Times New Roman" w:hAnsi="Cambria Math"/>
                <w:i/>
                <w:noProof/>
                <w:sz w:val="24"/>
              </w:rPr>
            </m:ctrlPr>
          </m:sSubPr>
          <m:e>
            <m:r>
              <w:rPr>
                <w:rFonts w:ascii="Cambria Math" w:hAnsi="Cambria Math"/>
              </w:rPr>
              <m:t>θ</m:t>
            </m:r>
          </m:e>
          <m:sub>
            <m:r>
              <m:rPr>
                <m:sty m:val="p"/>
              </m:rPr>
              <w:rPr>
                <w:rFonts w:ascii="Cambria Math" w:hAnsi="Cambria Math"/>
              </w:rPr>
              <m:t>z,i</m:t>
            </m:r>
          </m:sub>
        </m:sSub>
      </m:oMath>
      <w:r w:rsidRPr="00B44610">
        <w:t>. The values of the moments should be equal to the values of the forces in the profile in (2).</w:t>
      </w:r>
    </w:p>
    <w:p w14:paraId="106DBC90" w14:textId="77777777" w:rsidR="005C7E1C" w:rsidRPr="00132C1E" w:rsidRDefault="005C7E1C" w:rsidP="00724E4E">
      <w:pPr>
        <w:pStyle w:val="Clause"/>
      </w:pPr>
      <w:r w:rsidRPr="00132C1E">
        <w:t xml:space="preserve">The components </w:t>
      </w:r>
      <w:r w:rsidRPr="00132C1E">
        <w:rPr>
          <w:i/>
        </w:rPr>
        <w:t>e</w:t>
      </w:r>
      <w:r w:rsidRPr="00132C1E">
        <w:rPr>
          <w:vertAlign w:val="subscript"/>
        </w:rPr>
        <w:t>0x,i</w:t>
      </w:r>
      <w:r w:rsidRPr="00132C1E">
        <w:t xml:space="preserve"> and </w:t>
      </w:r>
      <w:r w:rsidRPr="00132C1E">
        <w:rPr>
          <w:i/>
        </w:rPr>
        <w:t>e</w:t>
      </w:r>
      <w:r w:rsidRPr="00132C1E">
        <w:rPr>
          <w:vertAlign w:val="subscript"/>
        </w:rPr>
        <w:t>0y,i</w:t>
      </w:r>
      <w:r w:rsidRPr="00132C1E">
        <w:t xml:space="preserve"> of the natural eccentricity should be taken as given by Formula (B.6).</w:t>
      </w:r>
    </w:p>
    <w:p w14:paraId="0D37ADFA" w14:textId="3978CCCE" w:rsidR="005C7E1C" w:rsidRDefault="009B5CEC" w:rsidP="005C7E1C">
      <w:pPr>
        <w:pStyle w:val="Formula"/>
        <w:spacing w:before="240"/>
      </w:pPr>
      <m:oMath>
        <m:sSub>
          <m:sSubPr>
            <m:ctrlPr>
              <w:rPr>
                <w:rFonts w:ascii="Cambria Math" w:hAnsi="Cambria Math"/>
              </w:rPr>
            </m:ctrlPr>
          </m:sSubPr>
          <m:e>
            <m:r>
              <w:rPr>
                <w:rFonts w:ascii="Cambria Math" w:hAnsi="Cambria Math"/>
              </w:rPr>
              <m:t>e</m:t>
            </m:r>
          </m:e>
          <m:sub>
            <m:r>
              <m:rPr>
                <m:sty m:val="p"/>
              </m:rPr>
              <w:rPr>
                <w:rFonts w:ascii="Cambria Math" w:hAnsi="Cambria Math"/>
              </w:rPr>
              <m:t>0x,i</m:t>
            </m:r>
          </m:sub>
        </m:sSub>
        <m:r>
          <w:rPr>
            <w:rFonts w:ascii="Cambria Math" w:hAnsi="Cambria Math"/>
          </w:rPr>
          <m:t>=</m:t>
        </m:r>
        <m:f>
          <m:fPr>
            <m:ctrlPr>
              <w:rPr>
                <w:rFonts w:ascii="Cambria Math" w:hAnsi="Cambria Math"/>
              </w:rPr>
            </m:ctrlPr>
          </m:fPr>
          <m:num>
            <m:r>
              <w:rPr>
                <w:rFonts w:ascii="Cambria Math" w:hAnsi="Cambria Math"/>
              </w:rPr>
              <m:t>Δ</m:t>
            </m:r>
            <m:sSub>
              <m:sSubPr>
                <m:ctrlPr>
                  <w:rPr>
                    <w:rFonts w:ascii="Cambria Math" w:hAnsi="Cambria Math"/>
                  </w:rPr>
                </m:ctrlPr>
              </m:sSubPr>
              <m:e>
                <m:r>
                  <w:rPr>
                    <w:rFonts w:ascii="Cambria Math" w:hAnsi="Cambria Math"/>
                  </w:rPr>
                  <m:t>θ</m:t>
                </m:r>
              </m:e>
              <m:sub>
                <m:r>
                  <m:rPr>
                    <m:sty m:val="p"/>
                  </m:rPr>
                  <w:rPr>
                    <w:rFonts w:ascii="Cambria Math" w:hAnsi="Cambria Math"/>
                  </w:rPr>
                  <m:t>y,i</m:t>
                </m:r>
              </m:sub>
            </m:sSub>
          </m:num>
          <m:den>
            <m:r>
              <w:rPr>
                <w:rFonts w:ascii="Cambria Math" w:hAnsi="Cambria Math"/>
              </w:rPr>
              <m:t>Δ</m:t>
            </m:r>
            <m:sSub>
              <m:sSubPr>
                <m:ctrlPr>
                  <w:rPr>
                    <w:rFonts w:ascii="Cambria Math" w:hAnsi="Cambria Math"/>
                  </w:rPr>
                </m:ctrlPr>
              </m:sSubPr>
              <m:e>
                <m:r>
                  <w:rPr>
                    <w:rFonts w:ascii="Cambria Math" w:hAnsi="Cambria Math"/>
                  </w:rPr>
                  <m:t>θ</m:t>
                </m:r>
              </m:e>
              <m:sub>
                <m:r>
                  <m:rPr>
                    <m:sty m:val="p"/>
                  </m:rPr>
                  <w:rPr>
                    <w:rFonts w:ascii="Cambria Math" w:hAnsi="Cambria Math"/>
                  </w:rPr>
                  <m:t>z,i</m:t>
                </m:r>
              </m:sub>
            </m:sSub>
          </m:den>
        </m:f>
        <m:r>
          <w:rPr>
            <w:rFonts w:ascii="Cambria Math" w:hAnsi="Cambria Math"/>
          </w:rPr>
          <m:t xml:space="preserve">; </m:t>
        </m:r>
        <m:sSub>
          <m:sSubPr>
            <m:ctrlPr>
              <w:rPr>
                <w:rFonts w:ascii="Cambria Math" w:hAnsi="Cambria Math"/>
              </w:rPr>
            </m:ctrlPr>
          </m:sSubPr>
          <m:e>
            <m:r>
              <w:rPr>
                <w:rFonts w:ascii="Cambria Math" w:hAnsi="Cambria Math"/>
              </w:rPr>
              <m:t>e</m:t>
            </m:r>
          </m:e>
          <m:sub>
            <m:r>
              <m:rPr>
                <m:sty m:val="p"/>
              </m:rPr>
              <w:rPr>
                <w:rFonts w:ascii="Cambria Math" w:hAnsi="Cambria Math"/>
              </w:rPr>
              <m:t>0y,i</m:t>
            </m:r>
          </m:sub>
        </m:sSub>
        <m:r>
          <w:rPr>
            <w:rFonts w:ascii="Cambria Math" w:hAnsi="Cambria Math"/>
          </w:rPr>
          <m:t>=</m:t>
        </m:r>
        <m:f>
          <m:fPr>
            <m:ctrlPr>
              <w:rPr>
                <w:rFonts w:ascii="Cambria Math" w:hAnsi="Cambria Math"/>
              </w:rPr>
            </m:ctrlPr>
          </m:fPr>
          <m:num>
            <m:r>
              <w:rPr>
                <w:rFonts w:ascii="Cambria Math" w:hAnsi="Cambria Math"/>
              </w:rPr>
              <m:t>Δ</m:t>
            </m:r>
            <m:sSub>
              <m:sSubPr>
                <m:ctrlPr>
                  <w:rPr>
                    <w:rFonts w:ascii="Cambria Math" w:hAnsi="Cambria Math"/>
                  </w:rPr>
                </m:ctrlPr>
              </m:sSubPr>
              <m:e>
                <m:r>
                  <w:rPr>
                    <w:rFonts w:ascii="Cambria Math" w:hAnsi="Cambria Math"/>
                  </w:rPr>
                  <m:t>θ</m:t>
                </m:r>
              </m:e>
              <m:sub>
                <m:r>
                  <m:rPr>
                    <m:sty m:val="p"/>
                  </m:rPr>
                  <w:rPr>
                    <w:rFonts w:ascii="Cambria Math" w:hAnsi="Cambria Math"/>
                  </w:rPr>
                  <m:t>x,i</m:t>
                </m:r>
              </m:sub>
            </m:sSub>
          </m:num>
          <m:den>
            <m:r>
              <w:rPr>
                <w:rFonts w:ascii="Cambria Math" w:hAnsi="Cambria Math"/>
              </w:rPr>
              <m:t>Δ</m:t>
            </m:r>
            <m:sSub>
              <m:sSubPr>
                <m:ctrlPr>
                  <w:rPr>
                    <w:rFonts w:ascii="Cambria Math" w:hAnsi="Cambria Math"/>
                  </w:rPr>
                </m:ctrlPr>
              </m:sSubPr>
              <m:e>
                <m:r>
                  <w:rPr>
                    <w:rFonts w:ascii="Cambria Math" w:hAnsi="Cambria Math"/>
                  </w:rPr>
                  <m:t>θ</m:t>
                </m:r>
              </m:e>
              <m:sub>
                <m:r>
                  <m:rPr>
                    <m:sty m:val="p"/>
                  </m:rPr>
                  <w:rPr>
                    <w:rFonts w:ascii="Cambria Math" w:hAnsi="Cambria Math"/>
                  </w:rPr>
                  <m:t>z,i</m:t>
                </m:r>
              </m:sub>
            </m:sSub>
          </m:den>
        </m:f>
      </m:oMath>
      <w:r w:rsidR="005C7E1C" w:rsidRPr="00870D59">
        <w:tab/>
        <w:t>(</w:t>
      </w:r>
      <w:r w:rsidR="005C7E1C">
        <w:t>B</w:t>
      </w:r>
      <w:r w:rsidR="005C7E1C" w:rsidRPr="00870D59">
        <w:t>.</w:t>
      </w:r>
      <w:r w:rsidR="005C7E1C">
        <w:t>6</w:t>
      </w:r>
      <w:r w:rsidR="005C7E1C" w:rsidRPr="00870D59">
        <w:t>)</w:t>
      </w:r>
    </w:p>
    <w:p w14:paraId="2C19F4D6" w14:textId="75D022E0" w:rsidR="005C7E1C" w:rsidRPr="001B2671" w:rsidRDefault="00675EBA" w:rsidP="00B44610">
      <w:pPr>
        <w:pStyle w:val="Text"/>
      </w:pPr>
      <w:r>
        <w:t>where</w:t>
      </w:r>
    </w:p>
    <w:tbl>
      <w:tblPr>
        <w:tblW w:w="0" w:type="auto"/>
        <w:tblInd w:w="346" w:type="dxa"/>
        <w:tblLook w:val="04A0" w:firstRow="1" w:lastRow="0" w:firstColumn="1" w:lastColumn="0" w:noHBand="0" w:noVBand="1"/>
      </w:tblPr>
      <w:tblGrid>
        <w:gridCol w:w="1275"/>
        <w:gridCol w:w="7938"/>
      </w:tblGrid>
      <w:tr w:rsidR="005C7E1C" w:rsidRPr="000F2AFF" w14:paraId="505E34F3" w14:textId="77777777" w:rsidTr="00BD628C">
        <w:tc>
          <w:tcPr>
            <w:tcW w:w="1275" w:type="dxa"/>
          </w:tcPr>
          <w:p w14:paraId="7AD2853D" w14:textId="4082A0E0" w:rsidR="005C7E1C" w:rsidRPr="00773100" w:rsidRDefault="005C7E1C" w:rsidP="002061E5">
            <w:pPr>
              <w:spacing w:after="60"/>
              <w:jc w:val="left"/>
              <w:rPr>
                <w:rFonts w:eastAsia="Times New Roman" w:cs="Cambria"/>
                <w:color w:val="000000" w:themeColor="text1"/>
                <w:szCs w:val="20"/>
                <w:lang w:eastAsia="fr-FR"/>
              </w:rPr>
            </w:pPr>
            <m:oMathPara>
              <m:oMathParaPr>
                <m:jc m:val="left"/>
              </m:oMathParaPr>
              <m:oMath>
                <m:r>
                  <m:rPr>
                    <m:sty m:val="p"/>
                  </m:rPr>
                  <w:rPr>
                    <w:rFonts w:ascii="Cambria Math" w:hAnsi="Cambria Math"/>
                  </w:rPr>
                  <m:t>Δ</m:t>
                </m:r>
                <m:sSub>
                  <m:sSubPr>
                    <m:ctrlPr>
                      <w:rPr>
                        <w:rFonts w:ascii="Cambria Math" w:eastAsia="Times New Roman" w:hAnsi="Cambria Math"/>
                        <w:bCs/>
                        <w:i/>
                        <w:noProof/>
                        <w:sz w:val="24"/>
                      </w:rPr>
                    </m:ctrlPr>
                  </m:sSubPr>
                  <m:e>
                    <m:r>
                      <w:rPr>
                        <w:rFonts w:ascii="Cambria Math" w:hAnsi="Cambria Math"/>
                      </w:rPr>
                      <m:t>θ</m:t>
                    </m:r>
                  </m:e>
                  <m:sub>
                    <m:r>
                      <m:rPr>
                        <m:sty m:val="p"/>
                      </m:rPr>
                      <w:rPr>
                        <w:rFonts w:ascii="Cambria Math" w:hAnsi="Cambria Math"/>
                      </w:rPr>
                      <m:t>x,i</m:t>
                    </m:r>
                  </m:sub>
                </m:sSub>
              </m:oMath>
            </m:oMathPara>
          </w:p>
        </w:tc>
        <w:tc>
          <w:tcPr>
            <w:tcW w:w="7938" w:type="dxa"/>
          </w:tcPr>
          <w:p w14:paraId="794E6AA5" w14:textId="6BE2ABC1" w:rsidR="005C7E1C" w:rsidRPr="005C7E1C" w:rsidRDefault="005C7E1C" w:rsidP="002061E5">
            <w:pPr>
              <w:pStyle w:val="Listofsymbols"/>
              <w:tabs>
                <w:tab w:val="clear" w:pos="1134"/>
                <w:tab w:val="left" w:pos="1347"/>
              </w:tabs>
              <w:ind w:left="0" w:firstLine="0"/>
              <w:rPr>
                <w:rFonts w:eastAsia="Times New Roman"/>
                <w:szCs w:val="22"/>
              </w:rPr>
            </w:pPr>
            <w:r w:rsidRPr="00D1484A">
              <w:rPr>
                <w:bCs/>
                <w:szCs w:val="22"/>
                <w:lang w:eastAsia="en-US"/>
              </w:rPr>
              <w:t>is the difference of rotations about the vertical axis</w:t>
            </w:r>
            <w:r w:rsidRPr="00D1484A" w:rsidDel="00F4593B">
              <w:rPr>
                <w:bCs/>
                <w:szCs w:val="22"/>
                <w:lang w:eastAsia="en-US"/>
              </w:rPr>
              <w:t xml:space="preserve"> </w:t>
            </w:r>
            <w:r w:rsidRPr="007E6F67">
              <w:rPr>
                <w:bCs/>
                <w:szCs w:val="22"/>
                <w:lang w:eastAsia="en-US"/>
              </w:rPr>
              <w:t xml:space="preserve">between floor </w:t>
            </w:r>
            <w:r w:rsidRPr="007E6F67">
              <w:rPr>
                <w:bCs/>
                <w:i/>
                <w:szCs w:val="22"/>
                <w:lang w:eastAsia="en-US"/>
              </w:rPr>
              <w:t>i</w:t>
            </w:r>
            <w:r w:rsidRPr="00FD17CF">
              <w:rPr>
                <w:bCs/>
                <w:szCs w:val="22"/>
                <w:lang w:eastAsia="en-US"/>
              </w:rPr>
              <w:t xml:space="preserve"> - 1 and floor </w:t>
            </w:r>
            <w:r w:rsidRPr="00FD17CF">
              <w:rPr>
                <w:bCs/>
                <w:i/>
                <w:szCs w:val="22"/>
                <w:lang w:eastAsia="en-US"/>
              </w:rPr>
              <w:t>i</w:t>
            </w:r>
            <w:r w:rsidRPr="00FD17CF">
              <w:rPr>
                <w:bCs/>
                <w:szCs w:val="22"/>
                <w:lang w:eastAsia="en-US"/>
              </w:rPr>
              <w:t xml:space="preserve"> in Case 1;</w:t>
            </w:r>
          </w:p>
        </w:tc>
      </w:tr>
      <w:tr w:rsidR="005C7E1C" w:rsidRPr="000F2AFF" w14:paraId="0728A6C0" w14:textId="77777777" w:rsidTr="00BD628C">
        <w:tc>
          <w:tcPr>
            <w:tcW w:w="1275" w:type="dxa"/>
          </w:tcPr>
          <w:p w14:paraId="4922359A" w14:textId="2AE8CD64" w:rsidR="005C7E1C" w:rsidRPr="00773100" w:rsidRDefault="005C7E1C" w:rsidP="002061E5">
            <w:pPr>
              <w:spacing w:after="60"/>
              <w:jc w:val="left"/>
              <w:rPr>
                <w:rFonts w:eastAsia="Times New Roman" w:cs="Cambria"/>
                <w:color w:val="000000" w:themeColor="text1"/>
                <w:szCs w:val="20"/>
                <w:lang w:eastAsia="fr-FR"/>
              </w:rPr>
            </w:pPr>
            <m:oMathPara>
              <m:oMathParaPr>
                <m:jc m:val="left"/>
              </m:oMathParaPr>
              <m:oMath>
                <m:r>
                  <m:rPr>
                    <m:sty m:val="p"/>
                  </m:rPr>
                  <w:rPr>
                    <w:rFonts w:ascii="Cambria Math" w:hAnsi="Cambria Math"/>
                  </w:rPr>
                  <m:t>Δ</m:t>
                </m:r>
                <m:sSub>
                  <m:sSubPr>
                    <m:ctrlPr>
                      <w:rPr>
                        <w:rFonts w:ascii="Cambria Math" w:eastAsia="Times New Roman" w:hAnsi="Cambria Math"/>
                        <w:bCs/>
                        <w:i/>
                        <w:noProof/>
                        <w:sz w:val="24"/>
                      </w:rPr>
                    </m:ctrlPr>
                  </m:sSubPr>
                  <m:e>
                    <m:r>
                      <w:rPr>
                        <w:rFonts w:ascii="Cambria Math" w:hAnsi="Cambria Math"/>
                      </w:rPr>
                      <m:t>θ</m:t>
                    </m:r>
                  </m:e>
                  <m:sub>
                    <m:r>
                      <m:rPr>
                        <m:sty m:val="p"/>
                      </m:rPr>
                      <w:rPr>
                        <w:rFonts w:ascii="Cambria Math" w:hAnsi="Cambria Math"/>
                      </w:rPr>
                      <m:t>y,i</m:t>
                    </m:r>
                  </m:sub>
                </m:sSub>
              </m:oMath>
            </m:oMathPara>
          </w:p>
        </w:tc>
        <w:tc>
          <w:tcPr>
            <w:tcW w:w="7938" w:type="dxa"/>
          </w:tcPr>
          <w:p w14:paraId="406F414B" w14:textId="077917E6" w:rsidR="005C7E1C" w:rsidRPr="005C7E1C" w:rsidRDefault="005C7E1C" w:rsidP="002061E5">
            <w:pPr>
              <w:pStyle w:val="Listofsymbols"/>
              <w:tabs>
                <w:tab w:val="clear" w:pos="1134"/>
                <w:tab w:val="left" w:pos="1347"/>
              </w:tabs>
              <w:ind w:left="0" w:firstLine="0"/>
              <w:rPr>
                <w:rFonts w:eastAsia="Times New Roman"/>
                <w:szCs w:val="22"/>
              </w:rPr>
            </w:pPr>
            <w:r w:rsidRPr="00D1484A">
              <w:rPr>
                <w:bCs/>
                <w:szCs w:val="22"/>
                <w:lang w:eastAsia="en-US"/>
              </w:rPr>
              <w:t>is the difference of rotations about the vertical axis</w:t>
            </w:r>
            <w:r w:rsidRPr="00D1484A" w:rsidDel="00F4593B">
              <w:rPr>
                <w:bCs/>
                <w:szCs w:val="22"/>
                <w:lang w:eastAsia="en-US"/>
              </w:rPr>
              <w:t xml:space="preserve"> </w:t>
            </w:r>
            <w:r w:rsidRPr="007E6F67">
              <w:rPr>
                <w:bCs/>
                <w:szCs w:val="22"/>
                <w:lang w:eastAsia="en-US"/>
              </w:rPr>
              <w:t xml:space="preserve">between floor </w:t>
            </w:r>
            <w:r w:rsidRPr="007E6F67">
              <w:rPr>
                <w:bCs/>
                <w:i/>
                <w:szCs w:val="22"/>
                <w:lang w:eastAsia="en-US"/>
              </w:rPr>
              <w:t>i</w:t>
            </w:r>
            <w:r w:rsidRPr="00FD17CF">
              <w:rPr>
                <w:bCs/>
                <w:szCs w:val="22"/>
                <w:lang w:eastAsia="en-US"/>
              </w:rPr>
              <w:t xml:space="preserve"> - 1 and floor </w:t>
            </w:r>
            <w:r w:rsidRPr="00FD17CF">
              <w:rPr>
                <w:bCs/>
                <w:i/>
                <w:szCs w:val="22"/>
                <w:lang w:eastAsia="en-US"/>
              </w:rPr>
              <w:t>i</w:t>
            </w:r>
            <w:r w:rsidRPr="00FD17CF">
              <w:rPr>
                <w:bCs/>
                <w:szCs w:val="22"/>
                <w:lang w:eastAsia="en-US"/>
              </w:rPr>
              <w:t xml:space="preserve"> in Case </w:t>
            </w:r>
            <w:r>
              <w:rPr>
                <w:bCs/>
                <w:szCs w:val="22"/>
                <w:lang w:eastAsia="en-US"/>
              </w:rPr>
              <w:t>2</w:t>
            </w:r>
            <w:r w:rsidRPr="00FD17CF">
              <w:rPr>
                <w:bCs/>
                <w:szCs w:val="22"/>
                <w:lang w:eastAsia="en-US"/>
              </w:rPr>
              <w:t>;</w:t>
            </w:r>
          </w:p>
        </w:tc>
      </w:tr>
      <w:tr w:rsidR="005C7E1C" w:rsidRPr="000F2AFF" w14:paraId="71BC2BEF" w14:textId="77777777" w:rsidTr="00BD628C">
        <w:tc>
          <w:tcPr>
            <w:tcW w:w="1275" w:type="dxa"/>
          </w:tcPr>
          <w:p w14:paraId="3D91D8AF" w14:textId="51FC605A" w:rsidR="005C7E1C" w:rsidRPr="00E204C1" w:rsidRDefault="005C7E1C" w:rsidP="002061E5">
            <w:pPr>
              <w:spacing w:after="60"/>
              <w:jc w:val="left"/>
              <w:rPr>
                <w:rFonts w:ascii="Symbol" w:hAnsi="Symbol"/>
                <w:i/>
              </w:rPr>
            </w:pPr>
            <m:oMathPara>
              <m:oMathParaPr>
                <m:jc m:val="left"/>
              </m:oMathParaPr>
              <m:oMath>
                <m:r>
                  <m:rPr>
                    <m:sty m:val="p"/>
                  </m:rPr>
                  <w:rPr>
                    <w:rFonts w:ascii="Cambria Math" w:hAnsi="Cambria Math"/>
                  </w:rPr>
                  <w:lastRenderedPageBreak/>
                  <m:t>Δ</m:t>
                </m:r>
                <m:sSub>
                  <m:sSubPr>
                    <m:ctrlPr>
                      <w:rPr>
                        <w:rFonts w:ascii="Cambria Math" w:eastAsia="Times New Roman" w:hAnsi="Cambria Math"/>
                        <w:bCs/>
                        <w:i/>
                        <w:noProof/>
                        <w:sz w:val="24"/>
                      </w:rPr>
                    </m:ctrlPr>
                  </m:sSubPr>
                  <m:e>
                    <m:r>
                      <w:rPr>
                        <w:rFonts w:ascii="Cambria Math" w:hAnsi="Cambria Math"/>
                      </w:rPr>
                      <m:t>θ</m:t>
                    </m:r>
                  </m:e>
                  <m:sub>
                    <m:r>
                      <m:rPr>
                        <m:sty m:val="p"/>
                      </m:rPr>
                      <w:rPr>
                        <w:rFonts w:ascii="Cambria Math" w:hAnsi="Cambria Math"/>
                      </w:rPr>
                      <m:t>z,i</m:t>
                    </m:r>
                  </m:sub>
                </m:sSub>
              </m:oMath>
            </m:oMathPara>
          </w:p>
        </w:tc>
        <w:tc>
          <w:tcPr>
            <w:tcW w:w="7938" w:type="dxa"/>
          </w:tcPr>
          <w:p w14:paraId="1F328F9D" w14:textId="494529FA" w:rsidR="005C7E1C" w:rsidRPr="005C7E1C" w:rsidRDefault="005C7E1C" w:rsidP="002061E5">
            <w:pPr>
              <w:pStyle w:val="Listofsymbols"/>
              <w:tabs>
                <w:tab w:val="clear" w:pos="1134"/>
                <w:tab w:val="left" w:pos="1347"/>
              </w:tabs>
              <w:ind w:left="0" w:firstLine="0"/>
              <w:rPr>
                <w:szCs w:val="22"/>
              </w:rPr>
            </w:pPr>
            <w:r w:rsidRPr="00A1437F">
              <w:rPr>
                <w:bCs/>
                <w:szCs w:val="22"/>
                <w:lang w:eastAsia="en-US"/>
              </w:rPr>
              <w:t xml:space="preserve">is the difference of rotations about the vertical axis between floor </w:t>
            </w:r>
            <w:r w:rsidRPr="00A1437F">
              <w:rPr>
                <w:bCs/>
                <w:i/>
                <w:szCs w:val="22"/>
                <w:lang w:eastAsia="en-US"/>
              </w:rPr>
              <w:t>i</w:t>
            </w:r>
            <w:r w:rsidRPr="00A1437F">
              <w:rPr>
                <w:bCs/>
                <w:szCs w:val="22"/>
                <w:lang w:eastAsia="en-US"/>
              </w:rPr>
              <w:t xml:space="preserve"> - 1 and floor </w:t>
            </w:r>
            <w:r w:rsidRPr="000529B2">
              <w:rPr>
                <w:bCs/>
                <w:i/>
                <w:szCs w:val="22"/>
                <w:lang w:eastAsia="en-US"/>
              </w:rPr>
              <w:t>i</w:t>
            </w:r>
            <w:r w:rsidRPr="000529B2">
              <w:rPr>
                <w:bCs/>
                <w:szCs w:val="22"/>
                <w:lang w:eastAsia="en-US"/>
              </w:rPr>
              <w:t xml:space="preserve"> in Case 3. These rotations ma</w:t>
            </w:r>
            <w:r w:rsidRPr="00A1437F">
              <w:rPr>
                <w:bCs/>
                <w:szCs w:val="22"/>
                <w:lang w:eastAsia="en-US"/>
              </w:rPr>
              <w:t>y be calculated from the displacements at opposite sides of the floors.</w:t>
            </w:r>
          </w:p>
        </w:tc>
      </w:tr>
    </w:tbl>
    <w:p w14:paraId="5F9069C3" w14:textId="10E1D04F" w:rsidR="005C7E1C" w:rsidRPr="00196951" w:rsidRDefault="00F768D2" w:rsidP="00724E4E">
      <w:pPr>
        <w:pStyle w:val="Clause"/>
      </w:pPr>
      <w:r w:rsidRPr="00A1437F">
        <w:t xml:space="preserve">The torsional radius </w:t>
      </w:r>
      <w:r w:rsidRPr="00A1437F">
        <w:rPr>
          <w:i/>
          <w:iCs/>
        </w:rPr>
        <w:t>r</w:t>
      </w:r>
      <w:r w:rsidRPr="00A1437F">
        <w:rPr>
          <w:iCs/>
          <w:vertAlign w:val="subscript"/>
        </w:rPr>
        <w:t>x,i</w:t>
      </w:r>
      <w:r w:rsidRPr="00A1437F">
        <w:t xml:space="preserve"> in the </w:t>
      </w:r>
      <w:r w:rsidRPr="00A1437F">
        <w:rPr>
          <w:i/>
          <w:iCs/>
        </w:rPr>
        <w:t>x</w:t>
      </w:r>
      <w:r w:rsidRPr="00A1437F">
        <w:t xml:space="preserve"> direction should be taken as given in Formula (B.7).</w:t>
      </w:r>
    </w:p>
    <w:p w14:paraId="42365354" w14:textId="2C9796EA" w:rsidR="005C7E1C" w:rsidRDefault="009B5CEC" w:rsidP="005C7E1C">
      <w:pPr>
        <w:pStyle w:val="Formula"/>
        <w:spacing w:before="240"/>
      </w:pPr>
      <m:oMath>
        <m:sSub>
          <m:sSubPr>
            <m:ctrlPr>
              <w:rPr>
                <w:rFonts w:ascii="Cambria Math" w:hAnsi="Cambria Math"/>
              </w:rPr>
            </m:ctrlPr>
          </m:sSubPr>
          <m:e>
            <m:r>
              <w:rPr>
                <w:rFonts w:ascii="Cambria Math" w:hAnsi="Cambria Math"/>
              </w:rPr>
              <m:t>r</m:t>
            </m:r>
          </m:e>
          <m:sub>
            <m:r>
              <m:rPr>
                <m:sty m:val="p"/>
              </m:rPr>
              <w:rPr>
                <w:rFonts w:ascii="Cambria Math" w:hAnsi="Cambria Math"/>
              </w:rPr>
              <m:t>x,i</m:t>
            </m:r>
          </m:sub>
        </m:sSub>
        <m:r>
          <w:rPr>
            <w:rFonts w:ascii="Cambria Math" w:hAnsi="Cambria Math"/>
          </w:rPr>
          <m:t>=</m:t>
        </m:r>
        <m:rad>
          <m:radPr>
            <m:degHide m:val="1"/>
            <m:ctrlPr>
              <w:rPr>
                <w:rFonts w:ascii="Cambria Math" w:hAnsi="Cambria Math"/>
              </w:rPr>
            </m:ctrlPr>
          </m:radPr>
          <m:deg/>
          <m:e>
            <m:f>
              <m:fPr>
                <m:ctrlPr>
                  <w:rPr>
                    <w:rFonts w:ascii="Cambria Math" w:hAnsi="Cambria Math"/>
                  </w:rPr>
                </m:ctrlPr>
              </m:fPr>
              <m:num>
                <m:r>
                  <w:rPr>
                    <w:rFonts w:ascii="Cambria Math" w:hAnsi="Cambria Math"/>
                  </w:rPr>
                  <m:t>Δ</m:t>
                </m:r>
                <m:sSub>
                  <m:sSubPr>
                    <m:ctrlPr>
                      <w:rPr>
                        <w:rFonts w:ascii="Cambria Math" w:hAnsi="Cambria Math"/>
                      </w:rPr>
                    </m:ctrlPr>
                  </m:sSubPr>
                  <m:e>
                    <m:r>
                      <w:rPr>
                        <w:rFonts w:ascii="Cambria Math" w:hAnsi="Cambria Math"/>
                      </w:rPr>
                      <m:t>d</m:t>
                    </m:r>
                  </m:e>
                  <m:sub>
                    <m:r>
                      <m:rPr>
                        <m:sty m:val="p"/>
                      </m:rPr>
                      <w:rPr>
                        <w:rFonts w:ascii="Cambria Math" w:hAnsi="Cambria Math"/>
                      </w:rPr>
                      <m:t>y,C,i</m:t>
                    </m:r>
                  </m:sub>
                </m:sSub>
              </m:num>
              <m:den>
                <m:r>
                  <w:rPr>
                    <w:rFonts w:ascii="Cambria Math" w:hAnsi="Cambria Math"/>
                  </w:rPr>
                  <m:t>Δ</m:t>
                </m:r>
                <m:sSub>
                  <m:sSubPr>
                    <m:ctrlPr>
                      <w:rPr>
                        <w:rFonts w:ascii="Cambria Math" w:hAnsi="Cambria Math"/>
                      </w:rPr>
                    </m:ctrlPr>
                  </m:sSubPr>
                  <m:e>
                    <m:r>
                      <w:rPr>
                        <w:rFonts w:ascii="Cambria Math" w:hAnsi="Cambria Math"/>
                      </w:rPr>
                      <m:t>θ</m:t>
                    </m:r>
                  </m:e>
                  <m:sub>
                    <m:r>
                      <m:rPr>
                        <m:sty m:val="p"/>
                      </m:rPr>
                      <w:rPr>
                        <w:rFonts w:ascii="Cambria Math" w:hAnsi="Cambria Math"/>
                      </w:rPr>
                      <m:t>z,i</m:t>
                    </m:r>
                  </m:sub>
                </m:sSub>
              </m:den>
            </m:f>
          </m:e>
        </m:rad>
      </m:oMath>
      <w:r w:rsidR="005C7E1C" w:rsidRPr="00870D59">
        <w:tab/>
        <w:t>(</w:t>
      </w:r>
      <w:r w:rsidR="005C7E1C">
        <w:t>B</w:t>
      </w:r>
      <w:r w:rsidR="005C7E1C" w:rsidRPr="00870D59">
        <w:t>.</w:t>
      </w:r>
      <w:r w:rsidR="00E35492">
        <w:t>7</w:t>
      </w:r>
      <w:r w:rsidR="005C7E1C" w:rsidRPr="00870D59">
        <w:t>)</w:t>
      </w:r>
    </w:p>
    <w:p w14:paraId="3927902A" w14:textId="6C853DD8" w:rsidR="005C7E1C" w:rsidRPr="001B2671" w:rsidRDefault="00F768D2" w:rsidP="00B44610">
      <w:pPr>
        <w:pStyle w:val="Text"/>
      </w:pPr>
      <w:r>
        <w:t>w</w:t>
      </w:r>
      <w:r w:rsidR="005C7E1C">
        <w:t>here</w:t>
      </w:r>
      <w:r>
        <w:t xml:space="preserve"> </w:t>
      </w:r>
      <w:r w:rsidR="00E35492" w:rsidRPr="00A1437F">
        <w:rPr>
          <w:i/>
          <w:iCs/>
          <w:lang w:eastAsia="en-US"/>
        </w:rPr>
        <w:t>∆d</w:t>
      </w:r>
      <w:r w:rsidR="00E35492" w:rsidRPr="00A1437F">
        <w:rPr>
          <w:vertAlign w:val="subscript"/>
          <w:lang w:eastAsia="en-US"/>
        </w:rPr>
        <w:t>y,C,i</w:t>
      </w:r>
      <w:r w:rsidR="00E35492" w:rsidRPr="00A1437F">
        <w:rPr>
          <w:lang w:eastAsia="en-US"/>
        </w:rPr>
        <w:t xml:space="preserve"> = </w:t>
      </w:r>
      <w:r w:rsidR="00E35492" w:rsidRPr="00A1437F">
        <w:rPr>
          <w:i/>
          <w:iCs/>
          <w:lang w:eastAsia="en-US"/>
        </w:rPr>
        <w:t>∆</w:t>
      </w:r>
      <w:r w:rsidR="00E35492" w:rsidRPr="002D4E97">
        <w:rPr>
          <w:i/>
          <w:iCs/>
          <w:lang w:eastAsia="en-US"/>
        </w:rPr>
        <w:t>d</w:t>
      </w:r>
      <w:r w:rsidR="00E35492" w:rsidRPr="00A1437F">
        <w:rPr>
          <w:vertAlign w:val="subscript"/>
          <w:lang w:eastAsia="en-US"/>
        </w:rPr>
        <w:t>y,G,i</w:t>
      </w:r>
      <w:r w:rsidR="00E35492" w:rsidRPr="00A1437F">
        <w:rPr>
          <w:lang w:eastAsia="en-US"/>
        </w:rPr>
        <w:t xml:space="preserve"> </w:t>
      </w:r>
      <w:r w:rsidR="00B44610">
        <w:rPr>
          <w:lang w:eastAsia="en-US"/>
        </w:rPr>
        <w:t>–</w:t>
      </w:r>
      <w:r w:rsidR="00E35492" w:rsidRPr="00A1437F">
        <w:rPr>
          <w:lang w:eastAsia="en-US"/>
        </w:rPr>
        <w:t xml:space="preserve"> </w:t>
      </w:r>
      <w:r w:rsidR="00E35492" w:rsidRPr="00A1437F">
        <w:rPr>
          <w:i/>
          <w:iCs/>
          <w:lang w:eastAsia="en-US"/>
        </w:rPr>
        <w:t>∆</w:t>
      </w:r>
      <w:r w:rsidR="00E35492" w:rsidRPr="00A1437F">
        <w:rPr>
          <w:rFonts w:ascii="Symbol" w:hAnsi="Symbol"/>
          <w:i/>
          <w:iCs/>
          <w:lang w:eastAsia="en-US"/>
        </w:rPr>
        <w:t></w:t>
      </w:r>
      <w:r w:rsidR="00E35492" w:rsidRPr="00A1437F">
        <w:rPr>
          <w:vertAlign w:val="subscript"/>
          <w:lang w:eastAsia="en-US"/>
        </w:rPr>
        <w:t>y,i</w:t>
      </w:r>
      <w:r w:rsidR="00E35492" w:rsidRPr="00A1437F">
        <w:rPr>
          <w:lang w:eastAsia="en-US"/>
        </w:rPr>
        <w:t xml:space="preserve"> </w:t>
      </w:r>
      <w:r w:rsidR="00E35492" w:rsidRPr="00A1437F">
        <w:rPr>
          <w:i/>
          <w:iCs/>
          <w:lang w:eastAsia="en-US"/>
        </w:rPr>
        <w:t>e</w:t>
      </w:r>
      <w:r w:rsidR="00E35492" w:rsidRPr="00A1437F">
        <w:rPr>
          <w:vertAlign w:val="subscript"/>
          <w:lang w:eastAsia="en-US"/>
        </w:rPr>
        <w:t>0x,</w:t>
      </w:r>
      <w:r w:rsidR="00B44610">
        <w:rPr>
          <w:vertAlign w:val="subscript"/>
          <w:lang w:eastAsia="en-US"/>
        </w:rPr>
        <w:t>i</w:t>
      </w:r>
      <w:r w:rsidR="00E35492">
        <w:t xml:space="preserve"> </w:t>
      </w:r>
      <w:r w:rsidR="00E35492" w:rsidRPr="00A1437F">
        <w:t xml:space="preserve">is the difference of displacements of the </w:t>
      </w:r>
      <w:r w:rsidR="00B44610">
        <w:t xml:space="preserve">stiffness </w:t>
      </w:r>
      <w:r w:rsidR="00E35492" w:rsidRPr="00B44610">
        <w:t xml:space="preserve">centre </w:t>
      </w:r>
      <w:r w:rsidR="00B44610" w:rsidRPr="00B44610">
        <w:rPr>
          <w:i/>
          <w:iCs/>
        </w:rPr>
        <w:t>C</w:t>
      </w:r>
      <w:r w:rsidR="00E35492" w:rsidRPr="00B44610">
        <w:rPr>
          <w:i/>
          <w:iCs/>
        </w:rPr>
        <w:t xml:space="preserve"> </w:t>
      </w:r>
      <w:r w:rsidR="00E35492" w:rsidRPr="00B44610">
        <w:t>in</w:t>
      </w:r>
      <w:r w:rsidR="00E35492" w:rsidRPr="00A1437F">
        <w:t xml:space="preserve"> the </w:t>
      </w:r>
      <w:r w:rsidR="00E35492" w:rsidRPr="00A1437F">
        <w:rPr>
          <w:i/>
          <w:iCs/>
          <w:szCs w:val="22"/>
        </w:rPr>
        <w:t>y</w:t>
      </w:r>
      <w:r w:rsidR="00E35492" w:rsidRPr="00A1437F">
        <w:t xml:space="preserve"> direction between floor</w:t>
      </w:r>
      <w:r w:rsidR="00E35492" w:rsidRPr="00A1437F">
        <w:rPr>
          <w:szCs w:val="22"/>
        </w:rPr>
        <w:t xml:space="preserve"> </w:t>
      </w:r>
      <w:r w:rsidR="00E35492" w:rsidRPr="00A1437F">
        <w:rPr>
          <w:i/>
          <w:iCs/>
          <w:szCs w:val="22"/>
        </w:rPr>
        <w:t>i</w:t>
      </w:r>
      <w:r w:rsidR="00E35492" w:rsidRPr="00A1437F">
        <w:rPr>
          <w:szCs w:val="22"/>
        </w:rPr>
        <w:t xml:space="preserve"> - 1 and floor </w:t>
      </w:r>
      <w:r w:rsidR="00E35492" w:rsidRPr="00A1437F">
        <w:rPr>
          <w:i/>
          <w:iCs/>
          <w:szCs w:val="22"/>
        </w:rPr>
        <w:t>i</w:t>
      </w:r>
      <w:r w:rsidR="00E35492" w:rsidRPr="00A1437F">
        <w:rPr>
          <w:szCs w:val="22"/>
        </w:rPr>
        <w:t xml:space="preserve"> in Case 2</w:t>
      </w:r>
      <w:r w:rsidR="00B44610">
        <w:rPr>
          <w:szCs w:val="22"/>
        </w:rPr>
        <w:t xml:space="preserve"> and </w:t>
      </w:r>
      <w:r w:rsidR="00B44610" w:rsidRPr="00A1437F">
        <w:rPr>
          <w:i/>
          <w:iCs/>
          <w:lang w:eastAsia="en-US"/>
        </w:rPr>
        <w:t>∆</w:t>
      </w:r>
      <w:r w:rsidR="00B44610" w:rsidRPr="002D4E97">
        <w:rPr>
          <w:i/>
          <w:iCs/>
          <w:lang w:eastAsia="en-US"/>
        </w:rPr>
        <w:t>d</w:t>
      </w:r>
      <w:r w:rsidR="00B44610" w:rsidRPr="00A1437F">
        <w:rPr>
          <w:vertAlign w:val="subscript"/>
          <w:lang w:eastAsia="en-US"/>
        </w:rPr>
        <w:t>y,G,</w:t>
      </w:r>
      <w:r w:rsidR="00B44610">
        <w:rPr>
          <w:vertAlign w:val="subscript"/>
          <w:lang w:eastAsia="en-US"/>
        </w:rPr>
        <w:t>i</w:t>
      </w:r>
      <w:r w:rsidR="00B44610">
        <w:rPr>
          <w:lang w:eastAsia="en-US"/>
        </w:rPr>
        <w:t xml:space="preserve"> is the corresponding </w:t>
      </w:r>
      <w:r w:rsidR="00B44610" w:rsidRPr="00A1437F">
        <w:t xml:space="preserve">difference of displacements of the </w:t>
      </w:r>
      <w:r w:rsidR="00B44610" w:rsidRPr="00B44610">
        <w:t>centre</w:t>
      </w:r>
      <w:r w:rsidR="00B44610">
        <w:t xml:space="preserve"> of mass</w:t>
      </w:r>
      <w:r w:rsidR="00B44610" w:rsidRPr="00B44610">
        <w:t xml:space="preserve"> </w:t>
      </w:r>
      <w:r w:rsidR="00B44610">
        <w:rPr>
          <w:i/>
          <w:iCs/>
        </w:rPr>
        <w:t>G</w:t>
      </w:r>
      <w:r w:rsidR="005C7E1C">
        <w:t>.</w:t>
      </w:r>
    </w:p>
    <w:p w14:paraId="3DD25C25" w14:textId="12871B4C" w:rsidR="005C7E1C" w:rsidRPr="00D1484A" w:rsidRDefault="005C7E1C" w:rsidP="005C7E1C">
      <w:pPr>
        <w:pStyle w:val="Notetext"/>
      </w:pPr>
      <w:r w:rsidRPr="00E05E29">
        <w:t>NOTE</w:t>
      </w:r>
      <w:r w:rsidRPr="00E05E29">
        <w:tab/>
      </w:r>
      <w:r w:rsidR="00E35492" w:rsidRPr="00A1437F">
        <w:t xml:space="preserve">A Formula similar to (B.7) applies to </w:t>
      </w:r>
      <m:oMath>
        <m:sSub>
          <m:sSubPr>
            <m:ctrlPr>
              <w:rPr>
                <w:rFonts w:ascii="Cambria Math" w:hAnsi="Cambria Math"/>
              </w:rPr>
            </m:ctrlPr>
          </m:sSubPr>
          <m:e>
            <m:r>
              <w:rPr>
                <w:rFonts w:ascii="Cambria Math" w:hAnsi="Cambria Math"/>
              </w:rPr>
              <m:t>r</m:t>
            </m:r>
          </m:e>
          <m:sub>
            <m:r>
              <m:rPr>
                <m:sty m:val="p"/>
              </m:rPr>
              <w:rPr>
                <w:rFonts w:ascii="Cambria Math" w:hAnsi="Cambria Math"/>
              </w:rPr>
              <m:t>y,i</m:t>
            </m:r>
          </m:sub>
        </m:sSub>
      </m:oMath>
      <w:r w:rsidR="00E35492" w:rsidRPr="00A1437F">
        <w:t>.</w:t>
      </w:r>
    </w:p>
    <w:p w14:paraId="35E12897" w14:textId="77777777" w:rsidR="005C7E1C" w:rsidRPr="00870D59" w:rsidRDefault="005C7E1C" w:rsidP="00C57A10"/>
    <w:p w14:paraId="0CE4D560" w14:textId="7D134976" w:rsidR="000979C0" w:rsidRPr="00870D59" w:rsidRDefault="000979C0" w:rsidP="000979C0">
      <w:pPr>
        <w:pStyle w:val="ANNEX"/>
      </w:pPr>
      <w:r w:rsidRPr="00870D59">
        <w:lastRenderedPageBreak/>
        <w:br/>
      </w:r>
      <w:bookmarkStart w:id="11149" w:name="_Toc134198236"/>
      <w:r w:rsidRPr="00870D59">
        <w:rPr>
          <w:b w:val="0"/>
        </w:rPr>
        <w:t>(</w:t>
      </w:r>
      <w:r w:rsidR="00CD1AE9">
        <w:rPr>
          <w:b w:val="0"/>
        </w:rPr>
        <w:t>n</w:t>
      </w:r>
      <w:r w:rsidRPr="00870D59">
        <w:rPr>
          <w:b w:val="0"/>
        </w:rPr>
        <w:t>ormative)</w:t>
      </w:r>
      <w:r w:rsidRPr="00870D59">
        <w:fldChar w:fldCharType="begin"/>
      </w:r>
      <w:r w:rsidRPr="00870D59">
        <w:instrText xml:space="preserve">SEQ aaa \h </w:instrText>
      </w:r>
      <w:r w:rsidRPr="00870D59">
        <w:fldChar w:fldCharType="end"/>
      </w:r>
      <w:r w:rsidRPr="00870D59">
        <w:fldChar w:fldCharType="begin"/>
      </w:r>
      <w:r w:rsidRPr="00870D59">
        <w:instrText xml:space="preserve">SEQ table \r0\h </w:instrText>
      </w:r>
      <w:r w:rsidRPr="00870D59">
        <w:fldChar w:fldCharType="end"/>
      </w:r>
      <w:r w:rsidRPr="00870D59">
        <w:fldChar w:fldCharType="begin"/>
      </w:r>
      <w:r w:rsidRPr="00870D59">
        <w:instrText xml:space="preserve">SEQ figure \r0\h </w:instrText>
      </w:r>
      <w:r w:rsidRPr="00870D59">
        <w:fldChar w:fldCharType="end"/>
      </w:r>
      <w:r w:rsidRPr="00870D59">
        <w:br/>
      </w:r>
      <w:r w:rsidRPr="00870D59">
        <w:br/>
      </w:r>
      <w:r w:rsidR="00E35492" w:rsidRPr="00FD17CF">
        <w:t>Floor accelerations for ancillary elements</w:t>
      </w:r>
      <w:bookmarkEnd w:id="11149"/>
    </w:p>
    <w:p w14:paraId="41DA76FA" w14:textId="27019001" w:rsidR="000979C0" w:rsidRPr="00870D59" w:rsidRDefault="000979C0" w:rsidP="000979C0">
      <w:pPr>
        <w:pStyle w:val="a2"/>
        <w:rPr>
          <w:color w:val="000000" w:themeColor="text1"/>
        </w:rPr>
      </w:pPr>
      <w:bookmarkStart w:id="11150" w:name="_Toc134198237"/>
      <w:r w:rsidRPr="00870D59">
        <w:rPr>
          <w:color w:val="000000" w:themeColor="text1"/>
        </w:rPr>
        <w:t xml:space="preserve">Use of this </w:t>
      </w:r>
      <w:r w:rsidR="00806F65">
        <w:rPr>
          <w:color w:val="000000" w:themeColor="text1"/>
        </w:rPr>
        <w:t xml:space="preserve">normative </w:t>
      </w:r>
      <w:r w:rsidRPr="00870D59">
        <w:rPr>
          <w:color w:val="000000" w:themeColor="text1"/>
        </w:rPr>
        <w:t>annex</w:t>
      </w:r>
      <w:bookmarkEnd w:id="11150"/>
    </w:p>
    <w:p w14:paraId="2DFFCAA6" w14:textId="65AABFA0" w:rsidR="000979C0" w:rsidRPr="00870D59" w:rsidRDefault="00E35492" w:rsidP="0080187E">
      <w:pPr>
        <w:pStyle w:val="Clause"/>
        <w:numPr>
          <w:ilvl w:val="0"/>
          <w:numId w:val="21"/>
        </w:numPr>
      </w:pPr>
      <w:r w:rsidRPr="002144A0">
        <w:t xml:space="preserve">This Normative Annex contains additional provisions to </w:t>
      </w:r>
      <w:r w:rsidRPr="00835C82">
        <w:t>7.2.1</w:t>
      </w:r>
      <w:r w:rsidRPr="002144A0">
        <w:t xml:space="preserve"> for </w:t>
      </w:r>
      <w:r w:rsidRPr="004F25D7">
        <w:t xml:space="preserve">calculating </w:t>
      </w:r>
      <w:r w:rsidRPr="00C52095">
        <w:t>pseudo-absolute accelerations applicable to ancillary elements</w:t>
      </w:r>
      <w:r w:rsidR="00666B6E" w:rsidRPr="00870D59">
        <w:rPr>
          <w:bCs/>
        </w:rPr>
        <w:t>.</w:t>
      </w:r>
    </w:p>
    <w:p w14:paraId="53604F58" w14:textId="4E56BBF8" w:rsidR="000979C0" w:rsidRPr="00870D59" w:rsidRDefault="00806F65" w:rsidP="000979C0">
      <w:pPr>
        <w:pStyle w:val="a2"/>
        <w:rPr>
          <w:color w:val="000000" w:themeColor="text1"/>
        </w:rPr>
      </w:pPr>
      <w:bookmarkStart w:id="11151" w:name="_Toc134198238"/>
      <w:r>
        <w:rPr>
          <w:color w:val="000000" w:themeColor="text1"/>
        </w:rPr>
        <w:t>Scope and f</w:t>
      </w:r>
      <w:r w:rsidR="000979C0" w:rsidRPr="00870D59">
        <w:rPr>
          <w:color w:val="000000" w:themeColor="text1"/>
        </w:rPr>
        <w:t>ield of application</w:t>
      </w:r>
      <w:bookmarkEnd w:id="11151"/>
    </w:p>
    <w:p w14:paraId="30D0C068" w14:textId="66F5D237" w:rsidR="000979C0" w:rsidRPr="00870D59" w:rsidRDefault="00E35492" w:rsidP="0080187E">
      <w:pPr>
        <w:pStyle w:val="Clause"/>
        <w:numPr>
          <w:ilvl w:val="0"/>
          <w:numId w:val="22"/>
        </w:numPr>
      </w:pPr>
      <w:r w:rsidRPr="00132C1E">
        <w:t xml:space="preserve">This Normative Annex should be applied to calculate the floor acceleration spectrum applicable to an ancillary element in the case where </w:t>
      </w:r>
      <w:r w:rsidRPr="00835C82">
        <w:t xml:space="preserve">7.2.1(6) </w:t>
      </w:r>
      <w:r w:rsidRPr="00843EBC">
        <w:t>or</w:t>
      </w:r>
      <w:r w:rsidRPr="00835C82">
        <w:t xml:space="preserve"> (7) </w:t>
      </w:r>
      <w:r w:rsidRPr="00843EBC">
        <w:t>are</w:t>
      </w:r>
      <w:r w:rsidRPr="00132C1E">
        <w:t xml:space="preserve"> not applied</w:t>
      </w:r>
      <w:r w:rsidR="00666B6E" w:rsidRPr="00870D59">
        <w:t>.</w:t>
      </w:r>
    </w:p>
    <w:p w14:paraId="53721CAA" w14:textId="33F1B65F" w:rsidR="000979C0" w:rsidRPr="00870D59" w:rsidRDefault="00E35492" w:rsidP="000979C0">
      <w:pPr>
        <w:pStyle w:val="a2"/>
        <w:rPr>
          <w:color w:val="000000" w:themeColor="text1"/>
        </w:rPr>
      </w:pPr>
      <w:bookmarkStart w:id="11152" w:name="_Toc50150713"/>
      <w:bookmarkStart w:id="11153" w:name="_Toc70887146"/>
      <w:bookmarkStart w:id="11154" w:name="_Toc108342730"/>
      <w:bookmarkStart w:id="11155" w:name="_Toc134198239"/>
      <w:r w:rsidRPr="00132C1E">
        <w:t>Floor spectra</w:t>
      </w:r>
      <w:bookmarkEnd w:id="11152"/>
      <w:bookmarkEnd w:id="11153"/>
      <w:bookmarkEnd w:id="11154"/>
      <w:bookmarkEnd w:id="11155"/>
    </w:p>
    <w:p w14:paraId="1BF51A61" w14:textId="158B2729" w:rsidR="00666B6E" w:rsidRPr="00870D59" w:rsidRDefault="00E35492" w:rsidP="0080187E">
      <w:pPr>
        <w:pStyle w:val="Clause"/>
        <w:numPr>
          <w:ilvl w:val="0"/>
          <w:numId w:val="34"/>
        </w:numPr>
      </w:pPr>
      <w:r w:rsidRPr="00132C1E">
        <w:t xml:space="preserve">The floor acceleration spectrum value </w:t>
      </w:r>
      <w:r w:rsidRPr="005E15B5">
        <w:rPr>
          <w:i/>
        </w:rPr>
        <w:t>S</w:t>
      </w:r>
      <w:r w:rsidRPr="005E15B5">
        <w:rPr>
          <w:vertAlign w:val="subscript"/>
        </w:rPr>
        <w:t>a</w:t>
      </w:r>
      <w:r>
        <w:rPr>
          <w:vertAlign w:val="subscript"/>
        </w:rPr>
        <w:t>p</w:t>
      </w:r>
      <w:r w:rsidRPr="00132C1E">
        <w:t xml:space="preserve"> introduced in </w:t>
      </w:r>
      <w:r w:rsidRPr="00835C82">
        <w:t>7.2.1</w:t>
      </w:r>
      <w:r w:rsidRPr="00132C1E">
        <w:t xml:space="preserve"> may be calculated by the procedure presented in this annex</w:t>
      </w:r>
      <w:r w:rsidR="00666B6E" w:rsidRPr="00870D59">
        <w:t>.</w:t>
      </w:r>
    </w:p>
    <w:p w14:paraId="2501BBD4" w14:textId="166C8D04" w:rsidR="00666B6E" w:rsidRDefault="00E35492" w:rsidP="0080187E">
      <w:pPr>
        <w:pStyle w:val="Clause"/>
        <w:numPr>
          <w:ilvl w:val="0"/>
          <w:numId w:val="22"/>
        </w:numPr>
      </w:pPr>
      <w:r w:rsidRPr="00132C1E">
        <w:t xml:space="preserve">For mode </w:t>
      </w:r>
      <w:r w:rsidRPr="005E15B5">
        <w:rPr>
          <w:i/>
        </w:rPr>
        <w:t>i</w:t>
      </w:r>
      <w:r w:rsidRPr="00132C1E">
        <w:t xml:space="preserve"> and floor </w:t>
      </w:r>
      <w:r w:rsidRPr="005E15B5">
        <w:rPr>
          <w:i/>
        </w:rPr>
        <w:t>j</w:t>
      </w:r>
      <w:r w:rsidRPr="00132C1E">
        <w:t xml:space="preserve">, the value of the </w:t>
      </w:r>
      <w:r w:rsidRPr="005E15B5">
        <w:rPr>
          <w:i/>
        </w:rPr>
        <w:t>S</w:t>
      </w:r>
      <w:r w:rsidRPr="005E15B5">
        <w:rPr>
          <w:vertAlign w:val="subscript"/>
        </w:rPr>
        <w:t>a</w:t>
      </w:r>
      <w:r>
        <w:rPr>
          <w:vertAlign w:val="subscript"/>
        </w:rPr>
        <w:t>p</w:t>
      </w:r>
      <w:r w:rsidRPr="00132C1E">
        <w:t xml:space="preserve"> component in the direction under consideration may be </w:t>
      </w:r>
      <m:oMath>
        <m:r>
          <m:rPr>
            <m:sty m:val="p"/>
          </m:rPr>
          <w:rPr>
            <w:rFonts w:ascii="Cambria Math" w:hAnsi="Cambria Math"/>
          </w:rPr>
          <w:br/>
        </m:r>
      </m:oMath>
      <w:r w:rsidRPr="00132C1E">
        <w:t>determined by Formulas (C.1) to (C.3)</w:t>
      </w:r>
      <w:r>
        <w:t>.</w:t>
      </w:r>
    </w:p>
    <w:p w14:paraId="5F8AD0B0" w14:textId="1804107E" w:rsidR="00E35492" w:rsidRDefault="009B5CEC" w:rsidP="00E35492">
      <w:pPr>
        <w:pStyle w:val="Formula"/>
        <w:spacing w:before="240"/>
      </w:pPr>
      <m:oMath>
        <m:sSub>
          <m:sSubPr>
            <m:ctrlPr>
              <w:rPr>
                <w:rFonts w:ascii="Cambria Math" w:hAnsi="Cambria Math"/>
              </w:rPr>
            </m:ctrlPr>
          </m:sSubPr>
          <m:e>
            <m:r>
              <w:rPr>
                <w:rFonts w:ascii="Cambria Math" w:hAnsi="Cambria Math"/>
              </w:rPr>
              <m:t>S</m:t>
            </m:r>
          </m:e>
          <m:sub>
            <m:r>
              <m:rPr>
                <m:sty m:val="p"/>
              </m:rPr>
              <w:rPr>
                <w:rFonts w:ascii="Cambria Math" w:hAnsi="Cambria Math"/>
              </w:rPr>
              <m:t>ap,ij</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Γ</m:t>
                </m:r>
              </m:e>
              <m:sub>
                <m:r>
                  <m:rPr>
                    <m:sty m:val="p"/>
                  </m:rPr>
                  <w:rPr>
                    <w:rFonts w:ascii="Cambria Math" w:hAnsi="Cambria Math"/>
                  </w:rPr>
                  <m:t>i</m:t>
                </m:r>
              </m:sub>
            </m:sSub>
            <m:sSub>
              <m:sSubPr>
                <m:ctrlPr>
                  <w:rPr>
                    <w:rFonts w:ascii="Cambria Math" w:hAnsi="Cambria Math"/>
                  </w:rPr>
                </m:ctrlPr>
              </m:sSubPr>
              <m:e>
                <m:r>
                  <w:rPr>
                    <w:rFonts w:ascii="Cambria Math" w:hAnsi="Cambria Math"/>
                  </w:rPr>
                  <m:t>ϕ</m:t>
                </m:r>
              </m:e>
              <m:sub>
                <m:r>
                  <m:rPr>
                    <m:sty m:val="p"/>
                  </m:rPr>
                  <w:rPr>
                    <w:rFonts w:ascii="Cambria Math" w:hAnsi="Cambria Math"/>
                  </w:rPr>
                  <m:t>ij</m:t>
                </m:r>
              </m:sub>
            </m:sSub>
          </m:num>
          <m:den>
            <m:d>
              <m:dPr>
                <m:begChr m:val="|"/>
                <m:endChr m:val="|"/>
                <m:ctrlPr>
                  <w:rPr>
                    <w:rFonts w:ascii="Cambria Math" w:hAnsi="Cambria Math"/>
                  </w:rPr>
                </m:ctrlPr>
              </m:dPr>
              <m:e>
                <m:sSup>
                  <m:sSupPr>
                    <m:ctrlPr>
                      <w:rPr>
                        <w:rFonts w:ascii="Cambria Math" w:hAnsi="Cambria Math"/>
                      </w:rPr>
                    </m:ctrlPr>
                  </m:sSupPr>
                  <m:e>
                    <m:d>
                      <m:dPr>
                        <m:ctrlPr>
                          <w:rPr>
                            <w:rFonts w:ascii="Cambria Math" w:hAnsi="Cambria Math"/>
                          </w:rPr>
                        </m:ctrlPr>
                      </m:dPr>
                      <m:e>
                        <m:f>
                          <m:fPr>
                            <m:ctrlPr>
                              <w:rPr>
                                <w:rFonts w:ascii="Cambria Math" w:hAnsi="Cambria Math"/>
                              </w:rPr>
                            </m:ctrlPr>
                          </m:fPr>
                          <m:num>
                            <m:sSub>
                              <m:sSubPr>
                                <m:ctrlPr>
                                  <w:rPr>
                                    <w:rFonts w:ascii="Cambria Math" w:hAnsi="Cambria Math"/>
                                  </w:rPr>
                                </m:ctrlPr>
                              </m:sSubPr>
                              <m:e>
                                <m:r>
                                  <w:rPr>
                                    <w:rFonts w:ascii="Cambria Math" w:hAnsi="Cambria Math"/>
                                  </w:rPr>
                                  <m:t>T</m:t>
                                </m:r>
                              </m:e>
                              <m:sub>
                                <m:r>
                                  <m:rPr>
                                    <m:sty m:val="p"/>
                                  </m:rPr>
                                  <w:rPr>
                                    <w:rFonts w:ascii="Cambria Math" w:hAnsi="Cambria Math"/>
                                  </w:rPr>
                                  <m:t>ap</m:t>
                                </m:r>
                              </m:sub>
                            </m:sSub>
                          </m:num>
                          <m:den>
                            <m:sSub>
                              <m:sSubPr>
                                <m:ctrlPr>
                                  <w:rPr>
                                    <w:rFonts w:ascii="Cambria Math" w:hAnsi="Cambria Math"/>
                                  </w:rPr>
                                </m:ctrlPr>
                              </m:sSubPr>
                              <m:e>
                                <m:r>
                                  <w:rPr>
                                    <w:rFonts w:ascii="Cambria Math" w:hAnsi="Cambria Math"/>
                                  </w:rPr>
                                  <m:t>T</m:t>
                                </m:r>
                              </m:e>
                              <m:sub>
                                <m:r>
                                  <m:rPr>
                                    <m:sty m:val="p"/>
                                  </m:rPr>
                                  <w:rPr>
                                    <w:rFonts w:ascii="Cambria Math" w:hAnsi="Cambria Math"/>
                                  </w:rPr>
                                  <m:t>p,i</m:t>
                                </m:r>
                              </m:sub>
                            </m:sSub>
                          </m:den>
                        </m:f>
                      </m:e>
                    </m:d>
                  </m:e>
                  <m:sup>
                    <m:r>
                      <w:rPr>
                        <w:rFonts w:ascii="Cambria Math" w:hAnsi="Cambria Math"/>
                      </w:rPr>
                      <m:t>2</m:t>
                    </m:r>
                  </m:sup>
                </m:sSup>
                <m:r>
                  <w:rPr>
                    <w:rFonts w:ascii="Cambria Math" w:hAnsi="Cambria Math"/>
                  </w:rPr>
                  <m:t>-1</m:t>
                </m:r>
              </m:e>
            </m:d>
          </m:den>
        </m:f>
        <m:rad>
          <m:radPr>
            <m:degHide m:val="1"/>
            <m:ctrlPr>
              <w:rPr>
                <w:rFonts w:ascii="Cambria Math" w:hAnsi="Cambria Math"/>
              </w:rPr>
            </m:ctrlPr>
          </m:radPr>
          <m:deg/>
          <m:e>
            <m:sSup>
              <m:sSupPr>
                <m:ctrlPr>
                  <w:rPr>
                    <w:rFonts w:ascii="Cambria Math" w:hAnsi="Cambria Math"/>
                  </w:rPr>
                </m:ctrlPr>
              </m:sSupPr>
              <m:e>
                <m:d>
                  <m:dPr>
                    <m:ctrlPr>
                      <w:rPr>
                        <w:rFonts w:ascii="Cambria Math" w:hAnsi="Cambria Math"/>
                      </w:rPr>
                    </m:ctrlPr>
                  </m:dPr>
                  <m:e>
                    <m:f>
                      <m:fPr>
                        <m:ctrlPr>
                          <w:rPr>
                            <w:rFonts w:ascii="Cambria Math" w:hAnsi="Cambria Math"/>
                          </w:rPr>
                        </m:ctrlPr>
                      </m:fPr>
                      <m:num>
                        <m:sSub>
                          <m:sSubPr>
                            <m:ctrlPr>
                              <w:rPr>
                                <w:rFonts w:ascii="Cambria Math" w:hAnsi="Cambria Math"/>
                              </w:rPr>
                            </m:ctrlPr>
                          </m:sSubPr>
                          <m:e>
                            <m:r>
                              <w:rPr>
                                <w:rFonts w:ascii="Cambria Math" w:hAnsi="Cambria Math"/>
                              </w:rPr>
                              <m:t>S</m:t>
                            </m:r>
                          </m:e>
                          <m:sub>
                            <m:r>
                              <m:rPr>
                                <m:sty m:val="p"/>
                              </m:rPr>
                              <w:rPr>
                                <w:rFonts w:ascii="Cambria Math" w:hAnsi="Cambria Math"/>
                              </w:rPr>
                              <m:t>ep,i</m:t>
                            </m:r>
                          </m:sub>
                        </m:sSub>
                      </m:num>
                      <m:den>
                        <m:sSub>
                          <m:sSubPr>
                            <m:ctrlPr>
                              <w:rPr>
                                <w:rFonts w:ascii="Cambria Math" w:hAnsi="Cambria Math"/>
                              </w:rPr>
                            </m:ctrlPr>
                          </m:sSubPr>
                          <m:e>
                            <m:r>
                              <w:rPr>
                                <w:rFonts w:ascii="Cambria Math" w:hAnsi="Cambria Math"/>
                              </w:rPr>
                              <m:t>q</m:t>
                            </m:r>
                          </m:e>
                          <m:sub>
                            <m:r>
                              <w:rPr>
                                <w:rFonts w:ascii="Cambria Math" w:hAnsi="Cambria Math"/>
                              </w:rPr>
                              <m:t>D</m:t>
                            </m:r>
                          </m:sub>
                        </m:sSub>
                        <m:r>
                          <w:rPr>
                            <w:rFonts w:ascii="Cambria Math" w:hAnsi="Cambria Math"/>
                          </w:rPr>
                          <m:t>'</m:t>
                        </m:r>
                      </m:den>
                    </m:f>
                  </m:e>
                </m:d>
              </m:e>
              <m:sup>
                <m:r>
                  <w:rPr>
                    <w:rFonts w:ascii="Cambria Math" w:hAnsi="Cambria Math"/>
                  </w:rPr>
                  <m:t>2</m:t>
                </m:r>
              </m:sup>
            </m:sSup>
            <m:sSup>
              <m:sSupPr>
                <m:ctrlPr>
                  <w:rPr>
                    <w:rFonts w:ascii="Cambria Math" w:hAnsi="Cambria Math"/>
                  </w:rPr>
                </m:ctrlPr>
              </m:sSupPr>
              <m:e>
                <m:r>
                  <w:rPr>
                    <w:rFonts w:ascii="Cambria Math" w:hAnsi="Cambria Math"/>
                  </w:rPr>
                  <m:t>+</m:t>
                </m:r>
                <m:d>
                  <m:dPr>
                    <m:begChr m:val="["/>
                    <m:endChr m:val="]"/>
                    <m:ctrlPr>
                      <w:rPr>
                        <w:rFonts w:ascii="Cambria Math" w:hAnsi="Cambria Math"/>
                      </w:rPr>
                    </m:ctrlPr>
                  </m:dPr>
                  <m:e>
                    <m:sSup>
                      <m:sSupPr>
                        <m:ctrlPr>
                          <w:rPr>
                            <w:rFonts w:ascii="Cambria Math" w:hAnsi="Cambria Math"/>
                          </w:rPr>
                        </m:ctrlPr>
                      </m:sSupPr>
                      <m:e>
                        <m:d>
                          <m:dPr>
                            <m:ctrlPr>
                              <w:rPr>
                                <w:rFonts w:ascii="Cambria Math" w:hAnsi="Cambria Math"/>
                              </w:rPr>
                            </m:ctrlPr>
                          </m:dPr>
                          <m:e>
                            <m:f>
                              <m:fPr>
                                <m:ctrlPr>
                                  <w:rPr>
                                    <w:rFonts w:ascii="Cambria Math" w:hAnsi="Cambria Math"/>
                                  </w:rPr>
                                </m:ctrlPr>
                              </m:fPr>
                              <m:num>
                                <m:sSub>
                                  <m:sSubPr>
                                    <m:ctrlPr>
                                      <w:rPr>
                                        <w:rFonts w:ascii="Cambria Math" w:hAnsi="Cambria Math"/>
                                      </w:rPr>
                                    </m:ctrlPr>
                                  </m:sSubPr>
                                  <m:e>
                                    <m:r>
                                      <w:rPr>
                                        <w:rFonts w:ascii="Cambria Math" w:hAnsi="Cambria Math"/>
                                      </w:rPr>
                                      <m:t>T</m:t>
                                    </m:r>
                                  </m:e>
                                  <m:sub>
                                    <m:r>
                                      <m:rPr>
                                        <m:sty m:val="p"/>
                                      </m:rPr>
                                      <w:rPr>
                                        <w:rFonts w:ascii="Cambria Math" w:hAnsi="Cambria Math"/>
                                      </w:rPr>
                                      <m:t>ap</m:t>
                                    </m:r>
                                  </m:sub>
                                </m:sSub>
                              </m:num>
                              <m:den>
                                <m:sSub>
                                  <m:sSubPr>
                                    <m:ctrlPr>
                                      <w:rPr>
                                        <w:rFonts w:ascii="Cambria Math" w:hAnsi="Cambria Math"/>
                                      </w:rPr>
                                    </m:ctrlPr>
                                  </m:sSubPr>
                                  <m:e>
                                    <m:r>
                                      <w:rPr>
                                        <w:rFonts w:ascii="Cambria Math" w:hAnsi="Cambria Math"/>
                                      </w:rPr>
                                      <m:t>T</m:t>
                                    </m:r>
                                  </m:e>
                                  <m:sub>
                                    <m:r>
                                      <m:rPr>
                                        <m:sty m:val="p"/>
                                      </m:rPr>
                                      <w:rPr>
                                        <w:rFonts w:ascii="Cambria Math" w:hAnsi="Cambria Math"/>
                                      </w:rPr>
                                      <m:t>p,i</m:t>
                                    </m:r>
                                  </m:sub>
                                </m:sSub>
                              </m:den>
                            </m:f>
                          </m:e>
                        </m:d>
                      </m:e>
                      <m:sup>
                        <m:r>
                          <w:rPr>
                            <w:rFonts w:ascii="Cambria Math" w:hAnsi="Cambria Math"/>
                          </w:rPr>
                          <m:t>2</m:t>
                        </m:r>
                      </m:sup>
                    </m:sSup>
                    <m:sSub>
                      <m:sSubPr>
                        <m:ctrlPr>
                          <w:rPr>
                            <w:rFonts w:ascii="Cambria Math" w:hAnsi="Cambria Math"/>
                          </w:rPr>
                        </m:ctrlPr>
                      </m:sSubPr>
                      <m:e>
                        <m:r>
                          <w:rPr>
                            <w:rFonts w:ascii="Cambria Math" w:hAnsi="Cambria Math"/>
                          </w:rPr>
                          <m:t>S</m:t>
                        </m:r>
                      </m:e>
                      <m:sub>
                        <m:r>
                          <m:rPr>
                            <m:sty m:val="p"/>
                          </m:rPr>
                          <w:rPr>
                            <w:rFonts w:ascii="Cambria Math" w:hAnsi="Cambria Math"/>
                          </w:rPr>
                          <m:t>eap</m:t>
                        </m:r>
                      </m:sub>
                    </m:sSub>
                  </m:e>
                </m:d>
              </m:e>
              <m:sup>
                <m:r>
                  <w:rPr>
                    <w:rFonts w:ascii="Cambria Math" w:hAnsi="Cambria Math"/>
                  </w:rPr>
                  <m:t>2</m:t>
                </m:r>
              </m:sup>
            </m:sSup>
          </m:e>
        </m:rad>
      </m:oMath>
      <w:r w:rsidR="00E35492" w:rsidRPr="00870D59">
        <w:tab/>
        <w:t>(</w:t>
      </w:r>
      <w:r w:rsidR="00E35492">
        <w:t>C</w:t>
      </w:r>
      <w:r w:rsidR="00E35492" w:rsidRPr="00870D59">
        <w:t>.</w:t>
      </w:r>
      <w:r w:rsidR="00E35492">
        <w:t>1</w:t>
      </w:r>
      <w:r w:rsidR="00E35492" w:rsidRPr="00870D59">
        <w:t>)</w:t>
      </w:r>
    </w:p>
    <w:p w14:paraId="2F841D40" w14:textId="5EFD22D9" w:rsidR="00E35492" w:rsidRDefault="009B5CEC" w:rsidP="00E35492">
      <w:pPr>
        <w:pStyle w:val="Formula"/>
        <w:spacing w:before="240"/>
      </w:pPr>
      <m:oMath>
        <m:d>
          <m:dPr>
            <m:begChr m:val="|"/>
            <m:endChr m:val="|"/>
            <m:ctrlPr>
              <w:rPr>
                <w:rFonts w:ascii="Cambria Math" w:hAnsi="Cambria Math"/>
              </w:rPr>
            </m:ctrlPr>
          </m:dPr>
          <m:e>
            <m:sSub>
              <m:sSubPr>
                <m:ctrlPr>
                  <w:rPr>
                    <w:rFonts w:ascii="Cambria Math" w:hAnsi="Cambria Math"/>
                  </w:rPr>
                </m:ctrlPr>
              </m:sSubPr>
              <m:e>
                <m:r>
                  <w:rPr>
                    <w:rFonts w:ascii="Cambria Math" w:hAnsi="Cambria Math"/>
                  </w:rPr>
                  <m:t>S</m:t>
                </m:r>
              </m:e>
              <m:sub>
                <m:r>
                  <m:rPr>
                    <m:sty m:val="p"/>
                  </m:rPr>
                  <w:rPr>
                    <w:rFonts w:ascii="Cambria Math" w:hAnsi="Cambria Math"/>
                  </w:rPr>
                  <m:t>ap,ij</m:t>
                </m:r>
              </m:sub>
            </m:sSub>
          </m:e>
        </m:d>
        <m:r>
          <w:rPr>
            <w:rFonts w:ascii="Cambria Math" w:hAnsi="Cambria Math"/>
          </w:rPr>
          <m:t>≤AM</m:t>
        </m:r>
        <m:sSub>
          <m:sSubPr>
            <m:ctrlPr>
              <w:rPr>
                <w:rFonts w:ascii="Cambria Math" w:hAnsi="Cambria Math"/>
                <w:i/>
                <w:iCs/>
              </w:rPr>
            </m:ctrlPr>
          </m:sSubPr>
          <m:e>
            <m:r>
              <w:rPr>
                <w:rFonts w:ascii="Cambria Math" w:hAnsi="Cambria Math"/>
              </w:rPr>
              <m:t>P</m:t>
            </m:r>
          </m:e>
          <m:sub>
            <m:r>
              <m:rPr>
                <m:sty m:val="p"/>
              </m:rPr>
              <w:rPr>
                <w:rFonts w:ascii="Cambria Math" w:hAnsi="Cambria Math"/>
              </w:rPr>
              <m:t>i</m:t>
            </m:r>
          </m:sub>
        </m:sSub>
        <m:r>
          <w:rPr>
            <w:rFonts w:ascii="Cambria Math" w:hAnsi="Cambria Math"/>
          </w:rPr>
          <m:t>×</m:t>
        </m:r>
        <m:d>
          <m:dPr>
            <m:begChr m:val="|"/>
            <m:endChr m:val="|"/>
            <m:ctrlPr>
              <w:rPr>
                <w:rFonts w:ascii="Cambria Math" w:hAnsi="Cambria Math"/>
              </w:rPr>
            </m:ctrlPr>
          </m:dPr>
          <m:e>
            <m:sSub>
              <m:sSubPr>
                <m:ctrlPr>
                  <w:rPr>
                    <w:rFonts w:ascii="Cambria Math" w:hAnsi="Cambria Math"/>
                  </w:rPr>
                </m:ctrlPr>
              </m:sSubPr>
              <m:e>
                <m:r>
                  <w:rPr>
                    <w:rFonts w:ascii="Cambria Math" w:hAnsi="Cambria Math"/>
                  </w:rPr>
                  <m:t>PFA</m:t>
                </m:r>
              </m:e>
              <m:sub>
                <m:r>
                  <m:rPr>
                    <m:sty m:val="p"/>
                  </m:rPr>
                  <w:rPr>
                    <w:rFonts w:ascii="Cambria Math" w:hAnsi="Cambria Math"/>
                  </w:rPr>
                  <m:t>ij</m:t>
                </m:r>
              </m:sub>
            </m:sSub>
          </m:e>
        </m:d>
      </m:oMath>
      <w:r w:rsidR="00E35492" w:rsidRPr="00870D59">
        <w:tab/>
        <w:t>(</w:t>
      </w:r>
      <w:r w:rsidR="00E35492">
        <w:t>C</w:t>
      </w:r>
      <w:r w:rsidR="00E35492" w:rsidRPr="00870D59">
        <w:t>.</w:t>
      </w:r>
      <w:r w:rsidR="00E35492">
        <w:t>2</w:t>
      </w:r>
      <w:r w:rsidR="00E35492" w:rsidRPr="00870D59">
        <w:t>)</w:t>
      </w:r>
    </w:p>
    <w:p w14:paraId="1214C5C5" w14:textId="58FD44AC" w:rsidR="00EB3894" w:rsidRDefault="00936737" w:rsidP="00EB3894">
      <w:r>
        <w:rPr>
          <w:rFonts w:eastAsia="MS Mincho" w:cs="Cambria"/>
        </w:rPr>
        <w:t>w</w:t>
      </w:r>
      <w:r w:rsidRPr="004B502C">
        <w:rPr>
          <w:rFonts w:eastAsia="MS Mincho" w:cs="Cambria"/>
        </w:rPr>
        <w:t>ith</w:t>
      </w:r>
      <w:r>
        <w:rPr>
          <w:rFonts w:eastAsia="MS Mincho" w:cs="Cambria"/>
        </w:rPr>
        <w:t xml:space="preserve">  </w:t>
      </w:r>
      <w:r w:rsidRPr="004B502C">
        <w:rPr>
          <w:rFonts w:eastAsia="MS Mincho" w:cs="Cambria"/>
        </w:rPr>
        <w:t xml:space="preserve"> </w:t>
      </w:r>
      <m:oMath>
        <m:sSub>
          <m:sSubPr>
            <m:ctrlPr>
              <w:rPr>
                <w:rFonts w:ascii="Cambria Math" w:eastAsiaTheme="minorHAnsi" w:hAnsi="Cambria Math" w:cstheme="minorBidi"/>
                <w:i/>
                <w:lang w:val="fr-BE"/>
              </w:rPr>
            </m:ctrlPr>
          </m:sSubPr>
          <m:e>
            <m:r>
              <w:rPr>
                <w:rFonts w:ascii="Cambria Math" w:hAnsi="Cambria Math"/>
              </w:rPr>
              <m:t>AMP</m:t>
            </m:r>
          </m:e>
          <m:sub>
            <m:r>
              <m:rPr>
                <m:sty m:val="p"/>
              </m:rPr>
              <w:rPr>
                <w:rFonts w:ascii="Cambria Math" w:hAnsi="Cambria Math"/>
              </w:rPr>
              <m:t>i</m:t>
            </m:r>
          </m:sub>
        </m:sSub>
        <m:r>
          <w:rPr>
            <w:rFonts w:ascii="Cambria Math" w:hAnsi="Cambria Math"/>
          </w:rPr>
          <m:t>=</m:t>
        </m:r>
        <m:d>
          <m:dPr>
            <m:begChr m:val="["/>
            <m:endChr m:val="]"/>
            <m:ctrlPr>
              <w:rPr>
                <w:rFonts w:ascii="Cambria Math" w:eastAsiaTheme="minorHAnsi" w:hAnsi="Cambria Math" w:cstheme="minorBidi"/>
                <w:i/>
                <w:lang w:val="fr-BE"/>
              </w:rPr>
            </m:ctrlPr>
          </m:dPr>
          <m:e>
            <m:eqArr>
              <m:eqArrPr>
                <m:ctrlPr>
                  <w:rPr>
                    <w:rFonts w:ascii="Cambria Math" w:hAnsi="Cambria Math"/>
                    <w:i/>
                  </w:rPr>
                </m:ctrlPr>
              </m:eqArrPr>
              <m:e>
                <m:r>
                  <w:rPr>
                    <w:rFonts w:ascii="Cambria Math" w:hAnsi="Cambria Math"/>
                  </w:rPr>
                  <m:t>2,5</m:t>
                </m:r>
                <m:rad>
                  <m:radPr>
                    <m:degHide m:val="1"/>
                    <m:ctrlPr>
                      <w:rPr>
                        <w:rFonts w:ascii="Cambria Math" w:eastAsiaTheme="minorHAnsi" w:hAnsi="Cambria Math" w:cstheme="minorBidi"/>
                        <w:i/>
                        <w:lang w:val="fr-BE"/>
                      </w:rPr>
                    </m:ctrlPr>
                  </m:radPr>
                  <m:deg/>
                  <m:e>
                    <m:f>
                      <m:fPr>
                        <m:type m:val="lin"/>
                        <m:ctrlPr>
                          <w:rPr>
                            <w:rFonts w:ascii="Cambria Math" w:eastAsiaTheme="minorHAnsi" w:hAnsi="Cambria Math" w:cstheme="minorBidi"/>
                            <w:i/>
                            <w:lang w:val="fr-BE"/>
                          </w:rPr>
                        </m:ctrlPr>
                      </m:fPr>
                      <m:num>
                        <m:r>
                          <w:rPr>
                            <w:rFonts w:ascii="Cambria Math" w:hAnsi="Cambria Math"/>
                          </w:rPr>
                          <m:t>10</m:t>
                        </m:r>
                      </m:num>
                      <m:den>
                        <m:d>
                          <m:dPr>
                            <m:ctrlPr>
                              <w:rPr>
                                <w:rFonts w:ascii="Cambria Math" w:eastAsiaTheme="minorHAnsi" w:hAnsi="Cambria Math" w:cstheme="minorBidi"/>
                                <w:i/>
                                <w:lang w:val="fr-BE"/>
                              </w:rPr>
                            </m:ctrlPr>
                          </m:dPr>
                          <m:e>
                            <m:r>
                              <w:rPr>
                                <w:rFonts w:ascii="Cambria Math" w:hAnsi="Cambria Math"/>
                              </w:rPr>
                              <m:t>5+</m:t>
                            </m:r>
                            <m:sSub>
                              <m:sSubPr>
                                <m:ctrlPr>
                                  <w:rPr>
                                    <w:rFonts w:ascii="Cambria Math" w:eastAsiaTheme="minorHAnsi" w:hAnsi="Cambria Math" w:cstheme="minorBidi"/>
                                    <w:i/>
                                    <w:lang w:val="fr-BE"/>
                                  </w:rPr>
                                </m:ctrlPr>
                              </m:sSubPr>
                              <m:e>
                                <m:r>
                                  <w:rPr>
                                    <w:rFonts w:ascii="Cambria Math" w:hAnsi="Cambria Math"/>
                                  </w:rPr>
                                  <m:t>ξ</m:t>
                                </m:r>
                              </m:e>
                              <m:sub>
                                <m:r>
                                  <m:rPr>
                                    <m:sty m:val="p"/>
                                  </m:rPr>
                                  <w:rPr>
                                    <w:rFonts w:ascii="Cambria Math" w:hAnsi="Cambria Math"/>
                                  </w:rPr>
                                  <m:t>ap,i</m:t>
                                </m:r>
                              </m:sub>
                            </m:sSub>
                          </m:e>
                        </m:d>
                      </m:den>
                    </m:f>
                  </m:e>
                </m:rad>
                <m:r>
                  <w:rPr>
                    <w:rFonts w:ascii="Cambria Math" w:hAnsi="Cambria Math"/>
                  </w:rPr>
                  <m:t xml:space="preserve">                                                                                            </m:t>
                </m:r>
                <m:f>
                  <m:fPr>
                    <m:ctrlPr>
                      <w:rPr>
                        <w:rFonts w:ascii="Cambria Math" w:eastAsiaTheme="minorHAnsi" w:hAnsi="Cambria Math" w:cstheme="minorBidi"/>
                        <w:i/>
                        <w:lang w:val="fr-BE"/>
                      </w:rPr>
                    </m:ctrlPr>
                  </m:fPr>
                  <m:num>
                    <m:sSub>
                      <m:sSubPr>
                        <m:ctrlPr>
                          <w:rPr>
                            <w:rFonts w:ascii="Cambria Math" w:eastAsiaTheme="minorHAnsi" w:hAnsi="Cambria Math" w:cstheme="minorBidi"/>
                            <w:i/>
                            <w:lang w:val="fr-BE"/>
                          </w:rPr>
                        </m:ctrlPr>
                      </m:sSubPr>
                      <m:e>
                        <m:r>
                          <w:rPr>
                            <w:rFonts w:ascii="Cambria Math" w:hAnsi="Cambria Math"/>
                          </w:rPr>
                          <m:t>T</m:t>
                        </m:r>
                      </m:e>
                      <m:sub>
                        <m:r>
                          <m:rPr>
                            <m:sty m:val="p"/>
                          </m:rPr>
                          <w:rPr>
                            <w:rFonts w:ascii="Cambria Math" w:hAnsi="Cambria Math"/>
                          </w:rPr>
                          <m:t>p,i</m:t>
                        </m:r>
                      </m:sub>
                    </m:sSub>
                  </m:num>
                  <m:den>
                    <m:sSub>
                      <m:sSubPr>
                        <m:ctrlPr>
                          <w:rPr>
                            <w:rFonts w:ascii="Cambria Math" w:eastAsiaTheme="minorHAnsi" w:hAnsi="Cambria Math" w:cstheme="minorBidi"/>
                            <w:i/>
                            <w:lang w:val="fr-BE"/>
                          </w:rPr>
                        </m:ctrlPr>
                      </m:sSubPr>
                      <m:e>
                        <m:r>
                          <w:rPr>
                            <w:rFonts w:ascii="Cambria Math" w:hAnsi="Cambria Math"/>
                          </w:rPr>
                          <m:t>T</m:t>
                        </m:r>
                      </m:e>
                      <m:sub>
                        <m:r>
                          <m:rPr>
                            <m:sty m:val="p"/>
                          </m:rPr>
                          <w:rPr>
                            <w:rFonts w:ascii="Cambria Math" w:hAnsi="Cambria Math"/>
                          </w:rPr>
                          <m:t>C</m:t>
                        </m:r>
                      </m:sub>
                    </m:sSub>
                  </m:den>
                </m:f>
                <m:r>
                  <w:rPr>
                    <w:rFonts w:ascii="Cambria Math" w:hAnsi="Cambria Math"/>
                  </w:rPr>
                  <m:t>=0</m:t>
                </m:r>
              </m:e>
              <m:e>
                <m:r>
                  <m:rPr>
                    <m:sty m:val="p"/>
                  </m:rPr>
                  <w:rPr>
                    <w:rFonts w:ascii="Cambria Math" w:hAnsi="Cambria Math"/>
                  </w:rPr>
                  <m:t>linear between</m:t>
                </m:r>
                <m:r>
                  <w:rPr>
                    <w:rFonts w:ascii="Cambria Math" w:hAnsi="Cambria Math"/>
                  </w:rPr>
                  <m:t xml:space="preserve"> AM</m:t>
                </m:r>
                <m:sSub>
                  <m:sSubPr>
                    <m:ctrlPr>
                      <w:rPr>
                        <w:rFonts w:ascii="Cambria Math" w:eastAsiaTheme="minorHAnsi" w:hAnsi="Cambria Math" w:cstheme="minorBidi"/>
                        <w:i/>
                        <w:lang w:val="fr-BE"/>
                      </w:rPr>
                    </m:ctrlPr>
                  </m:sSubPr>
                  <m:e>
                    <m:r>
                      <w:rPr>
                        <w:rFonts w:ascii="Cambria Math" w:hAnsi="Cambria Math"/>
                      </w:rPr>
                      <m:t>P</m:t>
                    </m:r>
                  </m:e>
                  <m:sub>
                    <m:r>
                      <m:rPr>
                        <m:sty m:val="p"/>
                      </m:rPr>
                      <w:rPr>
                        <w:rFonts w:ascii="Cambria Math" w:hAnsi="Cambria Math"/>
                      </w:rPr>
                      <m:t>i</m:t>
                    </m:r>
                  </m:sub>
                </m:sSub>
                <m:d>
                  <m:dPr>
                    <m:ctrlPr>
                      <w:rPr>
                        <w:rFonts w:ascii="Cambria Math" w:eastAsiaTheme="minorHAnsi" w:hAnsi="Cambria Math" w:cstheme="minorBidi"/>
                        <w:i/>
                        <w:lang w:val="fr-BE"/>
                      </w:rPr>
                    </m:ctrlPr>
                  </m:dPr>
                  <m:e>
                    <m:f>
                      <m:fPr>
                        <m:ctrlPr>
                          <w:rPr>
                            <w:rFonts w:ascii="Cambria Math" w:eastAsiaTheme="minorHAnsi" w:hAnsi="Cambria Math" w:cstheme="minorBidi"/>
                            <w:i/>
                            <w:lang w:val="fr-BE"/>
                          </w:rPr>
                        </m:ctrlPr>
                      </m:fPr>
                      <m:num>
                        <m:sSub>
                          <m:sSubPr>
                            <m:ctrlPr>
                              <w:rPr>
                                <w:rFonts w:ascii="Cambria Math" w:eastAsiaTheme="minorHAnsi" w:hAnsi="Cambria Math" w:cstheme="minorBidi"/>
                                <w:i/>
                                <w:lang w:val="fr-BE"/>
                              </w:rPr>
                            </m:ctrlPr>
                          </m:sSubPr>
                          <m:e>
                            <m:r>
                              <w:rPr>
                                <w:rFonts w:ascii="Cambria Math" w:hAnsi="Cambria Math"/>
                              </w:rPr>
                              <m:t>T</m:t>
                            </m:r>
                          </m:e>
                          <m:sub>
                            <m:r>
                              <m:rPr>
                                <m:sty m:val="p"/>
                              </m:rPr>
                              <w:rPr>
                                <w:rFonts w:ascii="Cambria Math" w:hAnsi="Cambria Math"/>
                              </w:rPr>
                              <m:t>p,i</m:t>
                            </m:r>
                          </m:sub>
                        </m:sSub>
                      </m:num>
                      <m:den>
                        <m:sSub>
                          <m:sSubPr>
                            <m:ctrlPr>
                              <w:rPr>
                                <w:rFonts w:ascii="Cambria Math" w:eastAsiaTheme="minorHAnsi" w:hAnsi="Cambria Math" w:cstheme="minorBidi"/>
                                <w:i/>
                                <w:lang w:val="fr-BE"/>
                              </w:rPr>
                            </m:ctrlPr>
                          </m:sSubPr>
                          <m:e>
                            <m:r>
                              <w:rPr>
                                <w:rFonts w:ascii="Cambria Math" w:hAnsi="Cambria Math"/>
                              </w:rPr>
                              <m:t>T</m:t>
                            </m:r>
                          </m:e>
                          <m:sub>
                            <m:r>
                              <m:rPr>
                                <m:sty m:val="p"/>
                              </m:rPr>
                              <w:rPr>
                                <w:rFonts w:ascii="Cambria Math" w:hAnsi="Cambria Math"/>
                              </w:rPr>
                              <m:t>C</m:t>
                            </m:r>
                          </m:sub>
                        </m:sSub>
                      </m:den>
                    </m:f>
                    <m:r>
                      <w:rPr>
                        <w:rFonts w:ascii="Cambria Math" w:hAnsi="Cambria Math"/>
                      </w:rPr>
                      <m:t>=0</m:t>
                    </m:r>
                  </m:e>
                </m:d>
                <m:r>
                  <m:rPr>
                    <m:sty m:val="p"/>
                  </m:rPr>
                  <w:rPr>
                    <w:rFonts w:ascii="Cambria Math" w:hAnsi="Cambria Math"/>
                  </w:rPr>
                  <m:t xml:space="preserve">and </m:t>
                </m:r>
                <m:r>
                  <w:rPr>
                    <w:rFonts w:ascii="Cambria Math" w:hAnsi="Cambria Math"/>
                  </w:rPr>
                  <m:t>AM</m:t>
                </m:r>
                <m:sSub>
                  <m:sSubPr>
                    <m:ctrlPr>
                      <w:rPr>
                        <w:rFonts w:ascii="Cambria Math" w:eastAsiaTheme="minorHAnsi" w:hAnsi="Cambria Math" w:cstheme="minorBidi"/>
                        <w:i/>
                        <w:lang w:val="fr-BE"/>
                      </w:rPr>
                    </m:ctrlPr>
                  </m:sSubPr>
                  <m:e>
                    <m:r>
                      <w:rPr>
                        <w:rFonts w:ascii="Cambria Math" w:hAnsi="Cambria Math"/>
                      </w:rPr>
                      <m:t>P</m:t>
                    </m:r>
                  </m:e>
                  <m:sub>
                    <m:r>
                      <m:rPr>
                        <m:sty m:val="p"/>
                      </m:rPr>
                      <w:rPr>
                        <w:rFonts w:ascii="Cambria Math" w:hAnsi="Cambria Math"/>
                      </w:rPr>
                      <m:t>i</m:t>
                    </m:r>
                  </m:sub>
                </m:sSub>
                <m:d>
                  <m:dPr>
                    <m:ctrlPr>
                      <w:rPr>
                        <w:rFonts w:ascii="Cambria Math" w:eastAsiaTheme="minorHAnsi" w:hAnsi="Cambria Math" w:cstheme="minorBidi"/>
                        <w:i/>
                        <w:lang w:val="fr-BE"/>
                      </w:rPr>
                    </m:ctrlPr>
                  </m:dPr>
                  <m:e>
                    <m:f>
                      <m:fPr>
                        <m:ctrlPr>
                          <w:rPr>
                            <w:rFonts w:ascii="Cambria Math" w:eastAsiaTheme="minorHAnsi" w:hAnsi="Cambria Math" w:cstheme="minorBidi"/>
                            <w:i/>
                            <w:lang w:val="fr-BE"/>
                          </w:rPr>
                        </m:ctrlPr>
                      </m:fPr>
                      <m:num>
                        <m:sSub>
                          <m:sSubPr>
                            <m:ctrlPr>
                              <w:rPr>
                                <w:rFonts w:ascii="Cambria Math" w:eastAsiaTheme="minorHAnsi" w:hAnsi="Cambria Math" w:cstheme="minorBidi"/>
                                <w:i/>
                                <w:lang w:val="fr-BE"/>
                              </w:rPr>
                            </m:ctrlPr>
                          </m:sSubPr>
                          <m:e>
                            <m:r>
                              <w:rPr>
                                <w:rFonts w:ascii="Cambria Math" w:hAnsi="Cambria Math"/>
                              </w:rPr>
                              <m:t>T</m:t>
                            </m:r>
                          </m:e>
                          <m:sub>
                            <m:r>
                              <m:rPr>
                                <m:sty m:val="p"/>
                              </m:rPr>
                              <w:rPr>
                                <w:rFonts w:ascii="Cambria Math" w:hAnsi="Cambria Math"/>
                              </w:rPr>
                              <m:t>p,i</m:t>
                            </m:r>
                          </m:sub>
                        </m:sSub>
                      </m:num>
                      <m:den>
                        <m:sSub>
                          <m:sSubPr>
                            <m:ctrlPr>
                              <w:rPr>
                                <w:rFonts w:ascii="Cambria Math" w:eastAsiaTheme="minorHAnsi" w:hAnsi="Cambria Math" w:cstheme="minorBidi"/>
                                <w:i/>
                                <w:lang w:val="fr-BE"/>
                              </w:rPr>
                            </m:ctrlPr>
                          </m:sSubPr>
                          <m:e>
                            <m:r>
                              <w:rPr>
                                <w:rFonts w:ascii="Cambria Math" w:hAnsi="Cambria Math"/>
                              </w:rPr>
                              <m:t>T</m:t>
                            </m:r>
                          </m:e>
                          <m:sub>
                            <m:r>
                              <m:rPr>
                                <m:sty m:val="p"/>
                              </m:rPr>
                              <w:rPr>
                                <w:rFonts w:ascii="Cambria Math" w:hAnsi="Cambria Math"/>
                              </w:rPr>
                              <m:t>C</m:t>
                            </m:r>
                          </m:sub>
                        </m:sSub>
                      </m:den>
                    </m:f>
                    <m:r>
                      <w:rPr>
                        <w:rFonts w:ascii="Cambria Math" w:hAnsi="Cambria Math"/>
                      </w:rPr>
                      <m:t>=0,2</m:t>
                    </m:r>
                  </m:e>
                </m:d>
                <m:r>
                  <w:rPr>
                    <w:rFonts w:ascii="Cambria Math" w:hAnsi="Cambria Math"/>
                  </w:rPr>
                  <m:t xml:space="preserve">                      0≤</m:t>
                </m:r>
                <m:f>
                  <m:fPr>
                    <m:ctrlPr>
                      <w:rPr>
                        <w:rFonts w:ascii="Cambria Math" w:eastAsiaTheme="minorHAnsi" w:hAnsi="Cambria Math" w:cstheme="minorBidi"/>
                        <w:i/>
                        <w:lang w:val="fr-BE"/>
                      </w:rPr>
                    </m:ctrlPr>
                  </m:fPr>
                  <m:num>
                    <m:sSub>
                      <m:sSubPr>
                        <m:ctrlPr>
                          <w:rPr>
                            <w:rFonts w:ascii="Cambria Math" w:eastAsiaTheme="minorHAnsi" w:hAnsi="Cambria Math" w:cstheme="minorBidi"/>
                            <w:i/>
                            <w:lang w:val="fr-BE"/>
                          </w:rPr>
                        </m:ctrlPr>
                      </m:sSubPr>
                      <m:e>
                        <m:r>
                          <w:rPr>
                            <w:rFonts w:ascii="Cambria Math" w:hAnsi="Cambria Math"/>
                          </w:rPr>
                          <m:t>T</m:t>
                        </m:r>
                      </m:e>
                      <m:sub>
                        <m:r>
                          <m:rPr>
                            <m:sty m:val="p"/>
                          </m:rPr>
                          <w:rPr>
                            <w:rFonts w:ascii="Cambria Math" w:hAnsi="Cambria Math"/>
                          </w:rPr>
                          <m:t>p,i</m:t>
                        </m:r>
                      </m:sub>
                    </m:sSub>
                  </m:num>
                  <m:den>
                    <m:sSub>
                      <m:sSubPr>
                        <m:ctrlPr>
                          <w:rPr>
                            <w:rFonts w:ascii="Cambria Math" w:eastAsiaTheme="minorHAnsi" w:hAnsi="Cambria Math" w:cstheme="minorBidi"/>
                            <w:i/>
                            <w:lang w:val="fr-BE"/>
                          </w:rPr>
                        </m:ctrlPr>
                      </m:sSubPr>
                      <m:e>
                        <m:r>
                          <w:rPr>
                            <w:rFonts w:ascii="Cambria Math" w:hAnsi="Cambria Math"/>
                          </w:rPr>
                          <m:t>T</m:t>
                        </m:r>
                      </m:e>
                      <m:sub>
                        <m:r>
                          <m:rPr>
                            <m:sty m:val="p"/>
                          </m:rPr>
                          <w:rPr>
                            <w:rFonts w:ascii="Cambria Math" w:hAnsi="Cambria Math"/>
                          </w:rPr>
                          <m:t>C</m:t>
                        </m:r>
                      </m:sub>
                    </m:sSub>
                  </m:den>
                </m:f>
                <m:r>
                  <w:rPr>
                    <w:rFonts w:ascii="Cambria Math" w:hAnsi="Cambria Math"/>
                  </w:rPr>
                  <m:t>≤0,2</m:t>
                </m:r>
                <m:ctrlPr>
                  <w:rPr>
                    <w:rFonts w:ascii="Cambria Math" w:eastAsia="Cambria Math" w:hAnsi="Cambria Math" w:cs="Cambria Math"/>
                    <w:i/>
                  </w:rPr>
                </m:ctrlPr>
              </m:e>
              <m:e>
                <m:f>
                  <m:fPr>
                    <m:ctrlPr>
                      <w:rPr>
                        <w:rFonts w:ascii="Cambria Math" w:eastAsia="Cambria Math" w:hAnsi="Cambria Math" w:cs="Cambria Math"/>
                        <w:i/>
                        <w:lang w:val="fr-BE"/>
                      </w:rPr>
                    </m:ctrlPr>
                  </m:fPr>
                  <m:num>
                    <m:r>
                      <w:rPr>
                        <w:rFonts w:ascii="Cambria Math" w:eastAsia="Cambria Math" w:hAnsi="Cambria Math" w:cs="Cambria Math"/>
                      </w:rPr>
                      <m:t>10</m:t>
                    </m:r>
                  </m:num>
                  <m:den>
                    <m:rad>
                      <m:radPr>
                        <m:degHide m:val="1"/>
                        <m:ctrlPr>
                          <w:rPr>
                            <w:rFonts w:ascii="Cambria Math" w:eastAsia="Cambria Math" w:hAnsi="Cambria Math" w:cs="Cambria Math"/>
                            <w:i/>
                            <w:lang w:val="fr-BE"/>
                          </w:rPr>
                        </m:ctrlPr>
                      </m:radPr>
                      <m:deg/>
                      <m:e>
                        <m:sSub>
                          <m:sSubPr>
                            <m:ctrlPr>
                              <w:rPr>
                                <w:rFonts w:ascii="Cambria Math" w:eastAsia="Cambria Math" w:hAnsi="Cambria Math" w:cs="Cambria Math"/>
                                <w:i/>
                                <w:lang w:val="fr-BE"/>
                              </w:rPr>
                            </m:ctrlPr>
                          </m:sSubPr>
                          <m:e>
                            <m:r>
                              <w:rPr>
                                <w:rFonts w:ascii="Cambria Math" w:eastAsia="Cambria Math" w:hAnsi="Cambria Math" w:cs="Cambria Math"/>
                              </w:rPr>
                              <m:t>ξ</m:t>
                            </m:r>
                          </m:e>
                          <m:sub>
                            <m:r>
                              <m:rPr>
                                <m:sty m:val="p"/>
                              </m:rPr>
                              <w:rPr>
                                <w:rFonts w:ascii="Cambria Math" w:eastAsia="Cambria Math" w:hAnsi="Cambria Math" w:cs="Cambria Math"/>
                              </w:rPr>
                              <m:t>ap,i</m:t>
                            </m:r>
                          </m:sub>
                        </m:sSub>
                      </m:e>
                    </m:rad>
                  </m:den>
                </m:f>
                <m:r>
                  <w:rPr>
                    <w:rFonts w:ascii="Cambria Math" w:eastAsia="Cambria Math" w:hAnsi="Cambria Math" w:cs="Cambria Math"/>
                  </w:rPr>
                  <m:t xml:space="preserve">                                                                                                                           </m:t>
                </m:r>
                <m:f>
                  <m:fPr>
                    <m:ctrlPr>
                      <w:rPr>
                        <w:rFonts w:ascii="Cambria Math" w:eastAsiaTheme="minorHAnsi" w:hAnsi="Cambria Math" w:cstheme="minorBidi"/>
                        <w:i/>
                        <w:lang w:val="fr-BE"/>
                      </w:rPr>
                    </m:ctrlPr>
                  </m:fPr>
                  <m:num>
                    <m:sSub>
                      <m:sSubPr>
                        <m:ctrlPr>
                          <w:rPr>
                            <w:rFonts w:ascii="Cambria Math" w:eastAsiaTheme="minorHAnsi" w:hAnsi="Cambria Math" w:cstheme="minorBidi"/>
                            <w:i/>
                            <w:lang w:val="fr-BE"/>
                          </w:rPr>
                        </m:ctrlPr>
                      </m:sSubPr>
                      <m:e>
                        <m:r>
                          <w:rPr>
                            <w:rFonts w:ascii="Cambria Math" w:hAnsi="Cambria Math"/>
                          </w:rPr>
                          <m:t>T</m:t>
                        </m:r>
                      </m:e>
                      <m:sub>
                        <m:r>
                          <m:rPr>
                            <m:sty m:val="p"/>
                          </m:rPr>
                          <w:rPr>
                            <w:rFonts w:ascii="Cambria Math" w:hAnsi="Cambria Math"/>
                          </w:rPr>
                          <m:t>p,i</m:t>
                        </m:r>
                      </m:sub>
                    </m:sSub>
                  </m:num>
                  <m:den>
                    <m:sSub>
                      <m:sSubPr>
                        <m:ctrlPr>
                          <w:rPr>
                            <w:rFonts w:ascii="Cambria Math" w:eastAsiaTheme="minorHAnsi" w:hAnsi="Cambria Math" w:cstheme="minorBidi"/>
                            <w:i/>
                            <w:lang w:val="fr-BE"/>
                          </w:rPr>
                        </m:ctrlPr>
                      </m:sSubPr>
                      <m:e>
                        <m:r>
                          <w:rPr>
                            <w:rFonts w:ascii="Cambria Math" w:hAnsi="Cambria Math"/>
                          </w:rPr>
                          <m:t>T</m:t>
                        </m:r>
                      </m:e>
                      <m:sub>
                        <m:r>
                          <m:rPr>
                            <m:sty m:val="p"/>
                          </m:rPr>
                          <w:rPr>
                            <w:rFonts w:ascii="Cambria Math" w:hAnsi="Cambria Math"/>
                          </w:rPr>
                          <m:t>C</m:t>
                        </m:r>
                      </m:sub>
                    </m:sSub>
                  </m:den>
                </m:f>
                <m:r>
                  <w:rPr>
                    <w:rFonts w:ascii="Cambria Math" w:hAnsi="Cambria Math"/>
                  </w:rPr>
                  <m:t>≥0,2</m:t>
                </m:r>
              </m:e>
            </m:eqArr>
            <m:r>
              <w:rPr>
                <w:rFonts w:ascii="Cambria Math" w:hAnsi="Cambria Math"/>
              </w:rPr>
              <m:t xml:space="preserve">  </m:t>
            </m:r>
          </m:e>
        </m:d>
      </m:oMath>
    </w:p>
    <w:p w14:paraId="46C4685A" w14:textId="64125070" w:rsidR="00E35492" w:rsidRDefault="009B5CEC" w:rsidP="00E35492">
      <w:pPr>
        <w:pStyle w:val="Formula"/>
        <w:spacing w:before="240"/>
      </w:pPr>
      <m:oMath>
        <m:sSub>
          <m:sSubPr>
            <m:ctrlPr>
              <w:rPr>
                <w:rFonts w:ascii="Cambria Math" w:hAnsi="Cambria Math"/>
              </w:rPr>
            </m:ctrlPr>
          </m:sSubPr>
          <m:e>
            <m:r>
              <w:rPr>
                <w:rFonts w:ascii="Cambria Math" w:hAnsi="Cambria Math"/>
              </w:rPr>
              <m:t>PFA</m:t>
            </m:r>
          </m:e>
          <m:sub>
            <m:r>
              <m:rPr>
                <m:sty m:val="p"/>
              </m:rPr>
              <w:rPr>
                <w:rFonts w:ascii="Cambria Math" w:hAnsi="Cambria Math"/>
              </w:rPr>
              <m:t>ij</m:t>
            </m:r>
          </m:sub>
        </m:sSub>
        <m:r>
          <w:rPr>
            <w:rFonts w:ascii="Cambria Math" w:hAnsi="Cambria Math"/>
          </w:rPr>
          <m:t>=</m:t>
        </m:r>
        <m:sSub>
          <m:sSubPr>
            <m:ctrlPr>
              <w:rPr>
                <w:rFonts w:ascii="Cambria Math" w:hAnsi="Cambria Math"/>
              </w:rPr>
            </m:ctrlPr>
          </m:sSubPr>
          <m:e>
            <m:r>
              <w:rPr>
                <w:rFonts w:ascii="Cambria Math" w:hAnsi="Cambria Math"/>
              </w:rPr>
              <m:t>Γ</m:t>
            </m:r>
          </m:e>
          <m:sub>
            <m:r>
              <m:rPr>
                <m:sty m:val="p"/>
              </m:rPr>
              <w:rPr>
                <w:rFonts w:ascii="Cambria Math" w:hAnsi="Cambria Math"/>
              </w:rPr>
              <m:t>i</m:t>
            </m:r>
          </m:sub>
        </m:sSub>
        <m:sSub>
          <m:sSubPr>
            <m:ctrlPr>
              <w:rPr>
                <w:rFonts w:ascii="Cambria Math" w:hAnsi="Cambria Math"/>
              </w:rPr>
            </m:ctrlPr>
          </m:sSubPr>
          <m:e>
            <m:r>
              <w:rPr>
                <w:rFonts w:ascii="Cambria Math" w:hAnsi="Cambria Math"/>
              </w:rPr>
              <m:t>ϕ</m:t>
            </m:r>
          </m:e>
          <m:sub>
            <m:r>
              <m:rPr>
                <m:sty m:val="p"/>
              </m:rPr>
              <w:rPr>
                <w:rFonts w:ascii="Cambria Math" w:hAnsi="Cambria Math"/>
              </w:rPr>
              <m:t>ij</m:t>
            </m:r>
          </m:sub>
        </m:sSub>
        <m:f>
          <m:fPr>
            <m:ctrlPr>
              <w:rPr>
                <w:rFonts w:ascii="Cambria Math" w:hAnsi="Cambria Math"/>
              </w:rPr>
            </m:ctrlPr>
          </m:fPr>
          <m:num>
            <m:sSub>
              <m:sSubPr>
                <m:ctrlPr>
                  <w:rPr>
                    <w:rFonts w:ascii="Cambria Math" w:hAnsi="Cambria Math"/>
                  </w:rPr>
                </m:ctrlPr>
              </m:sSubPr>
              <m:e>
                <m:r>
                  <w:rPr>
                    <w:rFonts w:ascii="Cambria Math" w:hAnsi="Cambria Math"/>
                  </w:rPr>
                  <m:t>S</m:t>
                </m:r>
              </m:e>
              <m:sub>
                <m:r>
                  <m:rPr>
                    <m:sty m:val="p"/>
                  </m:rPr>
                  <w:rPr>
                    <w:rFonts w:ascii="Cambria Math" w:hAnsi="Cambria Math"/>
                  </w:rPr>
                  <m:t>ep,i</m:t>
                </m:r>
              </m:sub>
            </m:sSub>
          </m:num>
          <m:den>
            <m:sSub>
              <m:sSubPr>
                <m:ctrlPr>
                  <w:rPr>
                    <w:rFonts w:ascii="Cambria Math" w:hAnsi="Cambria Math"/>
                  </w:rPr>
                </m:ctrlPr>
              </m:sSubPr>
              <m:e>
                <m:r>
                  <w:rPr>
                    <w:rFonts w:ascii="Cambria Math" w:hAnsi="Cambria Math"/>
                  </w:rPr>
                  <m:t>q</m:t>
                </m:r>
              </m:e>
              <m:sub>
                <m:r>
                  <m:rPr>
                    <m:sty m:val="p"/>
                  </m:rPr>
                  <w:rPr>
                    <w:rFonts w:ascii="Cambria Math" w:hAnsi="Cambria Math"/>
                  </w:rPr>
                  <m:t>D</m:t>
                </m:r>
              </m:sub>
            </m:sSub>
            <m:r>
              <w:rPr>
                <w:rFonts w:ascii="Cambria Math" w:hAnsi="Cambria Math"/>
              </w:rPr>
              <m:t>'</m:t>
            </m:r>
          </m:den>
        </m:f>
      </m:oMath>
      <w:r w:rsidR="00E35492" w:rsidRPr="00870D59">
        <w:tab/>
        <w:t>(</w:t>
      </w:r>
      <w:r w:rsidR="00E35492">
        <w:t>C</w:t>
      </w:r>
      <w:r w:rsidR="00E35492" w:rsidRPr="00870D59">
        <w:t>.</w:t>
      </w:r>
      <w:r w:rsidR="00E35492">
        <w:t>3</w:t>
      </w:r>
      <w:r w:rsidR="00E35492" w:rsidRPr="00870D59">
        <w:t>)</w:t>
      </w:r>
    </w:p>
    <w:p w14:paraId="6B74C7E7" w14:textId="6B9FA3F1" w:rsidR="00E35492" w:rsidRPr="001B2671" w:rsidRDefault="00675EBA" w:rsidP="00806F65">
      <w:pPr>
        <w:pStyle w:val="Text"/>
      </w:pPr>
      <w:r>
        <w:t>where</w:t>
      </w:r>
    </w:p>
    <w:tbl>
      <w:tblPr>
        <w:tblW w:w="0" w:type="auto"/>
        <w:tblInd w:w="346" w:type="dxa"/>
        <w:tblLook w:val="04A0" w:firstRow="1" w:lastRow="0" w:firstColumn="1" w:lastColumn="0" w:noHBand="0" w:noVBand="1"/>
      </w:tblPr>
      <w:tblGrid>
        <w:gridCol w:w="1275"/>
        <w:gridCol w:w="7938"/>
      </w:tblGrid>
      <w:tr w:rsidR="00E35492" w:rsidRPr="000F2AFF" w14:paraId="7DACAF5C" w14:textId="77777777" w:rsidTr="00BD628C">
        <w:tc>
          <w:tcPr>
            <w:tcW w:w="1275" w:type="dxa"/>
          </w:tcPr>
          <w:p w14:paraId="7A25CC32" w14:textId="1F97265D" w:rsidR="00E35492" w:rsidRPr="00773100" w:rsidRDefault="00D51712" w:rsidP="002061E5">
            <w:pPr>
              <w:spacing w:after="60"/>
              <w:jc w:val="left"/>
              <w:rPr>
                <w:rFonts w:eastAsia="Times New Roman" w:cs="Cambria"/>
                <w:color w:val="000000" w:themeColor="text1"/>
                <w:szCs w:val="20"/>
                <w:lang w:eastAsia="fr-FR"/>
              </w:rPr>
            </w:pPr>
            <w:r>
              <w:t>i</w:t>
            </w:r>
            <w:r w:rsidRPr="007E6F67">
              <w:t>ndices "</w:t>
            </w:r>
            <w:r w:rsidRPr="00FD17CF">
              <w:rPr>
                <w:iCs/>
              </w:rPr>
              <w:t>p</w:t>
            </w:r>
            <w:r w:rsidRPr="00FD17CF">
              <w:t>" and "</w:t>
            </w:r>
            <w:r w:rsidRPr="00FD17CF">
              <w:rPr>
                <w:iCs/>
              </w:rPr>
              <w:t>a</w:t>
            </w:r>
            <w:r>
              <w:t>p</w:t>
            </w:r>
            <w:r w:rsidRPr="00196951">
              <w:t>"</w:t>
            </w:r>
          </w:p>
        </w:tc>
        <w:tc>
          <w:tcPr>
            <w:tcW w:w="7938" w:type="dxa"/>
          </w:tcPr>
          <w:p w14:paraId="53B2FA92" w14:textId="77777777" w:rsidR="00D51712" w:rsidRPr="00806F65" w:rsidRDefault="00D51712" w:rsidP="00D51712">
            <w:pPr>
              <w:pStyle w:val="Listofsymbols"/>
            </w:pPr>
            <w:r w:rsidRPr="00806F65">
              <w:t>correspond to the primary structure and the ancillary element, respectively;</w:t>
            </w:r>
          </w:p>
          <w:p w14:paraId="17178DEE" w14:textId="1443A3F6" w:rsidR="00E35492" w:rsidRPr="00806F65" w:rsidRDefault="00D51712" w:rsidP="00D51712">
            <w:pPr>
              <w:pStyle w:val="Listofsymbols"/>
              <w:tabs>
                <w:tab w:val="clear" w:pos="1134"/>
                <w:tab w:val="left" w:pos="1347"/>
              </w:tabs>
              <w:ind w:left="0" w:firstLine="0"/>
              <w:rPr>
                <w:rFonts w:eastAsia="Times New Roman"/>
                <w:szCs w:val="22"/>
              </w:rPr>
            </w:pPr>
            <w:r w:rsidRPr="00806F65">
              <w:t>and, in addition to symbols introduced in 7.2.1</w:t>
            </w:r>
          </w:p>
        </w:tc>
      </w:tr>
      <w:tr w:rsidR="00E35492" w:rsidRPr="00D51712" w14:paraId="7B75D063" w14:textId="77777777" w:rsidTr="00BD628C">
        <w:tc>
          <w:tcPr>
            <w:tcW w:w="1275" w:type="dxa"/>
          </w:tcPr>
          <w:p w14:paraId="64D05CB2" w14:textId="4073449B" w:rsidR="00E35492" w:rsidRPr="00D51712" w:rsidRDefault="00D51712" w:rsidP="002061E5">
            <w:pPr>
              <w:spacing w:after="60"/>
              <w:jc w:val="left"/>
              <w:rPr>
                <w:rFonts w:eastAsia="Times New Roman" w:cs="Cambria"/>
                <w:color w:val="000000" w:themeColor="text1"/>
                <w:szCs w:val="20"/>
                <w:lang w:val="pt-PT" w:eastAsia="fr-FR"/>
              </w:rPr>
            </w:pPr>
            <w:r w:rsidRPr="00D51712">
              <w:rPr>
                <w:i/>
                <w:lang w:val="pt-PT"/>
              </w:rPr>
              <w:t>S</w:t>
            </w:r>
            <w:r w:rsidRPr="00D51712">
              <w:rPr>
                <w:vertAlign w:val="subscript"/>
                <w:lang w:val="pt-PT"/>
              </w:rPr>
              <w:t>ep,i</w:t>
            </w:r>
            <w:r w:rsidRPr="00D51712">
              <w:rPr>
                <w:lang w:val="pt-PT"/>
              </w:rPr>
              <w:t xml:space="preserve"> =</w:t>
            </w:r>
            <w:r w:rsidRPr="00D51712">
              <w:rPr>
                <w:i/>
                <w:lang w:val="pt-PT"/>
              </w:rPr>
              <w:t xml:space="preserve"> S</w:t>
            </w:r>
            <w:r w:rsidRPr="00D51712">
              <w:rPr>
                <w:vertAlign w:val="subscript"/>
                <w:lang w:val="pt-PT"/>
              </w:rPr>
              <w:t>e</w:t>
            </w:r>
            <w:r w:rsidRPr="00D51712">
              <w:rPr>
                <w:lang w:val="pt-PT"/>
              </w:rPr>
              <w:t>(</w:t>
            </w:r>
            <w:r w:rsidRPr="00D51712">
              <w:rPr>
                <w:i/>
                <w:lang w:val="pt-PT"/>
              </w:rPr>
              <w:t>T</w:t>
            </w:r>
            <w:r w:rsidRPr="00D51712">
              <w:rPr>
                <w:vertAlign w:val="subscript"/>
                <w:lang w:val="pt-PT"/>
              </w:rPr>
              <w:t>p,</w:t>
            </w:r>
            <w:r w:rsidRPr="00D51712">
              <w:rPr>
                <w:iCs/>
                <w:vertAlign w:val="subscript"/>
                <w:lang w:val="pt-PT"/>
              </w:rPr>
              <w:t>i</w:t>
            </w:r>
            <w:r w:rsidRPr="00D51712">
              <w:rPr>
                <w:lang w:val="pt-PT"/>
              </w:rPr>
              <w:t xml:space="preserve">, </w:t>
            </w:r>
            <w:r w:rsidRPr="00132C1E">
              <w:rPr>
                <w:i/>
              </w:rPr>
              <w:t>ξ</w:t>
            </w:r>
            <w:r w:rsidRPr="00D51712">
              <w:rPr>
                <w:vertAlign w:val="subscript"/>
                <w:lang w:val="pt-PT"/>
              </w:rPr>
              <w:t>p,</w:t>
            </w:r>
            <w:r w:rsidRPr="00D51712">
              <w:rPr>
                <w:iCs/>
                <w:vertAlign w:val="subscript"/>
                <w:lang w:val="pt-PT"/>
              </w:rPr>
              <w:t>i</w:t>
            </w:r>
            <w:r w:rsidRPr="00D51712">
              <w:rPr>
                <w:lang w:val="pt-PT"/>
              </w:rPr>
              <w:t>)</w:t>
            </w:r>
          </w:p>
        </w:tc>
        <w:tc>
          <w:tcPr>
            <w:tcW w:w="7938" w:type="dxa"/>
          </w:tcPr>
          <w:p w14:paraId="288117AB" w14:textId="4AC72F5A" w:rsidR="00E35492" w:rsidRPr="00806F65" w:rsidRDefault="00D51712" w:rsidP="002061E5">
            <w:pPr>
              <w:pStyle w:val="Listofsymbols"/>
              <w:tabs>
                <w:tab w:val="clear" w:pos="1134"/>
                <w:tab w:val="left" w:pos="1347"/>
              </w:tabs>
              <w:ind w:left="0" w:firstLine="0"/>
              <w:rPr>
                <w:rFonts w:eastAsia="Times New Roman"/>
                <w:szCs w:val="22"/>
                <w:lang w:val="en-US"/>
              </w:rPr>
            </w:pPr>
            <w:r w:rsidRPr="00806F65">
              <w:t xml:space="preserve">is the value in the elastic response spectrum which applies to the </w:t>
            </w:r>
            <w:r w:rsidRPr="00806F65">
              <w:rPr>
                <w:i/>
              </w:rPr>
              <w:t>i</w:t>
            </w:r>
            <w:r w:rsidRPr="00806F65">
              <w:rPr>
                <w:vertAlign w:val="superscript"/>
              </w:rPr>
              <w:t>th</w:t>
            </w:r>
            <w:r w:rsidRPr="00806F65">
              <w:t xml:space="preserve"> mode of the primary structure;</w:t>
            </w:r>
          </w:p>
        </w:tc>
      </w:tr>
      <w:tr w:rsidR="00E35492" w:rsidRPr="00D51712" w14:paraId="137057FC" w14:textId="77777777" w:rsidTr="00BD628C">
        <w:tc>
          <w:tcPr>
            <w:tcW w:w="1275" w:type="dxa"/>
          </w:tcPr>
          <w:p w14:paraId="71C85AED" w14:textId="3FCC8BC5" w:rsidR="00E35492" w:rsidRPr="00D51712" w:rsidRDefault="00D51712" w:rsidP="002061E5">
            <w:pPr>
              <w:spacing w:after="60"/>
              <w:jc w:val="left"/>
              <w:rPr>
                <w:rFonts w:ascii="Symbol" w:hAnsi="Symbol"/>
                <w:i/>
                <w:lang w:val="pt-PT"/>
              </w:rPr>
            </w:pPr>
            <w:r w:rsidRPr="00132C1E">
              <w:rPr>
                <w:i/>
              </w:rPr>
              <w:t>S</w:t>
            </w:r>
            <w:r w:rsidRPr="00132C1E">
              <w:rPr>
                <w:vertAlign w:val="subscript"/>
              </w:rPr>
              <w:t>ea</w:t>
            </w:r>
            <w:r>
              <w:rPr>
                <w:vertAlign w:val="subscript"/>
              </w:rPr>
              <w:t>p</w:t>
            </w:r>
            <w:r w:rsidRPr="00132C1E">
              <w:t xml:space="preserve"> =</w:t>
            </w:r>
            <w:r w:rsidRPr="00132C1E">
              <w:rPr>
                <w:i/>
              </w:rPr>
              <w:t xml:space="preserve"> S</w:t>
            </w:r>
            <w:r w:rsidRPr="00132C1E">
              <w:rPr>
                <w:vertAlign w:val="subscript"/>
              </w:rPr>
              <w:t>e</w:t>
            </w:r>
            <w:r w:rsidRPr="00132C1E">
              <w:t>(</w:t>
            </w:r>
            <w:r w:rsidRPr="00132C1E">
              <w:rPr>
                <w:i/>
              </w:rPr>
              <w:t>T</w:t>
            </w:r>
            <w:r w:rsidRPr="00132C1E">
              <w:rPr>
                <w:vertAlign w:val="subscript"/>
              </w:rPr>
              <w:t>a</w:t>
            </w:r>
            <w:r>
              <w:rPr>
                <w:vertAlign w:val="subscript"/>
              </w:rPr>
              <w:t>p</w:t>
            </w:r>
            <w:r w:rsidRPr="00132C1E">
              <w:t xml:space="preserve">, </w:t>
            </w:r>
            <w:r w:rsidRPr="00132C1E">
              <w:rPr>
                <w:i/>
              </w:rPr>
              <w:t>ξ</w:t>
            </w:r>
            <w:r w:rsidRPr="00132C1E">
              <w:rPr>
                <w:vertAlign w:val="subscript"/>
              </w:rPr>
              <w:t>a</w:t>
            </w:r>
            <w:r>
              <w:rPr>
                <w:vertAlign w:val="subscript"/>
              </w:rPr>
              <w:t>p</w:t>
            </w:r>
            <w:r w:rsidRPr="00132C1E">
              <w:t>)</w:t>
            </w:r>
          </w:p>
        </w:tc>
        <w:tc>
          <w:tcPr>
            <w:tcW w:w="7938" w:type="dxa"/>
          </w:tcPr>
          <w:p w14:paraId="2E5524C5" w14:textId="57E9099D" w:rsidR="00E35492" w:rsidRPr="00806F65" w:rsidRDefault="00D51712" w:rsidP="002061E5">
            <w:pPr>
              <w:pStyle w:val="Listofsymbols"/>
              <w:tabs>
                <w:tab w:val="clear" w:pos="1134"/>
                <w:tab w:val="left" w:pos="1347"/>
              </w:tabs>
              <w:ind w:left="0" w:firstLine="0"/>
              <w:rPr>
                <w:szCs w:val="22"/>
                <w:lang w:val="en-US"/>
              </w:rPr>
            </w:pPr>
            <w:r w:rsidRPr="00806F65">
              <w:t>is the value in the elastic response spectrum which applies to the ancillary element;</w:t>
            </w:r>
          </w:p>
        </w:tc>
      </w:tr>
      <w:tr w:rsidR="00D51712" w:rsidRPr="00D51712" w14:paraId="72231A91" w14:textId="77777777" w:rsidTr="00BD628C">
        <w:tc>
          <w:tcPr>
            <w:tcW w:w="1275" w:type="dxa"/>
          </w:tcPr>
          <w:p w14:paraId="57AA2450" w14:textId="7563DA96" w:rsidR="00D51712" w:rsidRPr="00132C1E" w:rsidRDefault="00D51712" w:rsidP="002061E5">
            <w:pPr>
              <w:spacing w:after="60"/>
              <w:jc w:val="left"/>
              <w:rPr>
                <w:i/>
              </w:rPr>
            </w:pPr>
            <w:r w:rsidRPr="00132C1E">
              <w:rPr>
                <w:i/>
              </w:rPr>
              <w:lastRenderedPageBreak/>
              <w:t>T</w:t>
            </w:r>
            <w:r w:rsidRPr="00132C1E">
              <w:rPr>
                <w:vertAlign w:val="subscript"/>
              </w:rPr>
              <w:t>p,i</w:t>
            </w:r>
          </w:p>
        </w:tc>
        <w:tc>
          <w:tcPr>
            <w:tcW w:w="7938" w:type="dxa"/>
          </w:tcPr>
          <w:p w14:paraId="353FF83D" w14:textId="56B95B86" w:rsidR="00D51712" w:rsidRPr="00806F65" w:rsidRDefault="00D51712" w:rsidP="002061E5">
            <w:pPr>
              <w:pStyle w:val="Listofsymbols"/>
              <w:tabs>
                <w:tab w:val="clear" w:pos="1134"/>
                <w:tab w:val="left" w:pos="1347"/>
              </w:tabs>
              <w:ind w:left="0" w:firstLine="0"/>
              <w:rPr>
                <w:szCs w:val="22"/>
                <w:lang w:val="en-US"/>
              </w:rPr>
            </w:pPr>
            <w:r w:rsidRPr="00806F65">
              <w:t xml:space="preserve">is the natural period of the </w:t>
            </w:r>
            <w:r w:rsidRPr="00806F65">
              <w:rPr>
                <w:i/>
              </w:rPr>
              <w:t>i</w:t>
            </w:r>
            <w:r w:rsidRPr="00806F65">
              <w:rPr>
                <w:vertAlign w:val="superscript"/>
              </w:rPr>
              <w:t>th</w:t>
            </w:r>
            <w:r w:rsidRPr="00806F65">
              <w:t xml:space="preserve"> mode of the structure;</w:t>
            </w:r>
          </w:p>
        </w:tc>
      </w:tr>
      <w:tr w:rsidR="00D51712" w:rsidRPr="00D51712" w14:paraId="03A99481" w14:textId="77777777" w:rsidTr="00BD628C">
        <w:tc>
          <w:tcPr>
            <w:tcW w:w="1275" w:type="dxa"/>
          </w:tcPr>
          <w:p w14:paraId="653EA5D6" w14:textId="23A4BCEA" w:rsidR="00D51712" w:rsidRPr="00132C1E" w:rsidRDefault="00D51712" w:rsidP="002061E5">
            <w:pPr>
              <w:spacing w:after="60"/>
              <w:jc w:val="left"/>
              <w:rPr>
                <w:i/>
              </w:rPr>
            </w:pPr>
            <w:r w:rsidRPr="00132C1E">
              <w:rPr>
                <w:i/>
              </w:rPr>
              <w:t>ϕ</w:t>
            </w:r>
            <w:r w:rsidRPr="00132C1E">
              <w:rPr>
                <w:iCs/>
                <w:vertAlign w:val="subscript"/>
              </w:rPr>
              <w:t>ij</w:t>
            </w:r>
          </w:p>
        </w:tc>
        <w:tc>
          <w:tcPr>
            <w:tcW w:w="7938" w:type="dxa"/>
          </w:tcPr>
          <w:p w14:paraId="2F6D0019" w14:textId="0594B422" w:rsidR="00D51712" w:rsidRPr="00806F65" w:rsidRDefault="00D51712" w:rsidP="002061E5">
            <w:pPr>
              <w:pStyle w:val="Listofsymbols"/>
              <w:tabs>
                <w:tab w:val="clear" w:pos="1134"/>
                <w:tab w:val="left" w:pos="1347"/>
              </w:tabs>
              <w:ind w:left="0" w:firstLine="0"/>
              <w:rPr>
                <w:szCs w:val="22"/>
                <w:lang w:val="en-US"/>
              </w:rPr>
            </w:pPr>
            <w:r w:rsidRPr="00806F65">
              <w:t xml:space="preserve">is the </w:t>
            </w:r>
            <w:r w:rsidRPr="00806F65">
              <w:rPr>
                <w:i/>
              </w:rPr>
              <w:t>i</w:t>
            </w:r>
            <w:r w:rsidRPr="00806F65">
              <w:rPr>
                <w:vertAlign w:val="superscript"/>
              </w:rPr>
              <w:t>th</w:t>
            </w:r>
            <w:r w:rsidRPr="00806F65">
              <w:t xml:space="preserve"> mode shape value at the </w:t>
            </w:r>
            <w:r w:rsidRPr="00806F65">
              <w:rPr>
                <w:i/>
              </w:rPr>
              <w:t>j</w:t>
            </w:r>
            <w:r w:rsidRPr="00806F65">
              <w:rPr>
                <w:vertAlign w:val="superscript"/>
              </w:rPr>
              <w:t>th</w:t>
            </w:r>
            <w:r w:rsidRPr="00806F65">
              <w:t xml:space="preserve"> floor, considering also (3) and (4);</w:t>
            </w:r>
          </w:p>
        </w:tc>
      </w:tr>
      <w:tr w:rsidR="00D51712" w:rsidRPr="00D51712" w14:paraId="7A826C01" w14:textId="77777777" w:rsidTr="00BD628C">
        <w:tc>
          <w:tcPr>
            <w:tcW w:w="1275" w:type="dxa"/>
          </w:tcPr>
          <w:p w14:paraId="3FE31C3F" w14:textId="761189FC" w:rsidR="00D51712" w:rsidRPr="00132C1E" w:rsidRDefault="00D51712" w:rsidP="002061E5">
            <w:pPr>
              <w:spacing w:after="60"/>
              <w:jc w:val="left"/>
              <w:rPr>
                <w:i/>
              </w:rPr>
            </w:pPr>
            <w:r w:rsidRPr="00132C1E">
              <w:rPr>
                <w:i/>
              </w:rPr>
              <w:t>Γ</w:t>
            </w:r>
            <w:r w:rsidRPr="005A7341">
              <w:rPr>
                <w:iCs/>
                <w:vertAlign w:val="subscript"/>
              </w:rPr>
              <w:t>i</w:t>
            </w:r>
          </w:p>
        </w:tc>
        <w:tc>
          <w:tcPr>
            <w:tcW w:w="7938" w:type="dxa"/>
          </w:tcPr>
          <w:p w14:paraId="06BF789A" w14:textId="09009F84" w:rsidR="00D51712" w:rsidRPr="00806F65" w:rsidRDefault="00D51712" w:rsidP="002061E5">
            <w:pPr>
              <w:pStyle w:val="Listofsymbols"/>
              <w:tabs>
                <w:tab w:val="clear" w:pos="1134"/>
                <w:tab w:val="left" w:pos="1347"/>
              </w:tabs>
              <w:ind w:left="0" w:firstLine="0"/>
              <w:rPr>
                <w:szCs w:val="22"/>
                <w:lang w:val="en-US"/>
              </w:rPr>
            </w:pPr>
            <w:r w:rsidRPr="00806F65">
              <w:t xml:space="preserve">is the modal participation factor for the </w:t>
            </w:r>
            <w:r w:rsidRPr="00806F65">
              <w:rPr>
                <w:i/>
              </w:rPr>
              <w:t>i</w:t>
            </w:r>
            <w:r w:rsidRPr="00806F65">
              <w:rPr>
                <w:vertAlign w:val="superscript"/>
              </w:rPr>
              <w:t>th</w:t>
            </w:r>
            <w:r w:rsidRPr="00806F65">
              <w:t xml:space="preserve"> mode. In a planar model with concentrated masses, </w:t>
            </w:r>
            <w:r w:rsidRPr="00806F65">
              <w:rPr>
                <w:i/>
              </w:rPr>
              <w:t>Γ</w:t>
            </w:r>
            <w:r w:rsidRPr="00806F65">
              <w:rPr>
                <w:iCs/>
                <w:vertAlign w:val="subscript"/>
              </w:rPr>
              <w:t>i</w:t>
            </w:r>
            <w:r w:rsidRPr="00806F65">
              <w:t xml:space="preserve"> is defined by Formula (C.4), where </w:t>
            </w:r>
            <w:r w:rsidRPr="00806F65">
              <w:rPr>
                <w:i/>
              </w:rPr>
              <w:t>m</w:t>
            </w:r>
            <w:r w:rsidRPr="00806F65">
              <w:rPr>
                <w:iCs/>
                <w:vertAlign w:val="subscript"/>
              </w:rPr>
              <w:t>j</w:t>
            </w:r>
            <w:r w:rsidRPr="00806F65">
              <w:t xml:space="preserve"> is the mass at the </w:t>
            </w:r>
            <w:r w:rsidRPr="00806F65">
              <w:rPr>
                <w:i/>
              </w:rPr>
              <w:t>j</w:t>
            </w:r>
            <w:r w:rsidRPr="00806F65">
              <w:rPr>
                <w:vertAlign w:val="superscript"/>
              </w:rPr>
              <w:t>th</w:t>
            </w:r>
            <w:r w:rsidRPr="00806F65">
              <w:t xml:space="preserve"> floor</w:t>
            </w:r>
          </w:p>
        </w:tc>
      </w:tr>
    </w:tbl>
    <w:p w14:paraId="63AE697A" w14:textId="478ABD3D" w:rsidR="00D51712" w:rsidRDefault="009B5CEC" w:rsidP="00D51712">
      <w:pPr>
        <w:pStyle w:val="Formula"/>
        <w:spacing w:before="240"/>
      </w:pPr>
      <m:oMath>
        <m:sSub>
          <m:sSubPr>
            <m:ctrlPr>
              <w:rPr>
                <w:rFonts w:ascii="Cambria Math" w:hAnsi="Cambria Math"/>
              </w:rPr>
            </m:ctrlPr>
          </m:sSubPr>
          <m:e>
            <m:r>
              <w:rPr>
                <w:rFonts w:ascii="Cambria Math" w:hAnsi="Cambria Math"/>
              </w:rPr>
              <m:t>Γ</m:t>
            </m:r>
          </m:e>
          <m:sub>
            <m:r>
              <w:rPr>
                <w:rFonts w:ascii="Cambria Math" w:hAnsi="Cambria Math"/>
              </w:rPr>
              <m:t>i</m:t>
            </m:r>
          </m:sub>
        </m:sSub>
        <m:r>
          <w:rPr>
            <w:rFonts w:ascii="Cambria Math" w:hAnsi="Cambria Math"/>
          </w:rPr>
          <m:t>=</m:t>
        </m:r>
        <m:f>
          <m:fPr>
            <m:ctrlPr>
              <w:rPr>
                <w:rFonts w:ascii="Cambria Math" w:hAnsi="Cambria Math"/>
              </w:rPr>
            </m:ctrlPr>
          </m:fPr>
          <m:num>
            <m:nary>
              <m:naryPr>
                <m:chr m:val="∑"/>
                <m:limLoc m:val="undOvr"/>
                <m:subHide m:val="1"/>
                <m:supHide m:val="1"/>
                <m:ctrlPr>
                  <w:rPr>
                    <w:rFonts w:ascii="Cambria Math" w:hAnsi="Cambria Math"/>
                  </w:rPr>
                </m:ctrlPr>
              </m:naryPr>
              <m:sub/>
              <m:sup/>
              <m:e>
                <m:sSub>
                  <m:sSubPr>
                    <m:ctrlPr>
                      <w:rPr>
                        <w:rFonts w:ascii="Cambria Math" w:hAnsi="Cambria Math"/>
                      </w:rPr>
                    </m:ctrlPr>
                  </m:sSubPr>
                  <m:e>
                    <m:r>
                      <w:rPr>
                        <w:rFonts w:ascii="Cambria Math" w:hAnsi="Cambria Math"/>
                      </w:rPr>
                      <m:t>m</m:t>
                    </m:r>
                  </m:e>
                  <m:sub>
                    <m:r>
                      <m:rPr>
                        <m:sty m:val="p"/>
                      </m:rPr>
                      <w:rPr>
                        <w:rFonts w:ascii="Cambria Math" w:hAnsi="Cambria Math"/>
                      </w:rPr>
                      <m:t>j</m:t>
                    </m:r>
                  </m:sub>
                </m:sSub>
                <m:sSub>
                  <m:sSubPr>
                    <m:ctrlPr>
                      <w:rPr>
                        <w:rFonts w:ascii="Cambria Math" w:hAnsi="Cambria Math"/>
                      </w:rPr>
                    </m:ctrlPr>
                  </m:sSubPr>
                  <m:e>
                    <m:r>
                      <w:rPr>
                        <w:rFonts w:ascii="Cambria Math" w:hAnsi="Cambria Math"/>
                      </w:rPr>
                      <m:t>ϕ</m:t>
                    </m:r>
                  </m:e>
                  <m:sub>
                    <m:r>
                      <m:rPr>
                        <m:sty m:val="p"/>
                      </m:rPr>
                      <w:rPr>
                        <w:rFonts w:ascii="Cambria Math" w:hAnsi="Cambria Math"/>
                      </w:rPr>
                      <m:t>ij</m:t>
                    </m:r>
                  </m:sub>
                </m:sSub>
              </m:e>
            </m:nary>
          </m:num>
          <m:den>
            <m:nary>
              <m:naryPr>
                <m:chr m:val="∑"/>
                <m:limLoc m:val="undOvr"/>
                <m:subHide m:val="1"/>
                <m:supHide m:val="1"/>
                <m:ctrlPr>
                  <w:rPr>
                    <w:rFonts w:ascii="Cambria Math" w:hAnsi="Cambria Math"/>
                  </w:rPr>
                </m:ctrlPr>
              </m:naryPr>
              <m:sub/>
              <m:sup/>
              <m:e>
                <m:sSub>
                  <m:sSubPr>
                    <m:ctrlPr>
                      <w:rPr>
                        <w:rFonts w:ascii="Cambria Math" w:hAnsi="Cambria Math"/>
                      </w:rPr>
                    </m:ctrlPr>
                  </m:sSubPr>
                  <m:e>
                    <m:r>
                      <w:rPr>
                        <w:rFonts w:ascii="Cambria Math" w:hAnsi="Cambria Math"/>
                      </w:rPr>
                      <m:t>m</m:t>
                    </m:r>
                  </m:e>
                  <m:sub>
                    <m:r>
                      <m:rPr>
                        <m:sty m:val="p"/>
                      </m:rPr>
                      <w:rPr>
                        <w:rFonts w:ascii="Cambria Math" w:hAnsi="Cambria Math"/>
                      </w:rPr>
                      <m:t>j</m:t>
                    </m:r>
                  </m:sub>
                </m:sSub>
                <m:sSubSup>
                  <m:sSubSupPr>
                    <m:ctrlPr>
                      <w:rPr>
                        <w:rFonts w:ascii="Cambria Math" w:hAnsi="Cambria Math"/>
                      </w:rPr>
                    </m:ctrlPr>
                  </m:sSubSupPr>
                  <m:e>
                    <m:r>
                      <w:rPr>
                        <w:rFonts w:ascii="Cambria Math" w:hAnsi="Cambria Math"/>
                      </w:rPr>
                      <m:t>ϕ</m:t>
                    </m:r>
                  </m:e>
                  <m:sub>
                    <m:r>
                      <m:rPr>
                        <m:sty m:val="p"/>
                      </m:rPr>
                      <w:rPr>
                        <w:rFonts w:ascii="Cambria Math" w:hAnsi="Cambria Math"/>
                      </w:rPr>
                      <m:t>ij</m:t>
                    </m:r>
                  </m:sub>
                  <m:sup>
                    <m:r>
                      <w:rPr>
                        <w:rFonts w:ascii="Cambria Math" w:hAnsi="Cambria Math"/>
                      </w:rPr>
                      <m:t>2</m:t>
                    </m:r>
                  </m:sup>
                </m:sSubSup>
              </m:e>
            </m:nary>
          </m:den>
        </m:f>
      </m:oMath>
      <w:r w:rsidR="00D51712">
        <w:t xml:space="preserve"> </w:t>
      </w:r>
      <w:r w:rsidR="00D51712" w:rsidRPr="00870D59">
        <w:tab/>
        <w:t>(</w:t>
      </w:r>
      <w:r w:rsidR="00D51712">
        <w:t>C</w:t>
      </w:r>
      <w:r w:rsidR="00D51712" w:rsidRPr="00870D59">
        <w:t>.</w:t>
      </w:r>
      <w:r w:rsidR="00D51712">
        <w:t>4</w:t>
      </w:r>
      <w:r w:rsidR="00D51712" w:rsidRPr="00870D59">
        <w:t>)</w:t>
      </w:r>
    </w:p>
    <w:p w14:paraId="351165F5" w14:textId="3D28B6DE" w:rsidR="00D51712" w:rsidRPr="001B2671" w:rsidRDefault="00675EBA" w:rsidP="00806F65">
      <w:pPr>
        <w:pStyle w:val="Text"/>
      </w:pPr>
      <w:r>
        <w:t>where</w:t>
      </w:r>
    </w:p>
    <w:tbl>
      <w:tblPr>
        <w:tblW w:w="0" w:type="auto"/>
        <w:tblInd w:w="346" w:type="dxa"/>
        <w:tblLook w:val="04A0" w:firstRow="1" w:lastRow="0" w:firstColumn="1" w:lastColumn="0" w:noHBand="0" w:noVBand="1"/>
      </w:tblPr>
      <w:tblGrid>
        <w:gridCol w:w="1275"/>
        <w:gridCol w:w="7938"/>
      </w:tblGrid>
      <w:tr w:rsidR="00D51712" w:rsidRPr="000F2AFF" w14:paraId="35316F79" w14:textId="77777777" w:rsidTr="00BD628C">
        <w:tc>
          <w:tcPr>
            <w:tcW w:w="1275" w:type="dxa"/>
          </w:tcPr>
          <w:p w14:paraId="77813A0C" w14:textId="7A55BBE5" w:rsidR="00D51712" w:rsidRPr="00773100" w:rsidRDefault="00D51712" w:rsidP="002061E5">
            <w:pPr>
              <w:spacing w:after="60"/>
              <w:jc w:val="left"/>
              <w:rPr>
                <w:rFonts w:eastAsia="Times New Roman" w:cs="Cambria"/>
                <w:color w:val="000000" w:themeColor="text1"/>
                <w:szCs w:val="20"/>
                <w:lang w:eastAsia="fr-FR"/>
              </w:rPr>
            </w:pPr>
            <w:r w:rsidRPr="00132C1E">
              <w:rPr>
                <w:i/>
              </w:rPr>
              <w:t>ξ</w:t>
            </w:r>
            <w:r w:rsidRPr="00D1484A">
              <w:rPr>
                <w:vertAlign w:val="subscript"/>
              </w:rPr>
              <w:t>p,</w:t>
            </w:r>
            <w:r w:rsidRPr="005A7341">
              <w:rPr>
                <w:iCs/>
                <w:vertAlign w:val="subscript"/>
              </w:rPr>
              <w:t>i</w:t>
            </w:r>
          </w:p>
        </w:tc>
        <w:tc>
          <w:tcPr>
            <w:tcW w:w="7938" w:type="dxa"/>
          </w:tcPr>
          <w:p w14:paraId="237AB2FE" w14:textId="6D60C0A8" w:rsidR="00D51712" w:rsidRPr="005C7E1C" w:rsidRDefault="00D51712" w:rsidP="002061E5">
            <w:pPr>
              <w:pStyle w:val="Listofsymbols"/>
              <w:tabs>
                <w:tab w:val="clear" w:pos="1134"/>
                <w:tab w:val="left" w:pos="1347"/>
              </w:tabs>
              <w:ind w:left="0" w:firstLine="0"/>
              <w:rPr>
                <w:rFonts w:eastAsia="Times New Roman"/>
                <w:szCs w:val="22"/>
              </w:rPr>
            </w:pPr>
            <w:r w:rsidRPr="007E6F67">
              <w:t>is the critical damping ratio (in %) of the primary structure for buildings,</w:t>
            </w:r>
            <w:r w:rsidRPr="00FD17CF">
              <w:t xml:space="preserve"> equal to 5 %.</w:t>
            </w:r>
          </w:p>
        </w:tc>
      </w:tr>
      <w:tr w:rsidR="00D51712" w:rsidRPr="00D51712" w14:paraId="3EFD9504" w14:textId="77777777" w:rsidTr="00BD628C">
        <w:tc>
          <w:tcPr>
            <w:tcW w:w="1275" w:type="dxa"/>
          </w:tcPr>
          <w:p w14:paraId="448E4D73" w14:textId="3EF2AB1A" w:rsidR="00D51712" w:rsidRPr="00D51712" w:rsidRDefault="00D51712" w:rsidP="002061E5">
            <w:pPr>
              <w:spacing w:after="60"/>
              <w:jc w:val="left"/>
              <w:rPr>
                <w:rFonts w:eastAsia="Times New Roman" w:cs="Cambria"/>
                <w:color w:val="000000" w:themeColor="text1"/>
                <w:szCs w:val="20"/>
                <w:lang w:val="pt-PT" w:eastAsia="fr-FR"/>
              </w:rPr>
            </w:pPr>
            <w:r>
              <w:rPr>
                <w:i/>
                <w:iCs/>
              </w:rPr>
              <w:t>q</w:t>
            </w:r>
            <w:r>
              <w:rPr>
                <w:i/>
                <w:iCs/>
                <w:vertAlign w:val="subscript"/>
              </w:rPr>
              <w:t>D</w:t>
            </w:r>
            <w:r>
              <w:rPr>
                <w:iCs/>
              </w:rPr>
              <w:t>’</w:t>
            </w:r>
          </w:p>
        </w:tc>
        <w:tc>
          <w:tcPr>
            <w:tcW w:w="7938" w:type="dxa"/>
          </w:tcPr>
          <w:p w14:paraId="223DFC1C" w14:textId="76B7C13B" w:rsidR="00D51712" w:rsidRPr="00D51712" w:rsidRDefault="00D51712" w:rsidP="002061E5">
            <w:pPr>
              <w:pStyle w:val="Listofsymbols"/>
              <w:tabs>
                <w:tab w:val="clear" w:pos="1134"/>
                <w:tab w:val="left" w:pos="1347"/>
              </w:tabs>
              <w:ind w:left="0" w:firstLine="0"/>
              <w:rPr>
                <w:rFonts w:eastAsia="Times New Roman"/>
                <w:szCs w:val="22"/>
                <w:lang w:val="en-US"/>
              </w:rPr>
            </w:pPr>
            <w:r w:rsidRPr="00D51712">
              <w:rPr>
                <w:iCs/>
              </w:rPr>
              <w:t xml:space="preserve">is the behaviour factor defined </w:t>
            </w:r>
            <w:r w:rsidRPr="00806F65">
              <w:rPr>
                <w:iCs/>
              </w:rPr>
              <w:t>in 7.2.1(7), Formula</w:t>
            </w:r>
            <w:r w:rsidRPr="00D51712">
              <w:rPr>
                <w:iCs/>
              </w:rPr>
              <w:t xml:space="preserve"> (7.5).</w:t>
            </w:r>
          </w:p>
        </w:tc>
      </w:tr>
    </w:tbl>
    <w:p w14:paraId="4E8F7D85" w14:textId="077AE973" w:rsidR="00666B6E" w:rsidRPr="00870D59" w:rsidRDefault="00D51712" w:rsidP="0080187E">
      <w:pPr>
        <w:pStyle w:val="Clause"/>
        <w:numPr>
          <w:ilvl w:val="0"/>
          <w:numId w:val="22"/>
        </w:numPr>
      </w:pPr>
      <w:r w:rsidRPr="00E05E29">
        <w:t xml:space="preserve">In the case of lateral force analysis, the displacement shape used for the determination of lateral forces given in </w:t>
      </w:r>
      <w:r w:rsidRPr="00835C82">
        <w:t>5.3.3</w:t>
      </w:r>
      <w:r w:rsidRPr="002144A0">
        <w:t xml:space="preserve"> may be used</w:t>
      </w:r>
      <w:r>
        <w:t>.</w:t>
      </w:r>
    </w:p>
    <w:p w14:paraId="6652CCBF" w14:textId="39A881F5" w:rsidR="00666B6E" w:rsidRPr="00870D59" w:rsidRDefault="00D51712" w:rsidP="0080187E">
      <w:pPr>
        <w:pStyle w:val="Clause"/>
        <w:numPr>
          <w:ilvl w:val="0"/>
          <w:numId w:val="22"/>
        </w:numPr>
      </w:pPr>
      <w:r w:rsidRPr="002144A0">
        <w:t>In the case of pushover analysis, the inelastic deformation shape (corresponding to the design seismic action at the lim</w:t>
      </w:r>
      <w:r w:rsidRPr="004F25D7">
        <w:t>it state under consideration) should be used instead of the fundamental mode shape {</w:t>
      </w:r>
      <w:r w:rsidRPr="00B80E2B">
        <w:rPr>
          <w:rFonts w:ascii="Symbol" w:hAnsi="Symbol"/>
          <w:i/>
        </w:rPr>
        <w:t></w:t>
      </w:r>
      <w:r w:rsidRPr="00B80E2B">
        <w:rPr>
          <w:vertAlign w:val="subscript"/>
        </w:rPr>
        <w:t>1</w:t>
      </w:r>
      <w:r w:rsidRPr="00C52095">
        <w:t>}.</w:t>
      </w:r>
    </w:p>
    <w:p w14:paraId="517A8D09" w14:textId="26E9636F" w:rsidR="00666B6E" w:rsidRPr="00870D59" w:rsidRDefault="00D51712" w:rsidP="0080187E">
      <w:pPr>
        <w:pStyle w:val="Clause"/>
        <w:numPr>
          <w:ilvl w:val="0"/>
          <w:numId w:val="22"/>
        </w:numPr>
      </w:pPr>
      <w:r w:rsidRPr="00132C1E">
        <w:t xml:space="preserve">At every floor, </w:t>
      </w:r>
      <w:r w:rsidRPr="00B80E2B">
        <w:rPr>
          <w:i/>
        </w:rPr>
        <w:t>j</w:t>
      </w:r>
      <w:r w:rsidRPr="00132C1E">
        <w:t xml:space="preserve">, the resulting floor acceleration </w:t>
      </w:r>
      <w:r w:rsidRPr="00B80E2B">
        <w:rPr>
          <w:i/>
        </w:rPr>
        <w:t>S</w:t>
      </w:r>
      <w:r w:rsidRPr="00B80E2B">
        <w:rPr>
          <w:vertAlign w:val="subscript"/>
        </w:rPr>
        <w:t>a</w:t>
      </w:r>
      <w:r>
        <w:rPr>
          <w:vertAlign w:val="subscript"/>
        </w:rPr>
        <w:t>p</w:t>
      </w:r>
      <w:r w:rsidRPr="00B80E2B">
        <w:rPr>
          <w:vertAlign w:val="subscript"/>
        </w:rPr>
        <w:t>,</w:t>
      </w:r>
      <w:r w:rsidRPr="00B80E2B">
        <w:rPr>
          <w:iCs/>
          <w:vertAlign w:val="subscript"/>
        </w:rPr>
        <w:t>j</w:t>
      </w:r>
      <w:r w:rsidRPr="00132C1E">
        <w:t xml:space="preserve"> should be calculated as a combination of values for all modes of vibration contributing significantly to the global response as specified in </w:t>
      </w:r>
      <w:r>
        <w:t>pr</w:t>
      </w:r>
      <w:r w:rsidR="00C30FF9">
        <w:t>EN 1</w:t>
      </w:r>
      <w:r>
        <w:t>998-1-1:2022</w:t>
      </w:r>
      <w:r w:rsidRPr="00132C1E">
        <w:t xml:space="preserve">, </w:t>
      </w:r>
      <w:r w:rsidRPr="00835C82">
        <w:t>6.4.3.1(3)</w:t>
      </w:r>
      <w:r w:rsidRPr="00132C1E">
        <w:t xml:space="preserve">. </w:t>
      </w:r>
      <w:r w:rsidRPr="00B80E2B">
        <w:rPr>
          <w:i/>
        </w:rPr>
        <w:t>S</w:t>
      </w:r>
      <w:r w:rsidRPr="00B80E2B">
        <w:rPr>
          <w:vertAlign w:val="subscript"/>
        </w:rPr>
        <w:t>a</w:t>
      </w:r>
      <w:r>
        <w:rPr>
          <w:vertAlign w:val="subscript"/>
        </w:rPr>
        <w:t>p</w:t>
      </w:r>
      <w:r w:rsidRPr="00B80E2B">
        <w:rPr>
          <w:vertAlign w:val="subscript"/>
        </w:rPr>
        <w:t>,</w:t>
      </w:r>
      <w:r w:rsidRPr="00B80E2B">
        <w:rPr>
          <w:iCs/>
          <w:vertAlign w:val="subscript"/>
        </w:rPr>
        <w:t>j</w:t>
      </w:r>
      <w:r w:rsidRPr="00132C1E">
        <w:t xml:space="preserve"> should not be smaller than </w:t>
      </w:r>
      <w:r w:rsidRPr="00B80E2B">
        <w:rPr>
          <w:i/>
        </w:rPr>
        <w:t>S</w:t>
      </w:r>
      <w:r w:rsidRPr="00B80E2B">
        <w:rPr>
          <w:vertAlign w:val="subscript"/>
        </w:rPr>
        <w:t>ea</w:t>
      </w:r>
      <w:r>
        <w:rPr>
          <w:vertAlign w:val="subscript"/>
        </w:rPr>
        <w:t>p</w:t>
      </w:r>
      <w:r w:rsidRPr="00B80E2B">
        <w:t>.</w:t>
      </w:r>
    </w:p>
    <w:p w14:paraId="66C3F7B1" w14:textId="610BD54F" w:rsidR="000979C0" w:rsidRPr="00870D59" w:rsidRDefault="00360DF0" w:rsidP="000979C0">
      <w:pPr>
        <w:pStyle w:val="a2"/>
        <w:rPr>
          <w:color w:val="000000" w:themeColor="text1"/>
        </w:rPr>
      </w:pPr>
      <w:bookmarkStart w:id="11156" w:name="_Toc95037539"/>
      <w:bookmarkStart w:id="11157" w:name="_Toc96894837"/>
      <w:bookmarkStart w:id="11158" w:name="_Toc134198240"/>
      <w:r w:rsidRPr="00870D59">
        <w:t>Modelling</w:t>
      </w:r>
      <w:bookmarkEnd w:id="11156"/>
      <w:bookmarkEnd w:id="11157"/>
      <w:bookmarkEnd w:id="11158"/>
    </w:p>
    <w:p w14:paraId="34A2050F" w14:textId="77777777" w:rsidR="00BD628C" w:rsidRDefault="00D51712" w:rsidP="00BD628C">
      <w:pPr>
        <w:pStyle w:val="Clause"/>
        <w:numPr>
          <w:ilvl w:val="0"/>
          <w:numId w:val="23"/>
        </w:numPr>
      </w:pPr>
      <w:r w:rsidRPr="00132C1E">
        <w:t xml:space="preserve">The value of the behaviour factor </w:t>
      </w:r>
      <w:r w:rsidRPr="00B80E2B">
        <w:rPr>
          <w:i/>
          <w:iCs/>
        </w:rPr>
        <w:t>q</w:t>
      </w:r>
      <w:r w:rsidRPr="004B502C">
        <w:rPr>
          <w:vertAlign w:val="subscript"/>
        </w:rPr>
        <w:t>ap</w:t>
      </w:r>
      <w:r w:rsidRPr="00132C1E">
        <w:t xml:space="preserve">’ defined in </w:t>
      </w:r>
      <w:r w:rsidRPr="00835C82">
        <w:t>7.2.1</w:t>
      </w:r>
      <w:r w:rsidRPr="00132C1E">
        <w:t xml:space="preserve"> should be calculated using Formula (C</w:t>
      </w:r>
      <w:r>
        <w:t>5</w:t>
      </w:r>
      <w:r w:rsidRPr="00132C1E">
        <w:t>)</w:t>
      </w:r>
      <w:r w:rsidR="00784E84" w:rsidRPr="00870D59">
        <w:t>.</w:t>
      </w:r>
    </w:p>
    <w:p w14:paraId="5683D23B" w14:textId="3F3B9A01" w:rsidR="00A73568" w:rsidRPr="00BD628C" w:rsidRDefault="009B5CEC" w:rsidP="00BD628C">
      <w:pPr>
        <w:pStyle w:val="Formula"/>
      </w:pPr>
      <m:oMath>
        <m:sSup>
          <m:sSupPr>
            <m:ctrlPr>
              <w:rPr>
                <w:rFonts w:ascii="Cambria Math" w:hAnsi="Cambria Math"/>
              </w:rPr>
            </m:ctrlPr>
          </m:sSupPr>
          <m:e>
            <m:sSub>
              <m:sSubPr>
                <m:ctrlPr>
                  <w:rPr>
                    <w:rFonts w:ascii="Cambria Math" w:hAnsi="Cambria Math"/>
                  </w:rPr>
                </m:ctrlPr>
              </m:sSubPr>
              <m:e>
                <m:r>
                  <w:rPr>
                    <w:rFonts w:ascii="Cambria Math" w:hAnsi="Cambria Math"/>
                  </w:rPr>
                  <m:t>q</m:t>
                </m:r>
              </m:e>
              <m:sub>
                <m:r>
                  <m:rPr>
                    <m:sty m:val="p"/>
                  </m:rPr>
                  <w:rPr>
                    <w:rFonts w:ascii="Cambria Math" w:hAnsi="Cambria Math"/>
                  </w:rPr>
                  <m:t>ap</m:t>
                </m:r>
              </m:sub>
            </m:sSub>
          </m:e>
          <m:sup>
            <m:r>
              <m:rPr>
                <m:sty m:val="p"/>
              </m:rPr>
              <w:rPr>
                <w:rFonts w:ascii="Cambria Math" w:hAnsi="Cambria Math"/>
              </w:rPr>
              <m:t>'</m:t>
            </m:r>
          </m:sup>
        </m:sSup>
        <m:r>
          <m:rPr>
            <m:sty m:val="p"/>
          </m:rPr>
          <w:rPr>
            <w:rFonts w:ascii="Cambria Math" w:hAnsi="Cambria Math"/>
          </w:rPr>
          <m:t>=</m:t>
        </m:r>
        <m:sSub>
          <m:sSubPr>
            <m:ctrlPr>
              <w:rPr>
                <w:rFonts w:ascii="Cambria Math" w:hAnsi="Cambria Math"/>
              </w:rPr>
            </m:ctrlPr>
          </m:sSubPr>
          <m:e>
            <m:r>
              <w:rPr>
                <w:rFonts w:ascii="Cambria Math" w:hAnsi="Cambria Math"/>
              </w:rPr>
              <m:t>q</m:t>
            </m:r>
          </m:e>
          <m:sub>
            <m:r>
              <m:rPr>
                <m:sty m:val="p"/>
              </m:rPr>
              <w:rPr>
                <w:rFonts w:ascii="Cambria Math" w:hAnsi="Cambria Math"/>
              </w:rPr>
              <m:t>ap,S</m:t>
            </m:r>
          </m:sub>
        </m:sSub>
        <m:r>
          <m:rPr>
            <m:sty m:val="p"/>
          </m:rPr>
          <w:rPr>
            <w:rFonts w:ascii="Cambria Math" w:hAnsi="Cambria Math"/>
          </w:rPr>
          <m:t xml:space="preserve"> </m:t>
        </m:r>
        <m:sSup>
          <m:sSupPr>
            <m:ctrlPr>
              <w:rPr>
                <w:rFonts w:ascii="Cambria Math" w:hAnsi="Cambria Math"/>
              </w:rPr>
            </m:ctrlPr>
          </m:sSupPr>
          <m:e>
            <m:sSub>
              <m:sSubPr>
                <m:ctrlPr>
                  <w:rPr>
                    <w:rFonts w:ascii="Cambria Math" w:hAnsi="Cambria Math"/>
                  </w:rPr>
                </m:ctrlPr>
              </m:sSubPr>
              <m:e>
                <m:r>
                  <w:rPr>
                    <w:rFonts w:ascii="Cambria Math" w:hAnsi="Cambria Math"/>
                  </w:rPr>
                  <m:t>q</m:t>
                </m:r>
              </m:e>
              <m:sub>
                <m:r>
                  <m:rPr>
                    <m:sty m:val="p"/>
                  </m:rPr>
                  <w:rPr>
                    <w:rFonts w:ascii="Cambria Math" w:hAnsi="Cambria Math"/>
                  </w:rPr>
                  <m:t>ap,D</m:t>
                </m:r>
              </m:sub>
            </m:sSub>
          </m:e>
          <m:sup>
            <m:r>
              <m:rPr>
                <m:sty m:val="p"/>
              </m:rPr>
              <w:rPr>
                <w:rFonts w:ascii="Cambria Math" w:hAnsi="Cambria Math"/>
              </w:rPr>
              <m:t>'</m:t>
            </m:r>
          </m:sup>
        </m:sSup>
        <m:r>
          <m:rPr>
            <m:sty m:val="p"/>
          </m:rPr>
          <w:rPr>
            <w:rFonts w:ascii="Cambria Math" w:hAnsi="Cambria Math"/>
          </w:rPr>
          <m:t xml:space="preserve">  </m:t>
        </m:r>
      </m:oMath>
      <w:r w:rsidR="00BD628C">
        <w:tab/>
        <w:t>(C.5)</w:t>
      </w:r>
    </w:p>
    <w:p w14:paraId="5CC9B1C8" w14:textId="4523A301" w:rsidR="00A73568" w:rsidRPr="00A73568" w:rsidRDefault="00A73568" w:rsidP="00806F65">
      <w:pPr>
        <w:pStyle w:val="Text"/>
      </w:pPr>
      <w:r>
        <w:t>where</w:t>
      </w:r>
    </w:p>
    <w:tbl>
      <w:tblPr>
        <w:tblW w:w="0" w:type="auto"/>
        <w:tblInd w:w="346" w:type="dxa"/>
        <w:tblLook w:val="04A0" w:firstRow="1" w:lastRow="0" w:firstColumn="1" w:lastColumn="0" w:noHBand="0" w:noVBand="1"/>
      </w:tblPr>
      <w:tblGrid>
        <w:gridCol w:w="1275"/>
        <w:gridCol w:w="7938"/>
      </w:tblGrid>
      <w:tr w:rsidR="00A73568" w:rsidRPr="00150F42" w14:paraId="4E5D236B" w14:textId="77777777" w:rsidTr="00BD628C">
        <w:tc>
          <w:tcPr>
            <w:tcW w:w="1275" w:type="dxa"/>
          </w:tcPr>
          <w:p w14:paraId="59BC1B58" w14:textId="1E36DD1A" w:rsidR="00A73568" w:rsidRPr="00BD628C" w:rsidRDefault="009B5CEC" w:rsidP="002061E5">
            <w:pPr>
              <w:pStyle w:val="Tablebody"/>
              <w:rPr>
                <w:i/>
                <w:color w:val="000000" w:themeColor="text1"/>
              </w:rPr>
            </w:pPr>
            <m:oMathPara>
              <m:oMathParaPr>
                <m:jc m:val="left"/>
              </m:oMathParaPr>
              <m:oMath>
                <m:sSub>
                  <m:sSubPr>
                    <m:ctrlPr>
                      <w:rPr>
                        <w:rFonts w:ascii="Cambria Math" w:eastAsia="MS Mincho" w:hAnsi="Cambria Math"/>
                        <w:i/>
                      </w:rPr>
                    </m:ctrlPr>
                  </m:sSubPr>
                  <m:e>
                    <m:r>
                      <w:rPr>
                        <w:rFonts w:ascii="Cambria Math" w:hAnsi="Cambria Math"/>
                      </w:rPr>
                      <m:t>q</m:t>
                    </m:r>
                  </m:e>
                  <m:sub>
                    <m:r>
                      <m:rPr>
                        <m:sty m:val="p"/>
                      </m:rPr>
                      <w:rPr>
                        <w:rFonts w:ascii="Cambria Math" w:hAnsi="Cambria Math"/>
                      </w:rPr>
                      <m:t>ap,S</m:t>
                    </m:r>
                  </m:sub>
                </m:sSub>
              </m:oMath>
            </m:oMathPara>
          </w:p>
        </w:tc>
        <w:tc>
          <w:tcPr>
            <w:tcW w:w="7938" w:type="dxa"/>
          </w:tcPr>
          <w:p w14:paraId="2071F1FC" w14:textId="77777777" w:rsidR="00A73568" w:rsidRPr="00150F42" w:rsidRDefault="00A73568" w:rsidP="002061E5">
            <w:pPr>
              <w:pStyle w:val="Tablebody"/>
              <w:rPr>
                <w:color w:val="000000" w:themeColor="text1"/>
              </w:rPr>
            </w:pPr>
            <w:r w:rsidRPr="00150F42">
              <w:rPr>
                <w:color w:val="000000" w:themeColor="text1"/>
              </w:rPr>
              <w:t xml:space="preserve">is the behaviour factor component accounting for all sources </w:t>
            </w:r>
            <w:r>
              <w:rPr>
                <w:color w:val="000000" w:themeColor="text1"/>
              </w:rPr>
              <w:t xml:space="preserve">of </w:t>
            </w:r>
            <w:r w:rsidRPr="00150F42">
              <w:rPr>
                <w:color w:val="000000" w:themeColor="text1"/>
              </w:rPr>
              <w:t>overstrength;</w:t>
            </w:r>
            <w:r>
              <w:rPr>
                <w:color w:val="000000" w:themeColor="text1"/>
              </w:rPr>
              <w:t xml:space="preserve"> it can be taken as equal to 1.3 unless another value is specified or documented for the ancillary element under consideration;</w:t>
            </w:r>
          </w:p>
        </w:tc>
      </w:tr>
      <w:tr w:rsidR="00A73568" w:rsidRPr="00150F42" w14:paraId="07FC44AE" w14:textId="77777777" w:rsidTr="00BD628C">
        <w:tc>
          <w:tcPr>
            <w:tcW w:w="1275" w:type="dxa"/>
          </w:tcPr>
          <w:p w14:paraId="662495A9" w14:textId="16512404" w:rsidR="00A73568" w:rsidRPr="00BD628C" w:rsidRDefault="009B5CEC" w:rsidP="002061E5">
            <w:pPr>
              <w:pStyle w:val="Tablebody"/>
            </w:pPr>
            <m:oMathPara>
              <m:oMathParaPr>
                <m:jc m:val="left"/>
              </m:oMathParaPr>
              <m:oMath>
                <m:sSup>
                  <m:sSupPr>
                    <m:ctrlPr>
                      <w:rPr>
                        <w:rFonts w:ascii="Cambria Math" w:eastAsia="MS Mincho" w:hAnsi="Cambria Math"/>
                        <w:i/>
                      </w:rPr>
                    </m:ctrlPr>
                  </m:sSupPr>
                  <m:e>
                    <m:sSub>
                      <m:sSubPr>
                        <m:ctrlPr>
                          <w:rPr>
                            <w:rFonts w:ascii="Cambria Math" w:eastAsia="MS Mincho" w:hAnsi="Cambria Math"/>
                            <w:i/>
                          </w:rPr>
                        </m:ctrlPr>
                      </m:sSubPr>
                      <m:e>
                        <m:r>
                          <w:rPr>
                            <w:rFonts w:ascii="Cambria Math" w:hAnsi="Cambria Math"/>
                          </w:rPr>
                          <m:t>q</m:t>
                        </m:r>
                      </m:e>
                      <m:sub>
                        <m:r>
                          <m:rPr>
                            <m:sty m:val="p"/>
                          </m:rPr>
                          <w:rPr>
                            <w:rFonts w:ascii="Cambria Math" w:hAnsi="Cambria Math"/>
                          </w:rPr>
                          <m:t>ap,D</m:t>
                        </m:r>
                      </m:sub>
                    </m:sSub>
                  </m:e>
                  <m:sup>
                    <m:r>
                      <w:rPr>
                        <w:rFonts w:ascii="Cambria Math" w:hAnsi="Cambria Math"/>
                      </w:rPr>
                      <m:t>'</m:t>
                    </m:r>
                  </m:sup>
                </m:sSup>
              </m:oMath>
            </m:oMathPara>
          </w:p>
        </w:tc>
        <w:tc>
          <w:tcPr>
            <w:tcW w:w="7938" w:type="dxa"/>
          </w:tcPr>
          <w:p w14:paraId="248E73C6" w14:textId="77777777" w:rsidR="00A73568" w:rsidRPr="00150F42" w:rsidRDefault="00A73568" w:rsidP="002061E5">
            <w:pPr>
              <w:pStyle w:val="Tablebody"/>
              <w:spacing w:after="120"/>
            </w:pPr>
            <w:r>
              <w:rPr>
                <w:color w:val="000000" w:themeColor="text1"/>
              </w:rPr>
              <w:t>i</w:t>
            </w:r>
            <w:r w:rsidRPr="00150F42">
              <w:rPr>
                <w:color w:val="000000" w:themeColor="text1"/>
              </w:rPr>
              <w:t xml:space="preserve">s the </w:t>
            </w:r>
            <w:r>
              <w:rPr>
                <w:color w:val="000000" w:themeColor="text1"/>
              </w:rPr>
              <w:t xml:space="preserve">frequency dependent </w:t>
            </w:r>
            <w:r w:rsidRPr="00150F42">
              <w:rPr>
                <w:color w:val="000000" w:themeColor="text1"/>
              </w:rPr>
              <w:t>behaviour factor component accounting for the deformation capacity and energy dissipation capacity</w:t>
            </w:r>
            <w:r>
              <w:rPr>
                <w:color w:val="000000" w:themeColor="text1"/>
              </w:rPr>
              <w:t xml:space="preserve"> of the ancillary element, given by Formula (C.6)</w:t>
            </w:r>
            <w:r w:rsidRPr="00150F42">
              <w:rPr>
                <w:color w:val="000000" w:themeColor="text1"/>
              </w:rPr>
              <w:t>.</w:t>
            </w:r>
          </w:p>
        </w:tc>
      </w:tr>
    </w:tbl>
    <w:p w14:paraId="534016FA" w14:textId="469A2C70" w:rsidR="00A30EF3" w:rsidRDefault="009B5CEC" w:rsidP="00A30EF3">
      <w:pPr>
        <w:pStyle w:val="Formula"/>
        <w:spacing w:before="240"/>
      </w:pPr>
      <m:oMath>
        <m:sSub>
          <m:sSubPr>
            <m:ctrlPr>
              <w:rPr>
                <w:rFonts w:ascii="Cambria Math" w:hAnsi="Cambria Math"/>
              </w:rPr>
            </m:ctrlPr>
          </m:sSubPr>
          <m:e>
            <m:r>
              <w:rPr>
                <w:rFonts w:ascii="Cambria Math" w:hAnsi="Cambria Math"/>
              </w:rPr>
              <m:t>q</m:t>
            </m:r>
          </m:e>
          <m:sub>
            <m:r>
              <m:rPr>
                <m:sty m:val="p"/>
              </m:rPr>
              <w:rPr>
                <w:rFonts w:ascii="Cambria Math" w:hAnsi="Cambria Math"/>
              </w:rPr>
              <m:t>ap,D</m:t>
            </m:r>
          </m:sub>
        </m:sSub>
        <m:r>
          <w:rPr>
            <w:rFonts w:ascii="Cambria Math" w:hAnsi="Cambria Math"/>
          </w:rPr>
          <m:t>'=</m:t>
        </m:r>
        <m:d>
          <m:dPr>
            <m:begChr m:val="{"/>
            <m:endChr m:val=""/>
            <m:ctrlPr>
              <w:rPr>
                <w:rFonts w:ascii="Cambria Math" w:hAnsi="Cambria Math"/>
              </w:rPr>
            </m:ctrlPr>
          </m:dPr>
          <m:e>
            <m:eqArr>
              <m:eqArrPr>
                <m:ctrlPr>
                  <w:rPr>
                    <w:rFonts w:ascii="Cambria Math" w:hAnsi="Cambria Math"/>
                  </w:rPr>
                </m:ctrlPr>
              </m:eqArrPr>
              <m:e>
                <m:r>
                  <w:rPr>
                    <w:rFonts w:ascii="Cambria Math" w:hAnsi="Cambria Math"/>
                  </w:rPr>
                  <m:t xml:space="preserve">          1                                          </m:t>
                </m:r>
                <m:sSub>
                  <m:sSubPr>
                    <m:ctrlPr>
                      <w:rPr>
                        <w:rFonts w:ascii="Cambria Math" w:hAnsi="Cambria Math"/>
                      </w:rPr>
                    </m:ctrlPr>
                  </m:sSubPr>
                  <m:e>
                    <m:r>
                      <w:rPr>
                        <w:rFonts w:ascii="Cambria Math" w:hAnsi="Cambria Math"/>
                      </w:rPr>
                      <m:t>T</m:t>
                    </m:r>
                  </m:e>
                  <m:sub>
                    <m:r>
                      <m:rPr>
                        <m:sty m:val="p"/>
                      </m:rPr>
                      <w:rPr>
                        <w:rFonts w:ascii="Cambria Math" w:hAnsi="Cambria Math"/>
                      </w:rPr>
                      <m:t>ap</m:t>
                    </m:r>
                  </m:sub>
                </m:sSub>
                <m:r>
                  <w:rPr>
                    <w:rFonts w:ascii="Cambria Math" w:hAnsi="Cambria Math"/>
                  </w:rPr>
                  <m:t>≤</m:t>
                </m:r>
                <m:sSub>
                  <m:sSubPr>
                    <m:ctrlPr>
                      <w:rPr>
                        <w:rFonts w:ascii="Cambria Math" w:hAnsi="Cambria Math"/>
                      </w:rPr>
                    </m:ctrlPr>
                  </m:sSubPr>
                  <m:e>
                    <m:r>
                      <w:rPr>
                        <w:rFonts w:ascii="Cambria Math" w:hAnsi="Cambria Math"/>
                      </w:rPr>
                      <m:t xml:space="preserve"> T</m:t>
                    </m:r>
                  </m:e>
                  <m:sub>
                    <m:r>
                      <m:rPr>
                        <m:sty m:val="p"/>
                      </m:rPr>
                      <w:rPr>
                        <w:rFonts w:ascii="Cambria Math" w:hAnsi="Cambria Math"/>
                      </w:rPr>
                      <m:t>B</m:t>
                    </m:r>
                  </m:sub>
                </m:sSub>
                <m:r>
                  <w:rPr>
                    <w:rFonts w:ascii="Cambria Math" w:hAnsi="Cambria Math"/>
                  </w:rPr>
                  <m:t xml:space="preserve">             </m:t>
                </m:r>
              </m:e>
              <m:e>
                <m:r>
                  <m:rPr>
                    <m:sty m:val="p"/>
                  </m:rPr>
                  <w:rPr>
                    <w:rFonts w:ascii="Cambria Math" w:hAnsi="Cambria Math"/>
                  </w:rPr>
                  <m:t>linear between</m:t>
                </m:r>
                <m:r>
                  <w:rPr>
                    <w:rFonts w:ascii="Cambria Math" w:hAnsi="Cambria Math"/>
                  </w:rPr>
                  <m:t xml:space="preserve"> 1 </m:t>
                </m:r>
                <m:r>
                  <m:rPr>
                    <m:sty m:val="p"/>
                  </m:rPr>
                  <w:rPr>
                    <w:rFonts w:ascii="Cambria Math" w:hAnsi="Cambria Math"/>
                  </w:rPr>
                  <m:t>and</m:t>
                </m:r>
                <m:r>
                  <w:rPr>
                    <w:rFonts w:ascii="Cambria Math" w:hAnsi="Cambria Math"/>
                  </w:rPr>
                  <m:t xml:space="preserve">  </m:t>
                </m:r>
                <m:sSub>
                  <m:sSubPr>
                    <m:ctrlPr>
                      <w:rPr>
                        <w:rFonts w:ascii="Cambria Math" w:hAnsi="Cambria Math"/>
                      </w:rPr>
                    </m:ctrlPr>
                  </m:sSubPr>
                  <m:e>
                    <m:r>
                      <w:rPr>
                        <w:rFonts w:ascii="Cambria Math" w:hAnsi="Cambria Math"/>
                      </w:rPr>
                      <m:t>q</m:t>
                    </m:r>
                  </m:e>
                  <m:sub>
                    <m:r>
                      <m:rPr>
                        <m:sty m:val="p"/>
                      </m:rPr>
                      <w:rPr>
                        <w:rFonts w:ascii="Cambria Math" w:hAnsi="Cambria Math"/>
                      </w:rPr>
                      <m:t>ap,D</m:t>
                    </m:r>
                  </m:sub>
                </m:sSub>
                <m:r>
                  <w:rPr>
                    <w:rFonts w:ascii="Cambria Math" w:hAnsi="Cambria Math"/>
                  </w:rPr>
                  <m:t xml:space="preserve">       </m:t>
                </m:r>
                <m:sSub>
                  <m:sSubPr>
                    <m:ctrlPr>
                      <w:rPr>
                        <w:rFonts w:ascii="Cambria Math" w:hAnsi="Cambria Math"/>
                      </w:rPr>
                    </m:ctrlPr>
                  </m:sSubPr>
                  <m:e>
                    <m:r>
                      <w:rPr>
                        <w:rFonts w:ascii="Cambria Math" w:hAnsi="Cambria Math"/>
                      </w:rPr>
                      <m:t>T</m:t>
                    </m:r>
                  </m:e>
                  <m:sub>
                    <m:r>
                      <m:rPr>
                        <m:sty m:val="p"/>
                      </m:rPr>
                      <w:rPr>
                        <w:rFonts w:ascii="Cambria Math" w:hAnsi="Cambria Math"/>
                      </w:rPr>
                      <m:t>B</m:t>
                    </m:r>
                  </m:sub>
                </m:sSub>
                <m:r>
                  <w:rPr>
                    <w:rFonts w:ascii="Cambria Math" w:hAnsi="Cambria Math"/>
                  </w:rPr>
                  <m:t>≤</m:t>
                </m:r>
                <m:sSub>
                  <m:sSubPr>
                    <m:ctrlPr>
                      <w:rPr>
                        <w:rFonts w:ascii="Cambria Math" w:hAnsi="Cambria Math"/>
                      </w:rPr>
                    </m:ctrlPr>
                  </m:sSubPr>
                  <m:e>
                    <m:r>
                      <w:rPr>
                        <w:rFonts w:ascii="Cambria Math" w:hAnsi="Cambria Math"/>
                      </w:rPr>
                      <m:t>T</m:t>
                    </m:r>
                  </m:e>
                  <m:sub>
                    <m:r>
                      <m:rPr>
                        <m:sty m:val="p"/>
                      </m:rPr>
                      <w:rPr>
                        <w:rFonts w:ascii="Cambria Math" w:hAnsi="Cambria Math"/>
                      </w:rPr>
                      <m:t>ap</m:t>
                    </m:r>
                  </m:sub>
                </m:sSub>
                <m:r>
                  <w:rPr>
                    <w:rFonts w:ascii="Cambria Math" w:hAnsi="Cambria Math"/>
                  </w:rPr>
                  <m:t>≤0,8</m:t>
                </m:r>
                <m:sSub>
                  <m:sSubPr>
                    <m:ctrlPr>
                      <w:rPr>
                        <w:rFonts w:ascii="Cambria Math" w:hAnsi="Cambria Math"/>
                      </w:rPr>
                    </m:ctrlPr>
                  </m:sSubPr>
                  <m:e>
                    <m:r>
                      <w:rPr>
                        <w:rFonts w:ascii="Cambria Math" w:hAnsi="Cambria Math"/>
                      </w:rPr>
                      <m:t xml:space="preserve"> T</m:t>
                    </m:r>
                  </m:e>
                  <m:sub>
                    <m:r>
                      <w:rPr>
                        <w:rFonts w:ascii="Cambria Math" w:hAnsi="Cambria Math"/>
                      </w:rPr>
                      <m:t>p,1</m:t>
                    </m:r>
                  </m:sub>
                </m:sSub>
              </m:e>
              <m:e>
                <m:r>
                  <w:rPr>
                    <w:rFonts w:ascii="Cambria Math" w:hAnsi="Cambria Math"/>
                  </w:rPr>
                  <m:t xml:space="preserve">        </m:t>
                </m:r>
                <m:sSub>
                  <m:sSubPr>
                    <m:ctrlPr>
                      <w:rPr>
                        <w:rFonts w:ascii="Cambria Math" w:hAnsi="Cambria Math"/>
                      </w:rPr>
                    </m:ctrlPr>
                  </m:sSubPr>
                  <m:e>
                    <m:r>
                      <w:rPr>
                        <w:rFonts w:ascii="Cambria Math" w:hAnsi="Cambria Math"/>
                      </w:rPr>
                      <m:t>q</m:t>
                    </m:r>
                  </m:e>
                  <m:sub>
                    <m:r>
                      <m:rPr>
                        <m:sty m:val="p"/>
                      </m:rPr>
                      <w:rPr>
                        <w:rFonts w:ascii="Cambria Math" w:hAnsi="Cambria Math"/>
                      </w:rPr>
                      <m:t>ap,D</m:t>
                    </m:r>
                  </m:sub>
                </m:sSub>
                <m:r>
                  <w:rPr>
                    <w:rFonts w:ascii="Cambria Math" w:hAnsi="Cambria Math"/>
                  </w:rPr>
                  <m:t xml:space="preserve">                                       </m:t>
                </m:r>
                <m:sSub>
                  <m:sSubPr>
                    <m:ctrlPr>
                      <w:rPr>
                        <w:rFonts w:ascii="Cambria Math" w:hAnsi="Cambria Math"/>
                      </w:rPr>
                    </m:ctrlPr>
                  </m:sSubPr>
                  <m:e>
                    <m:r>
                      <w:rPr>
                        <w:rFonts w:ascii="Cambria Math" w:hAnsi="Cambria Math"/>
                      </w:rPr>
                      <m:t>T</m:t>
                    </m:r>
                  </m:e>
                  <m:sub>
                    <m:r>
                      <m:rPr>
                        <m:sty m:val="p"/>
                      </m:rPr>
                      <w:rPr>
                        <w:rFonts w:ascii="Cambria Math" w:hAnsi="Cambria Math"/>
                      </w:rPr>
                      <m:t>ap</m:t>
                    </m:r>
                  </m:sub>
                </m:sSub>
                <m:r>
                  <w:rPr>
                    <w:rFonts w:ascii="Cambria Math" w:hAnsi="Cambria Math"/>
                  </w:rPr>
                  <m:t xml:space="preserve">≥0,8 </m:t>
                </m:r>
                <m:sSub>
                  <m:sSubPr>
                    <m:ctrlPr>
                      <w:rPr>
                        <w:rFonts w:ascii="Cambria Math" w:hAnsi="Cambria Math"/>
                      </w:rPr>
                    </m:ctrlPr>
                  </m:sSubPr>
                  <m:e>
                    <m:r>
                      <w:rPr>
                        <w:rFonts w:ascii="Cambria Math" w:hAnsi="Cambria Math"/>
                      </w:rPr>
                      <m:t>T</m:t>
                    </m:r>
                  </m:e>
                  <m:sub>
                    <m:r>
                      <w:rPr>
                        <w:rFonts w:ascii="Cambria Math" w:hAnsi="Cambria Math"/>
                      </w:rPr>
                      <m:t>p,1</m:t>
                    </m:r>
                  </m:sub>
                </m:sSub>
                <m:r>
                  <w:rPr>
                    <w:rFonts w:ascii="Cambria Math" w:hAnsi="Cambria Math"/>
                  </w:rPr>
                  <m:t xml:space="preserve">        </m:t>
                </m:r>
              </m:e>
            </m:eqArr>
          </m:e>
        </m:d>
      </m:oMath>
      <w:r w:rsidR="00A30EF3">
        <w:t xml:space="preserve"> </w:t>
      </w:r>
      <w:r w:rsidR="00A30EF3" w:rsidRPr="00870D59">
        <w:tab/>
        <w:t>(</w:t>
      </w:r>
      <w:r w:rsidR="00A30EF3">
        <w:t>C</w:t>
      </w:r>
      <w:r w:rsidR="00A30EF3" w:rsidRPr="00870D59">
        <w:t>.</w:t>
      </w:r>
      <w:r w:rsidR="00A73568">
        <w:t>6</w:t>
      </w:r>
      <w:r w:rsidR="00A30EF3" w:rsidRPr="00870D59">
        <w:t>)</w:t>
      </w:r>
    </w:p>
    <w:p w14:paraId="5CBE5853" w14:textId="1918EDF6" w:rsidR="00A30EF3" w:rsidRPr="001B2671" w:rsidRDefault="00A30EF3" w:rsidP="00806F65">
      <w:pPr>
        <w:pStyle w:val="Text"/>
      </w:pPr>
      <w:r>
        <w:t xml:space="preserve">where </w:t>
      </w:r>
      <w:r w:rsidRPr="007E6F67">
        <w:rPr>
          <w:i/>
          <w:iCs/>
        </w:rPr>
        <w:t>q</w:t>
      </w:r>
      <w:r w:rsidRPr="00427828">
        <w:rPr>
          <w:vertAlign w:val="subscript"/>
        </w:rPr>
        <w:t>a</w:t>
      </w:r>
      <w:r>
        <w:rPr>
          <w:vertAlign w:val="subscript"/>
        </w:rPr>
        <w:t>p</w:t>
      </w:r>
      <w:r w:rsidR="00F271A2">
        <w:rPr>
          <w:vertAlign w:val="subscript"/>
        </w:rPr>
        <w:t>,</w:t>
      </w:r>
      <w:r w:rsidR="00A73568">
        <w:rPr>
          <w:vertAlign w:val="subscript"/>
        </w:rPr>
        <w:t>D</w:t>
      </w:r>
      <w:r w:rsidRPr="00FD17CF">
        <w:t xml:space="preserve"> is given </w:t>
      </w:r>
      <w:r w:rsidRPr="00806F65">
        <w:t>in (2).</w:t>
      </w:r>
    </w:p>
    <w:p w14:paraId="2037AE30" w14:textId="0C842F93" w:rsidR="00784E84" w:rsidRDefault="00A30EF3" w:rsidP="0080187E">
      <w:pPr>
        <w:pStyle w:val="Clause"/>
        <w:numPr>
          <w:ilvl w:val="0"/>
          <w:numId w:val="23"/>
        </w:numPr>
      </w:pPr>
      <w:r w:rsidRPr="002144A0">
        <w:t xml:space="preserve">Except if properly documented or provided in the relevant parts of </w:t>
      </w:r>
      <w:r w:rsidR="00C30FF9">
        <w:t>EN 1</w:t>
      </w:r>
      <w:r>
        <w:t>99</w:t>
      </w:r>
      <w:r w:rsidRPr="004F25D7">
        <w:t>8</w:t>
      </w:r>
      <w:r w:rsidRPr="00C52095">
        <w:t xml:space="preserve">, </w:t>
      </w:r>
      <w:r w:rsidRPr="00B80E2B">
        <w:rPr>
          <w:i/>
          <w:iCs/>
        </w:rPr>
        <w:t>q</w:t>
      </w:r>
      <w:r w:rsidRPr="00427828">
        <w:rPr>
          <w:vertAlign w:val="subscript"/>
        </w:rPr>
        <w:t>a</w:t>
      </w:r>
      <w:r>
        <w:rPr>
          <w:vertAlign w:val="subscript"/>
        </w:rPr>
        <w:t>p</w:t>
      </w:r>
      <w:r w:rsidR="00A73568">
        <w:rPr>
          <w:vertAlign w:val="subscript"/>
        </w:rPr>
        <w:t>,D</w:t>
      </w:r>
      <w:r w:rsidRPr="007754C9">
        <w:t xml:space="preserve"> values should not exceed those given in Table C1.</w:t>
      </w:r>
    </w:p>
    <w:p w14:paraId="5870D72C" w14:textId="138FB824" w:rsidR="00A30EF3" w:rsidRPr="00806F65" w:rsidRDefault="00A30EF3" w:rsidP="00A30EF3">
      <w:pPr>
        <w:pStyle w:val="Notetext"/>
      </w:pPr>
      <w:r w:rsidRPr="00806F65">
        <w:lastRenderedPageBreak/>
        <w:t>NOTE</w:t>
      </w:r>
      <w:r w:rsidRPr="00806F65">
        <w:tab/>
        <w:t xml:space="preserve">Values of </w:t>
      </w:r>
      <w:r w:rsidRPr="00806F65">
        <w:rPr>
          <w:i/>
          <w:iCs/>
        </w:rPr>
        <w:t>q</w:t>
      </w:r>
      <w:r w:rsidRPr="00806F65">
        <w:rPr>
          <w:vertAlign w:val="subscript"/>
        </w:rPr>
        <w:t>ap</w:t>
      </w:r>
      <w:r w:rsidR="004E2247" w:rsidRPr="00806F65">
        <w:rPr>
          <w:vertAlign w:val="subscript"/>
        </w:rPr>
        <w:t>,D</w:t>
      </w:r>
      <w:r w:rsidRPr="00806F65">
        <w:t xml:space="preserve"> for out-of-plane assessment of ancillary masonry walls are given as </w:t>
      </w:r>
      <w:r w:rsidRPr="00806F65">
        <w:rPr>
          <w:i/>
          <w:iCs/>
        </w:rPr>
        <w:t>q</w:t>
      </w:r>
      <w:r w:rsidRPr="00806F65">
        <w:rPr>
          <w:vertAlign w:val="subscript"/>
        </w:rPr>
        <w:t>oop</w:t>
      </w:r>
      <w:r w:rsidRPr="00806F65">
        <w:t xml:space="preserve"> in 14.4.2</w:t>
      </w:r>
    </w:p>
    <w:p w14:paraId="09E76C9C" w14:textId="4A42EE9A" w:rsidR="00784E84" w:rsidRDefault="00784E84" w:rsidP="00784E84">
      <w:pPr>
        <w:pStyle w:val="Tabletitle"/>
      </w:pPr>
      <w:r w:rsidRPr="00870D59">
        <w:t>Table C.</w:t>
      </w:r>
      <w:r w:rsidR="00A30EF3">
        <w:t>1</w:t>
      </w:r>
      <w:r w:rsidRPr="00870D59">
        <w:t xml:space="preserve"> — </w:t>
      </w:r>
      <w:r w:rsidR="00A30EF3" w:rsidRPr="00D1484A">
        <w:t xml:space="preserve">Maximum values of </w:t>
      </w:r>
      <w:r w:rsidR="00A30EF3" w:rsidRPr="007E6F67">
        <w:rPr>
          <w:i/>
          <w:iCs/>
        </w:rPr>
        <w:t>q</w:t>
      </w:r>
      <w:r w:rsidR="00A30EF3" w:rsidRPr="005A7341">
        <w:rPr>
          <w:vertAlign w:val="subscript"/>
        </w:rPr>
        <w:t>a</w:t>
      </w:r>
      <w:r w:rsidR="00A30EF3">
        <w:rPr>
          <w:vertAlign w:val="subscript"/>
        </w:rPr>
        <w:t>p</w:t>
      </w:r>
      <w:r w:rsidR="00A73568">
        <w:rPr>
          <w:vertAlign w:val="subscript"/>
        </w:rPr>
        <w:t>,D</w:t>
      </w:r>
      <w:r w:rsidR="00A30EF3" w:rsidRPr="00FD17CF">
        <w:t xml:space="preserve"> for ancillary elements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05"/>
        <w:gridCol w:w="1039"/>
      </w:tblGrid>
      <w:tr w:rsidR="00A30EF3" w:rsidRPr="00132C1E" w14:paraId="6A72C6CA" w14:textId="77777777" w:rsidTr="00A30EF3">
        <w:trPr>
          <w:jc w:val="center"/>
        </w:trPr>
        <w:tc>
          <w:tcPr>
            <w:tcW w:w="7405" w:type="dxa"/>
          </w:tcPr>
          <w:p w14:paraId="1F6F5ACB" w14:textId="77777777" w:rsidR="00A30EF3" w:rsidRPr="00806F65" w:rsidRDefault="00A30EF3" w:rsidP="00806F65">
            <w:pPr>
              <w:pStyle w:val="Tablebody"/>
              <w:rPr>
                <w:b/>
                <w:bCs/>
              </w:rPr>
            </w:pPr>
            <w:r w:rsidRPr="00806F65">
              <w:rPr>
                <w:b/>
                <w:bCs/>
              </w:rPr>
              <w:t>Type of ancillary element</w:t>
            </w:r>
          </w:p>
        </w:tc>
        <w:tc>
          <w:tcPr>
            <w:tcW w:w="1039" w:type="dxa"/>
          </w:tcPr>
          <w:p w14:paraId="0DFAD2B9" w14:textId="70FEC003" w:rsidR="00A30EF3" w:rsidRPr="00806F65" w:rsidRDefault="00A30EF3" w:rsidP="00806F65">
            <w:pPr>
              <w:pStyle w:val="Tablebody"/>
              <w:jc w:val="center"/>
              <w:rPr>
                <w:b/>
                <w:bCs/>
                <w:i/>
                <w:vertAlign w:val="superscript"/>
              </w:rPr>
            </w:pPr>
            <w:r w:rsidRPr="00806F65">
              <w:rPr>
                <w:b/>
                <w:bCs/>
                <w:i/>
                <w:iCs/>
              </w:rPr>
              <w:t>q</w:t>
            </w:r>
            <w:r w:rsidRPr="00806F65">
              <w:rPr>
                <w:b/>
                <w:bCs/>
                <w:vertAlign w:val="subscript"/>
              </w:rPr>
              <w:t>ap</w:t>
            </w:r>
            <w:r w:rsidR="00A73568" w:rsidRPr="00806F65">
              <w:rPr>
                <w:b/>
                <w:bCs/>
                <w:vertAlign w:val="subscript"/>
              </w:rPr>
              <w:t>,D</w:t>
            </w:r>
          </w:p>
        </w:tc>
      </w:tr>
      <w:tr w:rsidR="00A30EF3" w:rsidRPr="00132C1E" w14:paraId="1477E09E" w14:textId="77777777" w:rsidTr="00A30EF3">
        <w:trPr>
          <w:jc w:val="center"/>
        </w:trPr>
        <w:tc>
          <w:tcPr>
            <w:tcW w:w="7405" w:type="dxa"/>
            <w:tcBorders>
              <w:bottom w:val="dotted" w:sz="4" w:space="0" w:color="auto"/>
            </w:tcBorders>
          </w:tcPr>
          <w:p w14:paraId="50412D71" w14:textId="77777777" w:rsidR="00A30EF3" w:rsidRPr="00806F65" w:rsidRDefault="00A30EF3" w:rsidP="00806F65">
            <w:pPr>
              <w:pStyle w:val="Tablebody"/>
              <w:rPr>
                <w:b/>
                <w:bCs/>
              </w:rPr>
            </w:pPr>
            <w:r w:rsidRPr="00806F65">
              <w:rPr>
                <w:b/>
                <w:bCs/>
              </w:rPr>
              <w:t>Elements not able or not allowed to dissipate energy by inelastic deformation:</w:t>
            </w:r>
          </w:p>
        </w:tc>
        <w:tc>
          <w:tcPr>
            <w:tcW w:w="1039" w:type="dxa"/>
            <w:vMerge w:val="restart"/>
            <w:vAlign w:val="center"/>
          </w:tcPr>
          <w:p w14:paraId="6F791DC4" w14:textId="105777FE" w:rsidR="00A30EF3" w:rsidRPr="007E6F67" w:rsidRDefault="00A30EF3" w:rsidP="00806F65">
            <w:pPr>
              <w:pStyle w:val="Tablebody"/>
              <w:jc w:val="center"/>
              <w:rPr>
                <w:i/>
              </w:rPr>
            </w:pPr>
            <w:r w:rsidRPr="00D1484A">
              <w:t>1</w:t>
            </w:r>
          </w:p>
        </w:tc>
      </w:tr>
      <w:tr w:rsidR="00A30EF3" w:rsidRPr="005F159B" w14:paraId="5AD02662" w14:textId="77777777" w:rsidTr="00A30EF3">
        <w:trPr>
          <w:jc w:val="center"/>
        </w:trPr>
        <w:tc>
          <w:tcPr>
            <w:tcW w:w="7405" w:type="dxa"/>
            <w:tcBorders>
              <w:top w:val="dotted" w:sz="4" w:space="0" w:color="auto"/>
            </w:tcBorders>
          </w:tcPr>
          <w:p w14:paraId="55F0BCFA" w14:textId="77777777" w:rsidR="00A30EF3" w:rsidRPr="00D1484A" w:rsidRDefault="00A30EF3" w:rsidP="00806F65">
            <w:pPr>
              <w:pStyle w:val="Tablebody"/>
            </w:pPr>
            <w:r w:rsidRPr="00132C1E">
              <w:t>Cantilevering parapets or ornamentations</w:t>
            </w:r>
          </w:p>
          <w:p w14:paraId="0F8EA9C6" w14:textId="77777777" w:rsidR="00A30EF3" w:rsidRPr="007E6F67" w:rsidRDefault="00A30EF3" w:rsidP="00806F65">
            <w:pPr>
              <w:pStyle w:val="Tablebody"/>
            </w:pPr>
            <w:r w:rsidRPr="00D1484A">
              <w:t xml:space="preserve">Signs and </w:t>
            </w:r>
            <w:r w:rsidRPr="007E6F67">
              <w:t>billboards</w:t>
            </w:r>
          </w:p>
          <w:p w14:paraId="6F13DA6F" w14:textId="77777777" w:rsidR="00A30EF3" w:rsidRPr="00196951" w:rsidRDefault="00A30EF3" w:rsidP="00806F65">
            <w:pPr>
              <w:pStyle w:val="Tablebody"/>
            </w:pPr>
            <w:r w:rsidRPr="00E05E29">
              <w:t>Chimneys, masts and tanks on legs acting as unbraced cantilevers along more than one half of their total height</w:t>
            </w:r>
          </w:p>
        </w:tc>
        <w:tc>
          <w:tcPr>
            <w:tcW w:w="1039" w:type="dxa"/>
            <w:vMerge/>
            <w:vAlign w:val="center"/>
          </w:tcPr>
          <w:p w14:paraId="67AFB56E" w14:textId="77777777" w:rsidR="00A30EF3" w:rsidRPr="00132C1E" w:rsidRDefault="00A30EF3" w:rsidP="00806F65">
            <w:pPr>
              <w:pStyle w:val="Tablebody"/>
              <w:jc w:val="center"/>
            </w:pPr>
          </w:p>
        </w:tc>
      </w:tr>
      <w:tr w:rsidR="00A30EF3" w:rsidRPr="00132C1E" w14:paraId="4305FFDB" w14:textId="77777777" w:rsidTr="00A30EF3">
        <w:trPr>
          <w:jc w:val="center"/>
        </w:trPr>
        <w:tc>
          <w:tcPr>
            <w:tcW w:w="7405" w:type="dxa"/>
            <w:tcBorders>
              <w:bottom w:val="dotted" w:sz="4" w:space="0" w:color="auto"/>
            </w:tcBorders>
          </w:tcPr>
          <w:p w14:paraId="7E5D6D3E" w14:textId="77777777" w:rsidR="00A30EF3" w:rsidRPr="00806F65" w:rsidRDefault="00A30EF3" w:rsidP="00806F65">
            <w:pPr>
              <w:pStyle w:val="Tablebody"/>
              <w:rPr>
                <w:b/>
                <w:bCs/>
              </w:rPr>
            </w:pPr>
            <w:r w:rsidRPr="00806F65">
              <w:rPr>
                <w:b/>
                <w:bCs/>
              </w:rPr>
              <w:t>Elements dissipating energy by inelastic deformation:</w:t>
            </w:r>
          </w:p>
        </w:tc>
        <w:tc>
          <w:tcPr>
            <w:tcW w:w="1039" w:type="dxa"/>
            <w:vMerge w:val="restart"/>
            <w:vAlign w:val="center"/>
          </w:tcPr>
          <w:p w14:paraId="6134D616" w14:textId="77777777" w:rsidR="00A30EF3" w:rsidRPr="007E6F67" w:rsidRDefault="00A30EF3" w:rsidP="00806F65">
            <w:pPr>
              <w:pStyle w:val="Tablebody"/>
              <w:jc w:val="center"/>
            </w:pPr>
            <w:r w:rsidRPr="00D1484A">
              <w:t>2</w:t>
            </w:r>
          </w:p>
        </w:tc>
      </w:tr>
      <w:tr w:rsidR="00A30EF3" w:rsidRPr="005F159B" w14:paraId="5B213A31" w14:textId="77777777" w:rsidTr="00A30EF3">
        <w:trPr>
          <w:jc w:val="center"/>
        </w:trPr>
        <w:tc>
          <w:tcPr>
            <w:tcW w:w="7405" w:type="dxa"/>
            <w:tcBorders>
              <w:top w:val="dotted" w:sz="4" w:space="0" w:color="auto"/>
            </w:tcBorders>
          </w:tcPr>
          <w:p w14:paraId="583543AF" w14:textId="77777777" w:rsidR="00A30EF3" w:rsidRPr="00D1484A" w:rsidRDefault="00A30EF3" w:rsidP="00806F65">
            <w:pPr>
              <w:pStyle w:val="Tablebody"/>
            </w:pPr>
            <w:r w:rsidRPr="00132C1E">
              <w:t xml:space="preserve">Exterior and interior walls </w:t>
            </w:r>
          </w:p>
          <w:p w14:paraId="0E726339" w14:textId="77777777" w:rsidR="00A30EF3" w:rsidRPr="00355506" w:rsidRDefault="00A30EF3" w:rsidP="00806F65">
            <w:pPr>
              <w:pStyle w:val="Tablebody"/>
              <w:rPr>
                <w:color w:val="FF0000"/>
              </w:rPr>
            </w:pPr>
            <w:r w:rsidRPr="00D1484A">
              <w:t>Partitions and façades, claddings</w:t>
            </w:r>
            <w:r>
              <w:t>,</w:t>
            </w:r>
            <w:r w:rsidRPr="00827906">
              <w:rPr>
                <w:color w:val="000000" w:themeColor="text1"/>
              </w:rPr>
              <w:t xml:space="preserve"> veneers</w:t>
            </w:r>
          </w:p>
          <w:p w14:paraId="55554298" w14:textId="77777777" w:rsidR="00A30EF3" w:rsidRPr="00E05E29" w:rsidRDefault="00A30EF3" w:rsidP="00806F65">
            <w:pPr>
              <w:pStyle w:val="Tablebody"/>
            </w:pPr>
            <w:r w:rsidRPr="007E6F67">
              <w:t>Chimneys, masts and tanks on legs acting as unbraced cantilevers along less than one half of their total height, or braced or guyed to the structure at or above their centre of mass</w:t>
            </w:r>
          </w:p>
          <w:p w14:paraId="42E8A699" w14:textId="77777777" w:rsidR="00A30EF3" w:rsidRPr="002144A0" w:rsidRDefault="00A30EF3" w:rsidP="00806F65">
            <w:pPr>
              <w:pStyle w:val="Tablebody"/>
            </w:pPr>
            <w:r w:rsidRPr="00196951">
              <w:t>Anchorage elements for permanent cabinets and book stacks supported by the</w:t>
            </w:r>
            <w:r w:rsidRPr="002144A0">
              <w:t xml:space="preserve"> floor </w:t>
            </w:r>
          </w:p>
          <w:p w14:paraId="724C0C34" w14:textId="77777777" w:rsidR="00A30EF3" w:rsidRPr="002144A0" w:rsidRDefault="00A30EF3" w:rsidP="00806F65">
            <w:pPr>
              <w:pStyle w:val="Tablebody"/>
            </w:pPr>
            <w:r w:rsidRPr="002144A0">
              <w:t>Anchorage elements for false (suspended) ceilings and light fixtures</w:t>
            </w:r>
          </w:p>
        </w:tc>
        <w:tc>
          <w:tcPr>
            <w:tcW w:w="1039" w:type="dxa"/>
            <w:vMerge/>
            <w:vAlign w:val="center"/>
          </w:tcPr>
          <w:p w14:paraId="6A7D11D0" w14:textId="77777777" w:rsidR="00A30EF3" w:rsidRPr="00132C1E" w:rsidRDefault="00A30EF3" w:rsidP="00806F65">
            <w:pPr>
              <w:pStyle w:val="Tablebody"/>
              <w:jc w:val="center"/>
            </w:pPr>
          </w:p>
        </w:tc>
      </w:tr>
    </w:tbl>
    <w:p w14:paraId="408E096F" w14:textId="40A3CDBB" w:rsidR="00784E84" w:rsidRPr="00870D59" w:rsidRDefault="00A30EF3" w:rsidP="0080187E">
      <w:pPr>
        <w:pStyle w:val="Clause"/>
        <w:numPr>
          <w:ilvl w:val="0"/>
          <w:numId w:val="23"/>
        </w:numPr>
        <w:rPr>
          <w:color w:val="auto"/>
        </w:rPr>
      </w:pPr>
      <w:r w:rsidRPr="00B80E2B">
        <w:t xml:space="preserve">Alternatively to </w:t>
      </w:r>
      <w:r w:rsidRPr="00835C82">
        <w:t>(1)</w:t>
      </w:r>
      <w:r w:rsidRPr="00B80E2B">
        <w:t xml:space="preserve">, in case the behaviour of a rigid ancillary element is documented as rigid-plastic, with an acceptable displacement, </w:t>
      </w:r>
      <m:oMath>
        <m:sSub>
          <m:sSubPr>
            <m:ctrlPr>
              <w:rPr>
                <w:rFonts w:ascii="Cambria Math" w:hAnsi="Cambria Math"/>
              </w:rPr>
            </m:ctrlPr>
          </m:sSubPr>
          <m:e>
            <m:r>
              <w:rPr>
                <w:rFonts w:ascii="Cambria Math" w:hAnsi="Cambria Math"/>
              </w:rPr>
              <m:t>d</m:t>
            </m:r>
          </m:e>
          <m:sub>
            <m:r>
              <m:rPr>
                <m:sty m:val="p"/>
              </m:rPr>
              <w:rPr>
                <w:rFonts w:ascii="Cambria Math" w:hAnsi="Cambria Math"/>
              </w:rPr>
              <m:t>ap</m:t>
            </m:r>
          </m:sub>
        </m:sSub>
      </m:oMath>
      <w:r w:rsidRPr="00B80E2B">
        <w:t xml:space="preserve">, intended for verification to SD, </w:t>
      </w:r>
      <m:oMath>
        <m:sSub>
          <m:sSubPr>
            <m:ctrlPr>
              <w:rPr>
                <w:rFonts w:ascii="Cambria Math" w:hAnsi="Cambria Math"/>
              </w:rPr>
            </m:ctrlPr>
          </m:sSubPr>
          <m:e>
            <m:r>
              <w:rPr>
                <w:rFonts w:ascii="Cambria Math" w:hAnsi="Cambria Math"/>
              </w:rPr>
              <m:t>q</m:t>
            </m:r>
          </m:e>
          <m:sub>
            <m:r>
              <m:rPr>
                <m:sty m:val="p"/>
              </m:rPr>
              <w:rPr>
                <w:rFonts w:ascii="Cambria Math" w:hAnsi="Cambria Math"/>
              </w:rPr>
              <m:t>ap</m:t>
            </m:r>
          </m:sub>
        </m:sSub>
        <m:r>
          <w:rPr>
            <w:rFonts w:ascii="Cambria Math" w:hAnsi="Cambria Math"/>
          </w:rPr>
          <m:t>'</m:t>
        </m:r>
      </m:oMath>
      <w:r w:rsidRPr="00B80E2B">
        <w:t xml:space="preserve"> may be calculated as given by Formula (C</w:t>
      </w:r>
      <w:r>
        <w:t>.</w:t>
      </w:r>
      <w:r w:rsidR="000F2390">
        <w:rPr>
          <w:color w:val="auto"/>
        </w:rPr>
        <w:t>7</w:t>
      </w:r>
      <w:r w:rsidRPr="00B80E2B">
        <w:t>)</w:t>
      </w:r>
      <w:r w:rsidR="00784E84" w:rsidRPr="00870D59">
        <w:rPr>
          <w:color w:val="auto"/>
        </w:rPr>
        <w:t>.</w:t>
      </w:r>
    </w:p>
    <w:p w14:paraId="77CEF8CC" w14:textId="3EB5F0F4" w:rsidR="00A30EF3" w:rsidRDefault="009B5CEC" w:rsidP="00A30EF3">
      <w:pPr>
        <w:pStyle w:val="Formula"/>
        <w:spacing w:before="240"/>
      </w:pPr>
      <m:oMath>
        <m:sSub>
          <m:sSubPr>
            <m:ctrlPr>
              <w:rPr>
                <w:rFonts w:ascii="Cambria Math" w:hAnsi="Cambria Math"/>
              </w:rPr>
            </m:ctrlPr>
          </m:sSubPr>
          <m:e>
            <m:r>
              <w:rPr>
                <w:rFonts w:ascii="Cambria Math" w:hAnsi="Cambria Math"/>
              </w:rPr>
              <m:t>q</m:t>
            </m:r>
          </m:e>
          <m:sub>
            <m:r>
              <m:rPr>
                <m:sty m:val="p"/>
              </m:rPr>
              <w:rPr>
                <w:rFonts w:ascii="Cambria Math" w:hAnsi="Cambria Math"/>
              </w:rPr>
              <m:t>ap</m:t>
            </m:r>
          </m:sub>
        </m:sSub>
        <m:r>
          <w:rPr>
            <w:rFonts w:ascii="Cambria Math" w:hAnsi="Cambria Math"/>
          </w:rPr>
          <m:t>'=1+5</m:t>
        </m:r>
        <m:sSup>
          <m:sSupPr>
            <m:ctrlPr>
              <w:rPr>
                <w:rFonts w:ascii="Cambria Math" w:hAnsi="Cambria Math"/>
              </w:rPr>
            </m:ctrlPr>
          </m:sSupPr>
          <m:e>
            <m:d>
              <m:dPr>
                <m:ctrlPr>
                  <w:rPr>
                    <w:rFonts w:ascii="Cambria Math" w:hAnsi="Cambria Math"/>
                  </w:rPr>
                </m:ctrlPr>
              </m:dPr>
              <m:e>
                <m:f>
                  <m:fPr>
                    <m:ctrlPr>
                      <w:rPr>
                        <w:rFonts w:ascii="Cambria Math" w:hAnsi="Cambria Math"/>
                      </w:rPr>
                    </m:ctrlPr>
                  </m:fPr>
                  <m:num>
                    <m:sSub>
                      <m:sSubPr>
                        <m:ctrlPr>
                          <w:rPr>
                            <w:rFonts w:ascii="Cambria Math" w:hAnsi="Cambria Math"/>
                          </w:rPr>
                        </m:ctrlPr>
                      </m:sSubPr>
                      <m:e>
                        <m:r>
                          <w:rPr>
                            <w:rFonts w:ascii="Cambria Math"/>
                          </w:rPr>
                          <m:t>d</m:t>
                        </m:r>
                      </m:e>
                      <m:sub>
                        <m:r>
                          <m:rPr>
                            <m:sty m:val="p"/>
                          </m:rPr>
                          <w:rPr>
                            <w:rFonts w:ascii="Cambria Math" w:hAnsi="Cambria Math"/>
                          </w:rPr>
                          <m:t>ap</m:t>
                        </m:r>
                      </m:sub>
                    </m:sSub>
                  </m:num>
                  <m:den>
                    <m:sSubSup>
                      <m:sSubSupPr>
                        <m:ctrlPr>
                          <w:rPr>
                            <w:rFonts w:ascii="Cambria Math" w:hAnsi="Cambria Math"/>
                          </w:rPr>
                        </m:ctrlPr>
                      </m:sSubSupPr>
                      <m:e>
                        <m:r>
                          <w:rPr>
                            <w:rFonts w:ascii="Cambria Math"/>
                          </w:rPr>
                          <m:t>T</m:t>
                        </m:r>
                      </m:e>
                      <m:sub>
                        <m:r>
                          <m:rPr>
                            <m:sty m:val="p"/>
                          </m:rPr>
                          <w:rPr>
                            <w:rFonts w:ascii="Cambria Math" w:hAnsi="Cambria Math"/>
                          </w:rPr>
                          <m:t>p1</m:t>
                        </m:r>
                      </m:sub>
                      <m:sup>
                        <m:r>
                          <w:rPr>
                            <w:rFonts w:ascii="Cambria Math" w:hAnsi="Cambria Math"/>
                          </w:rPr>
                          <m:t>2</m:t>
                        </m:r>
                      </m:sup>
                    </m:sSubSup>
                    <m:r>
                      <w:rPr>
                        <w:rFonts w:ascii="Cambria Math" w:hAnsi="Cambria Math"/>
                      </w:rPr>
                      <m:t xml:space="preserve"> </m:t>
                    </m:r>
                    <m:sSub>
                      <m:sSubPr>
                        <m:ctrlPr>
                          <w:rPr>
                            <w:rFonts w:ascii="Cambria Math" w:hAnsi="Cambria Math"/>
                          </w:rPr>
                        </m:ctrlPr>
                      </m:sSubPr>
                      <m:e>
                        <m:r>
                          <w:rPr>
                            <w:rFonts w:ascii="Cambria Math"/>
                          </w:rPr>
                          <m:t>a</m:t>
                        </m:r>
                      </m:e>
                      <m:sub>
                        <m:r>
                          <m:rPr>
                            <m:sty m:val="p"/>
                          </m:rPr>
                          <w:rPr>
                            <w:rFonts w:ascii="Cambria Math" w:hAnsi="Cambria Math"/>
                          </w:rPr>
                          <m:t>ap,R</m:t>
                        </m:r>
                      </m:sub>
                    </m:sSub>
                  </m:den>
                </m:f>
              </m:e>
            </m:d>
          </m:e>
          <m:sup>
            <m:r>
              <w:rPr>
                <w:rFonts w:ascii="Cambria Math" w:hAnsi="Cambria Math"/>
              </w:rPr>
              <m:t>0,</m:t>
            </m:r>
            <m:r>
              <m:rPr>
                <m:sty m:val="p"/>
              </m:rPr>
              <w:rPr>
                <w:rFonts w:ascii="Cambria Math" w:hAnsi="Cambria Math"/>
              </w:rPr>
              <m:t>59</m:t>
            </m:r>
          </m:sup>
        </m:sSup>
        <m:r>
          <m:rPr>
            <m:sty m:val="p"/>
          </m:rPr>
          <w:rPr>
            <w:rFonts w:ascii="Cambria Math" w:hAnsi="Cambria Math"/>
          </w:rPr>
          <m:t>&lt;1,8</m:t>
        </m:r>
      </m:oMath>
      <w:r w:rsidR="00A30EF3" w:rsidRPr="00870D59">
        <w:tab/>
        <w:t>(</w:t>
      </w:r>
      <w:r w:rsidR="00A30EF3">
        <w:t>C</w:t>
      </w:r>
      <w:r w:rsidR="00A30EF3" w:rsidRPr="00870D59">
        <w:t>.</w:t>
      </w:r>
      <w:r w:rsidR="000F2390">
        <w:t>7</w:t>
      </w:r>
      <w:r w:rsidR="00A30EF3" w:rsidRPr="00870D59">
        <w:t>)</w:t>
      </w:r>
    </w:p>
    <w:p w14:paraId="5A2B93E8" w14:textId="2DC69A52" w:rsidR="00A30EF3" w:rsidRPr="001B2671" w:rsidRDefault="00675EBA" w:rsidP="00806F65">
      <w:pPr>
        <w:pStyle w:val="Text"/>
      </w:pPr>
      <w:r>
        <w:t>where</w:t>
      </w:r>
    </w:p>
    <w:tbl>
      <w:tblPr>
        <w:tblW w:w="0" w:type="auto"/>
        <w:tblInd w:w="346" w:type="dxa"/>
        <w:tblLook w:val="04A0" w:firstRow="1" w:lastRow="0" w:firstColumn="1" w:lastColumn="0" w:noHBand="0" w:noVBand="1"/>
      </w:tblPr>
      <w:tblGrid>
        <w:gridCol w:w="1275"/>
        <w:gridCol w:w="7938"/>
      </w:tblGrid>
      <w:tr w:rsidR="00A30EF3" w:rsidRPr="000F2AFF" w14:paraId="7BE46288" w14:textId="77777777" w:rsidTr="00BD628C">
        <w:tc>
          <w:tcPr>
            <w:tcW w:w="1275" w:type="dxa"/>
          </w:tcPr>
          <w:p w14:paraId="54D61767" w14:textId="4697B6CB" w:rsidR="00A30EF3" w:rsidRPr="00773100" w:rsidRDefault="009B5CEC" w:rsidP="002061E5">
            <w:pPr>
              <w:spacing w:after="60"/>
              <w:jc w:val="left"/>
              <w:rPr>
                <w:rFonts w:eastAsia="Times New Roman" w:cs="Cambria"/>
                <w:color w:val="000000" w:themeColor="text1"/>
                <w:szCs w:val="20"/>
                <w:lang w:eastAsia="fr-FR"/>
              </w:rPr>
            </w:pPr>
            <m:oMathPara>
              <m:oMathParaPr>
                <m:jc m:val="left"/>
              </m:oMathParaPr>
              <m:oMath>
                <m:sSub>
                  <m:sSubPr>
                    <m:ctrlPr>
                      <w:rPr>
                        <w:rFonts w:ascii="Cambria Math" w:hAnsi="Cambria Math"/>
                      </w:rPr>
                    </m:ctrlPr>
                  </m:sSubPr>
                  <m:e>
                    <m:r>
                      <w:rPr>
                        <w:rFonts w:ascii="Cambria Math" w:hAnsi="Cambria Math"/>
                      </w:rPr>
                      <m:t>d</m:t>
                    </m:r>
                  </m:e>
                  <m:sub>
                    <m:r>
                      <m:rPr>
                        <m:sty m:val="p"/>
                      </m:rPr>
                      <w:rPr>
                        <w:rFonts w:ascii="Cambria Math" w:hAnsi="Cambria Math"/>
                      </w:rPr>
                      <m:t>ap</m:t>
                    </m:r>
                  </m:sub>
                </m:sSub>
              </m:oMath>
            </m:oMathPara>
          </w:p>
        </w:tc>
        <w:tc>
          <w:tcPr>
            <w:tcW w:w="7938" w:type="dxa"/>
          </w:tcPr>
          <w:p w14:paraId="344CA861" w14:textId="4976E8D0" w:rsidR="00A30EF3" w:rsidRPr="005C7E1C" w:rsidRDefault="00A30EF3" w:rsidP="002061E5">
            <w:pPr>
              <w:pStyle w:val="Listofsymbols"/>
              <w:tabs>
                <w:tab w:val="clear" w:pos="1134"/>
                <w:tab w:val="left" w:pos="1347"/>
              </w:tabs>
              <w:ind w:left="0" w:firstLine="0"/>
              <w:rPr>
                <w:rFonts w:eastAsia="Times New Roman"/>
                <w:szCs w:val="22"/>
              </w:rPr>
            </w:pPr>
            <w:r w:rsidRPr="00132C1E">
              <w:t>is the acceptable displacement of the ancillary element,</w:t>
            </w:r>
          </w:p>
        </w:tc>
      </w:tr>
      <w:tr w:rsidR="00A30EF3" w:rsidRPr="000F2AFF" w14:paraId="1EBBDE01" w14:textId="77777777" w:rsidTr="00BD628C">
        <w:tc>
          <w:tcPr>
            <w:tcW w:w="1275" w:type="dxa"/>
          </w:tcPr>
          <w:p w14:paraId="16254ED0" w14:textId="4584AB8A" w:rsidR="00A30EF3" w:rsidRPr="00773100" w:rsidRDefault="00A30EF3" w:rsidP="002061E5">
            <w:pPr>
              <w:spacing w:after="60"/>
              <w:jc w:val="left"/>
              <w:rPr>
                <w:rFonts w:eastAsia="Times New Roman" w:cs="Cambria"/>
                <w:color w:val="000000" w:themeColor="text1"/>
                <w:szCs w:val="20"/>
                <w:lang w:eastAsia="fr-FR"/>
              </w:rPr>
            </w:pPr>
            <w:r w:rsidRPr="00D1484A">
              <w:rPr>
                <w:rFonts w:ascii="Times New Roman" w:hAnsi="Times New Roman"/>
                <w:i/>
                <w:iCs/>
              </w:rPr>
              <w:t>T</w:t>
            </w:r>
            <w:r w:rsidRPr="007E6F67">
              <w:rPr>
                <w:rFonts w:ascii="Times New Roman" w:hAnsi="Times New Roman"/>
                <w:vertAlign w:val="subscript"/>
              </w:rPr>
              <w:t>P1</w:t>
            </w:r>
          </w:p>
        </w:tc>
        <w:tc>
          <w:tcPr>
            <w:tcW w:w="7938" w:type="dxa"/>
          </w:tcPr>
          <w:p w14:paraId="304D40CE" w14:textId="2FDA4479" w:rsidR="00A30EF3" w:rsidRPr="005C7E1C" w:rsidRDefault="00A30EF3" w:rsidP="002061E5">
            <w:pPr>
              <w:pStyle w:val="Listofsymbols"/>
              <w:tabs>
                <w:tab w:val="clear" w:pos="1134"/>
                <w:tab w:val="left" w:pos="1347"/>
              </w:tabs>
              <w:ind w:left="0" w:firstLine="0"/>
              <w:rPr>
                <w:rFonts w:eastAsia="Times New Roman"/>
                <w:szCs w:val="22"/>
              </w:rPr>
            </w:pPr>
            <w:r w:rsidRPr="007E6F67">
              <w:rPr>
                <w:rFonts w:ascii="Times New Roman" w:hAnsi="Times New Roman" w:cs="Times New Roman"/>
              </w:rPr>
              <w:t>is the fundamental period of the building,</w:t>
            </w:r>
          </w:p>
        </w:tc>
      </w:tr>
      <w:tr w:rsidR="00A30EF3" w:rsidRPr="00D51712" w14:paraId="6ECB3BDF" w14:textId="77777777" w:rsidTr="00BD628C">
        <w:tc>
          <w:tcPr>
            <w:tcW w:w="1275" w:type="dxa"/>
          </w:tcPr>
          <w:p w14:paraId="03A4FEAF" w14:textId="3D3C1049" w:rsidR="00A30EF3" w:rsidRPr="00D51712" w:rsidRDefault="009B5CEC" w:rsidP="002061E5">
            <w:pPr>
              <w:spacing w:after="60"/>
              <w:jc w:val="left"/>
              <w:rPr>
                <w:rFonts w:eastAsia="Times New Roman" w:cs="Cambria"/>
                <w:color w:val="000000" w:themeColor="text1"/>
                <w:szCs w:val="20"/>
                <w:lang w:val="pt-PT" w:eastAsia="fr-FR"/>
              </w:rPr>
            </w:pPr>
            <m:oMathPara>
              <m:oMathParaPr>
                <m:jc m:val="left"/>
              </m:oMathParaPr>
              <m:oMath>
                <m:sSub>
                  <m:sSubPr>
                    <m:ctrlPr>
                      <w:rPr>
                        <w:rFonts w:ascii="Cambria Math" w:hAnsi="Cambria Math"/>
                        <w:i/>
                      </w:rPr>
                    </m:ctrlPr>
                  </m:sSubPr>
                  <m:e>
                    <m:r>
                      <w:rPr>
                        <w:rFonts w:ascii="Cambria Math" w:hAnsi="Cambria Math"/>
                      </w:rPr>
                      <m:t>a</m:t>
                    </m:r>
                  </m:e>
                  <m:sub>
                    <m:r>
                      <m:rPr>
                        <m:sty m:val="p"/>
                      </m:rPr>
                      <w:rPr>
                        <w:rFonts w:ascii="Cambria Math" w:hAnsi="Cambria Math"/>
                      </w:rPr>
                      <m:t>ap,R</m:t>
                    </m:r>
                  </m:sub>
                </m:sSub>
              </m:oMath>
            </m:oMathPara>
          </w:p>
        </w:tc>
        <w:tc>
          <w:tcPr>
            <w:tcW w:w="7938" w:type="dxa"/>
          </w:tcPr>
          <w:p w14:paraId="6BCB3C0A" w14:textId="663C5EEC" w:rsidR="00A30EF3" w:rsidRPr="00D51712" w:rsidRDefault="00A30EF3" w:rsidP="002061E5">
            <w:pPr>
              <w:pStyle w:val="Listofsymbols"/>
              <w:tabs>
                <w:tab w:val="clear" w:pos="1134"/>
                <w:tab w:val="left" w:pos="1347"/>
              </w:tabs>
              <w:ind w:left="0" w:firstLine="0"/>
              <w:rPr>
                <w:rFonts w:eastAsia="Times New Roman"/>
                <w:szCs w:val="22"/>
                <w:lang w:val="en-US"/>
              </w:rPr>
            </w:pPr>
            <w:r w:rsidRPr="00D1484A">
              <w:t xml:space="preserve">is the acceleration capacity of the ancillary element, given by its force capacity, </w:t>
            </w:r>
            <w:r w:rsidRPr="00D1484A">
              <w:rPr>
                <w:i/>
                <w:iCs/>
              </w:rPr>
              <w:t>F</w:t>
            </w:r>
            <w:r w:rsidRPr="007E6F67">
              <w:rPr>
                <w:vertAlign w:val="subscript"/>
              </w:rPr>
              <w:t>a</w:t>
            </w:r>
            <w:r>
              <w:rPr>
                <w:vertAlign w:val="subscript"/>
              </w:rPr>
              <w:t>p</w:t>
            </w:r>
            <w:r w:rsidRPr="007E6F67">
              <w:rPr>
                <w:vertAlign w:val="subscript"/>
              </w:rPr>
              <w:t>,R</w:t>
            </w:r>
            <w:r w:rsidRPr="007E6F67">
              <w:t xml:space="preserve">, divided by its total mass </w:t>
            </w:r>
            <w:r w:rsidRPr="00E05E29">
              <w:rPr>
                <w:i/>
                <w:iCs/>
              </w:rPr>
              <w:t>m</w:t>
            </w:r>
            <w:r w:rsidRPr="00196951">
              <w:rPr>
                <w:vertAlign w:val="subscript"/>
              </w:rPr>
              <w:t>a</w:t>
            </w:r>
            <w:r>
              <w:rPr>
                <w:vertAlign w:val="subscript"/>
              </w:rPr>
              <w:t>p</w:t>
            </w:r>
            <w:r w:rsidRPr="00196951">
              <w:rPr>
                <w:i/>
                <w:iCs/>
              </w:rPr>
              <w:t>.</w:t>
            </w:r>
          </w:p>
        </w:tc>
      </w:tr>
    </w:tbl>
    <w:p w14:paraId="39972E10" w14:textId="77777777" w:rsidR="00A30EF3" w:rsidRPr="00A30EF3" w:rsidRDefault="00A30EF3" w:rsidP="00806F65">
      <w:pPr>
        <w:pStyle w:val="Text"/>
        <w:rPr>
          <w:lang w:val="en-US"/>
        </w:rPr>
      </w:pPr>
    </w:p>
    <w:p w14:paraId="2D1A4046" w14:textId="5B841CB4" w:rsidR="006A57D9" w:rsidRPr="00870D59" w:rsidRDefault="006A57D9" w:rsidP="006A57D9">
      <w:pPr>
        <w:pStyle w:val="ANNEX"/>
      </w:pPr>
      <w:r w:rsidRPr="00870D59">
        <w:lastRenderedPageBreak/>
        <w:br/>
      </w:r>
      <w:bookmarkStart w:id="11159" w:name="_Toc134198241"/>
      <w:r w:rsidRPr="00870D59">
        <w:rPr>
          <w:b w:val="0"/>
        </w:rPr>
        <w:t>(</w:t>
      </w:r>
      <w:r w:rsidR="00806F65">
        <w:rPr>
          <w:b w:val="0"/>
        </w:rPr>
        <w:t>n</w:t>
      </w:r>
      <w:r w:rsidR="008D1E9D" w:rsidRPr="00870D59">
        <w:rPr>
          <w:b w:val="0"/>
        </w:rPr>
        <w:t>or</w:t>
      </w:r>
      <w:r w:rsidRPr="00870D59">
        <w:rPr>
          <w:b w:val="0"/>
        </w:rPr>
        <w:t>mative)</w:t>
      </w:r>
      <w:r w:rsidRPr="00870D59">
        <w:fldChar w:fldCharType="begin"/>
      </w:r>
      <w:r w:rsidRPr="00870D59">
        <w:instrText xml:space="preserve">SEQ aaa \h </w:instrText>
      </w:r>
      <w:r w:rsidRPr="00870D59">
        <w:fldChar w:fldCharType="end"/>
      </w:r>
      <w:r w:rsidRPr="00870D59">
        <w:fldChar w:fldCharType="begin"/>
      </w:r>
      <w:r w:rsidRPr="00870D59">
        <w:instrText xml:space="preserve">SEQ table \r0\h </w:instrText>
      </w:r>
      <w:r w:rsidRPr="00870D59">
        <w:fldChar w:fldCharType="end"/>
      </w:r>
      <w:r w:rsidRPr="00870D59">
        <w:fldChar w:fldCharType="begin"/>
      </w:r>
      <w:r w:rsidRPr="00870D59">
        <w:instrText xml:space="preserve">SEQ figure \r0\h </w:instrText>
      </w:r>
      <w:r w:rsidRPr="00870D59">
        <w:fldChar w:fldCharType="end"/>
      </w:r>
      <w:r w:rsidRPr="00870D59">
        <w:br/>
      </w:r>
      <w:r w:rsidRPr="00870D59">
        <w:br/>
      </w:r>
      <w:r w:rsidR="004A6CEF" w:rsidRPr="007754C9">
        <w:t>Buildings with energy dissipation systems</w:t>
      </w:r>
      <w:bookmarkEnd w:id="11159"/>
    </w:p>
    <w:p w14:paraId="63209A7D" w14:textId="636EBAF6" w:rsidR="006A57D9" w:rsidRPr="00870D59" w:rsidRDefault="006A57D9" w:rsidP="006A57D9">
      <w:pPr>
        <w:pStyle w:val="a2"/>
        <w:rPr>
          <w:color w:val="000000" w:themeColor="text1"/>
        </w:rPr>
      </w:pPr>
      <w:bookmarkStart w:id="11160" w:name="_Toc134198242"/>
      <w:r w:rsidRPr="00870D59">
        <w:rPr>
          <w:color w:val="000000" w:themeColor="text1"/>
        </w:rPr>
        <w:t xml:space="preserve">Use of this </w:t>
      </w:r>
      <w:r w:rsidR="00806F65">
        <w:rPr>
          <w:color w:val="000000" w:themeColor="text1"/>
        </w:rPr>
        <w:t xml:space="preserve">normative </w:t>
      </w:r>
      <w:r w:rsidRPr="00870D59">
        <w:rPr>
          <w:color w:val="000000" w:themeColor="text1"/>
        </w:rPr>
        <w:t>annex</w:t>
      </w:r>
      <w:bookmarkEnd w:id="11160"/>
    </w:p>
    <w:p w14:paraId="5E2D342B" w14:textId="0A4A8673" w:rsidR="006A57D9" w:rsidRPr="00870D59" w:rsidRDefault="004A6CEF" w:rsidP="0080187E">
      <w:pPr>
        <w:pStyle w:val="Clause"/>
        <w:numPr>
          <w:ilvl w:val="0"/>
          <w:numId w:val="24"/>
        </w:numPr>
      </w:pPr>
      <w:r w:rsidRPr="00132C1E">
        <w:t>This Normative Annex contains additional provisions to</w:t>
      </w:r>
      <w:r w:rsidR="00835C82">
        <w:t xml:space="preserve"> Clause</w:t>
      </w:r>
      <w:r w:rsidRPr="00132C1E">
        <w:t xml:space="preserve"> </w:t>
      </w:r>
      <w:r w:rsidRPr="00835C82">
        <w:t>9</w:t>
      </w:r>
      <w:r w:rsidRPr="00132C1E">
        <w:t xml:space="preserve"> for buildings with energy dissipation system.</w:t>
      </w:r>
    </w:p>
    <w:p w14:paraId="33AE90AB" w14:textId="2465BEC2" w:rsidR="006A57D9" w:rsidRPr="00870D59" w:rsidRDefault="004A6CEF" w:rsidP="006A57D9">
      <w:pPr>
        <w:pStyle w:val="a2"/>
        <w:rPr>
          <w:color w:val="000000" w:themeColor="text1"/>
        </w:rPr>
      </w:pPr>
      <w:bookmarkStart w:id="11161" w:name="_Toc16927727"/>
      <w:bookmarkStart w:id="11162" w:name="_Toc50150717"/>
      <w:bookmarkStart w:id="11163" w:name="_Toc70887150"/>
      <w:bookmarkStart w:id="11164" w:name="_Toc108342734"/>
      <w:bookmarkStart w:id="11165" w:name="_Toc134198243"/>
      <w:r w:rsidRPr="00132C1E">
        <w:t>Displacement ductility ratio</w:t>
      </w:r>
      <w:bookmarkEnd w:id="11161"/>
      <w:bookmarkEnd w:id="11162"/>
      <w:bookmarkEnd w:id="11163"/>
      <w:bookmarkEnd w:id="11164"/>
      <w:bookmarkEnd w:id="11165"/>
    </w:p>
    <w:p w14:paraId="15059289" w14:textId="3D0BDD3A" w:rsidR="006A57D9" w:rsidRDefault="004A6CEF" w:rsidP="0080187E">
      <w:pPr>
        <w:pStyle w:val="Clause"/>
        <w:numPr>
          <w:ilvl w:val="0"/>
          <w:numId w:val="26"/>
        </w:numPr>
      </w:pPr>
      <w:r w:rsidRPr="00132C1E">
        <w:t xml:space="preserve">The definition of the displacement ductility ratio should be as given in </w:t>
      </w:r>
      <w:r w:rsidRPr="00835C82">
        <w:t>9.3.2.1(5)</w:t>
      </w:r>
      <w:r w:rsidRPr="00132C1E">
        <w:t>.</w:t>
      </w:r>
    </w:p>
    <w:p w14:paraId="0B32BEB5" w14:textId="0514B1E6" w:rsidR="004A6CEF" w:rsidRDefault="004A6CEF" w:rsidP="0080187E">
      <w:pPr>
        <w:pStyle w:val="Clause"/>
        <w:numPr>
          <w:ilvl w:val="0"/>
          <w:numId w:val="26"/>
        </w:numPr>
      </w:pPr>
      <w:r w:rsidRPr="00132C1E">
        <w:t xml:space="preserve">The displacement ductility ratio </w:t>
      </w:r>
      <w:r w:rsidRPr="00F71D03">
        <w:rPr>
          <w:rFonts w:ascii="Symbol" w:eastAsia="Symbol" w:hAnsi="Symbol" w:cs="Symbol"/>
          <w:i/>
        </w:rPr>
        <w:t></w:t>
      </w:r>
      <w:r w:rsidRPr="00F71D03">
        <w:rPr>
          <w:vertAlign w:val="subscript"/>
        </w:rPr>
        <w:t>f</w:t>
      </w:r>
      <w:r w:rsidRPr="00132C1E">
        <w:t xml:space="preserve"> for structures with displacement-dependent energy dissipation devices should be defined as the maximum displacement relative to the ground in the direction of the considered seismic action at roof level divided by </w:t>
      </w:r>
      <w:r w:rsidRPr="00F71D03">
        <w:rPr>
          <w:i/>
        </w:rPr>
        <w:t>d</w:t>
      </w:r>
      <w:r w:rsidRPr="00F71D03">
        <w:rPr>
          <w:vertAlign w:val="subscript"/>
        </w:rPr>
        <w:t>roof y</w:t>
      </w:r>
      <w:r w:rsidRPr="00132C1E">
        <w:t xml:space="preserve"> calculated by Formula (D.1).</w:t>
      </w:r>
    </w:p>
    <w:p w14:paraId="4ED8AAB1" w14:textId="1E137EB7" w:rsidR="004A6CEF" w:rsidRDefault="009B5CEC" w:rsidP="004A6CEF">
      <w:pPr>
        <w:pStyle w:val="Formula"/>
        <w:spacing w:before="240"/>
      </w:pPr>
      <m:oMath>
        <m:sSub>
          <m:sSubPr>
            <m:ctrlPr>
              <w:rPr>
                <w:rFonts w:ascii="Cambria Math" w:hAnsi="Cambria Math"/>
              </w:rPr>
            </m:ctrlPr>
          </m:sSubPr>
          <m:e>
            <m:r>
              <w:rPr>
                <w:rFonts w:ascii="Cambria Math" w:hAnsi="Cambria Math"/>
              </w:rPr>
              <m:t>d</m:t>
            </m:r>
          </m:e>
          <m:sub>
            <m:r>
              <m:rPr>
                <m:sty m:val="p"/>
              </m:rPr>
              <w:rPr>
                <w:rFonts w:ascii="Cambria Math" w:hAnsi="Cambria Math"/>
              </w:rPr>
              <m:t>roofy</m:t>
            </m:r>
          </m:sub>
        </m:sSub>
        <m:r>
          <w:rPr>
            <w:rFonts w:ascii="Cambria Math" w:hAnsi="Cambria Math"/>
          </w:rPr>
          <m:t>=</m:t>
        </m:r>
        <m:f>
          <m:fPr>
            <m:ctrlPr>
              <w:rPr>
                <w:rFonts w:ascii="Cambria Math" w:hAnsi="Cambria Math"/>
              </w:rPr>
            </m:ctrlPr>
          </m:fPr>
          <m:num>
            <m:sSubSup>
              <m:sSubSupPr>
                <m:ctrlPr>
                  <w:rPr>
                    <w:rFonts w:ascii="Cambria Math" w:hAnsi="Cambria Math"/>
                  </w:rPr>
                </m:ctrlPr>
              </m:sSubSupPr>
              <m:e>
                <m:r>
                  <w:rPr>
                    <w:rFonts w:ascii="Cambria Math" w:hAnsi="Cambria Math"/>
                  </w:rPr>
                  <m:t>T</m:t>
                </m:r>
              </m:e>
              <m:sub>
                <m:r>
                  <w:rPr>
                    <w:rFonts w:ascii="Cambria Math" w:hAnsi="Cambria Math"/>
                  </w:rPr>
                  <m:t>1</m:t>
                </m:r>
              </m:sub>
              <m:sup>
                <m:r>
                  <w:rPr>
                    <w:rFonts w:ascii="Cambria Math" w:hAnsi="Cambria Math"/>
                  </w:rPr>
                  <m:t>2</m:t>
                </m:r>
              </m:sup>
            </m:sSubSup>
            <m:d>
              <m:dPr>
                <m:ctrlPr>
                  <w:rPr>
                    <w:rFonts w:ascii="Cambria Math" w:hAnsi="Cambria Math"/>
                  </w:rPr>
                </m:ctrlPr>
              </m:dPr>
              <m:e>
                <m:sSub>
                  <m:sSubPr>
                    <m:ctrlPr>
                      <w:rPr>
                        <w:rFonts w:ascii="Cambria Math" w:hAnsi="Cambria Math"/>
                      </w:rPr>
                    </m:ctrlPr>
                  </m:sSubPr>
                  <m:e>
                    <m:r>
                      <w:rPr>
                        <w:rFonts w:ascii="Cambria Math" w:hAnsi="Cambria Math"/>
                      </w:rPr>
                      <m:t>V</m:t>
                    </m:r>
                  </m:e>
                  <m:sub>
                    <m:r>
                      <m:rPr>
                        <m:sty m:val="p"/>
                      </m:rPr>
                      <w:rPr>
                        <w:rFonts w:ascii="Cambria Math" w:hAnsi="Cambria Math"/>
                      </w:rPr>
                      <m:t>py,1</m:t>
                    </m:r>
                  </m:sub>
                </m:sSub>
                <m:r>
                  <w:rPr>
                    <w:rFonts w:ascii="Cambria Math" w:hAnsi="Cambria Math"/>
                  </w:rPr>
                  <m:t>+</m:t>
                </m:r>
                <m:sSub>
                  <m:sSubPr>
                    <m:ctrlPr>
                      <w:rPr>
                        <w:rFonts w:ascii="Cambria Math" w:hAnsi="Cambria Math"/>
                      </w:rPr>
                    </m:ctrlPr>
                  </m:sSubPr>
                  <m:e>
                    <m:r>
                      <w:rPr>
                        <w:rFonts w:ascii="Cambria Math" w:hAnsi="Cambria Math"/>
                      </w:rPr>
                      <m:t>V</m:t>
                    </m:r>
                  </m:e>
                  <m:sub>
                    <m:r>
                      <m:rPr>
                        <m:sty m:val="p"/>
                      </m:rPr>
                      <w:rPr>
                        <w:rFonts w:ascii="Cambria Math" w:hAnsi="Cambria Math"/>
                      </w:rPr>
                      <m:t>dy,1</m:t>
                    </m:r>
                  </m:sub>
                </m:sSub>
              </m:e>
            </m:d>
            <m:sSub>
              <m:sSubPr>
                <m:ctrlPr>
                  <w:rPr>
                    <w:rFonts w:ascii="Cambria Math" w:hAnsi="Cambria Math"/>
                  </w:rPr>
                </m:ctrlPr>
              </m:sSubPr>
              <m:e>
                <m:r>
                  <w:rPr>
                    <w:rFonts w:ascii="Cambria Math" w:hAnsi="Cambria Math"/>
                  </w:rPr>
                  <m:t>Γ</m:t>
                </m:r>
              </m:e>
              <m:sub>
                <m:r>
                  <w:rPr>
                    <w:rFonts w:ascii="Cambria Math" w:hAnsi="Cambria Math"/>
                  </w:rPr>
                  <m:t>1</m:t>
                </m:r>
              </m:sub>
            </m:sSub>
          </m:num>
          <m:den>
            <m:r>
              <w:rPr>
                <w:rFonts w:ascii="Cambria Math" w:hAnsi="Cambria Math"/>
              </w:rPr>
              <m:t>4</m:t>
            </m:r>
            <m:sSup>
              <m:sSupPr>
                <m:ctrlPr>
                  <w:rPr>
                    <w:rFonts w:ascii="Cambria Math" w:hAnsi="Cambria Math"/>
                  </w:rPr>
                </m:ctrlPr>
              </m:sSupPr>
              <m:e>
                <m:r>
                  <w:rPr>
                    <w:rFonts w:ascii="Cambria Math" w:hAnsi="Cambria Math"/>
                  </w:rPr>
                  <m:t>π</m:t>
                </m:r>
              </m:e>
              <m:sup>
                <m:r>
                  <w:rPr>
                    <w:rFonts w:ascii="Cambria Math" w:hAnsi="Cambria Math"/>
                  </w:rPr>
                  <m:t>2</m:t>
                </m:r>
              </m:sup>
            </m:sSup>
            <m:sSub>
              <m:sSubPr>
                <m:ctrlPr>
                  <w:rPr>
                    <w:rFonts w:ascii="Cambria Math" w:hAnsi="Cambria Math"/>
                  </w:rPr>
                </m:ctrlPr>
              </m:sSubPr>
              <m:e>
                <m:r>
                  <w:rPr>
                    <w:rFonts w:ascii="Cambria Math" w:hAnsi="Cambria Math"/>
                  </w:rPr>
                  <m:t>m</m:t>
                </m:r>
              </m:e>
              <m:sub>
                <m:r>
                  <m:rPr>
                    <m:sty m:val="p"/>
                  </m:rPr>
                  <w:rPr>
                    <w:rFonts w:ascii="Cambria Math" w:hAnsi="Cambria Math"/>
                  </w:rPr>
                  <m:t>eff1</m:t>
                </m:r>
              </m:sub>
            </m:sSub>
          </m:den>
        </m:f>
      </m:oMath>
      <w:r w:rsidR="004A6CEF" w:rsidRPr="00870D59">
        <w:tab/>
        <w:t>(</w:t>
      </w:r>
      <w:r w:rsidR="004A6CEF">
        <w:t>D</w:t>
      </w:r>
      <w:r w:rsidR="004A6CEF" w:rsidRPr="00870D59">
        <w:t>.</w:t>
      </w:r>
      <w:r w:rsidR="004A6CEF">
        <w:t>1</w:t>
      </w:r>
      <w:r w:rsidR="004A6CEF" w:rsidRPr="00870D59">
        <w:t>)</w:t>
      </w:r>
    </w:p>
    <w:p w14:paraId="69191FBD" w14:textId="22C68DEF" w:rsidR="004A6CEF" w:rsidRPr="001B2671" w:rsidRDefault="00675EBA" w:rsidP="00806F65">
      <w:pPr>
        <w:pStyle w:val="Text"/>
      </w:pPr>
      <w:r>
        <w:t>where</w:t>
      </w:r>
    </w:p>
    <w:tbl>
      <w:tblPr>
        <w:tblW w:w="0" w:type="auto"/>
        <w:tblInd w:w="346" w:type="dxa"/>
        <w:tblLook w:val="04A0" w:firstRow="1" w:lastRow="0" w:firstColumn="1" w:lastColumn="0" w:noHBand="0" w:noVBand="1"/>
      </w:tblPr>
      <w:tblGrid>
        <w:gridCol w:w="1451"/>
        <w:gridCol w:w="7762"/>
      </w:tblGrid>
      <w:tr w:rsidR="004A6CEF" w:rsidRPr="000F2AFF" w14:paraId="7078FFD0" w14:textId="77777777" w:rsidTr="00BD628C">
        <w:tc>
          <w:tcPr>
            <w:tcW w:w="1451" w:type="dxa"/>
          </w:tcPr>
          <w:p w14:paraId="03E394E4" w14:textId="03AE58E0" w:rsidR="004A6CEF" w:rsidRPr="00773100" w:rsidRDefault="004A6CEF" w:rsidP="002061E5">
            <w:pPr>
              <w:spacing w:after="60"/>
              <w:jc w:val="left"/>
              <w:rPr>
                <w:rFonts w:eastAsia="Times New Roman" w:cs="Cambria"/>
                <w:color w:val="000000" w:themeColor="text1"/>
                <w:szCs w:val="20"/>
                <w:lang w:eastAsia="fr-FR"/>
              </w:rPr>
            </w:pPr>
            <w:r w:rsidRPr="00FD17CF">
              <w:rPr>
                <w:i/>
              </w:rPr>
              <w:t>V</w:t>
            </w:r>
            <w:r w:rsidRPr="00FD17CF">
              <w:rPr>
                <w:vertAlign w:val="subscript"/>
              </w:rPr>
              <w:t>py,1</w:t>
            </w:r>
            <w:r w:rsidRPr="00FD17CF">
              <w:t xml:space="preserve"> and </w:t>
            </w:r>
            <w:r w:rsidRPr="00E05E29">
              <w:rPr>
                <w:i/>
              </w:rPr>
              <w:t>V</w:t>
            </w:r>
            <w:r w:rsidRPr="00196951">
              <w:rPr>
                <w:vertAlign w:val="subscript"/>
              </w:rPr>
              <w:t>dy,1</w:t>
            </w:r>
          </w:p>
        </w:tc>
        <w:tc>
          <w:tcPr>
            <w:tcW w:w="7762" w:type="dxa"/>
          </w:tcPr>
          <w:p w14:paraId="4CD3B2A3" w14:textId="0DC963D9" w:rsidR="004A6CEF" w:rsidRPr="005C7E1C" w:rsidRDefault="004A6CEF" w:rsidP="002061E5">
            <w:pPr>
              <w:pStyle w:val="Listofsymbols"/>
              <w:tabs>
                <w:tab w:val="clear" w:pos="1134"/>
                <w:tab w:val="left" w:pos="1347"/>
              </w:tabs>
              <w:ind w:left="0" w:firstLine="0"/>
              <w:rPr>
                <w:rFonts w:eastAsia="Times New Roman"/>
                <w:szCs w:val="22"/>
              </w:rPr>
            </w:pPr>
            <w:r w:rsidRPr="00196951">
              <w:t xml:space="preserve">are defined </w:t>
            </w:r>
            <w:r w:rsidRPr="00806F65">
              <w:t>in 9.3.3.2(1);</w:t>
            </w:r>
          </w:p>
        </w:tc>
      </w:tr>
      <w:tr w:rsidR="004A6CEF" w:rsidRPr="000F2AFF" w14:paraId="652378C3" w14:textId="77777777" w:rsidTr="00BD628C">
        <w:tc>
          <w:tcPr>
            <w:tcW w:w="1451" w:type="dxa"/>
          </w:tcPr>
          <w:p w14:paraId="6CFABE47" w14:textId="217F5988" w:rsidR="004A6CEF" w:rsidRPr="00773100" w:rsidRDefault="004A6CEF" w:rsidP="002061E5">
            <w:pPr>
              <w:spacing w:after="60"/>
              <w:jc w:val="left"/>
              <w:rPr>
                <w:rFonts w:eastAsia="Times New Roman" w:cs="Cambria"/>
                <w:color w:val="000000" w:themeColor="text1"/>
                <w:szCs w:val="20"/>
                <w:lang w:eastAsia="fr-FR"/>
              </w:rPr>
            </w:pPr>
            <w:r w:rsidRPr="00196951">
              <w:rPr>
                <w:i/>
              </w:rPr>
              <w:t>m</w:t>
            </w:r>
            <w:r w:rsidRPr="002144A0">
              <w:rPr>
                <w:vertAlign w:val="subscript"/>
              </w:rPr>
              <w:t>eff 1</w:t>
            </w:r>
          </w:p>
        </w:tc>
        <w:tc>
          <w:tcPr>
            <w:tcW w:w="7762" w:type="dxa"/>
          </w:tcPr>
          <w:p w14:paraId="6A62A366" w14:textId="58BA130A" w:rsidR="004A6CEF" w:rsidRPr="005C7E1C" w:rsidRDefault="004A6CEF" w:rsidP="002061E5">
            <w:pPr>
              <w:pStyle w:val="Listofsymbols"/>
              <w:tabs>
                <w:tab w:val="clear" w:pos="1134"/>
                <w:tab w:val="left" w:pos="1347"/>
              </w:tabs>
              <w:ind w:left="0" w:firstLine="0"/>
              <w:rPr>
                <w:rFonts w:eastAsia="Times New Roman"/>
                <w:szCs w:val="22"/>
              </w:rPr>
            </w:pPr>
            <w:r w:rsidRPr="00132C1E">
              <w:t>is the first mode effective mass of the structure with energy dissipation system in the elastic range, in the direction under consideration</w:t>
            </w:r>
            <w:r>
              <w:t>.</w:t>
            </w:r>
          </w:p>
        </w:tc>
      </w:tr>
    </w:tbl>
    <w:p w14:paraId="05AAFD52" w14:textId="37982A35" w:rsidR="004A6CEF" w:rsidRDefault="004A6CEF" w:rsidP="0080187E">
      <w:pPr>
        <w:pStyle w:val="Clause"/>
        <w:numPr>
          <w:ilvl w:val="0"/>
          <w:numId w:val="26"/>
        </w:numPr>
      </w:pPr>
      <w:r w:rsidRPr="00132C1E">
        <w:t xml:space="preserve">The displacement ductility ratio </w:t>
      </w:r>
      <w:r w:rsidRPr="00F71D03">
        <w:rPr>
          <w:rFonts w:ascii="Symbol" w:eastAsia="Symbol" w:hAnsi="Symbol" w:cs="Symbol"/>
          <w:i/>
        </w:rPr>
        <w:t></w:t>
      </w:r>
      <w:r w:rsidRPr="00F71D03">
        <w:rPr>
          <w:vertAlign w:val="subscript"/>
        </w:rPr>
        <w:t>f</w:t>
      </w:r>
      <w:r w:rsidRPr="00132C1E">
        <w:t xml:space="preserve"> for structures with velocity-dependent energy dissipation devices should be defined as the maximum displacement relative to the ground at roof level divided by </w:t>
      </w:r>
      <w:r w:rsidRPr="00F71D03">
        <w:rPr>
          <w:i/>
        </w:rPr>
        <w:t>d</w:t>
      </w:r>
      <w:r w:rsidRPr="00F71D03">
        <w:rPr>
          <w:vertAlign w:val="subscript"/>
        </w:rPr>
        <w:t>roof y</w:t>
      </w:r>
      <w:r w:rsidRPr="00132C1E">
        <w:t xml:space="preserve"> calculated by Formula (D.2).</w:t>
      </w:r>
    </w:p>
    <w:p w14:paraId="6BF2508D" w14:textId="2BD9D57F" w:rsidR="004A6CEF" w:rsidRDefault="009B5CEC" w:rsidP="004A6CEF">
      <w:pPr>
        <w:pStyle w:val="Formula"/>
        <w:spacing w:before="240"/>
      </w:pPr>
      <m:oMath>
        <m:sSub>
          <m:sSubPr>
            <m:ctrlPr>
              <w:rPr>
                <w:rFonts w:ascii="Cambria Math" w:hAnsi="Cambria Math"/>
              </w:rPr>
            </m:ctrlPr>
          </m:sSubPr>
          <m:e>
            <m:r>
              <w:rPr>
                <w:rFonts w:ascii="Cambria Math" w:hAnsi="Cambria Math"/>
              </w:rPr>
              <m:t>d</m:t>
            </m:r>
          </m:e>
          <m:sub>
            <m:r>
              <m:rPr>
                <m:sty m:val="p"/>
              </m:rPr>
              <w:rPr>
                <w:rFonts w:ascii="Cambria Math" w:hAnsi="Cambria Math"/>
              </w:rPr>
              <m:t>roofy</m:t>
            </m:r>
          </m:sub>
        </m:sSub>
        <m:r>
          <w:rPr>
            <w:rFonts w:ascii="Cambria Math" w:hAnsi="Cambria Math"/>
          </w:rPr>
          <m:t>=</m:t>
        </m:r>
        <m:f>
          <m:fPr>
            <m:ctrlPr>
              <w:rPr>
                <w:rFonts w:ascii="Cambria Math" w:hAnsi="Cambria Math"/>
              </w:rPr>
            </m:ctrlPr>
          </m:fPr>
          <m:num>
            <m:sSubSup>
              <m:sSubSupPr>
                <m:ctrlPr>
                  <w:rPr>
                    <w:rFonts w:ascii="Cambria Math" w:hAnsi="Cambria Math"/>
                  </w:rPr>
                </m:ctrlPr>
              </m:sSubSupPr>
              <m:e>
                <m:sSub>
                  <m:sSubPr>
                    <m:ctrlPr>
                      <w:rPr>
                        <w:rFonts w:ascii="Cambria Math" w:hAnsi="Cambria Math"/>
                      </w:rPr>
                    </m:ctrlPr>
                  </m:sSubPr>
                  <m:e>
                    <m:r>
                      <w:rPr>
                        <w:rFonts w:ascii="Cambria Math" w:hAnsi="Cambria Math"/>
                      </w:rPr>
                      <m:t>V</m:t>
                    </m:r>
                  </m:e>
                  <m:sub>
                    <m:r>
                      <m:rPr>
                        <m:sty m:val="p"/>
                      </m:rPr>
                      <w:rPr>
                        <w:rFonts w:ascii="Cambria Math" w:hAnsi="Cambria Math"/>
                      </w:rPr>
                      <m:t>py,1</m:t>
                    </m:r>
                  </m:sub>
                </m:sSub>
                <m:r>
                  <m:rPr>
                    <m:sty m:val="p"/>
                  </m:rPr>
                  <w:rPr>
                    <w:rFonts w:ascii="Cambria Math" w:hAnsi="Cambria Math"/>
                  </w:rPr>
                  <m:t xml:space="preserve"> </m:t>
                </m:r>
                <m:r>
                  <w:rPr>
                    <w:rFonts w:ascii="Cambria Math" w:hAnsi="Cambria Math"/>
                  </w:rPr>
                  <m:t>T</m:t>
                </m:r>
              </m:e>
              <m:sub>
                <m:r>
                  <m:rPr>
                    <m:sty m:val="p"/>
                  </m:rPr>
                  <w:rPr>
                    <w:rFonts w:ascii="Cambria Math" w:hAnsi="Cambria Math"/>
                  </w:rPr>
                  <m:t>p1</m:t>
                </m:r>
              </m:sub>
              <m:sup>
                <m:r>
                  <m:rPr>
                    <m:sty m:val="p"/>
                  </m:rPr>
                  <w:rPr>
                    <w:rFonts w:ascii="Cambria Math" w:hAnsi="Cambria Math"/>
                  </w:rPr>
                  <m:t>2</m:t>
                </m:r>
              </m:sup>
            </m:sSubSup>
            <m:sSub>
              <m:sSubPr>
                <m:ctrlPr>
                  <w:rPr>
                    <w:rFonts w:ascii="Cambria Math" w:hAnsi="Cambria Math"/>
                  </w:rPr>
                </m:ctrlPr>
              </m:sSubPr>
              <m:e>
                <m:r>
                  <w:rPr>
                    <w:rFonts w:ascii="Cambria Math" w:hAnsi="Cambria Math"/>
                  </w:rPr>
                  <m:t>Γ</m:t>
                </m:r>
              </m:e>
              <m:sub>
                <m:r>
                  <m:rPr>
                    <m:sty m:val="p"/>
                  </m:rPr>
                  <w:rPr>
                    <w:rFonts w:ascii="Cambria Math" w:hAnsi="Cambria Math"/>
                  </w:rPr>
                  <m:t>p1</m:t>
                </m:r>
              </m:sub>
            </m:sSub>
          </m:num>
          <m:den>
            <m:r>
              <w:rPr>
                <w:rFonts w:ascii="Cambria Math" w:hAnsi="Cambria Math"/>
              </w:rPr>
              <m:t>4</m:t>
            </m:r>
            <m:sSup>
              <m:sSupPr>
                <m:ctrlPr>
                  <w:rPr>
                    <w:rFonts w:ascii="Cambria Math" w:hAnsi="Cambria Math"/>
                  </w:rPr>
                </m:ctrlPr>
              </m:sSupPr>
              <m:e>
                <m:r>
                  <w:rPr>
                    <w:rFonts w:ascii="Cambria Math" w:hAnsi="Cambria Math"/>
                  </w:rPr>
                  <m:t>π</m:t>
                </m:r>
              </m:e>
              <m:sup>
                <m:r>
                  <w:rPr>
                    <w:rFonts w:ascii="Cambria Math" w:hAnsi="Cambria Math"/>
                  </w:rPr>
                  <m:t>2</m:t>
                </m:r>
              </m:sup>
            </m:sSup>
            <m:sSub>
              <m:sSubPr>
                <m:ctrlPr>
                  <w:rPr>
                    <w:rFonts w:ascii="Cambria Math" w:hAnsi="Cambria Math"/>
                  </w:rPr>
                </m:ctrlPr>
              </m:sSubPr>
              <m:e>
                <m:r>
                  <w:rPr>
                    <w:rFonts w:ascii="Cambria Math" w:hAnsi="Cambria Math"/>
                  </w:rPr>
                  <m:t>m</m:t>
                </m:r>
              </m:e>
              <m:sub>
                <m:r>
                  <m:rPr>
                    <m:sty m:val="p"/>
                  </m:rPr>
                  <w:rPr>
                    <w:rFonts w:ascii="Cambria Math" w:hAnsi="Cambria Math"/>
                  </w:rPr>
                  <m:t>peff1</m:t>
                </m:r>
              </m:sub>
            </m:sSub>
          </m:den>
        </m:f>
      </m:oMath>
      <w:r w:rsidR="004A6CEF" w:rsidRPr="00870D59">
        <w:tab/>
        <w:t>(</w:t>
      </w:r>
      <w:r w:rsidR="004A6CEF">
        <w:t>D</w:t>
      </w:r>
      <w:r w:rsidR="004A6CEF" w:rsidRPr="00870D59">
        <w:t>.</w:t>
      </w:r>
      <w:r w:rsidR="00A41C92">
        <w:t>2</w:t>
      </w:r>
      <w:r w:rsidR="004A6CEF" w:rsidRPr="00870D59">
        <w:t>)</w:t>
      </w:r>
    </w:p>
    <w:p w14:paraId="4A0913E7" w14:textId="479895C6" w:rsidR="004A6CEF" w:rsidRPr="001B2671" w:rsidRDefault="00675EBA" w:rsidP="00806F65">
      <w:pPr>
        <w:pStyle w:val="Text"/>
      </w:pPr>
      <w:r>
        <w:t>where</w:t>
      </w:r>
    </w:p>
    <w:tbl>
      <w:tblPr>
        <w:tblW w:w="0" w:type="auto"/>
        <w:tblInd w:w="346" w:type="dxa"/>
        <w:tblLook w:val="04A0" w:firstRow="1" w:lastRow="0" w:firstColumn="1" w:lastColumn="0" w:noHBand="0" w:noVBand="1"/>
      </w:tblPr>
      <w:tblGrid>
        <w:gridCol w:w="1275"/>
        <w:gridCol w:w="7938"/>
      </w:tblGrid>
      <w:tr w:rsidR="004A6CEF" w:rsidRPr="000F2AFF" w14:paraId="2AA254BB" w14:textId="77777777" w:rsidTr="00BD628C">
        <w:tc>
          <w:tcPr>
            <w:tcW w:w="1275" w:type="dxa"/>
          </w:tcPr>
          <w:p w14:paraId="594D674C" w14:textId="6D9B4783" w:rsidR="004A6CEF" w:rsidRPr="00773100" w:rsidRDefault="004A6CEF" w:rsidP="002061E5">
            <w:pPr>
              <w:spacing w:after="60"/>
              <w:jc w:val="left"/>
              <w:rPr>
                <w:rFonts w:eastAsia="Times New Roman" w:cs="Cambria"/>
                <w:color w:val="000000" w:themeColor="text1"/>
                <w:szCs w:val="20"/>
                <w:lang w:eastAsia="fr-FR"/>
              </w:rPr>
            </w:pPr>
            <w:r w:rsidRPr="00FD17CF">
              <w:rPr>
                <w:i/>
              </w:rPr>
              <w:t>V</w:t>
            </w:r>
            <w:r w:rsidRPr="00FD17CF">
              <w:rPr>
                <w:vertAlign w:val="subscript"/>
              </w:rPr>
              <w:t>py,1</w:t>
            </w:r>
          </w:p>
        </w:tc>
        <w:tc>
          <w:tcPr>
            <w:tcW w:w="7938" w:type="dxa"/>
          </w:tcPr>
          <w:p w14:paraId="0980BB69" w14:textId="720FC8F2" w:rsidR="004A6CEF" w:rsidRPr="005C7E1C" w:rsidRDefault="00A41C92" w:rsidP="002061E5">
            <w:pPr>
              <w:pStyle w:val="Listofsymbols"/>
              <w:tabs>
                <w:tab w:val="clear" w:pos="1134"/>
                <w:tab w:val="left" w:pos="1347"/>
              </w:tabs>
              <w:ind w:left="0" w:firstLine="0"/>
              <w:rPr>
                <w:rFonts w:eastAsia="Times New Roman"/>
                <w:szCs w:val="22"/>
              </w:rPr>
            </w:pPr>
            <w:r w:rsidRPr="00FD17CF">
              <w:t xml:space="preserve">is </w:t>
            </w:r>
            <w:r w:rsidRPr="00806F65">
              <w:t>as in (1);</w:t>
            </w:r>
          </w:p>
        </w:tc>
      </w:tr>
      <w:tr w:rsidR="004A6CEF" w:rsidRPr="000F2AFF" w14:paraId="77739574" w14:textId="77777777" w:rsidTr="00BD628C">
        <w:tc>
          <w:tcPr>
            <w:tcW w:w="1275" w:type="dxa"/>
          </w:tcPr>
          <w:p w14:paraId="4FFDC9C8" w14:textId="4C4BBE9C" w:rsidR="004A6CEF" w:rsidRPr="00773100" w:rsidRDefault="004A6CEF" w:rsidP="002061E5">
            <w:pPr>
              <w:spacing w:after="60"/>
              <w:jc w:val="left"/>
              <w:rPr>
                <w:rFonts w:eastAsia="Times New Roman" w:cs="Cambria"/>
                <w:color w:val="000000" w:themeColor="text1"/>
                <w:szCs w:val="20"/>
                <w:lang w:eastAsia="fr-FR"/>
              </w:rPr>
            </w:pPr>
            <w:r w:rsidRPr="00196951">
              <w:rPr>
                <w:i/>
              </w:rPr>
              <w:t>T</w:t>
            </w:r>
            <w:r w:rsidRPr="002144A0">
              <w:rPr>
                <w:vertAlign w:val="subscript"/>
              </w:rPr>
              <w:t>p1</w:t>
            </w:r>
          </w:p>
        </w:tc>
        <w:tc>
          <w:tcPr>
            <w:tcW w:w="7938" w:type="dxa"/>
          </w:tcPr>
          <w:p w14:paraId="5632D71F" w14:textId="457BD4BC" w:rsidR="004A6CEF" w:rsidRPr="005C7E1C" w:rsidRDefault="00A41C92" w:rsidP="002061E5">
            <w:pPr>
              <w:pStyle w:val="Listofsymbols"/>
              <w:tabs>
                <w:tab w:val="clear" w:pos="1134"/>
                <w:tab w:val="left" w:pos="1347"/>
              </w:tabs>
              <w:ind w:left="0" w:firstLine="0"/>
              <w:rPr>
                <w:rFonts w:eastAsia="Times New Roman"/>
                <w:szCs w:val="22"/>
              </w:rPr>
            </w:pPr>
            <w:r w:rsidRPr="00132C1E">
              <w:t xml:space="preserve">is the first mode vibration period of the </w:t>
            </w:r>
            <w:r w:rsidRPr="00132C1E">
              <w:rPr>
                <w:szCs w:val="24"/>
              </w:rPr>
              <w:t>primary seismic members</w:t>
            </w:r>
            <w:r w:rsidRPr="00132C1E" w:rsidDel="002A3054">
              <w:t xml:space="preserve"> </w:t>
            </w:r>
            <w:r w:rsidRPr="00132C1E">
              <w:t>in elastic conditions, exclusive of energy dissipation system;</w:t>
            </w:r>
          </w:p>
        </w:tc>
      </w:tr>
      <w:tr w:rsidR="004A6CEF" w:rsidRPr="000F2AFF" w14:paraId="277482F4" w14:textId="77777777" w:rsidTr="00BD628C">
        <w:tc>
          <w:tcPr>
            <w:tcW w:w="1275" w:type="dxa"/>
          </w:tcPr>
          <w:p w14:paraId="6AC62189" w14:textId="486FBFD5" w:rsidR="004A6CEF" w:rsidRPr="00773100" w:rsidRDefault="004A6CEF" w:rsidP="002061E5">
            <w:pPr>
              <w:spacing w:after="60"/>
              <w:jc w:val="left"/>
              <w:rPr>
                <w:rFonts w:eastAsia="Times New Roman" w:cs="Cambria"/>
                <w:color w:val="000000" w:themeColor="text1"/>
                <w:szCs w:val="20"/>
                <w:lang w:eastAsia="fr-FR"/>
              </w:rPr>
            </w:pPr>
            <w:r w:rsidRPr="00132C1E">
              <w:rPr>
                <w:rFonts w:ascii="Symbol" w:eastAsia="Symbol" w:hAnsi="Symbol" w:cs="Symbol"/>
                <w:i/>
              </w:rPr>
              <w:t></w:t>
            </w:r>
            <w:r w:rsidRPr="00132C1E">
              <w:rPr>
                <w:vertAlign w:val="subscript"/>
              </w:rPr>
              <w:t>p1</w:t>
            </w:r>
          </w:p>
        </w:tc>
        <w:tc>
          <w:tcPr>
            <w:tcW w:w="7938" w:type="dxa"/>
          </w:tcPr>
          <w:p w14:paraId="4E016B0C" w14:textId="1D2B7C81" w:rsidR="004A6CEF" w:rsidRPr="005C7E1C" w:rsidRDefault="00A41C92" w:rsidP="002061E5">
            <w:pPr>
              <w:pStyle w:val="Listofsymbols"/>
              <w:tabs>
                <w:tab w:val="clear" w:pos="1134"/>
                <w:tab w:val="left" w:pos="1347"/>
              </w:tabs>
              <w:ind w:left="0" w:firstLine="0"/>
              <w:rPr>
                <w:rFonts w:eastAsia="Times New Roman"/>
                <w:szCs w:val="22"/>
              </w:rPr>
            </w:pPr>
            <w:r w:rsidRPr="00132C1E">
              <w:t xml:space="preserve">is the first mode participation factor of the </w:t>
            </w:r>
            <w:r w:rsidRPr="00132C1E">
              <w:rPr>
                <w:szCs w:val="24"/>
              </w:rPr>
              <w:t>primary seismic members</w:t>
            </w:r>
            <w:r w:rsidRPr="00132C1E" w:rsidDel="002A3054">
              <w:t xml:space="preserve"> </w:t>
            </w:r>
            <w:r w:rsidRPr="00132C1E">
              <w:t>in elastic conditions, exclusive of energy dissipation system in the direction under consideration;</w:t>
            </w:r>
          </w:p>
        </w:tc>
      </w:tr>
      <w:tr w:rsidR="004A6CEF" w:rsidRPr="000F2AFF" w14:paraId="42F8F1F1" w14:textId="77777777" w:rsidTr="00BD628C">
        <w:tc>
          <w:tcPr>
            <w:tcW w:w="1275" w:type="dxa"/>
          </w:tcPr>
          <w:p w14:paraId="30995C81" w14:textId="24AB7155" w:rsidR="004A6CEF" w:rsidRPr="00773100" w:rsidRDefault="004A6CEF" w:rsidP="002061E5">
            <w:pPr>
              <w:spacing w:after="60"/>
              <w:jc w:val="left"/>
              <w:rPr>
                <w:rFonts w:eastAsia="Times New Roman" w:cs="Cambria"/>
                <w:color w:val="000000" w:themeColor="text1"/>
                <w:szCs w:val="20"/>
                <w:lang w:eastAsia="fr-FR"/>
              </w:rPr>
            </w:pPr>
            <w:r w:rsidRPr="00132C1E">
              <w:rPr>
                <w:i/>
              </w:rPr>
              <w:t>m</w:t>
            </w:r>
            <w:r w:rsidRPr="00132C1E">
              <w:rPr>
                <w:vertAlign w:val="subscript"/>
              </w:rPr>
              <w:t>p,eff 1</w:t>
            </w:r>
          </w:p>
        </w:tc>
        <w:tc>
          <w:tcPr>
            <w:tcW w:w="7938" w:type="dxa"/>
          </w:tcPr>
          <w:p w14:paraId="067EA126" w14:textId="67C85360" w:rsidR="004A6CEF" w:rsidRPr="005C7E1C" w:rsidRDefault="00A41C92" w:rsidP="002061E5">
            <w:pPr>
              <w:pStyle w:val="Listofsymbols"/>
              <w:tabs>
                <w:tab w:val="clear" w:pos="1134"/>
                <w:tab w:val="left" w:pos="1347"/>
              </w:tabs>
              <w:ind w:left="0" w:firstLine="0"/>
              <w:rPr>
                <w:rFonts w:eastAsia="Times New Roman"/>
                <w:szCs w:val="22"/>
              </w:rPr>
            </w:pPr>
            <w:r w:rsidRPr="00132C1E">
              <w:t xml:space="preserve">is the first mode effective mass of the </w:t>
            </w:r>
            <w:r w:rsidRPr="00132C1E">
              <w:rPr>
                <w:szCs w:val="24"/>
              </w:rPr>
              <w:t>primary seismic members</w:t>
            </w:r>
            <w:r w:rsidRPr="00132C1E" w:rsidDel="002A3054">
              <w:t xml:space="preserve"> </w:t>
            </w:r>
            <w:r w:rsidRPr="00132C1E">
              <w:t>in elastic conditions, exclusive of energy dissipation system in the direction under consideration</w:t>
            </w:r>
            <w:r>
              <w:t>.</w:t>
            </w:r>
          </w:p>
        </w:tc>
      </w:tr>
    </w:tbl>
    <w:p w14:paraId="10B4C8BC" w14:textId="3072C24E" w:rsidR="006A57D9" w:rsidRDefault="00A41C92" w:rsidP="006A57D9">
      <w:pPr>
        <w:pStyle w:val="a2"/>
      </w:pPr>
      <w:bookmarkStart w:id="11166" w:name="_Toc134198244"/>
      <w:r w:rsidRPr="00A41C92">
        <w:lastRenderedPageBreak/>
        <w:t>Complementary rules for structures with velocity</w:t>
      </w:r>
      <w:r w:rsidR="00806F65">
        <w:t>-</w:t>
      </w:r>
      <w:r w:rsidRPr="00A41C92">
        <w:t>dependent energy dissipation devices</w:t>
      </w:r>
      <w:bookmarkEnd w:id="11166"/>
    </w:p>
    <w:p w14:paraId="5B782E8D" w14:textId="77777777" w:rsidR="00A41C92" w:rsidRPr="00132C1E" w:rsidRDefault="00A41C92" w:rsidP="00A41C92">
      <w:pPr>
        <w:pStyle w:val="a3"/>
        <w:spacing w:before="60"/>
      </w:pPr>
      <w:bookmarkStart w:id="11167" w:name="_Toc16927729"/>
      <w:bookmarkStart w:id="11168" w:name="_Toc50150719"/>
      <w:bookmarkStart w:id="11169" w:name="_Toc70887152"/>
      <w:bookmarkStart w:id="11170" w:name="_Toc108342736"/>
      <w:bookmarkStart w:id="11171" w:name="_Toc120543823"/>
      <w:bookmarkStart w:id="11172" w:name="_Toc134198245"/>
      <w:r w:rsidRPr="00132C1E">
        <w:t>Effective period</w:t>
      </w:r>
      <w:bookmarkEnd w:id="11167"/>
      <w:bookmarkEnd w:id="11168"/>
      <w:bookmarkEnd w:id="11169"/>
      <w:bookmarkEnd w:id="11170"/>
      <w:bookmarkEnd w:id="11171"/>
      <w:bookmarkEnd w:id="11172"/>
    </w:p>
    <w:p w14:paraId="192B6DBD" w14:textId="639F3466" w:rsidR="00167AAB" w:rsidRDefault="00A41C92" w:rsidP="0080187E">
      <w:pPr>
        <w:pStyle w:val="Clause"/>
        <w:numPr>
          <w:ilvl w:val="0"/>
          <w:numId w:val="25"/>
        </w:numPr>
      </w:pPr>
      <w:r w:rsidRPr="00132C1E">
        <w:t xml:space="preserve">The first mode effective period </w:t>
      </w:r>
      <w:r w:rsidRPr="00E60A1F">
        <w:rPr>
          <w:i/>
        </w:rPr>
        <w:t>T</w:t>
      </w:r>
      <w:r w:rsidRPr="00E60A1F">
        <w:rPr>
          <w:vertAlign w:val="subscript"/>
        </w:rPr>
        <w:t>eff 1</w:t>
      </w:r>
      <w:r w:rsidRPr="00132C1E">
        <w:t xml:space="preserve"> in the direction under consideration for structures with velocity-dependent energy dissipation devices should be calculated with Formula (D.3)</w:t>
      </w:r>
      <w:r w:rsidR="008D1E9D" w:rsidRPr="00870D59">
        <w:t>.</w:t>
      </w:r>
    </w:p>
    <w:p w14:paraId="563E9280" w14:textId="055D9DF8" w:rsidR="00A41C92" w:rsidRDefault="009B5CEC" w:rsidP="00A41C92">
      <w:pPr>
        <w:pStyle w:val="Formula"/>
        <w:spacing w:before="240"/>
      </w:pPr>
      <m:oMath>
        <m:sSub>
          <m:sSubPr>
            <m:ctrlPr>
              <w:rPr>
                <w:rFonts w:ascii="Cambria Math" w:hAnsi="Cambria Math"/>
              </w:rPr>
            </m:ctrlPr>
          </m:sSubPr>
          <m:e>
            <m:r>
              <w:rPr>
                <w:rFonts w:ascii="Cambria Math" w:hAnsi="Cambria Math"/>
              </w:rPr>
              <m:t>T</m:t>
            </m:r>
          </m:e>
          <m:sub>
            <m:r>
              <m:rPr>
                <m:sty m:val="p"/>
              </m:rPr>
              <w:rPr>
                <w:rFonts w:ascii="Cambria Math" w:hAnsi="Cambria Math"/>
              </w:rPr>
              <m:t>eff 1</m:t>
            </m:r>
          </m:sub>
        </m:sSub>
        <m:r>
          <w:rPr>
            <w:rFonts w:ascii="Cambria Math" w:hAnsi="Cambria Math"/>
          </w:rPr>
          <m:t>=</m:t>
        </m:r>
        <m:sSub>
          <m:sSubPr>
            <m:ctrlPr>
              <w:rPr>
                <w:rFonts w:ascii="Cambria Math" w:hAnsi="Cambria Math"/>
              </w:rPr>
            </m:ctrlPr>
          </m:sSubPr>
          <m:e>
            <m:r>
              <w:rPr>
                <w:rFonts w:ascii="Cambria Math" w:hAnsi="Cambria Math"/>
              </w:rPr>
              <m:t>T</m:t>
            </m:r>
          </m:e>
          <m:sub>
            <m:r>
              <w:rPr>
                <w:rFonts w:ascii="Cambria Math" w:hAnsi="Cambria Math"/>
              </w:rPr>
              <m:t>1</m:t>
            </m:r>
          </m:sub>
        </m:sSub>
        <m:rad>
          <m:radPr>
            <m:degHide m:val="1"/>
            <m:ctrlPr>
              <w:rPr>
                <w:rFonts w:ascii="Cambria Math" w:hAnsi="Cambria Math"/>
              </w:rPr>
            </m:ctrlPr>
          </m:radPr>
          <m:deg/>
          <m:e>
            <m:f>
              <m:fPr>
                <m:ctrlPr>
                  <w:rPr>
                    <w:rFonts w:ascii="Cambria Math" w:hAnsi="Cambria Math"/>
                  </w:rPr>
                </m:ctrlPr>
              </m:fPr>
              <m:num>
                <m:sSub>
                  <m:sSubPr>
                    <m:ctrlPr>
                      <w:rPr>
                        <w:rFonts w:ascii="Cambria Math" w:hAnsi="Cambria Math"/>
                      </w:rPr>
                    </m:ctrlPr>
                  </m:sSubPr>
                  <m:e>
                    <m:r>
                      <w:rPr>
                        <w:rFonts w:ascii="Cambria Math" w:hAnsi="Cambria Math"/>
                      </w:rPr>
                      <m:t>μ</m:t>
                    </m:r>
                  </m:e>
                  <m:sub>
                    <m:r>
                      <m:rPr>
                        <m:sty m:val="p"/>
                      </m:rPr>
                      <w:rPr>
                        <w:rFonts w:ascii="Cambria Math" w:hAnsi="Cambria Math"/>
                      </w:rPr>
                      <m:t>f</m:t>
                    </m:r>
                  </m:sub>
                </m:sSub>
              </m:num>
              <m:den>
                <m:r>
                  <w:rPr>
                    <w:rFonts w:ascii="Cambria Math" w:hAnsi="Cambria Math"/>
                  </w:rPr>
                  <m:t>1+</m:t>
                </m:r>
                <m:d>
                  <m:dPr>
                    <m:ctrlPr>
                      <w:rPr>
                        <w:rFonts w:ascii="Cambria Math" w:hAnsi="Cambria Math"/>
                      </w:rPr>
                    </m:ctrlPr>
                  </m:dPr>
                  <m:e>
                    <m:sSub>
                      <m:sSubPr>
                        <m:ctrlPr>
                          <w:rPr>
                            <w:rFonts w:ascii="Cambria Math" w:hAnsi="Cambria Math"/>
                          </w:rPr>
                        </m:ctrlPr>
                      </m:sSubPr>
                      <m:e>
                        <m:r>
                          <w:rPr>
                            <w:rFonts w:ascii="Cambria Math" w:hAnsi="Cambria Math"/>
                          </w:rPr>
                          <m:t>μ</m:t>
                        </m:r>
                      </m:e>
                      <m:sub>
                        <m:r>
                          <m:rPr>
                            <m:sty m:val="p"/>
                          </m:rPr>
                          <w:rPr>
                            <w:rFonts w:ascii="Cambria Math" w:hAnsi="Cambria Math"/>
                          </w:rPr>
                          <m:t>f</m:t>
                        </m:r>
                      </m:sub>
                    </m:sSub>
                    <m:r>
                      <w:rPr>
                        <w:rFonts w:ascii="Cambria Math" w:hAnsi="Cambria Math"/>
                      </w:rPr>
                      <m:t>-1</m:t>
                    </m:r>
                  </m:e>
                </m:d>
                <m:d>
                  <m:dPr>
                    <m:ctrlPr>
                      <w:rPr>
                        <w:rFonts w:ascii="Cambria Math" w:hAnsi="Cambria Math"/>
                      </w:rPr>
                    </m:ctrlPr>
                  </m:dPr>
                  <m:e>
                    <m:r>
                      <w:rPr>
                        <w:rFonts w:ascii="Cambria Math" w:hAnsi="Cambria Math"/>
                      </w:rPr>
                      <m:t>2</m:t>
                    </m:r>
                    <m:f>
                      <m:fPr>
                        <m:type m:val="lin"/>
                        <m:ctrlPr>
                          <w:rPr>
                            <w:rFonts w:ascii="Cambria Math" w:hAnsi="Cambria Math"/>
                          </w:rPr>
                        </m:ctrlPr>
                      </m:fPr>
                      <m:num>
                        <m:sSub>
                          <m:sSubPr>
                            <m:ctrlPr>
                              <w:rPr>
                                <w:rFonts w:ascii="Cambria Math" w:hAnsi="Cambria Math"/>
                              </w:rPr>
                            </m:ctrlPr>
                          </m:sSubPr>
                          <m:e>
                            <m:r>
                              <w:rPr>
                                <w:rFonts w:ascii="Cambria Math" w:hAnsi="Cambria Math"/>
                              </w:rPr>
                              <m:t>ξ</m:t>
                            </m:r>
                          </m:e>
                          <m:sub>
                            <m:r>
                              <m:rPr>
                                <m:sty m:val="p"/>
                              </m:rPr>
                              <w:rPr>
                                <w:rFonts w:ascii="Cambria Math" w:hAnsi="Cambria Math"/>
                              </w:rPr>
                              <m:t>V</m:t>
                            </m:r>
                            <m:r>
                              <w:rPr>
                                <w:rFonts w:ascii="Cambria Math" w:hAnsi="Cambria Math"/>
                              </w:rPr>
                              <m:t>1</m:t>
                            </m:r>
                          </m:sub>
                        </m:sSub>
                      </m:num>
                      <m:den>
                        <m:sSub>
                          <m:sSubPr>
                            <m:ctrlPr>
                              <w:rPr>
                                <w:rFonts w:ascii="Cambria Math" w:hAnsi="Cambria Math"/>
                              </w:rPr>
                            </m:ctrlPr>
                          </m:sSubPr>
                          <m:e>
                            <m:r>
                              <w:rPr>
                                <w:rFonts w:ascii="Cambria Math" w:hAnsi="Cambria Math"/>
                              </w:rPr>
                              <m:t>η</m:t>
                            </m:r>
                          </m:e>
                          <m:sub>
                            <m:r>
                              <m:rPr>
                                <m:sty m:val="p"/>
                              </m:rPr>
                              <w:rPr>
                                <w:rFonts w:ascii="Cambria Math" w:hAnsi="Cambria Math"/>
                              </w:rPr>
                              <m:t>loss</m:t>
                            </m:r>
                          </m:sub>
                        </m:sSub>
                      </m:den>
                    </m:f>
                  </m:e>
                </m:d>
              </m:den>
            </m:f>
          </m:e>
        </m:rad>
      </m:oMath>
      <w:r w:rsidR="00A41C92" w:rsidRPr="00870D59">
        <w:tab/>
        <w:t>(</w:t>
      </w:r>
      <w:r w:rsidR="00A41C92">
        <w:t>D</w:t>
      </w:r>
      <w:r w:rsidR="00A41C92" w:rsidRPr="00870D59">
        <w:t>.</w:t>
      </w:r>
      <w:r w:rsidR="00A41C92">
        <w:t>3</w:t>
      </w:r>
      <w:r w:rsidR="00A41C92" w:rsidRPr="00870D59">
        <w:t>)</w:t>
      </w:r>
    </w:p>
    <w:p w14:paraId="39871E07" w14:textId="69BD5047" w:rsidR="00A41C92" w:rsidRPr="001B2671" w:rsidRDefault="00A41C92" w:rsidP="00806F65">
      <w:pPr>
        <w:pStyle w:val="Text"/>
      </w:pPr>
      <w:r>
        <w:t xml:space="preserve">where </w:t>
      </w:r>
      <w:r w:rsidRPr="00FD17CF">
        <w:rPr>
          <w:rFonts w:ascii="Symbol" w:eastAsia="Symbol" w:hAnsi="Symbol" w:cs="Symbol"/>
          <w:i/>
        </w:rPr>
        <w:t></w:t>
      </w:r>
      <w:r w:rsidRPr="00A20A85">
        <w:rPr>
          <w:vertAlign w:val="subscript"/>
        </w:rPr>
        <w:t>V1</w:t>
      </w:r>
      <w:r>
        <w:t xml:space="preserve"> </w:t>
      </w:r>
      <w:r w:rsidRPr="00A20A85">
        <w:t>is the component of the effective damping of the structure in the direction of interest due to viscous dissipation of energy by velocity-dependent energy dissipation devices, at or just below the yield displacement</w:t>
      </w:r>
      <w:r w:rsidRPr="00A20A85">
        <w:rPr>
          <w:i/>
        </w:rPr>
        <w:t xml:space="preserve"> </w:t>
      </w:r>
      <w:r w:rsidRPr="00A20A85">
        <w:t>of the main structural system, calculated with Formula (D.5).</w:t>
      </w:r>
    </w:p>
    <w:p w14:paraId="407FD58E" w14:textId="77777777" w:rsidR="00A41C92" w:rsidRPr="002144A0" w:rsidRDefault="00A41C92" w:rsidP="00A41C92">
      <w:pPr>
        <w:pStyle w:val="a3"/>
        <w:spacing w:before="60"/>
      </w:pPr>
      <w:bookmarkStart w:id="11173" w:name="_Toc50150720"/>
      <w:bookmarkStart w:id="11174" w:name="_Toc70887153"/>
      <w:bookmarkStart w:id="11175" w:name="_Toc108342737"/>
      <w:bookmarkStart w:id="11176" w:name="_Toc120543824"/>
      <w:bookmarkStart w:id="11177" w:name="_Toc134198246"/>
      <w:bookmarkStart w:id="11178" w:name="_Toc16927730"/>
      <w:r w:rsidRPr="002144A0">
        <w:t>Effective damping</w:t>
      </w:r>
      <w:bookmarkEnd w:id="11173"/>
      <w:bookmarkEnd w:id="11174"/>
      <w:bookmarkEnd w:id="11175"/>
      <w:bookmarkEnd w:id="11176"/>
      <w:bookmarkEnd w:id="11177"/>
      <w:r w:rsidRPr="002144A0">
        <w:t xml:space="preserve"> </w:t>
      </w:r>
      <w:bookmarkEnd w:id="11178"/>
    </w:p>
    <w:p w14:paraId="03307877" w14:textId="16166352" w:rsidR="00A41C92" w:rsidRPr="00132C1E" w:rsidRDefault="00A41C92" w:rsidP="0080187E">
      <w:pPr>
        <w:pStyle w:val="Clause"/>
        <w:numPr>
          <w:ilvl w:val="0"/>
          <w:numId w:val="563"/>
        </w:numPr>
      </w:pPr>
      <w:r w:rsidRPr="004F25D7">
        <w:t>The first</w:t>
      </w:r>
      <w:r w:rsidRPr="00C52095">
        <w:t xml:space="preserve"> mode effective damping </w:t>
      </w:r>
      <w:r w:rsidRPr="00646639">
        <w:rPr>
          <w:rFonts w:ascii="Symbol" w:eastAsia="Symbol" w:hAnsi="Symbol" w:cs="Symbol"/>
          <w:i/>
        </w:rPr>
        <w:t></w:t>
      </w:r>
      <w:r w:rsidRPr="00646639">
        <w:rPr>
          <w:vertAlign w:val="subscript"/>
        </w:rPr>
        <w:t>eff 1</w:t>
      </w:r>
      <w:r w:rsidRPr="007754C9">
        <w:t xml:space="preserve"> </w:t>
      </w:r>
      <w:r w:rsidRPr="00132C1E">
        <w:t>in the direction under consideration for structures with velocity</w:t>
      </w:r>
      <w:r w:rsidR="00806F65">
        <w:t>-</w:t>
      </w:r>
      <w:r w:rsidRPr="00132C1E">
        <w:t>dependent energy dissipation devices should be calculated with Formula (D.4).</w:t>
      </w:r>
    </w:p>
    <w:p w14:paraId="7903C236" w14:textId="0D036F95" w:rsidR="00A41C92" w:rsidRDefault="009B5CEC" w:rsidP="00A41C92">
      <w:pPr>
        <w:pStyle w:val="Formula"/>
        <w:spacing w:before="240"/>
      </w:pPr>
      <m:oMath>
        <m:sSub>
          <m:sSubPr>
            <m:ctrlPr>
              <w:rPr>
                <w:rFonts w:ascii="Cambria Math" w:hAnsi="Cambria Math"/>
              </w:rPr>
            </m:ctrlPr>
          </m:sSubPr>
          <m:e>
            <m:r>
              <w:rPr>
                <w:rFonts w:ascii="Cambria Math" w:hAnsi="Cambria Math"/>
              </w:rPr>
              <m:t>ξ</m:t>
            </m:r>
          </m:e>
          <m:sub>
            <m:r>
              <m:rPr>
                <m:sty m:val="p"/>
              </m:rPr>
              <w:rPr>
                <w:rFonts w:ascii="Cambria Math" w:hAnsi="Cambria Math"/>
              </w:rPr>
              <m:t>eff1</m:t>
            </m:r>
          </m:sub>
        </m:sSub>
        <m:r>
          <w:rPr>
            <w:rFonts w:ascii="Cambria Math" w:hAnsi="Cambria Math"/>
          </w:rPr>
          <m:t>=</m:t>
        </m:r>
        <m:sSub>
          <m:sSubPr>
            <m:ctrlPr>
              <w:rPr>
                <w:rFonts w:ascii="Cambria Math" w:hAnsi="Cambria Math"/>
              </w:rPr>
            </m:ctrlPr>
          </m:sSubPr>
          <m:e>
            <m:r>
              <w:rPr>
                <w:rFonts w:ascii="Cambria Math" w:hAnsi="Cambria Math"/>
              </w:rPr>
              <m:t>ξ</m:t>
            </m:r>
          </m:e>
          <m:sub>
            <m:r>
              <w:rPr>
                <w:rFonts w:ascii="Cambria Math" w:hAnsi="Cambria Math"/>
              </w:rPr>
              <m:t>I</m:t>
            </m:r>
          </m:sub>
        </m:sSub>
        <m:f>
          <m:fPr>
            <m:ctrlPr>
              <w:rPr>
                <w:rFonts w:ascii="Cambria Math" w:hAnsi="Cambria Math"/>
              </w:rPr>
            </m:ctrlPr>
          </m:fPr>
          <m:num>
            <m:d>
              <m:dPr>
                <m:ctrlPr>
                  <w:rPr>
                    <w:rFonts w:ascii="Cambria Math" w:hAnsi="Cambria Math"/>
                  </w:rPr>
                </m:ctrlPr>
              </m:dPr>
              <m:e>
                <m:f>
                  <m:fPr>
                    <m:ctrlPr>
                      <w:rPr>
                        <w:rFonts w:ascii="Cambria Math" w:hAnsi="Cambria Math"/>
                      </w:rPr>
                    </m:ctrlPr>
                  </m:fPr>
                  <m:num>
                    <m:sSub>
                      <m:sSubPr>
                        <m:ctrlPr>
                          <w:rPr>
                            <w:rFonts w:ascii="Cambria Math" w:hAnsi="Cambria Math"/>
                          </w:rPr>
                        </m:ctrlPr>
                      </m:sSubPr>
                      <m:e>
                        <m:r>
                          <w:rPr>
                            <w:rFonts w:ascii="Cambria Math" w:hAnsi="Cambria Math"/>
                          </w:rPr>
                          <m:t>T</m:t>
                        </m:r>
                      </m:e>
                      <m:sub>
                        <m:r>
                          <w:rPr>
                            <w:rFonts w:ascii="Cambria Math" w:hAnsi="Cambria Math"/>
                          </w:rPr>
                          <m:t>1</m:t>
                        </m:r>
                      </m:sub>
                    </m:sSub>
                  </m:num>
                  <m:den>
                    <m:sSub>
                      <m:sSubPr>
                        <m:ctrlPr>
                          <w:rPr>
                            <w:rFonts w:ascii="Cambria Math" w:hAnsi="Cambria Math"/>
                          </w:rPr>
                        </m:ctrlPr>
                      </m:sSubPr>
                      <m:e>
                        <m:r>
                          <w:rPr>
                            <w:rFonts w:ascii="Cambria Math" w:hAnsi="Cambria Math"/>
                          </w:rPr>
                          <m:t>T</m:t>
                        </m:r>
                      </m:e>
                      <m:sub>
                        <m:r>
                          <m:rPr>
                            <m:sty m:val="p"/>
                          </m:rPr>
                          <w:rPr>
                            <w:rFonts w:ascii="Cambria Math" w:hAnsi="Cambria Math"/>
                          </w:rPr>
                          <m:t>p</m:t>
                        </m:r>
                        <m:r>
                          <w:rPr>
                            <w:rFonts w:ascii="Cambria Math" w:hAnsi="Cambria Math"/>
                          </w:rPr>
                          <m:t>1</m:t>
                        </m:r>
                      </m:sub>
                    </m:sSub>
                  </m:den>
                </m:f>
              </m:e>
            </m:d>
          </m:num>
          <m:den>
            <m:rad>
              <m:radPr>
                <m:degHide m:val="1"/>
                <m:ctrlPr>
                  <w:rPr>
                    <w:rFonts w:ascii="Cambria Math" w:hAnsi="Cambria Math"/>
                  </w:rPr>
                </m:ctrlPr>
              </m:radPr>
              <m:deg/>
              <m:e>
                <m:r>
                  <w:rPr>
                    <w:rFonts w:ascii="Cambria Math" w:hAnsi="Cambria Math"/>
                  </w:rPr>
                  <m:t>1+</m:t>
                </m:r>
                <m:d>
                  <m:dPr>
                    <m:ctrlPr>
                      <w:rPr>
                        <w:rFonts w:ascii="Cambria Math" w:hAnsi="Cambria Math"/>
                      </w:rPr>
                    </m:ctrlPr>
                  </m:dPr>
                  <m:e>
                    <m:sSub>
                      <m:sSubPr>
                        <m:ctrlPr>
                          <w:rPr>
                            <w:rFonts w:ascii="Cambria Math" w:hAnsi="Cambria Math"/>
                          </w:rPr>
                        </m:ctrlPr>
                      </m:sSubPr>
                      <m:e>
                        <m:r>
                          <w:rPr>
                            <w:rFonts w:ascii="Cambria Math" w:hAnsi="Cambria Math"/>
                          </w:rPr>
                          <m:t>μ</m:t>
                        </m:r>
                      </m:e>
                      <m:sub>
                        <m:r>
                          <m:rPr>
                            <m:sty m:val="p"/>
                          </m:rPr>
                          <w:rPr>
                            <w:rFonts w:ascii="Cambria Math" w:hAnsi="Cambria Math"/>
                          </w:rPr>
                          <m:t>f</m:t>
                        </m:r>
                      </m:sub>
                    </m:sSub>
                    <m:r>
                      <w:rPr>
                        <w:rFonts w:ascii="Cambria Math" w:hAnsi="Cambria Math"/>
                      </w:rPr>
                      <m:t>-1</m:t>
                    </m:r>
                  </m:e>
                </m:d>
                <m:d>
                  <m:dPr>
                    <m:ctrlPr>
                      <w:rPr>
                        <w:rFonts w:ascii="Cambria Math" w:hAnsi="Cambria Math"/>
                      </w:rPr>
                    </m:ctrlPr>
                  </m:dPr>
                  <m:e>
                    <m:f>
                      <m:fPr>
                        <m:ctrlPr>
                          <w:rPr>
                            <w:rFonts w:ascii="Cambria Math" w:hAnsi="Cambria Math"/>
                          </w:rPr>
                        </m:ctrlPr>
                      </m:fPr>
                      <m:num>
                        <m:r>
                          <w:rPr>
                            <w:rFonts w:ascii="Cambria Math" w:hAnsi="Cambria Math"/>
                          </w:rPr>
                          <m:t>2</m:t>
                        </m:r>
                        <m:sSub>
                          <m:sSubPr>
                            <m:ctrlPr>
                              <w:rPr>
                                <w:rFonts w:ascii="Cambria Math" w:hAnsi="Cambria Math"/>
                              </w:rPr>
                            </m:ctrlPr>
                          </m:sSubPr>
                          <m:e>
                            <m:r>
                              <w:rPr>
                                <w:rFonts w:ascii="Cambria Math" w:hAnsi="Cambria Math"/>
                              </w:rPr>
                              <m:t>ξ</m:t>
                            </m:r>
                          </m:e>
                          <m:sub>
                            <m:r>
                              <m:rPr>
                                <m:sty m:val="p"/>
                              </m:rPr>
                              <w:rPr>
                                <w:rFonts w:ascii="Cambria Math" w:hAnsi="Cambria Math"/>
                              </w:rPr>
                              <m:t>V1</m:t>
                            </m:r>
                          </m:sub>
                        </m:sSub>
                      </m:num>
                      <m:den>
                        <m:sSub>
                          <m:sSubPr>
                            <m:ctrlPr>
                              <w:rPr>
                                <w:rFonts w:ascii="Cambria Math" w:hAnsi="Cambria Math"/>
                              </w:rPr>
                            </m:ctrlPr>
                          </m:sSubPr>
                          <m:e>
                            <m:r>
                              <w:rPr>
                                <w:rFonts w:ascii="Cambria Math" w:hAnsi="Cambria Math"/>
                              </w:rPr>
                              <m:t>η</m:t>
                            </m:r>
                          </m:e>
                          <m:sub>
                            <m:r>
                              <m:rPr>
                                <m:sty m:val="p"/>
                              </m:rPr>
                              <w:rPr>
                                <w:rFonts w:ascii="Cambria Math" w:hAnsi="Cambria Math"/>
                              </w:rPr>
                              <m:t>loss</m:t>
                            </m:r>
                          </m:sub>
                        </m:sSub>
                      </m:den>
                    </m:f>
                  </m:e>
                </m:d>
              </m:e>
            </m:rad>
          </m:den>
        </m:f>
        <m:r>
          <w:rPr>
            <w:rFonts w:ascii="Cambria Math" w:hAnsi="Cambria Math"/>
          </w:rPr>
          <m:t>+</m:t>
        </m:r>
        <m:sSub>
          <m:sSubPr>
            <m:ctrlPr>
              <w:rPr>
                <w:rFonts w:ascii="Cambria Math" w:hAnsi="Cambria Math"/>
              </w:rPr>
            </m:ctrlPr>
          </m:sSubPr>
          <m:e>
            <m:r>
              <w:rPr>
                <w:rFonts w:ascii="Cambria Math" w:hAnsi="Cambria Math"/>
              </w:rPr>
              <m:t>ξ</m:t>
            </m:r>
          </m:e>
          <m:sub>
            <m:r>
              <m:rPr>
                <m:sty m:val="p"/>
              </m:rPr>
              <w:rPr>
                <w:rFonts w:ascii="Cambria Math" w:hAnsi="Cambria Math"/>
              </w:rPr>
              <m:t>V1</m:t>
            </m:r>
          </m:sub>
        </m:sSub>
        <m:sSup>
          <m:sSupPr>
            <m:ctrlPr>
              <w:rPr>
                <w:rFonts w:ascii="Cambria Math" w:hAnsi="Cambria Math"/>
              </w:rPr>
            </m:ctrlPr>
          </m:sSupPr>
          <m:e>
            <m:d>
              <m:dPr>
                <m:begChr m:val="["/>
                <m:endChr m:val="]"/>
                <m:ctrlPr>
                  <w:rPr>
                    <w:rFonts w:ascii="Cambria Math" w:hAnsi="Cambria Math"/>
                  </w:rPr>
                </m:ctrlPr>
              </m:dPr>
              <m:e>
                <m:f>
                  <m:fPr>
                    <m:ctrlPr>
                      <w:rPr>
                        <w:rFonts w:ascii="Cambria Math" w:hAnsi="Cambria Math"/>
                      </w:rPr>
                    </m:ctrlPr>
                  </m:fPr>
                  <m:num>
                    <m:sSub>
                      <m:sSubPr>
                        <m:ctrlPr>
                          <w:rPr>
                            <w:rFonts w:ascii="Cambria Math" w:hAnsi="Cambria Math"/>
                          </w:rPr>
                        </m:ctrlPr>
                      </m:sSubPr>
                      <m:e>
                        <m:r>
                          <w:rPr>
                            <w:rFonts w:ascii="Cambria Math" w:hAnsi="Cambria Math"/>
                          </w:rPr>
                          <m:t>μ</m:t>
                        </m:r>
                      </m:e>
                      <m:sub>
                        <m:r>
                          <m:rPr>
                            <m:sty m:val="p"/>
                          </m:rPr>
                          <w:rPr>
                            <w:rFonts w:ascii="Cambria Math" w:hAnsi="Cambria Math"/>
                          </w:rPr>
                          <m:t>f</m:t>
                        </m:r>
                      </m:sub>
                    </m:sSub>
                  </m:num>
                  <m:den>
                    <m:r>
                      <w:rPr>
                        <w:rFonts w:ascii="Cambria Math" w:hAnsi="Cambria Math"/>
                      </w:rPr>
                      <m:t>1+</m:t>
                    </m:r>
                    <m:d>
                      <m:dPr>
                        <m:ctrlPr>
                          <w:rPr>
                            <w:rFonts w:ascii="Cambria Math" w:hAnsi="Cambria Math"/>
                          </w:rPr>
                        </m:ctrlPr>
                      </m:dPr>
                      <m:e>
                        <m:sSub>
                          <m:sSubPr>
                            <m:ctrlPr>
                              <w:rPr>
                                <w:rFonts w:ascii="Cambria Math" w:hAnsi="Cambria Math"/>
                              </w:rPr>
                            </m:ctrlPr>
                          </m:sSubPr>
                          <m:e>
                            <m:r>
                              <w:rPr>
                                <w:rFonts w:ascii="Cambria Math" w:hAnsi="Cambria Math"/>
                              </w:rPr>
                              <m:t>μ</m:t>
                            </m:r>
                          </m:e>
                          <m:sub>
                            <m:r>
                              <m:rPr>
                                <m:sty m:val="p"/>
                              </m:rPr>
                              <w:rPr>
                                <w:rFonts w:ascii="Cambria Math" w:hAnsi="Cambria Math"/>
                              </w:rPr>
                              <m:t>f</m:t>
                            </m:r>
                          </m:sub>
                        </m:sSub>
                        <m:r>
                          <w:rPr>
                            <w:rFonts w:ascii="Cambria Math" w:hAnsi="Cambria Math"/>
                          </w:rPr>
                          <m:t>-1</m:t>
                        </m:r>
                      </m:e>
                    </m:d>
                    <m:d>
                      <m:dPr>
                        <m:ctrlPr>
                          <w:rPr>
                            <w:rFonts w:ascii="Cambria Math" w:hAnsi="Cambria Math"/>
                          </w:rPr>
                        </m:ctrlPr>
                      </m:dPr>
                      <m:e>
                        <m:f>
                          <m:fPr>
                            <m:ctrlPr>
                              <w:rPr>
                                <w:rFonts w:ascii="Cambria Math" w:hAnsi="Cambria Math"/>
                              </w:rPr>
                            </m:ctrlPr>
                          </m:fPr>
                          <m:num>
                            <m:r>
                              <w:rPr>
                                <w:rFonts w:ascii="Cambria Math" w:hAnsi="Cambria Math"/>
                              </w:rPr>
                              <m:t>2</m:t>
                            </m:r>
                            <m:sSub>
                              <m:sSubPr>
                                <m:ctrlPr>
                                  <w:rPr>
                                    <w:rFonts w:ascii="Cambria Math" w:hAnsi="Cambria Math"/>
                                  </w:rPr>
                                </m:ctrlPr>
                              </m:sSubPr>
                              <m:e>
                                <m:r>
                                  <w:rPr>
                                    <w:rFonts w:ascii="Cambria Math" w:hAnsi="Cambria Math"/>
                                  </w:rPr>
                                  <m:t>ξ</m:t>
                                </m:r>
                              </m:e>
                              <m:sub>
                                <m:r>
                                  <m:rPr>
                                    <m:sty m:val="p"/>
                                  </m:rPr>
                                  <w:rPr>
                                    <w:rFonts w:ascii="Cambria Math" w:hAnsi="Cambria Math"/>
                                  </w:rPr>
                                  <m:t>V1</m:t>
                                </m:r>
                              </m:sub>
                            </m:sSub>
                          </m:num>
                          <m:den>
                            <m:sSub>
                              <m:sSubPr>
                                <m:ctrlPr>
                                  <w:rPr>
                                    <w:rFonts w:ascii="Cambria Math" w:hAnsi="Cambria Math"/>
                                  </w:rPr>
                                </m:ctrlPr>
                              </m:sSubPr>
                              <m:e>
                                <m:r>
                                  <w:rPr>
                                    <w:rFonts w:ascii="Cambria Math" w:hAnsi="Cambria Math"/>
                                  </w:rPr>
                                  <m:t>η</m:t>
                                </m:r>
                              </m:e>
                              <m:sub>
                                <m:r>
                                  <m:rPr>
                                    <m:sty m:val="p"/>
                                  </m:rPr>
                                  <w:rPr>
                                    <w:rFonts w:ascii="Cambria Math" w:hAnsi="Cambria Math"/>
                                  </w:rPr>
                                  <m:t>loss</m:t>
                                </m:r>
                              </m:sub>
                            </m:sSub>
                          </m:den>
                        </m:f>
                      </m:e>
                    </m:d>
                  </m:den>
                </m:f>
              </m:e>
            </m:d>
          </m:e>
          <m:sup>
            <m:r>
              <w:rPr>
                <w:rFonts w:ascii="Cambria Math" w:hAnsi="Cambria Math"/>
              </w:rPr>
              <m:t>1-0,5a</m:t>
            </m:r>
          </m:sup>
        </m:sSup>
        <m:r>
          <w:rPr>
            <w:rFonts w:ascii="Cambria Math" w:hAnsi="Cambria Math"/>
          </w:rPr>
          <m:t>+</m:t>
        </m:r>
        <m:sSub>
          <m:sSubPr>
            <m:ctrlPr>
              <w:rPr>
                <w:rFonts w:ascii="Cambria Math" w:hAnsi="Cambria Math"/>
              </w:rPr>
            </m:ctrlPr>
          </m:sSubPr>
          <m:e>
            <m:r>
              <w:rPr>
                <w:rFonts w:ascii="Cambria Math" w:hAnsi="Cambria Math"/>
              </w:rPr>
              <m:t>ξ</m:t>
            </m:r>
          </m:e>
          <m:sub>
            <m:r>
              <m:rPr>
                <m:sty m:val="p"/>
              </m:rPr>
              <w:rPr>
                <w:rFonts w:ascii="Cambria Math" w:hAnsi="Cambria Math"/>
              </w:rPr>
              <m:t>H</m:t>
            </m:r>
          </m:sub>
        </m:sSub>
      </m:oMath>
      <w:r w:rsidR="00A41C92" w:rsidRPr="00870D59">
        <w:tab/>
        <w:t>(</w:t>
      </w:r>
      <w:r w:rsidR="00A41C92">
        <w:t>D</w:t>
      </w:r>
      <w:r w:rsidR="00A41C92" w:rsidRPr="00870D59">
        <w:t>.</w:t>
      </w:r>
      <w:r w:rsidR="00A41C92">
        <w:t>4</w:t>
      </w:r>
      <w:r w:rsidR="00A41C92" w:rsidRPr="00870D59">
        <w:t>)</w:t>
      </w:r>
    </w:p>
    <w:p w14:paraId="203E7F2A" w14:textId="4F0F1D6C" w:rsidR="00A41C92" w:rsidRPr="001B2671" w:rsidRDefault="00675EBA" w:rsidP="00806F65">
      <w:pPr>
        <w:pStyle w:val="Text"/>
      </w:pPr>
      <w:r>
        <w:t>where</w:t>
      </w:r>
    </w:p>
    <w:tbl>
      <w:tblPr>
        <w:tblW w:w="0" w:type="auto"/>
        <w:tblInd w:w="346" w:type="dxa"/>
        <w:tblLook w:val="04A0" w:firstRow="1" w:lastRow="0" w:firstColumn="1" w:lastColumn="0" w:noHBand="0" w:noVBand="1"/>
      </w:tblPr>
      <w:tblGrid>
        <w:gridCol w:w="1275"/>
        <w:gridCol w:w="7938"/>
      </w:tblGrid>
      <w:tr w:rsidR="00A41C92" w:rsidRPr="000F2AFF" w14:paraId="08BAF5FF" w14:textId="77777777" w:rsidTr="00BD628C">
        <w:tc>
          <w:tcPr>
            <w:tcW w:w="1275" w:type="dxa"/>
          </w:tcPr>
          <w:p w14:paraId="18A13751" w14:textId="6BF47439" w:rsidR="00A41C92" w:rsidRPr="00773100" w:rsidRDefault="00A41C92" w:rsidP="002061E5">
            <w:pPr>
              <w:spacing w:after="60"/>
              <w:jc w:val="left"/>
              <w:rPr>
                <w:rFonts w:eastAsia="Times New Roman" w:cs="Cambria"/>
                <w:color w:val="000000" w:themeColor="text1"/>
                <w:szCs w:val="20"/>
                <w:lang w:eastAsia="fr-FR"/>
              </w:rPr>
            </w:pPr>
            <w:r w:rsidRPr="00FD17CF">
              <w:rPr>
                <w:rFonts w:ascii="Symbol" w:eastAsia="Symbol" w:hAnsi="Symbol" w:cs="Symbol"/>
                <w:i/>
                <w:iCs/>
              </w:rPr>
              <w:t></w:t>
            </w:r>
            <w:r w:rsidRPr="00FD17CF">
              <w:rPr>
                <w:vertAlign w:val="subscript"/>
              </w:rPr>
              <w:t>V1</w:t>
            </w:r>
          </w:p>
        </w:tc>
        <w:tc>
          <w:tcPr>
            <w:tcW w:w="7938" w:type="dxa"/>
          </w:tcPr>
          <w:p w14:paraId="7BD3D5B8" w14:textId="32712869" w:rsidR="00A41C92" w:rsidRPr="005C7E1C" w:rsidRDefault="00A41C92" w:rsidP="002061E5">
            <w:pPr>
              <w:pStyle w:val="Listofsymbols"/>
              <w:tabs>
                <w:tab w:val="clear" w:pos="1134"/>
                <w:tab w:val="left" w:pos="1347"/>
              </w:tabs>
              <w:ind w:left="0" w:firstLine="0"/>
              <w:rPr>
                <w:rFonts w:eastAsia="Times New Roman"/>
                <w:szCs w:val="22"/>
              </w:rPr>
            </w:pPr>
            <w:r w:rsidRPr="00FD17CF">
              <w:t xml:space="preserve">as </w:t>
            </w:r>
            <w:r w:rsidRPr="00806F65">
              <w:t>in D3.1(1);</w:t>
            </w:r>
          </w:p>
        </w:tc>
      </w:tr>
      <w:tr w:rsidR="00A41C92" w:rsidRPr="000F2AFF" w14:paraId="0A67EF00" w14:textId="77777777" w:rsidTr="00BD628C">
        <w:tc>
          <w:tcPr>
            <w:tcW w:w="1275" w:type="dxa"/>
          </w:tcPr>
          <w:p w14:paraId="077BFEBF" w14:textId="573DA1A1" w:rsidR="00A41C92" w:rsidRPr="00773100" w:rsidRDefault="00A41C92" w:rsidP="002061E5">
            <w:pPr>
              <w:spacing w:after="60"/>
              <w:jc w:val="left"/>
              <w:rPr>
                <w:rFonts w:eastAsia="Times New Roman" w:cs="Cambria"/>
                <w:color w:val="000000" w:themeColor="text1"/>
                <w:szCs w:val="20"/>
                <w:lang w:eastAsia="fr-FR"/>
              </w:rPr>
            </w:pPr>
            <w:r w:rsidRPr="00196951">
              <w:rPr>
                <w:rFonts w:ascii="Symbol" w:eastAsia="Symbol" w:hAnsi="Symbol" w:cs="Symbol"/>
                <w:i/>
              </w:rPr>
              <w:t></w:t>
            </w:r>
            <w:r w:rsidRPr="002144A0">
              <w:rPr>
                <w:vertAlign w:val="subscript"/>
              </w:rPr>
              <w:t>I</w:t>
            </w:r>
          </w:p>
        </w:tc>
        <w:tc>
          <w:tcPr>
            <w:tcW w:w="7938" w:type="dxa"/>
          </w:tcPr>
          <w:p w14:paraId="3AE8A753" w14:textId="1115267D" w:rsidR="00A41C92" w:rsidRPr="005C7E1C" w:rsidRDefault="00A41C92" w:rsidP="002061E5">
            <w:pPr>
              <w:pStyle w:val="Listofsymbols"/>
              <w:tabs>
                <w:tab w:val="clear" w:pos="1134"/>
                <w:tab w:val="left" w:pos="1347"/>
              </w:tabs>
              <w:ind w:left="0" w:firstLine="0"/>
              <w:rPr>
                <w:rFonts w:eastAsia="Times New Roman"/>
                <w:szCs w:val="22"/>
              </w:rPr>
            </w:pPr>
            <w:r w:rsidRPr="00132C1E">
              <w:t xml:space="preserve">is the component of effective damping of the structure due to inherent dissipation of energy by the main structural system and ancillary components, exclusive of energy dissipation system, at or just below its yield </w:t>
            </w:r>
            <w:r w:rsidRPr="00806F65">
              <w:t>displacement</w:t>
            </w:r>
            <w:r w:rsidR="00806F65">
              <w:t>.</w:t>
            </w:r>
            <w:r w:rsidRPr="00806F65">
              <w:t xml:space="preserve"> </w:t>
            </w:r>
            <w:r w:rsidRPr="00806F65">
              <w:rPr>
                <w:rFonts w:ascii="Symbol" w:eastAsia="Symbol" w:hAnsi="Symbol" w:cs="Symbol"/>
                <w:i/>
              </w:rPr>
              <w:t></w:t>
            </w:r>
            <w:r w:rsidRPr="00806F65">
              <w:rPr>
                <w:vertAlign w:val="subscript"/>
              </w:rPr>
              <w:t>I</w:t>
            </w:r>
            <w:r w:rsidRPr="00806F65">
              <w:t xml:space="preserve"> is given in (3);</w:t>
            </w:r>
          </w:p>
        </w:tc>
      </w:tr>
      <w:tr w:rsidR="00A41C92" w:rsidRPr="000F2AFF" w14:paraId="0F1C6458" w14:textId="77777777" w:rsidTr="00BD628C">
        <w:tc>
          <w:tcPr>
            <w:tcW w:w="1275" w:type="dxa"/>
          </w:tcPr>
          <w:p w14:paraId="5048904A" w14:textId="6FF3F551" w:rsidR="00A41C92" w:rsidRPr="00773100" w:rsidRDefault="00A41C92" w:rsidP="002061E5">
            <w:pPr>
              <w:spacing w:after="60"/>
              <w:jc w:val="left"/>
              <w:rPr>
                <w:rFonts w:eastAsia="Times New Roman" w:cs="Cambria"/>
                <w:color w:val="000000" w:themeColor="text1"/>
                <w:szCs w:val="20"/>
                <w:lang w:eastAsia="fr-FR"/>
              </w:rPr>
            </w:pPr>
            <w:r w:rsidRPr="00132C1E">
              <w:rPr>
                <w:rFonts w:ascii="Symbol" w:eastAsia="Symbol" w:hAnsi="Symbol" w:cs="Symbol"/>
                <w:i/>
              </w:rPr>
              <w:t></w:t>
            </w:r>
            <w:r w:rsidRPr="00132C1E">
              <w:rPr>
                <w:vertAlign w:val="subscript"/>
              </w:rPr>
              <w:t>H</w:t>
            </w:r>
          </w:p>
        </w:tc>
        <w:tc>
          <w:tcPr>
            <w:tcW w:w="7938" w:type="dxa"/>
          </w:tcPr>
          <w:p w14:paraId="0AD4570E" w14:textId="2B4D706C" w:rsidR="00A41C92" w:rsidRPr="005C7E1C" w:rsidRDefault="00A41C92" w:rsidP="002061E5">
            <w:pPr>
              <w:pStyle w:val="Listofsymbols"/>
              <w:tabs>
                <w:tab w:val="clear" w:pos="1134"/>
                <w:tab w:val="left" w:pos="1347"/>
              </w:tabs>
              <w:ind w:left="0" w:firstLine="0"/>
              <w:rPr>
                <w:rFonts w:eastAsia="Times New Roman"/>
                <w:szCs w:val="22"/>
              </w:rPr>
            </w:pPr>
            <w:r w:rsidRPr="00132C1E">
              <w:t xml:space="preserve">is the component of effective damping of the structure in the direction of interest due to post-yield hysteretic behaviour of the primary seismic members of the main structural system at the ductility ratio </w:t>
            </w:r>
            <w:r w:rsidRPr="00132C1E">
              <w:rPr>
                <w:rFonts w:ascii="Symbol" w:eastAsia="Symbol" w:hAnsi="Symbol" w:cs="Symbol"/>
                <w:i/>
              </w:rPr>
              <w:t></w:t>
            </w:r>
            <w:r w:rsidRPr="00132C1E">
              <w:rPr>
                <w:vertAlign w:val="subscript"/>
              </w:rPr>
              <w:t>f</w:t>
            </w:r>
            <w:r w:rsidRPr="00132C1E">
              <w:t xml:space="preserve">; </w:t>
            </w:r>
            <w:r w:rsidRPr="00132C1E">
              <w:rPr>
                <w:rFonts w:ascii="Symbol" w:eastAsia="Symbol" w:hAnsi="Symbol" w:cs="Symbol"/>
                <w:i/>
              </w:rPr>
              <w:t></w:t>
            </w:r>
            <w:r w:rsidRPr="00132C1E">
              <w:rPr>
                <w:vertAlign w:val="subscript"/>
              </w:rPr>
              <w:t>H</w:t>
            </w:r>
            <w:r w:rsidRPr="00132C1E">
              <w:t xml:space="preserve"> is calculated with Formula (D.6).</w:t>
            </w:r>
          </w:p>
        </w:tc>
      </w:tr>
    </w:tbl>
    <w:p w14:paraId="5A751F24" w14:textId="6C8628D3" w:rsidR="00A41C92" w:rsidRPr="00132C1E" w:rsidRDefault="00A41C92" w:rsidP="00724E4E">
      <w:pPr>
        <w:pStyle w:val="Clause"/>
      </w:pPr>
      <w:r w:rsidRPr="00132C1E">
        <w:t>For structures with velocity</w:t>
      </w:r>
      <w:r w:rsidR="00806F65">
        <w:t>-</w:t>
      </w:r>
      <w:r w:rsidRPr="00132C1E">
        <w:t>dependent energy dissipation devices</w:t>
      </w:r>
      <w:r w:rsidR="00806F65">
        <w:t>,</w:t>
      </w:r>
      <w:r w:rsidRPr="00132C1E">
        <w:t xml:space="preserve"> </w:t>
      </w:r>
      <w:r w:rsidRPr="00F71D03">
        <w:rPr>
          <w:rFonts w:ascii="Symbol" w:eastAsia="Symbol" w:hAnsi="Symbol" w:cs="Symbol"/>
          <w:i/>
        </w:rPr>
        <w:t></w:t>
      </w:r>
      <w:r w:rsidRPr="00F71D03">
        <w:rPr>
          <w:vertAlign w:val="subscript"/>
        </w:rPr>
        <w:t>V1</w:t>
      </w:r>
      <w:r w:rsidRPr="00132C1E">
        <w:t xml:space="preserve"> in the direction under consideration should be calculated with Formula (D.5).</w:t>
      </w:r>
    </w:p>
    <w:p w14:paraId="56E6C989" w14:textId="5DE94D1F" w:rsidR="00A41C92" w:rsidRDefault="009B5CEC" w:rsidP="00A41C92">
      <w:pPr>
        <w:pStyle w:val="Formula"/>
        <w:spacing w:before="240"/>
      </w:pPr>
      <m:oMath>
        <m:sSub>
          <m:sSubPr>
            <m:ctrlPr>
              <w:rPr>
                <w:rFonts w:ascii="Cambria Math" w:hAnsi="Cambria Math"/>
              </w:rPr>
            </m:ctrlPr>
          </m:sSubPr>
          <m:e>
            <m:r>
              <w:rPr>
                <w:rFonts w:ascii="Cambria Math" w:hAnsi="Cambria Math"/>
              </w:rPr>
              <m:t>ξ</m:t>
            </m:r>
          </m:e>
          <m:sub>
            <m:r>
              <m:rPr>
                <m:sty m:val="p"/>
              </m:rPr>
              <w:rPr>
                <w:rFonts w:ascii="Cambria Math" w:hAnsi="Cambria Math"/>
              </w:rPr>
              <m:t>V1</m:t>
            </m:r>
          </m:sub>
        </m:sSub>
        <m:r>
          <w:rPr>
            <w:rFonts w:ascii="Cambria Math" w:hAnsi="Cambria Math"/>
          </w:rPr>
          <m:t>=</m:t>
        </m:r>
        <m:f>
          <m:fPr>
            <m:ctrlPr>
              <w:rPr>
                <w:rFonts w:ascii="Cambria Math" w:hAnsi="Cambria Math"/>
              </w:rPr>
            </m:ctrlPr>
          </m:fPr>
          <m:num>
            <m:nary>
              <m:naryPr>
                <m:chr m:val="∑"/>
                <m:limLoc m:val="undOvr"/>
                <m:supHide m:val="1"/>
                <m:ctrlPr>
                  <w:rPr>
                    <w:rFonts w:ascii="Cambria Math" w:hAnsi="Cambria Math"/>
                  </w:rPr>
                </m:ctrlPr>
              </m:naryPr>
              <m:sub>
                <m:r>
                  <m:rPr>
                    <m:sty m:val="p"/>
                  </m:rPr>
                  <w:rPr>
                    <w:rFonts w:ascii="Cambria Math" w:hAnsi="Cambria Math"/>
                  </w:rPr>
                  <m:t>j</m:t>
                </m:r>
              </m:sub>
              <m:sup/>
              <m:e>
                <m:sSup>
                  <m:sSupPr>
                    <m:ctrlPr>
                      <w:rPr>
                        <w:rFonts w:ascii="Cambria Math" w:hAnsi="Cambria Math"/>
                      </w:rPr>
                    </m:ctrlPr>
                  </m:sSupPr>
                  <m:e>
                    <m:d>
                      <m:dPr>
                        <m:ctrlPr>
                          <w:rPr>
                            <w:rFonts w:ascii="Cambria Math" w:hAnsi="Cambria Math"/>
                          </w:rPr>
                        </m:ctrlPr>
                      </m:dPr>
                      <m:e>
                        <m:r>
                          <w:rPr>
                            <w:rFonts w:ascii="Cambria Math" w:hAnsi="Cambria Math"/>
                          </w:rPr>
                          <m:t>2π</m:t>
                        </m:r>
                      </m:e>
                    </m:d>
                  </m:e>
                  <m:sup>
                    <m:r>
                      <w:rPr>
                        <w:rFonts w:ascii="Cambria Math" w:hAnsi="Cambria Math"/>
                      </w:rPr>
                      <m:t>a</m:t>
                    </m:r>
                  </m:sup>
                </m:sSup>
                <m:r>
                  <w:rPr>
                    <w:rFonts w:ascii="Cambria Math" w:hAnsi="Cambria Math"/>
                  </w:rPr>
                  <m:t> </m:t>
                </m:r>
                <m:sSubSup>
                  <m:sSubSupPr>
                    <m:ctrlPr>
                      <w:rPr>
                        <w:rFonts w:ascii="Cambria Math" w:hAnsi="Cambria Math"/>
                      </w:rPr>
                    </m:ctrlPr>
                  </m:sSubSupPr>
                  <m:e>
                    <m:r>
                      <w:rPr>
                        <w:rFonts w:ascii="Cambria Math" w:hAnsi="Cambria Math"/>
                      </w:rPr>
                      <m:t>T</m:t>
                    </m:r>
                  </m:e>
                  <m:sub>
                    <m:r>
                      <w:rPr>
                        <w:rFonts w:ascii="Cambria Math" w:hAnsi="Cambria Math"/>
                      </w:rPr>
                      <m:t>1</m:t>
                    </m:r>
                  </m:sub>
                  <m:sup>
                    <m:r>
                      <w:rPr>
                        <w:rFonts w:ascii="Cambria Math" w:hAnsi="Cambria Math"/>
                      </w:rPr>
                      <m:t>2-a</m:t>
                    </m:r>
                  </m:sup>
                </m:sSubSup>
                <m:sSub>
                  <m:sSubPr>
                    <m:ctrlPr>
                      <w:rPr>
                        <w:rFonts w:ascii="Cambria Math" w:hAnsi="Cambria Math"/>
                      </w:rPr>
                    </m:ctrlPr>
                  </m:sSubPr>
                  <m:e>
                    <m:r>
                      <w:rPr>
                        <w:rFonts w:ascii="Cambria Math" w:hAnsi="Cambria Math"/>
                      </w:rPr>
                      <m:t> C</m:t>
                    </m:r>
                  </m:e>
                  <m:sub>
                    <m:r>
                      <m:rPr>
                        <m:sty m:val="p"/>
                      </m:rPr>
                      <w:rPr>
                        <w:rFonts w:ascii="Cambria Math" w:hAnsi="Cambria Math"/>
                      </w:rPr>
                      <m:t>j</m:t>
                    </m:r>
                  </m:sub>
                </m:sSub>
                <m:d>
                  <m:dPr>
                    <m:ctrlPr>
                      <w:rPr>
                        <w:rFonts w:ascii="Cambria Math" w:hAnsi="Cambria Math"/>
                      </w:rPr>
                    </m:ctrlPr>
                  </m:dPr>
                  <m:e>
                    <m:r>
                      <w:rPr>
                        <w:rFonts w:ascii="Cambria Math" w:hAnsi="Cambria Math"/>
                      </w:rPr>
                      <m:t>2,1+1,9 </m:t>
                    </m:r>
                    <m:sSup>
                      <m:sSupPr>
                        <m:ctrlPr>
                          <w:rPr>
                            <w:rFonts w:ascii="Cambria Math" w:hAnsi="Cambria Math"/>
                          </w:rPr>
                        </m:ctrlPr>
                      </m:sSupPr>
                      <m:e>
                        <m:r>
                          <w:rPr>
                            <w:rFonts w:ascii="Cambria Math" w:hAnsi="Cambria Math"/>
                          </w:rPr>
                          <m:t>e</m:t>
                        </m:r>
                      </m:e>
                      <m:sup>
                        <m:r>
                          <w:rPr>
                            <w:rFonts w:ascii="Cambria Math" w:hAnsi="Cambria Math"/>
                          </w:rPr>
                          <m:t>-0,6a</m:t>
                        </m:r>
                      </m:sup>
                    </m:sSup>
                  </m:e>
                </m:d>
                <m:sSup>
                  <m:sSupPr>
                    <m:ctrlPr>
                      <w:rPr>
                        <w:rFonts w:ascii="Cambria Math" w:hAnsi="Cambria Math"/>
                      </w:rPr>
                    </m:ctrlPr>
                  </m:sSupPr>
                  <m:e>
                    <m:d>
                      <m:dPr>
                        <m:ctrlPr>
                          <w:rPr>
                            <w:rFonts w:ascii="Cambria Math" w:hAnsi="Cambria Math"/>
                          </w:rPr>
                        </m:ctrlPr>
                      </m:dPr>
                      <m:e>
                        <m:r>
                          <w:rPr>
                            <w:rFonts w:ascii="Cambria Math" w:hAnsi="Cambria Math"/>
                          </w:rPr>
                          <m:t>cos</m:t>
                        </m:r>
                        <m:sSub>
                          <m:sSubPr>
                            <m:ctrlPr>
                              <w:rPr>
                                <w:rFonts w:ascii="Cambria Math" w:hAnsi="Cambria Math"/>
                              </w:rPr>
                            </m:ctrlPr>
                          </m:sSubPr>
                          <m:e>
                            <m:r>
                              <w:rPr>
                                <w:rFonts w:ascii="Cambria Math" w:hAnsi="Cambria Math"/>
                              </w:rPr>
                              <m:t>θ</m:t>
                            </m:r>
                          </m:e>
                          <m:sub>
                            <m:r>
                              <m:rPr>
                                <m:sty m:val="p"/>
                              </m:rPr>
                              <w:rPr>
                                <w:rFonts w:ascii="Cambria Math" w:hAnsi="Cambria Math"/>
                              </w:rPr>
                              <m:t>j</m:t>
                            </m:r>
                          </m:sub>
                        </m:sSub>
                        <m:sSub>
                          <m:sSubPr>
                            <m:ctrlPr>
                              <w:rPr>
                                <w:rFonts w:ascii="Cambria Math" w:hAnsi="Cambria Math"/>
                              </w:rPr>
                            </m:ctrlPr>
                          </m:sSubPr>
                          <m:e>
                            <m:r>
                              <w:rPr>
                                <w:rFonts w:ascii="Cambria Math" w:hAnsi="Cambria Math"/>
                              </w:rPr>
                              <m:t> ϕ</m:t>
                            </m:r>
                          </m:e>
                          <m:sub>
                            <m:r>
                              <m:rPr>
                                <m:sty m:val="p"/>
                              </m:rPr>
                              <w:rPr>
                                <w:rFonts w:ascii="Cambria Math" w:hAnsi="Cambria Math"/>
                              </w:rPr>
                              <m:t>rj1</m:t>
                            </m:r>
                          </m:sub>
                        </m:sSub>
                      </m:e>
                    </m:d>
                  </m:e>
                  <m:sup>
                    <m:r>
                      <w:rPr>
                        <w:rFonts w:ascii="Cambria Math" w:hAnsi="Cambria Math"/>
                      </w:rPr>
                      <m:t>1+a</m:t>
                    </m:r>
                  </m:sup>
                </m:sSup>
                <m:sSubSup>
                  <m:sSubSupPr>
                    <m:ctrlPr>
                      <w:rPr>
                        <w:rFonts w:ascii="Cambria Math" w:hAnsi="Cambria Math"/>
                      </w:rPr>
                    </m:ctrlPr>
                  </m:sSubSupPr>
                  <m:e>
                    <m:r>
                      <w:rPr>
                        <w:rFonts w:ascii="Cambria Math" w:hAnsi="Cambria Math"/>
                      </w:rPr>
                      <m:t>d</m:t>
                    </m:r>
                  </m:e>
                  <m:sub>
                    <m:r>
                      <m:rPr>
                        <m:sty m:val="p"/>
                      </m:rPr>
                      <w:rPr>
                        <w:rFonts w:ascii="Cambria Math" w:hAnsi="Cambria Math"/>
                      </w:rPr>
                      <m:t>roof</m:t>
                    </m:r>
                    <m:r>
                      <w:rPr>
                        <w:rFonts w:ascii="Cambria Math" w:hAnsi="Cambria Math"/>
                      </w:rPr>
                      <m:t> 1e</m:t>
                    </m:r>
                  </m:sub>
                  <m:sup>
                    <m:r>
                      <w:rPr>
                        <w:rFonts w:ascii="Cambria Math" w:hAnsi="Cambria Math"/>
                      </w:rPr>
                      <m:t>a-1</m:t>
                    </m:r>
                  </m:sup>
                </m:sSubSup>
              </m:e>
            </m:nary>
          </m:num>
          <m:den>
            <m:r>
              <w:rPr>
                <w:rFonts w:ascii="Cambria Math" w:hAnsi="Cambria Math"/>
              </w:rPr>
              <m:t>8</m:t>
            </m:r>
            <m:sSup>
              <m:sSupPr>
                <m:ctrlPr>
                  <w:rPr>
                    <w:rFonts w:ascii="Cambria Math" w:hAnsi="Cambria Math"/>
                  </w:rPr>
                </m:ctrlPr>
              </m:sSupPr>
              <m:e>
                <m:r>
                  <w:rPr>
                    <w:rFonts w:ascii="Cambria Math" w:hAnsi="Cambria Math"/>
                  </w:rPr>
                  <m:t>π</m:t>
                </m:r>
              </m:e>
              <m:sup>
                <m:r>
                  <w:rPr>
                    <w:rFonts w:ascii="Cambria Math" w:hAnsi="Cambria Math"/>
                  </w:rPr>
                  <m:t>3</m:t>
                </m:r>
              </m:sup>
            </m:sSup>
            <m:nary>
              <m:naryPr>
                <m:chr m:val="∑"/>
                <m:limLoc m:val="undOvr"/>
                <m:supHide m:val="1"/>
                <m:ctrlPr>
                  <w:rPr>
                    <w:rFonts w:ascii="Cambria Math" w:hAnsi="Cambria Math"/>
                  </w:rPr>
                </m:ctrlPr>
              </m:naryPr>
              <m:sub>
                <m:r>
                  <m:rPr>
                    <m:sty m:val="p"/>
                  </m:rPr>
                  <w:rPr>
                    <w:rFonts w:ascii="Cambria Math" w:hAnsi="Cambria Math"/>
                  </w:rPr>
                  <m:t>i</m:t>
                </m:r>
              </m:sub>
              <m:sup/>
              <m:e>
                <m:d>
                  <m:dPr>
                    <m:ctrlPr>
                      <w:rPr>
                        <w:rFonts w:ascii="Cambria Math" w:hAnsi="Cambria Math"/>
                      </w:rPr>
                    </m:ctrlPr>
                  </m:dPr>
                  <m:e>
                    <m:sSub>
                      <m:sSubPr>
                        <m:ctrlPr>
                          <w:rPr>
                            <w:rFonts w:ascii="Cambria Math" w:hAnsi="Cambria Math"/>
                          </w:rPr>
                        </m:ctrlPr>
                      </m:sSubPr>
                      <m:e>
                        <m:r>
                          <w:rPr>
                            <w:rFonts w:ascii="Cambria Math" w:hAnsi="Cambria Math"/>
                          </w:rPr>
                          <m:t>m</m:t>
                        </m:r>
                      </m:e>
                      <m:sub>
                        <m:r>
                          <m:rPr>
                            <m:sty m:val="p"/>
                          </m:rPr>
                          <w:rPr>
                            <w:rFonts w:ascii="Cambria Math" w:hAnsi="Cambria Math"/>
                          </w:rPr>
                          <m:t>i</m:t>
                        </m:r>
                      </m:sub>
                    </m:sSub>
                    <m:sSubSup>
                      <m:sSubSupPr>
                        <m:ctrlPr>
                          <w:rPr>
                            <w:rFonts w:ascii="Cambria Math" w:hAnsi="Cambria Math"/>
                          </w:rPr>
                        </m:ctrlPr>
                      </m:sSubSupPr>
                      <m:e>
                        <m:r>
                          <w:rPr>
                            <w:rFonts w:ascii="Cambria Math" w:hAnsi="Cambria Math"/>
                          </w:rPr>
                          <m:t>ϕ</m:t>
                        </m:r>
                      </m:e>
                      <m:sub>
                        <m:r>
                          <m:rPr>
                            <m:sty m:val="p"/>
                          </m:rPr>
                          <w:rPr>
                            <w:rFonts w:ascii="Cambria Math" w:hAnsi="Cambria Math"/>
                          </w:rPr>
                          <m:t>i1</m:t>
                        </m:r>
                      </m:sub>
                      <m:sup>
                        <m:r>
                          <w:rPr>
                            <w:rFonts w:ascii="Cambria Math" w:hAnsi="Cambria Math"/>
                          </w:rPr>
                          <m:t>2</m:t>
                        </m:r>
                      </m:sup>
                    </m:sSubSup>
                  </m:e>
                </m:d>
              </m:e>
            </m:nary>
          </m:den>
        </m:f>
      </m:oMath>
      <w:r w:rsidR="00A41C92" w:rsidRPr="00870D59">
        <w:tab/>
        <w:t>(</w:t>
      </w:r>
      <w:r w:rsidR="00A41C92">
        <w:t>D</w:t>
      </w:r>
      <w:r w:rsidR="00A41C92" w:rsidRPr="00870D59">
        <w:t>.</w:t>
      </w:r>
      <w:r w:rsidR="00CC32EF">
        <w:t>5</w:t>
      </w:r>
      <w:r w:rsidR="00A41C92" w:rsidRPr="00870D59">
        <w:t>)</w:t>
      </w:r>
    </w:p>
    <w:p w14:paraId="29162CF9" w14:textId="0AA6AAEF" w:rsidR="00CC32EF" w:rsidRPr="00196951" w:rsidRDefault="00675EBA" w:rsidP="00806F65">
      <w:pPr>
        <w:pStyle w:val="Text"/>
      </w:pPr>
      <w:r>
        <w:t>where</w:t>
      </w:r>
      <w:r w:rsidR="00806F65">
        <w:t xml:space="preserve"> the </w:t>
      </w:r>
      <w:r w:rsidR="00CC32EF" w:rsidRPr="00FD17CF">
        <w:t xml:space="preserve">summation over </w:t>
      </w:r>
      <w:r w:rsidR="00CC32EF" w:rsidRPr="00FD17CF">
        <w:rPr>
          <w:i/>
        </w:rPr>
        <w:t>i</w:t>
      </w:r>
      <w:r w:rsidR="00CC32EF" w:rsidRPr="00FD17CF">
        <w:t xml:space="preserve"> extends over all masses</w:t>
      </w:r>
      <w:r w:rsidR="00806F65">
        <w:t>,</w:t>
      </w:r>
      <w:r w:rsidR="00CC32EF" w:rsidRPr="00FD17CF">
        <w:t xml:space="preserve"> summation over </w:t>
      </w:r>
      <w:r w:rsidR="00CC32EF" w:rsidRPr="00E05E29">
        <w:rPr>
          <w:i/>
        </w:rPr>
        <w:t>j</w:t>
      </w:r>
      <w:r w:rsidR="00CC32EF" w:rsidRPr="00196951">
        <w:t xml:space="preserve"> extends over all velocity-dependent energy dissipating devices</w:t>
      </w:r>
      <w:r w:rsidR="00806F65">
        <w:t xml:space="preserve"> and</w:t>
      </w:r>
    </w:p>
    <w:tbl>
      <w:tblPr>
        <w:tblW w:w="0" w:type="auto"/>
        <w:tblInd w:w="346" w:type="dxa"/>
        <w:tblLook w:val="04A0" w:firstRow="1" w:lastRow="0" w:firstColumn="1" w:lastColumn="0" w:noHBand="0" w:noVBand="1"/>
      </w:tblPr>
      <w:tblGrid>
        <w:gridCol w:w="1275"/>
        <w:gridCol w:w="7938"/>
      </w:tblGrid>
      <w:tr w:rsidR="00A41C92" w:rsidRPr="000F2AFF" w14:paraId="3B77D67E" w14:textId="77777777" w:rsidTr="00BD628C">
        <w:tc>
          <w:tcPr>
            <w:tcW w:w="1275" w:type="dxa"/>
          </w:tcPr>
          <w:p w14:paraId="7E09EE70" w14:textId="24A38E64" w:rsidR="00A41C92" w:rsidRPr="00773100" w:rsidRDefault="00CC32EF" w:rsidP="002061E5">
            <w:pPr>
              <w:spacing w:after="60"/>
              <w:jc w:val="left"/>
              <w:rPr>
                <w:rFonts w:eastAsia="Times New Roman" w:cs="Cambria"/>
                <w:color w:val="000000" w:themeColor="text1"/>
                <w:szCs w:val="20"/>
                <w:lang w:eastAsia="fr-FR"/>
              </w:rPr>
            </w:pPr>
            <w:r w:rsidRPr="00196951">
              <w:rPr>
                <w:rFonts w:ascii="Symbol" w:eastAsia="Symbol" w:hAnsi="Symbol" w:cs="Symbol"/>
                <w:i/>
              </w:rPr>
              <w:t></w:t>
            </w:r>
            <w:r w:rsidRPr="002144A0">
              <w:rPr>
                <w:vertAlign w:val="subscript"/>
              </w:rPr>
              <w:t>r</w:t>
            </w:r>
            <w:r w:rsidRPr="002144A0">
              <w:rPr>
                <w:i/>
                <w:vertAlign w:val="subscript"/>
              </w:rPr>
              <w:t>j</w:t>
            </w:r>
            <w:r w:rsidRPr="002144A0">
              <w:rPr>
                <w:vertAlign w:val="subscript"/>
              </w:rPr>
              <w:t>1</w:t>
            </w:r>
          </w:p>
        </w:tc>
        <w:tc>
          <w:tcPr>
            <w:tcW w:w="7938" w:type="dxa"/>
          </w:tcPr>
          <w:p w14:paraId="5E0D3359" w14:textId="55AFFC5E" w:rsidR="00A41C92" w:rsidRPr="005C7E1C" w:rsidRDefault="00CC32EF" w:rsidP="002061E5">
            <w:pPr>
              <w:pStyle w:val="Listofsymbols"/>
              <w:tabs>
                <w:tab w:val="clear" w:pos="1134"/>
                <w:tab w:val="left" w:pos="1347"/>
              </w:tabs>
              <w:ind w:left="0" w:firstLine="0"/>
              <w:rPr>
                <w:rFonts w:eastAsia="Times New Roman"/>
                <w:szCs w:val="22"/>
              </w:rPr>
            </w:pPr>
            <w:r w:rsidRPr="002144A0">
              <w:t xml:space="preserve">is the difference between the first modal ordinates (horizontal </w:t>
            </w:r>
            <w:r w:rsidRPr="004F25D7">
              <w:t>displacements</w:t>
            </w:r>
            <w:r w:rsidRPr="00C52095">
              <w:t xml:space="preserve"> in the direction under consideration) associated with degrees of freedom corresponding to the ends of the energy dissipating device </w:t>
            </w:r>
            <w:r w:rsidRPr="00C52095">
              <w:rPr>
                <w:i/>
              </w:rPr>
              <w:t>j</w:t>
            </w:r>
            <w:r w:rsidRPr="007754C9">
              <w:t>;</w:t>
            </w:r>
          </w:p>
        </w:tc>
      </w:tr>
    </w:tbl>
    <w:p w14:paraId="33FF2C7B" w14:textId="77777777" w:rsidR="00CC32EF" w:rsidRPr="00132C1E" w:rsidRDefault="00CC32EF" w:rsidP="00CC32EF">
      <w:pPr>
        <w:pStyle w:val="Notetext"/>
      </w:pPr>
      <w:r w:rsidRPr="00132C1E">
        <w:t>NOTE</w:t>
      </w:r>
      <w:r w:rsidRPr="00132C1E">
        <w:tab/>
        <w:t xml:space="preserve">If the ends of the energy dissipating device </w:t>
      </w:r>
      <w:r w:rsidRPr="00132C1E">
        <w:rPr>
          <w:i/>
        </w:rPr>
        <w:t>j</w:t>
      </w:r>
      <w:r w:rsidRPr="00132C1E">
        <w:t xml:space="preserve"> are connected to degrees of freedom </w:t>
      </w:r>
      <w:r w:rsidRPr="00132C1E">
        <w:rPr>
          <w:i/>
        </w:rPr>
        <w:t>i</w:t>
      </w:r>
      <w:r w:rsidRPr="00132C1E">
        <w:t xml:space="preserve"> and (</w:t>
      </w:r>
      <w:r w:rsidRPr="00132C1E">
        <w:rPr>
          <w:i/>
        </w:rPr>
        <w:t>i-1</w:t>
      </w:r>
      <w:r w:rsidRPr="00132C1E">
        <w:t xml:space="preserve">) then </w:t>
      </w:r>
      <w:r w:rsidRPr="00132C1E">
        <w:rPr>
          <w:rFonts w:ascii="Symbol" w:eastAsia="Symbol" w:hAnsi="Symbol" w:cs="Symbol"/>
          <w:i/>
        </w:rPr>
        <w:t></w:t>
      </w:r>
      <w:r w:rsidRPr="00132C1E">
        <w:rPr>
          <w:vertAlign w:val="subscript"/>
        </w:rPr>
        <w:t>r</w:t>
      </w:r>
      <w:r w:rsidRPr="00132C1E">
        <w:rPr>
          <w:i/>
          <w:vertAlign w:val="subscript"/>
        </w:rPr>
        <w:t>j</w:t>
      </w:r>
      <w:r w:rsidRPr="00132C1E">
        <w:rPr>
          <w:vertAlign w:val="subscript"/>
        </w:rPr>
        <w:t>1</w:t>
      </w:r>
      <w:r w:rsidRPr="00132C1E">
        <w:t> = </w:t>
      </w:r>
      <w:r w:rsidRPr="00132C1E">
        <w:rPr>
          <w:rFonts w:ascii="Symbol" w:eastAsia="Symbol" w:hAnsi="Symbol" w:cs="Symbol"/>
          <w:i/>
        </w:rPr>
        <w:t></w:t>
      </w:r>
      <w:r w:rsidRPr="00132C1E">
        <w:rPr>
          <w:i/>
          <w:vertAlign w:val="subscript"/>
        </w:rPr>
        <w:t>i</w:t>
      </w:r>
      <w:r w:rsidRPr="00132C1E">
        <w:rPr>
          <w:vertAlign w:val="subscript"/>
        </w:rPr>
        <w:t>1</w:t>
      </w:r>
      <w:r w:rsidRPr="00132C1E">
        <w:t> - </w:t>
      </w:r>
      <w:r w:rsidRPr="00132C1E">
        <w:rPr>
          <w:rFonts w:ascii="Symbol" w:eastAsia="Symbol" w:hAnsi="Symbol" w:cs="Symbol"/>
          <w:i/>
        </w:rPr>
        <w:t></w:t>
      </w:r>
      <w:r w:rsidRPr="00132C1E">
        <w:rPr>
          <w:vertAlign w:val="subscript"/>
        </w:rPr>
        <w:t>(</w:t>
      </w:r>
      <w:r w:rsidRPr="00132C1E">
        <w:rPr>
          <w:i/>
          <w:vertAlign w:val="subscript"/>
        </w:rPr>
        <w:t>i</w:t>
      </w:r>
      <w:r w:rsidRPr="00132C1E">
        <w:rPr>
          <w:vertAlign w:val="subscript"/>
        </w:rPr>
        <w:t>-1)1</w:t>
      </w:r>
      <w:r w:rsidRPr="00132C1E">
        <w:t xml:space="preserve"> where </w:t>
      </w:r>
      <w:r w:rsidRPr="00132C1E">
        <w:rPr>
          <w:rFonts w:ascii="Symbol" w:eastAsia="Symbol" w:hAnsi="Symbol" w:cs="Symbol"/>
          <w:i/>
        </w:rPr>
        <w:t></w:t>
      </w:r>
      <w:r w:rsidRPr="00132C1E">
        <w:rPr>
          <w:i/>
          <w:vertAlign w:val="subscript"/>
        </w:rPr>
        <w:t>i</w:t>
      </w:r>
      <w:r w:rsidRPr="00132C1E">
        <w:rPr>
          <w:vertAlign w:val="subscript"/>
        </w:rPr>
        <w:t>1</w:t>
      </w:r>
      <w:r w:rsidRPr="00132C1E">
        <w:t xml:space="preserve"> and </w:t>
      </w:r>
      <w:r w:rsidRPr="00132C1E">
        <w:rPr>
          <w:rFonts w:ascii="Symbol" w:eastAsia="Symbol" w:hAnsi="Symbol" w:cs="Symbol"/>
          <w:i/>
        </w:rPr>
        <w:t></w:t>
      </w:r>
      <w:r w:rsidRPr="00132C1E">
        <w:rPr>
          <w:vertAlign w:val="subscript"/>
        </w:rPr>
        <w:t>(</w:t>
      </w:r>
      <w:r w:rsidRPr="00132C1E">
        <w:rPr>
          <w:i/>
          <w:vertAlign w:val="subscript"/>
        </w:rPr>
        <w:t>i</w:t>
      </w:r>
      <w:r w:rsidRPr="00132C1E">
        <w:rPr>
          <w:vertAlign w:val="subscript"/>
        </w:rPr>
        <w:t>-1)1</w:t>
      </w:r>
      <w:r w:rsidRPr="00132C1E">
        <w:t xml:space="preserve"> are the components</w:t>
      </w:r>
      <w:r w:rsidRPr="00132C1E">
        <w:rPr>
          <w:i/>
        </w:rPr>
        <w:t xml:space="preserve"> </w:t>
      </w:r>
      <w:r w:rsidRPr="00132C1E">
        <w:t xml:space="preserve">of the first modal vector </w:t>
      </w:r>
      <w:r w:rsidRPr="00132C1E">
        <w:rPr>
          <w:rFonts w:ascii="Symbol" w:eastAsia="Symbol" w:hAnsi="Symbol" w:cs="Symbol"/>
          <w:b/>
        </w:rPr>
        <w:t></w:t>
      </w:r>
      <w:r w:rsidRPr="00132C1E">
        <w:rPr>
          <w:vertAlign w:val="subscript"/>
        </w:rPr>
        <w:t>1</w:t>
      </w:r>
      <w:r w:rsidRPr="00132C1E">
        <w:t xml:space="preserve"> associated with the degrees of freedom </w:t>
      </w:r>
      <w:r w:rsidRPr="00132C1E">
        <w:rPr>
          <w:i/>
        </w:rPr>
        <w:t>i</w:t>
      </w:r>
      <w:r w:rsidRPr="00132C1E">
        <w:t xml:space="preserve"> and (</w:t>
      </w:r>
      <w:r w:rsidRPr="00132C1E">
        <w:rPr>
          <w:i/>
        </w:rPr>
        <w:t>i</w:t>
      </w:r>
      <w:r w:rsidRPr="00132C1E">
        <w:t>-1).</w:t>
      </w:r>
    </w:p>
    <w:p w14:paraId="695F3280" w14:textId="77777777" w:rsidR="00CC32EF" w:rsidRDefault="00CC32EF"/>
    <w:tbl>
      <w:tblPr>
        <w:tblW w:w="0" w:type="auto"/>
        <w:tblInd w:w="346" w:type="dxa"/>
        <w:tblLook w:val="04A0" w:firstRow="1" w:lastRow="0" w:firstColumn="1" w:lastColumn="0" w:noHBand="0" w:noVBand="1"/>
      </w:tblPr>
      <w:tblGrid>
        <w:gridCol w:w="1275"/>
        <w:gridCol w:w="7938"/>
      </w:tblGrid>
      <w:tr w:rsidR="00A41C92" w:rsidRPr="000F2AFF" w14:paraId="727D244A" w14:textId="77777777" w:rsidTr="00BD628C">
        <w:tc>
          <w:tcPr>
            <w:tcW w:w="1275" w:type="dxa"/>
          </w:tcPr>
          <w:p w14:paraId="7F6C6E98" w14:textId="779292CF" w:rsidR="00A41C92" w:rsidRPr="00773100" w:rsidRDefault="00CC32EF" w:rsidP="002061E5">
            <w:pPr>
              <w:spacing w:after="60"/>
              <w:jc w:val="left"/>
              <w:rPr>
                <w:rFonts w:eastAsia="Times New Roman" w:cs="Cambria"/>
                <w:color w:val="000000" w:themeColor="text1"/>
                <w:szCs w:val="20"/>
                <w:lang w:eastAsia="fr-FR"/>
              </w:rPr>
            </w:pPr>
            <w:r w:rsidRPr="00132C1E">
              <w:rPr>
                <w:rFonts w:ascii="Symbol" w:eastAsia="Symbol" w:hAnsi="Symbol" w:cs="Symbol"/>
                <w:i/>
              </w:rPr>
              <w:lastRenderedPageBreak/>
              <w:t></w:t>
            </w:r>
            <w:r w:rsidRPr="00132C1E">
              <w:rPr>
                <w:i/>
                <w:vertAlign w:val="subscript"/>
              </w:rPr>
              <w:t>j</w:t>
            </w:r>
          </w:p>
        </w:tc>
        <w:tc>
          <w:tcPr>
            <w:tcW w:w="7938" w:type="dxa"/>
          </w:tcPr>
          <w:p w14:paraId="7DDBC0B7" w14:textId="20F517DF" w:rsidR="00A41C92" w:rsidRPr="005C7E1C" w:rsidRDefault="00CC32EF" w:rsidP="002061E5">
            <w:pPr>
              <w:pStyle w:val="Listofsymbols"/>
              <w:tabs>
                <w:tab w:val="clear" w:pos="1134"/>
                <w:tab w:val="left" w:pos="1347"/>
              </w:tabs>
              <w:ind w:left="0" w:firstLine="0"/>
              <w:rPr>
                <w:rFonts w:eastAsia="Times New Roman"/>
                <w:szCs w:val="22"/>
              </w:rPr>
            </w:pPr>
            <w:r w:rsidRPr="00132C1E">
              <w:t xml:space="preserve">is the angle of inclination of energy dissipation device </w:t>
            </w:r>
            <w:r w:rsidRPr="00132C1E">
              <w:rPr>
                <w:i/>
              </w:rPr>
              <w:t>j</w:t>
            </w:r>
            <w:r w:rsidRPr="00132C1E">
              <w:t xml:space="preserve"> to the horizontal;</w:t>
            </w:r>
          </w:p>
        </w:tc>
      </w:tr>
      <w:tr w:rsidR="00A41C92" w:rsidRPr="000F2AFF" w14:paraId="62AB0611" w14:textId="77777777" w:rsidTr="00BD628C">
        <w:tc>
          <w:tcPr>
            <w:tcW w:w="1275" w:type="dxa"/>
          </w:tcPr>
          <w:p w14:paraId="45E615CE" w14:textId="2E5F227C" w:rsidR="00A41C92" w:rsidRPr="00773100" w:rsidRDefault="00CC32EF" w:rsidP="002061E5">
            <w:pPr>
              <w:spacing w:after="60"/>
              <w:jc w:val="left"/>
              <w:rPr>
                <w:rFonts w:eastAsia="Times New Roman" w:cs="Cambria"/>
                <w:color w:val="000000" w:themeColor="text1"/>
                <w:szCs w:val="20"/>
                <w:lang w:eastAsia="fr-FR"/>
              </w:rPr>
            </w:pPr>
            <w:r w:rsidRPr="00132C1E">
              <w:rPr>
                <w:i/>
              </w:rPr>
              <w:t>C</w:t>
            </w:r>
            <w:r w:rsidRPr="00132C1E">
              <w:rPr>
                <w:i/>
                <w:vertAlign w:val="subscript"/>
              </w:rPr>
              <w:t>j</w:t>
            </w:r>
          </w:p>
        </w:tc>
        <w:tc>
          <w:tcPr>
            <w:tcW w:w="7938" w:type="dxa"/>
          </w:tcPr>
          <w:p w14:paraId="26DF6178" w14:textId="5D8B8D7D" w:rsidR="00A41C92" w:rsidRPr="005C7E1C" w:rsidRDefault="00CC32EF" w:rsidP="002061E5">
            <w:pPr>
              <w:pStyle w:val="Listofsymbols"/>
              <w:tabs>
                <w:tab w:val="clear" w:pos="1134"/>
                <w:tab w:val="left" w:pos="1347"/>
              </w:tabs>
              <w:ind w:left="0" w:firstLine="0"/>
              <w:rPr>
                <w:rFonts w:eastAsia="Times New Roman"/>
                <w:szCs w:val="22"/>
              </w:rPr>
            </w:pPr>
            <w:r w:rsidRPr="00132C1E">
              <w:t xml:space="preserve">is the damping coefficient of the velocity-dependent energy dissipation device </w:t>
            </w:r>
            <w:r w:rsidRPr="00132C1E">
              <w:rPr>
                <w:i/>
              </w:rPr>
              <w:t>j</w:t>
            </w:r>
            <w:r w:rsidRPr="00132C1E">
              <w:t>, provided by the producer of the device;</w:t>
            </w:r>
          </w:p>
        </w:tc>
      </w:tr>
      <w:tr w:rsidR="00CC32EF" w:rsidRPr="000F2AFF" w14:paraId="4D66CC57" w14:textId="77777777" w:rsidTr="00BD628C">
        <w:tc>
          <w:tcPr>
            <w:tcW w:w="1275" w:type="dxa"/>
          </w:tcPr>
          <w:p w14:paraId="1B450E1C" w14:textId="2031F27B" w:rsidR="00CC32EF" w:rsidRPr="00132C1E" w:rsidRDefault="00CC32EF" w:rsidP="002061E5">
            <w:pPr>
              <w:spacing w:after="60"/>
              <w:jc w:val="left"/>
              <w:rPr>
                <w:i/>
              </w:rPr>
            </w:pPr>
            <w:r w:rsidRPr="00132C1E">
              <w:rPr>
                <w:i/>
              </w:rPr>
              <w:t>a</w:t>
            </w:r>
          </w:p>
        </w:tc>
        <w:tc>
          <w:tcPr>
            <w:tcW w:w="7938" w:type="dxa"/>
          </w:tcPr>
          <w:p w14:paraId="433B1A25" w14:textId="06579098" w:rsidR="00CC32EF" w:rsidRPr="00132C1E" w:rsidRDefault="00CC32EF" w:rsidP="002061E5">
            <w:pPr>
              <w:pStyle w:val="Listofsymbols"/>
              <w:tabs>
                <w:tab w:val="clear" w:pos="1134"/>
                <w:tab w:val="left" w:pos="1347"/>
              </w:tabs>
              <w:ind w:left="0" w:firstLine="0"/>
            </w:pPr>
            <w:r w:rsidRPr="00132C1E">
              <w:t>is the velocity exponent of the velocity-dependent energy dissipation devices, provided by the producer of the device.</w:t>
            </w:r>
          </w:p>
        </w:tc>
      </w:tr>
    </w:tbl>
    <w:p w14:paraId="584F72DB" w14:textId="6C8FE670" w:rsidR="00CC32EF" w:rsidRDefault="00CC32EF" w:rsidP="00724E4E">
      <w:pPr>
        <w:pStyle w:val="Clause"/>
      </w:pPr>
      <w:r w:rsidRPr="00A402B4">
        <w:rPr>
          <w:rFonts w:ascii="Symbol" w:hAnsi="Symbol"/>
          <w:i/>
        </w:rPr>
        <w:t></w:t>
      </w:r>
      <w:r w:rsidRPr="00F71D03">
        <w:rPr>
          <w:vertAlign w:val="subscript"/>
        </w:rPr>
        <w:t>I</w:t>
      </w:r>
      <w:r w:rsidRPr="00132C1E">
        <w:t xml:space="preserve"> should be based on the material type, configuration, and behaviour of the main structural system and ancillary components responding dynamically at or just below yielding of the primary seismic members of the main structural system. Unless analysis or test data supports other values, inherent damping should not be taken greater than 5</w:t>
      </w:r>
      <w:r w:rsidR="00BD628C">
        <w:t> </w:t>
      </w:r>
      <w:r w:rsidRPr="00132C1E">
        <w:t>% of critical damping for all modes of vibration.</w:t>
      </w:r>
    </w:p>
    <w:p w14:paraId="0795F7E4" w14:textId="441BF051" w:rsidR="00CC32EF" w:rsidRDefault="00CC32EF" w:rsidP="00724E4E">
      <w:pPr>
        <w:pStyle w:val="Clause"/>
      </w:pPr>
      <w:r w:rsidRPr="00132C1E">
        <w:t xml:space="preserve">For structures with velocity dependent energy dissipation devices </w:t>
      </w:r>
      <w:r w:rsidRPr="00F71D03">
        <w:rPr>
          <w:rFonts w:ascii="Symbol" w:eastAsia="Symbol" w:hAnsi="Symbol" w:cs="Symbol"/>
          <w:i/>
        </w:rPr>
        <w:t></w:t>
      </w:r>
      <w:r w:rsidRPr="00F71D03">
        <w:rPr>
          <w:vertAlign w:val="subscript"/>
        </w:rPr>
        <w:t>H</w:t>
      </w:r>
      <w:r w:rsidRPr="00132C1E">
        <w:t xml:space="preserve"> should be calculated with Formula (D.6).</w:t>
      </w:r>
    </w:p>
    <w:p w14:paraId="7AF6249B" w14:textId="2F32C3D1" w:rsidR="00CC32EF" w:rsidRDefault="009B5CEC" w:rsidP="00CC32EF">
      <w:pPr>
        <w:pStyle w:val="Formula"/>
        <w:spacing w:before="240"/>
      </w:pPr>
      <m:oMath>
        <m:sSub>
          <m:sSubPr>
            <m:ctrlPr>
              <w:rPr>
                <w:rFonts w:ascii="Cambria Math" w:hAnsi="Cambria Math"/>
              </w:rPr>
            </m:ctrlPr>
          </m:sSubPr>
          <m:e>
            <m:r>
              <w:rPr>
                <w:rFonts w:ascii="Cambria Math" w:hAnsi="Cambria Math"/>
              </w:rPr>
              <m:t>ξ</m:t>
            </m:r>
          </m:e>
          <m:sub>
            <m:r>
              <m:rPr>
                <m:sty m:val="p"/>
              </m:rPr>
              <w:rPr>
                <w:rFonts w:ascii="Cambria Math" w:hAnsi="Cambria Math"/>
              </w:rPr>
              <m:t>H</m:t>
            </m:r>
          </m:sub>
        </m:sSub>
        <m:r>
          <w:rPr>
            <w:rFonts w:ascii="Cambria Math" w:hAnsi="Cambria Math"/>
          </w:rPr>
          <m:t>=</m:t>
        </m:r>
        <m:f>
          <m:fPr>
            <m:ctrlPr>
              <w:rPr>
                <w:rFonts w:ascii="Cambria Math" w:hAnsi="Cambria Math"/>
              </w:rPr>
            </m:ctrlPr>
          </m:fPr>
          <m:num>
            <m:r>
              <w:rPr>
                <w:rFonts w:ascii="Cambria Math" w:hAnsi="Cambria Math"/>
              </w:rPr>
              <m:t>2</m:t>
            </m:r>
            <m:sSub>
              <m:sSubPr>
                <m:ctrlPr>
                  <w:rPr>
                    <w:rFonts w:ascii="Cambria Math" w:hAnsi="Cambria Math"/>
                  </w:rPr>
                </m:ctrlPr>
              </m:sSubPr>
              <m:e>
                <m:r>
                  <w:rPr>
                    <w:rFonts w:ascii="Cambria Math" w:hAnsi="Cambria Math"/>
                  </w:rPr>
                  <m:t>F</m:t>
                </m:r>
              </m:e>
              <m:sub>
                <m:r>
                  <m:rPr>
                    <m:sty m:val="p"/>
                  </m:rPr>
                  <w:rPr>
                    <w:rFonts w:ascii="Cambria Math" w:hAnsi="Cambria Math"/>
                  </w:rPr>
                  <m:t>H</m:t>
                </m:r>
              </m:sub>
            </m:sSub>
          </m:num>
          <m:den>
            <m:r>
              <w:rPr>
                <w:rFonts w:ascii="Cambria Math" w:hAnsi="Cambria Math"/>
              </w:rPr>
              <m:t>π</m:t>
            </m:r>
          </m:den>
        </m:f>
        <m:d>
          <m:dPr>
            <m:ctrlPr>
              <w:rPr>
                <w:rFonts w:ascii="Cambria Math" w:hAnsi="Cambria Math"/>
              </w:rPr>
            </m:ctrlPr>
          </m:dPr>
          <m:e>
            <m:f>
              <m:fPr>
                <m:ctrlPr>
                  <w:rPr>
                    <w:rFonts w:ascii="Cambria Math" w:hAnsi="Cambria Math"/>
                  </w:rPr>
                </m:ctrlPr>
              </m:fPr>
              <m:num>
                <m:r>
                  <w:rPr>
                    <w:rFonts w:ascii="Cambria Math" w:hAnsi="Cambria Math"/>
                  </w:rPr>
                  <m:t>1</m:t>
                </m:r>
              </m:num>
              <m:den>
                <m:r>
                  <w:rPr>
                    <w:rFonts w:ascii="Cambria Math" w:hAnsi="Cambria Math"/>
                  </w:rPr>
                  <m:t>1+</m:t>
                </m:r>
                <m:d>
                  <m:dPr>
                    <m:ctrlPr>
                      <w:rPr>
                        <w:rFonts w:ascii="Cambria Math" w:hAnsi="Cambria Math"/>
                      </w:rPr>
                    </m:ctrlPr>
                  </m:dPr>
                  <m:e>
                    <m:sSub>
                      <m:sSubPr>
                        <m:ctrlPr>
                          <w:rPr>
                            <w:rFonts w:ascii="Cambria Math" w:hAnsi="Cambria Math"/>
                          </w:rPr>
                        </m:ctrlPr>
                      </m:sSubPr>
                      <m:e>
                        <m:r>
                          <w:rPr>
                            <w:rFonts w:ascii="Cambria Math" w:hAnsi="Cambria Math"/>
                          </w:rPr>
                          <m:t>μ</m:t>
                        </m:r>
                      </m:e>
                      <m:sub>
                        <m:r>
                          <m:rPr>
                            <m:sty m:val="p"/>
                          </m:rPr>
                          <w:rPr>
                            <w:rFonts w:ascii="Cambria Math" w:hAnsi="Cambria Math"/>
                          </w:rPr>
                          <m:t>f</m:t>
                        </m:r>
                      </m:sub>
                    </m:sSub>
                    <m:r>
                      <w:rPr>
                        <w:rFonts w:ascii="Cambria Math" w:hAnsi="Cambria Math"/>
                      </w:rPr>
                      <m:t>-1</m:t>
                    </m:r>
                  </m:e>
                </m:d>
                <m:d>
                  <m:dPr>
                    <m:ctrlPr>
                      <w:rPr>
                        <w:rFonts w:ascii="Cambria Math" w:hAnsi="Cambria Math"/>
                      </w:rPr>
                    </m:ctrlPr>
                  </m:dPr>
                  <m:e>
                    <m:f>
                      <m:fPr>
                        <m:type m:val="lin"/>
                        <m:ctrlPr>
                          <w:rPr>
                            <w:rFonts w:ascii="Cambria Math" w:hAnsi="Cambria Math"/>
                          </w:rPr>
                        </m:ctrlPr>
                      </m:fPr>
                      <m:num>
                        <m:r>
                          <w:rPr>
                            <w:rFonts w:ascii="Cambria Math" w:hAnsi="Cambria Math"/>
                          </w:rPr>
                          <m:t>2</m:t>
                        </m:r>
                        <m:sSub>
                          <m:sSubPr>
                            <m:ctrlPr>
                              <w:rPr>
                                <w:rFonts w:ascii="Cambria Math" w:hAnsi="Cambria Math"/>
                              </w:rPr>
                            </m:ctrlPr>
                          </m:sSubPr>
                          <m:e>
                            <m:r>
                              <w:rPr>
                                <w:rFonts w:ascii="Cambria Math" w:hAnsi="Cambria Math"/>
                              </w:rPr>
                              <m:t>ξ</m:t>
                            </m:r>
                          </m:e>
                          <m:sub>
                            <m:r>
                              <m:rPr>
                                <m:sty m:val="p"/>
                              </m:rPr>
                              <w:rPr>
                                <w:rFonts w:ascii="Cambria Math" w:hAnsi="Cambria Math"/>
                              </w:rPr>
                              <m:t>V1</m:t>
                            </m:r>
                          </m:sub>
                        </m:sSub>
                      </m:num>
                      <m:den>
                        <m:sSub>
                          <m:sSubPr>
                            <m:ctrlPr>
                              <w:rPr>
                                <w:rFonts w:ascii="Cambria Math" w:hAnsi="Cambria Math"/>
                              </w:rPr>
                            </m:ctrlPr>
                          </m:sSubPr>
                          <m:e>
                            <m:r>
                              <w:rPr>
                                <w:rFonts w:ascii="Cambria Math" w:hAnsi="Cambria Math"/>
                              </w:rPr>
                              <m:t>η</m:t>
                            </m:r>
                          </m:e>
                          <m:sub>
                            <m:r>
                              <m:rPr>
                                <m:sty m:val="p"/>
                              </m:rPr>
                              <w:rPr>
                                <w:rFonts w:ascii="Cambria Math" w:hAnsi="Cambria Math"/>
                              </w:rPr>
                              <m:t>loss</m:t>
                            </m:r>
                          </m:sub>
                        </m:sSub>
                      </m:den>
                    </m:f>
                  </m:e>
                </m:d>
              </m:den>
            </m:f>
            <m:r>
              <w:rPr>
                <w:rFonts w:ascii="Cambria Math" w:hAnsi="Cambria Math"/>
              </w:rPr>
              <m:t>-</m:t>
            </m:r>
            <m:f>
              <m:fPr>
                <m:ctrlPr>
                  <w:rPr>
                    <w:rFonts w:ascii="Cambria Math" w:hAnsi="Cambria Math"/>
                  </w:rPr>
                </m:ctrlPr>
              </m:fPr>
              <m:num>
                <m:r>
                  <w:rPr>
                    <w:rFonts w:ascii="Cambria Math" w:hAnsi="Cambria Math"/>
                  </w:rPr>
                  <m:t>1</m:t>
                </m:r>
              </m:num>
              <m:den>
                <m:sSub>
                  <m:sSubPr>
                    <m:ctrlPr>
                      <w:rPr>
                        <w:rFonts w:ascii="Cambria Math" w:hAnsi="Cambria Math"/>
                      </w:rPr>
                    </m:ctrlPr>
                  </m:sSubPr>
                  <m:e>
                    <m:r>
                      <w:rPr>
                        <w:rFonts w:ascii="Cambria Math" w:hAnsi="Cambria Math"/>
                      </w:rPr>
                      <m:t>μ</m:t>
                    </m:r>
                  </m:e>
                  <m:sub>
                    <m:r>
                      <m:rPr>
                        <m:sty m:val="p"/>
                      </m:rPr>
                      <w:rPr>
                        <w:rFonts w:ascii="Cambria Math" w:hAnsi="Cambria Math"/>
                      </w:rPr>
                      <m:t>f</m:t>
                    </m:r>
                  </m:sub>
                </m:sSub>
              </m:den>
            </m:f>
          </m:e>
        </m:d>
      </m:oMath>
      <w:r w:rsidR="00CC32EF" w:rsidRPr="00870D59">
        <w:tab/>
        <w:t>(</w:t>
      </w:r>
      <w:r w:rsidR="00CC32EF">
        <w:t>D</w:t>
      </w:r>
      <w:r w:rsidR="00CC32EF" w:rsidRPr="00870D59">
        <w:t>.</w:t>
      </w:r>
      <w:r w:rsidR="00CC32EF">
        <w:t>6</w:t>
      </w:r>
      <w:r w:rsidR="00CC32EF" w:rsidRPr="00870D59">
        <w:t>)</w:t>
      </w:r>
    </w:p>
    <w:p w14:paraId="4FE74179" w14:textId="499522D4" w:rsidR="00CC32EF" w:rsidRPr="00806F65" w:rsidRDefault="00675EBA" w:rsidP="00806F65">
      <w:pPr>
        <w:pStyle w:val="Text"/>
      </w:pPr>
      <w:r>
        <w:t>where</w:t>
      </w:r>
      <w:r w:rsidR="00806F65">
        <w:t xml:space="preserve"> </w:t>
      </w:r>
      <w:r w:rsidR="00806F65" w:rsidRPr="00FD17CF">
        <w:rPr>
          <w:i/>
        </w:rPr>
        <w:t>F</w:t>
      </w:r>
      <w:r w:rsidR="00806F65" w:rsidRPr="00FD17CF">
        <w:rPr>
          <w:vertAlign w:val="subscript"/>
        </w:rPr>
        <w:t>H</w:t>
      </w:r>
      <w:r w:rsidR="00806F65">
        <w:t xml:space="preserve"> </w:t>
      </w:r>
      <w:r w:rsidR="00806F65" w:rsidRPr="00132C1E">
        <w:t>is the hysteresis loop adjustment factor; it may be taken as 0,67</w:t>
      </w:r>
      <w:r w:rsidR="00806F65" w:rsidRPr="00132C1E">
        <w:rPr>
          <w:i/>
        </w:rPr>
        <w:t>T</w:t>
      </w:r>
      <w:r w:rsidR="00806F65" w:rsidRPr="00132C1E">
        <w:rPr>
          <w:vertAlign w:val="subscript"/>
        </w:rPr>
        <w:t>C</w:t>
      </w:r>
      <w:r w:rsidR="00806F65" w:rsidRPr="00132C1E">
        <w:t>/</w:t>
      </w:r>
      <w:r w:rsidR="00806F65" w:rsidRPr="00132C1E">
        <w:rPr>
          <w:i/>
        </w:rPr>
        <w:t>T</w:t>
      </w:r>
      <w:r w:rsidR="00806F65" w:rsidRPr="00132C1E">
        <w:rPr>
          <w:vertAlign w:val="subscript"/>
        </w:rPr>
        <w:t>p1</w:t>
      </w:r>
      <w:r w:rsidR="00806F65" w:rsidRPr="00132C1E">
        <w:t>; it should not be taken greater than 1 and may be taken greater than 0,5.</w:t>
      </w:r>
    </w:p>
    <w:p w14:paraId="37A4AEBD" w14:textId="77777777" w:rsidR="00CC32EF" w:rsidRPr="00132C1E" w:rsidRDefault="00CC32EF" w:rsidP="00CC32EF">
      <w:pPr>
        <w:pStyle w:val="a2"/>
      </w:pPr>
      <w:bookmarkStart w:id="11179" w:name="_Toc16927731"/>
      <w:bookmarkStart w:id="11180" w:name="_Toc50150721"/>
      <w:bookmarkStart w:id="11181" w:name="_Toc70887154"/>
      <w:bookmarkStart w:id="11182" w:name="_Toc108342738"/>
      <w:bookmarkStart w:id="11183" w:name="_Toc134198247"/>
      <w:r w:rsidRPr="00132C1E">
        <w:t>Complementary rules for structures with displacement-dependent energy-dissipation devices</w:t>
      </w:r>
      <w:bookmarkEnd w:id="11179"/>
      <w:bookmarkEnd w:id="11180"/>
      <w:bookmarkEnd w:id="11181"/>
      <w:bookmarkEnd w:id="11182"/>
      <w:bookmarkEnd w:id="11183"/>
    </w:p>
    <w:p w14:paraId="43D068DE" w14:textId="77777777" w:rsidR="00CC32EF" w:rsidRPr="00132C1E" w:rsidRDefault="00CC32EF" w:rsidP="00CC32EF">
      <w:pPr>
        <w:pStyle w:val="a3"/>
        <w:spacing w:before="60"/>
      </w:pPr>
      <w:bookmarkStart w:id="11184" w:name="_Toc16927732"/>
      <w:bookmarkStart w:id="11185" w:name="_Toc50150722"/>
      <w:bookmarkStart w:id="11186" w:name="_Toc70887155"/>
      <w:bookmarkStart w:id="11187" w:name="_Toc108342739"/>
      <w:bookmarkStart w:id="11188" w:name="_Toc120543826"/>
      <w:bookmarkStart w:id="11189" w:name="_Toc134198248"/>
      <w:r w:rsidRPr="00132C1E">
        <w:t xml:space="preserve">Calculation of </w:t>
      </w:r>
      <w:r w:rsidRPr="00132C1E">
        <w:rPr>
          <w:i/>
          <w:iCs/>
        </w:rPr>
        <w:t>E</w:t>
      </w:r>
      <w:r w:rsidRPr="00132C1E">
        <w:rPr>
          <w:vertAlign w:val="subscript"/>
        </w:rPr>
        <w:t>e</w:t>
      </w:r>
      <w:bookmarkEnd w:id="11184"/>
      <w:bookmarkEnd w:id="11185"/>
      <w:bookmarkEnd w:id="11186"/>
      <w:bookmarkEnd w:id="11187"/>
      <w:bookmarkEnd w:id="11188"/>
      <w:bookmarkEnd w:id="11189"/>
    </w:p>
    <w:p w14:paraId="43FDBCDA" w14:textId="3E41E4B6" w:rsidR="008D1E9D" w:rsidRPr="00870D59" w:rsidRDefault="00613856" w:rsidP="0080187E">
      <w:pPr>
        <w:pStyle w:val="Clause"/>
        <w:numPr>
          <w:ilvl w:val="0"/>
          <w:numId w:val="217"/>
        </w:numPr>
      </w:pPr>
      <w:r w:rsidRPr="00132C1E">
        <w:t xml:space="preserve">The amount of energy </w:t>
      </w:r>
      <w:r w:rsidRPr="00613856">
        <w:rPr>
          <w:i/>
        </w:rPr>
        <w:t>E</w:t>
      </w:r>
      <w:r w:rsidRPr="00613856">
        <w:rPr>
          <w:vertAlign w:val="subscript"/>
        </w:rPr>
        <w:t>e</w:t>
      </w:r>
      <w:r w:rsidRPr="00613856">
        <w:rPr>
          <w:i/>
        </w:rPr>
        <w:t xml:space="preserve"> </w:t>
      </w:r>
      <w:r w:rsidRPr="00132C1E">
        <w:t>that can be absorbed by a structure with displacement-dependent energy dissipation devices in the direction under consideration while the primary seismic members of the main structural system remain in the elastic domain should be calculated by Formula (D.7).</w:t>
      </w:r>
    </w:p>
    <w:p w14:paraId="11AD0911" w14:textId="3F0A4C7E" w:rsidR="00816967" w:rsidRPr="00870D59" w:rsidRDefault="009B5CEC" w:rsidP="00816967">
      <w:pPr>
        <w:pStyle w:val="Formula"/>
        <w:spacing w:before="240"/>
      </w:pPr>
      <m:oMath>
        <m:sSub>
          <m:sSubPr>
            <m:ctrlPr>
              <w:rPr>
                <w:rFonts w:ascii="Cambria Math" w:hAnsi="Cambria Math"/>
              </w:rPr>
            </m:ctrlPr>
          </m:sSubPr>
          <m:e>
            <m:r>
              <w:rPr>
                <w:rFonts w:ascii="Cambria Math" w:hAnsi="Cambria Math"/>
              </w:rPr>
              <m:t>E</m:t>
            </m:r>
          </m:e>
          <m:sub>
            <m:r>
              <m:rPr>
                <m:sty m:val="p"/>
              </m:rPr>
              <w:rPr>
                <w:rFonts w:ascii="Cambria Math" w:hAnsi="Cambria Math"/>
              </w:rPr>
              <m:t>e</m:t>
            </m:r>
          </m:sub>
        </m:sSub>
        <m:r>
          <w:rPr>
            <w:rFonts w:ascii="Cambria Math" w:hAnsi="Cambria Math"/>
          </w:rPr>
          <m:t>=</m:t>
        </m:r>
        <m:nary>
          <m:naryPr>
            <m:chr m:val="∑"/>
            <m:limLoc m:val="undOvr"/>
            <m:ctrlPr>
              <w:rPr>
                <w:rFonts w:ascii="Cambria Math" w:hAnsi="Cambria Math"/>
              </w:rPr>
            </m:ctrlPr>
          </m:naryPr>
          <m:sub>
            <m:r>
              <m:rPr>
                <m:sty m:val="p"/>
              </m:rPr>
              <w:rPr>
                <w:rFonts w:ascii="Cambria Math" w:hAnsi="Cambria Math"/>
              </w:rPr>
              <m:t>k</m:t>
            </m:r>
            <m:r>
              <w:rPr>
                <w:rFonts w:ascii="Cambria Math" w:hAnsi="Cambria Math"/>
              </w:rPr>
              <m:t>=1</m:t>
            </m:r>
          </m:sub>
          <m:sup>
            <m:r>
              <w:rPr>
                <w:rFonts w:ascii="Cambria Math" w:hAnsi="Cambria Math"/>
              </w:rPr>
              <m:t>N</m:t>
            </m:r>
          </m:sup>
          <m:e>
            <m:r>
              <w:rPr>
                <w:rFonts w:ascii="Cambria Math" w:hAnsi="Cambria Math"/>
              </w:rPr>
              <m:t>(</m:t>
            </m:r>
            <m:sSub>
              <m:sSubPr>
                <m:ctrlPr>
                  <w:rPr>
                    <w:rFonts w:ascii="Cambria Math" w:hAnsi="Cambria Math"/>
                  </w:rPr>
                </m:ctrlPr>
              </m:sSubPr>
              <m:e>
                <m:r>
                  <w:rPr>
                    <w:rFonts w:ascii="Cambria Math" w:hAnsi="Cambria Math"/>
                  </w:rPr>
                  <m:t>E</m:t>
                </m:r>
              </m:e>
              <m:sub>
                <m:r>
                  <m:rPr>
                    <m:sty m:val="p"/>
                  </m:rPr>
                  <w:rPr>
                    <w:rFonts w:ascii="Cambria Math" w:hAnsi="Cambria Math"/>
                  </w:rPr>
                  <m:t>pes,k</m:t>
                </m:r>
              </m:sub>
            </m:sSub>
            <m:r>
              <w:rPr>
                <w:rFonts w:ascii="Cambria Math" w:hAnsi="Cambria Math"/>
              </w:rPr>
              <m:t>+</m:t>
            </m:r>
            <m:sSub>
              <m:sSubPr>
                <m:ctrlPr>
                  <w:rPr>
                    <w:rFonts w:ascii="Cambria Math" w:hAnsi="Cambria Math"/>
                  </w:rPr>
                </m:ctrlPr>
              </m:sSubPr>
              <m:e>
                <m:r>
                  <w:rPr>
                    <w:rFonts w:ascii="Cambria Math" w:hAnsi="Cambria Math"/>
                  </w:rPr>
                  <m:t>E</m:t>
                </m:r>
              </m:e>
              <m:sub>
                <m:r>
                  <m:rPr>
                    <m:sty m:val="p"/>
                  </m:rPr>
                  <w:rPr>
                    <w:rFonts w:ascii="Cambria Math" w:hAnsi="Cambria Math"/>
                  </w:rPr>
                  <m:t>des,k</m:t>
                </m:r>
              </m:sub>
            </m:sSub>
            <m:r>
              <w:rPr>
                <w:rFonts w:ascii="Cambria Math" w:hAnsi="Cambria Math"/>
              </w:rPr>
              <m:t>+</m:t>
            </m:r>
            <m:sSub>
              <m:sSubPr>
                <m:ctrlPr>
                  <w:rPr>
                    <w:rFonts w:ascii="Cambria Math" w:hAnsi="Cambria Math"/>
                  </w:rPr>
                </m:ctrlPr>
              </m:sSubPr>
              <m:e>
                <m:r>
                  <w:rPr>
                    <w:rFonts w:ascii="Cambria Math" w:hAnsi="Cambria Math"/>
                  </w:rPr>
                  <m:t>E</m:t>
                </m:r>
              </m:e>
              <m:sub>
                <m:r>
                  <m:rPr>
                    <m:sty m:val="p"/>
                  </m:rPr>
                  <w:rPr>
                    <w:rFonts w:ascii="Cambria Math" w:hAnsi="Cambria Math"/>
                  </w:rPr>
                  <m:t>dH,k</m:t>
                </m:r>
              </m:sub>
            </m:sSub>
            <m:r>
              <w:rPr>
                <w:rFonts w:ascii="Cambria Math" w:hAnsi="Cambria Math"/>
              </w:rPr>
              <m:t>)</m:t>
            </m:r>
          </m:e>
        </m:nary>
      </m:oMath>
      <w:r w:rsidR="00816967" w:rsidRPr="00870D59">
        <w:tab/>
        <w:t>(D.</w:t>
      </w:r>
      <w:r w:rsidR="00613856">
        <w:t>7</w:t>
      </w:r>
      <w:r w:rsidR="00816967" w:rsidRPr="00870D59">
        <w:t>)</w:t>
      </w:r>
    </w:p>
    <w:p w14:paraId="0974AA4C" w14:textId="73577153" w:rsidR="00613856" w:rsidRPr="00870D59" w:rsidRDefault="00837A31" w:rsidP="00816967">
      <w:pPr>
        <w:pStyle w:val="Text"/>
      </w:pPr>
      <w:r>
        <w:t>w</w:t>
      </w:r>
      <w:r w:rsidR="00675EBA">
        <w:t>here</w:t>
      </w:r>
      <w:r>
        <w:t xml:space="preserve"> </w:t>
      </w:r>
      <w:r w:rsidR="00613856" w:rsidRPr="00FD17CF">
        <w:t xml:space="preserve">the summation over </w:t>
      </w:r>
      <w:r w:rsidR="00613856" w:rsidRPr="00FD17CF">
        <w:rPr>
          <w:i/>
        </w:rPr>
        <w:t>k</w:t>
      </w:r>
      <w:r w:rsidR="00613856" w:rsidRPr="00FD17CF">
        <w:t xml:space="preserve"> extends to all stories</w:t>
      </w:r>
      <w:r>
        <w:t xml:space="preserve"> and</w:t>
      </w:r>
    </w:p>
    <w:tbl>
      <w:tblPr>
        <w:tblW w:w="0" w:type="auto"/>
        <w:tblInd w:w="346" w:type="dxa"/>
        <w:tblLook w:val="04A0" w:firstRow="1" w:lastRow="0" w:firstColumn="1" w:lastColumn="0" w:noHBand="0" w:noVBand="1"/>
      </w:tblPr>
      <w:tblGrid>
        <w:gridCol w:w="1275"/>
        <w:gridCol w:w="7938"/>
      </w:tblGrid>
      <w:tr w:rsidR="00816967" w:rsidRPr="00870D59" w14:paraId="0A6C46DE" w14:textId="77777777" w:rsidTr="00BD628C">
        <w:tc>
          <w:tcPr>
            <w:tcW w:w="1275" w:type="dxa"/>
          </w:tcPr>
          <w:p w14:paraId="0CFA9048" w14:textId="4922E66B" w:rsidR="00816967" w:rsidRPr="00870D59" w:rsidRDefault="00613856" w:rsidP="002061E5">
            <w:pPr>
              <w:spacing w:after="60"/>
              <w:rPr>
                <w:rFonts w:eastAsia="Times New Roman" w:cs="Cambria"/>
                <w:szCs w:val="20"/>
                <w:lang w:eastAsia="fr-FR"/>
              </w:rPr>
            </w:pPr>
            <w:r w:rsidRPr="00196951">
              <w:rPr>
                <w:rFonts w:ascii="Times New Roman" w:hAnsi="Times New Roman"/>
                <w:i/>
                <w:sz w:val="24"/>
                <w:szCs w:val="24"/>
              </w:rPr>
              <w:t>E</w:t>
            </w:r>
            <w:r w:rsidRPr="00196951">
              <w:rPr>
                <w:rFonts w:ascii="Times New Roman" w:hAnsi="Times New Roman"/>
                <w:sz w:val="24"/>
                <w:szCs w:val="24"/>
                <w:vertAlign w:val="subscript"/>
              </w:rPr>
              <w:t>pes,</w:t>
            </w:r>
            <w:r w:rsidRPr="004E4712">
              <w:rPr>
                <w:rFonts w:ascii="Times New Roman" w:hAnsi="Times New Roman"/>
                <w:iCs/>
                <w:sz w:val="24"/>
                <w:szCs w:val="24"/>
                <w:vertAlign w:val="subscript"/>
              </w:rPr>
              <w:t>k</w:t>
            </w:r>
          </w:p>
        </w:tc>
        <w:tc>
          <w:tcPr>
            <w:tcW w:w="7938" w:type="dxa"/>
          </w:tcPr>
          <w:p w14:paraId="037DC146" w14:textId="5C76372B" w:rsidR="00816967" w:rsidRPr="00837A31" w:rsidRDefault="00613856" w:rsidP="002061E5">
            <w:pPr>
              <w:spacing w:after="60"/>
              <w:rPr>
                <w:rFonts w:eastAsia="Times New Roman" w:cs="Cambria"/>
                <w:szCs w:val="20"/>
                <w:lang w:eastAsia="fr-FR"/>
              </w:rPr>
            </w:pPr>
            <w:r w:rsidRPr="00837A31">
              <w:t xml:space="preserve">is the elastic strain energy stored by the primary seismic members of the main structural system at the </w:t>
            </w:r>
            <w:r w:rsidRPr="00837A31">
              <w:rPr>
                <w:i/>
              </w:rPr>
              <w:t>k-</w:t>
            </w:r>
            <w:r w:rsidRPr="00837A31">
              <w:t xml:space="preserve">th storey in the direction under consideration while these members remain </w:t>
            </w:r>
            <w:r w:rsidRPr="00837A31">
              <w:rPr>
                <w:rFonts w:ascii="Times New Roman" w:hAnsi="Times New Roman"/>
                <w:sz w:val="24"/>
                <w:szCs w:val="24"/>
              </w:rPr>
              <w:t>in the elastic domain</w:t>
            </w:r>
            <w:r w:rsidRPr="00837A31">
              <w:t xml:space="preserve">; </w:t>
            </w:r>
            <w:r w:rsidRPr="00837A31">
              <w:rPr>
                <w:rFonts w:ascii="Times New Roman" w:hAnsi="Times New Roman"/>
                <w:i/>
                <w:sz w:val="24"/>
                <w:szCs w:val="24"/>
              </w:rPr>
              <w:t>E</w:t>
            </w:r>
            <w:r w:rsidRPr="00837A31">
              <w:rPr>
                <w:rFonts w:ascii="Times New Roman" w:hAnsi="Times New Roman"/>
                <w:sz w:val="24"/>
                <w:szCs w:val="24"/>
                <w:vertAlign w:val="subscript"/>
              </w:rPr>
              <w:t>pes,</w:t>
            </w:r>
            <w:r w:rsidRPr="00837A31">
              <w:rPr>
                <w:rFonts w:ascii="Times New Roman" w:hAnsi="Times New Roman"/>
                <w:iCs/>
                <w:sz w:val="24"/>
                <w:szCs w:val="24"/>
                <w:vertAlign w:val="subscript"/>
              </w:rPr>
              <w:t>k</w:t>
            </w:r>
            <w:r w:rsidRPr="00837A31">
              <w:rPr>
                <w:rFonts w:ascii="Times New Roman" w:hAnsi="Times New Roman"/>
                <w:sz w:val="24"/>
                <w:szCs w:val="24"/>
              </w:rPr>
              <w:t xml:space="preserve"> is </w:t>
            </w:r>
            <w:r w:rsidRPr="00837A31">
              <w:t>given in (2);</w:t>
            </w:r>
          </w:p>
        </w:tc>
      </w:tr>
      <w:tr w:rsidR="00816967" w:rsidRPr="00870D59" w14:paraId="075A8E26" w14:textId="77777777" w:rsidTr="00BD628C">
        <w:tc>
          <w:tcPr>
            <w:tcW w:w="1275" w:type="dxa"/>
          </w:tcPr>
          <w:p w14:paraId="76E75B1B" w14:textId="676FC6D9" w:rsidR="00816967" w:rsidRPr="00870D59" w:rsidRDefault="00613856" w:rsidP="002061E5">
            <w:pPr>
              <w:spacing w:after="60"/>
              <w:rPr>
                <w:i/>
                <w:color w:val="000000" w:themeColor="text1"/>
              </w:rPr>
            </w:pPr>
            <w:r w:rsidRPr="00132C1E">
              <w:rPr>
                <w:rFonts w:ascii="Times New Roman" w:hAnsi="Times New Roman"/>
                <w:i/>
                <w:sz w:val="24"/>
                <w:szCs w:val="24"/>
              </w:rPr>
              <w:t>E</w:t>
            </w:r>
            <w:r w:rsidRPr="00132C1E">
              <w:rPr>
                <w:rFonts w:ascii="Times New Roman" w:hAnsi="Times New Roman"/>
                <w:sz w:val="24"/>
                <w:szCs w:val="24"/>
                <w:vertAlign w:val="subscript"/>
              </w:rPr>
              <w:t>des,</w:t>
            </w:r>
            <w:r w:rsidRPr="004E4712">
              <w:rPr>
                <w:rFonts w:ascii="Times New Roman" w:hAnsi="Times New Roman"/>
                <w:iCs/>
                <w:sz w:val="24"/>
                <w:szCs w:val="24"/>
                <w:vertAlign w:val="subscript"/>
              </w:rPr>
              <w:t>k</w:t>
            </w:r>
          </w:p>
        </w:tc>
        <w:tc>
          <w:tcPr>
            <w:tcW w:w="7938" w:type="dxa"/>
          </w:tcPr>
          <w:p w14:paraId="249F1E4F" w14:textId="206B608B" w:rsidR="00816967" w:rsidRPr="00837A31" w:rsidRDefault="00613856" w:rsidP="002061E5">
            <w:pPr>
              <w:spacing w:after="60"/>
              <w:rPr>
                <w:color w:val="000000" w:themeColor="text1"/>
              </w:rPr>
            </w:pPr>
            <w:r w:rsidRPr="00837A31">
              <w:t xml:space="preserve">is the elastic strain energy stored by the energy dissipation devices at </w:t>
            </w:r>
            <w:r w:rsidRPr="00837A31">
              <w:rPr>
                <w:i/>
              </w:rPr>
              <w:t>k-</w:t>
            </w:r>
            <w:r w:rsidRPr="00837A31">
              <w:t xml:space="preserve">th storey in the direction under consideration while the primary seismic members of the main structural system at the </w:t>
            </w:r>
            <w:r w:rsidRPr="00837A31">
              <w:rPr>
                <w:i/>
              </w:rPr>
              <w:t>k</w:t>
            </w:r>
            <w:r w:rsidRPr="00837A31">
              <w:t xml:space="preserve">-th story remain </w:t>
            </w:r>
            <w:r w:rsidRPr="00837A31">
              <w:rPr>
                <w:rFonts w:ascii="Times New Roman" w:hAnsi="Times New Roman"/>
                <w:sz w:val="24"/>
                <w:szCs w:val="24"/>
              </w:rPr>
              <w:t>in the elastic domain</w:t>
            </w:r>
            <w:r w:rsidRPr="00837A31">
              <w:t xml:space="preserve">; </w:t>
            </w:r>
            <w:r w:rsidRPr="00837A31">
              <w:rPr>
                <w:rFonts w:ascii="Times New Roman" w:hAnsi="Times New Roman"/>
                <w:i/>
                <w:sz w:val="24"/>
                <w:szCs w:val="24"/>
              </w:rPr>
              <w:t>E</w:t>
            </w:r>
            <w:r w:rsidRPr="00837A31">
              <w:rPr>
                <w:rFonts w:ascii="Times New Roman" w:hAnsi="Times New Roman"/>
                <w:sz w:val="24"/>
                <w:szCs w:val="24"/>
                <w:vertAlign w:val="subscript"/>
              </w:rPr>
              <w:t>des,k</w:t>
            </w:r>
            <w:r w:rsidRPr="00837A31">
              <w:t xml:space="preserve"> is given in (3);</w:t>
            </w:r>
          </w:p>
        </w:tc>
      </w:tr>
      <w:tr w:rsidR="00816967" w:rsidRPr="00870D59" w14:paraId="5AE8E596" w14:textId="77777777" w:rsidTr="00BD628C">
        <w:tc>
          <w:tcPr>
            <w:tcW w:w="1275" w:type="dxa"/>
          </w:tcPr>
          <w:p w14:paraId="380C0C4A" w14:textId="75F72D79" w:rsidR="00816967" w:rsidRPr="00870D59" w:rsidRDefault="00613856" w:rsidP="002061E5">
            <w:pPr>
              <w:spacing w:after="60"/>
              <w:rPr>
                <w:i/>
                <w:color w:val="000000" w:themeColor="text1"/>
              </w:rPr>
            </w:pPr>
            <w:r w:rsidRPr="00132C1E">
              <w:rPr>
                <w:rFonts w:ascii="Times New Roman" w:hAnsi="Times New Roman"/>
                <w:i/>
                <w:sz w:val="24"/>
                <w:szCs w:val="24"/>
              </w:rPr>
              <w:t>E</w:t>
            </w:r>
            <w:r w:rsidRPr="00132C1E">
              <w:rPr>
                <w:rFonts w:ascii="Times New Roman" w:hAnsi="Times New Roman"/>
                <w:sz w:val="24"/>
                <w:szCs w:val="24"/>
                <w:vertAlign w:val="subscript"/>
              </w:rPr>
              <w:t>dH,</w:t>
            </w:r>
            <w:r w:rsidRPr="004E4712">
              <w:rPr>
                <w:rFonts w:ascii="Times New Roman" w:hAnsi="Times New Roman"/>
                <w:iCs/>
                <w:sz w:val="24"/>
                <w:szCs w:val="24"/>
                <w:vertAlign w:val="subscript"/>
              </w:rPr>
              <w:t>k</w:t>
            </w:r>
          </w:p>
        </w:tc>
        <w:tc>
          <w:tcPr>
            <w:tcW w:w="7938" w:type="dxa"/>
          </w:tcPr>
          <w:p w14:paraId="41404D79" w14:textId="53008CB8" w:rsidR="00816967" w:rsidRPr="00837A31" w:rsidRDefault="00613856" w:rsidP="002061E5">
            <w:pPr>
              <w:spacing w:after="60"/>
              <w:rPr>
                <w:color w:val="000000" w:themeColor="text1"/>
              </w:rPr>
            </w:pPr>
            <w:r w:rsidRPr="00837A31">
              <w:t xml:space="preserve">is the energy dissipated </w:t>
            </w:r>
            <w:r w:rsidRPr="00837A31">
              <w:rPr>
                <w:rFonts w:ascii="Times New Roman" w:hAnsi="Times New Roman"/>
                <w:sz w:val="24"/>
                <w:szCs w:val="24"/>
              </w:rPr>
              <w:t xml:space="preserve">in form of plastic strain </w:t>
            </w:r>
            <w:r w:rsidRPr="00837A31">
              <w:t xml:space="preserve">by the energy dissipation devices at the </w:t>
            </w:r>
            <w:r w:rsidRPr="00837A31">
              <w:rPr>
                <w:i/>
              </w:rPr>
              <w:t>k-</w:t>
            </w:r>
            <w:r w:rsidRPr="00837A31">
              <w:t xml:space="preserve">th storey in the direction under consideration while the primary seismic members of the main structural system at the </w:t>
            </w:r>
            <w:r w:rsidRPr="00837A31">
              <w:rPr>
                <w:i/>
              </w:rPr>
              <w:t>k</w:t>
            </w:r>
            <w:r w:rsidRPr="00837A31">
              <w:t xml:space="preserve">-th story remain </w:t>
            </w:r>
            <w:r w:rsidRPr="00837A31">
              <w:rPr>
                <w:rFonts w:ascii="Times New Roman" w:hAnsi="Times New Roman"/>
                <w:sz w:val="24"/>
                <w:szCs w:val="24"/>
              </w:rPr>
              <w:t>in the elastic domain</w:t>
            </w:r>
            <w:r w:rsidRPr="00837A31">
              <w:t xml:space="preserve">; </w:t>
            </w:r>
            <w:r w:rsidRPr="00837A31">
              <w:rPr>
                <w:rFonts w:ascii="Times New Roman" w:hAnsi="Times New Roman"/>
                <w:i/>
                <w:sz w:val="24"/>
                <w:szCs w:val="24"/>
              </w:rPr>
              <w:t>E</w:t>
            </w:r>
            <w:r w:rsidRPr="00837A31">
              <w:rPr>
                <w:rFonts w:ascii="Times New Roman" w:hAnsi="Times New Roman"/>
                <w:sz w:val="24"/>
                <w:szCs w:val="24"/>
                <w:vertAlign w:val="subscript"/>
              </w:rPr>
              <w:t>dH,</w:t>
            </w:r>
            <w:r w:rsidRPr="00837A31">
              <w:rPr>
                <w:rFonts w:ascii="Times New Roman" w:hAnsi="Times New Roman"/>
                <w:iCs/>
                <w:sz w:val="24"/>
                <w:szCs w:val="24"/>
                <w:vertAlign w:val="subscript"/>
              </w:rPr>
              <w:t>k</w:t>
            </w:r>
            <w:r w:rsidRPr="00837A31">
              <w:t xml:space="preserve"> is given in (4).</w:t>
            </w:r>
          </w:p>
        </w:tc>
      </w:tr>
    </w:tbl>
    <w:p w14:paraId="46EDD024" w14:textId="6EA0CDC1" w:rsidR="00816967" w:rsidRDefault="00225F21" w:rsidP="0080187E">
      <w:pPr>
        <w:pStyle w:val="Clause"/>
        <w:numPr>
          <w:ilvl w:val="0"/>
          <w:numId w:val="25"/>
        </w:numPr>
      </w:pPr>
      <w:r w:rsidRPr="00F71D03">
        <w:rPr>
          <w:i/>
        </w:rPr>
        <w:t>E</w:t>
      </w:r>
      <w:r w:rsidRPr="00F71D03">
        <w:rPr>
          <w:vertAlign w:val="subscript"/>
        </w:rPr>
        <w:t>pes,</w:t>
      </w:r>
      <w:r w:rsidRPr="004E4712">
        <w:rPr>
          <w:iCs/>
          <w:vertAlign w:val="subscript"/>
        </w:rPr>
        <w:t>k</w:t>
      </w:r>
      <w:r w:rsidRPr="00132C1E">
        <w:t xml:space="preserve"> should be calculated using Formula (D.8).</w:t>
      </w:r>
    </w:p>
    <w:p w14:paraId="6FE70A60" w14:textId="73BC4E89" w:rsidR="00225F21" w:rsidRPr="00870D59" w:rsidRDefault="009B5CEC" w:rsidP="00225F21">
      <w:pPr>
        <w:pStyle w:val="Formula"/>
        <w:spacing w:before="240"/>
      </w:pPr>
      <m:oMath>
        <m:sSub>
          <m:sSubPr>
            <m:ctrlPr>
              <w:rPr>
                <w:rFonts w:ascii="Cambria Math" w:hAnsi="Cambria Math"/>
              </w:rPr>
            </m:ctrlPr>
          </m:sSubPr>
          <m:e>
            <m:r>
              <w:rPr>
                <w:rFonts w:ascii="Cambria Math" w:hAnsi="Cambria Math"/>
              </w:rPr>
              <m:t>E</m:t>
            </m:r>
          </m:e>
          <m:sub>
            <m:r>
              <m:rPr>
                <m:sty m:val="p"/>
              </m:rPr>
              <w:rPr>
                <w:rFonts w:ascii="Cambria Math" w:hAnsi="Cambria Math"/>
              </w:rPr>
              <m:t>pes,k</m:t>
            </m:r>
          </m:sub>
        </m:sSub>
        <m:r>
          <w:rPr>
            <w:rFonts w:ascii="Cambria Math" w:hAnsi="Cambria Math"/>
          </w:rPr>
          <m:t>=</m:t>
        </m:r>
        <m:sSub>
          <m:sSubPr>
            <m:ctrlPr>
              <w:rPr>
                <w:rFonts w:ascii="Cambria Math" w:hAnsi="Cambria Math"/>
              </w:rPr>
            </m:ctrlPr>
          </m:sSubPr>
          <m:e>
            <m:r>
              <w:rPr>
                <w:rFonts w:ascii="Cambria Math" w:hAnsi="Cambria Math"/>
              </w:rPr>
              <m:t>V</m:t>
            </m:r>
          </m:e>
          <m:sub>
            <m:r>
              <m:rPr>
                <m:sty m:val="p"/>
              </m:rPr>
              <w:rPr>
                <w:rFonts w:ascii="Cambria Math" w:hAnsi="Cambria Math"/>
              </w:rPr>
              <m:t>pD,k</m:t>
            </m:r>
          </m:sub>
        </m:sSub>
        <m:sSub>
          <m:sSubPr>
            <m:ctrlPr>
              <w:rPr>
                <w:rFonts w:ascii="Cambria Math" w:hAnsi="Cambria Math"/>
              </w:rPr>
            </m:ctrlPr>
          </m:sSubPr>
          <m:e>
            <m:r>
              <w:rPr>
                <w:rFonts w:ascii="Cambria Math" w:hAnsi="Cambria Math"/>
              </w:rPr>
              <m:t>d</m:t>
            </m:r>
          </m:e>
          <m:sub>
            <m:r>
              <m:rPr>
                <m:sty m:val="p"/>
              </m:rPr>
              <w:rPr>
                <w:rFonts w:ascii="Cambria Math" w:hAnsi="Cambria Math"/>
              </w:rPr>
              <m:t>D,k</m:t>
            </m:r>
          </m:sub>
        </m:sSub>
        <m:r>
          <w:rPr>
            <w:rFonts w:ascii="Cambria Math" w:hAnsi="Cambria Math"/>
          </w:rPr>
          <m:t xml:space="preserve">/2 </m:t>
        </m:r>
      </m:oMath>
      <w:r w:rsidR="00225F21" w:rsidRPr="00870D59">
        <w:tab/>
        <w:t>(D.</w:t>
      </w:r>
      <w:r w:rsidR="00225F21">
        <w:t>8</w:t>
      </w:r>
      <w:r w:rsidR="00225F21" w:rsidRPr="00870D59">
        <w:t>)</w:t>
      </w:r>
    </w:p>
    <w:p w14:paraId="0D8601DC" w14:textId="1AFB5DF8" w:rsidR="00225F21" w:rsidRDefault="00675EBA" w:rsidP="00225F21">
      <w:pPr>
        <w:pStyle w:val="Text"/>
      </w:pPr>
      <w:r>
        <w:t>where</w:t>
      </w:r>
    </w:p>
    <w:tbl>
      <w:tblPr>
        <w:tblW w:w="0" w:type="auto"/>
        <w:tblInd w:w="346" w:type="dxa"/>
        <w:tblLook w:val="04A0" w:firstRow="1" w:lastRow="0" w:firstColumn="1" w:lastColumn="0" w:noHBand="0" w:noVBand="1"/>
      </w:tblPr>
      <w:tblGrid>
        <w:gridCol w:w="1285"/>
        <w:gridCol w:w="7932"/>
      </w:tblGrid>
      <w:tr w:rsidR="00225F21" w:rsidRPr="00870D59" w14:paraId="0645532A" w14:textId="77777777" w:rsidTr="00BD628C">
        <w:tc>
          <w:tcPr>
            <w:tcW w:w="1285" w:type="dxa"/>
          </w:tcPr>
          <w:p w14:paraId="0DE68448" w14:textId="07C357E0" w:rsidR="00225F21" w:rsidRPr="00870D59" w:rsidRDefault="009B5CEC" w:rsidP="002061E5">
            <w:pPr>
              <w:spacing w:after="60"/>
              <w:rPr>
                <w:rFonts w:eastAsia="Times New Roman" w:cs="Cambria"/>
                <w:szCs w:val="20"/>
                <w:lang w:eastAsia="fr-FR"/>
              </w:rPr>
            </w:pPr>
            <m:oMathPara>
              <m:oMath>
                <m:sSub>
                  <m:sSubPr>
                    <m:ctrlPr>
                      <w:rPr>
                        <w:rFonts w:ascii="Cambria Math" w:hAnsi="Cambria Math"/>
                      </w:rPr>
                    </m:ctrlPr>
                  </m:sSubPr>
                  <m:e>
                    <m:r>
                      <w:rPr>
                        <w:rFonts w:ascii="Cambria Math" w:hAnsi="Cambria Math"/>
                      </w:rPr>
                      <m:t>E</m:t>
                    </m:r>
                  </m:e>
                  <m:sub>
                    <m:r>
                      <m:rPr>
                        <m:sty m:val="p"/>
                      </m:rPr>
                      <w:rPr>
                        <w:rFonts w:ascii="Cambria Math" w:hAnsi="Cambria Math"/>
                      </w:rPr>
                      <m:t>pes,k</m:t>
                    </m:r>
                  </m:sub>
                </m:sSub>
                <m:r>
                  <w:rPr>
                    <w:rFonts w:ascii="Cambria Math" w:hAnsi="Cambria Math"/>
                  </w:rPr>
                  <m:t>=</m:t>
                </m:r>
                <m:sSub>
                  <m:sSubPr>
                    <m:ctrlPr>
                      <w:rPr>
                        <w:rFonts w:ascii="Cambria Math" w:hAnsi="Cambria Math"/>
                      </w:rPr>
                    </m:ctrlPr>
                  </m:sSubPr>
                  <m:e>
                    <m:r>
                      <w:rPr>
                        <w:rFonts w:ascii="Cambria Math" w:hAnsi="Cambria Math"/>
                      </w:rPr>
                      <m:t>V</m:t>
                    </m:r>
                  </m:e>
                  <m:sub>
                    <m:r>
                      <m:rPr>
                        <m:sty m:val="p"/>
                      </m:rPr>
                      <w:rPr>
                        <w:rFonts w:ascii="Cambria Math" w:hAnsi="Cambria Math"/>
                      </w:rPr>
                      <m:t>pD,k</m:t>
                    </m:r>
                  </m:sub>
                </m:sSub>
                <m:sSub>
                  <m:sSubPr>
                    <m:ctrlPr>
                      <w:rPr>
                        <w:rFonts w:ascii="Cambria Math" w:hAnsi="Cambria Math"/>
                      </w:rPr>
                    </m:ctrlPr>
                  </m:sSubPr>
                  <m:e>
                    <m:r>
                      <w:rPr>
                        <w:rFonts w:ascii="Cambria Math" w:hAnsi="Cambria Math"/>
                      </w:rPr>
                      <m:t>d</m:t>
                    </m:r>
                  </m:e>
                  <m:sub>
                    <m:r>
                      <m:rPr>
                        <m:sty m:val="p"/>
                      </m:rPr>
                      <w:rPr>
                        <w:rFonts w:ascii="Cambria Math" w:hAnsi="Cambria Math"/>
                      </w:rPr>
                      <m:t>D,k</m:t>
                    </m:r>
                  </m:sub>
                </m:sSub>
                <m:r>
                  <w:rPr>
                    <w:rFonts w:ascii="Cambria Math" w:hAnsi="Cambria Math"/>
                  </w:rPr>
                  <m:t>/2</m:t>
                </m:r>
              </m:oMath>
            </m:oMathPara>
          </w:p>
        </w:tc>
        <w:tc>
          <w:tcPr>
            <w:tcW w:w="7932" w:type="dxa"/>
          </w:tcPr>
          <w:p w14:paraId="5F6D7C45" w14:textId="1C8F8F7D" w:rsidR="00225F21" w:rsidRPr="00870D59" w:rsidRDefault="00225F21" w:rsidP="002061E5">
            <w:pPr>
              <w:spacing w:after="60"/>
              <w:rPr>
                <w:rFonts w:eastAsia="Times New Roman" w:cs="Cambria"/>
                <w:szCs w:val="20"/>
                <w:lang w:eastAsia="fr-FR"/>
              </w:rPr>
            </w:pPr>
            <w:r w:rsidRPr="00132C1E">
              <w:t xml:space="preserve">is the maximum shear for which the primary seismic members of the main structural system at the </w:t>
            </w:r>
            <w:r w:rsidRPr="00132C1E">
              <w:rPr>
                <w:i/>
              </w:rPr>
              <w:t>k</w:t>
            </w:r>
            <w:r w:rsidRPr="00132C1E">
              <w:t>-th storey in the direction under consideration remains in the elastic domain;</w:t>
            </w:r>
          </w:p>
        </w:tc>
      </w:tr>
      <w:tr w:rsidR="00225F21" w:rsidRPr="00870D59" w14:paraId="73DDB85A" w14:textId="77777777" w:rsidTr="00BD628C">
        <w:tc>
          <w:tcPr>
            <w:tcW w:w="1285" w:type="dxa"/>
          </w:tcPr>
          <w:p w14:paraId="2C941B8B" w14:textId="319CF550" w:rsidR="00225F21" w:rsidRPr="00870D59" w:rsidRDefault="00225F21" w:rsidP="002061E5">
            <w:pPr>
              <w:spacing w:after="60"/>
              <w:rPr>
                <w:i/>
                <w:color w:val="000000" w:themeColor="text1"/>
              </w:rPr>
            </w:pPr>
            <w:r w:rsidRPr="00132C1E">
              <w:rPr>
                <w:i/>
              </w:rPr>
              <w:t>d</w:t>
            </w:r>
            <w:r w:rsidRPr="00132C1E">
              <w:rPr>
                <w:vertAlign w:val="subscript"/>
              </w:rPr>
              <w:t>D,</w:t>
            </w:r>
            <w:r w:rsidRPr="004E4712">
              <w:rPr>
                <w:iCs/>
                <w:vertAlign w:val="subscript"/>
              </w:rPr>
              <w:t>k</w:t>
            </w:r>
          </w:p>
        </w:tc>
        <w:tc>
          <w:tcPr>
            <w:tcW w:w="7932" w:type="dxa"/>
          </w:tcPr>
          <w:p w14:paraId="48F1808F" w14:textId="664FCB04" w:rsidR="00225F21" w:rsidRPr="00870D59" w:rsidRDefault="00225F21" w:rsidP="002061E5">
            <w:pPr>
              <w:spacing w:after="60"/>
              <w:rPr>
                <w:color w:val="000000" w:themeColor="text1"/>
              </w:rPr>
            </w:pPr>
            <w:r w:rsidRPr="00132C1E">
              <w:t xml:space="preserve">is the maximum interstorey drift for which the primary seismic members of the main structural system at the </w:t>
            </w:r>
            <w:r w:rsidRPr="00132C1E">
              <w:rPr>
                <w:i/>
              </w:rPr>
              <w:t>k</w:t>
            </w:r>
            <w:r w:rsidRPr="00132C1E">
              <w:t>-th storey in the direction under consideration remains within the elastic range.</w:t>
            </w:r>
          </w:p>
        </w:tc>
      </w:tr>
    </w:tbl>
    <w:p w14:paraId="2C56DB22" w14:textId="5321D300" w:rsidR="00816967" w:rsidRPr="00870D59" w:rsidRDefault="00816967" w:rsidP="00816967">
      <w:pPr>
        <w:pStyle w:val="Notetext"/>
      </w:pPr>
      <w:r w:rsidRPr="00870D59">
        <w:t>NOTE</w:t>
      </w:r>
      <w:r w:rsidRPr="00870D59">
        <w:tab/>
      </w:r>
      <w:r w:rsidR="00225F21" w:rsidRPr="00132C1E">
        <w:rPr>
          <w:i/>
        </w:rPr>
        <w:t>E</w:t>
      </w:r>
      <w:r w:rsidR="00225F21" w:rsidRPr="00132C1E">
        <w:rPr>
          <w:vertAlign w:val="subscript"/>
        </w:rPr>
        <w:t>pes,</w:t>
      </w:r>
      <w:r w:rsidR="00225F21" w:rsidRPr="004E4712">
        <w:rPr>
          <w:iCs/>
          <w:vertAlign w:val="subscript"/>
        </w:rPr>
        <w:t>k</w:t>
      </w:r>
      <w:r w:rsidR="00225F21" w:rsidRPr="00132C1E">
        <w:t xml:space="preserve"> is represented by the area of triangle o-c-d in Figure 9.2.</w:t>
      </w:r>
    </w:p>
    <w:p w14:paraId="1B21785A" w14:textId="25AD48A1" w:rsidR="00816967" w:rsidRDefault="00225F21" w:rsidP="0080187E">
      <w:pPr>
        <w:pStyle w:val="Clause"/>
        <w:numPr>
          <w:ilvl w:val="0"/>
          <w:numId w:val="25"/>
        </w:numPr>
      </w:pPr>
      <w:r w:rsidRPr="00F71D03">
        <w:rPr>
          <w:i/>
        </w:rPr>
        <w:t>E</w:t>
      </w:r>
      <w:r w:rsidRPr="00F71D03">
        <w:rPr>
          <w:vertAlign w:val="subscript"/>
        </w:rPr>
        <w:t>des,</w:t>
      </w:r>
      <w:r w:rsidRPr="004E4712">
        <w:rPr>
          <w:iCs/>
          <w:vertAlign w:val="subscript"/>
        </w:rPr>
        <w:t>k</w:t>
      </w:r>
      <w:r w:rsidRPr="00F71D03">
        <w:rPr>
          <w:i/>
        </w:rPr>
        <w:t xml:space="preserve"> </w:t>
      </w:r>
      <w:r w:rsidRPr="008721BF">
        <w:t>should be calculated using Formula (D.9).</w:t>
      </w:r>
    </w:p>
    <w:p w14:paraId="241C73AD" w14:textId="500AE45C" w:rsidR="00225F21" w:rsidRPr="00870D59" w:rsidRDefault="009B5CEC" w:rsidP="00225F21">
      <w:pPr>
        <w:pStyle w:val="Formula"/>
        <w:spacing w:before="240"/>
      </w:pPr>
      <m:oMath>
        <m:sSub>
          <m:sSubPr>
            <m:ctrlPr>
              <w:rPr>
                <w:rFonts w:ascii="Cambria Math" w:hAnsi="Cambria Math"/>
              </w:rPr>
            </m:ctrlPr>
          </m:sSubPr>
          <m:e>
            <m:r>
              <w:rPr>
                <w:rFonts w:ascii="Cambria Math" w:hAnsi="Cambria Math"/>
              </w:rPr>
              <m:t>E</m:t>
            </m:r>
          </m:e>
          <m:sub>
            <m:r>
              <m:rPr>
                <m:sty m:val="p"/>
              </m:rPr>
              <w:rPr>
                <w:rFonts w:ascii="Cambria Math" w:hAnsi="Cambria Math"/>
              </w:rPr>
              <m:t>des,k</m:t>
            </m:r>
          </m:sub>
        </m:sSub>
        <m:r>
          <w:rPr>
            <w:rFonts w:ascii="Cambria Math" w:hAnsi="Cambria Math"/>
          </w:rPr>
          <m:t>=</m:t>
        </m:r>
        <m:sSub>
          <m:sSubPr>
            <m:ctrlPr>
              <w:rPr>
                <w:rFonts w:ascii="Cambria Math" w:hAnsi="Cambria Math"/>
              </w:rPr>
            </m:ctrlPr>
          </m:sSubPr>
          <m:e>
            <m:r>
              <w:rPr>
                <w:rFonts w:ascii="Cambria Math" w:hAnsi="Cambria Math"/>
              </w:rPr>
              <m:t>V</m:t>
            </m:r>
          </m:e>
          <m:sub>
            <m:r>
              <m:rPr>
                <m:sty m:val="p"/>
              </m:rPr>
              <w:rPr>
                <w:rFonts w:ascii="Cambria Math" w:hAnsi="Cambria Math"/>
              </w:rPr>
              <m:t>dy,k</m:t>
            </m:r>
          </m:sub>
        </m:sSub>
        <m:sSub>
          <m:sSubPr>
            <m:ctrlPr>
              <w:rPr>
                <w:rFonts w:ascii="Cambria Math" w:hAnsi="Cambria Math"/>
              </w:rPr>
            </m:ctrlPr>
          </m:sSubPr>
          <m:e>
            <m:r>
              <w:rPr>
                <w:rFonts w:ascii="Cambria Math" w:hAnsi="Cambria Math"/>
              </w:rPr>
              <m:t>d</m:t>
            </m:r>
          </m:e>
          <m:sub>
            <m:r>
              <m:rPr>
                <m:sty m:val="p"/>
              </m:rPr>
              <w:rPr>
                <w:rFonts w:ascii="Cambria Math" w:hAnsi="Cambria Math"/>
              </w:rPr>
              <m:t>dy,k</m:t>
            </m:r>
          </m:sub>
        </m:sSub>
        <m:r>
          <w:rPr>
            <w:rFonts w:ascii="Cambria Math" w:hAnsi="Cambria Math"/>
          </w:rPr>
          <m:t xml:space="preserve">/2  </m:t>
        </m:r>
      </m:oMath>
      <w:r w:rsidR="00225F21" w:rsidRPr="00870D59">
        <w:tab/>
        <w:t>(D.</w:t>
      </w:r>
      <w:r w:rsidR="00225F21">
        <w:t>9</w:t>
      </w:r>
      <w:r w:rsidR="00225F21" w:rsidRPr="00870D59">
        <w:t>)</w:t>
      </w:r>
    </w:p>
    <w:p w14:paraId="728E6FCA" w14:textId="09F6167F" w:rsidR="00225F21" w:rsidRDefault="00675EBA" w:rsidP="00225F21">
      <w:pPr>
        <w:pStyle w:val="Text"/>
      </w:pPr>
      <w:r>
        <w:t>where</w:t>
      </w:r>
    </w:p>
    <w:tbl>
      <w:tblPr>
        <w:tblW w:w="0" w:type="auto"/>
        <w:tblInd w:w="346" w:type="dxa"/>
        <w:tblLook w:val="04A0" w:firstRow="1" w:lastRow="0" w:firstColumn="1" w:lastColumn="0" w:noHBand="0" w:noVBand="1"/>
      </w:tblPr>
      <w:tblGrid>
        <w:gridCol w:w="1275"/>
        <w:gridCol w:w="7938"/>
      </w:tblGrid>
      <w:tr w:rsidR="00225F21" w:rsidRPr="00870D59" w14:paraId="55C95F01" w14:textId="77777777" w:rsidTr="00BD628C">
        <w:tc>
          <w:tcPr>
            <w:tcW w:w="1275" w:type="dxa"/>
          </w:tcPr>
          <w:p w14:paraId="5D637E35" w14:textId="51F14906" w:rsidR="00225F21" w:rsidRPr="00870D59" w:rsidRDefault="00225F21" w:rsidP="002061E5">
            <w:pPr>
              <w:spacing w:after="60"/>
              <w:rPr>
                <w:rFonts w:eastAsia="Times New Roman" w:cs="Cambria"/>
                <w:szCs w:val="20"/>
                <w:lang w:eastAsia="fr-FR"/>
              </w:rPr>
            </w:pPr>
            <w:r w:rsidRPr="00FD17CF">
              <w:rPr>
                <w:i/>
              </w:rPr>
              <w:t>V</w:t>
            </w:r>
            <w:r w:rsidRPr="00FD17CF">
              <w:rPr>
                <w:vertAlign w:val="subscript"/>
              </w:rPr>
              <w:t>dy,</w:t>
            </w:r>
            <w:r w:rsidRPr="004E4712">
              <w:rPr>
                <w:iCs/>
                <w:vertAlign w:val="subscript"/>
              </w:rPr>
              <w:t>k</w:t>
            </w:r>
          </w:p>
        </w:tc>
        <w:tc>
          <w:tcPr>
            <w:tcW w:w="7938" w:type="dxa"/>
          </w:tcPr>
          <w:p w14:paraId="4CEDB1C3" w14:textId="05580CF9" w:rsidR="00225F21" w:rsidRPr="00837A31" w:rsidRDefault="00225F21" w:rsidP="002061E5">
            <w:pPr>
              <w:spacing w:after="60"/>
              <w:rPr>
                <w:rFonts w:eastAsia="Times New Roman" w:cs="Cambria"/>
                <w:szCs w:val="20"/>
                <w:lang w:eastAsia="fr-FR"/>
              </w:rPr>
            </w:pPr>
            <w:r w:rsidRPr="00837A31">
              <w:t>is defined in 9.3.3.2(1);</w:t>
            </w:r>
          </w:p>
        </w:tc>
      </w:tr>
      <w:tr w:rsidR="00225F21" w:rsidRPr="00870D59" w14:paraId="3C97382D" w14:textId="77777777" w:rsidTr="00BD628C">
        <w:tc>
          <w:tcPr>
            <w:tcW w:w="1275" w:type="dxa"/>
          </w:tcPr>
          <w:p w14:paraId="294E890C" w14:textId="2A482C9B" w:rsidR="00225F21" w:rsidRPr="00870D59" w:rsidRDefault="00225F21" w:rsidP="002061E5">
            <w:pPr>
              <w:spacing w:after="60"/>
              <w:rPr>
                <w:i/>
                <w:color w:val="000000" w:themeColor="text1"/>
              </w:rPr>
            </w:pPr>
            <w:r w:rsidRPr="00196951">
              <w:rPr>
                <w:i/>
              </w:rPr>
              <w:t>d</w:t>
            </w:r>
            <w:r w:rsidRPr="002144A0">
              <w:rPr>
                <w:vertAlign w:val="subscript"/>
              </w:rPr>
              <w:t>dy,</w:t>
            </w:r>
            <w:r w:rsidRPr="004E4712">
              <w:rPr>
                <w:iCs/>
                <w:vertAlign w:val="subscript"/>
              </w:rPr>
              <w:t>k</w:t>
            </w:r>
          </w:p>
        </w:tc>
        <w:tc>
          <w:tcPr>
            <w:tcW w:w="7938" w:type="dxa"/>
          </w:tcPr>
          <w:p w14:paraId="44EC697A" w14:textId="63C5AAEF" w:rsidR="00225F21" w:rsidRPr="00837A31" w:rsidRDefault="00225F21" w:rsidP="002061E5">
            <w:pPr>
              <w:spacing w:after="60"/>
              <w:rPr>
                <w:color w:val="000000" w:themeColor="text1"/>
              </w:rPr>
            </w:pPr>
            <w:r w:rsidRPr="00837A31">
              <w:t xml:space="preserve">is the </w:t>
            </w:r>
            <w:r w:rsidRPr="00837A31">
              <w:rPr>
                <w:i/>
              </w:rPr>
              <w:t>k-</w:t>
            </w:r>
            <w:r w:rsidRPr="00837A31">
              <w:t>th storey drift at yielding of the energy dissipation devices of this storey in the direction under consideration.</w:t>
            </w:r>
          </w:p>
        </w:tc>
      </w:tr>
    </w:tbl>
    <w:p w14:paraId="5581F9AC" w14:textId="77777777" w:rsidR="00225F21" w:rsidRPr="00225F21" w:rsidRDefault="00225F21" w:rsidP="00225F21">
      <w:pPr>
        <w:pStyle w:val="Notetext"/>
      </w:pPr>
      <w:r w:rsidRPr="00225F21">
        <w:t>NOTE</w:t>
      </w:r>
      <w:r w:rsidRPr="00225F21">
        <w:tab/>
      </w:r>
      <w:r w:rsidRPr="00837A31">
        <w:rPr>
          <w:i/>
          <w:iCs/>
        </w:rPr>
        <w:t>E</w:t>
      </w:r>
      <w:r w:rsidRPr="00837A31">
        <w:rPr>
          <w:vertAlign w:val="subscript"/>
        </w:rPr>
        <w:t>pes,k</w:t>
      </w:r>
      <w:r w:rsidRPr="00225F21">
        <w:t xml:space="preserve"> is represented by the area of triangle o-c-d in Figure 9.2.</w:t>
      </w:r>
    </w:p>
    <w:p w14:paraId="6E12D5BB" w14:textId="66F50526" w:rsidR="00816967" w:rsidRDefault="00225F21" w:rsidP="0080187E">
      <w:pPr>
        <w:pStyle w:val="Clause"/>
        <w:numPr>
          <w:ilvl w:val="0"/>
          <w:numId w:val="25"/>
        </w:numPr>
      </w:pPr>
      <w:r w:rsidRPr="001A3D3B">
        <w:rPr>
          <w:i/>
        </w:rPr>
        <w:t>E</w:t>
      </w:r>
      <w:r w:rsidRPr="001A3D3B">
        <w:rPr>
          <w:vertAlign w:val="subscript"/>
        </w:rPr>
        <w:t>dH,</w:t>
      </w:r>
      <w:r w:rsidRPr="004E4712">
        <w:rPr>
          <w:iCs/>
          <w:vertAlign w:val="subscript"/>
        </w:rPr>
        <w:t>k</w:t>
      </w:r>
      <w:r w:rsidRPr="00A20A85">
        <w:t xml:space="preserve"> should be calculated using Formula (D.10).</w:t>
      </w:r>
    </w:p>
    <w:p w14:paraId="161F3535" w14:textId="6EE901B9" w:rsidR="00225F21" w:rsidRPr="00870D59" w:rsidRDefault="009B5CEC" w:rsidP="00225F21">
      <w:pPr>
        <w:pStyle w:val="Formula"/>
        <w:spacing w:before="240"/>
      </w:pPr>
      <m:oMath>
        <m:sSub>
          <m:sSubPr>
            <m:ctrlPr>
              <w:rPr>
                <w:rFonts w:ascii="Cambria Math" w:hAnsi="Cambria Math"/>
              </w:rPr>
            </m:ctrlPr>
          </m:sSubPr>
          <m:e>
            <m:r>
              <w:rPr>
                <w:rFonts w:ascii="Cambria Math" w:hAnsi="Cambria Math"/>
              </w:rPr>
              <m:t>E</m:t>
            </m:r>
          </m:e>
          <m:sub>
            <m:r>
              <m:rPr>
                <m:sty m:val="p"/>
              </m:rPr>
              <w:rPr>
                <w:rFonts w:ascii="Cambria Math" w:hAnsi="Cambria Math"/>
              </w:rPr>
              <m:t>dH,k</m:t>
            </m:r>
          </m:sub>
        </m:sSub>
        <m:r>
          <w:rPr>
            <w:rFonts w:ascii="Cambria Math" w:hAnsi="Cambria Math"/>
          </w:rPr>
          <m:t>=4</m:t>
        </m:r>
        <m:sSub>
          <m:sSubPr>
            <m:ctrlPr>
              <w:rPr>
                <w:rFonts w:ascii="Cambria Math" w:hAnsi="Cambria Math"/>
              </w:rPr>
            </m:ctrlPr>
          </m:sSubPr>
          <m:e>
            <m:r>
              <w:rPr>
                <w:rFonts w:ascii="Cambria Math" w:hAnsi="Cambria Math"/>
              </w:rPr>
              <m:t>V</m:t>
            </m:r>
          </m:e>
          <m:sub>
            <m:r>
              <m:rPr>
                <m:sty m:val="p"/>
              </m:rPr>
              <w:rPr>
                <w:rFonts w:ascii="Cambria Math" w:hAnsi="Cambria Math"/>
              </w:rPr>
              <m:t>dy,k</m:t>
            </m:r>
          </m:sub>
        </m:sSub>
        <m:r>
          <w:rPr>
            <w:rFonts w:ascii="Cambria Math" w:hAnsi="Cambria Math"/>
          </w:rPr>
          <m:t>(</m:t>
        </m:r>
        <m:sSub>
          <m:sSubPr>
            <m:ctrlPr>
              <w:rPr>
                <w:rFonts w:ascii="Cambria Math" w:hAnsi="Cambria Math"/>
              </w:rPr>
            </m:ctrlPr>
          </m:sSubPr>
          <m:e>
            <m:r>
              <w:rPr>
                <w:rFonts w:ascii="Cambria Math" w:hAnsi="Cambria Math"/>
              </w:rPr>
              <m:t>d</m:t>
            </m:r>
          </m:e>
          <m:sub>
            <m:r>
              <m:rPr>
                <m:sty m:val="p"/>
              </m:rPr>
              <w:rPr>
                <w:rFonts w:ascii="Cambria Math" w:hAnsi="Cambria Math"/>
              </w:rPr>
              <m:t>D,k</m:t>
            </m:r>
          </m:sub>
        </m:sSub>
        <m:r>
          <w:rPr>
            <w:rFonts w:ascii="Cambria Math" w:hAnsi="Cambria Math"/>
          </w:rPr>
          <m:t>-</m:t>
        </m:r>
        <m:sSub>
          <m:sSubPr>
            <m:ctrlPr>
              <w:rPr>
                <w:rFonts w:ascii="Cambria Math" w:hAnsi="Cambria Math"/>
              </w:rPr>
            </m:ctrlPr>
          </m:sSubPr>
          <m:e>
            <m:r>
              <w:rPr>
                <w:rFonts w:ascii="Cambria Math" w:hAnsi="Cambria Math"/>
              </w:rPr>
              <m:t>d</m:t>
            </m:r>
          </m:e>
          <m:sub>
            <m:r>
              <m:rPr>
                <m:sty m:val="p"/>
              </m:rPr>
              <w:rPr>
                <w:rFonts w:ascii="Cambria Math" w:hAnsi="Cambria Math"/>
              </w:rPr>
              <m:t>dy,k</m:t>
            </m:r>
          </m:sub>
        </m:sSub>
        <m:r>
          <w:rPr>
            <w:rFonts w:ascii="Cambria Math" w:hAnsi="Cambria Math"/>
          </w:rPr>
          <m:t xml:space="preserve">)   </m:t>
        </m:r>
      </m:oMath>
      <w:r w:rsidR="00225F21" w:rsidRPr="00870D59">
        <w:tab/>
        <w:t>(D.</w:t>
      </w:r>
      <w:r w:rsidR="00225F21">
        <w:t>10</w:t>
      </w:r>
      <w:r w:rsidR="00225F21" w:rsidRPr="00870D59">
        <w:t>)</w:t>
      </w:r>
    </w:p>
    <w:p w14:paraId="6492591C" w14:textId="179ADC53" w:rsidR="00225F21" w:rsidRPr="00225F21" w:rsidRDefault="00225F21" w:rsidP="00225F21">
      <w:pPr>
        <w:pStyle w:val="Notetext"/>
      </w:pPr>
      <w:r w:rsidRPr="00225F21">
        <w:t>NOTE</w:t>
      </w:r>
      <w:r w:rsidRPr="00225F21">
        <w:tab/>
      </w:r>
      <w:r w:rsidRPr="007E6F67">
        <w:rPr>
          <w:i/>
        </w:rPr>
        <w:t>E</w:t>
      </w:r>
      <w:r w:rsidRPr="00FD17CF">
        <w:rPr>
          <w:vertAlign w:val="subscript"/>
        </w:rPr>
        <w:t>dH,</w:t>
      </w:r>
      <w:r w:rsidRPr="004E4712">
        <w:rPr>
          <w:iCs/>
          <w:vertAlign w:val="subscript"/>
        </w:rPr>
        <w:t>k</w:t>
      </w:r>
      <w:r w:rsidRPr="00FD17CF">
        <w:t xml:space="preserve"> is taken as equivalent to the energy dissipated by the dampers in one cycle of displacement at amplitude </w:t>
      </w:r>
      <w:r w:rsidRPr="00E05E29">
        <w:rPr>
          <w:i/>
        </w:rPr>
        <w:t>d</w:t>
      </w:r>
      <w:r w:rsidRPr="00196951">
        <w:rPr>
          <w:vertAlign w:val="subscript"/>
        </w:rPr>
        <w:t>D,</w:t>
      </w:r>
      <w:r w:rsidRPr="004E4712">
        <w:rPr>
          <w:iCs/>
          <w:vertAlign w:val="subscript"/>
        </w:rPr>
        <w:t>k</w:t>
      </w:r>
      <w:r w:rsidRPr="00196951">
        <w:t>, that is, four times the area of rectangle a-b-d-e in Figure 9.1.</w:t>
      </w:r>
    </w:p>
    <w:p w14:paraId="5ECA67A0" w14:textId="77777777" w:rsidR="00225F21" w:rsidRPr="00196951" w:rsidRDefault="00225F21" w:rsidP="00225F21">
      <w:pPr>
        <w:pStyle w:val="a3"/>
        <w:spacing w:before="60"/>
      </w:pPr>
      <w:bookmarkStart w:id="11190" w:name="_Toc50150723"/>
      <w:bookmarkStart w:id="11191" w:name="_Toc70887156"/>
      <w:bookmarkStart w:id="11192" w:name="_Toc108342740"/>
      <w:bookmarkStart w:id="11193" w:name="_Toc120543827"/>
      <w:bookmarkStart w:id="11194" w:name="_Toc134198249"/>
      <w:bookmarkStart w:id="11195" w:name="_Toc16927733"/>
      <w:r w:rsidRPr="00196951">
        <w:t xml:space="preserve">Calculation of </w:t>
      </w:r>
      <w:r w:rsidRPr="00196951">
        <w:rPr>
          <w:i/>
          <w:iCs/>
        </w:rPr>
        <w:t>E</w:t>
      </w:r>
      <w:r w:rsidRPr="00196951">
        <w:rPr>
          <w:vertAlign w:val="subscript"/>
        </w:rPr>
        <w:t>H,</w:t>
      </w:r>
      <w:r w:rsidRPr="00196951">
        <w:rPr>
          <w:i/>
          <w:iCs/>
          <w:vertAlign w:val="subscript"/>
        </w:rPr>
        <w:t>k</w:t>
      </w:r>
      <w:bookmarkEnd w:id="11190"/>
      <w:bookmarkEnd w:id="11191"/>
      <w:bookmarkEnd w:id="11192"/>
      <w:bookmarkEnd w:id="11193"/>
      <w:bookmarkEnd w:id="11194"/>
      <w:r w:rsidRPr="00196951">
        <w:rPr>
          <w:i/>
          <w:iCs/>
          <w:vertAlign w:val="subscript"/>
        </w:rPr>
        <w:t xml:space="preserve"> </w:t>
      </w:r>
      <w:bookmarkEnd w:id="11195"/>
    </w:p>
    <w:p w14:paraId="15F63DD8" w14:textId="411AC463" w:rsidR="00225F21" w:rsidRPr="001A3D3B" w:rsidRDefault="00225F21" w:rsidP="0080187E">
      <w:pPr>
        <w:pStyle w:val="Clause"/>
        <w:numPr>
          <w:ilvl w:val="0"/>
          <w:numId w:val="218"/>
        </w:numPr>
      </w:pPr>
      <w:r w:rsidRPr="001A3D3B">
        <w:t xml:space="preserve">The required amount of energy dissipation </w:t>
      </w:r>
      <w:r w:rsidRPr="00225F21">
        <w:rPr>
          <w:i/>
        </w:rPr>
        <w:t>E</w:t>
      </w:r>
      <w:r w:rsidRPr="00225F21">
        <w:rPr>
          <w:vertAlign w:val="subscript"/>
        </w:rPr>
        <w:t>H,</w:t>
      </w:r>
      <w:r w:rsidRPr="00225F21">
        <w:rPr>
          <w:i/>
          <w:vertAlign w:val="subscript"/>
        </w:rPr>
        <w:t>k</w:t>
      </w:r>
      <w:r w:rsidRPr="00225F21">
        <w:rPr>
          <w:i/>
        </w:rPr>
        <w:t xml:space="preserve"> </w:t>
      </w:r>
      <w:r w:rsidRPr="001A3D3B">
        <w:t xml:space="preserve">in form of plastic strain at the </w:t>
      </w:r>
      <w:r w:rsidRPr="00225F21">
        <w:rPr>
          <w:i/>
        </w:rPr>
        <w:t>k</w:t>
      </w:r>
      <w:r w:rsidRPr="001A3D3B">
        <w:t>-th storey of the building in the direction under consideration</w:t>
      </w:r>
      <w:r w:rsidRPr="00225F21">
        <w:rPr>
          <w:i/>
        </w:rPr>
        <w:t xml:space="preserve"> </w:t>
      </w:r>
      <w:r w:rsidRPr="001A3D3B">
        <w:t>should be calculated with Formula (D.11).</w:t>
      </w:r>
    </w:p>
    <w:p w14:paraId="13C4255B" w14:textId="6BB6587A" w:rsidR="0072177C" w:rsidRPr="00870D59" w:rsidRDefault="009B5CEC" w:rsidP="0072177C">
      <w:pPr>
        <w:pStyle w:val="Formula"/>
        <w:spacing w:before="240"/>
      </w:pPr>
      <m:oMath>
        <m:sSub>
          <m:sSubPr>
            <m:ctrlPr>
              <w:rPr>
                <w:rFonts w:ascii="Cambria Math" w:hAnsi="Cambria Math"/>
              </w:rPr>
            </m:ctrlPr>
          </m:sSubPr>
          <m:e>
            <m:r>
              <w:rPr>
                <w:rFonts w:ascii="Cambria Math" w:hAnsi="Cambria Math"/>
              </w:rPr>
              <m:t>E</m:t>
            </m:r>
          </m:e>
          <m:sub>
            <m:r>
              <m:rPr>
                <m:sty m:val="p"/>
              </m:rPr>
              <w:rPr>
                <w:rFonts w:ascii="Cambria Math" w:hAnsi="Cambria Math"/>
              </w:rPr>
              <m:t>H,k</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s</m:t>
                </m:r>
              </m:e>
              <m:sub>
                <m:r>
                  <m:rPr>
                    <m:sty m:val="p"/>
                  </m:rPr>
                  <w:rPr>
                    <w:rFonts w:ascii="Cambria Math" w:hAnsi="Cambria Math"/>
                  </w:rPr>
                  <m:t>k</m:t>
                </m:r>
              </m:sub>
            </m:sSub>
            <m:sSup>
              <m:sSupPr>
                <m:ctrlPr>
                  <w:rPr>
                    <w:rFonts w:ascii="Cambria Math" w:hAnsi="Cambria Math"/>
                  </w:rPr>
                </m:ctrlPr>
              </m:sSupPr>
              <m:e>
                <m:d>
                  <m:dPr>
                    <m:ctrlPr>
                      <w:rPr>
                        <w:rFonts w:ascii="Cambria Math" w:hAnsi="Cambria Math"/>
                      </w:rPr>
                    </m:ctrlPr>
                  </m:dPr>
                  <m:e>
                    <m:sSub>
                      <m:sSubPr>
                        <m:ctrlPr>
                          <w:rPr>
                            <w:rFonts w:ascii="Cambria Math" w:hAnsi="Cambria Math"/>
                          </w:rPr>
                        </m:ctrlPr>
                      </m:sSubPr>
                      <m:e>
                        <m:r>
                          <w:rPr>
                            <w:rFonts w:ascii="Cambria Math" w:hAnsi="Cambria Math"/>
                          </w:rPr>
                          <m:t>p</m:t>
                        </m:r>
                      </m:e>
                      <m:sub>
                        <m:r>
                          <m:rPr>
                            <m:sty m:val="p"/>
                          </m:rPr>
                          <w:rPr>
                            <w:rFonts w:ascii="Cambria Math" w:hAnsi="Cambria Math"/>
                          </w:rPr>
                          <m:t>k</m:t>
                        </m:r>
                        <m:r>
                          <w:rPr>
                            <w:rFonts w:ascii="Cambria Math" w:hAnsi="Cambria Math"/>
                          </w:rPr>
                          <m:t> </m:t>
                        </m:r>
                      </m:sub>
                    </m:sSub>
                    <m:sSub>
                      <m:sSubPr>
                        <m:ctrlPr>
                          <w:rPr>
                            <w:rFonts w:ascii="Cambria Math" w:hAnsi="Cambria Math"/>
                          </w:rPr>
                        </m:ctrlPr>
                      </m:sSubPr>
                      <m:e>
                        <m:r>
                          <w:rPr>
                            <w:rFonts w:ascii="Cambria Math" w:hAnsi="Cambria Math"/>
                          </w:rPr>
                          <m:t>p</m:t>
                        </m:r>
                      </m:e>
                      <m:sub>
                        <m:r>
                          <m:rPr>
                            <m:sty m:val="p"/>
                          </m:rPr>
                          <w:rPr>
                            <w:rFonts w:ascii="Cambria Math" w:hAnsi="Cambria Math"/>
                          </w:rPr>
                          <m:t>t,k</m:t>
                        </m:r>
                      </m:sub>
                    </m:sSub>
                  </m:e>
                </m:d>
              </m:e>
              <m:sup>
                <m:r>
                  <w:rPr>
                    <w:rFonts w:ascii="Cambria Math" w:hAnsi="Cambria Math"/>
                  </w:rPr>
                  <m:t>-n</m:t>
                </m:r>
              </m:sup>
            </m:sSup>
          </m:num>
          <m:den>
            <m:nary>
              <m:naryPr>
                <m:chr m:val="∑"/>
                <m:limLoc m:val="undOvr"/>
                <m:ctrlPr>
                  <w:rPr>
                    <w:rFonts w:ascii="Cambria Math" w:hAnsi="Cambria Math"/>
                  </w:rPr>
                </m:ctrlPr>
              </m:naryPr>
              <m:sub>
                <m:r>
                  <m:rPr>
                    <m:sty m:val="p"/>
                  </m:rPr>
                  <w:rPr>
                    <w:rFonts w:ascii="Cambria Math" w:hAnsi="Cambria Math"/>
                  </w:rPr>
                  <m:t>j=</m:t>
                </m:r>
                <m:r>
                  <w:rPr>
                    <w:rFonts w:ascii="Cambria Math" w:hAnsi="Cambria Math"/>
                  </w:rPr>
                  <m:t>1</m:t>
                </m:r>
              </m:sub>
              <m:sup>
                <m:r>
                  <w:rPr>
                    <w:rFonts w:ascii="Cambria Math" w:hAnsi="Cambria Math"/>
                  </w:rPr>
                  <m:t>N</m:t>
                </m:r>
              </m:sup>
              <m:e>
                <m:sSub>
                  <m:sSubPr>
                    <m:ctrlPr>
                      <w:rPr>
                        <w:rFonts w:ascii="Cambria Math" w:hAnsi="Cambria Math"/>
                      </w:rPr>
                    </m:ctrlPr>
                  </m:sSubPr>
                  <m:e>
                    <m:r>
                      <w:rPr>
                        <w:rFonts w:ascii="Cambria Math" w:hAnsi="Cambria Math"/>
                      </w:rPr>
                      <m:t>s</m:t>
                    </m:r>
                  </m:e>
                  <m:sub>
                    <m:r>
                      <m:rPr>
                        <m:sty m:val="p"/>
                      </m:rPr>
                      <w:rPr>
                        <w:rFonts w:ascii="Cambria Math" w:hAnsi="Cambria Math"/>
                      </w:rPr>
                      <m:t>j</m:t>
                    </m:r>
                  </m:sub>
                </m:sSub>
                <m:sSup>
                  <m:sSupPr>
                    <m:ctrlPr>
                      <w:rPr>
                        <w:rFonts w:ascii="Cambria Math" w:hAnsi="Cambria Math"/>
                      </w:rPr>
                    </m:ctrlPr>
                  </m:sSupPr>
                  <m:e>
                    <m:d>
                      <m:dPr>
                        <m:ctrlPr>
                          <w:rPr>
                            <w:rFonts w:ascii="Cambria Math" w:hAnsi="Cambria Math"/>
                          </w:rPr>
                        </m:ctrlPr>
                      </m:dPr>
                      <m:e>
                        <m:sSub>
                          <m:sSubPr>
                            <m:ctrlPr>
                              <w:rPr>
                                <w:rFonts w:ascii="Cambria Math" w:hAnsi="Cambria Math"/>
                              </w:rPr>
                            </m:ctrlPr>
                          </m:sSubPr>
                          <m:e>
                            <m:r>
                              <w:rPr>
                                <w:rFonts w:ascii="Cambria Math" w:hAnsi="Cambria Math"/>
                              </w:rPr>
                              <m:t>p</m:t>
                            </m:r>
                          </m:e>
                          <m:sub>
                            <m:r>
                              <m:rPr>
                                <m:sty m:val="p"/>
                              </m:rPr>
                              <w:rPr>
                                <w:rFonts w:ascii="Cambria Math" w:hAnsi="Cambria Math"/>
                              </w:rPr>
                              <m:t>j</m:t>
                            </m:r>
                          </m:sub>
                        </m:sSub>
                        <m:sSub>
                          <m:sSubPr>
                            <m:ctrlPr>
                              <w:rPr>
                                <w:rFonts w:ascii="Cambria Math" w:hAnsi="Cambria Math"/>
                              </w:rPr>
                            </m:ctrlPr>
                          </m:sSubPr>
                          <m:e>
                            <m:r>
                              <w:rPr>
                                <w:rFonts w:ascii="Cambria Math" w:hAnsi="Cambria Math"/>
                              </w:rPr>
                              <m:t> p</m:t>
                            </m:r>
                          </m:e>
                          <m:sub>
                            <m:r>
                              <m:rPr>
                                <m:sty m:val="p"/>
                              </m:rPr>
                              <w:rPr>
                                <w:rFonts w:ascii="Cambria Math" w:hAnsi="Cambria Math"/>
                              </w:rPr>
                              <m:t>t,j</m:t>
                            </m:r>
                          </m:sub>
                        </m:sSub>
                      </m:e>
                    </m:d>
                  </m:e>
                  <m:sup>
                    <m:r>
                      <w:rPr>
                        <w:rFonts w:ascii="Cambria Math" w:hAnsi="Cambria Math"/>
                      </w:rPr>
                      <m:t>-n</m:t>
                    </m:r>
                  </m:sup>
                </m:sSup>
              </m:e>
            </m:nary>
          </m:den>
        </m:f>
        <m:d>
          <m:dPr>
            <m:begChr m:val="["/>
            <m:endChr m:val="]"/>
            <m:ctrlPr>
              <w:rPr>
                <w:rFonts w:ascii="Cambria Math" w:hAnsi="Cambria Math"/>
              </w:rPr>
            </m:ctrlPr>
          </m:dPr>
          <m:e>
            <m:f>
              <m:fPr>
                <m:ctrlPr>
                  <w:rPr>
                    <w:rFonts w:ascii="Cambria Math" w:hAnsi="Cambria Math"/>
                  </w:rPr>
                </m:ctrlPr>
              </m:fPr>
              <m:num>
                <m:r>
                  <w:rPr>
                    <w:rFonts w:ascii="Cambria Math" w:hAnsi="Cambria Math"/>
                  </w:rPr>
                  <m:t>1</m:t>
                </m:r>
              </m:num>
              <m:den>
                <m:r>
                  <w:rPr>
                    <w:rFonts w:ascii="Cambria Math" w:hAnsi="Cambria Math"/>
                  </w:rPr>
                  <m:t>2</m:t>
                </m:r>
              </m:den>
            </m:f>
            <m:r>
              <w:rPr>
                <w:rFonts w:ascii="Cambria Math" w:hAnsi="Cambria Math"/>
              </w:rPr>
              <m:t>M</m:t>
            </m:r>
            <m:sSup>
              <m:sSupPr>
                <m:ctrlPr>
                  <w:rPr>
                    <w:rFonts w:ascii="Cambria Math" w:hAnsi="Cambria Math"/>
                  </w:rPr>
                </m:ctrlPr>
              </m:sSupPr>
              <m:e>
                <m:d>
                  <m:dPr>
                    <m:ctrlPr>
                      <w:rPr>
                        <w:rFonts w:ascii="Cambria Math" w:hAnsi="Cambria Math"/>
                      </w:rPr>
                    </m:ctrlPr>
                  </m:dPr>
                  <m:e>
                    <m:f>
                      <m:fPr>
                        <m:ctrlPr>
                          <w:rPr>
                            <w:rFonts w:ascii="Cambria Math" w:hAnsi="Cambria Math"/>
                          </w:rPr>
                        </m:ctrlPr>
                      </m:fPr>
                      <m:num>
                        <m:sSub>
                          <m:sSubPr>
                            <m:ctrlPr>
                              <w:rPr>
                                <w:rFonts w:ascii="Cambria Math" w:hAnsi="Cambria Math"/>
                              </w:rPr>
                            </m:ctrlPr>
                          </m:sSubPr>
                          <m:e>
                            <m:r>
                              <w:rPr>
                                <w:rFonts w:ascii="Cambria Math" w:hAnsi="Cambria Math"/>
                              </w:rPr>
                              <m:t>T</m:t>
                            </m:r>
                          </m:e>
                          <m:sub>
                            <m:r>
                              <m:rPr>
                                <m:sty m:val="p"/>
                              </m:rPr>
                              <w:rPr>
                                <w:rFonts w:ascii="Cambria Math" w:hAnsi="Cambria Math"/>
                              </w:rPr>
                              <m:t>s1</m:t>
                            </m:r>
                          </m:sub>
                        </m:sSub>
                      </m:num>
                      <m:den>
                        <m:r>
                          <w:rPr>
                            <w:rFonts w:ascii="Cambria Math" w:hAnsi="Cambria Math"/>
                          </w:rPr>
                          <m:t>2π</m:t>
                        </m:r>
                      </m:den>
                    </m:f>
                    <m:sSub>
                      <m:sSubPr>
                        <m:ctrlPr>
                          <w:rPr>
                            <w:rFonts w:ascii="Cambria Math" w:hAnsi="Cambria Math"/>
                          </w:rPr>
                        </m:ctrlPr>
                      </m:sSubPr>
                      <m:e>
                        <m:r>
                          <w:rPr>
                            <w:rFonts w:ascii="Cambria Math" w:hAnsi="Cambria Math"/>
                          </w:rPr>
                          <m:t>S</m:t>
                        </m:r>
                      </m:e>
                      <m:sub>
                        <m:r>
                          <m:rPr>
                            <m:sty m:val="p"/>
                          </m:rPr>
                          <w:rPr>
                            <w:rFonts w:ascii="Cambria Math" w:hAnsi="Cambria Math"/>
                          </w:rPr>
                          <m:t>e</m:t>
                        </m:r>
                      </m:sub>
                    </m:sSub>
                    <m:d>
                      <m:dPr>
                        <m:ctrlPr>
                          <w:rPr>
                            <w:rFonts w:ascii="Cambria Math" w:hAnsi="Cambria Math"/>
                          </w:rPr>
                        </m:ctrlPr>
                      </m:dPr>
                      <m:e>
                        <m:sSub>
                          <m:sSubPr>
                            <m:ctrlPr>
                              <w:rPr>
                                <w:rFonts w:ascii="Cambria Math" w:hAnsi="Cambria Math"/>
                              </w:rPr>
                            </m:ctrlPr>
                          </m:sSubPr>
                          <m:e>
                            <m:r>
                              <w:rPr>
                                <w:rFonts w:ascii="Cambria Math" w:hAnsi="Cambria Math"/>
                              </w:rPr>
                              <m:t>T</m:t>
                            </m:r>
                          </m:e>
                          <m:sub>
                            <m:r>
                              <m:rPr>
                                <m:sty m:val="p"/>
                              </m:rPr>
                              <w:rPr>
                                <w:rFonts w:ascii="Cambria Math" w:hAnsi="Cambria Math"/>
                              </w:rPr>
                              <m:t>s1</m:t>
                            </m:r>
                          </m:sub>
                        </m:sSub>
                        <m:r>
                          <w:rPr>
                            <w:rFonts w:ascii="Cambria Math" w:hAnsi="Cambria Math"/>
                          </w:rPr>
                          <m:t>,5%</m:t>
                        </m:r>
                      </m:e>
                    </m:d>
                    <m:r>
                      <w:rPr>
                        <w:rFonts w:ascii="Cambria Math" w:hAnsi="Cambria Math"/>
                      </w:rPr>
                      <m:t> η</m:t>
                    </m:r>
                    <m:d>
                      <m:dPr>
                        <m:ctrlPr>
                          <w:rPr>
                            <w:rFonts w:ascii="Cambria Math" w:hAnsi="Cambria Math"/>
                          </w:rPr>
                        </m:ctrlPr>
                      </m:dPr>
                      <m:e>
                        <m:sSub>
                          <m:sSubPr>
                            <m:ctrlPr>
                              <w:rPr>
                                <w:rFonts w:ascii="Cambria Math" w:hAnsi="Cambria Math"/>
                              </w:rPr>
                            </m:ctrlPr>
                          </m:sSubPr>
                          <m:e>
                            <m:r>
                              <w:rPr>
                                <w:rFonts w:ascii="Cambria Math" w:hAnsi="Cambria Math"/>
                              </w:rPr>
                              <m:t>T</m:t>
                            </m:r>
                          </m:e>
                          <m:sub>
                            <m:r>
                              <m:rPr>
                                <m:sty m:val="p"/>
                              </m:rPr>
                              <w:rPr>
                                <w:rFonts w:ascii="Cambria Math" w:hAnsi="Cambria Math"/>
                              </w:rPr>
                              <m:t>s1</m:t>
                            </m:r>
                          </m:sub>
                        </m:sSub>
                        <m:r>
                          <w:rPr>
                            <w:rFonts w:ascii="Cambria Math" w:hAnsi="Cambria Math"/>
                          </w:rPr>
                          <m:t>,</m:t>
                        </m:r>
                        <m:sSub>
                          <m:sSubPr>
                            <m:ctrlPr>
                              <w:rPr>
                                <w:rFonts w:ascii="Cambria Math" w:hAnsi="Cambria Math"/>
                              </w:rPr>
                            </m:ctrlPr>
                          </m:sSubPr>
                          <m:e>
                            <m:r>
                              <w:rPr>
                                <w:rFonts w:ascii="Cambria Math" w:hAnsi="Cambria Math"/>
                              </w:rPr>
                              <m:t>ξ</m:t>
                            </m:r>
                          </m:e>
                          <m:sub>
                            <m:r>
                              <w:rPr>
                                <w:rFonts w:ascii="Cambria Math" w:hAnsi="Cambria Math"/>
                              </w:rPr>
                              <m:t>1</m:t>
                            </m:r>
                          </m:sub>
                        </m:sSub>
                      </m:e>
                    </m:d>
                  </m:e>
                </m:d>
              </m:e>
              <m:sup>
                <m:r>
                  <w:rPr>
                    <w:rFonts w:ascii="Cambria Math" w:hAnsi="Cambria Math"/>
                  </w:rPr>
                  <m:t>2</m:t>
                </m:r>
              </m:sup>
            </m:sSup>
            <m:r>
              <w:rPr>
                <w:rFonts w:ascii="Cambria Math" w:hAnsi="Cambria Math"/>
              </w:rPr>
              <m:t>-</m:t>
            </m:r>
            <m:nary>
              <m:naryPr>
                <m:chr m:val="∑"/>
                <m:limLoc m:val="undOvr"/>
                <m:ctrlPr>
                  <w:rPr>
                    <w:rFonts w:ascii="Cambria Math" w:hAnsi="Cambria Math"/>
                  </w:rPr>
                </m:ctrlPr>
              </m:naryPr>
              <m:sub>
                <m:r>
                  <m:rPr>
                    <m:sty m:val="p"/>
                  </m:rPr>
                  <w:rPr>
                    <w:rFonts w:ascii="Cambria Math" w:hAnsi="Cambria Math"/>
                  </w:rPr>
                  <m:t>j</m:t>
                </m:r>
                <m:r>
                  <w:rPr>
                    <w:rFonts w:ascii="Cambria Math" w:hAnsi="Cambria Math"/>
                  </w:rPr>
                  <m:t>=1</m:t>
                </m:r>
              </m:sub>
              <m:sup>
                <m:r>
                  <w:rPr>
                    <w:rFonts w:ascii="Cambria Math" w:hAnsi="Cambria Math"/>
                  </w:rPr>
                  <m:t>N</m:t>
                </m:r>
              </m:sup>
              <m:e>
                <m:d>
                  <m:dPr>
                    <m:ctrlPr>
                      <w:rPr>
                        <w:rFonts w:ascii="Cambria Math" w:hAnsi="Cambria Math"/>
                      </w:rPr>
                    </m:ctrlPr>
                  </m:dPr>
                  <m:e>
                    <m:f>
                      <m:fPr>
                        <m:type m:val="lin"/>
                        <m:ctrlPr>
                          <w:rPr>
                            <w:rFonts w:ascii="Cambria Math" w:hAnsi="Cambria Math"/>
                          </w:rPr>
                        </m:ctrlPr>
                      </m:fPr>
                      <m:num>
                        <m:sSub>
                          <m:sSubPr>
                            <m:ctrlPr>
                              <w:rPr>
                                <w:rFonts w:ascii="Cambria Math" w:hAnsi="Cambria Math"/>
                              </w:rPr>
                            </m:ctrlPr>
                          </m:sSubPr>
                          <m:e>
                            <m:r>
                              <w:rPr>
                                <w:rFonts w:ascii="Cambria Math" w:hAnsi="Cambria Math"/>
                              </w:rPr>
                              <m:t>α</m:t>
                            </m:r>
                          </m:e>
                          <m:sub>
                            <m:r>
                              <m:rPr>
                                <m:sty m:val="p"/>
                              </m:rPr>
                              <w:rPr>
                                <w:rFonts w:ascii="Cambria Math" w:hAnsi="Cambria Math"/>
                              </w:rPr>
                              <m:t>j</m:t>
                            </m:r>
                          </m:sub>
                        </m:sSub>
                        <m:sSub>
                          <m:sSubPr>
                            <m:ctrlPr>
                              <w:rPr>
                                <w:rFonts w:ascii="Cambria Math" w:hAnsi="Cambria Math"/>
                              </w:rPr>
                            </m:ctrlPr>
                          </m:sSubPr>
                          <m:e>
                            <m:bar>
                              <m:barPr>
                                <m:pos m:val="top"/>
                                <m:ctrlPr>
                                  <w:rPr>
                                    <w:rFonts w:ascii="Cambria Math" w:hAnsi="Cambria Math"/>
                                  </w:rPr>
                                </m:ctrlPr>
                              </m:barPr>
                              <m:e>
                                <m:r>
                                  <w:rPr>
                                    <w:rFonts w:ascii="Cambria Math" w:hAnsi="Cambria Math"/>
                                  </w:rPr>
                                  <m:t>m</m:t>
                                </m:r>
                              </m:e>
                            </m:bar>
                          </m:e>
                          <m:sub>
                            <m:r>
                              <m:rPr>
                                <m:sty m:val="p"/>
                              </m:rPr>
                              <w:rPr>
                                <w:rFonts w:ascii="Cambria Math" w:hAnsi="Cambria Math"/>
                              </w:rPr>
                              <m:t>j</m:t>
                            </m:r>
                          </m:sub>
                        </m:sSub>
                        <m:r>
                          <w:rPr>
                            <w:rFonts w:ascii="Cambria Math" w:hAnsi="Cambria Math"/>
                          </w:rPr>
                          <m:t>Mg</m:t>
                        </m:r>
                        <m:sSub>
                          <m:sSubPr>
                            <m:ctrlPr>
                              <w:rPr>
                                <w:rFonts w:ascii="Cambria Math" w:hAnsi="Cambria Math"/>
                              </w:rPr>
                            </m:ctrlPr>
                          </m:sSubPr>
                          <m:e>
                            <m:r>
                              <w:rPr>
                                <w:rFonts w:ascii="Cambria Math" w:hAnsi="Cambria Math"/>
                              </w:rPr>
                              <m:t>d</m:t>
                            </m:r>
                          </m:e>
                          <m:sub>
                            <m:r>
                              <m:rPr>
                                <m:sty m:val="p"/>
                              </m:rPr>
                              <w:rPr>
                                <w:rFonts w:ascii="Cambria Math" w:hAnsi="Cambria Math"/>
                              </w:rPr>
                              <m:t>py,j</m:t>
                            </m:r>
                          </m:sub>
                        </m:sSub>
                      </m:num>
                      <m:den>
                        <m:r>
                          <w:rPr>
                            <w:rFonts w:ascii="Cambria Math" w:hAnsi="Cambria Math"/>
                          </w:rPr>
                          <m:t>2</m:t>
                        </m:r>
                      </m:den>
                    </m:f>
                  </m:e>
                </m:d>
              </m:e>
            </m:nary>
          </m:e>
        </m:d>
      </m:oMath>
      <w:r w:rsidR="0072177C" w:rsidRPr="00870D59">
        <w:tab/>
        <w:t>(D.</w:t>
      </w:r>
      <w:r w:rsidR="0072177C">
        <w:t>11</w:t>
      </w:r>
      <w:r w:rsidR="0072177C" w:rsidRPr="00870D59">
        <w:t>)</w:t>
      </w:r>
    </w:p>
    <w:p w14:paraId="66D9E188" w14:textId="18C54C79" w:rsidR="0072177C" w:rsidRDefault="00675EBA" w:rsidP="0072177C">
      <w:pPr>
        <w:pStyle w:val="Text"/>
      </w:pPr>
      <w:r>
        <w:t>where</w:t>
      </w:r>
    </w:p>
    <w:tbl>
      <w:tblPr>
        <w:tblW w:w="0" w:type="auto"/>
        <w:tblInd w:w="346" w:type="dxa"/>
        <w:tblLook w:val="04A0" w:firstRow="1" w:lastRow="0" w:firstColumn="1" w:lastColumn="0" w:noHBand="0" w:noVBand="1"/>
      </w:tblPr>
      <w:tblGrid>
        <w:gridCol w:w="1275"/>
        <w:gridCol w:w="7938"/>
      </w:tblGrid>
      <w:tr w:rsidR="0072177C" w:rsidRPr="00870D59" w14:paraId="56ACDFA3" w14:textId="77777777" w:rsidTr="00BD628C">
        <w:tc>
          <w:tcPr>
            <w:tcW w:w="1275" w:type="dxa"/>
          </w:tcPr>
          <w:p w14:paraId="4FAE1791" w14:textId="20EBF9E4" w:rsidR="0072177C" w:rsidRPr="0072177C" w:rsidRDefault="009B5CEC" w:rsidP="002061E5">
            <w:pPr>
              <w:spacing w:after="60"/>
              <w:rPr>
                <w:rFonts w:eastAsia="Times New Roman" w:cs="Cambria"/>
                <w:szCs w:val="20"/>
                <w:lang w:eastAsia="fr-FR"/>
              </w:rPr>
            </w:pPr>
            <m:oMathPara>
              <m:oMathParaPr>
                <m:jc m:val="left"/>
              </m:oMathParaPr>
              <m:oMath>
                <m:sSub>
                  <m:sSubPr>
                    <m:ctrlPr>
                      <w:rPr>
                        <w:rFonts w:ascii="Cambria Math" w:hAnsi="Cambria Math"/>
                        <w:i/>
                      </w:rPr>
                    </m:ctrlPr>
                  </m:sSubPr>
                  <m:e>
                    <m:r>
                      <w:rPr>
                        <w:rFonts w:ascii="Cambria Math" w:hAnsi="Cambria Math"/>
                      </w:rPr>
                      <m:t>α</m:t>
                    </m:r>
                  </m:e>
                  <m:sub>
                    <m:r>
                      <m:rPr>
                        <m:sty m:val="p"/>
                      </m:rPr>
                      <w:rPr>
                        <w:rFonts w:ascii="Cambria Math" w:hAnsi="Cambria Math"/>
                      </w:rPr>
                      <m:t>i</m:t>
                    </m:r>
                  </m:sub>
                </m:sSub>
              </m:oMath>
            </m:oMathPara>
          </w:p>
        </w:tc>
        <w:tc>
          <w:tcPr>
            <w:tcW w:w="7938" w:type="dxa"/>
          </w:tcPr>
          <w:p w14:paraId="64CAE480" w14:textId="5AFFEFCE" w:rsidR="0072177C" w:rsidRPr="0072177C" w:rsidRDefault="0072177C" w:rsidP="002061E5">
            <w:pPr>
              <w:spacing w:after="60"/>
              <w:rPr>
                <w:rFonts w:eastAsia="Times New Roman" w:cs="Cambria"/>
                <w:szCs w:val="20"/>
                <w:lang w:eastAsia="fr-FR"/>
              </w:rPr>
            </w:pPr>
            <m:oMathPara>
              <m:oMathParaPr>
                <m:jc m:val="left"/>
              </m:oMathParaPr>
              <m:oMath>
                <m:r>
                  <w:rPr>
                    <w:rFonts w:ascii="Cambria Math" w:hAnsi="Cambria Math"/>
                  </w:rPr>
                  <m:t>=</m:t>
                </m:r>
                <m:f>
                  <m:fPr>
                    <m:type m:val="lin"/>
                    <m:ctrlPr>
                      <w:rPr>
                        <w:rFonts w:ascii="Cambria Math" w:hAnsi="Cambria Math"/>
                        <w:i/>
                      </w:rPr>
                    </m:ctrlPr>
                  </m:fPr>
                  <m:num>
                    <m:d>
                      <m:dPr>
                        <m:ctrlPr>
                          <w:rPr>
                            <w:rFonts w:ascii="Cambria Math" w:hAnsi="Cambria Math"/>
                            <w:i/>
                          </w:rPr>
                        </m:ctrlPr>
                      </m:dPr>
                      <m:e>
                        <m:sSub>
                          <m:sSubPr>
                            <m:ctrlPr>
                              <w:rPr>
                                <w:rFonts w:ascii="Cambria Math" w:hAnsi="Cambria Math"/>
                                <w:i/>
                              </w:rPr>
                            </m:ctrlPr>
                          </m:sSubPr>
                          <m:e>
                            <m:r>
                              <w:rPr>
                                <w:rFonts w:ascii="Cambria Math" w:hAnsi="Cambria Math"/>
                              </w:rPr>
                              <m:t>V</m:t>
                            </m:r>
                          </m:e>
                          <m:sub>
                            <m:r>
                              <m:rPr>
                                <m:sty m:val="p"/>
                              </m:rPr>
                              <w:rPr>
                                <w:rFonts w:ascii="Cambria Math" w:hAnsi="Cambria Math"/>
                              </w:rPr>
                              <m:t>py,i</m:t>
                            </m:r>
                          </m:sub>
                        </m:sSub>
                        <m:r>
                          <w:rPr>
                            <w:rFonts w:ascii="Cambria Math" w:hAnsi="Cambria Math"/>
                          </w:rPr>
                          <m:t>+</m:t>
                        </m:r>
                        <m:sSub>
                          <m:sSubPr>
                            <m:ctrlPr>
                              <w:rPr>
                                <w:rFonts w:ascii="Cambria Math" w:hAnsi="Cambria Math"/>
                                <w:i/>
                              </w:rPr>
                            </m:ctrlPr>
                          </m:sSubPr>
                          <m:e>
                            <m:r>
                              <w:rPr>
                                <w:rFonts w:ascii="Cambria Math" w:hAnsi="Cambria Math"/>
                              </w:rPr>
                              <m:t>V</m:t>
                            </m:r>
                          </m:e>
                          <m:sub>
                            <m:r>
                              <m:rPr>
                                <m:sty m:val="p"/>
                              </m:rPr>
                              <w:rPr>
                                <w:rFonts w:ascii="Cambria Math" w:hAnsi="Cambria Math"/>
                              </w:rPr>
                              <m:t>dy,i</m:t>
                            </m:r>
                          </m:sub>
                        </m:sSub>
                      </m:e>
                    </m:d>
                  </m:num>
                  <m:den>
                    <m:sSub>
                      <m:sSubPr>
                        <m:ctrlPr>
                          <w:rPr>
                            <w:rFonts w:ascii="Cambria Math" w:hAnsi="Cambria Math"/>
                            <w:i/>
                          </w:rPr>
                        </m:ctrlPr>
                      </m:sSubPr>
                      <m:e>
                        <m:bar>
                          <m:barPr>
                            <m:pos m:val="top"/>
                            <m:ctrlPr>
                              <w:rPr>
                                <w:rFonts w:ascii="Cambria Math" w:hAnsi="Cambria Math"/>
                                <w:i/>
                              </w:rPr>
                            </m:ctrlPr>
                          </m:barPr>
                          <m:e>
                            <m:r>
                              <w:rPr>
                                <w:rFonts w:ascii="Cambria Math" w:hAnsi="Cambria Math"/>
                              </w:rPr>
                              <m:t>m</m:t>
                            </m:r>
                          </m:e>
                        </m:bar>
                      </m:e>
                      <m:sub>
                        <m:r>
                          <m:rPr>
                            <m:sty m:val="p"/>
                          </m:rPr>
                          <w:rPr>
                            <w:rFonts w:ascii="Cambria Math" w:hAnsi="Cambria Math"/>
                          </w:rPr>
                          <m:t>i</m:t>
                        </m:r>
                      </m:sub>
                    </m:sSub>
                    <m:r>
                      <w:rPr>
                        <w:rFonts w:ascii="Cambria Math" w:hAnsi="Cambria Math"/>
                      </w:rPr>
                      <m:t>Mg</m:t>
                    </m:r>
                  </m:den>
                </m:f>
              </m:oMath>
            </m:oMathPara>
          </w:p>
        </w:tc>
      </w:tr>
      <w:tr w:rsidR="0072177C" w:rsidRPr="00870D59" w14:paraId="54844A38" w14:textId="77777777" w:rsidTr="00BD628C">
        <w:tc>
          <w:tcPr>
            <w:tcW w:w="1275" w:type="dxa"/>
          </w:tcPr>
          <w:p w14:paraId="410C4196" w14:textId="3795F3F3" w:rsidR="0072177C" w:rsidRPr="00870D59" w:rsidRDefault="0072177C" w:rsidP="002061E5">
            <w:pPr>
              <w:spacing w:after="60"/>
              <w:rPr>
                <w:i/>
                <w:color w:val="000000" w:themeColor="text1"/>
              </w:rPr>
            </w:pPr>
            <w:r w:rsidRPr="00D1484A">
              <w:rPr>
                <w:i/>
              </w:rPr>
              <w:t>T</w:t>
            </w:r>
            <w:r w:rsidRPr="00D1484A">
              <w:rPr>
                <w:vertAlign w:val="subscript"/>
              </w:rPr>
              <w:t>s1</w:t>
            </w:r>
          </w:p>
        </w:tc>
        <w:tc>
          <w:tcPr>
            <w:tcW w:w="7938" w:type="dxa"/>
          </w:tcPr>
          <w:p w14:paraId="0E3CFB60" w14:textId="3C2CAC14" w:rsidR="0072177C" w:rsidRPr="00870D59" w:rsidRDefault="0072177C" w:rsidP="002061E5">
            <w:pPr>
              <w:spacing w:after="60"/>
              <w:rPr>
                <w:color w:val="000000" w:themeColor="text1"/>
              </w:rPr>
            </w:pPr>
            <w:r w:rsidRPr="007E6F67">
              <w:t>is a period that gives the maximum value of [</w:t>
            </w:r>
            <w:r w:rsidRPr="00FD17CF">
              <w:rPr>
                <w:i/>
              </w:rPr>
              <w:t>T</w:t>
            </w:r>
            <w:r w:rsidRPr="00FD17CF">
              <w:rPr>
                <w:vertAlign w:val="subscript"/>
              </w:rPr>
              <w:t>s1</w:t>
            </w:r>
            <w:r w:rsidRPr="00FD17CF">
              <w:rPr>
                <w:i/>
              </w:rPr>
              <w:t>S</w:t>
            </w:r>
            <w:r w:rsidRPr="00E05E29">
              <w:rPr>
                <w:vertAlign w:val="subscript"/>
              </w:rPr>
              <w:t>e</w:t>
            </w:r>
            <w:r w:rsidRPr="00196951">
              <w:t>(</w:t>
            </w:r>
            <w:r w:rsidRPr="00196951">
              <w:rPr>
                <w:i/>
              </w:rPr>
              <w:t>T</w:t>
            </w:r>
            <w:r w:rsidRPr="00196951">
              <w:rPr>
                <w:vertAlign w:val="subscript"/>
              </w:rPr>
              <w:t>s1</w:t>
            </w:r>
            <w:r w:rsidRPr="00196951">
              <w:rPr>
                <w:i/>
              </w:rPr>
              <w:t>, </w:t>
            </w:r>
            <w:r w:rsidRPr="00196951">
              <w:t>5%)</w:t>
            </w:r>
            <w:r w:rsidRPr="00196951">
              <w:rPr>
                <w:rFonts w:ascii="Symbol" w:eastAsia="Symbol" w:hAnsi="Symbol" w:cs="Symbol"/>
                <w:i/>
              </w:rPr>
              <w:t></w:t>
            </w:r>
            <w:r w:rsidRPr="00196951">
              <w:t>(</w:t>
            </w:r>
            <w:r w:rsidRPr="00196951">
              <w:rPr>
                <w:i/>
              </w:rPr>
              <w:t>T</w:t>
            </w:r>
            <w:r w:rsidRPr="00196951">
              <w:rPr>
                <w:vertAlign w:val="subscript"/>
              </w:rPr>
              <w:t>s1</w:t>
            </w:r>
            <w:r w:rsidRPr="00196951">
              <w:rPr>
                <w:i/>
                <w:vertAlign w:val="subscript"/>
              </w:rPr>
              <w:t>,</w:t>
            </w:r>
            <w:r w:rsidRPr="00196951">
              <w:rPr>
                <w:rFonts w:ascii="Symbol" w:eastAsia="Symbol" w:hAnsi="Symbol" w:cs="Symbol"/>
                <w:i/>
              </w:rPr>
              <w:t></w:t>
            </w:r>
            <w:r w:rsidRPr="00196951">
              <w:rPr>
                <w:vertAlign w:val="subscript"/>
              </w:rPr>
              <w:t>I</w:t>
            </w:r>
            <w:r w:rsidRPr="00196951">
              <w:t xml:space="preserve">)] between </w:t>
            </w:r>
            <w:r w:rsidRPr="00196951">
              <w:rPr>
                <w:i/>
              </w:rPr>
              <w:t>T</w:t>
            </w:r>
            <w:r w:rsidRPr="002144A0">
              <w:rPr>
                <w:vertAlign w:val="subscript"/>
              </w:rPr>
              <w:t>1</w:t>
            </w:r>
            <w:r w:rsidRPr="002144A0">
              <w:rPr>
                <w:i/>
              </w:rPr>
              <w:t xml:space="preserve"> </w:t>
            </w:r>
            <w:r w:rsidRPr="002144A0">
              <w:t>and 1,4</w:t>
            </w:r>
            <w:r w:rsidRPr="002144A0">
              <w:rPr>
                <w:i/>
              </w:rPr>
              <w:t>T</w:t>
            </w:r>
            <w:r w:rsidRPr="004F25D7">
              <w:rPr>
                <w:vertAlign w:val="subscript"/>
              </w:rPr>
              <w:t>1</w:t>
            </w:r>
            <w:r w:rsidRPr="00C52095">
              <w:t>;</w:t>
            </w:r>
          </w:p>
        </w:tc>
      </w:tr>
      <w:tr w:rsidR="0072177C" w:rsidRPr="00870D59" w14:paraId="78307CA6" w14:textId="77777777" w:rsidTr="00BD628C">
        <w:tc>
          <w:tcPr>
            <w:tcW w:w="1275" w:type="dxa"/>
          </w:tcPr>
          <w:p w14:paraId="3F0BB062" w14:textId="1CB0B0F6" w:rsidR="0072177C" w:rsidRPr="00D1484A" w:rsidRDefault="0072177C" w:rsidP="002061E5">
            <w:pPr>
              <w:spacing w:after="60"/>
              <w:rPr>
                <w:i/>
              </w:rPr>
            </w:pPr>
            <w:r w:rsidRPr="00C52095">
              <w:rPr>
                <w:i/>
              </w:rPr>
              <w:t>s</w:t>
            </w:r>
            <w:r w:rsidRPr="004E4712">
              <w:rPr>
                <w:iCs/>
                <w:vertAlign w:val="subscript"/>
              </w:rPr>
              <w:t>k</w:t>
            </w:r>
          </w:p>
        </w:tc>
        <w:tc>
          <w:tcPr>
            <w:tcW w:w="7938" w:type="dxa"/>
          </w:tcPr>
          <w:p w14:paraId="3E7A62E3" w14:textId="73A746D9" w:rsidR="0072177C" w:rsidRPr="007E6F67" w:rsidRDefault="0072177C" w:rsidP="002061E5">
            <w:pPr>
              <w:spacing w:after="60"/>
            </w:pPr>
            <w:r w:rsidRPr="00132C1E">
              <w:t xml:space="preserve">is a standard value representing the ratio of the required amount of dissipation at storey </w:t>
            </w:r>
            <w:r w:rsidRPr="00132C1E">
              <w:rPr>
                <w:i/>
              </w:rPr>
              <w:t>k</w:t>
            </w:r>
            <w:r w:rsidRPr="00132C1E">
              <w:t xml:space="preserve"> to the required amount of dissipation at the first storey; it should be calculated using Formula (D.12);</w:t>
            </w:r>
          </w:p>
        </w:tc>
      </w:tr>
    </w:tbl>
    <w:p w14:paraId="1F7470D8" w14:textId="70472AF1" w:rsidR="0072177C" w:rsidRDefault="009B5CEC" w:rsidP="0072177C">
      <w:pPr>
        <w:pStyle w:val="Formula"/>
        <w:spacing w:before="240"/>
      </w:pPr>
      <m:oMath>
        <m:sSub>
          <m:sSubPr>
            <m:ctrlPr>
              <w:rPr>
                <w:rFonts w:ascii="Cambria Math" w:hAnsi="Cambria Math"/>
              </w:rPr>
            </m:ctrlPr>
          </m:sSubPr>
          <m:e>
            <m:r>
              <w:rPr>
                <w:rFonts w:ascii="Cambria Math" w:hAnsi="Cambria Math"/>
              </w:rPr>
              <m:t>s</m:t>
            </m:r>
          </m:e>
          <m:sub>
            <m:r>
              <m:rPr>
                <m:sty m:val="p"/>
              </m:rPr>
              <w:rPr>
                <w:rFonts w:ascii="Cambria Math" w:hAnsi="Cambria Math"/>
              </w:rPr>
              <m:t>k</m:t>
            </m:r>
          </m:sub>
        </m:sSub>
        <m:r>
          <w:rPr>
            <w:rFonts w:ascii="Cambria Math" w:hAnsi="Cambria Math"/>
          </w:rPr>
          <m:t>=</m:t>
        </m:r>
        <m:sSup>
          <m:sSupPr>
            <m:ctrlPr>
              <w:rPr>
                <w:rFonts w:ascii="Cambria Math" w:hAnsi="Cambria Math"/>
              </w:rPr>
            </m:ctrlPr>
          </m:sSupPr>
          <m:e>
            <m:d>
              <m:dPr>
                <m:begChr m:val="{"/>
                <m:endChr m:val="}"/>
                <m:ctrlPr>
                  <w:rPr>
                    <w:rFonts w:ascii="Cambria Math" w:hAnsi="Cambria Math"/>
                  </w:rPr>
                </m:ctrlPr>
              </m:dPr>
              <m:e>
                <m:sSub>
                  <m:sSubPr>
                    <m:ctrlPr>
                      <w:rPr>
                        <w:rFonts w:ascii="Cambria Math" w:hAnsi="Cambria Math"/>
                      </w:rPr>
                    </m:ctrlPr>
                  </m:sSubPr>
                  <m:e>
                    <m:acc>
                      <m:accPr>
                        <m:chr m:val="̅"/>
                        <m:ctrlPr>
                          <w:rPr>
                            <w:rFonts w:ascii="Cambria Math" w:hAnsi="Cambria Math"/>
                          </w:rPr>
                        </m:ctrlPr>
                      </m:accPr>
                      <m:e>
                        <m:r>
                          <w:rPr>
                            <w:rFonts w:ascii="Cambria Math" w:hAnsi="Cambria Math"/>
                          </w:rPr>
                          <m:t>m</m:t>
                        </m:r>
                      </m:e>
                    </m:acc>
                  </m:e>
                  <m:sub>
                    <m:r>
                      <m:rPr>
                        <m:sty m:val="p"/>
                      </m:rPr>
                      <w:rPr>
                        <w:rFonts w:ascii="Cambria Math" w:hAnsi="Cambria Math"/>
                      </w:rPr>
                      <m:t>k</m:t>
                    </m:r>
                  </m:sub>
                </m:sSub>
                <m:r>
                  <w:rPr>
                    <w:rFonts w:ascii="Cambria Math" w:hAnsi="Cambria Math"/>
                  </w:rPr>
                  <m:t>+</m:t>
                </m:r>
                <m:f>
                  <m:fPr>
                    <m:ctrlPr>
                      <w:rPr>
                        <w:rFonts w:ascii="Cambria Math" w:hAnsi="Cambria Math"/>
                      </w:rPr>
                    </m:ctrlPr>
                  </m:fPr>
                  <m:num>
                    <m:r>
                      <w:rPr>
                        <w:rFonts w:ascii="Cambria Math" w:hAnsi="Cambria Math"/>
                      </w:rPr>
                      <m:t>2</m:t>
                    </m:r>
                    <m:sSub>
                      <m:sSubPr>
                        <m:ctrlPr>
                          <w:rPr>
                            <w:rFonts w:ascii="Cambria Math" w:hAnsi="Cambria Math"/>
                          </w:rPr>
                        </m:ctrlPr>
                      </m:sSubPr>
                      <m:e>
                        <m:r>
                          <w:rPr>
                            <w:rFonts w:ascii="Cambria Math" w:hAnsi="Cambria Math"/>
                          </w:rPr>
                          <m:t>T</m:t>
                        </m:r>
                      </m:e>
                      <m:sub>
                        <m:r>
                          <w:rPr>
                            <w:rFonts w:ascii="Cambria Math" w:hAnsi="Cambria Math"/>
                          </w:rPr>
                          <m:t>1</m:t>
                        </m:r>
                      </m:sub>
                    </m:sSub>
                  </m:num>
                  <m:den>
                    <m:r>
                      <w:rPr>
                        <w:rFonts w:ascii="Cambria Math" w:hAnsi="Cambria Math"/>
                      </w:rPr>
                      <m:t>1+3</m:t>
                    </m:r>
                    <m:sSub>
                      <m:sSubPr>
                        <m:ctrlPr>
                          <w:rPr>
                            <w:rFonts w:ascii="Cambria Math" w:hAnsi="Cambria Math"/>
                          </w:rPr>
                        </m:ctrlPr>
                      </m:sSubPr>
                      <m:e>
                        <m:r>
                          <w:rPr>
                            <w:rFonts w:ascii="Cambria Math" w:hAnsi="Cambria Math"/>
                          </w:rPr>
                          <m:t>T</m:t>
                        </m:r>
                      </m:e>
                      <m:sub>
                        <m:r>
                          <w:rPr>
                            <w:rFonts w:ascii="Cambria Math" w:hAnsi="Cambria Math"/>
                          </w:rPr>
                          <m:t>1</m:t>
                        </m:r>
                      </m:sub>
                    </m:sSub>
                  </m:den>
                </m:f>
                <m:d>
                  <m:dPr>
                    <m:ctrlPr>
                      <w:rPr>
                        <w:rFonts w:ascii="Cambria Math" w:hAnsi="Cambria Math"/>
                      </w:rPr>
                    </m:ctrlPr>
                  </m:dPr>
                  <m:e>
                    <m:rad>
                      <m:radPr>
                        <m:degHide m:val="1"/>
                        <m:ctrlPr>
                          <w:rPr>
                            <w:rFonts w:ascii="Cambria Math" w:hAnsi="Cambria Math"/>
                          </w:rPr>
                        </m:ctrlPr>
                      </m:radPr>
                      <m:deg/>
                      <m:e>
                        <m:sSub>
                          <m:sSubPr>
                            <m:ctrlPr>
                              <w:rPr>
                                <w:rFonts w:ascii="Cambria Math" w:hAnsi="Cambria Math"/>
                              </w:rPr>
                            </m:ctrlPr>
                          </m:sSubPr>
                          <m:e>
                            <m:acc>
                              <m:accPr>
                                <m:chr m:val="̅"/>
                                <m:ctrlPr>
                                  <w:rPr>
                                    <w:rFonts w:ascii="Cambria Math" w:hAnsi="Cambria Math"/>
                                  </w:rPr>
                                </m:ctrlPr>
                              </m:accPr>
                              <m:e>
                                <m:r>
                                  <w:rPr>
                                    <w:rFonts w:ascii="Cambria Math" w:hAnsi="Cambria Math"/>
                                  </w:rPr>
                                  <m:t>m</m:t>
                                </m:r>
                              </m:e>
                            </m:acc>
                          </m:e>
                          <m:sub>
                            <m:r>
                              <m:rPr>
                                <m:sty m:val="p"/>
                              </m:rPr>
                              <w:rPr>
                                <w:rFonts w:ascii="Cambria Math" w:hAnsi="Cambria Math"/>
                              </w:rPr>
                              <m:t>k</m:t>
                            </m:r>
                          </m:sub>
                        </m:sSub>
                      </m:e>
                    </m:rad>
                    <m:r>
                      <w:rPr>
                        <w:rFonts w:ascii="Cambria Math" w:hAnsi="Cambria Math"/>
                      </w:rPr>
                      <m:t>-</m:t>
                    </m:r>
                    <m:sSubSup>
                      <m:sSubSupPr>
                        <m:ctrlPr>
                          <w:rPr>
                            <w:rFonts w:ascii="Cambria Math" w:hAnsi="Cambria Math"/>
                          </w:rPr>
                        </m:ctrlPr>
                      </m:sSubSupPr>
                      <m:e>
                        <m:acc>
                          <m:accPr>
                            <m:chr m:val="̅"/>
                            <m:ctrlPr>
                              <w:rPr>
                                <w:rFonts w:ascii="Cambria Math" w:hAnsi="Cambria Math"/>
                              </w:rPr>
                            </m:ctrlPr>
                          </m:accPr>
                          <m:e>
                            <m:r>
                              <w:rPr>
                                <w:rFonts w:ascii="Cambria Math" w:hAnsi="Cambria Math"/>
                              </w:rPr>
                              <m:t>m</m:t>
                            </m:r>
                          </m:e>
                        </m:acc>
                      </m:e>
                      <m:sub>
                        <m:r>
                          <m:rPr>
                            <m:sty m:val="p"/>
                          </m:rPr>
                          <w:rPr>
                            <w:rFonts w:ascii="Cambria Math" w:hAnsi="Cambria Math"/>
                          </w:rPr>
                          <m:t>k</m:t>
                        </m:r>
                      </m:sub>
                      <m:sup>
                        <m:r>
                          <w:rPr>
                            <w:rFonts w:ascii="Cambria Math" w:hAnsi="Cambria Math"/>
                          </w:rPr>
                          <m:t>2</m:t>
                        </m:r>
                      </m:sup>
                    </m:sSubSup>
                  </m:e>
                </m:d>
              </m:e>
            </m:d>
          </m:e>
          <m:sup>
            <m:r>
              <w:rPr>
                <w:rFonts w:ascii="Cambria Math" w:hAnsi="Cambria Math"/>
              </w:rPr>
              <m:t>2</m:t>
            </m:r>
          </m:sup>
        </m:sSup>
        <m:f>
          <m:fPr>
            <m:ctrlPr>
              <w:rPr>
                <w:rFonts w:ascii="Cambria Math" w:hAnsi="Cambria Math"/>
              </w:rPr>
            </m:ctrlPr>
          </m:fPr>
          <m:num>
            <m:sSub>
              <m:sSubPr>
                <m:ctrlPr>
                  <w:rPr>
                    <w:rFonts w:ascii="Cambria Math" w:hAnsi="Cambria Math"/>
                  </w:rPr>
                </m:ctrlPr>
              </m:sSubPr>
              <m:e>
                <m:r>
                  <w:rPr>
                    <w:rFonts w:ascii="Cambria Math" w:hAnsi="Cambria Math"/>
                  </w:rPr>
                  <m:t>d</m:t>
                </m:r>
              </m:e>
              <m:sub>
                <m:r>
                  <m:rPr>
                    <m:sty m:val="p"/>
                  </m:rPr>
                  <w:rPr>
                    <w:rFonts w:ascii="Cambria Math" w:hAnsi="Cambria Math"/>
                  </w:rPr>
                  <m:t>py,k</m:t>
                </m:r>
              </m:sub>
            </m:sSub>
            <m:r>
              <w:rPr>
                <w:rFonts w:ascii="Cambria Math" w:hAnsi="Cambria Math"/>
              </w:rPr>
              <m:t>(</m:t>
            </m:r>
            <m:sSub>
              <m:sSubPr>
                <m:ctrlPr>
                  <w:rPr>
                    <w:rFonts w:ascii="Cambria Math" w:hAnsi="Cambria Math"/>
                  </w:rPr>
                </m:ctrlPr>
              </m:sSubPr>
              <m:e>
                <m:r>
                  <w:rPr>
                    <w:rFonts w:ascii="Cambria Math" w:hAnsi="Cambria Math"/>
                  </w:rPr>
                  <m:t>V</m:t>
                </m:r>
              </m:e>
              <m:sub>
                <m:r>
                  <m:rPr>
                    <m:sty m:val="p"/>
                  </m:rPr>
                  <w:rPr>
                    <w:rFonts w:ascii="Cambria Math" w:hAnsi="Cambria Math"/>
                  </w:rPr>
                  <m:t>py,1</m:t>
                </m:r>
              </m:sub>
            </m:sSub>
            <m:r>
              <w:rPr>
                <w:rFonts w:ascii="Cambria Math" w:hAnsi="Cambria Math"/>
              </w:rPr>
              <m:t>+</m:t>
            </m:r>
            <m:sSub>
              <m:sSubPr>
                <m:ctrlPr>
                  <w:rPr>
                    <w:rFonts w:ascii="Cambria Math" w:hAnsi="Cambria Math"/>
                  </w:rPr>
                </m:ctrlPr>
              </m:sSubPr>
              <m:e>
                <m:r>
                  <w:rPr>
                    <w:rFonts w:ascii="Cambria Math" w:hAnsi="Cambria Math"/>
                  </w:rPr>
                  <m:t>V</m:t>
                </m:r>
              </m:e>
              <m:sub>
                <m:r>
                  <m:rPr>
                    <m:sty m:val="p"/>
                  </m:rPr>
                  <w:rPr>
                    <w:rFonts w:ascii="Cambria Math" w:hAnsi="Cambria Math"/>
                  </w:rPr>
                  <m:t>dy,1</m:t>
                </m:r>
              </m:sub>
            </m:sSub>
            <m:r>
              <w:rPr>
                <w:rFonts w:ascii="Cambria Math" w:hAnsi="Cambria Math"/>
              </w:rPr>
              <m:t>)</m:t>
            </m:r>
          </m:num>
          <m:den>
            <m:sSub>
              <m:sSubPr>
                <m:ctrlPr>
                  <w:rPr>
                    <w:rFonts w:ascii="Cambria Math" w:hAnsi="Cambria Math"/>
                  </w:rPr>
                </m:ctrlPr>
              </m:sSubPr>
              <m:e>
                <m:r>
                  <w:rPr>
                    <w:rFonts w:ascii="Cambria Math" w:hAnsi="Cambria Math"/>
                  </w:rPr>
                  <m:t>d</m:t>
                </m:r>
              </m:e>
              <m:sub>
                <m:r>
                  <m:rPr>
                    <m:sty m:val="p"/>
                  </m:rPr>
                  <w:rPr>
                    <w:rFonts w:ascii="Cambria Math" w:hAnsi="Cambria Math"/>
                  </w:rPr>
                  <m:t>py,1</m:t>
                </m:r>
              </m:sub>
            </m:sSub>
            <m:r>
              <w:rPr>
                <w:rFonts w:ascii="Cambria Math" w:hAnsi="Cambria Math"/>
              </w:rPr>
              <m:t>(</m:t>
            </m:r>
            <m:sSub>
              <m:sSubPr>
                <m:ctrlPr>
                  <w:rPr>
                    <w:rFonts w:ascii="Cambria Math" w:hAnsi="Cambria Math"/>
                  </w:rPr>
                </m:ctrlPr>
              </m:sSubPr>
              <m:e>
                <m:r>
                  <w:rPr>
                    <w:rFonts w:ascii="Cambria Math" w:hAnsi="Cambria Math"/>
                  </w:rPr>
                  <m:t>V</m:t>
                </m:r>
              </m:e>
              <m:sub>
                <m:r>
                  <m:rPr>
                    <m:sty m:val="p"/>
                  </m:rPr>
                  <w:rPr>
                    <w:rFonts w:ascii="Cambria Math" w:hAnsi="Cambria Math"/>
                  </w:rPr>
                  <m:t>py,k</m:t>
                </m:r>
              </m:sub>
            </m:sSub>
            <m:r>
              <w:rPr>
                <w:rFonts w:ascii="Cambria Math" w:hAnsi="Cambria Math"/>
              </w:rPr>
              <m:t>+</m:t>
            </m:r>
            <m:sSub>
              <m:sSubPr>
                <m:ctrlPr>
                  <w:rPr>
                    <w:rFonts w:ascii="Cambria Math" w:hAnsi="Cambria Math"/>
                  </w:rPr>
                </m:ctrlPr>
              </m:sSubPr>
              <m:e>
                <m:r>
                  <w:rPr>
                    <w:rFonts w:ascii="Cambria Math" w:hAnsi="Cambria Math"/>
                  </w:rPr>
                  <m:t>V</m:t>
                </m:r>
              </m:e>
              <m:sub>
                <m:r>
                  <m:rPr>
                    <m:sty m:val="p"/>
                  </m:rPr>
                  <w:rPr>
                    <w:rFonts w:ascii="Cambria Math" w:hAnsi="Cambria Math"/>
                  </w:rPr>
                  <m:t>dy,k</m:t>
                </m:r>
              </m:sub>
            </m:sSub>
            <m:r>
              <w:rPr>
                <w:rFonts w:ascii="Cambria Math" w:hAnsi="Cambria Math"/>
              </w:rPr>
              <m:t>)</m:t>
            </m:r>
          </m:den>
        </m:f>
      </m:oMath>
      <w:r w:rsidR="0072177C" w:rsidRPr="00870D59">
        <w:tab/>
        <w:t>(D.</w:t>
      </w:r>
      <w:r w:rsidR="0072177C">
        <w:t>12</w:t>
      </w:r>
      <w:r w:rsidR="0072177C" w:rsidRPr="00870D59">
        <w:t>)</w:t>
      </w:r>
    </w:p>
    <w:p w14:paraId="754746A6" w14:textId="046AA71E" w:rsidR="00BD628C" w:rsidRPr="00BD628C" w:rsidRDefault="00BD628C" w:rsidP="00BD628C">
      <w:pPr>
        <w:pStyle w:val="Text"/>
      </w:pPr>
      <w:r>
        <w:t>where</w:t>
      </w:r>
    </w:p>
    <w:tbl>
      <w:tblPr>
        <w:tblW w:w="0" w:type="auto"/>
        <w:tblInd w:w="346" w:type="dxa"/>
        <w:tblLook w:val="04A0" w:firstRow="1" w:lastRow="0" w:firstColumn="1" w:lastColumn="0" w:noHBand="0" w:noVBand="1"/>
      </w:tblPr>
      <w:tblGrid>
        <w:gridCol w:w="1275"/>
        <w:gridCol w:w="7938"/>
      </w:tblGrid>
      <w:tr w:rsidR="0072177C" w:rsidRPr="0072177C" w14:paraId="0E12E934" w14:textId="77777777" w:rsidTr="00BD628C">
        <w:tc>
          <w:tcPr>
            <w:tcW w:w="1275" w:type="dxa"/>
          </w:tcPr>
          <w:p w14:paraId="5B11CD5E" w14:textId="4E336F86" w:rsidR="0072177C" w:rsidRPr="0072177C" w:rsidRDefault="0072177C" w:rsidP="002061E5">
            <w:pPr>
              <w:spacing w:after="60"/>
              <w:rPr>
                <w:rFonts w:eastAsia="Times New Roman" w:cs="Cambria"/>
                <w:szCs w:val="20"/>
                <w:lang w:eastAsia="fr-FR"/>
              </w:rPr>
            </w:pPr>
            <w:r w:rsidRPr="00D1484A">
              <w:rPr>
                <w:i/>
                <w:iCs/>
              </w:rPr>
              <w:t>p</w:t>
            </w:r>
            <w:r w:rsidRPr="007E6F67">
              <w:rPr>
                <w:vertAlign w:val="subscript"/>
              </w:rPr>
              <w:t>k</w:t>
            </w:r>
          </w:p>
        </w:tc>
        <w:tc>
          <w:tcPr>
            <w:tcW w:w="7938" w:type="dxa"/>
          </w:tcPr>
          <w:p w14:paraId="55007846" w14:textId="541BD8C2" w:rsidR="0072177C" w:rsidRPr="0072177C" w:rsidRDefault="0072177C" w:rsidP="002061E5">
            <w:pPr>
              <w:spacing w:after="60"/>
              <w:rPr>
                <w:rFonts w:eastAsia="Times New Roman" w:cs="Cambria"/>
                <w:szCs w:val="20"/>
                <w:lang w:eastAsia="fr-FR"/>
              </w:rPr>
            </w:pPr>
            <w:r w:rsidRPr="00FD17CF">
              <w:t>represents the deviation of the k-th</w:t>
            </w:r>
            <w:r>
              <w:t xml:space="preserve"> </w:t>
            </w:r>
            <w:r w:rsidRPr="00FD17CF">
              <w:t xml:space="preserve">storey seismic shear from an optimum value that would provide an approximately even distribution of damage among storeys, calculated using </w:t>
            </w:r>
            <w:r w:rsidRPr="00E05E29">
              <w:t>Formula</w:t>
            </w:r>
            <w:r w:rsidRPr="00196951">
              <w:t xml:space="preserve"> (D.13).</w:t>
            </w:r>
          </w:p>
        </w:tc>
      </w:tr>
    </w:tbl>
    <w:p w14:paraId="0E575B0F" w14:textId="57BA90E7" w:rsidR="0072177C" w:rsidRDefault="009B5CEC" w:rsidP="0072177C">
      <w:pPr>
        <w:pStyle w:val="Formula"/>
        <w:spacing w:before="240"/>
      </w:pPr>
      <m:oMath>
        <m:sSub>
          <m:sSubPr>
            <m:ctrlPr>
              <w:rPr>
                <w:rFonts w:ascii="Cambria Math" w:eastAsia="Calibri" w:hAnsi="Cambria Math"/>
              </w:rPr>
            </m:ctrlPr>
          </m:sSubPr>
          <m:e>
            <m:r>
              <w:rPr>
                <w:rFonts w:ascii="Cambria Math" w:hAnsi="Cambria Math"/>
              </w:rPr>
              <m:t>p</m:t>
            </m:r>
          </m:e>
          <m:sub>
            <m:r>
              <m:rPr>
                <m:sty m:val="p"/>
              </m:rPr>
              <w:rPr>
                <w:rFonts w:ascii="Cambria Math" w:hAnsi="Cambria Math"/>
              </w:rPr>
              <m:t>k</m:t>
            </m:r>
          </m:sub>
        </m:sSub>
        <m:r>
          <w:rPr>
            <w:rFonts w:ascii="Cambria Math" w:hAnsi="Cambria Math"/>
          </w:rPr>
          <m:t>=</m:t>
        </m:r>
        <m:f>
          <m:fPr>
            <m:ctrlPr>
              <w:rPr>
                <w:rFonts w:ascii="Cambria Math" w:eastAsia="Calibri" w:hAnsi="Cambria Math"/>
              </w:rPr>
            </m:ctrlPr>
          </m:fPr>
          <m:num>
            <m:r>
              <w:rPr>
                <w:rFonts w:ascii="Cambria Math" w:hAnsi="Cambria Math"/>
              </w:rPr>
              <m:t>(</m:t>
            </m:r>
            <m:sSub>
              <m:sSubPr>
                <m:ctrlPr>
                  <w:rPr>
                    <w:rFonts w:ascii="Cambria Math" w:hAnsi="Cambria Math"/>
                  </w:rPr>
                </m:ctrlPr>
              </m:sSubPr>
              <m:e>
                <m:r>
                  <w:rPr>
                    <w:rFonts w:ascii="Cambria Math" w:hAnsi="Cambria Math"/>
                  </w:rPr>
                  <m:t>V</m:t>
                </m:r>
              </m:e>
              <m:sub>
                <m:r>
                  <m:rPr>
                    <m:sty m:val="p"/>
                  </m:rPr>
                  <w:rPr>
                    <w:rFonts w:ascii="Cambria Math" w:hAnsi="Cambria Math"/>
                  </w:rPr>
                  <m:t>py,k</m:t>
                </m:r>
              </m:sub>
            </m:sSub>
            <m:r>
              <w:rPr>
                <w:rFonts w:ascii="Cambria Math" w:hAnsi="Cambria Math"/>
              </w:rPr>
              <m:t>+</m:t>
            </m:r>
            <m:sSub>
              <m:sSubPr>
                <m:ctrlPr>
                  <w:rPr>
                    <w:rFonts w:ascii="Cambria Math" w:hAnsi="Cambria Math"/>
                  </w:rPr>
                </m:ctrlPr>
              </m:sSubPr>
              <m:e>
                <m:r>
                  <w:rPr>
                    <w:rFonts w:ascii="Cambria Math" w:hAnsi="Cambria Math"/>
                  </w:rPr>
                  <m:t>V</m:t>
                </m:r>
              </m:e>
              <m:sub>
                <m:r>
                  <m:rPr>
                    <m:sty m:val="p"/>
                  </m:rPr>
                  <w:rPr>
                    <w:rFonts w:ascii="Cambria Math" w:hAnsi="Cambria Math"/>
                  </w:rPr>
                  <m:t>dy,k</m:t>
                </m:r>
              </m:sub>
            </m:sSub>
            <m:r>
              <w:rPr>
                <w:rFonts w:ascii="Cambria Math" w:hAnsi="Cambria Math"/>
              </w:rPr>
              <m:t>)</m:t>
            </m:r>
          </m:num>
          <m:den>
            <m:r>
              <w:rPr>
                <w:rFonts w:ascii="Cambria Math" w:hAnsi="Cambria Math"/>
              </w:rPr>
              <m:t>(</m:t>
            </m:r>
            <m:sSub>
              <m:sSubPr>
                <m:ctrlPr>
                  <w:rPr>
                    <w:rFonts w:ascii="Cambria Math" w:hAnsi="Cambria Math"/>
                  </w:rPr>
                </m:ctrlPr>
              </m:sSubPr>
              <m:e>
                <m:r>
                  <w:rPr>
                    <w:rFonts w:ascii="Cambria Math" w:hAnsi="Cambria Math"/>
                  </w:rPr>
                  <m:t>V</m:t>
                </m:r>
              </m:e>
              <m:sub>
                <m:r>
                  <m:rPr>
                    <m:sty m:val="p"/>
                  </m:rPr>
                  <w:rPr>
                    <w:rFonts w:ascii="Cambria Math" w:hAnsi="Cambria Math"/>
                  </w:rPr>
                  <m:t>py,1</m:t>
                </m:r>
              </m:sub>
            </m:sSub>
            <m:r>
              <w:rPr>
                <w:rFonts w:ascii="Cambria Math" w:hAnsi="Cambria Math"/>
              </w:rPr>
              <m:t>+</m:t>
            </m:r>
            <m:sSub>
              <m:sSubPr>
                <m:ctrlPr>
                  <w:rPr>
                    <w:rFonts w:ascii="Cambria Math" w:hAnsi="Cambria Math"/>
                  </w:rPr>
                </m:ctrlPr>
              </m:sSubPr>
              <m:e>
                <m:r>
                  <w:rPr>
                    <w:rFonts w:ascii="Cambria Math" w:hAnsi="Cambria Math"/>
                  </w:rPr>
                  <m:t>V</m:t>
                </m:r>
              </m:e>
              <m:sub>
                <m:r>
                  <w:rPr>
                    <w:rFonts w:ascii="Cambria Math" w:hAnsi="Cambria Math"/>
                  </w:rPr>
                  <m:t>d</m:t>
                </m:r>
                <m:r>
                  <m:rPr>
                    <m:sty m:val="p"/>
                  </m:rPr>
                  <w:rPr>
                    <w:rFonts w:ascii="Cambria Math" w:hAnsi="Cambria Math"/>
                  </w:rPr>
                  <m:t>y,1</m:t>
                </m:r>
              </m:sub>
            </m:sSub>
            <m:r>
              <w:rPr>
                <w:rFonts w:ascii="Cambria Math" w:hAnsi="Cambria Math"/>
              </w:rPr>
              <m:t>)</m:t>
            </m:r>
          </m:den>
        </m:f>
        <m:sSup>
          <m:sSupPr>
            <m:ctrlPr>
              <w:rPr>
                <w:rFonts w:ascii="Cambria Math" w:hAnsi="Cambria Math"/>
              </w:rPr>
            </m:ctrlPr>
          </m:sSupPr>
          <m:e>
            <m:d>
              <m:dPr>
                <m:begChr m:val="{"/>
                <m:endChr m:val="}"/>
                <m:ctrlPr>
                  <w:rPr>
                    <w:rFonts w:ascii="Cambria Math" w:hAnsi="Cambria Math"/>
                  </w:rPr>
                </m:ctrlPr>
              </m:dPr>
              <m:e>
                <m:sSub>
                  <m:sSubPr>
                    <m:ctrlPr>
                      <w:rPr>
                        <w:rFonts w:ascii="Cambria Math" w:hAnsi="Cambria Math"/>
                      </w:rPr>
                    </m:ctrlPr>
                  </m:sSubPr>
                  <m:e>
                    <m:acc>
                      <m:accPr>
                        <m:chr m:val="̅"/>
                        <m:ctrlPr>
                          <w:rPr>
                            <w:rFonts w:ascii="Cambria Math" w:hAnsi="Cambria Math"/>
                          </w:rPr>
                        </m:ctrlPr>
                      </m:accPr>
                      <m:e>
                        <m:r>
                          <w:rPr>
                            <w:rFonts w:ascii="Cambria Math" w:hAnsi="Cambria Math"/>
                          </w:rPr>
                          <m:t>m</m:t>
                        </m:r>
                      </m:e>
                    </m:acc>
                  </m:e>
                  <m:sub>
                    <m:r>
                      <m:rPr>
                        <m:sty m:val="p"/>
                      </m:rPr>
                      <w:rPr>
                        <w:rFonts w:ascii="Cambria Math" w:hAnsi="Cambria Math"/>
                      </w:rPr>
                      <m:t>k</m:t>
                    </m:r>
                  </m:sub>
                </m:sSub>
                <m:r>
                  <w:rPr>
                    <w:rFonts w:ascii="Cambria Math" w:hAnsi="Cambria Math"/>
                  </w:rPr>
                  <m:t>+</m:t>
                </m:r>
                <m:f>
                  <m:fPr>
                    <m:ctrlPr>
                      <w:rPr>
                        <w:rFonts w:ascii="Cambria Math" w:hAnsi="Cambria Math"/>
                      </w:rPr>
                    </m:ctrlPr>
                  </m:fPr>
                  <m:num>
                    <m:r>
                      <w:rPr>
                        <w:rFonts w:ascii="Cambria Math" w:hAnsi="Cambria Math"/>
                      </w:rPr>
                      <m:t>2</m:t>
                    </m:r>
                    <m:sSub>
                      <m:sSubPr>
                        <m:ctrlPr>
                          <w:rPr>
                            <w:rFonts w:ascii="Cambria Math" w:hAnsi="Cambria Math"/>
                          </w:rPr>
                        </m:ctrlPr>
                      </m:sSubPr>
                      <m:e>
                        <m:r>
                          <w:rPr>
                            <w:rFonts w:ascii="Cambria Math" w:hAnsi="Cambria Math"/>
                          </w:rPr>
                          <m:t>T</m:t>
                        </m:r>
                      </m:e>
                      <m:sub>
                        <m:r>
                          <w:rPr>
                            <w:rFonts w:ascii="Cambria Math" w:hAnsi="Cambria Math"/>
                          </w:rPr>
                          <m:t>1</m:t>
                        </m:r>
                      </m:sub>
                    </m:sSub>
                  </m:num>
                  <m:den>
                    <m:r>
                      <w:rPr>
                        <w:rFonts w:ascii="Cambria Math" w:hAnsi="Cambria Math"/>
                      </w:rPr>
                      <m:t>1+3</m:t>
                    </m:r>
                    <m:sSub>
                      <m:sSubPr>
                        <m:ctrlPr>
                          <w:rPr>
                            <w:rFonts w:ascii="Cambria Math" w:hAnsi="Cambria Math"/>
                          </w:rPr>
                        </m:ctrlPr>
                      </m:sSubPr>
                      <m:e>
                        <m:r>
                          <w:rPr>
                            <w:rFonts w:ascii="Cambria Math" w:hAnsi="Cambria Math"/>
                          </w:rPr>
                          <m:t>T</m:t>
                        </m:r>
                      </m:e>
                      <m:sub>
                        <m:r>
                          <w:rPr>
                            <w:rFonts w:ascii="Cambria Math" w:hAnsi="Cambria Math"/>
                          </w:rPr>
                          <m:t>1</m:t>
                        </m:r>
                      </m:sub>
                    </m:sSub>
                  </m:den>
                </m:f>
                <m:d>
                  <m:dPr>
                    <m:ctrlPr>
                      <w:rPr>
                        <w:rFonts w:ascii="Cambria Math" w:hAnsi="Cambria Math"/>
                      </w:rPr>
                    </m:ctrlPr>
                  </m:dPr>
                  <m:e>
                    <m:rad>
                      <m:radPr>
                        <m:degHide m:val="1"/>
                        <m:ctrlPr>
                          <w:rPr>
                            <w:rFonts w:ascii="Cambria Math" w:hAnsi="Cambria Math"/>
                          </w:rPr>
                        </m:ctrlPr>
                      </m:radPr>
                      <m:deg/>
                      <m:e>
                        <m:sSub>
                          <m:sSubPr>
                            <m:ctrlPr>
                              <w:rPr>
                                <w:rFonts w:ascii="Cambria Math" w:hAnsi="Cambria Math"/>
                              </w:rPr>
                            </m:ctrlPr>
                          </m:sSubPr>
                          <m:e>
                            <m:acc>
                              <m:accPr>
                                <m:chr m:val="̅"/>
                                <m:ctrlPr>
                                  <w:rPr>
                                    <w:rFonts w:ascii="Cambria Math" w:hAnsi="Cambria Math"/>
                                  </w:rPr>
                                </m:ctrlPr>
                              </m:accPr>
                              <m:e>
                                <m:r>
                                  <w:rPr>
                                    <w:rFonts w:ascii="Cambria Math" w:hAnsi="Cambria Math"/>
                                  </w:rPr>
                                  <m:t>m</m:t>
                                </m:r>
                              </m:e>
                            </m:acc>
                          </m:e>
                          <m:sub>
                            <m:r>
                              <m:rPr>
                                <m:sty m:val="p"/>
                              </m:rPr>
                              <w:rPr>
                                <w:rFonts w:ascii="Cambria Math" w:hAnsi="Cambria Math"/>
                              </w:rPr>
                              <m:t>k</m:t>
                            </m:r>
                          </m:sub>
                        </m:sSub>
                      </m:e>
                    </m:rad>
                    <m:r>
                      <w:rPr>
                        <w:rFonts w:ascii="Cambria Math" w:hAnsi="Cambria Math"/>
                      </w:rPr>
                      <m:t>-</m:t>
                    </m:r>
                    <m:sSubSup>
                      <m:sSubSupPr>
                        <m:ctrlPr>
                          <w:rPr>
                            <w:rFonts w:ascii="Cambria Math" w:hAnsi="Cambria Math"/>
                          </w:rPr>
                        </m:ctrlPr>
                      </m:sSubSupPr>
                      <m:e>
                        <m:acc>
                          <m:accPr>
                            <m:chr m:val="̅"/>
                            <m:ctrlPr>
                              <w:rPr>
                                <w:rFonts w:ascii="Cambria Math" w:hAnsi="Cambria Math"/>
                              </w:rPr>
                            </m:ctrlPr>
                          </m:accPr>
                          <m:e>
                            <m:r>
                              <w:rPr>
                                <w:rFonts w:ascii="Cambria Math" w:hAnsi="Cambria Math"/>
                              </w:rPr>
                              <m:t>m</m:t>
                            </m:r>
                          </m:e>
                        </m:acc>
                      </m:e>
                      <m:sub>
                        <m:r>
                          <m:rPr>
                            <m:sty m:val="p"/>
                          </m:rPr>
                          <w:rPr>
                            <w:rFonts w:ascii="Cambria Math" w:hAnsi="Cambria Math"/>
                          </w:rPr>
                          <m:t>k</m:t>
                        </m:r>
                      </m:sub>
                      <m:sup>
                        <m:r>
                          <w:rPr>
                            <w:rFonts w:ascii="Cambria Math" w:hAnsi="Cambria Math"/>
                          </w:rPr>
                          <m:t>2</m:t>
                        </m:r>
                      </m:sup>
                    </m:sSubSup>
                  </m:e>
                </m:d>
              </m:e>
            </m:d>
          </m:e>
          <m:sup>
            <m:r>
              <w:rPr>
                <w:rFonts w:ascii="Cambria Math" w:hAnsi="Cambria Math"/>
              </w:rPr>
              <m:t>-1</m:t>
            </m:r>
          </m:sup>
        </m:sSup>
      </m:oMath>
      <w:r w:rsidR="0072177C" w:rsidRPr="00870D59">
        <w:tab/>
        <w:t>(D.</w:t>
      </w:r>
      <w:r w:rsidR="0072177C">
        <w:t>13</w:t>
      </w:r>
      <w:r w:rsidR="0072177C" w:rsidRPr="00870D59">
        <w:t>)</w:t>
      </w:r>
    </w:p>
    <w:p w14:paraId="2B55DEB0" w14:textId="549130BC" w:rsidR="00691F56" w:rsidRPr="00691F56" w:rsidRDefault="00691F56" w:rsidP="00691F56">
      <w:pPr>
        <w:pStyle w:val="Text"/>
      </w:pPr>
      <w:r>
        <w:t>where</w:t>
      </w:r>
    </w:p>
    <w:tbl>
      <w:tblPr>
        <w:tblW w:w="0" w:type="auto"/>
        <w:tblInd w:w="346" w:type="dxa"/>
        <w:tblLook w:val="04A0" w:firstRow="1" w:lastRow="0" w:firstColumn="1" w:lastColumn="0" w:noHBand="0" w:noVBand="1"/>
      </w:tblPr>
      <w:tblGrid>
        <w:gridCol w:w="1275"/>
        <w:gridCol w:w="7938"/>
      </w:tblGrid>
      <w:tr w:rsidR="0072177C" w:rsidRPr="0072177C" w14:paraId="06F68016" w14:textId="77777777" w:rsidTr="00691F56">
        <w:tc>
          <w:tcPr>
            <w:tcW w:w="1275" w:type="dxa"/>
          </w:tcPr>
          <w:p w14:paraId="484D041A" w14:textId="241E8B3B" w:rsidR="0072177C" w:rsidRPr="0072177C" w:rsidRDefault="0072177C" w:rsidP="002061E5">
            <w:pPr>
              <w:spacing w:after="60"/>
              <w:rPr>
                <w:rFonts w:eastAsia="Times New Roman" w:cs="Cambria"/>
                <w:szCs w:val="20"/>
                <w:lang w:eastAsia="fr-FR"/>
              </w:rPr>
            </w:pPr>
            <w:r w:rsidRPr="00D1484A">
              <w:rPr>
                <w:i/>
                <w:iCs/>
              </w:rPr>
              <w:t>p</w:t>
            </w:r>
            <w:r w:rsidRPr="007E6F67">
              <w:rPr>
                <w:vertAlign w:val="subscript"/>
              </w:rPr>
              <w:t>t,k</w:t>
            </w:r>
          </w:p>
        </w:tc>
        <w:tc>
          <w:tcPr>
            <w:tcW w:w="7938" w:type="dxa"/>
          </w:tcPr>
          <w:p w14:paraId="4DA32606" w14:textId="218ED0CB" w:rsidR="0072177C" w:rsidRPr="0072177C" w:rsidRDefault="0072177C" w:rsidP="002061E5">
            <w:pPr>
              <w:spacing w:after="60"/>
              <w:rPr>
                <w:rFonts w:eastAsia="Times New Roman" w:cs="Cambria"/>
                <w:szCs w:val="20"/>
                <w:lang w:eastAsia="fr-FR"/>
              </w:rPr>
            </w:pPr>
            <w:r w:rsidRPr="00FD17CF">
              <w:t>is a coefficient that accounts for the increase in the required dissipation capacity in a storey k resulting from torsional effects, calculated using Formula (D.14).</w:t>
            </w:r>
          </w:p>
        </w:tc>
      </w:tr>
    </w:tbl>
    <w:p w14:paraId="20384CEA" w14:textId="5267C2EB" w:rsidR="0072177C" w:rsidRDefault="009B5CEC" w:rsidP="0072177C">
      <w:pPr>
        <w:pStyle w:val="Formula"/>
        <w:spacing w:before="240"/>
      </w:pPr>
      <m:oMath>
        <m:sSub>
          <m:sSubPr>
            <m:ctrlPr>
              <w:rPr>
                <w:rFonts w:ascii="Cambria Math" w:hAnsi="Cambria Math"/>
              </w:rPr>
            </m:ctrlPr>
          </m:sSubPr>
          <m:e>
            <m:r>
              <w:rPr>
                <w:rFonts w:ascii="Cambria Math" w:hAnsi="Cambria Math"/>
              </w:rPr>
              <m:t>p</m:t>
            </m:r>
          </m:e>
          <m:sub>
            <m:r>
              <m:rPr>
                <m:sty m:val="p"/>
              </m:rPr>
              <w:rPr>
                <w:rFonts w:ascii="Cambria Math" w:hAnsi="Cambria Math"/>
              </w:rPr>
              <m:t>t,k</m:t>
            </m:r>
          </m:sub>
        </m:sSub>
        <m:r>
          <w:rPr>
            <w:rFonts w:ascii="Cambria Math" w:hAnsi="Cambria Math"/>
          </w:rPr>
          <m:t>=</m:t>
        </m:r>
        <m:d>
          <m:dPr>
            <m:begChr m:val="{"/>
            <m:endChr m:val=""/>
            <m:ctrlPr>
              <w:rPr>
                <w:rFonts w:ascii="Cambria Math" w:hAnsi="Cambria Math"/>
              </w:rPr>
            </m:ctrlPr>
          </m:dPr>
          <m:e>
            <m:m>
              <m:mPr>
                <m:mcs>
                  <m:mc>
                    <m:mcPr>
                      <m:count m:val="1"/>
                      <m:mcJc m:val="center"/>
                    </m:mcPr>
                  </m:mc>
                </m:mcs>
                <m:ctrlPr>
                  <w:rPr>
                    <w:rFonts w:ascii="Cambria Math" w:hAnsi="Cambria Math"/>
                  </w:rPr>
                </m:ctrlPr>
              </m:mPr>
              <m:mr>
                <m:e>
                  <m:r>
                    <w:rPr>
                      <w:rFonts w:ascii="Cambria Math" w:hAnsi="Cambria Math"/>
                    </w:rPr>
                    <m:t>1,0                  for    (</m:t>
                  </m:r>
                  <m:sSub>
                    <m:sSubPr>
                      <m:ctrlPr>
                        <w:rPr>
                          <w:rFonts w:ascii="Cambria Math" w:hAnsi="Cambria Math"/>
                          <w:vertAlign w:val="subscript"/>
                        </w:rPr>
                      </m:ctrlPr>
                    </m:sSubPr>
                    <m:e>
                      <m:r>
                        <w:rPr>
                          <w:rFonts w:ascii="Cambria Math" w:hAnsi="Cambria Math"/>
                          <w:vertAlign w:val="subscript"/>
                        </w:rPr>
                        <m:t>e</m:t>
                      </m:r>
                    </m:e>
                    <m:sub>
                      <m:r>
                        <m:rPr>
                          <m:sty m:val="p"/>
                        </m:rPr>
                        <w:rPr>
                          <w:rFonts w:ascii="Cambria Math" w:hAnsi="Cambria Math"/>
                          <w:vertAlign w:val="subscript"/>
                        </w:rPr>
                        <m:t>0x</m:t>
                      </m:r>
                    </m:sub>
                  </m:sSub>
                  <m:r>
                    <w:rPr>
                      <w:rFonts w:ascii="Cambria Math" w:hAnsi="Cambria Math"/>
                    </w:rPr>
                    <m:t>/</m:t>
                  </m:r>
                  <m:sSub>
                    <m:sSubPr>
                      <m:ctrlPr>
                        <w:rPr>
                          <w:rFonts w:ascii="Cambria Math" w:hAnsi="Cambria Math"/>
                          <w:vertAlign w:val="subscript"/>
                        </w:rPr>
                      </m:ctrlPr>
                    </m:sSubPr>
                    <m:e>
                      <m:r>
                        <w:rPr>
                          <w:rFonts w:ascii="Cambria Math" w:hAnsi="Cambria Math"/>
                          <w:vertAlign w:val="subscript"/>
                        </w:rPr>
                        <m:t>r</m:t>
                      </m:r>
                    </m:e>
                    <m:sub>
                      <m:r>
                        <m:rPr>
                          <m:sty m:val="p"/>
                        </m:rPr>
                        <w:rPr>
                          <w:rFonts w:ascii="Cambria Math" w:hAnsi="Cambria Math"/>
                          <w:vertAlign w:val="subscript"/>
                        </w:rPr>
                        <m:t>x</m:t>
                      </m:r>
                    </m:sub>
                  </m:sSub>
                  <m:r>
                    <w:rPr>
                      <w:rFonts w:ascii="Cambria Math" w:hAnsi="Cambria Math"/>
                    </w:rPr>
                    <m:t xml:space="preserve">) &lt;0,15                    </m:t>
                  </m:r>
                </m:e>
              </m:mr>
              <m:mr>
                <m:e>
                  <m:r>
                    <w:rPr>
                      <w:rFonts w:ascii="Cambria Math" w:hAnsi="Cambria Math"/>
                    </w:rPr>
                    <m:t>1,15-</m:t>
                  </m:r>
                  <m:f>
                    <m:fPr>
                      <m:ctrlPr>
                        <w:rPr>
                          <w:rFonts w:ascii="Cambria Math" w:hAnsi="Cambria Math"/>
                        </w:rPr>
                      </m:ctrlPr>
                    </m:fPr>
                    <m:num>
                      <m:sSub>
                        <m:sSubPr>
                          <m:ctrlPr>
                            <w:rPr>
                              <w:rFonts w:ascii="Cambria Math" w:hAnsi="Cambria Math"/>
                            </w:rPr>
                          </m:ctrlPr>
                        </m:sSubPr>
                        <m:e>
                          <m:r>
                            <w:rPr>
                              <w:rFonts w:ascii="Cambria Math" w:hAnsi="Cambria Math"/>
                            </w:rPr>
                            <m:t>e</m:t>
                          </m:r>
                        </m:e>
                        <m:sub>
                          <m:r>
                            <m:rPr>
                              <m:sty m:val="p"/>
                            </m:rPr>
                            <w:rPr>
                              <w:rFonts w:ascii="Cambria Math" w:hAnsi="Cambria Math"/>
                            </w:rPr>
                            <m:t>0x</m:t>
                          </m:r>
                        </m:sub>
                      </m:sSub>
                    </m:num>
                    <m:den>
                      <m:sSub>
                        <m:sSubPr>
                          <m:ctrlPr>
                            <w:rPr>
                              <w:rFonts w:ascii="Cambria Math" w:hAnsi="Cambria Math"/>
                            </w:rPr>
                          </m:ctrlPr>
                        </m:sSubPr>
                        <m:e>
                          <m:r>
                            <w:rPr>
                              <w:rFonts w:ascii="Cambria Math" w:hAnsi="Cambria Math"/>
                            </w:rPr>
                            <m:t>r</m:t>
                          </m:r>
                        </m:e>
                        <m:sub>
                          <m:r>
                            <m:rPr>
                              <m:sty m:val="p"/>
                            </m:rPr>
                            <w:rPr>
                              <w:rFonts w:ascii="Cambria Math" w:hAnsi="Cambria Math"/>
                            </w:rPr>
                            <m:t>x</m:t>
                          </m:r>
                        </m:sub>
                      </m:sSub>
                    </m:den>
                  </m:f>
                  <m:r>
                    <w:rPr>
                      <w:rFonts w:ascii="Cambria Math" w:hAnsi="Cambria Math"/>
                    </w:rPr>
                    <m:t xml:space="preserve">     for    0,15 &lt; (</m:t>
                  </m:r>
                  <m:sSub>
                    <m:sSubPr>
                      <m:ctrlPr>
                        <w:rPr>
                          <w:rFonts w:ascii="Cambria Math" w:hAnsi="Cambria Math"/>
                          <w:vertAlign w:val="subscript"/>
                        </w:rPr>
                      </m:ctrlPr>
                    </m:sSubPr>
                    <m:e>
                      <m:r>
                        <w:rPr>
                          <w:rFonts w:ascii="Cambria Math" w:hAnsi="Cambria Math"/>
                          <w:vertAlign w:val="subscript"/>
                        </w:rPr>
                        <m:t>e</m:t>
                      </m:r>
                    </m:e>
                    <m:sub>
                      <m:r>
                        <m:rPr>
                          <m:sty m:val="p"/>
                        </m:rPr>
                        <w:rPr>
                          <w:rFonts w:ascii="Cambria Math" w:hAnsi="Cambria Math"/>
                          <w:vertAlign w:val="subscript"/>
                        </w:rPr>
                        <m:t>0x</m:t>
                      </m:r>
                    </m:sub>
                  </m:sSub>
                  <m:r>
                    <w:rPr>
                      <w:rFonts w:ascii="Cambria Math" w:hAnsi="Cambria Math"/>
                    </w:rPr>
                    <m:t>/</m:t>
                  </m:r>
                  <m:sSub>
                    <m:sSubPr>
                      <m:ctrlPr>
                        <w:rPr>
                          <w:rFonts w:ascii="Cambria Math" w:hAnsi="Cambria Math"/>
                          <w:vertAlign w:val="subscript"/>
                        </w:rPr>
                      </m:ctrlPr>
                    </m:sSubPr>
                    <m:e>
                      <m:r>
                        <w:rPr>
                          <w:rFonts w:ascii="Cambria Math" w:hAnsi="Cambria Math"/>
                          <w:vertAlign w:val="subscript"/>
                        </w:rPr>
                        <m:t>r</m:t>
                      </m:r>
                    </m:e>
                    <m:sub>
                      <m:r>
                        <m:rPr>
                          <m:sty m:val="p"/>
                        </m:rPr>
                        <w:rPr>
                          <w:rFonts w:ascii="Cambria Math" w:hAnsi="Cambria Math"/>
                          <w:vertAlign w:val="subscript"/>
                        </w:rPr>
                        <m:t>x</m:t>
                      </m:r>
                    </m:sub>
                  </m:sSub>
                  <m:r>
                    <w:rPr>
                      <w:rFonts w:ascii="Cambria Math" w:hAnsi="Cambria Math"/>
                    </w:rPr>
                    <m:t xml:space="preserve">) &lt; 0,30   </m:t>
                  </m:r>
                </m:e>
              </m:mr>
              <m:mr>
                <m:e>
                  <m:r>
                    <w:rPr>
                      <w:rFonts w:ascii="Cambria Math" w:hAnsi="Cambria Math"/>
                    </w:rPr>
                    <m:t>0,85                for   (</m:t>
                  </m:r>
                  <m:sSub>
                    <m:sSubPr>
                      <m:ctrlPr>
                        <w:rPr>
                          <w:rFonts w:ascii="Cambria Math" w:hAnsi="Cambria Math"/>
                          <w:vertAlign w:val="subscript"/>
                        </w:rPr>
                      </m:ctrlPr>
                    </m:sSubPr>
                    <m:e>
                      <m:r>
                        <w:rPr>
                          <w:rFonts w:ascii="Cambria Math" w:hAnsi="Cambria Math"/>
                          <w:vertAlign w:val="subscript"/>
                        </w:rPr>
                        <m:t>e</m:t>
                      </m:r>
                    </m:e>
                    <m:sub>
                      <m:r>
                        <m:rPr>
                          <m:sty m:val="p"/>
                        </m:rPr>
                        <w:rPr>
                          <w:rFonts w:ascii="Cambria Math" w:hAnsi="Cambria Math"/>
                          <w:vertAlign w:val="subscript"/>
                        </w:rPr>
                        <m:t>0x</m:t>
                      </m:r>
                    </m:sub>
                  </m:sSub>
                  <m:r>
                    <w:rPr>
                      <w:rFonts w:ascii="Cambria Math" w:hAnsi="Cambria Math"/>
                    </w:rPr>
                    <m:t>/</m:t>
                  </m:r>
                  <m:sSub>
                    <m:sSubPr>
                      <m:ctrlPr>
                        <w:rPr>
                          <w:rFonts w:ascii="Cambria Math" w:hAnsi="Cambria Math"/>
                          <w:vertAlign w:val="subscript"/>
                        </w:rPr>
                      </m:ctrlPr>
                    </m:sSubPr>
                    <m:e>
                      <m:r>
                        <w:rPr>
                          <w:rFonts w:ascii="Cambria Math" w:hAnsi="Cambria Math"/>
                          <w:vertAlign w:val="subscript"/>
                        </w:rPr>
                        <m:t>r</m:t>
                      </m:r>
                    </m:e>
                    <m:sub>
                      <m:r>
                        <m:rPr>
                          <m:sty m:val="p"/>
                        </m:rPr>
                        <w:rPr>
                          <w:rFonts w:ascii="Cambria Math" w:hAnsi="Cambria Math"/>
                          <w:vertAlign w:val="subscript"/>
                        </w:rPr>
                        <m:t>x</m:t>
                      </m:r>
                    </m:sub>
                  </m:sSub>
                  <m:r>
                    <w:rPr>
                      <w:rFonts w:ascii="Cambria Math" w:hAnsi="Cambria Math"/>
                    </w:rPr>
                    <m:t xml:space="preserve">) &gt;0,30                     </m:t>
                  </m:r>
                </m:e>
              </m:mr>
            </m:m>
          </m:e>
        </m:d>
      </m:oMath>
      <w:r w:rsidR="0072177C" w:rsidRPr="00870D59">
        <w:tab/>
        <w:t>(D.</w:t>
      </w:r>
      <w:r w:rsidR="0072177C">
        <w:t>14</w:t>
      </w:r>
      <w:r w:rsidR="0072177C" w:rsidRPr="00870D59">
        <w:t>)</w:t>
      </w:r>
    </w:p>
    <w:p w14:paraId="2A9FBE55" w14:textId="5B2407C7" w:rsidR="00D20C81" w:rsidRDefault="00675EBA" w:rsidP="00D20C81">
      <w:pPr>
        <w:pStyle w:val="Text"/>
      </w:pPr>
      <w:r>
        <w:t>where</w:t>
      </w:r>
    </w:p>
    <w:tbl>
      <w:tblPr>
        <w:tblW w:w="0" w:type="auto"/>
        <w:tblInd w:w="346" w:type="dxa"/>
        <w:tblLook w:val="04A0" w:firstRow="1" w:lastRow="0" w:firstColumn="1" w:lastColumn="0" w:noHBand="0" w:noVBand="1"/>
      </w:tblPr>
      <w:tblGrid>
        <w:gridCol w:w="1275"/>
        <w:gridCol w:w="7938"/>
      </w:tblGrid>
      <w:tr w:rsidR="0072177C" w:rsidRPr="0072177C" w14:paraId="1334FF60" w14:textId="77777777" w:rsidTr="00691F56">
        <w:tc>
          <w:tcPr>
            <w:tcW w:w="1275" w:type="dxa"/>
          </w:tcPr>
          <w:p w14:paraId="2AEB7DDB" w14:textId="2DF47F69" w:rsidR="0072177C" w:rsidRPr="0072177C" w:rsidRDefault="0072177C" w:rsidP="002061E5">
            <w:pPr>
              <w:spacing w:after="60"/>
              <w:rPr>
                <w:rFonts w:eastAsia="Times New Roman" w:cs="Cambria"/>
                <w:szCs w:val="20"/>
                <w:lang w:eastAsia="fr-FR"/>
              </w:rPr>
            </w:pPr>
            <w:r w:rsidRPr="00D1484A">
              <w:rPr>
                <w:i/>
              </w:rPr>
              <w:t>e</w:t>
            </w:r>
            <w:r w:rsidRPr="007E6F67">
              <w:rPr>
                <w:vertAlign w:val="subscript"/>
              </w:rPr>
              <w:t>ox</w:t>
            </w:r>
          </w:p>
        </w:tc>
        <w:tc>
          <w:tcPr>
            <w:tcW w:w="7938" w:type="dxa"/>
          </w:tcPr>
          <w:p w14:paraId="27481406" w14:textId="4FFDC7E4" w:rsidR="0072177C" w:rsidRPr="0072177C" w:rsidRDefault="0072177C" w:rsidP="002061E5">
            <w:pPr>
              <w:spacing w:after="60"/>
              <w:rPr>
                <w:rFonts w:eastAsia="Times New Roman" w:cs="Cambria"/>
                <w:szCs w:val="20"/>
                <w:lang w:eastAsia="fr-FR"/>
              </w:rPr>
            </w:pPr>
            <w:r w:rsidRPr="00FD17CF">
              <w:t xml:space="preserve">is the distance between the centre of stiffness and the centre of mass, measured along the </w:t>
            </w:r>
            <w:r w:rsidRPr="00FD17CF">
              <w:rPr>
                <w:i/>
              </w:rPr>
              <w:t>x</w:t>
            </w:r>
            <w:r w:rsidRPr="00E05E29">
              <w:t xml:space="preserve"> direction, which is normal to the direction of analysis </w:t>
            </w:r>
            <w:r w:rsidRPr="00196951">
              <w:rPr>
                <w:i/>
              </w:rPr>
              <w:t>y</w:t>
            </w:r>
            <w:r w:rsidRPr="00196951">
              <w:t xml:space="preserve"> considered;</w:t>
            </w:r>
          </w:p>
        </w:tc>
      </w:tr>
      <w:tr w:rsidR="0072177C" w:rsidRPr="0072177C" w14:paraId="643A2DA3" w14:textId="77777777" w:rsidTr="00691F56">
        <w:tc>
          <w:tcPr>
            <w:tcW w:w="1275" w:type="dxa"/>
          </w:tcPr>
          <w:p w14:paraId="716DF359" w14:textId="68931DAF" w:rsidR="0072177C" w:rsidRPr="00D1484A" w:rsidRDefault="0072177C" w:rsidP="002061E5">
            <w:pPr>
              <w:spacing w:after="60"/>
              <w:rPr>
                <w:i/>
              </w:rPr>
            </w:pPr>
            <w:r w:rsidRPr="00196951">
              <w:rPr>
                <w:iCs/>
              </w:rPr>
              <w:t>r</w:t>
            </w:r>
            <w:r w:rsidRPr="002144A0">
              <w:rPr>
                <w:vertAlign w:val="subscript"/>
              </w:rPr>
              <w:t>x</w:t>
            </w:r>
          </w:p>
        </w:tc>
        <w:tc>
          <w:tcPr>
            <w:tcW w:w="7938" w:type="dxa"/>
          </w:tcPr>
          <w:p w14:paraId="221D9718" w14:textId="7A3CE0FD" w:rsidR="0072177C" w:rsidRPr="0072177C" w:rsidRDefault="0072177C" w:rsidP="002061E5">
            <w:pPr>
              <w:spacing w:after="60"/>
              <w:rPr>
                <w:rFonts w:eastAsia="Times New Roman" w:cs="Cambria"/>
                <w:szCs w:val="20"/>
                <w:lang w:eastAsia="fr-FR"/>
              </w:rPr>
            </w:pPr>
            <w:r w:rsidRPr="00132C1E">
              <w:rPr>
                <w:iCs/>
              </w:rPr>
              <w:t>is the square root of the ratio of the torsional stiffness to the lateral stiffness in the y direction (“torsional radius”), which may be calculated by Formula (A3) in Annex</w:t>
            </w:r>
            <w:r w:rsidR="00691F56">
              <w:rPr>
                <w:iCs/>
              </w:rPr>
              <w:t> </w:t>
            </w:r>
            <w:r w:rsidRPr="00132C1E">
              <w:rPr>
                <w:iCs/>
              </w:rPr>
              <w:t>A;</w:t>
            </w:r>
          </w:p>
        </w:tc>
      </w:tr>
      <w:tr w:rsidR="0072177C" w:rsidRPr="0072177C" w14:paraId="04517054" w14:textId="77777777" w:rsidTr="00691F56">
        <w:tc>
          <w:tcPr>
            <w:tcW w:w="1275" w:type="dxa"/>
          </w:tcPr>
          <w:p w14:paraId="7BC80103" w14:textId="02F7C0D3" w:rsidR="0072177C" w:rsidRPr="00D1484A" w:rsidRDefault="0072177C" w:rsidP="002061E5">
            <w:pPr>
              <w:spacing w:after="60"/>
              <w:rPr>
                <w:i/>
              </w:rPr>
            </w:pPr>
            <w:r w:rsidRPr="00132C1E">
              <w:rPr>
                <w:rFonts w:ascii="Times New Roman" w:hAnsi="Times New Roman"/>
                <w:i/>
              </w:rPr>
              <w:t>n</w:t>
            </w:r>
          </w:p>
        </w:tc>
        <w:tc>
          <w:tcPr>
            <w:tcW w:w="7938" w:type="dxa"/>
          </w:tcPr>
          <w:p w14:paraId="42DBC640" w14:textId="0C7761EE" w:rsidR="0072177C" w:rsidRPr="0072177C" w:rsidRDefault="0072177C" w:rsidP="002061E5">
            <w:pPr>
              <w:spacing w:after="60"/>
              <w:rPr>
                <w:rFonts w:eastAsia="Times New Roman" w:cs="Cambria"/>
                <w:szCs w:val="20"/>
                <w:lang w:eastAsia="fr-FR"/>
              </w:rPr>
            </w:pPr>
            <w:r w:rsidRPr="00132C1E">
              <w:t xml:space="preserve">represents the extent to which the required amount of energy dissipation of the building is distributed to each storey according to the stiffness and strength of each storey. It should be taken as </w:t>
            </w:r>
            <w:r w:rsidRPr="00132C1E">
              <w:rPr>
                <w:i/>
              </w:rPr>
              <w:t>n </w:t>
            </w:r>
            <w:r w:rsidRPr="00132C1E">
              <w:t xml:space="preserve">= 4 if the main structural system satisfies the global and local ductility conditions </w:t>
            </w:r>
            <w:r w:rsidRPr="00837A31">
              <w:t>of 6.2.4 and 6.2.5,</w:t>
            </w:r>
            <w:r w:rsidRPr="00132C1E">
              <w:t xml:space="preserve"> as appropriate, and as </w:t>
            </w:r>
            <w:r w:rsidRPr="00132C1E">
              <w:rPr>
                <w:i/>
              </w:rPr>
              <w:t>n </w:t>
            </w:r>
            <w:r w:rsidRPr="00132C1E">
              <w:t>= 8 otherwise</w:t>
            </w:r>
            <w:r>
              <w:t>.</w:t>
            </w:r>
          </w:p>
        </w:tc>
      </w:tr>
    </w:tbl>
    <w:p w14:paraId="63C1BD88" w14:textId="422636F4" w:rsidR="0072177C" w:rsidRPr="00132C1E" w:rsidRDefault="0072177C" w:rsidP="0072177C">
      <w:pPr>
        <w:pStyle w:val="a3"/>
      </w:pPr>
      <w:bookmarkStart w:id="11196" w:name="_Toc50150724"/>
      <w:bookmarkStart w:id="11197" w:name="_Toc70887157"/>
      <w:bookmarkStart w:id="11198" w:name="_Toc108342741"/>
      <w:bookmarkStart w:id="11199" w:name="_Toc16927734"/>
      <w:bookmarkStart w:id="11200" w:name="_Toc120543828"/>
      <w:bookmarkStart w:id="11201" w:name="_Toc134198250"/>
      <w:r w:rsidRPr="00132C1E">
        <w:t xml:space="preserve">Calculation of </w:t>
      </w:r>
      <w:r w:rsidRPr="00132C1E">
        <w:rPr>
          <w:i/>
          <w:iCs/>
        </w:rPr>
        <w:t>E</w:t>
      </w:r>
      <w:r w:rsidRPr="00132C1E">
        <w:rPr>
          <w:vertAlign w:val="subscript"/>
        </w:rPr>
        <w:t>pH,</w:t>
      </w:r>
      <w:r w:rsidRPr="00132C1E">
        <w:rPr>
          <w:i/>
          <w:iCs/>
          <w:vertAlign w:val="subscript"/>
        </w:rPr>
        <w:t>k</w:t>
      </w:r>
      <w:r w:rsidRPr="00132C1E">
        <w:rPr>
          <w:vertAlign w:val="subscript"/>
        </w:rPr>
        <w:t>,max</w:t>
      </w:r>
      <w:bookmarkEnd w:id="11196"/>
      <w:bookmarkEnd w:id="11197"/>
      <w:bookmarkEnd w:id="11198"/>
      <w:bookmarkEnd w:id="11199"/>
      <w:bookmarkEnd w:id="11200"/>
      <w:bookmarkEnd w:id="11201"/>
    </w:p>
    <w:p w14:paraId="1A90F7F4" w14:textId="1818D975" w:rsidR="0072177C" w:rsidRPr="00132C1E" w:rsidRDefault="0072177C" w:rsidP="0080187E">
      <w:pPr>
        <w:pStyle w:val="Clause"/>
        <w:numPr>
          <w:ilvl w:val="0"/>
          <w:numId w:val="564"/>
        </w:numPr>
      </w:pPr>
      <w:r w:rsidRPr="00132C1E">
        <w:t xml:space="preserve">The maximum energy dissipation demand </w:t>
      </w:r>
      <w:r w:rsidRPr="000B008F">
        <w:rPr>
          <w:i/>
        </w:rPr>
        <w:t>E</w:t>
      </w:r>
      <w:r w:rsidRPr="000B008F">
        <w:rPr>
          <w:vertAlign w:val="subscript"/>
        </w:rPr>
        <w:t>pH,</w:t>
      </w:r>
      <w:r w:rsidRPr="000B008F">
        <w:rPr>
          <w:i/>
          <w:vertAlign w:val="subscript"/>
        </w:rPr>
        <w:t>k</w:t>
      </w:r>
      <w:r w:rsidRPr="000B008F">
        <w:rPr>
          <w:vertAlign w:val="subscript"/>
        </w:rPr>
        <w:t>,max</w:t>
      </w:r>
      <w:r w:rsidR="00835C82">
        <w:t xml:space="preserve"> a</w:t>
      </w:r>
      <w:r w:rsidRPr="00132C1E">
        <w:t xml:space="preserve">t the </w:t>
      </w:r>
      <w:r w:rsidRPr="000B008F">
        <w:rPr>
          <w:i/>
        </w:rPr>
        <w:t>k-</w:t>
      </w:r>
      <w:r w:rsidRPr="00132C1E">
        <w:t>th storey on the primary seismic members of the main structural system in the direction under consideration should be calculated with Formula</w:t>
      </w:r>
      <w:r w:rsidR="00691F56">
        <w:t> </w:t>
      </w:r>
      <w:r w:rsidRPr="00132C1E">
        <w:t>(D.15).</w:t>
      </w:r>
    </w:p>
    <w:p w14:paraId="1CCC33BA" w14:textId="2C03EDFF" w:rsidR="0072177C" w:rsidRDefault="009B5CEC" w:rsidP="0072177C">
      <w:pPr>
        <w:pStyle w:val="Formula"/>
        <w:spacing w:before="240"/>
      </w:pPr>
      <m:oMath>
        <m:sSub>
          <m:sSubPr>
            <m:ctrlPr>
              <w:rPr>
                <w:rFonts w:ascii="Cambria Math" w:hAnsi="Cambria Math"/>
              </w:rPr>
            </m:ctrlPr>
          </m:sSubPr>
          <m:e>
            <m:r>
              <w:rPr>
                <w:rFonts w:ascii="Cambria Math" w:hAnsi="Cambria Math"/>
              </w:rPr>
              <m:t>E</m:t>
            </m:r>
          </m:e>
          <m:sub>
            <m:r>
              <m:rPr>
                <m:sty m:val="p"/>
              </m:rPr>
              <w:rPr>
                <w:rFonts w:ascii="Cambria Math" w:hAnsi="Cambria Math"/>
              </w:rPr>
              <m:t>pH,k,max</m:t>
            </m:r>
          </m:sub>
        </m:sSub>
        <m:r>
          <w:rPr>
            <w:rFonts w:ascii="Cambria Math" w:hAnsi="Cambria Math"/>
          </w:rPr>
          <m:t>=</m:t>
        </m:r>
        <m:sSub>
          <m:sSubPr>
            <m:ctrlPr>
              <w:rPr>
                <w:rFonts w:ascii="Cambria Math" w:hAnsi="Cambria Math"/>
              </w:rPr>
            </m:ctrlPr>
          </m:sSubPr>
          <m:e>
            <m:r>
              <w:rPr>
                <w:rFonts w:ascii="Cambria Math" w:hAnsi="Cambria Math"/>
              </w:rPr>
              <m:t>E</m:t>
            </m:r>
          </m:e>
          <m:sub>
            <m:r>
              <m:rPr>
                <m:sty m:val="p"/>
              </m:rPr>
              <w:rPr>
                <w:rFonts w:ascii="Cambria Math" w:hAnsi="Cambria Math"/>
              </w:rPr>
              <m:t>H,k</m:t>
            </m:r>
          </m:sub>
        </m:sSub>
        <m:d>
          <m:dPr>
            <m:begChr m:val="["/>
            <m:endChr m:val="]"/>
            <m:ctrlPr>
              <w:rPr>
                <w:rFonts w:ascii="Cambria Math" w:hAnsi="Cambria Math"/>
              </w:rPr>
            </m:ctrlPr>
          </m:dPr>
          <m:e>
            <m:f>
              <m:fPr>
                <m:ctrlPr>
                  <w:rPr>
                    <w:rFonts w:ascii="Cambria Math" w:hAnsi="Cambria Math"/>
                  </w:rPr>
                </m:ctrlPr>
              </m:fPr>
              <m:num>
                <m:sSub>
                  <m:sSubPr>
                    <m:ctrlPr>
                      <w:rPr>
                        <w:rFonts w:ascii="Cambria Math" w:hAnsi="Cambria Math"/>
                      </w:rPr>
                    </m:ctrlPr>
                  </m:sSubPr>
                  <m:e>
                    <m:r>
                      <w:rPr>
                        <w:rFonts w:ascii="Cambria Math" w:hAnsi="Cambria Math"/>
                      </w:rPr>
                      <m:t>V</m:t>
                    </m:r>
                  </m:e>
                  <m:sub>
                    <m:r>
                      <m:rPr>
                        <m:sty m:val="p"/>
                      </m:rPr>
                      <w:rPr>
                        <w:rFonts w:ascii="Cambria Math" w:hAnsi="Cambria Math"/>
                      </w:rPr>
                      <m:t>py,k</m:t>
                    </m:r>
                  </m:sub>
                </m:sSub>
                <m:r>
                  <w:rPr>
                    <w:rFonts w:ascii="Cambria Math" w:hAnsi="Cambria Math"/>
                  </w:rPr>
                  <m:t>(</m:t>
                </m:r>
                <m:sSub>
                  <m:sSubPr>
                    <m:ctrlPr>
                      <w:rPr>
                        <w:rFonts w:ascii="Cambria Math" w:hAnsi="Cambria Math"/>
                      </w:rPr>
                    </m:ctrlPr>
                  </m:sSubPr>
                  <m:e>
                    <m:r>
                      <w:rPr>
                        <w:rFonts w:ascii="Cambria Math" w:hAnsi="Cambria Math"/>
                      </w:rPr>
                      <m:t>d</m:t>
                    </m:r>
                  </m:e>
                  <m:sub>
                    <m:r>
                      <m:rPr>
                        <m:sty m:val="p"/>
                      </m:rPr>
                      <w:rPr>
                        <w:rFonts w:ascii="Cambria Math" w:hAnsi="Cambria Math"/>
                      </w:rPr>
                      <m:t>r,k,1</m:t>
                    </m:r>
                  </m:sub>
                </m:sSub>
                <m:r>
                  <w:rPr>
                    <w:rFonts w:ascii="Cambria Math" w:hAnsi="Cambria Math"/>
                  </w:rPr>
                  <m:t>-</m:t>
                </m:r>
                <m:sSub>
                  <m:sSubPr>
                    <m:ctrlPr>
                      <w:rPr>
                        <w:rFonts w:ascii="Cambria Math" w:hAnsi="Cambria Math"/>
                      </w:rPr>
                    </m:ctrlPr>
                  </m:sSubPr>
                  <m:e>
                    <m:r>
                      <w:rPr>
                        <w:rFonts w:ascii="Cambria Math" w:hAnsi="Cambria Math"/>
                      </w:rPr>
                      <m:t>d</m:t>
                    </m:r>
                  </m:e>
                  <m:sub>
                    <m:r>
                      <m:rPr>
                        <m:sty m:val="p"/>
                      </m:rPr>
                      <w:rPr>
                        <w:rFonts w:ascii="Cambria Math" w:hAnsi="Cambria Math"/>
                      </w:rPr>
                      <m:t>py,k</m:t>
                    </m:r>
                  </m:sub>
                </m:sSub>
                <m:r>
                  <w:rPr>
                    <w:rFonts w:ascii="Cambria Math" w:hAnsi="Cambria Math"/>
                  </w:rPr>
                  <m:t xml:space="preserve">) </m:t>
                </m:r>
              </m:num>
              <m:den>
                <m:sSub>
                  <m:sSubPr>
                    <m:ctrlPr>
                      <w:rPr>
                        <w:rFonts w:ascii="Cambria Math" w:hAnsi="Cambria Math"/>
                      </w:rPr>
                    </m:ctrlPr>
                  </m:sSubPr>
                  <m:e>
                    <m:r>
                      <w:rPr>
                        <w:rFonts w:ascii="Cambria Math" w:hAnsi="Cambria Math"/>
                      </w:rPr>
                      <m:t>V</m:t>
                    </m:r>
                  </m:e>
                  <m:sub>
                    <m:r>
                      <m:rPr>
                        <m:sty m:val="p"/>
                      </m:rPr>
                      <w:rPr>
                        <w:rFonts w:ascii="Cambria Math" w:hAnsi="Cambria Math"/>
                      </w:rPr>
                      <m:t>py,k</m:t>
                    </m:r>
                  </m:sub>
                </m:sSub>
                <m:r>
                  <w:rPr>
                    <w:rFonts w:ascii="Cambria Math" w:hAnsi="Cambria Math"/>
                  </w:rPr>
                  <m:t>(</m:t>
                </m:r>
                <m:sSub>
                  <m:sSubPr>
                    <m:ctrlPr>
                      <w:rPr>
                        <w:rFonts w:ascii="Cambria Math" w:hAnsi="Cambria Math"/>
                      </w:rPr>
                    </m:ctrlPr>
                  </m:sSubPr>
                  <m:e>
                    <m:r>
                      <w:rPr>
                        <w:rFonts w:ascii="Cambria Math" w:hAnsi="Cambria Math"/>
                      </w:rPr>
                      <m:t>d</m:t>
                    </m:r>
                  </m:e>
                  <m:sub>
                    <m:r>
                      <m:rPr>
                        <m:sty m:val="p"/>
                      </m:rPr>
                      <w:rPr>
                        <w:rFonts w:ascii="Cambria Math" w:hAnsi="Cambria Math"/>
                      </w:rPr>
                      <m:t>r,k,1</m:t>
                    </m:r>
                  </m:sub>
                </m:sSub>
                <m:r>
                  <w:rPr>
                    <w:rFonts w:ascii="Cambria Math" w:hAnsi="Cambria Math"/>
                  </w:rPr>
                  <m:t>-</m:t>
                </m:r>
                <m:sSub>
                  <m:sSubPr>
                    <m:ctrlPr>
                      <w:rPr>
                        <w:rFonts w:ascii="Cambria Math" w:hAnsi="Cambria Math"/>
                      </w:rPr>
                    </m:ctrlPr>
                  </m:sSubPr>
                  <m:e>
                    <m:r>
                      <w:rPr>
                        <w:rFonts w:ascii="Cambria Math" w:hAnsi="Cambria Math"/>
                      </w:rPr>
                      <m:t>d</m:t>
                    </m:r>
                  </m:e>
                  <m:sub>
                    <m:r>
                      <m:rPr>
                        <m:sty m:val="p"/>
                      </m:rPr>
                      <w:rPr>
                        <w:rFonts w:ascii="Cambria Math" w:hAnsi="Cambria Math"/>
                      </w:rPr>
                      <m:t>py,k</m:t>
                    </m:r>
                  </m:sub>
                </m:sSub>
                <m:r>
                  <w:rPr>
                    <w:rFonts w:ascii="Cambria Math" w:hAnsi="Cambria Math"/>
                  </w:rPr>
                  <m:t>) +</m:t>
                </m:r>
                <m:sSub>
                  <m:sSubPr>
                    <m:ctrlPr>
                      <w:rPr>
                        <w:rFonts w:ascii="Cambria Math" w:hAnsi="Cambria Math"/>
                      </w:rPr>
                    </m:ctrlPr>
                  </m:sSubPr>
                  <m:e>
                    <m:r>
                      <w:rPr>
                        <w:rFonts w:ascii="Cambria Math" w:hAnsi="Cambria Math"/>
                      </w:rPr>
                      <m:t>V</m:t>
                    </m:r>
                  </m:e>
                  <m:sub>
                    <m:r>
                      <m:rPr>
                        <m:sty m:val="p"/>
                      </m:rPr>
                      <w:rPr>
                        <w:rFonts w:ascii="Cambria Math" w:hAnsi="Cambria Math"/>
                      </w:rPr>
                      <m:t>dy,k</m:t>
                    </m:r>
                  </m:sub>
                </m:sSub>
                <m:r>
                  <w:rPr>
                    <w:rFonts w:ascii="Cambria Math" w:hAnsi="Cambria Math"/>
                  </w:rPr>
                  <m:t>(</m:t>
                </m:r>
                <m:sSub>
                  <m:sSubPr>
                    <m:ctrlPr>
                      <w:rPr>
                        <w:rFonts w:ascii="Cambria Math" w:hAnsi="Cambria Math"/>
                      </w:rPr>
                    </m:ctrlPr>
                  </m:sSubPr>
                  <m:e>
                    <m:r>
                      <w:rPr>
                        <w:rFonts w:ascii="Cambria Math" w:hAnsi="Cambria Math"/>
                      </w:rPr>
                      <m:t>d</m:t>
                    </m:r>
                  </m:e>
                  <m:sub>
                    <m:r>
                      <m:rPr>
                        <m:sty m:val="p"/>
                      </m:rPr>
                      <w:rPr>
                        <w:rFonts w:ascii="Cambria Math" w:hAnsi="Cambria Math"/>
                      </w:rPr>
                      <m:t>r,k,1</m:t>
                    </m:r>
                  </m:sub>
                </m:sSub>
                <m:r>
                  <w:rPr>
                    <w:rFonts w:ascii="Cambria Math" w:hAnsi="Cambria Math"/>
                  </w:rPr>
                  <m:t>-</m:t>
                </m:r>
                <m:sSub>
                  <m:sSubPr>
                    <m:ctrlPr>
                      <w:rPr>
                        <w:rFonts w:ascii="Cambria Math" w:hAnsi="Cambria Math"/>
                      </w:rPr>
                    </m:ctrlPr>
                  </m:sSubPr>
                  <m:e>
                    <m:r>
                      <w:rPr>
                        <w:rFonts w:ascii="Cambria Math" w:hAnsi="Cambria Math"/>
                      </w:rPr>
                      <m:t>d</m:t>
                    </m:r>
                  </m:e>
                  <m:sub>
                    <m:r>
                      <m:rPr>
                        <m:sty m:val="p"/>
                      </m:rPr>
                      <w:rPr>
                        <w:rFonts w:ascii="Cambria Math" w:hAnsi="Cambria Math"/>
                      </w:rPr>
                      <m:t>dy,k</m:t>
                    </m:r>
                  </m:sub>
                </m:sSub>
                <m:r>
                  <w:rPr>
                    <w:rFonts w:ascii="Cambria Math" w:hAnsi="Cambria Math"/>
                  </w:rPr>
                  <m:t>)</m:t>
                </m:r>
              </m:den>
            </m:f>
          </m:e>
        </m:d>
      </m:oMath>
      <w:r w:rsidR="0072177C" w:rsidRPr="00870D59">
        <w:tab/>
        <w:t>(D.</w:t>
      </w:r>
      <w:r w:rsidR="0072177C">
        <w:t>15</w:t>
      </w:r>
      <w:r w:rsidR="0072177C" w:rsidRPr="00870D59">
        <w:t>)</w:t>
      </w:r>
    </w:p>
    <w:p w14:paraId="583F88D2" w14:textId="30CB424F" w:rsidR="00D20C81" w:rsidRDefault="00675EBA" w:rsidP="00D20C81">
      <w:pPr>
        <w:pStyle w:val="Text"/>
      </w:pPr>
      <w:r>
        <w:t>where</w:t>
      </w:r>
    </w:p>
    <w:tbl>
      <w:tblPr>
        <w:tblW w:w="0" w:type="auto"/>
        <w:tblInd w:w="346" w:type="dxa"/>
        <w:tblLook w:val="04A0" w:firstRow="1" w:lastRow="0" w:firstColumn="1" w:lastColumn="0" w:noHBand="0" w:noVBand="1"/>
      </w:tblPr>
      <w:tblGrid>
        <w:gridCol w:w="1275"/>
        <w:gridCol w:w="7938"/>
      </w:tblGrid>
      <w:tr w:rsidR="0072177C" w:rsidRPr="0072177C" w14:paraId="2609F38D" w14:textId="77777777" w:rsidTr="00691F56">
        <w:tc>
          <w:tcPr>
            <w:tcW w:w="1275" w:type="dxa"/>
          </w:tcPr>
          <w:p w14:paraId="60E9200A" w14:textId="177E6325" w:rsidR="0072177C" w:rsidRPr="0072177C" w:rsidRDefault="0072177C" w:rsidP="002061E5">
            <w:pPr>
              <w:spacing w:after="60"/>
              <w:rPr>
                <w:rFonts w:eastAsia="Times New Roman" w:cs="Cambria"/>
                <w:szCs w:val="20"/>
                <w:lang w:eastAsia="fr-FR"/>
              </w:rPr>
            </w:pPr>
            <w:r w:rsidRPr="00FD17CF">
              <w:rPr>
                <w:i/>
                <w:iCs/>
              </w:rPr>
              <w:t>E</w:t>
            </w:r>
            <w:r w:rsidRPr="00FD17CF">
              <w:rPr>
                <w:vertAlign w:val="subscript"/>
              </w:rPr>
              <w:t>H</w:t>
            </w:r>
            <w:r w:rsidRPr="008C3236">
              <w:rPr>
                <w:vertAlign w:val="subscript"/>
              </w:rPr>
              <w:t>,k</w:t>
            </w:r>
          </w:p>
        </w:tc>
        <w:tc>
          <w:tcPr>
            <w:tcW w:w="7938" w:type="dxa"/>
          </w:tcPr>
          <w:p w14:paraId="6A7F05AF" w14:textId="2984DF83" w:rsidR="0072177C" w:rsidRPr="00837A31" w:rsidRDefault="0072177C" w:rsidP="002061E5">
            <w:pPr>
              <w:spacing w:after="60"/>
              <w:rPr>
                <w:rFonts w:eastAsia="Times New Roman" w:cs="Cambria"/>
                <w:szCs w:val="20"/>
                <w:lang w:eastAsia="fr-FR"/>
              </w:rPr>
            </w:pPr>
            <w:r w:rsidRPr="00837A31">
              <w:t>is as calculated in D4.2;</w:t>
            </w:r>
          </w:p>
        </w:tc>
      </w:tr>
      <w:tr w:rsidR="0072177C" w:rsidRPr="0072177C" w14:paraId="6F301176" w14:textId="77777777" w:rsidTr="00691F56">
        <w:tc>
          <w:tcPr>
            <w:tcW w:w="1275" w:type="dxa"/>
          </w:tcPr>
          <w:p w14:paraId="038B34BE" w14:textId="420CE727" w:rsidR="0072177C" w:rsidRPr="0072177C" w:rsidRDefault="0072177C" w:rsidP="002061E5">
            <w:pPr>
              <w:spacing w:after="60"/>
              <w:rPr>
                <w:rFonts w:eastAsia="Times New Roman" w:cs="Cambria"/>
                <w:szCs w:val="20"/>
                <w:lang w:eastAsia="fr-FR"/>
              </w:rPr>
            </w:pPr>
            <w:r w:rsidRPr="00196951">
              <w:rPr>
                <w:i/>
              </w:rPr>
              <w:t>d</w:t>
            </w:r>
            <w:r w:rsidRPr="00196951">
              <w:rPr>
                <w:vertAlign w:val="subscript"/>
              </w:rPr>
              <w:t>py,</w:t>
            </w:r>
            <w:r w:rsidRPr="00F81882">
              <w:rPr>
                <w:iCs/>
                <w:vertAlign w:val="subscript"/>
              </w:rPr>
              <w:t>k</w:t>
            </w:r>
            <w:r w:rsidRPr="00196951">
              <w:t>,</w:t>
            </w:r>
            <w:r w:rsidRPr="00196951">
              <w:rPr>
                <w:i/>
              </w:rPr>
              <w:t xml:space="preserve"> V</w:t>
            </w:r>
            <w:r w:rsidRPr="00196951">
              <w:rPr>
                <w:vertAlign w:val="subscript"/>
              </w:rPr>
              <w:t>py,</w:t>
            </w:r>
            <w:r w:rsidRPr="00F81882">
              <w:rPr>
                <w:iCs/>
                <w:vertAlign w:val="subscript"/>
              </w:rPr>
              <w:t>k</w:t>
            </w:r>
            <w:r w:rsidRPr="00196951">
              <w:rPr>
                <w:i/>
                <w:vertAlign w:val="subscript"/>
              </w:rPr>
              <w:t xml:space="preserve"> </w:t>
            </w:r>
            <w:r w:rsidRPr="00196951">
              <w:t xml:space="preserve">and </w:t>
            </w:r>
            <w:r w:rsidRPr="00196951">
              <w:rPr>
                <w:i/>
              </w:rPr>
              <w:t>V</w:t>
            </w:r>
            <w:r w:rsidRPr="00196951">
              <w:rPr>
                <w:vertAlign w:val="subscript"/>
              </w:rPr>
              <w:t>dy</w:t>
            </w:r>
            <w:r w:rsidRPr="00F81882">
              <w:rPr>
                <w:i/>
                <w:iCs/>
                <w:vertAlign w:val="subscript"/>
              </w:rPr>
              <w:t>,k</w:t>
            </w:r>
          </w:p>
        </w:tc>
        <w:tc>
          <w:tcPr>
            <w:tcW w:w="7938" w:type="dxa"/>
          </w:tcPr>
          <w:p w14:paraId="0E730FC1" w14:textId="6E517E04" w:rsidR="0072177C" w:rsidRPr="00837A31" w:rsidRDefault="0072177C" w:rsidP="002061E5">
            <w:pPr>
              <w:spacing w:after="60"/>
              <w:rPr>
                <w:rFonts w:eastAsia="Times New Roman" w:cs="Cambria"/>
                <w:szCs w:val="20"/>
                <w:lang w:eastAsia="fr-FR"/>
              </w:rPr>
            </w:pPr>
            <w:r w:rsidRPr="00837A31">
              <w:t>are defined in 9.3.3.2(1);</w:t>
            </w:r>
          </w:p>
        </w:tc>
      </w:tr>
      <w:tr w:rsidR="0072177C" w:rsidRPr="0072177C" w14:paraId="2466CAA2" w14:textId="77777777" w:rsidTr="00691F56">
        <w:tc>
          <w:tcPr>
            <w:tcW w:w="1275" w:type="dxa"/>
          </w:tcPr>
          <w:p w14:paraId="66D12E0E" w14:textId="04BECAF1" w:rsidR="0072177C" w:rsidRPr="00D1484A" w:rsidRDefault="0072177C" w:rsidP="002061E5">
            <w:pPr>
              <w:spacing w:after="60"/>
              <w:rPr>
                <w:i/>
              </w:rPr>
            </w:pPr>
            <w:r w:rsidRPr="00C52095">
              <w:rPr>
                <w:i/>
              </w:rPr>
              <w:t>d</w:t>
            </w:r>
            <w:r w:rsidRPr="00C52095">
              <w:rPr>
                <w:vertAlign w:val="subscript"/>
              </w:rPr>
              <w:t>r,</w:t>
            </w:r>
            <w:r w:rsidRPr="00F81882">
              <w:rPr>
                <w:iCs/>
                <w:vertAlign w:val="subscript"/>
              </w:rPr>
              <w:t>k</w:t>
            </w:r>
            <w:r w:rsidRPr="007754C9">
              <w:rPr>
                <w:vertAlign w:val="subscript"/>
              </w:rPr>
              <w:t>,1</w:t>
            </w:r>
          </w:p>
        </w:tc>
        <w:tc>
          <w:tcPr>
            <w:tcW w:w="7938" w:type="dxa"/>
          </w:tcPr>
          <w:p w14:paraId="01E0B405" w14:textId="40CFC509" w:rsidR="0072177C" w:rsidRPr="00837A31" w:rsidRDefault="0072177C" w:rsidP="0072177C">
            <w:pPr>
              <w:spacing w:after="60"/>
              <w:rPr>
                <w:rFonts w:eastAsia="Times New Roman" w:cs="Cambria"/>
                <w:szCs w:val="20"/>
                <w:lang w:eastAsia="fr-FR"/>
              </w:rPr>
            </w:pPr>
            <w:r w:rsidRPr="00837A31">
              <w:t>is defined in 9.3.3.2(1);</w:t>
            </w:r>
          </w:p>
        </w:tc>
      </w:tr>
      <w:tr w:rsidR="0072177C" w:rsidRPr="0072177C" w14:paraId="31448E18" w14:textId="77777777" w:rsidTr="00691F56">
        <w:tc>
          <w:tcPr>
            <w:tcW w:w="1275" w:type="dxa"/>
          </w:tcPr>
          <w:p w14:paraId="16785FC7" w14:textId="3772FD71" w:rsidR="0072177C" w:rsidRPr="00D1484A" w:rsidRDefault="0072177C" w:rsidP="002061E5">
            <w:pPr>
              <w:spacing w:after="60"/>
              <w:rPr>
                <w:i/>
              </w:rPr>
            </w:pPr>
            <w:r w:rsidRPr="00132C1E">
              <w:rPr>
                <w:i/>
                <w:iCs/>
              </w:rPr>
              <w:t>d</w:t>
            </w:r>
            <w:r w:rsidRPr="00132C1E">
              <w:rPr>
                <w:vertAlign w:val="subscript"/>
              </w:rPr>
              <w:t>dy,</w:t>
            </w:r>
            <w:r w:rsidRPr="00F81882">
              <w:rPr>
                <w:vertAlign w:val="subscript"/>
              </w:rPr>
              <w:t>k</w:t>
            </w:r>
          </w:p>
        </w:tc>
        <w:tc>
          <w:tcPr>
            <w:tcW w:w="7938" w:type="dxa"/>
          </w:tcPr>
          <w:p w14:paraId="22FF253E" w14:textId="332202E7" w:rsidR="0072177C" w:rsidRPr="00837A31" w:rsidRDefault="0072177C" w:rsidP="002061E5">
            <w:pPr>
              <w:spacing w:after="60"/>
              <w:rPr>
                <w:rFonts w:eastAsia="Times New Roman" w:cs="Cambria"/>
                <w:szCs w:val="20"/>
                <w:lang w:eastAsia="fr-FR"/>
              </w:rPr>
            </w:pPr>
            <w:r w:rsidRPr="00837A31">
              <w:t>as in D4.1(3).</w:t>
            </w:r>
          </w:p>
        </w:tc>
      </w:tr>
    </w:tbl>
    <w:p w14:paraId="2F180C5D" w14:textId="66CC2323" w:rsidR="0072177C" w:rsidRPr="00196951" w:rsidRDefault="0072177C" w:rsidP="0072177C">
      <w:pPr>
        <w:pStyle w:val="Notetext"/>
      </w:pPr>
      <w:r w:rsidRPr="00132C1E">
        <w:t>NOTE</w:t>
      </w:r>
      <w:r w:rsidRPr="00132C1E">
        <w:tab/>
        <w:t xml:space="preserve">In one cycle of displacement at maximum interstorey drift </w:t>
      </w:r>
      <m:oMath>
        <m:sSub>
          <m:sSubPr>
            <m:ctrlPr>
              <w:rPr>
                <w:rFonts w:ascii="Cambria Math" w:hAnsi="Cambria Math"/>
              </w:rPr>
            </m:ctrlPr>
          </m:sSubPr>
          <m:e>
            <m:r>
              <w:rPr>
                <w:rFonts w:ascii="Cambria Math" w:hAnsi="Cambria Math"/>
              </w:rPr>
              <m:t>d</m:t>
            </m:r>
          </m:e>
          <m:sub>
            <m:r>
              <m:rPr>
                <m:sty m:val="p"/>
              </m:rPr>
              <w:rPr>
                <w:rFonts w:ascii="Cambria Math" w:hAnsi="Cambria Math"/>
              </w:rPr>
              <m:t>r,k</m:t>
            </m:r>
            <m:r>
              <w:rPr>
                <w:rFonts w:ascii="Cambria Math" w:hAnsi="Cambria Math"/>
              </w:rPr>
              <m:t>,1</m:t>
            </m:r>
          </m:sub>
        </m:sSub>
      </m:oMath>
      <w:r w:rsidRPr="00132C1E">
        <w:t xml:space="preserve">, the primary seismic </w:t>
      </w:r>
      <w:r w:rsidRPr="00D1484A">
        <w:t xml:space="preserve">members of the main system dissipate an amount of energy equal to </w:t>
      </w:r>
      <m:oMath>
        <m:r>
          <m:rPr>
            <m:sty m:val="p"/>
          </m:rPr>
          <w:rPr>
            <w:rFonts w:ascii="Cambria Math" w:hAnsi="Cambria Math"/>
          </w:rPr>
          <m:t>4</m:t>
        </m:r>
        <m:sSub>
          <m:sSubPr>
            <m:ctrlPr>
              <w:rPr>
                <w:rFonts w:ascii="Cambria Math" w:hAnsi="Cambria Math"/>
              </w:rPr>
            </m:ctrlPr>
          </m:sSubPr>
          <m:e>
            <m:r>
              <w:rPr>
                <w:rFonts w:ascii="Cambria Math" w:hAnsi="Cambria Math"/>
              </w:rPr>
              <m:t>V</m:t>
            </m:r>
          </m:e>
          <m:sub>
            <m:r>
              <m:rPr>
                <m:sty m:val="p"/>
              </m:rPr>
              <w:rPr>
                <w:rFonts w:ascii="Cambria Math" w:hAnsi="Cambria Math"/>
              </w:rPr>
              <m:t>py,k</m:t>
            </m:r>
          </m:sub>
        </m:sSub>
        <m:r>
          <m:rPr>
            <m:sty m:val="p"/>
          </m:rPr>
          <w:rPr>
            <w:rFonts w:ascii="Cambria Math" w:hAnsi="Cambria Math"/>
          </w:rPr>
          <m:t>(</m:t>
        </m:r>
        <m:sSub>
          <m:sSubPr>
            <m:ctrlPr>
              <w:rPr>
                <w:rFonts w:ascii="Cambria Math" w:hAnsi="Cambria Math"/>
              </w:rPr>
            </m:ctrlPr>
          </m:sSubPr>
          <m:e>
            <m:r>
              <w:rPr>
                <w:rFonts w:ascii="Cambria Math" w:hAnsi="Cambria Math"/>
              </w:rPr>
              <m:t>d</m:t>
            </m:r>
          </m:e>
          <m:sub>
            <m:r>
              <m:rPr>
                <m:sty m:val="p"/>
              </m:rPr>
              <w:rPr>
                <w:rFonts w:ascii="Cambria Math" w:hAnsi="Cambria Math"/>
              </w:rPr>
              <m:t>r,k,1</m:t>
            </m:r>
          </m:sub>
        </m:sSub>
        <m:r>
          <m:rPr>
            <m:sty m:val="p"/>
          </m:rPr>
          <w:rPr>
            <w:rFonts w:ascii="Cambria Math" w:hAnsi="Cambria Math"/>
          </w:rPr>
          <m:t>-</m:t>
        </m:r>
        <m:sSub>
          <m:sSubPr>
            <m:ctrlPr>
              <w:rPr>
                <w:rFonts w:ascii="Cambria Math" w:hAnsi="Cambria Math"/>
              </w:rPr>
            </m:ctrlPr>
          </m:sSubPr>
          <m:e>
            <m:r>
              <w:rPr>
                <w:rFonts w:ascii="Cambria Math" w:hAnsi="Cambria Math"/>
              </w:rPr>
              <m:t>d</m:t>
            </m:r>
          </m:e>
          <m:sub>
            <m:r>
              <m:rPr>
                <m:sty m:val="p"/>
              </m:rPr>
              <w:rPr>
                <w:rFonts w:ascii="Cambria Math" w:hAnsi="Cambria Math"/>
              </w:rPr>
              <m:t>py,k</m:t>
            </m:r>
          </m:sub>
        </m:sSub>
        <m:r>
          <m:rPr>
            <m:sty m:val="p"/>
          </m:rPr>
          <w:rPr>
            <w:rFonts w:ascii="Cambria Math" w:hAnsi="Cambria Math"/>
          </w:rPr>
          <m:t>)</m:t>
        </m:r>
      </m:oMath>
      <w:r w:rsidRPr="00D1484A">
        <w:t xml:space="preserve">, and the energy dissipation system dissipate an amount of energy equal to </w:t>
      </w:r>
      <m:oMath>
        <m:r>
          <m:rPr>
            <m:sty m:val="p"/>
          </m:rPr>
          <w:rPr>
            <w:rFonts w:ascii="Cambria Math" w:hAnsi="Cambria Math"/>
          </w:rPr>
          <m:t>4</m:t>
        </m:r>
        <m:sSub>
          <m:sSubPr>
            <m:ctrlPr>
              <w:rPr>
                <w:rFonts w:ascii="Cambria Math" w:hAnsi="Cambria Math"/>
              </w:rPr>
            </m:ctrlPr>
          </m:sSubPr>
          <m:e>
            <m:r>
              <w:rPr>
                <w:rFonts w:ascii="Cambria Math" w:hAnsi="Cambria Math"/>
              </w:rPr>
              <m:t>V</m:t>
            </m:r>
          </m:e>
          <m:sub>
            <m:r>
              <m:rPr>
                <m:sty m:val="p"/>
              </m:rPr>
              <w:rPr>
                <w:rFonts w:ascii="Cambria Math" w:hAnsi="Cambria Math"/>
              </w:rPr>
              <m:t>dy,k</m:t>
            </m:r>
          </m:sub>
        </m:sSub>
        <m:d>
          <m:dPr>
            <m:ctrlPr>
              <w:rPr>
                <w:rFonts w:ascii="Cambria Math" w:hAnsi="Cambria Math"/>
              </w:rPr>
            </m:ctrlPr>
          </m:dPr>
          <m:e>
            <m:sSub>
              <m:sSubPr>
                <m:ctrlPr>
                  <w:rPr>
                    <w:rFonts w:ascii="Cambria Math" w:hAnsi="Cambria Math"/>
                  </w:rPr>
                </m:ctrlPr>
              </m:sSubPr>
              <m:e>
                <m:r>
                  <w:rPr>
                    <w:rFonts w:ascii="Cambria Math" w:hAnsi="Cambria Math"/>
                  </w:rPr>
                  <m:t>d</m:t>
                </m:r>
              </m:e>
              <m:sub>
                <m:r>
                  <m:rPr>
                    <m:sty m:val="p"/>
                  </m:rPr>
                  <w:rPr>
                    <w:rFonts w:ascii="Cambria Math" w:hAnsi="Cambria Math"/>
                  </w:rPr>
                  <m:t>r,k,1</m:t>
                </m:r>
              </m:sub>
            </m:sSub>
            <m:r>
              <m:rPr>
                <m:sty m:val="p"/>
              </m:rPr>
              <w:rPr>
                <w:rFonts w:ascii="Cambria Math" w:hAnsi="Cambria Math"/>
              </w:rPr>
              <m:t>-</m:t>
            </m:r>
            <m:sSub>
              <m:sSubPr>
                <m:ctrlPr>
                  <w:rPr>
                    <w:rFonts w:ascii="Cambria Math" w:hAnsi="Cambria Math"/>
                  </w:rPr>
                </m:ctrlPr>
              </m:sSubPr>
              <m:e>
                <m:r>
                  <w:rPr>
                    <w:rFonts w:ascii="Cambria Math" w:hAnsi="Cambria Math"/>
                  </w:rPr>
                  <m:t>d</m:t>
                </m:r>
              </m:e>
              <m:sub>
                <m:r>
                  <m:rPr>
                    <m:sty m:val="p"/>
                  </m:rPr>
                  <w:rPr>
                    <w:rFonts w:ascii="Cambria Math" w:hAnsi="Cambria Math"/>
                  </w:rPr>
                  <m:t>dy,k</m:t>
                </m:r>
              </m:sub>
            </m:sSub>
          </m:e>
        </m:d>
      </m:oMath>
      <w:r w:rsidRPr="00132C1E">
        <w:t xml:space="preserve">. The second member of Formula (D.15) distributes the energy to be dissipated by the storey </w:t>
      </w:r>
      <w:r w:rsidRPr="00D1484A">
        <w:rPr>
          <w:i/>
        </w:rPr>
        <w:t>k, E</w:t>
      </w:r>
      <w:r w:rsidRPr="00D1484A">
        <w:rPr>
          <w:vertAlign w:val="subscript"/>
        </w:rPr>
        <w:t>H,</w:t>
      </w:r>
      <w:r w:rsidRPr="00F81882">
        <w:rPr>
          <w:iCs/>
          <w:vertAlign w:val="subscript"/>
        </w:rPr>
        <w:t>k</w:t>
      </w:r>
      <w:r w:rsidRPr="00FD17CF">
        <w:t xml:space="preserve">, between the primary seismic members of the main system and the energy dissipation system in the same proportion that is </w:t>
      </w:r>
      <w:r w:rsidRPr="00E05E29">
        <w:t>distributed in a single cycle of displacement.</w:t>
      </w:r>
    </w:p>
    <w:p w14:paraId="385F8F95" w14:textId="77777777" w:rsidR="0072177C" w:rsidRPr="00196951" w:rsidRDefault="0072177C" w:rsidP="0072177C">
      <w:pPr>
        <w:pStyle w:val="a3"/>
        <w:spacing w:before="60"/>
      </w:pPr>
      <w:bookmarkStart w:id="11202" w:name="_Toc16927735"/>
      <w:bookmarkStart w:id="11203" w:name="_Toc50150725"/>
      <w:bookmarkStart w:id="11204" w:name="_Toc70887158"/>
      <w:bookmarkStart w:id="11205" w:name="_Toc108342742"/>
      <w:bookmarkStart w:id="11206" w:name="_Toc120543829"/>
      <w:bookmarkStart w:id="11207" w:name="_Toc134198251"/>
      <w:r w:rsidRPr="00196951">
        <w:t xml:space="preserve">Calculation of </w:t>
      </w:r>
      <w:r w:rsidRPr="00196951">
        <w:rPr>
          <w:i/>
          <w:iCs/>
        </w:rPr>
        <w:t>E</w:t>
      </w:r>
      <w:r w:rsidRPr="00196951">
        <w:rPr>
          <w:vertAlign w:val="subscript"/>
        </w:rPr>
        <w:t>dH,</w:t>
      </w:r>
      <w:r w:rsidRPr="00196951">
        <w:rPr>
          <w:i/>
          <w:iCs/>
          <w:vertAlign w:val="subscript"/>
        </w:rPr>
        <w:t>k</w:t>
      </w:r>
      <w:r w:rsidRPr="00196951">
        <w:rPr>
          <w:vertAlign w:val="subscript"/>
        </w:rPr>
        <w:t>,max</w:t>
      </w:r>
      <w:bookmarkEnd w:id="11202"/>
      <w:bookmarkEnd w:id="11203"/>
      <w:bookmarkEnd w:id="11204"/>
      <w:bookmarkEnd w:id="11205"/>
      <w:bookmarkEnd w:id="11206"/>
      <w:bookmarkEnd w:id="11207"/>
    </w:p>
    <w:p w14:paraId="45142397" w14:textId="77777777" w:rsidR="0072177C" w:rsidRPr="00132C1E" w:rsidRDefault="0072177C" w:rsidP="0080187E">
      <w:pPr>
        <w:pStyle w:val="Clause"/>
        <w:numPr>
          <w:ilvl w:val="0"/>
          <w:numId w:val="565"/>
        </w:numPr>
      </w:pPr>
      <w:r w:rsidRPr="00196951">
        <w:t xml:space="preserve">The maximum energy dissipation demand </w:t>
      </w:r>
      <w:r w:rsidRPr="000B008F">
        <w:rPr>
          <w:i/>
        </w:rPr>
        <w:t>E</w:t>
      </w:r>
      <w:r w:rsidRPr="000B008F">
        <w:rPr>
          <w:vertAlign w:val="subscript"/>
        </w:rPr>
        <w:t>dH,</w:t>
      </w:r>
      <w:r w:rsidRPr="000B008F">
        <w:rPr>
          <w:i/>
          <w:vertAlign w:val="subscript"/>
        </w:rPr>
        <w:t>k</w:t>
      </w:r>
      <w:r w:rsidRPr="000B008F">
        <w:rPr>
          <w:vertAlign w:val="subscript"/>
        </w:rPr>
        <w:t>,max</w:t>
      </w:r>
      <w:r w:rsidRPr="004F25D7">
        <w:t xml:space="preserve"> </w:t>
      </w:r>
      <w:r w:rsidRPr="00C52095">
        <w:t xml:space="preserve">at the </w:t>
      </w:r>
      <w:r w:rsidRPr="000B008F">
        <w:rPr>
          <w:i/>
        </w:rPr>
        <w:t>k</w:t>
      </w:r>
      <w:r w:rsidRPr="00C52095">
        <w:t xml:space="preserve">-th storey </w:t>
      </w:r>
      <w:r w:rsidRPr="007754C9">
        <w:t xml:space="preserve">on </w:t>
      </w:r>
      <w:r w:rsidRPr="00132C1E">
        <w:t>the energy dissipation devices in the direction under consideration</w:t>
      </w:r>
      <w:r w:rsidRPr="000B008F" w:rsidDel="000854AE">
        <w:rPr>
          <w:i/>
        </w:rPr>
        <w:t xml:space="preserve"> </w:t>
      </w:r>
      <w:r w:rsidRPr="00132C1E">
        <w:t>should be calculated with Formula (D.16).</w:t>
      </w:r>
    </w:p>
    <w:p w14:paraId="5CD45141" w14:textId="77F0257F" w:rsidR="00D20C81" w:rsidRDefault="009B5CEC" w:rsidP="00D20C81">
      <w:pPr>
        <w:pStyle w:val="Formula"/>
        <w:spacing w:before="240"/>
      </w:pPr>
      <m:oMath>
        <m:sSub>
          <m:sSubPr>
            <m:ctrlPr>
              <w:rPr>
                <w:rFonts w:ascii="Cambria Math" w:hAnsi="Cambria Math"/>
                <w:i/>
              </w:rPr>
            </m:ctrlPr>
          </m:sSubPr>
          <m:e>
            <m:r>
              <w:rPr>
                <w:rFonts w:ascii="Cambria Math" w:hAnsi="Cambria Math"/>
              </w:rPr>
              <m:t>E</m:t>
            </m:r>
          </m:e>
          <m:sub>
            <m:r>
              <m:rPr>
                <m:sty m:val="p"/>
              </m:rPr>
              <w:rPr>
                <w:rFonts w:ascii="Cambria Math" w:hAnsi="Cambria Math"/>
              </w:rPr>
              <m:t>dH,</m:t>
            </m:r>
            <m:r>
              <w:rPr>
                <w:rFonts w:ascii="Cambria Math" w:hAnsi="Cambria Math"/>
              </w:rPr>
              <m:t>k</m:t>
            </m:r>
            <m:r>
              <m:rPr>
                <m:sty m:val="p"/>
              </m:rPr>
              <w:rPr>
                <w:rFonts w:ascii="Cambria Math" w:hAnsi="Cambria Math"/>
              </w:rPr>
              <m:t>,max</m:t>
            </m:r>
          </m:sub>
        </m:sSub>
        <m:r>
          <w:rPr>
            <w:rFonts w:ascii="Cambria Math" w:hAnsi="Cambria Math"/>
          </w:rPr>
          <m:t>=</m:t>
        </m:r>
        <m:sSub>
          <m:sSubPr>
            <m:ctrlPr>
              <w:rPr>
                <w:rFonts w:ascii="Cambria Math" w:hAnsi="Cambria Math"/>
                <w:i/>
              </w:rPr>
            </m:ctrlPr>
          </m:sSubPr>
          <m:e>
            <m:r>
              <w:rPr>
                <w:rFonts w:ascii="Cambria Math" w:hAnsi="Cambria Math"/>
              </w:rPr>
              <m:t>E</m:t>
            </m:r>
          </m:e>
          <m:sub>
            <m:r>
              <m:rPr>
                <m:sty m:val="p"/>
              </m:rPr>
              <w:rPr>
                <w:rFonts w:ascii="Cambria Math" w:hAnsi="Cambria Math"/>
              </w:rPr>
              <m:t>H,k</m:t>
            </m:r>
          </m:sub>
        </m:sSub>
        <m:d>
          <m:dPr>
            <m:begChr m:val="["/>
            <m:endChr m:val="]"/>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V</m:t>
                    </m:r>
                  </m:e>
                  <m:sub>
                    <m:r>
                      <m:rPr>
                        <m:sty m:val="p"/>
                      </m:rPr>
                      <w:rPr>
                        <w:rFonts w:ascii="Cambria Math" w:hAnsi="Cambria Math"/>
                      </w:rPr>
                      <m:t>dy,k</m:t>
                    </m:r>
                  </m:sub>
                </m:sSub>
                <m:d>
                  <m:dPr>
                    <m:ctrlPr>
                      <w:rPr>
                        <w:rFonts w:ascii="Cambria Math" w:hAnsi="Cambria Math"/>
                        <w:i/>
                      </w:rPr>
                    </m:ctrlPr>
                  </m:dPr>
                  <m:e>
                    <m:sSub>
                      <m:sSubPr>
                        <m:ctrlPr>
                          <w:rPr>
                            <w:rFonts w:ascii="Cambria Math" w:hAnsi="Cambria Math"/>
                            <w:i/>
                          </w:rPr>
                        </m:ctrlPr>
                      </m:sSubPr>
                      <m:e>
                        <m:r>
                          <w:rPr>
                            <w:rFonts w:ascii="Cambria Math" w:hAnsi="Cambria Math"/>
                          </w:rPr>
                          <m:t>d</m:t>
                        </m:r>
                      </m:e>
                      <m:sub>
                        <m:r>
                          <m:rPr>
                            <m:sty m:val="p"/>
                          </m:rPr>
                          <w:rPr>
                            <w:rFonts w:ascii="Cambria Math" w:hAnsi="Cambria Math"/>
                          </w:rPr>
                          <m:t>r,k,1</m:t>
                        </m:r>
                      </m:sub>
                    </m:sSub>
                    <m:r>
                      <w:rPr>
                        <w:rFonts w:ascii="Cambria Math" w:hAnsi="Cambria Math"/>
                      </w:rPr>
                      <m:t>-</m:t>
                    </m:r>
                    <m:sSub>
                      <m:sSubPr>
                        <m:ctrlPr>
                          <w:rPr>
                            <w:rFonts w:ascii="Cambria Math" w:hAnsi="Cambria Math"/>
                            <w:i/>
                          </w:rPr>
                        </m:ctrlPr>
                      </m:sSubPr>
                      <m:e>
                        <m:r>
                          <w:rPr>
                            <w:rFonts w:ascii="Cambria Math" w:hAnsi="Cambria Math"/>
                          </w:rPr>
                          <m:t>d</m:t>
                        </m:r>
                      </m:e>
                      <m:sub>
                        <m:r>
                          <m:rPr>
                            <m:sty m:val="p"/>
                          </m:rPr>
                          <w:rPr>
                            <w:rFonts w:ascii="Cambria Math" w:hAnsi="Cambria Math"/>
                          </w:rPr>
                          <m:t>dy,k</m:t>
                        </m:r>
                      </m:sub>
                    </m:sSub>
                  </m:e>
                </m:d>
              </m:num>
              <m:den>
                <m:sSub>
                  <m:sSubPr>
                    <m:ctrlPr>
                      <w:rPr>
                        <w:rFonts w:ascii="Cambria Math" w:hAnsi="Cambria Math"/>
                        <w:i/>
                      </w:rPr>
                    </m:ctrlPr>
                  </m:sSubPr>
                  <m:e>
                    <m:r>
                      <w:rPr>
                        <w:rFonts w:ascii="Cambria Math" w:hAnsi="Cambria Math"/>
                      </w:rPr>
                      <m:t>V</m:t>
                    </m:r>
                  </m:e>
                  <m:sub>
                    <m:r>
                      <m:rPr>
                        <m:sty m:val="p"/>
                      </m:rPr>
                      <w:rPr>
                        <w:rFonts w:ascii="Cambria Math" w:hAnsi="Cambria Math"/>
                      </w:rPr>
                      <m:t>py,k</m:t>
                    </m:r>
                  </m:sub>
                </m:sSub>
                <m:d>
                  <m:dPr>
                    <m:ctrlPr>
                      <w:rPr>
                        <w:rFonts w:ascii="Cambria Math" w:hAnsi="Cambria Math"/>
                        <w:i/>
                      </w:rPr>
                    </m:ctrlPr>
                  </m:dPr>
                  <m:e>
                    <m:sSub>
                      <m:sSubPr>
                        <m:ctrlPr>
                          <w:rPr>
                            <w:rFonts w:ascii="Cambria Math" w:hAnsi="Cambria Math"/>
                            <w:i/>
                          </w:rPr>
                        </m:ctrlPr>
                      </m:sSubPr>
                      <m:e>
                        <m:r>
                          <w:rPr>
                            <w:rFonts w:ascii="Cambria Math" w:hAnsi="Cambria Math"/>
                          </w:rPr>
                          <m:t>d</m:t>
                        </m:r>
                      </m:e>
                      <m:sub>
                        <m:r>
                          <m:rPr>
                            <m:sty m:val="p"/>
                          </m:rPr>
                          <w:rPr>
                            <w:rFonts w:ascii="Cambria Math" w:hAnsi="Cambria Math"/>
                          </w:rPr>
                          <m:t>r,k,1</m:t>
                        </m:r>
                      </m:sub>
                    </m:sSub>
                    <m:r>
                      <w:rPr>
                        <w:rFonts w:ascii="Cambria Math" w:hAnsi="Cambria Math"/>
                      </w:rPr>
                      <m:t>-</m:t>
                    </m:r>
                    <m:sSub>
                      <m:sSubPr>
                        <m:ctrlPr>
                          <w:rPr>
                            <w:rFonts w:ascii="Cambria Math" w:hAnsi="Cambria Math"/>
                            <w:i/>
                          </w:rPr>
                        </m:ctrlPr>
                      </m:sSubPr>
                      <m:e>
                        <m:r>
                          <w:rPr>
                            <w:rFonts w:ascii="Cambria Math" w:hAnsi="Cambria Math"/>
                          </w:rPr>
                          <m:t>d</m:t>
                        </m:r>
                      </m:e>
                      <m:sub>
                        <m:r>
                          <m:rPr>
                            <m:sty m:val="p"/>
                          </m:rPr>
                          <w:rPr>
                            <w:rFonts w:ascii="Cambria Math" w:hAnsi="Cambria Math"/>
                          </w:rPr>
                          <m:t>py,</m:t>
                        </m:r>
                        <m:r>
                          <w:rPr>
                            <w:rFonts w:ascii="Cambria Math" w:hAnsi="Cambria Math"/>
                          </w:rPr>
                          <m:t>k</m:t>
                        </m:r>
                      </m:sub>
                    </m:sSub>
                  </m:e>
                </m:d>
                <m:r>
                  <w:rPr>
                    <w:rFonts w:ascii="Cambria Math" w:hAnsi="Cambria Math"/>
                  </w:rPr>
                  <m:t>+</m:t>
                </m:r>
                <m:sSub>
                  <m:sSubPr>
                    <m:ctrlPr>
                      <w:rPr>
                        <w:rFonts w:ascii="Cambria Math" w:hAnsi="Cambria Math"/>
                        <w:i/>
                      </w:rPr>
                    </m:ctrlPr>
                  </m:sSubPr>
                  <m:e>
                    <m:r>
                      <w:rPr>
                        <w:rFonts w:ascii="Cambria Math" w:hAnsi="Cambria Math"/>
                      </w:rPr>
                      <m:t>V</m:t>
                    </m:r>
                  </m:e>
                  <m:sub>
                    <m:r>
                      <m:rPr>
                        <m:sty m:val="p"/>
                      </m:rPr>
                      <w:rPr>
                        <w:rFonts w:ascii="Cambria Math" w:hAnsi="Cambria Math"/>
                      </w:rPr>
                      <m:t>dy,k</m:t>
                    </m:r>
                  </m:sub>
                </m:sSub>
                <m:d>
                  <m:dPr>
                    <m:ctrlPr>
                      <w:rPr>
                        <w:rFonts w:ascii="Cambria Math" w:hAnsi="Cambria Math"/>
                        <w:i/>
                      </w:rPr>
                    </m:ctrlPr>
                  </m:dPr>
                  <m:e>
                    <m:sSub>
                      <m:sSubPr>
                        <m:ctrlPr>
                          <w:rPr>
                            <w:rFonts w:ascii="Cambria Math" w:hAnsi="Cambria Math"/>
                            <w:i/>
                          </w:rPr>
                        </m:ctrlPr>
                      </m:sSubPr>
                      <m:e>
                        <m:r>
                          <w:rPr>
                            <w:rFonts w:ascii="Cambria Math" w:hAnsi="Cambria Math"/>
                          </w:rPr>
                          <m:t>d</m:t>
                        </m:r>
                      </m:e>
                      <m:sub>
                        <m:r>
                          <m:rPr>
                            <m:sty m:val="p"/>
                          </m:rPr>
                          <w:rPr>
                            <w:rFonts w:ascii="Cambria Math" w:hAnsi="Cambria Math"/>
                          </w:rPr>
                          <m:t>r,k,1</m:t>
                        </m:r>
                      </m:sub>
                    </m:sSub>
                    <m:r>
                      <w:rPr>
                        <w:rFonts w:ascii="Cambria Math" w:hAnsi="Cambria Math"/>
                      </w:rPr>
                      <m:t>-</m:t>
                    </m:r>
                    <m:sSub>
                      <m:sSubPr>
                        <m:ctrlPr>
                          <w:rPr>
                            <w:rFonts w:ascii="Cambria Math" w:hAnsi="Cambria Math"/>
                            <w:i/>
                          </w:rPr>
                        </m:ctrlPr>
                      </m:sSubPr>
                      <m:e>
                        <m:r>
                          <w:rPr>
                            <w:rFonts w:ascii="Cambria Math" w:hAnsi="Cambria Math"/>
                          </w:rPr>
                          <m:t>d</m:t>
                        </m:r>
                      </m:e>
                      <m:sub>
                        <m:r>
                          <m:rPr>
                            <m:sty m:val="p"/>
                          </m:rPr>
                          <w:rPr>
                            <w:rFonts w:ascii="Cambria Math" w:hAnsi="Cambria Math"/>
                          </w:rPr>
                          <m:t>dy,</m:t>
                        </m:r>
                        <m:r>
                          <w:rPr>
                            <w:rFonts w:ascii="Cambria Math" w:hAnsi="Cambria Math"/>
                          </w:rPr>
                          <m:t>k</m:t>
                        </m:r>
                      </m:sub>
                    </m:sSub>
                  </m:e>
                </m:d>
              </m:den>
            </m:f>
          </m:e>
        </m:d>
        <m:r>
          <w:rPr>
            <w:rFonts w:ascii="Cambria Math" w:hAnsi="Cambria Math"/>
          </w:rPr>
          <m:t>+40</m:t>
        </m:r>
        <m:sSub>
          <m:sSubPr>
            <m:ctrlPr>
              <w:rPr>
                <w:rFonts w:ascii="Cambria Math" w:hAnsi="Cambria Math"/>
                <w:i/>
              </w:rPr>
            </m:ctrlPr>
          </m:sSubPr>
          <m:e>
            <m:r>
              <w:rPr>
                <w:rFonts w:ascii="Cambria Math" w:hAnsi="Cambria Math"/>
              </w:rPr>
              <m:t>V</m:t>
            </m:r>
          </m:e>
          <m:sub>
            <m:r>
              <m:rPr>
                <m:sty m:val="p"/>
              </m:rPr>
              <w:rPr>
                <w:rFonts w:ascii="Cambria Math" w:hAnsi="Cambria Math"/>
              </w:rPr>
              <m:t>dy,k</m:t>
            </m:r>
          </m:sub>
        </m:sSub>
        <m:r>
          <w:rPr>
            <w:rFonts w:ascii="Cambria Math" w:hAnsi="Cambria Math"/>
          </w:rPr>
          <m:t>[</m:t>
        </m:r>
        <m:sSub>
          <m:sSubPr>
            <m:ctrlPr>
              <w:rPr>
                <w:rFonts w:ascii="Cambria Math" w:hAnsi="Cambria Math"/>
                <w:i/>
              </w:rPr>
            </m:ctrlPr>
          </m:sSubPr>
          <m:e>
            <m:r>
              <w:rPr>
                <w:rFonts w:ascii="Cambria Math" w:hAnsi="Cambria Math"/>
              </w:rPr>
              <m:t>d</m:t>
            </m:r>
          </m:e>
          <m:sub>
            <m:r>
              <m:rPr>
                <m:sty m:val="p"/>
              </m:rPr>
              <w:rPr>
                <w:rFonts w:ascii="Cambria Math" w:hAnsi="Cambria Math"/>
              </w:rPr>
              <m:t>py,k</m:t>
            </m:r>
          </m:sub>
        </m:sSub>
        <m:r>
          <w:rPr>
            <w:rFonts w:ascii="Cambria Math" w:hAnsi="Cambria Math"/>
          </w:rPr>
          <m:t>-</m:t>
        </m:r>
        <m:sSub>
          <m:sSubPr>
            <m:ctrlPr>
              <w:rPr>
                <w:rFonts w:ascii="Cambria Math" w:hAnsi="Cambria Math"/>
                <w:i/>
              </w:rPr>
            </m:ctrlPr>
          </m:sSubPr>
          <m:e>
            <m:r>
              <w:rPr>
                <w:rFonts w:ascii="Cambria Math" w:hAnsi="Cambria Math"/>
              </w:rPr>
              <m:t>d</m:t>
            </m:r>
          </m:e>
          <m:sub>
            <m:r>
              <m:rPr>
                <m:sty m:val="p"/>
              </m:rPr>
              <w:rPr>
                <w:rFonts w:ascii="Cambria Math" w:hAnsi="Cambria Math"/>
              </w:rPr>
              <m:t>dy,k</m:t>
            </m:r>
          </m:sub>
        </m:sSub>
        <m:r>
          <w:rPr>
            <w:rFonts w:ascii="Cambria Math" w:hAnsi="Cambria Math"/>
          </w:rPr>
          <m:t>]+100</m:t>
        </m:r>
        <m:sSub>
          <m:sSubPr>
            <m:ctrlPr>
              <w:rPr>
                <w:rFonts w:ascii="Cambria Math" w:hAnsi="Cambria Math"/>
                <w:i/>
              </w:rPr>
            </m:ctrlPr>
          </m:sSubPr>
          <m:e>
            <m:r>
              <w:rPr>
                <w:rFonts w:ascii="Cambria Math" w:hAnsi="Cambria Math"/>
              </w:rPr>
              <m:t>V</m:t>
            </m:r>
          </m:e>
          <m:sub>
            <m:r>
              <m:rPr>
                <m:sty m:val="p"/>
              </m:rPr>
              <w:rPr>
                <w:rFonts w:ascii="Cambria Math" w:hAnsi="Cambria Math"/>
              </w:rPr>
              <m:t>dy,k</m:t>
            </m:r>
          </m:sub>
        </m:sSub>
        <m:d>
          <m:dPr>
            <m:begChr m:val="["/>
            <m:endChr m:val="]"/>
            <m:ctrlPr>
              <w:rPr>
                <w:rFonts w:ascii="Cambria Math" w:hAnsi="Cambria Math"/>
                <w:i/>
              </w:rPr>
            </m:ctrlPr>
          </m:dPr>
          <m:e>
            <m:sSub>
              <m:sSubPr>
                <m:ctrlPr>
                  <w:rPr>
                    <w:rFonts w:ascii="Cambria Math" w:hAnsi="Cambria Math"/>
                    <w:i/>
                  </w:rPr>
                </m:ctrlPr>
              </m:sSubPr>
              <m:e>
                <m:r>
                  <w:rPr>
                    <w:rFonts w:ascii="Cambria Math" w:hAnsi="Cambria Math"/>
                  </w:rPr>
                  <m:t>d</m:t>
                </m:r>
              </m:e>
              <m:sub>
                <m:r>
                  <m:rPr>
                    <m:sty m:val="p"/>
                  </m:rPr>
                  <w:rPr>
                    <w:rFonts w:ascii="Cambria Math" w:hAnsi="Cambria Math"/>
                  </w:rPr>
                  <m:t>D,k</m:t>
                </m:r>
              </m:sub>
            </m:sSub>
            <m:r>
              <w:rPr>
                <w:rFonts w:ascii="Cambria Math" w:hAnsi="Cambria Math"/>
              </w:rPr>
              <m:t>-</m:t>
            </m:r>
            <m:sSub>
              <m:sSubPr>
                <m:ctrlPr>
                  <w:rPr>
                    <w:rFonts w:ascii="Cambria Math" w:hAnsi="Cambria Math"/>
                    <w:bCs/>
                    <w:i/>
                  </w:rPr>
                </m:ctrlPr>
              </m:sSubPr>
              <m:e>
                <m:r>
                  <w:rPr>
                    <w:rFonts w:ascii="Cambria Math" w:hAnsi="Cambria Math"/>
                  </w:rPr>
                  <m:t>d</m:t>
                </m:r>
              </m:e>
              <m:sub>
                <m:r>
                  <m:rPr>
                    <m:sty m:val="p"/>
                  </m:rPr>
                  <w:rPr>
                    <w:rFonts w:ascii="Cambria Math" w:hAnsi="Cambria Math"/>
                  </w:rPr>
                  <m:t>dy,k</m:t>
                </m:r>
              </m:sub>
            </m:sSub>
          </m:e>
        </m:d>
      </m:oMath>
      <w:r w:rsidR="00D20C81" w:rsidRPr="00870D59">
        <w:tab/>
        <w:t>(D.</w:t>
      </w:r>
      <w:r w:rsidR="00D20C81">
        <w:t>16</w:t>
      </w:r>
      <w:r w:rsidR="00D20C81" w:rsidRPr="00870D59">
        <w:t>)</w:t>
      </w:r>
    </w:p>
    <w:p w14:paraId="583E160F" w14:textId="183FD878" w:rsidR="00D20C81" w:rsidRPr="00837A31" w:rsidRDefault="00D20C81" w:rsidP="00D20C81">
      <w:pPr>
        <w:pStyle w:val="Text"/>
      </w:pPr>
      <w:r>
        <w:t>w</w:t>
      </w:r>
      <w:r w:rsidRPr="00870D59">
        <w:t>here</w:t>
      </w:r>
      <w:r w:rsidRPr="00D20C81">
        <w:rPr>
          <w:rFonts w:asciiTheme="majorHAnsi" w:hAnsiTheme="majorHAnsi"/>
          <w:szCs w:val="22"/>
        </w:rPr>
        <w:t xml:space="preserve"> </w:t>
      </w:r>
      <w:r w:rsidRPr="00D1484A">
        <w:rPr>
          <w:rFonts w:asciiTheme="majorHAnsi" w:hAnsiTheme="majorHAnsi"/>
          <w:szCs w:val="22"/>
        </w:rPr>
        <w:t xml:space="preserve">all notations are </w:t>
      </w:r>
      <w:r w:rsidRPr="00837A31">
        <w:rPr>
          <w:rFonts w:asciiTheme="majorHAnsi" w:hAnsiTheme="majorHAnsi"/>
          <w:szCs w:val="22"/>
        </w:rPr>
        <w:t>defined in D.4.3.</w:t>
      </w:r>
    </w:p>
    <w:p w14:paraId="6A9D55BB" w14:textId="77777777" w:rsidR="00D20C81" w:rsidRPr="00837A31" w:rsidRDefault="00D20C81" w:rsidP="00D20C81">
      <w:pPr>
        <w:pStyle w:val="Notetext"/>
      </w:pPr>
      <w:r w:rsidRPr="00837A31">
        <w:t>NOTE 1</w:t>
      </w:r>
      <w:r w:rsidRPr="00837A31">
        <w:tab/>
        <w:t xml:space="preserve">The first term of the second member distributes the </w:t>
      </w:r>
      <w:r w:rsidRPr="00837A31">
        <w:rPr>
          <w:i/>
        </w:rPr>
        <w:t>E</w:t>
      </w:r>
      <w:r w:rsidRPr="00837A31">
        <w:rPr>
          <w:vertAlign w:val="subscript"/>
        </w:rPr>
        <w:t>H,</w:t>
      </w:r>
      <w:r w:rsidRPr="00837A31">
        <w:rPr>
          <w:i/>
          <w:vertAlign w:val="subscript"/>
        </w:rPr>
        <w:t>k</w:t>
      </w:r>
      <w:r w:rsidRPr="00837A31">
        <w:t xml:space="preserve"> between the primary seismic members of the main system and the energy dissipation system as explained in the NOTE to D.4.3.</w:t>
      </w:r>
    </w:p>
    <w:p w14:paraId="30EECCEA" w14:textId="77777777" w:rsidR="00D20C81" w:rsidRPr="00132C1E" w:rsidRDefault="00D20C81" w:rsidP="00D20C81">
      <w:pPr>
        <w:pStyle w:val="Notetext"/>
      </w:pPr>
      <w:r w:rsidRPr="00C52095">
        <w:t>NOTE 2</w:t>
      </w:r>
      <w:r w:rsidRPr="00C52095">
        <w:tab/>
        <w:t xml:space="preserve">Under the design earthquake, the dampers dissipate energy through plastic deformations before the primary seismic </w:t>
      </w:r>
      <w:r w:rsidRPr="007754C9">
        <w:t>member</w:t>
      </w:r>
      <w:r w:rsidRPr="00132C1E">
        <w:t>s of the main structural system</w:t>
      </w:r>
      <w:r w:rsidRPr="00132C1E" w:rsidDel="007C7AC8">
        <w:t xml:space="preserve"> </w:t>
      </w:r>
      <w:r w:rsidRPr="00132C1E">
        <w:t xml:space="preserve">reach the yield displacement </w:t>
      </w:r>
      <w:r w:rsidRPr="00132C1E">
        <w:rPr>
          <w:i/>
        </w:rPr>
        <w:t>d</w:t>
      </w:r>
      <w:r w:rsidRPr="00132C1E">
        <w:rPr>
          <w:vertAlign w:val="subscript"/>
        </w:rPr>
        <w:t>py,</w:t>
      </w:r>
      <w:r w:rsidRPr="00132C1E">
        <w:rPr>
          <w:i/>
          <w:vertAlign w:val="subscript"/>
        </w:rPr>
        <w:t>k</w:t>
      </w:r>
      <w:r w:rsidRPr="00132C1E">
        <w:t xml:space="preserve">. The second term of the second member of Formula (D.16) represents this energy that is taken as equivalent to ten cycles of amplitude </w:t>
      </w:r>
      <w:r w:rsidRPr="00132C1E">
        <w:rPr>
          <w:i/>
        </w:rPr>
        <w:t>d</w:t>
      </w:r>
      <w:r w:rsidRPr="00132C1E">
        <w:rPr>
          <w:vertAlign w:val="subscript"/>
        </w:rPr>
        <w:t>py,</w:t>
      </w:r>
      <w:r w:rsidRPr="00132C1E">
        <w:rPr>
          <w:i/>
          <w:vertAlign w:val="subscript"/>
        </w:rPr>
        <w:t>k</w:t>
      </w:r>
      <w:r w:rsidRPr="00132C1E">
        <w:t>.</w:t>
      </w:r>
    </w:p>
    <w:p w14:paraId="5437E8A6" w14:textId="544ACCBA" w:rsidR="00D20C81" w:rsidRDefault="00D20C81" w:rsidP="00D20C81">
      <w:pPr>
        <w:pStyle w:val="Notetext"/>
        <w:rPr>
          <w:i/>
          <w:iCs/>
        </w:rPr>
      </w:pPr>
      <w:r w:rsidRPr="00132C1E">
        <w:t>NOTE 3</w:t>
      </w:r>
      <w:r w:rsidRPr="00132C1E">
        <w:tab/>
        <w:t xml:space="preserve">The energy dissipation devices dissipate energy through plastic deformations under low intensity earthquakes, for which the main system remains in the elastic domain. The third term of the second member represents this energy. It is assumed that the structure can be subjected to five low intensity earthquakes, and in each one the energy to be dissipated by the energy dissipation devices is equivalent to five cycles of amplitude </w:t>
      </w:r>
      <w:r w:rsidRPr="00132C1E">
        <w:rPr>
          <w:i/>
          <w:iCs/>
        </w:rPr>
        <w:t>d</w:t>
      </w:r>
      <w:r w:rsidRPr="00132C1E">
        <w:rPr>
          <w:vertAlign w:val="subscript"/>
        </w:rPr>
        <w:t>D,</w:t>
      </w:r>
      <w:r w:rsidRPr="00132C1E">
        <w:rPr>
          <w:i/>
          <w:iCs/>
          <w:vertAlign w:val="subscript"/>
        </w:rPr>
        <w:t>k</w:t>
      </w:r>
      <w:r w:rsidRPr="00132C1E">
        <w:rPr>
          <w:i/>
          <w:iCs/>
        </w:rPr>
        <w:t>.</w:t>
      </w:r>
    </w:p>
    <w:p w14:paraId="549CDD6D" w14:textId="45B1BBED" w:rsidR="00D20C81" w:rsidRDefault="00D20C81" w:rsidP="00D20C81">
      <w:pPr>
        <w:pStyle w:val="Notetext"/>
        <w:rPr>
          <w:i/>
          <w:iCs/>
        </w:rPr>
      </w:pPr>
    </w:p>
    <w:p w14:paraId="6C70F90F" w14:textId="7AC92A7F" w:rsidR="00D20C81" w:rsidRPr="00870D59" w:rsidRDefault="00D20C81" w:rsidP="00D20C81">
      <w:pPr>
        <w:pStyle w:val="ANNEX"/>
      </w:pPr>
      <w:r w:rsidRPr="00870D59">
        <w:lastRenderedPageBreak/>
        <w:br/>
      </w:r>
      <w:bookmarkStart w:id="11208" w:name="_Toc134198252"/>
      <w:r w:rsidRPr="00870D59">
        <w:rPr>
          <w:b w:val="0"/>
        </w:rPr>
        <w:t>(</w:t>
      </w:r>
      <w:r w:rsidR="009B2651">
        <w:rPr>
          <w:b w:val="0"/>
        </w:rPr>
        <w:t>n</w:t>
      </w:r>
      <w:r w:rsidRPr="00870D59">
        <w:rPr>
          <w:b w:val="0"/>
        </w:rPr>
        <w:t>ormative)</w:t>
      </w:r>
      <w:r w:rsidRPr="00870D59">
        <w:fldChar w:fldCharType="begin"/>
      </w:r>
      <w:r w:rsidRPr="00870D59">
        <w:instrText xml:space="preserve">SEQ aaa \h </w:instrText>
      </w:r>
      <w:r w:rsidRPr="00870D59">
        <w:fldChar w:fldCharType="end"/>
      </w:r>
      <w:r w:rsidRPr="00870D59">
        <w:fldChar w:fldCharType="begin"/>
      </w:r>
      <w:r w:rsidRPr="00870D59">
        <w:instrText xml:space="preserve">SEQ table \r0\h </w:instrText>
      </w:r>
      <w:r w:rsidRPr="00870D59">
        <w:fldChar w:fldCharType="end"/>
      </w:r>
      <w:r w:rsidRPr="00870D59">
        <w:fldChar w:fldCharType="begin"/>
      </w:r>
      <w:r w:rsidRPr="00870D59">
        <w:instrText xml:space="preserve">SEQ figure \r0\h </w:instrText>
      </w:r>
      <w:r w:rsidRPr="00870D59">
        <w:fldChar w:fldCharType="end"/>
      </w:r>
      <w:r w:rsidRPr="00870D59">
        <w:br/>
      </w:r>
      <w:r w:rsidRPr="00870D59">
        <w:br/>
      </w:r>
      <w:r w:rsidRPr="00D1484A">
        <w:t>Seismic design of connections for steel buildings</w:t>
      </w:r>
      <w:bookmarkEnd w:id="11208"/>
    </w:p>
    <w:p w14:paraId="450FAEE2" w14:textId="0745D288" w:rsidR="00D20C81" w:rsidRPr="00870D59" w:rsidRDefault="00D20C81" w:rsidP="00D20C81">
      <w:pPr>
        <w:pStyle w:val="a2"/>
        <w:rPr>
          <w:color w:val="000000" w:themeColor="text1"/>
        </w:rPr>
      </w:pPr>
      <w:bookmarkStart w:id="11209" w:name="_Toc134198253"/>
      <w:r w:rsidRPr="00870D59">
        <w:rPr>
          <w:color w:val="000000" w:themeColor="text1"/>
        </w:rPr>
        <w:t xml:space="preserve">Use of this </w:t>
      </w:r>
      <w:r w:rsidR="009B2651">
        <w:rPr>
          <w:color w:val="000000" w:themeColor="text1"/>
        </w:rPr>
        <w:t xml:space="preserve">normative </w:t>
      </w:r>
      <w:r w:rsidRPr="00870D59">
        <w:rPr>
          <w:color w:val="000000" w:themeColor="text1"/>
        </w:rPr>
        <w:t>annex</w:t>
      </w:r>
      <w:bookmarkEnd w:id="11209"/>
    </w:p>
    <w:p w14:paraId="05B4E674" w14:textId="395CE37C" w:rsidR="00D20C81" w:rsidRPr="00870D59" w:rsidRDefault="0008795B" w:rsidP="0080187E">
      <w:pPr>
        <w:pStyle w:val="Clause"/>
        <w:numPr>
          <w:ilvl w:val="0"/>
          <w:numId w:val="566"/>
        </w:numPr>
      </w:pPr>
      <w:r w:rsidRPr="00196951">
        <w:t>This Normative Annex contains additional provisions to</w:t>
      </w:r>
      <w:r w:rsidR="00835C82">
        <w:t xml:space="preserve"> Clause</w:t>
      </w:r>
      <w:r w:rsidRPr="00196951">
        <w:t xml:space="preserve"> </w:t>
      </w:r>
      <w:r w:rsidRPr="00835C82">
        <w:t>11</w:t>
      </w:r>
      <w:r w:rsidRPr="002144A0">
        <w:t xml:space="preserve"> for the seismic design of connections</w:t>
      </w:r>
      <w:r w:rsidR="00D20C81" w:rsidRPr="00132C1E">
        <w:t>.</w:t>
      </w:r>
    </w:p>
    <w:p w14:paraId="07F99529" w14:textId="0B7DF282" w:rsidR="00D20C81" w:rsidRPr="00870D59" w:rsidRDefault="009B2651" w:rsidP="00D20C81">
      <w:pPr>
        <w:pStyle w:val="a2"/>
        <w:rPr>
          <w:color w:val="000000" w:themeColor="text1"/>
        </w:rPr>
      </w:pPr>
      <w:bookmarkStart w:id="11210" w:name="_Toc108342745"/>
      <w:bookmarkStart w:id="11211" w:name="_Toc134198254"/>
      <w:r>
        <w:rPr>
          <w:color w:val="000000" w:themeColor="text1"/>
          <w:sz w:val="24"/>
          <w:szCs w:val="24"/>
        </w:rPr>
        <w:t>Scope and f</w:t>
      </w:r>
      <w:r w:rsidR="0008795B" w:rsidRPr="00A855F5">
        <w:rPr>
          <w:color w:val="000000" w:themeColor="text1"/>
          <w:sz w:val="24"/>
          <w:szCs w:val="24"/>
        </w:rPr>
        <w:t>ield of application</w:t>
      </w:r>
      <w:bookmarkEnd w:id="11210"/>
      <w:bookmarkEnd w:id="11211"/>
    </w:p>
    <w:p w14:paraId="0CDBEF09" w14:textId="1132AF0C" w:rsidR="00D20C81" w:rsidRDefault="0008795B" w:rsidP="0080187E">
      <w:pPr>
        <w:pStyle w:val="Clause"/>
        <w:numPr>
          <w:ilvl w:val="0"/>
          <w:numId w:val="219"/>
        </w:numPr>
      </w:pPr>
      <w:r w:rsidRPr="00C52095">
        <w:t xml:space="preserve">This annex should be used for the design of beam-to-column joints of moment resisting and dual steel frames and for the design of gusset connections in concentrically, eccentrically and buckling restrained bracings. </w:t>
      </w:r>
      <w:r w:rsidRPr="005D1710">
        <w:t>Annex E</w:t>
      </w:r>
      <w:r w:rsidRPr="00835C82">
        <w:t xml:space="preserve"> </w:t>
      </w:r>
      <w:r w:rsidRPr="00132C1E">
        <w:t>should be applied for joints of primary DC3 structures in addition to the provisions in</w:t>
      </w:r>
      <w:r w:rsidR="00835C82">
        <w:t xml:space="preserve"> Clause</w:t>
      </w:r>
      <w:r w:rsidRPr="00132C1E">
        <w:t xml:space="preserve"> </w:t>
      </w:r>
      <w:r w:rsidRPr="00835C82">
        <w:t xml:space="preserve">11 </w:t>
      </w:r>
      <w:r w:rsidRPr="005C7237">
        <w:t xml:space="preserve">and in </w:t>
      </w:r>
      <w:r w:rsidRPr="0008795B">
        <w:rPr>
          <w:color w:val="auto"/>
        </w:rPr>
        <w:t>pr</w:t>
      </w:r>
      <w:r w:rsidR="00C30FF9">
        <w:rPr>
          <w:color w:val="auto"/>
        </w:rPr>
        <w:t>EN 1</w:t>
      </w:r>
      <w:r w:rsidRPr="0008795B">
        <w:rPr>
          <w:color w:val="auto"/>
        </w:rPr>
        <w:t>993-1-8</w:t>
      </w:r>
      <w:r w:rsidRPr="005C7237">
        <w:t>.</w:t>
      </w:r>
    </w:p>
    <w:p w14:paraId="6C6DD507" w14:textId="3B6028BF" w:rsidR="00D20C81" w:rsidRDefault="0008795B" w:rsidP="0080187E">
      <w:pPr>
        <w:pStyle w:val="Clause"/>
        <w:numPr>
          <w:ilvl w:val="0"/>
          <w:numId w:val="26"/>
        </w:numPr>
      </w:pPr>
      <w:r w:rsidRPr="005D1710">
        <w:t>Annex E</w:t>
      </w:r>
      <w:r w:rsidRPr="00132C1E">
        <w:t xml:space="preserve"> may be used for joints of primary DC2 and DC1 structures.</w:t>
      </w:r>
    </w:p>
    <w:p w14:paraId="135B71F4" w14:textId="2EC33713" w:rsidR="00D20C81" w:rsidRDefault="0008795B" w:rsidP="0080187E">
      <w:pPr>
        <w:pStyle w:val="Clause"/>
        <w:numPr>
          <w:ilvl w:val="0"/>
          <w:numId w:val="26"/>
        </w:numPr>
      </w:pPr>
      <w:r w:rsidRPr="005D1710">
        <w:t>Annex E</w:t>
      </w:r>
      <w:r w:rsidRPr="00132C1E">
        <w:t xml:space="preserve"> may be applied to connections different from those specified in </w:t>
      </w:r>
      <w:r w:rsidRPr="005D1710">
        <w:t>Annex E</w:t>
      </w:r>
      <w:r w:rsidRPr="00132C1E">
        <w:t>, however, in those cases the validity and effectiveness of their performance should be demonstrated by means of either experimental evidence, past experimental results available in the literature or refined numerical simulations</w:t>
      </w:r>
      <w:r>
        <w:t>.</w:t>
      </w:r>
    </w:p>
    <w:p w14:paraId="1224B1A4" w14:textId="1FBB5ADB" w:rsidR="0008795B" w:rsidRDefault="0008795B" w:rsidP="0080187E">
      <w:pPr>
        <w:pStyle w:val="Clause"/>
        <w:numPr>
          <w:ilvl w:val="0"/>
          <w:numId w:val="26"/>
        </w:numPr>
      </w:pPr>
      <w:r w:rsidRPr="00132C1E">
        <w:t xml:space="preserve">The moment resisting beam-to-column joints covered by </w:t>
      </w:r>
      <w:r w:rsidRPr="005D1710">
        <w:t>Annex E</w:t>
      </w:r>
      <w:r w:rsidRPr="00835C82">
        <w:t xml:space="preserve"> </w:t>
      </w:r>
      <w:r w:rsidRPr="00132C1E">
        <w:t>may be used for beam-to-column joints in the braced bay of bracing systems (i.e. concentrically, eccentrically and buckling restrained bracings).</w:t>
      </w:r>
    </w:p>
    <w:p w14:paraId="627F8BFF" w14:textId="1ED3465D" w:rsidR="00D20C81" w:rsidRDefault="0008795B" w:rsidP="00D20C81">
      <w:pPr>
        <w:pStyle w:val="a2"/>
      </w:pPr>
      <w:bookmarkStart w:id="11212" w:name="_Toc50150729"/>
      <w:bookmarkStart w:id="11213" w:name="_Toc70887162"/>
      <w:bookmarkStart w:id="11214" w:name="_Toc108342746"/>
      <w:bookmarkStart w:id="11215" w:name="_Toc134198255"/>
      <w:r w:rsidRPr="00132C1E">
        <w:t>Pre-qualified moment resisting beam-to-column joints</w:t>
      </w:r>
      <w:bookmarkEnd w:id="11212"/>
      <w:bookmarkEnd w:id="11213"/>
      <w:bookmarkEnd w:id="11214"/>
      <w:bookmarkEnd w:id="11215"/>
    </w:p>
    <w:p w14:paraId="522A9A7D" w14:textId="33E3233B" w:rsidR="00D20C81" w:rsidRDefault="0008795B" w:rsidP="00D20C81">
      <w:pPr>
        <w:pStyle w:val="a3"/>
        <w:spacing w:before="60"/>
      </w:pPr>
      <w:bookmarkStart w:id="11216" w:name="_Toc120543834"/>
      <w:bookmarkStart w:id="11217" w:name="_Toc134198256"/>
      <w:r w:rsidRPr="00132C1E">
        <w:t>Genera</w:t>
      </w:r>
      <w:r w:rsidR="00A07353">
        <w:t>l</w:t>
      </w:r>
      <w:bookmarkEnd w:id="11216"/>
      <w:bookmarkEnd w:id="11217"/>
    </w:p>
    <w:p w14:paraId="66476104" w14:textId="77777777" w:rsidR="00A07353" w:rsidRDefault="00A07353" w:rsidP="00A07353">
      <w:pPr>
        <w:pStyle w:val="Notetext"/>
      </w:pPr>
      <w:r w:rsidRPr="00132C1E">
        <w:t>NOTE</w:t>
      </w:r>
      <w:r>
        <w:t xml:space="preserve"> 1</w:t>
      </w:r>
      <w:r w:rsidRPr="00132C1E">
        <w:tab/>
        <w:t>A beam-to-column joint is defined as the zone where at least one beam and one column are interconnected. A planar major-axis beam-to-column joint consists of a web panel and either one connection for external joints (or “single-sided” joint) or two connections for internal joints (or “double-sided” joint).</w:t>
      </w:r>
    </w:p>
    <w:p w14:paraId="5B61D3F5" w14:textId="77777777" w:rsidR="00A07353" w:rsidRPr="00132C1E" w:rsidRDefault="00A07353" w:rsidP="00A07353">
      <w:pPr>
        <w:pStyle w:val="Notetext"/>
      </w:pPr>
      <w:r>
        <w:t>NOTE 2</w:t>
      </w:r>
      <w:r>
        <w:tab/>
      </w:r>
      <w:r w:rsidRPr="008C3C4B">
        <w:t>Where present, the requirement to full strength connections and strong web panels lead to nominally rigid connections and web panels.</w:t>
      </w:r>
    </w:p>
    <w:p w14:paraId="477599FB" w14:textId="772D3506" w:rsidR="00D20C81" w:rsidRDefault="00A07353" w:rsidP="0080187E">
      <w:pPr>
        <w:pStyle w:val="Clause"/>
        <w:numPr>
          <w:ilvl w:val="0"/>
          <w:numId w:val="220"/>
        </w:numPr>
      </w:pPr>
      <w:r w:rsidRPr="00132C1E">
        <w:t xml:space="preserve">The joints specified </w:t>
      </w:r>
      <w:r w:rsidRPr="00A07353">
        <w:rPr>
          <w:color w:val="auto"/>
        </w:rPr>
        <w:t xml:space="preserve">in </w:t>
      </w:r>
      <w:r w:rsidRPr="00835C82">
        <w:rPr>
          <w:color w:val="auto"/>
        </w:rPr>
        <w:t>E.3</w:t>
      </w:r>
      <w:r w:rsidRPr="00A07353">
        <w:rPr>
          <w:color w:val="auto"/>
        </w:rPr>
        <w:t xml:space="preserve"> may be considered as conforming to </w:t>
      </w:r>
      <w:r w:rsidRPr="00835C82">
        <w:rPr>
          <w:color w:val="auto"/>
        </w:rPr>
        <w:t xml:space="preserve">11.9.4; </w:t>
      </w:r>
      <w:r w:rsidRPr="00132C1E">
        <w:t>they may be considered as prequalified and may be used in DC3 and DC2 moment resisting frames and moment resisting sub-system of dual frames without any further qualifying cyclic tests</w:t>
      </w:r>
      <w:r w:rsidR="00D20C81" w:rsidRPr="00870D59">
        <w:t>.</w:t>
      </w:r>
    </w:p>
    <w:p w14:paraId="1C580D62" w14:textId="06B479BC" w:rsidR="00A07353" w:rsidRDefault="00A07353" w:rsidP="0080187E">
      <w:pPr>
        <w:pStyle w:val="Clause"/>
        <w:numPr>
          <w:ilvl w:val="0"/>
          <w:numId w:val="220"/>
        </w:numPr>
      </w:pPr>
      <w:r w:rsidRPr="00132C1E">
        <w:t xml:space="preserve">The beam-to-column connections specified </w:t>
      </w:r>
      <w:r w:rsidRPr="00A07353">
        <w:rPr>
          <w:color w:val="auto"/>
        </w:rPr>
        <w:t xml:space="preserve">in </w:t>
      </w:r>
      <w:r w:rsidRPr="00835C82">
        <w:rPr>
          <w:color w:val="auto"/>
        </w:rPr>
        <w:t>E.3</w:t>
      </w:r>
      <w:r w:rsidRPr="00A07353">
        <w:rPr>
          <w:color w:val="auto"/>
        </w:rPr>
        <w:t xml:space="preserve"> may b</w:t>
      </w:r>
      <w:r w:rsidRPr="00132C1E">
        <w:t>e also used in the braced bay of concentrically, eccentrically and buckling restrained bracings.</w:t>
      </w:r>
    </w:p>
    <w:p w14:paraId="73DE272E" w14:textId="0320FD8B" w:rsidR="00A07353" w:rsidRPr="00132C1E" w:rsidRDefault="00A07353" w:rsidP="00A07353">
      <w:pPr>
        <w:pStyle w:val="Notetext"/>
      </w:pPr>
      <w:r w:rsidRPr="00132C1E">
        <w:t>NOTE</w:t>
      </w:r>
      <w:r w:rsidRPr="00132C1E">
        <w:tab/>
        <w:t xml:space="preserve">Pre-qualified joints are </w:t>
      </w:r>
      <w:r w:rsidRPr="009B2651">
        <w:t>such that their rotation capacity is not smaller than the limit specified in 11.9.4(9) or 11.10.5(2)a, as appropriate</w:t>
      </w:r>
      <w:r w:rsidRPr="00132C1E">
        <w:t>.</w:t>
      </w:r>
    </w:p>
    <w:p w14:paraId="2C920832" w14:textId="488C2208" w:rsidR="00A07353" w:rsidRPr="00132C1E" w:rsidRDefault="00A07353" w:rsidP="0080187E">
      <w:pPr>
        <w:pStyle w:val="Clause"/>
        <w:numPr>
          <w:ilvl w:val="0"/>
          <w:numId w:val="220"/>
        </w:numPr>
      </w:pPr>
      <w:r w:rsidRPr="00132C1E">
        <w:t xml:space="preserve">The beams should be torsionally restrained with bracings spaced by the length </w:t>
      </w:r>
      <w:r w:rsidRPr="00132C1E">
        <w:rPr>
          <w:i/>
          <w:iCs/>
        </w:rPr>
        <w:t>L</w:t>
      </w:r>
      <w:r w:rsidRPr="00132C1E">
        <w:rPr>
          <w:vertAlign w:val="subscript"/>
        </w:rPr>
        <w:t>st</w:t>
      </w:r>
      <w:r w:rsidRPr="00132C1E">
        <w:t xml:space="preserve"> calculated as given </w:t>
      </w:r>
      <w:r w:rsidRPr="00A07353">
        <w:rPr>
          <w:color w:val="auto"/>
        </w:rPr>
        <w:t>by Formula (11.6).</w:t>
      </w:r>
    </w:p>
    <w:p w14:paraId="795142FF" w14:textId="43025882" w:rsidR="00A07353" w:rsidRPr="00132C1E" w:rsidRDefault="00A07353" w:rsidP="0080187E">
      <w:pPr>
        <w:pStyle w:val="Clause"/>
        <w:numPr>
          <w:ilvl w:val="0"/>
          <w:numId w:val="220"/>
        </w:numPr>
      </w:pPr>
      <w:r w:rsidRPr="00132C1E">
        <w:lastRenderedPageBreak/>
        <w:t xml:space="preserve">If a concrete or composite slab is used and if the structure is calculated as a steel structure, the composite action between the beam and the slab should be prevented by detailing the slab-to-beam zone as specified </w:t>
      </w:r>
      <w:r w:rsidRPr="00A07353">
        <w:rPr>
          <w:color w:val="auto"/>
        </w:rPr>
        <w:t xml:space="preserve">in </w:t>
      </w:r>
      <w:r w:rsidRPr="00835C82">
        <w:rPr>
          <w:color w:val="auto"/>
        </w:rPr>
        <w:t xml:space="preserve">11.9.4(1) </w:t>
      </w:r>
      <w:r w:rsidRPr="00A07353">
        <w:rPr>
          <w:color w:val="auto"/>
        </w:rPr>
        <w:t>and</w:t>
      </w:r>
      <w:r w:rsidRPr="00835C82">
        <w:rPr>
          <w:color w:val="auto"/>
        </w:rPr>
        <w:t xml:space="preserve"> 12.8.6.2.3 </w:t>
      </w:r>
      <w:r w:rsidRPr="00A07353">
        <w:rPr>
          <w:color w:val="auto"/>
        </w:rPr>
        <w:t xml:space="preserve">and </w:t>
      </w:r>
      <w:r w:rsidRPr="00132C1E">
        <w:t>with the detailing given in a) to c):</w:t>
      </w:r>
    </w:p>
    <w:p w14:paraId="3D8432DD" w14:textId="77777777" w:rsidR="00A07353" w:rsidRPr="00132C1E" w:rsidRDefault="00A07353" w:rsidP="0080187E">
      <w:pPr>
        <w:pStyle w:val="Text"/>
        <w:numPr>
          <w:ilvl w:val="0"/>
          <w:numId w:val="699"/>
        </w:numPr>
      </w:pPr>
      <w:r w:rsidRPr="00132C1E">
        <w:t>no shear connectors should be used on the beams belonging to the column (i.e. both the primary beams and the transverse beams) within a length equal to 1,5 times the depth of the primary beam from any protruding parts of the connection;</w:t>
      </w:r>
    </w:p>
    <w:p w14:paraId="13A01670" w14:textId="77777777" w:rsidR="00A07353" w:rsidRPr="00132C1E" w:rsidRDefault="00A07353" w:rsidP="0080187E">
      <w:pPr>
        <w:pStyle w:val="Text"/>
        <w:numPr>
          <w:ilvl w:val="0"/>
          <w:numId w:val="699"/>
        </w:numPr>
      </w:pPr>
      <w:r w:rsidRPr="00132C1E">
        <w:t>a gap not less than 25 mm should be kept between the concrete slab and any protruding parts of the connection and all around the column; it should be either void or filled with compressible material.</w:t>
      </w:r>
    </w:p>
    <w:p w14:paraId="7F898B78" w14:textId="77777777" w:rsidR="00A07353" w:rsidRPr="00132C1E" w:rsidRDefault="00A07353" w:rsidP="0080187E">
      <w:pPr>
        <w:pStyle w:val="Text"/>
        <w:numPr>
          <w:ilvl w:val="0"/>
          <w:numId w:val="699"/>
        </w:numPr>
      </w:pPr>
      <w:r w:rsidRPr="00132C1E">
        <w:t>steel rebars and steel mesh in the concrete slab should not cross the joint in the gap defined in (c).</w:t>
      </w:r>
    </w:p>
    <w:p w14:paraId="3F69328B" w14:textId="33AF6701" w:rsidR="00D20C81" w:rsidRDefault="00A07353" w:rsidP="00D20C81">
      <w:pPr>
        <w:pStyle w:val="a3"/>
        <w:spacing w:before="60"/>
      </w:pPr>
      <w:bookmarkStart w:id="11218" w:name="_Toc50150731"/>
      <w:bookmarkStart w:id="11219" w:name="_Toc70887164"/>
      <w:bookmarkStart w:id="11220" w:name="_Toc108342748"/>
      <w:bookmarkStart w:id="11221" w:name="_Toc120543835"/>
      <w:bookmarkStart w:id="11222" w:name="_Toc134198257"/>
      <w:r w:rsidRPr="00132C1E">
        <w:t>Classification of pre-qualified moment resisting beam-to-column joints</w:t>
      </w:r>
      <w:bookmarkEnd w:id="11218"/>
      <w:bookmarkEnd w:id="11219"/>
      <w:bookmarkEnd w:id="11220"/>
      <w:bookmarkEnd w:id="11221"/>
      <w:bookmarkEnd w:id="11222"/>
    </w:p>
    <w:p w14:paraId="7D205BFC" w14:textId="77777777" w:rsidR="00A07353" w:rsidRPr="00132C1E" w:rsidRDefault="00A07353" w:rsidP="00A07353">
      <w:pPr>
        <w:pStyle w:val="a4"/>
      </w:pPr>
      <w:bookmarkStart w:id="11223" w:name="_Toc108342749"/>
      <w:bookmarkStart w:id="11224" w:name="_Toc120543836"/>
      <w:bookmarkStart w:id="11225" w:name="_Toc134198258"/>
      <w:r w:rsidRPr="00132C1E">
        <w:t>Classification by rotational stiffness</w:t>
      </w:r>
      <w:bookmarkEnd w:id="11223"/>
      <w:bookmarkEnd w:id="11224"/>
      <w:bookmarkEnd w:id="11225"/>
    </w:p>
    <w:p w14:paraId="5D75D4FF" w14:textId="15A9E550" w:rsidR="00A07353" w:rsidRPr="00132C1E" w:rsidRDefault="00A07353" w:rsidP="0080187E">
      <w:pPr>
        <w:pStyle w:val="Clause"/>
        <w:numPr>
          <w:ilvl w:val="0"/>
          <w:numId w:val="221"/>
        </w:numPr>
      </w:pPr>
      <w:r w:rsidRPr="00132C1E">
        <w:t xml:space="preserve">Stiffness classification of the connection should be as defined in </w:t>
      </w:r>
      <w:r w:rsidRPr="00A07353">
        <w:rPr>
          <w:color w:val="auto"/>
        </w:rPr>
        <w:t>pr</w:t>
      </w:r>
      <w:r w:rsidR="00C30FF9">
        <w:rPr>
          <w:color w:val="auto"/>
        </w:rPr>
        <w:t>EN 1</w:t>
      </w:r>
      <w:r w:rsidRPr="00A07353">
        <w:rPr>
          <w:color w:val="auto"/>
        </w:rPr>
        <w:t>993-1-8</w:t>
      </w:r>
      <w:r w:rsidRPr="00132C1E">
        <w:t>.</w:t>
      </w:r>
    </w:p>
    <w:p w14:paraId="0C792929" w14:textId="77777777" w:rsidR="00A07353" w:rsidRPr="00132C1E" w:rsidRDefault="00A07353" w:rsidP="00A07353">
      <w:pPr>
        <w:pStyle w:val="a4"/>
      </w:pPr>
      <w:bookmarkStart w:id="11226" w:name="_Toc108342750"/>
      <w:bookmarkStart w:id="11227" w:name="_Toc120543837"/>
      <w:bookmarkStart w:id="11228" w:name="_Toc134198259"/>
      <w:r w:rsidRPr="00132C1E">
        <w:t>Classification by moment resistance</w:t>
      </w:r>
      <w:bookmarkEnd w:id="11226"/>
      <w:bookmarkEnd w:id="11227"/>
      <w:bookmarkEnd w:id="11228"/>
    </w:p>
    <w:p w14:paraId="1F2CBA4D" w14:textId="6E92827C" w:rsidR="00A07353" w:rsidRPr="00132C1E" w:rsidRDefault="00A07353" w:rsidP="0080187E">
      <w:pPr>
        <w:pStyle w:val="Clause"/>
        <w:numPr>
          <w:ilvl w:val="0"/>
          <w:numId w:val="222"/>
        </w:numPr>
      </w:pPr>
      <w:r w:rsidRPr="00132C1E">
        <w:t xml:space="preserve">Unlike in the resistance classification of connections in </w:t>
      </w:r>
      <w:r w:rsidRPr="00A07353">
        <w:rPr>
          <w:color w:val="auto"/>
        </w:rPr>
        <w:t>pr</w:t>
      </w:r>
      <w:r w:rsidR="00C30FF9">
        <w:rPr>
          <w:color w:val="auto"/>
        </w:rPr>
        <w:t>EN 1</w:t>
      </w:r>
      <w:r w:rsidRPr="00A07353">
        <w:rPr>
          <w:color w:val="auto"/>
        </w:rPr>
        <w:t xml:space="preserve">993-1-8, the </w:t>
      </w:r>
      <w:r w:rsidRPr="00132C1E">
        <w:t>type and the local</w:t>
      </w:r>
      <w:r w:rsidR="00E10A24">
        <w:t>iza</w:t>
      </w:r>
      <w:r w:rsidRPr="00132C1E">
        <w:t>tion of plastic mechanism shall be explicitly considered.</w:t>
      </w:r>
    </w:p>
    <w:p w14:paraId="11F3DC7D" w14:textId="117374A9" w:rsidR="00A07353" w:rsidRPr="00132C1E" w:rsidRDefault="00A07353" w:rsidP="0080187E">
      <w:pPr>
        <w:pStyle w:val="Clause"/>
        <w:numPr>
          <w:ilvl w:val="0"/>
          <w:numId w:val="221"/>
        </w:numPr>
      </w:pPr>
      <w:r w:rsidRPr="00132C1E">
        <w:t xml:space="preserve">To satisfy </w:t>
      </w:r>
      <w:r w:rsidRPr="00835C82">
        <w:t>(1)</w:t>
      </w:r>
      <w:r w:rsidRPr="00132C1E">
        <w:t xml:space="preserve">, the </w:t>
      </w:r>
      <w:r w:rsidRPr="00A07353">
        <w:rPr>
          <w:color w:val="auto"/>
        </w:rPr>
        <w:t xml:space="preserve">random material variability (through </w:t>
      </w:r>
      <w:r w:rsidRPr="00A07353">
        <w:rPr>
          <w:rFonts w:ascii="Cambria Math" w:eastAsia="Symbol" w:hAnsi="Cambria Math" w:cs="Symbol"/>
          <w:i/>
          <w:iCs/>
          <w:color w:val="auto"/>
        </w:rPr>
        <w:t>ω</w:t>
      </w:r>
      <w:r w:rsidRPr="00A07353">
        <w:rPr>
          <w:color w:val="auto"/>
          <w:vertAlign w:val="subscript"/>
        </w:rPr>
        <w:t>rm</w:t>
      </w:r>
      <w:r w:rsidRPr="00A07353">
        <w:rPr>
          <w:color w:val="auto"/>
        </w:rPr>
        <w:t xml:space="preserve">, see </w:t>
      </w:r>
      <w:r w:rsidRPr="00835C82">
        <w:rPr>
          <w:color w:val="auto"/>
        </w:rPr>
        <w:t>11.2.2</w:t>
      </w:r>
      <w:r w:rsidRPr="00A07353">
        <w:rPr>
          <w:color w:val="auto"/>
        </w:rPr>
        <w:t xml:space="preserve">) and strain hardening (through </w:t>
      </w:r>
      <w:r w:rsidRPr="00A07353">
        <w:rPr>
          <w:rFonts w:ascii="Cambria Math" w:eastAsia="Symbol" w:hAnsi="Cambria Math" w:cs="Symbol"/>
          <w:i/>
          <w:iCs/>
          <w:color w:val="auto"/>
        </w:rPr>
        <w:t>ω</w:t>
      </w:r>
      <w:r w:rsidRPr="00A07353">
        <w:rPr>
          <w:color w:val="auto"/>
          <w:vertAlign w:val="subscript"/>
        </w:rPr>
        <w:t>sh</w:t>
      </w:r>
      <w:r w:rsidRPr="00A07353">
        <w:rPr>
          <w:color w:val="auto"/>
        </w:rPr>
        <w:t xml:space="preserve">, see </w:t>
      </w:r>
      <w:r w:rsidRPr="00835C82">
        <w:rPr>
          <w:color w:val="auto"/>
        </w:rPr>
        <w:t>Table 11.</w:t>
      </w:r>
      <w:r w:rsidR="00C606A0">
        <w:rPr>
          <w:color w:val="auto"/>
        </w:rPr>
        <w:t>10</w:t>
      </w:r>
      <w:r w:rsidRPr="00A07353">
        <w:rPr>
          <w:color w:val="auto"/>
        </w:rPr>
        <w:t xml:space="preserve">) </w:t>
      </w:r>
      <w:r w:rsidRPr="00132C1E">
        <w:t>of the dissipative zone (i.e. either beam or connection) should be accounted for.</w:t>
      </w:r>
    </w:p>
    <w:p w14:paraId="535E69F2" w14:textId="33D3535F" w:rsidR="00A07353" w:rsidRPr="00132C1E" w:rsidRDefault="00A07353" w:rsidP="0080187E">
      <w:pPr>
        <w:pStyle w:val="Clause"/>
        <w:numPr>
          <w:ilvl w:val="0"/>
          <w:numId w:val="221"/>
        </w:numPr>
        <w:rPr>
          <w:rFonts w:eastAsia="Cambria"/>
        </w:rPr>
      </w:pPr>
      <w:r w:rsidRPr="00132C1E">
        <w:rPr>
          <w:rFonts w:eastAsia="Cambria"/>
        </w:rPr>
        <w:t xml:space="preserve">In the use of Annex E for DC2 connections, </w:t>
      </w:r>
      <w:r>
        <w:rPr>
          <w:rFonts w:eastAsia="Cambria"/>
          <w:i/>
          <w:iCs/>
        </w:rPr>
        <w:t>ω</w:t>
      </w:r>
      <w:r w:rsidRPr="00132C1E">
        <w:rPr>
          <w:rFonts w:eastAsia="Cambria"/>
          <w:vertAlign w:val="subscript"/>
        </w:rPr>
        <w:t>sh</w:t>
      </w:r>
      <w:r w:rsidRPr="00132C1E">
        <w:rPr>
          <w:rFonts w:eastAsia="Cambria"/>
        </w:rPr>
        <w:t xml:space="preserve"> may be considered equal to 1,1</w:t>
      </w:r>
      <w:r>
        <w:rPr>
          <w:rFonts w:eastAsia="Cambria"/>
        </w:rPr>
        <w:t>.</w:t>
      </w:r>
    </w:p>
    <w:p w14:paraId="68134E24" w14:textId="5C7A1EAB" w:rsidR="00A07353" w:rsidRPr="00132C1E" w:rsidRDefault="00FE79D8" w:rsidP="00FE79D8">
      <w:pPr>
        <w:pStyle w:val="FigureImage"/>
        <w:rPr>
          <w:noProof/>
          <w:lang w:eastAsia="pt-BR"/>
        </w:rPr>
      </w:pPr>
      <w:r>
        <w:rPr>
          <w:noProof/>
          <w:lang w:eastAsia="pt-BR"/>
        </w:rPr>
        <w:drawing>
          <wp:inline distT="0" distB="0" distL="0" distR="0" wp14:anchorId="53F76C9F" wp14:editId="0A1D3DAD">
            <wp:extent cx="4680212" cy="1808991"/>
            <wp:effectExtent l="0" t="0" r="6350" b="1270"/>
            <wp:docPr id="2081949450" name="e001.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1949450" name="e001.tiff"/>
                    <pic:cNvPicPr/>
                  </pic:nvPicPr>
                  <pic:blipFill>
                    <a:blip r:link="rId87"/>
                    <a:stretch>
                      <a:fillRect/>
                    </a:stretch>
                  </pic:blipFill>
                  <pic:spPr>
                    <a:xfrm>
                      <a:off x="0" y="0"/>
                      <a:ext cx="4680212" cy="1808991"/>
                    </a:xfrm>
                    <a:prstGeom prst="rect">
                      <a:avLst/>
                    </a:prstGeom>
                  </pic:spPr>
                </pic:pic>
              </a:graphicData>
            </a:graphic>
          </wp:inline>
        </w:drawing>
      </w:r>
    </w:p>
    <w:p w14:paraId="7E6A7F2A" w14:textId="77777777" w:rsidR="00FE79D8" w:rsidRPr="00D1484A" w:rsidRDefault="00FE79D8" w:rsidP="00FE79D8">
      <w:pPr>
        <w:pStyle w:val="KeyTitle"/>
      </w:pPr>
      <w:r w:rsidRPr="00D1484A">
        <w:t>Key</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9"/>
        <w:gridCol w:w="3580"/>
      </w:tblGrid>
      <w:tr w:rsidR="00FE79D8" w:rsidRPr="00B5422C" w14:paraId="175FF8AB" w14:textId="77777777" w:rsidTr="00691F56">
        <w:tc>
          <w:tcPr>
            <w:tcW w:w="389" w:type="dxa"/>
          </w:tcPr>
          <w:p w14:paraId="569D5908" w14:textId="77777777" w:rsidR="00FE79D8" w:rsidRPr="00FE79D8" w:rsidRDefault="00FE79D8" w:rsidP="002061E5">
            <w:pPr>
              <w:pStyle w:val="KeyText"/>
              <w:rPr>
                <w:i/>
                <w:iCs/>
              </w:rPr>
            </w:pPr>
            <w:r w:rsidRPr="00FE79D8">
              <w:rPr>
                <w:i/>
                <w:iCs/>
              </w:rPr>
              <w:t>A</w:t>
            </w:r>
          </w:p>
        </w:tc>
        <w:tc>
          <w:tcPr>
            <w:tcW w:w="3580" w:type="dxa"/>
          </w:tcPr>
          <w:p w14:paraId="6D6D5B99" w14:textId="21FAFF98" w:rsidR="00FE79D8" w:rsidRPr="00FD12D8" w:rsidRDefault="00FE79D8" w:rsidP="002061E5">
            <w:pPr>
              <w:pStyle w:val="KeyText"/>
            </w:pPr>
            <w:r w:rsidRPr="00FE79D8">
              <w:t>ideal</w:t>
            </w:r>
            <w:r w:rsidR="00E10A24">
              <w:t>ize</w:t>
            </w:r>
            <w:r w:rsidRPr="00FE79D8">
              <w:t>d position of the plastic hinge</w:t>
            </w:r>
          </w:p>
        </w:tc>
      </w:tr>
      <w:tr w:rsidR="00FE79D8" w:rsidRPr="00B5422C" w14:paraId="58CFF85F" w14:textId="77777777" w:rsidTr="00691F56">
        <w:tc>
          <w:tcPr>
            <w:tcW w:w="389" w:type="dxa"/>
          </w:tcPr>
          <w:p w14:paraId="57D363CE" w14:textId="77777777" w:rsidR="00FE79D8" w:rsidRPr="00FE79D8" w:rsidRDefault="00FE79D8" w:rsidP="002061E5">
            <w:pPr>
              <w:pStyle w:val="KeyText"/>
              <w:rPr>
                <w:i/>
                <w:iCs/>
              </w:rPr>
            </w:pPr>
            <w:r w:rsidRPr="00FE79D8">
              <w:rPr>
                <w:i/>
                <w:iCs/>
              </w:rPr>
              <w:t>B</w:t>
            </w:r>
          </w:p>
        </w:tc>
        <w:tc>
          <w:tcPr>
            <w:tcW w:w="3580" w:type="dxa"/>
          </w:tcPr>
          <w:p w14:paraId="63A8ABB4" w14:textId="04D42F95" w:rsidR="00FE79D8" w:rsidRPr="00FD12D8" w:rsidRDefault="00FE79D8" w:rsidP="002061E5">
            <w:pPr>
              <w:pStyle w:val="KeyText"/>
            </w:pPr>
            <w:r>
              <w:t>beam</w:t>
            </w:r>
          </w:p>
        </w:tc>
      </w:tr>
      <w:tr w:rsidR="00FE79D8" w:rsidRPr="00B5422C" w14:paraId="008DBF62" w14:textId="77777777" w:rsidTr="00691F56">
        <w:tc>
          <w:tcPr>
            <w:tcW w:w="389" w:type="dxa"/>
          </w:tcPr>
          <w:p w14:paraId="3D784880" w14:textId="77777777" w:rsidR="00FE79D8" w:rsidRPr="00FE79D8" w:rsidRDefault="00FE79D8" w:rsidP="002061E5">
            <w:pPr>
              <w:pStyle w:val="KeyText"/>
              <w:rPr>
                <w:i/>
                <w:iCs/>
              </w:rPr>
            </w:pPr>
            <w:r w:rsidRPr="00FE79D8">
              <w:rPr>
                <w:i/>
                <w:iCs/>
              </w:rPr>
              <w:t>C</w:t>
            </w:r>
          </w:p>
        </w:tc>
        <w:tc>
          <w:tcPr>
            <w:tcW w:w="3580" w:type="dxa"/>
          </w:tcPr>
          <w:p w14:paraId="4A82373B" w14:textId="3E57B499" w:rsidR="00FE79D8" w:rsidRPr="00FD12D8" w:rsidRDefault="00FE79D8" w:rsidP="002061E5">
            <w:pPr>
              <w:pStyle w:val="KeyText"/>
            </w:pPr>
            <w:r>
              <w:t>column</w:t>
            </w:r>
          </w:p>
        </w:tc>
      </w:tr>
      <w:tr w:rsidR="00FE79D8" w:rsidRPr="00B5422C" w14:paraId="4E8DC839" w14:textId="77777777" w:rsidTr="00691F56">
        <w:tc>
          <w:tcPr>
            <w:tcW w:w="389" w:type="dxa"/>
          </w:tcPr>
          <w:p w14:paraId="163E3824" w14:textId="304711A4" w:rsidR="00FE79D8" w:rsidRPr="00FE79D8" w:rsidRDefault="00FE79D8" w:rsidP="002061E5">
            <w:pPr>
              <w:pStyle w:val="KeyText"/>
              <w:rPr>
                <w:i/>
                <w:iCs/>
              </w:rPr>
            </w:pPr>
            <w:r>
              <w:rPr>
                <w:i/>
                <w:iCs/>
              </w:rPr>
              <w:t>D</w:t>
            </w:r>
          </w:p>
        </w:tc>
        <w:tc>
          <w:tcPr>
            <w:tcW w:w="3580" w:type="dxa"/>
          </w:tcPr>
          <w:p w14:paraId="6BFC7127" w14:textId="09754C3E" w:rsidR="00FE79D8" w:rsidRDefault="00FE79D8" w:rsidP="002061E5">
            <w:pPr>
              <w:pStyle w:val="KeyText"/>
            </w:pPr>
            <w:r w:rsidRPr="00FE79D8">
              <w:t>rib or haunch stiffener (if adopted)</w:t>
            </w:r>
          </w:p>
        </w:tc>
      </w:tr>
    </w:tbl>
    <w:p w14:paraId="47A9A421" w14:textId="1477839E" w:rsidR="00A07353" w:rsidRPr="00FD17CF" w:rsidRDefault="00A07353" w:rsidP="00A07353">
      <w:pPr>
        <w:pStyle w:val="Figuretitle"/>
      </w:pPr>
      <w:r w:rsidRPr="00D1484A">
        <w:t>Figure E.</w:t>
      </w:r>
      <w:r w:rsidR="009B2651">
        <w:t>1</w:t>
      </w:r>
      <w:r w:rsidRPr="00132C1E">
        <w:t> — Definition of design moment: position of plastic hinges in stiffened joints</w:t>
      </w:r>
    </w:p>
    <w:p w14:paraId="520A52CA" w14:textId="1F4AD504" w:rsidR="00A07353" w:rsidRPr="002144A0" w:rsidRDefault="00A07353" w:rsidP="0080187E">
      <w:pPr>
        <w:pStyle w:val="Clause"/>
        <w:numPr>
          <w:ilvl w:val="0"/>
          <w:numId w:val="221"/>
        </w:numPr>
      </w:pPr>
      <w:r w:rsidRPr="00FD17CF">
        <w:t>The categories of the connections should be classified on the basis of the local</w:t>
      </w:r>
      <w:r w:rsidR="00E10A24">
        <w:t>iza</w:t>
      </w:r>
      <w:r w:rsidRPr="00FD17CF">
        <w:t xml:space="preserve">tion of the dissipative mechanism in the joint in </w:t>
      </w:r>
      <w:r w:rsidRPr="00D11185">
        <w:rPr>
          <w:color w:val="auto"/>
        </w:rPr>
        <w:t xml:space="preserve">accordance with </w:t>
      </w:r>
      <w:r w:rsidRPr="00835C82">
        <w:rPr>
          <w:color w:val="auto"/>
        </w:rPr>
        <w:t xml:space="preserve">Formula (E.1) </w:t>
      </w:r>
      <w:r w:rsidRPr="00D11185">
        <w:rPr>
          <w:color w:val="auto"/>
        </w:rPr>
        <w:t>as in a) to d):</w:t>
      </w:r>
    </w:p>
    <w:p w14:paraId="7116F030" w14:textId="79481E27" w:rsidR="00A07353" w:rsidRPr="00C52095" w:rsidRDefault="00A07353" w:rsidP="0080187E">
      <w:pPr>
        <w:pStyle w:val="List2"/>
        <w:numPr>
          <w:ilvl w:val="0"/>
          <w:numId w:val="223"/>
        </w:numPr>
        <w:spacing w:before="0" w:after="240" w:line="230" w:lineRule="atLeast"/>
        <w:contextualSpacing w:val="0"/>
      </w:pPr>
      <w:r w:rsidRPr="002144A0">
        <w:lastRenderedPageBreak/>
        <w:t>Full strength or “non-yielding” connections, where the plastic deformations are local</w:t>
      </w:r>
      <w:r w:rsidR="00E10A24">
        <w:t>ize</w:t>
      </w:r>
      <w:r w:rsidRPr="002144A0">
        <w:t xml:space="preserve">d in the beam, should be designed for the expected strength of the plastic hinge in its location by accounting for the effects of material over-strength and strain hardening as given </w:t>
      </w:r>
      <w:r w:rsidRPr="00D11185">
        <w:t>in Formula</w:t>
      </w:r>
      <w:r w:rsidRPr="00D11185">
        <w:rPr>
          <w:b/>
        </w:rPr>
        <w:t xml:space="preserve"> </w:t>
      </w:r>
      <w:r w:rsidRPr="00D11185">
        <w:rPr>
          <w:bCs/>
        </w:rPr>
        <w:t>(E.1).</w:t>
      </w:r>
    </w:p>
    <w:p w14:paraId="35DA81DE" w14:textId="45688D46" w:rsidR="00D20C81" w:rsidRDefault="009B5CEC" w:rsidP="00691F56">
      <w:pPr>
        <w:pStyle w:val="Formula"/>
        <w:spacing w:before="240"/>
        <w:ind w:left="720"/>
      </w:pPr>
      <m:oMath>
        <m:sSub>
          <m:sSubPr>
            <m:ctrlPr>
              <w:rPr>
                <w:rFonts w:ascii="Cambria Math" w:hAnsi="Cambria Math"/>
                <w:i/>
              </w:rPr>
            </m:ctrlPr>
          </m:sSubPr>
          <m:e>
            <m:r>
              <w:rPr>
                <w:rFonts w:ascii="Cambria Math" w:hAnsi="Cambria Math"/>
              </w:rPr>
              <m:t>M</m:t>
            </m:r>
          </m:e>
          <m:sub>
            <m:r>
              <m:rPr>
                <m:sty m:val="p"/>
              </m:rPr>
              <w:rPr>
                <w:rFonts w:ascii="Cambria Math" w:hAnsi="Cambria Math"/>
              </w:rPr>
              <m:t>con,Rd</m:t>
            </m:r>
          </m:sub>
        </m:sSub>
        <m:r>
          <w:rPr>
            <w:rFonts w:ascii="Cambria Math" w:hAnsi="Cambria Math"/>
          </w:rPr>
          <m:t>≥</m:t>
        </m:r>
        <m:sSub>
          <m:sSubPr>
            <m:ctrlPr>
              <w:rPr>
                <w:rFonts w:ascii="Cambria Math" w:hAnsi="Cambria Math"/>
                <w:i/>
              </w:rPr>
            </m:ctrlPr>
          </m:sSubPr>
          <m:e>
            <m:r>
              <w:rPr>
                <w:rFonts w:ascii="Cambria Math" w:hAnsi="Cambria Math"/>
              </w:rPr>
              <m:t>ω</m:t>
            </m:r>
          </m:e>
          <m:sub>
            <m:r>
              <m:rPr>
                <m:sty m:val="p"/>
              </m:rPr>
              <w:rPr>
                <w:rFonts w:ascii="Cambria Math" w:hAnsi="Cambria Math"/>
              </w:rPr>
              <m:t>rm</m:t>
            </m:r>
          </m:sub>
        </m:sSub>
        <m:r>
          <w:rPr>
            <w:rFonts w:ascii="Cambria Math" w:hAnsi="Cambria Math"/>
          </w:rPr>
          <m:t xml:space="preserve"> </m:t>
        </m:r>
        <m:sSub>
          <m:sSubPr>
            <m:ctrlPr>
              <w:rPr>
                <w:rFonts w:ascii="Cambria Math" w:hAnsi="Cambria Math"/>
                <w:i/>
              </w:rPr>
            </m:ctrlPr>
          </m:sSubPr>
          <m:e>
            <m:r>
              <w:rPr>
                <w:rFonts w:ascii="Cambria Math" w:hAnsi="Cambria Math"/>
              </w:rPr>
              <m:t>ω</m:t>
            </m:r>
          </m:e>
          <m:sub>
            <m:r>
              <m:rPr>
                <m:sty m:val="p"/>
              </m:rPr>
              <w:rPr>
                <w:rFonts w:ascii="Cambria Math" w:hAnsi="Cambria Math"/>
              </w:rPr>
              <m:t>sh</m:t>
            </m:r>
          </m:sub>
        </m:sSub>
        <m:r>
          <w:rPr>
            <w:rFonts w:ascii="Cambria Math" w:hAnsi="Cambria Math"/>
          </w:rPr>
          <m:t xml:space="preserve"> </m:t>
        </m:r>
        <m:d>
          <m:dPr>
            <m:ctrlPr>
              <w:rPr>
                <w:rFonts w:ascii="Cambria Math" w:hAnsi="Cambria Math"/>
                <w:i/>
              </w:rPr>
            </m:ctrlPr>
          </m:dPr>
          <m:e>
            <m:sSub>
              <m:sSubPr>
                <m:ctrlPr>
                  <w:rPr>
                    <w:rFonts w:ascii="Cambria Math" w:hAnsi="Cambria Math"/>
                    <w:i/>
                  </w:rPr>
                </m:ctrlPr>
              </m:sSubPr>
              <m:e>
                <m:r>
                  <w:rPr>
                    <w:rFonts w:ascii="Cambria Math" w:hAnsi="Cambria Math"/>
                  </w:rPr>
                  <m:t>M</m:t>
                </m:r>
              </m:e>
              <m:sub>
                <m:r>
                  <m:rPr>
                    <m:sty m:val="p"/>
                  </m:rPr>
                  <w:rPr>
                    <w:rFonts w:ascii="Cambria Math" w:hAnsi="Cambria Math"/>
                  </w:rPr>
                  <m:t>b,pl,Rk</m:t>
                </m:r>
              </m:sub>
            </m:sSub>
            <m:r>
              <w:rPr>
                <w:rFonts w:ascii="Cambria Math" w:hAnsi="Cambria Math"/>
              </w:rPr>
              <m:t>+</m:t>
            </m:r>
            <m:sSub>
              <m:sSubPr>
                <m:ctrlPr>
                  <w:rPr>
                    <w:rFonts w:ascii="Cambria Math" w:hAnsi="Cambria Math"/>
                    <w:i/>
                  </w:rPr>
                </m:ctrlPr>
              </m:sSubPr>
              <m:e>
                <m:r>
                  <w:rPr>
                    <w:rFonts w:ascii="Cambria Math" w:hAnsi="Cambria Math"/>
                  </w:rPr>
                  <m:t>s</m:t>
                </m:r>
              </m:e>
              <m:sub>
                <m:r>
                  <m:rPr>
                    <m:sty m:val="p"/>
                  </m:rPr>
                  <w:rPr>
                    <w:rFonts w:ascii="Cambria Math" w:hAnsi="Cambria Math"/>
                  </w:rPr>
                  <m:t>h,c</m:t>
                </m:r>
              </m:sub>
            </m:sSub>
            <m:r>
              <w:rPr>
                <w:rFonts w:ascii="Cambria Math" w:hAnsi="Cambria Math"/>
              </w:rPr>
              <m:t xml:space="preserve"> </m:t>
            </m:r>
            <m:sSub>
              <m:sSubPr>
                <m:ctrlPr>
                  <w:rPr>
                    <w:rFonts w:ascii="Cambria Math" w:hAnsi="Cambria Math"/>
                    <w:i/>
                  </w:rPr>
                </m:ctrlPr>
              </m:sSubPr>
              <m:e>
                <m:r>
                  <w:rPr>
                    <w:rFonts w:ascii="Cambria Math" w:hAnsi="Cambria Math"/>
                  </w:rPr>
                  <m:t>V</m:t>
                </m:r>
              </m:e>
              <m:sub>
                <m:r>
                  <m:rPr>
                    <m:sty m:val="p"/>
                  </m:rPr>
                  <w:rPr>
                    <w:rFonts w:ascii="Cambria Math" w:hAnsi="Cambria Math"/>
                  </w:rPr>
                  <m:t>Ed,M</m:t>
                </m:r>
              </m:sub>
            </m:sSub>
          </m:e>
        </m:d>
        <m:r>
          <w:rPr>
            <w:rFonts w:ascii="Cambria Math" w:hAnsi="Cambria Math"/>
          </w:rPr>
          <m:t>+</m:t>
        </m:r>
        <m:sSub>
          <m:sSubPr>
            <m:ctrlPr>
              <w:rPr>
                <w:rFonts w:ascii="Cambria Math" w:hAnsi="Cambria Math"/>
                <w:i/>
              </w:rPr>
            </m:ctrlPr>
          </m:sSubPr>
          <m:e>
            <m:r>
              <w:rPr>
                <w:rFonts w:ascii="Cambria Math" w:hAnsi="Cambria Math"/>
              </w:rPr>
              <m:t>s</m:t>
            </m:r>
          </m:e>
          <m:sub>
            <m:r>
              <m:rPr>
                <m:sty m:val="p"/>
              </m:rPr>
              <w:rPr>
                <w:rFonts w:ascii="Cambria Math" w:hAnsi="Cambria Math"/>
              </w:rPr>
              <m:t>h,c</m:t>
            </m:r>
          </m:sub>
        </m:sSub>
        <m:r>
          <w:rPr>
            <w:rFonts w:ascii="Cambria Math" w:hAnsi="Cambria Math"/>
          </w:rPr>
          <m:t xml:space="preserve"> </m:t>
        </m:r>
        <m:sSub>
          <m:sSubPr>
            <m:ctrlPr>
              <w:rPr>
                <w:rFonts w:ascii="Cambria Math" w:hAnsi="Cambria Math"/>
                <w:i/>
              </w:rPr>
            </m:ctrlPr>
          </m:sSubPr>
          <m:e>
            <m:r>
              <w:rPr>
                <w:rFonts w:ascii="Cambria Math" w:hAnsi="Cambria Math"/>
              </w:rPr>
              <m:t>V</m:t>
            </m:r>
          </m:e>
          <m:sub>
            <m:r>
              <m:rPr>
                <m:sty m:val="p"/>
              </m:rPr>
              <w:rPr>
                <w:rFonts w:ascii="Cambria Math" w:hAnsi="Cambria Math"/>
              </w:rPr>
              <m:t>Ed,G</m:t>
            </m:r>
          </m:sub>
        </m:sSub>
      </m:oMath>
      <w:r w:rsidR="00D20C81" w:rsidRPr="00870D59">
        <w:tab/>
        <w:t>(</w:t>
      </w:r>
      <w:r w:rsidR="00D11185">
        <w:t>E</w:t>
      </w:r>
      <w:r w:rsidR="00D20C81" w:rsidRPr="00870D59">
        <w:t>.</w:t>
      </w:r>
      <w:r w:rsidR="00D11185">
        <w:t>1</w:t>
      </w:r>
      <w:r w:rsidR="00D20C81" w:rsidRPr="00870D59">
        <w:t>)</w:t>
      </w:r>
    </w:p>
    <w:p w14:paraId="1AB4E41D" w14:textId="1A5DF28C" w:rsidR="00D20C81" w:rsidRPr="001B2671" w:rsidRDefault="00675EBA" w:rsidP="00691F56">
      <w:pPr>
        <w:pStyle w:val="Text"/>
        <w:ind w:left="720"/>
      </w:pPr>
      <w:r>
        <w:t>where</w:t>
      </w:r>
      <w:r w:rsidR="009B2651">
        <w:t xml:space="preserve"> </w:t>
      </w:r>
      <w:r w:rsidR="009B2651" w:rsidRPr="009B2651">
        <w:t>other variables are as defined in 11.9.3(2)</w:t>
      </w:r>
      <w:r w:rsidR="009B2651">
        <w:t xml:space="preserve"> and</w:t>
      </w:r>
    </w:p>
    <w:tbl>
      <w:tblPr>
        <w:tblW w:w="8839" w:type="dxa"/>
        <w:tblInd w:w="800" w:type="dxa"/>
        <w:tblLook w:val="04A0" w:firstRow="1" w:lastRow="0" w:firstColumn="1" w:lastColumn="0" w:noHBand="0" w:noVBand="1"/>
      </w:tblPr>
      <w:tblGrid>
        <w:gridCol w:w="1275"/>
        <w:gridCol w:w="7564"/>
      </w:tblGrid>
      <w:tr w:rsidR="00D11185" w:rsidRPr="000F2AFF" w14:paraId="5F350DC7" w14:textId="77777777" w:rsidTr="00691F56">
        <w:tc>
          <w:tcPr>
            <w:tcW w:w="1275" w:type="dxa"/>
          </w:tcPr>
          <w:p w14:paraId="289FE46F" w14:textId="348D62E6" w:rsidR="00D11185" w:rsidRPr="00773100" w:rsidRDefault="009B5CEC" w:rsidP="00D11185">
            <w:pPr>
              <w:spacing w:after="60"/>
              <w:jc w:val="left"/>
              <w:rPr>
                <w:rFonts w:eastAsia="Times New Roman" w:cs="Cambria"/>
                <w:color w:val="000000" w:themeColor="text1"/>
                <w:szCs w:val="20"/>
                <w:lang w:eastAsia="fr-FR"/>
              </w:rPr>
            </w:pPr>
            <m:oMathPara>
              <m:oMathParaPr>
                <m:jc m:val="left"/>
              </m:oMathParaPr>
              <m:oMath>
                <m:sSub>
                  <m:sSubPr>
                    <m:ctrlPr>
                      <w:rPr>
                        <w:rFonts w:ascii="Cambria Math" w:hAnsi="Cambria Math"/>
                        <w:i/>
                      </w:rPr>
                    </m:ctrlPr>
                  </m:sSubPr>
                  <m:e>
                    <m:r>
                      <w:rPr>
                        <w:rFonts w:ascii="Cambria Math" w:hAnsi="Cambria Math"/>
                      </w:rPr>
                      <m:t>M</m:t>
                    </m:r>
                  </m:e>
                  <m:sub>
                    <m:r>
                      <m:rPr>
                        <m:sty m:val="p"/>
                      </m:rPr>
                      <w:rPr>
                        <w:rFonts w:ascii="Cambria Math" w:hAnsi="Cambria Math"/>
                      </w:rPr>
                      <m:t>con,Rd</m:t>
                    </m:r>
                  </m:sub>
                </m:sSub>
              </m:oMath>
            </m:oMathPara>
          </w:p>
        </w:tc>
        <w:tc>
          <w:tcPr>
            <w:tcW w:w="7564" w:type="dxa"/>
          </w:tcPr>
          <w:p w14:paraId="190B3D22" w14:textId="295BB257" w:rsidR="00D11185" w:rsidRPr="005C7E1C" w:rsidRDefault="00D11185" w:rsidP="00D11185">
            <w:pPr>
              <w:pStyle w:val="Listofsymbols"/>
              <w:tabs>
                <w:tab w:val="clear" w:pos="1134"/>
                <w:tab w:val="left" w:pos="1347"/>
              </w:tabs>
              <w:ind w:left="0" w:firstLine="0"/>
              <w:rPr>
                <w:rFonts w:eastAsia="Times New Roman"/>
                <w:szCs w:val="22"/>
              </w:rPr>
            </w:pPr>
            <w:r w:rsidRPr="00132C1E">
              <w:t>is the design resistance of the connection;</w:t>
            </w:r>
          </w:p>
        </w:tc>
      </w:tr>
      <w:tr w:rsidR="00D11185" w:rsidRPr="000F2AFF" w14:paraId="167BF744" w14:textId="77777777" w:rsidTr="00691F56">
        <w:tc>
          <w:tcPr>
            <w:tcW w:w="1275" w:type="dxa"/>
          </w:tcPr>
          <w:p w14:paraId="115E6FA0" w14:textId="1C9D8963" w:rsidR="00D11185" w:rsidRPr="00773100" w:rsidRDefault="00D11185" w:rsidP="00D11185">
            <w:pPr>
              <w:spacing w:after="60"/>
              <w:jc w:val="left"/>
              <w:rPr>
                <w:rFonts w:eastAsia="Times New Roman" w:cs="Cambria"/>
                <w:color w:val="000000" w:themeColor="text1"/>
                <w:szCs w:val="20"/>
                <w:lang w:eastAsia="fr-FR"/>
              </w:rPr>
            </w:pPr>
            <w:r w:rsidRPr="00D1484A">
              <w:rPr>
                <w:i/>
                <w:iCs/>
              </w:rPr>
              <w:t>M</w:t>
            </w:r>
            <w:r w:rsidRPr="007E6F67">
              <w:rPr>
                <w:vertAlign w:val="subscript"/>
              </w:rPr>
              <w:t>b,pl,</w:t>
            </w:r>
            <w:r w:rsidR="00107550">
              <w:rPr>
                <w:vertAlign w:val="subscript"/>
              </w:rPr>
              <w:t>R</w:t>
            </w:r>
            <w:r w:rsidRPr="007E6F67">
              <w:rPr>
                <w:vertAlign w:val="subscript"/>
              </w:rPr>
              <w:t>k</w:t>
            </w:r>
          </w:p>
        </w:tc>
        <w:tc>
          <w:tcPr>
            <w:tcW w:w="7564" w:type="dxa"/>
          </w:tcPr>
          <w:p w14:paraId="6EED08EA" w14:textId="5B763AD4" w:rsidR="00D11185" w:rsidRPr="005C7E1C" w:rsidRDefault="00D11185" w:rsidP="00D11185">
            <w:pPr>
              <w:pStyle w:val="Listofsymbols"/>
              <w:tabs>
                <w:tab w:val="clear" w:pos="1134"/>
                <w:tab w:val="left" w:pos="1347"/>
              </w:tabs>
              <w:ind w:left="0" w:firstLine="0"/>
              <w:rPr>
                <w:rFonts w:eastAsia="Times New Roman"/>
                <w:szCs w:val="22"/>
              </w:rPr>
            </w:pPr>
            <w:r w:rsidRPr="00132C1E">
              <w:t xml:space="preserve">is the </w:t>
            </w:r>
            <w:r w:rsidR="00107550">
              <w:t>characteristic value of the resistance to bending</w:t>
            </w:r>
            <w:r w:rsidRPr="00132C1E">
              <w:t xml:space="preserve"> moment of the beam framing the joint</w:t>
            </w:r>
            <w:r w:rsidR="00107550" w:rsidRPr="004B502C">
              <w:rPr>
                <w:rFonts w:eastAsia="Cambria"/>
                <w:szCs w:val="22"/>
              </w:rPr>
              <w:t>;</w:t>
            </w:r>
          </w:p>
        </w:tc>
      </w:tr>
    </w:tbl>
    <w:p w14:paraId="25C35485" w14:textId="6961D277" w:rsidR="00D11185" w:rsidRPr="009B2651" w:rsidRDefault="00D11185" w:rsidP="00691F56">
      <w:pPr>
        <w:pStyle w:val="Notetext"/>
        <w:spacing w:before="120"/>
        <w:ind w:left="908"/>
      </w:pPr>
      <w:r w:rsidRPr="005C7237">
        <w:t>NOTE</w:t>
      </w:r>
      <w:r w:rsidRPr="005C7237">
        <w:tab/>
        <w:t xml:space="preserve">The partial factor </w:t>
      </w:r>
      <w:r w:rsidRPr="005C7237">
        <w:rPr>
          <w:i/>
          <w:iCs/>
        </w:rPr>
        <w:t>γ</w:t>
      </w:r>
      <w:r w:rsidRPr="005C7237">
        <w:rPr>
          <w:vertAlign w:val="subscript"/>
        </w:rPr>
        <w:t>M0</w:t>
      </w:r>
      <w:r w:rsidRPr="005C7237">
        <w:t xml:space="preserve"> for the nominal resistance of cross-sections is defined in </w:t>
      </w:r>
      <w:r w:rsidR="00867476">
        <w:t>EN 1993-1-1</w:t>
      </w:r>
      <w:r w:rsidRPr="005C7237">
        <w:t>:202</w:t>
      </w:r>
      <w:r w:rsidR="00867476">
        <w:t>2</w:t>
      </w:r>
      <w:r w:rsidRPr="009B2651">
        <w:t>, 8.1.</w:t>
      </w:r>
    </w:p>
    <w:tbl>
      <w:tblPr>
        <w:tblW w:w="0" w:type="auto"/>
        <w:tblInd w:w="800" w:type="dxa"/>
        <w:tblLook w:val="04A0" w:firstRow="1" w:lastRow="0" w:firstColumn="1" w:lastColumn="0" w:noHBand="0" w:noVBand="1"/>
      </w:tblPr>
      <w:tblGrid>
        <w:gridCol w:w="1275"/>
        <w:gridCol w:w="7310"/>
      </w:tblGrid>
      <w:tr w:rsidR="00D11185" w:rsidRPr="009B2651" w14:paraId="29538E46" w14:textId="77777777" w:rsidTr="00691F56">
        <w:tc>
          <w:tcPr>
            <w:tcW w:w="1275" w:type="dxa"/>
          </w:tcPr>
          <w:p w14:paraId="2CC9A1BA" w14:textId="7AB3D621" w:rsidR="00D11185" w:rsidRPr="009B2651" w:rsidRDefault="00D11185" w:rsidP="00D11185">
            <w:pPr>
              <w:spacing w:after="60"/>
              <w:jc w:val="left"/>
              <w:rPr>
                <w:rFonts w:eastAsia="Times New Roman" w:cs="Cambria"/>
                <w:color w:val="000000" w:themeColor="text1"/>
                <w:szCs w:val="20"/>
                <w:lang w:eastAsia="fr-FR"/>
              </w:rPr>
            </w:pPr>
            <w:r w:rsidRPr="009B2651">
              <w:rPr>
                <w:i/>
                <w:iCs/>
              </w:rPr>
              <w:t>s</w:t>
            </w:r>
            <w:r w:rsidRPr="009B2651">
              <w:rPr>
                <w:vertAlign w:val="subscript"/>
              </w:rPr>
              <w:t>h,c</w:t>
            </w:r>
          </w:p>
        </w:tc>
        <w:tc>
          <w:tcPr>
            <w:tcW w:w="7310" w:type="dxa"/>
          </w:tcPr>
          <w:p w14:paraId="4E4E34FC" w14:textId="79DCF295" w:rsidR="00D11185" w:rsidRPr="009B2651" w:rsidRDefault="00D11185" w:rsidP="00D11185">
            <w:pPr>
              <w:pStyle w:val="Listofsymbols"/>
              <w:tabs>
                <w:tab w:val="clear" w:pos="1134"/>
                <w:tab w:val="left" w:pos="1347"/>
              </w:tabs>
              <w:ind w:left="0" w:firstLine="0"/>
              <w:rPr>
                <w:rFonts w:eastAsia="Times New Roman"/>
                <w:szCs w:val="22"/>
              </w:rPr>
            </w:pPr>
            <w:r w:rsidRPr="009B2651">
              <w:t>is the distance between the centre of the expected plastic hinge and the connection (i.e. the column face), see Figure E.1;</w:t>
            </w:r>
          </w:p>
        </w:tc>
      </w:tr>
    </w:tbl>
    <w:p w14:paraId="1A8A5D8B" w14:textId="77777777" w:rsidR="00D11185" w:rsidRPr="00132C1E" w:rsidRDefault="00D11185" w:rsidP="00691F56">
      <w:pPr>
        <w:pStyle w:val="List2"/>
        <w:numPr>
          <w:ilvl w:val="0"/>
          <w:numId w:val="223"/>
        </w:numPr>
        <w:spacing w:before="120" w:after="240" w:line="230" w:lineRule="atLeast"/>
        <w:contextualSpacing w:val="0"/>
      </w:pPr>
      <w:r w:rsidRPr="00132C1E">
        <w:t xml:space="preserve">Equal strength or “balance yielding” connections, where the plastic deformations occur in both the beam and the connection, should be designed for the nominal strength of the plastic hinge in its location as given in </w:t>
      </w:r>
      <w:r w:rsidRPr="00D11185">
        <w:t>Formula (E.2). Bo</w:t>
      </w:r>
      <w:r w:rsidRPr="00132C1E">
        <w:t>th the members and the connections should be ductile.</w:t>
      </w:r>
    </w:p>
    <w:p w14:paraId="7E175FCB" w14:textId="70A2435A" w:rsidR="00D20C81" w:rsidRDefault="009B5CEC" w:rsidP="00691F56">
      <w:pPr>
        <w:pStyle w:val="Formula"/>
        <w:spacing w:before="240"/>
        <w:ind w:left="720"/>
      </w:pPr>
      <m:oMath>
        <m:sSub>
          <m:sSubPr>
            <m:ctrlPr>
              <w:rPr>
                <w:rFonts w:ascii="Cambria Math" w:hAnsi="Cambria Math"/>
              </w:rPr>
            </m:ctrlPr>
          </m:sSubPr>
          <m:e>
            <m:r>
              <w:rPr>
                <w:rFonts w:ascii="Cambria Math" w:hAnsi="Cambria Math"/>
              </w:rPr>
              <m:t>M</m:t>
            </m:r>
          </m:e>
          <m:sub>
            <m:r>
              <m:rPr>
                <m:sty m:val="p"/>
              </m:rPr>
              <w:rPr>
                <w:rFonts w:ascii="Cambria Math" w:hAnsi="Cambria Math"/>
              </w:rPr>
              <m:t>con,Rd</m:t>
            </m:r>
          </m:sub>
        </m:sSub>
        <m:r>
          <w:rPr>
            <w:rFonts w:ascii="Cambria Math" w:hAnsi="Cambria Math"/>
          </w:rPr>
          <m:t>≥</m:t>
        </m:r>
        <m:d>
          <m:dPr>
            <m:ctrlPr>
              <w:rPr>
                <w:rFonts w:ascii="Cambria Math" w:hAnsi="Cambria Math"/>
              </w:rPr>
            </m:ctrlPr>
          </m:dPr>
          <m:e>
            <m:sSub>
              <m:sSubPr>
                <m:ctrlPr>
                  <w:rPr>
                    <w:rFonts w:ascii="Cambria Math" w:hAnsi="Cambria Math"/>
                  </w:rPr>
                </m:ctrlPr>
              </m:sSubPr>
              <m:e>
                <m:r>
                  <w:rPr>
                    <w:rFonts w:ascii="Cambria Math" w:hAnsi="Cambria Math"/>
                  </w:rPr>
                  <m:t>M</m:t>
                </m:r>
              </m:e>
              <m:sub>
                <m:r>
                  <m:rPr>
                    <m:sty m:val="p"/>
                  </m:rPr>
                  <w:rPr>
                    <w:rFonts w:ascii="Cambria Math" w:hAnsi="Cambria Math"/>
                  </w:rPr>
                  <m:t>b,pl,Rk</m:t>
                </m:r>
              </m:sub>
            </m:sSub>
            <m:r>
              <w:rPr>
                <w:rFonts w:ascii="Cambria Math" w:hAnsi="Cambria Math"/>
              </w:rPr>
              <m:t>+</m:t>
            </m:r>
            <m:sSub>
              <m:sSubPr>
                <m:ctrlPr>
                  <w:rPr>
                    <w:rFonts w:ascii="Cambria Math" w:hAnsi="Cambria Math"/>
                  </w:rPr>
                </m:ctrlPr>
              </m:sSubPr>
              <m:e>
                <m:r>
                  <w:rPr>
                    <w:rFonts w:ascii="Cambria Math" w:hAnsi="Cambria Math"/>
                  </w:rPr>
                  <m:t>s</m:t>
                </m:r>
              </m:e>
              <m:sub>
                <m:r>
                  <m:rPr>
                    <m:sty m:val="p"/>
                  </m:rPr>
                  <w:rPr>
                    <w:rFonts w:ascii="Cambria Math" w:hAnsi="Cambria Math"/>
                  </w:rPr>
                  <m:t>h,c</m:t>
                </m:r>
              </m:sub>
            </m:sSub>
            <m:r>
              <w:rPr>
                <w:rFonts w:ascii="Cambria Math" w:hAnsi="Cambria Math"/>
              </w:rPr>
              <m:t xml:space="preserve"> </m:t>
            </m:r>
            <m:sSub>
              <m:sSubPr>
                <m:ctrlPr>
                  <w:rPr>
                    <w:rFonts w:ascii="Cambria Math" w:hAnsi="Cambria Math"/>
                  </w:rPr>
                </m:ctrlPr>
              </m:sSubPr>
              <m:e>
                <m:r>
                  <w:rPr>
                    <w:rFonts w:ascii="Cambria Math" w:hAnsi="Cambria Math"/>
                  </w:rPr>
                  <m:t>V</m:t>
                </m:r>
              </m:e>
              <m:sub>
                <m:r>
                  <m:rPr>
                    <m:sty m:val="p"/>
                  </m:rPr>
                  <w:rPr>
                    <w:rFonts w:ascii="Cambria Math" w:hAnsi="Cambria Math"/>
                  </w:rPr>
                  <m:t>Ed,M</m:t>
                </m:r>
              </m:sub>
            </m:sSub>
          </m:e>
        </m:d>
        <m:r>
          <w:rPr>
            <w:rFonts w:ascii="Cambria Math" w:hAnsi="Cambria Math"/>
          </w:rPr>
          <m:t>+</m:t>
        </m:r>
        <m:sSub>
          <m:sSubPr>
            <m:ctrlPr>
              <w:rPr>
                <w:rFonts w:ascii="Cambria Math" w:hAnsi="Cambria Math"/>
              </w:rPr>
            </m:ctrlPr>
          </m:sSubPr>
          <m:e>
            <m:r>
              <w:rPr>
                <w:rFonts w:ascii="Cambria Math" w:hAnsi="Cambria Math"/>
              </w:rPr>
              <m:t>s</m:t>
            </m:r>
          </m:e>
          <m:sub>
            <m:r>
              <m:rPr>
                <m:sty m:val="p"/>
              </m:rPr>
              <w:rPr>
                <w:rFonts w:ascii="Cambria Math" w:hAnsi="Cambria Math"/>
              </w:rPr>
              <m:t>h,c</m:t>
            </m:r>
          </m:sub>
        </m:sSub>
        <m:r>
          <w:rPr>
            <w:rFonts w:ascii="Cambria Math" w:hAnsi="Cambria Math"/>
          </w:rPr>
          <m:t xml:space="preserve"> </m:t>
        </m:r>
        <m:sSub>
          <m:sSubPr>
            <m:ctrlPr>
              <w:rPr>
                <w:rFonts w:ascii="Cambria Math" w:hAnsi="Cambria Math"/>
              </w:rPr>
            </m:ctrlPr>
          </m:sSubPr>
          <m:e>
            <m:r>
              <w:rPr>
                <w:rFonts w:ascii="Cambria Math" w:hAnsi="Cambria Math"/>
              </w:rPr>
              <m:t>V</m:t>
            </m:r>
          </m:e>
          <m:sub>
            <m:r>
              <m:rPr>
                <m:sty m:val="p"/>
              </m:rPr>
              <w:rPr>
                <w:rFonts w:ascii="Cambria Math" w:hAnsi="Cambria Math"/>
              </w:rPr>
              <m:t>Ed,G</m:t>
            </m:r>
          </m:sub>
        </m:sSub>
      </m:oMath>
      <w:r w:rsidR="00D11185">
        <w:t xml:space="preserve"> </w:t>
      </w:r>
      <w:r w:rsidR="00D20C81" w:rsidRPr="00870D59">
        <w:tab/>
        <w:t>(</w:t>
      </w:r>
      <w:r w:rsidR="00D11185">
        <w:t>E</w:t>
      </w:r>
      <w:r w:rsidR="00D20C81" w:rsidRPr="00870D59">
        <w:t>.</w:t>
      </w:r>
      <w:r w:rsidR="00D11185">
        <w:t>2</w:t>
      </w:r>
      <w:r w:rsidR="00D20C81" w:rsidRPr="00870D59">
        <w:t>)</w:t>
      </w:r>
    </w:p>
    <w:p w14:paraId="2DAA1A82" w14:textId="77777777" w:rsidR="00D11185" w:rsidRPr="00FD17CF" w:rsidRDefault="00D11185" w:rsidP="00691F56">
      <w:pPr>
        <w:pStyle w:val="Notetext"/>
        <w:tabs>
          <w:tab w:val="left" w:pos="1560"/>
        </w:tabs>
        <w:ind w:left="720"/>
      </w:pPr>
      <w:r w:rsidRPr="00D1484A">
        <w:t>NOTE</w:t>
      </w:r>
      <w:r w:rsidRPr="00D1484A">
        <w:tab/>
      </w:r>
      <w:r w:rsidRPr="007E6F67">
        <w:t xml:space="preserve">Due to variability of material characteristics and strain hardening in the connection and in other parts of the structure, plastic deformations </w:t>
      </w:r>
      <w:r w:rsidRPr="00FD17CF">
        <w:t xml:space="preserve">can occur in the connection and/or the column web panel. </w:t>
      </w:r>
    </w:p>
    <w:p w14:paraId="71C7B993" w14:textId="131D1E7A" w:rsidR="00D11185" w:rsidRDefault="00D11185" w:rsidP="0080187E">
      <w:pPr>
        <w:pStyle w:val="List2"/>
        <w:numPr>
          <w:ilvl w:val="0"/>
          <w:numId w:val="223"/>
        </w:numPr>
        <w:spacing w:before="0" w:after="240" w:line="230" w:lineRule="atLeast"/>
        <w:contextualSpacing w:val="0"/>
      </w:pPr>
      <w:r w:rsidRPr="00E05E29">
        <w:t xml:space="preserve">Partial </w:t>
      </w:r>
      <w:r w:rsidRPr="00F801CE">
        <w:t>strength “</w:t>
      </w:r>
      <w:r w:rsidRPr="00E05E29">
        <w:t xml:space="preserve">yielding” connections, where the </w:t>
      </w:r>
      <w:r w:rsidRPr="00196951">
        <w:t>plastic deformations are local</w:t>
      </w:r>
      <w:r w:rsidR="00E10A24">
        <w:t>ize</w:t>
      </w:r>
      <w:r w:rsidRPr="00196951">
        <w:t xml:space="preserve">d in the connection, should be designed for the action effects in the seismic design situation as given in </w:t>
      </w:r>
      <w:r w:rsidRPr="00D11185">
        <w:t>Formula (E.3).</w:t>
      </w:r>
    </w:p>
    <w:p w14:paraId="66EE9C86" w14:textId="3A156434" w:rsidR="00BF7E76" w:rsidRDefault="009B5CEC" w:rsidP="00691F56">
      <w:pPr>
        <w:pStyle w:val="Formula"/>
        <w:spacing w:before="240"/>
        <w:ind w:left="720"/>
      </w:pPr>
      <m:oMath>
        <m:f>
          <m:fPr>
            <m:ctrlPr>
              <w:rPr>
                <w:rFonts w:ascii="Cambria Math" w:hAnsi="Cambria Math"/>
              </w:rPr>
            </m:ctrlPr>
          </m:fPr>
          <m:num>
            <m:r>
              <w:rPr>
                <w:rFonts w:ascii="Cambria Math" w:hAnsi="Cambria Math"/>
              </w:rPr>
              <m:t>1</m:t>
            </m:r>
          </m:num>
          <m:den>
            <m:sSub>
              <m:sSubPr>
                <m:ctrlPr>
                  <w:rPr>
                    <w:rFonts w:ascii="Cambria Math" w:hAnsi="Cambria Math"/>
                  </w:rPr>
                </m:ctrlPr>
              </m:sSubPr>
              <m:e>
                <m:r>
                  <w:rPr>
                    <w:rFonts w:ascii="Cambria Math" w:hAnsi="Cambria Math"/>
                  </w:rPr>
                  <m:t>ω</m:t>
                </m:r>
              </m:e>
              <m:sub>
                <m:r>
                  <m:rPr>
                    <m:sty m:val="p"/>
                  </m:rPr>
                  <w:rPr>
                    <w:rFonts w:ascii="Cambria Math" w:hAnsi="Cambria Math"/>
                  </w:rPr>
                  <m:t>rm</m:t>
                </m:r>
              </m:sub>
            </m:sSub>
          </m:den>
        </m:f>
        <m:d>
          <m:dPr>
            <m:begChr m:val="["/>
            <m:endChr m:val="]"/>
            <m:ctrlPr>
              <w:rPr>
                <w:rFonts w:ascii="Cambria Math" w:hAnsi="Cambria Math"/>
              </w:rPr>
            </m:ctrlPr>
          </m:dPr>
          <m:e>
            <m:d>
              <m:dPr>
                <m:ctrlPr>
                  <w:rPr>
                    <w:rFonts w:ascii="Cambria Math" w:hAnsi="Cambria Math"/>
                  </w:rPr>
                </m:ctrlPr>
              </m:dPr>
              <m:e>
                <m:sSub>
                  <m:sSubPr>
                    <m:ctrlPr>
                      <w:rPr>
                        <w:rFonts w:ascii="Cambria Math" w:hAnsi="Cambria Math"/>
                      </w:rPr>
                    </m:ctrlPr>
                  </m:sSubPr>
                  <m:e>
                    <m:r>
                      <w:rPr>
                        <w:rFonts w:ascii="Cambria Math" w:hAnsi="Cambria Math"/>
                      </w:rPr>
                      <m:t>M</m:t>
                    </m:r>
                  </m:e>
                  <m:sub>
                    <m:r>
                      <m:rPr>
                        <m:sty m:val="p"/>
                      </m:rPr>
                      <w:rPr>
                        <w:rFonts w:ascii="Cambria Math" w:hAnsi="Cambria Math"/>
                      </w:rPr>
                      <m:t>b,pl,Rk</m:t>
                    </m:r>
                  </m:sub>
                </m:sSub>
                <m:r>
                  <w:rPr>
                    <w:rFonts w:ascii="Cambria Math" w:hAnsi="Cambria Math"/>
                  </w:rPr>
                  <m:t>+</m:t>
                </m:r>
                <m:sSub>
                  <m:sSubPr>
                    <m:ctrlPr>
                      <w:rPr>
                        <w:rFonts w:ascii="Cambria Math" w:hAnsi="Cambria Math"/>
                      </w:rPr>
                    </m:ctrlPr>
                  </m:sSubPr>
                  <m:e>
                    <m:r>
                      <w:rPr>
                        <w:rFonts w:ascii="Cambria Math" w:hAnsi="Cambria Math"/>
                      </w:rPr>
                      <m:t>s</m:t>
                    </m:r>
                  </m:e>
                  <m:sub>
                    <m:r>
                      <m:rPr>
                        <m:sty m:val="p"/>
                      </m:rPr>
                      <w:rPr>
                        <w:rFonts w:ascii="Cambria Math" w:hAnsi="Cambria Math"/>
                      </w:rPr>
                      <m:t>h,c</m:t>
                    </m:r>
                  </m:sub>
                </m:sSub>
                <m:r>
                  <w:rPr>
                    <w:rFonts w:ascii="Cambria Math" w:hAnsi="Cambria Math"/>
                  </w:rPr>
                  <m:t xml:space="preserve"> </m:t>
                </m:r>
                <m:sSub>
                  <m:sSubPr>
                    <m:ctrlPr>
                      <w:rPr>
                        <w:rFonts w:ascii="Cambria Math" w:hAnsi="Cambria Math"/>
                      </w:rPr>
                    </m:ctrlPr>
                  </m:sSubPr>
                  <m:e>
                    <m:r>
                      <w:rPr>
                        <w:rFonts w:ascii="Cambria Math" w:hAnsi="Cambria Math"/>
                      </w:rPr>
                      <m:t>V</m:t>
                    </m:r>
                  </m:e>
                  <m:sub>
                    <m:r>
                      <m:rPr>
                        <m:sty m:val="p"/>
                      </m:rPr>
                      <w:rPr>
                        <w:rFonts w:ascii="Cambria Math" w:hAnsi="Cambria Math"/>
                      </w:rPr>
                      <m:t>Ed,M</m:t>
                    </m:r>
                  </m:sub>
                </m:sSub>
              </m:e>
            </m:d>
            <m:r>
              <w:rPr>
                <w:rFonts w:ascii="Cambria Math" w:hAnsi="Cambria Math"/>
              </w:rPr>
              <m:t>+</m:t>
            </m:r>
            <m:sSub>
              <m:sSubPr>
                <m:ctrlPr>
                  <w:rPr>
                    <w:rFonts w:ascii="Cambria Math" w:hAnsi="Cambria Math"/>
                  </w:rPr>
                </m:ctrlPr>
              </m:sSubPr>
              <m:e>
                <m:r>
                  <w:rPr>
                    <w:rFonts w:ascii="Cambria Math" w:hAnsi="Cambria Math"/>
                  </w:rPr>
                  <m:t>s</m:t>
                </m:r>
              </m:e>
              <m:sub>
                <m:r>
                  <m:rPr>
                    <m:sty m:val="p"/>
                  </m:rPr>
                  <w:rPr>
                    <w:rFonts w:ascii="Cambria Math" w:hAnsi="Cambria Math"/>
                  </w:rPr>
                  <m:t>h,c</m:t>
                </m:r>
              </m:sub>
            </m:sSub>
            <m:r>
              <w:rPr>
                <w:rFonts w:ascii="Cambria Math" w:hAnsi="Cambria Math"/>
              </w:rPr>
              <m:t xml:space="preserve"> </m:t>
            </m:r>
            <m:sSub>
              <m:sSubPr>
                <m:ctrlPr>
                  <w:rPr>
                    <w:rFonts w:ascii="Cambria Math" w:hAnsi="Cambria Math"/>
                  </w:rPr>
                </m:ctrlPr>
              </m:sSubPr>
              <m:e>
                <m:r>
                  <w:rPr>
                    <w:rFonts w:ascii="Cambria Math" w:hAnsi="Cambria Math"/>
                  </w:rPr>
                  <m:t>V</m:t>
                </m:r>
              </m:e>
              <m:sub>
                <m:r>
                  <m:rPr>
                    <m:sty m:val="p"/>
                  </m:rPr>
                  <w:rPr>
                    <w:rFonts w:ascii="Cambria Math" w:hAnsi="Cambria Math"/>
                  </w:rPr>
                  <m:t>Ed,G</m:t>
                </m:r>
              </m:sub>
            </m:sSub>
          </m:e>
        </m:d>
        <m:sSub>
          <m:sSubPr>
            <m:ctrlPr>
              <w:rPr>
                <w:rFonts w:ascii="Cambria Math" w:hAnsi="Cambria Math"/>
              </w:rPr>
            </m:ctrlPr>
          </m:sSubPr>
          <m:e>
            <m:r>
              <w:rPr>
                <w:rFonts w:ascii="Cambria Math" w:hAnsi="Cambria Math"/>
              </w:rPr>
              <m:t>≤M</m:t>
            </m:r>
          </m:e>
          <m:sub>
            <m:r>
              <m:rPr>
                <m:sty m:val="p"/>
              </m:rPr>
              <w:rPr>
                <w:rFonts w:ascii="Cambria Math" w:hAnsi="Cambria Math"/>
              </w:rPr>
              <m:t>con,Rd</m:t>
            </m:r>
          </m:sub>
        </m:sSub>
        <m:r>
          <w:rPr>
            <w:rFonts w:ascii="Cambria Math" w:hAnsi="Cambria Math"/>
          </w:rPr>
          <m:t>&lt;</m:t>
        </m:r>
        <m:d>
          <m:dPr>
            <m:begChr m:val="["/>
            <m:endChr m:val="]"/>
            <m:ctrlPr>
              <w:rPr>
                <w:rFonts w:ascii="Cambria Math" w:hAnsi="Cambria Math"/>
              </w:rPr>
            </m:ctrlPr>
          </m:dPr>
          <m:e>
            <m:d>
              <m:dPr>
                <m:ctrlPr>
                  <w:rPr>
                    <w:rFonts w:ascii="Cambria Math" w:hAnsi="Cambria Math"/>
                  </w:rPr>
                </m:ctrlPr>
              </m:dPr>
              <m:e>
                <m:sSub>
                  <m:sSubPr>
                    <m:ctrlPr>
                      <w:rPr>
                        <w:rFonts w:ascii="Cambria Math" w:hAnsi="Cambria Math"/>
                      </w:rPr>
                    </m:ctrlPr>
                  </m:sSubPr>
                  <m:e>
                    <m:r>
                      <w:rPr>
                        <w:rFonts w:ascii="Cambria Math" w:hAnsi="Cambria Math"/>
                      </w:rPr>
                      <m:t>M</m:t>
                    </m:r>
                  </m:e>
                  <m:sub>
                    <m:r>
                      <m:rPr>
                        <m:sty m:val="p"/>
                      </m:rPr>
                      <w:rPr>
                        <w:rFonts w:ascii="Cambria Math" w:hAnsi="Cambria Math"/>
                      </w:rPr>
                      <m:t>b,pl,Rk</m:t>
                    </m:r>
                  </m:sub>
                </m:sSub>
                <m:r>
                  <w:rPr>
                    <w:rFonts w:ascii="Cambria Math" w:hAnsi="Cambria Math"/>
                  </w:rPr>
                  <m:t>+</m:t>
                </m:r>
                <m:sSub>
                  <m:sSubPr>
                    <m:ctrlPr>
                      <w:rPr>
                        <w:rFonts w:ascii="Cambria Math" w:hAnsi="Cambria Math"/>
                      </w:rPr>
                    </m:ctrlPr>
                  </m:sSubPr>
                  <m:e>
                    <m:r>
                      <w:rPr>
                        <w:rFonts w:ascii="Cambria Math" w:hAnsi="Cambria Math"/>
                      </w:rPr>
                      <m:t>s</m:t>
                    </m:r>
                  </m:e>
                  <m:sub>
                    <m:r>
                      <m:rPr>
                        <m:sty m:val="p"/>
                      </m:rPr>
                      <w:rPr>
                        <w:rFonts w:ascii="Cambria Math" w:hAnsi="Cambria Math"/>
                      </w:rPr>
                      <m:t>h,c</m:t>
                    </m:r>
                  </m:sub>
                </m:sSub>
                <m:r>
                  <w:rPr>
                    <w:rFonts w:ascii="Cambria Math" w:hAnsi="Cambria Math"/>
                  </w:rPr>
                  <m:t xml:space="preserve"> </m:t>
                </m:r>
                <m:sSub>
                  <m:sSubPr>
                    <m:ctrlPr>
                      <w:rPr>
                        <w:rFonts w:ascii="Cambria Math" w:hAnsi="Cambria Math"/>
                      </w:rPr>
                    </m:ctrlPr>
                  </m:sSubPr>
                  <m:e>
                    <m:r>
                      <w:rPr>
                        <w:rFonts w:ascii="Cambria Math" w:hAnsi="Cambria Math"/>
                      </w:rPr>
                      <m:t>V</m:t>
                    </m:r>
                  </m:e>
                  <m:sub>
                    <m:r>
                      <m:rPr>
                        <m:sty m:val="p"/>
                      </m:rPr>
                      <w:rPr>
                        <w:rFonts w:ascii="Cambria Math" w:hAnsi="Cambria Math"/>
                      </w:rPr>
                      <m:t>Ed,M</m:t>
                    </m:r>
                  </m:sub>
                </m:sSub>
              </m:e>
            </m:d>
            <m:r>
              <w:rPr>
                <w:rFonts w:ascii="Cambria Math" w:hAnsi="Cambria Math"/>
              </w:rPr>
              <m:t>+</m:t>
            </m:r>
            <m:sSub>
              <m:sSubPr>
                <m:ctrlPr>
                  <w:rPr>
                    <w:rFonts w:ascii="Cambria Math" w:hAnsi="Cambria Math"/>
                  </w:rPr>
                </m:ctrlPr>
              </m:sSubPr>
              <m:e>
                <m:r>
                  <w:rPr>
                    <w:rFonts w:ascii="Cambria Math" w:hAnsi="Cambria Math"/>
                  </w:rPr>
                  <m:t>s</m:t>
                </m:r>
              </m:e>
              <m:sub>
                <m:r>
                  <m:rPr>
                    <m:sty m:val="p"/>
                  </m:rPr>
                  <w:rPr>
                    <w:rFonts w:ascii="Cambria Math" w:hAnsi="Cambria Math"/>
                  </w:rPr>
                  <m:t>h,c</m:t>
                </m:r>
              </m:sub>
            </m:sSub>
            <m:r>
              <w:rPr>
                <w:rFonts w:ascii="Cambria Math" w:hAnsi="Cambria Math"/>
              </w:rPr>
              <m:t xml:space="preserve"> </m:t>
            </m:r>
            <m:sSub>
              <m:sSubPr>
                <m:ctrlPr>
                  <w:rPr>
                    <w:rFonts w:ascii="Cambria Math" w:hAnsi="Cambria Math"/>
                  </w:rPr>
                </m:ctrlPr>
              </m:sSubPr>
              <m:e>
                <m:r>
                  <w:rPr>
                    <w:rFonts w:ascii="Cambria Math" w:hAnsi="Cambria Math"/>
                  </w:rPr>
                  <m:t>V</m:t>
                </m:r>
              </m:e>
              <m:sub>
                <m:r>
                  <m:rPr>
                    <m:sty m:val="p"/>
                  </m:rPr>
                  <w:rPr>
                    <w:rFonts w:ascii="Cambria Math" w:hAnsi="Cambria Math"/>
                  </w:rPr>
                  <m:t>Ed,G</m:t>
                </m:r>
              </m:sub>
            </m:sSub>
          </m:e>
        </m:d>
      </m:oMath>
      <w:r w:rsidR="00BF7E76" w:rsidRPr="00870D59">
        <w:tab/>
        <w:t>(</w:t>
      </w:r>
      <w:r w:rsidR="00BF7E76">
        <w:t>E</w:t>
      </w:r>
      <w:r w:rsidR="00BF7E76" w:rsidRPr="00870D59">
        <w:t>.</w:t>
      </w:r>
      <w:r w:rsidR="00BF7E76">
        <w:t>3</w:t>
      </w:r>
      <w:r w:rsidR="00BF7E76" w:rsidRPr="00870D59">
        <w:t>)</w:t>
      </w:r>
    </w:p>
    <w:p w14:paraId="20C20AEA" w14:textId="37FE85CC" w:rsidR="00D11185" w:rsidRPr="00691F56" w:rsidRDefault="00BF7E76" w:rsidP="00691F56">
      <w:pPr>
        <w:pStyle w:val="Text"/>
        <w:ind w:left="720"/>
        <w:rPr>
          <w:i/>
        </w:rPr>
      </w:pPr>
      <w:r w:rsidRPr="009B2651">
        <w:t>where</w:t>
      </w:r>
      <w:r w:rsidRPr="009B2651">
        <w:rPr>
          <w:i/>
        </w:rPr>
        <w:t xml:space="preserve"> ω</w:t>
      </w:r>
      <w:r w:rsidRPr="009B2651">
        <w:rPr>
          <w:vertAlign w:val="subscript"/>
        </w:rPr>
        <w:t>rm</w:t>
      </w:r>
      <w:r w:rsidRPr="009B2651">
        <w:t xml:space="preserve"> is the material overstrength factor of the beam (see 11.2.2), but 1/</w:t>
      </w:r>
      <w:r w:rsidRPr="009B2651">
        <w:rPr>
          <w:i/>
        </w:rPr>
        <w:t>ω</w:t>
      </w:r>
      <w:r w:rsidRPr="009B2651">
        <w:rPr>
          <w:vertAlign w:val="subscript"/>
        </w:rPr>
        <w:t>rm</w:t>
      </w:r>
      <w:r w:rsidRPr="009B2651">
        <w:t xml:space="preserve"> should not be taken smaller than 0,7</w:t>
      </w:r>
      <w:r w:rsidR="00C70DBB" w:rsidRPr="009B2651">
        <w:t>5</w:t>
      </w:r>
      <w:r w:rsidRPr="009B2651">
        <w:t>.</w:t>
      </w:r>
    </w:p>
    <w:p w14:paraId="1A513A5B" w14:textId="038F75F8" w:rsidR="00BF7E76" w:rsidRPr="008C3C4B" w:rsidRDefault="00BF7E76" w:rsidP="0080187E">
      <w:pPr>
        <w:pStyle w:val="List2"/>
        <w:numPr>
          <w:ilvl w:val="0"/>
          <w:numId w:val="223"/>
        </w:numPr>
        <w:spacing w:before="0" w:after="240" w:line="230" w:lineRule="atLeast"/>
        <w:contextualSpacing w:val="0"/>
      </w:pPr>
      <w:r>
        <w:t xml:space="preserve">Partial </w:t>
      </w:r>
      <w:r w:rsidRPr="008C3C4B">
        <w:t>strength “friction” connections, where the dissipation mechanism is due to the slippage of the clamped friction surfaces between the lower part of the beam and its connection, should be designed for the action effects in the seismic design situation as given in Formula (E.4).</w:t>
      </w:r>
    </w:p>
    <w:p w14:paraId="6BA9380B" w14:textId="15B20307" w:rsidR="00BF7E76" w:rsidRDefault="00BF7E76" w:rsidP="00691F56">
      <w:pPr>
        <w:pStyle w:val="Formula"/>
        <w:spacing w:before="240"/>
        <w:ind w:left="720"/>
      </w:pPr>
      <m:oMath>
        <m:r>
          <w:rPr>
            <w:rFonts w:ascii="Cambria Math" w:hAnsi="Cambria Math"/>
          </w:rPr>
          <m:t>0,25</m:t>
        </m:r>
        <m:d>
          <m:dPr>
            <m:begChr m:val="["/>
            <m:endChr m:val="]"/>
            <m:ctrlPr>
              <w:rPr>
                <w:rFonts w:ascii="Cambria Math" w:hAnsi="Cambria Math"/>
              </w:rPr>
            </m:ctrlPr>
          </m:dPr>
          <m:e>
            <m:d>
              <m:dPr>
                <m:ctrlPr>
                  <w:rPr>
                    <w:rFonts w:ascii="Cambria Math" w:hAnsi="Cambria Math"/>
                  </w:rPr>
                </m:ctrlPr>
              </m:dPr>
              <m:e>
                <m:sSub>
                  <m:sSubPr>
                    <m:ctrlPr>
                      <w:rPr>
                        <w:rFonts w:ascii="Cambria Math" w:hAnsi="Cambria Math"/>
                      </w:rPr>
                    </m:ctrlPr>
                  </m:sSubPr>
                  <m:e>
                    <m:r>
                      <w:rPr>
                        <w:rFonts w:ascii="Cambria Math" w:hAnsi="Cambria Math"/>
                      </w:rPr>
                      <m:t>M</m:t>
                    </m:r>
                  </m:e>
                  <m:sub>
                    <m:r>
                      <m:rPr>
                        <m:sty m:val="p"/>
                      </m:rPr>
                      <w:rPr>
                        <w:rFonts w:ascii="Cambria Math" w:hAnsi="Cambria Math"/>
                      </w:rPr>
                      <m:t>b,pl,Rk</m:t>
                    </m:r>
                  </m:sub>
                </m:sSub>
                <m:r>
                  <w:rPr>
                    <w:rFonts w:ascii="Cambria Math" w:hAnsi="Cambria Math"/>
                  </w:rPr>
                  <m:t>+</m:t>
                </m:r>
                <m:sSub>
                  <m:sSubPr>
                    <m:ctrlPr>
                      <w:rPr>
                        <w:rFonts w:ascii="Cambria Math" w:hAnsi="Cambria Math"/>
                      </w:rPr>
                    </m:ctrlPr>
                  </m:sSubPr>
                  <m:e>
                    <m:r>
                      <w:rPr>
                        <w:rFonts w:ascii="Cambria Math" w:hAnsi="Cambria Math"/>
                      </w:rPr>
                      <m:t>s</m:t>
                    </m:r>
                  </m:e>
                  <m:sub>
                    <m:r>
                      <m:rPr>
                        <m:sty m:val="p"/>
                      </m:rPr>
                      <w:rPr>
                        <w:rFonts w:ascii="Cambria Math" w:hAnsi="Cambria Math"/>
                      </w:rPr>
                      <m:t>h,c</m:t>
                    </m:r>
                  </m:sub>
                </m:sSub>
                <m:r>
                  <w:rPr>
                    <w:rFonts w:ascii="Cambria Math" w:hAnsi="Cambria Math"/>
                  </w:rPr>
                  <m:t xml:space="preserve"> </m:t>
                </m:r>
                <m:sSub>
                  <m:sSubPr>
                    <m:ctrlPr>
                      <w:rPr>
                        <w:rFonts w:ascii="Cambria Math" w:hAnsi="Cambria Math"/>
                      </w:rPr>
                    </m:ctrlPr>
                  </m:sSubPr>
                  <m:e>
                    <m:r>
                      <w:rPr>
                        <w:rFonts w:ascii="Cambria Math" w:hAnsi="Cambria Math"/>
                      </w:rPr>
                      <m:t>V</m:t>
                    </m:r>
                  </m:e>
                  <m:sub>
                    <m:r>
                      <m:rPr>
                        <m:sty m:val="p"/>
                      </m:rPr>
                      <w:rPr>
                        <w:rFonts w:ascii="Cambria Math" w:hAnsi="Cambria Math"/>
                      </w:rPr>
                      <m:t>Ed,M</m:t>
                    </m:r>
                  </m:sub>
                </m:sSub>
              </m:e>
            </m:d>
            <m:r>
              <w:rPr>
                <w:rFonts w:ascii="Cambria Math" w:hAnsi="Cambria Math"/>
              </w:rPr>
              <m:t>"+"</m:t>
            </m:r>
            <m:sSub>
              <m:sSubPr>
                <m:ctrlPr>
                  <w:rPr>
                    <w:rFonts w:ascii="Cambria Math" w:hAnsi="Cambria Math"/>
                  </w:rPr>
                </m:ctrlPr>
              </m:sSubPr>
              <m:e>
                <m:r>
                  <w:rPr>
                    <w:rFonts w:ascii="Cambria Math" w:hAnsi="Cambria Math"/>
                  </w:rPr>
                  <m:t>s</m:t>
                </m:r>
              </m:e>
              <m:sub>
                <m:r>
                  <m:rPr>
                    <m:sty m:val="p"/>
                  </m:rPr>
                  <w:rPr>
                    <w:rFonts w:ascii="Cambria Math" w:hAnsi="Cambria Math"/>
                  </w:rPr>
                  <m:t>h,c</m:t>
                </m:r>
              </m:sub>
            </m:sSub>
            <m:r>
              <w:rPr>
                <w:rFonts w:ascii="Cambria Math" w:hAnsi="Cambria Math"/>
              </w:rPr>
              <m:t xml:space="preserve"> </m:t>
            </m:r>
            <m:sSub>
              <m:sSubPr>
                <m:ctrlPr>
                  <w:rPr>
                    <w:rFonts w:ascii="Cambria Math" w:hAnsi="Cambria Math"/>
                  </w:rPr>
                </m:ctrlPr>
              </m:sSubPr>
              <m:e>
                <m:r>
                  <w:rPr>
                    <w:rFonts w:ascii="Cambria Math" w:hAnsi="Cambria Math"/>
                  </w:rPr>
                  <m:t>V</m:t>
                </m:r>
              </m:e>
              <m:sub>
                <m:r>
                  <m:rPr>
                    <m:sty m:val="p"/>
                  </m:rPr>
                  <w:rPr>
                    <w:rFonts w:ascii="Cambria Math" w:hAnsi="Cambria Math"/>
                  </w:rPr>
                  <m:t>Ed,G</m:t>
                </m:r>
              </m:sub>
            </m:sSub>
          </m:e>
        </m:d>
        <m:sSub>
          <m:sSubPr>
            <m:ctrlPr>
              <w:rPr>
                <w:rFonts w:ascii="Cambria Math" w:hAnsi="Cambria Math"/>
              </w:rPr>
            </m:ctrlPr>
          </m:sSubPr>
          <m:e>
            <m:r>
              <w:rPr>
                <w:rFonts w:ascii="Cambria Math" w:hAnsi="Cambria Math"/>
              </w:rPr>
              <m:t>≤M</m:t>
            </m:r>
          </m:e>
          <m:sub>
            <m:r>
              <m:rPr>
                <m:sty m:val="p"/>
              </m:rPr>
              <w:rPr>
                <w:rFonts w:ascii="Cambria Math" w:hAnsi="Cambria Math"/>
              </w:rPr>
              <m:t>con,Rd</m:t>
            </m:r>
          </m:sub>
        </m:sSub>
        <m:r>
          <w:rPr>
            <w:rFonts w:ascii="Cambria Math" w:hAnsi="Cambria Math"/>
          </w:rPr>
          <m:t>≤</m:t>
        </m:r>
        <m:f>
          <m:fPr>
            <m:ctrlPr>
              <w:rPr>
                <w:rFonts w:ascii="Cambria Math" w:hAnsi="Cambria Math"/>
              </w:rPr>
            </m:ctrlPr>
          </m:fPr>
          <m:num>
            <m:r>
              <w:rPr>
                <w:rFonts w:ascii="Cambria Math" w:hAnsi="Cambria Math"/>
              </w:rPr>
              <m:t>1</m:t>
            </m:r>
          </m:num>
          <m:den>
            <m:sSub>
              <m:sSubPr>
                <m:ctrlPr>
                  <w:rPr>
                    <w:rFonts w:ascii="Cambria Math" w:hAnsi="Cambria Math"/>
                  </w:rPr>
                </m:ctrlPr>
              </m:sSubPr>
              <m:e>
                <m:r>
                  <w:rPr>
                    <w:rFonts w:ascii="Cambria Math" w:hAnsi="Cambria Math"/>
                  </w:rPr>
                  <m:t>ω</m:t>
                </m:r>
              </m:e>
              <m:sub>
                <m:r>
                  <m:rPr>
                    <m:sty m:val="p"/>
                  </m:rPr>
                  <w:rPr>
                    <w:rFonts w:ascii="Cambria Math" w:hAnsi="Cambria Math"/>
                  </w:rPr>
                  <m:t>rm</m:t>
                </m:r>
              </m:sub>
            </m:sSub>
          </m:den>
        </m:f>
        <m:d>
          <m:dPr>
            <m:begChr m:val="["/>
            <m:endChr m:val="]"/>
            <m:ctrlPr>
              <w:rPr>
                <w:rFonts w:ascii="Cambria Math" w:hAnsi="Cambria Math"/>
              </w:rPr>
            </m:ctrlPr>
          </m:dPr>
          <m:e>
            <m:d>
              <m:dPr>
                <m:ctrlPr>
                  <w:rPr>
                    <w:rFonts w:ascii="Cambria Math" w:hAnsi="Cambria Math"/>
                  </w:rPr>
                </m:ctrlPr>
              </m:dPr>
              <m:e>
                <m:sSub>
                  <m:sSubPr>
                    <m:ctrlPr>
                      <w:rPr>
                        <w:rFonts w:ascii="Cambria Math" w:hAnsi="Cambria Math"/>
                      </w:rPr>
                    </m:ctrlPr>
                  </m:sSubPr>
                  <m:e>
                    <m:r>
                      <w:rPr>
                        <w:rFonts w:ascii="Cambria Math" w:hAnsi="Cambria Math"/>
                      </w:rPr>
                      <m:t>M</m:t>
                    </m:r>
                  </m:e>
                  <m:sub>
                    <m:r>
                      <m:rPr>
                        <m:sty m:val="p"/>
                      </m:rPr>
                      <w:rPr>
                        <w:rFonts w:ascii="Cambria Math" w:hAnsi="Cambria Math"/>
                      </w:rPr>
                      <m:t>b,pl,Rk</m:t>
                    </m:r>
                  </m:sub>
                </m:sSub>
                <m:r>
                  <w:rPr>
                    <w:rFonts w:ascii="Cambria Math" w:hAnsi="Cambria Math"/>
                  </w:rPr>
                  <m:t>+</m:t>
                </m:r>
                <m:sSub>
                  <m:sSubPr>
                    <m:ctrlPr>
                      <w:rPr>
                        <w:rFonts w:ascii="Cambria Math" w:hAnsi="Cambria Math"/>
                      </w:rPr>
                    </m:ctrlPr>
                  </m:sSubPr>
                  <m:e>
                    <m:r>
                      <w:rPr>
                        <w:rFonts w:ascii="Cambria Math" w:hAnsi="Cambria Math"/>
                      </w:rPr>
                      <m:t>s</m:t>
                    </m:r>
                  </m:e>
                  <m:sub>
                    <m:r>
                      <m:rPr>
                        <m:sty m:val="p"/>
                      </m:rPr>
                      <w:rPr>
                        <w:rFonts w:ascii="Cambria Math" w:hAnsi="Cambria Math"/>
                      </w:rPr>
                      <m:t>h,c</m:t>
                    </m:r>
                  </m:sub>
                </m:sSub>
                <m:r>
                  <w:rPr>
                    <w:rFonts w:ascii="Cambria Math" w:hAnsi="Cambria Math"/>
                  </w:rPr>
                  <m:t xml:space="preserve"> </m:t>
                </m:r>
                <m:sSub>
                  <m:sSubPr>
                    <m:ctrlPr>
                      <w:rPr>
                        <w:rFonts w:ascii="Cambria Math" w:hAnsi="Cambria Math"/>
                      </w:rPr>
                    </m:ctrlPr>
                  </m:sSubPr>
                  <m:e>
                    <m:r>
                      <w:rPr>
                        <w:rFonts w:ascii="Cambria Math" w:hAnsi="Cambria Math"/>
                      </w:rPr>
                      <m:t>V</m:t>
                    </m:r>
                  </m:e>
                  <m:sub>
                    <m:r>
                      <m:rPr>
                        <m:sty m:val="p"/>
                      </m:rPr>
                      <w:rPr>
                        <w:rFonts w:ascii="Cambria Math" w:hAnsi="Cambria Math"/>
                      </w:rPr>
                      <m:t>Ed,M</m:t>
                    </m:r>
                  </m:sub>
                </m:sSub>
              </m:e>
            </m:d>
            <m:r>
              <w:rPr>
                <w:rFonts w:ascii="Cambria Math" w:hAnsi="Cambria Math"/>
              </w:rPr>
              <m:t>"+"</m:t>
            </m:r>
            <m:sSub>
              <m:sSubPr>
                <m:ctrlPr>
                  <w:rPr>
                    <w:rFonts w:ascii="Cambria Math" w:hAnsi="Cambria Math"/>
                  </w:rPr>
                </m:ctrlPr>
              </m:sSubPr>
              <m:e>
                <m:r>
                  <w:rPr>
                    <w:rFonts w:ascii="Cambria Math" w:hAnsi="Cambria Math"/>
                  </w:rPr>
                  <m:t>s</m:t>
                </m:r>
              </m:e>
              <m:sub>
                <m:r>
                  <m:rPr>
                    <m:sty m:val="p"/>
                  </m:rPr>
                  <w:rPr>
                    <w:rFonts w:ascii="Cambria Math" w:hAnsi="Cambria Math"/>
                  </w:rPr>
                  <m:t>h,c</m:t>
                </m:r>
              </m:sub>
            </m:sSub>
            <m:r>
              <w:rPr>
                <w:rFonts w:ascii="Cambria Math" w:hAnsi="Cambria Math"/>
              </w:rPr>
              <m:t xml:space="preserve"> </m:t>
            </m:r>
            <m:sSub>
              <m:sSubPr>
                <m:ctrlPr>
                  <w:rPr>
                    <w:rFonts w:ascii="Cambria Math" w:hAnsi="Cambria Math"/>
                  </w:rPr>
                </m:ctrlPr>
              </m:sSubPr>
              <m:e>
                <m:r>
                  <w:rPr>
                    <w:rFonts w:ascii="Cambria Math" w:hAnsi="Cambria Math"/>
                  </w:rPr>
                  <m:t>V</m:t>
                </m:r>
              </m:e>
              <m:sub>
                <m:r>
                  <m:rPr>
                    <m:sty m:val="p"/>
                  </m:rPr>
                  <w:rPr>
                    <w:rFonts w:ascii="Cambria Math" w:hAnsi="Cambria Math"/>
                  </w:rPr>
                  <m:t>Ed,G</m:t>
                </m:r>
              </m:sub>
            </m:sSub>
          </m:e>
        </m:d>
      </m:oMath>
      <w:r w:rsidRPr="00870D59">
        <w:tab/>
        <w:t>(</w:t>
      </w:r>
      <w:r>
        <w:t>E</w:t>
      </w:r>
      <w:r w:rsidRPr="00870D59">
        <w:t>.</w:t>
      </w:r>
      <w:r>
        <w:t>4</w:t>
      </w:r>
      <w:r w:rsidRPr="00870D59">
        <w:t>)</w:t>
      </w:r>
    </w:p>
    <w:p w14:paraId="55D7E88B" w14:textId="3A5FB648" w:rsidR="00BF7E76" w:rsidRPr="009B2651" w:rsidRDefault="00BF7E76" w:rsidP="00691F56">
      <w:pPr>
        <w:pStyle w:val="Text"/>
        <w:ind w:left="720"/>
      </w:pPr>
      <w:r w:rsidRPr="009B2651">
        <w:t>where</w:t>
      </w:r>
      <w:r w:rsidRPr="009B2651">
        <w:rPr>
          <w:i/>
        </w:rPr>
        <w:t xml:space="preserve"> ω</w:t>
      </w:r>
      <w:r w:rsidRPr="009B2651">
        <w:rPr>
          <w:vertAlign w:val="subscript"/>
        </w:rPr>
        <w:t>rm</w:t>
      </w:r>
      <w:r w:rsidRPr="009B2651">
        <w:t xml:space="preserve"> is the material overstrength factor of the beam (see 11.2.2).</w:t>
      </w:r>
    </w:p>
    <w:p w14:paraId="646C4CEB" w14:textId="67F79D65" w:rsidR="00BF7E76" w:rsidRPr="008C3C4B" w:rsidRDefault="00BF7E76" w:rsidP="0080187E">
      <w:pPr>
        <w:pStyle w:val="List2"/>
        <w:numPr>
          <w:ilvl w:val="0"/>
          <w:numId w:val="223"/>
        </w:numPr>
        <w:spacing w:before="0" w:after="240" w:line="230" w:lineRule="atLeast"/>
        <w:contextualSpacing w:val="0"/>
      </w:pPr>
      <w:r w:rsidRPr="007754C9">
        <w:t xml:space="preserve">Pinned </w:t>
      </w:r>
      <w:r w:rsidRPr="008C3C4B">
        <w:t xml:space="preserve">connections should comply with </w:t>
      </w:r>
      <w:r>
        <w:t>pr</w:t>
      </w:r>
      <w:r w:rsidR="00C30FF9">
        <w:t>EN 1</w:t>
      </w:r>
      <w:r>
        <w:t>99</w:t>
      </w:r>
      <w:r w:rsidRPr="008C3C4B">
        <w:t>3-1-8</w:t>
      </w:r>
      <w:r w:rsidR="006E3F06">
        <w:t>:2021, 5.5 and 5.7.3</w:t>
      </w:r>
      <w:r w:rsidRPr="008C3C4B">
        <w:t>.</w:t>
      </w:r>
    </w:p>
    <w:p w14:paraId="60DB8EC5" w14:textId="1EF3C8F0" w:rsidR="00D20C81" w:rsidRDefault="00BF7E76" w:rsidP="00724E4E">
      <w:pPr>
        <w:pStyle w:val="Clause"/>
      </w:pPr>
      <w:r w:rsidRPr="008C3C4B">
        <w:t>Members with partial-strength connections or friction connections should be designed for the ultimate expected resistance developed in the connection, including the effects of material overstrength and strain hardening and friction overstrength in accordance with Formula (E.5).</w:t>
      </w:r>
    </w:p>
    <w:p w14:paraId="4AAC338F" w14:textId="7DBD44F6" w:rsidR="00BF7E76" w:rsidRDefault="009B5CEC" w:rsidP="00BF7E76">
      <w:pPr>
        <w:pStyle w:val="Formula"/>
        <w:spacing w:before="240"/>
      </w:pPr>
      <m:oMath>
        <m:sSub>
          <m:sSubPr>
            <m:ctrlPr>
              <w:rPr>
                <w:rFonts w:ascii="Cambria Math" w:hAnsi="Cambria Math"/>
              </w:rPr>
            </m:ctrlPr>
          </m:sSubPr>
          <m:e>
            <m:r>
              <w:rPr>
                <w:rFonts w:ascii="Cambria Math" w:hAnsi="Cambria Math"/>
              </w:rPr>
              <m:t>M</m:t>
            </m:r>
          </m:e>
          <m:sub>
            <m:r>
              <m:rPr>
                <m:sty m:val="p"/>
              </m:rPr>
              <w:rPr>
                <w:rFonts w:ascii="Cambria Math" w:hAnsi="Cambria Math"/>
              </w:rPr>
              <m:t>pl,Rd</m:t>
            </m:r>
          </m:sub>
        </m:sSub>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sSub>
                  <m:sSubPr>
                    <m:ctrlPr>
                      <w:rPr>
                        <w:rFonts w:ascii="Cambria Math" w:hAnsi="Cambria Math"/>
                      </w:rPr>
                    </m:ctrlPr>
                  </m:sSubPr>
                  <m:e>
                    <m:sSub>
                      <m:sSubPr>
                        <m:ctrlPr>
                          <w:rPr>
                            <w:rFonts w:ascii="Cambria Math" w:hAnsi="Cambria Math"/>
                          </w:rPr>
                        </m:ctrlPr>
                      </m:sSubPr>
                      <m:e>
                        <m:r>
                          <w:rPr>
                            <w:rFonts w:ascii="Cambria Math" w:hAnsi="Cambria Math"/>
                          </w:rPr>
                          <m:t>ω</m:t>
                        </m:r>
                      </m:e>
                      <m:sub>
                        <m:r>
                          <m:rPr>
                            <m:sty m:val="p"/>
                          </m:rPr>
                          <w:rPr>
                            <w:rFonts w:ascii="Cambria Math" w:hAnsi="Cambria Math"/>
                          </w:rPr>
                          <m:t>rm</m:t>
                        </m:r>
                      </m:sub>
                    </m:sSub>
                    <m:r>
                      <w:rPr>
                        <w:rFonts w:ascii="Cambria Math" w:hAnsi="Cambria Math"/>
                      </w:rPr>
                      <m:t xml:space="preserve"> </m:t>
                    </m:r>
                    <m:sSub>
                      <m:sSubPr>
                        <m:ctrlPr>
                          <w:rPr>
                            <w:rFonts w:ascii="Cambria Math" w:hAnsi="Cambria Math"/>
                          </w:rPr>
                        </m:ctrlPr>
                      </m:sSubPr>
                      <m:e>
                        <m:r>
                          <w:rPr>
                            <w:rFonts w:ascii="Cambria Math" w:hAnsi="Cambria Math"/>
                          </w:rPr>
                          <m:t>ω</m:t>
                        </m:r>
                      </m:e>
                      <m:sub>
                        <m:r>
                          <w:rPr>
                            <w:rFonts w:ascii="Cambria Math" w:hAnsi="Cambria Math"/>
                          </w:rPr>
                          <m:t>s</m:t>
                        </m:r>
                        <m:r>
                          <m:rPr>
                            <m:sty m:val="p"/>
                          </m:rPr>
                          <w:rPr>
                            <w:rFonts w:ascii="Cambria Math" w:hAnsi="Cambria Math"/>
                          </w:rPr>
                          <m:t>h</m:t>
                        </m:r>
                      </m:sub>
                    </m:sSub>
                    <m:r>
                      <w:rPr>
                        <w:rFonts w:ascii="Cambria Math" w:hAnsi="Cambria Math"/>
                      </w:rPr>
                      <m:t xml:space="preserve"> M</m:t>
                    </m:r>
                  </m:e>
                  <m:sub>
                    <m:r>
                      <m:rPr>
                        <m:sty m:val="p"/>
                      </m:rPr>
                      <w:rPr>
                        <w:rFonts w:ascii="Cambria Math" w:hAnsi="Cambria Math"/>
                      </w:rPr>
                      <m:t>con,Rd</m:t>
                    </m:r>
                  </m:sub>
                </m:sSub>
                <m:r>
                  <w:rPr>
                    <w:rFonts w:ascii="Cambria Math" w:hAnsi="Cambria Math"/>
                  </w:rPr>
                  <m:t xml:space="preserve">               </m:t>
                </m:r>
                <m:r>
                  <m:rPr>
                    <m:sty m:val="p"/>
                  </m:rPr>
                  <w:rPr>
                    <w:rFonts w:ascii="Cambria Math" w:hAnsi="Cambria Math"/>
                  </w:rPr>
                  <m:t>for yielding connections</m:t>
                </m:r>
              </m:e>
              <m:e>
                <m:sSub>
                  <m:sSubPr>
                    <m:ctrlPr>
                      <w:rPr>
                        <w:rFonts w:ascii="Cambria Math" w:hAnsi="Cambria Math"/>
                      </w:rPr>
                    </m:ctrlPr>
                  </m:sSubPr>
                  <m:e>
                    <m:sSub>
                      <m:sSubPr>
                        <m:ctrlPr>
                          <w:rPr>
                            <w:rFonts w:ascii="Cambria Math" w:hAnsi="Cambria Math"/>
                          </w:rPr>
                        </m:ctrlPr>
                      </m:sSubPr>
                      <m:e>
                        <m:r>
                          <w:rPr>
                            <w:rFonts w:ascii="Cambria Math" w:hAnsi="Cambria Math"/>
                          </w:rPr>
                          <m:t>1.3ω</m:t>
                        </m:r>
                      </m:e>
                      <m:sub>
                        <m:r>
                          <m:rPr>
                            <m:sty m:val="p"/>
                          </m:rPr>
                          <w:rPr>
                            <w:rFonts w:ascii="Cambria Math" w:hAnsi="Cambria Math"/>
                          </w:rPr>
                          <m:t>sr</m:t>
                        </m:r>
                      </m:sub>
                    </m:sSub>
                    <m:r>
                      <w:rPr>
                        <w:rFonts w:ascii="Cambria Math" w:hAnsi="Cambria Math"/>
                      </w:rPr>
                      <m:t xml:space="preserve"> </m:t>
                    </m:r>
                    <m:sSub>
                      <m:sSubPr>
                        <m:ctrlPr>
                          <w:rPr>
                            <w:rFonts w:ascii="Cambria Math" w:hAnsi="Cambria Math"/>
                          </w:rPr>
                        </m:ctrlPr>
                      </m:sSubPr>
                      <m:e>
                        <m:r>
                          <w:rPr>
                            <w:rFonts w:ascii="Cambria Math" w:hAnsi="Cambria Math"/>
                          </w:rPr>
                          <m:t>ω</m:t>
                        </m:r>
                      </m:e>
                      <m:sub>
                        <m:r>
                          <m:rPr>
                            <m:sty m:val="p"/>
                          </m:rPr>
                          <w:rPr>
                            <w:rFonts w:ascii="Cambria Math" w:hAnsi="Cambria Math"/>
                          </w:rPr>
                          <m:t>μ</m:t>
                        </m:r>
                      </m:sub>
                    </m:sSub>
                    <m:r>
                      <w:rPr>
                        <w:rFonts w:ascii="Cambria Math" w:hAnsi="Cambria Math"/>
                      </w:rPr>
                      <m:t xml:space="preserve"> M</m:t>
                    </m:r>
                  </m:e>
                  <m:sub>
                    <m:r>
                      <m:rPr>
                        <m:sty m:val="p"/>
                      </m:rPr>
                      <w:rPr>
                        <w:rFonts w:ascii="Cambria Math" w:hAnsi="Cambria Math"/>
                      </w:rPr>
                      <m:t>con,Rd</m:t>
                    </m:r>
                  </m:sub>
                </m:sSub>
                <m:r>
                  <w:rPr>
                    <w:rFonts w:ascii="Cambria Math" w:hAnsi="Cambria Math"/>
                  </w:rPr>
                  <m:t xml:space="preserve">           </m:t>
                </m:r>
                <m:r>
                  <m:rPr>
                    <m:sty m:val="p"/>
                  </m:rPr>
                  <w:rPr>
                    <w:rFonts w:ascii="Cambria Math" w:hAnsi="Cambria Math"/>
                  </w:rPr>
                  <m:t>for friction connections</m:t>
                </m:r>
              </m:e>
            </m:eqArr>
          </m:e>
        </m:d>
      </m:oMath>
      <w:r w:rsidR="00BF7E76" w:rsidRPr="00870D59">
        <w:tab/>
        <w:t>(</w:t>
      </w:r>
      <w:r w:rsidR="00BF7E76">
        <w:t>E</w:t>
      </w:r>
      <w:r w:rsidR="00BF7E76" w:rsidRPr="00870D59">
        <w:t>.</w:t>
      </w:r>
      <w:r w:rsidR="00BF7E76">
        <w:t>5</w:t>
      </w:r>
      <w:r w:rsidR="00BF7E76" w:rsidRPr="00870D59">
        <w:t>)</w:t>
      </w:r>
    </w:p>
    <w:p w14:paraId="4B42DFA6" w14:textId="3AFA7FFB" w:rsidR="00BF7E76" w:rsidRPr="001B2671" w:rsidRDefault="00675EBA" w:rsidP="009B2651">
      <w:pPr>
        <w:pStyle w:val="Text"/>
      </w:pPr>
      <w:r>
        <w:lastRenderedPageBreak/>
        <w:t>where</w:t>
      </w:r>
    </w:p>
    <w:tbl>
      <w:tblPr>
        <w:tblW w:w="0" w:type="auto"/>
        <w:tblInd w:w="346" w:type="dxa"/>
        <w:tblLook w:val="04A0" w:firstRow="1" w:lastRow="0" w:firstColumn="1" w:lastColumn="0" w:noHBand="0" w:noVBand="1"/>
      </w:tblPr>
      <w:tblGrid>
        <w:gridCol w:w="1275"/>
        <w:gridCol w:w="7938"/>
      </w:tblGrid>
      <w:tr w:rsidR="00BF7E76" w:rsidRPr="000F2AFF" w14:paraId="4E99932B" w14:textId="77777777" w:rsidTr="00691F56">
        <w:tc>
          <w:tcPr>
            <w:tcW w:w="1275" w:type="dxa"/>
          </w:tcPr>
          <w:p w14:paraId="5F8AAFF4" w14:textId="160CACAA" w:rsidR="00BF7E76" w:rsidRPr="00773100" w:rsidRDefault="00BF7E76" w:rsidP="002061E5">
            <w:pPr>
              <w:spacing w:after="60"/>
              <w:jc w:val="left"/>
              <w:rPr>
                <w:rFonts w:eastAsia="Times New Roman" w:cs="Cambria"/>
                <w:color w:val="000000" w:themeColor="text1"/>
                <w:szCs w:val="20"/>
                <w:lang w:eastAsia="fr-FR"/>
              </w:rPr>
            </w:pPr>
            <w:r w:rsidRPr="008C3C4B">
              <w:rPr>
                <w:i/>
              </w:rPr>
              <w:t>M</w:t>
            </w:r>
            <w:r w:rsidRPr="008C3C4B">
              <w:rPr>
                <w:vertAlign w:val="subscript"/>
              </w:rPr>
              <w:t>pl,Rd</w:t>
            </w:r>
          </w:p>
        </w:tc>
        <w:tc>
          <w:tcPr>
            <w:tcW w:w="7938" w:type="dxa"/>
          </w:tcPr>
          <w:p w14:paraId="668D1CDF" w14:textId="07278E36" w:rsidR="00BF7E76" w:rsidRPr="005C7E1C" w:rsidRDefault="00BF7E76" w:rsidP="002061E5">
            <w:pPr>
              <w:pStyle w:val="Listofsymbols"/>
              <w:tabs>
                <w:tab w:val="clear" w:pos="1134"/>
                <w:tab w:val="left" w:pos="1347"/>
              </w:tabs>
              <w:ind w:left="0" w:firstLine="0"/>
              <w:rPr>
                <w:rFonts w:eastAsia="Times New Roman"/>
                <w:szCs w:val="22"/>
              </w:rPr>
            </w:pPr>
            <w:r w:rsidRPr="008C3C4B">
              <w:rPr>
                <w:szCs w:val="22"/>
              </w:rPr>
              <w:t>is the design moment resistance of the member framing the connection;</w:t>
            </w:r>
          </w:p>
        </w:tc>
      </w:tr>
      <w:tr w:rsidR="00BF7E76" w:rsidRPr="000F2AFF" w14:paraId="07B22212" w14:textId="77777777" w:rsidTr="00691F56">
        <w:tc>
          <w:tcPr>
            <w:tcW w:w="1275" w:type="dxa"/>
          </w:tcPr>
          <w:p w14:paraId="75E9E59E" w14:textId="2A407AE7" w:rsidR="00BF7E76" w:rsidRPr="00773100" w:rsidRDefault="00BF7E76" w:rsidP="002061E5">
            <w:pPr>
              <w:spacing w:after="60"/>
              <w:jc w:val="left"/>
              <w:rPr>
                <w:rFonts w:eastAsia="Times New Roman" w:cs="Cambria"/>
                <w:color w:val="000000" w:themeColor="text1"/>
                <w:szCs w:val="20"/>
                <w:lang w:eastAsia="fr-FR"/>
              </w:rPr>
            </w:pPr>
            <w:r w:rsidRPr="008C3C4B">
              <w:rPr>
                <w:i/>
              </w:rPr>
              <w:t>ω</w:t>
            </w:r>
            <w:r w:rsidRPr="008C3C4B">
              <w:rPr>
                <w:vertAlign w:val="subscript"/>
              </w:rPr>
              <w:t>rm</w:t>
            </w:r>
          </w:p>
        </w:tc>
        <w:tc>
          <w:tcPr>
            <w:tcW w:w="7938" w:type="dxa"/>
          </w:tcPr>
          <w:p w14:paraId="291AE439" w14:textId="4D93F77D" w:rsidR="00BF7E76" w:rsidRPr="005C7E1C" w:rsidRDefault="00BF7E76" w:rsidP="002061E5">
            <w:pPr>
              <w:pStyle w:val="Listofsymbols"/>
              <w:tabs>
                <w:tab w:val="clear" w:pos="1134"/>
                <w:tab w:val="left" w:pos="1347"/>
              </w:tabs>
              <w:ind w:left="0" w:firstLine="0"/>
              <w:rPr>
                <w:rFonts w:eastAsia="Times New Roman"/>
                <w:szCs w:val="22"/>
              </w:rPr>
            </w:pPr>
            <w:r w:rsidRPr="008C3C4B">
              <w:rPr>
                <w:szCs w:val="22"/>
              </w:rPr>
              <w:t xml:space="preserve">is the material </w:t>
            </w:r>
            <w:r w:rsidRPr="008C3C4B">
              <w:t xml:space="preserve">overstrength </w:t>
            </w:r>
            <w:r w:rsidRPr="008C3C4B">
              <w:rPr>
                <w:szCs w:val="22"/>
              </w:rPr>
              <w:t xml:space="preserve">factor of the yielding components of the connection (see </w:t>
            </w:r>
            <w:r w:rsidRPr="009B2651">
              <w:rPr>
                <w:szCs w:val="22"/>
              </w:rPr>
              <w:t>11.2.2);</w:t>
            </w:r>
          </w:p>
        </w:tc>
      </w:tr>
      <w:tr w:rsidR="00BF7E76" w:rsidRPr="000F2AFF" w14:paraId="0232B6B0" w14:textId="77777777" w:rsidTr="00691F56">
        <w:tc>
          <w:tcPr>
            <w:tcW w:w="1275" w:type="dxa"/>
          </w:tcPr>
          <w:p w14:paraId="06CBB982" w14:textId="70D7D693" w:rsidR="00BF7E76" w:rsidRPr="00773100" w:rsidRDefault="00BF7E76" w:rsidP="002061E5">
            <w:pPr>
              <w:spacing w:after="60"/>
              <w:jc w:val="left"/>
              <w:rPr>
                <w:rFonts w:eastAsia="Times New Roman" w:cs="Cambria"/>
                <w:color w:val="000000" w:themeColor="text1"/>
                <w:szCs w:val="20"/>
                <w:lang w:eastAsia="fr-FR"/>
              </w:rPr>
            </w:pPr>
            <w:r w:rsidRPr="008C3C4B">
              <w:rPr>
                <w:i/>
              </w:rPr>
              <w:t>ω</w:t>
            </w:r>
            <w:r w:rsidRPr="008C3C4B">
              <w:rPr>
                <w:vertAlign w:val="subscript"/>
              </w:rPr>
              <w:t>sh</w:t>
            </w:r>
          </w:p>
        </w:tc>
        <w:tc>
          <w:tcPr>
            <w:tcW w:w="7938" w:type="dxa"/>
          </w:tcPr>
          <w:p w14:paraId="50986A4C" w14:textId="3B517E66" w:rsidR="00BF7E76" w:rsidRPr="005C7E1C" w:rsidRDefault="00BF7E76" w:rsidP="002061E5">
            <w:pPr>
              <w:pStyle w:val="Listofsymbols"/>
              <w:tabs>
                <w:tab w:val="clear" w:pos="1134"/>
                <w:tab w:val="left" w:pos="1347"/>
              </w:tabs>
              <w:ind w:left="0" w:firstLine="0"/>
              <w:rPr>
                <w:rFonts w:eastAsia="Times New Roman"/>
                <w:szCs w:val="22"/>
              </w:rPr>
            </w:pPr>
            <w:r w:rsidRPr="008C3C4B">
              <w:rPr>
                <w:szCs w:val="22"/>
              </w:rPr>
              <w:t>is the hardening factor of the yielding components of the connection (see Table</w:t>
            </w:r>
            <w:r w:rsidR="00691F56">
              <w:rPr>
                <w:szCs w:val="22"/>
              </w:rPr>
              <w:t> </w:t>
            </w:r>
            <w:r w:rsidRPr="008C3C4B">
              <w:rPr>
                <w:szCs w:val="22"/>
              </w:rPr>
              <w:t>11.</w:t>
            </w:r>
            <w:r w:rsidR="00C606A0">
              <w:rPr>
                <w:szCs w:val="22"/>
              </w:rPr>
              <w:t>10</w:t>
            </w:r>
            <w:r w:rsidRPr="008C3C4B">
              <w:rPr>
                <w:szCs w:val="22"/>
              </w:rPr>
              <w:t>).</w:t>
            </w:r>
          </w:p>
        </w:tc>
      </w:tr>
      <w:tr w:rsidR="00BF7E76" w:rsidRPr="000F2AFF" w14:paraId="141478BE" w14:textId="77777777" w:rsidTr="00691F56">
        <w:tc>
          <w:tcPr>
            <w:tcW w:w="1275" w:type="dxa"/>
          </w:tcPr>
          <w:p w14:paraId="34A54034" w14:textId="5DF0BC74" w:rsidR="00BF7E76" w:rsidRPr="00773100" w:rsidRDefault="00BF7E76" w:rsidP="002061E5">
            <w:pPr>
              <w:spacing w:after="60"/>
              <w:jc w:val="left"/>
              <w:rPr>
                <w:rFonts w:eastAsia="Times New Roman" w:cs="Cambria"/>
                <w:color w:val="000000" w:themeColor="text1"/>
                <w:szCs w:val="20"/>
                <w:lang w:eastAsia="fr-FR"/>
              </w:rPr>
            </w:pPr>
            <w:r w:rsidRPr="008C3C4B">
              <w:rPr>
                <w:i/>
              </w:rPr>
              <w:t>ω</w:t>
            </w:r>
            <w:r w:rsidRPr="008C3C4B">
              <w:rPr>
                <w:vertAlign w:val="subscript"/>
              </w:rPr>
              <w:t>sr</w:t>
            </w:r>
          </w:p>
        </w:tc>
        <w:tc>
          <w:tcPr>
            <w:tcW w:w="7938" w:type="dxa"/>
          </w:tcPr>
          <w:p w14:paraId="429CCA94" w14:textId="2413EF51" w:rsidR="00BF7E76" w:rsidRPr="005C7E1C" w:rsidRDefault="00BF7E76" w:rsidP="002061E5">
            <w:pPr>
              <w:pStyle w:val="Listofsymbols"/>
              <w:tabs>
                <w:tab w:val="clear" w:pos="1134"/>
                <w:tab w:val="left" w:pos="1347"/>
              </w:tabs>
              <w:ind w:left="0" w:firstLine="0"/>
              <w:rPr>
                <w:rFonts w:eastAsia="Times New Roman"/>
                <w:szCs w:val="22"/>
              </w:rPr>
            </w:pPr>
            <w:r w:rsidRPr="008C3C4B">
              <w:rPr>
                <w:szCs w:val="22"/>
              </w:rPr>
              <w:t>is the strain rate overstrength factor of the friction components of the connection.</w:t>
            </w:r>
          </w:p>
        </w:tc>
      </w:tr>
      <w:tr w:rsidR="00BF7E76" w:rsidRPr="000F2AFF" w14:paraId="618C3CCC" w14:textId="77777777" w:rsidTr="00691F56">
        <w:tc>
          <w:tcPr>
            <w:tcW w:w="1275" w:type="dxa"/>
          </w:tcPr>
          <w:p w14:paraId="74AFB1A2" w14:textId="437C4401" w:rsidR="00BF7E76" w:rsidRPr="00773100" w:rsidRDefault="00BF7E76" w:rsidP="002061E5">
            <w:pPr>
              <w:spacing w:after="60"/>
              <w:jc w:val="left"/>
              <w:rPr>
                <w:rFonts w:eastAsia="Times New Roman" w:cs="Cambria"/>
                <w:color w:val="000000" w:themeColor="text1"/>
                <w:szCs w:val="20"/>
                <w:lang w:eastAsia="fr-FR"/>
              </w:rPr>
            </w:pPr>
            <w:r w:rsidRPr="008C3C4B">
              <w:rPr>
                <w:i/>
              </w:rPr>
              <w:t>ω</w:t>
            </w:r>
            <w:r w:rsidRPr="008C3C4B">
              <w:rPr>
                <w:vertAlign w:val="subscript"/>
              </w:rPr>
              <w:t>μ</w:t>
            </w:r>
          </w:p>
        </w:tc>
        <w:tc>
          <w:tcPr>
            <w:tcW w:w="7938" w:type="dxa"/>
          </w:tcPr>
          <w:p w14:paraId="133E8BF7" w14:textId="417F16B4" w:rsidR="00BF7E76" w:rsidRPr="005C7E1C" w:rsidRDefault="00BF7E76" w:rsidP="002061E5">
            <w:pPr>
              <w:pStyle w:val="Listofsymbols"/>
              <w:tabs>
                <w:tab w:val="clear" w:pos="1134"/>
                <w:tab w:val="left" w:pos="1347"/>
              </w:tabs>
              <w:ind w:left="0" w:firstLine="0"/>
              <w:rPr>
                <w:rFonts w:eastAsia="Times New Roman"/>
                <w:szCs w:val="22"/>
              </w:rPr>
            </w:pPr>
            <w:r w:rsidRPr="008C3C4B">
              <w:rPr>
                <w:szCs w:val="22"/>
              </w:rPr>
              <w:t>is the friction overstrength factor of the fri</w:t>
            </w:r>
            <w:r>
              <w:rPr>
                <w:szCs w:val="22"/>
              </w:rPr>
              <w:t>c</w:t>
            </w:r>
            <w:r w:rsidRPr="008C3C4B">
              <w:rPr>
                <w:szCs w:val="22"/>
              </w:rPr>
              <w:t>tion components of the connection.</w:t>
            </w:r>
          </w:p>
        </w:tc>
      </w:tr>
    </w:tbl>
    <w:p w14:paraId="7C6C7103" w14:textId="1181FDC4" w:rsidR="00E6211C" w:rsidRPr="00C01E45" w:rsidRDefault="00E6211C" w:rsidP="00E6211C">
      <w:pPr>
        <w:pStyle w:val="Notetext"/>
      </w:pPr>
      <w:r w:rsidRPr="00C01E45">
        <w:t>NOTE 1</w:t>
      </w:r>
      <w:r w:rsidRPr="00C01E45">
        <w:tab/>
        <w:t xml:space="preserve">The strain rate overstrength factor </w:t>
      </w:r>
      <w:r w:rsidRPr="00C01E45">
        <w:rPr>
          <w:i/>
        </w:rPr>
        <w:t>ω</w:t>
      </w:r>
      <w:r w:rsidRPr="00C01E45">
        <w:rPr>
          <w:szCs w:val="22"/>
          <w:vertAlign w:val="subscript"/>
        </w:rPr>
        <w:t>sr</w:t>
      </w:r>
      <w:r w:rsidRPr="00C01E45">
        <w:t xml:space="preserve"> of the friction components of the connection can be assumed equal to 1,1 unless a different value</w:t>
      </w:r>
      <w:r w:rsidR="00107550">
        <w:t xml:space="preserve"> of </w:t>
      </w:r>
      <w:r w:rsidR="00107550" w:rsidRPr="00C01E45">
        <w:rPr>
          <w:i/>
        </w:rPr>
        <w:t>ω</w:t>
      </w:r>
      <w:r w:rsidR="00107550" w:rsidRPr="00C01E45">
        <w:rPr>
          <w:szCs w:val="22"/>
          <w:vertAlign w:val="subscript"/>
        </w:rPr>
        <w:t>sr</w:t>
      </w:r>
      <w:r w:rsidRPr="00C01E45">
        <w:t xml:space="preserve"> result from specific experimental tests</w:t>
      </w:r>
      <w:r w:rsidR="00107550">
        <w:t xml:space="preserve"> realized and processed as described in prCEN/TS</w:t>
      </w:r>
      <w:r w:rsidR="009B2651">
        <w:t> </w:t>
      </w:r>
      <w:r w:rsidR="00107550">
        <w:t>1998-</w:t>
      </w:r>
      <w:r w:rsidR="00460A67">
        <w:t>1-101</w:t>
      </w:r>
      <w:r w:rsidR="0026060E">
        <w:t>.</w:t>
      </w:r>
    </w:p>
    <w:p w14:paraId="67388C5B" w14:textId="3896DD71" w:rsidR="00E6211C" w:rsidRPr="00C01E45" w:rsidRDefault="00E6211C" w:rsidP="00E6211C">
      <w:pPr>
        <w:pStyle w:val="Notetext"/>
      </w:pPr>
      <w:r w:rsidRPr="00C01E45">
        <w:t>NOTE 2</w:t>
      </w:r>
      <w:r w:rsidRPr="00C01E45">
        <w:tab/>
        <w:t xml:space="preserve">The </w:t>
      </w:r>
      <w:r w:rsidRPr="00C01E45">
        <w:rPr>
          <w:szCs w:val="22"/>
        </w:rPr>
        <w:t xml:space="preserve">friction overstrength </w:t>
      </w:r>
      <w:r w:rsidRPr="00C01E45">
        <w:t xml:space="preserve">factor </w:t>
      </w:r>
      <w:r w:rsidRPr="00C01E45">
        <w:rPr>
          <w:i/>
        </w:rPr>
        <w:t>ω</w:t>
      </w:r>
      <w:r w:rsidRPr="00C01E45">
        <w:rPr>
          <w:szCs w:val="22"/>
          <w:vertAlign w:val="subscript"/>
        </w:rPr>
        <w:t>μ</w:t>
      </w:r>
      <w:r w:rsidRPr="00C01E45">
        <w:t xml:space="preserve"> of the friction components of the connection is the ratio between the 95</w:t>
      </w:r>
      <w:r w:rsidR="00D4445A">
        <w:t> </w:t>
      </w:r>
      <w:r w:rsidRPr="00C01E45">
        <w:t xml:space="preserve">% fractile value of the static friction coefficient </w:t>
      </w:r>
      <w:r w:rsidRPr="00C01E45">
        <w:rPr>
          <w:i/>
          <w:iCs/>
        </w:rPr>
        <w:t>μ</w:t>
      </w:r>
      <w:r w:rsidRPr="00C01E45">
        <w:rPr>
          <w:vertAlign w:val="subscript"/>
        </w:rPr>
        <w:t>s.upper</w:t>
      </w:r>
      <w:r w:rsidRPr="00C01E45">
        <w:t xml:space="preserve"> and the design value of the 5</w:t>
      </w:r>
      <w:r w:rsidR="00D4445A">
        <w:t> </w:t>
      </w:r>
      <w:r w:rsidRPr="00C01E45">
        <w:t xml:space="preserve">% fractile value of the dynamic friction coefficient </w:t>
      </w:r>
      <w:r w:rsidRPr="00C01E45">
        <w:rPr>
          <w:i/>
          <w:iCs/>
        </w:rPr>
        <w:t>μ</w:t>
      </w:r>
      <w:r w:rsidRPr="00C01E45">
        <w:rPr>
          <w:vertAlign w:val="subscript"/>
        </w:rPr>
        <w:t>d</w:t>
      </w:r>
      <w:r w:rsidRPr="00C01E45">
        <w:t>.</w:t>
      </w:r>
      <w:r w:rsidR="00514068">
        <w:t xml:space="preserve"> In the absence of experimental characterization, </w:t>
      </w:r>
      <w:r w:rsidR="00514068" w:rsidRPr="00C01E45">
        <w:rPr>
          <w:i/>
        </w:rPr>
        <w:t>ω</w:t>
      </w:r>
      <w:r w:rsidR="00514068" w:rsidRPr="00C01E45">
        <w:rPr>
          <w:szCs w:val="22"/>
          <w:vertAlign w:val="subscript"/>
        </w:rPr>
        <w:t>μ</w:t>
      </w:r>
      <w:r w:rsidR="00514068">
        <w:rPr>
          <w:szCs w:val="22"/>
        </w:rPr>
        <w:t xml:space="preserve"> can be assumed equal to 1,6.</w:t>
      </w:r>
    </w:p>
    <w:p w14:paraId="62010B6F" w14:textId="06633AC8" w:rsidR="00D20C81" w:rsidRDefault="00E6211C" w:rsidP="00724E4E">
      <w:pPr>
        <w:pStyle w:val="Clause"/>
      </w:pPr>
      <w:r w:rsidRPr="00132C1E">
        <w:t>The column web panel should be designed according to categories a) to c) in terms of their contribution to the plastic mechanism:</w:t>
      </w:r>
    </w:p>
    <w:p w14:paraId="186F15BE" w14:textId="77777777" w:rsidR="00E6211C" w:rsidRPr="00132C1E" w:rsidRDefault="00E6211C" w:rsidP="0080187E">
      <w:pPr>
        <w:pStyle w:val="Text"/>
        <w:numPr>
          <w:ilvl w:val="0"/>
          <w:numId w:val="700"/>
        </w:numPr>
      </w:pPr>
      <w:r w:rsidRPr="00132C1E">
        <w:t xml:space="preserve">strong web panel, where most of the plastic demand is not in the column web panel (e.g. concentrated in the connection and/or in the beam): it should be designed </w:t>
      </w:r>
      <w:r w:rsidRPr="00E6211C">
        <w:t xml:space="preserve">using Formula (11.14) </w:t>
      </w:r>
      <w:r w:rsidRPr="00132C1E">
        <w:t xml:space="preserve">in which the shear resistance </w:t>
      </w:r>
      <w:r w:rsidRPr="002A33AE">
        <w:rPr>
          <w:i/>
        </w:rPr>
        <w:t>V</w:t>
      </w:r>
      <w:r w:rsidRPr="002A33AE">
        <w:rPr>
          <w:vertAlign w:val="subscript"/>
        </w:rPr>
        <w:t>wp,Rd</w:t>
      </w:r>
      <w:r w:rsidRPr="00132C1E">
        <w:t xml:space="preserve"> of the web panel is taken equal to the web panel's “elastic” resistance without the additional resistance of continuity plates (if present);</w:t>
      </w:r>
    </w:p>
    <w:p w14:paraId="78A1E386" w14:textId="77777777" w:rsidR="00E6211C" w:rsidRPr="00132C1E" w:rsidRDefault="00E6211C" w:rsidP="0080187E">
      <w:pPr>
        <w:pStyle w:val="Text"/>
        <w:numPr>
          <w:ilvl w:val="0"/>
          <w:numId w:val="700"/>
        </w:numPr>
      </w:pPr>
      <w:r w:rsidRPr="00132C1E">
        <w:t xml:space="preserve">balanced web panel, where the plastic demand is balanced between the column web panel and the connection and/or the beam; it should be designed </w:t>
      </w:r>
      <w:r w:rsidRPr="00E6211C">
        <w:t xml:space="preserve">using Formula (11.14) in </w:t>
      </w:r>
      <w:r w:rsidRPr="00132C1E">
        <w:t xml:space="preserve">which </w:t>
      </w:r>
      <w:r w:rsidRPr="00132C1E">
        <w:rPr>
          <w:i/>
        </w:rPr>
        <w:t>V</w:t>
      </w:r>
      <w:r w:rsidRPr="00132C1E">
        <w:rPr>
          <w:vertAlign w:val="subscript"/>
        </w:rPr>
        <w:t>wp,Rd</w:t>
      </w:r>
      <w:r w:rsidRPr="00132C1E">
        <w:t xml:space="preserve"> is taken equal to the web panel's</w:t>
      </w:r>
      <w:r w:rsidRPr="00132C1E" w:rsidDel="00770B9C">
        <w:t xml:space="preserve"> </w:t>
      </w:r>
      <w:r w:rsidRPr="00132C1E">
        <w:t xml:space="preserve"> plastic resistance, namely accounting for the additional resistance of continuity plates (if present) and the shear force </w:t>
      </w:r>
      <w:r w:rsidRPr="00132C1E">
        <w:rPr>
          <w:i/>
        </w:rPr>
        <w:t>V</w:t>
      </w:r>
      <w:r w:rsidRPr="00132C1E">
        <w:rPr>
          <w:vertAlign w:val="subscript"/>
        </w:rPr>
        <w:t>wp,Ed</w:t>
      </w:r>
      <w:r w:rsidRPr="00132C1E">
        <w:t xml:space="preserve"> in the web panel is taken equal to the minimum moment resistance between the beam and connection;</w:t>
      </w:r>
    </w:p>
    <w:p w14:paraId="75A29326" w14:textId="77777777" w:rsidR="00E6211C" w:rsidRPr="00132C1E" w:rsidRDefault="00E6211C" w:rsidP="0080187E">
      <w:pPr>
        <w:pStyle w:val="Text"/>
        <w:numPr>
          <w:ilvl w:val="0"/>
          <w:numId w:val="700"/>
        </w:numPr>
      </w:pPr>
      <w:r w:rsidRPr="00132C1E">
        <w:t xml:space="preserve">weak web panel, where all the plastic demand is concentrated in the column web panel: it should be designed using </w:t>
      </w:r>
      <w:r w:rsidRPr="00E6211C">
        <w:t xml:space="preserve">Formula (11.14) in which the shear force </w:t>
      </w:r>
      <w:r w:rsidRPr="00E6211C">
        <w:rPr>
          <w:i/>
        </w:rPr>
        <w:t>V</w:t>
      </w:r>
      <w:r w:rsidRPr="00E6211C">
        <w:rPr>
          <w:vertAlign w:val="subscript"/>
        </w:rPr>
        <w:t>wp,Ed</w:t>
      </w:r>
      <w:r w:rsidRPr="00E6211C">
        <w:t xml:space="preserve"> is taken equal to the design moments in the seismic situation divided by the web panel depth.</w:t>
      </w:r>
    </w:p>
    <w:p w14:paraId="78F4023A" w14:textId="4018E651" w:rsidR="00E6211C" w:rsidRPr="00132C1E" w:rsidRDefault="00E6211C" w:rsidP="00724E4E">
      <w:pPr>
        <w:pStyle w:val="Clause"/>
      </w:pPr>
      <w:r w:rsidRPr="00132C1E">
        <w:t>For full strength connections in the primary structure of moment resisting and dual frames, strong column web panel should be used.</w:t>
      </w:r>
    </w:p>
    <w:p w14:paraId="44065ACA" w14:textId="16487F6E" w:rsidR="00E6211C" w:rsidRPr="00132C1E" w:rsidRDefault="00E6211C" w:rsidP="00724E4E">
      <w:pPr>
        <w:pStyle w:val="Clause"/>
      </w:pPr>
      <w:r w:rsidRPr="00132C1E">
        <w:t>For equal strength connections in the primary structure of moment resisting and dual frames, any types of column web panel may be used.</w:t>
      </w:r>
    </w:p>
    <w:p w14:paraId="42D5CAA1" w14:textId="764D55CE" w:rsidR="00E6211C" w:rsidRDefault="00E6211C" w:rsidP="00724E4E">
      <w:pPr>
        <w:pStyle w:val="Clause"/>
      </w:pPr>
      <w:r w:rsidRPr="00132C1E">
        <w:t>For partial strength connections in the primary structure of moment resisting and dual frames, balanced or weak column web panel should be used.</w:t>
      </w:r>
    </w:p>
    <w:p w14:paraId="1ECB54C3" w14:textId="0FE1BE8B" w:rsidR="00E6211C" w:rsidRPr="00132C1E" w:rsidRDefault="00E6211C" w:rsidP="00724E4E">
      <w:pPr>
        <w:pStyle w:val="Clause"/>
      </w:pPr>
      <w:r w:rsidRPr="00AA4E42">
        <w:t>For friction connections in the primary structure of moment resisting and dual frames, strong column web panel should be used.</w:t>
      </w:r>
    </w:p>
    <w:p w14:paraId="797F813F" w14:textId="77777777" w:rsidR="00E6211C" w:rsidRPr="00132C1E" w:rsidRDefault="00E6211C" w:rsidP="00E6211C">
      <w:pPr>
        <w:pStyle w:val="a3"/>
      </w:pPr>
      <w:bookmarkStart w:id="11229" w:name="_Toc1331864"/>
      <w:bookmarkStart w:id="11230" w:name="_Toc50150732"/>
      <w:bookmarkStart w:id="11231" w:name="_Toc70887165"/>
      <w:bookmarkStart w:id="11232" w:name="_Toc108342751"/>
      <w:bookmarkStart w:id="11233" w:name="_Toc120543838"/>
      <w:bookmarkStart w:id="11234" w:name="_Toc134198260"/>
      <w:r w:rsidRPr="00132C1E">
        <w:lastRenderedPageBreak/>
        <w:t>Types of pre-qualified joints and technological requirements</w:t>
      </w:r>
      <w:bookmarkEnd w:id="11229"/>
      <w:bookmarkEnd w:id="11230"/>
      <w:bookmarkEnd w:id="11231"/>
      <w:bookmarkEnd w:id="11232"/>
      <w:bookmarkEnd w:id="11233"/>
      <w:bookmarkEnd w:id="11234"/>
    </w:p>
    <w:p w14:paraId="2B8E47DF" w14:textId="77777777" w:rsidR="00E6211C" w:rsidRPr="00132C1E" w:rsidRDefault="00E6211C" w:rsidP="00E6211C">
      <w:pPr>
        <w:pStyle w:val="a4"/>
      </w:pPr>
      <w:bookmarkStart w:id="11235" w:name="_Toc108342752"/>
      <w:bookmarkStart w:id="11236" w:name="_Toc120543839"/>
      <w:bookmarkStart w:id="11237" w:name="_Toc134198261"/>
      <w:r w:rsidRPr="00132C1E">
        <w:t>General</w:t>
      </w:r>
      <w:bookmarkEnd w:id="11235"/>
      <w:bookmarkEnd w:id="11236"/>
      <w:bookmarkEnd w:id="11237"/>
    </w:p>
    <w:p w14:paraId="0C6804C4" w14:textId="06B1FB09" w:rsidR="00E6211C" w:rsidRPr="00132C1E" w:rsidRDefault="00E6211C" w:rsidP="0080187E">
      <w:pPr>
        <w:pStyle w:val="Clause"/>
        <w:numPr>
          <w:ilvl w:val="0"/>
          <w:numId w:val="567"/>
        </w:numPr>
      </w:pPr>
      <w:r w:rsidRPr="00132C1E">
        <w:t xml:space="preserve">Moment-resisting beam-to-column joints should have either welded or bolted configurations (see </w:t>
      </w:r>
      <w:r w:rsidRPr="00E6211C">
        <w:t xml:space="preserve">Figure E.2) and </w:t>
      </w:r>
      <w:r w:rsidRPr="00132C1E">
        <w:t>be designed in order to ensure the required resistance and ductility in the seismic design situation.</w:t>
      </w:r>
    </w:p>
    <w:p w14:paraId="0D8B8303" w14:textId="74F84D0D" w:rsidR="00E6211C" w:rsidRPr="00132C1E" w:rsidRDefault="00E6211C" w:rsidP="00724E4E">
      <w:pPr>
        <w:pStyle w:val="Clause"/>
      </w:pPr>
      <w:r w:rsidRPr="00132C1E">
        <w:t xml:space="preserve">Unstiffened connections </w:t>
      </w:r>
      <w:r w:rsidRPr="00E6211C">
        <w:t xml:space="preserve">in FigureE.2 a) and e) may </w:t>
      </w:r>
      <w:r w:rsidRPr="00132C1E">
        <w:t>be designed with reduced beam section in the zone where plastic hinge is expected to form.</w:t>
      </w:r>
    </w:p>
    <w:p w14:paraId="3C2DB938" w14:textId="74B0E22E" w:rsidR="00E6211C" w:rsidRPr="00132C1E" w:rsidRDefault="00E6211C" w:rsidP="00724E4E">
      <w:pPr>
        <w:pStyle w:val="Clause"/>
      </w:pPr>
      <w:r w:rsidRPr="00132C1E">
        <w:t xml:space="preserve">To fulfil the resistance and stiffness requirements, full and equal strength connections with welded or bolted configuration may be strengthened through stiffeners (e.g. haunches, rib stiffeners, cover plates, etc., </w:t>
      </w:r>
      <w:r w:rsidRPr="00E6211C">
        <w:t xml:space="preserve">see Figures E.2 (b) to (d) and (f) to (h) </w:t>
      </w:r>
      <w:r w:rsidRPr="00132C1E">
        <w:t>and the column web panel may be reinforced through supplementary welded web plates.</w:t>
      </w:r>
      <w:r>
        <w:t xml:space="preserve"> </w:t>
      </w:r>
      <w:r w:rsidRPr="00C01E45">
        <w:t>The beams of joints with friction connections should be strengthened through rib stiffeners, see Figures E.2 (i) and (j).</w:t>
      </w:r>
    </w:p>
    <w:p w14:paraId="41277CD9" w14:textId="3A3674F9" w:rsidR="00E6211C" w:rsidRPr="00132C1E" w:rsidRDefault="00E6211C" w:rsidP="00724E4E">
      <w:pPr>
        <w:pStyle w:val="Clause"/>
      </w:pPr>
      <w:r w:rsidRPr="00132C1E">
        <w:t xml:space="preserve">The beams should have I cross section (e.g. IPE profiles). The weak beam-strong column hierarchy (see </w:t>
      </w:r>
      <w:r w:rsidRPr="00835C82">
        <w:t>11.9.3(2)</w:t>
      </w:r>
      <w:r w:rsidRPr="00E6211C">
        <w:t>) should be satisfied. The beam may be either hot-rolled or welded built-up sections. Hot-rolled profiles should comply with EN</w:t>
      </w:r>
      <w:r w:rsidR="00DA40E5">
        <w:t> </w:t>
      </w:r>
      <w:r w:rsidRPr="00E6211C">
        <w:t xml:space="preserve">10034. The web and flanges of built-up beams should be connected using full penetration groove welds with a pair of reinforcing fillet welds within a zone extending from the beam end to a distance not less than one beam depth beyond the plastic hinge location </w:t>
      </w:r>
      <w:r w:rsidRPr="00E6211C">
        <w:rPr>
          <w:i/>
          <w:iCs/>
        </w:rPr>
        <w:t>S</w:t>
      </w:r>
      <w:r w:rsidRPr="00E6211C">
        <w:rPr>
          <w:vertAlign w:val="subscript"/>
        </w:rPr>
        <w:t>h</w:t>
      </w:r>
      <w:r w:rsidRPr="00E6211C">
        <w:t>, (see Figure E.1). T</w:t>
      </w:r>
      <w:r w:rsidRPr="00132C1E">
        <w:t>he throat thickness of each reinforcing fillet weld should be the smaller than of 8 mm and of the thickness of the beam web.</w:t>
      </w:r>
    </w:p>
    <w:p w14:paraId="22ED7311" w14:textId="39FFDD1E" w:rsidR="00E6211C" w:rsidRPr="00132C1E" w:rsidRDefault="00E6211C" w:rsidP="00724E4E">
      <w:pPr>
        <w:pStyle w:val="Clause"/>
      </w:pPr>
      <w:r w:rsidRPr="00132C1E">
        <w:t>For both full strength and equal strength connections, the beam web and flange in compression or in tension components should be ignored in the calculation of the resistance.</w:t>
      </w:r>
    </w:p>
    <w:p w14:paraId="0A640BAD" w14:textId="7D94879C" w:rsidR="00E6211C" w:rsidRPr="00132C1E" w:rsidRDefault="00E6211C" w:rsidP="00724E4E">
      <w:pPr>
        <w:pStyle w:val="Clause"/>
      </w:pPr>
      <w:r w:rsidRPr="00132C1E">
        <w:t xml:space="preserve">The column may be either hot-rolled, built-up, cruciform or cold-formed hollow section. </w:t>
      </w:r>
    </w:p>
    <w:p w14:paraId="3B209DAD" w14:textId="46236AAD" w:rsidR="00E6211C" w:rsidRPr="00132C1E" w:rsidRDefault="00E6211C" w:rsidP="00724E4E">
      <w:pPr>
        <w:pStyle w:val="Clause"/>
      </w:pPr>
      <w:r w:rsidRPr="00132C1E">
        <w:t>Depending on the type of cross section, the columns should be manufactured in accordance with a) to d):</w:t>
      </w:r>
    </w:p>
    <w:p w14:paraId="6D4DC7AB" w14:textId="60DBE356" w:rsidR="00E6211C" w:rsidRPr="00132C1E" w:rsidRDefault="00E6211C" w:rsidP="0080187E">
      <w:pPr>
        <w:pStyle w:val="Text"/>
        <w:numPr>
          <w:ilvl w:val="0"/>
          <w:numId w:val="701"/>
        </w:numPr>
      </w:pPr>
      <w:r w:rsidRPr="00132C1E">
        <w:t>hot-rolled profiles with H shape (e.g. HE sections) should comply with EN</w:t>
      </w:r>
      <w:r w:rsidR="00DA40E5">
        <w:t> </w:t>
      </w:r>
      <w:r w:rsidRPr="00132C1E">
        <w:t>10034;</w:t>
      </w:r>
    </w:p>
    <w:p w14:paraId="5BF1D272" w14:textId="77777777" w:rsidR="00E6211C" w:rsidRPr="00132C1E" w:rsidRDefault="00E6211C" w:rsidP="0080187E">
      <w:pPr>
        <w:pStyle w:val="Text"/>
        <w:numPr>
          <w:ilvl w:val="0"/>
          <w:numId w:val="701"/>
        </w:numPr>
      </w:pPr>
      <w:r w:rsidRPr="00132C1E">
        <w:t>either H or box built-up columns may be used. The column web should be connected to the flanges using full penetration groove welds with a pair of reinforcing fillet welds, within a zone extending from 300 mm above the upper beam flange to 300 mm below the lower beam flange and the minimum throat thickness of the reinforcing fillet welds should be the smaller of 8 mm and of the thickness of the column web;</w:t>
      </w:r>
    </w:p>
    <w:p w14:paraId="67234BD5" w14:textId="2C9E78CF" w:rsidR="00E6211C" w:rsidRPr="00132C1E" w:rsidRDefault="00E6211C" w:rsidP="0080187E">
      <w:pPr>
        <w:pStyle w:val="Text"/>
        <w:numPr>
          <w:ilvl w:val="0"/>
          <w:numId w:val="701"/>
        </w:numPr>
      </w:pPr>
      <w:r w:rsidRPr="00132C1E">
        <w:t xml:space="preserve">the elements of flanged cruciform columns should be fabricated from rolled shapes or built up from plates and should comply with </w:t>
      </w:r>
      <w:r w:rsidR="00867476">
        <w:t>EN 1993-1-1</w:t>
      </w:r>
      <w:r w:rsidRPr="00132C1E">
        <w:t>; the web-to-web welds if rolled shapes are used or all welds constituting the cross section if built-up solution is adopted should comply with (b);</w:t>
      </w:r>
    </w:p>
    <w:p w14:paraId="50212436" w14:textId="09312DEF" w:rsidR="00E6211C" w:rsidRPr="00132C1E" w:rsidRDefault="00E6211C" w:rsidP="0080187E">
      <w:pPr>
        <w:pStyle w:val="Text"/>
        <w:numPr>
          <w:ilvl w:val="0"/>
          <w:numId w:val="701"/>
        </w:numPr>
      </w:pPr>
      <w:r w:rsidRPr="00132C1E">
        <w:t xml:space="preserve">cold-formed hollow profiles should be class 1 and comply with </w:t>
      </w:r>
      <w:r w:rsidR="00867476">
        <w:t>EN 1993-1-1</w:t>
      </w:r>
      <w:r w:rsidRPr="00132C1E">
        <w:t>.</w:t>
      </w:r>
    </w:p>
    <w:p w14:paraId="227712CC" w14:textId="57C04431" w:rsidR="00E6211C" w:rsidRPr="00132C1E" w:rsidRDefault="00E6211C" w:rsidP="00724E4E">
      <w:pPr>
        <w:pStyle w:val="Clause"/>
      </w:pPr>
      <w:r w:rsidRPr="00132C1E">
        <w:t>For full strength</w:t>
      </w:r>
      <w:r>
        <w:t>,</w:t>
      </w:r>
      <w:r w:rsidRPr="00132C1E">
        <w:t xml:space="preserve"> equal </w:t>
      </w:r>
      <w:r w:rsidRPr="00E6211C">
        <w:t xml:space="preserve">strength and friction connections, if supplementary plates are added onto the column web and detailed as specified in </w:t>
      </w:r>
      <w:r w:rsidRPr="00835C82">
        <w:t>E.3.3.2</w:t>
      </w:r>
      <w:r w:rsidRPr="00E6211C">
        <w:t xml:space="preserve"> and Figures E.5 a, b, the column web in transverse tension and compression components may be ignored in the calculation of the </w:t>
      </w:r>
      <w:r w:rsidRPr="00132C1E">
        <w:t>resistance.</w:t>
      </w:r>
    </w:p>
    <w:p w14:paraId="4D18D428" w14:textId="7B4D5252" w:rsidR="00E6211C" w:rsidRPr="00132C1E" w:rsidRDefault="00E6211C" w:rsidP="00724E4E">
      <w:pPr>
        <w:pStyle w:val="Clause"/>
      </w:pPr>
      <w:r w:rsidRPr="00132C1E">
        <w:t xml:space="preserve">In welded connections and in bolted connections conforming with </w:t>
      </w:r>
      <w:r w:rsidRPr="00835C82">
        <w:t>(5)</w:t>
      </w:r>
      <w:r w:rsidRPr="00132C1E">
        <w:t xml:space="preserve"> and </w:t>
      </w:r>
      <w:r w:rsidRPr="00835C82">
        <w:t>(7)</w:t>
      </w:r>
      <w:r w:rsidRPr="00132C1E">
        <w:t xml:space="preserve"> and having a single bolt row between the beam tension </w:t>
      </w:r>
      <w:r w:rsidRPr="00E6211C">
        <w:t xml:space="preserve">flange and the axis of the beam, the resistances of the connection and the column web panel should be calculated independently </w:t>
      </w:r>
      <w:r w:rsidRPr="00132C1E">
        <w:t xml:space="preserve">as two separate macro-components. </w:t>
      </w:r>
    </w:p>
    <w:p w14:paraId="4C8FD746" w14:textId="322BDFDE" w:rsidR="00E6211C" w:rsidRPr="00132C1E" w:rsidRDefault="00E6211C" w:rsidP="00724E4E">
      <w:pPr>
        <w:pStyle w:val="Clause"/>
      </w:pPr>
      <w:r w:rsidRPr="00132C1E">
        <w:lastRenderedPageBreak/>
        <w:t xml:space="preserve">If </w:t>
      </w:r>
      <w:r w:rsidRPr="00835C82">
        <w:t>(9)</w:t>
      </w:r>
      <w:r w:rsidRPr="00132C1E">
        <w:t xml:space="preserve"> is applied, the shear resistance of the column web panel should be separately calculated in accordance with </w:t>
      </w:r>
      <w:r>
        <w:t>pr</w:t>
      </w:r>
      <w:r w:rsidR="00C30FF9">
        <w:t>EN 1</w:t>
      </w:r>
      <w:r>
        <w:t>99</w:t>
      </w:r>
      <w:r w:rsidRPr="00132C1E">
        <w:t xml:space="preserve">3-1-8 and compared to the minimum resistance of either the connection or the beam for panel zone classification; for the application of the local hierarchy of </w:t>
      </w:r>
      <w:r w:rsidRPr="00E6211C">
        <w:t xml:space="preserve">resistances, see </w:t>
      </w:r>
      <w:r w:rsidRPr="00835C82">
        <w:t>E.3.2.2(4)</w:t>
      </w:r>
      <w:r w:rsidRPr="00E6211C">
        <w:t>.</w:t>
      </w:r>
    </w:p>
    <w:p w14:paraId="454282FA" w14:textId="7BE55007" w:rsidR="00E6211C" w:rsidRPr="00132C1E" w:rsidRDefault="00E6211C" w:rsidP="00724E4E">
      <w:pPr>
        <w:pStyle w:val="Clause"/>
      </w:pPr>
      <w:r w:rsidRPr="00132C1E">
        <w:t xml:space="preserve">In bolted connections, if more than one bolt row is between the beam tension flange and the beam axis, the connection and column web panel should not be considered as separate macro-components and their interaction should be considered in the calculation of the joint in accordance with </w:t>
      </w:r>
      <w:r>
        <w:t>pr</w:t>
      </w:r>
      <w:r w:rsidR="00C30FF9">
        <w:t>EN 1</w:t>
      </w:r>
      <w:r>
        <w:t>99</w:t>
      </w:r>
      <w:r w:rsidRPr="00132C1E">
        <w:t>3-1-8.</w:t>
      </w:r>
    </w:p>
    <w:p w14:paraId="23A795E7" w14:textId="1A35EE0C" w:rsidR="00E6211C" w:rsidRDefault="00147A4A" w:rsidP="00147A4A">
      <w:pPr>
        <w:pStyle w:val="FigureImage"/>
      </w:pPr>
      <w:r>
        <w:rPr>
          <w:noProof/>
        </w:rPr>
        <w:drawing>
          <wp:inline distT="0" distB="0" distL="0" distR="0" wp14:anchorId="21FA0785" wp14:editId="4F292E18">
            <wp:extent cx="5399541" cy="4942340"/>
            <wp:effectExtent l="0" t="0" r="0" b="0"/>
            <wp:docPr id="2081949451" name="e002.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1949451" name="e002.tiff"/>
                    <pic:cNvPicPr/>
                  </pic:nvPicPr>
                  <pic:blipFill>
                    <a:blip r:link="rId88"/>
                    <a:stretch>
                      <a:fillRect/>
                    </a:stretch>
                  </pic:blipFill>
                  <pic:spPr>
                    <a:xfrm>
                      <a:off x="0" y="0"/>
                      <a:ext cx="5399541" cy="4942340"/>
                    </a:xfrm>
                    <a:prstGeom prst="rect">
                      <a:avLst/>
                    </a:prstGeom>
                  </pic:spPr>
                </pic:pic>
              </a:graphicData>
            </a:graphic>
          </wp:inline>
        </w:drawing>
      </w:r>
    </w:p>
    <w:p w14:paraId="6F2E73AA" w14:textId="105252D9" w:rsidR="00E6211C" w:rsidRPr="00D1484A" w:rsidRDefault="00E6211C" w:rsidP="00E6211C">
      <w:pPr>
        <w:pStyle w:val="Figuretitle"/>
      </w:pPr>
      <w:r w:rsidRPr="00D1484A">
        <w:t>Figure E.</w:t>
      </w:r>
      <w:r w:rsidR="009B2651">
        <w:t>2</w:t>
      </w:r>
      <w:r w:rsidRPr="00132C1E">
        <w:t xml:space="preserve"> — The types of welded and bolted joints covered by Annex E: </w:t>
      </w:r>
      <w:r w:rsidR="00147A4A" w:rsidRPr="00132C1E">
        <w:t>(a, e)</w:t>
      </w:r>
      <w:r w:rsidR="00147A4A">
        <w:t xml:space="preserve"> </w:t>
      </w:r>
      <w:r w:rsidRPr="00132C1E">
        <w:t>unstiffened</w:t>
      </w:r>
      <w:r w:rsidR="00147A4A">
        <w:t>;</w:t>
      </w:r>
      <w:r w:rsidRPr="00132C1E">
        <w:t xml:space="preserve"> </w:t>
      </w:r>
      <w:r w:rsidR="00147A4A" w:rsidRPr="00132C1E">
        <w:t xml:space="preserve">(b, d, f, h) </w:t>
      </w:r>
      <w:r w:rsidRPr="00132C1E">
        <w:t>stiffened w</w:t>
      </w:r>
      <w:r w:rsidR="006E3F06">
        <w:t>i</w:t>
      </w:r>
      <w:r w:rsidRPr="00132C1E">
        <w:t>th ribs</w:t>
      </w:r>
      <w:r w:rsidR="00147A4A">
        <w:t>; (c, g)</w:t>
      </w:r>
      <w:r w:rsidRPr="00132C1E">
        <w:t xml:space="preserve"> stiffened with haunches</w:t>
      </w:r>
      <w:r w:rsidR="00147A4A">
        <w:t>; (i)</w:t>
      </w:r>
      <w:r w:rsidRPr="00C81752">
        <w:t xml:space="preserve"> </w:t>
      </w:r>
      <w:r w:rsidRPr="00C01E45">
        <w:t>friction joint parallel to the beam flange</w:t>
      </w:r>
      <w:r w:rsidR="00147A4A">
        <w:t>; (j)</w:t>
      </w:r>
      <w:r w:rsidRPr="00C01E45">
        <w:t xml:space="preserve"> friction joint parallel to the beam web</w:t>
      </w:r>
    </w:p>
    <w:p w14:paraId="64183C2A" w14:textId="77777777" w:rsidR="00E6211C" w:rsidRPr="00FD17CF" w:rsidRDefault="00E6211C" w:rsidP="00E6211C">
      <w:pPr>
        <w:pStyle w:val="a4"/>
      </w:pPr>
      <w:bookmarkStart w:id="11238" w:name="_Toc108342753"/>
      <w:bookmarkStart w:id="11239" w:name="_Toc120543840"/>
      <w:bookmarkStart w:id="11240" w:name="_Toc134198262"/>
      <w:r w:rsidRPr="00D1484A">
        <w:t>Detailing o</w:t>
      </w:r>
      <w:r w:rsidRPr="007E6F67">
        <w:t>f column web panel</w:t>
      </w:r>
      <w:bookmarkEnd w:id="11238"/>
      <w:bookmarkEnd w:id="11239"/>
      <w:bookmarkEnd w:id="11240"/>
    </w:p>
    <w:p w14:paraId="10C8F765" w14:textId="14659C97" w:rsidR="00E6211C" w:rsidRPr="00C52095" w:rsidRDefault="00E6211C" w:rsidP="0080187E">
      <w:pPr>
        <w:pStyle w:val="Clause"/>
        <w:numPr>
          <w:ilvl w:val="0"/>
          <w:numId w:val="568"/>
        </w:numPr>
      </w:pPr>
      <w:r w:rsidRPr="00FD17CF">
        <w:t xml:space="preserve">Supplementary web plates may be used to </w:t>
      </w:r>
      <w:r w:rsidRPr="00E6211C">
        <w:t>satisfy Formula (11.14), considering a) to c):</w:t>
      </w:r>
    </w:p>
    <w:p w14:paraId="08C792E5" w14:textId="15E3C52D" w:rsidR="00E6211C" w:rsidRPr="00132C1E" w:rsidRDefault="00E6211C" w:rsidP="0080187E">
      <w:pPr>
        <w:pStyle w:val="Text"/>
        <w:numPr>
          <w:ilvl w:val="0"/>
          <w:numId w:val="702"/>
        </w:numPr>
      </w:pPr>
      <w:r w:rsidRPr="00C52095">
        <w:t xml:space="preserve">If these plates are placed either onto the column web panel with longitudinal groove welds, the gap </w:t>
      </w:r>
      <w:r w:rsidRPr="00C52095">
        <w:rPr>
          <w:i/>
          <w:iCs/>
        </w:rPr>
        <w:t>g</w:t>
      </w:r>
      <w:r w:rsidRPr="007754C9">
        <w:t xml:space="preserve"> between the column web and the plate should be not greater than 1 mm (</w:t>
      </w:r>
      <w:r w:rsidRPr="00E6211C">
        <w:t>see Figure E.5a</w:t>
      </w:r>
      <w:r w:rsidRPr="00132C1E">
        <w:t>).</w:t>
      </w:r>
    </w:p>
    <w:p w14:paraId="6B5B0D51" w14:textId="6E57DD96" w:rsidR="00E6211C" w:rsidRPr="00132C1E" w:rsidRDefault="00E6211C" w:rsidP="0080187E">
      <w:pPr>
        <w:pStyle w:val="Text"/>
        <w:numPr>
          <w:ilvl w:val="0"/>
          <w:numId w:val="702"/>
        </w:numPr>
      </w:pPr>
      <w:r w:rsidRPr="00132C1E">
        <w:t xml:space="preserve">If fillet </w:t>
      </w:r>
      <w:r w:rsidRPr="00E6211C">
        <w:t xml:space="preserve">longitudinal welds are used, there should be no gap </w:t>
      </w:r>
      <w:r w:rsidRPr="00E6211C">
        <w:rPr>
          <w:i/>
          <w:iCs/>
        </w:rPr>
        <w:t>g</w:t>
      </w:r>
      <w:r w:rsidRPr="00E6211C">
        <w:t xml:space="preserve"> between the column web and the plate (see Figure E.5b) and plug welds should be used as detailed in Figure E.5c </w:t>
      </w:r>
      <w:r w:rsidRPr="00132C1E">
        <w:t>for every thickness of the plate.</w:t>
      </w:r>
    </w:p>
    <w:p w14:paraId="1F1ACA20" w14:textId="77777777" w:rsidR="00E6211C" w:rsidRPr="00132C1E" w:rsidRDefault="00E6211C" w:rsidP="0080187E">
      <w:pPr>
        <w:pStyle w:val="Text"/>
        <w:numPr>
          <w:ilvl w:val="0"/>
          <w:numId w:val="702"/>
        </w:numPr>
      </w:pPr>
      <w:r w:rsidRPr="00132C1E">
        <w:lastRenderedPageBreak/>
        <w:t xml:space="preserve">If supplementary web plates are spaced away from the column web, the distance </w:t>
      </w:r>
      <w:r w:rsidRPr="00132C1E">
        <w:rPr>
          <w:i/>
          <w:iCs/>
        </w:rPr>
        <w:t>e</w:t>
      </w:r>
      <w:r w:rsidRPr="00132C1E">
        <w:rPr>
          <w:vertAlign w:val="subscript"/>
        </w:rPr>
        <w:t>f</w:t>
      </w:r>
      <w:r w:rsidRPr="00132C1E">
        <w:t xml:space="preserve"> of the spaced plates from the edge of the column flange should be not smaller than 25 mm (</w:t>
      </w:r>
      <w:r w:rsidRPr="00E6211C">
        <w:t>see Figure E.5) and each spaced plate should satisfy Formula (11.16)</w:t>
      </w:r>
      <w:r w:rsidRPr="00132C1E">
        <w:t xml:space="preserve"> in order to be considered as active strengthening plate.</w:t>
      </w:r>
    </w:p>
    <w:p w14:paraId="61C8DE1A" w14:textId="61A43590" w:rsidR="00E6211C" w:rsidRPr="00132C1E" w:rsidRDefault="00E6211C" w:rsidP="00724E4E">
      <w:pPr>
        <w:pStyle w:val="Clause"/>
      </w:pPr>
      <w:r w:rsidRPr="00132C1E">
        <w:t xml:space="preserve">The resisting shear area </w:t>
      </w:r>
      <w:r w:rsidRPr="00132C1E">
        <w:rPr>
          <w:i/>
          <w:iCs/>
        </w:rPr>
        <w:t>A</w:t>
      </w:r>
      <w:r w:rsidRPr="00132C1E">
        <w:rPr>
          <w:vertAlign w:val="subscript"/>
        </w:rPr>
        <w:t>v</w:t>
      </w:r>
      <w:r w:rsidRPr="00132C1E">
        <w:t xml:space="preserve"> should be calculated as the sum of the column shear area A</w:t>
      </w:r>
      <w:r w:rsidRPr="00132C1E">
        <w:rPr>
          <w:vertAlign w:val="subscript"/>
        </w:rPr>
        <w:t>v,c</w:t>
      </w:r>
      <w:r w:rsidRPr="00132C1E">
        <w:t xml:space="preserve"> and the gross area of the additional web plates </w:t>
      </w:r>
      <w:r w:rsidRPr="00132C1E">
        <w:rPr>
          <w:i/>
          <w:iCs/>
        </w:rPr>
        <w:t>A</w:t>
      </w:r>
      <w:r w:rsidRPr="00132C1E">
        <w:rPr>
          <w:vertAlign w:val="subscript"/>
        </w:rPr>
        <w:t>v,p</w:t>
      </w:r>
      <w:r w:rsidRPr="00132C1E">
        <w:t xml:space="preserve">. </w:t>
      </w:r>
    </w:p>
    <w:p w14:paraId="71FD794A" w14:textId="73A7C5ED" w:rsidR="00E6211C" w:rsidRPr="002144A0" w:rsidRDefault="00E6211C" w:rsidP="00724E4E">
      <w:pPr>
        <w:pStyle w:val="Clause"/>
      </w:pPr>
      <w:r w:rsidRPr="00132C1E">
        <w:t xml:space="preserve">The width-to-thickness ratio </w:t>
      </w:r>
      <w:r w:rsidRPr="00132C1E">
        <w:rPr>
          <w:i/>
          <w:iCs/>
        </w:rPr>
        <w:t>b</w:t>
      </w:r>
      <w:r w:rsidRPr="00132C1E">
        <w:rPr>
          <w:vertAlign w:val="subscript"/>
        </w:rPr>
        <w:t>s</w:t>
      </w:r>
      <w:r w:rsidRPr="00132C1E">
        <w:t>/</w:t>
      </w:r>
      <w:r w:rsidRPr="00132C1E">
        <w:rPr>
          <w:i/>
          <w:iCs/>
        </w:rPr>
        <w:t>t</w:t>
      </w:r>
      <w:r w:rsidRPr="00132C1E">
        <w:rPr>
          <w:vertAlign w:val="subscript"/>
        </w:rPr>
        <w:t>swp</w:t>
      </w:r>
      <w:r w:rsidRPr="00132C1E">
        <w:t xml:space="preserve"> of a supplementary web plate should be not smaller than 40ε, where </w:t>
      </w:r>
      <m:oMath>
        <m:r>
          <w:rPr>
            <w:rFonts w:ascii="Cambria Math" w:hAnsi="Cambria Math"/>
          </w:rPr>
          <m:t>ε=</m:t>
        </m:r>
        <m:rad>
          <m:radPr>
            <m:degHide m:val="1"/>
            <m:ctrlPr>
              <w:rPr>
                <w:rFonts w:ascii="Cambria Math" w:hAnsi="Cambria Math"/>
                <w:i/>
              </w:rPr>
            </m:ctrlPr>
          </m:radPr>
          <m:deg/>
          <m:e>
            <m:f>
              <m:fPr>
                <m:type m:val="lin"/>
                <m:ctrlPr>
                  <w:rPr>
                    <w:rFonts w:ascii="Cambria Math" w:hAnsi="Cambria Math"/>
                    <w:i/>
                  </w:rPr>
                </m:ctrlPr>
              </m:fPr>
              <m:num>
                <m:r>
                  <w:rPr>
                    <w:rFonts w:ascii="Cambria Math" w:hAnsi="Cambria Math"/>
                  </w:rPr>
                  <m:t>235</m:t>
                </m:r>
              </m:num>
              <m:den>
                <m:sSub>
                  <m:sSubPr>
                    <m:ctrlPr>
                      <w:rPr>
                        <w:rFonts w:ascii="Cambria Math" w:hAnsi="Cambria Math"/>
                        <w:i/>
                      </w:rPr>
                    </m:ctrlPr>
                  </m:sSubPr>
                  <m:e>
                    <m:r>
                      <w:rPr>
                        <w:rFonts w:ascii="Cambria Math" w:hAnsi="Cambria Math"/>
                      </w:rPr>
                      <m:t>f</m:t>
                    </m:r>
                  </m:e>
                  <m:sub>
                    <m:r>
                      <m:rPr>
                        <m:sty m:val="p"/>
                      </m:rPr>
                      <w:rPr>
                        <w:rFonts w:ascii="Cambria Math" w:hAnsi="Cambria Math"/>
                      </w:rPr>
                      <m:t>y</m:t>
                    </m:r>
                  </m:sub>
                </m:sSub>
              </m:den>
            </m:f>
          </m:e>
        </m:rad>
      </m:oMath>
      <w:r w:rsidRPr="00132C1E">
        <w:t xml:space="preserve">. Plates with </w:t>
      </w:r>
      <w:r w:rsidRPr="00D1484A">
        <w:rPr>
          <w:i/>
          <w:iCs/>
        </w:rPr>
        <w:t>b</w:t>
      </w:r>
      <w:r w:rsidRPr="00D1484A">
        <w:rPr>
          <w:vertAlign w:val="subscript"/>
        </w:rPr>
        <w:t>s</w:t>
      </w:r>
      <w:r w:rsidRPr="007E6F67">
        <w:t>/</w:t>
      </w:r>
      <w:r w:rsidRPr="00FD17CF">
        <w:rPr>
          <w:i/>
          <w:iCs/>
        </w:rPr>
        <w:t>t</w:t>
      </w:r>
      <w:r w:rsidRPr="00FD17CF">
        <w:rPr>
          <w:vertAlign w:val="subscript"/>
        </w:rPr>
        <w:t>swp</w:t>
      </w:r>
      <w:r w:rsidRPr="00FD17CF">
        <w:t xml:space="preserve"> greater than </w:t>
      </w:r>
      <w:r w:rsidRPr="00E05E29">
        <w:t>40</w:t>
      </w:r>
      <w:r w:rsidRPr="00196951">
        <w:t>ε may be used only if placed onto the column web, provided that plug welds are used to prevent plate buckling (</w:t>
      </w:r>
      <w:r w:rsidRPr="00BA6BD3">
        <w:t>see Figure E.5 c).</w:t>
      </w:r>
    </w:p>
    <w:p w14:paraId="2422F0AA" w14:textId="06611587" w:rsidR="00E6211C" w:rsidRPr="007754C9" w:rsidRDefault="00E6211C" w:rsidP="00724E4E">
      <w:pPr>
        <w:pStyle w:val="Clause"/>
      </w:pPr>
      <w:r w:rsidRPr="004F25D7">
        <w:t>The depth of the supplementary web plates in welded or bolted connections should be such that they</w:t>
      </w:r>
      <w:r w:rsidRPr="00C52095">
        <w:t xml:space="preserve"> extend throughout the effective width of the column web in tension and compression. In bolted extended end-plate joints (either stiffened by rib plates or haunch) the depth of the supplementary web plates should not be less than that of the end plate.</w:t>
      </w:r>
    </w:p>
    <w:p w14:paraId="6B776912" w14:textId="55839C68" w:rsidR="00E6211C" w:rsidRPr="00BA6BD3" w:rsidRDefault="00E6211C" w:rsidP="00724E4E">
      <w:pPr>
        <w:pStyle w:val="Clause"/>
      </w:pPr>
      <w:r w:rsidRPr="00132C1E">
        <w:t>Continuity plates are transverse stiffeners (</w:t>
      </w:r>
      <w:r w:rsidRPr="00BA6BD3">
        <w:t>see Fig</w:t>
      </w:r>
      <w:r w:rsidR="00BA6BD3" w:rsidRPr="00BA6BD3">
        <w:t>ure</w:t>
      </w:r>
      <w:r w:rsidRPr="00BA6BD3">
        <w:t xml:space="preserve"> E.7) and should be used to strengthen the column flange and the column web panel. Their thickness should not be smaller than the thickness of the beam flange or of the haunch flange. Continuity plates should not extend beyond the edge of the column flange (see Figures E.7, b and c).</w:t>
      </w:r>
    </w:p>
    <w:p w14:paraId="5F06C409" w14:textId="35141CBF" w:rsidR="00E6211C" w:rsidRPr="00132C1E" w:rsidRDefault="00E6211C" w:rsidP="00724E4E">
      <w:pPr>
        <w:pStyle w:val="Clause"/>
      </w:pPr>
      <w:r w:rsidRPr="00BA6BD3">
        <w:tab/>
        <w:t xml:space="preserve">long the web of an H shape column, the corner clip </w:t>
      </w:r>
      <w:r w:rsidRPr="00BA6BD3">
        <w:rPr>
          <w:i/>
          <w:iCs/>
        </w:rPr>
        <w:t>c</w:t>
      </w:r>
      <w:r w:rsidRPr="00BA6BD3">
        <w:rPr>
          <w:vertAlign w:val="subscript"/>
        </w:rPr>
        <w:t>c</w:t>
      </w:r>
      <w:r w:rsidRPr="00BA6BD3">
        <w:t xml:space="preserve"> of the continuity plate (see Figure E.7 a) should be detailed to avoid interference with the fillet radius of hot-rolled columns (see Figure E.7 b) or the longitudinal welds of built-up columns (see Figure E.7 c). To this end, the corner clip should be </w:t>
      </w:r>
      <w:r w:rsidRPr="00132C1E">
        <w:t>not smaller than the fillet radius + 1 mm in hot rolled column or 15mm + the side of the weld in built-up column.</w:t>
      </w:r>
    </w:p>
    <w:p w14:paraId="219B67B6" w14:textId="77777777" w:rsidR="00E6211C" w:rsidRPr="00132C1E" w:rsidRDefault="00E6211C" w:rsidP="00E6211C">
      <w:pPr>
        <w:pStyle w:val="a4"/>
      </w:pPr>
      <w:bookmarkStart w:id="11241" w:name="_Toc108342754"/>
      <w:bookmarkStart w:id="11242" w:name="_Toc120543841"/>
      <w:bookmarkStart w:id="11243" w:name="_Toc134198263"/>
      <w:r w:rsidRPr="00132C1E">
        <w:t>Detailing of welds</w:t>
      </w:r>
      <w:bookmarkEnd w:id="11241"/>
      <w:bookmarkEnd w:id="11242"/>
      <w:bookmarkEnd w:id="11243"/>
    </w:p>
    <w:p w14:paraId="61E66DCF" w14:textId="18598681" w:rsidR="00E6211C" w:rsidRPr="00132C1E" w:rsidRDefault="00E6211C" w:rsidP="0080187E">
      <w:pPr>
        <w:pStyle w:val="Clause"/>
        <w:numPr>
          <w:ilvl w:val="0"/>
          <w:numId w:val="569"/>
        </w:numPr>
      </w:pPr>
      <w:r w:rsidRPr="00132C1E">
        <w:t>The joint details adopted shall make use of an appropriate type of weld for the component to be connected and for the plastic engagement of the joint.</w:t>
      </w:r>
    </w:p>
    <w:p w14:paraId="600F7CFB" w14:textId="7546D007" w:rsidR="00E6211C" w:rsidRPr="00132C1E" w:rsidRDefault="00E6211C" w:rsidP="00724E4E">
      <w:pPr>
        <w:pStyle w:val="Clause"/>
      </w:pPr>
      <w:r>
        <w:t>Three</w:t>
      </w:r>
      <w:r w:rsidRPr="00132C1E">
        <w:t xml:space="preserve"> types of weld details may be adopted: full penetration groove welds (FPGW), fillet welds (FW) and plug welds (PW), as appropriate.</w:t>
      </w:r>
    </w:p>
    <w:p w14:paraId="4D3AA0C5" w14:textId="38A78E5C" w:rsidR="00E6211C" w:rsidRPr="00132C1E" w:rsidRDefault="00E6211C" w:rsidP="00724E4E">
      <w:pPr>
        <w:pStyle w:val="Clause"/>
      </w:pPr>
      <w:r w:rsidRPr="00132C1E">
        <w:t xml:space="preserve">FPGW should be detailed with </w:t>
      </w:r>
      <w:r w:rsidRPr="00BA6BD3">
        <w:t xml:space="preserve">single or double </w:t>
      </w:r>
      <w:r w:rsidRPr="00132C1E">
        <w:t>bevel using V and K shape for plates and I or H members and using J or U shapes for cold-formed hollow profiles. The slope of the bevels should not be smaller than 45° and not greater than 60°. FPGW should be adopted in the details a) to e):</w:t>
      </w:r>
    </w:p>
    <w:p w14:paraId="5D367B82" w14:textId="77777777" w:rsidR="00E6211C" w:rsidRPr="00132C1E" w:rsidRDefault="00E6211C" w:rsidP="00691F56">
      <w:pPr>
        <w:pStyle w:val="Text"/>
        <w:numPr>
          <w:ilvl w:val="0"/>
          <w:numId w:val="703"/>
        </w:numPr>
        <w:spacing w:after="200"/>
      </w:pPr>
      <w:r w:rsidRPr="00132C1E">
        <w:t xml:space="preserve">to connect the beam flange to the endplate or to the column flange </w:t>
      </w:r>
      <w:r w:rsidRPr="00BA6BD3">
        <w:t>(see Figure E.3</w:t>
      </w:r>
      <w:r w:rsidRPr="00132C1E">
        <w:t>);</w:t>
      </w:r>
    </w:p>
    <w:p w14:paraId="0E2D112E" w14:textId="2CBA1E3B" w:rsidR="00E6211C" w:rsidRPr="00132C1E" w:rsidRDefault="00E6211C" w:rsidP="00691F56">
      <w:pPr>
        <w:pStyle w:val="Text"/>
        <w:numPr>
          <w:ilvl w:val="0"/>
          <w:numId w:val="703"/>
        </w:numPr>
        <w:spacing w:after="200"/>
      </w:pPr>
      <w:r w:rsidRPr="00132C1E">
        <w:t>to connect the rib stiffener (</w:t>
      </w:r>
      <w:r w:rsidRPr="00BA6BD3">
        <w:t>see Figure E.4 and Figure E.9 b) and the flange of a haunch (see Figure</w:t>
      </w:r>
      <w:r w:rsidR="00691F56">
        <w:t> </w:t>
      </w:r>
      <w:r w:rsidRPr="00BA6BD3">
        <w:t xml:space="preserve">E.9 a) </w:t>
      </w:r>
      <w:r w:rsidRPr="00132C1E">
        <w:t>to the beam flange and to either the end plate or column flange;</w:t>
      </w:r>
    </w:p>
    <w:p w14:paraId="71F8DB36" w14:textId="43EAE44B" w:rsidR="00E6211C" w:rsidRPr="00132C1E" w:rsidRDefault="00E6211C" w:rsidP="00691F56">
      <w:pPr>
        <w:pStyle w:val="Text"/>
        <w:numPr>
          <w:ilvl w:val="0"/>
          <w:numId w:val="703"/>
        </w:numPr>
        <w:spacing w:after="200"/>
      </w:pPr>
      <w:r w:rsidRPr="00132C1E">
        <w:t xml:space="preserve">to connect supplementary plates onto the column web panel in the flange corner fillet radius (see </w:t>
      </w:r>
      <w:r w:rsidRPr="00BA6BD3">
        <w:t>Figure E.5 a) and for supplementary plates spaced from the column web (see Figure E.5 d</w:t>
      </w:r>
      <w:r w:rsidRPr="00132C1E">
        <w:t>)</w:t>
      </w:r>
      <w:r w:rsidR="00BA6BD3">
        <w:t>;</w:t>
      </w:r>
    </w:p>
    <w:p w14:paraId="72FEAE16" w14:textId="77777777" w:rsidR="00E6211C" w:rsidRPr="00132C1E" w:rsidRDefault="00E6211C" w:rsidP="00691F56">
      <w:pPr>
        <w:pStyle w:val="Text"/>
        <w:numPr>
          <w:ilvl w:val="0"/>
          <w:numId w:val="703"/>
        </w:numPr>
        <w:spacing w:after="200"/>
      </w:pPr>
      <w:r w:rsidRPr="00132C1E">
        <w:t xml:space="preserve">to connect continuity plates to the column flanges if the shear resistance </w:t>
      </w:r>
      <w:r w:rsidRPr="00132C1E">
        <w:rPr>
          <w:i/>
        </w:rPr>
        <w:t>V</w:t>
      </w:r>
      <w:r w:rsidRPr="00132C1E">
        <w:rPr>
          <w:vertAlign w:val="subscript"/>
        </w:rPr>
        <w:t>wp,Rd</w:t>
      </w:r>
      <w:r w:rsidRPr="00132C1E">
        <w:t xml:space="preserve"> of the column web panel is calculated accounting for their additional </w:t>
      </w:r>
      <w:r w:rsidRPr="00BA6BD3">
        <w:t>resistance (see Figure E.6 a</w:t>
      </w:r>
      <w:r w:rsidRPr="00132C1E">
        <w:t>);</w:t>
      </w:r>
    </w:p>
    <w:p w14:paraId="2F696B6B" w14:textId="77777777" w:rsidR="00E6211C" w:rsidRPr="00132C1E" w:rsidRDefault="00E6211C" w:rsidP="00691F56">
      <w:pPr>
        <w:pStyle w:val="Text"/>
        <w:numPr>
          <w:ilvl w:val="0"/>
          <w:numId w:val="703"/>
        </w:numPr>
        <w:spacing w:after="200"/>
      </w:pPr>
      <w:r w:rsidRPr="00132C1E">
        <w:t>to connect diaphragms to columns made of hollow profiles.</w:t>
      </w:r>
    </w:p>
    <w:p w14:paraId="7A4AB139" w14:textId="0F0D35F8" w:rsidR="00E6211C" w:rsidRPr="00132C1E" w:rsidRDefault="00E6211C" w:rsidP="00691F56">
      <w:pPr>
        <w:pStyle w:val="Clause"/>
        <w:spacing w:after="200"/>
      </w:pPr>
      <w:r w:rsidRPr="00132C1E">
        <w:lastRenderedPageBreak/>
        <w:t>FW width should not be smaller than 50 mm and their throat not smaller than 0,8 times the thickness of the connected element; they should be adopted in a) to d):</w:t>
      </w:r>
    </w:p>
    <w:p w14:paraId="1E7DD13E" w14:textId="77777777" w:rsidR="00E6211C" w:rsidRPr="00132C1E" w:rsidRDefault="00E6211C" w:rsidP="0080187E">
      <w:pPr>
        <w:pStyle w:val="Text"/>
        <w:numPr>
          <w:ilvl w:val="0"/>
          <w:numId w:val="704"/>
        </w:numPr>
      </w:pPr>
      <w:r w:rsidRPr="00132C1E">
        <w:t>to connect the beam web to either the end plate or the column flange;</w:t>
      </w:r>
    </w:p>
    <w:p w14:paraId="5BD102FA" w14:textId="5204C56C" w:rsidR="00E6211C" w:rsidRPr="00132C1E" w:rsidRDefault="00E6211C" w:rsidP="0080187E">
      <w:pPr>
        <w:pStyle w:val="Text"/>
        <w:numPr>
          <w:ilvl w:val="0"/>
          <w:numId w:val="704"/>
        </w:numPr>
      </w:pPr>
      <w:r w:rsidRPr="00132C1E">
        <w:t>to strengthen with internal fillet welds the beam flange-to-</w:t>
      </w:r>
      <w:r w:rsidRPr="00BA6BD3">
        <w:t>end-plate groove welds (see Figure E.3</w:t>
      </w:r>
      <w:r w:rsidRPr="00132C1E">
        <w:t>)</w:t>
      </w:r>
      <w:r w:rsidR="00BA6BD3">
        <w:t>;</w:t>
      </w:r>
    </w:p>
    <w:p w14:paraId="7C6C0749" w14:textId="77777777" w:rsidR="00E6211C" w:rsidRPr="00132C1E" w:rsidRDefault="00E6211C" w:rsidP="0080187E">
      <w:pPr>
        <w:pStyle w:val="Text"/>
        <w:numPr>
          <w:ilvl w:val="0"/>
          <w:numId w:val="704"/>
        </w:numPr>
      </w:pPr>
      <w:r w:rsidRPr="00132C1E">
        <w:t xml:space="preserve">to connect the continuity plates to the column flanges (if the shear resistance </w:t>
      </w:r>
      <w:r w:rsidRPr="00132C1E">
        <w:rPr>
          <w:i/>
        </w:rPr>
        <w:t>V</w:t>
      </w:r>
      <w:r w:rsidRPr="00132C1E">
        <w:rPr>
          <w:vertAlign w:val="subscript"/>
        </w:rPr>
        <w:t>wp,Rd</w:t>
      </w:r>
      <w:r w:rsidRPr="00132C1E">
        <w:t xml:space="preserve"> of the column web panel is calculated without their contribution) and </w:t>
      </w:r>
      <w:r w:rsidRPr="00BA6BD3">
        <w:t>web (see Figure E.6 b</w:t>
      </w:r>
      <w:r w:rsidRPr="00132C1E">
        <w:t>);</w:t>
      </w:r>
    </w:p>
    <w:p w14:paraId="57606CE3" w14:textId="77777777" w:rsidR="00E6211C" w:rsidRPr="00132C1E" w:rsidRDefault="00E6211C" w:rsidP="0080187E">
      <w:pPr>
        <w:pStyle w:val="Text"/>
        <w:numPr>
          <w:ilvl w:val="0"/>
          <w:numId w:val="704"/>
        </w:numPr>
      </w:pPr>
      <w:r w:rsidRPr="00132C1E">
        <w:t>to connect the outermost edges of supplementary plates to the column web (</w:t>
      </w:r>
      <w:r w:rsidRPr="00BA6BD3">
        <w:t>see Figure E.5 c</w:t>
      </w:r>
      <w:r w:rsidRPr="00132C1E">
        <w:t>).</w:t>
      </w:r>
    </w:p>
    <w:p w14:paraId="293E1390" w14:textId="08DC16B5" w:rsidR="00E6211C" w:rsidRPr="00132C1E" w:rsidRDefault="00E6211C" w:rsidP="00691F56">
      <w:pPr>
        <w:pStyle w:val="Clause"/>
        <w:spacing w:before="200" w:after="200"/>
      </w:pPr>
      <w:r w:rsidRPr="00132C1E">
        <w:t>PW should be not less than four (</w:t>
      </w:r>
      <w:r w:rsidRPr="00BA6BD3">
        <w:t xml:space="preserve">see Figure E.5 c) and should be adopted if </w:t>
      </w:r>
      <w:r w:rsidRPr="00BA6BD3">
        <w:rPr>
          <w:i/>
          <w:iCs/>
        </w:rPr>
        <w:t>b</w:t>
      </w:r>
      <w:r w:rsidRPr="00BA6BD3">
        <w:rPr>
          <w:vertAlign w:val="subscript"/>
        </w:rPr>
        <w:t>s</w:t>
      </w:r>
      <w:r w:rsidRPr="00BA6BD3">
        <w:t>/</w:t>
      </w:r>
      <w:r w:rsidRPr="00BA6BD3">
        <w:rPr>
          <w:i/>
          <w:iCs/>
        </w:rPr>
        <w:t>t</w:t>
      </w:r>
      <w:r w:rsidRPr="00BA6BD3">
        <w:rPr>
          <w:vertAlign w:val="subscript"/>
        </w:rPr>
        <w:t>swp</w:t>
      </w:r>
      <w:r w:rsidRPr="00BA6BD3">
        <w:t xml:space="preserve"> ≥ 40ε (see </w:t>
      </w:r>
      <w:r w:rsidRPr="00835C82">
        <w:t>E.3.3.2(3)</w:t>
      </w:r>
      <w:r w:rsidRPr="00BA6BD3">
        <w:t>).</w:t>
      </w:r>
    </w:p>
    <w:p w14:paraId="4D813FA6" w14:textId="7E5FC649" w:rsidR="00E6211C" w:rsidRPr="00132C1E" w:rsidRDefault="00E6211C" w:rsidP="00691F56">
      <w:pPr>
        <w:pStyle w:val="Clause"/>
        <w:spacing w:before="200" w:after="200"/>
      </w:pPr>
      <w:r w:rsidRPr="00132C1E">
        <w:t xml:space="preserve">For full welded unstiffened beam-to-column joints, weld access holes should be made in the web of the beam close to the beam </w:t>
      </w:r>
      <w:r w:rsidRPr="00BA6BD3">
        <w:t>flange-to-column flange connection. The geometrical features and details of weld access holes should comply with Figure E.8. The access holes should be made by means of initial drilled holes, see detail (C) in Figure E.8, with diametre between 18 mm and 20 mm, and finished with either oxy cutting, plasma cutting or laser cutting. Flame cutting should be avoided. Backing plates (see detail (E) in Figure E.8)</w:t>
      </w:r>
      <w:r w:rsidRPr="00132C1E">
        <w:t xml:space="preserve"> should be removed after the welding.</w:t>
      </w:r>
    </w:p>
    <w:p w14:paraId="72738FF4" w14:textId="3B46E8FD" w:rsidR="00E6211C" w:rsidRPr="00132C1E" w:rsidRDefault="00E6211C" w:rsidP="00691F56">
      <w:pPr>
        <w:pStyle w:val="Clause"/>
        <w:spacing w:before="200" w:after="200"/>
      </w:pPr>
      <w:r w:rsidRPr="00132C1E">
        <w:t xml:space="preserve">For bolted end plate connections with or without stiffeners (i.e. rib – see Figure E2 (b) or (d)- or haunch- see Figure E2 (c)) and welded stiffened joints, weld access holes should not be made. The geometrical features and details of the weld of beam flange-to-column flange connection should comply </w:t>
      </w:r>
      <w:r w:rsidRPr="00BA6BD3">
        <w:t>with Figure E.3</w:t>
      </w:r>
      <w:r w:rsidRPr="00132C1E">
        <w:t>.</w:t>
      </w:r>
    </w:p>
    <w:p w14:paraId="56667CE0" w14:textId="2A64FF2A" w:rsidR="00E6211C" w:rsidRPr="00132C1E" w:rsidRDefault="00E6211C" w:rsidP="00691F56">
      <w:pPr>
        <w:pStyle w:val="Clause"/>
        <w:spacing w:before="200" w:after="200"/>
      </w:pPr>
      <w:r w:rsidRPr="00132C1E">
        <w:t xml:space="preserve">In both welded or bolted connections with either rib or haunch stiffeners, the stiffener plates should be terminated at the beam flange and at the end of the end plate or column flange with landings equal to the maximum between the thickness of the beam flange </w:t>
      </w:r>
      <w:r w:rsidRPr="00132C1E">
        <w:rPr>
          <w:i/>
          <w:iCs/>
        </w:rPr>
        <w:t>t</w:t>
      </w:r>
      <w:r w:rsidRPr="00132C1E">
        <w:rPr>
          <w:vertAlign w:val="subscript"/>
        </w:rPr>
        <w:t>fb</w:t>
      </w:r>
      <w:r w:rsidRPr="00132C1E">
        <w:t xml:space="preserve"> and 25 mm (</w:t>
      </w:r>
      <w:r w:rsidRPr="00BA6BD3">
        <w:t>see Figure E.9(5)</w:t>
      </w:r>
      <w:r w:rsidRPr="00132C1E">
        <w:t>).</w:t>
      </w:r>
    </w:p>
    <w:p w14:paraId="34D17352" w14:textId="5F78763E" w:rsidR="00E6211C" w:rsidRPr="00132C1E" w:rsidRDefault="00E6211C" w:rsidP="00691F56">
      <w:pPr>
        <w:pStyle w:val="Clause"/>
        <w:spacing w:before="200" w:after="200"/>
      </w:pPr>
      <w:r w:rsidRPr="00132C1E">
        <w:t xml:space="preserve">In both welded and bolted connections with rib stiffeners, the groove full penetration welds should be parallel to the rib depth </w:t>
      </w:r>
      <w:r w:rsidRPr="00132C1E">
        <w:rPr>
          <w:i/>
          <w:iCs/>
        </w:rPr>
        <w:t>h</w:t>
      </w:r>
      <w:r w:rsidRPr="00132C1E">
        <w:rPr>
          <w:vertAlign w:val="subscript"/>
        </w:rPr>
        <w:t>r</w:t>
      </w:r>
      <w:r w:rsidRPr="00132C1E">
        <w:t xml:space="preserve"> and length </w:t>
      </w:r>
      <w:r w:rsidRPr="00132C1E">
        <w:rPr>
          <w:i/>
          <w:iCs/>
        </w:rPr>
        <w:t>l</w:t>
      </w:r>
      <w:r w:rsidRPr="00132C1E">
        <w:rPr>
          <w:vertAlign w:val="subscript"/>
        </w:rPr>
        <w:t>r</w:t>
      </w:r>
      <w:r w:rsidRPr="00132C1E">
        <w:t xml:space="preserve"> and should not wrap around the tip of the stiffener, </w:t>
      </w:r>
      <w:r w:rsidRPr="00BA6BD3">
        <w:t>see Figure</w:t>
      </w:r>
      <w:r w:rsidR="00691F56">
        <w:t> </w:t>
      </w:r>
      <w:r w:rsidRPr="00BA6BD3">
        <w:t>E.9b</w:t>
      </w:r>
      <w:r w:rsidRPr="00132C1E">
        <w:t>.</w:t>
      </w:r>
    </w:p>
    <w:p w14:paraId="6241D160" w14:textId="2F8CF110" w:rsidR="00E6211C" w:rsidRPr="00132C1E" w:rsidRDefault="00147A4A" w:rsidP="00691F56">
      <w:pPr>
        <w:pStyle w:val="FigureImage"/>
        <w:keepLines/>
      </w:pPr>
      <w:r>
        <w:rPr>
          <w:noProof/>
        </w:rPr>
        <w:lastRenderedPageBreak/>
        <w:drawing>
          <wp:inline distT="0" distB="0" distL="0" distR="0" wp14:anchorId="4D08B1E7" wp14:editId="7C3BDC06">
            <wp:extent cx="3959358" cy="1534670"/>
            <wp:effectExtent l="0" t="0" r="0" b="0"/>
            <wp:docPr id="2081949452" name="e003.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1949452" name="e003.tiff"/>
                    <pic:cNvPicPr/>
                  </pic:nvPicPr>
                  <pic:blipFill>
                    <a:blip r:link="rId89"/>
                    <a:stretch>
                      <a:fillRect/>
                    </a:stretch>
                  </pic:blipFill>
                  <pic:spPr>
                    <a:xfrm>
                      <a:off x="0" y="0"/>
                      <a:ext cx="3959358" cy="1534670"/>
                    </a:xfrm>
                    <a:prstGeom prst="rect">
                      <a:avLst/>
                    </a:prstGeom>
                  </pic:spPr>
                </pic:pic>
              </a:graphicData>
            </a:graphic>
          </wp:inline>
        </w:drawing>
      </w:r>
    </w:p>
    <w:p w14:paraId="4E207D91" w14:textId="77777777" w:rsidR="00147A4A" w:rsidRPr="00D1484A" w:rsidRDefault="00147A4A" w:rsidP="00691F56">
      <w:pPr>
        <w:pStyle w:val="KeyTitle"/>
        <w:keepLines/>
      </w:pPr>
      <w:r w:rsidRPr="00D1484A">
        <w:t>Key</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7"/>
        <w:gridCol w:w="3580"/>
      </w:tblGrid>
      <w:tr w:rsidR="00147A4A" w:rsidRPr="00B5422C" w14:paraId="0F20A3A1" w14:textId="77777777" w:rsidTr="00691F56">
        <w:tc>
          <w:tcPr>
            <w:tcW w:w="427" w:type="dxa"/>
          </w:tcPr>
          <w:p w14:paraId="4F7DFD70" w14:textId="4735E811" w:rsidR="00147A4A" w:rsidRPr="00FE79D8" w:rsidRDefault="00147A4A" w:rsidP="00691F56">
            <w:pPr>
              <w:pStyle w:val="KeyText"/>
              <w:keepNext/>
              <w:keepLines/>
              <w:rPr>
                <w:i/>
                <w:iCs/>
              </w:rPr>
            </w:pPr>
            <w:r>
              <w:rPr>
                <w:i/>
                <w:iCs/>
              </w:rPr>
              <w:t>1</w:t>
            </w:r>
          </w:p>
        </w:tc>
        <w:tc>
          <w:tcPr>
            <w:tcW w:w="3580" w:type="dxa"/>
          </w:tcPr>
          <w:p w14:paraId="2F70A2C1" w14:textId="694AF631" w:rsidR="00147A4A" w:rsidRPr="00FD12D8" w:rsidRDefault="00147A4A" w:rsidP="00691F56">
            <w:pPr>
              <w:pStyle w:val="KeyText"/>
              <w:keepNext/>
              <w:keepLines/>
            </w:pPr>
            <w:r>
              <w:t>endplate</w:t>
            </w:r>
          </w:p>
        </w:tc>
      </w:tr>
      <w:tr w:rsidR="00147A4A" w:rsidRPr="00B5422C" w14:paraId="067E5574" w14:textId="77777777" w:rsidTr="00691F56">
        <w:tc>
          <w:tcPr>
            <w:tcW w:w="427" w:type="dxa"/>
          </w:tcPr>
          <w:p w14:paraId="7231FEF9" w14:textId="06ADFA6E" w:rsidR="00147A4A" w:rsidRPr="00FE79D8" w:rsidRDefault="00147A4A" w:rsidP="00691F56">
            <w:pPr>
              <w:pStyle w:val="KeyText"/>
              <w:keepNext/>
              <w:keepLines/>
              <w:rPr>
                <w:i/>
                <w:iCs/>
              </w:rPr>
            </w:pPr>
            <w:r>
              <w:rPr>
                <w:i/>
                <w:iCs/>
              </w:rPr>
              <w:t>2a</w:t>
            </w:r>
          </w:p>
        </w:tc>
        <w:tc>
          <w:tcPr>
            <w:tcW w:w="3580" w:type="dxa"/>
          </w:tcPr>
          <w:p w14:paraId="030F8C19" w14:textId="6AD54A7A" w:rsidR="00147A4A" w:rsidRPr="00FD12D8" w:rsidRDefault="00147A4A" w:rsidP="00691F56">
            <w:pPr>
              <w:pStyle w:val="KeyText"/>
              <w:keepNext/>
              <w:keepLines/>
            </w:pPr>
            <w:r w:rsidRPr="00147A4A">
              <w:t>upper beam flange</w:t>
            </w:r>
          </w:p>
        </w:tc>
      </w:tr>
      <w:tr w:rsidR="00147A4A" w:rsidRPr="00B5422C" w14:paraId="4AC06B55" w14:textId="77777777" w:rsidTr="00691F56">
        <w:tc>
          <w:tcPr>
            <w:tcW w:w="427" w:type="dxa"/>
          </w:tcPr>
          <w:p w14:paraId="37A109BA" w14:textId="79D34994" w:rsidR="00147A4A" w:rsidRPr="00FE79D8" w:rsidRDefault="00147A4A" w:rsidP="00691F56">
            <w:pPr>
              <w:pStyle w:val="KeyText"/>
              <w:keepNext/>
              <w:keepLines/>
              <w:rPr>
                <w:i/>
                <w:iCs/>
              </w:rPr>
            </w:pPr>
            <w:r>
              <w:rPr>
                <w:i/>
                <w:iCs/>
              </w:rPr>
              <w:t>2b</w:t>
            </w:r>
          </w:p>
        </w:tc>
        <w:tc>
          <w:tcPr>
            <w:tcW w:w="3580" w:type="dxa"/>
          </w:tcPr>
          <w:p w14:paraId="37FEF316" w14:textId="3CEF3E08" w:rsidR="00147A4A" w:rsidRPr="00FD12D8" w:rsidRDefault="00147A4A" w:rsidP="00691F56">
            <w:pPr>
              <w:pStyle w:val="KeyText"/>
              <w:keepNext/>
              <w:keepLines/>
              <w:ind w:left="0" w:firstLine="0"/>
            </w:pPr>
            <w:r>
              <w:t>low</w:t>
            </w:r>
            <w:r w:rsidRPr="00147A4A">
              <w:t>er beam flange</w:t>
            </w:r>
          </w:p>
        </w:tc>
      </w:tr>
      <w:tr w:rsidR="00147A4A" w:rsidRPr="00B5422C" w14:paraId="0E8E7FB5" w14:textId="77777777" w:rsidTr="00691F56">
        <w:tc>
          <w:tcPr>
            <w:tcW w:w="427" w:type="dxa"/>
          </w:tcPr>
          <w:p w14:paraId="52E27BA3" w14:textId="4BBE16D7" w:rsidR="00147A4A" w:rsidRPr="00FE79D8" w:rsidRDefault="00147A4A" w:rsidP="00691F56">
            <w:pPr>
              <w:pStyle w:val="KeyText"/>
              <w:keepNext/>
              <w:keepLines/>
              <w:rPr>
                <w:i/>
                <w:iCs/>
              </w:rPr>
            </w:pPr>
            <w:r>
              <w:rPr>
                <w:i/>
                <w:iCs/>
              </w:rPr>
              <w:t>3</w:t>
            </w:r>
          </w:p>
        </w:tc>
        <w:tc>
          <w:tcPr>
            <w:tcW w:w="3580" w:type="dxa"/>
          </w:tcPr>
          <w:p w14:paraId="55ADFB4C" w14:textId="6089D575" w:rsidR="00147A4A" w:rsidRDefault="00147A4A" w:rsidP="00691F56">
            <w:pPr>
              <w:pStyle w:val="KeyText"/>
              <w:keepNext/>
              <w:keepLines/>
            </w:pPr>
            <w:r w:rsidRPr="00147A4A">
              <w:t>full penetration groove weld</w:t>
            </w:r>
          </w:p>
        </w:tc>
      </w:tr>
      <w:tr w:rsidR="00147A4A" w:rsidRPr="00B5422C" w14:paraId="291D575D" w14:textId="77777777" w:rsidTr="00691F56">
        <w:tc>
          <w:tcPr>
            <w:tcW w:w="427" w:type="dxa"/>
          </w:tcPr>
          <w:p w14:paraId="7EF01A2B" w14:textId="65AD5EDA" w:rsidR="00147A4A" w:rsidRDefault="00147A4A" w:rsidP="00691F56">
            <w:pPr>
              <w:pStyle w:val="KeyText"/>
              <w:keepNext/>
              <w:keepLines/>
              <w:rPr>
                <w:i/>
                <w:iCs/>
              </w:rPr>
            </w:pPr>
            <w:r>
              <w:rPr>
                <w:i/>
                <w:iCs/>
              </w:rPr>
              <w:t>4</w:t>
            </w:r>
          </w:p>
        </w:tc>
        <w:tc>
          <w:tcPr>
            <w:tcW w:w="3580" w:type="dxa"/>
          </w:tcPr>
          <w:p w14:paraId="5C28ED1D" w14:textId="37D9DAF4" w:rsidR="00147A4A" w:rsidRPr="00FE79D8" w:rsidRDefault="00147A4A" w:rsidP="00691F56">
            <w:pPr>
              <w:pStyle w:val="KeyText"/>
              <w:keepNext/>
              <w:keepLines/>
            </w:pPr>
            <w:r w:rsidRPr="00147A4A">
              <w:t>reinforcing fillet weld</w:t>
            </w:r>
          </w:p>
        </w:tc>
      </w:tr>
    </w:tbl>
    <w:p w14:paraId="120A3FBF" w14:textId="2E9DFD82" w:rsidR="00E6211C" w:rsidRPr="00FD17CF" w:rsidRDefault="00E6211C" w:rsidP="00691F56">
      <w:pPr>
        <w:pStyle w:val="Figuretitle"/>
        <w:keepNext/>
        <w:keepLines/>
      </w:pPr>
      <w:r w:rsidRPr="00D1484A">
        <w:t>Figure E.</w:t>
      </w:r>
      <w:r w:rsidR="009B2651">
        <w:t>3</w:t>
      </w:r>
      <w:r w:rsidRPr="00132C1E">
        <w:t> — </w:t>
      </w:r>
      <w:r w:rsidRPr="00D1484A">
        <w:t xml:space="preserve">DC3 details of beam flange-to-end-plate connection: </w:t>
      </w:r>
      <w:r w:rsidR="00147A4A">
        <w:br/>
      </w:r>
      <w:r w:rsidRPr="00D1484A">
        <w:t xml:space="preserve">(a) upper beam flange; (b) lower </w:t>
      </w:r>
      <w:r w:rsidRPr="007E6F67">
        <w:t>beam flange</w:t>
      </w:r>
    </w:p>
    <w:p w14:paraId="2E3C3D22" w14:textId="7571A2A8" w:rsidR="00E6211C" w:rsidRPr="00132C1E" w:rsidRDefault="00F801CE" w:rsidP="00691F56">
      <w:pPr>
        <w:pStyle w:val="FigureImage"/>
        <w:spacing w:before="360"/>
      </w:pPr>
      <w:r>
        <w:rPr>
          <w:noProof/>
        </w:rPr>
        <w:drawing>
          <wp:inline distT="0" distB="0" distL="0" distR="0" wp14:anchorId="2379EB23" wp14:editId="4EE0C3BC">
            <wp:extent cx="1260350" cy="1440182"/>
            <wp:effectExtent l="0" t="0" r="0" b="7620"/>
            <wp:docPr id="2081949453" name="e004.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1949453" name="e004.tiff"/>
                    <pic:cNvPicPr/>
                  </pic:nvPicPr>
                  <pic:blipFill>
                    <a:blip r:link="rId90"/>
                    <a:stretch>
                      <a:fillRect/>
                    </a:stretch>
                  </pic:blipFill>
                  <pic:spPr>
                    <a:xfrm>
                      <a:off x="0" y="0"/>
                      <a:ext cx="1260350" cy="1440182"/>
                    </a:xfrm>
                    <a:prstGeom prst="rect">
                      <a:avLst/>
                    </a:prstGeom>
                  </pic:spPr>
                </pic:pic>
              </a:graphicData>
            </a:graphic>
          </wp:inline>
        </w:drawing>
      </w:r>
    </w:p>
    <w:p w14:paraId="40C7BD38" w14:textId="77777777" w:rsidR="00F801CE" w:rsidRPr="00D1484A" w:rsidRDefault="00F801CE" w:rsidP="00F801CE">
      <w:pPr>
        <w:pStyle w:val="KeyTitle"/>
      </w:pPr>
      <w:r w:rsidRPr="00D1484A">
        <w:t>Key</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9"/>
        <w:gridCol w:w="6132"/>
      </w:tblGrid>
      <w:tr w:rsidR="00F801CE" w:rsidRPr="00B5422C" w14:paraId="32D88BE8" w14:textId="77777777" w:rsidTr="00691F56">
        <w:tc>
          <w:tcPr>
            <w:tcW w:w="389" w:type="dxa"/>
          </w:tcPr>
          <w:p w14:paraId="49B2EC94" w14:textId="77777777" w:rsidR="00F801CE" w:rsidRPr="00FE79D8" w:rsidRDefault="00F801CE" w:rsidP="002061E5">
            <w:pPr>
              <w:pStyle w:val="KeyText"/>
              <w:rPr>
                <w:i/>
                <w:iCs/>
              </w:rPr>
            </w:pPr>
            <w:r>
              <w:rPr>
                <w:i/>
                <w:iCs/>
              </w:rPr>
              <w:t>1</w:t>
            </w:r>
          </w:p>
        </w:tc>
        <w:tc>
          <w:tcPr>
            <w:tcW w:w="6132" w:type="dxa"/>
          </w:tcPr>
          <w:p w14:paraId="702ABE6F" w14:textId="5F185E5C" w:rsidR="00F801CE" w:rsidRPr="00FD12D8" w:rsidRDefault="00F801CE" w:rsidP="002061E5">
            <w:pPr>
              <w:pStyle w:val="KeyText"/>
            </w:pPr>
            <w:r w:rsidRPr="00F801CE">
              <w:t>web of the rib stiffener</w:t>
            </w:r>
          </w:p>
        </w:tc>
      </w:tr>
      <w:tr w:rsidR="00F801CE" w:rsidRPr="00B5422C" w14:paraId="55BDBAAB" w14:textId="77777777" w:rsidTr="00691F56">
        <w:tc>
          <w:tcPr>
            <w:tcW w:w="389" w:type="dxa"/>
          </w:tcPr>
          <w:p w14:paraId="387C0631" w14:textId="3DE86102" w:rsidR="00F801CE" w:rsidRPr="00FE79D8" w:rsidRDefault="00F801CE" w:rsidP="002061E5">
            <w:pPr>
              <w:pStyle w:val="KeyText"/>
              <w:rPr>
                <w:i/>
                <w:iCs/>
              </w:rPr>
            </w:pPr>
            <w:r>
              <w:rPr>
                <w:i/>
                <w:iCs/>
              </w:rPr>
              <w:t>2</w:t>
            </w:r>
          </w:p>
        </w:tc>
        <w:tc>
          <w:tcPr>
            <w:tcW w:w="6132" w:type="dxa"/>
          </w:tcPr>
          <w:p w14:paraId="09066783" w14:textId="255B67A7" w:rsidR="00F801CE" w:rsidRPr="00FD12D8" w:rsidRDefault="00F801CE" w:rsidP="002061E5">
            <w:pPr>
              <w:pStyle w:val="KeyText"/>
            </w:pPr>
            <w:r w:rsidRPr="00F801CE">
              <w:t>beam flange</w:t>
            </w:r>
            <w:r>
              <w:t>,</w:t>
            </w:r>
            <w:r w:rsidRPr="00F801CE">
              <w:t xml:space="preserve"> column flange or end-plate</w:t>
            </w:r>
          </w:p>
        </w:tc>
      </w:tr>
      <w:tr w:rsidR="00F801CE" w:rsidRPr="00B5422C" w14:paraId="6D7BB555" w14:textId="77777777" w:rsidTr="00691F56">
        <w:tc>
          <w:tcPr>
            <w:tcW w:w="389" w:type="dxa"/>
          </w:tcPr>
          <w:p w14:paraId="6AAF2728" w14:textId="0423F53B" w:rsidR="00F801CE" w:rsidRPr="00FE79D8" w:rsidRDefault="00F801CE" w:rsidP="002061E5">
            <w:pPr>
              <w:pStyle w:val="KeyText"/>
              <w:rPr>
                <w:i/>
                <w:iCs/>
              </w:rPr>
            </w:pPr>
            <w:r>
              <w:rPr>
                <w:i/>
                <w:iCs/>
              </w:rPr>
              <w:t>3</w:t>
            </w:r>
          </w:p>
        </w:tc>
        <w:tc>
          <w:tcPr>
            <w:tcW w:w="6132" w:type="dxa"/>
          </w:tcPr>
          <w:p w14:paraId="5C7E1F18" w14:textId="7F4795E3" w:rsidR="00F801CE" w:rsidRPr="00FD12D8" w:rsidRDefault="00F801CE" w:rsidP="002061E5">
            <w:pPr>
              <w:pStyle w:val="KeyText"/>
              <w:ind w:left="0" w:firstLine="0"/>
            </w:pPr>
            <w:r w:rsidRPr="00F801CE">
              <w:t>full penetration groove weld with V bevel and reinforcing fillet weld</w:t>
            </w:r>
          </w:p>
        </w:tc>
      </w:tr>
    </w:tbl>
    <w:p w14:paraId="58020469" w14:textId="565CFADF" w:rsidR="00E6211C" w:rsidRPr="00FD17CF" w:rsidRDefault="00E6211C" w:rsidP="00BA6BD3">
      <w:pPr>
        <w:pStyle w:val="Figuretitle"/>
      </w:pPr>
      <w:r w:rsidRPr="00132C1E">
        <w:t>Figure E.</w:t>
      </w:r>
      <w:r w:rsidR="009B2651">
        <w:t>4</w:t>
      </w:r>
      <w:r w:rsidRPr="00132C1E">
        <w:t> — </w:t>
      </w:r>
      <w:r w:rsidRPr="00D1484A">
        <w:t>DC3 details of the rib stiffeners welds to either beam flange, column f</w:t>
      </w:r>
      <w:r w:rsidRPr="007E6F67">
        <w:t>lange or endplate</w:t>
      </w:r>
    </w:p>
    <w:p w14:paraId="60701FC9" w14:textId="38F48225" w:rsidR="00E6211C" w:rsidRPr="00132C1E" w:rsidRDefault="00F801CE" w:rsidP="00F801CE">
      <w:pPr>
        <w:pStyle w:val="FigureImage"/>
      </w:pPr>
      <w:r>
        <w:rPr>
          <w:noProof/>
        </w:rPr>
        <w:lastRenderedPageBreak/>
        <w:drawing>
          <wp:inline distT="0" distB="0" distL="0" distR="0" wp14:anchorId="1731A38E" wp14:editId="7AC8582B">
            <wp:extent cx="5039876" cy="4549147"/>
            <wp:effectExtent l="0" t="0" r="0" b="0"/>
            <wp:docPr id="2081949454" name="e005.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1949454" name="e005.tiff"/>
                    <pic:cNvPicPr/>
                  </pic:nvPicPr>
                  <pic:blipFill>
                    <a:blip r:link="rId91"/>
                    <a:stretch>
                      <a:fillRect/>
                    </a:stretch>
                  </pic:blipFill>
                  <pic:spPr>
                    <a:xfrm>
                      <a:off x="0" y="0"/>
                      <a:ext cx="5039876" cy="4549147"/>
                    </a:xfrm>
                    <a:prstGeom prst="rect">
                      <a:avLst/>
                    </a:prstGeom>
                  </pic:spPr>
                </pic:pic>
              </a:graphicData>
            </a:graphic>
          </wp:inline>
        </w:drawing>
      </w:r>
    </w:p>
    <w:p w14:paraId="57AD7AD7" w14:textId="77777777" w:rsidR="00F801CE" w:rsidRPr="00D1484A" w:rsidRDefault="00F801CE" w:rsidP="00F801CE">
      <w:pPr>
        <w:pStyle w:val="KeyTitle"/>
      </w:pPr>
      <w:r w:rsidRPr="00D1484A">
        <w:t>Key</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9"/>
        <w:gridCol w:w="7408"/>
      </w:tblGrid>
      <w:tr w:rsidR="00F801CE" w:rsidRPr="00B5422C" w14:paraId="49A1C274" w14:textId="77777777" w:rsidTr="00691F56">
        <w:tc>
          <w:tcPr>
            <w:tcW w:w="389" w:type="dxa"/>
          </w:tcPr>
          <w:p w14:paraId="354E72A2" w14:textId="77777777" w:rsidR="00F801CE" w:rsidRPr="00FE79D8" w:rsidRDefault="00F801CE" w:rsidP="002061E5">
            <w:pPr>
              <w:pStyle w:val="KeyText"/>
              <w:rPr>
                <w:i/>
                <w:iCs/>
              </w:rPr>
            </w:pPr>
            <w:r>
              <w:rPr>
                <w:i/>
                <w:iCs/>
              </w:rPr>
              <w:t>1</w:t>
            </w:r>
          </w:p>
        </w:tc>
        <w:tc>
          <w:tcPr>
            <w:tcW w:w="7408" w:type="dxa"/>
          </w:tcPr>
          <w:p w14:paraId="1D90733E" w14:textId="1F5C201D" w:rsidR="00F801CE" w:rsidRPr="00FD12D8" w:rsidRDefault="00F801CE" w:rsidP="002061E5">
            <w:pPr>
              <w:pStyle w:val="KeyText"/>
            </w:pPr>
            <w:r w:rsidRPr="00F801CE">
              <w:t>column web</w:t>
            </w:r>
          </w:p>
        </w:tc>
      </w:tr>
      <w:tr w:rsidR="00F801CE" w:rsidRPr="00B5422C" w14:paraId="171B6DB5" w14:textId="77777777" w:rsidTr="00691F56">
        <w:tc>
          <w:tcPr>
            <w:tcW w:w="389" w:type="dxa"/>
          </w:tcPr>
          <w:p w14:paraId="5DADA711" w14:textId="04E584FF" w:rsidR="00F801CE" w:rsidRPr="00FE79D8" w:rsidRDefault="00F801CE" w:rsidP="002061E5">
            <w:pPr>
              <w:pStyle w:val="KeyText"/>
              <w:rPr>
                <w:i/>
                <w:iCs/>
              </w:rPr>
            </w:pPr>
            <w:r>
              <w:rPr>
                <w:i/>
                <w:iCs/>
              </w:rPr>
              <w:t>2</w:t>
            </w:r>
          </w:p>
        </w:tc>
        <w:tc>
          <w:tcPr>
            <w:tcW w:w="7408" w:type="dxa"/>
          </w:tcPr>
          <w:p w14:paraId="69EF2997" w14:textId="0B11F501" w:rsidR="00F801CE" w:rsidRPr="00FD12D8" w:rsidRDefault="00F801CE" w:rsidP="002061E5">
            <w:pPr>
              <w:pStyle w:val="KeyText"/>
            </w:pPr>
            <w:r w:rsidRPr="00F801CE">
              <w:t>column flange</w:t>
            </w:r>
          </w:p>
        </w:tc>
      </w:tr>
      <w:tr w:rsidR="00F801CE" w:rsidRPr="00B5422C" w14:paraId="4CEDBFFE" w14:textId="77777777" w:rsidTr="00691F56">
        <w:tc>
          <w:tcPr>
            <w:tcW w:w="389" w:type="dxa"/>
          </w:tcPr>
          <w:p w14:paraId="124C8928" w14:textId="66FF199B" w:rsidR="00F801CE" w:rsidRPr="00FE79D8" w:rsidRDefault="00F801CE" w:rsidP="002061E5">
            <w:pPr>
              <w:pStyle w:val="KeyText"/>
              <w:rPr>
                <w:i/>
                <w:iCs/>
              </w:rPr>
            </w:pPr>
            <w:r>
              <w:rPr>
                <w:i/>
                <w:iCs/>
              </w:rPr>
              <w:t>3</w:t>
            </w:r>
          </w:p>
        </w:tc>
        <w:tc>
          <w:tcPr>
            <w:tcW w:w="7408" w:type="dxa"/>
          </w:tcPr>
          <w:p w14:paraId="1D367330" w14:textId="18B9FDBC" w:rsidR="00F801CE" w:rsidRPr="00FD12D8" w:rsidRDefault="00F801CE" w:rsidP="002061E5">
            <w:pPr>
              <w:pStyle w:val="KeyText"/>
              <w:ind w:left="0" w:firstLine="0"/>
            </w:pPr>
            <w:r w:rsidRPr="00F801CE">
              <w:t>supplementary plate</w:t>
            </w:r>
          </w:p>
        </w:tc>
      </w:tr>
      <w:tr w:rsidR="00F801CE" w:rsidRPr="00B5422C" w14:paraId="22E25D84" w14:textId="77777777" w:rsidTr="00691F56">
        <w:tc>
          <w:tcPr>
            <w:tcW w:w="389" w:type="dxa"/>
          </w:tcPr>
          <w:p w14:paraId="57EB5F05" w14:textId="31F5CE27" w:rsidR="00F801CE" w:rsidRPr="00FE79D8" w:rsidRDefault="00F801CE" w:rsidP="002061E5">
            <w:pPr>
              <w:pStyle w:val="KeyText"/>
              <w:rPr>
                <w:i/>
                <w:iCs/>
              </w:rPr>
            </w:pPr>
            <w:r>
              <w:rPr>
                <w:i/>
                <w:iCs/>
              </w:rPr>
              <w:t>4</w:t>
            </w:r>
          </w:p>
        </w:tc>
        <w:tc>
          <w:tcPr>
            <w:tcW w:w="7408" w:type="dxa"/>
          </w:tcPr>
          <w:p w14:paraId="7BA9244B" w14:textId="77777777" w:rsidR="00F801CE" w:rsidRDefault="00F801CE" w:rsidP="002061E5">
            <w:pPr>
              <w:pStyle w:val="KeyText"/>
            </w:pPr>
            <w:r w:rsidRPr="00147A4A">
              <w:t>full penetration groove weld</w:t>
            </w:r>
          </w:p>
        </w:tc>
      </w:tr>
      <w:tr w:rsidR="00F801CE" w:rsidRPr="00B5422C" w14:paraId="6D021B7D" w14:textId="77777777" w:rsidTr="00691F56">
        <w:tc>
          <w:tcPr>
            <w:tcW w:w="389" w:type="dxa"/>
          </w:tcPr>
          <w:p w14:paraId="612A45A0" w14:textId="19B504CB" w:rsidR="00F801CE" w:rsidRDefault="00F801CE" w:rsidP="002061E5">
            <w:pPr>
              <w:pStyle w:val="KeyText"/>
              <w:rPr>
                <w:i/>
                <w:iCs/>
              </w:rPr>
            </w:pPr>
            <w:r>
              <w:rPr>
                <w:i/>
                <w:iCs/>
              </w:rPr>
              <w:t>5</w:t>
            </w:r>
          </w:p>
        </w:tc>
        <w:tc>
          <w:tcPr>
            <w:tcW w:w="7408" w:type="dxa"/>
          </w:tcPr>
          <w:p w14:paraId="2DBDFF91" w14:textId="77777777" w:rsidR="00F801CE" w:rsidRPr="00FE79D8" w:rsidRDefault="00F801CE" w:rsidP="002061E5">
            <w:pPr>
              <w:pStyle w:val="KeyText"/>
            </w:pPr>
            <w:r w:rsidRPr="00147A4A">
              <w:t>reinforcing fillet weld</w:t>
            </w:r>
          </w:p>
        </w:tc>
      </w:tr>
      <w:tr w:rsidR="00F801CE" w:rsidRPr="00B5422C" w14:paraId="0C018C26" w14:textId="77777777" w:rsidTr="00691F56">
        <w:tc>
          <w:tcPr>
            <w:tcW w:w="389" w:type="dxa"/>
          </w:tcPr>
          <w:p w14:paraId="63A8729D" w14:textId="326A36A4" w:rsidR="00F801CE" w:rsidRDefault="00F801CE" w:rsidP="002061E5">
            <w:pPr>
              <w:pStyle w:val="KeyText"/>
              <w:rPr>
                <w:i/>
                <w:iCs/>
              </w:rPr>
            </w:pPr>
            <w:r>
              <w:rPr>
                <w:i/>
                <w:iCs/>
              </w:rPr>
              <w:t>6</w:t>
            </w:r>
          </w:p>
        </w:tc>
        <w:tc>
          <w:tcPr>
            <w:tcW w:w="7408" w:type="dxa"/>
          </w:tcPr>
          <w:p w14:paraId="5041EBD8" w14:textId="11542F12" w:rsidR="00F801CE" w:rsidRPr="00147A4A" w:rsidRDefault="00F801CE" w:rsidP="002061E5">
            <w:pPr>
              <w:pStyle w:val="KeyText"/>
            </w:pPr>
            <w:r w:rsidRPr="00F801CE">
              <w:t>plug welds connecting slender supplementary plates to column web (see G.3.3.3(5))</w:t>
            </w:r>
          </w:p>
        </w:tc>
      </w:tr>
    </w:tbl>
    <w:p w14:paraId="48805496" w14:textId="1EDDB865" w:rsidR="00E6211C" w:rsidRPr="00FD17CF" w:rsidRDefault="00E6211C" w:rsidP="00BA6BD3">
      <w:pPr>
        <w:pStyle w:val="Figuretitle"/>
      </w:pPr>
      <w:r w:rsidRPr="00D1484A">
        <w:t>Figure E.</w:t>
      </w:r>
      <w:r w:rsidR="009B2651">
        <w:t>5</w:t>
      </w:r>
      <w:r w:rsidRPr="00132C1E">
        <w:t> — </w:t>
      </w:r>
      <w:r w:rsidRPr="00D1484A">
        <w:t>DC3 details of welds of supplementary plates to column web: (a) tolerances of supplementary plate onto column web; (b) details of welds of supplementary plate onto column web; (c) supplementary plate spaced from column web</w:t>
      </w:r>
      <w:r w:rsidR="00F801CE">
        <w:t xml:space="preserve">; </w:t>
      </w:r>
      <w:r w:rsidR="00170EF2">
        <w:t>(d) top view</w:t>
      </w:r>
    </w:p>
    <w:p w14:paraId="7E39CDEA" w14:textId="0C741B42" w:rsidR="00E6211C" w:rsidRPr="00D1484A" w:rsidRDefault="004B629E" w:rsidP="004B629E">
      <w:pPr>
        <w:pStyle w:val="FigureImage"/>
      </w:pPr>
      <w:r>
        <w:rPr>
          <w:noProof/>
        </w:rPr>
        <w:lastRenderedPageBreak/>
        <w:drawing>
          <wp:inline distT="0" distB="0" distL="0" distR="0" wp14:anchorId="5D4668B3" wp14:editId="6D254205">
            <wp:extent cx="3599694" cy="1610871"/>
            <wp:effectExtent l="0" t="0" r="1270" b="8890"/>
            <wp:docPr id="2081949455" name="e006.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1949455" name="e006.tiff"/>
                    <pic:cNvPicPr/>
                  </pic:nvPicPr>
                  <pic:blipFill>
                    <a:blip r:link="rId92"/>
                    <a:stretch>
                      <a:fillRect/>
                    </a:stretch>
                  </pic:blipFill>
                  <pic:spPr>
                    <a:xfrm>
                      <a:off x="0" y="0"/>
                      <a:ext cx="3599694" cy="1610871"/>
                    </a:xfrm>
                    <a:prstGeom prst="rect">
                      <a:avLst/>
                    </a:prstGeom>
                  </pic:spPr>
                </pic:pic>
              </a:graphicData>
            </a:graphic>
          </wp:inline>
        </w:drawing>
      </w:r>
    </w:p>
    <w:p w14:paraId="16FF9C4C" w14:textId="77777777" w:rsidR="004B629E" w:rsidRPr="00D1484A" w:rsidRDefault="004B629E" w:rsidP="004B629E">
      <w:pPr>
        <w:pStyle w:val="KeyTitle"/>
      </w:pPr>
      <w:r w:rsidRPr="00D1484A">
        <w:t>Key</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9"/>
        <w:gridCol w:w="3864"/>
      </w:tblGrid>
      <w:tr w:rsidR="004B629E" w:rsidRPr="00B5422C" w14:paraId="5CDD90C4" w14:textId="77777777" w:rsidTr="00691F56">
        <w:tc>
          <w:tcPr>
            <w:tcW w:w="389" w:type="dxa"/>
          </w:tcPr>
          <w:p w14:paraId="671BBC7D" w14:textId="77777777" w:rsidR="004B629E" w:rsidRPr="00D4445A" w:rsidRDefault="004B629E" w:rsidP="00D4445A">
            <w:pPr>
              <w:pStyle w:val="KeyText"/>
              <w:spacing w:before="0"/>
              <w:rPr>
                <w:iCs/>
              </w:rPr>
            </w:pPr>
            <w:r w:rsidRPr="00D4445A">
              <w:rPr>
                <w:iCs/>
              </w:rPr>
              <w:t>1</w:t>
            </w:r>
          </w:p>
        </w:tc>
        <w:tc>
          <w:tcPr>
            <w:tcW w:w="3864" w:type="dxa"/>
          </w:tcPr>
          <w:p w14:paraId="2E1B000C" w14:textId="37D5F20E" w:rsidR="004B629E" w:rsidRPr="00FD12D8" w:rsidRDefault="004B629E" w:rsidP="00D4445A">
            <w:pPr>
              <w:pStyle w:val="KeyText"/>
              <w:spacing w:before="0"/>
            </w:pPr>
            <w:r w:rsidRPr="004B629E">
              <w:t>continuity plate</w:t>
            </w:r>
          </w:p>
        </w:tc>
      </w:tr>
      <w:tr w:rsidR="004B629E" w:rsidRPr="00B5422C" w14:paraId="0120B89C" w14:textId="77777777" w:rsidTr="00691F56">
        <w:tc>
          <w:tcPr>
            <w:tcW w:w="389" w:type="dxa"/>
          </w:tcPr>
          <w:p w14:paraId="3B07A930" w14:textId="77777777" w:rsidR="004B629E" w:rsidRPr="00D4445A" w:rsidRDefault="004B629E" w:rsidP="00D4445A">
            <w:pPr>
              <w:pStyle w:val="KeyText"/>
              <w:spacing w:before="0"/>
              <w:rPr>
                <w:iCs/>
              </w:rPr>
            </w:pPr>
            <w:r w:rsidRPr="00D4445A">
              <w:rPr>
                <w:iCs/>
              </w:rPr>
              <w:t>2</w:t>
            </w:r>
          </w:p>
        </w:tc>
        <w:tc>
          <w:tcPr>
            <w:tcW w:w="3864" w:type="dxa"/>
          </w:tcPr>
          <w:p w14:paraId="2FF26530" w14:textId="77777777" w:rsidR="004B629E" w:rsidRPr="00FD12D8" w:rsidRDefault="004B629E" w:rsidP="00D4445A">
            <w:pPr>
              <w:pStyle w:val="KeyText"/>
              <w:spacing w:before="0"/>
            </w:pPr>
            <w:r w:rsidRPr="00F801CE">
              <w:t>column flange</w:t>
            </w:r>
          </w:p>
        </w:tc>
      </w:tr>
      <w:tr w:rsidR="004B629E" w:rsidRPr="00B5422C" w14:paraId="4FD21284" w14:textId="77777777" w:rsidTr="00691F56">
        <w:tc>
          <w:tcPr>
            <w:tcW w:w="389" w:type="dxa"/>
          </w:tcPr>
          <w:p w14:paraId="5F56E7CD" w14:textId="77777777" w:rsidR="004B629E" w:rsidRPr="00D4445A" w:rsidRDefault="004B629E" w:rsidP="00D4445A">
            <w:pPr>
              <w:pStyle w:val="KeyText"/>
              <w:spacing w:before="0"/>
              <w:rPr>
                <w:iCs/>
              </w:rPr>
            </w:pPr>
            <w:r w:rsidRPr="00D4445A">
              <w:rPr>
                <w:iCs/>
              </w:rPr>
              <w:t>3</w:t>
            </w:r>
          </w:p>
        </w:tc>
        <w:tc>
          <w:tcPr>
            <w:tcW w:w="3864" w:type="dxa"/>
          </w:tcPr>
          <w:p w14:paraId="240786FB" w14:textId="4B055380" w:rsidR="004B629E" w:rsidRPr="00FD12D8" w:rsidRDefault="004B629E" w:rsidP="00D4445A">
            <w:pPr>
              <w:pStyle w:val="KeyText"/>
              <w:spacing w:before="0"/>
              <w:ind w:left="0" w:firstLine="0"/>
            </w:pPr>
            <w:r w:rsidRPr="004B629E">
              <w:t>full penetration groove weld with V bevel</w:t>
            </w:r>
          </w:p>
        </w:tc>
      </w:tr>
      <w:tr w:rsidR="004B629E" w:rsidRPr="00B5422C" w14:paraId="2F8542A3" w14:textId="77777777" w:rsidTr="00691F56">
        <w:tc>
          <w:tcPr>
            <w:tcW w:w="389" w:type="dxa"/>
          </w:tcPr>
          <w:p w14:paraId="491D28CB" w14:textId="77777777" w:rsidR="004B629E" w:rsidRPr="00D4445A" w:rsidRDefault="004B629E" w:rsidP="00D4445A">
            <w:pPr>
              <w:pStyle w:val="KeyText"/>
              <w:spacing w:before="0"/>
              <w:rPr>
                <w:iCs/>
              </w:rPr>
            </w:pPr>
            <w:r w:rsidRPr="00D4445A">
              <w:rPr>
                <w:iCs/>
              </w:rPr>
              <w:t>4</w:t>
            </w:r>
          </w:p>
        </w:tc>
        <w:tc>
          <w:tcPr>
            <w:tcW w:w="3864" w:type="dxa"/>
          </w:tcPr>
          <w:p w14:paraId="7EB2E196" w14:textId="24C34BA0" w:rsidR="004B629E" w:rsidRDefault="004B629E" w:rsidP="00D4445A">
            <w:pPr>
              <w:pStyle w:val="KeyText"/>
              <w:spacing w:before="0"/>
            </w:pPr>
            <w:r w:rsidRPr="004B629E">
              <w:t>fillet weld</w:t>
            </w:r>
          </w:p>
        </w:tc>
      </w:tr>
    </w:tbl>
    <w:p w14:paraId="0A9D7888" w14:textId="23F85489" w:rsidR="00E6211C" w:rsidRPr="00196951" w:rsidRDefault="00E6211C" w:rsidP="00BA6BD3">
      <w:pPr>
        <w:pStyle w:val="Figuretitle"/>
      </w:pPr>
      <w:r w:rsidRPr="00D1484A">
        <w:t>Figure E.</w:t>
      </w:r>
      <w:r w:rsidR="009B2651">
        <w:t>6</w:t>
      </w:r>
      <w:r w:rsidRPr="00132C1E">
        <w:t> — </w:t>
      </w:r>
      <w:r w:rsidRPr="00D1484A">
        <w:t>DC3 details of welds between continu</w:t>
      </w:r>
      <w:r w:rsidRPr="007E6F67">
        <w:t>ity plates and column flange: (a) detail for the case compliant with G.</w:t>
      </w:r>
      <w:r w:rsidRPr="00FD17CF">
        <w:t>3.3.3(2)d</w:t>
      </w:r>
      <w:r w:rsidR="004B629E">
        <w:t>)</w:t>
      </w:r>
      <w:r w:rsidRPr="00FD17CF">
        <w:t>; (b) detail for the case compliant with G.3</w:t>
      </w:r>
      <w:r w:rsidRPr="00E05E29">
        <w:t>.3.3(3)c</w:t>
      </w:r>
      <w:r w:rsidR="004B629E">
        <w:t>)</w:t>
      </w:r>
      <w:bookmarkStart w:id="11244" w:name="_Hlk15937726"/>
      <w:bookmarkEnd w:id="11244"/>
    </w:p>
    <w:p w14:paraId="5625A9E2" w14:textId="3C22976C" w:rsidR="00E6211C" w:rsidRPr="00132C1E" w:rsidRDefault="004B629E" w:rsidP="004B629E">
      <w:pPr>
        <w:pStyle w:val="FigureImage"/>
      </w:pPr>
      <w:r>
        <w:rPr>
          <w:noProof/>
        </w:rPr>
        <w:drawing>
          <wp:inline distT="0" distB="0" distL="0" distR="0" wp14:anchorId="1617CBF3" wp14:editId="287FA6AF">
            <wp:extent cx="3959358" cy="2058927"/>
            <wp:effectExtent l="0" t="0" r="3175" b="0"/>
            <wp:docPr id="2081949456" name="e007.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1949456" name="e007.tiff"/>
                    <pic:cNvPicPr/>
                  </pic:nvPicPr>
                  <pic:blipFill>
                    <a:blip r:link="rId93"/>
                    <a:stretch>
                      <a:fillRect/>
                    </a:stretch>
                  </pic:blipFill>
                  <pic:spPr>
                    <a:xfrm>
                      <a:off x="0" y="0"/>
                      <a:ext cx="3959358" cy="2058927"/>
                    </a:xfrm>
                    <a:prstGeom prst="rect">
                      <a:avLst/>
                    </a:prstGeom>
                  </pic:spPr>
                </pic:pic>
              </a:graphicData>
            </a:graphic>
          </wp:inline>
        </w:drawing>
      </w:r>
    </w:p>
    <w:p w14:paraId="4462ECC5" w14:textId="77777777" w:rsidR="004B629E" w:rsidRPr="00D1484A" w:rsidRDefault="004B629E" w:rsidP="004B629E">
      <w:pPr>
        <w:pStyle w:val="KeyTitle"/>
      </w:pPr>
      <w:r w:rsidRPr="00D1484A">
        <w:t>Key</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9"/>
        <w:gridCol w:w="1738"/>
      </w:tblGrid>
      <w:tr w:rsidR="004B629E" w:rsidRPr="00B5422C" w14:paraId="7C717C68" w14:textId="77777777" w:rsidTr="00691F56">
        <w:tc>
          <w:tcPr>
            <w:tcW w:w="389" w:type="dxa"/>
          </w:tcPr>
          <w:p w14:paraId="22222466" w14:textId="77777777" w:rsidR="004B629E" w:rsidRPr="00D4445A" w:rsidRDefault="004B629E" w:rsidP="00D4445A">
            <w:pPr>
              <w:pStyle w:val="KeyText"/>
              <w:spacing w:before="0"/>
              <w:rPr>
                <w:iCs/>
              </w:rPr>
            </w:pPr>
            <w:r w:rsidRPr="00D4445A">
              <w:rPr>
                <w:iCs/>
              </w:rPr>
              <w:t>1</w:t>
            </w:r>
          </w:p>
        </w:tc>
        <w:tc>
          <w:tcPr>
            <w:tcW w:w="1738" w:type="dxa"/>
          </w:tcPr>
          <w:p w14:paraId="12DB26F0" w14:textId="77777777" w:rsidR="004B629E" w:rsidRPr="00FD12D8" w:rsidRDefault="004B629E" w:rsidP="00D4445A">
            <w:pPr>
              <w:pStyle w:val="KeyText"/>
              <w:spacing w:before="0"/>
            </w:pPr>
            <w:r w:rsidRPr="004B629E">
              <w:t>continuity plate</w:t>
            </w:r>
          </w:p>
        </w:tc>
      </w:tr>
      <w:tr w:rsidR="004B629E" w:rsidRPr="00B5422C" w14:paraId="7BAF110E" w14:textId="77777777" w:rsidTr="00691F56">
        <w:tc>
          <w:tcPr>
            <w:tcW w:w="389" w:type="dxa"/>
          </w:tcPr>
          <w:p w14:paraId="28BE9CF7" w14:textId="77777777" w:rsidR="004B629E" w:rsidRPr="00D4445A" w:rsidRDefault="004B629E" w:rsidP="00D4445A">
            <w:pPr>
              <w:pStyle w:val="KeyText"/>
              <w:spacing w:before="0"/>
              <w:rPr>
                <w:iCs/>
              </w:rPr>
            </w:pPr>
            <w:r w:rsidRPr="00D4445A">
              <w:rPr>
                <w:iCs/>
              </w:rPr>
              <w:t>2</w:t>
            </w:r>
          </w:p>
        </w:tc>
        <w:tc>
          <w:tcPr>
            <w:tcW w:w="1738" w:type="dxa"/>
          </w:tcPr>
          <w:p w14:paraId="33987AE2" w14:textId="10610F12" w:rsidR="004B629E" w:rsidRPr="00FD12D8" w:rsidRDefault="004B629E" w:rsidP="00D4445A">
            <w:pPr>
              <w:pStyle w:val="KeyText"/>
              <w:spacing w:before="0"/>
            </w:pPr>
            <w:r w:rsidRPr="00F801CE">
              <w:t>column</w:t>
            </w:r>
          </w:p>
        </w:tc>
      </w:tr>
      <w:tr w:rsidR="004B629E" w:rsidRPr="00B5422C" w14:paraId="37545871" w14:textId="77777777" w:rsidTr="00691F56">
        <w:tc>
          <w:tcPr>
            <w:tcW w:w="389" w:type="dxa"/>
          </w:tcPr>
          <w:p w14:paraId="062E47F1" w14:textId="77777777" w:rsidR="004B629E" w:rsidRPr="00D4445A" w:rsidRDefault="004B629E" w:rsidP="00D4445A">
            <w:pPr>
              <w:pStyle w:val="KeyText"/>
              <w:spacing w:before="0"/>
              <w:rPr>
                <w:iCs/>
              </w:rPr>
            </w:pPr>
            <w:r w:rsidRPr="00D4445A">
              <w:rPr>
                <w:iCs/>
              </w:rPr>
              <w:t>3</w:t>
            </w:r>
          </w:p>
        </w:tc>
        <w:tc>
          <w:tcPr>
            <w:tcW w:w="1738" w:type="dxa"/>
          </w:tcPr>
          <w:p w14:paraId="388A93C9" w14:textId="7B881DB5" w:rsidR="004B629E" w:rsidRPr="00FD12D8" w:rsidRDefault="004B629E" w:rsidP="00D4445A">
            <w:pPr>
              <w:pStyle w:val="KeyText"/>
              <w:spacing w:before="0"/>
              <w:ind w:left="0" w:firstLine="0"/>
            </w:pPr>
            <w:r>
              <w:t>corner clip</w:t>
            </w:r>
          </w:p>
        </w:tc>
      </w:tr>
    </w:tbl>
    <w:p w14:paraId="7DF330F1" w14:textId="7ED2039E" w:rsidR="00E6211C" w:rsidRDefault="00E6211C" w:rsidP="00BA6BD3">
      <w:pPr>
        <w:pStyle w:val="Figuretitle"/>
      </w:pPr>
      <w:r w:rsidRPr="00D1484A">
        <w:t>Figure E.</w:t>
      </w:r>
      <w:r w:rsidR="009B2651">
        <w:t>7</w:t>
      </w:r>
      <w:r w:rsidRPr="00132C1E">
        <w:t> — </w:t>
      </w:r>
      <w:r w:rsidRPr="00D1484A">
        <w:t xml:space="preserve">DC3 details of corner clip for continuity plates: (a) corner clip </w:t>
      </w:r>
      <w:r w:rsidRPr="007E6F67">
        <w:rPr>
          <w:i/>
          <w:iCs/>
        </w:rPr>
        <w:t>c</w:t>
      </w:r>
      <w:r w:rsidRPr="00FD17CF">
        <w:rPr>
          <w:vertAlign w:val="subscript"/>
        </w:rPr>
        <w:t>c</w:t>
      </w:r>
      <w:r w:rsidRPr="00FD17CF">
        <w:t>; (b) details of corner clip of continuity plates onto hot-rolled H column; (c) details of corner clip of continuity plates onto built-up H column</w:t>
      </w:r>
    </w:p>
    <w:p w14:paraId="75A998B1" w14:textId="36BD9FB4" w:rsidR="00E6211C" w:rsidRPr="00386680" w:rsidRDefault="00A22FF0" w:rsidP="00A22FF0">
      <w:pPr>
        <w:pStyle w:val="FigureImage"/>
      </w:pPr>
      <w:r>
        <w:rPr>
          <w:noProof/>
        </w:rPr>
        <w:lastRenderedPageBreak/>
        <w:drawing>
          <wp:inline distT="0" distB="0" distL="0" distR="0" wp14:anchorId="23A48752" wp14:editId="2410EA8E">
            <wp:extent cx="3959358" cy="2602996"/>
            <wp:effectExtent l="0" t="0" r="3175" b="0"/>
            <wp:docPr id="2081949457" name="e008.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1949457" name="e008.tiff"/>
                    <pic:cNvPicPr/>
                  </pic:nvPicPr>
                  <pic:blipFill>
                    <a:blip r:link="rId94"/>
                    <a:stretch>
                      <a:fillRect/>
                    </a:stretch>
                  </pic:blipFill>
                  <pic:spPr>
                    <a:xfrm>
                      <a:off x="0" y="0"/>
                      <a:ext cx="3959358" cy="2602996"/>
                    </a:xfrm>
                    <a:prstGeom prst="rect">
                      <a:avLst/>
                    </a:prstGeom>
                  </pic:spPr>
                </pic:pic>
              </a:graphicData>
            </a:graphic>
          </wp:inline>
        </w:drawing>
      </w:r>
    </w:p>
    <w:p w14:paraId="09A7364F" w14:textId="77777777" w:rsidR="00A22FF0" w:rsidRPr="00D1484A" w:rsidRDefault="00A22FF0" w:rsidP="00A22FF0">
      <w:pPr>
        <w:pStyle w:val="KeyTitle"/>
      </w:pPr>
      <w:r w:rsidRPr="00D1484A">
        <w:t>Key</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9"/>
        <w:gridCol w:w="4714"/>
      </w:tblGrid>
      <w:tr w:rsidR="00A22FF0" w:rsidRPr="00B5422C" w14:paraId="1160742B" w14:textId="77777777" w:rsidTr="00691F56">
        <w:tc>
          <w:tcPr>
            <w:tcW w:w="389" w:type="dxa"/>
          </w:tcPr>
          <w:p w14:paraId="6EDB1870" w14:textId="73C78CE2" w:rsidR="00A22FF0" w:rsidRPr="00D4445A" w:rsidRDefault="00A22FF0" w:rsidP="00D4445A">
            <w:pPr>
              <w:pStyle w:val="KeyText"/>
              <w:spacing w:before="0"/>
              <w:rPr>
                <w:iCs/>
              </w:rPr>
            </w:pPr>
            <w:r w:rsidRPr="00D4445A">
              <w:rPr>
                <w:iCs/>
              </w:rPr>
              <w:t>A</w:t>
            </w:r>
          </w:p>
        </w:tc>
        <w:tc>
          <w:tcPr>
            <w:tcW w:w="4714" w:type="dxa"/>
          </w:tcPr>
          <w:p w14:paraId="6645732D" w14:textId="55A37DCE" w:rsidR="00A22FF0" w:rsidRPr="00FD12D8" w:rsidRDefault="00A22FF0" w:rsidP="00D4445A">
            <w:pPr>
              <w:pStyle w:val="KeyText"/>
              <w:spacing w:before="0"/>
            </w:pPr>
            <w:r w:rsidRPr="00A22FF0">
              <w:t>beam flange</w:t>
            </w:r>
          </w:p>
        </w:tc>
      </w:tr>
      <w:tr w:rsidR="00A22FF0" w:rsidRPr="00B5422C" w14:paraId="47745050" w14:textId="77777777" w:rsidTr="00691F56">
        <w:tc>
          <w:tcPr>
            <w:tcW w:w="389" w:type="dxa"/>
          </w:tcPr>
          <w:p w14:paraId="3C5561E6" w14:textId="1D305EB1" w:rsidR="00A22FF0" w:rsidRPr="00D4445A" w:rsidRDefault="00A22FF0" w:rsidP="00D4445A">
            <w:pPr>
              <w:pStyle w:val="KeyText"/>
              <w:spacing w:before="0"/>
              <w:rPr>
                <w:iCs/>
              </w:rPr>
            </w:pPr>
            <w:r w:rsidRPr="00D4445A">
              <w:rPr>
                <w:iCs/>
              </w:rPr>
              <w:t>B</w:t>
            </w:r>
          </w:p>
        </w:tc>
        <w:tc>
          <w:tcPr>
            <w:tcW w:w="4714" w:type="dxa"/>
          </w:tcPr>
          <w:p w14:paraId="32998AF3" w14:textId="3A3827F8" w:rsidR="00A22FF0" w:rsidRPr="00FD12D8" w:rsidRDefault="00A22FF0" w:rsidP="00D4445A">
            <w:pPr>
              <w:pStyle w:val="KeyText"/>
              <w:spacing w:before="0"/>
            </w:pPr>
            <w:r w:rsidRPr="00F801CE">
              <w:t>column</w:t>
            </w:r>
            <w:r>
              <w:t xml:space="preserve"> flange</w:t>
            </w:r>
          </w:p>
        </w:tc>
      </w:tr>
      <w:tr w:rsidR="00A22FF0" w:rsidRPr="00B5422C" w14:paraId="7E357F2D" w14:textId="77777777" w:rsidTr="00691F56">
        <w:tc>
          <w:tcPr>
            <w:tcW w:w="389" w:type="dxa"/>
          </w:tcPr>
          <w:p w14:paraId="5439E434" w14:textId="0D208864" w:rsidR="00A22FF0" w:rsidRPr="00D4445A" w:rsidRDefault="00A22FF0" w:rsidP="00D4445A">
            <w:pPr>
              <w:pStyle w:val="KeyText"/>
              <w:spacing w:before="0"/>
              <w:rPr>
                <w:iCs/>
              </w:rPr>
            </w:pPr>
            <w:r w:rsidRPr="00D4445A">
              <w:rPr>
                <w:iCs/>
              </w:rPr>
              <w:t>C</w:t>
            </w:r>
          </w:p>
        </w:tc>
        <w:tc>
          <w:tcPr>
            <w:tcW w:w="4714" w:type="dxa"/>
          </w:tcPr>
          <w:p w14:paraId="4BF4823F" w14:textId="7725B349" w:rsidR="00A22FF0" w:rsidRPr="00FD12D8" w:rsidRDefault="00A22FF0" w:rsidP="00D4445A">
            <w:pPr>
              <w:pStyle w:val="KeyText"/>
              <w:spacing w:before="0"/>
              <w:ind w:left="0" w:firstLine="0"/>
            </w:pPr>
            <w:r w:rsidRPr="00A22FF0">
              <w:t>diametre of drilled hole in the range [18mm-20mm]</w:t>
            </w:r>
          </w:p>
        </w:tc>
      </w:tr>
      <w:tr w:rsidR="00A22FF0" w:rsidRPr="00B5422C" w14:paraId="053D1621" w14:textId="77777777" w:rsidTr="00691F56">
        <w:tc>
          <w:tcPr>
            <w:tcW w:w="389" w:type="dxa"/>
          </w:tcPr>
          <w:p w14:paraId="4628F43A" w14:textId="341D1E53" w:rsidR="00A22FF0" w:rsidRPr="00D4445A" w:rsidRDefault="00A22FF0" w:rsidP="00D4445A">
            <w:pPr>
              <w:pStyle w:val="KeyText"/>
              <w:spacing w:before="0"/>
              <w:rPr>
                <w:iCs/>
              </w:rPr>
            </w:pPr>
            <w:r w:rsidRPr="00D4445A">
              <w:rPr>
                <w:iCs/>
              </w:rPr>
              <w:t>D</w:t>
            </w:r>
          </w:p>
        </w:tc>
        <w:tc>
          <w:tcPr>
            <w:tcW w:w="4714" w:type="dxa"/>
          </w:tcPr>
          <w:p w14:paraId="2C2E3F3F" w14:textId="1779D57D" w:rsidR="00A22FF0" w:rsidRDefault="00A22FF0" w:rsidP="00D4445A">
            <w:pPr>
              <w:pStyle w:val="KeyText"/>
              <w:spacing w:before="0"/>
              <w:ind w:left="0" w:firstLine="0"/>
            </w:pPr>
            <w:r w:rsidRPr="00A22FF0">
              <w:t>beam web</w:t>
            </w:r>
          </w:p>
        </w:tc>
      </w:tr>
      <w:tr w:rsidR="00A22FF0" w:rsidRPr="00B5422C" w14:paraId="5D2B8EAB" w14:textId="77777777" w:rsidTr="00691F56">
        <w:tc>
          <w:tcPr>
            <w:tcW w:w="389" w:type="dxa"/>
          </w:tcPr>
          <w:p w14:paraId="157FC05D" w14:textId="5C212041" w:rsidR="00A22FF0" w:rsidRPr="00D4445A" w:rsidRDefault="00A22FF0" w:rsidP="00D4445A">
            <w:pPr>
              <w:pStyle w:val="KeyText"/>
              <w:spacing w:before="0"/>
              <w:rPr>
                <w:iCs/>
              </w:rPr>
            </w:pPr>
            <w:r w:rsidRPr="00D4445A">
              <w:rPr>
                <w:iCs/>
              </w:rPr>
              <w:t>E</w:t>
            </w:r>
          </w:p>
        </w:tc>
        <w:tc>
          <w:tcPr>
            <w:tcW w:w="4714" w:type="dxa"/>
          </w:tcPr>
          <w:p w14:paraId="61037850" w14:textId="727BC6AB" w:rsidR="00A22FF0" w:rsidRDefault="00A22FF0" w:rsidP="00D4445A">
            <w:pPr>
              <w:pStyle w:val="KeyText"/>
              <w:spacing w:before="0"/>
              <w:ind w:left="0" w:firstLine="0"/>
            </w:pPr>
            <w:r w:rsidRPr="00A22FF0">
              <w:t>backing plate (to be removed after welding)</w:t>
            </w:r>
          </w:p>
        </w:tc>
      </w:tr>
    </w:tbl>
    <w:p w14:paraId="0653A3FB" w14:textId="744BC6F3" w:rsidR="00E6211C" w:rsidRPr="00FD17CF" w:rsidRDefault="00E6211C" w:rsidP="00BA6BD3">
      <w:pPr>
        <w:pStyle w:val="Figuretitle"/>
      </w:pPr>
      <w:r w:rsidRPr="00D1484A">
        <w:t>Figure E.</w:t>
      </w:r>
      <w:r w:rsidR="009B2651">
        <w:t>8</w:t>
      </w:r>
      <w:r w:rsidRPr="00132C1E">
        <w:t> — </w:t>
      </w:r>
      <w:r w:rsidRPr="00D1484A">
        <w:t>DC3 details of weld access hole for welded beam-to-column joints</w:t>
      </w:r>
    </w:p>
    <w:p w14:paraId="51B73E3B" w14:textId="1588D022" w:rsidR="00E6211C" w:rsidRPr="00132C1E" w:rsidRDefault="00A22FF0" w:rsidP="00A22FF0">
      <w:pPr>
        <w:pStyle w:val="FigureImage"/>
      </w:pPr>
      <w:r>
        <w:rPr>
          <w:noProof/>
        </w:rPr>
        <w:lastRenderedPageBreak/>
        <w:drawing>
          <wp:inline distT="0" distB="0" distL="0" distR="0" wp14:anchorId="3CA575D4" wp14:editId="4D525D1A">
            <wp:extent cx="5039876" cy="5271525"/>
            <wp:effectExtent l="0" t="0" r="8890" b="5715"/>
            <wp:docPr id="2081949458" name="e009.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1949458" name="e009.tiff"/>
                    <pic:cNvPicPr/>
                  </pic:nvPicPr>
                  <pic:blipFill>
                    <a:blip r:link="rId95"/>
                    <a:stretch>
                      <a:fillRect/>
                    </a:stretch>
                  </pic:blipFill>
                  <pic:spPr>
                    <a:xfrm>
                      <a:off x="0" y="0"/>
                      <a:ext cx="5039876" cy="5271525"/>
                    </a:xfrm>
                    <a:prstGeom prst="rect">
                      <a:avLst/>
                    </a:prstGeom>
                  </pic:spPr>
                </pic:pic>
              </a:graphicData>
            </a:graphic>
          </wp:inline>
        </w:drawing>
      </w:r>
    </w:p>
    <w:p w14:paraId="6DC9C4AD" w14:textId="77777777" w:rsidR="00A22FF0" w:rsidRPr="00D1484A" w:rsidRDefault="00A22FF0" w:rsidP="00A22FF0">
      <w:pPr>
        <w:pStyle w:val="KeyTitle"/>
      </w:pPr>
      <w:r w:rsidRPr="00D1484A">
        <w:t>Key</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
        <w:gridCol w:w="4676"/>
      </w:tblGrid>
      <w:tr w:rsidR="00A22FF0" w:rsidRPr="00B5422C" w14:paraId="6035C2D0" w14:textId="77777777" w:rsidTr="00691F56">
        <w:tc>
          <w:tcPr>
            <w:tcW w:w="427" w:type="dxa"/>
          </w:tcPr>
          <w:p w14:paraId="708B18E1" w14:textId="77777777" w:rsidR="00A22FF0" w:rsidRPr="00D4445A" w:rsidRDefault="00A22FF0" w:rsidP="00D4445A">
            <w:pPr>
              <w:pStyle w:val="KeyText"/>
              <w:spacing w:before="0"/>
              <w:rPr>
                <w:iCs/>
              </w:rPr>
            </w:pPr>
            <w:r w:rsidRPr="00D4445A">
              <w:rPr>
                <w:iCs/>
              </w:rPr>
              <w:t>1</w:t>
            </w:r>
          </w:p>
        </w:tc>
        <w:tc>
          <w:tcPr>
            <w:tcW w:w="4676" w:type="dxa"/>
          </w:tcPr>
          <w:p w14:paraId="23466FA5" w14:textId="4DDD2C09" w:rsidR="00A22FF0" w:rsidRPr="00FD12D8" w:rsidRDefault="006550E5" w:rsidP="00D4445A">
            <w:pPr>
              <w:pStyle w:val="KeyText"/>
              <w:spacing w:before="0"/>
            </w:pPr>
            <w:r w:rsidRPr="006550E5">
              <w:t>end-plate or column flange</w:t>
            </w:r>
          </w:p>
        </w:tc>
      </w:tr>
      <w:tr w:rsidR="00A22FF0" w:rsidRPr="00B5422C" w14:paraId="3B489C2E" w14:textId="77777777" w:rsidTr="00691F56">
        <w:tc>
          <w:tcPr>
            <w:tcW w:w="427" w:type="dxa"/>
          </w:tcPr>
          <w:p w14:paraId="097F9668" w14:textId="77777777" w:rsidR="00A22FF0" w:rsidRPr="00D4445A" w:rsidRDefault="00A22FF0" w:rsidP="00D4445A">
            <w:pPr>
              <w:pStyle w:val="KeyText"/>
              <w:spacing w:before="0"/>
              <w:rPr>
                <w:iCs/>
              </w:rPr>
            </w:pPr>
            <w:r w:rsidRPr="00D4445A">
              <w:rPr>
                <w:iCs/>
              </w:rPr>
              <w:t>2</w:t>
            </w:r>
          </w:p>
        </w:tc>
        <w:tc>
          <w:tcPr>
            <w:tcW w:w="4676" w:type="dxa"/>
          </w:tcPr>
          <w:p w14:paraId="7EB9DC62" w14:textId="0E339E46" w:rsidR="00A22FF0" w:rsidRPr="00FD12D8" w:rsidRDefault="006550E5" w:rsidP="00D4445A">
            <w:pPr>
              <w:pStyle w:val="KeyText"/>
              <w:spacing w:before="0"/>
            </w:pPr>
            <w:r>
              <w:t>beam flange</w:t>
            </w:r>
          </w:p>
        </w:tc>
      </w:tr>
      <w:tr w:rsidR="00A22FF0" w:rsidRPr="00B5422C" w14:paraId="5B98C7C9" w14:textId="77777777" w:rsidTr="00691F56">
        <w:tc>
          <w:tcPr>
            <w:tcW w:w="427" w:type="dxa"/>
          </w:tcPr>
          <w:p w14:paraId="6B9C5EDC" w14:textId="77777777" w:rsidR="00A22FF0" w:rsidRPr="00D4445A" w:rsidRDefault="00A22FF0" w:rsidP="00D4445A">
            <w:pPr>
              <w:pStyle w:val="KeyText"/>
              <w:spacing w:before="0"/>
              <w:rPr>
                <w:iCs/>
              </w:rPr>
            </w:pPr>
            <w:r w:rsidRPr="00D4445A">
              <w:rPr>
                <w:iCs/>
              </w:rPr>
              <w:t>3</w:t>
            </w:r>
          </w:p>
        </w:tc>
        <w:tc>
          <w:tcPr>
            <w:tcW w:w="4676" w:type="dxa"/>
          </w:tcPr>
          <w:p w14:paraId="68F00911" w14:textId="0E6DE85B" w:rsidR="00A22FF0" w:rsidRPr="00FD12D8" w:rsidRDefault="006550E5" w:rsidP="00D4445A">
            <w:pPr>
              <w:pStyle w:val="KeyText"/>
              <w:spacing w:before="0"/>
              <w:ind w:left="0" w:firstLine="0"/>
            </w:pPr>
            <w:r w:rsidRPr="006550E5">
              <w:t>full penetration groove weld</w:t>
            </w:r>
          </w:p>
        </w:tc>
      </w:tr>
      <w:tr w:rsidR="006550E5" w:rsidRPr="00B5422C" w14:paraId="1D3DBABF" w14:textId="77777777" w:rsidTr="00691F56">
        <w:tc>
          <w:tcPr>
            <w:tcW w:w="427" w:type="dxa"/>
          </w:tcPr>
          <w:p w14:paraId="6FFDEABF" w14:textId="64499626" w:rsidR="006550E5" w:rsidRPr="00D4445A" w:rsidRDefault="006550E5" w:rsidP="00D4445A">
            <w:pPr>
              <w:pStyle w:val="KeyText"/>
              <w:spacing w:before="0"/>
              <w:rPr>
                <w:iCs/>
              </w:rPr>
            </w:pPr>
            <w:r w:rsidRPr="00D4445A">
              <w:rPr>
                <w:iCs/>
              </w:rPr>
              <w:t>4</w:t>
            </w:r>
          </w:p>
        </w:tc>
        <w:tc>
          <w:tcPr>
            <w:tcW w:w="4676" w:type="dxa"/>
          </w:tcPr>
          <w:p w14:paraId="7B2388A2" w14:textId="0BB61B7F" w:rsidR="006550E5" w:rsidRDefault="006550E5" w:rsidP="00D4445A">
            <w:pPr>
              <w:pStyle w:val="KeyText"/>
              <w:spacing w:before="0"/>
              <w:ind w:left="0" w:firstLine="0"/>
            </w:pPr>
            <w:r w:rsidRPr="006550E5">
              <w:t>reinforcing fillet weld</w:t>
            </w:r>
          </w:p>
        </w:tc>
      </w:tr>
      <w:tr w:rsidR="006550E5" w:rsidRPr="00B5422C" w14:paraId="6A7AE9BD" w14:textId="77777777" w:rsidTr="00691F56">
        <w:tc>
          <w:tcPr>
            <w:tcW w:w="427" w:type="dxa"/>
          </w:tcPr>
          <w:p w14:paraId="7A75E064" w14:textId="761226CA" w:rsidR="006550E5" w:rsidRPr="00D4445A" w:rsidRDefault="006550E5" w:rsidP="00D4445A">
            <w:pPr>
              <w:pStyle w:val="KeyText"/>
              <w:spacing w:before="0"/>
              <w:rPr>
                <w:iCs/>
              </w:rPr>
            </w:pPr>
            <w:r w:rsidRPr="00D4445A">
              <w:rPr>
                <w:iCs/>
              </w:rPr>
              <w:t>5</w:t>
            </w:r>
          </w:p>
        </w:tc>
        <w:tc>
          <w:tcPr>
            <w:tcW w:w="4676" w:type="dxa"/>
          </w:tcPr>
          <w:p w14:paraId="172E68E5" w14:textId="0269DB47" w:rsidR="006550E5" w:rsidRDefault="006550E5" w:rsidP="00D4445A">
            <w:pPr>
              <w:pStyle w:val="KeyText"/>
              <w:spacing w:before="0"/>
              <w:ind w:left="0" w:firstLine="0"/>
            </w:pPr>
            <w:r w:rsidRPr="006550E5">
              <w:t>access landings</w:t>
            </w:r>
          </w:p>
        </w:tc>
      </w:tr>
      <w:tr w:rsidR="006550E5" w:rsidRPr="00B5422C" w14:paraId="61906B03" w14:textId="77777777" w:rsidTr="00691F56">
        <w:tc>
          <w:tcPr>
            <w:tcW w:w="427" w:type="dxa"/>
          </w:tcPr>
          <w:p w14:paraId="0F13619E" w14:textId="3166FE4F" w:rsidR="006550E5" w:rsidRPr="00D4445A" w:rsidRDefault="006550E5" w:rsidP="00D4445A">
            <w:pPr>
              <w:pStyle w:val="KeyText"/>
              <w:spacing w:before="0"/>
              <w:rPr>
                <w:iCs/>
              </w:rPr>
            </w:pPr>
            <w:r w:rsidRPr="00D4445A">
              <w:rPr>
                <w:iCs/>
              </w:rPr>
              <w:t>6</w:t>
            </w:r>
          </w:p>
        </w:tc>
        <w:tc>
          <w:tcPr>
            <w:tcW w:w="4676" w:type="dxa"/>
          </w:tcPr>
          <w:p w14:paraId="75949E78" w14:textId="50765105" w:rsidR="006550E5" w:rsidRDefault="006550E5" w:rsidP="00D4445A">
            <w:pPr>
              <w:pStyle w:val="KeyText"/>
              <w:spacing w:before="0"/>
              <w:ind w:left="0" w:firstLine="0"/>
            </w:pPr>
            <w:r w:rsidRPr="006550E5">
              <w:t>rib stiffener</w:t>
            </w:r>
          </w:p>
        </w:tc>
      </w:tr>
      <w:tr w:rsidR="006550E5" w:rsidRPr="00B5422C" w14:paraId="2F73D6BF" w14:textId="77777777" w:rsidTr="00691F56">
        <w:tc>
          <w:tcPr>
            <w:tcW w:w="427" w:type="dxa"/>
          </w:tcPr>
          <w:p w14:paraId="27C1E175" w14:textId="6E081291" w:rsidR="006550E5" w:rsidRPr="00D4445A" w:rsidRDefault="006550E5" w:rsidP="00D4445A">
            <w:pPr>
              <w:pStyle w:val="KeyText"/>
              <w:spacing w:before="0"/>
              <w:rPr>
                <w:iCs/>
              </w:rPr>
            </w:pPr>
            <w:r w:rsidRPr="00D4445A">
              <w:rPr>
                <w:iCs/>
              </w:rPr>
              <w:t>6a</w:t>
            </w:r>
          </w:p>
        </w:tc>
        <w:tc>
          <w:tcPr>
            <w:tcW w:w="4676" w:type="dxa"/>
          </w:tcPr>
          <w:p w14:paraId="53F314DA" w14:textId="1A6B0CC2" w:rsidR="006550E5" w:rsidRDefault="006550E5" w:rsidP="00D4445A">
            <w:pPr>
              <w:pStyle w:val="KeyText"/>
              <w:spacing w:before="0"/>
              <w:ind w:left="0" w:firstLine="0"/>
            </w:pPr>
            <w:r w:rsidRPr="006550E5">
              <w:t>web of the haunch</w:t>
            </w:r>
          </w:p>
        </w:tc>
      </w:tr>
      <w:tr w:rsidR="006550E5" w:rsidRPr="00B5422C" w14:paraId="01678238" w14:textId="77777777" w:rsidTr="00691F56">
        <w:tc>
          <w:tcPr>
            <w:tcW w:w="427" w:type="dxa"/>
          </w:tcPr>
          <w:p w14:paraId="327785E2" w14:textId="64FA09A4" w:rsidR="006550E5" w:rsidRPr="00D4445A" w:rsidRDefault="006550E5" w:rsidP="00D4445A">
            <w:pPr>
              <w:pStyle w:val="KeyText"/>
              <w:spacing w:before="0"/>
              <w:rPr>
                <w:iCs/>
              </w:rPr>
            </w:pPr>
            <w:r w:rsidRPr="00D4445A">
              <w:rPr>
                <w:iCs/>
              </w:rPr>
              <w:t>6b</w:t>
            </w:r>
          </w:p>
        </w:tc>
        <w:tc>
          <w:tcPr>
            <w:tcW w:w="4676" w:type="dxa"/>
          </w:tcPr>
          <w:p w14:paraId="2E580293" w14:textId="66E2F1CB" w:rsidR="006550E5" w:rsidRDefault="006550E5" w:rsidP="00D4445A">
            <w:pPr>
              <w:pStyle w:val="KeyText"/>
              <w:spacing w:before="0"/>
              <w:ind w:left="0" w:firstLine="0"/>
            </w:pPr>
            <w:r w:rsidRPr="006550E5">
              <w:t>flange of the haunch</w:t>
            </w:r>
          </w:p>
        </w:tc>
      </w:tr>
      <w:tr w:rsidR="006550E5" w:rsidRPr="00B5422C" w14:paraId="51A307B4" w14:textId="77777777" w:rsidTr="00691F56">
        <w:tc>
          <w:tcPr>
            <w:tcW w:w="427" w:type="dxa"/>
          </w:tcPr>
          <w:p w14:paraId="5D051BB3" w14:textId="6750BCAE" w:rsidR="006550E5" w:rsidRPr="00D4445A" w:rsidRDefault="006550E5" w:rsidP="00D4445A">
            <w:pPr>
              <w:pStyle w:val="KeyText"/>
              <w:spacing w:before="0"/>
              <w:rPr>
                <w:iCs/>
              </w:rPr>
            </w:pPr>
            <w:r w:rsidRPr="00D4445A">
              <w:rPr>
                <w:iCs/>
              </w:rPr>
              <w:t>7</w:t>
            </w:r>
          </w:p>
        </w:tc>
        <w:tc>
          <w:tcPr>
            <w:tcW w:w="4676" w:type="dxa"/>
          </w:tcPr>
          <w:p w14:paraId="28048D07" w14:textId="7743EA87" w:rsidR="006550E5" w:rsidRDefault="006550E5" w:rsidP="00D4445A">
            <w:pPr>
              <w:pStyle w:val="KeyText"/>
              <w:spacing w:before="0"/>
              <w:ind w:left="0" w:firstLine="0"/>
            </w:pPr>
            <w:r w:rsidRPr="006550E5">
              <w:t>full penetration groove weld with reinforcing fillet</w:t>
            </w:r>
          </w:p>
        </w:tc>
      </w:tr>
      <w:tr w:rsidR="006550E5" w:rsidRPr="00B5422C" w14:paraId="0313CE31" w14:textId="77777777" w:rsidTr="00691F56">
        <w:tc>
          <w:tcPr>
            <w:tcW w:w="427" w:type="dxa"/>
          </w:tcPr>
          <w:p w14:paraId="42746884" w14:textId="1F6352D4" w:rsidR="006550E5" w:rsidRPr="00D4445A" w:rsidRDefault="006550E5" w:rsidP="00D4445A">
            <w:pPr>
              <w:pStyle w:val="KeyText"/>
              <w:spacing w:before="0"/>
              <w:rPr>
                <w:iCs/>
              </w:rPr>
            </w:pPr>
            <w:r w:rsidRPr="00D4445A">
              <w:rPr>
                <w:iCs/>
              </w:rPr>
              <w:t>8</w:t>
            </w:r>
          </w:p>
        </w:tc>
        <w:tc>
          <w:tcPr>
            <w:tcW w:w="4676" w:type="dxa"/>
          </w:tcPr>
          <w:p w14:paraId="06DA62FA" w14:textId="104A1974" w:rsidR="006550E5" w:rsidRDefault="006550E5" w:rsidP="00D4445A">
            <w:pPr>
              <w:pStyle w:val="KeyText"/>
              <w:spacing w:before="0"/>
              <w:ind w:left="0" w:firstLine="0"/>
            </w:pPr>
            <w:r w:rsidRPr="006550E5">
              <w:t>fillet weld</w:t>
            </w:r>
          </w:p>
        </w:tc>
      </w:tr>
    </w:tbl>
    <w:p w14:paraId="7DDB3C97" w14:textId="57C3DA5C" w:rsidR="00E6211C" w:rsidRPr="00FD17CF" w:rsidRDefault="00E6211C" w:rsidP="00BA6BD3">
      <w:pPr>
        <w:pStyle w:val="Figuretitle"/>
      </w:pPr>
      <w:r w:rsidRPr="00D1484A">
        <w:t>Figure E.</w:t>
      </w:r>
      <w:r w:rsidR="009B2651">
        <w:t>9</w:t>
      </w:r>
      <w:r w:rsidRPr="00132C1E">
        <w:t> — </w:t>
      </w:r>
      <w:r w:rsidRPr="00D1484A">
        <w:t>DC3 details of the stiffener landings at the beam flange and at the end of plate/column flange: (a) detail for haunch stiffener; (b) detail for rib stiffener</w:t>
      </w:r>
    </w:p>
    <w:p w14:paraId="5EB060EB" w14:textId="77777777" w:rsidR="00E6211C" w:rsidRPr="00E05E29" w:rsidRDefault="00E6211C" w:rsidP="00E6211C">
      <w:pPr>
        <w:pStyle w:val="a4"/>
      </w:pPr>
      <w:bookmarkStart w:id="11245" w:name="_Toc108342755"/>
      <w:bookmarkStart w:id="11246" w:name="_Toc120543842"/>
      <w:bookmarkStart w:id="11247" w:name="_Toc134198264"/>
      <w:r w:rsidRPr="00FD17CF">
        <w:lastRenderedPageBreak/>
        <w:t>Joints with haunched stiffeners</w:t>
      </w:r>
      <w:bookmarkEnd w:id="11245"/>
      <w:bookmarkEnd w:id="11246"/>
      <w:bookmarkEnd w:id="11247"/>
    </w:p>
    <w:p w14:paraId="2F82FF26" w14:textId="12F67B44" w:rsidR="00E6211C" w:rsidRPr="00C52095" w:rsidRDefault="00E6211C" w:rsidP="0080187E">
      <w:pPr>
        <w:pStyle w:val="Clause"/>
        <w:numPr>
          <w:ilvl w:val="0"/>
          <w:numId w:val="570"/>
        </w:numPr>
      </w:pPr>
      <w:r>
        <w:t>B</w:t>
      </w:r>
      <w:r w:rsidRPr="002144A0">
        <w:t xml:space="preserve">eam-to-column joints may be reinforced using a haunch below the bottom flange of the beam to provide a full-strength and rigid connection, with strong or balanced column web panel. Either fully welded or bolted connection may be used, </w:t>
      </w:r>
      <w:r w:rsidRPr="00BA6BD3">
        <w:t>see Figure E.10</w:t>
      </w:r>
      <w:r w:rsidRPr="004F25D7">
        <w:t>.</w:t>
      </w:r>
    </w:p>
    <w:p w14:paraId="4F831E3C" w14:textId="14E3A3F7" w:rsidR="00E6211C" w:rsidRPr="00132C1E" w:rsidRDefault="00E6211C" w:rsidP="00724E4E">
      <w:pPr>
        <w:pStyle w:val="Clause"/>
      </w:pPr>
      <w:r w:rsidRPr="00BA6BD3">
        <w:t xml:space="preserve">A </w:t>
      </w:r>
      <w:r w:rsidRPr="00C52095">
        <w:t xml:space="preserve">bolted connection should include an </w:t>
      </w:r>
      <w:r w:rsidRPr="00BA6BD3">
        <w:t>extended end plate with not less than six rows of high-strength pre-loadable bolts with two bolts per row (see Figures E.10 c, d). Three bolt rows should be used to resist the tensile force of sagging moment (see Figures E.10 c) and the other three rows the tensile force of the hogging moment (see Figures E.10 d</w:t>
      </w:r>
      <w:r w:rsidRPr="00132C1E">
        <w:t>).</w:t>
      </w:r>
    </w:p>
    <w:p w14:paraId="742BBDEF" w14:textId="7C160069" w:rsidR="00E6211C" w:rsidRPr="00132C1E" w:rsidRDefault="00E6211C" w:rsidP="00724E4E">
      <w:pPr>
        <w:pStyle w:val="Clause"/>
      </w:pPr>
      <w:r w:rsidRPr="00132C1E">
        <w:t xml:space="preserve">Both welded and bolted haunched joints may be used. </w:t>
      </w:r>
    </w:p>
    <w:p w14:paraId="4D22675E" w14:textId="47C021CA" w:rsidR="00E6211C" w:rsidRPr="00132C1E" w:rsidRDefault="00E6211C" w:rsidP="00724E4E">
      <w:pPr>
        <w:pStyle w:val="Clause"/>
      </w:pPr>
      <w:r w:rsidRPr="00132C1E">
        <w:t xml:space="preserve">The action effect at the connection should be calculated </w:t>
      </w:r>
      <w:r w:rsidRPr="00BA6BD3">
        <w:t>with Formula (E.1). The design resistance of the connection should be calculated with pr</w:t>
      </w:r>
      <w:r w:rsidR="00C30FF9">
        <w:t>EN 1</w:t>
      </w:r>
      <w:r w:rsidRPr="00BA6BD3">
        <w:t xml:space="preserve">993-1-8 taking into account the additional assumptions in </w:t>
      </w:r>
      <w:r w:rsidRPr="00835C82">
        <w:t>(5)</w:t>
      </w:r>
      <w:r w:rsidRPr="00132C1E">
        <w:t>.</w:t>
      </w:r>
    </w:p>
    <w:p w14:paraId="3BE47091" w14:textId="41BD7941" w:rsidR="00E6211C" w:rsidRPr="00132C1E" w:rsidRDefault="00E6211C" w:rsidP="00724E4E">
      <w:pPr>
        <w:pStyle w:val="Clause"/>
      </w:pPr>
      <w:r w:rsidRPr="00132C1E">
        <w:t>In the case of bolted connection, the resistance of the connection should be calculated considering a) to c):</w:t>
      </w:r>
    </w:p>
    <w:p w14:paraId="45BF4856" w14:textId="77777777" w:rsidR="00E6211C" w:rsidRPr="009B2651" w:rsidRDefault="00E6211C" w:rsidP="0080187E">
      <w:pPr>
        <w:pStyle w:val="Text"/>
        <w:numPr>
          <w:ilvl w:val="0"/>
          <w:numId w:val="705"/>
        </w:numPr>
      </w:pPr>
      <w:r w:rsidRPr="009B2651">
        <w:t>the active bolt rows in tension are those above the axis of the beam under hogging moment and those below the axis under sagging moment;</w:t>
      </w:r>
    </w:p>
    <w:p w14:paraId="5646E707" w14:textId="7A411AE0" w:rsidR="00E6211C" w:rsidRPr="009B2651" w:rsidRDefault="00E6211C" w:rsidP="0080187E">
      <w:pPr>
        <w:pStyle w:val="Text"/>
        <w:numPr>
          <w:ilvl w:val="0"/>
          <w:numId w:val="705"/>
        </w:numPr>
      </w:pPr>
      <w:r w:rsidRPr="009B2651">
        <w:t xml:space="preserve">the centre of compression is located at the centroid of the upper beam flange under sagging moment (see Figure E.10 c) and at 0,5 times the depth of the stiffener </w:t>
      </w:r>
      <w:r w:rsidRPr="009B2651">
        <w:rPr>
          <w:i/>
          <w:iCs/>
        </w:rPr>
        <w:t>h</w:t>
      </w:r>
      <w:r w:rsidRPr="009B2651">
        <w:rPr>
          <w:vertAlign w:val="subscript"/>
        </w:rPr>
        <w:t>h</w:t>
      </w:r>
      <w:r w:rsidRPr="009B2651">
        <w:t xml:space="preserve"> under hogging moment (see Figure</w:t>
      </w:r>
      <w:r w:rsidR="00691F56">
        <w:t> </w:t>
      </w:r>
      <w:r w:rsidRPr="009B2651">
        <w:t>E.10 d)</w:t>
      </w:r>
      <w:r w:rsidR="000A7682" w:rsidRPr="009B2651">
        <w:t>;</w:t>
      </w:r>
    </w:p>
    <w:p w14:paraId="7919E4EF" w14:textId="77777777" w:rsidR="00E6211C" w:rsidRPr="009B2651" w:rsidRDefault="00E6211C" w:rsidP="0080187E">
      <w:pPr>
        <w:pStyle w:val="Text"/>
        <w:numPr>
          <w:ilvl w:val="0"/>
          <w:numId w:val="705"/>
        </w:numPr>
      </w:pPr>
      <w:r w:rsidRPr="009B2651">
        <w:t>conditions given in E.3.3.1(5) and E.3.3.1(8) should be satisfied.</w:t>
      </w:r>
    </w:p>
    <w:p w14:paraId="7170AC84" w14:textId="1CE17E71" w:rsidR="00E6211C" w:rsidRPr="00132C1E" w:rsidRDefault="00E6211C" w:rsidP="00724E4E">
      <w:pPr>
        <w:pStyle w:val="Clause"/>
      </w:pPr>
      <w:r w:rsidRPr="00132C1E">
        <w:t>The clear span-to-depth ratio (i.e. the distance between the assumed location of plastic hinges divided by the beam depth) should be not less than 7 for MRFs and 5 for dual frames.</w:t>
      </w:r>
    </w:p>
    <w:p w14:paraId="0A97425C" w14:textId="79ECCFDC" w:rsidR="00E6211C" w:rsidRPr="00132C1E" w:rsidRDefault="00E6211C" w:rsidP="00724E4E">
      <w:pPr>
        <w:pStyle w:val="Clause"/>
      </w:pPr>
      <w:r w:rsidRPr="00835C82">
        <w:t xml:space="preserve">E.3.3.1(4) </w:t>
      </w:r>
      <w:r w:rsidRPr="00132C1E">
        <w:t xml:space="preserve">should be satisfied for beams. Steel grade from S235 </w:t>
      </w:r>
      <w:r w:rsidRPr="000A7682">
        <w:t xml:space="preserve">to </w:t>
      </w:r>
      <w:r w:rsidRPr="00132C1E">
        <w:t xml:space="preserve">S355 should be used for the beams and the beam cross sections should be class 1 according to </w:t>
      </w:r>
      <w:r w:rsidR="00867476">
        <w:t>EN 1993-1-1</w:t>
      </w:r>
      <w:r w:rsidRPr="005C7237">
        <w:t>:202</w:t>
      </w:r>
      <w:r w:rsidR="00345284">
        <w:t>2, 7.5.2</w:t>
      </w:r>
      <w:r w:rsidRPr="00132C1E">
        <w:t xml:space="preserve">, in DC3. In DC2 the beam cross sections may be class 1 or 2 according to </w:t>
      </w:r>
      <w:r w:rsidR="00867476">
        <w:t>EN 1993-1-1</w:t>
      </w:r>
      <w:r w:rsidRPr="005C7237">
        <w:t>:202</w:t>
      </w:r>
      <w:r w:rsidR="00345284">
        <w:t>2, 7.5</w:t>
      </w:r>
      <w:r w:rsidR="00345284" w:rsidRPr="00835C82">
        <w:t>.2</w:t>
      </w:r>
      <w:r w:rsidRPr="00132C1E">
        <w:t>. For all DC, the beam depth should be in the range of 240 mm to 770 mm.</w:t>
      </w:r>
    </w:p>
    <w:p w14:paraId="67D98761" w14:textId="4A8A7B9C" w:rsidR="00E6211C" w:rsidRPr="00132C1E" w:rsidRDefault="00E6211C" w:rsidP="00724E4E">
      <w:pPr>
        <w:pStyle w:val="Clause"/>
      </w:pPr>
      <w:r w:rsidRPr="00835C82">
        <w:t xml:space="preserve">E.3.3.1(6) </w:t>
      </w:r>
      <w:r w:rsidRPr="00132C1E">
        <w:t xml:space="preserve">should be satisfied for columns. Steel grade from S235 to S690 should be used for the columns and their cross sections should be class 1 according to </w:t>
      </w:r>
      <w:r w:rsidR="00867476">
        <w:t>EN 1993-1-1</w:t>
      </w:r>
      <w:r w:rsidRPr="005C7237">
        <w:t>:202</w:t>
      </w:r>
      <w:r w:rsidR="00345284">
        <w:t>2, 7.5.2.</w:t>
      </w:r>
      <w:r w:rsidRPr="00132C1E">
        <w:t xml:space="preserve"> In DC2 the column cross sections may be class 1 or 2 according to </w:t>
      </w:r>
      <w:r w:rsidR="00867476">
        <w:t>EN 1993-1-1</w:t>
      </w:r>
      <w:r w:rsidRPr="005C7237">
        <w:t>:202</w:t>
      </w:r>
      <w:r w:rsidR="00345284">
        <w:t>2, 7.5.2.</w:t>
      </w:r>
      <w:r w:rsidRPr="00132C1E">
        <w:t xml:space="preserve"> For all DC, the column depth should be in the range of 200 mm to 716 mm.</w:t>
      </w:r>
    </w:p>
    <w:p w14:paraId="1F2B8AC7" w14:textId="672D03F2" w:rsidR="00E6211C" w:rsidRPr="00132C1E" w:rsidRDefault="00E6211C" w:rsidP="00724E4E">
      <w:pPr>
        <w:pStyle w:val="Clause"/>
      </w:pPr>
      <w:r w:rsidRPr="00132C1E">
        <w:t xml:space="preserve">The thickness of stiffeners transverse to columns and of beam stiffeners should not be smaller than the thickness of the connected beam flange, as shown </w:t>
      </w:r>
      <w:r w:rsidRPr="000A7682">
        <w:t xml:space="preserve">in Figure E.10. These </w:t>
      </w:r>
      <w:r w:rsidRPr="00132C1E">
        <w:t xml:space="preserve">stiffeners may be considered as secondary, and they may be connected with fillet welds along their perimeter. The thickness of these welds should comply </w:t>
      </w:r>
      <w:r w:rsidRPr="000A7682">
        <w:t xml:space="preserve">with </w:t>
      </w:r>
      <w:r w:rsidRPr="00835C82">
        <w:t>E.3.3.3(4)</w:t>
      </w:r>
      <w:r w:rsidRPr="000A7682">
        <w:t>.</w:t>
      </w:r>
    </w:p>
    <w:p w14:paraId="6477B567" w14:textId="44FD5366" w:rsidR="00E6211C" w:rsidRPr="00132C1E" w:rsidRDefault="00E6211C" w:rsidP="00724E4E">
      <w:pPr>
        <w:pStyle w:val="Clause"/>
      </w:pPr>
      <w:r w:rsidRPr="00132C1E">
        <w:t xml:space="preserve">If supplementary web plates are necessary, they should </w:t>
      </w:r>
      <w:r w:rsidRPr="000A7682">
        <w:t xml:space="preserve">satisfy </w:t>
      </w:r>
      <w:r w:rsidRPr="00835C82">
        <w:t>E.3.3.2.</w:t>
      </w:r>
    </w:p>
    <w:p w14:paraId="5F772AB3" w14:textId="45754CE4" w:rsidR="00E6211C" w:rsidRPr="00132C1E" w:rsidRDefault="00E6211C" w:rsidP="00724E4E">
      <w:pPr>
        <w:pStyle w:val="Clause"/>
      </w:pPr>
      <w:r w:rsidRPr="00132C1E">
        <w:t xml:space="preserve">Continuity plates should comply with </w:t>
      </w:r>
      <w:r w:rsidRPr="00835C82">
        <w:t xml:space="preserve">E.3.3.2(5) </w:t>
      </w:r>
      <w:r w:rsidRPr="000A7682">
        <w:t>and</w:t>
      </w:r>
      <w:r w:rsidRPr="00835C82">
        <w:t xml:space="preserve"> E.3.3.2(6)</w:t>
      </w:r>
      <w:r w:rsidRPr="000A7682">
        <w:t xml:space="preserve">. </w:t>
      </w:r>
      <w:r w:rsidRPr="00132C1E">
        <w:t xml:space="preserve">Inner continuity plates, like (F) in </w:t>
      </w:r>
      <w:r w:rsidRPr="000A7682">
        <w:t>Figure E.10 b</w:t>
      </w:r>
      <w:r w:rsidRPr="00132C1E">
        <w:t>, may be used in bolted joints to increase the bending resistance of the column flange at the inner bolt-rows.</w:t>
      </w:r>
    </w:p>
    <w:p w14:paraId="79ADFFA6" w14:textId="4013A2B1" w:rsidR="00E6211C" w:rsidRPr="00132C1E" w:rsidRDefault="00E6211C" w:rsidP="00724E4E">
      <w:pPr>
        <w:pStyle w:val="Clause"/>
      </w:pPr>
      <w:r w:rsidRPr="00132C1E">
        <w:t>The haunch angle measured between the bottom flange of the beam and the flange of the haunch should be not smaller than 30° and not greater than 40°.</w:t>
      </w:r>
    </w:p>
    <w:p w14:paraId="23356F5A" w14:textId="4C552E4D" w:rsidR="00E6211C" w:rsidRPr="00132C1E" w:rsidRDefault="00E6211C" w:rsidP="00724E4E">
      <w:pPr>
        <w:pStyle w:val="Clause"/>
      </w:pPr>
      <w:r w:rsidRPr="00132C1E">
        <w:lastRenderedPageBreak/>
        <w:t xml:space="preserve">The thickness of the web of the haunch should satisfy </w:t>
      </w:r>
      <w:r w:rsidRPr="000A7682">
        <w:t>Formula (E.6).</w:t>
      </w:r>
    </w:p>
    <w:p w14:paraId="39403FA9" w14:textId="44584E5E" w:rsidR="000A7682" w:rsidRDefault="009B5CEC" w:rsidP="00691F56">
      <w:pPr>
        <w:pStyle w:val="Formula"/>
        <w:spacing w:before="240" w:after="120"/>
      </w:pPr>
      <m:oMath>
        <m:sSub>
          <m:sSubPr>
            <m:ctrlPr>
              <w:rPr>
                <w:rFonts w:ascii="Cambria Math" w:hAnsi="Cambria Math"/>
                <w:i/>
              </w:rPr>
            </m:ctrlPr>
          </m:sSubPr>
          <m:e>
            <m:r>
              <w:rPr>
                <w:rFonts w:ascii="Cambria Math" w:hAnsi="Cambria Math"/>
              </w:rPr>
              <m:t>t</m:t>
            </m:r>
          </m:e>
          <m:sub>
            <m:r>
              <m:rPr>
                <m:sty m:val="p"/>
              </m:rPr>
              <w:rPr>
                <w:rFonts w:ascii="Cambria Math" w:hAnsi="Cambria Math"/>
              </w:rPr>
              <m:t>w,h</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w,b</m:t>
            </m:r>
          </m:sub>
        </m:sSub>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f</m:t>
                    </m:r>
                  </m:e>
                  <m:sub>
                    <m:r>
                      <m:rPr>
                        <m:sty m:val="p"/>
                      </m:rPr>
                      <w:rPr>
                        <w:rFonts w:ascii="Cambria Math" w:hAnsi="Cambria Math"/>
                      </w:rPr>
                      <m:t>y,b</m:t>
                    </m:r>
                  </m:sub>
                </m:sSub>
              </m:num>
              <m:den>
                <m:sSub>
                  <m:sSubPr>
                    <m:ctrlPr>
                      <w:rPr>
                        <w:rFonts w:ascii="Cambria Math" w:hAnsi="Cambria Math"/>
                        <w:i/>
                      </w:rPr>
                    </m:ctrlPr>
                  </m:sSubPr>
                  <m:e>
                    <m:r>
                      <w:rPr>
                        <w:rFonts w:ascii="Cambria Math" w:hAnsi="Cambria Math"/>
                      </w:rPr>
                      <m:t>f</m:t>
                    </m:r>
                  </m:e>
                  <m:sub>
                    <m:r>
                      <m:rPr>
                        <m:sty m:val="p"/>
                      </m:rPr>
                      <w:rPr>
                        <w:rFonts w:ascii="Cambria Math" w:hAnsi="Cambria Math"/>
                      </w:rPr>
                      <m:t>y,h</m:t>
                    </m:r>
                  </m:sub>
                </m:sSub>
              </m:den>
            </m:f>
          </m:e>
        </m:d>
      </m:oMath>
      <w:r w:rsidR="000A7682" w:rsidRPr="00870D59">
        <w:tab/>
        <w:t>(</w:t>
      </w:r>
      <w:r w:rsidR="000A7682">
        <w:t>E</w:t>
      </w:r>
      <w:r w:rsidR="000A7682" w:rsidRPr="00870D59">
        <w:t>.</w:t>
      </w:r>
      <w:r w:rsidR="000A7682">
        <w:t>6</w:t>
      </w:r>
      <w:r w:rsidR="000A7682" w:rsidRPr="00870D59">
        <w:t>)</w:t>
      </w:r>
    </w:p>
    <w:p w14:paraId="70D7182C" w14:textId="797DA9D9" w:rsidR="000A7682" w:rsidRPr="001B2671" w:rsidRDefault="00675EBA" w:rsidP="009B2651">
      <w:pPr>
        <w:pStyle w:val="Text"/>
      </w:pPr>
      <w:r>
        <w:t>where</w:t>
      </w:r>
    </w:p>
    <w:tbl>
      <w:tblPr>
        <w:tblW w:w="0" w:type="auto"/>
        <w:tblInd w:w="346" w:type="dxa"/>
        <w:tblLook w:val="04A0" w:firstRow="1" w:lastRow="0" w:firstColumn="1" w:lastColumn="0" w:noHBand="0" w:noVBand="1"/>
      </w:tblPr>
      <w:tblGrid>
        <w:gridCol w:w="1275"/>
        <w:gridCol w:w="7938"/>
      </w:tblGrid>
      <w:tr w:rsidR="000A7682" w:rsidRPr="000F2AFF" w14:paraId="1E1CA245" w14:textId="77777777" w:rsidTr="00691F56">
        <w:tc>
          <w:tcPr>
            <w:tcW w:w="1275" w:type="dxa"/>
          </w:tcPr>
          <w:p w14:paraId="06C751C4" w14:textId="110BE6ED" w:rsidR="000A7682" w:rsidRPr="00773100" w:rsidRDefault="00E94384" w:rsidP="002061E5">
            <w:pPr>
              <w:spacing w:after="60"/>
              <w:jc w:val="left"/>
              <w:rPr>
                <w:rFonts w:eastAsia="Times New Roman" w:cs="Cambria"/>
                <w:color w:val="000000" w:themeColor="text1"/>
                <w:szCs w:val="20"/>
                <w:lang w:eastAsia="fr-FR"/>
              </w:rPr>
            </w:pPr>
            <w:r w:rsidRPr="00FD17CF">
              <w:rPr>
                <w:i/>
              </w:rPr>
              <w:t>t</w:t>
            </w:r>
            <w:r w:rsidRPr="00FD17CF">
              <w:rPr>
                <w:vertAlign w:val="subscript"/>
              </w:rPr>
              <w:t>w,h</w:t>
            </w:r>
          </w:p>
        </w:tc>
        <w:tc>
          <w:tcPr>
            <w:tcW w:w="7938" w:type="dxa"/>
          </w:tcPr>
          <w:p w14:paraId="27987065" w14:textId="6E479979" w:rsidR="000A7682" w:rsidRPr="005C7E1C" w:rsidRDefault="00E94384" w:rsidP="002061E5">
            <w:pPr>
              <w:pStyle w:val="Listofsymbols"/>
              <w:tabs>
                <w:tab w:val="clear" w:pos="1134"/>
                <w:tab w:val="left" w:pos="1347"/>
              </w:tabs>
              <w:ind w:left="0" w:firstLine="0"/>
              <w:rPr>
                <w:rFonts w:eastAsia="Times New Roman"/>
                <w:szCs w:val="22"/>
              </w:rPr>
            </w:pPr>
            <w:r w:rsidRPr="00132C1E">
              <w:t xml:space="preserve">is the thickness of </w:t>
            </w:r>
            <w:r w:rsidRPr="00132C1E">
              <w:rPr>
                <w:szCs w:val="22"/>
              </w:rPr>
              <w:t>the</w:t>
            </w:r>
            <w:r w:rsidRPr="00132C1E">
              <w:t xml:space="preserve"> haunch web</w:t>
            </w:r>
            <w:r w:rsidRPr="00132C1E">
              <w:rPr>
                <w:szCs w:val="22"/>
              </w:rPr>
              <w:t>;</w:t>
            </w:r>
          </w:p>
        </w:tc>
      </w:tr>
      <w:tr w:rsidR="000A7682" w:rsidRPr="000F2AFF" w14:paraId="23C7EE7B" w14:textId="77777777" w:rsidTr="00691F56">
        <w:tc>
          <w:tcPr>
            <w:tcW w:w="1275" w:type="dxa"/>
          </w:tcPr>
          <w:p w14:paraId="4B89E0CC" w14:textId="087ED374" w:rsidR="000A7682" w:rsidRPr="00773100" w:rsidRDefault="00E94384" w:rsidP="002061E5">
            <w:pPr>
              <w:spacing w:after="60"/>
              <w:jc w:val="left"/>
              <w:rPr>
                <w:rFonts w:eastAsia="Times New Roman" w:cs="Cambria"/>
                <w:color w:val="000000" w:themeColor="text1"/>
                <w:szCs w:val="20"/>
                <w:lang w:eastAsia="fr-FR"/>
              </w:rPr>
            </w:pPr>
            <w:r w:rsidRPr="00132C1E">
              <w:rPr>
                <w:i/>
              </w:rPr>
              <w:t>t</w:t>
            </w:r>
            <w:r w:rsidRPr="00132C1E">
              <w:rPr>
                <w:vertAlign w:val="subscript"/>
              </w:rPr>
              <w:t>w,b</w:t>
            </w:r>
          </w:p>
        </w:tc>
        <w:tc>
          <w:tcPr>
            <w:tcW w:w="7938" w:type="dxa"/>
          </w:tcPr>
          <w:p w14:paraId="0381C0A3" w14:textId="09072281" w:rsidR="000A7682" w:rsidRPr="005C7E1C" w:rsidRDefault="00E94384" w:rsidP="002061E5">
            <w:pPr>
              <w:pStyle w:val="Listofsymbols"/>
              <w:tabs>
                <w:tab w:val="clear" w:pos="1134"/>
                <w:tab w:val="left" w:pos="1347"/>
              </w:tabs>
              <w:ind w:left="0" w:firstLine="0"/>
              <w:rPr>
                <w:rFonts w:eastAsia="Times New Roman"/>
                <w:szCs w:val="22"/>
              </w:rPr>
            </w:pPr>
            <w:r w:rsidRPr="00132C1E">
              <w:t xml:space="preserve">is the thickness of </w:t>
            </w:r>
            <w:r w:rsidRPr="00132C1E">
              <w:rPr>
                <w:szCs w:val="22"/>
              </w:rPr>
              <w:t>the</w:t>
            </w:r>
            <w:r w:rsidRPr="00132C1E">
              <w:t xml:space="preserve"> beam web;</w:t>
            </w:r>
          </w:p>
        </w:tc>
      </w:tr>
      <w:tr w:rsidR="00D20C81" w:rsidRPr="000F2AFF" w14:paraId="26985CDB" w14:textId="77777777" w:rsidTr="00691F56">
        <w:tc>
          <w:tcPr>
            <w:tcW w:w="1275" w:type="dxa"/>
          </w:tcPr>
          <w:p w14:paraId="6E47623E" w14:textId="4A359BC1" w:rsidR="00D20C81" w:rsidRPr="00773100" w:rsidRDefault="00E94384" w:rsidP="002061E5">
            <w:pPr>
              <w:spacing w:after="60"/>
              <w:jc w:val="left"/>
              <w:rPr>
                <w:rFonts w:eastAsia="Times New Roman" w:cs="Cambria"/>
                <w:color w:val="000000" w:themeColor="text1"/>
                <w:szCs w:val="20"/>
                <w:lang w:eastAsia="fr-FR"/>
              </w:rPr>
            </w:pPr>
            <w:r w:rsidRPr="00132C1E">
              <w:rPr>
                <w:i/>
              </w:rPr>
              <w:t>f</w:t>
            </w:r>
            <w:r w:rsidRPr="00132C1E">
              <w:rPr>
                <w:vertAlign w:val="subscript"/>
              </w:rPr>
              <w:t>y,h</w:t>
            </w:r>
          </w:p>
        </w:tc>
        <w:tc>
          <w:tcPr>
            <w:tcW w:w="7938" w:type="dxa"/>
          </w:tcPr>
          <w:p w14:paraId="4390D717" w14:textId="27F0BD74" w:rsidR="00D20C81" w:rsidRPr="005C7E1C" w:rsidRDefault="00E94384" w:rsidP="002061E5">
            <w:pPr>
              <w:pStyle w:val="Listofsymbols"/>
              <w:tabs>
                <w:tab w:val="clear" w:pos="1134"/>
                <w:tab w:val="left" w:pos="1347"/>
              </w:tabs>
              <w:ind w:left="0" w:firstLine="0"/>
              <w:rPr>
                <w:rFonts w:eastAsia="Times New Roman"/>
                <w:szCs w:val="22"/>
              </w:rPr>
            </w:pPr>
            <w:r w:rsidRPr="00132C1E">
              <w:rPr>
                <w:szCs w:val="22"/>
              </w:rPr>
              <w:t xml:space="preserve">is </w:t>
            </w:r>
            <w:r w:rsidRPr="00132C1E">
              <w:t xml:space="preserve">the yield </w:t>
            </w:r>
            <w:r w:rsidRPr="00132C1E">
              <w:rPr>
                <w:szCs w:val="22"/>
              </w:rPr>
              <w:t>strength</w:t>
            </w:r>
            <w:r w:rsidRPr="00132C1E">
              <w:t xml:space="preserve"> of the haunch web;</w:t>
            </w:r>
          </w:p>
        </w:tc>
      </w:tr>
      <w:tr w:rsidR="000A7682" w:rsidRPr="000F2AFF" w14:paraId="59503E72" w14:textId="77777777" w:rsidTr="00691F56">
        <w:tc>
          <w:tcPr>
            <w:tcW w:w="1275" w:type="dxa"/>
          </w:tcPr>
          <w:p w14:paraId="43EDE578" w14:textId="57DEB2FB" w:rsidR="000A7682" w:rsidRPr="00773100" w:rsidRDefault="00E94384" w:rsidP="002061E5">
            <w:pPr>
              <w:spacing w:after="60"/>
              <w:jc w:val="left"/>
              <w:rPr>
                <w:rFonts w:eastAsia="Times New Roman" w:cs="Cambria"/>
                <w:color w:val="000000" w:themeColor="text1"/>
                <w:szCs w:val="20"/>
                <w:lang w:eastAsia="fr-FR"/>
              </w:rPr>
            </w:pPr>
            <w:r w:rsidRPr="00132C1E">
              <w:rPr>
                <w:i/>
              </w:rPr>
              <w:t>f</w:t>
            </w:r>
            <w:r w:rsidRPr="00132C1E">
              <w:rPr>
                <w:vertAlign w:val="subscript"/>
              </w:rPr>
              <w:t>y,b</w:t>
            </w:r>
          </w:p>
        </w:tc>
        <w:tc>
          <w:tcPr>
            <w:tcW w:w="7938" w:type="dxa"/>
          </w:tcPr>
          <w:p w14:paraId="1888F5F4" w14:textId="54925D22" w:rsidR="000A7682" w:rsidRPr="005C7E1C" w:rsidRDefault="00E94384" w:rsidP="002061E5">
            <w:pPr>
              <w:pStyle w:val="Listofsymbols"/>
              <w:tabs>
                <w:tab w:val="clear" w:pos="1134"/>
                <w:tab w:val="left" w:pos="1347"/>
              </w:tabs>
              <w:ind w:left="0" w:firstLine="0"/>
              <w:rPr>
                <w:rFonts w:eastAsia="Times New Roman"/>
                <w:szCs w:val="22"/>
              </w:rPr>
            </w:pPr>
            <w:r w:rsidRPr="00132C1E">
              <w:rPr>
                <w:szCs w:val="22"/>
              </w:rPr>
              <w:t>is</w:t>
            </w:r>
            <w:r w:rsidRPr="00132C1E">
              <w:t xml:space="preserve"> the yield </w:t>
            </w:r>
            <w:r w:rsidRPr="00132C1E">
              <w:rPr>
                <w:szCs w:val="22"/>
              </w:rPr>
              <w:t>strength</w:t>
            </w:r>
            <w:r w:rsidRPr="00132C1E">
              <w:t xml:space="preserve"> of the beam.</w:t>
            </w:r>
          </w:p>
        </w:tc>
      </w:tr>
    </w:tbl>
    <w:p w14:paraId="0675DBF8" w14:textId="35E37305" w:rsidR="00E94384" w:rsidRPr="00132C1E" w:rsidRDefault="00E94384" w:rsidP="00691F56">
      <w:pPr>
        <w:pStyle w:val="Clause"/>
        <w:spacing w:after="160"/>
      </w:pPr>
      <w:r w:rsidRPr="00132C1E">
        <w:t xml:space="preserve">The types of welds to be used for haunched beam-to-column joints </w:t>
      </w:r>
      <w:r w:rsidRPr="00E94384">
        <w:t>should satisfy</w:t>
      </w:r>
      <w:r w:rsidRPr="00835C82">
        <w:t xml:space="preserve"> E.3.3.3,</w:t>
      </w:r>
      <w:r w:rsidRPr="00E94384">
        <w:t xml:space="preserve"> Figure E.9 a and a) to e):</w:t>
      </w:r>
    </w:p>
    <w:p w14:paraId="7284615D" w14:textId="0BA7DDD4" w:rsidR="00E94384" w:rsidRPr="00132C1E" w:rsidRDefault="00E94384" w:rsidP="00691F56">
      <w:pPr>
        <w:pStyle w:val="Text"/>
        <w:numPr>
          <w:ilvl w:val="0"/>
          <w:numId w:val="706"/>
        </w:numPr>
        <w:spacing w:after="160"/>
      </w:pPr>
      <w:r w:rsidRPr="00132C1E">
        <w:t>The resistance of all welds should not be smaller than the resistance of the welded parts.</w:t>
      </w:r>
    </w:p>
    <w:p w14:paraId="5B98320B" w14:textId="0D859E19" w:rsidR="00E94384" w:rsidRPr="00132C1E" w:rsidRDefault="00E94384" w:rsidP="00691F56">
      <w:pPr>
        <w:pStyle w:val="Text"/>
        <w:numPr>
          <w:ilvl w:val="0"/>
          <w:numId w:val="706"/>
        </w:numPr>
        <w:spacing w:after="160"/>
      </w:pPr>
      <w:r w:rsidRPr="00132C1E">
        <w:t>The web of the haunch should be welded with two fillet welds (one on each side of the web) with a throat depth not smaller than 0,8 times the plate thickness.</w:t>
      </w:r>
    </w:p>
    <w:p w14:paraId="78C4BEF6" w14:textId="684ABEB4" w:rsidR="00E94384" w:rsidRPr="00132C1E" w:rsidRDefault="00E94384" w:rsidP="00691F56">
      <w:pPr>
        <w:pStyle w:val="Text"/>
        <w:numPr>
          <w:ilvl w:val="0"/>
          <w:numId w:val="706"/>
        </w:numPr>
        <w:spacing w:after="160"/>
      </w:pPr>
      <w:r w:rsidRPr="00132C1E">
        <w:t>Critical welds, i.e. the welds of the top beam flange, of the haunch flange, of the supplementary web plate to column flange should be full-penetration groove welds.</w:t>
      </w:r>
    </w:p>
    <w:p w14:paraId="2EDEE3F2" w14:textId="10B14D4B" w:rsidR="00E94384" w:rsidRPr="00132C1E" w:rsidRDefault="00E94384" w:rsidP="00691F56">
      <w:pPr>
        <w:pStyle w:val="Text"/>
        <w:numPr>
          <w:ilvl w:val="0"/>
          <w:numId w:val="706"/>
        </w:numPr>
        <w:spacing w:after="160"/>
      </w:pPr>
      <w:r w:rsidRPr="00132C1E">
        <w:t xml:space="preserve">In DC3 the top beam flange and haunch flange groove welds should be reinforced with additional fillet welds as specified </w:t>
      </w:r>
      <w:r w:rsidRPr="00E94384">
        <w:t>in Figure E.3</w:t>
      </w:r>
      <w:r w:rsidRPr="00132C1E">
        <w:t>.</w:t>
      </w:r>
    </w:p>
    <w:p w14:paraId="37DB8911" w14:textId="77777777" w:rsidR="00E94384" w:rsidRPr="00132C1E" w:rsidRDefault="00E94384" w:rsidP="00691F56">
      <w:pPr>
        <w:pStyle w:val="Text"/>
        <w:numPr>
          <w:ilvl w:val="0"/>
          <w:numId w:val="706"/>
        </w:numPr>
        <w:spacing w:after="160"/>
      </w:pPr>
      <w:r w:rsidRPr="00132C1E">
        <w:t>The reinforcing fillet welds at the top beam flange and haunch flange may be omitted for joints in DC2.</w:t>
      </w:r>
    </w:p>
    <w:p w14:paraId="5C254E77" w14:textId="1C295DF3" w:rsidR="00E94384" w:rsidRPr="00730396" w:rsidRDefault="006550E5" w:rsidP="00691F56">
      <w:pPr>
        <w:pStyle w:val="FigureImage"/>
        <w:spacing w:before="120"/>
      </w:pPr>
      <w:r>
        <w:rPr>
          <w:noProof/>
        </w:rPr>
        <w:drawing>
          <wp:inline distT="0" distB="0" distL="0" distR="0" wp14:anchorId="7A060506" wp14:editId="0486F398">
            <wp:extent cx="5760729" cy="2127507"/>
            <wp:effectExtent l="0" t="0" r="0" b="6350"/>
            <wp:docPr id="2081949459" name="e010.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1949459" name="e010.tiff"/>
                    <pic:cNvPicPr/>
                  </pic:nvPicPr>
                  <pic:blipFill>
                    <a:blip r:link="rId96"/>
                    <a:stretch>
                      <a:fillRect/>
                    </a:stretch>
                  </pic:blipFill>
                  <pic:spPr>
                    <a:xfrm>
                      <a:off x="0" y="0"/>
                      <a:ext cx="5760729" cy="2127507"/>
                    </a:xfrm>
                    <a:prstGeom prst="rect">
                      <a:avLst/>
                    </a:prstGeom>
                  </pic:spPr>
                </pic:pic>
              </a:graphicData>
            </a:graphic>
          </wp:inline>
        </w:drawing>
      </w:r>
    </w:p>
    <w:p w14:paraId="3B2E606A" w14:textId="77777777" w:rsidR="006550E5" w:rsidRPr="00D1484A" w:rsidRDefault="006550E5" w:rsidP="006550E5">
      <w:pPr>
        <w:pStyle w:val="KeyTitle"/>
      </w:pPr>
      <w:r w:rsidRPr="00D1484A">
        <w:t>Key</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7"/>
        <w:gridCol w:w="5243"/>
      </w:tblGrid>
      <w:tr w:rsidR="006550E5" w:rsidRPr="00B5422C" w14:paraId="2E3C5FBA" w14:textId="77777777" w:rsidTr="00691F56">
        <w:tc>
          <w:tcPr>
            <w:tcW w:w="427" w:type="dxa"/>
          </w:tcPr>
          <w:p w14:paraId="7D35A602" w14:textId="36CF01A2" w:rsidR="006550E5" w:rsidRPr="00D4445A" w:rsidRDefault="006550E5" w:rsidP="00691F56">
            <w:pPr>
              <w:pStyle w:val="KeyText"/>
              <w:spacing w:before="0" w:after="40"/>
              <w:rPr>
                <w:iCs/>
              </w:rPr>
            </w:pPr>
            <w:r w:rsidRPr="00D4445A">
              <w:rPr>
                <w:iCs/>
              </w:rPr>
              <w:t>A</w:t>
            </w:r>
          </w:p>
        </w:tc>
        <w:tc>
          <w:tcPr>
            <w:tcW w:w="5243" w:type="dxa"/>
          </w:tcPr>
          <w:p w14:paraId="0E2EA353" w14:textId="6F351167" w:rsidR="006550E5" w:rsidRPr="00FD12D8" w:rsidRDefault="006550E5" w:rsidP="00691F56">
            <w:pPr>
              <w:pStyle w:val="KeyText"/>
              <w:spacing w:before="0" w:after="40"/>
            </w:pPr>
            <w:r>
              <w:t>haunch</w:t>
            </w:r>
          </w:p>
        </w:tc>
      </w:tr>
      <w:tr w:rsidR="006550E5" w:rsidRPr="00B5422C" w14:paraId="03211689" w14:textId="77777777" w:rsidTr="00691F56">
        <w:tc>
          <w:tcPr>
            <w:tcW w:w="427" w:type="dxa"/>
          </w:tcPr>
          <w:p w14:paraId="5D311B5D" w14:textId="160A7C94" w:rsidR="006550E5" w:rsidRPr="00D4445A" w:rsidRDefault="006550E5" w:rsidP="00691F56">
            <w:pPr>
              <w:pStyle w:val="KeyText"/>
              <w:spacing w:before="0" w:after="40"/>
              <w:rPr>
                <w:iCs/>
              </w:rPr>
            </w:pPr>
            <w:r w:rsidRPr="00D4445A">
              <w:rPr>
                <w:iCs/>
              </w:rPr>
              <w:t>B</w:t>
            </w:r>
          </w:p>
        </w:tc>
        <w:tc>
          <w:tcPr>
            <w:tcW w:w="5243" w:type="dxa"/>
          </w:tcPr>
          <w:p w14:paraId="3FF3B2D9" w14:textId="59839902" w:rsidR="006550E5" w:rsidRPr="00FD12D8" w:rsidRDefault="006550E5" w:rsidP="00691F56">
            <w:pPr>
              <w:pStyle w:val="KeyText"/>
              <w:spacing w:before="0" w:after="40"/>
            </w:pPr>
            <w:r>
              <w:t>beam</w:t>
            </w:r>
          </w:p>
        </w:tc>
      </w:tr>
      <w:tr w:rsidR="006550E5" w:rsidRPr="00B5422C" w14:paraId="4C82D379" w14:textId="77777777" w:rsidTr="00691F56">
        <w:tc>
          <w:tcPr>
            <w:tcW w:w="427" w:type="dxa"/>
          </w:tcPr>
          <w:p w14:paraId="276A483C" w14:textId="35DD9EF4" w:rsidR="006550E5" w:rsidRPr="00D4445A" w:rsidRDefault="006550E5" w:rsidP="00691F56">
            <w:pPr>
              <w:pStyle w:val="KeyText"/>
              <w:spacing w:before="0" w:after="40"/>
              <w:rPr>
                <w:iCs/>
              </w:rPr>
            </w:pPr>
            <w:r w:rsidRPr="00D4445A">
              <w:rPr>
                <w:iCs/>
              </w:rPr>
              <w:t>C</w:t>
            </w:r>
          </w:p>
        </w:tc>
        <w:tc>
          <w:tcPr>
            <w:tcW w:w="5243" w:type="dxa"/>
          </w:tcPr>
          <w:p w14:paraId="3361DDB2" w14:textId="1EFFA97B" w:rsidR="006550E5" w:rsidRPr="00FD12D8" w:rsidRDefault="006550E5" w:rsidP="00691F56">
            <w:pPr>
              <w:pStyle w:val="KeyText"/>
              <w:spacing w:before="0" w:after="40"/>
              <w:ind w:left="0" w:firstLine="0"/>
            </w:pPr>
            <w:r>
              <w:t>column</w:t>
            </w:r>
          </w:p>
        </w:tc>
      </w:tr>
      <w:tr w:rsidR="006550E5" w:rsidRPr="00B5422C" w14:paraId="48F7ABDE" w14:textId="77777777" w:rsidTr="00691F56">
        <w:tc>
          <w:tcPr>
            <w:tcW w:w="427" w:type="dxa"/>
          </w:tcPr>
          <w:p w14:paraId="51F7B2AE" w14:textId="19A730B1" w:rsidR="006550E5" w:rsidRPr="00D4445A" w:rsidRDefault="006550E5" w:rsidP="00691F56">
            <w:pPr>
              <w:pStyle w:val="KeyText"/>
              <w:spacing w:before="0" w:after="40"/>
              <w:rPr>
                <w:iCs/>
              </w:rPr>
            </w:pPr>
            <w:r w:rsidRPr="00D4445A">
              <w:rPr>
                <w:iCs/>
              </w:rPr>
              <w:t>D</w:t>
            </w:r>
          </w:p>
        </w:tc>
        <w:tc>
          <w:tcPr>
            <w:tcW w:w="5243" w:type="dxa"/>
          </w:tcPr>
          <w:p w14:paraId="268EA25E" w14:textId="73F50E1D" w:rsidR="006550E5" w:rsidRDefault="006550E5" w:rsidP="00691F56">
            <w:pPr>
              <w:pStyle w:val="KeyText"/>
              <w:spacing w:before="0" w:after="40"/>
              <w:ind w:left="0" w:firstLine="0"/>
            </w:pPr>
            <w:r w:rsidRPr="006550E5">
              <w:t>vertical beam stiffener at the section of the haunch tip</w:t>
            </w:r>
          </w:p>
        </w:tc>
      </w:tr>
      <w:tr w:rsidR="006550E5" w:rsidRPr="00B5422C" w14:paraId="0282E409" w14:textId="77777777" w:rsidTr="00691F56">
        <w:tc>
          <w:tcPr>
            <w:tcW w:w="427" w:type="dxa"/>
          </w:tcPr>
          <w:p w14:paraId="60893492" w14:textId="2CAF1350" w:rsidR="006550E5" w:rsidRPr="00D4445A" w:rsidRDefault="006550E5" w:rsidP="00691F56">
            <w:pPr>
              <w:pStyle w:val="KeyText"/>
              <w:spacing w:before="0" w:after="40"/>
              <w:rPr>
                <w:iCs/>
              </w:rPr>
            </w:pPr>
            <w:r w:rsidRPr="00D4445A">
              <w:rPr>
                <w:iCs/>
              </w:rPr>
              <w:t>E</w:t>
            </w:r>
          </w:p>
        </w:tc>
        <w:tc>
          <w:tcPr>
            <w:tcW w:w="5243" w:type="dxa"/>
          </w:tcPr>
          <w:p w14:paraId="0AB2A57A" w14:textId="524625E9" w:rsidR="006550E5" w:rsidRDefault="006550E5" w:rsidP="00691F56">
            <w:pPr>
              <w:pStyle w:val="KeyText"/>
              <w:spacing w:before="0" w:after="40"/>
              <w:ind w:left="0" w:firstLine="0"/>
            </w:pPr>
            <w:r w:rsidRPr="006550E5">
              <w:t>end-plate</w:t>
            </w:r>
          </w:p>
        </w:tc>
      </w:tr>
      <w:tr w:rsidR="006550E5" w:rsidRPr="00B5422C" w14:paraId="65FEAAF0" w14:textId="77777777" w:rsidTr="00691F56">
        <w:tc>
          <w:tcPr>
            <w:tcW w:w="427" w:type="dxa"/>
          </w:tcPr>
          <w:p w14:paraId="7272CEE9" w14:textId="240EF444" w:rsidR="006550E5" w:rsidRPr="00D4445A" w:rsidRDefault="006550E5" w:rsidP="00691F56">
            <w:pPr>
              <w:pStyle w:val="KeyText"/>
              <w:spacing w:before="0" w:after="40"/>
              <w:rPr>
                <w:iCs/>
              </w:rPr>
            </w:pPr>
            <w:r w:rsidRPr="00D4445A">
              <w:rPr>
                <w:iCs/>
              </w:rPr>
              <w:t>F</w:t>
            </w:r>
          </w:p>
        </w:tc>
        <w:tc>
          <w:tcPr>
            <w:tcW w:w="5243" w:type="dxa"/>
          </w:tcPr>
          <w:p w14:paraId="3978AFD7" w14:textId="4F05CC28" w:rsidR="006550E5" w:rsidRDefault="006550E5" w:rsidP="00691F56">
            <w:pPr>
              <w:pStyle w:val="KeyText"/>
              <w:spacing w:before="0" w:after="40"/>
              <w:ind w:left="0" w:firstLine="0"/>
            </w:pPr>
            <w:r w:rsidRPr="006550E5">
              <w:t>transverse column stiffeners, also named continuity plates</w:t>
            </w:r>
          </w:p>
        </w:tc>
      </w:tr>
      <w:tr w:rsidR="006550E5" w:rsidRPr="00B5422C" w14:paraId="185294A0" w14:textId="77777777" w:rsidTr="00691F56">
        <w:tc>
          <w:tcPr>
            <w:tcW w:w="427" w:type="dxa"/>
          </w:tcPr>
          <w:p w14:paraId="75F09F3D" w14:textId="0607407A" w:rsidR="006550E5" w:rsidRPr="00D4445A" w:rsidRDefault="006550E5" w:rsidP="00691F56">
            <w:pPr>
              <w:pStyle w:val="KeyText"/>
              <w:spacing w:before="0" w:after="40"/>
              <w:rPr>
                <w:iCs/>
              </w:rPr>
            </w:pPr>
            <w:r w:rsidRPr="00D4445A">
              <w:rPr>
                <w:iCs/>
              </w:rPr>
              <w:t>1</w:t>
            </w:r>
          </w:p>
        </w:tc>
        <w:tc>
          <w:tcPr>
            <w:tcW w:w="5243" w:type="dxa"/>
          </w:tcPr>
          <w:p w14:paraId="2B19D023" w14:textId="4A1A20C3" w:rsidR="006550E5" w:rsidRDefault="006550E5" w:rsidP="00691F56">
            <w:pPr>
              <w:pStyle w:val="KeyText"/>
              <w:spacing w:before="0" w:after="40"/>
              <w:ind w:left="0" w:firstLine="0"/>
            </w:pPr>
            <w:r w:rsidRPr="006550E5">
              <w:t>centre of compression under sagging moment</w:t>
            </w:r>
          </w:p>
        </w:tc>
      </w:tr>
      <w:tr w:rsidR="006550E5" w:rsidRPr="00B5422C" w14:paraId="0B382071" w14:textId="77777777" w:rsidTr="00691F56">
        <w:tc>
          <w:tcPr>
            <w:tcW w:w="427" w:type="dxa"/>
          </w:tcPr>
          <w:p w14:paraId="331C83A9" w14:textId="646C1D37" w:rsidR="006550E5" w:rsidRPr="00D4445A" w:rsidRDefault="006550E5" w:rsidP="00691F56">
            <w:pPr>
              <w:pStyle w:val="KeyText"/>
              <w:spacing w:before="0" w:after="40"/>
              <w:rPr>
                <w:iCs/>
              </w:rPr>
            </w:pPr>
            <w:r w:rsidRPr="00D4445A">
              <w:rPr>
                <w:iCs/>
              </w:rPr>
              <w:t>2</w:t>
            </w:r>
          </w:p>
        </w:tc>
        <w:tc>
          <w:tcPr>
            <w:tcW w:w="5243" w:type="dxa"/>
          </w:tcPr>
          <w:p w14:paraId="67F3B373" w14:textId="2F7DC153" w:rsidR="006550E5" w:rsidRDefault="006550E5" w:rsidP="00691F56">
            <w:pPr>
              <w:pStyle w:val="KeyText"/>
              <w:spacing w:before="0" w:after="40"/>
              <w:ind w:left="0" w:firstLine="0"/>
            </w:pPr>
            <w:r w:rsidRPr="006550E5">
              <w:t>centre of compression under hogging moment</w:t>
            </w:r>
          </w:p>
        </w:tc>
      </w:tr>
    </w:tbl>
    <w:p w14:paraId="1E400BD1" w14:textId="3AEC23B9" w:rsidR="00E94384" w:rsidRPr="00E94384" w:rsidRDefault="00E94384" w:rsidP="00691F56">
      <w:pPr>
        <w:pStyle w:val="Figuretitle"/>
        <w:spacing w:before="120"/>
        <w:rPr>
          <w:rFonts w:eastAsia="Calibri"/>
          <w:szCs w:val="22"/>
          <w:lang w:eastAsia="en-US"/>
        </w:rPr>
      </w:pPr>
      <w:r w:rsidRPr="00E94384">
        <w:t>Figure E.</w:t>
      </w:r>
      <w:r w:rsidR="009B2651">
        <w:t>10</w:t>
      </w:r>
      <w:r w:rsidRPr="00E94384">
        <w:t> — Configurations of joints with haunch stiffener: (a) welded joint; (b) bolted end-plate joint; (c) bolted joint under sagging moment; (d) bolted joint under hogging moment</w:t>
      </w:r>
    </w:p>
    <w:p w14:paraId="1A120993" w14:textId="09F44114" w:rsidR="00E94384" w:rsidRPr="002144A0" w:rsidRDefault="00E94384" w:rsidP="00724E4E">
      <w:pPr>
        <w:pStyle w:val="Clause"/>
      </w:pPr>
      <w:r w:rsidRPr="00FD17CF">
        <w:lastRenderedPageBreak/>
        <w:t xml:space="preserve">Weld access holes may not be made at the beam flange to end-plate or column flange connections – </w:t>
      </w:r>
      <w:r w:rsidRPr="00835C82">
        <w:rPr>
          <w:bCs/>
        </w:rPr>
        <w:t>see E.3.3.3(6).</w:t>
      </w:r>
    </w:p>
    <w:p w14:paraId="41060C2B" w14:textId="7A71628C" w:rsidR="00E94384" w:rsidRPr="00C52095" w:rsidRDefault="00E94384" w:rsidP="00724E4E">
      <w:pPr>
        <w:pStyle w:val="Clause"/>
      </w:pPr>
      <w:r w:rsidRPr="002144A0">
        <w:t xml:space="preserve">The end plate thickness should be in the range of 16 mm to 40 mm. The steel grade of the end plates should </w:t>
      </w:r>
      <w:r w:rsidRPr="00DE1C53">
        <w:t xml:space="preserve">be S235 to S355. The </w:t>
      </w:r>
      <w:r w:rsidRPr="002144A0">
        <w:t>width of the end plate should not be smaller than the width of the beam flange</w:t>
      </w:r>
      <w:r w:rsidRPr="004F25D7">
        <w:t xml:space="preserve"> increased by</w:t>
      </w:r>
      <w:r w:rsidRPr="00C52095">
        <w:t xml:space="preserve"> 30 mm and not greater than the width of column flange.</w:t>
      </w:r>
      <w:r>
        <w:t xml:space="preserve"> </w:t>
      </w:r>
    </w:p>
    <w:p w14:paraId="200D9734" w14:textId="2DC725EC" w:rsidR="00E94384" w:rsidRPr="00132C1E" w:rsidRDefault="00E94384" w:rsidP="00724E4E">
      <w:pPr>
        <w:pStyle w:val="Clause"/>
      </w:pPr>
      <w:r w:rsidRPr="00C52095">
        <w:t>The Z grade of the steel in the end plate in bolted connect</w:t>
      </w:r>
      <w:r w:rsidRPr="007754C9">
        <w:t xml:space="preserve">ions and the column flange in welded connections should comply with </w:t>
      </w:r>
      <w:r>
        <w:t>pr</w:t>
      </w:r>
      <w:r w:rsidR="00C30FF9">
        <w:t>EN 1</w:t>
      </w:r>
      <w:r>
        <w:t>99</w:t>
      </w:r>
      <w:r w:rsidRPr="007754C9">
        <w:t>3-1-10, but it should not be smaller than Z15.</w:t>
      </w:r>
    </w:p>
    <w:p w14:paraId="446E679A" w14:textId="7E1F03EC" w:rsidR="00E94384" w:rsidRPr="00132C1E" w:rsidRDefault="00E94384" w:rsidP="00724E4E">
      <w:pPr>
        <w:pStyle w:val="Clause"/>
      </w:pPr>
      <w:r w:rsidRPr="00DE1C53">
        <w:t>High strength preloaded bolts</w:t>
      </w:r>
      <w:r w:rsidR="00DE1C53" w:rsidRPr="00DE1C53">
        <w:t xml:space="preserve"> </w:t>
      </w:r>
      <w:r w:rsidRPr="00DE1C53">
        <w:t>according to EN</w:t>
      </w:r>
      <w:r w:rsidR="009B2651">
        <w:t> </w:t>
      </w:r>
      <w:r w:rsidRPr="00DE1C53">
        <w:t>14399-3 (system HR) and EN</w:t>
      </w:r>
      <w:r w:rsidR="009B2651">
        <w:t> </w:t>
      </w:r>
      <w:r w:rsidRPr="00DE1C53">
        <w:t>14399-4 (system HV) should be used. Bolts should be fully preloaded according to EN</w:t>
      </w:r>
      <w:r w:rsidR="009B2651">
        <w:t> </w:t>
      </w:r>
      <w:r w:rsidRPr="00DE1C53">
        <w:t>1090-2. The nominal bolt diametre should be in the range of 14 mm to 40 mm. The width of the beam flanges should be smaller than the width of the column flange minus 30 mm.</w:t>
      </w:r>
    </w:p>
    <w:p w14:paraId="5A89643F" w14:textId="36304491" w:rsidR="00E94384" w:rsidRPr="00132C1E" w:rsidRDefault="00E94384" w:rsidP="00724E4E">
      <w:pPr>
        <w:pStyle w:val="Clause"/>
      </w:pPr>
      <w:r w:rsidRPr="00132C1E">
        <w:t xml:space="preserve">The bolt holes should comply with </w:t>
      </w:r>
      <w:r>
        <w:t>pr</w:t>
      </w:r>
      <w:r w:rsidR="00C30FF9">
        <w:t>EN 1</w:t>
      </w:r>
      <w:r>
        <w:t>99</w:t>
      </w:r>
      <w:r w:rsidRPr="00132C1E">
        <w:t>3-1-8. They should be made by drilling or sub-punching and reaming. Bolt holes should not be oversized.</w:t>
      </w:r>
    </w:p>
    <w:p w14:paraId="63D7B4E7" w14:textId="617C27A6" w:rsidR="00E94384" w:rsidRPr="00132C1E" w:rsidRDefault="00E94384" w:rsidP="00724E4E">
      <w:pPr>
        <w:pStyle w:val="Clause"/>
      </w:pPr>
      <w:r w:rsidRPr="00132C1E">
        <w:t>Finger shims may be interposed between the end plate and the column flange at both ends of the beam to adjust the constructional tolerances. Each shim thickness should not be greater than 2 mm and the total thickness of the stacked shims should not be greater than 8 mm at each end of the beam.</w:t>
      </w:r>
    </w:p>
    <w:p w14:paraId="6543F0F6" w14:textId="77777777" w:rsidR="00E94384" w:rsidRPr="00132C1E" w:rsidRDefault="00E94384" w:rsidP="00E94384">
      <w:pPr>
        <w:pStyle w:val="a4"/>
      </w:pPr>
      <w:bookmarkStart w:id="11248" w:name="_Toc108342756"/>
      <w:bookmarkStart w:id="11249" w:name="_Toc120543843"/>
      <w:bookmarkStart w:id="11250" w:name="_Toc134198265"/>
      <w:r w:rsidRPr="00132C1E">
        <w:t>Specific requirements for the analysis of frames with haunched joints</w:t>
      </w:r>
      <w:bookmarkEnd w:id="11248"/>
      <w:bookmarkEnd w:id="11249"/>
      <w:bookmarkEnd w:id="11250"/>
      <w:r w:rsidRPr="00132C1E">
        <w:t xml:space="preserve"> </w:t>
      </w:r>
    </w:p>
    <w:p w14:paraId="7A7FEE8C" w14:textId="64F222D5" w:rsidR="00E94384" w:rsidRPr="00132C1E" w:rsidRDefault="00E94384" w:rsidP="0080187E">
      <w:pPr>
        <w:pStyle w:val="Clause"/>
        <w:numPr>
          <w:ilvl w:val="0"/>
          <w:numId w:val="571"/>
        </w:numPr>
      </w:pPr>
      <w:r w:rsidRPr="00132C1E">
        <w:t>In linear elastic analysis, frames equipped with haunched joints may be modelled by means of a centre-line structural model. The deformability of the column web panel and of the connection may be ignored.</w:t>
      </w:r>
    </w:p>
    <w:p w14:paraId="18EF6141" w14:textId="382F3B51" w:rsidR="00E94384" w:rsidRPr="00132C1E" w:rsidRDefault="00E94384" w:rsidP="00724E4E">
      <w:pPr>
        <w:pStyle w:val="Clause"/>
      </w:pPr>
      <w:r w:rsidRPr="00132C1E">
        <w:t>In non-linear analyses the column web panel and the connection should be distinctly modelled as given in a) to d):</w:t>
      </w:r>
    </w:p>
    <w:p w14:paraId="3272BFC6" w14:textId="41A80C19" w:rsidR="00E94384" w:rsidRPr="009B2651" w:rsidRDefault="00E94384" w:rsidP="00691F56">
      <w:pPr>
        <w:pStyle w:val="Text"/>
        <w:numPr>
          <w:ilvl w:val="0"/>
          <w:numId w:val="707"/>
        </w:numPr>
        <w:spacing w:after="200"/>
      </w:pPr>
      <w:r w:rsidRPr="009B2651">
        <w:t>the column web panel should be simulated with alternative models accounting for its stiffness and resistance if designed as specified in E.3.2.2(4)b) and c)</w:t>
      </w:r>
      <w:r w:rsidR="00DE1C53" w:rsidRPr="009B2651">
        <w:t>;</w:t>
      </w:r>
    </w:p>
    <w:p w14:paraId="7733DB81" w14:textId="7AB9DAB4" w:rsidR="00E94384" w:rsidRPr="009B2651" w:rsidRDefault="00E94384" w:rsidP="00691F56">
      <w:pPr>
        <w:pStyle w:val="Text"/>
        <w:numPr>
          <w:ilvl w:val="0"/>
          <w:numId w:val="707"/>
        </w:numPr>
        <w:spacing w:after="200"/>
      </w:pPr>
      <w:r w:rsidRPr="009B2651">
        <w:t>the column web panel should be simulated using rigid segments per its axis with length equal to half dimension of the column web panel if designed as specified in E.3.2.2(4)a)</w:t>
      </w:r>
      <w:r w:rsidR="00DE1C53" w:rsidRPr="009B2651">
        <w:t>;</w:t>
      </w:r>
    </w:p>
    <w:p w14:paraId="1B78D622" w14:textId="77777777" w:rsidR="00E94384" w:rsidRPr="009B2651" w:rsidRDefault="00E94384" w:rsidP="00691F56">
      <w:pPr>
        <w:pStyle w:val="Text"/>
        <w:numPr>
          <w:ilvl w:val="0"/>
          <w:numId w:val="707"/>
        </w:numPr>
        <w:spacing w:after="200"/>
      </w:pPr>
      <w:r w:rsidRPr="009B2651">
        <w:t>the connection should be simulated as rigid;</w:t>
      </w:r>
    </w:p>
    <w:p w14:paraId="05BB89FB" w14:textId="77777777" w:rsidR="00E94384" w:rsidRPr="009B2651" w:rsidRDefault="00E94384" w:rsidP="00691F56">
      <w:pPr>
        <w:pStyle w:val="Text"/>
        <w:numPr>
          <w:ilvl w:val="0"/>
          <w:numId w:val="707"/>
        </w:numPr>
        <w:spacing w:after="200"/>
      </w:pPr>
      <w:r w:rsidRPr="009B2651">
        <w:t>the monotonic and cyclic behaviour of the beam should be modelled.</w:t>
      </w:r>
    </w:p>
    <w:p w14:paraId="06A91B6F" w14:textId="77777777" w:rsidR="00E94384" w:rsidRPr="00132C1E" w:rsidRDefault="00E94384" w:rsidP="00E94384">
      <w:pPr>
        <w:pStyle w:val="a4"/>
      </w:pPr>
      <w:bookmarkStart w:id="11251" w:name="_Toc108342757"/>
      <w:bookmarkStart w:id="11252" w:name="_Toc120543844"/>
      <w:bookmarkStart w:id="11253" w:name="_Toc134198266"/>
      <w:r w:rsidRPr="00132C1E">
        <w:t>Joints with rib stiffeners</w:t>
      </w:r>
      <w:bookmarkEnd w:id="11251"/>
      <w:bookmarkEnd w:id="11252"/>
      <w:bookmarkEnd w:id="11253"/>
    </w:p>
    <w:p w14:paraId="208E1C1C" w14:textId="211C50C2" w:rsidR="00E94384" w:rsidRPr="00132C1E" w:rsidRDefault="00E94384" w:rsidP="0080187E">
      <w:pPr>
        <w:pStyle w:val="Clause"/>
        <w:numPr>
          <w:ilvl w:val="0"/>
          <w:numId w:val="572"/>
        </w:numPr>
      </w:pPr>
      <w:r w:rsidRPr="00132C1E">
        <w:t xml:space="preserve">Beam-to-column joints </w:t>
      </w:r>
      <w:r w:rsidRPr="00DE1C53">
        <w:t>reinforced using rib stiffener above the upper flange of the beam and below its bottom flange may be either welded (see Figure E.11)</w:t>
      </w:r>
      <w:r w:rsidRPr="00835C82">
        <w:t xml:space="preserve"> </w:t>
      </w:r>
      <w:r w:rsidRPr="00DE1C53">
        <w:t xml:space="preserve">or bolted (see Figure E.12). Bolted stiffened end-plate joints may be either full strength </w:t>
      </w:r>
      <w:r w:rsidRPr="00132C1E">
        <w:t>or equal strength, with strong or balanced column web panel.</w:t>
      </w:r>
    </w:p>
    <w:p w14:paraId="06D92D26" w14:textId="5652E28A" w:rsidR="00E94384" w:rsidRPr="00132C1E" w:rsidRDefault="00E94384" w:rsidP="00724E4E">
      <w:pPr>
        <w:pStyle w:val="Clause"/>
      </w:pPr>
      <w:r w:rsidRPr="00132C1E">
        <w:t>The bolted connection should use an extended end plate with different configurations of bolt rows (</w:t>
      </w:r>
      <w:r w:rsidRPr="00DE1C53">
        <w:t>see Figure E.12)</w:t>
      </w:r>
      <w:r w:rsidRPr="00835C82">
        <w:t xml:space="preserve"> </w:t>
      </w:r>
      <w:r w:rsidRPr="00DE1C53">
        <w:t xml:space="preserve">depending </w:t>
      </w:r>
      <w:r w:rsidRPr="00132C1E">
        <w:t>on the target design performance of the connection and the beam depth, as specified in a) to e):</w:t>
      </w:r>
    </w:p>
    <w:p w14:paraId="54A5CF83" w14:textId="77777777" w:rsidR="00E94384" w:rsidRPr="00132C1E" w:rsidRDefault="00E94384" w:rsidP="00691F56">
      <w:pPr>
        <w:pStyle w:val="Text"/>
        <w:numPr>
          <w:ilvl w:val="0"/>
          <w:numId w:val="708"/>
        </w:numPr>
        <w:spacing w:after="200"/>
      </w:pPr>
      <w:r w:rsidRPr="00132C1E">
        <w:t xml:space="preserve">four bolt row configurations (see </w:t>
      </w:r>
      <w:r w:rsidRPr="00DE1C53">
        <w:t>Figure E.12 b</w:t>
      </w:r>
      <w:r w:rsidRPr="00132C1E">
        <w:t>) for equal strength connection with depth of I beams from 230 mm to 500 mm;</w:t>
      </w:r>
    </w:p>
    <w:p w14:paraId="7816C414" w14:textId="77777777" w:rsidR="00E94384" w:rsidRPr="00132C1E" w:rsidRDefault="00E94384" w:rsidP="00691F56">
      <w:pPr>
        <w:pStyle w:val="Text"/>
        <w:numPr>
          <w:ilvl w:val="0"/>
          <w:numId w:val="708"/>
        </w:numPr>
        <w:spacing w:after="200"/>
        <w:rPr>
          <w:rFonts w:eastAsia="Cambria"/>
        </w:rPr>
      </w:pPr>
      <w:r w:rsidRPr="00132C1E">
        <w:lastRenderedPageBreak/>
        <w:t>four bolt row configurations (</w:t>
      </w:r>
      <w:r w:rsidRPr="00DE1C53">
        <w:t xml:space="preserve">see Figure E.12 b) for </w:t>
      </w:r>
      <w:r w:rsidRPr="00132C1E">
        <w:t>full strength connection with depth of I beams from 230 mm to 360 mm;</w:t>
      </w:r>
    </w:p>
    <w:p w14:paraId="1C6D3E43" w14:textId="77777777" w:rsidR="00E94384" w:rsidRPr="00DE1C53" w:rsidRDefault="00E94384" w:rsidP="00691F56">
      <w:pPr>
        <w:pStyle w:val="Text"/>
        <w:numPr>
          <w:ilvl w:val="0"/>
          <w:numId w:val="708"/>
        </w:numPr>
        <w:spacing w:after="200"/>
      </w:pPr>
      <w:r w:rsidRPr="00132C1E">
        <w:t>six bolt row configurations (</w:t>
      </w:r>
      <w:r w:rsidRPr="00DE1C53">
        <w:t>see Figure E.12 c) for full strength connection with depth of I beams from 360 mm to 600 mm;</w:t>
      </w:r>
    </w:p>
    <w:p w14:paraId="25FA41B8" w14:textId="77777777" w:rsidR="00E94384" w:rsidRPr="00132C1E" w:rsidRDefault="00E94384" w:rsidP="00691F56">
      <w:pPr>
        <w:pStyle w:val="Text"/>
        <w:numPr>
          <w:ilvl w:val="0"/>
          <w:numId w:val="708"/>
        </w:numPr>
        <w:spacing w:after="200"/>
      </w:pPr>
      <w:r w:rsidRPr="00132C1E">
        <w:t>six bolt row configurations (</w:t>
      </w:r>
      <w:r w:rsidRPr="00DE1C53">
        <w:t>see Figure E.12 c) for equal strength connection with depth of I beams from 500 mm to 910 mm;</w:t>
      </w:r>
    </w:p>
    <w:p w14:paraId="0CB7FE39" w14:textId="77777777" w:rsidR="00E94384" w:rsidRPr="00132C1E" w:rsidRDefault="00E94384" w:rsidP="00691F56">
      <w:pPr>
        <w:pStyle w:val="Text"/>
        <w:numPr>
          <w:ilvl w:val="0"/>
          <w:numId w:val="708"/>
        </w:numPr>
        <w:spacing w:after="200"/>
      </w:pPr>
      <w:r w:rsidRPr="00132C1E">
        <w:t>eight bolt row configurations (</w:t>
      </w:r>
      <w:r w:rsidRPr="00DE1C53">
        <w:t xml:space="preserve">see Figure E.12 d) </w:t>
      </w:r>
      <w:r w:rsidRPr="00132C1E">
        <w:t>for full strength connection with depth of I beams from 600 mm to 910 mm</w:t>
      </w:r>
      <w:r>
        <w:t>.</w:t>
      </w:r>
    </w:p>
    <w:p w14:paraId="09A08409" w14:textId="58667C1D" w:rsidR="00E94384" w:rsidRPr="00132C1E" w:rsidRDefault="00E94384" w:rsidP="00724E4E">
      <w:pPr>
        <w:pStyle w:val="Clause"/>
      </w:pPr>
      <w:r w:rsidRPr="00132C1E">
        <w:t>Full (both welded and bolted) and equal (bolted) strength connections should be used for DC3 structures.</w:t>
      </w:r>
    </w:p>
    <w:p w14:paraId="6DF61101" w14:textId="021DE900" w:rsidR="00E94384" w:rsidRPr="00132C1E" w:rsidRDefault="00E94384" w:rsidP="00724E4E">
      <w:pPr>
        <w:pStyle w:val="Clause"/>
      </w:pPr>
      <w:r w:rsidRPr="00132C1E">
        <w:t xml:space="preserve">The design action effects in full-strength connections (both welded and bolted) should be calculated with </w:t>
      </w:r>
      <w:r w:rsidRPr="00DE1C53">
        <w:t>Formula (E.1). Their design resistance should be calculated with pr</w:t>
      </w:r>
      <w:r w:rsidR="00C30FF9">
        <w:t>EN 1</w:t>
      </w:r>
      <w:r w:rsidRPr="00DE1C53">
        <w:t xml:space="preserve">993-1-8 and should comply with the additional assumptions for bolted connections in </w:t>
      </w:r>
      <w:r w:rsidRPr="00835C82">
        <w:t>(6)</w:t>
      </w:r>
      <w:r w:rsidRPr="00132C1E">
        <w:t>.</w:t>
      </w:r>
    </w:p>
    <w:p w14:paraId="13F734FF" w14:textId="6775CA7E" w:rsidR="00E94384" w:rsidRPr="00132C1E" w:rsidRDefault="00E94384" w:rsidP="00724E4E">
      <w:pPr>
        <w:pStyle w:val="Clause"/>
      </w:pPr>
      <w:r w:rsidRPr="00132C1E">
        <w:t xml:space="preserve">The design action effects in equal strength bolted connection should be calculated </w:t>
      </w:r>
      <w:r w:rsidRPr="00DE1C53">
        <w:t>with Formula (E.2). Their design resistance should be calculated with pr</w:t>
      </w:r>
      <w:r w:rsidR="00C30FF9">
        <w:t>EN 1</w:t>
      </w:r>
      <w:r w:rsidRPr="00DE1C53">
        <w:t xml:space="preserve">993-1-8 and should comply with the additional assumptions in </w:t>
      </w:r>
      <w:r w:rsidRPr="00835C82">
        <w:t>(6)</w:t>
      </w:r>
      <w:r w:rsidRPr="00132C1E">
        <w:t>.</w:t>
      </w:r>
    </w:p>
    <w:p w14:paraId="0DB8E831" w14:textId="1EEA8EFA" w:rsidR="00E94384" w:rsidRPr="00132C1E" w:rsidRDefault="00E94384" w:rsidP="00724E4E">
      <w:pPr>
        <w:pStyle w:val="Clause"/>
      </w:pPr>
      <w:r w:rsidRPr="00132C1E">
        <w:t>The resistance of bolted connections should be calculated considering the additional assumptions in a) to d):</w:t>
      </w:r>
    </w:p>
    <w:p w14:paraId="09B05335" w14:textId="77777777" w:rsidR="00E94384" w:rsidRPr="009B2651" w:rsidRDefault="00E94384" w:rsidP="00691F56">
      <w:pPr>
        <w:pStyle w:val="Text"/>
        <w:numPr>
          <w:ilvl w:val="0"/>
          <w:numId w:val="709"/>
        </w:numPr>
        <w:spacing w:after="200"/>
      </w:pPr>
      <w:r w:rsidRPr="009B2651">
        <w:t>The active bolt rows in tension are those above the axis of the beam under hogging moment and below under sagging moment;</w:t>
      </w:r>
    </w:p>
    <w:p w14:paraId="4C74BC98" w14:textId="547280F5" w:rsidR="00E94384" w:rsidRPr="009B2651" w:rsidRDefault="00E94384" w:rsidP="00691F56">
      <w:pPr>
        <w:pStyle w:val="Text"/>
        <w:numPr>
          <w:ilvl w:val="0"/>
          <w:numId w:val="709"/>
        </w:numPr>
        <w:spacing w:after="200"/>
      </w:pPr>
      <w:r w:rsidRPr="009B2651">
        <w:t>The centre of compression is located at the centroid of the beam flange and rib web (see Figure E.13)</w:t>
      </w:r>
      <w:r w:rsidR="00DE1C53" w:rsidRPr="009B2651">
        <w:t>;</w:t>
      </w:r>
    </w:p>
    <w:p w14:paraId="3573F0BB" w14:textId="2EDDD5AB" w:rsidR="00E94384" w:rsidRPr="009B2651" w:rsidRDefault="00E94384" w:rsidP="00691F56">
      <w:pPr>
        <w:pStyle w:val="Text"/>
        <w:numPr>
          <w:ilvl w:val="0"/>
          <w:numId w:val="709"/>
        </w:numPr>
        <w:spacing w:after="200"/>
      </w:pPr>
      <w:r w:rsidRPr="009B2651">
        <w:t>the conditions given in E.3.3.1(5) and (8) apply</w:t>
      </w:r>
      <w:r w:rsidR="00DE1C53" w:rsidRPr="009B2651">
        <w:t>;</w:t>
      </w:r>
    </w:p>
    <w:p w14:paraId="3BE703C9" w14:textId="77777777" w:rsidR="00E94384" w:rsidRPr="009B2651" w:rsidRDefault="00E94384" w:rsidP="00691F56">
      <w:pPr>
        <w:pStyle w:val="Text"/>
        <w:numPr>
          <w:ilvl w:val="0"/>
          <w:numId w:val="709"/>
        </w:numPr>
        <w:spacing w:after="200"/>
      </w:pPr>
      <w:r w:rsidRPr="009B2651">
        <w:t>the conditions given in E.3.3.1(8) and (9) apply but only in the case of four or six bolt rows configurations.</w:t>
      </w:r>
    </w:p>
    <w:p w14:paraId="2889054C" w14:textId="277BE131" w:rsidR="00E94384" w:rsidRPr="00132C1E" w:rsidRDefault="00E94384" w:rsidP="00724E4E">
      <w:pPr>
        <w:pStyle w:val="Clause"/>
      </w:pPr>
      <w:r w:rsidRPr="00835C82">
        <w:t>E.3.3.4(6)</w:t>
      </w:r>
      <w:r w:rsidRPr="00DE1C53">
        <w:t xml:space="preserve"> </w:t>
      </w:r>
      <w:r w:rsidRPr="00132C1E">
        <w:t>should be applied. The clear span-to-depth ratio (i.e. the distance between the assumed location of plastic hinges divided by the beam depth) should not be less than 7 for MRFs and 5 for dual frames.</w:t>
      </w:r>
    </w:p>
    <w:p w14:paraId="2B9CEED5" w14:textId="567ADC82" w:rsidR="00E94384" w:rsidRPr="00132C1E" w:rsidRDefault="00E94384" w:rsidP="00724E4E">
      <w:pPr>
        <w:pStyle w:val="Clause"/>
      </w:pPr>
      <w:r w:rsidRPr="00835C82">
        <w:t>E.3.3.4(7)</w:t>
      </w:r>
      <w:r w:rsidRPr="00DE1C53">
        <w:t xml:space="preserve"> </w:t>
      </w:r>
      <w:r w:rsidRPr="00132C1E">
        <w:t>should be applied, but with a beam depth range from 230 mm to 910 mm.</w:t>
      </w:r>
    </w:p>
    <w:p w14:paraId="3E831A06" w14:textId="2EB0F99D" w:rsidR="00E94384" w:rsidRPr="00132C1E" w:rsidRDefault="00E94384" w:rsidP="00724E4E">
      <w:pPr>
        <w:pStyle w:val="Clause"/>
      </w:pPr>
      <w:r w:rsidRPr="00835C82">
        <w:t>E.3.3.4(8)</w:t>
      </w:r>
      <w:r w:rsidRPr="00DE1C53">
        <w:t xml:space="preserve"> should </w:t>
      </w:r>
      <w:r w:rsidRPr="00132C1E">
        <w:t>be applied, but with a column depth range from 200 mm to 1</w:t>
      </w:r>
      <w:r w:rsidR="00691F56">
        <w:t> </w:t>
      </w:r>
      <w:r w:rsidRPr="00132C1E">
        <w:t>000 mm.</w:t>
      </w:r>
    </w:p>
    <w:p w14:paraId="468A3E4F" w14:textId="0054E61A" w:rsidR="00E94384" w:rsidRPr="00132C1E" w:rsidRDefault="00E94384" w:rsidP="00724E4E">
      <w:pPr>
        <w:pStyle w:val="Clause"/>
      </w:pPr>
      <w:r w:rsidRPr="00835C82">
        <w:t>E.3.3.4(10)</w:t>
      </w:r>
      <w:r w:rsidRPr="00DE1C53">
        <w:t xml:space="preserve"> should </w:t>
      </w:r>
      <w:r w:rsidRPr="00132C1E">
        <w:t>be applied.</w:t>
      </w:r>
    </w:p>
    <w:p w14:paraId="40852647" w14:textId="540C33BC" w:rsidR="00E94384" w:rsidRPr="00132C1E" w:rsidRDefault="00E94384" w:rsidP="00724E4E">
      <w:pPr>
        <w:pStyle w:val="Clause"/>
      </w:pPr>
      <w:r w:rsidRPr="00132C1E">
        <w:t xml:space="preserve">Continuity plates should comply </w:t>
      </w:r>
      <w:r w:rsidRPr="00DE1C53">
        <w:t xml:space="preserve">with </w:t>
      </w:r>
      <w:r w:rsidRPr="00835C82">
        <w:t xml:space="preserve">E.3.3.2(5) </w:t>
      </w:r>
      <w:r w:rsidRPr="00DE1C53">
        <w:t>and</w:t>
      </w:r>
      <w:r w:rsidRPr="00835C82">
        <w:t xml:space="preserve"> E.3.3.2(6)</w:t>
      </w:r>
      <w:r w:rsidRPr="00132C1E">
        <w:t>.</w:t>
      </w:r>
    </w:p>
    <w:p w14:paraId="4F1A59DE" w14:textId="7329874A" w:rsidR="00E94384" w:rsidRPr="00132C1E" w:rsidRDefault="00E94384" w:rsidP="00724E4E">
      <w:pPr>
        <w:pStyle w:val="Clause"/>
      </w:pPr>
      <w:r w:rsidRPr="00132C1E">
        <w:t xml:space="preserve">The rib angle measured between the flange of the beam and the line intersecting the edge of tip of the rib and the corresponding tip on the end plate or the column flange (see </w:t>
      </w:r>
      <w:r w:rsidRPr="00DE1C53">
        <w:t>Figure E.14) s</w:t>
      </w:r>
      <w:r w:rsidRPr="00132C1E">
        <w:t xml:space="preserve">hould be between 30° and 40°. The stiffener should be clipped where it meets the beam flange and the end plate or the column flange to provide clearance between the stiffener and the weld (see </w:t>
      </w:r>
      <w:r w:rsidRPr="00DE1C53">
        <w:t>Figure E.14</w:t>
      </w:r>
      <w:r w:rsidRPr="00132C1E">
        <w:t>).</w:t>
      </w:r>
    </w:p>
    <w:p w14:paraId="40F67EF4" w14:textId="3F88D9D2" w:rsidR="00E94384" w:rsidRPr="00132C1E" w:rsidRDefault="00E94384" w:rsidP="00724E4E">
      <w:pPr>
        <w:pStyle w:val="Clause"/>
      </w:pPr>
      <w:r w:rsidRPr="00132C1E">
        <w:t xml:space="preserve">The thickness of the rib should comply </w:t>
      </w:r>
      <w:r w:rsidRPr="00DE1C53">
        <w:t>with Formula (E.7).</w:t>
      </w:r>
    </w:p>
    <w:p w14:paraId="45CF29A1" w14:textId="1309F2B2" w:rsidR="0076413A" w:rsidRDefault="009B5CEC" w:rsidP="0076413A">
      <w:pPr>
        <w:pStyle w:val="Formula"/>
        <w:spacing w:before="240"/>
      </w:pPr>
      <m:oMath>
        <m:sSub>
          <m:sSubPr>
            <m:ctrlPr>
              <w:rPr>
                <w:rFonts w:ascii="Cambria Math" w:hAnsi="Cambria Math"/>
              </w:rPr>
            </m:ctrlPr>
          </m:sSubPr>
          <m:e>
            <m:r>
              <w:rPr>
                <w:rFonts w:ascii="Cambria Math" w:hAnsi="Cambria Math"/>
              </w:rPr>
              <m:t>t</m:t>
            </m:r>
          </m:e>
          <m:sub>
            <m:r>
              <m:rPr>
                <m:sty m:val="p"/>
              </m:rPr>
              <w:rPr>
                <w:rFonts w:ascii="Cambria Math" w:hAnsi="Cambria Math"/>
              </w:rPr>
              <m:t>w,r</m:t>
            </m:r>
          </m:sub>
        </m:sSub>
        <m:r>
          <w:rPr>
            <w:rFonts w:ascii="Cambria Math" w:hAnsi="Cambria Math"/>
          </w:rPr>
          <m:t>≥</m:t>
        </m:r>
        <m:sSub>
          <m:sSubPr>
            <m:ctrlPr>
              <w:rPr>
                <w:rFonts w:ascii="Cambria Math" w:hAnsi="Cambria Math"/>
              </w:rPr>
            </m:ctrlPr>
          </m:sSubPr>
          <m:e>
            <m:r>
              <w:rPr>
                <w:rFonts w:ascii="Cambria Math" w:hAnsi="Cambria Math"/>
              </w:rPr>
              <m:t>t</m:t>
            </m:r>
          </m:e>
          <m:sub>
            <m:r>
              <m:rPr>
                <m:sty m:val="p"/>
              </m:rPr>
              <w:rPr>
                <w:rFonts w:ascii="Cambria Math" w:hAnsi="Cambria Math"/>
              </w:rPr>
              <m:t>w,b</m:t>
            </m:r>
          </m:sub>
        </m:sSub>
        <m:r>
          <w:rPr>
            <w:rFonts w:ascii="Cambria Math" w:hAnsi="Cambria Math"/>
          </w:rPr>
          <m:t xml:space="preserve"> </m:t>
        </m:r>
        <m:d>
          <m:dPr>
            <m:ctrlPr>
              <w:rPr>
                <w:rFonts w:ascii="Cambria Math" w:hAnsi="Cambria Math"/>
              </w:rPr>
            </m:ctrlPr>
          </m:dPr>
          <m:e>
            <m:f>
              <m:fPr>
                <m:ctrlPr>
                  <w:rPr>
                    <w:rFonts w:ascii="Cambria Math" w:hAnsi="Cambria Math"/>
                  </w:rPr>
                </m:ctrlPr>
              </m:fPr>
              <m:num>
                <m:sSub>
                  <m:sSubPr>
                    <m:ctrlPr>
                      <w:rPr>
                        <w:rFonts w:ascii="Cambria Math" w:hAnsi="Cambria Math"/>
                      </w:rPr>
                    </m:ctrlPr>
                  </m:sSubPr>
                  <m:e>
                    <m:r>
                      <w:rPr>
                        <w:rFonts w:ascii="Cambria Math" w:hAnsi="Cambria Math"/>
                      </w:rPr>
                      <m:t>f</m:t>
                    </m:r>
                  </m:e>
                  <m:sub>
                    <m:r>
                      <m:rPr>
                        <m:sty m:val="p"/>
                      </m:rPr>
                      <w:rPr>
                        <w:rFonts w:ascii="Cambria Math" w:hAnsi="Cambria Math"/>
                      </w:rPr>
                      <m:t>y,b</m:t>
                    </m:r>
                  </m:sub>
                </m:sSub>
              </m:num>
              <m:den>
                <m:sSub>
                  <m:sSubPr>
                    <m:ctrlPr>
                      <w:rPr>
                        <w:rFonts w:ascii="Cambria Math" w:hAnsi="Cambria Math"/>
                      </w:rPr>
                    </m:ctrlPr>
                  </m:sSubPr>
                  <m:e>
                    <m:r>
                      <w:rPr>
                        <w:rFonts w:ascii="Cambria Math" w:hAnsi="Cambria Math"/>
                      </w:rPr>
                      <m:t>f</m:t>
                    </m:r>
                  </m:e>
                  <m:sub>
                    <m:r>
                      <m:rPr>
                        <m:sty m:val="p"/>
                      </m:rPr>
                      <w:rPr>
                        <w:rFonts w:ascii="Cambria Math" w:hAnsi="Cambria Math"/>
                      </w:rPr>
                      <m:t>y,r</m:t>
                    </m:r>
                  </m:sub>
                </m:sSub>
              </m:den>
            </m:f>
          </m:e>
        </m:d>
        <m:r>
          <w:rPr>
            <w:rFonts w:ascii="Cambria Math" w:hAnsi="Cambria Math"/>
          </w:rPr>
          <m:t xml:space="preserve"> </m:t>
        </m:r>
      </m:oMath>
      <w:r w:rsidR="0076413A">
        <w:t xml:space="preserve"> </w:t>
      </w:r>
      <w:r w:rsidR="0076413A" w:rsidRPr="00870D59">
        <w:tab/>
        <w:t>(</w:t>
      </w:r>
      <w:r w:rsidR="0076413A">
        <w:t>E</w:t>
      </w:r>
      <w:r w:rsidR="0076413A" w:rsidRPr="00870D59">
        <w:t>.</w:t>
      </w:r>
      <w:r w:rsidR="0076413A">
        <w:t>7</w:t>
      </w:r>
      <w:r w:rsidR="0076413A" w:rsidRPr="00870D59">
        <w:t>)</w:t>
      </w:r>
    </w:p>
    <w:p w14:paraId="377CE9E5" w14:textId="7CB2EDCA" w:rsidR="0076413A" w:rsidRPr="001B2671" w:rsidRDefault="00675EBA" w:rsidP="009B2651">
      <w:pPr>
        <w:pStyle w:val="Text"/>
      </w:pPr>
      <w:r>
        <w:t>where</w:t>
      </w:r>
    </w:p>
    <w:tbl>
      <w:tblPr>
        <w:tblW w:w="0" w:type="auto"/>
        <w:tblInd w:w="346" w:type="dxa"/>
        <w:tblLook w:val="04A0" w:firstRow="1" w:lastRow="0" w:firstColumn="1" w:lastColumn="0" w:noHBand="0" w:noVBand="1"/>
      </w:tblPr>
      <w:tblGrid>
        <w:gridCol w:w="1275"/>
        <w:gridCol w:w="7938"/>
      </w:tblGrid>
      <w:tr w:rsidR="0076413A" w:rsidRPr="000F2AFF" w14:paraId="4D5B64D5" w14:textId="77777777" w:rsidTr="00691F56">
        <w:tc>
          <w:tcPr>
            <w:tcW w:w="1275" w:type="dxa"/>
          </w:tcPr>
          <w:p w14:paraId="4E25B8F4" w14:textId="6686E7D9" w:rsidR="0076413A" w:rsidRPr="00773100" w:rsidRDefault="0076413A" w:rsidP="002061E5">
            <w:pPr>
              <w:spacing w:after="60"/>
              <w:jc w:val="left"/>
              <w:rPr>
                <w:rFonts w:eastAsia="Times New Roman" w:cs="Cambria"/>
                <w:color w:val="000000" w:themeColor="text1"/>
                <w:szCs w:val="20"/>
                <w:lang w:eastAsia="fr-FR"/>
              </w:rPr>
            </w:pPr>
            <w:r w:rsidRPr="00FD17CF">
              <w:rPr>
                <w:i/>
              </w:rPr>
              <w:t>t</w:t>
            </w:r>
            <w:r w:rsidRPr="00FD17CF">
              <w:rPr>
                <w:vertAlign w:val="subscript"/>
              </w:rPr>
              <w:t>w,</w:t>
            </w:r>
            <w:r>
              <w:rPr>
                <w:vertAlign w:val="subscript"/>
              </w:rPr>
              <w:t>r</w:t>
            </w:r>
          </w:p>
        </w:tc>
        <w:tc>
          <w:tcPr>
            <w:tcW w:w="7938" w:type="dxa"/>
          </w:tcPr>
          <w:p w14:paraId="18353C6A" w14:textId="3DD62475" w:rsidR="0076413A" w:rsidRPr="005C7E1C" w:rsidRDefault="0076413A" w:rsidP="0076413A">
            <w:pPr>
              <w:pStyle w:val="Listofsymbols"/>
              <w:rPr>
                <w:rFonts w:eastAsia="Times New Roman"/>
                <w:szCs w:val="22"/>
              </w:rPr>
            </w:pPr>
            <w:r w:rsidRPr="00132C1E">
              <w:t xml:space="preserve">is the thickness of </w:t>
            </w:r>
            <w:r w:rsidRPr="00132C1E">
              <w:rPr>
                <w:szCs w:val="22"/>
              </w:rPr>
              <w:t>the</w:t>
            </w:r>
            <w:r w:rsidRPr="00132C1E">
              <w:t xml:space="preserve"> rib web</w:t>
            </w:r>
            <w:r w:rsidRPr="00132C1E">
              <w:rPr>
                <w:szCs w:val="22"/>
              </w:rPr>
              <w:t>;</w:t>
            </w:r>
          </w:p>
        </w:tc>
      </w:tr>
      <w:tr w:rsidR="0076413A" w:rsidRPr="000F2AFF" w14:paraId="4D8AED3A" w14:textId="77777777" w:rsidTr="00691F56">
        <w:tc>
          <w:tcPr>
            <w:tcW w:w="1275" w:type="dxa"/>
          </w:tcPr>
          <w:p w14:paraId="46380D4E" w14:textId="77777777" w:rsidR="0076413A" w:rsidRPr="00773100" w:rsidRDefault="0076413A" w:rsidP="002061E5">
            <w:pPr>
              <w:spacing w:after="60"/>
              <w:jc w:val="left"/>
              <w:rPr>
                <w:rFonts w:eastAsia="Times New Roman" w:cs="Cambria"/>
                <w:color w:val="000000" w:themeColor="text1"/>
                <w:szCs w:val="20"/>
                <w:lang w:eastAsia="fr-FR"/>
              </w:rPr>
            </w:pPr>
            <w:r w:rsidRPr="00132C1E">
              <w:rPr>
                <w:i/>
              </w:rPr>
              <w:t>t</w:t>
            </w:r>
            <w:r w:rsidRPr="00132C1E">
              <w:rPr>
                <w:vertAlign w:val="subscript"/>
              </w:rPr>
              <w:t>w,b</w:t>
            </w:r>
          </w:p>
        </w:tc>
        <w:tc>
          <w:tcPr>
            <w:tcW w:w="7938" w:type="dxa"/>
          </w:tcPr>
          <w:p w14:paraId="6F633F93" w14:textId="77777777" w:rsidR="0076413A" w:rsidRPr="005C7E1C" w:rsidRDefault="0076413A" w:rsidP="002061E5">
            <w:pPr>
              <w:pStyle w:val="Listofsymbols"/>
              <w:tabs>
                <w:tab w:val="clear" w:pos="1134"/>
                <w:tab w:val="left" w:pos="1347"/>
              </w:tabs>
              <w:ind w:left="0" w:firstLine="0"/>
              <w:rPr>
                <w:rFonts w:eastAsia="Times New Roman"/>
                <w:szCs w:val="22"/>
              </w:rPr>
            </w:pPr>
            <w:r w:rsidRPr="00132C1E">
              <w:t xml:space="preserve">is the thickness of </w:t>
            </w:r>
            <w:r w:rsidRPr="00132C1E">
              <w:rPr>
                <w:szCs w:val="22"/>
              </w:rPr>
              <w:t>the</w:t>
            </w:r>
            <w:r w:rsidRPr="00132C1E">
              <w:t xml:space="preserve"> beam web;</w:t>
            </w:r>
          </w:p>
        </w:tc>
      </w:tr>
      <w:tr w:rsidR="0076413A" w:rsidRPr="000F2AFF" w14:paraId="52E9B381" w14:textId="77777777" w:rsidTr="00691F56">
        <w:tc>
          <w:tcPr>
            <w:tcW w:w="1275" w:type="dxa"/>
          </w:tcPr>
          <w:p w14:paraId="65BBA99A" w14:textId="7B2C0B34" w:rsidR="0076413A" w:rsidRPr="00773100" w:rsidRDefault="0076413A" w:rsidP="002061E5">
            <w:pPr>
              <w:spacing w:after="60"/>
              <w:jc w:val="left"/>
              <w:rPr>
                <w:rFonts w:eastAsia="Times New Roman" w:cs="Cambria"/>
                <w:color w:val="000000" w:themeColor="text1"/>
                <w:szCs w:val="20"/>
                <w:lang w:eastAsia="fr-FR"/>
              </w:rPr>
            </w:pPr>
            <w:r w:rsidRPr="00132C1E">
              <w:rPr>
                <w:i/>
              </w:rPr>
              <w:t>f</w:t>
            </w:r>
            <w:r w:rsidRPr="00132C1E">
              <w:rPr>
                <w:vertAlign w:val="subscript"/>
              </w:rPr>
              <w:t>y,</w:t>
            </w:r>
            <w:r>
              <w:rPr>
                <w:vertAlign w:val="subscript"/>
              </w:rPr>
              <w:t>r</w:t>
            </w:r>
          </w:p>
        </w:tc>
        <w:tc>
          <w:tcPr>
            <w:tcW w:w="7938" w:type="dxa"/>
          </w:tcPr>
          <w:p w14:paraId="6B66697C" w14:textId="5777BF1B" w:rsidR="0076413A" w:rsidRPr="005C7E1C" w:rsidRDefault="0076413A" w:rsidP="002061E5">
            <w:pPr>
              <w:pStyle w:val="Listofsymbols"/>
              <w:tabs>
                <w:tab w:val="clear" w:pos="1134"/>
                <w:tab w:val="left" w:pos="1347"/>
              </w:tabs>
              <w:ind w:left="0" w:firstLine="0"/>
              <w:rPr>
                <w:rFonts w:eastAsia="Times New Roman"/>
                <w:szCs w:val="22"/>
              </w:rPr>
            </w:pPr>
            <w:r w:rsidRPr="00132C1E">
              <w:rPr>
                <w:szCs w:val="22"/>
              </w:rPr>
              <w:t xml:space="preserve">is </w:t>
            </w:r>
            <w:r w:rsidRPr="00132C1E">
              <w:t xml:space="preserve">the yield </w:t>
            </w:r>
            <w:r w:rsidRPr="00132C1E">
              <w:rPr>
                <w:szCs w:val="22"/>
              </w:rPr>
              <w:t>strength</w:t>
            </w:r>
            <w:r w:rsidRPr="00132C1E">
              <w:t xml:space="preserve"> of the rib web;</w:t>
            </w:r>
          </w:p>
        </w:tc>
      </w:tr>
      <w:tr w:rsidR="0076413A" w:rsidRPr="000F2AFF" w14:paraId="5672167E" w14:textId="77777777" w:rsidTr="00691F56">
        <w:tc>
          <w:tcPr>
            <w:tcW w:w="1275" w:type="dxa"/>
          </w:tcPr>
          <w:p w14:paraId="6A9846A2" w14:textId="77777777" w:rsidR="0076413A" w:rsidRPr="00773100" w:rsidRDefault="0076413A" w:rsidP="002061E5">
            <w:pPr>
              <w:spacing w:after="60"/>
              <w:jc w:val="left"/>
              <w:rPr>
                <w:rFonts w:eastAsia="Times New Roman" w:cs="Cambria"/>
                <w:color w:val="000000" w:themeColor="text1"/>
                <w:szCs w:val="20"/>
                <w:lang w:eastAsia="fr-FR"/>
              </w:rPr>
            </w:pPr>
            <w:r w:rsidRPr="00132C1E">
              <w:rPr>
                <w:i/>
              </w:rPr>
              <w:t>f</w:t>
            </w:r>
            <w:r w:rsidRPr="00132C1E">
              <w:rPr>
                <w:vertAlign w:val="subscript"/>
              </w:rPr>
              <w:t>y,b</w:t>
            </w:r>
          </w:p>
        </w:tc>
        <w:tc>
          <w:tcPr>
            <w:tcW w:w="7938" w:type="dxa"/>
          </w:tcPr>
          <w:p w14:paraId="6EDAAED5" w14:textId="77777777" w:rsidR="0076413A" w:rsidRPr="005C7E1C" w:rsidRDefault="0076413A" w:rsidP="002061E5">
            <w:pPr>
              <w:pStyle w:val="Listofsymbols"/>
              <w:tabs>
                <w:tab w:val="clear" w:pos="1134"/>
                <w:tab w:val="left" w:pos="1347"/>
              </w:tabs>
              <w:ind w:left="0" w:firstLine="0"/>
              <w:rPr>
                <w:rFonts w:eastAsia="Times New Roman"/>
                <w:szCs w:val="22"/>
              </w:rPr>
            </w:pPr>
            <w:r w:rsidRPr="00132C1E">
              <w:rPr>
                <w:szCs w:val="22"/>
              </w:rPr>
              <w:t>is</w:t>
            </w:r>
            <w:r w:rsidRPr="00132C1E">
              <w:t xml:space="preserve"> the yield </w:t>
            </w:r>
            <w:r w:rsidRPr="00132C1E">
              <w:rPr>
                <w:szCs w:val="22"/>
              </w:rPr>
              <w:t>strength</w:t>
            </w:r>
            <w:r w:rsidRPr="00132C1E">
              <w:t xml:space="preserve"> of the beam.</w:t>
            </w:r>
          </w:p>
        </w:tc>
      </w:tr>
    </w:tbl>
    <w:p w14:paraId="7B33C4C3" w14:textId="6950F91C" w:rsidR="0076413A" w:rsidRPr="00132C1E" w:rsidRDefault="0076413A" w:rsidP="00724E4E">
      <w:pPr>
        <w:pStyle w:val="Clause"/>
      </w:pPr>
      <w:r w:rsidRPr="00132C1E">
        <w:t xml:space="preserve">In full strength connection, the depth-to-thickness ratio of ribs should comply </w:t>
      </w:r>
      <w:r w:rsidRPr="0076413A">
        <w:t>with Formula (E.8).</w:t>
      </w:r>
    </w:p>
    <w:p w14:paraId="7AEE7EAA" w14:textId="3E8F0B4A" w:rsidR="0076413A" w:rsidRDefault="009B5CEC" w:rsidP="0076413A">
      <w:pPr>
        <w:pStyle w:val="Formula"/>
        <w:spacing w:before="240"/>
      </w:pPr>
      <m:oMath>
        <m:f>
          <m:fPr>
            <m:ctrlPr>
              <w:rPr>
                <w:rFonts w:ascii="Cambria Math" w:hAnsi="Cambria Math"/>
                <w:i/>
              </w:rPr>
            </m:ctrlPr>
          </m:fPr>
          <m:num>
            <m:sSub>
              <m:sSubPr>
                <m:ctrlPr>
                  <w:rPr>
                    <w:rFonts w:ascii="Cambria Math" w:hAnsi="Cambria Math"/>
                    <w:i/>
                  </w:rPr>
                </m:ctrlPr>
              </m:sSubPr>
              <m:e>
                <m:r>
                  <w:rPr>
                    <w:rFonts w:ascii="Cambria Math" w:hAnsi="Cambria Math"/>
                  </w:rPr>
                  <m:t>h</m:t>
                </m:r>
              </m:e>
              <m:sub>
                <m:r>
                  <m:rPr>
                    <m:sty m:val="p"/>
                  </m:rPr>
                  <w:rPr>
                    <w:rFonts w:ascii="Cambria Math" w:hAnsi="Cambria Math"/>
                  </w:rPr>
                  <m:t>r</m:t>
                </m:r>
              </m:sub>
            </m:sSub>
          </m:num>
          <m:den>
            <m:sSub>
              <m:sSubPr>
                <m:ctrlPr>
                  <w:rPr>
                    <w:rFonts w:ascii="Cambria Math" w:hAnsi="Cambria Math"/>
                    <w:i/>
                  </w:rPr>
                </m:ctrlPr>
              </m:sSubPr>
              <m:e>
                <m:r>
                  <w:rPr>
                    <w:rFonts w:ascii="Cambria Math" w:hAnsi="Cambria Math"/>
                  </w:rPr>
                  <m:t>t</m:t>
                </m:r>
              </m:e>
              <m:sub>
                <m:r>
                  <m:rPr>
                    <m:sty m:val="p"/>
                  </m:rPr>
                  <w:rPr>
                    <w:rFonts w:ascii="Cambria Math" w:hAnsi="Cambria Math"/>
                  </w:rPr>
                  <m:t>w,r</m:t>
                </m:r>
              </m:sub>
            </m:sSub>
          </m:den>
        </m:f>
        <m:r>
          <w:rPr>
            <w:rFonts w:ascii="Cambria Math" w:hAnsi="Cambria Math"/>
          </w:rPr>
          <m:t>≤0,56</m:t>
        </m:r>
        <m:rad>
          <m:radPr>
            <m:degHide m:val="1"/>
            <m:ctrlPr>
              <w:rPr>
                <w:rFonts w:ascii="Cambria Math" w:hAnsi="Cambria Math"/>
                <w:i/>
              </w:rPr>
            </m:ctrlPr>
          </m:radPr>
          <m:deg/>
          <m:e>
            <m:f>
              <m:fPr>
                <m:ctrlPr>
                  <w:rPr>
                    <w:rFonts w:ascii="Cambria Math" w:hAnsi="Cambria Math"/>
                    <w:i/>
                  </w:rPr>
                </m:ctrlPr>
              </m:fPr>
              <m:num>
                <m:r>
                  <w:rPr>
                    <w:rFonts w:ascii="Cambria Math" w:hAnsi="Cambria Math"/>
                  </w:rPr>
                  <m:t>E</m:t>
                </m:r>
              </m:num>
              <m:den>
                <m:sSub>
                  <m:sSubPr>
                    <m:ctrlPr>
                      <w:rPr>
                        <w:rFonts w:ascii="Cambria Math" w:hAnsi="Cambria Math"/>
                        <w:i/>
                      </w:rPr>
                    </m:ctrlPr>
                  </m:sSubPr>
                  <m:e>
                    <m:r>
                      <w:rPr>
                        <w:rFonts w:ascii="Cambria Math" w:hAnsi="Cambria Math"/>
                      </w:rPr>
                      <m:t>f</m:t>
                    </m:r>
                  </m:e>
                  <m:sub>
                    <m:r>
                      <m:rPr>
                        <m:sty m:val="p"/>
                      </m:rPr>
                      <w:rPr>
                        <w:rFonts w:ascii="Cambria Math" w:hAnsi="Cambria Math"/>
                      </w:rPr>
                      <m:t>y,r</m:t>
                    </m:r>
                  </m:sub>
                </m:sSub>
              </m:den>
            </m:f>
          </m:e>
        </m:rad>
      </m:oMath>
      <w:r w:rsidR="0076413A" w:rsidRPr="00870D59">
        <w:tab/>
        <w:t>(</w:t>
      </w:r>
      <w:r w:rsidR="0076413A">
        <w:t>E</w:t>
      </w:r>
      <w:r w:rsidR="0076413A" w:rsidRPr="00870D59">
        <w:t>.</w:t>
      </w:r>
      <w:r w:rsidR="0076413A">
        <w:t>8</w:t>
      </w:r>
      <w:r w:rsidR="0076413A" w:rsidRPr="00870D59">
        <w:t>)</w:t>
      </w:r>
    </w:p>
    <w:p w14:paraId="2A7E3852" w14:textId="74B81DFA" w:rsidR="0076413A" w:rsidRPr="001B2671" w:rsidRDefault="0076413A" w:rsidP="009B2651">
      <w:pPr>
        <w:pStyle w:val="Text"/>
      </w:pPr>
      <w:r>
        <w:t>where</w:t>
      </w:r>
      <w:r w:rsidRPr="0076413A">
        <w:rPr>
          <w:i/>
          <w:szCs w:val="22"/>
        </w:rPr>
        <w:t xml:space="preserve"> </w:t>
      </w:r>
      <w:r w:rsidRPr="007E6F67">
        <w:rPr>
          <w:i/>
          <w:szCs w:val="22"/>
        </w:rPr>
        <w:t>h</w:t>
      </w:r>
      <w:r w:rsidRPr="00FD17CF">
        <w:rPr>
          <w:szCs w:val="22"/>
          <w:vertAlign w:val="subscript"/>
        </w:rPr>
        <w:t>r</w:t>
      </w:r>
      <w:r w:rsidRPr="00FD17CF">
        <w:rPr>
          <w:szCs w:val="22"/>
        </w:rPr>
        <w:t xml:space="preserve"> </w:t>
      </w:r>
      <w:r w:rsidRPr="00FD17CF">
        <w:t>is the depth of the rib web</w:t>
      </w:r>
      <w:r w:rsidRPr="00E05E29">
        <w:rPr>
          <w:szCs w:val="22"/>
        </w:rPr>
        <w:t xml:space="preserve"> and </w:t>
      </w:r>
      <w:r w:rsidRPr="00196951">
        <w:rPr>
          <w:i/>
          <w:szCs w:val="22"/>
        </w:rPr>
        <w:t>E</w:t>
      </w:r>
      <w:r w:rsidRPr="00196951">
        <w:rPr>
          <w:szCs w:val="22"/>
        </w:rPr>
        <w:t xml:space="preserve"> </w:t>
      </w:r>
      <w:r w:rsidRPr="002144A0">
        <w:t>is the elastic modulus of the steel</w:t>
      </w:r>
      <w:r w:rsidRPr="002144A0">
        <w:rPr>
          <w:szCs w:val="22"/>
        </w:rPr>
        <w:t>.</w:t>
      </w:r>
    </w:p>
    <w:p w14:paraId="3DA54580" w14:textId="6271A07B" w:rsidR="0076413A" w:rsidRPr="00132C1E" w:rsidRDefault="0076413A" w:rsidP="00724E4E">
      <w:pPr>
        <w:pStyle w:val="Clause"/>
      </w:pPr>
      <w:r w:rsidRPr="00C52095">
        <w:t xml:space="preserve">The depth of the rib web </w:t>
      </w:r>
      <w:r w:rsidRPr="007754C9">
        <w:rPr>
          <w:i/>
        </w:rPr>
        <w:t>h</w:t>
      </w:r>
      <w:r w:rsidRPr="00132C1E">
        <w:rPr>
          <w:vertAlign w:val="subscript"/>
        </w:rPr>
        <w:t>r</w:t>
      </w:r>
      <w:r w:rsidRPr="00132C1E">
        <w:t xml:space="preserve"> should be between 100 mm and 250 mm.</w:t>
      </w:r>
    </w:p>
    <w:p w14:paraId="08680E41" w14:textId="3C266B72" w:rsidR="0076413A" w:rsidRPr="00132C1E" w:rsidRDefault="0076413A" w:rsidP="00724E4E">
      <w:pPr>
        <w:pStyle w:val="Clause"/>
      </w:pPr>
      <w:r w:rsidRPr="00132C1E">
        <w:t xml:space="preserve">The types of welds to be used for rib stiffened beam-to-column joints should comply with those in </w:t>
      </w:r>
      <w:r w:rsidRPr="00835C82">
        <w:t>E.3.3.3</w:t>
      </w:r>
      <w:r w:rsidRPr="0076413A">
        <w:t>, and in Figure E.9 b, considering a) to g):</w:t>
      </w:r>
    </w:p>
    <w:p w14:paraId="1AF7836C" w14:textId="5DC76F74" w:rsidR="0076413A" w:rsidRPr="009B2651" w:rsidRDefault="0076413A" w:rsidP="00691F56">
      <w:pPr>
        <w:pStyle w:val="Text"/>
        <w:numPr>
          <w:ilvl w:val="0"/>
          <w:numId w:val="710"/>
        </w:numPr>
        <w:spacing w:after="200"/>
      </w:pPr>
      <w:r w:rsidRPr="009B2651">
        <w:t>The resistance of all welds should not be smaller than the resistance of the welded parts.</w:t>
      </w:r>
    </w:p>
    <w:p w14:paraId="2479755E" w14:textId="40113ED5" w:rsidR="0076413A" w:rsidRPr="009B2651" w:rsidRDefault="0076413A" w:rsidP="00691F56">
      <w:pPr>
        <w:pStyle w:val="Text"/>
        <w:numPr>
          <w:ilvl w:val="0"/>
          <w:numId w:val="710"/>
        </w:numPr>
        <w:spacing w:after="200"/>
      </w:pPr>
      <w:r w:rsidRPr="009B2651">
        <w:t>The web of the rib should be welded with grove full penetration welds and reinforcing fillet welds.</w:t>
      </w:r>
    </w:p>
    <w:p w14:paraId="6298544A" w14:textId="31DD3FA5" w:rsidR="0076413A" w:rsidRPr="009B2651" w:rsidRDefault="0076413A" w:rsidP="00691F56">
      <w:pPr>
        <w:pStyle w:val="Text"/>
        <w:numPr>
          <w:ilvl w:val="0"/>
          <w:numId w:val="710"/>
        </w:numPr>
        <w:spacing w:after="200"/>
      </w:pPr>
      <w:r w:rsidRPr="009B2651">
        <w:t>The rib-to-beam and the rib-to-end-plate welds should comply with E.3.3.3(9).</w:t>
      </w:r>
    </w:p>
    <w:p w14:paraId="08E67D1E" w14:textId="6D9673E3" w:rsidR="0076413A" w:rsidRPr="009B2651" w:rsidRDefault="0076413A" w:rsidP="00691F56">
      <w:pPr>
        <w:pStyle w:val="Text"/>
        <w:numPr>
          <w:ilvl w:val="0"/>
          <w:numId w:val="710"/>
        </w:numPr>
        <w:spacing w:after="200"/>
      </w:pPr>
      <w:r w:rsidRPr="009B2651">
        <w:t>The beam web should be connected to either the column flange or the end-plate with fillet welds with a minimum side of 0,8 times the beam web thickness.</w:t>
      </w:r>
    </w:p>
    <w:p w14:paraId="0D5AA066" w14:textId="0303DBAA" w:rsidR="0076413A" w:rsidRPr="009B2651" w:rsidRDefault="0076413A" w:rsidP="00691F56">
      <w:pPr>
        <w:pStyle w:val="Text"/>
        <w:numPr>
          <w:ilvl w:val="0"/>
          <w:numId w:val="710"/>
        </w:numPr>
        <w:spacing w:after="200"/>
      </w:pPr>
      <w:r w:rsidRPr="009B2651">
        <w:t>Critical welds (beam flange and supplementary web plate to column flange and beam flange to end-plate) should be full-penetration groove welds.</w:t>
      </w:r>
    </w:p>
    <w:p w14:paraId="68C81AE1" w14:textId="160ECE5F" w:rsidR="0076413A" w:rsidRPr="009B2651" w:rsidRDefault="0076413A" w:rsidP="00691F56">
      <w:pPr>
        <w:pStyle w:val="Text"/>
        <w:numPr>
          <w:ilvl w:val="0"/>
          <w:numId w:val="710"/>
        </w:numPr>
        <w:spacing w:after="200"/>
      </w:pPr>
      <w:r w:rsidRPr="009B2651">
        <w:t>In DC3, beam flange groove welds should be reinforced with additional fillet welds as in Figure E.3.</w:t>
      </w:r>
    </w:p>
    <w:p w14:paraId="5FBC21EC" w14:textId="77777777" w:rsidR="0076413A" w:rsidRPr="009B2651" w:rsidRDefault="0076413A" w:rsidP="00691F56">
      <w:pPr>
        <w:pStyle w:val="Text"/>
        <w:numPr>
          <w:ilvl w:val="0"/>
          <w:numId w:val="710"/>
        </w:numPr>
        <w:spacing w:after="200"/>
      </w:pPr>
      <w:r w:rsidRPr="009B2651">
        <w:t>In DC2, the reinforcing fillet welds at beam flanges may be omitted for full strength connections but should be added for equal strength connections.</w:t>
      </w:r>
    </w:p>
    <w:p w14:paraId="53E925CB" w14:textId="1CFD2AD4" w:rsidR="0076413A" w:rsidRPr="00132C1E" w:rsidRDefault="00445DEA" w:rsidP="0010531B">
      <w:pPr>
        <w:pStyle w:val="FigureImage"/>
      </w:pPr>
      <w:r>
        <w:rPr>
          <w:noProof/>
        </w:rPr>
        <w:lastRenderedPageBreak/>
        <w:drawing>
          <wp:inline distT="0" distB="0" distL="0" distR="0" wp14:anchorId="3760BCBD" wp14:editId="40B86886">
            <wp:extent cx="4680212" cy="2522224"/>
            <wp:effectExtent l="0" t="0" r="0" b="0"/>
            <wp:docPr id="2081949466" name="e011.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1949466" name="e011.tiff"/>
                    <pic:cNvPicPr/>
                  </pic:nvPicPr>
                  <pic:blipFill>
                    <a:blip r:link="rId97"/>
                    <a:stretch>
                      <a:fillRect/>
                    </a:stretch>
                  </pic:blipFill>
                  <pic:spPr>
                    <a:xfrm>
                      <a:off x="0" y="0"/>
                      <a:ext cx="4680212" cy="2522224"/>
                    </a:xfrm>
                    <a:prstGeom prst="rect">
                      <a:avLst/>
                    </a:prstGeom>
                  </pic:spPr>
                </pic:pic>
              </a:graphicData>
            </a:graphic>
          </wp:inline>
        </w:drawing>
      </w:r>
    </w:p>
    <w:p w14:paraId="59840B46" w14:textId="77777777" w:rsidR="0010531B" w:rsidRPr="00D1484A" w:rsidRDefault="0010531B" w:rsidP="00D4445A">
      <w:pPr>
        <w:pStyle w:val="KeyTitle"/>
        <w:spacing w:before="0"/>
      </w:pPr>
      <w:r w:rsidRPr="00D1484A">
        <w:t>Key</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7"/>
        <w:gridCol w:w="5243"/>
      </w:tblGrid>
      <w:tr w:rsidR="0010531B" w:rsidRPr="00B5422C" w14:paraId="5C4E2507" w14:textId="77777777" w:rsidTr="00691F56">
        <w:tc>
          <w:tcPr>
            <w:tcW w:w="427" w:type="dxa"/>
          </w:tcPr>
          <w:p w14:paraId="39B16CE6" w14:textId="77777777" w:rsidR="0010531B" w:rsidRPr="00D4445A" w:rsidRDefault="0010531B" w:rsidP="00D4445A">
            <w:pPr>
              <w:pStyle w:val="KeyText"/>
              <w:spacing w:before="0"/>
              <w:rPr>
                <w:iCs/>
              </w:rPr>
            </w:pPr>
            <w:r w:rsidRPr="00D4445A">
              <w:rPr>
                <w:iCs/>
              </w:rPr>
              <w:t>A</w:t>
            </w:r>
          </w:p>
        </w:tc>
        <w:tc>
          <w:tcPr>
            <w:tcW w:w="5243" w:type="dxa"/>
          </w:tcPr>
          <w:p w14:paraId="66AB7FAE" w14:textId="4B01099D" w:rsidR="0010531B" w:rsidRPr="00FD12D8" w:rsidRDefault="0010531B" w:rsidP="00D4445A">
            <w:pPr>
              <w:pStyle w:val="KeyText"/>
              <w:spacing w:before="0"/>
            </w:pPr>
            <w:r>
              <w:t>rib</w:t>
            </w:r>
          </w:p>
        </w:tc>
      </w:tr>
      <w:tr w:rsidR="0010531B" w:rsidRPr="00B5422C" w14:paraId="126C6CA2" w14:textId="77777777" w:rsidTr="00691F56">
        <w:tc>
          <w:tcPr>
            <w:tcW w:w="427" w:type="dxa"/>
          </w:tcPr>
          <w:p w14:paraId="3CEF702F" w14:textId="77777777" w:rsidR="0010531B" w:rsidRPr="00D4445A" w:rsidRDefault="0010531B" w:rsidP="00D4445A">
            <w:pPr>
              <w:pStyle w:val="KeyText"/>
              <w:spacing w:before="0"/>
              <w:rPr>
                <w:iCs/>
              </w:rPr>
            </w:pPr>
            <w:r w:rsidRPr="00D4445A">
              <w:rPr>
                <w:iCs/>
              </w:rPr>
              <w:t>B</w:t>
            </w:r>
          </w:p>
        </w:tc>
        <w:tc>
          <w:tcPr>
            <w:tcW w:w="5243" w:type="dxa"/>
          </w:tcPr>
          <w:p w14:paraId="48AF9177" w14:textId="77777777" w:rsidR="0010531B" w:rsidRPr="00FD12D8" w:rsidRDefault="0010531B" w:rsidP="00D4445A">
            <w:pPr>
              <w:pStyle w:val="KeyText"/>
              <w:spacing w:before="0"/>
            </w:pPr>
            <w:r>
              <w:t>beam</w:t>
            </w:r>
          </w:p>
        </w:tc>
      </w:tr>
      <w:tr w:rsidR="0010531B" w:rsidRPr="00B5422C" w14:paraId="6DF054C3" w14:textId="77777777" w:rsidTr="00691F56">
        <w:tc>
          <w:tcPr>
            <w:tcW w:w="427" w:type="dxa"/>
          </w:tcPr>
          <w:p w14:paraId="649033A1" w14:textId="77777777" w:rsidR="0010531B" w:rsidRPr="00D4445A" w:rsidRDefault="0010531B" w:rsidP="00D4445A">
            <w:pPr>
              <w:pStyle w:val="KeyText"/>
              <w:spacing w:before="0"/>
              <w:rPr>
                <w:iCs/>
              </w:rPr>
            </w:pPr>
            <w:r w:rsidRPr="00D4445A">
              <w:rPr>
                <w:iCs/>
              </w:rPr>
              <w:t>C</w:t>
            </w:r>
          </w:p>
        </w:tc>
        <w:tc>
          <w:tcPr>
            <w:tcW w:w="5243" w:type="dxa"/>
          </w:tcPr>
          <w:p w14:paraId="0B198AD9" w14:textId="77777777" w:rsidR="0010531B" w:rsidRPr="00FD12D8" w:rsidRDefault="0010531B" w:rsidP="00D4445A">
            <w:pPr>
              <w:pStyle w:val="KeyText"/>
              <w:spacing w:before="0"/>
              <w:ind w:left="0" w:firstLine="0"/>
            </w:pPr>
            <w:r>
              <w:t>column</w:t>
            </w:r>
          </w:p>
        </w:tc>
      </w:tr>
      <w:tr w:rsidR="0010531B" w:rsidRPr="00B5422C" w14:paraId="717A8823" w14:textId="77777777" w:rsidTr="00691F56">
        <w:tc>
          <w:tcPr>
            <w:tcW w:w="427" w:type="dxa"/>
          </w:tcPr>
          <w:p w14:paraId="37F0A3F1" w14:textId="7AF472C0" w:rsidR="0010531B" w:rsidRPr="00D4445A" w:rsidRDefault="0010531B" w:rsidP="00D4445A">
            <w:pPr>
              <w:pStyle w:val="KeyText"/>
              <w:spacing w:before="0"/>
              <w:rPr>
                <w:iCs/>
              </w:rPr>
            </w:pPr>
            <w:r w:rsidRPr="00D4445A">
              <w:rPr>
                <w:iCs/>
              </w:rPr>
              <w:t>1</w:t>
            </w:r>
          </w:p>
        </w:tc>
        <w:tc>
          <w:tcPr>
            <w:tcW w:w="5243" w:type="dxa"/>
          </w:tcPr>
          <w:p w14:paraId="25CE2BFE" w14:textId="253F9D6D" w:rsidR="0010531B" w:rsidRDefault="0010531B" w:rsidP="00D4445A">
            <w:pPr>
              <w:pStyle w:val="KeyText"/>
              <w:spacing w:before="0"/>
              <w:ind w:left="0" w:firstLine="0"/>
            </w:pPr>
            <w:r>
              <w:t>single rib</w:t>
            </w:r>
          </w:p>
        </w:tc>
      </w:tr>
      <w:tr w:rsidR="0010531B" w:rsidRPr="00B5422C" w14:paraId="7CBA5E66" w14:textId="77777777" w:rsidTr="00691F56">
        <w:tc>
          <w:tcPr>
            <w:tcW w:w="427" w:type="dxa"/>
          </w:tcPr>
          <w:p w14:paraId="04C590E4" w14:textId="3E3D4398" w:rsidR="0010531B" w:rsidRPr="00D4445A" w:rsidRDefault="0010531B" w:rsidP="00D4445A">
            <w:pPr>
              <w:pStyle w:val="KeyText"/>
              <w:spacing w:before="0"/>
              <w:rPr>
                <w:iCs/>
              </w:rPr>
            </w:pPr>
            <w:r w:rsidRPr="00D4445A">
              <w:rPr>
                <w:iCs/>
              </w:rPr>
              <w:t>2</w:t>
            </w:r>
          </w:p>
        </w:tc>
        <w:tc>
          <w:tcPr>
            <w:tcW w:w="5243" w:type="dxa"/>
          </w:tcPr>
          <w:p w14:paraId="2A543D24" w14:textId="0D7E56C9" w:rsidR="0010531B" w:rsidRDefault="0010531B" w:rsidP="00D4445A">
            <w:pPr>
              <w:pStyle w:val="KeyText"/>
              <w:spacing w:before="0"/>
              <w:ind w:left="0" w:firstLine="0"/>
            </w:pPr>
            <w:r>
              <w:t>double rib</w:t>
            </w:r>
          </w:p>
        </w:tc>
      </w:tr>
    </w:tbl>
    <w:p w14:paraId="325BCF9D" w14:textId="14ACE275" w:rsidR="0076413A" w:rsidRPr="00D1484A" w:rsidRDefault="0076413A" w:rsidP="0076413A">
      <w:pPr>
        <w:pStyle w:val="Figuretitle"/>
      </w:pPr>
      <w:r w:rsidRPr="00D1484A">
        <w:t>Figure E.</w:t>
      </w:r>
      <w:r w:rsidR="009B2651">
        <w:t>11</w:t>
      </w:r>
      <w:r w:rsidRPr="00132C1E">
        <w:t xml:space="preserve"> — Configurations of welded joints with rib stiffeners: (a) the assembly; (b) connection with single rib per beam </w:t>
      </w:r>
      <w:r w:rsidRPr="00D1484A">
        <w:t>flange; (c) connection with double rib per beam flange</w:t>
      </w:r>
    </w:p>
    <w:p w14:paraId="1D6BCE22" w14:textId="41DB1056" w:rsidR="0076413A" w:rsidRPr="00132C1E" w:rsidRDefault="0010531B" w:rsidP="0010531B">
      <w:pPr>
        <w:pStyle w:val="FigureImage"/>
      </w:pPr>
      <w:r>
        <w:rPr>
          <w:noProof/>
        </w:rPr>
        <w:drawing>
          <wp:inline distT="0" distB="0" distL="0" distR="0" wp14:anchorId="0C0E8032" wp14:editId="7DB78222">
            <wp:extent cx="5039876" cy="2560324"/>
            <wp:effectExtent l="0" t="0" r="8890" b="0"/>
            <wp:docPr id="2081949461" name="e012.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1949461" name="e012.tiff"/>
                    <pic:cNvPicPr/>
                  </pic:nvPicPr>
                  <pic:blipFill>
                    <a:blip r:link="rId98"/>
                    <a:stretch>
                      <a:fillRect/>
                    </a:stretch>
                  </pic:blipFill>
                  <pic:spPr>
                    <a:xfrm>
                      <a:off x="0" y="0"/>
                      <a:ext cx="5039876" cy="2560324"/>
                    </a:xfrm>
                    <a:prstGeom prst="rect">
                      <a:avLst/>
                    </a:prstGeom>
                  </pic:spPr>
                </pic:pic>
              </a:graphicData>
            </a:graphic>
          </wp:inline>
        </w:drawing>
      </w:r>
    </w:p>
    <w:p w14:paraId="35C839DE" w14:textId="77777777" w:rsidR="0010531B" w:rsidRPr="00D1484A" w:rsidRDefault="0010531B" w:rsidP="0010531B">
      <w:pPr>
        <w:pStyle w:val="KeyTitle"/>
      </w:pPr>
      <w:r w:rsidRPr="00D1484A">
        <w:t>Key</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7"/>
        <w:gridCol w:w="5243"/>
      </w:tblGrid>
      <w:tr w:rsidR="0010531B" w:rsidRPr="00B5422C" w14:paraId="78127DCF" w14:textId="77777777" w:rsidTr="00691F56">
        <w:tc>
          <w:tcPr>
            <w:tcW w:w="427" w:type="dxa"/>
          </w:tcPr>
          <w:p w14:paraId="5D60CAB8" w14:textId="77777777" w:rsidR="0010531B" w:rsidRPr="00D4445A" w:rsidRDefault="0010531B" w:rsidP="00691F56">
            <w:pPr>
              <w:pStyle w:val="KeyText"/>
              <w:spacing w:before="0"/>
              <w:rPr>
                <w:iCs/>
              </w:rPr>
            </w:pPr>
            <w:r w:rsidRPr="00D4445A">
              <w:rPr>
                <w:iCs/>
              </w:rPr>
              <w:t>A</w:t>
            </w:r>
          </w:p>
        </w:tc>
        <w:tc>
          <w:tcPr>
            <w:tcW w:w="5243" w:type="dxa"/>
          </w:tcPr>
          <w:p w14:paraId="654DE336" w14:textId="77777777" w:rsidR="0010531B" w:rsidRPr="00FD12D8" w:rsidRDefault="0010531B" w:rsidP="00691F56">
            <w:pPr>
              <w:pStyle w:val="KeyText"/>
              <w:spacing w:before="0"/>
            </w:pPr>
            <w:r>
              <w:t>rib</w:t>
            </w:r>
          </w:p>
        </w:tc>
      </w:tr>
      <w:tr w:rsidR="0010531B" w:rsidRPr="00B5422C" w14:paraId="508BD79E" w14:textId="77777777" w:rsidTr="00691F56">
        <w:tc>
          <w:tcPr>
            <w:tcW w:w="427" w:type="dxa"/>
          </w:tcPr>
          <w:p w14:paraId="78715D51" w14:textId="77777777" w:rsidR="0010531B" w:rsidRPr="00D4445A" w:rsidRDefault="0010531B" w:rsidP="00691F56">
            <w:pPr>
              <w:pStyle w:val="KeyText"/>
              <w:spacing w:before="0"/>
              <w:rPr>
                <w:iCs/>
              </w:rPr>
            </w:pPr>
            <w:r w:rsidRPr="00D4445A">
              <w:rPr>
                <w:iCs/>
              </w:rPr>
              <w:t>B</w:t>
            </w:r>
          </w:p>
        </w:tc>
        <w:tc>
          <w:tcPr>
            <w:tcW w:w="5243" w:type="dxa"/>
          </w:tcPr>
          <w:p w14:paraId="3015D4A7" w14:textId="77777777" w:rsidR="0010531B" w:rsidRPr="00FD12D8" w:rsidRDefault="0010531B" w:rsidP="00691F56">
            <w:pPr>
              <w:pStyle w:val="KeyText"/>
              <w:spacing w:before="0"/>
            </w:pPr>
            <w:r>
              <w:t>beam</w:t>
            </w:r>
          </w:p>
        </w:tc>
      </w:tr>
      <w:tr w:rsidR="0010531B" w:rsidRPr="00B5422C" w14:paraId="6B4E5F43" w14:textId="77777777" w:rsidTr="00691F56">
        <w:tc>
          <w:tcPr>
            <w:tcW w:w="427" w:type="dxa"/>
          </w:tcPr>
          <w:p w14:paraId="1FDBB725" w14:textId="77777777" w:rsidR="0010531B" w:rsidRPr="00D4445A" w:rsidRDefault="0010531B" w:rsidP="00691F56">
            <w:pPr>
              <w:pStyle w:val="KeyText"/>
              <w:spacing w:before="0"/>
              <w:rPr>
                <w:iCs/>
              </w:rPr>
            </w:pPr>
            <w:r w:rsidRPr="00D4445A">
              <w:rPr>
                <w:iCs/>
              </w:rPr>
              <w:t>C</w:t>
            </w:r>
          </w:p>
        </w:tc>
        <w:tc>
          <w:tcPr>
            <w:tcW w:w="5243" w:type="dxa"/>
          </w:tcPr>
          <w:p w14:paraId="4B0DCBC0" w14:textId="77777777" w:rsidR="0010531B" w:rsidRPr="00FD12D8" w:rsidRDefault="0010531B" w:rsidP="00691F56">
            <w:pPr>
              <w:pStyle w:val="KeyText"/>
              <w:spacing w:before="0"/>
              <w:ind w:left="0" w:firstLine="0"/>
            </w:pPr>
            <w:r>
              <w:t>column</w:t>
            </w:r>
          </w:p>
        </w:tc>
      </w:tr>
      <w:tr w:rsidR="0010531B" w:rsidRPr="00B5422C" w14:paraId="50C1BE3F" w14:textId="77777777" w:rsidTr="00691F56">
        <w:tc>
          <w:tcPr>
            <w:tcW w:w="427" w:type="dxa"/>
          </w:tcPr>
          <w:p w14:paraId="38A9775D" w14:textId="72E71528" w:rsidR="0010531B" w:rsidRPr="00D4445A" w:rsidRDefault="0010531B" w:rsidP="00691F56">
            <w:pPr>
              <w:pStyle w:val="KeyText"/>
              <w:spacing w:before="0"/>
              <w:rPr>
                <w:iCs/>
              </w:rPr>
            </w:pPr>
            <w:r w:rsidRPr="00D4445A">
              <w:rPr>
                <w:iCs/>
              </w:rPr>
              <w:t>D</w:t>
            </w:r>
          </w:p>
        </w:tc>
        <w:tc>
          <w:tcPr>
            <w:tcW w:w="5243" w:type="dxa"/>
          </w:tcPr>
          <w:p w14:paraId="58550586" w14:textId="583CB88D" w:rsidR="0010531B" w:rsidRDefault="0010531B" w:rsidP="00691F56">
            <w:pPr>
              <w:pStyle w:val="KeyText"/>
              <w:spacing w:before="0"/>
              <w:ind w:left="0" w:firstLine="0"/>
            </w:pPr>
            <w:r>
              <w:t>end-plate</w:t>
            </w:r>
          </w:p>
        </w:tc>
      </w:tr>
    </w:tbl>
    <w:p w14:paraId="4BCFA041" w14:textId="7FBD4924" w:rsidR="0076413A" w:rsidRPr="00D1484A" w:rsidRDefault="0076413A" w:rsidP="0076413A">
      <w:pPr>
        <w:pStyle w:val="Figuretitle"/>
      </w:pPr>
      <w:r w:rsidRPr="00D1484A">
        <w:t>Figure E.</w:t>
      </w:r>
      <w:r w:rsidR="009B2651">
        <w:t>12</w:t>
      </w:r>
      <w:r w:rsidRPr="00132C1E">
        <w:t xml:space="preserve"> — Configurations of bolted end-plate joints with rib stiffener: </w:t>
      </w:r>
      <w:r w:rsidR="0010531B">
        <w:t>(</w:t>
      </w:r>
      <w:r w:rsidRPr="00132C1E">
        <w:t>a) the assembly; (b) connecti</w:t>
      </w:r>
      <w:r w:rsidRPr="00D1484A">
        <w:t>on with four bolt rows; (c) connection with six bolt rows; (d) connection with eight bolt rows</w:t>
      </w:r>
    </w:p>
    <w:p w14:paraId="7743B666" w14:textId="78271646" w:rsidR="0076413A" w:rsidRPr="00132C1E" w:rsidRDefault="0010531B" w:rsidP="0010531B">
      <w:pPr>
        <w:pStyle w:val="FigureImage"/>
      </w:pPr>
      <w:r>
        <w:rPr>
          <w:noProof/>
        </w:rPr>
        <w:lastRenderedPageBreak/>
        <w:drawing>
          <wp:inline distT="0" distB="0" distL="0" distR="0" wp14:anchorId="0E8E76B1" wp14:editId="6EB3CC27">
            <wp:extent cx="3240029" cy="2459740"/>
            <wp:effectExtent l="0" t="0" r="0" b="0"/>
            <wp:docPr id="2081949462" name="e013.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1949462" name="e013.tiff"/>
                    <pic:cNvPicPr/>
                  </pic:nvPicPr>
                  <pic:blipFill>
                    <a:blip r:link="rId99"/>
                    <a:stretch>
                      <a:fillRect/>
                    </a:stretch>
                  </pic:blipFill>
                  <pic:spPr>
                    <a:xfrm>
                      <a:off x="0" y="0"/>
                      <a:ext cx="3240029" cy="2459740"/>
                    </a:xfrm>
                    <a:prstGeom prst="rect">
                      <a:avLst/>
                    </a:prstGeom>
                  </pic:spPr>
                </pic:pic>
              </a:graphicData>
            </a:graphic>
          </wp:inline>
        </w:drawing>
      </w:r>
    </w:p>
    <w:p w14:paraId="4EE003ED" w14:textId="77777777" w:rsidR="0010531B" w:rsidRPr="00D1484A" w:rsidRDefault="0010531B" w:rsidP="0010531B">
      <w:pPr>
        <w:pStyle w:val="KeyTitle"/>
      </w:pPr>
      <w:r w:rsidRPr="00D1484A">
        <w:t>Key</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7"/>
        <w:gridCol w:w="5243"/>
      </w:tblGrid>
      <w:tr w:rsidR="0010531B" w:rsidRPr="00B5422C" w14:paraId="74B1C778" w14:textId="77777777" w:rsidTr="00691F56">
        <w:tc>
          <w:tcPr>
            <w:tcW w:w="427" w:type="dxa"/>
          </w:tcPr>
          <w:p w14:paraId="03037BAF" w14:textId="0ED883B7" w:rsidR="0010531B" w:rsidRPr="00D4445A" w:rsidRDefault="0010531B" w:rsidP="00D4445A">
            <w:pPr>
              <w:pStyle w:val="KeyText"/>
              <w:spacing w:before="0"/>
              <w:rPr>
                <w:iCs/>
              </w:rPr>
            </w:pPr>
            <w:r w:rsidRPr="00D4445A">
              <w:rPr>
                <w:iCs/>
              </w:rPr>
              <w:t>1</w:t>
            </w:r>
          </w:p>
        </w:tc>
        <w:tc>
          <w:tcPr>
            <w:tcW w:w="5243" w:type="dxa"/>
          </w:tcPr>
          <w:p w14:paraId="37ACA139" w14:textId="5E90F882" w:rsidR="0010531B" w:rsidRPr="00FD12D8" w:rsidRDefault="0010531B" w:rsidP="00D4445A">
            <w:pPr>
              <w:pStyle w:val="KeyText"/>
              <w:spacing w:before="0"/>
            </w:pPr>
            <w:r>
              <w:t>rib web</w:t>
            </w:r>
          </w:p>
        </w:tc>
      </w:tr>
      <w:tr w:rsidR="0010531B" w:rsidRPr="00B5422C" w14:paraId="4EF6D913" w14:textId="77777777" w:rsidTr="00691F56">
        <w:tc>
          <w:tcPr>
            <w:tcW w:w="427" w:type="dxa"/>
          </w:tcPr>
          <w:p w14:paraId="633E4D8A" w14:textId="2CBE1389" w:rsidR="0010531B" w:rsidRPr="00D4445A" w:rsidRDefault="0010531B" w:rsidP="00D4445A">
            <w:pPr>
              <w:pStyle w:val="KeyText"/>
              <w:spacing w:before="0"/>
              <w:rPr>
                <w:iCs/>
              </w:rPr>
            </w:pPr>
            <w:r w:rsidRPr="00D4445A">
              <w:rPr>
                <w:iCs/>
              </w:rPr>
              <w:t>2</w:t>
            </w:r>
          </w:p>
        </w:tc>
        <w:tc>
          <w:tcPr>
            <w:tcW w:w="5243" w:type="dxa"/>
          </w:tcPr>
          <w:p w14:paraId="68318637" w14:textId="1DEDAFCD" w:rsidR="0010531B" w:rsidRPr="00FD12D8" w:rsidRDefault="0010531B" w:rsidP="00D4445A">
            <w:pPr>
              <w:pStyle w:val="KeyText"/>
              <w:spacing w:before="0"/>
            </w:pPr>
            <w:r>
              <w:t>beam flange</w:t>
            </w:r>
          </w:p>
        </w:tc>
      </w:tr>
      <w:tr w:rsidR="0010531B" w:rsidRPr="00B5422C" w14:paraId="5F3DACF6" w14:textId="77777777" w:rsidTr="00691F56">
        <w:tc>
          <w:tcPr>
            <w:tcW w:w="427" w:type="dxa"/>
          </w:tcPr>
          <w:p w14:paraId="6EF299B9" w14:textId="0D729466" w:rsidR="0010531B" w:rsidRPr="00D4445A" w:rsidRDefault="0010531B" w:rsidP="00D4445A">
            <w:pPr>
              <w:pStyle w:val="KeyText"/>
              <w:spacing w:before="0"/>
              <w:rPr>
                <w:iCs/>
              </w:rPr>
            </w:pPr>
            <w:r w:rsidRPr="00D4445A">
              <w:rPr>
                <w:iCs/>
              </w:rPr>
              <w:t>3</w:t>
            </w:r>
          </w:p>
        </w:tc>
        <w:tc>
          <w:tcPr>
            <w:tcW w:w="5243" w:type="dxa"/>
          </w:tcPr>
          <w:p w14:paraId="6C0036A8" w14:textId="0B21DA09" w:rsidR="0010531B" w:rsidRPr="00FD12D8" w:rsidRDefault="0010531B" w:rsidP="00D4445A">
            <w:pPr>
              <w:pStyle w:val="KeyText"/>
              <w:spacing w:before="0"/>
              <w:ind w:left="0" w:firstLine="0"/>
            </w:pPr>
            <w:r w:rsidRPr="0010531B">
              <w:t>centre of compression in the centroid of T-area</w:t>
            </w:r>
          </w:p>
        </w:tc>
      </w:tr>
    </w:tbl>
    <w:p w14:paraId="7BB9709F" w14:textId="04567A2E" w:rsidR="0076413A" w:rsidRPr="00D1484A" w:rsidRDefault="0076413A" w:rsidP="0076413A">
      <w:pPr>
        <w:pStyle w:val="Figuretitle"/>
      </w:pPr>
      <w:r w:rsidRPr="00D1484A">
        <w:t>Figure E.</w:t>
      </w:r>
      <w:r w:rsidR="009B2651">
        <w:t>13</w:t>
      </w:r>
      <w:r w:rsidRPr="00132C1E">
        <w:t xml:space="preserve"> — Location of centre </w:t>
      </w:r>
      <w:r w:rsidRPr="00C01E45">
        <w:t xml:space="preserve">of </w:t>
      </w:r>
      <w:r w:rsidRPr="00132C1E">
        <w:t>compression in connections with rib stiffener: a)</w:t>
      </w:r>
      <w:r w:rsidRPr="00D1484A">
        <w:t xml:space="preserve"> welded connection; (b) bolted connection; (c) T-area made of beam flange and rib web</w:t>
      </w:r>
    </w:p>
    <w:p w14:paraId="1422707C" w14:textId="247D6F6C" w:rsidR="0076413A" w:rsidRPr="00132C1E" w:rsidRDefault="005509D5" w:rsidP="005509D5">
      <w:pPr>
        <w:pStyle w:val="FigureImage"/>
      </w:pPr>
      <w:r>
        <w:rPr>
          <w:noProof/>
        </w:rPr>
        <w:drawing>
          <wp:inline distT="0" distB="0" distL="0" distR="0" wp14:anchorId="7B284CC9" wp14:editId="058F7D40">
            <wp:extent cx="3240029" cy="2197612"/>
            <wp:effectExtent l="0" t="0" r="0" b="0"/>
            <wp:docPr id="2081949463" name="e014.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1949463" name="e014.tiff"/>
                    <pic:cNvPicPr/>
                  </pic:nvPicPr>
                  <pic:blipFill>
                    <a:blip r:link="rId100"/>
                    <a:stretch>
                      <a:fillRect/>
                    </a:stretch>
                  </pic:blipFill>
                  <pic:spPr>
                    <a:xfrm>
                      <a:off x="0" y="0"/>
                      <a:ext cx="3240029" cy="2197612"/>
                    </a:xfrm>
                    <a:prstGeom prst="rect">
                      <a:avLst/>
                    </a:prstGeom>
                  </pic:spPr>
                </pic:pic>
              </a:graphicData>
            </a:graphic>
          </wp:inline>
        </w:drawing>
      </w:r>
    </w:p>
    <w:p w14:paraId="08420E1B" w14:textId="7C5A6C0E" w:rsidR="0076413A" w:rsidRPr="00D1484A" w:rsidRDefault="0076413A" w:rsidP="0076413A">
      <w:pPr>
        <w:pStyle w:val="Figuretitle"/>
      </w:pPr>
      <w:r w:rsidRPr="00D1484A">
        <w:t>Figure E.</w:t>
      </w:r>
      <w:r w:rsidR="009B2651">
        <w:t>14</w:t>
      </w:r>
      <w:r w:rsidRPr="00132C1E">
        <w:t> — Slope and corner clips of rib stiffener</w:t>
      </w:r>
    </w:p>
    <w:p w14:paraId="6923D91A" w14:textId="2A6F86A1" w:rsidR="0076413A" w:rsidRPr="00E05E29" w:rsidRDefault="0076413A" w:rsidP="00724E4E">
      <w:pPr>
        <w:pStyle w:val="Clause"/>
      </w:pPr>
      <w:r w:rsidRPr="007E6F67">
        <w:t xml:space="preserve">End-plate thickness should be in the range of 12 mm to 60 mm. Steel grade </w:t>
      </w:r>
      <w:r w:rsidRPr="0076413A">
        <w:t xml:space="preserve">S235 to S355 </w:t>
      </w:r>
      <w:r w:rsidRPr="007E6F67">
        <w:t xml:space="preserve">should be used for the end plate. The width of the end plate should be between the width of the beam flange </w:t>
      </w:r>
      <w:r w:rsidRPr="00FD17CF">
        <w:t>increased by 30 mm and the width of the column flange.</w:t>
      </w:r>
    </w:p>
    <w:p w14:paraId="1F4CBC99" w14:textId="18EB3D1A" w:rsidR="0076413A" w:rsidRPr="00C52095" w:rsidRDefault="0076413A" w:rsidP="00724E4E">
      <w:pPr>
        <w:pStyle w:val="Clause"/>
      </w:pPr>
      <w:r w:rsidRPr="00196951">
        <w:t>For e</w:t>
      </w:r>
      <w:r w:rsidRPr="002144A0">
        <w:t xml:space="preserve">qual strength bolted connections, the end-plate thickness </w:t>
      </w:r>
      <w:r w:rsidRPr="002144A0">
        <w:rPr>
          <w:i/>
          <w:iCs/>
        </w:rPr>
        <w:t>t</w:t>
      </w:r>
      <w:r w:rsidRPr="002144A0">
        <w:rPr>
          <w:vertAlign w:val="subscript"/>
        </w:rPr>
        <w:t>p</w:t>
      </w:r>
      <w:r w:rsidRPr="004F25D7">
        <w:t xml:space="preserve"> should comply </w:t>
      </w:r>
      <w:r w:rsidRPr="0076413A">
        <w:t>with Formula E.9.</w:t>
      </w:r>
    </w:p>
    <w:p w14:paraId="10B0E948" w14:textId="7457F949" w:rsidR="0076413A" w:rsidRDefault="009B5CEC" w:rsidP="0076413A">
      <w:pPr>
        <w:pStyle w:val="Formula"/>
        <w:spacing w:before="240"/>
      </w:pPr>
      <m:oMath>
        <m:sSub>
          <m:sSubPr>
            <m:ctrlPr>
              <w:rPr>
                <w:rFonts w:ascii="Cambria Math" w:hAnsi="Cambria Math"/>
              </w:rPr>
            </m:ctrlPr>
          </m:sSubPr>
          <m:e>
            <m:r>
              <w:rPr>
                <w:rFonts w:ascii="Cambria Math" w:hAnsi="Cambria Math"/>
              </w:rPr>
              <m:t>t</m:t>
            </m:r>
          </m:e>
          <m:sub>
            <m:r>
              <m:rPr>
                <m:sty m:val="p"/>
              </m:rPr>
              <w:rPr>
                <w:rFonts w:ascii="Cambria Math" w:hAnsi="Cambria Math"/>
              </w:rPr>
              <m:t>p</m:t>
            </m:r>
          </m:sub>
        </m:sSub>
        <m:r>
          <w:rPr>
            <w:rFonts w:ascii="Cambria Math" w:hAnsi="Cambria Math"/>
          </w:rPr>
          <m:t xml:space="preserve">&lt;0,30 </m:t>
        </m:r>
        <m:sSub>
          <m:sSubPr>
            <m:ctrlPr>
              <w:rPr>
                <w:rFonts w:ascii="Cambria Math" w:hAnsi="Cambria Math"/>
              </w:rPr>
            </m:ctrlPr>
          </m:sSubPr>
          <m:e>
            <m:r>
              <w:rPr>
                <w:rFonts w:ascii="Cambria Math" w:hAnsi="Cambria Math"/>
              </w:rPr>
              <m:t>d</m:t>
            </m:r>
          </m:e>
          <m:sub>
            <m:r>
              <m:rPr>
                <m:sty m:val="p"/>
              </m:rPr>
              <w:rPr>
                <w:rFonts w:ascii="Cambria Math" w:hAnsi="Cambria Math"/>
              </w:rPr>
              <m:t>bolt</m:t>
            </m:r>
          </m:sub>
        </m:sSub>
        <m:rad>
          <m:radPr>
            <m:degHide m:val="1"/>
            <m:ctrlPr>
              <w:rPr>
                <w:rFonts w:ascii="Cambria Math" w:hAnsi="Cambria Math"/>
              </w:rPr>
            </m:ctrlPr>
          </m:radPr>
          <m:deg/>
          <m:e>
            <m:f>
              <m:fPr>
                <m:ctrlPr>
                  <w:rPr>
                    <w:rFonts w:ascii="Cambria Math" w:hAnsi="Cambria Math"/>
                  </w:rPr>
                </m:ctrlPr>
              </m:fPr>
              <m:num>
                <m:sSub>
                  <m:sSubPr>
                    <m:ctrlPr>
                      <w:rPr>
                        <w:rFonts w:ascii="Cambria Math" w:hAnsi="Cambria Math"/>
                      </w:rPr>
                    </m:ctrlPr>
                  </m:sSubPr>
                  <m:e>
                    <m:r>
                      <w:rPr>
                        <w:rFonts w:ascii="Cambria Math" w:hAnsi="Cambria Math"/>
                      </w:rPr>
                      <m:t>f</m:t>
                    </m:r>
                  </m:e>
                  <m:sub>
                    <m:r>
                      <m:rPr>
                        <m:sty m:val="p"/>
                      </m:rPr>
                      <w:rPr>
                        <w:rFonts w:ascii="Cambria Math" w:hAnsi="Cambria Math"/>
                      </w:rPr>
                      <m:t>u,b</m:t>
                    </m:r>
                  </m:sub>
                </m:sSub>
              </m:num>
              <m:den>
                <m:sSub>
                  <m:sSubPr>
                    <m:ctrlPr>
                      <w:rPr>
                        <w:rFonts w:ascii="Cambria Math" w:hAnsi="Cambria Math"/>
                      </w:rPr>
                    </m:ctrlPr>
                  </m:sSubPr>
                  <m:e>
                    <m:r>
                      <w:rPr>
                        <w:rFonts w:ascii="Cambria Math" w:hAnsi="Cambria Math"/>
                      </w:rPr>
                      <m:t>f</m:t>
                    </m:r>
                  </m:e>
                  <m:sub>
                    <m:r>
                      <m:rPr>
                        <m:sty m:val="p"/>
                      </m:rPr>
                      <w:rPr>
                        <w:rFonts w:ascii="Cambria Math" w:hAnsi="Cambria Math"/>
                      </w:rPr>
                      <m:t>y,p</m:t>
                    </m:r>
                  </m:sub>
                </m:sSub>
              </m:den>
            </m:f>
          </m:e>
        </m:rad>
        <m:r>
          <w:rPr>
            <w:rFonts w:ascii="Cambria Math" w:hAnsi="Cambria Math"/>
          </w:rPr>
          <m:t xml:space="preserve"> </m:t>
        </m:r>
        <m:r>
          <m:rPr>
            <m:sty m:val="p"/>
          </m:rPr>
          <w:rPr>
            <w:rFonts w:ascii="Cambria Math" w:hAnsi="Cambria Math"/>
          </w:rPr>
          <m:t xml:space="preserve"> </m:t>
        </m:r>
      </m:oMath>
      <w:r w:rsidR="0076413A" w:rsidRPr="00870D59">
        <w:tab/>
        <w:t>(</w:t>
      </w:r>
      <w:r w:rsidR="0076413A">
        <w:t>E</w:t>
      </w:r>
      <w:r w:rsidR="0076413A" w:rsidRPr="00870D59">
        <w:t>.</w:t>
      </w:r>
      <w:r w:rsidR="0076413A">
        <w:t>9</w:t>
      </w:r>
      <w:r w:rsidR="0076413A" w:rsidRPr="00870D59">
        <w:t>)</w:t>
      </w:r>
    </w:p>
    <w:p w14:paraId="6DF22900" w14:textId="397D5E73" w:rsidR="0076413A" w:rsidRPr="001B2671" w:rsidRDefault="00675EBA" w:rsidP="009B2651">
      <w:pPr>
        <w:pStyle w:val="Text"/>
      </w:pPr>
      <w:r>
        <w:t>where</w:t>
      </w:r>
    </w:p>
    <w:tbl>
      <w:tblPr>
        <w:tblW w:w="0" w:type="auto"/>
        <w:tblInd w:w="346" w:type="dxa"/>
        <w:tblLook w:val="04A0" w:firstRow="1" w:lastRow="0" w:firstColumn="1" w:lastColumn="0" w:noHBand="0" w:noVBand="1"/>
      </w:tblPr>
      <w:tblGrid>
        <w:gridCol w:w="1275"/>
        <w:gridCol w:w="7938"/>
      </w:tblGrid>
      <w:tr w:rsidR="0076413A" w:rsidRPr="000F2AFF" w14:paraId="62D5F9F1" w14:textId="77777777" w:rsidTr="00691F56">
        <w:tc>
          <w:tcPr>
            <w:tcW w:w="1275" w:type="dxa"/>
          </w:tcPr>
          <w:p w14:paraId="7E1BC787" w14:textId="64CF3FBB" w:rsidR="0076413A" w:rsidRPr="00773100" w:rsidRDefault="0076413A" w:rsidP="002061E5">
            <w:pPr>
              <w:spacing w:after="60"/>
              <w:jc w:val="left"/>
              <w:rPr>
                <w:rFonts w:eastAsia="Times New Roman" w:cs="Cambria"/>
                <w:color w:val="000000" w:themeColor="text1"/>
                <w:szCs w:val="20"/>
                <w:lang w:eastAsia="fr-FR"/>
              </w:rPr>
            </w:pPr>
            <w:r w:rsidRPr="00FD17CF">
              <w:rPr>
                <w:i/>
                <w:iCs/>
              </w:rPr>
              <w:t>d</w:t>
            </w:r>
            <w:r w:rsidRPr="00FD17CF">
              <w:rPr>
                <w:vertAlign w:val="subscript"/>
              </w:rPr>
              <w:t>bolt</w:t>
            </w:r>
          </w:p>
        </w:tc>
        <w:tc>
          <w:tcPr>
            <w:tcW w:w="7938" w:type="dxa"/>
          </w:tcPr>
          <w:p w14:paraId="0AC280DB" w14:textId="5E5B18B4" w:rsidR="0076413A" w:rsidRPr="005C7E1C" w:rsidRDefault="0076413A" w:rsidP="002061E5">
            <w:pPr>
              <w:pStyle w:val="Listofsymbols"/>
              <w:rPr>
                <w:rFonts w:eastAsia="Times New Roman"/>
                <w:szCs w:val="22"/>
              </w:rPr>
            </w:pPr>
            <w:r w:rsidRPr="00132C1E">
              <w:t>is the nominal diamet</w:t>
            </w:r>
            <w:r>
              <w:t>re</w:t>
            </w:r>
            <w:r w:rsidRPr="00132C1E">
              <w:t xml:space="preserve"> of the bolt;</w:t>
            </w:r>
          </w:p>
        </w:tc>
      </w:tr>
      <w:tr w:rsidR="0076413A" w:rsidRPr="000F2AFF" w14:paraId="2296FEC5" w14:textId="77777777" w:rsidTr="00691F56">
        <w:tc>
          <w:tcPr>
            <w:tcW w:w="1275" w:type="dxa"/>
          </w:tcPr>
          <w:p w14:paraId="45E28F15" w14:textId="2B92BEA3" w:rsidR="0076413A" w:rsidRPr="00773100" w:rsidRDefault="0076413A" w:rsidP="002061E5">
            <w:pPr>
              <w:spacing w:after="60"/>
              <w:jc w:val="left"/>
              <w:rPr>
                <w:rFonts w:eastAsia="Times New Roman" w:cs="Cambria"/>
                <w:color w:val="000000" w:themeColor="text1"/>
                <w:szCs w:val="20"/>
                <w:lang w:eastAsia="fr-FR"/>
              </w:rPr>
            </w:pPr>
            <w:r w:rsidRPr="00132C1E">
              <w:rPr>
                <w:i/>
              </w:rPr>
              <w:lastRenderedPageBreak/>
              <w:t>f</w:t>
            </w:r>
            <w:r w:rsidRPr="00132C1E">
              <w:rPr>
                <w:vertAlign w:val="subscript"/>
              </w:rPr>
              <w:t>u,b</w:t>
            </w:r>
          </w:p>
        </w:tc>
        <w:tc>
          <w:tcPr>
            <w:tcW w:w="7938" w:type="dxa"/>
          </w:tcPr>
          <w:p w14:paraId="1F97EE20" w14:textId="341862C5" w:rsidR="0076413A" w:rsidRPr="005C7E1C" w:rsidRDefault="0076413A" w:rsidP="002061E5">
            <w:pPr>
              <w:pStyle w:val="Listofsymbols"/>
              <w:tabs>
                <w:tab w:val="clear" w:pos="1134"/>
                <w:tab w:val="left" w:pos="1347"/>
              </w:tabs>
              <w:ind w:left="0" w:firstLine="0"/>
              <w:rPr>
                <w:rFonts w:eastAsia="Times New Roman"/>
                <w:szCs w:val="22"/>
              </w:rPr>
            </w:pPr>
            <w:r w:rsidRPr="00132C1E">
              <w:t>is the ultimate tensile strength of the bolt</w:t>
            </w:r>
            <w:r w:rsidRPr="00132C1E">
              <w:rPr>
                <w:szCs w:val="22"/>
              </w:rPr>
              <w:t>;</w:t>
            </w:r>
          </w:p>
        </w:tc>
      </w:tr>
      <w:tr w:rsidR="0076413A" w:rsidRPr="000F2AFF" w14:paraId="587EBF43" w14:textId="77777777" w:rsidTr="00691F56">
        <w:tc>
          <w:tcPr>
            <w:tcW w:w="1275" w:type="dxa"/>
          </w:tcPr>
          <w:p w14:paraId="15B88770" w14:textId="14773808" w:rsidR="0076413A" w:rsidRPr="00773100" w:rsidRDefault="0076413A" w:rsidP="002061E5">
            <w:pPr>
              <w:spacing w:after="60"/>
              <w:jc w:val="left"/>
              <w:rPr>
                <w:rFonts w:eastAsia="Times New Roman" w:cs="Cambria"/>
                <w:color w:val="000000" w:themeColor="text1"/>
                <w:szCs w:val="20"/>
                <w:lang w:eastAsia="fr-FR"/>
              </w:rPr>
            </w:pPr>
            <w:r w:rsidRPr="00132C1E">
              <w:rPr>
                <w:i/>
              </w:rPr>
              <w:t>f</w:t>
            </w:r>
            <w:r w:rsidRPr="00132C1E">
              <w:rPr>
                <w:vertAlign w:val="subscript"/>
              </w:rPr>
              <w:t>y,p</w:t>
            </w:r>
          </w:p>
        </w:tc>
        <w:tc>
          <w:tcPr>
            <w:tcW w:w="7938" w:type="dxa"/>
          </w:tcPr>
          <w:p w14:paraId="63308C2E" w14:textId="23CE1847" w:rsidR="0076413A" w:rsidRPr="005C7E1C" w:rsidRDefault="0076413A" w:rsidP="002061E5">
            <w:pPr>
              <w:pStyle w:val="Listofsymbols"/>
              <w:tabs>
                <w:tab w:val="clear" w:pos="1134"/>
                <w:tab w:val="left" w:pos="1347"/>
              </w:tabs>
              <w:ind w:left="0" w:firstLine="0"/>
              <w:rPr>
                <w:rFonts w:eastAsia="Times New Roman"/>
                <w:szCs w:val="22"/>
              </w:rPr>
            </w:pPr>
            <w:r w:rsidRPr="00132C1E">
              <w:t>is the tensile yield strength of the material of the end plate.</w:t>
            </w:r>
          </w:p>
        </w:tc>
      </w:tr>
    </w:tbl>
    <w:p w14:paraId="5B16D5C9" w14:textId="44EFF278" w:rsidR="00B405F9" w:rsidRPr="00132C1E" w:rsidRDefault="00B405F9" w:rsidP="00724E4E">
      <w:pPr>
        <w:pStyle w:val="Clause"/>
      </w:pPr>
      <w:r w:rsidRPr="00835C82">
        <w:t>E.3.3.4(17)</w:t>
      </w:r>
      <w:r w:rsidRPr="00B405F9">
        <w:t xml:space="preserve"> </w:t>
      </w:r>
      <w:r w:rsidRPr="00132C1E">
        <w:t>should be applied.</w:t>
      </w:r>
    </w:p>
    <w:p w14:paraId="1614548B" w14:textId="4435C0A2" w:rsidR="00B405F9" w:rsidRPr="00132C1E" w:rsidRDefault="00B405F9" w:rsidP="00724E4E">
      <w:pPr>
        <w:pStyle w:val="Clause"/>
      </w:pPr>
      <w:r w:rsidRPr="00835C82">
        <w:t>E.3.3.4(18)</w:t>
      </w:r>
      <w:r w:rsidRPr="00B405F9">
        <w:t xml:space="preserve"> </w:t>
      </w:r>
      <w:r w:rsidRPr="00132C1E">
        <w:t>should be applied.</w:t>
      </w:r>
    </w:p>
    <w:p w14:paraId="24FC07C7" w14:textId="5D2BD4ED" w:rsidR="00B405F9" w:rsidRPr="00132C1E" w:rsidRDefault="00B405F9" w:rsidP="00724E4E">
      <w:pPr>
        <w:pStyle w:val="Clause"/>
      </w:pPr>
      <w:r w:rsidRPr="00835C82">
        <w:t>E.3.3.4(19)</w:t>
      </w:r>
      <w:r w:rsidRPr="00B405F9">
        <w:t xml:space="preserve"> should </w:t>
      </w:r>
      <w:r w:rsidRPr="00132C1E">
        <w:t xml:space="preserve">be applied. </w:t>
      </w:r>
    </w:p>
    <w:p w14:paraId="73C3285E" w14:textId="75946C46" w:rsidR="00B405F9" w:rsidRPr="00132C1E" w:rsidRDefault="00B405F9" w:rsidP="00724E4E">
      <w:pPr>
        <w:pStyle w:val="Clause"/>
      </w:pPr>
      <w:r w:rsidRPr="00132C1E">
        <w:t>The horizontal distance between bolts per row should be between 80 mm and 160 mm.</w:t>
      </w:r>
    </w:p>
    <w:p w14:paraId="20F09E81" w14:textId="5A0AB403" w:rsidR="00B405F9" w:rsidRPr="00132C1E" w:rsidRDefault="00B405F9" w:rsidP="00724E4E">
      <w:pPr>
        <w:pStyle w:val="Clause"/>
      </w:pPr>
      <w:r w:rsidRPr="00835C82">
        <w:t>E.3.3.4(20)</w:t>
      </w:r>
      <w:r w:rsidRPr="00B405F9">
        <w:t xml:space="preserve"> </w:t>
      </w:r>
      <w:r w:rsidRPr="00132C1E">
        <w:t>should be applied.</w:t>
      </w:r>
    </w:p>
    <w:p w14:paraId="49FD742F" w14:textId="77777777" w:rsidR="00B405F9" w:rsidRPr="00132C1E" w:rsidRDefault="00B405F9" w:rsidP="00B405F9">
      <w:pPr>
        <w:pStyle w:val="a4"/>
      </w:pPr>
      <w:r w:rsidRPr="00132C1E">
        <w:tab/>
      </w:r>
      <w:bookmarkStart w:id="11254" w:name="_Toc108342758"/>
      <w:bookmarkStart w:id="11255" w:name="_Toc120543845"/>
      <w:bookmarkStart w:id="11256" w:name="_Toc134198267"/>
      <w:r w:rsidRPr="00132C1E">
        <w:t xml:space="preserve">Specific requirements for the analysis of frames with full strength </w:t>
      </w:r>
      <w:r>
        <w:t xml:space="preserve">and equal strength </w:t>
      </w:r>
      <w:r w:rsidRPr="00132C1E">
        <w:t>rib stiffened joints</w:t>
      </w:r>
      <w:bookmarkEnd w:id="11254"/>
      <w:bookmarkEnd w:id="11255"/>
      <w:bookmarkEnd w:id="11256"/>
      <w:r w:rsidRPr="00132C1E">
        <w:t xml:space="preserve"> </w:t>
      </w:r>
    </w:p>
    <w:p w14:paraId="1B5F0731" w14:textId="024A27FF" w:rsidR="00B405F9" w:rsidRPr="00132C1E" w:rsidRDefault="00B405F9" w:rsidP="0080187E">
      <w:pPr>
        <w:pStyle w:val="Clause"/>
        <w:numPr>
          <w:ilvl w:val="0"/>
          <w:numId w:val="573"/>
        </w:numPr>
      </w:pPr>
      <w:r w:rsidRPr="00132C1E">
        <w:t xml:space="preserve">In linear elastic analysis, frames equipped with full strength rib stiffened joints may be modelled with centre-line models where the deformability of both column web panel and connection is neglected. The deformability of equal strength bolted connection should be modelled. </w:t>
      </w:r>
    </w:p>
    <w:p w14:paraId="27A3ADA8" w14:textId="71ED1D47" w:rsidR="00B405F9" w:rsidRPr="00132C1E" w:rsidRDefault="00B405F9" w:rsidP="00724E4E">
      <w:pPr>
        <w:pStyle w:val="Clause"/>
      </w:pPr>
      <w:r w:rsidRPr="00132C1E">
        <w:t>In non-linear analyses the column web panel and the connection should be distinctly modelled as given in a) to e):</w:t>
      </w:r>
    </w:p>
    <w:p w14:paraId="4D49CB1D" w14:textId="3C18FBFF" w:rsidR="00B405F9" w:rsidRPr="009B2651" w:rsidRDefault="00B405F9" w:rsidP="00691F56">
      <w:pPr>
        <w:pStyle w:val="Text"/>
        <w:numPr>
          <w:ilvl w:val="0"/>
          <w:numId w:val="711"/>
        </w:numPr>
        <w:spacing w:after="200"/>
      </w:pPr>
      <w:r w:rsidRPr="009B2651">
        <w:t>the column web panel should be modelled with alternative models accounting for its stiffness and resistance if designed as specified in E.3.2.2(4)b);</w:t>
      </w:r>
    </w:p>
    <w:p w14:paraId="23020382" w14:textId="474FB71A" w:rsidR="00B405F9" w:rsidRPr="009B2651" w:rsidRDefault="00B405F9" w:rsidP="00691F56">
      <w:pPr>
        <w:pStyle w:val="Text"/>
        <w:numPr>
          <w:ilvl w:val="0"/>
          <w:numId w:val="711"/>
        </w:numPr>
        <w:spacing w:after="200"/>
        <w:rPr>
          <w:rFonts w:eastAsia="Cambria"/>
        </w:rPr>
      </w:pPr>
      <w:r w:rsidRPr="009B2651">
        <w:t>the column web panel should be modelled using rigid segments per its axis with length equal to half dimension of the column web panel if designed as specified in E.3.2.2(4)a);</w:t>
      </w:r>
    </w:p>
    <w:p w14:paraId="1F4D6241" w14:textId="77777777" w:rsidR="00B405F9" w:rsidRPr="009B2651" w:rsidRDefault="00B405F9" w:rsidP="00691F56">
      <w:pPr>
        <w:pStyle w:val="Text"/>
        <w:numPr>
          <w:ilvl w:val="0"/>
          <w:numId w:val="711"/>
        </w:numPr>
        <w:spacing w:after="200"/>
      </w:pPr>
      <w:r w:rsidRPr="009B2651">
        <w:t>the connection should be modelled as rigid for full strength joints;</w:t>
      </w:r>
    </w:p>
    <w:p w14:paraId="76BF0AC9" w14:textId="77777777" w:rsidR="00B405F9" w:rsidRPr="009B2651" w:rsidRDefault="00B405F9" w:rsidP="00691F56">
      <w:pPr>
        <w:pStyle w:val="Text"/>
        <w:numPr>
          <w:ilvl w:val="0"/>
          <w:numId w:val="711"/>
        </w:numPr>
        <w:spacing w:after="200"/>
      </w:pPr>
      <w:r w:rsidRPr="009B2651">
        <w:t>the stiffness and resistance of the connection should be modelled for equal strength joints;</w:t>
      </w:r>
    </w:p>
    <w:p w14:paraId="1A0DC38C" w14:textId="77777777" w:rsidR="00B405F9" w:rsidRPr="009B2651" w:rsidRDefault="00B405F9" w:rsidP="00691F56">
      <w:pPr>
        <w:pStyle w:val="Text"/>
        <w:numPr>
          <w:ilvl w:val="0"/>
          <w:numId w:val="711"/>
        </w:numPr>
        <w:spacing w:after="200"/>
      </w:pPr>
      <w:r w:rsidRPr="009B2651">
        <w:t>the monotonic and cyclic behaviour of the beam should be modelled.</w:t>
      </w:r>
    </w:p>
    <w:p w14:paraId="1D139586" w14:textId="583048D2" w:rsidR="00B405F9" w:rsidRPr="00132C1E" w:rsidRDefault="00B405F9" w:rsidP="00B405F9">
      <w:pPr>
        <w:pStyle w:val="a4"/>
      </w:pPr>
      <w:bookmarkStart w:id="11257" w:name="_Toc108342759"/>
      <w:bookmarkStart w:id="11258" w:name="_Toc120543846"/>
      <w:bookmarkStart w:id="11259" w:name="_Toc134198268"/>
      <w:r w:rsidRPr="00132C1E">
        <w:t>Unstiffened Joints</w:t>
      </w:r>
      <w:bookmarkEnd w:id="11257"/>
      <w:bookmarkEnd w:id="11258"/>
      <w:bookmarkEnd w:id="11259"/>
    </w:p>
    <w:p w14:paraId="135BE9FC" w14:textId="73515C5B" w:rsidR="00B405F9" w:rsidRPr="00132C1E" w:rsidRDefault="00B405F9" w:rsidP="0080187E">
      <w:pPr>
        <w:pStyle w:val="Clause"/>
        <w:numPr>
          <w:ilvl w:val="0"/>
          <w:numId w:val="574"/>
        </w:numPr>
      </w:pPr>
      <w:r w:rsidRPr="00132C1E">
        <w:t>Unstiffened beam-to-column joints may be either welded (</w:t>
      </w:r>
      <w:r w:rsidRPr="00B405F9">
        <w:t>see Figure E.15a)</w:t>
      </w:r>
      <w:r w:rsidRPr="00835C82">
        <w:t xml:space="preserve"> </w:t>
      </w:r>
      <w:r w:rsidRPr="00B405F9">
        <w:t>or bolted (see Figure</w:t>
      </w:r>
      <w:r w:rsidR="00691F56">
        <w:t> </w:t>
      </w:r>
      <w:r w:rsidRPr="00B405F9">
        <w:t xml:space="preserve">E.15b). </w:t>
      </w:r>
      <w:r w:rsidRPr="00132C1E">
        <w:t>Bolted unstiffened end-plate joints may be either full, equal or partial strength, with strong or balanced or weak column web panel.</w:t>
      </w:r>
    </w:p>
    <w:p w14:paraId="482C13C8" w14:textId="2875BA4D" w:rsidR="00B405F9" w:rsidRPr="00132C1E" w:rsidRDefault="00B405F9" w:rsidP="00724E4E">
      <w:pPr>
        <w:pStyle w:val="Clause"/>
      </w:pPr>
      <w:r w:rsidRPr="00132C1E">
        <w:t>Bolted connections should make use of extended end plates.</w:t>
      </w:r>
    </w:p>
    <w:p w14:paraId="5DFFB213" w14:textId="4778F117" w:rsidR="00B405F9" w:rsidRPr="00132C1E" w:rsidRDefault="00B405F9" w:rsidP="00724E4E">
      <w:pPr>
        <w:pStyle w:val="Clause"/>
      </w:pPr>
      <w:r w:rsidRPr="00132C1E">
        <w:t>The configurations of bolt rows (</w:t>
      </w:r>
      <w:r w:rsidRPr="00B405F9">
        <w:t>see Figure E.15)</w:t>
      </w:r>
      <w:r w:rsidRPr="00835C82">
        <w:t xml:space="preserve"> </w:t>
      </w:r>
      <w:r w:rsidRPr="00B405F9">
        <w:t xml:space="preserve">should </w:t>
      </w:r>
      <w:r w:rsidRPr="00132C1E">
        <w:t>depend on the target design performance of the connection and on the beam depth, as specified in a) to f):</w:t>
      </w:r>
    </w:p>
    <w:p w14:paraId="355F7B9D" w14:textId="4F667B1A" w:rsidR="00B405F9" w:rsidRPr="00132C1E" w:rsidRDefault="00B405F9" w:rsidP="0080187E">
      <w:pPr>
        <w:pStyle w:val="Text"/>
        <w:numPr>
          <w:ilvl w:val="0"/>
          <w:numId w:val="712"/>
        </w:numPr>
      </w:pPr>
      <w:r w:rsidRPr="00132C1E">
        <w:t>four bolt row configurations (</w:t>
      </w:r>
      <w:r w:rsidRPr="00B405F9">
        <w:t>see Figure E.15 c) fo</w:t>
      </w:r>
      <w:r w:rsidRPr="00132C1E">
        <w:t>r full strength connection with</w:t>
      </w:r>
      <w:r>
        <w:t xml:space="preserve"> </w:t>
      </w:r>
      <w:r w:rsidRPr="00132C1E">
        <w:t>depth of I beams between 230 mm to 300 mm;</w:t>
      </w:r>
    </w:p>
    <w:p w14:paraId="2B16016A" w14:textId="77777777" w:rsidR="00B405F9" w:rsidRPr="00132C1E" w:rsidRDefault="00B405F9" w:rsidP="0080187E">
      <w:pPr>
        <w:pStyle w:val="Text"/>
        <w:numPr>
          <w:ilvl w:val="0"/>
          <w:numId w:val="712"/>
        </w:numPr>
        <w:rPr>
          <w:rFonts w:eastAsia="Cambria"/>
        </w:rPr>
      </w:pPr>
      <w:r w:rsidRPr="00132C1E">
        <w:t>four bolt row configurations (</w:t>
      </w:r>
      <w:r w:rsidRPr="00B405F9">
        <w:t xml:space="preserve">see Figure E.15 c) </w:t>
      </w:r>
      <w:r w:rsidRPr="00132C1E">
        <w:t>for equal strength connection with depth of I beams between 230 mm to 500 mm;</w:t>
      </w:r>
    </w:p>
    <w:p w14:paraId="06410F03" w14:textId="2D195420" w:rsidR="00B405F9" w:rsidRPr="00132C1E" w:rsidRDefault="00B405F9" w:rsidP="0080187E">
      <w:pPr>
        <w:pStyle w:val="Text"/>
        <w:numPr>
          <w:ilvl w:val="0"/>
          <w:numId w:val="712"/>
        </w:numPr>
      </w:pPr>
      <w:r w:rsidRPr="00132C1E">
        <w:t xml:space="preserve">four bolt row configurations (see </w:t>
      </w:r>
      <w:r w:rsidRPr="00B405F9">
        <w:t xml:space="preserve">Figure E.15 c) </w:t>
      </w:r>
      <w:r w:rsidRPr="00132C1E">
        <w:t>for partial strength connection with</w:t>
      </w:r>
      <w:r>
        <w:t xml:space="preserve"> </w:t>
      </w:r>
      <w:r w:rsidRPr="00132C1E">
        <w:t xml:space="preserve">depth of I </w:t>
      </w:r>
      <w:r w:rsidRPr="00B405F9">
        <w:t xml:space="preserve">beams between </w:t>
      </w:r>
      <w:r w:rsidRPr="00132C1E">
        <w:t>230 mm to 910 mm;</w:t>
      </w:r>
    </w:p>
    <w:p w14:paraId="08E98EDB" w14:textId="3FBD18D5" w:rsidR="00B405F9" w:rsidRPr="00132C1E" w:rsidRDefault="00B405F9" w:rsidP="0080187E">
      <w:pPr>
        <w:pStyle w:val="Text"/>
        <w:numPr>
          <w:ilvl w:val="0"/>
          <w:numId w:val="712"/>
        </w:numPr>
      </w:pPr>
      <w:r w:rsidRPr="00132C1E">
        <w:lastRenderedPageBreak/>
        <w:t>six bolt row configurations (</w:t>
      </w:r>
      <w:r w:rsidRPr="00B405F9">
        <w:t>see Figure E.15 d) for ful</w:t>
      </w:r>
      <w:r w:rsidRPr="00132C1E">
        <w:t>l strength connection with</w:t>
      </w:r>
      <w:r>
        <w:t xml:space="preserve"> </w:t>
      </w:r>
      <w:r w:rsidRPr="00132C1E">
        <w:t>depth of I beams between 300 mm to 450 mm;</w:t>
      </w:r>
    </w:p>
    <w:p w14:paraId="031A13D8" w14:textId="546E689D" w:rsidR="00B405F9" w:rsidRPr="00132C1E" w:rsidRDefault="00B405F9" w:rsidP="0080187E">
      <w:pPr>
        <w:pStyle w:val="Text"/>
        <w:numPr>
          <w:ilvl w:val="0"/>
          <w:numId w:val="712"/>
        </w:numPr>
      </w:pPr>
      <w:r w:rsidRPr="00132C1E">
        <w:t xml:space="preserve">six bolt row configurations (see </w:t>
      </w:r>
      <w:r w:rsidRPr="004B502C">
        <w:t>Figure E.15 d</w:t>
      </w:r>
      <w:r w:rsidRPr="00132C1E">
        <w:t>) for equal strength connection with</w:t>
      </w:r>
      <w:r>
        <w:t xml:space="preserve"> </w:t>
      </w:r>
      <w:r w:rsidRPr="00132C1E">
        <w:t>depth of I beams between 500 mm to 910 mm;</w:t>
      </w:r>
    </w:p>
    <w:p w14:paraId="1A78065C" w14:textId="185745F0" w:rsidR="00B405F9" w:rsidRPr="00132C1E" w:rsidRDefault="00B405F9" w:rsidP="0080187E">
      <w:pPr>
        <w:pStyle w:val="Text"/>
        <w:numPr>
          <w:ilvl w:val="0"/>
          <w:numId w:val="712"/>
        </w:numPr>
      </w:pPr>
      <w:r w:rsidRPr="00132C1E">
        <w:t>six bolt row configurations (</w:t>
      </w:r>
      <w:r w:rsidRPr="00B405F9">
        <w:t xml:space="preserve">see Figure E.15 d) for partial </w:t>
      </w:r>
      <w:r w:rsidRPr="00132C1E">
        <w:t>strength connection with</w:t>
      </w:r>
      <w:r>
        <w:t xml:space="preserve"> </w:t>
      </w:r>
      <w:r w:rsidRPr="00132C1E">
        <w:t>depth of I beams between 230 mm to 910 mm.</w:t>
      </w:r>
    </w:p>
    <w:p w14:paraId="0998B671" w14:textId="4B5DC19F" w:rsidR="00B405F9" w:rsidRPr="00132C1E" w:rsidRDefault="005509D5" w:rsidP="005509D5">
      <w:pPr>
        <w:pStyle w:val="FigureImage"/>
      </w:pPr>
      <w:r>
        <w:rPr>
          <w:noProof/>
        </w:rPr>
        <w:drawing>
          <wp:inline distT="0" distB="0" distL="0" distR="0" wp14:anchorId="66D9CAF9" wp14:editId="4422119F">
            <wp:extent cx="5940562" cy="2212852"/>
            <wp:effectExtent l="0" t="0" r="3175" b="0"/>
            <wp:docPr id="2081949464" name="e015.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1949464" name="e015.tiff"/>
                    <pic:cNvPicPr/>
                  </pic:nvPicPr>
                  <pic:blipFill>
                    <a:blip r:link="rId101"/>
                    <a:stretch>
                      <a:fillRect/>
                    </a:stretch>
                  </pic:blipFill>
                  <pic:spPr>
                    <a:xfrm>
                      <a:off x="0" y="0"/>
                      <a:ext cx="5940562" cy="2212852"/>
                    </a:xfrm>
                    <a:prstGeom prst="rect">
                      <a:avLst/>
                    </a:prstGeom>
                  </pic:spPr>
                </pic:pic>
              </a:graphicData>
            </a:graphic>
          </wp:inline>
        </w:drawing>
      </w:r>
    </w:p>
    <w:p w14:paraId="1E417CEF" w14:textId="77777777" w:rsidR="005509D5" w:rsidRPr="00D1484A" w:rsidRDefault="005509D5" w:rsidP="005509D5">
      <w:pPr>
        <w:pStyle w:val="KeyTitle"/>
      </w:pPr>
      <w:r w:rsidRPr="00D1484A">
        <w:t>Key</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7"/>
        <w:gridCol w:w="5243"/>
      </w:tblGrid>
      <w:tr w:rsidR="005509D5" w:rsidRPr="00B5422C" w14:paraId="4AB9F951" w14:textId="77777777" w:rsidTr="00691F56">
        <w:tc>
          <w:tcPr>
            <w:tcW w:w="427" w:type="dxa"/>
          </w:tcPr>
          <w:p w14:paraId="51628FA0" w14:textId="77777777" w:rsidR="005509D5" w:rsidRPr="00D4445A" w:rsidRDefault="005509D5" w:rsidP="00D4445A">
            <w:pPr>
              <w:pStyle w:val="KeyText"/>
              <w:spacing w:before="0"/>
              <w:rPr>
                <w:iCs/>
              </w:rPr>
            </w:pPr>
            <w:r w:rsidRPr="00D4445A">
              <w:rPr>
                <w:iCs/>
              </w:rPr>
              <w:t>A</w:t>
            </w:r>
          </w:p>
        </w:tc>
        <w:tc>
          <w:tcPr>
            <w:tcW w:w="5243" w:type="dxa"/>
          </w:tcPr>
          <w:p w14:paraId="4D2CCCCF" w14:textId="0E2B5E52" w:rsidR="005509D5" w:rsidRPr="00FD12D8" w:rsidRDefault="005509D5" w:rsidP="00D4445A">
            <w:pPr>
              <w:pStyle w:val="KeyText"/>
              <w:spacing w:before="0"/>
            </w:pPr>
            <w:r>
              <w:t>beam</w:t>
            </w:r>
          </w:p>
        </w:tc>
      </w:tr>
      <w:tr w:rsidR="005509D5" w:rsidRPr="00B5422C" w14:paraId="2D51BE22" w14:textId="77777777" w:rsidTr="00691F56">
        <w:tc>
          <w:tcPr>
            <w:tcW w:w="427" w:type="dxa"/>
          </w:tcPr>
          <w:p w14:paraId="5B9E6347" w14:textId="77777777" w:rsidR="005509D5" w:rsidRPr="00D4445A" w:rsidRDefault="005509D5" w:rsidP="00D4445A">
            <w:pPr>
              <w:pStyle w:val="KeyText"/>
              <w:spacing w:before="0"/>
              <w:rPr>
                <w:iCs/>
              </w:rPr>
            </w:pPr>
            <w:r w:rsidRPr="00D4445A">
              <w:rPr>
                <w:iCs/>
              </w:rPr>
              <w:t>B</w:t>
            </w:r>
          </w:p>
        </w:tc>
        <w:tc>
          <w:tcPr>
            <w:tcW w:w="5243" w:type="dxa"/>
          </w:tcPr>
          <w:p w14:paraId="6653863D" w14:textId="5A5FBA7C" w:rsidR="005509D5" w:rsidRPr="00FD12D8" w:rsidRDefault="005509D5" w:rsidP="00D4445A">
            <w:pPr>
              <w:pStyle w:val="KeyText"/>
              <w:spacing w:before="0"/>
            </w:pPr>
            <w:r>
              <w:t>column</w:t>
            </w:r>
          </w:p>
        </w:tc>
      </w:tr>
      <w:tr w:rsidR="005509D5" w:rsidRPr="00B5422C" w14:paraId="694968AB" w14:textId="77777777" w:rsidTr="00691F56">
        <w:tc>
          <w:tcPr>
            <w:tcW w:w="427" w:type="dxa"/>
          </w:tcPr>
          <w:p w14:paraId="33F7EE60" w14:textId="77777777" w:rsidR="005509D5" w:rsidRPr="00D4445A" w:rsidRDefault="005509D5" w:rsidP="00D4445A">
            <w:pPr>
              <w:pStyle w:val="KeyText"/>
              <w:spacing w:before="0"/>
              <w:rPr>
                <w:iCs/>
              </w:rPr>
            </w:pPr>
            <w:r w:rsidRPr="00D4445A">
              <w:rPr>
                <w:iCs/>
              </w:rPr>
              <w:t>C</w:t>
            </w:r>
          </w:p>
        </w:tc>
        <w:tc>
          <w:tcPr>
            <w:tcW w:w="5243" w:type="dxa"/>
          </w:tcPr>
          <w:p w14:paraId="4980B26A" w14:textId="5F0849D3" w:rsidR="005509D5" w:rsidRPr="00FD12D8" w:rsidRDefault="005509D5" w:rsidP="00D4445A">
            <w:pPr>
              <w:pStyle w:val="KeyText"/>
              <w:spacing w:before="0"/>
              <w:ind w:left="0" w:firstLine="0"/>
            </w:pPr>
            <w:r w:rsidRPr="005509D5">
              <w:t>beam flange-to-column flange weld access hole</w:t>
            </w:r>
          </w:p>
        </w:tc>
      </w:tr>
      <w:tr w:rsidR="005509D5" w:rsidRPr="00B5422C" w14:paraId="2A2A79A0" w14:textId="77777777" w:rsidTr="00691F56">
        <w:tc>
          <w:tcPr>
            <w:tcW w:w="427" w:type="dxa"/>
          </w:tcPr>
          <w:p w14:paraId="404151FF" w14:textId="77777777" w:rsidR="005509D5" w:rsidRPr="00D4445A" w:rsidRDefault="005509D5" w:rsidP="00D4445A">
            <w:pPr>
              <w:pStyle w:val="KeyText"/>
              <w:spacing w:before="0"/>
              <w:rPr>
                <w:iCs/>
              </w:rPr>
            </w:pPr>
            <w:r w:rsidRPr="00D4445A">
              <w:rPr>
                <w:iCs/>
              </w:rPr>
              <w:t>D</w:t>
            </w:r>
          </w:p>
        </w:tc>
        <w:tc>
          <w:tcPr>
            <w:tcW w:w="5243" w:type="dxa"/>
          </w:tcPr>
          <w:p w14:paraId="24F3705E" w14:textId="77777777" w:rsidR="005509D5" w:rsidRDefault="005509D5" w:rsidP="00D4445A">
            <w:pPr>
              <w:pStyle w:val="KeyText"/>
              <w:spacing w:before="0"/>
              <w:ind w:left="0" w:firstLine="0"/>
            </w:pPr>
            <w:r>
              <w:t>end-plate</w:t>
            </w:r>
          </w:p>
        </w:tc>
      </w:tr>
    </w:tbl>
    <w:p w14:paraId="429BCE50" w14:textId="0CEB648D" w:rsidR="00B405F9" w:rsidRPr="00D1484A" w:rsidRDefault="00B405F9" w:rsidP="00B405F9">
      <w:pPr>
        <w:pStyle w:val="Figuretitle"/>
      </w:pPr>
      <w:r w:rsidRPr="00D1484A">
        <w:t>Figure E.</w:t>
      </w:r>
      <w:r w:rsidR="009B2651">
        <w:t>15</w:t>
      </w:r>
      <w:r w:rsidRPr="00132C1E">
        <w:t xml:space="preserve"> — Configurations of unstiffened joints: </w:t>
      </w:r>
      <w:r w:rsidR="005509D5">
        <w:t>(</w:t>
      </w:r>
      <w:r w:rsidRPr="00132C1E">
        <w:t>a) welded connection; (b) bolted connection; (</w:t>
      </w:r>
      <w:r w:rsidR="005509D5">
        <w:t>c</w:t>
      </w:r>
      <w:r w:rsidRPr="00132C1E">
        <w:t>) bolted connection with four bolt rows; (d) bolted connection with six bolt rows</w:t>
      </w:r>
    </w:p>
    <w:p w14:paraId="6E46B4EB" w14:textId="593C2B64" w:rsidR="00B405F9" w:rsidRPr="00FD17CF" w:rsidRDefault="00B405F9" w:rsidP="00724E4E">
      <w:pPr>
        <w:pStyle w:val="Clause"/>
      </w:pPr>
      <w:r w:rsidRPr="007E6F67">
        <w:t>Full (both welded and bolted) or equal (bolted) strength connections should be used for DC3 and DC2 moment and dual frames. For DC3 and DC2 dual frames, partial strength bolted connecti</w:t>
      </w:r>
      <w:r w:rsidRPr="00FD17CF">
        <w:t>ons with either balanced or weak column web panel may be used.</w:t>
      </w:r>
    </w:p>
    <w:p w14:paraId="29977DC1" w14:textId="74598127" w:rsidR="00B405F9" w:rsidRPr="002144A0" w:rsidRDefault="00B405F9" w:rsidP="00724E4E">
      <w:pPr>
        <w:pStyle w:val="Clause"/>
      </w:pPr>
      <w:r w:rsidRPr="00835C82">
        <w:t>E..3.5(4)</w:t>
      </w:r>
      <w:r w:rsidRPr="00B405F9">
        <w:t xml:space="preserve"> should </w:t>
      </w:r>
      <w:r w:rsidRPr="00196951">
        <w:t>be applied for full strength connections.</w:t>
      </w:r>
    </w:p>
    <w:p w14:paraId="33C01B9F" w14:textId="28BCAF9A" w:rsidR="00B405F9" w:rsidRPr="00C52095" w:rsidRDefault="00B405F9" w:rsidP="00724E4E">
      <w:pPr>
        <w:pStyle w:val="Clause"/>
      </w:pPr>
      <w:r w:rsidRPr="00835C82">
        <w:t>E.3.3.5(5)</w:t>
      </w:r>
      <w:r w:rsidRPr="00B405F9">
        <w:t xml:space="preserve"> </w:t>
      </w:r>
      <w:r w:rsidRPr="00C52095">
        <w:t>should be applied for equal strength connections.</w:t>
      </w:r>
    </w:p>
    <w:p w14:paraId="6BF079AD" w14:textId="1518EA0B" w:rsidR="00B405F9" w:rsidRPr="00132C1E" w:rsidRDefault="00B405F9" w:rsidP="00724E4E">
      <w:pPr>
        <w:pStyle w:val="Clause"/>
      </w:pPr>
      <w:r w:rsidRPr="007754C9">
        <w:t>The design action effect in a partial strength bolted connection shoul</w:t>
      </w:r>
      <w:r w:rsidRPr="00132C1E">
        <w:t xml:space="preserve">d be evaluated in accordance with </w:t>
      </w:r>
      <w:r w:rsidRPr="00B405F9">
        <w:t>Formula E.3 and the design resistance should be calculated in accordance with pr</w:t>
      </w:r>
      <w:r w:rsidR="00C30FF9">
        <w:t>EN 1</w:t>
      </w:r>
      <w:r w:rsidRPr="00B405F9">
        <w:t xml:space="preserve">993-1-8 and assumptions specified in </w:t>
      </w:r>
      <w:r w:rsidRPr="00835C82">
        <w:t>(8)</w:t>
      </w:r>
      <w:r w:rsidRPr="00B405F9">
        <w:t>.</w:t>
      </w:r>
    </w:p>
    <w:p w14:paraId="0378D6AA" w14:textId="259EFDA0" w:rsidR="00B405F9" w:rsidRPr="00132C1E" w:rsidRDefault="00B405F9" w:rsidP="00724E4E">
      <w:pPr>
        <w:pStyle w:val="Clause"/>
      </w:pPr>
      <w:r w:rsidRPr="00132C1E">
        <w:t>The resistance of bolted connection should be calculated considering the additional assumptions a) to c):</w:t>
      </w:r>
    </w:p>
    <w:p w14:paraId="4DCFF220" w14:textId="77777777" w:rsidR="00B405F9" w:rsidRPr="009B2651" w:rsidRDefault="00B405F9" w:rsidP="0080187E">
      <w:pPr>
        <w:pStyle w:val="Text"/>
        <w:numPr>
          <w:ilvl w:val="0"/>
          <w:numId w:val="713"/>
        </w:numPr>
      </w:pPr>
      <w:r w:rsidRPr="009B2651">
        <w:t>The active bolt rows in tension are those above the central axis of the beam under hogging moment and below the axis of the beam under sagging moment;</w:t>
      </w:r>
    </w:p>
    <w:p w14:paraId="3D88A292" w14:textId="77777777" w:rsidR="00B405F9" w:rsidRPr="009B2651" w:rsidRDefault="00B405F9" w:rsidP="0080187E">
      <w:pPr>
        <w:pStyle w:val="Text"/>
        <w:numPr>
          <w:ilvl w:val="0"/>
          <w:numId w:val="713"/>
        </w:numPr>
      </w:pPr>
      <w:r w:rsidRPr="009B2651">
        <w:t>the conditions given in E.3.3.1(5) and E.3.3.1(7);</w:t>
      </w:r>
    </w:p>
    <w:p w14:paraId="3DD198ED" w14:textId="76467A1E" w:rsidR="00B405F9" w:rsidRPr="009B2651" w:rsidRDefault="00B405F9" w:rsidP="0080187E">
      <w:pPr>
        <w:pStyle w:val="Text"/>
        <w:numPr>
          <w:ilvl w:val="0"/>
          <w:numId w:val="713"/>
        </w:numPr>
      </w:pPr>
      <w:r w:rsidRPr="009B2651">
        <w:t>for four bolt row configurations, the conditions given in E.3.3.1(8) and E.3.3.1(9)</w:t>
      </w:r>
      <w:r w:rsidR="00511809" w:rsidRPr="009B2651">
        <w:t>.</w:t>
      </w:r>
    </w:p>
    <w:p w14:paraId="2CE4866E" w14:textId="5F74B29F" w:rsidR="00B405F9" w:rsidRPr="00132C1E" w:rsidRDefault="00B405F9" w:rsidP="00724E4E">
      <w:pPr>
        <w:pStyle w:val="Clause"/>
      </w:pPr>
      <w:r w:rsidRPr="00835C82">
        <w:t>E.3.3.5(7)</w:t>
      </w:r>
      <w:r w:rsidRPr="00511809">
        <w:t xml:space="preserve"> </w:t>
      </w:r>
      <w:r w:rsidRPr="00132C1E">
        <w:t>should be applied.</w:t>
      </w:r>
    </w:p>
    <w:p w14:paraId="5605E4A1" w14:textId="1AF57340" w:rsidR="00B405F9" w:rsidRPr="00132C1E" w:rsidRDefault="00B405F9" w:rsidP="00724E4E">
      <w:pPr>
        <w:pStyle w:val="Clause"/>
      </w:pPr>
      <w:r w:rsidRPr="00835C82">
        <w:lastRenderedPageBreak/>
        <w:t>E.3.3.5(8)</w:t>
      </w:r>
      <w:r w:rsidRPr="00511809">
        <w:t xml:space="preserve"> should </w:t>
      </w:r>
      <w:r w:rsidRPr="00132C1E">
        <w:t xml:space="preserve">be applied. </w:t>
      </w:r>
    </w:p>
    <w:p w14:paraId="3B20D6F2" w14:textId="3F4297CA" w:rsidR="00B405F9" w:rsidRPr="00132C1E" w:rsidRDefault="00B405F9" w:rsidP="00724E4E">
      <w:pPr>
        <w:pStyle w:val="Clause"/>
      </w:pPr>
      <w:r w:rsidRPr="00835C82">
        <w:t>E.3.3.5(9)</w:t>
      </w:r>
      <w:r w:rsidRPr="00511809">
        <w:t xml:space="preserve"> </w:t>
      </w:r>
      <w:r w:rsidRPr="00132C1E">
        <w:t xml:space="preserve">should be applied. </w:t>
      </w:r>
    </w:p>
    <w:p w14:paraId="75E2CF50" w14:textId="78C5FA38" w:rsidR="00B405F9" w:rsidRPr="00132C1E" w:rsidRDefault="00B405F9" w:rsidP="00724E4E">
      <w:pPr>
        <w:pStyle w:val="Clause"/>
      </w:pPr>
      <w:r w:rsidRPr="00835C82">
        <w:t>E.3.3.4(10)</w:t>
      </w:r>
      <w:r w:rsidRPr="00511809">
        <w:t xml:space="preserve"> </w:t>
      </w:r>
      <w:r w:rsidRPr="00132C1E">
        <w:t>should be applied.</w:t>
      </w:r>
    </w:p>
    <w:p w14:paraId="19382242" w14:textId="5E1D2E61" w:rsidR="00B405F9" w:rsidRPr="00132C1E" w:rsidRDefault="00B405F9" w:rsidP="00724E4E">
      <w:pPr>
        <w:pStyle w:val="Clause"/>
      </w:pPr>
      <w:r w:rsidRPr="00132C1E">
        <w:t xml:space="preserve">Continuity plates should comply with </w:t>
      </w:r>
      <w:r w:rsidRPr="00835C82">
        <w:t xml:space="preserve">E.3.3.2(5) </w:t>
      </w:r>
      <w:r w:rsidRPr="00511809">
        <w:t>and</w:t>
      </w:r>
      <w:r w:rsidRPr="00835C82">
        <w:t xml:space="preserve"> E.3.3.2(6)</w:t>
      </w:r>
      <w:r w:rsidRPr="00511809">
        <w:t>.</w:t>
      </w:r>
    </w:p>
    <w:p w14:paraId="1986EA90" w14:textId="208918C8" w:rsidR="00B405F9" w:rsidRPr="00132C1E" w:rsidRDefault="00B405F9" w:rsidP="00724E4E">
      <w:pPr>
        <w:pStyle w:val="Clause"/>
      </w:pPr>
      <w:r w:rsidRPr="00132C1E">
        <w:t xml:space="preserve">The types of welds to be used for unstiffened beam-to-column joints should be as in </w:t>
      </w:r>
      <w:r w:rsidRPr="00835C82">
        <w:t>E.3.3.3</w:t>
      </w:r>
      <w:r w:rsidRPr="00511809">
        <w:t>, considering a) to d):</w:t>
      </w:r>
    </w:p>
    <w:p w14:paraId="67E14CB5" w14:textId="797A8F0E" w:rsidR="00B405F9" w:rsidRPr="00132C1E" w:rsidRDefault="00B405F9" w:rsidP="00691F56">
      <w:pPr>
        <w:pStyle w:val="Text"/>
        <w:numPr>
          <w:ilvl w:val="0"/>
          <w:numId w:val="714"/>
        </w:numPr>
        <w:spacing w:after="200"/>
      </w:pPr>
      <w:r w:rsidRPr="00132C1E">
        <w:t>The beam web should be connected with fillet welds with a minimum side of 0,8 times the beam web thickness.</w:t>
      </w:r>
    </w:p>
    <w:p w14:paraId="4948B703" w14:textId="5B1CCF60" w:rsidR="00B405F9" w:rsidRPr="00132C1E" w:rsidRDefault="00B405F9" w:rsidP="00691F56">
      <w:pPr>
        <w:pStyle w:val="Text"/>
        <w:numPr>
          <w:ilvl w:val="0"/>
          <w:numId w:val="714"/>
        </w:numPr>
        <w:spacing w:after="200"/>
      </w:pPr>
      <w:r w:rsidRPr="00132C1E">
        <w:t>Critical welds (beam flange and supplementary web plate to column flange and beam flange to end-plate) should be full-penetration groove welds.</w:t>
      </w:r>
    </w:p>
    <w:p w14:paraId="05A1C037" w14:textId="3EAA1A43" w:rsidR="00B405F9" w:rsidRPr="00132C1E" w:rsidRDefault="00B405F9" w:rsidP="00691F56">
      <w:pPr>
        <w:pStyle w:val="Text"/>
        <w:numPr>
          <w:ilvl w:val="0"/>
          <w:numId w:val="714"/>
        </w:numPr>
        <w:spacing w:after="200"/>
      </w:pPr>
      <w:r w:rsidRPr="00132C1E">
        <w:t xml:space="preserve">In DC3, beam flange groove welds should be reinforced with additional fillet welds as in </w:t>
      </w:r>
      <w:r w:rsidRPr="00511809">
        <w:t>Figure E.3</w:t>
      </w:r>
      <w:r w:rsidRPr="00132C1E">
        <w:t>.</w:t>
      </w:r>
    </w:p>
    <w:p w14:paraId="2957B474" w14:textId="77777777" w:rsidR="00B405F9" w:rsidRPr="00132C1E" w:rsidRDefault="00B405F9" w:rsidP="00691F56">
      <w:pPr>
        <w:pStyle w:val="Text"/>
        <w:numPr>
          <w:ilvl w:val="0"/>
          <w:numId w:val="714"/>
        </w:numPr>
        <w:spacing w:after="200"/>
      </w:pPr>
      <w:r w:rsidRPr="00132C1E">
        <w:t>In DC2, the reinforcing fillet welds at beam flanges may be omitted for full strength connections but should be added for equal and partial strength connections.</w:t>
      </w:r>
    </w:p>
    <w:p w14:paraId="24B2A201" w14:textId="46886674" w:rsidR="00B405F9" w:rsidRPr="00132C1E" w:rsidRDefault="00B405F9" w:rsidP="00724E4E">
      <w:pPr>
        <w:pStyle w:val="Clause"/>
      </w:pPr>
      <w:r w:rsidRPr="00511809">
        <w:t xml:space="preserve">For welded connections, the access holes at the beam flange to column flange weld should be as detailed in </w:t>
      </w:r>
      <w:r w:rsidRPr="00835C82">
        <w:t>E.3.3.3(6)</w:t>
      </w:r>
      <w:r w:rsidRPr="00511809">
        <w:t xml:space="preserve"> and Figure E.8</w:t>
      </w:r>
      <w:r w:rsidRPr="00132C1E">
        <w:t>.</w:t>
      </w:r>
    </w:p>
    <w:p w14:paraId="73FDCE5C" w14:textId="79CF5A03" w:rsidR="00B405F9" w:rsidRPr="00132C1E" w:rsidRDefault="00B405F9" w:rsidP="00724E4E">
      <w:pPr>
        <w:pStyle w:val="Clause"/>
      </w:pPr>
      <w:r w:rsidRPr="00511809">
        <w:t xml:space="preserve">For bolted connections, there should not be access holes in the web of the beams in accordance with </w:t>
      </w:r>
      <w:r w:rsidRPr="00835C82">
        <w:t>E.3.3.3(7)</w:t>
      </w:r>
      <w:r w:rsidRPr="00511809">
        <w:t>.</w:t>
      </w:r>
    </w:p>
    <w:p w14:paraId="6AE2A2FE" w14:textId="22BD182F" w:rsidR="00B405F9" w:rsidRPr="00132C1E" w:rsidRDefault="00B405F9" w:rsidP="00724E4E">
      <w:pPr>
        <w:pStyle w:val="Clause"/>
      </w:pPr>
      <w:r w:rsidRPr="00132C1E">
        <w:t xml:space="preserve">End-plate thickness should be in the range of 10 mm to 60 mm. The steel grade of end plate should be </w:t>
      </w:r>
      <w:r w:rsidRPr="00511809">
        <w:t>S235 to S355. The wid</w:t>
      </w:r>
      <w:r w:rsidRPr="00132C1E">
        <w:t>th of the end plate should not be smaller than the width of the beam flange increased by 30 mm and not greater than the width of column flange.</w:t>
      </w:r>
    </w:p>
    <w:p w14:paraId="1393E8FB" w14:textId="4B55768D" w:rsidR="00B405F9" w:rsidRPr="00132C1E" w:rsidRDefault="00B405F9" w:rsidP="00724E4E">
      <w:pPr>
        <w:pStyle w:val="Clause"/>
      </w:pPr>
      <w:r w:rsidRPr="00132C1E">
        <w:t xml:space="preserve">For equal and partial strength bolted connections, the end-plate thickness </w:t>
      </w:r>
      <w:r w:rsidRPr="00132C1E">
        <w:rPr>
          <w:i/>
          <w:iCs/>
        </w:rPr>
        <w:t>t</w:t>
      </w:r>
      <w:r w:rsidRPr="00132C1E">
        <w:rPr>
          <w:vertAlign w:val="subscript"/>
        </w:rPr>
        <w:t>p</w:t>
      </w:r>
      <w:r w:rsidRPr="00132C1E">
        <w:t xml:space="preserve"> should comply with </w:t>
      </w:r>
      <w:r w:rsidRPr="00511809">
        <w:t>Formula E.8</w:t>
      </w:r>
      <w:r w:rsidRPr="00132C1E">
        <w:t>.</w:t>
      </w:r>
    </w:p>
    <w:p w14:paraId="2C5D9EA8" w14:textId="28B1D0E5" w:rsidR="00B405F9" w:rsidRPr="00132C1E" w:rsidRDefault="00B405F9" w:rsidP="00724E4E">
      <w:pPr>
        <w:pStyle w:val="Clause"/>
      </w:pPr>
      <w:r w:rsidRPr="00835C82">
        <w:t>E.3.3.4(17)</w:t>
      </w:r>
      <w:r w:rsidRPr="00511809">
        <w:t xml:space="preserve"> should </w:t>
      </w:r>
      <w:r w:rsidRPr="00132C1E">
        <w:t>be applied.</w:t>
      </w:r>
    </w:p>
    <w:p w14:paraId="1E9C52B9" w14:textId="6ABF2C03" w:rsidR="00B405F9" w:rsidRPr="00132C1E" w:rsidRDefault="00B405F9" w:rsidP="00724E4E">
      <w:pPr>
        <w:pStyle w:val="Clause"/>
      </w:pPr>
      <w:r w:rsidRPr="00835C82">
        <w:t>E.3.3.4(18)</w:t>
      </w:r>
      <w:r w:rsidRPr="00511809">
        <w:t xml:space="preserve"> should </w:t>
      </w:r>
      <w:r w:rsidRPr="00132C1E">
        <w:t>be applied.</w:t>
      </w:r>
    </w:p>
    <w:p w14:paraId="6E1E45D1" w14:textId="430869F9" w:rsidR="00B405F9" w:rsidRPr="00132C1E" w:rsidRDefault="00B405F9" w:rsidP="00724E4E">
      <w:pPr>
        <w:pStyle w:val="Clause"/>
      </w:pPr>
      <w:r w:rsidRPr="00835C82">
        <w:t>E.3.3.4(19)</w:t>
      </w:r>
      <w:r w:rsidRPr="00511809">
        <w:t xml:space="preserve"> </w:t>
      </w:r>
      <w:r w:rsidRPr="00132C1E">
        <w:t>should be applied.</w:t>
      </w:r>
    </w:p>
    <w:p w14:paraId="1A694F20" w14:textId="53ECD2CF" w:rsidR="00B405F9" w:rsidRPr="00132C1E" w:rsidRDefault="00B405F9" w:rsidP="00724E4E">
      <w:pPr>
        <w:pStyle w:val="Clause"/>
      </w:pPr>
      <w:r w:rsidRPr="00132C1E">
        <w:t>The horizontal distance between bolts per row should not be smaller than 80 mm and not greater than 170 mm.</w:t>
      </w:r>
    </w:p>
    <w:p w14:paraId="550D3D30" w14:textId="3F60418A" w:rsidR="00B405F9" w:rsidRPr="00132C1E" w:rsidRDefault="00B405F9" w:rsidP="00724E4E">
      <w:pPr>
        <w:pStyle w:val="Clause"/>
      </w:pPr>
      <w:r w:rsidRPr="00835C82">
        <w:t>E.3.3.4(20)</w:t>
      </w:r>
      <w:r w:rsidRPr="00511809">
        <w:t xml:space="preserve"> </w:t>
      </w:r>
      <w:r w:rsidRPr="00132C1E">
        <w:t>should be applied.</w:t>
      </w:r>
      <w:r w:rsidRPr="00132C1E" w:rsidDel="00086235">
        <w:t xml:space="preserve"> </w:t>
      </w:r>
    </w:p>
    <w:p w14:paraId="77F14DF9" w14:textId="77777777" w:rsidR="00B405F9" w:rsidRPr="00132C1E" w:rsidRDefault="00B405F9" w:rsidP="00B405F9">
      <w:pPr>
        <w:pStyle w:val="a4"/>
      </w:pPr>
      <w:r w:rsidRPr="00132C1E">
        <w:tab/>
      </w:r>
      <w:bookmarkStart w:id="11260" w:name="_Toc108342760"/>
      <w:bookmarkStart w:id="11261" w:name="_Toc120543847"/>
      <w:bookmarkStart w:id="11262" w:name="_Toc134198269"/>
      <w:r w:rsidRPr="00132C1E">
        <w:t>Specific requirements for the analysis of frames with welded unstiffened joints</w:t>
      </w:r>
      <w:bookmarkEnd w:id="11260"/>
      <w:bookmarkEnd w:id="11261"/>
      <w:bookmarkEnd w:id="11262"/>
      <w:r w:rsidRPr="00132C1E">
        <w:t xml:space="preserve"> </w:t>
      </w:r>
    </w:p>
    <w:p w14:paraId="7F494D1A" w14:textId="7B23494D" w:rsidR="00B405F9" w:rsidRPr="00132C1E" w:rsidRDefault="00B405F9" w:rsidP="0080187E">
      <w:pPr>
        <w:pStyle w:val="Clause"/>
        <w:numPr>
          <w:ilvl w:val="0"/>
          <w:numId w:val="575"/>
        </w:numPr>
      </w:pPr>
      <w:r w:rsidRPr="00132C1E">
        <w:t xml:space="preserve">In linear elastic analysis, frames with welded unstiffened joints may be modelled with centre-line models in which the deformability </w:t>
      </w:r>
      <w:r w:rsidRPr="00511809">
        <w:t>of</w:t>
      </w:r>
      <w:r w:rsidR="00511809" w:rsidRPr="00511809">
        <w:t xml:space="preserve"> </w:t>
      </w:r>
      <w:r w:rsidRPr="00511809">
        <w:t>the colum</w:t>
      </w:r>
      <w:r w:rsidRPr="00132C1E">
        <w:t>n web panel is</w:t>
      </w:r>
      <w:r>
        <w:t xml:space="preserve"> </w:t>
      </w:r>
      <w:r w:rsidR="00CF7A23" w:rsidRPr="00132C1E">
        <w:t>modelled</w:t>
      </w:r>
      <w:r w:rsidRPr="00132C1E">
        <w:t xml:space="preserve">. The deformability of both equal and partial strength bolted connection should be modelled. </w:t>
      </w:r>
    </w:p>
    <w:p w14:paraId="3A1FE431" w14:textId="13C00D28" w:rsidR="00B405F9" w:rsidRPr="00132C1E" w:rsidRDefault="00B405F9" w:rsidP="00724E4E">
      <w:pPr>
        <w:pStyle w:val="Clause"/>
      </w:pPr>
      <w:r w:rsidRPr="00132C1E">
        <w:t>In non-linear analyses the column web panel and the connection should be distinctly modelled as given in a) to e):</w:t>
      </w:r>
    </w:p>
    <w:p w14:paraId="74820E7A" w14:textId="77777777" w:rsidR="00B405F9" w:rsidRPr="00724E4E" w:rsidRDefault="00B405F9" w:rsidP="00691F56">
      <w:pPr>
        <w:pStyle w:val="Text"/>
        <w:numPr>
          <w:ilvl w:val="0"/>
          <w:numId w:val="715"/>
        </w:numPr>
        <w:spacing w:after="200"/>
      </w:pPr>
      <w:r w:rsidRPr="00724E4E">
        <w:lastRenderedPageBreak/>
        <w:t>the column web panel should be modelled with alternative models accounting for its stiffness and resistance if designed as specified in E.3.2.2(b) or in E.3.2.2(c);</w:t>
      </w:r>
    </w:p>
    <w:p w14:paraId="3C7266FD" w14:textId="77777777" w:rsidR="00B405F9" w:rsidRPr="00724E4E" w:rsidRDefault="00B405F9" w:rsidP="00691F56">
      <w:pPr>
        <w:pStyle w:val="Text"/>
        <w:numPr>
          <w:ilvl w:val="0"/>
          <w:numId w:val="715"/>
        </w:numPr>
        <w:spacing w:after="200"/>
      </w:pPr>
      <w:r w:rsidRPr="00724E4E">
        <w:t>the column web panel should be modelled using rigid segments per its axis with length equal to half dimension of the column web panel if designed as specified in E.3.2.2(a);</w:t>
      </w:r>
    </w:p>
    <w:p w14:paraId="0BE5DDBE" w14:textId="77777777" w:rsidR="00B405F9" w:rsidRPr="00724E4E" w:rsidRDefault="00B405F9" w:rsidP="00691F56">
      <w:pPr>
        <w:pStyle w:val="Text"/>
        <w:numPr>
          <w:ilvl w:val="0"/>
          <w:numId w:val="715"/>
        </w:numPr>
        <w:spacing w:after="200"/>
      </w:pPr>
      <w:r w:rsidRPr="00724E4E">
        <w:t>the stiffness of the connection should be modelled for full strength bolted joints;</w:t>
      </w:r>
    </w:p>
    <w:p w14:paraId="0C786FBC" w14:textId="77777777" w:rsidR="00B405F9" w:rsidRPr="00724E4E" w:rsidRDefault="00B405F9" w:rsidP="00691F56">
      <w:pPr>
        <w:pStyle w:val="Text"/>
        <w:numPr>
          <w:ilvl w:val="0"/>
          <w:numId w:val="715"/>
        </w:numPr>
        <w:spacing w:after="200"/>
      </w:pPr>
      <w:r w:rsidRPr="00724E4E">
        <w:t>the stiffness and resistance of the connection should be modelled for equal and partial strength bolted joints;</w:t>
      </w:r>
    </w:p>
    <w:p w14:paraId="03632B22" w14:textId="77777777" w:rsidR="00B405F9" w:rsidRPr="00724E4E" w:rsidRDefault="00B405F9" w:rsidP="00691F56">
      <w:pPr>
        <w:pStyle w:val="Text"/>
        <w:numPr>
          <w:ilvl w:val="0"/>
          <w:numId w:val="715"/>
        </w:numPr>
        <w:spacing w:after="200"/>
      </w:pPr>
      <w:r w:rsidRPr="00724E4E">
        <w:t>the monotonic and cyclic behaviour of beams should be modelled.</w:t>
      </w:r>
    </w:p>
    <w:p w14:paraId="0E7A74CC" w14:textId="77777777" w:rsidR="00B405F9" w:rsidRPr="00132C1E" w:rsidRDefault="00B405F9" w:rsidP="00B405F9">
      <w:pPr>
        <w:pStyle w:val="a4"/>
      </w:pPr>
      <w:bookmarkStart w:id="11263" w:name="_Toc108342761"/>
      <w:bookmarkStart w:id="11264" w:name="_Toc120543848"/>
      <w:bookmarkStart w:id="11265" w:name="_Toc134198270"/>
      <w:r w:rsidRPr="00132C1E">
        <w:t>Joints with reduced beam section</w:t>
      </w:r>
      <w:bookmarkEnd w:id="11263"/>
      <w:bookmarkEnd w:id="11264"/>
      <w:bookmarkEnd w:id="11265"/>
    </w:p>
    <w:p w14:paraId="0ADF677E" w14:textId="1947D26C" w:rsidR="00B405F9" w:rsidRPr="00132C1E" w:rsidRDefault="00B405F9" w:rsidP="0080187E">
      <w:pPr>
        <w:pStyle w:val="Clause"/>
        <w:numPr>
          <w:ilvl w:val="0"/>
          <w:numId w:val="576"/>
        </w:numPr>
      </w:pPr>
      <w:r w:rsidRPr="00132C1E">
        <w:t>Joints with reduced beam section (RBS or “dog-bone joints”) should be designed to avoid plastic deformations in non-yielding connections and to form a plastic hinge in the portion of the beam with reduced section. Both welded and bolted end plate connections may be used (</w:t>
      </w:r>
      <w:r w:rsidRPr="00511809">
        <w:t>see Figure E.16</w:t>
      </w:r>
      <w:r w:rsidRPr="00132C1E">
        <w:t>).</w:t>
      </w:r>
    </w:p>
    <w:p w14:paraId="3791F4C9" w14:textId="7360480E" w:rsidR="00B405F9" w:rsidRPr="00132C1E" w:rsidRDefault="00B405F9" w:rsidP="00724E4E">
      <w:pPr>
        <w:pStyle w:val="Clause"/>
      </w:pPr>
      <w:r w:rsidRPr="00132C1E">
        <w:t>The flanges of the beam should be cut as given in a) to d):</w:t>
      </w:r>
    </w:p>
    <w:p w14:paraId="75689CB5" w14:textId="77777777" w:rsidR="00B405F9" w:rsidRPr="00132C1E" w:rsidRDefault="00B405F9" w:rsidP="0080187E">
      <w:pPr>
        <w:pStyle w:val="List2"/>
        <w:numPr>
          <w:ilvl w:val="0"/>
          <w:numId w:val="224"/>
        </w:numPr>
        <w:spacing w:before="0" w:after="240" w:line="230" w:lineRule="atLeast"/>
        <w:contextualSpacing w:val="0"/>
      </w:pPr>
      <w:r w:rsidRPr="00132C1E">
        <w:t>The distance “</w:t>
      </w:r>
      <w:r w:rsidRPr="00B61C70">
        <w:rPr>
          <w:i/>
          <w:iCs/>
        </w:rPr>
        <w:t>a</w:t>
      </w:r>
      <w:r w:rsidRPr="00132C1E">
        <w:t xml:space="preserve">” between the column face and the beginning of the RBS should </w:t>
      </w:r>
      <w:r w:rsidRPr="00511809">
        <w:t>satisfy Formula E.10</w:t>
      </w:r>
      <w:r w:rsidRPr="000E4D3D">
        <w:rPr>
          <w:color w:val="00B050"/>
        </w:rPr>
        <w:t>.</w:t>
      </w:r>
    </w:p>
    <w:p w14:paraId="182DD5EF" w14:textId="194B6F32" w:rsidR="00511809" w:rsidRDefault="00511809" w:rsidP="00511809">
      <w:pPr>
        <w:pStyle w:val="Formula"/>
        <w:spacing w:before="240"/>
      </w:pPr>
      <m:oMath>
        <m:r>
          <w:rPr>
            <w:rFonts w:ascii="Cambria Math" w:hAnsi="Cambria Math"/>
          </w:rPr>
          <m:t xml:space="preserve">a=0,60 </m:t>
        </m:r>
        <m:sSub>
          <m:sSubPr>
            <m:ctrlPr>
              <w:rPr>
                <w:rFonts w:ascii="Cambria Math" w:hAnsi="Cambria Math"/>
              </w:rPr>
            </m:ctrlPr>
          </m:sSubPr>
          <m:e>
            <m:r>
              <w:rPr>
                <w:rFonts w:ascii="Cambria Math" w:hAnsi="Cambria Math"/>
              </w:rPr>
              <m:t>b</m:t>
            </m:r>
          </m:e>
          <m:sub>
            <m:r>
              <m:rPr>
                <m:sty m:val="p"/>
              </m:rPr>
              <w:rPr>
                <w:rFonts w:ascii="Cambria Math" w:hAnsi="Cambria Math"/>
              </w:rPr>
              <m:t>f</m:t>
            </m:r>
          </m:sub>
        </m:sSub>
        <m:r>
          <w:rPr>
            <w:rFonts w:ascii="Cambria Math" w:hAnsi="Cambria Math"/>
          </w:rPr>
          <m:t xml:space="preserve"> </m:t>
        </m:r>
      </m:oMath>
      <w:r w:rsidRPr="00870D59">
        <w:tab/>
        <w:t>(</w:t>
      </w:r>
      <w:r>
        <w:t>E</w:t>
      </w:r>
      <w:r w:rsidRPr="00870D59">
        <w:t>.</w:t>
      </w:r>
      <w:r>
        <w:t>10</w:t>
      </w:r>
      <w:r w:rsidRPr="00870D59">
        <w:t>)</w:t>
      </w:r>
    </w:p>
    <w:p w14:paraId="3174E7EC" w14:textId="21C2AA21" w:rsidR="00511809" w:rsidRPr="001B2671" w:rsidRDefault="00511809" w:rsidP="00691F56">
      <w:pPr>
        <w:pStyle w:val="Text"/>
        <w:ind w:left="360"/>
      </w:pPr>
      <w:r>
        <w:t>where</w:t>
      </w:r>
      <w:r w:rsidR="006E5507" w:rsidRPr="006E5507">
        <w:rPr>
          <w:i/>
          <w:iCs/>
        </w:rPr>
        <w:t xml:space="preserve"> </w:t>
      </w:r>
      <w:r w:rsidR="006E5507" w:rsidRPr="007E6F67">
        <w:rPr>
          <w:i/>
          <w:iCs/>
        </w:rPr>
        <w:t>b</w:t>
      </w:r>
      <w:r w:rsidR="006E5507" w:rsidRPr="00FD17CF">
        <w:rPr>
          <w:vertAlign w:val="subscript"/>
        </w:rPr>
        <w:t>f</w:t>
      </w:r>
      <w:r w:rsidR="006E5507" w:rsidRPr="00FD17CF">
        <w:t xml:space="preserve"> is the width of the beam flange.</w:t>
      </w:r>
    </w:p>
    <w:p w14:paraId="64FD230E" w14:textId="77777777" w:rsidR="006E5507" w:rsidRPr="002144A0" w:rsidRDefault="006E5507" w:rsidP="0080187E">
      <w:pPr>
        <w:pStyle w:val="List2"/>
        <w:numPr>
          <w:ilvl w:val="0"/>
          <w:numId w:val="224"/>
        </w:numPr>
        <w:spacing w:before="0" w:after="240" w:line="230" w:lineRule="atLeast"/>
        <w:contextualSpacing w:val="0"/>
        <w:rPr>
          <w:rFonts w:eastAsia="Cambria"/>
        </w:rPr>
      </w:pPr>
      <w:r w:rsidRPr="00E05E29">
        <w:t>The length “</w:t>
      </w:r>
      <w:r w:rsidRPr="00196951">
        <w:rPr>
          <w:i/>
          <w:iCs/>
        </w:rPr>
        <w:t>b</w:t>
      </w:r>
      <w:r w:rsidRPr="00196951">
        <w:t xml:space="preserve">” over which the flange should be reduced should </w:t>
      </w:r>
      <w:r w:rsidRPr="006E5507">
        <w:t>satisfy Formula E.11.</w:t>
      </w:r>
    </w:p>
    <w:p w14:paraId="54164C8E" w14:textId="616799E5" w:rsidR="006E5507" w:rsidRDefault="006E5507" w:rsidP="006E5507">
      <w:pPr>
        <w:pStyle w:val="Formula"/>
        <w:spacing w:before="240"/>
      </w:pPr>
      <m:oMath>
        <m:r>
          <w:rPr>
            <w:rFonts w:ascii="Cambria Math" w:hAnsi="Cambria Math"/>
          </w:rPr>
          <m:t xml:space="preserve">b=0,75 </m:t>
        </m:r>
        <m:sSub>
          <m:sSubPr>
            <m:ctrlPr>
              <w:rPr>
                <w:rFonts w:ascii="Cambria Math" w:hAnsi="Cambria Math"/>
              </w:rPr>
            </m:ctrlPr>
          </m:sSubPr>
          <m:e>
            <m:r>
              <w:rPr>
                <w:rFonts w:ascii="Cambria Math" w:hAnsi="Cambria Math"/>
              </w:rPr>
              <m:t>d</m:t>
            </m:r>
          </m:e>
          <m:sub>
            <m:r>
              <m:rPr>
                <m:sty m:val="p"/>
              </m:rPr>
              <w:rPr>
                <w:rFonts w:ascii="Cambria Math" w:hAnsi="Cambria Math"/>
              </w:rPr>
              <m:t>b</m:t>
            </m:r>
          </m:sub>
        </m:sSub>
      </m:oMath>
      <w:r w:rsidRPr="00870D59">
        <w:tab/>
        <w:t>(</w:t>
      </w:r>
      <w:r>
        <w:t>E</w:t>
      </w:r>
      <w:r w:rsidRPr="00870D59">
        <w:t>.</w:t>
      </w:r>
      <w:r>
        <w:t>11</w:t>
      </w:r>
      <w:r w:rsidRPr="00870D59">
        <w:t>)</w:t>
      </w:r>
    </w:p>
    <w:p w14:paraId="7683BDDF" w14:textId="57A951B8" w:rsidR="006E5507" w:rsidRPr="001B2671" w:rsidRDefault="006E5507" w:rsidP="00691F56">
      <w:pPr>
        <w:pStyle w:val="Text"/>
        <w:ind w:left="360"/>
      </w:pPr>
      <w:r>
        <w:t>where</w:t>
      </w:r>
      <w:r w:rsidRPr="006E5507">
        <w:rPr>
          <w:i/>
          <w:iCs/>
        </w:rPr>
        <w:t xml:space="preserve"> </w:t>
      </w:r>
      <w:r w:rsidRPr="007E6F67">
        <w:rPr>
          <w:i/>
          <w:iCs/>
        </w:rPr>
        <w:t>d</w:t>
      </w:r>
      <w:r w:rsidRPr="00FD17CF">
        <w:rPr>
          <w:vertAlign w:val="subscript"/>
        </w:rPr>
        <w:t>b</w:t>
      </w:r>
      <w:r w:rsidRPr="00FD17CF">
        <w:t xml:space="preserve"> is the beam depth.</w:t>
      </w:r>
    </w:p>
    <w:p w14:paraId="285E9ED7" w14:textId="77777777" w:rsidR="006E5507" w:rsidRPr="00C52095" w:rsidRDefault="006E5507" w:rsidP="0080187E">
      <w:pPr>
        <w:pStyle w:val="List2"/>
        <w:numPr>
          <w:ilvl w:val="0"/>
          <w:numId w:val="224"/>
        </w:numPr>
        <w:spacing w:before="0" w:after="240" w:line="230" w:lineRule="atLeast"/>
        <w:contextualSpacing w:val="0"/>
      </w:pPr>
      <w:r w:rsidRPr="00E05E29">
        <w:t>The depth of the flange cut “</w:t>
      </w:r>
      <w:r w:rsidRPr="00196951">
        <w:rPr>
          <w:i/>
          <w:iCs/>
        </w:rPr>
        <w:t>c</w:t>
      </w:r>
      <w:r w:rsidRPr="00196951">
        <w:t>” on each side should be not greater than 0,25 </w:t>
      </w:r>
      <w:r w:rsidRPr="002144A0">
        <w:rPr>
          <w:i/>
          <w:iCs/>
        </w:rPr>
        <w:t>b</w:t>
      </w:r>
      <w:r w:rsidRPr="002144A0">
        <w:rPr>
          <w:vertAlign w:val="subscript"/>
        </w:rPr>
        <w:t>f</w:t>
      </w:r>
      <w:r w:rsidRPr="002144A0">
        <w:t>. The value</w:t>
      </w:r>
      <w:r w:rsidRPr="004F25D7">
        <w:t xml:space="preserve"> given by </w:t>
      </w:r>
      <w:r w:rsidRPr="006E5507">
        <w:t xml:space="preserve">Formula E.12 may be </w:t>
      </w:r>
      <w:r w:rsidRPr="00C52095">
        <w:t>used.</w:t>
      </w:r>
    </w:p>
    <w:p w14:paraId="3B33FB39" w14:textId="19B197F3" w:rsidR="006E5507" w:rsidRDefault="006E5507" w:rsidP="006E5507">
      <w:pPr>
        <w:pStyle w:val="Formula"/>
        <w:spacing w:before="240"/>
      </w:pPr>
      <m:oMath>
        <m:r>
          <w:rPr>
            <w:rFonts w:ascii="Cambria Math" w:hAnsi="Cambria Math"/>
          </w:rPr>
          <m:t xml:space="preserve">c=0,20 </m:t>
        </m:r>
        <m:sSub>
          <m:sSubPr>
            <m:ctrlPr>
              <w:rPr>
                <w:rFonts w:ascii="Cambria Math" w:hAnsi="Cambria Math"/>
              </w:rPr>
            </m:ctrlPr>
          </m:sSubPr>
          <m:e>
            <m:r>
              <w:rPr>
                <w:rFonts w:ascii="Cambria Math" w:hAnsi="Cambria Math"/>
              </w:rPr>
              <m:t>b</m:t>
            </m:r>
          </m:e>
          <m:sub>
            <m:r>
              <m:rPr>
                <m:sty m:val="p"/>
              </m:rPr>
              <w:rPr>
                <w:rFonts w:ascii="Cambria Math" w:hAnsi="Cambria Math"/>
              </w:rPr>
              <m:t>f</m:t>
            </m:r>
          </m:sub>
        </m:sSub>
        <m:r>
          <w:rPr>
            <w:rFonts w:ascii="Cambria Math" w:hAnsi="Cambria Math"/>
          </w:rPr>
          <m:t xml:space="preserve"> </m:t>
        </m:r>
      </m:oMath>
      <w:r w:rsidRPr="00870D59">
        <w:tab/>
        <w:t>(</w:t>
      </w:r>
      <w:r>
        <w:t>E</w:t>
      </w:r>
      <w:r w:rsidRPr="00870D59">
        <w:t>.</w:t>
      </w:r>
      <w:r>
        <w:t>12</w:t>
      </w:r>
      <w:r w:rsidRPr="00870D59">
        <w:t>)</w:t>
      </w:r>
    </w:p>
    <w:p w14:paraId="26D838EC" w14:textId="77777777" w:rsidR="006E5507" w:rsidRPr="00E05E29" w:rsidRDefault="006E5507" w:rsidP="0080187E">
      <w:pPr>
        <w:pStyle w:val="List2"/>
        <w:numPr>
          <w:ilvl w:val="0"/>
          <w:numId w:val="224"/>
        </w:numPr>
        <w:spacing w:before="0" w:after="240" w:line="230" w:lineRule="atLeast"/>
        <w:contextualSpacing w:val="0"/>
      </w:pPr>
      <w:r w:rsidRPr="00D1484A">
        <w:t>The radius of the flange cut “</w:t>
      </w:r>
      <w:r w:rsidRPr="007E6F67">
        <w:rPr>
          <w:i/>
          <w:iCs/>
        </w:rPr>
        <w:t>r</w:t>
      </w:r>
      <w:r w:rsidRPr="00FD17CF">
        <w:t xml:space="preserve">” should be taken as </w:t>
      </w:r>
      <w:r w:rsidRPr="006E5507">
        <w:t>given by Formula E.13.</w:t>
      </w:r>
    </w:p>
    <w:p w14:paraId="3B6BA23D" w14:textId="7C165FF1" w:rsidR="006E5507" w:rsidRDefault="006E5507" w:rsidP="006E5507">
      <w:pPr>
        <w:pStyle w:val="Formula"/>
        <w:spacing w:before="240"/>
      </w:pPr>
      <m:oMath>
        <m:r>
          <w:rPr>
            <w:rFonts w:ascii="Cambria Math" w:hAnsi="Cambria Math"/>
          </w:rPr>
          <m:t>r=</m:t>
        </m:r>
        <m:f>
          <m:fPr>
            <m:ctrlPr>
              <w:rPr>
                <w:rFonts w:ascii="Cambria Math" w:hAnsi="Cambria Math"/>
              </w:rPr>
            </m:ctrlPr>
          </m:fPr>
          <m:num>
            <m:r>
              <w:rPr>
                <w:rFonts w:ascii="Cambria Math" w:hAnsi="Cambria Math"/>
              </w:rPr>
              <m:t>4</m:t>
            </m:r>
            <m:sSup>
              <m:sSupPr>
                <m:ctrlPr>
                  <w:rPr>
                    <w:rFonts w:ascii="Cambria Math" w:hAnsi="Cambria Math"/>
                  </w:rPr>
                </m:ctrlPr>
              </m:sSupPr>
              <m:e>
                <m:r>
                  <w:rPr>
                    <w:rFonts w:ascii="Cambria Math" w:hAnsi="Cambria Math"/>
                  </w:rPr>
                  <m:t>c</m:t>
                </m:r>
              </m:e>
              <m:sup>
                <m:r>
                  <w:rPr>
                    <w:rFonts w:ascii="Cambria Math" w:hAnsi="Cambria Math"/>
                  </w:rPr>
                  <m:t>2</m:t>
                </m:r>
              </m:sup>
            </m:sSup>
            <m:r>
              <w:rPr>
                <w:rFonts w:ascii="Cambria Math" w:hAnsi="Cambria Math"/>
              </w:rPr>
              <m:t>+</m:t>
            </m:r>
            <m:sSup>
              <m:sSupPr>
                <m:ctrlPr>
                  <w:rPr>
                    <w:rFonts w:ascii="Cambria Math" w:hAnsi="Cambria Math"/>
                  </w:rPr>
                </m:ctrlPr>
              </m:sSupPr>
              <m:e>
                <m:r>
                  <w:rPr>
                    <w:rFonts w:ascii="Cambria Math" w:hAnsi="Cambria Math"/>
                  </w:rPr>
                  <m:t>b</m:t>
                </m:r>
              </m:e>
              <m:sup>
                <m:r>
                  <w:rPr>
                    <w:rFonts w:ascii="Cambria Math" w:hAnsi="Cambria Math"/>
                  </w:rPr>
                  <m:t>2</m:t>
                </m:r>
              </m:sup>
            </m:sSup>
          </m:num>
          <m:den>
            <m:r>
              <w:rPr>
                <w:rFonts w:ascii="Cambria Math" w:hAnsi="Cambria Math"/>
              </w:rPr>
              <m:t>8c</m:t>
            </m:r>
          </m:den>
        </m:f>
      </m:oMath>
      <w:r w:rsidRPr="00870D59">
        <w:tab/>
        <w:t>(</w:t>
      </w:r>
      <w:r>
        <w:t>E</w:t>
      </w:r>
      <w:r w:rsidRPr="00870D59">
        <w:t>.</w:t>
      </w:r>
      <w:r>
        <w:t>13</w:t>
      </w:r>
      <w:r w:rsidRPr="00870D59">
        <w:t>)</w:t>
      </w:r>
    </w:p>
    <w:p w14:paraId="6564A17A" w14:textId="2D4B6DDF" w:rsidR="006E5507" w:rsidRPr="00FD17CF" w:rsidRDefault="006E5507" w:rsidP="00724E4E">
      <w:pPr>
        <w:pStyle w:val="Clause"/>
      </w:pPr>
      <w:r w:rsidRPr="00D1484A">
        <w:t>A grinding of the cut surface of the beam reduced section</w:t>
      </w:r>
      <w:r w:rsidRPr="007E6F67">
        <w:t xml:space="preserve"> such that the indentations due to flame cutting are removed should be specified.</w:t>
      </w:r>
    </w:p>
    <w:p w14:paraId="6093B3EA" w14:textId="6190797A" w:rsidR="006E5507" w:rsidRPr="00132C1E" w:rsidRDefault="005509D5" w:rsidP="005509D5">
      <w:pPr>
        <w:pStyle w:val="FigureImage"/>
      </w:pPr>
      <w:r>
        <w:rPr>
          <w:noProof/>
        </w:rPr>
        <w:lastRenderedPageBreak/>
        <w:drawing>
          <wp:inline distT="0" distB="0" distL="0" distR="0" wp14:anchorId="7E912B89" wp14:editId="1340837B">
            <wp:extent cx="5039876" cy="3307085"/>
            <wp:effectExtent l="0" t="0" r="0" b="0"/>
            <wp:docPr id="2081949465" name="e016.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1949465" name="e016.tiff"/>
                    <pic:cNvPicPr/>
                  </pic:nvPicPr>
                  <pic:blipFill>
                    <a:blip r:link="rId102"/>
                    <a:stretch>
                      <a:fillRect/>
                    </a:stretch>
                  </pic:blipFill>
                  <pic:spPr>
                    <a:xfrm>
                      <a:off x="0" y="0"/>
                      <a:ext cx="5039876" cy="3307085"/>
                    </a:xfrm>
                    <a:prstGeom prst="rect">
                      <a:avLst/>
                    </a:prstGeom>
                  </pic:spPr>
                </pic:pic>
              </a:graphicData>
            </a:graphic>
          </wp:inline>
        </w:drawing>
      </w:r>
    </w:p>
    <w:p w14:paraId="63F010B6" w14:textId="77777777" w:rsidR="005509D5" w:rsidRPr="00D1484A" w:rsidRDefault="005509D5" w:rsidP="005509D5">
      <w:pPr>
        <w:pStyle w:val="KeyTitle"/>
      </w:pPr>
      <w:r w:rsidRPr="00D1484A">
        <w:t>Key</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7"/>
        <w:gridCol w:w="5243"/>
      </w:tblGrid>
      <w:tr w:rsidR="005509D5" w:rsidRPr="00B5422C" w14:paraId="3443FCC6" w14:textId="77777777" w:rsidTr="00691F56">
        <w:tc>
          <w:tcPr>
            <w:tcW w:w="427" w:type="dxa"/>
          </w:tcPr>
          <w:p w14:paraId="0BBDF880" w14:textId="77777777" w:rsidR="005509D5" w:rsidRPr="00D4445A" w:rsidRDefault="005509D5" w:rsidP="00D4445A">
            <w:pPr>
              <w:pStyle w:val="KeyText"/>
              <w:spacing w:before="0"/>
              <w:rPr>
                <w:iCs/>
              </w:rPr>
            </w:pPr>
            <w:r w:rsidRPr="00D4445A">
              <w:rPr>
                <w:iCs/>
              </w:rPr>
              <w:t>A</w:t>
            </w:r>
          </w:p>
        </w:tc>
        <w:tc>
          <w:tcPr>
            <w:tcW w:w="5243" w:type="dxa"/>
          </w:tcPr>
          <w:p w14:paraId="11F30CF0" w14:textId="77777777" w:rsidR="005509D5" w:rsidRPr="00FD12D8" w:rsidRDefault="005509D5" w:rsidP="00D4445A">
            <w:pPr>
              <w:pStyle w:val="KeyText"/>
              <w:spacing w:before="0"/>
            </w:pPr>
            <w:r>
              <w:t>beam</w:t>
            </w:r>
          </w:p>
        </w:tc>
      </w:tr>
      <w:tr w:rsidR="005509D5" w:rsidRPr="00B5422C" w14:paraId="437AD228" w14:textId="77777777" w:rsidTr="00691F56">
        <w:tc>
          <w:tcPr>
            <w:tcW w:w="427" w:type="dxa"/>
          </w:tcPr>
          <w:p w14:paraId="2F450A81" w14:textId="77777777" w:rsidR="005509D5" w:rsidRPr="00D4445A" w:rsidRDefault="005509D5" w:rsidP="00D4445A">
            <w:pPr>
              <w:pStyle w:val="KeyText"/>
              <w:spacing w:before="0"/>
              <w:rPr>
                <w:iCs/>
              </w:rPr>
            </w:pPr>
            <w:r w:rsidRPr="00D4445A">
              <w:rPr>
                <w:iCs/>
              </w:rPr>
              <w:t>B</w:t>
            </w:r>
          </w:p>
        </w:tc>
        <w:tc>
          <w:tcPr>
            <w:tcW w:w="5243" w:type="dxa"/>
          </w:tcPr>
          <w:p w14:paraId="06B0B0C9" w14:textId="77777777" w:rsidR="005509D5" w:rsidRPr="00FD12D8" w:rsidRDefault="005509D5" w:rsidP="00D4445A">
            <w:pPr>
              <w:pStyle w:val="KeyText"/>
              <w:spacing w:before="0"/>
            </w:pPr>
            <w:r>
              <w:t>column</w:t>
            </w:r>
          </w:p>
        </w:tc>
      </w:tr>
      <w:tr w:rsidR="005509D5" w:rsidRPr="00B5422C" w14:paraId="0380BA76" w14:textId="77777777" w:rsidTr="00691F56">
        <w:tc>
          <w:tcPr>
            <w:tcW w:w="427" w:type="dxa"/>
          </w:tcPr>
          <w:p w14:paraId="59DD18C7" w14:textId="77777777" w:rsidR="005509D5" w:rsidRPr="00D4445A" w:rsidRDefault="005509D5" w:rsidP="00D4445A">
            <w:pPr>
              <w:pStyle w:val="KeyText"/>
              <w:spacing w:before="0"/>
              <w:rPr>
                <w:iCs/>
              </w:rPr>
            </w:pPr>
            <w:r w:rsidRPr="00D4445A">
              <w:rPr>
                <w:iCs/>
              </w:rPr>
              <w:t>C</w:t>
            </w:r>
          </w:p>
        </w:tc>
        <w:tc>
          <w:tcPr>
            <w:tcW w:w="5243" w:type="dxa"/>
          </w:tcPr>
          <w:p w14:paraId="120C78BE" w14:textId="5F56BCFC" w:rsidR="005509D5" w:rsidRPr="00FD12D8" w:rsidRDefault="005509D5" w:rsidP="00D4445A">
            <w:pPr>
              <w:pStyle w:val="KeyText"/>
              <w:spacing w:before="0"/>
              <w:ind w:left="0" w:firstLine="0"/>
            </w:pPr>
            <w:r w:rsidRPr="005509D5">
              <w:t>reduced beam flange</w:t>
            </w:r>
          </w:p>
        </w:tc>
      </w:tr>
      <w:tr w:rsidR="005509D5" w:rsidRPr="00B5422C" w14:paraId="3CC31701" w14:textId="77777777" w:rsidTr="00691F56">
        <w:tc>
          <w:tcPr>
            <w:tcW w:w="427" w:type="dxa"/>
          </w:tcPr>
          <w:p w14:paraId="7C7E0580" w14:textId="77777777" w:rsidR="005509D5" w:rsidRPr="00D4445A" w:rsidRDefault="005509D5" w:rsidP="00D4445A">
            <w:pPr>
              <w:pStyle w:val="KeyText"/>
              <w:spacing w:before="0"/>
              <w:rPr>
                <w:iCs/>
              </w:rPr>
            </w:pPr>
            <w:r w:rsidRPr="00D4445A">
              <w:rPr>
                <w:iCs/>
              </w:rPr>
              <w:t>D</w:t>
            </w:r>
          </w:p>
        </w:tc>
        <w:tc>
          <w:tcPr>
            <w:tcW w:w="5243" w:type="dxa"/>
          </w:tcPr>
          <w:p w14:paraId="09A5E807" w14:textId="6D8A8202" w:rsidR="005509D5" w:rsidRDefault="005509D5" w:rsidP="00D4445A">
            <w:pPr>
              <w:pStyle w:val="KeyText"/>
              <w:spacing w:before="0"/>
              <w:ind w:left="0" w:firstLine="0"/>
            </w:pPr>
            <w:r w:rsidRPr="005509D5">
              <w:t>protected zone</w:t>
            </w:r>
          </w:p>
        </w:tc>
      </w:tr>
    </w:tbl>
    <w:p w14:paraId="1D69F5BF" w14:textId="139D467F" w:rsidR="006E5507" w:rsidRPr="00D1484A" w:rsidRDefault="006E5507" w:rsidP="006E5507">
      <w:pPr>
        <w:pStyle w:val="Figuretitle"/>
      </w:pPr>
      <w:r w:rsidRPr="00132C1E">
        <w:t>Figure E.</w:t>
      </w:r>
      <w:r w:rsidR="00724E4E">
        <w:t>16</w:t>
      </w:r>
      <w:r w:rsidRPr="00132C1E">
        <w:t xml:space="preserve"> — Configurations of joints with </w:t>
      </w:r>
      <w:r w:rsidRPr="00D1484A">
        <w:t>reduced beam section: a) welded connection; (b) bolted connection</w:t>
      </w:r>
    </w:p>
    <w:p w14:paraId="05055CC8" w14:textId="135F2850" w:rsidR="006E5507" w:rsidRPr="00C52095" w:rsidRDefault="006E5507" w:rsidP="00724E4E">
      <w:pPr>
        <w:pStyle w:val="Clause"/>
      </w:pPr>
      <w:r w:rsidRPr="00FD17CF">
        <w:t>The plastic modulus (</w:t>
      </w:r>
      <w:r w:rsidRPr="00E3372D">
        <w:rPr>
          <w:i/>
          <w:iCs/>
        </w:rPr>
        <w:t>W</w:t>
      </w:r>
      <w:r w:rsidRPr="00FD17CF">
        <w:rPr>
          <w:vertAlign w:val="subscript"/>
        </w:rPr>
        <w:t>pl,RBS</w:t>
      </w:r>
      <w:r w:rsidRPr="00FD17CF">
        <w:t>) and the plastic moment (</w:t>
      </w:r>
      <w:r w:rsidRPr="00E3372D">
        <w:rPr>
          <w:i/>
          <w:iCs/>
        </w:rPr>
        <w:t>M</w:t>
      </w:r>
      <w:r w:rsidRPr="00E05E29">
        <w:rPr>
          <w:vertAlign w:val="subscript"/>
        </w:rPr>
        <w:t>pl,Rd,RBS</w:t>
      </w:r>
      <w:r w:rsidRPr="00196951">
        <w:t xml:space="preserve">) of the plastic hinge section at the centre of the RBS should be calculated </w:t>
      </w:r>
      <w:r w:rsidRPr="006E5507">
        <w:t>from Formulas (E.14) and (E.15).</w:t>
      </w:r>
    </w:p>
    <w:p w14:paraId="11AF0C27" w14:textId="1C403626" w:rsidR="006E5507" w:rsidRPr="00870D59" w:rsidRDefault="009B5CEC" w:rsidP="006E5507">
      <w:pPr>
        <w:pStyle w:val="Formula"/>
        <w:spacing w:before="240"/>
      </w:pPr>
      <m:oMath>
        <m:sSub>
          <m:sSubPr>
            <m:ctrlPr>
              <w:rPr>
                <w:rFonts w:ascii="Cambria Math" w:hAnsi="Cambria Math"/>
              </w:rPr>
            </m:ctrlPr>
          </m:sSubPr>
          <m:e>
            <m:r>
              <w:rPr>
                <w:rFonts w:ascii="Cambria Math" w:hAnsi="Cambria Math"/>
              </w:rPr>
              <m:t>W</m:t>
            </m:r>
          </m:e>
          <m:sub>
            <m:r>
              <m:rPr>
                <m:sty m:val="p"/>
              </m:rPr>
              <w:rPr>
                <w:rFonts w:ascii="Cambria Math" w:hAnsi="Cambria Math"/>
              </w:rPr>
              <m:t>pl,RBS</m:t>
            </m:r>
          </m:sub>
        </m:sSub>
        <m:r>
          <w:rPr>
            <w:rFonts w:ascii="Cambria Math" w:hAnsi="Cambria Math"/>
          </w:rPr>
          <m:t>=</m:t>
        </m:r>
        <m:sSub>
          <m:sSubPr>
            <m:ctrlPr>
              <w:rPr>
                <w:rFonts w:ascii="Cambria Math" w:hAnsi="Cambria Math"/>
              </w:rPr>
            </m:ctrlPr>
          </m:sSubPr>
          <m:e>
            <m:r>
              <w:rPr>
                <w:rFonts w:ascii="Cambria Math" w:hAnsi="Cambria Math"/>
              </w:rPr>
              <m:t>W</m:t>
            </m:r>
          </m:e>
          <m:sub>
            <m:r>
              <m:rPr>
                <m:sty m:val="p"/>
              </m:rPr>
              <w:rPr>
                <w:rFonts w:ascii="Cambria Math" w:hAnsi="Cambria Math"/>
              </w:rPr>
              <m:t>pl,b</m:t>
            </m:r>
          </m:sub>
        </m:sSub>
        <m:r>
          <w:rPr>
            <w:rFonts w:ascii="Cambria Math" w:hAnsi="Cambria Math"/>
          </w:rPr>
          <m:t xml:space="preserve">-2 c </m:t>
        </m:r>
        <m:sSub>
          <m:sSubPr>
            <m:ctrlPr>
              <w:rPr>
                <w:rFonts w:ascii="Cambria Math" w:hAnsi="Cambria Math"/>
              </w:rPr>
            </m:ctrlPr>
          </m:sSubPr>
          <m:e>
            <m:r>
              <w:rPr>
                <w:rFonts w:ascii="Cambria Math" w:hAnsi="Cambria Math"/>
              </w:rPr>
              <m:t>t</m:t>
            </m:r>
          </m:e>
          <m:sub>
            <m:r>
              <m:rPr>
                <m:sty m:val="p"/>
              </m:rPr>
              <w:rPr>
                <w:rFonts w:ascii="Cambria Math" w:hAnsi="Cambria Math"/>
              </w:rPr>
              <m:t>f</m:t>
            </m:r>
          </m:sub>
        </m:sSub>
        <m:r>
          <w:rPr>
            <w:rFonts w:ascii="Cambria Math" w:hAnsi="Cambria Math"/>
          </w:rPr>
          <m:t xml:space="preserve"> </m:t>
        </m:r>
        <m:d>
          <m:dPr>
            <m:ctrlPr>
              <w:rPr>
                <w:rFonts w:ascii="Cambria Math" w:hAnsi="Cambria Math"/>
              </w:rPr>
            </m:ctrlPr>
          </m:dPr>
          <m:e>
            <m:sSub>
              <m:sSubPr>
                <m:ctrlPr>
                  <w:rPr>
                    <w:rFonts w:ascii="Cambria Math" w:hAnsi="Cambria Math"/>
                  </w:rPr>
                </m:ctrlPr>
              </m:sSubPr>
              <m:e>
                <m:r>
                  <w:rPr>
                    <w:rFonts w:ascii="Cambria Math" w:hAnsi="Cambria Math"/>
                  </w:rPr>
                  <m:t>d</m:t>
                </m:r>
              </m:e>
              <m:sub>
                <m:r>
                  <m:rPr>
                    <m:sty m:val="p"/>
                  </m:rPr>
                  <w:rPr>
                    <w:rFonts w:ascii="Cambria Math" w:hAnsi="Cambria Math"/>
                  </w:rPr>
                  <m:t>b</m:t>
                </m:r>
              </m:sub>
            </m:sSub>
            <m:r>
              <w:rPr>
                <w:rFonts w:ascii="Cambria Math" w:hAnsi="Cambria Math"/>
              </w:rPr>
              <m:t>-</m:t>
            </m:r>
            <m:sSub>
              <m:sSubPr>
                <m:ctrlPr>
                  <w:rPr>
                    <w:rFonts w:ascii="Cambria Math" w:hAnsi="Cambria Math"/>
                  </w:rPr>
                </m:ctrlPr>
              </m:sSubPr>
              <m:e>
                <m:r>
                  <w:rPr>
                    <w:rFonts w:ascii="Cambria Math" w:hAnsi="Cambria Math"/>
                  </w:rPr>
                  <m:t>t</m:t>
                </m:r>
              </m:e>
              <m:sub>
                <m:r>
                  <m:rPr>
                    <m:sty m:val="p"/>
                  </m:rPr>
                  <w:rPr>
                    <w:rFonts w:ascii="Cambria Math" w:hAnsi="Cambria Math"/>
                  </w:rPr>
                  <m:t>f</m:t>
                </m:r>
              </m:sub>
            </m:sSub>
          </m:e>
        </m:d>
        <m:r>
          <w:rPr>
            <w:rFonts w:ascii="Cambria Math" w:hAnsi="Cambria Math"/>
          </w:rPr>
          <m:t xml:space="preserve"> </m:t>
        </m:r>
      </m:oMath>
      <w:r w:rsidR="006E5507">
        <w:t xml:space="preserve"> </w:t>
      </w:r>
      <w:r w:rsidR="006E5507" w:rsidRPr="00870D59">
        <w:tab/>
        <w:t>(</w:t>
      </w:r>
      <w:r w:rsidR="006E5507">
        <w:t>E</w:t>
      </w:r>
      <w:r w:rsidR="006E5507" w:rsidRPr="00870D59">
        <w:t>.</w:t>
      </w:r>
      <w:r w:rsidR="006E5507">
        <w:t>14</w:t>
      </w:r>
      <w:r w:rsidR="006E5507" w:rsidRPr="00870D59">
        <w:t>)</w:t>
      </w:r>
    </w:p>
    <w:p w14:paraId="19366F70" w14:textId="6ABA5481" w:rsidR="006E5507" w:rsidRPr="00870D59" w:rsidRDefault="009B5CEC" w:rsidP="006E5507">
      <w:pPr>
        <w:pStyle w:val="Formula"/>
        <w:spacing w:before="240"/>
      </w:pPr>
      <m:oMath>
        <m:sSub>
          <m:sSubPr>
            <m:ctrlPr>
              <w:rPr>
                <w:rFonts w:ascii="Cambria Math" w:hAnsi="Cambria Math"/>
              </w:rPr>
            </m:ctrlPr>
          </m:sSubPr>
          <m:e>
            <m:r>
              <w:rPr>
                <w:rFonts w:ascii="Cambria Math" w:hAnsi="Cambria Math"/>
              </w:rPr>
              <m:t>M</m:t>
            </m:r>
          </m:e>
          <m:sub>
            <m:r>
              <m:rPr>
                <m:sty m:val="p"/>
              </m:rPr>
              <w:rPr>
                <w:rFonts w:ascii="Cambria Math" w:hAnsi="Cambria Math"/>
              </w:rPr>
              <m:t>pl,Rd,RBS</m:t>
            </m:r>
          </m:sub>
        </m:sSub>
        <m:r>
          <w:rPr>
            <w:rFonts w:ascii="Cambria Math" w:hAnsi="Cambria Math"/>
          </w:rPr>
          <m:t>=</m:t>
        </m:r>
        <m:sSub>
          <m:sSubPr>
            <m:ctrlPr>
              <w:rPr>
                <w:rFonts w:ascii="Cambria Math" w:hAnsi="Cambria Math"/>
              </w:rPr>
            </m:ctrlPr>
          </m:sSubPr>
          <m:e>
            <m:r>
              <w:rPr>
                <w:rFonts w:ascii="Cambria Math" w:hAnsi="Cambria Math"/>
              </w:rPr>
              <m:t>W</m:t>
            </m:r>
          </m:e>
          <m:sub>
            <m:r>
              <m:rPr>
                <m:sty m:val="p"/>
              </m:rPr>
              <w:rPr>
                <w:rFonts w:ascii="Cambria Math" w:hAnsi="Cambria Math"/>
              </w:rPr>
              <m:t>pl,RBS</m:t>
            </m:r>
          </m:sub>
        </m:sSub>
        <m:r>
          <w:rPr>
            <w:rFonts w:ascii="Cambria Math" w:hAnsi="Cambria Math"/>
          </w:rPr>
          <m:t xml:space="preserve"> </m:t>
        </m:r>
        <m:f>
          <m:fPr>
            <m:type m:val="lin"/>
            <m:ctrlPr>
              <w:rPr>
                <w:rFonts w:ascii="Cambria Math" w:hAnsi="Cambria Math"/>
              </w:rPr>
            </m:ctrlPr>
          </m:fPr>
          <m:num>
            <m:sSub>
              <m:sSubPr>
                <m:ctrlPr>
                  <w:rPr>
                    <w:rFonts w:ascii="Cambria Math" w:hAnsi="Cambria Math"/>
                  </w:rPr>
                </m:ctrlPr>
              </m:sSubPr>
              <m:e>
                <m:r>
                  <w:rPr>
                    <w:rFonts w:ascii="Cambria Math" w:hAnsi="Cambria Math"/>
                  </w:rPr>
                  <m:t>f</m:t>
                </m:r>
              </m:e>
              <m:sub>
                <m:r>
                  <m:rPr>
                    <m:sty m:val="p"/>
                  </m:rPr>
                  <w:rPr>
                    <w:rFonts w:ascii="Cambria Math" w:hAnsi="Cambria Math"/>
                  </w:rPr>
                  <m:t>y,b</m:t>
                </m:r>
              </m:sub>
            </m:sSub>
          </m:num>
          <m:den>
            <m:sSub>
              <m:sSubPr>
                <m:ctrlPr>
                  <w:rPr>
                    <w:rFonts w:ascii="Cambria Math" w:hAnsi="Cambria Math"/>
                  </w:rPr>
                </m:ctrlPr>
              </m:sSubPr>
              <m:e>
                <m:r>
                  <w:rPr>
                    <w:rFonts w:ascii="Cambria Math" w:hAnsi="Cambria Math"/>
                  </w:rPr>
                  <m:t>γ</m:t>
                </m:r>
              </m:e>
              <m:sub>
                <m:r>
                  <m:rPr>
                    <m:sty m:val="p"/>
                  </m:rPr>
                  <w:rPr>
                    <w:rFonts w:ascii="Cambria Math" w:hAnsi="Cambria Math"/>
                  </w:rPr>
                  <m:t>M0</m:t>
                </m:r>
              </m:sub>
            </m:sSub>
          </m:den>
        </m:f>
        <m:r>
          <w:rPr>
            <w:rFonts w:ascii="Cambria Math" w:hAnsi="Cambria Math"/>
          </w:rPr>
          <m:t xml:space="preserve"> </m:t>
        </m:r>
      </m:oMath>
      <w:r w:rsidR="006E5507" w:rsidRPr="00870D59">
        <w:tab/>
        <w:t>(</w:t>
      </w:r>
      <w:r w:rsidR="006E5507">
        <w:t>E</w:t>
      </w:r>
      <w:r w:rsidR="006E5507" w:rsidRPr="00870D59">
        <w:t>.</w:t>
      </w:r>
      <w:r w:rsidR="006E5507">
        <w:t>15</w:t>
      </w:r>
      <w:r w:rsidR="006E5507" w:rsidRPr="00870D59">
        <w:t>)</w:t>
      </w:r>
    </w:p>
    <w:p w14:paraId="0371FCC7" w14:textId="41246123" w:rsidR="006E5507" w:rsidRDefault="00675EBA" w:rsidP="006E5507">
      <w:pPr>
        <w:pStyle w:val="Text"/>
      </w:pPr>
      <w:r>
        <w:t>where</w:t>
      </w:r>
    </w:p>
    <w:tbl>
      <w:tblPr>
        <w:tblW w:w="0" w:type="auto"/>
        <w:tblInd w:w="346" w:type="dxa"/>
        <w:tblLook w:val="04A0" w:firstRow="1" w:lastRow="0" w:firstColumn="1" w:lastColumn="0" w:noHBand="0" w:noVBand="1"/>
      </w:tblPr>
      <w:tblGrid>
        <w:gridCol w:w="1275"/>
        <w:gridCol w:w="7938"/>
      </w:tblGrid>
      <w:tr w:rsidR="006E5507" w:rsidRPr="00870D59" w14:paraId="50D30D76" w14:textId="77777777" w:rsidTr="00691F56">
        <w:tc>
          <w:tcPr>
            <w:tcW w:w="1275" w:type="dxa"/>
          </w:tcPr>
          <w:p w14:paraId="28F3E398" w14:textId="40B29724" w:rsidR="006E5507" w:rsidRPr="00870D59" w:rsidRDefault="006E5507" w:rsidP="002061E5">
            <w:pPr>
              <w:spacing w:after="60"/>
              <w:rPr>
                <w:rFonts w:eastAsia="Times New Roman" w:cs="Cambria"/>
                <w:szCs w:val="20"/>
                <w:lang w:eastAsia="fr-FR"/>
              </w:rPr>
            </w:pPr>
            <w:r w:rsidRPr="00FD17CF">
              <w:rPr>
                <w:i/>
                <w:iCs/>
              </w:rPr>
              <w:t>W</w:t>
            </w:r>
            <w:r w:rsidRPr="00FD17CF">
              <w:rPr>
                <w:vertAlign w:val="subscript"/>
              </w:rPr>
              <w:t>pl,b</w:t>
            </w:r>
          </w:p>
        </w:tc>
        <w:tc>
          <w:tcPr>
            <w:tcW w:w="7938" w:type="dxa"/>
          </w:tcPr>
          <w:p w14:paraId="2F6F0301" w14:textId="57488307" w:rsidR="006E5507" w:rsidRPr="00870D59" w:rsidRDefault="006E5507" w:rsidP="002061E5">
            <w:pPr>
              <w:spacing w:after="60"/>
              <w:rPr>
                <w:rFonts w:eastAsia="Times New Roman" w:cs="Cambria"/>
                <w:szCs w:val="20"/>
                <w:lang w:eastAsia="fr-FR"/>
              </w:rPr>
            </w:pPr>
            <w:r w:rsidRPr="00132C1E">
              <w:t>is the plastic modulus of the beam;</w:t>
            </w:r>
          </w:p>
        </w:tc>
      </w:tr>
      <w:tr w:rsidR="006E5507" w:rsidRPr="00870D59" w14:paraId="3C5735C0" w14:textId="77777777" w:rsidTr="00691F56">
        <w:tc>
          <w:tcPr>
            <w:tcW w:w="1275" w:type="dxa"/>
          </w:tcPr>
          <w:p w14:paraId="1B30964F" w14:textId="118F9108" w:rsidR="006E5507" w:rsidRPr="00FD17CF" w:rsidRDefault="006E5507" w:rsidP="002061E5">
            <w:pPr>
              <w:spacing w:after="60"/>
              <w:rPr>
                <w:i/>
                <w:iCs/>
              </w:rPr>
            </w:pPr>
            <w:r w:rsidRPr="00132C1E">
              <w:rPr>
                <w:i/>
                <w:iCs/>
              </w:rPr>
              <w:t>f</w:t>
            </w:r>
            <w:r w:rsidRPr="00132C1E">
              <w:rPr>
                <w:vertAlign w:val="subscript"/>
              </w:rPr>
              <w:t>y,b</w:t>
            </w:r>
          </w:p>
        </w:tc>
        <w:tc>
          <w:tcPr>
            <w:tcW w:w="7938" w:type="dxa"/>
          </w:tcPr>
          <w:p w14:paraId="32031C08" w14:textId="1C5192A0" w:rsidR="006E5507" w:rsidRPr="00870D59" w:rsidRDefault="006E5507" w:rsidP="002061E5">
            <w:pPr>
              <w:spacing w:after="60"/>
              <w:rPr>
                <w:rFonts w:eastAsia="Times New Roman" w:cs="Cambria"/>
                <w:szCs w:val="20"/>
                <w:lang w:eastAsia="fr-FR"/>
              </w:rPr>
            </w:pPr>
            <w:r w:rsidRPr="00132C1E">
              <w:t>is the yield strength of the steel in the beam;</w:t>
            </w:r>
          </w:p>
        </w:tc>
      </w:tr>
      <w:tr w:rsidR="006E5507" w:rsidRPr="00870D59" w14:paraId="37889542" w14:textId="77777777" w:rsidTr="00691F56">
        <w:tc>
          <w:tcPr>
            <w:tcW w:w="1275" w:type="dxa"/>
          </w:tcPr>
          <w:p w14:paraId="4BB84860" w14:textId="60A5D1F4" w:rsidR="006E5507" w:rsidRPr="00870D59" w:rsidRDefault="006E5507" w:rsidP="002061E5">
            <w:pPr>
              <w:spacing w:after="60"/>
              <w:rPr>
                <w:i/>
                <w:color w:val="000000" w:themeColor="text1"/>
              </w:rPr>
            </w:pPr>
            <w:r w:rsidRPr="00132C1E">
              <w:rPr>
                <w:i/>
                <w:iCs/>
              </w:rPr>
              <w:t>t</w:t>
            </w:r>
            <w:r w:rsidRPr="00132C1E">
              <w:rPr>
                <w:vertAlign w:val="subscript"/>
              </w:rPr>
              <w:t>f</w:t>
            </w:r>
          </w:p>
        </w:tc>
        <w:tc>
          <w:tcPr>
            <w:tcW w:w="7938" w:type="dxa"/>
          </w:tcPr>
          <w:p w14:paraId="77BD62EA" w14:textId="68E80981" w:rsidR="006E5507" w:rsidRPr="00870D59" w:rsidRDefault="006E5507" w:rsidP="002061E5">
            <w:pPr>
              <w:spacing w:after="60"/>
              <w:rPr>
                <w:color w:val="000000" w:themeColor="text1"/>
              </w:rPr>
            </w:pPr>
            <w:r w:rsidRPr="00132C1E">
              <w:t>is the thickness of the beam flange.</w:t>
            </w:r>
          </w:p>
        </w:tc>
      </w:tr>
    </w:tbl>
    <w:p w14:paraId="36AACAFE" w14:textId="449A3F0F" w:rsidR="00CB3786" w:rsidRPr="00132C1E" w:rsidRDefault="00CB3786" w:rsidP="00724E4E">
      <w:pPr>
        <w:pStyle w:val="Clause"/>
      </w:pPr>
      <w:r w:rsidRPr="00132C1E">
        <w:t xml:space="preserve">The distance </w:t>
      </w:r>
      <w:r w:rsidRPr="00132C1E">
        <w:rPr>
          <w:i/>
          <w:iCs/>
        </w:rPr>
        <w:t>s</w:t>
      </w:r>
      <w:r w:rsidRPr="00132C1E">
        <w:rPr>
          <w:vertAlign w:val="subscript"/>
        </w:rPr>
        <w:t>h,c</w:t>
      </w:r>
      <w:r w:rsidRPr="00132C1E">
        <w:t xml:space="preserve"> between the column face and the intended plastic hinge section at the centre of the RBS should be taken as given by </w:t>
      </w:r>
      <w:r w:rsidRPr="00CB3786">
        <w:t>Formulas (E.16) and (E.17).</w:t>
      </w:r>
    </w:p>
    <w:p w14:paraId="38704567" w14:textId="225D8AC8" w:rsidR="00CB3786" w:rsidRPr="00870D59" w:rsidRDefault="009B5CEC" w:rsidP="00CB3786">
      <w:pPr>
        <w:pStyle w:val="Formula"/>
        <w:spacing w:before="240"/>
      </w:pPr>
      <m:oMath>
        <m:sSub>
          <m:sSubPr>
            <m:ctrlPr>
              <w:rPr>
                <w:rFonts w:ascii="Cambria Math" w:hAnsi="Cambria Math"/>
              </w:rPr>
            </m:ctrlPr>
          </m:sSubPr>
          <m:e>
            <m:r>
              <w:rPr>
                <w:rFonts w:ascii="Cambria Math" w:hAnsi="Cambria Math"/>
              </w:rPr>
              <m:t>s</m:t>
            </m:r>
          </m:e>
          <m:sub>
            <m:r>
              <m:rPr>
                <m:sty m:val="p"/>
              </m:rPr>
              <w:rPr>
                <w:rFonts w:ascii="Cambria Math" w:hAnsi="Cambria Math"/>
              </w:rPr>
              <m:t>h,c</m:t>
            </m:r>
          </m:sub>
        </m:sSub>
        <m:r>
          <w:rPr>
            <w:rFonts w:ascii="Cambria Math" w:hAnsi="Cambria Math"/>
          </w:rPr>
          <m:t>=</m:t>
        </m:r>
        <m:d>
          <m:dPr>
            <m:ctrlPr>
              <w:rPr>
                <w:rFonts w:ascii="Cambria Math" w:hAnsi="Cambria Math"/>
              </w:rPr>
            </m:ctrlPr>
          </m:dPr>
          <m:e>
            <m:r>
              <w:rPr>
                <w:rFonts w:ascii="Cambria Math" w:hAnsi="Cambria Math"/>
              </w:rPr>
              <m:t>a+0,5b</m:t>
            </m:r>
          </m:e>
        </m:d>
        <m:r>
          <m:rPr>
            <m:sty m:val="p"/>
          </m:rPr>
          <w:rPr>
            <w:rFonts w:ascii="Cambria Math" w:hAnsi="Cambria Math"/>
          </w:rPr>
          <m:t xml:space="preserve">            for welded connections</m:t>
        </m:r>
      </m:oMath>
      <w:r w:rsidR="00CB3786" w:rsidRPr="00870D59">
        <w:tab/>
        <w:t>(</w:t>
      </w:r>
      <w:r w:rsidR="00CB3786">
        <w:t>E</w:t>
      </w:r>
      <w:r w:rsidR="00CB3786" w:rsidRPr="00870D59">
        <w:t>.</w:t>
      </w:r>
      <w:r w:rsidR="00CB3786">
        <w:t>16</w:t>
      </w:r>
      <w:r w:rsidR="00CB3786" w:rsidRPr="00870D59">
        <w:t>)</w:t>
      </w:r>
    </w:p>
    <w:p w14:paraId="4623462D" w14:textId="6ECA0371" w:rsidR="00CB3786" w:rsidRPr="00870D59" w:rsidRDefault="009B5CEC" w:rsidP="00CB3786">
      <w:pPr>
        <w:pStyle w:val="Formula"/>
        <w:spacing w:before="240"/>
      </w:pPr>
      <m:oMath>
        <m:sSub>
          <m:sSubPr>
            <m:ctrlPr>
              <w:rPr>
                <w:rFonts w:ascii="Cambria Math" w:hAnsi="Cambria Math"/>
              </w:rPr>
            </m:ctrlPr>
          </m:sSubPr>
          <m:e>
            <m:r>
              <w:rPr>
                <w:rFonts w:ascii="Cambria Math" w:hAnsi="Cambria Math"/>
              </w:rPr>
              <m:t>s</m:t>
            </m:r>
          </m:e>
          <m:sub>
            <m:r>
              <m:rPr>
                <m:sty m:val="p"/>
              </m:rPr>
              <w:rPr>
                <w:rFonts w:ascii="Cambria Math" w:hAnsi="Cambria Math"/>
              </w:rPr>
              <m:t>h,c</m:t>
            </m:r>
          </m:sub>
        </m:sSub>
        <m:r>
          <w:rPr>
            <w:rFonts w:ascii="Cambria Math" w:hAnsi="Cambria Math"/>
          </w:rPr>
          <m:t>=</m:t>
        </m:r>
        <m:d>
          <m:dPr>
            <m:ctrlPr>
              <w:rPr>
                <w:rFonts w:ascii="Cambria Math" w:hAnsi="Cambria Math"/>
              </w:rPr>
            </m:ctrlPr>
          </m:dPr>
          <m:e>
            <m:r>
              <w:rPr>
                <w:rFonts w:ascii="Cambria Math" w:hAnsi="Cambria Math"/>
              </w:rPr>
              <m:t>a+0,5b+</m:t>
            </m:r>
            <m:sSub>
              <m:sSubPr>
                <m:ctrlPr>
                  <w:rPr>
                    <w:rFonts w:ascii="Cambria Math" w:hAnsi="Cambria Math"/>
                  </w:rPr>
                </m:ctrlPr>
              </m:sSubPr>
              <m:e>
                <m:r>
                  <w:rPr>
                    <w:rFonts w:ascii="Cambria Math" w:hAnsi="Cambria Math"/>
                  </w:rPr>
                  <m:t>t</m:t>
                </m:r>
              </m:e>
              <m:sub>
                <m:r>
                  <m:rPr>
                    <m:sty m:val="p"/>
                  </m:rPr>
                  <w:rPr>
                    <w:rFonts w:ascii="Cambria Math" w:hAnsi="Cambria Math"/>
                  </w:rPr>
                  <m:t>p</m:t>
                </m:r>
              </m:sub>
            </m:sSub>
          </m:e>
        </m:d>
        <m:r>
          <w:rPr>
            <w:rFonts w:ascii="Cambria Math"/>
          </w:rPr>
          <m:t xml:space="preserve">  </m:t>
        </m:r>
        <m:r>
          <m:rPr>
            <m:sty m:val="p"/>
          </m:rPr>
          <w:rPr>
            <w:rFonts w:ascii="Cambria Math" w:hAnsi="Cambria Math"/>
          </w:rPr>
          <m:t xml:space="preserve"> for bolted connections</m:t>
        </m:r>
      </m:oMath>
      <w:r w:rsidR="00CB3786" w:rsidRPr="00870D59">
        <w:tab/>
        <w:t>(</w:t>
      </w:r>
      <w:r w:rsidR="00CB3786">
        <w:t>E</w:t>
      </w:r>
      <w:r w:rsidR="00CB3786" w:rsidRPr="00870D59">
        <w:t>.</w:t>
      </w:r>
      <w:r w:rsidR="00CB3786">
        <w:t>17</w:t>
      </w:r>
      <w:r w:rsidR="00CB3786" w:rsidRPr="00870D59">
        <w:t>)</w:t>
      </w:r>
    </w:p>
    <w:p w14:paraId="0058B89B" w14:textId="77777777" w:rsidR="00CB3786" w:rsidRPr="00FD17CF" w:rsidRDefault="00CB3786" w:rsidP="00724E4E">
      <w:pPr>
        <w:pStyle w:val="Text"/>
      </w:pPr>
      <w:r w:rsidRPr="00D1484A">
        <w:t xml:space="preserve">where </w:t>
      </w:r>
      <w:r w:rsidRPr="007E6F67">
        <w:rPr>
          <w:i/>
          <w:iCs/>
        </w:rPr>
        <w:t>t</w:t>
      </w:r>
      <w:r w:rsidRPr="00FD17CF">
        <w:rPr>
          <w:vertAlign w:val="subscript"/>
        </w:rPr>
        <w:t>p</w:t>
      </w:r>
      <w:r w:rsidRPr="00FD17CF">
        <w:t xml:space="preserve"> is the thickness of the end plate in bolted connections</w:t>
      </w:r>
      <w:r>
        <w:t>.</w:t>
      </w:r>
    </w:p>
    <w:p w14:paraId="66AEBF6A" w14:textId="1DC2CCC6" w:rsidR="00CB3786" w:rsidRPr="00132C1E" w:rsidRDefault="00CB3786" w:rsidP="00724E4E">
      <w:pPr>
        <w:pStyle w:val="Clause"/>
      </w:pPr>
      <w:r w:rsidRPr="00E05E29">
        <w:t xml:space="preserve">Welded and bolted connections with RBS should be designed as full strength in accordance with </w:t>
      </w:r>
      <w:r w:rsidRPr="00CB3786">
        <w:t>Formula E.1; their resistance should be calculated in accordance with pr</w:t>
      </w:r>
      <w:r w:rsidR="00C30FF9">
        <w:t>EN 1</w:t>
      </w:r>
      <w:r w:rsidRPr="00CB3786">
        <w:t xml:space="preserve">993-1-8 and the assumptions in </w:t>
      </w:r>
      <w:r w:rsidRPr="00835C82">
        <w:t>E.3.3.6(7)</w:t>
      </w:r>
      <w:r w:rsidRPr="00CB3786">
        <w:t>.</w:t>
      </w:r>
    </w:p>
    <w:p w14:paraId="58F22CAF" w14:textId="6B98B01F" w:rsidR="00CB3786" w:rsidRPr="00132C1E" w:rsidRDefault="00CB3786" w:rsidP="00724E4E">
      <w:pPr>
        <w:pStyle w:val="Clause"/>
      </w:pPr>
      <w:r w:rsidRPr="00132C1E">
        <w:t>Both welded and bolted connections with RBS may be used.</w:t>
      </w:r>
    </w:p>
    <w:p w14:paraId="5DA9225E" w14:textId="5BA9929E" w:rsidR="00CB3786" w:rsidRPr="00132C1E" w:rsidRDefault="00CB3786" w:rsidP="00724E4E">
      <w:pPr>
        <w:pStyle w:val="Clause"/>
      </w:pPr>
      <w:r w:rsidRPr="00CB3786">
        <w:t>E</w:t>
      </w:r>
      <w:r w:rsidRPr="00835C82">
        <w:t>.3.3.4(6)</w:t>
      </w:r>
      <w:r w:rsidRPr="00CB3786">
        <w:t xml:space="preserve"> should </w:t>
      </w:r>
      <w:r w:rsidRPr="00132C1E">
        <w:t>be applied.</w:t>
      </w:r>
    </w:p>
    <w:p w14:paraId="403B55EB" w14:textId="660E552A" w:rsidR="00CB3786" w:rsidRPr="00132C1E" w:rsidRDefault="00CB3786" w:rsidP="00724E4E">
      <w:pPr>
        <w:pStyle w:val="Clause"/>
      </w:pPr>
      <w:r w:rsidRPr="00132C1E">
        <w:t xml:space="preserve">Beams should comply with </w:t>
      </w:r>
      <w:r w:rsidRPr="00835C82">
        <w:t>E.3.3.6(10)</w:t>
      </w:r>
      <w:r w:rsidRPr="00CB3786">
        <w:t>.</w:t>
      </w:r>
    </w:p>
    <w:p w14:paraId="3F5BEA31" w14:textId="4EE62B7C" w:rsidR="00CB3786" w:rsidRDefault="00CB3786" w:rsidP="00724E4E">
      <w:pPr>
        <w:pStyle w:val="Clause"/>
      </w:pPr>
      <w:r w:rsidRPr="00132C1E">
        <w:t xml:space="preserve">Lateral bracings should be used to restrain the beam section close to the dog-bone zone against lateral torsional buckling. The stable length </w:t>
      </w:r>
      <w:r w:rsidRPr="00132C1E">
        <w:rPr>
          <w:i/>
          <w:iCs/>
        </w:rPr>
        <w:t>L</w:t>
      </w:r>
      <w:r w:rsidRPr="00132C1E">
        <w:rPr>
          <w:vertAlign w:val="subscript"/>
        </w:rPr>
        <w:t>st</w:t>
      </w:r>
      <w:r w:rsidRPr="00132C1E">
        <w:t xml:space="preserve"> should be taken equal to the length of the protected zone (</w:t>
      </w:r>
      <w:r w:rsidRPr="00CB3786">
        <w:t>see Figure E.16), as given by Formula (E.18).</w:t>
      </w:r>
    </w:p>
    <w:p w14:paraId="47298137" w14:textId="3F384FDE" w:rsidR="00CB3786" w:rsidRPr="00870D59" w:rsidRDefault="009B5CEC" w:rsidP="00CB3786">
      <w:pPr>
        <w:pStyle w:val="Formula"/>
        <w:spacing w:before="240"/>
      </w:pPr>
      <m:oMath>
        <m:sSub>
          <m:sSubPr>
            <m:ctrlPr>
              <w:rPr>
                <w:rFonts w:ascii="Cambria Math" w:hAnsi="Cambria Math"/>
              </w:rPr>
            </m:ctrlPr>
          </m:sSubPr>
          <m:e>
            <m:r>
              <w:rPr>
                <w:rFonts w:ascii="Cambria Math" w:hAnsi="Cambria Math"/>
              </w:rPr>
              <m:t>L</m:t>
            </m:r>
          </m:e>
          <m:sub>
            <m:r>
              <m:rPr>
                <m:sty m:val="p"/>
              </m:rPr>
              <w:rPr>
                <w:rFonts w:ascii="Cambria Math" w:hAnsi="Cambria Math"/>
              </w:rPr>
              <m:t>st</m:t>
            </m:r>
          </m:sub>
        </m:sSub>
        <m:r>
          <w:rPr>
            <w:rFonts w:ascii="Cambria Math" w:hAnsi="Cambria Math"/>
          </w:rPr>
          <m:t>=</m:t>
        </m:r>
        <m:d>
          <m:dPr>
            <m:ctrlPr>
              <w:rPr>
                <w:rFonts w:ascii="Cambria Math" w:hAnsi="Cambria Math"/>
              </w:rPr>
            </m:ctrlPr>
          </m:dPr>
          <m:e>
            <m:r>
              <w:rPr>
                <w:rFonts w:ascii="Cambria Math" w:hAnsi="Cambria Math"/>
              </w:rPr>
              <m:t>2a+b</m:t>
            </m:r>
          </m:e>
        </m:d>
      </m:oMath>
      <w:r w:rsidR="00CB3786" w:rsidRPr="00870D59">
        <w:tab/>
        <w:t>(</w:t>
      </w:r>
      <w:r w:rsidR="00CB3786">
        <w:t>E</w:t>
      </w:r>
      <w:r w:rsidR="00CB3786" w:rsidRPr="00870D59">
        <w:t>.</w:t>
      </w:r>
      <w:r w:rsidR="00CB3786">
        <w:t>18</w:t>
      </w:r>
      <w:r w:rsidR="00CB3786" w:rsidRPr="00870D59">
        <w:t>)</w:t>
      </w:r>
    </w:p>
    <w:p w14:paraId="23B354F9" w14:textId="3948FE7D" w:rsidR="00CB3786" w:rsidRPr="00FD17CF" w:rsidRDefault="00CB3786" w:rsidP="00CB3786">
      <w:pPr>
        <w:pStyle w:val="Notetext"/>
      </w:pPr>
      <w:r w:rsidRPr="00D1484A">
        <w:t>NOTE</w:t>
      </w:r>
      <w:r>
        <w:tab/>
      </w:r>
      <w:r w:rsidRPr="00D1484A">
        <w:t>For joints with RBS</w:t>
      </w:r>
      <w:r w:rsidRPr="00CB3786">
        <w:t xml:space="preserve">, Formula (11.6) is not </w:t>
      </w:r>
      <w:r w:rsidRPr="00FD17CF">
        <w:t>valid.</w:t>
      </w:r>
    </w:p>
    <w:p w14:paraId="31CFA0F6" w14:textId="6F1F1E38" w:rsidR="00CB3786" w:rsidRPr="002144A0" w:rsidRDefault="00CB3786" w:rsidP="00724E4E">
      <w:pPr>
        <w:pStyle w:val="Clause"/>
      </w:pPr>
      <w:r w:rsidRPr="00E05E29">
        <w:t xml:space="preserve">Columns should comply </w:t>
      </w:r>
      <w:r w:rsidRPr="00CB3786">
        <w:t xml:space="preserve">with </w:t>
      </w:r>
      <w:r w:rsidRPr="00835C82">
        <w:t>E.3.3.5(9)</w:t>
      </w:r>
      <w:r w:rsidRPr="00CB3786">
        <w:t>.</w:t>
      </w:r>
    </w:p>
    <w:p w14:paraId="055EC24E" w14:textId="17D732F2" w:rsidR="00CB3786" w:rsidRPr="00132C1E" w:rsidRDefault="00CB3786" w:rsidP="00724E4E">
      <w:pPr>
        <w:pStyle w:val="Clause"/>
      </w:pPr>
      <w:r w:rsidRPr="004F25D7">
        <w:t xml:space="preserve">If supplementary web plates are necessary, they should comply with </w:t>
      </w:r>
      <w:r w:rsidRPr="00835C82">
        <w:t>E.3.3.2</w:t>
      </w:r>
      <w:r w:rsidRPr="007754C9">
        <w:t>.</w:t>
      </w:r>
    </w:p>
    <w:p w14:paraId="1F50E203" w14:textId="35CA3745" w:rsidR="00CB3786" w:rsidRPr="00132C1E" w:rsidRDefault="00CB3786" w:rsidP="00724E4E">
      <w:pPr>
        <w:pStyle w:val="Clause"/>
      </w:pPr>
      <w:r w:rsidRPr="00132C1E">
        <w:t xml:space="preserve">Continuity plates should comply </w:t>
      </w:r>
      <w:r w:rsidRPr="00CB3786">
        <w:t xml:space="preserve">with </w:t>
      </w:r>
      <w:r w:rsidRPr="00835C82">
        <w:t xml:space="preserve">E.3.3.2(5) </w:t>
      </w:r>
      <w:r w:rsidRPr="00CB3786">
        <w:t>and</w:t>
      </w:r>
      <w:r w:rsidRPr="00835C82">
        <w:t xml:space="preserve"> E.3.3.2(6)</w:t>
      </w:r>
      <w:r w:rsidRPr="00CB3786">
        <w:t>.</w:t>
      </w:r>
    </w:p>
    <w:p w14:paraId="7CFB3EFD" w14:textId="29B7253D" w:rsidR="00CB3786" w:rsidRPr="00132C1E" w:rsidRDefault="00CB3786" w:rsidP="00724E4E">
      <w:pPr>
        <w:pStyle w:val="Clause"/>
      </w:pPr>
      <w:r w:rsidRPr="00132C1E">
        <w:t xml:space="preserve">The types of welds to be used should comply </w:t>
      </w:r>
      <w:r w:rsidRPr="00CB3786">
        <w:t xml:space="preserve">with </w:t>
      </w:r>
      <w:r w:rsidRPr="00835C82">
        <w:t>E.3.3.6(14)</w:t>
      </w:r>
      <w:r w:rsidRPr="00132C1E">
        <w:t>.</w:t>
      </w:r>
    </w:p>
    <w:p w14:paraId="4DAC6F10" w14:textId="721C6076" w:rsidR="00CB3786" w:rsidRPr="00132C1E" w:rsidRDefault="00CB3786" w:rsidP="00724E4E">
      <w:pPr>
        <w:pStyle w:val="Clause"/>
      </w:pPr>
      <w:r w:rsidRPr="00835C82">
        <w:t>E.3.3.4(15)</w:t>
      </w:r>
      <w:r w:rsidRPr="00CB3786">
        <w:t xml:space="preserve"> </w:t>
      </w:r>
      <w:r w:rsidRPr="00132C1E">
        <w:t>should be applied.</w:t>
      </w:r>
    </w:p>
    <w:p w14:paraId="6B2D9C17" w14:textId="45AD7DC3" w:rsidR="00CB3786" w:rsidRPr="00132C1E" w:rsidRDefault="00CB3786" w:rsidP="00724E4E">
      <w:pPr>
        <w:pStyle w:val="Clause"/>
      </w:pPr>
      <w:r w:rsidRPr="00132C1E">
        <w:t xml:space="preserve">The end-plate thickness should comply with </w:t>
      </w:r>
      <w:r w:rsidRPr="00835C82">
        <w:t>E.3.3.6(17)</w:t>
      </w:r>
      <w:r w:rsidRPr="00CB3786">
        <w:t>.</w:t>
      </w:r>
    </w:p>
    <w:p w14:paraId="4FCA120B" w14:textId="2BBE7516" w:rsidR="00CB3786" w:rsidRPr="00132C1E" w:rsidRDefault="00CB3786" w:rsidP="00724E4E">
      <w:pPr>
        <w:pStyle w:val="Clause"/>
      </w:pPr>
      <w:r w:rsidRPr="00CB3786">
        <w:t>E</w:t>
      </w:r>
      <w:r w:rsidRPr="00835C82">
        <w:t>.3.3.4(17)</w:t>
      </w:r>
      <w:r w:rsidRPr="00CB3786">
        <w:t xml:space="preserve"> </w:t>
      </w:r>
      <w:r w:rsidRPr="00132C1E">
        <w:t>should be applied.</w:t>
      </w:r>
    </w:p>
    <w:p w14:paraId="16231B39" w14:textId="449E9F43" w:rsidR="00CB3786" w:rsidRPr="00132C1E" w:rsidRDefault="00CB3786" w:rsidP="00724E4E">
      <w:pPr>
        <w:pStyle w:val="Clause"/>
      </w:pPr>
      <w:r w:rsidRPr="00CB3786">
        <w:t>E</w:t>
      </w:r>
      <w:r w:rsidRPr="00835C82">
        <w:t>.3.3.4(18)</w:t>
      </w:r>
      <w:r w:rsidRPr="00CB3786">
        <w:t xml:space="preserve"> should </w:t>
      </w:r>
      <w:r w:rsidRPr="00132C1E">
        <w:t xml:space="preserve">be applied. </w:t>
      </w:r>
    </w:p>
    <w:p w14:paraId="5BD80A69" w14:textId="1450B81E" w:rsidR="00CB3786" w:rsidRPr="00132C1E" w:rsidRDefault="00CB3786" w:rsidP="00724E4E">
      <w:pPr>
        <w:pStyle w:val="Clause"/>
      </w:pPr>
      <w:r w:rsidRPr="00CB3786">
        <w:t>E</w:t>
      </w:r>
      <w:r w:rsidRPr="00835C82">
        <w:t>.3.3.4(19)</w:t>
      </w:r>
      <w:r w:rsidRPr="00CB3786">
        <w:t xml:space="preserve"> should </w:t>
      </w:r>
      <w:r w:rsidRPr="00132C1E">
        <w:t>be applied.</w:t>
      </w:r>
    </w:p>
    <w:p w14:paraId="0A143A89" w14:textId="77B40427" w:rsidR="00CB3786" w:rsidRPr="00132C1E" w:rsidRDefault="00CB3786" w:rsidP="00724E4E">
      <w:pPr>
        <w:pStyle w:val="Clause"/>
      </w:pPr>
      <w:r w:rsidRPr="00CB3786">
        <w:t>E</w:t>
      </w:r>
      <w:r w:rsidRPr="00835C82">
        <w:t>.3.3.5(22)</w:t>
      </w:r>
      <w:r w:rsidRPr="00CB3786">
        <w:t xml:space="preserve"> should </w:t>
      </w:r>
      <w:r w:rsidRPr="00132C1E">
        <w:t>be applied for bolted connections.</w:t>
      </w:r>
    </w:p>
    <w:p w14:paraId="45164BD2" w14:textId="50104148" w:rsidR="00CB3786" w:rsidRPr="00132C1E" w:rsidRDefault="00CB3786" w:rsidP="00724E4E">
      <w:pPr>
        <w:pStyle w:val="Clause"/>
      </w:pPr>
      <w:r w:rsidRPr="00CB3786">
        <w:t>E</w:t>
      </w:r>
      <w:r w:rsidRPr="00835C82">
        <w:t>.3.3.4(20)</w:t>
      </w:r>
      <w:r w:rsidRPr="00CB3786">
        <w:t xml:space="preserve"> should be </w:t>
      </w:r>
      <w:r w:rsidRPr="00132C1E">
        <w:t>applied.</w:t>
      </w:r>
      <w:r w:rsidRPr="00132C1E" w:rsidDel="007A221F">
        <w:t xml:space="preserve"> </w:t>
      </w:r>
    </w:p>
    <w:p w14:paraId="03679E05" w14:textId="77777777" w:rsidR="00CB3786" w:rsidRPr="00132C1E" w:rsidRDefault="00CB3786" w:rsidP="00CB3786">
      <w:pPr>
        <w:pStyle w:val="a4"/>
      </w:pPr>
      <w:r w:rsidRPr="00132C1E">
        <w:tab/>
      </w:r>
      <w:bookmarkStart w:id="11266" w:name="_Toc108342762"/>
      <w:bookmarkStart w:id="11267" w:name="_Toc120543849"/>
      <w:bookmarkStart w:id="11268" w:name="_Toc134198271"/>
      <w:r w:rsidRPr="00132C1E">
        <w:t>Specific requirements for the analysis of frames with reduced beam sections</w:t>
      </w:r>
      <w:bookmarkEnd w:id="11266"/>
      <w:bookmarkEnd w:id="11267"/>
      <w:bookmarkEnd w:id="11268"/>
      <w:r w:rsidRPr="00132C1E">
        <w:t xml:space="preserve"> </w:t>
      </w:r>
    </w:p>
    <w:p w14:paraId="3925DA6B" w14:textId="16A2F7A7" w:rsidR="00CB3786" w:rsidRPr="00132C1E" w:rsidRDefault="00CB3786" w:rsidP="0080187E">
      <w:pPr>
        <w:pStyle w:val="Clause"/>
        <w:numPr>
          <w:ilvl w:val="0"/>
          <w:numId w:val="577"/>
        </w:numPr>
      </w:pPr>
      <w:r w:rsidRPr="00132C1E">
        <w:t xml:space="preserve">Centre-line structural model of frames equipped with reduced beam sections may be used in linear elastic analysis. The deformability of both column web panels and connections may be ignored. </w:t>
      </w:r>
    </w:p>
    <w:p w14:paraId="7C3901FA" w14:textId="050374D9" w:rsidR="00CB3786" w:rsidRPr="00132C1E" w:rsidRDefault="00CB3786" w:rsidP="00724E4E">
      <w:pPr>
        <w:pStyle w:val="Clause"/>
      </w:pPr>
      <w:r w:rsidRPr="00132C1E">
        <w:t>In non-linear analyses the column web panel and the connection should be distinctly modelled as given in a) to d):</w:t>
      </w:r>
    </w:p>
    <w:p w14:paraId="320DBC1F" w14:textId="77777777" w:rsidR="00CB3786" w:rsidRPr="00724E4E" w:rsidRDefault="00CB3786" w:rsidP="0080187E">
      <w:pPr>
        <w:pStyle w:val="Text"/>
        <w:numPr>
          <w:ilvl w:val="0"/>
          <w:numId w:val="716"/>
        </w:numPr>
      </w:pPr>
      <w:r w:rsidRPr="00724E4E">
        <w:t>the column web panel should be modelled with alternative models accounting for its stiffness and resistance if designed as specified in E.3.2.2(4)b or in E.3.2.2(4)c;</w:t>
      </w:r>
    </w:p>
    <w:p w14:paraId="53F6C51B" w14:textId="77777777" w:rsidR="00CB3786" w:rsidRPr="00724E4E" w:rsidRDefault="00CB3786" w:rsidP="0080187E">
      <w:pPr>
        <w:pStyle w:val="Text"/>
        <w:numPr>
          <w:ilvl w:val="0"/>
          <w:numId w:val="716"/>
        </w:numPr>
      </w:pPr>
      <w:r w:rsidRPr="00724E4E">
        <w:t>the column web panel should be modelled using rigid segments per its axis with length equal to half dimension of the column web panel if designed as specified in E.3.2.2(4)a;</w:t>
      </w:r>
    </w:p>
    <w:p w14:paraId="3CF48077" w14:textId="77777777" w:rsidR="00CB3786" w:rsidRPr="00724E4E" w:rsidRDefault="00CB3786" w:rsidP="0080187E">
      <w:pPr>
        <w:pStyle w:val="Text"/>
        <w:numPr>
          <w:ilvl w:val="0"/>
          <w:numId w:val="716"/>
        </w:numPr>
      </w:pPr>
      <w:r w:rsidRPr="00724E4E">
        <w:t>the stiffness of the connection should be modelled for full strength bolted joints;</w:t>
      </w:r>
    </w:p>
    <w:p w14:paraId="0AF11F0A" w14:textId="77777777" w:rsidR="00CB3786" w:rsidRPr="00724E4E" w:rsidRDefault="00CB3786" w:rsidP="0080187E">
      <w:pPr>
        <w:pStyle w:val="Text"/>
        <w:numPr>
          <w:ilvl w:val="0"/>
          <w:numId w:val="716"/>
        </w:numPr>
      </w:pPr>
      <w:r w:rsidRPr="00724E4E">
        <w:t>the monotonic and cyclic behaviour of RBS should be modelled.</w:t>
      </w:r>
    </w:p>
    <w:p w14:paraId="5F4072E3" w14:textId="77777777" w:rsidR="00CB3786" w:rsidRDefault="00CB3786" w:rsidP="00CB3786">
      <w:pPr>
        <w:pStyle w:val="a4"/>
      </w:pPr>
      <w:bookmarkStart w:id="11269" w:name="_Toc108342763"/>
      <w:bookmarkStart w:id="11270" w:name="_Toc120543850"/>
      <w:bookmarkStart w:id="11271" w:name="_Toc134198272"/>
      <w:r w:rsidRPr="00BE5B85">
        <w:t>Joints with friction connections</w:t>
      </w:r>
      <w:bookmarkEnd w:id="11269"/>
      <w:bookmarkEnd w:id="11270"/>
      <w:bookmarkEnd w:id="11271"/>
    </w:p>
    <w:p w14:paraId="46844768" w14:textId="47A701F0" w:rsidR="00CB3786" w:rsidRPr="009817FD" w:rsidRDefault="00CB3786" w:rsidP="0080187E">
      <w:pPr>
        <w:pStyle w:val="Clause"/>
        <w:numPr>
          <w:ilvl w:val="0"/>
          <w:numId w:val="225"/>
        </w:numPr>
        <w:rPr>
          <w:rFonts w:eastAsia="Times New Roman" w:cs="Times New Roman"/>
          <w:bCs/>
          <w:szCs w:val="24"/>
          <w:lang w:eastAsia="en-US"/>
        </w:rPr>
      </w:pPr>
      <w:r w:rsidRPr="009817FD">
        <w:rPr>
          <w:rFonts w:eastAsia="Times New Roman" w:cs="Times New Roman"/>
          <w:bCs/>
          <w:szCs w:val="24"/>
          <w:lang w:eastAsia="en-US"/>
        </w:rPr>
        <w:t>Friction connections may be designed either with the slippage surface parallel to the beam flange (horizontal configuration, Figure E.17) or with the slippage surface parallel to the beam web (vertical configuration, Figure E.18).</w:t>
      </w:r>
    </w:p>
    <w:p w14:paraId="5BB42B8F" w14:textId="77777777" w:rsidR="00CB3786" w:rsidRPr="000E4D3D" w:rsidRDefault="00CB3786" w:rsidP="0080187E">
      <w:pPr>
        <w:pStyle w:val="Clause"/>
        <w:numPr>
          <w:ilvl w:val="0"/>
          <w:numId w:val="225"/>
        </w:numPr>
        <w:rPr>
          <w:bCs/>
          <w:lang w:eastAsia="en-US"/>
        </w:rPr>
      </w:pPr>
      <w:r w:rsidRPr="00BE5B85">
        <w:rPr>
          <w:bCs/>
          <w:lang w:eastAsia="en-US"/>
        </w:rPr>
        <w:t xml:space="preserve">The </w:t>
      </w:r>
      <w:r w:rsidRPr="000E4D3D">
        <w:rPr>
          <w:bCs/>
          <w:lang w:eastAsia="en-US"/>
        </w:rPr>
        <w:t xml:space="preserve">design resistance of friction connection should be calculated as </w:t>
      </w:r>
      <w:r w:rsidRPr="009817FD">
        <w:rPr>
          <w:bCs/>
          <w:color w:val="auto"/>
          <w:lang w:eastAsia="en-US"/>
        </w:rPr>
        <w:t>given in Formula (E.19).</w:t>
      </w:r>
    </w:p>
    <w:p w14:paraId="364793C5" w14:textId="2D300CAA" w:rsidR="009817FD" w:rsidRPr="00870D59" w:rsidRDefault="009B5CEC" w:rsidP="009817FD">
      <w:pPr>
        <w:pStyle w:val="Formula"/>
        <w:spacing w:before="240"/>
      </w:pPr>
      <m:oMath>
        <m:sSub>
          <m:sSubPr>
            <m:ctrlPr>
              <w:rPr>
                <w:rFonts w:ascii="Cambria Math" w:hAnsi="Cambria Math"/>
                <w:bCs/>
                <w:iCs/>
                <w:noProof/>
                <w:szCs w:val="22"/>
                <w:lang w:eastAsia="en-US"/>
              </w:rPr>
            </m:ctrlPr>
          </m:sSubPr>
          <m:e>
            <m:r>
              <w:rPr>
                <w:rFonts w:ascii="Cambria Math" w:hAnsi="Cambria Math"/>
                <w:noProof/>
                <w:szCs w:val="22"/>
                <w:lang w:eastAsia="en-US"/>
              </w:rPr>
              <m:t>M</m:t>
            </m:r>
          </m:e>
          <m:sub>
            <m:r>
              <m:rPr>
                <m:sty m:val="p"/>
              </m:rPr>
              <w:rPr>
                <w:rFonts w:ascii="Cambria Math" w:hAnsi="Cambria Math"/>
                <w:noProof/>
                <w:szCs w:val="22"/>
                <w:lang w:eastAsia="en-US"/>
              </w:rPr>
              <m:t>con,Rd</m:t>
            </m:r>
          </m:sub>
        </m:sSub>
        <m:r>
          <w:rPr>
            <w:rFonts w:ascii="Cambria Math" w:hAnsi="Cambria Math"/>
            <w:noProof/>
            <w:szCs w:val="22"/>
            <w:lang w:eastAsia="en-US"/>
          </w:rPr>
          <m:t>=</m:t>
        </m:r>
        <m:f>
          <m:fPr>
            <m:ctrlPr>
              <w:rPr>
                <w:rFonts w:ascii="Cambria Math" w:eastAsiaTheme="minorEastAsia" w:hAnsi="Cambria Math"/>
                <w:bCs/>
                <w:i/>
                <w:iCs/>
                <w:noProof/>
                <w:lang w:eastAsia="en-US"/>
              </w:rPr>
            </m:ctrlPr>
          </m:fPr>
          <m:num>
            <m:sSub>
              <m:sSubPr>
                <m:ctrlPr>
                  <w:rPr>
                    <w:rFonts w:ascii="Cambria Math" w:eastAsiaTheme="minorEastAsia" w:hAnsi="Cambria Math"/>
                    <w:bCs/>
                    <w:i/>
                    <w:iCs/>
                    <w:noProof/>
                    <w:lang w:eastAsia="en-US"/>
                  </w:rPr>
                </m:ctrlPr>
              </m:sSubPr>
              <m:e>
                <m:r>
                  <w:rPr>
                    <w:rFonts w:ascii="Cambria Math" w:eastAsiaTheme="minorEastAsia" w:hAnsi="Cambria Math"/>
                    <w:noProof/>
                    <w:lang w:eastAsia="en-US"/>
                  </w:rPr>
                  <m:t>μ</m:t>
                </m:r>
              </m:e>
              <m:sub>
                <m:r>
                  <w:rPr>
                    <w:rFonts w:ascii="Cambria Math" w:eastAsiaTheme="minorEastAsia" w:hAnsi="Cambria Math"/>
                    <w:noProof/>
                    <w:lang w:eastAsia="en-US"/>
                  </w:rPr>
                  <m:t>d</m:t>
                </m:r>
              </m:sub>
            </m:sSub>
            <m:sSub>
              <m:sSubPr>
                <m:ctrlPr>
                  <w:rPr>
                    <w:rFonts w:ascii="Cambria Math" w:hAnsi="Cambria Math"/>
                    <w:bCs/>
                    <w:i/>
                    <w:iCs/>
                    <w:noProof/>
                    <w:lang w:eastAsia="en-US"/>
                  </w:rPr>
                </m:ctrlPr>
              </m:sSubPr>
              <m:e>
                <m:r>
                  <w:rPr>
                    <w:rFonts w:ascii="Cambria Math" w:hAnsi="Cambria Math"/>
                    <w:noProof/>
                    <w:lang w:eastAsia="en-US"/>
                  </w:rPr>
                  <m:t>n</m:t>
                </m:r>
              </m:e>
              <m:sub>
                <m:r>
                  <m:rPr>
                    <m:sty m:val="p"/>
                  </m:rPr>
                  <w:rPr>
                    <w:rFonts w:ascii="Cambria Math" w:hAnsi="Cambria Math"/>
                    <w:noProof/>
                    <w:lang w:eastAsia="en-US"/>
                  </w:rPr>
                  <m:t>b</m:t>
                </m:r>
              </m:sub>
            </m:sSub>
            <m:sSub>
              <m:sSubPr>
                <m:ctrlPr>
                  <w:rPr>
                    <w:rFonts w:ascii="Cambria Math" w:hAnsi="Cambria Math"/>
                    <w:bCs/>
                    <w:i/>
                    <w:iCs/>
                    <w:noProof/>
                    <w:lang w:eastAsia="en-US"/>
                  </w:rPr>
                </m:ctrlPr>
              </m:sSubPr>
              <m:e>
                <m:r>
                  <w:rPr>
                    <w:rFonts w:ascii="Cambria Math" w:hAnsi="Cambria Math"/>
                    <w:noProof/>
                    <w:lang w:eastAsia="en-US"/>
                  </w:rPr>
                  <m:t>n</m:t>
                </m:r>
              </m:e>
              <m:sub>
                <m:r>
                  <m:rPr>
                    <m:sty m:val="p"/>
                  </m:rPr>
                  <w:rPr>
                    <w:rFonts w:ascii="Cambria Math" w:hAnsi="Cambria Math"/>
                    <w:noProof/>
                    <w:lang w:eastAsia="en-US"/>
                  </w:rPr>
                  <m:t>s</m:t>
                </m:r>
              </m:sub>
            </m:sSub>
            <m:sSub>
              <m:sSubPr>
                <m:ctrlPr>
                  <w:rPr>
                    <w:rFonts w:ascii="Cambria Math" w:hAnsi="Cambria Math"/>
                    <w:bCs/>
                    <w:i/>
                    <w:iCs/>
                    <w:noProof/>
                    <w:lang w:eastAsia="en-US"/>
                  </w:rPr>
                </m:ctrlPr>
              </m:sSubPr>
              <m:e>
                <m:r>
                  <w:rPr>
                    <w:rFonts w:ascii="Cambria Math" w:hAnsi="Cambria Math"/>
                    <w:noProof/>
                    <w:lang w:eastAsia="en-US"/>
                  </w:rPr>
                  <m:t>F</m:t>
                </m:r>
              </m:e>
              <m:sub>
                <m:r>
                  <m:rPr>
                    <m:sty m:val="p"/>
                  </m:rPr>
                  <w:rPr>
                    <w:rFonts w:ascii="Cambria Math" w:hAnsi="Cambria Math"/>
                    <w:noProof/>
                    <w:lang w:eastAsia="en-US"/>
                  </w:rPr>
                  <m:t>p,lt</m:t>
                </m:r>
              </m:sub>
            </m:sSub>
            <m:r>
              <w:rPr>
                <w:rFonts w:ascii="Cambria Math" w:hAnsi="Cambria Math"/>
                <w:noProof/>
                <w:lang w:eastAsia="en-US"/>
              </w:rPr>
              <m:t>z</m:t>
            </m:r>
          </m:num>
          <m:den>
            <m:sSub>
              <m:sSubPr>
                <m:ctrlPr>
                  <w:rPr>
                    <w:rFonts w:ascii="Cambria Math" w:eastAsiaTheme="minorEastAsia" w:hAnsi="Cambria Math"/>
                    <w:bCs/>
                    <w:i/>
                    <w:iCs/>
                    <w:noProof/>
                    <w:lang w:eastAsia="en-US"/>
                  </w:rPr>
                </m:ctrlPr>
              </m:sSubPr>
              <m:e>
                <m:r>
                  <w:rPr>
                    <w:rFonts w:ascii="Cambria Math" w:eastAsiaTheme="minorEastAsia" w:hAnsi="Cambria Math"/>
                    <w:noProof/>
                    <w:lang w:eastAsia="en-US"/>
                  </w:rPr>
                  <m:t>γ</m:t>
                </m:r>
              </m:e>
              <m:sub>
                <m:r>
                  <m:rPr>
                    <m:sty m:val="p"/>
                  </m:rPr>
                  <w:rPr>
                    <w:rFonts w:ascii="Cambria Math" w:eastAsiaTheme="minorEastAsia" w:hAnsi="Cambria Math"/>
                    <w:noProof/>
                    <w:lang w:eastAsia="en-US"/>
                  </w:rPr>
                  <m:t>Mcf</m:t>
                </m:r>
              </m:sub>
            </m:sSub>
          </m:den>
        </m:f>
        <m:r>
          <w:rPr>
            <w:rFonts w:ascii="Cambria Math" w:hAnsi="Cambria Math"/>
            <w:noProof/>
            <w:lang w:eastAsia="en-US"/>
          </w:rPr>
          <m:t xml:space="preserve">  </m:t>
        </m:r>
        <m:r>
          <w:rPr>
            <w:rFonts w:ascii="Cambria Math" w:hAnsi="Cambria Math"/>
            <w:noProof/>
            <w:szCs w:val="22"/>
            <w:lang w:eastAsia="en-US"/>
          </w:rPr>
          <m:t xml:space="preserve"> </m:t>
        </m:r>
      </m:oMath>
      <w:r w:rsidR="009817FD" w:rsidRPr="00870D59">
        <w:tab/>
        <w:t>(</w:t>
      </w:r>
      <w:r w:rsidR="009817FD">
        <w:t>E</w:t>
      </w:r>
      <w:r w:rsidR="009817FD" w:rsidRPr="00870D59">
        <w:t>.</w:t>
      </w:r>
      <w:r w:rsidR="009817FD">
        <w:t>19</w:t>
      </w:r>
      <w:r w:rsidR="009817FD" w:rsidRPr="00870D59">
        <w:t>)</w:t>
      </w:r>
    </w:p>
    <w:p w14:paraId="72FCCE7F" w14:textId="01DC29F8" w:rsidR="009817FD" w:rsidRDefault="00675EBA" w:rsidP="009817FD">
      <w:pPr>
        <w:pStyle w:val="Text"/>
      </w:pPr>
      <w:r>
        <w:t>where</w:t>
      </w:r>
    </w:p>
    <w:tbl>
      <w:tblPr>
        <w:tblW w:w="0" w:type="auto"/>
        <w:tblInd w:w="346" w:type="dxa"/>
        <w:tblLook w:val="04A0" w:firstRow="1" w:lastRow="0" w:firstColumn="1" w:lastColumn="0" w:noHBand="0" w:noVBand="1"/>
      </w:tblPr>
      <w:tblGrid>
        <w:gridCol w:w="1275"/>
        <w:gridCol w:w="7938"/>
      </w:tblGrid>
      <w:tr w:rsidR="009817FD" w:rsidRPr="00870D59" w14:paraId="1DEDD13D" w14:textId="77777777" w:rsidTr="00691F56">
        <w:tc>
          <w:tcPr>
            <w:tcW w:w="1275" w:type="dxa"/>
          </w:tcPr>
          <w:p w14:paraId="5213C8DF" w14:textId="5A963793" w:rsidR="009817FD" w:rsidRPr="00870D59" w:rsidRDefault="009817FD" w:rsidP="002061E5">
            <w:pPr>
              <w:spacing w:after="60"/>
              <w:rPr>
                <w:rFonts w:eastAsia="Times New Roman" w:cs="Cambria"/>
                <w:szCs w:val="20"/>
                <w:lang w:eastAsia="fr-FR"/>
              </w:rPr>
            </w:pPr>
            <w:r w:rsidRPr="000E4D3D">
              <w:rPr>
                <w:i/>
                <w:iCs/>
              </w:rPr>
              <w:t>n</w:t>
            </w:r>
            <w:r w:rsidRPr="000E4D3D">
              <w:rPr>
                <w:vertAlign w:val="subscript"/>
              </w:rPr>
              <w:t>b</w:t>
            </w:r>
          </w:p>
        </w:tc>
        <w:tc>
          <w:tcPr>
            <w:tcW w:w="7938" w:type="dxa"/>
          </w:tcPr>
          <w:p w14:paraId="5C0DF145" w14:textId="68AB3EF7" w:rsidR="009817FD" w:rsidRPr="00870D59" w:rsidRDefault="004A4224" w:rsidP="002061E5">
            <w:pPr>
              <w:spacing w:after="60"/>
              <w:rPr>
                <w:rFonts w:eastAsia="Times New Roman" w:cs="Cambria"/>
                <w:szCs w:val="20"/>
                <w:lang w:eastAsia="fr-FR"/>
              </w:rPr>
            </w:pPr>
            <w:r w:rsidRPr="000E4D3D">
              <w:t>is the number of bolts;</w:t>
            </w:r>
          </w:p>
        </w:tc>
      </w:tr>
      <w:tr w:rsidR="009817FD" w:rsidRPr="00870D59" w14:paraId="4DFE79D4" w14:textId="77777777" w:rsidTr="00691F56">
        <w:tc>
          <w:tcPr>
            <w:tcW w:w="1275" w:type="dxa"/>
          </w:tcPr>
          <w:p w14:paraId="44DDF0C7" w14:textId="2025751D" w:rsidR="009817FD" w:rsidRPr="00870D59" w:rsidRDefault="009817FD" w:rsidP="002061E5">
            <w:pPr>
              <w:spacing w:after="60"/>
              <w:rPr>
                <w:rFonts w:eastAsia="Times New Roman" w:cs="Cambria"/>
                <w:szCs w:val="20"/>
                <w:lang w:eastAsia="fr-FR"/>
              </w:rPr>
            </w:pPr>
            <w:r w:rsidRPr="000E4D3D">
              <w:rPr>
                <w:i/>
                <w:iCs/>
              </w:rPr>
              <w:t>n</w:t>
            </w:r>
            <w:r w:rsidRPr="000E4D3D">
              <w:rPr>
                <w:vertAlign w:val="subscript"/>
              </w:rPr>
              <w:t>s</w:t>
            </w:r>
          </w:p>
        </w:tc>
        <w:tc>
          <w:tcPr>
            <w:tcW w:w="7938" w:type="dxa"/>
          </w:tcPr>
          <w:p w14:paraId="116AEC78" w14:textId="4E34B5DF" w:rsidR="009817FD" w:rsidRPr="00870D59" w:rsidRDefault="004A4224" w:rsidP="002061E5">
            <w:pPr>
              <w:spacing w:after="60"/>
              <w:rPr>
                <w:rFonts w:eastAsia="Times New Roman" w:cs="Cambria"/>
                <w:szCs w:val="20"/>
                <w:lang w:eastAsia="fr-FR"/>
              </w:rPr>
            </w:pPr>
            <w:r w:rsidRPr="000E4D3D">
              <w:t>is the number of friction surfaces,</w:t>
            </w:r>
          </w:p>
        </w:tc>
      </w:tr>
      <w:tr w:rsidR="009817FD" w:rsidRPr="00870D59" w14:paraId="7773D79F" w14:textId="77777777" w:rsidTr="00691F56">
        <w:tc>
          <w:tcPr>
            <w:tcW w:w="1275" w:type="dxa"/>
          </w:tcPr>
          <w:p w14:paraId="415B1AE6" w14:textId="69DC074F" w:rsidR="009817FD" w:rsidRPr="00870D59" w:rsidRDefault="009817FD" w:rsidP="002061E5">
            <w:pPr>
              <w:spacing w:after="60"/>
              <w:rPr>
                <w:rFonts w:eastAsia="Times New Roman" w:cs="Cambria"/>
                <w:szCs w:val="20"/>
                <w:lang w:eastAsia="fr-FR"/>
              </w:rPr>
            </w:pPr>
            <w:r w:rsidRPr="000E4D3D">
              <w:rPr>
                <w:i/>
                <w:iCs/>
              </w:rPr>
              <w:t>F</w:t>
            </w:r>
            <w:r w:rsidRPr="000E4D3D">
              <w:rPr>
                <w:vertAlign w:val="subscript"/>
              </w:rPr>
              <w:t>p,lt</w:t>
            </w:r>
          </w:p>
        </w:tc>
        <w:tc>
          <w:tcPr>
            <w:tcW w:w="7938" w:type="dxa"/>
          </w:tcPr>
          <w:p w14:paraId="5F23B216" w14:textId="0B44F957" w:rsidR="009817FD" w:rsidRPr="00870D59" w:rsidRDefault="004A4224" w:rsidP="002061E5">
            <w:pPr>
              <w:spacing w:after="60"/>
              <w:rPr>
                <w:rFonts w:eastAsia="Times New Roman" w:cs="Cambria"/>
                <w:szCs w:val="20"/>
                <w:lang w:eastAsia="fr-FR"/>
              </w:rPr>
            </w:pPr>
            <w:r w:rsidRPr="000E4D3D">
              <w:t>is the long</w:t>
            </w:r>
            <w:r w:rsidR="00724E4E">
              <w:t>-</w:t>
            </w:r>
            <w:r w:rsidRPr="000E4D3D">
              <w:t>term value of the bolt preload due to creep phenomena,</w:t>
            </w:r>
          </w:p>
        </w:tc>
      </w:tr>
      <w:tr w:rsidR="009817FD" w:rsidRPr="00870D59" w14:paraId="481D97DF" w14:textId="77777777" w:rsidTr="00691F56">
        <w:tc>
          <w:tcPr>
            <w:tcW w:w="1275" w:type="dxa"/>
          </w:tcPr>
          <w:p w14:paraId="45640797" w14:textId="64F61159" w:rsidR="009817FD" w:rsidRPr="00870D59" w:rsidRDefault="009817FD" w:rsidP="002061E5">
            <w:pPr>
              <w:spacing w:after="60"/>
              <w:rPr>
                <w:rFonts w:eastAsia="Times New Roman" w:cs="Cambria"/>
                <w:szCs w:val="20"/>
                <w:lang w:eastAsia="fr-FR"/>
              </w:rPr>
            </w:pPr>
            <w:r w:rsidRPr="000E4D3D">
              <w:t>z</w:t>
            </w:r>
          </w:p>
        </w:tc>
        <w:tc>
          <w:tcPr>
            <w:tcW w:w="7938" w:type="dxa"/>
          </w:tcPr>
          <w:p w14:paraId="298400C0" w14:textId="4BE4D846" w:rsidR="009817FD" w:rsidRPr="00870D59" w:rsidRDefault="004A4224" w:rsidP="002061E5">
            <w:pPr>
              <w:spacing w:after="60"/>
              <w:rPr>
                <w:rFonts w:eastAsia="Times New Roman" w:cs="Cambria"/>
                <w:szCs w:val="20"/>
                <w:lang w:eastAsia="fr-FR"/>
              </w:rPr>
            </w:pPr>
            <w:r w:rsidRPr="000E4D3D">
              <w:t>is the lever arm of the connection, see Figures E.17 and E.18,</w:t>
            </w:r>
          </w:p>
        </w:tc>
      </w:tr>
      <w:tr w:rsidR="009817FD" w:rsidRPr="00870D59" w14:paraId="61500572" w14:textId="77777777" w:rsidTr="00691F56">
        <w:tc>
          <w:tcPr>
            <w:tcW w:w="1275" w:type="dxa"/>
          </w:tcPr>
          <w:p w14:paraId="4780DD96" w14:textId="348C5C74" w:rsidR="009817FD" w:rsidRPr="00870D59" w:rsidRDefault="004A4224" w:rsidP="002061E5">
            <w:pPr>
              <w:spacing w:after="60"/>
              <w:rPr>
                <w:i/>
                <w:color w:val="000000" w:themeColor="text1"/>
              </w:rPr>
            </w:pPr>
            <w:r w:rsidRPr="000E4D3D">
              <w:rPr>
                <w:i/>
                <w:iCs/>
              </w:rPr>
              <w:t>μ</w:t>
            </w:r>
            <w:r w:rsidRPr="000E4D3D">
              <w:rPr>
                <w:vertAlign w:val="subscript"/>
              </w:rPr>
              <w:t>d</w:t>
            </w:r>
          </w:p>
        </w:tc>
        <w:tc>
          <w:tcPr>
            <w:tcW w:w="7938" w:type="dxa"/>
          </w:tcPr>
          <w:p w14:paraId="35C1A7D2" w14:textId="1351164F" w:rsidR="009817FD" w:rsidRPr="00870D59" w:rsidRDefault="004A4224" w:rsidP="002061E5">
            <w:pPr>
              <w:spacing w:after="60"/>
              <w:rPr>
                <w:color w:val="000000" w:themeColor="text1"/>
              </w:rPr>
            </w:pPr>
            <w:r w:rsidRPr="000E4D3D">
              <w:t>is the 5</w:t>
            </w:r>
            <w:r w:rsidR="00691F56">
              <w:t> </w:t>
            </w:r>
            <w:r w:rsidRPr="000E4D3D">
              <w:t>% fractile value of the dynamic friction coefficient of the contact surfaces;</w:t>
            </w:r>
          </w:p>
        </w:tc>
      </w:tr>
      <w:tr w:rsidR="009817FD" w:rsidRPr="00870D59" w14:paraId="56C8BBC0" w14:textId="77777777" w:rsidTr="00691F56">
        <w:tc>
          <w:tcPr>
            <w:tcW w:w="1275" w:type="dxa"/>
          </w:tcPr>
          <w:p w14:paraId="55EDBE4E" w14:textId="03C84D1A" w:rsidR="009817FD" w:rsidRPr="00870D59" w:rsidRDefault="004A4224" w:rsidP="002061E5">
            <w:pPr>
              <w:spacing w:after="60"/>
              <w:rPr>
                <w:i/>
                <w:color w:val="000000" w:themeColor="text1"/>
              </w:rPr>
            </w:pPr>
            <w:r w:rsidRPr="000E4D3D">
              <w:t>γ</w:t>
            </w:r>
            <w:r w:rsidRPr="000E4D3D">
              <w:rPr>
                <w:vertAlign w:val="subscript"/>
              </w:rPr>
              <w:t>M</w:t>
            </w:r>
            <w:r>
              <w:rPr>
                <w:vertAlign w:val="subscript"/>
              </w:rPr>
              <w:t>c</w:t>
            </w:r>
            <w:r w:rsidRPr="000E4D3D">
              <w:rPr>
                <w:vertAlign w:val="subscript"/>
              </w:rPr>
              <w:t>f</w:t>
            </w:r>
          </w:p>
        </w:tc>
        <w:tc>
          <w:tcPr>
            <w:tcW w:w="7938" w:type="dxa"/>
          </w:tcPr>
          <w:p w14:paraId="1CAA92A6" w14:textId="221FD1E8" w:rsidR="009817FD" w:rsidRPr="00870D59" w:rsidRDefault="004A4224" w:rsidP="002061E5">
            <w:pPr>
              <w:spacing w:after="60"/>
              <w:rPr>
                <w:color w:val="000000" w:themeColor="text1"/>
              </w:rPr>
            </w:pPr>
            <w:r w:rsidRPr="000E4D3D">
              <w:t>is the partial safety factor.</w:t>
            </w:r>
          </w:p>
        </w:tc>
      </w:tr>
    </w:tbl>
    <w:p w14:paraId="3E55F401" w14:textId="42F1069E" w:rsidR="004A4224" w:rsidRPr="000E4D3D" w:rsidRDefault="004A4224" w:rsidP="004A4224">
      <w:pPr>
        <w:pStyle w:val="Notetext"/>
      </w:pPr>
      <w:r w:rsidRPr="000E4D3D">
        <w:t>NOTE</w:t>
      </w:r>
      <w:r w:rsidRPr="000E4D3D">
        <w:tab/>
        <w:t>The partial safety factor γ</w:t>
      </w:r>
      <w:r w:rsidRPr="000E4D3D">
        <w:rPr>
          <w:vertAlign w:val="subscript"/>
        </w:rPr>
        <w:t>M</w:t>
      </w:r>
      <w:r>
        <w:rPr>
          <w:vertAlign w:val="subscript"/>
        </w:rPr>
        <w:t>c</w:t>
      </w:r>
      <w:r w:rsidRPr="000E4D3D">
        <w:rPr>
          <w:vertAlign w:val="subscript"/>
        </w:rPr>
        <w:t>f</w:t>
      </w:r>
      <w:r w:rsidRPr="000E4D3D">
        <w:t xml:space="preserve"> </w:t>
      </w:r>
      <w:r w:rsidR="00155F8D">
        <w:t>can</w:t>
      </w:r>
      <w:r w:rsidR="00155F8D" w:rsidRPr="000E4D3D">
        <w:t xml:space="preserve"> </w:t>
      </w:r>
      <w:r w:rsidRPr="000E4D3D">
        <w:t>be assumed equal to 1,10 unless differently verified by specific experimental tests.</w:t>
      </w:r>
    </w:p>
    <w:p w14:paraId="027E8E54" w14:textId="51C1BDCF" w:rsidR="004A4224" w:rsidRPr="000E4D3D" w:rsidRDefault="004A4224" w:rsidP="0080187E">
      <w:pPr>
        <w:pStyle w:val="Clause"/>
        <w:numPr>
          <w:ilvl w:val="0"/>
          <w:numId w:val="225"/>
        </w:numPr>
        <w:rPr>
          <w:bCs/>
          <w:lang w:eastAsia="en-US"/>
        </w:rPr>
      </w:pPr>
      <w:r w:rsidRPr="004A4224">
        <w:rPr>
          <w:bCs/>
          <w:color w:val="auto"/>
          <w:lang w:eastAsia="en-US"/>
        </w:rPr>
        <w:t>The long</w:t>
      </w:r>
      <w:r w:rsidR="00724E4E">
        <w:rPr>
          <w:bCs/>
          <w:color w:val="auto"/>
          <w:lang w:eastAsia="en-US"/>
        </w:rPr>
        <w:t>-</w:t>
      </w:r>
      <w:r w:rsidRPr="004A4224">
        <w:rPr>
          <w:bCs/>
          <w:color w:val="auto"/>
          <w:lang w:eastAsia="en-US"/>
        </w:rPr>
        <w:t>term value of the bolt preload due to creep phenomena should be calculated as given in Formula (E.20).</w:t>
      </w:r>
    </w:p>
    <w:p w14:paraId="129D3383" w14:textId="7589A57D" w:rsidR="004A4224" w:rsidRPr="00870D59" w:rsidRDefault="009B5CEC" w:rsidP="004A4224">
      <w:pPr>
        <w:pStyle w:val="Formula"/>
        <w:spacing w:before="240"/>
      </w:pPr>
      <m:oMath>
        <m:sSub>
          <m:sSubPr>
            <m:ctrlPr>
              <w:rPr>
                <w:rFonts w:ascii="Cambria Math" w:hAnsi="Cambria Math"/>
                <w:bCs/>
                <w:i/>
                <w:iCs/>
                <w:noProof/>
                <w:lang w:eastAsia="en-US"/>
              </w:rPr>
            </m:ctrlPr>
          </m:sSubPr>
          <m:e>
            <m:r>
              <w:rPr>
                <w:rFonts w:ascii="Cambria Math" w:hAnsi="Cambria Math"/>
                <w:noProof/>
                <w:lang w:eastAsia="en-US"/>
              </w:rPr>
              <m:t>F</m:t>
            </m:r>
          </m:e>
          <m:sub>
            <m:r>
              <m:rPr>
                <m:sty m:val="p"/>
              </m:rPr>
              <w:rPr>
                <w:rFonts w:ascii="Cambria Math" w:hAnsi="Cambria Math"/>
                <w:noProof/>
                <w:lang w:eastAsia="en-US"/>
              </w:rPr>
              <m:t>p,lt</m:t>
            </m:r>
          </m:sub>
        </m:sSub>
        <m:r>
          <w:rPr>
            <w:rFonts w:ascii="Cambria Math" w:hAnsi="Cambria Math"/>
            <w:noProof/>
            <w:szCs w:val="22"/>
            <w:lang w:eastAsia="en-US"/>
          </w:rPr>
          <m:t>=0.9</m:t>
        </m:r>
        <m:sSub>
          <m:sSubPr>
            <m:ctrlPr>
              <w:rPr>
                <w:rFonts w:ascii="Cambria Math" w:hAnsi="Cambria Math"/>
                <w:bCs/>
                <w:i/>
                <w:iCs/>
                <w:noProof/>
                <w:lang w:eastAsia="en-US"/>
              </w:rPr>
            </m:ctrlPr>
          </m:sSubPr>
          <m:e>
            <m:r>
              <w:rPr>
                <w:rFonts w:ascii="Cambria Math" w:hAnsi="Cambria Math"/>
                <w:noProof/>
                <w:lang w:eastAsia="en-US"/>
              </w:rPr>
              <m:t>F</m:t>
            </m:r>
          </m:e>
          <m:sub>
            <m:r>
              <m:rPr>
                <m:sty m:val="p"/>
              </m:rPr>
              <w:rPr>
                <w:rFonts w:ascii="Cambria Math" w:hAnsi="Cambria Math"/>
                <w:noProof/>
                <w:lang w:eastAsia="en-US"/>
              </w:rPr>
              <m:t>p,st</m:t>
            </m:r>
          </m:sub>
        </m:sSub>
        <m:r>
          <w:rPr>
            <w:rFonts w:ascii="Cambria Math" w:hAnsi="Cambria Math"/>
            <w:noProof/>
            <w:lang w:eastAsia="en-US"/>
          </w:rPr>
          <m:t xml:space="preserve">  </m:t>
        </m:r>
        <m:r>
          <w:rPr>
            <w:rFonts w:ascii="Cambria Math" w:hAnsi="Cambria Math"/>
            <w:noProof/>
            <w:szCs w:val="22"/>
            <w:lang w:eastAsia="en-US"/>
          </w:rPr>
          <m:t xml:space="preserve"> </m:t>
        </m:r>
        <m:r>
          <w:rPr>
            <w:rFonts w:ascii="Cambria Math" w:hAnsi="Cambria Math"/>
            <w:noProof/>
            <w:lang w:eastAsia="en-US"/>
          </w:rPr>
          <m:t xml:space="preserve">  </m:t>
        </m:r>
        <m:r>
          <w:rPr>
            <w:rFonts w:ascii="Cambria Math" w:hAnsi="Cambria Math"/>
            <w:noProof/>
            <w:szCs w:val="22"/>
            <w:lang w:eastAsia="en-US"/>
          </w:rPr>
          <m:t xml:space="preserve"> </m:t>
        </m:r>
      </m:oMath>
      <w:r w:rsidR="004A4224" w:rsidRPr="00870D59">
        <w:tab/>
        <w:t>(</w:t>
      </w:r>
      <w:r w:rsidR="004A4224">
        <w:t>E</w:t>
      </w:r>
      <w:r w:rsidR="004A4224" w:rsidRPr="00870D59">
        <w:t>.</w:t>
      </w:r>
      <w:r w:rsidR="004A4224">
        <w:t>20</w:t>
      </w:r>
      <w:r w:rsidR="004A4224" w:rsidRPr="00870D59">
        <w:t>)</w:t>
      </w:r>
    </w:p>
    <w:p w14:paraId="33CDDBC4" w14:textId="2AF75F1A" w:rsidR="004A4224" w:rsidRDefault="004A4224" w:rsidP="004A4224">
      <w:pPr>
        <w:pStyle w:val="Text"/>
      </w:pPr>
      <w:r>
        <w:t>w</w:t>
      </w:r>
      <w:r w:rsidRPr="00870D59">
        <w:t>here</w:t>
      </w:r>
      <w:r w:rsidRPr="004A4224">
        <w:rPr>
          <w:i/>
          <w:iCs/>
        </w:rPr>
        <w:t xml:space="preserve"> </w:t>
      </w:r>
      <w:r w:rsidRPr="000E4D3D">
        <w:rPr>
          <w:i/>
          <w:iCs/>
        </w:rPr>
        <w:t>F</w:t>
      </w:r>
      <w:r w:rsidRPr="000E4D3D">
        <w:rPr>
          <w:vertAlign w:val="subscript"/>
        </w:rPr>
        <w:t>p,st</w:t>
      </w:r>
      <w:r w:rsidRPr="000E4D3D">
        <w:t xml:space="preserve"> is the short term preload of bolts that should be assumed in the range 0,4 to 0,6 times the preload of bolts</w:t>
      </w:r>
      <w:r w:rsidRPr="000E4D3D">
        <w:rPr>
          <w:i/>
          <w:iCs/>
        </w:rPr>
        <w:t xml:space="preserve"> F</w:t>
      </w:r>
      <w:r w:rsidRPr="000E4D3D">
        <w:rPr>
          <w:vertAlign w:val="subscript"/>
        </w:rPr>
        <w:t>p,C</w:t>
      </w:r>
      <w:r w:rsidRPr="000E4D3D">
        <w:t xml:space="preserve"> recommended by </w:t>
      </w:r>
      <w:r>
        <w:t>pr</w:t>
      </w:r>
      <w:r w:rsidR="00C30FF9">
        <w:t>EN 1</w:t>
      </w:r>
      <w:r>
        <w:t>99</w:t>
      </w:r>
      <w:r w:rsidRPr="000E4D3D">
        <w:t>3-1-8</w:t>
      </w:r>
      <w:r>
        <w:t>.</w:t>
      </w:r>
    </w:p>
    <w:p w14:paraId="1116F4DF" w14:textId="46E11E49" w:rsidR="004A4224" w:rsidRDefault="004A4224" w:rsidP="0080187E">
      <w:pPr>
        <w:pStyle w:val="Clause"/>
        <w:numPr>
          <w:ilvl w:val="0"/>
          <w:numId w:val="225"/>
        </w:numPr>
        <w:rPr>
          <w:bCs/>
          <w:lang w:eastAsia="en-US"/>
        </w:rPr>
      </w:pPr>
      <w:r w:rsidRPr="000E4D3D">
        <w:rPr>
          <w:bCs/>
          <w:lang w:eastAsia="en-US"/>
        </w:rPr>
        <w:t xml:space="preserve">The design action effects in the elements and the components of joints with friction connections should be calculated with Formula (E.5). Their design resistance should be calculated with </w:t>
      </w:r>
      <w:r>
        <w:rPr>
          <w:bCs/>
          <w:lang w:eastAsia="en-US"/>
        </w:rPr>
        <w:t>pr</w:t>
      </w:r>
      <w:r w:rsidR="00C30FF9">
        <w:rPr>
          <w:bCs/>
          <w:lang w:eastAsia="en-US"/>
        </w:rPr>
        <w:t>EN 1</w:t>
      </w:r>
      <w:r>
        <w:rPr>
          <w:bCs/>
          <w:lang w:eastAsia="en-US"/>
        </w:rPr>
        <w:t>99</w:t>
      </w:r>
      <w:r w:rsidRPr="000E4D3D">
        <w:rPr>
          <w:bCs/>
          <w:lang w:eastAsia="en-US"/>
        </w:rPr>
        <w:t>3</w:t>
      </w:r>
      <w:r w:rsidR="00691F56">
        <w:rPr>
          <w:bCs/>
          <w:lang w:eastAsia="en-US"/>
        </w:rPr>
        <w:noBreakHyphen/>
      </w:r>
      <w:r w:rsidRPr="000E4D3D">
        <w:rPr>
          <w:bCs/>
          <w:lang w:eastAsia="en-US"/>
        </w:rPr>
        <w:t>1</w:t>
      </w:r>
      <w:r w:rsidR="00691F56">
        <w:rPr>
          <w:bCs/>
          <w:lang w:eastAsia="en-US"/>
        </w:rPr>
        <w:noBreakHyphen/>
      </w:r>
      <w:r w:rsidRPr="000E4D3D">
        <w:rPr>
          <w:bCs/>
          <w:lang w:eastAsia="en-US"/>
        </w:rPr>
        <w:t xml:space="preserve">8 and should comply with the additional assumptions in </w:t>
      </w:r>
      <w:r w:rsidRPr="00835C82">
        <w:rPr>
          <w:lang w:eastAsia="en-US"/>
        </w:rPr>
        <w:t>(5)</w:t>
      </w:r>
      <w:r w:rsidRPr="005D1710">
        <w:rPr>
          <w:bCs/>
          <w:lang w:eastAsia="en-US"/>
        </w:rPr>
        <w:t xml:space="preserve">, </w:t>
      </w:r>
      <w:r w:rsidRPr="00835C82">
        <w:rPr>
          <w:bCs/>
          <w:lang w:eastAsia="en-US"/>
        </w:rPr>
        <w:t xml:space="preserve">(6) </w:t>
      </w:r>
      <w:r w:rsidRPr="005D1710">
        <w:rPr>
          <w:lang w:eastAsia="en-US"/>
        </w:rPr>
        <w:t>and</w:t>
      </w:r>
      <w:r w:rsidRPr="00835C82">
        <w:rPr>
          <w:bCs/>
          <w:lang w:eastAsia="en-US"/>
        </w:rPr>
        <w:t xml:space="preserve"> (7)</w:t>
      </w:r>
      <w:r w:rsidRPr="000E4D3D">
        <w:rPr>
          <w:bCs/>
          <w:lang w:eastAsia="en-US"/>
        </w:rPr>
        <w:t>.</w:t>
      </w:r>
    </w:p>
    <w:p w14:paraId="38BCD3F2" w14:textId="2EF6E45B" w:rsidR="004A4224" w:rsidRPr="00D72DF2" w:rsidRDefault="004A4224" w:rsidP="0080187E">
      <w:pPr>
        <w:pStyle w:val="Clause"/>
        <w:numPr>
          <w:ilvl w:val="0"/>
          <w:numId w:val="225"/>
        </w:numPr>
        <w:rPr>
          <w:bCs/>
          <w:lang w:eastAsia="en-US"/>
        </w:rPr>
      </w:pPr>
      <w:r w:rsidRPr="005E0048">
        <w:rPr>
          <w:bCs/>
          <w:lang w:eastAsia="en-US"/>
        </w:rPr>
        <w:t xml:space="preserve">The design shear force acting in the web and bolts of upper T-stub connection </w:t>
      </w:r>
      <w:r w:rsidRPr="004A4224">
        <w:rPr>
          <w:bCs/>
          <w:color w:val="auto"/>
          <w:lang w:eastAsia="en-US"/>
        </w:rPr>
        <w:t xml:space="preserve">should be considered equal to the shear force in the beam projected at the column face. The design shear force in the lower L-Stub connections should be considered equal to twice the shear force in the beam projected </w:t>
      </w:r>
      <w:r w:rsidRPr="005E0048">
        <w:rPr>
          <w:bCs/>
          <w:lang w:eastAsia="en-US"/>
        </w:rPr>
        <w:t>at the column face.</w:t>
      </w:r>
    </w:p>
    <w:p w14:paraId="3F1BC8F3" w14:textId="36F7C737" w:rsidR="004A4224" w:rsidRPr="000E4D3D" w:rsidRDefault="004A4224" w:rsidP="0080187E">
      <w:pPr>
        <w:pStyle w:val="Clause"/>
        <w:numPr>
          <w:ilvl w:val="0"/>
          <w:numId w:val="225"/>
        </w:numPr>
        <w:rPr>
          <w:bCs/>
          <w:lang w:eastAsia="en-US"/>
        </w:rPr>
      </w:pPr>
      <w:r w:rsidRPr="000E4D3D">
        <w:rPr>
          <w:bCs/>
          <w:lang w:eastAsia="en-US"/>
        </w:rPr>
        <w:t>The centre of rotation is located at the centroid of the web of upper T-Stub connection (see Figure</w:t>
      </w:r>
      <w:r w:rsidR="00691F56">
        <w:rPr>
          <w:bCs/>
          <w:lang w:eastAsia="en-US"/>
        </w:rPr>
        <w:t> </w:t>
      </w:r>
      <w:r w:rsidRPr="000E4D3D">
        <w:rPr>
          <w:bCs/>
          <w:lang w:eastAsia="en-US"/>
        </w:rPr>
        <w:t>E.19).</w:t>
      </w:r>
    </w:p>
    <w:p w14:paraId="27F8EA8B" w14:textId="77777777" w:rsidR="004A4224" w:rsidRPr="000E4D3D" w:rsidRDefault="004A4224" w:rsidP="0080187E">
      <w:pPr>
        <w:pStyle w:val="Clause"/>
        <w:numPr>
          <w:ilvl w:val="0"/>
          <w:numId w:val="225"/>
        </w:numPr>
        <w:rPr>
          <w:bCs/>
          <w:lang w:eastAsia="en-US"/>
        </w:rPr>
      </w:pPr>
      <w:r w:rsidRPr="000E4D3D">
        <w:rPr>
          <w:bCs/>
          <w:lang w:eastAsia="en-US"/>
        </w:rPr>
        <w:t>The beam-to-column gap S</w:t>
      </w:r>
      <w:r w:rsidRPr="000E4D3D">
        <w:rPr>
          <w:bCs/>
          <w:vertAlign w:val="subscript"/>
          <w:lang w:eastAsia="en-US"/>
        </w:rPr>
        <w:t>g</w:t>
      </w:r>
      <w:r w:rsidRPr="000E4D3D">
        <w:rPr>
          <w:bCs/>
          <w:lang w:eastAsia="en-US"/>
        </w:rPr>
        <w:t xml:space="preserve"> (see Figure E.19) should be greater than 2</w:t>
      </w:r>
      <w:r w:rsidRPr="000E4D3D">
        <w:rPr>
          <w:bCs/>
          <w:i/>
          <w:iCs/>
          <w:lang w:eastAsia="en-US"/>
        </w:rPr>
        <w:t>t</w:t>
      </w:r>
      <w:r w:rsidRPr="000E4D3D">
        <w:rPr>
          <w:bCs/>
          <w:vertAlign w:val="subscript"/>
          <w:lang w:eastAsia="en-US"/>
        </w:rPr>
        <w:t xml:space="preserve">w,T </w:t>
      </w:r>
      <w:r w:rsidRPr="000E4D3D">
        <w:rPr>
          <w:bCs/>
          <w:lang w:eastAsia="en-US"/>
        </w:rPr>
        <w:t xml:space="preserve">, being </w:t>
      </w:r>
      <w:r w:rsidRPr="000E4D3D">
        <w:rPr>
          <w:bCs/>
          <w:i/>
          <w:iCs/>
          <w:lang w:eastAsia="en-US"/>
        </w:rPr>
        <w:t>t</w:t>
      </w:r>
      <w:r w:rsidRPr="000E4D3D">
        <w:rPr>
          <w:bCs/>
          <w:vertAlign w:val="subscript"/>
          <w:lang w:eastAsia="en-US"/>
        </w:rPr>
        <w:t>w,T</w:t>
      </w:r>
      <w:r w:rsidRPr="000E4D3D">
        <w:rPr>
          <w:bCs/>
          <w:lang w:eastAsia="en-US"/>
        </w:rPr>
        <w:t xml:space="preserve"> the thickness of the web of the upper T-Stub, and 0,04z in DC3 and 0,03z in DC2.</w:t>
      </w:r>
    </w:p>
    <w:p w14:paraId="134AAF4A" w14:textId="215CF37B" w:rsidR="004A4224" w:rsidRPr="000E4D3D" w:rsidRDefault="004A4224" w:rsidP="0080187E">
      <w:pPr>
        <w:pStyle w:val="Clause"/>
        <w:numPr>
          <w:ilvl w:val="0"/>
          <w:numId w:val="225"/>
        </w:numPr>
        <w:rPr>
          <w:bCs/>
          <w:lang w:eastAsia="en-US"/>
        </w:rPr>
      </w:pPr>
      <w:r w:rsidRPr="000E4D3D">
        <w:rPr>
          <w:bCs/>
          <w:lang w:eastAsia="en-US"/>
        </w:rPr>
        <w:t>Friction connections should be designed to avoid any slippage at ultimate limit state in non-seismic design</w:t>
      </w:r>
      <w:r>
        <w:rPr>
          <w:bCs/>
          <w:lang w:eastAsia="en-US"/>
        </w:rPr>
        <w:t xml:space="preserve"> </w:t>
      </w:r>
      <w:r w:rsidRPr="000E4D3D">
        <w:rPr>
          <w:bCs/>
          <w:lang w:eastAsia="en-US"/>
        </w:rPr>
        <w:t xml:space="preserve">situation, where the resistance of friction connection should be calculated as given in </w:t>
      </w:r>
      <w:r w:rsidRPr="004A4224">
        <w:rPr>
          <w:bCs/>
          <w:color w:val="auto"/>
          <w:lang w:eastAsia="en-US"/>
        </w:rPr>
        <w:t>Formula</w:t>
      </w:r>
      <w:r w:rsidR="00691F56">
        <w:rPr>
          <w:bCs/>
          <w:color w:val="auto"/>
          <w:lang w:eastAsia="en-US"/>
        </w:rPr>
        <w:t> </w:t>
      </w:r>
      <w:r w:rsidRPr="004A4224">
        <w:rPr>
          <w:bCs/>
          <w:color w:val="auto"/>
          <w:lang w:eastAsia="en-US"/>
        </w:rPr>
        <w:t>(E.19)</w:t>
      </w:r>
      <w:r w:rsidRPr="007B2297">
        <w:rPr>
          <w:bCs/>
          <w:color w:val="00B050"/>
          <w:lang w:eastAsia="en-US"/>
        </w:rPr>
        <w:t>.</w:t>
      </w:r>
    </w:p>
    <w:p w14:paraId="3F2F794D" w14:textId="4844F3E9" w:rsidR="004A4224" w:rsidRPr="00870D59" w:rsidRDefault="009B5CEC" w:rsidP="004A4224">
      <w:pPr>
        <w:pStyle w:val="Formula"/>
        <w:spacing w:before="240"/>
      </w:pPr>
      <m:oMath>
        <m:sSub>
          <m:sSubPr>
            <m:ctrlPr>
              <w:rPr>
                <w:rFonts w:ascii="Cambria Math" w:hAnsi="Cambria Math"/>
                <w:bCs/>
                <w:iCs/>
                <w:noProof/>
                <w:szCs w:val="22"/>
                <w:lang w:eastAsia="en-US"/>
              </w:rPr>
            </m:ctrlPr>
          </m:sSubPr>
          <m:e>
            <m:r>
              <w:rPr>
                <w:rFonts w:ascii="Cambria Math" w:hAnsi="Cambria Math"/>
                <w:noProof/>
                <w:szCs w:val="22"/>
                <w:lang w:eastAsia="en-US"/>
              </w:rPr>
              <m:t>M</m:t>
            </m:r>
          </m:e>
          <m:sub>
            <m:r>
              <m:rPr>
                <m:sty m:val="p"/>
              </m:rPr>
              <w:rPr>
                <w:rFonts w:ascii="Cambria Math" w:hAnsi="Cambria Math"/>
                <w:noProof/>
                <w:szCs w:val="22"/>
                <w:lang w:eastAsia="en-US"/>
              </w:rPr>
              <m:t>con,Rd</m:t>
            </m:r>
          </m:sub>
        </m:sSub>
        <m:r>
          <w:rPr>
            <w:rFonts w:ascii="Cambria Math" w:hAnsi="Cambria Math"/>
            <w:noProof/>
            <w:szCs w:val="22"/>
            <w:lang w:eastAsia="en-US"/>
          </w:rPr>
          <m:t>=</m:t>
        </m:r>
        <m:f>
          <m:fPr>
            <m:ctrlPr>
              <w:rPr>
                <w:rFonts w:ascii="Cambria Math" w:eastAsiaTheme="minorEastAsia" w:hAnsi="Cambria Math"/>
                <w:bCs/>
                <w:i/>
                <w:iCs/>
                <w:noProof/>
                <w:lang w:eastAsia="en-US"/>
              </w:rPr>
            </m:ctrlPr>
          </m:fPr>
          <m:num>
            <m:sSub>
              <m:sSubPr>
                <m:ctrlPr>
                  <w:rPr>
                    <w:rFonts w:ascii="Cambria Math" w:eastAsiaTheme="minorEastAsia" w:hAnsi="Cambria Math"/>
                    <w:bCs/>
                    <w:i/>
                    <w:iCs/>
                    <w:noProof/>
                    <w:lang w:eastAsia="en-US"/>
                  </w:rPr>
                </m:ctrlPr>
              </m:sSubPr>
              <m:e>
                <m:r>
                  <w:rPr>
                    <w:rFonts w:ascii="Cambria Math" w:eastAsiaTheme="minorEastAsia" w:hAnsi="Cambria Math"/>
                    <w:noProof/>
                    <w:lang w:eastAsia="en-US"/>
                  </w:rPr>
                  <m:t>μ</m:t>
                </m:r>
              </m:e>
              <m:sub>
                <m:r>
                  <m:rPr>
                    <m:sty m:val="p"/>
                  </m:rPr>
                  <w:rPr>
                    <w:rFonts w:ascii="Cambria Math" w:eastAsiaTheme="minorEastAsia" w:hAnsi="Cambria Math"/>
                    <w:noProof/>
                    <w:lang w:eastAsia="en-US"/>
                  </w:rPr>
                  <m:t>s,lower</m:t>
                </m:r>
              </m:sub>
            </m:sSub>
            <m:sSub>
              <m:sSubPr>
                <m:ctrlPr>
                  <w:rPr>
                    <w:rFonts w:ascii="Cambria Math" w:hAnsi="Cambria Math"/>
                    <w:bCs/>
                    <w:i/>
                    <w:iCs/>
                    <w:noProof/>
                    <w:lang w:eastAsia="en-US"/>
                  </w:rPr>
                </m:ctrlPr>
              </m:sSubPr>
              <m:e>
                <m:r>
                  <w:rPr>
                    <w:rFonts w:ascii="Cambria Math" w:hAnsi="Cambria Math"/>
                    <w:noProof/>
                    <w:lang w:eastAsia="en-US"/>
                  </w:rPr>
                  <m:t>n</m:t>
                </m:r>
              </m:e>
              <m:sub>
                <m:r>
                  <m:rPr>
                    <m:sty m:val="p"/>
                  </m:rPr>
                  <w:rPr>
                    <w:rFonts w:ascii="Cambria Math" w:hAnsi="Cambria Math"/>
                    <w:noProof/>
                    <w:lang w:eastAsia="en-US"/>
                  </w:rPr>
                  <m:t>b</m:t>
                </m:r>
              </m:sub>
            </m:sSub>
            <m:sSub>
              <m:sSubPr>
                <m:ctrlPr>
                  <w:rPr>
                    <w:rFonts w:ascii="Cambria Math" w:hAnsi="Cambria Math"/>
                    <w:bCs/>
                    <w:i/>
                    <w:iCs/>
                    <w:noProof/>
                    <w:lang w:eastAsia="en-US"/>
                  </w:rPr>
                </m:ctrlPr>
              </m:sSubPr>
              <m:e>
                <m:r>
                  <w:rPr>
                    <w:rFonts w:ascii="Cambria Math" w:hAnsi="Cambria Math"/>
                    <w:noProof/>
                    <w:lang w:eastAsia="en-US"/>
                  </w:rPr>
                  <m:t>n</m:t>
                </m:r>
              </m:e>
              <m:sub>
                <m:r>
                  <m:rPr>
                    <m:sty m:val="p"/>
                  </m:rPr>
                  <w:rPr>
                    <w:rFonts w:ascii="Cambria Math" w:hAnsi="Cambria Math"/>
                    <w:noProof/>
                    <w:lang w:eastAsia="en-US"/>
                  </w:rPr>
                  <m:t>s</m:t>
                </m:r>
              </m:sub>
            </m:sSub>
            <m:sSub>
              <m:sSubPr>
                <m:ctrlPr>
                  <w:rPr>
                    <w:rFonts w:ascii="Cambria Math" w:hAnsi="Cambria Math"/>
                    <w:bCs/>
                    <w:i/>
                    <w:iCs/>
                    <w:noProof/>
                    <w:lang w:eastAsia="en-US"/>
                  </w:rPr>
                </m:ctrlPr>
              </m:sSubPr>
              <m:e>
                <m:r>
                  <w:rPr>
                    <w:rFonts w:ascii="Cambria Math" w:hAnsi="Cambria Math"/>
                    <w:noProof/>
                    <w:lang w:eastAsia="en-US"/>
                  </w:rPr>
                  <m:t>F</m:t>
                </m:r>
              </m:e>
              <m:sub>
                <m:r>
                  <m:rPr>
                    <m:sty m:val="p"/>
                  </m:rPr>
                  <w:rPr>
                    <w:rFonts w:ascii="Cambria Math" w:hAnsi="Cambria Math"/>
                    <w:noProof/>
                    <w:lang w:eastAsia="en-US"/>
                  </w:rPr>
                  <m:t>p,lt</m:t>
                </m:r>
              </m:sub>
            </m:sSub>
            <m:r>
              <w:rPr>
                <w:rFonts w:ascii="Cambria Math" w:hAnsi="Cambria Math"/>
                <w:noProof/>
                <w:lang w:eastAsia="en-US"/>
              </w:rPr>
              <m:t>z</m:t>
            </m:r>
          </m:num>
          <m:den>
            <m:sSub>
              <m:sSubPr>
                <m:ctrlPr>
                  <w:rPr>
                    <w:rFonts w:ascii="Cambria Math" w:eastAsiaTheme="minorEastAsia" w:hAnsi="Cambria Math"/>
                    <w:bCs/>
                    <w:i/>
                    <w:iCs/>
                    <w:noProof/>
                    <w:lang w:eastAsia="en-US"/>
                  </w:rPr>
                </m:ctrlPr>
              </m:sSubPr>
              <m:e>
                <m:r>
                  <w:rPr>
                    <w:rFonts w:ascii="Cambria Math" w:eastAsiaTheme="minorEastAsia" w:hAnsi="Cambria Math"/>
                    <w:noProof/>
                    <w:lang w:eastAsia="en-US"/>
                  </w:rPr>
                  <m:t>γ</m:t>
                </m:r>
              </m:e>
              <m:sub>
                <m:r>
                  <m:rPr>
                    <m:sty m:val="p"/>
                  </m:rPr>
                  <w:rPr>
                    <w:rFonts w:ascii="Cambria Math" w:eastAsiaTheme="minorEastAsia" w:hAnsi="Cambria Math"/>
                    <w:noProof/>
                    <w:lang w:eastAsia="en-US"/>
                  </w:rPr>
                  <m:t>Mf</m:t>
                </m:r>
              </m:sub>
            </m:sSub>
          </m:den>
        </m:f>
      </m:oMath>
      <w:r w:rsidR="004A4224" w:rsidRPr="00870D59">
        <w:tab/>
        <w:t>(</w:t>
      </w:r>
      <w:r w:rsidR="004A4224">
        <w:t>E</w:t>
      </w:r>
      <w:r w:rsidR="004A4224" w:rsidRPr="00870D59">
        <w:t>.</w:t>
      </w:r>
      <w:r w:rsidR="004A4224">
        <w:t>21</w:t>
      </w:r>
      <w:r w:rsidR="004A4224" w:rsidRPr="00870D59">
        <w:t>)</w:t>
      </w:r>
    </w:p>
    <w:p w14:paraId="1B4D5A50" w14:textId="0EBA077A" w:rsidR="004A4224" w:rsidRDefault="004A4224" w:rsidP="004A4224">
      <w:pPr>
        <w:pStyle w:val="Text"/>
      </w:pPr>
      <w:r>
        <w:t>w</w:t>
      </w:r>
      <w:r w:rsidRPr="00870D59">
        <w:t>here</w:t>
      </w:r>
      <w:r w:rsidRPr="004A4224">
        <w:rPr>
          <w:i/>
          <w:iCs/>
        </w:rPr>
        <w:t xml:space="preserve"> </w:t>
      </w:r>
      <w:r w:rsidRPr="000E4D3D">
        <w:rPr>
          <w:i/>
          <w:iCs/>
        </w:rPr>
        <w:t>μ</w:t>
      </w:r>
      <w:r w:rsidRPr="00F126F8">
        <w:rPr>
          <w:vertAlign w:val="subscript"/>
          <w:lang w:val="en-US"/>
        </w:rPr>
        <w:t>s,lower</w:t>
      </w:r>
      <w:r w:rsidRPr="000E4D3D">
        <w:t xml:space="preserve"> is the </w:t>
      </w:r>
      <w:r w:rsidRPr="00F126F8">
        <w:rPr>
          <w:lang w:val="en-US"/>
        </w:rPr>
        <w:t>5</w:t>
      </w:r>
      <w:r w:rsidR="00D4445A">
        <w:rPr>
          <w:lang w:val="en-US"/>
        </w:rPr>
        <w:t> </w:t>
      </w:r>
      <w:r w:rsidRPr="00F126F8">
        <w:rPr>
          <w:lang w:val="en-US"/>
        </w:rPr>
        <w:t>% fractile value of the static friction coefficient</w:t>
      </w:r>
      <w:r>
        <w:t>.</w:t>
      </w:r>
    </w:p>
    <w:p w14:paraId="056AB3F5" w14:textId="32026E17" w:rsidR="004A4224" w:rsidRPr="000E4D3D" w:rsidRDefault="004A4224" w:rsidP="0080187E">
      <w:pPr>
        <w:pStyle w:val="Clause"/>
        <w:numPr>
          <w:ilvl w:val="0"/>
          <w:numId w:val="225"/>
        </w:numPr>
        <w:rPr>
          <w:bCs/>
          <w:lang w:eastAsia="en-US"/>
        </w:rPr>
      </w:pPr>
      <w:r w:rsidRPr="000E4D3D">
        <w:rPr>
          <w:bCs/>
          <w:lang w:eastAsia="en-US"/>
        </w:rPr>
        <w:t>The 5</w:t>
      </w:r>
      <w:r w:rsidR="00D4445A">
        <w:rPr>
          <w:bCs/>
          <w:lang w:eastAsia="en-US"/>
        </w:rPr>
        <w:t> </w:t>
      </w:r>
      <w:r w:rsidRPr="000E4D3D">
        <w:rPr>
          <w:bCs/>
          <w:lang w:eastAsia="en-US"/>
        </w:rPr>
        <w:t>% and 95</w:t>
      </w:r>
      <w:r w:rsidR="00D4445A">
        <w:rPr>
          <w:bCs/>
          <w:lang w:eastAsia="en-US"/>
        </w:rPr>
        <w:t> </w:t>
      </w:r>
      <w:r w:rsidRPr="000E4D3D">
        <w:rPr>
          <w:bCs/>
          <w:lang w:eastAsia="en-US"/>
        </w:rPr>
        <w:t xml:space="preserve">% fractile values of static and dynamic friction coefficients, strain rate overstrength factor </w:t>
      </w:r>
      <w:r w:rsidRPr="008C3236">
        <w:rPr>
          <w:bCs/>
          <w:i/>
          <w:iCs/>
          <w:lang w:eastAsia="en-US"/>
        </w:rPr>
        <w:t>ω</w:t>
      </w:r>
      <w:r w:rsidRPr="000E4D3D">
        <w:rPr>
          <w:bCs/>
          <w:vertAlign w:val="subscript"/>
          <w:lang w:eastAsia="en-US"/>
        </w:rPr>
        <w:t>sr</w:t>
      </w:r>
      <w:r w:rsidRPr="000E4D3D">
        <w:rPr>
          <w:bCs/>
          <w:lang w:eastAsia="en-US"/>
        </w:rPr>
        <w:t xml:space="preserve"> and the stability of the hysteretic behaviour of the connections should be evaluated from cyclic tests on lap-shear sliding connections with clamped interfaces having the same tribological properties of those adopted for the friction connections. The test procedure and the acceptance criteria are detailed in prCEN/TS</w:t>
      </w:r>
      <w:r w:rsidR="003D0D28">
        <w:rPr>
          <w:bCs/>
          <w:lang w:eastAsia="en-US"/>
        </w:rPr>
        <w:t> </w:t>
      </w:r>
      <w:r w:rsidRPr="000E4D3D">
        <w:rPr>
          <w:bCs/>
          <w:lang w:eastAsia="en-US"/>
        </w:rPr>
        <w:t>1998-</w:t>
      </w:r>
      <w:r w:rsidR="00460A67">
        <w:rPr>
          <w:bCs/>
          <w:lang w:eastAsia="en-US"/>
        </w:rPr>
        <w:t>1-101</w:t>
      </w:r>
      <w:r w:rsidR="0026060E">
        <w:rPr>
          <w:bCs/>
          <w:lang w:eastAsia="en-US"/>
        </w:rPr>
        <w:t>.</w:t>
      </w:r>
    </w:p>
    <w:p w14:paraId="69866E55" w14:textId="505F7162" w:rsidR="004A4224" w:rsidRPr="000E4D3D" w:rsidRDefault="004A4224" w:rsidP="0080187E">
      <w:pPr>
        <w:pStyle w:val="Clause"/>
        <w:numPr>
          <w:ilvl w:val="0"/>
          <w:numId w:val="225"/>
        </w:numPr>
        <w:rPr>
          <w:bCs/>
          <w:lang w:eastAsia="en-US"/>
        </w:rPr>
      </w:pPr>
      <w:r w:rsidRPr="000E4D3D">
        <w:rPr>
          <w:bCs/>
          <w:lang w:eastAsia="en-US"/>
        </w:rPr>
        <w:t xml:space="preserve">The experimentally measured total overstrength </w:t>
      </w:r>
      <m:oMath>
        <m:sSub>
          <m:sSubPr>
            <m:ctrlPr>
              <w:rPr>
                <w:rFonts w:ascii="Cambria Math" w:hAnsi="Cambria Math"/>
                <w:bCs/>
                <w:lang w:eastAsia="en-US"/>
              </w:rPr>
            </m:ctrlPr>
          </m:sSubPr>
          <m:e>
            <m:r>
              <w:rPr>
                <w:rFonts w:ascii="Cambria Math" w:hAnsi="Cambria Math"/>
                <w:lang w:eastAsia="en-US"/>
              </w:rPr>
              <m:t>1.3ω</m:t>
            </m:r>
          </m:e>
          <m:sub>
            <m:r>
              <w:rPr>
                <w:rFonts w:ascii="Cambria Math" w:hAnsi="Cambria Math"/>
                <w:lang w:eastAsia="en-US"/>
              </w:rPr>
              <m:t>sr</m:t>
            </m:r>
          </m:sub>
        </m:sSub>
        <m:r>
          <w:rPr>
            <w:rFonts w:ascii="Cambria Math" w:hAnsi="Cambria Math"/>
            <w:lang w:eastAsia="en-US"/>
          </w:rPr>
          <m:t xml:space="preserve"> </m:t>
        </m:r>
        <m:sSub>
          <m:sSubPr>
            <m:ctrlPr>
              <w:rPr>
                <w:rFonts w:ascii="Cambria Math" w:hAnsi="Cambria Math"/>
                <w:bCs/>
                <w:lang w:eastAsia="en-US"/>
              </w:rPr>
            </m:ctrlPr>
          </m:sSubPr>
          <m:e>
            <m:r>
              <w:rPr>
                <w:rFonts w:ascii="Cambria Math" w:hAnsi="Cambria Math"/>
                <w:lang w:eastAsia="en-US"/>
              </w:rPr>
              <m:t>ω</m:t>
            </m:r>
          </m:e>
          <m:sub>
            <m:r>
              <w:rPr>
                <w:rFonts w:ascii="Cambria Math" w:hAnsi="Cambria Math"/>
                <w:lang w:eastAsia="en-US"/>
              </w:rPr>
              <m:t>μ</m:t>
            </m:r>
          </m:sub>
        </m:sSub>
      </m:oMath>
      <w:r w:rsidRPr="000E4D3D">
        <w:rPr>
          <w:bCs/>
          <w:lang w:eastAsia="en-US"/>
        </w:rPr>
        <w:t xml:space="preserve"> of the friction connection should not be greater than 2,20.</w:t>
      </w:r>
    </w:p>
    <w:p w14:paraId="654392C9" w14:textId="788D97A3" w:rsidR="004A4224" w:rsidRPr="000E4D3D" w:rsidRDefault="004A4224" w:rsidP="0080187E">
      <w:pPr>
        <w:pStyle w:val="Clause"/>
        <w:numPr>
          <w:ilvl w:val="0"/>
          <w:numId w:val="225"/>
        </w:numPr>
        <w:rPr>
          <w:bCs/>
          <w:lang w:eastAsia="en-US"/>
        </w:rPr>
      </w:pPr>
      <w:r w:rsidRPr="000E4D3D">
        <w:rPr>
          <w:bCs/>
          <w:lang w:eastAsia="en-US"/>
        </w:rPr>
        <w:t xml:space="preserve">The tightening procedure of the bolts of the friction connections should be controlled in order to guarantee the application of the design value of </w:t>
      </w:r>
      <w:r w:rsidRPr="000E4D3D">
        <w:rPr>
          <w:bCs/>
          <w:i/>
          <w:iCs/>
          <w:lang w:eastAsia="en-US"/>
        </w:rPr>
        <w:t>F</w:t>
      </w:r>
      <w:r w:rsidRPr="000E4D3D">
        <w:rPr>
          <w:bCs/>
          <w:vertAlign w:val="subscript"/>
          <w:lang w:eastAsia="en-US"/>
        </w:rPr>
        <w:t>p,s</w:t>
      </w:r>
      <w:r w:rsidRPr="000E4D3D">
        <w:rPr>
          <w:bCs/>
          <w:lang w:eastAsia="en-US"/>
        </w:rPr>
        <w:t xml:space="preserve"> as specified in </w:t>
      </w:r>
      <w:r w:rsidRPr="00835C82">
        <w:rPr>
          <w:lang w:eastAsia="en-US"/>
        </w:rPr>
        <w:t>(3)</w:t>
      </w:r>
      <w:r w:rsidRPr="000E4D3D">
        <w:rPr>
          <w:bCs/>
          <w:lang w:eastAsia="en-US"/>
        </w:rPr>
        <w:t xml:space="preserve">. </w:t>
      </w:r>
    </w:p>
    <w:p w14:paraId="6C63160A" w14:textId="6AFF3CA7" w:rsidR="004A4224" w:rsidRPr="000E4D3D" w:rsidRDefault="004A4224" w:rsidP="0080187E">
      <w:pPr>
        <w:pStyle w:val="Clause"/>
        <w:numPr>
          <w:ilvl w:val="0"/>
          <w:numId w:val="225"/>
        </w:numPr>
        <w:rPr>
          <w:bCs/>
          <w:lang w:eastAsia="en-US"/>
        </w:rPr>
      </w:pPr>
      <w:r w:rsidRPr="00835C82">
        <w:rPr>
          <w:bCs/>
          <w:lang w:eastAsia="en-US"/>
        </w:rPr>
        <w:t>E.3.3.4(6)</w:t>
      </w:r>
      <w:r w:rsidRPr="000E4D3D">
        <w:rPr>
          <w:bCs/>
          <w:lang w:eastAsia="en-US"/>
        </w:rPr>
        <w:t xml:space="preserve"> should be applied. The clear span-to-depth ratio (i.e. the distance between the assumed location of plastic hinges divided by the beam depth) should not be less than 7 for MRFs and 5 for dual frames.</w:t>
      </w:r>
    </w:p>
    <w:p w14:paraId="3051627D" w14:textId="3B638635" w:rsidR="004A4224" w:rsidRPr="000E4D3D" w:rsidRDefault="004A4224" w:rsidP="0080187E">
      <w:pPr>
        <w:pStyle w:val="Clause"/>
        <w:numPr>
          <w:ilvl w:val="0"/>
          <w:numId w:val="225"/>
        </w:numPr>
        <w:rPr>
          <w:bCs/>
          <w:lang w:eastAsia="en-US"/>
        </w:rPr>
      </w:pPr>
      <w:r w:rsidRPr="00835C82">
        <w:rPr>
          <w:bCs/>
          <w:lang w:eastAsia="en-US"/>
        </w:rPr>
        <w:t>E.3.3.4(7)</w:t>
      </w:r>
      <w:r w:rsidRPr="000E4D3D">
        <w:rPr>
          <w:bCs/>
          <w:lang w:eastAsia="en-US"/>
        </w:rPr>
        <w:t xml:space="preserve"> should be applied, but with a beam depth range from 230 mm to 910 mm.</w:t>
      </w:r>
    </w:p>
    <w:p w14:paraId="3D3C1BC5" w14:textId="74207831" w:rsidR="004A4224" w:rsidRPr="000E4D3D" w:rsidRDefault="004A4224" w:rsidP="0080187E">
      <w:pPr>
        <w:pStyle w:val="Clause"/>
        <w:numPr>
          <w:ilvl w:val="0"/>
          <w:numId w:val="225"/>
        </w:numPr>
        <w:rPr>
          <w:bCs/>
          <w:lang w:eastAsia="en-US"/>
        </w:rPr>
      </w:pPr>
      <w:r w:rsidRPr="00835C82">
        <w:rPr>
          <w:bCs/>
          <w:lang w:eastAsia="en-US"/>
        </w:rPr>
        <w:t>E.3.3.4(8)</w:t>
      </w:r>
      <w:r w:rsidRPr="000E4D3D">
        <w:rPr>
          <w:bCs/>
          <w:lang w:eastAsia="en-US"/>
        </w:rPr>
        <w:t xml:space="preserve"> should be applied, but with a column depth range from 200 mm to 1000 mm.</w:t>
      </w:r>
    </w:p>
    <w:p w14:paraId="46021D8C" w14:textId="1CAFE0F2" w:rsidR="004A4224" w:rsidRPr="000E4D3D" w:rsidRDefault="004A4224" w:rsidP="0080187E">
      <w:pPr>
        <w:pStyle w:val="Clause"/>
        <w:numPr>
          <w:ilvl w:val="0"/>
          <w:numId w:val="225"/>
        </w:numPr>
        <w:rPr>
          <w:bCs/>
          <w:lang w:eastAsia="en-US"/>
        </w:rPr>
      </w:pPr>
      <w:r w:rsidRPr="00835C82">
        <w:rPr>
          <w:bCs/>
          <w:lang w:eastAsia="en-US"/>
        </w:rPr>
        <w:t>E.3.3.4(10)</w:t>
      </w:r>
      <w:r w:rsidRPr="000E4D3D">
        <w:rPr>
          <w:bCs/>
          <w:lang w:eastAsia="en-US"/>
        </w:rPr>
        <w:t xml:space="preserve"> should be applied.</w:t>
      </w:r>
    </w:p>
    <w:p w14:paraId="5A345A8D" w14:textId="2255622E" w:rsidR="004A4224" w:rsidRPr="000E4D3D" w:rsidRDefault="004A4224" w:rsidP="0080187E">
      <w:pPr>
        <w:pStyle w:val="Clause"/>
        <w:numPr>
          <w:ilvl w:val="0"/>
          <w:numId w:val="225"/>
        </w:numPr>
        <w:rPr>
          <w:bCs/>
          <w:lang w:eastAsia="en-US"/>
        </w:rPr>
      </w:pPr>
      <w:r w:rsidRPr="000E4D3D">
        <w:rPr>
          <w:bCs/>
          <w:lang w:eastAsia="en-US"/>
        </w:rPr>
        <w:t xml:space="preserve">Continuity plates should satisfy </w:t>
      </w:r>
      <w:r w:rsidRPr="00835C82">
        <w:rPr>
          <w:bCs/>
          <w:lang w:eastAsia="en-US"/>
        </w:rPr>
        <w:t xml:space="preserve">E.3.3.2(5) </w:t>
      </w:r>
      <w:r w:rsidRPr="000E4D3D">
        <w:rPr>
          <w:bCs/>
          <w:lang w:eastAsia="en-US"/>
        </w:rPr>
        <w:t>and</w:t>
      </w:r>
      <w:r w:rsidRPr="00835C82">
        <w:rPr>
          <w:bCs/>
          <w:lang w:eastAsia="en-US"/>
        </w:rPr>
        <w:t xml:space="preserve"> E.3.3.2(6)</w:t>
      </w:r>
      <w:r w:rsidRPr="000E4D3D">
        <w:rPr>
          <w:bCs/>
          <w:lang w:eastAsia="en-US"/>
        </w:rPr>
        <w:t>.</w:t>
      </w:r>
    </w:p>
    <w:p w14:paraId="2582B322" w14:textId="545E3BBD" w:rsidR="004A4224" w:rsidRPr="000E4D3D" w:rsidRDefault="004A4224" w:rsidP="0080187E">
      <w:pPr>
        <w:pStyle w:val="Clause"/>
        <w:numPr>
          <w:ilvl w:val="0"/>
          <w:numId w:val="225"/>
        </w:numPr>
        <w:rPr>
          <w:bCs/>
          <w:lang w:eastAsia="en-US"/>
        </w:rPr>
      </w:pPr>
      <w:r w:rsidRPr="000E4D3D">
        <w:rPr>
          <w:bCs/>
          <w:lang w:eastAsia="en-US"/>
        </w:rPr>
        <w:t xml:space="preserve">The thickness of the web of haunch and the rib should </w:t>
      </w:r>
      <w:r w:rsidRPr="006B4FD6">
        <w:rPr>
          <w:bCs/>
          <w:color w:val="auto"/>
          <w:lang w:eastAsia="en-US"/>
        </w:rPr>
        <w:t>satisfy Formula (E.6).</w:t>
      </w:r>
    </w:p>
    <w:p w14:paraId="221EE603" w14:textId="3E26B068" w:rsidR="004A4224" w:rsidRPr="000E4D3D" w:rsidRDefault="004A4224" w:rsidP="0080187E">
      <w:pPr>
        <w:pStyle w:val="Clause"/>
        <w:numPr>
          <w:ilvl w:val="0"/>
          <w:numId w:val="225"/>
        </w:numPr>
        <w:rPr>
          <w:bCs/>
          <w:lang w:eastAsia="en-US"/>
        </w:rPr>
      </w:pPr>
      <w:r w:rsidRPr="000E4D3D">
        <w:rPr>
          <w:bCs/>
          <w:lang w:eastAsia="en-US"/>
        </w:rPr>
        <w:t xml:space="preserve">The types of welds to be used for haunch and rib should comply with those in </w:t>
      </w:r>
      <w:r w:rsidRPr="00835C82">
        <w:rPr>
          <w:bCs/>
          <w:lang w:eastAsia="en-US"/>
        </w:rPr>
        <w:t>E.3.3.3</w:t>
      </w:r>
      <w:r w:rsidRPr="000E4D3D">
        <w:rPr>
          <w:bCs/>
          <w:lang w:eastAsia="en-US"/>
        </w:rPr>
        <w:t xml:space="preserve"> and E.3.3.4(14). The types of welds to be used for the upper T-Stub should comply with those in E.3.3.3(3) and Figure E.4.</w:t>
      </w:r>
    </w:p>
    <w:p w14:paraId="166ABF95" w14:textId="44AEC9A8" w:rsidR="004A4224" w:rsidRPr="000E4D3D" w:rsidRDefault="007C63B2" w:rsidP="00691F56">
      <w:pPr>
        <w:pStyle w:val="FigureImage"/>
        <w:keepLines/>
        <w:pageBreakBefore/>
      </w:pPr>
      <w:r>
        <w:rPr>
          <w:noProof/>
        </w:rPr>
        <w:drawing>
          <wp:inline distT="0" distB="0" distL="0" distR="0" wp14:anchorId="007B044F" wp14:editId="42CDBB02">
            <wp:extent cx="4140715" cy="2386588"/>
            <wp:effectExtent l="0" t="0" r="0" b="0"/>
            <wp:docPr id="2081949467" name="e017.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1949467" name="e017.tiff"/>
                    <pic:cNvPicPr/>
                  </pic:nvPicPr>
                  <pic:blipFill>
                    <a:blip r:link="rId103"/>
                    <a:stretch>
                      <a:fillRect/>
                    </a:stretch>
                  </pic:blipFill>
                  <pic:spPr>
                    <a:xfrm>
                      <a:off x="0" y="0"/>
                      <a:ext cx="4140715" cy="2386588"/>
                    </a:xfrm>
                    <a:prstGeom prst="rect">
                      <a:avLst/>
                    </a:prstGeom>
                  </pic:spPr>
                </pic:pic>
              </a:graphicData>
            </a:graphic>
          </wp:inline>
        </w:drawing>
      </w:r>
    </w:p>
    <w:p w14:paraId="0043D3FA" w14:textId="77777777" w:rsidR="007C63B2" w:rsidRPr="00D1484A" w:rsidRDefault="007C63B2" w:rsidP="00691F56">
      <w:pPr>
        <w:pStyle w:val="KeyTitle"/>
        <w:keepLines/>
      </w:pPr>
      <w:r w:rsidRPr="00D1484A">
        <w:t>Key</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7"/>
        <w:gridCol w:w="2658"/>
        <w:gridCol w:w="425"/>
        <w:gridCol w:w="4891"/>
      </w:tblGrid>
      <w:tr w:rsidR="00A145F0" w:rsidRPr="00D4445A" w14:paraId="292BEDA8" w14:textId="4F36D233" w:rsidTr="00A145F0">
        <w:tc>
          <w:tcPr>
            <w:tcW w:w="427" w:type="dxa"/>
          </w:tcPr>
          <w:p w14:paraId="4527D857" w14:textId="77777777" w:rsidR="00A145F0" w:rsidRPr="00D4445A" w:rsidRDefault="00A145F0" w:rsidP="00A145F0">
            <w:pPr>
              <w:pStyle w:val="KeyText"/>
              <w:keepNext/>
              <w:keepLines/>
              <w:spacing w:before="0"/>
              <w:rPr>
                <w:iCs/>
              </w:rPr>
            </w:pPr>
            <w:r w:rsidRPr="00D4445A">
              <w:rPr>
                <w:iCs/>
              </w:rPr>
              <w:t>A</w:t>
            </w:r>
          </w:p>
        </w:tc>
        <w:tc>
          <w:tcPr>
            <w:tcW w:w="2658" w:type="dxa"/>
          </w:tcPr>
          <w:p w14:paraId="24A35621" w14:textId="6EFE1BDA" w:rsidR="00A145F0" w:rsidRPr="00D4445A" w:rsidRDefault="00A145F0" w:rsidP="00A145F0">
            <w:pPr>
              <w:pStyle w:val="KeyText"/>
              <w:keepNext/>
              <w:keepLines/>
              <w:spacing w:before="0"/>
            </w:pPr>
            <w:r w:rsidRPr="00D4445A">
              <w:t>slotted haunch</w:t>
            </w:r>
          </w:p>
        </w:tc>
        <w:tc>
          <w:tcPr>
            <w:tcW w:w="425" w:type="dxa"/>
          </w:tcPr>
          <w:p w14:paraId="30D5962C" w14:textId="31E341EF" w:rsidR="00A145F0" w:rsidRPr="00D4445A" w:rsidRDefault="00A145F0" w:rsidP="00A145F0">
            <w:pPr>
              <w:pStyle w:val="KeyText"/>
              <w:keepNext/>
              <w:keepLines/>
              <w:spacing w:before="0"/>
            </w:pPr>
            <w:r w:rsidRPr="00D4445A">
              <w:rPr>
                <w:iCs/>
              </w:rPr>
              <w:t>F</w:t>
            </w:r>
          </w:p>
        </w:tc>
        <w:tc>
          <w:tcPr>
            <w:tcW w:w="4891" w:type="dxa"/>
          </w:tcPr>
          <w:p w14:paraId="052AC6DF" w14:textId="76653F6B" w:rsidR="00A145F0" w:rsidRPr="00D4445A" w:rsidRDefault="00A145F0" w:rsidP="00A145F0">
            <w:pPr>
              <w:pStyle w:val="KeyText"/>
              <w:keepNext/>
              <w:keepLines/>
              <w:spacing w:before="0"/>
            </w:pPr>
            <w:r w:rsidRPr="00D4445A">
              <w:t>triangular web stiffeners</w:t>
            </w:r>
          </w:p>
        </w:tc>
      </w:tr>
      <w:tr w:rsidR="00A145F0" w:rsidRPr="00D4445A" w14:paraId="3D5D4080" w14:textId="551C1268" w:rsidTr="00A145F0">
        <w:tc>
          <w:tcPr>
            <w:tcW w:w="427" w:type="dxa"/>
          </w:tcPr>
          <w:p w14:paraId="15490C51" w14:textId="77777777" w:rsidR="00A145F0" w:rsidRPr="00D4445A" w:rsidRDefault="00A145F0" w:rsidP="00A145F0">
            <w:pPr>
              <w:pStyle w:val="KeyText"/>
              <w:keepNext/>
              <w:keepLines/>
              <w:spacing w:before="0"/>
              <w:rPr>
                <w:iCs/>
              </w:rPr>
            </w:pPr>
            <w:r w:rsidRPr="00D4445A">
              <w:rPr>
                <w:iCs/>
              </w:rPr>
              <w:t>B</w:t>
            </w:r>
          </w:p>
        </w:tc>
        <w:tc>
          <w:tcPr>
            <w:tcW w:w="2658" w:type="dxa"/>
          </w:tcPr>
          <w:p w14:paraId="2E6A4170" w14:textId="4A36B367" w:rsidR="00A145F0" w:rsidRPr="00D4445A" w:rsidRDefault="00A145F0" w:rsidP="00A145F0">
            <w:pPr>
              <w:pStyle w:val="KeyText"/>
              <w:keepNext/>
              <w:keepLines/>
              <w:spacing w:before="0"/>
            </w:pPr>
            <w:r w:rsidRPr="00D4445A">
              <w:t>beam</w:t>
            </w:r>
          </w:p>
        </w:tc>
        <w:tc>
          <w:tcPr>
            <w:tcW w:w="425" w:type="dxa"/>
          </w:tcPr>
          <w:p w14:paraId="433CFCCD" w14:textId="253EE4A8" w:rsidR="00A145F0" w:rsidRPr="00D4445A" w:rsidRDefault="00A145F0" w:rsidP="00A145F0">
            <w:pPr>
              <w:pStyle w:val="KeyText"/>
              <w:keepNext/>
              <w:keepLines/>
              <w:spacing w:before="0"/>
            </w:pPr>
            <w:r w:rsidRPr="00D4445A">
              <w:rPr>
                <w:iCs/>
              </w:rPr>
              <w:t>G</w:t>
            </w:r>
          </w:p>
        </w:tc>
        <w:tc>
          <w:tcPr>
            <w:tcW w:w="4891" w:type="dxa"/>
          </w:tcPr>
          <w:p w14:paraId="30FAFEDE" w14:textId="78D6D360" w:rsidR="00A145F0" w:rsidRPr="00D4445A" w:rsidRDefault="00A145F0" w:rsidP="00A145F0">
            <w:pPr>
              <w:pStyle w:val="KeyText"/>
              <w:keepNext/>
              <w:keepLines/>
              <w:spacing w:before="0"/>
            </w:pPr>
            <w:r w:rsidRPr="00D4445A">
              <w:t>continuity plates</w:t>
            </w:r>
          </w:p>
        </w:tc>
      </w:tr>
      <w:tr w:rsidR="00A145F0" w:rsidRPr="00D4445A" w14:paraId="3DC603E0" w14:textId="28105162" w:rsidTr="00A145F0">
        <w:tc>
          <w:tcPr>
            <w:tcW w:w="427" w:type="dxa"/>
          </w:tcPr>
          <w:p w14:paraId="3D804E09" w14:textId="77777777" w:rsidR="00A145F0" w:rsidRPr="00D4445A" w:rsidRDefault="00A145F0" w:rsidP="00A145F0">
            <w:pPr>
              <w:pStyle w:val="KeyText"/>
              <w:keepNext/>
              <w:keepLines/>
              <w:spacing w:before="0"/>
              <w:rPr>
                <w:iCs/>
              </w:rPr>
            </w:pPr>
            <w:r w:rsidRPr="00D4445A">
              <w:rPr>
                <w:iCs/>
              </w:rPr>
              <w:t>C</w:t>
            </w:r>
          </w:p>
        </w:tc>
        <w:tc>
          <w:tcPr>
            <w:tcW w:w="2658" w:type="dxa"/>
          </w:tcPr>
          <w:p w14:paraId="7E3E7972" w14:textId="34678DCB" w:rsidR="00A145F0" w:rsidRPr="00D4445A" w:rsidRDefault="00A145F0" w:rsidP="00A145F0">
            <w:pPr>
              <w:pStyle w:val="KeyText"/>
              <w:keepNext/>
              <w:keepLines/>
              <w:spacing w:before="0"/>
              <w:ind w:left="0" w:firstLine="0"/>
            </w:pPr>
            <w:r w:rsidRPr="00D4445A">
              <w:t>column</w:t>
            </w:r>
          </w:p>
        </w:tc>
        <w:tc>
          <w:tcPr>
            <w:tcW w:w="425" w:type="dxa"/>
          </w:tcPr>
          <w:p w14:paraId="47640AC7" w14:textId="6477FB9D" w:rsidR="00A145F0" w:rsidRPr="00D4445A" w:rsidRDefault="00A145F0" w:rsidP="00A145F0">
            <w:pPr>
              <w:pStyle w:val="KeyText"/>
              <w:keepNext/>
              <w:keepLines/>
              <w:spacing w:before="0"/>
              <w:ind w:left="0" w:firstLine="0"/>
            </w:pPr>
            <w:r w:rsidRPr="00D4445A">
              <w:rPr>
                <w:iCs/>
              </w:rPr>
              <w:t>H</w:t>
            </w:r>
          </w:p>
        </w:tc>
        <w:tc>
          <w:tcPr>
            <w:tcW w:w="4891" w:type="dxa"/>
          </w:tcPr>
          <w:p w14:paraId="150EE210" w14:textId="69FCAC0C" w:rsidR="00A145F0" w:rsidRPr="00D4445A" w:rsidRDefault="00A145F0" w:rsidP="00A145F0">
            <w:pPr>
              <w:pStyle w:val="KeyText"/>
              <w:keepNext/>
              <w:keepLines/>
              <w:spacing w:before="0"/>
              <w:ind w:left="0" w:firstLine="0"/>
            </w:pPr>
            <w:r w:rsidRPr="00D4445A">
              <w:t>friction shims</w:t>
            </w:r>
          </w:p>
        </w:tc>
      </w:tr>
      <w:tr w:rsidR="00A145F0" w:rsidRPr="00D4445A" w14:paraId="31031854" w14:textId="770341E5" w:rsidTr="00A145F0">
        <w:tc>
          <w:tcPr>
            <w:tcW w:w="427" w:type="dxa"/>
          </w:tcPr>
          <w:p w14:paraId="708F6CC8" w14:textId="77777777" w:rsidR="00A145F0" w:rsidRPr="00D4445A" w:rsidRDefault="00A145F0" w:rsidP="00A145F0">
            <w:pPr>
              <w:pStyle w:val="KeyText"/>
              <w:keepNext/>
              <w:keepLines/>
              <w:spacing w:before="0"/>
              <w:rPr>
                <w:iCs/>
              </w:rPr>
            </w:pPr>
            <w:r w:rsidRPr="00D4445A">
              <w:rPr>
                <w:iCs/>
              </w:rPr>
              <w:t>D</w:t>
            </w:r>
          </w:p>
        </w:tc>
        <w:tc>
          <w:tcPr>
            <w:tcW w:w="2658" w:type="dxa"/>
          </w:tcPr>
          <w:p w14:paraId="494D2EA4" w14:textId="2C571920" w:rsidR="00A145F0" w:rsidRPr="00D4445A" w:rsidRDefault="00A145F0" w:rsidP="00A145F0">
            <w:pPr>
              <w:pStyle w:val="KeyText"/>
              <w:keepNext/>
              <w:keepLines/>
              <w:spacing w:before="0"/>
              <w:ind w:left="0" w:firstLine="0"/>
            </w:pPr>
            <w:r w:rsidRPr="00D4445A">
              <w:t>bolted t-stub</w:t>
            </w:r>
          </w:p>
        </w:tc>
        <w:tc>
          <w:tcPr>
            <w:tcW w:w="425" w:type="dxa"/>
          </w:tcPr>
          <w:p w14:paraId="2C6772C7" w14:textId="1D61256C" w:rsidR="00A145F0" w:rsidRPr="00D4445A" w:rsidRDefault="00A145F0" w:rsidP="00A145F0">
            <w:pPr>
              <w:pStyle w:val="KeyText"/>
              <w:keepNext/>
              <w:keepLines/>
              <w:spacing w:before="0"/>
              <w:ind w:left="0" w:firstLine="0"/>
            </w:pPr>
            <w:r w:rsidRPr="00D4445A">
              <w:rPr>
                <w:iCs/>
              </w:rPr>
              <w:t>I</w:t>
            </w:r>
          </w:p>
        </w:tc>
        <w:tc>
          <w:tcPr>
            <w:tcW w:w="4891" w:type="dxa"/>
          </w:tcPr>
          <w:p w14:paraId="5303F656" w14:textId="32E56AA4" w:rsidR="00A145F0" w:rsidRPr="00D4445A" w:rsidRDefault="00A145F0" w:rsidP="00A145F0">
            <w:pPr>
              <w:pStyle w:val="KeyText"/>
              <w:keepNext/>
              <w:keepLines/>
              <w:spacing w:before="0"/>
              <w:ind w:left="0" w:firstLine="0"/>
            </w:pPr>
            <w:r w:rsidRPr="00D4445A">
              <w:t>pre-loadable bolts</w:t>
            </w:r>
          </w:p>
        </w:tc>
      </w:tr>
      <w:tr w:rsidR="00A145F0" w:rsidRPr="00D4445A" w14:paraId="6DE1A4E8" w14:textId="5A0E1CBA" w:rsidTr="00A145F0">
        <w:tc>
          <w:tcPr>
            <w:tcW w:w="427" w:type="dxa"/>
          </w:tcPr>
          <w:p w14:paraId="0BFB26AF" w14:textId="246BAB08" w:rsidR="00A145F0" w:rsidRPr="00D4445A" w:rsidRDefault="00A145F0" w:rsidP="00A145F0">
            <w:pPr>
              <w:pStyle w:val="KeyText"/>
              <w:keepNext/>
              <w:keepLines/>
              <w:spacing w:before="0"/>
              <w:rPr>
                <w:iCs/>
              </w:rPr>
            </w:pPr>
            <w:r w:rsidRPr="00D4445A">
              <w:rPr>
                <w:iCs/>
              </w:rPr>
              <w:t>E</w:t>
            </w:r>
          </w:p>
        </w:tc>
        <w:tc>
          <w:tcPr>
            <w:tcW w:w="2658" w:type="dxa"/>
          </w:tcPr>
          <w:p w14:paraId="3D07C371" w14:textId="3D9B84FC" w:rsidR="00A145F0" w:rsidRPr="00D4445A" w:rsidRDefault="00A145F0" w:rsidP="00A145F0">
            <w:pPr>
              <w:pStyle w:val="KeyText"/>
              <w:keepNext/>
              <w:keepLines/>
              <w:spacing w:before="0"/>
              <w:ind w:left="0" w:firstLine="0"/>
            </w:pPr>
            <w:r w:rsidRPr="00D4445A">
              <w:t>l-stubs</w:t>
            </w:r>
          </w:p>
        </w:tc>
        <w:tc>
          <w:tcPr>
            <w:tcW w:w="425" w:type="dxa"/>
          </w:tcPr>
          <w:p w14:paraId="16FBE4DE" w14:textId="77777777" w:rsidR="00A145F0" w:rsidRPr="00D4445A" w:rsidRDefault="00A145F0" w:rsidP="00A145F0">
            <w:pPr>
              <w:pStyle w:val="KeyText"/>
              <w:keepNext/>
              <w:keepLines/>
              <w:spacing w:before="0"/>
              <w:ind w:left="0" w:firstLine="0"/>
            </w:pPr>
          </w:p>
        </w:tc>
        <w:tc>
          <w:tcPr>
            <w:tcW w:w="4891" w:type="dxa"/>
          </w:tcPr>
          <w:p w14:paraId="6A710374" w14:textId="17AB056D" w:rsidR="00A145F0" w:rsidRPr="00D4445A" w:rsidRDefault="00A145F0" w:rsidP="00A145F0">
            <w:pPr>
              <w:pStyle w:val="KeyText"/>
              <w:keepNext/>
              <w:keepLines/>
              <w:spacing w:before="0"/>
              <w:ind w:left="0" w:firstLine="0"/>
            </w:pPr>
          </w:p>
        </w:tc>
      </w:tr>
    </w:tbl>
    <w:p w14:paraId="18447D57" w14:textId="6E82F3FD" w:rsidR="004A4224" w:rsidRPr="000E4D3D" w:rsidRDefault="004A4224" w:rsidP="006B4FD6">
      <w:pPr>
        <w:pStyle w:val="Figuretitle"/>
      </w:pPr>
      <w:r w:rsidRPr="000E4D3D">
        <w:t>Figure E.</w:t>
      </w:r>
      <w:r w:rsidR="00724E4E">
        <w:t>17</w:t>
      </w:r>
      <w:r w:rsidRPr="000E4D3D">
        <w:t> — Friction connection with horizontal slip surface</w:t>
      </w:r>
    </w:p>
    <w:p w14:paraId="27A9183E" w14:textId="12CC839E" w:rsidR="004A4224" w:rsidRPr="000E4D3D" w:rsidRDefault="007C63B2" w:rsidP="007C63B2">
      <w:pPr>
        <w:pStyle w:val="FigureImage"/>
      </w:pPr>
      <w:r>
        <w:rPr>
          <w:noProof/>
        </w:rPr>
        <w:drawing>
          <wp:inline distT="0" distB="0" distL="0" distR="0" wp14:anchorId="4AE205F6" wp14:editId="41164F32">
            <wp:extent cx="4140715" cy="2325628"/>
            <wp:effectExtent l="0" t="0" r="0" b="0"/>
            <wp:docPr id="2081949468" name="e018.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1949468" name="e018.tiff"/>
                    <pic:cNvPicPr/>
                  </pic:nvPicPr>
                  <pic:blipFill>
                    <a:blip r:link="rId104"/>
                    <a:stretch>
                      <a:fillRect/>
                    </a:stretch>
                  </pic:blipFill>
                  <pic:spPr>
                    <a:xfrm>
                      <a:off x="0" y="0"/>
                      <a:ext cx="4140715" cy="2325628"/>
                    </a:xfrm>
                    <a:prstGeom prst="rect">
                      <a:avLst/>
                    </a:prstGeom>
                  </pic:spPr>
                </pic:pic>
              </a:graphicData>
            </a:graphic>
          </wp:inline>
        </w:drawing>
      </w:r>
    </w:p>
    <w:p w14:paraId="42C03887" w14:textId="77777777" w:rsidR="007C63B2" w:rsidRPr="00D1484A" w:rsidRDefault="007C63B2" w:rsidP="007C63B2">
      <w:pPr>
        <w:pStyle w:val="KeyTitle"/>
      </w:pPr>
      <w:r w:rsidRPr="00D1484A">
        <w:t>Key</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7"/>
        <w:gridCol w:w="2800"/>
        <w:gridCol w:w="425"/>
        <w:gridCol w:w="5175"/>
      </w:tblGrid>
      <w:tr w:rsidR="00A145F0" w:rsidRPr="00D4445A" w14:paraId="5E72A322" w14:textId="30BD4D31" w:rsidTr="00A145F0">
        <w:tc>
          <w:tcPr>
            <w:tcW w:w="427" w:type="dxa"/>
          </w:tcPr>
          <w:p w14:paraId="6345732D" w14:textId="77777777" w:rsidR="00A145F0" w:rsidRPr="00D4445A" w:rsidRDefault="00A145F0" w:rsidP="00A145F0">
            <w:pPr>
              <w:pStyle w:val="KeyText"/>
              <w:spacing w:before="0"/>
              <w:rPr>
                <w:iCs/>
              </w:rPr>
            </w:pPr>
            <w:r w:rsidRPr="00D4445A">
              <w:rPr>
                <w:iCs/>
              </w:rPr>
              <w:t>A</w:t>
            </w:r>
          </w:p>
        </w:tc>
        <w:tc>
          <w:tcPr>
            <w:tcW w:w="2800" w:type="dxa"/>
          </w:tcPr>
          <w:p w14:paraId="7A6060E8" w14:textId="77777777" w:rsidR="00A145F0" w:rsidRPr="00D4445A" w:rsidRDefault="00A145F0" w:rsidP="00A145F0">
            <w:pPr>
              <w:pStyle w:val="KeyText"/>
              <w:spacing w:before="0"/>
            </w:pPr>
            <w:r w:rsidRPr="00D4445A">
              <w:t>slotted haunch</w:t>
            </w:r>
          </w:p>
        </w:tc>
        <w:tc>
          <w:tcPr>
            <w:tcW w:w="425" w:type="dxa"/>
          </w:tcPr>
          <w:p w14:paraId="692C36D4" w14:textId="5C0D287E" w:rsidR="00A145F0" w:rsidRPr="00D4445A" w:rsidRDefault="00A145F0" w:rsidP="00A145F0">
            <w:pPr>
              <w:pStyle w:val="KeyText"/>
              <w:spacing w:before="0"/>
            </w:pPr>
            <w:r w:rsidRPr="00D4445A">
              <w:rPr>
                <w:iCs/>
              </w:rPr>
              <w:t>F</w:t>
            </w:r>
          </w:p>
        </w:tc>
        <w:tc>
          <w:tcPr>
            <w:tcW w:w="5175" w:type="dxa"/>
          </w:tcPr>
          <w:p w14:paraId="69472372" w14:textId="7FD76421" w:rsidR="00A145F0" w:rsidRPr="00D4445A" w:rsidRDefault="00A145F0" w:rsidP="00A145F0">
            <w:pPr>
              <w:pStyle w:val="KeyText"/>
              <w:spacing w:before="0"/>
            </w:pPr>
            <w:r w:rsidRPr="00D4445A">
              <w:t>triangular web stiffeners</w:t>
            </w:r>
          </w:p>
        </w:tc>
      </w:tr>
      <w:tr w:rsidR="00A145F0" w:rsidRPr="00D4445A" w14:paraId="54081843" w14:textId="6927B3AA" w:rsidTr="00A145F0">
        <w:tc>
          <w:tcPr>
            <w:tcW w:w="427" w:type="dxa"/>
          </w:tcPr>
          <w:p w14:paraId="6EE93D1E" w14:textId="77777777" w:rsidR="00A145F0" w:rsidRPr="00D4445A" w:rsidRDefault="00A145F0" w:rsidP="00A145F0">
            <w:pPr>
              <w:pStyle w:val="KeyText"/>
              <w:spacing w:before="0"/>
              <w:rPr>
                <w:iCs/>
              </w:rPr>
            </w:pPr>
            <w:r w:rsidRPr="00D4445A">
              <w:rPr>
                <w:iCs/>
              </w:rPr>
              <w:t>B</w:t>
            </w:r>
          </w:p>
        </w:tc>
        <w:tc>
          <w:tcPr>
            <w:tcW w:w="2800" w:type="dxa"/>
          </w:tcPr>
          <w:p w14:paraId="04DAAC13" w14:textId="77777777" w:rsidR="00A145F0" w:rsidRPr="00D4445A" w:rsidRDefault="00A145F0" w:rsidP="00A145F0">
            <w:pPr>
              <w:pStyle w:val="KeyText"/>
              <w:spacing w:before="0"/>
            </w:pPr>
            <w:r w:rsidRPr="00D4445A">
              <w:t>beam</w:t>
            </w:r>
          </w:p>
        </w:tc>
        <w:tc>
          <w:tcPr>
            <w:tcW w:w="425" w:type="dxa"/>
          </w:tcPr>
          <w:p w14:paraId="2033F824" w14:textId="05293795" w:rsidR="00A145F0" w:rsidRPr="00D4445A" w:rsidRDefault="00A145F0" w:rsidP="00A145F0">
            <w:pPr>
              <w:pStyle w:val="KeyText"/>
              <w:spacing w:before="0"/>
            </w:pPr>
            <w:r w:rsidRPr="00D4445A">
              <w:rPr>
                <w:iCs/>
              </w:rPr>
              <w:t>G</w:t>
            </w:r>
          </w:p>
        </w:tc>
        <w:tc>
          <w:tcPr>
            <w:tcW w:w="5175" w:type="dxa"/>
          </w:tcPr>
          <w:p w14:paraId="33246623" w14:textId="194610B2" w:rsidR="00A145F0" w:rsidRPr="00D4445A" w:rsidRDefault="00A145F0" w:rsidP="00A145F0">
            <w:pPr>
              <w:pStyle w:val="KeyText"/>
              <w:spacing w:before="0"/>
            </w:pPr>
            <w:r w:rsidRPr="00D4445A">
              <w:t>continuity plates</w:t>
            </w:r>
          </w:p>
        </w:tc>
      </w:tr>
      <w:tr w:rsidR="00A145F0" w:rsidRPr="00D4445A" w14:paraId="7006987B" w14:textId="166F1D57" w:rsidTr="00A145F0">
        <w:tc>
          <w:tcPr>
            <w:tcW w:w="427" w:type="dxa"/>
          </w:tcPr>
          <w:p w14:paraId="5597A77E" w14:textId="77777777" w:rsidR="00A145F0" w:rsidRPr="00D4445A" w:rsidRDefault="00A145F0" w:rsidP="00A145F0">
            <w:pPr>
              <w:pStyle w:val="KeyText"/>
              <w:spacing w:before="0"/>
              <w:rPr>
                <w:iCs/>
              </w:rPr>
            </w:pPr>
            <w:r w:rsidRPr="00D4445A">
              <w:rPr>
                <w:iCs/>
              </w:rPr>
              <w:t>C</w:t>
            </w:r>
          </w:p>
        </w:tc>
        <w:tc>
          <w:tcPr>
            <w:tcW w:w="2800" w:type="dxa"/>
          </w:tcPr>
          <w:p w14:paraId="36016EDB" w14:textId="77777777" w:rsidR="00A145F0" w:rsidRPr="00D4445A" w:rsidRDefault="00A145F0" w:rsidP="00A145F0">
            <w:pPr>
              <w:pStyle w:val="KeyText"/>
              <w:spacing w:before="0"/>
              <w:ind w:left="0" w:firstLine="0"/>
            </w:pPr>
            <w:r w:rsidRPr="00D4445A">
              <w:t>column</w:t>
            </w:r>
          </w:p>
        </w:tc>
        <w:tc>
          <w:tcPr>
            <w:tcW w:w="425" w:type="dxa"/>
          </w:tcPr>
          <w:p w14:paraId="5077FA41" w14:textId="2FFB2DAB" w:rsidR="00A145F0" w:rsidRPr="00D4445A" w:rsidRDefault="00A145F0" w:rsidP="00A145F0">
            <w:pPr>
              <w:pStyle w:val="KeyText"/>
              <w:spacing w:before="0"/>
              <w:ind w:left="0" w:firstLine="0"/>
            </w:pPr>
            <w:r w:rsidRPr="00D4445A">
              <w:rPr>
                <w:iCs/>
              </w:rPr>
              <w:t>H</w:t>
            </w:r>
          </w:p>
        </w:tc>
        <w:tc>
          <w:tcPr>
            <w:tcW w:w="5175" w:type="dxa"/>
          </w:tcPr>
          <w:p w14:paraId="3FC5572A" w14:textId="5213CB04" w:rsidR="00A145F0" w:rsidRPr="00D4445A" w:rsidRDefault="00A145F0" w:rsidP="00A145F0">
            <w:pPr>
              <w:pStyle w:val="KeyText"/>
              <w:spacing w:before="0"/>
              <w:ind w:left="0" w:firstLine="0"/>
            </w:pPr>
            <w:r w:rsidRPr="00D4445A">
              <w:t>friction shims</w:t>
            </w:r>
          </w:p>
        </w:tc>
      </w:tr>
      <w:tr w:rsidR="00A145F0" w:rsidRPr="00D4445A" w14:paraId="7B01AA55" w14:textId="10ADC7D1" w:rsidTr="00A145F0">
        <w:tc>
          <w:tcPr>
            <w:tcW w:w="427" w:type="dxa"/>
          </w:tcPr>
          <w:p w14:paraId="4814871E" w14:textId="77777777" w:rsidR="00A145F0" w:rsidRPr="00D4445A" w:rsidRDefault="00A145F0" w:rsidP="00A145F0">
            <w:pPr>
              <w:pStyle w:val="KeyText"/>
              <w:spacing w:before="0"/>
              <w:rPr>
                <w:iCs/>
              </w:rPr>
            </w:pPr>
            <w:r w:rsidRPr="00D4445A">
              <w:rPr>
                <w:iCs/>
              </w:rPr>
              <w:t>D</w:t>
            </w:r>
          </w:p>
        </w:tc>
        <w:tc>
          <w:tcPr>
            <w:tcW w:w="2800" w:type="dxa"/>
          </w:tcPr>
          <w:p w14:paraId="56905B0B" w14:textId="77777777" w:rsidR="00A145F0" w:rsidRPr="00D4445A" w:rsidRDefault="00A145F0" w:rsidP="00A145F0">
            <w:pPr>
              <w:pStyle w:val="KeyText"/>
              <w:spacing w:before="0"/>
              <w:ind w:left="0" w:firstLine="0"/>
            </w:pPr>
            <w:r w:rsidRPr="00D4445A">
              <w:t>bolted t-stub</w:t>
            </w:r>
          </w:p>
        </w:tc>
        <w:tc>
          <w:tcPr>
            <w:tcW w:w="425" w:type="dxa"/>
          </w:tcPr>
          <w:p w14:paraId="178A75E6" w14:textId="5C6046BF" w:rsidR="00A145F0" w:rsidRPr="00D4445A" w:rsidRDefault="00A145F0" w:rsidP="00A145F0">
            <w:pPr>
              <w:pStyle w:val="KeyText"/>
              <w:spacing w:before="0"/>
              <w:ind w:left="0" w:firstLine="0"/>
            </w:pPr>
            <w:r w:rsidRPr="00D4445A">
              <w:rPr>
                <w:iCs/>
              </w:rPr>
              <w:t>I</w:t>
            </w:r>
          </w:p>
        </w:tc>
        <w:tc>
          <w:tcPr>
            <w:tcW w:w="5175" w:type="dxa"/>
          </w:tcPr>
          <w:p w14:paraId="75D7636E" w14:textId="7486F59C" w:rsidR="00A145F0" w:rsidRPr="00D4445A" w:rsidRDefault="00A145F0" w:rsidP="00A145F0">
            <w:pPr>
              <w:pStyle w:val="KeyText"/>
              <w:spacing w:before="0"/>
              <w:ind w:left="0" w:firstLine="0"/>
            </w:pPr>
            <w:r w:rsidRPr="00D4445A">
              <w:t>pre-loadable bolts</w:t>
            </w:r>
          </w:p>
        </w:tc>
      </w:tr>
      <w:tr w:rsidR="00A145F0" w:rsidRPr="00D4445A" w14:paraId="71981010" w14:textId="630E703D" w:rsidTr="00A145F0">
        <w:tc>
          <w:tcPr>
            <w:tcW w:w="427" w:type="dxa"/>
          </w:tcPr>
          <w:p w14:paraId="09F069F4" w14:textId="77777777" w:rsidR="00A145F0" w:rsidRPr="00D4445A" w:rsidRDefault="00A145F0" w:rsidP="00A145F0">
            <w:pPr>
              <w:pStyle w:val="KeyText"/>
              <w:spacing w:before="0"/>
              <w:rPr>
                <w:iCs/>
              </w:rPr>
            </w:pPr>
            <w:r w:rsidRPr="00D4445A">
              <w:rPr>
                <w:iCs/>
              </w:rPr>
              <w:t>E</w:t>
            </w:r>
          </w:p>
        </w:tc>
        <w:tc>
          <w:tcPr>
            <w:tcW w:w="2800" w:type="dxa"/>
          </w:tcPr>
          <w:p w14:paraId="671D7ED8" w14:textId="01FAB60F" w:rsidR="00A145F0" w:rsidRPr="00D4445A" w:rsidRDefault="00A145F0" w:rsidP="00A145F0">
            <w:pPr>
              <w:pStyle w:val="KeyText"/>
              <w:spacing w:before="0"/>
              <w:ind w:left="0" w:firstLine="0"/>
            </w:pPr>
            <w:r w:rsidRPr="00D4445A">
              <w:t>slotted l-stubs</w:t>
            </w:r>
          </w:p>
        </w:tc>
        <w:tc>
          <w:tcPr>
            <w:tcW w:w="425" w:type="dxa"/>
          </w:tcPr>
          <w:p w14:paraId="7A92819C" w14:textId="77777777" w:rsidR="00A145F0" w:rsidRPr="00D4445A" w:rsidRDefault="00A145F0" w:rsidP="00A145F0">
            <w:pPr>
              <w:pStyle w:val="KeyText"/>
              <w:spacing w:before="0"/>
              <w:ind w:left="0" w:firstLine="0"/>
            </w:pPr>
          </w:p>
        </w:tc>
        <w:tc>
          <w:tcPr>
            <w:tcW w:w="5175" w:type="dxa"/>
          </w:tcPr>
          <w:p w14:paraId="3BF4C8F9" w14:textId="35D9AB6F" w:rsidR="00A145F0" w:rsidRPr="00D4445A" w:rsidRDefault="00A145F0" w:rsidP="00A145F0">
            <w:pPr>
              <w:pStyle w:val="KeyText"/>
              <w:spacing w:before="0"/>
              <w:ind w:left="0" w:firstLine="0"/>
            </w:pPr>
          </w:p>
        </w:tc>
      </w:tr>
    </w:tbl>
    <w:p w14:paraId="1D13BB52" w14:textId="3D2CED0D" w:rsidR="004A4224" w:rsidRPr="000E4D3D" w:rsidRDefault="004A4224" w:rsidP="006B4FD6">
      <w:pPr>
        <w:pStyle w:val="Figuretitle"/>
      </w:pPr>
      <w:r w:rsidRPr="000E4D3D">
        <w:t>Figure E.</w:t>
      </w:r>
      <w:r w:rsidR="00724E4E">
        <w:t>18</w:t>
      </w:r>
      <w:r w:rsidRPr="000E4D3D">
        <w:t> — Friction connection with vertical slip surface</w:t>
      </w:r>
    </w:p>
    <w:p w14:paraId="1906067E" w14:textId="6B0CA443" w:rsidR="004A4224" w:rsidRPr="000E4D3D" w:rsidRDefault="007C63B2" w:rsidP="007C63B2">
      <w:pPr>
        <w:pStyle w:val="FigureImage"/>
      </w:pPr>
      <w:r>
        <w:rPr>
          <w:noProof/>
        </w:rPr>
        <w:drawing>
          <wp:inline distT="0" distB="0" distL="0" distR="0" wp14:anchorId="5F069F24" wp14:editId="47FED602">
            <wp:extent cx="3240029" cy="1940055"/>
            <wp:effectExtent l="0" t="0" r="0" b="0"/>
            <wp:docPr id="2081949469" name="e019.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1949469" name="e019.tiff"/>
                    <pic:cNvPicPr/>
                  </pic:nvPicPr>
                  <pic:blipFill>
                    <a:blip r:link="rId105"/>
                    <a:stretch>
                      <a:fillRect/>
                    </a:stretch>
                  </pic:blipFill>
                  <pic:spPr>
                    <a:xfrm>
                      <a:off x="0" y="0"/>
                      <a:ext cx="3240029" cy="1940055"/>
                    </a:xfrm>
                    <a:prstGeom prst="rect">
                      <a:avLst/>
                    </a:prstGeom>
                  </pic:spPr>
                </pic:pic>
              </a:graphicData>
            </a:graphic>
          </wp:inline>
        </w:drawing>
      </w:r>
    </w:p>
    <w:p w14:paraId="25FC7236" w14:textId="77777777" w:rsidR="007C63B2" w:rsidRPr="00D1484A" w:rsidRDefault="007C63B2" w:rsidP="007C63B2">
      <w:pPr>
        <w:pStyle w:val="KeyTitle"/>
      </w:pPr>
      <w:r w:rsidRPr="00D1484A">
        <w:t>Key</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7"/>
        <w:gridCol w:w="8186"/>
      </w:tblGrid>
      <w:tr w:rsidR="007C63B2" w:rsidRPr="00D4445A" w14:paraId="114BEA21" w14:textId="77777777" w:rsidTr="00A145F0">
        <w:tc>
          <w:tcPr>
            <w:tcW w:w="427" w:type="dxa"/>
          </w:tcPr>
          <w:p w14:paraId="60B65922" w14:textId="77777777" w:rsidR="007C63B2" w:rsidRPr="00D4445A" w:rsidRDefault="007C63B2" w:rsidP="00691F56">
            <w:pPr>
              <w:pStyle w:val="KeyText"/>
              <w:spacing w:before="0"/>
              <w:rPr>
                <w:iCs/>
              </w:rPr>
            </w:pPr>
            <w:r w:rsidRPr="00D4445A">
              <w:rPr>
                <w:iCs/>
              </w:rPr>
              <w:t>A</w:t>
            </w:r>
          </w:p>
        </w:tc>
        <w:tc>
          <w:tcPr>
            <w:tcW w:w="8186" w:type="dxa"/>
          </w:tcPr>
          <w:p w14:paraId="4E864D2F" w14:textId="103E59F0" w:rsidR="007C63B2" w:rsidRPr="00D4445A" w:rsidRDefault="007C63B2" w:rsidP="00691F56">
            <w:pPr>
              <w:pStyle w:val="KeyText"/>
              <w:spacing w:before="0"/>
            </w:pPr>
            <w:r w:rsidRPr="00D4445A">
              <w:t>beam</w:t>
            </w:r>
          </w:p>
        </w:tc>
      </w:tr>
      <w:tr w:rsidR="007C63B2" w:rsidRPr="00D4445A" w14:paraId="6B7C7238" w14:textId="77777777" w:rsidTr="00A145F0">
        <w:tc>
          <w:tcPr>
            <w:tcW w:w="427" w:type="dxa"/>
          </w:tcPr>
          <w:p w14:paraId="2861B69A" w14:textId="77777777" w:rsidR="007C63B2" w:rsidRPr="00D4445A" w:rsidRDefault="007C63B2" w:rsidP="00691F56">
            <w:pPr>
              <w:pStyle w:val="KeyText"/>
              <w:spacing w:before="0"/>
              <w:rPr>
                <w:iCs/>
              </w:rPr>
            </w:pPr>
            <w:r w:rsidRPr="00D4445A">
              <w:rPr>
                <w:iCs/>
              </w:rPr>
              <w:t>B</w:t>
            </w:r>
          </w:p>
        </w:tc>
        <w:tc>
          <w:tcPr>
            <w:tcW w:w="8186" w:type="dxa"/>
          </w:tcPr>
          <w:p w14:paraId="47A6F7C7" w14:textId="52B53101" w:rsidR="007C63B2" w:rsidRPr="00D4445A" w:rsidRDefault="007C63B2" w:rsidP="00691F56">
            <w:pPr>
              <w:pStyle w:val="KeyText"/>
              <w:spacing w:before="0"/>
            </w:pPr>
            <w:r w:rsidRPr="00D4445A">
              <w:t>column</w:t>
            </w:r>
          </w:p>
        </w:tc>
      </w:tr>
      <w:tr w:rsidR="007C63B2" w:rsidRPr="00D4445A" w14:paraId="2157ED04" w14:textId="77777777" w:rsidTr="00A145F0">
        <w:tc>
          <w:tcPr>
            <w:tcW w:w="427" w:type="dxa"/>
          </w:tcPr>
          <w:p w14:paraId="2036C1E3" w14:textId="77777777" w:rsidR="007C63B2" w:rsidRPr="00D4445A" w:rsidRDefault="007C63B2" w:rsidP="00691F56">
            <w:pPr>
              <w:pStyle w:val="KeyText"/>
              <w:spacing w:before="0"/>
              <w:rPr>
                <w:iCs/>
              </w:rPr>
            </w:pPr>
            <w:r w:rsidRPr="00D4445A">
              <w:rPr>
                <w:iCs/>
              </w:rPr>
              <w:t>C</w:t>
            </w:r>
          </w:p>
        </w:tc>
        <w:tc>
          <w:tcPr>
            <w:tcW w:w="8186" w:type="dxa"/>
          </w:tcPr>
          <w:p w14:paraId="6FB8D889" w14:textId="004D4311" w:rsidR="007C63B2" w:rsidRPr="00D4445A" w:rsidRDefault="007C63B2" w:rsidP="00691F56">
            <w:pPr>
              <w:pStyle w:val="KeyText"/>
              <w:spacing w:before="0"/>
              <w:ind w:left="0" w:firstLine="0"/>
            </w:pPr>
            <w:r w:rsidRPr="00D4445A">
              <w:t>location of centre of rotation in the web of upper T-Stub connection (in this drawing, the T-stub web is parallel to the beam flange)</w:t>
            </w:r>
          </w:p>
        </w:tc>
      </w:tr>
    </w:tbl>
    <w:p w14:paraId="1733D11D" w14:textId="3B100803" w:rsidR="004A4224" w:rsidRPr="000E4D3D" w:rsidRDefault="004A4224" w:rsidP="006B4FD6">
      <w:pPr>
        <w:pStyle w:val="Figuretitle"/>
      </w:pPr>
      <w:r w:rsidRPr="000E4D3D">
        <w:t>Figure E.</w:t>
      </w:r>
      <w:r w:rsidR="00724E4E">
        <w:t>19</w:t>
      </w:r>
      <w:r w:rsidRPr="000E4D3D">
        <w:t> — Location of centre of rotation and required beam-to-column gap to accommodate the rotation due to the slippage</w:t>
      </w:r>
    </w:p>
    <w:p w14:paraId="39EA07FF" w14:textId="18D23064" w:rsidR="004A4224" w:rsidRPr="000E4D3D" w:rsidRDefault="004A4224" w:rsidP="0080187E">
      <w:pPr>
        <w:pStyle w:val="Clause"/>
        <w:numPr>
          <w:ilvl w:val="0"/>
          <w:numId w:val="225"/>
        </w:numPr>
        <w:rPr>
          <w:bCs/>
          <w:lang w:eastAsia="en-US"/>
        </w:rPr>
      </w:pPr>
      <w:r w:rsidRPr="000E4D3D">
        <w:rPr>
          <w:bCs/>
          <w:lang w:eastAsia="en-US"/>
        </w:rPr>
        <w:t>Flange thickness of the upper T-Stub should be in the range of 25 mm to 60 mm. Steel grade not lower than S355 should be used for the flange.</w:t>
      </w:r>
    </w:p>
    <w:p w14:paraId="62419FE5" w14:textId="52972CD7" w:rsidR="004A4224" w:rsidRPr="000E4D3D" w:rsidRDefault="004A4224" w:rsidP="0080187E">
      <w:pPr>
        <w:pStyle w:val="Clause"/>
        <w:numPr>
          <w:ilvl w:val="0"/>
          <w:numId w:val="225"/>
        </w:numPr>
        <w:rPr>
          <w:bCs/>
          <w:lang w:eastAsia="en-US"/>
        </w:rPr>
      </w:pPr>
      <w:r w:rsidRPr="00835C82">
        <w:rPr>
          <w:bCs/>
          <w:lang w:eastAsia="en-US"/>
        </w:rPr>
        <w:t>E.3.3.4(17)</w:t>
      </w:r>
      <w:r w:rsidRPr="000E4D3D">
        <w:rPr>
          <w:bCs/>
          <w:lang w:eastAsia="en-US"/>
        </w:rPr>
        <w:t xml:space="preserve"> should be applied.</w:t>
      </w:r>
    </w:p>
    <w:p w14:paraId="0AA0015E" w14:textId="1B0D8F23" w:rsidR="004A4224" w:rsidRPr="000E4D3D" w:rsidRDefault="004A4224" w:rsidP="0080187E">
      <w:pPr>
        <w:pStyle w:val="Clause"/>
        <w:numPr>
          <w:ilvl w:val="0"/>
          <w:numId w:val="225"/>
        </w:numPr>
        <w:rPr>
          <w:bCs/>
          <w:lang w:eastAsia="en-US"/>
        </w:rPr>
      </w:pPr>
      <w:r w:rsidRPr="000E4D3D">
        <w:rPr>
          <w:bCs/>
          <w:lang w:eastAsia="en-US"/>
        </w:rPr>
        <w:t>High strength preloaded bolts according to EN</w:t>
      </w:r>
      <w:r w:rsidR="00FD5CC7">
        <w:rPr>
          <w:bCs/>
          <w:lang w:eastAsia="en-US"/>
        </w:rPr>
        <w:t> </w:t>
      </w:r>
      <w:r w:rsidRPr="000E4D3D">
        <w:rPr>
          <w:bCs/>
          <w:lang w:eastAsia="en-US"/>
        </w:rPr>
        <w:t>14399-3 (system HR) and EN</w:t>
      </w:r>
      <w:r w:rsidR="00FD5CC7">
        <w:rPr>
          <w:bCs/>
          <w:lang w:eastAsia="en-US"/>
        </w:rPr>
        <w:t> </w:t>
      </w:r>
      <w:r w:rsidRPr="000E4D3D">
        <w:rPr>
          <w:bCs/>
          <w:lang w:eastAsia="en-US"/>
        </w:rPr>
        <w:t>14399-4 (system HV) should be used to clamp the friction surfaces. Bolts should be tightened according to EN</w:t>
      </w:r>
      <w:r w:rsidR="009E2288">
        <w:rPr>
          <w:bCs/>
          <w:lang w:eastAsia="en-US"/>
        </w:rPr>
        <w:t> </w:t>
      </w:r>
      <w:r w:rsidRPr="000E4D3D">
        <w:rPr>
          <w:bCs/>
          <w:lang w:eastAsia="en-US"/>
        </w:rPr>
        <w:t xml:space="preserve">1090-2, but the applied preload should comply with Formula </w:t>
      </w:r>
      <w:r w:rsidR="009E2288">
        <w:rPr>
          <w:bCs/>
          <w:lang w:eastAsia="en-US"/>
        </w:rPr>
        <w:t>(</w:t>
      </w:r>
      <w:r w:rsidRPr="000E4D3D">
        <w:rPr>
          <w:bCs/>
          <w:lang w:eastAsia="en-US"/>
        </w:rPr>
        <w:t>E</w:t>
      </w:r>
      <w:r w:rsidR="009E2288">
        <w:rPr>
          <w:bCs/>
          <w:lang w:eastAsia="en-US"/>
        </w:rPr>
        <w:t>.</w:t>
      </w:r>
      <w:r w:rsidRPr="000E4D3D">
        <w:rPr>
          <w:bCs/>
          <w:lang w:eastAsia="en-US"/>
        </w:rPr>
        <w:t>20). The nominal bolt diameter should be in the range of 16 mm to 24 mm.</w:t>
      </w:r>
    </w:p>
    <w:p w14:paraId="37611936" w14:textId="1714703F" w:rsidR="004A4224" w:rsidRPr="000E4D3D" w:rsidRDefault="004A4224" w:rsidP="0080187E">
      <w:pPr>
        <w:pStyle w:val="Clause"/>
        <w:numPr>
          <w:ilvl w:val="0"/>
          <w:numId w:val="225"/>
        </w:numPr>
        <w:rPr>
          <w:bCs/>
          <w:lang w:eastAsia="en-US"/>
        </w:rPr>
      </w:pPr>
      <w:r w:rsidRPr="000E4D3D">
        <w:rPr>
          <w:bCs/>
          <w:lang w:eastAsia="en-US"/>
        </w:rPr>
        <w:t xml:space="preserve">The bolt holes should comply with </w:t>
      </w:r>
      <w:r>
        <w:rPr>
          <w:bCs/>
          <w:lang w:eastAsia="en-US"/>
        </w:rPr>
        <w:t>pr</w:t>
      </w:r>
      <w:r w:rsidR="00C30FF9">
        <w:rPr>
          <w:bCs/>
          <w:lang w:eastAsia="en-US"/>
        </w:rPr>
        <w:t>EN 1</w:t>
      </w:r>
      <w:r>
        <w:rPr>
          <w:bCs/>
          <w:lang w:eastAsia="en-US"/>
        </w:rPr>
        <w:t>99</w:t>
      </w:r>
      <w:r w:rsidRPr="000E4D3D">
        <w:rPr>
          <w:bCs/>
          <w:lang w:eastAsia="en-US"/>
        </w:rPr>
        <w:t>3-1-8. They should be made by drilling or sub-punching and reaming. The slotted holes should be designed to accommodate slippage consistent with the required rotation.</w:t>
      </w:r>
    </w:p>
    <w:p w14:paraId="231110F3" w14:textId="70A65EA1" w:rsidR="004A4224" w:rsidRPr="000E4D3D" w:rsidRDefault="004A4224" w:rsidP="0080187E">
      <w:pPr>
        <w:pStyle w:val="Clause"/>
        <w:numPr>
          <w:ilvl w:val="0"/>
          <w:numId w:val="225"/>
        </w:numPr>
        <w:rPr>
          <w:bCs/>
          <w:lang w:eastAsia="en-US"/>
        </w:rPr>
      </w:pPr>
      <w:r w:rsidRPr="00835C82">
        <w:rPr>
          <w:bCs/>
          <w:lang w:eastAsia="en-US"/>
        </w:rPr>
        <w:t>E.3.3.4(</w:t>
      </w:r>
      <w:r w:rsidRPr="00835C82">
        <w:rPr>
          <w:bCs/>
          <w:color w:val="auto"/>
          <w:lang w:eastAsia="en-US"/>
        </w:rPr>
        <w:t>20)</w:t>
      </w:r>
      <w:r w:rsidRPr="006B4FD6">
        <w:rPr>
          <w:bCs/>
          <w:color w:val="auto"/>
          <w:lang w:eastAsia="en-US"/>
        </w:rPr>
        <w:t xml:space="preserve"> may be </w:t>
      </w:r>
      <w:r w:rsidRPr="000E4D3D">
        <w:rPr>
          <w:bCs/>
          <w:lang w:eastAsia="en-US"/>
        </w:rPr>
        <w:t>applied.</w:t>
      </w:r>
    </w:p>
    <w:p w14:paraId="60C3F612" w14:textId="77777777" w:rsidR="004A4224" w:rsidRPr="00BE5B85" w:rsidRDefault="004A4224" w:rsidP="004A4224"/>
    <w:p w14:paraId="58C3E86E" w14:textId="727C2FFB" w:rsidR="004A4224" w:rsidRDefault="004A4224" w:rsidP="004A4224">
      <w:pPr>
        <w:pStyle w:val="a4"/>
      </w:pPr>
      <w:r w:rsidRPr="00132C1E">
        <w:t xml:space="preserve"> </w:t>
      </w:r>
      <w:bookmarkStart w:id="11272" w:name="_Toc108342764"/>
      <w:bookmarkStart w:id="11273" w:name="_Toc120543851"/>
      <w:bookmarkStart w:id="11274" w:name="_Toc134198273"/>
      <w:r w:rsidRPr="00BE5B85">
        <w:t xml:space="preserve">Specific requirements for the analysis of frames </w:t>
      </w:r>
      <w:r w:rsidRPr="006B4FD6">
        <w:t>with friction connections</w:t>
      </w:r>
      <w:bookmarkEnd w:id="11272"/>
      <w:bookmarkEnd w:id="11273"/>
      <w:bookmarkEnd w:id="11274"/>
    </w:p>
    <w:p w14:paraId="6EB8A045" w14:textId="5242C2FF" w:rsidR="004A4224" w:rsidRPr="00D42D5E" w:rsidRDefault="004A4224" w:rsidP="0080187E">
      <w:pPr>
        <w:pStyle w:val="Clause"/>
        <w:numPr>
          <w:ilvl w:val="0"/>
          <w:numId w:val="578"/>
        </w:numPr>
      </w:pPr>
      <w:r w:rsidRPr="00BE5B85">
        <w:t xml:space="preserve">In </w:t>
      </w:r>
      <w:r w:rsidRPr="00D42D5E">
        <w:t xml:space="preserve">linear elastic analysis, frames equipped with partial strength friction connections may be modelled with centre-line models where the deformability of both column web panel and connection is neglected. </w:t>
      </w:r>
    </w:p>
    <w:p w14:paraId="3BE96EE1" w14:textId="663F830E" w:rsidR="004A4224" w:rsidRPr="00D42D5E" w:rsidRDefault="004A4224" w:rsidP="00724E4E">
      <w:pPr>
        <w:pStyle w:val="Clause"/>
      </w:pPr>
      <w:r w:rsidRPr="00D42D5E">
        <w:t>In non-linear analyses the column web panel and the connection should be distinctly modelled as given in a) to c):</w:t>
      </w:r>
    </w:p>
    <w:p w14:paraId="054F724D" w14:textId="77777777" w:rsidR="004A4224" w:rsidRPr="00D42D5E" w:rsidRDefault="004A4224" w:rsidP="00A145F0">
      <w:pPr>
        <w:pStyle w:val="Text"/>
        <w:numPr>
          <w:ilvl w:val="0"/>
          <w:numId w:val="717"/>
        </w:numPr>
        <w:spacing w:after="200"/>
        <w:rPr>
          <w:rFonts w:eastAsia="Cambria"/>
        </w:rPr>
      </w:pPr>
      <w:r w:rsidRPr="00D42D5E">
        <w:t>the column web panel should be modelled using rigid segments per its axis with length equal to half dimension of the column web panel;</w:t>
      </w:r>
    </w:p>
    <w:p w14:paraId="53E0AF2A" w14:textId="77777777" w:rsidR="004A4224" w:rsidRPr="00D42D5E" w:rsidRDefault="004A4224" w:rsidP="00A145F0">
      <w:pPr>
        <w:pStyle w:val="Text"/>
        <w:numPr>
          <w:ilvl w:val="0"/>
          <w:numId w:val="717"/>
        </w:numPr>
        <w:spacing w:after="200"/>
        <w:rPr>
          <w:rFonts w:eastAsia="Cambria"/>
        </w:rPr>
      </w:pPr>
      <w:r w:rsidRPr="00D42D5E">
        <w:t>the connection should be modelled as rigid;</w:t>
      </w:r>
    </w:p>
    <w:p w14:paraId="6DACCB20" w14:textId="77777777" w:rsidR="004A4224" w:rsidRPr="00D42D5E" w:rsidRDefault="004A4224" w:rsidP="00A145F0">
      <w:pPr>
        <w:pStyle w:val="Text"/>
        <w:numPr>
          <w:ilvl w:val="0"/>
          <w:numId w:val="717"/>
        </w:numPr>
        <w:spacing w:after="200"/>
        <w:rPr>
          <w:rFonts w:eastAsia="Cambria"/>
        </w:rPr>
      </w:pPr>
      <w:r w:rsidRPr="00D42D5E">
        <w:t>the monotonic and cyclic behaviour of the friction connection should be modelled.</w:t>
      </w:r>
    </w:p>
    <w:p w14:paraId="18F987E8" w14:textId="77777777" w:rsidR="004A4224" w:rsidRPr="00BE5B85" w:rsidRDefault="004A4224" w:rsidP="004A4224">
      <w:pPr>
        <w:pStyle w:val="a4"/>
      </w:pPr>
      <w:bookmarkStart w:id="11275" w:name="_Toc108342765"/>
      <w:bookmarkStart w:id="11276" w:name="_Toc120543852"/>
      <w:bookmarkStart w:id="11277" w:name="_Toc134198274"/>
      <w:r w:rsidRPr="00132C1E">
        <w:t>Other types of joints</w:t>
      </w:r>
      <w:bookmarkEnd w:id="11275"/>
      <w:bookmarkEnd w:id="11276"/>
      <w:bookmarkEnd w:id="11277"/>
      <w:r w:rsidRPr="00132C1E">
        <w:t xml:space="preserve"> </w:t>
      </w:r>
    </w:p>
    <w:p w14:paraId="37DF9DBB" w14:textId="54930A2B" w:rsidR="004A4224" w:rsidRPr="00132C1E" w:rsidRDefault="004A4224" w:rsidP="0080187E">
      <w:pPr>
        <w:pStyle w:val="Clause"/>
        <w:numPr>
          <w:ilvl w:val="0"/>
          <w:numId w:val="579"/>
        </w:numPr>
      </w:pPr>
      <w:r w:rsidRPr="00132C1E">
        <w:t xml:space="preserve">Beam-to-column joints other than those specified </w:t>
      </w:r>
      <w:r w:rsidRPr="006B4FD6">
        <w:t xml:space="preserve">from </w:t>
      </w:r>
      <w:r w:rsidRPr="00835C82">
        <w:t>E.3.3.4</w:t>
      </w:r>
      <w:r w:rsidRPr="006B4FD6">
        <w:t xml:space="preserve"> to </w:t>
      </w:r>
      <w:r w:rsidRPr="00835C82">
        <w:t>E.3.3.7</w:t>
      </w:r>
      <w:r w:rsidRPr="006B4FD6">
        <w:t xml:space="preserve"> ma</w:t>
      </w:r>
      <w:r w:rsidRPr="00132C1E">
        <w:t>y be used provided that the conditions in a) and b) are satisfied:</w:t>
      </w:r>
    </w:p>
    <w:p w14:paraId="18B2EF98" w14:textId="77777777" w:rsidR="004A4224" w:rsidRPr="00724E4E" w:rsidRDefault="004A4224" w:rsidP="00A145F0">
      <w:pPr>
        <w:pStyle w:val="Text"/>
        <w:numPr>
          <w:ilvl w:val="0"/>
          <w:numId w:val="718"/>
        </w:numPr>
        <w:spacing w:after="200"/>
      </w:pPr>
      <w:r w:rsidRPr="00724E4E">
        <w:t>prequalification tests are performed in accordance with 11.9.4(10);</w:t>
      </w:r>
    </w:p>
    <w:p w14:paraId="239E59D6" w14:textId="77777777" w:rsidR="004A4224" w:rsidRPr="00724E4E" w:rsidRDefault="004A4224" w:rsidP="00A145F0">
      <w:pPr>
        <w:pStyle w:val="Text"/>
        <w:numPr>
          <w:ilvl w:val="0"/>
          <w:numId w:val="718"/>
        </w:numPr>
        <w:spacing w:after="200"/>
      </w:pPr>
      <w:r w:rsidRPr="00724E4E">
        <w:t>local details comply with E.3.3.1, E.3.3.2 and E.3.3.3.</w:t>
      </w:r>
    </w:p>
    <w:p w14:paraId="0CE92263" w14:textId="27F9F21C" w:rsidR="004A4224" w:rsidRPr="00132C1E" w:rsidRDefault="004A4224" w:rsidP="00724E4E">
      <w:pPr>
        <w:pStyle w:val="Clause"/>
      </w:pPr>
      <w:r w:rsidRPr="00132C1E">
        <w:t xml:space="preserve">The condition b) in </w:t>
      </w:r>
      <w:r w:rsidRPr="00835C82">
        <w:t>(1)</w:t>
      </w:r>
      <w:r w:rsidRPr="00132C1E">
        <w:t xml:space="preserve"> may be waived if experimental evidence proves the ductility and capacity of the joints for the full range of designed beam-column profiles.</w:t>
      </w:r>
    </w:p>
    <w:p w14:paraId="66D8F9EB" w14:textId="3AC9D185" w:rsidR="004A4224" w:rsidRPr="00132C1E" w:rsidRDefault="004A4224" w:rsidP="00724E4E">
      <w:pPr>
        <w:pStyle w:val="Clause"/>
      </w:pPr>
      <w:r w:rsidRPr="00132C1E">
        <w:t>Prequalified connections may be used in DC2 and DC3 design, within the applicability limits of prequalification and without any request for further qualifying cyclic tests.</w:t>
      </w:r>
    </w:p>
    <w:p w14:paraId="2CF890ED" w14:textId="741D12F0" w:rsidR="004A4224" w:rsidRPr="00132C1E" w:rsidRDefault="004A4224" w:rsidP="005F4051">
      <w:pPr>
        <w:pStyle w:val="Notetext"/>
      </w:pPr>
      <w:r w:rsidRPr="00132C1E">
        <w:t>NOTE</w:t>
      </w:r>
      <w:r w:rsidRPr="00132C1E">
        <w:tab/>
      </w:r>
      <w:r w:rsidRPr="00D42D5E">
        <w:t>prCEN/TS</w:t>
      </w:r>
      <w:r w:rsidR="00724E4E">
        <w:t> </w:t>
      </w:r>
      <w:r w:rsidRPr="00D42D5E">
        <w:t>1998-</w:t>
      </w:r>
      <w:r w:rsidR="00460A67">
        <w:t>1-101</w:t>
      </w:r>
      <w:r w:rsidR="00E31F4C">
        <w:t xml:space="preserve"> </w:t>
      </w:r>
      <w:r w:rsidRPr="00132C1E">
        <w:t>gives a loading protocol and acceptance criteria for tests for prequalification.</w:t>
      </w:r>
    </w:p>
    <w:p w14:paraId="3E2F0CAF" w14:textId="3AAA093D" w:rsidR="00D20C81" w:rsidRDefault="005F4051" w:rsidP="00D20C81">
      <w:pPr>
        <w:pStyle w:val="a2"/>
      </w:pPr>
      <w:bookmarkStart w:id="11278" w:name="_Toc134198275"/>
      <w:r w:rsidRPr="005F4051">
        <w:t>E.4</w:t>
      </w:r>
      <w:r w:rsidRPr="005F4051">
        <w:tab/>
        <w:t>Beam-to-column connections allowing rotations in braced frames</w:t>
      </w:r>
      <w:bookmarkEnd w:id="11278"/>
    </w:p>
    <w:p w14:paraId="3FB48F87" w14:textId="499BAE28" w:rsidR="005F4051" w:rsidRPr="00132C1E" w:rsidRDefault="005F4051" w:rsidP="0080187E">
      <w:pPr>
        <w:pStyle w:val="Clause"/>
        <w:numPr>
          <w:ilvl w:val="0"/>
          <w:numId w:val="580"/>
        </w:numPr>
      </w:pPr>
      <w:r w:rsidRPr="00132C1E">
        <w:t xml:space="preserve">Beam-to-column connections allowing rotation in accordance </w:t>
      </w:r>
      <w:r w:rsidRPr="005F4051">
        <w:t xml:space="preserve">with </w:t>
      </w:r>
      <w:r w:rsidRPr="00835C82">
        <w:t>11.10.5(2)a</w:t>
      </w:r>
      <w:r w:rsidRPr="005F4051">
        <w:t xml:space="preserve"> should have a splice in the beam outside the gusset plate, see Figure E.20.</w:t>
      </w:r>
    </w:p>
    <w:p w14:paraId="0CF301F7" w14:textId="5908D2A5" w:rsidR="005F4051" w:rsidRPr="00132C1E" w:rsidRDefault="005F4051" w:rsidP="005F4051">
      <w:pPr>
        <w:pStyle w:val="Notetext"/>
      </w:pPr>
      <w:r w:rsidRPr="00132C1E">
        <w:t>NOTE</w:t>
      </w:r>
      <w:r>
        <w:tab/>
      </w:r>
      <w:r w:rsidRPr="00132C1E">
        <w:t>The beam-to-beam splice relieves the gusset plate of in-plane moments and guarantees the required rotation capacity.</w:t>
      </w:r>
    </w:p>
    <w:p w14:paraId="619F24FD" w14:textId="747515A3" w:rsidR="005F4051" w:rsidRPr="00132C1E" w:rsidRDefault="005F4051" w:rsidP="00724E4E">
      <w:pPr>
        <w:pStyle w:val="Clause"/>
      </w:pPr>
      <w:r w:rsidRPr="005F4051">
        <w:t xml:space="preserve">The beam-to-beam splice should be detailed with either bolted double plates (see Figure E.20 a) or bolted flush end plates (see Figure E.20 b) and spaced from the edge of the gusset not less than the </w:t>
      </w:r>
      <w:r w:rsidRPr="00132C1E">
        <w:t xml:space="preserve">width </w:t>
      </w:r>
      <w:r w:rsidRPr="00132C1E">
        <w:rPr>
          <w:i/>
          <w:iCs/>
        </w:rPr>
        <w:t>b</w:t>
      </w:r>
      <w:r w:rsidRPr="00132C1E">
        <w:rPr>
          <w:vertAlign w:val="subscript"/>
        </w:rPr>
        <w:t>f</w:t>
      </w:r>
      <w:r w:rsidRPr="00132C1E">
        <w:t xml:space="preserve"> of the beam.</w:t>
      </w:r>
    </w:p>
    <w:p w14:paraId="315AE9F5" w14:textId="4ACBF7A3" w:rsidR="005F4051" w:rsidRPr="00132C1E" w:rsidRDefault="005F4051" w:rsidP="00724E4E">
      <w:pPr>
        <w:pStyle w:val="Clause"/>
      </w:pPr>
      <w:r w:rsidRPr="00132C1E">
        <w:t xml:space="preserve">The beam-to-column connections should be detailed as specified </w:t>
      </w:r>
      <w:r w:rsidRPr="005F4051">
        <w:t xml:space="preserve">in </w:t>
      </w:r>
      <w:r w:rsidRPr="00835C82">
        <w:t>E.3</w:t>
      </w:r>
      <w:r w:rsidRPr="00132C1E">
        <w:t>.</w:t>
      </w:r>
    </w:p>
    <w:p w14:paraId="07CE3300" w14:textId="0DE817F0" w:rsidR="005F4051" w:rsidRPr="00132C1E" w:rsidRDefault="005F4051" w:rsidP="00724E4E">
      <w:pPr>
        <w:pStyle w:val="Clause"/>
      </w:pPr>
      <w:r w:rsidRPr="00132C1E">
        <w:t xml:space="preserve">The gusset plate connections should be detailed as specified </w:t>
      </w:r>
      <w:r w:rsidRPr="005F4051">
        <w:t xml:space="preserve">in </w:t>
      </w:r>
      <w:r w:rsidRPr="00835C82">
        <w:t xml:space="preserve">E.5, E.6 </w:t>
      </w:r>
      <w:r w:rsidRPr="005F4051">
        <w:t>and</w:t>
      </w:r>
      <w:r w:rsidRPr="00835C82">
        <w:t xml:space="preserve"> E.7</w:t>
      </w:r>
      <w:r w:rsidRPr="005F4051">
        <w:t xml:space="preserve"> </w:t>
      </w:r>
      <w:r w:rsidRPr="00132C1E">
        <w:t>for concentrically, eccentrically and buckling restrained bracings, respectively.</w:t>
      </w:r>
    </w:p>
    <w:p w14:paraId="0C87360F" w14:textId="1BEAFEFF" w:rsidR="005F4051" w:rsidRPr="00132C1E" w:rsidRDefault="005F4051" w:rsidP="00724E4E">
      <w:pPr>
        <w:pStyle w:val="Clause"/>
      </w:pPr>
      <w:r w:rsidRPr="00132C1E">
        <w:t>The shear resistance of bolts of flush end-plate beam-to-beam splice should not be smaller than 1,2 times the design bearing resistance of the weaker connected plates.</w:t>
      </w:r>
    </w:p>
    <w:p w14:paraId="3A3193A0" w14:textId="5CDC97CA" w:rsidR="005F4051" w:rsidRPr="00132C1E" w:rsidRDefault="005F4051" w:rsidP="00724E4E">
      <w:pPr>
        <w:pStyle w:val="Clause"/>
      </w:pPr>
      <w:r w:rsidRPr="00132C1E">
        <w:t xml:space="preserve">The thickness of flush end-plate beam-to-beam splice should comply </w:t>
      </w:r>
      <w:r w:rsidRPr="00AC6BDD">
        <w:t>with Formula E.9.</w:t>
      </w:r>
    </w:p>
    <w:p w14:paraId="1AF9211E" w14:textId="15B7F8F3" w:rsidR="005F4051" w:rsidRPr="00132C1E" w:rsidRDefault="005F4051" w:rsidP="00724E4E">
      <w:pPr>
        <w:pStyle w:val="Clause"/>
      </w:pPr>
      <w:r w:rsidRPr="00132C1E">
        <w:t xml:space="preserve">The welds of flush end-plate splice should comply </w:t>
      </w:r>
      <w:r w:rsidRPr="00AC6BDD">
        <w:t xml:space="preserve">with </w:t>
      </w:r>
      <w:r w:rsidRPr="00835C82">
        <w:t>E.3.3.6(16)</w:t>
      </w:r>
      <w:r w:rsidRPr="00AC6BDD">
        <w:t>.</w:t>
      </w:r>
    </w:p>
    <w:p w14:paraId="62783405" w14:textId="7F74D91D" w:rsidR="005F4051" w:rsidRPr="00132C1E" w:rsidRDefault="005F4051" w:rsidP="00724E4E">
      <w:pPr>
        <w:pStyle w:val="Clause"/>
      </w:pPr>
      <w:r w:rsidRPr="00AC6BDD">
        <w:t>E</w:t>
      </w:r>
      <w:r w:rsidRPr="00835C82">
        <w:t>.3.3.4(18)</w:t>
      </w:r>
      <w:r w:rsidRPr="00AC6BDD">
        <w:t xml:space="preserve"> should </w:t>
      </w:r>
      <w:r w:rsidRPr="00132C1E">
        <w:t>be applied</w:t>
      </w:r>
      <w:r w:rsidR="00835C82">
        <w:t>.</w:t>
      </w:r>
    </w:p>
    <w:p w14:paraId="38707F88" w14:textId="432E69C0" w:rsidR="005F4051" w:rsidRPr="00132C1E" w:rsidRDefault="005F4051" w:rsidP="00724E4E">
      <w:pPr>
        <w:pStyle w:val="Clause"/>
      </w:pPr>
      <w:r w:rsidRPr="00AC6BDD">
        <w:t>E</w:t>
      </w:r>
      <w:r w:rsidRPr="00835C82">
        <w:t>.3.3.4(19)</w:t>
      </w:r>
      <w:r w:rsidRPr="00AC6BDD">
        <w:t xml:space="preserve"> should </w:t>
      </w:r>
      <w:r w:rsidRPr="00132C1E">
        <w:t>be applied</w:t>
      </w:r>
      <w:r w:rsidR="00835C82">
        <w:t>.</w:t>
      </w:r>
    </w:p>
    <w:p w14:paraId="4ED94478" w14:textId="692EFE76" w:rsidR="005F4051" w:rsidRPr="00132C1E" w:rsidRDefault="009B633B" w:rsidP="009B633B">
      <w:pPr>
        <w:pStyle w:val="FigureImage"/>
      </w:pPr>
      <w:r>
        <w:rPr>
          <w:noProof/>
        </w:rPr>
        <w:drawing>
          <wp:inline distT="0" distB="0" distL="0" distR="0" wp14:anchorId="4AE4DA9F" wp14:editId="75B77D5F">
            <wp:extent cx="5039876" cy="2487172"/>
            <wp:effectExtent l="0" t="0" r="8890" b="0"/>
            <wp:docPr id="2081949470" name="e020.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1949470" name="e020.tiff"/>
                    <pic:cNvPicPr/>
                  </pic:nvPicPr>
                  <pic:blipFill>
                    <a:blip r:link="rId106"/>
                    <a:stretch>
                      <a:fillRect/>
                    </a:stretch>
                  </pic:blipFill>
                  <pic:spPr>
                    <a:xfrm>
                      <a:off x="0" y="0"/>
                      <a:ext cx="5039876" cy="2487172"/>
                    </a:xfrm>
                    <a:prstGeom prst="rect">
                      <a:avLst/>
                    </a:prstGeom>
                  </pic:spPr>
                </pic:pic>
              </a:graphicData>
            </a:graphic>
          </wp:inline>
        </w:drawing>
      </w:r>
    </w:p>
    <w:p w14:paraId="0024950D" w14:textId="02BFE4E9" w:rsidR="005F4051" w:rsidRPr="007E6F67" w:rsidRDefault="005F4051" w:rsidP="00AC6BDD">
      <w:pPr>
        <w:pStyle w:val="Figuretitle"/>
      </w:pPr>
      <w:r w:rsidRPr="00D1484A">
        <w:t>Figure E.</w:t>
      </w:r>
      <w:r w:rsidRPr="00D42D5E">
        <w:t>20 </w:t>
      </w:r>
      <w:r w:rsidRPr="00D1484A">
        <w:t xml:space="preserve">— Beam-to-column connections allowing rotations in braced frames: </w:t>
      </w:r>
      <w:r w:rsidR="009B633B">
        <w:t>(</w:t>
      </w:r>
      <w:r w:rsidRPr="00D1484A">
        <w:t>a) beam-to-beam splice with bolted double plates; (b) beam-to-beam splice with bolted flush end</w:t>
      </w:r>
      <w:r w:rsidR="009B633B">
        <w:t>-</w:t>
      </w:r>
      <w:r w:rsidRPr="00D1484A">
        <w:t>plates</w:t>
      </w:r>
    </w:p>
    <w:p w14:paraId="1676C4F4" w14:textId="77777777" w:rsidR="005F4051" w:rsidRPr="00FD17CF" w:rsidRDefault="005F4051" w:rsidP="005F4051">
      <w:pPr>
        <w:pStyle w:val="a2"/>
      </w:pPr>
      <w:bookmarkStart w:id="11279" w:name="_Toc50150735"/>
      <w:bookmarkStart w:id="11280" w:name="_Toc70887168"/>
      <w:bookmarkStart w:id="11281" w:name="_Toc108342767"/>
      <w:bookmarkStart w:id="11282" w:name="_Toc134198276"/>
      <w:r w:rsidRPr="00FD17CF">
        <w:t>Gusset plate connections in concentric bracings</w:t>
      </w:r>
      <w:bookmarkEnd w:id="11279"/>
      <w:bookmarkEnd w:id="11280"/>
      <w:bookmarkEnd w:id="11281"/>
      <w:bookmarkEnd w:id="11282"/>
    </w:p>
    <w:p w14:paraId="656E8514" w14:textId="77777777" w:rsidR="005F4051" w:rsidRPr="00196951" w:rsidRDefault="005F4051" w:rsidP="005F4051">
      <w:pPr>
        <w:pStyle w:val="a3"/>
      </w:pPr>
      <w:bookmarkStart w:id="11283" w:name="_Toc50150736"/>
      <w:bookmarkStart w:id="11284" w:name="_Toc70887169"/>
      <w:bookmarkStart w:id="11285" w:name="_Toc108342768"/>
      <w:bookmarkStart w:id="11286" w:name="_Toc120543855"/>
      <w:bookmarkStart w:id="11287" w:name="_Toc134198277"/>
      <w:r w:rsidRPr="00E05E29">
        <w:t>General</w:t>
      </w:r>
      <w:bookmarkEnd w:id="11283"/>
      <w:bookmarkEnd w:id="11284"/>
      <w:bookmarkEnd w:id="11285"/>
      <w:bookmarkEnd w:id="11286"/>
      <w:bookmarkEnd w:id="11287"/>
    </w:p>
    <w:p w14:paraId="5BF44090" w14:textId="2398290D" w:rsidR="005F4051" w:rsidRPr="00C52095" w:rsidRDefault="005F4051" w:rsidP="0080187E">
      <w:pPr>
        <w:pStyle w:val="Clause"/>
        <w:numPr>
          <w:ilvl w:val="0"/>
          <w:numId w:val="226"/>
        </w:numPr>
      </w:pPr>
      <w:r w:rsidRPr="00196951">
        <w:t>Gusset plate connections should be designed to accommodat</w:t>
      </w:r>
      <w:r w:rsidRPr="002144A0">
        <w:t xml:space="preserve">e brace buckling under repeated cyclic loading in accordance </w:t>
      </w:r>
      <w:r w:rsidRPr="00AC6BDD">
        <w:rPr>
          <w:color w:val="auto"/>
        </w:rPr>
        <w:t xml:space="preserve">with </w:t>
      </w:r>
      <w:r w:rsidRPr="00835C82">
        <w:rPr>
          <w:color w:val="auto"/>
        </w:rPr>
        <w:t>11.10.6(3)</w:t>
      </w:r>
      <w:r w:rsidRPr="00AC6BDD">
        <w:rPr>
          <w:color w:val="auto"/>
        </w:rPr>
        <w:t xml:space="preserve"> and </w:t>
      </w:r>
      <w:r w:rsidRPr="00835C82">
        <w:rPr>
          <w:color w:val="auto"/>
        </w:rPr>
        <w:t>11.10.6(4)</w:t>
      </w:r>
      <w:r w:rsidRPr="00AC6BDD">
        <w:rPr>
          <w:color w:val="auto"/>
        </w:rPr>
        <w:t>.</w:t>
      </w:r>
    </w:p>
    <w:p w14:paraId="445DC0BC" w14:textId="76E6076D" w:rsidR="005F4051" w:rsidRDefault="005F4051" w:rsidP="0080187E">
      <w:pPr>
        <w:pStyle w:val="Clause"/>
        <w:numPr>
          <w:ilvl w:val="0"/>
          <w:numId w:val="226"/>
        </w:numPr>
      </w:pPr>
      <w:r w:rsidRPr="00C52095">
        <w:t>Buckling of the gusset plates should be prevented and restraint-free plastic out-of-plane rotations allowed about either a yield line (either linear or elliptical</w:t>
      </w:r>
      <w:r w:rsidRPr="007754C9">
        <w:t>) in the gusset plate or in a short yielding segment in the axis of the brace.</w:t>
      </w:r>
    </w:p>
    <w:p w14:paraId="5BB7BFC4" w14:textId="6D0F6900" w:rsidR="005F4051" w:rsidRPr="00AC6BDD" w:rsidRDefault="005F4051" w:rsidP="0080187E">
      <w:pPr>
        <w:pStyle w:val="Clause"/>
        <w:numPr>
          <w:ilvl w:val="0"/>
          <w:numId w:val="226"/>
        </w:numPr>
        <w:rPr>
          <w:color w:val="auto"/>
        </w:rPr>
      </w:pPr>
      <w:r w:rsidRPr="00AC6BDD">
        <w:rPr>
          <w:color w:val="auto"/>
        </w:rPr>
        <w:t>The net areas of gusset plates and bracings should be strengthened by supplementary welded plates to restore the resistance of the original gross areas.</w:t>
      </w:r>
    </w:p>
    <w:p w14:paraId="6C22CCA5" w14:textId="50E7ED73" w:rsidR="005F4051" w:rsidRDefault="005F4051" w:rsidP="0080187E">
      <w:pPr>
        <w:pStyle w:val="Clause"/>
        <w:numPr>
          <w:ilvl w:val="0"/>
          <w:numId w:val="226"/>
        </w:numPr>
        <w:rPr>
          <w:color w:val="auto"/>
        </w:rPr>
      </w:pPr>
      <w:r w:rsidRPr="00AC6BDD">
        <w:rPr>
          <w:color w:val="auto"/>
        </w:rPr>
        <w:t>The supplementary strengthening plates should be centered as respect to the net areas and their lap length should be at least 25 mm longer than the covered net zones.</w:t>
      </w:r>
    </w:p>
    <w:p w14:paraId="6C8D2EFD" w14:textId="1D8AB0C2" w:rsidR="00F336AE" w:rsidRPr="004B502C" w:rsidRDefault="00F336AE" w:rsidP="004B502C">
      <w:pPr>
        <w:pStyle w:val="Clause"/>
        <w:numPr>
          <w:ilvl w:val="0"/>
          <w:numId w:val="0"/>
        </w:numPr>
        <w:rPr>
          <w:color w:val="auto"/>
          <w:sz w:val="20"/>
        </w:rPr>
      </w:pPr>
      <w:r w:rsidRPr="00F336AE">
        <w:rPr>
          <w:color w:val="auto"/>
          <w:sz w:val="20"/>
        </w:rPr>
        <w:t>NOTE</w:t>
      </w:r>
      <w:r w:rsidRPr="00F336AE">
        <w:rPr>
          <w:color w:val="auto"/>
          <w:sz w:val="20"/>
        </w:rPr>
        <w:tab/>
      </w:r>
      <w:r w:rsidRPr="00362EE7">
        <w:rPr>
          <w:color w:val="auto"/>
          <w:sz w:val="20"/>
        </w:rPr>
        <w:t>(3) and (4)</w:t>
      </w:r>
      <w:r w:rsidRPr="00F336AE">
        <w:rPr>
          <w:color w:val="auto"/>
          <w:sz w:val="20"/>
        </w:rPr>
        <w:t xml:space="preserve"> avoid brittle necking and are necessary because E.5.2 and E.5.3 are based on the assumption that necking does not occur.</w:t>
      </w:r>
    </w:p>
    <w:p w14:paraId="0E11D10D" w14:textId="77777777" w:rsidR="005F4051" w:rsidRPr="00132C1E" w:rsidRDefault="005F4051" w:rsidP="005F4051">
      <w:pPr>
        <w:pStyle w:val="a3"/>
      </w:pPr>
      <w:bookmarkStart w:id="11288" w:name="_Toc50150737"/>
      <w:bookmarkStart w:id="11289" w:name="_Toc70887170"/>
      <w:bookmarkStart w:id="11290" w:name="_Toc108342769"/>
      <w:bookmarkStart w:id="11291" w:name="_Toc120543856"/>
      <w:bookmarkStart w:id="11292" w:name="_Toc134198278"/>
      <w:r w:rsidRPr="00132C1E">
        <w:t>Gussets with linear clearance</w:t>
      </w:r>
      <w:bookmarkEnd w:id="11288"/>
      <w:bookmarkEnd w:id="11289"/>
      <w:bookmarkEnd w:id="11290"/>
      <w:bookmarkEnd w:id="11291"/>
      <w:bookmarkEnd w:id="11292"/>
    </w:p>
    <w:p w14:paraId="5C8DA3FB" w14:textId="1B9A28F4" w:rsidR="005F4051" w:rsidRPr="00806620" w:rsidRDefault="005F4051" w:rsidP="0080187E">
      <w:pPr>
        <w:pStyle w:val="Clause"/>
        <w:numPr>
          <w:ilvl w:val="0"/>
          <w:numId w:val="581"/>
        </w:numPr>
        <w:rPr>
          <w:rFonts w:eastAsiaTheme="majorEastAsia" w:cstheme="majorBidi"/>
        </w:rPr>
      </w:pPr>
      <w:r w:rsidRPr="00132C1E">
        <w:t>Yield lines at each end of the brace should be perpendicular to the brace axis. A 2</w:t>
      </w:r>
      <w:r w:rsidRPr="00806620">
        <w:rPr>
          <w:i/>
          <w:iCs/>
        </w:rPr>
        <w:t>t</w:t>
      </w:r>
      <w:r w:rsidRPr="00806620">
        <w:rPr>
          <w:vertAlign w:val="subscript"/>
        </w:rPr>
        <w:t>gp</w:t>
      </w:r>
      <w:r w:rsidRPr="00132C1E">
        <w:t xml:space="preserve"> to 4</w:t>
      </w:r>
      <w:r w:rsidRPr="00806620">
        <w:rPr>
          <w:i/>
          <w:iCs/>
        </w:rPr>
        <w:t>t</w:t>
      </w:r>
      <w:r w:rsidRPr="00806620">
        <w:rPr>
          <w:vertAlign w:val="subscript"/>
        </w:rPr>
        <w:t>gp</w:t>
      </w:r>
      <w:r w:rsidRPr="00132C1E">
        <w:t xml:space="preserve"> clearance (where </w:t>
      </w:r>
      <w:r w:rsidRPr="00806620">
        <w:rPr>
          <w:i/>
          <w:iCs/>
        </w:rPr>
        <w:t>t</w:t>
      </w:r>
      <w:r w:rsidRPr="00806620">
        <w:rPr>
          <w:vertAlign w:val="subscript"/>
        </w:rPr>
        <w:t>gp</w:t>
      </w:r>
      <w:r w:rsidRPr="00132C1E">
        <w:t xml:space="preserve"> is the gusset plate’s thickness) should be detailed between the end of the brace and the assumed geometric line of the gusset restraints; </w:t>
      </w:r>
      <w:r w:rsidRPr="00806620">
        <w:rPr>
          <w:rFonts w:eastAsia="Cambria"/>
        </w:rPr>
        <w:t>this line</w:t>
      </w:r>
      <w:r w:rsidRPr="00132C1E">
        <w:t xml:space="preserve"> is drawn from the gusset plate point constrained from out-of-plane rotation </w:t>
      </w:r>
      <w:r w:rsidRPr="00806620">
        <w:rPr>
          <w:rFonts w:eastAsia="Cambria"/>
        </w:rPr>
        <w:t>that is the nearest to the brace end (in Figure E.21 the gusset-plate yield line is denoted E)</w:t>
      </w:r>
      <w:r w:rsidRPr="00132C1E">
        <w:t>.</w:t>
      </w:r>
    </w:p>
    <w:p w14:paraId="40D8C03B" w14:textId="0421E42C" w:rsidR="005F4051" w:rsidRPr="00132C1E" w:rsidRDefault="005F4051" w:rsidP="00724E4E">
      <w:pPr>
        <w:pStyle w:val="Clause"/>
      </w:pPr>
      <w:r w:rsidRPr="00132C1E">
        <w:t>If the offset of the yield line is within the thickness of a concrete slab, the gusset plate should be isolated from the slab by means of compressible material (e.g. polystyrene, fire caulking, etc.), see</w:t>
      </w:r>
      <w:r w:rsidRPr="00AC6BDD">
        <w:t xml:space="preserve"> Figure E.22 a. Alternatively, the gusset may be detailed to shift the offset of the yield line out of the slab thickness, see Figure E.22 b</w:t>
      </w:r>
      <w:r w:rsidRPr="00132C1E">
        <w:t>.</w:t>
      </w:r>
    </w:p>
    <w:p w14:paraId="56536E6D" w14:textId="6BE3529D" w:rsidR="005F4051" w:rsidRPr="00132C1E" w:rsidRDefault="009B633B" w:rsidP="009B633B">
      <w:pPr>
        <w:pStyle w:val="FigureImage"/>
      </w:pPr>
      <w:r>
        <w:rPr>
          <w:noProof/>
        </w:rPr>
        <w:drawing>
          <wp:inline distT="0" distB="0" distL="0" distR="0" wp14:anchorId="0AE54AA6" wp14:editId="517151D7">
            <wp:extent cx="5039876" cy="2497840"/>
            <wp:effectExtent l="0" t="0" r="8890" b="0"/>
            <wp:docPr id="2081949471" name="e021.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1949471" name="e021.tiff"/>
                    <pic:cNvPicPr/>
                  </pic:nvPicPr>
                  <pic:blipFill>
                    <a:blip r:link="rId107"/>
                    <a:stretch>
                      <a:fillRect/>
                    </a:stretch>
                  </pic:blipFill>
                  <pic:spPr>
                    <a:xfrm>
                      <a:off x="0" y="0"/>
                      <a:ext cx="5039876" cy="2497840"/>
                    </a:xfrm>
                    <a:prstGeom prst="rect">
                      <a:avLst/>
                    </a:prstGeom>
                  </pic:spPr>
                </pic:pic>
              </a:graphicData>
            </a:graphic>
          </wp:inline>
        </w:drawing>
      </w:r>
    </w:p>
    <w:p w14:paraId="7F8872EA" w14:textId="77777777" w:rsidR="009B633B" w:rsidRPr="00D1484A" w:rsidRDefault="009B633B" w:rsidP="009B633B">
      <w:pPr>
        <w:pStyle w:val="KeyTitle"/>
      </w:pPr>
      <w:r w:rsidRPr="00D1484A">
        <w:t>Key</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7"/>
        <w:gridCol w:w="5952"/>
      </w:tblGrid>
      <w:tr w:rsidR="009B633B" w:rsidRPr="00D4445A" w14:paraId="250B9561" w14:textId="77777777" w:rsidTr="00A145F0">
        <w:tc>
          <w:tcPr>
            <w:tcW w:w="427" w:type="dxa"/>
          </w:tcPr>
          <w:p w14:paraId="30AD8121" w14:textId="77777777" w:rsidR="009B633B" w:rsidRPr="00D4445A" w:rsidRDefault="009B633B" w:rsidP="00A145F0">
            <w:pPr>
              <w:pStyle w:val="KeyText"/>
              <w:spacing w:before="0"/>
              <w:rPr>
                <w:iCs/>
              </w:rPr>
            </w:pPr>
            <w:r w:rsidRPr="00D4445A">
              <w:rPr>
                <w:iCs/>
              </w:rPr>
              <w:t>A</w:t>
            </w:r>
          </w:p>
        </w:tc>
        <w:tc>
          <w:tcPr>
            <w:tcW w:w="5952" w:type="dxa"/>
          </w:tcPr>
          <w:p w14:paraId="0B3FAE3A" w14:textId="77777777" w:rsidR="009B633B" w:rsidRPr="00D4445A" w:rsidRDefault="009B633B" w:rsidP="00A145F0">
            <w:pPr>
              <w:pStyle w:val="KeyText"/>
              <w:spacing w:before="0"/>
            </w:pPr>
            <w:r w:rsidRPr="00D4445A">
              <w:t>beam</w:t>
            </w:r>
          </w:p>
        </w:tc>
      </w:tr>
      <w:tr w:rsidR="009B633B" w:rsidRPr="00D4445A" w14:paraId="2DF70258" w14:textId="77777777" w:rsidTr="00A145F0">
        <w:tc>
          <w:tcPr>
            <w:tcW w:w="427" w:type="dxa"/>
          </w:tcPr>
          <w:p w14:paraId="486E6774" w14:textId="77777777" w:rsidR="009B633B" w:rsidRPr="00D4445A" w:rsidRDefault="009B633B" w:rsidP="00A145F0">
            <w:pPr>
              <w:pStyle w:val="KeyText"/>
              <w:spacing w:before="0"/>
              <w:rPr>
                <w:iCs/>
              </w:rPr>
            </w:pPr>
            <w:r w:rsidRPr="00D4445A">
              <w:rPr>
                <w:iCs/>
              </w:rPr>
              <w:t>B</w:t>
            </w:r>
          </w:p>
        </w:tc>
        <w:tc>
          <w:tcPr>
            <w:tcW w:w="5952" w:type="dxa"/>
          </w:tcPr>
          <w:p w14:paraId="4E83B657" w14:textId="77777777" w:rsidR="009B633B" w:rsidRPr="00D4445A" w:rsidRDefault="009B633B" w:rsidP="00A145F0">
            <w:pPr>
              <w:pStyle w:val="KeyText"/>
              <w:spacing w:before="0"/>
            </w:pPr>
            <w:r w:rsidRPr="00D4445A">
              <w:t>column</w:t>
            </w:r>
          </w:p>
        </w:tc>
      </w:tr>
      <w:tr w:rsidR="009B633B" w:rsidRPr="00D4445A" w14:paraId="65AB1555" w14:textId="77777777" w:rsidTr="00A145F0">
        <w:tc>
          <w:tcPr>
            <w:tcW w:w="427" w:type="dxa"/>
          </w:tcPr>
          <w:p w14:paraId="7821C288" w14:textId="77777777" w:rsidR="009B633B" w:rsidRPr="00D4445A" w:rsidRDefault="009B633B" w:rsidP="00A145F0">
            <w:pPr>
              <w:pStyle w:val="KeyText"/>
              <w:spacing w:before="0"/>
              <w:rPr>
                <w:iCs/>
              </w:rPr>
            </w:pPr>
            <w:r w:rsidRPr="00D4445A">
              <w:rPr>
                <w:iCs/>
              </w:rPr>
              <w:t>C</w:t>
            </w:r>
          </w:p>
        </w:tc>
        <w:tc>
          <w:tcPr>
            <w:tcW w:w="5952" w:type="dxa"/>
          </w:tcPr>
          <w:p w14:paraId="4230D012" w14:textId="71D3E7E5" w:rsidR="009B633B" w:rsidRPr="00D4445A" w:rsidRDefault="009B633B" w:rsidP="00A145F0">
            <w:pPr>
              <w:pStyle w:val="KeyText"/>
              <w:spacing w:before="0"/>
              <w:ind w:left="0" w:firstLine="0"/>
            </w:pPr>
            <w:r w:rsidRPr="00D4445A">
              <w:t>diagonal brace</w:t>
            </w:r>
          </w:p>
        </w:tc>
      </w:tr>
      <w:tr w:rsidR="009B633B" w:rsidRPr="00D4445A" w14:paraId="69444F7D" w14:textId="77777777" w:rsidTr="00A145F0">
        <w:tc>
          <w:tcPr>
            <w:tcW w:w="427" w:type="dxa"/>
          </w:tcPr>
          <w:p w14:paraId="3A9E1E83" w14:textId="164AEA8D" w:rsidR="009B633B" w:rsidRPr="00D4445A" w:rsidRDefault="009B633B" w:rsidP="00A145F0">
            <w:pPr>
              <w:pStyle w:val="KeyText"/>
              <w:spacing w:before="0"/>
              <w:rPr>
                <w:iCs/>
              </w:rPr>
            </w:pPr>
            <w:r w:rsidRPr="00D4445A">
              <w:rPr>
                <w:iCs/>
              </w:rPr>
              <w:t>D</w:t>
            </w:r>
          </w:p>
        </w:tc>
        <w:tc>
          <w:tcPr>
            <w:tcW w:w="5952" w:type="dxa"/>
          </w:tcPr>
          <w:p w14:paraId="5F054C13" w14:textId="12F92F67" w:rsidR="009B633B" w:rsidRPr="00D4445A" w:rsidRDefault="009B633B" w:rsidP="00A145F0">
            <w:pPr>
              <w:pStyle w:val="KeyText"/>
              <w:spacing w:before="0"/>
              <w:ind w:left="0" w:firstLine="0"/>
            </w:pPr>
            <w:r w:rsidRPr="00D4445A">
              <w:t>gusset plate</w:t>
            </w:r>
          </w:p>
        </w:tc>
      </w:tr>
      <w:tr w:rsidR="009B633B" w:rsidRPr="00D4445A" w14:paraId="00D569DD" w14:textId="77777777" w:rsidTr="00A145F0">
        <w:tc>
          <w:tcPr>
            <w:tcW w:w="427" w:type="dxa"/>
          </w:tcPr>
          <w:p w14:paraId="319C576A" w14:textId="5314DD98" w:rsidR="009B633B" w:rsidRPr="00D4445A" w:rsidRDefault="009B633B" w:rsidP="00A145F0">
            <w:pPr>
              <w:pStyle w:val="KeyText"/>
              <w:spacing w:before="0"/>
              <w:rPr>
                <w:iCs/>
              </w:rPr>
            </w:pPr>
            <w:r w:rsidRPr="00D4445A">
              <w:rPr>
                <w:iCs/>
              </w:rPr>
              <w:t>E</w:t>
            </w:r>
          </w:p>
        </w:tc>
        <w:tc>
          <w:tcPr>
            <w:tcW w:w="5952" w:type="dxa"/>
          </w:tcPr>
          <w:p w14:paraId="55D25360" w14:textId="0D9708F5" w:rsidR="009B633B" w:rsidRPr="00D4445A" w:rsidRDefault="009B633B" w:rsidP="00A145F0">
            <w:pPr>
              <w:pStyle w:val="KeyText"/>
              <w:spacing w:before="0"/>
              <w:ind w:left="0" w:firstLine="0"/>
            </w:pPr>
            <w:r w:rsidRPr="00D4445A">
              <w:t>linear clearance</w:t>
            </w:r>
          </w:p>
        </w:tc>
      </w:tr>
    </w:tbl>
    <w:p w14:paraId="59C02104" w14:textId="04F9EB2E" w:rsidR="005F4051" w:rsidRPr="007E6F67" w:rsidRDefault="005F4051" w:rsidP="00AC6BDD">
      <w:pPr>
        <w:pStyle w:val="Figuretitle"/>
      </w:pPr>
      <w:r w:rsidRPr="00D1484A">
        <w:t>Figure E</w:t>
      </w:r>
      <w:r w:rsidRPr="009A4363">
        <w:rPr>
          <w:color w:val="000000" w:themeColor="text1"/>
        </w:rPr>
        <w:t>.21 </w:t>
      </w:r>
      <w:r w:rsidRPr="00D1484A">
        <w:t xml:space="preserve">— Configurations of gusset plate connections for out-of-plane buckling: </w:t>
      </w:r>
      <w:r w:rsidR="009B633B">
        <w:t>(</w:t>
      </w:r>
      <w:r w:rsidRPr="00D1484A">
        <w:t>a) welded connection; (b) bolted connection</w:t>
      </w:r>
    </w:p>
    <w:p w14:paraId="3ABF72FD" w14:textId="4DACD494" w:rsidR="005F4051" w:rsidRPr="00132C1E" w:rsidRDefault="009B633B" w:rsidP="009B633B">
      <w:pPr>
        <w:pStyle w:val="FigureImage"/>
      </w:pPr>
      <w:r>
        <w:rPr>
          <w:noProof/>
        </w:rPr>
        <w:drawing>
          <wp:inline distT="0" distB="0" distL="0" distR="0" wp14:anchorId="7A640D7A" wp14:editId="0A6A42A5">
            <wp:extent cx="5039876" cy="2497840"/>
            <wp:effectExtent l="0" t="0" r="8890" b="0"/>
            <wp:docPr id="2081949472" name="e022.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1949472" name="e022.tiff"/>
                    <pic:cNvPicPr/>
                  </pic:nvPicPr>
                  <pic:blipFill>
                    <a:blip r:link="rId108"/>
                    <a:stretch>
                      <a:fillRect/>
                    </a:stretch>
                  </pic:blipFill>
                  <pic:spPr>
                    <a:xfrm>
                      <a:off x="0" y="0"/>
                      <a:ext cx="5039876" cy="2497840"/>
                    </a:xfrm>
                    <a:prstGeom prst="rect">
                      <a:avLst/>
                    </a:prstGeom>
                  </pic:spPr>
                </pic:pic>
              </a:graphicData>
            </a:graphic>
          </wp:inline>
        </w:drawing>
      </w:r>
    </w:p>
    <w:p w14:paraId="5C1EECC7" w14:textId="77777777" w:rsidR="009B633B" w:rsidRPr="00D1484A" w:rsidRDefault="009B633B" w:rsidP="009B633B">
      <w:pPr>
        <w:pStyle w:val="KeyTitle"/>
      </w:pPr>
      <w:r w:rsidRPr="00D1484A">
        <w:t>Key</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7"/>
        <w:gridCol w:w="5952"/>
      </w:tblGrid>
      <w:tr w:rsidR="009B633B" w:rsidRPr="00D4445A" w14:paraId="588900BD" w14:textId="77777777" w:rsidTr="00A145F0">
        <w:tc>
          <w:tcPr>
            <w:tcW w:w="427" w:type="dxa"/>
          </w:tcPr>
          <w:p w14:paraId="296E86DB" w14:textId="1230D34E" w:rsidR="009B633B" w:rsidRPr="00D4445A" w:rsidRDefault="009B633B" w:rsidP="00A145F0">
            <w:pPr>
              <w:pStyle w:val="KeyText"/>
              <w:spacing w:before="0"/>
              <w:rPr>
                <w:iCs/>
              </w:rPr>
            </w:pPr>
            <w:r w:rsidRPr="00D4445A">
              <w:rPr>
                <w:iCs/>
              </w:rPr>
              <w:t>1</w:t>
            </w:r>
          </w:p>
        </w:tc>
        <w:tc>
          <w:tcPr>
            <w:tcW w:w="5952" w:type="dxa"/>
          </w:tcPr>
          <w:p w14:paraId="10383D01" w14:textId="6F2A7941" w:rsidR="009B633B" w:rsidRPr="00D4445A" w:rsidRDefault="009B633B" w:rsidP="00A145F0">
            <w:pPr>
              <w:pStyle w:val="KeyText"/>
              <w:spacing w:before="0"/>
            </w:pPr>
            <w:r w:rsidRPr="00D4445A">
              <w:t>linear clearance</w:t>
            </w:r>
          </w:p>
        </w:tc>
      </w:tr>
      <w:tr w:rsidR="009B633B" w:rsidRPr="00D4445A" w14:paraId="29EE7C20" w14:textId="77777777" w:rsidTr="00A145F0">
        <w:tc>
          <w:tcPr>
            <w:tcW w:w="427" w:type="dxa"/>
          </w:tcPr>
          <w:p w14:paraId="1AEE4767" w14:textId="5191CDD9" w:rsidR="009B633B" w:rsidRPr="00D4445A" w:rsidRDefault="009B633B" w:rsidP="00A145F0">
            <w:pPr>
              <w:pStyle w:val="KeyText"/>
              <w:spacing w:before="0"/>
              <w:rPr>
                <w:iCs/>
              </w:rPr>
            </w:pPr>
            <w:r w:rsidRPr="00D4445A">
              <w:rPr>
                <w:iCs/>
              </w:rPr>
              <w:t>2</w:t>
            </w:r>
          </w:p>
        </w:tc>
        <w:tc>
          <w:tcPr>
            <w:tcW w:w="5952" w:type="dxa"/>
          </w:tcPr>
          <w:p w14:paraId="4235EDBE" w14:textId="290DE4B5" w:rsidR="009B633B" w:rsidRPr="00D4445A" w:rsidRDefault="009B633B" w:rsidP="00A145F0">
            <w:pPr>
              <w:pStyle w:val="KeyText"/>
              <w:spacing w:before="0"/>
            </w:pPr>
            <w:r w:rsidRPr="00D4445A">
              <w:t>compressible material</w:t>
            </w:r>
          </w:p>
        </w:tc>
      </w:tr>
      <w:tr w:rsidR="009B633B" w:rsidRPr="00D4445A" w14:paraId="7AF0FAEA" w14:textId="77777777" w:rsidTr="00A145F0">
        <w:tc>
          <w:tcPr>
            <w:tcW w:w="427" w:type="dxa"/>
          </w:tcPr>
          <w:p w14:paraId="3D1C92E5" w14:textId="5A266A9F" w:rsidR="009B633B" w:rsidRPr="00D4445A" w:rsidRDefault="009B633B" w:rsidP="00A145F0">
            <w:pPr>
              <w:pStyle w:val="KeyText"/>
              <w:spacing w:before="0"/>
              <w:rPr>
                <w:iCs/>
              </w:rPr>
            </w:pPr>
            <w:r w:rsidRPr="00D4445A">
              <w:rPr>
                <w:iCs/>
              </w:rPr>
              <w:t>3</w:t>
            </w:r>
          </w:p>
        </w:tc>
        <w:tc>
          <w:tcPr>
            <w:tcW w:w="5952" w:type="dxa"/>
          </w:tcPr>
          <w:p w14:paraId="0C3C28AC" w14:textId="5C798E51" w:rsidR="009B633B" w:rsidRPr="00D4445A" w:rsidRDefault="009B633B" w:rsidP="00A145F0">
            <w:pPr>
              <w:pStyle w:val="KeyText"/>
              <w:spacing w:before="0"/>
              <w:ind w:left="0" w:firstLine="0"/>
            </w:pPr>
            <w:r w:rsidRPr="00D4445A">
              <w:t>edge stiffener</w:t>
            </w:r>
          </w:p>
        </w:tc>
      </w:tr>
    </w:tbl>
    <w:p w14:paraId="5DAB3A43" w14:textId="65822324" w:rsidR="005F4051" w:rsidRPr="007E6F67" w:rsidRDefault="005F4051" w:rsidP="00AC6BDD">
      <w:pPr>
        <w:pStyle w:val="Figuretitle"/>
      </w:pPr>
      <w:r w:rsidRPr="00D1484A">
        <w:t>Figure E</w:t>
      </w:r>
      <w:r w:rsidRPr="00D42D5E">
        <w:t>.22 </w:t>
      </w:r>
      <w:r w:rsidRPr="00D1484A">
        <w:t>— </w:t>
      </w:r>
      <w:r w:rsidR="009B633B">
        <w:t>S</w:t>
      </w:r>
      <w:r w:rsidRPr="00D1484A">
        <w:t xml:space="preserve">lab-to-gusset details: </w:t>
      </w:r>
      <w:r w:rsidR="009B633B">
        <w:t>(</w:t>
      </w:r>
      <w:r w:rsidRPr="00D1484A">
        <w:t>a) isolated from the slab; (b) restrained by the slab</w:t>
      </w:r>
    </w:p>
    <w:p w14:paraId="0CE6FAD4" w14:textId="725AB926" w:rsidR="005F4051" w:rsidRPr="004F25D7" w:rsidRDefault="005F4051" w:rsidP="00724E4E">
      <w:pPr>
        <w:pStyle w:val="Clause"/>
      </w:pPr>
      <w:r w:rsidRPr="00FD17CF">
        <w:t>If the free edge of the gusset plate is greater</w:t>
      </w:r>
      <w:r w:rsidRPr="00E05E29">
        <w:t xml:space="preserve"> than 4</w:t>
      </w:r>
      <w:r w:rsidRPr="00196951">
        <w:rPr>
          <w:i/>
          <w:iCs/>
        </w:rPr>
        <w:t>t</w:t>
      </w:r>
      <w:r w:rsidRPr="00196951">
        <w:rPr>
          <w:vertAlign w:val="subscript"/>
        </w:rPr>
        <w:t>gp</w:t>
      </w:r>
      <w:r w:rsidRPr="002144A0">
        <w:t xml:space="preserve"> beyond the theoretical yield line, an edge stiffener should stabil</w:t>
      </w:r>
      <w:r w:rsidR="00E10A24">
        <w:t>ize</w:t>
      </w:r>
      <w:r w:rsidRPr="002144A0">
        <w:t xml:space="preserve"> the gusset plate and restrain the yield line, </w:t>
      </w:r>
      <w:r w:rsidRPr="00AC6BDD">
        <w:t xml:space="preserve">see Figure E.22 b. </w:t>
      </w:r>
      <w:r w:rsidRPr="002144A0">
        <w:t>The edge stiffener should terminate outside the gusset-plate hinge.</w:t>
      </w:r>
    </w:p>
    <w:p w14:paraId="14314C5E" w14:textId="1313F613" w:rsidR="005F4051" w:rsidRPr="00132C1E" w:rsidRDefault="005F4051" w:rsidP="00724E4E">
      <w:pPr>
        <w:pStyle w:val="Clause"/>
      </w:pPr>
      <w:r w:rsidRPr="00C52095">
        <w:t xml:space="preserve">There </w:t>
      </w:r>
      <w:r w:rsidRPr="00AC6BDD">
        <w:t>should be an offset not smaller than 25 mm from each side of the brace to the free edge of the gusset plate, see Figure E.21</w:t>
      </w:r>
      <w:r w:rsidRPr="00D42D5E">
        <w:rPr>
          <w:color w:val="00B050"/>
        </w:rPr>
        <w:t>.</w:t>
      </w:r>
    </w:p>
    <w:p w14:paraId="424B7236" w14:textId="01FE1C3E" w:rsidR="005F4051" w:rsidRPr="00132C1E" w:rsidRDefault="005F4051" w:rsidP="00724E4E">
      <w:pPr>
        <w:pStyle w:val="Clause"/>
      </w:pPr>
      <w:r w:rsidRPr="00132C1E">
        <w:t xml:space="preserve">The angle between the edge of the gusset plate and the brace axis should be 30 degrees, see </w:t>
      </w:r>
      <w:r w:rsidRPr="00AC6BDD">
        <w:t>Figure</w:t>
      </w:r>
      <w:r w:rsidR="00A145F0">
        <w:t> </w:t>
      </w:r>
      <w:r w:rsidRPr="00AC6BDD">
        <w:t>E.21.</w:t>
      </w:r>
    </w:p>
    <w:p w14:paraId="63696711" w14:textId="62DBCF70" w:rsidR="005F4051" w:rsidRPr="00132C1E" w:rsidRDefault="005F4051" w:rsidP="00724E4E">
      <w:pPr>
        <w:pStyle w:val="Clause"/>
      </w:pPr>
      <w:r w:rsidRPr="00132C1E">
        <w:t xml:space="preserve">The brace lap length of a welded gusset plate should be 25 mm longer than the specified weld length </w:t>
      </w:r>
      <w:r w:rsidRPr="00132C1E">
        <w:rPr>
          <w:i/>
          <w:iCs/>
        </w:rPr>
        <w:t>L</w:t>
      </w:r>
      <w:r w:rsidRPr="00132C1E">
        <w:rPr>
          <w:i/>
          <w:iCs/>
          <w:vertAlign w:val="subscript"/>
        </w:rPr>
        <w:t>w</w:t>
      </w:r>
      <w:r w:rsidRPr="00132C1E">
        <w:t xml:space="preserve">, see </w:t>
      </w:r>
      <w:r w:rsidRPr="00AC6BDD">
        <w:t>Figure E.23 a.</w:t>
      </w:r>
    </w:p>
    <w:p w14:paraId="5DA3F521" w14:textId="25B1EC9B" w:rsidR="005F4051" w:rsidRPr="00132C1E" w:rsidRDefault="005F4051" w:rsidP="00724E4E">
      <w:pPr>
        <w:pStyle w:val="Clause"/>
      </w:pPr>
      <w:r w:rsidRPr="00132C1E">
        <w:t xml:space="preserve">To calculate the tension and buckling resistance of the gusset plate against forces transferred by the connected brace, the resisting area of the gusset plate should be calculated </w:t>
      </w:r>
      <w:r w:rsidRPr="00AC6BDD">
        <w:t>with Formula (E.22).</w:t>
      </w:r>
    </w:p>
    <w:p w14:paraId="10A61666" w14:textId="5E242037" w:rsidR="00AC6BDD" w:rsidRPr="00870D59" w:rsidRDefault="009B5CEC" w:rsidP="00AC6BDD">
      <w:pPr>
        <w:pStyle w:val="Formula"/>
        <w:spacing w:before="240"/>
      </w:pPr>
      <m:oMath>
        <m:sSub>
          <m:sSubPr>
            <m:ctrlPr>
              <w:rPr>
                <w:rFonts w:ascii="Cambria Math" w:hAnsi="Cambria Math"/>
              </w:rPr>
            </m:ctrlPr>
          </m:sSubPr>
          <m:e>
            <m:r>
              <w:rPr>
                <w:rFonts w:ascii="Cambria Math" w:hAnsi="Cambria Math"/>
              </w:rPr>
              <m:t>A</m:t>
            </m:r>
          </m:e>
          <m:sub>
            <m:r>
              <m:rPr>
                <m:sty m:val="p"/>
              </m:rPr>
              <w:rPr>
                <w:rFonts w:ascii="Cambria Math" w:hAnsi="Cambria Math"/>
              </w:rPr>
              <m:t>gp</m:t>
            </m:r>
          </m:sub>
        </m:sSub>
        <m:r>
          <w:rPr>
            <w:rFonts w:ascii="Cambria Math" w:hAnsi="Cambria Math"/>
          </w:rPr>
          <m:t>=</m:t>
        </m:r>
        <m:sSub>
          <m:sSubPr>
            <m:ctrlPr>
              <w:rPr>
                <w:rFonts w:ascii="Cambria Math" w:hAnsi="Cambria Math"/>
              </w:rPr>
            </m:ctrlPr>
          </m:sSubPr>
          <m:e>
            <m:r>
              <w:rPr>
                <w:rFonts w:ascii="Cambria Math" w:hAnsi="Cambria Math"/>
              </w:rPr>
              <m:t>t</m:t>
            </m:r>
          </m:e>
          <m:sub>
            <m:r>
              <m:rPr>
                <m:sty m:val="p"/>
              </m:rPr>
              <w:rPr>
                <w:rFonts w:ascii="Cambria Math" w:hAnsi="Cambria Math"/>
              </w:rPr>
              <m:t>gp</m:t>
            </m:r>
          </m:sub>
        </m:sSub>
        <m:r>
          <w:rPr>
            <w:rFonts w:ascii="Cambria Math" w:hAnsi="Cambria Math"/>
          </w:rPr>
          <m:t xml:space="preserve"> </m:t>
        </m:r>
        <m:sSub>
          <m:sSubPr>
            <m:ctrlPr>
              <w:rPr>
                <w:rFonts w:ascii="Cambria Math" w:hAnsi="Cambria Math"/>
              </w:rPr>
            </m:ctrlPr>
          </m:sSubPr>
          <m:e>
            <m:r>
              <w:rPr>
                <w:rFonts w:ascii="Cambria Math" w:hAnsi="Cambria Math"/>
              </w:rPr>
              <m:t>W</m:t>
            </m:r>
          </m:e>
          <m:sub>
            <m:r>
              <m:rPr>
                <m:sty m:val="p"/>
              </m:rPr>
              <w:rPr>
                <w:rFonts w:ascii="Cambria Math" w:hAnsi="Cambria Math"/>
              </w:rPr>
              <m:t>d</m:t>
            </m:r>
          </m:sub>
        </m:sSub>
        <m:r>
          <w:rPr>
            <w:rFonts w:ascii="Cambria Math" w:hAnsi="Cambria Math"/>
          </w:rPr>
          <m:t xml:space="preserve"> </m:t>
        </m:r>
      </m:oMath>
      <w:r w:rsidR="004A212D">
        <w:t xml:space="preserve"> </w:t>
      </w:r>
      <w:r w:rsidR="00AC6BDD" w:rsidRPr="00870D59">
        <w:tab/>
        <w:t>(</w:t>
      </w:r>
      <w:r w:rsidR="00AC6BDD">
        <w:t>E</w:t>
      </w:r>
      <w:r w:rsidR="00AC6BDD" w:rsidRPr="00870D59">
        <w:t>.</w:t>
      </w:r>
      <w:r w:rsidR="00AC6BDD">
        <w:t>22</w:t>
      </w:r>
      <w:r w:rsidR="00AC6BDD" w:rsidRPr="00870D59">
        <w:t>)</w:t>
      </w:r>
    </w:p>
    <w:p w14:paraId="4EB600AD" w14:textId="770A50EC" w:rsidR="00AC6BDD" w:rsidRDefault="00675EBA" w:rsidP="00AC6BDD">
      <w:pPr>
        <w:pStyle w:val="Text"/>
      </w:pPr>
      <w:r>
        <w:t>where</w:t>
      </w:r>
    </w:p>
    <w:tbl>
      <w:tblPr>
        <w:tblW w:w="0" w:type="auto"/>
        <w:tblInd w:w="346" w:type="dxa"/>
        <w:tblLook w:val="04A0" w:firstRow="1" w:lastRow="0" w:firstColumn="1" w:lastColumn="0" w:noHBand="0" w:noVBand="1"/>
      </w:tblPr>
      <w:tblGrid>
        <w:gridCol w:w="1275"/>
        <w:gridCol w:w="7938"/>
      </w:tblGrid>
      <w:tr w:rsidR="00AC6BDD" w:rsidRPr="00870D59" w14:paraId="0F378BFD" w14:textId="77777777" w:rsidTr="00A145F0">
        <w:tc>
          <w:tcPr>
            <w:tcW w:w="1275" w:type="dxa"/>
          </w:tcPr>
          <w:p w14:paraId="62B294B0" w14:textId="413739DD" w:rsidR="00AC6BDD" w:rsidRPr="00870D59" w:rsidRDefault="004A212D" w:rsidP="002061E5">
            <w:pPr>
              <w:spacing w:after="60"/>
              <w:rPr>
                <w:rFonts w:eastAsia="Times New Roman" w:cs="Cambria"/>
                <w:szCs w:val="20"/>
                <w:lang w:eastAsia="fr-FR"/>
              </w:rPr>
            </w:pPr>
            <w:r w:rsidRPr="00FD17CF">
              <w:rPr>
                <w:i/>
                <w:iCs/>
              </w:rPr>
              <w:t>t</w:t>
            </w:r>
            <w:r w:rsidRPr="00E05E29">
              <w:rPr>
                <w:vertAlign w:val="subscript"/>
              </w:rPr>
              <w:t>gp</w:t>
            </w:r>
          </w:p>
        </w:tc>
        <w:tc>
          <w:tcPr>
            <w:tcW w:w="7938" w:type="dxa"/>
          </w:tcPr>
          <w:p w14:paraId="77FF10E1" w14:textId="01099633" w:rsidR="00AC6BDD" w:rsidRPr="00870D59" w:rsidRDefault="004A212D" w:rsidP="002061E5">
            <w:pPr>
              <w:spacing w:after="60"/>
              <w:rPr>
                <w:rFonts w:eastAsia="Times New Roman" w:cs="Cambria"/>
                <w:szCs w:val="20"/>
                <w:lang w:eastAsia="fr-FR"/>
              </w:rPr>
            </w:pPr>
            <w:r w:rsidRPr="00196951">
              <w:t>is the thickness of the gusset plate;</w:t>
            </w:r>
          </w:p>
        </w:tc>
      </w:tr>
      <w:tr w:rsidR="00AC6BDD" w:rsidRPr="00870D59" w14:paraId="7C798025" w14:textId="77777777" w:rsidTr="00A145F0">
        <w:tc>
          <w:tcPr>
            <w:tcW w:w="1275" w:type="dxa"/>
          </w:tcPr>
          <w:p w14:paraId="61023350" w14:textId="248F2829" w:rsidR="00AC6BDD" w:rsidRPr="00870D59" w:rsidRDefault="004A212D" w:rsidP="002061E5">
            <w:pPr>
              <w:spacing w:after="60"/>
              <w:rPr>
                <w:i/>
                <w:color w:val="000000" w:themeColor="text1"/>
              </w:rPr>
            </w:pPr>
            <w:r w:rsidRPr="002144A0">
              <w:rPr>
                <w:i/>
                <w:iCs/>
              </w:rPr>
              <w:t>W</w:t>
            </w:r>
            <w:r w:rsidRPr="002144A0">
              <w:rPr>
                <w:vertAlign w:val="subscript"/>
              </w:rPr>
              <w:t>d</w:t>
            </w:r>
          </w:p>
        </w:tc>
        <w:tc>
          <w:tcPr>
            <w:tcW w:w="7938" w:type="dxa"/>
          </w:tcPr>
          <w:p w14:paraId="2C776C11" w14:textId="299BEBC5" w:rsidR="00AC6BDD" w:rsidRPr="00870D59" w:rsidRDefault="004A212D" w:rsidP="002061E5">
            <w:pPr>
              <w:spacing w:after="60"/>
              <w:rPr>
                <w:color w:val="000000" w:themeColor="text1"/>
              </w:rPr>
            </w:pPr>
            <w:r w:rsidRPr="00132C1E">
              <w:t xml:space="preserve">is the effective width of the gusset </w:t>
            </w:r>
            <w:r w:rsidRPr="00724E4E">
              <w:t>plate, see (8).</w:t>
            </w:r>
          </w:p>
        </w:tc>
      </w:tr>
    </w:tbl>
    <w:p w14:paraId="67921F94" w14:textId="35CEC5E2" w:rsidR="004A212D" w:rsidRPr="00132C1E" w:rsidRDefault="004A212D" w:rsidP="00724E4E">
      <w:pPr>
        <w:pStyle w:val="Clause"/>
      </w:pPr>
      <w:r w:rsidRPr="00132C1E">
        <w:t xml:space="preserve">The effective width </w:t>
      </w:r>
      <w:r w:rsidRPr="00132C1E">
        <w:rPr>
          <w:i/>
          <w:iCs/>
        </w:rPr>
        <w:t>W</w:t>
      </w:r>
      <w:r w:rsidRPr="00132C1E">
        <w:rPr>
          <w:vertAlign w:val="subscript"/>
        </w:rPr>
        <w:t>d</w:t>
      </w:r>
      <w:r w:rsidRPr="00132C1E">
        <w:t xml:space="preserve"> of the gusset plate at the hinge zone, defined between two 30° lines drawn from either the tips of the welds in welded connection or the first bolts on the gusset that intersect the centreline axis of the last bolt (</w:t>
      </w:r>
      <w:r w:rsidRPr="004A212D">
        <w:t>see Figure E.23) should be calculated using Formula (E.23).</w:t>
      </w:r>
    </w:p>
    <w:p w14:paraId="3587DD26" w14:textId="27E6085C" w:rsidR="004A212D" w:rsidRPr="00870D59" w:rsidRDefault="009B5CEC" w:rsidP="004A212D">
      <w:pPr>
        <w:pStyle w:val="Formula"/>
        <w:spacing w:before="240"/>
      </w:pPr>
      <m:oMath>
        <m:sSub>
          <m:sSubPr>
            <m:ctrlPr>
              <w:rPr>
                <w:rFonts w:ascii="Cambria Math" w:hAnsi="Cambria Math"/>
              </w:rPr>
            </m:ctrlPr>
          </m:sSubPr>
          <m:e>
            <m:r>
              <w:rPr>
                <w:rFonts w:ascii="Cambria Math" w:hAnsi="Cambria Math"/>
              </w:rPr>
              <m:t>W</m:t>
            </m:r>
          </m:e>
          <m:sub>
            <m:r>
              <m:rPr>
                <m:sty m:val="p"/>
              </m:rPr>
              <w:rPr>
                <w:rFonts w:ascii="Cambria Math" w:hAnsi="Cambria Math"/>
              </w:rPr>
              <m:t>d</m:t>
            </m:r>
          </m:sub>
        </m:sSub>
        <m:r>
          <w:rPr>
            <w:rFonts w:ascii="Cambria Math" w:hAnsi="Cambria Math"/>
          </w:rPr>
          <m:t>=</m:t>
        </m:r>
        <m:d>
          <m:dPr>
            <m:begChr m:val="{"/>
            <m:endChr m:val=""/>
            <m:ctrlPr>
              <w:rPr>
                <w:rFonts w:ascii="Cambria Math" w:hAnsi="Cambria Math"/>
              </w:rPr>
            </m:ctrlPr>
          </m:dPr>
          <m:e>
            <m:eqArr>
              <m:eqArrPr>
                <m:ctrlPr>
                  <w:rPr>
                    <w:rFonts w:ascii="Cambria Math" w:hAnsi="Cambria Math"/>
                  </w:rPr>
                </m:ctrlPr>
              </m:eqArrPr>
              <m:e>
                <m:r>
                  <w:rPr>
                    <w:rFonts w:ascii="Cambria Math" w:hAnsi="Cambria Math"/>
                  </w:rPr>
                  <m:t>b+2</m:t>
                </m:r>
                <m:rad>
                  <m:radPr>
                    <m:degHide m:val="1"/>
                    <m:ctrlPr>
                      <w:rPr>
                        <w:rFonts w:ascii="Cambria Math" w:hAnsi="Cambria Math"/>
                      </w:rPr>
                    </m:ctrlPr>
                  </m:radPr>
                  <m:deg/>
                  <m:e>
                    <m:r>
                      <w:rPr>
                        <w:rFonts w:ascii="Cambria Math" w:hAnsi="Cambria Math"/>
                      </w:rPr>
                      <m:t>3</m:t>
                    </m:r>
                  </m:e>
                </m:rad>
                <m:r>
                  <w:rPr>
                    <w:rFonts w:ascii="Cambria Math" w:hAnsi="Cambria Math"/>
                  </w:rPr>
                  <m:t xml:space="preserve"> </m:t>
                </m:r>
                <m:sSub>
                  <m:sSubPr>
                    <m:ctrlPr>
                      <w:rPr>
                        <w:rFonts w:ascii="Cambria Math" w:hAnsi="Cambria Math"/>
                      </w:rPr>
                    </m:ctrlPr>
                  </m:sSubPr>
                  <m:e>
                    <m:r>
                      <w:rPr>
                        <w:rFonts w:ascii="Cambria Math" w:hAnsi="Cambria Math"/>
                      </w:rPr>
                      <m:t>L</m:t>
                    </m:r>
                  </m:e>
                  <m:sub>
                    <m:r>
                      <m:rPr>
                        <m:sty m:val="p"/>
                      </m:rPr>
                      <w:rPr>
                        <w:rFonts w:ascii="Cambria Math" w:hAnsi="Cambria Math"/>
                      </w:rPr>
                      <m:t>w</m:t>
                    </m:r>
                  </m:sub>
                </m:sSub>
                <m:r>
                  <w:rPr>
                    <w:rFonts w:ascii="Cambria Math" w:hAnsi="Cambria Math"/>
                  </w:rPr>
                  <m:t xml:space="preserve">   </m:t>
                </m:r>
                <m:r>
                  <m:rPr>
                    <m:sty m:val="p"/>
                  </m:rPr>
                  <w:rPr>
                    <w:rFonts w:ascii="Cambria Math" w:hAnsi="Cambria Math"/>
                  </w:rPr>
                  <m:t>for welded connections</m:t>
                </m:r>
              </m:e>
              <m:e>
                <m:r>
                  <w:rPr>
                    <w:rFonts w:ascii="Cambria Math" w:hAnsi="Cambria Math"/>
                  </w:rPr>
                  <m:t>g+2</m:t>
                </m:r>
                <m:rad>
                  <m:radPr>
                    <m:degHide m:val="1"/>
                    <m:ctrlPr>
                      <w:rPr>
                        <w:rFonts w:ascii="Cambria Math" w:hAnsi="Cambria Math"/>
                      </w:rPr>
                    </m:ctrlPr>
                  </m:radPr>
                  <m:deg/>
                  <m:e>
                    <m:r>
                      <w:rPr>
                        <w:rFonts w:ascii="Cambria Math" w:hAnsi="Cambria Math"/>
                      </w:rPr>
                      <m:t>3</m:t>
                    </m:r>
                  </m:e>
                </m:rad>
                <m:r>
                  <w:rPr>
                    <w:rFonts w:ascii="Cambria Math" w:hAnsi="Cambria Math"/>
                  </w:rPr>
                  <m:t xml:space="preserve"> </m:t>
                </m:r>
                <m:sSub>
                  <m:sSubPr>
                    <m:ctrlPr>
                      <w:rPr>
                        <w:rFonts w:ascii="Cambria Math" w:hAnsi="Cambria Math"/>
                      </w:rPr>
                    </m:ctrlPr>
                  </m:sSubPr>
                  <m:e>
                    <m:r>
                      <w:rPr>
                        <w:rFonts w:ascii="Cambria Math" w:hAnsi="Cambria Math"/>
                      </w:rPr>
                      <m:t>L</m:t>
                    </m:r>
                  </m:e>
                  <m:sub>
                    <m:r>
                      <m:rPr>
                        <m:sty m:val="p"/>
                      </m:rPr>
                      <w:rPr>
                        <w:rFonts w:ascii="Cambria Math" w:hAnsi="Cambria Math"/>
                      </w:rPr>
                      <m:t>b</m:t>
                    </m:r>
                  </m:sub>
                </m:sSub>
                <m:r>
                  <w:rPr>
                    <w:rFonts w:ascii="Cambria Math" w:hAnsi="Cambria Math"/>
                  </w:rPr>
                  <m:t xml:space="preserve">   </m:t>
                </m:r>
                <m:r>
                  <m:rPr>
                    <m:sty m:val="p"/>
                  </m:rPr>
                  <w:rPr>
                    <w:rFonts w:ascii="Cambria Math" w:hAnsi="Cambria Math"/>
                  </w:rPr>
                  <m:t>for bolted connections</m:t>
                </m:r>
              </m:e>
            </m:eqArr>
          </m:e>
        </m:d>
      </m:oMath>
      <w:r w:rsidR="004A212D" w:rsidRPr="00870D59">
        <w:tab/>
        <w:t>(</w:t>
      </w:r>
      <w:r w:rsidR="004A212D">
        <w:t>E</w:t>
      </w:r>
      <w:r w:rsidR="004A212D" w:rsidRPr="00870D59">
        <w:t>.</w:t>
      </w:r>
      <w:r w:rsidR="004A212D">
        <w:t>2</w:t>
      </w:r>
      <w:r w:rsidR="00F66FA7">
        <w:t>3</w:t>
      </w:r>
      <w:r w:rsidR="004A212D" w:rsidRPr="00870D59">
        <w:t>)</w:t>
      </w:r>
    </w:p>
    <w:p w14:paraId="383BC5F5" w14:textId="6BD0B7EB" w:rsidR="004A212D" w:rsidRDefault="00675EBA" w:rsidP="004A212D">
      <w:pPr>
        <w:pStyle w:val="Text"/>
      </w:pPr>
      <w:r>
        <w:t>where</w:t>
      </w:r>
    </w:p>
    <w:tbl>
      <w:tblPr>
        <w:tblW w:w="0" w:type="auto"/>
        <w:tblInd w:w="346" w:type="dxa"/>
        <w:tblLook w:val="04A0" w:firstRow="1" w:lastRow="0" w:firstColumn="1" w:lastColumn="0" w:noHBand="0" w:noVBand="1"/>
      </w:tblPr>
      <w:tblGrid>
        <w:gridCol w:w="1275"/>
        <w:gridCol w:w="7938"/>
      </w:tblGrid>
      <w:tr w:rsidR="004A212D" w:rsidRPr="00870D59" w14:paraId="270AE315" w14:textId="77777777" w:rsidTr="00A145F0">
        <w:tc>
          <w:tcPr>
            <w:tcW w:w="1275" w:type="dxa"/>
          </w:tcPr>
          <w:p w14:paraId="682628F6" w14:textId="473E2859" w:rsidR="004A212D" w:rsidRPr="00870D59" w:rsidRDefault="00F66FA7" w:rsidP="002061E5">
            <w:pPr>
              <w:spacing w:after="60"/>
              <w:rPr>
                <w:rFonts w:eastAsia="Times New Roman" w:cs="Cambria"/>
                <w:szCs w:val="20"/>
                <w:lang w:eastAsia="fr-FR"/>
              </w:rPr>
            </w:pPr>
            <w:r w:rsidRPr="00FD17CF">
              <w:rPr>
                <w:i/>
                <w:iCs/>
              </w:rPr>
              <w:t>L</w:t>
            </w:r>
            <w:r w:rsidRPr="00FD17CF">
              <w:rPr>
                <w:vertAlign w:val="subscript"/>
              </w:rPr>
              <w:t>w</w:t>
            </w:r>
          </w:p>
        </w:tc>
        <w:tc>
          <w:tcPr>
            <w:tcW w:w="7938" w:type="dxa"/>
          </w:tcPr>
          <w:p w14:paraId="1AFE40DB" w14:textId="54F4EDCE" w:rsidR="004A212D" w:rsidRPr="00870D59" w:rsidRDefault="00F66FA7" w:rsidP="002061E5">
            <w:pPr>
              <w:spacing w:after="60"/>
              <w:rPr>
                <w:rFonts w:eastAsia="Times New Roman" w:cs="Cambria"/>
                <w:szCs w:val="20"/>
                <w:lang w:eastAsia="fr-FR"/>
              </w:rPr>
            </w:pPr>
            <w:r w:rsidRPr="00FD17CF">
              <w:t>is the length of the weld connecting the bracing member to the gusset plate;</w:t>
            </w:r>
          </w:p>
        </w:tc>
      </w:tr>
      <w:tr w:rsidR="00F66FA7" w:rsidRPr="00870D59" w14:paraId="65B7314F" w14:textId="77777777" w:rsidTr="00A145F0">
        <w:tc>
          <w:tcPr>
            <w:tcW w:w="1275" w:type="dxa"/>
          </w:tcPr>
          <w:p w14:paraId="0F421C81" w14:textId="585FF55C" w:rsidR="00F66FA7" w:rsidRPr="00870D59" w:rsidRDefault="00F66FA7" w:rsidP="002061E5">
            <w:pPr>
              <w:spacing w:after="60"/>
              <w:rPr>
                <w:rFonts w:eastAsia="Times New Roman" w:cs="Cambria"/>
                <w:szCs w:val="20"/>
                <w:lang w:eastAsia="fr-FR"/>
              </w:rPr>
            </w:pPr>
            <w:r w:rsidRPr="00196951">
              <w:rPr>
                <w:i/>
                <w:iCs/>
              </w:rPr>
              <w:t>L</w:t>
            </w:r>
            <w:r w:rsidRPr="00196951">
              <w:rPr>
                <w:vertAlign w:val="subscript"/>
              </w:rPr>
              <w:t>b</w:t>
            </w:r>
          </w:p>
        </w:tc>
        <w:tc>
          <w:tcPr>
            <w:tcW w:w="7938" w:type="dxa"/>
          </w:tcPr>
          <w:p w14:paraId="764C3C6E" w14:textId="0E5E4D83" w:rsidR="00F66FA7" w:rsidRPr="00870D59" w:rsidRDefault="00F66FA7" w:rsidP="002061E5">
            <w:pPr>
              <w:spacing w:after="60"/>
              <w:rPr>
                <w:rFonts w:eastAsia="Times New Roman" w:cs="Cambria"/>
                <w:szCs w:val="20"/>
                <w:lang w:eastAsia="fr-FR"/>
              </w:rPr>
            </w:pPr>
            <w:r w:rsidRPr="002144A0">
              <w:t>is the length of the bolted connection of the bracing member to the gusset plate;</w:t>
            </w:r>
          </w:p>
        </w:tc>
      </w:tr>
      <w:tr w:rsidR="00F66FA7" w:rsidRPr="00870D59" w14:paraId="2300942A" w14:textId="77777777" w:rsidTr="00A145F0">
        <w:tc>
          <w:tcPr>
            <w:tcW w:w="1275" w:type="dxa"/>
          </w:tcPr>
          <w:p w14:paraId="6461BA5B" w14:textId="501CFF9D" w:rsidR="00F66FA7" w:rsidRPr="00870D59" w:rsidRDefault="00F66FA7" w:rsidP="002061E5">
            <w:pPr>
              <w:spacing w:after="60"/>
              <w:rPr>
                <w:rFonts w:eastAsia="Times New Roman" w:cs="Cambria"/>
                <w:szCs w:val="20"/>
                <w:lang w:eastAsia="fr-FR"/>
              </w:rPr>
            </w:pPr>
            <w:r w:rsidRPr="004F25D7">
              <w:rPr>
                <w:i/>
                <w:iCs/>
              </w:rPr>
              <w:t>b</w:t>
            </w:r>
          </w:p>
        </w:tc>
        <w:tc>
          <w:tcPr>
            <w:tcW w:w="7938" w:type="dxa"/>
          </w:tcPr>
          <w:p w14:paraId="143727DA" w14:textId="0495F7B8" w:rsidR="00F66FA7" w:rsidRPr="00870D59" w:rsidRDefault="00F66FA7" w:rsidP="002061E5">
            <w:pPr>
              <w:spacing w:after="60"/>
              <w:rPr>
                <w:rFonts w:eastAsia="Times New Roman" w:cs="Cambria"/>
                <w:szCs w:val="20"/>
                <w:lang w:eastAsia="fr-FR"/>
              </w:rPr>
            </w:pPr>
            <w:r w:rsidRPr="00132C1E">
              <w:t>is the distance between the weld lines;</w:t>
            </w:r>
          </w:p>
        </w:tc>
      </w:tr>
      <w:tr w:rsidR="004A212D" w:rsidRPr="00870D59" w14:paraId="0046BE17" w14:textId="77777777" w:rsidTr="00A145F0">
        <w:tc>
          <w:tcPr>
            <w:tcW w:w="1275" w:type="dxa"/>
          </w:tcPr>
          <w:p w14:paraId="67B66814" w14:textId="011CB961" w:rsidR="004A212D" w:rsidRPr="00870D59" w:rsidRDefault="00F66FA7" w:rsidP="002061E5">
            <w:pPr>
              <w:spacing w:after="60"/>
              <w:rPr>
                <w:i/>
                <w:color w:val="000000" w:themeColor="text1"/>
              </w:rPr>
            </w:pPr>
            <w:r w:rsidRPr="00132C1E">
              <w:rPr>
                <w:i/>
                <w:iCs/>
              </w:rPr>
              <w:t>g</w:t>
            </w:r>
          </w:p>
        </w:tc>
        <w:tc>
          <w:tcPr>
            <w:tcW w:w="7938" w:type="dxa"/>
          </w:tcPr>
          <w:p w14:paraId="5BC3C418" w14:textId="6C77CAE8" w:rsidR="004A212D" w:rsidRPr="00870D59" w:rsidRDefault="00F66FA7" w:rsidP="002061E5">
            <w:pPr>
              <w:spacing w:after="60"/>
              <w:rPr>
                <w:color w:val="000000" w:themeColor="text1"/>
              </w:rPr>
            </w:pPr>
            <w:r w:rsidRPr="00132C1E">
              <w:t>is the distance between the bolt lines.</w:t>
            </w:r>
          </w:p>
        </w:tc>
      </w:tr>
    </w:tbl>
    <w:p w14:paraId="1BA2B24D" w14:textId="2F0998BE" w:rsidR="00F66FA7" w:rsidRPr="00132C1E" w:rsidRDefault="009B633B" w:rsidP="009B633B">
      <w:pPr>
        <w:pStyle w:val="FigureImage"/>
      </w:pPr>
      <w:r>
        <w:rPr>
          <w:noProof/>
        </w:rPr>
        <w:drawing>
          <wp:inline distT="0" distB="0" distL="0" distR="0" wp14:anchorId="1E356DDE" wp14:editId="4CD4A9B5">
            <wp:extent cx="5399541" cy="2651764"/>
            <wp:effectExtent l="0" t="0" r="0" b="0"/>
            <wp:docPr id="2081949473" name="e023.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1949473" name="e023.tiff"/>
                    <pic:cNvPicPr/>
                  </pic:nvPicPr>
                  <pic:blipFill>
                    <a:blip r:link="rId109"/>
                    <a:stretch>
                      <a:fillRect/>
                    </a:stretch>
                  </pic:blipFill>
                  <pic:spPr>
                    <a:xfrm>
                      <a:off x="0" y="0"/>
                      <a:ext cx="5399541" cy="2651764"/>
                    </a:xfrm>
                    <a:prstGeom prst="rect">
                      <a:avLst/>
                    </a:prstGeom>
                  </pic:spPr>
                </pic:pic>
              </a:graphicData>
            </a:graphic>
          </wp:inline>
        </w:drawing>
      </w:r>
    </w:p>
    <w:p w14:paraId="4B9EEECA" w14:textId="4C8B080D" w:rsidR="00F66FA7" w:rsidRPr="00D1484A" w:rsidRDefault="00F66FA7" w:rsidP="00F66FA7">
      <w:pPr>
        <w:pStyle w:val="Figuretitle"/>
      </w:pPr>
      <w:r w:rsidRPr="00D1484A">
        <w:t>Figure E.</w:t>
      </w:r>
      <w:r w:rsidRPr="00D42D5E">
        <w:t>23</w:t>
      </w:r>
      <w:r w:rsidRPr="00D1484A">
        <w:t xml:space="preserve"> — Effective width of gusset plate: </w:t>
      </w:r>
      <w:r w:rsidR="009B633B">
        <w:t>(</w:t>
      </w:r>
      <w:r w:rsidRPr="00D1484A">
        <w:t>a) welded brace; (b) bolted brace</w:t>
      </w:r>
    </w:p>
    <w:p w14:paraId="2B3BABC7" w14:textId="588A4531" w:rsidR="00F66FA7" w:rsidRPr="00FD17CF" w:rsidRDefault="00F66FA7" w:rsidP="00724E4E">
      <w:pPr>
        <w:pStyle w:val="Clause"/>
      </w:pPr>
      <w:r w:rsidRPr="00FD17CF">
        <w:t xml:space="preserve">The buckling resistance of the gusset plate should be calculated from the buckling length </w:t>
      </w:r>
      <m:oMath>
        <m:sSub>
          <m:sSubPr>
            <m:ctrlPr>
              <w:rPr>
                <w:rFonts w:ascii="Cambria Math" w:hAnsi="Cambria Math"/>
                <w:i/>
              </w:rPr>
            </m:ctrlPr>
          </m:sSubPr>
          <m:e>
            <m:r>
              <w:rPr>
                <w:rFonts w:ascii="Cambria Math" w:hAnsi="Cambria Math"/>
              </w:rPr>
              <m:t>L</m:t>
            </m:r>
          </m:e>
          <m:sub>
            <m:r>
              <w:rPr>
                <w:rFonts w:ascii="Cambria Math" w:hAnsi="Cambria Math"/>
              </w:rPr>
              <m:t>gp,b</m:t>
            </m:r>
          </m:sub>
        </m:sSub>
        <m:r>
          <w:rPr>
            <w:rFonts w:ascii="Cambria Math" w:hAnsi="Cambria Math"/>
          </w:rPr>
          <m:t xml:space="preserve"> </m:t>
        </m:r>
      </m:oMath>
      <w:r w:rsidRPr="00D1484A">
        <w:t xml:space="preserve">using </w:t>
      </w:r>
      <w:r w:rsidRPr="00F66FA7">
        <w:t>Formula (E.24).</w:t>
      </w:r>
    </w:p>
    <w:p w14:paraId="544E63BB" w14:textId="5B47650B" w:rsidR="00F66FA7" w:rsidRPr="00870D59" w:rsidRDefault="009B5CEC" w:rsidP="00F66FA7">
      <w:pPr>
        <w:pStyle w:val="Formula"/>
        <w:spacing w:before="240"/>
      </w:pPr>
      <m:oMath>
        <m:sSub>
          <m:sSubPr>
            <m:ctrlPr>
              <w:rPr>
                <w:rFonts w:ascii="Cambria Math" w:hAnsi="Cambria Math"/>
              </w:rPr>
            </m:ctrlPr>
          </m:sSubPr>
          <m:e>
            <m:r>
              <w:rPr>
                <w:rFonts w:ascii="Cambria Math" w:hAnsi="Cambria Math"/>
              </w:rPr>
              <m:t>L</m:t>
            </m:r>
          </m:e>
          <m:sub>
            <m:r>
              <m:rPr>
                <m:sty m:val="p"/>
              </m:rPr>
              <w:rPr>
                <w:rFonts w:ascii="Cambria Math" w:hAnsi="Cambria Math"/>
              </w:rPr>
              <m:t>gp,b</m:t>
            </m:r>
          </m:sub>
        </m:sSub>
        <m:r>
          <w:rPr>
            <w:rFonts w:ascii="Cambria Math" w:hAnsi="Cambria Math"/>
          </w:rPr>
          <m:t>=0,12</m:t>
        </m:r>
        <m:d>
          <m:dPr>
            <m:ctrlPr>
              <w:rPr>
                <w:rFonts w:ascii="Cambria Math" w:hAnsi="Cambria Math"/>
                <w:i/>
              </w:rPr>
            </m:ctrlPr>
          </m:dPr>
          <m:e>
            <m:sSub>
              <m:sSubPr>
                <m:ctrlPr>
                  <w:rPr>
                    <w:rFonts w:ascii="Cambria Math" w:hAnsi="Cambria Math"/>
                  </w:rPr>
                </m:ctrlPr>
              </m:sSubPr>
              <m:e>
                <m:r>
                  <w:rPr>
                    <w:rFonts w:ascii="Cambria Math" w:hAnsi="Cambria Math"/>
                  </w:rPr>
                  <m:t>L</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L</m:t>
                </m:r>
              </m:e>
              <m:sub>
                <m:r>
                  <w:rPr>
                    <w:rFonts w:ascii="Cambria Math" w:hAnsi="Cambria Math"/>
                  </w:rPr>
                  <m:t>2</m:t>
                </m:r>
              </m:sub>
            </m:sSub>
            <m:r>
              <w:rPr>
                <w:rFonts w:ascii="Cambria Math" w:hAnsi="Cambria Math"/>
              </w:rPr>
              <m:t>+</m:t>
            </m:r>
            <m:sSub>
              <m:sSubPr>
                <m:ctrlPr>
                  <w:rPr>
                    <w:rFonts w:ascii="Cambria Math" w:hAnsi="Cambria Math"/>
                  </w:rPr>
                </m:ctrlPr>
              </m:sSubPr>
              <m:e>
                <m:r>
                  <w:rPr>
                    <w:rFonts w:ascii="Cambria Math" w:hAnsi="Cambria Math"/>
                  </w:rPr>
                  <m:t>L</m:t>
                </m:r>
              </m:e>
              <m:sub>
                <m:r>
                  <w:rPr>
                    <w:rFonts w:ascii="Cambria Math" w:hAnsi="Cambria Math"/>
                  </w:rPr>
                  <m:t>3</m:t>
                </m:r>
              </m:sub>
            </m:sSub>
          </m:e>
        </m:d>
        <m:r>
          <w:rPr>
            <w:rFonts w:ascii="Cambria Math" w:hAnsi="Cambria Math"/>
          </w:rPr>
          <m:t xml:space="preserve">  </m:t>
        </m:r>
      </m:oMath>
      <w:r w:rsidR="00F66FA7" w:rsidRPr="00870D59">
        <w:tab/>
        <w:t>(</w:t>
      </w:r>
      <w:r w:rsidR="00F66FA7">
        <w:t>E</w:t>
      </w:r>
      <w:r w:rsidR="00F66FA7" w:rsidRPr="00870D59">
        <w:t>.</w:t>
      </w:r>
      <w:r w:rsidR="00F66FA7">
        <w:t>24</w:t>
      </w:r>
      <w:r w:rsidR="00F66FA7" w:rsidRPr="00870D59">
        <w:t>)</w:t>
      </w:r>
    </w:p>
    <w:p w14:paraId="5E54CD1B" w14:textId="4244D253" w:rsidR="00F66FA7" w:rsidRDefault="00F66FA7" w:rsidP="00F66FA7">
      <w:pPr>
        <w:pStyle w:val="Text"/>
      </w:pPr>
      <w:r>
        <w:t>w</w:t>
      </w:r>
      <w:r w:rsidRPr="00870D59">
        <w:t>here</w:t>
      </w:r>
      <w:r w:rsidRPr="00F66FA7">
        <w:rPr>
          <w:i/>
          <w:iCs/>
        </w:rPr>
        <w:t xml:space="preserve"> </w:t>
      </w:r>
      <w:r w:rsidRPr="007E6F67">
        <w:rPr>
          <w:i/>
          <w:iCs/>
        </w:rPr>
        <w:t>L</w:t>
      </w:r>
      <w:r w:rsidRPr="00FD17CF">
        <w:rPr>
          <w:vertAlign w:val="subscript"/>
        </w:rPr>
        <w:t>1</w:t>
      </w:r>
      <w:r w:rsidRPr="00FD17CF">
        <w:t xml:space="preserve">, </w:t>
      </w:r>
      <w:r w:rsidRPr="00FD17CF">
        <w:rPr>
          <w:i/>
          <w:iCs/>
        </w:rPr>
        <w:t>L</w:t>
      </w:r>
      <w:r w:rsidRPr="00E05E29">
        <w:rPr>
          <w:vertAlign w:val="subscript"/>
        </w:rPr>
        <w:t>2</w:t>
      </w:r>
      <w:r w:rsidRPr="00196951">
        <w:t xml:space="preserve"> and </w:t>
      </w:r>
      <w:r w:rsidRPr="00196951">
        <w:rPr>
          <w:i/>
          <w:iCs/>
        </w:rPr>
        <w:t>L</w:t>
      </w:r>
      <w:r w:rsidRPr="002144A0">
        <w:rPr>
          <w:vertAlign w:val="subscript"/>
        </w:rPr>
        <w:t>3</w:t>
      </w:r>
      <w:r w:rsidRPr="002144A0">
        <w:t xml:space="preserve"> are the projections of the effective widths to the edges of the gusset plate, </w:t>
      </w:r>
      <w:r w:rsidRPr="00F66FA7">
        <w:t>see Figure</w:t>
      </w:r>
      <w:r w:rsidR="00A145F0">
        <w:t> </w:t>
      </w:r>
      <w:r w:rsidRPr="00F66FA7">
        <w:rPr>
          <w:rFonts w:asciiTheme="majorHAnsi" w:hAnsiTheme="majorHAnsi"/>
        </w:rPr>
        <w:t>E.23.</w:t>
      </w:r>
    </w:p>
    <w:p w14:paraId="6A99A89C" w14:textId="3A725F3D" w:rsidR="00F66FA7" w:rsidRPr="00132C1E" w:rsidRDefault="00F66FA7" w:rsidP="00724E4E">
      <w:pPr>
        <w:pStyle w:val="Clause"/>
      </w:pPr>
      <w:r w:rsidRPr="007754C9">
        <w:t xml:space="preserve">The welds of welded gusset plate should be either full penetration groove welds or fillet welds with throat depth not smaller than the thickness of the gusset </w:t>
      </w:r>
      <w:r w:rsidRPr="00132C1E">
        <w:t>plate.</w:t>
      </w:r>
    </w:p>
    <w:p w14:paraId="23E650E6" w14:textId="77777777" w:rsidR="00F66FA7" w:rsidRPr="00132C1E" w:rsidRDefault="00F66FA7" w:rsidP="00F66FA7">
      <w:pPr>
        <w:pStyle w:val="a3"/>
      </w:pPr>
      <w:bookmarkStart w:id="11293" w:name="_Toc50150738"/>
      <w:bookmarkStart w:id="11294" w:name="_Toc70887171"/>
      <w:bookmarkStart w:id="11295" w:name="_Toc108342770"/>
      <w:bookmarkStart w:id="11296" w:name="_Toc120543857"/>
      <w:bookmarkStart w:id="11297" w:name="_Toc134198279"/>
      <w:r w:rsidRPr="00132C1E">
        <w:t>Gussets with elliptical clearance</w:t>
      </w:r>
      <w:bookmarkEnd w:id="11293"/>
      <w:bookmarkEnd w:id="11294"/>
      <w:bookmarkEnd w:id="11295"/>
      <w:bookmarkEnd w:id="11296"/>
      <w:bookmarkEnd w:id="11297"/>
    </w:p>
    <w:p w14:paraId="55BA546E" w14:textId="398FE9D5" w:rsidR="00F66FA7" w:rsidRPr="00132C1E" w:rsidRDefault="00F66FA7" w:rsidP="00F66FA7">
      <w:pPr>
        <w:pStyle w:val="Notetext"/>
      </w:pPr>
      <w:r w:rsidRPr="00132C1E">
        <w:t>NOTE</w:t>
      </w:r>
      <w:r w:rsidRPr="00132C1E">
        <w:tab/>
        <w:t>An elliptical clearance is the plastic hinge zone of the gusset around which the brace rotates when out-of-plane buckling occurs. An elliptical clearance is shaped as an elliptical band with a clear 8</w:t>
      </w:r>
      <w:r w:rsidRPr="00132C1E">
        <w:rPr>
          <w:i/>
        </w:rPr>
        <w:t>t</w:t>
      </w:r>
      <w:r w:rsidRPr="00132C1E">
        <w:rPr>
          <w:iCs/>
          <w:vertAlign w:val="subscript"/>
        </w:rPr>
        <w:t>gp</w:t>
      </w:r>
      <w:r w:rsidRPr="00132C1E">
        <w:t xml:space="preserve"> width, </w:t>
      </w:r>
      <w:r w:rsidRPr="00F66FA7">
        <w:t>see Figure</w:t>
      </w:r>
      <w:r w:rsidR="00A145F0">
        <w:t> </w:t>
      </w:r>
      <w:r w:rsidRPr="00F66FA7">
        <w:t>E.24 where the gusset</w:t>
      </w:r>
      <w:r w:rsidRPr="00132C1E">
        <w:t>-plate hinge-zone is indicated as (D).</w:t>
      </w:r>
    </w:p>
    <w:p w14:paraId="6845E7BC" w14:textId="28C3B4C7" w:rsidR="00F66FA7" w:rsidRPr="00132C1E" w:rsidRDefault="00F66FA7" w:rsidP="00A145F0">
      <w:pPr>
        <w:pStyle w:val="Clause"/>
        <w:numPr>
          <w:ilvl w:val="0"/>
          <w:numId w:val="582"/>
        </w:numPr>
        <w:spacing w:before="160" w:after="160"/>
      </w:pPr>
      <w:r w:rsidRPr="00132C1E">
        <w:t>The dimensions “</w:t>
      </w:r>
      <w:r w:rsidRPr="00806620">
        <w:rPr>
          <w:i/>
        </w:rPr>
        <w:t>a”</w:t>
      </w:r>
      <w:r w:rsidRPr="00132C1E">
        <w:t xml:space="preserve"> and “</w:t>
      </w:r>
      <w:r w:rsidRPr="00806620">
        <w:rPr>
          <w:i/>
        </w:rPr>
        <w:t>b”</w:t>
      </w:r>
      <w:r w:rsidRPr="00132C1E">
        <w:t xml:space="preserve"> of a gusset with elliptical clearance should be selected so that the imaginary corner of the gusset intersects the centroidal axis of the brace (</w:t>
      </w:r>
      <w:r w:rsidRPr="00F66FA7">
        <w:t xml:space="preserve">see Figure E.24) for welded or bolted gussets. The radii </w:t>
      </w:r>
      <w:r w:rsidRPr="00806620">
        <w:rPr>
          <w:i/>
          <w:iCs/>
        </w:rPr>
        <w:t>a</w:t>
      </w:r>
      <w:r w:rsidRPr="00F66FA7">
        <w:t xml:space="preserve">’ and </w:t>
      </w:r>
      <w:r w:rsidRPr="00806620">
        <w:rPr>
          <w:i/>
          <w:iCs/>
        </w:rPr>
        <w:t>b</w:t>
      </w:r>
      <w:r w:rsidRPr="00F66FA7">
        <w:t>’ of the ellipse should be calculated using Formula (E.25).</w:t>
      </w:r>
    </w:p>
    <w:p w14:paraId="36561E88" w14:textId="0D8F9FB4" w:rsidR="00F66FA7" w:rsidRPr="00870D59" w:rsidRDefault="009B5CEC" w:rsidP="00A145F0">
      <w:pPr>
        <w:pStyle w:val="Formula"/>
        <w:spacing w:before="160" w:after="160"/>
      </w:pPr>
      <m:oMath>
        <m:sSup>
          <m:sSupPr>
            <m:ctrlPr>
              <w:rPr>
                <w:rFonts w:ascii="Cambria Math" w:hAnsi="Cambria Math"/>
              </w:rPr>
            </m:ctrlPr>
          </m:sSupPr>
          <m:e>
            <m:r>
              <w:rPr>
                <w:rFonts w:ascii="Cambria Math" w:hAnsi="Cambria Math"/>
              </w:rPr>
              <m:t>a</m:t>
            </m:r>
          </m:e>
          <m:sup>
            <m:r>
              <w:rPr>
                <w:rFonts w:ascii="Cambria Math" w:hAnsi="Cambria Math"/>
              </w:rPr>
              <m:t>'</m:t>
            </m:r>
          </m:sup>
        </m:sSup>
        <m:r>
          <w:rPr>
            <w:rFonts w:ascii="Cambria Math" w:hAnsi="Cambria Math"/>
          </w:rPr>
          <m:t>=a-8</m:t>
        </m:r>
        <m:sSub>
          <m:sSubPr>
            <m:ctrlPr>
              <w:rPr>
                <w:rFonts w:ascii="Cambria Math" w:hAnsi="Cambria Math"/>
              </w:rPr>
            </m:ctrlPr>
          </m:sSubPr>
          <m:e>
            <m:r>
              <w:rPr>
                <w:rFonts w:ascii="Cambria Math" w:hAnsi="Cambria Math"/>
              </w:rPr>
              <m:t>t</m:t>
            </m:r>
          </m:e>
          <m:sub>
            <m:r>
              <m:rPr>
                <m:sty m:val="p"/>
              </m:rPr>
              <w:rPr>
                <w:rFonts w:ascii="Cambria Math" w:hAnsi="Cambria Math"/>
              </w:rPr>
              <m:t>gp</m:t>
            </m:r>
          </m:sub>
        </m:sSub>
      </m:oMath>
      <w:r w:rsidR="00F66FA7" w:rsidRPr="00132C1E">
        <w:t xml:space="preserve"> and </w:t>
      </w:r>
      <m:oMath>
        <m:sSup>
          <m:sSupPr>
            <m:ctrlPr>
              <w:rPr>
                <w:rFonts w:ascii="Cambria Math" w:hAnsi="Cambria Math"/>
              </w:rPr>
            </m:ctrlPr>
          </m:sSupPr>
          <m:e>
            <m:r>
              <w:rPr>
                <w:rFonts w:ascii="Cambria Math" w:hAnsi="Cambria Math"/>
              </w:rPr>
              <m:t>b</m:t>
            </m:r>
          </m:e>
          <m:sup>
            <m:r>
              <w:rPr>
                <w:rFonts w:ascii="Cambria Math" w:hAnsi="Cambria Math"/>
              </w:rPr>
              <m:t>'</m:t>
            </m:r>
          </m:sup>
        </m:sSup>
        <m:r>
          <w:rPr>
            <w:rFonts w:ascii="Cambria Math" w:hAnsi="Cambria Math"/>
          </w:rPr>
          <m:t>=b-8</m:t>
        </m:r>
        <m:sSub>
          <m:sSubPr>
            <m:ctrlPr>
              <w:rPr>
                <w:rFonts w:ascii="Cambria Math" w:hAnsi="Cambria Math"/>
              </w:rPr>
            </m:ctrlPr>
          </m:sSubPr>
          <m:e>
            <m:r>
              <w:rPr>
                <w:rFonts w:ascii="Cambria Math" w:hAnsi="Cambria Math"/>
              </w:rPr>
              <m:t>t</m:t>
            </m:r>
          </m:e>
          <m:sub>
            <m:r>
              <m:rPr>
                <m:sty m:val="p"/>
              </m:rPr>
              <w:rPr>
                <w:rFonts w:ascii="Cambria Math" w:hAnsi="Cambria Math"/>
              </w:rPr>
              <m:t>gp</m:t>
            </m:r>
          </m:sub>
        </m:sSub>
        <m:r>
          <w:rPr>
            <w:rFonts w:ascii="Cambria Math" w:hAnsi="Cambria Math"/>
          </w:rPr>
          <m:t xml:space="preserve"> </m:t>
        </m:r>
      </m:oMath>
      <w:r w:rsidR="00F66FA7" w:rsidRPr="00870D59">
        <w:tab/>
        <w:t>(</w:t>
      </w:r>
      <w:r w:rsidR="00F66FA7">
        <w:t>E</w:t>
      </w:r>
      <w:r w:rsidR="00F66FA7" w:rsidRPr="00870D59">
        <w:t>.</w:t>
      </w:r>
      <w:r w:rsidR="00F66FA7">
        <w:t>25</w:t>
      </w:r>
      <w:r w:rsidR="00F66FA7" w:rsidRPr="00870D59">
        <w:t>)</w:t>
      </w:r>
    </w:p>
    <w:p w14:paraId="6F4928E8" w14:textId="76FAFDC6" w:rsidR="00F66FA7" w:rsidRPr="00196951" w:rsidRDefault="00F66FA7" w:rsidP="00A145F0">
      <w:pPr>
        <w:pStyle w:val="Clause"/>
        <w:spacing w:before="160" w:after="160"/>
      </w:pPr>
      <w:r w:rsidRPr="007E6F67">
        <w:t xml:space="preserve">The welds of welded gusset plates should comply </w:t>
      </w:r>
      <w:r w:rsidRPr="00F66FA7">
        <w:t xml:space="preserve">with </w:t>
      </w:r>
      <w:r w:rsidRPr="00835C82">
        <w:t>E.5.2(10)</w:t>
      </w:r>
      <w:r w:rsidRPr="00F66FA7">
        <w:t>.</w:t>
      </w:r>
    </w:p>
    <w:p w14:paraId="64B3351B" w14:textId="15E679B6" w:rsidR="00F66FA7" w:rsidRPr="00132C1E" w:rsidRDefault="00F66FA7" w:rsidP="00A145F0">
      <w:pPr>
        <w:pStyle w:val="Clause"/>
        <w:spacing w:before="160" w:after="160"/>
      </w:pPr>
      <w:r w:rsidRPr="002144A0">
        <w:t xml:space="preserve">The resistance of the gusset plate should be calculated as in </w:t>
      </w:r>
      <w:r w:rsidRPr="00835C82">
        <w:t xml:space="preserve">E.5.2(7) </w:t>
      </w:r>
      <w:r w:rsidRPr="00F66FA7">
        <w:t>and</w:t>
      </w:r>
      <w:r w:rsidRPr="00835C82">
        <w:t xml:space="preserve"> E.5.2(8)</w:t>
      </w:r>
      <w:r w:rsidRPr="00F66FA7">
        <w:t>.</w:t>
      </w:r>
    </w:p>
    <w:p w14:paraId="4A092B25" w14:textId="45D7FA6E" w:rsidR="00F66FA7" w:rsidRPr="00132C1E" w:rsidRDefault="00F66FA7" w:rsidP="00A145F0">
      <w:pPr>
        <w:pStyle w:val="Clause"/>
        <w:spacing w:before="160" w:after="160"/>
      </w:pPr>
      <w:r w:rsidRPr="00132C1E">
        <w:t xml:space="preserve">The buckling length of the gusset plate should be calculated as </w:t>
      </w:r>
      <w:r w:rsidRPr="00F66FA7">
        <w:t xml:space="preserve">in </w:t>
      </w:r>
      <w:r w:rsidRPr="00835C82">
        <w:t>E.5.2(9)</w:t>
      </w:r>
      <w:r w:rsidRPr="00F66FA7">
        <w:t>.</w:t>
      </w:r>
    </w:p>
    <w:p w14:paraId="5CC8F837" w14:textId="60ADD2B2" w:rsidR="00F66FA7" w:rsidRPr="00132C1E" w:rsidRDefault="0043637E" w:rsidP="0043637E">
      <w:pPr>
        <w:pStyle w:val="FigureImage"/>
      </w:pPr>
      <w:r>
        <w:rPr>
          <w:noProof/>
        </w:rPr>
        <w:drawing>
          <wp:inline distT="0" distB="0" distL="0" distR="0" wp14:anchorId="0778DDC5" wp14:editId="0C848A03">
            <wp:extent cx="5940562" cy="2927609"/>
            <wp:effectExtent l="0" t="0" r="3175" b="6350"/>
            <wp:docPr id="2081949474" name="e024.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1949474" name="e024.tiff"/>
                    <pic:cNvPicPr/>
                  </pic:nvPicPr>
                  <pic:blipFill>
                    <a:blip r:link="rId110"/>
                    <a:stretch>
                      <a:fillRect/>
                    </a:stretch>
                  </pic:blipFill>
                  <pic:spPr>
                    <a:xfrm>
                      <a:off x="0" y="0"/>
                      <a:ext cx="5940562" cy="2927609"/>
                    </a:xfrm>
                    <a:prstGeom prst="rect">
                      <a:avLst/>
                    </a:prstGeom>
                  </pic:spPr>
                </pic:pic>
              </a:graphicData>
            </a:graphic>
          </wp:inline>
        </w:drawing>
      </w:r>
    </w:p>
    <w:p w14:paraId="3A3042C6" w14:textId="77777777" w:rsidR="0043637E" w:rsidRPr="00D1484A" w:rsidRDefault="0043637E" w:rsidP="0043637E">
      <w:pPr>
        <w:pStyle w:val="KeyTitle"/>
      </w:pPr>
      <w:r w:rsidRPr="00D1484A">
        <w:t>Key</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7"/>
        <w:gridCol w:w="2125"/>
      </w:tblGrid>
      <w:tr w:rsidR="0043637E" w:rsidRPr="00D4445A" w14:paraId="518598EE" w14:textId="77777777" w:rsidTr="00A145F0">
        <w:tc>
          <w:tcPr>
            <w:tcW w:w="427" w:type="dxa"/>
          </w:tcPr>
          <w:p w14:paraId="687E6A43" w14:textId="77777777" w:rsidR="0043637E" w:rsidRPr="00D4445A" w:rsidRDefault="0043637E" w:rsidP="00A145F0">
            <w:pPr>
              <w:pStyle w:val="KeyText"/>
              <w:spacing w:before="0"/>
              <w:rPr>
                <w:iCs/>
              </w:rPr>
            </w:pPr>
            <w:r w:rsidRPr="00D4445A">
              <w:rPr>
                <w:iCs/>
              </w:rPr>
              <w:t>A</w:t>
            </w:r>
          </w:p>
        </w:tc>
        <w:tc>
          <w:tcPr>
            <w:tcW w:w="2125" w:type="dxa"/>
          </w:tcPr>
          <w:p w14:paraId="54BF7F5B" w14:textId="77777777" w:rsidR="0043637E" w:rsidRPr="00D4445A" w:rsidRDefault="0043637E" w:rsidP="00A145F0">
            <w:pPr>
              <w:pStyle w:val="KeyText"/>
              <w:spacing w:before="0"/>
            </w:pPr>
            <w:r w:rsidRPr="00D4445A">
              <w:t>beam</w:t>
            </w:r>
          </w:p>
        </w:tc>
      </w:tr>
      <w:tr w:rsidR="0043637E" w:rsidRPr="00D4445A" w14:paraId="328DE83C" w14:textId="77777777" w:rsidTr="00A145F0">
        <w:tc>
          <w:tcPr>
            <w:tcW w:w="427" w:type="dxa"/>
          </w:tcPr>
          <w:p w14:paraId="0D48B842" w14:textId="77777777" w:rsidR="0043637E" w:rsidRPr="00D4445A" w:rsidRDefault="0043637E" w:rsidP="00A145F0">
            <w:pPr>
              <w:pStyle w:val="KeyText"/>
              <w:spacing w:before="0"/>
              <w:rPr>
                <w:iCs/>
              </w:rPr>
            </w:pPr>
            <w:r w:rsidRPr="00D4445A">
              <w:rPr>
                <w:iCs/>
              </w:rPr>
              <w:t>B</w:t>
            </w:r>
          </w:p>
        </w:tc>
        <w:tc>
          <w:tcPr>
            <w:tcW w:w="2125" w:type="dxa"/>
          </w:tcPr>
          <w:p w14:paraId="39D16EA1" w14:textId="77777777" w:rsidR="0043637E" w:rsidRPr="00D4445A" w:rsidRDefault="0043637E" w:rsidP="00A145F0">
            <w:pPr>
              <w:pStyle w:val="KeyText"/>
              <w:spacing w:before="0"/>
            </w:pPr>
            <w:r w:rsidRPr="00D4445A">
              <w:t>column</w:t>
            </w:r>
          </w:p>
        </w:tc>
      </w:tr>
      <w:tr w:rsidR="0043637E" w:rsidRPr="00D4445A" w14:paraId="57BEB757" w14:textId="77777777" w:rsidTr="00A145F0">
        <w:tc>
          <w:tcPr>
            <w:tcW w:w="427" w:type="dxa"/>
          </w:tcPr>
          <w:p w14:paraId="09132629" w14:textId="77777777" w:rsidR="0043637E" w:rsidRPr="00D4445A" w:rsidRDefault="0043637E" w:rsidP="00A145F0">
            <w:pPr>
              <w:pStyle w:val="KeyText"/>
              <w:spacing w:before="0"/>
              <w:rPr>
                <w:iCs/>
              </w:rPr>
            </w:pPr>
            <w:r w:rsidRPr="00D4445A">
              <w:rPr>
                <w:iCs/>
              </w:rPr>
              <w:t>C</w:t>
            </w:r>
          </w:p>
        </w:tc>
        <w:tc>
          <w:tcPr>
            <w:tcW w:w="2125" w:type="dxa"/>
          </w:tcPr>
          <w:p w14:paraId="3EAB96A3" w14:textId="77777777" w:rsidR="0043637E" w:rsidRPr="00D4445A" w:rsidRDefault="0043637E" w:rsidP="00A145F0">
            <w:pPr>
              <w:pStyle w:val="KeyText"/>
              <w:spacing w:before="0"/>
              <w:ind w:left="0" w:firstLine="0"/>
            </w:pPr>
            <w:r w:rsidRPr="00D4445A">
              <w:t>diagonal brace</w:t>
            </w:r>
          </w:p>
        </w:tc>
      </w:tr>
      <w:tr w:rsidR="0043637E" w:rsidRPr="00D4445A" w14:paraId="4DD6AFC4" w14:textId="77777777" w:rsidTr="00A145F0">
        <w:tc>
          <w:tcPr>
            <w:tcW w:w="427" w:type="dxa"/>
          </w:tcPr>
          <w:p w14:paraId="4A8C736D" w14:textId="77777777" w:rsidR="0043637E" w:rsidRPr="00D4445A" w:rsidRDefault="0043637E" w:rsidP="00A145F0">
            <w:pPr>
              <w:pStyle w:val="KeyText"/>
              <w:spacing w:before="0"/>
              <w:rPr>
                <w:iCs/>
              </w:rPr>
            </w:pPr>
            <w:r w:rsidRPr="00D4445A">
              <w:rPr>
                <w:iCs/>
              </w:rPr>
              <w:t>D</w:t>
            </w:r>
          </w:p>
        </w:tc>
        <w:tc>
          <w:tcPr>
            <w:tcW w:w="2125" w:type="dxa"/>
          </w:tcPr>
          <w:p w14:paraId="0934E8E1" w14:textId="3A6A634B" w:rsidR="0043637E" w:rsidRPr="00D4445A" w:rsidRDefault="0043637E" w:rsidP="00A145F0">
            <w:pPr>
              <w:pStyle w:val="KeyText"/>
              <w:spacing w:before="0"/>
              <w:ind w:left="0" w:firstLine="0"/>
            </w:pPr>
            <w:r w:rsidRPr="00D4445A">
              <w:t>elliptical clearance</w:t>
            </w:r>
          </w:p>
        </w:tc>
      </w:tr>
    </w:tbl>
    <w:p w14:paraId="24E744A7" w14:textId="6183AA89" w:rsidR="00F66FA7" w:rsidRPr="00D1484A" w:rsidRDefault="00F66FA7" w:rsidP="00F66FA7">
      <w:pPr>
        <w:pStyle w:val="Figuretitle"/>
      </w:pPr>
      <w:r w:rsidRPr="00D1484A">
        <w:t>Figure E</w:t>
      </w:r>
      <w:r w:rsidRPr="00590547">
        <w:t>.24 </w:t>
      </w:r>
      <w:r w:rsidRPr="00D1484A">
        <w:t xml:space="preserve">— Elliptical clearance of gusset plate: </w:t>
      </w:r>
      <w:r w:rsidR="0043637E">
        <w:t>(</w:t>
      </w:r>
      <w:r w:rsidRPr="00D1484A">
        <w:t>a) welded brace; (b) bolted brace</w:t>
      </w:r>
    </w:p>
    <w:p w14:paraId="57417902" w14:textId="77777777" w:rsidR="00F66FA7" w:rsidRPr="00FD17CF" w:rsidRDefault="00F66FA7" w:rsidP="00F66FA7">
      <w:pPr>
        <w:pStyle w:val="a3"/>
      </w:pPr>
      <w:bookmarkStart w:id="11298" w:name="_Toc50150739"/>
      <w:bookmarkStart w:id="11299" w:name="_Toc70887172"/>
      <w:bookmarkStart w:id="11300" w:name="_Toc108342771"/>
      <w:bookmarkStart w:id="11301" w:name="_Toc120543858"/>
      <w:bookmarkStart w:id="11302" w:name="_Toc134198280"/>
      <w:r w:rsidRPr="007E6F67">
        <w:t>Gussets detailed for in</w:t>
      </w:r>
      <w:r w:rsidRPr="00FD17CF">
        <w:t>-plane rotations</w:t>
      </w:r>
      <w:bookmarkEnd w:id="11298"/>
      <w:bookmarkEnd w:id="11299"/>
      <w:bookmarkEnd w:id="11300"/>
      <w:bookmarkEnd w:id="11301"/>
      <w:bookmarkEnd w:id="11302"/>
    </w:p>
    <w:p w14:paraId="05CC205D" w14:textId="5373CD2C" w:rsidR="00F66FA7" w:rsidRPr="00C52095" w:rsidRDefault="00F66FA7" w:rsidP="0080187E">
      <w:pPr>
        <w:pStyle w:val="Clause"/>
        <w:numPr>
          <w:ilvl w:val="0"/>
          <w:numId w:val="583"/>
        </w:numPr>
      </w:pPr>
      <w:r w:rsidRPr="00E05E29">
        <w:t xml:space="preserve">In a </w:t>
      </w:r>
      <w:r w:rsidRPr="00454C78">
        <w:t>gusset plate detailed with knife plate, see (E) in Figure E.25, the length of the yielding clearance should be equal to 3</w:t>
      </w:r>
      <w:r w:rsidRPr="00023CAE">
        <w:rPr>
          <w:i/>
        </w:rPr>
        <w:t>t</w:t>
      </w:r>
      <w:r w:rsidRPr="00023CAE">
        <w:rPr>
          <w:iCs/>
          <w:vertAlign w:val="subscript"/>
        </w:rPr>
        <w:t>gp</w:t>
      </w:r>
      <w:r w:rsidRPr="00454C78">
        <w:t xml:space="preserve"> where </w:t>
      </w:r>
      <w:r w:rsidRPr="00023CAE">
        <w:rPr>
          <w:i/>
        </w:rPr>
        <w:t>t</w:t>
      </w:r>
      <w:r w:rsidRPr="00023CAE">
        <w:rPr>
          <w:iCs/>
          <w:vertAlign w:val="subscript"/>
        </w:rPr>
        <w:t xml:space="preserve">gp </w:t>
      </w:r>
      <w:r w:rsidRPr="00023CAE">
        <w:rPr>
          <w:iCs/>
        </w:rPr>
        <w:t>is the thickness of the knife plate</w:t>
      </w:r>
      <w:r w:rsidRPr="00454C78">
        <w:t>, see Figure E.25.</w:t>
      </w:r>
    </w:p>
    <w:p w14:paraId="03025313" w14:textId="51D7B82A" w:rsidR="00F66FA7" w:rsidRPr="00132C1E" w:rsidRDefault="00F66FA7" w:rsidP="00454C78">
      <w:pPr>
        <w:pStyle w:val="Notetext"/>
      </w:pPr>
      <w:r w:rsidRPr="007754C9">
        <w:t>NOTE</w:t>
      </w:r>
      <w:r w:rsidRPr="007754C9">
        <w:tab/>
        <w:t xml:space="preserve">This arrangement is </w:t>
      </w:r>
      <w:r w:rsidRPr="00132C1E">
        <w:t>made to allow in-plane inelastic rotations in the yielding segment between the gusset plate and the diagonal brace. around which the brace rotates when in-plane buckling occurs.</w:t>
      </w:r>
    </w:p>
    <w:p w14:paraId="0B39B7BA" w14:textId="2EDA6FE2" w:rsidR="00F66FA7" w:rsidRPr="00132C1E" w:rsidRDefault="0043637E" w:rsidP="0043637E">
      <w:pPr>
        <w:pStyle w:val="FigureImage"/>
      </w:pPr>
      <w:r>
        <w:rPr>
          <w:noProof/>
        </w:rPr>
        <w:drawing>
          <wp:inline distT="0" distB="0" distL="0" distR="0" wp14:anchorId="0D030B9E" wp14:editId="661A8C21">
            <wp:extent cx="5399541" cy="2491744"/>
            <wp:effectExtent l="0" t="0" r="0" b="3810"/>
            <wp:docPr id="2081949475" name="e025.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1949475" name="e025.tiff"/>
                    <pic:cNvPicPr/>
                  </pic:nvPicPr>
                  <pic:blipFill>
                    <a:blip r:link="rId111"/>
                    <a:stretch>
                      <a:fillRect/>
                    </a:stretch>
                  </pic:blipFill>
                  <pic:spPr>
                    <a:xfrm>
                      <a:off x="0" y="0"/>
                      <a:ext cx="5399541" cy="2491744"/>
                    </a:xfrm>
                    <a:prstGeom prst="rect">
                      <a:avLst/>
                    </a:prstGeom>
                  </pic:spPr>
                </pic:pic>
              </a:graphicData>
            </a:graphic>
          </wp:inline>
        </w:drawing>
      </w:r>
    </w:p>
    <w:p w14:paraId="6D1CC25C" w14:textId="77777777" w:rsidR="0043637E" w:rsidRPr="00D1484A" w:rsidRDefault="0043637E" w:rsidP="0043637E">
      <w:pPr>
        <w:pStyle w:val="KeyTitle"/>
      </w:pPr>
      <w:r w:rsidRPr="00D1484A">
        <w:t>Key</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7"/>
        <w:gridCol w:w="2125"/>
      </w:tblGrid>
      <w:tr w:rsidR="0043637E" w:rsidRPr="00D4445A" w14:paraId="492F0A32" w14:textId="77777777" w:rsidTr="00A145F0">
        <w:tc>
          <w:tcPr>
            <w:tcW w:w="427" w:type="dxa"/>
          </w:tcPr>
          <w:p w14:paraId="035936D1" w14:textId="77777777" w:rsidR="0043637E" w:rsidRPr="00D4445A" w:rsidRDefault="0043637E" w:rsidP="00A145F0">
            <w:pPr>
              <w:pStyle w:val="KeyText"/>
              <w:spacing w:before="0"/>
              <w:rPr>
                <w:iCs/>
              </w:rPr>
            </w:pPr>
            <w:r w:rsidRPr="00D4445A">
              <w:rPr>
                <w:iCs/>
              </w:rPr>
              <w:t>A</w:t>
            </w:r>
          </w:p>
        </w:tc>
        <w:tc>
          <w:tcPr>
            <w:tcW w:w="2125" w:type="dxa"/>
          </w:tcPr>
          <w:p w14:paraId="109898EA" w14:textId="77777777" w:rsidR="0043637E" w:rsidRPr="00D4445A" w:rsidRDefault="0043637E" w:rsidP="00A145F0">
            <w:pPr>
              <w:pStyle w:val="KeyText"/>
              <w:spacing w:before="0"/>
            </w:pPr>
            <w:r w:rsidRPr="00D4445A">
              <w:t>beam</w:t>
            </w:r>
          </w:p>
        </w:tc>
      </w:tr>
      <w:tr w:rsidR="0043637E" w:rsidRPr="00D4445A" w14:paraId="3F1A5F21" w14:textId="77777777" w:rsidTr="00A145F0">
        <w:tc>
          <w:tcPr>
            <w:tcW w:w="427" w:type="dxa"/>
          </w:tcPr>
          <w:p w14:paraId="2CA6FB0E" w14:textId="77777777" w:rsidR="0043637E" w:rsidRPr="00D4445A" w:rsidRDefault="0043637E" w:rsidP="00A145F0">
            <w:pPr>
              <w:pStyle w:val="KeyText"/>
              <w:spacing w:before="0"/>
              <w:rPr>
                <w:iCs/>
              </w:rPr>
            </w:pPr>
            <w:r w:rsidRPr="00D4445A">
              <w:rPr>
                <w:iCs/>
              </w:rPr>
              <w:t>B</w:t>
            </w:r>
          </w:p>
        </w:tc>
        <w:tc>
          <w:tcPr>
            <w:tcW w:w="2125" w:type="dxa"/>
          </w:tcPr>
          <w:p w14:paraId="1CFA083A" w14:textId="77777777" w:rsidR="0043637E" w:rsidRPr="00D4445A" w:rsidRDefault="0043637E" w:rsidP="00A145F0">
            <w:pPr>
              <w:pStyle w:val="KeyText"/>
              <w:spacing w:before="0"/>
            </w:pPr>
            <w:r w:rsidRPr="00D4445A">
              <w:t>column</w:t>
            </w:r>
          </w:p>
        </w:tc>
      </w:tr>
      <w:tr w:rsidR="0043637E" w:rsidRPr="00D4445A" w14:paraId="76CFCCB1" w14:textId="77777777" w:rsidTr="00A145F0">
        <w:tc>
          <w:tcPr>
            <w:tcW w:w="427" w:type="dxa"/>
          </w:tcPr>
          <w:p w14:paraId="71C04875" w14:textId="77777777" w:rsidR="0043637E" w:rsidRPr="00D4445A" w:rsidRDefault="0043637E" w:rsidP="00A145F0">
            <w:pPr>
              <w:pStyle w:val="KeyText"/>
              <w:spacing w:before="0"/>
              <w:rPr>
                <w:iCs/>
              </w:rPr>
            </w:pPr>
            <w:r w:rsidRPr="00D4445A">
              <w:rPr>
                <w:iCs/>
              </w:rPr>
              <w:t>C</w:t>
            </w:r>
          </w:p>
        </w:tc>
        <w:tc>
          <w:tcPr>
            <w:tcW w:w="2125" w:type="dxa"/>
          </w:tcPr>
          <w:p w14:paraId="78A897AD" w14:textId="77777777" w:rsidR="0043637E" w:rsidRPr="00D4445A" w:rsidRDefault="0043637E" w:rsidP="00A145F0">
            <w:pPr>
              <w:pStyle w:val="KeyText"/>
              <w:spacing w:before="0"/>
              <w:ind w:left="0" w:firstLine="0"/>
            </w:pPr>
            <w:r w:rsidRPr="00D4445A">
              <w:t>diagonal brace</w:t>
            </w:r>
          </w:p>
        </w:tc>
      </w:tr>
      <w:tr w:rsidR="0043637E" w:rsidRPr="00D4445A" w14:paraId="06E82022" w14:textId="77777777" w:rsidTr="00A145F0">
        <w:tc>
          <w:tcPr>
            <w:tcW w:w="427" w:type="dxa"/>
          </w:tcPr>
          <w:p w14:paraId="7498369A" w14:textId="77777777" w:rsidR="0043637E" w:rsidRPr="00D4445A" w:rsidRDefault="0043637E" w:rsidP="00A145F0">
            <w:pPr>
              <w:pStyle w:val="KeyText"/>
              <w:spacing w:before="0"/>
              <w:rPr>
                <w:iCs/>
              </w:rPr>
            </w:pPr>
            <w:r w:rsidRPr="00D4445A">
              <w:rPr>
                <w:iCs/>
              </w:rPr>
              <w:t>D</w:t>
            </w:r>
          </w:p>
        </w:tc>
        <w:tc>
          <w:tcPr>
            <w:tcW w:w="2125" w:type="dxa"/>
          </w:tcPr>
          <w:p w14:paraId="0E73AE08" w14:textId="77777777" w:rsidR="0043637E" w:rsidRPr="00D4445A" w:rsidRDefault="0043637E" w:rsidP="00A145F0">
            <w:pPr>
              <w:pStyle w:val="KeyText"/>
              <w:spacing w:before="0"/>
              <w:ind w:left="0" w:firstLine="0"/>
            </w:pPr>
            <w:r w:rsidRPr="00D4445A">
              <w:t>gusset plate</w:t>
            </w:r>
          </w:p>
        </w:tc>
      </w:tr>
      <w:tr w:rsidR="0043637E" w:rsidRPr="00D4445A" w14:paraId="36020230" w14:textId="77777777" w:rsidTr="00A145F0">
        <w:tc>
          <w:tcPr>
            <w:tcW w:w="427" w:type="dxa"/>
          </w:tcPr>
          <w:p w14:paraId="1CECA474" w14:textId="3FE5DE5A" w:rsidR="0043637E" w:rsidRPr="00D4445A" w:rsidRDefault="0043637E" w:rsidP="00A145F0">
            <w:pPr>
              <w:pStyle w:val="KeyText"/>
              <w:spacing w:before="0"/>
              <w:rPr>
                <w:iCs/>
              </w:rPr>
            </w:pPr>
            <w:r w:rsidRPr="00D4445A">
              <w:rPr>
                <w:iCs/>
              </w:rPr>
              <w:t>E</w:t>
            </w:r>
          </w:p>
        </w:tc>
        <w:tc>
          <w:tcPr>
            <w:tcW w:w="2125" w:type="dxa"/>
          </w:tcPr>
          <w:p w14:paraId="3D6DBD40" w14:textId="392AD769" w:rsidR="0043637E" w:rsidRPr="00D4445A" w:rsidRDefault="0043637E" w:rsidP="00A145F0">
            <w:pPr>
              <w:pStyle w:val="KeyText"/>
              <w:spacing w:before="0"/>
              <w:ind w:left="0" w:firstLine="0"/>
            </w:pPr>
            <w:r w:rsidRPr="00D4445A">
              <w:t>knife plate</w:t>
            </w:r>
          </w:p>
        </w:tc>
      </w:tr>
    </w:tbl>
    <w:p w14:paraId="404A1A69" w14:textId="085F7E04" w:rsidR="00F66FA7" w:rsidRPr="007E6F67" w:rsidRDefault="00F66FA7" w:rsidP="00454C78">
      <w:pPr>
        <w:pStyle w:val="Figuretitle"/>
      </w:pPr>
      <w:r w:rsidRPr="00D1484A">
        <w:t>Figure E.</w:t>
      </w:r>
      <w:r w:rsidRPr="00590547">
        <w:t>25 </w:t>
      </w:r>
      <w:r w:rsidRPr="00D1484A">
        <w:t xml:space="preserve">— Elliptical clearance of gusset plate: </w:t>
      </w:r>
      <w:r w:rsidR="0043637E">
        <w:t>(</w:t>
      </w:r>
      <w:r w:rsidRPr="00D1484A">
        <w:t>a) welded brace; (b) bolted brace</w:t>
      </w:r>
    </w:p>
    <w:p w14:paraId="75E415AF" w14:textId="6A5F6F36" w:rsidR="00F66FA7" w:rsidRPr="00FD17CF" w:rsidRDefault="00F66FA7" w:rsidP="00724E4E">
      <w:pPr>
        <w:pStyle w:val="Clause"/>
      </w:pPr>
      <w:r w:rsidRPr="00FD17CF">
        <w:t>The knife plate may be welded or bolted to the gusset plate.</w:t>
      </w:r>
    </w:p>
    <w:p w14:paraId="4A20CC8A" w14:textId="6A3A61D3" w:rsidR="00F66FA7" w:rsidRPr="00C52095" w:rsidRDefault="00F66FA7" w:rsidP="00724E4E">
      <w:pPr>
        <w:pStyle w:val="Clause"/>
      </w:pPr>
      <w:r w:rsidRPr="00E05E29">
        <w:t xml:space="preserve">The resistance </w:t>
      </w:r>
      <w:r w:rsidRPr="00454C78">
        <w:t xml:space="preserve">of the knife plate and of the connection between the knife plate and the gusset </w:t>
      </w:r>
      <w:r w:rsidRPr="00454C78">
        <w:rPr>
          <w:sz w:val="24"/>
        </w:rPr>
        <w:t>plates</w:t>
      </w:r>
      <w:r w:rsidRPr="00454C78">
        <w:t xml:space="preserve"> should be greater than the ultimate axial resistance of the brace calculated using Formula 11.23</w:t>
      </w:r>
      <w:r w:rsidRPr="004F25D7">
        <w:t>.</w:t>
      </w:r>
    </w:p>
    <w:p w14:paraId="6753AE9C" w14:textId="5CC7DB7B" w:rsidR="00F66FA7" w:rsidRPr="00132C1E" w:rsidRDefault="00F66FA7" w:rsidP="00724E4E">
      <w:pPr>
        <w:pStyle w:val="Clause"/>
      </w:pPr>
      <w:r w:rsidRPr="00C52095">
        <w:t xml:space="preserve">The </w:t>
      </w:r>
      <w:r w:rsidRPr="007754C9">
        <w:t xml:space="preserve">resisting area of the gusset plate should be calculated as </w:t>
      </w:r>
      <w:r w:rsidRPr="00454C78">
        <w:t xml:space="preserve">in </w:t>
      </w:r>
      <w:r w:rsidRPr="00835C82">
        <w:t>E.5.2(7)</w:t>
      </w:r>
      <w:r w:rsidRPr="00454C78">
        <w:t>.</w:t>
      </w:r>
    </w:p>
    <w:p w14:paraId="105E86C5" w14:textId="7A3BD2E0" w:rsidR="00F66FA7" w:rsidRPr="00132C1E" w:rsidRDefault="00F66FA7" w:rsidP="00724E4E">
      <w:pPr>
        <w:pStyle w:val="Clause"/>
      </w:pPr>
      <w:r w:rsidRPr="00132C1E">
        <w:t xml:space="preserve">The buckling length of </w:t>
      </w:r>
      <w:r w:rsidRPr="00132C1E">
        <w:rPr>
          <w:sz w:val="24"/>
        </w:rPr>
        <w:t xml:space="preserve">the gusset plate should be </w:t>
      </w:r>
      <w:r w:rsidRPr="00132C1E">
        <w:t xml:space="preserve">calculated </w:t>
      </w:r>
      <w:r w:rsidRPr="00132C1E">
        <w:rPr>
          <w:sz w:val="24"/>
        </w:rPr>
        <w:t xml:space="preserve">as </w:t>
      </w:r>
      <w:r w:rsidRPr="00454C78">
        <w:rPr>
          <w:sz w:val="24"/>
        </w:rPr>
        <w:t xml:space="preserve">in </w:t>
      </w:r>
      <w:r w:rsidRPr="00835C82">
        <w:t>E.5.2(9)</w:t>
      </w:r>
      <w:r w:rsidRPr="00454C78">
        <w:t>.</w:t>
      </w:r>
    </w:p>
    <w:p w14:paraId="1564DCDB" w14:textId="6415C95E" w:rsidR="00F66FA7" w:rsidRPr="00132C1E" w:rsidRDefault="00F66FA7" w:rsidP="00724E4E">
      <w:pPr>
        <w:pStyle w:val="Clause"/>
      </w:pPr>
      <w:r w:rsidRPr="00132C1E">
        <w:t xml:space="preserve">The resistance and stability of the gusset should be verified against the expected forces transmitted by the brace in accordance </w:t>
      </w:r>
      <w:r w:rsidRPr="00454C78">
        <w:t xml:space="preserve">with </w:t>
      </w:r>
      <w:r w:rsidRPr="00835C82">
        <w:t>11.10.6(2)</w:t>
      </w:r>
      <w:r w:rsidRPr="00454C78">
        <w:t>.</w:t>
      </w:r>
    </w:p>
    <w:p w14:paraId="59797441" w14:textId="77777777" w:rsidR="00F66FA7" w:rsidRPr="00132C1E" w:rsidRDefault="00F66FA7" w:rsidP="00F66FA7">
      <w:pPr>
        <w:pStyle w:val="a2"/>
      </w:pPr>
      <w:bookmarkStart w:id="11303" w:name="_Toc50150740"/>
      <w:bookmarkStart w:id="11304" w:name="_Toc70887173"/>
      <w:bookmarkStart w:id="11305" w:name="_Toc108342772"/>
      <w:bookmarkStart w:id="11306" w:name="_Toc134198281"/>
      <w:r w:rsidRPr="00132C1E">
        <w:t>Partial strength connections in concentric bracings</w:t>
      </w:r>
      <w:bookmarkEnd w:id="11303"/>
      <w:bookmarkEnd w:id="11304"/>
      <w:bookmarkEnd w:id="11305"/>
      <w:bookmarkEnd w:id="11306"/>
    </w:p>
    <w:p w14:paraId="236DD262" w14:textId="77777777" w:rsidR="00F66FA7" w:rsidRPr="00132C1E" w:rsidRDefault="00F66FA7" w:rsidP="00F66FA7">
      <w:pPr>
        <w:pStyle w:val="a3"/>
      </w:pPr>
      <w:bookmarkStart w:id="11307" w:name="_Toc50150741"/>
      <w:bookmarkStart w:id="11308" w:name="_Toc70887174"/>
      <w:bookmarkStart w:id="11309" w:name="_Toc108342773"/>
      <w:bookmarkStart w:id="11310" w:name="_Toc120543860"/>
      <w:bookmarkStart w:id="11311" w:name="_Toc134198282"/>
      <w:r w:rsidRPr="00132C1E">
        <w:t>General</w:t>
      </w:r>
      <w:bookmarkEnd w:id="11307"/>
      <w:bookmarkEnd w:id="11308"/>
      <w:bookmarkEnd w:id="11309"/>
      <w:bookmarkEnd w:id="11310"/>
      <w:bookmarkEnd w:id="11311"/>
    </w:p>
    <w:p w14:paraId="472CBB3D" w14:textId="56354FE5" w:rsidR="00F66FA7" w:rsidRPr="00132C1E" w:rsidRDefault="00F66FA7" w:rsidP="0080187E">
      <w:pPr>
        <w:pStyle w:val="Clause"/>
        <w:numPr>
          <w:ilvl w:val="0"/>
          <w:numId w:val="584"/>
        </w:numPr>
      </w:pPr>
      <w:r w:rsidRPr="00132C1E">
        <w:t xml:space="preserve">Partial strength connections may be used in concentric bracings only if energy dissipation takes place entirely in these connections while there is no </w:t>
      </w:r>
      <w:r w:rsidRPr="00023CAE">
        <w:rPr>
          <w:rFonts w:cs="Arial"/>
        </w:rPr>
        <w:t>buckling and yielding</w:t>
      </w:r>
      <w:r w:rsidRPr="00132C1E">
        <w:t xml:space="preserve"> of </w:t>
      </w:r>
      <w:r w:rsidRPr="00023CAE">
        <w:rPr>
          <w:rFonts w:cs="Arial"/>
        </w:rPr>
        <w:t>braces and other components.</w:t>
      </w:r>
    </w:p>
    <w:p w14:paraId="1A17F17F" w14:textId="5646F329" w:rsidR="00F66FA7" w:rsidRPr="00132C1E" w:rsidRDefault="00F66FA7" w:rsidP="00724E4E">
      <w:pPr>
        <w:pStyle w:val="Clause"/>
      </w:pPr>
      <w:r w:rsidRPr="00132C1E">
        <w:t xml:space="preserve">Dissipative partial strength connections in bracings should comply </w:t>
      </w:r>
      <w:r w:rsidRPr="00454C78">
        <w:t xml:space="preserve">with </w:t>
      </w:r>
      <w:r w:rsidRPr="00835C82">
        <w:t>11.10.3(11)</w:t>
      </w:r>
      <w:r w:rsidRPr="00454C78">
        <w:t>.</w:t>
      </w:r>
    </w:p>
    <w:p w14:paraId="239862EA" w14:textId="345359C1" w:rsidR="00F66FA7" w:rsidRPr="00132C1E" w:rsidRDefault="00F66FA7" w:rsidP="00F66FA7">
      <w:pPr>
        <w:pStyle w:val="a3"/>
      </w:pPr>
      <w:bookmarkStart w:id="11312" w:name="_Toc50150742"/>
      <w:bookmarkStart w:id="11313" w:name="_Toc70887175"/>
      <w:bookmarkStart w:id="11314" w:name="_Toc108342774"/>
      <w:bookmarkStart w:id="11315" w:name="_Toc120543861"/>
      <w:bookmarkStart w:id="11316" w:name="_Toc134198283"/>
      <w:r w:rsidRPr="00454C78">
        <w:t xml:space="preserve">Dissipative pin </w:t>
      </w:r>
      <w:r w:rsidRPr="00132C1E">
        <w:t>connection</w:t>
      </w:r>
      <w:bookmarkEnd w:id="11312"/>
      <w:bookmarkEnd w:id="11313"/>
      <w:bookmarkEnd w:id="11314"/>
      <w:bookmarkEnd w:id="11315"/>
      <w:bookmarkEnd w:id="11316"/>
    </w:p>
    <w:p w14:paraId="28177351" w14:textId="7F0B77FA" w:rsidR="00F66FA7" w:rsidRPr="00132C1E" w:rsidRDefault="00F66FA7" w:rsidP="0080187E">
      <w:pPr>
        <w:pStyle w:val="Clause"/>
        <w:numPr>
          <w:ilvl w:val="0"/>
          <w:numId w:val="585"/>
        </w:numPr>
      </w:pPr>
      <w:r w:rsidRPr="00454C78">
        <w:t xml:space="preserve">Dissipative pin connections </w:t>
      </w:r>
      <w:r w:rsidRPr="00132C1E">
        <w:t>may be placed at one or both ends of the diagonals and may be connected to both strong and weak axis of the column.</w:t>
      </w:r>
    </w:p>
    <w:p w14:paraId="26AFA8C5" w14:textId="6458B732" w:rsidR="00F66FA7" w:rsidRPr="00132C1E" w:rsidRDefault="00F66FA7" w:rsidP="00454C78">
      <w:pPr>
        <w:pStyle w:val="Notetext"/>
      </w:pPr>
      <w:r w:rsidRPr="00132C1E">
        <w:t>NOTE</w:t>
      </w:r>
      <w:r w:rsidRPr="00132C1E">
        <w:tab/>
        <w:t xml:space="preserve">In </w:t>
      </w:r>
      <w:r w:rsidRPr="00454C78">
        <w:t xml:space="preserve">dissipative pin connection, a pin crosses two external plates connected to the frame columns/beams, and one or two internal plates connected to the brace (see </w:t>
      </w:r>
      <w:r w:rsidRPr="00454C78">
        <w:rPr>
          <w:bCs/>
          <w:szCs w:val="24"/>
        </w:rPr>
        <w:t>Figure E</w:t>
      </w:r>
      <w:r w:rsidRPr="00454C78">
        <w:rPr>
          <w:bCs/>
        </w:rPr>
        <w:t>.26</w:t>
      </w:r>
      <w:r w:rsidRPr="00132C1E">
        <w:t>).</w:t>
      </w:r>
    </w:p>
    <w:p w14:paraId="3BEA45D7" w14:textId="4B161C61" w:rsidR="00F66FA7" w:rsidRPr="00132C1E" w:rsidRDefault="00F66FA7" w:rsidP="00724E4E">
      <w:pPr>
        <w:pStyle w:val="Clause"/>
      </w:pPr>
      <w:r w:rsidRPr="00132C1E">
        <w:t>Dissipative pin connections should be designed in such a way that yielding of the pins in bending will take place before buckling or yielding of the braces and of the adjacent members and parts.</w:t>
      </w:r>
    </w:p>
    <w:p w14:paraId="25860C65" w14:textId="2A4B82CA" w:rsidR="00F66FA7" w:rsidRPr="00132C1E" w:rsidRDefault="00F66FA7" w:rsidP="00724E4E">
      <w:pPr>
        <w:pStyle w:val="Clause"/>
      </w:pPr>
      <w:r w:rsidRPr="00132C1E">
        <w:t>The length</w:t>
      </w:r>
      <w:r>
        <w:t xml:space="preserve"> </w:t>
      </w:r>
      <w:r>
        <w:rPr>
          <w:i/>
          <w:iCs/>
        </w:rPr>
        <w:t>a</w:t>
      </w:r>
      <w:r>
        <w:rPr>
          <w:vertAlign w:val="subscript"/>
        </w:rPr>
        <w:t>pl</w:t>
      </w:r>
      <w:r w:rsidRPr="00132C1E">
        <w:t xml:space="preserve"> of the pin should comply with </w:t>
      </w:r>
      <w:r w:rsidRPr="00454C78">
        <w:t>Formula (E.26).</w:t>
      </w:r>
    </w:p>
    <w:p w14:paraId="36317402" w14:textId="32CBD8A1" w:rsidR="00454C78" w:rsidRPr="00870D59" w:rsidRDefault="009B5CEC" w:rsidP="00454C78">
      <w:pPr>
        <w:pStyle w:val="Formula"/>
        <w:spacing w:before="240"/>
      </w:pPr>
      <m:oMath>
        <m:sSub>
          <m:sSubPr>
            <m:ctrlPr>
              <w:rPr>
                <w:rFonts w:ascii="Cambria Math" w:hAnsi="Cambria Math"/>
              </w:rPr>
            </m:ctrlPr>
          </m:sSubPr>
          <m:e>
            <m:r>
              <w:rPr>
                <w:rFonts w:ascii="Cambria Math" w:hAnsi="Cambria Math"/>
              </w:rPr>
              <m:t>a</m:t>
            </m:r>
          </m:e>
          <m:sub>
            <m:r>
              <m:rPr>
                <m:sty m:val="p"/>
              </m:rPr>
              <w:rPr>
                <w:rFonts w:ascii="Cambria Math" w:hAnsi="Cambria Math"/>
              </w:rPr>
              <m:t>pl</m:t>
            </m:r>
          </m:sub>
        </m:sSub>
        <m:r>
          <w:rPr>
            <w:rFonts w:ascii="Cambria Math" w:hAnsi="Cambria Math"/>
          </w:rPr>
          <m:t>&gt;</m:t>
        </m:r>
        <m:sSub>
          <m:sSubPr>
            <m:ctrlPr>
              <w:rPr>
                <w:rFonts w:ascii="Cambria Math" w:hAnsi="Cambria Math"/>
              </w:rPr>
            </m:ctrlPr>
          </m:sSubPr>
          <m:e>
            <m:r>
              <w:rPr>
                <w:rFonts w:ascii="Cambria Math" w:hAnsi="Cambria Math"/>
              </w:rPr>
              <m:t>h</m:t>
            </m:r>
          </m:e>
          <m:sub>
            <m:r>
              <m:rPr>
                <m:sty m:val="p"/>
              </m:rPr>
              <w:rPr>
                <w:rFonts w:ascii="Cambria Math" w:hAnsi="Cambria Math"/>
              </w:rPr>
              <m:t>pin</m:t>
            </m:r>
          </m:sub>
        </m:sSub>
      </m:oMath>
      <w:r w:rsidR="00454C78" w:rsidRPr="00870D59">
        <w:tab/>
        <w:t>(</w:t>
      </w:r>
      <w:r w:rsidR="00454C78">
        <w:t>E</w:t>
      </w:r>
      <w:r w:rsidR="00454C78" w:rsidRPr="00870D59">
        <w:t>.</w:t>
      </w:r>
      <w:r w:rsidR="00454C78">
        <w:t>26</w:t>
      </w:r>
      <w:r w:rsidR="00454C78" w:rsidRPr="00870D59">
        <w:t>)</w:t>
      </w:r>
    </w:p>
    <w:p w14:paraId="223C49D2" w14:textId="6D256492" w:rsidR="00454C78" w:rsidRDefault="00454C78" w:rsidP="00454C78">
      <w:pPr>
        <w:pStyle w:val="Text"/>
      </w:pPr>
      <w:r>
        <w:t>w</w:t>
      </w:r>
      <w:r w:rsidRPr="00870D59">
        <w:t>here</w:t>
      </w:r>
      <w:r>
        <w:t xml:space="preserve"> </w:t>
      </w:r>
      <w:r w:rsidRPr="007E6F67">
        <w:rPr>
          <w:rFonts w:cs="Arial"/>
        </w:rPr>
        <w:t xml:space="preserve">(see </w:t>
      </w:r>
      <w:r w:rsidRPr="00454C78">
        <w:t>Figure E</w:t>
      </w:r>
      <w:r w:rsidRPr="00454C78">
        <w:rPr>
          <w:rFonts w:cs="Arial"/>
        </w:rPr>
        <w:t>.27</w:t>
      </w:r>
      <w:r w:rsidRPr="00FD17CF">
        <w:rPr>
          <w:rFonts w:cs="Arial"/>
        </w:rPr>
        <w:t>):</w:t>
      </w:r>
    </w:p>
    <w:tbl>
      <w:tblPr>
        <w:tblW w:w="0" w:type="auto"/>
        <w:tblInd w:w="346" w:type="dxa"/>
        <w:tblLook w:val="04A0" w:firstRow="1" w:lastRow="0" w:firstColumn="1" w:lastColumn="0" w:noHBand="0" w:noVBand="1"/>
      </w:tblPr>
      <w:tblGrid>
        <w:gridCol w:w="1275"/>
        <w:gridCol w:w="7938"/>
      </w:tblGrid>
      <w:tr w:rsidR="00454C78" w:rsidRPr="00870D59" w14:paraId="45E7FC42" w14:textId="77777777" w:rsidTr="00A145F0">
        <w:tc>
          <w:tcPr>
            <w:tcW w:w="1275" w:type="dxa"/>
          </w:tcPr>
          <w:p w14:paraId="62A702D0" w14:textId="7633001D" w:rsidR="00454C78" w:rsidRPr="00870D59" w:rsidRDefault="00454C78" w:rsidP="002061E5">
            <w:pPr>
              <w:spacing w:after="60"/>
              <w:rPr>
                <w:rFonts w:eastAsia="Times New Roman" w:cs="Cambria"/>
                <w:szCs w:val="20"/>
                <w:lang w:eastAsia="fr-FR"/>
              </w:rPr>
            </w:pPr>
            <w:r w:rsidRPr="00D1484A">
              <w:rPr>
                <w:i/>
                <w:iCs/>
              </w:rPr>
              <w:t>h</w:t>
            </w:r>
            <w:r w:rsidRPr="007E6F67">
              <w:rPr>
                <w:vertAlign w:val="subscript"/>
              </w:rPr>
              <w:t>pin</w:t>
            </w:r>
          </w:p>
        </w:tc>
        <w:tc>
          <w:tcPr>
            <w:tcW w:w="7938" w:type="dxa"/>
          </w:tcPr>
          <w:p w14:paraId="3C23D67B" w14:textId="3647452F" w:rsidR="00454C78" w:rsidRPr="00870D59" w:rsidRDefault="00454C78" w:rsidP="002061E5">
            <w:pPr>
              <w:spacing w:after="60"/>
              <w:rPr>
                <w:rFonts w:eastAsia="Times New Roman" w:cs="Cambria"/>
                <w:szCs w:val="20"/>
                <w:lang w:eastAsia="fr-FR"/>
              </w:rPr>
            </w:pPr>
            <w:r w:rsidRPr="00FD17CF">
              <w:t>is the height of the pin;</w:t>
            </w:r>
          </w:p>
        </w:tc>
      </w:tr>
      <w:tr w:rsidR="00454C78" w:rsidRPr="00870D59" w14:paraId="09610433" w14:textId="77777777" w:rsidTr="00A145F0">
        <w:tc>
          <w:tcPr>
            <w:tcW w:w="1275" w:type="dxa"/>
          </w:tcPr>
          <w:p w14:paraId="010D40D9" w14:textId="6F91C587" w:rsidR="00454C78" w:rsidRPr="00870D59" w:rsidRDefault="00454C78" w:rsidP="002061E5">
            <w:pPr>
              <w:spacing w:after="60"/>
              <w:rPr>
                <w:rFonts w:eastAsia="Times New Roman" w:cs="Cambria"/>
                <w:szCs w:val="20"/>
                <w:lang w:eastAsia="fr-FR"/>
              </w:rPr>
            </w:pPr>
            <w:r w:rsidRPr="00E05E29">
              <w:rPr>
                <w:i/>
                <w:iCs/>
              </w:rPr>
              <w:t>a</w:t>
            </w:r>
            <w:r w:rsidRPr="00196951">
              <w:rPr>
                <w:vertAlign w:val="subscript"/>
              </w:rPr>
              <w:t>pj</w:t>
            </w:r>
          </w:p>
        </w:tc>
        <w:tc>
          <w:tcPr>
            <w:tcW w:w="7938" w:type="dxa"/>
          </w:tcPr>
          <w:p w14:paraId="747D638D" w14:textId="008272B2" w:rsidR="00454C78" w:rsidRPr="00870D59" w:rsidRDefault="00454C78" w:rsidP="002061E5">
            <w:pPr>
              <w:spacing w:after="60"/>
              <w:rPr>
                <w:rFonts w:eastAsia="Times New Roman" w:cs="Cambria"/>
                <w:szCs w:val="20"/>
                <w:lang w:eastAsia="fr-FR"/>
              </w:rPr>
            </w:pPr>
            <w:r w:rsidRPr="00196951">
              <w:t>is the clear distance between the</w:t>
            </w:r>
            <w:r w:rsidRPr="002144A0">
              <w:t xml:space="preserve"> inner and outer gusset plates.</w:t>
            </w:r>
          </w:p>
        </w:tc>
      </w:tr>
      <w:tr w:rsidR="00454C78" w:rsidRPr="00870D59" w14:paraId="5D692070" w14:textId="77777777" w:rsidTr="00A145F0">
        <w:tc>
          <w:tcPr>
            <w:tcW w:w="1275" w:type="dxa"/>
          </w:tcPr>
          <w:p w14:paraId="6FC54611" w14:textId="5B8CDCC7" w:rsidR="00454C78" w:rsidRPr="00870D59" w:rsidRDefault="00454C78" w:rsidP="002061E5">
            <w:pPr>
              <w:spacing w:after="60"/>
              <w:rPr>
                <w:i/>
                <w:color w:val="000000" w:themeColor="text1"/>
              </w:rPr>
            </w:pPr>
            <w:r w:rsidRPr="004F25D7">
              <w:rPr>
                <w:i/>
                <w:iCs/>
              </w:rPr>
              <w:t>b</w:t>
            </w:r>
            <w:r w:rsidRPr="00C52095">
              <w:rPr>
                <w:vertAlign w:val="subscript"/>
              </w:rPr>
              <w:t>pin</w:t>
            </w:r>
          </w:p>
        </w:tc>
        <w:tc>
          <w:tcPr>
            <w:tcW w:w="7938" w:type="dxa"/>
          </w:tcPr>
          <w:p w14:paraId="7E1DEF0F" w14:textId="1D55BD95" w:rsidR="00454C78" w:rsidRPr="00870D59" w:rsidRDefault="00454C78" w:rsidP="002061E5">
            <w:pPr>
              <w:spacing w:after="60"/>
              <w:rPr>
                <w:color w:val="000000" w:themeColor="text1"/>
              </w:rPr>
            </w:pPr>
            <w:r w:rsidRPr="00132C1E">
              <w:t>is the width of the pin</w:t>
            </w:r>
            <w:r>
              <w:t>;</w:t>
            </w:r>
          </w:p>
        </w:tc>
      </w:tr>
      <w:tr w:rsidR="00454C78" w:rsidRPr="00870D59" w14:paraId="40922010" w14:textId="77777777" w:rsidTr="00A145F0">
        <w:tc>
          <w:tcPr>
            <w:tcW w:w="1275" w:type="dxa"/>
          </w:tcPr>
          <w:p w14:paraId="250E4A9F" w14:textId="3518E530" w:rsidR="00454C78" w:rsidRPr="00870D59" w:rsidRDefault="00454C78" w:rsidP="002061E5">
            <w:pPr>
              <w:spacing w:after="60"/>
              <w:rPr>
                <w:i/>
                <w:color w:val="000000" w:themeColor="text1"/>
              </w:rPr>
            </w:pPr>
            <w:r w:rsidRPr="00132C1E">
              <w:t>c</w:t>
            </w:r>
            <w:r w:rsidRPr="00132C1E">
              <w:rPr>
                <w:vertAlign w:val="subscript"/>
              </w:rPr>
              <w:t>pj</w:t>
            </w:r>
          </w:p>
        </w:tc>
        <w:tc>
          <w:tcPr>
            <w:tcW w:w="7938" w:type="dxa"/>
          </w:tcPr>
          <w:p w14:paraId="305178C0" w14:textId="52B9E239" w:rsidR="00454C78" w:rsidRPr="00870D59" w:rsidRDefault="00454C78" w:rsidP="002061E5">
            <w:pPr>
              <w:spacing w:after="60"/>
              <w:rPr>
                <w:color w:val="000000" w:themeColor="text1"/>
              </w:rPr>
            </w:pPr>
            <w:r w:rsidRPr="00132C1E">
              <w:t>is the distance between the outer gusset plates</w:t>
            </w:r>
          </w:p>
        </w:tc>
      </w:tr>
    </w:tbl>
    <w:p w14:paraId="24B72B79" w14:textId="7891EB2D" w:rsidR="00454C78" w:rsidRPr="00132C1E" w:rsidRDefault="007A2C60" w:rsidP="007A2C60">
      <w:pPr>
        <w:pStyle w:val="FigureImage"/>
      </w:pPr>
      <w:bookmarkStart w:id="11317" w:name="_Ref474922538"/>
      <w:r>
        <w:rPr>
          <w:noProof/>
        </w:rPr>
        <w:drawing>
          <wp:inline distT="0" distB="0" distL="0" distR="0" wp14:anchorId="10F82665" wp14:editId="79DA34A1">
            <wp:extent cx="5399541" cy="2255524"/>
            <wp:effectExtent l="0" t="0" r="0" b="0"/>
            <wp:docPr id="2081949476" name="e026.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1949476" name="e026.tiff"/>
                    <pic:cNvPicPr/>
                  </pic:nvPicPr>
                  <pic:blipFill>
                    <a:blip r:link="rId112"/>
                    <a:stretch>
                      <a:fillRect/>
                    </a:stretch>
                  </pic:blipFill>
                  <pic:spPr>
                    <a:xfrm>
                      <a:off x="0" y="0"/>
                      <a:ext cx="5399541" cy="2255524"/>
                    </a:xfrm>
                    <a:prstGeom prst="rect">
                      <a:avLst/>
                    </a:prstGeom>
                  </pic:spPr>
                </pic:pic>
              </a:graphicData>
            </a:graphic>
          </wp:inline>
        </w:drawing>
      </w:r>
    </w:p>
    <w:p w14:paraId="220B7F73" w14:textId="43220C55" w:rsidR="00454C78" w:rsidRPr="00D1484A" w:rsidRDefault="00454C78" w:rsidP="00454C78">
      <w:pPr>
        <w:pStyle w:val="Figuretitle"/>
      </w:pPr>
      <w:r w:rsidRPr="00D1484A">
        <w:t>Figure E</w:t>
      </w:r>
      <w:r w:rsidRPr="00590547">
        <w:t>.26 </w:t>
      </w:r>
      <w:r w:rsidRPr="00D1484A">
        <w:t>— </w:t>
      </w:r>
      <w:r w:rsidRPr="00454C78">
        <w:t>Dissipative pin connections</w:t>
      </w:r>
      <w:r w:rsidRPr="00D1484A">
        <w:t xml:space="preserve">: </w:t>
      </w:r>
      <w:r w:rsidR="007A2C60">
        <w:t>(</w:t>
      </w:r>
      <w:r w:rsidRPr="00D1484A">
        <w:t>a) single plate; (b) double plate</w:t>
      </w:r>
    </w:p>
    <w:p w14:paraId="2E2524FD" w14:textId="4FBD029D" w:rsidR="00454C78" w:rsidRPr="00132C1E" w:rsidRDefault="007A2C60" w:rsidP="007A2C60">
      <w:pPr>
        <w:pStyle w:val="FigureImage"/>
      </w:pPr>
      <w:r>
        <w:rPr>
          <w:noProof/>
        </w:rPr>
        <w:drawing>
          <wp:inline distT="0" distB="0" distL="0" distR="0" wp14:anchorId="211A1E79" wp14:editId="259DCBB6">
            <wp:extent cx="5940562" cy="2049783"/>
            <wp:effectExtent l="0" t="0" r="3175" b="7620"/>
            <wp:docPr id="2081949477" name="e027.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1949477" name="e027.tiff"/>
                    <pic:cNvPicPr/>
                  </pic:nvPicPr>
                  <pic:blipFill>
                    <a:blip r:link="rId113"/>
                    <a:stretch>
                      <a:fillRect/>
                    </a:stretch>
                  </pic:blipFill>
                  <pic:spPr>
                    <a:xfrm>
                      <a:off x="0" y="0"/>
                      <a:ext cx="5940562" cy="2049783"/>
                    </a:xfrm>
                    <a:prstGeom prst="rect">
                      <a:avLst/>
                    </a:prstGeom>
                  </pic:spPr>
                </pic:pic>
              </a:graphicData>
            </a:graphic>
          </wp:inline>
        </w:drawing>
      </w:r>
    </w:p>
    <w:bookmarkEnd w:id="11317"/>
    <w:p w14:paraId="6208B8F4" w14:textId="0C3FFEDC" w:rsidR="00454C78" w:rsidRPr="007E6F67" w:rsidRDefault="00454C78" w:rsidP="00454C78">
      <w:pPr>
        <w:pStyle w:val="Figuretitle"/>
      </w:pPr>
      <w:r w:rsidRPr="00D1484A">
        <w:t>Figure E</w:t>
      </w:r>
      <w:r w:rsidRPr="00590547">
        <w:t>.27 </w:t>
      </w:r>
      <w:r w:rsidRPr="00D1484A">
        <w:t xml:space="preserve">— Geometrical features </w:t>
      </w:r>
      <w:r w:rsidRPr="00454C78">
        <w:t>of dissipative pin conn</w:t>
      </w:r>
      <w:r w:rsidRPr="00D1484A">
        <w:t xml:space="preserve">ections: </w:t>
      </w:r>
      <w:r w:rsidR="007A2C60">
        <w:t>(</w:t>
      </w:r>
      <w:r w:rsidRPr="00D1484A">
        <w:t>a) single plate; (b) double plate</w:t>
      </w:r>
    </w:p>
    <w:p w14:paraId="03AC4794" w14:textId="483EE7E6" w:rsidR="00454C78" w:rsidRPr="00132C1E" w:rsidRDefault="00454C78" w:rsidP="00724E4E">
      <w:pPr>
        <w:pStyle w:val="Clause"/>
      </w:pPr>
      <w:r w:rsidRPr="00FD17CF">
        <w:t xml:space="preserve">The thickness of the external plates </w:t>
      </w:r>
      <w:r w:rsidRPr="00FD17CF">
        <w:rPr>
          <w:i/>
          <w:iCs/>
        </w:rPr>
        <w:t>t</w:t>
      </w:r>
      <w:r w:rsidRPr="00FD17CF">
        <w:rPr>
          <w:vertAlign w:val="subscript"/>
        </w:rPr>
        <w:t>ext</w:t>
      </w:r>
      <w:r w:rsidRPr="00FD17CF">
        <w:t xml:space="preserve"> should not be smaller than 0,5</w:t>
      </w:r>
      <w:r w:rsidRPr="00FD17CF">
        <w:rPr>
          <w:i/>
          <w:iCs/>
        </w:rPr>
        <w:t>t</w:t>
      </w:r>
      <w:r w:rsidRPr="00E05E29">
        <w:rPr>
          <w:vertAlign w:val="subscript"/>
        </w:rPr>
        <w:t>int</w:t>
      </w:r>
      <w:r w:rsidRPr="00196951">
        <w:t xml:space="preserve"> in single plate configuration and equal or greater than </w:t>
      </w:r>
      <w:r w:rsidRPr="00196951">
        <w:rPr>
          <w:i/>
          <w:iCs/>
        </w:rPr>
        <w:t>t</w:t>
      </w:r>
      <w:r w:rsidRPr="002144A0">
        <w:rPr>
          <w:vertAlign w:val="subscript"/>
        </w:rPr>
        <w:t>int</w:t>
      </w:r>
      <w:r w:rsidRPr="002144A0">
        <w:t xml:space="preserve"> in double plate configurations, where </w:t>
      </w:r>
      <w:r w:rsidRPr="002144A0">
        <w:rPr>
          <w:i/>
          <w:iCs/>
        </w:rPr>
        <w:t>t</w:t>
      </w:r>
      <w:r w:rsidRPr="004F25D7">
        <w:rPr>
          <w:vertAlign w:val="subscript"/>
        </w:rPr>
        <w:t>int</w:t>
      </w:r>
      <w:r w:rsidRPr="00C52095">
        <w:t xml:space="preserve"> is the thickness of the internal plate, </w:t>
      </w:r>
      <w:r w:rsidRPr="00454C78">
        <w:t>see Figure E.27.</w:t>
      </w:r>
    </w:p>
    <w:p w14:paraId="0342B191" w14:textId="0E0CCF02" w:rsidR="00454C78" w:rsidRPr="00454C78" w:rsidRDefault="00454C78" w:rsidP="00724E4E">
      <w:pPr>
        <w:pStyle w:val="Clause"/>
      </w:pPr>
      <w:r w:rsidRPr="00454C78">
        <w:t xml:space="preserve">The resistance </w:t>
      </w:r>
      <w:r w:rsidRPr="00454C78">
        <w:rPr>
          <w:i/>
        </w:rPr>
        <w:t>R</w:t>
      </w:r>
      <w:r w:rsidRPr="00454C78">
        <w:rPr>
          <w:iCs/>
          <w:vertAlign w:val="subscript"/>
        </w:rPr>
        <w:t>d</w:t>
      </w:r>
      <w:r w:rsidRPr="00454C78">
        <w:t xml:space="preserve"> of welds or bolts of the dissipative pin connection should satisfy Formula (11.4)</w:t>
      </w:r>
      <w:r w:rsidRPr="00454C78">
        <w:rPr>
          <w:rFonts w:eastAsiaTheme="minorHAnsi" w:cstheme="minorBidi"/>
        </w:rPr>
        <w:t xml:space="preserve"> </w:t>
      </w:r>
      <w:r w:rsidRPr="00454C78">
        <w:t xml:space="preserve">where </w:t>
      </w:r>
      <w:r w:rsidRPr="00454C78">
        <w:rPr>
          <w:i/>
        </w:rPr>
        <w:t>R</w:t>
      </w:r>
      <w:r w:rsidRPr="00454C78">
        <w:rPr>
          <w:vertAlign w:val="subscript"/>
        </w:rPr>
        <w:t>fy</w:t>
      </w:r>
      <w:r w:rsidRPr="00454C78">
        <w:t xml:space="preserve"> in Formula (11.4) should be taken as </w:t>
      </w:r>
      <w:r w:rsidRPr="00454C78">
        <w:rPr>
          <w:i/>
        </w:rPr>
        <w:t>R</w:t>
      </w:r>
      <w:r w:rsidRPr="00454C78">
        <w:rPr>
          <w:vertAlign w:val="subscript"/>
        </w:rPr>
        <w:t>j,M,Rd</w:t>
      </w:r>
      <w:r w:rsidRPr="00454C78">
        <w:t xml:space="preserve"> or </w:t>
      </w:r>
      <w:r w:rsidRPr="00454C78">
        <w:rPr>
          <w:i/>
        </w:rPr>
        <w:t>R</w:t>
      </w:r>
      <w:r w:rsidRPr="00454C78">
        <w:rPr>
          <w:vertAlign w:val="subscript"/>
        </w:rPr>
        <w:t>j,M,Rd</w:t>
      </w:r>
      <w:r w:rsidRPr="00454C78">
        <w:t xml:space="preserve"> given in </w:t>
      </w:r>
      <w:r w:rsidRPr="00835C82">
        <w:t>(8)</w:t>
      </w:r>
      <w:r w:rsidRPr="00454C78">
        <w:t xml:space="preserve">, </w:t>
      </w:r>
      <w:r w:rsidRPr="00C606A0">
        <w:rPr>
          <w:i/>
          <w:iCs/>
        </w:rPr>
        <w:t>ω</w:t>
      </w:r>
      <w:r w:rsidRPr="00454C78">
        <w:rPr>
          <w:vertAlign w:val="subscript"/>
        </w:rPr>
        <w:t>rm</w:t>
      </w:r>
      <w:r w:rsidRPr="00454C78">
        <w:t xml:space="preserve"> as given in </w:t>
      </w:r>
      <w:r w:rsidRPr="00835C82">
        <w:t>(15)</w:t>
      </w:r>
      <w:r w:rsidRPr="00454C78">
        <w:t xml:space="preserve"> and </w:t>
      </w:r>
      <w:r w:rsidRPr="00C606A0">
        <w:rPr>
          <w:i/>
          <w:iCs/>
        </w:rPr>
        <w:t>ω</w:t>
      </w:r>
      <w:r w:rsidRPr="00454C78">
        <w:rPr>
          <w:vertAlign w:val="subscript"/>
        </w:rPr>
        <w:t>sh</w:t>
      </w:r>
      <w:r w:rsidRPr="00454C78">
        <w:t xml:space="preserve"> as given in Table 11.</w:t>
      </w:r>
      <w:r w:rsidR="00C606A0">
        <w:t>10</w:t>
      </w:r>
      <w:r w:rsidRPr="00454C78">
        <w:t>.</w:t>
      </w:r>
    </w:p>
    <w:p w14:paraId="30A2AF04" w14:textId="04B69B11" w:rsidR="00454C78" w:rsidRPr="00132C1E" w:rsidRDefault="00454C78" w:rsidP="00724E4E">
      <w:pPr>
        <w:pStyle w:val="Clause"/>
      </w:pPr>
      <w:r w:rsidRPr="00132C1E">
        <w:t xml:space="preserve">In the analysis of frames with dissipative pin connections both the tension and compression diagonals should be taken into account. The pin connection should be modelled as an axial spring, whose elastic stiffness should be calculated </w:t>
      </w:r>
      <w:r w:rsidRPr="00460668">
        <w:t>from Formula (E.27).</w:t>
      </w:r>
    </w:p>
    <w:p w14:paraId="7C6E4D0C" w14:textId="032228DB" w:rsidR="00460668" w:rsidRPr="00870D59" w:rsidRDefault="009B5CEC" w:rsidP="00724E4E">
      <w:pPr>
        <w:pStyle w:val="Formula"/>
        <w:spacing w:before="240"/>
        <w:jc w:val="left"/>
      </w:pPr>
      <m:oMath>
        <m:m>
          <m:mPr>
            <m:mcs>
              <m:mc>
                <m:mcPr>
                  <m:count m:val="1"/>
                  <m:mcJc m:val="center"/>
                </m:mcPr>
              </m:mc>
            </m:mcs>
            <m:ctrlPr>
              <w:rPr>
                <w:rFonts w:ascii="Cambria Math" w:hAnsi="Cambria Math"/>
              </w:rPr>
            </m:ctrlPr>
          </m:mPr>
          <m:mr>
            <m:e>
              <m:sSub>
                <m:sSubPr>
                  <m:ctrlPr>
                    <w:rPr>
                      <w:rFonts w:ascii="Cambria Math" w:eastAsiaTheme="minorHAnsi" w:hAnsiTheme="minorHAnsi" w:cstheme="minorBidi"/>
                      <w:i/>
                      <w:szCs w:val="22"/>
                      <w:lang w:val="fr-BE" w:eastAsia="en-US"/>
                    </w:rPr>
                  </m:ctrlPr>
                </m:sSubPr>
                <m:e>
                  <m:r>
                    <w:rPr>
                      <w:rFonts w:ascii="Cambria Math"/>
                    </w:rPr>
                    <m:t>K</m:t>
                  </m:r>
                </m:e>
                <m:sub>
                  <m:r>
                    <m:rPr>
                      <m:sty m:val="p"/>
                    </m:rPr>
                    <w:rPr>
                      <w:rFonts w:ascii="Cambria Math"/>
                    </w:rPr>
                    <m:t>pin</m:t>
                  </m:r>
                </m:sub>
              </m:sSub>
              <m:r>
                <w:rPr>
                  <w:rFonts w:ascii="Cambria Math"/>
                </w:rPr>
                <m:t>=</m:t>
              </m:r>
              <m:f>
                <m:fPr>
                  <m:ctrlPr>
                    <w:rPr>
                      <w:rFonts w:ascii="Cambria Math" w:hAnsi="Cambria Math"/>
                    </w:rPr>
                  </m:ctrlPr>
                </m:fPr>
                <m:num>
                  <m:r>
                    <m:rPr>
                      <m:sty m:val="p"/>
                    </m:rPr>
                    <w:rPr>
                      <w:rFonts w:ascii="Cambria Math" w:hAnsi="Cambria Math"/>
                    </w:rPr>
                    <m:t>32</m:t>
                  </m:r>
                  <m:r>
                    <w:rPr>
                      <w:rFonts w:ascii="Cambria Math" w:hAnsi="Cambria Math"/>
                    </w:rPr>
                    <m:t>EI</m:t>
                  </m:r>
                </m:num>
                <m:den>
                  <m:sSup>
                    <m:sSupPr>
                      <m:ctrlPr>
                        <w:rPr>
                          <w:rFonts w:ascii="Cambria Math" w:hAnsi="Cambria Math"/>
                        </w:rPr>
                      </m:ctrlPr>
                    </m:sSupPr>
                    <m:e>
                      <m:sSub>
                        <m:sSubPr>
                          <m:ctrlPr>
                            <w:rPr>
                              <w:rFonts w:ascii="Cambria Math" w:hAnsi="Cambria Math"/>
                            </w:rPr>
                          </m:ctrlPr>
                        </m:sSubPr>
                        <m:e>
                          <m:r>
                            <w:rPr>
                              <w:rFonts w:ascii="Cambria Math" w:hAnsi="Cambria Math"/>
                            </w:rPr>
                            <m:t>c</m:t>
                          </m:r>
                        </m:e>
                        <m:sub>
                          <m:r>
                            <m:rPr>
                              <m:sty m:val="p"/>
                            </m:rPr>
                            <w:rPr>
                              <w:rFonts w:ascii="Cambria Math" w:hAnsi="Cambria Math"/>
                            </w:rPr>
                            <m:t>pj</m:t>
                          </m:r>
                        </m:sub>
                      </m:sSub>
                    </m:e>
                    <m:sup>
                      <m:r>
                        <m:rPr>
                          <m:sty m:val="p"/>
                        </m:rPr>
                        <w:rPr>
                          <w:rFonts w:ascii="Cambria Math" w:hAnsi="Cambria Math"/>
                        </w:rPr>
                        <m:t>3</m:t>
                      </m:r>
                    </m:sup>
                  </m:sSup>
                </m:den>
              </m:f>
              <m:r>
                <w:rPr>
                  <w:rFonts w:ascii="Cambria Math" w:hAnsi="Cambria Math"/>
                </w:rPr>
                <m:t xml:space="preserve">                           </m:t>
              </m:r>
              <m:r>
                <m:rPr>
                  <m:sty m:val="p"/>
                </m:rPr>
                <w:rPr>
                  <w:rFonts w:ascii="Cambria Math" w:hAnsi="Cambria Math"/>
                </w:rPr>
                <m:t xml:space="preserve">  for single internal plate </m:t>
              </m:r>
              <m:r>
                <w:rPr>
                  <w:rFonts w:ascii="Cambria Math" w:hAnsi="Cambria Math"/>
                </w:rPr>
                <m:t xml:space="preserve">   </m:t>
              </m:r>
            </m:e>
          </m:mr>
          <m:mr>
            <m:e>
              <w:bookmarkStart w:id="11318" w:name="_Hlk107663928"/>
              <m:sSub>
                <m:sSubPr>
                  <m:ctrlPr>
                    <w:rPr>
                      <w:rFonts w:ascii="Cambria Math" w:hAnsi="Cambria Math"/>
                      <w:i/>
                      <w:szCs w:val="22"/>
                      <w:lang w:val="fr-BE" w:eastAsia="en-US"/>
                    </w:rPr>
                  </m:ctrlPr>
                </m:sSubPr>
                <m:e>
                  <m:r>
                    <w:rPr>
                      <w:rFonts w:ascii="Cambria Math" w:hAnsi="Cambria Math"/>
                      <w:szCs w:val="22"/>
                      <w:lang w:val="fr-BE" w:eastAsia="en-US"/>
                    </w:rPr>
                    <m:t>K</m:t>
                  </m:r>
                </m:e>
                <m:sub>
                  <m:r>
                    <m:rPr>
                      <m:sty m:val="p"/>
                    </m:rPr>
                    <w:rPr>
                      <w:rFonts w:ascii="Cambria Math" w:hAnsi="Cambria Math"/>
                      <w:szCs w:val="22"/>
                      <w:lang w:eastAsia="en-US"/>
                    </w:rPr>
                    <m:t>pin</m:t>
                  </m:r>
                </m:sub>
              </m:sSub>
              <m:r>
                <w:rPr>
                  <w:rFonts w:ascii="Cambria Math" w:hAnsi="Cambria Math"/>
                  <w:szCs w:val="22"/>
                  <w:lang w:eastAsia="en-US"/>
                </w:rPr>
                <m:t>=</m:t>
              </m:r>
              <m:f>
                <m:fPr>
                  <m:ctrlPr>
                    <w:rPr>
                      <w:rFonts w:ascii="Cambria Math" w:hAnsi="Cambria Math"/>
                      <w:i/>
                      <w:szCs w:val="22"/>
                      <w:lang w:val="fr-BE" w:eastAsia="en-US"/>
                    </w:rPr>
                  </m:ctrlPr>
                </m:fPr>
                <m:num>
                  <m:r>
                    <w:rPr>
                      <w:rFonts w:ascii="Cambria Math" w:hAnsi="Cambria Math"/>
                      <w:szCs w:val="22"/>
                      <w:lang w:eastAsia="en-US"/>
                    </w:rPr>
                    <m:t>8</m:t>
                  </m:r>
                  <m:r>
                    <w:rPr>
                      <w:rFonts w:ascii="Cambria Math" w:hAnsi="Cambria Math"/>
                      <w:szCs w:val="22"/>
                      <w:lang w:val="fr-BE" w:eastAsia="en-US"/>
                    </w:rPr>
                    <m:t>EI</m:t>
                  </m:r>
                </m:num>
                <m:den>
                  <m:sSub>
                    <m:sSubPr>
                      <m:ctrlPr>
                        <w:rPr>
                          <w:rFonts w:ascii="Cambria Math" w:hAnsi="Cambria Math"/>
                          <w:i/>
                          <w:szCs w:val="22"/>
                          <w:lang w:val="fr-BE" w:eastAsia="en-US"/>
                        </w:rPr>
                      </m:ctrlPr>
                    </m:sSubPr>
                    <m:e>
                      <m:r>
                        <w:rPr>
                          <w:rFonts w:ascii="Cambria Math" w:hAnsi="Cambria Math"/>
                          <w:szCs w:val="22"/>
                          <w:lang w:val="fr-BE" w:eastAsia="en-US"/>
                        </w:rPr>
                        <m:t>a</m:t>
                      </m:r>
                    </m:e>
                    <m:sub>
                      <m:r>
                        <m:rPr>
                          <m:sty m:val="p"/>
                        </m:rPr>
                        <w:rPr>
                          <w:rFonts w:ascii="Cambria Math" w:hAnsi="Cambria Math"/>
                          <w:szCs w:val="22"/>
                          <w:lang w:eastAsia="en-US"/>
                        </w:rPr>
                        <m:t>pj</m:t>
                      </m:r>
                    </m:sub>
                  </m:sSub>
                  <m:sSubSup>
                    <m:sSubSupPr>
                      <m:ctrlPr>
                        <w:rPr>
                          <w:rFonts w:ascii="Cambria Math" w:hAnsi="Cambria Math"/>
                          <w:i/>
                          <w:szCs w:val="22"/>
                          <w:lang w:val="fr-BE" w:eastAsia="en-US"/>
                        </w:rPr>
                      </m:ctrlPr>
                    </m:sSubSupPr>
                    <m:e>
                      <m:r>
                        <w:rPr>
                          <w:rFonts w:ascii="Cambria Math" w:hAnsi="Cambria Math"/>
                          <w:szCs w:val="22"/>
                          <w:lang w:val="fr-BE" w:eastAsia="en-US"/>
                        </w:rPr>
                        <m:t>c</m:t>
                      </m:r>
                    </m:e>
                    <m:sub>
                      <m:r>
                        <m:rPr>
                          <m:sty m:val="p"/>
                        </m:rPr>
                        <w:rPr>
                          <w:rFonts w:ascii="Cambria Math" w:hAnsi="Cambria Math"/>
                          <w:szCs w:val="22"/>
                          <w:lang w:eastAsia="en-US"/>
                        </w:rPr>
                        <m:t>pj</m:t>
                      </m:r>
                    </m:sub>
                    <m:sup>
                      <m:r>
                        <w:rPr>
                          <w:rFonts w:ascii="Cambria Math" w:hAnsi="Cambria Math"/>
                          <w:szCs w:val="22"/>
                          <w:lang w:eastAsia="en-US"/>
                        </w:rPr>
                        <m:t>2</m:t>
                      </m:r>
                    </m:sup>
                  </m:sSubSup>
                  <m:sSub>
                    <m:sSubPr>
                      <m:ctrlPr>
                        <w:rPr>
                          <w:rFonts w:ascii="Cambria Math" w:hAnsi="Cambria Math"/>
                          <w:i/>
                          <w:szCs w:val="22"/>
                          <w:lang w:val="fr-BE" w:eastAsia="en-US"/>
                        </w:rPr>
                      </m:ctrlPr>
                    </m:sSubPr>
                    <m:e>
                      <m:r>
                        <w:rPr>
                          <w:rFonts w:ascii="Cambria Math" w:hAnsi="Cambria Math"/>
                          <w:szCs w:val="22"/>
                          <w:lang w:val="fr-BE" w:eastAsia="en-US"/>
                        </w:rPr>
                        <m:t>ρ</m:t>
                      </m:r>
                    </m:e>
                    <m:sub>
                      <m:r>
                        <m:rPr>
                          <m:sty m:val="p"/>
                        </m:rPr>
                        <w:rPr>
                          <w:rFonts w:ascii="Cambria Math" w:hAnsi="Cambria Math"/>
                          <w:szCs w:val="22"/>
                          <w:lang w:eastAsia="en-US"/>
                        </w:rPr>
                        <m:t>pj</m:t>
                      </m:r>
                    </m:sub>
                  </m:sSub>
                  <m:r>
                    <w:rPr>
                      <w:rFonts w:ascii="Cambria Math" w:hAnsi="Cambria Math"/>
                      <w:szCs w:val="22"/>
                      <w:lang w:eastAsia="en-US"/>
                    </w:rPr>
                    <m:t>(3-4</m:t>
                  </m:r>
                  <m:sSub>
                    <m:sSubPr>
                      <m:ctrlPr>
                        <w:rPr>
                          <w:rFonts w:ascii="Cambria Math" w:hAnsi="Cambria Math"/>
                          <w:i/>
                          <w:szCs w:val="22"/>
                          <w:lang w:val="fr-BE" w:eastAsia="en-US"/>
                        </w:rPr>
                      </m:ctrlPr>
                    </m:sSubPr>
                    <m:e>
                      <m:r>
                        <w:rPr>
                          <w:rFonts w:ascii="Cambria Math" w:hAnsi="Cambria Math"/>
                          <w:szCs w:val="22"/>
                          <w:lang w:val="fr-BE" w:eastAsia="en-US"/>
                        </w:rPr>
                        <m:t>ρ</m:t>
                      </m:r>
                    </m:e>
                    <m:sub>
                      <m:r>
                        <m:rPr>
                          <m:sty m:val="p"/>
                        </m:rPr>
                        <w:rPr>
                          <w:rFonts w:ascii="Cambria Math" w:hAnsi="Cambria Math"/>
                          <w:szCs w:val="22"/>
                          <w:lang w:eastAsia="en-US"/>
                        </w:rPr>
                        <m:t>pj</m:t>
                      </m:r>
                    </m:sub>
                  </m:sSub>
                  <m:r>
                    <w:rPr>
                      <w:rFonts w:ascii="Cambria Math" w:hAnsi="Cambria Math"/>
                      <w:szCs w:val="22"/>
                      <w:lang w:eastAsia="en-US"/>
                    </w:rPr>
                    <m:t>)</m:t>
                  </m:r>
                </m:den>
              </m:f>
              <w:bookmarkEnd w:id="11318"/>
              <m:r>
                <w:rPr>
                  <w:rFonts w:ascii="Cambria Math" w:hAnsi="Cambria Math"/>
                  <w:szCs w:val="22"/>
                  <w:lang w:eastAsia="en-US"/>
                </w:rPr>
                <m:t xml:space="preserve">        </m:t>
              </m:r>
              <m:r>
                <m:rPr>
                  <m:sty m:val="p"/>
                </m:rPr>
                <w:rPr>
                  <w:rFonts w:ascii="Cambria Math" w:hAnsi="Cambria Math"/>
                  <w:szCs w:val="22"/>
                  <w:lang w:eastAsia="en-US"/>
                </w:rPr>
                <m:t>for double internal plates</m:t>
              </m:r>
            </m:e>
          </m:mr>
        </m:m>
      </m:oMath>
      <w:r w:rsidR="00460668" w:rsidRPr="00870D59">
        <w:tab/>
        <w:t>(</w:t>
      </w:r>
      <w:r w:rsidR="00460668">
        <w:t>E</w:t>
      </w:r>
      <w:r w:rsidR="00460668" w:rsidRPr="00870D59">
        <w:t>.</w:t>
      </w:r>
      <w:r w:rsidR="00460668">
        <w:t>27</w:t>
      </w:r>
      <w:r w:rsidR="00460668" w:rsidRPr="00870D59">
        <w:t>)</w:t>
      </w:r>
    </w:p>
    <w:p w14:paraId="2E8EC87C" w14:textId="678708B5" w:rsidR="00460668" w:rsidRDefault="00675EBA" w:rsidP="00460668">
      <w:pPr>
        <w:pStyle w:val="Text"/>
      </w:pPr>
      <w:r>
        <w:t>where</w:t>
      </w:r>
    </w:p>
    <w:tbl>
      <w:tblPr>
        <w:tblW w:w="0" w:type="auto"/>
        <w:tblInd w:w="346" w:type="dxa"/>
        <w:tblLook w:val="04A0" w:firstRow="1" w:lastRow="0" w:firstColumn="1" w:lastColumn="0" w:noHBand="0" w:noVBand="1"/>
      </w:tblPr>
      <w:tblGrid>
        <w:gridCol w:w="1275"/>
        <w:gridCol w:w="7938"/>
      </w:tblGrid>
      <w:tr w:rsidR="00460668" w:rsidRPr="00870D59" w14:paraId="3C2CA31A" w14:textId="77777777" w:rsidTr="00A145F0">
        <w:tc>
          <w:tcPr>
            <w:tcW w:w="1275" w:type="dxa"/>
          </w:tcPr>
          <w:p w14:paraId="36AE1217" w14:textId="536D466A" w:rsidR="00460668" w:rsidRPr="00870D59" w:rsidRDefault="00460668" w:rsidP="002061E5">
            <w:pPr>
              <w:spacing w:after="60"/>
              <w:rPr>
                <w:rFonts w:eastAsia="Times New Roman" w:cs="Cambria"/>
                <w:szCs w:val="20"/>
                <w:lang w:eastAsia="fr-FR"/>
              </w:rPr>
            </w:pPr>
            <w:r w:rsidRPr="00FD17CF">
              <w:rPr>
                <w:i/>
              </w:rPr>
              <w:t>ΕΙ</w:t>
            </w:r>
          </w:p>
        </w:tc>
        <w:tc>
          <w:tcPr>
            <w:tcW w:w="7938" w:type="dxa"/>
          </w:tcPr>
          <w:p w14:paraId="4EF8DC6A" w14:textId="4F457134" w:rsidR="00460668" w:rsidRPr="00870D59" w:rsidRDefault="00460668" w:rsidP="002061E5">
            <w:pPr>
              <w:spacing w:after="60"/>
              <w:rPr>
                <w:rFonts w:eastAsia="Times New Roman" w:cs="Cambria"/>
                <w:szCs w:val="20"/>
                <w:lang w:eastAsia="fr-FR"/>
              </w:rPr>
            </w:pPr>
            <w:r w:rsidRPr="00FD17CF">
              <w:t>is the bending stiffness of the pin;</w:t>
            </w:r>
          </w:p>
        </w:tc>
      </w:tr>
      <w:tr w:rsidR="00460668" w:rsidRPr="00870D59" w14:paraId="6D0F1F24" w14:textId="77777777" w:rsidTr="00A145F0">
        <w:tc>
          <w:tcPr>
            <w:tcW w:w="1275" w:type="dxa"/>
          </w:tcPr>
          <w:p w14:paraId="1779F90F" w14:textId="57982D2B" w:rsidR="00460668" w:rsidRPr="00870D59" w:rsidRDefault="00460668" w:rsidP="002061E5">
            <w:pPr>
              <w:spacing w:after="60"/>
              <w:rPr>
                <w:rFonts w:eastAsia="Times New Roman" w:cs="Cambria"/>
                <w:szCs w:val="20"/>
                <w:lang w:eastAsia="fr-FR"/>
              </w:rPr>
            </w:pPr>
            <w:r>
              <w:rPr>
                <w:i/>
                <w:iCs/>
              </w:rPr>
              <w:t>ρ</w:t>
            </w:r>
            <w:r w:rsidRPr="00196951">
              <w:rPr>
                <w:vertAlign w:val="subscript"/>
              </w:rPr>
              <w:t>pj</w:t>
            </w:r>
          </w:p>
        </w:tc>
        <w:tc>
          <w:tcPr>
            <w:tcW w:w="7938" w:type="dxa"/>
          </w:tcPr>
          <w:p w14:paraId="3D547B68" w14:textId="3C4DF793" w:rsidR="00460668" w:rsidRPr="00870D59" w:rsidRDefault="00460668" w:rsidP="002061E5">
            <w:pPr>
              <w:spacing w:after="60"/>
              <w:rPr>
                <w:rFonts w:eastAsia="Times New Roman" w:cs="Cambria"/>
                <w:szCs w:val="20"/>
                <w:lang w:eastAsia="fr-FR"/>
              </w:rPr>
            </w:pPr>
            <w:r w:rsidRPr="00196951">
              <w:t xml:space="preserve">is the ratio </w:t>
            </w:r>
            <w:r w:rsidRPr="002144A0">
              <w:rPr>
                <w:i/>
                <w:iCs/>
              </w:rPr>
              <w:t>a</w:t>
            </w:r>
            <w:r w:rsidRPr="002144A0">
              <w:rPr>
                <w:vertAlign w:val="subscript"/>
              </w:rPr>
              <w:t>pj</w:t>
            </w:r>
            <w:r w:rsidRPr="002144A0">
              <w:t>/</w:t>
            </w:r>
            <w:r w:rsidRPr="004F25D7">
              <w:rPr>
                <w:i/>
                <w:iCs/>
              </w:rPr>
              <w:t>c</w:t>
            </w:r>
            <w:r w:rsidRPr="00C52095">
              <w:rPr>
                <w:vertAlign w:val="subscript"/>
              </w:rPr>
              <w:t>pj</w:t>
            </w:r>
            <w:r w:rsidRPr="002144A0">
              <w:t>.</w:t>
            </w:r>
          </w:p>
        </w:tc>
      </w:tr>
    </w:tbl>
    <w:p w14:paraId="1498BA46" w14:textId="69611281" w:rsidR="00460668" w:rsidRPr="00132C1E" w:rsidRDefault="00460668" w:rsidP="00724E4E">
      <w:pPr>
        <w:pStyle w:val="Clause"/>
      </w:pPr>
      <w:r w:rsidRPr="007754C9">
        <w:t xml:space="preserve">The design resistance of the pin connection should be greater than </w:t>
      </w:r>
      <w:r w:rsidRPr="00132C1E">
        <w:rPr>
          <w:i/>
          <w:iCs/>
        </w:rPr>
        <w:t>N</w:t>
      </w:r>
      <w:r w:rsidRPr="00132C1E">
        <w:rPr>
          <w:vertAlign w:val="subscript"/>
        </w:rPr>
        <w:t>Ed</w:t>
      </w:r>
      <w:r w:rsidRPr="00132C1E">
        <w:t xml:space="preserve"> = </w:t>
      </w:r>
      <w:r w:rsidRPr="00132C1E">
        <w:rPr>
          <w:i/>
          <w:iCs/>
        </w:rPr>
        <w:t>N</w:t>
      </w:r>
      <w:r w:rsidRPr="00132C1E">
        <w:rPr>
          <w:vertAlign w:val="subscript"/>
        </w:rPr>
        <w:t>Ed,G</w:t>
      </w:r>
      <w:r w:rsidRPr="00132C1E">
        <w:t xml:space="preserve"> “+”</w:t>
      </w:r>
      <w:r w:rsidRPr="00132C1E">
        <w:rPr>
          <w:i/>
          <w:iCs/>
        </w:rPr>
        <w:t xml:space="preserve"> N</w:t>
      </w:r>
      <w:r w:rsidRPr="00132C1E">
        <w:rPr>
          <w:vertAlign w:val="subscript"/>
        </w:rPr>
        <w:t>Ed,E</w:t>
      </w:r>
      <w:r w:rsidRPr="00132C1E">
        <w:t xml:space="preserve">. </w:t>
      </w:r>
    </w:p>
    <w:p w14:paraId="422EC42E" w14:textId="2721AD45" w:rsidR="00460668" w:rsidRPr="00132C1E" w:rsidRDefault="00460668" w:rsidP="00724E4E">
      <w:pPr>
        <w:pStyle w:val="Clause"/>
      </w:pPr>
      <w:r w:rsidRPr="00132C1E">
        <w:t xml:space="preserve">The resistance of the pin connection </w:t>
      </w:r>
      <w:r w:rsidRPr="00132C1E">
        <w:rPr>
          <w:i/>
          <w:iCs/>
        </w:rPr>
        <w:t>R</w:t>
      </w:r>
      <w:r w:rsidRPr="00132C1E">
        <w:rPr>
          <w:vertAlign w:val="subscript"/>
        </w:rPr>
        <w:t>j,Rd</w:t>
      </w:r>
      <w:r w:rsidRPr="00132C1E">
        <w:t xml:space="preserve"> should be the minimum of those due to bending and shear of the pin calculated </w:t>
      </w:r>
      <w:r w:rsidRPr="00460668">
        <w:t>from Formula</w:t>
      </w:r>
      <w:r w:rsidR="00D4445A">
        <w:t>e</w:t>
      </w:r>
      <w:r w:rsidRPr="00460668">
        <w:t xml:space="preserve"> (E.28) and (E.29)</w:t>
      </w:r>
    </w:p>
    <w:p w14:paraId="0BA3EA04" w14:textId="1F989B26" w:rsidR="00460668" w:rsidRPr="00870D59" w:rsidRDefault="009B5CEC" w:rsidP="00460668">
      <w:pPr>
        <w:pStyle w:val="Formula"/>
        <w:spacing w:before="240"/>
      </w:pPr>
      <m:oMath>
        <m:sSub>
          <m:sSubPr>
            <m:ctrlPr>
              <w:rPr>
                <w:rFonts w:ascii="Cambria Math" w:hAnsi="Cambria Math"/>
              </w:rPr>
            </m:ctrlPr>
          </m:sSubPr>
          <m:e>
            <m:r>
              <w:rPr>
                <w:rFonts w:ascii="Cambria Math" w:hAnsi="Cambria Math"/>
              </w:rPr>
              <m:t>R</m:t>
            </m:r>
          </m:e>
          <m:sub>
            <m:r>
              <m:rPr>
                <m:sty m:val="p"/>
              </m:rPr>
              <w:rPr>
                <w:rFonts w:ascii="Cambria Math" w:hAnsi="Cambria Math"/>
              </w:rPr>
              <m:t>j,M,Rd</m:t>
            </m:r>
          </m:sub>
        </m:sSub>
        <m:r>
          <w:rPr>
            <w:rFonts w:ascii="Cambria Math" w:hAnsi="Cambria Math"/>
          </w:rPr>
          <m:t>=</m:t>
        </m:r>
        <m:f>
          <m:fPr>
            <m:ctrlPr>
              <w:rPr>
                <w:rFonts w:ascii="Cambria Math" w:hAnsi="Cambria Math"/>
              </w:rPr>
            </m:ctrlPr>
          </m:fPr>
          <m:num>
            <m:r>
              <w:rPr>
                <w:rFonts w:ascii="Cambria Math" w:hAnsi="Cambria Math"/>
              </w:rPr>
              <m:t>4</m:t>
            </m:r>
            <m:sSub>
              <m:sSubPr>
                <m:ctrlPr>
                  <w:rPr>
                    <w:rFonts w:ascii="Cambria Math" w:hAnsi="Cambria Math"/>
                  </w:rPr>
                </m:ctrlPr>
              </m:sSubPr>
              <m:e>
                <m:r>
                  <w:rPr>
                    <w:rFonts w:ascii="Cambria Math" w:hAnsi="Cambria Math"/>
                  </w:rPr>
                  <m:t>M</m:t>
                </m:r>
              </m:e>
              <m:sub>
                <m:r>
                  <m:rPr>
                    <m:sty m:val="p"/>
                  </m:rPr>
                  <w:rPr>
                    <w:rFonts w:ascii="Cambria Math" w:hAnsi="Cambria Math"/>
                  </w:rPr>
                  <m:t>pl,Rd</m:t>
                </m:r>
              </m:sub>
            </m:sSub>
          </m:num>
          <m:den>
            <m:sSub>
              <m:sSubPr>
                <m:ctrlPr>
                  <w:rPr>
                    <w:rFonts w:ascii="Cambria Math" w:hAnsi="Cambria Math"/>
                    <w:i/>
                  </w:rPr>
                </m:ctrlPr>
              </m:sSubPr>
              <m:e>
                <m:r>
                  <w:rPr>
                    <w:rFonts w:ascii="Cambria Math" w:hAnsi="Cambria Math"/>
                  </w:rPr>
                  <m:t>a</m:t>
                </m:r>
              </m:e>
              <m:sub>
                <m:r>
                  <m:rPr>
                    <m:sty m:val="p"/>
                  </m:rPr>
                  <w:rPr>
                    <w:rFonts w:ascii="Cambria Math" w:hAnsi="Cambria Math"/>
                  </w:rPr>
                  <m:t>pj</m:t>
                </m:r>
              </m:sub>
            </m:sSub>
          </m:den>
        </m:f>
        <m:r>
          <w:rPr>
            <w:rFonts w:ascii="Cambria Math" w:hAnsi="Cambria Math"/>
          </w:rPr>
          <m:t xml:space="preserve">     </m:t>
        </m:r>
        <m:r>
          <m:rPr>
            <m:sty m:val="p"/>
          </m:rPr>
          <w:rPr>
            <w:rFonts w:ascii="Cambria Math" w:hAnsi="Cambria Math"/>
          </w:rPr>
          <m:t>for bending</m:t>
        </m:r>
      </m:oMath>
      <w:r w:rsidR="00460668" w:rsidRPr="00870D59">
        <w:tab/>
        <w:t>(</w:t>
      </w:r>
      <w:r w:rsidR="00460668">
        <w:t>E</w:t>
      </w:r>
      <w:r w:rsidR="00460668" w:rsidRPr="00870D59">
        <w:t>.</w:t>
      </w:r>
      <w:r w:rsidR="00460668">
        <w:t>28</w:t>
      </w:r>
      <w:r w:rsidR="00460668" w:rsidRPr="00870D59">
        <w:t>)</w:t>
      </w:r>
    </w:p>
    <w:p w14:paraId="7AF85ED7" w14:textId="15DFB590" w:rsidR="00460668" w:rsidRPr="00870D59" w:rsidRDefault="009B5CEC" w:rsidP="00460668">
      <w:pPr>
        <w:pStyle w:val="Formula"/>
        <w:spacing w:before="240"/>
      </w:pPr>
      <m:oMath>
        <m:sSub>
          <m:sSubPr>
            <m:ctrlPr>
              <w:rPr>
                <w:rFonts w:ascii="Cambria Math" w:hAnsi="Cambria Math"/>
              </w:rPr>
            </m:ctrlPr>
          </m:sSubPr>
          <m:e>
            <m:r>
              <w:rPr>
                <w:rFonts w:ascii="Cambria Math" w:hAnsi="Cambria Math"/>
              </w:rPr>
              <m:t>R</m:t>
            </m:r>
          </m:e>
          <m:sub>
            <m:r>
              <m:rPr>
                <m:sty m:val="p"/>
              </m:rPr>
              <w:rPr>
                <w:rFonts w:ascii="Cambria Math" w:hAnsi="Cambria Math"/>
              </w:rPr>
              <m:t>j,V,Rd</m:t>
            </m:r>
          </m:sub>
        </m:sSub>
        <m:r>
          <w:rPr>
            <w:rFonts w:ascii="Cambria Math" w:hAnsi="Cambria Math"/>
          </w:rPr>
          <m:t>=</m:t>
        </m:r>
        <m:sSub>
          <m:sSubPr>
            <m:ctrlPr>
              <w:rPr>
                <w:rFonts w:ascii="Cambria Math" w:hAnsi="Cambria Math"/>
              </w:rPr>
            </m:ctrlPr>
          </m:sSubPr>
          <m:e>
            <m:r>
              <w:rPr>
                <w:rFonts w:ascii="Cambria Math" w:hAnsi="Cambria Math"/>
              </w:rPr>
              <m:t>V</m:t>
            </m:r>
          </m:e>
          <m:sub>
            <m:r>
              <m:rPr>
                <m:sty m:val="p"/>
              </m:rPr>
              <w:rPr>
                <w:rFonts w:ascii="Cambria Math" w:hAnsi="Cambria Math"/>
              </w:rPr>
              <m:t>pl,Rd</m:t>
            </m:r>
          </m:sub>
        </m:sSub>
        <m:r>
          <w:rPr>
            <w:rFonts w:ascii="Cambria Math" w:hAnsi="Cambria Math"/>
          </w:rPr>
          <m:t xml:space="preserve">        </m:t>
        </m:r>
        <m:r>
          <m:rPr>
            <m:sty m:val="p"/>
          </m:rPr>
          <w:rPr>
            <w:rFonts w:ascii="Cambria Math" w:hAnsi="Cambria Math"/>
          </w:rPr>
          <m:t>for shear</m:t>
        </m:r>
        <m:r>
          <w:rPr>
            <w:rFonts w:ascii="Cambria Math" w:hAnsi="Cambria Math"/>
          </w:rPr>
          <m:t xml:space="preserve"> </m:t>
        </m:r>
      </m:oMath>
      <w:r w:rsidR="00460668" w:rsidRPr="00460668">
        <w:t xml:space="preserve">with </w:t>
      </w:r>
      <w:r w:rsidR="00460668" w:rsidRPr="00460668">
        <w:rPr>
          <w:i/>
        </w:rPr>
        <w:t>V</w:t>
      </w:r>
      <w:r w:rsidR="00460668" w:rsidRPr="00460668">
        <w:rPr>
          <w:vertAlign w:val="subscript"/>
        </w:rPr>
        <w:t>pl,Rd</w:t>
      </w:r>
      <w:r w:rsidR="00460668" w:rsidRPr="00460668">
        <w:t xml:space="preserve"> = </w:t>
      </w:r>
      <w:r w:rsidR="00460668" w:rsidRPr="00460668">
        <w:rPr>
          <w:i/>
        </w:rPr>
        <w:t>b</w:t>
      </w:r>
      <w:r w:rsidR="00460668" w:rsidRPr="00460668">
        <w:rPr>
          <w:vertAlign w:val="subscript"/>
        </w:rPr>
        <w:t xml:space="preserve">pin </w:t>
      </w:r>
      <w:r w:rsidR="00460668" w:rsidRPr="00460668">
        <w:rPr>
          <w:i/>
        </w:rPr>
        <w:t>h</w:t>
      </w:r>
      <w:r w:rsidR="00460668" w:rsidRPr="00460668">
        <w:rPr>
          <w:vertAlign w:val="subscript"/>
        </w:rPr>
        <w:t xml:space="preserve">pin </w:t>
      </w:r>
      <w:r w:rsidR="00460668" w:rsidRPr="00460668">
        <w:rPr>
          <w:i/>
        </w:rPr>
        <w:t>f</w:t>
      </w:r>
      <w:r w:rsidR="00460668" w:rsidRPr="00460668">
        <w:rPr>
          <w:vertAlign w:val="subscript"/>
        </w:rPr>
        <w:t xml:space="preserve">yd </w:t>
      </w:r>
      <w:r w:rsidR="00460668" w:rsidRPr="00460668">
        <w:t>/√3</w:t>
      </w:r>
      <w:r w:rsidR="00460668" w:rsidRPr="00870D59">
        <w:tab/>
        <w:t>(</w:t>
      </w:r>
      <w:r w:rsidR="00460668">
        <w:t>E</w:t>
      </w:r>
      <w:r w:rsidR="00460668" w:rsidRPr="00870D59">
        <w:t>.</w:t>
      </w:r>
      <w:r w:rsidR="00460668">
        <w:t>29</w:t>
      </w:r>
      <w:r w:rsidR="00460668" w:rsidRPr="00870D59">
        <w:t>)</w:t>
      </w:r>
    </w:p>
    <w:p w14:paraId="255B625B" w14:textId="5AF96577" w:rsidR="00460668" w:rsidRDefault="00675EBA" w:rsidP="00460668">
      <w:pPr>
        <w:pStyle w:val="Text"/>
      </w:pPr>
      <w:r>
        <w:t>where</w:t>
      </w:r>
    </w:p>
    <w:tbl>
      <w:tblPr>
        <w:tblW w:w="0" w:type="auto"/>
        <w:tblInd w:w="346" w:type="dxa"/>
        <w:tblLook w:val="04A0" w:firstRow="1" w:lastRow="0" w:firstColumn="1" w:lastColumn="0" w:noHBand="0" w:noVBand="1"/>
      </w:tblPr>
      <w:tblGrid>
        <w:gridCol w:w="1275"/>
        <w:gridCol w:w="7938"/>
      </w:tblGrid>
      <w:tr w:rsidR="00460668" w:rsidRPr="00870D59" w14:paraId="02201FFD" w14:textId="77777777" w:rsidTr="00A145F0">
        <w:tc>
          <w:tcPr>
            <w:tcW w:w="1275" w:type="dxa"/>
          </w:tcPr>
          <w:p w14:paraId="3DD90776" w14:textId="5BED8458" w:rsidR="00460668" w:rsidRPr="00460668" w:rsidRDefault="009B5CEC" w:rsidP="002061E5">
            <w:pPr>
              <w:spacing w:after="60"/>
              <w:rPr>
                <w:rFonts w:eastAsia="Times New Roman" w:cs="Cambria"/>
                <w:szCs w:val="20"/>
                <w:lang w:eastAsia="fr-FR"/>
              </w:rPr>
            </w:pPr>
            <m:oMathPara>
              <m:oMathParaPr>
                <m:jc m:val="left"/>
              </m:oMathParaPr>
              <m:oMath>
                <m:sSub>
                  <m:sSubPr>
                    <m:ctrlPr>
                      <w:rPr>
                        <w:rFonts w:ascii="Cambria Math" w:hAnsi="Cambria Math" w:cs="Arial"/>
                        <w:bCs/>
                        <w:i/>
                      </w:rPr>
                    </m:ctrlPr>
                  </m:sSubPr>
                  <m:e>
                    <m:r>
                      <w:rPr>
                        <w:rFonts w:ascii="Cambria Math" w:hAnsi="Cambria Math" w:cs="Arial"/>
                      </w:rPr>
                      <m:t>M</m:t>
                    </m:r>
                  </m:e>
                  <m:sub>
                    <m:r>
                      <m:rPr>
                        <m:sty m:val="p"/>
                      </m:rPr>
                      <w:rPr>
                        <w:rFonts w:ascii="Cambria Math" w:hAnsi="Cambria Math" w:cs="Arial"/>
                      </w:rPr>
                      <m:t>pl,Rd</m:t>
                    </m:r>
                  </m:sub>
                </m:sSub>
              </m:oMath>
            </m:oMathPara>
          </w:p>
        </w:tc>
        <w:tc>
          <w:tcPr>
            <w:tcW w:w="7938" w:type="dxa"/>
          </w:tcPr>
          <w:p w14:paraId="4A0021DE" w14:textId="44D6B98A" w:rsidR="00460668" w:rsidRPr="00870D59" w:rsidRDefault="00460668" w:rsidP="002061E5">
            <w:pPr>
              <w:spacing w:after="60"/>
              <w:rPr>
                <w:rFonts w:eastAsia="Times New Roman" w:cs="Cambria"/>
                <w:szCs w:val="20"/>
                <w:lang w:eastAsia="fr-FR"/>
              </w:rPr>
            </w:pPr>
            <w:r w:rsidRPr="00D1484A">
              <w:t>is the plastic moment of the section of the pin;</w:t>
            </w:r>
          </w:p>
        </w:tc>
      </w:tr>
      <w:tr w:rsidR="00460668" w:rsidRPr="00870D59" w14:paraId="40315036" w14:textId="77777777" w:rsidTr="00A145F0">
        <w:tc>
          <w:tcPr>
            <w:tcW w:w="1275" w:type="dxa"/>
          </w:tcPr>
          <w:p w14:paraId="2577D453" w14:textId="6588EF2D" w:rsidR="00460668" w:rsidRPr="00460668" w:rsidRDefault="009B5CEC" w:rsidP="002061E5">
            <w:pPr>
              <w:spacing w:after="60"/>
              <w:rPr>
                <w:rFonts w:eastAsia="Times New Roman" w:cs="Cambria"/>
                <w:szCs w:val="20"/>
                <w:lang w:eastAsia="fr-FR"/>
              </w:rPr>
            </w:pPr>
            <m:oMathPara>
              <m:oMathParaPr>
                <m:jc m:val="left"/>
              </m:oMathParaPr>
              <m:oMath>
                <m:sSub>
                  <m:sSubPr>
                    <m:ctrlPr>
                      <w:rPr>
                        <w:rFonts w:ascii="Cambria Math" w:hAnsi="Cambria Math" w:cs="Arial"/>
                        <w:bCs/>
                        <w:i/>
                      </w:rPr>
                    </m:ctrlPr>
                  </m:sSubPr>
                  <m:e>
                    <m:r>
                      <w:rPr>
                        <w:rFonts w:ascii="Cambria Math" w:hAnsi="Cambria Math" w:cs="Arial"/>
                      </w:rPr>
                      <m:t>V</m:t>
                    </m:r>
                  </m:e>
                  <m:sub>
                    <m:r>
                      <m:rPr>
                        <m:sty m:val="p"/>
                      </m:rPr>
                      <w:rPr>
                        <w:rFonts w:ascii="Cambria Math" w:hAnsi="Cambria Math" w:cs="Arial"/>
                      </w:rPr>
                      <m:t>pl,Rd</m:t>
                    </m:r>
                  </m:sub>
                </m:sSub>
              </m:oMath>
            </m:oMathPara>
          </w:p>
        </w:tc>
        <w:tc>
          <w:tcPr>
            <w:tcW w:w="7938" w:type="dxa"/>
          </w:tcPr>
          <w:p w14:paraId="01193C77" w14:textId="44A01C81" w:rsidR="00460668" w:rsidRPr="00870D59" w:rsidRDefault="00460668" w:rsidP="002061E5">
            <w:pPr>
              <w:spacing w:after="60"/>
              <w:rPr>
                <w:rFonts w:eastAsia="Times New Roman" w:cs="Cambria"/>
                <w:szCs w:val="20"/>
                <w:lang w:eastAsia="fr-FR"/>
              </w:rPr>
            </w:pPr>
            <w:r w:rsidRPr="00D1484A">
              <w:t>is the plastic shear force of the section of the pin</w:t>
            </w:r>
            <w:r w:rsidR="00724E4E">
              <w:t>.</w:t>
            </w:r>
          </w:p>
        </w:tc>
      </w:tr>
    </w:tbl>
    <w:p w14:paraId="5ECADF7D" w14:textId="15807CC9" w:rsidR="00460668" w:rsidRPr="00132C1E" w:rsidRDefault="00460668" w:rsidP="00724E4E">
      <w:pPr>
        <w:pStyle w:val="Clause"/>
        <w:rPr>
          <w:rFonts w:cs="Arial"/>
        </w:rPr>
      </w:pPr>
      <w:r w:rsidRPr="00FD17CF">
        <w:t xml:space="preserve">The design overstrength of the pin connection </w:t>
      </w:r>
      <w:r w:rsidRPr="00E05E29">
        <w:rPr>
          <w:rFonts w:ascii="Symbol" w:hAnsi="Symbol"/>
          <w:i/>
          <w:iCs/>
        </w:rPr>
        <w:t></w:t>
      </w:r>
      <w:r w:rsidRPr="00196951">
        <w:rPr>
          <w:position w:val="-2"/>
          <w:vertAlign w:val="subscript"/>
        </w:rPr>
        <w:t>d,M</w:t>
      </w:r>
      <w:r w:rsidRPr="00196951">
        <w:t xml:space="preserve"> yielding in bending is the minimum value of the ratio </w:t>
      </w:r>
      <w:r w:rsidRPr="002144A0">
        <w:rPr>
          <w:i/>
        </w:rPr>
        <w:t>R</w:t>
      </w:r>
      <w:r w:rsidRPr="002144A0">
        <w:rPr>
          <w:position w:val="-2"/>
          <w:vertAlign w:val="subscript"/>
        </w:rPr>
        <w:t>j,M,Rd</w:t>
      </w:r>
      <w:r w:rsidRPr="002144A0">
        <w:t xml:space="preserve"> / </w:t>
      </w:r>
      <w:r w:rsidRPr="004F25D7">
        <w:rPr>
          <w:i/>
        </w:rPr>
        <w:t>N</w:t>
      </w:r>
      <w:r w:rsidRPr="00C52095">
        <w:rPr>
          <w:position w:val="-2"/>
          <w:vertAlign w:val="subscript"/>
        </w:rPr>
        <w:t>Ed,j</w:t>
      </w:r>
      <w:r w:rsidRPr="00C52095">
        <w:t xml:space="preserve"> where </w:t>
      </w:r>
      <w:r w:rsidRPr="00C52095">
        <w:rPr>
          <w:i/>
        </w:rPr>
        <w:t>N</w:t>
      </w:r>
      <w:r w:rsidRPr="007754C9">
        <w:rPr>
          <w:position w:val="-2"/>
          <w:vertAlign w:val="subscript"/>
        </w:rPr>
        <w:t>Ed,j</w:t>
      </w:r>
      <w:r w:rsidRPr="00132C1E">
        <w:t xml:space="preserve"> is the axial force in the connection.</w:t>
      </w:r>
    </w:p>
    <w:p w14:paraId="27EC9913" w14:textId="7D3FE5D6" w:rsidR="00460668" w:rsidRPr="00132C1E" w:rsidRDefault="00460668" w:rsidP="00724E4E">
      <w:pPr>
        <w:pStyle w:val="Clause"/>
        <w:rPr>
          <w:rFonts w:cs="Arial"/>
        </w:rPr>
      </w:pPr>
      <w:r w:rsidRPr="00132C1E">
        <w:t xml:space="preserve">The design overstrength of the pin connection </w:t>
      </w:r>
      <w:r w:rsidRPr="00132C1E">
        <w:rPr>
          <w:rFonts w:ascii="Symbol" w:hAnsi="Symbol"/>
          <w:i/>
          <w:iCs/>
        </w:rPr>
        <w:t></w:t>
      </w:r>
      <w:r w:rsidRPr="00132C1E">
        <w:rPr>
          <w:position w:val="-2"/>
          <w:vertAlign w:val="subscript"/>
        </w:rPr>
        <w:t>d,V</w:t>
      </w:r>
      <w:r w:rsidRPr="00132C1E">
        <w:t xml:space="preserve"> yielding in shear is the minimum value of the ratio </w:t>
      </w:r>
      <w:r w:rsidRPr="00132C1E">
        <w:rPr>
          <w:i/>
        </w:rPr>
        <w:t>R</w:t>
      </w:r>
      <w:r w:rsidRPr="00132C1E">
        <w:rPr>
          <w:position w:val="-2"/>
          <w:vertAlign w:val="subscript"/>
        </w:rPr>
        <w:t>j,V,Rd</w:t>
      </w:r>
      <w:r w:rsidRPr="00132C1E">
        <w:t xml:space="preserve"> / </w:t>
      </w:r>
      <w:r w:rsidRPr="00132C1E">
        <w:rPr>
          <w:i/>
        </w:rPr>
        <w:t>N</w:t>
      </w:r>
      <w:r w:rsidRPr="00132C1E">
        <w:rPr>
          <w:position w:val="-2"/>
          <w:vertAlign w:val="subscript"/>
        </w:rPr>
        <w:t>Ed,j</w:t>
      </w:r>
      <w:r w:rsidRPr="00132C1E">
        <w:t xml:space="preserve"> where </w:t>
      </w:r>
      <w:r w:rsidRPr="00132C1E">
        <w:rPr>
          <w:i/>
        </w:rPr>
        <w:t>N</w:t>
      </w:r>
      <w:r w:rsidRPr="00132C1E">
        <w:rPr>
          <w:position w:val="-2"/>
          <w:vertAlign w:val="subscript"/>
        </w:rPr>
        <w:t>Ed,j</w:t>
      </w:r>
      <w:r w:rsidRPr="00132C1E">
        <w:t xml:space="preserve"> is the axial force in the connection.</w:t>
      </w:r>
    </w:p>
    <w:p w14:paraId="3AB93F80" w14:textId="224628DF" w:rsidR="00460668" w:rsidRPr="00132C1E" w:rsidRDefault="00460668" w:rsidP="00724E4E">
      <w:pPr>
        <w:pStyle w:val="Clause"/>
      </w:pPr>
      <w:r w:rsidRPr="00132C1E">
        <w:t xml:space="preserve">In order to achieve a global behaviour of the structure, it should be checked that the maximum design overstrength ratio over the entire structure does not differ from the minimum value of </w:t>
      </w:r>
      <w:r w:rsidRPr="00132C1E">
        <w:rPr>
          <w:rFonts w:ascii="Symbol" w:hAnsi="Symbol"/>
          <w:i/>
          <w:iCs/>
        </w:rPr>
        <w:t></w:t>
      </w:r>
      <w:r w:rsidRPr="00132C1E">
        <w:rPr>
          <w:position w:val="-2"/>
          <w:vertAlign w:val="subscript"/>
        </w:rPr>
        <w:t>d,V</w:t>
      </w:r>
      <w:r w:rsidRPr="00132C1E">
        <w:t xml:space="preserve"> and </w:t>
      </w:r>
      <w:r w:rsidRPr="00132C1E">
        <w:rPr>
          <w:rFonts w:ascii="Symbol" w:hAnsi="Symbol"/>
          <w:i/>
          <w:iCs/>
        </w:rPr>
        <w:t></w:t>
      </w:r>
      <w:r w:rsidRPr="00132C1E">
        <w:rPr>
          <w:position w:val="-2"/>
          <w:vertAlign w:val="subscript"/>
        </w:rPr>
        <w:t>d,M</w:t>
      </w:r>
      <w:r w:rsidRPr="00132C1E">
        <w:t xml:space="preserve"> by more than 25</w:t>
      </w:r>
      <w:r w:rsidR="00D4445A">
        <w:t> </w:t>
      </w:r>
      <w:r w:rsidRPr="00132C1E">
        <w:t>%.</w:t>
      </w:r>
    </w:p>
    <w:p w14:paraId="6FC5E3EB" w14:textId="262E8C41" w:rsidR="00460668" w:rsidRPr="00FD17CF" w:rsidRDefault="00460668" w:rsidP="00724E4E">
      <w:pPr>
        <w:pStyle w:val="Clause"/>
      </w:pPr>
      <w:r w:rsidRPr="00132C1E">
        <w:t xml:space="preserve">The tensile and buckling resistance of diagonal members should be greater than the ultimate resistance of the pins, which should be taken equal to </w:t>
      </w:r>
      <m:oMath>
        <m:sSub>
          <m:sSubPr>
            <m:ctrlPr>
              <w:rPr>
                <w:rFonts w:ascii="Cambria Math" w:hAnsi="Cambria Math"/>
                <w:i/>
              </w:rPr>
            </m:ctrlPr>
          </m:sSubPr>
          <m:e>
            <m:sSub>
              <m:sSubPr>
                <m:ctrlPr>
                  <w:rPr>
                    <w:rFonts w:ascii="Cambria Math" w:hAnsi="Cambria Math"/>
                    <w:i/>
                  </w:rPr>
                </m:ctrlPr>
              </m:sSubPr>
              <m:e>
                <m:r>
                  <w:rPr>
                    <w:rFonts w:ascii="Cambria Math" w:hAnsi="Cambria Math"/>
                  </w:rPr>
                  <m:t>ω</m:t>
                </m:r>
              </m:e>
              <m:sub>
                <m:r>
                  <m:rPr>
                    <m:sty m:val="p"/>
                  </m:rPr>
                  <w:rPr>
                    <w:rFonts w:ascii="Cambria Math" w:hAnsi="Cambria Math"/>
                  </w:rPr>
                  <m:t>rm</m:t>
                </m:r>
              </m:sub>
            </m:sSub>
            <m:sSub>
              <m:sSubPr>
                <m:ctrlPr>
                  <w:rPr>
                    <w:rFonts w:ascii="Cambria Math" w:hAnsi="Cambria Math"/>
                    <w:i/>
                  </w:rPr>
                </m:ctrlPr>
              </m:sSubPr>
              <m:e>
                <m:r>
                  <w:rPr>
                    <w:rFonts w:ascii="Cambria Math" w:hAnsi="Cambria Math"/>
                  </w:rPr>
                  <m:t>ω</m:t>
                </m:r>
              </m:e>
              <m:sub>
                <m:r>
                  <m:rPr>
                    <m:sty m:val="p"/>
                  </m:rPr>
                  <w:rPr>
                    <w:rFonts w:ascii="Cambria Math" w:hAnsi="Cambria Math"/>
                  </w:rPr>
                  <m:t>sh</m:t>
                </m:r>
              </m:sub>
            </m:sSub>
            <m:r>
              <w:rPr>
                <w:rFonts w:ascii="Cambria Math" w:hAnsi="Cambria Math"/>
              </w:rPr>
              <m:t xml:space="preserve"> R</m:t>
            </m:r>
          </m:e>
          <m:sub>
            <m:r>
              <m:rPr>
                <m:sty m:val="p"/>
              </m:rPr>
              <w:rPr>
                <w:rFonts w:ascii="Cambria Math" w:hAnsi="Cambria Math"/>
              </w:rPr>
              <m:t>j,Rd</m:t>
            </m:r>
          </m:sub>
        </m:sSub>
      </m:oMath>
      <w:r w:rsidRPr="00132C1E">
        <w:t xml:space="preserve"> , where</w:t>
      </w:r>
      <w:r w:rsidRPr="00D1484A">
        <w:t xml:space="preserve"> </w:t>
      </w:r>
      <m:oMath>
        <m:sSub>
          <m:sSubPr>
            <m:ctrlPr>
              <w:rPr>
                <w:rFonts w:ascii="Cambria Math" w:hAnsi="Cambria Math"/>
                <w:i/>
              </w:rPr>
            </m:ctrlPr>
          </m:sSubPr>
          <m:e>
            <m:r>
              <w:rPr>
                <w:rFonts w:ascii="Cambria Math" w:hAnsi="Cambria Math"/>
              </w:rPr>
              <m:t>ω</m:t>
            </m:r>
          </m:e>
          <m:sub>
            <m:r>
              <m:rPr>
                <m:sty m:val="p"/>
              </m:rPr>
              <w:rPr>
                <w:rFonts w:ascii="Cambria Math" w:hAnsi="Cambria Math"/>
              </w:rPr>
              <m:t>rm</m:t>
            </m:r>
          </m:sub>
        </m:sSub>
      </m:oMath>
      <w:r w:rsidRPr="00132C1E">
        <w:t xml:space="preserve"> is the material overstrength factor and </w:t>
      </w:r>
      <m:oMath>
        <m:sSub>
          <m:sSubPr>
            <m:ctrlPr>
              <w:rPr>
                <w:rFonts w:ascii="Cambria Math" w:hAnsi="Cambria Math"/>
                <w:i/>
              </w:rPr>
            </m:ctrlPr>
          </m:sSubPr>
          <m:e>
            <m:r>
              <w:rPr>
                <w:rFonts w:ascii="Cambria Math" w:hAnsi="Cambria Math"/>
              </w:rPr>
              <m:t>ω</m:t>
            </m:r>
          </m:e>
          <m:sub>
            <m:r>
              <m:rPr>
                <m:sty m:val="p"/>
              </m:rPr>
              <w:rPr>
                <w:rFonts w:ascii="Cambria Math" w:hAnsi="Cambria Math"/>
              </w:rPr>
              <m:t>sh</m:t>
            </m:r>
          </m:sub>
        </m:sSub>
        <m:r>
          <w:rPr>
            <w:rFonts w:ascii="Cambria Math" w:hAnsi="Cambria Math"/>
          </w:rPr>
          <m:t xml:space="preserve"> </m:t>
        </m:r>
      </m:oMath>
      <w:r w:rsidRPr="00D1484A">
        <w:t xml:space="preserve">is given </w:t>
      </w:r>
      <w:r w:rsidRPr="005F2D37">
        <w:t>in Table 11.</w:t>
      </w:r>
      <w:r w:rsidR="00C606A0">
        <w:t>10</w:t>
      </w:r>
      <w:r w:rsidRPr="005F2D37">
        <w:t>.</w:t>
      </w:r>
    </w:p>
    <w:p w14:paraId="15C5A715" w14:textId="63E522B1" w:rsidR="00460668" w:rsidRPr="00132C1E" w:rsidRDefault="00460668" w:rsidP="00724E4E">
      <w:pPr>
        <w:pStyle w:val="Clause"/>
      </w:pPr>
      <w:r w:rsidRPr="00FD17CF">
        <w:tab/>
      </w:r>
      <w:r w:rsidRPr="00E05E29">
        <w:t>Beams and columns connected to braces with INERD</w:t>
      </w:r>
      <w:r w:rsidRPr="00196951">
        <w:t xml:space="preserve">-PIN connections should be verified considering the most unfavourable combination of </w:t>
      </w:r>
      <w:r w:rsidRPr="002144A0">
        <w:rPr>
          <w:i/>
          <w:iCs/>
        </w:rPr>
        <w:t>N</w:t>
      </w:r>
      <w:r w:rsidRPr="002144A0">
        <w:rPr>
          <w:vertAlign w:val="subscript"/>
        </w:rPr>
        <w:t>Ed</w:t>
      </w:r>
      <w:r w:rsidRPr="002144A0">
        <w:t xml:space="preserve">, </w:t>
      </w:r>
      <w:r w:rsidRPr="004F25D7">
        <w:rPr>
          <w:i/>
          <w:iCs/>
        </w:rPr>
        <w:t>M</w:t>
      </w:r>
      <w:r w:rsidRPr="00C52095">
        <w:rPr>
          <w:vertAlign w:val="subscript"/>
        </w:rPr>
        <w:t>Ed</w:t>
      </w:r>
      <w:r w:rsidRPr="00C52095">
        <w:t xml:space="preserve"> and </w:t>
      </w:r>
      <w:r w:rsidRPr="00C52095">
        <w:rPr>
          <w:i/>
          <w:iCs/>
        </w:rPr>
        <w:t>V</w:t>
      </w:r>
      <w:r w:rsidRPr="007754C9">
        <w:rPr>
          <w:vertAlign w:val="subscript"/>
        </w:rPr>
        <w:t>Ed</w:t>
      </w:r>
      <w:r w:rsidRPr="00132C1E">
        <w:t>, calculated according to Formula</w:t>
      </w:r>
      <w:r w:rsidR="00A145F0">
        <w:rPr>
          <w:color w:val="00B050"/>
        </w:rPr>
        <w:t> </w:t>
      </w:r>
      <w:r w:rsidRPr="00023CAE">
        <w:rPr>
          <w:color w:val="auto"/>
        </w:rPr>
        <w:t xml:space="preserve">(11.3) </w:t>
      </w:r>
      <w:r w:rsidRPr="00132C1E">
        <w:t xml:space="preserve">for DC3 connections and according </w:t>
      </w:r>
      <w:r w:rsidRPr="005F2D37">
        <w:t xml:space="preserve">to Formula (11.2) </w:t>
      </w:r>
      <w:r w:rsidRPr="00132C1E">
        <w:t>for DC2 connections.</w:t>
      </w:r>
    </w:p>
    <w:p w14:paraId="5AA79C15" w14:textId="6AA12CDC" w:rsidR="00460668" w:rsidRPr="007E6F67" w:rsidRDefault="00460668" w:rsidP="00724E4E">
      <w:pPr>
        <w:pStyle w:val="Clause"/>
      </w:pPr>
      <w:r w:rsidRPr="00132C1E">
        <w:t xml:space="preserve">For DC3 connections, when applying Formula (11.3), </w:t>
      </w:r>
      <w:r w:rsidRPr="00132C1E">
        <w:rPr>
          <w:rFonts w:ascii="Symbol" w:hAnsi="Symbol"/>
          <w:i/>
          <w:iCs/>
          <w:szCs w:val="18"/>
        </w:rPr>
        <w:t></w:t>
      </w:r>
      <w:r w:rsidRPr="00132C1E">
        <w:rPr>
          <w:position w:val="-2"/>
          <w:szCs w:val="18"/>
          <w:vertAlign w:val="subscript"/>
        </w:rPr>
        <w:t>d</w:t>
      </w:r>
      <w:r w:rsidRPr="00132C1E">
        <w:t xml:space="preserve"> is obtained as the minimal value of </w:t>
      </w:r>
      <w:r w:rsidRPr="00132C1E">
        <w:rPr>
          <w:rFonts w:ascii="Symbol" w:hAnsi="Symbol"/>
          <w:i/>
          <w:iCs/>
          <w:szCs w:val="18"/>
        </w:rPr>
        <w:t></w:t>
      </w:r>
      <w:r w:rsidRPr="00132C1E">
        <w:rPr>
          <w:vertAlign w:val="subscript"/>
        </w:rPr>
        <w:t>d,M</w:t>
      </w:r>
      <w:r w:rsidRPr="00132C1E">
        <w:t xml:space="preserve"> and </w:t>
      </w:r>
      <w:r w:rsidRPr="00132C1E">
        <w:rPr>
          <w:rFonts w:ascii="Symbol" w:hAnsi="Symbol"/>
          <w:i/>
          <w:iCs/>
          <w:szCs w:val="18"/>
        </w:rPr>
        <w:t></w:t>
      </w:r>
      <w:r w:rsidRPr="00132C1E">
        <w:rPr>
          <w:vertAlign w:val="subscript"/>
        </w:rPr>
        <w:t>d,V</w:t>
      </w:r>
      <w:r w:rsidRPr="00132C1E">
        <w:t xml:space="preserve"> and</w:t>
      </w:r>
      <w:r w:rsidRPr="00132C1E">
        <w:rPr>
          <w:rFonts w:cs="Arial"/>
        </w:rPr>
        <w:t xml:space="preserve"> </w:t>
      </w:r>
      <m:oMath>
        <m:sSub>
          <m:sSubPr>
            <m:ctrlPr>
              <w:rPr>
                <w:rFonts w:ascii="Cambria Math" w:hAnsi="Cambria Math"/>
                <w:i/>
              </w:rPr>
            </m:ctrlPr>
          </m:sSubPr>
          <m:e>
            <m:r>
              <w:rPr>
                <w:rFonts w:ascii="Cambria Math" w:hAnsi="Cambria Math"/>
              </w:rPr>
              <m:t>ω</m:t>
            </m:r>
          </m:e>
          <m:sub>
            <m:r>
              <m:rPr>
                <m:sty m:val="p"/>
              </m:rPr>
              <w:rPr>
                <w:rFonts w:ascii="Cambria Math" w:hAnsi="Cambria Math"/>
              </w:rPr>
              <m:t>sh</m:t>
            </m:r>
          </m:sub>
        </m:sSub>
      </m:oMath>
      <w:r w:rsidRPr="00132C1E">
        <w:t xml:space="preserve"> is obtained as </w:t>
      </w:r>
      <w:r w:rsidRPr="00D1484A">
        <w:t>given in a) or b):</w:t>
      </w:r>
    </w:p>
    <w:p w14:paraId="6B1BA818" w14:textId="4DE4F7A0" w:rsidR="00460668" w:rsidRPr="002144A0" w:rsidRDefault="009B5CEC" w:rsidP="00A145F0">
      <w:pPr>
        <w:pStyle w:val="Text"/>
        <w:numPr>
          <w:ilvl w:val="0"/>
          <w:numId w:val="719"/>
        </w:numPr>
        <w:spacing w:after="200"/>
      </w:pPr>
      <m:oMath>
        <m:sSub>
          <m:sSubPr>
            <m:ctrlPr>
              <w:rPr>
                <w:rFonts w:ascii="Cambria Math" w:hAnsi="Cambria Math"/>
                <w:i/>
              </w:rPr>
            </m:ctrlPr>
          </m:sSubPr>
          <m:e>
            <m:r>
              <w:rPr>
                <w:rFonts w:ascii="Cambria Math" w:hAnsi="Cambria Math"/>
              </w:rPr>
              <m:t>ω</m:t>
            </m:r>
          </m:e>
          <m:sub>
            <m:r>
              <m:rPr>
                <m:sty m:val="p"/>
              </m:rPr>
              <w:rPr>
                <w:rFonts w:ascii="Cambria Math" w:hAnsi="Cambria Math"/>
              </w:rPr>
              <m:t>sh</m:t>
            </m:r>
          </m:sub>
        </m:sSub>
      </m:oMath>
      <w:r w:rsidR="00460668" w:rsidRPr="00132C1E">
        <w:t xml:space="preserve"> in </w:t>
      </w:r>
      <w:r w:rsidR="00460668" w:rsidRPr="00D1484A">
        <w:t>given in</w:t>
      </w:r>
      <w:r w:rsidR="00460668" w:rsidRPr="007E6F67">
        <w:t xml:space="preserve"> </w:t>
      </w:r>
      <w:r w:rsidR="00460668" w:rsidRPr="005F2D37">
        <w:t>Table 11.</w:t>
      </w:r>
      <w:r w:rsidR="00C606A0">
        <w:t>10</w:t>
      </w:r>
      <w:r w:rsidR="00460668" w:rsidRPr="005F2D37">
        <w:t xml:space="preserve"> for </w:t>
      </w:r>
      <w:r w:rsidR="00460668" w:rsidRPr="007E6F67">
        <w:t xml:space="preserve">dissipative connections in bending when </w:t>
      </w:r>
      <w:r w:rsidR="00460668" w:rsidRPr="00FD17CF">
        <w:rPr>
          <w:rFonts w:ascii="Symbol" w:hAnsi="Symbol"/>
          <w:i/>
          <w:iCs/>
          <w:szCs w:val="18"/>
        </w:rPr>
        <w:t></w:t>
      </w:r>
      <w:r w:rsidR="00460668" w:rsidRPr="00FD17CF">
        <w:rPr>
          <w:position w:val="-2"/>
          <w:szCs w:val="18"/>
          <w:vertAlign w:val="subscript"/>
        </w:rPr>
        <w:t>d</w:t>
      </w:r>
      <w:r w:rsidR="00460668" w:rsidRPr="00FD17CF">
        <w:t xml:space="preserve"> =</w:t>
      </w:r>
      <w:r w:rsidR="00460668" w:rsidRPr="00E05E29">
        <w:t xml:space="preserve"> </w:t>
      </w:r>
      <w:r w:rsidR="00460668" w:rsidRPr="00196951">
        <w:rPr>
          <w:rFonts w:ascii="Symbol" w:hAnsi="Symbol"/>
          <w:i/>
          <w:iCs/>
          <w:szCs w:val="18"/>
        </w:rPr>
        <w:t></w:t>
      </w:r>
      <w:r w:rsidR="00460668" w:rsidRPr="00196951">
        <w:rPr>
          <w:vertAlign w:val="subscript"/>
        </w:rPr>
        <w:t>d,M</w:t>
      </w:r>
      <w:r w:rsidR="00460668" w:rsidRPr="002144A0">
        <w:t>;</w:t>
      </w:r>
    </w:p>
    <w:p w14:paraId="1F0C9216" w14:textId="70385543" w:rsidR="00460668" w:rsidRPr="002144A0" w:rsidRDefault="009B5CEC" w:rsidP="00A145F0">
      <w:pPr>
        <w:pStyle w:val="Text"/>
        <w:numPr>
          <w:ilvl w:val="0"/>
          <w:numId w:val="719"/>
        </w:numPr>
        <w:spacing w:after="200"/>
      </w:pPr>
      <m:oMath>
        <m:sSub>
          <m:sSubPr>
            <m:ctrlPr>
              <w:rPr>
                <w:rFonts w:ascii="Cambria Math" w:hAnsi="Cambria Math"/>
                <w:i/>
              </w:rPr>
            </m:ctrlPr>
          </m:sSubPr>
          <m:e>
            <m:r>
              <w:rPr>
                <w:rFonts w:ascii="Cambria Math" w:hAnsi="Cambria Math"/>
              </w:rPr>
              <m:t>ω</m:t>
            </m:r>
          </m:e>
          <m:sub>
            <m:r>
              <m:rPr>
                <m:sty m:val="p"/>
              </m:rPr>
              <w:rPr>
                <w:rFonts w:ascii="Cambria Math" w:hAnsi="Cambria Math"/>
              </w:rPr>
              <m:t>sh</m:t>
            </m:r>
          </m:sub>
        </m:sSub>
      </m:oMath>
      <w:r w:rsidR="00460668" w:rsidRPr="00132C1E">
        <w:t xml:space="preserve"> in </w:t>
      </w:r>
      <w:r w:rsidR="00460668" w:rsidRPr="00D1484A">
        <w:t xml:space="preserve">given in </w:t>
      </w:r>
      <w:r w:rsidR="00460668" w:rsidRPr="005F2D37">
        <w:t>Table 11.</w:t>
      </w:r>
      <w:r w:rsidR="00C606A0">
        <w:t>10</w:t>
      </w:r>
      <w:r w:rsidR="00460668" w:rsidRPr="005F2D37">
        <w:t xml:space="preserve"> for </w:t>
      </w:r>
      <w:r w:rsidR="00460668" w:rsidRPr="00D1484A">
        <w:t xml:space="preserve">dissipative connections in shear when </w:t>
      </w:r>
      <w:r w:rsidR="00460668" w:rsidRPr="007E6F67">
        <w:rPr>
          <w:rFonts w:ascii="Symbol" w:hAnsi="Symbol"/>
          <w:i/>
          <w:iCs/>
          <w:szCs w:val="18"/>
        </w:rPr>
        <w:t></w:t>
      </w:r>
      <w:r w:rsidR="00460668" w:rsidRPr="00FD17CF">
        <w:rPr>
          <w:position w:val="-2"/>
          <w:szCs w:val="18"/>
          <w:vertAlign w:val="subscript"/>
        </w:rPr>
        <w:t>d</w:t>
      </w:r>
      <w:r w:rsidR="00460668" w:rsidRPr="00FD17CF">
        <w:t xml:space="preserve"> = </w:t>
      </w:r>
      <w:r w:rsidR="00460668" w:rsidRPr="00E05E29">
        <w:rPr>
          <w:rFonts w:ascii="Symbol" w:hAnsi="Symbol"/>
          <w:i/>
          <w:iCs/>
          <w:szCs w:val="18"/>
        </w:rPr>
        <w:t></w:t>
      </w:r>
      <w:r w:rsidR="00460668" w:rsidRPr="00196951">
        <w:rPr>
          <w:vertAlign w:val="subscript"/>
        </w:rPr>
        <w:t>d,V</w:t>
      </w:r>
      <w:r w:rsidR="00460668" w:rsidRPr="00196951">
        <w:t>.</w:t>
      </w:r>
    </w:p>
    <w:p w14:paraId="404D2917" w14:textId="703F2BB8" w:rsidR="00460668" w:rsidRPr="00132C1E" w:rsidRDefault="00460668" w:rsidP="00724E4E">
      <w:pPr>
        <w:pStyle w:val="Clause"/>
      </w:pPr>
      <w:r w:rsidRPr="005C7237">
        <w:t>For the application o</w:t>
      </w:r>
      <w:r w:rsidRPr="005F2D37">
        <w:t xml:space="preserve">f (5), (12) and (13), </w:t>
      </w:r>
      <w:r w:rsidRPr="005F2D37">
        <w:rPr>
          <w:rFonts w:ascii="Cambria Math" w:hAnsi="Cambria Math"/>
          <w:i/>
          <w:iCs/>
        </w:rPr>
        <w:t>ω</w:t>
      </w:r>
      <w:r w:rsidRPr="005F2D37">
        <w:rPr>
          <w:position w:val="-2"/>
          <w:vertAlign w:val="subscript"/>
        </w:rPr>
        <w:t>rm</w:t>
      </w:r>
      <w:r w:rsidRPr="005F2D37">
        <w:t xml:space="preserve"> should be taken as given in pr</w:t>
      </w:r>
      <w:r w:rsidR="00C30FF9">
        <w:t>EN 1</w:t>
      </w:r>
      <w:r w:rsidRPr="005F2D37">
        <w:t>998-1-1:2022, Table</w:t>
      </w:r>
      <w:r w:rsidR="00A145F0">
        <w:t> </w:t>
      </w:r>
      <w:r w:rsidRPr="005F2D37">
        <w:t xml:space="preserve">7. When the actual yield strength </w:t>
      </w:r>
      <w:r w:rsidRPr="005F2D37">
        <w:rPr>
          <w:i/>
        </w:rPr>
        <w:t>f</w:t>
      </w:r>
      <w:r w:rsidRPr="005F2D37">
        <w:rPr>
          <w:position w:val="-2"/>
          <w:vertAlign w:val="subscript"/>
        </w:rPr>
        <w:t>y,ac,pin</w:t>
      </w:r>
      <w:r w:rsidRPr="005F2D37">
        <w:t xml:space="preserve"> of the pin is known, </w:t>
      </w:r>
      <w:r w:rsidRPr="005F2D37">
        <w:rPr>
          <w:rFonts w:ascii="Cambria Math" w:hAnsi="Cambria Math"/>
          <w:i/>
          <w:iCs/>
        </w:rPr>
        <w:t>ω</w:t>
      </w:r>
      <w:r w:rsidRPr="005F2D37">
        <w:rPr>
          <w:position w:val="-2"/>
          <w:vertAlign w:val="subscript"/>
        </w:rPr>
        <w:t>rm</w:t>
      </w:r>
      <w:r w:rsidRPr="005F2D37">
        <w:t xml:space="preserve"> may be assumed equal to 1,0, provided that </w:t>
      </w:r>
      <w:r w:rsidRPr="005F2D37">
        <w:rPr>
          <w:i/>
        </w:rPr>
        <w:t>f</w:t>
      </w:r>
      <w:r w:rsidRPr="005F2D37">
        <w:rPr>
          <w:position w:val="-2"/>
          <w:vertAlign w:val="subscript"/>
        </w:rPr>
        <w:t>y,ac,pin</w:t>
      </w:r>
      <w:r w:rsidRPr="005F2D37">
        <w:t xml:space="preserve"> is used for the application of Formula</w:t>
      </w:r>
      <w:r w:rsidR="00A145F0">
        <w:t>e</w:t>
      </w:r>
      <w:r w:rsidRPr="005F2D37">
        <w:t xml:space="preserve"> (E.28) and (E.29).</w:t>
      </w:r>
    </w:p>
    <w:p w14:paraId="6B2E1BB0" w14:textId="77777777" w:rsidR="00460668" w:rsidRPr="00132C1E" w:rsidRDefault="00460668" w:rsidP="00460668">
      <w:pPr>
        <w:pStyle w:val="a2"/>
      </w:pPr>
      <w:bookmarkStart w:id="11319" w:name="_Toc50150743"/>
      <w:bookmarkStart w:id="11320" w:name="_Toc70887176"/>
      <w:bookmarkStart w:id="11321" w:name="_Toc108342775"/>
      <w:bookmarkStart w:id="11322" w:name="_Toc134198284"/>
      <w:r w:rsidRPr="00132C1E">
        <w:t>Brace connections in eccentric bracings</w:t>
      </w:r>
      <w:bookmarkEnd w:id="11319"/>
      <w:bookmarkEnd w:id="11320"/>
      <w:bookmarkEnd w:id="11321"/>
      <w:bookmarkEnd w:id="11322"/>
    </w:p>
    <w:p w14:paraId="62E921F3" w14:textId="77777777" w:rsidR="00460668" w:rsidRPr="00132C1E" w:rsidRDefault="00460668" w:rsidP="00460668">
      <w:pPr>
        <w:pStyle w:val="a3"/>
      </w:pPr>
      <w:bookmarkStart w:id="11323" w:name="_Toc50150744"/>
      <w:bookmarkStart w:id="11324" w:name="_Toc70887177"/>
      <w:bookmarkStart w:id="11325" w:name="_Toc108342776"/>
      <w:bookmarkStart w:id="11326" w:name="_Toc120543863"/>
      <w:bookmarkStart w:id="11327" w:name="_Toc134198285"/>
      <w:r w:rsidRPr="00132C1E">
        <w:t>General</w:t>
      </w:r>
      <w:bookmarkEnd w:id="11323"/>
      <w:bookmarkEnd w:id="11324"/>
      <w:bookmarkEnd w:id="11325"/>
      <w:bookmarkEnd w:id="11326"/>
      <w:bookmarkEnd w:id="11327"/>
    </w:p>
    <w:p w14:paraId="24C86097" w14:textId="7A53980C" w:rsidR="00460668" w:rsidRPr="00132C1E" w:rsidRDefault="00460668" w:rsidP="0080187E">
      <w:pPr>
        <w:pStyle w:val="Clause"/>
        <w:numPr>
          <w:ilvl w:val="0"/>
          <w:numId w:val="586"/>
        </w:numPr>
      </w:pPr>
      <w:r w:rsidRPr="00132C1E">
        <w:t>Brace connections should be designed to resist the design action effects in the braces</w:t>
      </w:r>
      <w:r w:rsidRPr="00023CAE">
        <w:rPr>
          <w:rFonts w:cs="Arial"/>
        </w:rPr>
        <w:t xml:space="preserve"> in accordance with </w:t>
      </w:r>
      <w:r w:rsidRPr="00835C82">
        <w:rPr>
          <w:rFonts w:cs="Arial"/>
        </w:rPr>
        <w:t>11.11.3(3)</w:t>
      </w:r>
      <w:r w:rsidRPr="00023CAE">
        <w:rPr>
          <w:rFonts w:cs="Arial"/>
        </w:rPr>
        <w:t>.</w:t>
      </w:r>
    </w:p>
    <w:p w14:paraId="362E3741" w14:textId="73FCF25A" w:rsidR="00460668" w:rsidRPr="00132C1E" w:rsidRDefault="00460668" w:rsidP="00724E4E">
      <w:pPr>
        <w:pStyle w:val="Clause"/>
      </w:pPr>
      <w:r w:rsidRPr="00132C1E">
        <w:t xml:space="preserve">The brace connections may be designed as fully rigid or pinned. In fully rigid connections, the braces should be welded with full penetration groove welds to the beam containing the link (see </w:t>
      </w:r>
      <w:r w:rsidRPr="005F2D37">
        <w:t xml:space="preserve">Figure E.28) in accordance with </w:t>
      </w:r>
      <w:r w:rsidRPr="00835C82">
        <w:t>E.3.3.3(6)</w:t>
      </w:r>
      <w:r w:rsidRPr="005F2D37">
        <w:t xml:space="preserve"> and Figure E.8. Pinned connections should comply with </w:t>
      </w:r>
      <w:r w:rsidRPr="00835C82">
        <w:t>E.7.2</w:t>
      </w:r>
      <w:r w:rsidRPr="00132C1E">
        <w:t>.</w:t>
      </w:r>
    </w:p>
    <w:p w14:paraId="260A8D82" w14:textId="77777777" w:rsidR="00460668" w:rsidRPr="00132C1E" w:rsidRDefault="00460668" w:rsidP="00460668">
      <w:pPr>
        <w:pStyle w:val="a3"/>
      </w:pPr>
      <w:bookmarkStart w:id="11328" w:name="_Toc50150745"/>
      <w:bookmarkStart w:id="11329" w:name="_Toc70887178"/>
      <w:bookmarkStart w:id="11330" w:name="_Toc108342777"/>
      <w:bookmarkStart w:id="11331" w:name="_Toc120543864"/>
      <w:bookmarkStart w:id="11332" w:name="_Toc134198286"/>
      <w:r w:rsidRPr="00132C1E">
        <w:t>Gusset plate connections</w:t>
      </w:r>
      <w:bookmarkEnd w:id="11328"/>
      <w:bookmarkEnd w:id="11329"/>
      <w:bookmarkEnd w:id="11330"/>
      <w:bookmarkEnd w:id="11331"/>
      <w:bookmarkEnd w:id="11332"/>
    </w:p>
    <w:p w14:paraId="7DE38658" w14:textId="0A280363" w:rsidR="00460668" w:rsidRPr="00132C1E" w:rsidRDefault="00460668" w:rsidP="0080187E">
      <w:pPr>
        <w:pStyle w:val="Clause"/>
        <w:numPr>
          <w:ilvl w:val="0"/>
          <w:numId w:val="587"/>
        </w:numPr>
      </w:pPr>
      <w:r w:rsidRPr="00132C1E">
        <w:t>Gusset plate connections may be either welded (</w:t>
      </w:r>
      <w:r w:rsidRPr="005F2D37">
        <w:t xml:space="preserve">see Figure E.29 a) or bolted (see Figure E.29 b). </w:t>
      </w:r>
      <w:r w:rsidRPr="00132C1E">
        <w:t>Both types of connections should be designed to restrain buckling of the braces. To this end, the clearance between the beam and the brace should be the minimum compatible with the geometry of the assembly.</w:t>
      </w:r>
    </w:p>
    <w:p w14:paraId="1CA5E12C" w14:textId="45035E6D" w:rsidR="00460668" w:rsidRPr="00132C1E" w:rsidRDefault="00460668" w:rsidP="00724E4E">
      <w:pPr>
        <w:pStyle w:val="Clause"/>
      </w:pPr>
      <w:r w:rsidRPr="00132C1E">
        <w:t>The joint should be compact, with small free portions of the gussets.</w:t>
      </w:r>
    </w:p>
    <w:p w14:paraId="22BC0A8F" w14:textId="2D4A470D" w:rsidR="00460668" w:rsidRPr="00132C1E" w:rsidRDefault="00460668" w:rsidP="00724E4E">
      <w:pPr>
        <w:pStyle w:val="Clause"/>
      </w:pPr>
      <w:r w:rsidRPr="00132C1E">
        <w:t xml:space="preserve">The free edges of the gusset plates should be stiffened as shown </w:t>
      </w:r>
      <w:r w:rsidRPr="005F2D37">
        <w:t xml:space="preserve">in Figure E.29. The </w:t>
      </w:r>
      <w:r w:rsidRPr="00132C1E">
        <w:t>thickness and the width of the stiffeners of the gusset plates should not be smaller than those of the connected beam flange.</w:t>
      </w:r>
    </w:p>
    <w:p w14:paraId="22EDE4EC" w14:textId="15949431" w:rsidR="00460668" w:rsidRPr="00132C1E" w:rsidRDefault="00460668" w:rsidP="00724E4E">
      <w:pPr>
        <w:pStyle w:val="Clause"/>
      </w:pPr>
      <w:r w:rsidRPr="00132C1E">
        <w:t>The stiffener-to-gusset welds may be either full penetration groove welds or fillet welds with throat depth not smaller than 0,8 times the thickness of the gusset plate.</w:t>
      </w:r>
    </w:p>
    <w:p w14:paraId="1B73E477" w14:textId="679BB56D" w:rsidR="00460668" w:rsidRPr="00132C1E" w:rsidRDefault="007A2C60" w:rsidP="007A2C60">
      <w:pPr>
        <w:pStyle w:val="FigureImage"/>
      </w:pPr>
      <w:r>
        <w:rPr>
          <w:noProof/>
        </w:rPr>
        <w:drawing>
          <wp:inline distT="0" distB="0" distL="0" distR="0" wp14:anchorId="5B8C09C3" wp14:editId="3AD25253">
            <wp:extent cx="3959358" cy="1996443"/>
            <wp:effectExtent l="0" t="0" r="3175" b="3810"/>
            <wp:docPr id="2081949478" name="e028.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1949478" name="e028.tiff"/>
                    <pic:cNvPicPr/>
                  </pic:nvPicPr>
                  <pic:blipFill>
                    <a:blip r:link="rId114"/>
                    <a:stretch>
                      <a:fillRect/>
                    </a:stretch>
                  </pic:blipFill>
                  <pic:spPr>
                    <a:xfrm>
                      <a:off x="0" y="0"/>
                      <a:ext cx="3959358" cy="1996443"/>
                    </a:xfrm>
                    <a:prstGeom prst="rect">
                      <a:avLst/>
                    </a:prstGeom>
                  </pic:spPr>
                </pic:pic>
              </a:graphicData>
            </a:graphic>
          </wp:inline>
        </w:drawing>
      </w:r>
    </w:p>
    <w:p w14:paraId="6582E2AD" w14:textId="77777777" w:rsidR="007A2C60" w:rsidRPr="00D1484A" w:rsidRDefault="007A2C60" w:rsidP="007A2C60">
      <w:pPr>
        <w:pStyle w:val="KeyTitle"/>
      </w:pPr>
      <w:r w:rsidRPr="00D1484A">
        <w:t>Key</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7"/>
        <w:gridCol w:w="5243"/>
      </w:tblGrid>
      <w:tr w:rsidR="007A2C60" w:rsidRPr="00B5422C" w14:paraId="4F88612E" w14:textId="77777777" w:rsidTr="00A145F0">
        <w:tc>
          <w:tcPr>
            <w:tcW w:w="427" w:type="dxa"/>
          </w:tcPr>
          <w:p w14:paraId="693EF3CB" w14:textId="77777777" w:rsidR="007A2C60" w:rsidRPr="00D4445A" w:rsidRDefault="007A2C60" w:rsidP="00A145F0">
            <w:pPr>
              <w:pStyle w:val="KeyText"/>
              <w:spacing w:before="0"/>
              <w:rPr>
                <w:iCs/>
              </w:rPr>
            </w:pPr>
            <w:r w:rsidRPr="00D4445A">
              <w:rPr>
                <w:iCs/>
              </w:rPr>
              <w:t>A</w:t>
            </w:r>
          </w:p>
        </w:tc>
        <w:tc>
          <w:tcPr>
            <w:tcW w:w="5243" w:type="dxa"/>
          </w:tcPr>
          <w:p w14:paraId="2F1B90A2" w14:textId="3CF07289" w:rsidR="007A2C60" w:rsidRPr="00D4445A" w:rsidRDefault="007A2C60" w:rsidP="00A145F0">
            <w:pPr>
              <w:pStyle w:val="KeyText"/>
              <w:spacing w:before="0"/>
            </w:pPr>
            <w:r w:rsidRPr="00D4445A">
              <w:t>full penetration groove welds in accordance with E.3.3.3(6)</w:t>
            </w:r>
          </w:p>
        </w:tc>
      </w:tr>
    </w:tbl>
    <w:p w14:paraId="48105B95" w14:textId="313ABA5B" w:rsidR="00460668" w:rsidRPr="00FD17CF" w:rsidRDefault="00460668" w:rsidP="00A145F0">
      <w:pPr>
        <w:pStyle w:val="Figuretitle"/>
        <w:spacing w:before="120"/>
      </w:pPr>
      <w:r w:rsidRPr="00D1484A">
        <w:t>Figure E.</w:t>
      </w:r>
      <w:r w:rsidRPr="00DA0CBE">
        <w:t>28</w:t>
      </w:r>
      <w:r w:rsidRPr="00D1484A">
        <w:t> — Welded brace connections of EBF</w:t>
      </w:r>
    </w:p>
    <w:p w14:paraId="3D09C3A1" w14:textId="378041F0" w:rsidR="00460668" w:rsidRPr="00132C1E" w:rsidRDefault="006E23FA" w:rsidP="00A145F0">
      <w:pPr>
        <w:pStyle w:val="FigureImage"/>
        <w:spacing w:before="160"/>
      </w:pPr>
      <w:r>
        <w:rPr>
          <w:noProof/>
        </w:rPr>
        <w:drawing>
          <wp:inline distT="0" distB="0" distL="0" distR="0" wp14:anchorId="4E6E579F" wp14:editId="4DEE2D42">
            <wp:extent cx="3959358" cy="4450087"/>
            <wp:effectExtent l="0" t="0" r="3175" b="7620"/>
            <wp:docPr id="2081949479" name="e029.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1949479" name="e029.tiff"/>
                    <pic:cNvPicPr/>
                  </pic:nvPicPr>
                  <pic:blipFill>
                    <a:blip r:link="rId115"/>
                    <a:stretch>
                      <a:fillRect/>
                    </a:stretch>
                  </pic:blipFill>
                  <pic:spPr>
                    <a:xfrm>
                      <a:off x="0" y="0"/>
                      <a:ext cx="3959358" cy="4450087"/>
                    </a:xfrm>
                    <a:prstGeom prst="rect">
                      <a:avLst/>
                    </a:prstGeom>
                  </pic:spPr>
                </pic:pic>
              </a:graphicData>
            </a:graphic>
          </wp:inline>
        </w:drawing>
      </w:r>
    </w:p>
    <w:p w14:paraId="240EFF17" w14:textId="77777777" w:rsidR="006E23FA" w:rsidRPr="00D1484A" w:rsidRDefault="006E23FA" w:rsidP="006E23FA">
      <w:pPr>
        <w:pStyle w:val="KeyTitle"/>
      </w:pPr>
      <w:r w:rsidRPr="00D1484A">
        <w:t>Key</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7"/>
        <w:gridCol w:w="5243"/>
      </w:tblGrid>
      <w:tr w:rsidR="006E23FA" w:rsidRPr="00B5422C" w14:paraId="2589E119" w14:textId="77777777" w:rsidTr="00A145F0">
        <w:tc>
          <w:tcPr>
            <w:tcW w:w="427" w:type="dxa"/>
          </w:tcPr>
          <w:p w14:paraId="6E5CE441" w14:textId="0B44C660" w:rsidR="006E23FA" w:rsidRPr="00D4445A" w:rsidRDefault="006E23FA" w:rsidP="00A145F0">
            <w:pPr>
              <w:pStyle w:val="KeyText"/>
              <w:spacing w:before="0"/>
              <w:rPr>
                <w:iCs/>
              </w:rPr>
            </w:pPr>
            <w:r w:rsidRPr="00D4445A">
              <w:rPr>
                <w:iCs/>
              </w:rPr>
              <w:t>B</w:t>
            </w:r>
          </w:p>
        </w:tc>
        <w:tc>
          <w:tcPr>
            <w:tcW w:w="5243" w:type="dxa"/>
          </w:tcPr>
          <w:p w14:paraId="7CAD75B7" w14:textId="079B0E37" w:rsidR="006E23FA" w:rsidRPr="00D4445A" w:rsidRDefault="006E23FA" w:rsidP="00A145F0">
            <w:pPr>
              <w:pStyle w:val="KeyText"/>
              <w:spacing w:before="0"/>
            </w:pPr>
            <w:r w:rsidRPr="00D4445A">
              <w:t>stiffeners of the free edge of the gusset</w:t>
            </w:r>
          </w:p>
        </w:tc>
      </w:tr>
      <w:tr w:rsidR="006E23FA" w:rsidRPr="00B5422C" w14:paraId="6810731A" w14:textId="77777777" w:rsidTr="00A145F0">
        <w:tc>
          <w:tcPr>
            <w:tcW w:w="427" w:type="dxa"/>
          </w:tcPr>
          <w:p w14:paraId="32FE5FD8" w14:textId="51E4480F" w:rsidR="006E23FA" w:rsidRPr="00D4445A" w:rsidRDefault="006E23FA" w:rsidP="00A145F0">
            <w:pPr>
              <w:pStyle w:val="KeyText"/>
              <w:spacing w:before="0"/>
              <w:rPr>
                <w:iCs/>
              </w:rPr>
            </w:pPr>
            <w:r w:rsidRPr="00D4445A">
              <w:rPr>
                <w:iCs/>
              </w:rPr>
              <w:t>C</w:t>
            </w:r>
          </w:p>
        </w:tc>
        <w:tc>
          <w:tcPr>
            <w:tcW w:w="5243" w:type="dxa"/>
          </w:tcPr>
          <w:p w14:paraId="63AFBDC7" w14:textId="6AA7EABC" w:rsidR="006E23FA" w:rsidRPr="00D4445A" w:rsidRDefault="006E23FA" w:rsidP="00A145F0">
            <w:pPr>
              <w:pStyle w:val="KeyText"/>
              <w:spacing w:before="0"/>
            </w:pPr>
            <w:r w:rsidRPr="00D4445A">
              <w:t>end-plate connection in bolted gusset plates</w:t>
            </w:r>
          </w:p>
        </w:tc>
      </w:tr>
    </w:tbl>
    <w:p w14:paraId="3AA2C018" w14:textId="2C78F995" w:rsidR="00460668" w:rsidRPr="00FD17CF" w:rsidRDefault="00460668" w:rsidP="00A145F0">
      <w:pPr>
        <w:pStyle w:val="Figuretitle"/>
        <w:spacing w:before="120"/>
      </w:pPr>
      <w:r w:rsidRPr="00D1484A">
        <w:t>Figure E</w:t>
      </w:r>
      <w:r w:rsidRPr="00DA0CBE">
        <w:t>.29 </w:t>
      </w:r>
      <w:r w:rsidRPr="00D1484A">
        <w:t>— Gusset plate connections of diagonal braces of EBF</w:t>
      </w:r>
    </w:p>
    <w:p w14:paraId="10B032F0" w14:textId="77777777" w:rsidR="00460668" w:rsidRPr="002144A0" w:rsidRDefault="00460668" w:rsidP="0080187E">
      <w:pPr>
        <w:pStyle w:val="Heading1"/>
        <w:numPr>
          <w:ilvl w:val="0"/>
          <w:numId w:val="227"/>
        </w:numPr>
        <w:tabs>
          <w:tab w:val="clear" w:pos="432"/>
          <w:tab w:val="num" w:pos="709"/>
        </w:tabs>
        <w:ind w:left="0" w:firstLine="0"/>
        <w:rPr>
          <w:sz w:val="24"/>
          <w:szCs w:val="24"/>
        </w:rPr>
      </w:pPr>
      <w:r w:rsidRPr="00E05E29">
        <w:rPr>
          <w:sz w:val="24"/>
          <w:szCs w:val="24"/>
        </w:rPr>
        <w:t xml:space="preserve"> </w:t>
      </w:r>
      <w:bookmarkStart w:id="11333" w:name="_Toc50150746"/>
      <w:bookmarkStart w:id="11334" w:name="_Toc70887179"/>
      <w:bookmarkStart w:id="11335" w:name="_Toc108342778"/>
      <w:bookmarkStart w:id="11336" w:name="_Toc134198287"/>
      <w:r w:rsidRPr="00196951">
        <w:rPr>
          <w:sz w:val="24"/>
          <w:szCs w:val="24"/>
        </w:rPr>
        <w:t>Gusset plate connections in buckling restrained bracings</w:t>
      </w:r>
      <w:bookmarkEnd w:id="11333"/>
      <w:bookmarkEnd w:id="11334"/>
      <w:bookmarkEnd w:id="11335"/>
      <w:bookmarkEnd w:id="11336"/>
    </w:p>
    <w:p w14:paraId="529EC8F9" w14:textId="0005E6CF" w:rsidR="00460668" w:rsidRPr="007754C9" w:rsidRDefault="00460668" w:rsidP="0080187E">
      <w:pPr>
        <w:pStyle w:val="Clause"/>
        <w:numPr>
          <w:ilvl w:val="0"/>
          <w:numId w:val="588"/>
        </w:numPr>
      </w:pPr>
      <w:r w:rsidRPr="002144A0">
        <w:t xml:space="preserve">Gusset plate connections should be designed to resist the ultimate resistance of the buckling restrained </w:t>
      </w:r>
      <w:r w:rsidRPr="004F25D7">
        <w:t>braces</w:t>
      </w:r>
      <w:r w:rsidRPr="00023CAE">
        <w:rPr>
          <w:rFonts w:cs="Arial"/>
        </w:rPr>
        <w:t xml:space="preserve"> in accordance with </w:t>
      </w:r>
      <w:r w:rsidRPr="00835C82">
        <w:rPr>
          <w:rFonts w:cs="Arial"/>
        </w:rPr>
        <w:t>11.12.7</w:t>
      </w:r>
      <w:r w:rsidRPr="00023CAE">
        <w:rPr>
          <w:rFonts w:cs="Arial"/>
        </w:rPr>
        <w:t>.</w:t>
      </w:r>
    </w:p>
    <w:p w14:paraId="3090E39B" w14:textId="56D4E7D1" w:rsidR="00460668" w:rsidRPr="00132C1E" w:rsidRDefault="00460668" w:rsidP="00724E4E">
      <w:pPr>
        <w:pStyle w:val="Clause"/>
      </w:pPr>
      <w:r w:rsidRPr="00132C1E">
        <w:t xml:space="preserve">Gusset plate connections may be either welded or </w:t>
      </w:r>
      <w:r w:rsidRPr="005F2D37">
        <w:t xml:space="preserve">bolted (see </w:t>
      </w:r>
      <w:r w:rsidRPr="00835C82">
        <w:t>E.7.2</w:t>
      </w:r>
      <w:r w:rsidRPr="005F2D37">
        <w:t>). The f</w:t>
      </w:r>
      <w:r w:rsidRPr="00132C1E">
        <w:t>ree clearance between the gusset and the brace should be the minimum compatible with the geometry of the assembly.</w:t>
      </w:r>
    </w:p>
    <w:p w14:paraId="41788168" w14:textId="40CE2AC5" w:rsidR="00460668" w:rsidRPr="00132C1E" w:rsidRDefault="00460668" w:rsidP="00724E4E">
      <w:pPr>
        <w:pStyle w:val="Clause"/>
      </w:pPr>
      <w:r w:rsidRPr="00132C1E">
        <w:t>The brace end connections may be designed as fixed or pinned. In both, the effectiveness of the details should be assessed by experimental tests on the assembly.</w:t>
      </w:r>
    </w:p>
    <w:p w14:paraId="4709534A" w14:textId="39502374" w:rsidR="00460668" w:rsidRPr="00132C1E" w:rsidRDefault="00460668" w:rsidP="005F2D37">
      <w:pPr>
        <w:pStyle w:val="Notetext"/>
      </w:pPr>
      <w:r w:rsidRPr="00132C1E">
        <w:t>NOTE</w:t>
      </w:r>
      <w:r w:rsidRPr="00132C1E">
        <w:tab/>
      </w:r>
      <w:r w:rsidR="0026060E">
        <w:t xml:space="preserve">prCEN/TS 1998-1-101 </w:t>
      </w:r>
      <w:r w:rsidRPr="00132C1E">
        <w:t>gives a loading protocol and acceptance criteria for such tests.</w:t>
      </w:r>
    </w:p>
    <w:p w14:paraId="4E8351A8" w14:textId="333ADF61" w:rsidR="00D20C81" w:rsidRDefault="00D20C81" w:rsidP="00D20C81">
      <w:pPr>
        <w:pStyle w:val="Notetext"/>
        <w:rPr>
          <w:sz w:val="24"/>
          <w:szCs w:val="24"/>
        </w:rPr>
      </w:pPr>
    </w:p>
    <w:p w14:paraId="4493768B" w14:textId="319EEEAA" w:rsidR="00FC770F" w:rsidRPr="00D1484A" w:rsidRDefault="00D46D60" w:rsidP="00FC770F">
      <w:pPr>
        <w:pStyle w:val="ANNEX"/>
        <w:tabs>
          <w:tab w:val="clear" w:pos="360"/>
        </w:tabs>
        <w:spacing w:before="0"/>
        <w:rPr>
          <w:lang w:eastAsia="en-US"/>
        </w:rPr>
      </w:pPr>
      <w:bookmarkStart w:id="11337" w:name="_Toc50150747"/>
      <w:bookmarkStart w:id="11338" w:name="_Toc70887180"/>
      <w:bookmarkStart w:id="11339" w:name="_Toc108342779"/>
      <w:r>
        <w:br/>
      </w:r>
      <w:bookmarkStart w:id="11340" w:name="_Toc134198288"/>
      <w:r w:rsidR="00FC770F" w:rsidRPr="00D46D60">
        <w:rPr>
          <w:b w:val="0"/>
          <w:bCs/>
        </w:rPr>
        <w:t>(normative)</w:t>
      </w:r>
      <w:r w:rsidR="00FC770F" w:rsidRPr="00FB6A3C">
        <w:rPr>
          <w:lang w:eastAsia="en-US"/>
        </w:rPr>
        <w:fldChar w:fldCharType="begin"/>
      </w:r>
      <w:r w:rsidR="00FC770F" w:rsidRPr="00132C1E">
        <w:rPr>
          <w:lang w:eastAsia="en-US"/>
        </w:rPr>
        <w:instrText xml:space="preserve">SEQ aaa \h </w:instrText>
      </w:r>
      <w:r w:rsidR="00FC770F" w:rsidRPr="00FB6A3C">
        <w:rPr>
          <w:lang w:eastAsia="en-US"/>
        </w:rPr>
        <w:fldChar w:fldCharType="end"/>
      </w:r>
      <w:r w:rsidR="00FC770F" w:rsidRPr="00FB6A3C">
        <w:rPr>
          <w:lang w:eastAsia="en-US"/>
        </w:rPr>
        <w:fldChar w:fldCharType="begin"/>
      </w:r>
      <w:r w:rsidR="00FC770F" w:rsidRPr="00132C1E">
        <w:rPr>
          <w:lang w:eastAsia="en-US"/>
        </w:rPr>
        <w:instrText xml:space="preserve">SEQ table \r0\h </w:instrText>
      </w:r>
      <w:r w:rsidR="00FC770F" w:rsidRPr="00FB6A3C">
        <w:rPr>
          <w:lang w:eastAsia="en-US"/>
        </w:rPr>
        <w:fldChar w:fldCharType="end"/>
      </w:r>
      <w:r w:rsidR="00FC770F" w:rsidRPr="00FB6A3C">
        <w:rPr>
          <w:lang w:eastAsia="en-US"/>
        </w:rPr>
        <w:fldChar w:fldCharType="begin"/>
      </w:r>
      <w:r w:rsidR="00FC770F" w:rsidRPr="00132C1E">
        <w:rPr>
          <w:lang w:eastAsia="en-US"/>
        </w:rPr>
        <w:instrText xml:space="preserve">SEQ figure \r0\h </w:instrText>
      </w:r>
      <w:r w:rsidR="00FC770F" w:rsidRPr="00FB6A3C">
        <w:rPr>
          <w:lang w:eastAsia="en-US"/>
        </w:rPr>
        <w:fldChar w:fldCharType="end"/>
      </w:r>
      <w:r w:rsidR="00FC770F" w:rsidRPr="00FB6A3C">
        <w:rPr>
          <w:lang w:eastAsia="en-US"/>
        </w:rPr>
        <w:fldChar w:fldCharType="begin"/>
      </w:r>
      <w:r w:rsidR="00FC770F" w:rsidRPr="00132C1E">
        <w:rPr>
          <w:lang w:eastAsia="en-US"/>
        </w:rPr>
        <w:instrText xml:space="preserve"> SEQ Equation_annex \r0\h </w:instrText>
      </w:r>
      <w:r w:rsidR="00FC770F" w:rsidRPr="00FB6A3C">
        <w:rPr>
          <w:lang w:eastAsia="en-US"/>
        </w:rPr>
        <w:fldChar w:fldCharType="end"/>
      </w:r>
      <w:r w:rsidR="00FC770F" w:rsidRPr="00132C1E">
        <w:br/>
      </w:r>
      <w:r w:rsidR="00FC770F" w:rsidRPr="00132C1E">
        <w:br/>
      </w:r>
      <w:r w:rsidRPr="00D1484A">
        <w:t>Steel light weight structures</w:t>
      </w:r>
      <w:bookmarkEnd w:id="11337"/>
      <w:bookmarkEnd w:id="11338"/>
      <w:bookmarkEnd w:id="11339"/>
      <w:bookmarkEnd w:id="11340"/>
    </w:p>
    <w:p w14:paraId="6837825E" w14:textId="43DEC5DD" w:rsidR="00FC770F" w:rsidRPr="00FD17CF" w:rsidRDefault="00FC770F" w:rsidP="00FC770F">
      <w:pPr>
        <w:pStyle w:val="a2"/>
      </w:pPr>
      <w:bookmarkStart w:id="11341" w:name="_Toc50150748"/>
      <w:bookmarkStart w:id="11342" w:name="_Toc70887181"/>
      <w:bookmarkStart w:id="11343" w:name="_Toc108342780"/>
      <w:bookmarkStart w:id="11344" w:name="_Toc134198289"/>
      <w:r w:rsidRPr="007E6F67">
        <w:t xml:space="preserve">Use of this </w:t>
      </w:r>
      <w:r w:rsidR="00352B40">
        <w:t>normative a</w:t>
      </w:r>
      <w:r w:rsidRPr="007E6F67">
        <w:t>nnex</w:t>
      </w:r>
      <w:bookmarkEnd w:id="11341"/>
      <w:bookmarkEnd w:id="11342"/>
      <w:bookmarkEnd w:id="11343"/>
      <w:bookmarkEnd w:id="11344"/>
    </w:p>
    <w:p w14:paraId="3491421E" w14:textId="41A6C666" w:rsidR="00FC770F" w:rsidRPr="00C52095" w:rsidRDefault="00FC770F" w:rsidP="0080187E">
      <w:pPr>
        <w:pStyle w:val="Clause"/>
        <w:numPr>
          <w:ilvl w:val="0"/>
          <w:numId w:val="589"/>
        </w:numPr>
      </w:pPr>
      <w:r w:rsidRPr="00E05E29">
        <w:t xml:space="preserve">This Normative Annex contains provisions </w:t>
      </w:r>
      <w:r w:rsidRPr="00196951">
        <w:t xml:space="preserve">additional to </w:t>
      </w:r>
      <w:r w:rsidRPr="00835C82">
        <w:t xml:space="preserve">11.14.3 </w:t>
      </w:r>
      <w:r w:rsidRPr="002144A0">
        <w:t>to</w:t>
      </w:r>
      <w:r w:rsidRPr="00835C82">
        <w:t xml:space="preserve"> 11.14.7 </w:t>
      </w:r>
      <w:r w:rsidRPr="002144A0">
        <w:t xml:space="preserve">for </w:t>
      </w:r>
      <w:r w:rsidRPr="004F25D7">
        <w:t xml:space="preserve">light weight </w:t>
      </w:r>
      <w:r w:rsidRPr="00C52095">
        <w:t>steel buildings.</w:t>
      </w:r>
    </w:p>
    <w:p w14:paraId="43A236F0" w14:textId="77777777" w:rsidR="00FC770F" w:rsidRPr="003625B5" w:rsidRDefault="00FC770F" w:rsidP="00FC770F">
      <w:pPr>
        <w:pStyle w:val="a2"/>
        <w:rPr>
          <w:color w:val="000000" w:themeColor="text1"/>
        </w:rPr>
      </w:pPr>
      <w:bookmarkStart w:id="11345" w:name="_Toc108342781"/>
      <w:bookmarkStart w:id="11346" w:name="_Toc134198290"/>
      <w:r w:rsidRPr="003625B5">
        <w:rPr>
          <w:color w:val="000000" w:themeColor="text1"/>
        </w:rPr>
        <w:t>General</w:t>
      </w:r>
      <w:bookmarkEnd w:id="11345"/>
      <w:bookmarkEnd w:id="11346"/>
    </w:p>
    <w:p w14:paraId="41227E50" w14:textId="613E4A16" w:rsidR="00FC770F" w:rsidRPr="003625B5" w:rsidRDefault="00352B40" w:rsidP="00FC770F">
      <w:pPr>
        <w:pStyle w:val="a3"/>
        <w:rPr>
          <w:color w:val="000000" w:themeColor="text1"/>
        </w:rPr>
      </w:pPr>
      <w:bookmarkStart w:id="11347" w:name="_Toc108342782"/>
      <w:bookmarkStart w:id="11348" w:name="_Toc120543869"/>
      <w:bookmarkStart w:id="11349" w:name="_Toc134198291"/>
      <w:r>
        <w:rPr>
          <w:color w:val="000000" w:themeColor="text1"/>
        </w:rPr>
        <w:t>Scope and f</w:t>
      </w:r>
      <w:r w:rsidR="00FC770F" w:rsidRPr="003625B5">
        <w:rPr>
          <w:color w:val="000000" w:themeColor="text1"/>
        </w:rPr>
        <w:t>ield of application</w:t>
      </w:r>
      <w:bookmarkEnd w:id="11347"/>
      <w:bookmarkEnd w:id="11348"/>
      <w:bookmarkEnd w:id="11349"/>
    </w:p>
    <w:p w14:paraId="635496D5" w14:textId="265A4254" w:rsidR="00FC770F" w:rsidRPr="00132C1E" w:rsidRDefault="00FC770F" w:rsidP="0080187E">
      <w:pPr>
        <w:pStyle w:val="Clause"/>
        <w:numPr>
          <w:ilvl w:val="0"/>
          <w:numId w:val="590"/>
        </w:numPr>
      </w:pPr>
      <w:r w:rsidRPr="00132C1E">
        <w:t xml:space="preserve">This annex should be used for DC2 and DC3 design of steel light weight structures made of cold-formed steel frames braced by steel strap braces (i.e. strap braced walls) or by sheathing panels (i.e. shear walls) connected by means of screws to the steel frame. </w:t>
      </w:r>
      <w:r w:rsidRPr="001153DA">
        <w:t>Annex F</w:t>
      </w:r>
      <w:r w:rsidRPr="00835C82">
        <w:t xml:space="preserve"> </w:t>
      </w:r>
      <w:r w:rsidRPr="00132C1E">
        <w:t xml:space="preserve">should be applied in addition to </w:t>
      </w:r>
      <w:r w:rsidRPr="00835C82">
        <w:t xml:space="preserve">11.14 </w:t>
      </w:r>
      <w:r w:rsidRPr="00132C1E">
        <w:t xml:space="preserve">and </w:t>
      </w:r>
      <w:r w:rsidRPr="00FC770F">
        <w:t>pr</w:t>
      </w:r>
      <w:r w:rsidR="00C30FF9">
        <w:t>EN 1</w:t>
      </w:r>
      <w:r w:rsidRPr="00FC770F">
        <w:t>993-1-3</w:t>
      </w:r>
      <w:r w:rsidRPr="00132C1E">
        <w:t>.</w:t>
      </w:r>
    </w:p>
    <w:p w14:paraId="3F2B4611" w14:textId="3EB2C9D4" w:rsidR="00FC770F" w:rsidRPr="00132C1E" w:rsidRDefault="00FC770F" w:rsidP="00724E4E">
      <w:pPr>
        <w:pStyle w:val="Clause"/>
      </w:pPr>
      <w:r w:rsidRPr="001153DA">
        <w:t>Annex F</w:t>
      </w:r>
      <w:r w:rsidRPr="00132C1E">
        <w:t xml:space="preserve"> may be also applied to teel light weight structures made of cold-formed steel frames different from those specified in </w:t>
      </w:r>
      <w:r w:rsidRPr="001153DA">
        <w:t>Annex F</w:t>
      </w:r>
      <w:r w:rsidRPr="00132C1E">
        <w:t>, however, in those cases the validity and effectiveness of their performance should be demonstrated by means of either experimental evidence, past experimental results available in the literature or refined numerical simulations.</w:t>
      </w:r>
    </w:p>
    <w:p w14:paraId="7A2BC819" w14:textId="77777777" w:rsidR="00FC770F" w:rsidRPr="00132C1E" w:rsidRDefault="00FC770F" w:rsidP="00FC770F">
      <w:pPr>
        <w:pStyle w:val="a3"/>
      </w:pPr>
      <w:bookmarkStart w:id="11350" w:name="_Toc50150751"/>
      <w:bookmarkStart w:id="11351" w:name="_Toc70887184"/>
      <w:bookmarkStart w:id="11352" w:name="_Toc108342783"/>
      <w:bookmarkStart w:id="11353" w:name="_Toc120543870"/>
      <w:bookmarkStart w:id="11354" w:name="_Toc134198292"/>
      <w:r w:rsidRPr="00132C1E">
        <w:t>Basis of design</w:t>
      </w:r>
      <w:bookmarkEnd w:id="11350"/>
      <w:bookmarkEnd w:id="11351"/>
      <w:bookmarkEnd w:id="11352"/>
      <w:bookmarkEnd w:id="11353"/>
      <w:bookmarkEnd w:id="11354"/>
    </w:p>
    <w:p w14:paraId="7CA863AF" w14:textId="36492EA8" w:rsidR="00FC770F" w:rsidRPr="00132C1E" w:rsidRDefault="00FC770F" w:rsidP="0080187E">
      <w:pPr>
        <w:pStyle w:val="Clause"/>
        <w:numPr>
          <w:ilvl w:val="0"/>
          <w:numId w:val="237"/>
        </w:numPr>
      </w:pPr>
      <w:r w:rsidRPr="00132C1E">
        <w:t>The primary earthquake resistant structure of lightweight cold-formed steel systems should be made of lightweight cold-formed steel walls made of equally spaced vertical load bearing members screwed at each end to horizontal members and of a bracing system.</w:t>
      </w:r>
    </w:p>
    <w:p w14:paraId="63053379" w14:textId="22DDBB00" w:rsidR="00FC770F" w:rsidRPr="00FC770F" w:rsidRDefault="00FC770F" w:rsidP="00FC770F">
      <w:pPr>
        <w:pStyle w:val="Notetext"/>
      </w:pPr>
      <w:r w:rsidRPr="00FC770F">
        <w:t>NOTE</w:t>
      </w:r>
      <w:r w:rsidRPr="00FC770F">
        <w:tab/>
        <w:t>The vertical members are named studs; the horizontal members are named tracks.</w:t>
      </w:r>
    </w:p>
    <w:p w14:paraId="59948F62" w14:textId="0FF0FBCE" w:rsidR="00FC770F" w:rsidRPr="00132C1E" w:rsidRDefault="00FC770F" w:rsidP="00724E4E">
      <w:pPr>
        <w:pStyle w:val="Clause"/>
      </w:pPr>
      <w:r w:rsidRPr="00132C1E">
        <w:t>Tracks may consist of only a web and two flanges.</w:t>
      </w:r>
    </w:p>
    <w:p w14:paraId="334D880E" w14:textId="27831C7B" w:rsidR="00FC770F" w:rsidRPr="00132C1E" w:rsidRDefault="00FC770F" w:rsidP="00724E4E">
      <w:pPr>
        <w:pStyle w:val="Clause"/>
      </w:pPr>
      <w:r w:rsidRPr="00132C1E">
        <w:t>All members may be class 4.</w:t>
      </w:r>
    </w:p>
    <w:p w14:paraId="406958AD" w14:textId="20F122C4" w:rsidR="00FC770F" w:rsidRPr="00132C1E" w:rsidRDefault="00FC770F" w:rsidP="00724E4E">
      <w:pPr>
        <w:pStyle w:val="Clause"/>
      </w:pPr>
      <w:r w:rsidRPr="00132C1E">
        <w:t>Tracks should restrain the studs at their ends.</w:t>
      </w:r>
    </w:p>
    <w:p w14:paraId="247BCBA7" w14:textId="34AB70C8" w:rsidR="00FC770F" w:rsidRPr="00A1437F" w:rsidRDefault="00FC770F" w:rsidP="00724E4E">
      <w:pPr>
        <w:pStyle w:val="Clause"/>
      </w:pPr>
      <w:r w:rsidRPr="00A1437F">
        <w:t>The primary structures of lightweight cold-formed steel systems should resist the in-plane lateral forces of the seismic design situation.</w:t>
      </w:r>
    </w:p>
    <w:p w14:paraId="3C40813D" w14:textId="1A2094BC" w:rsidR="00FC770F" w:rsidRPr="00A1437F" w:rsidRDefault="00FC770F" w:rsidP="00FC770F">
      <w:pPr>
        <w:pStyle w:val="Notetext"/>
      </w:pPr>
      <w:r w:rsidRPr="00A1437F">
        <w:t>NOTE</w:t>
      </w:r>
      <w:r w:rsidRPr="00A1437F">
        <w:tab/>
        <w:t>There are four typical bracing systems: strap braced walls – see Figure F.1; shear walls with steel sheet sheathing – see Figure F.2; shear walls with wood</w:t>
      </w:r>
      <w:r w:rsidR="005B69A1">
        <w:t xml:space="preserve"> or gypsum</w:t>
      </w:r>
      <w:r w:rsidRPr="00A1437F">
        <w:t xml:space="preserve"> sheathing </w:t>
      </w:r>
      <w:r w:rsidR="00352B40">
        <w:t>–</w:t>
      </w:r>
      <w:r w:rsidRPr="00A1437F">
        <w:t xml:space="preserve"> </w:t>
      </w:r>
      <w:r w:rsidR="00352B40">
        <w:t>s</w:t>
      </w:r>
      <w:r w:rsidRPr="00A1437F">
        <w:t>ee Figure F.4. Sheating is connected by means of screws.</w:t>
      </w:r>
    </w:p>
    <w:p w14:paraId="11AAC426" w14:textId="7014C248" w:rsidR="00FC770F" w:rsidRPr="00A1437F" w:rsidRDefault="00FC770F" w:rsidP="00724E4E">
      <w:pPr>
        <w:pStyle w:val="Clause"/>
      </w:pPr>
      <w:r w:rsidRPr="00A1437F">
        <w:t>Strap braced walls should be designed to resist in-plane lateral forces mainly with tension-only steel straps applied diagonally to form a vertical truss (see Figure F.1)</w:t>
      </w:r>
      <w:r>
        <w:t>.</w:t>
      </w:r>
    </w:p>
    <w:p w14:paraId="5F33A81D" w14:textId="676E28B5" w:rsidR="00FC770F" w:rsidRPr="00132C1E" w:rsidRDefault="00FC770F" w:rsidP="00FC770F">
      <w:pPr>
        <w:pStyle w:val="Notetext"/>
      </w:pPr>
      <w:r w:rsidRPr="00132C1E">
        <w:t>NOTE</w:t>
      </w:r>
      <w:r w:rsidRPr="00132C1E">
        <w:tab/>
        <w:t>Straps are flat or coiled sheet steel material used to transfer tension.</w:t>
      </w:r>
    </w:p>
    <w:p w14:paraId="5BC55738" w14:textId="61E61431" w:rsidR="00FC770F" w:rsidRPr="00132C1E" w:rsidRDefault="00FC770F" w:rsidP="00F1269D">
      <w:pPr>
        <w:pStyle w:val="Clause"/>
        <w:keepNext/>
        <w:keepLines/>
        <w:rPr>
          <w:rFonts w:eastAsia="Cambria"/>
        </w:rPr>
      </w:pPr>
      <w:r>
        <w:t xml:space="preserve">Shear walls with steel sheet sheathing and shear walls with wood sheathing or gypsum </w:t>
      </w:r>
      <w:r w:rsidR="161CC4DC">
        <w:t>sheathing</w:t>
      </w:r>
      <w:r>
        <w:t xml:space="preserve"> should be full-height sheathed, the studs should have a lipped channel section having at least a flange width of 40 mm, a web depth of 90 mm and an edge stiffener of 10 mm, whereas tracks should have an unlipped channel section having at least a flange width of 30 mm and a web depth of 90 mm.</w:t>
      </w:r>
    </w:p>
    <w:p w14:paraId="3CAFF4C2" w14:textId="77777777" w:rsidR="00FC770F" w:rsidRPr="00132C1E" w:rsidRDefault="00FC770F" w:rsidP="00FC770F">
      <w:pPr>
        <w:pStyle w:val="a2"/>
      </w:pPr>
      <w:bookmarkStart w:id="11355" w:name="_Toc50150752"/>
      <w:bookmarkStart w:id="11356" w:name="_Toc70887185"/>
      <w:bookmarkStart w:id="11357" w:name="_Toc108342784"/>
      <w:bookmarkStart w:id="11358" w:name="_Toc134198293"/>
      <w:r w:rsidRPr="00132C1E">
        <w:t>Strap braced walls</w:t>
      </w:r>
      <w:bookmarkEnd w:id="11355"/>
      <w:bookmarkEnd w:id="11356"/>
      <w:bookmarkEnd w:id="11357"/>
      <w:bookmarkEnd w:id="11358"/>
      <w:r w:rsidRPr="00132C1E">
        <w:t xml:space="preserve"> </w:t>
      </w:r>
    </w:p>
    <w:p w14:paraId="4986FD8A" w14:textId="474EDA37" w:rsidR="00FC770F" w:rsidRPr="00132C1E" w:rsidRDefault="00FC770F" w:rsidP="0080187E">
      <w:pPr>
        <w:pStyle w:val="Clause"/>
        <w:numPr>
          <w:ilvl w:val="0"/>
          <w:numId w:val="228"/>
        </w:numPr>
      </w:pPr>
      <w:r w:rsidRPr="00132C1E">
        <w:t>Strap braced walls should be designed to resist in-plane lateral forces mainly with tension-only steel straps applied diagonally, i.e. flat or coiled sheet steel material typically used for transferring loads by tension, to form a vertical truss which forms part of the lateral force-resisting system (</w:t>
      </w:r>
      <w:r w:rsidRPr="00FC770F">
        <w:rPr>
          <w:color w:val="auto"/>
        </w:rPr>
        <w:t>see Figure F.1</w:t>
      </w:r>
      <w:r w:rsidRPr="00132C1E">
        <w:t>).</w:t>
      </w:r>
    </w:p>
    <w:p w14:paraId="69C3E398" w14:textId="11875D26" w:rsidR="00EC71E4" w:rsidRDefault="00EC71E4" w:rsidP="00EC71E4">
      <w:pPr>
        <w:pStyle w:val="FigureImage"/>
      </w:pPr>
      <w:r>
        <w:rPr>
          <w:noProof/>
        </w:rPr>
        <w:drawing>
          <wp:inline distT="0" distB="0" distL="0" distR="0" wp14:anchorId="110D3853" wp14:editId="1CEC78C2">
            <wp:extent cx="5399541" cy="2895605"/>
            <wp:effectExtent l="0" t="0" r="0" b="0"/>
            <wp:docPr id="1" name="f001.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001.tiff"/>
                    <pic:cNvPicPr/>
                  </pic:nvPicPr>
                  <pic:blipFill>
                    <a:blip r:link="rId116"/>
                    <a:stretch>
                      <a:fillRect/>
                    </a:stretch>
                  </pic:blipFill>
                  <pic:spPr>
                    <a:xfrm>
                      <a:off x="0" y="0"/>
                      <a:ext cx="5399541" cy="2895605"/>
                    </a:xfrm>
                    <a:prstGeom prst="rect">
                      <a:avLst/>
                    </a:prstGeom>
                  </pic:spPr>
                </pic:pic>
              </a:graphicData>
            </a:graphic>
          </wp:inline>
        </w:drawing>
      </w:r>
    </w:p>
    <w:p w14:paraId="19D5EA6E" w14:textId="3FD85865" w:rsidR="00610506" w:rsidRPr="00FD17CF" w:rsidRDefault="00610506" w:rsidP="00EC71E4">
      <w:pPr>
        <w:pStyle w:val="KeyTitle"/>
      </w:pPr>
      <w:r w:rsidRPr="007E6F67">
        <w:t>Key</w:t>
      </w:r>
    </w:p>
    <w:tbl>
      <w:tblPr>
        <w:tblStyle w:val="TableGrid"/>
        <w:tblW w:w="464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4218"/>
      </w:tblGrid>
      <w:tr w:rsidR="00610506" w:rsidRPr="00610506" w14:paraId="03518230" w14:textId="77777777" w:rsidTr="00862BDF">
        <w:tc>
          <w:tcPr>
            <w:tcW w:w="426" w:type="dxa"/>
          </w:tcPr>
          <w:p w14:paraId="3E8F2E71" w14:textId="28B2A760" w:rsidR="00610506" w:rsidRPr="00862BDF" w:rsidRDefault="00610506" w:rsidP="00F1269D">
            <w:pPr>
              <w:pStyle w:val="KeyText"/>
              <w:spacing w:before="0"/>
              <w:rPr>
                <w:iCs/>
              </w:rPr>
            </w:pPr>
            <w:r w:rsidRPr="00862BDF">
              <w:rPr>
                <w:iCs/>
              </w:rPr>
              <w:t>1</w:t>
            </w:r>
          </w:p>
        </w:tc>
        <w:tc>
          <w:tcPr>
            <w:tcW w:w="4218" w:type="dxa"/>
          </w:tcPr>
          <w:p w14:paraId="15F56C89" w14:textId="3C7534C8" w:rsidR="00610506" w:rsidRPr="00610506" w:rsidRDefault="00610506" w:rsidP="00F1269D">
            <w:pPr>
              <w:pStyle w:val="KeyText"/>
              <w:spacing w:before="0"/>
            </w:pPr>
            <w:r w:rsidRPr="00610506">
              <w:rPr>
                <w:noProof/>
                <w:lang w:eastAsia="it-IT"/>
              </w:rPr>
              <w:t>stud</w:t>
            </w:r>
          </w:p>
        </w:tc>
      </w:tr>
      <w:tr w:rsidR="00610506" w:rsidRPr="00610506" w14:paraId="2A609C70" w14:textId="77777777" w:rsidTr="00862BDF">
        <w:tc>
          <w:tcPr>
            <w:tcW w:w="426" w:type="dxa"/>
          </w:tcPr>
          <w:p w14:paraId="68FC2AAD" w14:textId="68CBCA7D" w:rsidR="00610506" w:rsidRPr="00862BDF" w:rsidRDefault="00610506" w:rsidP="00F1269D">
            <w:pPr>
              <w:pStyle w:val="KeyText"/>
              <w:spacing w:before="0"/>
              <w:rPr>
                <w:iCs/>
              </w:rPr>
            </w:pPr>
            <w:r w:rsidRPr="00862BDF">
              <w:rPr>
                <w:iCs/>
                <w:noProof/>
                <w:lang w:eastAsia="it-IT"/>
              </w:rPr>
              <w:t>2</w:t>
            </w:r>
          </w:p>
        </w:tc>
        <w:tc>
          <w:tcPr>
            <w:tcW w:w="4218" w:type="dxa"/>
          </w:tcPr>
          <w:p w14:paraId="2CFE1461" w14:textId="579CCD77" w:rsidR="00610506" w:rsidRPr="00610506" w:rsidRDefault="00610506" w:rsidP="00F1269D">
            <w:pPr>
              <w:pStyle w:val="KeyText"/>
              <w:spacing w:before="0"/>
            </w:pPr>
            <w:r w:rsidRPr="00610506">
              <w:rPr>
                <w:noProof/>
                <w:lang w:eastAsia="it-IT"/>
              </w:rPr>
              <w:t>chord stud</w:t>
            </w:r>
          </w:p>
        </w:tc>
      </w:tr>
      <w:tr w:rsidR="00610506" w:rsidRPr="00610506" w14:paraId="7DBFA232" w14:textId="77777777" w:rsidTr="00862BDF">
        <w:tc>
          <w:tcPr>
            <w:tcW w:w="426" w:type="dxa"/>
          </w:tcPr>
          <w:p w14:paraId="575E4E4D" w14:textId="6D241B96" w:rsidR="00610506" w:rsidRPr="00862BDF" w:rsidRDefault="00610506" w:rsidP="00F1269D">
            <w:pPr>
              <w:pStyle w:val="KeyText"/>
              <w:spacing w:before="0"/>
              <w:rPr>
                <w:iCs/>
              </w:rPr>
            </w:pPr>
            <w:r w:rsidRPr="00862BDF">
              <w:rPr>
                <w:iCs/>
                <w:noProof/>
                <w:lang w:eastAsia="it-IT"/>
              </w:rPr>
              <w:t>3</w:t>
            </w:r>
          </w:p>
        </w:tc>
        <w:tc>
          <w:tcPr>
            <w:tcW w:w="4218" w:type="dxa"/>
          </w:tcPr>
          <w:p w14:paraId="57EEC31A" w14:textId="7D23A835" w:rsidR="00610506" w:rsidRPr="00610506" w:rsidRDefault="00610506" w:rsidP="00F1269D">
            <w:pPr>
              <w:pStyle w:val="KeyText"/>
              <w:spacing w:before="0"/>
            </w:pPr>
            <w:r w:rsidRPr="00610506">
              <w:rPr>
                <w:noProof/>
                <w:lang w:eastAsia="it-IT"/>
              </w:rPr>
              <w:t>track</w:t>
            </w:r>
          </w:p>
        </w:tc>
      </w:tr>
      <w:tr w:rsidR="00610506" w:rsidRPr="00610506" w14:paraId="4EE7E323" w14:textId="77777777" w:rsidTr="00862BDF">
        <w:tc>
          <w:tcPr>
            <w:tcW w:w="426" w:type="dxa"/>
          </w:tcPr>
          <w:p w14:paraId="3BBE4BA1" w14:textId="1D434534" w:rsidR="00610506" w:rsidRPr="00862BDF" w:rsidRDefault="00610506" w:rsidP="00F1269D">
            <w:pPr>
              <w:pStyle w:val="KeyText"/>
              <w:spacing w:before="0"/>
              <w:rPr>
                <w:iCs/>
              </w:rPr>
            </w:pPr>
            <w:r w:rsidRPr="00862BDF">
              <w:rPr>
                <w:iCs/>
                <w:noProof/>
                <w:lang w:eastAsia="it-IT"/>
              </w:rPr>
              <w:t>4</w:t>
            </w:r>
          </w:p>
        </w:tc>
        <w:tc>
          <w:tcPr>
            <w:tcW w:w="4218" w:type="dxa"/>
          </w:tcPr>
          <w:p w14:paraId="0E6835E2" w14:textId="3BEBEE5D" w:rsidR="00610506" w:rsidRPr="00610506" w:rsidRDefault="00610506" w:rsidP="00F1269D">
            <w:pPr>
              <w:pStyle w:val="KeyText"/>
              <w:spacing w:before="0"/>
            </w:pPr>
            <w:r w:rsidRPr="00610506">
              <w:rPr>
                <w:noProof/>
                <w:lang w:eastAsia="it-IT"/>
              </w:rPr>
              <w:t>hold-down</w:t>
            </w:r>
          </w:p>
        </w:tc>
      </w:tr>
      <w:tr w:rsidR="00610506" w:rsidRPr="00610506" w14:paraId="5111ACBD" w14:textId="77777777" w:rsidTr="00862BDF">
        <w:tc>
          <w:tcPr>
            <w:tcW w:w="426" w:type="dxa"/>
          </w:tcPr>
          <w:p w14:paraId="7A3EA375" w14:textId="38C28B2C" w:rsidR="00610506" w:rsidRPr="00862BDF" w:rsidRDefault="00610506" w:rsidP="00F1269D">
            <w:pPr>
              <w:pStyle w:val="KeyText"/>
              <w:spacing w:before="0"/>
              <w:rPr>
                <w:iCs/>
                <w:noProof/>
                <w:lang w:eastAsia="it-IT"/>
              </w:rPr>
            </w:pPr>
            <w:r w:rsidRPr="00862BDF">
              <w:rPr>
                <w:iCs/>
                <w:noProof/>
                <w:lang w:eastAsia="it-IT"/>
              </w:rPr>
              <w:t>5</w:t>
            </w:r>
          </w:p>
        </w:tc>
        <w:tc>
          <w:tcPr>
            <w:tcW w:w="4218" w:type="dxa"/>
          </w:tcPr>
          <w:p w14:paraId="5011AC74" w14:textId="75FD22C3" w:rsidR="00610506" w:rsidRPr="00610506" w:rsidRDefault="00610506" w:rsidP="00F1269D">
            <w:pPr>
              <w:pStyle w:val="KeyText"/>
              <w:spacing w:before="0"/>
              <w:rPr>
                <w:noProof/>
                <w:lang w:eastAsia="it-IT"/>
              </w:rPr>
            </w:pPr>
            <w:r w:rsidRPr="00610506">
              <w:rPr>
                <w:noProof/>
                <w:lang w:eastAsia="it-IT"/>
              </w:rPr>
              <w:t>shear anchorage</w:t>
            </w:r>
          </w:p>
        </w:tc>
      </w:tr>
      <w:tr w:rsidR="00610506" w:rsidRPr="00610506" w14:paraId="498E6869" w14:textId="77777777" w:rsidTr="00862BDF">
        <w:tc>
          <w:tcPr>
            <w:tcW w:w="426" w:type="dxa"/>
          </w:tcPr>
          <w:p w14:paraId="3C6BED17" w14:textId="1A61E211" w:rsidR="00610506" w:rsidRPr="00862BDF" w:rsidRDefault="00610506" w:rsidP="00F1269D">
            <w:pPr>
              <w:pStyle w:val="KeyText"/>
              <w:spacing w:before="0"/>
              <w:rPr>
                <w:iCs/>
                <w:noProof/>
                <w:lang w:eastAsia="it-IT"/>
              </w:rPr>
            </w:pPr>
            <w:r w:rsidRPr="00862BDF">
              <w:rPr>
                <w:iCs/>
                <w:noProof/>
                <w:lang w:eastAsia="it-IT"/>
              </w:rPr>
              <w:t>6</w:t>
            </w:r>
          </w:p>
        </w:tc>
        <w:tc>
          <w:tcPr>
            <w:tcW w:w="4218" w:type="dxa"/>
          </w:tcPr>
          <w:p w14:paraId="13734E45" w14:textId="7628C9E7" w:rsidR="00610506" w:rsidRPr="00610506" w:rsidRDefault="00610506" w:rsidP="00F1269D">
            <w:pPr>
              <w:pStyle w:val="KeyText"/>
              <w:spacing w:before="0"/>
              <w:rPr>
                <w:noProof/>
                <w:lang w:eastAsia="it-IT"/>
              </w:rPr>
            </w:pPr>
            <w:r w:rsidRPr="00610506">
              <w:rPr>
                <w:noProof/>
                <w:lang w:eastAsia="it-IT"/>
              </w:rPr>
              <w:t>steel strap brace</w:t>
            </w:r>
          </w:p>
        </w:tc>
      </w:tr>
      <w:tr w:rsidR="00610506" w:rsidRPr="00610506" w14:paraId="7D09AECB" w14:textId="77777777" w:rsidTr="00862BDF">
        <w:tc>
          <w:tcPr>
            <w:tcW w:w="426" w:type="dxa"/>
          </w:tcPr>
          <w:p w14:paraId="723F9BC1" w14:textId="382A59CD" w:rsidR="00610506" w:rsidRPr="00862BDF" w:rsidRDefault="00610506" w:rsidP="00F1269D">
            <w:pPr>
              <w:pStyle w:val="KeyText"/>
              <w:spacing w:before="0"/>
              <w:rPr>
                <w:iCs/>
                <w:noProof/>
                <w:lang w:eastAsia="it-IT"/>
              </w:rPr>
            </w:pPr>
            <w:r w:rsidRPr="00862BDF">
              <w:rPr>
                <w:iCs/>
                <w:noProof/>
                <w:lang w:eastAsia="it-IT"/>
              </w:rPr>
              <w:t>7</w:t>
            </w:r>
          </w:p>
        </w:tc>
        <w:tc>
          <w:tcPr>
            <w:tcW w:w="4218" w:type="dxa"/>
          </w:tcPr>
          <w:p w14:paraId="0D4722AB" w14:textId="35830AB4" w:rsidR="00610506" w:rsidRPr="00610506" w:rsidRDefault="00610506" w:rsidP="00F1269D">
            <w:pPr>
              <w:pStyle w:val="KeyText"/>
              <w:spacing w:before="0"/>
              <w:rPr>
                <w:noProof/>
                <w:lang w:eastAsia="it-IT"/>
              </w:rPr>
            </w:pPr>
            <w:r w:rsidRPr="00610506">
              <w:rPr>
                <w:noProof/>
                <w:lang w:eastAsia="it-IT"/>
              </w:rPr>
              <w:t>connection of strap brace</w:t>
            </w:r>
          </w:p>
        </w:tc>
      </w:tr>
      <w:tr w:rsidR="00610506" w:rsidRPr="00610506" w14:paraId="0D0F4074" w14:textId="77777777" w:rsidTr="00862BDF">
        <w:tc>
          <w:tcPr>
            <w:tcW w:w="426" w:type="dxa"/>
          </w:tcPr>
          <w:p w14:paraId="4CE2EAA6" w14:textId="4BC3ED15" w:rsidR="00610506" w:rsidRPr="00862BDF" w:rsidRDefault="00610506" w:rsidP="00F1269D">
            <w:pPr>
              <w:pStyle w:val="KeyText"/>
              <w:spacing w:before="0"/>
              <w:rPr>
                <w:iCs/>
                <w:noProof/>
                <w:lang w:eastAsia="it-IT"/>
              </w:rPr>
            </w:pPr>
            <w:r w:rsidRPr="00862BDF">
              <w:rPr>
                <w:iCs/>
                <w:noProof/>
                <w:lang w:eastAsia="it-IT"/>
              </w:rPr>
              <w:t>8</w:t>
            </w:r>
          </w:p>
        </w:tc>
        <w:tc>
          <w:tcPr>
            <w:tcW w:w="4218" w:type="dxa"/>
          </w:tcPr>
          <w:p w14:paraId="3850C12A" w14:textId="779C8799" w:rsidR="00610506" w:rsidRPr="00610506" w:rsidRDefault="00610506" w:rsidP="00F1269D">
            <w:pPr>
              <w:pStyle w:val="KeyText"/>
              <w:spacing w:before="0"/>
              <w:rPr>
                <w:noProof/>
                <w:lang w:eastAsia="it-IT"/>
              </w:rPr>
            </w:pPr>
            <w:r w:rsidRPr="00610506">
              <w:rPr>
                <w:noProof/>
                <w:lang w:eastAsia="it-IT"/>
              </w:rPr>
              <w:t>tension anchorage</w:t>
            </w:r>
            <w:r w:rsidR="00EC71E4">
              <w:rPr>
                <w:noProof/>
                <w:lang w:eastAsia="it-IT"/>
              </w:rPr>
              <w:t xml:space="preserve"> (with</w:t>
            </w:r>
            <w:r w:rsidRPr="00610506">
              <w:rPr>
                <w:noProof/>
                <w:lang w:eastAsia="it-IT"/>
              </w:rPr>
              <w:t xml:space="preserve"> </w:t>
            </w:r>
            <w:r w:rsidRPr="00610506">
              <w:rPr>
                <w:i/>
                <w:noProof/>
                <w:lang w:eastAsia="it-IT"/>
              </w:rPr>
              <w:t>s</w:t>
            </w:r>
            <w:r w:rsidRPr="00610506">
              <w:rPr>
                <w:iCs/>
                <w:noProof/>
                <w:vertAlign w:val="subscript"/>
                <w:lang w:eastAsia="it-IT"/>
              </w:rPr>
              <w:t>s</w:t>
            </w:r>
            <w:r w:rsidR="00EC71E4">
              <w:rPr>
                <w:noProof/>
                <w:lang w:eastAsia="it-IT"/>
              </w:rPr>
              <w:t xml:space="preserve"> as the</w:t>
            </w:r>
            <w:r w:rsidRPr="00610506">
              <w:rPr>
                <w:noProof/>
                <w:lang w:eastAsia="it-IT"/>
              </w:rPr>
              <w:t xml:space="preserve"> stud spacing</w:t>
            </w:r>
            <w:r w:rsidR="00EC71E4">
              <w:rPr>
                <w:noProof/>
                <w:lang w:eastAsia="it-IT"/>
              </w:rPr>
              <w:t>)</w:t>
            </w:r>
          </w:p>
        </w:tc>
      </w:tr>
    </w:tbl>
    <w:p w14:paraId="2FC35896" w14:textId="48249C20" w:rsidR="00FC770F" w:rsidRPr="00FC770F" w:rsidRDefault="00FC770F" w:rsidP="00FC770F">
      <w:pPr>
        <w:pStyle w:val="Figuretitle"/>
      </w:pPr>
      <w:r w:rsidRPr="00FC770F">
        <w:t>Figure F.</w:t>
      </w:r>
      <w:r w:rsidR="00352B40">
        <w:t>1</w:t>
      </w:r>
      <w:r w:rsidRPr="00FC770F">
        <w:t> — Strap braced walls</w:t>
      </w:r>
      <w:r w:rsidR="00EC71E4">
        <w:t>: (a) general view; (b) detailed view</w:t>
      </w:r>
    </w:p>
    <w:p w14:paraId="695C3DCE" w14:textId="1FDBF788" w:rsidR="001A56B8" w:rsidRDefault="001A56B8" w:rsidP="00F1269D">
      <w:pPr>
        <w:pStyle w:val="Clause"/>
        <w:numPr>
          <w:ilvl w:val="0"/>
          <w:numId w:val="228"/>
        </w:numPr>
      </w:pPr>
      <w:r w:rsidRPr="00B46D09">
        <w:t>The non-dissipative components in a) to f) of the strap braced wall should be designed with the overstrength as given in (2) and (3):</w:t>
      </w:r>
    </w:p>
    <w:p w14:paraId="12BBFC81" w14:textId="77777777" w:rsidR="001A56B8" w:rsidRDefault="001A56B8" w:rsidP="00B15DDF">
      <w:pPr>
        <w:pStyle w:val="Text"/>
        <w:numPr>
          <w:ilvl w:val="0"/>
          <w:numId w:val="720"/>
        </w:numPr>
        <w:spacing w:after="200"/>
      </w:pPr>
      <w:r w:rsidRPr="004E755A">
        <w:t>connections of strap brace;</w:t>
      </w:r>
    </w:p>
    <w:p w14:paraId="50D28D38" w14:textId="77777777" w:rsidR="001A56B8" w:rsidRDefault="001A56B8" w:rsidP="00B15DDF">
      <w:pPr>
        <w:pStyle w:val="Text"/>
        <w:numPr>
          <w:ilvl w:val="0"/>
          <w:numId w:val="720"/>
        </w:numPr>
        <w:spacing w:after="200"/>
      </w:pPr>
      <w:r w:rsidRPr="004E755A">
        <w:t>chord studs or other compressed vertical boundary elements at the ends of the wall;</w:t>
      </w:r>
    </w:p>
    <w:p w14:paraId="38808B90" w14:textId="77777777" w:rsidR="001A56B8" w:rsidRDefault="001A56B8" w:rsidP="00B15DDF">
      <w:pPr>
        <w:pStyle w:val="Text"/>
        <w:numPr>
          <w:ilvl w:val="0"/>
          <w:numId w:val="720"/>
        </w:numPr>
        <w:spacing w:after="200"/>
      </w:pPr>
      <w:r w:rsidRPr="004E755A">
        <w:t>tracks;</w:t>
      </w:r>
    </w:p>
    <w:p w14:paraId="3676F492" w14:textId="77777777" w:rsidR="001A56B8" w:rsidRDefault="001A56B8" w:rsidP="00B15DDF">
      <w:pPr>
        <w:pStyle w:val="Text"/>
        <w:numPr>
          <w:ilvl w:val="0"/>
          <w:numId w:val="720"/>
        </w:numPr>
        <w:spacing w:after="200"/>
      </w:pPr>
      <w:r w:rsidRPr="004E755A">
        <w:t>hold-downs and tension anchorages and their connections or other tensioned vertical boundary elements at the ends of wall;</w:t>
      </w:r>
    </w:p>
    <w:p w14:paraId="0C91560A" w14:textId="77777777" w:rsidR="001A56B8" w:rsidRDefault="001A56B8" w:rsidP="00B15DDF">
      <w:pPr>
        <w:pStyle w:val="Text"/>
        <w:numPr>
          <w:ilvl w:val="0"/>
          <w:numId w:val="720"/>
        </w:numPr>
        <w:spacing w:after="200"/>
      </w:pPr>
      <w:r w:rsidRPr="004E755A">
        <w:t>shear anchorages;</w:t>
      </w:r>
    </w:p>
    <w:p w14:paraId="3E9E7EAC" w14:textId="77777777" w:rsidR="001A56B8" w:rsidRDefault="001A56B8" w:rsidP="00B15DDF">
      <w:pPr>
        <w:pStyle w:val="Text"/>
        <w:numPr>
          <w:ilvl w:val="0"/>
          <w:numId w:val="720"/>
        </w:numPr>
        <w:spacing w:after="200"/>
      </w:pPr>
      <w:r w:rsidRPr="004E755A">
        <w:t>all other components and connections in the wall.</w:t>
      </w:r>
    </w:p>
    <w:p w14:paraId="616E596F" w14:textId="77777777" w:rsidR="001A56B8" w:rsidRPr="00A1437F" w:rsidRDefault="001A56B8" w:rsidP="0080187E">
      <w:pPr>
        <w:pStyle w:val="Clause"/>
        <w:numPr>
          <w:ilvl w:val="0"/>
          <w:numId w:val="228"/>
        </w:numPr>
      </w:pPr>
      <w:r w:rsidRPr="00A1437F">
        <w:t>In DC2, non-dissipative components in a) to f) of the strap-braced wall should be designed in accordance with 11.14.3(1).</w:t>
      </w:r>
    </w:p>
    <w:p w14:paraId="6169E611" w14:textId="18340CCE" w:rsidR="001A56B8" w:rsidRPr="00A1437F" w:rsidRDefault="001A56B8" w:rsidP="0080187E">
      <w:pPr>
        <w:pStyle w:val="Clause"/>
        <w:numPr>
          <w:ilvl w:val="0"/>
          <w:numId w:val="228"/>
        </w:numPr>
      </w:pPr>
      <w:r w:rsidRPr="00A1437F">
        <w:t xml:space="preserve">In DC3, non-dissipative components in a) to f) of the strap-braced wall should be designed to resist the total action effect </w:t>
      </w:r>
      <w:r w:rsidRPr="00BC6739">
        <w:rPr>
          <w:i/>
          <w:iCs/>
        </w:rPr>
        <w:t>E</w:t>
      </w:r>
      <w:r w:rsidRPr="00BC6739">
        <w:rPr>
          <w:vertAlign w:val="subscript"/>
        </w:rPr>
        <w:t>Ed</w:t>
      </w:r>
      <w:r w:rsidRPr="00A1437F">
        <w:t xml:space="preserve"> from Formula (F.1)</w:t>
      </w:r>
      <w:r>
        <w:t>.</w:t>
      </w:r>
    </w:p>
    <w:p w14:paraId="1660C597" w14:textId="34AB0348" w:rsidR="001A56B8" w:rsidRPr="00870D59" w:rsidRDefault="009B5CEC" w:rsidP="001A56B8">
      <w:pPr>
        <w:pStyle w:val="Formula"/>
        <w:spacing w:before="240"/>
      </w:pPr>
      <m:oMath>
        <m:sSub>
          <m:sSubPr>
            <m:ctrlPr>
              <w:rPr>
                <w:rFonts w:ascii="Cambria Math" w:hAnsi="Cambria Math"/>
                <w:lang w:val="fr-FR"/>
              </w:rPr>
            </m:ctrlPr>
          </m:sSubPr>
          <m:e>
            <m:r>
              <w:rPr>
                <w:rFonts w:ascii="Cambria Math" w:hAnsi="Cambria Math"/>
                <w:lang w:val="fr-FR"/>
              </w:rPr>
              <m:t>E</m:t>
            </m:r>
          </m:e>
          <m:sub>
            <m:r>
              <m:rPr>
                <m:sty m:val="p"/>
              </m:rPr>
              <w:rPr>
                <w:rFonts w:ascii="Cambria Math" w:hAnsi="Cambria Math"/>
              </w:rPr>
              <m:t>Ed</m:t>
            </m:r>
          </m:sub>
        </m:sSub>
        <m:r>
          <m:rPr>
            <m:sty m:val="p"/>
          </m:rPr>
          <w:rPr>
            <w:rFonts w:ascii="Cambria Math" w:hAnsi="Cambria Math"/>
          </w:rPr>
          <m:t>=</m:t>
        </m:r>
        <m:sSub>
          <m:sSubPr>
            <m:ctrlPr>
              <w:rPr>
                <w:rFonts w:ascii="Cambria Math" w:hAnsi="Cambria Math"/>
                <w:lang w:val="fr-FR"/>
              </w:rPr>
            </m:ctrlPr>
          </m:sSubPr>
          <m:e>
            <m:r>
              <w:rPr>
                <w:rFonts w:ascii="Cambria Math" w:hAnsi="Cambria Math"/>
                <w:lang w:val="fr-FR"/>
              </w:rPr>
              <m:t>E</m:t>
            </m:r>
          </m:e>
          <m:sub>
            <m:r>
              <m:rPr>
                <m:sty m:val="p"/>
              </m:rPr>
              <w:rPr>
                <w:rFonts w:ascii="Cambria Math" w:hAnsi="Cambria Math"/>
              </w:rPr>
              <m:t>Ed,G</m:t>
            </m:r>
          </m:sub>
        </m:sSub>
        <m:r>
          <m:rPr>
            <m:sty m:val="p"/>
          </m:rPr>
          <w:rPr>
            <w:rFonts w:ascii="Cambria Math" w:hAnsi="Cambria Math"/>
          </w:rPr>
          <m:t xml:space="preserve"> "+" </m:t>
        </m:r>
        <m:sSub>
          <m:sSubPr>
            <m:ctrlPr>
              <w:rPr>
                <w:rFonts w:ascii="Cambria Math" w:hAnsi="Cambria Math"/>
                <w:lang w:val="fr-FR"/>
              </w:rPr>
            </m:ctrlPr>
          </m:sSubPr>
          <m:e>
            <m:r>
              <m:rPr>
                <m:sty m:val="p"/>
              </m:rPr>
              <w:rPr>
                <w:rFonts w:ascii="Cambria Math" w:hAnsi="Cambria Math"/>
              </w:rPr>
              <m:t>1,1∙</m:t>
            </m:r>
            <m:sSub>
              <m:sSubPr>
                <m:ctrlPr>
                  <w:rPr>
                    <w:rFonts w:ascii="Cambria Math" w:hAnsi="Cambria Math"/>
                    <w:lang w:val="fr-FR"/>
                  </w:rPr>
                </m:ctrlPr>
              </m:sSubPr>
              <m:e>
                <m:r>
                  <w:rPr>
                    <w:rFonts w:ascii="Cambria Math" w:hAnsi="Cambria Math"/>
                    <w:lang w:val="fr-FR"/>
                  </w:rPr>
                  <m:t>ϖ</m:t>
                </m:r>
              </m:e>
              <m:sub>
                <m:r>
                  <m:rPr>
                    <m:sty m:val="p"/>
                  </m:rPr>
                  <w:rPr>
                    <w:rFonts w:ascii="Cambria Math" w:hAnsi="Cambria Math"/>
                  </w:rPr>
                  <m:t>rm</m:t>
                </m:r>
              </m:sub>
            </m:sSub>
            <m:r>
              <m:rPr>
                <m:sty m:val="p"/>
              </m:rPr>
              <w:rPr>
                <w:rFonts w:ascii="Cambria Math" w:hAnsi="Cambria Math"/>
              </w:rPr>
              <m:t>∙</m:t>
            </m:r>
            <m:r>
              <w:rPr>
                <w:rFonts w:ascii="Cambria Math" w:hAnsi="Cambria Math"/>
                <w:lang w:val="fr-FR"/>
              </w:rPr>
              <m:t>E</m:t>
            </m:r>
          </m:e>
          <m:sub>
            <m:r>
              <m:rPr>
                <m:sty m:val="p"/>
              </m:rPr>
              <w:rPr>
                <w:rFonts w:ascii="Cambria Math" w:hAnsi="Cambria Math"/>
              </w:rPr>
              <m:t xml:space="preserve">Nfy </m:t>
            </m:r>
          </m:sub>
        </m:sSub>
      </m:oMath>
      <w:r w:rsidR="001A56B8">
        <w:t xml:space="preserve"> </w:t>
      </w:r>
      <w:r w:rsidR="001A56B8" w:rsidRPr="00870D59">
        <w:tab/>
        <w:t>(</w:t>
      </w:r>
      <w:r w:rsidR="001A56B8">
        <w:t>F</w:t>
      </w:r>
      <w:r w:rsidR="001A56B8" w:rsidRPr="00870D59">
        <w:t>.</w:t>
      </w:r>
      <w:r w:rsidR="001A56B8">
        <w:t>1</w:t>
      </w:r>
      <w:r w:rsidR="001A56B8" w:rsidRPr="00870D59">
        <w:t>)</w:t>
      </w:r>
    </w:p>
    <w:p w14:paraId="1988DE4A" w14:textId="6D8D2D51" w:rsidR="001A56B8" w:rsidRDefault="00675EBA" w:rsidP="001A56B8">
      <w:pPr>
        <w:pStyle w:val="Text"/>
      </w:pPr>
      <w:r>
        <w:t>where</w:t>
      </w:r>
    </w:p>
    <w:tbl>
      <w:tblPr>
        <w:tblW w:w="0" w:type="auto"/>
        <w:tblInd w:w="346" w:type="dxa"/>
        <w:tblLook w:val="04A0" w:firstRow="1" w:lastRow="0" w:firstColumn="1" w:lastColumn="0" w:noHBand="0" w:noVBand="1"/>
      </w:tblPr>
      <w:tblGrid>
        <w:gridCol w:w="1275"/>
        <w:gridCol w:w="7938"/>
      </w:tblGrid>
      <w:tr w:rsidR="001A56B8" w:rsidRPr="00870D59" w14:paraId="140DAB34" w14:textId="77777777" w:rsidTr="00F1269D">
        <w:tc>
          <w:tcPr>
            <w:tcW w:w="1275" w:type="dxa"/>
          </w:tcPr>
          <w:p w14:paraId="32C48BB5" w14:textId="4ADABD3B" w:rsidR="001A56B8" w:rsidRPr="00460668" w:rsidRDefault="001A56B8" w:rsidP="002061E5">
            <w:pPr>
              <w:spacing w:after="60"/>
              <w:rPr>
                <w:rFonts w:eastAsia="Times New Roman" w:cs="Cambria"/>
                <w:szCs w:val="20"/>
                <w:lang w:eastAsia="fr-FR"/>
              </w:rPr>
            </w:pPr>
            <w:r w:rsidRPr="00A1437F">
              <w:rPr>
                <w:i/>
                <w:iCs/>
              </w:rPr>
              <w:t>E</w:t>
            </w:r>
            <w:r w:rsidRPr="00A1437F">
              <w:rPr>
                <w:vertAlign w:val="subscript"/>
              </w:rPr>
              <w:t xml:space="preserve">Ed,G </w:t>
            </w:r>
          </w:p>
        </w:tc>
        <w:tc>
          <w:tcPr>
            <w:tcW w:w="7938" w:type="dxa"/>
          </w:tcPr>
          <w:p w14:paraId="39307BE4" w14:textId="2A8548B4" w:rsidR="001A56B8" w:rsidRPr="00870D59" w:rsidRDefault="001A56B8" w:rsidP="002061E5">
            <w:pPr>
              <w:spacing w:after="60"/>
              <w:rPr>
                <w:rFonts w:eastAsia="Times New Roman" w:cs="Cambria"/>
                <w:szCs w:val="20"/>
                <w:lang w:eastAsia="fr-FR"/>
              </w:rPr>
            </w:pPr>
            <w:r w:rsidRPr="00A1437F">
              <w:t>is the action effect due to the non-seismic actions in the seismic design situation;</w:t>
            </w:r>
          </w:p>
        </w:tc>
      </w:tr>
      <w:tr w:rsidR="001A56B8" w:rsidRPr="00870D59" w14:paraId="1410EF08" w14:textId="77777777" w:rsidTr="00F1269D">
        <w:tc>
          <w:tcPr>
            <w:tcW w:w="1275" w:type="dxa"/>
          </w:tcPr>
          <w:p w14:paraId="6B6DA768" w14:textId="36C44F9E" w:rsidR="001A56B8" w:rsidRPr="00460668" w:rsidRDefault="001A56B8" w:rsidP="002061E5">
            <w:pPr>
              <w:spacing w:after="60"/>
              <w:rPr>
                <w:rFonts w:eastAsia="Times New Roman" w:cs="Cambria"/>
                <w:szCs w:val="20"/>
                <w:lang w:eastAsia="fr-FR"/>
              </w:rPr>
            </w:pPr>
            <w:r w:rsidRPr="00A1437F">
              <w:rPr>
                <w:i/>
                <w:iCs/>
              </w:rPr>
              <w:t>E</w:t>
            </w:r>
            <w:r w:rsidRPr="00A1437F">
              <w:rPr>
                <w:vertAlign w:val="subscript"/>
              </w:rPr>
              <w:t>Nfy</w:t>
            </w:r>
          </w:p>
        </w:tc>
        <w:tc>
          <w:tcPr>
            <w:tcW w:w="7938" w:type="dxa"/>
          </w:tcPr>
          <w:p w14:paraId="68BC1F7D" w14:textId="2FD6DCE3" w:rsidR="001A56B8" w:rsidRPr="00870D59" w:rsidRDefault="001A56B8" w:rsidP="002061E5">
            <w:pPr>
              <w:spacing w:after="60"/>
              <w:rPr>
                <w:rFonts w:eastAsia="Times New Roman" w:cs="Cambria"/>
                <w:szCs w:val="20"/>
                <w:lang w:eastAsia="fr-FR"/>
              </w:rPr>
            </w:pPr>
            <w:r w:rsidRPr="00A1437F">
              <w:t xml:space="preserve">is the action effect due to the </w:t>
            </w:r>
            <w:r w:rsidR="00345284" w:rsidRPr="00A1437F">
              <w:t>yielding</w:t>
            </w:r>
            <w:r w:rsidRPr="00A1437F">
              <w:t xml:space="preserve"> resistance </w:t>
            </w:r>
            <w:r w:rsidRPr="00A1437F">
              <w:rPr>
                <w:i/>
                <w:iCs/>
              </w:rPr>
              <w:t>N</w:t>
            </w:r>
            <w:r w:rsidRPr="00A1437F">
              <w:rPr>
                <w:vertAlign w:val="subscript"/>
              </w:rPr>
              <w:t>fy</w:t>
            </w:r>
            <w:r w:rsidRPr="00A1437F">
              <w:t xml:space="preserve"> of the gross cross-section of the strap braces based on the nominal yield stress of the material as defined in </w:t>
            </w:r>
            <w:r w:rsidR="00867476">
              <w:t>EN 1993-1-1</w:t>
            </w:r>
            <w:r w:rsidRPr="00A1437F">
              <w:t>;</w:t>
            </w:r>
          </w:p>
        </w:tc>
      </w:tr>
      <w:tr w:rsidR="001A56B8" w:rsidRPr="00870D59" w14:paraId="668BF721" w14:textId="77777777" w:rsidTr="00F1269D">
        <w:tc>
          <w:tcPr>
            <w:tcW w:w="1275" w:type="dxa"/>
          </w:tcPr>
          <w:p w14:paraId="5013CA69" w14:textId="2C61FEF4" w:rsidR="001A56B8" w:rsidRPr="00A1437F" w:rsidRDefault="001A56B8" w:rsidP="002061E5">
            <w:pPr>
              <w:spacing w:after="60"/>
              <w:rPr>
                <w:i/>
                <w:iCs/>
              </w:rPr>
            </w:pPr>
            <m:oMath>
              <m:r>
                <w:rPr>
                  <w:rFonts w:ascii="Cambria Math" w:hAnsi="Cambria Math"/>
                </w:rPr>
                <m:t>ϖ</m:t>
              </m:r>
            </m:oMath>
            <w:r w:rsidRPr="00A1437F">
              <w:rPr>
                <w:vertAlign w:val="subscript"/>
              </w:rPr>
              <w:t>rm</w:t>
            </w:r>
          </w:p>
        </w:tc>
        <w:tc>
          <w:tcPr>
            <w:tcW w:w="7938" w:type="dxa"/>
          </w:tcPr>
          <w:p w14:paraId="22490686" w14:textId="335C9E0A" w:rsidR="001A56B8" w:rsidRPr="00D1484A" w:rsidRDefault="001A56B8" w:rsidP="002061E5">
            <w:pPr>
              <w:spacing w:after="60"/>
            </w:pPr>
            <w:r w:rsidRPr="00A1437F">
              <w:t xml:space="preserve">is the material </w:t>
            </w:r>
            <w:r w:rsidRPr="00352B40">
              <w:t>overstrength factor (see 11.2.2). For steel</w:t>
            </w:r>
            <w:r w:rsidRPr="00A1437F">
              <w:t xml:space="preserve"> grade not included in </w:t>
            </w:r>
            <w:r w:rsidRPr="00EC71E4">
              <w:t>Table 11.</w:t>
            </w:r>
            <w:r w:rsidR="00FD5CC7" w:rsidRPr="00EC71E4">
              <w:t>2</w:t>
            </w:r>
            <w:r w:rsidRPr="00A1437F">
              <w:t xml:space="preserve"> </w:t>
            </w:r>
            <m:oMath>
              <m:r>
                <w:rPr>
                  <w:rFonts w:ascii="Cambria Math" w:hAnsi="Cambria Math"/>
                </w:rPr>
                <m:t>ϖ</m:t>
              </m:r>
            </m:oMath>
            <w:r w:rsidRPr="00A1437F">
              <w:rPr>
                <w:vertAlign w:val="subscript"/>
              </w:rPr>
              <w:t>rm</w:t>
            </w:r>
            <w:r w:rsidRPr="00A1437F">
              <w:t>=1,45;</w:t>
            </w:r>
          </w:p>
        </w:tc>
      </w:tr>
      <w:tr w:rsidR="001A56B8" w:rsidRPr="00870D59" w14:paraId="3A159DD2" w14:textId="77777777" w:rsidTr="00F1269D">
        <w:tc>
          <w:tcPr>
            <w:tcW w:w="1275" w:type="dxa"/>
          </w:tcPr>
          <w:p w14:paraId="1D105D05" w14:textId="1AF433C7" w:rsidR="001A56B8" w:rsidRPr="00A1437F" w:rsidRDefault="001A56B8" w:rsidP="002061E5">
            <w:pPr>
              <w:spacing w:after="60"/>
              <w:rPr>
                <w:i/>
                <w:iCs/>
              </w:rPr>
            </w:pPr>
            <w:r w:rsidRPr="00A1437F">
              <w:t>"+"</w:t>
            </w:r>
          </w:p>
        </w:tc>
        <w:tc>
          <w:tcPr>
            <w:tcW w:w="7938" w:type="dxa"/>
          </w:tcPr>
          <w:p w14:paraId="17CD4D27" w14:textId="4EECE9DD" w:rsidR="001A56B8" w:rsidRPr="00D1484A" w:rsidRDefault="001A56B8" w:rsidP="002061E5">
            <w:pPr>
              <w:spacing w:after="60"/>
            </w:pPr>
            <w:r w:rsidRPr="00A1437F">
              <w:t>means combined with + or – sign.</w:t>
            </w:r>
          </w:p>
        </w:tc>
      </w:tr>
    </w:tbl>
    <w:p w14:paraId="71356656" w14:textId="77777777" w:rsidR="001A56B8" w:rsidRPr="00132C1E" w:rsidRDefault="001A56B8" w:rsidP="00190977">
      <w:pPr>
        <w:pStyle w:val="a2"/>
        <w:keepLines/>
      </w:pPr>
      <w:bookmarkStart w:id="11359" w:name="_Toc50150755"/>
      <w:bookmarkStart w:id="11360" w:name="_Toc70887188"/>
      <w:bookmarkStart w:id="11361" w:name="_Toc108342787"/>
      <w:bookmarkStart w:id="11362" w:name="_Toc134198294"/>
      <w:r w:rsidRPr="00132C1E">
        <w:t>Shear walls with steel sheet sheathing</w:t>
      </w:r>
      <w:bookmarkEnd w:id="11359"/>
      <w:bookmarkEnd w:id="11360"/>
      <w:bookmarkEnd w:id="11361"/>
      <w:bookmarkEnd w:id="11362"/>
      <w:r w:rsidRPr="00132C1E">
        <w:t xml:space="preserve"> </w:t>
      </w:r>
    </w:p>
    <w:p w14:paraId="122A32FE" w14:textId="2AEB86B5" w:rsidR="006F5766" w:rsidRDefault="006F5766" w:rsidP="00190977">
      <w:pPr>
        <w:pStyle w:val="FigureImage"/>
        <w:keepLines/>
      </w:pPr>
      <w:r>
        <w:rPr>
          <w:noProof/>
        </w:rPr>
        <w:drawing>
          <wp:inline distT="0" distB="0" distL="0" distR="0" wp14:anchorId="289BA319" wp14:editId="4CAD89C7">
            <wp:extent cx="5399541" cy="2900177"/>
            <wp:effectExtent l="0" t="0" r="0" b="0"/>
            <wp:docPr id="22" name="f002.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f002.tiff"/>
                    <pic:cNvPicPr/>
                  </pic:nvPicPr>
                  <pic:blipFill>
                    <a:blip r:link="rId117"/>
                    <a:stretch>
                      <a:fillRect/>
                    </a:stretch>
                  </pic:blipFill>
                  <pic:spPr>
                    <a:xfrm>
                      <a:off x="0" y="0"/>
                      <a:ext cx="5399541" cy="2900177"/>
                    </a:xfrm>
                    <a:prstGeom prst="rect">
                      <a:avLst/>
                    </a:prstGeom>
                  </pic:spPr>
                </pic:pic>
              </a:graphicData>
            </a:graphic>
          </wp:inline>
        </w:drawing>
      </w:r>
    </w:p>
    <w:p w14:paraId="2ED894BE" w14:textId="5DD3672E" w:rsidR="001A56B8" w:rsidRPr="00FD17CF" w:rsidRDefault="001A56B8" w:rsidP="00190977">
      <w:pPr>
        <w:pStyle w:val="KeyTitle"/>
        <w:keepLines/>
      </w:pPr>
      <w:r w:rsidRPr="007E6F67">
        <w:t>Key</w:t>
      </w:r>
    </w:p>
    <w:tbl>
      <w:tblPr>
        <w:tblStyle w:val="TableGrid"/>
        <w:tblW w:w="88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
        <w:gridCol w:w="8459"/>
      </w:tblGrid>
      <w:tr w:rsidR="001A56B8" w:rsidRPr="004C15AC" w14:paraId="79BF0A14" w14:textId="77777777" w:rsidTr="00B15DDF">
        <w:tc>
          <w:tcPr>
            <w:tcW w:w="428" w:type="dxa"/>
          </w:tcPr>
          <w:p w14:paraId="45CEF6DE" w14:textId="74FDB1AD" w:rsidR="001A56B8" w:rsidRPr="00B15DDF" w:rsidRDefault="001A56B8" w:rsidP="00190977">
            <w:pPr>
              <w:pStyle w:val="KeyText"/>
              <w:keepNext/>
              <w:keepLines/>
              <w:spacing w:before="0"/>
              <w:rPr>
                <w:iCs/>
              </w:rPr>
            </w:pPr>
            <w:r w:rsidRPr="00B15DDF">
              <w:rPr>
                <w:iCs/>
              </w:rPr>
              <w:t>1</w:t>
            </w:r>
          </w:p>
        </w:tc>
        <w:tc>
          <w:tcPr>
            <w:tcW w:w="8469" w:type="dxa"/>
          </w:tcPr>
          <w:p w14:paraId="2FE1852E" w14:textId="77777777" w:rsidR="001A56B8" w:rsidRPr="004C15AC" w:rsidRDefault="001A56B8" w:rsidP="00190977">
            <w:pPr>
              <w:pStyle w:val="KeyText"/>
              <w:keepNext/>
              <w:keepLines/>
              <w:spacing w:before="0"/>
            </w:pPr>
            <w:r w:rsidRPr="004C15AC">
              <w:rPr>
                <w:noProof/>
                <w:lang w:eastAsia="it-IT"/>
              </w:rPr>
              <w:t>stud</w:t>
            </w:r>
          </w:p>
        </w:tc>
      </w:tr>
      <w:tr w:rsidR="001A56B8" w:rsidRPr="004C15AC" w14:paraId="7785B26B" w14:textId="77777777" w:rsidTr="00B15DDF">
        <w:tc>
          <w:tcPr>
            <w:tcW w:w="428" w:type="dxa"/>
          </w:tcPr>
          <w:p w14:paraId="30F28F56" w14:textId="43962E23" w:rsidR="001A56B8" w:rsidRPr="00B15DDF" w:rsidRDefault="001A56B8" w:rsidP="00190977">
            <w:pPr>
              <w:pStyle w:val="KeyText"/>
              <w:keepNext/>
              <w:keepLines/>
              <w:spacing w:before="0"/>
              <w:rPr>
                <w:iCs/>
              </w:rPr>
            </w:pPr>
            <w:r w:rsidRPr="00B15DDF">
              <w:rPr>
                <w:iCs/>
                <w:noProof/>
                <w:lang w:eastAsia="it-IT"/>
              </w:rPr>
              <w:t>2</w:t>
            </w:r>
          </w:p>
        </w:tc>
        <w:tc>
          <w:tcPr>
            <w:tcW w:w="8469" w:type="dxa"/>
          </w:tcPr>
          <w:p w14:paraId="6471A9A3" w14:textId="77777777" w:rsidR="001A56B8" w:rsidRPr="004C15AC" w:rsidRDefault="001A56B8" w:rsidP="00190977">
            <w:pPr>
              <w:pStyle w:val="KeyText"/>
              <w:keepNext/>
              <w:keepLines/>
              <w:spacing w:before="0"/>
            </w:pPr>
            <w:r w:rsidRPr="004C15AC">
              <w:rPr>
                <w:noProof/>
                <w:lang w:eastAsia="it-IT"/>
              </w:rPr>
              <w:t>chord stud</w:t>
            </w:r>
          </w:p>
        </w:tc>
      </w:tr>
      <w:tr w:rsidR="001A56B8" w:rsidRPr="004C15AC" w14:paraId="2A1808FB" w14:textId="77777777" w:rsidTr="00B15DDF">
        <w:tc>
          <w:tcPr>
            <w:tcW w:w="428" w:type="dxa"/>
          </w:tcPr>
          <w:p w14:paraId="5F1ABBC3" w14:textId="7374CAF4" w:rsidR="001A56B8" w:rsidRPr="00B15DDF" w:rsidRDefault="001A56B8" w:rsidP="00190977">
            <w:pPr>
              <w:pStyle w:val="KeyText"/>
              <w:keepNext/>
              <w:keepLines/>
              <w:spacing w:before="0"/>
              <w:rPr>
                <w:iCs/>
              </w:rPr>
            </w:pPr>
            <w:r w:rsidRPr="00B15DDF">
              <w:rPr>
                <w:iCs/>
                <w:noProof/>
                <w:lang w:eastAsia="it-IT"/>
              </w:rPr>
              <w:t>3</w:t>
            </w:r>
          </w:p>
        </w:tc>
        <w:tc>
          <w:tcPr>
            <w:tcW w:w="8469" w:type="dxa"/>
          </w:tcPr>
          <w:p w14:paraId="1FA222A6" w14:textId="77777777" w:rsidR="001A56B8" w:rsidRPr="004C15AC" w:rsidRDefault="001A56B8" w:rsidP="00190977">
            <w:pPr>
              <w:pStyle w:val="KeyText"/>
              <w:keepNext/>
              <w:keepLines/>
              <w:spacing w:before="0"/>
            </w:pPr>
            <w:r w:rsidRPr="004C15AC">
              <w:rPr>
                <w:noProof/>
                <w:lang w:eastAsia="it-IT"/>
              </w:rPr>
              <w:t>track</w:t>
            </w:r>
          </w:p>
        </w:tc>
      </w:tr>
      <w:tr w:rsidR="001A56B8" w:rsidRPr="004C15AC" w14:paraId="6376DA1C" w14:textId="77777777" w:rsidTr="00B15DDF">
        <w:tc>
          <w:tcPr>
            <w:tcW w:w="428" w:type="dxa"/>
          </w:tcPr>
          <w:p w14:paraId="771D5461" w14:textId="629AF577" w:rsidR="001A56B8" w:rsidRPr="00B15DDF" w:rsidRDefault="001A56B8" w:rsidP="00190977">
            <w:pPr>
              <w:pStyle w:val="KeyText"/>
              <w:keepNext/>
              <w:keepLines/>
              <w:spacing w:before="0"/>
              <w:rPr>
                <w:iCs/>
              </w:rPr>
            </w:pPr>
            <w:r w:rsidRPr="00B15DDF">
              <w:rPr>
                <w:iCs/>
                <w:noProof/>
                <w:lang w:eastAsia="it-IT"/>
              </w:rPr>
              <w:t>4</w:t>
            </w:r>
          </w:p>
        </w:tc>
        <w:tc>
          <w:tcPr>
            <w:tcW w:w="8469" w:type="dxa"/>
          </w:tcPr>
          <w:p w14:paraId="3B3B0D37" w14:textId="77777777" w:rsidR="001A56B8" w:rsidRPr="004C15AC" w:rsidRDefault="001A56B8" w:rsidP="00190977">
            <w:pPr>
              <w:pStyle w:val="KeyText"/>
              <w:keepNext/>
              <w:keepLines/>
              <w:spacing w:before="0"/>
            </w:pPr>
            <w:r w:rsidRPr="004C15AC">
              <w:rPr>
                <w:noProof/>
                <w:lang w:eastAsia="it-IT"/>
              </w:rPr>
              <w:t>hold-down</w:t>
            </w:r>
          </w:p>
        </w:tc>
      </w:tr>
      <w:tr w:rsidR="001A56B8" w:rsidRPr="004C15AC" w14:paraId="28B038D9" w14:textId="77777777" w:rsidTr="00B15DDF">
        <w:tc>
          <w:tcPr>
            <w:tcW w:w="428" w:type="dxa"/>
          </w:tcPr>
          <w:p w14:paraId="619A49EC" w14:textId="6DC7B5C3" w:rsidR="001A56B8" w:rsidRPr="00B15DDF" w:rsidRDefault="001A56B8" w:rsidP="00190977">
            <w:pPr>
              <w:pStyle w:val="KeyText"/>
              <w:keepNext/>
              <w:keepLines/>
              <w:spacing w:before="0"/>
              <w:rPr>
                <w:iCs/>
                <w:noProof/>
                <w:lang w:eastAsia="it-IT"/>
              </w:rPr>
            </w:pPr>
            <w:r w:rsidRPr="00B15DDF">
              <w:rPr>
                <w:iCs/>
                <w:noProof/>
                <w:lang w:eastAsia="it-IT"/>
              </w:rPr>
              <w:t>5</w:t>
            </w:r>
          </w:p>
        </w:tc>
        <w:tc>
          <w:tcPr>
            <w:tcW w:w="8469" w:type="dxa"/>
          </w:tcPr>
          <w:p w14:paraId="7712D632" w14:textId="77777777" w:rsidR="001A56B8" w:rsidRPr="004C15AC" w:rsidRDefault="001A56B8" w:rsidP="00190977">
            <w:pPr>
              <w:pStyle w:val="KeyText"/>
              <w:keepNext/>
              <w:keepLines/>
              <w:spacing w:before="0"/>
              <w:rPr>
                <w:noProof/>
                <w:lang w:eastAsia="it-IT"/>
              </w:rPr>
            </w:pPr>
            <w:r w:rsidRPr="004C15AC">
              <w:rPr>
                <w:noProof/>
                <w:lang w:eastAsia="it-IT"/>
              </w:rPr>
              <w:t>shear anchorage</w:t>
            </w:r>
          </w:p>
        </w:tc>
      </w:tr>
      <w:tr w:rsidR="001A56B8" w:rsidRPr="004C15AC" w14:paraId="5F3F1FE8" w14:textId="77777777" w:rsidTr="00B15DDF">
        <w:tc>
          <w:tcPr>
            <w:tcW w:w="428" w:type="dxa"/>
          </w:tcPr>
          <w:p w14:paraId="0B8199E7" w14:textId="2194EA62" w:rsidR="001A56B8" w:rsidRPr="00B15DDF" w:rsidRDefault="001A56B8" w:rsidP="00190977">
            <w:pPr>
              <w:pStyle w:val="KeyText"/>
              <w:keepNext/>
              <w:keepLines/>
              <w:spacing w:before="0"/>
              <w:rPr>
                <w:iCs/>
                <w:noProof/>
                <w:lang w:eastAsia="it-IT"/>
              </w:rPr>
            </w:pPr>
            <w:r w:rsidRPr="00B15DDF">
              <w:rPr>
                <w:iCs/>
                <w:noProof/>
                <w:lang w:eastAsia="it-IT"/>
              </w:rPr>
              <w:t>6</w:t>
            </w:r>
          </w:p>
        </w:tc>
        <w:tc>
          <w:tcPr>
            <w:tcW w:w="8469" w:type="dxa"/>
          </w:tcPr>
          <w:p w14:paraId="05F9E7D2" w14:textId="1F7E45E8" w:rsidR="001A56B8" w:rsidRPr="004C15AC" w:rsidRDefault="001A56B8" w:rsidP="00190977">
            <w:pPr>
              <w:pStyle w:val="KeyText"/>
              <w:keepNext/>
              <w:keepLines/>
              <w:spacing w:before="0"/>
              <w:rPr>
                <w:noProof/>
                <w:lang w:eastAsia="it-IT"/>
              </w:rPr>
            </w:pPr>
            <w:r w:rsidRPr="004C15AC">
              <w:rPr>
                <w:noProof/>
                <w:lang w:eastAsia="it-IT"/>
              </w:rPr>
              <w:t>steel sheet sheathing</w:t>
            </w:r>
          </w:p>
        </w:tc>
      </w:tr>
      <w:tr w:rsidR="001A56B8" w:rsidRPr="004C15AC" w14:paraId="021C062B" w14:textId="77777777" w:rsidTr="00B15DDF">
        <w:tc>
          <w:tcPr>
            <w:tcW w:w="428" w:type="dxa"/>
          </w:tcPr>
          <w:p w14:paraId="13B7DF1A" w14:textId="68F084D8" w:rsidR="001A56B8" w:rsidRPr="00B15DDF" w:rsidRDefault="001A56B8" w:rsidP="00190977">
            <w:pPr>
              <w:pStyle w:val="KeyText"/>
              <w:keepNext/>
              <w:keepLines/>
              <w:spacing w:before="0"/>
              <w:rPr>
                <w:iCs/>
                <w:noProof/>
                <w:lang w:eastAsia="it-IT"/>
              </w:rPr>
            </w:pPr>
            <w:r w:rsidRPr="00B15DDF">
              <w:rPr>
                <w:iCs/>
                <w:noProof/>
                <w:lang w:eastAsia="it-IT"/>
              </w:rPr>
              <w:t>7</w:t>
            </w:r>
          </w:p>
        </w:tc>
        <w:tc>
          <w:tcPr>
            <w:tcW w:w="8469" w:type="dxa"/>
          </w:tcPr>
          <w:p w14:paraId="0FF6976E" w14:textId="5427EE46" w:rsidR="001A56B8" w:rsidRPr="004C15AC" w:rsidRDefault="001A56B8" w:rsidP="00190977">
            <w:pPr>
              <w:pStyle w:val="KeyText"/>
              <w:keepNext/>
              <w:keepLines/>
              <w:spacing w:before="0"/>
              <w:rPr>
                <w:noProof/>
                <w:lang w:eastAsia="it-IT"/>
              </w:rPr>
            </w:pPr>
            <w:r w:rsidRPr="004C15AC">
              <w:rPr>
                <w:noProof/>
                <w:lang w:eastAsia="it-IT"/>
              </w:rPr>
              <w:t>screw at panel edge</w:t>
            </w:r>
          </w:p>
        </w:tc>
      </w:tr>
      <w:tr w:rsidR="001A56B8" w:rsidRPr="004C15AC" w14:paraId="67332B39" w14:textId="77777777" w:rsidTr="00B15DDF">
        <w:tc>
          <w:tcPr>
            <w:tcW w:w="428" w:type="dxa"/>
          </w:tcPr>
          <w:p w14:paraId="082563BC" w14:textId="6E254B1A" w:rsidR="001A56B8" w:rsidRPr="00B15DDF" w:rsidRDefault="001A56B8" w:rsidP="00190977">
            <w:pPr>
              <w:pStyle w:val="KeyText"/>
              <w:keepNext/>
              <w:keepLines/>
              <w:spacing w:before="0"/>
              <w:rPr>
                <w:iCs/>
                <w:noProof/>
                <w:lang w:eastAsia="it-IT"/>
              </w:rPr>
            </w:pPr>
            <w:r w:rsidRPr="00B15DDF">
              <w:rPr>
                <w:iCs/>
                <w:noProof/>
                <w:lang w:eastAsia="it-IT"/>
              </w:rPr>
              <w:t>8</w:t>
            </w:r>
          </w:p>
        </w:tc>
        <w:tc>
          <w:tcPr>
            <w:tcW w:w="8469" w:type="dxa"/>
          </w:tcPr>
          <w:p w14:paraId="1D6FDB0C" w14:textId="6BBAB709" w:rsidR="001A56B8" w:rsidRPr="004C15AC" w:rsidRDefault="001A56B8" w:rsidP="00190977">
            <w:pPr>
              <w:pStyle w:val="KeyText"/>
              <w:keepNext/>
              <w:keepLines/>
              <w:spacing w:before="0"/>
              <w:rPr>
                <w:noProof/>
                <w:lang w:eastAsia="it-IT"/>
              </w:rPr>
            </w:pPr>
            <w:r w:rsidRPr="004C15AC">
              <w:rPr>
                <w:noProof/>
                <w:lang w:eastAsia="it-IT"/>
              </w:rPr>
              <w:t>screw in the panel field</w:t>
            </w:r>
          </w:p>
        </w:tc>
      </w:tr>
      <w:tr w:rsidR="001A56B8" w:rsidRPr="004C15AC" w14:paraId="5CE9A3D0" w14:textId="77777777" w:rsidTr="00B15DDF">
        <w:tc>
          <w:tcPr>
            <w:tcW w:w="428" w:type="dxa"/>
          </w:tcPr>
          <w:p w14:paraId="299915A4" w14:textId="27BF0F38" w:rsidR="001A56B8" w:rsidRPr="00B15DDF" w:rsidRDefault="004C15AC" w:rsidP="00F1269D">
            <w:pPr>
              <w:pStyle w:val="KeyText"/>
              <w:spacing w:before="0"/>
              <w:rPr>
                <w:iCs/>
                <w:noProof/>
                <w:lang w:eastAsia="it-IT"/>
              </w:rPr>
            </w:pPr>
            <w:r w:rsidRPr="00B15DDF">
              <w:rPr>
                <w:iCs/>
                <w:noProof/>
                <w:lang w:eastAsia="it-IT"/>
              </w:rPr>
              <w:t>9</w:t>
            </w:r>
          </w:p>
        </w:tc>
        <w:tc>
          <w:tcPr>
            <w:tcW w:w="8469" w:type="dxa"/>
          </w:tcPr>
          <w:p w14:paraId="70E00340" w14:textId="66E49A1A" w:rsidR="001A56B8" w:rsidRPr="004C15AC" w:rsidRDefault="004C15AC" w:rsidP="00F1269D">
            <w:pPr>
              <w:pStyle w:val="KeyText"/>
              <w:spacing w:before="0"/>
              <w:rPr>
                <w:noProof/>
                <w:lang w:eastAsia="it-IT"/>
              </w:rPr>
            </w:pPr>
            <w:r w:rsidRPr="004C15AC">
              <w:rPr>
                <w:noProof/>
                <w:lang w:eastAsia="it-IT"/>
              </w:rPr>
              <w:t>sheathing joint</w:t>
            </w:r>
          </w:p>
        </w:tc>
      </w:tr>
      <w:tr w:rsidR="001A56B8" w:rsidRPr="004C15AC" w14:paraId="628F610C" w14:textId="77777777" w:rsidTr="00B15DDF">
        <w:tc>
          <w:tcPr>
            <w:tcW w:w="428" w:type="dxa"/>
          </w:tcPr>
          <w:p w14:paraId="0A9630F8" w14:textId="67B7AB09" w:rsidR="001A56B8" w:rsidRPr="00B15DDF" w:rsidRDefault="004C15AC" w:rsidP="00F1269D">
            <w:pPr>
              <w:pStyle w:val="KeyText"/>
              <w:spacing w:before="0"/>
              <w:rPr>
                <w:iCs/>
                <w:noProof/>
                <w:lang w:eastAsia="it-IT"/>
              </w:rPr>
            </w:pPr>
            <w:r w:rsidRPr="00B15DDF">
              <w:rPr>
                <w:iCs/>
                <w:noProof/>
                <w:lang w:eastAsia="it-IT"/>
              </w:rPr>
              <w:t>10</w:t>
            </w:r>
          </w:p>
        </w:tc>
        <w:tc>
          <w:tcPr>
            <w:tcW w:w="8469" w:type="dxa"/>
          </w:tcPr>
          <w:p w14:paraId="3EE14135" w14:textId="13525AE1" w:rsidR="001A56B8" w:rsidRPr="004C15AC" w:rsidRDefault="004C15AC" w:rsidP="00F1269D">
            <w:pPr>
              <w:pStyle w:val="KeyText"/>
              <w:spacing w:before="0"/>
              <w:rPr>
                <w:noProof/>
                <w:lang w:eastAsia="it-IT"/>
              </w:rPr>
            </w:pPr>
            <w:r w:rsidRPr="004C15AC">
              <w:rPr>
                <w:noProof/>
                <w:lang w:eastAsia="it-IT"/>
              </w:rPr>
              <w:t>tension anchorage</w:t>
            </w:r>
            <w:r w:rsidR="006F5766">
              <w:rPr>
                <w:noProof/>
                <w:lang w:eastAsia="it-IT"/>
              </w:rPr>
              <w:t xml:space="preserve"> (with</w:t>
            </w:r>
            <w:r w:rsidRPr="004C15AC">
              <w:rPr>
                <w:noProof/>
                <w:lang w:eastAsia="it-IT"/>
              </w:rPr>
              <w:t xml:space="preserve"> </w:t>
            </w:r>
            <w:r w:rsidRPr="004C15AC">
              <w:rPr>
                <w:i/>
                <w:noProof/>
                <w:lang w:eastAsia="it-IT"/>
              </w:rPr>
              <w:t>s</w:t>
            </w:r>
            <w:r w:rsidRPr="004C15AC">
              <w:rPr>
                <w:iCs/>
                <w:noProof/>
                <w:vertAlign w:val="subscript"/>
                <w:lang w:eastAsia="it-IT"/>
              </w:rPr>
              <w:t>s</w:t>
            </w:r>
            <w:r w:rsidRPr="004C15AC">
              <w:rPr>
                <w:noProof/>
                <w:lang w:eastAsia="it-IT"/>
              </w:rPr>
              <w:t xml:space="preserve"> stud spacing</w:t>
            </w:r>
            <w:r w:rsidR="006F5766">
              <w:rPr>
                <w:noProof/>
                <w:lang w:eastAsia="it-IT"/>
              </w:rPr>
              <w:t>,</w:t>
            </w:r>
            <w:r w:rsidRPr="004C15AC">
              <w:rPr>
                <w:noProof/>
                <w:lang w:eastAsia="it-IT"/>
              </w:rPr>
              <w:t xml:space="preserve"> </w:t>
            </w:r>
            <w:r w:rsidRPr="004C15AC">
              <w:rPr>
                <w:i/>
                <w:noProof/>
                <w:lang w:eastAsia="it-IT"/>
              </w:rPr>
              <w:t>s</w:t>
            </w:r>
            <w:r w:rsidRPr="004C15AC">
              <w:rPr>
                <w:iCs/>
                <w:noProof/>
                <w:vertAlign w:val="subscript"/>
                <w:lang w:eastAsia="it-IT"/>
              </w:rPr>
              <w:t>f</w:t>
            </w:r>
            <w:r w:rsidRPr="004C15AC">
              <w:rPr>
                <w:noProof/>
                <w:lang w:eastAsia="it-IT"/>
              </w:rPr>
              <w:t xml:space="preserve"> screw spacing in the panel field</w:t>
            </w:r>
            <w:r w:rsidR="005B69A1">
              <w:rPr>
                <w:noProof/>
                <w:lang w:eastAsia="it-IT"/>
              </w:rPr>
              <w:t xml:space="preserve"> and</w:t>
            </w:r>
            <w:r w:rsidRPr="004C15AC">
              <w:rPr>
                <w:noProof/>
                <w:lang w:eastAsia="it-IT"/>
              </w:rPr>
              <w:t xml:space="preserve"> </w:t>
            </w:r>
            <w:r w:rsidRPr="004C15AC">
              <w:rPr>
                <w:i/>
                <w:noProof/>
                <w:lang w:eastAsia="it-IT"/>
              </w:rPr>
              <w:t>s</w:t>
            </w:r>
            <w:r w:rsidRPr="004C15AC">
              <w:rPr>
                <w:noProof/>
                <w:lang w:eastAsia="it-IT"/>
              </w:rPr>
              <w:t xml:space="preserve"> screw spacing at panel edge</w:t>
            </w:r>
            <w:r w:rsidR="006F5766">
              <w:rPr>
                <w:noProof/>
                <w:lang w:eastAsia="it-IT"/>
              </w:rPr>
              <w:t>)</w:t>
            </w:r>
          </w:p>
        </w:tc>
      </w:tr>
    </w:tbl>
    <w:p w14:paraId="0EA7FFC2" w14:textId="77777777" w:rsidR="001A56B8" w:rsidRPr="006E2EC9" w:rsidRDefault="001A56B8" w:rsidP="001A56B8">
      <w:pPr>
        <w:pStyle w:val="Figuretitle"/>
      </w:pPr>
      <w:r w:rsidRPr="006E2EC9">
        <w:t>Figure</w:t>
      </w:r>
      <w:r w:rsidRPr="006E2EC9" w:rsidDel="009E442B">
        <w:t xml:space="preserve"> </w:t>
      </w:r>
      <w:r w:rsidRPr="006E2EC9">
        <w:t>F.2 — Shear walls with steel sheet sheathing</w:t>
      </w:r>
    </w:p>
    <w:p w14:paraId="5E0B637B" w14:textId="77777777" w:rsidR="001A56B8" w:rsidRPr="00FD17CF" w:rsidRDefault="001A56B8" w:rsidP="001A56B8">
      <w:pPr>
        <w:pStyle w:val="a3"/>
      </w:pPr>
      <w:bookmarkStart w:id="11363" w:name="_Toc50150756"/>
      <w:bookmarkStart w:id="11364" w:name="_Toc70887189"/>
      <w:bookmarkStart w:id="11365" w:name="_Toc108342788"/>
      <w:bookmarkStart w:id="11366" w:name="_Toc120543874"/>
      <w:bookmarkStart w:id="11367" w:name="_Toc134198295"/>
      <w:r w:rsidRPr="00FD17CF">
        <w:t>Geometrical and mechanical provisions for the components and parts</w:t>
      </w:r>
      <w:bookmarkEnd w:id="11363"/>
      <w:bookmarkEnd w:id="11364"/>
      <w:r w:rsidRPr="007A12D8">
        <w:rPr>
          <w:rFonts w:ascii="Arial" w:eastAsia="Times New Roman" w:hAnsi="Arial" w:cs="Times New Roman"/>
          <w:b w:val="0"/>
          <w:sz w:val="22"/>
          <w:lang w:eastAsia="en-US"/>
        </w:rPr>
        <w:t xml:space="preserve"> </w:t>
      </w:r>
      <w:r w:rsidRPr="00A1437F">
        <w:t>for dissipative DC2 and DC3 structural behaviour</w:t>
      </w:r>
      <w:bookmarkEnd w:id="11365"/>
      <w:bookmarkEnd w:id="11366"/>
      <w:bookmarkEnd w:id="11367"/>
    </w:p>
    <w:p w14:paraId="75F453C0" w14:textId="7E6393BB" w:rsidR="001A56B8" w:rsidRPr="00196951" w:rsidRDefault="001A56B8" w:rsidP="0080187E">
      <w:pPr>
        <w:pStyle w:val="Clause"/>
        <w:numPr>
          <w:ilvl w:val="0"/>
          <w:numId w:val="229"/>
        </w:numPr>
      </w:pPr>
      <w:r w:rsidRPr="00E05E29">
        <w:t>a) to k) should be satisfied:</w:t>
      </w:r>
    </w:p>
    <w:p w14:paraId="393DE66F" w14:textId="77777777" w:rsidR="001A56B8" w:rsidRPr="002144A0" w:rsidRDefault="001A56B8" w:rsidP="00B15DDF">
      <w:pPr>
        <w:pStyle w:val="Text"/>
        <w:numPr>
          <w:ilvl w:val="0"/>
          <w:numId w:val="721"/>
        </w:numPr>
        <w:spacing w:after="200"/>
      </w:pPr>
      <w:r w:rsidRPr="00196951">
        <w:t xml:space="preserve">thickness of steel sheet sheathing should be in the range from 0,4 mm </w:t>
      </w:r>
      <w:r w:rsidRPr="002144A0">
        <w:t>to 0,9 mm;</w:t>
      </w:r>
    </w:p>
    <w:p w14:paraId="16BE0991" w14:textId="77777777" w:rsidR="001A56B8" w:rsidRPr="004F25D7" w:rsidRDefault="001A56B8" w:rsidP="00B15DDF">
      <w:pPr>
        <w:pStyle w:val="Text"/>
        <w:numPr>
          <w:ilvl w:val="0"/>
          <w:numId w:val="721"/>
        </w:numPr>
        <w:spacing w:after="200"/>
      </w:pPr>
      <w:r w:rsidRPr="002144A0">
        <w:t>yield stress of steel sheet sheathing should not be greater than 350 MPa;</w:t>
      </w:r>
    </w:p>
    <w:p w14:paraId="1381BFF8" w14:textId="77777777" w:rsidR="001A56B8" w:rsidRPr="00A1437F" w:rsidRDefault="001A56B8" w:rsidP="00B15DDF">
      <w:pPr>
        <w:pStyle w:val="Text"/>
        <w:numPr>
          <w:ilvl w:val="0"/>
          <w:numId w:val="721"/>
        </w:numPr>
        <w:spacing w:after="200"/>
      </w:pPr>
      <w:r w:rsidRPr="00A1437F">
        <w:t>thickness of steel frame elements should be greater than 0,9 mm;</w:t>
      </w:r>
    </w:p>
    <w:p w14:paraId="73AE3AB9" w14:textId="77777777" w:rsidR="001A56B8" w:rsidRPr="00A1437F" w:rsidRDefault="001A56B8" w:rsidP="00B15DDF">
      <w:pPr>
        <w:pStyle w:val="Text"/>
        <w:numPr>
          <w:ilvl w:val="0"/>
          <w:numId w:val="721"/>
        </w:numPr>
        <w:spacing w:after="200"/>
      </w:pPr>
      <w:r w:rsidRPr="00A1437F">
        <w:t xml:space="preserve">studs and tracks should have nominal yield strength </w:t>
      </w:r>
      <w:r w:rsidRPr="00A1437F">
        <w:rPr>
          <w:i/>
          <w:iCs/>
        </w:rPr>
        <w:t>f</w:t>
      </w:r>
      <w:r w:rsidRPr="00A1437F">
        <w:rPr>
          <w:vertAlign w:val="subscript"/>
        </w:rPr>
        <w:t>y</w:t>
      </w:r>
      <w:r w:rsidRPr="00A1437F">
        <w:t xml:space="preserve"> of 220 MPa for members with thickness smaller than 1,4 mm, and of 350 MPa for members with thickness at least 1,4 mm;</w:t>
      </w:r>
    </w:p>
    <w:p w14:paraId="7E0FBCCB" w14:textId="77777777" w:rsidR="001A56B8" w:rsidRPr="00A1437F" w:rsidRDefault="001A56B8" w:rsidP="00B15DDF">
      <w:pPr>
        <w:pStyle w:val="Text"/>
        <w:numPr>
          <w:ilvl w:val="0"/>
          <w:numId w:val="721"/>
        </w:numPr>
        <w:spacing w:after="200"/>
      </w:pPr>
      <w:r w:rsidRPr="00A1437F">
        <w:t xml:space="preserve">screw spacing </w:t>
      </w:r>
      <w:r>
        <w:rPr>
          <w:i/>
          <w:iCs/>
        </w:rPr>
        <w:t>s</w:t>
      </w:r>
      <w:r>
        <w:t xml:space="preserve"> </w:t>
      </w:r>
      <w:r w:rsidRPr="00A1437F">
        <w:t>at panel edges should be in the range from 50 mm to 150 mm and between the edges at most 300 mm;</w:t>
      </w:r>
    </w:p>
    <w:p w14:paraId="3CCAC609" w14:textId="77777777" w:rsidR="001A56B8" w:rsidRPr="00A1437F" w:rsidRDefault="001A56B8" w:rsidP="00B15DDF">
      <w:pPr>
        <w:pStyle w:val="Text"/>
        <w:numPr>
          <w:ilvl w:val="0"/>
          <w:numId w:val="721"/>
        </w:numPr>
        <w:spacing w:after="200"/>
      </w:pPr>
      <w:r w:rsidRPr="00A1437F">
        <w:t>screw spacing</w:t>
      </w:r>
      <w:r>
        <w:t xml:space="preserve"> </w:t>
      </w:r>
      <w:r>
        <w:rPr>
          <w:i/>
          <w:iCs/>
        </w:rPr>
        <w:t>s</w:t>
      </w:r>
      <w:r w:rsidRPr="00A1437F">
        <w:t xml:space="preserve"> in the panel field should be not more than 300 mm;</w:t>
      </w:r>
    </w:p>
    <w:p w14:paraId="4A1C1EB6" w14:textId="77777777" w:rsidR="001A56B8" w:rsidRPr="00132C1E" w:rsidRDefault="001A56B8" w:rsidP="00B15DDF">
      <w:pPr>
        <w:pStyle w:val="Text"/>
        <w:numPr>
          <w:ilvl w:val="0"/>
          <w:numId w:val="721"/>
        </w:numPr>
        <w:spacing w:after="200"/>
      </w:pPr>
      <w:r w:rsidRPr="00132C1E">
        <w:t>sheathing screw diamet</w:t>
      </w:r>
      <w:r>
        <w:t>re</w:t>
      </w:r>
      <w:r w:rsidRPr="00132C1E">
        <w:t xml:space="preserve"> should be in the range from 4,2 mm to 4,8 mm;</w:t>
      </w:r>
    </w:p>
    <w:p w14:paraId="33D304FC" w14:textId="77777777" w:rsidR="001A56B8" w:rsidRPr="00132C1E" w:rsidRDefault="001A56B8" w:rsidP="00B15DDF">
      <w:pPr>
        <w:pStyle w:val="Text"/>
        <w:numPr>
          <w:ilvl w:val="0"/>
          <w:numId w:val="721"/>
        </w:numPr>
        <w:spacing w:after="200"/>
      </w:pPr>
      <w:r w:rsidRPr="00132C1E">
        <w:t>the end distance from the centre of the screw to the steel sheet sheathing edges should be at least 13 mm;</w:t>
      </w:r>
    </w:p>
    <w:p w14:paraId="4172FB5B" w14:textId="77777777" w:rsidR="001A56B8" w:rsidRPr="00132C1E" w:rsidRDefault="001A56B8" w:rsidP="00B15DDF">
      <w:pPr>
        <w:pStyle w:val="Text"/>
        <w:numPr>
          <w:ilvl w:val="0"/>
          <w:numId w:val="721"/>
        </w:numPr>
        <w:spacing w:after="200"/>
        <w:ind w:left="0" w:firstLine="0"/>
      </w:pPr>
      <w:r w:rsidRPr="00132C1E">
        <w:t>steel sheet panels less than 300 mm wide should not be used;</w:t>
      </w:r>
    </w:p>
    <w:p w14:paraId="7321BAA8" w14:textId="77777777" w:rsidR="001A56B8" w:rsidRPr="00132C1E" w:rsidRDefault="001A56B8" w:rsidP="00B15DDF">
      <w:pPr>
        <w:pStyle w:val="Text"/>
        <w:numPr>
          <w:ilvl w:val="0"/>
          <w:numId w:val="721"/>
        </w:numPr>
        <w:spacing w:after="200"/>
        <w:ind w:left="0" w:firstLine="0"/>
      </w:pPr>
      <w:r w:rsidRPr="00132C1E">
        <w:t>maximum stud spacing</w:t>
      </w:r>
      <w:r w:rsidRPr="00997954">
        <w:rPr>
          <w:color w:val="000000" w:themeColor="text1"/>
        </w:rPr>
        <w:t xml:space="preserve"> </w:t>
      </w:r>
      <w:r w:rsidRPr="00997954">
        <w:rPr>
          <w:i/>
          <w:iCs/>
          <w:color w:val="000000" w:themeColor="text1"/>
        </w:rPr>
        <w:t>s</w:t>
      </w:r>
      <w:r w:rsidRPr="00997954">
        <w:rPr>
          <w:color w:val="000000" w:themeColor="text1"/>
          <w:vertAlign w:val="subscript"/>
        </w:rPr>
        <w:t>s</w:t>
      </w:r>
      <w:r w:rsidRPr="00997954">
        <w:rPr>
          <w:color w:val="000000" w:themeColor="text1"/>
        </w:rPr>
        <w:t xml:space="preserve"> </w:t>
      </w:r>
      <w:r w:rsidRPr="00132C1E">
        <w:t>should be 600 mm on centres;</w:t>
      </w:r>
    </w:p>
    <w:p w14:paraId="7002AEBF" w14:textId="3F286355" w:rsidR="001A56B8" w:rsidRPr="00132C1E" w:rsidRDefault="001A56B8" w:rsidP="00B15DDF">
      <w:pPr>
        <w:pStyle w:val="Text"/>
        <w:numPr>
          <w:ilvl w:val="0"/>
          <w:numId w:val="721"/>
        </w:numPr>
        <w:spacing w:after="200"/>
        <w:ind w:left="0" w:firstLine="0"/>
      </w:pPr>
      <w:r w:rsidRPr="00132C1E">
        <w:t>all sheathing panel edges should be attached to joists or tracks, sheathing panels should be connected without horizontal joints, and where shear walls need multiple vertical sheathing panels, a single stud should be used at the sheathing joint, unless the connection between the coupled studs is designed for the shear transfer between sheathing panels.</w:t>
      </w:r>
    </w:p>
    <w:p w14:paraId="31F6CEFF" w14:textId="77777777" w:rsidR="001A56B8" w:rsidRPr="00132C1E" w:rsidRDefault="001A56B8" w:rsidP="001A56B8">
      <w:pPr>
        <w:pStyle w:val="a3"/>
      </w:pPr>
      <w:bookmarkStart w:id="11368" w:name="_Toc50150757"/>
      <w:bookmarkStart w:id="11369" w:name="_Toc70887190"/>
      <w:bookmarkStart w:id="11370" w:name="_Toc108342789"/>
      <w:bookmarkStart w:id="11371" w:name="_Toc120543875"/>
      <w:bookmarkStart w:id="11372" w:name="_Toc134198296"/>
      <w:r w:rsidRPr="00132C1E">
        <w:t>Overstrength provisions</w:t>
      </w:r>
      <w:bookmarkEnd w:id="11368"/>
      <w:bookmarkEnd w:id="11369"/>
      <w:bookmarkEnd w:id="11370"/>
      <w:bookmarkEnd w:id="11371"/>
      <w:bookmarkEnd w:id="11372"/>
    </w:p>
    <w:p w14:paraId="646FDEFB" w14:textId="77777777" w:rsidR="001A56B8" w:rsidRDefault="001A56B8" w:rsidP="0080187E">
      <w:pPr>
        <w:pStyle w:val="Clause"/>
        <w:numPr>
          <w:ilvl w:val="0"/>
          <w:numId w:val="230"/>
        </w:numPr>
      </w:pPr>
      <w:r w:rsidRPr="006B2D99">
        <w:t>The non-dissipative components in a) to d) of the shear wall with steel sheathing should be designed with overstrength:</w:t>
      </w:r>
    </w:p>
    <w:p w14:paraId="32CA34ED" w14:textId="77777777" w:rsidR="001A56B8" w:rsidRDefault="001A56B8" w:rsidP="00B15DDF">
      <w:pPr>
        <w:pStyle w:val="Text"/>
        <w:numPr>
          <w:ilvl w:val="0"/>
          <w:numId w:val="722"/>
        </w:numPr>
        <w:spacing w:after="200"/>
        <w:ind w:left="360"/>
      </w:pPr>
      <w:r w:rsidRPr="006B2D99">
        <w:t>chord studs or other compressed vertical boundary elements at the ends of the wall;</w:t>
      </w:r>
    </w:p>
    <w:p w14:paraId="125D379A" w14:textId="77777777" w:rsidR="001A56B8" w:rsidRDefault="001A56B8" w:rsidP="00B15DDF">
      <w:pPr>
        <w:pStyle w:val="Text"/>
        <w:numPr>
          <w:ilvl w:val="0"/>
          <w:numId w:val="722"/>
        </w:numPr>
        <w:spacing w:after="200"/>
        <w:ind w:left="360"/>
      </w:pPr>
      <w:r w:rsidRPr="006B2D99">
        <w:t>tracks;</w:t>
      </w:r>
    </w:p>
    <w:p w14:paraId="1D2AB7B5" w14:textId="77777777" w:rsidR="001A56B8" w:rsidRDefault="001A56B8" w:rsidP="00B15DDF">
      <w:pPr>
        <w:pStyle w:val="Text"/>
        <w:numPr>
          <w:ilvl w:val="0"/>
          <w:numId w:val="722"/>
        </w:numPr>
        <w:spacing w:after="200"/>
        <w:ind w:left="360"/>
      </w:pPr>
      <w:r w:rsidRPr="006B2D99">
        <w:t>hold-downs and tension anchorage and their connections or other tensioned vertical boundary elements at the ends of wall;</w:t>
      </w:r>
    </w:p>
    <w:p w14:paraId="0AD66D67" w14:textId="77777777" w:rsidR="001A56B8" w:rsidRDefault="001A56B8" w:rsidP="00B15DDF">
      <w:pPr>
        <w:pStyle w:val="Text"/>
        <w:numPr>
          <w:ilvl w:val="0"/>
          <w:numId w:val="722"/>
        </w:numPr>
        <w:spacing w:after="200"/>
        <w:ind w:left="360"/>
      </w:pPr>
      <w:r w:rsidRPr="006B2D99">
        <w:t>all other components and connections in the wall.</w:t>
      </w:r>
    </w:p>
    <w:p w14:paraId="5F2FC94E" w14:textId="77777777" w:rsidR="001A56B8" w:rsidRPr="0074042F" w:rsidRDefault="001A56B8" w:rsidP="0080187E">
      <w:pPr>
        <w:pStyle w:val="Clause"/>
        <w:numPr>
          <w:ilvl w:val="0"/>
          <w:numId w:val="229"/>
        </w:numPr>
      </w:pPr>
      <w:r w:rsidRPr="0074042F">
        <w:t>In DC2, non-dissipative components in a) to d) of the shear wall with steel sheathing should be designed in accordance with 11.14.3(1).</w:t>
      </w:r>
    </w:p>
    <w:p w14:paraId="474A9AB7" w14:textId="77777777" w:rsidR="001A56B8" w:rsidRPr="0074042F" w:rsidRDefault="001A56B8" w:rsidP="0080187E">
      <w:pPr>
        <w:pStyle w:val="Clause"/>
        <w:numPr>
          <w:ilvl w:val="0"/>
          <w:numId w:val="229"/>
        </w:numPr>
      </w:pPr>
      <w:r w:rsidRPr="0074042F">
        <w:t xml:space="preserve">In DC3, non-dissipative components in a) to d) of the shear wall with steel sheathing should be designed to resist the total action effect </w:t>
      </w:r>
      <w:r w:rsidRPr="0074042F">
        <w:rPr>
          <w:i/>
          <w:iCs/>
        </w:rPr>
        <w:t>E</w:t>
      </w:r>
      <w:r w:rsidRPr="0074042F">
        <w:rPr>
          <w:vertAlign w:val="subscript"/>
        </w:rPr>
        <w:t>Ed</w:t>
      </w:r>
      <w:r w:rsidRPr="0074042F">
        <w:t xml:space="preserve"> </w:t>
      </w:r>
      <w:r w:rsidRPr="004C15AC">
        <w:rPr>
          <w:color w:val="auto"/>
        </w:rPr>
        <w:t>from Formula (F.2):</w:t>
      </w:r>
    </w:p>
    <w:p w14:paraId="29387E42" w14:textId="245B497E" w:rsidR="004C15AC" w:rsidRPr="00870D59" w:rsidRDefault="009B5CEC" w:rsidP="004C15AC">
      <w:pPr>
        <w:pStyle w:val="Formula"/>
        <w:spacing w:before="240"/>
      </w:pPr>
      <m:oMath>
        <m:sSub>
          <m:sSubPr>
            <m:ctrlPr>
              <w:rPr>
                <w:rFonts w:ascii="Cambria Math" w:hAnsi="Cambria Math"/>
                <w:lang w:val="fr-FR"/>
              </w:rPr>
            </m:ctrlPr>
          </m:sSubPr>
          <m:e>
            <m:r>
              <w:rPr>
                <w:rFonts w:ascii="Cambria Math" w:hAnsi="Cambria Math"/>
                <w:lang w:val="fr-FR"/>
              </w:rPr>
              <m:t>E</m:t>
            </m:r>
          </m:e>
          <m:sub>
            <m:r>
              <m:rPr>
                <m:sty m:val="p"/>
              </m:rPr>
              <w:rPr>
                <w:rFonts w:ascii="Cambria Math" w:hAnsi="Cambria Math"/>
              </w:rPr>
              <m:t>Ed</m:t>
            </m:r>
          </m:sub>
        </m:sSub>
        <m:r>
          <m:rPr>
            <m:sty m:val="p"/>
          </m:rPr>
          <w:rPr>
            <w:rFonts w:ascii="Cambria Math" w:hAnsi="Cambria Math"/>
          </w:rPr>
          <m:t>=</m:t>
        </m:r>
        <m:sSub>
          <m:sSubPr>
            <m:ctrlPr>
              <w:rPr>
                <w:rFonts w:ascii="Cambria Math" w:hAnsi="Cambria Math"/>
                <w:lang w:val="fr-FR"/>
              </w:rPr>
            </m:ctrlPr>
          </m:sSubPr>
          <m:e>
            <m:r>
              <w:rPr>
                <w:rFonts w:ascii="Cambria Math" w:hAnsi="Cambria Math"/>
                <w:lang w:val="fr-FR"/>
              </w:rPr>
              <m:t>E</m:t>
            </m:r>
          </m:e>
          <m:sub>
            <m:r>
              <m:rPr>
                <m:sty m:val="p"/>
              </m:rPr>
              <w:rPr>
                <w:rFonts w:ascii="Cambria Math" w:hAnsi="Cambria Math"/>
              </w:rPr>
              <m:t>Ed,G</m:t>
            </m:r>
          </m:sub>
        </m:sSub>
        <m:r>
          <m:rPr>
            <m:sty m:val="p"/>
          </m:rPr>
          <w:rPr>
            <w:rFonts w:ascii="Cambria Math" w:hAnsi="Cambria Math"/>
          </w:rPr>
          <m:t xml:space="preserve"> </m:t>
        </m:r>
        <m:r>
          <w:rPr>
            <w:rFonts w:ascii="Cambria Math" w:hAnsi="Cambria Math"/>
          </w:rPr>
          <m:t xml:space="preserve">"+" </m:t>
        </m:r>
        <m:sSub>
          <m:sSubPr>
            <m:ctrlPr>
              <w:rPr>
                <w:rFonts w:ascii="Cambria Math" w:hAnsi="Cambria Math"/>
                <w:i/>
                <w:szCs w:val="24"/>
              </w:rPr>
            </m:ctrlPr>
          </m:sSubPr>
          <m:e>
            <m:r>
              <w:rPr>
                <w:rFonts w:ascii="Cambria Math" w:hAnsi="Cambria Math"/>
              </w:rPr>
              <m:t>1,4 E</m:t>
            </m:r>
          </m:e>
          <m:sub>
            <m:r>
              <m:rPr>
                <m:sty m:val="p"/>
              </m:rPr>
              <w:rPr>
                <w:rFonts w:ascii="Cambria Math" w:hAnsi="Cambria Math"/>
              </w:rPr>
              <m:t>Rc,Rd</m:t>
            </m:r>
          </m:sub>
        </m:sSub>
      </m:oMath>
      <w:r w:rsidR="004C15AC" w:rsidRPr="00870D59">
        <w:tab/>
        <w:t>(</w:t>
      </w:r>
      <w:r w:rsidR="004C15AC">
        <w:t>F</w:t>
      </w:r>
      <w:r w:rsidR="004C15AC" w:rsidRPr="00870D59">
        <w:t>.</w:t>
      </w:r>
      <w:r w:rsidR="004C15AC">
        <w:t>2</w:t>
      </w:r>
      <w:r w:rsidR="004C15AC" w:rsidRPr="00870D59">
        <w:t>)</w:t>
      </w:r>
    </w:p>
    <w:p w14:paraId="77507E0B" w14:textId="7F649FFD" w:rsidR="004C15AC" w:rsidRDefault="00675EBA" w:rsidP="004C15AC">
      <w:pPr>
        <w:pStyle w:val="Text"/>
      </w:pPr>
      <w:r>
        <w:t>where</w:t>
      </w:r>
    </w:p>
    <w:tbl>
      <w:tblPr>
        <w:tblW w:w="0" w:type="auto"/>
        <w:tblInd w:w="346" w:type="dxa"/>
        <w:tblLook w:val="04A0" w:firstRow="1" w:lastRow="0" w:firstColumn="1" w:lastColumn="0" w:noHBand="0" w:noVBand="1"/>
      </w:tblPr>
      <w:tblGrid>
        <w:gridCol w:w="1275"/>
        <w:gridCol w:w="7938"/>
      </w:tblGrid>
      <w:tr w:rsidR="004C15AC" w:rsidRPr="00870D59" w14:paraId="050CD6F2" w14:textId="77777777" w:rsidTr="00B15DDF">
        <w:tc>
          <w:tcPr>
            <w:tcW w:w="1275" w:type="dxa"/>
          </w:tcPr>
          <w:p w14:paraId="6600648E" w14:textId="77777777" w:rsidR="004C15AC" w:rsidRPr="00460668" w:rsidRDefault="004C15AC" w:rsidP="002061E5">
            <w:pPr>
              <w:spacing w:after="60"/>
              <w:rPr>
                <w:rFonts w:eastAsia="Times New Roman" w:cs="Cambria"/>
                <w:szCs w:val="20"/>
                <w:lang w:eastAsia="fr-FR"/>
              </w:rPr>
            </w:pPr>
            <w:r w:rsidRPr="00A1437F">
              <w:rPr>
                <w:i/>
                <w:iCs/>
              </w:rPr>
              <w:t>E</w:t>
            </w:r>
            <w:r w:rsidRPr="00A1437F">
              <w:rPr>
                <w:vertAlign w:val="subscript"/>
              </w:rPr>
              <w:t xml:space="preserve">Ed,G </w:t>
            </w:r>
          </w:p>
        </w:tc>
        <w:tc>
          <w:tcPr>
            <w:tcW w:w="7938" w:type="dxa"/>
          </w:tcPr>
          <w:p w14:paraId="381E7F77" w14:textId="3C67683C" w:rsidR="004C15AC" w:rsidRPr="00870D59" w:rsidRDefault="004C15AC" w:rsidP="002061E5">
            <w:pPr>
              <w:spacing w:after="60"/>
              <w:rPr>
                <w:rFonts w:eastAsia="Times New Roman" w:cs="Cambria"/>
                <w:szCs w:val="20"/>
                <w:lang w:eastAsia="fr-FR"/>
              </w:rPr>
            </w:pPr>
            <w:r w:rsidRPr="006E2EC9">
              <w:rPr>
                <w:iCs/>
              </w:rPr>
              <w:t>is the action effect due to the non-seismic actions in the seismic design situation;</w:t>
            </w:r>
          </w:p>
        </w:tc>
      </w:tr>
      <w:tr w:rsidR="004C15AC" w:rsidRPr="00870D59" w14:paraId="46C1C322" w14:textId="77777777" w:rsidTr="00B15DDF">
        <w:tc>
          <w:tcPr>
            <w:tcW w:w="1275" w:type="dxa"/>
          </w:tcPr>
          <w:p w14:paraId="589EA5CE" w14:textId="0D0BF662" w:rsidR="004C15AC" w:rsidRPr="00460668" w:rsidRDefault="004C15AC" w:rsidP="002061E5">
            <w:pPr>
              <w:spacing w:after="60"/>
              <w:rPr>
                <w:rFonts w:eastAsia="Times New Roman" w:cs="Cambria"/>
                <w:szCs w:val="20"/>
                <w:lang w:eastAsia="fr-FR"/>
              </w:rPr>
            </w:pPr>
            <w:r w:rsidRPr="006E2EC9">
              <w:rPr>
                <w:i/>
              </w:rPr>
              <w:t>E</w:t>
            </w:r>
            <w:r w:rsidRPr="006E2EC9">
              <w:rPr>
                <w:iCs/>
                <w:vertAlign w:val="subscript"/>
              </w:rPr>
              <w:t>Rc,Rd</w:t>
            </w:r>
          </w:p>
        </w:tc>
        <w:tc>
          <w:tcPr>
            <w:tcW w:w="7938" w:type="dxa"/>
          </w:tcPr>
          <w:p w14:paraId="594BA9E6" w14:textId="554F279B" w:rsidR="004C15AC" w:rsidRPr="00870D59" w:rsidRDefault="004C15AC" w:rsidP="002061E5">
            <w:pPr>
              <w:spacing w:after="60"/>
              <w:rPr>
                <w:rFonts w:eastAsia="Times New Roman" w:cs="Cambria"/>
                <w:szCs w:val="20"/>
                <w:lang w:eastAsia="fr-FR"/>
              </w:rPr>
            </w:pPr>
            <w:r w:rsidRPr="006E2EC9">
              <w:rPr>
                <w:iCs/>
              </w:rPr>
              <w:t xml:space="preserve">is the action effect due to the design resistance </w:t>
            </w:r>
            <w:r w:rsidRPr="006E2EC9">
              <w:rPr>
                <w:i/>
                <w:iCs/>
              </w:rPr>
              <w:t>R</w:t>
            </w:r>
            <w:r w:rsidRPr="006E2EC9">
              <w:rPr>
                <w:vertAlign w:val="subscript"/>
              </w:rPr>
              <w:t>c,Rd</w:t>
            </w:r>
            <w:r w:rsidRPr="006E2EC9">
              <w:t xml:space="preserve"> </w:t>
            </w:r>
            <w:r w:rsidRPr="006E2EC9">
              <w:rPr>
                <w:rFonts w:asciiTheme="majorHAnsi" w:eastAsiaTheme="minorEastAsia" w:hAnsiTheme="majorHAnsi"/>
                <w:lang w:eastAsia="it-IT"/>
              </w:rPr>
              <w:t>of the member-to-steel sheathing connections within the effective sheathing strip</w:t>
            </w:r>
            <w:r w:rsidRPr="006E2EC9">
              <w:rPr>
                <w:iCs/>
              </w:rPr>
              <w:t>;</w:t>
            </w:r>
          </w:p>
        </w:tc>
      </w:tr>
      <w:tr w:rsidR="004C15AC" w:rsidRPr="00870D59" w14:paraId="7330825D" w14:textId="77777777" w:rsidTr="00B15DDF">
        <w:tc>
          <w:tcPr>
            <w:tcW w:w="1275" w:type="dxa"/>
          </w:tcPr>
          <w:p w14:paraId="32CBDEE3" w14:textId="77777777" w:rsidR="004C15AC" w:rsidRPr="00A1437F" w:rsidRDefault="004C15AC" w:rsidP="002061E5">
            <w:pPr>
              <w:spacing w:after="60"/>
              <w:rPr>
                <w:i/>
                <w:iCs/>
              </w:rPr>
            </w:pPr>
            <w:r w:rsidRPr="00A1437F">
              <w:t>"+"</w:t>
            </w:r>
          </w:p>
        </w:tc>
        <w:tc>
          <w:tcPr>
            <w:tcW w:w="7938" w:type="dxa"/>
          </w:tcPr>
          <w:p w14:paraId="52326A9A" w14:textId="77777777" w:rsidR="004C15AC" w:rsidRPr="00D1484A" w:rsidRDefault="004C15AC" w:rsidP="002061E5">
            <w:pPr>
              <w:spacing w:after="60"/>
            </w:pPr>
            <w:r w:rsidRPr="00A1437F">
              <w:t>means combined with + or – sign.</w:t>
            </w:r>
          </w:p>
        </w:tc>
      </w:tr>
    </w:tbl>
    <w:p w14:paraId="743C16F0" w14:textId="77777777" w:rsidR="004C15AC" w:rsidRPr="00132C1E" w:rsidRDefault="004C15AC" w:rsidP="004C15AC">
      <w:pPr>
        <w:pStyle w:val="a3"/>
      </w:pPr>
      <w:bookmarkStart w:id="11373" w:name="_Toc50150758"/>
      <w:bookmarkStart w:id="11374" w:name="_Toc70887191"/>
      <w:bookmarkStart w:id="11375" w:name="_Toc108342790"/>
      <w:bookmarkStart w:id="11376" w:name="_Toc120543876"/>
      <w:bookmarkStart w:id="11377" w:name="_Toc134198297"/>
      <w:r w:rsidRPr="00132C1E">
        <w:t>Effective strip method</w:t>
      </w:r>
      <w:bookmarkEnd w:id="11373"/>
      <w:bookmarkEnd w:id="11374"/>
      <w:bookmarkEnd w:id="11375"/>
      <w:bookmarkEnd w:id="11376"/>
      <w:bookmarkEnd w:id="11377"/>
    </w:p>
    <w:p w14:paraId="4048F743" w14:textId="6F8A918B" w:rsidR="004C15AC" w:rsidRPr="00132C1E" w:rsidRDefault="004C15AC" w:rsidP="0080187E">
      <w:pPr>
        <w:pStyle w:val="Clause"/>
        <w:numPr>
          <w:ilvl w:val="0"/>
          <w:numId w:val="231"/>
        </w:numPr>
      </w:pPr>
      <w:r w:rsidRPr="00132C1E">
        <w:t xml:space="preserve">The effective strip method may be used in the range of geometrical and mechanical parameters in a) to </w:t>
      </w:r>
      <w:r w:rsidR="00B432BB">
        <w:t>d</w:t>
      </w:r>
      <w:r w:rsidRPr="00132C1E">
        <w:t>):</w:t>
      </w:r>
    </w:p>
    <w:p w14:paraId="4A42ABC4" w14:textId="77777777" w:rsidR="004C15AC" w:rsidRPr="00BC6739" w:rsidRDefault="004C15AC" w:rsidP="00B15DDF">
      <w:pPr>
        <w:pStyle w:val="Text"/>
        <w:numPr>
          <w:ilvl w:val="0"/>
          <w:numId w:val="723"/>
        </w:numPr>
        <w:spacing w:after="200"/>
      </w:pPr>
      <w:r w:rsidRPr="00BC6739">
        <w:t>walls should comply with F.4.2;</w:t>
      </w:r>
    </w:p>
    <w:p w14:paraId="7AC463A7" w14:textId="77777777" w:rsidR="004C15AC" w:rsidRPr="00BC6739" w:rsidRDefault="004C15AC" w:rsidP="00B15DDF">
      <w:pPr>
        <w:pStyle w:val="Text"/>
        <w:numPr>
          <w:ilvl w:val="0"/>
          <w:numId w:val="723"/>
        </w:numPr>
        <w:spacing w:after="200"/>
      </w:pPr>
      <w:r w:rsidRPr="00BC6739">
        <w:t>thickness of steel frame elements should be not greater than 1,4 mm;</w:t>
      </w:r>
    </w:p>
    <w:p w14:paraId="5B2FFB9F" w14:textId="77777777" w:rsidR="004C15AC" w:rsidRPr="00BC6739" w:rsidRDefault="004C15AC" w:rsidP="00B15DDF">
      <w:pPr>
        <w:pStyle w:val="Text"/>
        <w:numPr>
          <w:ilvl w:val="0"/>
          <w:numId w:val="723"/>
        </w:numPr>
        <w:spacing w:after="200"/>
      </w:pPr>
      <w:r w:rsidRPr="00BC6739">
        <w:t>the height-to-length ratio (aspect ratio) should be not smaller than 1,0 and not greater than 2,0.</w:t>
      </w:r>
    </w:p>
    <w:p w14:paraId="5AD4E9A3" w14:textId="77777777" w:rsidR="004C15AC" w:rsidRPr="00BC6739" w:rsidRDefault="004C15AC" w:rsidP="00B15DDF">
      <w:pPr>
        <w:pStyle w:val="Text"/>
        <w:numPr>
          <w:ilvl w:val="0"/>
          <w:numId w:val="723"/>
        </w:numPr>
        <w:spacing w:after="200"/>
      </w:pPr>
      <w:r w:rsidRPr="00BC6739">
        <w:t>sheathing panels should be without horizontal stiffeners or at most a mid-height stiffener should be used.</w:t>
      </w:r>
    </w:p>
    <w:p w14:paraId="3513FB1E" w14:textId="3CFC52E8" w:rsidR="004C15AC" w:rsidRPr="00132C1E" w:rsidRDefault="004C15AC" w:rsidP="0080187E">
      <w:pPr>
        <w:pStyle w:val="Clause"/>
        <w:numPr>
          <w:ilvl w:val="0"/>
          <w:numId w:val="231"/>
        </w:numPr>
      </w:pPr>
      <w:r w:rsidRPr="00132C1E">
        <w:rPr>
          <w:rFonts w:eastAsia="Cambria"/>
        </w:rPr>
        <w:t>The sheathing should have sufficient overstrength to allow the development of yielding in the weakest components of the member-to-sheathing connections</w:t>
      </w:r>
      <w:r w:rsidRPr="00132C1E">
        <w:rPr>
          <w:rFonts w:eastAsia="Calibri"/>
        </w:rPr>
        <w:t xml:space="preserve"> </w:t>
      </w:r>
      <w:r w:rsidRPr="00132C1E">
        <w:rPr>
          <w:rFonts w:eastAsia="Cambria"/>
        </w:rPr>
        <w:t>(see Figure F.3).</w:t>
      </w:r>
    </w:p>
    <w:p w14:paraId="22DBA01E" w14:textId="3458BA16" w:rsidR="006F5766" w:rsidRDefault="006F5766" w:rsidP="006F5766">
      <w:pPr>
        <w:pStyle w:val="FigureImage"/>
      </w:pPr>
      <w:r>
        <w:rPr>
          <w:noProof/>
        </w:rPr>
        <w:drawing>
          <wp:inline distT="0" distB="0" distL="0" distR="0" wp14:anchorId="4AE7B908" wp14:editId="09A63E02">
            <wp:extent cx="3060197" cy="3794766"/>
            <wp:effectExtent l="0" t="0" r="6985" b="0"/>
            <wp:docPr id="24" name="f003.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f003.tiff"/>
                    <pic:cNvPicPr/>
                  </pic:nvPicPr>
                  <pic:blipFill>
                    <a:blip r:link="rId118"/>
                    <a:stretch>
                      <a:fillRect/>
                    </a:stretch>
                  </pic:blipFill>
                  <pic:spPr>
                    <a:xfrm>
                      <a:off x="0" y="0"/>
                      <a:ext cx="3060197" cy="3794766"/>
                    </a:xfrm>
                    <a:prstGeom prst="rect">
                      <a:avLst/>
                    </a:prstGeom>
                  </pic:spPr>
                </pic:pic>
              </a:graphicData>
            </a:graphic>
          </wp:inline>
        </w:drawing>
      </w:r>
    </w:p>
    <w:p w14:paraId="3E70C0A1" w14:textId="346FEE4D" w:rsidR="004C15AC" w:rsidRPr="004C15AC" w:rsidRDefault="00190977" w:rsidP="004C15AC">
      <w:pPr>
        <w:pStyle w:val="Figuretitle"/>
      </w:pPr>
      <w:r w:rsidRPr="004C15AC">
        <w:t>Figure </w:t>
      </w:r>
      <w:r w:rsidRPr="004C15AC" w:rsidDel="00202FA7">
        <w:t>F.3</w:t>
      </w:r>
      <w:r w:rsidR="004C15AC" w:rsidRPr="004C15AC">
        <w:t> —</w:t>
      </w:r>
      <w:r w:rsidR="004C15AC">
        <w:t> </w:t>
      </w:r>
      <w:r w:rsidR="004C15AC" w:rsidRPr="004C15AC">
        <w:t>Effective strip method</w:t>
      </w:r>
    </w:p>
    <w:p w14:paraId="069AC14D" w14:textId="4825A38F" w:rsidR="004C15AC" w:rsidRPr="00316E8F" w:rsidRDefault="004C15AC" w:rsidP="0080187E">
      <w:pPr>
        <w:pStyle w:val="Clause"/>
        <w:numPr>
          <w:ilvl w:val="0"/>
          <w:numId w:val="231"/>
        </w:numPr>
        <w:rPr>
          <w:rFonts w:eastAsiaTheme="minorEastAsia"/>
        </w:rPr>
      </w:pPr>
      <w:r w:rsidRPr="00D1484A">
        <w:t xml:space="preserve">The </w:t>
      </w:r>
      <w:r w:rsidRPr="007E6F67">
        <w:rPr>
          <w:rFonts w:eastAsiaTheme="minorEastAsia"/>
        </w:rPr>
        <w:t>effective strip width</w:t>
      </w:r>
      <w:r w:rsidRPr="00FD17CF">
        <w:t xml:space="preserve"> </w:t>
      </w:r>
      <w:r w:rsidRPr="00FD17CF">
        <w:rPr>
          <w:i/>
          <w:iCs/>
        </w:rPr>
        <w:t>w</w:t>
      </w:r>
      <w:r w:rsidRPr="00FD17CF">
        <w:rPr>
          <w:vertAlign w:val="subscript"/>
        </w:rPr>
        <w:t>eff</w:t>
      </w:r>
      <w:r w:rsidRPr="00E05E29">
        <w:t xml:space="preserve"> may be calculated using Formula</w:t>
      </w:r>
      <w:r w:rsidRPr="00196951">
        <w:t>s (F.</w:t>
      </w:r>
      <w:r w:rsidR="004124BC">
        <w:t>3</w:t>
      </w:r>
      <w:r w:rsidRPr="00196951">
        <w:t>) to (F.1</w:t>
      </w:r>
      <w:r w:rsidR="004124BC">
        <w:t>1</w:t>
      </w:r>
      <w:r w:rsidRPr="00196951">
        <w:t>).</w:t>
      </w:r>
    </w:p>
    <w:p w14:paraId="491E4892" w14:textId="3E763DA5" w:rsidR="00CC4DDE" w:rsidRPr="00870D59" w:rsidRDefault="009B5CEC" w:rsidP="00CC4DDE">
      <w:pPr>
        <w:pStyle w:val="Formula"/>
        <w:spacing w:before="240"/>
      </w:pPr>
      <m:oMath>
        <m:sSub>
          <m:sSubPr>
            <m:ctrlPr>
              <w:rPr>
                <w:rFonts w:ascii="Cambria Math" w:eastAsiaTheme="minorEastAsia" w:hAnsi="Cambria Math"/>
                <w:lang w:val="fr-FR"/>
              </w:rPr>
            </m:ctrlPr>
          </m:sSubPr>
          <m:e>
            <m:r>
              <w:rPr>
                <w:rFonts w:ascii="Cambria Math" w:eastAsiaTheme="minorEastAsia"/>
                <w:lang w:val="fr-FR"/>
              </w:rPr>
              <m:t>w</m:t>
            </m:r>
          </m:e>
          <m:sub>
            <m:r>
              <m:rPr>
                <m:sty m:val="p"/>
              </m:rPr>
              <w:rPr>
                <w:rFonts w:eastAsiaTheme="minorEastAsia"/>
              </w:rPr>
              <m:t>eff</m:t>
            </m:r>
          </m:sub>
        </m:sSub>
        <m:r>
          <w:rPr>
            <w:rFonts w:eastAsiaTheme="minorEastAsia"/>
          </w:rPr>
          <m:t>=</m:t>
        </m:r>
        <m:sSub>
          <m:sSubPr>
            <m:ctrlPr>
              <w:rPr>
                <w:rFonts w:ascii="Cambria Math" w:eastAsiaTheme="minorEastAsia" w:hAnsi="Cambria Math"/>
                <w:lang w:val="fr-FR"/>
              </w:rPr>
            </m:ctrlPr>
          </m:sSubPr>
          <m:e>
            <m:r>
              <w:rPr>
                <w:rFonts w:ascii="Cambria Math" w:eastAsiaTheme="minorEastAsia"/>
                <w:lang w:val="fr-FR"/>
              </w:rPr>
              <m:t>w</m:t>
            </m:r>
          </m:e>
          <m:sub>
            <m:r>
              <m:rPr>
                <m:sty m:val="p"/>
              </m:rPr>
              <w:rPr>
                <w:rFonts w:eastAsiaTheme="minorEastAsia"/>
              </w:rPr>
              <m:t>max</m:t>
            </m:r>
          </m:sub>
        </m:sSub>
        <m:r>
          <w:rPr>
            <w:rFonts w:eastAsiaTheme="minorEastAsia"/>
          </w:rPr>
          <m:t xml:space="preserve">   </m:t>
        </m:r>
        <m:r>
          <m:rPr>
            <m:sty m:val="p"/>
          </m:rPr>
          <w:rPr>
            <w:rFonts w:ascii="Cambria Math" w:eastAsiaTheme="minorEastAsia"/>
          </w:rPr>
          <m:t>if</m:t>
        </m:r>
        <m:r>
          <w:rPr>
            <w:rFonts w:eastAsiaTheme="minorEastAsia"/>
          </w:rPr>
          <m:t xml:space="preserve"> </m:t>
        </m:r>
        <m:r>
          <w:rPr>
            <w:rFonts w:ascii="Cambria Math" w:eastAsiaTheme="minorEastAsia" w:hAnsi="Cambria Math"/>
            <w:lang w:val="fr-FR"/>
          </w:rPr>
          <m:t>λ</m:t>
        </m:r>
        <m:r>
          <w:rPr>
            <w:rFonts w:eastAsiaTheme="minorEastAsia"/>
          </w:rPr>
          <m:t>≤</m:t>
        </m:r>
        <m:r>
          <m:rPr>
            <m:sty m:val="p"/>
          </m:rPr>
          <w:rPr>
            <w:rFonts w:ascii="Cambria Math" w:eastAsiaTheme="minorEastAsia" w:hAnsi="Cambria Math"/>
          </w:rPr>
          <m:t>0,0819</m:t>
        </m:r>
      </m:oMath>
      <w:r w:rsidR="00CC4DDE">
        <w:rPr>
          <w:rFonts w:eastAsiaTheme="minorEastAsia"/>
          <w:iCs/>
        </w:rPr>
        <w:t xml:space="preserve"> </w:t>
      </w:r>
      <w:r w:rsidR="00CC4DDE" w:rsidRPr="00316E8F">
        <w:rPr>
          <w:rFonts w:eastAsiaTheme="minorEastAsia"/>
        </w:rPr>
        <w:t xml:space="preserve">or </w:t>
      </w:r>
      <m:oMath>
        <m:sSub>
          <m:sSubPr>
            <m:ctrlPr>
              <w:rPr>
                <w:rFonts w:ascii="Cambria Math" w:eastAsiaTheme="minorEastAsia" w:hAnsi="Cambria Math"/>
                <w:lang w:val="fr-FR"/>
              </w:rPr>
            </m:ctrlPr>
          </m:sSubPr>
          <m:e>
            <m:r>
              <w:rPr>
                <w:rFonts w:ascii="Cambria Math" w:eastAsiaTheme="minorEastAsia"/>
                <w:lang w:val="fr-FR"/>
              </w:rPr>
              <m:t>w</m:t>
            </m:r>
          </m:e>
          <m:sub>
            <m:r>
              <m:rPr>
                <m:sty m:val="p"/>
              </m:rPr>
              <w:rPr>
                <w:rFonts w:eastAsiaTheme="minorEastAsia"/>
              </w:rPr>
              <m:t>eff</m:t>
            </m:r>
          </m:sub>
        </m:sSub>
        <m:r>
          <w:rPr>
            <w:rFonts w:eastAsiaTheme="minorEastAsia"/>
          </w:rPr>
          <m:t>=</m:t>
        </m:r>
        <m:r>
          <w:rPr>
            <w:rFonts w:ascii="Cambria Math" w:eastAsiaTheme="minorEastAsia" w:hAnsi="Cambria Math"/>
            <w:lang w:val="fr-FR"/>
          </w:rPr>
          <m:t>ρ</m:t>
        </m:r>
        <m:sSub>
          <m:sSubPr>
            <m:ctrlPr>
              <w:rPr>
                <w:rFonts w:ascii="Cambria Math" w:eastAsiaTheme="minorEastAsia" w:hAnsi="Cambria Math"/>
                <w:lang w:val="fr-FR"/>
              </w:rPr>
            </m:ctrlPr>
          </m:sSubPr>
          <m:e>
            <m:r>
              <w:rPr>
                <w:rFonts w:ascii="Cambria Math" w:eastAsiaTheme="minorEastAsia"/>
                <w:lang w:val="fr-FR"/>
              </w:rPr>
              <m:t>w</m:t>
            </m:r>
          </m:e>
          <m:sub>
            <m:r>
              <m:rPr>
                <m:sty m:val="p"/>
              </m:rPr>
              <w:rPr>
                <w:rFonts w:eastAsiaTheme="minorEastAsia"/>
              </w:rPr>
              <m:t>max</m:t>
            </m:r>
          </m:sub>
        </m:sSub>
        <m:r>
          <w:rPr>
            <w:rFonts w:eastAsiaTheme="minorEastAsia"/>
          </w:rPr>
          <m:t xml:space="preserve">   </m:t>
        </m:r>
        <m:r>
          <m:rPr>
            <m:sty m:val="p"/>
          </m:rPr>
          <w:rPr>
            <w:rFonts w:ascii="Cambria Math" w:eastAsiaTheme="minorEastAsia"/>
          </w:rPr>
          <m:t>if</m:t>
        </m:r>
        <m:r>
          <w:rPr>
            <w:rFonts w:eastAsiaTheme="minorEastAsia"/>
          </w:rPr>
          <m:t xml:space="preserve"> </m:t>
        </m:r>
        <m:r>
          <w:rPr>
            <w:rFonts w:ascii="Cambria Math" w:eastAsiaTheme="minorEastAsia" w:hAnsi="Cambria Math"/>
            <w:lang w:val="fr-FR"/>
          </w:rPr>
          <m:t>λ</m:t>
        </m:r>
        <m:r>
          <w:rPr>
            <w:rFonts w:eastAsiaTheme="minorEastAsia"/>
          </w:rPr>
          <m:t>≤</m:t>
        </m:r>
        <m:r>
          <m:rPr>
            <m:sty m:val="p"/>
          </m:rPr>
          <w:rPr>
            <w:rFonts w:ascii="Cambria Math" w:eastAsiaTheme="minorEastAsia" w:hAnsi="Cambria Math"/>
          </w:rPr>
          <m:t>0,0819</m:t>
        </m:r>
      </m:oMath>
      <w:r w:rsidR="00CC4DDE" w:rsidRPr="00870D59">
        <w:tab/>
        <w:t>(</w:t>
      </w:r>
      <w:r w:rsidR="00CC4DDE">
        <w:t>F</w:t>
      </w:r>
      <w:r w:rsidR="00CC4DDE" w:rsidRPr="00870D59">
        <w:t>.</w:t>
      </w:r>
      <w:r w:rsidR="00CC4DDE">
        <w:t>3</w:t>
      </w:r>
      <w:r w:rsidR="00CC4DDE" w:rsidRPr="00870D59">
        <w:t>)</w:t>
      </w:r>
    </w:p>
    <w:p w14:paraId="29D2D5EB" w14:textId="47CBDC52" w:rsidR="00CC4DDE" w:rsidRPr="00870D59" w:rsidRDefault="009B5CEC" w:rsidP="00CC4DDE">
      <w:pPr>
        <w:pStyle w:val="Formula"/>
        <w:spacing w:before="240"/>
      </w:pPr>
      <m:oMath>
        <m:sSub>
          <m:sSubPr>
            <m:ctrlPr>
              <w:rPr>
                <w:rFonts w:ascii="Cambria Math" w:hAnsi="Cambria Math"/>
              </w:rPr>
            </m:ctrlPr>
          </m:sSubPr>
          <m:e>
            <m:r>
              <w:rPr>
                <w:rFonts w:ascii="Cambria Math" w:hAnsi="Cambria Math"/>
              </w:rPr>
              <m:t>w</m:t>
            </m:r>
          </m:e>
          <m:sub>
            <m:r>
              <m:rPr>
                <m:sty m:val="p"/>
              </m:rPr>
              <w:rPr>
                <w:rFonts w:ascii="Cambria Math" w:hAnsi="Cambria Math"/>
              </w:rPr>
              <m:t>max</m:t>
            </m:r>
          </m:sub>
        </m:sSub>
        <m:r>
          <w:rPr>
            <w:rFonts w:ascii="Cambria Math" w:hAnsi="Cambria Math"/>
          </w:rPr>
          <m:t>=</m:t>
        </m:r>
        <m:f>
          <m:fPr>
            <m:ctrlPr>
              <w:rPr>
                <w:rFonts w:ascii="Cambria Math" w:hAnsi="Cambria Math"/>
                <w:i/>
              </w:rPr>
            </m:ctrlPr>
          </m:fPr>
          <m:num>
            <m:sSub>
              <m:sSubPr>
                <m:ctrlPr>
                  <w:rPr>
                    <w:rFonts w:ascii="Cambria Math" w:hAnsi="Cambria Math"/>
                  </w:rPr>
                </m:ctrlPr>
              </m:sSubPr>
              <m:e>
                <m:r>
                  <w:rPr>
                    <w:rFonts w:ascii="Cambria Math" w:hAnsi="Cambria Math"/>
                  </w:rPr>
                  <m:t>w</m:t>
                </m:r>
              </m:e>
              <m:sub>
                <m:r>
                  <m:rPr>
                    <m:sty m:val="p"/>
                  </m:rPr>
                  <w:rPr>
                    <w:rFonts w:ascii="Cambria Math" w:hAnsi="Cambria Math"/>
                  </w:rPr>
                  <m:t>w</m:t>
                </m:r>
              </m:sub>
            </m:sSub>
            <m:ctrlPr>
              <w:rPr>
                <w:rFonts w:ascii="Cambria Math" w:hAnsi="Cambria Math"/>
              </w:rPr>
            </m:ctrlPr>
          </m:num>
          <m:den>
            <m:r>
              <m:rPr>
                <m:sty m:val="p"/>
              </m:rPr>
              <w:rPr>
                <w:rFonts w:ascii="Cambria Math" w:hAnsi="Cambria Math"/>
              </w:rPr>
              <m:t>sin</m:t>
            </m:r>
            <m:r>
              <w:rPr>
                <w:rFonts w:ascii="Cambria Math" w:hAnsi="Cambria Math"/>
              </w:rPr>
              <m:t>α</m:t>
            </m:r>
          </m:den>
        </m:f>
        <m:r>
          <w:rPr>
            <w:rFonts w:ascii="Cambria Math" w:hAnsi="Cambria Math"/>
          </w:rPr>
          <m:t xml:space="preserve">    </m:t>
        </m:r>
        <m:r>
          <m:rPr>
            <m:nor/>
          </m:rPr>
          <w:rPr>
            <w:rFonts w:ascii="Cambria Math" w:hAnsi="Cambria Math"/>
          </w:rPr>
          <m:t xml:space="preserve">with   </m:t>
        </m:r>
        <m:r>
          <w:rPr>
            <w:rFonts w:ascii="Cambria Math" w:hAnsi="Cambria Math"/>
          </w:rPr>
          <m:t xml:space="preserve"> </m:t>
        </m:r>
        <m:r>
          <m:rPr>
            <m:sty m:val="p"/>
          </m:rPr>
          <w:rPr>
            <w:rFonts w:ascii="Cambria Math" w:hAnsi="Cambria Math"/>
            <w:lang w:val="fr-FR" w:eastAsia="it-IT"/>
          </w:rPr>
          <m:t>α</m:t>
        </m:r>
        <m:r>
          <m:rPr>
            <m:sty m:val="p"/>
          </m:rPr>
          <w:rPr>
            <w:rFonts w:ascii="Cambria Math" w:hAnsi="Cambria Math"/>
            <w:lang w:val="en-US" w:eastAsia="it-IT"/>
          </w:rPr>
          <m:t>=(arctan(</m:t>
        </m:r>
        <m:sSub>
          <m:sSubPr>
            <m:ctrlPr>
              <w:rPr>
                <w:rFonts w:ascii="Cambria Math" w:hAnsi="Cambria Math"/>
                <w:i/>
                <w:iCs/>
                <w:lang w:val="fr-FR" w:eastAsia="it-IT"/>
              </w:rPr>
            </m:ctrlPr>
          </m:sSubPr>
          <m:e>
            <m:r>
              <w:rPr>
                <w:rFonts w:ascii="Cambria Math" w:hAnsi="Cambria Math"/>
                <w:lang w:val="en-US" w:eastAsia="it-IT"/>
              </w:rPr>
              <m:t>h</m:t>
            </m:r>
          </m:e>
          <m:sub>
            <m:r>
              <m:rPr>
                <m:sty m:val="p"/>
              </m:rPr>
              <w:rPr>
                <w:rFonts w:ascii="Cambria Math" w:hAnsi="Cambria Math"/>
                <w:lang w:val="en-US" w:eastAsia="it-IT"/>
              </w:rPr>
              <m:t>w</m:t>
            </m:r>
          </m:sub>
        </m:sSub>
        <m:r>
          <m:rPr>
            <m:sty m:val="p"/>
          </m:rPr>
          <w:rPr>
            <w:rFonts w:ascii="Cambria Math" w:hAnsi="Cambria Math"/>
            <w:lang w:val="en-US" w:eastAsia="it-IT"/>
          </w:rPr>
          <m:t>/</m:t>
        </m:r>
        <m:sSub>
          <m:sSubPr>
            <m:ctrlPr>
              <w:rPr>
                <w:rFonts w:ascii="Cambria Math" w:hAnsi="Cambria Math"/>
                <w:i/>
                <w:iCs/>
                <w:lang w:val="fr-FR" w:eastAsia="it-IT"/>
              </w:rPr>
            </m:ctrlPr>
          </m:sSubPr>
          <m:e>
            <m:r>
              <w:rPr>
                <w:rFonts w:ascii="Cambria Math" w:hAnsi="Cambria Math"/>
                <w:lang w:val="fr-FR" w:eastAsia="it-IT"/>
              </w:rPr>
              <m:t>w</m:t>
            </m:r>
          </m:e>
          <m:sub>
            <m:r>
              <m:rPr>
                <m:sty m:val="p"/>
              </m:rPr>
              <w:rPr>
                <w:rFonts w:ascii="Cambria Math" w:hAnsi="Cambria Math"/>
                <w:lang w:val="en-US" w:eastAsia="it-IT"/>
              </w:rPr>
              <m:t>w</m:t>
            </m:r>
          </m:sub>
        </m:sSub>
        <m:r>
          <m:rPr>
            <m:sty m:val="p"/>
          </m:rPr>
          <w:rPr>
            <w:rFonts w:ascii="Cambria Math" w:hAnsi="Cambria Math"/>
            <w:lang w:val="en-US" w:eastAsia="it-IT"/>
          </w:rPr>
          <m:t>)</m:t>
        </m:r>
      </m:oMath>
      <w:r w:rsidR="00CC4DDE" w:rsidRPr="00870D59">
        <w:tab/>
        <w:t>(</w:t>
      </w:r>
      <w:r w:rsidR="00CC4DDE">
        <w:t>F</w:t>
      </w:r>
      <w:r w:rsidR="00CC4DDE" w:rsidRPr="00870D59">
        <w:t>.</w:t>
      </w:r>
      <w:r w:rsidR="00CC4DDE">
        <w:t>4</w:t>
      </w:r>
      <w:r w:rsidR="00CC4DDE" w:rsidRPr="00870D59">
        <w:t>)</w:t>
      </w:r>
    </w:p>
    <w:p w14:paraId="186559C9" w14:textId="1556FF8C" w:rsidR="00CC4DDE" w:rsidRPr="00870D59" w:rsidRDefault="004124BC" w:rsidP="00CC4DDE">
      <w:pPr>
        <w:pStyle w:val="Formula"/>
        <w:spacing w:before="240"/>
      </w:pPr>
      <m:oMath>
        <m:r>
          <w:rPr>
            <w:rFonts w:ascii="Cambria Math" w:hAnsi="Cambria Math"/>
          </w:rPr>
          <m:t>ρ=</m:t>
        </m:r>
        <m:f>
          <m:fPr>
            <m:ctrlPr>
              <w:rPr>
                <w:rFonts w:ascii="Cambria Math" w:hAnsi="Cambria Math"/>
              </w:rPr>
            </m:ctrlPr>
          </m:fPr>
          <m:num>
            <m:r>
              <w:rPr>
                <w:rFonts w:ascii="Cambria Math" w:hAnsi="Cambria Math"/>
              </w:rPr>
              <m:t>1-0,55</m:t>
            </m:r>
            <m:sSup>
              <m:sSupPr>
                <m:ctrlPr>
                  <w:rPr>
                    <w:rFonts w:ascii="Cambria Math" w:hAnsi="Cambria Math"/>
                  </w:rPr>
                </m:ctrlPr>
              </m:sSupPr>
              <m:e>
                <m:d>
                  <m:dPr>
                    <m:ctrlPr>
                      <w:rPr>
                        <w:rFonts w:ascii="Cambria Math" w:hAnsi="Cambria Math"/>
                      </w:rPr>
                    </m:ctrlPr>
                  </m:dPr>
                  <m:e>
                    <m:r>
                      <w:rPr>
                        <w:rFonts w:ascii="Cambria Math" w:hAnsi="Cambria Math"/>
                      </w:rPr>
                      <m:t>λ-0,08</m:t>
                    </m:r>
                  </m:e>
                </m:d>
              </m:e>
              <m:sup>
                <m:r>
                  <w:rPr>
                    <w:rFonts w:ascii="Cambria Math" w:hAnsi="Cambria Math"/>
                  </w:rPr>
                  <m:t>0,12</m:t>
                </m:r>
              </m:sup>
            </m:sSup>
          </m:num>
          <m:den>
            <m:sSup>
              <m:sSupPr>
                <m:ctrlPr>
                  <w:rPr>
                    <w:rFonts w:ascii="Cambria Math" w:hAnsi="Cambria Math"/>
                  </w:rPr>
                </m:ctrlPr>
              </m:sSupPr>
              <m:e>
                <m:r>
                  <w:rPr>
                    <w:rFonts w:ascii="Cambria Math" w:hAnsi="Cambria Math"/>
                  </w:rPr>
                  <m:t>λ</m:t>
                </m:r>
              </m:e>
              <m:sup>
                <m:r>
                  <w:rPr>
                    <w:rFonts w:ascii="Cambria Math" w:hAnsi="Cambria Math"/>
                  </w:rPr>
                  <m:t>0,12</m:t>
                </m:r>
              </m:sup>
            </m:sSup>
          </m:den>
        </m:f>
      </m:oMath>
      <w:r w:rsidR="00CC4DDE" w:rsidRPr="00870D59">
        <w:tab/>
        <w:t>(</w:t>
      </w:r>
      <w:r w:rsidR="00CC4DDE">
        <w:t>F</w:t>
      </w:r>
      <w:r w:rsidR="00CC4DDE" w:rsidRPr="00870D59">
        <w:t>.</w:t>
      </w:r>
      <w:r w:rsidR="00CC4DDE">
        <w:t>5</w:t>
      </w:r>
      <w:r w:rsidR="00CC4DDE" w:rsidRPr="00870D59">
        <w:t>)</w:t>
      </w:r>
    </w:p>
    <w:p w14:paraId="03323D74" w14:textId="3BEAE0A9" w:rsidR="00CC4DDE" w:rsidRPr="00870D59" w:rsidRDefault="004124BC" w:rsidP="00CC4DDE">
      <w:pPr>
        <w:pStyle w:val="Formula"/>
        <w:spacing w:before="240"/>
      </w:pPr>
      <m:oMath>
        <m:r>
          <w:rPr>
            <w:rFonts w:ascii="Cambria Math" w:hAnsi="Cambria Math"/>
          </w:rPr>
          <m:t>λ=1,736</m:t>
        </m:r>
        <m:f>
          <m:fPr>
            <m:ctrlPr>
              <w:rPr>
                <w:rFonts w:ascii="Cambria Math" w:hAnsi="Cambria Math"/>
              </w:rPr>
            </m:ctrlPr>
          </m:fPr>
          <m:num>
            <m:sSub>
              <m:sSubPr>
                <m:ctrlPr>
                  <w:rPr>
                    <w:rFonts w:ascii="Cambria Math" w:hAnsi="Cambria Math"/>
                  </w:rPr>
                </m:ctrlPr>
              </m:sSubPr>
              <m:e>
                <m:r>
                  <w:rPr>
                    <w:rFonts w:ascii="Cambria Math" w:hAnsi="Cambria Math"/>
                  </w:rPr>
                  <m:t>α</m:t>
                </m:r>
              </m:e>
              <m:sub>
                <m:r>
                  <w:rPr>
                    <w:rFonts w:ascii="Cambria Math" w:hAnsi="Cambria Math"/>
                  </w:rPr>
                  <m:t>1</m:t>
                </m:r>
              </m:sub>
            </m:sSub>
            <m:sSub>
              <m:sSubPr>
                <m:ctrlPr>
                  <w:rPr>
                    <w:rFonts w:ascii="Cambria Math" w:hAnsi="Cambria Math"/>
                  </w:rPr>
                </m:ctrlPr>
              </m:sSubPr>
              <m:e>
                <m:r>
                  <w:rPr>
                    <w:rFonts w:ascii="Cambria Math" w:hAnsi="Cambria Math"/>
                  </w:rPr>
                  <m:t>α</m:t>
                </m:r>
              </m:e>
              <m:sub>
                <m:r>
                  <w:rPr>
                    <w:rFonts w:ascii="Cambria Math" w:hAnsi="Cambria Math"/>
                  </w:rPr>
                  <m:t>2</m:t>
                </m:r>
              </m:sub>
            </m:sSub>
          </m:num>
          <m:den>
            <m:sSub>
              <m:sSubPr>
                <m:ctrlPr>
                  <w:rPr>
                    <w:rFonts w:ascii="Cambria Math" w:hAnsi="Cambria Math"/>
                  </w:rPr>
                </m:ctrlPr>
              </m:sSubPr>
              <m:e>
                <m:r>
                  <w:rPr>
                    <w:rFonts w:ascii="Cambria Math" w:hAnsi="Cambria Math"/>
                  </w:rPr>
                  <m:t>β</m:t>
                </m:r>
              </m:e>
              <m:sub>
                <m:r>
                  <w:rPr>
                    <w:rFonts w:ascii="Cambria Math" w:hAnsi="Cambria Math"/>
                  </w:rPr>
                  <m:t>1</m:t>
                </m:r>
              </m:sub>
            </m:sSub>
            <m:sSub>
              <m:sSubPr>
                <m:ctrlPr>
                  <w:rPr>
                    <w:rFonts w:ascii="Cambria Math" w:hAnsi="Cambria Math"/>
                  </w:rPr>
                </m:ctrlPr>
              </m:sSubPr>
              <m:e>
                <m:r>
                  <w:rPr>
                    <w:rFonts w:ascii="Cambria Math" w:hAnsi="Cambria Math"/>
                  </w:rPr>
                  <m:t>β</m:t>
                </m:r>
              </m:e>
              <m:sub>
                <m:r>
                  <w:rPr>
                    <w:rFonts w:ascii="Cambria Math" w:hAnsi="Cambria Math"/>
                  </w:rPr>
                  <m:t>2</m:t>
                </m:r>
              </m:sub>
            </m:sSub>
            <m:sSubSup>
              <m:sSubSupPr>
                <m:ctrlPr>
                  <w:rPr>
                    <w:rFonts w:ascii="Cambria Math" w:hAnsi="Cambria Math"/>
                  </w:rPr>
                </m:ctrlPr>
              </m:sSubSupPr>
              <m:e>
                <m:r>
                  <w:rPr>
                    <w:rFonts w:ascii="Cambria Math" w:hAnsi="Cambria Math"/>
                  </w:rPr>
                  <m:t>β</m:t>
                </m:r>
              </m:e>
              <m:sub>
                <m:r>
                  <w:rPr>
                    <w:rFonts w:ascii="Cambria Math" w:hAnsi="Cambria Math"/>
                  </w:rPr>
                  <m:t>3</m:t>
                </m:r>
              </m:sub>
              <m:sup>
                <m:r>
                  <w:rPr>
                    <w:rFonts w:ascii="Cambria Math" w:hAnsi="Cambria Math"/>
                  </w:rPr>
                  <m:t>2</m:t>
                </m:r>
              </m:sup>
            </m:sSubSup>
            <m:r>
              <w:rPr>
                <w:rFonts w:ascii="Cambria Math" w:hAnsi="Cambria Math"/>
              </w:rPr>
              <m:t>(h/w)</m:t>
            </m:r>
          </m:den>
        </m:f>
      </m:oMath>
      <w:r w:rsidR="00CC4DDE" w:rsidRPr="00870D59">
        <w:tab/>
        <w:t>(</w:t>
      </w:r>
      <w:r w:rsidR="00CC4DDE">
        <w:t>F</w:t>
      </w:r>
      <w:r w:rsidR="00CC4DDE" w:rsidRPr="00870D59">
        <w:t>.</w:t>
      </w:r>
      <w:r w:rsidR="00CC4DDE">
        <w:t>6</w:t>
      </w:r>
      <w:r w:rsidR="00CC4DDE" w:rsidRPr="00870D59">
        <w:t>)</w:t>
      </w:r>
    </w:p>
    <w:p w14:paraId="396C3EEB" w14:textId="7E26973E" w:rsidR="00CC4DDE" w:rsidRPr="00870D59" w:rsidRDefault="009B5CEC" w:rsidP="00CC4DDE">
      <w:pPr>
        <w:pStyle w:val="Formula"/>
        <w:spacing w:before="240"/>
      </w:pPr>
      <m:oMath>
        <m:sSub>
          <m:sSubPr>
            <m:ctrlPr>
              <w:rPr>
                <w:rFonts w:ascii="Cambria Math" w:hAnsi="Cambria Math"/>
              </w:rPr>
            </m:ctrlPr>
          </m:sSubPr>
          <m:e>
            <m:r>
              <w:rPr>
                <w:rFonts w:ascii="Cambria Math" w:hAnsi="Cambria Math"/>
              </w:rPr>
              <m:t>α</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f</m:t>
            </m:r>
          </m:e>
          <m:sub>
            <m:r>
              <m:rPr>
                <m:sty m:val="p"/>
              </m:rPr>
              <w:rPr>
                <w:rFonts w:ascii="Cambria Math" w:hAnsi="Cambria Math"/>
              </w:rPr>
              <m:t>us,min</m:t>
            </m:r>
          </m:sub>
        </m:sSub>
        <m:r>
          <w:rPr>
            <w:rFonts w:ascii="Cambria Math" w:hAnsi="Cambria Math"/>
          </w:rPr>
          <m:t>/310,3</m:t>
        </m:r>
      </m:oMath>
      <w:r w:rsidR="00CC4DDE" w:rsidRPr="00870D59">
        <w:tab/>
        <w:t>(</w:t>
      </w:r>
      <w:r w:rsidR="00CC4DDE">
        <w:t>F</w:t>
      </w:r>
      <w:r w:rsidR="00CC4DDE" w:rsidRPr="00870D59">
        <w:t>.</w:t>
      </w:r>
      <w:r w:rsidR="00CC4DDE">
        <w:t>7</w:t>
      </w:r>
      <w:r w:rsidR="00CC4DDE" w:rsidRPr="00870D59">
        <w:t>)</w:t>
      </w:r>
    </w:p>
    <w:p w14:paraId="08B6848F" w14:textId="7344A37C" w:rsidR="00CC4DDE" w:rsidRPr="00870D59" w:rsidRDefault="009B5CEC" w:rsidP="00CC4DDE">
      <w:pPr>
        <w:pStyle w:val="Formula"/>
        <w:spacing w:before="240"/>
      </w:pPr>
      <m:oMath>
        <m:sSub>
          <m:sSubPr>
            <m:ctrlPr>
              <w:rPr>
                <w:rFonts w:ascii="Cambria Math" w:hAnsi="Cambria Math"/>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rPr>
            </m:ctrlPr>
          </m:sSubPr>
          <m:e>
            <m:r>
              <w:rPr>
                <w:rFonts w:ascii="Cambria Math" w:hAnsi="Cambria Math"/>
              </w:rPr>
              <m:t>f</m:t>
            </m:r>
          </m:e>
          <m:sub>
            <m:r>
              <m:rPr>
                <m:sty m:val="p"/>
              </m:rPr>
              <w:rPr>
                <w:rFonts w:ascii="Cambria Math" w:hAnsi="Cambria Math"/>
              </w:rPr>
              <m:t>u,f,min</m:t>
            </m:r>
          </m:sub>
        </m:sSub>
        <m:r>
          <w:rPr>
            <w:rFonts w:ascii="Cambria Math" w:hAnsi="Cambria Math"/>
          </w:rPr>
          <m:t>/310,3</m:t>
        </m:r>
      </m:oMath>
      <w:r w:rsidR="00CC4DDE" w:rsidRPr="00870D59">
        <w:tab/>
        <w:t>(</w:t>
      </w:r>
      <w:r w:rsidR="00CC4DDE">
        <w:t>F</w:t>
      </w:r>
      <w:r w:rsidR="00CC4DDE" w:rsidRPr="00870D59">
        <w:t>.</w:t>
      </w:r>
      <w:r w:rsidR="00CC4DDE">
        <w:t>8</w:t>
      </w:r>
      <w:r w:rsidR="00CC4DDE" w:rsidRPr="00870D59">
        <w:t>)</w:t>
      </w:r>
    </w:p>
    <w:p w14:paraId="5D081B7E" w14:textId="6844C2E4" w:rsidR="00CC4DDE" w:rsidRPr="00870D59" w:rsidRDefault="009B5CEC" w:rsidP="00CC4DDE">
      <w:pPr>
        <w:pStyle w:val="Formula"/>
        <w:spacing w:before="240"/>
      </w:pPr>
      <m:oMath>
        <m:sSub>
          <m:sSubPr>
            <m:ctrlPr>
              <w:rPr>
                <w:rFonts w:ascii="Cambria Math" w:hAnsi="Cambria Math"/>
              </w:rPr>
            </m:ctrlPr>
          </m:sSubPr>
          <m:e>
            <m:r>
              <w:rPr>
                <w:rFonts w:ascii="Cambria Math" w:hAnsi="Cambria Math"/>
              </w:rPr>
              <m:t>β</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t</m:t>
            </m:r>
          </m:e>
          <m:sub>
            <m:r>
              <m:rPr>
                <m:sty m:val="p"/>
              </m:rPr>
              <w:rPr>
                <w:rFonts w:ascii="Cambria Math" w:hAnsi="Cambria Math"/>
              </w:rPr>
              <m:t>s</m:t>
            </m:r>
          </m:sub>
        </m:sSub>
        <m:r>
          <w:rPr>
            <w:rFonts w:ascii="Cambria Math" w:hAnsi="Cambria Math"/>
          </w:rPr>
          <m:t>/0,457</m:t>
        </m:r>
      </m:oMath>
      <w:r w:rsidR="004124BC" w:rsidRPr="007E6F67">
        <w:t xml:space="preserve"> </w:t>
      </w:r>
      <w:r w:rsidR="00CC4DDE" w:rsidRPr="00870D59">
        <w:tab/>
        <w:t>(</w:t>
      </w:r>
      <w:r w:rsidR="00CC4DDE">
        <w:t>F</w:t>
      </w:r>
      <w:r w:rsidR="00CC4DDE" w:rsidRPr="00870D59">
        <w:t>.</w:t>
      </w:r>
      <w:r w:rsidR="00CC4DDE">
        <w:t>9</w:t>
      </w:r>
      <w:r w:rsidR="00CC4DDE" w:rsidRPr="00870D59">
        <w:t>)</w:t>
      </w:r>
    </w:p>
    <w:p w14:paraId="1B139DCC" w14:textId="4C96E196" w:rsidR="00CC4DDE" w:rsidRPr="00870D59" w:rsidRDefault="009B5CEC" w:rsidP="00CC4DDE">
      <w:pPr>
        <w:pStyle w:val="Formula"/>
        <w:spacing w:before="240"/>
      </w:pPr>
      <m:oMath>
        <m:sSub>
          <m:sSubPr>
            <m:ctrlPr>
              <w:rPr>
                <w:rFonts w:ascii="Cambria Math" w:hAnsi="Cambria Math"/>
              </w:rPr>
            </m:ctrlPr>
          </m:sSubPr>
          <m:e>
            <m:r>
              <w:rPr>
                <w:rFonts w:ascii="Cambria Math" w:hAnsi="Cambria Math"/>
              </w:rPr>
              <m:t>β</m:t>
            </m:r>
          </m:e>
          <m:sub>
            <m:r>
              <w:rPr>
                <w:rFonts w:ascii="Cambria Math" w:hAnsi="Cambria Math"/>
              </w:rPr>
              <m:t>2</m:t>
            </m:r>
          </m:sub>
        </m:sSub>
        <m:r>
          <w:rPr>
            <w:rFonts w:ascii="Cambria Math" w:hAnsi="Cambria Math"/>
          </w:rPr>
          <m:t>=</m:t>
        </m:r>
        <m:sSub>
          <m:sSubPr>
            <m:ctrlPr>
              <w:rPr>
                <w:rFonts w:ascii="Cambria Math" w:hAnsi="Cambria Math"/>
              </w:rPr>
            </m:ctrlPr>
          </m:sSubPr>
          <m:e>
            <m:r>
              <w:rPr>
                <w:rFonts w:ascii="Cambria Math" w:hAnsi="Cambria Math"/>
              </w:rPr>
              <m:t>t</m:t>
            </m:r>
          </m:e>
          <m:sub>
            <m:r>
              <m:rPr>
                <m:sty m:val="p"/>
              </m:rPr>
              <w:rPr>
                <w:rFonts w:ascii="Cambria Math" w:hAnsi="Cambria Math"/>
              </w:rPr>
              <m:t>f,min</m:t>
            </m:r>
          </m:sub>
        </m:sSub>
        <m:r>
          <w:rPr>
            <w:rFonts w:ascii="Cambria Math" w:hAnsi="Cambria Math"/>
          </w:rPr>
          <m:t>/0,457</m:t>
        </m:r>
      </m:oMath>
      <w:r w:rsidR="004124BC" w:rsidRPr="00D1484A">
        <w:t xml:space="preserve"> </w:t>
      </w:r>
      <w:r w:rsidR="00CC4DDE" w:rsidRPr="00870D59">
        <w:tab/>
        <w:t>(</w:t>
      </w:r>
      <w:r w:rsidR="00CC4DDE">
        <w:t>F</w:t>
      </w:r>
      <w:r w:rsidR="00CC4DDE" w:rsidRPr="00870D59">
        <w:t>.</w:t>
      </w:r>
      <w:r w:rsidR="00CC4DDE">
        <w:t>10</w:t>
      </w:r>
      <w:r w:rsidR="00CC4DDE" w:rsidRPr="00870D59">
        <w:t>)</w:t>
      </w:r>
    </w:p>
    <w:p w14:paraId="5A995999" w14:textId="6186E14F" w:rsidR="00CC4DDE" w:rsidRDefault="009B5CEC" w:rsidP="00CC4DDE">
      <w:pPr>
        <w:pStyle w:val="Formula"/>
        <w:spacing w:before="240"/>
      </w:pPr>
      <m:oMath>
        <m:sSub>
          <m:sSubPr>
            <m:ctrlPr>
              <w:rPr>
                <w:rFonts w:ascii="Cambria Math" w:hAnsi="Cambria Math"/>
              </w:rPr>
            </m:ctrlPr>
          </m:sSubPr>
          <m:e>
            <m:r>
              <w:rPr>
                <w:rFonts w:ascii="Cambria Math" w:hAnsi="Cambria Math"/>
              </w:rPr>
              <m:t>β</m:t>
            </m:r>
          </m:e>
          <m:sub>
            <m:r>
              <w:rPr>
                <w:rFonts w:ascii="Cambria Math" w:hAnsi="Cambria Math"/>
              </w:rPr>
              <m:t>3</m:t>
            </m:r>
          </m:sub>
        </m:sSub>
        <m:r>
          <w:rPr>
            <w:rFonts w:ascii="Cambria Math" w:hAnsi="Cambria Math"/>
          </w:rPr>
          <m:t>=s/152,4</m:t>
        </m:r>
      </m:oMath>
      <w:r w:rsidR="00CC4DDE" w:rsidRPr="00870D59">
        <w:tab/>
        <w:t>(</w:t>
      </w:r>
      <w:r w:rsidR="00CC4DDE">
        <w:t>F</w:t>
      </w:r>
      <w:r w:rsidR="00CC4DDE" w:rsidRPr="00870D59">
        <w:t>.</w:t>
      </w:r>
      <w:r w:rsidR="00CC4DDE">
        <w:t>11</w:t>
      </w:r>
      <w:r w:rsidR="00CC4DDE" w:rsidRPr="00870D59">
        <w:t>)</w:t>
      </w:r>
    </w:p>
    <w:p w14:paraId="2287DAF8" w14:textId="7A3D3409" w:rsidR="00CC4DDE" w:rsidRDefault="00675EBA" w:rsidP="00CC4DDE">
      <w:pPr>
        <w:pStyle w:val="Text"/>
      </w:pPr>
      <w:r>
        <w:t>where</w:t>
      </w:r>
    </w:p>
    <w:tbl>
      <w:tblPr>
        <w:tblW w:w="0" w:type="auto"/>
        <w:tblInd w:w="346" w:type="dxa"/>
        <w:tblLook w:val="04A0" w:firstRow="1" w:lastRow="0" w:firstColumn="1" w:lastColumn="0" w:noHBand="0" w:noVBand="1"/>
      </w:tblPr>
      <w:tblGrid>
        <w:gridCol w:w="1275"/>
        <w:gridCol w:w="7938"/>
      </w:tblGrid>
      <w:tr w:rsidR="00CC4DDE" w:rsidRPr="00870D59" w14:paraId="1190DAF4" w14:textId="77777777" w:rsidTr="00B15DDF">
        <w:tc>
          <w:tcPr>
            <w:tcW w:w="1275" w:type="dxa"/>
          </w:tcPr>
          <w:p w14:paraId="50E818DC" w14:textId="09B4CA14" w:rsidR="00CC4DDE" w:rsidRPr="00460668" w:rsidRDefault="004124BC" w:rsidP="002061E5">
            <w:pPr>
              <w:spacing w:after="60"/>
              <w:rPr>
                <w:rFonts w:eastAsia="Times New Roman" w:cs="Cambria"/>
                <w:szCs w:val="20"/>
                <w:lang w:eastAsia="fr-FR"/>
              </w:rPr>
            </w:pPr>
            <w:r w:rsidRPr="00132C1E">
              <w:rPr>
                <w:i/>
                <w:iCs/>
                <w:lang w:eastAsia="it-IT"/>
              </w:rPr>
              <w:t>h</w:t>
            </w:r>
            <w:r w:rsidRPr="00F26D30">
              <w:rPr>
                <w:vertAlign w:val="subscript"/>
                <w:lang w:eastAsia="it-IT"/>
              </w:rPr>
              <w:t>w</w:t>
            </w:r>
          </w:p>
        </w:tc>
        <w:tc>
          <w:tcPr>
            <w:tcW w:w="7938" w:type="dxa"/>
          </w:tcPr>
          <w:p w14:paraId="730E95AC" w14:textId="31E41A24" w:rsidR="00CC4DDE" w:rsidRPr="00870D59" w:rsidRDefault="004124BC" w:rsidP="002061E5">
            <w:pPr>
              <w:spacing w:after="60"/>
              <w:rPr>
                <w:rFonts w:eastAsia="Times New Roman" w:cs="Cambria"/>
                <w:szCs w:val="20"/>
                <w:lang w:eastAsia="fr-FR"/>
              </w:rPr>
            </w:pPr>
            <w:r w:rsidRPr="00132C1E">
              <w:rPr>
                <w:lang w:eastAsia="it-IT"/>
              </w:rPr>
              <w:t>is the wall height;</w:t>
            </w:r>
          </w:p>
        </w:tc>
      </w:tr>
      <w:tr w:rsidR="00CC4DDE" w:rsidRPr="00870D59" w14:paraId="56AC6975" w14:textId="77777777" w:rsidTr="00B15DDF">
        <w:tc>
          <w:tcPr>
            <w:tcW w:w="1275" w:type="dxa"/>
          </w:tcPr>
          <w:p w14:paraId="7D2C72AB" w14:textId="31CE2A44" w:rsidR="00CC4DDE" w:rsidRPr="00460668" w:rsidRDefault="004124BC" w:rsidP="002061E5">
            <w:pPr>
              <w:spacing w:after="60"/>
              <w:rPr>
                <w:rFonts w:eastAsia="Times New Roman" w:cs="Cambria"/>
                <w:szCs w:val="20"/>
                <w:lang w:eastAsia="fr-FR"/>
              </w:rPr>
            </w:pPr>
            <w:r w:rsidRPr="00132C1E">
              <w:rPr>
                <w:i/>
                <w:iCs/>
                <w:lang w:eastAsia="it-IT"/>
              </w:rPr>
              <w:t>w</w:t>
            </w:r>
            <w:r w:rsidRPr="00F26D30">
              <w:rPr>
                <w:vertAlign w:val="subscript"/>
                <w:lang w:eastAsia="it-IT"/>
              </w:rPr>
              <w:t>w</w:t>
            </w:r>
          </w:p>
        </w:tc>
        <w:tc>
          <w:tcPr>
            <w:tcW w:w="7938" w:type="dxa"/>
          </w:tcPr>
          <w:p w14:paraId="2D37F485" w14:textId="4FDC271D" w:rsidR="00CC4DDE" w:rsidRPr="00870D59" w:rsidRDefault="004124BC" w:rsidP="002061E5">
            <w:pPr>
              <w:spacing w:after="60"/>
              <w:rPr>
                <w:rFonts w:eastAsia="Times New Roman" w:cs="Cambria"/>
                <w:szCs w:val="20"/>
                <w:lang w:eastAsia="fr-FR"/>
              </w:rPr>
            </w:pPr>
            <w:r w:rsidRPr="00132C1E">
              <w:rPr>
                <w:lang w:eastAsia="it-IT"/>
              </w:rPr>
              <w:t>is the wall length;</w:t>
            </w:r>
          </w:p>
        </w:tc>
      </w:tr>
      <w:tr w:rsidR="00CC4DDE" w:rsidRPr="00870D59" w14:paraId="4A475115" w14:textId="77777777" w:rsidTr="00B15DDF">
        <w:tc>
          <w:tcPr>
            <w:tcW w:w="1275" w:type="dxa"/>
          </w:tcPr>
          <w:p w14:paraId="2F5690DC" w14:textId="50BF480E" w:rsidR="00CC4DDE" w:rsidRPr="00A1437F" w:rsidRDefault="004124BC" w:rsidP="002061E5">
            <w:pPr>
              <w:spacing w:after="60"/>
              <w:rPr>
                <w:i/>
                <w:iCs/>
              </w:rPr>
            </w:pPr>
            <w:r w:rsidRPr="00132C1E">
              <w:rPr>
                <w:i/>
                <w:iCs/>
                <w:lang w:eastAsia="it-IT"/>
              </w:rPr>
              <w:t>w</w:t>
            </w:r>
            <w:r w:rsidRPr="00F26D30">
              <w:rPr>
                <w:vertAlign w:val="subscript"/>
                <w:lang w:eastAsia="it-IT"/>
              </w:rPr>
              <w:t>w,eff</w:t>
            </w:r>
          </w:p>
        </w:tc>
        <w:tc>
          <w:tcPr>
            <w:tcW w:w="7938" w:type="dxa"/>
          </w:tcPr>
          <w:p w14:paraId="27001C38" w14:textId="18B4ABCC" w:rsidR="00CC4DDE" w:rsidRPr="00D1484A" w:rsidRDefault="004124BC" w:rsidP="004124BC">
            <w:pPr>
              <w:pStyle w:val="Listofsymbols"/>
            </w:pPr>
            <w:r w:rsidRPr="00132C1E">
              <w:rPr>
                <w:lang w:eastAsia="it-IT"/>
              </w:rPr>
              <w:t>is the effective wall length;</w:t>
            </w:r>
          </w:p>
        </w:tc>
      </w:tr>
      <w:tr w:rsidR="004124BC" w:rsidRPr="00870D59" w14:paraId="54DBB352" w14:textId="77777777" w:rsidTr="00B15DDF">
        <w:tc>
          <w:tcPr>
            <w:tcW w:w="1275" w:type="dxa"/>
          </w:tcPr>
          <w:p w14:paraId="220271FD" w14:textId="2FA3493A" w:rsidR="004124BC" w:rsidRPr="00A1437F" w:rsidRDefault="004124BC" w:rsidP="002061E5">
            <w:pPr>
              <w:spacing w:after="60"/>
            </w:pPr>
            <w:r w:rsidRPr="00132C1E">
              <w:rPr>
                <w:i/>
                <w:lang w:eastAsia="it-IT"/>
              </w:rPr>
              <w:t>f</w:t>
            </w:r>
            <w:r w:rsidRPr="00132C1E">
              <w:rPr>
                <w:iCs/>
                <w:vertAlign w:val="subscript"/>
                <w:lang w:eastAsia="it-IT"/>
              </w:rPr>
              <w:t>u</w:t>
            </w:r>
          </w:p>
        </w:tc>
        <w:tc>
          <w:tcPr>
            <w:tcW w:w="7938" w:type="dxa"/>
          </w:tcPr>
          <w:p w14:paraId="52DBC9DB" w14:textId="7649C19F" w:rsidR="004124BC" w:rsidRPr="00A1437F" w:rsidRDefault="004124BC" w:rsidP="002061E5">
            <w:pPr>
              <w:spacing w:after="60"/>
            </w:pPr>
            <w:r w:rsidRPr="00132C1E">
              <w:rPr>
                <w:lang w:eastAsia="it-IT"/>
              </w:rPr>
              <w:t>is the ultimate tensile strength of steel sheathing (</w:t>
            </w:r>
            <w:r>
              <w:rPr>
                <w:lang w:eastAsia="it-IT"/>
              </w:rPr>
              <w:t xml:space="preserve">expressed </w:t>
            </w:r>
            <w:r w:rsidRPr="00132C1E">
              <w:rPr>
                <w:lang w:eastAsia="it-IT"/>
              </w:rPr>
              <w:t>in MPa);</w:t>
            </w:r>
          </w:p>
        </w:tc>
      </w:tr>
      <w:tr w:rsidR="004124BC" w:rsidRPr="00870D59" w14:paraId="15315CCA" w14:textId="77777777" w:rsidTr="00B15DDF">
        <w:tc>
          <w:tcPr>
            <w:tcW w:w="1275" w:type="dxa"/>
          </w:tcPr>
          <w:p w14:paraId="4CF99580" w14:textId="45B43173" w:rsidR="004124BC" w:rsidRPr="004124BC" w:rsidRDefault="009B5CEC" w:rsidP="002061E5">
            <w:pPr>
              <w:spacing w:after="60"/>
            </w:pPr>
            <m:oMathPara>
              <m:oMathParaPr>
                <m:jc m:val="left"/>
              </m:oMathParaPr>
              <m:oMath>
                <m:sSub>
                  <m:sSubPr>
                    <m:ctrlPr>
                      <w:rPr>
                        <w:rFonts w:ascii="Cambria Math" w:hAnsi="Cambria Math"/>
                        <w:i/>
                        <w:lang w:eastAsia="it-IT"/>
                      </w:rPr>
                    </m:ctrlPr>
                  </m:sSubPr>
                  <m:e>
                    <m:r>
                      <w:rPr>
                        <w:rFonts w:ascii="Cambria Math" w:hAnsi="Cambria Math"/>
                        <w:lang w:eastAsia="it-IT"/>
                      </w:rPr>
                      <m:t>f</m:t>
                    </m:r>
                  </m:e>
                  <m:sub>
                    <m:r>
                      <m:rPr>
                        <m:sty m:val="p"/>
                      </m:rPr>
                      <w:rPr>
                        <w:rFonts w:ascii="Cambria Math" w:hAnsi="Cambria Math"/>
                        <w:lang w:eastAsia="it-IT"/>
                      </w:rPr>
                      <m:t>u2</m:t>
                    </m:r>
                  </m:sub>
                </m:sSub>
              </m:oMath>
            </m:oMathPara>
          </w:p>
        </w:tc>
        <w:tc>
          <w:tcPr>
            <w:tcW w:w="7938" w:type="dxa"/>
          </w:tcPr>
          <w:p w14:paraId="1DE92B5D" w14:textId="5F890081" w:rsidR="004124BC" w:rsidRPr="00A1437F" w:rsidRDefault="004124BC" w:rsidP="002061E5">
            <w:pPr>
              <w:spacing w:after="60"/>
            </w:pPr>
            <w:r w:rsidRPr="00132C1E">
              <w:rPr>
                <w:lang w:eastAsia="it-IT"/>
              </w:rPr>
              <w:t>is the minimum of the ultimate tensile strength of stud or track (</w:t>
            </w:r>
            <w:r>
              <w:rPr>
                <w:lang w:eastAsia="it-IT"/>
              </w:rPr>
              <w:t xml:space="preserve">expressed </w:t>
            </w:r>
            <w:r w:rsidRPr="00132C1E">
              <w:rPr>
                <w:lang w:eastAsia="it-IT"/>
              </w:rPr>
              <w:t>in MPa);</w:t>
            </w:r>
          </w:p>
        </w:tc>
      </w:tr>
      <w:tr w:rsidR="004124BC" w:rsidRPr="00870D59" w14:paraId="529205E9" w14:textId="77777777" w:rsidTr="00B15DDF">
        <w:tc>
          <w:tcPr>
            <w:tcW w:w="1275" w:type="dxa"/>
          </w:tcPr>
          <w:p w14:paraId="0CA7C6B1" w14:textId="6C72F6D7" w:rsidR="004124BC" w:rsidRPr="00A1437F" w:rsidRDefault="004124BC" w:rsidP="002061E5">
            <w:pPr>
              <w:spacing w:after="60"/>
            </w:pPr>
            <w:r w:rsidRPr="00D1484A">
              <w:rPr>
                <w:i/>
                <w:lang w:eastAsia="it-IT"/>
              </w:rPr>
              <w:t>t</w:t>
            </w:r>
          </w:p>
        </w:tc>
        <w:tc>
          <w:tcPr>
            <w:tcW w:w="7938" w:type="dxa"/>
          </w:tcPr>
          <w:p w14:paraId="1B7E2D06" w14:textId="58A2B18C" w:rsidR="004124BC" w:rsidRPr="00A1437F" w:rsidRDefault="004124BC" w:rsidP="002061E5">
            <w:pPr>
              <w:spacing w:after="60"/>
            </w:pPr>
            <w:r w:rsidRPr="00132C1E">
              <w:rPr>
                <w:lang w:eastAsia="it-IT"/>
              </w:rPr>
              <w:t>is the thickness of steel sheathing (</w:t>
            </w:r>
            <w:r>
              <w:rPr>
                <w:lang w:eastAsia="it-IT"/>
              </w:rPr>
              <w:t xml:space="preserve">expressed </w:t>
            </w:r>
            <w:r w:rsidRPr="00132C1E">
              <w:rPr>
                <w:lang w:eastAsia="it-IT"/>
              </w:rPr>
              <w:t>in mm);</w:t>
            </w:r>
          </w:p>
        </w:tc>
      </w:tr>
      <w:tr w:rsidR="004124BC" w:rsidRPr="00870D59" w14:paraId="4189055D" w14:textId="77777777" w:rsidTr="00B15DDF">
        <w:tc>
          <w:tcPr>
            <w:tcW w:w="1275" w:type="dxa"/>
          </w:tcPr>
          <w:p w14:paraId="28AEBCFE" w14:textId="2CF8FE53" w:rsidR="004124BC" w:rsidRPr="004124BC" w:rsidRDefault="009B5CEC" w:rsidP="002061E5">
            <w:pPr>
              <w:spacing w:after="60"/>
            </w:pPr>
            <m:oMathPara>
              <m:oMathParaPr>
                <m:jc m:val="left"/>
              </m:oMathParaPr>
              <m:oMath>
                <m:sSub>
                  <m:sSubPr>
                    <m:ctrlPr>
                      <w:rPr>
                        <w:rFonts w:ascii="Cambria Math" w:hAnsi="Cambria Math"/>
                        <w:i/>
                        <w:lang w:eastAsia="it-IT"/>
                      </w:rPr>
                    </m:ctrlPr>
                  </m:sSubPr>
                  <m:e>
                    <m:r>
                      <w:rPr>
                        <w:rFonts w:ascii="Cambria Math" w:hAnsi="Cambria Math"/>
                        <w:lang w:eastAsia="it-IT"/>
                      </w:rPr>
                      <m:t>t</m:t>
                    </m:r>
                  </m:e>
                  <m:sub>
                    <m:r>
                      <w:rPr>
                        <w:rFonts w:ascii="Cambria Math" w:hAnsi="Cambria Math"/>
                        <w:lang w:eastAsia="it-IT"/>
                      </w:rPr>
                      <m:t>2</m:t>
                    </m:r>
                  </m:sub>
                </m:sSub>
              </m:oMath>
            </m:oMathPara>
          </w:p>
        </w:tc>
        <w:tc>
          <w:tcPr>
            <w:tcW w:w="7938" w:type="dxa"/>
          </w:tcPr>
          <w:p w14:paraId="529537C3" w14:textId="2B9F82E6" w:rsidR="004124BC" w:rsidRPr="00A1437F" w:rsidRDefault="004124BC" w:rsidP="002061E5">
            <w:pPr>
              <w:spacing w:after="60"/>
            </w:pPr>
            <w:r w:rsidRPr="00132C1E">
              <w:rPr>
                <w:lang w:eastAsia="it-IT"/>
              </w:rPr>
              <w:t>is the minimum of the thickness of stud or track (</w:t>
            </w:r>
            <w:r>
              <w:rPr>
                <w:lang w:eastAsia="it-IT"/>
              </w:rPr>
              <w:t xml:space="preserve">expressed </w:t>
            </w:r>
            <w:r w:rsidRPr="00132C1E">
              <w:rPr>
                <w:lang w:eastAsia="it-IT"/>
              </w:rPr>
              <w:t>in mm);</w:t>
            </w:r>
          </w:p>
        </w:tc>
      </w:tr>
      <w:tr w:rsidR="004124BC" w:rsidRPr="00870D59" w14:paraId="4536647A" w14:textId="77777777" w:rsidTr="00B15DDF">
        <w:tc>
          <w:tcPr>
            <w:tcW w:w="1275" w:type="dxa"/>
          </w:tcPr>
          <w:p w14:paraId="30DDA97E" w14:textId="6FDAD136" w:rsidR="004124BC" w:rsidRPr="00A1437F" w:rsidRDefault="004124BC" w:rsidP="002061E5">
            <w:pPr>
              <w:spacing w:after="60"/>
            </w:pPr>
            <w:r w:rsidRPr="00D1484A">
              <w:rPr>
                <w:lang w:eastAsia="it-IT"/>
              </w:rPr>
              <w:t>s</w:t>
            </w:r>
          </w:p>
        </w:tc>
        <w:tc>
          <w:tcPr>
            <w:tcW w:w="7938" w:type="dxa"/>
          </w:tcPr>
          <w:p w14:paraId="42BC19CB" w14:textId="77C59B78" w:rsidR="004124BC" w:rsidRPr="00A1437F" w:rsidRDefault="004124BC" w:rsidP="002061E5">
            <w:pPr>
              <w:spacing w:after="60"/>
            </w:pPr>
            <w:r w:rsidRPr="00D1484A">
              <w:rPr>
                <w:lang w:eastAsia="it-IT"/>
              </w:rPr>
              <w:t>is the screw spacing at panel edges (</w:t>
            </w:r>
            <w:r>
              <w:rPr>
                <w:lang w:eastAsia="it-IT"/>
              </w:rPr>
              <w:t xml:space="preserve">expressed </w:t>
            </w:r>
            <w:r w:rsidRPr="00D1484A">
              <w:rPr>
                <w:lang w:eastAsia="it-IT"/>
              </w:rPr>
              <w:t>in mm).</w:t>
            </w:r>
          </w:p>
        </w:tc>
      </w:tr>
    </w:tbl>
    <w:p w14:paraId="739217FF" w14:textId="1D5CC4D2" w:rsidR="00CC1EEE" w:rsidRPr="00316E8F" w:rsidRDefault="00CC1EEE" w:rsidP="0080187E">
      <w:pPr>
        <w:pStyle w:val="Clause"/>
        <w:numPr>
          <w:ilvl w:val="0"/>
          <w:numId w:val="231"/>
        </w:numPr>
        <w:rPr>
          <w:rFonts w:eastAsiaTheme="minorEastAsia"/>
        </w:rPr>
      </w:pPr>
      <w:r w:rsidRPr="00FD17CF">
        <w:t xml:space="preserve">The </w:t>
      </w:r>
      <w:r>
        <w:t xml:space="preserve">design value of the </w:t>
      </w:r>
      <w:r w:rsidRPr="00FD17CF">
        <w:t xml:space="preserve">in-plane lateral resistance of wall </w:t>
      </w:r>
      <w:r w:rsidRPr="00FD17CF">
        <w:rPr>
          <w:i/>
          <w:iCs/>
        </w:rPr>
        <w:t>R</w:t>
      </w:r>
      <w:r w:rsidRPr="00E05E29">
        <w:rPr>
          <w:vertAlign w:val="subscript"/>
        </w:rPr>
        <w:t>c,Rd</w:t>
      </w:r>
      <w:r w:rsidRPr="00196951">
        <w:t xml:space="preserve"> corresponding to the strength of the member-to-sheathing connection may be obtained using Formula (F.1</w:t>
      </w:r>
      <w:r>
        <w:t>2</w:t>
      </w:r>
      <w:r w:rsidRPr="00196951">
        <w:t xml:space="preserve">), but should not be greater than </w:t>
      </w:r>
      <w:r w:rsidRPr="002144A0">
        <w:rPr>
          <w:i/>
          <w:iCs/>
        </w:rPr>
        <w:t>R</w:t>
      </w:r>
      <w:r w:rsidRPr="002144A0">
        <w:rPr>
          <w:vertAlign w:val="subscript"/>
        </w:rPr>
        <w:t>y,Rd</w:t>
      </w:r>
      <w:r w:rsidRPr="002144A0">
        <w:t xml:space="preserve">, the design yielding resistance of the effective sheathing </w:t>
      </w:r>
      <w:r w:rsidRPr="004F25D7">
        <w:t>given by</w:t>
      </w:r>
      <w:r w:rsidRPr="00C52095">
        <w:t xml:space="preserve"> Formula (F.1</w:t>
      </w:r>
      <w:r>
        <w:t>6).</w:t>
      </w:r>
    </w:p>
    <w:p w14:paraId="107FE4E1" w14:textId="2064D921" w:rsidR="00CC1EEE" w:rsidRDefault="009B5CEC" w:rsidP="00CC1EEE">
      <w:pPr>
        <w:pStyle w:val="Formula"/>
        <w:spacing w:before="240"/>
      </w:pPr>
      <m:oMath>
        <m:sSub>
          <m:sSubPr>
            <m:ctrlPr>
              <w:rPr>
                <w:rFonts w:ascii="Cambria Math" w:eastAsiaTheme="minorEastAsia" w:hAnsi="Cambria Math"/>
              </w:rPr>
            </m:ctrlPr>
          </m:sSubPr>
          <m:e>
            <m:r>
              <w:rPr>
                <w:rFonts w:ascii="Cambria Math" w:eastAsiaTheme="minorEastAsia"/>
              </w:rPr>
              <m:t>R</m:t>
            </m:r>
          </m:e>
          <m:sub>
            <m:r>
              <m:rPr>
                <m:sty m:val="p"/>
              </m:rPr>
              <w:rPr>
                <w:rFonts w:eastAsiaTheme="minorEastAsia"/>
              </w:rPr>
              <m:t>c,Rd</m:t>
            </m:r>
          </m:sub>
        </m:sSub>
        <m:r>
          <w:rPr>
            <w:rFonts w:eastAsiaTheme="minorEastAsia"/>
          </w:rPr>
          <m:t>=</m:t>
        </m:r>
        <m:d>
          <m:dPr>
            <m:ctrlPr>
              <w:rPr>
                <w:rFonts w:ascii="Cambria Math" w:eastAsiaTheme="minorEastAsia" w:hAnsi="Cambria Math"/>
              </w:rPr>
            </m:ctrlPr>
          </m:dPr>
          <m:e>
            <m:f>
              <m:fPr>
                <m:ctrlPr>
                  <w:rPr>
                    <w:rFonts w:ascii="Cambria Math" w:eastAsiaTheme="minorEastAsia" w:hAnsi="Cambria Math"/>
                  </w:rPr>
                </m:ctrlPr>
              </m:fPr>
              <m:num>
                <m:sSub>
                  <m:sSubPr>
                    <m:ctrlPr>
                      <w:rPr>
                        <w:rFonts w:ascii="Cambria Math" w:eastAsiaTheme="minorEastAsia" w:hAnsi="Cambria Math"/>
                      </w:rPr>
                    </m:ctrlPr>
                  </m:sSubPr>
                  <m:e>
                    <m:r>
                      <w:rPr>
                        <w:rFonts w:ascii="Cambria Math" w:eastAsiaTheme="minorEastAsia"/>
                      </w:rPr>
                      <m:t>w</m:t>
                    </m:r>
                  </m:e>
                  <m:sub>
                    <m:r>
                      <m:rPr>
                        <m:sty m:val="p"/>
                      </m:rPr>
                      <w:rPr>
                        <w:rFonts w:eastAsiaTheme="minorEastAsia"/>
                      </w:rPr>
                      <m:t>eff</m:t>
                    </m:r>
                  </m:sub>
                </m:sSub>
              </m:num>
              <m:den>
                <m:r>
                  <w:rPr>
                    <w:rFonts w:eastAsiaTheme="minorEastAsia"/>
                  </w:rPr>
                  <m:t>2</m:t>
                </m:r>
                <m:r>
                  <w:rPr>
                    <w:rFonts w:ascii="Cambria Math" w:eastAsiaTheme="minorEastAsia"/>
                  </w:rPr>
                  <m:t>s</m:t>
                </m:r>
                <m:r>
                  <w:rPr>
                    <w:rFonts w:eastAsiaTheme="minorEastAsia"/>
                  </w:rPr>
                  <m:t xml:space="preserve"> </m:t>
                </m:r>
                <m:r>
                  <w:rPr>
                    <w:rFonts w:ascii="Cambria Math" w:eastAsiaTheme="minorEastAsia"/>
                  </w:rPr>
                  <m:t>sin</m:t>
                </m:r>
                <m:r>
                  <w:rPr>
                    <w:rFonts w:ascii="Cambria Math" w:eastAsiaTheme="minorEastAsia" w:hAnsi="Cambria Math"/>
                  </w:rPr>
                  <m:t>α</m:t>
                </m:r>
              </m:den>
            </m:f>
            <m:sSub>
              <m:sSubPr>
                <m:ctrlPr>
                  <w:rPr>
                    <w:rFonts w:ascii="Cambria Math" w:eastAsiaTheme="minorEastAsia" w:hAnsi="Cambria Math"/>
                  </w:rPr>
                </m:ctrlPr>
              </m:sSubPr>
              <m:e>
                <m:r>
                  <w:rPr>
                    <w:rFonts w:ascii="Cambria Math" w:eastAsiaTheme="minorEastAsia"/>
                  </w:rPr>
                  <m:t>F</m:t>
                </m:r>
              </m:e>
              <m:sub>
                <m:r>
                  <m:rPr>
                    <m:sty m:val="p"/>
                  </m:rPr>
                  <w:rPr>
                    <w:rFonts w:eastAsiaTheme="minorEastAsia"/>
                  </w:rPr>
                  <m:t>b,Rd,st</m:t>
                </m:r>
              </m:sub>
            </m:sSub>
            <m:r>
              <w:rPr>
                <w:rFonts w:eastAsiaTheme="minorEastAsia"/>
              </w:rPr>
              <m:t>+</m:t>
            </m:r>
            <m:f>
              <m:fPr>
                <m:ctrlPr>
                  <w:rPr>
                    <w:rFonts w:ascii="Cambria Math" w:eastAsiaTheme="minorEastAsia" w:hAnsi="Cambria Math"/>
                  </w:rPr>
                </m:ctrlPr>
              </m:fPr>
              <m:num>
                <m:sSub>
                  <m:sSubPr>
                    <m:ctrlPr>
                      <w:rPr>
                        <w:rFonts w:ascii="Cambria Math" w:eastAsiaTheme="minorEastAsia" w:hAnsi="Cambria Math"/>
                      </w:rPr>
                    </m:ctrlPr>
                  </m:sSubPr>
                  <m:e>
                    <m:r>
                      <w:rPr>
                        <w:rFonts w:ascii="Cambria Math" w:eastAsiaTheme="minorEastAsia"/>
                      </w:rPr>
                      <m:t>w</m:t>
                    </m:r>
                  </m:e>
                  <m:sub>
                    <m:r>
                      <m:rPr>
                        <m:sty m:val="p"/>
                      </m:rPr>
                      <w:rPr>
                        <w:rFonts w:eastAsiaTheme="minorEastAsia"/>
                      </w:rPr>
                      <m:t>eff</m:t>
                    </m:r>
                  </m:sub>
                </m:sSub>
              </m:num>
              <m:den>
                <m:r>
                  <w:rPr>
                    <w:rFonts w:eastAsiaTheme="minorEastAsia"/>
                  </w:rPr>
                  <m:t>2</m:t>
                </m:r>
                <m:r>
                  <w:rPr>
                    <w:rFonts w:ascii="Cambria Math" w:eastAsiaTheme="minorEastAsia"/>
                  </w:rPr>
                  <m:t>s</m:t>
                </m:r>
                <m:r>
                  <w:rPr>
                    <w:rFonts w:eastAsiaTheme="minorEastAsia"/>
                  </w:rPr>
                  <m:t xml:space="preserve"> </m:t>
                </m:r>
                <m:r>
                  <m:rPr>
                    <m:sty m:val="p"/>
                  </m:rPr>
                  <w:rPr>
                    <w:rFonts w:ascii="Cambria Math" w:eastAsiaTheme="minorEastAsia"/>
                  </w:rPr>
                  <m:t>cos</m:t>
                </m:r>
                <m:r>
                  <w:rPr>
                    <w:rFonts w:ascii="Cambria Math" w:eastAsiaTheme="minorEastAsia" w:hAnsi="Cambria Math"/>
                  </w:rPr>
                  <m:t>α</m:t>
                </m:r>
              </m:den>
            </m:f>
            <m:sSub>
              <m:sSubPr>
                <m:ctrlPr>
                  <w:rPr>
                    <w:rFonts w:ascii="Cambria Math" w:eastAsiaTheme="minorEastAsia" w:hAnsi="Cambria Math"/>
                  </w:rPr>
                </m:ctrlPr>
              </m:sSubPr>
              <m:e>
                <m:r>
                  <w:rPr>
                    <w:rFonts w:ascii="Cambria Math" w:eastAsiaTheme="minorEastAsia"/>
                  </w:rPr>
                  <m:t>F</m:t>
                </m:r>
              </m:e>
              <m:sub>
                <m:r>
                  <m:rPr>
                    <m:sty m:val="p"/>
                  </m:rPr>
                  <w:rPr>
                    <w:rFonts w:eastAsiaTheme="minorEastAsia"/>
                  </w:rPr>
                  <m:t>b,Rd,ss</m:t>
                </m:r>
              </m:sub>
            </m:sSub>
            <m:r>
              <w:rPr>
                <w:rFonts w:eastAsiaTheme="minorEastAsia"/>
              </w:rPr>
              <m:t>+</m:t>
            </m:r>
            <m:sSub>
              <m:sSubPr>
                <m:ctrlPr>
                  <w:rPr>
                    <w:rFonts w:ascii="Cambria Math" w:eastAsiaTheme="minorEastAsia" w:hAnsi="Cambria Math"/>
                  </w:rPr>
                </m:ctrlPr>
              </m:sSubPr>
              <m:e>
                <m:r>
                  <w:rPr>
                    <w:rFonts w:ascii="Cambria Math" w:eastAsiaTheme="minorEastAsia"/>
                  </w:rPr>
                  <m:t>F</m:t>
                </m:r>
              </m:e>
              <m:sub>
                <m:r>
                  <m:rPr>
                    <m:sty m:val="p"/>
                  </m:rPr>
                  <w:rPr>
                    <w:rFonts w:eastAsiaTheme="minorEastAsia"/>
                  </w:rPr>
                  <m:t>b,Rd,sts</m:t>
                </m:r>
              </m:sub>
            </m:sSub>
          </m:e>
        </m:d>
        <m:r>
          <m:rPr>
            <m:sty m:val="p"/>
          </m:rPr>
          <w:rPr>
            <w:rFonts w:eastAsiaTheme="minorEastAsia"/>
          </w:rPr>
          <m:t>cos </m:t>
        </m:r>
        <m:r>
          <w:rPr>
            <w:rFonts w:ascii="Cambria Math" w:eastAsiaTheme="minorEastAsia" w:hAnsi="Cambria Math"/>
          </w:rPr>
          <m:t>α</m:t>
        </m:r>
        <m:r>
          <w:rPr>
            <w:rFonts w:eastAsiaTheme="minorEastAsia"/>
          </w:rPr>
          <m:t xml:space="preserve"> </m:t>
        </m:r>
      </m:oMath>
      <w:r w:rsidR="00CC1EEE" w:rsidRPr="00870D59">
        <w:tab/>
        <w:t>(</w:t>
      </w:r>
      <w:r w:rsidR="00CC1EEE">
        <w:t>F</w:t>
      </w:r>
      <w:r w:rsidR="00CC1EEE" w:rsidRPr="00870D59">
        <w:t>.</w:t>
      </w:r>
      <w:r w:rsidR="00CC1EEE">
        <w:t>1</w:t>
      </w:r>
      <w:r w:rsidR="004627D7">
        <w:t>2</w:t>
      </w:r>
      <w:r w:rsidR="00CC1EEE" w:rsidRPr="00870D59">
        <w:t>)</w:t>
      </w:r>
    </w:p>
    <w:p w14:paraId="5BE52364" w14:textId="0730AEF2" w:rsidR="00CC1EEE" w:rsidRDefault="00675EBA" w:rsidP="00CC1EEE">
      <w:pPr>
        <w:pStyle w:val="Text"/>
      </w:pPr>
      <w:r>
        <w:t>where</w:t>
      </w:r>
    </w:p>
    <w:tbl>
      <w:tblPr>
        <w:tblW w:w="0" w:type="auto"/>
        <w:tblInd w:w="346" w:type="dxa"/>
        <w:tblLook w:val="04A0" w:firstRow="1" w:lastRow="0" w:firstColumn="1" w:lastColumn="0" w:noHBand="0" w:noVBand="1"/>
      </w:tblPr>
      <w:tblGrid>
        <w:gridCol w:w="1275"/>
        <w:gridCol w:w="7938"/>
      </w:tblGrid>
      <w:tr w:rsidR="00CC1EEE" w:rsidRPr="00870D59" w14:paraId="60B65124" w14:textId="77777777" w:rsidTr="00B15DDF">
        <w:tc>
          <w:tcPr>
            <w:tcW w:w="1275" w:type="dxa"/>
          </w:tcPr>
          <w:p w14:paraId="008B9929" w14:textId="00A28B07" w:rsidR="00CC1EEE" w:rsidRPr="00460668" w:rsidRDefault="004627D7" w:rsidP="002061E5">
            <w:pPr>
              <w:spacing w:after="60"/>
              <w:rPr>
                <w:rFonts w:eastAsia="Times New Roman" w:cs="Cambria"/>
                <w:szCs w:val="20"/>
                <w:lang w:eastAsia="fr-FR"/>
              </w:rPr>
            </w:pPr>
            <w:r w:rsidRPr="00132C1E">
              <w:rPr>
                <w:i/>
                <w:lang w:eastAsia="it-IT"/>
              </w:rPr>
              <w:t>F</w:t>
            </w:r>
            <w:r w:rsidRPr="00132C1E">
              <w:rPr>
                <w:iCs/>
                <w:vertAlign w:val="subscript"/>
                <w:lang w:eastAsia="it-IT"/>
              </w:rPr>
              <w:t>b,Rd</w:t>
            </w:r>
            <w:r>
              <w:rPr>
                <w:iCs/>
                <w:vertAlign w:val="subscript"/>
                <w:lang w:eastAsia="it-IT"/>
              </w:rPr>
              <w:t>,st</w:t>
            </w:r>
            <w:r>
              <w:rPr>
                <w:iCs/>
                <w:lang w:eastAsia="it-IT"/>
              </w:rPr>
              <w:t xml:space="preserve">, </w:t>
            </w:r>
            <w:r w:rsidRPr="00132C1E">
              <w:rPr>
                <w:i/>
                <w:lang w:eastAsia="it-IT"/>
              </w:rPr>
              <w:t>F</w:t>
            </w:r>
            <w:r w:rsidRPr="00132C1E">
              <w:rPr>
                <w:iCs/>
                <w:vertAlign w:val="subscript"/>
                <w:lang w:eastAsia="it-IT"/>
              </w:rPr>
              <w:t>b,Rd</w:t>
            </w:r>
            <w:r>
              <w:rPr>
                <w:iCs/>
                <w:vertAlign w:val="subscript"/>
                <w:lang w:eastAsia="it-IT"/>
              </w:rPr>
              <w:t>,ss</w:t>
            </w:r>
            <w:r>
              <w:rPr>
                <w:iCs/>
                <w:lang w:eastAsia="it-IT"/>
              </w:rPr>
              <w:t xml:space="preserve">, </w:t>
            </w:r>
            <w:r w:rsidRPr="00132C1E">
              <w:rPr>
                <w:i/>
                <w:lang w:eastAsia="it-IT"/>
              </w:rPr>
              <w:t>F</w:t>
            </w:r>
            <w:r w:rsidRPr="00132C1E">
              <w:rPr>
                <w:iCs/>
                <w:vertAlign w:val="subscript"/>
                <w:lang w:eastAsia="it-IT"/>
              </w:rPr>
              <w:t>b,Rd</w:t>
            </w:r>
            <w:r>
              <w:rPr>
                <w:iCs/>
                <w:vertAlign w:val="subscript"/>
                <w:lang w:eastAsia="it-IT"/>
              </w:rPr>
              <w:t>,sts</w:t>
            </w:r>
          </w:p>
        </w:tc>
        <w:tc>
          <w:tcPr>
            <w:tcW w:w="7938" w:type="dxa"/>
          </w:tcPr>
          <w:p w14:paraId="067F679B" w14:textId="36AA96B6" w:rsidR="00CC1EEE" w:rsidRPr="00870D59" w:rsidRDefault="004627D7" w:rsidP="002061E5">
            <w:pPr>
              <w:spacing w:after="60"/>
              <w:rPr>
                <w:rFonts w:eastAsia="Times New Roman" w:cs="Cambria"/>
                <w:szCs w:val="20"/>
                <w:lang w:eastAsia="fr-FR"/>
              </w:rPr>
            </w:pPr>
            <w:r>
              <w:rPr>
                <w:lang w:eastAsia="it-IT"/>
              </w:rPr>
              <w:t>are respectively</w:t>
            </w:r>
            <w:r w:rsidRPr="00132C1E">
              <w:rPr>
                <w:lang w:eastAsia="it-IT"/>
              </w:rPr>
              <w:t xml:space="preserve"> the design bearing resistance of the</w:t>
            </w:r>
            <w:r>
              <w:rPr>
                <w:lang w:eastAsia="it-IT"/>
              </w:rPr>
              <w:t xml:space="preserve"> sheating to track, sheating to stud and sheating to track and stud</w:t>
            </w:r>
            <w:r w:rsidRPr="00132C1E">
              <w:rPr>
                <w:lang w:eastAsia="it-IT"/>
              </w:rPr>
              <w:t xml:space="preserve"> connection</w:t>
            </w:r>
            <w:r>
              <w:rPr>
                <w:lang w:eastAsia="it-IT"/>
              </w:rPr>
              <w:t>s calculated</w:t>
            </w:r>
            <w:r w:rsidRPr="00132C1E">
              <w:rPr>
                <w:lang w:eastAsia="it-IT"/>
              </w:rPr>
              <w:t xml:space="preserve"> </w:t>
            </w:r>
            <w:r w:rsidRPr="004627D7">
              <w:rPr>
                <w:lang w:eastAsia="it-IT"/>
              </w:rPr>
              <w:t xml:space="preserve">from Formula (F.13) and (F.14) and should be smaller than </w:t>
            </w:r>
            <w:r w:rsidRPr="004627D7">
              <w:rPr>
                <w:i/>
                <w:lang w:eastAsia="it-IT"/>
              </w:rPr>
              <w:t>F</w:t>
            </w:r>
            <w:r w:rsidRPr="004627D7">
              <w:rPr>
                <w:iCs/>
                <w:vertAlign w:val="subscript"/>
                <w:lang w:eastAsia="it-IT"/>
              </w:rPr>
              <w:t>v,Rd</w:t>
            </w:r>
            <w:r w:rsidRPr="004627D7">
              <w:rPr>
                <w:lang w:eastAsia="it-IT"/>
              </w:rPr>
              <w:t>/1,2, with</w:t>
            </w:r>
            <w:r w:rsidRPr="004627D7">
              <w:rPr>
                <w:i/>
                <w:lang w:eastAsia="it-IT"/>
              </w:rPr>
              <w:t xml:space="preserve"> F</w:t>
            </w:r>
            <w:r w:rsidRPr="004627D7">
              <w:rPr>
                <w:iCs/>
                <w:vertAlign w:val="subscript"/>
                <w:lang w:eastAsia="it-IT"/>
              </w:rPr>
              <w:t>v,Rd</w:t>
            </w:r>
            <w:r w:rsidRPr="004627D7">
              <w:rPr>
                <w:lang w:eastAsia="it-IT"/>
              </w:rPr>
              <w:t xml:space="preserve"> the </w:t>
            </w:r>
            <w:r w:rsidRPr="004627D7">
              <w:t>design shear resistance of screws from Formula (F.15)</w:t>
            </w:r>
            <w:r w:rsidRPr="002144A0">
              <w:t>;</w:t>
            </w:r>
          </w:p>
        </w:tc>
      </w:tr>
    </w:tbl>
    <w:p w14:paraId="61E66AFA" w14:textId="569CEDB6" w:rsidR="004627D7" w:rsidRDefault="004627D7" w:rsidP="004627D7">
      <w:pPr>
        <w:pStyle w:val="Formula"/>
        <w:spacing w:before="240"/>
      </w:pPr>
      <w:r w:rsidRPr="002144A0">
        <w:rPr>
          <w:rFonts w:eastAsiaTheme="minorEastAsia"/>
        </w:rPr>
        <w:t>If</w:t>
      </w:r>
      <w:r w:rsidR="00870291">
        <w:rPr>
          <w:rFonts w:eastAsiaTheme="minorEastAsia"/>
        </w:rPr>
        <w:t xml:space="preserve"> </w:t>
      </w:r>
      <w:r w:rsidRPr="004F25D7">
        <w:t xml:space="preserve"> </w:t>
      </w:r>
      <m:oMath>
        <m:f>
          <m:fPr>
            <m:ctrlPr>
              <w:rPr>
                <w:rFonts w:ascii="Cambria Math" w:hAnsi="Cambria Math"/>
              </w:rPr>
            </m:ctrlPr>
          </m:fPr>
          <m:num>
            <m:sSub>
              <m:sSubPr>
                <m:ctrlPr>
                  <w:rPr>
                    <w:rFonts w:ascii="Cambria Math" w:hAnsi="Cambria Math"/>
                  </w:rPr>
                </m:ctrlPr>
              </m:sSubPr>
              <m:e>
                <m:r>
                  <w:rPr>
                    <w:rFonts w:ascii="Cambria Math" w:hAnsi="Cambria Math"/>
                  </w:rPr>
                  <m:t>t</m:t>
                </m:r>
              </m:e>
              <m:sub>
                <m:r>
                  <m:rPr>
                    <m:sty m:val="p"/>
                  </m:rPr>
                  <w:rPr>
                    <w:rFonts w:ascii="Cambria Math" w:hAnsi="Cambria Math"/>
                  </w:rPr>
                  <m:t>f</m:t>
                </m:r>
              </m:sub>
            </m:sSub>
          </m:num>
          <m:den>
            <m:sSub>
              <m:sSubPr>
                <m:ctrlPr>
                  <w:rPr>
                    <w:rFonts w:ascii="Cambria Math" w:hAnsi="Cambria Math"/>
                  </w:rPr>
                </m:ctrlPr>
              </m:sSubPr>
              <m:e>
                <m:r>
                  <w:rPr>
                    <w:rFonts w:ascii="Cambria Math" w:hAnsi="Cambria Math"/>
                  </w:rPr>
                  <m:t>t</m:t>
                </m:r>
              </m:e>
              <m:sub>
                <m:r>
                  <m:rPr>
                    <m:sty m:val="p"/>
                  </m:rPr>
                  <w:rPr>
                    <w:rFonts w:ascii="Cambria Math" w:hAnsi="Cambria Math"/>
                  </w:rPr>
                  <m:t>s</m:t>
                </m:r>
              </m:sub>
            </m:sSub>
          </m:den>
        </m:f>
        <m:r>
          <w:rPr>
            <w:rFonts w:eastAsiaTheme="minorEastAsia"/>
          </w:rPr>
          <m:t>≤</m:t>
        </m:r>
        <m:r>
          <m:rPr>
            <m:sty m:val="p"/>
          </m:rPr>
          <w:rPr>
            <w:rFonts w:ascii="Cambria Math" w:eastAsiaTheme="minorEastAsia" w:hAnsi="Cambria Math"/>
          </w:rPr>
          <m:t>1,0</m:t>
        </m:r>
        <m:r>
          <w:rPr>
            <w:rFonts w:ascii="Cambria Math" w:hAnsi="Cambria Math"/>
          </w:rPr>
          <m:t xml:space="preserve">,  </m:t>
        </m:r>
        <m:sSub>
          <m:sSubPr>
            <m:ctrlPr>
              <w:rPr>
                <w:rFonts w:ascii="Cambria Math" w:eastAsiaTheme="minorEastAsia" w:hAnsi="Cambria Math"/>
              </w:rPr>
            </m:ctrlPr>
          </m:sSubPr>
          <m:e>
            <m:r>
              <w:rPr>
                <w:rFonts w:ascii="Cambria Math" w:eastAsiaTheme="minorEastAsia"/>
              </w:rPr>
              <m:t>F</m:t>
            </m:r>
          </m:e>
          <m:sub>
            <m:r>
              <m:rPr>
                <m:sty m:val="p"/>
              </m:rPr>
              <w:rPr>
                <w:rFonts w:eastAsiaTheme="minorEastAsia"/>
                <w:vertAlign w:val="subscript"/>
              </w:rPr>
              <m:t>b,Rd</m:t>
            </m:r>
          </m:sub>
        </m:sSub>
        <m:r>
          <w:rPr>
            <w:rFonts w:eastAsiaTheme="minorEastAsia"/>
            <w:vertAlign w:val="subscript"/>
          </w:rPr>
          <m:t>=</m:t>
        </m:r>
        <m:func>
          <m:funcPr>
            <m:ctrlPr>
              <w:rPr>
                <w:rFonts w:ascii="Cambria Math" w:eastAsiaTheme="minorEastAsia" w:hAnsi="Cambria Math" w:cs="Cambria Math"/>
                <w:vertAlign w:val="subscript"/>
              </w:rPr>
            </m:ctrlPr>
          </m:funcPr>
          <m:fName>
            <m:f>
              <m:fPr>
                <m:ctrlPr>
                  <w:rPr>
                    <w:rFonts w:ascii="Cambria Math" w:eastAsiaTheme="minorEastAsia" w:hAnsi="Cambria Math"/>
                    <w:vertAlign w:val="subscript"/>
                  </w:rPr>
                </m:ctrlPr>
              </m:fPr>
              <m:num>
                <m:r>
                  <w:rPr>
                    <w:rFonts w:eastAsiaTheme="minorEastAsia"/>
                    <w:vertAlign w:val="subscript"/>
                  </w:rPr>
                  <m:t>1</m:t>
                </m:r>
              </m:num>
              <m:den>
                <m:sSub>
                  <m:sSubPr>
                    <m:ctrlPr>
                      <w:rPr>
                        <w:rFonts w:ascii="Cambria Math" w:hAnsi="Cambria Math"/>
                      </w:rPr>
                    </m:ctrlPr>
                  </m:sSubPr>
                  <m:e>
                    <m:r>
                      <w:rPr>
                        <w:rFonts w:ascii="Cambria Math" w:hAnsi="Cambria Math"/>
                      </w:rPr>
                      <m:t>γ</m:t>
                    </m:r>
                  </m:e>
                  <m:sub>
                    <m:r>
                      <m:rPr>
                        <m:sty m:val="p"/>
                      </m:rPr>
                      <w:rPr>
                        <w:rFonts w:ascii="Cambria Math" w:hAnsi="Cambria Math"/>
                      </w:rPr>
                      <m:t>M2</m:t>
                    </m:r>
                  </m:sub>
                </m:sSub>
              </m:den>
            </m:f>
            <m:r>
              <m:rPr>
                <m:sty m:val="p"/>
              </m:rPr>
              <w:rPr>
                <w:rFonts w:eastAsiaTheme="minorEastAsia"/>
                <w:vertAlign w:val="subscript"/>
              </w:rPr>
              <m:t>min</m:t>
            </m:r>
            <m:ctrlPr>
              <w:rPr>
                <w:rFonts w:ascii="Cambria Math" w:eastAsiaTheme="minorEastAsia" w:hAnsi="Cambria Math"/>
                <w:vertAlign w:val="subscript"/>
              </w:rPr>
            </m:ctrlPr>
          </m:fName>
          <m:e>
            <m:d>
              <m:dPr>
                <m:ctrlPr>
                  <w:rPr>
                    <w:rFonts w:ascii="Cambria Math" w:eastAsiaTheme="minorEastAsia" w:hAnsi="Cambria Math"/>
                    <w:vertAlign w:val="subscript"/>
                  </w:rPr>
                </m:ctrlPr>
              </m:dPr>
              <m:e>
                <m:r>
                  <m:rPr>
                    <m:sty m:val="p"/>
                  </m:rPr>
                  <w:rPr>
                    <w:rFonts w:ascii="Cambria Math" w:eastAsiaTheme="minorEastAsia" w:hAnsi="Cambria Math"/>
                    <w:vertAlign w:val="subscript"/>
                  </w:rPr>
                  <m:t>4,2</m:t>
                </m:r>
                <m:r>
                  <w:rPr>
                    <w:rFonts w:eastAsiaTheme="minorEastAsia"/>
                    <w:vertAlign w:val="subscript"/>
                  </w:rPr>
                  <m:t> </m:t>
                </m:r>
                <m:sSup>
                  <m:sSupPr>
                    <m:ctrlPr>
                      <w:rPr>
                        <w:rFonts w:ascii="Cambria Math" w:eastAsiaTheme="minorEastAsia" w:hAnsi="Cambria Math"/>
                        <w:vertAlign w:val="subscript"/>
                      </w:rPr>
                    </m:ctrlPr>
                  </m:sSupPr>
                  <m:e>
                    <m:d>
                      <m:dPr>
                        <m:ctrlPr>
                          <w:rPr>
                            <w:rFonts w:ascii="Cambria Math" w:eastAsiaTheme="minorEastAsia" w:hAnsi="Cambria Math"/>
                            <w:vertAlign w:val="subscript"/>
                          </w:rPr>
                        </m:ctrlPr>
                      </m:dPr>
                      <m:e>
                        <m:sSubSup>
                          <m:sSubSupPr>
                            <m:ctrlPr>
                              <w:rPr>
                                <w:rFonts w:ascii="Cambria Math" w:eastAsiaTheme="minorEastAsia" w:hAnsi="Cambria Math"/>
                                <w:vertAlign w:val="subscript"/>
                              </w:rPr>
                            </m:ctrlPr>
                          </m:sSubSupPr>
                          <m:e>
                            <m:r>
                              <w:rPr>
                                <w:rFonts w:ascii="Cambria Math" w:eastAsiaTheme="minorEastAsia"/>
                                <w:vertAlign w:val="subscript"/>
                              </w:rPr>
                              <m:t>t</m:t>
                            </m:r>
                          </m:e>
                          <m:sub>
                            <m:r>
                              <m:rPr>
                                <m:sty m:val="p"/>
                              </m:rPr>
                              <w:rPr>
                                <w:rFonts w:eastAsiaTheme="minorEastAsia"/>
                                <w:vertAlign w:val="subscript"/>
                              </w:rPr>
                              <m:t>f</m:t>
                            </m:r>
                          </m:sub>
                          <m:sup>
                            <m:r>
                              <m:rPr>
                                <m:sty m:val="p"/>
                              </m:rPr>
                              <w:rPr>
                                <w:rFonts w:eastAsiaTheme="minorEastAsia"/>
                                <w:vertAlign w:val="subscript"/>
                              </w:rPr>
                              <m:t>3</m:t>
                            </m:r>
                          </m:sup>
                        </m:sSubSup>
                        <m:r>
                          <w:rPr>
                            <w:rFonts w:ascii="Cambria Math" w:eastAsiaTheme="minorEastAsia"/>
                            <w:vertAlign w:val="subscript"/>
                          </w:rPr>
                          <m:t>d</m:t>
                        </m:r>
                      </m:e>
                    </m:d>
                  </m:e>
                  <m:sup>
                    <m:r>
                      <w:rPr>
                        <w:rFonts w:eastAsiaTheme="minorEastAsia"/>
                        <w:vertAlign w:val="subscript"/>
                      </w:rPr>
                      <m:t>0,5</m:t>
                    </m:r>
                  </m:sup>
                </m:sSup>
                <m:sSub>
                  <m:sSubPr>
                    <m:ctrlPr>
                      <w:rPr>
                        <w:rFonts w:ascii="Cambria Math" w:eastAsiaTheme="minorEastAsia" w:hAnsi="Cambria Math"/>
                        <w:vertAlign w:val="subscript"/>
                      </w:rPr>
                    </m:ctrlPr>
                  </m:sSubPr>
                  <m:e>
                    <m:r>
                      <w:rPr>
                        <w:rFonts w:ascii="Cambria Math" w:eastAsiaTheme="minorEastAsia"/>
                        <w:vertAlign w:val="subscript"/>
                      </w:rPr>
                      <m:t>f</m:t>
                    </m:r>
                  </m:e>
                  <m:sub>
                    <m:r>
                      <m:rPr>
                        <m:sty m:val="p"/>
                      </m:rPr>
                      <w:rPr>
                        <w:rFonts w:eastAsiaTheme="minorEastAsia"/>
                        <w:vertAlign w:val="subscript"/>
                      </w:rPr>
                      <m:t>u,f</m:t>
                    </m:r>
                  </m:sub>
                </m:sSub>
                <m:r>
                  <w:rPr>
                    <w:rFonts w:eastAsiaTheme="minorEastAsia"/>
                    <w:vertAlign w:val="subscript"/>
                  </w:rPr>
                  <m:t xml:space="preserve">; </m:t>
                </m:r>
                <m:r>
                  <m:rPr>
                    <m:sty m:val="p"/>
                  </m:rPr>
                  <w:rPr>
                    <w:rFonts w:ascii="Cambria Math" w:eastAsiaTheme="minorEastAsia" w:hAnsi="Cambria Math"/>
                    <w:vertAlign w:val="subscript"/>
                  </w:rPr>
                  <m:t>2,7</m:t>
                </m:r>
                <m:r>
                  <w:rPr>
                    <w:rFonts w:eastAsiaTheme="minorEastAsia"/>
                    <w:vertAlign w:val="subscript"/>
                  </w:rPr>
                  <m:t> </m:t>
                </m:r>
                <m:sSub>
                  <m:sSubPr>
                    <m:ctrlPr>
                      <w:rPr>
                        <w:rFonts w:ascii="Cambria Math" w:eastAsiaTheme="minorEastAsia" w:hAnsi="Cambria Math"/>
                        <w:vertAlign w:val="subscript"/>
                      </w:rPr>
                    </m:ctrlPr>
                  </m:sSubPr>
                  <m:e>
                    <m:r>
                      <w:rPr>
                        <w:rFonts w:ascii="Cambria Math" w:eastAsiaTheme="minorEastAsia"/>
                        <w:vertAlign w:val="subscript"/>
                      </w:rPr>
                      <m:t>t</m:t>
                    </m:r>
                  </m:e>
                  <m:sub>
                    <m:r>
                      <m:rPr>
                        <m:sty m:val="p"/>
                      </m:rPr>
                      <w:rPr>
                        <w:rFonts w:eastAsiaTheme="minorEastAsia"/>
                        <w:vertAlign w:val="subscript"/>
                      </w:rPr>
                      <m:t>s</m:t>
                    </m:r>
                  </m:sub>
                </m:sSub>
                <m:sSub>
                  <m:sSubPr>
                    <m:ctrlPr>
                      <w:rPr>
                        <w:rFonts w:ascii="Cambria Math" w:eastAsiaTheme="minorEastAsia" w:hAnsi="Cambria Math"/>
                        <w:vertAlign w:val="subscript"/>
                      </w:rPr>
                    </m:ctrlPr>
                  </m:sSubPr>
                  <m:e>
                    <m:r>
                      <w:rPr>
                        <w:rFonts w:ascii="Cambria Math" w:eastAsiaTheme="minorEastAsia"/>
                        <w:vertAlign w:val="subscript"/>
                      </w:rPr>
                      <m:t>df</m:t>
                    </m:r>
                  </m:e>
                  <m:sub>
                    <m:r>
                      <m:rPr>
                        <m:sty m:val="p"/>
                      </m:rPr>
                      <w:rPr>
                        <w:rFonts w:eastAsiaTheme="minorEastAsia"/>
                        <w:vertAlign w:val="subscript"/>
                      </w:rPr>
                      <m:t>us</m:t>
                    </m:r>
                  </m:sub>
                </m:sSub>
                <m:r>
                  <w:rPr>
                    <w:rFonts w:eastAsiaTheme="minorEastAsia"/>
                    <w:vertAlign w:val="subscript"/>
                  </w:rPr>
                  <m:t xml:space="preserve">; </m:t>
                </m:r>
                <m:r>
                  <m:rPr>
                    <m:sty m:val="p"/>
                  </m:rPr>
                  <w:rPr>
                    <w:rFonts w:ascii="Cambria Math" w:eastAsiaTheme="minorEastAsia" w:hAnsi="Cambria Math"/>
                    <w:vertAlign w:val="subscript"/>
                  </w:rPr>
                  <m:t>2,7</m:t>
                </m:r>
                <m:sSub>
                  <m:sSubPr>
                    <m:ctrlPr>
                      <w:rPr>
                        <w:rFonts w:ascii="Cambria Math" w:eastAsiaTheme="minorEastAsia" w:hAnsi="Cambria Math"/>
                        <w:vertAlign w:val="subscript"/>
                      </w:rPr>
                    </m:ctrlPr>
                  </m:sSubPr>
                  <m:e>
                    <m:r>
                      <w:rPr>
                        <w:rFonts w:eastAsiaTheme="minorEastAsia"/>
                        <w:vertAlign w:val="subscript"/>
                      </w:rPr>
                      <m:t> </m:t>
                    </m:r>
                    <m:r>
                      <w:rPr>
                        <w:rFonts w:ascii="Cambria Math" w:eastAsiaTheme="minorEastAsia"/>
                        <w:vertAlign w:val="subscript"/>
                      </w:rPr>
                      <m:t>t</m:t>
                    </m:r>
                  </m:e>
                  <m:sub>
                    <m:r>
                      <m:rPr>
                        <m:sty m:val="p"/>
                      </m:rPr>
                      <w:rPr>
                        <w:rFonts w:eastAsiaTheme="minorEastAsia"/>
                        <w:vertAlign w:val="subscript"/>
                      </w:rPr>
                      <m:t>f</m:t>
                    </m:r>
                  </m:sub>
                </m:sSub>
                <m:r>
                  <w:rPr>
                    <w:rFonts w:ascii="Cambria Math" w:eastAsiaTheme="minorEastAsia"/>
                    <w:vertAlign w:val="subscript"/>
                  </w:rPr>
                  <m:t>d</m:t>
                </m:r>
                <m:sSub>
                  <m:sSubPr>
                    <m:ctrlPr>
                      <w:rPr>
                        <w:rFonts w:ascii="Cambria Math" w:eastAsiaTheme="minorEastAsia" w:hAnsi="Cambria Math"/>
                        <w:vertAlign w:val="subscript"/>
                      </w:rPr>
                    </m:ctrlPr>
                  </m:sSubPr>
                  <m:e>
                    <m:r>
                      <w:rPr>
                        <w:rFonts w:ascii="Cambria Math" w:eastAsiaTheme="minorEastAsia"/>
                        <w:vertAlign w:val="subscript"/>
                      </w:rPr>
                      <m:t>f</m:t>
                    </m:r>
                  </m:e>
                  <m:sub>
                    <m:r>
                      <m:rPr>
                        <m:sty m:val="p"/>
                      </m:rPr>
                      <w:rPr>
                        <w:rFonts w:eastAsiaTheme="minorEastAsia"/>
                        <w:vertAlign w:val="subscript"/>
                      </w:rPr>
                      <m:t>u,f</m:t>
                    </m:r>
                  </m:sub>
                </m:sSub>
              </m:e>
            </m:d>
          </m:e>
        </m:func>
      </m:oMath>
      <w:r w:rsidRPr="00870D59">
        <w:tab/>
        <w:t>(</w:t>
      </w:r>
      <w:r>
        <w:t>F</w:t>
      </w:r>
      <w:r w:rsidRPr="00870D59">
        <w:t>.</w:t>
      </w:r>
      <w:r>
        <w:t>13</w:t>
      </w:r>
      <w:r w:rsidRPr="00870D59">
        <w:t>)</w:t>
      </w:r>
    </w:p>
    <w:p w14:paraId="5FA2D548" w14:textId="3487CEBC" w:rsidR="004627D7" w:rsidRDefault="004627D7" w:rsidP="004627D7">
      <w:pPr>
        <w:pStyle w:val="Formula"/>
        <w:spacing w:before="240"/>
      </w:pPr>
      <w:r w:rsidRPr="007E6F67">
        <w:t xml:space="preserve">If </w:t>
      </w:r>
      <w:r w:rsidRPr="00FD17CF">
        <w:t xml:space="preserve"> </w:t>
      </w:r>
      <m:oMath>
        <m:f>
          <m:fPr>
            <m:ctrlPr>
              <w:rPr>
                <w:rFonts w:ascii="Cambria Math" w:hAnsi="Cambria Math"/>
              </w:rPr>
            </m:ctrlPr>
          </m:fPr>
          <m:num>
            <m:sSub>
              <m:sSubPr>
                <m:ctrlPr>
                  <w:rPr>
                    <w:rFonts w:ascii="Cambria Math" w:hAnsi="Cambria Math"/>
                  </w:rPr>
                </m:ctrlPr>
              </m:sSubPr>
              <m:e>
                <m:r>
                  <w:rPr>
                    <w:rFonts w:ascii="Cambria Math" w:hAnsi="Cambria Math"/>
                  </w:rPr>
                  <m:t>t</m:t>
                </m:r>
              </m:e>
              <m:sub>
                <m:r>
                  <m:rPr>
                    <m:sty m:val="p"/>
                  </m:rPr>
                  <w:rPr>
                    <w:rFonts w:ascii="Cambria Math" w:hAnsi="Cambria Math"/>
                  </w:rPr>
                  <m:t>f</m:t>
                </m:r>
              </m:sub>
            </m:sSub>
          </m:num>
          <m:den>
            <m:sSub>
              <m:sSubPr>
                <m:ctrlPr>
                  <w:rPr>
                    <w:rFonts w:ascii="Cambria Math" w:hAnsi="Cambria Math"/>
                  </w:rPr>
                </m:ctrlPr>
              </m:sSubPr>
              <m:e>
                <m:r>
                  <w:rPr>
                    <w:rFonts w:ascii="Cambria Math" w:hAnsi="Cambria Math"/>
                  </w:rPr>
                  <m:t>t</m:t>
                </m:r>
              </m:e>
              <m:sub>
                <m:r>
                  <m:rPr>
                    <m:sty m:val="p"/>
                  </m:rPr>
                  <w:rPr>
                    <w:rFonts w:ascii="Cambria Math" w:hAnsi="Cambria Math"/>
                  </w:rPr>
                  <m:t>s</m:t>
                </m:r>
              </m:sub>
            </m:sSub>
          </m:den>
        </m:f>
        <m:r>
          <w:rPr>
            <w:rFonts w:eastAsiaTheme="minorEastAsia"/>
          </w:rPr>
          <m:t>≤</m:t>
        </m:r>
        <m:r>
          <m:rPr>
            <m:sty m:val="p"/>
          </m:rPr>
          <w:rPr>
            <w:rFonts w:ascii="Cambria Math" w:eastAsiaTheme="minorEastAsia" w:hAnsi="Cambria Math"/>
          </w:rPr>
          <m:t>2,5</m:t>
        </m:r>
        <m:r>
          <w:rPr>
            <w:rFonts w:ascii="Cambria Math" w:hAnsi="Cambria Math"/>
          </w:rPr>
          <m:t xml:space="preserve">,  </m:t>
        </m:r>
        <m:sSub>
          <m:sSubPr>
            <m:ctrlPr>
              <w:rPr>
                <w:rFonts w:ascii="Cambria Math" w:eastAsiaTheme="minorEastAsia" w:hAnsi="Cambria Math"/>
              </w:rPr>
            </m:ctrlPr>
          </m:sSubPr>
          <m:e>
            <m:r>
              <w:rPr>
                <w:rFonts w:ascii="Cambria Math" w:eastAsiaTheme="minorEastAsia"/>
              </w:rPr>
              <m:t>F</m:t>
            </m:r>
          </m:e>
          <m:sub>
            <m:r>
              <m:rPr>
                <m:sty m:val="p"/>
              </m:rPr>
              <w:rPr>
                <w:rFonts w:eastAsiaTheme="minorEastAsia"/>
                <w:vertAlign w:val="subscript"/>
              </w:rPr>
              <m:t>b,Rd</m:t>
            </m:r>
          </m:sub>
        </m:sSub>
        <m:r>
          <w:rPr>
            <w:rFonts w:eastAsiaTheme="minorEastAsia"/>
            <w:vertAlign w:val="subscript"/>
          </w:rPr>
          <m:t>=</m:t>
        </m:r>
        <m:func>
          <m:funcPr>
            <m:ctrlPr>
              <w:rPr>
                <w:rFonts w:ascii="Cambria Math" w:eastAsiaTheme="minorEastAsia" w:hAnsi="Cambria Math" w:cs="Cambria Math"/>
                <w:vertAlign w:val="subscript"/>
              </w:rPr>
            </m:ctrlPr>
          </m:funcPr>
          <m:fName>
            <m:f>
              <m:fPr>
                <m:ctrlPr>
                  <w:rPr>
                    <w:rFonts w:ascii="Cambria Math" w:eastAsiaTheme="minorEastAsia" w:hAnsi="Cambria Math"/>
                    <w:vertAlign w:val="subscript"/>
                  </w:rPr>
                </m:ctrlPr>
              </m:fPr>
              <m:num>
                <m:r>
                  <w:rPr>
                    <w:rFonts w:eastAsiaTheme="minorEastAsia"/>
                    <w:vertAlign w:val="subscript"/>
                  </w:rPr>
                  <m:t>1</m:t>
                </m:r>
              </m:num>
              <m:den>
                <m:sSub>
                  <m:sSubPr>
                    <m:ctrlPr>
                      <w:rPr>
                        <w:rFonts w:ascii="Cambria Math" w:hAnsi="Cambria Math"/>
                      </w:rPr>
                    </m:ctrlPr>
                  </m:sSubPr>
                  <m:e>
                    <m:r>
                      <w:rPr>
                        <w:rFonts w:ascii="Cambria Math" w:hAnsi="Cambria Math"/>
                      </w:rPr>
                      <m:t>γ</m:t>
                    </m:r>
                  </m:e>
                  <m:sub>
                    <m:r>
                      <m:rPr>
                        <m:sty m:val="p"/>
                      </m:rPr>
                      <w:rPr>
                        <w:rFonts w:ascii="Cambria Math" w:hAnsi="Cambria Math"/>
                      </w:rPr>
                      <m:t>M2</m:t>
                    </m:r>
                  </m:sub>
                </m:sSub>
              </m:den>
            </m:f>
            <m:r>
              <m:rPr>
                <m:sty m:val="p"/>
              </m:rPr>
              <w:rPr>
                <w:rFonts w:eastAsiaTheme="minorEastAsia"/>
                <w:vertAlign w:val="subscript"/>
              </w:rPr>
              <m:t>min</m:t>
            </m:r>
            <m:ctrlPr>
              <w:rPr>
                <w:rFonts w:ascii="Cambria Math" w:eastAsiaTheme="minorEastAsia" w:hAnsi="Cambria Math"/>
                <w:vertAlign w:val="subscript"/>
              </w:rPr>
            </m:ctrlPr>
          </m:fName>
          <m:e>
            <m:d>
              <m:dPr>
                <m:ctrlPr>
                  <w:rPr>
                    <w:rFonts w:ascii="Cambria Math" w:eastAsiaTheme="minorEastAsia" w:hAnsi="Cambria Math"/>
                    <w:vertAlign w:val="subscript"/>
                  </w:rPr>
                </m:ctrlPr>
              </m:dPr>
              <m:e>
                <m:r>
                  <w:rPr>
                    <w:rFonts w:eastAsiaTheme="minorEastAsia"/>
                    <w:vertAlign w:val="subscript"/>
                  </w:rPr>
                  <m:t xml:space="preserve"> </m:t>
                </m:r>
                <m:r>
                  <m:rPr>
                    <m:sty m:val="p"/>
                  </m:rPr>
                  <w:rPr>
                    <w:rFonts w:ascii="Cambria Math" w:eastAsiaTheme="minorEastAsia" w:hAnsi="Cambria Math"/>
                    <w:vertAlign w:val="subscript"/>
                  </w:rPr>
                  <m:t>2,7</m:t>
                </m:r>
                <m:r>
                  <w:rPr>
                    <w:rFonts w:eastAsiaTheme="minorEastAsia"/>
                    <w:vertAlign w:val="subscript"/>
                  </w:rPr>
                  <m:t> </m:t>
                </m:r>
                <m:sSub>
                  <m:sSubPr>
                    <m:ctrlPr>
                      <w:rPr>
                        <w:rFonts w:ascii="Cambria Math" w:eastAsiaTheme="minorEastAsia" w:hAnsi="Cambria Math"/>
                        <w:vertAlign w:val="subscript"/>
                      </w:rPr>
                    </m:ctrlPr>
                  </m:sSubPr>
                  <m:e>
                    <m:r>
                      <w:rPr>
                        <w:rFonts w:ascii="Cambria Math" w:eastAsiaTheme="minorEastAsia"/>
                        <w:vertAlign w:val="subscript"/>
                      </w:rPr>
                      <m:t>t</m:t>
                    </m:r>
                  </m:e>
                  <m:sub>
                    <m:r>
                      <m:rPr>
                        <m:sty m:val="p"/>
                      </m:rPr>
                      <w:rPr>
                        <w:rFonts w:eastAsiaTheme="minorEastAsia"/>
                        <w:vertAlign w:val="subscript"/>
                      </w:rPr>
                      <m:t>s</m:t>
                    </m:r>
                  </m:sub>
                </m:sSub>
                <m:sSub>
                  <m:sSubPr>
                    <m:ctrlPr>
                      <w:rPr>
                        <w:rFonts w:ascii="Cambria Math" w:eastAsiaTheme="minorEastAsia" w:hAnsi="Cambria Math"/>
                        <w:vertAlign w:val="subscript"/>
                      </w:rPr>
                    </m:ctrlPr>
                  </m:sSubPr>
                  <m:e>
                    <m:r>
                      <w:rPr>
                        <w:rFonts w:ascii="Cambria Math" w:eastAsiaTheme="minorEastAsia"/>
                        <w:vertAlign w:val="subscript"/>
                      </w:rPr>
                      <m:t>df</m:t>
                    </m:r>
                  </m:e>
                  <m:sub>
                    <m:r>
                      <m:rPr>
                        <m:sty m:val="p"/>
                      </m:rPr>
                      <w:rPr>
                        <w:rFonts w:eastAsiaTheme="minorEastAsia"/>
                        <w:vertAlign w:val="subscript"/>
                      </w:rPr>
                      <m:t>us</m:t>
                    </m:r>
                  </m:sub>
                </m:sSub>
                <m:r>
                  <w:rPr>
                    <w:rFonts w:eastAsiaTheme="minorEastAsia"/>
                    <w:vertAlign w:val="subscript"/>
                  </w:rPr>
                  <m:t xml:space="preserve">; </m:t>
                </m:r>
                <m:r>
                  <m:rPr>
                    <m:sty m:val="p"/>
                  </m:rPr>
                  <w:rPr>
                    <w:rFonts w:ascii="Cambria Math" w:eastAsiaTheme="minorEastAsia" w:hAnsi="Cambria Math"/>
                    <w:vertAlign w:val="subscript"/>
                  </w:rPr>
                  <m:t>2,7</m:t>
                </m:r>
                <m:sSub>
                  <m:sSubPr>
                    <m:ctrlPr>
                      <w:rPr>
                        <w:rFonts w:ascii="Cambria Math" w:eastAsiaTheme="minorEastAsia" w:hAnsi="Cambria Math"/>
                        <w:vertAlign w:val="subscript"/>
                      </w:rPr>
                    </m:ctrlPr>
                  </m:sSubPr>
                  <m:e>
                    <m:r>
                      <w:rPr>
                        <w:rFonts w:eastAsiaTheme="minorEastAsia"/>
                        <w:vertAlign w:val="subscript"/>
                      </w:rPr>
                      <m:t> </m:t>
                    </m:r>
                    <m:r>
                      <w:rPr>
                        <w:rFonts w:ascii="Cambria Math" w:eastAsiaTheme="minorEastAsia"/>
                        <w:vertAlign w:val="subscript"/>
                      </w:rPr>
                      <m:t>t</m:t>
                    </m:r>
                  </m:e>
                  <m:sub>
                    <m:r>
                      <m:rPr>
                        <m:sty m:val="p"/>
                      </m:rPr>
                      <w:rPr>
                        <w:rFonts w:eastAsiaTheme="minorEastAsia"/>
                        <w:vertAlign w:val="subscript"/>
                      </w:rPr>
                      <m:t>f</m:t>
                    </m:r>
                  </m:sub>
                </m:sSub>
                <m:r>
                  <w:rPr>
                    <w:rFonts w:ascii="Cambria Math" w:eastAsiaTheme="minorEastAsia"/>
                    <w:vertAlign w:val="subscript"/>
                  </w:rPr>
                  <m:t>d</m:t>
                </m:r>
                <m:sSub>
                  <m:sSubPr>
                    <m:ctrlPr>
                      <w:rPr>
                        <w:rFonts w:ascii="Cambria Math" w:eastAsiaTheme="minorEastAsia" w:hAnsi="Cambria Math"/>
                        <w:vertAlign w:val="subscript"/>
                      </w:rPr>
                    </m:ctrlPr>
                  </m:sSubPr>
                  <m:e>
                    <m:r>
                      <w:rPr>
                        <w:rFonts w:ascii="Cambria Math" w:eastAsiaTheme="minorEastAsia"/>
                        <w:vertAlign w:val="subscript"/>
                      </w:rPr>
                      <m:t>f</m:t>
                    </m:r>
                  </m:e>
                  <m:sub>
                    <m:r>
                      <m:rPr>
                        <m:sty m:val="p"/>
                      </m:rPr>
                      <w:rPr>
                        <w:rFonts w:eastAsiaTheme="minorEastAsia"/>
                        <w:vertAlign w:val="subscript"/>
                      </w:rPr>
                      <m:t>u,f</m:t>
                    </m:r>
                  </m:sub>
                </m:sSub>
              </m:e>
            </m:d>
          </m:e>
        </m:func>
      </m:oMath>
      <w:r w:rsidRPr="00870D59">
        <w:tab/>
        <w:t>(</w:t>
      </w:r>
      <w:r>
        <w:t>F</w:t>
      </w:r>
      <w:r w:rsidRPr="00870D59">
        <w:t>.</w:t>
      </w:r>
      <w:r>
        <w:t>14</w:t>
      </w:r>
      <w:r w:rsidRPr="00870D59">
        <w:t>)</w:t>
      </w:r>
    </w:p>
    <w:p w14:paraId="5912C85B" w14:textId="7DAD2AC0" w:rsidR="00B15DDF" w:rsidRPr="00B15DDF" w:rsidRDefault="00B15DDF" w:rsidP="00B15DDF">
      <w:pPr>
        <w:pStyle w:val="Text"/>
      </w:pPr>
      <w:r>
        <w:t>where</w:t>
      </w:r>
    </w:p>
    <w:tbl>
      <w:tblPr>
        <w:tblW w:w="0" w:type="auto"/>
        <w:tblInd w:w="346" w:type="dxa"/>
        <w:tblLook w:val="04A0" w:firstRow="1" w:lastRow="0" w:firstColumn="1" w:lastColumn="0" w:noHBand="0" w:noVBand="1"/>
      </w:tblPr>
      <w:tblGrid>
        <w:gridCol w:w="1275"/>
        <w:gridCol w:w="7938"/>
      </w:tblGrid>
      <w:tr w:rsidR="00870291" w:rsidRPr="00870D59" w14:paraId="4427A706" w14:textId="77777777" w:rsidTr="00B15DDF">
        <w:tc>
          <w:tcPr>
            <w:tcW w:w="1275" w:type="dxa"/>
          </w:tcPr>
          <w:p w14:paraId="32A108C1" w14:textId="11EEA260" w:rsidR="00870291" w:rsidRPr="00460668" w:rsidRDefault="00870291" w:rsidP="002061E5">
            <w:pPr>
              <w:spacing w:after="60"/>
              <w:rPr>
                <w:rFonts w:eastAsia="Times New Roman" w:cs="Cambria"/>
                <w:szCs w:val="20"/>
                <w:lang w:eastAsia="fr-FR"/>
              </w:rPr>
            </w:pPr>
            <w:r w:rsidRPr="007E6F67">
              <w:rPr>
                <w:i/>
                <w:lang w:eastAsia="it-IT"/>
              </w:rPr>
              <w:t>f</w:t>
            </w:r>
            <w:r w:rsidRPr="00FD17CF">
              <w:rPr>
                <w:iCs/>
                <w:vertAlign w:val="subscript"/>
                <w:lang w:eastAsia="it-IT"/>
              </w:rPr>
              <w:t>u,</w:t>
            </w:r>
            <w:r>
              <w:rPr>
                <w:iCs/>
                <w:vertAlign w:val="subscript"/>
                <w:lang w:eastAsia="it-IT"/>
              </w:rPr>
              <w:t>f</w:t>
            </w:r>
          </w:p>
        </w:tc>
        <w:tc>
          <w:tcPr>
            <w:tcW w:w="7938" w:type="dxa"/>
          </w:tcPr>
          <w:p w14:paraId="66D994A0" w14:textId="1536F472" w:rsidR="00870291" w:rsidRPr="00870D59" w:rsidRDefault="00870291" w:rsidP="002061E5">
            <w:pPr>
              <w:spacing w:after="60"/>
              <w:rPr>
                <w:rFonts w:eastAsia="Times New Roman" w:cs="Cambria"/>
                <w:szCs w:val="20"/>
                <w:lang w:eastAsia="fr-FR"/>
              </w:rPr>
            </w:pPr>
            <w:r w:rsidRPr="00132C1E">
              <w:rPr>
                <w:lang w:eastAsia="it-IT"/>
              </w:rPr>
              <w:t>is the ultimate tensile strength of stud or track;</w:t>
            </w:r>
          </w:p>
        </w:tc>
      </w:tr>
      <w:tr w:rsidR="00870291" w:rsidRPr="00870D59" w14:paraId="052C242F" w14:textId="77777777" w:rsidTr="00B15DDF">
        <w:tc>
          <w:tcPr>
            <w:tcW w:w="1275" w:type="dxa"/>
          </w:tcPr>
          <w:p w14:paraId="403F7668" w14:textId="5D1F5BE5" w:rsidR="00870291" w:rsidRPr="00460668" w:rsidRDefault="00870291" w:rsidP="002061E5">
            <w:pPr>
              <w:spacing w:after="60"/>
              <w:rPr>
                <w:rFonts w:eastAsia="Times New Roman" w:cs="Cambria"/>
                <w:szCs w:val="20"/>
                <w:lang w:eastAsia="fr-FR"/>
              </w:rPr>
            </w:pPr>
            <w:r w:rsidRPr="00132C1E">
              <w:rPr>
                <w:i/>
                <w:lang w:eastAsia="it-IT"/>
              </w:rPr>
              <w:t>t</w:t>
            </w:r>
            <w:r>
              <w:rPr>
                <w:iCs/>
                <w:vertAlign w:val="subscript"/>
                <w:lang w:eastAsia="it-IT"/>
              </w:rPr>
              <w:t>f</w:t>
            </w:r>
          </w:p>
        </w:tc>
        <w:tc>
          <w:tcPr>
            <w:tcW w:w="7938" w:type="dxa"/>
          </w:tcPr>
          <w:p w14:paraId="5DAE5CD4" w14:textId="54771548" w:rsidR="00870291" w:rsidRPr="00870D59" w:rsidRDefault="00870291" w:rsidP="002061E5">
            <w:pPr>
              <w:spacing w:after="60"/>
              <w:rPr>
                <w:rFonts w:eastAsia="Times New Roman" w:cs="Cambria"/>
                <w:szCs w:val="20"/>
                <w:lang w:eastAsia="fr-FR"/>
              </w:rPr>
            </w:pPr>
            <w:r w:rsidRPr="00132C1E">
              <w:rPr>
                <w:lang w:eastAsia="it-IT"/>
              </w:rPr>
              <w:t>is the thickness of stud or track;</w:t>
            </w:r>
          </w:p>
        </w:tc>
      </w:tr>
      <w:tr w:rsidR="00870291" w:rsidRPr="00870D59" w14:paraId="2A277238" w14:textId="77777777" w:rsidTr="00B15DDF">
        <w:tc>
          <w:tcPr>
            <w:tcW w:w="1275" w:type="dxa"/>
          </w:tcPr>
          <w:p w14:paraId="30364382" w14:textId="75E7ED7B" w:rsidR="00870291" w:rsidRPr="00132C1E" w:rsidRDefault="00870291" w:rsidP="002061E5">
            <w:pPr>
              <w:spacing w:after="60"/>
              <w:rPr>
                <w:i/>
                <w:iCs/>
                <w:lang w:eastAsia="it-IT"/>
              </w:rPr>
            </w:pPr>
            <w:r w:rsidRPr="00132C1E">
              <w:rPr>
                <w:i/>
                <w:lang w:eastAsia="it-IT"/>
              </w:rPr>
              <w:t>d</w:t>
            </w:r>
          </w:p>
        </w:tc>
        <w:tc>
          <w:tcPr>
            <w:tcW w:w="7938" w:type="dxa"/>
          </w:tcPr>
          <w:p w14:paraId="2CC8B07D" w14:textId="17BDDF15" w:rsidR="00870291" w:rsidRPr="00132C1E" w:rsidRDefault="00870291" w:rsidP="002061E5">
            <w:pPr>
              <w:spacing w:after="60"/>
              <w:rPr>
                <w:lang w:eastAsia="it-IT"/>
              </w:rPr>
            </w:pPr>
            <w:r w:rsidRPr="00132C1E">
              <w:rPr>
                <w:lang w:eastAsia="it-IT"/>
              </w:rPr>
              <w:t>is the nominal diamet</w:t>
            </w:r>
            <w:r>
              <w:rPr>
                <w:lang w:eastAsia="it-IT"/>
              </w:rPr>
              <w:t>re</w:t>
            </w:r>
            <w:r w:rsidRPr="00132C1E">
              <w:rPr>
                <w:lang w:eastAsia="it-IT"/>
              </w:rPr>
              <w:t xml:space="preserve"> of screws;</w:t>
            </w:r>
          </w:p>
        </w:tc>
      </w:tr>
      <w:tr w:rsidR="00870291" w:rsidRPr="00870D59" w14:paraId="69C76E69" w14:textId="77777777" w:rsidTr="00B15DDF">
        <w:tc>
          <w:tcPr>
            <w:tcW w:w="1275" w:type="dxa"/>
          </w:tcPr>
          <w:p w14:paraId="0974D986" w14:textId="4AE1176F" w:rsidR="00870291" w:rsidRPr="00A1437F" w:rsidRDefault="00870291" w:rsidP="002061E5">
            <w:pPr>
              <w:spacing w:after="60"/>
              <w:rPr>
                <w:i/>
                <w:iCs/>
              </w:rPr>
            </w:pPr>
            <w:r w:rsidRPr="00132C1E">
              <w:rPr>
                <w:i/>
                <w:lang w:eastAsia="it-IT"/>
              </w:rPr>
              <w:t>γ</w:t>
            </w:r>
            <w:r w:rsidRPr="00132C1E">
              <w:rPr>
                <w:iCs/>
                <w:vertAlign w:val="subscript"/>
                <w:lang w:eastAsia="it-IT"/>
              </w:rPr>
              <w:t>M2</w:t>
            </w:r>
          </w:p>
        </w:tc>
        <w:tc>
          <w:tcPr>
            <w:tcW w:w="7938" w:type="dxa"/>
          </w:tcPr>
          <w:p w14:paraId="62C990DE" w14:textId="220679C2" w:rsidR="00870291" w:rsidRPr="00D1484A" w:rsidRDefault="00870291" w:rsidP="002061E5">
            <w:pPr>
              <w:pStyle w:val="Listofsymbols"/>
            </w:pPr>
            <w:r w:rsidRPr="00132C1E">
              <w:t xml:space="preserve">is equal to </w:t>
            </w:r>
            <w:r w:rsidRPr="00132C1E">
              <w:rPr>
                <w:lang w:eastAsia="it-IT"/>
              </w:rPr>
              <w:t>1,25.</w:t>
            </w:r>
          </w:p>
        </w:tc>
      </w:tr>
    </w:tbl>
    <w:p w14:paraId="22C78CEC" w14:textId="16FC2C3E" w:rsidR="00870291" w:rsidRPr="00316E8F" w:rsidRDefault="00870291" w:rsidP="0080187E">
      <w:pPr>
        <w:pStyle w:val="Clause"/>
        <w:numPr>
          <w:ilvl w:val="0"/>
          <w:numId w:val="231"/>
        </w:numPr>
        <w:rPr>
          <w:rFonts w:eastAsiaTheme="minorEastAsia"/>
        </w:rPr>
      </w:pPr>
      <w:r w:rsidRPr="00870291">
        <w:t>The shear resistance of the screws should be as given by Formula (F.15).</w:t>
      </w:r>
    </w:p>
    <w:p w14:paraId="5C75F9F2" w14:textId="6464F17C" w:rsidR="00870291" w:rsidRDefault="009B5CEC" w:rsidP="00870291">
      <w:pPr>
        <w:pStyle w:val="Formula"/>
        <w:spacing w:before="240"/>
      </w:pPr>
      <m:oMath>
        <m:sSub>
          <m:sSubPr>
            <m:ctrlPr>
              <w:rPr>
                <w:rFonts w:ascii="Cambria Math" w:eastAsiaTheme="minorEastAsia" w:hAnsi="Cambria Math"/>
              </w:rPr>
            </m:ctrlPr>
          </m:sSubPr>
          <m:e>
            <m:r>
              <w:rPr>
                <w:rFonts w:ascii="Cambria Math" w:eastAsiaTheme="minorEastAsia"/>
              </w:rPr>
              <m:t>F</m:t>
            </m:r>
          </m:e>
          <m:sub>
            <m:r>
              <m:rPr>
                <m:sty m:val="p"/>
              </m:rPr>
              <w:rPr>
                <w:rFonts w:eastAsiaTheme="minorEastAsia"/>
                <w:vertAlign w:val="subscript"/>
              </w:rPr>
              <m:t>v,Rd</m:t>
            </m:r>
          </m:sub>
        </m:sSub>
        <m:r>
          <w:rPr>
            <w:rFonts w:eastAsiaTheme="minorEastAsia"/>
          </w:rPr>
          <m:t>=</m:t>
        </m:r>
        <m:sSub>
          <m:sSubPr>
            <m:ctrlPr>
              <w:rPr>
                <w:rFonts w:ascii="Cambria Math" w:eastAsiaTheme="minorEastAsia" w:hAnsi="Cambria Math"/>
              </w:rPr>
            </m:ctrlPr>
          </m:sSubPr>
          <m:e>
            <m:r>
              <w:rPr>
                <w:rFonts w:ascii="Cambria Math" w:eastAsiaTheme="minorEastAsia"/>
              </w:rPr>
              <m:t>F</m:t>
            </m:r>
          </m:e>
          <m:sub>
            <m:r>
              <m:rPr>
                <m:sty m:val="p"/>
              </m:rPr>
              <w:rPr>
                <w:rFonts w:eastAsiaTheme="minorEastAsia"/>
                <w:vertAlign w:val="subscript"/>
              </w:rPr>
              <m:t>v,k</m:t>
            </m:r>
            <m:r>
              <w:rPr>
                <w:rFonts w:eastAsiaTheme="minorEastAsia"/>
              </w:rPr>
              <m:t xml:space="preserve"> </m:t>
            </m:r>
          </m:sub>
        </m:sSub>
        <m:r>
          <w:rPr>
            <w:rFonts w:eastAsiaTheme="minorEastAsia"/>
          </w:rPr>
          <m:t>/</m:t>
        </m:r>
        <m:sSub>
          <m:sSubPr>
            <m:ctrlPr>
              <w:rPr>
                <w:rFonts w:ascii="Cambria Math" w:hAnsi="Cambria Math"/>
              </w:rPr>
            </m:ctrlPr>
          </m:sSubPr>
          <m:e>
            <m:r>
              <w:rPr>
                <w:rFonts w:ascii="Cambria Math" w:hAnsi="Cambria Math"/>
              </w:rPr>
              <m:t>γ</m:t>
            </m:r>
          </m:e>
          <m:sub>
            <m:r>
              <m:rPr>
                <m:sty m:val="p"/>
              </m:rPr>
              <w:rPr>
                <w:rFonts w:ascii="Cambria Math" w:hAnsi="Cambria Math"/>
              </w:rPr>
              <m:t>M2</m:t>
            </m:r>
          </m:sub>
        </m:sSub>
      </m:oMath>
      <w:r w:rsidR="00870291" w:rsidRPr="00870D59">
        <w:tab/>
        <w:t>(</w:t>
      </w:r>
      <w:r w:rsidR="00870291">
        <w:t>F</w:t>
      </w:r>
      <w:r w:rsidR="00870291" w:rsidRPr="00870D59">
        <w:t>.</w:t>
      </w:r>
      <w:r w:rsidR="00870291">
        <w:t>15</w:t>
      </w:r>
      <w:r w:rsidR="00870291" w:rsidRPr="00870D59">
        <w:t>)</w:t>
      </w:r>
    </w:p>
    <w:p w14:paraId="3502AC4E" w14:textId="276C5071" w:rsidR="00870291" w:rsidRDefault="00675EBA" w:rsidP="00870291">
      <w:pPr>
        <w:pStyle w:val="Text"/>
      </w:pPr>
      <w:r>
        <w:t>where</w:t>
      </w:r>
    </w:p>
    <w:tbl>
      <w:tblPr>
        <w:tblW w:w="0" w:type="auto"/>
        <w:tblInd w:w="284" w:type="dxa"/>
        <w:tblLook w:val="04A0" w:firstRow="1" w:lastRow="0" w:firstColumn="1" w:lastColumn="0" w:noHBand="0" w:noVBand="1"/>
      </w:tblPr>
      <w:tblGrid>
        <w:gridCol w:w="1525"/>
        <w:gridCol w:w="7938"/>
      </w:tblGrid>
      <w:tr w:rsidR="00870291" w:rsidRPr="00870D59" w14:paraId="479AB683" w14:textId="77777777" w:rsidTr="00FE71E5">
        <w:tc>
          <w:tcPr>
            <w:tcW w:w="1525" w:type="dxa"/>
          </w:tcPr>
          <w:p w14:paraId="4298FBAF" w14:textId="235BA653" w:rsidR="00870291" w:rsidRPr="00460668" w:rsidRDefault="00870291" w:rsidP="002061E5">
            <w:pPr>
              <w:spacing w:after="60"/>
              <w:rPr>
                <w:rFonts w:eastAsia="Times New Roman" w:cs="Cambria"/>
                <w:szCs w:val="20"/>
                <w:lang w:eastAsia="fr-FR"/>
              </w:rPr>
            </w:pPr>
            <w:r w:rsidRPr="005C7237">
              <w:rPr>
                <w:i/>
                <w:iCs/>
                <w:lang w:eastAsia="it-IT"/>
              </w:rPr>
              <w:t>F</w:t>
            </w:r>
            <w:r w:rsidRPr="005C7237">
              <w:rPr>
                <w:vertAlign w:val="subscript"/>
                <w:lang w:eastAsia="it-IT"/>
              </w:rPr>
              <w:t>v,k</w:t>
            </w:r>
          </w:p>
        </w:tc>
        <w:tc>
          <w:tcPr>
            <w:tcW w:w="7938" w:type="dxa"/>
          </w:tcPr>
          <w:p w14:paraId="01FC5021" w14:textId="526CEB56" w:rsidR="00870291" w:rsidRPr="00BC6739" w:rsidRDefault="00870291" w:rsidP="002061E5">
            <w:pPr>
              <w:spacing w:after="60"/>
              <w:rPr>
                <w:rFonts w:eastAsia="Times New Roman" w:cs="Cambria"/>
                <w:szCs w:val="20"/>
                <w:lang w:eastAsia="fr-FR"/>
              </w:rPr>
            </w:pPr>
            <w:r w:rsidRPr="00BC6739">
              <w:rPr>
                <w:lang w:eastAsia="it-IT"/>
              </w:rPr>
              <w:t>is the characteristic strength of the fastener according to pr</w:t>
            </w:r>
            <w:r w:rsidR="00C30FF9" w:rsidRPr="00BC6739">
              <w:rPr>
                <w:lang w:eastAsia="it-IT"/>
              </w:rPr>
              <w:t>EN 1</w:t>
            </w:r>
            <w:r w:rsidRPr="00BC6739">
              <w:rPr>
                <w:lang w:eastAsia="it-IT"/>
              </w:rPr>
              <w:t>993-1-3:</w:t>
            </w:r>
            <w:r w:rsidRPr="00BC6739">
              <w:rPr>
                <w:rFonts w:eastAsia="Cambria"/>
              </w:rPr>
              <w:t>202</w:t>
            </w:r>
            <w:r w:rsidR="0026060E">
              <w:rPr>
                <w:rFonts w:eastAsia="Cambria"/>
              </w:rPr>
              <w:t>2</w:t>
            </w:r>
            <w:r w:rsidRPr="00BC6739">
              <w:rPr>
                <w:rFonts w:eastAsia="Cambria"/>
              </w:rPr>
              <w:t>, 5.3.1.2(2)</w:t>
            </w:r>
            <w:r w:rsidRPr="00BC6739">
              <w:rPr>
                <w:lang w:eastAsia="it-IT"/>
              </w:rPr>
              <w:t>;</w:t>
            </w:r>
          </w:p>
        </w:tc>
      </w:tr>
      <w:tr w:rsidR="00870291" w:rsidRPr="00870D59" w14:paraId="4FA6EE80" w14:textId="77777777" w:rsidTr="00FE71E5">
        <w:tc>
          <w:tcPr>
            <w:tcW w:w="1525" w:type="dxa"/>
          </w:tcPr>
          <w:p w14:paraId="5FCAFE96" w14:textId="79175520" w:rsidR="00870291" w:rsidRPr="00132C1E" w:rsidRDefault="00870291" w:rsidP="002061E5">
            <w:pPr>
              <w:spacing w:after="60"/>
              <w:rPr>
                <w:i/>
                <w:lang w:eastAsia="it-IT"/>
              </w:rPr>
            </w:pPr>
            <w:r w:rsidRPr="005C7237">
              <w:rPr>
                <w:rFonts w:eastAsia="Cambria"/>
                <w:i/>
                <w:iCs/>
              </w:rPr>
              <w:t>γ</w:t>
            </w:r>
            <w:r w:rsidRPr="005C7237">
              <w:rPr>
                <w:rFonts w:eastAsia="Cambria"/>
                <w:vertAlign w:val="subscript"/>
              </w:rPr>
              <w:t>M2</w:t>
            </w:r>
          </w:p>
        </w:tc>
        <w:tc>
          <w:tcPr>
            <w:tcW w:w="7938" w:type="dxa"/>
          </w:tcPr>
          <w:p w14:paraId="0995B755" w14:textId="10041E10" w:rsidR="00870291" w:rsidRPr="00BC6739" w:rsidRDefault="00870291" w:rsidP="002061E5">
            <w:pPr>
              <w:spacing w:after="60"/>
              <w:rPr>
                <w:lang w:eastAsia="it-IT"/>
              </w:rPr>
            </w:pPr>
            <w:r w:rsidRPr="00BC6739">
              <w:rPr>
                <w:rFonts w:eastAsia="Cambria"/>
              </w:rPr>
              <w:t xml:space="preserve">is the partial strength factor given in </w:t>
            </w:r>
            <w:r w:rsidR="00867476" w:rsidRPr="00BC6739">
              <w:rPr>
                <w:rFonts w:eastAsia="Cambria"/>
              </w:rPr>
              <w:t>EN 1993-1-1</w:t>
            </w:r>
            <w:r w:rsidRPr="00BC6739">
              <w:rPr>
                <w:rFonts w:eastAsia="Cambria"/>
              </w:rPr>
              <w:t>:202</w:t>
            </w:r>
            <w:r w:rsidR="00867476" w:rsidRPr="00BC6739">
              <w:rPr>
                <w:rFonts w:eastAsia="Cambria"/>
              </w:rPr>
              <w:t>2</w:t>
            </w:r>
            <w:r w:rsidRPr="00BC6739">
              <w:rPr>
                <w:rFonts w:eastAsia="Cambria"/>
              </w:rPr>
              <w:t>, 8.1</w:t>
            </w:r>
          </w:p>
        </w:tc>
      </w:tr>
    </w:tbl>
    <w:p w14:paraId="2E156426" w14:textId="06D0762F" w:rsidR="004940BC" w:rsidRPr="00316E8F" w:rsidRDefault="004940BC" w:rsidP="0080187E">
      <w:pPr>
        <w:pStyle w:val="Clause"/>
        <w:numPr>
          <w:ilvl w:val="0"/>
          <w:numId w:val="231"/>
        </w:numPr>
        <w:rPr>
          <w:rFonts w:eastAsiaTheme="minorEastAsia"/>
        </w:rPr>
      </w:pPr>
      <w:r w:rsidRPr="004940BC">
        <w:t>The design yielding resistance of the effective sheathing strip should be calculated from Formula</w:t>
      </w:r>
      <w:r w:rsidR="00B15DDF">
        <w:t> </w:t>
      </w:r>
      <w:r w:rsidRPr="004940BC">
        <w:t>(F.16).</w:t>
      </w:r>
    </w:p>
    <w:p w14:paraId="05AFE33F" w14:textId="5C81C68A" w:rsidR="004940BC" w:rsidRDefault="009B5CEC" w:rsidP="004940BC">
      <w:pPr>
        <w:pStyle w:val="Formula"/>
        <w:spacing w:before="240"/>
      </w:pPr>
      <m:oMath>
        <m:sSub>
          <m:sSubPr>
            <m:ctrlPr>
              <w:rPr>
                <w:rFonts w:ascii="Cambria Math" w:eastAsiaTheme="minorEastAsia" w:hAnsi="Cambria Math"/>
                <w:vertAlign w:val="subscript"/>
              </w:rPr>
            </m:ctrlPr>
          </m:sSubPr>
          <m:e>
            <m:r>
              <w:rPr>
                <w:rFonts w:ascii="Cambria Math" w:eastAsiaTheme="minorEastAsia" w:hAnsi="Cambria Math"/>
              </w:rPr>
              <m:t>R</m:t>
            </m:r>
          </m:e>
          <m:sub>
            <m:r>
              <m:rPr>
                <m:sty m:val="p"/>
              </m:rPr>
              <w:rPr>
                <w:rFonts w:ascii="Cambria Math" w:eastAsiaTheme="minorEastAsia" w:hAnsi="Cambria Math"/>
                <w:vertAlign w:val="subscript"/>
              </w:rPr>
              <m:t>y,Rd</m:t>
            </m:r>
          </m:sub>
        </m:sSub>
        <m:r>
          <m:rPr>
            <m:sty m:val="p"/>
          </m:rPr>
          <w:rPr>
            <w:rFonts w:ascii="Cambria Math" w:eastAsiaTheme="minorEastAsia" w:hAnsi="Cambria Math"/>
          </w:rPr>
          <m:t xml:space="preserve"> =  </m:t>
        </m:r>
        <m:sSub>
          <m:sSubPr>
            <m:ctrlPr>
              <w:rPr>
                <w:rFonts w:ascii="Cambria Math" w:eastAsiaTheme="minorEastAsia" w:hAnsi="Cambria Math"/>
                <w:i/>
              </w:rPr>
            </m:ctrlPr>
          </m:sSubPr>
          <m:e>
            <m:r>
              <w:rPr>
                <w:rFonts w:ascii="Cambria Math" w:eastAsiaTheme="minorEastAsia" w:hAnsi="Cambria Math"/>
              </w:rPr>
              <m:t>w</m:t>
            </m:r>
          </m:e>
          <m:sub>
            <m:r>
              <m:rPr>
                <m:sty m:val="p"/>
              </m:rPr>
              <w:rPr>
                <w:rFonts w:ascii="Cambria Math" w:eastAsiaTheme="minorEastAsia" w:hAnsi="Cambria Math"/>
                <w:vertAlign w:val="subscript"/>
              </w:rPr>
              <m:t>eff</m:t>
            </m:r>
          </m:sub>
        </m:sSub>
        <m:r>
          <m:rPr>
            <m:sty m:val="p"/>
          </m:rP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t</m:t>
            </m:r>
          </m:e>
          <m:sub>
            <m:r>
              <m:rPr>
                <m:sty m:val="p"/>
              </m:rPr>
              <w:rPr>
                <w:rFonts w:ascii="Cambria Math" w:eastAsiaTheme="minorEastAsia" w:hAnsi="Cambria Math"/>
                <w:vertAlign w:val="subscript"/>
              </w:rPr>
              <m:t>s</m:t>
            </m:r>
          </m:sub>
        </m:sSub>
        <m:r>
          <m:rPr>
            <m:sty m:val="p"/>
          </m:rP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f</m:t>
            </m:r>
          </m:e>
          <m:sub>
            <m:r>
              <m:rPr>
                <m:sty m:val="p"/>
              </m:rPr>
              <w:rPr>
                <w:rFonts w:ascii="Cambria Math" w:eastAsiaTheme="minorEastAsia" w:hAnsi="Cambria Math"/>
                <w:vertAlign w:val="subscript"/>
              </w:rPr>
              <m:t>y,s</m:t>
            </m:r>
          </m:sub>
        </m:sSub>
        <m:r>
          <m:rPr>
            <m:sty m:val="p"/>
          </m:rPr>
          <w:rPr>
            <w:rFonts w:ascii="Cambria Math" w:eastAsiaTheme="minorEastAsia" w:hAnsi="Cambria Math"/>
          </w:rPr>
          <m:t xml:space="preserve"> / </m:t>
        </m:r>
        <m:sSub>
          <m:sSubPr>
            <m:ctrlPr>
              <w:rPr>
                <w:rFonts w:ascii="Cambria Math" w:eastAsiaTheme="minorEastAsia" w:hAnsi="Cambria Math"/>
                <w:i/>
              </w:rPr>
            </m:ctrlPr>
          </m:sSubPr>
          <m:e>
            <m:r>
              <w:rPr>
                <w:rFonts w:ascii="Cambria Math" w:eastAsiaTheme="minorEastAsia" w:hAnsi="Cambria Math"/>
              </w:rPr>
              <m:t>γ</m:t>
            </m:r>
          </m:e>
          <m:sub>
            <m:r>
              <m:rPr>
                <m:sty m:val="p"/>
              </m:rPr>
              <w:rPr>
                <w:rFonts w:ascii="Cambria Math" w:eastAsiaTheme="minorEastAsia" w:hAnsi="Cambria Math"/>
                <w:vertAlign w:val="subscript"/>
              </w:rPr>
              <m:t>M0</m:t>
            </m:r>
          </m:sub>
        </m:sSub>
        <m:r>
          <m:rPr>
            <m:sty m:val="p"/>
          </m:rPr>
          <w:rPr>
            <w:rFonts w:ascii="Cambria Math" w:eastAsiaTheme="minorEastAsia" w:hAnsi="Cambria Math"/>
            <w:vertAlign w:val="subscript"/>
          </w:rPr>
          <m:t xml:space="preserve"> </m:t>
        </m:r>
      </m:oMath>
      <w:r w:rsidR="004940BC" w:rsidRPr="00870D59">
        <w:tab/>
        <w:t>(</w:t>
      </w:r>
      <w:r w:rsidR="004940BC">
        <w:t>F</w:t>
      </w:r>
      <w:r w:rsidR="004940BC" w:rsidRPr="00870D59">
        <w:t>.</w:t>
      </w:r>
      <w:r w:rsidR="004940BC">
        <w:t>16</w:t>
      </w:r>
      <w:r w:rsidR="004940BC" w:rsidRPr="00870D59">
        <w:t>)</w:t>
      </w:r>
    </w:p>
    <w:p w14:paraId="47AD8868" w14:textId="7AD43F9E" w:rsidR="004940BC" w:rsidRDefault="00675EBA" w:rsidP="004940BC">
      <w:pPr>
        <w:pStyle w:val="Text"/>
      </w:pPr>
      <w:r>
        <w:t>where</w:t>
      </w:r>
    </w:p>
    <w:tbl>
      <w:tblPr>
        <w:tblW w:w="0" w:type="auto"/>
        <w:tblInd w:w="284" w:type="dxa"/>
        <w:tblLook w:val="04A0" w:firstRow="1" w:lastRow="0" w:firstColumn="1" w:lastColumn="0" w:noHBand="0" w:noVBand="1"/>
      </w:tblPr>
      <w:tblGrid>
        <w:gridCol w:w="1337"/>
        <w:gridCol w:w="7938"/>
      </w:tblGrid>
      <w:tr w:rsidR="004940BC" w:rsidRPr="00870D59" w14:paraId="052DA91F" w14:textId="77777777" w:rsidTr="00FE71E5">
        <w:tc>
          <w:tcPr>
            <w:tcW w:w="1337" w:type="dxa"/>
          </w:tcPr>
          <w:p w14:paraId="6756D12D" w14:textId="65C166B1" w:rsidR="004940BC" w:rsidRPr="00460668" w:rsidRDefault="0079043C" w:rsidP="002061E5">
            <w:pPr>
              <w:spacing w:after="60"/>
              <w:rPr>
                <w:rFonts w:eastAsia="Times New Roman" w:cs="Cambria"/>
                <w:szCs w:val="20"/>
                <w:lang w:eastAsia="fr-FR"/>
              </w:rPr>
            </w:pPr>
            <w:r w:rsidRPr="00132C1E">
              <w:rPr>
                <w:i/>
                <w:lang w:eastAsia="it-IT"/>
              </w:rPr>
              <w:t>f</w:t>
            </w:r>
            <w:r w:rsidRPr="00F26D30">
              <w:rPr>
                <w:iCs/>
                <w:vertAlign w:val="subscript"/>
                <w:lang w:eastAsia="it-IT"/>
              </w:rPr>
              <w:t>y,s</w:t>
            </w:r>
          </w:p>
        </w:tc>
        <w:tc>
          <w:tcPr>
            <w:tcW w:w="7938" w:type="dxa"/>
          </w:tcPr>
          <w:p w14:paraId="08A38B8F" w14:textId="4995BA83" w:rsidR="004940BC" w:rsidRPr="00870D59" w:rsidRDefault="0079043C" w:rsidP="002061E5">
            <w:pPr>
              <w:spacing w:after="60"/>
              <w:rPr>
                <w:rFonts w:eastAsia="Times New Roman" w:cs="Cambria"/>
                <w:szCs w:val="20"/>
                <w:lang w:eastAsia="fr-FR"/>
              </w:rPr>
            </w:pPr>
            <w:r w:rsidRPr="00132C1E">
              <w:rPr>
                <w:lang w:eastAsia="it-IT"/>
              </w:rPr>
              <w:t xml:space="preserve">is the yield strength of </w:t>
            </w:r>
            <w:r>
              <w:rPr>
                <w:lang w:eastAsia="it-IT"/>
              </w:rPr>
              <w:t xml:space="preserve">the </w:t>
            </w:r>
            <w:r w:rsidRPr="00132C1E">
              <w:rPr>
                <w:lang w:eastAsia="it-IT"/>
              </w:rPr>
              <w:t>steel sheathing;</w:t>
            </w:r>
          </w:p>
        </w:tc>
      </w:tr>
      <w:tr w:rsidR="004940BC" w:rsidRPr="00870D59" w14:paraId="69D1DD3F" w14:textId="77777777" w:rsidTr="00FE71E5">
        <w:tc>
          <w:tcPr>
            <w:tcW w:w="1337" w:type="dxa"/>
          </w:tcPr>
          <w:p w14:paraId="43BDB845" w14:textId="18977D49" w:rsidR="004940BC" w:rsidRPr="00132C1E" w:rsidRDefault="0079043C" w:rsidP="002061E5">
            <w:pPr>
              <w:spacing w:after="60"/>
              <w:rPr>
                <w:i/>
                <w:lang w:eastAsia="it-IT"/>
              </w:rPr>
            </w:pPr>
            <w:r w:rsidRPr="00132C1E">
              <w:rPr>
                <w:i/>
                <w:lang w:eastAsia="it-IT"/>
              </w:rPr>
              <w:t>γ</w:t>
            </w:r>
            <w:r w:rsidRPr="00F26D30">
              <w:rPr>
                <w:iCs/>
                <w:vertAlign w:val="subscript"/>
                <w:lang w:eastAsia="it-IT"/>
              </w:rPr>
              <w:t>M</w:t>
            </w:r>
            <w:r w:rsidRPr="00132C1E">
              <w:rPr>
                <w:vertAlign w:val="subscript"/>
                <w:lang w:eastAsia="it-IT"/>
              </w:rPr>
              <w:t>0</w:t>
            </w:r>
          </w:p>
        </w:tc>
        <w:tc>
          <w:tcPr>
            <w:tcW w:w="7938" w:type="dxa"/>
          </w:tcPr>
          <w:p w14:paraId="6052F6C5" w14:textId="2AFC5EF5" w:rsidR="004940BC" w:rsidRDefault="0079043C" w:rsidP="002061E5">
            <w:pPr>
              <w:spacing w:after="60"/>
              <w:rPr>
                <w:lang w:eastAsia="it-IT"/>
              </w:rPr>
            </w:pPr>
            <w:r w:rsidRPr="00132C1E">
              <w:rPr>
                <w:lang w:eastAsia="it-IT"/>
              </w:rPr>
              <w:t xml:space="preserve">is </w:t>
            </w:r>
            <w:r w:rsidRPr="00132C1E">
              <w:t xml:space="preserve">in accordance with </w:t>
            </w:r>
            <w:r w:rsidR="00867476">
              <w:t>EN 1993-1-1</w:t>
            </w:r>
            <w:r w:rsidR="00345284">
              <w:t>:2022, 8.1</w:t>
            </w:r>
            <w:r w:rsidRPr="00132C1E">
              <w:t>.</w:t>
            </w:r>
          </w:p>
        </w:tc>
      </w:tr>
    </w:tbl>
    <w:p w14:paraId="259B2794" w14:textId="77777777" w:rsidR="0079043C" w:rsidRPr="0074042F" w:rsidRDefault="0079043C" w:rsidP="0079043C">
      <w:pPr>
        <w:pStyle w:val="a2"/>
      </w:pPr>
      <w:bookmarkStart w:id="11378" w:name="_Toc50150759"/>
      <w:bookmarkStart w:id="11379" w:name="_Toc70887192"/>
      <w:bookmarkStart w:id="11380" w:name="_Toc108342791"/>
      <w:bookmarkStart w:id="11381" w:name="_Toc134198298"/>
      <w:r w:rsidRPr="0074042F">
        <w:t>Shear walls with wood sheathing</w:t>
      </w:r>
      <w:bookmarkEnd w:id="11378"/>
      <w:bookmarkEnd w:id="11379"/>
      <w:bookmarkEnd w:id="11380"/>
      <w:bookmarkEnd w:id="11381"/>
      <w:r w:rsidRPr="0074042F">
        <w:t xml:space="preserve"> </w:t>
      </w:r>
    </w:p>
    <w:p w14:paraId="4C4A0FFD" w14:textId="77777777" w:rsidR="0079043C" w:rsidRPr="0074042F" w:rsidRDefault="0079043C" w:rsidP="0079043C">
      <w:pPr>
        <w:pStyle w:val="a3"/>
      </w:pPr>
      <w:bookmarkStart w:id="11382" w:name="_Toc108342792"/>
      <w:bookmarkStart w:id="11383" w:name="_Toc120543878"/>
      <w:bookmarkStart w:id="11384" w:name="_Toc134198299"/>
      <w:r w:rsidRPr="0074042F">
        <w:t>Geometrical and mechanical provisions for the components and parts</w:t>
      </w:r>
      <w:r w:rsidRPr="0074042F">
        <w:rPr>
          <w:rFonts w:ascii="Arial" w:eastAsia="Times New Roman" w:hAnsi="Arial" w:cs="Times New Roman"/>
          <w:b w:val="0"/>
          <w:sz w:val="22"/>
          <w:lang w:eastAsia="en-US"/>
        </w:rPr>
        <w:t xml:space="preserve"> </w:t>
      </w:r>
      <w:r w:rsidRPr="0074042F">
        <w:t>for dissipative DC2 and DC3 structural behaviour</w:t>
      </w:r>
      <w:bookmarkEnd w:id="11382"/>
      <w:bookmarkEnd w:id="11383"/>
      <w:bookmarkEnd w:id="11384"/>
    </w:p>
    <w:p w14:paraId="41FC694C" w14:textId="438EBFF0" w:rsidR="001665C2" w:rsidRDefault="001665C2" w:rsidP="001665C2">
      <w:pPr>
        <w:pStyle w:val="FigureImage"/>
      </w:pPr>
      <w:r>
        <w:rPr>
          <w:noProof/>
        </w:rPr>
        <w:drawing>
          <wp:inline distT="0" distB="0" distL="0" distR="0" wp14:anchorId="5666391F" wp14:editId="5F69B1EF">
            <wp:extent cx="5399541" cy="2667004"/>
            <wp:effectExtent l="0" t="0" r="0" b="0"/>
            <wp:docPr id="25" name="f004.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f004.tiff"/>
                    <pic:cNvPicPr/>
                  </pic:nvPicPr>
                  <pic:blipFill>
                    <a:blip r:link="rId119"/>
                    <a:stretch>
                      <a:fillRect/>
                    </a:stretch>
                  </pic:blipFill>
                  <pic:spPr>
                    <a:xfrm>
                      <a:off x="0" y="0"/>
                      <a:ext cx="5399541" cy="2667004"/>
                    </a:xfrm>
                    <a:prstGeom prst="rect">
                      <a:avLst/>
                    </a:prstGeom>
                  </pic:spPr>
                </pic:pic>
              </a:graphicData>
            </a:graphic>
          </wp:inline>
        </w:drawing>
      </w:r>
    </w:p>
    <w:p w14:paraId="2A561DFB" w14:textId="77777777" w:rsidR="001665C2" w:rsidRPr="00FD17CF" w:rsidRDefault="001665C2" w:rsidP="001665C2">
      <w:pPr>
        <w:pStyle w:val="KeyTitle"/>
      </w:pPr>
      <w:r w:rsidRPr="007E6F67">
        <w:t>Key</w:t>
      </w:r>
    </w:p>
    <w:tbl>
      <w:tblPr>
        <w:tblStyle w:val="TableGrid"/>
        <w:tblW w:w="609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
        <w:gridCol w:w="5658"/>
      </w:tblGrid>
      <w:tr w:rsidR="001665C2" w:rsidRPr="004C15AC" w14:paraId="5D1DFE6A" w14:textId="77777777" w:rsidTr="00B15DDF">
        <w:tc>
          <w:tcPr>
            <w:tcW w:w="438" w:type="dxa"/>
          </w:tcPr>
          <w:p w14:paraId="44C90232" w14:textId="77777777" w:rsidR="001665C2" w:rsidRPr="00B15DDF" w:rsidRDefault="001665C2" w:rsidP="00B15DDF">
            <w:pPr>
              <w:pStyle w:val="KeyText"/>
              <w:spacing w:before="0"/>
              <w:rPr>
                <w:iCs/>
              </w:rPr>
            </w:pPr>
            <w:r w:rsidRPr="00B15DDF">
              <w:rPr>
                <w:iCs/>
              </w:rPr>
              <w:t>1</w:t>
            </w:r>
          </w:p>
        </w:tc>
        <w:tc>
          <w:tcPr>
            <w:tcW w:w="5658" w:type="dxa"/>
          </w:tcPr>
          <w:p w14:paraId="6E661419" w14:textId="77777777" w:rsidR="001665C2" w:rsidRPr="004C15AC" w:rsidRDefault="001665C2" w:rsidP="00B15DDF">
            <w:pPr>
              <w:pStyle w:val="KeyText"/>
              <w:spacing w:before="0"/>
            </w:pPr>
            <w:r w:rsidRPr="004C15AC">
              <w:rPr>
                <w:noProof/>
                <w:lang w:eastAsia="it-IT"/>
              </w:rPr>
              <w:t>stud</w:t>
            </w:r>
          </w:p>
        </w:tc>
      </w:tr>
      <w:tr w:rsidR="001665C2" w:rsidRPr="004C15AC" w14:paraId="41ABCAA1" w14:textId="77777777" w:rsidTr="00B15DDF">
        <w:tc>
          <w:tcPr>
            <w:tcW w:w="438" w:type="dxa"/>
          </w:tcPr>
          <w:p w14:paraId="62B601BF" w14:textId="77777777" w:rsidR="001665C2" w:rsidRPr="00B15DDF" w:rsidRDefault="001665C2" w:rsidP="00B15DDF">
            <w:pPr>
              <w:pStyle w:val="KeyText"/>
              <w:spacing w:before="0"/>
              <w:rPr>
                <w:iCs/>
              </w:rPr>
            </w:pPr>
            <w:r w:rsidRPr="00B15DDF">
              <w:rPr>
                <w:iCs/>
                <w:noProof/>
                <w:lang w:eastAsia="it-IT"/>
              </w:rPr>
              <w:t>2</w:t>
            </w:r>
          </w:p>
        </w:tc>
        <w:tc>
          <w:tcPr>
            <w:tcW w:w="5658" w:type="dxa"/>
          </w:tcPr>
          <w:p w14:paraId="7B6DE309" w14:textId="77777777" w:rsidR="001665C2" w:rsidRPr="004C15AC" w:rsidRDefault="001665C2" w:rsidP="00B15DDF">
            <w:pPr>
              <w:pStyle w:val="KeyText"/>
              <w:spacing w:before="0"/>
            </w:pPr>
            <w:r w:rsidRPr="004C15AC">
              <w:rPr>
                <w:noProof/>
                <w:lang w:eastAsia="it-IT"/>
              </w:rPr>
              <w:t>chord stud</w:t>
            </w:r>
          </w:p>
        </w:tc>
      </w:tr>
      <w:tr w:rsidR="001665C2" w:rsidRPr="004C15AC" w14:paraId="4627D00A" w14:textId="77777777" w:rsidTr="00B15DDF">
        <w:tc>
          <w:tcPr>
            <w:tcW w:w="438" w:type="dxa"/>
          </w:tcPr>
          <w:p w14:paraId="76894DCA" w14:textId="77777777" w:rsidR="001665C2" w:rsidRPr="00B15DDF" w:rsidRDefault="001665C2" w:rsidP="00B15DDF">
            <w:pPr>
              <w:pStyle w:val="KeyText"/>
              <w:spacing w:before="0"/>
              <w:rPr>
                <w:iCs/>
              </w:rPr>
            </w:pPr>
            <w:r w:rsidRPr="00B15DDF">
              <w:rPr>
                <w:iCs/>
                <w:noProof/>
                <w:lang w:eastAsia="it-IT"/>
              </w:rPr>
              <w:t>3</w:t>
            </w:r>
          </w:p>
        </w:tc>
        <w:tc>
          <w:tcPr>
            <w:tcW w:w="5658" w:type="dxa"/>
          </w:tcPr>
          <w:p w14:paraId="0C7A2D48" w14:textId="77777777" w:rsidR="001665C2" w:rsidRPr="004C15AC" w:rsidRDefault="001665C2" w:rsidP="00B15DDF">
            <w:pPr>
              <w:pStyle w:val="KeyText"/>
              <w:spacing w:before="0"/>
            </w:pPr>
            <w:r w:rsidRPr="004C15AC">
              <w:rPr>
                <w:noProof/>
                <w:lang w:eastAsia="it-IT"/>
              </w:rPr>
              <w:t>track</w:t>
            </w:r>
          </w:p>
        </w:tc>
      </w:tr>
      <w:tr w:rsidR="001665C2" w:rsidRPr="004C15AC" w14:paraId="31ED6AEC" w14:textId="77777777" w:rsidTr="00B15DDF">
        <w:tc>
          <w:tcPr>
            <w:tcW w:w="438" w:type="dxa"/>
          </w:tcPr>
          <w:p w14:paraId="0064E1E9" w14:textId="77777777" w:rsidR="001665C2" w:rsidRPr="00B15DDF" w:rsidRDefault="001665C2" w:rsidP="00B15DDF">
            <w:pPr>
              <w:pStyle w:val="KeyText"/>
              <w:spacing w:before="0"/>
              <w:rPr>
                <w:iCs/>
              </w:rPr>
            </w:pPr>
            <w:r w:rsidRPr="00B15DDF">
              <w:rPr>
                <w:iCs/>
                <w:noProof/>
                <w:lang w:eastAsia="it-IT"/>
              </w:rPr>
              <w:t>4</w:t>
            </w:r>
          </w:p>
        </w:tc>
        <w:tc>
          <w:tcPr>
            <w:tcW w:w="5658" w:type="dxa"/>
          </w:tcPr>
          <w:p w14:paraId="393B45B1" w14:textId="77777777" w:rsidR="001665C2" w:rsidRPr="004C15AC" w:rsidRDefault="001665C2" w:rsidP="00B15DDF">
            <w:pPr>
              <w:pStyle w:val="KeyText"/>
              <w:spacing w:before="0"/>
            </w:pPr>
            <w:r w:rsidRPr="004C15AC">
              <w:rPr>
                <w:noProof/>
                <w:lang w:eastAsia="it-IT"/>
              </w:rPr>
              <w:t>hold-down</w:t>
            </w:r>
          </w:p>
        </w:tc>
      </w:tr>
      <w:tr w:rsidR="001665C2" w:rsidRPr="004C15AC" w14:paraId="63F1FBA1" w14:textId="77777777" w:rsidTr="00B15DDF">
        <w:tc>
          <w:tcPr>
            <w:tcW w:w="438" w:type="dxa"/>
          </w:tcPr>
          <w:p w14:paraId="7C2BBCDE" w14:textId="77777777" w:rsidR="001665C2" w:rsidRPr="00B15DDF" w:rsidRDefault="001665C2" w:rsidP="00B15DDF">
            <w:pPr>
              <w:pStyle w:val="KeyText"/>
              <w:spacing w:before="0"/>
              <w:rPr>
                <w:iCs/>
                <w:noProof/>
                <w:lang w:eastAsia="it-IT"/>
              </w:rPr>
            </w:pPr>
            <w:r w:rsidRPr="00B15DDF">
              <w:rPr>
                <w:iCs/>
                <w:noProof/>
                <w:lang w:eastAsia="it-IT"/>
              </w:rPr>
              <w:t>5</w:t>
            </w:r>
          </w:p>
        </w:tc>
        <w:tc>
          <w:tcPr>
            <w:tcW w:w="5658" w:type="dxa"/>
          </w:tcPr>
          <w:p w14:paraId="34F98863" w14:textId="77777777" w:rsidR="001665C2" w:rsidRPr="004C15AC" w:rsidRDefault="001665C2" w:rsidP="00B15DDF">
            <w:pPr>
              <w:pStyle w:val="KeyText"/>
              <w:spacing w:before="0"/>
              <w:rPr>
                <w:noProof/>
                <w:lang w:eastAsia="it-IT"/>
              </w:rPr>
            </w:pPr>
            <w:r w:rsidRPr="004C15AC">
              <w:rPr>
                <w:noProof/>
                <w:lang w:eastAsia="it-IT"/>
              </w:rPr>
              <w:t>shear anchorage</w:t>
            </w:r>
          </w:p>
        </w:tc>
      </w:tr>
      <w:tr w:rsidR="001665C2" w:rsidRPr="004C15AC" w14:paraId="5B34D662" w14:textId="77777777" w:rsidTr="00B15DDF">
        <w:tc>
          <w:tcPr>
            <w:tcW w:w="438" w:type="dxa"/>
          </w:tcPr>
          <w:p w14:paraId="554F3C22" w14:textId="77777777" w:rsidR="001665C2" w:rsidRPr="00B15DDF" w:rsidRDefault="001665C2" w:rsidP="00B15DDF">
            <w:pPr>
              <w:pStyle w:val="KeyText"/>
              <w:spacing w:before="0"/>
              <w:rPr>
                <w:iCs/>
                <w:noProof/>
                <w:lang w:eastAsia="it-IT"/>
              </w:rPr>
            </w:pPr>
            <w:r w:rsidRPr="00B15DDF">
              <w:rPr>
                <w:iCs/>
                <w:noProof/>
                <w:lang w:eastAsia="it-IT"/>
              </w:rPr>
              <w:t>6</w:t>
            </w:r>
          </w:p>
        </w:tc>
        <w:tc>
          <w:tcPr>
            <w:tcW w:w="5658" w:type="dxa"/>
          </w:tcPr>
          <w:p w14:paraId="5BC2CCBA" w14:textId="16545B66" w:rsidR="001665C2" w:rsidRPr="004C15AC" w:rsidRDefault="001665C2" w:rsidP="00B15DDF">
            <w:pPr>
              <w:pStyle w:val="KeyText"/>
              <w:spacing w:before="0"/>
              <w:rPr>
                <w:noProof/>
                <w:lang w:eastAsia="it-IT"/>
              </w:rPr>
            </w:pPr>
            <w:r>
              <w:rPr>
                <w:noProof/>
                <w:lang w:eastAsia="it-IT"/>
              </w:rPr>
              <w:t>wood</w:t>
            </w:r>
            <w:r w:rsidRPr="004C15AC">
              <w:rPr>
                <w:noProof/>
                <w:lang w:eastAsia="it-IT"/>
              </w:rPr>
              <w:t xml:space="preserve"> </w:t>
            </w:r>
            <w:r w:rsidR="005B69A1">
              <w:rPr>
                <w:noProof/>
                <w:lang w:eastAsia="it-IT"/>
              </w:rPr>
              <w:t xml:space="preserve">or gypsum </w:t>
            </w:r>
            <w:r w:rsidRPr="004C15AC">
              <w:rPr>
                <w:noProof/>
                <w:lang w:eastAsia="it-IT"/>
              </w:rPr>
              <w:t>sheathing</w:t>
            </w:r>
            <w:r>
              <w:rPr>
                <w:noProof/>
                <w:lang w:eastAsia="it-IT"/>
              </w:rPr>
              <w:t xml:space="preserve"> panel</w:t>
            </w:r>
          </w:p>
        </w:tc>
      </w:tr>
      <w:tr w:rsidR="001665C2" w:rsidRPr="004C15AC" w14:paraId="615A8149" w14:textId="77777777" w:rsidTr="00B15DDF">
        <w:tc>
          <w:tcPr>
            <w:tcW w:w="438" w:type="dxa"/>
          </w:tcPr>
          <w:p w14:paraId="15114D23" w14:textId="77777777" w:rsidR="001665C2" w:rsidRPr="00B15DDF" w:rsidRDefault="001665C2" w:rsidP="00B15DDF">
            <w:pPr>
              <w:pStyle w:val="KeyText"/>
              <w:spacing w:before="0"/>
              <w:rPr>
                <w:iCs/>
                <w:noProof/>
                <w:lang w:eastAsia="it-IT"/>
              </w:rPr>
            </w:pPr>
            <w:r w:rsidRPr="00B15DDF">
              <w:rPr>
                <w:iCs/>
                <w:noProof/>
                <w:lang w:eastAsia="it-IT"/>
              </w:rPr>
              <w:t>7</w:t>
            </w:r>
          </w:p>
        </w:tc>
        <w:tc>
          <w:tcPr>
            <w:tcW w:w="5658" w:type="dxa"/>
          </w:tcPr>
          <w:p w14:paraId="53C901E5" w14:textId="77777777" w:rsidR="001665C2" w:rsidRPr="004C15AC" w:rsidRDefault="001665C2" w:rsidP="00B15DDF">
            <w:pPr>
              <w:pStyle w:val="KeyText"/>
              <w:spacing w:before="0"/>
              <w:rPr>
                <w:noProof/>
                <w:lang w:eastAsia="it-IT"/>
              </w:rPr>
            </w:pPr>
            <w:r w:rsidRPr="004C15AC">
              <w:rPr>
                <w:noProof/>
                <w:lang w:eastAsia="it-IT"/>
              </w:rPr>
              <w:t>screw at panel edge</w:t>
            </w:r>
          </w:p>
        </w:tc>
      </w:tr>
      <w:tr w:rsidR="001665C2" w:rsidRPr="004C15AC" w14:paraId="4CFBF182" w14:textId="77777777" w:rsidTr="00B15DDF">
        <w:tc>
          <w:tcPr>
            <w:tcW w:w="438" w:type="dxa"/>
          </w:tcPr>
          <w:p w14:paraId="681EB837" w14:textId="77777777" w:rsidR="001665C2" w:rsidRPr="00B15DDF" w:rsidRDefault="001665C2" w:rsidP="00B15DDF">
            <w:pPr>
              <w:pStyle w:val="KeyText"/>
              <w:spacing w:before="0"/>
              <w:rPr>
                <w:iCs/>
                <w:noProof/>
                <w:lang w:eastAsia="it-IT"/>
              </w:rPr>
            </w:pPr>
            <w:r w:rsidRPr="00B15DDF">
              <w:rPr>
                <w:iCs/>
                <w:noProof/>
                <w:lang w:eastAsia="it-IT"/>
              </w:rPr>
              <w:t>8</w:t>
            </w:r>
          </w:p>
        </w:tc>
        <w:tc>
          <w:tcPr>
            <w:tcW w:w="5658" w:type="dxa"/>
          </w:tcPr>
          <w:p w14:paraId="7D8E08FE" w14:textId="77777777" w:rsidR="001665C2" w:rsidRPr="004C15AC" w:rsidRDefault="001665C2" w:rsidP="00B15DDF">
            <w:pPr>
              <w:pStyle w:val="KeyText"/>
              <w:spacing w:before="0"/>
              <w:rPr>
                <w:noProof/>
                <w:lang w:eastAsia="it-IT"/>
              </w:rPr>
            </w:pPr>
            <w:r w:rsidRPr="004C15AC">
              <w:rPr>
                <w:noProof/>
                <w:lang w:eastAsia="it-IT"/>
              </w:rPr>
              <w:t>screw in the panel field</w:t>
            </w:r>
          </w:p>
        </w:tc>
      </w:tr>
      <w:tr w:rsidR="001665C2" w:rsidRPr="004C15AC" w14:paraId="5F9A170E" w14:textId="77777777" w:rsidTr="00B15DDF">
        <w:tc>
          <w:tcPr>
            <w:tcW w:w="438" w:type="dxa"/>
          </w:tcPr>
          <w:p w14:paraId="786CDE2B" w14:textId="77777777" w:rsidR="001665C2" w:rsidRPr="00B15DDF" w:rsidRDefault="001665C2" w:rsidP="00B15DDF">
            <w:pPr>
              <w:pStyle w:val="KeyText"/>
              <w:spacing w:before="0"/>
              <w:rPr>
                <w:iCs/>
                <w:noProof/>
                <w:lang w:eastAsia="it-IT"/>
              </w:rPr>
            </w:pPr>
            <w:r w:rsidRPr="00B15DDF">
              <w:rPr>
                <w:iCs/>
                <w:noProof/>
                <w:lang w:eastAsia="it-IT"/>
              </w:rPr>
              <w:t>9</w:t>
            </w:r>
          </w:p>
        </w:tc>
        <w:tc>
          <w:tcPr>
            <w:tcW w:w="5658" w:type="dxa"/>
          </w:tcPr>
          <w:p w14:paraId="0393FE94" w14:textId="77777777" w:rsidR="001665C2" w:rsidRPr="004C15AC" w:rsidRDefault="001665C2" w:rsidP="00B15DDF">
            <w:pPr>
              <w:pStyle w:val="KeyText"/>
              <w:spacing w:before="0"/>
              <w:rPr>
                <w:noProof/>
                <w:lang w:eastAsia="it-IT"/>
              </w:rPr>
            </w:pPr>
            <w:r w:rsidRPr="004C15AC">
              <w:rPr>
                <w:noProof/>
                <w:lang w:eastAsia="it-IT"/>
              </w:rPr>
              <w:t>sheathing joint</w:t>
            </w:r>
          </w:p>
        </w:tc>
      </w:tr>
      <w:tr w:rsidR="001665C2" w:rsidRPr="004C15AC" w14:paraId="1A8EC404" w14:textId="77777777" w:rsidTr="00B15DDF">
        <w:tc>
          <w:tcPr>
            <w:tcW w:w="438" w:type="dxa"/>
          </w:tcPr>
          <w:p w14:paraId="35736321" w14:textId="77777777" w:rsidR="001665C2" w:rsidRPr="00B15DDF" w:rsidRDefault="001665C2" w:rsidP="00B15DDF">
            <w:pPr>
              <w:pStyle w:val="KeyText"/>
              <w:spacing w:before="0"/>
              <w:rPr>
                <w:iCs/>
                <w:noProof/>
                <w:lang w:eastAsia="it-IT"/>
              </w:rPr>
            </w:pPr>
            <w:r w:rsidRPr="00B15DDF">
              <w:rPr>
                <w:iCs/>
                <w:noProof/>
                <w:lang w:eastAsia="it-IT"/>
              </w:rPr>
              <w:t>10</w:t>
            </w:r>
          </w:p>
        </w:tc>
        <w:tc>
          <w:tcPr>
            <w:tcW w:w="5658" w:type="dxa"/>
          </w:tcPr>
          <w:p w14:paraId="26AECA2C" w14:textId="0A7913D5" w:rsidR="001665C2" w:rsidRPr="004C15AC" w:rsidRDefault="001665C2" w:rsidP="00B15DDF">
            <w:pPr>
              <w:pStyle w:val="KeyText"/>
              <w:spacing w:before="0"/>
              <w:rPr>
                <w:noProof/>
                <w:lang w:eastAsia="it-IT"/>
              </w:rPr>
            </w:pPr>
            <w:r w:rsidRPr="004C15AC">
              <w:rPr>
                <w:noProof/>
                <w:lang w:eastAsia="it-IT"/>
              </w:rPr>
              <w:t>tension anchorage</w:t>
            </w:r>
            <w:r>
              <w:rPr>
                <w:noProof/>
                <w:lang w:eastAsia="it-IT"/>
              </w:rPr>
              <w:t xml:space="preserve"> (with</w:t>
            </w:r>
            <w:r w:rsidRPr="004C15AC">
              <w:rPr>
                <w:noProof/>
                <w:lang w:eastAsia="it-IT"/>
              </w:rPr>
              <w:t xml:space="preserve"> </w:t>
            </w:r>
            <w:r w:rsidRPr="004C15AC">
              <w:rPr>
                <w:i/>
                <w:noProof/>
                <w:lang w:eastAsia="it-IT"/>
              </w:rPr>
              <w:t>s</w:t>
            </w:r>
            <w:r w:rsidRPr="004C15AC">
              <w:rPr>
                <w:iCs/>
                <w:noProof/>
                <w:vertAlign w:val="subscript"/>
                <w:lang w:eastAsia="it-IT"/>
              </w:rPr>
              <w:t>s</w:t>
            </w:r>
            <w:r w:rsidRPr="004C15AC">
              <w:rPr>
                <w:noProof/>
                <w:lang w:eastAsia="it-IT"/>
              </w:rPr>
              <w:t xml:space="preserve"> stud spacing</w:t>
            </w:r>
            <w:r>
              <w:rPr>
                <w:noProof/>
                <w:lang w:eastAsia="it-IT"/>
              </w:rPr>
              <w:t>,</w:t>
            </w:r>
            <w:r w:rsidRPr="004C15AC">
              <w:rPr>
                <w:noProof/>
                <w:lang w:eastAsia="it-IT"/>
              </w:rPr>
              <w:t xml:space="preserve"> </w:t>
            </w:r>
            <w:r w:rsidRPr="004C15AC">
              <w:rPr>
                <w:i/>
                <w:noProof/>
                <w:lang w:eastAsia="it-IT"/>
              </w:rPr>
              <w:t>s</w:t>
            </w:r>
            <w:r w:rsidRPr="004C15AC">
              <w:rPr>
                <w:iCs/>
                <w:noProof/>
                <w:vertAlign w:val="subscript"/>
                <w:lang w:eastAsia="it-IT"/>
              </w:rPr>
              <w:t>f</w:t>
            </w:r>
            <w:r w:rsidRPr="004C15AC">
              <w:rPr>
                <w:noProof/>
                <w:lang w:eastAsia="it-IT"/>
              </w:rPr>
              <w:t xml:space="preserve"> screw spacing in the panel field</w:t>
            </w:r>
            <w:r w:rsidR="005B69A1">
              <w:rPr>
                <w:noProof/>
                <w:lang w:eastAsia="it-IT"/>
              </w:rPr>
              <w:t xml:space="preserve"> and</w:t>
            </w:r>
            <w:r w:rsidRPr="004C15AC">
              <w:rPr>
                <w:noProof/>
                <w:lang w:eastAsia="it-IT"/>
              </w:rPr>
              <w:t xml:space="preserve"> </w:t>
            </w:r>
            <w:r w:rsidRPr="004C15AC">
              <w:rPr>
                <w:i/>
                <w:noProof/>
                <w:lang w:eastAsia="it-IT"/>
              </w:rPr>
              <w:t>s</w:t>
            </w:r>
            <w:r w:rsidRPr="004C15AC">
              <w:rPr>
                <w:noProof/>
                <w:lang w:eastAsia="it-IT"/>
              </w:rPr>
              <w:t xml:space="preserve"> screw spacing at panel edge</w:t>
            </w:r>
            <w:r>
              <w:rPr>
                <w:noProof/>
                <w:lang w:eastAsia="it-IT"/>
              </w:rPr>
              <w:t>)</w:t>
            </w:r>
          </w:p>
        </w:tc>
      </w:tr>
    </w:tbl>
    <w:p w14:paraId="17442207" w14:textId="07BCA4BD" w:rsidR="0079043C" w:rsidRPr="00B432BB" w:rsidRDefault="0079043C" w:rsidP="00B432BB">
      <w:pPr>
        <w:pStyle w:val="Figuretitle"/>
      </w:pPr>
      <w:r w:rsidRPr="00B432BB">
        <w:t>Figure</w:t>
      </w:r>
      <w:r w:rsidRPr="00B432BB" w:rsidDel="00202FA7">
        <w:t xml:space="preserve"> </w:t>
      </w:r>
      <w:r w:rsidRPr="00B432BB">
        <w:t>F.4 —</w:t>
      </w:r>
      <w:r w:rsidR="00B432BB">
        <w:t> </w:t>
      </w:r>
      <w:r w:rsidRPr="00B432BB">
        <w:t>Shear walls with wood</w:t>
      </w:r>
      <w:r w:rsidR="005B69A1">
        <w:t xml:space="preserve"> or gypsum</w:t>
      </w:r>
      <w:r w:rsidRPr="00B432BB">
        <w:t xml:space="preserve"> sheathing</w:t>
      </w:r>
    </w:p>
    <w:p w14:paraId="2BDA16A6" w14:textId="249B6F30" w:rsidR="0079043C" w:rsidRPr="00196951" w:rsidRDefault="0079043C" w:rsidP="0080187E">
      <w:pPr>
        <w:pStyle w:val="Clause"/>
        <w:numPr>
          <w:ilvl w:val="0"/>
          <w:numId w:val="232"/>
        </w:numPr>
      </w:pPr>
      <w:r w:rsidRPr="00196951">
        <w:t xml:space="preserve">a) to </w:t>
      </w:r>
      <w:r w:rsidR="002C536C">
        <w:t>j</w:t>
      </w:r>
      <w:r w:rsidRPr="00196951">
        <w:t>) should be satisfied</w:t>
      </w:r>
      <w:r>
        <w:t xml:space="preserve"> (see Figure F.4)</w:t>
      </w:r>
      <w:r w:rsidRPr="00196951">
        <w:t>:</w:t>
      </w:r>
    </w:p>
    <w:p w14:paraId="68A3A94E" w14:textId="77777777" w:rsidR="0079043C" w:rsidRPr="002144A0" w:rsidRDefault="0079043C" w:rsidP="00B15DDF">
      <w:pPr>
        <w:pStyle w:val="Text"/>
        <w:numPr>
          <w:ilvl w:val="0"/>
          <w:numId w:val="724"/>
        </w:numPr>
        <w:spacing w:after="200"/>
      </w:pPr>
      <w:r w:rsidRPr="00196951">
        <w:t xml:space="preserve">wood structural panel sheathing should be either Oriented Strand Board (OSB (see EN 300)) </w:t>
      </w:r>
      <w:r w:rsidRPr="002144A0">
        <w:t>with a thickness from 9 mm to 11 mm or Plywood (EN 636) with a thickness from 9,5 mm to 12,5 mm;</w:t>
      </w:r>
    </w:p>
    <w:p w14:paraId="69A30EB8" w14:textId="77777777" w:rsidR="0079043C" w:rsidRPr="004F25D7" w:rsidRDefault="0079043C" w:rsidP="00B15DDF">
      <w:pPr>
        <w:pStyle w:val="Text"/>
        <w:numPr>
          <w:ilvl w:val="0"/>
          <w:numId w:val="724"/>
        </w:numPr>
        <w:spacing w:after="200"/>
      </w:pPr>
      <w:r w:rsidRPr="002144A0">
        <w:t>the thickness of steel frame elements should be greater than 1,1 mm;</w:t>
      </w:r>
    </w:p>
    <w:p w14:paraId="2F788C93" w14:textId="77777777" w:rsidR="0079043C" w:rsidRPr="00132C1E" w:rsidRDefault="0079043C" w:rsidP="00B15DDF">
      <w:pPr>
        <w:pStyle w:val="Text"/>
        <w:numPr>
          <w:ilvl w:val="0"/>
          <w:numId w:val="724"/>
        </w:numPr>
        <w:spacing w:after="200"/>
      </w:pPr>
      <w:r w:rsidRPr="00C52095">
        <w:t xml:space="preserve">studs and tracks should have nominal yield strength </w:t>
      </w:r>
      <w:r w:rsidRPr="00C52095">
        <w:rPr>
          <w:i/>
          <w:iCs/>
        </w:rPr>
        <w:t>f</w:t>
      </w:r>
      <w:r w:rsidRPr="00C52095">
        <w:rPr>
          <w:vertAlign w:val="subscript"/>
        </w:rPr>
        <w:t>y</w:t>
      </w:r>
      <w:r w:rsidRPr="007754C9">
        <w:t xml:space="preserve"> of 220 MPa for members with thickness smaller than 1,4 mm and of 350 MPa for those with thickness at least 1,4 mm;</w:t>
      </w:r>
    </w:p>
    <w:p w14:paraId="3EB5B42D" w14:textId="77777777" w:rsidR="0079043C" w:rsidRPr="0074042F" w:rsidRDefault="0079043C" w:rsidP="0080187E">
      <w:pPr>
        <w:pStyle w:val="Text"/>
        <w:numPr>
          <w:ilvl w:val="0"/>
          <w:numId w:val="724"/>
        </w:numPr>
      </w:pPr>
      <w:r w:rsidRPr="0074042F">
        <w:t xml:space="preserve">screw </w:t>
      </w:r>
      <w:r w:rsidRPr="00FB05C0">
        <w:rPr>
          <w:color w:val="000000" w:themeColor="text1"/>
        </w:rPr>
        <w:t xml:space="preserve">spacing </w:t>
      </w:r>
      <w:r w:rsidRPr="00FB05C0">
        <w:rPr>
          <w:i/>
          <w:iCs/>
          <w:color w:val="000000" w:themeColor="text1"/>
        </w:rPr>
        <w:t>s</w:t>
      </w:r>
      <w:r w:rsidRPr="00FB05C0">
        <w:rPr>
          <w:color w:val="000000" w:themeColor="text1"/>
        </w:rPr>
        <w:t xml:space="preserve"> at </w:t>
      </w:r>
      <w:r w:rsidRPr="0074042F">
        <w:t>panel edges should be in the range from 50 mm to 150 mm and between the edges at most 300 mm;</w:t>
      </w:r>
    </w:p>
    <w:p w14:paraId="5BCDF4D8" w14:textId="0C82783D" w:rsidR="0079043C" w:rsidRPr="0074042F" w:rsidRDefault="0079043C" w:rsidP="0080187E">
      <w:pPr>
        <w:pStyle w:val="Text"/>
        <w:numPr>
          <w:ilvl w:val="0"/>
          <w:numId w:val="724"/>
        </w:numPr>
      </w:pPr>
      <w:r w:rsidRPr="0074042F">
        <w:t xml:space="preserve">screw </w:t>
      </w:r>
      <w:r w:rsidRPr="00FB05C0">
        <w:rPr>
          <w:color w:val="000000" w:themeColor="text1"/>
        </w:rPr>
        <w:t xml:space="preserve">spacing </w:t>
      </w:r>
      <w:r w:rsidRPr="00FB05C0">
        <w:rPr>
          <w:i/>
          <w:noProof/>
          <w:color w:val="000000" w:themeColor="text1"/>
          <w:szCs w:val="22"/>
          <w:lang w:eastAsia="it-IT"/>
        </w:rPr>
        <w:t>s</w:t>
      </w:r>
      <w:r w:rsidRPr="00FB05C0">
        <w:rPr>
          <w:iCs/>
          <w:noProof/>
          <w:color w:val="000000" w:themeColor="text1"/>
          <w:szCs w:val="22"/>
          <w:vertAlign w:val="subscript"/>
          <w:lang w:eastAsia="it-IT"/>
        </w:rPr>
        <w:t>f</w:t>
      </w:r>
      <w:r w:rsidRPr="00FB05C0">
        <w:rPr>
          <w:color w:val="000000" w:themeColor="text1"/>
        </w:rPr>
        <w:t xml:space="preserve"> in </w:t>
      </w:r>
      <w:r w:rsidRPr="0074042F">
        <w:t>the panel field should be not more than 300 mm;</w:t>
      </w:r>
    </w:p>
    <w:p w14:paraId="0736DBC9" w14:textId="77777777" w:rsidR="0079043C" w:rsidRPr="00132C1E" w:rsidRDefault="0079043C" w:rsidP="0080187E">
      <w:pPr>
        <w:pStyle w:val="Text"/>
        <w:numPr>
          <w:ilvl w:val="0"/>
          <w:numId w:val="724"/>
        </w:numPr>
      </w:pPr>
      <w:r w:rsidRPr="00132C1E">
        <w:t>for members with thickness smaller than 1,4 mm, sheathing screws should have nominal diametre of 4,2 mm and minimum head diametre of 7,2 mm; for those with thickness not smaller than 1,4 mm sheathing screws should have nominal diametre of 4,8 mm and minimum head diametre of 8,5 mm;</w:t>
      </w:r>
    </w:p>
    <w:p w14:paraId="5E9A7546" w14:textId="2D09FF57" w:rsidR="0079043C" w:rsidRPr="00132C1E" w:rsidRDefault="0079043C" w:rsidP="0080187E">
      <w:pPr>
        <w:pStyle w:val="Text"/>
        <w:numPr>
          <w:ilvl w:val="0"/>
          <w:numId w:val="724"/>
        </w:numPr>
      </w:pPr>
      <w:r w:rsidRPr="00132C1E">
        <w:t>the distance from the centre of the screw to the wood sheet sheathing edges should be at least 13</w:t>
      </w:r>
      <w:r w:rsidR="00B15DDF">
        <w:t> </w:t>
      </w:r>
      <w:r w:rsidRPr="00132C1E">
        <w:t>mm;</w:t>
      </w:r>
    </w:p>
    <w:p w14:paraId="6691F4AA" w14:textId="77777777" w:rsidR="0079043C" w:rsidRPr="00132C1E" w:rsidRDefault="0079043C" w:rsidP="0080187E">
      <w:pPr>
        <w:pStyle w:val="Text"/>
        <w:numPr>
          <w:ilvl w:val="0"/>
          <w:numId w:val="724"/>
        </w:numPr>
      </w:pPr>
      <w:r w:rsidRPr="00132C1E">
        <w:t>wood panels smaller than 300 mm wide should not be used;</w:t>
      </w:r>
    </w:p>
    <w:p w14:paraId="08640FBA" w14:textId="77777777" w:rsidR="0079043C" w:rsidRPr="00132C1E" w:rsidRDefault="0079043C" w:rsidP="0080187E">
      <w:pPr>
        <w:pStyle w:val="Text"/>
        <w:numPr>
          <w:ilvl w:val="0"/>
          <w:numId w:val="724"/>
        </w:numPr>
      </w:pPr>
      <w:r w:rsidRPr="00132C1E">
        <w:t xml:space="preserve">maximum stud </w:t>
      </w:r>
      <w:r w:rsidRPr="006E2EC9">
        <w:t xml:space="preserve">spacing </w:t>
      </w:r>
      <w:r w:rsidRPr="006E2EC9">
        <w:rPr>
          <w:i/>
          <w:iCs/>
          <w:noProof/>
          <w:szCs w:val="22"/>
          <w:lang w:eastAsia="it-IT"/>
        </w:rPr>
        <w:t>s</w:t>
      </w:r>
      <w:r w:rsidRPr="006E2EC9">
        <w:rPr>
          <w:noProof/>
          <w:szCs w:val="22"/>
          <w:vertAlign w:val="subscript"/>
          <w:lang w:eastAsia="it-IT"/>
        </w:rPr>
        <w:t>s</w:t>
      </w:r>
      <w:r w:rsidRPr="006E2EC9">
        <w:t xml:space="preserve"> should </w:t>
      </w:r>
      <w:r w:rsidRPr="00132C1E">
        <w:t>be 600 mm on centres;</w:t>
      </w:r>
    </w:p>
    <w:p w14:paraId="01BC109D" w14:textId="4F90ADA1" w:rsidR="0079043C" w:rsidRPr="00132C1E" w:rsidRDefault="0079043C" w:rsidP="0080187E">
      <w:pPr>
        <w:pStyle w:val="Text"/>
        <w:numPr>
          <w:ilvl w:val="0"/>
          <w:numId w:val="724"/>
        </w:numPr>
      </w:pPr>
      <w:r w:rsidRPr="00132C1E">
        <w:t>all sheathing panel edges should be attached to joists or tracks, sheathing panels should be connected without horizontal joints, and where shear walls require multiple vertical sheathing panels, a single stud should be used at the sheathing joint, unless the connection between the coupled studs is designed for the shear transfer between sheathing panels.</w:t>
      </w:r>
    </w:p>
    <w:p w14:paraId="26D619CC" w14:textId="77777777" w:rsidR="0079043C" w:rsidRPr="00132C1E" w:rsidRDefault="0079043C" w:rsidP="0079043C">
      <w:pPr>
        <w:pStyle w:val="a3"/>
        <w:rPr>
          <w:lang w:eastAsia="it-IT"/>
        </w:rPr>
      </w:pPr>
      <w:r w:rsidRPr="00132C1E">
        <w:t xml:space="preserve"> </w:t>
      </w:r>
      <w:bookmarkStart w:id="11385" w:name="_Toc50150761"/>
      <w:bookmarkStart w:id="11386" w:name="_Toc70887194"/>
      <w:bookmarkStart w:id="11387" w:name="_Toc108342793"/>
      <w:bookmarkStart w:id="11388" w:name="_Toc120543879"/>
      <w:bookmarkStart w:id="11389" w:name="_Toc134198300"/>
      <w:r w:rsidRPr="00132C1E">
        <w:t>Overstrength</w:t>
      </w:r>
      <w:bookmarkEnd w:id="11385"/>
      <w:bookmarkEnd w:id="11386"/>
      <w:bookmarkEnd w:id="11387"/>
      <w:bookmarkEnd w:id="11388"/>
      <w:bookmarkEnd w:id="11389"/>
    </w:p>
    <w:p w14:paraId="7EA87AE1" w14:textId="2E2CBAC7" w:rsidR="0079043C" w:rsidRPr="00132C1E" w:rsidRDefault="0079043C" w:rsidP="0080187E">
      <w:pPr>
        <w:pStyle w:val="Clause"/>
        <w:numPr>
          <w:ilvl w:val="0"/>
          <w:numId w:val="233"/>
        </w:numPr>
      </w:pPr>
      <w:r w:rsidRPr="00132C1E">
        <w:t xml:space="preserve">The </w:t>
      </w:r>
      <w:r w:rsidRPr="003338DE">
        <w:t xml:space="preserve">non-dissipative </w:t>
      </w:r>
      <w:r w:rsidRPr="00132C1E">
        <w:t>components in a) to e) of the shear wall should be designed with overstrength</w:t>
      </w:r>
      <w:r>
        <w:t>:</w:t>
      </w:r>
    </w:p>
    <w:p w14:paraId="207EFD6E" w14:textId="77777777" w:rsidR="0079043C" w:rsidRPr="00132C1E" w:rsidRDefault="0079043C" w:rsidP="00B15DDF">
      <w:pPr>
        <w:pStyle w:val="Text"/>
        <w:numPr>
          <w:ilvl w:val="0"/>
          <w:numId w:val="725"/>
        </w:numPr>
        <w:spacing w:after="200"/>
      </w:pPr>
      <w:r w:rsidRPr="00132C1E">
        <w:t>the wood sheathing;</w:t>
      </w:r>
    </w:p>
    <w:p w14:paraId="42CD29D2" w14:textId="77777777" w:rsidR="0079043C" w:rsidRPr="00132C1E" w:rsidRDefault="0079043C" w:rsidP="00B15DDF">
      <w:pPr>
        <w:pStyle w:val="Text"/>
        <w:numPr>
          <w:ilvl w:val="0"/>
          <w:numId w:val="725"/>
        </w:numPr>
        <w:spacing w:after="200"/>
        <w:rPr>
          <w:rFonts w:eastAsia="Cambria"/>
          <w:szCs w:val="22"/>
        </w:rPr>
      </w:pPr>
      <w:r w:rsidRPr="00132C1E">
        <w:t>chord studs or other compressed vertical boundary elements at the ends of the wall;</w:t>
      </w:r>
    </w:p>
    <w:p w14:paraId="53CA345B" w14:textId="77777777" w:rsidR="0079043C" w:rsidRPr="00132C1E" w:rsidRDefault="0079043C" w:rsidP="00B15DDF">
      <w:pPr>
        <w:pStyle w:val="Text"/>
        <w:numPr>
          <w:ilvl w:val="0"/>
          <w:numId w:val="725"/>
        </w:numPr>
        <w:spacing w:after="200"/>
      </w:pPr>
      <w:r w:rsidRPr="00132C1E">
        <w:t>tracks;</w:t>
      </w:r>
    </w:p>
    <w:p w14:paraId="0F476373" w14:textId="77777777" w:rsidR="0079043C" w:rsidRPr="0074042F" w:rsidRDefault="0079043C" w:rsidP="00B15DDF">
      <w:pPr>
        <w:pStyle w:val="Text"/>
        <w:numPr>
          <w:ilvl w:val="0"/>
          <w:numId w:val="725"/>
        </w:numPr>
        <w:spacing w:after="200"/>
      </w:pPr>
      <w:r w:rsidRPr="0074042F">
        <w:t>hold-downs and tension anchorages and their connections or other tensioned vertical boundary elements at the ends of wall;</w:t>
      </w:r>
    </w:p>
    <w:p w14:paraId="40BEE4D4" w14:textId="77777777" w:rsidR="0079043C" w:rsidRPr="0074042F" w:rsidRDefault="0079043C" w:rsidP="00B15DDF">
      <w:pPr>
        <w:pStyle w:val="Text"/>
        <w:numPr>
          <w:ilvl w:val="0"/>
          <w:numId w:val="725"/>
        </w:numPr>
        <w:spacing w:after="200"/>
      </w:pPr>
      <w:r w:rsidRPr="0074042F">
        <w:t>all other components and connections in the wall.</w:t>
      </w:r>
    </w:p>
    <w:p w14:paraId="765D7FBD" w14:textId="77777777" w:rsidR="0079043C" w:rsidRPr="0074042F" w:rsidRDefault="0079043C" w:rsidP="0080187E">
      <w:pPr>
        <w:pStyle w:val="Clause"/>
        <w:numPr>
          <w:ilvl w:val="0"/>
          <w:numId w:val="233"/>
        </w:numPr>
      </w:pPr>
      <w:r w:rsidRPr="0074042F">
        <w:t>In DC2, non-dissipative components in a) to e) of the shear wall with wood sheathing should be designed in accordance with 11.14.3(1).</w:t>
      </w:r>
    </w:p>
    <w:p w14:paraId="7BFA76FC" w14:textId="77777777" w:rsidR="0079043C" w:rsidRPr="0074042F" w:rsidRDefault="0079043C" w:rsidP="0080187E">
      <w:pPr>
        <w:pStyle w:val="Clause"/>
        <w:numPr>
          <w:ilvl w:val="0"/>
          <w:numId w:val="233"/>
        </w:numPr>
      </w:pPr>
      <w:r w:rsidRPr="0074042F">
        <w:t xml:space="preserve">In DC3, non-dissipative components in a) to e) of the shear wall with wood sheathing should be designed to resist the total action effect </w:t>
      </w:r>
      <w:r w:rsidRPr="0074042F">
        <w:rPr>
          <w:i/>
          <w:iCs/>
        </w:rPr>
        <w:t>E</w:t>
      </w:r>
      <w:r w:rsidRPr="0074042F">
        <w:rPr>
          <w:vertAlign w:val="subscript"/>
        </w:rPr>
        <w:t>Ed</w:t>
      </w:r>
      <w:r w:rsidRPr="0074042F">
        <w:t xml:space="preserve"> from Formula (F.17).</w:t>
      </w:r>
    </w:p>
    <w:p w14:paraId="3673DA85" w14:textId="3E127BE7" w:rsidR="00C52067" w:rsidRDefault="009B5CEC" w:rsidP="00C52067">
      <w:pPr>
        <w:pStyle w:val="Formula"/>
        <w:spacing w:before="240"/>
      </w:pPr>
      <m:oMath>
        <m:sSub>
          <m:sSubPr>
            <m:ctrlPr>
              <w:rPr>
                <w:rFonts w:ascii="Cambria Math" w:hAnsi="Cambria Math"/>
              </w:rPr>
            </m:ctrlPr>
          </m:sSubPr>
          <m:e>
            <m:r>
              <w:rPr>
                <w:rFonts w:ascii="Cambria Math" w:hAnsi="Cambria Math"/>
              </w:rPr>
              <m:t>E</m:t>
            </m:r>
          </m:e>
          <m:sub>
            <m:r>
              <m:rPr>
                <m:sty m:val="p"/>
              </m:rPr>
              <w:rPr>
                <w:rFonts w:ascii="Cambria Math" w:hAnsi="Cambria Math"/>
              </w:rPr>
              <m:t>Ed</m:t>
            </m:r>
          </m:sub>
        </m:sSub>
        <m:r>
          <w:rPr>
            <w:rFonts w:ascii="Cambria Math" w:hAnsi="Cambria Math"/>
          </w:rPr>
          <m:t>=</m:t>
        </m:r>
        <m:sSub>
          <m:sSubPr>
            <m:ctrlPr>
              <w:rPr>
                <w:rFonts w:ascii="Cambria Math" w:hAnsi="Cambria Math"/>
              </w:rPr>
            </m:ctrlPr>
          </m:sSubPr>
          <m:e>
            <m:r>
              <w:rPr>
                <w:rFonts w:ascii="Cambria Math" w:hAnsi="Cambria Math"/>
              </w:rPr>
              <m:t>E</m:t>
            </m:r>
          </m:e>
          <m:sub>
            <m:r>
              <m:rPr>
                <m:sty m:val="p"/>
              </m:rPr>
              <w:rPr>
                <w:rFonts w:ascii="Cambria Math" w:hAnsi="Cambria Math"/>
              </w:rPr>
              <m:t>Ed,G</m:t>
            </m:r>
          </m:sub>
        </m:sSub>
        <m:r>
          <w:rPr>
            <w:rFonts w:ascii="Cambria Math" w:hAnsi="Cambria Math"/>
          </w:rPr>
          <m:t xml:space="preserve"> "+" </m:t>
        </m:r>
        <m:sSub>
          <m:sSubPr>
            <m:ctrlPr>
              <w:rPr>
                <w:rFonts w:ascii="Cambria Math" w:hAnsi="Cambria Math"/>
              </w:rPr>
            </m:ctrlPr>
          </m:sSubPr>
          <m:e>
            <m:r>
              <w:rPr>
                <w:rFonts w:ascii="Cambria Math" w:hAnsi="Cambria Math"/>
              </w:rPr>
              <m:t>2 E</m:t>
            </m:r>
          </m:e>
          <m:sub>
            <m:r>
              <m:rPr>
                <m:sty m:val="p"/>
              </m:rPr>
              <w:rPr>
                <w:rFonts w:ascii="Cambria Math" w:hAnsi="Cambria Math"/>
              </w:rPr>
              <m:t>Rc,Rd</m:t>
            </m:r>
            <m:r>
              <w:rPr>
                <w:rFonts w:ascii="Cambria Math" w:hAnsi="Cambria Math"/>
              </w:rPr>
              <m:t xml:space="preserve"> </m:t>
            </m:r>
          </m:sub>
        </m:sSub>
      </m:oMath>
      <w:r w:rsidR="00C52067" w:rsidRPr="00870D59">
        <w:tab/>
        <w:t>(</w:t>
      </w:r>
      <w:r w:rsidR="00C52067">
        <w:t>F</w:t>
      </w:r>
      <w:r w:rsidR="00C52067" w:rsidRPr="00870D59">
        <w:t>.</w:t>
      </w:r>
      <w:r w:rsidR="00C52067">
        <w:t>17</w:t>
      </w:r>
      <w:r w:rsidR="00C52067" w:rsidRPr="00870D59">
        <w:t>)</w:t>
      </w:r>
    </w:p>
    <w:p w14:paraId="439F9119" w14:textId="77777777" w:rsidR="0084348D" w:rsidRDefault="0084348D" w:rsidP="0084348D">
      <w:pPr>
        <w:pStyle w:val="Text"/>
      </w:pPr>
      <w:r>
        <w:t>where</w:t>
      </w:r>
    </w:p>
    <w:tbl>
      <w:tblPr>
        <w:tblW w:w="0" w:type="auto"/>
        <w:tblInd w:w="346" w:type="dxa"/>
        <w:tblLook w:val="04A0" w:firstRow="1" w:lastRow="0" w:firstColumn="1" w:lastColumn="0" w:noHBand="0" w:noVBand="1"/>
      </w:tblPr>
      <w:tblGrid>
        <w:gridCol w:w="1275"/>
        <w:gridCol w:w="7938"/>
      </w:tblGrid>
      <w:tr w:rsidR="0084348D" w:rsidRPr="00870D59" w14:paraId="4FC5B049" w14:textId="77777777" w:rsidTr="00B15DDF">
        <w:tc>
          <w:tcPr>
            <w:tcW w:w="1275" w:type="dxa"/>
          </w:tcPr>
          <w:p w14:paraId="5B8E543B" w14:textId="77777777" w:rsidR="0084348D" w:rsidRPr="00460668" w:rsidRDefault="0084348D" w:rsidP="002061E5">
            <w:pPr>
              <w:spacing w:after="60"/>
              <w:rPr>
                <w:rFonts w:eastAsia="Times New Roman" w:cs="Cambria"/>
                <w:szCs w:val="20"/>
                <w:lang w:eastAsia="fr-FR"/>
              </w:rPr>
            </w:pPr>
            <w:r w:rsidRPr="0074042F">
              <w:rPr>
                <w:i/>
                <w:iCs/>
                <w:lang w:eastAsia="it-IT"/>
              </w:rPr>
              <w:t>E</w:t>
            </w:r>
            <w:r w:rsidRPr="00F26D30">
              <w:rPr>
                <w:vertAlign w:val="subscript"/>
                <w:lang w:eastAsia="it-IT"/>
              </w:rPr>
              <w:t>Ed,G</w:t>
            </w:r>
          </w:p>
        </w:tc>
        <w:tc>
          <w:tcPr>
            <w:tcW w:w="7938" w:type="dxa"/>
          </w:tcPr>
          <w:p w14:paraId="7E4247B4" w14:textId="77777777" w:rsidR="0084348D" w:rsidRPr="00870D59" w:rsidRDefault="0084348D" w:rsidP="002061E5">
            <w:pPr>
              <w:spacing w:after="60"/>
              <w:rPr>
                <w:rFonts w:eastAsia="Times New Roman" w:cs="Cambria"/>
                <w:szCs w:val="20"/>
                <w:lang w:eastAsia="fr-FR"/>
              </w:rPr>
            </w:pPr>
            <w:r w:rsidRPr="0074042F">
              <w:rPr>
                <w:lang w:eastAsia="it-IT"/>
              </w:rPr>
              <w:t>is the action effect due to the non-seismic actions in the seismic design situation;</w:t>
            </w:r>
          </w:p>
        </w:tc>
      </w:tr>
      <w:tr w:rsidR="0084348D" w:rsidRPr="00870D59" w14:paraId="121FEBC6" w14:textId="77777777" w:rsidTr="00B15DDF">
        <w:tc>
          <w:tcPr>
            <w:tcW w:w="1275" w:type="dxa"/>
          </w:tcPr>
          <w:p w14:paraId="6E08CFEF" w14:textId="77777777" w:rsidR="0084348D" w:rsidRPr="00132C1E" w:rsidRDefault="0084348D" w:rsidP="002061E5">
            <w:pPr>
              <w:spacing w:after="60"/>
              <w:rPr>
                <w:i/>
                <w:lang w:eastAsia="it-IT"/>
              </w:rPr>
            </w:pPr>
            <w:r w:rsidRPr="0074042F">
              <w:rPr>
                <w:i/>
                <w:iCs/>
                <w:lang w:eastAsia="it-IT"/>
              </w:rPr>
              <w:t>E</w:t>
            </w:r>
            <w:r w:rsidRPr="00F26D30">
              <w:rPr>
                <w:vertAlign w:val="subscript"/>
                <w:lang w:eastAsia="it-IT"/>
              </w:rPr>
              <w:t>Rc,Rd</w:t>
            </w:r>
          </w:p>
        </w:tc>
        <w:tc>
          <w:tcPr>
            <w:tcW w:w="7938" w:type="dxa"/>
          </w:tcPr>
          <w:p w14:paraId="631E07D9" w14:textId="77777777" w:rsidR="0084348D" w:rsidRDefault="0084348D" w:rsidP="002061E5">
            <w:pPr>
              <w:spacing w:after="60"/>
              <w:rPr>
                <w:lang w:eastAsia="it-IT"/>
              </w:rPr>
            </w:pPr>
            <w:r w:rsidRPr="0074042F">
              <w:t xml:space="preserve">is the action effect due to the design resistance </w:t>
            </w:r>
            <w:r w:rsidRPr="00F26D30">
              <w:rPr>
                <w:i/>
                <w:iCs/>
              </w:rPr>
              <w:t>R</w:t>
            </w:r>
            <w:r w:rsidRPr="00AA7DAF">
              <w:rPr>
                <w:vertAlign w:val="subscript"/>
              </w:rPr>
              <w:t>c</w:t>
            </w:r>
            <w:r w:rsidRPr="00F26D30">
              <w:t>,</w:t>
            </w:r>
            <w:r w:rsidRPr="004B502C">
              <w:rPr>
                <w:i/>
                <w:iCs/>
                <w:vertAlign w:val="subscript"/>
              </w:rPr>
              <w:t>R</w:t>
            </w:r>
            <w:r w:rsidRPr="00C52067">
              <w:rPr>
                <w:vertAlign w:val="subscript"/>
              </w:rPr>
              <w:t>d</w:t>
            </w:r>
            <w:r w:rsidRPr="0074042F">
              <w:t xml:space="preserve"> of the member-to-wood sheathing connections;</w:t>
            </w:r>
          </w:p>
        </w:tc>
      </w:tr>
      <w:tr w:rsidR="0084348D" w:rsidRPr="00870D59" w14:paraId="2477F1B7" w14:textId="77777777" w:rsidTr="00B15DDF">
        <w:tc>
          <w:tcPr>
            <w:tcW w:w="1275" w:type="dxa"/>
          </w:tcPr>
          <w:p w14:paraId="6DA4B988" w14:textId="77777777" w:rsidR="0084348D" w:rsidRPr="00132C1E" w:rsidRDefault="0084348D" w:rsidP="002061E5">
            <w:pPr>
              <w:spacing w:after="60"/>
              <w:rPr>
                <w:i/>
                <w:lang w:eastAsia="it-IT"/>
              </w:rPr>
            </w:pPr>
            <w:r w:rsidRPr="0074042F">
              <w:t>"+"</w:t>
            </w:r>
          </w:p>
        </w:tc>
        <w:tc>
          <w:tcPr>
            <w:tcW w:w="7938" w:type="dxa"/>
          </w:tcPr>
          <w:p w14:paraId="636E95DC" w14:textId="77777777" w:rsidR="0084348D" w:rsidRPr="00132C1E" w:rsidRDefault="0084348D" w:rsidP="002061E5">
            <w:pPr>
              <w:spacing w:after="60"/>
              <w:rPr>
                <w:lang w:eastAsia="it-IT"/>
              </w:rPr>
            </w:pPr>
            <w:r w:rsidRPr="0074042F">
              <w:t>means combined with + or – sign.</w:t>
            </w:r>
          </w:p>
        </w:tc>
      </w:tr>
    </w:tbl>
    <w:p w14:paraId="075E2279" w14:textId="490BE3D4" w:rsidR="0084348D" w:rsidRPr="0084348D" w:rsidRDefault="0084348D" w:rsidP="00357B79">
      <w:pPr>
        <w:spacing w:after="60" w:line="240" w:lineRule="auto"/>
        <w:rPr>
          <w:rFonts w:eastAsia="Times New Roman" w:cs="Calibri"/>
          <w:b/>
          <w:bCs/>
          <w:i/>
          <w:iCs/>
          <w:sz w:val="20"/>
          <w:szCs w:val="20"/>
          <w:u w:val="single"/>
        </w:rPr>
      </w:pPr>
      <w:r w:rsidRPr="0084348D">
        <w:rPr>
          <w:rFonts w:eastAsia="Times New Roman" w:cs="Calibri"/>
          <w:sz w:val="20"/>
          <w:szCs w:val="20"/>
        </w:rPr>
        <w:t>NOTE</w:t>
      </w:r>
      <w:r w:rsidRPr="0084348D">
        <w:rPr>
          <w:rFonts w:eastAsia="Times New Roman" w:cs="Calibri"/>
          <w:sz w:val="20"/>
          <w:szCs w:val="20"/>
        </w:rPr>
        <w:tab/>
        <w:t xml:space="preserve">The design resistance </w:t>
      </w:r>
      <w:r w:rsidRPr="004B502C">
        <w:rPr>
          <w:rFonts w:eastAsia="Times New Roman" w:cs="Calibri"/>
          <w:i/>
          <w:iCs/>
          <w:sz w:val="20"/>
          <w:szCs w:val="20"/>
        </w:rPr>
        <w:t>R</w:t>
      </w:r>
      <w:r w:rsidRPr="0084348D">
        <w:rPr>
          <w:rFonts w:eastAsia="Times New Roman" w:cs="Calibri"/>
          <w:position w:val="-2"/>
          <w:sz w:val="20"/>
          <w:szCs w:val="20"/>
          <w:vertAlign w:val="subscript"/>
        </w:rPr>
        <w:t>c,Rd</w:t>
      </w:r>
      <w:r w:rsidRPr="0084348D">
        <w:rPr>
          <w:rFonts w:eastAsia="Times New Roman" w:cs="Calibri"/>
          <w:sz w:val="20"/>
          <w:szCs w:val="20"/>
        </w:rPr>
        <w:t xml:space="preserve"> of the member-to-wood sheathing connections </w:t>
      </w:r>
      <w:r w:rsidR="004A3AE0">
        <w:rPr>
          <w:rFonts w:eastAsia="Times New Roman" w:cs="Calibri"/>
          <w:sz w:val="20"/>
          <w:szCs w:val="20"/>
        </w:rPr>
        <w:t>can</w:t>
      </w:r>
      <w:r w:rsidRPr="0084348D">
        <w:rPr>
          <w:rFonts w:eastAsia="Times New Roman" w:cs="Calibri"/>
          <w:sz w:val="20"/>
          <w:szCs w:val="20"/>
        </w:rPr>
        <w:t xml:space="preserve"> be calculated </w:t>
      </w:r>
      <w:r w:rsidR="004A3AE0">
        <w:rPr>
          <w:rFonts w:eastAsia="Times New Roman" w:cs="Calibri"/>
          <w:sz w:val="20"/>
          <w:szCs w:val="20"/>
        </w:rPr>
        <w:t>with</w:t>
      </w:r>
      <w:r w:rsidRPr="0084348D">
        <w:rPr>
          <w:rFonts w:eastAsia="Times New Roman" w:cs="Calibri"/>
          <w:sz w:val="20"/>
          <w:szCs w:val="20"/>
        </w:rPr>
        <w:t xml:space="preserve"> Formula</w:t>
      </w:r>
      <w:r w:rsidR="00B15DDF">
        <w:rPr>
          <w:rFonts w:eastAsia="Times New Roman" w:cs="Calibri"/>
          <w:sz w:val="20"/>
          <w:szCs w:val="20"/>
        </w:rPr>
        <w:t> </w:t>
      </w:r>
      <w:r w:rsidRPr="0084348D">
        <w:rPr>
          <w:rFonts w:eastAsia="Times New Roman" w:cs="Calibri"/>
          <w:sz w:val="20"/>
          <w:szCs w:val="20"/>
        </w:rPr>
        <w:t xml:space="preserve">(11.13) in </w:t>
      </w:r>
      <w:r w:rsidR="005662B1">
        <w:rPr>
          <w:rFonts w:eastAsia="Times New Roman" w:cs="Calibri"/>
          <w:sz w:val="20"/>
          <w:szCs w:val="20"/>
        </w:rPr>
        <w:t>pr</w:t>
      </w:r>
      <w:r w:rsidR="00C30FF9">
        <w:rPr>
          <w:rFonts w:eastAsia="Times New Roman" w:cs="Calibri"/>
          <w:sz w:val="20"/>
          <w:szCs w:val="20"/>
        </w:rPr>
        <w:t>EN 1</w:t>
      </w:r>
      <w:r w:rsidRPr="0084348D">
        <w:rPr>
          <w:rFonts w:eastAsia="Times New Roman" w:cs="Calibri"/>
          <w:sz w:val="20"/>
          <w:szCs w:val="20"/>
        </w:rPr>
        <w:t>995-1-1:202</w:t>
      </w:r>
      <w:r w:rsidR="009715ED">
        <w:rPr>
          <w:rFonts w:eastAsia="Times New Roman" w:cs="Calibri"/>
          <w:sz w:val="20"/>
          <w:szCs w:val="20"/>
        </w:rPr>
        <w:t>3</w:t>
      </w:r>
      <w:r>
        <w:rPr>
          <w:rFonts w:eastAsia="Times New Roman" w:cs="Calibri"/>
          <w:sz w:val="20"/>
          <w:szCs w:val="20"/>
        </w:rPr>
        <w:t>,</w:t>
      </w:r>
      <w:r w:rsidRPr="0084348D">
        <w:rPr>
          <w:rFonts w:eastAsia="Times New Roman" w:cs="Calibri"/>
          <w:sz w:val="20"/>
          <w:szCs w:val="20"/>
        </w:rPr>
        <w:t xml:space="preserve"> 11.2.3.</w:t>
      </w:r>
    </w:p>
    <w:p w14:paraId="77A37863" w14:textId="77777777" w:rsidR="00AA7DAF" w:rsidRDefault="00AA7DAF" w:rsidP="00AA7DAF">
      <w:pPr>
        <w:pStyle w:val="a2"/>
      </w:pPr>
      <w:bookmarkStart w:id="11390" w:name="_Toc50150762"/>
      <w:bookmarkStart w:id="11391" w:name="_Toc70887195"/>
      <w:bookmarkStart w:id="11392" w:name="_Toc108342794"/>
      <w:bookmarkStart w:id="11393" w:name="_Toc134198301"/>
      <w:r w:rsidRPr="00132C1E">
        <w:t>Shear walls with gypsum sheathing</w:t>
      </w:r>
      <w:bookmarkEnd w:id="11390"/>
      <w:bookmarkEnd w:id="11391"/>
      <w:bookmarkEnd w:id="11392"/>
      <w:bookmarkEnd w:id="11393"/>
    </w:p>
    <w:p w14:paraId="554E5C42" w14:textId="77777777" w:rsidR="00AA7DAF" w:rsidRPr="0074042F" w:rsidRDefault="00AA7DAF" w:rsidP="00AA7DAF">
      <w:pPr>
        <w:pStyle w:val="a3"/>
      </w:pPr>
      <w:bookmarkStart w:id="11394" w:name="_Toc108342795"/>
      <w:bookmarkStart w:id="11395" w:name="_Toc120543881"/>
      <w:bookmarkStart w:id="11396" w:name="_Toc134198302"/>
      <w:r w:rsidRPr="0074042F">
        <w:t>Geometrical and mechanical provisions for the components and parts</w:t>
      </w:r>
      <w:r w:rsidRPr="0074042F">
        <w:rPr>
          <w:rFonts w:ascii="Arial" w:eastAsia="Times New Roman" w:hAnsi="Arial" w:cs="Times New Roman"/>
          <w:b w:val="0"/>
          <w:sz w:val="22"/>
          <w:lang w:eastAsia="en-US"/>
        </w:rPr>
        <w:t xml:space="preserve"> </w:t>
      </w:r>
      <w:r w:rsidRPr="0074042F">
        <w:t>for dissipative DC2 and DC3 structural behaviour</w:t>
      </w:r>
      <w:bookmarkEnd w:id="11394"/>
      <w:bookmarkEnd w:id="11395"/>
      <w:bookmarkEnd w:id="11396"/>
    </w:p>
    <w:p w14:paraId="723C0B4F" w14:textId="1CA48F91" w:rsidR="00AA7DAF" w:rsidRPr="0074042F" w:rsidRDefault="00AA7DAF" w:rsidP="0080187E">
      <w:pPr>
        <w:pStyle w:val="Clause"/>
        <w:numPr>
          <w:ilvl w:val="0"/>
          <w:numId w:val="234"/>
        </w:numPr>
      </w:pPr>
      <w:r w:rsidRPr="0074042F">
        <w:t>a) to j) should be satisfied (see Figure F.</w:t>
      </w:r>
      <w:r w:rsidR="005B69A1">
        <w:t>4</w:t>
      </w:r>
      <w:r w:rsidRPr="0074042F">
        <w:t>):</w:t>
      </w:r>
    </w:p>
    <w:p w14:paraId="048ACBCA" w14:textId="0AB5609B" w:rsidR="00AA7DAF" w:rsidRPr="00196951" w:rsidRDefault="00AA7DAF" w:rsidP="00B15DDF">
      <w:pPr>
        <w:pStyle w:val="Text"/>
        <w:numPr>
          <w:ilvl w:val="0"/>
          <w:numId w:val="726"/>
        </w:numPr>
        <w:spacing w:after="200"/>
      </w:pPr>
      <w:r w:rsidRPr="00196951">
        <w:t>gypsum panel sheathing (EN</w:t>
      </w:r>
      <w:r w:rsidR="00BC6739">
        <w:t> </w:t>
      </w:r>
      <w:r w:rsidRPr="00196951">
        <w:t>520) should have a thickness of 12,5 mm;</w:t>
      </w:r>
    </w:p>
    <w:p w14:paraId="5BB8C20C" w14:textId="2A3B6959" w:rsidR="00AA7DAF" w:rsidRPr="002144A0" w:rsidRDefault="00AA7DAF" w:rsidP="00B15DDF">
      <w:pPr>
        <w:pStyle w:val="Text"/>
        <w:numPr>
          <w:ilvl w:val="0"/>
          <w:numId w:val="726"/>
        </w:numPr>
        <w:spacing w:after="200"/>
      </w:pPr>
      <w:r w:rsidRPr="002144A0">
        <w:t>the thickness of steel frame elements should be greater than 0,9 mm;</w:t>
      </w:r>
    </w:p>
    <w:p w14:paraId="59F93301" w14:textId="00F9E9B4" w:rsidR="00AA7DAF" w:rsidRPr="007754C9" w:rsidRDefault="00AA7DAF" w:rsidP="00B15DDF">
      <w:pPr>
        <w:pStyle w:val="Text"/>
        <w:numPr>
          <w:ilvl w:val="0"/>
          <w:numId w:val="726"/>
        </w:numPr>
        <w:spacing w:after="200"/>
      </w:pPr>
      <w:r w:rsidRPr="004F25D7">
        <w:t xml:space="preserve">studs and tracks should have nominal yield strength </w:t>
      </w:r>
      <w:r w:rsidRPr="00C52095">
        <w:rPr>
          <w:i/>
        </w:rPr>
        <w:t>f</w:t>
      </w:r>
      <w:r w:rsidRPr="00C52095">
        <w:rPr>
          <w:vertAlign w:val="subscript"/>
        </w:rPr>
        <w:t>y</w:t>
      </w:r>
      <w:r w:rsidRPr="00C52095">
        <w:t xml:space="preserve"> of 220 MPa for members with thickness less than 1,4 mm, and of 350 MPa for those with thickness equal or greater than 1,4 mm;</w:t>
      </w:r>
    </w:p>
    <w:p w14:paraId="482695BD" w14:textId="68A7971E" w:rsidR="00AA7DAF" w:rsidRPr="00FB05C0" w:rsidRDefault="00AA7DAF" w:rsidP="00B15DDF">
      <w:pPr>
        <w:pStyle w:val="Text"/>
        <w:numPr>
          <w:ilvl w:val="0"/>
          <w:numId w:val="726"/>
        </w:numPr>
        <w:spacing w:after="200"/>
        <w:rPr>
          <w:color w:val="000000" w:themeColor="text1"/>
        </w:rPr>
      </w:pPr>
      <w:r w:rsidRPr="00132C1E">
        <w:t xml:space="preserve">screw </w:t>
      </w:r>
      <w:r w:rsidRPr="00FB05C0">
        <w:rPr>
          <w:color w:val="000000" w:themeColor="text1"/>
        </w:rPr>
        <w:t xml:space="preserve">spacing </w:t>
      </w:r>
      <w:r w:rsidRPr="00FB05C0">
        <w:rPr>
          <w:i/>
          <w:iCs/>
          <w:color w:val="000000" w:themeColor="text1"/>
        </w:rPr>
        <w:t>s</w:t>
      </w:r>
      <w:r w:rsidRPr="00FB05C0">
        <w:rPr>
          <w:color w:val="000000" w:themeColor="text1"/>
        </w:rPr>
        <w:t xml:space="preserve"> at panel edges should be in the range from 50 mm to 150 mm;</w:t>
      </w:r>
    </w:p>
    <w:p w14:paraId="0B4B4E7A" w14:textId="0B492BE1" w:rsidR="00AA7DAF" w:rsidRPr="00FB05C0" w:rsidRDefault="00AA7DAF" w:rsidP="00B15DDF">
      <w:pPr>
        <w:pStyle w:val="Text"/>
        <w:numPr>
          <w:ilvl w:val="0"/>
          <w:numId w:val="726"/>
        </w:numPr>
        <w:spacing w:after="200"/>
        <w:rPr>
          <w:color w:val="000000" w:themeColor="text1"/>
        </w:rPr>
      </w:pPr>
      <w:r w:rsidRPr="00FB05C0">
        <w:rPr>
          <w:color w:val="000000" w:themeColor="text1"/>
        </w:rPr>
        <w:t xml:space="preserve">screw spacing </w:t>
      </w:r>
      <w:r w:rsidRPr="00FB05C0">
        <w:rPr>
          <w:i/>
          <w:iCs/>
          <w:color w:val="000000" w:themeColor="text1"/>
        </w:rPr>
        <w:t>s</w:t>
      </w:r>
      <w:r w:rsidRPr="00FB05C0">
        <w:rPr>
          <w:color w:val="000000" w:themeColor="text1"/>
        </w:rPr>
        <w:t xml:space="preserve"> in the panel field should be not more than 300 mm;</w:t>
      </w:r>
    </w:p>
    <w:p w14:paraId="630E577D" w14:textId="77777777" w:rsidR="00AA7DAF" w:rsidRPr="00FB05C0" w:rsidRDefault="00AA7DAF" w:rsidP="00B15DDF">
      <w:pPr>
        <w:pStyle w:val="Text"/>
        <w:numPr>
          <w:ilvl w:val="0"/>
          <w:numId w:val="726"/>
        </w:numPr>
        <w:spacing w:after="200"/>
        <w:rPr>
          <w:color w:val="000000" w:themeColor="text1"/>
        </w:rPr>
      </w:pPr>
      <w:r w:rsidRPr="00FB05C0">
        <w:rPr>
          <w:color w:val="000000" w:themeColor="text1"/>
        </w:rPr>
        <w:t>sheathing screws should have nominal diametre of 4,2 mm and minimum head diametre of 7,2 mm;</w:t>
      </w:r>
    </w:p>
    <w:p w14:paraId="383F46F4" w14:textId="77777777" w:rsidR="00AA7DAF" w:rsidRPr="00FB05C0" w:rsidRDefault="00AA7DAF" w:rsidP="00B15DDF">
      <w:pPr>
        <w:pStyle w:val="Text"/>
        <w:numPr>
          <w:ilvl w:val="0"/>
          <w:numId w:val="726"/>
        </w:numPr>
        <w:spacing w:after="200"/>
        <w:rPr>
          <w:color w:val="000000" w:themeColor="text1"/>
        </w:rPr>
      </w:pPr>
      <w:r w:rsidRPr="00FB05C0">
        <w:rPr>
          <w:color w:val="000000" w:themeColor="text1"/>
        </w:rPr>
        <w:t>the end distance from the centre of the screw to the gypsum sheet sheathing edges should be not less than 12,5 mm;</w:t>
      </w:r>
    </w:p>
    <w:p w14:paraId="6E91D1BC" w14:textId="77777777" w:rsidR="00AA7DAF" w:rsidRPr="00FB05C0" w:rsidRDefault="00AA7DAF" w:rsidP="00B15DDF">
      <w:pPr>
        <w:pStyle w:val="Text"/>
        <w:numPr>
          <w:ilvl w:val="0"/>
          <w:numId w:val="726"/>
        </w:numPr>
        <w:spacing w:after="200"/>
        <w:rPr>
          <w:color w:val="000000" w:themeColor="text1"/>
        </w:rPr>
      </w:pPr>
      <w:r w:rsidRPr="00FB05C0">
        <w:rPr>
          <w:color w:val="000000" w:themeColor="text1"/>
        </w:rPr>
        <w:t>Gypsum panels less than 300 mm wide may not be used;</w:t>
      </w:r>
    </w:p>
    <w:p w14:paraId="6B2803FE" w14:textId="77777777" w:rsidR="00AA7DAF" w:rsidRPr="00FB05C0" w:rsidRDefault="00AA7DAF" w:rsidP="00B15DDF">
      <w:pPr>
        <w:pStyle w:val="Text"/>
        <w:numPr>
          <w:ilvl w:val="0"/>
          <w:numId w:val="726"/>
        </w:numPr>
        <w:spacing w:after="200"/>
        <w:rPr>
          <w:color w:val="000000" w:themeColor="text1"/>
        </w:rPr>
      </w:pPr>
      <w:r w:rsidRPr="00FB05C0">
        <w:rPr>
          <w:color w:val="000000" w:themeColor="text1"/>
        </w:rPr>
        <w:t xml:space="preserve">maximum stud spacing </w:t>
      </w:r>
      <w:r w:rsidRPr="00F126F8">
        <w:rPr>
          <w:i/>
          <w:iCs/>
          <w:color w:val="000000" w:themeColor="text1"/>
          <w:lang w:val="en-US"/>
        </w:rPr>
        <w:t>s</w:t>
      </w:r>
      <w:r w:rsidRPr="00F126F8">
        <w:rPr>
          <w:color w:val="000000" w:themeColor="text1"/>
          <w:vertAlign w:val="subscript"/>
          <w:lang w:val="en-US"/>
        </w:rPr>
        <w:t>s</w:t>
      </w:r>
      <w:r w:rsidRPr="00FB05C0">
        <w:rPr>
          <w:color w:val="000000" w:themeColor="text1"/>
        </w:rPr>
        <w:t xml:space="preserve"> should be 600 mm on centre;</w:t>
      </w:r>
    </w:p>
    <w:p w14:paraId="792E1A49" w14:textId="77777777" w:rsidR="00AA7DAF" w:rsidRPr="00132C1E" w:rsidRDefault="00AA7DAF" w:rsidP="00B15DDF">
      <w:pPr>
        <w:pStyle w:val="Text"/>
        <w:numPr>
          <w:ilvl w:val="0"/>
          <w:numId w:val="726"/>
        </w:numPr>
        <w:spacing w:after="200"/>
      </w:pPr>
      <w:r w:rsidRPr="00132C1E">
        <w:t>all sheathing panel edges should be attached to joists or tracks, sheathing panels should be connected without horizontal joints, and where shear walls require multiple vertical sheathing panels, a single stud should be used at the sheathing joint, unless the connection between the coupled studs is designed for the shear transfer between sheathing panels.</w:t>
      </w:r>
    </w:p>
    <w:p w14:paraId="78B35BD3" w14:textId="77777777" w:rsidR="00AA7DAF" w:rsidRPr="00132C1E" w:rsidRDefault="00AA7DAF" w:rsidP="00AA7DAF">
      <w:pPr>
        <w:pStyle w:val="a3"/>
        <w:rPr>
          <w:lang w:eastAsia="it-IT"/>
        </w:rPr>
      </w:pPr>
      <w:bookmarkStart w:id="11397" w:name="_Toc50150764"/>
      <w:bookmarkStart w:id="11398" w:name="_Toc70887197"/>
      <w:bookmarkStart w:id="11399" w:name="_Toc108342796"/>
      <w:bookmarkStart w:id="11400" w:name="_Toc120543882"/>
      <w:bookmarkStart w:id="11401" w:name="_Toc134198303"/>
      <w:r w:rsidRPr="00132C1E">
        <w:t>Overstrength for DC3</w:t>
      </w:r>
      <w:bookmarkEnd w:id="11397"/>
      <w:bookmarkEnd w:id="11398"/>
      <w:bookmarkEnd w:id="11399"/>
      <w:bookmarkEnd w:id="11400"/>
      <w:bookmarkEnd w:id="11401"/>
    </w:p>
    <w:p w14:paraId="13D6B0DB" w14:textId="53E5D30D" w:rsidR="00AA7DAF" w:rsidRDefault="00AA7DAF" w:rsidP="0080187E">
      <w:pPr>
        <w:pStyle w:val="Clause"/>
        <w:numPr>
          <w:ilvl w:val="0"/>
          <w:numId w:val="235"/>
        </w:numPr>
      </w:pPr>
      <w:r>
        <w:t>The components in a) to e) of the shear wall should be designed with overstrength</w:t>
      </w:r>
      <w:r w:rsidR="001A579D">
        <w:t>:</w:t>
      </w:r>
    </w:p>
    <w:p w14:paraId="2E4B7722" w14:textId="77777777" w:rsidR="00AA7DAF" w:rsidRDefault="00AA7DAF" w:rsidP="00B15DDF">
      <w:pPr>
        <w:pStyle w:val="Text"/>
        <w:numPr>
          <w:ilvl w:val="0"/>
          <w:numId w:val="727"/>
        </w:numPr>
        <w:spacing w:after="200"/>
      </w:pPr>
      <w:r>
        <w:t>the gypsum sheathing;</w:t>
      </w:r>
      <w:r w:rsidRPr="00972CBD">
        <w:t xml:space="preserve"> </w:t>
      </w:r>
    </w:p>
    <w:p w14:paraId="20262853" w14:textId="5591A908" w:rsidR="00AA7DAF" w:rsidRDefault="00AA7DAF" w:rsidP="00B15DDF">
      <w:pPr>
        <w:pStyle w:val="Text"/>
        <w:numPr>
          <w:ilvl w:val="0"/>
          <w:numId w:val="727"/>
        </w:numPr>
        <w:spacing w:after="200"/>
      </w:pPr>
      <w:r w:rsidRPr="00972CBD">
        <w:t>chord studs or other compressed vertical boundary elements at the ends of the wall;</w:t>
      </w:r>
    </w:p>
    <w:p w14:paraId="72E5AAE0" w14:textId="77777777" w:rsidR="00AA7DAF" w:rsidRDefault="00AA7DAF" w:rsidP="00B15DDF">
      <w:pPr>
        <w:pStyle w:val="Text"/>
        <w:numPr>
          <w:ilvl w:val="0"/>
          <w:numId w:val="727"/>
        </w:numPr>
        <w:spacing w:after="200"/>
      </w:pPr>
      <w:r w:rsidRPr="00972CBD">
        <w:t>tracks;</w:t>
      </w:r>
    </w:p>
    <w:p w14:paraId="6FD95273" w14:textId="21902C67" w:rsidR="00AA7DAF" w:rsidRDefault="00AA7DAF" w:rsidP="00B15DDF">
      <w:pPr>
        <w:pStyle w:val="Text"/>
        <w:numPr>
          <w:ilvl w:val="0"/>
          <w:numId w:val="727"/>
        </w:numPr>
        <w:spacing w:after="200"/>
      </w:pPr>
      <w:r w:rsidRPr="00972CBD">
        <w:t>hold-downs and tension anchorages and their connections or other tensioned vertical boundary elements at the ends of wall;</w:t>
      </w:r>
    </w:p>
    <w:p w14:paraId="7F3D0860" w14:textId="06689102" w:rsidR="00AA7DAF" w:rsidRDefault="00AA7DAF" w:rsidP="00B15DDF">
      <w:pPr>
        <w:pStyle w:val="Text"/>
        <w:numPr>
          <w:ilvl w:val="0"/>
          <w:numId w:val="727"/>
        </w:numPr>
        <w:spacing w:after="200"/>
      </w:pPr>
      <w:r w:rsidRPr="00972CBD">
        <w:t>all other components and connections in the wall</w:t>
      </w:r>
      <w:r w:rsidR="001A579D">
        <w:t xml:space="preserve"> i</w:t>
      </w:r>
      <w:r w:rsidRPr="00972CBD">
        <w:t>n DC2</w:t>
      </w:r>
      <w:r w:rsidR="00BC6739">
        <w:t>.</w:t>
      </w:r>
    </w:p>
    <w:p w14:paraId="63773BCA" w14:textId="26EECF6B" w:rsidR="00AA7DAF" w:rsidRPr="002E5A42" w:rsidRDefault="001A579D" w:rsidP="0080187E">
      <w:pPr>
        <w:pStyle w:val="Clause"/>
        <w:numPr>
          <w:ilvl w:val="0"/>
          <w:numId w:val="234"/>
        </w:numPr>
      </w:pPr>
      <w:r>
        <w:t>N</w:t>
      </w:r>
      <w:r w:rsidR="00AA7DAF" w:rsidRPr="002E5A42">
        <w:t xml:space="preserve">on-dissipative components in a) to e) of the shear wall with gypsum sheathing should be designed in accordance with </w:t>
      </w:r>
      <w:r w:rsidR="00AA7DAF" w:rsidRPr="00835C82">
        <w:rPr>
          <w:bCs/>
        </w:rPr>
        <w:t>11.14.3(1)</w:t>
      </w:r>
      <w:r w:rsidR="00AA7DAF" w:rsidRPr="002E5A42">
        <w:t>.</w:t>
      </w:r>
    </w:p>
    <w:p w14:paraId="703DAA64" w14:textId="3298132A" w:rsidR="00AA7DAF" w:rsidRPr="002E5A42" w:rsidRDefault="00AA7DAF" w:rsidP="0080187E">
      <w:pPr>
        <w:pStyle w:val="Clause"/>
        <w:numPr>
          <w:ilvl w:val="0"/>
          <w:numId w:val="234"/>
        </w:numPr>
      </w:pPr>
      <w:r w:rsidRPr="002E5A42">
        <w:t xml:space="preserve">In DC3, non-dissipative components in a) to e) of the shear wall with gypsum sheathing should be designed to resist the total action effect </w:t>
      </w:r>
      <w:r w:rsidRPr="002E5A42">
        <w:rPr>
          <w:i/>
          <w:iCs/>
        </w:rPr>
        <w:t>E</w:t>
      </w:r>
      <w:r w:rsidRPr="002E5A42">
        <w:rPr>
          <w:vertAlign w:val="subscript"/>
        </w:rPr>
        <w:t>Ed</w:t>
      </w:r>
      <w:r w:rsidRPr="002E5A42">
        <w:t xml:space="preserve"> from Formula (F.18).</w:t>
      </w:r>
    </w:p>
    <w:p w14:paraId="61EDC44A" w14:textId="5F9DA7E3" w:rsidR="00AA7DAF" w:rsidRDefault="009B5CEC" w:rsidP="00AA7DAF">
      <w:pPr>
        <w:pStyle w:val="Formula"/>
        <w:spacing w:before="240"/>
      </w:pPr>
      <m:oMath>
        <m:sSub>
          <m:sSubPr>
            <m:ctrlPr>
              <w:rPr>
                <w:rFonts w:ascii="Cambria Math" w:hAnsi="Cambria Math"/>
              </w:rPr>
            </m:ctrlPr>
          </m:sSubPr>
          <m:e>
            <m:r>
              <w:rPr>
                <w:rFonts w:ascii="Cambria Math" w:hAnsi="Cambria Math"/>
              </w:rPr>
              <m:t>E</m:t>
            </m:r>
          </m:e>
          <m:sub>
            <m:r>
              <m:rPr>
                <m:sty m:val="p"/>
              </m:rPr>
              <w:rPr>
                <w:rFonts w:ascii="Cambria Math" w:hAnsi="Cambria Math"/>
              </w:rPr>
              <m:t>Ed</m:t>
            </m:r>
          </m:sub>
        </m:sSub>
        <m:r>
          <w:rPr>
            <w:rFonts w:ascii="Cambria Math" w:hAnsi="Cambria Math"/>
          </w:rPr>
          <m:t>=</m:t>
        </m:r>
        <m:sSub>
          <m:sSubPr>
            <m:ctrlPr>
              <w:rPr>
                <w:rFonts w:ascii="Cambria Math" w:hAnsi="Cambria Math"/>
              </w:rPr>
            </m:ctrlPr>
          </m:sSubPr>
          <m:e>
            <m:r>
              <w:rPr>
                <w:rFonts w:ascii="Cambria Math" w:hAnsi="Cambria Math"/>
              </w:rPr>
              <m:t>E</m:t>
            </m:r>
          </m:e>
          <m:sub>
            <m:r>
              <m:rPr>
                <m:sty m:val="p"/>
              </m:rPr>
              <w:rPr>
                <w:rFonts w:ascii="Cambria Math" w:hAnsi="Cambria Math"/>
              </w:rPr>
              <m:t>Ed,G</m:t>
            </m:r>
          </m:sub>
        </m:sSub>
        <m:r>
          <w:rPr>
            <w:rFonts w:ascii="Cambria Math" w:hAnsi="Cambria Math"/>
          </w:rPr>
          <m:t xml:space="preserve"> "+" </m:t>
        </m:r>
        <m:sSub>
          <m:sSubPr>
            <m:ctrlPr>
              <w:rPr>
                <w:rFonts w:ascii="Cambria Math" w:hAnsi="Cambria Math"/>
              </w:rPr>
            </m:ctrlPr>
          </m:sSubPr>
          <m:e>
            <m:r>
              <w:rPr>
                <w:rFonts w:ascii="Cambria Math" w:hAnsi="Cambria Math"/>
              </w:rPr>
              <m:t>2 E</m:t>
            </m:r>
          </m:e>
          <m:sub>
            <m:r>
              <m:rPr>
                <m:sty m:val="p"/>
              </m:rPr>
              <w:rPr>
                <w:rFonts w:ascii="Cambria Math" w:hAnsi="Cambria Math"/>
              </w:rPr>
              <m:t>Rc,Rd</m:t>
            </m:r>
            <m:r>
              <w:rPr>
                <w:rFonts w:ascii="Cambria Math" w:hAnsi="Cambria Math"/>
              </w:rPr>
              <m:t xml:space="preserve"> </m:t>
            </m:r>
          </m:sub>
        </m:sSub>
      </m:oMath>
      <w:r w:rsidR="00AA7DAF" w:rsidRPr="00870D59">
        <w:tab/>
        <w:t>(</w:t>
      </w:r>
      <w:r w:rsidR="00AA7DAF">
        <w:t>F</w:t>
      </w:r>
      <w:r w:rsidR="00AA7DAF" w:rsidRPr="00870D59">
        <w:t>.</w:t>
      </w:r>
      <w:r w:rsidR="00AA7DAF">
        <w:t>18</w:t>
      </w:r>
      <w:r w:rsidR="00AA7DAF" w:rsidRPr="00870D59">
        <w:t>)</w:t>
      </w:r>
    </w:p>
    <w:p w14:paraId="79902648" w14:textId="2349D32F" w:rsidR="00AA7DAF" w:rsidRDefault="00675EBA" w:rsidP="00AA7DAF">
      <w:pPr>
        <w:pStyle w:val="Text"/>
      </w:pPr>
      <w:r>
        <w:t>where</w:t>
      </w:r>
    </w:p>
    <w:tbl>
      <w:tblPr>
        <w:tblW w:w="0" w:type="auto"/>
        <w:tblInd w:w="346" w:type="dxa"/>
        <w:tblLook w:val="04A0" w:firstRow="1" w:lastRow="0" w:firstColumn="1" w:lastColumn="0" w:noHBand="0" w:noVBand="1"/>
      </w:tblPr>
      <w:tblGrid>
        <w:gridCol w:w="1275"/>
        <w:gridCol w:w="7938"/>
      </w:tblGrid>
      <w:tr w:rsidR="00AA7DAF" w:rsidRPr="00870D59" w14:paraId="0EAAFD9C" w14:textId="77777777" w:rsidTr="00B15DDF">
        <w:tc>
          <w:tcPr>
            <w:tcW w:w="1275" w:type="dxa"/>
          </w:tcPr>
          <w:p w14:paraId="2A19A027" w14:textId="77777777" w:rsidR="00AA7DAF" w:rsidRPr="00460668" w:rsidRDefault="00AA7DAF" w:rsidP="002061E5">
            <w:pPr>
              <w:spacing w:after="60"/>
              <w:rPr>
                <w:rFonts w:eastAsia="Times New Roman" w:cs="Cambria"/>
                <w:szCs w:val="20"/>
                <w:lang w:eastAsia="fr-FR"/>
              </w:rPr>
            </w:pPr>
            <w:r w:rsidRPr="0074042F">
              <w:rPr>
                <w:i/>
                <w:iCs/>
                <w:lang w:eastAsia="it-IT"/>
              </w:rPr>
              <w:t>E</w:t>
            </w:r>
            <w:r w:rsidRPr="00F26D30">
              <w:rPr>
                <w:vertAlign w:val="subscript"/>
                <w:lang w:eastAsia="it-IT"/>
              </w:rPr>
              <w:t>Ed,G</w:t>
            </w:r>
          </w:p>
        </w:tc>
        <w:tc>
          <w:tcPr>
            <w:tcW w:w="7938" w:type="dxa"/>
          </w:tcPr>
          <w:p w14:paraId="3421C5B8" w14:textId="77777777" w:rsidR="00AA7DAF" w:rsidRPr="00870D59" w:rsidRDefault="00AA7DAF" w:rsidP="002061E5">
            <w:pPr>
              <w:spacing w:after="60"/>
              <w:rPr>
                <w:rFonts w:eastAsia="Times New Roman" w:cs="Cambria"/>
                <w:szCs w:val="20"/>
                <w:lang w:eastAsia="fr-FR"/>
              </w:rPr>
            </w:pPr>
            <w:r w:rsidRPr="0074042F">
              <w:rPr>
                <w:lang w:eastAsia="it-IT"/>
              </w:rPr>
              <w:t>is the action effect due to the non-seismic actions in the seismic design situation;</w:t>
            </w:r>
          </w:p>
        </w:tc>
      </w:tr>
      <w:tr w:rsidR="00AA7DAF" w:rsidRPr="00870D59" w14:paraId="17811143" w14:textId="77777777" w:rsidTr="00B15DDF">
        <w:tc>
          <w:tcPr>
            <w:tcW w:w="1275" w:type="dxa"/>
          </w:tcPr>
          <w:p w14:paraId="50D01460" w14:textId="77777777" w:rsidR="00AA7DAF" w:rsidRPr="00132C1E" w:rsidRDefault="00AA7DAF" w:rsidP="002061E5">
            <w:pPr>
              <w:spacing w:after="60"/>
              <w:rPr>
                <w:i/>
                <w:lang w:eastAsia="it-IT"/>
              </w:rPr>
            </w:pPr>
            <w:r w:rsidRPr="0074042F">
              <w:rPr>
                <w:i/>
                <w:iCs/>
                <w:lang w:eastAsia="it-IT"/>
              </w:rPr>
              <w:t>E</w:t>
            </w:r>
            <w:r w:rsidRPr="00F26D30">
              <w:rPr>
                <w:vertAlign w:val="subscript"/>
                <w:lang w:eastAsia="it-IT"/>
              </w:rPr>
              <w:t>Rc,Rd</w:t>
            </w:r>
          </w:p>
        </w:tc>
        <w:tc>
          <w:tcPr>
            <w:tcW w:w="7938" w:type="dxa"/>
          </w:tcPr>
          <w:p w14:paraId="59AA8462" w14:textId="3C6CF1D7" w:rsidR="00AA7DAF" w:rsidRDefault="001A579D" w:rsidP="002061E5">
            <w:pPr>
              <w:spacing w:after="60"/>
              <w:rPr>
                <w:lang w:eastAsia="it-IT"/>
              </w:rPr>
            </w:pPr>
            <w:r w:rsidRPr="002E5A42">
              <w:t xml:space="preserve">is the action effect due to the design resistance </w:t>
            </w:r>
            <w:r w:rsidRPr="00F26D30">
              <w:rPr>
                <w:i/>
                <w:iCs/>
              </w:rPr>
              <w:t>R</w:t>
            </w:r>
            <w:r w:rsidRPr="00D46D60">
              <w:rPr>
                <w:vertAlign w:val="subscript"/>
              </w:rPr>
              <w:t>c</w:t>
            </w:r>
            <w:r w:rsidRPr="002E5A42">
              <w:t>,</w:t>
            </w:r>
            <w:r w:rsidRPr="004B502C">
              <w:rPr>
                <w:i/>
                <w:iCs/>
                <w:vertAlign w:val="subscript"/>
              </w:rPr>
              <w:t>R</w:t>
            </w:r>
            <w:r w:rsidRPr="00D46D60">
              <w:rPr>
                <w:vertAlign w:val="subscript"/>
              </w:rPr>
              <w:t>d</w:t>
            </w:r>
            <w:r w:rsidRPr="002E5A42">
              <w:t xml:space="preserve"> of the member-to-</w:t>
            </w:r>
            <w:r w:rsidRPr="001A579D">
              <w:t xml:space="preserve">gypsum </w:t>
            </w:r>
            <w:r w:rsidRPr="002E5A42">
              <w:t>sheathing connections;</w:t>
            </w:r>
          </w:p>
        </w:tc>
      </w:tr>
      <w:tr w:rsidR="00AA7DAF" w:rsidRPr="00870D59" w14:paraId="3EB2B217" w14:textId="77777777" w:rsidTr="00B15DDF">
        <w:tc>
          <w:tcPr>
            <w:tcW w:w="1275" w:type="dxa"/>
          </w:tcPr>
          <w:p w14:paraId="4D7FFDEC" w14:textId="77777777" w:rsidR="00AA7DAF" w:rsidRPr="00132C1E" w:rsidRDefault="00AA7DAF" w:rsidP="002061E5">
            <w:pPr>
              <w:spacing w:after="60"/>
              <w:rPr>
                <w:i/>
                <w:lang w:eastAsia="it-IT"/>
              </w:rPr>
            </w:pPr>
            <w:r w:rsidRPr="0074042F">
              <w:t>"+"</w:t>
            </w:r>
          </w:p>
        </w:tc>
        <w:tc>
          <w:tcPr>
            <w:tcW w:w="7938" w:type="dxa"/>
          </w:tcPr>
          <w:p w14:paraId="423D249F" w14:textId="77777777" w:rsidR="00AA7DAF" w:rsidRPr="00132C1E" w:rsidRDefault="00AA7DAF" w:rsidP="002061E5">
            <w:pPr>
              <w:spacing w:after="60"/>
              <w:rPr>
                <w:lang w:eastAsia="it-IT"/>
              </w:rPr>
            </w:pPr>
            <w:r w:rsidRPr="0074042F">
              <w:t>means combined with + or – sign.</w:t>
            </w:r>
          </w:p>
        </w:tc>
      </w:tr>
    </w:tbl>
    <w:p w14:paraId="22EC1509" w14:textId="0BDD7E87" w:rsidR="0084348D" w:rsidRPr="0084348D" w:rsidRDefault="0084348D" w:rsidP="00B15DDF">
      <w:pPr>
        <w:pStyle w:val="Notetext"/>
        <w:spacing w:before="200"/>
      </w:pPr>
      <w:r w:rsidRPr="0084348D">
        <w:t>NOTE</w:t>
      </w:r>
      <w:r w:rsidRPr="0084348D">
        <w:tab/>
        <w:t xml:space="preserve">The design resistance </w:t>
      </w:r>
      <w:r w:rsidRPr="004B502C">
        <w:rPr>
          <w:i/>
          <w:iCs/>
        </w:rPr>
        <w:t>R</w:t>
      </w:r>
      <w:r w:rsidRPr="0084348D">
        <w:rPr>
          <w:position w:val="-2"/>
          <w:vertAlign w:val="subscript"/>
        </w:rPr>
        <w:t>c,Rd</w:t>
      </w:r>
      <w:r w:rsidRPr="0084348D">
        <w:t xml:space="preserve"> of the member-to-gypsum sheathing connections should be </w:t>
      </w:r>
      <w:r>
        <w:t>calcul</w:t>
      </w:r>
      <w:r w:rsidRPr="0084348D">
        <w:t xml:space="preserve">ated based on either experimental evidence, </w:t>
      </w:r>
      <w:r>
        <w:t xml:space="preserve">or </w:t>
      </w:r>
      <w:r w:rsidRPr="0084348D">
        <w:t xml:space="preserve">past experimental results available in the literature, </w:t>
      </w:r>
      <w:r>
        <w:t xml:space="preserve">or </w:t>
      </w:r>
      <w:r w:rsidRPr="0084348D">
        <w:t>producer certificates,  or refined numerical simulations.</w:t>
      </w:r>
    </w:p>
    <w:p w14:paraId="4213C011" w14:textId="77777777" w:rsidR="0081326B" w:rsidRPr="00132C1E" w:rsidRDefault="0081326B" w:rsidP="0081326B">
      <w:r w:rsidRPr="00132C1E">
        <w:br w:type="page"/>
      </w:r>
    </w:p>
    <w:p w14:paraId="0ABC1D67" w14:textId="168DBA01" w:rsidR="0081326B" w:rsidRPr="00D1484A" w:rsidRDefault="0081326B" w:rsidP="0081326B">
      <w:pPr>
        <w:pStyle w:val="ANNEX"/>
        <w:tabs>
          <w:tab w:val="clear" w:pos="360"/>
        </w:tabs>
        <w:spacing w:before="0"/>
        <w:rPr>
          <w:lang w:eastAsia="en-US"/>
        </w:rPr>
      </w:pPr>
      <w:r w:rsidRPr="00132C1E">
        <w:br/>
      </w:r>
      <w:bookmarkStart w:id="11402" w:name="_Toc50150765"/>
      <w:bookmarkStart w:id="11403" w:name="_Toc70887198"/>
      <w:bookmarkStart w:id="11404" w:name="_Toc108342797"/>
      <w:bookmarkStart w:id="11405" w:name="_Toc134198304"/>
      <w:r w:rsidRPr="0081326B">
        <w:rPr>
          <w:b w:val="0"/>
          <w:bCs/>
        </w:rPr>
        <w:t>(normative)</w:t>
      </w:r>
      <w:r w:rsidRPr="00FB6A3C">
        <w:rPr>
          <w:lang w:eastAsia="en-US"/>
        </w:rPr>
        <w:fldChar w:fldCharType="begin"/>
      </w:r>
      <w:r w:rsidRPr="00132C1E">
        <w:rPr>
          <w:lang w:eastAsia="en-US"/>
        </w:rPr>
        <w:instrText xml:space="preserve">SEQ aaa \h </w:instrText>
      </w:r>
      <w:r w:rsidRPr="00FB6A3C">
        <w:rPr>
          <w:lang w:eastAsia="en-US"/>
        </w:rPr>
        <w:fldChar w:fldCharType="end"/>
      </w:r>
      <w:r w:rsidRPr="00FB6A3C">
        <w:rPr>
          <w:lang w:eastAsia="en-US"/>
        </w:rPr>
        <w:fldChar w:fldCharType="begin"/>
      </w:r>
      <w:r w:rsidRPr="00132C1E">
        <w:rPr>
          <w:lang w:eastAsia="en-US"/>
        </w:rPr>
        <w:instrText xml:space="preserve">SEQ table \r0\h </w:instrText>
      </w:r>
      <w:r w:rsidRPr="00FB6A3C">
        <w:rPr>
          <w:lang w:eastAsia="en-US"/>
        </w:rPr>
        <w:fldChar w:fldCharType="end"/>
      </w:r>
      <w:r w:rsidRPr="00FB6A3C">
        <w:rPr>
          <w:lang w:eastAsia="en-US"/>
        </w:rPr>
        <w:fldChar w:fldCharType="begin"/>
      </w:r>
      <w:r w:rsidRPr="00132C1E">
        <w:rPr>
          <w:lang w:eastAsia="en-US"/>
        </w:rPr>
        <w:instrText xml:space="preserve">SEQ figure \r0\h </w:instrText>
      </w:r>
      <w:r w:rsidRPr="00FB6A3C">
        <w:rPr>
          <w:lang w:eastAsia="en-US"/>
        </w:rPr>
        <w:fldChar w:fldCharType="end"/>
      </w:r>
      <w:r w:rsidRPr="00FB6A3C">
        <w:rPr>
          <w:lang w:eastAsia="en-US"/>
        </w:rPr>
        <w:fldChar w:fldCharType="begin"/>
      </w:r>
      <w:r w:rsidRPr="00132C1E">
        <w:rPr>
          <w:lang w:eastAsia="en-US"/>
        </w:rPr>
        <w:instrText xml:space="preserve"> SEQ Equation_annex \r0\h </w:instrText>
      </w:r>
      <w:r w:rsidRPr="00FB6A3C">
        <w:rPr>
          <w:lang w:eastAsia="en-US"/>
        </w:rPr>
        <w:fldChar w:fldCharType="end"/>
      </w:r>
      <w:r w:rsidRPr="00132C1E">
        <w:br/>
      </w:r>
      <w:r w:rsidRPr="00132C1E">
        <w:br/>
      </w:r>
      <w:r>
        <w:t>D</w:t>
      </w:r>
      <w:r w:rsidRPr="0081326B">
        <w:t>esign of connections of concrete or composite columns for dissipative composite steel-concrete moment resisting frames</w:t>
      </w:r>
      <w:bookmarkEnd w:id="11402"/>
      <w:bookmarkEnd w:id="11403"/>
      <w:bookmarkEnd w:id="11404"/>
      <w:bookmarkEnd w:id="11405"/>
    </w:p>
    <w:p w14:paraId="6DC0A7FF" w14:textId="4C1B824D" w:rsidR="0081326B" w:rsidRPr="005C4343" w:rsidRDefault="0081326B" w:rsidP="0081326B">
      <w:pPr>
        <w:pStyle w:val="a2"/>
      </w:pPr>
      <w:bookmarkStart w:id="11406" w:name="_Toc50150766"/>
      <w:bookmarkStart w:id="11407" w:name="_Toc70887199"/>
      <w:bookmarkStart w:id="11408" w:name="_Toc108342798"/>
      <w:bookmarkStart w:id="11409" w:name="_Toc134198305"/>
      <w:r w:rsidRPr="005C4343">
        <w:t xml:space="preserve">Use of this </w:t>
      </w:r>
      <w:r w:rsidR="00801BE0">
        <w:t>normative a</w:t>
      </w:r>
      <w:r w:rsidRPr="005C4343">
        <w:t>nnex</w:t>
      </w:r>
      <w:bookmarkEnd w:id="11406"/>
      <w:bookmarkEnd w:id="11407"/>
      <w:bookmarkEnd w:id="11408"/>
      <w:bookmarkEnd w:id="11409"/>
    </w:p>
    <w:p w14:paraId="12F9C897" w14:textId="45A61E8E" w:rsidR="0081326B" w:rsidRPr="00023CAE" w:rsidRDefault="0081326B" w:rsidP="0080187E">
      <w:pPr>
        <w:pStyle w:val="Clause"/>
        <w:numPr>
          <w:ilvl w:val="0"/>
          <w:numId w:val="591"/>
        </w:numPr>
        <w:rPr>
          <w:rFonts w:eastAsia="Cambria"/>
        </w:rPr>
      </w:pPr>
      <w:r w:rsidRPr="00FD17CF">
        <w:t>This Normative Annex contains additional provisions to</w:t>
      </w:r>
      <w:r w:rsidR="00835C82">
        <w:t xml:space="preserve"> Clause</w:t>
      </w:r>
      <w:r w:rsidRPr="00FD17CF">
        <w:t xml:space="preserve"> </w:t>
      </w:r>
      <w:r w:rsidRPr="00835C82">
        <w:t>12</w:t>
      </w:r>
      <w:r w:rsidRPr="00196951">
        <w:t xml:space="preserve"> for composite buildings.</w:t>
      </w:r>
    </w:p>
    <w:p w14:paraId="13911283" w14:textId="5E221140" w:rsidR="0081326B" w:rsidRPr="00C56E7A" w:rsidRDefault="00801BE0" w:rsidP="0081326B">
      <w:pPr>
        <w:pStyle w:val="a2"/>
      </w:pPr>
      <w:bookmarkStart w:id="11410" w:name="_Toc134198306"/>
      <w:r>
        <w:t xml:space="preserve">Scope and </w:t>
      </w:r>
      <w:bookmarkStart w:id="11411" w:name="_Toc108342799"/>
      <w:r>
        <w:t>f</w:t>
      </w:r>
      <w:r w:rsidR="0081326B" w:rsidRPr="00C56E7A">
        <w:t>ield of application</w:t>
      </w:r>
      <w:bookmarkEnd w:id="11411"/>
      <w:bookmarkEnd w:id="11410"/>
    </w:p>
    <w:p w14:paraId="3F7FF445" w14:textId="518E10DC" w:rsidR="0081326B" w:rsidRPr="00132C1E" w:rsidRDefault="0081326B" w:rsidP="0080187E">
      <w:pPr>
        <w:pStyle w:val="Clause"/>
        <w:numPr>
          <w:ilvl w:val="0"/>
          <w:numId w:val="592"/>
        </w:numPr>
      </w:pPr>
      <w:r w:rsidRPr="00C52095">
        <w:t xml:space="preserve">This annex should be used for the design, fabrication and quality criteria of full-strength composite connections of dissipative composite steel or steel beams to composite or concrete columns in composite </w:t>
      </w:r>
      <w:r w:rsidR="00274699">
        <w:t>steel-concrete</w:t>
      </w:r>
      <w:r w:rsidRPr="00132C1E">
        <w:t xml:space="preserve"> moment resisting frames designed to DC2 and DC3 </w:t>
      </w:r>
      <w:r w:rsidRPr="0081326B">
        <w:t>in</w:t>
      </w:r>
      <w:r w:rsidR="00835C82">
        <w:t xml:space="preserve"> Clauses</w:t>
      </w:r>
      <w:r w:rsidRPr="0081326B">
        <w:t xml:space="preserve"> </w:t>
      </w:r>
      <w:r w:rsidRPr="00835C82">
        <w:t>11</w:t>
      </w:r>
      <w:r w:rsidRPr="0081326B">
        <w:t xml:space="preserve"> and </w:t>
      </w:r>
      <w:r w:rsidRPr="00835C82">
        <w:t>12</w:t>
      </w:r>
      <w:r w:rsidRPr="00132C1E">
        <w:t>.</w:t>
      </w:r>
    </w:p>
    <w:p w14:paraId="2ACADC40" w14:textId="77777777" w:rsidR="0081326B" w:rsidRPr="00132C1E" w:rsidRDefault="0081326B" w:rsidP="0081326B">
      <w:pPr>
        <w:pStyle w:val="a2"/>
      </w:pPr>
      <w:bookmarkStart w:id="11412" w:name="_Toc50150768"/>
      <w:bookmarkStart w:id="11413" w:name="_Toc70887201"/>
      <w:bookmarkStart w:id="11414" w:name="_Toc108342800"/>
      <w:bookmarkStart w:id="11415" w:name="_Toc134198307"/>
      <w:r w:rsidRPr="00132C1E">
        <w:t>Materials</w:t>
      </w:r>
      <w:bookmarkEnd w:id="11412"/>
      <w:bookmarkEnd w:id="11413"/>
      <w:bookmarkEnd w:id="11414"/>
      <w:bookmarkEnd w:id="11415"/>
    </w:p>
    <w:p w14:paraId="43704D47" w14:textId="0737BA10" w:rsidR="0081326B" w:rsidRPr="005C7237" w:rsidRDefault="0081326B" w:rsidP="0080187E">
      <w:pPr>
        <w:pStyle w:val="Clause"/>
        <w:numPr>
          <w:ilvl w:val="0"/>
          <w:numId w:val="593"/>
        </w:numPr>
      </w:pPr>
      <w:r w:rsidRPr="005C7237">
        <w:t xml:space="preserve">All bolts should be of 10.9 class according </w:t>
      </w:r>
      <w:r w:rsidRPr="0081326B">
        <w:t>to pr</w:t>
      </w:r>
      <w:r w:rsidR="00C30FF9">
        <w:t>EN 1</w:t>
      </w:r>
      <w:r w:rsidRPr="0081326B">
        <w:t xml:space="preserve">993-1-8:2021, </w:t>
      </w:r>
      <w:r w:rsidRPr="00835C82">
        <w:t>3.1.1</w:t>
      </w:r>
      <w:r w:rsidRPr="005C7237">
        <w:t>.</w:t>
      </w:r>
    </w:p>
    <w:p w14:paraId="46518851" w14:textId="77777777" w:rsidR="0081326B" w:rsidRPr="00132C1E" w:rsidRDefault="0081326B" w:rsidP="0081326B">
      <w:pPr>
        <w:pStyle w:val="a2"/>
      </w:pPr>
      <w:bookmarkStart w:id="11416" w:name="_Toc50150769"/>
      <w:bookmarkStart w:id="11417" w:name="_Toc70887202"/>
      <w:bookmarkStart w:id="11418" w:name="_Toc108342801"/>
      <w:bookmarkStart w:id="11419" w:name="_Toc134198308"/>
      <w:r w:rsidRPr="00132C1E">
        <w:t>Design provisions</w:t>
      </w:r>
      <w:bookmarkEnd w:id="11416"/>
      <w:bookmarkEnd w:id="11417"/>
      <w:bookmarkEnd w:id="11418"/>
      <w:bookmarkEnd w:id="11419"/>
    </w:p>
    <w:p w14:paraId="40E75801" w14:textId="48311FCE" w:rsidR="0081326B" w:rsidRPr="00196951" w:rsidRDefault="0081326B" w:rsidP="0080187E">
      <w:pPr>
        <w:pStyle w:val="Clause"/>
        <w:numPr>
          <w:ilvl w:val="0"/>
          <w:numId w:val="594"/>
        </w:numPr>
      </w:pPr>
      <w:r w:rsidRPr="00132C1E">
        <w:t xml:space="preserve">The distance of the plastic hinge location from the face of the column, </w:t>
      </w:r>
      <m:oMath>
        <m:sSub>
          <m:sSubPr>
            <m:ctrlPr>
              <w:rPr>
                <w:rFonts w:ascii="Cambria Math" w:hAnsi="Cambria Math"/>
                <w:i/>
              </w:rPr>
            </m:ctrlPr>
          </m:sSubPr>
          <m:e>
            <m:r>
              <w:rPr>
                <w:rFonts w:ascii="Cambria Math" w:hAnsi="Cambria Math"/>
              </w:rPr>
              <m:t>s</m:t>
            </m:r>
          </m:e>
          <m:sub>
            <m:r>
              <m:rPr>
                <m:sty m:val="p"/>
              </m:rPr>
              <w:rPr>
                <w:rFonts w:ascii="Cambria Math" w:hAnsi="Cambria Math"/>
              </w:rPr>
              <m:t>h</m:t>
            </m:r>
          </m:sub>
        </m:sSub>
      </m:oMath>
      <w:r w:rsidRPr="00132C1E">
        <w:t xml:space="preserve">, should be taken in accordance with the provisions for the individual connection </w:t>
      </w:r>
      <w:r w:rsidRPr="00D1484A">
        <w:t xml:space="preserve">according </w:t>
      </w:r>
      <w:r w:rsidRPr="0081326B">
        <w:t>to</w:t>
      </w:r>
      <w:r w:rsidRPr="00835C82">
        <w:t xml:space="preserve"> </w:t>
      </w:r>
      <w:r w:rsidRPr="0081326B">
        <w:t>Annex E,</w:t>
      </w:r>
      <w:r w:rsidRPr="00835C82">
        <w:t xml:space="preserve"> E.3.2.2</w:t>
      </w:r>
      <w:r w:rsidRPr="00196951">
        <w:t>.</w:t>
      </w:r>
    </w:p>
    <w:p w14:paraId="0627EA45" w14:textId="38653F2E" w:rsidR="0081326B" w:rsidRPr="00132C1E" w:rsidRDefault="0081326B" w:rsidP="00724E4E">
      <w:pPr>
        <w:pStyle w:val="Clause"/>
      </w:pPr>
      <w:r w:rsidRPr="002144A0">
        <w:t xml:space="preserve">For the moment resistance of full-strength composite connections </w:t>
      </w:r>
      <w:r w:rsidRPr="0081326B">
        <w:t xml:space="preserve">Annex E, </w:t>
      </w:r>
      <w:r w:rsidRPr="00835C82">
        <w:t>E.3.2.2</w:t>
      </w:r>
      <w:r w:rsidRPr="0081326B">
        <w:t xml:space="preserve"> </w:t>
      </w:r>
      <w:r w:rsidRPr="00132C1E">
        <w:t>should be applied.</w:t>
      </w:r>
    </w:p>
    <w:p w14:paraId="44530C9E" w14:textId="32E7E1CB" w:rsidR="0081326B" w:rsidRPr="007754C9" w:rsidRDefault="0081326B" w:rsidP="00724E4E">
      <w:pPr>
        <w:pStyle w:val="Clause"/>
      </w:pPr>
      <w:r w:rsidRPr="00132C1E">
        <w:t xml:space="preserve">Full-strength composite connections should be designed for the design bending resistance </w:t>
      </w:r>
      <m:oMath>
        <m:sSub>
          <m:sSubPr>
            <m:ctrlPr>
              <w:rPr>
                <w:rFonts w:ascii="Cambria Math" w:hAnsi="Cambria Math"/>
                <w:i/>
              </w:rPr>
            </m:ctrlPr>
          </m:sSubPr>
          <m:e>
            <m:r>
              <w:rPr>
                <w:rFonts w:ascii="Cambria Math" w:hAnsi="Cambria Math"/>
              </w:rPr>
              <m:t>M</m:t>
            </m:r>
          </m:e>
          <m:sub>
            <m:r>
              <m:rPr>
                <m:sty m:val="p"/>
              </m:rPr>
              <w:rPr>
                <w:rFonts w:ascii="Cambria Math" w:hAnsi="Cambria Math"/>
              </w:rPr>
              <m:t>c,d</m:t>
            </m:r>
          </m:sub>
        </m:sSub>
      </m:oMath>
      <w:r w:rsidRPr="00132C1E">
        <w:t xml:space="preserve"> as defined </w:t>
      </w:r>
      <w:r w:rsidRPr="0081326B">
        <w:t xml:space="preserve">in Annex E, </w:t>
      </w:r>
      <w:r w:rsidRPr="00835C82">
        <w:t>E.3.2.2</w:t>
      </w:r>
      <w:r w:rsidRPr="0081326B">
        <w:t xml:space="preserve">. In </w:t>
      </w:r>
      <w:r w:rsidRPr="00E05E29">
        <w:t xml:space="preserve">composite steel beams the nominal bending resistance under positive moment should be calculated according to </w:t>
      </w:r>
      <w:r w:rsidRPr="00835C82">
        <w:t>12.8.6.2</w:t>
      </w:r>
      <w:r w:rsidRPr="0081326B">
        <w:t xml:space="preserve"> and </w:t>
      </w:r>
      <w:r w:rsidR="00A76494">
        <w:t>prEN 1994-1-1:</w:t>
      </w:r>
      <w:r w:rsidR="002E3AAB">
        <w:t>—</w:t>
      </w:r>
      <w:r w:rsidRPr="0081326B">
        <w:t>,</w:t>
      </w:r>
      <w:r w:rsidR="00345284">
        <w:t xml:space="preserve"> </w:t>
      </w:r>
      <w:r w:rsidR="00055612">
        <w:t>8.3.2.</w:t>
      </w:r>
    </w:p>
    <w:p w14:paraId="4117E20A" w14:textId="77777777" w:rsidR="0081326B" w:rsidRPr="00132C1E" w:rsidRDefault="0081326B" w:rsidP="0081326B">
      <w:pPr>
        <w:pStyle w:val="a2"/>
      </w:pPr>
      <w:bookmarkStart w:id="11420" w:name="_Toc50150771"/>
      <w:bookmarkStart w:id="11421" w:name="_Toc70887204"/>
      <w:bookmarkStart w:id="11422" w:name="_Toc108342802"/>
      <w:bookmarkStart w:id="11423" w:name="_Toc134198309"/>
      <w:r w:rsidRPr="00132C1E">
        <w:t>Joints between steel beams and reinforced concrete or composite columns</w:t>
      </w:r>
      <w:bookmarkEnd w:id="11420"/>
      <w:bookmarkEnd w:id="11421"/>
      <w:bookmarkEnd w:id="11422"/>
      <w:bookmarkEnd w:id="11423"/>
    </w:p>
    <w:p w14:paraId="4C476EE7" w14:textId="77777777" w:rsidR="0081326B" w:rsidRPr="00132C1E" w:rsidRDefault="0081326B" w:rsidP="0081326B">
      <w:pPr>
        <w:pStyle w:val="a3"/>
      </w:pPr>
      <w:bookmarkStart w:id="11424" w:name="_Toc50150772"/>
      <w:bookmarkStart w:id="11425" w:name="_Toc70887205"/>
      <w:bookmarkStart w:id="11426" w:name="_Toc108342803"/>
      <w:bookmarkStart w:id="11427" w:name="_Toc120543889"/>
      <w:bookmarkStart w:id="11428" w:name="_Toc134198310"/>
      <w:r w:rsidRPr="00132C1E">
        <w:t>General</w:t>
      </w:r>
      <w:bookmarkEnd w:id="11424"/>
      <w:bookmarkEnd w:id="11425"/>
      <w:bookmarkEnd w:id="11426"/>
      <w:bookmarkEnd w:id="11427"/>
      <w:bookmarkEnd w:id="11428"/>
    </w:p>
    <w:p w14:paraId="6B766284" w14:textId="476FA9D5" w:rsidR="0081326B" w:rsidRPr="00ED3069" w:rsidRDefault="0081326B" w:rsidP="0080187E">
      <w:pPr>
        <w:pStyle w:val="Clause"/>
        <w:numPr>
          <w:ilvl w:val="0"/>
          <w:numId w:val="595"/>
        </w:numPr>
      </w:pPr>
      <w:r w:rsidRPr="00ED3069">
        <w:t xml:space="preserve">The joint aspect ratio </w:t>
      </w:r>
      <m:oMath>
        <m:sSub>
          <m:sSubPr>
            <m:ctrlPr>
              <w:rPr>
                <w:rFonts w:ascii="Cambria Math" w:hAnsi="Cambria Math"/>
                <w:i/>
              </w:rPr>
            </m:ctrlPr>
          </m:sSubPr>
          <m:e>
            <m:r>
              <w:rPr>
                <w:rFonts w:ascii="Cambria Math" w:hAnsi="Cambria Math"/>
              </w:rPr>
              <m:t>h</m:t>
            </m:r>
          </m:e>
          <m:sub>
            <m:r>
              <m:rPr>
                <m:sty m:val="p"/>
              </m:rPr>
              <w:rPr>
                <w:rFonts w:ascii="Cambria Math" w:hAnsi="Cambria Math"/>
              </w:rPr>
              <m:t>c</m:t>
            </m:r>
          </m:sub>
        </m:sSub>
        <m:r>
          <w:rPr>
            <w:rFonts w:ascii="Cambria Math" w:hAnsi="Cambria Math"/>
          </w:rPr>
          <m:t>/</m:t>
        </m:r>
        <m:sSub>
          <m:sSubPr>
            <m:ctrlPr>
              <w:rPr>
                <w:rFonts w:ascii="Cambria Math" w:hAnsi="Cambria Math"/>
                <w:i/>
              </w:rPr>
            </m:ctrlPr>
          </m:sSubPr>
          <m:e>
            <m:r>
              <w:rPr>
                <w:rFonts w:ascii="Cambria Math" w:hAnsi="Cambria Math"/>
              </w:rPr>
              <m:t>h</m:t>
            </m:r>
          </m:e>
          <m:sub>
            <m:r>
              <m:rPr>
                <m:sty m:val="p"/>
              </m:rPr>
              <w:rPr>
                <w:rFonts w:ascii="Cambria Math" w:hAnsi="Cambria Math"/>
              </w:rPr>
              <m:t>b</m:t>
            </m:r>
          </m:sub>
        </m:sSub>
      </m:oMath>
      <w:r w:rsidRPr="00ED3069">
        <w:t xml:space="preserve"> should satisfy: </w:t>
      </w:r>
      <m:oMath>
        <m:r>
          <w:rPr>
            <w:rFonts w:ascii="Cambria Math" w:hAnsi="Cambria Math"/>
          </w:rPr>
          <m:t>0,5≤</m:t>
        </m:r>
        <m:sSub>
          <m:sSubPr>
            <m:ctrlPr>
              <w:rPr>
                <w:rFonts w:ascii="Cambria Math" w:hAnsi="Cambria Math"/>
                <w:i/>
              </w:rPr>
            </m:ctrlPr>
          </m:sSubPr>
          <m:e>
            <m:r>
              <w:rPr>
                <w:rFonts w:ascii="Cambria Math" w:hAnsi="Cambria Math"/>
              </w:rPr>
              <m:t>h</m:t>
            </m:r>
          </m:e>
          <m:sub>
            <m:r>
              <m:rPr>
                <m:sty m:val="p"/>
              </m:rPr>
              <w:rPr>
                <w:rFonts w:ascii="Cambria Math" w:hAnsi="Cambria Math"/>
              </w:rPr>
              <m:t>c</m:t>
            </m:r>
          </m:sub>
        </m:sSub>
        <m:r>
          <w:rPr>
            <w:rFonts w:ascii="Cambria Math" w:hAnsi="Cambria Math"/>
          </w:rPr>
          <m:t>/</m:t>
        </m:r>
        <m:sSub>
          <m:sSubPr>
            <m:ctrlPr>
              <w:rPr>
                <w:rFonts w:ascii="Cambria Math" w:hAnsi="Cambria Math"/>
                <w:i/>
              </w:rPr>
            </m:ctrlPr>
          </m:sSubPr>
          <m:e>
            <m:r>
              <w:rPr>
                <w:rFonts w:ascii="Cambria Math" w:hAnsi="Cambria Math"/>
              </w:rPr>
              <m:t>h</m:t>
            </m:r>
          </m:e>
          <m:sub>
            <m:r>
              <m:rPr>
                <m:sty m:val="p"/>
              </m:rPr>
              <w:rPr>
                <w:rFonts w:ascii="Cambria Math" w:hAnsi="Cambria Math"/>
              </w:rPr>
              <m:t>b</m:t>
            </m:r>
          </m:sub>
        </m:sSub>
        <m:r>
          <w:rPr>
            <w:rFonts w:ascii="Cambria Math" w:hAnsi="Cambria Math"/>
          </w:rPr>
          <m:t>≤1,5</m:t>
        </m:r>
      </m:oMath>
      <w:r w:rsidRPr="00ED3069">
        <w:t>, where:</w:t>
      </w:r>
    </w:p>
    <w:tbl>
      <w:tblPr>
        <w:tblW w:w="0" w:type="auto"/>
        <w:tblInd w:w="-100" w:type="dxa"/>
        <w:tblCellMar>
          <w:left w:w="100" w:type="dxa"/>
        </w:tblCellMar>
        <w:tblLook w:val="0000" w:firstRow="0" w:lastRow="0" w:firstColumn="0" w:lastColumn="0" w:noHBand="0" w:noVBand="0"/>
      </w:tblPr>
      <w:tblGrid>
        <w:gridCol w:w="438"/>
        <w:gridCol w:w="8676"/>
      </w:tblGrid>
      <w:tr w:rsidR="00B15DDF" w:rsidRPr="00B15DDF" w14:paraId="7AC82D2A" w14:textId="77777777" w:rsidTr="00B15DDF">
        <w:tc>
          <w:tcPr>
            <w:tcW w:w="0" w:type="auto"/>
            <w:shd w:val="clear" w:color="auto" w:fill="auto"/>
          </w:tcPr>
          <w:p w14:paraId="54A637C5" w14:textId="77777777" w:rsidR="00B15DDF" w:rsidRPr="00B15DDF" w:rsidRDefault="009B5CEC" w:rsidP="00B15DDF">
            <w:pPr>
              <w:pStyle w:val="Tablebody"/>
              <w:spacing w:after="120"/>
            </w:pPr>
            <m:oMathPara>
              <m:oMath>
                <m:sSub>
                  <m:sSubPr>
                    <m:ctrlPr>
                      <w:rPr>
                        <w:rFonts w:ascii="Cambria Math" w:hAnsi="Cambria Math"/>
                        <w:i/>
                      </w:rPr>
                    </m:ctrlPr>
                  </m:sSubPr>
                  <m:e>
                    <m:r>
                      <w:rPr>
                        <w:rFonts w:ascii="Cambria Math" w:hAnsi="Cambria Math"/>
                      </w:rPr>
                      <m:t>h</m:t>
                    </m:r>
                  </m:e>
                  <m:sub>
                    <m:r>
                      <m:rPr>
                        <m:sty m:val="p"/>
                      </m:rPr>
                      <w:rPr>
                        <w:rFonts w:ascii="Cambria Math" w:hAnsi="Cambria Math"/>
                      </w:rPr>
                      <m:t>c</m:t>
                    </m:r>
                  </m:sub>
                </m:sSub>
              </m:oMath>
            </m:oMathPara>
          </w:p>
        </w:tc>
        <w:tc>
          <w:tcPr>
            <w:tcW w:w="0" w:type="auto"/>
            <w:shd w:val="clear" w:color="auto" w:fill="auto"/>
          </w:tcPr>
          <w:p w14:paraId="07B66187" w14:textId="77777777" w:rsidR="00B15DDF" w:rsidRPr="00B15DDF" w:rsidRDefault="00B15DDF" w:rsidP="00B15DDF">
            <w:pPr>
              <w:pStyle w:val="Tablebody"/>
              <w:spacing w:after="120"/>
            </w:pPr>
            <w:r w:rsidRPr="00B15DDF">
              <w:t>is the depth of the concrete or composite column in the plane of the beam (see Figure G.1</w:t>
            </w:r>
            <w:r w:rsidRPr="00B15DDF">
              <w:rPr>
                <w:bCs/>
                <w:color w:val="000000" w:themeColor="text1"/>
                <w:szCs w:val="22"/>
              </w:rPr>
              <w:t>)</w:t>
            </w:r>
            <w:r w:rsidRPr="00B15DDF">
              <w:t>;</w:t>
            </w:r>
          </w:p>
        </w:tc>
      </w:tr>
      <w:tr w:rsidR="00B15DDF" w:rsidRPr="00B15DDF" w14:paraId="0143E1BD" w14:textId="77777777" w:rsidTr="00B15DDF">
        <w:tc>
          <w:tcPr>
            <w:tcW w:w="0" w:type="auto"/>
            <w:shd w:val="clear" w:color="auto" w:fill="auto"/>
          </w:tcPr>
          <w:p w14:paraId="6C799C24" w14:textId="77777777" w:rsidR="00B15DDF" w:rsidRPr="00B15DDF" w:rsidRDefault="009B5CEC" w:rsidP="00B15DDF">
            <w:pPr>
              <w:pStyle w:val="Tablebody"/>
              <w:spacing w:after="120"/>
            </w:pPr>
            <m:oMathPara>
              <m:oMath>
                <m:sSub>
                  <m:sSubPr>
                    <m:ctrlPr>
                      <w:rPr>
                        <w:rFonts w:ascii="Cambria Math" w:hAnsi="Cambria Math"/>
                        <w:i/>
                      </w:rPr>
                    </m:ctrlPr>
                  </m:sSubPr>
                  <m:e>
                    <m:r>
                      <w:rPr>
                        <w:rFonts w:ascii="Cambria Math" w:hAnsi="Cambria Math"/>
                      </w:rPr>
                      <m:t>h</m:t>
                    </m:r>
                  </m:e>
                  <m:sub>
                    <m:r>
                      <m:rPr>
                        <m:sty m:val="p"/>
                      </m:rPr>
                      <w:rPr>
                        <w:rFonts w:ascii="Cambria Math" w:hAnsi="Cambria Math"/>
                      </w:rPr>
                      <m:t>b</m:t>
                    </m:r>
                  </m:sub>
                </m:sSub>
              </m:oMath>
            </m:oMathPara>
          </w:p>
        </w:tc>
        <w:tc>
          <w:tcPr>
            <w:tcW w:w="0" w:type="auto"/>
            <w:shd w:val="clear" w:color="auto" w:fill="auto"/>
          </w:tcPr>
          <w:p w14:paraId="106802E6" w14:textId="77777777" w:rsidR="00B15DDF" w:rsidRPr="00B15DDF" w:rsidRDefault="00B15DDF" w:rsidP="00B15DDF">
            <w:pPr>
              <w:pStyle w:val="Tablebody"/>
              <w:spacing w:after="120"/>
            </w:pPr>
            <w:r w:rsidRPr="00B15DDF">
              <w:t>is the depth of the steel beam (see Figure G.1</w:t>
            </w:r>
            <w:r w:rsidRPr="00B15DDF">
              <w:rPr>
                <w:bCs/>
                <w:szCs w:val="22"/>
              </w:rPr>
              <w:t>)</w:t>
            </w:r>
            <w:r w:rsidRPr="00B15DDF">
              <w:t>.</w:t>
            </w:r>
          </w:p>
        </w:tc>
      </w:tr>
    </w:tbl>
    <w:p w14:paraId="156BF1FA" w14:textId="7BC732E7" w:rsidR="0081326B" w:rsidRPr="002144A0" w:rsidRDefault="0081326B" w:rsidP="00724E4E">
      <w:pPr>
        <w:pStyle w:val="Clause"/>
      </w:pPr>
      <w:r w:rsidRPr="00196951">
        <w:t xml:space="preserve">Width-to-thickness ratios of the flanges and web of the beam should satisfy the requirements of section classification and structure ductility class </w:t>
      </w:r>
      <w:r w:rsidRPr="0081326B">
        <w:t>in Table 11.</w:t>
      </w:r>
      <w:r w:rsidR="00C606A0">
        <w:t>8</w:t>
      </w:r>
      <w:r w:rsidRPr="002144A0">
        <w:t>.</w:t>
      </w:r>
    </w:p>
    <w:p w14:paraId="692EC6BB" w14:textId="5A4D420B" w:rsidR="0081326B" w:rsidRPr="00132C1E" w:rsidRDefault="0081326B" w:rsidP="00724E4E">
      <w:pPr>
        <w:pStyle w:val="Clause"/>
      </w:pPr>
      <w:r w:rsidRPr="004F25D7">
        <w:t xml:space="preserve">Lateral bracing of beams should be provided according to </w:t>
      </w:r>
      <w:r w:rsidRPr="00835C82">
        <w:t xml:space="preserve">12.8.6 </w:t>
      </w:r>
      <w:r w:rsidRPr="0081326B">
        <w:t xml:space="preserve">and </w:t>
      </w:r>
      <w:r w:rsidRPr="00835C82">
        <w:t>12.9</w:t>
      </w:r>
      <w:r w:rsidRPr="007754C9">
        <w:t>.</w:t>
      </w:r>
    </w:p>
    <w:p w14:paraId="428AD5A4" w14:textId="60EB8EBD" w:rsidR="0081326B" w:rsidRPr="00D1484A" w:rsidRDefault="0081326B" w:rsidP="00724E4E">
      <w:pPr>
        <w:pStyle w:val="Clause"/>
      </w:pPr>
      <w:r w:rsidRPr="00132C1E">
        <w:t>The protected zone should consist of the portion of the composite steel or steel beam between the face of the column and 1,5</w:t>
      </w:r>
      <m:oMath>
        <m:sSub>
          <m:sSubPr>
            <m:ctrlPr>
              <w:rPr>
                <w:rFonts w:ascii="Cambria Math" w:hAnsi="Cambria Math"/>
                <w:i/>
              </w:rPr>
            </m:ctrlPr>
          </m:sSubPr>
          <m:e>
            <m:r>
              <w:rPr>
                <w:rFonts w:ascii="Cambria Math" w:hAnsi="Cambria Math"/>
              </w:rPr>
              <m:t>h</m:t>
            </m:r>
          </m:e>
          <m:sub>
            <m:r>
              <m:rPr>
                <m:sty m:val="p"/>
              </m:rPr>
              <w:rPr>
                <w:rFonts w:ascii="Cambria Math" w:hAnsi="Cambria Math"/>
              </w:rPr>
              <m:t>b</m:t>
            </m:r>
          </m:sub>
        </m:sSub>
      </m:oMath>
      <w:r w:rsidRPr="00132C1E">
        <w:t xml:space="preserve"> from it.</w:t>
      </w:r>
    </w:p>
    <w:p w14:paraId="6332C905" w14:textId="47CFD455" w:rsidR="0081326B" w:rsidRPr="00196951" w:rsidRDefault="0081326B" w:rsidP="00724E4E">
      <w:pPr>
        <w:pStyle w:val="Clause"/>
      </w:pPr>
      <w:r w:rsidRPr="00D1484A">
        <w:t>Beam-to-column panel zone</w:t>
      </w:r>
      <w:r w:rsidRPr="007E6F67">
        <w:t xml:space="preserve"> joints</w:t>
      </w:r>
      <w:r w:rsidRPr="00FD17CF">
        <w:t xml:space="preserve"> should conform </w:t>
      </w:r>
      <w:r w:rsidRPr="0081326B">
        <w:t xml:space="preserve">to </w:t>
      </w:r>
      <w:r w:rsidRPr="00835C82">
        <w:t>12.9.6</w:t>
      </w:r>
      <w:r w:rsidRPr="00196951">
        <w:t>.</w:t>
      </w:r>
    </w:p>
    <w:p w14:paraId="2E56B9DB" w14:textId="0B119B65" w:rsidR="0081326B" w:rsidRPr="00C52095" w:rsidRDefault="0081326B" w:rsidP="00724E4E">
      <w:pPr>
        <w:pStyle w:val="Clause"/>
      </w:pPr>
      <w:r w:rsidRPr="002144A0">
        <w:t xml:space="preserve">Face bearing plates as shown </w:t>
      </w:r>
      <w:r w:rsidRPr="0081326B">
        <w:t xml:space="preserve">in Figure G.1, should </w:t>
      </w:r>
      <w:r w:rsidRPr="00C52095">
        <w:t>be used on all beams that frame into columns and transfer moment demands through the joint.</w:t>
      </w:r>
    </w:p>
    <w:p w14:paraId="5024D5C2" w14:textId="3D83355A" w:rsidR="0081326B" w:rsidRPr="002144A0" w:rsidRDefault="0081326B" w:rsidP="00724E4E">
      <w:pPr>
        <w:pStyle w:val="Clause"/>
      </w:pPr>
      <w:r w:rsidRPr="007754C9">
        <w:t xml:space="preserve">Face bearing plates should be within the beam depth, with a minimum depth, </w:t>
      </w:r>
      <m:oMath>
        <m:sSub>
          <m:sSubPr>
            <m:ctrlPr>
              <w:rPr>
                <w:rFonts w:ascii="Cambria Math" w:hAnsi="Cambria Math"/>
                <w:i/>
              </w:rPr>
            </m:ctrlPr>
          </m:sSubPr>
          <m:e>
            <m:r>
              <w:rPr>
                <w:rFonts w:ascii="Cambria Math" w:hAnsi="Cambria Math"/>
              </w:rPr>
              <m:t>h</m:t>
            </m:r>
          </m:e>
          <m:sub>
            <m:r>
              <m:rPr>
                <m:sty m:val="p"/>
              </m:rPr>
              <w:rPr>
                <w:rFonts w:ascii="Cambria Math" w:hAnsi="Cambria Math"/>
              </w:rPr>
              <m:t>p</m:t>
            </m:r>
          </m:sub>
        </m:sSub>
        <m:r>
          <w:rPr>
            <w:rFonts w:ascii="Cambria Math" w:hAnsi="Cambria Math"/>
          </w:rPr>
          <m:t>≥</m:t>
        </m:r>
        <m:sSub>
          <m:sSubPr>
            <m:ctrlPr>
              <w:rPr>
                <w:rFonts w:ascii="Cambria Math" w:hAnsi="Cambria Math"/>
                <w:i/>
              </w:rPr>
            </m:ctrlPr>
          </m:sSubPr>
          <m:e>
            <m:r>
              <w:rPr>
                <w:rFonts w:ascii="Cambria Math" w:hAnsi="Cambria Math"/>
              </w:rPr>
              <m:t>h</m:t>
            </m:r>
          </m:e>
          <m:sub>
            <m:r>
              <m:rPr>
                <m:sty m:val="p"/>
              </m:rPr>
              <w:rPr>
                <w:rFonts w:ascii="Cambria Math" w:hAnsi="Cambria Math"/>
              </w:rPr>
              <m:t>b</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f</m:t>
            </m:r>
          </m:sub>
        </m:sSub>
      </m:oMath>
      <w:r w:rsidRPr="00132C1E">
        <w:t xml:space="preserve"> (</w:t>
      </w:r>
      <w:r w:rsidRPr="00D1484A">
        <w:t>see</w:t>
      </w:r>
      <w:r w:rsidRPr="00D1484A">
        <w:rPr>
          <w:color w:val="00B050"/>
        </w:rPr>
        <w:t xml:space="preserve"> </w:t>
      </w:r>
      <w:r w:rsidRPr="0081326B">
        <w:t>Figure G.1</w:t>
      </w:r>
      <w:r w:rsidRPr="007E6F67">
        <w:t>)</w:t>
      </w:r>
      <w:r w:rsidRPr="00FD17CF">
        <w:t xml:space="preserve">; they should be designed according </w:t>
      </w:r>
      <w:r w:rsidRPr="0081326B">
        <w:t xml:space="preserve">to </w:t>
      </w:r>
      <w:r w:rsidRPr="00835C82">
        <w:t>G.5.9.</w:t>
      </w:r>
    </w:p>
    <w:p w14:paraId="30294D18" w14:textId="79F98D2A" w:rsidR="0081326B" w:rsidRPr="00801BE0" w:rsidRDefault="0081326B" w:rsidP="0081326B">
      <w:pPr>
        <w:pStyle w:val="Notetext"/>
      </w:pPr>
      <w:r w:rsidRPr="00801BE0">
        <w:t>NOTE</w:t>
      </w:r>
      <w:r w:rsidRPr="00801BE0">
        <w:tab/>
        <w:t>12.5 indicates in which case consideration of joint deformation in the analysis is required</w:t>
      </w:r>
      <w:r w:rsidR="00801BE0">
        <w:t>.</w:t>
      </w:r>
    </w:p>
    <w:p w14:paraId="1DF2D0CD" w14:textId="408C3364" w:rsidR="0081326B" w:rsidRPr="00132C1E" w:rsidRDefault="00172416" w:rsidP="00F4390E">
      <w:pPr>
        <w:pStyle w:val="FigureImage"/>
      </w:pPr>
      <w:r>
        <w:rPr>
          <w:noProof/>
        </w:rPr>
        <w:drawing>
          <wp:inline distT="0" distB="0" distL="0" distR="0" wp14:anchorId="5D9C658F" wp14:editId="46810F56">
            <wp:extent cx="5940562" cy="3805434"/>
            <wp:effectExtent l="0" t="0" r="3175" b="5080"/>
            <wp:docPr id="6" name="g001.tiff" descr="Diagram, engineer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001.tiff" descr="Diagram, engineering drawing&#10;&#10;Description automatically generated"/>
                    <pic:cNvPicPr/>
                  </pic:nvPicPr>
                  <pic:blipFill>
                    <a:blip r:link="rId120"/>
                    <a:stretch>
                      <a:fillRect/>
                    </a:stretch>
                  </pic:blipFill>
                  <pic:spPr>
                    <a:xfrm>
                      <a:off x="0" y="0"/>
                      <a:ext cx="5940562" cy="3805434"/>
                    </a:xfrm>
                    <a:prstGeom prst="rect">
                      <a:avLst/>
                    </a:prstGeom>
                  </pic:spPr>
                </pic:pic>
              </a:graphicData>
            </a:graphic>
          </wp:inline>
        </w:drawing>
      </w:r>
    </w:p>
    <w:p w14:paraId="07411594" w14:textId="77777777" w:rsidR="0081326B" w:rsidRPr="00D1484A" w:rsidRDefault="0081326B" w:rsidP="00F4390E">
      <w:pPr>
        <w:pStyle w:val="KeyTitle"/>
      </w:pPr>
      <w:bookmarkStart w:id="11429" w:name="_Ref18414222"/>
      <w:r w:rsidRPr="00D1484A">
        <w:t>Key</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
        <w:gridCol w:w="5778"/>
      </w:tblGrid>
      <w:tr w:rsidR="0081326B" w:rsidRPr="00132C1E" w14:paraId="348424B2" w14:textId="77777777" w:rsidTr="00B15DDF">
        <w:tc>
          <w:tcPr>
            <w:tcW w:w="392" w:type="dxa"/>
          </w:tcPr>
          <w:p w14:paraId="66E57EB8" w14:textId="77777777" w:rsidR="0081326B" w:rsidRPr="00FE71E5" w:rsidRDefault="0081326B" w:rsidP="00B15DDF">
            <w:pPr>
              <w:pStyle w:val="KeyText"/>
              <w:spacing w:before="0"/>
              <w:rPr>
                <w:iCs/>
              </w:rPr>
            </w:pPr>
            <w:r w:rsidRPr="00FE71E5">
              <w:rPr>
                <w:iCs/>
              </w:rPr>
              <w:t>A</w:t>
            </w:r>
          </w:p>
        </w:tc>
        <w:tc>
          <w:tcPr>
            <w:tcW w:w="5778" w:type="dxa"/>
          </w:tcPr>
          <w:p w14:paraId="0D3B3C47" w14:textId="62F8AA59" w:rsidR="0081326B" w:rsidRPr="00FE71E5" w:rsidRDefault="00F4390E" w:rsidP="00B15DDF">
            <w:pPr>
              <w:pStyle w:val="KeyText"/>
              <w:spacing w:before="0"/>
            </w:pPr>
            <w:r w:rsidRPr="00FE71E5">
              <w:rPr>
                <w:iCs/>
              </w:rPr>
              <w:t>f</w:t>
            </w:r>
            <w:r w:rsidR="0081326B" w:rsidRPr="00FE71E5">
              <w:rPr>
                <w:iCs/>
              </w:rPr>
              <w:t>ace bearing plates</w:t>
            </w:r>
          </w:p>
        </w:tc>
      </w:tr>
      <w:tr w:rsidR="0081326B" w:rsidRPr="00132C1E" w14:paraId="24D8C7CD" w14:textId="77777777" w:rsidTr="00B15DDF">
        <w:tc>
          <w:tcPr>
            <w:tcW w:w="392" w:type="dxa"/>
          </w:tcPr>
          <w:p w14:paraId="4C807D48" w14:textId="77777777" w:rsidR="0081326B" w:rsidRPr="00FE71E5" w:rsidRDefault="0081326B" w:rsidP="00B15DDF">
            <w:pPr>
              <w:pStyle w:val="KeyText"/>
              <w:spacing w:before="0"/>
              <w:rPr>
                <w:iCs/>
              </w:rPr>
            </w:pPr>
            <w:r w:rsidRPr="00FE71E5">
              <w:rPr>
                <w:iCs/>
              </w:rPr>
              <w:t>B</w:t>
            </w:r>
          </w:p>
        </w:tc>
        <w:tc>
          <w:tcPr>
            <w:tcW w:w="5778" w:type="dxa"/>
          </w:tcPr>
          <w:p w14:paraId="78530AF8" w14:textId="04D3B1F9" w:rsidR="0081326B" w:rsidRPr="00FE71E5" w:rsidRDefault="00F4390E" w:rsidP="00B15DDF">
            <w:pPr>
              <w:pStyle w:val="KeyText"/>
              <w:spacing w:before="0"/>
              <w:rPr>
                <w:iCs/>
              </w:rPr>
            </w:pPr>
            <w:r w:rsidRPr="00FE71E5">
              <w:rPr>
                <w:iCs/>
              </w:rPr>
              <w:t>c</w:t>
            </w:r>
            <w:r w:rsidR="0081326B" w:rsidRPr="00FE71E5">
              <w:rPr>
                <w:iCs/>
              </w:rPr>
              <w:t>olumn</w:t>
            </w:r>
          </w:p>
        </w:tc>
      </w:tr>
      <w:tr w:rsidR="0081326B" w:rsidRPr="00132C1E" w14:paraId="090C36D0" w14:textId="77777777" w:rsidTr="00B15DDF">
        <w:tc>
          <w:tcPr>
            <w:tcW w:w="392" w:type="dxa"/>
          </w:tcPr>
          <w:p w14:paraId="2B75D91E" w14:textId="77777777" w:rsidR="0081326B" w:rsidRPr="00FE71E5" w:rsidRDefault="0081326B" w:rsidP="00B15DDF">
            <w:pPr>
              <w:pStyle w:val="KeyText"/>
              <w:spacing w:before="0"/>
              <w:rPr>
                <w:iCs/>
              </w:rPr>
            </w:pPr>
            <w:r w:rsidRPr="00FE71E5">
              <w:rPr>
                <w:iCs/>
              </w:rPr>
              <w:t>C</w:t>
            </w:r>
          </w:p>
        </w:tc>
        <w:tc>
          <w:tcPr>
            <w:tcW w:w="5778" w:type="dxa"/>
          </w:tcPr>
          <w:p w14:paraId="63171EFA" w14:textId="4BEF4F06" w:rsidR="0081326B" w:rsidRPr="00FE71E5" w:rsidRDefault="00F4390E" w:rsidP="00B15DDF">
            <w:pPr>
              <w:pStyle w:val="KeyText"/>
              <w:spacing w:before="0"/>
              <w:rPr>
                <w:iCs/>
              </w:rPr>
            </w:pPr>
            <w:r w:rsidRPr="00FE71E5">
              <w:rPr>
                <w:iCs/>
              </w:rPr>
              <w:t>s</w:t>
            </w:r>
            <w:r w:rsidR="0081326B" w:rsidRPr="00FE71E5">
              <w:rPr>
                <w:iCs/>
              </w:rPr>
              <w:t>teel or composite beam</w:t>
            </w:r>
          </w:p>
        </w:tc>
      </w:tr>
      <w:tr w:rsidR="0081326B" w:rsidRPr="00132C1E" w14:paraId="0E01F54F" w14:textId="77777777" w:rsidTr="00B15D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2" w:type="dxa"/>
            <w:tcBorders>
              <w:top w:val="nil"/>
              <w:left w:val="nil"/>
              <w:bottom w:val="nil"/>
              <w:right w:val="nil"/>
            </w:tcBorders>
          </w:tcPr>
          <w:p w14:paraId="349F82CF" w14:textId="77777777" w:rsidR="0081326B" w:rsidRPr="00FE71E5" w:rsidRDefault="0081326B" w:rsidP="00B15DDF">
            <w:pPr>
              <w:pStyle w:val="KeyText"/>
              <w:spacing w:before="0"/>
              <w:rPr>
                <w:iCs/>
              </w:rPr>
            </w:pPr>
            <w:r w:rsidRPr="00FE71E5">
              <w:rPr>
                <w:iCs/>
              </w:rPr>
              <w:t>D</w:t>
            </w:r>
          </w:p>
        </w:tc>
        <w:tc>
          <w:tcPr>
            <w:tcW w:w="5778" w:type="dxa"/>
            <w:tcBorders>
              <w:top w:val="nil"/>
              <w:left w:val="nil"/>
              <w:bottom w:val="nil"/>
              <w:right w:val="nil"/>
            </w:tcBorders>
          </w:tcPr>
          <w:p w14:paraId="666A1058" w14:textId="01B30944" w:rsidR="0081326B" w:rsidRPr="00FE71E5" w:rsidRDefault="00F4390E" w:rsidP="00B15DDF">
            <w:pPr>
              <w:pStyle w:val="KeyText"/>
              <w:spacing w:before="0"/>
              <w:rPr>
                <w:iCs/>
              </w:rPr>
            </w:pPr>
            <w:r w:rsidRPr="00FE71E5">
              <w:rPr>
                <w:iCs/>
              </w:rPr>
              <w:t>w</w:t>
            </w:r>
            <w:r w:rsidR="0081326B" w:rsidRPr="00FE71E5">
              <w:rPr>
                <w:iCs/>
              </w:rPr>
              <w:t>ide face bearing plate</w:t>
            </w:r>
          </w:p>
        </w:tc>
      </w:tr>
      <w:tr w:rsidR="0081326B" w:rsidRPr="00132C1E" w14:paraId="02642F10" w14:textId="77777777" w:rsidTr="00B15D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2" w:type="dxa"/>
            <w:tcBorders>
              <w:top w:val="nil"/>
              <w:left w:val="nil"/>
              <w:bottom w:val="nil"/>
              <w:right w:val="nil"/>
            </w:tcBorders>
          </w:tcPr>
          <w:p w14:paraId="7C2C9C68" w14:textId="77777777" w:rsidR="0081326B" w:rsidRPr="00FE71E5" w:rsidRDefault="0081326B" w:rsidP="00B15DDF">
            <w:pPr>
              <w:pStyle w:val="KeyText"/>
              <w:spacing w:before="0"/>
              <w:rPr>
                <w:iCs/>
              </w:rPr>
            </w:pPr>
            <w:r w:rsidRPr="00FE71E5">
              <w:rPr>
                <w:iCs/>
              </w:rPr>
              <w:t>E</w:t>
            </w:r>
          </w:p>
        </w:tc>
        <w:tc>
          <w:tcPr>
            <w:tcW w:w="5778" w:type="dxa"/>
            <w:tcBorders>
              <w:top w:val="nil"/>
              <w:left w:val="nil"/>
              <w:bottom w:val="nil"/>
              <w:right w:val="nil"/>
            </w:tcBorders>
          </w:tcPr>
          <w:p w14:paraId="56793146" w14:textId="66C0B034" w:rsidR="0081326B" w:rsidRPr="00FE71E5" w:rsidRDefault="00F4390E" w:rsidP="00B15DDF">
            <w:pPr>
              <w:pStyle w:val="KeyText"/>
              <w:spacing w:before="0"/>
              <w:rPr>
                <w:iCs/>
              </w:rPr>
            </w:pPr>
            <w:r w:rsidRPr="00FE71E5">
              <w:rPr>
                <w:iCs/>
              </w:rPr>
              <w:t>v</w:t>
            </w:r>
            <w:r w:rsidR="0081326B" w:rsidRPr="00FE71E5">
              <w:rPr>
                <w:iCs/>
              </w:rPr>
              <w:t>ertical reinforcement bars</w:t>
            </w:r>
          </w:p>
        </w:tc>
      </w:tr>
      <w:tr w:rsidR="0081326B" w:rsidRPr="00132C1E" w14:paraId="1A440D27" w14:textId="77777777" w:rsidTr="00B15D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2" w:type="dxa"/>
            <w:tcBorders>
              <w:top w:val="nil"/>
              <w:left w:val="nil"/>
              <w:bottom w:val="nil"/>
              <w:right w:val="nil"/>
            </w:tcBorders>
          </w:tcPr>
          <w:p w14:paraId="586E2A1D" w14:textId="77777777" w:rsidR="0081326B" w:rsidRPr="00FE71E5" w:rsidRDefault="0081326B" w:rsidP="00B15DDF">
            <w:pPr>
              <w:pStyle w:val="KeyText"/>
              <w:spacing w:before="0"/>
              <w:rPr>
                <w:iCs/>
              </w:rPr>
            </w:pPr>
            <w:r w:rsidRPr="00FE71E5">
              <w:rPr>
                <w:iCs/>
              </w:rPr>
              <w:t>F</w:t>
            </w:r>
          </w:p>
        </w:tc>
        <w:tc>
          <w:tcPr>
            <w:tcW w:w="5778" w:type="dxa"/>
            <w:tcBorders>
              <w:top w:val="nil"/>
              <w:left w:val="nil"/>
              <w:bottom w:val="nil"/>
              <w:right w:val="nil"/>
            </w:tcBorders>
          </w:tcPr>
          <w:p w14:paraId="1552884F" w14:textId="6C3456FD" w:rsidR="0081326B" w:rsidRPr="00FE71E5" w:rsidRDefault="00F4390E" w:rsidP="00B15DDF">
            <w:pPr>
              <w:pStyle w:val="KeyText"/>
              <w:spacing w:before="0"/>
              <w:rPr>
                <w:iCs/>
              </w:rPr>
            </w:pPr>
            <w:r w:rsidRPr="00FE71E5">
              <w:rPr>
                <w:iCs/>
              </w:rPr>
              <w:t>e</w:t>
            </w:r>
            <w:r w:rsidR="0081326B" w:rsidRPr="00FE71E5">
              <w:rPr>
                <w:iCs/>
              </w:rPr>
              <w:t>xtended face bearing plates</w:t>
            </w:r>
          </w:p>
        </w:tc>
      </w:tr>
      <w:tr w:rsidR="0081326B" w:rsidRPr="00132C1E" w14:paraId="491BE77A" w14:textId="77777777" w:rsidTr="00B15D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2" w:type="dxa"/>
            <w:tcBorders>
              <w:top w:val="nil"/>
              <w:left w:val="nil"/>
              <w:bottom w:val="nil"/>
              <w:right w:val="nil"/>
            </w:tcBorders>
          </w:tcPr>
          <w:p w14:paraId="3FB94B76" w14:textId="77777777" w:rsidR="0081326B" w:rsidRPr="00FE71E5" w:rsidRDefault="0081326B" w:rsidP="00B15DDF">
            <w:pPr>
              <w:pStyle w:val="KeyText"/>
              <w:spacing w:before="0"/>
              <w:rPr>
                <w:iCs/>
              </w:rPr>
            </w:pPr>
            <w:r w:rsidRPr="00FE71E5">
              <w:rPr>
                <w:iCs/>
              </w:rPr>
              <w:t>G</w:t>
            </w:r>
          </w:p>
        </w:tc>
        <w:tc>
          <w:tcPr>
            <w:tcW w:w="5778" w:type="dxa"/>
            <w:tcBorders>
              <w:top w:val="nil"/>
              <w:left w:val="nil"/>
              <w:bottom w:val="nil"/>
              <w:right w:val="nil"/>
            </w:tcBorders>
          </w:tcPr>
          <w:p w14:paraId="4290D3D8" w14:textId="163A84BD" w:rsidR="0081326B" w:rsidRPr="00FE71E5" w:rsidRDefault="00F4390E" w:rsidP="00B15DDF">
            <w:pPr>
              <w:pStyle w:val="KeyText"/>
              <w:spacing w:before="0"/>
              <w:rPr>
                <w:iCs/>
              </w:rPr>
            </w:pPr>
            <w:r w:rsidRPr="00FE71E5">
              <w:rPr>
                <w:iCs/>
              </w:rPr>
              <w:t>s</w:t>
            </w:r>
            <w:r w:rsidR="0081326B" w:rsidRPr="00FE71E5">
              <w:rPr>
                <w:iCs/>
              </w:rPr>
              <w:t>tructural steel profile</w:t>
            </w:r>
          </w:p>
        </w:tc>
      </w:tr>
    </w:tbl>
    <w:p w14:paraId="4E8BFD46" w14:textId="01F28423" w:rsidR="0081326B" w:rsidRPr="0081326B" w:rsidRDefault="0081326B" w:rsidP="0081326B">
      <w:pPr>
        <w:pStyle w:val="Figuretitle"/>
      </w:pPr>
      <w:r w:rsidRPr="0081326B">
        <w:t>Figure G.</w:t>
      </w:r>
      <w:r w:rsidR="00801BE0">
        <w:t>1</w:t>
      </w:r>
      <w:bookmarkEnd w:id="11429"/>
      <w:r w:rsidRPr="0081326B">
        <w:t> — Joint configurations between steel beams and reinforced concrete or composite columns</w:t>
      </w:r>
    </w:p>
    <w:p w14:paraId="6B804AFB" w14:textId="77777777" w:rsidR="0081326B" w:rsidRPr="00D1484A" w:rsidRDefault="0081326B" w:rsidP="0081326B">
      <w:pPr>
        <w:pStyle w:val="a3"/>
      </w:pPr>
      <w:bookmarkStart w:id="11430" w:name="_Toc50150773"/>
      <w:bookmarkStart w:id="11431" w:name="_Toc70887206"/>
      <w:bookmarkStart w:id="11432" w:name="_Toc108342804"/>
      <w:bookmarkStart w:id="11433" w:name="_Toc120543890"/>
      <w:bookmarkStart w:id="11434" w:name="_Toc134198311"/>
      <w:r w:rsidRPr="00D1484A">
        <w:t>Joint forces</w:t>
      </w:r>
      <w:bookmarkEnd w:id="11430"/>
      <w:bookmarkEnd w:id="11431"/>
      <w:bookmarkEnd w:id="11432"/>
      <w:bookmarkEnd w:id="11433"/>
      <w:bookmarkEnd w:id="11434"/>
    </w:p>
    <w:p w14:paraId="33C9763F" w14:textId="6A00723B" w:rsidR="0081326B" w:rsidRPr="00023CAE" w:rsidRDefault="0081326B" w:rsidP="0080187E">
      <w:pPr>
        <w:pStyle w:val="Clause"/>
        <w:numPr>
          <w:ilvl w:val="0"/>
          <w:numId w:val="596"/>
        </w:numPr>
        <w:rPr>
          <w:rFonts w:eastAsia="Cambria"/>
        </w:rPr>
      </w:pPr>
      <w:r w:rsidRPr="00FD17CF">
        <w:t xml:space="preserve">A composite joint should be designed for the interaction of bending, shear and axial forces transferred </w:t>
      </w:r>
      <w:r w:rsidRPr="0081326B">
        <w:t xml:space="preserve">to it (Figure G.2a) by adjacent members </w:t>
      </w:r>
      <w:r w:rsidRPr="00023CAE">
        <w:rPr>
          <w:rFonts w:eastAsia="Cambria"/>
        </w:rPr>
        <w:t>in the seismic design situation</w:t>
      </w:r>
      <w:r w:rsidRPr="0081326B">
        <w:t xml:space="preserve">. The forces shown in Figure G.2b and Figure G.2c may be </w:t>
      </w:r>
      <w:r w:rsidRPr="007754C9">
        <w:t>used for interior and exterior joints, respectively.</w:t>
      </w:r>
    </w:p>
    <w:p w14:paraId="52CA1A7D" w14:textId="04B70511" w:rsidR="0081326B" w:rsidRPr="00132C1E" w:rsidRDefault="0081326B" w:rsidP="00724E4E">
      <w:pPr>
        <w:pStyle w:val="Clause"/>
      </w:pPr>
      <w:r w:rsidRPr="00132C1E">
        <w:t xml:space="preserve">In bi-directional composite moment resisting frames, the joint resistance may be checked by independently applying the provisions </w:t>
      </w:r>
      <w:r w:rsidRPr="0081326B">
        <w:t xml:space="preserve">of </w:t>
      </w:r>
      <w:r w:rsidRPr="00835C82">
        <w:t>G.5</w:t>
      </w:r>
      <w:r w:rsidRPr="0081326B">
        <w:t xml:space="preserve"> for </w:t>
      </w:r>
      <w:r w:rsidRPr="00132C1E">
        <w:t xml:space="preserve">the maximum joint force demands in each of the two orthogonal directions. </w:t>
      </w:r>
    </w:p>
    <w:p w14:paraId="2E6711D1" w14:textId="5DCE8F19" w:rsidR="0081326B" w:rsidRPr="00132C1E" w:rsidRDefault="0081326B" w:rsidP="00724E4E">
      <w:pPr>
        <w:pStyle w:val="Clause"/>
      </w:pPr>
      <w:r w:rsidRPr="00132C1E">
        <w:t>In joints with reinforced concrete columns in bi-directional</w:t>
      </w:r>
      <w:r w:rsidRPr="00132C1E" w:rsidDel="00CC0EC1">
        <w:t xml:space="preserve"> </w:t>
      </w:r>
      <w:r w:rsidR="00C30FF9">
        <w:t>composite steel-concrete</w:t>
      </w:r>
      <w:r w:rsidRPr="00132C1E">
        <w:t xml:space="preserve"> moment resisting frames, the confinement by steel beams framing into four sides of the column should be neglected.</w:t>
      </w:r>
    </w:p>
    <w:p w14:paraId="432341B0" w14:textId="7D952DD2" w:rsidR="0081326B" w:rsidRPr="00132C1E" w:rsidRDefault="00172416" w:rsidP="002833D2">
      <w:pPr>
        <w:pStyle w:val="FigureImage"/>
      </w:pPr>
      <w:r>
        <w:rPr>
          <w:noProof/>
        </w:rPr>
        <w:drawing>
          <wp:inline distT="0" distB="0" distL="0" distR="0" wp14:anchorId="5F0BCFEB" wp14:editId="07A7A05C">
            <wp:extent cx="5940562" cy="2122935"/>
            <wp:effectExtent l="0" t="0" r="3175" b="0"/>
            <wp:docPr id="15" name="g002.tiff"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002.tiff" descr="A picture containing diagram&#10;&#10;Description automatically generated"/>
                    <pic:cNvPicPr/>
                  </pic:nvPicPr>
                  <pic:blipFill>
                    <a:blip r:link="rId121"/>
                    <a:stretch>
                      <a:fillRect/>
                    </a:stretch>
                  </pic:blipFill>
                  <pic:spPr>
                    <a:xfrm>
                      <a:off x="0" y="0"/>
                      <a:ext cx="5940562" cy="2122935"/>
                    </a:xfrm>
                    <a:prstGeom prst="rect">
                      <a:avLst/>
                    </a:prstGeom>
                  </pic:spPr>
                </pic:pic>
              </a:graphicData>
            </a:graphic>
          </wp:inline>
        </w:drawing>
      </w:r>
    </w:p>
    <w:p w14:paraId="3A9BD0B5" w14:textId="29BEB357" w:rsidR="0081326B" w:rsidRPr="00D1484A" w:rsidRDefault="0081326B" w:rsidP="0081326B">
      <w:pPr>
        <w:pStyle w:val="Figuretitle"/>
      </w:pPr>
      <w:bookmarkStart w:id="11435" w:name="_Ref17450029"/>
      <w:bookmarkStart w:id="11436" w:name="_Ref18414487"/>
      <w:bookmarkStart w:id="11437" w:name="_Ref19630304"/>
      <w:r w:rsidRPr="00D1484A">
        <w:t>Figure G.</w:t>
      </w:r>
      <w:bookmarkEnd w:id="11435"/>
      <w:bookmarkEnd w:id="11436"/>
      <w:r w:rsidR="00801BE0">
        <w:t>2</w:t>
      </w:r>
      <w:bookmarkEnd w:id="11437"/>
      <w:r w:rsidRPr="00132C1E">
        <w:t xml:space="preserve"> — Member forces acting on the joint and design forces for interior and </w:t>
      </w:r>
      <w:r w:rsidRPr="00D1484A">
        <w:t>exterior joint configurations</w:t>
      </w:r>
    </w:p>
    <w:p w14:paraId="06A28C72" w14:textId="77777777" w:rsidR="0081326B" w:rsidRPr="00FD17CF" w:rsidRDefault="0081326B" w:rsidP="0081326B">
      <w:pPr>
        <w:pStyle w:val="a3"/>
      </w:pPr>
      <w:bookmarkStart w:id="11438" w:name="_Toc50150774"/>
      <w:bookmarkStart w:id="11439" w:name="_Toc70887207"/>
      <w:bookmarkStart w:id="11440" w:name="_Toc108342805"/>
      <w:bookmarkStart w:id="11441" w:name="_Toc120543891"/>
      <w:bookmarkStart w:id="11442" w:name="_Toc134198312"/>
      <w:r w:rsidRPr="007E6F67">
        <w:t>Joint failure modes</w:t>
      </w:r>
      <w:bookmarkEnd w:id="11438"/>
      <w:bookmarkEnd w:id="11439"/>
      <w:bookmarkEnd w:id="11440"/>
      <w:bookmarkEnd w:id="11441"/>
      <w:bookmarkEnd w:id="11442"/>
    </w:p>
    <w:p w14:paraId="24F298FA" w14:textId="77777777" w:rsidR="0081326B" w:rsidRPr="00132C1E" w:rsidRDefault="0081326B" w:rsidP="0080187E">
      <w:pPr>
        <w:pStyle w:val="Clause"/>
        <w:numPr>
          <w:ilvl w:val="0"/>
          <w:numId w:val="238"/>
        </w:numPr>
      </w:pPr>
      <w:r w:rsidRPr="0081326B">
        <w:rPr>
          <w:szCs w:val="22"/>
        </w:rPr>
        <w:t>The joint resistance should be verified for shear failure of the web panel of the steel profile column (</w:t>
      </w:r>
      <w:r w:rsidRPr="0081326B">
        <w:rPr>
          <w:color w:val="auto"/>
          <w:szCs w:val="22"/>
        </w:rPr>
        <w:t xml:space="preserve">see Figure G.3a) according to </w:t>
      </w:r>
      <w:r w:rsidRPr="00835C82">
        <w:rPr>
          <w:bCs/>
          <w:color w:val="auto"/>
          <w:szCs w:val="22"/>
        </w:rPr>
        <w:t>G.5.6</w:t>
      </w:r>
      <w:r w:rsidRPr="0081326B">
        <w:rPr>
          <w:color w:val="auto"/>
          <w:szCs w:val="22"/>
        </w:rPr>
        <w:t xml:space="preserve"> and vertical bearing failure (see Figure G.3b) according to </w:t>
      </w:r>
      <w:r w:rsidRPr="00835C82">
        <w:rPr>
          <w:bCs/>
          <w:color w:val="auto"/>
          <w:szCs w:val="22"/>
        </w:rPr>
        <w:t>G.5.5</w:t>
      </w:r>
      <w:r w:rsidRPr="0081326B">
        <w:rPr>
          <w:szCs w:val="22"/>
        </w:rPr>
        <w:t>.</w:t>
      </w:r>
    </w:p>
    <w:p w14:paraId="09E38511" w14:textId="77777777" w:rsidR="0081326B" w:rsidRPr="00132C1E" w:rsidRDefault="0081326B" w:rsidP="0080187E">
      <w:pPr>
        <w:pStyle w:val="Clause"/>
        <w:numPr>
          <w:ilvl w:val="0"/>
          <w:numId w:val="238"/>
        </w:numPr>
      </w:pPr>
      <w:r w:rsidRPr="00132C1E">
        <w:rPr>
          <w:szCs w:val="22"/>
        </w:rPr>
        <w:t xml:space="preserve">Vertical reinforcement, as </w:t>
      </w:r>
      <w:r w:rsidRPr="0081326B">
        <w:rPr>
          <w:color w:val="auto"/>
          <w:szCs w:val="22"/>
        </w:rPr>
        <w:t xml:space="preserve">shown in Figure G.3b, should be provided to prevent the bearing failure at locations of high compressive stresses; it should be calculated according to </w:t>
      </w:r>
      <w:r w:rsidRPr="00835C82">
        <w:rPr>
          <w:bCs/>
          <w:color w:val="auto"/>
          <w:szCs w:val="22"/>
        </w:rPr>
        <w:t>G.5.8</w:t>
      </w:r>
      <w:r w:rsidRPr="00132C1E">
        <w:rPr>
          <w:szCs w:val="22"/>
        </w:rPr>
        <w:t>.</w:t>
      </w:r>
    </w:p>
    <w:p w14:paraId="78749345" w14:textId="5A8A54C2" w:rsidR="0081326B" w:rsidRPr="00132C1E" w:rsidRDefault="00172416" w:rsidP="00B15DDF">
      <w:pPr>
        <w:pStyle w:val="FigureImage"/>
        <w:keepLines/>
        <w:rPr>
          <w:noProof/>
        </w:rPr>
      </w:pPr>
      <w:r>
        <w:rPr>
          <w:noProof/>
        </w:rPr>
        <w:drawing>
          <wp:inline distT="0" distB="0" distL="0" distR="0" wp14:anchorId="07E274D1" wp14:editId="547F1A61">
            <wp:extent cx="4500379" cy="2318008"/>
            <wp:effectExtent l="0" t="0" r="0" b="6350"/>
            <wp:docPr id="17" name="g003.tiff" descr="Diagram, engineer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003.tiff" descr="Diagram, engineering drawing&#10;&#10;Description automatically generated"/>
                    <pic:cNvPicPr/>
                  </pic:nvPicPr>
                  <pic:blipFill>
                    <a:blip r:link="rId122"/>
                    <a:stretch>
                      <a:fillRect/>
                    </a:stretch>
                  </pic:blipFill>
                  <pic:spPr>
                    <a:xfrm>
                      <a:off x="0" y="0"/>
                      <a:ext cx="4500379" cy="2318008"/>
                    </a:xfrm>
                    <a:prstGeom prst="rect">
                      <a:avLst/>
                    </a:prstGeom>
                  </pic:spPr>
                </pic:pic>
              </a:graphicData>
            </a:graphic>
          </wp:inline>
        </w:drawing>
      </w:r>
    </w:p>
    <w:p w14:paraId="2B42C3D1" w14:textId="77777777" w:rsidR="0081326B" w:rsidRPr="00D1484A" w:rsidRDefault="0081326B" w:rsidP="00B15DDF">
      <w:pPr>
        <w:pStyle w:val="KeyTitle"/>
        <w:keepLines/>
      </w:pPr>
      <w:bookmarkStart w:id="11443" w:name="_Ref19630343"/>
      <w:r w:rsidRPr="00D1484A">
        <w:t>Key</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
        <w:gridCol w:w="5778"/>
      </w:tblGrid>
      <w:tr w:rsidR="0081326B" w:rsidRPr="00132C1E" w14:paraId="445573D8" w14:textId="77777777" w:rsidTr="00B15DDF">
        <w:tc>
          <w:tcPr>
            <w:tcW w:w="392" w:type="dxa"/>
          </w:tcPr>
          <w:p w14:paraId="3B5EE53E" w14:textId="77777777" w:rsidR="0081326B" w:rsidRPr="00FE71E5" w:rsidRDefault="0081326B" w:rsidP="00B15DDF">
            <w:pPr>
              <w:pStyle w:val="KeyText"/>
              <w:keepNext/>
              <w:keepLines/>
              <w:spacing w:before="0"/>
              <w:rPr>
                <w:iCs/>
              </w:rPr>
            </w:pPr>
            <w:r w:rsidRPr="00FE71E5">
              <w:rPr>
                <w:iCs/>
              </w:rPr>
              <w:t>A</w:t>
            </w:r>
          </w:p>
        </w:tc>
        <w:tc>
          <w:tcPr>
            <w:tcW w:w="5778" w:type="dxa"/>
          </w:tcPr>
          <w:p w14:paraId="428D5DD4" w14:textId="7EB778E1" w:rsidR="0081326B" w:rsidRPr="00FE71E5" w:rsidRDefault="002833D2" w:rsidP="00B15DDF">
            <w:pPr>
              <w:pStyle w:val="KeyText"/>
              <w:keepNext/>
              <w:keepLines/>
              <w:spacing w:before="0"/>
            </w:pPr>
            <w:r w:rsidRPr="00FE71E5">
              <w:rPr>
                <w:iCs/>
              </w:rPr>
              <w:t>p</w:t>
            </w:r>
            <w:r w:rsidR="0081326B" w:rsidRPr="00FE71E5">
              <w:rPr>
                <w:iCs/>
              </w:rPr>
              <w:t>anel shear yielding</w:t>
            </w:r>
          </w:p>
        </w:tc>
      </w:tr>
      <w:tr w:rsidR="0081326B" w:rsidRPr="00132C1E" w14:paraId="522E7B52" w14:textId="77777777" w:rsidTr="00B15DDF">
        <w:tc>
          <w:tcPr>
            <w:tcW w:w="392" w:type="dxa"/>
          </w:tcPr>
          <w:p w14:paraId="1D49F98A" w14:textId="77777777" w:rsidR="0081326B" w:rsidRPr="00FE71E5" w:rsidRDefault="0081326B" w:rsidP="00B15DDF">
            <w:pPr>
              <w:pStyle w:val="KeyText"/>
              <w:keepNext/>
              <w:keepLines/>
              <w:spacing w:before="0"/>
              <w:rPr>
                <w:iCs/>
              </w:rPr>
            </w:pPr>
            <w:r w:rsidRPr="00FE71E5">
              <w:rPr>
                <w:iCs/>
              </w:rPr>
              <w:t>B</w:t>
            </w:r>
          </w:p>
        </w:tc>
        <w:tc>
          <w:tcPr>
            <w:tcW w:w="5778" w:type="dxa"/>
          </w:tcPr>
          <w:p w14:paraId="39F6F554" w14:textId="395A30A5" w:rsidR="0081326B" w:rsidRPr="00FE71E5" w:rsidRDefault="002833D2" w:rsidP="00B15DDF">
            <w:pPr>
              <w:pStyle w:val="KeyText"/>
              <w:keepNext/>
              <w:keepLines/>
              <w:spacing w:before="0"/>
              <w:rPr>
                <w:iCs/>
              </w:rPr>
            </w:pPr>
            <w:r w:rsidRPr="00FE71E5">
              <w:rPr>
                <w:iCs/>
              </w:rPr>
              <w:t>c</w:t>
            </w:r>
            <w:r w:rsidR="0081326B" w:rsidRPr="00FE71E5">
              <w:rPr>
                <w:iCs/>
              </w:rPr>
              <w:t>oncrete crushing</w:t>
            </w:r>
          </w:p>
        </w:tc>
      </w:tr>
      <w:tr w:rsidR="0081326B" w:rsidRPr="00132C1E" w14:paraId="224B3559" w14:textId="77777777" w:rsidTr="00B15DDF">
        <w:tc>
          <w:tcPr>
            <w:tcW w:w="392" w:type="dxa"/>
          </w:tcPr>
          <w:p w14:paraId="5C3DD087" w14:textId="77777777" w:rsidR="0081326B" w:rsidRPr="00FE71E5" w:rsidRDefault="0081326B" w:rsidP="00B15DDF">
            <w:pPr>
              <w:pStyle w:val="KeyText"/>
              <w:keepNext/>
              <w:keepLines/>
              <w:spacing w:before="0"/>
              <w:rPr>
                <w:iCs/>
              </w:rPr>
            </w:pPr>
            <w:r w:rsidRPr="00FE71E5">
              <w:rPr>
                <w:iCs/>
              </w:rPr>
              <w:t>C</w:t>
            </w:r>
          </w:p>
        </w:tc>
        <w:tc>
          <w:tcPr>
            <w:tcW w:w="5778" w:type="dxa"/>
          </w:tcPr>
          <w:p w14:paraId="4A75BFC8" w14:textId="5C130550" w:rsidR="0081326B" w:rsidRPr="00FE71E5" w:rsidRDefault="002833D2" w:rsidP="00B15DDF">
            <w:pPr>
              <w:pStyle w:val="KeyText"/>
              <w:keepNext/>
              <w:keepLines/>
              <w:spacing w:before="0"/>
              <w:rPr>
                <w:iCs/>
              </w:rPr>
            </w:pPr>
            <w:r w:rsidRPr="00FE71E5">
              <w:rPr>
                <w:iCs/>
              </w:rPr>
              <w:t>g</w:t>
            </w:r>
            <w:r w:rsidR="0081326B" w:rsidRPr="00FE71E5">
              <w:rPr>
                <w:iCs/>
              </w:rPr>
              <w:t>ap</w:t>
            </w:r>
          </w:p>
        </w:tc>
      </w:tr>
      <w:tr w:rsidR="0081326B" w:rsidRPr="00132C1E" w14:paraId="4884DEAD" w14:textId="77777777" w:rsidTr="00B15D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2" w:type="dxa"/>
            <w:tcBorders>
              <w:top w:val="nil"/>
              <w:left w:val="nil"/>
              <w:bottom w:val="nil"/>
              <w:right w:val="nil"/>
            </w:tcBorders>
          </w:tcPr>
          <w:p w14:paraId="3A4A5B11" w14:textId="77777777" w:rsidR="0081326B" w:rsidRPr="00FE71E5" w:rsidRDefault="0081326B" w:rsidP="00B15DDF">
            <w:pPr>
              <w:pStyle w:val="KeyText"/>
              <w:keepNext/>
              <w:keepLines/>
              <w:spacing w:before="0"/>
              <w:rPr>
                <w:iCs/>
              </w:rPr>
            </w:pPr>
            <w:r w:rsidRPr="00FE71E5">
              <w:rPr>
                <w:iCs/>
              </w:rPr>
              <w:t>D</w:t>
            </w:r>
          </w:p>
        </w:tc>
        <w:tc>
          <w:tcPr>
            <w:tcW w:w="5778" w:type="dxa"/>
            <w:tcBorders>
              <w:top w:val="nil"/>
              <w:left w:val="nil"/>
              <w:bottom w:val="nil"/>
              <w:right w:val="nil"/>
            </w:tcBorders>
          </w:tcPr>
          <w:p w14:paraId="51947CCE" w14:textId="0B097323" w:rsidR="0081326B" w:rsidRPr="00FE71E5" w:rsidRDefault="002833D2" w:rsidP="00B15DDF">
            <w:pPr>
              <w:pStyle w:val="KeyText"/>
              <w:keepNext/>
              <w:keepLines/>
              <w:spacing w:before="0"/>
              <w:rPr>
                <w:iCs/>
              </w:rPr>
            </w:pPr>
            <w:r w:rsidRPr="00FE71E5">
              <w:rPr>
                <w:iCs/>
              </w:rPr>
              <w:t>v</w:t>
            </w:r>
            <w:r w:rsidR="0081326B" w:rsidRPr="00FE71E5">
              <w:rPr>
                <w:iCs/>
              </w:rPr>
              <w:t>ertical reinforcement</w:t>
            </w:r>
          </w:p>
        </w:tc>
      </w:tr>
    </w:tbl>
    <w:p w14:paraId="2C5F65A5" w14:textId="64368157" w:rsidR="0081326B" w:rsidRPr="00D1484A" w:rsidRDefault="0081326B" w:rsidP="0081326B">
      <w:pPr>
        <w:pStyle w:val="Figuretitle"/>
      </w:pPr>
      <w:r w:rsidRPr="00132C1E">
        <w:t>Figure G.</w:t>
      </w:r>
      <w:r w:rsidR="00801BE0">
        <w:t>3</w:t>
      </w:r>
      <w:bookmarkEnd w:id="11443"/>
      <w:r w:rsidRPr="00132C1E">
        <w:t> — Joint failure modes: (a) web panel shear and (b) vertical bearing</w:t>
      </w:r>
    </w:p>
    <w:p w14:paraId="62CB39C4" w14:textId="77777777" w:rsidR="0081326B" w:rsidRPr="007E6F67" w:rsidRDefault="0081326B" w:rsidP="0081326B">
      <w:pPr>
        <w:pStyle w:val="a3"/>
      </w:pPr>
      <w:bookmarkStart w:id="11444" w:name="_Toc50150775"/>
      <w:bookmarkStart w:id="11445" w:name="_Toc70887208"/>
      <w:bookmarkStart w:id="11446" w:name="_Toc108342806"/>
      <w:bookmarkStart w:id="11447" w:name="_Toc120543892"/>
      <w:bookmarkStart w:id="11448" w:name="_Toc134198313"/>
      <w:r w:rsidRPr="00D1484A">
        <w:t>Effective joint width</w:t>
      </w:r>
      <w:bookmarkEnd w:id="11444"/>
      <w:bookmarkEnd w:id="11445"/>
      <w:bookmarkEnd w:id="11446"/>
      <w:bookmarkEnd w:id="11447"/>
      <w:bookmarkEnd w:id="11448"/>
    </w:p>
    <w:p w14:paraId="2973F157" w14:textId="3CCDC2D9" w:rsidR="0081326B" w:rsidRPr="00FD17CF" w:rsidRDefault="0081326B" w:rsidP="0080187E">
      <w:pPr>
        <w:pStyle w:val="Clause"/>
        <w:numPr>
          <w:ilvl w:val="0"/>
          <w:numId w:val="597"/>
        </w:numPr>
      </w:pPr>
      <w:r w:rsidRPr="00FD17CF">
        <w:t xml:space="preserve">The effective width, </w:t>
      </w:r>
      <m:oMath>
        <m:sSub>
          <m:sSubPr>
            <m:ctrlPr>
              <w:rPr>
                <w:rFonts w:ascii="Cambria Math" w:hAnsi="Cambria Math"/>
                <w:i/>
              </w:rPr>
            </m:ctrlPr>
          </m:sSubPr>
          <m:e>
            <m:r>
              <w:rPr>
                <w:rFonts w:ascii="Cambria Math" w:hAnsi="Cambria Math"/>
              </w:rPr>
              <m:t>b</m:t>
            </m:r>
          </m:e>
          <m:sub>
            <m:r>
              <m:rPr>
                <m:sty m:val="p"/>
              </m:rPr>
              <w:rPr>
                <w:rFonts w:ascii="Cambria Math" w:hAnsi="Cambria Math"/>
              </w:rPr>
              <m:t>j</m:t>
            </m:r>
          </m:sub>
        </m:sSub>
      </m:oMath>
      <w:r w:rsidRPr="00132C1E">
        <w:t xml:space="preserve"> of the joint within the column should be calculated</w:t>
      </w:r>
      <w:r w:rsidRPr="00D1484A">
        <w:t xml:space="preserve"> </w:t>
      </w:r>
      <w:r w:rsidRPr="00922D9B">
        <w:t>using Formula (G.1).</w:t>
      </w:r>
    </w:p>
    <w:p w14:paraId="141693DB" w14:textId="044CA967" w:rsidR="00922D9B" w:rsidRDefault="009B5CEC" w:rsidP="00922D9B">
      <w:pPr>
        <w:pStyle w:val="Formula"/>
        <w:spacing w:before="240"/>
      </w:pPr>
      <m:oMath>
        <m:sSub>
          <m:sSubPr>
            <m:ctrlPr>
              <w:rPr>
                <w:rFonts w:ascii="Cambria Math" w:hAnsi="Cambria Math"/>
              </w:rPr>
            </m:ctrlPr>
          </m:sSubPr>
          <m:e>
            <m:r>
              <w:rPr>
                <w:rFonts w:ascii="Cambria Math" w:hAnsi="Cambria Math"/>
              </w:rPr>
              <m:t>b</m:t>
            </m:r>
          </m:e>
          <m:sub>
            <m:r>
              <m:rPr>
                <m:sty m:val="p"/>
              </m:rPr>
              <w:rPr>
                <w:rFonts w:ascii="Cambria Math" w:hAnsi="Cambria Math"/>
              </w:rPr>
              <m:t>j</m:t>
            </m:r>
          </m:sub>
        </m:sSub>
        <m:r>
          <w:rPr>
            <w:rFonts w:ascii="Cambria Math" w:hAnsi="Cambria Math"/>
          </w:rPr>
          <m:t>=</m:t>
        </m:r>
        <m:sSub>
          <m:sSubPr>
            <m:ctrlPr>
              <w:rPr>
                <w:rFonts w:ascii="Cambria Math" w:hAnsi="Cambria Math"/>
              </w:rPr>
            </m:ctrlPr>
          </m:sSubPr>
          <m:e>
            <m:r>
              <w:rPr>
                <w:rFonts w:ascii="Cambria Math" w:hAnsi="Cambria Math"/>
              </w:rPr>
              <m:t>b</m:t>
            </m:r>
          </m:e>
          <m:sub>
            <m:r>
              <m:rPr>
                <m:sty m:val="p"/>
              </m:rPr>
              <w:rPr>
                <w:rFonts w:ascii="Cambria Math" w:hAnsi="Cambria Math"/>
              </w:rPr>
              <m:t>i</m:t>
            </m:r>
          </m:sub>
        </m:sSub>
        <m:r>
          <w:rPr>
            <w:rFonts w:ascii="Cambria Math" w:hAnsi="Cambria Math"/>
          </w:rPr>
          <m:t>+</m:t>
        </m:r>
        <m:sSub>
          <m:sSubPr>
            <m:ctrlPr>
              <w:rPr>
                <w:rFonts w:ascii="Cambria Math" w:hAnsi="Cambria Math"/>
              </w:rPr>
            </m:ctrlPr>
          </m:sSubPr>
          <m:e>
            <m:r>
              <w:rPr>
                <w:rFonts w:ascii="Cambria Math" w:hAnsi="Cambria Math"/>
              </w:rPr>
              <m:t>b</m:t>
            </m:r>
          </m:e>
          <m:sub>
            <m:r>
              <m:rPr>
                <m:sty m:val="p"/>
              </m:rPr>
              <w:rPr>
                <w:rFonts w:ascii="Cambria Math" w:hAnsi="Cambria Math"/>
              </w:rPr>
              <m:t>o</m:t>
            </m:r>
          </m:sub>
        </m:sSub>
      </m:oMath>
      <w:r w:rsidR="00922D9B" w:rsidRPr="00870D59">
        <w:tab/>
        <w:t>(</w:t>
      </w:r>
      <w:r w:rsidR="00922D9B">
        <w:t>G</w:t>
      </w:r>
      <w:r w:rsidR="00922D9B" w:rsidRPr="00870D59">
        <w:t>.</w:t>
      </w:r>
      <w:r w:rsidR="00922D9B">
        <w:t>1</w:t>
      </w:r>
      <w:r w:rsidR="00922D9B" w:rsidRPr="00870D59">
        <w:t>)</w:t>
      </w:r>
    </w:p>
    <w:p w14:paraId="4132EC69" w14:textId="051CA2EC" w:rsidR="00922D9B" w:rsidRDefault="00675EBA" w:rsidP="00922D9B">
      <w:pPr>
        <w:pStyle w:val="Text"/>
      </w:pPr>
      <w:r>
        <w:t>where</w:t>
      </w:r>
    </w:p>
    <w:tbl>
      <w:tblPr>
        <w:tblW w:w="0" w:type="auto"/>
        <w:tblInd w:w="346" w:type="dxa"/>
        <w:tblLook w:val="04A0" w:firstRow="1" w:lastRow="0" w:firstColumn="1" w:lastColumn="0" w:noHBand="0" w:noVBand="1"/>
      </w:tblPr>
      <w:tblGrid>
        <w:gridCol w:w="1275"/>
        <w:gridCol w:w="7938"/>
      </w:tblGrid>
      <w:tr w:rsidR="00922D9B" w:rsidRPr="00870D59" w14:paraId="6C7B70CA" w14:textId="77777777" w:rsidTr="00B15DDF">
        <w:tc>
          <w:tcPr>
            <w:tcW w:w="1275" w:type="dxa"/>
          </w:tcPr>
          <w:p w14:paraId="59A4464B" w14:textId="3D43084D" w:rsidR="00922D9B" w:rsidRPr="00460668" w:rsidRDefault="009B5CEC" w:rsidP="002061E5">
            <w:pPr>
              <w:spacing w:after="60"/>
              <w:rPr>
                <w:rFonts w:eastAsia="Times New Roman" w:cs="Cambria"/>
                <w:szCs w:val="20"/>
                <w:lang w:eastAsia="fr-FR"/>
              </w:rPr>
            </w:pPr>
            <m:oMathPara>
              <m:oMathParaPr>
                <m:jc m:val="left"/>
              </m:oMathParaPr>
              <m:oMath>
                <m:sSub>
                  <m:sSubPr>
                    <m:ctrlPr>
                      <w:rPr>
                        <w:rFonts w:ascii="Cambria Math" w:hAnsi="Cambria Math"/>
                        <w:i/>
                      </w:rPr>
                    </m:ctrlPr>
                  </m:sSubPr>
                  <m:e>
                    <m:r>
                      <w:rPr>
                        <w:rFonts w:ascii="Cambria Math" w:hAnsi="Cambria Math"/>
                      </w:rPr>
                      <m:t>b</m:t>
                    </m:r>
                  </m:e>
                  <m:sub>
                    <m:r>
                      <m:rPr>
                        <m:sty m:val="p"/>
                      </m:rPr>
                      <w:rPr>
                        <w:rFonts w:ascii="Cambria Math" w:hAnsi="Cambria Math"/>
                      </w:rPr>
                      <m:t>i</m:t>
                    </m:r>
                  </m:sub>
                </m:sSub>
              </m:oMath>
            </m:oMathPara>
          </w:p>
        </w:tc>
        <w:tc>
          <w:tcPr>
            <w:tcW w:w="7938" w:type="dxa"/>
          </w:tcPr>
          <w:p w14:paraId="0E299666" w14:textId="5369FA5F" w:rsidR="00922D9B" w:rsidRPr="00870D59" w:rsidRDefault="00922D9B" w:rsidP="002061E5">
            <w:pPr>
              <w:spacing w:after="60"/>
              <w:rPr>
                <w:rFonts w:eastAsia="Times New Roman" w:cs="Cambria"/>
                <w:szCs w:val="20"/>
                <w:lang w:eastAsia="fr-FR"/>
              </w:rPr>
            </w:pPr>
            <w:r w:rsidRPr="00132C1E">
              <w:t xml:space="preserve">is </w:t>
            </w:r>
            <w:r w:rsidRPr="00D1484A">
              <w:t xml:space="preserve">the </w:t>
            </w:r>
            <w:r w:rsidRPr="00922D9B">
              <w:t>width of the inner panel as shown in Figure G.4b and Figure G.4c, calculated using Formula (G.2);</w:t>
            </w:r>
          </w:p>
        </w:tc>
      </w:tr>
    </w:tbl>
    <w:p w14:paraId="5EF6B2B3" w14:textId="2EB53F94" w:rsidR="00922D9B" w:rsidRDefault="009B5CEC" w:rsidP="00922D9B">
      <w:pPr>
        <w:pStyle w:val="Formula"/>
        <w:spacing w:before="240"/>
      </w:pPr>
      <m:oMath>
        <m:sSub>
          <m:sSubPr>
            <m:ctrlPr>
              <w:rPr>
                <w:rFonts w:ascii="Cambria Math" w:hAnsi="Cambria Math"/>
              </w:rPr>
            </m:ctrlPr>
          </m:sSubPr>
          <m:e>
            <m:r>
              <w:rPr>
                <w:rFonts w:ascii="Cambria Math" w:hAnsi="Cambria Math"/>
              </w:rPr>
              <m:t>b</m:t>
            </m:r>
          </m:e>
          <m:sub>
            <m:r>
              <w:rPr>
                <w:rFonts w:ascii="Cambria Math" w:hAnsi="Cambria Math"/>
              </w:rPr>
              <m:t>i</m:t>
            </m:r>
          </m:sub>
        </m:sSub>
        <m:r>
          <w:rPr>
            <w:rFonts w:ascii="Cambria Math" w:hAnsi="Cambria Math"/>
          </w:rPr>
          <m:t>=</m:t>
        </m:r>
        <m:r>
          <m:rPr>
            <m:sty m:val="p"/>
          </m:rPr>
          <w:rPr>
            <w:rFonts w:ascii="Cambria Math" w:hAnsi="Cambria Math"/>
          </w:rPr>
          <m:t>max</m:t>
        </m:r>
        <m:r>
          <w:rPr>
            <w:rFonts w:ascii="Cambria Math" w:hAnsi="Cambria Math"/>
          </w:rPr>
          <m:t>⁡{</m:t>
        </m:r>
        <m:sSub>
          <m:sSubPr>
            <m:ctrlPr>
              <w:rPr>
                <w:rFonts w:ascii="Cambria Math" w:hAnsi="Cambria Math"/>
              </w:rPr>
            </m:ctrlPr>
          </m:sSubPr>
          <m:e>
            <m:r>
              <w:rPr>
                <w:rFonts w:ascii="Cambria Math" w:hAnsi="Cambria Math"/>
              </w:rPr>
              <m:t>b</m:t>
            </m:r>
          </m:e>
          <m:sub>
            <m:r>
              <m:rPr>
                <m:sty m:val="p"/>
              </m:rPr>
              <w:rPr>
                <w:rFonts w:ascii="Cambria Math" w:hAnsi="Cambria Math"/>
              </w:rPr>
              <m:t>p</m:t>
            </m:r>
          </m:sub>
        </m:sSub>
        <m:r>
          <w:rPr>
            <w:rFonts w:ascii="Cambria Math" w:hAnsi="Cambria Math"/>
          </w:rPr>
          <m:t>,</m:t>
        </m:r>
        <m:sSub>
          <m:sSubPr>
            <m:ctrlPr>
              <w:rPr>
                <w:rFonts w:ascii="Cambria Math" w:hAnsi="Cambria Math"/>
              </w:rPr>
            </m:ctrlPr>
          </m:sSubPr>
          <m:e>
            <m:r>
              <w:rPr>
                <w:rFonts w:ascii="Cambria Math" w:hAnsi="Cambria Math"/>
              </w:rPr>
              <m:t>b</m:t>
            </m:r>
          </m:e>
          <m:sub>
            <m:r>
              <m:rPr>
                <m:sty m:val="p"/>
              </m:rPr>
              <w:rPr>
                <w:rFonts w:ascii="Cambria Math" w:hAnsi="Cambria Math"/>
              </w:rPr>
              <m:t>f</m:t>
            </m:r>
          </m:sub>
        </m:sSub>
        <m:r>
          <w:rPr>
            <w:rFonts w:ascii="Cambria Math" w:hAnsi="Cambria Math"/>
          </w:rPr>
          <m:t>}</m:t>
        </m:r>
      </m:oMath>
      <w:r w:rsidR="00922D9B" w:rsidRPr="00D1484A">
        <w:t xml:space="preserve"> </w:t>
      </w:r>
      <w:r w:rsidR="00922D9B" w:rsidRPr="00922D9B">
        <w:tab/>
        <w:t>(G.2)</w:t>
      </w:r>
    </w:p>
    <w:p w14:paraId="7A54DAA4" w14:textId="74640D4E" w:rsidR="00B15DDF" w:rsidRPr="00B15DDF" w:rsidRDefault="00B15DDF" w:rsidP="00B15DDF">
      <w:pPr>
        <w:pStyle w:val="Text"/>
      </w:pPr>
      <w:r>
        <w:t>where</w:t>
      </w:r>
    </w:p>
    <w:tbl>
      <w:tblPr>
        <w:tblW w:w="0" w:type="auto"/>
        <w:tblInd w:w="346" w:type="dxa"/>
        <w:tblLook w:val="04A0" w:firstRow="1" w:lastRow="0" w:firstColumn="1" w:lastColumn="0" w:noHBand="0" w:noVBand="1"/>
      </w:tblPr>
      <w:tblGrid>
        <w:gridCol w:w="1275"/>
        <w:gridCol w:w="7938"/>
      </w:tblGrid>
      <w:tr w:rsidR="00922D9B" w:rsidRPr="00870D59" w14:paraId="2509869D" w14:textId="77777777" w:rsidTr="00B15DDF">
        <w:tc>
          <w:tcPr>
            <w:tcW w:w="1275" w:type="dxa"/>
          </w:tcPr>
          <w:p w14:paraId="3FBD315A" w14:textId="246427E5" w:rsidR="00922D9B" w:rsidRPr="00460668" w:rsidRDefault="009B5CEC" w:rsidP="002061E5">
            <w:pPr>
              <w:spacing w:after="60"/>
              <w:rPr>
                <w:rFonts w:eastAsia="Times New Roman" w:cs="Cambria"/>
                <w:szCs w:val="20"/>
                <w:lang w:eastAsia="fr-FR"/>
              </w:rPr>
            </w:pPr>
            <m:oMathPara>
              <m:oMathParaPr>
                <m:jc m:val="left"/>
              </m:oMathParaPr>
              <m:oMath>
                <m:sSub>
                  <m:sSubPr>
                    <m:ctrlPr>
                      <w:rPr>
                        <w:rFonts w:ascii="Cambria Math" w:hAnsi="Cambria Math"/>
                        <w:i/>
                      </w:rPr>
                    </m:ctrlPr>
                  </m:sSubPr>
                  <m:e>
                    <m:r>
                      <w:rPr>
                        <w:rFonts w:ascii="Cambria Math" w:hAnsi="Cambria Math"/>
                      </w:rPr>
                      <m:t>b</m:t>
                    </m:r>
                  </m:e>
                  <m:sub>
                    <m:r>
                      <m:rPr>
                        <m:sty m:val="p"/>
                      </m:rPr>
                      <w:rPr>
                        <w:rFonts w:ascii="Cambria Math" w:hAnsi="Cambria Math"/>
                      </w:rPr>
                      <m:t>p</m:t>
                    </m:r>
                  </m:sub>
                </m:sSub>
              </m:oMath>
            </m:oMathPara>
          </w:p>
        </w:tc>
        <w:tc>
          <w:tcPr>
            <w:tcW w:w="7938" w:type="dxa"/>
          </w:tcPr>
          <w:p w14:paraId="581B293A" w14:textId="5696895C" w:rsidR="00922D9B" w:rsidRPr="00870D59" w:rsidRDefault="00922D9B" w:rsidP="002061E5">
            <w:pPr>
              <w:spacing w:after="60"/>
              <w:rPr>
                <w:rFonts w:eastAsia="Times New Roman" w:cs="Cambria"/>
                <w:szCs w:val="20"/>
                <w:lang w:eastAsia="fr-FR"/>
              </w:rPr>
            </w:pPr>
            <w:r w:rsidRPr="00132C1E">
              <w:t>is the width of the face bearing plate (</w:t>
            </w:r>
            <w:r w:rsidRPr="00922D9B">
              <w:t>see Figure G.1</w:t>
            </w:r>
            <w:r w:rsidRPr="007E6F67">
              <w:t>);</w:t>
            </w:r>
          </w:p>
        </w:tc>
      </w:tr>
      <w:tr w:rsidR="00922D9B" w:rsidRPr="00870D59" w14:paraId="7FB1BC4E" w14:textId="77777777" w:rsidTr="00B15DDF">
        <w:tc>
          <w:tcPr>
            <w:tcW w:w="1275" w:type="dxa"/>
          </w:tcPr>
          <w:p w14:paraId="7F286096" w14:textId="4986A0E9" w:rsidR="00922D9B" w:rsidRPr="00922D9B" w:rsidRDefault="009B5CEC" w:rsidP="002061E5">
            <w:pPr>
              <w:spacing w:after="60"/>
              <w:rPr>
                <w:rFonts w:eastAsia="MS Mincho" w:cs="Cambria"/>
              </w:rPr>
            </w:pPr>
            <m:oMathPara>
              <m:oMathParaPr>
                <m:jc m:val="left"/>
              </m:oMathParaPr>
              <m:oMath>
                <m:sSub>
                  <m:sSubPr>
                    <m:ctrlPr>
                      <w:rPr>
                        <w:rFonts w:ascii="Cambria Math" w:hAnsi="Cambria Math"/>
                        <w:i/>
                      </w:rPr>
                    </m:ctrlPr>
                  </m:sSubPr>
                  <m:e>
                    <m:r>
                      <w:rPr>
                        <w:rFonts w:ascii="Cambria Math" w:hAnsi="Cambria Math"/>
                      </w:rPr>
                      <m:t>b</m:t>
                    </m:r>
                  </m:e>
                  <m:sub>
                    <m:r>
                      <m:rPr>
                        <m:sty m:val="p"/>
                      </m:rPr>
                      <w:rPr>
                        <w:rFonts w:ascii="Cambria Math" w:hAnsi="Cambria Math"/>
                      </w:rPr>
                      <m:t>f</m:t>
                    </m:r>
                  </m:sub>
                </m:sSub>
              </m:oMath>
            </m:oMathPara>
          </w:p>
        </w:tc>
        <w:tc>
          <w:tcPr>
            <w:tcW w:w="7938" w:type="dxa"/>
          </w:tcPr>
          <w:p w14:paraId="4B0E53CD" w14:textId="15EA5BBA" w:rsidR="00922D9B" w:rsidRPr="00132C1E" w:rsidRDefault="00922D9B" w:rsidP="002061E5">
            <w:pPr>
              <w:spacing w:after="60"/>
            </w:pPr>
            <w:r w:rsidRPr="00132C1E">
              <w:t>is the width of the steel flange of the beam;</w:t>
            </w:r>
          </w:p>
        </w:tc>
      </w:tr>
      <w:tr w:rsidR="00922D9B" w:rsidRPr="00870D59" w14:paraId="33EE58BB" w14:textId="77777777" w:rsidTr="00B15DDF">
        <w:tc>
          <w:tcPr>
            <w:tcW w:w="1275" w:type="dxa"/>
          </w:tcPr>
          <w:p w14:paraId="2E4EA204" w14:textId="43432B6C" w:rsidR="00922D9B" w:rsidRPr="00922D9B" w:rsidRDefault="009B5CEC" w:rsidP="002061E5">
            <w:pPr>
              <w:spacing w:after="60"/>
              <w:rPr>
                <w:rFonts w:eastAsia="MS Mincho" w:cs="Cambria"/>
              </w:rPr>
            </w:pPr>
            <m:oMathPara>
              <m:oMathParaPr>
                <m:jc m:val="left"/>
              </m:oMathParaPr>
              <m:oMath>
                <m:sSub>
                  <m:sSubPr>
                    <m:ctrlPr>
                      <w:rPr>
                        <w:rFonts w:ascii="Cambria Math" w:hAnsi="Cambria Math"/>
                        <w:i/>
                      </w:rPr>
                    </m:ctrlPr>
                  </m:sSubPr>
                  <m:e>
                    <m:r>
                      <w:rPr>
                        <w:rFonts w:ascii="Cambria Math" w:hAnsi="Cambria Math"/>
                      </w:rPr>
                      <m:t>b</m:t>
                    </m:r>
                  </m:e>
                  <m:sub>
                    <m:r>
                      <m:rPr>
                        <m:sty m:val="p"/>
                      </m:rPr>
                      <w:rPr>
                        <w:rFonts w:ascii="Cambria Math" w:hAnsi="Cambria Math"/>
                      </w:rPr>
                      <m:t>o</m:t>
                    </m:r>
                  </m:sub>
                </m:sSub>
              </m:oMath>
            </m:oMathPara>
          </w:p>
        </w:tc>
        <w:tc>
          <w:tcPr>
            <w:tcW w:w="7938" w:type="dxa"/>
          </w:tcPr>
          <w:p w14:paraId="19AA438E" w14:textId="30BAD83C" w:rsidR="00922D9B" w:rsidRPr="00132C1E" w:rsidRDefault="00922D9B" w:rsidP="002061E5">
            <w:pPr>
              <w:spacing w:after="60"/>
            </w:pPr>
            <w:r w:rsidRPr="00D1484A">
              <w:t xml:space="preserve">is the width of the outer panel </w:t>
            </w:r>
            <w:r w:rsidRPr="00922D9B">
              <w:t>(Figures G.4b and G.4c), calculated from Formula (G.3);</w:t>
            </w:r>
          </w:p>
        </w:tc>
      </w:tr>
    </w:tbl>
    <w:p w14:paraId="57FD047A" w14:textId="3D5F6C89" w:rsidR="00922D9B" w:rsidRDefault="009B5CEC" w:rsidP="00922D9B">
      <w:pPr>
        <w:pStyle w:val="Formula"/>
        <w:spacing w:before="240"/>
      </w:pPr>
      <m:oMath>
        <m:sSub>
          <m:sSubPr>
            <m:ctrlPr>
              <w:rPr>
                <w:rFonts w:ascii="Cambria Math" w:hAnsi="Cambria Math"/>
              </w:rPr>
            </m:ctrlPr>
          </m:sSubPr>
          <m:e>
            <m:r>
              <w:rPr>
                <w:rFonts w:ascii="Cambria Math" w:hAnsi="Cambria Math"/>
              </w:rPr>
              <m:t>b</m:t>
            </m:r>
          </m:e>
          <m:sub>
            <m:r>
              <m:rPr>
                <m:sty m:val="p"/>
              </m:rPr>
              <w:rPr>
                <w:rFonts w:ascii="Cambria Math" w:hAnsi="Cambria Math"/>
              </w:rPr>
              <m:t>o</m:t>
            </m:r>
          </m:sub>
        </m:sSub>
        <m:r>
          <w:rPr>
            <w:rFonts w:ascii="Cambria Math" w:hAnsi="Cambria Math"/>
          </w:rPr>
          <m:t>=</m:t>
        </m:r>
        <m:d>
          <m:dPr>
            <m:ctrlPr>
              <w:rPr>
                <w:rFonts w:ascii="Cambria Math" w:hAnsi="Cambria Math"/>
              </w:rPr>
            </m:ctrlPr>
          </m:dPr>
          <m:e>
            <m:f>
              <m:fPr>
                <m:ctrlPr>
                  <w:rPr>
                    <w:rFonts w:ascii="Cambria Math" w:hAnsi="Cambria Math"/>
                  </w:rPr>
                </m:ctrlPr>
              </m:fPr>
              <m:num>
                <m:r>
                  <w:rPr>
                    <w:rFonts w:ascii="Cambria Math" w:hAnsi="Cambria Math"/>
                  </w:rPr>
                  <m:t>x</m:t>
                </m:r>
              </m:num>
              <m:den>
                <m:sSub>
                  <m:sSubPr>
                    <m:ctrlPr>
                      <w:rPr>
                        <w:rFonts w:ascii="Cambria Math" w:hAnsi="Cambria Math"/>
                        <w:i/>
                      </w:rPr>
                    </m:ctrlPr>
                  </m:sSubPr>
                  <m:e>
                    <m:r>
                      <w:rPr>
                        <w:rFonts w:ascii="Cambria Math" w:hAnsi="Cambria Math"/>
                      </w:rPr>
                      <m:t>h</m:t>
                    </m:r>
                  </m:e>
                  <m:sub>
                    <m:r>
                      <m:rPr>
                        <m:sty m:val="p"/>
                      </m:rPr>
                      <w:rPr>
                        <w:rFonts w:ascii="Cambria Math" w:hAnsi="Cambria Math"/>
                      </w:rPr>
                      <m:t>c</m:t>
                    </m:r>
                  </m:sub>
                </m:sSub>
              </m:den>
            </m:f>
          </m:e>
        </m:d>
        <m:d>
          <m:dPr>
            <m:ctrlPr>
              <w:rPr>
                <w:rFonts w:ascii="Cambria Math" w:hAnsi="Cambria Math"/>
              </w:rPr>
            </m:ctrlPr>
          </m:dPr>
          <m:e>
            <m:f>
              <m:fPr>
                <m:ctrlPr>
                  <w:rPr>
                    <w:rFonts w:ascii="Cambria Math" w:hAnsi="Cambria Math"/>
                  </w:rPr>
                </m:ctrlPr>
              </m:fPr>
              <m:num>
                <m:r>
                  <w:rPr>
                    <w:rFonts w:ascii="Cambria Math" w:hAnsi="Cambria Math"/>
                  </w:rPr>
                  <m:t>y</m:t>
                </m:r>
              </m:num>
              <m:den>
                <m:sSub>
                  <m:sSubPr>
                    <m:ctrlPr>
                      <w:rPr>
                        <w:rFonts w:ascii="Cambria Math" w:hAnsi="Cambria Math"/>
                      </w:rPr>
                    </m:ctrlPr>
                  </m:sSubPr>
                  <m:e>
                    <m:r>
                      <w:rPr>
                        <w:rFonts w:ascii="Cambria Math" w:hAnsi="Cambria Math"/>
                      </w:rPr>
                      <m:t>b</m:t>
                    </m:r>
                  </m:e>
                  <m:sub>
                    <m:r>
                      <m:rPr>
                        <m:sty m:val="p"/>
                      </m:rPr>
                      <w:rPr>
                        <w:rFonts w:ascii="Cambria Math" w:hAnsi="Cambria Math"/>
                      </w:rPr>
                      <m:t>f</m:t>
                    </m:r>
                  </m:sub>
                </m:sSub>
              </m:den>
            </m:f>
          </m:e>
        </m:d>
        <m:d>
          <m:dPr>
            <m:ctrlPr>
              <w:rPr>
                <w:rFonts w:ascii="Cambria Math" w:hAnsi="Cambria Math"/>
              </w:rPr>
            </m:ctrlPr>
          </m:dPr>
          <m:e>
            <m:sSub>
              <m:sSubPr>
                <m:ctrlPr>
                  <w:rPr>
                    <w:rFonts w:ascii="Cambria Math" w:hAnsi="Cambria Math"/>
                  </w:rPr>
                </m:ctrlPr>
              </m:sSubPr>
              <m:e>
                <m:r>
                  <w:rPr>
                    <w:rFonts w:ascii="Cambria Math" w:hAnsi="Cambria Math"/>
                  </w:rPr>
                  <m:t>b</m:t>
                </m:r>
              </m:e>
              <m:sub>
                <m:r>
                  <m:rPr>
                    <m:sty m:val="p"/>
                  </m:rPr>
                  <w:rPr>
                    <w:rFonts w:ascii="Cambria Math" w:hAnsi="Cambria Math"/>
                  </w:rPr>
                  <m:t>m</m:t>
                </m:r>
              </m:sub>
            </m:sSub>
            <m:r>
              <w:rPr>
                <w:rFonts w:ascii="Cambria Math" w:hAnsi="Cambria Math"/>
              </w:rPr>
              <m:t>-</m:t>
            </m:r>
            <m:sSub>
              <m:sSubPr>
                <m:ctrlPr>
                  <w:rPr>
                    <w:rFonts w:ascii="Cambria Math" w:hAnsi="Cambria Math"/>
                  </w:rPr>
                </m:ctrlPr>
              </m:sSubPr>
              <m:e>
                <m:r>
                  <w:rPr>
                    <w:rFonts w:ascii="Cambria Math" w:hAnsi="Cambria Math"/>
                  </w:rPr>
                  <m:t>b</m:t>
                </m:r>
              </m:e>
              <m:sub>
                <m:r>
                  <w:rPr>
                    <w:rFonts w:ascii="Cambria Math" w:hAnsi="Cambria Math"/>
                  </w:rPr>
                  <m:t>i</m:t>
                </m:r>
              </m:sub>
            </m:sSub>
          </m:e>
        </m:d>
        <m:r>
          <w:rPr>
            <w:rFonts w:ascii="Cambria Math" w:hAnsi="Cambria Math"/>
          </w:rPr>
          <m:t>≤2</m:t>
        </m:r>
        <m:sSub>
          <m:sSubPr>
            <m:ctrlPr>
              <w:rPr>
                <w:rFonts w:ascii="Cambria Math" w:hAnsi="Cambria Math"/>
              </w:rPr>
            </m:ctrlPr>
          </m:sSubPr>
          <m:e>
            <m:r>
              <w:rPr>
                <w:rFonts w:ascii="Cambria Math" w:hAnsi="Cambria Math"/>
              </w:rPr>
              <m:t>h</m:t>
            </m:r>
          </m:e>
          <m:sub>
            <m:r>
              <m:rPr>
                <m:sty m:val="p"/>
              </m:rPr>
              <w:rPr>
                <w:rFonts w:ascii="Cambria Math" w:hAnsi="Cambria Math"/>
              </w:rPr>
              <m:t>o</m:t>
            </m:r>
          </m:sub>
        </m:sSub>
        <m:r>
          <w:rPr>
            <w:rFonts w:ascii="Cambria Math" w:hAnsi="Cambria Math"/>
          </w:rPr>
          <m:t xml:space="preserve">, </m:t>
        </m:r>
        <m:r>
          <m:rPr>
            <m:sty m:val="p"/>
          </m:rPr>
          <w:rPr>
            <w:rFonts w:ascii="Cambria Math" w:hAnsi="Cambria Math"/>
          </w:rPr>
          <m:t>with</m:t>
        </m:r>
        <m:r>
          <w:rPr>
            <w:rFonts w:ascii="Cambria Math" w:hAnsi="Cambria Math"/>
          </w:rPr>
          <m:t xml:space="preserve"> </m:t>
        </m:r>
        <m:sSub>
          <m:sSubPr>
            <m:ctrlPr>
              <w:rPr>
                <w:rFonts w:ascii="Cambria Math" w:hAnsi="Cambria Math"/>
              </w:rPr>
            </m:ctrlPr>
          </m:sSubPr>
          <m:e>
            <m:r>
              <w:rPr>
                <w:rFonts w:ascii="Cambria Math" w:hAnsi="Cambria Math"/>
              </w:rPr>
              <m:t>b</m:t>
            </m:r>
          </m:e>
          <m:sub>
            <m:r>
              <m:rPr>
                <m:sty m:val="p"/>
              </m:rPr>
              <w:rPr>
                <w:rFonts w:ascii="Cambria Math" w:hAnsi="Cambria Math"/>
              </w:rPr>
              <m:t>m</m:t>
            </m:r>
          </m:sub>
        </m:sSub>
        <m:r>
          <w:rPr>
            <w:rFonts w:ascii="Cambria Math" w:hAnsi="Cambria Math"/>
          </w:rPr>
          <m:t>=</m:t>
        </m:r>
        <m:f>
          <m:fPr>
            <m:type m:val="lin"/>
            <m:ctrlPr>
              <w:rPr>
                <w:rFonts w:ascii="Cambria Math" w:hAnsi="Cambria Math"/>
              </w:rPr>
            </m:ctrlPr>
          </m:fPr>
          <m:num>
            <m:sSub>
              <m:sSubPr>
                <m:ctrlPr>
                  <w:rPr>
                    <w:rFonts w:ascii="Cambria Math" w:hAnsi="Cambria Math"/>
                  </w:rPr>
                </m:ctrlPr>
              </m:sSubPr>
              <m:e>
                <m:r>
                  <w:rPr>
                    <w:rFonts w:ascii="Cambria Math" w:hAnsi="Cambria Math"/>
                  </w:rPr>
                  <m:t>(b</m:t>
                </m:r>
              </m:e>
              <m:sub>
                <m:r>
                  <m:rPr>
                    <m:sty m:val="p"/>
                  </m:rPr>
                  <w:rPr>
                    <w:rFonts w:ascii="Cambria Math" w:hAnsi="Cambria Math"/>
                  </w:rPr>
                  <m:t>f</m:t>
                </m:r>
              </m:sub>
            </m:sSub>
            <m:r>
              <w:rPr>
                <w:rFonts w:ascii="Cambria Math" w:hAnsi="Cambria Math"/>
              </w:rPr>
              <m:t>+</m:t>
            </m:r>
            <m:sSub>
              <m:sSubPr>
                <m:ctrlPr>
                  <w:rPr>
                    <w:rFonts w:ascii="Cambria Math" w:hAnsi="Cambria Math"/>
                  </w:rPr>
                </m:ctrlPr>
              </m:sSubPr>
              <m:e>
                <m:r>
                  <w:rPr>
                    <w:rFonts w:ascii="Cambria Math" w:hAnsi="Cambria Math"/>
                  </w:rPr>
                  <m:t>b</m:t>
                </m:r>
              </m:e>
              <m:sub>
                <m:r>
                  <m:rPr>
                    <m:sty m:val="p"/>
                  </m:rPr>
                  <w:rPr>
                    <w:rFonts w:ascii="Cambria Math" w:hAnsi="Cambria Math"/>
                  </w:rPr>
                  <m:t>c</m:t>
                </m:r>
              </m:sub>
            </m:sSub>
            <m:r>
              <w:rPr>
                <w:rFonts w:ascii="Cambria Math" w:hAnsi="Cambria Math"/>
              </w:rPr>
              <m:t>)</m:t>
            </m:r>
          </m:num>
          <m:den>
            <m:r>
              <w:rPr>
                <w:rFonts w:ascii="Cambria Math" w:hAnsi="Cambria Math"/>
              </w:rPr>
              <m:t>2</m:t>
            </m:r>
          </m:den>
        </m:f>
        <m:r>
          <w:rPr>
            <w:rFonts w:ascii="Cambria Math" w:hAnsi="Cambria Math"/>
          </w:rPr>
          <m:t>&lt;</m:t>
        </m:r>
        <m:sSub>
          <m:sSubPr>
            <m:ctrlPr>
              <w:rPr>
                <w:rFonts w:ascii="Cambria Math" w:hAnsi="Cambria Math"/>
              </w:rPr>
            </m:ctrlPr>
          </m:sSubPr>
          <m:e>
            <m:r>
              <w:rPr>
                <w:rFonts w:ascii="Cambria Math" w:hAnsi="Cambria Math"/>
              </w:rPr>
              <m:t>b</m:t>
            </m:r>
          </m:e>
          <m:sub>
            <m:r>
              <m:rPr>
                <m:sty m:val="p"/>
              </m:rPr>
              <w:rPr>
                <w:rFonts w:ascii="Cambria Math" w:hAnsi="Cambria Math"/>
              </w:rPr>
              <m:t>f</m:t>
            </m:r>
          </m:sub>
        </m:sSub>
        <m:r>
          <w:rPr>
            <w:rFonts w:ascii="Cambria Math" w:hAnsi="Cambria Math"/>
          </w:rPr>
          <m:t>+</m:t>
        </m:r>
        <m:sSub>
          <m:sSubPr>
            <m:ctrlPr>
              <w:rPr>
                <w:rFonts w:ascii="Cambria Math" w:hAnsi="Cambria Math"/>
              </w:rPr>
            </m:ctrlPr>
          </m:sSubPr>
          <m:e>
            <m:r>
              <w:rPr>
                <w:rFonts w:ascii="Cambria Math" w:hAnsi="Cambria Math"/>
              </w:rPr>
              <m:t>h</m:t>
            </m:r>
          </m:e>
          <m:sub>
            <m:r>
              <m:rPr>
                <m:sty m:val="p"/>
              </m:rPr>
              <w:rPr>
                <w:rFonts w:ascii="Cambria Math" w:hAnsi="Cambria Math"/>
              </w:rPr>
              <m:t>c</m:t>
            </m:r>
          </m:sub>
        </m:sSub>
        <m:r>
          <w:rPr>
            <w:rFonts w:ascii="Cambria Math" w:hAnsi="Cambria Math"/>
          </w:rPr>
          <m:t>&lt;1,75</m:t>
        </m:r>
        <m:sSub>
          <m:sSubPr>
            <m:ctrlPr>
              <w:rPr>
                <w:rFonts w:ascii="Cambria Math" w:hAnsi="Cambria Math"/>
              </w:rPr>
            </m:ctrlPr>
          </m:sSubPr>
          <m:e>
            <m:r>
              <w:rPr>
                <w:rFonts w:ascii="Cambria Math" w:hAnsi="Cambria Math"/>
              </w:rPr>
              <m:t>b</m:t>
            </m:r>
          </m:e>
          <m:sub>
            <m:r>
              <m:rPr>
                <m:sty m:val="p"/>
              </m:rPr>
              <w:rPr>
                <w:rFonts w:ascii="Cambria Math" w:hAnsi="Cambria Math"/>
              </w:rPr>
              <m:t>f</m:t>
            </m:r>
          </m:sub>
        </m:sSub>
      </m:oMath>
      <w:r w:rsidR="00922D9B" w:rsidRPr="00922D9B">
        <w:tab/>
        <w:t>(G.</w:t>
      </w:r>
      <w:r w:rsidR="00922D9B">
        <w:t>3</w:t>
      </w:r>
      <w:r w:rsidR="00922D9B" w:rsidRPr="00922D9B">
        <w:t>)</w:t>
      </w:r>
    </w:p>
    <w:p w14:paraId="10D39FB6" w14:textId="7A6F0D4B" w:rsidR="00B15DDF" w:rsidRPr="00B15DDF" w:rsidRDefault="00B15DDF" w:rsidP="00B15DDF">
      <w:pPr>
        <w:pStyle w:val="Text"/>
      </w:pPr>
      <w:r>
        <w:t>where</w:t>
      </w:r>
    </w:p>
    <w:tbl>
      <w:tblPr>
        <w:tblW w:w="9220" w:type="dxa"/>
        <w:tblInd w:w="346" w:type="dxa"/>
        <w:tblLook w:val="04A0" w:firstRow="1" w:lastRow="0" w:firstColumn="1" w:lastColumn="0" w:noHBand="0" w:noVBand="1"/>
      </w:tblPr>
      <w:tblGrid>
        <w:gridCol w:w="1141"/>
        <w:gridCol w:w="8079"/>
      </w:tblGrid>
      <w:tr w:rsidR="00922D9B" w:rsidRPr="00870D59" w14:paraId="05122FB2" w14:textId="77777777" w:rsidTr="00B15DDF">
        <w:tc>
          <w:tcPr>
            <w:tcW w:w="1141" w:type="dxa"/>
          </w:tcPr>
          <w:p w14:paraId="3A4961D9" w14:textId="5CBD75FA" w:rsidR="00922D9B" w:rsidRPr="00460668" w:rsidRDefault="00922D9B" w:rsidP="002061E5">
            <w:pPr>
              <w:spacing w:after="60"/>
              <w:rPr>
                <w:rFonts w:eastAsia="Times New Roman" w:cs="Cambria"/>
                <w:szCs w:val="20"/>
                <w:lang w:eastAsia="fr-FR"/>
              </w:rPr>
            </w:pPr>
            <m:oMathPara>
              <m:oMathParaPr>
                <m:jc m:val="left"/>
              </m:oMathParaPr>
              <m:oMath>
                <m:r>
                  <w:rPr>
                    <w:rFonts w:ascii="Cambria Math" w:hAnsi="Cambria Math"/>
                  </w:rPr>
                  <m:t>y</m:t>
                </m:r>
              </m:oMath>
            </m:oMathPara>
          </w:p>
        </w:tc>
        <w:tc>
          <w:tcPr>
            <w:tcW w:w="8079" w:type="dxa"/>
          </w:tcPr>
          <w:p w14:paraId="2C3B96BA" w14:textId="2CB35939" w:rsidR="00922D9B" w:rsidRPr="00870D59" w:rsidRDefault="00922D9B" w:rsidP="002061E5">
            <w:pPr>
              <w:spacing w:after="60"/>
              <w:rPr>
                <w:rFonts w:eastAsia="Times New Roman" w:cs="Cambria"/>
                <w:szCs w:val="20"/>
                <w:lang w:eastAsia="fr-FR"/>
              </w:rPr>
            </w:pPr>
            <w:r w:rsidRPr="00FD17CF">
              <w:t>is the greater of the steel column or extended face bearing plate width</w:t>
            </w:r>
          </w:p>
        </w:tc>
      </w:tr>
      <w:tr w:rsidR="00922D9B" w:rsidRPr="00870D59" w14:paraId="6EA913C3" w14:textId="77777777" w:rsidTr="00B15DDF">
        <w:tc>
          <w:tcPr>
            <w:tcW w:w="1141" w:type="dxa"/>
          </w:tcPr>
          <w:p w14:paraId="25BC7624" w14:textId="204EBC7D" w:rsidR="00922D9B" w:rsidRPr="00922D9B" w:rsidRDefault="00922D9B" w:rsidP="002061E5">
            <w:pPr>
              <w:spacing w:after="60"/>
              <w:rPr>
                <w:rFonts w:eastAsia="MS Mincho" w:cs="Cambria"/>
              </w:rPr>
            </w:pPr>
            <m:oMathPara>
              <m:oMathParaPr>
                <m:jc m:val="left"/>
              </m:oMathParaPr>
              <m:oMath>
                <m:r>
                  <w:rPr>
                    <w:rFonts w:ascii="Cambria Math" w:hAnsi="Cambria Math"/>
                  </w:rPr>
                  <m:t>y</m:t>
                </m:r>
              </m:oMath>
            </m:oMathPara>
          </w:p>
        </w:tc>
        <w:tc>
          <w:tcPr>
            <w:tcW w:w="8079" w:type="dxa"/>
          </w:tcPr>
          <w:p w14:paraId="4A0CF894" w14:textId="70BC8E19" w:rsidR="00922D9B" w:rsidRPr="00132C1E" w:rsidRDefault="00922D9B" w:rsidP="002061E5">
            <w:pPr>
              <w:spacing w:after="60"/>
            </w:pPr>
            <w:r w:rsidRPr="00196951">
              <w:t xml:space="preserve">is equal to the column depth, </w:t>
            </w:r>
            <m:oMath>
              <m:sSub>
                <m:sSubPr>
                  <m:ctrlPr>
                    <w:rPr>
                      <w:rFonts w:ascii="Cambria Math" w:hAnsi="Cambria Math"/>
                      <w:i/>
                    </w:rPr>
                  </m:ctrlPr>
                </m:sSubPr>
                <m:e>
                  <m:r>
                    <w:rPr>
                      <w:rFonts w:ascii="Cambria Math" w:hAnsi="Cambria Math"/>
                    </w:rPr>
                    <m:t>h</m:t>
                  </m:r>
                </m:e>
                <m:sub>
                  <m:r>
                    <m:rPr>
                      <m:sty m:val="p"/>
                    </m:rPr>
                    <w:rPr>
                      <w:rFonts w:ascii="Cambria Math" w:hAnsi="Cambria Math"/>
                    </w:rPr>
                    <m:t>c</m:t>
                  </m:r>
                </m:sub>
              </m:sSub>
            </m:oMath>
            <w:r w:rsidRPr="00132C1E">
              <w:t xml:space="preserve"> where extended face bearing plates are present or</w:t>
            </w:r>
            <w:r w:rsidRPr="00D1484A">
              <w:t xml:space="preserve"> </w:t>
            </w:r>
            <w:r w:rsidRPr="00D1484A">
              <w:rPr>
                <w:i/>
                <w:iCs/>
              </w:rPr>
              <w:t xml:space="preserve">x </w:t>
            </w:r>
            <w:r w:rsidRPr="007E6F67">
              <w:t>= (</w:t>
            </w:r>
            <w:r w:rsidRPr="00FD17CF">
              <w:rPr>
                <w:i/>
                <w:iCs/>
              </w:rPr>
              <w:t>h</w:t>
            </w:r>
            <w:r w:rsidRPr="00FD17CF">
              <w:rPr>
                <w:vertAlign w:val="subscript"/>
              </w:rPr>
              <w:t>c </w:t>
            </w:r>
            <w:r w:rsidRPr="00FD17CF">
              <w:t>+ </w:t>
            </w:r>
            <w:r w:rsidRPr="00E05E29">
              <w:rPr>
                <w:i/>
                <w:iCs/>
              </w:rPr>
              <w:t>h</w:t>
            </w:r>
            <w:r w:rsidRPr="00196951">
              <w:rPr>
                <w:vertAlign w:val="subscript"/>
              </w:rPr>
              <w:t>sc</w:t>
            </w:r>
            <w:r w:rsidRPr="00196951">
              <w:t>)/2 (</w:t>
            </w:r>
            <m:oMath>
              <m:sSub>
                <m:sSubPr>
                  <m:ctrlPr>
                    <w:rPr>
                      <w:rFonts w:ascii="Cambria Math" w:hAnsi="Cambria Math"/>
                      <w:i/>
                    </w:rPr>
                  </m:ctrlPr>
                </m:sSubPr>
                <m:e>
                  <m:r>
                    <w:rPr>
                      <w:rFonts w:ascii="Cambria Math" w:hAnsi="Cambria Math"/>
                    </w:rPr>
                    <m:t>h</m:t>
                  </m:r>
                </m:e>
                <m:sub>
                  <m:r>
                    <m:rPr>
                      <m:sty m:val="p"/>
                    </m:rPr>
                    <w:rPr>
                      <w:rFonts w:ascii="Cambria Math" w:hAnsi="Cambria Math"/>
                    </w:rPr>
                    <m:t>sc</m:t>
                  </m:r>
                </m:sub>
              </m:sSub>
              <m:r>
                <w:rPr>
                  <w:rFonts w:ascii="Cambria Math" w:hAnsi="Cambria Math"/>
                </w:rPr>
                <m:t>=</m:t>
              </m:r>
              <m:r>
                <m:rPr>
                  <m:sty m:val="p"/>
                </m:rPr>
                <w:rPr>
                  <w:rFonts w:ascii="Cambria Math" w:hAnsi="Cambria Math"/>
                </w:rPr>
                <m:t>steel column depth</m:t>
              </m:r>
              <m:r>
                <w:rPr>
                  <w:rFonts w:ascii="Cambria Math" w:hAnsi="Cambria Math"/>
                </w:rPr>
                <m:t>)</m:t>
              </m:r>
            </m:oMath>
            <w:r w:rsidRPr="007E6F67">
              <w:t xml:space="preserve"> when only the steel column is present;</w:t>
            </w:r>
          </w:p>
        </w:tc>
      </w:tr>
      <w:tr w:rsidR="00922D9B" w:rsidRPr="00870D59" w14:paraId="67D37197" w14:textId="77777777" w:rsidTr="00B15DDF">
        <w:tc>
          <w:tcPr>
            <w:tcW w:w="1141" w:type="dxa"/>
          </w:tcPr>
          <w:p w14:paraId="67682369" w14:textId="457024DB" w:rsidR="00922D9B" w:rsidRPr="00922D9B" w:rsidRDefault="009B5CEC" w:rsidP="002061E5">
            <w:pPr>
              <w:spacing w:after="60"/>
              <w:rPr>
                <w:rFonts w:eastAsia="MS Mincho" w:cs="Cambria"/>
              </w:rPr>
            </w:pPr>
            <m:oMathPara>
              <m:oMathParaPr>
                <m:jc m:val="left"/>
              </m:oMathParaPr>
              <m:oMath>
                <m:sSub>
                  <m:sSubPr>
                    <m:ctrlPr>
                      <w:rPr>
                        <w:rFonts w:ascii="Cambria Math" w:hAnsi="Cambria Math"/>
                        <w:i/>
                      </w:rPr>
                    </m:ctrlPr>
                  </m:sSubPr>
                  <m:e>
                    <m:r>
                      <w:rPr>
                        <w:rFonts w:ascii="Cambria Math" w:hAnsi="Cambria Math"/>
                      </w:rPr>
                      <m:t>b</m:t>
                    </m:r>
                  </m:e>
                  <m:sub>
                    <m:r>
                      <m:rPr>
                        <m:sty m:val="p"/>
                      </m:rPr>
                      <w:rPr>
                        <w:rFonts w:ascii="Cambria Math" w:hAnsi="Cambria Math"/>
                      </w:rPr>
                      <m:t>c</m:t>
                    </m:r>
                  </m:sub>
                </m:sSub>
              </m:oMath>
            </m:oMathPara>
          </w:p>
        </w:tc>
        <w:tc>
          <w:tcPr>
            <w:tcW w:w="8079" w:type="dxa"/>
          </w:tcPr>
          <w:p w14:paraId="212371DA" w14:textId="4E4B567E" w:rsidR="00922D9B" w:rsidRPr="00132C1E" w:rsidRDefault="00922D9B" w:rsidP="002061E5">
            <w:pPr>
              <w:spacing w:after="60"/>
            </w:pPr>
            <w:r w:rsidRPr="00132C1E">
              <w:t>is the width of the concrete column (</w:t>
            </w:r>
            <w:r w:rsidRPr="00922D9B">
              <w:t>see Figure G.2</w:t>
            </w:r>
            <w:r w:rsidRPr="007E6F67">
              <w:t>)</w:t>
            </w:r>
            <w:r>
              <w:t>.</w:t>
            </w:r>
          </w:p>
        </w:tc>
      </w:tr>
      <w:tr w:rsidR="006D6B7E" w:rsidRPr="00870D59" w14:paraId="65290BC0" w14:textId="77777777" w:rsidTr="00B15DDF">
        <w:tc>
          <w:tcPr>
            <w:tcW w:w="1141" w:type="dxa"/>
          </w:tcPr>
          <w:p w14:paraId="410945BA" w14:textId="65D95A82" w:rsidR="006D6B7E" w:rsidRPr="004B502C" w:rsidRDefault="006D6B7E" w:rsidP="002061E5">
            <w:pPr>
              <w:spacing w:after="60"/>
              <w:rPr>
                <w:vertAlign w:val="subscript"/>
              </w:rPr>
            </w:pPr>
            <w:r>
              <w:rPr>
                <w:i/>
                <w:iCs/>
              </w:rPr>
              <w:t>h</w:t>
            </w:r>
            <w:r>
              <w:rPr>
                <w:vertAlign w:val="subscript"/>
              </w:rPr>
              <w:t>c</w:t>
            </w:r>
          </w:p>
        </w:tc>
        <w:tc>
          <w:tcPr>
            <w:tcW w:w="8079" w:type="dxa"/>
          </w:tcPr>
          <w:p w14:paraId="1BC4BA3A" w14:textId="4A8EC949" w:rsidR="006D6B7E" w:rsidRPr="00132C1E" w:rsidRDefault="006D6B7E" w:rsidP="002061E5">
            <w:pPr>
              <w:spacing w:after="60"/>
            </w:pPr>
            <w:r w:rsidRPr="006D6B7E">
              <w:t>is the depth of the concrete column</w:t>
            </w:r>
          </w:p>
        </w:tc>
      </w:tr>
    </w:tbl>
    <w:p w14:paraId="39B3B834" w14:textId="64C5C817" w:rsidR="00922D9B" w:rsidRPr="00196951" w:rsidRDefault="00922D9B" w:rsidP="00724E4E">
      <w:pPr>
        <w:pStyle w:val="Clause"/>
      </w:pPr>
      <w:r w:rsidRPr="00FD17CF">
        <w:t xml:space="preserve">When a steel column is present, </w:t>
      </w:r>
      <m:oMath>
        <m:sSub>
          <m:sSubPr>
            <m:ctrlPr>
              <w:rPr>
                <w:rFonts w:ascii="Cambria Math" w:hAnsi="Cambria Math"/>
                <w:i/>
              </w:rPr>
            </m:ctrlPr>
          </m:sSubPr>
          <m:e>
            <m:r>
              <w:rPr>
                <w:rFonts w:ascii="Cambria Math" w:hAnsi="Cambria Math"/>
              </w:rPr>
              <m:t>h</m:t>
            </m:r>
          </m:e>
          <m:sub>
            <m:r>
              <m:rPr>
                <m:sty m:val="p"/>
              </m:rPr>
              <w:rPr>
                <w:rFonts w:ascii="Cambria Math" w:hAnsi="Cambria Math"/>
              </w:rPr>
              <m:t>o</m:t>
            </m:r>
          </m:sub>
        </m:sSub>
      </m:oMath>
      <w:r w:rsidRPr="00132C1E">
        <w:t xml:space="preserve"> </w:t>
      </w:r>
      <w:r>
        <w:t>should</w:t>
      </w:r>
      <w:r w:rsidRPr="00D1484A">
        <w:t xml:space="preserve"> be taken as</w:t>
      </w:r>
      <w:r w:rsidRPr="007E6F67">
        <w:t xml:space="preserve"> the minimum of </w:t>
      </w:r>
      <w:r w:rsidRPr="00FD17CF">
        <w:rPr>
          <w:i/>
          <w:iCs/>
        </w:rPr>
        <w:t>h</w:t>
      </w:r>
      <w:r w:rsidRPr="00FD17CF">
        <w:rPr>
          <w:vertAlign w:val="subscript"/>
        </w:rPr>
        <w:t>p</w:t>
      </w:r>
      <w:r w:rsidRPr="00FD17CF">
        <w:t xml:space="preserve"> and 0,25 </w:t>
      </w:r>
      <w:r w:rsidRPr="00E05E29">
        <w:rPr>
          <w:i/>
          <w:iCs/>
        </w:rPr>
        <w:t>h</w:t>
      </w:r>
      <w:r w:rsidRPr="00196951">
        <w:rPr>
          <w:vertAlign w:val="subscript"/>
        </w:rPr>
        <w:t>b</w:t>
      </w:r>
      <w:r w:rsidRPr="00196951">
        <w:t xml:space="preserve">. Otherwise, </w:t>
      </w:r>
      <m:oMath>
        <m:sSub>
          <m:sSubPr>
            <m:ctrlPr>
              <w:rPr>
                <w:rFonts w:ascii="Cambria Math" w:hAnsi="Cambria Math"/>
                <w:i/>
              </w:rPr>
            </m:ctrlPr>
          </m:sSubPr>
          <m:e>
            <m:r>
              <w:rPr>
                <w:rFonts w:ascii="Cambria Math" w:hAnsi="Cambria Math"/>
              </w:rPr>
              <m:t>h</m:t>
            </m:r>
          </m:e>
          <m:sub>
            <m:r>
              <m:rPr>
                <m:sty m:val="p"/>
              </m:rPr>
              <w:rPr>
                <w:rFonts w:ascii="Cambria Math" w:hAnsi="Cambria Math"/>
              </w:rPr>
              <m:t>o</m:t>
            </m:r>
          </m:sub>
        </m:sSub>
      </m:oMath>
      <w:r w:rsidRPr="00132C1E">
        <w:t xml:space="preserve"> should be taken as 0,25</w:t>
      </w:r>
      <w:r w:rsidRPr="00D1484A">
        <w:rPr>
          <w:i/>
          <w:iCs/>
        </w:rPr>
        <w:t>h</w:t>
      </w:r>
      <w:r w:rsidRPr="00D1484A">
        <w:rPr>
          <w:vertAlign w:val="subscript"/>
        </w:rPr>
        <w:t>b</w:t>
      </w:r>
      <w:r w:rsidRPr="007E6F67">
        <w:t xml:space="preserve"> (</w:t>
      </w:r>
      <w:r w:rsidRPr="00922D9B">
        <w:t xml:space="preserve">see Figure G.1 for the definitions </w:t>
      </w:r>
      <w:r w:rsidRPr="00FD17CF">
        <w:t xml:space="preserve">of </w:t>
      </w:r>
      <w:r w:rsidRPr="00FD17CF">
        <w:rPr>
          <w:i/>
          <w:iCs/>
        </w:rPr>
        <w:t>h</w:t>
      </w:r>
      <w:r w:rsidRPr="00E05E29">
        <w:rPr>
          <w:vertAlign w:val="subscript"/>
        </w:rPr>
        <w:t>0</w:t>
      </w:r>
      <w:r w:rsidRPr="00196951">
        <w:t xml:space="preserve">, </w:t>
      </w:r>
      <w:r w:rsidRPr="00196951">
        <w:rPr>
          <w:i/>
          <w:iCs/>
        </w:rPr>
        <w:t>h</w:t>
      </w:r>
      <w:r w:rsidRPr="00196951">
        <w:rPr>
          <w:vertAlign w:val="subscript"/>
        </w:rPr>
        <w:t>b</w:t>
      </w:r>
      <w:r w:rsidRPr="00196951">
        <w:t xml:space="preserve"> and </w:t>
      </w:r>
      <w:r w:rsidRPr="00196951">
        <w:rPr>
          <w:i/>
          <w:iCs/>
        </w:rPr>
        <w:t>h</w:t>
      </w:r>
      <w:r w:rsidRPr="00196951">
        <w:rPr>
          <w:vertAlign w:val="subscript"/>
        </w:rPr>
        <w:t>p</w:t>
      </w:r>
      <w:r w:rsidRPr="00196951">
        <w:t>).</w:t>
      </w:r>
    </w:p>
    <w:p w14:paraId="05F2878A" w14:textId="03269B3D" w:rsidR="00922D9B" w:rsidRPr="00132C1E" w:rsidRDefault="00172416" w:rsidP="002833D2">
      <w:pPr>
        <w:pStyle w:val="FigureImage"/>
      </w:pPr>
      <w:r>
        <w:rPr>
          <w:noProof/>
        </w:rPr>
        <w:drawing>
          <wp:inline distT="0" distB="0" distL="0" distR="0" wp14:anchorId="7B1E30BF" wp14:editId="44E6A444">
            <wp:extent cx="5940562" cy="2656336"/>
            <wp:effectExtent l="0" t="0" r="3175" b="0"/>
            <wp:docPr id="23" name="g004.tiff" descr="Diagram, engineer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g004.tiff" descr="Diagram, engineering drawing&#10;&#10;Description automatically generated"/>
                    <pic:cNvPicPr/>
                  </pic:nvPicPr>
                  <pic:blipFill>
                    <a:blip r:link="rId123"/>
                    <a:stretch>
                      <a:fillRect/>
                    </a:stretch>
                  </pic:blipFill>
                  <pic:spPr>
                    <a:xfrm>
                      <a:off x="0" y="0"/>
                      <a:ext cx="5940562" cy="2656336"/>
                    </a:xfrm>
                    <a:prstGeom prst="rect">
                      <a:avLst/>
                    </a:prstGeom>
                  </pic:spPr>
                </pic:pic>
              </a:graphicData>
            </a:graphic>
          </wp:inline>
        </w:drawing>
      </w:r>
    </w:p>
    <w:p w14:paraId="44465B00" w14:textId="7A97823D" w:rsidR="00922D9B" w:rsidRPr="00D1484A" w:rsidRDefault="00922D9B" w:rsidP="00922D9B">
      <w:pPr>
        <w:pStyle w:val="Figuretitle"/>
      </w:pPr>
      <w:bookmarkStart w:id="11449" w:name="_Ref19630382"/>
      <w:r w:rsidRPr="00132C1E">
        <w:t>Figure G.</w:t>
      </w:r>
      <w:r w:rsidR="00801BE0">
        <w:t>4</w:t>
      </w:r>
      <w:bookmarkEnd w:id="11449"/>
      <w:r w:rsidRPr="00132C1E">
        <w:t xml:space="preserve"> — Joint design forces and </w:t>
      </w:r>
      <w:r w:rsidRPr="00D1484A">
        <w:t>internal force resultants</w:t>
      </w:r>
    </w:p>
    <w:p w14:paraId="5A1DECBC" w14:textId="77777777" w:rsidR="00922D9B" w:rsidRPr="00FD17CF" w:rsidRDefault="00922D9B" w:rsidP="00922D9B">
      <w:pPr>
        <w:pStyle w:val="a3"/>
      </w:pPr>
      <w:bookmarkStart w:id="11450" w:name="_Toc50150776"/>
      <w:bookmarkStart w:id="11451" w:name="_Toc70887209"/>
      <w:bookmarkStart w:id="11452" w:name="_Toc108342807"/>
      <w:bookmarkStart w:id="11453" w:name="_Toc120543893"/>
      <w:bookmarkStart w:id="11454" w:name="_Toc134198314"/>
      <w:r w:rsidRPr="00FD17CF">
        <w:t>Vertical bearing</w:t>
      </w:r>
      <w:bookmarkEnd w:id="11450"/>
      <w:bookmarkEnd w:id="11451"/>
      <w:bookmarkEnd w:id="11452"/>
      <w:bookmarkEnd w:id="11453"/>
      <w:bookmarkEnd w:id="11454"/>
    </w:p>
    <w:p w14:paraId="490FCB0D" w14:textId="0E12F20F" w:rsidR="00922D9B" w:rsidRPr="00E05E29" w:rsidRDefault="00922D9B" w:rsidP="0080187E">
      <w:pPr>
        <w:pStyle w:val="Clause"/>
        <w:numPr>
          <w:ilvl w:val="0"/>
          <w:numId w:val="598"/>
        </w:numPr>
      </w:pPr>
      <w:r w:rsidRPr="00E05E29">
        <w:t>The joint sh</w:t>
      </w:r>
      <w:r w:rsidRPr="00196951">
        <w:t xml:space="preserve">ould be verified for vertical bearing under the moment and shear forces, </w:t>
      </w:r>
      <m:oMath>
        <m:r>
          <w:rPr>
            <w:rFonts w:ascii="Cambria Math" w:hAnsi="Cambria Math"/>
          </w:rPr>
          <m:t>Σ</m:t>
        </m:r>
        <m:sSub>
          <m:sSubPr>
            <m:ctrlPr>
              <w:rPr>
                <w:rFonts w:ascii="Cambria Math" w:eastAsia="Cambria" w:hAnsi="Cambria Math"/>
                <w:i/>
              </w:rPr>
            </m:ctrlPr>
          </m:sSubPr>
          <m:e>
            <m:r>
              <w:rPr>
                <w:rFonts w:ascii="Cambria Math" w:hAnsi="Cambria Math"/>
              </w:rPr>
              <m:t>M</m:t>
            </m:r>
            <m:ctrlPr>
              <w:rPr>
                <w:rFonts w:ascii="Cambria Math" w:hAnsi="Cambria Math"/>
                <w:i/>
              </w:rPr>
            </m:ctrlPr>
          </m:e>
          <m:sub>
            <m:r>
              <m:rPr>
                <m:sty m:val="p"/>
              </m:rPr>
              <w:rPr>
                <w:rFonts w:ascii="Cambria Math" w:hAnsi="Cambria Math"/>
              </w:rPr>
              <m:t>Ed,C</m:t>
            </m:r>
          </m:sub>
        </m:sSub>
      </m:oMath>
      <w:r w:rsidRPr="00132C1E">
        <w:t xml:space="preserve"> and </w:t>
      </w:r>
      <m:oMath>
        <m:r>
          <m:rPr>
            <m:sty m:val="p"/>
          </m:rPr>
          <w:rPr>
            <w:rFonts w:ascii="Cambria Math" w:hAnsi="Cambria Math"/>
          </w:rPr>
          <m:t>Δ</m:t>
        </m:r>
        <m:sSub>
          <m:sSubPr>
            <m:ctrlPr>
              <w:rPr>
                <w:rFonts w:ascii="Cambria Math" w:eastAsia="Cambria" w:hAnsi="Cambria Math"/>
                <w:i/>
              </w:rPr>
            </m:ctrlPr>
          </m:sSubPr>
          <m:e>
            <m:r>
              <w:rPr>
                <w:rFonts w:ascii="Cambria Math" w:hAnsi="Cambria Math"/>
              </w:rPr>
              <m:t>V</m:t>
            </m:r>
            <m:ctrlPr>
              <w:rPr>
                <w:rFonts w:ascii="Cambria Math" w:hAnsi="Cambria Math"/>
                <w:i/>
              </w:rPr>
            </m:ctrlPr>
          </m:e>
          <m:sub>
            <m:r>
              <m:rPr>
                <m:sty m:val="p"/>
              </m:rPr>
              <w:rPr>
                <w:rFonts w:ascii="Cambria Math" w:hAnsi="Cambria Math"/>
              </w:rPr>
              <m:t>b</m:t>
            </m:r>
          </m:sub>
        </m:sSub>
      </m:oMath>
      <w:r w:rsidRPr="00132C1E">
        <w:t xml:space="preserve"> applied on it </w:t>
      </w:r>
      <w:r w:rsidRPr="00D1484A">
        <w:t>(</w:t>
      </w:r>
      <w:r w:rsidRPr="00D326DE">
        <w:t>see Figure G.3b).</w:t>
      </w:r>
    </w:p>
    <w:p w14:paraId="7DED9AFE" w14:textId="07DCF2A8" w:rsidR="00922D9B" w:rsidRPr="004F25D7" w:rsidRDefault="00922D9B" w:rsidP="00724E4E">
      <w:pPr>
        <w:pStyle w:val="Clause"/>
      </w:pPr>
      <w:r w:rsidRPr="00196951">
        <w:t>Vertical joint reinforcement (reinforcing bars, rods, steel angles or other elements attached to the steel beam to transfer forces into the concrete column</w:t>
      </w:r>
      <w:r w:rsidRPr="002144A0">
        <w:t>) should be used to prevent vertical bearing failure of composite joints.</w:t>
      </w:r>
    </w:p>
    <w:p w14:paraId="1F600A58" w14:textId="4255DC44" w:rsidR="00922D9B" w:rsidRPr="00132C1E" w:rsidRDefault="00922D9B" w:rsidP="00724E4E">
      <w:pPr>
        <w:pStyle w:val="Clause"/>
      </w:pPr>
      <w:r w:rsidRPr="00C52095">
        <w:t xml:space="preserve">The bending resistance against vertical bearing should </w:t>
      </w:r>
      <w:r w:rsidRPr="00D326DE">
        <w:t>satisfy Formula (G.4).</w:t>
      </w:r>
    </w:p>
    <w:p w14:paraId="1632BEB1" w14:textId="39E098BA" w:rsidR="00D326DE" w:rsidRDefault="006D6B7E" w:rsidP="00D326DE">
      <w:pPr>
        <w:pStyle w:val="Formula"/>
        <w:spacing w:before="240"/>
      </w:pPr>
      <m:oMath>
        <m:r>
          <w:rPr>
            <w:rFonts w:ascii="Cambria Math" w:hAnsi="Cambria Math"/>
          </w:rPr>
          <m:t>0,7[0,7</m:t>
        </m:r>
        <m:sSub>
          <m:sSubPr>
            <m:ctrlPr>
              <w:rPr>
                <w:rFonts w:ascii="Cambria Math" w:hAnsi="Cambria Math"/>
              </w:rPr>
            </m:ctrlPr>
          </m:sSubPr>
          <m:e>
            <m:r>
              <w:rPr>
                <w:rFonts w:ascii="Cambria Math" w:hAnsi="Cambria Math"/>
              </w:rPr>
              <m:t>h</m:t>
            </m:r>
          </m:e>
          <m:sub>
            <m:r>
              <m:rPr>
                <m:sty m:val="p"/>
              </m:rPr>
              <w:rPr>
                <w:rFonts w:ascii="Cambria Math" w:hAnsi="Cambria Math"/>
              </w:rPr>
              <m:t>c</m:t>
            </m:r>
          </m:sub>
        </m:sSub>
        <m:sSub>
          <m:sSubPr>
            <m:ctrlPr>
              <w:rPr>
                <w:rFonts w:ascii="Cambria Math" w:hAnsi="Cambria Math"/>
              </w:rPr>
            </m:ctrlPr>
          </m:sSubPr>
          <m:e>
            <m:r>
              <w:rPr>
                <w:rFonts w:ascii="Cambria Math" w:hAnsi="Cambria Math"/>
              </w:rPr>
              <m:t>C</m:t>
            </m:r>
          </m:e>
          <m:sub>
            <m:r>
              <m:rPr>
                <m:sty m:val="p"/>
              </m:rPr>
              <w:rPr>
                <w:rFonts w:ascii="Cambria Math" w:hAnsi="Cambria Math"/>
              </w:rPr>
              <m:t>cd</m:t>
            </m:r>
          </m:sub>
        </m:sSub>
        <m:r>
          <w:rPr>
            <w:rFonts w:ascii="Cambria Math" w:hAnsi="Cambria Math"/>
          </w:rPr>
          <m:t>+</m:t>
        </m:r>
        <m:sSub>
          <m:sSubPr>
            <m:ctrlPr>
              <w:rPr>
                <w:rFonts w:ascii="Cambria Math" w:hAnsi="Cambria Math"/>
              </w:rPr>
            </m:ctrlPr>
          </m:sSubPr>
          <m:e>
            <m:r>
              <w:rPr>
                <w:rFonts w:ascii="Cambria Math" w:hAnsi="Cambria Math"/>
              </w:rPr>
              <m:t>h</m:t>
            </m:r>
          </m:e>
          <m:sub>
            <m:r>
              <m:rPr>
                <m:sty m:val="p"/>
              </m:rPr>
              <w:rPr>
                <w:rFonts w:ascii="Cambria Math" w:hAnsi="Cambria Math"/>
              </w:rPr>
              <m:t>vr</m:t>
            </m:r>
          </m:sub>
        </m:sSub>
        <m:d>
          <m:dPr>
            <m:ctrlPr>
              <w:rPr>
                <w:rFonts w:ascii="Cambria Math" w:hAnsi="Cambria Math"/>
              </w:rPr>
            </m:ctrlPr>
          </m:dPr>
          <m:e>
            <m:sSub>
              <m:sSubPr>
                <m:ctrlPr>
                  <w:rPr>
                    <w:rFonts w:ascii="Cambria Math" w:hAnsi="Cambria Math"/>
                  </w:rPr>
                </m:ctrlPr>
              </m:sSubPr>
              <m:e>
                <m:r>
                  <w:rPr>
                    <w:rFonts w:ascii="Cambria Math" w:hAnsi="Cambria Math"/>
                  </w:rPr>
                  <m:t>T</m:t>
                </m:r>
              </m:e>
              <m:sub>
                <m:r>
                  <m:rPr>
                    <m:sty m:val="p"/>
                  </m:rPr>
                  <w:rPr>
                    <w:rFonts w:ascii="Cambria Math" w:hAnsi="Cambria Math"/>
                  </w:rPr>
                  <m:t>vrd</m:t>
                </m:r>
              </m:sub>
            </m:sSub>
            <m:r>
              <w:rPr>
                <w:rFonts w:ascii="Cambria Math" w:hAnsi="Cambria Math"/>
              </w:rPr>
              <m:t>+</m:t>
            </m:r>
            <m:sSub>
              <m:sSubPr>
                <m:ctrlPr>
                  <w:rPr>
                    <w:rFonts w:ascii="Cambria Math" w:hAnsi="Cambria Math"/>
                  </w:rPr>
                </m:ctrlPr>
              </m:sSubPr>
              <m:e>
                <m:r>
                  <w:rPr>
                    <w:rFonts w:ascii="Cambria Math" w:hAnsi="Cambria Math"/>
                  </w:rPr>
                  <m:t>C</m:t>
                </m:r>
              </m:e>
              <m:sub>
                <m:r>
                  <m:rPr>
                    <m:sty m:val="p"/>
                  </m:rPr>
                  <w:rPr>
                    <w:rFonts w:ascii="Cambria Math" w:hAnsi="Cambria Math"/>
                  </w:rPr>
                  <m:t>vrd</m:t>
                </m:r>
              </m:sub>
            </m:sSub>
          </m:e>
        </m:d>
        <m:r>
          <w:rPr>
            <w:rFonts w:ascii="Cambria Math" w:hAnsi="Cambria Math"/>
          </w:rPr>
          <m:t>]≥Σ</m:t>
        </m:r>
        <m:sSub>
          <m:sSubPr>
            <m:ctrlPr>
              <w:rPr>
                <w:rFonts w:ascii="Cambria Math" w:hAnsi="Cambria Math"/>
              </w:rPr>
            </m:ctrlPr>
          </m:sSubPr>
          <m:e>
            <m:r>
              <w:rPr>
                <w:rFonts w:ascii="Cambria Math" w:hAnsi="Cambria Math"/>
              </w:rPr>
              <m:t>M</m:t>
            </m:r>
          </m:e>
          <m:sub>
            <m:r>
              <m:rPr>
                <m:sty m:val="p"/>
              </m:rPr>
              <w:rPr>
                <w:rFonts w:ascii="Cambria Math" w:hAnsi="Cambria Math"/>
              </w:rPr>
              <m:t>Ed,C</m:t>
            </m:r>
          </m:sub>
        </m:sSub>
        <m:r>
          <w:rPr>
            <w:rFonts w:ascii="Cambria Math" w:hAnsi="Cambria Math"/>
          </w:rPr>
          <m:t>+0,35</m:t>
        </m:r>
        <m:sSub>
          <m:sSubPr>
            <m:ctrlPr>
              <w:rPr>
                <w:rFonts w:ascii="Cambria Math" w:hAnsi="Cambria Math"/>
              </w:rPr>
            </m:ctrlPr>
          </m:sSubPr>
          <m:e>
            <m:r>
              <w:rPr>
                <w:rFonts w:ascii="Cambria Math" w:hAnsi="Cambria Math"/>
              </w:rPr>
              <m:t>h</m:t>
            </m:r>
          </m:e>
          <m:sub>
            <m:r>
              <m:rPr>
                <m:sty m:val="p"/>
              </m:rPr>
              <w:rPr>
                <w:rFonts w:ascii="Cambria Math" w:hAnsi="Cambria Math"/>
              </w:rPr>
              <m:t>c</m:t>
            </m:r>
          </m:sub>
        </m:sSub>
        <m:r>
          <w:rPr>
            <w:rFonts w:ascii="Cambria Math" w:hAnsi="Cambria Math"/>
          </w:rPr>
          <m:t>Δ</m:t>
        </m:r>
        <m:sSub>
          <m:sSubPr>
            <m:ctrlPr>
              <w:rPr>
                <w:rFonts w:ascii="Cambria Math" w:hAnsi="Cambria Math"/>
              </w:rPr>
            </m:ctrlPr>
          </m:sSubPr>
          <m:e>
            <m:r>
              <w:rPr>
                <w:rFonts w:ascii="Cambria Math" w:hAnsi="Cambria Math"/>
              </w:rPr>
              <m:t>V</m:t>
            </m:r>
          </m:e>
          <m:sub>
            <m:r>
              <m:rPr>
                <m:sty m:val="p"/>
              </m:rPr>
              <w:rPr>
                <w:rFonts w:ascii="Cambria Math" w:hAnsi="Cambria Math"/>
              </w:rPr>
              <m:t>b</m:t>
            </m:r>
          </m:sub>
        </m:sSub>
      </m:oMath>
      <w:r w:rsidR="00D326DE" w:rsidRPr="00922D9B">
        <w:tab/>
        <w:t>(G.</w:t>
      </w:r>
      <w:r w:rsidR="00D326DE">
        <w:t>4</w:t>
      </w:r>
      <w:r w:rsidR="00D326DE" w:rsidRPr="00922D9B">
        <w:t>)</w:t>
      </w:r>
    </w:p>
    <w:p w14:paraId="784FF680" w14:textId="29F1DE84" w:rsidR="006D6B7E" w:rsidRPr="00F36D4E" w:rsidRDefault="006D6B7E" w:rsidP="00801BE0">
      <w:pPr>
        <w:pStyle w:val="Text"/>
      </w:pPr>
      <w:r>
        <w:t>where</w:t>
      </w:r>
    </w:p>
    <w:tbl>
      <w:tblPr>
        <w:tblW w:w="0" w:type="auto"/>
        <w:tblInd w:w="346" w:type="dxa"/>
        <w:tblLook w:val="04A0" w:firstRow="1" w:lastRow="0" w:firstColumn="1" w:lastColumn="0" w:noHBand="0" w:noVBand="1"/>
      </w:tblPr>
      <w:tblGrid>
        <w:gridCol w:w="1275"/>
        <w:gridCol w:w="7938"/>
      </w:tblGrid>
      <w:tr w:rsidR="00D326DE" w:rsidRPr="00870D59" w14:paraId="52B1FF70" w14:textId="77777777" w:rsidTr="00B15DDF">
        <w:tc>
          <w:tcPr>
            <w:tcW w:w="1275" w:type="dxa"/>
          </w:tcPr>
          <w:p w14:paraId="33CA4D44" w14:textId="43173587" w:rsidR="00D326DE" w:rsidRPr="00460668" w:rsidRDefault="009B5CEC" w:rsidP="002061E5">
            <w:pPr>
              <w:spacing w:after="60"/>
              <w:rPr>
                <w:rFonts w:eastAsia="Times New Roman" w:cs="Cambria"/>
                <w:szCs w:val="20"/>
                <w:lang w:eastAsia="fr-FR"/>
              </w:rPr>
            </w:pPr>
            <m:oMathPara>
              <m:oMathParaPr>
                <m:jc m:val="left"/>
              </m:oMathParaPr>
              <m:oMath>
                <m:sSub>
                  <m:sSubPr>
                    <m:ctrlPr>
                      <w:rPr>
                        <w:rFonts w:ascii="Cambria Math" w:hAnsi="Cambria Math"/>
                        <w:i/>
                      </w:rPr>
                    </m:ctrlPr>
                  </m:sSubPr>
                  <m:e>
                    <m:r>
                      <w:rPr>
                        <w:rFonts w:ascii="Cambria Math" w:hAnsi="Cambria Math"/>
                      </w:rPr>
                      <m:t>C</m:t>
                    </m:r>
                  </m:e>
                  <m:sub>
                    <m:r>
                      <m:rPr>
                        <m:sty m:val="p"/>
                      </m:rPr>
                      <w:rPr>
                        <w:rFonts w:ascii="Cambria Math" w:hAnsi="Cambria Math"/>
                      </w:rPr>
                      <m:t>cd</m:t>
                    </m:r>
                  </m:sub>
                </m:sSub>
              </m:oMath>
            </m:oMathPara>
          </w:p>
        </w:tc>
        <w:tc>
          <w:tcPr>
            <w:tcW w:w="7938" w:type="dxa"/>
          </w:tcPr>
          <w:p w14:paraId="7302EFAF" w14:textId="05039662" w:rsidR="00D326DE" w:rsidRPr="00D326DE" w:rsidRDefault="00F36D4E" w:rsidP="002061E5">
            <w:pPr>
              <w:spacing w:after="60"/>
              <w:rPr>
                <w:rFonts w:eastAsia="Times New Roman" w:cs="Cambria"/>
                <w:szCs w:val="20"/>
                <w:lang w:eastAsia="fr-FR"/>
              </w:rPr>
            </w:pPr>
            <w:r>
              <w:t>= 0,6</w:t>
            </w:r>
            <w:r>
              <w:rPr>
                <w:i/>
                <w:iCs/>
              </w:rPr>
              <w:t>f</w:t>
            </w:r>
            <w:r>
              <w:rPr>
                <w:vertAlign w:val="subscript"/>
              </w:rPr>
              <w:t xml:space="preserve">cd </w:t>
            </w:r>
            <w:r>
              <w:rPr>
                <w:i/>
                <w:iCs/>
              </w:rPr>
              <w:t>b</w:t>
            </w:r>
            <w:r>
              <w:rPr>
                <w:vertAlign w:val="subscript"/>
              </w:rPr>
              <w:t xml:space="preserve">j </w:t>
            </w:r>
            <w:r>
              <w:rPr>
                <w:i/>
                <w:iCs/>
              </w:rPr>
              <w:t>h</w:t>
            </w:r>
            <w:r>
              <w:rPr>
                <w:vertAlign w:val="subscript"/>
              </w:rPr>
              <w:t>c</w:t>
            </w:r>
            <w:r>
              <w:t xml:space="preserve"> </w:t>
            </w:r>
            <w:r w:rsidR="00D326DE" w:rsidRPr="00D326DE">
              <w:t>is the design concrete bearing resistance (see Figure G.4);</w:t>
            </w:r>
          </w:p>
        </w:tc>
      </w:tr>
      <w:tr w:rsidR="00D326DE" w:rsidRPr="00870D59" w14:paraId="0CDE994A" w14:textId="77777777" w:rsidTr="00B15DDF">
        <w:tc>
          <w:tcPr>
            <w:tcW w:w="1275" w:type="dxa"/>
          </w:tcPr>
          <w:p w14:paraId="11A15710" w14:textId="5E975B68" w:rsidR="00D326DE" w:rsidRPr="00922D9B" w:rsidRDefault="009B5CEC" w:rsidP="002061E5">
            <w:pPr>
              <w:spacing w:after="60"/>
              <w:rPr>
                <w:rFonts w:eastAsia="MS Mincho" w:cs="Cambria"/>
              </w:rPr>
            </w:pPr>
            <m:oMathPara>
              <m:oMathParaPr>
                <m:jc m:val="left"/>
              </m:oMathParaPr>
              <m:oMath>
                <m:sSub>
                  <m:sSubPr>
                    <m:ctrlPr>
                      <w:rPr>
                        <w:rFonts w:ascii="Cambria Math" w:hAnsi="Cambria Math"/>
                        <w:i/>
                      </w:rPr>
                    </m:ctrlPr>
                  </m:sSubPr>
                  <m:e>
                    <m:r>
                      <w:rPr>
                        <w:rFonts w:ascii="Cambria Math" w:hAnsi="Cambria Math"/>
                      </w:rPr>
                      <m:t>T</m:t>
                    </m:r>
                  </m:e>
                  <m:sub>
                    <m:r>
                      <m:rPr>
                        <m:sty m:val="p"/>
                      </m:rPr>
                      <w:rPr>
                        <w:rFonts w:ascii="Cambria Math" w:hAnsi="Cambria Math"/>
                      </w:rPr>
                      <m:t>vrd</m:t>
                    </m:r>
                  </m:sub>
                </m:sSub>
              </m:oMath>
            </m:oMathPara>
          </w:p>
        </w:tc>
        <w:tc>
          <w:tcPr>
            <w:tcW w:w="7938" w:type="dxa"/>
          </w:tcPr>
          <w:p w14:paraId="7595BF73" w14:textId="73B52F62" w:rsidR="00D326DE" w:rsidRPr="00D326DE" w:rsidRDefault="00D326DE" w:rsidP="00D326DE">
            <w:pPr>
              <w:spacing w:after="60"/>
            </w:pPr>
            <w:r w:rsidRPr="00D326DE">
              <w:t>is the design tensile resistance of the tension vertical joint reinforcement attached directly to the steel beam (see Figure G.4);</w:t>
            </w:r>
          </w:p>
        </w:tc>
      </w:tr>
      <w:tr w:rsidR="00D326DE" w:rsidRPr="00870D59" w14:paraId="433A08FC" w14:textId="77777777" w:rsidTr="00B15DDF">
        <w:tc>
          <w:tcPr>
            <w:tcW w:w="1275" w:type="dxa"/>
          </w:tcPr>
          <w:p w14:paraId="52AB5EC2" w14:textId="413B888B" w:rsidR="00D326DE" w:rsidRPr="00922D9B" w:rsidRDefault="009B5CEC" w:rsidP="002061E5">
            <w:pPr>
              <w:spacing w:after="60"/>
              <w:rPr>
                <w:rFonts w:eastAsia="MS Mincho" w:cs="Cambria"/>
              </w:rPr>
            </w:pPr>
            <m:oMathPara>
              <m:oMathParaPr>
                <m:jc m:val="left"/>
              </m:oMathParaPr>
              <m:oMath>
                <m:sSub>
                  <m:sSubPr>
                    <m:ctrlPr>
                      <w:rPr>
                        <w:rFonts w:ascii="Cambria Math" w:hAnsi="Cambria Math"/>
                        <w:i/>
                      </w:rPr>
                    </m:ctrlPr>
                  </m:sSubPr>
                  <m:e>
                    <m:r>
                      <w:rPr>
                        <w:rFonts w:ascii="Cambria Math" w:hAnsi="Cambria Math"/>
                      </w:rPr>
                      <m:t>C</m:t>
                    </m:r>
                  </m:e>
                  <m:sub>
                    <m:r>
                      <m:rPr>
                        <m:sty m:val="p"/>
                      </m:rPr>
                      <w:rPr>
                        <w:rFonts w:ascii="Cambria Math" w:hAnsi="Cambria Math"/>
                      </w:rPr>
                      <m:t>vrd</m:t>
                    </m:r>
                  </m:sub>
                </m:sSub>
              </m:oMath>
            </m:oMathPara>
          </w:p>
        </w:tc>
        <w:tc>
          <w:tcPr>
            <w:tcW w:w="7938" w:type="dxa"/>
          </w:tcPr>
          <w:p w14:paraId="135F1F22" w14:textId="55647529" w:rsidR="00D326DE" w:rsidRPr="00D326DE" w:rsidRDefault="00D326DE" w:rsidP="002061E5">
            <w:pPr>
              <w:spacing w:after="60"/>
            </w:pPr>
            <w:r w:rsidRPr="00D326DE">
              <w:t>is the design compressive resistance of the compression vertical joint reinforcement attached directly to the steel beam (see Figure G.4);</w:t>
            </w:r>
          </w:p>
        </w:tc>
      </w:tr>
      <w:tr w:rsidR="00D326DE" w:rsidRPr="00870D59" w14:paraId="02F0646F" w14:textId="77777777" w:rsidTr="00B15DDF">
        <w:tc>
          <w:tcPr>
            <w:tcW w:w="1275" w:type="dxa"/>
          </w:tcPr>
          <w:p w14:paraId="42CBFA05" w14:textId="28293517" w:rsidR="00D326DE" w:rsidRPr="00D326DE" w:rsidRDefault="009B5CEC" w:rsidP="002061E5">
            <w:pPr>
              <w:spacing w:after="60"/>
              <w:rPr>
                <w:rFonts w:eastAsia="MS Mincho" w:cs="Cambria"/>
              </w:rPr>
            </w:pPr>
            <m:oMathPara>
              <m:oMathParaPr>
                <m:jc m:val="left"/>
              </m:oMathParaPr>
              <m:oMath>
                <m:sSub>
                  <m:sSubPr>
                    <m:ctrlPr>
                      <w:rPr>
                        <w:rFonts w:ascii="Cambria Math" w:hAnsi="Cambria Math"/>
                        <w:i/>
                      </w:rPr>
                    </m:ctrlPr>
                  </m:sSubPr>
                  <m:e>
                    <m:r>
                      <w:rPr>
                        <w:rFonts w:ascii="Cambria Math" w:hAnsi="Cambria Math"/>
                      </w:rPr>
                      <m:t>h</m:t>
                    </m:r>
                  </m:e>
                  <m:sub>
                    <m:r>
                      <m:rPr>
                        <m:sty m:val="p"/>
                      </m:rPr>
                      <w:rPr>
                        <w:rFonts w:ascii="Cambria Math" w:hAnsi="Cambria Math"/>
                      </w:rPr>
                      <m:t>vr</m:t>
                    </m:r>
                  </m:sub>
                </m:sSub>
              </m:oMath>
            </m:oMathPara>
          </w:p>
        </w:tc>
        <w:tc>
          <w:tcPr>
            <w:tcW w:w="7938" w:type="dxa"/>
          </w:tcPr>
          <w:p w14:paraId="264367C3" w14:textId="2DE7DDF3" w:rsidR="00D326DE" w:rsidRPr="00D326DE" w:rsidRDefault="00D326DE" w:rsidP="002061E5">
            <w:pPr>
              <w:spacing w:after="60"/>
            </w:pPr>
            <w:r w:rsidRPr="00D326DE">
              <w:t>is the distance between the tension and compression vertical joint reinforcement (see Figure G.4);</w:t>
            </w:r>
          </w:p>
        </w:tc>
      </w:tr>
      <w:tr w:rsidR="00D326DE" w:rsidRPr="00870D59" w14:paraId="26B2D1E1" w14:textId="77777777" w:rsidTr="00B15DDF">
        <w:tc>
          <w:tcPr>
            <w:tcW w:w="1275" w:type="dxa"/>
          </w:tcPr>
          <w:p w14:paraId="3C63000E" w14:textId="55344F3D" w:rsidR="00D326DE" w:rsidRPr="00D326DE" w:rsidRDefault="009B5CEC" w:rsidP="002061E5">
            <w:pPr>
              <w:spacing w:after="60"/>
              <w:rPr>
                <w:rFonts w:eastAsia="MS Mincho" w:cs="Cambria"/>
              </w:rPr>
            </w:pPr>
            <m:oMathPara>
              <m:oMathParaPr>
                <m:jc m:val="left"/>
              </m:oMathParaPr>
              <m:oMath>
                <m:sSub>
                  <m:sSubPr>
                    <m:ctrlPr>
                      <w:rPr>
                        <w:rFonts w:ascii="Cambria Math" w:hAnsi="Cambria Math"/>
                        <w:i/>
                      </w:rPr>
                    </m:ctrlPr>
                  </m:sSubPr>
                  <m:e>
                    <m:r>
                      <m:rPr>
                        <m:sty m:val="p"/>
                      </m:rPr>
                      <w:rPr>
                        <w:rFonts w:ascii="Cambria Math" w:hAnsi="Cambria Math"/>
                      </w:rPr>
                      <m:t>Δ</m:t>
                    </m:r>
                    <m:r>
                      <w:rPr>
                        <w:rFonts w:ascii="Cambria Math" w:hAnsi="Cambria Math"/>
                      </w:rPr>
                      <m:t>V</m:t>
                    </m:r>
                  </m:e>
                  <m:sub>
                    <m:r>
                      <m:rPr>
                        <m:sty m:val="p"/>
                      </m:rPr>
                      <w:rPr>
                        <w:rFonts w:ascii="Cambria Math" w:hAnsi="Cambria Math"/>
                      </w:rPr>
                      <m:t>b</m:t>
                    </m:r>
                  </m:sub>
                </m:sSub>
              </m:oMath>
            </m:oMathPara>
          </w:p>
        </w:tc>
        <w:tc>
          <w:tcPr>
            <w:tcW w:w="7938" w:type="dxa"/>
          </w:tcPr>
          <w:p w14:paraId="3D05E86F" w14:textId="229F0738" w:rsidR="00D326DE" w:rsidRPr="00D326DE" w:rsidRDefault="00D326DE" w:rsidP="002061E5">
            <w:pPr>
              <w:spacing w:after="60"/>
            </w:pPr>
            <w:r w:rsidRPr="00D326DE">
              <w:t>is the difference in the shear demand between the two beams intersecting the column joint (see Figure G.4).</w:t>
            </w:r>
          </w:p>
        </w:tc>
      </w:tr>
    </w:tbl>
    <w:p w14:paraId="64B53317" w14:textId="72EFF03F" w:rsidR="00D326DE" w:rsidRPr="00196951" w:rsidRDefault="00D326DE" w:rsidP="00724E4E">
      <w:pPr>
        <w:pStyle w:val="Clause"/>
      </w:pPr>
      <w:r w:rsidRPr="00FD17CF">
        <w:t>The vertical reinforcement should</w:t>
      </w:r>
      <w:r w:rsidRPr="00E05E29">
        <w:t xml:space="preserve"> be fully anchored to concrete or connected to the steel beam.</w:t>
      </w:r>
    </w:p>
    <w:p w14:paraId="1675F7C3" w14:textId="79E08F07" w:rsidR="00D326DE" w:rsidRPr="00C52095" w:rsidRDefault="00D326DE" w:rsidP="00724E4E">
      <w:pPr>
        <w:pStyle w:val="Clause"/>
      </w:pPr>
      <w:r w:rsidRPr="002144A0">
        <w:t>The contribution of the vertical reinforcement should</w:t>
      </w:r>
      <w:r w:rsidRPr="004F25D7">
        <w:t xml:space="preserve"> </w:t>
      </w:r>
      <w:r w:rsidRPr="00D326DE">
        <w:t>satisfy Formula (G.5).</w:t>
      </w:r>
    </w:p>
    <w:p w14:paraId="7E713B0E" w14:textId="62D8CCC2" w:rsidR="00D326DE" w:rsidRPr="00922D9B" w:rsidRDefault="009B5CEC" w:rsidP="00D326DE">
      <w:pPr>
        <w:pStyle w:val="Formula"/>
        <w:spacing w:before="240"/>
      </w:pPr>
      <m:oMath>
        <m:sSub>
          <m:sSubPr>
            <m:ctrlPr>
              <w:rPr>
                <w:rFonts w:ascii="Cambria Math" w:hAnsi="Cambria Math"/>
              </w:rPr>
            </m:ctrlPr>
          </m:sSubPr>
          <m:e>
            <m:r>
              <w:rPr>
                <w:rFonts w:ascii="Cambria Math" w:hAnsi="Cambria Math"/>
              </w:rPr>
              <m:t>T</m:t>
            </m:r>
          </m:e>
          <m:sub>
            <m:r>
              <m:rPr>
                <m:sty m:val="p"/>
              </m:rPr>
              <w:rPr>
                <w:rFonts w:ascii="Cambria Math" w:hAnsi="Cambria Math"/>
              </w:rPr>
              <m:t>vrd</m:t>
            </m:r>
          </m:sub>
        </m:sSub>
        <m:r>
          <w:rPr>
            <w:rFonts w:ascii="Cambria Math" w:hAnsi="Cambria Math"/>
          </w:rPr>
          <m:t>+</m:t>
        </m:r>
        <m:sSub>
          <m:sSubPr>
            <m:ctrlPr>
              <w:rPr>
                <w:rFonts w:ascii="Cambria Math" w:hAnsi="Cambria Math"/>
              </w:rPr>
            </m:ctrlPr>
          </m:sSubPr>
          <m:e>
            <m:r>
              <w:rPr>
                <w:rFonts w:ascii="Cambria Math" w:hAnsi="Cambria Math"/>
              </w:rPr>
              <m:t>C</m:t>
            </m:r>
          </m:e>
          <m:sub>
            <m:r>
              <m:rPr>
                <m:sty m:val="p"/>
              </m:rPr>
              <w:rPr>
                <w:rFonts w:ascii="Cambria Math" w:hAnsi="Cambria Math"/>
              </w:rPr>
              <m:t>vrd</m:t>
            </m:r>
          </m:sub>
        </m:sSub>
        <m:r>
          <w:rPr>
            <w:rFonts w:ascii="Cambria Math" w:hAnsi="Cambria Math"/>
          </w:rPr>
          <m:t>≤0,5</m:t>
        </m:r>
        <m:sSub>
          <m:sSubPr>
            <m:ctrlPr>
              <w:rPr>
                <w:rFonts w:ascii="Cambria Math" w:hAnsi="Cambria Math"/>
              </w:rPr>
            </m:ctrlPr>
          </m:sSubPr>
          <m:e>
            <m:r>
              <w:rPr>
                <w:rFonts w:ascii="Cambria Math" w:hAnsi="Cambria Math"/>
              </w:rPr>
              <m:t>C</m:t>
            </m:r>
          </m:e>
          <m:sub>
            <m:r>
              <m:rPr>
                <m:sty m:val="p"/>
              </m:rPr>
              <w:rPr>
                <w:rFonts w:ascii="Cambria Math" w:hAnsi="Cambria Math"/>
              </w:rPr>
              <m:t>cd</m:t>
            </m:r>
          </m:sub>
        </m:sSub>
      </m:oMath>
      <w:r w:rsidR="00D326DE" w:rsidRPr="00922D9B">
        <w:tab/>
        <w:t>(G.</w:t>
      </w:r>
      <w:r w:rsidR="00D326DE">
        <w:t>5</w:t>
      </w:r>
      <w:r w:rsidR="00D326DE" w:rsidRPr="00922D9B">
        <w:t>)</w:t>
      </w:r>
    </w:p>
    <w:p w14:paraId="4B1AE47F" w14:textId="77777777" w:rsidR="00D326DE" w:rsidRPr="00E05E29" w:rsidRDefault="00D326DE" w:rsidP="00D326DE">
      <w:pPr>
        <w:pStyle w:val="a3"/>
      </w:pPr>
      <w:bookmarkStart w:id="11455" w:name="_Toc50150777"/>
      <w:bookmarkStart w:id="11456" w:name="_Toc70887210"/>
      <w:bookmarkStart w:id="11457" w:name="_Toc108342808"/>
      <w:bookmarkStart w:id="11458" w:name="_Toc120543894"/>
      <w:bookmarkStart w:id="11459" w:name="_Toc134198315"/>
      <w:r w:rsidRPr="00FD17CF">
        <w:t>Joint shear resistance</w:t>
      </w:r>
      <w:bookmarkEnd w:id="11455"/>
      <w:bookmarkEnd w:id="11456"/>
      <w:bookmarkEnd w:id="11457"/>
      <w:bookmarkEnd w:id="11458"/>
      <w:bookmarkEnd w:id="11459"/>
    </w:p>
    <w:p w14:paraId="61BCB6E0" w14:textId="435422FF" w:rsidR="00D326DE" w:rsidRPr="00196951" w:rsidRDefault="00D326DE" w:rsidP="0080187E">
      <w:pPr>
        <w:pStyle w:val="Clause"/>
        <w:numPr>
          <w:ilvl w:val="0"/>
          <w:numId w:val="599"/>
        </w:numPr>
      </w:pPr>
      <w:r w:rsidRPr="00196951">
        <w:t xml:space="preserve">The design shear resistance of a composite joint should be calculated as the sum of the design shear resistance of the steel panel, </w:t>
      </w:r>
      <m:oMath>
        <m:sSub>
          <m:sSubPr>
            <m:ctrlPr>
              <w:rPr>
                <w:rFonts w:ascii="Cambria Math" w:hAnsi="Cambria Math"/>
                <w:i/>
              </w:rPr>
            </m:ctrlPr>
          </m:sSubPr>
          <m:e>
            <m:r>
              <w:rPr>
                <w:rFonts w:ascii="Cambria Math" w:hAnsi="Cambria Math"/>
              </w:rPr>
              <m:t>V</m:t>
            </m:r>
          </m:e>
          <m:sub>
            <m:r>
              <m:rPr>
                <m:sty m:val="p"/>
              </m:rPr>
              <w:rPr>
                <w:rFonts w:ascii="Cambria Math" w:hAnsi="Cambria Math"/>
              </w:rPr>
              <m:t>sd</m:t>
            </m:r>
          </m:sub>
        </m:sSub>
      </m:oMath>
      <w:r w:rsidRPr="00132C1E">
        <w:t xml:space="preserve">, </w:t>
      </w:r>
      <w:r w:rsidRPr="00D326DE">
        <w:t xml:space="preserve">defined in </w:t>
      </w:r>
      <w:r w:rsidRPr="00835C82">
        <w:t>(3)</w:t>
      </w:r>
      <w:r w:rsidRPr="00D326DE">
        <w:t xml:space="preserve">, the inner concrete compression strut, </w:t>
      </w:r>
      <m:oMath>
        <m:sSub>
          <m:sSubPr>
            <m:ctrlPr>
              <w:rPr>
                <w:rFonts w:ascii="Cambria Math" w:hAnsi="Cambria Math"/>
                <w:i/>
              </w:rPr>
            </m:ctrlPr>
          </m:sSubPr>
          <m:e>
            <m:r>
              <w:rPr>
                <w:rFonts w:ascii="Cambria Math" w:hAnsi="Cambria Math"/>
              </w:rPr>
              <m:t>V</m:t>
            </m:r>
          </m:e>
          <m:sub>
            <m:r>
              <m:rPr>
                <m:sty m:val="p"/>
              </m:rPr>
              <w:rPr>
                <w:rFonts w:ascii="Cambria Math" w:hAnsi="Cambria Math"/>
              </w:rPr>
              <m:t>csd</m:t>
            </m:r>
          </m:sub>
        </m:sSub>
      </m:oMath>
      <w:r w:rsidRPr="00D326DE">
        <w:t xml:space="preserve">, defined in </w:t>
      </w:r>
      <w:r w:rsidRPr="00835C82">
        <w:t>(4)</w:t>
      </w:r>
      <w:r w:rsidRPr="00D326DE">
        <w:t xml:space="preserve">, and bearing against face bearing plates within the beam depth, and the outer concrete compressive field, </w:t>
      </w:r>
      <w:bookmarkStart w:id="11460" w:name="_Hlk17532289"/>
      <m:oMath>
        <m:sSub>
          <m:sSubPr>
            <m:ctrlPr>
              <w:rPr>
                <w:rFonts w:ascii="Cambria Math" w:hAnsi="Cambria Math"/>
                <w:i/>
              </w:rPr>
            </m:ctrlPr>
          </m:sSubPr>
          <m:e>
            <m:r>
              <w:rPr>
                <w:rFonts w:ascii="Cambria Math" w:hAnsi="Cambria Math"/>
              </w:rPr>
              <m:t>V</m:t>
            </m:r>
          </m:e>
          <m:sub>
            <m:r>
              <m:rPr>
                <m:sty m:val="p"/>
              </m:rPr>
              <w:rPr>
                <w:rFonts w:ascii="Cambria Math" w:hAnsi="Cambria Math"/>
              </w:rPr>
              <m:t>cfd</m:t>
            </m:r>
          </m:sub>
        </m:sSub>
      </m:oMath>
      <w:bookmarkEnd w:id="11460"/>
      <w:r w:rsidRPr="00D326DE">
        <w:t xml:space="preserve"> defined in </w:t>
      </w:r>
      <w:r w:rsidRPr="00835C82">
        <w:t>(5)</w:t>
      </w:r>
      <w:r w:rsidRPr="00D326DE">
        <w:t xml:space="preserve"> and forming in the outer panel width (see Figure G.4b).</w:t>
      </w:r>
    </w:p>
    <w:p w14:paraId="1FC087F1" w14:textId="0E5A98C0" w:rsidR="00D326DE" w:rsidRPr="00C52095" w:rsidRDefault="00D326DE" w:rsidP="00D326DE">
      <w:pPr>
        <w:pStyle w:val="Notetext"/>
      </w:pPr>
      <w:r w:rsidRPr="002144A0">
        <w:t>NOTE</w:t>
      </w:r>
      <w:r w:rsidRPr="002144A0">
        <w:tab/>
        <w:t xml:space="preserve">The three shear resisting mechanisms are </w:t>
      </w:r>
      <w:r w:rsidRPr="00D326DE">
        <w:t>shown in Figure G.5</w:t>
      </w:r>
      <w:r w:rsidRPr="00C52095">
        <w:rPr>
          <w:color w:val="00B050"/>
        </w:rPr>
        <w:t>.</w:t>
      </w:r>
    </w:p>
    <w:p w14:paraId="382BF6DA" w14:textId="0DCF6A41" w:rsidR="00D326DE" w:rsidRPr="00132C1E" w:rsidRDefault="00D326DE" w:rsidP="00724E4E">
      <w:pPr>
        <w:pStyle w:val="Clause"/>
      </w:pPr>
      <w:r w:rsidRPr="007754C9">
        <w:t xml:space="preserve">The design shear resistance of a composite joint should satisfy the condition given </w:t>
      </w:r>
      <w:r w:rsidRPr="00D326DE">
        <w:t>by Formula (G.6).</w:t>
      </w:r>
    </w:p>
    <w:p w14:paraId="56C4CDA2" w14:textId="115DF554" w:rsidR="00D326DE" w:rsidRDefault="009B5CEC" w:rsidP="00D326DE">
      <w:pPr>
        <w:pStyle w:val="Formula"/>
        <w:spacing w:before="240"/>
      </w:pPr>
      <m:oMath>
        <m:d>
          <m:dPr>
            <m:begChr m:val="["/>
            <m:endChr m:val="]"/>
            <m:ctrlPr>
              <w:rPr>
                <w:rFonts w:ascii="Cambria Math" w:hAnsi="Cambria Math"/>
              </w:rPr>
            </m:ctrlPr>
          </m:dPr>
          <m:e>
            <m:sSub>
              <m:sSubPr>
                <m:ctrlPr>
                  <w:rPr>
                    <w:rFonts w:ascii="Cambria Math" w:hAnsi="Cambria Math"/>
                  </w:rPr>
                </m:ctrlPr>
              </m:sSubPr>
              <m:e>
                <m:r>
                  <w:rPr>
                    <w:rFonts w:ascii="Cambria Math" w:hAnsi="Cambria Math"/>
                  </w:rPr>
                  <m:t>V</m:t>
                </m:r>
              </m:e>
              <m:sub>
                <m:r>
                  <m:rPr>
                    <m:sty m:val="p"/>
                  </m:rPr>
                  <w:rPr>
                    <w:rFonts w:ascii="Cambria Math" w:hAnsi="Cambria Math"/>
                  </w:rPr>
                  <m:t>sd</m:t>
                </m:r>
              </m:sub>
            </m:sSub>
            <m:sSub>
              <m:sSubPr>
                <m:ctrlPr>
                  <w:rPr>
                    <w:rFonts w:ascii="Cambria Math" w:hAnsi="Cambria Math"/>
                  </w:rPr>
                </m:ctrlPr>
              </m:sSubPr>
              <m:e>
                <m:r>
                  <w:rPr>
                    <w:rFonts w:ascii="Cambria Math" w:hAnsi="Cambria Math"/>
                  </w:rPr>
                  <m:t>h</m:t>
                </m:r>
              </m:e>
              <m:sub>
                <m:r>
                  <m:rPr>
                    <m:sty m:val="p"/>
                  </m:rPr>
                  <w:rPr>
                    <w:rFonts w:ascii="Cambria Math" w:hAnsi="Cambria Math"/>
                  </w:rPr>
                  <m:t>f</m:t>
                </m:r>
              </m:sub>
            </m:sSub>
            <m:r>
              <w:rPr>
                <w:rFonts w:ascii="Cambria Math" w:hAnsi="Cambria Math"/>
              </w:rPr>
              <m:t>+0,75</m:t>
            </m:r>
            <m:sSub>
              <m:sSubPr>
                <m:ctrlPr>
                  <w:rPr>
                    <w:rFonts w:ascii="Cambria Math" w:hAnsi="Cambria Math"/>
                  </w:rPr>
                </m:ctrlPr>
              </m:sSubPr>
              <m:e>
                <m:r>
                  <w:rPr>
                    <w:rFonts w:ascii="Cambria Math" w:hAnsi="Cambria Math"/>
                  </w:rPr>
                  <m:t>V</m:t>
                </m:r>
              </m:e>
              <m:sub>
                <m:r>
                  <m:rPr>
                    <m:sty m:val="p"/>
                  </m:rPr>
                  <w:rPr>
                    <w:rFonts w:ascii="Cambria Math" w:hAnsi="Cambria Math"/>
                  </w:rPr>
                  <m:t>csd</m:t>
                </m:r>
              </m:sub>
            </m:sSub>
            <m:sSub>
              <m:sSubPr>
                <m:ctrlPr>
                  <w:rPr>
                    <w:rFonts w:ascii="Cambria Math" w:hAnsi="Cambria Math"/>
                  </w:rPr>
                </m:ctrlPr>
              </m:sSubPr>
              <m:e>
                <m:r>
                  <w:rPr>
                    <w:rFonts w:ascii="Cambria Math" w:hAnsi="Cambria Math"/>
                  </w:rPr>
                  <m:t>h</m:t>
                </m:r>
              </m:e>
              <m:sub>
                <m:r>
                  <m:rPr>
                    <m:sty m:val="p"/>
                  </m:rPr>
                  <w:rPr>
                    <w:rFonts w:ascii="Cambria Math" w:hAnsi="Cambria Math"/>
                  </w:rPr>
                  <m:t>w</m:t>
                </m:r>
              </m:sub>
            </m:sSub>
            <m:r>
              <w:rPr>
                <w:rFonts w:ascii="Cambria Math" w:hAnsi="Cambria Math"/>
              </w:rPr>
              <m:t>+</m:t>
            </m:r>
            <m:sSub>
              <m:sSubPr>
                <m:ctrlPr>
                  <w:rPr>
                    <w:rFonts w:ascii="Cambria Math" w:hAnsi="Cambria Math"/>
                  </w:rPr>
                </m:ctrlPr>
              </m:sSubPr>
              <m:e>
                <m:r>
                  <w:rPr>
                    <w:rFonts w:ascii="Cambria Math" w:hAnsi="Cambria Math"/>
                  </w:rPr>
                  <m:t>V</m:t>
                </m:r>
              </m:e>
              <m:sub>
                <m:r>
                  <m:rPr>
                    <m:sty m:val="p"/>
                  </m:rPr>
                  <w:rPr>
                    <w:rFonts w:ascii="Cambria Math" w:hAnsi="Cambria Math"/>
                  </w:rPr>
                  <m:t>cfd</m:t>
                </m:r>
              </m:sub>
            </m:sSub>
            <m:d>
              <m:dPr>
                <m:ctrlPr>
                  <w:rPr>
                    <w:rFonts w:ascii="Cambria Math" w:hAnsi="Cambria Math"/>
                  </w:rPr>
                </m:ctrlPr>
              </m:dPr>
              <m:e>
                <m:sSub>
                  <m:sSubPr>
                    <m:ctrlPr>
                      <w:rPr>
                        <w:rFonts w:ascii="Cambria Math" w:hAnsi="Cambria Math"/>
                      </w:rPr>
                    </m:ctrlPr>
                  </m:sSubPr>
                  <m:e>
                    <m:r>
                      <w:rPr>
                        <w:rFonts w:ascii="Cambria Math" w:hAnsi="Cambria Math"/>
                      </w:rPr>
                      <m:t>h</m:t>
                    </m:r>
                  </m:e>
                  <m:sub>
                    <m:r>
                      <m:rPr>
                        <m:sty m:val="p"/>
                      </m:rPr>
                      <w:rPr>
                        <w:rFonts w:ascii="Cambria Math" w:hAnsi="Cambria Math"/>
                      </w:rPr>
                      <m:t>b</m:t>
                    </m:r>
                  </m:sub>
                </m:sSub>
                <m:r>
                  <w:rPr>
                    <w:rFonts w:ascii="Cambria Math" w:hAnsi="Cambria Math"/>
                  </w:rPr>
                  <m:t>+</m:t>
                </m:r>
                <m:sSub>
                  <m:sSubPr>
                    <m:ctrlPr>
                      <w:rPr>
                        <w:rFonts w:ascii="Cambria Math" w:hAnsi="Cambria Math"/>
                      </w:rPr>
                    </m:ctrlPr>
                  </m:sSubPr>
                  <m:e>
                    <m:r>
                      <w:rPr>
                        <w:rFonts w:ascii="Cambria Math" w:hAnsi="Cambria Math"/>
                      </w:rPr>
                      <m:t>h</m:t>
                    </m:r>
                  </m:e>
                  <m:sub>
                    <m:r>
                      <m:rPr>
                        <m:sty m:val="p"/>
                      </m:rPr>
                      <w:rPr>
                        <w:rFonts w:ascii="Cambria Math" w:hAnsi="Cambria Math"/>
                      </w:rPr>
                      <m:t>o</m:t>
                    </m:r>
                  </m:sub>
                </m:sSub>
              </m:e>
            </m:d>
          </m:e>
        </m:d>
        <m:r>
          <w:rPr>
            <w:rFonts w:ascii="Cambria Math" w:hAnsi="Cambria Math"/>
          </w:rPr>
          <m:t>≥ Σ</m:t>
        </m:r>
        <m:sSub>
          <m:sSubPr>
            <m:ctrlPr>
              <w:rPr>
                <w:rFonts w:ascii="Cambria Math" w:hAnsi="Cambria Math"/>
              </w:rPr>
            </m:ctrlPr>
          </m:sSubPr>
          <m:e>
            <m:r>
              <w:rPr>
                <w:rFonts w:ascii="Cambria Math" w:hAnsi="Cambria Math"/>
              </w:rPr>
              <m:t>M</m:t>
            </m:r>
          </m:e>
          <m:sub>
            <m:r>
              <m:rPr>
                <m:sty m:val="p"/>
              </m:rPr>
              <w:rPr>
                <w:rFonts w:ascii="Cambria Math" w:hAnsi="Cambria Math"/>
              </w:rPr>
              <m:t>Ed,C</m:t>
            </m:r>
          </m:sub>
        </m:sSub>
        <m:r>
          <w:rPr>
            <w:rFonts w:ascii="Cambria Math" w:hAnsi="Cambria Math"/>
          </w:rPr>
          <m:t>-</m:t>
        </m:r>
        <m:sSub>
          <m:sSubPr>
            <m:ctrlPr>
              <w:rPr>
                <w:rFonts w:ascii="Cambria Math" w:hAnsi="Cambria Math"/>
              </w:rPr>
            </m:ctrlPr>
          </m:sSubPr>
          <m:e>
            <m:sSub>
              <m:sSubPr>
                <m:ctrlPr>
                  <w:rPr>
                    <w:rFonts w:ascii="Cambria Math" w:hAnsi="Cambria Math"/>
                  </w:rPr>
                </m:ctrlPr>
              </m:sSubPr>
              <m:e>
                <m:r>
                  <w:rPr>
                    <w:rFonts w:ascii="Cambria Math" w:hAnsi="Cambria Math"/>
                  </w:rPr>
                  <m:t>j</m:t>
                </m:r>
              </m:e>
              <m:sub>
                <m:r>
                  <m:rPr>
                    <m:sty m:val="p"/>
                  </m:rPr>
                  <w:rPr>
                    <w:rFonts w:ascii="Cambria Math" w:hAnsi="Cambria Math"/>
                  </w:rPr>
                  <m:t>h</m:t>
                </m:r>
              </m:sub>
            </m:sSub>
            <m:r>
              <w:rPr>
                <w:rFonts w:ascii="Cambria Math" w:hAnsi="Cambria Math"/>
              </w:rPr>
              <m:t>V</m:t>
            </m:r>
          </m:e>
          <m:sub>
            <m:r>
              <m:rPr>
                <m:sty m:val="p"/>
              </m:rPr>
              <w:rPr>
                <w:rFonts w:ascii="Cambria Math" w:hAnsi="Cambria Math"/>
              </w:rPr>
              <m:t>b</m:t>
            </m:r>
          </m:sub>
        </m:sSub>
        <m:r>
          <m:rPr>
            <m:sty m:val="p"/>
          </m:rPr>
          <w:rPr>
            <w:rFonts w:ascii="Cambria Math" w:hAnsi="Cambria Math"/>
          </w:rPr>
          <m:t xml:space="preserve"> </m:t>
        </m:r>
      </m:oMath>
      <w:r w:rsidR="00D326DE" w:rsidRPr="00922D9B">
        <w:tab/>
        <w:t>(G.</w:t>
      </w:r>
      <w:r w:rsidR="00D326DE">
        <w:t>6</w:t>
      </w:r>
      <w:r w:rsidR="00D326DE" w:rsidRPr="00922D9B">
        <w:t>)</w:t>
      </w:r>
    </w:p>
    <w:p w14:paraId="5C994D63" w14:textId="68DD30CD" w:rsidR="00B15DDF" w:rsidRPr="00B15DDF" w:rsidRDefault="00B15DDF" w:rsidP="00B15DDF">
      <w:pPr>
        <w:pStyle w:val="Text"/>
      </w:pPr>
      <w:r>
        <w:t>where</w:t>
      </w:r>
    </w:p>
    <w:tbl>
      <w:tblPr>
        <w:tblW w:w="0" w:type="auto"/>
        <w:tblInd w:w="346" w:type="dxa"/>
        <w:tblLook w:val="04A0" w:firstRow="1" w:lastRow="0" w:firstColumn="1" w:lastColumn="0" w:noHBand="0" w:noVBand="1"/>
      </w:tblPr>
      <w:tblGrid>
        <w:gridCol w:w="1275"/>
        <w:gridCol w:w="7938"/>
      </w:tblGrid>
      <w:tr w:rsidR="00D326DE" w:rsidRPr="00870D59" w14:paraId="11A3E374" w14:textId="77777777" w:rsidTr="00B15DDF">
        <w:tc>
          <w:tcPr>
            <w:tcW w:w="1275" w:type="dxa"/>
          </w:tcPr>
          <w:p w14:paraId="5711AE85" w14:textId="600DC826" w:rsidR="00D326DE" w:rsidRPr="00460668" w:rsidRDefault="009B5CEC" w:rsidP="002061E5">
            <w:pPr>
              <w:spacing w:after="60"/>
              <w:rPr>
                <w:rFonts w:eastAsia="Times New Roman" w:cs="Cambria"/>
                <w:szCs w:val="20"/>
                <w:lang w:eastAsia="fr-FR"/>
              </w:rPr>
            </w:pPr>
            <m:oMathPara>
              <m:oMathParaPr>
                <m:jc m:val="left"/>
              </m:oMathParaPr>
              <m:oMath>
                <m:sSub>
                  <m:sSubPr>
                    <m:ctrlPr>
                      <w:rPr>
                        <w:rFonts w:ascii="Cambria Math" w:hAnsi="Cambria Math"/>
                        <w:i/>
                      </w:rPr>
                    </m:ctrlPr>
                  </m:sSubPr>
                  <m:e>
                    <m:r>
                      <w:rPr>
                        <w:rFonts w:ascii="Cambria Math" w:hAnsi="Cambria Math"/>
                      </w:rPr>
                      <m:t>h</m:t>
                    </m:r>
                  </m:e>
                  <m:sub>
                    <m:r>
                      <m:rPr>
                        <m:sty m:val="p"/>
                      </m:rPr>
                      <w:rPr>
                        <w:rFonts w:ascii="Cambria Math" w:hAnsi="Cambria Math"/>
                      </w:rPr>
                      <m:t>f</m:t>
                    </m:r>
                  </m:sub>
                </m:sSub>
              </m:oMath>
            </m:oMathPara>
          </w:p>
        </w:tc>
        <w:tc>
          <w:tcPr>
            <w:tcW w:w="7938" w:type="dxa"/>
          </w:tcPr>
          <w:p w14:paraId="5C610905" w14:textId="7E07ECF2" w:rsidR="00D326DE" w:rsidRPr="009F195D" w:rsidRDefault="00D326DE" w:rsidP="009F195D">
            <w:pPr>
              <w:pStyle w:val="Listofsymbols"/>
            </w:pPr>
            <w:r w:rsidRPr="009F195D">
              <w:t>is the centre-to-centre distance between the beam flanges (see Figure G.5a);</w:t>
            </w:r>
          </w:p>
        </w:tc>
      </w:tr>
      <w:tr w:rsidR="00D326DE" w:rsidRPr="00870D59" w14:paraId="6BDFE1DB" w14:textId="77777777" w:rsidTr="00B15DDF">
        <w:tc>
          <w:tcPr>
            <w:tcW w:w="1275" w:type="dxa"/>
          </w:tcPr>
          <w:p w14:paraId="57599C6D" w14:textId="72355A7C" w:rsidR="00D326DE" w:rsidRPr="00922D9B" w:rsidRDefault="009B5CEC" w:rsidP="002061E5">
            <w:pPr>
              <w:spacing w:after="60"/>
              <w:rPr>
                <w:rFonts w:eastAsia="MS Mincho" w:cs="Cambria"/>
              </w:rPr>
            </w:pPr>
            <m:oMathPara>
              <m:oMathParaPr>
                <m:jc m:val="left"/>
              </m:oMathParaPr>
              <m:oMath>
                <m:sSub>
                  <m:sSubPr>
                    <m:ctrlPr>
                      <w:rPr>
                        <w:rFonts w:ascii="Cambria Math" w:hAnsi="Cambria Math"/>
                        <w:i/>
                      </w:rPr>
                    </m:ctrlPr>
                  </m:sSubPr>
                  <m:e>
                    <m:r>
                      <w:rPr>
                        <w:rFonts w:ascii="Cambria Math" w:hAnsi="Cambria Math"/>
                      </w:rPr>
                      <m:t>h</m:t>
                    </m:r>
                  </m:e>
                  <m:sub>
                    <m:r>
                      <m:rPr>
                        <m:sty m:val="p"/>
                      </m:rPr>
                      <w:rPr>
                        <w:rFonts w:ascii="Cambria Math" w:hAnsi="Cambria Math"/>
                      </w:rPr>
                      <m:t>w</m:t>
                    </m:r>
                  </m:sub>
                </m:sSub>
              </m:oMath>
            </m:oMathPara>
          </w:p>
        </w:tc>
        <w:tc>
          <w:tcPr>
            <w:tcW w:w="7938" w:type="dxa"/>
          </w:tcPr>
          <w:p w14:paraId="23D2DFC9" w14:textId="30908FE8" w:rsidR="00D326DE" w:rsidRPr="009F195D" w:rsidRDefault="00D326DE" w:rsidP="002061E5">
            <w:pPr>
              <w:spacing w:after="60"/>
            </w:pPr>
            <w:r w:rsidRPr="009F195D">
              <w:t>is the depth of the steel web of the beam (see Figure G.5b);</w:t>
            </w:r>
          </w:p>
        </w:tc>
      </w:tr>
      <w:tr w:rsidR="00D326DE" w:rsidRPr="00870D59" w14:paraId="5C373068" w14:textId="77777777" w:rsidTr="00B15DDF">
        <w:tc>
          <w:tcPr>
            <w:tcW w:w="1275" w:type="dxa"/>
          </w:tcPr>
          <w:p w14:paraId="06E88579" w14:textId="4C462A3E" w:rsidR="00D326DE" w:rsidRPr="00922D9B" w:rsidRDefault="009B5CEC" w:rsidP="002061E5">
            <w:pPr>
              <w:spacing w:after="60"/>
              <w:rPr>
                <w:rFonts w:eastAsia="MS Mincho" w:cs="Cambria"/>
              </w:rPr>
            </w:pPr>
            <m:oMathPara>
              <m:oMathParaPr>
                <m:jc m:val="left"/>
              </m:oMathParaPr>
              <m:oMath>
                <m:sSub>
                  <m:sSubPr>
                    <m:ctrlPr>
                      <w:rPr>
                        <w:rFonts w:ascii="Cambria Math" w:hAnsi="Cambria Math"/>
                        <w:i/>
                      </w:rPr>
                    </m:ctrlPr>
                  </m:sSubPr>
                  <m:e>
                    <m:r>
                      <w:rPr>
                        <w:rFonts w:ascii="Cambria Math" w:hAnsi="Cambria Math"/>
                      </w:rPr>
                      <m:t>h</m:t>
                    </m:r>
                  </m:e>
                  <m:sub>
                    <m:r>
                      <m:rPr>
                        <m:sty m:val="p"/>
                      </m:rPr>
                      <w:rPr>
                        <w:rFonts w:ascii="Cambria Math" w:hAnsi="Cambria Math"/>
                      </w:rPr>
                      <m:t>o</m:t>
                    </m:r>
                  </m:sub>
                </m:sSub>
              </m:oMath>
            </m:oMathPara>
          </w:p>
        </w:tc>
        <w:tc>
          <w:tcPr>
            <w:tcW w:w="7938" w:type="dxa"/>
          </w:tcPr>
          <w:p w14:paraId="215530A0" w14:textId="584E0ECA" w:rsidR="00D326DE" w:rsidRPr="009F195D" w:rsidRDefault="00D326DE" w:rsidP="002061E5">
            <w:pPr>
              <w:spacing w:after="60"/>
            </w:pPr>
            <w:r w:rsidRPr="009F195D">
              <w:t xml:space="preserve">is </w:t>
            </w:r>
            <w:r w:rsidRPr="00773115">
              <w:t>defined in G.5.4;</w:t>
            </w:r>
          </w:p>
        </w:tc>
      </w:tr>
      <w:tr w:rsidR="00D326DE" w:rsidRPr="00870D59" w14:paraId="0C21C281" w14:textId="77777777" w:rsidTr="00B15DDF">
        <w:tc>
          <w:tcPr>
            <w:tcW w:w="1275" w:type="dxa"/>
          </w:tcPr>
          <w:p w14:paraId="4C48EE28" w14:textId="7D83D744" w:rsidR="00D326DE" w:rsidRPr="00D326DE" w:rsidRDefault="009B5CEC" w:rsidP="002061E5">
            <w:pPr>
              <w:spacing w:after="60"/>
              <w:rPr>
                <w:rFonts w:eastAsia="MS Mincho" w:cs="Cambria"/>
              </w:rPr>
            </w:pPr>
            <m:oMathPara>
              <m:oMathParaPr>
                <m:jc m:val="left"/>
              </m:oMathParaPr>
              <m:oMath>
                <m:sSub>
                  <m:sSubPr>
                    <m:ctrlPr>
                      <w:rPr>
                        <w:rFonts w:ascii="Cambria Math" w:hAnsi="Cambria Math"/>
                        <w:i/>
                      </w:rPr>
                    </m:ctrlPr>
                  </m:sSubPr>
                  <m:e>
                    <m:r>
                      <w:rPr>
                        <w:rFonts w:ascii="Cambria Math" w:hAnsi="Cambria Math"/>
                      </w:rPr>
                      <m:t>j</m:t>
                    </m:r>
                  </m:e>
                  <m:sub>
                    <m:r>
                      <m:rPr>
                        <m:sty m:val="p"/>
                      </m:rPr>
                      <w:rPr>
                        <w:rFonts w:ascii="Cambria Math" w:hAnsi="Cambria Math"/>
                      </w:rPr>
                      <m:t>h</m:t>
                    </m:r>
                  </m:sub>
                </m:sSub>
              </m:oMath>
            </m:oMathPara>
          </w:p>
        </w:tc>
        <w:tc>
          <w:tcPr>
            <w:tcW w:w="7938" w:type="dxa"/>
          </w:tcPr>
          <w:p w14:paraId="24E54F59" w14:textId="5247A1B4" w:rsidR="00D326DE" w:rsidRPr="009F195D" w:rsidRDefault="009F195D" w:rsidP="002061E5">
            <w:pPr>
              <w:spacing w:after="60"/>
            </w:pPr>
            <w:r w:rsidRPr="009F195D">
              <w:t xml:space="preserve">is </w:t>
            </w:r>
            <w:r w:rsidRPr="009F195D">
              <w:rPr>
                <w:rFonts w:eastAsia="Cambria"/>
              </w:rPr>
              <w:t>defined in Figure G.5</w:t>
            </w:r>
            <w:r w:rsidRPr="009F195D">
              <w:t>; it should be calculated using Formula (G.7);</w:t>
            </w:r>
          </w:p>
        </w:tc>
      </w:tr>
    </w:tbl>
    <w:p w14:paraId="2D2A6464" w14:textId="31A9BAAE" w:rsidR="009F195D" w:rsidRDefault="009B5CEC" w:rsidP="009F195D">
      <w:pPr>
        <w:pStyle w:val="Formula"/>
        <w:spacing w:before="240"/>
      </w:pPr>
      <m:oMath>
        <m:sSub>
          <m:sSubPr>
            <m:ctrlPr>
              <w:rPr>
                <w:rFonts w:ascii="Cambria Math" w:hAnsi="Cambria Math"/>
              </w:rPr>
            </m:ctrlPr>
          </m:sSubPr>
          <m:e>
            <m:r>
              <w:rPr>
                <w:rFonts w:ascii="Cambria Math" w:hAnsi="Cambria Math"/>
              </w:rPr>
              <m:t>j</m:t>
            </m:r>
          </m:e>
          <m:sub>
            <m:r>
              <m:rPr>
                <m:sty m:val="p"/>
              </m:rPr>
              <w:rPr>
                <w:rFonts w:ascii="Cambria Math" w:hAnsi="Cambria Math"/>
              </w:rPr>
              <m:t>h</m:t>
            </m:r>
          </m:sub>
        </m:sSub>
        <m:r>
          <w:rPr>
            <w:rFonts w:ascii="Cambria Math" w:hAnsi="Cambria Math"/>
          </w:rPr>
          <m:t>=</m:t>
        </m:r>
        <m:f>
          <m:fPr>
            <m:ctrlPr>
              <w:rPr>
                <w:rFonts w:ascii="Cambria Math" w:hAnsi="Cambria Math"/>
              </w:rPr>
            </m:ctrlPr>
          </m:fPr>
          <m:num>
            <m:r>
              <w:rPr>
                <w:rFonts w:ascii="Cambria Math" w:hAnsi="Cambria Math"/>
              </w:rPr>
              <m:t>Σ</m:t>
            </m:r>
            <m:sSub>
              <m:sSubPr>
                <m:ctrlPr>
                  <w:rPr>
                    <w:rFonts w:ascii="Cambria Math" w:hAnsi="Cambria Math"/>
                  </w:rPr>
                </m:ctrlPr>
              </m:sSubPr>
              <m:e>
                <m:r>
                  <w:rPr>
                    <w:rFonts w:ascii="Cambria Math" w:hAnsi="Cambria Math"/>
                  </w:rPr>
                  <m:t>M</m:t>
                </m:r>
              </m:e>
              <m:sub>
                <m:r>
                  <m:rPr>
                    <m:sty m:val="p"/>
                  </m:rPr>
                  <w:rPr>
                    <w:rFonts w:ascii="Cambria Math" w:hAnsi="Cambria Math"/>
                  </w:rPr>
                  <m:t>Ed,c</m:t>
                </m:r>
              </m:sub>
            </m:sSub>
          </m:num>
          <m:den>
            <m:d>
              <m:dPr>
                <m:ctrlPr>
                  <w:rPr>
                    <w:rFonts w:ascii="Cambria Math" w:hAnsi="Cambria Math"/>
                  </w:rPr>
                </m:ctrlPr>
              </m:dPr>
              <m:e>
                <m:sSub>
                  <m:sSubPr>
                    <m:ctrlPr>
                      <w:rPr>
                        <w:rFonts w:ascii="Cambria Math" w:hAnsi="Cambria Math"/>
                      </w:rPr>
                    </m:ctrlPr>
                  </m:sSubPr>
                  <m:e>
                    <m:r>
                      <w:rPr>
                        <w:rFonts w:ascii="Cambria Math" w:hAnsi="Cambria Math"/>
                      </w:rPr>
                      <m:t>T</m:t>
                    </m:r>
                  </m:e>
                  <m:sub>
                    <m:r>
                      <m:rPr>
                        <m:sty m:val="p"/>
                      </m:rPr>
                      <w:rPr>
                        <w:rFonts w:ascii="Cambria Math" w:hAnsi="Cambria Math"/>
                      </w:rPr>
                      <m:t>vrd</m:t>
                    </m:r>
                  </m:sub>
                </m:sSub>
                <m:r>
                  <w:rPr>
                    <w:rFonts w:ascii="Cambria Math" w:hAnsi="Cambria Math"/>
                  </w:rPr>
                  <m:t>+</m:t>
                </m:r>
                <m:sSub>
                  <m:sSubPr>
                    <m:ctrlPr>
                      <w:rPr>
                        <w:rFonts w:ascii="Cambria Math" w:hAnsi="Cambria Math"/>
                      </w:rPr>
                    </m:ctrlPr>
                  </m:sSubPr>
                  <m:e>
                    <m:r>
                      <w:rPr>
                        <w:rFonts w:ascii="Cambria Math" w:hAnsi="Cambria Math"/>
                      </w:rPr>
                      <m:t>C</m:t>
                    </m:r>
                  </m:e>
                  <m:sub>
                    <m:r>
                      <m:rPr>
                        <m:sty m:val="p"/>
                      </m:rPr>
                      <w:rPr>
                        <w:rFonts w:ascii="Cambria Math" w:hAnsi="Cambria Math"/>
                      </w:rPr>
                      <m:t>vrd</m:t>
                    </m:r>
                  </m:sub>
                </m:sSub>
                <m:r>
                  <w:rPr>
                    <w:rFonts w:ascii="Cambria Math" w:hAnsi="Cambria Math"/>
                  </w:rPr>
                  <m:t>+</m:t>
                </m:r>
                <m:sSub>
                  <m:sSubPr>
                    <m:ctrlPr>
                      <w:rPr>
                        <w:rFonts w:ascii="Cambria Math" w:hAnsi="Cambria Math"/>
                      </w:rPr>
                    </m:ctrlPr>
                  </m:sSubPr>
                  <m:e>
                    <m:r>
                      <w:rPr>
                        <w:rFonts w:ascii="Cambria Math" w:hAnsi="Cambria Math"/>
                      </w:rPr>
                      <m:t>C</m:t>
                    </m:r>
                  </m:e>
                  <m:sub>
                    <m:r>
                      <m:rPr>
                        <m:sty m:val="p"/>
                      </m:rPr>
                      <w:rPr>
                        <w:rFonts w:ascii="Cambria Math" w:hAnsi="Cambria Math"/>
                      </w:rPr>
                      <m:t>c</m:t>
                    </m:r>
                  </m:sub>
                </m:sSub>
              </m:e>
            </m:d>
            <m:r>
              <w:rPr>
                <w:rFonts w:ascii="Cambria Math" w:hAnsi="Cambria Math"/>
              </w:rPr>
              <m:t>-∆</m:t>
            </m:r>
            <m:sSub>
              <m:sSubPr>
                <m:ctrlPr>
                  <w:rPr>
                    <w:rFonts w:ascii="Cambria Math" w:hAnsi="Cambria Math"/>
                  </w:rPr>
                </m:ctrlPr>
              </m:sSubPr>
              <m:e>
                <m:r>
                  <w:rPr>
                    <w:rFonts w:ascii="Cambria Math" w:hAnsi="Cambria Math"/>
                  </w:rPr>
                  <m:t>V</m:t>
                </m:r>
              </m:e>
              <m:sub>
                <m:r>
                  <m:rPr>
                    <m:sty m:val="p"/>
                  </m:rPr>
                  <w:rPr>
                    <w:rFonts w:ascii="Cambria Math" w:hAnsi="Cambria Math"/>
                  </w:rPr>
                  <m:t>b</m:t>
                </m:r>
              </m:sub>
            </m:sSub>
            <m:r>
              <w:rPr>
                <w:rFonts w:ascii="Cambria Math" w:hAnsi="Cambria Math"/>
              </w:rPr>
              <m:t>/2</m:t>
            </m:r>
          </m:den>
        </m:f>
        <m:r>
          <w:rPr>
            <w:rFonts w:ascii="Cambria Math" w:hAnsi="Cambria Math"/>
          </w:rPr>
          <m:t>≥0,7</m:t>
        </m:r>
        <m:sSub>
          <m:sSubPr>
            <m:ctrlPr>
              <w:rPr>
                <w:rFonts w:ascii="Cambria Math" w:hAnsi="Cambria Math"/>
              </w:rPr>
            </m:ctrlPr>
          </m:sSubPr>
          <m:e>
            <m:r>
              <w:rPr>
                <w:rFonts w:ascii="Cambria Math" w:hAnsi="Cambria Math"/>
              </w:rPr>
              <m:t>h</m:t>
            </m:r>
          </m:e>
          <m:sub>
            <m:r>
              <m:rPr>
                <m:sty m:val="p"/>
              </m:rPr>
              <w:rPr>
                <w:rFonts w:ascii="Cambria Math" w:hAnsi="Cambria Math"/>
              </w:rPr>
              <m:t>c</m:t>
            </m:r>
          </m:sub>
        </m:sSub>
      </m:oMath>
      <w:r w:rsidR="009F195D" w:rsidRPr="00922D9B">
        <w:tab/>
        <w:t>(G.</w:t>
      </w:r>
      <w:r w:rsidR="009F195D">
        <w:t>7</w:t>
      </w:r>
      <w:r w:rsidR="009F195D" w:rsidRPr="00922D9B">
        <w:t>)</w:t>
      </w:r>
    </w:p>
    <w:p w14:paraId="498E4929" w14:textId="56A0A50C" w:rsidR="009F195D" w:rsidRPr="00196951" w:rsidRDefault="009F195D" w:rsidP="009F195D">
      <w:pPr>
        <w:pStyle w:val="Notetext"/>
      </w:pPr>
      <w:r w:rsidRPr="00132C1E">
        <w:t>NOTE</w:t>
      </w:r>
      <w:r w:rsidRPr="00132C1E">
        <w:tab/>
        <w:t xml:space="preserve">As the joint shear resistance increases while </w:t>
      </w:r>
      <m:oMath>
        <m:sSub>
          <m:sSubPr>
            <m:ctrlPr>
              <w:rPr>
                <w:rFonts w:ascii="Cambria Math" w:hAnsi="Cambria Math"/>
                <w:i/>
              </w:rPr>
            </m:ctrlPr>
          </m:sSubPr>
          <m:e>
            <m:r>
              <w:rPr>
                <w:rFonts w:ascii="Cambria Math" w:hAnsi="Cambria Math"/>
              </w:rPr>
              <m:t>j</m:t>
            </m:r>
          </m:e>
          <m:sub>
            <m:r>
              <m:rPr>
                <m:sty m:val="p"/>
              </m:rPr>
              <w:rPr>
                <w:rFonts w:ascii="Cambria Math" w:hAnsi="Cambria Math"/>
              </w:rPr>
              <m:t>h</m:t>
            </m:r>
          </m:sub>
        </m:sSub>
      </m:oMath>
      <w:r w:rsidRPr="00132C1E">
        <w:t xml:space="preserve"> increases, assuming that</w:t>
      </w:r>
      <w:r w:rsidRPr="00D1484A">
        <w:t xml:space="preserve"> </w:t>
      </w:r>
      <w:r w:rsidRPr="00D1484A">
        <w:rPr>
          <w:i/>
          <w:iCs/>
        </w:rPr>
        <w:t>j</w:t>
      </w:r>
      <w:r w:rsidRPr="007E6F67">
        <w:rPr>
          <w:vertAlign w:val="subscript"/>
        </w:rPr>
        <w:t>h</w:t>
      </w:r>
      <w:r w:rsidRPr="00FD17CF">
        <w:t> = 0,7 </w:t>
      </w:r>
      <w:r w:rsidRPr="00FD17CF">
        <w:rPr>
          <w:i/>
          <w:iCs/>
        </w:rPr>
        <w:t>h</w:t>
      </w:r>
      <w:r w:rsidRPr="00FD17CF">
        <w:rPr>
          <w:vertAlign w:val="subscript"/>
        </w:rPr>
        <w:t>c</w:t>
      </w:r>
      <w:r w:rsidRPr="00E05E29">
        <w:t xml:space="preserve"> for simplicity is safe sided.</w:t>
      </w:r>
    </w:p>
    <w:tbl>
      <w:tblPr>
        <w:tblW w:w="0" w:type="auto"/>
        <w:tblInd w:w="534" w:type="dxa"/>
        <w:tblLook w:val="04A0" w:firstRow="1" w:lastRow="0" w:firstColumn="1" w:lastColumn="0" w:noHBand="0" w:noVBand="1"/>
      </w:tblPr>
      <w:tblGrid>
        <w:gridCol w:w="1275"/>
        <w:gridCol w:w="7938"/>
      </w:tblGrid>
      <w:tr w:rsidR="009F195D" w:rsidRPr="00870D59" w14:paraId="13BA9192" w14:textId="77777777" w:rsidTr="002061E5">
        <w:tc>
          <w:tcPr>
            <w:tcW w:w="1275" w:type="dxa"/>
          </w:tcPr>
          <w:p w14:paraId="4E5A1DE1" w14:textId="7E2F9593" w:rsidR="009F195D" w:rsidRPr="00460668" w:rsidRDefault="009B5CEC" w:rsidP="002061E5">
            <w:pPr>
              <w:spacing w:after="60"/>
              <w:rPr>
                <w:rFonts w:eastAsia="Times New Roman" w:cs="Cambria"/>
                <w:szCs w:val="20"/>
                <w:lang w:eastAsia="fr-FR"/>
              </w:rPr>
            </w:pPr>
            <m:oMathPara>
              <m:oMathParaPr>
                <m:jc m:val="left"/>
              </m:oMathParaPr>
              <m:oMath>
                <m:sSub>
                  <m:sSubPr>
                    <m:ctrlPr>
                      <w:rPr>
                        <w:rFonts w:ascii="Cambria Math" w:hAnsi="Cambria Math"/>
                        <w:i/>
                      </w:rPr>
                    </m:ctrlPr>
                  </m:sSubPr>
                  <m:e>
                    <m:r>
                      <w:rPr>
                        <w:rFonts w:ascii="Cambria Math" w:hAnsi="Cambria Math"/>
                      </w:rPr>
                      <m:t>C</m:t>
                    </m:r>
                  </m:e>
                  <m:sub>
                    <m:r>
                      <m:rPr>
                        <m:sty m:val="p"/>
                      </m:rPr>
                      <w:rPr>
                        <w:rFonts w:ascii="Cambria Math" w:hAnsi="Cambria Math"/>
                      </w:rPr>
                      <m:t>c</m:t>
                    </m:r>
                  </m:sub>
                </m:sSub>
              </m:oMath>
            </m:oMathPara>
          </w:p>
        </w:tc>
        <w:tc>
          <w:tcPr>
            <w:tcW w:w="7938" w:type="dxa"/>
          </w:tcPr>
          <w:p w14:paraId="72391A80" w14:textId="485AA699" w:rsidR="009F195D" w:rsidRPr="009F195D" w:rsidRDefault="009F195D" w:rsidP="009F195D">
            <w:pPr>
              <w:pStyle w:val="Listofsymbols"/>
              <w:tabs>
                <w:tab w:val="clear" w:pos="1134"/>
                <w:tab w:val="left" w:pos="0"/>
              </w:tabs>
              <w:ind w:left="71" w:firstLine="0"/>
            </w:pPr>
            <w:r w:rsidRPr="009F195D">
              <w:t xml:space="preserve">is the vertical bearing force acting on a bearing zone </w:t>
            </w:r>
            <m:oMath>
              <m:sSub>
                <m:sSubPr>
                  <m:ctrlPr>
                    <w:rPr>
                      <w:rFonts w:ascii="Cambria Math" w:hAnsi="Cambria Math"/>
                      <w:i/>
                    </w:rPr>
                  </m:ctrlPr>
                </m:sSubPr>
                <m:e>
                  <m:r>
                    <w:rPr>
                      <w:rFonts w:ascii="Cambria Math" w:hAnsi="Cambria Math"/>
                    </w:rPr>
                    <m:t>a</m:t>
                  </m:r>
                </m:e>
                <m:sub>
                  <m:r>
                    <w:rPr>
                      <w:rFonts w:ascii="Cambria Math" w:hAnsi="Cambria Math"/>
                    </w:rPr>
                    <m:t>c</m:t>
                  </m:r>
                </m:sub>
              </m:sSub>
            </m:oMath>
            <w:r w:rsidRPr="009F195D">
              <w:t xml:space="preserve"> (see Figure G.4a); it should be calculated using Formula (G.8);</w:t>
            </w:r>
          </w:p>
        </w:tc>
      </w:tr>
    </w:tbl>
    <w:p w14:paraId="1815FDC2" w14:textId="4CF5EFB3" w:rsidR="009F195D" w:rsidRDefault="009B5CEC" w:rsidP="009F195D">
      <w:pPr>
        <w:pStyle w:val="Formula"/>
        <w:spacing w:before="240"/>
      </w:pPr>
      <m:oMath>
        <m:sSub>
          <m:sSubPr>
            <m:ctrlPr>
              <w:rPr>
                <w:rFonts w:ascii="Cambria Math" w:hAnsi="Cambria Math"/>
              </w:rPr>
            </m:ctrlPr>
          </m:sSubPr>
          <m:e>
            <m:r>
              <w:rPr>
                <w:rFonts w:ascii="Cambria Math" w:hAnsi="Cambria Math"/>
              </w:rPr>
              <m:t>C</m:t>
            </m:r>
          </m:e>
          <m:sub>
            <m:r>
              <m:rPr>
                <m:sty m:val="p"/>
              </m:rPr>
              <w:rPr>
                <w:rFonts w:ascii="Cambria Math" w:hAnsi="Cambria Math"/>
              </w:rPr>
              <m:t>c</m:t>
            </m:r>
          </m:sub>
        </m:sSub>
        <m:r>
          <w:rPr>
            <w:rFonts w:ascii="Cambria Math" w:hAnsi="Cambria Math"/>
          </w:rPr>
          <m:t>=2</m:t>
        </m:r>
        <m:sSub>
          <m:sSubPr>
            <m:ctrlPr>
              <w:rPr>
                <w:rFonts w:ascii="Cambria Math" w:hAnsi="Cambria Math"/>
              </w:rPr>
            </m:ctrlPr>
          </m:sSubPr>
          <m:e>
            <m:r>
              <w:rPr>
                <w:rFonts w:ascii="Cambria Math" w:hAnsi="Cambria Math"/>
              </w:rPr>
              <m:t>f</m:t>
            </m:r>
          </m:e>
          <m:sub>
            <m:r>
              <m:rPr>
                <m:sty m:val="p"/>
              </m:rPr>
              <w:rPr>
                <w:rFonts w:ascii="Cambria Math" w:hAnsi="Cambria Math"/>
              </w:rPr>
              <m:t>cd</m:t>
            </m:r>
          </m:sub>
        </m:sSub>
        <m:sSub>
          <m:sSubPr>
            <m:ctrlPr>
              <w:rPr>
                <w:rFonts w:ascii="Cambria Math" w:hAnsi="Cambria Math"/>
              </w:rPr>
            </m:ctrlPr>
          </m:sSubPr>
          <m:e>
            <m:r>
              <w:rPr>
                <w:rFonts w:ascii="Cambria Math" w:hAnsi="Cambria Math"/>
              </w:rPr>
              <m:t>b</m:t>
            </m:r>
          </m:e>
          <m:sub>
            <m:r>
              <m:rPr>
                <m:sty m:val="p"/>
              </m:rPr>
              <w:rPr>
                <w:rFonts w:ascii="Cambria Math" w:hAnsi="Cambria Math"/>
              </w:rPr>
              <m:t>j</m:t>
            </m:r>
          </m:sub>
        </m:sSub>
        <m:sSub>
          <m:sSubPr>
            <m:ctrlPr>
              <w:rPr>
                <w:rFonts w:ascii="Cambria Math" w:hAnsi="Cambria Math"/>
              </w:rPr>
            </m:ctrlPr>
          </m:sSubPr>
          <m:e>
            <m:r>
              <w:rPr>
                <w:rFonts w:ascii="Cambria Math" w:hAnsi="Cambria Math"/>
              </w:rPr>
              <m:t>a</m:t>
            </m:r>
          </m:e>
          <m:sub>
            <m:r>
              <m:rPr>
                <m:sty m:val="p"/>
              </m:rPr>
              <w:rPr>
                <w:rFonts w:ascii="Cambria Math" w:hAnsi="Cambria Math"/>
              </w:rPr>
              <m:t>c</m:t>
            </m:r>
          </m:sub>
        </m:sSub>
      </m:oMath>
      <w:r w:rsidR="009F195D" w:rsidRPr="00922D9B">
        <w:tab/>
        <w:t>(G.</w:t>
      </w:r>
      <w:r w:rsidR="009F195D">
        <w:t>8</w:t>
      </w:r>
      <w:r w:rsidR="009F195D" w:rsidRPr="00922D9B">
        <w:t>)</w:t>
      </w:r>
    </w:p>
    <w:p w14:paraId="11F9954D" w14:textId="156D24E9" w:rsidR="00F81F1B" w:rsidRPr="00F81F1B" w:rsidRDefault="00F81F1B" w:rsidP="00F81F1B">
      <w:pPr>
        <w:pStyle w:val="Text"/>
      </w:pPr>
      <w:r>
        <w:t>where</w:t>
      </w:r>
    </w:p>
    <w:tbl>
      <w:tblPr>
        <w:tblW w:w="0" w:type="auto"/>
        <w:tblInd w:w="534" w:type="dxa"/>
        <w:tblLook w:val="04A0" w:firstRow="1" w:lastRow="0" w:firstColumn="1" w:lastColumn="0" w:noHBand="0" w:noVBand="1"/>
      </w:tblPr>
      <w:tblGrid>
        <w:gridCol w:w="1275"/>
        <w:gridCol w:w="7938"/>
      </w:tblGrid>
      <w:tr w:rsidR="009F195D" w:rsidRPr="00870D59" w14:paraId="325D692E" w14:textId="77777777" w:rsidTr="002061E5">
        <w:tc>
          <w:tcPr>
            <w:tcW w:w="1275" w:type="dxa"/>
          </w:tcPr>
          <w:p w14:paraId="1EB4BACB" w14:textId="68EAED80" w:rsidR="009F195D" w:rsidRPr="00460668" w:rsidRDefault="009B5CEC" w:rsidP="002061E5">
            <w:pPr>
              <w:spacing w:after="60"/>
              <w:rPr>
                <w:rFonts w:eastAsia="Times New Roman" w:cs="Cambria"/>
                <w:szCs w:val="20"/>
                <w:lang w:eastAsia="fr-FR"/>
              </w:rPr>
            </w:pPr>
            <m:oMathPara>
              <m:oMathParaPr>
                <m:jc m:val="left"/>
              </m:oMathParaPr>
              <m:oMath>
                <m:sSub>
                  <m:sSubPr>
                    <m:ctrlPr>
                      <w:rPr>
                        <w:rFonts w:ascii="Cambria Math" w:hAnsi="Cambria Math"/>
                      </w:rPr>
                    </m:ctrlPr>
                  </m:sSubPr>
                  <m:e>
                    <m:r>
                      <w:rPr>
                        <w:rFonts w:ascii="Cambria Math" w:hAnsi="Cambria Math"/>
                      </w:rPr>
                      <m:t>f</m:t>
                    </m:r>
                  </m:e>
                  <m:sub>
                    <m:r>
                      <m:rPr>
                        <m:sty m:val="p"/>
                      </m:rPr>
                      <w:rPr>
                        <w:rFonts w:ascii="Cambria Math" w:hAnsi="Cambria Math"/>
                      </w:rPr>
                      <m:t>cd</m:t>
                    </m:r>
                  </m:sub>
                </m:sSub>
              </m:oMath>
            </m:oMathPara>
          </w:p>
        </w:tc>
        <w:tc>
          <w:tcPr>
            <w:tcW w:w="7938" w:type="dxa"/>
          </w:tcPr>
          <w:p w14:paraId="166EC3E2" w14:textId="74052301" w:rsidR="009F195D" w:rsidRPr="009F195D" w:rsidRDefault="009F195D" w:rsidP="009F195D">
            <w:pPr>
              <w:spacing w:after="60"/>
            </w:pPr>
            <w:r w:rsidRPr="004B178A">
              <w:t xml:space="preserve">is the design compressive strength of concrete according to </w:t>
            </w:r>
            <w:r w:rsidR="0026060E">
              <w:t>prEN 1992-1-1:2021</w:t>
            </w:r>
            <w:r w:rsidRPr="009F195D">
              <w:t xml:space="preserve">, </w:t>
            </w:r>
            <w:r w:rsidR="005052A4" w:rsidRPr="00773115">
              <w:t>Table 5.1</w:t>
            </w:r>
            <w:r w:rsidRPr="00773115">
              <w:t>;</w:t>
            </w:r>
          </w:p>
        </w:tc>
      </w:tr>
      <w:tr w:rsidR="009F195D" w:rsidRPr="00870D59" w14:paraId="0812681E" w14:textId="77777777" w:rsidTr="002061E5">
        <w:tc>
          <w:tcPr>
            <w:tcW w:w="1275" w:type="dxa"/>
          </w:tcPr>
          <w:p w14:paraId="4498C667" w14:textId="661B64E5" w:rsidR="009F195D" w:rsidRPr="00922D9B" w:rsidRDefault="009F195D" w:rsidP="002061E5">
            <w:pPr>
              <w:spacing w:after="60"/>
              <w:rPr>
                <w:rFonts w:eastAsia="MS Mincho" w:cs="Cambria"/>
              </w:rPr>
            </w:pPr>
            <w:r w:rsidRPr="004B178A">
              <w:rPr>
                <w:iCs/>
              </w:rPr>
              <w:t>a</w:t>
            </w:r>
            <w:r w:rsidRPr="004B178A">
              <w:rPr>
                <w:vertAlign w:val="subscript"/>
              </w:rPr>
              <w:t xml:space="preserve">c </w:t>
            </w:r>
          </w:p>
        </w:tc>
        <w:tc>
          <w:tcPr>
            <w:tcW w:w="7938" w:type="dxa"/>
          </w:tcPr>
          <w:p w14:paraId="34003C34" w14:textId="031F69E4" w:rsidR="009F195D" w:rsidRPr="009F195D" w:rsidRDefault="009F195D" w:rsidP="002061E5">
            <w:pPr>
              <w:spacing w:after="60"/>
            </w:pPr>
            <w:r w:rsidRPr="004B178A">
              <w:t xml:space="preserve">should be calculated using </w:t>
            </w:r>
            <w:r w:rsidRPr="009F195D">
              <w:t>Formula (G.9)</w:t>
            </w:r>
            <w:r w:rsidRPr="004B178A">
              <w:t>;</w:t>
            </w:r>
          </w:p>
        </w:tc>
      </w:tr>
    </w:tbl>
    <w:p w14:paraId="57948140" w14:textId="172DC4EE" w:rsidR="009F195D" w:rsidRDefault="009B5CEC" w:rsidP="009F195D">
      <w:pPr>
        <w:pStyle w:val="Formula"/>
        <w:spacing w:before="240"/>
      </w:pPr>
      <m:oMath>
        <m:sSub>
          <m:sSubPr>
            <m:ctrlPr>
              <w:rPr>
                <w:rFonts w:ascii="Cambria Math" w:hAnsi="Cambria Math"/>
              </w:rPr>
            </m:ctrlPr>
          </m:sSubPr>
          <m:e>
            <m:r>
              <w:rPr>
                <w:rFonts w:ascii="Cambria Math" w:hAnsi="Cambria Math"/>
              </w:rPr>
              <m:t>a</m:t>
            </m:r>
          </m:e>
          <m:sub>
            <m:r>
              <m:rPr>
                <m:sty m:val="p"/>
              </m:rPr>
              <w:rPr>
                <w:rFonts w:ascii="Cambria Math" w:hAnsi="Cambria Math"/>
              </w:rPr>
              <m:t>c</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h</m:t>
                </m:r>
              </m:e>
              <m:sub>
                <m:r>
                  <m:rPr>
                    <m:sty m:val="p"/>
                  </m:rPr>
                  <w:rPr>
                    <w:rFonts w:ascii="Cambria Math" w:hAnsi="Cambria Math"/>
                  </w:rPr>
                  <m:t>c</m:t>
                </m:r>
              </m:sub>
            </m:sSub>
          </m:num>
          <m:den>
            <m:r>
              <w:rPr>
                <w:rFonts w:ascii="Cambria Math" w:hAnsi="Cambria Math"/>
              </w:rPr>
              <m:t>2</m:t>
            </m:r>
          </m:den>
        </m:f>
        <m:r>
          <w:rPr>
            <w:rFonts w:ascii="Cambria Math" w:hAnsi="Cambria Math"/>
          </w:rPr>
          <m:t>-</m:t>
        </m:r>
        <m:rad>
          <m:radPr>
            <m:degHide m:val="1"/>
            <m:ctrlPr>
              <w:rPr>
                <w:rFonts w:ascii="Cambria Math" w:hAnsi="Cambria Math"/>
              </w:rPr>
            </m:ctrlPr>
          </m:radPr>
          <m:deg/>
          <m:e>
            <m:f>
              <m:fPr>
                <m:ctrlPr>
                  <w:rPr>
                    <w:rFonts w:ascii="Cambria Math" w:hAnsi="Cambria Math"/>
                  </w:rPr>
                </m:ctrlPr>
              </m:fPr>
              <m:num>
                <m:sSubSup>
                  <m:sSubSupPr>
                    <m:ctrlPr>
                      <w:rPr>
                        <w:rFonts w:ascii="Cambria Math" w:hAnsi="Cambria Math"/>
                      </w:rPr>
                    </m:ctrlPr>
                  </m:sSubSupPr>
                  <m:e>
                    <m:r>
                      <w:rPr>
                        <w:rFonts w:ascii="Cambria Math" w:hAnsi="Cambria Math"/>
                      </w:rPr>
                      <m:t>h</m:t>
                    </m:r>
                  </m:e>
                  <m:sub>
                    <m:r>
                      <m:rPr>
                        <m:sty m:val="p"/>
                      </m:rPr>
                      <w:rPr>
                        <w:rFonts w:ascii="Cambria Math" w:hAnsi="Cambria Math"/>
                      </w:rPr>
                      <m:t>c</m:t>
                    </m:r>
                  </m:sub>
                  <m:sup>
                    <m:r>
                      <w:rPr>
                        <w:rFonts w:ascii="Cambria Math" w:hAnsi="Cambria Math"/>
                      </w:rPr>
                      <m:t>2</m:t>
                    </m:r>
                  </m:sup>
                </m:sSubSup>
              </m:num>
              <m:den>
                <m:r>
                  <w:rPr>
                    <w:rFonts w:ascii="Cambria Math" w:hAnsi="Cambria Math"/>
                  </w:rPr>
                  <m:t>4</m:t>
                </m:r>
              </m:den>
            </m:f>
            <m:r>
              <w:rPr>
                <w:rFonts w:ascii="Cambria Math" w:hAnsi="Cambria Math"/>
              </w:rPr>
              <m:t>-K</m:t>
            </m:r>
          </m:e>
        </m:rad>
        <m:r>
          <w:rPr>
            <w:rFonts w:ascii="Cambria Math" w:hAnsi="Cambria Math"/>
          </w:rPr>
          <m:t>≤0,3</m:t>
        </m:r>
        <m:sSub>
          <m:sSubPr>
            <m:ctrlPr>
              <w:rPr>
                <w:rFonts w:ascii="Cambria Math" w:hAnsi="Cambria Math"/>
              </w:rPr>
            </m:ctrlPr>
          </m:sSubPr>
          <m:e>
            <m:r>
              <w:rPr>
                <w:rFonts w:ascii="Cambria Math" w:hAnsi="Cambria Math"/>
              </w:rPr>
              <m:t>h</m:t>
            </m:r>
          </m:e>
          <m:sub>
            <m:r>
              <m:rPr>
                <m:sty m:val="p"/>
              </m:rPr>
              <w:rPr>
                <w:rFonts w:ascii="Cambria Math" w:hAnsi="Cambria Math"/>
              </w:rPr>
              <m:t>c</m:t>
            </m:r>
          </m:sub>
        </m:sSub>
      </m:oMath>
      <w:r w:rsidR="009F195D" w:rsidRPr="00922D9B">
        <w:tab/>
        <w:t>(G.</w:t>
      </w:r>
      <w:r w:rsidR="009F195D">
        <w:t>9</w:t>
      </w:r>
      <w:r w:rsidR="009F195D" w:rsidRPr="00922D9B">
        <w:t>)</w:t>
      </w:r>
    </w:p>
    <w:p w14:paraId="51E8A079" w14:textId="7C999119" w:rsidR="00F81F1B" w:rsidRPr="00F81F1B" w:rsidRDefault="00F81F1B" w:rsidP="00F81F1B">
      <w:pPr>
        <w:pStyle w:val="Text"/>
      </w:pPr>
      <w:r>
        <w:t>where</w:t>
      </w:r>
    </w:p>
    <w:tbl>
      <w:tblPr>
        <w:tblW w:w="0" w:type="auto"/>
        <w:tblInd w:w="534" w:type="dxa"/>
        <w:tblLook w:val="04A0" w:firstRow="1" w:lastRow="0" w:firstColumn="1" w:lastColumn="0" w:noHBand="0" w:noVBand="1"/>
      </w:tblPr>
      <w:tblGrid>
        <w:gridCol w:w="1275"/>
        <w:gridCol w:w="7938"/>
      </w:tblGrid>
      <w:tr w:rsidR="009F195D" w:rsidRPr="00870D59" w14:paraId="4B972BD6" w14:textId="77777777" w:rsidTr="002061E5">
        <w:tc>
          <w:tcPr>
            <w:tcW w:w="1275" w:type="dxa"/>
          </w:tcPr>
          <w:p w14:paraId="772F567A" w14:textId="42481379" w:rsidR="009F195D" w:rsidRPr="00460668" w:rsidRDefault="009F195D" w:rsidP="002061E5">
            <w:pPr>
              <w:spacing w:after="60"/>
              <w:rPr>
                <w:rFonts w:eastAsia="Times New Roman" w:cs="Cambria"/>
                <w:szCs w:val="20"/>
                <w:lang w:eastAsia="fr-FR"/>
              </w:rPr>
            </w:pPr>
            <m:oMathPara>
              <m:oMathParaPr>
                <m:jc m:val="left"/>
              </m:oMathParaPr>
              <m:oMath>
                <m:r>
                  <w:rPr>
                    <w:rFonts w:ascii="Cambria Math" w:hAnsi="Cambria Math"/>
                  </w:rPr>
                  <m:t>K</m:t>
                </m:r>
              </m:oMath>
            </m:oMathPara>
          </w:p>
        </w:tc>
        <w:tc>
          <w:tcPr>
            <w:tcW w:w="7938" w:type="dxa"/>
          </w:tcPr>
          <w:p w14:paraId="6E158B8A" w14:textId="5136B544" w:rsidR="009F195D" w:rsidRPr="009F195D" w:rsidRDefault="009F195D" w:rsidP="002061E5">
            <w:pPr>
              <w:spacing w:after="60"/>
            </w:pPr>
            <w:r w:rsidRPr="004B178A">
              <w:t>should be as given by Formula (G.10).</w:t>
            </w:r>
          </w:p>
        </w:tc>
      </w:tr>
    </w:tbl>
    <w:p w14:paraId="31C8AA97" w14:textId="2DE4122A" w:rsidR="009F195D" w:rsidRPr="00862BDF" w:rsidRDefault="00560140" w:rsidP="009F195D">
      <w:pPr>
        <w:pStyle w:val="Formula"/>
        <w:spacing w:before="240"/>
        <w:rPr>
          <w:lang w:val="nl-NL"/>
        </w:rPr>
      </w:pPr>
      <w:r w:rsidRPr="00862BDF">
        <w:rPr>
          <w:rFonts w:eastAsia="Calibri" w:cs="Times New Roman"/>
          <w:i/>
          <w:iCs/>
          <w:lang w:val="nl-NL"/>
        </w:rPr>
        <w:t>K</w:t>
      </w:r>
      <m:oMath>
        <m:r>
          <w:rPr>
            <w:rFonts w:ascii="Cambria Math" w:hAnsi="Cambria Math"/>
            <w:lang w:val="nl-NL"/>
          </w:rPr>
          <m:t>=</m:t>
        </m:r>
        <m:f>
          <m:fPr>
            <m:ctrlPr>
              <w:rPr>
                <w:rFonts w:ascii="Cambria Math" w:hAnsi="Cambria Math"/>
              </w:rPr>
            </m:ctrlPr>
          </m:fPr>
          <m:num>
            <m:r>
              <w:rPr>
                <w:rFonts w:ascii="Cambria Math" w:hAnsi="Cambria Math"/>
                <w:lang w:val="nl-NL"/>
              </w:rPr>
              <m:t>1</m:t>
            </m:r>
          </m:num>
          <m:den>
            <m:r>
              <w:rPr>
                <w:rFonts w:ascii="Cambria Math" w:hAnsi="Cambria Math"/>
                <w:lang w:val="nl-NL"/>
              </w:rPr>
              <m:t>2</m:t>
            </m:r>
            <m:sSub>
              <m:sSubPr>
                <m:ctrlPr>
                  <w:rPr>
                    <w:rFonts w:ascii="Cambria Math" w:hAnsi="Cambria Math"/>
                  </w:rPr>
                </m:ctrlPr>
              </m:sSubPr>
              <m:e>
                <m:r>
                  <w:rPr>
                    <w:rFonts w:ascii="Cambria Math" w:hAnsi="Cambria Math"/>
                  </w:rPr>
                  <m:t>f</m:t>
                </m:r>
              </m:e>
              <m:sub>
                <m:r>
                  <m:rPr>
                    <m:sty m:val="p"/>
                  </m:rPr>
                  <w:rPr>
                    <w:rFonts w:ascii="Cambria Math" w:hAnsi="Cambria Math"/>
                    <w:lang w:val="nl-NL"/>
                  </w:rPr>
                  <m:t>cd</m:t>
                </m:r>
              </m:sub>
            </m:sSub>
            <m:sSub>
              <m:sSubPr>
                <m:ctrlPr>
                  <w:rPr>
                    <w:rFonts w:ascii="Cambria Math" w:hAnsi="Cambria Math"/>
                  </w:rPr>
                </m:ctrlPr>
              </m:sSubPr>
              <m:e>
                <m:r>
                  <w:rPr>
                    <w:rFonts w:ascii="Cambria Math" w:hAnsi="Cambria Math"/>
                  </w:rPr>
                  <m:t>b</m:t>
                </m:r>
              </m:e>
              <m:sub>
                <m:r>
                  <m:rPr>
                    <m:sty m:val="p"/>
                  </m:rPr>
                  <w:rPr>
                    <w:rFonts w:ascii="Cambria Math" w:hAnsi="Cambria Math"/>
                    <w:lang w:val="nl-NL"/>
                  </w:rPr>
                  <m:t>j</m:t>
                </m:r>
              </m:sub>
            </m:sSub>
          </m:den>
        </m:f>
        <m:d>
          <m:dPr>
            <m:begChr m:val="["/>
            <m:endChr m:val="]"/>
            <m:ctrlPr>
              <w:rPr>
                <w:rFonts w:ascii="Cambria Math" w:hAnsi="Cambria Math"/>
              </w:rPr>
            </m:ctrlPr>
          </m:dPr>
          <m:e>
            <m:r>
              <w:rPr>
                <w:rFonts w:ascii="Cambria Math" w:hAnsi="Cambria Math"/>
              </w:rPr>
              <m:t>Σ</m:t>
            </m:r>
            <m:sSub>
              <m:sSubPr>
                <m:ctrlPr>
                  <w:rPr>
                    <w:rFonts w:ascii="Cambria Math" w:hAnsi="Cambria Math"/>
                  </w:rPr>
                </m:ctrlPr>
              </m:sSubPr>
              <m:e>
                <m:r>
                  <w:rPr>
                    <w:rFonts w:ascii="Cambria Math" w:hAnsi="Cambria Math"/>
                  </w:rPr>
                  <m:t>M</m:t>
                </m:r>
              </m:e>
              <m:sub>
                <m:r>
                  <m:rPr>
                    <m:sty m:val="p"/>
                  </m:rPr>
                  <w:rPr>
                    <w:rFonts w:ascii="Cambria Math" w:hAnsi="Cambria Math"/>
                    <w:lang w:val="nl-NL"/>
                  </w:rPr>
                  <m:t>c</m:t>
                </m:r>
              </m:sub>
            </m:sSub>
            <m:r>
              <w:rPr>
                <w:rFonts w:ascii="Cambria Math" w:hAnsi="Cambria Math"/>
                <w:lang w:val="nl-NL"/>
              </w:rPr>
              <m:t>+</m:t>
            </m:r>
            <m:f>
              <m:fPr>
                <m:ctrlPr>
                  <w:rPr>
                    <w:rFonts w:ascii="Cambria Math" w:hAnsi="Cambria Math"/>
                  </w:rPr>
                </m:ctrlPr>
              </m:fPr>
              <m:num>
                <m:r>
                  <w:rPr>
                    <w:rFonts w:ascii="Cambria Math" w:hAnsi="Cambria Math"/>
                    <w:lang w:val="nl-NL"/>
                  </w:rPr>
                  <m:t>∆</m:t>
                </m:r>
                <m:sSub>
                  <m:sSubPr>
                    <m:ctrlPr>
                      <w:rPr>
                        <w:rFonts w:ascii="Cambria Math" w:hAnsi="Cambria Math"/>
                      </w:rPr>
                    </m:ctrlPr>
                  </m:sSubPr>
                  <m:e>
                    <m:r>
                      <w:rPr>
                        <w:rFonts w:ascii="Cambria Math" w:hAnsi="Cambria Math"/>
                      </w:rPr>
                      <m:t>V</m:t>
                    </m:r>
                  </m:e>
                  <m:sub>
                    <m:r>
                      <m:rPr>
                        <m:sty m:val="p"/>
                      </m:rPr>
                      <w:rPr>
                        <w:rFonts w:ascii="Cambria Math" w:hAnsi="Cambria Math"/>
                        <w:lang w:val="nl-NL"/>
                      </w:rPr>
                      <m:t>b</m:t>
                    </m:r>
                  </m:sub>
                </m:sSub>
                <m:sSub>
                  <m:sSubPr>
                    <m:ctrlPr>
                      <w:rPr>
                        <w:rFonts w:ascii="Cambria Math" w:hAnsi="Cambria Math"/>
                      </w:rPr>
                    </m:ctrlPr>
                  </m:sSubPr>
                  <m:e>
                    <m:r>
                      <w:rPr>
                        <w:rFonts w:ascii="Cambria Math" w:hAnsi="Cambria Math"/>
                        <w:lang w:val="nl-NL"/>
                      </w:rPr>
                      <m:t>h</m:t>
                    </m:r>
                  </m:e>
                  <m:sub>
                    <m:r>
                      <m:rPr>
                        <m:sty m:val="p"/>
                      </m:rPr>
                      <w:rPr>
                        <w:rFonts w:ascii="Cambria Math" w:hAnsi="Cambria Math"/>
                        <w:lang w:val="nl-NL"/>
                      </w:rPr>
                      <m:t>c</m:t>
                    </m:r>
                  </m:sub>
                </m:sSub>
              </m:num>
              <m:den>
                <m:r>
                  <w:rPr>
                    <w:rFonts w:ascii="Cambria Math" w:hAnsi="Cambria Math"/>
                    <w:lang w:val="nl-NL"/>
                  </w:rPr>
                  <m:t>2</m:t>
                </m:r>
              </m:den>
            </m:f>
            <m:r>
              <w:rPr>
                <w:rFonts w:ascii="Cambria Math" w:hAnsi="Cambria Math"/>
                <w:lang w:val="nl-NL"/>
              </w:rPr>
              <m:t>-</m:t>
            </m:r>
            <m:d>
              <m:dPr>
                <m:ctrlPr>
                  <w:rPr>
                    <w:rFonts w:ascii="Cambria Math" w:hAnsi="Cambria Math"/>
                  </w:rPr>
                </m:ctrlPr>
              </m:dPr>
              <m:e>
                <m:sSub>
                  <m:sSubPr>
                    <m:ctrlPr>
                      <w:rPr>
                        <w:rFonts w:ascii="Cambria Math" w:hAnsi="Cambria Math"/>
                      </w:rPr>
                    </m:ctrlPr>
                  </m:sSubPr>
                  <m:e>
                    <m:r>
                      <w:rPr>
                        <w:rFonts w:ascii="Cambria Math" w:hAnsi="Cambria Math"/>
                      </w:rPr>
                      <m:t>T</m:t>
                    </m:r>
                  </m:e>
                  <m:sub>
                    <m:r>
                      <m:rPr>
                        <m:sty m:val="p"/>
                      </m:rPr>
                      <w:rPr>
                        <w:rFonts w:ascii="Cambria Math" w:hAnsi="Cambria Math"/>
                        <w:lang w:val="nl-NL"/>
                      </w:rPr>
                      <m:t>vrd</m:t>
                    </m:r>
                  </m:sub>
                </m:sSub>
                <m:r>
                  <w:rPr>
                    <w:rFonts w:ascii="Cambria Math" w:hAnsi="Cambria Math"/>
                    <w:lang w:val="nl-NL"/>
                  </w:rPr>
                  <m:t>+</m:t>
                </m:r>
                <m:sSub>
                  <m:sSubPr>
                    <m:ctrlPr>
                      <w:rPr>
                        <w:rFonts w:ascii="Cambria Math" w:hAnsi="Cambria Math"/>
                      </w:rPr>
                    </m:ctrlPr>
                  </m:sSubPr>
                  <m:e>
                    <m:r>
                      <w:rPr>
                        <w:rFonts w:ascii="Cambria Math" w:hAnsi="Cambria Math"/>
                      </w:rPr>
                      <m:t>C</m:t>
                    </m:r>
                  </m:e>
                  <m:sub>
                    <m:r>
                      <m:rPr>
                        <m:sty m:val="p"/>
                      </m:rPr>
                      <w:rPr>
                        <w:rFonts w:ascii="Cambria Math" w:hAnsi="Cambria Math"/>
                        <w:lang w:val="nl-NL"/>
                      </w:rPr>
                      <m:t>vrd</m:t>
                    </m:r>
                  </m:sub>
                </m:sSub>
              </m:e>
            </m:d>
            <m:sSub>
              <m:sSubPr>
                <m:ctrlPr>
                  <w:rPr>
                    <w:rFonts w:ascii="Cambria Math" w:hAnsi="Cambria Math"/>
                  </w:rPr>
                </m:ctrlPr>
              </m:sSubPr>
              <m:e>
                <m:r>
                  <w:rPr>
                    <w:rFonts w:ascii="Cambria Math" w:hAnsi="Cambria Math"/>
                    <w:lang w:val="nl-NL"/>
                  </w:rPr>
                  <m:t>h</m:t>
                </m:r>
              </m:e>
              <m:sub>
                <m:r>
                  <m:rPr>
                    <m:sty m:val="p"/>
                  </m:rPr>
                  <w:rPr>
                    <w:rFonts w:ascii="Cambria Math" w:hAnsi="Cambria Math"/>
                    <w:lang w:val="nl-NL"/>
                  </w:rPr>
                  <m:t>vr</m:t>
                </m:r>
              </m:sub>
            </m:sSub>
          </m:e>
        </m:d>
      </m:oMath>
      <w:r w:rsidR="009F195D" w:rsidRPr="00862BDF">
        <w:rPr>
          <w:lang w:val="nl-NL"/>
        </w:rPr>
        <w:tab/>
        <w:t>(G.10)</w:t>
      </w:r>
    </w:p>
    <w:p w14:paraId="1393D68E" w14:textId="0FABEEFD" w:rsidR="009F195D" w:rsidRPr="00132C1E" w:rsidRDefault="002833D2" w:rsidP="002833D2">
      <w:pPr>
        <w:pStyle w:val="FigureImage"/>
      </w:pPr>
      <w:r>
        <w:rPr>
          <w:noProof/>
        </w:rPr>
        <w:drawing>
          <wp:inline distT="0" distB="0" distL="0" distR="0" wp14:anchorId="51FC1928" wp14:editId="7BCC1425">
            <wp:extent cx="5940562" cy="2060451"/>
            <wp:effectExtent l="0" t="0" r="3175" b="0"/>
            <wp:docPr id="36" name="g005.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g005.tiff"/>
                    <pic:cNvPicPr/>
                  </pic:nvPicPr>
                  <pic:blipFill>
                    <a:blip r:link="rId124"/>
                    <a:stretch>
                      <a:fillRect/>
                    </a:stretch>
                  </pic:blipFill>
                  <pic:spPr>
                    <a:xfrm>
                      <a:off x="0" y="0"/>
                      <a:ext cx="5940562" cy="2060451"/>
                    </a:xfrm>
                    <a:prstGeom prst="rect">
                      <a:avLst/>
                    </a:prstGeom>
                  </pic:spPr>
                </pic:pic>
              </a:graphicData>
            </a:graphic>
          </wp:inline>
        </w:drawing>
      </w:r>
    </w:p>
    <w:p w14:paraId="299AB518" w14:textId="7DD054C1" w:rsidR="009F195D" w:rsidRPr="00560140" w:rsidRDefault="009F195D" w:rsidP="00560140">
      <w:pPr>
        <w:pStyle w:val="Figuretitle"/>
      </w:pPr>
      <w:bookmarkStart w:id="11461" w:name="_Ref19630530"/>
      <w:r w:rsidRPr="00560140">
        <w:t>Figure G.</w:t>
      </w:r>
      <w:r w:rsidR="00773115">
        <w:t>5</w:t>
      </w:r>
      <w:bookmarkEnd w:id="11461"/>
      <w:r w:rsidRPr="00560140">
        <w:t> — Joint shear mechanisms</w:t>
      </w:r>
      <w:r w:rsidR="002833D2">
        <w:t>:</w:t>
      </w:r>
      <w:r w:rsidRPr="00560140">
        <w:t xml:space="preserve"> (a) steel web panel; (b) concrete compression strut; and (c) concrete compression field</w:t>
      </w:r>
    </w:p>
    <w:p w14:paraId="2F221357" w14:textId="18828DFB" w:rsidR="009F195D" w:rsidRDefault="009F195D" w:rsidP="00724E4E">
      <w:pPr>
        <w:pStyle w:val="Clause"/>
      </w:pPr>
      <w:r w:rsidRPr="00D1484A">
        <w:t xml:space="preserve">The shear resistance, </w:t>
      </w:r>
      <m:oMath>
        <m:sSub>
          <m:sSubPr>
            <m:ctrlPr>
              <w:rPr>
                <w:rFonts w:ascii="Cambria Math" w:hAnsi="Cambria Math"/>
                <w:i/>
              </w:rPr>
            </m:ctrlPr>
          </m:sSubPr>
          <m:e>
            <m:r>
              <w:rPr>
                <w:rFonts w:ascii="Cambria Math" w:hAnsi="Cambria Math"/>
              </w:rPr>
              <m:t>V</m:t>
            </m:r>
          </m:e>
          <m:sub>
            <m:r>
              <w:rPr>
                <w:rFonts w:ascii="Cambria Math" w:hAnsi="Cambria Math"/>
              </w:rPr>
              <m:t>sn</m:t>
            </m:r>
          </m:sub>
        </m:sSub>
      </m:oMath>
      <w:r w:rsidRPr="00132C1E">
        <w:t xml:space="preserve">, of the steel </w:t>
      </w:r>
      <w:r w:rsidRPr="00560140">
        <w:t>panel shown in Figure G.5a should be calculated using Formula (G.11).</w:t>
      </w:r>
    </w:p>
    <w:p w14:paraId="4FEB7D16" w14:textId="359C8C4D" w:rsidR="00560140" w:rsidRDefault="009B5CEC" w:rsidP="00560140">
      <w:pPr>
        <w:pStyle w:val="Formula"/>
        <w:spacing w:before="240"/>
      </w:pPr>
      <m:oMath>
        <m:sSub>
          <m:sSubPr>
            <m:ctrlPr>
              <w:rPr>
                <w:rFonts w:ascii="Cambria Math" w:hAnsi="Cambria Math"/>
              </w:rPr>
            </m:ctrlPr>
          </m:sSubPr>
          <m:e>
            <m:r>
              <w:rPr>
                <w:rFonts w:ascii="Cambria Math" w:hAnsi="Cambria Math"/>
              </w:rPr>
              <m:t>V</m:t>
            </m:r>
          </m:e>
          <m:sub>
            <m:r>
              <m:rPr>
                <m:sty m:val="p"/>
              </m:rPr>
              <w:rPr>
                <w:rFonts w:ascii="Cambria Math" w:hAnsi="Cambria Math"/>
              </w:rPr>
              <m:t>sd</m:t>
            </m:r>
          </m:sub>
        </m:sSub>
        <m:r>
          <w:rPr>
            <w:rFonts w:ascii="Cambria Math" w:hAnsi="Cambria Math"/>
          </w:rPr>
          <m:t>=0,6</m:t>
        </m:r>
        <m:sSub>
          <m:sSubPr>
            <m:ctrlPr>
              <w:rPr>
                <w:rFonts w:ascii="Cambria Math" w:hAnsi="Cambria Math"/>
              </w:rPr>
            </m:ctrlPr>
          </m:sSubPr>
          <m:e>
            <m:r>
              <w:rPr>
                <w:rFonts w:ascii="Cambria Math" w:hAnsi="Cambria Math"/>
              </w:rPr>
              <m:t>f</m:t>
            </m:r>
          </m:e>
          <m:sub>
            <m:r>
              <m:rPr>
                <m:sty m:val="p"/>
              </m:rPr>
              <w:rPr>
                <w:rFonts w:ascii="Cambria Math" w:hAnsi="Cambria Math"/>
              </w:rPr>
              <m:t>y</m:t>
            </m:r>
          </m:sub>
        </m:sSub>
        <m:sSub>
          <m:sSubPr>
            <m:ctrlPr>
              <w:rPr>
                <w:rFonts w:ascii="Cambria Math" w:hAnsi="Cambria Math"/>
              </w:rPr>
            </m:ctrlPr>
          </m:sSubPr>
          <m:e>
            <m:r>
              <w:rPr>
                <w:rFonts w:ascii="Cambria Math" w:hAnsi="Cambria Math"/>
              </w:rPr>
              <m:t>t</m:t>
            </m:r>
          </m:e>
          <m:sub>
            <m:r>
              <m:rPr>
                <m:sty m:val="p"/>
              </m:rPr>
              <w:rPr>
                <w:rFonts w:ascii="Cambria Math" w:hAnsi="Cambria Math"/>
              </w:rPr>
              <m:t>sp</m:t>
            </m:r>
          </m:sub>
        </m:sSub>
        <m:sSub>
          <m:sSubPr>
            <m:ctrlPr>
              <w:rPr>
                <w:rFonts w:ascii="Cambria Math" w:hAnsi="Cambria Math"/>
              </w:rPr>
            </m:ctrlPr>
          </m:sSubPr>
          <m:e>
            <m:r>
              <w:rPr>
                <w:rFonts w:ascii="Cambria Math" w:hAnsi="Cambria Math"/>
              </w:rPr>
              <m:t>j</m:t>
            </m:r>
          </m:e>
          <m:sub>
            <m:r>
              <m:rPr>
                <m:sty m:val="p"/>
              </m:rPr>
              <w:rPr>
                <w:rFonts w:ascii="Cambria Math" w:hAnsi="Cambria Math"/>
              </w:rPr>
              <m:t>h</m:t>
            </m:r>
          </m:sub>
        </m:sSub>
        <m:r>
          <w:rPr>
            <w:rFonts w:ascii="Cambria Math" w:hAnsi="Cambria Math"/>
          </w:rPr>
          <m:t>/</m:t>
        </m:r>
        <m:sSub>
          <m:sSubPr>
            <m:ctrlPr>
              <w:rPr>
                <w:rFonts w:ascii="Cambria Math" w:hAnsi="Cambria Math"/>
              </w:rPr>
            </m:ctrlPr>
          </m:sSubPr>
          <m:e>
            <m:r>
              <w:rPr>
                <w:rFonts w:ascii="Cambria Math" w:hAnsi="Cambria Math"/>
              </w:rPr>
              <m:t>γ</m:t>
            </m:r>
          </m:e>
          <m:sub>
            <m:r>
              <m:rPr>
                <m:sty m:val="p"/>
              </m:rPr>
              <w:rPr>
                <w:rFonts w:ascii="Cambria Math" w:hAnsi="Cambria Math"/>
              </w:rPr>
              <m:t>M</m:t>
            </m:r>
          </m:sub>
        </m:sSub>
      </m:oMath>
      <w:r w:rsidR="00560140" w:rsidRPr="00922D9B">
        <w:tab/>
        <w:t>(G.</w:t>
      </w:r>
      <w:r w:rsidR="00560140">
        <w:t>11</w:t>
      </w:r>
      <w:r w:rsidR="00560140" w:rsidRPr="00922D9B">
        <w:t>)</w:t>
      </w:r>
    </w:p>
    <w:p w14:paraId="7EFE807A" w14:textId="20D34310" w:rsidR="00BE326E" w:rsidRPr="00D1484A" w:rsidRDefault="00675EBA" w:rsidP="00773115">
      <w:pPr>
        <w:pStyle w:val="Text"/>
      </w:pPr>
      <w:r>
        <w:t>where</w:t>
      </w:r>
    </w:p>
    <w:tbl>
      <w:tblPr>
        <w:tblW w:w="0" w:type="auto"/>
        <w:tblInd w:w="346" w:type="dxa"/>
        <w:tblLook w:val="04A0" w:firstRow="1" w:lastRow="0" w:firstColumn="1" w:lastColumn="0" w:noHBand="0" w:noVBand="1"/>
      </w:tblPr>
      <w:tblGrid>
        <w:gridCol w:w="1275"/>
        <w:gridCol w:w="7938"/>
      </w:tblGrid>
      <w:tr w:rsidR="00560140" w:rsidRPr="00870D59" w14:paraId="0288C119" w14:textId="77777777" w:rsidTr="00B15DDF">
        <w:tc>
          <w:tcPr>
            <w:tcW w:w="1275" w:type="dxa"/>
          </w:tcPr>
          <w:p w14:paraId="182A895D" w14:textId="0C959D46" w:rsidR="00560140" w:rsidRPr="00460668" w:rsidRDefault="009B5CEC" w:rsidP="002061E5">
            <w:pPr>
              <w:spacing w:after="60"/>
              <w:rPr>
                <w:rFonts w:eastAsia="Times New Roman" w:cs="Cambria"/>
                <w:szCs w:val="20"/>
                <w:lang w:eastAsia="fr-FR"/>
              </w:rPr>
            </w:pPr>
            <m:oMathPara>
              <m:oMathParaPr>
                <m:jc m:val="left"/>
              </m:oMathParaPr>
              <m:oMath>
                <m:sSub>
                  <m:sSubPr>
                    <m:ctrlPr>
                      <w:rPr>
                        <w:rFonts w:ascii="Cambria Math" w:hAnsi="Cambria Math"/>
                        <w:i/>
                      </w:rPr>
                    </m:ctrlPr>
                  </m:sSubPr>
                  <m:e>
                    <m:r>
                      <w:rPr>
                        <w:rFonts w:ascii="Cambria Math" w:hAnsi="Cambria Math"/>
                      </w:rPr>
                      <m:t>f</m:t>
                    </m:r>
                  </m:e>
                  <m:sub>
                    <m:r>
                      <m:rPr>
                        <m:sty m:val="p"/>
                      </m:rPr>
                      <w:rPr>
                        <w:rFonts w:ascii="Cambria Math" w:hAnsi="Cambria Math"/>
                      </w:rPr>
                      <m:t>y</m:t>
                    </m:r>
                  </m:sub>
                </m:sSub>
              </m:oMath>
            </m:oMathPara>
          </w:p>
        </w:tc>
        <w:tc>
          <w:tcPr>
            <w:tcW w:w="7938" w:type="dxa"/>
          </w:tcPr>
          <w:p w14:paraId="32E47C7E" w14:textId="52F4307C" w:rsidR="00560140" w:rsidRPr="00BE326E" w:rsidRDefault="00BE326E" w:rsidP="002061E5">
            <w:pPr>
              <w:spacing w:after="60"/>
            </w:pPr>
            <w:r w:rsidRPr="00BE326E">
              <w:t>is the nominal yield strength of the steel material of the steel panel;</w:t>
            </w:r>
          </w:p>
        </w:tc>
      </w:tr>
      <w:tr w:rsidR="00560140" w:rsidRPr="00870D59" w14:paraId="02439F08" w14:textId="77777777" w:rsidTr="00B15DDF">
        <w:tc>
          <w:tcPr>
            <w:tcW w:w="1275" w:type="dxa"/>
          </w:tcPr>
          <w:p w14:paraId="53648EF5" w14:textId="5FA1B1AD" w:rsidR="00560140" w:rsidRPr="00922D9B" w:rsidRDefault="009B5CEC" w:rsidP="002061E5">
            <w:pPr>
              <w:spacing w:after="60"/>
              <w:rPr>
                <w:rFonts w:eastAsia="MS Mincho" w:cs="Cambria"/>
              </w:rPr>
            </w:pPr>
            <m:oMathPara>
              <m:oMathParaPr>
                <m:jc m:val="left"/>
              </m:oMathParaPr>
              <m:oMath>
                <m:sSub>
                  <m:sSubPr>
                    <m:ctrlPr>
                      <w:rPr>
                        <w:rFonts w:ascii="Cambria Math" w:hAnsi="Cambria Math"/>
                        <w:i/>
                      </w:rPr>
                    </m:ctrlPr>
                  </m:sSubPr>
                  <m:e>
                    <m:r>
                      <w:rPr>
                        <w:rFonts w:ascii="Cambria Math" w:hAnsi="Cambria Math"/>
                      </w:rPr>
                      <m:t>t</m:t>
                    </m:r>
                  </m:e>
                  <m:sub>
                    <m:r>
                      <m:rPr>
                        <m:sty m:val="p"/>
                      </m:rPr>
                      <w:rPr>
                        <w:rFonts w:ascii="Cambria Math" w:hAnsi="Cambria Math"/>
                      </w:rPr>
                      <m:t>sp</m:t>
                    </m:r>
                  </m:sub>
                </m:sSub>
              </m:oMath>
            </m:oMathPara>
          </w:p>
        </w:tc>
        <w:tc>
          <w:tcPr>
            <w:tcW w:w="7938" w:type="dxa"/>
          </w:tcPr>
          <w:p w14:paraId="53CD33A8" w14:textId="4861ED9B" w:rsidR="00560140" w:rsidRPr="00BE326E" w:rsidRDefault="00BE326E" w:rsidP="002061E5">
            <w:pPr>
              <w:spacing w:after="60"/>
            </w:pPr>
            <w:r w:rsidRPr="00BE326E">
              <w:t>is the thickness of the steel panel;</w:t>
            </w:r>
          </w:p>
        </w:tc>
      </w:tr>
      <w:tr w:rsidR="00AA47AC" w:rsidRPr="00870D59" w14:paraId="54730C25" w14:textId="77777777" w:rsidTr="00B15DDF">
        <w:tc>
          <w:tcPr>
            <w:tcW w:w="1275" w:type="dxa"/>
          </w:tcPr>
          <w:p w14:paraId="6E78A60E" w14:textId="15DFE18E" w:rsidR="00AA47AC" w:rsidRPr="00BE326E" w:rsidRDefault="009B5CEC" w:rsidP="002061E5">
            <w:pPr>
              <w:spacing w:after="60"/>
              <w:rPr>
                <w:iCs/>
              </w:rPr>
            </w:pPr>
            <m:oMathPara>
              <m:oMathParaPr>
                <m:jc m:val="left"/>
              </m:oMathParaPr>
              <m:oMath>
                <m:sSub>
                  <m:sSubPr>
                    <m:ctrlPr>
                      <w:rPr>
                        <w:rFonts w:ascii="Cambria Math" w:hAnsi="Cambria Math"/>
                        <w:i/>
                      </w:rPr>
                    </m:ctrlPr>
                  </m:sSubPr>
                  <m:e>
                    <m:r>
                      <w:rPr>
                        <w:rFonts w:ascii="Cambria Math" w:hAnsi="Cambria Math"/>
                      </w:rPr>
                      <m:t>j</m:t>
                    </m:r>
                  </m:e>
                  <m:sub>
                    <m:r>
                      <m:rPr>
                        <m:sty m:val="p"/>
                      </m:rPr>
                      <w:rPr>
                        <w:rFonts w:ascii="Cambria Math" w:hAnsi="Cambria Math"/>
                      </w:rPr>
                      <m:t>h</m:t>
                    </m:r>
                  </m:sub>
                </m:sSub>
              </m:oMath>
            </m:oMathPara>
          </w:p>
        </w:tc>
        <w:tc>
          <w:tcPr>
            <w:tcW w:w="7938" w:type="dxa"/>
          </w:tcPr>
          <w:p w14:paraId="25875921" w14:textId="34CD07DF" w:rsidR="00AA47AC" w:rsidRPr="00BE326E" w:rsidRDefault="00BE326E" w:rsidP="00BE326E">
            <w:pPr>
              <w:spacing w:after="60"/>
            </w:pPr>
            <w:r w:rsidRPr="00BE326E">
              <w:t>is defined according to Formula G.7;</w:t>
            </w:r>
          </w:p>
        </w:tc>
      </w:tr>
      <w:tr w:rsidR="00AA47AC" w:rsidRPr="00870D59" w14:paraId="2DE4E718" w14:textId="77777777" w:rsidTr="00B15DDF">
        <w:tc>
          <w:tcPr>
            <w:tcW w:w="1275" w:type="dxa"/>
          </w:tcPr>
          <w:p w14:paraId="5E8807C7" w14:textId="6DA353B0" w:rsidR="00AA47AC" w:rsidRPr="00BE326E" w:rsidRDefault="009B5CEC" w:rsidP="002061E5">
            <w:pPr>
              <w:spacing w:after="60"/>
              <w:rPr>
                <w:iCs/>
              </w:rPr>
            </w:pPr>
            <m:oMathPara>
              <m:oMathParaPr>
                <m:jc m:val="left"/>
              </m:oMathParaPr>
              <m:oMath>
                <m:sSub>
                  <m:sSubPr>
                    <m:ctrlPr>
                      <w:rPr>
                        <w:rFonts w:ascii="Cambria Math" w:hAnsi="Cambria Math"/>
                        <w:i/>
                      </w:rPr>
                    </m:ctrlPr>
                  </m:sSubPr>
                  <m:e>
                    <m:r>
                      <w:rPr>
                        <w:rFonts w:ascii="Cambria Math" w:hAnsi="Cambria Math"/>
                      </w:rPr>
                      <m:t>γ</m:t>
                    </m:r>
                  </m:e>
                  <m:sub>
                    <m:r>
                      <m:rPr>
                        <m:sty m:val="p"/>
                      </m:rPr>
                      <w:rPr>
                        <w:rFonts w:ascii="Cambria Math" w:hAnsi="Cambria Math"/>
                      </w:rPr>
                      <m:t>M</m:t>
                    </m:r>
                  </m:sub>
                </m:sSub>
              </m:oMath>
            </m:oMathPara>
          </w:p>
        </w:tc>
        <w:tc>
          <w:tcPr>
            <w:tcW w:w="7938" w:type="dxa"/>
          </w:tcPr>
          <w:p w14:paraId="239F35EF" w14:textId="6BADAC5A" w:rsidR="00AA47AC" w:rsidRPr="00BE326E" w:rsidRDefault="00BE326E" w:rsidP="002061E5">
            <w:pPr>
              <w:spacing w:after="60"/>
            </w:pPr>
            <w:r w:rsidRPr="00BE326E">
              <w:t xml:space="preserve">is the material partial factor according to </w:t>
            </w:r>
            <w:r w:rsidR="00867476">
              <w:t>EN 1993-1-1</w:t>
            </w:r>
            <w:r w:rsidRPr="00BE326E">
              <w:t>:202</w:t>
            </w:r>
            <w:r w:rsidR="00867476">
              <w:t>2</w:t>
            </w:r>
            <w:r w:rsidRPr="00BE326E">
              <w:t>,</w:t>
            </w:r>
            <w:r w:rsidR="00055612">
              <w:t xml:space="preserve"> 8.1.</w:t>
            </w:r>
          </w:p>
        </w:tc>
      </w:tr>
    </w:tbl>
    <w:p w14:paraId="54B1348C" w14:textId="53FC44CC" w:rsidR="00BE326E" w:rsidRDefault="00BE326E" w:rsidP="00724E4E">
      <w:pPr>
        <w:pStyle w:val="Clause"/>
      </w:pPr>
      <w:r w:rsidRPr="00196951">
        <w:t>The design shear resista</w:t>
      </w:r>
      <w:r w:rsidR="00055612">
        <w:t>n</w:t>
      </w:r>
      <w:r w:rsidRPr="00196951">
        <w:t xml:space="preserve">ce, </w:t>
      </w:r>
      <m:oMath>
        <m:sSub>
          <m:sSubPr>
            <m:ctrlPr>
              <w:rPr>
                <w:rFonts w:ascii="Cambria Math" w:hAnsi="Cambria Math"/>
                <w:i/>
              </w:rPr>
            </m:ctrlPr>
          </m:sSubPr>
          <m:e>
            <m:r>
              <w:rPr>
                <w:rFonts w:ascii="Cambria Math" w:hAnsi="Cambria Math"/>
              </w:rPr>
              <m:t>V</m:t>
            </m:r>
          </m:e>
          <m:sub>
            <m:r>
              <m:rPr>
                <m:sty m:val="p"/>
              </m:rPr>
              <w:rPr>
                <w:rFonts w:ascii="Cambria Math" w:hAnsi="Cambria Math"/>
              </w:rPr>
              <m:t>csd</m:t>
            </m:r>
          </m:sub>
        </m:sSub>
      </m:oMath>
      <w:r w:rsidRPr="00132C1E">
        <w:t>, of the concrete compressive strut (</w:t>
      </w:r>
      <w:r w:rsidRPr="00BE326E">
        <w:t>see Figure G.5b) should be calculated using Formula (G.12).</w:t>
      </w:r>
    </w:p>
    <w:p w14:paraId="430ED745" w14:textId="0520D071" w:rsidR="00BE326E" w:rsidRDefault="009B5CEC" w:rsidP="00BE326E">
      <w:pPr>
        <w:pStyle w:val="Formula"/>
        <w:spacing w:before="240"/>
      </w:pPr>
      <m:oMath>
        <m:sSub>
          <m:sSubPr>
            <m:ctrlPr>
              <w:rPr>
                <w:rFonts w:ascii="Cambria Math" w:hAnsi="Cambria Math"/>
              </w:rPr>
            </m:ctrlPr>
          </m:sSubPr>
          <m:e>
            <m:r>
              <w:rPr>
                <w:rFonts w:ascii="Cambria Math" w:hAnsi="Cambria Math"/>
              </w:rPr>
              <m:t>V</m:t>
            </m:r>
          </m:e>
          <m:sub>
            <m:r>
              <m:rPr>
                <m:sty m:val="p"/>
              </m:rPr>
              <w:rPr>
                <w:rFonts w:ascii="Cambria Math" w:hAnsi="Cambria Math"/>
              </w:rPr>
              <m:t>csd</m:t>
            </m:r>
          </m:sub>
        </m:sSub>
        <m:r>
          <w:rPr>
            <w:rFonts w:ascii="Cambria Math" w:hAnsi="Cambria Math"/>
          </w:rPr>
          <m:t>=0,5</m:t>
        </m:r>
        <m:sSub>
          <m:sSubPr>
            <m:ctrlPr>
              <w:rPr>
                <w:rFonts w:ascii="Cambria Math" w:hAnsi="Cambria Math"/>
              </w:rPr>
            </m:ctrlPr>
          </m:sSubPr>
          <m:e>
            <m:r>
              <w:rPr>
                <w:rFonts w:ascii="Cambria Math" w:hAnsi="Cambria Math"/>
              </w:rPr>
              <m:t>f</m:t>
            </m:r>
          </m:e>
          <m:sub>
            <m:r>
              <m:rPr>
                <m:sty m:val="p"/>
              </m:rPr>
              <w:rPr>
                <w:rFonts w:ascii="Cambria Math" w:hAnsi="Cambria Math"/>
              </w:rPr>
              <m:t>cd</m:t>
            </m:r>
          </m:sub>
        </m:sSub>
        <m:sSub>
          <m:sSubPr>
            <m:ctrlPr>
              <w:rPr>
                <w:rFonts w:ascii="Cambria Math" w:hAnsi="Cambria Math"/>
              </w:rPr>
            </m:ctrlPr>
          </m:sSubPr>
          <m:e>
            <m:r>
              <w:rPr>
                <w:rFonts w:ascii="Cambria Math" w:hAnsi="Cambria Math"/>
              </w:rPr>
              <m:t>b</m:t>
            </m:r>
          </m:e>
          <m:sub>
            <m:r>
              <m:rPr>
                <m:sty m:val="p"/>
              </m:rPr>
              <w:rPr>
                <w:rFonts w:ascii="Cambria Math" w:hAnsi="Cambria Math"/>
              </w:rPr>
              <m:t>p</m:t>
            </m:r>
          </m:sub>
        </m:sSub>
        <m:sSub>
          <m:sSubPr>
            <m:ctrlPr>
              <w:rPr>
                <w:rFonts w:ascii="Cambria Math" w:hAnsi="Cambria Math"/>
              </w:rPr>
            </m:ctrlPr>
          </m:sSubPr>
          <m:e>
            <m:r>
              <w:rPr>
                <w:rFonts w:ascii="Cambria Math" w:hAnsi="Cambria Math"/>
              </w:rPr>
              <m:t>h</m:t>
            </m:r>
          </m:e>
          <m:sub>
            <m:r>
              <m:rPr>
                <m:sty m:val="p"/>
              </m:rPr>
              <w:rPr>
                <w:rFonts w:ascii="Cambria Math" w:hAnsi="Cambria Math"/>
              </w:rPr>
              <m:t>w</m:t>
            </m:r>
          </m:sub>
        </m:sSub>
        <m:f>
          <m:fPr>
            <m:ctrlPr>
              <w:rPr>
                <w:rFonts w:ascii="Cambria Math" w:hAnsi="Cambria Math"/>
              </w:rPr>
            </m:ctrlPr>
          </m:fPr>
          <m:num>
            <m:sSubSup>
              <m:sSubSupPr>
                <m:ctrlPr>
                  <w:rPr>
                    <w:rFonts w:ascii="Cambria Math" w:hAnsi="Cambria Math"/>
                  </w:rPr>
                </m:ctrlPr>
              </m:sSubSupPr>
              <m:e>
                <m:r>
                  <w:rPr>
                    <w:rFonts w:ascii="Cambria Math" w:hAnsi="Cambria Math"/>
                  </w:rPr>
                  <m:t>h</m:t>
                </m:r>
              </m:e>
              <m:sub>
                <m:r>
                  <m:rPr>
                    <m:sty m:val="p"/>
                  </m:rPr>
                  <w:rPr>
                    <w:rFonts w:ascii="Cambria Math" w:hAnsi="Cambria Math"/>
                  </w:rPr>
                  <m:t>c</m:t>
                </m:r>
              </m:sub>
              <m:sup>
                <m:r>
                  <m:rPr>
                    <m:sty m:val="p"/>
                  </m:rPr>
                  <w:rPr>
                    <w:rFonts w:ascii="Cambria Math" w:hAnsi="Cambria Math"/>
                  </w:rPr>
                  <m:t>2</m:t>
                </m:r>
              </m:sup>
            </m:sSubSup>
          </m:num>
          <m:den>
            <m:sSubSup>
              <m:sSubSupPr>
                <m:ctrlPr>
                  <w:rPr>
                    <w:rFonts w:ascii="Cambria Math" w:hAnsi="Cambria Math"/>
                  </w:rPr>
                </m:ctrlPr>
              </m:sSubSupPr>
              <m:e>
                <m:r>
                  <w:rPr>
                    <w:rFonts w:ascii="Cambria Math" w:hAnsi="Cambria Math"/>
                  </w:rPr>
                  <m:t>h</m:t>
                </m:r>
              </m:e>
              <m:sub>
                <m:r>
                  <m:rPr>
                    <m:sty m:val="p"/>
                  </m:rPr>
                  <w:rPr>
                    <w:rFonts w:ascii="Cambria Math" w:hAnsi="Cambria Math"/>
                  </w:rPr>
                  <m:t>c</m:t>
                </m:r>
              </m:sub>
              <m:sup>
                <m:r>
                  <w:rPr>
                    <w:rFonts w:ascii="Cambria Math" w:hAnsi="Cambria Math"/>
                  </w:rPr>
                  <m:t>2</m:t>
                </m:r>
              </m:sup>
            </m:sSubSup>
            <m:sSubSup>
              <m:sSubSupPr>
                <m:ctrlPr>
                  <w:rPr>
                    <w:rFonts w:ascii="Cambria Math" w:hAnsi="Cambria Math"/>
                  </w:rPr>
                </m:ctrlPr>
              </m:sSubSupPr>
              <m:e>
                <m:r>
                  <w:rPr>
                    <w:rFonts w:ascii="Cambria Math" w:hAnsi="Cambria Math"/>
                  </w:rPr>
                  <m:t>+h</m:t>
                </m:r>
              </m:e>
              <m:sub>
                <m:r>
                  <m:rPr>
                    <m:sty m:val="p"/>
                  </m:rPr>
                  <w:rPr>
                    <w:rFonts w:ascii="Cambria Math" w:hAnsi="Cambria Math"/>
                  </w:rPr>
                  <m:t>w</m:t>
                </m:r>
              </m:sub>
              <m:sup>
                <m:r>
                  <w:rPr>
                    <w:rFonts w:ascii="Cambria Math" w:hAnsi="Cambria Math"/>
                  </w:rPr>
                  <m:t>2</m:t>
                </m:r>
              </m:sup>
            </m:sSubSup>
          </m:den>
        </m:f>
      </m:oMath>
      <w:r w:rsidR="00BE326E">
        <w:t xml:space="preserve"> </w:t>
      </w:r>
      <w:r w:rsidR="00BE326E" w:rsidRPr="00922D9B">
        <w:tab/>
        <w:t>(G.</w:t>
      </w:r>
      <w:r w:rsidR="00BE326E">
        <w:t>12</w:t>
      </w:r>
      <w:r w:rsidR="00BE326E" w:rsidRPr="00922D9B">
        <w:t>)</w:t>
      </w:r>
    </w:p>
    <w:p w14:paraId="2B655A98" w14:textId="791BA799" w:rsidR="00BE326E" w:rsidRPr="00D1484A" w:rsidRDefault="00BE326E" w:rsidP="00BE326E">
      <w:r w:rsidRPr="00BE326E">
        <w:t>where</w:t>
      </w:r>
      <w:r w:rsidRPr="00BE326E">
        <w:rPr>
          <w:i/>
          <w:iCs/>
        </w:rPr>
        <w:t xml:space="preserve"> b</w:t>
      </w:r>
      <w:r w:rsidRPr="00BE326E">
        <w:rPr>
          <w:vertAlign w:val="subscript"/>
        </w:rPr>
        <w:t>p</w:t>
      </w:r>
      <w:r w:rsidRPr="00BE326E">
        <w:t xml:space="preserve"> is the effective face bearing plate width (see</w:t>
      </w:r>
      <w:r w:rsidRPr="00BE326E">
        <w:rPr>
          <w:bCs/>
        </w:rPr>
        <w:t xml:space="preserve"> Figure G.1); it </w:t>
      </w:r>
      <w:r w:rsidRPr="00BE326E">
        <w:t>should satisfy Formula (G.13)</w:t>
      </w:r>
      <w:r>
        <w:rPr>
          <w:color w:val="00B050"/>
        </w:rPr>
        <w:t>.</w:t>
      </w:r>
    </w:p>
    <w:p w14:paraId="67183672" w14:textId="6FE4B67A" w:rsidR="00F41E63" w:rsidRDefault="009B5CEC" w:rsidP="00F41E63">
      <w:pPr>
        <w:pStyle w:val="Formula"/>
        <w:spacing w:before="240"/>
      </w:pPr>
      <m:oMath>
        <m:sSub>
          <m:sSubPr>
            <m:ctrlPr>
              <w:rPr>
                <w:rFonts w:ascii="Cambria Math" w:hAnsi="Cambria Math"/>
              </w:rPr>
            </m:ctrlPr>
          </m:sSubPr>
          <m:e>
            <m:r>
              <w:rPr>
                <w:rFonts w:ascii="Cambria Math" w:hAnsi="Cambria Math"/>
              </w:rPr>
              <m:t>b</m:t>
            </m:r>
          </m:e>
          <m:sub>
            <m:r>
              <m:rPr>
                <m:sty m:val="p"/>
              </m:rPr>
              <w:rPr>
                <w:rFonts w:ascii="Cambria Math" w:hAnsi="Cambria Math"/>
              </w:rPr>
              <m:t>p</m:t>
            </m:r>
          </m:sub>
        </m:sSub>
        <m:r>
          <w:rPr>
            <w:rFonts w:ascii="Cambria Math" w:hAnsi="Cambria Math"/>
          </w:rPr>
          <m:t>≤</m:t>
        </m:r>
        <m:sSub>
          <m:sSubPr>
            <m:ctrlPr>
              <w:rPr>
                <w:rFonts w:ascii="Cambria Math" w:hAnsi="Cambria Math"/>
              </w:rPr>
            </m:ctrlPr>
          </m:sSubPr>
          <m:e>
            <m:r>
              <w:rPr>
                <w:rFonts w:ascii="Cambria Math" w:hAnsi="Cambria Math"/>
              </w:rPr>
              <m:t>b</m:t>
            </m:r>
          </m:e>
          <m:sub>
            <m:r>
              <m:rPr>
                <m:sty m:val="p"/>
              </m:rPr>
              <w:rPr>
                <w:rFonts w:ascii="Cambria Math" w:hAnsi="Cambria Math"/>
              </w:rPr>
              <m:t>f</m:t>
            </m:r>
          </m:sub>
        </m:sSub>
        <m:r>
          <w:rPr>
            <w:rFonts w:ascii="Cambria Math" w:hAnsi="Cambria Math"/>
          </w:rPr>
          <m:t>+5</m:t>
        </m:r>
        <m:sSub>
          <m:sSubPr>
            <m:ctrlPr>
              <w:rPr>
                <w:rFonts w:ascii="Cambria Math" w:hAnsi="Cambria Math"/>
              </w:rPr>
            </m:ctrlPr>
          </m:sSubPr>
          <m:e>
            <m:r>
              <w:rPr>
                <w:rFonts w:ascii="Cambria Math" w:hAnsi="Cambria Math"/>
              </w:rPr>
              <m:t>t</m:t>
            </m:r>
          </m:e>
          <m:sub>
            <m:r>
              <m:rPr>
                <m:sty m:val="p"/>
              </m:rPr>
              <w:rPr>
                <w:rFonts w:ascii="Cambria Math" w:hAnsi="Cambria Math"/>
              </w:rPr>
              <m:t>p</m:t>
            </m:r>
          </m:sub>
        </m:sSub>
        <m:r>
          <w:rPr>
            <w:rFonts w:ascii="Cambria Math" w:hAnsi="Cambria Math"/>
          </w:rPr>
          <m:t>≤1,5</m:t>
        </m:r>
        <m:sSub>
          <m:sSubPr>
            <m:ctrlPr>
              <w:rPr>
                <w:rFonts w:ascii="Cambria Math" w:hAnsi="Cambria Math"/>
              </w:rPr>
            </m:ctrlPr>
          </m:sSubPr>
          <m:e>
            <m:r>
              <w:rPr>
                <w:rFonts w:ascii="Cambria Math" w:hAnsi="Cambria Math"/>
              </w:rPr>
              <m:t>b</m:t>
            </m:r>
          </m:e>
          <m:sub>
            <m:r>
              <m:rPr>
                <m:sty m:val="p"/>
              </m:rPr>
              <w:rPr>
                <w:rFonts w:ascii="Cambria Math" w:hAnsi="Cambria Math"/>
              </w:rPr>
              <m:t>f</m:t>
            </m:r>
          </m:sub>
        </m:sSub>
      </m:oMath>
      <w:r w:rsidR="00F41E63" w:rsidRPr="00922D9B">
        <w:tab/>
        <w:t>(G.</w:t>
      </w:r>
      <w:r w:rsidR="00F41E63">
        <w:t>13</w:t>
      </w:r>
      <w:r w:rsidR="00F41E63" w:rsidRPr="00922D9B">
        <w:t>)</w:t>
      </w:r>
    </w:p>
    <w:p w14:paraId="255B2602" w14:textId="6825822A" w:rsidR="00F41E63" w:rsidRDefault="00F41E63" w:rsidP="00724E4E">
      <w:pPr>
        <w:pStyle w:val="Clause"/>
      </w:pPr>
      <w:r w:rsidRPr="00132C1E">
        <w:t>The design shear</w:t>
      </w:r>
      <w:r w:rsidR="00CB3836">
        <w:t xml:space="preserve"> </w:t>
      </w:r>
      <w:r w:rsidRPr="00132C1E">
        <w:t xml:space="preserve">resistance, </w:t>
      </w:r>
      <m:oMath>
        <m:sSub>
          <m:sSubPr>
            <m:ctrlPr>
              <w:rPr>
                <w:rFonts w:ascii="Cambria Math" w:hAnsi="Cambria Math"/>
                <w:i/>
              </w:rPr>
            </m:ctrlPr>
          </m:sSubPr>
          <m:e>
            <m:r>
              <w:rPr>
                <w:rFonts w:ascii="Cambria Math" w:hAnsi="Cambria Math"/>
              </w:rPr>
              <m:t>V</m:t>
            </m:r>
          </m:e>
          <m:sub>
            <m:r>
              <m:rPr>
                <m:sty m:val="p"/>
              </m:rPr>
              <w:rPr>
                <w:rFonts w:ascii="Cambria Math" w:hAnsi="Cambria Math"/>
              </w:rPr>
              <m:t>cfd</m:t>
            </m:r>
          </m:sub>
        </m:sSub>
      </m:oMath>
      <w:r w:rsidRPr="00132C1E">
        <w:t>, of the concrete compressive field (</w:t>
      </w:r>
      <w:r w:rsidRPr="00F41E63">
        <w:t>see Figure G.5c), should be calculated from Formula (G.14)</w:t>
      </w:r>
      <w:r w:rsidRPr="00FD17CF">
        <w:t>.</w:t>
      </w:r>
    </w:p>
    <w:p w14:paraId="59A9DEF6" w14:textId="3A8C87CC" w:rsidR="00F41E63" w:rsidRDefault="009B5CEC" w:rsidP="00F41E63">
      <w:pPr>
        <w:pStyle w:val="Formula"/>
        <w:spacing w:before="240"/>
      </w:pPr>
      <m:oMath>
        <m:sSub>
          <m:sSubPr>
            <m:ctrlPr>
              <w:rPr>
                <w:rFonts w:ascii="Cambria Math" w:hAnsi="Cambria Math"/>
              </w:rPr>
            </m:ctrlPr>
          </m:sSubPr>
          <m:e>
            <m:r>
              <w:rPr>
                <w:rFonts w:ascii="Cambria Math" w:hAnsi="Cambria Math"/>
              </w:rPr>
              <m:t>V</m:t>
            </m:r>
          </m:e>
          <m:sub>
            <m:r>
              <m:rPr>
                <m:sty m:val="p"/>
              </m:rPr>
              <w:rPr>
                <w:rFonts w:ascii="Cambria Math" w:hAnsi="Cambria Math"/>
              </w:rPr>
              <m:t>cfd</m:t>
            </m:r>
          </m:sub>
        </m:sSub>
        <m:r>
          <w:rPr>
            <w:rFonts w:ascii="Cambria Math" w:hAnsi="Cambria Math"/>
          </w:rPr>
          <m:t>=</m:t>
        </m:r>
        <m:sSub>
          <m:sSubPr>
            <m:ctrlPr>
              <w:rPr>
                <w:rFonts w:ascii="Cambria Math" w:hAnsi="Cambria Math"/>
              </w:rPr>
            </m:ctrlPr>
          </m:sSubPr>
          <m:e>
            <m:r>
              <w:rPr>
                <w:rFonts w:ascii="Cambria Math" w:hAnsi="Cambria Math"/>
              </w:rPr>
              <m:t>V</m:t>
            </m:r>
          </m:e>
          <m:sub>
            <m:r>
              <m:rPr>
                <m:sty m:val="p"/>
              </m:rPr>
              <w:rPr>
                <w:rFonts w:ascii="Cambria Math" w:hAnsi="Cambria Math"/>
              </w:rPr>
              <m:t>s</m:t>
            </m:r>
          </m:sub>
        </m:sSub>
        <m:r>
          <w:rPr>
            <w:rFonts w:ascii="Cambria Math" w:hAnsi="Cambria Math"/>
          </w:rPr>
          <m:t>≤0,5</m:t>
        </m:r>
        <m:sSub>
          <m:sSubPr>
            <m:ctrlPr>
              <w:rPr>
                <w:rFonts w:ascii="Cambria Math" w:hAnsi="Cambria Math"/>
              </w:rPr>
            </m:ctrlPr>
          </m:sSubPr>
          <m:e>
            <m:r>
              <w:rPr>
                <w:rFonts w:ascii="Cambria Math" w:hAnsi="Cambria Math"/>
              </w:rPr>
              <m:t>f</m:t>
            </m:r>
          </m:e>
          <m:sub>
            <m:r>
              <m:rPr>
                <m:sty m:val="p"/>
              </m:rPr>
              <w:rPr>
                <w:rFonts w:ascii="Cambria Math" w:hAnsi="Cambria Math"/>
              </w:rPr>
              <m:t>cd</m:t>
            </m:r>
          </m:sub>
        </m:sSub>
        <m:sSub>
          <m:sSubPr>
            <m:ctrlPr>
              <w:rPr>
                <w:rFonts w:ascii="Cambria Math" w:hAnsi="Cambria Math"/>
              </w:rPr>
            </m:ctrlPr>
          </m:sSubPr>
          <m:e>
            <m:r>
              <w:rPr>
                <w:rFonts w:ascii="Cambria Math" w:hAnsi="Cambria Math"/>
              </w:rPr>
              <m:t>b</m:t>
            </m:r>
          </m:e>
          <m:sub>
            <m:r>
              <m:rPr>
                <m:sty m:val="p"/>
              </m:rPr>
              <w:rPr>
                <w:rFonts w:ascii="Cambria Math" w:hAnsi="Cambria Math"/>
              </w:rPr>
              <m:t>o</m:t>
            </m:r>
          </m:sub>
        </m:sSub>
        <m:sSub>
          <m:sSubPr>
            <m:ctrlPr>
              <w:rPr>
                <w:rFonts w:ascii="Cambria Math" w:hAnsi="Cambria Math"/>
              </w:rPr>
            </m:ctrlPr>
          </m:sSubPr>
          <m:e>
            <m:r>
              <w:rPr>
                <w:rFonts w:ascii="Cambria Math" w:hAnsi="Cambria Math"/>
              </w:rPr>
              <m:t>h</m:t>
            </m:r>
          </m:e>
          <m:sub>
            <m:r>
              <m:rPr>
                <m:sty m:val="p"/>
              </m:rPr>
              <w:rPr>
                <w:rFonts w:ascii="Cambria Math" w:hAnsi="Cambria Math"/>
              </w:rPr>
              <m:t>w</m:t>
            </m:r>
          </m:sub>
        </m:sSub>
        <m:f>
          <m:fPr>
            <m:ctrlPr>
              <w:rPr>
                <w:rFonts w:ascii="Cambria Math" w:hAnsi="Cambria Math"/>
              </w:rPr>
            </m:ctrlPr>
          </m:fPr>
          <m:num>
            <m:sSubSup>
              <m:sSubSupPr>
                <m:ctrlPr>
                  <w:rPr>
                    <w:rFonts w:ascii="Cambria Math" w:hAnsi="Cambria Math"/>
                  </w:rPr>
                </m:ctrlPr>
              </m:sSubSupPr>
              <m:e>
                <m:r>
                  <w:rPr>
                    <w:rFonts w:ascii="Cambria Math" w:hAnsi="Cambria Math"/>
                  </w:rPr>
                  <m:t>h</m:t>
                </m:r>
              </m:e>
              <m:sub>
                <m:r>
                  <m:rPr>
                    <m:sty m:val="p"/>
                  </m:rPr>
                  <w:rPr>
                    <w:rFonts w:ascii="Cambria Math" w:hAnsi="Cambria Math"/>
                  </w:rPr>
                  <m:t>c</m:t>
                </m:r>
              </m:sub>
              <m:sup>
                <m:r>
                  <w:rPr>
                    <w:rFonts w:ascii="Cambria Math" w:hAnsi="Cambria Math"/>
                  </w:rPr>
                  <m:t>2</m:t>
                </m:r>
              </m:sup>
            </m:sSubSup>
          </m:num>
          <m:den>
            <m:sSubSup>
              <m:sSubSupPr>
                <m:ctrlPr>
                  <w:rPr>
                    <w:rFonts w:ascii="Cambria Math" w:hAnsi="Cambria Math"/>
                  </w:rPr>
                </m:ctrlPr>
              </m:sSubSupPr>
              <m:e>
                <m:r>
                  <w:rPr>
                    <w:rFonts w:ascii="Cambria Math" w:hAnsi="Cambria Math"/>
                  </w:rPr>
                  <m:t>h</m:t>
                </m:r>
              </m:e>
              <m:sub>
                <m:r>
                  <m:rPr>
                    <m:sty m:val="p"/>
                  </m:rPr>
                  <w:rPr>
                    <w:rFonts w:ascii="Cambria Math" w:hAnsi="Cambria Math"/>
                  </w:rPr>
                  <m:t>c</m:t>
                </m:r>
              </m:sub>
              <m:sup>
                <m:r>
                  <w:rPr>
                    <w:rFonts w:ascii="Cambria Math" w:hAnsi="Cambria Math"/>
                  </w:rPr>
                  <m:t>2</m:t>
                </m:r>
              </m:sup>
            </m:sSubSup>
            <m:sSubSup>
              <m:sSubSupPr>
                <m:ctrlPr>
                  <w:rPr>
                    <w:rFonts w:ascii="Cambria Math" w:hAnsi="Cambria Math"/>
                  </w:rPr>
                </m:ctrlPr>
              </m:sSubSupPr>
              <m:e>
                <m:r>
                  <w:rPr>
                    <w:rFonts w:ascii="Cambria Math" w:hAnsi="Cambria Math"/>
                  </w:rPr>
                  <m:t>+h</m:t>
                </m:r>
              </m:e>
              <m:sub>
                <m:r>
                  <m:rPr>
                    <m:sty m:val="p"/>
                  </m:rPr>
                  <w:rPr>
                    <w:rFonts w:ascii="Cambria Math" w:hAnsi="Cambria Math"/>
                  </w:rPr>
                  <m:t>w</m:t>
                </m:r>
              </m:sub>
              <m:sup>
                <m:r>
                  <w:rPr>
                    <w:rFonts w:ascii="Cambria Math" w:hAnsi="Cambria Math"/>
                  </w:rPr>
                  <m:t>2</m:t>
                </m:r>
              </m:sup>
            </m:sSubSup>
          </m:den>
        </m:f>
      </m:oMath>
      <w:r w:rsidR="00F41E63" w:rsidRPr="00922D9B">
        <w:tab/>
        <w:t>(G.</w:t>
      </w:r>
      <w:r w:rsidR="00F41E63">
        <w:t>14</w:t>
      </w:r>
      <w:r w:rsidR="00F41E63" w:rsidRPr="00922D9B">
        <w:t>)</w:t>
      </w:r>
    </w:p>
    <w:p w14:paraId="64DB7675" w14:textId="69EB29AE" w:rsidR="00F41E63" w:rsidRPr="00D1484A" w:rsidRDefault="00675EBA" w:rsidP="00F41E63">
      <w:r>
        <w:t>where</w:t>
      </w:r>
    </w:p>
    <w:tbl>
      <w:tblPr>
        <w:tblW w:w="0" w:type="auto"/>
        <w:tblInd w:w="346" w:type="dxa"/>
        <w:tblLook w:val="04A0" w:firstRow="1" w:lastRow="0" w:firstColumn="1" w:lastColumn="0" w:noHBand="0" w:noVBand="1"/>
      </w:tblPr>
      <w:tblGrid>
        <w:gridCol w:w="409"/>
        <w:gridCol w:w="8996"/>
      </w:tblGrid>
      <w:tr w:rsidR="00F41E63" w:rsidRPr="00870D59" w14:paraId="556C09F7" w14:textId="77777777" w:rsidTr="00F81F1B">
        <w:tc>
          <w:tcPr>
            <w:tcW w:w="0" w:type="auto"/>
          </w:tcPr>
          <w:p w14:paraId="525C4058" w14:textId="190DAF69" w:rsidR="00F41E63" w:rsidRPr="00460668" w:rsidRDefault="009B5CEC" w:rsidP="002061E5">
            <w:pPr>
              <w:spacing w:after="60"/>
              <w:rPr>
                <w:rFonts w:eastAsia="Times New Roman" w:cs="Cambria"/>
                <w:szCs w:val="20"/>
                <w:lang w:eastAsia="fr-FR"/>
              </w:rPr>
            </w:pPr>
            <m:oMathPara>
              <m:oMathParaPr>
                <m:jc m:val="left"/>
              </m:oMathParaPr>
              <m:oMath>
                <m:sSub>
                  <m:sSubPr>
                    <m:ctrlPr>
                      <w:rPr>
                        <w:rFonts w:ascii="Cambria Math" w:eastAsia="Cambria" w:hAnsi="Cambria Math"/>
                        <w:i/>
                        <w:lang w:eastAsia="de-DE"/>
                      </w:rPr>
                    </m:ctrlPr>
                  </m:sSubPr>
                  <m:e>
                    <m:r>
                      <w:rPr>
                        <w:rFonts w:ascii="Cambria Math" w:eastAsia="Cambria" w:hAnsi="Cambria Math"/>
                        <w:lang w:eastAsia="de-DE"/>
                      </w:rPr>
                      <m:t>V</m:t>
                    </m:r>
                  </m:e>
                  <m:sub>
                    <m:r>
                      <m:rPr>
                        <m:sty m:val="p"/>
                      </m:rPr>
                      <w:rPr>
                        <w:rFonts w:ascii="Cambria Math" w:eastAsia="Cambria" w:hAnsi="Cambria Math"/>
                        <w:lang w:eastAsia="de-DE"/>
                      </w:rPr>
                      <m:t>s</m:t>
                    </m:r>
                  </m:sub>
                </m:sSub>
              </m:oMath>
            </m:oMathPara>
          </w:p>
        </w:tc>
        <w:tc>
          <w:tcPr>
            <w:tcW w:w="0" w:type="auto"/>
          </w:tcPr>
          <w:p w14:paraId="381D41A4" w14:textId="3D0F0099" w:rsidR="00F41E63" w:rsidRPr="00BE326E" w:rsidRDefault="00F41E63" w:rsidP="002061E5">
            <w:pPr>
              <w:spacing w:after="60"/>
            </w:pPr>
            <w:r w:rsidRPr="00132C1E">
              <w:t>is the design shear resistance due to horizontal column ties within the beam depth calculated</w:t>
            </w:r>
            <w:r w:rsidRPr="00D1484A">
              <w:t xml:space="preserve"> </w:t>
            </w:r>
            <w:r w:rsidRPr="00F41E63">
              <w:t>with Formula (G.7);</w:t>
            </w:r>
          </w:p>
        </w:tc>
      </w:tr>
      <w:tr w:rsidR="00580DA3" w:rsidRPr="00870D59" w14:paraId="2F806C10" w14:textId="77777777" w:rsidTr="00F81F1B">
        <w:tc>
          <w:tcPr>
            <w:tcW w:w="0" w:type="auto"/>
          </w:tcPr>
          <w:p w14:paraId="4F31F316" w14:textId="7572FC14" w:rsidR="00580DA3" w:rsidRPr="00F36D4E" w:rsidRDefault="00580DA3" w:rsidP="002061E5">
            <w:pPr>
              <w:spacing w:after="60"/>
              <w:rPr>
                <w:vertAlign w:val="subscript"/>
                <w:lang w:eastAsia="de-DE"/>
              </w:rPr>
            </w:pPr>
            <w:r w:rsidRPr="00F36D4E">
              <w:rPr>
                <w:i/>
                <w:iCs/>
                <w:lang w:eastAsia="de-DE"/>
              </w:rPr>
              <w:t>b</w:t>
            </w:r>
            <w:r>
              <w:rPr>
                <w:vertAlign w:val="subscript"/>
                <w:lang w:eastAsia="de-DE"/>
              </w:rPr>
              <w:t>0</w:t>
            </w:r>
          </w:p>
        </w:tc>
        <w:tc>
          <w:tcPr>
            <w:tcW w:w="0" w:type="auto"/>
          </w:tcPr>
          <w:p w14:paraId="4A4761D1" w14:textId="6D9B4ABE" w:rsidR="00580DA3" w:rsidRPr="00132C1E" w:rsidRDefault="00580DA3" w:rsidP="002061E5">
            <w:pPr>
              <w:spacing w:after="60"/>
            </w:pPr>
            <w:r w:rsidRPr="00580DA3">
              <w:t>effective width of outer concrete panel (see Figure G.4).</w:t>
            </w:r>
          </w:p>
        </w:tc>
      </w:tr>
    </w:tbl>
    <w:p w14:paraId="59D338AC" w14:textId="1C7B33B9" w:rsidR="00F41E63" w:rsidRDefault="009B5CEC" w:rsidP="00F41E63">
      <w:pPr>
        <w:pStyle w:val="Formula"/>
        <w:spacing w:before="240"/>
      </w:pPr>
      <m:oMath>
        <m:sSub>
          <m:sSubPr>
            <m:ctrlPr>
              <w:rPr>
                <w:rFonts w:ascii="Cambria Math" w:hAnsi="Cambria Math"/>
              </w:rPr>
            </m:ctrlPr>
          </m:sSubPr>
          <m:e>
            <m:r>
              <w:rPr>
                <w:rFonts w:ascii="Cambria Math" w:hAnsi="Cambria Math"/>
              </w:rPr>
              <m:t>V</m:t>
            </m:r>
          </m:e>
          <m:sub>
            <m:r>
              <m:rPr>
                <m:sty m:val="p"/>
              </m:rPr>
              <w:rPr>
                <w:rFonts w:ascii="Cambria Math" w:hAnsi="Cambria Math"/>
              </w:rPr>
              <m:t>s</m:t>
            </m:r>
          </m:sub>
        </m:sSub>
        <m:r>
          <w:rPr>
            <w:rFonts w:ascii="Cambria Math" w:hAnsi="Cambria Math"/>
          </w:rPr>
          <m:t>=</m:t>
        </m:r>
        <m:sSub>
          <m:sSubPr>
            <m:ctrlPr>
              <w:rPr>
                <w:rFonts w:ascii="Cambria Math" w:hAnsi="Cambria Math"/>
              </w:rPr>
            </m:ctrlPr>
          </m:sSubPr>
          <m:e>
            <m:sSub>
              <m:sSubPr>
                <m:ctrlPr>
                  <w:rPr>
                    <w:rFonts w:ascii="Cambria Math" w:hAnsi="Cambria Math"/>
                  </w:rPr>
                </m:ctrlPr>
              </m:sSubPr>
              <m:e>
                <m:r>
                  <w:rPr>
                    <w:rFonts w:ascii="Cambria Math" w:hAnsi="Cambria Math"/>
                  </w:rPr>
                  <m:t>f</m:t>
                </m:r>
              </m:e>
              <m:sub>
                <m:r>
                  <m:rPr>
                    <m:sty m:val="p"/>
                  </m:rPr>
                  <w:rPr>
                    <w:rFonts w:ascii="Cambria Math" w:hAnsi="Cambria Math"/>
                  </w:rPr>
                  <m:t>yshd</m:t>
                </m:r>
              </m:sub>
            </m:sSub>
            <m:r>
              <w:rPr>
                <w:rFonts w:ascii="Cambria Math" w:hAnsi="Cambria Math"/>
              </w:rPr>
              <m:t>A</m:t>
            </m:r>
          </m:e>
          <m:sub>
            <m:r>
              <m:rPr>
                <m:sty m:val="p"/>
              </m:rPr>
              <w:rPr>
                <w:rFonts w:ascii="Cambria Math" w:hAnsi="Cambria Math"/>
              </w:rPr>
              <m:t>sh</m:t>
            </m:r>
          </m:sub>
        </m:sSub>
        <m:sSub>
          <m:sSubPr>
            <m:ctrlPr>
              <w:rPr>
                <w:rFonts w:ascii="Cambria Math" w:hAnsi="Cambria Math"/>
              </w:rPr>
            </m:ctrlPr>
          </m:sSubPr>
          <m:e>
            <m:r>
              <w:rPr>
                <w:rFonts w:ascii="Cambria Math" w:hAnsi="Cambria Math"/>
              </w:rPr>
              <m:t>h</m:t>
            </m:r>
          </m:e>
          <m:sub>
            <m:r>
              <m:rPr>
                <m:sty m:val="p"/>
              </m:rPr>
              <w:rPr>
                <w:rFonts w:ascii="Cambria Math" w:hAnsi="Cambria Math"/>
              </w:rPr>
              <m:t>w</m:t>
            </m:r>
          </m:sub>
        </m:sSub>
        <m:r>
          <w:rPr>
            <w:rFonts w:ascii="Cambria Math" w:hAnsi="Cambria Math"/>
          </w:rPr>
          <m:t>/s</m:t>
        </m:r>
      </m:oMath>
      <w:r w:rsidR="00F41E63" w:rsidRPr="00922D9B">
        <w:tab/>
        <w:t>(G.</w:t>
      </w:r>
      <w:r w:rsidR="00F41E63">
        <w:t>15</w:t>
      </w:r>
      <w:r w:rsidR="00F41E63" w:rsidRPr="00922D9B">
        <w:t>)</w:t>
      </w:r>
    </w:p>
    <w:p w14:paraId="173215A0" w14:textId="20EF445E" w:rsidR="00F41E63" w:rsidRPr="00D1484A" w:rsidRDefault="00675EBA" w:rsidP="00F41E63">
      <w:r>
        <w:t>where</w:t>
      </w:r>
    </w:p>
    <w:tbl>
      <w:tblPr>
        <w:tblW w:w="0" w:type="auto"/>
        <w:tblInd w:w="346" w:type="dxa"/>
        <w:tblLook w:val="04A0" w:firstRow="1" w:lastRow="0" w:firstColumn="1" w:lastColumn="0" w:noHBand="0" w:noVBand="1"/>
      </w:tblPr>
      <w:tblGrid>
        <w:gridCol w:w="1275"/>
        <w:gridCol w:w="7938"/>
      </w:tblGrid>
      <w:tr w:rsidR="00F41E63" w:rsidRPr="00870D59" w14:paraId="6E1F6C80" w14:textId="77777777" w:rsidTr="00B15DDF">
        <w:tc>
          <w:tcPr>
            <w:tcW w:w="1275" w:type="dxa"/>
          </w:tcPr>
          <w:p w14:paraId="77744741" w14:textId="38933ABA" w:rsidR="00F41E63" w:rsidRPr="00460668" w:rsidRDefault="009B5CEC" w:rsidP="002061E5">
            <w:pPr>
              <w:spacing w:after="60"/>
              <w:rPr>
                <w:rFonts w:eastAsia="Times New Roman" w:cs="Cambria"/>
                <w:szCs w:val="20"/>
                <w:lang w:eastAsia="fr-FR"/>
              </w:rPr>
            </w:pPr>
            <m:oMathPara>
              <m:oMathParaPr>
                <m:jc m:val="left"/>
              </m:oMathParaPr>
              <m:oMath>
                <m:sSub>
                  <m:sSubPr>
                    <m:ctrlPr>
                      <w:rPr>
                        <w:rFonts w:ascii="Cambria Math" w:hAnsi="Cambria Math"/>
                        <w:i/>
                      </w:rPr>
                    </m:ctrlPr>
                  </m:sSubPr>
                  <m:e>
                    <m:r>
                      <w:rPr>
                        <w:rFonts w:ascii="Cambria Math" w:hAnsi="Cambria Math"/>
                      </w:rPr>
                      <m:t>f</m:t>
                    </m:r>
                  </m:e>
                  <m:sub>
                    <m:r>
                      <m:rPr>
                        <m:sty m:val="p"/>
                      </m:rPr>
                      <w:rPr>
                        <w:rFonts w:ascii="Cambria Math" w:hAnsi="Cambria Math"/>
                      </w:rPr>
                      <m:t>yshd</m:t>
                    </m:r>
                  </m:sub>
                </m:sSub>
              </m:oMath>
            </m:oMathPara>
          </w:p>
        </w:tc>
        <w:tc>
          <w:tcPr>
            <w:tcW w:w="7938" w:type="dxa"/>
          </w:tcPr>
          <w:p w14:paraId="42DE884B" w14:textId="5A457E8B" w:rsidR="00F41E63" w:rsidRPr="00773115" w:rsidRDefault="00F41E63" w:rsidP="00F41E63">
            <w:pPr>
              <w:spacing w:after="60"/>
              <w:rPr>
                <w:rFonts w:eastAsia="MS Mincho" w:cs="Cambria"/>
                <w:lang w:eastAsia="fr-FR"/>
              </w:rPr>
            </w:pPr>
            <w:r w:rsidRPr="00F41E63">
              <w:t xml:space="preserve">is the design yield strength of the reinforcement bars, according to </w:t>
            </w:r>
            <w:r w:rsidR="0026060E">
              <w:t>prEN</w:t>
            </w:r>
            <w:r w:rsidR="00B15DDF">
              <w:t> </w:t>
            </w:r>
            <w:r w:rsidR="0026060E">
              <w:t>1992</w:t>
            </w:r>
            <w:r w:rsidR="00B15DDF">
              <w:noBreakHyphen/>
            </w:r>
            <w:r w:rsidR="0026060E">
              <w:t>1</w:t>
            </w:r>
            <w:r w:rsidR="00B15DDF">
              <w:noBreakHyphen/>
            </w:r>
            <w:r w:rsidR="0026060E">
              <w:t>1:2021</w:t>
            </w:r>
            <w:r w:rsidRPr="00773115">
              <w:t>,</w:t>
            </w:r>
            <w:r w:rsidR="005052A4" w:rsidRPr="00773115">
              <w:t xml:space="preserve"> 4.3.3, 5.2.4 and Table 5.4</w:t>
            </w:r>
            <w:r w:rsidRPr="00773115">
              <w:t>;</w:t>
            </w:r>
          </w:p>
        </w:tc>
      </w:tr>
      <w:tr w:rsidR="00F41E63" w:rsidRPr="00870D59" w14:paraId="6E86B93F" w14:textId="77777777" w:rsidTr="00B15DDF">
        <w:tc>
          <w:tcPr>
            <w:tcW w:w="1275" w:type="dxa"/>
          </w:tcPr>
          <w:p w14:paraId="4B18A2E2" w14:textId="3D705377" w:rsidR="00F41E63" w:rsidRPr="00F41E63" w:rsidRDefault="009B5CEC" w:rsidP="002061E5">
            <w:pPr>
              <w:spacing w:after="60"/>
              <w:rPr>
                <w:lang w:eastAsia="de-DE"/>
              </w:rPr>
            </w:pPr>
            <m:oMathPara>
              <m:oMathParaPr>
                <m:jc m:val="left"/>
              </m:oMathParaPr>
              <m:oMath>
                <m:sSub>
                  <m:sSubPr>
                    <m:ctrlPr>
                      <w:rPr>
                        <w:rFonts w:ascii="Cambria Math" w:hAnsi="Cambria Math"/>
                        <w:i/>
                      </w:rPr>
                    </m:ctrlPr>
                  </m:sSubPr>
                  <m:e>
                    <m:r>
                      <w:rPr>
                        <w:rFonts w:ascii="Cambria Math" w:hAnsi="Cambria Math"/>
                      </w:rPr>
                      <m:t>A</m:t>
                    </m:r>
                  </m:e>
                  <m:sub>
                    <m:r>
                      <m:rPr>
                        <m:sty m:val="p"/>
                      </m:rPr>
                      <w:rPr>
                        <w:rFonts w:ascii="Cambria Math" w:hAnsi="Cambria Math"/>
                      </w:rPr>
                      <m:t>sh</m:t>
                    </m:r>
                  </m:sub>
                </m:sSub>
              </m:oMath>
            </m:oMathPara>
          </w:p>
        </w:tc>
        <w:tc>
          <w:tcPr>
            <w:tcW w:w="7938" w:type="dxa"/>
          </w:tcPr>
          <w:p w14:paraId="0B2D93AB" w14:textId="34E3D676" w:rsidR="00F41E63" w:rsidRPr="00F41E63" w:rsidRDefault="00F41E63" w:rsidP="002061E5">
            <w:pPr>
              <w:spacing w:after="60"/>
            </w:pPr>
            <w:r w:rsidRPr="00F41E63">
              <w:t xml:space="preserve">is the cross-section area of reinforcing bars in each layer of ties spaced at </w:t>
            </w:r>
            <m:oMath>
              <m:r>
                <w:rPr>
                  <w:rFonts w:ascii="Cambria Math" w:hAnsi="Cambria Math"/>
                </w:rPr>
                <m:t>s</m:t>
              </m:r>
            </m:oMath>
            <w:r w:rsidRPr="00F41E63">
              <w:t xml:space="preserve"> (see Figure G.6) through the web depth, </w:t>
            </w:r>
            <m:oMath>
              <m:sSub>
                <m:sSubPr>
                  <m:ctrlPr>
                    <w:rPr>
                      <w:rFonts w:ascii="Cambria Math" w:hAnsi="Cambria Math"/>
                      <w:i/>
                    </w:rPr>
                  </m:ctrlPr>
                </m:sSubPr>
                <m:e>
                  <m:r>
                    <w:rPr>
                      <w:rFonts w:ascii="Cambria Math" w:hAnsi="Cambria Math"/>
                    </w:rPr>
                    <m:t>h</m:t>
                  </m:r>
                </m:e>
                <m:sub>
                  <m:r>
                    <m:rPr>
                      <m:sty m:val="p"/>
                    </m:rPr>
                    <w:rPr>
                      <w:rFonts w:ascii="Cambria Math" w:hAnsi="Cambria Math"/>
                    </w:rPr>
                    <m:t>w</m:t>
                  </m:r>
                </m:sub>
              </m:sSub>
            </m:oMath>
            <w:r w:rsidRPr="00F41E63">
              <w:t>; it should not be smaller than 0,004</w:t>
            </w:r>
            <m:oMath>
              <m:r>
                <w:rPr>
                  <w:rFonts w:ascii="Cambria Math" w:hAnsi="Cambria Math"/>
                </w:rPr>
                <m:t>bs</m:t>
              </m:r>
            </m:oMath>
            <w:r w:rsidRPr="00F41E63">
              <w:t>;</w:t>
            </w:r>
          </w:p>
        </w:tc>
      </w:tr>
      <w:tr w:rsidR="00F41E63" w:rsidRPr="00870D59" w14:paraId="00B91300" w14:textId="77777777" w:rsidTr="00B15DDF">
        <w:tc>
          <w:tcPr>
            <w:tcW w:w="1275" w:type="dxa"/>
          </w:tcPr>
          <w:p w14:paraId="6023802B" w14:textId="05C61F63" w:rsidR="00F41E63" w:rsidRPr="00F41E63" w:rsidRDefault="009B5CEC" w:rsidP="002061E5">
            <w:pPr>
              <w:spacing w:after="60"/>
              <w:rPr>
                <w:lang w:eastAsia="de-DE"/>
              </w:rPr>
            </w:pPr>
            <m:oMathPara>
              <m:oMathParaPr>
                <m:jc m:val="left"/>
              </m:oMathParaPr>
              <m:oMath>
                <m:sSub>
                  <m:sSubPr>
                    <m:ctrlPr>
                      <w:rPr>
                        <w:rFonts w:ascii="Cambria Math" w:hAnsi="Cambria Math"/>
                        <w:i/>
                      </w:rPr>
                    </m:ctrlPr>
                  </m:sSubPr>
                  <m:e>
                    <m:r>
                      <w:rPr>
                        <w:rFonts w:ascii="Cambria Math" w:hAnsi="Cambria Math"/>
                      </w:rPr>
                      <m:t>b</m:t>
                    </m:r>
                  </m:e>
                  <m:sub>
                    <m:r>
                      <m:rPr>
                        <m:sty m:val="p"/>
                      </m:rPr>
                      <w:rPr>
                        <w:rFonts w:ascii="Cambria Math" w:hAnsi="Cambria Math"/>
                      </w:rPr>
                      <m:t>p</m:t>
                    </m:r>
                  </m:sub>
                </m:sSub>
              </m:oMath>
            </m:oMathPara>
          </w:p>
        </w:tc>
        <w:tc>
          <w:tcPr>
            <w:tcW w:w="7938" w:type="dxa"/>
          </w:tcPr>
          <w:p w14:paraId="4CF8D2BA" w14:textId="287D64DF" w:rsidR="00F41E63" w:rsidRPr="00F41E63" w:rsidRDefault="00F41E63" w:rsidP="002061E5">
            <w:pPr>
              <w:spacing w:after="60"/>
            </w:pPr>
            <w:r w:rsidRPr="00F41E63">
              <w:t>is the effective face bearing plate width (see</w:t>
            </w:r>
            <w:r w:rsidRPr="00F41E63">
              <w:rPr>
                <w:bCs/>
              </w:rPr>
              <w:t xml:space="preserve"> Figure G.1); </w:t>
            </w:r>
            <w:r w:rsidRPr="00F41E63">
              <w:t>it should satisfy Formula</w:t>
            </w:r>
            <w:r w:rsidR="00B15DDF">
              <w:t> </w:t>
            </w:r>
            <w:r w:rsidRPr="00F41E63">
              <w:t>(G.13).</w:t>
            </w:r>
          </w:p>
        </w:tc>
      </w:tr>
    </w:tbl>
    <w:p w14:paraId="09D5D53E" w14:textId="188AA37B" w:rsidR="00F41E63" w:rsidRPr="00132C1E" w:rsidRDefault="00172416" w:rsidP="002833D2">
      <w:pPr>
        <w:pStyle w:val="FigureImage"/>
      </w:pPr>
      <w:r>
        <w:rPr>
          <w:noProof/>
        </w:rPr>
        <w:drawing>
          <wp:inline distT="0" distB="0" distL="0" distR="0" wp14:anchorId="19AE6A2C" wp14:editId="62C9EFB9">
            <wp:extent cx="5940562" cy="1953771"/>
            <wp:effectExtent l="0" t="0" r="3175" b="8890"/>
            <wp:docPr id="2" name="g006.tiff" descr="A picture containing antenn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006.tiff" descr="A picture containing antenna&#10;&#10;Description automatically generated"/>
                    <pic:cNvPicPr/>
                  </pic:nvPicPr>
                  <pic:blipFill>
                    <a:blip r:link="rId125"/>
                    <a:stretch>
                      <a:fillRect/>
                    </a:stretch>
                  </pic:blipFill>
                  <pic:spPr>
                    <a:xfrm>
                      <a:off x="0" y="0"/>
                      <a:ext cx="5940562" cy="1953771"/>
                    </a:xfrm>
                    <a:prstGeom prst="rect">
                      <a:avLst/>
                    </a:prstGeom>
                  </pic:spPr>
                </pic:pic>
              </a:graphicData>
            </a:graphic>
          </wp:inline>
        </w:drawing>
      </w:r>
    </w:p>
    <w:p w14:paraId="6B6272C7" w14:textId="77777777" w:rsidR="00F41E63" w:rsidRPr="00D1484A" w:rsidRDefault="00F41E63" w:rsidP="00E61662">
      <w:pPr>
        <w:pStyle w:val="KeyTitle"/>
      </w:pPr>
      <w:r w:rsidRPr="00D1484A">
        <w:t>Key</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
        <w:gridCol w:w="5778"/>
      </w:tblGrid>
      <w:tr w:rsidR="00F41E63" w:rsidRPr="00132C1E" w14:paraId="7D098BDE" w14:textId="77777777" w:rsidTr="00B15DDF">
        <w:tc>
          <w:tcPr>
            <w:tcW w:w="392" w:type="dxa"/>
          </w:tcPr>
          <w:p w14:paraId="3ADA3288" w14:textId="77777777" w:rsidR="00F41E63" w:rsidRPr="00FE71E5" w:rsidRDefault="00F41E63" w:rsidP="00B15DDF">
            <w:pPr>
              <w:pStyle w:val="KeyText"/>
              <w:spacing w:before="0"/>
              <w:rPr>
                <w:iCs/>
              </w:rPr>
            </w:pPr>
            <w:r w:rsidRPr="00FE71E5">
              <w:rPr>
                <w:iCs/>
              </w:rPr>
              <w:t>A</w:t>
            </w:r>
          </w:p>
        </w:tc>
        <w:tc>
          <w:tcPr>
            <w:tcW w:w="5778" w:type="dxa"/>
          </w:tcPr>
          <w:p w14:paraId="5FD15728" w14:textId="44649568" w:rsidR="00F41E63" w:rsidRPr="00196951" w:rsidRDefault="00E61662" w:rsidP="00B15DDF">
            <w:pPr>
              <w:pStyle w:val="KeyText"/>
              <w:spacing w:before="0"/>
            </w:pPr>
            <w:r>
              <w:rPr>
                <w:iCs/>
              </w:rPr>
              <w:t>h</w:t>
            </w:r>
            <w:r w:rsidR="00F41E63" w:rsidRPr="00E05E29">
              <w:rPr>
                <w:iCs/>
              </w:rPr>
              <w:t>oles in the web</w:t>
            </w:r>
          </w:p>
        </w:tc>
      </w:tr>
      <w:tr w:rsidR="00F41E63" w:rsidRPr="00E56869" w14:paraId="6B4906B4" w14:textId="77777777" w:rsidTr="00B15DDF">
        <w:tc>
          <w:tcPr>
            <w:tcW w:w="392" w:type="dxa"/>
          </w:tcPr>
          <w:p w14:paraId="7247CAE4" w14:textId="77777777" w:rsidR="00F41E63" w:rsidRPr="00FE71E5" w:rsidRDefault="00F41E63" w:rsidP="00B15DDF">
            <w:pPr>
              <w:pStyle w:val="KeyText"/>
              <w:spacing w:before="0"/>
              <w:rPr>
                <w:iCs/>
              </w:rPr>
            </w:pPr>
            <w:r w:rsidRPr="00FE71E5">
              <w:rPr>
                <w:iCs/>
              </w:rPr>
              <w:t>B</w:t>
            </w:r>
          </w:p>
        </w:tc>
        <w:tc>
          <w:tcPr>
            <w:tcW w:w="5778" w:type="dxa"/>
          </w:tcPr>
          <w:p w14:paraId="473F87C9" w14:textId="61C484A1" w:rsidR="00F41E63" w:rsidRPr="007E6F67" w:rsidRDefault="00F41E63" w:rsidP="00B15DDF">
            <w:pPr>
              <w:pStyle w:val="KeyText"/>
              <w:spacing w:before="0"/>
              <w:rPr>
                <w:iCs/>
              </w:rPr>
            </w:pPr>
            <w:r w:rsidRPr="00D1484A">
              <w:rPr>
                <w:iCs/>
              </w:rPr>
              <w:t>3 layers minimum (4 leg closed hoops)</w:t>
            </w:r>
          </w:p>
        </w:tc>
      </w:tr>
    </w:tbl>
    <w:p w14:paraId="6B931BAD" w14:textId="02716808" w:rsidR="00F41E63" w:rsidRPr="00D1484A" w:rsidRDefault="00F41E63" w:rsidP="00F41E63">
      <w:pPr>
        <w:pStyle w:val="Figuretitle"/>
      </w:pPr>
      <w:bookmarkStart w:id="11462" w:name="_Ref19630650"/>
      <w:r w:rsidRPr="00132C1E">
        <w:t>Figure G.</w:t>
      </w:r>
      <w:bookmarkEnd w:id="11462"/>
      <w:r w:rsidR="00773115">
        <w:t>6</w:t>
      </w:r>
      <w:r w:rsidRPr="00132C1E">
        <w:t> — Joint shear reinforcement</w:t>
      </w:r>
    </w:p>
    <w:p w14:paraId="0599B875" w14:textId="77777777" w:rsidR="00F41E63" w:rsidRPr="00B27CD3" w:rsidRDefault="00F41E63" w:rsidP="00F41E63">
      <w:pPr>
        <w:pStyle w:val="a3"/>
      </w:pPr>
      <w:bookmarkStart w:id="11463" w:name="_Toc50150778"/>
      <w:bookmarkStart w:id="11464" w:name="_Toc70887211"/>
      <w:bookmarkStart w:id="11465" w:name="_Toc108342809"/>
      <w:bookmarkStart w:id="11466" w:name="_Toc120543895"/>
      <w:bookmarkStart w:id="11467" w:name="_Toc134198316"/>
      <w:r w:rsidRPr="00B27CD3">
        <w:t>Column horizontal reinforcing bar tie requirement</w:t>
      </w:r>
      <w:bookmarkEnd w:id="11463"/>
      <w:bookmarkEnd w:id="11464"/>
      <w:bookmarkEnd w:id="11465"/>
      <w:bookmarkEnd w:id="11466"/>
      <w:bookmarkEnd w:id="11467"/>
    </w:p>
    <w:p w14:paraId="754616AD" w14:textId="5B761927" w:rsidR="00F41E63" w:rsidRPr="00C52095" w:rsidRDefault="00F41E63" w:rsidP="00D4445A">
      <w:pPr>
        <w:pStyle w:val="Clause"/>
        <w:numPr>
          <w:ilvl w:val="0"/>
          <w:numId w:val="600"/>
        </w:numPr>
        <w:spacing w:after="200"/>
      </w:pPr>
      <w:r w:rsidRPr="00E05E29">
        <w:t xml:space="preserve">Horizontal ties </w:t>
      </w:r>
      <w:r w:rsidRPr="00196951">
        <w:t xml:space="preserve">should be provided in the column within the beam depth and above and below the beam to carry tensile forces developed in the joint. They should be calculated according to </w:t>
      </w:r>
      <w:r w:rsidRPr="00835C82">
        <w:t>G.5.6(5)</w:t>
      </w:r>
      <w:r w:rsidRPr="00F41E63">
        <w:t>.</w:t>
      </w:r>
    </w:p>
    <w:p w14:paraId="1CE0D134" w14:textId="5CAFCECC" w:rsidR="00F41E63" w:rsidRPr="00132C1E" w:rsidRDefault="00F41E63" w:rsidP="00D4445A">
      <w:pPr>
        <w:pStyle w:val="Clause"/>
        <w:spacing w:after="200"/>
      </w:pPr>
      <w:r w:rsidRPr="00C52095">
        <w:t>Perimeter and cross ties should have 135</w:t>
      </w:r>
      <w:r w:rsidRPr="00C52095">
        <w:rPr>
          <w:vertAlign w:val="superscript"/>
        </w:rPr>
        <w:t>o</w:t>
      </w:r>
      <w:r w:rsidRPr="007754C9">
        <w:t xml:space="preserve"> hooks and may be lap spliced according </w:t>
      </w:r>
      <w:r w:rsidRPr="00F41E63">
        <w:t xml:space="preserve">to </w:t>
      </w:r>
      <w:r w:rsidRPr="00835C82">
        <w:t>10.11.3</w:t>
      </w:r>
      <w:r w:rsidRPr="00132C1E">
        <w:t>.</w:t>
      </w:r>
    </w:p>
    <w:p w14:paraId="77C67029" w14:textId="5F9D5BF2" w:rsidR="00F41E63" w:rsidRPr="00132C1E" w:rsidRDefault="00F41E63" w:rsidP="00D4445A">
      <w:pPr>
        <w:pStyle w:val="Clause"/>
        <w:spacing w:after="200"/>
      </w:pPr>
      <w:r w:rsidRPr="00132C1E">
        <w:t xml:space="preserve">At least three layers of closed rectangular ties (see </w:t>
      </w:r>
      <w:r w:rsidRPr="00F41E63">
        <w:t>Figure G.6</w:t>
      </w:r>
      <w:r w:rsidRPr="00132C1E">
        <w:t>) should be provided in all joints above and below the beam, as given in a) to c):</w:t>
      </w:r>
    </w:p>
    <w:p w14:paraId="12C9BE8C" w14:textId="77777777" w:rsidR="00F41E63" w:rsidRPr="00132C1E" w:rsidRDefault="00F41E63" w:rsidP="00D4445A">
      <w:pPr>
        <w:pStyle w:val="Text"/>
        <w:numPr>
          <w:ilvl w:val="0"/>
          <w:numId w:val="728"/>
        </w:numPr>
        <w:spacing w:after="200"/>
      </w:pPr>
      <w:r w:rsidRPr="00132C1E">
        <w:t xml:space="preserve">For a column width, </w:t>
      </w:r>
      <m:oMath>
        <m:r>
          <w:rPr>
            <w:rFonts w:ascii="Cambria Math" w:hAnsi="Cambria Math"/>
          </w:rPr>
          <m:t xml:space="preserve">b≤500 </m:t>
        </m:r>
        <m:r>
          <m:rPr>
            <m:sty m:val="p"/>
          </m:rPr>
          <w:rPr>
            <w:rFonts w:ascii="Cambria Math" w:hAnsi="Cambria Math"/>
          </w:rPr>
          <m:t>mm</m:t>
        </m:r>
      </m:oMath>
      <w:r w:rsidRPr="00132C1E">
        <w:t>, four 10 mm rebars.</w:t>
      </w:r>
    </w:p>
    <w:p w14:paraId="609FB8D4" w14:textId="77777777" w:rsidR="00F41E63" w:rsidRPr="00132C1E" w:rsidRDefault="00F41E63" w:rsidP="00D4445A">
      <w:pPr>
        <w:pStyle w:val="Text"/>
        <w:numPr>
          <w:ilvl w:val="0"/>
          <w:numId w:val="728"/>
        </w:numPr>
        <w:spacing w:after="200"/>
      </w:pPr>
      <w:r w:rsidRPr="00132C1E">
        <w:t xml:space="preserve">For a column width, </w:t>
      </w:r>
      <m:oMath>
        <m:r>
          <w:rPr>
            <w:rFonts w:ascii="Cambria Math" w:hAnsi="Cambria Math"/>
          </w:rPr>
          <m:t xml:space="preserve">500 </m:t>
        </m:r>
        <m:r>
          <m:rPr>
            <m:sty m:val="p"/>
          </m:rPr>
          <w:rPr>
            <w:rFonts w:ascii="Cambria Math" w:hAnsi="Cambria Math"/>
          </w:rPr>
          <m:t>mm</m:t>
        </m:r>
        <m:r>
          <w:rPr>
            <w:rFonts w:ascii="Cambria Math" w:hAnsi="Cambria Math"/>
          </w:rPr>
          <m:t xml:space="preserve">&lt;b≤750 </m:t>
        </m:r>
        <m:r>
          <m:rPr>
            <m:sty m:val="p"/>
          </m:rPr>
          <w:rPr>
            <w:rFonts w:ascii="Cambria Math" w:hAnsi="Cambria Math"/>
          </w:rPr>
          <m:t>mm</m:t>
        </m:r>
      </m:oMath>
      <w:r w:rsidRPr="00132C1E">
        <w:t>, four 12 mm rebars.</w:t>
      </w:r>
    </w:p>
    <w:p w14:paraId="6A829127" w14:textId="77777777" w:rsidR="00F41E63" w:rsidRPr="00132C1E" w:rsidRDefault="00F41E63" w:rsidP="00D4445A">
      <w:pPr>
        <w:pStyle w:val="Text"/>
        <w:numPr>
          <w:ilvl w:val="0"/>
          <w:numId w:val="728"/>
        </w:numPr>
        <w:spacing w:after="200"/>
      </w:pPr>
      <w:r w:rsidRPr="00132C1E">
        <w:t xml:space="preserve">For a column width, </w:t>
      </w:r>
      <m:oMath>
        <m:r>
          <w:rPr>
            <w:rFonts w:ascii="Cambria Math" w:hAnsi="Cambria Math"/>
          </w:rPr>
          <m:t xml:space="preserve">b&gt;750 </m:t>
        </m:r>
        <m:r>
          <m:rPr>
            <m:sty m:val="p"/>
          </m:rPr>
          <w:rPr>
            <w:rFonts w:ascii="Cambria Math" w:hAnsi="Cambria Math"/>
          </w:rPr>
          <m:t>mm</m:t>
        </m:r>
      </m:oMath>
      <w:r w:rsidRPr="00132C1E">
        <w:t>, four 16 mm rebars.</w:t>
      </w:r>
    </w:p>
    <w:p w14:paraId="2E0773D7" w14:textId="32DD4C13" w:rsidR="00F41E63" w:rsidRPr="00D1484A" w:rsidRDefault="00F41E63" w:rsidP="00D4445A">
      <w:pPr>
        <w:pStyle w:val="Clause"/>
        <w:spacing w:after="200"/>
      </w:pPr>
      <w:r w:rsidRPr="00132C1E">
        <w:t xml:space="preserve">The layers </w:t>
      </w:r>
      <w:r w:rsidRPr="00F41E63">
        <w:t xml:space="preserve">in </w:t>
      </w:r>
      <w:r w:rsidRPr="00835C82">
        <w:t>(3)</w:t>
      </w:r>
      <w:r w:rsidRPr="00F41E63">
        <w:t xml:space="preserve"> should </w:t>
      </w:r>
      <w:r w:rsidRPr="00132C1E">
        <w:t xml:space="preserve">be placed within a distance of </w:t>
      </w:r>
      <m:oMath>
        <m:r>
          <w:rPr>
            <w:rFonts w:ascii="Cambria Math" w:hAnsi="Cambria Math"/>
          </w:rPr>
          <m:t>0,4</m:t>
        </m:r>
        <m:sSub>
          <m:sSubPr>
            <m:ctrlPr>
              <w:rPr>
                <w:rFonts w:ascii="Cambria Math" w:hAnsi="Cambria Math"/>
                <w:i/>
              </w:rPr>
            </m:ctrlPr>
          </m:sSubPr>
          <m:e>
            <m:r>
              <w:rPr>
                <w:rFonts w:ascii="Cambria Math" w:hAnsi="Cambria Math"/>
              </w:rPr>
              <m:t>h</m:t>
            </m:r>
          </m:e>
          <m:sub>
            <m:r>
              <m:rPr>
                <m:sty m:val="p"/>
              </m:rPr>
              <w:rPr>
                <w:rFonts w:ascii="Cambria Math" w:hAnsi="Cambria Math"/>
              </w:rPr>
              <m:t>b</m:t>
            </m:r>
          </m:sub>
        </m:sSub>
      </m:oMath>
      <w:r w:rsidRPr="00132C1E">
        <w:t xml:space="preserve"> above and below the beam.</w:t>
      </w:r>
    </w:p>
    <w:p w14:paraId="6EF3BD71" w14:textId="0011808D" w:rsidR="00F41E63" w:rsidRPr="007E6F67" w:rsidRDefault="00F41E63" w:rsidP="00D4445A">
      <w:pPr>
        <w:pStyle w:val="Clause"/>
        <w:spacing w:after="200"/>
      </w:pPr>
      <w:r w:rsidRPr="00D1484A">
        <w:t xml:space="preserve">Where the outer </w:t>
      </w:r>
      <w:r w:rsidRPr="007E6F67">
        <w:t>compressive field is mobil</w:t>
      </w:r>
      <w:r w:rsidR="00E10A24">
        <w:t>ize</w:t>
      </w:r>
      <w:r w:rsidRPr="007E6F67">
        <w:t>d to resist the joint shear, the minimum total cross</w:t>
      </w:r>
      <w:r w:rsidRPr="00FD17CF">
        <w:t xml:space="preserve">-sectional area, </w:t>
      </w:r>
      <m:oMath>
        <m:sSub>
          <m:sSubPr>
            <m:ctrlPr>
              <w:rPr>
                <w:rFonts w:ascii="Cambria Math" w:hAnsi="Cambria Math"/>
                <w:i/>
              </w:rPr>
            </m:ctrlPr>
          </m:sSubPr>
          <m:e>
            <m:r>
              <w:rPr>
                <w:rFonts w:ascii="Cambria Math" w:hAnsi="Cambria Math"/>
              </w:rPr>
              <m:t>A</m:t>
            </m:r>
          </m:e>
          <m:sub>
            <m:r>
              <m:rPr>
                <m:sty m:val="p"/>
              </m:rPr>
              <w:rPr>
                <w:rFonts w:ascii="Cambria Math" w:hAnsi="Cambria Math"/>
              </w:rPr>
              <m:t>tie</m:t>
            </m:r>
          </m:sub>
        </m:sSub>
      </m:oMath>
      <w:r w:rsidRPr="00132C1E">
        <w:t>,</w:t>
      </w:r>
      <w:r w:rsidRPr="00D1484A">
        <w:t xml:space="preserve"> of the tie reinforcement located within the vertical distance of </w:t>
      </w:r>
      <m:oMath>
        <m:r>
          <w:rPr>
            <w:rFonts w:ascii="Cambria Math" w:hAnsi="Cambria Math"/>
          </w:rPr>
          <m:t>0,4</m:t>
        </m:r>
        <m:sSub>
          <m:sSubPr>
            <m:ctrlPr>
              <w:rPr>
                <w:rFonts w:ascii="Cambria Math" w:hAnsi="Cambria Math"/>
                <w:i/>
              </w:rPr>
            </m:ctrlPr>
          </m:sSubPr>
          <m:e>
            <m:r>
              <w:rPr>
                <w:rFonts w:ascii="Cambria Math" w:hAnsi="Cambria Math"/>
              </w:rPr>
              <m:t>h</m:t>
            </m:r>
          </m:e>
          <m:sub>
            <m:r>
              <m:rPr>
                <m:sty m:val="p"/>
              </m:rPr>
              <w:rPr>
                <w:rFonts w:ascii="Cambria Math" w:hAnsi="Cambria Math"/>
              </w:rPr>
              <m:t>b</m:t>
            </m:r>
          </m:sub>
        </m:sSub>
      </m:oMath>
      <w:r w:rsidRPr="00132C1E">
        <w:t xml:space="preserve"> above and below the beam should be at least equal to </w:t>
      </w:r>
      <m:oMath>
        <m:sSub>
          <m:sSubPr>
            <m:ctrlPr>
              <w:rPr>
                <w:rFonts w:ascii="Cambria Math" w:hAnsi="Cambria Math"/>
                <w:i/>
              </w:rPr>
            </m:ctrlPr>
          </m:sSubPr>
          <m:e>
            <m:r>
              <w:rPr>
                <w:rFonts w:ascii="Cambria Math" w:hAnsi="Cambria Math"/>
              </w:rPr>
              <m:t>V</m:t>
            </m:r>
          </m:e>
          <m:sub>
            <m:r>
              <m:rPr>
                <m:sty m:val="p"/>
              </m:rPr>
              <w:rPr>
                <w:rFonts w:ascii="Cambria Math" w:hAnsi="Cambria Math"/>
              </w:rPr>
              <m:t>cfd</m:t>
            </m:r>
          </m:sub>
        </m:sSub>
        <m:r>
          <w:rPr>
            <w:rFonts w:ascii="Cambria Math" w:hAnsi="Cambria Math"/>
          </w:rPr>
          <m:t>/</m:t>
        </m:r>
        <m:sSub>
          <m:sSubPr>
            <m:ctrlPr>
              <w:rPr>
                <w:rFonts w:ascii="Cambria Math" w:hAnsi="Cambria Math"/>
                <w:i/>
              </w:rPr>
            </m:ctrlPr>
          </m:sSubPr>
          <m:e>
            <m:r>
              <w:rPr>
                <w:rFonts w:ascii="Cambria Math" w:hAnsi="Cambria Math"/>
              </w:rPr>
              <m:t>f</m:t>
            </m:r>
          </m:e>
          <m:sub>
            <m:r>
              <m:rPr>
                <m:sty m:val="p"/>
              </m:rPr>
              <w:rPr>
                <w:rFonts w:ascii="Cambria Math" w:hAnsi="Cambria Math"/>
              </w:rPr>
              <m:t>yshd</m:t>
            </m:r>
          </m:sub>
        </m:sSub>
      </m:oMath>
      <w:r w:rsidRPr="00132C1E">
        <w:t xml:space="preserve">, </w:t>
      </w:r>
      <w:r w:rsidRPr="00D1484A">
        <w:t xml:space="preserve">where </w:t>
      </w:r>
      <m:oMath>
        <m:sSub>
          <m:sSubPr>
            <m:ctrlPr>
              <w:rPr>
                <w:rFonts w:ascii="Cambria Math" w:hAnsi="Cambria Math"/>
                <w:i/>
              </w:rPr>
            </m:ctrlPr>
          </m:sSubPr>
          <m:e>
            <m:r>
              <w:rPr>
                <w:rFonts w:ascii="Cambria Math" w:hAnsi="Cambria Math"/>
              </w:rPr>
              <m:t>V</m:t>
            </m:r>
          </m:e>
          <m:sub>
            <m:r>
              <m:rPr>
                <m:sty m:val="p"/>
              </m:rPr>
              <w:rPr>
                <w:rFonts w:ascii="Cambria Math" w:hAnsi="Cambria Math"/>
              </w:rPr>
              <m:t>cfd</m:t>
            </m:r>
          </m:sub>
        </m:sSub>
      </m:oMath>
      <w:r w:rsidRPr="00132C1E">
        <w:t xml:space="preserve"> may be calculated </w:t>
      </w:r>
      <w:r w:rsidRPr="00F41E63">
        <w:t>by Formula (G.14).</w:t>
      </w:r>
    </w:p>
    <w:p w14:paraId="17B79D0D" w14:textId="77777777" w:rsidR="00F41E63" w:rsidRPr="00196951" w:rsidRDefault="00F41E63" w:rsidP="00F41E63">
      <w:pPr>
        <w:pStyle w:val="a3"/>
      </w:pPr>
      <w:bookmarkStart w:id="11468" w:name="_Toc50150779"/>
      <w:bookmarkStart w:id="11469" w:name="_Toc70887212"/>
      <w:bookmarkStart w:id="11470" w:name="_Toc108342810"/>
      <w:bookmarkStart w:id="11471" w:name="_Toc120543896"/>
      <w:bookmarkStart w:id="11472" w:name="_Toc134198317"/>
      <w:r w:rsidRPr="00FD17CF">
        <w:t xml:space="preserve">Column vertical reinforcing </w:t>
      </w:r>
      <w:r w:rsidRPr="00E05E29">
        <w:t>bars</w:t>
      </w:r>
      <w:bookmarkEnd w:id="11468"/>
      <w:bookmarkEnd w:id="11469"/>
      <w:bookmarkEnd w:id="11470"/>
      <w:bookmarkEnd w:id="11471"/>
      <w:bookmarkEnd w:id="11472"/>
    </w:p>
    <w:p w14:paraId="7A10BF14" w14:textId="7F293243" w:rsidR="00F41E63" w:rsidRDefault="00F41E63" w:rsidP="0080187E">
      <w:pPr>
        <w:pStyle w:val="Clause"/>
        <w:numPr>
          <w:ilvl w:val="0"/>
          <w:numId w:val="601"/>
        </w:numPr>
      </w:pPr>
      <w:r w:rsidRPr="002144A0">
        <w:t>The diamet</w:t>
      </w:r>
      <w:r>
        <w:t>re</w:t>
      </w:r>
      <w:r w:rsidRPr="002144A0">
        <w:t xml:space="preserve"> of vertical column bars passing through the joint should </w:t>
      </w:r>
      <w:r w:rsidRPr="00F41E63">
        <w:t>satisfy Formula (G.16)</w:t>
      </w:r>
      <w:r w:rsidRPr="002144A0">
        <w:t>.</w:t>
      </w:r>
    </w:p>
    <w:p w14:paraId="6EDF916E" w14:textId="5C360411" w:rsidR="00F41E63" w:rsidRDefault="009B5CEC" w:rsidP="00F41E63">
      <w:pPr>
        <w:pStyle w:val="Formula"/>
        <w:spacing w:before="240"/>
      </w:pPr>
      <m:oMath>
        <m:sSub>
          <m:sSubPr>
            <m:ctrlPr>
              <w:rPr>
                <w:rFonts w:ascii="Cambria Math" w:hAnsi="Cambria Math"/>
              </w:rPr>
            </m:ctrlPr>
          </m:sSubPr>
          <m:e>
            <m:r>
              <w:rPr>
                <w:rFonts w:ascii="Cambria Math" w:hAnsi="Cambria Math"/>
              </w:rPr>
              <m:t>d</m:t>
            </m:r>
          </m:e>
          <m:sub>
            <m:r>
              <m:rPr>
                <m:sty m:val="p"/>
              </m:rPr>
              <w:rPr>
                <w:rFonts w:ascii="Cambria Math" w:hAnsi="Cambria Math"/>
              </w:rPr>
              <m:t>b</m:t>
            </m:r>
          </m:sub>
        </m:sSub>
        <m:r>
          <w:rPr>
            <w:rFonts w:ascii="Cambria Math" w:hAnsi="Cambria Math"/>
          </w:rPr>
          <m:t>&lt;(</m:t>
        </m:r>
        <m:sSub>
          <m:sSubPr>
            <m:ctrlPr>
              <w:rPr>
                <w:rFonts w:ascii="Cambria Math" w:hAnsi="Cambria Math"/>
              </w:rPr>
            </m:ctrlPr>
          </m:sSubPr>
          <m:e>
            <m:r>
              <w:rPr>
                <w:rFonts w:ascii="Cambria Math" w:hAnsi="Cambria Math"/>
              </w:rPr>
              <m:t>h</m:t>
            </m:r>
          </m:e>
          <m:sub>
            <m:r>
              <m:rPr>
                <m:sty m:val="p"/>
              </m:rPr>
              <w:rPr>
                <w:rFonts w:ascii="Cambria Math" w:hAnsi="Cambria Math"/>
              </w:rPr>
              <m:t>b</m:t>
            </m:r>
          </m:sub>
        </m:sSub>
        <m:r>
          <w:rPr>
            <w:rFonts w:ascii="Cambria Math" w:hAnsi="Cambria Math"/>
          </w:rPr>
          <m:t>+2</m:t>
        </m:r>
        <m:sSub>
          <m:sSubPr>
            <m:ctrlPr>
              <w:rPr>
                <w:rFonts w:ascii="Cambria Math" w:hAnsi="Cambria Math"/>
              </w:rPr>
            </m:ctrlPr>
          </m:sSubPr>
          <m:e>
            <m:r>
              <w:rPr>
                <w:rFonts w:ascii="Cambria Math" w:hAnsi="Cambria Math"/>
              </w:rPr>
              <m:t>h</m:t>
            </m:r>
          </m:e>
          <m:sub>
            <m:r>
              <m:rPr>
                <m:sty m:val="p"/>
              </m:rPr>
              <w:rPr>
                <w:rFonts w:ascii="Cambria Math" w:hAnsi="Cambria Math"/>
              </w:rPr>
              <m:t>o</m:t>
            </m:r>
          </m:sub>
        </m:sSub>
        <m:r>
          <w:rPr>
            <w:rFonts w:ascii="Cambria Math" w:hAnsi="Cambria Math"/>
          </w:rPr>
          <m:t>)/20</m:t>
        </m:r>
      </m:oMath>
      <w:r w:rsidR="00F41E63" w:rsidRPr="00922D9B">
        <w:tab/>
        <w:t>(G.</w:t>
      </w:r>
      <w:r w:rsidR="00F41E63">
        <w:t>16</w:t>
      </w:r>
      <w:r w:rsidR="00F41E63" w:rsidRPr="00922D9B">
        <w:t>)</w:t>
      </w:r>
    </w:p>
    <w:p w14:paraId="412505DE" w14:textId="77777777" w:rsidR="00F41E63" w:rsidRPr="00FD17CF" w:rsidRDefault="00F41E63" w:rsidP="00F41E63">
      <w:pPr>
        <w:pStyle w:val="Notetext"/>
      </w:pPr>
      <w:r w:rsidRPr="00132C1E">
        <w:rPr>
          <w:bCs/>
        </w:rPr>
        <w:t>NOTE</w:t>
      </w:r>
      <w:r w:rsidRPr="00132C1E">
        <w:rPr>
          <w:bCs/>
        </w:rPr>
        <w:tab/>
      </w:r>
      <w:r w:rsidRPr="00D1484A">
        <w:t xml:space="preserve">For bundled bars, </w:t>
      </w:r>
      <w:r w:rsidRPr="007E6F67">
        <w:rPr>
          <w:i/>
          <w:iCs/>
        </w:rPr>
        <w:t>d</w:t>
      </w:r>
      <w:r w:rsidRPr="00FD17CF">
        <w:rPr>
          <w:vertAlign w:val="subscript"/>
        </w:rPr>
        <w:t>b</w:t>
      </w:r>
      <w:r w:rsidRPr="00FD17CF">
        <w:t xml:space="preserve"> corresponds to the diamet</w:t>
      </w:r>
      <w:r>
        <w:t>re</w:t>
      </w:r>
      <w:r w:rsidRPr="00FD17CF">
        <w:t xml:space="preserve"> of a bar of equivalent area to the bundle.</w:t>
      </w:r>
    </w:p>
    <w:p w14:paraId="445EE5D2" w14:textId="77777777" w:rsidR="00F41E63" w:rsidRPr="00B27CD3" w:rsidRDefault="00F41E63" w:rsidP="00F41E63">
      <w:pPr>
        <w:pStyle w:val="a3"/>
      </w:pPr>
      <w:bookmarkStart w:id="11473" w:name="_Toc50150780"/>
      <w:bookmarkStart w:id="11474" w:name="_Toc70887213"/>
      <w:bookmarkStart w:id="11475" w:name="_Toc108342811"/>
      <w:bookmarkStart w:id="11476" w:name="_Toc120543897"/>
      <w:bookmarkStart w:id="11477" w:name="_Toc134198318"/>
      <w:r w:rsidRPr="00B27CD3">
        <w:t>Face bearing plate provisions</w:t>
      </w:r>
      <w:bookmarkEnd w:id="11473"/>
      <w:bookmarkEnd w:id="11474"/>
      <w:bookmarkEnd w:id="11475"/>
      <w:bookmarkEnd w:id="11476"/>
      <w:bookmarkEnd w:id="11477"/>
      <w:r w:rsidRPr="00B27CD3">
        <w:t xml:space="preserve"> </w:t>
      </w:r>
    </w:p>
    <w:p w14:paraId="07A390C5" w14:textId="0FEF0DE7" w:rsidR="00F41E63" w:rsidRPr="00D1484A" w:rsidRDefault="00F41E63" w:rsidP="0080187E">
      <w:pPr>
        <w:pStyle w:val="Clause"/>
        <w:numPr>
          <w:ilvl w:val="0"/>
          <w:numId w:val="602"/>
        </w:numPr>
      </w:pPr>
      <w:r w:rsidRPr="002144A0">
        <w:t xml:space="preserve">The face bearing plate within the beam depth should resist the horizontal shear force in the concrete strut </w:t>
      </w:r>
      <m:oMath>
        <m:sSub>
          <m:sSubPr>
            <m:ctrlPr>
              <w:rPr>
                <w:rFonts w:ascii="Cambria Math" w:eastAsia="Cambria" w:hAnsi="Cambria Math"/>
                <w:i/>
                <w:lang w:eastAsia="de-DE"/>
              </w:rPr>
            </m:ctrlPr>
          </m:sSubPr>
          <m:e>
            <m:r>
              <w:rPr>
                <w:rFonts w:ascii="Cambria Math" w:hAnsi="Cambria Math"/>
              </w:rPr>
              <m:t>(V</m:t>
            </m:r>
            <m:ctrlPr>
              <w:rPr>
                <w:rFonts w:ascii="Cambria Math" w:hAnsi="Cambria Math"/>
                <w:i/>
              </w:rPr>
            </m:ctrlPr>
          </m:e>
          <m:sub>
            <m:r>
              <m:rPr>
                <m:sty m:val="p"/>
              </m:rPr>
              <w:rPr>
                <w:rFonts w:ascii="Cambria Math" w:hAnsi="Cambria Math"/>
              </w:rPr>
              <m:t>cs</m:t>
            </m:r>
          </m:sub>
        </m:sSub>
        <m:r>
          <w:rPr>
            <w:rFonts w:ascii="Cambria Math" w:hAnsi="Cambria Math"/>
          </w:rPr>
          <m:t>&lt;</m:t>
        </m:r>
        <m:sSub>
          <m:sSubPr>
            <m:ctrlPr>
              <w:rPr>
                <w:rFonts w:ascii="Cambria Math" w:eastAsia="Cambria" w:hAnsi="Cambria Math"/>
                <w:i/>
                <w:lang w:eastAsia="de-DE"/>
              </w:rPr>
            </m:ctrlPr>
          </m:sSubPr>
          <m:e>
            <m:r>
              <w:rPr>
                <w:rFonts w:ascii="Cambria Math" w:hAnsi="Cambria Math"/>
              </w:rPr>
              <m:t>V</m:t>
            </m:r>
            <m:ctrlPr>
              <w:rPr>
                <w:rFonts w:ascii="Cambria Math" w:hAnsi="Cambria Math"/>
                <w:i/>
              </w:rPr>
            </m:ctrlPr>
          </m:e>
          <m:sub>
            <m:r>
              <m:rPr>
                <m:sty m:val="p"/>
              </m:rPr>
              <w:rPr>
                <w:rFonts w:ascii="Cambria Math" w:hAnsi="Cambria Math"/>
              </w:rPr>
              <m:t>csd</m:t>
            </m:r>
          </m:sub>
        </m:sSub>
        <m:r>
          <w:rPr>
            <w:rFonts w:ascii="Cambria Math" w:eastAsia="Cambria" w:hAnsi="Cambria Math"/>
            <w:lang w:eastAsia="de-DE"/>
          </w:rPr>
          <m:t>)</m:t>
        </m:r>
      </m:oMath>
      <w:r w:rsidRPr="00D1484A">
        <w:t>.</w:t>
      </w:r>
    </w:p>
    <w:p w14:paraId="28F58320" w14:textId="60F502AD" w:rsidR="00F41E63" w:rsidRDefault="00F41E63" w:rsidP="00724E4E">
      <w:pPr>
        <w:pStyle w:val="Clause"/>
      </w:pPr>
      <w:r w:rsidRPr="007E6F67">
        <w:t xml:space="preserve">The required thickness, </w:t>
      </w:r>
      <m:oMath>
        <m:sSub>
          <m:sSubPr>
            <m:ctrlPr>
              <w:rPr>
                <w:rFonts w:ascii="Cambria Math" w:eastAsia="Cambria" w:hAnsi="Cambria Math"/>
                <w:i/>
                <w:lang w:eastAsia="de-DE"/>
              </w:rPr>
            </m:ctrlPr>
          </m:sSubPr>
          <m:e>
            <m:r>
              <w:rPr>
                <w:rFonts w:ascii="Cambria Math" w:hAnsi="Cambria Math"/>
              </w:rPr>
              <m:t>t</m:t>
            </m:r>
            <m:ctrlPr>
              <w:rPr>
                <w:rFonts w:ascii="Cambria Math" w:hAnsi="Cambria Math"/>
                <w:i/>
              </w:rPr>
            </m:ctrlPr>
          </m:e>
          <m:sub>
            <m:r>
              <m:rPr>
                <m:sty m:val="p"/>
              </m:rPr>
              <w:rPr>
                <w:rFonts w:ascii="Cambria Math" w:hAnsi="Cambria Math"/>
              </w:rPr>
              <m:t>p</m:t>
            </m:r>
          </m:sub>
        </m:sSub>
      </m:oMath>
      <w:r w:rsidRPr="00132C1E">
        <w:rPr>
          <w:lang w:eastAsia="de-DE"/>
        </w:rPr>
        <w:t>,</w:t>
      </w:r>
      <w:r w:rsidRPr="00D1484A">
        <w:t xml:space="preserve"> of the face bearing plate should satisfy </w:t>
      </w:r>
      <w:r w:rsidRPr="004E5146">
        <w:t>Formula (G.17).</w:t>
      </w:r>
    </w:p>
    <w:p w14:paraId="7693FA34" w14:textId="6636C685" w:rsidR="004E5146" w:rsidRDefault="009B5CEC" w:rsidP="004E5146">
      <w:pPr>
        <w:pStyle w:val="Formula"/>
        <w:spacing w:before="240"/>
      </w:pPr>
      <m:oMath>
        <m:sSub>
          <m:sSubPr>
            <m:ctrlPr>
              <w:rPr>
                <w:rFonts w:ascii="Cambria Math" w:hAnsi="Cambria Math"/>
              </w:rPr>
            </m:ctrlPr>
          </m:sSubPr>
          <m:e>
            <m:r>
              <w:rPr>
                <w:rFonts w:ascii="Cambria Math" w:hAnsi="Cambria Math"/>
              </w:rPr>
              <m:t>t</m:t>
            </m:r>
          </m:e>
          <m:sub>
            <m:r>
              <m:rPr>
                <m:sty m:val="p"/>
              </m:rPr>
              <w:rPr>
                <w:rFonts w:ascii="Cambria Math" w:hAnsi="Cambria Math"/>
              </w:rPr>
              <m:t>p</m:t>
            </m:r>
          </m:sub>
        </m:sSub>
        <m:r>
          <w:rPr>
            <w:rFonts w:ascii="Cambria Math" w:hAnsi="Cambria Math"/>
          </w:rPr>
          <m:t>≥</m:t>
        </m:r>
        <m:func>
          <m:funcPr>
            <m:ctrlPr>
              <w:rPr>
                <w:rFonts w:ascii="Cambria Math" w:hAnsi="Cambria Math"/>
              </w:rPr>
            </m:ctrlPr>
          </m:funcPr>
          <m:fName>
            <m:r>
              <m:rPr>
                <m:sty m:val="p"/>
              </m:rPr>
              <w:rPr>
                <w:rFonts w:ascii="Cambria Math" w:hAnsi="Cambria Math"/>
              </w:rPr>
              <m:t>max</m:t>
            </m:r>
          </m:fName>
          <m:e>
            <m:d>
              <m:dPr>
                <m:begChr m:val="{"/>
                <m:endChr m:val="}"/>
                <m:ctrlPr>
                  <w:rPr>
                    <w:rFonts w:ascii="Cambria Math" w:hAnsi="Cambria Math"/>
                  </w:rPr>
                </m:ctrlPr>
              </m:dPr>
              <m:e>
                <m:f>
                  <m:fPr>
                    <m:ctrlPr>
                      <w:rPr>
                        <w:rFonts w:ascii="Cambria Math" w:hAnsi="Cambria Math"/>
                      </w:rPr>
                    </m:ctrlPr>
                  </m:fPr>
                  <m:num>
                    <m:rad>
                      <m:radPr>
                        <m:degHide m:val="1"/>
                        <m:ctrlPr>
                          <w:rPr>
                            <w:rFonts w:ascii="Cambria Math" w:hAnsi="Cambria Math"/>
                          </w:rPr>
                        </m:ctrlPr>
                      </m:radPr>
                      <m:deg/>
                      <m:e>
                        <m:r>
                          <w:rPr>
                            <w:rFonts w:ascii="Cambria Math" w:hAnsi="Cambria Math"/>
                          </w:rPr>
                          <m:t>3</m:t>
                        </m:r>
                      </m:e>
                    </m:rad>
                  </m:num>
                  <m:den>
                    <m:sSub>
                      <m:sSubPr>
                        <m:ctrlPr>
                          <w:rPr>
                            <w:rFonts w:ascii="Cambria Math" w:hAnsi="Cambria Math"/>
                          </w:rPr>
                        </m:ctrlPr>
                      </m:sSubPr>
                      <m:e>
                        <m:r>
                          <w:rPr>
                            <w:rFonts w:ascii="Cambria Math" w:hAnsi="Cambria Math"/>
                          </w:rPr>
                          <m:t>b</m:t>
                        </m:r>
                      </m:e>
                      <m:sub>
                        <m:r>
                          <m:rPr>
                            <m:sty m:val="p"/>
                          </m:rPr>
                          <w:rPr>
                            <w:rFonts w:ascii="Cambria Math" w:hAnsi="Cambria Math"/>
                          </w:rPr>
                          <m:t>f</m:t>
                        </m:r>
                      </m:sub>
                    </m:sSub>
                    <m:sSub>
                      <m:sSubPr>
                        <m:ctrlPr>
                          <w:rPr>
                            <w:rFonts w:ascii="Cambria Math" w:hAnsi="Cambria Math"/>
                          </w:rPr>
                        </m:ctrlPr>
                      </m:sSubPr>
                      <m:e>
                        <m:r>
                          <w:rPr>
                            <w:rFonts w:ascii="Cambria Math" w:hAnsi="Cambria Math"/>
                          </w:rPr>
                          <m:t>f</m:t>
                        </m:r>
                      </m:e>
                      <m:sub>
                        <m:r>
                          <m:rPr>
                            <m:sty m:val="p"/>
                          </m:rPr>
                          <w:rPr>
                            <w:rFonts w:ascii="Cambria Math" w:hAnsi="Cambria Math"/>
                          </w:rPr>
                          <m:t>upd</m:t>
                        </m:r>
                      </m:sub>
                    </m:sSub>
                  </m:den>
                </m:f>
                <m:d>
                  <m:dPr>
                    <m:ctrlPr>
                      <w:rPr>
                        <w:rFonts w:ascii="Cambria Math" w:hAnsi="Cambria Math"/>
                      </w:rPr>
                    </m:ctrlPr>
                  </m:dPr>
                  <m:e>
                    <m:sSub>
                      <m:sSubPr>
                        <m:ctrlPr>
                          <w:rPr>
                            <w:rFonts w:ascii="Cambria Math" w:hAnsi="Cambria Math"/>
                          </w:rPr>
                        </m:ctrlPr>
                      </m:sSubPr>
                      <m:e>
                        <m:r>
                          <w:rPr>
                            <w:rFonts w:ascii="Cambria Math" w:hAnsi="Cambria Math"/>
                          </w:rPr>
                          <m:t>V</m:t>
                        </m:r>
                      </m:e>
                      <m:sub>
                        <m:r>
                          <m:rPr>
                            <m:sty m:val="p"/>
                          </m:rPr>
                          <w:rPr>
                            <w:rFonts w:ascii="Cambria Math" w:hAnsi="Cambria Math"/>
                          </w:rPr>
                          <m:t>csd</m:t>
                        </m:r>
                      </m:sub>
                    </m:sSub>
                    <m:r>
                      <w:rPr>
                        <w:rFonts w:ascii="Cambria Math" w:hAnsi="Cambria Math"/>
                      </w:rPr>
                      <m:t>-</m:t>
                    </m:r>
                    <m:sSub>
                      <m:sSubPr>
                        <m:ctrlPr>
                          <w:rPr>
                            <w:rFonts w:ascii="Cambria Math" w:hAnsi="Cambria Math"/>
                          </w:rPr>
                        </m:ctrlPr>
                      </m:sSubPr>
                      <m:e>
                        <m:r>
                          <w:rPr>
                            <w:rFonts w:ascii="Cambria Math" w:hAnsi="Cambria Math"/>
                          </w:rPr>
                          <m:t>b</m:t>
                        </m:r>
                      </m:e>
                      <m:sub>
                        <m:r>
                          <m:rPr>
                            <m:sty m:val="p"/>
                          </m:rPr>
                          <w:rPr>
                            <w:rFonts w:ascii="Cambria Math" w:hAnsi="Cambria Math"/>
                          </w:rPr>
                          <m:t>f</m:t>
                        </m:r>
                      </m:sub>
                    </m:sSub>
                    <m:sSub>
                      <m:sSubPr>
                        <m:ctrlPr>
                          <w:rPr>
                            <w:rFonts w:ascii="Cambria Math" w:hAnsi="Cambria Math"/>
                          </w:rPr>
                        </m:ctrlPr>
                      </m:sSubPr>
                      <m:e>
                        <m:r>
                          <w:rPr>
                            <w:rFonts w:ascii="Cambria Math" w:hAnsi="Cambria Math"/>
                          </w:rPr>
                          <m:t>t</m:t>
                        </m:r>
                      </m:e>
                      <m:sub>
                        <m:r>
                          <m:rPr>
                            <m:sty m:val="p"/>
                          </m:rPr>
                          <w:rPr>
                            <w:rFonts w:ascii="Cambria Math" w:hAnsi="Cambria Math"/>
                          </w:rPr>
                          <m:t>w</m:t>
                        </m:r>
                      </m:sub>
                    </m:sSub>
                    <m:sSub>
                      <m:sSubPr>
                        <m:ctrlPr>
                          <w:rPr>
                            <w:rFonts w:ascii="Cambria Math" w:hAnsi="Cambria Math"/>
                          </w:rPr>
                        </m:ctrlPr>
                      </m:sSubPr>
                      <m:e>
                        <m:r>
                          <w:rPr>
                            <w:rFonts w:ascii="Cambria Math" w:hAnsi="Cambria Math"/>
                          </w:rPr>
                          <m:t>f</m:t>
                        </m:r>
                      </m:e>
                      <m:sub>
                        <m:r>
                          <m:rPr>
                            <m:sty m:val="p"/>
                          </m:rPr>
                          <w:rPr>
                            <w:rFonts w:ascii="Cambria Math" w:hAnsi="Cambria Math"/>
                          </w:rPr>
                          <m:t>yd</m:t>
                        </m:r>
                      </m:sub>
                    </m:sSub>
                  </m:e>
                </m:d>
                <m:r>
                  <w:rPr>
                    <w:rFonts w:ascii="Cambria Math" w:hAnsi="Cambria Math"/>
                  </w:rPr>
                  <m:t xml:space="preserve">; </m:t>
                </m:r>
                <m:f>
                  <m:fPr>
                    <m:ctrlPr>
                      <w:rPr>
                        <w:rFonts w:ascii="Cambria Math" w:hAnsi="Cambria Math"/>
                      </w:rPr>
                    </m:ctrlPr>
                  </m:fPr>
                  <m:num>
                    <m:rad>
                      <m:radPr>
                        <m:degHide m:val="1"/>
                        <m:ctrlPr>
                          <w:rPr>
                            <w:rFonts w:ascii="Cambria Math" w:hAnsi="Cambria Math"/>
                          </w:rPr>
                        </m:ctrlPr>
                      </m:radPr>
                      <m:deg/>
                      <m:e>
                        <m:r>
                          <w:rPr>
                            <w:rFonts w:ascii="Cambria Math" w:hAnsi="Cambria Math"/>
                          </w:rPr>
                          <m:t>3</m:t>
                        </m:r>
                      </m:e>
                    </m:rad>
                    <m:sSub>
                      <m:sSubPr>
                        <m:ctrlPr>
                          <w:rPr>
                            <w:rFonts w:ascii="Cambria Math" w:hAnsi="Cambria Math"/>
                          </w:rPr>
                        </m:ctrlPr>
                      </m:sSubPr>
                      <m:e>
                        <m:r>
                          <w:rPr>
                            <w:rFonts w:ascii="Cambria Math" w:hAnsi="Cambria Math"/>
                          </w:rPr>
                          <m:t>V</m:t>
                        </m:r>
                      </m:e>
                      <m:sub>
                        <m:r>
                          <m:rPr>
                            <m:sty m:val="p"/>
                          </m:rPr>
                          <w:rPr>
                            <w:rFonts w:ascii="Cambria Math" w:hAnsi="Cambria Math"/>
                          </w:rPr>
                          <m:t>csd</m:t>
                        </m:r>
                      </m:sub>
                    </m:sSub>
                  </m:num>
                  <m:den>
                    <m:sSub>
                      <m:sSubPr>
                        <m:ctrlPr>
                          <w:rPr>
                            <w:rFonts w:ascii="Cambria Math" w:hAnsi="Cambria Math"/>
                          </w:rPr>
                        </m:ctrlPr>
                      </m:sSubPr>
                      <m:e>
                        <m:r>
                          <w:rPr>
                            <w:rFonts w:ascii="Cambria Math" w:hAnsi="Cambria Math"/>
                          </w:rPr>
                          <m:t>b</m:t>
                        </m:r>
                      </m:e>
                      <m:sub>
                        <m:r>
                          <m:rPr>
                            <m:sty m:val="p"/>
                          </m:rPr>
                          <w:rPr>
                            <w:rFonts w:ascii="Cambria Math" w:hAnsi="Cambria Math"/>
                          </w:rPr>
                          <m:t>f</m:t>
                        </m:r>
                      </m:sub>
                    </m:sSub>
                    <m:sSub>
                      <m:sSubPr>
                        <m:ctrlPr>
                          <w:rPr>
                            <w:rFonts w:ascii="Cambria Math" w:hAnsi="Cambria Math"/>
                          </w:rPr>
                        </m:ctrlPr>
                      </m:sSubPr>
                      <m:e>
                        <m:r>
                          <w:rPr>
                            <w:rFonts w:ascii="Cambria Math" w:hAnsi="Cambria Math"/>
                          </w:rPr>
                          <m:t>f</m:t>
                        </m:r>
                      </m:e>
                      <m:sub>
                        <m:r>
                          <m:rPr>
                            <m:sty m:val="p"/>
                          </m:rPr>
                          <w:rPr>
                            <w:rFonts w:ascii="Cambria Math" w:hAnsi="Cambria Math"/>
                          </w:rPr>
                          <m:t>upd</m:t>
                        </m:r>
                      </m:sub>
                    </m:sSub>
                  </m:den>
                </m:f>
                <m:r>
                  <w:rPr>
                    <w:rFonts w:ascii="Cambria Math" w:hAnsi="Cambria Math"/>
                  </w:rPr>
                  <m:t>; 0,2</m:t>
                </m:r>
                <m:rad>
                  <m:radPr>
                    <m:degHide m:val="1"/>
                    <m:ctrlPr>
                      <w:rPr>
                        <w:rFonts w:ascii="Cambria Math" w:hAnsi="Cambria Math"/>
                      </w:rPr>
                    </m:ctrlPr>
                  </m:radPr>
                  <m:deg/>
                  <m:e>
                    <m:f>
                      <m:fPr>
                        <m:ctrlPr>
                          <w:rPr>
                            <w:rFonts w:ascii="Cambria Math" w:hAnsi="Cambria Math"/>
                          </w:rPr>
                        </m:ctrlPr>
                      </m:fPr>
                      <m:num>
                        <m:sSub>
                          <m:sSubPr>
                            <m:ctrlPr>
                              <w:rPr>
                                <w:rFonts w:ascii="Cambria Math" w:hAnsi="Cambria Math"/>
                              </w:rPr>
                            </m:ctrlPr>
                          </m:sSubPr>
                          <m:e>
                            <m:r>
                              <w:rPr>
                                <w:rFonts w:ascii="Cambria Math" w:hAnsi="Cambria Math"/>
                              </w:rPr>
                              <m:t>V</m:t>
                            </m:r>
                          </m:e>
                          <m:sub>
                            <m:r>
                              <m:rPr>
                                <m:sty m:val="p"/>
                              </m:rPr>
                              <w:rPr>
                                <w:rFonts w:ascii="Cambria Math" w:hAnsi="Cambria Math"/>
                              </w:rPr>
                              <m:t>csd</m:t>
                            </m:r>
                          </m:sub>
                        </m:sSub>
                        <m:sSub>
                          <m:sSubPr>
                            <m:ctrlPr>
                              <w:rPr>
                                <w:rFonts w:ascii="Cambria Math" w:hAnsi="Cambria Math"/>
                              </w:rPr>
                            </m:ctrlPr>
                          </m:sSubPr>
                          <m:e>
                            <m:r>
                              <w:rPr>
                                <w:rFonts w:ascii="Cambria Math" w:hAnsi="Cambria Math"/>
                              </w:rPr>
                              <m:t>b</m:t>
                            </m:r>
                          </m:e>
                          <m:sub>
                            <m:r>
                              <m:rPr>
                                <m:sty m:val="p"/>
                              </m:rPr>
                              <w:rPr>
                                <w:rFonts w:ascii="Cambria Math" w:hAnsi="Cambria Math"/>
                              </w:rPr>
                              <m:t>p</m:t>
                            </m:r>
                          </m:sub>
                        </m:sSub>
                      </m:num>
                      <m:den>
                        <m:sSub>
                          <m:sSubPr>
                            <m:ctrlPr>
                              <w:rPr>
                                <w:rFonts w:ascii="Cambria Math" w:hAnsi="Cambria Math"/>
                              </w:rPr>
                            </m:ctrlPr>
                          </m:sSubPr>
                          <m:e>
                            <m:r>
                              <w:rPr>
                                <w:rFonts w:ascii="Cambria Math" w:hAnsi="Cambria Math"/>
                              </w:rPr>
                              <m:t>f</m:t>
                            </m:r>
                          </m:e>
                          <m:sub>
                            <m:r>
                              <m:rPr>
                                <m:sty m:val="p"/>
                              </m:rPr>
                              <w:rPr>
                                <w:rFonts w:ascii="Cambria Math" w:hAnsi="Cambria Math"/>
                              </w:rPr>
                              <m:t>ypd</m:t>
                            </m:r>
                          </m:sub>
                        </m:sSub>
                        <m:sSub>
                          <m:sSubPr>
                            <m:ctrlPr>
                              <w:rPr>
                                <w:rFonts w:ascii="Cambria Math" w:hAnsi="Cambria Math"/>
                              </w:rPr>
                            </m:ctrlPr>
                          </m:sSubPr>
                          <m:e>
                            <m:r>
                              <w:rPr>
                                <w:rFonts w:ascii="Cambria Math" w:hAnsi="Cambria Math"/>
                              </w:rPr>
                              <m:t>h</m:t>
                            </m:r>
                          </m:e>
                          <m:sub>
                            <m:r>
                              <m:rPr>
                                <m:sty m:val="p"/>
                              </m:rPr>
                              <w:rPr>
                                <w:rFonts w:ascii="Cambria Math" w:hAnsi="Cambria Math"/>
                              </w:rPr>
                              <m:t>w</m:t>
                            </m:r>
                          </m:sub>
                        </m:sSub>
                      </m:den>
                    </m:f>
                  </m:e>
                </m:rad>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b</m:t>
                        </m:r>
                      </m:e>
                      <m:sub>
                        <m:r>
                          <m:rPr>
                            <m:sty m:val="p"/>
                          </m:rPr>
                          <w:rPr>
                            <w:rFonts w:ascii="Cambria Math" w:hAnsi="Cambria Math"/>
                          </w:rPr>
                          <m:t>p</m:t>
                        </m:r>
                      </m:sub>
                    </m:sSub>
                  </m:num>
                  <m:den>
                    <m:r>
                      <w:rPr>
                        <w:rFonts w:ascii="Cambria Math" w:hAnsi="Cambria Math"/>
                      </w:rPr>
                      <m:t>22</m:t>
                    </m:r>
                  </m:den>
                </m:f>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b</m:t>
                        </m:r>
                      </m:e>
                      <m:sub>
                        <m:r>
                          <m:rPr>
                            <m:sty m:val="p"/>
                          </m:rPr>
                          <w:rPr>
                            <w:rFonts w:ascii="Cambria Math" w:hAnsi="Cambria Math"/>
                          </w:rPr>
                          <m:t>p</m:t>
                        </m:r>
                      </m:sub>
                    </m:sSub>
                    <m:r>
                      <w:rPr>
                        <w:rFonts w:ascii="Cambria Math" w:hAnsi="Cambria Math"/>
                      </w:rPr>
                      <m:t>-</m:t>
                    </m:r>
                    <m:sSub>
                      <m:sSubPr>
                        <m:ctrlPr>
                          <w:rPr>
                            <w:rFonts w:ascii="Cambria Math" w:hAnsi="Cambria Math"/>
                          </w:rPr>
                        </m:ctrlPr>
                      </m:sSubPr>
                      <m:e>
                        <m:r>
                          <w:rPr>
                            <w:rFonts w:ascii="Cambria Math" w:hAnsi="Cambria Math"/>
                          </w:rPr>
                          <m:t>b</m:t>
                        </m:r>
                      </m:e>
                      <m:sub>
                        <m:r>
                          <m:rPr>
                            <m:sty m:val="p"/>
                          </m:rPr>
                          <w:rPr>
                            <w:rFonts w:ascii="Cambria Math" w:hAnsi="Cambria Math"/>
                          </w:rPr>
                          <m:t>f</m:t>
                        </m:r>
                      </m:sub>
                    </m:sSub>
                  </m:num>
                  <m:den>
                    <m:r>
                      <w:rPr>
                        <w:rFonts w:ascii="Cambria Math" w:hAnsi="Cambria Math"/>
                      </w:rPr>
                      <m:t>5</m:t>
                    </m:r>
                  </m:den>
                </m:f>
              </m:e>
            </m:d>
          </m:e>
        </m:func>
      </m:oMath>
      <w:r w:rsidR="004E5146" w:rsidRPr="00922D9B">
        <w:tab/>
        <w:t>(G.</w:t>
      </w:r>
      <w:r w:rsidR="004E5146">
        <w:t>17</w:t>
      </w:r>
      <w:r w:rsidR="004E5146" w:rsidRPr="00922D9B">
        <w:t>)</w:t>
      </w:r>
    </w:p>
    <w:p w14:paraId="25F28EC9" w14:textId="2B392FA0" w:rsidR="004E5146" w:rsidRPr="00D1484A" w:rsidRDefault="00675EBA" w:rsidP="00773115">
      <w:pPr>
        <w:pStyle w:val="Text"/>
      </w:pPr>
      <w:r>
        <w:t>where</w:t>
      </w:r>
    </w:p>
    <w:tbl>
      <w:tblPr>
        <w:tblW w:w="0" w:type="auto"/>
        <w:tblInd w:w="346" w:type="dxa"/>
        <w:tblLook w:val="04A0" w:firstRow="1" w:lastRow="0" w:firstColumn="1" w:lastColumn="0" w:noHBand="0" w:noVBand="1"/>
      </w:tblPr>
      <w:tblGrid>
        <w:gridCol w:w="1275"/>
        <w:gridCol w:w="7938"/>
      </w:tblGrid>
      <w:tr w:rsidR="004E5146" w:rsidRPr="00870D59" w14:paraId="437D3657" w14:textId="77777777" w:rsidTr="00F81F1B">
        <w:tc>
          <w:tcPr>
            <w:tcW w:w="1275" w:type="dxa"/>
          </w:tcPr>
          <w:p w14:paraId="655C6C17" w14:textId="01F95C1D" w:rsidR="004E5146" w:rsidRPr="00460668" w:rsidRDefault="009B5CEC" w:rsidP="002061E5">
            <w:pPr>
              <w:spacing w:after="60"/>
              <w:rPr>
                <w:rFonts w:eastAsia="Times New Roman" w:cs="Cambria"/>
                <w:szCs w:val="20"/>
                <w:lang w:eastAsia="fr-FR"/>
              </w:rPr>
            </w:pPr>
            <m:oMathPara>
              <m:oMathParaPr>
                <m:jc m:val="left"/>
              </m:oMathParaPr>
              <m:oMath>
                <m:sSub>
                  <m:sSubPr>
                    <m:ctrlPr>
                      <w:rPr>
                        <w:rFonts w:ascii="Cambria Math" w:hAnsi="Cambria Math"/>
                        <w:i/>
                      </w:rPr>
                    </m:ctrlPr>
                  </m:sSubPr>
                  <m:e>
                    <m:r>
                      <w:rPr>
                        <w:rFonts w:ascii="Cambria Math" w:hAnsi="Cambria Math"/>
                      </w:rPr>
                      <m:t>f</m:t>
                    </m:r>
                  </m:e>
                  <m:sub>
                    <m:r>
                      <m:rPr>
                        <m:sty m:val="p"/>
                      </m:rPr>
                      <w:rPr>
                        <w:rFonts w:ascii="Cambria Math" w:hAnsi="Cambria Math"/>
                      </w:rPr>
                      <m:t>ypd</m:t>
                    </m:r>
                  </m:sub>
                </m:sSub>
              </m:oMath>
            </m:oMathPara>
          </w:p>
        </w:tc>
        <w:tc>
          <w:tcPr>
            <w:tcW w:w="7938" w:type="dxa"/>
          </w:tcPr>
          <w:p w14:paraId="25AB9B9A" w14:textId="39F53F2A" w:rsidR="004E5146" w:rsidRPr="00F41E63" w:rsidRDefault="004E5146" w:rsidP="004E5146">
            <w:pPr>
              <w:pStyle w:val="Listofsymbols"/>
              <w:rPr>
                <w:szCs w:val="22"/>
              </w:rPr>
            </w:pPr>
            <w:r w:rsidRPr="004B178A">
              <w:t>is the design yield strength of the bearing plate;</w:t>
            </w:r>
          </w:p>
        </w:tc>
      </w:tr>
      <w:tr w:rsidR="004E5146" w:rsidRPr="00870D59" w14:paraId="69248216" w14:textId="77777777" w:rsidTr="00F81F1B">
        <w:tc>
          <w:tcPr>
            <w:tcW w:w="1275" w:type="dxa"/>
          </w:tcPr>
          <w:p w14:paraId="359A87D0" w14:textId="4937DF77" w:rsidR="004E5146" w:rsidRPr="00F41E63" w:rsidRDefault="009B5CEC" w:rsidP="002061E5">
            <w:pPr>
              <w:spacing w:after="60"/>
              <w:rPr>
                <w:lang w:eastAsia="de-DE"/>
              </w:rPr>
            </w:pPr>
            <m:oMathPara>
              <m:oMathParaPr>
                <m:jc m:val="left"/>
              </m:oMathParaPr>
              <m:oMath>
                <m:sSub>
                  <m:sSubPr>
                    <m:ctrlPr>
                      <w:rPr>
                        <w:rFonts w:ascii="Cambria Math" w:hAnsi="Cambria Math"/>
                        <w:i/>
                      </w:rPr>
                    </m:ctrlPr>
                  </m:sSubPr>
                  <m:e>
                    <m:r>
                      <w:rPr>
                        <w:rFonts w:ascii="Cambria Math" w:hAnsi="Cambria Math"/>
                      </w:rPr>
                      <m:t>f</m:t>
                    </m:r>
                  </m:e>
                  <m:sub>
                    <m:r>
                      <m:rPr>
                        <m:sty m:val="p"/>
                      </m:rPr>
                      <w:rPr>
                        <w:rFonts w:ascii="Cambria Math" w:hAnsi="Cambria Math"/>
                      </w:rPr>
                      <m:t>upd</m:t>
                    </m:r>
                  </m:sub>
                </m:sSub>
              </m:oMath>
            </m:oMathPara>
          </w:p>
        </w:tc>
        <w:tc>
          <w:tcPr>
            <w:tcW w:w="7938" w:type="dxa"/>
          </w:tcPr>
          <w:p w14:paraId="04591919" w14:textId="5927FEE2" w:rsidR="004E5146" w:rsidRPr="00F41E63" w:rsidRDefault="004E5146" w:rsidP="002061E5">
            <w:pPr>
              <w:spacing w:after="60"/>
            </w:pPr>
            <w:r w:rsidRPr="004B178A">
              <w:t>is the design ultimate strength of the bearing plate;</w:t>
            </w:r>
          </w:p>
        </w:tc>
      </w:tr>
      <w:tr w:rsidR="004E5146" w:rsidRPr="00870D59" w14:paraId="6BE5BA97" w14:textId="77777777" w:rsidTr="00F81F1B">
        <w:tc>
          <w:tcPr>
            <w:tcW w:w="1275" w:type="dxa"/>
          </w:tcPr>
          <w:p w14:paraId="389F7410" w14:textId="4F29D9A1" w:rsidR="004E5146" w:rsidRPr="00F41E63" w:rsidRDefault="009B5CEC" w:rsidP="002061E5">
            <w:pPr>
              <w:spacing w:after="60"/>
              <w:rPr>
                <w:lang w:eastAsia="de-DE"/>
              </w:rPr>
            </w:pPr>
            <m:oMathPara>
              <m:oMathParaPr>
                <m:jc m:val="left"/>
              </m:oMathParaPr>
              <m:oMath>
                <m:sSub>
                  <m:sSubPr>
                    <m:ctrlPr>
                      <w:rPr>
                        <w:rFonts w:ascii="Cambria Math" w:hAnsi="Cambria Math"/>
                        <w:i/>
                      </w:rPr>
                    </m:ctrlPr>
                  </m:sSubPr>
                  <m:e>
                    <m:r>
                      <w:rPr>
                        <w:rFonts w:ascii="Cambria Math" w:hAnsi="Cambria Math"/>
                      </w:rPr>
                      <m:t>f</m:t>
                    </m:r>
                  </m:e>
                  <m:sub>
                    <m:r>
                      <m:rPr>
                        <m:sty m:val="p"/>
                      </m:rPr>
                      <w:rPr>
                        <w:rFonts w:ascii="Cambria Math" w:hAnsi="Cambria Math"/>
                      </w:rPr>
                      <m:t>yd</m:t>
                    </m:r>
                  </m:sub>
                </m:sSub>
              </m:oMath>
            </m:oMathPara>
          </w:p>
        </w:tc>
        <w:tc>
          <w:tcPr>
            <w:tcW w:w="7938" w:type="dxa"/>
          </w:tcPr>
          <w:p w14:paraId="58345D22" w14:textId="63AC2EF9" w:rsidR="004E5146" w:rsidRPr="00F41E63" w:rsidRDefault="004E5146" w:rsidP="002061E5">
            <w:pPr>
              <w:spacing w:after="60"/>
            </w:pPr>
            <w:r w:rsidRPr="004B178A">
              <w:t>is the design yield strength of the web panel;</w:t>
            </w:r>
          </w:p>
        </w:tc>
      </w:tr>
      <w:tr w:rsidR="004E5146" w:rsidRPr="00870D59" w14:paraId="5685B196" w14:textId="77777777" w:rsidTr="00F81F1B">
        <w:tc>
          <w:tcPr>
            <w:tcW w:w="1275" w:type="dxa"/>
          </w:tcPr>
          <w:p w14:paraId="19D4F884" w14:textId="2B9BF3B8" w:rsidR="004E5146" w:rsidRPr="004E5146" w:rsidRDefault="009B5CEC" w:rsidP="002061E5">
            <w:pPr>
              <w:spacing w:after="60"/>
            </w:pPr>
            <m:oMathPara>
              <m:oMathParaPr>
                <m:jc m:val="left"/>
              </m:oMathParaPr>
              <m:oMath>
                <m:sSub>
                  <m:sSubPr>
                    <m:ctrlPr>
                      <w:rPr>
                        <w:rFonts w:ascii="Cambria Math" w:hAnsi="Cambria Math"/>
                        <w:i/>
                      </w:rPr>
                    </m:ctrlPr>
                  </m:sSubPr>
                  <m:e>
                    <m:r>
                      <w:rPr>
                        <w:rFonts w:ascii="Cambria Math" w:hAnsi="Cambria Math"/>
                      </w:rPr>
                      <m:t>V</m:t>
                    </m:r>
                  </m:e>
                  <m:sub>
                    <m:r>
                      <m:rPr>
                        <m:sty m:val="p"/>
                      </m:rPr>
                      <w:rPr>
                        <w:rFonts w:ascii="Cambria Math" w:hAnsi="Cambria Math"/>
                      </w:rPr>
                      <m:t>csd</m:t>
                    </m:r>
                  </m:sub>
                </m:sSub>
              </m:oMath>
            </m:oMathPara>
          </w:p>
        </w:tc>
        <w:tc>
          <w:tcPr>
            <w:tcW w:w="7938" w:type="dxa"/>
          </w:tcPr>
          <w:p w14:paraId="1A4EA7BD" w14:textId="0649D911" w:rsidR="004E5146" w:rsidRPr="00F41E63" w:rsidRDefault="004E5146" w:rsidP="002061E5">
            <w:pPr>
              <w:spacing w:after="60"/>
            </w:pPr>
            <w:r w:rsidRPr="004B178A">
              <w:t xml:space="preserve">may be calculated from Formula (G.6) by assuming </w:t>
            </w:r>
            <m:oMath>
              <m:sSub>
                <m:sSubPr>
                  <m:ctrlPr>
                    <w:rPr>
                      <w:rFonts w:ascii="Cambria Math" w:hAnsi="Cambria Math"/>
                      <w:i/>
                    </w:rPr>
                  </m:ctrlPr>
                </m:sSubPr>
                <m:e>
                  <m:r>
                    <w:rPr>
                      <w:rFonts w:ascii="Cambria Math" w:hAnsi="Cambria Math"/>
                    </w:rPr>
                    <m:t>V</m:t>
                  </m:r>
                </m:e>
                <m:sub>
                  <m:r>
                    <m:rPr>
                      <m:sty m:val="p"/>
                    </m:rPr>
                    <w:rPr>
                      <w:rFonts w:ascii="Cambria Math" w:hAnsi="Cambria Math"/>
                    </w:rPr>
                    <m:t>cfd</m:t>
                  </m:r>
                </m:sub>
              </m:sSub>
              <m:r>
                <m:rPr>
                  <m:sty m:val="p"/>
                </m:rPr>
                <w:rPr>
                  <w:rFonts w:ascii="Cambria Math" w:hAnsi="Cambria Math"/>
                </w:rPr>
                <m:t>=0.</m:t>
              </m:r>
            </m:oMath>
          </w:p>
        </w:tc>
      </w:tr>
    </w:tbl>
    <w:p w14:paraId="3527F080" w14:textId="77777777" w:rsidR="006A11A7" w:rsidRPr="007E6F67" w:rsidRDefault="006A11A7" w:rsidP="006A11A7">
      <w:pPr>
        <w:pStyle w:val="a3"/>
      </w:pPr>
      <w:bookmarkStart w:id="11478" w:name="_Toc50150781"/>
      <w:bookmarkStart w:id="11479" w:name="_Toc70887214"/>
      <w:bookmarkStart w:id="11480" w:name="_Toc108342812"/>
      <w:bookmarkStart w:id="11481" w:name="_Toc120543898"/>
      <w:bookmarkStart w:id="11482" w:name="_Toc134198319"/>
      <w:r w:rsidRPr="00D1484A">
        <w:t>Steel beam flanges</w:t>
      </w:r>
      <w:bookmarkEnd w:id="11478"/>
      <w:bookmarkEnd w:id="11479"/>
      <w:bookmarkEnd w:id="11480"/>
      <w:bookmarkEnd w:id="11481"/>
      <w:bookmarkEnd w:id="11482"/>
    </w:p>
    <w:p w14:paraId="58421F9D" w14:textId="4E58C91D" w:rsidR="006A11A7" w:rsidRDefault="006A11A7" w:rsidP="0080187E">
      <w:pPr>
        <w:pStyle w:val="Clause"/>
        <w:numPr>
          <w:ilvl w:val="0"/>
          <w:numId w:val="603"/>
        </w:numPr>
      </w:pPr>
      <w:r w:rsidRPr="00FD17CF">
        <w:t xml:space="preserve">The beam flange thickness, </w:t>
      </w:r>
      <m:oMath>
        <m:sSub>
          <m:sSubPr>
            <m:ctrlPr>
              <w:rPr>
                <w:rFonts w:ascii="Cambria Math" w:hAnsi="Cambria Math"/>
                <w:i/>
              </w:rPr>
            </m:ctrlPr>
          </m:sSubPr>
          <m:e>
            <m:r>
              <w:rPr>
                <w:rFonts w:ascii="Cambria Math" w:hAnsi="Cambria Math"/>
              </w:rPr>
              <m:t>t</m:t>
            </m:r>
          </m:e>
          <m:sub>
            <m:r>
              <m:rPr>
                <m:sty m:val="p"/>
              </m:rPr>
              <w:rPr>
                <w:rFonts w:ascii="Cambria Math" w:hAnsi="Cambria Math"/>
              </w:rPr>
              <m:t>f</m:t>
            </m:r>
          </m:sub>
        </m:sSub>
      </m:oMath>
      <w:r w:rsidRPr="00132C1E">
        <w:t xml:space="preserve"> should be such that the steel beam resists the vertical bearing force due to joint shear in the steel panel and should </w:t>
      </w:r>
      <w:r w:rsidRPr="006A11A7">
        <w:t>satisfy Formula (G.18).</w:t>
      </w:r>
    </w:p>
    <w:p w14:paraId="49770831" w14:textId="7818A9E6" w:rsidR="006A11A7" w:rsidRDefault="009B5CEC" w:rsidP="006A11A7">
      <w:pPr>
        <w:pStyle w:val="Formula"/>
        <w:spacing w:before="240"/>
      </w:pPr>
      <m:oMath>
        <m:sSub>
          <m:sSubPr>
            <m:ctrlPr>
              <w:rPr>
                <w:rFonts w:ascii="Cambria Math" w:hAnsi="Cambria Math"/>
              </w:rPr>
            </m:ctrlPr>
          </m:sSubPr>
          <m:e>
            <m:r>
              <w:rPr>
                <w:rFonts w:ascii="Cambria Math" w:hAnsi="Cambria Math"/>
              </w:rPr>
              <m:t>t</m:t>
            </m:r>
          </m:e>
          <m:sub>
            <m:r>
              <m:rPr>
                <m:sty m:val="p"/>
              </m:rPr>
              <w:rPr>
                <w:rFonts w:ascii="Cambria Math" w:hAnsi="Cambria Math"/>
              </w:rPr>
              <m:t>f</m:t>
            </m:r>
          </m:sub>
        </m:sSub>
        <m:r>
          <w:rPr>
            <w:rFonts w:ascii="Cambria Math" w:hAnsi="Cambria Math"/>
          </w:rPr>
          <m:t>≥0,30</m:t>
        </m:r>
        <m:rad>
          <m:radPr>
            <m:degHide m:val="1"/>
            <m:ctrlPr>
              <w:rPr>
                <w:rFonts w:ascii="Cambria Math" w:hAnsi="Cambria Math"/>
              </w:rPr>
            </m:ctrlPr>
          </m:radPr>
          <m:deg/>
          <m:e>
            <m:f>
              <m:fPr>
                <m:ctrlPr>
                  <w:rPr>
                    <w:rFonts w:ascii="Cambria Math" w:hAnsi="Cambria Math"/>
                  </w:rPr>
                </m:ctrlPr>
              </m:fPr>
              <m:num>
                <m:sSub>
                  <m:sSubPr>
                    <m:ctrlPr>
                      <w:rPr>
                        <w:rFonts w:ascii="Cambria Math" w:hAnsi="Cambria Math"/>
                      </w:rPr>
                    </m:ctrlPr>
                  </m:sSubPr>
                  <m:e>
                    <m:r>
                      <w:rPr>
                        <w:rFonts w:ascii="Cambria Math" w:hAnsi="Cambria Math"/>
                      </w:rPr>
                      <m:t>b</m:t>
                    </m:r>
                  </m:e>
                  <m:sub>
                    <m:r>
                      <m:rPr>
                        <m:sty m:val="p"/>
                      </m:rPr>
                      <w:rPr>
                        <w:rFonts w:ascii="Cambria Math" w:hAnsi="Cambria Math"/>
                      </w:rPr>
                      <m:t>f</m:t>
                    </m:r>
                  </m:sub>
                </m:sSub>
                <m:sSub>
                  <m:sSubPr>
                    <m:ctrlPr>
                      <w:rPr>
                        <w:rFonts w:ascii="Cambria Math" w:hAnsi="Cambria Math"/>
                      </w:rPr>
                    </m:ctrlPr>
                  </m:sSubPr>
                  <m:e>
                    <m:r>
                      <w:rPr>
                        <w:rFonts w:ascii="Cambria Math" w:hAnsi="Cambria Math"/>
                      </w:rPr>
                      <m:t>t</m:t>
                    </m:r>
                  </m:e>
                  <m:sub>
                    <m:r>
                      <m:rPr>
                        <m:sty m:val="p"/>
                      </m:rPr>
                      <w:rPr>
                        <w:rFonts w:ascii="Cambria Math" w:hAnsi="Cambria Math"/>
                      </w:rPr>
                      <m:t>sp</m:t>
                    </m:r>
                  </m:sub>
                </m:sSub>
                <m:sSub>
                  <m:sSubPr>
                    <m:ctrlPr>
                      <w:rPr>
                        <w:rFonts w:ascii="Cambria Math" w:hAnsi="Cambria Math"/>
                      </w:rPr>
                    </m:ctrlPr>
                  </m:sSubPr>
                  <m:e>
                    <m:r>
                      <w:rPr>
                        <w:rFonts w:ascii="Cambria Math" w:hAnsi="Cambria Math"/>
                      </w:rPr>
                      <m:t>h</m:t>
                    </m:r>
                  </m:e>
                  <m:sub>
                    <m:r>
                      <m:rPr>
                        <m:sty m:val="p"/>
                      </m:rPr>
                      <w:rPr>
                        <w:rFonts w:ascii="Cambria Math" w:hAnsi="Cambria Math"/>
                      </w:rPr>
                      <m:t>b</m:t>
                    </m:r>
                  </m:sub>
                </m:sSub>
                <m:sSub>
                  <m:sSubPr>
                    <m:ctrlPr>
                      <w:rPr>
                        <w:rFonts w:ascii="Cambria Math" w:hAnsi="Cambria Math"/>
                      </w:rPr>
                    </m:ctrlPr>
                  </m:sSubPr>
                  <m:e>
                    <m:r>
                      <w:rPr>
                        <w:rFonts w:ascii="Cambria Math" w:hAnsi="Cambria Math"/>
                      </w:rPr>
                      <m:t>f</m:t>
                    </m:r>
                  </m:e>
                  <m:sub>
                    <m:r>
                      <m:rPr>
                        <m:sty m:val="p"/>
                      </m:rPr>
                      <w:rPr>
                        <w:rFonts w:ascii="Cambria Math" w:hAnsi="Cambria Math"/>
                      </w:rPr>
                      <m:t>yspd</m:t>
                    </m:r>
                  </m:sub>
                </m:sSub>
              </m:num>
              <m:den>
                <m:sSub>
                  <m:sSubPr>
                    <m:ctrlPr>
                      <w:rPr>
                        <w:rFonts w:ascii="Cambria Math" w:hAnsi="Cambria Math"/>
                      </w:rPr>
                    </m:ctrlPr>
                  </m:sSubPr>
                  <m:e>
                    <m:r>
                      <w:rPr>
                        <w:rFonts w:ascii="Cambria Math" w:hAnsi="Cambria Math"/>
                      </w:rPr>
                      <m:t>h</m:t>
                    </m:r>
                  </m:e>
                  <m:sub>
                    <m:r>
                      <m:rPr>
                        <m:sty m:val="p"/>
                      </m:rPr>
                      <w:rPr>
                        <w:rFonts w:ascii="Cambria Math" w:hAnsi="Cambria Math"/>
                      </w:rPr>
                      <m:t>c</m:t>
                    </m:r>
                  </m:sub>
                </m:sSub>
                <m:sSub>
                  <m:sSubPr>
                    <m:ctrlPr>
                      <w:rPr>
                        <w:rFonts w:ascii="Cambria Math" w:hAnsi="Cambria Math"/>
                      </w:rPr>
                    </m:ctrlPr>
                  </m:sSubPr>
                  <m:e>
                    <m:r>
                      <w:rPr>
                        <w:rFonts w:ascii="Cambria Math" w:hAnsi="Cambria Math"/>
                      </w:rPr>
                      <m:t>f</m:t>
                    </m:r>
                  </m:e>
                  <m:sub>
                    <m:r>
                      <m:rPr>
                        <m:sty m:val="p"/>
                      </m:rPr>
                      <w:rPr>
                        <w:rFonts w:ascii="Cambria Math" w:hAnsi="Cambria Math"/>
                      </w:rPr>
                      <m:t>yfd</m:t>
                    </m:r>
                  </m:sub>
                </m:sSub>
              </m:den>
            </m:f>
          </m:e>
        </m:rad>
      </m:oMath>
      <w:r w:rsidR="006A11A7" w:rsidRPr="00922D9B">
        <w:tab/>
        <w:t>(G.</w:t>
      </w:r>
      <w:r w:rsidR="006A11A7">
        <w:t>18</w:t>
      </w:r>
      <w:r w:rsidR="006A11A7" w:rsidRPr="00922D9B">
        <w:t>)</w:t>
      </w:r>
    </w:p>
    <w:p w14:paraId="768221E1" w14:textId="25B737D6" w:rsidR="006A11A7" w:rsidRPr="00D1484A" w:rsidRDefault="00675EBA" w:rsidP="00773115">
      <w:pPr>
        <w:pStyle w:val="Text"/>
      </w:pPr>
      <w:r>
        <w:t>where</w:t>
      </w:r>
    </w:p>
    <w:tbl>
      <w:tblPr>
        <w:tblW w:w="0" w:type="auto"/>
        <w:tblInd w:w="346" w:type="dxa"/>
        <w:tblLook w:val="04A0" w:firstRow="1" w:lastRow="0" w:firstColumn="1" w:lastColumn="0" w:noHBand="0" w:noVBand="1"/>
      </w:tblPr>
      <w:tblGrid>
        <w:gridCol w:w="1275"/>
        <w:gridCol w:w="7938"/>
      </w:tblGrid>
      <w:tr w:rsidR="006A11A7" w:rsidRPr="00870D59" w14:paraId="07B65230" w14:textId="77777777" w:rsidTr="00F81F1B">
        <w:tc>
          <w:tcPr>
            <w:tcW w:w="1275" w:type="dxa"/>
          </w:tcPr>
          <w:p w14:paraId="795AAC05" w14:textId="4B659817" w:rsidR="006A11A7" w:rsidRPr="00460668" w:rsidRDefault="009B5CEC" w:rsidP="002061E5">
            <w:pPr>
              <w:spacing w:after="60"/>
              <w:rPr>
                <w:rFonts w:eastAsia="Times New Roman" w:cs="Cambria"/>
                <w:szCs w:val="20"/>
                <w:lang w:eastAsia="fr-FR"/>
              </w:rPr>
            </w:pPr>
            <m:oMathPara>
              <m:oMathParaPr>
                <m:jc m:val="left"/>
              </m:oMathParaPr>
              <m:oMath>
                <m:sSub>
                  <m:sSubPr>
                    <m:ctrlPr>
                      <w:rPr>
                        <w:rFonts w:ascii="Cambria Math" w:hAnsi="Cambria Math"/>
                        <w:i/>
                      </w:rPr>
                    </m:ctrlPr>
                  </m:sSubPr>
                  <m:e>
                    <m:r>
                      <w:rPr>
                        <w:rFonts w:ascii="Cambria Math" w:hAnsi="Cambria Math"/>
                      </w:rPr>
                      <m:t>f</m:t>
                    </m:r>
                  </m:e>
                  <m:sub>
                    <m:r>
                      <m:rPr>
                        <m:sty m:val="p"/>
                      </m:rPr>
                      <w:rPr>
                        <w:rFonts w:ascii="Cambria Math" w:hAnsi="Cambria Math"/>
                      </w:rPr>
                      <m:t>yspd</m:t>
                    </m:r>
                  </m:sub>
                </m:sSub>
              </m:oMath>
            </m:oMathPara>
          </w:p>
        </w:tc>
        <w:tc>
          <w:tcPr>
            <w:tcW w:w="7938" w:type="dxa"/>
          </w:tcPr>
          <w:p w14:paraId="2686429D" w14:textId="6801943B" w:rsidR="006A11A7" w:rsidRPr="00F41E63" w:rsidRDefault="006A11A7" w:rsidP="002061E5">
            <w:pPr>
              <w:pStyle w:val="Listofsymbols"/>
              <w:rPr>
                <w:szCs w:val="22"/>
              </w:rPr>
            </w:pPr>
            <w:r w:rsidRPr="00132C1E">
              <w:t xml:space="preserve">is the design yield </w:t>
            </w:r>
            <w:r w:rsidRPr="00D1484A">
              <w:t>strength of the steel web panel;</w:t>
            </w:r>
          </w:p>
        </w:tc>
      </w:tr>
      <w:tr w:rsidR="006A11A7" w:rsidRPr="00870D59" w14:paraId="0ABD2669" w14:textId="77777777" w:rsidTr="00F81F1B">
        <w:tc>
          <w:tcPr>
            <w:tcW w:w="1275" w:type="dxa"/>
          </w:tcPr>
          <w:p w14:paraId="15E5E8A5" w14:textId="45502F25" w:rsidR="006A11A7" w:rsidRPr="00F41E63" w:rsidRDefault="009B5CEC" w:rsidP="002061E5">
            <w:pPr>
              <w:spacing w:after="60"/>
              <w:rPr>
                <w:lang w:eastAsia="de-DE"/>
              </w:rPr>
            </w:pPr>
            <m:oMathPara>
              <m:oMathParaPr>
                <m:jc m:val="left"/>
              </m:oMathParaPr>
              <m:oMath>
                <m:sSub>
                  <m:sSubPr>
                    <m:ctrlPr>
                      <w:rPr>
                        <w:rFonts w:ascii="Cambria Math" w:hAnsi="Cambria Math"/>
                        <w:i/>
                      </w:rPr>
                    </m:ctrlPr>
                  </m:sSubPr>
                  <m:e>
                    <m:r>
                      <w:rPr>
                        <w:rFonts w:ascii="Cambria Math" w:hAnsi="Cambria Math"/>
                      </w:rPr>
                      <m:t>f</m:t>
                    </m:r>
                  </m:e>
                  <m:sub>
                    <m:r>
                      <m:rPr>
                        <m:sty m:val="p"/>
                      </m:rPr>
                      <w:rPr>
                        <w:rFonts w:ascii="Cambria Math" w:hAnsi="Cambria Math"/>
                      </w:rPr>
                      <m:t>yfd</m:t>
                    </m:r>
                  </m:sub>
                </m:sSub>
              </m:oMath>
            </m:oMathPara>
          </w:p>
        </w:tc>
        <w:tc>
          <w:tcPr>
            <w:tcW w:w="7938" w:type="dxa"/>
          </w:tcPr>
          <w:p w14:paraId="301AAF20" w14:textId="1B049E9D" w:rsidR="006A11A7" w:rsidRPr="00F41E63" w:rsidRDefault="006A11A7" w:rsidP="002061E5">
            <w:pPr>
              <w:spacing w:after="60"/>
            </w:pPr>
            <w:r w:rsidRPr="00132C1E">
              <w:t>is the design yield strength of the beam flanges;</w:t>
            </w:r>
          </w:p>
        </w:tc>
      </w:tr>
      <w:tr w:rsidR="006A11A7" w:rsidRPr="00F41E63" w14:paraId="550B5E32" w14:textId="77777777" w:rsidTr="00F81F1B">
        <w:tc>
          <w:tcPr>
            <w:tcW w:w="1275" w:type="dxa"/>
          </w:tcPr>
          <w:p w14:paraId="44422036" w14:textId="28581355" w:rsidR="006A11A7" w:rsidRPr="006A11A7" w:rsidRDefault="009B5CEC" w:rsidP="002061E5">
            <w:pPr>
              <w:spacing w:after="60"/>
              <w:rPr>
                <w:rFonts w:ascii="Cambria Math" w:hAnsi="Cambria Math"/>
                <w:oMath/>
              </w:rPr>
            </w:pPr>
            <m:oMathPara>
              <m:oMathParaPr>
                <m:jc m:val="left"/>
              </m:oMathParaPr>
              <m:oMath>
                <m:sSub>
                  <m:sSubPr>
                    <m:ctrlPr>
                      <w:rPr>
                        <w:rFonts w:ascii="Cambria Math" w:hAnsi="Cambria Math"/>
                        <w:i/>
                      </w:rPr>
                    </m:ctrlPr>
                  </m:sSubPr>
                  <m:e>
                    <m:r>
                      <w:rPr>
                        <w:rFonts w:ascii="Cambria Math" w:hAnsi="Cambria Math"/>
                      </w:rPr>
                      <m:t>t</m:t>
                    </m:r>
                  </m:e>
                  <m:sub>
                    <m:r>
                      <m:rPr>
                        <m:sty m:val="p"/>
                      </m:rPr>
                      <w:rPr>
                        <w:rFonts w:ascii="Cambria Math" w:hAnsi="Cambria Math"/>
                      </w:rPr>
                      <m:t>sp</m:t>
                    </m:r>
                  </m:sub>
                </m:sSub>
              </m:oMath>
            </m:oMathPara>
          </w:p>
        </w:tc>
        <w:tc>
          <w:tcPr>
            <w:tcW w:w="7938" w:type="dxa"/>
          </w:tcPr>
          <w:p w14:paraId="37DA841F" w14:textId="1276B9BA" w:rsidR="006A11A7" w:rsidRPr="00F41E63" w:rsidRDefault="006A11A7" w:rsidP="002061E5">
            <w:pPr>
              <w:spacing w:after="60"/>
            </w:pPr>
            <w:r w:rsidRPr="00132C1E">
              <w:t>is the thickness of the steel web panel.</w:t>
            </w:r>
          </w:p>
        </w:tc>
      </w:tr>
    </w:tbl>
    <w:p w14:paraId="0E6EC7A7" w14:textId="60F33AD3" w:rsidR="006A11A7" w:rsidRPr="00196951" w:rsidRDefault="006A11A7" w:rsidP="00724E4E">
      <w:pPr>
        <w:pStyle w:val="Clause"/>
      </w:pPr>
      <w:r w:rsidRPr="00D1484A">
        <w:t>Additional vertical stiffeners or horizontal bearing plates welded to the flanges may be used to reinforce the beam flan</w:t>
      </w:r>
      <w:r w:rsidRPr="007E6F67">
        <w:t>ges to increase its transverse bending resistance if</w:t>
      </w:r>
      <w:r w:rsidRPr="00FD17CF">
        <w:t xml:space="preserve"> the </w:t>
      </w:r>
      <w:r w:rsidRPr="006A11A7">
        <w:t xml:space="preserve">condition in Formula (G.18) </w:t>
      </w:r>
      <w:r w:rsidRPr="00E05E29">
        <w:t>is not satisfied.</w:t>
      </w:r>
    </w:p>
    <w:p w14:paraId="4AEE0452" w14:textId="77777777" w:rsidR="006A11A7" w:rsidRPr="002144A0" w:rsidRDefault="006A11A7" w:rsidP="006A11A7">
      <w:pPr>
        <w:pStyle w:val="a3"/>
      </w:pPr>
      <w:bookmarkStart w:id="11483" w:name="_Toc50150782"/>
      <w:bookmarkStart w:id="11484" w:name="_Toc70887215"/>
      <w:bookmarkStart w:id="11485" w:name="_Toc108342813"/>
      <w:bookmarkStart w:id="11486" w:name="_Toc120543899"/>
      <w:bookmarkStart w:id="11487" w:name="_Toc134198320"/>
      <w:r w:rsidRPr="002144A0">
        <w:t>Extended face bearing plates and steel columns</w:t>
      </w:r>
      <w:bookmarkEnd w:id="11483"/>
      <w:bookmarkEnd w:id="11484"/>
      <w:bookmarkEnd w:id="11485"/>
      <w:bookmarkEnd w:id="11486"/>
      <w:bookmarkEnd w:id="11487"/>
    </w:p>
    <w:p w14:paraId="28288F8A" w14:textId="4ACDEFA6" w:rsidR="006A11A7" w:rsidRPr="00E257DD" w:rsidRDefault="006A11A7" w:rsidP="0080187E">
      <w:pPr>
        <w:pStyle w:val="Clause"/>
        <w:numPr>
          <w:ilvl w:val="0"/>
          <w:numId w:val="604"/>
        </w:numPr>
      </w:pPr>
      <w:r w:rsidRPr="00E257DD">
        <w:t>Extended face bearing plates and/or steel columns may be used and should be designed to resist a force equal to the joint shear carried by the outer compressive field.</w:t>
      </w:r>
    </w:p>
    <w:p w14:paraId="37175B21" w14:textId="596FA21F" w:rsidR="006A11A7" w:rsidRPr="00D1484A" w:rsidRDefault="006A11A7" w:rsidP="00724E4E">
      <w:pPr>
        <w:pStyle w:val="Clause"/>
      </w:pPr>
      <w:r w:rsidRPr="00C52095">
        <w:t xml:space="preserve">The average concrete bearing strength against extended face bearing plates and/or columns should not be greater than </w:t>
      </w:r>
      <m:oMath>
        <m:r>
          <w:rPr>
            <w:rFonts w:ascii="Cambria Math" w:hAnsi="Cambria Math"/>
          </w:rPr>
          <m:t>2</m:t>
        </m:r>
        <m:sSub>
          <m:sSubPr>
            <m:ctrlPr>
              <w:rPr>
                <w:rFonts w:ascii="Cambria Math" w:hAnsi="Cambria Math"/>
                <w:i/>
              </w:rPr>
            </m:ctrlPr>
          </m:sSubPr>
          <m:e>
            <m:r>
              <w:rPr>
                <w:rFonts w:ascii="Cambria Math" w:hAnsi="Cambria Math"/>
              </w:rPr>
              <m:t>f</m:t>
            </m:r>
          </m:e>
          <m:sub>
            <m:r>
              <m:rPr>
                <m:sty m:val="p"/>
              </m:rPr>
              <w:rPr>
                <w:rFonts w:ascii="Cambria Math" w:hAnsi="Cambria Math"/>
              </w:rPr>
              <m:t>cd</m:t>
            </m:r>
          </m:sub>
        </m:sSub>
      </m:oMath>
      <w:r w:rsidRPr="00132C1E">
        <w:t xml:space="preserve"> and should act over a height above the beam flange not greate</w:t>
      </w:r>
      <w:r w:rsidRPr="00D1484A">
        <w:t xml:space="preserve">r than </w:t>
      </w:r>
      <m:oMath>
        <m:sSub>
          <m:sSubPr>
            <m:ctrlPr>
              <w:rPr>
                <w:rFonts w:ascii="Cambria Math" w:hAnsi="Cambria Math"/>
                <w:i/>
              </w:rPr>
            </m:ctrlPr>
          </m:sSubPr>
          <m:e>
            <m:r>
              <w:rPr>
                <w:rFonts w:ascii="Cambria Math" w:hAnsi="Cambria Math"/>
              </w:rPr>
              <m:t>d</m:t>
            </m:r>
          </m:e>
          <m:sub>
            <m:r>
              <m:rPr>
                <m:sty m:val="p"/>
              </m:rPr>
              <w:rPr>
                <w:rFonts w:ascii="Cambria Math" w:hAnsi="Cambria Math"/>
              </w:rPr>
              <m:t>o</m:t>
            </m:r>
          </m:sub>
        </m:sSub>
      </m:oMath>
      <w:r w:rsidRPr="00132C1E">
        <w:t>.</w:t>
      </w:r>
    </w:p>
    <w:p w14:paraId="160FCB18" w14:textId="2AAB71E7" w:rsidR="006A11A7" w:rsidRDefault="006A11A7" w:rsidP="00724E4E">
      <w:pPr>
        <w:pStyle w:val="Clause"/>
      </w:pPr>
      <w:r w:rsidRPr="00D1484A">
        <w:t>The extended face bearing plates or the steel column flanges may be assumed capable of resisting transverse bending if their thicknesses,</w:t>
      </w:r>
      <w:r w:rsidRPr="007E6F67">
        <w:t xml:space="preserve"> </w:t>
      </w:r>
      <w:r w:rsidRPr="00FD17CF">
        <w:rPr>
          <w:i/>
          <w:iCs/>
        </w:rPr>
        <w:t>t</w:t>
      </w:r>
      <w:r w:rsidRPr="00FD17CF">
        <w:rPr>
          <w:vertAlign w:val="subscript"/>
        </w:rPr>
        <w:t>f</w:t>
      </w:r>
      <w:r w:rsidRPr="00FD17CF">
        <w:t>,</w:t>
      </w:r>
      <w:r w:rsidRPr="00E05E29">
        <w:t xml:space="preserve"> </w:t>
      </w:r>
      <w:r w:rsidRPr="006A11A7">
        <w:t>satisfies Formula (G.19):</w:t>
      </w:r>
    </w:p>
    <w:p w14:paraId="4203FA13" w14:textId="0E19BF01" w:rsidR="006A11A7" w:rsidRDefault="009B5CEC" w:rsidP="006A11A7">
      <w:pPr>
        <w:pStyle w:val="Formula"/>
        <w:spacing w:before="240"/>
      </w:pPr>
      <m:oMath>
        <m:sSub>
          <m:sSubPr>
            <m:ctrlPr>
              <w:rPr>
                <w:rFonts w:ascii="Cambria Math" w:hAnsi="Cambria Math"/>
              </w:rPr>
            </m:ctrlPr>
          </m:sSubPr>
          <m:e>
            <m:r>
              <w:rPr>
                <w:rFonts w:ascii="Cambria Math" w:hAnsi="Cambria Math"/>
              </w:rPr>
              <m:t>t</m:t>
            </m:r>
          </m:e>
          <m:sub>
            <m:r>
              <m:rPr>
                <m:sty m:val="p"/>
              </m:rPr>
              <w:rPr>
                <w:rFonts w:ascii="Cambria Math" w:hAnsi="Cambria Math"/>
              </w:rPr>
              <m:t>f</m:t>
            </m:r>
          </m:sub>
        </m:sSub>
        <m:r>
          <w:rPr>
            <w:rFonts w:ascii="Cambria Math" w:hAnsi="Cambria Math"/>
          </w:rPr>
          <m:t>≥</m:t>
        </m:r>
        <m:func>
          <m:funcPr>
            <m:ctrlPr>
              <w:rPr>
                <w:rFonts w:ascii="Cambria Math" w:hAnsi="Cambria Math"/>
              </w:rPr>
            </m:ctrlPr>
          </m:funcPr>
          <m:fName>
            <m:r>
              <m:rPr>
                <m:sty m:val="p"/>
              </m:rPr>
              <w:rPr>
                <w:rFonts w:ascii="Cambria Math" w:hAnsi="Cambria Math"/>
              </w:rPr>
              <m:t>max</m:t>
            </m:r>
          </m:fName>
          <m:e>
            <m:d>
              <m:dPr>
                <m:begChr m:val="{"/>
                <m:endChr m:val="}"/>
                <m:ctrlPr>
                  <w:rPr>
                    <w:rFonts w:ascii="Cambria Math" w:hAnsi="Cambria Math"/>
                  </w:rPr>
                </m:ctrlPr>
              </m:dPr>
              <m:e>
                <m:sSub>
                  <m:sSubPr>
                    <m:ctrlPr>
                      <w:rPr>
                        <w:rFonts w:ascii="Cambria Math" w:hAnsi="Cambria Math"/>
                      </w:rPr>
                    </m:ctrlPr>
                  </m:sSubPr>
                  <m:e>
                    <m:r>
                      <w:rPr>
                        <w:rFonts w:ascii="Cambria Math" w:hAnsi="Cambria Math"/>
                      </w:rPr>
                      <m:t>t</m:t>
                    </m:r>
                  </m:e>
                  <m:sub>
                    <m:r>
                      <m:rPr>
                        <m:sty m:val="p"/>
                      </m:rPr>
                      <w:rPr>
                        <w:rFonts w:ascii="Cambria Math" w:hAnsi="Cambria Math"/>
                      </w:rPr>
                      <m:t>f</m:t>
                    </m:r>
                  </m:sub>
                </m:sSub>
                <m:r>
                  <w:rPr>
                    <w:rFonts w:ascii="Cambria Math" w:hAnsi="Cambria Math"/>
                  </w:rPr>
                  <m:t>,0,12</m:t>
                </m:r>
                <m:rad>
                  <m:radPr>
                    <m:degHide m:val="1"/>
                    <m:ctrlPr>
                      <w:rPr>
                        <w:rFonts w:ascii="Cambria Math" w:hAnsi="Cambria Math"/>
                      </w:rPr>
                    </m:ctrlPr>
                  </m:radPr>
                  <m:deg/>
                  <m:e>
                    <m:f>
                      <m:fPr>
                        <m:ctrlPr>
                          <w:rPr>
                            <w:rFonts w:ascii="Cambria Math" w:hAnsi="Cambria Math"/>
                          </w:rPr>
                        </m:ctrlPr>
                      </m:fPr>
                      <m:num>
                        <m:sSub>
                          <m:sSubPr>
                            <m:ctrlPr>
                              <w:rPr>
                                <w:rFonts w:ascii="Cambria Math" w:hAnsi="Cambria Math"/>
                              </w:rPr>
                            </m:ctrlPr>
                          </m:sSubPr>
                          <m:e>
                            <m:r>
                              <w:rPr>
                                <w:rFonts w:ascii="Cambria Math" w:hAnsi="Cambria Math"/>
                              </w:rPr>
                              <m:t>V</m:t>
                            </m:r>
                          </m:e>
                          <m:sub>
                            <m:r>
                              <m:rPr>
                                <m:sty m:val="p"/>
                              </m:rPr>
                              <w:rPr>
                                <w:rFonts w:ascii="Cambria Math" w:hAnsi="Cambria Math"/>
                              </w:rPr>
                              <m:t>cf</m:t>
                            </m:r>
                          </m:sub>
                        </m:sSub>
                        <m:sSubSup>
                          <m:sSubSupPr>
                            <m:ctrlPr>
                              <w:rPr>
                                <w:rFonts w:ascii="Cambria Math" w:hAnsi="Cambria Math"/>
                              </w:rPr>
                            </m:ctrlPr>
                          </m:sSubSupPr>
                          <m:e>
                            <m:r>
                              <w:rPr>
                                <w:rFonts w:ascii="Cambria Math" w:hAnsi="Cambria Math"/>
                              </w:rPr>
                              <m:t xml:space="preserve"> b</m:t>
                            </m:r>
                          </m:e>
                          <m:sub>
                            <m:r>
                              <m:rPr>
                                <m:sty m:val="p"/>
                              </m:rPr>
                              <w:rPr>
                                <w:rFonts w:ascii="Cambria Math" w:hAnsi="Cambria Math"/>
                              </w:rPr>
                              <m:t>p</m:t>
                            </m:r>
                          </m:sub>
                          <m:sup>
                            <m:r>
                              <w:rPr>
                                <w:rFonts w:ascii="Cambria Math" w:hAnsi="Cambria Math"/>
                              </w:rPr>
                              <m:t>'</m:t>
                            </m:r>
                          </m:sup>
                        </m:sSubSup>
                      </m:num>
                      <m:den>
                        <m:sSub>
                          <m:sSubPr>
                            <m:ctrlPr>
                              <w:rPr>
                                <w:rFonts w:ascii="Cambria Math" w:hAnsi="Cambria Math"/>
                              </w:rPr>
                            </m:ctrlPr>
                          </m:sSubPr>
                          <m:e>
                            <m:r>
                              <w:rPr>
                                <w:rFonts w:ascii="Cambria Math" w:hAnsi="Cambria Math"/>
                              </w:rPr>
                              <m:t>d</m:t>
                            </m:r>
                          </m:e>
                          <m:sub>
                            <m:r>
                              <m:rPr>
                                <m:sty m:val="p"/>
                              </m:rPr>
                              <w:rPr>
                                <w:rFonts w:ascii="Cambria Math" w:hAnsi="Cambria Math"/>
                              </w:rPr>
                              <m:t>o</m:t>
                            </m:r>
                          </m:sub>
                        </m:sSub>
                        <m:sSub>
                          <m:sSubPr>
                            <m:ctrlPr>
                              <w:rPr>
                                <w:rFonts w:ascii="Cambria Math" w:hAnsi="Cambria Math"/>
                              </w:rPr>
                            </m:ctrlPr>
                          </m:sSubPr>
                          <m:e>
                            <m:r>
                              <w:rPr>
                                <w:rFonts w:ascii="Cambria Math" w:hAnsi="Cambria Math"/>
                              </w:rPr>
                              <m:t>f</m:t>
                            </m:r>
                          </m:e>
                          <m:sub>
                            <m:r>
                              <m:rPr>
                                <m:sty m:val="p"/>
                              </m:rPr>
                              <w:rPr>
                                <w:rFonts w:ascii="Cambria Math" w:hAnsi="Cambria Math"/>
                              </w:rPr>
                              <m:t>yd</m:t>
                            </m:r>
                          </m:sub>
                        </m:sSub>
                      </m:den>
                    </m:f>
                  </m:e>
                </m:rad>
              </m:e>
            </m:d>
          </m:e>
        </m:func>
      </m:oMath>
      <w:r w:rsidR="006A11A7" w:rsidRPr="00922D9B">
        <w:tab/>
        <w:t>(G.</w:t>
      </w:r>
      <w:r w:rsidR="006A11A7">
        <w:t>19</w:t>
      </w:r>
      <w:r w:rsidR="006A11A7" w:rsidRPr="00922D9B">
        <w:t>)</w:t>
      </w:r>
    </w:p>
    <w:p w14:paraId="2D9D7E13" w14:textId="0E923664" w:rsidR="006A11A7" w:rsidRPr="00D1484A" w:rsidRDefault="00675EBA" w:rsidP="00773115">
      <w:pPr>
        <w:pStyle w:val="Text"/>
      </w:pPr>
      <w:r>
        <w:t>where</w:t>
      </w:r>
    </w:p>
    <w:tbl>
      <w:tblPr>
        <w:tblW w:w="0" w:type="auto"/>
        <w:tblInd w:w="346" w:type="dxa"/>
        <w:tblLook w:val="04A0" w:firstRow="1" w:lastRow="0" w:firstColumn="1" w:lastColumn="0" w:noHBand="0" w:noVBand="1"/>
      </w:tblPr>
      <w:tblGrid>
        <w:gridCol w:w="1275"/>
        <w:gridCol w:w="7938"/>
      </w:tblGrid>
      <w:tr w:rsidR="006A11A7" w:rsidRPr="00870D59" w14:paraId="75076143" w14:textId="77777777" w:rsidTr="00F81F1B">
        <w:tc>
          <w:tcPr>
            <w:tcW w:w="1275" w:type="dxa"/>
          </w:tcPr>
          <w:p w14:paraId="0DFA6A35" w14:textId="047830D7" w:rsidR="006A11A7" w:rsidRPr="00460668" w:rsidRDefault="009B5CEC" w:rsidP="002061E5">
            <w:pPr>
              <w:spacing w:after="60"/>
              <w:rPr>
                <w:rFonts w:eastAsia="Times New Roman" w:cs="Cambria"/>
                <w:szCs w:val="20"/>
                <w:lang w:eastAsia="fr-FR"/>
              </w:rPr>
            </w:pPr>
            <m:oMathPara>
              <m:oMathParaPr>
                <m:jc m:val="left"/>
              </m:oMathParaPr>
              <m:oMath>
                <m:sSub>
                  <m:sSubPr>
                    <m:ctrlPr>
                      <w:rPr>
                        <w:rFonts w:ascii="Cambria Math" w:hAnsi="Cambria Math"/>
                        <w:i/>
                      </w:rPr>
                    </m:ctrlPr>
                  </m:sSubPr>
                  <m:e>
                    <m:r>
                      <w:rPr>
                        <w:rFonts w:ascii="Cambria Math" w:hAnsi="Cambria Math"/>
                      </w:rPr>
                      <m:t>f</m:t>
                    </m:r>
                  </m:e>
                  <m:sub>
                    <m:r>
                      <m:rPr>
                        <m:sty m:val="p"/>
                      </m:rPr>
                      <w:rPr>
                        <w:rFonts w:ascii="Cambria Math" w:hAnsi="Cambria Math"/>
                      </w:rPr>
                      <m:t>yd</m:t>
                    </m:r>
                  </m:sub>
                </m:sSub>
              </m:oMath>
            </m:oMathPara>
          </w:p>
        </w:tc>
        <w:tc>
          <w:tcPr>
            <w:tcW w:w="7938" w:type="dxa"/>
          </w:tcPr>
          <w:p w14:paraId="5AC93BC8" w14:textId="46102C0B" w:rsidR="006A11A7" w:rsidRPr="00F41E63" w:rsidRDefault="006A11A7" w:rsidP="002061E5">
            <w:pPr>
              <w:pStyle w:val="Listofsymbols"/>
              <w:rPr>
                <w:szCs w:val="22"/>
              </w:rPr>
            </w:pPr>
            <w:r w:rsidRPr="00132C1E">
              <w:t xml:space="preserve">is the design </w:t>
            </w:r>
            <w:r w:rsidRPr="00D1484A">
              <w:t>yield strength of the face bearing plate;</w:t>
            </w:r>
          </w:p>
        </w:tc>
      </w:tr>
      <w:tr w:rsidR="006A11A7" w:rsidRPr="00870D59" w14:paraId="309450CC" w14:textId="77777777" w:rsidTr="00F81F1B">
        <w:tc>
          <w:tcPr>
            <w:tcW w:w="1275" w:type="dxa"/>
          </w:tcPr>
          <w:p w14:paraId="372B3FFA" w14:textId="175424A1" w:rsidR="006A11A7" w:rsidRPr="00F41E63" w:rsidRDefault="009B5CEC" w:rsidP="002061E5">
            <w:pPr>
              <w:spacing w:after="60"/>
              <w:rPr>
                <w:lang w:eastAsia="de-DE"/>
              </w:rPr>
            </w:pPr>
            <m:oMathPara>
              <m:oMathParaPr>
                <m:jc m:val="left"/>
              </m:oMathParaPr>
              <m:oMath>
                <m:sSubSup>
                  <m:sSubSupPr>
                    <m:ctrlPr>
                      <w:rPr>
                        <w:rFonts w:ascii="Cambria Math" w:eastAsia="Cambria" w:hAnsi="Cambria Math"/>
                        <w:i/>
                        <w:sz w:val="20"/>
                        <w:lang w:eastAsia="de-DE"/>
                      </w:rPr>
                    </m:ctrlPr>
                  </m:sSubSupPr>
                  <m:e>
                    <m:r>
                      <w:rPr>
                        <w:rFonts w:ascii="Cambria Math" w:hAnsi="Cambria Math"/>
                      </w:rPr>
                      <m:t>b</m:t>
                    </m:r>
                    <m:ctrlPr>
                      <w:rPr>
                        <w:rFonts w:ascii="Cambria Math" w:hAnsi="Cambria Math"/>
                        <w:i/>
                      </w:rPr>
                    </m:ctrlPr>
                  </m:e>
                  <m:sub>
                    <m:r>
                      <m:rPr>
                        <m:sty m:val="p"/>
                      </m:rPr>
                      <w:rPr>
                        <w:rFonts w:ascii="Cambria Math" w:hAnsi="Cambria Math"/>
                      </w:rPr>
                      <m:t>p</m:t>
                    </m:r>
                    <m:ctrlPr>
                      <w:rPr>
                        <w:rFonts w:ascii="Cambria Math" w:hAnsi="Cambria Math"/>
                        <w:i/>
                      </w:rPr>
                    </m:ctrlPr>
                  </m:sub>
                  <m:sup>
                    <m:r>
                      <w:rPr>
                        <w:rFonts w:ascii="Cambria Math" w:hAnsi="Cambria Math"/>
                      </w:rPr>
                      <m:t>'</m:t>
                    </m:r>
                  </m:sup>
                </m:sSubSup>
              </m:oMath>
            </m:oMathPara>
          </w:p>
        </w:tc>
        <w:tc>
          <w:tcPr>
            <w:tcW w:w="7938" w:type="dxa"/>
          </w:tcPr>
          <w:p w14:paraId="11421E62" w14:textId="11019896" w:rsidR="006A11A7" w:rsidRPr="00F41E63" w:rsidRDefault="006A11A7" w:rsidP="002061E5">
            <w:pPr>
              <w:spacing w:after="60"/>
            </w:pPr>
            <w:r w:rsidRPr="00132C1E">
              <w:t>is the flange width of the extended face bearing plate or the steel column;</w:t>
            </w:r>
          </w:p>
        </w:tc>
      </w:tr>
      <w:tr w:rsidR="006A11A7" w:rsidRPr="00F41E63" w14:paraId="215A8DE1" w14:textId="77777777" w:rsidTr="00F81F1B">
        <w:tc>
          <w:tcPr>
            <w:tcW w:w="1275" w:type="dxa"/>
          </w:tcPr>
          <w:p w14:paraId="44EC689E" w14:textId="701D666F" w:rsidR="006A11A7" w:rsidRPr="006A11A7" w:rsidRDefault="009B5CEC" w:rsidP="002061E5">
            <w:pPr>
              <w:spacing w:after="60"/>
              <w:rPr>
                <w:rFonts w:ascii="Cambria Math" w:hAnsi="Cambria Math"/>
                <w:oMath/>
              </w:rPr>
            </w:pPr>
            <m:oMathPara>
              <m:oMathParaPr>
                <m:jc m:val="left"/>
              </m:oMathParaPr>
              <m:oMath>
                <m:sSub>
                  <m:sSubPr>
                    <m:ctrlPr>
                      <w:rPr>
                        <w:rFonts w:ascii="Cambria Math" w:hAnsi="Cambria Math"/>
                        <w:i/>
                      </w:rPr>
                    </m:ctrlPr>
                  </m:sSubPr>
                  <m:e>
                    <m:r>
                      <w:rPr>
                        <w:rFonts w:ascii="Cambria Math" w:hAnsi="Cambria Math"/>
                      </w:rPr>
                      <m:t>t</m:t>
                    </m:r>
                  </m:e>
                  <m:sub>
                    <m:r>
                      <m:rPr>
                        <m:sty m:val="p"/>
                      </m:rPr>
                      <w:rPr>
                        <w:rFonts w:ascii="Cambria Math" w:hAnsi="Cambria Math"/>
                      </w:rPr>
                      <m:t>f</m:t>
                    </m:r>
                  </m:sub>
                </m:sSub>
              </m:oMath>
            </m:oMathPara>
          </w:p>
        </w:tc>
        <w:tc>
          <w:tcPr>
            <w:tcW w:w="7938" w:type="dxa"/>
          </w:tcPr>
          <w:p w14:paraId="3C764C51" w14:textId="4BF889EC" w:rsidR="006A11A7" w:rsidRPr="00F41E63" w:rsidRDefault="006A11A7" w:rsidP="002061E5">
            <w:pPr>
              <w:spacing w:after="60"/>
            </w:pPr>
            <w:r w:rsidRPr="00132C1E">
              <w:t>is the flange thickness of the steel beam.</w:t>
            </w:r>
          </w:p>
        </w:tc>
      </w:tr>
    </w:tbl>
    <w:p w14:paraId="7219C5F4" w14:textId="77777777" w:rsidR="006A11A7" w:rsidRPr="00B27CD3" w:rsidRDefault="006A11A7" w:rsidP="006A11A7">
      <w:pPr>
        <w:pStyle w:val="a2"/>
      </w:pPr>
      <w:bookmarkStart w:id="11488" w:name="_Toc50150783"/>
      <w:bookmarkStart w:id="11489" w:name="_Toc70887216"/>
      <w:bookmarkStart w:id="11490" w:name="_Toc108342814"/>
      <w:bookmarkStart w:id="11491" w:name="_Toc134198321"/>
      <w:r w:rsidRPr="00B27CD3">
        <w:t>Composite joints using diaphragm plates</w:t>
      </w:r>
      <w:bookmarkEnd w:id="11488"/>
      <w:bookmarkEnd w:id="11489"/>
      <w:bookmarkEnd w:id="11490"/>
      <w:bookmarkEnd w:id="11491"/>
    </w:p>
    <w:p w14:paraId="61CC1A20" w14:textId="77777777" w:rsidR="006A11A7" w:rsidRPr="00FD17CF" w:rsidRDefault="006A11A7" w:rsidP="006A11A7">
      <w:pPr>
        <w:pStyle w:val="a3"/>
      </w:pPr>
      <w:bookmarkStart w:id="11492" w:name="_Toc108342815"/>
      <w:bookmarkStart w:id="11493" w:name="_Toc120543901"/>
      <w:bookmarkStart w:id="11494" w:name="_Toc134198322"/>
      <w:r w:rsidRPr="00FD17CF">
        <w:t>General</w:t>
      </w:r>
      <w:bookmarkEnd w:id="11492"/>
      <w:bookmarkEnd w:id="11493"/>
      <w:bookmarkEnd w:id="11494"/>
    </w:p>
    <w:p w14:paraId="6E131A75" w14:textId="295FE49F" w:rsidR="006A11A7" w:rsidRDefault="006A11A7" w:rsidP="0080187E">
      <w:pPr>
        <w:pStyle w:val="Clause"/>
        <w:numPr>
          <w:ilvl w:val="0"/>
          <w:numId w:val="605"/>
        </w:numPr>
      </w:pPr>
      <w:r w:rsidRPr="00E257DD">
        <w:t xml:space="preserve">Composite joints using diaphragm plates in composite moment resisting frames designed to DC2 and DC3 should be designed according </w:t>
      </w:r>
      <w:r w:rsidRPr="006A11A7">
        <w:t xml:space="preserve">to </w:t>
      </w:r>
      <w:r w:rsidRPr="00835C82">
        <w:t>G.6</w:t>
      </w:r>
      <w:r w:rsidRPr="006A11A7">
        <w:t>.</w:t>
      </w:r>
    </w:p>
    <w:p w14:paraId="6DEAFCBA" w14:textId="5D233B8D" w:rsidR="006A11A7" w:rsidRPr="006A11A7" w:rsidRDefault="006A11A7" w:rsidP="006A11A7">
      <w:pPr>
        <w:pStyle w:val="Notetext"/>
      </w:pPr>
      <w:r w:rsidRPr="006A11A7">
        <w:t>NOTE</w:t>
      </w:r>
      <w:r w:rsidRPr="006A11A7">
        <w:tab/>
        <w:t>Figure G.7 shows the main components of a composite joint with a diaphragm plate.</w:t>
      </w:r>
    </w:p>
    <w:p w14:paraId="6AEE6015" w14:textId="76663A58" w:rsidR="006A11A7" w:rsidRDefault="006A11A7" w:rsidP="00724E4E">
      <w:pPr>
        <w:pStyle w:val="Clause"/>
      </w:pPr>
      <w:r w:rsidRPr="00D91BC9">
        <w:t>Composite joints using diaphragm plates should be designed as full strength, with all plastic deformations local</w:t>
      </w:r>
      <w:r w:rsidR="00E10A24">
        <w:t>ize</w:t>
      </w:r>
      <w:r w:rsidRPr="00D91BC9">
        <w:t>d in the composite or steel beam.</w:t>
      </w:r>
    </w:p>
    <w:p w14:paraId="55E8F0DA" w14:textId="4A0E01C9" w:rsidR="006A11A7" w:rsidRDefault="006A11A7" w:rsidP="00724E4E">
      <w:pPr>
        <w:pStyle w:val="Clause"/>
      </w:pPr>
      <w:r w:rsidRPr="00D91BC9">
        <w:t>One of three types of diaphragm plates should be used: internal (see Figure G.7a), external (see Figure G.7b) or through diaphragm (see Figure G.7c).</w:t>
      </w:r>
    </w:p>
    <w:p w14:paraId="646CB256" w14:textId="16675124" w:rsidR="006A11A7" w:rsidRDefault="006A11A7" w:rsidP="00724E4E">
      <w:pPr>
        <w:pStyle w:val="Clause"/>
      </w:pPr>
      <w:r w:rsidRPr="00D91BC9">
        <w:t>The diaphragm plates should be welded around the full perimeter of the column cross-section using either fillet welds or full penetration groove welds. In DC3, full penetration groove welds should be used.</w:t>
      </w:r>
    </w:p>
    <w:p w14:paraId="39027099" w14:textId="693E6CD0" w:rsidR="006A11A7" w:rsidRDefault="006A11A7" w:rsidP="00724E4E">
      <w:pPr>
        <w:pStyle w:val="Clause"/>
      </w:pPr>
      <w:r w:rsidRPr="00D91BC9">
        <w:t>The thickness of the diaphragm steel plates should be equal to the beam flange thickness and should be made of the same steel grade as that of the steel beam.</w:t>
      </w:r>
    </w:p>
    <w:p w14:paraId="2DA671E1" w14:textId="1AE16465" w:rsidR="006A11A7" w:rsidRDefault="006A11A7" w:rsidP="00724E4E">
      <w:pPr>
        <w:pStyle w:val="Clause"/>
      </w:pPr>
      <w:r w:rsidRPr="00D91BC9">
        <w:t>For connections with internal diaphragm plates, the beam flanges should be directly welded to the steel tube walls. A shear tab steel plate should be used to attach the steel beam web to the steel tub through structural bolts.</w:t>
      </w:r>
    </w:p>
    <w:p w14:paraId="656B8579" w14:textId="53D541B2" w:rsidR="006A11A7" w:rsidRDefault="006A11A7" w:rsidP="00724E4E">
      <w:pPr>
        <w:pStyle w:val="Clause"/>
      </w:pPr>
      <w:r w:rsidRPr="00D91BC9">
        <w:t>For connections with external (see Figure G.7b) or through diaphragm plates (see Figure G.7c), the beam flanges should be directly welded to the diaphragm plates with full penetration groove welds. A shear tab plate should be used to attach the steel beam web to the steel tab through structural bolts.</w:t>
      </w:r>
    </w:p>
    <w:p w14:paraId="68EC70C2" w14:textId="37461CAF" w:rsidR="006A11A7" w:rsidRPr="00E229E6" w:rsidRDefault="006A11A7" w:rsidP="00724E4E">
      <w:pPr>
        <w:pStyle w:val="Clause"/>
      </w:pPr>
      <w:r w:rsidRPr="00E229E6">
        <w:t>Internal or through diaphragm plates should have 25 mm holes for concrete pouring.</w:t>
      </w:r>
    </w:p>
    <w:p w14:paraId="51AEC1B4" w14:textId="77777777" w:rsidR="006A11A7" w:rsidRPr="00132C1E" w:rsidRDefault="006A11A7" w:rsidP="006A11A7">
      <w:pPr>
        <w:pStyle w:val="a3"/>
      </w:pPr>
      <w:bookmarkStart w:id="11495" w:name="_Toc108342816"/>
      <w:bookmarkStart w:id="11496" w:name="_Toc120543902"/>
      <w:bookmarkStart w:id="11497" w:name="_Toc134198323"/>
      <w:r w:rsidRPr="00132C1E">
        <w:t>Joint forces</w:t>
      </w:r>
      <w:bookmarkEnd w:id="11495"/>
      <w:bookmarkEnd w:id="11496"/>
      <w:bookmarkEnd w:id="11497"/>
    </w:p>
    <w:p w14:paraId="384A0091" w14:textId="3F702ADB" w:rsidR="006A11A7" w:rsidRPr="00E257DD" w:rsidRDefault="006A11A7" w:rsidP="0080187E">
      <w:pPr>
        <w:pStyle w:val="Clause"/>
        <w:numPr>
          <w:ilvl w:val="0"/>
          <w:numId w:val="606"/>
        </w:numPr>
      </w:pPr>
      <w:r w:rsidRPr="00E257DD">
        <w:t>A full-strength composite joint with diaphragm plates should be designed for the plastic flexural resistance of the composite or steel beam at the face of the column.</w:t>
      </w:r>
    </w:p>
    <w:p w14:paraId="0A047CEA" w14:textId="77777777" w:rsidR="006A11A7" w:rsidRPr="00132C1E" w:rsidRDefault="006A11A7" w:rsidP="006A11A7">
      <w:pPr>
        <w:pStyle w:val="a3"/>
      </w:pPr>
      <w:bookmarkStart w:id="11498" w:name="_Toc108342817"/>
      <w:bookmarkStart w:id="11499" w:name="_Toc120543903"/>
      <w:bookmarkStart w:id="11500" w:name="_Toc134198324"/>
      <w:r w:rsidRPr="006A11A7">
        <w:t>Joint horizontal sh</w:t>
      </w:r>
      <w:r w:rsidRPr="00132C1E">
        <w:t>ear resistance</w:t>
      </w:r>
      <w:bookmarkEnd w:id="11498"/>
      <w:bookmarkEnd w:id="11499"/>
      <w:bookmarkEnd w:id="11500"/>
    </w:p>
    <w:p w14:paraId="6938E65C" w14:textId="57063D24" w:rsidR="006A11A7" w:rsidRDefault="006A11A7" w:rsidP="0080187E">
      <w:pPr>
        <w:pStyle w:val="Clause"/>
        <w:numPr>
          <w:ilvl w:val="0"/>
          <w:numId w:val="239"/>
        </w:numPr>
      </w:pPr>
      <w:r w:rsidRPr="00E257DD">
        <w:t xml:space="preserve">The design shear resistance of a joint should be calculated as the sum of the design shear resistance of the steel tube walls </w:t>
      </w:r>
      <m:oMath>
        <m:sSub>
          <m:sSubPr>
            <m:ctrlPr>
              <w:rPr>
                <w:rFonts w:ascii="Cambria Math" w:hAnsi="Cambria Math"/>
                <w:i/>
              </w:rPr>
            </m:ctrlPr>
          </m:sSubPr>
          <m:e>
            <m:r>
              <w:rPr>
                <w:rFonts w:ascii="Cambria Math" w:hAnsi="Cambria Math"/>
              </w:rPr>
              <m:t>V</m:t>
            </m:r>
          </m:e>
          <m:sub>
            <m:r>
              <m:rPr>
                <m:sty m:val="p"/>
              </m:rPr>
              <w:rPr>
                <w:rFonts w:ascii="Cambria Math" w:hAnsi="Cambria Math"/>
              </w:rPr>
              <m:t>sd</m:t>
            </m:r>
          </m:sub>
        </m:sSub>
      </m:oMath>
      <w:r w:rsidRPr="00E257DD">
        <w:t xml:space="preserve">, and the design shear resistance of the inner concrete compression strut, </w:t>
      </w:r>
      <m:oMath>
        <m:sSub>
          <m:sSubPr>
            <m:ctrlPr>
              <w:rPr>
                <w:rFonts w:ascii="Cambria Math" w:hAnsi="Cambria Math"/>
                <w:i/>
              </w:rPr>
            </m:ctrlPr>
          </m:sSubPr>
          <m:e>
            <m:r>
              <w:rPr>
                <w:rFonts w:ascii="Cambria Math" w:hAnsi="Cambria Math"/>
              </w:rPr>
              <m:t>V</m:t>
            </m:r>
          </m:e>
          <m:sub>
            <m:r>
              <m:rPr>
                <m:sty m:val="p"/>
              </m:rPr>
              <w:rPr>
                <w:rFonts w:ascii="Cambria Math" w:hAnsi="Cambria Math"/>
              </w:rPr>
              <m:t>csd</m:t>
            </m:r>
          </m:sub>
        </m:sSub>
      </m:oMath>
      <w:r w:rsidRPr="00E257DD">
        <w:t>, according to Formula (G.20).</w:t>
      </w:r>
    </w:p>
    <w:p w14:paraId="4A8B6468" w14:textId="77183A52" w:rsidR="006A11A7" w:rsidRDefault="009B5CEC" w:rsidP="006A11A7">
      <w:pPr>
        <w:pStyle w:val="Formula"/>
        <w:spacing w:before="240"/>
      </w:pPr>
      <m:oMath>
        <m:sSub>
          <m:sSubPr>
            <m:ctrlPr>
              <w:rPr>
                <w:rFonts w:ascii="Cambria Math" w:hAnsi="Cambria Math"/>
              </w:rPr>
            </m:ctrlPr>
          </m:sSubPr>
          <m:e>
            <m:r>
              <w:rPr>
                <w:rFonts w:ascii="Cambria Math" w:hAnsi="Cambria Math"/>
              </w:rPr>
              <m:t>V</m:t>
            </m:r>
          </m:e>
          <m:sub>
            <m:r>
              <m:rPr>
                <m:sty m:val="p"/>
              </m:rPr>
              <w:rPr>
                <w:rFonts w:ascii="Cambria Math" w:hAnsi="Cambria Math"/>
              </w:rPr>
              <m:t>d</m:t>
            </m:r>
          </m:sub>
        </m:sSub>
        <m:r>
          <w:rPr>
            <w:rFonts w:ascii="Cambria Math" w:hAnsi="Cambria Math"/>
          </w:rPr>
          <m:t>=</m:t>
        </m:r>
        <m:sSub>
          <m:sSubPr>
            <m:ctrlPr>
              <w:rPr>
                <w:rFonts w:ascii="Cambria Math" w:hAnsi="Cambria Math"/>
              </w:rPr>
            </m:ctrlPr>
          </m:sSubPr>
          <m:e>
            <m:r>
              <w:rPr>
                <w:rFonts w:ascii="Cambria Math" w:hAnsi="Cambria Math"/>
              </w:rPr>
              <m:t>V</m:t>
            </m:r>
          </m:e>
          <m:sub>
            <m:r>
              <m:rPr>
                <m:sty m:val="p"/>
              </m:rPr>
              <w:rPr>
                <w:rFonts w:ascii="Cambria Math" w:hAnsi="Cambria Math"/>
              </w:rPr>
              <m:t>sd</m:t>
            </m:r>
          </m:sub>
        </m:sSub>
        <m:r>
          <w:rPr>
            <w:rFonts w:ascii="Cambria Math" w:hAnsi="Cambria Math"/>
          </w:rPr>
          <m:t>+</m:t>
        </m:r>
        <m:sSub>
          <m:sSubPr>
            <m:ctrlPr>
              <w:rPr>
                <w:rFonts w:ascii="Cambria Math" w:hAnsi="Cambria Math"/>
              </w:rPr>
            </m:ctrlPr>
          </m:sSubPr>
          <m:e>
            <m:r>
              <w:rPr>
                <w:rFonts w:ascii="Cambria Math" w:hAnsi="Cambria Math"/>
              </w:rPr>
              <m:t>V</m:t>
            </m:r>
          </m:e>
          <m:sub>
            <m:r>
              <m:rPr>
                <m:sty m:val="p"/>
              </m:rPr>
              <w:rPr>
                <w:rFonts w:ascii="Cambria Math" w:hAnsi="Cambria Math"/>
              </w:rPr>
              <m:t>csd</m:t>
            </m:r>
          </m:sub>
        </m:sSub>
        <m:r>
          <w:rPr>
            <w:rFonts w:ascii="Cambria Math" w:hAnsi="Cambria Math"/>
          </w:rPr>
          <m:t>=0,6</m:t>
        </m:r>
        <m:sSub>
          <m:sSubPr>
            <m:ctrlPr>
              <w:rPr>
                <w:rFonts w:ascii="Cambria Math" w:hAnsi="Cambria Math"/>
              </w:rPr>
            </m:ctrlPr>
          </m:sSubPr>
          <m:e>
            <m:r>
              <w:rPr>
                <w:rFonts w:ascii="Cambria Math" w:hAnsi="Cambria Math"/>
              </w:rPr>
              <m:t>f</m:t>
            </m:r>
          </m:e>
          <m:sub>
            <m:r>
              <m:rPr>
                <m:sty m:val="p"/>
              </m:rPr>
              <w:rPr>
                <w:rFonts w:ascii="Cambria Math" w:hAnsi="Cambria Math"/>
              </w:rPr>
              <m:t>ytw</m:t>
            </m:r>
          </m:sub>
        </m:sSub>
        <m:sSub>
          <m:sSubPr>
            <m:ctrlPr>
              <w:rPr>
                <w:rFonts w:ascii="Cambria Math" w:hAnsi="Cambria Math"/>
              </w:rPr>
            </m:ctrlPr>
          </m:sSubPr>
          <m:e>
            <m:r>
              <w:rPr>
                <w:rFonts w:ascii="Cambria Math" w:hAnsi="Cambria Math"/>
              </w:rPr>
              <m:t>A</m:t>
            </m:r>
          </m:e>
          <m:sub>
            <m:r>
              <m:rPr>
                <m:sty m:val="p"/>
              </m:rPr>
              <w:rPr>
                <w:rFonts w:ascii="Cambria Math" w:hAnsi="Cambria Math"/>
              </w:rPr>
              <m:t>tw</m:t>
            </m:r>
          </m:sub>
        </m:sSub>
        <m:r>
          <w:rPr>
            <w:rFonts w:ascii="Cambria Math" w:hAnsi="Cambria Math"/>
          </w:rPr>
          <m:t>/</m:t>
        </m:r>
        <m:sSub>
          <m:sSubPr>
            <m:ctrlPr>
              <w:rPr>
                <w:rFonts w:ascii="Cambria Math" w:hAnsi="Cambria Math"/>
              </w:rPr>
            </m:ctrlPr>
          </m:sSubPr>
          <m:e>
            <m:r>
              <w:rPr>
                <w:rFonts w:ascii="Cambria Math" w:hAnsi="Cambria Math"/>
              </w:rPr>
              <m:t>γ</m:t>
            </m:r>
          </m:e>
          <m:sub>
            <m:r>
              <m:rPr>
                <m:sty m:val="p"/>
              </m:rPr>
              <w:rPr>
                <w:rFonts w:ascii="Cambria Math" w:hAnsi="Cambria Math"/>
              </w:rPr>
              <m:t>M</m:t>
            </m:r>
          </m:sub>
        </m:sSub>
        <m:r>
          <w:rPr>
            <w:rFonts w:ascii="Cambria Math" w:hAnsi="Cambria Math"/>
          </w:rPr>
          <m:t>+0,5</m:t>
        </m:r>
        <m:sSub>
          <m:sSubPr>
            <m:ctrlPr>
              <w:rPr>
                <w:rFonts w:ascii="Cambria Math" w:hAnsi="Cambria Math"/>
              </w:rPr>
            </m:ctrlPr>
          </m:sSubPr>
          <m:e>
            <m:r>
              <w:rPr>
                <w:rFonts w:ascii="Cambria Math" w:hAnsi="Cambria Math"/>
              </w:rPr>
              <m:t>f</m:t>
            </m:r>
          </m:e>
          <m:sub>
            <m:r>
              <m:rPr>
                <m:sty m:val="p"/>
              </m:rPr>
              <w:rPr>
                <w:rFonts w:ascii="Cambria Math" w:hAnsi="Cambria Math"/>
              </w:rPr>
              <m:t>cd</m:t>
            </m:r>
          </m:sub>
        </m:sSub>
        <m:f>
          <m:fPr>
            <m:ctrlPr>
              <w:rPr>
                <w:rFonts w:ascii="Cambria Math" w:hAnsi="Cambria Math"/>
              </w:rPr>
            </m:ctrlPr>
          </m:fPr>
          <m:num>
            <m:sSub>
              <m:sSubPr>
                <m:ctrlPr>
                  <w:rPr>
                    <w:rFonts w:ascii="Cambria Math" w:hAnsi="Cambria Math"/>
                  </w:rPr>
                </m:ctrlPr>
              </m:sSubPr>
              <m:e>
                <m:r>
                  <w:rPr>
                    <w:rFonts w:ascii="Cambria Math" w:hAnsi="Cambria Math"/>
                  </w:rPr>
                  <m:t>h</m:t>
                </m:r>
              </m:e>
              <m:sub>
                <m:r>
                  <m:rPr>
                    <m:sty m:val="p"/>
                  </m:rPr>
                  <w:rPr>
                    <w:rFonts w:ascii="Cambria Math" w:hAnsi="Cambria Math"/>
                  </w:rPr>
                  <m:t>c</m:t>
                </m:r>
              </m:sub>
            </m:sSub>
            <m:sSub>
              <m:sSubPr>
                <m:ctrlPr>
                  <w:rPr>
                    <w:rFonts w:ascii="Cambria Math" w:hAnsi="Cambria Math"/>
                  </w:rPr>
                </m:ctrlPr>
              </m:sSubPr>
              <m:e>
                <m:r>
                  <w:rPr>
                    <w:rFonts w:ascii="Cambria Math" w:hAnsi="Cambria Math"/>
                  </w:rPr>
                  <m:t>h</m:t>
                </m:r>
              </m:e>
              <m:sub>
                <m:r>
                  <m:rPr>
                    <m:sty m:val="p"/>
                  </m:rPr>
                  <w:rPr>
                    <w:rFonts w:ascii="Cambria Math" w:hAnsi="Cambria Math"/>
                  </w:rPr>
                  <m:t>b</m:t>
                </m:r>
              </m:sub>
            </m:sSub>
          </m:num>
          <m:den>
            <m:sSubSup>
              <m:sSubSupPr>
                <m:ctrlPr>
                  <w:rPr>
                    <w:rFonts w:ascii="Cambria Math" w:hAnsi="Cambria Math"/>
                  </w:rPr>
                </m:ctrlPr>
              </m:sSubSupPr>
              <m:e>
                <m:r>
                  <w:rPr>
                    <w:rFonts w:ascii="Cambria Math" w:hAnsi="Cambria Math"/>
                  </w:rPr>
                  <m:t>h</m:t>
                </m:r>
              </m:e>
              <m:sub>
                <m:r>
                  <m:rPr>
                    <m:sty m:val="p"/>
                  </m:rPr>
                  <w:rPr>
                    <w:rFonts w:ascii="Cambria Math" w:hAnsi="Cambria Math"/>
                  </w:rPr>
                  <m:t>c</m:t>
                </m:r>
              </m:sub>
              <m:sup>
                <m:r>
                  <w:rPr>
                    <w:rFonts w:ascii="Cambria Math" w:hAnsi="Cambria Math"/>
                  </w:rPr>
                  <m:t>2</m:t>
                </m:r>
              </m:sup>
            </m:sSubSup>
            <m:sSubSup>
              <m:sSubSupPr>
                <m:ctrlPr>
                  <w:rPr>
                    <w:rFonts w:ascii="Cambria Math" w:hAnsi="Cambria Math"/>
                  </w:rPr>
                </m:ctrlPr>
              </m:sSubSupPr>
              <m:e>
                <m:r>
                  <w:rPr>
                    <w:rFonts w:ascii="Cambria Math" w:hAnsi="Cambria Math"/>
                  </w:rPr>
                  <m:t>+h</m:t>
                </m:r>
              </m:e>
              <m:sub>
                <m:r>
                  <m:rPr>
                    <m:sty m:val="p"/>
                  </m:rPr>
                  <w:rPr>
                    <w:rFonts w:ascii="Cambria Math" w:hAnsi="Cambria Math"/>
                  </w:rPr>
                  <m:t>b</m:t>
                </m:r>
              </m:sub>
              <m:sup>
                <m:r>
                  <w:rPr>
                    <w:rFonts w:ascii="Cambria Math" w:hAnsi="Cambria Math"/>
                  </w:rPr>
                  <m:t>2</m:t>
                </m:r>
              </m:sup>
            </m:sSubSup>
          </m:den>
        </m:f>
        <m:sSub>
          <m:sSubPr>
            <m:ctrlPr>
              <w:rPr>
                <w:rFonts w:ascii="Cambria Math" w:hAnsi="Cambria Math"/>
              </w:rPr>
            </m:ctrlPr>
          </m:sSubPr>
          <m:e>
            <m:r>
              <w:rPr>
                <w:rFonts w:ascii="Cambria Math" w:hAnsi="Cambria Math"/>
              </w:rPr>
              <m:t>A</m:t>
            </m:r>
          </m:e>
          <m:sub>
            <m:r>
              <m:rPr>
                <m:sty m:val="p"/>
              </m:rPr>
              <w:rPr>
                <w:rFonts w:ascii="Cambria Math" w:hAnsi="Cambria Math"/>
              </w:rPr>
              <m:t>c</m:t>
            </m:r>
          </m:sub>
        </m:sSub>
      </m:oMath>
      <w:r w:rsidR="006A11A7" w:rsidRPr="00922D9B">
        <w:tab/>
        <w:t>(G.</w:t>
      </w:r>
      <w:r w:rsidR="006A11A7">
        <w:t>20</w:t>
      </w:r>
      <w:r w:rsidR="006A11A7" w:rsidRPr="00922D9B">
        <w:t>)</w:t>
      </w:r>
    </w:p>
    <w:p w14:paraId="6097CDBC" w14:textId="3DA7EBF5" w:rsidR="006A11A7" w:rsidRPr="00D1484A" w:rsidRDefault="00675EBA" w:rsidP="006A11A7">
      <w:r>
        <w:t>where</w:t>
      </w:r>
    </w:p>
    <w:tbl>
      <w:tblPr>
        <w:tblW w:w="0" w:type="auto"/>
        <w:tblInd w:w="346" w:type="dxa"/>
        <w:tblLook w:val="04A0" w:firstRow="1" w:lastRow="0" w:firstColumn="1" w:lastColumn="0" w:noHBand="0" w:noVBand="1"/>
      </w:tblPr>
      <w:tblGrid>
        <w:gridCol w:w="1275"/>
        <w:gridCol w:w="7938"/>
      </w:tblGrid>
      <w:tr w:rsidR="006A11A7" w:rsidRPr="00870D59" w14:paraId="75B48D82" w14:textId="77777777" w:rsidTr="00F81F1B">
        <w:tc>
          <w:tcPr>
            <w:tcW w:w="1275" w:type="dxa"/>
          </w:tcPr>
          <w:p w14:paraId="3ABCA1FA" w14:textId="7A40D734" w:rsidR="006A11A7" w:rsidRPr="00460668" w:rsidRDefault="009B5CEC" w:rsidP="002061E5">
            <w:pPr>
              <w:spacing w:after="60"/>
              <w:rPr>
                <w:rFonts w:eastAsia="Times New Roman" w:cs="Cambria"/>
                <w:szCs w:val="20"/>
                <w:lang w:eastAsia="fr-FR"/>
              </w:rPr>
            </w:pPr>
            <m:oMathPara>
              <m:oMathParaPr>
                <m:jc m:val="left"/>
              </m:oMathParaPr>
              <m:oMath>
                <m:sSub>
                  <m:sSubPr>
                    <m:ctrlPr>
                      <w:rPr>
                        <w:rFonts w:ascii="Cambria Math" w:hAnsi="Cambria Math"/>
                        <w:i/>
                      </w:rPr>
                    </m:ctrlPr>
                  </m:sSubPr>
                  <m:e>
                    <m:r>
                      <w:rPr>
                        <w:rFonts w:ascii="Cambria Math" w:hAnsi="Cambria Math"/>
                      </w:rPr>
                      <m:t>f</m:t>
                    </m:r>
                  </m:e>
                  <m:sub>
                    <m:r>
                      <m:rPr>
                        <m:sty m:val="p"/>
                      </m:rPr>
                      <w:rPr>
                        <w:rFonts w:ascii="Cambria Math" w:hAnsi="Cambria Math"/>
                      </w:rPr>
                      <m:t>ytw</m:t>
                    </m:r>
                  </m:sub>
                </m:sSub>
              </m:oMath>
            </m:oMathPara>
          </w:p>
        </w:tc>
        <w:tc>
          <w:tcPr>
            <w:tcW w:w="7938" w:type="dxa"/>
          </w:tcPr>
          <w:p w14:paraId="719ED73F" w14:textId="1C489DCF" w:rsidR="006A11A7" w:rsidRPr="006A11A7" w:rsidRDefault="006A11A7" w:rsidP="002061E5">
            <w:pPr>
              <w:pStyle w:val="Listofsymbols"/>
              <w:rPr>
                <w:szCs w:val="22"/>
              </w:rPr>
            </w:pPr>
            <w:r w:rsidRPr="006A11A7">
              <w:t>is the design yield strength of the steel tube walls;</w:t>
            </w:r>
          </w:p>
        </w:tc>
      </w:tr>
      <w:tr w:rsidR="006A11A7" w:rsidRPr="00870D59" w14:paraId="5654978E" w14:textId="77777777" w:rsidTr="00F81F1B">
        <w:tc>
          <w:tcPr>
            <w:tcW w:w="1275" w:type="dxa"/>
          </w:tcPr>
          <w:p w14:paraId="2AA5BDB9" w14:textId="0813D402" w:rsidR="006A11A7" w:rsidRPr="00F41E63" w:rsidRDefault="009B5CEC" w:rsidP="002061E5">
            <w:pPr>
              <w:spacing w:after="60"/>
              <w:rPr>
                <w:lang w:eastAsia="de-DE"/>
              </w:rPr>
            </w:pPr>
            <m:oMathPara>
              <m:oMathParaPr>
                <m:jc m:val="left"/>
              </m:oMathParaPr>
              <m:oMath>
                <m:sSub>
                  <m:sSubPr>
                    <m:ctrlPr>
                      <w:rPr>
                        <w:rFonts w:ascii="Cambria Math" w:hAnsi="Cambria Math"/>
                        <w:i/>
                      </w:rPr>
                    </m:ctrlPr>
                  </m:sSubPr>
                  <m:e>
                    <m:r>
                      <w:rPr>
                        <w:rFonts w:ascii="Cambria Math" w:hAnsi="Cambria Math"/>
                      </w:rPr>
                      <m:t>A</m:t>
                    </m:r>
                  </m:e>
                  <m:sub>
                    <m:r>
                      <m:rPr>
                        <m:sty m:val="p"/>
                      </m:rPr>
                      <w:rPr>
                        <w:rFonts w:ascii="Cambria Math" w:hAnsi="Cambria Math"/>
                      </w:rPr>
                      <m:t>tw</m:t>
                    </m:r>
                  </m:sub>
                </m:sSub>
              </m:oMath>
            </m:oMathPara>
          </w:p>
        </w:tc>
        <w:tc>
          <w:tcPr>
            <w:tcW w:w="7938" w:type="dxa"/>
          </w:tcPr>
          <w:p w14:paraId="336C21AC" w14:textId="20EEA6B4" w:rsidR="006A11A7" w:rsidRPr="006A11A7" w:rsidRDefault="006A11A7" w:rsidP="002061E5">
            <w:pPr>
              <w:spacing w:after="60"/>
            </w:pPr>
            <w:r w:rsidRPr="006A11A7">
              <w:t>is the cross-section area portion of the tube walls;</w:t>
            </w:r>
          </w:p>
        </w:tc>
      </w:tr>
      <w:tr w:rsidR="006A11A7" w:rsidRPr="00F41E63" w14:paraId="3232069C" w14:textId="77777777" w:rsidTr="00F81F1B">
        <w:tc>
          <w:tcPr>
            <w:tcW w:w="1275" w:type="dxa"/>
          </w:tcPr>
          <w:p w14:paraId="0646F4C9" w14:textId="7728197A" w:rsidR="006A11A7" w:rsidRPr="006A11A7" w:rsidRDefault="009B5CEC" w:rsidP="002061E5">
            <w:pPr>
              <w:spacing w:after="60"/>
              <w:rPr>
                <w:rFonts w:ascii="Cambria Math" w:hAnsi="Cambria Math"/>
                <w:oMath/>
              </w:rPr>
            </w:pPr>
            <m:oMathPara>
              <m:oMathParaPr>
                <m:jc m:val="left"/>
              </m:oMathParaPr>
              <m:oMath>
                <m:sSub>
                  <m:sSubPr>
                    <m:ctrlPr>
                      <w:rPr>
                        <w:rFonts w:ascii="Cambria Math" w:hAnsi="Cambria Math"/>
                        <w:i/>
                      </w:rPr>
                    </m:ctrlPr>
                  </m:sSubPr>
                  <m:e>
                    <m:r>
                      <w:rPr>
                        <w:rFonts w:ascii="Cambria Math" w:hAnsi="Cambria Math"/>
                      </w:rPr>
                      <m:t>γ</m:t>
                    </m:r>
                  </m:e>
                  <m:sub>
                    <m:r>
                      <m:rPr>
                        <m:sty m:val="p"/>
                      </m:rPr>
                      <w:rPr>
                        <w:rFonts w:ascii="Cambria Math" w:hAnsi="Cambria Math"/>
                      </w:rPr>
                      <m:t>M</m:t>
                    </m:r>
                  </m:sub>
                </m:sSub>
              </m:oMath>
            </m:oMathPara>
          </w:p>
        </w:tc>
        <w:tc>
          <w:tcPr>
            <w:tcW w:w="7938" w:type="dxa"/>
          </w:tcPr>
          <w:p w14:paraId="6B298075" w14:textId="69D42F71" w:rsidR="006A11A7" w:rsidRPr="006A11A7" w:rsidRDefault="006A11A7" w:rsidP="002061E5">
            <w:pPr>
              <w:spacing w:after="60"/>
            </w:pPr>
            <w:r w:rsidRPr="006A11A7">
              <w:t xml:space="preserve">is the material partial factor according to </w:t>
            </w:r>
            <w:r w:rsidR="00867476">
              <w:t>EN 1993-1-1</w:t>
            </w:r>
            <w:r w:rsidRPr="006A11A7">
              <w:t>:202</w:t>
            </w:r>
            <w:r w:rsidR="00867476">
              <w:t>2</w:t>
            </w:r>
            <w:r w:rsidRPr="00055612">
              <w:t>,</w:t>
            </w:r>
            <w:r w:rsidR="00055612" w:rsidRPr="00357B79">
              <w:t xml:space="preserve"> 8.1</w:t>
            </w:r>
            <w:r w:rsidRPr="006A11A7">
              <w:t>;</w:t>
            </w:r>
          </w:p>
        </w:tc>
      </w:tr>
      <w:tr w:rsidR="006A11A7" w:rsidRPr="00F41E63" w14:paraId="2592B129" w14:textId="77777777" w:rsidTr="00F81F1B">
        <w:tc>
          <w:tcPr>
            <w:tcW w:w="1275" w:type="dxa"/>
          </w:tcPr>
          <w:p w14:paraId="25CAA182" w14:textId="5AF255C0" w:rsidR="006A11A7" w:rsidRPr="006A11A7" w:rsidRDefault="009B5CEC" w:rsidP="002061E5">
            <w:pPr>
              <w:spacing w:after="60"/>
            </w:pPr>
            <m:oMathPara>
              <m:oMathParaPr>
                <m:jc m:val="left"/>
              </m:oMathParaPr>
              <m:oMath>
                <m:sSub>
                  <m:sSubPr>
                    <m:ctrlPr>
                      <w:rPr>
                        <w:rFonts w:ascii="Cambria Math" w:hAnsi="Cambria Math"/>
                        <w:i/>
                      </w:rPr>
                    </m:ctrlPr>
                  </m:sSubPr>
                  <m:e>
                    <m:r>
                      <w:rPr>
                        <w:rFonts w:ascii="Cambria Math" w:hAnsi="Cambria Math"/>
                      </w:rPr>
                      <m:t>A</m:t>
                    </m:r>
                  </m:e>
                  <m:sub>
                    <m:r>
                      <m:rPr>
                        <m:sty m:val="p"/>
                      </m:rPr>
                      <w:rPr>
                        <w:rFonts w:ascii="Cambria Math" w:hAnsi="Cambria Math"/>
                      </w:rPr>
                      <m:t>c</m:t>
                    </m:r>
                  </m:sub>
                </m:sSub>
              </m:oMath>
            </m:oMathPara>
          </w:p>
        </w:tc>
        <w:tc>
          <w:tcPr>
            <w:tcW w:w="7938" w:type="dxa"/>
          </w:tcPr>
          <w:p w14:paraId="69A2CCAB" w14:textId="2551C302" w:rsidR="006A11A7" w:rsidRPr="006A11A7" w:rsidRDefault="006A11A7" w:rsidP="002061E5">
            <w:pPr>
              <w:spacing w:after="60"/>
            </w:pPr>
            <w:r w:rsidRPr="006A11A7">
              <w:t>is the cross section area of the concrete infill.</w:t>
            </w:r>
          </w:p>
        </w:tc>
      </w:tr>
    </w:tbl>
    <w:p w14:paraId="4E143563" w14:textId="77777777" w:rsidR="005D7FC6" w:rsidRDefault="005D7FC6" w:rsidP="00724E4E">
      <w:pPr>
        <w:pStyle w:val="Clause"/>
      </w:pPr>
      <w:r w:rsidRPr="00C76BDC">
        <w:t>The shear resistance of the joint may be calculated by ignoring the axial load effects.</w:t>
      </w:r>
    </w:p>
    <w:p w14:paraId="7850E3C3" w14:textId="77777777" w:rsidR="005D7FC6" w:rsidRPr="00196951" w:rsidRDefault="005D7FC6" w:rsidP="005D7FC6">
      <w:pPr>
        <w:pStyle w:val="a3"/>
      </w:pPr>
      <w:bookmarkStart w:id="11501" w:name="_Toc108342818"/>
      <w:bookmarkStart w:id="11502" w:name="_Toc120543904"/>
      <w:bookmarkStart w:id="11503" w:name="_Toc134198325"/>
      <w:r w:rsidRPr="00E05E29">
        <w:t>Detailing of welds</w:t>
      </w:r>
      <w:bookmarkEnd w:id="11501"/>
      <w:bookmarkEnd w:id="11502"/>
      <w:bookmarkEnd w:id="11503"/>
    </w:p>
    <w:p w14:paraId="523EB702" w14:textId="0737C1A7" w:rsidR="005D7FC6" w:rsidRPr="00E257DD" w:rsidRDefault="005D7FC6" w:rsidP="0080187E">
      <w:pPr>
        <w:pStyle w:val="Clause"/>
        <w:numPr>
          <w:ilvl w:val="0"/>
          <w:numId w:val="240"/>
        </w:numPr>
      </w:pPr>
      <w:r w:rsidRPr="00E257DD">
        <w:t>Full penetration groove welds between I- or H-shape steel beams and diaphragm plates should be detailed according to Annex E</w:t>
      </w:r>
      <w:r w:rsidRPr="005D7FC6">
        <w:rPr>
          <w:color w:val="auto"/>
        </w:rPr>
        <w:t xml:space="preserve">, </w:t>
      </w:r>
      <w:r w:rsidRPr="00835C82">
        <w:rPr>
          <w:color w:val="auto"/>
        </w:rPr>
        <w:t>E.3.3.3(2)</w:t>
      </w:r>
      <w:r w:rsidRPr="005D7FC6">
        <w:rPr>
          <w:color w:val="auto"/>
        </w:rPr>
        <w:t>.</w:t>
      </w:r>
    </w:p>
    <w:p w14:paraId="4AFFBBA4" w14:textId="77777777" w:rsidR="005D7FC6" w:rsidRPr="00132C1E" w:rsidRDefault="005D7FC6" w:rsidP="005D7FC6">
      <w:pPr>
        <w:pStyle w:val="a3"/>
      </w:pPr>
      <w:bookmarkStart w:id="11504" w:name="_Toc108342819"/>
      <w:bookmarkStart w:id="11505" w:name="_Toc120543905"/>
      <w:bookmarkStart w:id="11506" w:name="_Toc134198326"/>
      <w:r w:rsidRPr="00132C1E">
        <w:t>Shear tab steel plates</w:t>
      </w:r>
      <w:bookmarkEnd w:id="11504"/>
      <w:bookmarkEnd w:id="11505"/>
      <w:bookmarkEnd w:id="11506"/>
    </w:p>
    <w:p w14:paraId="4FCE5C57" w14:textId="57BF6A58" w:rsidR="005D7FC6" w:rsidRPr="005D7FC6" w:rsidRDefault="005D7FC6" w:rsidP="0080187E">
      <w:pPr>
        <w:pStyle w:val="Clause"/>
        <w:numPr>
          <w:ilvl w:val="0"/>
          <w:numId w:val="241"/>
        </w:numPr>
        <w:rPr>
          <w:bCs/>
        </w:rPr>
      </w:pPr>
      <w:r w:rsidRPr="005D7FC6">
        <w:rPr>
          <w:bCs/>
        </w:rPr>
        <w:t>Shear tab steel plates should be designed for the design shear force effect in the composite steel or steel beam in the seismic design situation.</w:t>
      </w:r>
    </w:p>
    <w:p w14:paraId="75A4B1FE" w14:textId="78708D03" w:rsidR="005D7FC6" w:rsidRPr="00132C1E" w:rsidRDefault="00E61662" w:rsidP="00E61662">
      <w:pPr>
        <w:pStyle w:val="FigureImage"/>
      </w:pPr>
      <w:r>
        <w:rPr>
          <w:noProof/>
        </w:rPr>
        <w:drawing>
          <wp:inline distT="0" distB="0" distL="0" distR="0" wp14:anchorId="10DEAC12" wp14:editId="31FEF517">
            <wp:extent cx="4860044" cy="6656843"/>
            <wp:effectExtent l="0" t="0" r="0" b="0"/>
            <wp:docPr id="43" name="g007.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g007.tiff"/>
                    <pic:cNvPicPr/>
                  </pic:nvPicPr>
                  <pic:blipFill>
                    <a:blip r:link="rId126"/>
                    <a:stretch>
                      <a:fillRect/>
                    </a:stretch>
                  </pic:blipFill>
                  <pic:spPr>
                    <a:xfrm>
                      <a:off x="0" y="0"/>
                      <a:ext cx="4860044" cy="6656843"/>
                    </a:xfrm>
                    <a:prstGeom prst="rect">
                      <a:avLst/>
                    </a:prstGeom>
                  </pic:spPr>
                </pic:pic>
              </a:graphicData>
            </a:graphic>
          </wp:inline>
        </w:drawing>
      </w:r>
    </w:p>
    <w:p w14:paraId="4A4D517D" w14:textId="77777777" w:rsidR="005D7FC6" w:rsidRPr="00D1484A" w:rsidRDefault="005D7FC6" w:rsidP="00E61662">
      <w:pPr>
        <w:pStyle w:val="KeyTitle"/>
      </w:pPr>
      <w:r w:rsidRPr="00D1484A">
        <w:t>Key</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
        <w:gridCol w:w="5778"/>
      </w:tblGrid>
      <w:tr w:rsidR="005D7FC6" w:rsidRPr="00132C1E" w14:paraId="5CD9A86E" w14:textId="77777777" w:rsidTr="00F81F1B">
        <w:tc>
          <w:tcPr>
            <w:tcW w:w="392" w:type="dxa"/>
          </w:tcPr>
          <w:p w14:paraId="133BF7C3" w14:textId="77777777" w:rsidR="005D7FC6" w:rsidRPr="00FE71E5" w:rsidRDefault="005D7FC6" w:rsidP="00F81F1B">
            <w:pPr>
              <w:pStyle w:val="KeyText"/>
              <w:spacing w:before="0"/>
              <w:rPr>
                <w:iCs/>
              </w:rPr>
            </w:pPr>
            <w:r w:rsidRPr="00FE71E5">
              <w:rPr>
                <w:iCs/>
              </w:rPr>
              <w:t>A</w:t>
            </w:r>
          </w:p>
        </w:tc>
        <w:tc>
          <w:tcPr>
            <w:tcW w:w="5778" w:type="dxa"/>
          </w:tcPr>
          <w:p w14:paraId="7E9CB506" w14:textId="56CB67A5" w:rsidR="005D7FC6" w:rsidRPr="00FE71E5" w:rsidRDefault="00E61662" w:rsidP="00F81F1B">
            <w:pPr>
              <w:pStyle w:val="KeyText"/>
              <w:spacing w:before="0"/>
            </w:pPr>
            <w:r w:rsidRPr="00FE71E5">
              <w:rPr>
                <w:iCs/>
              </w:rPr>
              <w:t>i</w:t>
            </w:r>
            <w:r w:rsidR="005D7FC6" w:rsidRPr="00FE71E5">
              <w:rPr>
                <w:iCs/>
              </w:rPr>
              <w:t>nternal diaphragm plate</w:t>
            </w:r>
          </w:p>
        </w:tc>
      </w:tr>
      <w:tr w:rsidR="005D7FC6" w:rsidRPr="00132C1E" w14:paraId="5B6ADD3E" w14:textId="77777777" w:rsidTr="00F81F1B">
        <w:tc>
          <w:tcPr>
            <w:tcW w:w="392" w:type="dxa"/>
          </w:tcPr>
          <w:p w14:paraId="251F6A8A" w14:textId="77777777" w:rsidR="005D7FC6" w:rsidRPr="00FE71E5" w:rsidRDefault="005D7FC6" w:rsidP="00F81F1B">
            <w:pPr>
              <w:pStyle w:val="KeyText"/>
              <w:spacing w:before="0"/>
              <w:rPr>
                <w:iCs/>
              </w:rPr>
            </w:pPr>
            <w:r w:rsidRPr="00FE71E5">
              <w:rPr>
                <w:iCs/>
              </w:rPr>
              <w:t>B</w:t>
            </w:r>
          </w:p>
        </w:tc>
        <w:tc>
          <w:tcPr>
            <w:tcW w:w="5778" w:type="dxa"/>
          </w:tcPr>
          <w:p w14:paraId="4146FD29" w14:textId="6436B8DA" w:rsidR="005D7FC6" w:rsidRPr="00FE71E5" w:rsidRDefault="00E61662" w:rsidP="00F81F1B">
            <w:pPr>
              <w:pStyle w:val="KeyText"/>
              <w:spacing w:before="0"/>
              <w:rPr>
                <w:iCs/>
              </w:rPr>
            </w:pPr>
            <w:r w:rsidRPr="00FE71E5">
              <w:rPr>
                <w:iCs/>
              </w:rPr>
              <w:t>c</w:t>
            </w:r>
            <w:r w:rsidR="005D7FC6" w:rsidRPr="00FE71E5">
              <w:rPr>
                <w:iCs/>
              </w:rPr>
              <w:t>oncrete-filled tube</w:t>
            </w:r>
          </w:p>
        </w:tc>
      </w:tr>
      <w:tr w:rsidR="005D7FC6" w:rsidRPr="00132C1E" w14:paraId="2686C5E3" w14:textId="77777777" w:rsidTr="00F81F1B">
        <w:tc>
          <w:tcPr>
            <w:tcW w:w="392" w:type="dxa"/>
          </w:tcPr>
          <w:p w14:paraId="2DB67B13" w14:textId="77777777" w:rsidR="005D7FC6" w:rsidRPr="00FE71E5" w:rsidRDefault="005D7FC6" w:rsidP="00F81F1B">
            <w:pPr>
              <w:pStyle w:val="KeyText"/>
              <w:spacing w:before="0"/>
              <w:rPr>
                <w:iCs/>
              </w:rPr>
            </w:pPr>
            <w:r w:rsidRPr="00FE71E5">
              <w:rPr>
                <w:iCs/>
              </w:rPr>
              <w:t>C</w:t>
            </w:r>
          </w:p>
        </w:tc>
        <w:tc>
          <w:tcPr>
            <w:tcW w:w="5778" w:type="dxa"/>
          </w:tcPr>
          <w:p w14:paraId="4C9C62CA" w14:textId="225E6F18" w:rsidR="005D7FC6" w:rsidRPr="00FE71E5" w:rsidRDefault="005D7FC6" w:rsidP="00F81F1B">
            <w:pPr>
              <w:pStyle w:val="KeyText"/>
              <w:spacing w:before="0"/>
              <w:rPr>
                <w:iCs/>
              </w:rPr>
            </w:pPr>
            <w:r w:rsidRPr="00FE71E5">
              <w:rPr>
                <w:iCs/>
              </w:rPr>
              <w:t>I-shape beam</w:t>
            </w:r>
          </w:p>
        </w:tc>
      </w:tr>
      <w:tr w:rsidR="005D7FC6" w:rsidRPr="00132C1E" w14:paraId="5ADF53FB" w14:textId="77777777" w:rsidTr="00F81F1B">
        <w:tc>
          <w:tcPr>
            <w:tcW w:w="392" w:type="dxa"/>
          </w:tcPr>
          <w:p w14:paraId="1B625B86" w14:textId="77777777" w:rsidR="005D7FC6" w:rsidRPr="00FE71E5" w:rsidRDefault="005D7FC6" w:rsidP="00F81F1B">
            <w:pPr>
              <w:pStyle w:val="KeyText"/>
              <w:spacing w:before="0"/>
              <w:rPr>
                <w:iCs/>
              </w:rPr>
            </w:pPr>
            <w:r w:rsidRPr="00FE71E5">
              <w:rPr>
                <w:iCs/>
              </w:rPr>
              <w:t>D</w:t>
            </w:r>
          </w:p>
        </w:tc>
        <w:tc>
          <w:tcPr>
            <w:tcW w:w="5778" w:type="dxa"/>
          </w:tcPr>
          <w:p w14:paraId="275DF727" w14:textId="6FF695A4" w:rsidR="005D7FC6" w:rsidRPr="00FE71E5" w:rsidRDefault="00E61662" w:rsidP="00F81F1B">
            <w:pPr>
              <w:pStyle w:val="KeyText"/>
              <w:spacing w:before="0"/>
              <w:rPr>
                <w:iCs/>
              </w:rPr>
            </w:pPr>
            <w:r w:rsidRPr="00FE71E5">
              <w:rPr>
                <w:iCs/>
              </w:rPr>
              <w:t>e</w:t>
            </w:r>
            <w:r w:rsidR="005D7FC6" w:rsidRPr="00FE71E5">
              <w:rPr>
                <w:iCs/>
              </w:rPr>
              <w:t>xternal diaphragm plate</w:t>
            </w:r>
          </w:p>
        </w:tc>
      </w:tr>
      <w:tr w:rsidR="005D7FC6" w:rsidRPr="00132C1E" w14:paraId="4CC948EA" w14:textId="77777777" w:rsidTr="00F81F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2" w:type="dxa"/>
            <w:tcBorders>
              <w:top w:val="nil"/>
              <w:left w:val="nil"/>
              <w:bottom w:val="nil"/>
              <w:right w:val="nil"/>
            </w:tcBorders>
          </w:tcPr>
          <w:p w14:paraId="44A5A298" w14:textId="77777777" w:rsidR="005D7FC6" w:rsidRPr="00FE71E5" w:rsidRDefault="005D7FC6" w:rsidP="00F81F1B">
            <w:pPr>
              <w:pStyle w:val="KeyText"/>
              <w:spacing w:before="0"/>
              <w:rPr>
                <w:iCs/>
              </w:rPr>
            </w:pPr>
            <w:r w:rsidRPr="00FE71E5">
              <w:rPr>
                <w:iCs/>
              </w:rPr>
              <w:t>E</w:t>
            </w:r>
          </w:p>
        </w:tc>
        <w:tc>
          <w:tcPr>
            <w:tcW w:w="5778" w:type="dxa"/>
            <w:tcBorders>
              <w:top w:val="nil"/>
              <w:left w:val="nil"/>
              <w:bottom w:val="nil"/>
              <w:right w:val="nil"/>
            </w:tcBorders>
          </w:tcPr>
          <w:p w14:paraId="215B75F7" w14:textId="12D7535A" w:rsidR="005D7FC6" w:rsidRPr="00FE71E5" w:rsidRDefault="00E61662" w:rsidP="00F81F1B">
            <w:pPr>
              <w:pStyle w:val="KeyText"/>
              <w:spacing w:before="0"/>
              <w:rPr>
                <w:iCs/>
              </w:rPr>
            </w:pPr>
            <w:r w:rsidRPr="00FE71E5">
              <w:rPr>
                <w:iCs/>
              </w:rPr>
              <w:t>t</w:t>
            </w:r>
            <w:r w:rsidR="005D7FC6" w:rsidRPr="00FE71E5">
              <w:rPr>
                <w:iCs/>
              </w:rPr>
              <w:t>hrough diaphragm plate</w:t>
            </w:r>
          </w:p>
        </w:tc>
      </w:tr>
    </w:tbl>
    <w:p w14:paraId="60FF1E16" w14:textId="450D2E1D" w:rsidR="005D7FC6" w:rsidRPr="00FD17CF" w:rsidRDefault="005D7FC6" w:rsidP="005D7FC6">
      <w:pPr>
        <w:pStyle w:val="ListParagraph"/>
        <w:spacing w:before="240"/>
        <w:ind w:left="0"/>
        <w:jc w:val="center"/>
        <w:rPr>
          <w:b/>
        </w:rPr>
      </w:pPr>
      <w:r w:rsidRPr="00132C1E">
        <w:rPr>
          <w:b/>
          <w:bCs/>
        </w:rPr>
        <w:t>Figure G.</w:t>
      </w:r>
      <w:r w:rsidR="00773115">
        <w:rPr>
          <w:b/>
          <w:bCs/>
        </w:rPr>
        <w:t>7</w:t>
      </w:r>
      <w:r w:rsidRPr="00132C1E">
        <w:rPr>
          <w:sz w:val="20"/>
        </w:rPr>
        <w:t> </w:t>
      </w:r>
      <w:r w:rsidRPr="00D1484A">
        <w:rPr>
          <w:rFonts w:ascii="`ÃÍœ˛" w:eastAsia="Cambria" w:hAnsi="`ÃÍœ˛" w:cs="`ÃÍœ˛"/>
          <w:sz w:val="20"/>
          <w:lang w:eastAsia="de-DE"/>
        </w:rPr>
        <w:t>—</w:t>
      </w:r>
      <w:r w:rsidRPr="00D1484A">
        <w:rPr>
          <w:sz w:val="20"/>
        </w:rPr>
        <w:t> </w:t>
      </w:r>
      <w:r w:rsidRPr="00D1484A">
        <w:rPr>
          <w:b/>
        </w:rPr>
        <w:t>Composite joints with</w:t>
      </w:r>
      <w:r w:rsidR="00E61662">
        <w:rPr>
          <w:b/>
        </w:rPr>
        <w:t>:</w:t>
      </w:r>
      <w:r w:rsidRPr="00D1484A">
        <w:rPr>
          <w:b/>
        </w:rPr>
        <w:t xml:space="preserve"> (a) i</w:t>
      </w:r>
      <w:r w:rsidRPr="007E6F67">
        <w:rPr>
          <w:b/>
        </w:rPr>
        <w:t>nternal; (b) external; and (c) through-diaphragm</w:t>
      </w:r>
      <w:r w:rsidRPr="00FD17CF">
        <w:rPr>
          <w:b/>
        </w:rPr>
        <w:t xml:space="preserve"> plates</w:t>
      </w:r>
    </w:p>
    <w:p w14:paraId="36320D1B" w14:textId="77777777" w:rsidR="005D7FC6" w:rsidRPr="00196951" w:rsidRDefault="005D7FC6" w:rsidP="005D7FC6">
      <w:pPr>
        <w:pStyle w:val="a2"/>
      </w:pPr>
      <w:bookmarkStart w:id="11507" w:name="_Toc50150784"/>
      <w:bookmarkStart w:id="11508" w:name="_Toc70887217"/>
      <w:bookmarkStart w:id="11509" w:name="_Toc108342820"/>
      <w:bookmarkStart w:id="11510" w:name="_Toc134198327"/>
      <w:r w:rsidRPr="00FD17CF">
        <w:rPr>
          <w:sz w:val="24"/>
          <w:szCs w:val="24"/>
        </w:rPr>
        <w:t xml:space="preserve">Full-strength </w:t>
      </w:r>
      <w:r w:rsidRPr="00E05E29">
        <w:t>composite joints with double-split tee connections in concrete filled tube columns</w:t>
      </w:r>
      <w:bookmarkEnd w:id="11507"/>
      <w:bookmarkEnd w:id="11508"/>
      <w:bookmarkEnd w:id="11509"/>
      <w:bookmarkEnd w:id="11510"/>
    </w:p>
    <w:p w14:paraId="392D99DA" w14:textId="77777777" w:rsidR="005D7FC6" w:rsidRPr="00B27CD3" w:rsidRDefault="005D7FC6" w:rsidP="005D7FC6">
      <w:pPr>
        <w:pStyle w:val="a3"/>
      </w:pPr>
      <w:bookmarkStart w:id="11511" w:name="_Toc108342821"/>
      <w:bookmarkStart w:id="11512" w:name="_Toc120543907"/>
      <w:bookmarkStart w:id="11513" w:name="_Toc134198328"/>
      <w:r w:rsidRPr="00B27CD3">
        <w:t>General</w:t>
      </w:r>
      <w:bookmarkEnd w:id="11511"/>
      <w:bookmarkEnd w:id="11512"/>
      <w:bookmarkEnd w:id="11513"/>
    </w:p>
    <w:p w14:paraId="25742041" w14:textId="7EBB5480" w:rsidR="005D7FC6" w:rsidRPr="007754C9" w:rsidRDefault="005D7FC6" w:rsidP="0080187E">
      <w:pPr>
        <w:pStyle w:val="Clause"/>
        <w:numPr>
          <w:ilvl w:val="0"/>
          <w:numId w:val="607"/>
        </w:numPr>
      </w:pPr>
      <w:bookmarkStart w:id="11514" w:name="_Toc20225942"/>
      <w:r w:rsidRPr="002144A0">
        <w:t xml:space="preserve">Full-strength composite joints with double-split tee </w:t>
      </w:r>
      <w:r w:rsidRPr="004F25D7">
        <w:t>connections (</w:t>
      </w:r>
      <w:r w:rsidRPr="00773115">
        <w:rPr>
          <w:color w:val="auto"/>
        </w:rPr>
        <w:t>see Figure G.8) should co</w:t>
      </w:r>
      <w:r w:rsidRPr="00C52095">
        <w:t>nsist of concrete-filled tube columns, I- or H-shape steel beams, tapered tee stubs and structural bolts of 10.9 class.</w:t>
      </w:r>
    </w:p>
    <w:bookmarkEnd w:id="11514"/>
    <w:p w14:paraId="4FC0F7DD" w14:textId="5755B168" w:rsidR="005D7FC6" w:rsidRPr="00E61662" w:rsidRDefault="00E61662" w:rsidP="00E61662">
      <w:pPr>
        <w:pStyle w:val="FigureImage"/>
        <w:rPr>
          <w:rFonts w:eastAsia="MS Mincho"/>
        </w:rPr>
      </w:pPr>
      <w:r>
        <w:rPr>
          <w:rFonts w:eastAsia="MS Mincho"/>
          <w:noProof/>
        </w:rPr>
        <w:drawing>
          <wp:inline distT="0" distB="0" distL="0" distR="0" wp14:anchorId="0D83B641" wp14:editId="57D28178">
            <wp:extent cx="5940562" cy="3392430"/>
            <wp:effectExtent l="0" t="0" r="3175" b="0"/>
            <wp:docPr id="44" name="g008.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g008.tiff"/>
                    <pic:cNvPicPr/>
                  </pic:nvPicPr>
                  <pic:blipFill>
                    <a:blip r:link="rId127"/>
                    <a:stretch>
                      <a:fillRect/>
                    </a:stretch>
                  </pic:blipFill>
                  <pic:spPr>
                    <a:xfrm>
                      <a:off x="0" y="0"/>
                      <a:ext cx="5940562" cy="3392430"/>
                    </a:xfrm>
                    <a:prstGeom prst="rect">
                      <a:avLst/>
                    </a:prstGeom>
                  </pic:spPr>
                </pic:pic>
              </a:graphicData>
            </a:graphic>
          </wp:inline>
        </w:drawing>
      </w:r>
    </w:p>
    <w:p w14:paraId="38F1C69B" w14:textId="77777777" w:rsidR="005D7FC6" w:rsidRPr="00D1484A" w:rsidRDefault="005D7FC6" w:rsidP="00E61662">
      <w:pPr>
        <w:pStyle w:val="KeyTitle"/>
      </w:pPr>
      <w:r w:rsidRPr="00D1484A">
        <w:t>Key</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
        <w:gridCol w:w="5778"/>
      </w:tblGrid>
      <w:tr w:rsidR="005D7FC6" w:rsidRPr="00132C1E" w14:paraId="43B82FF2" w14:textId="77777777" w:rsidTr="00F81F1B">
        <w:tc>
          <w:tcPr>
            <w:tcW w:w="392" w:type="dxa"/>
          </w:tcPr>
          <w:p w14:paraId="2E5D02AC" w14:textId="77777777" w:rsidR="005D7FC6" w:rsidRPr="00FE71E5" w:rsidRDefault="005D7FC6" w:rsidP="00F81F1B">
            <w:pPr>
              <w:pStyle w:val="KeyText"/>
              <w:spacing w:before="0"/>
              <w:rPr>
                <w:iCs/>
              </w:rPr>
            </w:pPr>
            <w:r w:rsidRPr="00FE71E5">
              <w:rPr>
                <w:iCs/>
              </w:rPr>
              <w:t>A</w:t>
            </w:r>
          </w:p>
        </w:tc>
        <w:tc>
          <w:tcPr>
            <w:tcW w:w="5778" w:type="dxa"/>
          </w:tcPr>
          <w:p w14:paraId="413C5C92" w14:textId="720590CB" w:rsidR="005D7FC6" w:rsidRPr="00FE71E5" w:rsidRDefault="00E61662" w:rsidP="00F81F1B">
            <w:pPr>
              <w:pStyle w:val="KeyText"/>
              <w:spacing w:before="0"/>
            </w:pPr>
            <w:r w:rsidRPr="00FE71E5">
              <w:rPr>
                <w:iCs/>
              </w:rPr>
              <w:t>t</w:t>
            </w:r>
            <w:r w:rsidR="005D7FC6" w:rsidRPr="00FE71E5">
              <w:rPr>
                <w:iCs/>
              </w:rPr>
              <w:t>ee-stub</w:t>
            </w:r>
          </w:p>
        </w:tc>
      </w:tr>
      <w:tr w:rsidR="005D7FC6" w:rsidRPr="00132C1E" w14:paraId="2DAAAE88" w14:textId="77777777" w:rsidTr="00F81F1B">
        <w:tc>
          <w:tcPr>
            <w:tcW w:w="392" w:type="dxa"/>
          </w:tcPr>
          <w:p w14:paraId="0C1427C4" w14:textId="77777777" w:rsidR="005D7FC6" w:rsidRPr="00FE71E5" w:rsidRDefault="005D7FC6" w:rsidP="00F81F1B">
            <w:pPr>
              <w:pStyle w:val="KeyText"/>
              <w:spacing w:before="0"/>
              <w:rPr>
                <w:iCs/>
              </w:rPr>
            </w:pPr>
            <w:r w:rsidRPr="00FE71E5">
              <w:rPr>
                <w:iCs/>
              </w:rPr>
              <w:t>B</w:t>
            </w:r>
          </w:p>
        </w:tc>
        <w:tc>
          <w:tcPr>
            <w:tcW w:w="5778" w:type="dxa"/>
          </w:tcPr>
          <w:p w14:paraId="7C463D4D" w14:textId="32637FEC" w:rsidR="005D7FC6" w:rsidRPr="00FE71E5" w:rsidRDefault="00E61662" w:rsidP="00F81F1B">
            <w:pPr>
              <w:pStyle w:val="KeyText"/>
              <w:spacing w:before="0"/>
              <w:rPr>
                <w:iCs/>
              </w:rPr>
            </w:pPr>
            <w:r w:rsidRPr="00FE71E5">
              <w:rPr>
                <w:iCs/>
              </w:rPr>
              <w:t>c</w:t>
            </w:r>
            <w:r w:rsidR="005D7FC6" w:rsidRPr="00FE71E5">
              <w:rPr>
                <w:iCs/>
              </w:rPr>
              <w:t>oncrete-filled tube</w:t>
            </w:r>
          </w:p>
        </w:tc>
      </w:tr>
      <w:tr w:rsidR="005D7FC6" w:rsidRPr="00132C1E" w14:paraId="025FE0CD" w14:textId="77777777" w:rsidTr="00F81F1B">
        <w:tc>
          <w:tcPr>
            <w:tcW w:w="392" w:type="dxa"/>
          </w:tcPr>
          <w:p w14:paraId="07F65F1E" w14:textId="77777777" w:rsidR="005D7FC6" w:rsidRPr="00FE71E5" w:rsidRDefault="005D7FC6" w:rsidP="00F81F1B">
            <w:pPr>
              <w:pStyle w:val="KeyText"/>
              <w:spacing w:before="0"/>
              <w:rPr>
                <w:iCs/>
              </w:rPr>
            </w:pPr>
            <w:r w:rsidRPr="00FE71E5">
              <w:rPr>
                <w:iCs/>
              </w:rPr>
              <w:t>C</w:t>
            </w:r>
          </w:p>
        </w:tc>
        <w:tc>
          <w:tcPr>
            <w:tcW w:w="5778" w:type="dxa"/>
          </w:tcPr>
          <w:p w14:paraId="11ABAEDC" w14:textId="60402359" w:rsidR="005D7FC6" w:rsidRPr="00FE71E5" w:rsidRDefault="00E61662" w:rsidP="00F81F1B">
            <w:pPr>
              <w:pStyle w:val="KeyText"/>
              <w:spacing w:before="0"/>
              <w:rPr>
                <w:iCs/>
              </w:rPr>
            </w:pPr>
            <w:r w:rsidRPr="00FE71E5">
              <w:rPr>
                <w:iCs/>
              </w:rPr>
              <w:t>s</w:t>
            </w:r>
            <w:r w:rsidR="005D7FC6" w:rsidRPr="00FE71E5">
              <w:rPr>
                <w:iCs/>
              </w:rPr>
              <w:t>teel beam</w:t>
            </w:r>
          </w:p>
        </w:tc>
      </w:tr>
      <w:tr w:rsidR="005D7FC6" w:rsidRPr="00132C1E" w14:paraId="3ED3E7F9" w14:textId="77777777" w:rsidTr="00F81F1B">
        <w:tc>
          <w:tcPr>
            <w:tcW w:w="392" w:type="dxa"/>
          </w:tcPr>
          <w:p w14:paraId="333FD8C3" w14:textId="77777777" w:rsidR="005D7FC6" w:rsidRPr="00FE71E5" w:rsidRDefault="005D7FC6" w:rsidP="00F81F1B">
            <w:pPr>
              <w:pStyle w:val="KeyText"/>
              <w:spacing w:before="0"/>
              <w:rPr>
                <w:iCs/>
              </w:rPr>
            </w:pPr>
            <w:r w:rsidRPr="00FE71E5">
              <w:rPr>
                <w:iCs/>
              </w:rPr>
              <w:t>D</w:t>
            </w:r>
          </w:p>
        </w:tc>
        <w:tc>
          <w:tcPr>
            <w:tcW w:w="5778" w:type="dxa"/>
          </w:tcPr>
          <w:p w14:paraId="336B84D7" w14:textId="43E0B7B4" w:rsidR="005D7FC6" w:rsidRPr="00FE71E5" w:rsidRDefault="00E61662" w:rsidP="00F81F1B">
            <w:pPr>
              <w:pStyle w:val="KeyText"/>
              <w:spacing w:before="0"/>
              <w:rPr>
                <w:iCs/>
              </w:rPr>
            </w:pPr>
            <w:r w:rsidRPr="00FE71E5">
              <w:rPr>
                <w:iCs/>
              </w:rPr>
              <w:t>w</w:t>
            </w:r>
            <w:r w:rsidR="005D7FC6" w:rsidRPr="00FE71E5">
              <w:rPr>
                <w:iCs/>
              </w:rPr>
              <w:t>eb panel joint</w:t>
            </w:r>
          </w:p>
        </w:tc>
      </w:tr>
      <w:tr w:rsidR="005D7FC6" w:rsidRPr="00132C1E" w14:paraId="4C2F1838" w14:textId="77777777" w:rsidTr="00F81F1B">
        <w:tc>
          <w:tcPr>
            <w:tcW w:w="392" w:type="dxa"/>
          </w:tcPr>
          <w:p w14:paraId="62771A51" w14:textId="77777777" w:rsidR="005D7FC6" w:rsidRPr="00FE71E5" w:rsidRDefault="005D7FC6" w:rsidP="00F81F1B">
            <w:pPr>
              <w:pStyle w:val="KeyText"/>
              <w:spacing w:before="0"/>
              <w:rPr>
                <w:iCs/>
              </w:rPr>
            </w:pPr>
            <w:r w:rsidRPr="00FE71E5">
              <w:rPr>
                <w:iCs/>
              </w:rPr>
              <w:t>E</w:t>
            </w:r>
          </w:p>
        </w:tc>
        <w:tc>
          <w:tcPr>
            <w:tcW w:w="5778" w:type="dxa"/>
          </w:tcPr>
          <w:p w14:paraId="0E396D9F" w14:textId="76F72D78" w:rsidR="005D7FC6" w:rsidRPr="00FE71E5" w:rsidRDefault="00E61662" w:rsidP="00F81F1B">
            <w:pPr>
              <w:pStyle w:val="KeyText"/>
              <w:spacing w:before="0"/>
              <w:rPr>
                <w:iCs/>
              </w:rPr>
            </w:pPr>
            <w:r w:rsidRPr="00FE71E5">
              <w:rPr>
                <w:iCs/>
              </w:rPr>
              <w:t>s</w:t>
            </w:r>
            <w:r w:rsidR="005D7FC6" w:rsidRPr="00FE71E5">
              <w:rPr>
                <w:iCs/>
              </w:rPr>
              <w:t>tructural bolt</w:t>
            </w:r>
          </w:p>
        </w:tc>
      </w:tr>
      <w:tr w:rsidR="005D7FC6" w:rsidRPr="00E56869" w14:paraId="31A9FF19" w14:textId="77777777" w:rsidTr="00F81F1B">
        <w:tc>
          <w:tcPr>
            <w:tcW w:w="392" w:type="dxa"/>
          </w:tcPr>
          <w:p w14:paraId="45C103AB" w14:textId="77777777" w:rsidR="005D7FC6" w:rsidRPr="00FE71E5" w:rsidRDefault="005D7FC6" w:rsidP="00F81F1B">
            <w:pPr>
              <w:pStyle w:val="KeyText"/>
              <w:spacing w:before="0"/>
              <w:rPr>
                <w:iCs/>
              </w:rPr>
            </w:pPr>
            <w:r w:rsidRPr="00FE71E5">
              <w:rPr>
                <w:iCs/>
              </w:rPr>
              <w:t>F</w:t>
            </w:r>
          </w:p>
        </w:tc>
        <w:tc>
          <w:tcPr>
            <w:tcW w:w="5778" w:type="dxa"/>
          </w:tcPr>
          <w:p w14:paraId="18B6A378" w14:textId="66FE2A26" w:rsidR="005D7FC6" w:rsidRPr="00FE71E5" w:rsidRDefault="00E61662" w:rsidP="00F81F1B">
            <w:pPr>
              <w:pStyle w:val="KeyText"/>
              <w:spacing w:before="0"/>
              <w:rPr>
                <w:iCs/>
              </w:rPr>
            </w:pPr>
            <w:r w:rsidRPr="00FE71E5">
              <w:rPr>
                <w:iCs/>
              </w:rPr>
              <w:t>c</w:t>
            </w:r>
            <w:r w:rsidR="005D7FC6" w:rsidRPr="00FE71E5">
              <w:rPr>
                <w:iCs/>
              </w:rPr>
              <w:t>ompressive length of tee-stub</w:t>
            </w:r>
          </w:p>
        </w:tc>
      </w:tr>
      <w:tr w:rsidR="005D7FC6" w:rsidRPr="00E56869" w14:paraId="50A36DAD" w14:textId="77777777" w:rsidTr="00F81F1B">
        <w:tc>
          <w:tcPr>
            <w:tcW w:w="392" w:type="dxa"/>
          </w:tcPr>
          <w:p w14:paraId="61AC2704" w14:textId="77777777" w:rsidR="005D7FC6" w:rsidRPr="00FE71E5" w:rsidRDefault="005D7FC6" w:rsidP="00F81F1B">
            <w:pPr>
              <w:pStyle w:val="KeyText"/>
              <w:spacing w:before="0"/>
              <w:rPr>
                <w:iCs/>
              </w:rPr>
            </w:pPr>
            <w:r w:rsidRPr="00FE71E5">
              <w:rPr>
                <w:iCs/>
              </w:rPr>
              <w:t>G</w:t>
            </w:r>
          </w:p>
        </w:tc>
        <w:tc>
          <w:tcPr>
            <w:tcW w:w="5778" w:type="dxa"/>
          </w:tcPr>
          <w:p w14:paraId="2461A27D" w14:textId="63209A36" w:rsidR="005D7FC6" w:rsidRPr="00FE71E5" w:rsidRDefault="00E61662" w:rsidP="00F81F1B">
            <w:pPr>
              <w:pStyle w:val="KeyText"/>
              <w:spacing w:before="0"/>
              <w:rPr>
                <w:iCs/>
              </w:rPr>
            </w:pPr>
            <w:r w:rsidRPr="00FE71E5">
              <w:rPr>
                <w:iCs/>
              </w:rPr>
              <w:t>f</w:t>
            </w:r>
            <w:r w:rsidR="005D7FC6" w:rsidRPr="00FE71E5">
              <w:rPr>
                <w:iCs/>
              </w:rPr>
              <w:t>illet weld of tee-stub to the steel beam flange</w:t>
            </w:r>
          </w:p>
        </w:tc>
      </w:tr>
    </w:tbl>
    <w:p w14:paraId="28B35EA4" w14:textId="4FF6275B" w:rsidR="005D7FC6" w:rsidRPr="007E6F67" w:rsidRDefault="005D7FC6" w:rsidP="005D7FC6">
      <w:pPr>
        <w:pStyle w:val="Figuretitle"/>
      </w:pPr>
      <w:bookmarkStart w:id="11515" w:name="_Ref22722240"/>
      <w:r w:rsidRPr="00132C1E">
        <w:t>Figure G.</w:t>
      </w:r>
      <w:bookmarkEnd w:id="11515"/>
      <w:r w:rsidRPr="00132C1E">
        <w:t>8 </w:t>
      </w:r>
      <w:r w:rsidRPr="00D1484A">
        <w:rPr>
          <w:rFonts w:ascii="`ÃÍœ˛" w:eastAsia="Cambria" w:hAnsi="`ÃÍœ˛" w:cs="`ÃÍœ˛"/>
          <w:sz w:val="20"/>
          <w:lang w:eastAsia="de-DE"/>
        </w:rPr>
        <w:t>—</w:t>
      </w:r>
      <w:r w:rsidRPr="00D1484A">
        <w:rPr>
          <w:sz w:val="20"/>
        </w:rPr>
        <w:t> </w:t>
      </w:r>
      <w:r w:rsidRPr="00132C1E">
        <w:t xml:space="preserve">Composite joint with double-split tee connections in filled </w:t>
      </w:r>
      <w:r w:rsidRPr="00D1484A">
        <w:t>composite columns</w:t>
      </w:r>
    </w:p>
    <w:p w14:paraId="0442766D" w14:textId="54F3F7F6" w:rsidR="005D7FC6" w:rsidRPr="00E05E29" w:rsidRDefault="005D7FC6" w:rsidP="00724E4E">
      <w:pPr>
        <w:pStyle w:val="Clause"/>
      </w:pPr>
      <w:r w:rsidRPr="00FD17CF">
        <w:t>The tee stub flange should be attached to the concrete filled tube column using slip-critical through structural bolts.</w:t>
      </w:r>
    </w:p>
    <w:p w14:paraId="04C5D399" w14:textId="2E7C8564" w:rsidR="005D7FC6" w:rsidRPr="002144A0" w:rsidRDefault="005D7FC6" w:rsidP="00724E4E">
      <w:pPr>
        <w:pStyle w:val="Clause"/>
      </w:pPr>
      <w:r w:rsidRPr="00196951">
        <w:t>The tee stub stem should be either bolted or fillet welded to the beam flanges.</w:t>
      </w:r>
    </w:p>
    <w:p w14:paraId="1E63DE46" w14:textId="77777777" w:rsidR="005D7FC6" w:rsidRPr="00132C1E" w:rsidRDefault="005D7FC6" w:rsidP="005D7FC6">
      <w:pPr>
        <w:pStyle w:val="a3"/>
      </w:pPr>
      <w:bookmarkStart w:id="11516" w:name="_Toc118362930"/>
      <w:bookmarkStart w:id="11517" w:name="_Toc118362931"/>
      <w:bookmarkStart w:id="11518" w:name="_Toc118362932"/>
      <w:bookmarkStart w:id="11519" w:name="_Toc108342823"/>
      <w:bookmarkStart w:id="11520" w:name="_Toc120543908"/>
      <w:bookmarkStart w:id="11521" w:name="_Toc134198329"/>
      <w:bookmarkEnd w:id="11516"/>
      <w:bookmarkEnd w:id="11517"/>
      <w:bookmarkEnd w:id="11518"/>
      <w:r w:rsidRPr="00132C1E">
        <w:t>Joint shear resistance</w:t>
      </w:r>
      <w:bookmarkEnd w:id="11519"/>
      <w:bookmarkEnd w:id="11520"/>
      <w:bookmarkEnd w:id="11521"/>
    </w:p>
    <w:p w14:paraId="7852E1EB" w14:textId="1F015FEE" w:rsidR="005D7FC6" w:rsidRPr="00132C1E" w:rsidRDefault="005D7FC6" w:rsidP="0080187E">
      <w:pPr>
        <w:pStyle w:val="Clause"/>
        <w:numPr>
          <w:ilvl w:val="0"/>
          <w:numId w:val="608"/>
        </w:numPr>
      </w:pPr>
      <w:r w:rsidRPr="00835C82">
        <w:t>G.5.3</w:t>
      </w:r>
      <w:r w:rsidRPr="005D7FC6">
        <w:t xml:space="preserve"> should </w:t>
      </w:r>
      <w:r w:rsidRPr="00132C1E">
        <w:t>be applied.</w:t>
      </w:r>
    </w:p>
    <w:p w14:paraId="1EB1E0F2" w14:textId="77777777" w:rsidR="005D7FC6" w:rsidRPr="00B27CD3" w:rsidRDefault="005D7FC6" w:rsidP="005D7FC6">
      <w:pPr>
        <w:pStyle w:val="a3"/>
      </w:pPr>
      <w:bookmarkStart w:id="11522" w:name="_Toc108342824"/>
      <w:bookmarkStart w:id="11523" w:name="_Toc120543909"/>
      <w:bookmarkStart w:id="11524" w:name="_Toc134198330"/>
      <w:r w:rsidRPr="00B27CD3">
        <w:t>Length and size of welds required to resist the beam flange forces in the joint</w:t>
      </w:r>
      <w:bookmarkEnd w:id="11522"/>
      <w:bookmarkEnd w:id="11523"/>
      <w:bookmarkEnd w:id="11524"/>
    </w:p>
    <w:p w14:paraId="290F5F09" w14:textId="6C1502E6" w:rsidR="005D7FC6" w:rsidRPr="00132C1E" w:rsidRDefault="005D7FC6" w:rsidP="0080187E">
      <w:pPr>
        <w:pStyle w:val="Clause"/>
        <w:numPr>
          <w:ilvl w:val="0"/>
          <w:numId w:val="609"/>
        </w:numPr>
      </w:pPr>
      <w:r w:rsidRPr="00132C1E">
        <w:t>Welds in a tee-stem welded to the beam flanges should be calculated for the flange forces due to the plastic bending resistance of the connected composite or steel beam.</w:t>
      </w:r>
    </w:p>
    <w:p w14:paraId="4DBD9BCF" w14:textId="7D1D17C1" w:rsidR="005D7FC6" w:rsidRPr="00FD6D36" w:rsidRDefault="005D7FC6" w:rsidP="00724E4E">
      <w:pPr>
        <w:pStyle w:val="Clause"/>
      </w:pPr>
      <w:r w:rsidRPr="00132C1E">
        <w:t xml:space="preserve">The weld length, </w:t>
      </w:r>
      <m:oMath>
        <m:sSub>
          <m:sSubPr>
            <m:ctrlPr>
              <w:rPr>
                <w:rFonts w:ascii="Cambria Math" w:hAnsi="Cambria Math"/>
                <w:i/>
              </w:rPr>
            </m:ctrlPr>
          </m:sSubPr>
          <m:e>
            <m:r>
              <w:rPr>
                <w:rFonts w:ascii="Cambria Math" w:hAnsi="Cambria Math"/>
              </w:rPr>
              <m:t>l</m:t>
            </m:r>
          </m:e>
          <m:sub>
            <m:r>
              <m:rPr>
                <m:sty m:val="p"/>
              </m:rPr>
              <w:rPr>
                <w:rFonts w:ascii="Cambria Math" w:hAnsi="Cambria Math"/>
              </w:rPr>
              <m:t>weld</m:t>
            </m:r>
          </m:sub>
        </m:sSub>
      </m:oMath>
      <w:r w:rsidRPr="00132C1E">
        <w:t>, for the tee-stem should be calculated for a give</w:t>
      </w:r>
      <w:r w:rsidRPr="00D1484A">
        <w:t xml:space="preserve">n weld thickness, </w:t>
      </w:r>
      <w:r w:rsidRPr="007E6F67">
        <w:rPr>
          <w:i/>
          <w:iCs/>
        </w:rPr>
        <w:t>t</w:t>
      </w:r>
      <w:r w:rsidRPr="00FD17CF">
        <w:rPr>
          <w:vertAlign w:val="subscript"/>
        </w:rPr>
        <w:t>weld</w:t>
      </w:r>
      <w:r w:rsidRPr="00FD17CF">
        <w:t xml:space="preserve">, according </w:t>
      </w:r>
      <w:r w:rsidRPr="005D7FC6">
        <w:t>to Formula (G.21).</w:t>
      </w:r>
    </w:p>
    <w:p w14:paraId="5186238D" w14:textId="4291DF0B" w:rsidR="005D7FC6" w:rsidRDefault="009B5CEC" w:rsidP="005D7FC6">
      <w:pPr>
        <w:pStyle w:val="Formula"/>
        <w:spacing w:before="240"/>
      </w:pPr>
      <m:oMath>
        <m:sSub>
          <m:sSubPr>
            <m:ctrlPr>
              <w:rPr>
                <w:rFonts w:ascii="Cambria Math" w:hAnsi="Cambria Math"/>
              </w:rPr>
            </m:ctrlPr>
          </m:sSubPr>
          <m:e>
            <m:r>
              <w:rPr>
                <w:rFonts w:ascii="Cambria Math" w:hAnsi="Cambria Math"/>
              </w:rPr>
              <m:t>l</m:t>
            </m:r>
          </m:e>
          <m:sub>
            <m:r>
              <m:rPr>
                <m:sty m:val="p"/>
              </m:rPr>
              <w:rPr>
                <w:rFonts w:ascii="Cambria Math" w:hAnsi="Cambria Math"/>
              </w:rPr>
              <m:t>weld</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M</m:t>
                </m:r>
              </m:e>
              <m:sub>
                <m:r>
                  <m:rPr>
                    <m:sty m:val="p"/>
                  </m:rPr>
                  <w:rPr>
                    <w:rFonts w:ascii="Cambria Math" w:hAnsi="Cambria Math"/>
                  </w:rPr>
                  <m:t>pl,Rd</m:t>
                </m:r>
              </m:sub>
            </m:sSub>
          </m:num>
          <m:den>
            <m:r>
              <w:rPr>
                <w:rFonts w:ascii="Cambria Math" w:hAnsi="Cambria Math"/>
              </w:rPr>
              <m:t>2</m:t>
            </m:r>
            <m:sSub>
              <m:sSubPr>
                <m:ctrlPr>
                  <w:rPr>
                    <w:rFonts w:ascii="Cambria Math" w:hAnsi="Cambria Math"/>
                  </w:rPr>
                </m:ctrlPr>
              </m:sSubPr>
              <m:e>
                <m:r>
                  <w:rPr>
                    <w:rFonts w:ascii="Cambria Math" w:hAnsi="Cambria Math"/>
                  </w:rPr>
                  <m:t>h</m:t>
                </m:r>
              </m:e>
              <m:sub>
                <m:r>
                  <m:rPr>
                    <m:sty m:val="p"/>
                  </m:rPr>
                  <w:rPr>
                    <w:rFonts w:ascii="Cambria Math" w:hAnsi="Cambria Math"/>
                  </w:rPr>
                  <m:t>b</m:t>
                </m:r>
              </m:sub>
            </m:sSub>
            <m:sSub>
              <m:sSubPr>
                <m:ctrlPr>
                  <w:rPr>
                    <w:rFonts w:ascii="Cambria Math" w:hAnsi="Cambria Math"/>
                  </w:rPr>
                </m:ctrlPr>
              </m:sSubPr>
              <m:e>
                <m:r>
                  <w:rPr>
                    <w:rFonts w:ascii="Cambria Math" w:hAnsi="Cambria Math"/>
                  </w:rPr>
                  <m:t>f</m:t>
                </m:r>
              </m:e>
              <m:sub>
                <m:r>
                  <m:rPr>
                    <m:sty m:val="p"/>
                  </m:rPr>
                  <w:rPr>
                    <w:rFonts w:ascii="Cambria Math" w:hAnsi="Cambria Math"/>
                  </w:rPr>
                  <m:t>y,we</m:t>
                </m:r>
              </m:sub>
            </m:sSub>
            <m:r>
              <w:rPr>
                <w:rFonts w:ascii="Cambria Math" w:hAnsi="Cambria Math"/>
              </w:rPr>
              <m:t xml:space="preserve"> </m:t>
            </m:r>
            <m:sSub>
              <m:sSubPr>
                <m:ctrlPr>
                  <w:rPr>
                    <w:rFonts w:ascii="Cambria Math" w:hAnsi="Cambria Math"/>
                  </w:rPr>
                </m:ctrlPr>
              </m:sSubPr>
              <m:e>
                <m:r>
                  <w:rPr>
                    <w:rFonts w:ascii="Cambria Math" w:hAnsi="Cambria Math"/>
                  </w:rPr>
                  <m:t>t</m:t>
                </m:r>
              </m:e>
              <m:sub>
                <m:r>
                  <m:rPr>
                    <m:sty m:val="p"/>
                  </m:rPr>
                  <w:rPr>
                    <w:rFonts w:ascii="Cambria Math" w:hAnsi="Cambria Math"/>
                  </w:rPr>
                  <m:t>weld</m:t>
                </m:r>
              </m:sub>
            </m:sSub>
          </m:den>
        </m:f>
      </m:oMath>
      <w:r w:rsidR="005D7FC6" w:rsidRPr="00922D9B">
        <w:tab/>
        <w:t>(G.</w:t>
      </w:r>
      <w:r w:rsidR="005D7FC6">
        <w:t>21</w:t>
      </w:r>
      <w:r w:rsidR="005D7FC6" w:rsidRPr="00922D9B">
        <w:t>)</w:t>
      </w:r>
    </w:p>
    <w:p w14:paraId="220EAB18" w14:textId="0D091D13" w:rsidR="005D7FC6" w:rsidRPr="00D1484A" w:rsidRDefault="00675EBA" w:rsidP="00773115">
      <w:pPr>
        <w:pStyle w:val="Text"/>
      </w:pPr>
      <w:r>
        <w:t>where</w:t>
      </w:r>
    </w:p>
    <w:tbl>
      <w:tblPr>
        <w:tblW w:w="0" w:type="auto"/>
        <w:tblInd w:w="346" w:type="dxa"/>
        <w:tblLook w:val="04A0" w:firstRow="1" w:lastRow="0" w:firstColumn="1" w:lastColumn="0" w:noHBand="0" w:noVBand="1"/>
      </w:tblPr>
      <w:tblGrid>
        <w:gridCol w:w="1275"/>
        <w:gridCol w:w="7938"/>
      </w:tblGrid>
      <w:tr w:rsidR="005D7FC6" w:rsidRPr="00773115" w14:paraId="4C0A130E" w14:textId="77777777" w:rsidTr="00F81F1B">
        <w:tc>
          <w:tcPr>
            <w:tcW w:w="1275" w:type="dxa"/>
          </w:tcPr>
          <w:p w14:paraId="27C68D83" w14:textId="1556FFE0" w:rsidR="005D7FC6" w:rsidRPr="00460668" w:rsidRDefault="009B5CEC" w:rsidP="002061E5">
            <w:pPr>
              <w:spacing w:after="60"/>
              <w:rPr>
                <w:rFonts w:eastAsia="Times New Roman" w:cs="Cambria"/>
                <w:szCs w:val="20"/>
                <w:lang w:eastAsia="fr-FR"/>
              </w:rPr>
            </w:pPr>
            <m:oMathPara>
              <m:oMathParaPr>
                <m:jc m:val="left"/>
              </m:oMathParaPr>
              <m:oMath>
                <m:sSub>
                  <m:sSubPr>
                    <m:ctrlPr>
                      <w:rPr>
                        <w:rFonts w:ascii="Cambria Math" w:hAnsi="Cambria Math"/>
                        <w:i/>
                      </w:rPr>
                    </m:ctrlPr>
                  </m:sSubPr>
                  <m:e>
                    <m:r>
                      <w:rPr>
                        <w:rFonts w:ascii="Cambria Math" w:hAnsi="Cambria Math"/>
                      </w:rPr>
                      <m:t>M</m:t>
                    </m:r>
                  </m:e>
                  <m:sub>
                    <m:r>
                      <w:rPr>
                        <w:rFonts w:ascii="Cambria Math" w:hAnsi="Cambria Math"/>
                      </w:rPr>
                      <m:t>p</m:t>
                    </m:r>
                    <m:r>
                      <m:rPr>
                        <m:sty m:val="p"/>
                      </m:rPr>
                      <w:rPr>
                        <w:rFonts w:ascii="Cambria Math" w:hAnsi="Cambria Math"/>
                      </w:rPr>
                      <m:t>l,Rd</m:t>
                    </m:r>
                  </m:sub>
                </m:sSub>
              </m:oMath>
            </m:oMathPara>
          </w:p>
        </w:tc>
        <w:tc>
          <w:tcPr>
            <w:tcW w:w="7938" w:type="dxa"/>
          </w:tcPr>
          <w:p w14:paraId="072FB39C" w14:textId="799F4ED3" w:rsidR="005D7FC6" w:rsidRPr="00773115" w:rsidRDefault="001A3C3C" w:rsidP="002061E5">
            <w:pPr>
              <w:pStyle w:val="Listofsymbols"/>
              <w:rPr>
                <w:szCs w:val="22"/>
              </w:rPr>
            </w:pPr>
            <w:r w:rsidRPr="00773115">
              <w:t>is the design plastic bending resistance of the joint calculated according to G.7.2(1);</w:t>
            </w:r>
          </w:p>
        </w:tc>
      </w:tr>
      <w:tr w:rsidR="005D7FC6" w:rsidRPr="00870D59" w14:paraId="7BB59D71" w14:textId="77777777" w:rsidTr="00F81F1B">
        <w:tc>
          <w:tcPr>
            <w:tcW w:w="1275" w:type="dxa"/>
          </w:tcPr>
          <w:p w14:paraId="3989E072" w14:textId="3A7EFD87" w:rsidR="005D7FC6" w:rsidRPr="00F41E63" w:rsidRDefault="009B5CEC" w:rsidP="002061E5">
            <w:pPr>
              <w:spacing w:after="60"/>
              <w:rPr>
                <w:lang w:eastAsia="de-DE"/>
              </w:rPr>
            </w:pPr>
            <m:oMathPara>
              <m:oMathParaPr>
                <m:jc m:val="left"/>
              </m:oMathParaPr>
              <m:oMath>
                <m:sSub>
                  <m:sSubPr>
                    <m:ctrlPr>
                      <w:rPr>
                        <w:rFonts w:ascii="Cambria Math" w:hAnsi="Cambria Math"/>
                        <w:i/>
                      </w:rPr>
                    </m:ctrlPr>
                  </m:sSubPr>
                  <m:e>
                    <m:r>
                      <w:rPr>
                        <w:rFonts w:ascii="Cambria Math" w:hAnsi="Cambria Math"/>
                      </w:rPr>
                      <m:t>h</m:t>
                    </m:r>
                  </m:e>
                  <m:sub>
                    <m:r>
                      <m:rPr>
                        <m:sty m:val="p"/>
                      </m:rPr>
                      <w:rPr>
                        <w:rFonts w:ascii="Cambria Math" w:hAnsi="Cambria Math"/>
                      </w:rPr>
                      <m:t>b</m:t>
                    </m:r>
                  </m:sub>
                </m:sSub>
              </m:oMath>
            </m:oMathPara>
          </w:p>
        </w:tc>
        <w:tc>
          <w:tcPr>
            <w:tcW w:w="7938" w:type="dxa"/>
          </w:tcPr>
          <w:p w14:paraId="79743F84" w14:textId="42532771" w:rsidR="005D7FC6" w:rsidRPr="006A11A7" w:rsidRDefault="001A3C3C" w:rsidP="002061E5">
            <w:pPr>
              <w:spacing w:after="60"/>
            </w:pPr>
            <w:r w:rsidRPr="007505A6">
              <w:t>is the depth of the steel beam (</w:t>
            </w:r>
            <w:r w:rsidRPr="001A3C3C">
              <w:t>see Figure G.8);</w:t>
            </w:r>
          </w:p>
        </w:tc>
      </w:tr>
      <w:tr w:rsidR="005D7FC6" w:rsidRPr="00F41E63" w14:paraId="44DE5E26" w14:textId="77777777" w:rsidTr="00F81F1B">
        <w:tc>
          <w:tcPr>
            <w:tcW w:w="1275" w:type="dxa"/>
          </w:tcPr>
          <w:p w14:paraId="0165E6E0" w14:textId="2B86E5C8" w:rsidR="005D7FC6" w:rsidRPr="006A11A7" w:rsidRDefault="009B5CEC" w:rsidP="002061E5">
            <w:pPr>
              <w:spacing w:after="60"/>
              <w:rPr>
                <w:rFonts w:ascii="Cambria Math" w:hAnsi="Cambria Math"/>
                <w:oMath/>
              </w:rPr>
            </w:pPr>
            <m:oMathPara>
              <m:oMathParaPr>
                <m:jc m:val="left"/>
              </m:oMathParaPr>
              <m:oMath>
                <m:sSub>
                  <m:sSubPr>
                    <m:ctrlPr>
                      <w:rPr>
                        <w:rFonts w:ascii="Cambria Math" w:hAnsi="Cambria Math"/>
                        <w:i/>
                      </w:rPr>
                    </m:ctrlPr>
                  </m:sSubPr>
                  <m:e>
                    <m:r>
                      <w:rPr>
                        <w:rFonts w:ascii="Cambria Math" w:hAnsi="Cambria Math"/>
                      </w:rPr>
                      <m:t>f</m:t>
                    </m:r>
                  </m:e>
                  <m:sub>
                    <m:r>
                      <m:rPr>
                        <m:sty m:val="p"/>
                      </m:rPr>
                      <w:rPr>
                        <w:rFonts w:ascii="Cambria Math" w:hAnsi="Cambria Math"/>
                      </w:rPr>
                      <m:t>y,we</m:t>
                    </m:r>
                  </m:sub>
                </m:sSub>
              </m:oMath>
            </m:oMathPara>
          </w:p>
        </w:tc>
        <w:tc>
          <w:tcPr>
            <w:tcW w:w="7938" w:type="dxa"/>
          </w:tcPr>
          <w:p w14:paraId="3D56C55D" w14:textId="57F51AE3" w:rsidR="005D7FC6" w:rsidRPr="006A11A7" w:rsidRDefault="001A3C3C" w:rsidP="002061E5">
            <w:pPr>
              <w:spacing w:after="60"/>
            </w:pPr>
            <w:r w:rsidRPr="007505A6">
              <w:t>is the nominal yield strength of the fillet weld.</w:t>
            </w:r>
          </w:p>
        </w:tc>
      </w:tr>
    </w:tbl>
    <w:p w14:paraId="61F5ABE8" w14:textId="77777777" w:rsidR="00183272" w:rsidRPr="007E6F67" w:rsidRDefault="00183272" w:rsidP="00183272">
      <w:pPr>
        <w:pStyle w:val="a3"/>
      </w:pPr>
      <w:bookmarkStart w:id="11525" w:name="_Toc108342825"/>
      <w:bookmarkStart w:id="11526" w:name="_Toc120543910"/>
      <w:bookmarkStart w:id="11527" w:name="_Toc134198331"/>
      <w:r w:rsidRPr="00D1484A">
        <w:t>Design of T-stem</w:t>
      </w:r>
      <w:bookmarkEnd w:id="11525"/>
      <w:bookmarkEnd w:id="11526"/>
      <w:bookmarkEnd w:id="11527"/>
    </w:p>
    <w:p w14:paraId="28D0DE51" w14:textId="324E8B93" w:rsidR="00183272" w:rsidRPr="00D1484A" w:rsidRDefault="00183272" w:rsidP="0080187E">
      <w:pPr>
        <w:pStyle w:val="Clause"/>
        <w:numPr>
          <w:ilvl w:val="0"/>
          <w:numId w:val="610"/>
        </w:numPr>
      </w:pPr>
      <w:r w:rsidRPr="00FD17CF">
        <w:t xml:space="preserve">The tee-stem of tee-stubs should be designed to resist the flange force, </w:t>
      </w:r>
      <m:oMath>
        <m:sSub>
          <m:sSubPr>
            <m:ctrlPr>
              <w:rPr>
                <w:rFonts w:ascii="Cambria Math" w:hAnsi="Cambria Math"/>
                <w:i/>
              </w:rPr>
            </m:ctrlPr>
          </m:sSubPr>
          <m:e>
            <m:r>
              <w:rPr>
                <w:rFonts w:ascii="Cambria Math" w:hAnsi="Cambria Math"/>
              </w:rPr>
              <m:t>N</m:t>
            </m:r>
          </m:e>
          <m:sub>
            <m:r>
              <m:rPr>
                <m:sty m:val="p"/>
              </m:rPr>
              <w:rPr>
                <w:rFonts w:ascii="Cambria Math" w:hAnsi="Cambria Math"/>
              </w:rPr>
              <m:t>f</m:t>
            </m:r>
          </m:sub>
        </m:sSub>
      </m:oMath>
      <w:r w:rsidRPr="00132C1E">
        <w:t>,</w:t>
      </w:r>
      <w:r w:rsidRPr="00D1484A">
        <w:t xml:space="preserve"> in the tee-stub due to the moment at the face of the column and should be verified against gross section yielding, net section fracture and compression due to flexural yielding.</w:t>
      </w:r>
    </w:p>
    <w:p w14:paraId="6FED86A4" w14:textId="32280317" w:rsidR="00183272" w:rsidRPr="00FD6D36" w:rsidRDefault="00183272" w:rsidP="00724E4E">
      <w:pPr>
        <w:pStyle w:val="Clause"/>
      </w:pPr>
      <w:r w:rsidRPr="007E6F67">
        <w:t xml:space="preserve">The flange force, </w:t>
      </w:r>
      <m:oMath>
        <m:sSub>
          <m:sSubPr>
            <m:ctrlPr>
              <w:rPr>
                <w:rFonts w:ascii="Cambria Math" w:hAnsi="Cambria Math"/>
                <w:i/>
              </w:rPr>
            </m:ctrlPr>
          </m:sSubPr>
          <m:e>
            <m:r>
              <w:rPr>
                <w:rFonts w:ascii="Cambria Math" w:hAnsi="Cambria Math"/>
              </w:rPr>
              <m:t>N</m:t>
            </m:r>
          </m:e>
          <m:sub>
            <m:r>
              <w:rPr>
                <w:rFonts w:ascii="Cambria Math" w:hAnsi="Cambria Math"/>
              </w:rPr>
              <m:t>f</m:t>
            </m:r>
          </m:sub>
        </m:sSub>
      </m:oMath>
      <w:r w:rsidRPr="00132C1E">
        <w:t>, should be calculated according t</w:t>
      </w:r>
      <w:r w:rsidRPr="00183272">
        <w:t>o Formula (G.22).</w:t>
      </w:r>
    </w:p>
    <w:p w14:paraId="466851D3" w14:textId="294954A4" w:rsidR="00183272" w:rsidRDefault="009B5CEC" w:rsidP="00183272">
      <w:pPr>
        <w:pStyle w:val="Formula"/>
        <w:spacing w:before="240"/>
      </w:pPr>
      <m:oMath>
        <m:sSub>
          <m:sSubPr>
            <m:ctrlPr>
              <w:rPr>
                <w:rFonts w:ascii="Cambria Math" w:hAnsi="Cambria Math"/>
              </w:rPr>
            </m:ctrlPr>
          </m:sSubPr>
          <m:e>
            <m:r>
              <w:rPr>
                <w:rFonts w:ascii="Cambria Math" w:hAnsi="Cambria Math"/>
              </w:rPr>
              <m:t>N</m:t>
            </m:r>
          </m:e>
          <m:sub>
            <m:r>
              <m:rPr>
                <m:sty m:val="p"/>
              </m:rPr>
              <w:rPr>
                <w:rFonts w:ascii="Cambria Math" w:hAnsi="Cambria Math"/>
              </w:rPr>
              <m:t>f</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M</m:t>
                </m:r>
              </m:e>
              <m:sub>
                <m:r>
                  <m:rPr>
                    <m:sty m:val="p"/>
                  </m:rPr>
                  <w:rPr>
                    <w:rFonts w:ascii="Cambria Math" w:hAnsi="Cambria Math"/>
                  </w:rPr>
                  <m:t>pl,Rd</m:t>
                </m:r>
              </m:sub>
            </m:sSub>
          </m:num>
          <m:den>
            <m:r>
              <w:rPr>
                <w:rFonts w:ascii="Cambria Math" w:hAnsi="Cambria Math"/>
              </w:rPr>
              <m:t>1,05</m:t>
            </m:r>
            <m:sSub>
              <m:sSubPr>
                <m:ctrlPr>
                  <w:rPr>
                    <w:rFonts w:ascii="Cambria Math" w:hAnsi="Cambria Math"/>
                  </w:rPr>
                </m:ctrlPr>
              </m:sSubPr>
              <m:e>
                <m:r>
                  <w:rPr>
                    <w:rFonts w:ascii="Cambria Math" w:hAnsi="Cambria Math"/>
                  </w:rPr>
                  <m:t>h</m:t>
                </m:r>
              </m:e>
              <m:sub>
                <m:r>
                  <m:rPr>
                    <m:sty m:val="p"/>
                  </m:rPr>
                  <w:rPr>
                    <w:rFonts w:ascii="Cambria Math" w:hAnsi="Cambria Math"/>
                  </w:rPr>
                  <m:t>b</m:t>
                </m:r>
              </m:sub>
            </m:sSub>
          </m:den>
        </m:f>
      </m:oMath>
      <w:r w:rsidR="00183272" w:rsidRPr="00922D9B">
        <w:tab/>
        <w:t>(G.</w:t>
      </w:r>
      <w:r w:rsidR="00183272">
        <w:t>22</w:t>
      </w:r>
      <w:r w:rsidR="00183272" w:rsidRPr="00922D9B">
        <w:t>)</w:t>
      </w:r>
    </w:p>
    <w:p w14:paraId="7B9A4EBC" w14:textId="440B4C91" w:rsidR="00183272" w:rsidRPr="00FD6D36" w:rsidRDefault="00183272" w:rsidP="00724E4E">
      <w:pPr>
        <w:pStyle w:val="Clause"/>
      </w:pPr>
      <w:r w:rsidRPr="00D1484A">
        <w:t xml:space="preserve">The minimum stem thickness to resist gross section yielding should be calculated according to </w:t>
      </w:r>
      <w:r w:rsidRPr="00183272">
        <w:t>Formula (G.23).</w:t>
      </w:r>
    </w:p>
    <w:p w14:paraId="77A37F24" w14:textId="5B2013A8" w:rsidR="00183272" w:rsidRDefault="009B5CEC" w:rsidP="00183272">
      <w:pPr>
        <w:pStyle w:val="Formula"/>
        <w:spacing w:before="240"/>
      </w:pPr>
      <m:oMath>
        <m:sSub>
          <m:sSubPr>
            <m:ctrlPr>
              <w:rPr>
                <w:rFonts w:ascii="Cambria Math" w:hAnsi="Cambria Math"/>
              </w:rPr>
            </m:ctrlPr>
          </m:sSubPr>
          <m:e>
            <m:r>
              <w:rPr>
                <w:rFonts w:ascii="Cambria Math" w:hAnsi="Cambria Math"/>
              </w:rPr>
              <m:t>t</m:t>
            </m:r>
          </m:e>
          <m:sub>
            <m:r>
              <m:rPr>
                <m:sty m:val="p"/>
              </m:rPr>
              <w:rPr>
                <w:rFonts w:ascii="Cambria Math" w:hAnsi="Cambria Math"/>
              </w:rPr>
              <m:t>st</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N</m:t>
                </m:r>
              </m:e>
              <m:sub>
                <m:r>
                  <m:rPr>
                    <m:sty m:val="p"/>
                  </m:rPr>
                  <w:rPr>
                    <w:rFonts w:ascii="Cambria Math" w:hAnsi="Cambria Math"/>
                  </w:rPr>
                  <m:t>f</m:t>
                </m:r>
              </m:sub>
            </m:sSub>
          </m:num>
          <m:den>
            <m:sSub>
              <m:sSubPr>
                <m:ctrlPr>
                  <w:rPr>
                    <w:rFonts w:ascii="Cambria Math" w:hAnsi="Cambria Math"/>
                  </w:rPr>
                </m:ctrlPr>
              </m:sSubPr>
              <m:e>
                <m:r>
                  <w:rPr>
                    <w:rFonts w:ascii="Cambria Math" w:hAnsi="Cambria Math"/>
                  </w:rPr>
                  <m:t>w</m:t>
                </m:r>
              </m:e>
              <m:sub>
                <m:r>
                  <m:rPr>
                    <m:sty m:val="p"/>
                  </m:rPr>
                  <w:rPr>
                    <w:rFonts w:ascii="Cambria Math" w:hAnsi="Cambria Math"/>
                  </w:rPr>
                  <m:t>tee</m:t>
                </m:r>
              </m:sub>
            </m:sSub>
            <m:sSub>
              <m:sSubPr>
                <m:ctrlPr>
                  <w:rPr>
                    <w:rFonts w:ascii="Cambria Math" w:hAnsi="Cambria Math"/>
                  </w:rPr>
                </m:ctrlPr>
              </m:sSubPr>
              <m:e>
                <m:r>
                  <w:rPr>
                    <w:rFonts w:ascii="Cambria Math" w:hAnsi="Cambria Math"/>
                  </w:rPr>
                  <m:t>f</m:t>
                </m:r>
              </m:e>
              <m:sub>
                <m:r>
                  <m:rPr>
                    <m:sty m:val="p"/>
                  </m:rPr>
                  <w:rPr>
                    <w:rFonts w:ascii="Cambria Math" w:hAnsi="Cambria Math"/>
                  </w:rPr>
                  <m:t>yd</m:t>
                </m:r>
              </m:sub>
            </m:sSub>
          </m:den>
        </m:f>
      </m:oMath>
      <w:r w:rsidR="00183272" w:rsidRPr="00922D9B">
        <w:tab/>
        <w:t>(G.</w:t>
      </w:r>
      <w:r w:rsidR="00183272">
        <w:t>23</w:t>
      </w:r>
      <w:r w:rsidR="00183272" w:rsidRPr="00922D9B">
        <w:t>)</w:t>
      </w:r>
    </w:p>
    <w:p w14:paraId="6026F2D5" w14:textId="00852DE6" w:rsidR="00183272" w:rsidRPr="00FD6D36" w:rsidRDefault="00183272" w:rsidP="00724E4E">
      <w:pPr>
        <w:pStyle w:val="Clause"/>
      </w:pPr>
      <w:r w:rsidRPr="00D1484A">
        <w:t xml:space="preserve">The minimum stem thickness to resist net section fracture of the tee-stem should be calculated according to </w:t>
      </w:r>
      <w:r w:rsidRPr="00183272">
        <w:t>Formula (G.24)</w:t>
      </w:r>
      <w:r w:rsidRPr="007E6F67">
        <w:t>.</w:t>
      </w:r>
    </w:p>
    <w:p w14:paraId="75D1D6B9" w14:textId="5C516006" w:rsidR="00183272" w:rsidRDefault="009B5CEC" w:rsidP="00183272">
      <w:pPr>
        <w:pStyle w:val="Formula"/>
        <w:spacing w:before="240"/>
      </w:pPr>
      <m:oMath>
        <m:sSub>
          <m:sSubPr>
            <m:ctrlPr>
              <w:rPr>
                <w:rFonts w:ascii="Cambria Math" w:hAnsi="Cambria Math"/>
              </w:rPr>
            </m:ctrlPr>
          </m:sSubPr>
          <m:e>
            <m:r>
              <w:rPr>
                <w:rFonts w:ascii="Cambria Math" w:hAnsi="Cambria Math"/>
              </w:rPr>
              <m:t>t</m:t>
            </m:r>
          </m:e>
          <m:sub>
            <m:r>
              <m:rPr>
                <m:sty m:val="p"/>
              </m:rPr>
              <w:rPr>
                <w:rFonts w:ascii="Cambria Math" w:hAnsi="Cambria Math"/>
              </w:rPr>
              <m:t>st</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N</m:t>
                </m:r>
              </m:e>
              <m:sub>
                <m:r>
                  <m:rPr>
                    <m:sty m:val="p"/>
                  </m:rPr>
                  <w:rPr>
                    <w:rFonts w:ascii="Cambria Math" w:hAnsi="Cambria Math"/>
                  </w:rPr>
                  <m:t>f</m:t>
                </m:r>
              </m:sub>
            </m:sSub>
          </m:num>
          <m:den>
            <m:sSub>
              <m:sSubPr>
                <m:ctrlPr>
                  <w:rPr>
                    <w:rFonts w:ascii="Cambria Math" w:hAnsi="Cambria Math"/>
                  </w:rPr>
                </m:ctrlPr>
              </m:sSubPr>
              <m:e>
                <m:r>
                  <w:rPr>
                    <w:rFonts w:ascii="Cambria Math" w:hAnsi="Cambria Math"/>
                  </w:rPr>
                  <m:t>w</m:t>
                </m:r>
              </m:e>
              <m:sub>
                <m:r>
                  <m:rPr>
                    <m:sty m:val="p"/>
                  </m:rPr>
                  <w:rPr>
                    <w:rFonts w:ascii="Cambria Math" w:hAnsi="Cambria Math"/>
                  </w:rPr>
                  <m:t>tee</m:t>
                </m:r>
              </m:sub>
            </m:sSub>
            <m:sSub>
              <m:sSubPr>
                <m:ctrlPr>
                  <w:rPr>
                    <w:rFonts w:ascii="Cambria Math" w:hAnsi="Cambria Math"/>
                  </w:rPr>
                </m:ctrlPr>
              </m:sSubPr>
              <m:e>
                <m:r>
                  <w:rPr>
                    <w:rFonts w:ascii="Cambria Math" w:hAnsi="Cambria Math"/>
                  </w:rPr>
                  <m:t>f</m:t>
                </m:r>
              </m:e>
              <m:sub>
                <m:r>
                  <m:rPr>
                    <m:sty m:val="p"/>
                  </m:rPr>
                  <w:rPr>
                    <w:rFonts w:ascii="Cambria Math" w:hAnsi="Cambria Math"/>
                  </w:rPr>
                  <m:t>ud</m:t>
                </m:r>
              </m:sub>
            </m:sSub>
          </m:den>
        </m:f>
      </m:oMath>
      <w:r w:rsidR="00183272" w:rsidRPr="00922D9B">
        <w:tab/>
        <w:t>(G.</w:t>
      </w:r>
      <w:r w:rsidR="00183272">
        <w:t>24</w:t>
      </w:r>
      <w:r w:rsidR="00183272" w:rsidRPr="00922D9B">
        <w:t>)</w:t>
      </w:r>
    </w:p>
    <w:p w14:paraId="3FC2336C" w14:textId="103E6E28" w:rsidR="00183272" w:rsidRPr="00FD6D36" w:rsidRDefault="00183272" w:rsidP="00724E4E">
      <w:pPr>
        <w:pStyle w:val="Clause"/>
      </w:pPr>
      <w:r w:rsidRPr="007505A6">
        <w:t xml:space="preserve">The minimum stem thickness to resist buckling of the tee-stem should be calculated according to </w:t>
      </w:r>
      <w:r w:rsidRPr="00183272">
        <w:t>Formula (G.25).</w:t>
      </w:r>
    </w:p>
    <w:p w14:paraId="183B8FA0" w14:textId="1F449F8B" w:rsidR="00183272" w:rsidRDefault="009B5CEC" w:rsidP="00183272">
      <w:pPr>
        <w:pStyle w:val="Formula"/>
        <w:spacing w:before="240"/>
      </w:pPr>
      <m:oMath>
        <m:sSub>
          <m:sSubPr>
            <m:ctrlPr>
              <w:rPr>
                <w:rFonts w:ascii="Cambria Math" w:hAnsi="Cambria Math"/>
              </w:rPr>
            </m:ctrlPr>
          </m:sSubPr>
          <m:e>
            <m:r>
              <w:rPr>
                <w:rFonts w:ascii="Cambria Math" w:hAnsi="Cambria Math"/>
              </w:rPr>
              <m:t>t</m:t>
            </m:r>
          </m:e>
          <m:sub>
            <m:r>
              <m:rPr>
                <m:sty m:val="p"/>
              </m:rPr>
              <w:rPr>
                <w:rFonts w:ascii="Cambria Math" w:hAnsi="Cambria Math"/>
              </w:rPr>
              <m:t>st</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S</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t</m:t>
                </m:r>
              </m:e>
              <m:sub>
                <m:r>
                  <m:rPr>
                    <m:sty m:val="p"/>
                  </m:rPr>
                  <w:rPr>
                    <w:rFonts w:ascii="Cambria Math" w:hAnsi="Cambria Math"/>
                  </w:rPr>
                  <m:t>ft</m:t>
                </m:r>
              </m:sub>
            </m:sSub>
          </m:num>
          <m:den>
            <m:r>
              <w:rPr>
                <w:rFonts w:ascii="Cambria Math" w:hAnsi="Cambria Math"/>
              </w:rPr>
              <m:t>10</m:t>
            </m:r>
          </m:den>
        </m:f>
      </m:oMath>
      <w:r w:rsidR="00183272" w:rsidRPr="00922D9B">
        <w:tab/>
        <w:t>(G.</w:t>
      </w:r>
      <w:r w:rsidR="00183272">
        <w:t>2</w:t>
      </w:r>
      <w:r w:rsidR="00FF1786">
        <w:t>5</w:t>
      </w:r>
      <w:r w:rsidR="00183272" w:rsidRPr="00922D9B">
        <w:t>)</w:t>
      </w:r>
    </w:p>
    <w:p w14:paraId="1AC29985" w14:textId="59CEE840" w:rsidR="00183272" w:rsidRPr="00D1484A" w:rsidRDefault="00675EBA" w:rsidP="00773115">
      <w:pPr>
        <w:pStyle w:val="Text"/>
      </w:pPr>
      <w:r>
        <w:t>where</w:t>
      </w:r>
    </w:p>
    <w:tbl>
      <w:tblPr>
        <w:tblW w:w="0" w:type="auto"/>
        <w:tblInd w:w="346" w:type="dxa"/>
        <w:tblLook w:val="04A0" w:firstRow="1" w:lastRow="0" w:firstColumn="1" w:lastColumn="0" w:noHBand="0" w:noVBand="1"/>
      </w:tblPr>
      <w:tblGrid>
        <w:gridCol w:w="1275"/>
        <w:gridCol w:w="7938"/>
      </w:tblGrid>
      <w:tr w:rsidR="00183272" w:rsidRPr="00870D59" w14:paraId="1913C87A" w14:textId="77777777" w:rsidTr="00F81F1B">
        <w:tc>
          <w:tcPr>
            <w:tcW w:w="1275" w:type="dxa"/>
          </w:tcPr>
          <w:p w14:paraId="36884927" w14:textId="06E1218C" w:rsidR="00183272" w:rsidRPr="00460668" w:rsidRDefault="009B5CEC" w:rsidP="002061E5">
            <w:pPr>
              <w:spacing w:after="60"/>
              <w:rPr>
                <w:rFonts w:eastAsia="Times New Roman" w:cs="Cambria"/>
                <w:szCs w:val="20"/>
                <w:lang w:eastAsia="fr-FR"/>
              </w:rPr>
            </w:pPr>
            <m:oMathPara>
              <m:oMathParaPr>
                <m:jc m:val="left"/>
              </m:oMathParaPr>
              <m:oMath>
                <m:sSub>
                  <m:sSubPr>
                    <m:ctrlPr>
                      <w:rPr>
                        <w:rFonts w:ascii="Cambria Math" w:hAnsi="Cambria Math"/>
                        <w:i/>
                      </w:rPr>
                    </m:ctrlPr>
                  </m:sSubPr>
                  <m:e>
                    <m:r>
                      <w:rPr>
                        <w:rFonts w:ascii="Cambria Math" w:hAnsi="Cambria Math"/>
                      </w:rPr>
                      <m:t>w</m:t>
                    </m:r>
                  </m:e>
                  <m:sub>
                    <m:r>
                      <m:rPr>
                        <m:sty m:val="p"/>
                      </m:rPr>
                      <w:rPr>
                        <w:rFonts w:ascii="Cambria Math" w:hAnsi="Cambria Math"/>
                      </w:rPr>
                      <m:t>tee</m:t>
                    </m:r>
                  </m:sub>
                </m:sSub>
              </m:oMath>
            </m:oMathPara>
          </w:p>
        </w:tc>
        <w:tc>
          <w:tcPr>
            <w:tcW w:w="7938" w:type="dxa"/>
          </w:tcPr>
          <w:p w14:paraId="256B1BBC" w14:textId="52814100" w:rsidR="00183272" w:rsidRPr="00FF1786" w:rsidRDefault="00183272" w:rsidP="002061E5">
            <w:pPr>
              <w:pStyle w:val="Listofsymbols"/>
              <w:rPr>
                <w:szCs w:val="22"/>
              </w:rPr>
            </w:pPr>
            <w:r w:rsidRPr="00FF1786">
              <w:t>is the width of the tee-stem (see Figure G.8);</w:t>
            </w:r>
          </w:p>
        </w:tc>
      </w:tr>
      <w:tr w:rsidR="00183272" w:rsidRPr="00870D59" w14:paraId="748BCB03" w14:textId="77777777" w:rsidTr="00F81F1B">
        <w:tc>
          <w:tcPr>
            <w:tcW w:w="1275" w:type="dxa"/>
          </w:tcPr>
          <w:p w14:paraId="26FEA73F" w14:textId="0F0BA44E" w:rsidR="00183272" w:rsidRPr="00F41E63" w:rsidRDefault="009B5CEC" w:rsidP="002061E5">
            <w:pPr>
              <w:spacing w:after="60"/>
              <w:rPr>
                <w:lang w:eastAsia="de-DE"/>
              </w:rPr>
            </w:pPr>
            <m:oMathPara>
              <m:oMathParaPr>
                <m:jc m:val="left"/>
              </m:oMathParaPr>
              <m:oMath>
                <m:sSub>
                  <m:sSubPr>
                    <m:ctrlPr>
                      <w:rPr>
                        <w:rFonts w:ascii="Cambria Math" w:hAnsi="Cambria Math"/>
                        <w:i/>
                      </w:rPr>
                    </m:ctrlPr>
                  </m:sSubPr>
                  <m:e>
                    <m:r>
                      <w:rPr>
                        <w:rFonts w:ascii="Cambria Math" w:hAnsi="Cambria Math"/>
                      </w:rPr>
                      <m:t>f</m:t>
                    </m:r>
                  </m:e>
                  <m:sub>
                    <m:r>
                      <m:rPr>
                        <m:sty m:val="p"/>
                      </m:rPr>
                      <w:rPr>
                        <w:rFonts w:ascii="Cambria Math" w:hAnsi="Cambria Math"/>
                      </w:rPr>
                      <m:t>yd</m:t>
                    </m:r>
                  </m:sub>
                </m:sSub>
              </m:oMath>
            </m:oMathPara>
          </w:p>
        </w:tc>
        <w:tc>
          <w:tcPr>
            <w:tcW w:w="7938" w:type="dxa"/>
          </w:tcPr>
          <w:p w14:paraId="1262D4D6" w14:textId="225F5126" w:rsidR="00183272" w:rsidRPr="00FF1786" w:rsidRDefault="00183272" w:rsidP="002061E5">
            <w:pPr>
              <w:spacing w:after="60"/>
            </w:pPr>
            <w:r w:rsidRPr="00FF1786">
              <w:t>is the design yield strength of the steel material of the tee-stub;</w:t>
            </w:r>
          </w:p>
        </w:tc>
      </w:tr>
      <w:tr w:rsidR="00183272" w:rsidRPr="00F41E63" w14:paraId="1A712E4E" w14:textId="77777777" w:rsidTr="00F81F1B">
        <w:tc>
          <w:tcPr>
            <w:tcW w:w="1275" w:type="dxa"/>
          </w:tcPr>
          <w:p w14:paraId="31F837EA" w14:textId="2EFD9CD3" w:rsidR="00183272" w:rsidRPr="006A11A7" w:rsidRDefault="009B5CEC" w:rsidP="002061E5">
            <w:pPr>
              <w:spacing w:after="60"/>
              <w:rPr>
                <w:rFonts w:ascii="Cambria Math" w:hAnsi="Cambria Math"/>
                <w:oMath/>
              </w:rPr>
            </w:pPr>
            <m:oMathPara>
              <m:oMathParaPr>
                <m:jc m:val="left"/>
              </m:oMathParaPr>
              <m:oMath>
                <m:sSub>
                  <m:sSubPr>
                    <m:ctrlPr>
                      <w:rPr>
                        <w:rFonts w:ascii="Cambria Math" w:hAnsi="Cambria Math"/>
                        <w:i/>
                      </w:rPr>
                    </m:ctrlPr>
                  </m:sSubPr>
                  <m:e>
                    <m:r>
                      <w:rPr>
                        <w:rFonts w:ascii="Cambria Math" w:hAnsi="Cambria Math"/>
                      </w:rPr>
                      <m:t>f</m:t>
                    </m:r>
                  </m:e>
                  <m:sub>
                    <m:r>
                      <m:rPr>
                        <m:sty m:val="p"/>
                      </m:rPr>
                      <w:rPr>
                        <w:rFonts w:ascii="Cambria Math" w:hAnsi="Cambria Math"/>
                      </w:rPr>
                      <m:t>ud</m:t>
                    </m:r>
                  </m:sub>
                </m:sSub>
              </m:oMath>
            </m:oMathPara>
          </w:p>
        </w:tc>
        <w:tc>
          <w:tcPr>
            <w:tcW w:w="7938" w:type="dxa"/>
          </w:tcPr>
          <w:p w14:paraId="1A85CF5F" w14:textId="6902BBF4" w:rsidR="00183272" w:rsidRPr="00FF1786" w:rsidRDefault="00183272" w:rsidP="002061E5">
            <w:pPr>
              <w:spacing w:after="60"/>
            </w:pPr>
            <w:r w:rsidRPr="00FF1786">
              <w:t>is the design ultimate tensile strength of the steel material of the tee-stub;</w:t>
            </w:r>
          </w:p>
        </w:tc>
      </w:tr>
      <w:tr w:rsidR="00183272" w:rsidRPr="00F41E63" w14:paraId="2A851466" w14:textId="77777777" w:rsidTr="00F81F1B">
        <w:tc>
          <w:tcPr>
            <w:tcW w:w="1275" w:type="dxa"/>
          </w:tcPr>
          <w:p w14:paraId="6242E129" w14:textId="57E00940" w:rsidR="00183272" w:rsidRPr="00183272" w:rsidRDefault="009B5CEC" w:rsidP="002061E5">
            <w:pPr>
              <w:spacing w:after="60"/>
            </w:pPr>
            <m:oMathPara>
              <m:oMathParaPr>
                <m:jc m:val="left"/>
              </m:oMathParaPr>
              <m:oMath>
                <m:sSub>
                  <m:sSubPr>
                    <m:ctrlPr>
                      <w:rPr>
                        <w:rFonts w:ascii="Cambria Math" w:hAnsi="Cambria Math"/>
                        <w:i/>
                      </w:rPr>
                    </m:ctrlPr>
                  </m:sSubPr>
                  <m:e>
                    <m:r>
                      <w:rPr>
                        <w:rFonts w:ascii="Cambria Math" w:hAnsi="Cambria Math"/>
                      </w:rPr>
                      <m:t>S</m:t>
                    </m:r>
                  </m:e>
                  <m:sub>
                    <m:r>
                      <w:rPr>
                        <w:rFonts w:ascii="Cambria Math" w:hAnsi="Cambria Math"/>
                      </w:rPr>
                      <m:t>1</m:t>
                    </m:r>
                  </m:sub>
                </m:sSub>
              </m:oMath>
            </m:oMathPara>
          </w:p>
        </w:tc>
        <w:tc>
          <w:tcPr>
            <w:tcW w:w="7938" w:type="dxa"/>
          </w:tcPr>
          <w:p w14:paraId="3AC4C9F8" w14:textId="3A0D9057" w:rsidR="00183272" w:rsidRPr="00FF1786" w:rsidRDefault="00183272" w:rsidP="002061E5">
            <w:pPr>
              <w:spacing w:after="60"/>
            </w:pPr>
            <w:r w:rsidRPr="00FF1786">
              <w:t>is the distance from the face of the column to the first row of shear bolts (see Figure G.8);</w:t>
            </w:r>
          </w:p>
        </w:tc>
      </w:tr>
      <w:tr w:rsidR="00183272" w:rsidRPr="00F41E63" w14:paraId="73A4BAF3" w14:textId="77777777" w:rsidTr="00F81F1B">
        <w:tc>
          <w:tcPr>
            <w:tcW w:w="1275" w:type="dxa"/>
          </w:tcPr>
          <w:p w14:paraId="235A0F4B" w14:textId="5AFF29A1" w:rsidR="00183272" w:rsidRPr="00183272" w:rsidRDefault="009B5CEC" w:rsidP="002061E5">
            <w:pPr>
              <w:spacing w:after="60"/>
            </w:pPr>
            <m:oMathPara>
              <m:oMathParaPr>
                <m:jc m:val="left"/>
              </m:oMathParaPr>
              <m:oMath>
                <m:sSub>
                  <m:sSubPr>
                    <m:ctrlPr>
                      <w:rPr>
                        <w:rFonts w:ascii="Cambria Math" w:hAnsi="Cambria Math"/>
                        <w:i/>
                      </w:rPr>
                    </m:ctrlPr>
                  </m:sSubPr>
                  <m:e>
                    <m:r>
                      <w:rPr>
                        <w:rFonts w:ascii="Cambria Math" w:hAnsi="Cambria Math"/>
                      </w:rPr>
                      <m:t>t</m:t>
                    </m:r>
                  </m:e>
                  <m:sub>
                    <m:r>
                      <m:rPr>
                        <m:sty m:val="p"/>
                      </m:rPr>
                      <w:rPr>
                        <w:rFonts w:ascii="Cambria Math" w:hAnsi="Cambria Math"/>
                      </w:rPr>
                      <m:t>ft</m:t>
                    </m:r>
                  </m:sub>
                </m:sSub>
              </m:oMath>
            </m:oMathPara>
          </w:p>
        </w:tc>
        <w:tc>
          <w:tcPr>
            <w:tcW w:w="7938" w:type="dxa"/>
          </w:tcPr>
          <w:p w14:paraId="51097A46" w14:textId="1491D515" w:rsidR="00183272" w:rsidRPr="00FF1786" w:rsidRDefault="00183272" w:rsidP="002061E5">
            <w:pPr>
              <w:spacing w:after="60"/>
            </w:pPr>
            <w:r w:rsidRPr="00FF1786">
              <w:t>is the thickness of the flange of the tee-stub (see Figure G.8).</w:t>
            </w:r>
          </w:p>
        </w:tc>
      </w:tr>
    </w:tbl>
    <w:p w14:paraId="2EFEA60D" w14:textId="77777777" w:rsidR="00FF1786" w:rsidRPr="00196951" w:rsidRDefault="00FF1786" w:rsidP="00FF1786">
      <w:pPr>
        <w:pStyle w:val="a3"/>
      </w:pPr>
      <w:bookmarkStart w:id="11528" w:name="_Toc108342826"/>
      <w:bookmarkStart w:id="11529" w:name="_Toc120543911"/>
      <w:bookmarkStart w:id="11530" w:name="_Toc134198332"/>
      <w:r w:rsidRPr="00196951">
        <w:t>Required number and size of structural bolts connecting the Tee-stub to the column</w:t>
      </w:r>
      <w:bookmarkEnd w:id="11528"/>
      <w:bookmarkEnd w:id="11529"/>
      <w:bookmarkEnd w:id="11530"/>
    </w:p>
    <w:p w14:paraId="7A351B75" w14:textId="541639E5" w:rsidR="00FF1786" w:rsidRPr="00FF1786" w:rsidRDefault="00FF1786" w:rsidP="0080187E">
      <w:pPr>
        <w:pStyle w:val="Clause"/>
        <w:numPr>
          <w:ilvl w:val="0"/>
          <w:numId w:val="611"/>
        </w:numPr>
      </w:pPr>
      <w:r w:rsidRPr="007505A6">
        <w:t>The minimum diamet</w:t>
      </w:r>
      <w:r w:rsidRPr="000529B2">
        <w:t xml:space="preserve">re </w:t>
      </w:r>
      <w:r w:rsidRPr="007505A6">
        <w:t xml:space="preserve">of bolts in the tee-stub should be calculated according to </w:t>
      </w:r>
      <w:r w:rsidRPr="00FF1786">
        <w:t>Formula (G.26).</w:t>
      </w:r>
    </w:p>
    <w:p w14:paraId="3C8E69C5" w14:textId="548C8585" w:rsidR="00FF1786" w:rsidRDefault="009B5CEC" w:rsidP="00FF1786">
      <w:pPr>
        <w:pStyle w:val="Formula"/>
        <w:spacing w:before="240"/>
      </w:pPr>
      <m:oMath>
        <m:sSub>
          <m:sSubPr>
            <m:ctrlPr>
              <w:rPr>
                <w:rFonts w:ascii="Cambria Math" w:hAnsi="Cambria Math"/>
              </w:rPr>
            </m:ctrlPr>
          </m:sSubPr>
          <m:e>
            <m:r>
              <w:rPr>
                <w:rFonts w:ascii="Cambria Math" w:hAnsi="Cambria Math"/>
              </w:rPr>
              <m:t>d</m:t>
            </m:r>
          </m:e>
          <m:sub>
            <m:r>
              <m:rPr>
                <m:sty m:val="p"/>
              </m:rPr>
              <w:rPr>
                <w:rFonts w:ascii="Cambria Math" w:hAnsi="Cambria Math"/>
              </w:rPr>
              <m:t>t</m:t>
            </m:r>
          </m:sub>
        </m:sSub>
        <m:r>
          <w:rPr>
            <w:rFonts w:ascii="Cambria Math" w:hAnsi="Cambria Math"/>
          </w:rPr>
          <m:t>=</m:t>
        </m:r>
        <m:rad>
          <m:radPr>
            <m:degHide m:val="1"/>
            <m:ctrlPr>
              <w:rPr>
                <w:rFonts w:ascii="Cambria Math" w:hAnsi="Cambria Math"/>
              </w:rPr>
            </m:ctrlPr>
          </m:radPr>
          <m:deg/>
          <m:e>
            <m:f>
              <m:fPr>
                <m:ctrlPr>
                  <w:rPr>
                    <w:rFonts w:ascii="Cambria Math" w:hAnsi="Cambria Math"/>
                  </w:rPr>
                </m:ctrlPr>
              </m:fPr>
              <m:num>
                <m:r>
                  <w:rPr>
                    <w:rFonts w:ascii="Cambria Math" w:hAnsi="Cambria Math"/>
                  </w:rPr>
                  <m:t>4</m:t>
                </m:r>
                <m:sSub>
                  <m:sSubPr>
                    <m:ctrlPr>
                      <w:rPr>
                        <w:rFonts w:ascii="Cambria Math" w:hAnsi="Cambria Math"/>
                      </w:rPr>
                    </m:ctrlPr>
                  </m:sSubPr>
                  <m:e>
                    <m:r>
                      <w:rPr>
                        <w:rFonts w:ascii="Cambria Math" w:hAnsi="Cambria Math"/>
                      </w:rPr>
                      <m:t>N</m:t>
                    </m:r>
                  </m:e>
                  <m:sub>
                    <m:r>
                      <m:rPr>
                        <m:sty m:val="p"/>
                      </m:rPr>
                      <w:rPr>
                        <w:rFonts w:ascii="Cambria Math" w:hAnsi="Cambria Math"/>
                      </w:rPr>
                      <m:t>f</m:t>
                    </m:r>
                  </m:sub>
                </m:sSub>
              </m:num>
              <m:den>
                <m:sSub>
                  <m:sSubPr>
                    <m:ctrlPr>
                      <w:rPr>
                        <w:rFonts w:ascii="Cambria Math" w:hAnsi="Cambria Math"/>
                      </w:rPr>
                    </m:ctrlPr>
                  </m:sSubPr>
                  <m:e>
                    <m:r>
                      <w:rPr>
                        <w:rFonts w:ascii="Cambria Math" w:hAnsi="Cambria Math"/>
                      </w:rPr>
                      <m:t>n</m:t>
                    </m:r>
                  </m:e>
                  <m:sub>
                    <m:r>
                      <m:rPr>
                        <m:sty m:val="p"/>
                      </m:rPr>
                      <w:rPr>
                        <w:rFonts w:ascii="Cambria Math" w:hAnsi="Cambria Math"/>
                      </w:rPr>
                      <m:t>t</m:t>
                    </m:r>
                  </m:sub>
                </m:sSub>
                <m:r>
                  <w:rPr>
                    <w:rFonts w:ascii="Cambria Math" w:hAnsi="Cambria Math"/>
                  </w:rPr>
                  <m:t>π</m:t>
                </m:r>
                <m:sSub>
                  <m:sSubPr>
                    <m:ctrlPr>
                      <w:rPr>
                        <w:rFonts w:ascii="Cambria Math" w:hAnsi="Cambria Math"/>
                      </w:rPr>
                    </m:ctrlPr>
                  </m:sSubPr>
                  <m:e>
                    <m:r>
                      <w:rPr>
                        <w:rFonts w:ascii="Cambria Math" w:hAnsi="Cambria Math"/>
                      </w:rPr>
                      <m:t xml:space="preserve"> f</m:t>
                    </m:r>
                  </m:e>
                  <m:sub>
                    <m:r>
                      <m:rPr>
                        <m:sty m:val="p"/>
                      </m:rPr>
                      <w:rPr>
                        <w:rFonts w:ascii="Cambria Math" w:hAnsi="Cambria Math"/>
                      </w:rPr>
                      <m:t>b,ud</m:t>
                    </m:r>
                  </m:sub>
                </m:sSub>
              </m:den>
            </m:f>
          </m:e>
        </m:rad>
      </m:oMath>
      <w:r w:rsidR="00FF1786" w:rsidRPr="00922D9B">
        <w:tab/>
        <w:t>(G.</w:t>
      </w:r>
      <w:r w:rsidR="00FF1786">
        <w:t>26</w:t>
      </w:r>
      <w:r w:rsidR="00FF1786" w:rsidRPr="00922D9B">
        <w:t>)</w:t>
      </w:r>
    </w:p>
    <w:p w14:paraId="3E7C84B5" w14:textId="27850D51" w:rsidR="00FF1786" w:rsidRPr="00D1484A" w:rsidRDefault="00675EBA" w:rsidP="00773115">
      <w:pPr>
        <w:pStyle w:val="Text"/>
      </w:pPr>
      <w:r>
        <w:t>where</w:t>
      </w:r>
    </w:p>
    <w:tbl>
      <w:tblPr>
        <w:tblW w:w="0" w:type="auto"/>
        <w:tblInd w:w="346" w:type="dxa"/>
        <w:tblLook w:val="04A0" w:firstRow="1" w:lastRow="0" w:firstColumn="1" w:lastColumn="0" w:noHBand="0" w:noVBand="1"/>
      </w:tblPr>
      <w:tblGrid>
        <w:gridCol w:w="1275"/>
        <w:gridCol w:w="7938"/>
      </w:tblGrid>
      <w:tr w:rsidR="00FF1786" w:rsidRPr="00870D59" w14:paraId="64F65271" w14:textId="77777777" w:rsidTr="00F81F1B">
        <w:tc>
          <w:tcPr>
            <w:tcW w:w="1275" w:type="dxa"/>
          </w:tcPr>
          <w:p w14:paraId="49FBDAEF" w14:textId="51ADBCEE" w:rsidR="00FF1786" w:rsidRPr="00460668" w:rsidRDefault="009B5CEC" w:rsidP="002061E5">
            <w:pPr>
              <w:spacing w:after="60"/>
              <w:rPr>
                <w:rFonts w:eastAsia="Times New Roman" w:cs="Cambria"/>
                <w:szCs w:val="20"/>
                <w:lang w:eastAsia="fr-FR"/>
              </w:rPr>
            </w:pPr>
            <m:oMathPara>
              <m:oMathParaPr>
                <m:jc m:val="left"/>
              </m:oMathParaPr>
              <m:oMath>
                <m:sSub>
                  <m:sSubPr>
                    <m:ctrlPr>
                      <w:rPr>
                        <w:rFonts w:ascii="Cambria Math" w:hAnsi="Cambria Math"/>
                        <w:i/>
                      </w:rPr>
                    </m:ctrlPr>
                  </m:sSubPr>
                  <m:e>
                    <m:r>
                      <w:rPr>
                        <w:rFonts w:ascii="Cambria Math" w:hAnsi="Cambria Math"/>
                      </w:rPr>
                      <m:t>n</m:t>
                    </m:r>
                  </m:e>
                  <m:sub>
                    <m:r>
                      <m:rPr>
                        <m:sty m:val="p"/>
                      </m:rPr>
                      <w:rPr>
                        <w:rFonts w:ascii="Cambria Math" w:hAnsi="Cambria Math"/>
                      </w:rPr>
                      <m:t>t</m:t>
                    </m:r>
                  </m:sub>
                </m:sSub>
              </m:oMath>
            </m:oMathPara>
          </w:p>
        </w:tc>
        <w:tc>
          <w:tcPr>
            <w:tcW w:w="7938" w:type="dxa"/>
          </w:tcPr>
          <w:p w14:paraId="5E0AF217" w14:textId="17DE9005" w:rsidR="00FF1786" w:rsidRPr="00FF1786" w:rsidRDefault="00FF1786" w:rsidP="002061E5">
            <w:pPr>
              <w:pStyle w:val="Listofsymbols"/>
              <w:rPr>
                <w:szCs w:val="22"/>
              </w:rPr>
            </w:pPr>
            <w:r w:rsidRPr="000529B2">
              <w:t>is the number of structural bolts under tensile loading;</w:t>
            </w:r>
          </w:p>
        </w:tc>
      </w:tr>
      <w:tr w:rsidR="00FF1786" w:rsidRPr="00FF1786" w14:paraId="3240F162" w14:textId="77777777" w:rsidTr="00F81F1B">
        <w:tc>
          <w:tcPr>
            <w:tcW w:w="1275" w:type="dxa"/>
          </w:tcPr>
          <w:p w14:paraId="2A16A786" w14:textId="7B70708F" w:rsidR="00FF1786" w:rsidRPr="00FF1786" w:rsidRDefault="009B5CEC" w:rsidP="002061E5">
            <w:pPr>
              <w:spacing w:after="60"/>
              <w:rPr>
                <w:rFonts w:ascii="Cambria Math" w:hAnsi="Cambria Math"/>
                <w:oMath/>
              </w:rPr>
            </w:pPr>
            <m:oMathPara>
              <m:oMathParaPr>
                <m:jc m:val="left"/>
              </m:oMathParaPr>
              <m:oMath>
                <m:sSub>
                  <m:sSubPr>
                    <m:ctrlPr>
                      <w:rPr>
                        <w:rFonts w:ascii="Cambria Math" w:hAnsi="Cambria Math"/>
                        <w:i/>
                      </w:rPr>
                    </m:ctrlPr>
                  </m:sSubPr>
                  <m:e>
                    <m:r>
                      <w:rPr>
                        <w:rFonts w:ascii="Cambria Math" w:hAnsi="Cambria Math"/>
                      </w:rPr>
                      <m:t>f</m:t>
                    </m:r>
                  </m:e>
                  <m:sub>
                    <m:r>
                      <m:rPr>
                        <m:sty m:val="p"/>
                      </m:rPr>
                      <w:rPr>
                        <w:rFonts w:ascii="Cambria Math" w:hAnsi="Cambria Math"/>
                      </w:rPr>
                      <m:t>b,ud</m:t>
                    </m:r>
                  </m:sub>
                </m:sSub>
              </m:oMath>
            </m:oMathPara>
          </w:p>
        </w:tc>
        <w:tc>
          <w:tcPr>
            <w:tcW w:w="7938" w:type="dxa"/>
          </w:tcPr>
          <w:p w14:paraId="42257687" w14:textId="55198858" w:rsidR="00FF1786" w:rsidRPr="00FF1786" w:rsidRDefault="00FF1786" w:rsidP="00FF1786">
            <w:pPr>
              <w:pStyle w:val="Listofsymbols"/>
            </w:pPr>
            <w:r w:rsidRPr="000529B2">
              <w:rPr>
                <w:szCs w:val="22"/>
              </w:rPr>
              <w:t>is</w:t>
            </w:r>
            <w:r w:rsidRPr="000529B2">
              <w:t xml:space="preserve"> the design ultimate tensile strength of the structural bolt.</w:t>
            </w:r>
          </w:p>
        </w:tc>
      </w:tr>
    </w:tbl>
    <w:p w14:paraId="6BD373DB" w14:textId="77777777" w:rsidR="00FF1786" w:rsidRPr="00B27CD3" w:rsidRDefault="00FF1786" w:rsidP="00FF1786">
      <w:pPr>
        <w:pStyle w:val="a3"/>
      </w:pPr>
      <w:bookmarkStart w:id="11531" w:name="_Toc108342827"/>
      <w:bookmarkStart w:id="11532" w:name="_Toc120543912"/>
      <w:bookmarkStart w:id="11533" w:name="_Toc134198333"/>
      <w:r w:rsidRPr="00B27CD3">
        <w:t>Tee-flange thickness to resist prying forces</w:t>
      </w:r>
      <w:bookmarkEnd w:id="11531"/>
      <w:bookmarkEnd w:id="11532"/>
      <w:bookmarkEnd w:id="11533"/>
    </w:p>
    <w:p w14:paraId="2A109B29" w14:textId="3DC27A26" w:rsidR="00FF1786" w:rsidRPr="007505A6" w:rsidRDefault="00FF1786" w:rsidP="0080187E">
      <w:pPr>
        <w:pStyle w:val="Clause"/>
        <w:numPr>
          <w:ilvl w:val="0"/>
          <w:numId w:val="612"/>
        </w:numPr>
      </w:pPr>
      <w:r w:rsidRPr="007505A6">
        <w:t>The distance,</w:t>
      </w:r>
      <m:oMath>
        <m:r>
          <w:rPr>
            <w:rFonts w:ascii="Cambria Math" w:hAnsi="Cambria Math"/>
          </w:rPr>
          <m:t xml:space="preserve"> </m:t>
        </m:r>
        <m:sSub>
          <m:sSubPr>
            <m:ctrlPr>
              <w:rPr>
                <w:rFonts w:ascii="Cambria Math" w:hAnsi="Cambria Math"/>
                <w:i/>
              </w:rPr>
            </m:ctrlPr>
          </m:sSubPr>
          <m:e>
            <m:r>
              <w:rPr>
                <w:rFonts w:ascii="Cambria Math" w:hAnsi="Cambria Math"/>
              </w:rPr>
              <m:t>g</m:t>
            </m:r>
          </m:e>
          <m:sub>
            <m:r>
              <w:rPr>
                <w:rFonts w:ascii="Cambria Math" w:hAnsi="Cambria Math"/>
              </w:rPr>
              <m:t>tb</m:t>
            </m:r>
          </m:sub>
        </m:sSub>
      </m:oMath>
      <w:r w:rsidRPr="007505A6">
        <w:t xml:space="preserve">, between the tension bolts on either side of the tee-stub stem </w:t>
      </w:r>
      <w:r w:rsidRPr="000529B2">
        <w:t>should be chosen (see Figure G.</w:t>
      </w:r>
      <w:r w:rsidRPr="007505A6">
        <w:t>8b) in order to calculate the geometric parameters of the tee-stub flange to resist prying forces.</w:t>
      </w:r>
    </w:p>
    <w:p w14:paraId="5A1D3E72" w14:textId="68D4D028" w:rsidR="00FF1786" w:rsidRDefault="00FF1786" w:rsidP="00724E4E">
      <w:pPr>
        <w:pStyle w:val="Clause"/>
      </w:pPr>
      <w:r w:rsidRPr="007505A6">
        <w:t xml:space="preserve">The minimum thickness, </w:t>
      </w:r>
      <m:oMath>
        <m:sSub>
          <m:sSubPr>
            <m:ctrlPr>
              <w:rPr>
                <w:rFonts w:ascii="Cambria Math" w:hAnsi="Cambria Math"/>
                <w:i/>
              </w:rPr>
            </m:ctrlPr>
          </m:sSubPr>
          <m:e>
            <m:r>
              <w:rPr>
                <w:rFonts w:ascii="Cambria Math" w:hAnsi="Cambria Math"/>
              </w:rPr>
              <m:t>t</m:t>
            </m:r>
          </m:e>
          <m:sub>
            <m:r>
              <m:rPr>
                <m:sty m:val="p"/>
              </m:rPr>
              <w:rPr>
                <w:rFonts w:ascii="Cambria Math" w:hAnsi="Cambria Math"/>
              </w:rPr>
              <m:t>tf</m:t>
            </m:r>
          </m:sub>
        </m:sSub>
      </m:oMath>
      <w:r w:rsidRPr="007505A6">
        <w:t>, of the tee-stub flange to resist</w:t>
      </w:r>
      <w:r w:rsidRPr="000529B2">
        <w:t xml:space="preserve"> prying forces should be calculated according </w:t>
      </w:r>
      <w:r w:rsidRPr="00FF1786">
        <w:t>to Formula (G.27).</w:t>
      </w:r>
    </w:p>
    <w:p w14:paraId="5AE730E9" w14:textId="33C72A09" w:rsidR="00FF1786" w:rsidRDefault="009B5CEC" w:rsidP="00FF1786">
      <w:pPr>
        <w:pStyle w:val="Formula"/>
        <w:spacing w:before="240"/>
      </w:pPr>
      <m:oMath>
        <m:sSub>
          <m:sSubPr>
            <m:ctrlPr>
              <w:rPr>
                <w:rFonts w:ascii="Cambria Math" w:hAnsi="Cambria Math"/>
              </w:rPr>
            </m:ctrlPr>
          </m:sSubPr>
          <m:e>
            <m:r>
              <w:rPr>
                <w:rFonts w:ascii="Cambria Math" w:hAnsi="Cambria Math"/>
              </w:rPr>
              <m:t>t</m:t>
            </m:r>
          </m:e>
          <m:sub>
            <m:r>
              <m:rPr>
                <m:sty m:val="p"/>
              </m:rPr>
              <w:rPr>
                <w:rFonts w:ascii="Cambria Math" w:hAnsi="Cambria Math"/>
              </w:rPr>
              <m:t>tf</m:t>
            </m:r>
          </m:sub>
        </m:sSub>
        <m:r>
          <w:rPr>
            <w:rFonts w:ascii="Cambria Math" w:hAnsi="Cambria Math"/>
          </w:rPr>
          <m:t>≥2</m:t>
        </m:r>
        <m:rad>
          <m:radPr>
            <m:degHide m:val="1"/>
            <m:ctrlPr>
              <w:rPr>
                <w:rFonts w:ascii="Cambria Math" w:hAnsi="Cambria Math"/>
              </w:rPr>
            </m:ctrlPr>
          </m:radPr>
          <m:deg/>
          <m:e>
            <m:f>
              <m:fPr>
                <m:ctrlPr>
                  <w:rPr>
                    <w:rFonts w:ascii="Cambria Math" w:hAnsi="Cambria Math"/>
                  </w:rPr>
                </m:ctrlPr>
              </m:fPr>
              <m:num>
                <m:sSub>
                  <m:sSubPr>
                    <m:ctrlPr>
                      <w:rPr>
                        <w:rFonts w:ascii="Cambria Math" w:hAnsi="Cambria Math"/>
                      </w:rPr>
                    </m:ctrlPr>
                  </m:sSubPr>
                  <m:e>
                    <m:r>
                      <w:rPr>
                        <w:rFonts w:ascii="Cambria Math" w:hAnsi="Cambria Math"/>
                      </w:rPr>
                      <m:t>T</m:t>
                    </m:r>
                  </m:e>
                  <m:sub>
                    <m:r>
                      <m:rPr>
                        <m:sty m:val="p"/>
                      </m:rPr>
                      <w:rPr>
                        <w:rFonts w:ascii="Cambria Math" w:hAnsi="Cambria Math"/>
                      </w:rPr>
                      <m:t>req</m:t>
                    </m:r>
                  </m:sub>
                </m:sSub>
                <m:r>
                  <w:rPr>
                    <w:rFonts w:ascii="Cambria Math" w:hAnsi="Cambria Math"/>
                  </w:rPr>
                  <m:t xml:space="preserve"> </m:t>
                </m:r>
                <m:d>
                  <m:dPr>
                    <m:ctrlPr>
                      <w:rPr>
                        <w:rFonts w:ascii="Cambria Math" w:hAnsi="Cambria Math"/>
                      </w:rPr>
                    </m:ctrlPr>
                  </m:dPr>
                  <m:e>
                    <m:sSup>
                      <m:sSupPr>
                        <m:ctrlPr>
                          <w:rPr>
                            <w:rFonts w:ascii="Cambria Math" w:hAnsi="Cambria Math"/>
                          </w:rPr>
                        </m:ctrlPr>
                      </m:sSupPr>
                      <m:e>
                        <m:r>
                          <w:rPr>
                            <w:rFonts w:ascii="Cambria Math" w:hAnsi="Cambria Math"/>
                          </w:rPr>
                          <m:t>a</m:t>
                        </m:r>
                      </m:e>
                      <m:sup>
                        <m:r>
                          <w:rPr>
                            <w:rFonts w:ascii="Cambria Math" w:hAnsi="Cambria Math" w:hint="eastAsia"/>
                          </w:rPr>
                          <m:t>'</m:t>
                        </m:r>
                      </m:sup>
                    </m:sSup>
                    <m:r>
                      <w:rPr>
                        <w:rFonts w:ascii="Cambria Math" w:hAnsi="Cambria Math"/>
                      </w:rPr>
                      <m:t>+</m:t>
                    </m:r>
                    <m:sSup>
                      <m:sSupPr>
                        <m:ctrlPr>
                          <w:rPr>
                            <w:rFonts w:ascii="Cambria Math" w:hAnsi="Cambria Math"/>
                          </w:rPr>
                        </m:ctrlPr>
                      </m:sSupPr>
                      <m:e>
                        <m:r>
                          <w:rPr>
                            <w:rFonts w:ascii="Cambria Math" w:hAnsi="Cambria Math"/>
                          </w:rPr>
                          <m:t>b</m:t>
                        </m:r>
                      </m:e>
                      <m:sup>
                        <m:r>
                          <w:rPr>
                            <w:rFonts w:ascii="Cambria Math" w:hAnsi="Cambria Math" w:hint="eastAsia"/>
                          </w:rPr>
                          <m:t>'</m:t>
                        </m:r>
                      </m:sup>
                    </m:sSup>
                  </m:e>
                </m:d>
                <m:r>
                  <w:rPr>
                    <w:rFonts w:ascii="Cambria Math" w:hAnsi="Cambria Math"/>
                  </w:rPr>
                  <m:t>-</m:t>
                </m:r>
                <m:sSub>
                  <m:sSubPr>
                    <m:ctrlPr>
                      <w:rPr>
                        <w:rFonts w:ascii="Cambria Math" w:hAnsi="Cambria Math"/>
                      </w:rPr>
                    </m:ctrlPr>
                  </m:sSubPr>
                  <m:e>
                    <m:r>
                      <w:rPr>
                        <w:rFonts w:ascii="Cambria Math" w:hAnsi="Cambria Math"/>
                      </w:rPr>
                      <m:t>F</m:t>
                    </m:r>
                  </m:e>
                  <m:sub>
                    <m:r>
                      <m:rPr>
                        <m:sty m:val="p"/>
                      </m:rPr>
                      <w:rPr>
                        <w:rFonts w:ascii="Cambria Math" w:hAnsi="Cambria Math"/>
                      </w:rPr>
                      <m:t>b,Rd</m:t>
                    </m:r>
                  </m:sub>
                </m:sSub>
                <m:r>
                  <w:rPr>
                    <w:rFonts w:ascii="Cambria Math" w:hAnsi="Cambria Math" w:hint="eastAsia"/>
                  </w:rPr>
                  <m:t xml:space="preserve"> a</m:t>
                </m:r>
                <m:r>
                  <w:rPr>
                    <w:rFonts w:ascii="Cambria Math" w:hAnsi="Cambria Math" w:hint="eastAsia"/>
                  </w:rPr>
                  <m:t>'</m:t>
                </m:r>
              </m:num>
              <m:den>
                <m:sSub>
                  <m:sSubPr>
                    <m:ctrlPr>
                      <w:rPr>
                        <w:rFonts w:ascii="Cambria Math" w:hAnsi="Cambria Math"/>
                      </w:rPr>
                    </m:ctrlPr>
                  </m:sSubPr>
                  <m:e>
                    <m:r>
                      <w:rPr>
                        <w:rFonts w:ascii="Cambria Math" w:hAnsi="Cambria Math"/>
                      </w:rPr>
                      <m:t>f</m:t>
                    </m:r>
                  </m:e>
                  <m:sub>
                    <m:r>
                      <m:rPr>
                        <m:sty m:val="p"/>
                      </m:rPr>
                      <w:rPr>
                        <w:rFonts w:ascii="Cambria Math" w:hAnsi="Cambria Math"/>
                      </w:rPr>
                      <m:t>yd</m:t>
                    </m:r>
                  </m:sub>
                </m:sSub>
                <m:r>
                  <w:rPr>
                    <w:rFonts w:ascii="Cambria Math" w:hAnsi="Cambria Math"/>
                  </w:rPr>
                  <m:t xml:space="preserve"> p</m:t>
                </m:r>
              </m:den>
            </m:f>
          </m:e>
        </m:rad>
      </m:oMath>
      <w:r w:rsidR="00FF1786" w:rsidRPr="00922D9B">
        <w:tab/>
        <w:t>(G.</w:t>
      </w:r>
      <w:r w:rsidR="00FF1786">
        <w:t>27</w:t>
      </w:r>
      <w:r w:rsidR="00FF1786" w:rsidRPr="00922D9B">
        <w:t>)</w:t>
      </w:r>
    </w:p>
    <w:p w14:paraId="61950149" w14:textId="1BF1B596" w:rsidR="00FF1786" w:rsidRDefault="00675EBA" w:rsidP="00773115">
      <w:pPr>
        <w:pStyle w:val="Text"/>
      </w:pPr>
      <w:r>
        <w:t>where</w:t>
      </w:r>
    </w:p>
    <w:tbl>
      <w:tblPr>
        <w:tblW w:w="0" w:type="auto"/>
        <w:tblInd w:w="346" w:type="dxa"/>
        <w:tblLook w:val="04A0" w:firstRow="1" w:lastRow="0" w:firstColumn="1" w:lastColumn="0" w:noHBand="0" w:noVBand="1"/>
      </w:tblPr>
      <w:tblGrid>
        <w:gridCol w:w="678"/>
        <w:gridCol w:w="8332"/>
      </w:tblGrid>
      <w:tr w:rsidR="0067403A" w:rsidRPr="00FF1786" w14:paraId="33FBEEA4" w14:textId="77777777" w:rsidTr="00F81F1B">
        <w:tc>
          <w:tcPr>
            <w:tcW w:w="0" w:type="auto"/>
          </w:tcPr>
          <w:p w14:paraId="4E2667A9" w14:textId="50505C38" w:rsidR="0067403A" w:rsidRPr="00460668" w:rsidRDefault="009B5CEC" w:rsidP="00F81F1B">
            <w:pPr>
              <w:rPr>
                <w:rFonts w:eastAsia="Times New Roman" w:cs="Cambria"/>
                <w:szCs w:val="20"/>
                <w:lang w:eastAsia="fr-FR"/>
              </w:rPr>
            </w:pPr>
            <m:oMathPara>
              <m:oMathParaPr>
                <m:jc m:val="left"/>
              </m:oMathParaPr>
              <m:oMath>
                <m:sSub>
                  <m:sSubPr>
                    <m:ctrlPr>
                      <w:rPr>
                        <w:rFonts w:ascii="Cambria Math" w:hAnsi="Cambria Math"/>
                        <w:i/>
                      </w:rPr>
                    </m:ctrlPr>
                  </m:sSubPr>
                  <m:e>
                    <m:r>
                      <w:rPr>
                        <w:rFonts w:ascii="Cambria Math" w:hAnsi="Cambria Math"/>
                      </w:rPr>
                      <m:t>T</m:t>
                    </m:r>
                  </m:e>
                  <m:sub>
                    <m:r>
                      <w:rPr>
                        <w:rFonts w:ascii="Cambria Math" w:hAnsi="Cambria Math"/>
                      </w:rPr>
                      <m:t>req</m:t>
                    </m:r>
                  </m:sub>
                </m:sSub>
              </m:oMath>
            </m:oMathPara>
          </w:p>
        </w:tc>
        <w:tc>
          <w:tcPr>
            <w:tcW w:w="8332" w:type="dxa"/>
          </w:tcPr>
          <w:p w14:paraId="3263A69F" w14:textId="1F4BA706" w:rsidR="0067403A" w:rsidRPr="00FF1786" w:rsidRDefault="0067403A" w:rsidP="00F81F1B">
            <w:pPr>
              <w:pStyle w:val="Listofsymbols"/>
              <w:tabs>
                <w:tab w:val="clear" w:pos="1134"/>
                <w:tab w:val="left" w:pos="2481"/>
              </w:tabs>
              <w:ind w:left="0" w:firstLine="0"/>
              <w:rPr>
                <w:szCs w:val="22"/>
              </w:rPr>
            </w:pPr>
            <w:r w:rsidRPr="00FF1786">
              <w:rPr>
                <w:rFonts w:ascii="Cambria Math" w:eastAsia="Calibri" w:hAnsi="Cambria Math" w:cs="Times New Roman"/>
                <w:iCs/>
              </w:rPr>
              <w:t xml:space="preserve">is the force demand of a single tension bolt and should be calculated as </w:t>
            </w:r>
            <m:oMath>
              <m:sSub>
                <m:sSubPr>
                  <m:ctrlPr>
                    <w:rPr>
                      <w:rFonts w:ascii="Cambria Math" w:eastAsia="Calibri" w:hAnsi="Cambria Math" w:cs="Times New Roman"/>
                      <w:iCs/>
                    </w:rPr>
                  </m:ctrlPr>
                </m:sSubPr>
                <m:e>
                  <m:r>
                    <w:rPr>
                      <w:rFonts w:ascii="Cambria Math" w:eastAsia="Calibri" w:hAnsi="Cambria Math" w:cs="Times New Roman"/>
                    </w:rPr>
                    <m:t>T</m:t>
                  </m:r>
                </m:e>
                <m:sub>
                  <m:r>
                    <m:rPr>
                      <m:sty m:val="p"/>
                    </m:rPr>
                    <w:rPr>
                      <w:rFonts w:ascii="Cambria Math" w:eastAsia="Calibri" w:hAnsi="Cambria Math" w:cs="Times New Roman"/>
                    </w:rPr>
                    <m:t>req</m:t>
                  </m:r>
                </m:sub>
              </m:sSub>
              <m:r>
                <m:rPr>
                  <m:sty m:val="p"/>
                </m:rPr>
                <w:rPr>
                  <w:rFonts w:ascii="Cambria Math" w:eastAsia="Calibri" w:hAnsi="Cambria Math" w:cs="Times New Roman"/>
                </w:rPr>
                <m:t>=</m:t>
              </m:r>
              <m:sSub>
                <m:sSubPr>
                  <m:ctrlPr>
                    <w:rPr>
                      <w:rFonts w:ascii="Cambria Math" w:eastAsia="Calibri" w:hAnsi="Cambria Math" w:cs="Times New Roman"/>
                      <w:iCs/>
                    </w:rPr>
                  </m:ctrlPr>
                </m:sSubPr>
                <m:e>
                  <m:r>
                    <w:rPr>
                      <w:rFonts w:ascii="Cambria Math" w:eastAsia="Calibri" w:hAnsi="Cambria Math" w:cs="Times New Roman"/>
                    </w:rPr>
                    <m:t>N</m:t>
                  </m:r>
                </m:e>
                <m:sub>
                  <m:r>
                    <m:rPr>
                      <m:sty m:val="p"/>
                    </m:rPr>
                    <w:rPr>
                      <w:rFonts w:ascii="Cambria Math" w:eastAsia="Calibri" w:hAnsi="Cambria Math" w:cs="Times New Roman"/>
                    </w:rPr>
                    <m:t>f</m:t>
                  </m:r>
                </m:sub>
              </m:sSub>
              <m:r>
                <m:rPr>
                  <m:sty m:val="p"/>
                </m:rPr>
                <w:rPr>
                  <w:rFonts w:ascii="Cambria Math" w:eastAsia="Calibri" w:hAnsi="Cambria Math" w:cs="Times New Roman"/>
                </w:rPr>
                <m:t>/</m:t>
              </m:r>
              <m:sSub>
                <m:sSubPr>
                  <m:ctrlPr>
                    <w:rPr>
                      <w:rFonts w:ascii="Cambria Math" w:eastAsia="Calibri" w:hAnsi="Cambria Math" w:cs="Times New Roman"/>
                      <w:iCs/>
                    </w:rPr>
                  </m:ctrlPr>
                </m:sSubPr>
                <m:e>
                  <m:r>
                    <w:rPr>
                      <w:rFonts w:ascii="Cambria Math" w:eastAsia="Calibri" w:hAnsi="Cambria Math" w:cs="Times New Roman"/>
                    </w:rPr>
                    <m:t>n</m:t>
                  </m:r>
                </m:e>
                <m:sub>
                  <m:r>
                    <m:rPr>
                      <m:sty m:val="p"/>
                    </m:rPr>
                    <w:rPr>
                      <w:rFonts w:ascii="Cambria Math" w:eastAsia="Calibri" w:hAnsi="Cambria Math" w:cs="Times New Roman"/>
                    </w:rPr>
                    <m:t>t</m:t>
                  </m:r>
                </m:sub>
              </m:sSub>
            </m:oMath>
            <w:r w:rsidRPr="00FF1786">
              <w:rPr>
                <w:rFonts w:ascii="Cambria Math" w:eastAsia="Calibri" w:hAnsi="Cambria Math" w:cs="Times New Roman"/>
                <w:iCs/>
              </w:rPr>
              <w:t>;</w:t>
            </w:r>
          </w:p>
        </w:tc>
      </w:tr>
      <w:tr w:rsidR="0067403A" w:rsidRPr="00FF1786" w14:paraId="14054288" w14:textId="77777777" w:rsidTr="00F81F1B">
        <w:tc>
          <w:tcPr>
            <w:tcW w:w="0" w:type="auto"/>
          </w:tcPr>
          <w:p w14:paraId="62FECAFD" w14:textId="7E74398A" w:rsidR="0067403A" w:rsidRPr="00F41E63" w:rsidRDefault="0067403A" w:rsidP="00F81F1B">
            <w:pPr>
              <w:rPr>
                <w:lang w:eastAsia="de-DE"/>
              </w:rPr>
            </w:pPr>
            <m:oMathPara>
              <m:oMathParaPr>
                <m:jc m:val="left"/>
              </m:oMathParaPr>
              <m:oMath>
                <m:r>
                  <w:rPr>
                    <w:rFonts w:ascii="Cambria Math" w:hAnsi="Cambria Math"/>
                  </w:rPr>
                  <m:t>p</m:t>
                </m:r>
              </m:oMath>
            </m:oMathPara>
          </w:p>
        </w:tc>
        <w:tc>
          <w:tcPr>
            <w:tcW w:w="8332" w:type="dxa"/>
          </w:tcPr>
          <w:p w14:paraId="63BE3BB4" w14:textId="11AB4C95" w:rsidR="0067403A" w:rsidRPr="00FF1786" w:rsidRDefault="0067403A" w:rsidP="00F81F1B">
            <w:r w:rsidRPr="00FF1786">
              <w:rPr>
                <w:rFonts w:ascii="Cambria Math" w:hAnsi="Cambria Math"/>
                <w:iCs/>
              </w:rPr>
              <w:t xml:space="preserve">is the effective width of each tension bolt and should be calculated as </w:t>
            </w:r>
            <m:oMath>
              <m:r>
                <w:rPr>
                  <w:rFonts w:ascii="Cambria Math" w:hAnsi="Cambria Math"/>
                </w:rPr>
                <m:t>p=2</m:t>
              </m:r>
              <m:sSub>
                <m:sSubPr>
                  <m:ctrlPr>
                    <w:rPr>
                      <w:rFonts w:ascii="Cambria Math" w:hAnsi="Cambria Math"/>
                      <w:i/>
                    </w:rPr>
                  </m:ctrlPr>
                </m:sSubPr>
                <m:e>
                  <m:r>
                    <w:rPr>
                      <w:rFonts w:ascii="Cambria Math" w:hAnsi="Cambria Math"/>
                    </w:rPr>
                    <m:t>w</m:t>
                  </m:r>
                </m:e>
                <m:sub>
                  <m:r>
                    <m:rPr>
                      <m:sty m:val="p"/>
                    </m:rPr>
                    <w:rPr>
                      <w:rFonts w:ascii="Cambria Math" w:hAnsi="Cambria Math"/>
                    </w:rPr>
                    <m:t>tee</m:t>
                  </m:r>
                </m:sub>
              </m:sSub>
              <m:r>
                <w:rPr>
                  <w:rFonts w:ascii="Cambria Math" w:hAnsi="Cambria Math"/>
                </w:rPr>
                <m:t>/</m:t>
              </m:r>
              <m:sSub>
                <m:sSubPr>
                  <m:ctrlPr>
                    <w:rPr>
                      <w:rFonts w:ascii="Cambria Math" w:hAnsi="Cambria Math"/>
                      <w:i/>
                    </w:rPr>
                  </m:ctrlPr>
                </m:sSubPr>
                <m:e>
                  <m:r>
                    <w:rPr>
                      <w:rFonts w:ascii="Cambria Math" w:hAnsi="Cambria Math"/>
                    </w:rPr>
                    <m:t>n</m:t>
                  </m:r>
                </m:e>
                <m:sub>
                  <m:r>
                    <m:rPr>
                      <m:sty m:val="p"/>
                    </m:rPr>
                    <w:rPr>
                      <w:rFonts w:ascii="Cambria Math" w:hAnsi="Cambria Math"/>
                    </w:rPr>
                    <m:t>t</m:t>
                  </m:r>
                </m:sub>
              </m:sSub>
            </m:oMath>
          </w:p>
        </w:tc>
      </w:tr>
      <w:tr w:rsidR="0067403A" w:rsidRPr="00FF1786" w14:paraId="3DD7DF90" w14:textId="77777777" w:rsidTr="00F81F1B">
        <w:tc>
          <w:tcPr>
            <w:tcW w:w="0" w:type="auto"/>
          </w:tcPr>
          <w:p w14:paraId="28D62297" w14:textId="35E3D313" w:rsidR="0067403A" w:rsidRPr="006A11A7" w:rsidRDefault="0067403A" w:rsidP="00F81F1B">
            <w:pPr>
              <w:rPr>
                <w:rFonts w:ascii="Cambria Math" w:hAnsi="Cambria Math"/>
                <w:oMath/>
              </w:rPr>
            </w:pPr>
            <m:oMathPara>
              <m:oMathParaPr>
                <m:jc m:val="left"/>
              </m:oMathParaPr>
              <m:oMath>
                <m:r>
                  <w:rPr>
                    <w:rFonts w:ascii="Cambria Math" w:hAnsi="Cambria Math" w:hint="eastAsia"/>
                  </w:rPr>
                  <m:t>a</m:t>
                </m:r>
                <m:r>
                  <w:rPr>
                    <w:rFonts w:ascii="Cambria Math" w:hAnsi="Cambria Math" w:hint="eastAsia"/>
                  </w:rPr>
                  <m:t>'</m:t>
                </m:r>
              </m:oMath>
            </m:oMathPara>
          </w:p>
        </w:tc>
        <w:tc>
          <w:tcPr>
            <w:tcW w:w="8332" w:type="dxa"/>
          </w:tcPr>
          <w:p w14:paraId="39F9C3C3" w14:textId="32A8EE71" w:rsidR="0067403A" w:rsidRPr="00FF1786" w:rsidRDefault="0067403A" w:rsidP="00F81F1B">
            <w:r w:rsidRPr="00FF1786">
              <w:rPr>
                <w:rFonts w:ascii="Cambria Math" w:hAnsi="Cambria Math"/>
                <w:iCs/>
              </w:rPr>
              <w:t>is the distance from the edge of the tee-stub flange to the edge of the bolt;</w:t>
            </w:r>
          </w:p>
        </w:tc>
      </w:tr>
      <w:tr w:rsidR="0067403A" w:rsidRPr="00FF1786" w14:paraId="3F2070A0" w14:textId="77777777" w:rsidTr="00F81F1B">
        <w:tc>
          <w:tcPr>
            <w:tcW w:w="0" w:type="auto"/>
          </w:tcPr>
          <w:p w14:paraId="1DA87B58" w14:textId="6CA2C394" w:rsidR="0067403A" w:rsidRPr="00183272" w:rsidRDefault="0067403A" w:rsidP="00F81F1B">
            <m:oMathPara>
              <m:oMathParaPr>
                <m:jc m:val="left"/>
              </m:oMathParaPr>
              <m:oMath>
                <m:r>
                  <w:rPr>
                    <w:rFonts w:ascii="Cambria Math" w:hAnsi="Cambria Math" w:hint="eastAsia"/>
                  </w:rPr>
                  <m:t>b</m:t>
                </m:r>
                <m:r>
                  <w:rPr>
                    <w:rFonts w:ascii="Cambria Math" w:hAnsi="Cambria Math" w:hint="eastAsia"/>
                  </w:rPr>
                  <m:t>'</m:t>
                </m:r>
              </m:oMath>
            </m:oMathPara>
          </w:p>
        </w:tc>
        <w:tc>
          <w:tcPr>
            <w:tcW w:w="8332" w:type="dxa"/>
          </w:tcPr>
          <w:p w14:paraId="6390A540" w14:textId="224131A7" w:rsidR="0067403A" w:rsidRPr="00FF1786" w:rsidRDefault="0067403A" w:rsidP="00F81F1B">
            <w:r w:rsidRPr="00FF1786">
              <w:rPr>
                <w:rFonts w:ascii="Cambria Math" w:hAnsi="Cambria Math"/>
                <w:iCs/>
              </w:rPr>
              <w:t>is the distance from the face of the tee-stub stem to the edge of the bolt;</w:t>
            </w:r>
          </w:p>
        </w:tc>
      </w:tr>
      <w:tr w:rsidR="0067403A" w:rsidRPr="00FF1786" w14:paraId="4B3AE563" w14:textId="77777777" w:rsidTr="00F81F1B">
        <w:tc>
          <w:tcPr>
            <w:tcW w:w="0" w:type="auto"/>
          </w:tcPr>
          <w:p w14:paraId="5A8D84F0" w14:textId="2A9F1B7F" w:rsidR="0067403A" w:rsidRPr="00183272" w:rsidRDefault="009B5CEC" w:rsidP="00F81F1B">
            <m:oMathPara>
              <m:oMathParaPr>
                <m:jc m:val="left"/>
              </m:oMathParaPr>
              <m:oMath>
                <m:sSub>
                  <m:sSubPr>
                    <m:ctrlPr>
                      <w:rPr>
                        <w:rFonts w:ascii="Cambria Math" w:hAnsi="Cambria Math"/>
                        <w:i/>
                      </w:rPr>
                    </m:ctrlPr>
                  </m:sSubPr>
                  <m:e>
                    <m:r>
                      <w:rPr>
                        <w:rFonts w:ascii="Cambria Math" w:hAnsi="Cambria Math"/>
                      </w:rPr>
                      <m:t>F</m:t>
                    </m:r>
                  </m:e>
                  <m:sub>
                    <m:r>
                      <m:rPr>
                        <m:sty m:val="p"/>
                      </m:rPr>
                      <w:rPr>
                        <w:rFonts w:ascii="Cambria Math" w:hAnsi="Cambria Math"/>
                      </w:rPr>
                      <m:t>b,Rd</m:t>
                    </m:r>
                  </m:sub>
                </m:sSub>
              </m:oMath>
            </m:oMathPara>
          </w:p>
        </w:tc>
        <w:tc>
          <w:tcPr>
            <w:tcW w:w="8332" w:type="dxa"/>
          </w:tcPr>
          <w:p w14:paraId="0231CABA" w14:textId="439DDD47" w:rsidR="0067403A" w:rsidRPr="00FF1786" w:rsidRDefault="0067403A" w:rsidP="00F81F1B">
            <w:r w:rsidRPr="00FF1786">
              <w:t>is the design tensile resistance of a tension bolt (N/bolt).</w:t>
            </w:r>
          </w:p>
        </w:tc>
      </w:tr>
    </w:tbl>
    <w:p w14:paraId="07638E5E" w14:textId="47426BE4" w:rsidR="00753F60" w:rsidRDefault="00753F60" w:rsidP="00724E4E">
      <w:pPr>
        <w:pStyle w:val="Clause"/>
      </w:pPr>
      <w:r w:rsidRPr="007505A6">
        <w:t xml:space="preserve">The critical thickness of the tee-stub flange to eliminate prying action should be calculated according </w:t>
      </w:r>
      <w:r w:rsidRPr="00753F60">
        <w:t>to Formula (G.28).</w:t>
      </w:r>
    </w:p>
    <w:p w14:paraId="22F4FDFD" w14:textId="033C4B5B" w:rsidR="00753F60" w:rsidRDefault="009B5CEC" w:rsidP="00753F60">
      <w:pPr>
        <w:pStyle w:val="Formula"/>
        <w:spacing w:before="240"/>
      </w:pPr>
      <m:oMath>
        <m:sSub>
          <m:sSubPr>
            <m:ctrlPr>
              <w:rPr>
                <w:rFonts w:ascii="Cambria Math" w:hAnsi="Cambria Math"/>
              </w:rPr>
            </m:ctrlPr>
          </m:sSubPr>
          <m:e>
            <m:r>
              <w:rPr>
                <w:rFonts w:ascii="Cambria Math" w:hAnsi="Cambria Math"/>
              </w:rPr>
              <m:t>t</m:t>
            </m:r>
          </m:e>
          <m:sub>
            <m:r>
              <m:rPr>
                <m:sty m:val="p"/>
              </m:rPr>
              <w:rPr>
                <w:rFonts w:ascii="Cambria Math" w:hAnsi="Cambria Math"/>
              </w:rPr>
              <m:t>tf,critical</m:t>
            </m:r>
          </m:sub>
        </m:sSub>
        <m:r>
          <w:rPr>
            <w:rFonts w:ascii="Cambria Math" w:hAnsi="Cambria Math"/>
          </w:rPr>
          <m:t>=</m:t>
        </m:r>
        <m:rad>
          <m:radPr>
            <m:degHide m:val="1"/>
            <m:ctrlPr>
              <w:rPr>
                <w:rFonts w:ascii="Cambria Math" w:hAnsi="Cambria Math"/>
              </w:rPr>
            </m:ctrlPr>
          </m:radPr>
          <m:deg/>
          <m:e>
            <m:f>
              <m:fPr>
                <m:ctrlPr>
                  <w:rPr>
                    <w:rFonts w:ascii="Cambria Math" w:hAnsi="Cambria Math"/>
                  </w:rPr>
                </m:ctrlPr>
              </m:fPr>
              <m:num>
                <m:r>
                  <w:rPr>
                    <w:rFonts w:ascii="Cambria Math" w:hAnsi="Cambria Math"/>
                  </w:rPr>
                  <m:t xml:space="preserve">4 </m:t>
                </m:r>
                <m:sSub>
                  <m:sSubPr>
                    <m:ctrlPr>
                      <w:rPr>
                        <w:rFonts w:ascii="Cambria Math" w:hAnsi="Cambria Math"/>
                      </w:rPr>
                    </m:ctrlPr>
                  </m:sSubPr>
                  <m:e>
                    <m:r>
                      <w:rPr>
                        <w:rFonts w:ascii="Cambria Math" w:hAnsi="Cambria Math"/>
                      </w:rPr>
                      <m:t>F</m:t>
                    </m:r>
                  </m:e>
                  <m:sub>
                    <m:r>
                      <m:rPr>
                        <m:sty m:val="p"/>
                      </m:rPr>
                      <w:rPr>
                        <w:rFonts w:ascii="Cambria Math" w:hAnsi="Cambria Math"/>
                      </w:rPr>
                      <m:t>b,Rd</m:t>
                    </m:r>
                  </m:sub>
                </m:sSub>
                <m:r>
                  <w:rPr>
                    <w:rFonts w:ascii="Cambria Math" w:hAnsi="Cambria Math" w:hint="eastAsia"/>
                  </w:rPr>
                  <m:t xml:space="preserve"> b</m:t>
                </m:r>
                <m:r>
                  <w:rPr>
                    <w:rFonts w:ascii="Cambria Math" w:hAnsi="Cambria Math" w:hint="eastAsia"/>
                  </w:rPr>
                  <m:t>'</m:t>
                </m:r>
              </m:num>
              <m:den>
                <m:sSub>
                  <m:sSubPr>
                    <m:ctrlPr>
                      <w:rPr>
                        <w:rFonts w:ascii="Cambria Math" w:hAnsi="Cambria Math"/>
                      </w:rPr>
                    </m:ctrlPr>
                  </m:sSubPr>
                  <m:e>
                    <m:r>
                      <w:rPr>
                        <w:rFonts w:ascii="Cambria Math" w:hAnsi="Cambria Math"/>
                      </w:rPr>
                      <m:t>f</m:t>
                    </m:r>
                  </m:e>
                  <m:sub>
                    <m:r>
                      <m:rPr>
                        <m:sty m:val="p"/>
                      </m:rPr>
                      <w:rPr>
                        <w:rFonts w:ascii="Cambria Math" w:hAnsi="Cambria Math"/>
                      </w:rPr>
                      <m:t>yd</m:t>
                    </m:r>
                  </m:sub>
                </m:sSub>
                <m:r>
                  <w:rPr>
                    <w:rFonts w:ascii="Cambria Math" w:hAnsi="Cambria Math"/>
                  </w:rPr>
                  <m:t xml:space="preserve"> p</m:t>
                </m:r>
              </m:den>
            </m:f>
          </m:e>
        </m:rad>
      </m:oMath>
      <w:r w:rsidR="00753F60" w:rsidRPr="00922D9B">
        <w:tab/>
        <w:t>(G.</w:t>
      </w:r>
      <w:r w:rsidR="00753F60">
        <w:t>28</w:t>
      </w:r>
      <w:r w:rsidR="00753F60" w:rsidRPr="00922D9B">
        <w:t>)</w:t>
      </w:r>
    </w:p>
    <w:p w14:paraId="2AF0F37B" w14:textId="77777777" w:rsidR="00753F60" w:rsidRPr="007505A6" w:rsidRDefault="00753F60" w:rsidP="00753F60">
      <w:pPr>
        <w:pStyle w:val="a3"/>
      </w:pPr>
      <w:bookmarkStart w:id="11534" w:name="_Toc108342828"/>
      <w:bookmarkStart w:id="11535" w:name="_Toc120543913"/>
      <w:bookmarkStart w:id="11536" w:name="_Toc134198334"/>
      <w:r w:rsidRPr="007505A6">
        <w:t>Connection classification</w:t>
      </w:r>
      <w:bookmarkEnd w:id="11534"/>
      <w:bookmarkEnd w:id="11535"/>
      <w:bookmarkEnd w:id="11536"/>
    </w:p>
    <w:p w14:paraId="78B980AF" w14:textId="5EFEFA25" w:rsidR="00753F60" w:rsidRPr="007505A6" w:rsidRDefault="00753F60" w:rsidP="0080187E">
      <w:pPr>
        <w:pStyle w:val="Clause"/>
        <w:numPr>
          <w:ilvl w:val="0"/>
          <w:numId w:val="613"/>
        </w:numPr>
      </w:pPr>
      <w:r w:rsidRPr="007505A6">
        <w:t xml:space="preserve">The designed connection should be verified if it is within the parameters of a fully-strength or partial strength connection according to </w:t>
      </w:r>
      <w:r w:rsidRPr="00753F60">
        <w:t>pr</w:t>
      </w:r>
      <w:r w:rsidR="00C30FF9">
        <w:t>EN 1</w:t>
      </w:r>
      <w:r w:rsidRPr="00753F60">
        <w:t>993-1-8 to be used in composite steel moment resisting frames in DC2 or DC3. The connection classification should be done according to the geometric properties of the tee-stub and of the structural bolts (symbol E in Figure G.8</w:t>
      </w:r>
      <w:r w:rsidRPr="007505A6">
        <w:t>).</w:t>
      </w:r>
    </w:p>
    <w:p w14:paraId="7F8AB2F4" w14:textId="77777777" w:rsidR="00753F60" w:rsidRPr="007505A6" w:rsidRDefault="00753F60" w:rsidP="00753F60">
      <w:pPr>
        <w:pStyle w:val="a3"/>
      </w:pPr>
      <w:bookmarkStart w:id="11537" w:name="_Toc108342829"/>
      <w:bookmarkStart w:id="11538" w:name="_Toc120543914"/>
      <w:bookmarkStart w:id="11539" w:name="_Toc134198335"/>
      <w:r w:rsidRPr="007505A6">
        <w:t>Additional verifications</w:t>
      </w:r>
      <w:bookmarkEnd w:id="11537"/>
      <w:bookmarkEnd w:id="11538"/>
      <w:bookmarkEnd w:id="11539"/>
    </w:p>
    <w:p w14:paraId="070044BD" w14:textId="2F82CA02" w:rsidR="00753F60" w:rsidRDefault="00753F60" w:rsidP="0080187E">
      <w:pPr>
        <w:pStyle w:val="Clause"/>
        <w:numPr>
          <w:ilvl w:val="0"/>
          <w:numId w:val="614"/>
        </w:numPr>
      </w:pPr>
      <w:r w:rsidRPr="007505A6">
        <w:t xml:space="preserve">The maximum force, </w:t>
      </w:r>
      <w:r w:rsidRPr="00CB3836">
        <w:rPr>
          <w:i/>
          <w:iCs/>
        </w:rPr>
        <w:t>N</w:t>
      </w:r>
      <w:r w:rsidRPr="00CB3836">
        <w:rPr>
          <w:vertAlign w:val="subscript"/>
        </w:rPr>
        <w:t>f</w:t>
      </w:r>
      <w:r w:rsidRPr="007505A6">
        <w:t xml:space="preserve">, in the tee-stub should be re-calculated based on the actual tee-stub dimensions according </w:t>
      </w:r>
      <w:r w:rsidRPr="00753F60">
        <w:t>to Formula (G.29).</w:t>
      </w:r>
    </w:p>
    <w:p w14:paraId="343D8E0D" w14:textId="3955F0D3" w:rsidR="00753F60" w:rsidRDefault="009B5CEC" w:rsidP="00753F60">
      <w:pPr>
        <w:pStyle w:val="Formula"/>
        <w:spacing w:before="240"/>
      </w:pPr>
      <m:oMath>
        <m:sSub>
          <m:sSubPr>
            <m:ctrlPr>
              <w:rPr>
                <w:rFonts w:ascii="Cambria Math" w:hAnsi="Cambria Math"/>
              </w:rPr>
            </m:ctrlPr>
          </m:sSubPr>
          <m:e>
            <m:r>
              <w:rPr>
                <w:rFonts w:ascii="Cambria Math" w:hAnsi="Cambria Math"/>
              </w:rPr>
              <m:t>N</m:t>
            </m:r>
          </m:e>
          <m:sub>
            <m:r>
              <m:rPr>
                <m:sty m:val="p"/>
              </m:rPr>
              <w:rPr>
                <w:rFonts w:ascii="Cambria Math" w:hAnsi="Cambria Math"/>
              </w:rPr>
              <m:t>f</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M</m:t>
                </m:r>
              </m:e>
              <m:sub>
                <m:r>
                  <m:rPr>
                    <m:sty m:val="p"/>
                  </m:rPr>
                  <w:rPr>
                    <w:rFonts w:ascii="Cambria Math" w:hAnsi="Cambria Math"/>
                  </w:rPr>
                  <m:t>pl,Rd</m:t>
                </m:r>
              </m:sub>
            </m:sSub>
          </m:num>
          <m:den>
            <m:sSub>
              <m:sSubPr>
                <m:ctrlPr>
                  <w:rPr>
                    <w:rFonts w:ascii="Cambria Math" w:hAnsi="Cambria Math"/>
                  </w:rPr>
                </m:ctrlPr>
              </m:sSubPr>
              <m:e>
                <m:r>
                  <w:rPr>
                    <w:rFonts w:ascii="Cambria Math" w:hAnsi="Cambria Math"/>
                  </w:rPr>
                  <m:t>h</m:t>
                </m:r>
              </m:e>
              <m:sub>
                <m:r>
                  <m:rPr>
                    <m:sty m:val="p"/>
                  </m:rPr>
                  <w:rPr>
                    <w:rFonts w:ascii="Cambria Math" w:hAnsi="Cambria Math"/>
                  </w:rPr>
                  <m:t>b</m:t>
                </m:r>
              </m:sub>
            </m:sSub>
            <m:r>
              <w:rPr>
                <w:rFonts w:ascii="Cambria Math" w:hAnsi="Cambria Math"/>
              </w:rPr>
              <m:t>+</m:t>
            </m:r>
            <m:sSub>
              <m:sSubPr>
                <m:ctrlPr>
                  <w:rPr>
                    <w:rFonts w:ascii="Cambria Math" w:hAnsi="Cambria Math"/>
                  </w:rPr>
                </m:ctrlPr>
              </m:sSubPr>
              <m:e>
                <m:r>
                  <w:rPr>
                    <w:rFonts w:ascii="Cambria Math" w:hAnsi="Cambria Math"/>
                  </w:rPr>
                  <m:t>t</m:t>
                </m:r>
              </m:e>
              <m:sub>
                <m:r>
                  <m:rPr>
                    <m:sty m:val="p"/>
                  </m:rPr>
                  <w:rPr>
                    <w:rFonts w:ascii="Cambria Math" w:hAnsi="Cambria Math"/>
                  </w:rPr>
                  <m:t>tf</m:t>
                </m:r>
              </m:sub>
            </m:sSub>
          </m:den>
        </m:f>
      </m:oMath>
      <w:r w:rsidR="00753F60" w:rsidRPr="00922D9B">
        <w:tab/>
        <w:t>(G.</w:t>
      </w:r>
      <w:r w:rsidR="00753F60">
        <w:t>29</w:t>
      </w:r>
      <w:r w:rsidR="00753F60" w:rsidRPr="00922D9B">
        <w:t>)</w:t>
      </w:r>
    </w:p>
    <w:p w14:paraId="3541025B" w14:textId="756619F3" w:rsidR="00753F60" w:rsidRPr="007505A6" w:rsidRDefault="00753F60" w:rsidP="00724E4E">
      <w:pPr>
        <w:pStyle w:val="Clause"/>
      </w:pPr>
      <w:r w:rsidRPr="007505A6">
        <w:t xml:space="preserve">In tee-stubs welded or bolted to the steel beam flanges, the resistance of welds or bolts should not be smaller than the maximum force, </w:t>
      </w:r>
      <w:r w:rsidRPr="007505A6">
        <w:rPr>
          <w:i/>
          <w:iCs/>
        </w:rPr>
        <w:t>N</w:t>
      </w:r>
      <w:r w:rsidRPr="007505A6">
        <w:rPr>
          <w:vertAlign w:val="subscript"/>
        </w:rPr>
        <w:t>f</w:t>
      </w:r>
      <w:r w:rsidRPr="007505A6">
        <w:t xml:space="preserve">, calculated according to </w:t>
      </w:r>
      <w:r w:rsidRPr="00835C82">
        <w:t>(1)</w:t>
      </w:r>
      <w:r w:rsidRPr="007505A6">
        <w:t>.</w:t>
      </w:r>
    </w:p>
    <w:p w14:paraId="1A042DAF" w14:textId="03BE6245" w:rsidR="00753F60" w:rsidRPr="007505A6" w:rsidRDefault="00753F60" w:rsidP="00724E4E">
      <w:pPr>
        <w:pStyle w:val="Clause"/>
      </w:pPr>
      <w:r w:rsidRPr="007505A6">
        <w:t xml:space="preserve">The tee-stem resistance according </w:t>
      </w:r>
      <w:r w:rsidRPr="00753F60">
        <w:t xml:space="preserve">to </w:t>
      </w:r>
      <w:r w:rsidRPr="00835C82">
        <w:t>G.6.5</w:t>
      </w:r>
      <w:r w:rsidRPr="00753F60">
        <w:t xml:space="preserve"> should be verified against the maximum force, </w:t>
      </w:r>
      <w:r w:rsidRPr="00753F60">
        <w:rPr>
          <w:i/>
          <w:iCs/>
        </w:rPr>
        <w:t>N</w:t>
      </w:r>
      <w:r w:rsidRPr="00753F60">
        <w:rPr>
          <w:vertAlign w:val="subscript"/>
        </w:rPr>
        <w:t>f</w:t>
      </w:r>
      <w:r w:rsidRPr="00753F60">
        <w:t xml:space="preserve">, calculated according to </w:t>
      </w:r>
      <w:r w:rsidRPr="00835C82">
        <w:t>(1)</w:t>
      </w:r>
      <w:r w:rsidRPr="007505A6">
        <w:t>.</w:t>
      </w:r>
    </w:p>
    <w:p w14:paraId="2D595723" w14:textId="0B4B5FFF" w:rsidR="00753F60" w:rsidRPr="007505A6" w:rsidRDefault="00753F60" w:rsidP="00724E4E">
      <w:pPr>
        <w:pStyle w:val="Clause"/>
        <w:rPr>
          <w:rFonts w:eastAsia="Cambria"/>
        </w:rPr>
      </w:pPr>
      <w:r w:rsidRPr="007505A6">
        <w:t xml:space="preserve">The flange resistance of the tee-stub </w:t>
      </w:r>
      <w:r w:rsidRPr="007505A6">
        <w:rPr>
          <w:rFonts w:eastAsia="Cambria"/>
        </w:rPr>
        <w:t>should not be smaller than</w:t>
      </w:r>
      <w:r w:rsidRPr="007505A6">
        <w:t xml:space="preserve"> the maximum beam flange force. It should resist the plastic flange mechanism, mixed-mode failure, and tension bolt fracture with no prying action according to </w:t>
      </w:r>
      <w:r w:rsidRPr="00753F60">
        <w:t>pr</w:t>
      </w:r>
      <w:r w:rsidR="00C30FF9">
        <w:t>EN 1</w:t>
      </w:r>
      <w:r w:rsidRPr="00753F60">
        <w:t>993-1-8</w:t>
      </w:r>
      <w:r w:rsidRPr="007505A6">
        <w:t>.</w:t>
      </w:r>
    </w:p>
    <w:p w14:paraId="577094E8" w14:textId="78DFF08A" w:rsidR="00753F60" w:rsidRPr="006A5528" w:rsidRDefault="00753F60" w:rsidP="00724E4E">
      <w:pPr>
        <w:pStyle w:val="Clause"/>
        <w:rPr>
          <w:rFonts w:eastAsia="Cambria"/>
        </w:rPr>
      </w:pPr>
      <w:r w:rsidRPr="007505A6">
        <w:t xml:space="preserve">The shear resistance, </w:t>
      </w:r>
      <m:oMath>
        <m:sSub>
          <m:sSubPr>
            <m:ctrlPr>
              <w:rPr>
                <w:rFonts w:ascii="Cambria Math" w:hAnsi="Cambria Math"/>
                <w:i/>
              </w:rPr>
            </m:ctrlPr>
          </m:sSubPr>
          <m:e>
            <m:r>
              <w:rPr>
                <w:rFonts w:ascii="Cambria Math" w:hAnsi="Cambria Math"/>
              </w:rPr>
              <m:t>V</m:t>
            </m:r>
          </m:e>
          <m:sub>
            <m:r>
              <m:rPr>
                <m:sty m:val="p"/>
              </m:rPr>
              <w:rPr>
                <w:rFonts w:ascii="Cambria Math" w:hAnsi="Cambria Math"/>
              </w:rPr>
              <m:t>d</m:t>
            </m:r>
          </m:sub>
        </m:sSub>
      </m:oMath>
      <w:r w:rsidRPr="007505A6">
        <w:t xml:space="preserve">, of the panel zone joint calculated </w:t>
      </w:r>
      <w:r w:rsidRPr="00753F60">
        <w:t xml:space="preserve">according to </w:t>
      </w:r>
      <w:r w:rsidRPr="00835C82">
        <w:t>G.6.3</w:t>
      </w:r>
      <w:r w:rsidRPr="00753F60">
        <w:t xml:space="preserve"> </w:t>
      </w:r>
      <w:r w:rsidRPr="00753F60">
        <w:rPr>
          <w:rFonts w:eastAsia="Cambria"/>
        </w:rPr>
        <w:t>shou</w:t>
      </w:r>
      <w:r w:rsidRPr="007505A6">
        <w:rPr>
          <w:rFonts w:eastAsia="Cambria"/>
        </w:rPr>
        <w:t>ld not be smaller than</w:t>
      </w:r>
      <w:r w:rsidRPr="007505A6">
        <w:t xml:space="preserve"> the panel zone shear demand on the column from the bending demand at the face of the column according </w:t>
      </w:r>
      <w:r w:rsidRPr="00753F60">
        <w:t>to Formula (G.30).</w:t>
      </w:r>
    </w:p>
    <w:p w14:paraId="38379F20" w14:textId="39FEE89C" w:rsidR="00753F60" w:rsidRDefault="009B5CEC" w:rsidP="00753F60">
      <w:pPr>
        <w:pStyle w:val="Formula"/>
        <w:spacing w:before="240"/>
      </w:pPr>
      <m:oMath>
        <m:sSub>
          <m:sSubPr>
            <m:ctrlPr>
              <w:rPr>
                <w:rFonts w:ascii="Cambria Math" w:hAnsi="Cambria Math"/>
              </w:rPr>
            </m:ctrlPr>
          </m:sSubPr>
          <m:e>
            <m:r>
              <w:rPr>
                <w:rFonts w:ascii="Cambria Math" w:hAnsi="Cambria Math"/>
              </w:rPr>
              <m:t>V</m:t>
            </m:r>
          </m:e>
          <m:sub>
            <m:r>
              <m:rPr>
                <m:sty m:val="p"/>
              </m:rPr>
              <w:rPr>
                <w:rFonts w:ascii="Cambria Math" w:hAnsi="Cambria Math"/>
              </w:rPr>
              <m:t>d</m:t>
            </m:r>
          </m:sub>
        </m:sSub>
        <m:r>
          <w:rPr>
            <w:rFonts w:ascii="Cambria Math" w:hAnsi="Cambria Math"/>
          </w:rPr>
          <m:t>≥</m:t>
        </m:r>
        <m:f>
          <m:fPr>
            <m:ctrlPr>
              <w:rPr>
                <w:rFonts w:ascii="Cambria Math" w:hAnsi="Cambria Math"/>
              </w:rPr>
            </m:ctrlPr>
          </m:fPr>
          <m:num>
            <m:r>
              <w:rPr>
                <w:rFonts w:ascii="Cambria Math" w:hAnsi="Cambria Math"/>
              </w:rPr>
              <m:t>2</m:t>
            </m:r>
            <m:sSub>
              <m:sSubPr>
                <m:ctrlPr>
                  <w:rPr>
                    <w:rFonts w:ascii="Cambria Math" w:hAnsi="Cambria Math"/>
                  </w:rPr>
                </m:ctrlPr>
              </m:sSubPr>
              <m:e>
                <m:r>
                  <w:rPr>
                    <w:rFonts w:ascii="Cambria Math" w:hAnsi="Cambria Math"/>
                  </w:rPr>
                  <m:t>M</m:t>
                </m:r>
              </m:e>
              <m:sub>
                <m:r>
                  <m:rPr>
                    <m:sty m:val="p"/>
                  </m:rPr>
                  <w:rPr>
                    <w:rFonts w:ascii="Cambria Math" w:hAnsi="Cambria Math"/>
                  </w:rPr>
                  <m:t>pl,Rd</m:t>
                </m:r>
              </m:sub>
            </m:sSub>
          </m:num>
          <m:den>
            <m:sSub>
              <m:sSubPr>
                <m:ctrlPr>
                  <w:rPr>
                    <w:rFonts w:ascii="Cambria Math" w:hAnsi="Cambria Math"/>
                  </w:rPr>
                </m:ctrlPr>
              </m:sSubPr>
              <m:e>
                <m:r>
                  <w:rPr>
                    <w:rFonts w:ascii="Cambria Math" w:hAnsi="Cambria Math"/>
                  </w:rPr>
                  <m:t>h</m:t>
                </m:r>
              </m:e>
              <m:sub>
                <m:r>
                  <m:rPr>
                    <m:sty m:val="p"/>
                  </m:rPr>
                  <w:rPr>
                    <w:rFonts w:ascii="Cambria Math" w:hAnsi="Cambria Math"/>
                  </w:rPr>
                  <m:t>b</m:t>
                </m:r>
              </m:sub>
            </m:sSub>
            <m:r>
              <w:rPr>
                <w:rFonts w:ascii="Cambria Math" w:hAnsi="Cambria Math"/>
              </w:rPr>
              <m:t>-</m:t>
            </m:r>
            <m:sSub>
              <m:sSubPr>
                <m:ctrlPr>
                  <w:rPr>
                    <w:rFonts w:ascii="Cambria Math" w:hAnsi="Cambria Math"/>
                  </w:rPr>
                </m:ctrlPr>
              </m:sSubPr>
              <m:e>
                <m:r>
                  <w:rPr>
                    <w:rFonts w:ascii="Cambria Math" w:hAnsi="Cambria Math"/>
                  </w:rPr>
                  <m:t>t</m:t>
                </m:r>
              </m:e>
              <m:sub>
                <m:r>
                  <m:rPr>
                    <m:sty m:val="p"/>
                  </m:rPr>
                  <w:rPr>
                    <w:rFonts w:ascii="Cambria Math" w:hAnsi="Cambria Math"/>
                  </w:rPr>
                  <m:t>f</m:t>
                </m:r>
              </m:sub>
            </m:sSub>
          </m:den>
        </m:f>
        <m:r>
          <w:rPr>
            <w:rFonts w:ascii="Cambria Math" w:hAnsi="Cambria Math"/>
          </w:rPr>
          <m:t>-</m:t>
        </m:r>
        <m:sSub>
          <m:sSubPr>
            <m:ctrlPr>
              <w:rPr>
                <w:rFonts w:ascii="Cambria Math" w:hAnsi="Cambria Math"/>
              </w:rPr>
            </m:ctrlPr>
          </m:sSubPr>
          <m:e>
            <m:r>
              <w:rPr>
                <w:rFonts w:ascii="Cambria Math" w:hAnsi="Cambria Math"/>
              </w:rPr>
              <m:t>V</m:t>
            </m:r>
          </m:e>
          <m:sub>
            <m:r>
              <m:rPr>
                <m:sty m:val="p"/>
              </m:rPr>
              <w:rPr>
                <w:rFonts w:ascii="Cambria Math" w:hAnsi="Cambria Math"/>
              </w:rPr>
              <m:t>c</m:t>
            </m:r>
          </m:sub>
        </m:sSub>
      </m:oMath>
      <w:r w:rsidR="00753F60" w:rsidRPr="00922D9B">
        <w:tab/>
        <w:t>(G.</w:t>
      </w:r>
      <w:r w:rsidR="00753F60">
        <w:t>30</w:t>
      </w:r>
      <w:r w:rsidR="00753F60" w:rsidRPr="00922D9B">
        <w:t>)</w:t>
      </w:r>
    </w:p>
    <w:p w14:paraId="48E065C4" w14:textId="218A89AD" w:rsidR="00753F60" w:rsidRDefault="00675EBA" w:rsidP="00773115">
      <w:pPr>
        <w:pStyle w:val="Text"/>
      </w:pPr>
      <w:r>
        <w:t>where</w:t>
      </w:r>
    </w:p>
    <w:tbl>
      <w:tblPr>
        <w:tblW w:w="0" w:type="auto"/>
        <w:tblInd w:w="346" w:type="dxa"/>
        <w:tblLook w:val="04A0" w:firstRow="1" w:lastRow="0" w:firstColumn="1" w:lastColumn="0" w:noHBand="0" w:noVBand="1"/>
      </w:tblPr>
      <w:tblGrid>
        <w:gridCol w:w="1275"/>
        <w:gridCol w:w="7938"/>
      </w:tblGrid>
      <w:tr w:rsidR="00753F60" w:rsidRPr="00FF1786" w14:paraId="4B85F6A0" w14:textId="77777777" w:rsidTr="00F81F1B">
        <w:tc>
          <w:tcPr>
            <w:tcW w:w="1275" w:type="dxa"/>
          </w:tcPr>
          <w:p w14:paraId="63ACF38E" w14:textId="72053729" w:rsidR="00753F60" w:rsidRPr="00460668" w:rsidRDefault="009B5CEC" w:rsidP="002061E5">
            <w:pPr>
              <w:spacing w:after="60"/>
              <w:rPr>
                <w:rFonts w:eastAsia="Times New Roman" w:cs="Cambria"/>
                <w:szCs w:val="20"/>
                <w:lang w:eastAsia="fr-FR"/>
              </w:rPr>
            </w:pPr>
            <m:oMathPara>
              <m:oMathParaPr>
                <m:jc m:val="left"/>
              </m:oMathParaPr>
              <m:oMath>
                <m:sSub>
                  <m:sSubPr>
                    <m:ctrlPr>
                      <w:rPr>
                        <w:rFonts w:ascii="Cambria Math" w:hAnsi="Cambria Math"/>
                        <w:i/>
                      </w:rPr>
                    </m:ctrlPr>
                  </m:sSubPr>
                  <m:e>
                    <m:r>
                      <w:rPr>
                        <w:rFonts w:ascii="Cambria Math" w:hAnsi="Cambria Math"/>
                      </w:rPr>
                      <m:t>V</m:t>
                    </m:r>
                  </m:e>
                  <m:sub>
                    <m:r>
                      <m:rPr>
                        <m:sty m:val="p"/>
                      </m:rPr>
                      <w:rPr>
                        <w:rFonts w:ascii="Cambria Math" w:hAnsi="Cambria Math"/>
                      </w:rPr>
                      <m:t>c</m:t>
                    </m:r>
                  </m:sub>
                </m:sSub>
              </m:oMath>
            </m:oMathPara>
          </w:p>
        </w:tc>
        <w:tc>
          <w:tcPr>
            <w:tcW w:w="7938" w:type="dxa"/>
          </w:tcPr>
          <w:p w14:paraId="7D08893D" w14:textId="3FF06E34" w:rsidR="00753F60" w:rsidRPr="00FF1786" w:rsidRDefault="00753F60" w:rsidP="002061E5">
            <w:pPr>
              <w:pStyle w:val="Listofsymbols"/>
              <w:tabs>
                <w:tab w:val="clear" w:pos="1134"/>
                <w:tab w:val="left" w:pos="2481"/>
              </w:tabs>
              <w:ind w:left="0" w:firstLine="0"/>
              <w:rPr>
                <w:szCs w:val="22"/>
              </w:rPr>
            </w:pPr>
            <w:r w:rsidRPr="007505A6">
              <w:t>is the shear force in the concrete filled column;</w:t>
            </w:r>
          </w:p>
        </w:tc>
      </w:tr>
      <w:tr w:rsidR="00753F60" w:rsidRPr="00FF1786" w14:paraId="6985E674" w14:textId="77777777" w:rsidTr="00F81F1B">
        <w:tc>
          <w:tcPr>
            <w:tcW w:w="1275" w:type="dxa"/>
          </w:tcPr>
          <w:p w14:paraId="6D532F90" w14:textId="70F563B5" w:rsidR="00753F60" w:rsidRPr="00F41E63" w:rsidRDefault="009B5CEC" w:rsidP="002061E5">
            <w:pPr>
              <w:spacing w:after="60"/>
              <w:rPr>
                <w:lang w:eastAsia="de-DE"/>
              </w:rPr>
            </w:pPr>
            <m:oMathPara>
              <m:oMathParaPr>
                <m:jc m:val="left"/>
              </m:oMathParaPr>
              <m:oMath>
                <m:sSub>
                  <m:sSubPr>
                    <m:ctrlPr>
                      <w:rPr>
                        <w:rFonts w:ascii="Cambria Math" w:hAnsi="Cambria Math"/>
                        <w:i/>
                      </w:rPr>
                    </m:ctrlPr>
                  </m:sSubPr>
                  <m:e>
                    <m:r>
                      <w:rPr>
                        <w:rFonts w:ascii="Cambria Math" w:hAnsi="Cambria Math"/>
                      </w:rPr>
                      <m:t>t</m:t>
                    </m:r>
                  </m:e>
                  <m:sub>
                    <m:r>
                      <m:rPr>
                        <m:sty m:val="p"/>
                      </m:rPr>
                      <w:rPr>
                        <w:rFonts w:ascii="Cambria Math" w:hAnsi="Cambria Math"/>
                      </w:rPr>
                      <m:t>f</m:t>
                    </m:r>
                  </m:sub>
                </m:sSub>
              </m:oMath>
            </m:oMathPara>
          </w:p>
        </w:tc>
        <w:tc>
          <w:tcPr>
            <w:tcW w:w="7938" w:type="dxa"/>
          </w:tcPr>
          <w:p w14:paraId="2B54A68B" w14:textId="23E27B12" w:rsidR="00753F60" w:rsidRPr="00FF1786" w:rsidRDefault="00753F60" w:rsidP="002061E5">
            <w:pPr>
              <w:spacing w:after="60"/>
            </w:pPr>
            <w:r w:rsidRPr="007505A6">
              <w:rPr>
                <w:rFonts w:ascii="Cambria Math" w:hAnsi="Cambria Math"/>
                <w:iCs/>
              </w:rPr>
              <w:t>is the flange thickness of the I- or H-shape steel beam.</w:t>
            </w:r>
          </w:p>
        </w:tc>
      </w:tr>
    </w:tbl>
    <w:p w14:paraId="17531AC3" w14:textId="1D7DCAE3" w:rsidR="00753F60" w:rsidRDefault="00753F60"/>
    <w:p w14:paraId="7DDC8418" w14:textId="4CA315A5" w:rsidR="0001682B" w:rsidRPr="00D1484A" w:rsidRDefault="0001682B" w:rsidP="0001682B">
      <w:pPr>
        <w:pStyle w:val="ANNEX"/>
        <w:tabs>
          <w:tab w:val="clear" w:pos="360"/>
        </w:tabs>
        <w:spacing w:before="0"/>
        <w:rPr>
          <w:lang w:eastAsia="en-US"/>
        </w:rPr>
      </w:pPr>
      <w:bookmarkStart w:id="11540" w:name="_Toc50150785"/>
      <w:bookmarkStart w:id="11541" w:name="_Toc70887218"/>
      <w:bookmarkStart w:id="11542" w:name="_Toc108342830"/>
      <w:r>
        <w:br/>
      </w:r>
      <w:bookmarkStart w:id="11543" w:name="_Toc134198336"/>
      <w:r w:rsidRPr="0001682B">
        <w:rPr>
          <w:b w:val="0"/>
          <w:bCs/>
        </w:rPr>
        <w:t>(informative)</w:t>
      </w:r>
      <w:r w:rsidRPr="00FB6A3C">
        <w:rPr>
          <w:lang w:eastAsia="en-US"/>
        </w:rPr>
        <w:fldChar w:fldCharType="begin"/>
      </w:r>
      <w:r w:rsidRPr="00132C1E">
        <w:rPr>
          <w:lang w:eastAsia="en-US"/>
        </w:rPr>
        <w:instrText xml:space="preserve">SEQ aaa \h </w:instrText>
      </w:r>
      <w:r w:rsidRPr="00FB6A3C">
        <w:rPr>
          <w:lang w:eastAsia="en-US"/>
        </w:rPr>
        <w:fldChar w:fldCharType="end"/>
      </w:r>
      <w:r w:rsidRPr="00FB6A3C">
        <w:rPr>
          <w:lang w:eastAsia="en-US"/>
        </w:rPr>
        <w:fldChar w:fldCharType="begin"/>
      </w:r>
      <w:r w:rsidRPr="00132C1E">
        <w:rPr>
          <w:lang w:eastAsia="en-US"/>
        </w:rPr>
        <w:instrText xml:space="preserve">SEQ table \r0\h </w:instrText>
      </w:r>
      <w:r w:rsidRPr="00FB6A3C">
        <w:rPr>
          <w:lang w:eastAsia="en-US"/>
        </w:rPr>
        <w:fldChar w:fldCharType="end"/>
      </w:r>
      <w:r w:rsidRPr="00FB6A3C">
        <w:rPr>
          <w:lang w:eastAsia="en-US"/>
        </w:rPr>
        <w:fldChar w:fldCharType="begin"/>
      </w:r>
      <w:r w:rsidRPr="00132C1E">
        <w:rPr>
          <w:lang w:eastAsia="en-US"/>
        </w:rPr>
        <w:instrText xml:space="preserve">SEQ figure \r0\h </w:instrText>
      </w:r>
      <w:r w:rsidRPr="00FB6A3C">
        <w:rPr>
          <w:lang w:eastAsia="en-US"/>
        </w:rPr>
        <w:fldChar w:fldCharType="end"/>
      </w:r>
      <w:r w:rsidRPr="00FB6A3C">
        <w:rPr>
          <w:lang w:eastAsia="en-US"/>
        </w:rPr>
        <w:fldChar w:fldCharType="begin"/>
      </w:r>
      <w:r w:rsidRPr="00132C1E">
        <w:rPr>
          <w:lang w:eastAsia="en-US"/>
        </w:rPr>
        <w:instrText xml:space="preserve"> SEQ Equation_annex \r0\h </w:instrText>
      </w:r>
      <w:r w:rsidRPr="00FB6A3C">
        <w:rPr>
          <w:lang w:eastAsia="en-US"/>
        </w:rPr>
        <w:fldChar w:fldCharType="end"/>
      </w:r>
      <w:r w:rsidRPr="00132C1E">
        <w:br/>
      </w:r>
      <w:r w:rsidRPr="00132C1E">
        <w:br/>
      </w:r>
      <w:r w:rsidRPr="00D1484A">
        <w:t xml:space="preserve">Seismic design of exposed and embedded </w:t>
      </w:r>
      <w:r>
        <w:t xml:space="preserve">steel and composite </w:t>
      </w:r>
      <w:r w:rsidRPr="00D1484A">
        <w:t>column base connections</w:t>
      </w:r>
      <w:bookmarkEnd w:id="11540"/>
      <w:bookmarkEnd w:id="11541"/>
      <w:bookmarkEnd w:id="11542"/>
      <w:bookmarkEnd w:id="11543"/>
    </w:p>
    <w:p w14:paraId="0FC48D26" w14:textId="24BA8D78" w:rsidR="0001682B" w:rsidRPr="00FD17CF" w:rsidRDefault="0001682B" w:rsidP="0001682B">
      <w:pPr>
        <w:pStyle w:val="a2"/>
      </w:pPr>
      <w:bookmarkStart w:id="11544" w:name="_Toc50150786"/>
      <w:bookmarkStart w:id="11545" w:name="_Toc70887219"/>
      <w:bookmarkStart w:id="11546" w:name="_Toc108342831"/>
      <w:bookmarkStart w:id="11547" w:name="_Toc134198337"/>
      <w:r w:rsidRPr="00FD17CF">
        <w:t xml:space="preserve">Use of this </w:t>
      </w:r>
      <w:r w:rsidR="00773115">
        <w:t>a</w:t>
      </w:r>
      <w:r w:rsidRPr="00FD17CF">
        <w:t>nnex</w:t>
      </w:r>
      <w:bookmarkEnd w:id="11544"/>
      <w:bookmarkEnd w:id="11545"/>
      <w:bookmarkEnd w:id="11546"/>
      <w:bookmarkEnd w:id="11547"/>
    </w:p>
    <w:p w14:paraId="0267AB2C" w14:textId="7F10E3E5" w:rsidR="0001682B" w:rsidRPr="002144A0" w:rsidRDefault="0001682B" w:rsidP="0080187E">
      <w:pPr>
        <w:pStyle w:val="Clause"/>
        <w:numPr>
          <w:ilvl w:val="0"/>
          <w:numId w:val="615"/>
        </w:numPr>
      </w:pPr>
      <w:r w:rsidRPr="00E05E29">
        <w:t>This Informative Annex provides complementary / supplementary guidance to</w:t>
      </w:r>
      <w:r w:rsidR="00835C82">
        <w:t xml:space="preserve"> Clauses</w:t>
      </w:r>
      <w:r w:rsidRPr="00E05E29">
        <w:t xml:space="preserve"> </w:t>
      </w:r>
      <w:r w:rsidRPr="00835C82">
        <w:t>11</w:t>
      </w:r>
      <w:r w:rsidRPr="002144A0">
        <w:t xml:space="preserve"> and </w:t>
      </w:r>
      <w:r w:rsidRPr="00835C82">
        <w:t>12</w:t>
      </w:r>
      <w:r w:rsidRPr="002144A0">
        <w:t>.</w:t>
      </w:r>
    </w:p>
    <w:p w14:paraId="5E1E6B95" w14:textId="18EAD4B3" w:rsidR="0001682B" w:rsidRPr="00773115" w:rsidRDefault="0001682B" w:rsidP="0001682B">
      <w:pPr>
        <w:pStyle w:val="Notetext"/>
        <w:rPr>
          <w:rFonts w:eastAsia="Times New Roman"/>
        </w:rPr>
      </w:pPr>
      <w:r w:rsidRPr="004F25D7">
        <w:t>NOTE</w:t>
      </w:r>
      <w:r>
        <w:tab/>
      </w:r>
      <w:r w:rsidRPr="004F25D7">
        <w:t xml:space="preserve">National choice on the application of this Informative Annex is given in the National Annex. If the National Annex contains no information on the application of this </w:t>
      </w:r>
      <w:r w:rsidRPr="00C52095">
        <w:t>Informative A</w:t>
      </w:r>
      <w:r w:rsidRPr="007754C9">
        <w:t xml:space="preserve">nnex, it can be </w:t>
      </w:r>
      <w:r w:rsidRPr="00773115">
        <w:t>used.</w:t>
      </w:r>
    </w:p>
    <w:p w14:paraId="5012209A" w14:textId="424D0FFC" w:rsidR="0001682B" w:rsidRPr="00C56E7A" w:rsidRDefault="00773115" w:rsidP="0001682B">
      <w:pPr>
        <w:pStyle w:val="a2"/>
        <w:rPr>
          <w:color w:val="000000" w:themeColor="text1"/>
        </w:rPr>
      </w:pPr>
      <w:bookmarkStart w:id="11548" w:name="_Toc108342832"/>
      <w:bookmarkStart w:id="11549" w:name="_Toc134198338"/>
      <w:r>
        <w:rPr>
          <w:color w:val="000000" w:themeColor="text1"/>
        </w:rPr>
        <w:t>Scope and field of application</w:t>
      </w:r>
      <w:bookmarkEnd w:id="11548"/>
      <w:bookmarkEnd w:id="11549"/>
    </w:p>
    <w:p w14:paraId="62798CE2" w14:textId="501354B4" w:rsidR="0001682B" w:rsidRPr="00132C1E" w:rsidRDefault="0001682B" w:rsidP="0080187E">
      <w:pPr>
        <w:pStyle w:val="Clause"/>
        <w:numPr>
          <w:ilvl w:val="0"/>
          <w:numId w:val="616"/>
        </w:numPr>
      </w:pPr>
      <w:r w:rsidRPr="00132C1E">
        <w:t xml:space="preserve">This annex should be used for the design of column base connections retaining moment in steel and/or composite </w:t>
      </w:r>
      <w:r w:rsidR="00274699">
        <w:t>steel-concrete</w:t>
      </w:r>
      <w:r w:rsidRPr="00132C1E">
        <w:t xml:space="preserve"> buildings.</w:t>
      </w:r>
    </w:p>
    <w:p w14:paraId="6C1EAB3E" w14:textId="583872EA" w:rsidR="0001682B" w:rsidRPr="00132C1E" w:rsidRDefault="0001682B" w:rsidP="0001682B">
      <w:pPr>
        <w:pStyle w:val="Notetext"/>
        <w:rPr>
          <w:bCs/>
        </w:rPr>
      </w:pPr>
      <w:r w:rsidRPr="00132C1E">
        <w:t>NOTE</w:t>
      </w:r>
      <w:r w:rsidRPr="00132C1E">
        <w:tab/>
        <w:t xml:space="preserve">Free to rotate column bases are not covered by this Annex. </w:t>
      </w:r>
    </w:p>
    <w:p w14:paraId="6F9C4E00" w14:textId="73EDA873" w:rsidR="0001682B" w:rsidRPr="00132C1E" w:rsidRDefault="0001682B" w:rsidP="00724E4E">
      <w:pPr>
        <w:pStyle w:val="Clause"/>
      </w:pPr>
      <w:r w:rsidRPr="00132C1E">
        <w:t>Column bases retaining moments during a seismic action may either be exposed or embedded type connections to a concrete foundation.</w:t>
      </w:r>
    </w:p>
    <w:p w14:paraId="5A69462B" w14:textId="7F642F5F" w:rsidR="0001682B" w:rsidRPr="00132C1E" w:rsidRDefault="0001682B" w:rsidP="00724E4E">
      <w:pPr>
        <w:pStyle w:val="Clause"/>
        <w:rPr>
          <w:rFonts w:eastAsia="Cambria"/>
        </w:rPr>
      </w:pPr>
      <w:r w:rsidRPr="00132C1E">
        <w:t xml:space="preserve">Column base connections should be designed as non-dissipative elements for </w:t>
      </w:r>
      <w:r w:rsidRPr="00132C1E">
        <w:rPr>
          <w:i/>
          <w:iCs/>
        </w:rPr>
        <w:t>N</w:t>
      </w:r>
      <w:r w:rsidRPr="00132C1E">
        <w:rPr>
          <w:vertAlign w:val="subscript"/>
        </w:rPr>
        <w:t>Ed</w:t>
      </w:r>
      <w:r w:rsidRPr="00132C1E">
        <w:t xml:space="preserve">, </w:t>
      </w:r>
      <w:r w:rsidRPr="00132C1E">
        <w:rPr>
          <w:i/>
          <w:iCs/>
        </w:rPr>
        <w:t>V</w:t>
      </w:r>
      <w:r w:rsidRPr="00132C1E">
        <w:rPr>
          <w:vertAlign w:val="subscript"/>
        </w:rPr>
        <w:t>Ed</w:t>
      </w:r>
      <w:r w:rsidRPr="00132C1E">
        <w:t xml:space="preserve"> and </w:t>
      </w:r>
      <w:r w:rsidRPr="00132C1E">
        <w:rPr>
          <w:i/>
          <w:iCs/>
        </w:rPr>
        <w:t>M</w:t>
      </w:r>
      <w:r w:rsidRPr="00132C1E">
        <w:rPr>
          <w:vertAlign w:val="subscript"/>
        </w:rPr>
        <w:t>Ed</w:t>
      </w:r>
      <w:r w:rsidRPr="00132C1E">
        <w:t xml:space="preserve"> </w:t>
      </w:r>
      <w:r w:rsidRPr="00132C1E">
        <w:rPr>
          <w:rFonts w:eastAsia="Cambria"/>
        </w:rPr>
        <w:t>as such in DC1 and</w:t>
      </w:r>
      <w:r w:rsidRPr="00132C1E">
        <w:t xml:space="preserve"> including the effects of the action magnification factor, </w:t>
      </w:r>
      <m:oMath>
        <m:r>
          <w:rPr>
            <w:rFonts w:ascii="Cambria Math" w:eastAsiaTheme="minorEastAsia" w:hAnsi="Cambria Math"/>
          </w:rPr>
          <m:t>Ω</m:t>
        </m:r>
      </m:oMath>
      <w:r w:rsidRPr="00132C1E">
        <w:t xml:space="preserve">, </w:t>
      </w:r>
      <w:r w:rsidRPr="0001682B">
        <w:t xml:space="preserve">in </w:t>
      </w:r>
      <w:r w:rsidRPr="00835C82">
        <w:t xml:space="preserve">11.8.5(1) </w:t>
      </w:r>
      <w:r w:rsidRPr="0001682B">
        <w:t>or</w:t>
      </w:r>
      <w:r w:rsidRPr="00835C82">
        <w:t xml:space="preserve"> 12.8.5(1) </w:t>
      </w:r>
      <w:r w:rsidRPr="0001682B">
        <w:t>for DC2</w:t>
      </w:r>
      <w:r w:rsidRPr="00835C82">
        <w:t xml:space="preserve"> </w:t>
      </w:r>
      <w:r w:rsidRPr="0001682B">
        <w:t>and the effects of the action magnification factor</w:t>
      </w:r>
      <w:r w:rsidRPr="00835C82">
        <w:t xml:space="preserve"> </w:t>
      </w:r>
      <w:r w:rsidRPr="0001682B">
        <w:rPr>
          <w:rFonts w:ascii="Cambria Math" w:eastAsia="Symbol" w:hAnsi="Cambria Math" w:cs="Symbol"/>
          <w:i/>
          <w:iCs/>
        </w:rPr>
        <w:t>ω</w:t>
      </w:r>
      <w:r w:rsidRPr="0001682B">
        <w:rPr>
          <w:vertAlign w:val="subscript"/>
        </w:rPr>
        <w:t>rm</w:t>
      </w:r>
      <w:r w:rsidRPr="0001682B">
        <w:t xml:space="preserve"> </w:t>
      </w:r>
      <w:r w:rsidRPr="0001682B">
        <w:rPr>
          <w:rFonts w:ascii="Cambria Math" w:eastAsia="Symbol" w:hAnsi="Cambria Math" w:cs="Symbol"/>
          <w:i/>
          <w:iCs/>
        </w:rPr>
        <w:t>ω</w:t>
      </w:r>
      <w:r w:rsidRPr="0001682B">
        <w:rPr>
          <w:vertAlign w:val="subscript"/>
        </w:rPr>
        <w:t>sh</w:t>
      </w:r>
      <w:r w:rsidRPr="0001682B">
        <w:t xml:space="preserve"> </w:t>
      </w:r>
      <w:r w:rsidRPr="0001682B">
        <w:rPr>
          <w:i/>
          <w:iCs/>
        </w:rPr>
        <w:t>Ω</w:t>
      </w:r>
      <w:r w:rsidRPr="0001682B">
        <w:rPr>
          <w:vertAlign w:val="subscript"/>
        </w:rPr>
        <w:t>d</w:t>
      </w:r>
      <w:r w:rsidRPr="0001682B">
        <w:t xml:space="preserve"> in </w:t>
      </w:r>
      <w:r w:rsidRPr="00835C82">
        <w:t>11.8.5(2)</w:t>
      </w:r>
      <w:r w:rsidRPr="0001682B">
        <w:t xml:space="preserve">, or </w:t>
      </w:r>
      <w:r w:rsidRPr="00835C82">
        <w:t>12.8.5(2)</w:t>
      </w:r>
      <w:r w:rsidRPr="0001682B">
        <w:t xml:space="preserve"> and </w:t>
      </w:r>
      <w:r w:rsidRPr="00835C82">
        <w:t>12.8.5(3)</w:t>
      </w:r>
      <w:r w:rsidRPr="0001682B">
        <w:t xml:space="preserve"> </w:t>
      </w:r>
      <w:r w:rsidRPr="00132C1E">
        <w:t>for DC3, depending on the structural type.</w:t>
      </w:r>
    </w:p>
    <w:p w14:paraId="13B5B651" w14:textId="227F650D" w:rsidR="0001682B" w:rsidRPr="00132C1E" w:rsidRDefault="0001682B" w:rsidP="00724E4E">
      <w:pPr>
        <w:pStyle w:val="Clause"/>
      </w:pPr>
      <w:r w:rsidRPr="00132C1E">
        <w:t>Dissipative column base connections may be used in steel and composite steel – concrete moment resisting frames, if their hysteretic behaviour is validated by cyclic testing according to</w:t>
      </w:r>
      <w:r w:rsidRPr="00055612">
        <w:rPr>
          <w:bCs/>
        </w:rPr>
        <w:t xml:space="preserve"> </w:t>
      </w:r>
      <w:r w:rsidR="00460A67">
        <w:rPr>
          <w:bCs/>
        </w:rPr>
        <w:t>pr</w:t>
      </w:r>
      <w:r w:rsidRPr="00F36D4E">
        <w:rPr>
          <w:bCs/>
        </w:rPr>
        <w:t>CEN</w:t>
      </w:r>
      <w:r w:rsidR="00460A67">
        <w:rPr>
          <w:bCs/>
        </w:rPr>
        <w:t>/</w:t>
      </w:r>
      <w:r w:rsidRPr="00F36D4E">
        <w:rPr>
          <w:bCs/>
        </w:rPr>
        <w:t>TS</w:t>
      </w:r>
      <w:r w:rsidR="00460A67">
        <w:rPr>
          <w:bCs/>
        </w:rPr>
        <w:t> </w:t>
      </w:r>
      <w:r w:rsidRPr="00F36D4E">
        <w:rPr>
          <w:bCs/>
        </w:rPr>
        <w:t>1998-</w:t>
      </w:r>
      <w:r w:rsidR="00460A67">
        <w:rPr>
          <w:bCs/>
        </w:rPr>
        <w:t>1-101</w:t>
      </w:r>
      <w:r w:rsidR="0026060E">
        <w:rPr>
          <w:bCs/>
        </w:rPr>
        <w:t>.</w:t>
      </w:r>
    </w:p>
    <w:p w14:paraId="3D1FFAF9" w14:textId="77777777" w:rsidR="0001682B" w:rsidRPr="00132C1E" w:rsidRDefault="0001682B" w:rsidP="0001682B">
      <w:pPr>
        <w:pStyle w:val="a2"/>
      </w:pPr>
      <w:bookmarkStart w:id="11550" w:name="_Toc50150788"/>
      <w:bookmarkStart w:id="11551" w:name="_Toc70887221"/>
      <w:bookmarkStart w:id="11552" w:name="_Toc108342833"/>
      <w:bookmarkStart w:id="11553" w:name="_Toc134198339"/>
      <w:r w:rsidRPr="00132C1E">
        <w:t>Materials</w:t>
      </w:r>
      <w:bookmarkEnd w:id="11550"/>
      <w:bookmarkEnd w:id="11551"/>
      <w:bookmarkEnd w:id="11552"/>
      <w:bookmarkEnd w:id="11553"/>
    </w:p>
    <w:p w14:paraId="0EEBE91E" w14:textId="56C24666" w:rsidR="0001682B" w:rsidRPr="00132C1E" w:rsidRDefault="0001682B" w:rsidP="0080187E">
      <w:pPr>
        <w:pStyle w:val="Clause"/>
        <w:numPr>
          <w:ilvl w:val="0"/>
          <w:numId w:val="617"/>
        </w:numPr>
      </w:pPr>
      <w:r w:rsidRPr="00132C1E">
        <w:t xml:space="preserve">Steel base plates should be made of structural steels according </w:t>
      </w:r>
      <w:r w:rsidRPr="0001682B">
        <w:t xml:space="preserve">to </w:t>
      </w:r>
      <w:r w:rsidRPr="00835C82">
        <w:t>11.3</w:t>
      </w:r>
      <w:r w:rsidRPr="00CB3836">
        <w:rPr>
          <w:bCs/>
        </w:rPr>
        <w:t>.</w:t>
      </w:r>
    </w:p>
    <w:p w14:paraId="0B5AE264" w14:textId="13C165D0" w:rsidR="0001682B" w:rsidRPr="00132C1E" w:rsidRDefault="0001682B" w:rsidP="00724E4E">
      <w:pPr>
        <w:pStyle w:val="Clause"/>
      </w:pPr>
      <w:r w:rsidRPr="00132C1E">
        <w:t xml:space="preserve">Anchors should be made according to </w:t>
      </w:r>
      <w:bookmarkStart w:id="11554" w:name="_Hlk120048559"/>
      <w:r w:rsidRPr="00132C1E">
        <w:t>EN ISO 898-1, EN</w:t>
      </w:r>
      <w:r w:rsidR="00773115">
        <w:t xml:space="preserve"> </w:t>
      </w:r>
      <w:r w:rsidRPr="00132C1E">
        <w:t>20898-2, EN ISO 3506-1 and EN ISO 3506</w:t>
      </w:r>
      <w:r w:rsidR="006107DB">
        <w:noBreakHyphen/>
      </w:r>
      <w:r w:rsidRPr="00132C1E">
        <w:t>2</w:t>
      </w:r>
      <w:bookmarkEnd w:id="11554"/>
      <w:r w:rsidRPr="00132C1E">
        <w:t>.</w:t>
      </w:r>
    </w:p>
    <w:p w14:paraId="38ABDC89" w14:textId="690EE2D3" w:rsidR="0001682B" w:rsidRPr="00132C1E" w:rsidRDefault="0001682B" w:rsidP="00724E4E">
      <w:pPr>
        <w:pStyle w:val="Clause"/>
      </w:pPr>
      <w:r w:rsidRPr="00132C1E">
        <w:t>Grout layers should have a design compressive strength of at least twice the design compressive strength of the foundation concrete. If columns are set on the top of a footing, a 40 mm to 50 mm thick grout layer may be used.</w:t>
      </w:r>
    </w:p>
    <w:p w14:paraId="3438552D" w14:textId="77777777" w:rsidR="0001682B" w:rsidRPr="00132C1E" w:rsidRDefault="0001682B" w:rsidP="0001682B">
      <w:pPr>
        <w:pStyle w:val="a2"/>
      </w:pPr>
      <w:bookmarkStart w:id="11555" w:name="_Toc50150789"/>
      <w:bookmarkStart w:id="11556" w:name="_Toc70887222"/>
      <w:bookmarkStart w:id="11557" w:name="_Toc108342834"/>
      <w:bookmarkStart w:id="11558" w:name="_Toc134198340"/>
      <w:r w:rsidRPr="00132C1E">
        <w:t>Exposed column base connections</w:t>
      </w:r>
      <w:bookmarkEnd w:id="11555"/>
      <w:bookmarkEnd w:id="11556"/>
      <w:bookmarkEnd w:id="11557"/>
      <w:bookmarkEnd w:id="11558"/>
    </w:p>
    <w:p w14:paraId="70287E47" w14:textId="77777777" w:rsidR="0001682B" w:rsidRPr="00132C1E" w:rsidRDefault="0001682B" w:rsidP="0001682B">
      <w:pPr>
        <w:pStyle w:val="a3"/>
      </w:pPr>
      <w:bookmarkStart w:id="11559" w:name="_Toc50150790"/>
      <w:bookmarkStart w:id="11560" w:name="_Toc70887223"/>
      <w:bookmarkStart w:id="11561" w:name="_Toc108342835"/>
      <w:bookmarkStart w:id="11562" w:name="_Toc120543920"/>
      <w:bookmarkStart w:id="11563" w:name="_Toc134198341"/>
      <w:r w:rsidRPr="00132C1E">
        <w:t>General</w:t>
      </w:r>
      <w:bookmarkEnd w:id="11559"/>
      <w:bookmarkEnd w:id="11560"/>
      <w:bookmarkEnd w:id="11561"/>
      <w:bookmarkEnd w:id="11562"/>
      <w:bookmarkEnd w:id="11563"/>
    </w:p>
    <w:p w14:paraId="5C816F50" w14:textId="07236764" w:rsidR="0001682B" w:rsidRPr="00132C1E" w:rsidRDefault="0001682B" w:rsidP="0080187E">
      <w:pPr>
        <w:pStyle w:val="Clause"/>
        <w:numPr>
          <w:ilvl w:val="0"/>
          <w:numId w:val="618"/>
        </w:numPr>
      </w:pPr>
      <w:r w:rsidRPr="00132C1E">
        <w:t xml:space="preserve">Exposed column bases should consist of a column, a steel base plate and an anchoring assembly </w:t>
      </w:r>
      <w:r w:rsidRPr="0001682B">
        <w:t xml:space="preserve">(Figure H.1). Levelling nuts (Figure H.1c) may be </w:t>
      </w:r>
      <w:r w:rsidRPr="00132C1E">
        <w:t>used for positioning the column base connection.</w:t>
      </w:r>
    </w:p>
    <w:p w14:paraId="6C984446" w14:textId="33EDD455" w:rsidR="0001682B" w:rsidRPr="00132C1E" w:rsidRDefault="0001682B" w:rsidP="00724E4E">
      <w:pPr>
        <w:pStyle w:val="Clause"/>
      </w:pPr>
      <w:r w:rsidRPr="00132C1E">
        <w:t>Exposed column bases may be designed with unstiffened base plates or stiffened base plates.</w:t>
      </w:r>
    </w:p>
    <w:p w14:paraId="28802712" w14:textId="45F7910D" w:rsidR="0001682B" w:rsidRPr="00132C1E" w:rsidRDefault="0001682B" w:rsidP="00724E4E">
      <w:pPr>
        <w:pStyle w:val="Clause"/>
      </w:pPr>
      <w:r w:rsidRPr="00132C1E">
        <w:t xml:space="preserve">The base plate dimensions should be large enough for the installation of at least four anchors as shown in </w:t>
      </w:r>
      <w:r w:rsidRPr="0001682B">
        <w:t>Figure H.1a and Figure H.1b</w:t>
      </w:r>
      <w:r w:rsidRPr="00132C1E">
        <w:t>.</w:t>
      </w:r>
    </w:p>
    <w:p w14:paraId="576797E8" w14:textId="45848733" w:rsidR="0001682B" w:rsidRPr="00196951" w:rsidRDefault="0001682B" w:rsidP="00724E4E">
      <w:pPr>
        <w:pStyle w:val="Clause"/>
      </w:pPr>
      <w:r w:rsidRPr="00132C1E">
        <w:t xml:space="preserve">A uniform distribution of the resultant compressive bearing resistance per unit length </w:t>
      </w:r>
      <m:oMath>
        <m:sSub>
          <m:sSubPr>
            <m:ctrlPr>
              <w:rPr>
                <w:rFonts w:ascii="Cambria Math" w:hAnsi="Cambria Math"/>
                <w:i/>
                <w:iCs/>
              </w:rPr>
            </m:ctrlPr>
          </m:sSubPr>
          <m:e>
            <m:r>
              <w:rPr>
                <w:rFonts w:ascii="Cambria Math" w:hAnsi="Cambria Math"/>
              </w:rPr>
              <m:t>N</m:t>
            </m:r>
          </m:e>
          <m:sub>
            <m:r>
              <m:rPr>
                <m:sty m:val="p"/>
              </m:rPr>
              <w:rPr>
                <w:rFonts w:ascii="Cambria Math" w:hAnsi="Cambria Math"/>
                <w:vertAlign w:val="subscript"/>
              </w:rPr>
              <m:t>Rd,b</m:t>
            </m:r>
          </m:sub>
        </m:sSub>
      </m:oMath>
      <w:r w:rsidRPr="00132C1E">
        <w:t xml:space="preserve">, </w:t>
      </w:r>
      <w:r w:rsidRPr="00D1484A">
        <w:t>may be assumed for column base design calculations (</w:t>
      </w:r>
      <w:r w:rsidRPr="0001682B">
        <w:t>see Figure H.1c</w:t>
      </w:r>
      <w:r w:rsidRPr="00E05E29">
        <w:t>).</w:t>
      </w:r>
    </w:p>
    <w:p w14:paraId="3C3B8C3A" w14:textId="77777777" w:rsidR="0001682B" w:rsidRPr="00132C1E" w:rsidRDefault="0001682B" w:rsidP="0001682B">
      <w:pPr>
        <w:pStyle w:val="a3"/>
      </w:pPr>
      <w:bookmarkStart w:id="11564" w:name="_Toc50150791"/>
      <w:bookmarkStart w:id="11565" w:name="_Toc70887224"/>
      <w:bookmarkStart w:id="11566" w:name="_Toc108342836"/>
      <w:bookmarkStart w:id="11567" w:name="_Toc120543921"/>
      <w:bookmarkStart w:id="11568" w:name="_Toc134198342"/>
      <w:r w:rsidRPr="002144A0">
        <w:t xml:space="preserve">Base plate </w:t>
      </w:r>
      <w:r w:rsidRPr="004F25D7">
        <w:t>e</w:t>
      </w:r>
      <w:r w:rsidRPr="00C52095">
        <w:t xml:space="preserve">ccentricity and critical </w:t>
      </w:r>
      <w:r w:rsidRPr="007754C9">
        <w:t>e</w:t>
      </w:r>
      <w:r w:rsidRPr="00132C1E">
        <w:t>ccentricity</w:t>
      </w:r>
      <w:bookmarkEnd w:id="11564"/>
      <w:bookmarkEnd w:id="11565"/>
      <w:bookmarkEnd w:id="11566"/>
      <w:bookmarkEnd w:id="11567"/>
      <w:bookmarkEnd w:id="11568"/>
    </w:p>
    <w:p w14:paraId="537F6AF4" w14:textId="61773360" w:rsidR="0001682B" w:rsidRDefault="0001682B" w:rsidP="0080187E">
      <w:pPr>
        <w:pStyle w:val="Clause"/>
        <w:numPr>
          <w:ilvl w:val="0"/>
          <w:numId w:val="619"/>
        </w:numPr>
      </w:pPr>
      <w:r w:rsidRPr="00132C1E">
        <w:t xml:space="preserve">The base plate eccentricity </w:t>
      </w:r>
      <w:r w:rsidRPr="00CB3836">
        <w:rPr>
          <w:i/>
          <w:iCs/>
        </w:rPr>
        <w:t>e</w:t>
      </w:r>
      <w:r w:rsidRPr="00CB3836">
        <w:rPr>
          <w:vertAlign w:val="subscript"/>
        </w:rPr>
        <w:t>bp</w:t>
      </w:r>
      <w:r w:rsidRPr="00CB3836">
        <w:rPr>
          <w:i/>
          <w:iCs/>
        </w:rPr>
        <w:t xml:space="preserve"> </w:t>
      </w:r>
      <w:r w:rsidRPr="00132C1E">
        <w:t xml:space="preserve">should be calculated </w:t>
      </w:r>
      <w:r w:rsidRPr="0001682B">
        <w:t>from Formula (H.1).</w:t>
      </w:r>
    </w:p>
    <w:p w14:paraId="008D5991" w14:textId="74C49316" w:rsidR="0001682B" w:rsidRDefault="009B5CEC" w:rsidP="0001682B">
      <w:pPr>
        <w:pStyle w:val="Formula"/>
        <w:spacing w:before="240"/>
      </w:pPr>
      <m:oMath>
        <m:sSub>
          <m:sSubPr>
            <m:ctrlPr>
              <w:rPr>
                <w:rFonts w:ascii="Cambria Math" w:hAnsi="Cambria Math"/>
              </w:rPr>
            </m:ctrlPr>
          </m:sSubPr>
          <m:e>
            <m:r>
              <w:rPr>
                <w:rFonts w:ascii="Cambria Math" w:hAnsi="Cambria Math"/>
              </w:rPr>
              <m:t>e</m:t>
            </m:r>
          </m:e>
          <m:sub>
            <m:r>
              <m:rPr>
                <m:sty m:val="p"/>
              </m:rPr>
              <w:rPr>
                <w:rFonts w:ascii="Cambria Math" w:hAnsi="Cambria Math"/>
              </w:rPr>
              <m:t>bp</m:t>
            </m:r>
          </m:sub>
        </m:sSub>
        <m:r>
          <w:rPr>
            <w:rFonts w:ascii="Cambria Math" w:hAnsi="Cambria Math"/>
          </w:rPr>
          <m:t>=</m:t>
        </m:r>
        <m:sSub>
          <m:sSubPr>
            <m:ctrlPr>
              <w:rPr>
                <w:rFonts w:ascii="Cambria Math" w:hAnsi="Cambria Math"/>
              </w:rPr>
            </m:ctrlPr>
          </m:sSubPr>
          <m:e>
            <m:r>
              <w:rPr>
                <w:rFonts w:ascii="Cambria Math" w:hAnsi="Cambria Math"/>
              </w:rPr>
              <m:t>M</m:t>
            </m:r>
          </m:e>
          <m:sub>
            <m:r>
              <m:rPr>
                <m:sty m:val="p"/>
              </m:rPr>
              <w:rPr>
                <w:rFonts w:ascii="Cambria Math" w:hAnsi="Cambria Math"/>
              </w:rPr>
              <m:t>Ed</m:t>
            </m:r>
          </m:sub>
        </m:sSub>
        <m:r>
          <w:rPr>
            <w:rFonts w:ascii="Cambria Math" w:hAnsi="Cambria Math"/>
          </w:rPr>
          <m:t>/</m:t>
        </m:r>
        <m:sSub>
          <m:sSubPr>
            <m:ctrlPr>
              <w:rPr>
                <w:rFonts w:ascii="Cambria Math" w:hAnsi="Cambria Math"/>
              </w:rPr>
            </m:ctrlPr>
          </m:sSubPr>
          <m:e>
            <m:r>
              <w:rPr>
                <w:rFonts w:ascii="Cambria Math" w:hAnsi="Cambria Math"/>
              </w:rPr>
              <m:t>N</m:t>
            </m:r>
          </m:e>
          <m:sub>
            <m:r>
              <m:rPr>
                <m:sty m:val="p"/>
              </m:rPr>
              <w:rPr>
                <w:rFonts w:ascii="Cambria Math" w:hAnsi="Cambria Math"/>
              </w:rPr>
              <m:t>Ed</m:t>
            </m:r>
          </m:sub>
        </m:sSub>
      </m:oMath>
      <w:r w:rsidR="0001682B" w:rsidRPr="00922D9B">
        <w:tab/>
        <w:t>(</w:t>
      </w:r>
      <w:r w:rsidR="0001682B">
        <w:t>H</w:t>
      </w:r>
      <w:r w:rsidR="0001682B" w:rsidRPr="00922D9B">
        <w:t>.</w:t>
      </w:r>
      <w:r w:rsidR="0001682B">
        <w:t>1</w:t>
      </w:r>
      <w:r w:rsidR="0001682B" w:rsidRPr="00922D9B">
        <w:t>)</w:t>
      </w:r>
    </w:p>
    <w:p w14:paraId="2C3AC4EE" w14:textId="25BE258C" w:rsidR="0001682B" w:rsidRDefault="0001682B" w:rsidP="00724E4E">
      <w:pPr>
        <w:pStyle w:val="Clause"/>
      </w:pPr>
      <w:r w:rsidRPr="00D1484A">
        <w:t xml:space="preserve">The critical eccentricity </w:t>
      </w:r>
      <w:r w:rsidRPr="00D1484A">
        <w:rPr>
          <w:i/>
          <w:iCs/>
        </w:rPr>
        <w:t>e</w:t>
      </w:r>
      <w:r w:rsidRPr="007E6F67">
        <w:rPr>
          <w:vertAlign w:val="subscript"/>
        </w:rPr>
        <w:t>crit</w:t>
      </w:r>
      <w:r w:rsidRPr="00FD17CF">
        <w:t xml:space="preserve"> of an</w:t>
      </w:r>
      <w:r w:rsidRPr="00E05E29">
        <w:t xml:space="preserve"> exposed column base should be calculated </w:t>
      </w:r>
      <w:r w:rsidRPr="0001682B">
        <w:t>from Formula (H.2).</w:t>
      </w:r>
    </w:p>
    <w:p w14:paraId="4080E548" w14:textId="74218352" w:rsidR="0001682B" w:rsidRDefault="009B5CEC" w:rsidP="0001682B">
      <w:pPr>
        <w:pStyle w:val="Formula"/>
        <w:spacing w:before="240"/>
      </w:pPr>
      <m:oMath>
        <m:sSub>
          <m:sSubPr>
            <m:ctrlPr>
              <w:rPr>
                <w:rFonts w:ascii="Cambria Math" w:hAnsi="Cambria Math"/>
              </w:rPr>
            </m:ctrlPr>
          </m:sSubPr>
          <m:e>
            <m:r>
              <w:rPr>
                <w:rFonts w:ascii="Cambria Math" w:hAnsi="Cambria Math"/>
              </w:rPr>
              <m:t>e</m:t>
            </m:r>
          </m:e>
          <m:sub>
            <m:r>
              <m:rPr>
                <m:sty m:val="p"/>
              </m:rPr>
              <w:rPr>
                <w:rFonts w:ascii="Cambria Math" w:hAnsi="Cambria Math"/>
              </w:rPr>
              <m:t>crit</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L</m:t>
                </m:r>
              </m:e>
              <m:sub>
                <m:r>
                  <m:rPr>
                    <m:sty m:val="p"/>
                  </m:rPr>
                  <w:rPr>
                    <w:rFonts w:ascii="Cambria Math" w:hAnsi="Cambria Math"/>
                  </w:rPr>
                  <m:t>BP</m:t>
                </m:r>
              </m:sub>
            </m:sSub>
          </m:num>
          <m:den>
            <m:r>
              <w:rPr>
                <w:rFonts w:ascii="Cambria Math" w:hAnsi="Cambria Math"/>
              </w:rPr>
              <m:t>2</m:t>
            </m:r>
          </m:den>
        </m:f>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N</m:t>
                </m:r>
              </m:e>
              <m:sub>
                <m:r>
                  <m:rPr>
                    <m:sty m:val="p"/>
                  </m:rPr>
                  <w:rPr>
                    <w:rFonts w:ascii="Cambria Math" w:hAnsi="Cambria Math"/>
                  </w:rPr>
                  <m:t>Ed</m:t>
                </m:r>
              </m:sub>
            </m:sSub>
          </m:num>
          <m:den>
            <m:r>
              <w:rPr>
                <w:rFonts w:ascii="Cambria Math" w:hAnsi="Cambria Math"/>
              </w:rPr>
              <m:t>2</m:t>
            </m:r>
            <m:sSub>
              <m:sSubPr>
                <m:ctrlPr>
                  <w:rPr>
                    <w:rFonts w:ascii="Cambria Math" w:hAnsi="Cambria Math"/>
                  </w:rPr>
                </m:ctrlPr>
              </m:sSubPr>
              <m:e>
                <m:r>
                  <w:rPr>
                    <w:rFonts w:ascii="Cambria Math" w:hAnsi="Cambria Math"/>
                  </w:rPr>
                  <m:t>N</m:t>
                </m:r>
              </m:e>
              <m:sub>
                <m:r>
                  <m:rPr>
                    <m:sty m:val="p"/>
                  </m:rPr>
                  <w:rPr>
                    <w:rFonts w:ascii="Cambria Math" w:hAnsi="Cambria Math"/>
                  </w:rPr>
                  <m:t>Rd,b,max</m:t>
                </m:r>
              </m:sub>
            </m:sSub>
          </m:den>
        </m:f>
      </m:oMath>
      <w:r w:rsidR="0001682B">
        <w:t xml:space="preserve"> </w:t>
      </w:r>
      <w:r w:rsidR="0001682B" w:rsidRPr="00922D9B">
        <w:tab/>
        <w:t>(</w:t>
      </w:r>
      <w:r w:rsidR="0001682B">
        <w:t>H</w:t>
      </w:r>
      <w:r w:rsidR="0001682B" w:rsidRPr="00922D9B">
        <w:t>.</w:t>
      </w:r>
      <w:r w:rsidR="0001682B">
        <w:t>2</w:t>
      </w:r>
      <w:r w:rsidR="0001682B" w:rsidRPr="00922D9B">
        <w:t>)</w:t>
      </w:r>
    </w:p>
    <w:p w14:paraId="49B1D07D" w14:textId="0BBFC54E" w:rsidR="0001682B" w:rsidRDefault="00675EBA" w:rsidP="00773115">
      <w:pPr>
        <w:pStyle w:val="Text"/>
      </w:pPr>
      <w:r>
        <w:t>where</w:t>
      </w:r>
    </w:p>
    <w:tbl>
      <w:tblPr>
        <w:tblW w:w="0" w:type="auto"/>
        <w:tblInd w:w="346" w:type="dxa"/>
        <w:tblLook w:val="04A0" w:firstRow="1" w:lastRow="0" w:firstColumn="1" w:lastColumn="0" w:noHBand="0" w:noVBand="1"/>
      </w:tblPr>
      <w:tblGrid>
        <w:gridCol w:w="1275"/>
        <w:gridCol w:w="7938"/>
      </w:tblGrid>
      <w:tr w:rsidR="0001682B" w:rsidRPr="00FF1786" w14:paraId="210913AB" w14:textId="77777777" w:rsidTr="00F81F1B">
        <w:tc>
          <w:tcPr>
            <w:tcW w:w="1275" w:type="dxa"/>
          </w:tcPr>
          <w:p w14:paraId="459829D2" w14:textId="32F95A9E" w:rsidR="0001682B" w:rsidRPr="00460668" w:rsidRDefault="00E57E15" w:rsidP="002061E5">
            <w:pPr>
              <w:spacing w:after="60"/>
              <w:rPr>
                <w:rFonts w:eastAsia="Times New Roman" w:cs="Cambria"/>
                <w:szCs w:val="20"/>
                <w:lang w:eastAsia="fr-FR"/>
              </w:rPr>
            </w:pPr>
            <w:r w:rsidRPr="00FD17CF">
              <w:rPr>
                <w:i/>
              </w:rPr>
              <w:t>L</w:t>
            </w:r>
            <w:r w:rsidRPr="00FD17CF">
              <w:rPr>
                <w:iCs/>
                <w:vertAlign w:val="subscript"/>
              </w:rPr>
              <w:t>BP</w:t>
            </w:r>
          </w:p>
        </w:tc>
        <w:tc>
          <w:tcPr>
            <w:tcW w:w="7938" w:type="dxa"/>
          </w:tcPr>
          <w:p w14:paraId="79893D7E" w14:textId="28932DFB" w:rsidR="0001682B" w:rsidRPr="00E57E15" w:rsidRDefault="00E57E15" w:rsidP="002061E5">
            <w:pPr>
              <w:pStyle w:val="Listofsymbols"/>
              <w:tabs>
                <w:tab w:val="clear" w:pos="1134"/>
                <w:tab w:val="left" w:pos="2481"/>
              </w:tabs>
              <w:ind w:left="0" w:firstLine="0"/>
              <w:rPr>
                <w:szCs w:val="22"/>
              </w:rPr>
            </w:pPr>
            <w:r w:rsidRPr="00E57E15">
              <w:t>is the base plate length in the plane of the seismic action (see Figure H.1);</w:t>
            </w:r>
          </w:p>
        </w:tc>
      </w:tr>
      <w:tr w:rsidR="0001682B" w:rsidRPr="00FF1786" w14:paraId="1EAE2ACB" w14:textId="77777777" w:rsidTr="00F81F1B">
        <w:tc>
          <w:tcPr>
            <w:tcW w:w="1275" w:type="dxa"/>
          </w:tcPr>
          <w:p w14:paraId="34DD58E8" w14:textId="0480C647" w:rsidR="0001682B" w:rsidRPr="00460668" w:rsidRDefault="00E57E15" w:rsidP="002061E5">
            <w:pPr>
              <w:spacing w:after="60"/>
              <w:rPr>
                <w:rFonts w:eastAsia="Times New Roman" w:cs="Cambria"/>
                <w:szCs w:val="20"/>
                <w:lang w:eastAsia="fr-FR"/>
              </w:rPr>
            </w:pPr>
            <w:r w:rsidRPr="00132C1E">
              <w:rPr>
                <w:i/>
                <w:iCs/>
              </w:rPr>
              <w:t>N</w:t>
            </w:r>
            <w:r w:rsidRPr="00132C1E">
              <w:rPr>
                <w:vertAlign w:val="subscript"/>
              </w:rPr>
              <w:t>Rd,b,max</w:t>
            </w:r>
          </w:p>
        </w:tc>
        <w:tc>
          <w:tcPr>
            <w:tcW w:w="7938" w:type="dxa"/>
          </w:tcPr>
          <w:p w14:paraId="2AA88976" w14:textId="4D9ADAE9" w:rsidR="0001682B" w:rsidRPr="00E57E15" w:rsidRDefault="00E57E15" w:rsidP="002061E5">
            <w:pPr>
              <w:pStyle w:val="Listofsymbols"/>
              <w:tabs>
                <w:tab w:val="clear" w:pos="1134"/>
                <w:tab w:val="left" w:pos="2481"/>
              </w:tabs>
              <w:ind w:left="0" w:firstLine="0"/>
              <w:rPr>
                <w:szCs w:val="22"/>
              </w:rPr>
            </w:pPr>
            <w:r w:rsidRPr="00E57E15">
              <w:t>is the maximum bearing resistance per unit length, which should be calculated as given in Formula (H.3);</w:t>
            </w:r>
          </w:p>
        </w:tc>
      </w:tr>
    </w:tbl>
    <w:p w14:paraId="05D4D2A2" w14:textId="0A5ADF16" w:rsidR="00E57E15" w:rsidRDefault="009B5CEC" w:rsidP="00E57E15">
      <w:pPr>
        <w:pStyle w:val="Formula"/>
        <w:spacing w:before="240"/>
      </w:pPr>
      <m:oMath>
        <m:sSub>
          <m:sSubPr>
            <m:ctrlPr>
              <w:rPr>
                <w:rFonts w:ascii="Cambria Math" w:hAnsi="Cambria Math"/>
              </w:rPr>
            </m:ctrlPr>
          </m:sSubPr>
          <m:e>
            <m:r>
              <w:rPr>
                <w:rFonts w:ascii="Cambria Math" w:hAnsi="Cambria Math"/>
              </w:rPr>
              <m:t>N</m:t>
            </m:r>
          </m:e>
          <m:sub>
            <m:r>
              <m:rPr>
                <m:sty m:val="p"/>
              </m:rPr>
              <w:rPr>
                <w:rFonts w:ascii="Cambria Math" w:hAnsi="Cambria Math"/>
              </w:rPr>
              <m:t>Rd,b,max</m:t>
            </m:r>
          </m:sub>
        </m:sSub>
        <m:r>
          <w:rPr>
            <w:rFonts w:ascii="Cambria Math" w:hAnsi="Cambria Math"/>
          </w:rPr>
          <m:t>=</m:t>
        </m:r>
        <m:sSub>
          <m:sSubPr>
            <m:ctrlPr>
              <w:rPr>
                <w:rFonts w:ascii="Cambria Math" w:hAnsi="Cambria Math"/>
              </w:rPr>
            </m:ctrlPr>
          </m:sSubPr>
          <m:e>
            <m:r>
              <w:rPr>
                <w:rFonts w:ascii="Cambria Math" w:hAnsi="Cambria Math"/>
              </w:rPr>
              <m:t>f</m:t>
            </m:r>
          </m:e>
          <m:sub>
            <m:r>
              <m:rPr>
                <m:sty m:val="p"/>
              </m:rPr>
              <w:rPr>
                <w:rFonts w:ascii="Cambria Math" w:hAnsi="Cambria Math"/>
              </w:rPr>
              <m:t>p(max)</m:t>
            </m:r>
          </m:sub>
        </m:sSub>
        <m:sSub>
          <m:sSubPr>
            <m:ctrlPr>
              <w:rPr>
                <w:rFonts w:ascii="Cambria Math" w:hAnsi="Cambria Math"/>
              </w:rPr>
            </m:ctrlPr>
          </m:sSubPr>
          <m:e>
            <m:r>
              <w:rPr>
                <w:rFonts w:ascii="Cambria Math" w:hAnsi="Cambria Math"/>
              </w:rPr>
              <m:t>B</m:t>
            </m:r>
          </m:e>
          <m:sub>
            <m:r>
              <m:rPr>
                <m:sty m:val="p"/>
              </m:rPr>
              <w:rPr>
                <w:rFonts w:ascii="Cambria Math" w:hAnsi="Cambria Math"/>
              </w:rPr>
              <m:t>BP</m:t>
            </m:r>
          </m:sub>
        </m:sSub>
      </m:oMath>
      <w:r w:rsidR="00E57E15" w:rsidRPr="00922D9B">
        <w:tab/>
        <w:t>(</w:t>
      </w:r>
      <w:r w:rsidR="00E57E15">
        <w:t>H</w:t>
      </w:r>
      <w:r w:rsidR="00E57E15" w:rsidRPr="00922D9B">
        <w:t>.</w:t>
      </w:r>
      <w:r w:rsidR="00E57E15">
        <w:t>3</w:t>
      </w:r>
      <w:r w:rsidR="00E57E15" w:rsidRPr="00922D9B">
        <w:t>)</w:t>
      </w:r>
    </w:p>
    <w:p w14:paraId="5B2CF40B" w14:textId="6A93751A" w:rsidR="006107DB" w:rsidRPr="006107DB" w:rsidRDefault="006107DB" w:rsidP="006107DB">
      <w:pPr>
        <w:pStyle w:val="Text"/>
      </w:pPr>
      <w:r>
        <w:t>where</w:t>
      </w:r>
    </w:p>
    <w:tbl>
      <w:tblPr>
        <w:tblW w:w="0" w:type="auto"/>
        <w:tblInd w:w="346" w:type="dxa"/>
        <w:tblLook w:val="04A0" w:firstRow="1" w:lastRow="0" w:firstColumn="1" w:lastColumn="0" w:noHBand="0" w:noVBand="1"/>
      </w:tblPr>
      <w:tblGrid>
        <w:gridCol w:w="1275"/>
        <w:gridCol w:w="7938"/>
      </w:tblGrid>
      <w:tr w:rsidR="0001682B" w:rsidRPr="00FF1786" w14:paraId="41AB072B" w14:textId="77777777" w:rsidTr="006107DB">
        <w:tc>
          <w:tcPr>
            <w:tcW w:w="1275" w:type="dxa"/>
          </w:tcPr>
          <w:p w14:paraId="238F29A6" w14:textId="3DDF0259" w:rsidR="0001682B" w:rsidRPr="00460668" w:rsidRDefault="00E57E15" w:rsidP="002061E5">
            <w:pPr>
              <w:spacing w:after="60"/>
              <w:rPr>
                <w:rFonts w:eastAsia="Times New Roman" w:cs="Cambria"/>
                <w:szCs w:val="20"/>
                <w:lang w:eastAsia="fr-FR"/>
              </w:rPr>
            </w:pPr>
            <w:r w:rsidRPr="00132C1E">
              <w:rPr>
                <w:i/>
              </w:rPr>
              <w:t>B</w:t>
            </w:r>
            <w:r w:rsidRPr="00D1484A">
              <w:rPr>
                <w:iCs/>
                <w:vertAlign w:val="subscript"/>
              </w:rPr>
              <w:t>BP</w:t>
            </w:r>
          </w:p>
        </w:tc>
        <w:tc>
          <w:tcPr>
            <w:tcW w:w="7938" w:type="dxa"/>
          </w:tcPr>
          <w:p w14:paraId="463D8884" w14:textId="22ACBF5E" w:rsidR="0001682B" w:rsidRPr="00E57E15" w:rsidRDefault="00E57E15" w:rsidP="002061E5">
            <w:pPr>
              <w:pStyle w:val="Listofsymbols"/>
              <w:tabs>
                <w:tab w:val="clear" w:pos="1134"/>
                <w:tab w:val="left" w:pos="2481"/>
              </w:tabs>
              <w:ind w:left="0" w:firstLine="0"/>
              <w:rPr>
                <w:szCs w:val="22"/>
              </w:rPr>
            </w:pPr>
            <w:r w:rsidRPr="00E57E15">
              <w:t>is the base plate dimension perpendicular to the plane of the seismic action (Figures</w:t>
            </w:r>
            <w:r w:rsidR="006107DB">
              <w:t> </w:t>
            </w:r>
            <w:r w:rsidRPr="00E57E15">
              <w:t>H.1a, b);</w:t>
            </w:r>
          </w:p>
        </w:tc>
      </w:tr>
      <w:tr w:rsidR="0001682B" w:rsidRPr="00FF1786" w14:paraId="10E3F437" w14:textId="77777777" w:rsidTr="006107DB">
        <w:tc>
          <w:tcPr>
            <w:tcW w:w="1275" w:type="dxa"/>
          </w:tcPr>
          <w:p w14:paraId="610D0D77" w14:textId="2B1F0C73" w:rsidR="0001682B" w:rsidRPr="00E57E15" w:rsidRDefault="009B5CEC" w:rsidP="002061E5">
            <w:pPr>
              <w:spacing w:after="60"/>
              <w:rPr>
                <w:rFonts w:eastAsia="Times New Roman" w:cs="Cambria"/>
                <w:szCs w:val="20"/>
                <w:lang w:eastAsia="fr-FR"/>
              </w:rPr>
            </w:pPr>
            <m:oMathPara>
              <m:oMathParaPr>
                <m:jc m:val="left"/>
              </m:oMathParaPr>
              <m:oMath>
                <m:sSub>
                  <m:sSubPr>
                    <m:ctrlPr>
                      <w:rPr>
                        <w:rFonts w:ascii="Cambria Math" w:hAnsi="Cambria Math"/>
                        <w:bCs/>
                        <w:i/>
                      </w:rPr>
                    </m:ctrlPr>
                  </m:sSubPr>
                  <m:e>
                    <m:r>
                      <w:rPr>
                        <w:rFonts w:ascii="Cambria Math" w:hAnsi="Cambria Math"/>
                      </w:rPr>
                      <m:t>f</m:t>
                    </m:r>
                  </m:e>
                  <m:sub>
                    <m:r>
                      <m:rPr>
                        <m:sty m:val="p"/>
                      </m:rPr>
                      <w:rPr>
                        <w:rFonts w:ascii="Cambria Math" w:hAnsi="Cambria Math"/>
                      </w:rPr>
                      <m:t>p</m:t>
                    </m:r>
                    <m:r>
                      <w:rPr>
                        <w:rFonts w:ascii="Cambria Math" w:hAnsi="Cambria Math"/>
                      </w:rPr>
                      <m:t>(</m:t>
                    </m:r>
                    <m:r>
                      <m:rPr>
                        <m:sty m:val="p"/>
                      </m:rPr>
                      <w:rPr>
                        <w:rFonts w:ascii="Cambria Math" w:hAnsi="Cambria Math"/>
                      </w:rPr>
                      <m:t>max)</m:t>
                    </m:r>
                  </m:sub>
                </m:sSub>
              </m:oMath>
            </m:oMathPara>
          </w:p>
        </w:tc>
        <w:tc>
          <w:tcPr>
            <w:tcW w:w="7938" w:type="dxa"/>
          </w:tcPr>
          <w:p w14:paraId="4CCA8883" w14:textId="075F138C" w:rsidR="0001682B" w:rsidRPr="00E57E15" w:rsidRDefault="00E57E15" w:rsidP="002061E5">
            <w:pPr>
              <w:pStyle w:val="Listofsymbols"/>
              <w:tabs>
                <w:tab w:val="clear" w:pos="1134"/>
                <w:tab w:val="left" w:pos="2481"/>
              </w:tabs>
              <w:ind w:left="0" w:firstLine="0"/>
              <w:rPr>
                <w:szCs w:val="22"/>
              </w:rPr>
            </w:pPr>
            <w:r w:rsidRPr="00E57E15">
              <w:t>is the bearing strength of the concrete footing calculated using Formula (H.4);</w:t>
            </w:r>
          </w:p>
        </w:tc>
      </w:tr>
    </w:tbl>
    <w:p w14:paraId="0D52A2D4" w14:textId="360048FA" w:rsidR="00E57E15" w:rsidRDefault="009B5CEC" w:rsidP="00E57E15">
      <w:pPr>
        <w:pStyle w:val="Formula"/>
        <w:spacing w:before="240"/>
      </w:pPr>
      <m:oMath>
        <m:sSub>
          <m:sSubPr>
            <m:ctrlPr>
              <w:rPr>
                <w:rFonts w:ascii="Cambria Math" w:hAnsi="Cambria Math"/>
              </w:rPr>
            </m:ctrlPr>
          </m:sSubPr>
          <m:e>
            <m:r>
              <w:rPr>
                <w:rFonts w:ascii="Cambria Math" w:hAnsi="Cambria Math"/>
              </w:rPr>
              <m:t>f</m:t>
            </m:r>
          </m:e>
          <m:sub>
            <m:r>
              <m:rPr>
                <m:sty m:val="p"/>
              </m:rPr>
              <w:rPr>
                <w:rFonts w:ascii="Cambria Math" w:hAnsi="Cambria Math"/>
              </w:rPr>
              <m:t>p(max)</m:t>
            </m:r>
          </m:sub>
        </m:sSub>
        <m:r>
          <w:rPr>
            <w:rFonts w:ascii="Cambria Math" w:hAnsi="Cambria Math"/>
          </w:rPr>
          <m:t>=0,65</m:t>
        </m:r>
        <m:sSub>
          <m:sSubPr>
            <m:ctrlPr>
              <w:rPr>
                <w:rFonts w:ascii="Cambria Math" w:hAnsi="Cambria Math"/>
              </w:rPr>
            </m:ctrlPr>
          </m:sSubPr>
          <m:e>
            <m:r>
              <w:rPr>
                <w:rFonts w:ascii="Cambria Math" w:hAnsi="Cambria Math"/>
              </w:rPr>
              <m:t>f</m:t>
            </m:r>
          </m:e>
          <m:sub>
            <m:r>
              <m:rPr>
                <m:sty m:val="p"/>
              </m:rPr>
              <w:rPr>
                <w:rFonts w:ascii="Cambria Math" w:hAnsi="Cambria Math"/>
              </w:rPr>
              <m:t>cd</m:t>
            </m:r>
          </m:sub>
        </m:sSub>
        <m:rad>
          <m:radPr>
            <m:degHide m:val="1"/>
            <m:ctrlPr>
              <w:rPr>
                <w:rFonts w:ascii="Cambria Math" w:hAnsi="Cambria Math"/>
              </w:rPr>
            </m:ctrlPr>
          </m:radPr>
          <m:deg/>
          <m:e>
            <m:f>
              <m:fPr>
                <m:ctrlPr>
                  <w:rPr>
                    <w:rFonts w:ascii="Cambria Math" w:hAnsi="Cambria Math"/>
                  </w:rPr>
                </m:ctrlPr>
              </m:fPr>
              <m:num>
                <m:sSub>
                  <m:sSubPr>
                    <m:ctrlPr>
                      <w:rPr>
                        <w:rFonts w:ascii="Cambria Math" w:hAnsi="Cambria Math"/>
                      </w:rPr>
                    </m:ctrlPr>
                  </m:sSubPr>
                  <m:e>
                    <m:r>
                      <w:rPr>
                        <w:rFonts w:ascii="Cambria Math" w:hAnsi="Cambria Math"/>
                      </w:rPr>
                      <m:t>A</m:t>
                    </m:r>
                  </m:e>
                  <m:sub>
                    <m:r>
                      <w:rPr>
                        <w:rFonts w:ascii="Cambria Math" w:hAnsi="Cambria Math"/>
                      </w:rPr>
                      <m:t>2</m:t>
                    </m:r>
                  </m:sub>
                </m:sSub>
              </m:num>
              <m:den>
                <m:sSub>
                  <m:sSubPr>
                    <m:ctrlPr>
                      <w:rPr>
                        <w:rFonts w:ascii="Cambria Math" w:hAnsi="Cambria Math"/>
                      </w:rPr>
                    </m:ctrlPr>
                  </m:sSubPr>
                  <m:e>
                    <m:r>
                      <w:rPr>
                        <w:rFonts w:ascii="Cambria Math" w:hAnsi="Cambria Math"/>
                      </w:rPr>
                      <m:t>A</m:t>
                    </m:r>
                  </m:e>
                  <m:sub>
                    <m:r>
                      <w:rPr>
                        <w:rFonts w:ascii="Cambria Math" w:hAnsi="Cambria Math"/>
                      </w:rPr>
                      <m:t>1</m:t>
                    </m:r>
                  </m:sub>
                </m:sSub>
              </m:den>
            </m:f>
          </m:e>
        </m:rad>
        <m:r>
          <w:rPr>
            <w:rFonts w:ascii="Cambria Math" w:hAnsi="Cambria Math"/>
          </w:rPr>
          <m:t>=1,30</m:t>
        </m:r>
        <m:sSub>
          <m:sSubPr>
            <m:ctrlPr>
              <w:rPr>
                <w:rFonts w:ascii="Cambria Math" w:hAnsi="Cambria Math"/>
              </w:rPr>
            </m:ctrlPr>
          </m:sSubPr>
          <m:e>
            <m:r>
              <w:rPr>
                <w:rFonts w:ascii="Cambria Math" w:hAnsi="Cambria Math"/>
              </w:rPr>
              <m:t>f</m:t>
            </m:r>
          </m:e>
          <m:sub>
            <m:r>
              <m:rPr>
                <m:sty m:val="p"/>
              </m:rPr>
              <w:rPr>
                <w:rFonts w:ascii="Cambria Math" w:hAnsi="Cambria Math"/>
              </w:rPr>
              <m:t>cd</m:t>
            </m:r>
          </m:sub>
        </m:sSub>
      </m:oMath>
      <w:r w:rsidR="00E57E15" w:rsidRPr="00922D9B">
        <w:tab/>
        <w:t>(</w:t>
      </w:r>
      <w:r w:rsidR="00E57E15">
        <w:t>H</w:t>
      </w:r>
      <w:r w:rsidR="00E57E15" w:rsidRPr="00922D9B">
        <w:t>.</w:t>
      </w:r>
      <w:r w:rsidR="00E57E15">
        <w:t>4</w:t>
      </w:r>
      <w:r w:rsidR="00E57E15" w:rsidRPr="00922D9B">
        <w:t>)</w:t>
      </w:r>
    </w:p>
    <w:p w14:paraId="43FC7331" w14:textId="7D26DC8B" w:rsidR="006107DB" w:rsidRPr="006107DB" w:rsidRDefault="006107DB" w:rsidP="006107DB">
      <w:pPr>
        <w:pStyle w:val="Text"/>
      </w:pPr>
      <w:r>
        <w:t>where</w:t>
      </w:r>
    </w:p>
    <w:tbl>
      <w:tblPr>
        <w:tblW w:w="0" w:type="auto"/>
        <w:tblInd w:w="346" w:type="dxa"/>
        <w:tblLook w:val="04A0" w:firstRow="1" w:lastRow="0" w:firstColumn="1" w:lastColumn="0" w:noHBand="0" w:noVBand="1"/>
      </w:tblPr>
      <w:tblGrid>
        <w:gridCol w:w="1275"/>
        <w:gridCol w:w="7938"/>
      </w:tblGrid>
      <w:tr w:rsidR="0001682B" w:rsidRPr="00FF1786" w14:paraId="3CD6840B" w14:textId="77777777" w:rsidTr="006107DB">
        <w:tc>
          <w:tcPr>
            <w:tcW w:w="1275" w:type="dxa"/>
          </w:tcPr>
          <w:p w14:paraId="74445B90" w14:textId="5C6E17D5" w:rsidR="0001682B" w:rsidRPr="00F41E63" w:rsidRDefault="009B5CEC" w:rsidP="002061E5">
            <w:pPr>
              <w:spacing w:after="60"/>
              <w:rPr>
                <w:lang w:eastAsia="de-DE"/>
              </w:rPr>
            </w:pPr>
            <m:oMathPara>
              <m:oMathParaPr>
                <m:jc m:val="left"/>
              </m:oMathParaPr>
              <m:oMath>
                <m:sSub>
                  <m:sSubPr>
                    <m:ctrlPr>
                      <w:rPr>
                        <w:rFonts w:ascii="Cambria Math" w:hAnsi="Cambria Math"/>
                        <w:i/>
                      </w:rPr>
                    </m:ctrlPr>
                  </m:sSubPr>
                  <m:e>
                    <m:r>
                      <w:rPr>
                        <w:rFonts w:ascii="Cambria Math" w:hAnsi="Cambria Math"/>
                      </w:rPr>
                      <m:t>A</m:t>
                    </m:r>
                  </m:e>
                  <m:sub>
                    <m:r>
                      <w:rPr>
                        <w:rFonts w:ascii="Cambria Math" w:hAnsi="Cambria Math"/>
                      </w:rPr>
                      <m:t>1</m:t>
                    </m:r>
                  </m:sub>
                </m:sSub>
              </m:oMath>
            </m:oMathPara>
          </w:p>
        </w:tc>
        <w:tc>
          <w:tcPr>
            <w:tcW w:w="7938" w:type="dxa"/>
          </w:tcPr>
          <w:p w14:paraId="7D799859" w14:textId="69A34BA4" w:rsidR="0001682B" w:rsidRPr="00FF1786" w:rsidRDefault="00E57E15" w:rsidP="002061E5">
            <w:pPr>
              <w:spacing w:after="60"/>
            </w:pPr>
            <w:r w:rsidRPr="00132C1E">
              <w:t>is the bearing area of the baseplate;</w:t>
            </w:r>
          </w:p>
        </w:tc>
      </w:tr>
      <w:tr w:rsidR="00E57E15" w:rsidRPr="00FF1786" w14:paraId="087C0F43" w14:textId="77777777" w:rsidTr="006107DB">
        <w:tc>
          <w:tcPr>
            <w:tcW w:w="1275" w:type="dxa"/>
          </w:tcPr>
          <w:p w14:paraId="7D9A043D" w14:textId="5D71F0AE" w:rsidR="00E57E15" w:rsidRPr="00E57E15" w:rsidRDefault="009B5CEC" w:rsidP="002061E5">
            <w:pPr>
              <w:spacing w:after="60"/>
              <w:rPr>
                <w:lang w:eastAsia="de-DE"/>
              </w:rPr>
            </w:pPr>
            <m:oMathPara>
              <m:oMathParaPr>
                <m:jc m:val="left"/>
              </m:oMathParaPr>
              <m:oMath>
                <m:sSub>
                  <m:sSubPr>
                    <m:ctrlPr>
                      <w:rPr>
                        <w:rFonts w:ascii="Cambria Math" w:hAnsi="Cambria Math"/>
                        <w:i/>
                      </w:rPr>
                    </m:ctrlPr>
                  </m:sSubPr>
                  <m:e>
                    <m:r>
                      <w:rPr>
                        <w:rFonts w:ascii="Cambria Math" w:hAnsi="Cambria Math"/>
                      </w:rPr>
                      <m:t>A</m:t>
                    </m:r>
                  </m:e>
                  <m:sub>
                    <m:r>
                      <w:rPr>
                        <w:rFonts w:ascii="Cambria Math" w:hAnsi="Cambria Math"/>
                      </w:rPr>
                      <m:t>2</m:t>
                    </m:r>
                  </m:sub>
                </m:sSub>
              </m:oMath>
            </m:oMathPara>
          </w:p>
        </w:tc>
        <w:tc>
          <w:tcPr>
            <w:tcW w:w="7938" w:type="dxa"/>
          </w:tcPr>
          <w:p w14:paraId="18A18BC7" w14:textId="7D70C5A8" w:rsidR="00E57E15" w:rsidRPr="00FF1786" w:rsidRDefault="00E57E15" w:rsidP="002061E5">
            <w:pPr>
              <w:spacing w:after="60"/>
            </w:pPr>
            <w:r w:rsidRPr="00132C1E">
              <w:t xml:space="preserve">is the effective concrete area, which is defined as the maximum area of the portion of the supporting surface that is geometrically similar to and </w:t>
            </w:r>
            <w:r w:rsidRPr="00D1484A">
              <w:t>concentric with the loaded area.</w:t>
            </w:r>
          </w:p>
        </w:tc>
      </w:tr>
    </w:tbl>
    <w:p w14:paraId="1D71BB10" w14:textId="77777777" w:rsidR="00E57E15" w:rsidRPr="00D1484A" w:rsidRDefault="00E57E15" w:rsidP="00E57E15">
      <w:pPr>
        <w:pStyle w:val="Notetext"/>
      </w:pPr>
      <w:r w:rsidRPr="007E6F67">
        <w:t>NOTE</w:t>
      </w:r>
      <w:r w:rsidRPr="007E6F67">
        <w:tab/>
      </w:r>
      <w:r w:rsidRPr="00FD17CF">
        <w:t xml:space="preserve">For a column base plate bearing on a concrete footing far from edges or openings, </w:t>
      </w:r>
      <m:oMath>
        <m:rad>
          <m:radPr>
            <m:degHide m:val="1"/>
            <m:ctrlPr>
              <w:rPr>
                <w:rFonts w:ascii="Cambria Math" w:hAnsi="Cambria Math"/>
                <w:i/>
              </w:rPr>
            </m:ctrlPr>
          </m:radPr>
          <m:deg/>
          <m:e>
            <m:f>
              <m:fPr>
                <m:ctrlPr>
                  <w:rPr>
                    <w:rFonts w:ascii="Cambria Math" w:hAnsi="Cambria Math"/>
                    <w:i/>
                  </w:rPr>
                </m:ctrlPr>
              </m:fPr>
              <m:num>
                <m:sSub>
                  <m:sSubPr>
                    <m:ctrlPr>
                      <w:rPr>
                        <w:rFonts w:ascii="Cambria Math" w:hAnsi="Cambria Math"/>
                        <w:i/>
                      </w:rPr>
                    </m:ctrlPr>
                  </m:sSubPr>
                  <m:e>
                    <m:r>
                      <w:rPr>
                        <w:rFonts w:ascii="Cambria Math" w:hAnsi="Cambria Math"/>
                      </w:rPr>
                      <m:t>A</m:t>
                    </m:r>
                  </m:e>
                  <m:sub>
                    <m:r>
                      <w:rPr>
                        <w:rFonts w:ascii="Cambria Math" w:hAnsi="Cambria Math"/>
                      </w:rPr>
                      <m:t>2</m:t>
                    </m:r>
                  </m:sub>
                </m:sSub>
              </m:num>
              <m:den>
                <m:sSub>
                  <m:sSubPr>
                    <m:ctrlPr>
                      <w:rPr>
                        <w:rFonts w:ascii="Cambria Math" w:hAnsi="Cambria Math"/>
                        <w:i/>
                      </w:rPr>
                    </m:ctrlPr>
                  </m:sSubPr>
                  <m:e>
                    <m:r>
                      <w:rPr>
                        <w:rFonts w:ascii="Cambria Math" w:hAnsi="Cambria Math"/>
                      </w:rPr>
                      <m:t>A</m:t>
                    </m:r>
                  </m:e>
                  <m:sub>
                    <m:r>
                      <w:rPr>
                        <w:rFonts w:ascii="Cambria Math" w:hAnsi="Cambria Math"/>
                      </w:rPr>
                      <m:t>1</m:t>
                    </m:r>
                  </m:sub>
                </m:sSub>
              </m:den>
            </m:f>
          </m:e>
        </m:rad>
        <m:r>
          <w:rPr>
            <w:rFonts w:ascii="Cambria Math" w:hAnsi="Cambria Math"/>
          </w:rPr>
          <m:t> </m:t>
        </m:r>
      </m:oMath>
      <w:r w:rsidRPr="00132C1E">
        <w:t>=</w:t>
      </w:r>
      <w:r>
        <w:t> </w:t>
      </w:r>
      <w:r w:rsidRPr="00132C1E">
        <w:t>2,0</w:t>
      </w:r>
      <w:r w:rsidRPr="00D1484A">
        <w:t>.</w:t>
      </w:r>
    </w:p>
    <w:p w14:paraId="2F2209CA" w14:textId="0AB34314" w:rsidR="00E57E15" w:rsidRPr="009E1D57" w:rsidRDefault="00E57E15" w:rsidP="00724E4E">
      <w:pPr>
        <w:pStyle w:val="Clause"/>
      </w:pPr>
      <w:r w:rsidRPr="00FD17CF">
        <w:t xml:space="preserve">If </w:t>
      </w:r>
      <w:r w:rsidRPr="00FD17CF">
        <w:rPr>
          <w:i/>
          <w:iCs/>
        </w:rPr>
        <w:t>e</w:t>
      </w:r>
      <w:r w:rsidRPr="00FD17CF">
        <w:rPr>
          <w:vertAlign w:val="subscript"/>
        </w:rPr>
        <w:t>bp</w:t>
      </w:r>
      <w:r w:rsidRPr="00E05E29">
        <w:t xml:space="preserve"> is not greater than </w:t>
      </w:r>
      <w:r w:rsidRPr="00196951">
        <w:rPr>
          <w:i/>
          <w:iCs/>
        </w:rPr>
        <w:t>e</w:t>
      </w:r>
      <w:r w:rsidRPr="002144A0">
        <w:rPr>
          <w:vertAlign w:val="subscript"/>
        </w:rPr>
        <w:t>crit</w:t>
      </w:r>
      <w:r w:rsidRPr="002144A0">
        <w:t xml:space="preserve">, the force combination should be considered with a small moment and the bearing stress </w:t>
      </w:r>
      <m:oMath>
        <m:sSub>
          <m:sSubPr>
            <m:ctrlPr>
              <w:rPr>
                <w:rFonts w:ascii="Cambria Math" w:hAnsi="Cambria Math"/>
                <w:i/>
              </w:rPr>
            </m:ctrlPr>
          </m:sSubPr>
          <m:e>
            <m:r>
              <w:rPr>
                <w:rFonts w:ascii="Cambria Math" w:hAnsi="Cambria Math"/>
              </w:rPr>
              <m:t>f</m:t>
            </m:r>
          </m:e>
          <m:sub>
            <m:r>
              <m:rPr>
                <m:sty m:val="p"/>
              </m:rPr>
              <w:rPr>
                <w:rFonts w:ascii="Cambria Math" w:hAnsi="Cambria Math"/>
              </w:rPr>
              <m:t>p</m:t>
            </m:r>
          </m:sub>
        </m:sSub>
      </m:oMath>
      <w:r w:rsidRPr="00132C1E">
        <w:t xml:space="preserve"> between the concrete and the base plate should be</w:t>
      </w:r>
      <w:r w:rsidRPr="00D1484A">
        <w:t xml:space="preserve"> calculated </w:t>
      </w:r>
      <w:r w:rsidRPr="00E57E15">
        <w:t>using Formula (H.5).</w:t>
      </w:r>
    </w:p>
    <w:p w14:paraId="127DE319" w14:textId="0D8FB14D" w:rsidR="00E57E15" w:rsidRDefault="009B5CEC" w:rsidP="00E57E15">
      <w:pPr>
        <w:pStyle w:val="Formula"/>
        <w:spacing w:before="240"/>
      </w:pPr>
      <m:oMath>
        <m:sSub>
          <m:sSubPr>
            <m:ctrlPr>
              <w:rPr>
                <w:rFonts w:ascii="Cambria Math" w:hAnsi="Cambria Math"/>
              </w:rPr>
            </m:ctrlPr>
          </m:sSubPr>
          <m:e>
            <m:r>
              <w:rPr>
                <w:rFonts w:ascii="Cambria Math" w:hAnsi="Cambria Math"/>
              </w:rPr>
              <m:t>f</m:t>
            </m:r>
          </m:e>
          <m:sub>
            <m:r>
              <m:rPr>
                <m:sty m:val="p"/>
              </m:rPr>
              <w:rPr>
                <w:rFonts w:ascii="Cambria Math" w:hAnsi="Cambria Math"/>
              </w:rPr>
              <m:t>p</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N</m:t>
                </m:r>
              </m:e>
              <m:sub>
                <m:r>
                  <m:rPr>
                    <m:sty m:val="p"/>
                  </m:rPr>
                  <w:rPr>
                    <w:rFonts w:ascii="Cambria Math" w:hAnsi="Cambria Math"/>
                  </w:rPr>
                  <m:t>Ed</m:t>
                </m:r>
              </m:sub>
            </m:sSub>
          </m:num>
          <m:den>
            <m:sSub>
              <m:sSubPr>
                <m:ctrlPr>
                  <w:rPr>
                    <w:rFonts w:ascii="Cambria Math" w:hAnsi="Cambria Math"/>
                  </w:rPr>
                </m:ctrlPr>
              </m:sSubPr>
              <m:e>
                <m:r>
                  <w:rPr>
                    <w:rFonts w:ascii="Cambria Math" w:hAnsi="Cambria Math"/>
                  </w:rPr>
                  <m:t>B</m:t>
                </m:r>
              </m:e>
              <m:sub>
                <m:r>
                  <m:rPr>
                    <m:sty m:val="p"/>
                  </m:rPr>
                  <w:rPr>
                    <w:rFonts w:ascii="Cambria Math" w:hAnsi="Cambria Math"/>
                  </w:rPr>
                  <m:t>BP</m:t>
                </m:r>
              </m:sub>
            </m:sSub>
            <m:d>
              <m:dPr>
                <m:ctrlPr>
                  <w:rPr>
                    <w:rFonts w:ascii="Cambria Math" w:hAnsi="Cambria Math"/>
                  </w:rPr>
                </m:ctrlPr>
              </m:dPr>
              <m:e>
                <m:sSub>
                  <m:sSubPr>
                    <m:ctrlPr>
                      <w:rPr>
                        <w:rFonts w:ascii="Cambria Math" w:hAnsi="Cambria Math"/>
                      </w:rPr>
                    </m:ctrlPr>
                  </m:sSubPr>
                  <m:e>
                    <m:r>
                      <w:rPr>
                        <w:rFonts w:ascii="Cambria Math" w:hAnsi="Cambria Math"/>
                      </w:rPr>
                      <m:t>L</m:t>
                    </m:r>
                  </m:e>
                  <m:sub>
                    <m:r>
                      <m:rPr>
                        <m:sty m:val="p"/>
                      </m:rPr>
                      <w:rPr>
                        <w:rFonts w:ascii="Cambria Math" w:hAnsi="Cambria Math"/>
                      </w:rPr>
                      <m:t>BP</m:t>
                    </m:r>
                  </m:sub>
                </m:sSub>
                <m:r>
                  <w:rPr>
                    <w:rFonts w:ascii="Cambria Math" w:hAnsi="Cambria Math"/>
                  </w:rPr>
                  <m:t>-2</m:t>
                </m:r>
                <m:sSub>
                  <m:sSubPr>
                    <m:ctrlPr>
                      <w:rPr>
                        <w:rFonts w:ascii="Cambria Math" w:hAnsi="Cambria Math"/>
                      </w:rPr>
                    </m:ctrlPr>
                  </m:sSubPr>
                  <m:e>
                    <m:r>
                      <w:rPr>
                        <w:rFonts w:ascii="Cambria Math" w:hAnsi="Cambria Math"/>
                      </w:rPr>
                      <m:t>e</m:t>
                    </m:r>
                  </m:e>
                  <m:sub>
                    <m:r>
                      <m:rPr>
                        <m:sty m:val="p"/>
                      </m:rPr>
                      <w:rPr>
                        <w:rFonts w:ascii="Cambria Math" w:hAnsi="Cambria Math"/>
                      </w:rPr>
                      <m:t>bp</m:t>
                    </m:r>
                  </m:sub>
                </m:sSub>
              </m:e>
            </m:d>
          </m:den>
        </m:f>
      </m:oMath>
      <w:r w:rsidR="00E57E15" w:rsidRPr="00922D9B">
        <w:tab/>
        <w:t>(</w:t>
      </w:r>
      <w:r w:rsidR="00E57E15">
        <w:t>H</w:t>
      </w:r>
      <w:r w:rsidR="00E57E15" w:rsidRPr="00922D9B">
        <w:t>.</w:t>
      </w:r>
      <w:r w:rsidR="00E57E15">
        <w:t>5</w:t>
      </w:r>
      <w:r w:rsidR="00E57E15" w:rsidRPr="00922D9B">
        <w:t>)</w:t>
      </w:r>
    </w:p>
    <w:p w14:paraId="129C3264" w14:textId="1A211A3A" w:rsidR="00E57E15" w:rsidRPr="004F25D7" w:rsidRDefault="00E57E15" w:rsidP="00724E4E">
      <w:pPr>
        <w:pStyle w:val="Clause"/>
      </w:pPr>
      <w:r w:rsidRPr="00D1484A">
        <w:t>If</w:t>
      </w:r>
      <w:r w:rsidRPr="00D1484A">
        <w:rPr>
          <w:i/>
          <w:iCs/>
        </w:rPr>
        <w:t xml:space="preserve"> e</w:t>
      </w:r>
      <w:r w:rsidRPr="007E6F67">
        <w:rPr>
          <w:vertAlign w:val="subscript"/>
        </w:rPr>
        <w:t>bp</w:t>
      </w:r>
      <w:r w:rsidRPr="00FD17CF">
        <w:t xml:space="preserve"> is greater than </w:t>
      </w:r>
      <w:r w:rsidRPr="00FD17CF">
        <w:rPr>
          <w:i/>
          <w:iCs/>
        </w:rPr>
        <w:t>e</w:t>
      </w:r>
      <w:r w:rsidRPr="00FD17CF">
        <w:rPr>
          <w:vertAlign w:val="subscript"/>
        </w:rPr>
        <w:t>crit</w:t>
      </w:r>
      <w:r w:rsidRPr="00E05E29">
        <w:t>,</w:t>
      </w:r>
      <w:r w:rsidRPr="00196951">
        <w:t xml:space="preserve"> anchor</w:t>
      </w:r>
      <w:r w:rsidRPr="002144A0">
        <w:t>s should be used for the moment to be transferred.</w:t>
      </w:r>
    </w:p>
    <w:p w14:paraId="0D45E69F" w14:textId="77777777" w:rsidR="00E57E15" w:rsidRPr="00132C1E" w:rsidRDefault="00E57E15" w:rsidP="00E57E15">
      <w:pPr>
        <w:pStyle w:val="a3"/>
      </w:pPr>
      <w:bookmarkStart w:id="11569" w:name="_Toc50150792"/>
      <w:bookmarkStart w:id="11570" w:name="_Toc70887225"/>
      <w:bookmarkStart w:id="11571" w:name="_Toc108342837"/>
      <w:bookmarkStart w:id="11572" w:name="_Toc120543922"/>
      <w:bookmarkStart w:id="11573" w:name="_Toc134198343"/>
      <w:r w:rsidRPr="00C52095">
        <w:t xml:space="preserve">Base plate with a </w:t>
      </w:r>
      <w:r w:rsidRPr="007754C9">
        <w:t>s</w:t>
      </w:r>
      <w:r w:rsidRPr="00132C1E">
        <w:t>mall moment</w:t>
      </w:r>
      <w:bookmarkEnd w:id="11569"/>
      <w:bookmarkEnd w:id="11570"/>
      <w:bookmarkEnd w:id="11571"/>
      <w:bookmarkEnd w:id="11572"/>
      <w:bookmarkEnd w:id="11573"/>
    </w:p>
    <w:p w14:paraId="4DAD0F64" w14:textId="27F22A3A" w:rsidR="00E57E15" w:rsidRDefault="00E57E15" w:rsidP="0080187E">
      <w:pPr>
        <w:pStyle w:val="Clause"/>
        <w:numPr>
          <w:ilvl w:val="0"/>
          <w:numId w:val="620"/>
        </w:numPr>
      </w:pPr>
      <w:r w:rsidRPr="00132C1E">
        <w:t xml:space="preserve">When </w:t>
      </w:r>
      <w:r w:rsidRPr="00CB3836">
        <w:rPr>
          <w:i/>
          <w:iCs/>
        </w:rPr>
        <w:t>e</w:t>
      </w:r>
      <w:r w:rsidRPr="00CB3836">
        <w:rPr>
          <w:vertAlign w:val="subscript"/>
        </w:rPr>
        <w:t>bp</w:t>
      </w:r>
      <w:r w:rsidRPr="00132C1E">
        <w:t xml:space="preserve"> is not greater than </w:t>
      </w:r>
      <w:r w:rsidRPr="00CB3836">
        <w:rPr>
          <w:i/>
          <w:iCs/>
        </w:rPr>
        <w:t>e</w:t>
      </w:r>
      <w:r w:rsidRPr="00CB3836">
        <w:rPr>
          <w:vertAlign w:val="subscript"/>
        </w:rPr>
        <w:t>crit</w:t>
      </w:r>
      <w:r w:rsidRPr="00132C1E">
        <w:t xml:space="preserve">, the length, </w:t>
      </w:r>
      <w:r w:rsidRPr="00CB3836">
        <w:rPr>
          <w:i/>
          <w:iCs/>
        </w:rPr>
        <w:t>Y,</w:t>
      </w:r>
      <w:r w:rsidRPr="00132C1E">
        <w:t xml:space="preserve"> of the bearing area should be calculated as given by </w:t>
      </w:r>
      <w:r w:rsidRPr="00E57E15">
        <w:t>Formula (H.6).</w:t>
      </w:r>
    </w:p>
    <w:p w14:paraId="18793685" w14:textId="05CE5CAF" w:rsidR="00E57E15" w:rsidRDefault="00E57E15" w:rsidP="00E57E15">
      <w:pPr>
        <w:pStyle w:val="Formula"/>
        <w:spacing w:before="240"/>
      </w:pPr>
      <m:oMath>
        <m:r>
          <w:rPr>
            <w:rFonts w:ascii="Cambria Math" w:hAnsi="Cambria Math"/>
          </w:rPr>
          <m:t>Y=</m:t>
        </m:r>
        <m:sSub>
          <m:sSubPr>
            <m:ctrlPr>
              <w:rPr>
                <w:rFonts w:ascii="Cambria Math" w:hAnsi="Cambria Math"/>
              </w:rPr>
            </m:ctrlPr>
          </m:sSubPr>
          <m:e>
            <m:r>
              <w:rPr>
                <w:rFonts w:ascii="Cambria Math" w:hAnsi="Cambria Math"/>
              </w:rPr>
              <m:t>L</m:t>
            </m:r>
          </m:e>
          <m:sub>
            <m:r>
              <m:rPr>
                <m:sty m:val="p"/>
              </m:rPr>
              <w:rPr>
                <w:rFonts w:ascii="Cambria Math" w:hAnsi="Cambria Math"/>
              </w:rPr>
              <m:t>BP</m:t>
            </m:r>
          </m:sub>
        </m:sSub>
        <m:r>
          <w:rPr>
            <w:rFonts w:ascii="Cambria Math" w:hAnsi="Cambria Math"/>
          </w:rPr>
          <m:t>-2</m:t>
        </m:r>
        <m:sSub>
          <m:sSubPr>
            <m:ctrlPr>
              <w:rPr>
                <w:rFonts w:ascii="Cambria Math" w:hAnsi="Cambria Math"/>
              </w:rPr>
            </m:ctrlPr>
          </m:sSubPr>
          <m:e>
            <m:r>
              <w:rPr>
                <w:rFonts w:ascii="Cambria Math" w:hAnsi="Cambria Math"/>
              </w:rPr>
              <m:t>e</m:t>
            </m:r>
          </m:e>
          <m:sub>
            <m:r>
              <m:rPr>
                <m:sty m:val="p"/>
              </m:rPr>
              <w:rPr>
                <w:rFonts w:ascii="Cambria Math" w:hAnsi="Cambria Math"/>
              </w:rPr>
              <m:t>bp</m:t>
            </m:r>
          </m:sub>
        </m:sSub>
      </m:oMath>
      <w:r w:rsidRPr="00922D9B">
        <w:tab/>
        <w:t>(</w:t>
      </w:r>
      <w:r>
        <w:t>H</w:t>
      </w:r>
      <w:r w:rsidRPr="00922D9B">
        <w:t>.</w:t>
      </w:r>
      <w:r>
        <w:t>6</w:t>
      </w:r>
      <w:r w:rsidRPr="00922D9B">
        <w:t>)</w:t>
      </w:r>
    </w:p>
    <w:p w14:paraId="037D905D" w14:textId="104AB23D" w:rsidR="00E57E15" w:rsidRDefault="00E57E15" w:rsidP="00724E4E">
      <w:pPr>
        <w:pStyle w:val="Clause"/>
      </w:pPr>
      <w:r w:rsidRPr="00132C1E">
        <w:t>The</w:t>
      </w:r>
      <w:r w:rsidRPr="00D1484A">
        <w:t xml:space="preserve"> design bearing </w:t>
      </w:r>
      <w:r w:rsidRPr="007E6F67">
        <w:t>resistance</w:t>
      </w:r>
      <w:r w:rsidRPr="00FD17CF">
        <w:t xml:space="preserve"> per unit length, </w:t>
      </w:r>
      <m:oMath>
        <m:sSub>
          <m:sSubPr>
            <m:ctrlPr>
              <w:rPr>
                <w:rFonts w:ascii="Cambria Math" w:hAnsi="Cambria Math"/>
                <w:i/>
                <w:iCs/>
              </w:rPr>
            </m:ctrlPr>
          </m:sSubPr>
          <m:e>
            <m:r>
              <w:rPr>
                <w:rFonts w:ascii="Cambria Math" w:hAnsi="Cambria Math"/>
              </w:rPr>
              <m:t>N</m:t>
            </m:r>
          </m:e>
          <m:sub>
            <m:r>
              <m:rPr>
                <m:sty m:val="p"/>
              </m:rPr>
              <w:rPr>
                <w:rFonts w:ascii="Cambria Math" w:hAnsi="Cambria Math"/>
                <w:vertAlign w:val="subscript"/>
              </w:rPr>
              <m:t>Rd,b</m:t>
            </m:r>
          </m:sub>
        </m:sSub>
      </m:oMath>
      <w:r w:rsidRPr="00132C1E" w:rsidDel="009A3DD0">
        <w:t xml:space="preserve"> </w:t>
      </w:r>
      <w:r w:rsidRPr="00D1484A">
        <w:t xml:space="preserve">should </w:t>
      </w:r>
      <w:r w:rsidRPr="00E57E15">
        <w:t>satisfy Formula (H.7).</w:t>
      </w:r>
    </w:p>
    <w:p w14:paraId="604A4D3F" w14:textId="66BC4462" w:rsidR="006C09CE" w:rsidRPr="006C09CE" w:rsidRDefault="009B5CEC" w:rsidP="006C09CE">
      <w:pPr>
        <w:pStyle w:val="Formula"/>
        <w:spacing w:before="240"/>
        <w:rPr>
          <w:lang w:val="fr-FR"/>
        </w:rPr>
      </w:pPr>
      <m:oMath>
        <m:sSub>
          <m:sSubPr>
            <m:ctrlPr>
              <w:rPr>
                <w:rFonts w:ascii="Cambria Math" w:hAnsi="Cambria Math"/>
              </w:rPr>
            </m:ctrlPr>
          </m:sSubPr>
          <m:e>
            <m:r>
              <w:rPr>
                <w:rFonts w:ascii="Cambria Math" w:hAnsi="Cambria Math"/>
              </w:rPr>
              <m:t>N</m:t>
            </m:r>
          </m:e>
          <m:sub>
            <m:r>
              <m:rPr>
                <m:sty m:val="p"/>
              </m:rPr>
              <w:rPr>
                <w:rFonts w:ascii="Cambria Math" w:hAnsi="Cambria Math"/>
              </w:rPr>
              <m:t>Rd,b</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N</m:t>
                </m:r>
              </m:e>
              <m:sub>
                <m:r>
                  <m:rPr>
                    <m:sty m:val="p"/>
                  </m:rPr>
                  <w:rPr>
                    <w:rFonts w:ascii="Cambria Math" w:hAnsi="Cambria Math"/>
                  </w:rPr>
                  <m:t>Ed</m:t>
                </m:r>
              </m:sub>
            </m:sSub>
          </m:num>
          <m:den>
            <m:r>
              <w:rPr>
                <w:rFonts w:ascii="Cambria Math" w:hAnsi="Cambria Math"/>
              </w:rPr>
              <m:t>Y</m:t>
            </m:r>
          </m:den>
        </m:f>
      </m:oMath>
      <w:r w:rsidR="006C09CE" w:rsidRPr="006C09CE">
        <w:rPr>
          <w:lang w:val="fr-FR"/>
        </w:rPr>
        <w:tab/>
        <w:t>(H.7)</w:t>
      </w:r>
    </w:p>
    <w:p w14:paraId="0E65DC9E" w14:textId="1CA4865C" w:rsidR="006C09CE" w:rsidRDefault="006C09CE" w:rsidP="00724E4E">
      <w:pPr>
        <w:pStyle w:val="Clause"/>
      </w:pPr>
      <w:r w:rsidRPr="00132C1E">
        <w:t xml:space="preserve">The </w:t>
      </w:r>
      <w:r w:rsidRPr="00D1484A">
        <w:t xml:space="preserve">design moment resistance per unit width </w:t>
      </w:r>
      <w:r w:rsidRPr="007E6F67">
        <w:t xml:space="preserve">of the base plate </w:t>
      </w:r>
      <w:r w:rsidRPr="00FD17CF">
        <w:t xml:space="preserve">at the bearing interface should be calculated </w:t>
      </w:r>
      <w:r w:rsidRPr="006C09CE">
        <w:t>from Formula (H.8).</w:t>
      </w:r>
    </w:p>
    <w:p w14:paraId="62281AB0" w14:textId="3F355CB8" w:rsidR="006C09CE" w:rsidRPr="00E45EB4" w:rsidRDefault="009B5CEC" w:rsidP="006C09CE">
      <w:pPr>
        <w:pStyle w:val="Formula"/>
        <w:spacing w:before="240"/>
      </w:pPr>
      <m:oMath>
        <m:sSub>
          <m:sSubPr>
            <m:ctrlPr>
              <w:rPr>
                <w:rFonts w:ascii="Cambria Math" w:hAnsi="Cambria Math"/>
              </w:rPr>
            </m:ctrlPr>
          </m:sSubPr>
          <m:e>
            <m:r>
              <w:rPr>
                <w:rFonts w:ascii="Cambria Math" w:hAnsi="Cambria Math"/>
              </w:rPr>
              <m:t>M</m:t>
            </m:r>
          </m:e>
          <m:sub>
            <m:r>
              <m:rPr>
                <m:sty m:val="p"/>
              </m:rPr>
              <w:rPr>
                <w:rFonts w:ascii="Cambria Math" w:hAnsi="Cambria Math"/>
              </w:rPr>
              <m:t>pl</m:t>
            </m:r>
          </m:sub>
        </m:sSub>
        <m:r>
          <w:rPr>
            <w:rFonts w:ascii="Cambria Math" w:hAnsi="Cambria Math"/>
          </w:rPr>
          <m:t>=</m:t>
        </m:r>
        <m:d>
          <m:dPr>
            <m:begChr m:val="{"/>
            <m:endChr m:val=""/>
            <m:ctrlPr>
              <w:rPr>
                <w:rFonts w:ascii="Cambria Math" w:hAnsi="Cambria Math"/>
              </w:rPr>
            </m:ctrlPr>
          </m:dPr>
          <m:e>
            <m:m>
              <m:mPr>
                <m:mcs>
                  <m:mc>
                    <m:mcPr>
                      <m:count m:val="1"/>
                      <m:mcJc m:val="center"/>
                    </m:mcPr>
                  </m:mc>
                </m:mcs>
                <m:ctrlPr>
                  <w:rPr>
                    <w:rFonts w:ascii="Cambria Math" w:hAnsi="Cambria Math"/>
                  </w:rPr>
                </m:ctrlPr>
              </m:mPr>
              <m:mr>
                <m:e>
                  <m:sSub>
                    <m:sSubPr>
                      <m:ctrlPr>
                        <w:rPr>
                          <w:rFonts w:ascii="Cambria Math" w:hAnsi="Cambria Math"/>
                        </w:rPr>
                      </m:ctrlPr>
                    </m:sSubPr>
                    <m:e>
                      <m:r>
                        <w:rPr>
                          <w:rFonts w:ascii="Cambria Math" w:hAnsi="Cambria Math"/>
                        </w:rPr>
                        <m:t>f</m:t>
                      </m:r>
                    </m:e>
                    <m:sub>
                      <m:r>
                        <m:rPr>
                          <m:sty m:val="p"/>
                        </m:rPr>
                        <w:rPr>
                          <w:rFonts w:ascii="Cambria Math" w:hAnsi="Cambria Math"/>
                        </w:rPr>
                        <m:t>p</m:t>
                      </m:r>
                    </m:sub>
                  </m:sSub>
                  <m:d>
                    <m:dPr>
                      <m:ctrlPr>
                        <w:rPr>
                          <w:rFonts w:ascii="Cambria Math" w:hAnsi="Cambria Math"/>
                        </w:rPr>
                      </m:ctrlPr>
                    </m:dPr>
                    <m:e>
                      <m:f>
                        <m:fPr>
                          <m:ctrlPr>
                            <w:rPr>
                              <w:rFonts w:ascii="Cambria Math" w:hAnsi="Cambria Math"/>
                            </w:rPr>
                          </m:ctrlPr>
                        </m:fPr>
                        <m:num>
                          <m:sSup>
                            <m:sSupPr>
                              <m:ctrlPr>
                                <w:rPr>
                                  <w:rFonts w:ascii="Cambria Math" w:hAnsi="Cambria Math"/>
                                </w:rPr>
                              </m:ctrlPr>
                            </m:sSupPr>
                            <m:e>
                              <m:r>
                                <w:rPr>
                                  <w:rFonts w:ascii="Cambria Math" w:hAnsi="Cambria Math"/>
                                </w:rPr>
                                <m:t>m</m:t>
                              </m:r>
                            </m:e>
                            <m:sup>
                              <m:r>
                                <w:rPr>
                                  <w:rFonts w:ascii="Cambria Math" w:hAnsi="Cambria Math"/>
                                </w:rPr>
                                <m:t>2</m:t>
                              </m:r>
                            </m:sup>
                          </m:sSup>
                        </m:num>
                        <m:den>
                          <m:r>
                            <w:rPr>
                              <w:rFonts w:ascii="Cambria Math" w:hAnsi="Cambria Math"/>
                            </w:rPr>
                            <m:t>2</m:t>
                          </m:r>
                        </m:den>
                      </m:f>
                    </m:e>
                  </m:d>
                  <m:r>
                    <w:rPr>
                      <w:rFonts w:ascii="Cambria Math" w:hAnsi="Cambria Math"/>
                    </w:rPr>
                    <m:t xml:space="preserve">                           </m:t>
                  </m:r>
                  <m:r>
                    <m:rPr>
                      <m:sty m:val="p"/>
                    </m:rPr>
                    <w:rPr>
                      <w:rFonts w:ascii="Cambria Math" w:hAnsi="Cambria Math"/>
                    </w:rPr>
                    <m:t xml:space="preserve"> for</m:t>
                  </m:r>
                  <m:r>
                    <w:rPr>
                      <w:rFonts w:ascii="Cambria Math" w:hAnsi="Cambria Math"/>
                    </w:rPr>
                    <m:t xml:space="preserve"> Y≥m</m:t>
                  </m:r>
                </m:e>
              </m:mr>
              <m:mr>
                <m:e>
                  <m:sSub>
                    <m:sSubPr>
                      <m:ctrlPr>
                        <w:rPr>
                          <w:rFonts w:ascii="Cambria Math" w:hAnsi="Cambria Math"/>
                        </w:rPr>
                      </m:ctrlPr>
                    </m:sSubPr>
                    <m:e>
                      <m:r>
                        <w:rPr>
                          <w:rFonts w:ascii="Cambria Math" w:hAnsi="Cambria Math"/>
                        </w:rPr>
                        <m:t>f</m:t>
                      </m:r>
                    </m:e>
                    <m:sub>
                      <m:r>
                        <m:rPr>
                          <m:sty m:val="p"/>
                        </m:rPr>
                        <w:rPr>
                          <w:rFonts w:ascii="Cambria Math" w:hAnsi="Cambria Math"/>
                        </w:rPr>
                        <m:t>p</m:t>
                      </m:r>
                      <m:d>
                        <m:dPr>
                          <m:ctrlPr>
                            <w:rPr>
                              <w:rFonts w:ascii="Cambria Math" w:hAnsi="Cambria Math"/>
                            </w:rPr>
                          </m:ctrlPr>
                        </m:dPr>
                        <m:e>
                          <m:r>
                            <m:rPr>
                              <m:sty m:val="p"/>
                            </m:rPr>
                            <w:rPr>
                              <w:rFonts w:ascii="Cambria Math" w:hAnsi="Cambria Math"/>
                            </w:rPr>
                            <m:t>max</m:t>
                          </m:r>
                        </m:e>
                      </m:d>
                    </m:sub>
                  </m:sSub>
                  <m:r>
                    <w:rPr>
                      <w:rFonts w:ascii="Cambria Math" w:hAnsi="Cambria Math"/>
                    </w:rPr>
                    <m:t>Y</m:t>
                  </m:r>
                  <m:d>
                    <m:dPr>
                      <m:ctrlPr>
                        <w:rPr>
                          <w:rFonts w:ascii="Cambria Math" w:hAnsi="Cambria Math"/>
                        </w:rPr>
                      </m:ctrlPr>
                    </m:dPr>
                    <m:e>
                      <m:r>
                        <w:rPr>
                          <w:rFonts w:ascii="Cambria Math" w:hAnsi="Cambria Math"/>
                        </w:rPr>
                        <m:t>m-</m:t>
                      </m:r>
                      <m:f>
                        <m:fPr>
                          <m:ctrlPr>
                            <w:rPr>
                              <w:rFonts w:ascii="Cambria Math" w:hAnsi="Cambria Math"/>
                            </w:rPr>
                          </m:ctrlPr>
                        </m:fPr>
                        <m:num>
                          <m:r>
                            <w:rPr>
                              <w:rFonts w:ascii="Cambria Math" w:hAnsi="Cambria Math"/>
                            </w:rPr>
                            <m:t>Y</m:t>
                          </m:r>
                        </m:num>
                        <m:den>
                          <m:r>
                            <w:rPr>
                              <w:rFonts w:ascii="Cambria Math" w:hAnsi="Cambria Math"/>
                            </w:rPr>
                            <m:t>2</m:t>
                          </m:r>
                        </m:den>
                      </m:f>
                    </m:e>
                  </m:d>
                  <m:r>
                    <w:rPr>
                      <w:rFonts w:ascii="Cambria Math" w:hAnsi="Cambria Math"/>
                    </w:rPr>
                    <m:t xml:space="preserve">         </m:t>
                  </m:r>
                  <m:r>
                    <m:rPr>
                      <m:sty m:val="p"/>
                    </m:rPr>
                    <w:rPr>
                      <w:rFonts w:ascii="Cambria Math" w:hAnsi="Cambria Math"/>
                    </w:rPr>
                    <m:t>for</m:t>
                  </m:r>
                  <m:r>
                    <w:rPr>
                      <w:rFonts w:ascii="Cambria Math" w:hAnsi="Cambria Math"/>
                    </w:rPr>
                    <m:t xml:space="preserve"> Y&lt;m </m:t>
                  </m:r>
                </m:e>
              </m:mr>
            </m:m>
          </m:e>
        </m:d>
      </m:oMath>
      <w:r w:rsidR="006C09CE" w:rsidRPr="00E45EB4">
        <w:tab/>
        <w:t>(H.8)</w:t>
      </w:r>
    </w:p>
    <w:p w14:paraId="24E03299" w14:textId="6EC333BD" w:rsidR="006C09CE" w:rsidRDefault="006C09CE" w:rsidP="00724E4E">
      <w:pPr>
        <w:pStyle w:val="Clause"/>
      </w:pPr>
      <w:r w:rsidRPr="00D1484A">
        <w:t xml:space="preserve">The required base plate thickness, </w:t>
      </w:r>
      <m:oMath>
        <m:sSub>
          <m:sSubPr>
            <m:ctrlPr>
              <w:rPr>
                <w:rFonts w:ascii="Cambria Math" w:hAnsi="Cambria Math"/>
                <w:i/>
              </w:rPr>
            </m:ctrlPr>
          </m:sSubPr>
          <m:e>
            <m:r>
              <w:rPr>
                <w:rFonts w:ascii="Cambria Math" w:hAnsi="Cambria Math"/>
              </w:rPr>
              <m:t>t</m:t>
            </m:r>
          </m:e>
          <m:sub>
            <m:r>
              <m:rPr>
                <m:sty m:val="p"/>
              </m:rPr>
              <w:rPr>
                <w:rFonts w:ascii="Cambria Math" w:hAnsi="Cambria Math"/>
              </w:rPr>
              <m:t>p(req)</m:t>
            </m:r>
          </m:sub>
        </m:sSub>
      </m:oMath>
      <w:r w:rsidRPr="00132C1E">
        <w:rPr>
          <w:i/>
          <w:iCs/>
        </w:rPr>
        <w:t xml:space="preserve">, </w:t>
      </w:r>
      <w:r w:rsidRPr="00D1484A">
        <w:t xml:space="preserve">should be calculated as given </w:t>
      </w:r>
      <w:r w:rsidRPr="006C09CE">
        <w:t>by Formula (H.9)</w:t>
      </w:r>
      <w:r w:rsidRPr="00FD17CF">
        <w:t>.</w:t>
      </w:r>
    </w:p>
    <w:p w14:paraId="114978D8" w14:textId="4449FAE2" w:rsidR="006C09CE" w:rsidRPr="006C09CE" w:rsidRDefault="009B5CEC" w:rsidP="006C09CE">
      <w:pPr>
        <w:pStyle w:val="Formula"/>
        <w:spacing w:before="240"/>
      </w:pPr>
      <m:oMath>
        <m:sSub>
          <m:sSubPr>
            <m:ctrlPr>
              <w:rPr>
                <w:rFonts w:ascii="Cambria Math" w:hAnsi="Cambria Math"/>
              </w:rPr>
            </m:ctrlPr>
          </m:sSubPr>
          <m:e>
            <m:r>
              <w:rPr>
                <w:rFonts w:ascii="Cambria Math" w:hAnsi="Cambria Math"/>
              </w:rPr>
              <m:t>t</m:t>
            </m:r>
          </m:e>
          <m:sub>
            <m:r>
              <m:rPr>
                <m:sty m:val="p"/>
              </m:rPr>
              <w:rPr>
                <w:rFonts w:ascii="Cambria Math" w:hAnsi="Cambria Math"/>
              </w:rPr>
              <m:t>p(req)</m:t>
            </m:r>
          </m:sub>
        </m:sSub>
        <m:r>
          <w:rPr>
            <w:rFonts w:ascii="Cambria Math" w:hAnsi="Cambria Math"/>
          </w:rPr>
          <m:t>=</m:t>
        </m:r>
        <m:d>
          <m:dPr>
            <m:begChr m:val="{"/>
            <m:endChr m:val=""/>
            <m:ctrlPr>
              <w:rPr>
                <w:rFonts w:ascii="Cambria Math" w:hAnsi="Cambria Math"/>
              </w:rPr>
            </m:ctrlPr>
          </m:dPr>
          <m:e>
            <m:m>
              <m:mPr>
                <m:mcs>
                  <m:mc>
                    <m:mcPr>
                      <m:count m:val="1"/>
                      <m:mcJc m:val="center"/>
                    </m:mcPr>
                  </m:mc>
                </m:mcs>
                <m:ctrlPr>
                  <w:rPr>
                    <w:rFonts w:ascii="Cambria Math" w:hAnsi="Cambria Math"/>
                  </w:rPr>
                </m:ctrlPr>
              </m:mPr>
              <m:mr>
                <m:e>
                  <m:r>
                    <w:rPr>
                      <w:rFonts w:ascii="Cambria Math" w:hAnsi="Cambria Math"/>
                    </w:rPr>
                    <m:t>1,83m</m:t>
                  </m:r>
                  <m:rad>
                    <m:radPr>
                      <m:degHide m:val="1"/>
                      <m:ctrlPr>
                        <w:rPr>
                          <w:rFonts w:ascii="Cambria Math" w:hAnsi="Cambria Math"/>
                        </w:rPr>
                      </m:ctrlPr>
                    </m:radPr>
                    <m:deg/>
                    <m:e>
                      <m:f>
                        <m:fPr>
                          <m:ctrlPr>
                            <w:rPr>
                              <w:rFonts w:ascii="Cambria Math" w:hAnsi="Cambria Math"/>
                            </w:rPr>
                          </m:ctrlPr>
                        </m:fPr>
                        <m:num>
                          <m:sSub>
                            <m:sSubPr>
                              <m:ctrlPr>
                                <w:rPr>
                                  <w:rFonts w:ascii="Cambria Math" w:hAnsi="Cambria Math"/>
                                </w:rPr>
                              </m:ctrlPr>
                            </m:sSubPr>
                            <m:e>
                              <m:r>
                                <w:rPr>
                                  <w:rFonts w:ascii="Cambria Math" w:hAnsi="Cambria Math"/>
                                </w:rPr>
                                <m:t>f</m:t>
                              </m:r>
                            </m:e>
                            <m:sub>
                              <m:r>
                                <m:rPr>
                                  <m:sty m:val="p"/>
                                </m:rPr>
                                <w:rPr>
                                  <w:rFonts w:ascii="Cambria Math" w:hAnsi="Cambria Math"/>
                                </w:rPr>
                                <m:t>p</m:t>
                              </m:r>
                            </m:sub>
                          </m:sSub>
                        </m:num>
                        <m:den>
                          <m:sSub>
                            <m:sSubPr>
                              <m:ctrlPr>
                                <w:rPr>
                                  <w:rFonts w:ascii="Cambria Math" w:hAnsi="Cambria Math"/>
                                </w:rPr>
                              </m:ctrlPr>
                            </m:sSubPr>
                            <m:e>
                              <m:r>
                                <w:rPr>
                                  <w:rFonts w:ascii="Cambria Math" w:hAnsi="Cambria Math"/>
                                </w:rPr>
                                <m:t>f</m:t>
                              </m:r>
                            </m:e>
                            <m:sub>
                              <m:r>
                                <m:rPr>
                                  <m:sty m:val="p"/>
                                </m:rPr>
                                <w:rPr>
                                  <w:rFonts w:ascii="Cambria Math" w:hAnsi="Cambria Math"/>
                                </w:rPr>
                                <m:t>p,y</m:t>
                              </m:r>
                            </m:sub>
                          </m:sSub>
                        </m:den>
                      </m:f>
                    </m:e>
                  </m:rad>
                  <m:r>
                    <w:rPr>
                      <w:rFonts w:ascii="Cambria Math" w:hAnsi="Cambria Math"/>
                    </w:rPr>
                    <m:t xml:space="preserve">                       </m:t>
                  </m:r>
                  <m:r>
                    <m:rPr>
                      <m:sty m:val="p"/>
                    </m:rPr>
                    <w:rPr>
                      <w:rFonts w:ascii="Cambria Math" w:hAnsi="Cambria Math"/>
                    </w:rPr>
                    <m:t>for</m:t>
                  </m:r>
                  <m:r>
                    <w:rPr>
                      <w:rFonts w:ascii="Cambria Math" w:hAnsi="Cambria Math"/>
                    </w:rPr>
                    <m:t xml:space="preserve"> Y≥m</m:t>
                  </m:r>
                </m:e>
              </m:mr>
              <m:mr>
                <m:e>
                  <m:r>
                    <w:rPr>
                      <w:rFonts w:ascii="Cambria Math" w:hAnsi="Cambria Math"/>
                    </w:rPr>
                    <m:t>2,58</m:t>
                  </m:r>
                  <m:rad>
                    <m:radPr>
                      <m:degHide m:val="1"/>
                      <m:ctrlPr>
                        <w:rPr>
                          <w:rFonts w:ascii="Cambria Math" w:hAnsi="Cambria Math"/>
                        </w:rPr>
                      </m:ctrlPr>
                    </m:radPr>
                    <m:deg/>
                    <m:e>
                      <m:f>
                        <m:fPr>
                          <m:ctrlPr>
                            <w:rPr>
                              <w:rFonts w:ascii="Cambria Math" w:hAnsi="Cambria Math"/>
                            </w:rPr>
                          </m:ctrlPr>
                        </m:fPr>
                        <m:num>
                          <m:sSub>
                            <m:sSubPr>
                              <m:ctrlPr>
                                <w:rPr>
                                  <w:rFonts w:ascii="Cambria Math" w:hAnsi="Cambria Math"/>
                                </w:rPr>
                              </m:ctrlPr>
                            </m:sSubPr>
                            <m:e>
                              <m:r>
                                <w:rPr>
                                  <w:rFonts w:ascii="Cambria Math" w:hAnsi="Cambria Math"/>
                                </w:rPr>
                                <m:t>f</m:t>
                              </m:r>
                            </m:e>
                            <m:sub>
                              <m:r>
                                <m:rPr>
                                  <m:sty m:val="p"/>
                                </m:rPr>
                                <w:rPr>
                                  <w:rFonts w:ascii="Cambria Math" w:hAnsi="Cambria Math"/>
                                </w:rPr>
                                <m:t>p</m:t>
                              </m:r>
                            </m:sub>
                          </m:sSub>
                          <m:r>
                            <w:rPr>
                              <w:rFonts w:ascii="Cambria Math" w:hAnsi="Cambria Math"/>
                            </w:rPr>
                            <m:t>Y</m:t>
                          </m:r>
                          <m:d>
                            <m:dPr>
                              <m:ctrlPr>
                                <w:rPr>
                                  <w:rFonts w:ascii="Cambria Math" w:hAnsi="Cambria Math"/>
                                </w:rPr>
                              </m:ctrlPr>
                            </m:dPr>
                            <m:e>
                              <m:r>
                                <w:rPr>
                                  <w:rFonts w:ascii="Cambria Math" w:hAnsi="Cambria Math"/>
                                </w:rPr>
                                <m:t>m-</m:t>
                              </m:r>
                              <m:f>
                                <m:fPr>
                                  <m:ctrlPr>
                                    <w:rPr>
                                      <w:rFonts w:ascii="Cambria Math" w:hAnsi="Cambria Math"/>
                                    </w:rPr>
                                  </m:ctrlPr>
                                </m:fPr>
                                <m:num>
                                  <m:r>
                                    <w:rPr>
                                      <w:rFonts w:ascii="Cambria Math" w:hAnsi="Cambria Math"/>
                                    </w:rPr>
                                    <m:t>Y</m:t>
                                  </m:r>
                                </m:num>
                                <m:den>
                                  <m:r>
                                    <w:rPr>
                                      <w:rFonts w:ascii="Cambria Math" w:hAnsi="Cambria Math"/>
                                    </w:rPr>
                                    <m:t>2</m:t>
                                  </m:r>
                                </m:den>
                              </m:f>
                            </m:e>
                          </m:d>
                        </m:num>
                        <m:den>
                          <m:sSub>
                            <m:sSubPr>
                              <m:ctrlPr>
                                <w:rPr>
                                  <w:rFonts w:ascii="Cambria Math" w:hAnsi="Cambria Math"/>
                                </w:rPr>
                              </m:ctrlPr>
                            </m:sSubPr>
                            <m:e>
                              <m:r>
                                <w:rPr>
                                  <w:rFonts w:ascii="Cambria Math" w:hAnsi="Cambria Math"/>
                                </w:rPr>
                                <m:t>f</m:t>
                              </m:r>
                            </m:e>
                            <m:sub>
                              <m:r>
                                <m:rPr>
                                  <m:sty m:val="p"/>
                                </m:rPr>
                                <w:rPr>
                                  <w:rFonts w:ascii="Cambria Math" w:hAnsi="Cambria Math"/>
                                </w:rPr>
                                <m:t>p,y</m:t>
                              </m:r>
                            </m:sub>
                          </m:sSub>
                        </m:den>
                      </m:f>
                    </m:e>
                  </m:rad>
                  <m:r>
                    <w:rPr>
                      <w:rFonts w:ascii="Cambria Math" w:hAnsi="Cambria Math"/>
                    </w:rPr>
                    <m:t xml:space="preserve">                 </m:t>
                  </m:r>
                  <m:r>
                    <m:rPr>
                      <m:sty m:val="p"/>
                    </m:rPr>
                    <w:rPr>
                      <w:rFonts w:ascii="Cambria Math" w:hAnsi="Cambria Math"/>
                    </w:rPr>
                    <m:t>for</m:t>
                  </m:r>
                  <m:r>
                    <w:rPr>
                      <w:rFonts w:ascii="Cambria Math" w:hAnsi="Cambria Math"/>
                    </w:rPr>
                    <m:t xml:space="preserve"> Y&lt;m </m:t>
                  </m:r>
                </m:e>
              </m:mr>
            </m:m>
          </m:e>
        </m:d>
      </m:oMath>
      <w:r w:rsidR="006C09CE" w:rsidRPr="006C09CE">
        <w:tab/>
        <w:t>(H.</w:t>
      </w:r>
      <w:r w:rsidR="006C09CE">
        <w:t>9</w:t>
      </w:r>
      <w:r w:rsidR="006C09CE" w:rsidRPr="006C09CE">
        <w:t>)</w:t>
      </w:r>
    </w:p>
    <w:p w14:paraId="2ACD066D" w14:textId="5BBF5598" w:rsidR="006C09CE" w:rsidRDefault="00675EBA" w:rsidP="00773115">
      <w:pPr>
        <w:pStyle w:val="Text"/>
      </w:pPr>
      <w:r>
        <w:t>where</w:t>
      </w:r>
    </w:p>
    <w:tbl>
      <w:tblPr>
        <w:tblW w:w="0" w:type="auto"/>
        <w:tblInd w:w="346" w:type="dxa"/>
        <w:tblLook w:val="04A0" w:firstRow="1" w:lastRow="0" w:firstColumn="1" w:lastColumn="0" w:noHBand="0" w:noVBand="1"/>
      </w:tblPr>
      <w:tblGrid>
        <w:gridCol w:w="1275"/>
        <w:gridCol w:w="7938"/>
      </w:tblGrid>
      <w:tr w:rsidR="006C09CE" w:rsidRPr="00FF1786" w14:paraId="333DD2DB" w14:textId="77777777" w:rsidTr="006107DB">
        <w:tc>
          <w:tcPr>
            <w:tcW w:w="1275" w:type="dxa"/>
          </w:tcPr>
          <w:p w14:paraId="167C55DF" w14:textId="70615E47" w:rsidR="006C09CE" w:rsidRPr="00460668" w:rsidRDefault="009B5CEC" w:rsidP="002061E5">
            <w:pPr>
              <w:spacing w:after="60"/>
              <w:rPr>
                <w:rFonts w:eastAsia="Times New Roman" w:cs="Cambria"/>
                <w:szCs w:val="20"/>
                <w:lang w:eastAsia="fr-FR"/>
              </w:rPr>
            </w:pPr>
            <m:oMathPara>
              <m:oMathParaPr>
                <m:jc m:val="left"/>
              </m:oMathParaPr>
              <m:oMath>
                <m:sSub>
                  <m:sSubPr>
                    <m:ctrlPr>
                      <w:rPr>
                        <w:rFonts w:ascii="Cambria Math" w:hAnsi="Cambria Math"/>
                        <w:i/>
                      </w:rPr>
                    </m:ctrlPr>
                  </m:sSubPr>
                  <m:e>
                    <m:r>
                      <w:rPr>
                        <w:rFonts w:ascii="Cambria Math" w:hAnsi="Cambria Math"/>
                      </w:rPr>
                      <m:t>f</m:t>
                    </m:r>
                  </m:e>
                  <m:sub>
                    <m:r>
                      <m:rPr>
                        <m:sty m:val="p"/>
                      </m:rPr>
                      <w:rPr>
                        <w:rFonts w:ascii="Cambria Math" w:hAnsi="Cambria Math"/>
                        <w:vertAlign w:val="subscript"/>
                      </w:rPr>
                      <m:t>p,y</m:t>
                    </m:r>
                  </m:sub>
                </m:sSub>
              </m:oMath>
            </m:oMathPara>
          </w:p>
        </w:tc>
        <w:tc>
          <w:tcPr>
            <w:tcW w:w="7938" w:type="dxa"/>
          </w:tcPr>
          <w:p w14:paraId="3AF7106C" w14:textId="772B99C1" w:rsidR="006C09CE" w:rsidRPr="006C09CE" w:rsidRDefault="006C09CE" w:rsidP="002061E5">
            <w:pPr>
              <w:pStyle w:val="Listofsymbols"/>
              <w:tabs>
                <w:tab w:val="clear" w:pos="1134"/>
                <w:tab w:val="left" w:pos="2481"/>
              </w:tabs>
              <w:ind w:left="0" w:firstLine="0"/>
              <w:rPr>
                <w:szCs w:val="22"/>
              </w:rPr>
            </w:pPr>
            <w:r w:rsidRPr="006C09CE">
              <w:t>is the nominal value of the yield strength of structural steel of the base plate;</w:t>
            </w:r>
          </w:p>
        </w:tc>
      </w:tr>
      <w:tr w:rsidR="006C09CE" w:rsidRPr="00FF1786" w14:paraId="64E45024" w14:textId="77777777" w:rsidTr="006107DB">
        <w:tc>
          <w:tcPr>
            <w:tcW w:w="1275" w:type="dxa"/>
          </w:tcPr>
          <w:p w14:paraId="65CEEA4E" w14:textId="2B288BE7" w:rsidR="006C09CE" w:rsidRPr="006C09CE" w:rsidRDefault="006C09CE" w:rsidP="002061E5">
            <w:pPr>
              <w:spacing w:after="60"/>
              <w:rPr>
                <w:rFonts w:eastAsia="Times New Roman" w:cs="Cambria"/>
                <w:szCs w:val="20"/>
                <w:lang w:eastAsia="fr-FR"/>
              </w:rPr>
            </w:pPr>
            <m:oMathPara>
              <m:oMathParaPr>
                <m:jc m:val="left"/>
              </m:oMathParaPr>
              <m:oMath>
                <m:r>
                  <w:rPr>
                    <w:rFonts w:ascii="Cambria Math" w:hAnsi="Cambria Math"/>
                  </w:rPr>
                  <m:t>m</m:t>
                </m:r>
              </m:oMath>
            </m:oMathPara>
          </w:p>
        </w:tc>
        <w:tc>
          <w:tcPr>
            <w:tcW w:w="7938" w:type="dxa"/>
          </w:tcPr>
          <w:p w14:paraId="4DFFAEDE" w14:textId="51E59E3E" w:rsidR="006C09CE" w:rsidRPr="006C09CE" w:rsidRDefault="006C09CE" w:rsidP="002061E5">
            <w:pPr>
              <w:pStyle w:val="Listofsymbols"/>
              <w:tabs>
                <w:tab w:val="clear" w:pos="1134"/>
                <w:tab w:val="left" w:pos="2481"/>
              </w:tabs>
              <w:ind w:left="0" w:firstLine="0"/>
              <w:rPr>
                <w:szCs w:val="22"/>
              </w:rPr>
            </w:pPr>
            <w:r w:rsidRPr="006C09CE">
              <w:t>is the distance shown in Figure H.1a; it should be calculated using Formula (H.10).</w:t>
            </w:r>
          </w:p>
        </w:tc>
      </w:tr>
    </w:tbl>
    <w:p w14:paraId="331DE94F" w14:textId="683140FE" w:rsidR="006C09CE" w:rsidRPr="006C09CE" w:rsidRDefault="006C09CE" w:rsidP="006C09CE">
      <w:pPr>
        <w:pStyle w:val="Formula"/>
        <w:spacing w:before="240"/>
      </w:pPr>
      <m:oMath>
        <m:r>
          <w:rPr>
            <w:rFonts w:ascii="Cambria Math" w:hAnsi="Cambria Math"/>
          </w:rPr>
          <m:t>m=(</m:t>
        </m:r>
        <m:sSub>
          <m:sSubPr>
            <m:ctrlPr>
              <w:rPr>
                <w:rFonts w:ascii="Cambria Math" w:hAnsi="Cambria Math"/>
              </w:rPr>
            </m:ctrlPr>
          </m:sSubPr>
          <m:e>
            <m:r>
              <w:rPr>
                <w:rFonts w:ascii="Cambria Math" w:hAnsi="Cambria Math"/>
              </w:rPr>
              <m:t>L</m:t>
            </m:r>
          </m:e>
          <m:sub>
            <m:r>
              <m:rPr>
                <m:sty m:val="p"/>
              </m:rPr>
              <w:rPr>
                <w:rFonts w:ascii="Cambria Math" w:hAnsi="Cambria Math"/>
              </w:rPr>
              <m:t>BP</m:t>
            </m:r>
          </m:sub>
        </m:sSub>
        <m:r>
          <w:rPr>
            <w:rFonts w:ascii="Cambria Math" w:hAnsi="Cambria Math"/>
          </w:rPr>
          <m:t>-0,95</m:t>
        </m:r>
        <m:sSub>
          <m:sSubPr>
            <m:ctrlPr>
              <w:rPr>
                <w:rFonts w:ascii="Cambria Math" w:hAnsi="Cambria Math"/>
              </w:rPr>
            </m:ctrlPr>
          </m:sSubPr>
          <m:e>
            <m:r>
              <w:rPr>
                <w:rFonts w:ascii="Cambria Math" w:hAnsi="Cambria Math"/>
              </w:rPr>
              <m:t>d</m:t>
            </m:r>
          </m:e>
          <m:sub>
            <m:r>
              <m:rPr>
                <m:sty m:val="p"/>
              </m:rPr>
              <w:rPr>
                <w:rFonts w:ascii="Cambria Math" w:hAnsi="Cambria Math"/>
              </w:rPr>
              <m:t>c</m:t>
            </m:r>
          </m:sub>
        </m:sSub>
        <m:r>
          <w:rPr>
            <w:rFonts w:ascii="Cambria Math" w:hAnsi="Cambria Math"/>
          </w:rPr>
          <m:t>)/2</m:t>
        </m:r>
      </m:oMath>
      <w:r w:rsidRPr="006C09CE">
        <w:tab/>
        <w:t>(H.</w:t>
      </w:r>
      <w:r>
        <w:t>10</w:t>
      </w:r>
      <w:r w:rsidRPr="006C09CE">
        <w:t>)</w:t>
      </w:r>
    </w:p>
    <w:p w14:paraId="7A9F4767" w14:textId="77777777" w:rsidR="006C09CE" w:rsidRPr="00FD17CF" w:rsidRDefault="006C09CE" w:rsidP="006C09CE">
      <w:pPr>
        <w:pStyle w:val="a3"/>
      </w:pPr>
      <w:bookmarkStart w:id="11574" w:name="_Toc50150793"/>
      <w:bookmarkStart w:id="11575" w:name="_Toc70887226"/>
      <w:bookmarkStart w:id="11576" w:name="_Toc108342838"/>
      <w:bookmarkStart w:id="11577" w:name="_Toc120543923"/>
      <w:bookmarkStart w:id="11578" w:name="_Toc134198344"/>
      <w:r w:rsidRPr="00132C1E">
        <w:t xml:space="preserve">Base </w:t>
      </w:r>
      <w:r w:rsidRPr="00D1484A">
        <w:t xml:space="preserve">plate with a </w:t>
      </w:r>
      <w:r w:rsidRPr="007E6F67">
        <w:t>l</w:t>
      </w:r>
      <w:r w:rsidRPr="00FD17CF">
        <w:t>arge moment</w:t>
      </w:r>
      <w:bookmarkEnd w:id="11574"/>
      <w:bookmarkEnd w:id="11575"/>
      <w:bookmarkEnd w:id="11576"/>
      <w:bookmarkEnd w:id="11577"/>
      <w:bookmarkEnd w:id="11578"/>
    </w:p>
    <w:p w14:paraId="4B832890" w14:textId="73A5600E" w:rsidR="006C09CE" w:rsidRDefault="006C09CE" w:rsidP="0080187E">
      <w:pPr>
        <w:pStyle w:val="Clause"/>
        <w:numPr>
          <w:ilvl w:val="0"/>
          <w:numId w:val="621"/>
        </w:numPr>
      </w:pPr>
      <w:r w:rsidRPr="00E05E29">
        <w:t>W</w:t>
      </w:r>
      <w:r w:rsidRPr="00196951">
        <w:t>hen</w:t>
      </w:r>
      <w:r w:rsidRPr="002144A0">
        <w:t xml:space="preserve"> </w:t>
      </w:r>
      <w:r w:rsidRPr="00CB3836">
        <w:rPr>
          <w:i/>
          <w:iCs/>
        </w:rPr>
        <w:t>e</w:t>
      </w:r>
      <w:r w:rsidRPr="00CB3836">
        <w:rPr>
          <w:vertAlign w:val="subscript"/>
        </w:rPr>
        <w:t>bp</w:t>
      </w:r>
      <w:r w:rsidRPr="002144A0">
        <w:t xml:space="preserve"> is greater than </w:t>
      </w:r>
      <w:r w:rsidRPr="00CB3836">
        <w:rPr>
          <w:i/>
          <w:iCs/>
        </w:rPr>
        <w:t>e</w:t>
      </w:r>
      <w:r w:rsidRPr="00CB3836">
        <w:rPr>
          <w:vertAlign w:val="subscript"/>
        </w:rPr>
        <w:t>crit</w:t>
      </w:r>
      <w:r w:rsidRPr="00C52095">
        <w:t xml:space="preserve">, the </w:t>
      </w:r>
      <w:r w:rsidRPr="006C09CE">
        <w:t>condition in Formula (H.11) s</w:t>
      </w:r>
      <w:r w:rsidRPr="00132C1E">
        <w:t>hould be satisfied.</w:t>
      </w:r>
    </w:p>
    <w:p w14:paraId="11AD280C" w14:textId="41071DD2" w:rsidR="006C09CE" w:rsidRPr="006C09CE" w:rsidRDefault="009B5CEC" w:rsidP="006C09CE">
      <w:pPr>
        <w:pStyle w:val="Formula"/>
        <w:spacing w:before="240"/>
      </w:pPr>
      <m:oMath>
        <m:sSup>
          <m:sSupPr>
            <m:ctrlPr>
              <w:rPr>
                <w:rFonts w:ascii="Cambria Math" w:hAnsi="Cambria Math"/>
              </w:rPr>
            </m:ctrlPr>
          </m:sSupPr>
          <m:e>
            <m:d>
              <m:dPr>
                <m:ctrlPr>
                  <w:rPr>
                    <w:rFonts w:ascii="Cambria Math" w:hAnsi="Cambria Math"/>
                  </w:rPr>
                </m:ctrlPr>
              </m:dPr>
              <m:e>
                <m:r>
                  <w:rPr>
                    <w:rFonts w:ascii="Cambria Math" w:hAnsi="Cambria Math"/>
                  </w:rPr>
                  <m:t>l+</m:t>
                </m:r>
                <m:f>
                  <m:fPr>
                    <m:ctrlPr>
                      <w:rPr>
                        <w:rFonts w:ascii="Cambria Math" w:hAnsi="Cambria Math"/>
                      </w:rPr>
                    </m:ctrlPr>
                  </m:fPr>
                  <m:num>
                    <m:sSub>
                      <m:sSubPr>
                        <m:ctrlPr>
                          <w:rPr>
                            <w:rFonts w:ascii="Cambria Math" w:hAnsi="Cambria Math"/>
                          </w:rPr>
                        </m:ctrlPr>
                      </m:sSubPr>
                      <m:e>
                        <m:r>
                          <w:rPr>
                            <w:rFonts w:ascii="Cambria Math" w:hAnsi="Cambria Math"/>
                          </w:rPr>
                          <m:t>L</m:t>
                        </m:r>
                      </m:e>
                      <m:sub>
                        <m:r>
                          <m:rPr>
                            <m:sty m:val="p"/>
                          </m:rPr>
                          <w:rPr>
                            <w:rFonts w:ascii="Cambria Math" w:hAnsi="Cambria Math"/>
                          </w:rPr>
                          <m:t>BP</m:t>
                        </m:r>
                      </m:sub>
                    </m:sSub>
                  </m:num>
                  <m:den>
                    <m:r>
                      <w:rPr>
                        <w:rFonts w:ascii="Cambria Math" w:hAnsi="Cambria Math"/>
                      </w:rPr>
                      <m:t>2</m:t>
                    </m:r>
                  </m:den>
                </m:f>
              </m:e>
            </m:d>
          </m:e>
          <m:sup>
            <m:r>
              <w:rPr>
                <w:rFonts w:ascii="Cambria Math" w:hAnsi="Cambria Math"/>
              </w:rPr>
              <m:t>2</m:t>
            </m:r>
          </m:sup>
        </m:sSup>
        <m:r>
          <w:rPr>
            <w:rFonts w:ascii="Cambria Math" w:hAnsi="Cambria Math"/>
          </w:rPr>
          <m:t>≥</m:t>
        </m:r>
        <m:f>
          <m:fPr>
            <m:ctrlPr>
              <w:rPr>
                <w:rFonts w:ascii="Cambria Math" w:hAnsi="Cambria Math"/>
              </w:rPr>
            </m:ctrlPr>
          </m:fPr>
          <m:num>
            <m:r>
              <w:rPr>
                <w:rFonts w:ascii="Cambria Math" w:hAnsi="Cambria Math"/>
              </w:rPr>
              <m:t>2</m:t>
            </m:r>
            <m:sSub>
              <m:sSubPr>
                <m:ctrlPr>
                  <w:rPr>
                    <w:rFonts w:ascii="Cambria Math" w:hAnsi="Cambria Math"/>
                  </w:rPr>
                </m:ctrlPr>
              </m:sSubPr>
              <m:e>
                <m:r>
                  <w:rPr>
                    <w:rFonts w:ascii="Cambria Math" w:hAnsi="Cambria Math"/>
                  </w:rPr>
                  <m:t>N</m:t>
                </m:r>
              </m:e>
              <m:sub>
                <m:r>
                  <m:rPr>
                    <m:sty m:val="p"/>
                  </m:rPr>
                  <w:rPr>
                    <w:rFonts w:ascii="Cambria Math" w:hAnsi="Cambria Math"/>
                  </w:rPr>
                  <m:t>Ed</m:t>
                </m:r>
              </m:sub>
            </m:sSub>
            <m:d>
              <m:dPr>
                <m:ctrlPr>
                  <w:rPr>
                    <w:rFonts w:ascii="Cambria Math" w:hAnsi="Cambria Math"/>
                  </w:rPr>
                </m:ctrlPr>
              </m:dPr>
              <m:e>
                <m:sSub>
                  <m:sSubPr>
                    <m:ctrlPr>
                      <w:rPr>
                        <w:rFonts w:ascii="Cambria Math" w:hAnsi="Cambria Math"/>
                      </w:rPr>
                    </m:ctrlPr>
                  </m:sSubPr>
                  <m:e>
                    <m:r>
                      <w:rPr>
                        <w:rFonts w:ascii="Cambria Math" w:hAnsi="Cambria Math"/>
                      </w:rPr>
                      <m:t>e</m:t>
                    </m:r>
                  </m:e>
                  <m:sub>
                    <m:r>
                      <m:rPr>
                        <m:sty m:val="p"/>
                      </m:rPr>
                      <w:rPr>
                        <w:rFonts w:ascii="Cambria Math" w:hAnsi="Cambria Math"/>
                      </w:rPr>
                      <m:t>bp</m:t>
                    </m:r>
                  </m:sub>
                </m:sSub>
                <m:r>
                  <w:rPr>
                    <w:rFonts w:ascii="Cambria Math" w:hAnsi="Cambria Math"/>
                  </w:rPr>
                  <m:t>+l</m:t>
                </m:r>
              </m:e>
            </m:d>
          </m:num>
          <m:den>
            <m:sSub>
              <m:sSubPr>
                <m:ctrlPr>
                  <w:rPr>
                    <w:rFonts w:ascii="Cambria Math" w:hAnsi="Cambria Math"/>
                  </w:rPr>
                </m:ctrlPr>
              </m:sSubPr>
              <m:e>
                <m:r>
                  <w:rPr>
                    <w:rFonts w:ascii="Cambria Math" w:hAnsi="Cambria Math"/>
                  </w:rPr>
                  <m:t>N</m:t>
                </m:r>
              </m:e>
              <m:sub>
                <m:r>
                  <m:rPr>
                    <m:sty m:val="p"/>
                  </m:rPr>
                  <w:rPr>
                    <w:rFonts w:ascii="Cambria Math" w:hAnsi="Cambria Math"/>
                  </w:rPr>
                  <m:t>Rd,b,max</m:t>
                </m:r>
              </m:sub>
            </m:sSub>
          </m:den>
        </m:f>
      </m:oMath>
      <w:r w:rsidR="006C09CE" w:rsidRPr="006C09CE">
        <w:tab/>
        <w:t>(H.</w:t>
      </w:r>
      <w:r w:rsidR="006C09CE">
        <w:t>11</w:t>
      </w:r>
      <w:r w:rsidR="006C09CE" w:rsidRPr="006C09CE">
        <w:t>)</w:t>
      </w:r>
    </w:p>
    <w:p w14:paraId="3AE5FEEB" w14:textId="146398C4" w:rsidR="006C09CE" w:rsidRDefault="006C09CE" w:rsidP="00773115">
      <w:pPr>
        <w:pStyle w:val="Text"/>
      </w:pPr>
      <w:r w:rsidRPr="00132C1E">
        <w:t>where</w:t>
      </w:r>
      <w:r w:rsidRPr="006C09CE">
        <w:rPr>
          <w:i/>
        </w:rPr>
        <w:t xml:space="preserve"> </w:t>
      </w:r>
      <w:r w:rsidRPr="007E6F67">
        <w:rPr>
          <w:i/>
        </w:rPr>
        <w:t>l</w:t>
      </w:r>
      <w:r w:rsidRPr="00FD17CF">
        <w:t xml:space="preserve"> is the distance of the anchor centreline to the base plate centreline (</w:t>
      </w:r>
      <w:r w:rsidRPr="006C09CE">
        <w:t>Figure H.1c</w:t>
      </w:r>
      <w:r w:rsidRPr="00E05E29">
        <w:t>)</w:t>
      </w:r>
      <w:r w:rsidRPr="00196951">
        <w:t>.</w:t>
      </w:r>
    </w:p>
    <w:p w14:paraId="7E839A03" w14:textId="780CCBBB" w:rsidR="006C09CE" w:rsidRPr="007754C9" w:rsidRDefault="006C09CE" w:rsidP="006C09CE">
      <w:pPr>
        <w:pStyle w:val="a3"/>
      </w:pPr>
      <w:bookmarkStart w:id="11579" w:name="_Toc50150794"/>
      <w:bookmarkStart w:id="11580" w:name="_Toc70887227"/>
      <w:bookmarkStart w:id="11581" w:name="_Toc108342839"/>
      <w:bookmarkStart w:id="11582" w:name="_Toc120543924"/>
      <w:bookmarkStart w:id="11583" w:name="_Toc134198345"/>
      <w:r w:rsidRPr="002144A0">
        <w:t>Base</w:t>
      </w:r>
      <w:bookmarkEnd w:id="11579"/>
      <w:bookmarkEnd w:id="11580"/>
      <w:bookmarkEnd w:id="11581"/>
      <w:bookmarkEnd w:id="11582"/>
      <w:bookmarkEnd w:id="11583"/>
    </w:p>
    <w:p w14:paraId="19B85A5B" w14:textId="1020743E" w:rsidR="006C09CE" w:rsidRPr="00F21066" w:rsidRDefault="006C09CE" w:rsidP="0080187E">
      <w:pPr>
        <w:pStyle w:val="Clause"/>
        <w:numPr>
          <w:ilvl w:val="0"/>
          <w:numId w:val="622"/>
        </w:numPr>
      </w:pPr>
      <w:r w:rsidRPr="00835C82">
        <w:t>H.4.4(1)</w:t>
      </w:r>
      <w:r w:rsidRPr="00F21066">
        <w:t xml:space="preserve"> should be satisfied.</w:t>
      </w:r>
    </w:p>
    <w:p w14:paraId="506F12E0" w14:textId="48182393" w:rsidR="006C09CE" w:rsidRDefault="006C09CE" w:rsidP="00724E4E">
      <w:pPr>
        <w:pStyle w:val="Clause"/>
      </w:pPr>
      <w:r w:rsidRPr="00132C1E">
        <w:t xml:space="preserve">The base plate bearing length </w:t>
      </w:r>
      <w:r w:rsidRPr="00132C1E">
        <w:rPr>
          <w:i/>
          <w:iCs/>
        </w:rPr>
        <w:t>Y</w:t>
      </w:r>
      <w:r w:rsidRPr="00132C1E">
        <w:t xml:space="preserve"> should be calculated as </w:t>
      </w:r>
      <w:r w:rsidRPr="00D1484A">
        <w:t xml:space="preserve">given </w:t>
      </w:r>
      <w:r w:rsidRPr="00BE0604">
        <w:t>by Formula (H.12).</w:t>
      </w:r>
    </w:p>
    <w:p w14:paraId="65E2E8BE" w14:textId="1D92670C" w:rsidR="00BE0604" w:rsidRPr="006C09CE" w:rsidRDefault="00BE0604" w:rsidP="00BE0604">
      <w:pPr>
        <w:pStyle w:val="Formula"/>
        <w:spacing w:before="240"/>
      </w:pPr>
      <m:oMath>
        <m:r>
          <w:rPr>
            <w:rFonts w:ascii="Cambria Math" w:hAnsi="Cambria Math"/>
          </w:rPr>
          <m:t>Y=</m:t>
        </m:r>
        <m:d>
          <m:dPr>
            <m:ctrlPr>
              <w:rPr>
                <w:rFonts w:ascii="Cambria Math" w:hAnsi="Cambria Math"/>
              </w:rPr>
            </m:ctrlPr>
          </m:dPr>
          <m:e>
            <m:r>
              <w:rPr>
                <w:rFonts w:ascii="Cambria Math" w:hAnsi="Cambria Math"/>
              </w:rPr>
              <m:t>l+</m:t>
            </m:r>
            <m:f>
              <m:fPr>
                <m:ctrlPr>
                  <w:rPr>
                    <w:rFonts w:ascii="Cambria Math" w:hAnsi="Cambria Math"/>
                  </w:rPr>
                </m:ctrlPr>
              </m:fPr>
              <m:num>
                <m:sSub>
                  <m:sSubPr>
                    <m:ctrlPr>
                      <w:rPr>
                        <w:rFonts w:ascii="Cambria Math" w:hAnsi="Cambria Math"/>
                      </w:rPr>
                    </m:ctrlPr>
                  </m:sSubPr>
                  <m:e>
                    <m:r>
                      <w:rPr>
                        <w:rFonts w:ascii="Cambria Math" w:hAnsi="Cambria Math"/>
                      </w:rPr>
                      <m:t>L</m:t>
                    </m:r>
                  </m:e>
                  <m:sub>
                    <m:r>
                      <m:rPr>
                        <m:sty m:val="p"/>
                      </m:rPr>
                      <w:rPr>
                        <w:rFonts w:ascii="Cambria Math" w:hAnsi="Cambria Math"/>
                      </w:rPr>
                      <m:t>BP</m:t>
                    </m:r>
                  </m:sub>
                </m:sSub>
              </m:num>
              <m:den>
                <m:r>
                  <w:rPr>
                    <w:rFonts w:ascii="Cambria Math" w:hAnsi="Cambria Math"/>
                  </w:rPr>
                  <m:t>2</m:t>
                </m:r>
              </m:den>
            </m:f>
          </m:e>
        </m:d>
        <m:r>
          <w:rPr>
            <w:rFonts w:ascii="Cambria Math" w:hAnsi="Cambria Math"/>
          </w:rPr>
          <m:t>-</m:t>
        </m:r>
        <m:rad>
          <m:radPr>
            <m:degHide m:val="1"/>
            <m:ctrlPr>
              <w:rPr>
                <w:rFonts w:ascii="Cambria Math" w:hAnsi="Cambria Math"/>
              </w:rPr>
            </m:ctrlPr>
          </m:radPr>
          <m:deg/>
          <m:e>
            <m:sSup>
              <m:sSupPr>
                <m:ctrlPr>
                  <w:rPr>
                    <w:rFonts w:ascii="Cambria Math" w:hAnsi="Cambria Math"/>
                  </w:rPr>
                </m:ctrlPr>
              </m:sSupPr>
              <m:e>
                <m:d>
                  <m:dPr>
                    <m:ctrlPr>
                      <w:rPr>
                        <w:rFonts w:ascii="Cambria Math" w:hAnsi="Cambria Math"/>
                      </w:rPr>
                    </m:ctrlPr>
                  </m:dPr>
                  <m:e>
                    <m:r>
                      <w:rPr>
                        <w:rFonts w:ascii="Cambria Math" w:hAnsi="Cambria Math"/>
                      </w:rPr>
                      <m:t>l+</m:t>
                    </m:r>
                    <m:f>
                      <m:fPr>
                        <m:ctrlPr>
                          <w:rPr>
                            <w:rFonts w:ascii="Cambria Math" w:hAnsi="Cambria Math"/>
                          </w:rPr>
                        </m:ctrlPr>
                      </m:fPr>
                      <m:num>
                        <m:sSub>
                          <m:sSubPr>
                            <m:ctrlPr>
                              <w:rPr>
                                <w:rFonts w:ascii="Cambria Math" w:hAnsi="Cambria Math"/>
                              </w:rPr>
                            </m:ctrlPr>
                          </m:sSubPr>
                          <m:e>
                            <m:r>
                              <w:rPr>
                                <w:rFonts w:ascii="Cambria Math" w:hAnsi="Cambria Math"/>
                              </w:rPr>
                              <m:t>L</m:t>
                            </m:r>
                          </m:e>
                          <m:sub>
                            <m:r>
                              <m:rPr>
                                <m:sty m:val="p"/>
                              </m:rPr>
                              <w:rPr>
                                <w:rFonts w:ascii="Cambria Math" w:hAnsi="Cambria Math"/>
                              </w:rPr>
                              <m:t>BP</m:t>
                            </m:r>
                          </m:sub>
                        </m:sSub>
                      </m:num>
                      <m:den>
                        <m:r>
                          <w:rPr>
                            <w:rFonts w:ascii="Cambria Math" w:hAnsi="Cambria Math"/>
                          </w:rPr>
                          <m:t>2</m:t>
                        </m:r>
                      </m:den>
                    </m:f>
                  </m:e>
                </m:d>
              </m:e>
              <m:sup>
                <m:r>
                  <w:rPr>
                    <w:rFonts w:ascii="Cambria Math" w:hAnsi="Cambria Math"/>
                  </w:rPr>
                  <m:t>2</m:t>
                </m:r>
              </m:sup>
            </m:sSup>
            <m:r>
              <w:rPr>
                <w:rFonts w:ascii="Cambria Math" w:hAnsi="Cambria Math"/>
              </w:rPr>
              <m:t>-</m:t>
            </m:r>
            <m:f>
              <m:fPr>
                <m:ctrlPr>
                  <w:rPr>
                    <w:rFonts w:ascii="Cambria Math" w:hAnsi="Cambria Math"/>
                  </w:rPr>
                </m:ctrlPr>
              </m:fPr>
              <m:num>
                <m:r>
                  <w:rPr>
                    <w:rFonts w:ascii="Cambria Math" w:hAnsi="Cambria Math"/>
                  </w:rPr>
                  <m:t>2</m:t>
                </m:r>
                <m:sSub>
                  <m:sSubPr>
                    <m:ctrlPr>
                      <w:rPr>
                        <w:rFonts w:ascii="Cambria Math" w:hAnsi="Cambria Math"/>
                      </w:rPr>
                    </m:ctrlPr>
                  </m:sSubPr>
                  <m:e>
                    <m:r>
                      <w:rPr>
                        <w:rFonts w:ascii="Cambria Math" w:hAnsi="Cambria Math"/>
                      </w:rPr>
                      <m:t>N</m:t>
                    </m:r>
                  </m:e>
                  <m:sub>
                    <m:r>
                      <m:rPr>
                        <m:sty m:val="p"/>
                      </m:rPr>
                      <w:rPr>
                        <w:rFonts w:ascii="Cambria Math" w:hAnsi="Cambria Math"/>
                      </w:rPr>
                      <m:t>Ed</m:t>
                    </m:r>
                  </m:sub>
                </m:sSub>
                <m:d>
                  <m:dPr>
                    <m:ctrlPr>
                      <w:rPr>
                        <w:rFonts w:ascii="Cambria Math" w:hAnsi="Cambria Math"/>
                      </w:rPr>
                    </m:ctrlPr>
                  </m:dPr>
                  <m:e>
                    <m:sSub>
                      <m:sSubPr>
                        <m:ctrlPr>
                          <w:rPr>
                            <w:rFonts w:ascii="Cambria Math" w:hAnsi="Cambria Math"/>
                          </w:rPr>
                        </m:ctrlPr>
                      </m:sSubPr>
                      <m:e>
                        <m:r>
                          <w:rPr>
                            <w:rFonts w:ascii="Cambria Math" w:hAnsi="Cambria Math"/>
                          </w:rPr>
                          <m:t>e</m:t>
                        </m:r>
                      </m:e>
                      <m:sub>
                        <m:r>
                          <m:rPr>
                            <m:sty m:val="p"/>
                          </m:rPr>
                          <w:rPr>
                            <w:rFonts w:ascii="Cambria Math" w:hAnsi="Cambria Math"/>
                          </w:rPr>
                          <m:t>bp</m:t>
                        </m:r>
                      </m:sub>
                    </m:sSub>
                    <m:r>
                      <w:rPr>
                        <w:rFonts w:ascii="Cambria Math" w:hAnsi="Cambria Math"/>
                      </w:rPr>
                      <m:t>+l</m:t>
                    </m:r>
                  </m:e>
                </m:d>
              </m:num>
              <m:den>
                <m:sSub>
                  <m:sSubPr>
                    <m:ctrlPr>
                      <w:rPr>
                        <w:rFonts w:ascii="Cambria Math" w:hAnsi="Cambria Math"/>
                      </w:rPr>
                    </m:ctrlPr>
                  </m:sSubPr>
                  <m:e>
                    <m:r>
                      <w:rPr>
                        <w:rFonts w:ascii="Cambria Math" w:hAnsi="Cambria Math"/>
                      </w:rPr>
                      <m:t>N</m:t>
                    </m:r>
                  </m:e>
                  <m:sub>
                    <m:r>
                      <m:rPr>
                        <m:sty m:val="p"/>
                      </m:rPr>
                      <w:rPr>
                        <w:rFonts w:ascii="Cambria Math" w:hAnsi="Cambria Math"/>
                      </w:rPr>
                      <m:t>Rd,b,max</m:t>
                    </m:r>
                  </m:sub>
                </m:sSub>
              </m:den>
            </m:f>
          </m:e>
        </m:rad>
      </m:oMath>
      <w:r w:rsidRPr="006C09CE">
        <w:tab/>
        <w:t>(H.</w:t>
      </w:r>
      <w:r>
        <w:t>12</w:t>
      </w:r>
      <w:r w:rsidRPr="006C09CE">
        <w:t>)</w:t>
      </w:r>
    </w:p>
    <w:p w14:paraId="4C9D4BEA" w14:textId="77777777" w:rsidR="00BE0604" w:rsidRPr="00FD17CF" w:rsidRDefault="00BE0604" w:rsidP="00BE0604">
      <w:pPr>
        <w:pStyle w:val="a3"/>
      </w:pPr>
      <w:bookmarkStart w:id="11584" w:name="_Toc50150795"/>
      <w:bookmarkStart w:id="11585" w:name="_Toc70887228"/>
      <w:bookmarkStart w:id="11586" w:name="_Toc108342840"/>
      <w:bookmarkStart w:id="11587" w:name="_Toc120543925"/>
      <w:bookmarkStart w:id="11588" w:name="_Toc134198346"/>
      <w:r w:rsidRPr="00132C1E">
        <w:t xml:space="preserve">Anchor </w:t>
      </w:r>
      <w:r w:rsidRPr="00D1484A">
        <w:t xml:space="preserve">tensile </w:t>
      </w:r>
      <w:r w:rsidRPr="007E6F67">
        <w:t>resistance</w:t>
      </w:r>
      <w:bookmarkEnd w:id="11584"/>
      <w:bookmarkEnd w:id="11585"/>
      <w:bookmarkEnd w:id="11586"/>
      <w:bookmarkEnd w:id="11587"/>
      <w:bookmarkEnd w:id="11588"/>
    </w:p>
    <w:p w14:paraId="49761B03" w14:textId="00926438" w:rsidR="00BE0604" w:rsidRDefault="00BE0604" w:rsidP="0080187E">
      <w:pPr>
        <w:pStyle w:val="Clause"/>
        <w:numPr>
          <w:ilvl w:val="0"/>
          <w:numId w:val="623"/>
        </w:numPr>
      </w:pPr>
      <w:r w:rsidRPr="00E05E29">
        <w:t>T</w:t>
      </w:r>
      <w:r w:rsidRPr="00196951">
        <w:t xml:space="preserve">o </w:t>
      </w:r>
      <w:r w:rsidRPr="002144A0">
        <w:t xml:space="preserve">account for the ratio of the effective tension area of the threaded portion of the anchor to the area of the shank of the anchor, the required anchor yield </w:t>
      </w:r>
      <w:r w:rsidRPr="004F25D7">
        <w:t>resistance</w:t>
      </w:r>
      <w:r w:rsidRPr="00C52095">
        <w:t xml:space="preserve">, </w:t>
      </w:r>
      <m:oMath>
        <m:sSub>
          <m:sSubPr>
            <m:ctrlPr>
              <w:rPr>
                <w:rFonts w:ascii="Cambria Math" w:hAnsi="Cambria Math"/>
                <w:i/>
              </w:rPr>
            </m:ctrlPr>
          </m:sSubPr>
          <m:e>
            <m:r>
              <w:rPr>
                <w:rFonts w:ascii="Cambria Math" w:hAnsi="Cambria Math"/>
              </w:rPr>
              <m:t>N</m:t>
            </m:r>
          </m:e>
          <m:sub>
            <m:r>
              <m:rPr>
                <m:sty m:val="p"/>
              </m:rPr>
              <w:rPr>
                <w:rFonts w:ascii="Cambria Math" w:hAnsi="Cambria Math"/>
              </w:rPr>
              <m:t>r,Rd</m:t>
            </m:r>
          </m:sub>
        </m:sSub>
      </m:oMath>
      <w:r w:rsidRPr="00132C1E">
        <w:t xml:space="preserve">, </w:t>
      </w:r>
      <w:r w:rsidRPr="00D1484A">
        <w:t>to be considered for the design of the anchor</w:t>
      </w:r>
      <w:r w:rsidRPr="007E6F67">
        <w:t xml:space="preserve"> </w:t>
      </w:r>
      <w:r w:rsidRPr="00FD17CF">
        <w:t xml:space="preserve">group on one side of the base plate should be calculated as given </w:t>
      </w:r>
      <w:r w:rsidRPr="00BE0604">
        <w:t>by Formula (H.13).</w:t>
      </w:r>
    </w:p>
    <w:p w14:paraId="310ECCD1" w14:textId="4680AA11" w:rsidR="00BE0604" w:rsidRPr="006C09CE" w:rsidRDefault="009B5CEC" w:rsidP="00BE0604">
      <w:pPr>
        <w:pStyle w:val="Formula"/>
        <w:spacing w:before="240"/>
      </w:pPr>
      <m:oMath>
        <m:sSub>
          <m:sSubPr>
            <m:ctrlPr>
              <w:rPr>
                <w:rFonts w:ascii="Cambria Math" w:hAnsi="Cambria Math"/>
              </w:rPr>
            </m:ctrlPr>
          </m:sSubPr>
          <m:e>
            <m:r>
              <w:rPr>
                <w:rFonts w:ascii="Cambria Math" w:hAnsi="Cambria Math"/>
              </w:rPr>
              <m:t>N</m:t>
            </m:r>
          </m:e>
          <m:sub>
            <m:r>
              <m:rPr>
                <m:sty m:val="p"/>
              </m:rPr>
              <w:rPr>
                <w:rFonts w:ascii="Cambria Math" w:hAnsi="Cambria Math"/>
              </w:rPr>
              <m:t>r,Rd</m:t>
            </m:r>
          </m:sub>
        </m:sSub>
        <m:r>
          <w:rPr>
            <w:rFonts w:ascii="Cambria Math" w:hAnsi="Cambria Math"/>
          </w:rPr>
          <m:t>=</m:t>
        </m:r>
        <m:sSub>
          <m:sSubPr>
            <m:ctrlPr>
              <w:rPr>
                <w:rFonts w:ascii="Cambria Math" w:hAnsi="Cambria Math"/>
              </w:rPr>
            </m:ctrlPr>
          </m:sSubPr>
          <m:e>
            <m:r>
              <w:rPr>
                <w:rFonts w:ascii="Cambria Math" w:hAnsi="Cambria Math"/>
              </w:rPr>
              <m:t>N</m:t>
            </m:r>
          </m:e>
          <m:sub>
            <m:r>
              <m:rPr>
                <m:sty m:val="p"/>
              </m:rPr>
              <w:rPr>
                <w:rFonts w:ascii="Cambria Math" w:hAnsi="Cambria Math"/>
              </w:rPr>
              <m:t>Rd,b,max</m:t>
            </m:r>
          </m:sub>
        </m:sSub>
        <m:r>
          <w:rPr>
            <w:rFonts w:ascii="Cambria Math" w:hAnsi="Cambria Math"/>
          </w:rPr>
          <m:t>Y-</m:t>
        </m:r>
        <m:sSub>
          <m:sSubPr>
            <m:ctrlPr>
              <w:rPr>
                <w:rFonts w:ascii="Cambria Math" w:hAnsi="Cambria Math"/>
              </w:rPr>
            </m:ctrlPr>
          </m:sSubPr>
          <m:e>
            <m:r>
              <w:rPr>
                <w:rFonts w:ascii="Cambria Math" w:hAnsi="Cambria Math"/>
              </w:rPr>
              <m:t>N</m:t>
            </m:r>
          </m:e>
          <m:sub>
            <m:r>
              <m:rPr>
                <m:sty m:val="p"/>
              </m:rPr>
              <w:rPr>
                <w:rFonts w:ascii="Cambria Math" w:hAnsi="Cambria Math"/>
              </w:rPr>
              <m:t>Ed</m:t>
            </m:r>
          </m:sub>
        </m:sSub>
        <m:r>
          <w:rPr>
            <w:rFonts w:ascii="Cambria Math" w:hAnsi="Cambria Math"/>
          </w:rPr>
          <m:t>=</m:t>
        </m:r>
        <m:sSub>
          <m:sSubPr>
            <m:ctrlPr>
              <w:rPr>
                <w:rFonts w:ascii="Cambria Math" w:hAnsi="Cambria Math"/>
              </w:rPr>
            </m:ctrlPr>
          </m:sSubPr>
          <m:e>
            <m:r>
              <w:rPr>
                <w:rFonts w:ascii="Cambria Math" w:hAnsi="Cambria Math"/>
              </w:rPr>
              <m:t>f</m:t>
            </m:r>
          </m:e>
          <m:sub>
            <m:r>
              <m:rPr>
                <m:sty m:val="p"/>
              </m:rPr>
              <w:rPr>
                <w:rFonts w:ascii="Cambria Math" w:hAnsi="Cambria Math"/>
              </w:rPr>
              <m:t>p,max</m:t>
            </m:r>
          </m:sub>
        </m:sSub>
        <m:sSub>
          <m:sSubPr>
            <m:ctrlPr>
              <w:rPr>
                <w:rFonts w:ascii="Cambria Math" w:hAnsi="Cambria Math"/>
              </w:rPr>
            </m:ctrlPr>
          </m:sSubPr>
          <m:e>
            <m:r>
              <w:rPr>
                <w:rFonts w:ascii="Cambria Math" w:hAnsi="Cambria Math"/>
              </w:rPr>
              <m:t>B</m:t>
            </m:r>
          </m:e>
          <m:sub>
            <m:r>
              <m:rPr>
                <m:sty m:val="p"/>
              </m:rPr>
              <w:rPr>
                <w:rFonts w:ascii="Cambria Math" w:hAnsi="Cambria Math"/>
              </w:rPr>
              <m:t>BP</m:t>
            </m:r>
          </m:sub>
        </m:sSub>
        <m:r>
          <w:rPr>
            <w:rFonts w:ascii="Cambria Math" w:hAnsi="Cambria Math"/>
          </w:rPr>
          <m:t>Y-</m:t>
        </m:r>
        <m:sSub>
          <m:sSubPr>
            <m:ctrlPr>
              <w:rPr>
                <w:rFonts w:ascii="Cambria Math" w:hAnsi="Cambria Math"/>
              </w:rPr>
            </m:ctrlPr>
          </m:sSubPr>
          <m:e>
            <m:r>
              <w:rPr>
                <w:rFonts w:ascii="Cambria Math" w:hAnsi="Cambria Math"/>
              </w:rPr>
              <m:t>N</m:t>
            </m:r>
          </m:e>
          <m:sub>
            <m:r>
              <m:rPr>
                <m:sty m:val="p"/>
              </m:rPr>
              <w:rPr>
                <w:rFonts w:ascii="Cambria Math" w:hAnsi="Cambria Math"/>
              </w:rPr>
              <m:t>Ed</m:t>
            </m:r>
          </m:sub>
        </m:sSub>
      </m:oMath>
      <w:r w:rsidR="00BE0604" w:rsidRPr="006C09CE">
        <w:tab/>
        <w:t>(H.</w:t>
      </w:r>
      <w:r w:rsidR="00BE0604">
        <w:t>13</w:t>
      </w:r>
      <w:r w:rsidR="00BE0604" w:rsidRPr="006C09CE">
        <w:t>)</w:t>
      </w:r>
    </w:p>
    <w:p w14:paraId="7448B968" w14:textId="0B1B6288" w:rsidR="00BE0604" w:rsidRDefault="00BE0604" w:rsidP="00724E4E">
      <w:pPr>
        <w:pStyle w:val="Clause"/>
      </w:pPr>
      <w:r w:rsidRPr="00132C1E">
        <w:t xml:space="preserve">The anchor tensile </w:t>
      </w:r>
      <w:r w:rsidRPr="00D1484A">
        <w:t xml:space="preserve">strength, </w:t>
      </w:r>
      <m:oMath>
        <m:sSub>
          <m:sSubPr>
            <m:ctrlPr>
              <w:rPr>
                <w:rFonts w:ascii="Cambria Math" w:hAnsi="Cambria Math"/>
                <w:i/>
              </w:rPr>
            </m:ctrlPr>
          </m:sSubPr>
          <m:e>
            <m:r>
              <w:rPr>
                <w:rFonts w:ascii="Cambria Math" w:hAnsi="Cambria Math"/>
              </w:rPr>
              <m:t>f</m:t>
            </m:r>
          </m:e>
          <m:sub>
            <m:r>
              <m:rPr>
                <m:sty m:val="p"/>
              </m:rPr>
              <w:rPr>
                <w:rFonts w:ascii="Cambria Math" w:hAnsi="Cambria Math"/>
              </w:rPr>
              <m:t>r,t</m:t>
            </m:r>
          </m:sub>
        </m:sSub>
      </m:oMath>
      <w:r w:rsidRPr="00132C1E">
        <w:t xml:space="preserve"> should be calculated </w:t>
      </w:r>
      <w:r w:rsidRPr="00BE0604">
        <w:t>using Formula (H.14).</w:t>
      </w:r>
    </w:p>
    <w:p w14:paraId="363B4044" w14:textId="31B8E229" w:rsidR="00BE0604" w:rsidRPr="006C09CE" w:rsidRDefault="009B5CEC" w:rsidP="00BE0604">
      <w:pPr>
        <w:pStyle w:val="Formula"/>
        <w:spacing w:before="240"/>
      </w:pPr>
      <m:oMath>
        <m:sSub>
          <m:sSubPr>
            <m:ctrlPr>
              <w:rPr>
                <w:rFonts w:ascii="Cambria Math" w:hAnsi="Cambria Math"/>
              </w:rPr>
            </m:ctrlPr>
          </m:sSubPr>
          <m:e>
            <m:r>
              <w:rPr>
                <w:rFonts w:ascii="Cambria Math" w:hAnsi="Cambria Math"/>
              </w:rPr>
              <m:t>f</m:t>
            </m:r>
          </m:e>
          <m:sub>
            <m:r>
              <m:rPr>
                <m:sty m:val="p"/>
              </m:rPr>
              <w:rPr>
                <w:rFonts w:ascii="Cambria Math" w:hAnsi="Cambria Math"/>
              </w:rPr>
              <m:t>r,t</m:t>
            </m:r>
          </m:sub>
        </m:sSub>
        <m:r>
          <w:rPr>
            <w:rFonts w:ascii="Cambria Math" w:hAnsi="Cambria Math"/>
          </w:rPr>
          <m:t>=0,75</m:t>
        </m:r>
        <m:sSub>
          <m:sSubPr>
            <m:ctrlPr>
              <w:rPr>
                <w:rFonts w:ascii="Cambria Math" w:hAnsi="Cambria Math"/>
              </w:rPr>
            </m:ctrlPr>
          </m:sSubPr>
          <m:e>
            <m:r>
              <w:rPr>
                <w:rFonts w:ascii="Cambria Math" w:hAnsi="Cambria Math"/>
              </w:rPr>
              <m:t>f</m:t>
            </m:r>
          </m:e>
          <m:sub>
            <m:r>
              <m:rPr>
                <m:sty m:val="p"/>
              </m:rPr>
              <w:rPr>
                <w:rFonts w:ascii="Cambria Math" w:hAnsi="Cambria Math"/>
              </w:rPr>
              <m:t>r,u</m:t>
            </m:r>
          </m:sub>
        </m:sSub>
      </m:oMath>
      <w:r w:rsidR="00BE0604" w:rsidRPr="006C09CE">
        <w:tab/>
        <w:t>(H.</w:t>
      </w:r>
      <w:r w:rsidR="00BE0604">
        <w:t>14</w:t>
      </w:r>
      <w:r w:rsidR="00BE0604" w:rsidRPr="006C09CE">
        <w:t>)</w:t>
      </w:r>
    </w:p>
    <w:p w14:paraId="5F91CEDA" w14:textId="61C71A9A" w:rsidR="00BE0604" w:rsidRDefault="00BE0604" w:rsidP="00773115">
      <w:pPr>
        <w:pStyle w:val="Text"/>
      </w:pPr>
      <w:r w:rsidRPr="00132C1E">
        <w:t>where</w:t>
      </w:r>
      <w:r w:rsidRPr="006C09CE">
        <w:rPr>
          <w:i/>
        </w:rPr>
        <w:t xml:space="preserve"> </w:t>
      </w:r>
      <m:oMath>
        <m:sSub>
          <m:sSubPr>
            <m:ctrlPr>
              <w:rPr>
                <w:rFonts w:ascii="Cambria Math" w:hAnsi="Cambria Math"/>
                <w:bCs/>
                <w:i/>
              </w:rPr>
            </m:ctrlPr>
          </m:sSubPr>
          <m:e>
            <m:r>
              <w:rPr>
                <w:rFonts w:ascii="Cambria Math" w:hAnsi="Cambria Math"/>
              </w:rPr>
              <m:t>f</m:t>
            </m:r>
          </m:e>
          <m:sub>
            <m:r>
              <m:rPr>
                <m:sty m:val="p"/>
              </m:rPr>
              <w:rPr>
                <w:rFonts w:ascii="Cambria Math" w:hAnsi="Cambria Math"/>
              </w:rPr>
              <m:t>r,u</m:t>
            </m:r>
          </m:sub>
        </m:sSub>
      </m:oMath>
      <w:r w:rsidRPr="00132C1E">
        <w:t xml:space="preserve"> </w:t>
      </w:r>
      <w:r w:rsidRPr="00D1484A">
        <w:t>is the</w:t>
      </w:r>
      <w:r w:rsidRPr="007E6F67">
        <w:t xml:space="preserve"> specified</w:t>
      </w:r>
      <w:r w:rsidRPr="00FD17CF">
        <w:t xml:space="preserve"> ultimate tensile</w:t>
      </w:r>
      <w:r w:rsidRPr="00E05E29">
        <w:t xml:space="preserve"> </w:t>
      </w:r>
      <w:r w:rsidRPr="00196951">
        <w:t>strength</w:t>
      </w:r>
      <w:r w:rsidRPr="002144A0">
        <w:t xml:space="preserve"> of the anchor.</w:t>
      </w:r>
    </w:p>
    <w:p w14:paraId="1F128E21" w14:textId="2ABBD5FA" w:rsidR="00BE0604" w:rsidRDefault="00BE0604" w:rsidP="00724E4E">
      <w:pPr>
        <w:pStyle w:val="Clause"/>
      </w:pPr>
      <w:r w:rsidRPr="002144A0">
        <w:t xml:space="preserve">The design yield resistance of a single anchor should be calculated as </w:t>
      </w:r>
      <w:r w:rsidRPr="004F25D7">
        <w:t xml:space="preserve">given </w:t>
      </w:r>
      <w:r w:rsidRPr="00BE0604">
        <w:t>by Formula (H.15)</w:t>
      </w:r>
      <w:r w:rsidRPr="007754C9">
        <w:t>.</w:t>
      </w:r>
    </w:p>
    <w:p w14:paraId="25E34DF9" w14:textId="182237FA" w:rsidR="00BE0604" w:rsidRPr="006C09CE" w:rsidRDefault="009B5CEC" w:rsidP="00BE0604">
      <w:pPr>
        <w:pStyle w:val="Formula"/>
        <w:spacing w:before="240"/>
      </w:pPr>
      <m:oMath>
        <m:sSubSup>
          <m:sSubSupPr>
            <m:ctrlPr>
              <w:rPr>
                <w:rFonts w:ascii="Cambria Math" w:hAnsi="Cambria Math"/>
              </w:rPr>
            </m:ctrlPr>
          </m:sSubSupPr>
          <m:e>
            <m:r>
              <w:rPr>
                <w:rFonts w:ascii="Cambria Math" w:hAnsi="Cambria Math"/>
              </w:rPr>
              <m:t>N</m:t>
            </m:r>
          </m:e>
          <m:sub>
            <m:r>
              <m:rPr>
                <m:sty m:val="p"/>
              </m:rPr>
              <w:rPr>
                <w:rFonts w:ascii="Cambria Math" w:hAnsi="Cambria Math"/>
              </w:rPr>
              <m:t>pl,Rd</m:t>
            </m:r>
          </m:sub>
          <m:sup>
            <m:r>
              <m:rPr>
                <m:sty m:val="p"/>
              </m:rPr>
              <w:rPr>
                <w:rFonts w:ascii="Cambria Math" w:hAnsi="Cambria Math"/>
              </w:rPr>
              <m:t>r</m:t>
            </m:r>
          </m:sup>
        </m:sSubSup>
        <m:r>
          <w:rPr>
            <w:rFonts w:ascii="Cambria Math" w:hAnsi="Cambria Math"/>
          </w:rPr>
          <m:t>=0,75</m:t>
        </m:r>
        <m:sSub>
          <m:sSubPr>
            <m:ctrlPr>
              <w:rPr>
                <w:rFonts w:ascii="Cambria Math" w:hAnsi="Cambria Math"/>
              </w:rPr>
            </m:ctrlPr>
          </m:sSubPr>
          <m:e>
            <m:r>
              <w:rPr>
                <w:rFonts w:ascii="Cambria Math" w:hAnsi="Cambria Math"/>
              </w:rPr>
              <m:t>f</m:t>
            </m:r>
          </m:e>
          <m:sub>
            <m:r>
              <m:rPr>
                <m:sty m:val="p"/>
              </m:rPr>
              <w:rPr>
                <w:rFonts w:ascii="Cambria Math" w:hAnsi="Cambria Math"/>
              </w:rPr>
              <m:t>r,t</m:t>
            </m:r>
          </m:sub>
        </m:sSub>
        <m:sSub>
          <m:sSubPr>
            <m:ctrlPr>
              <w:rPr>
                <w:rFonts w:ascii="Cambria Math" w:hAnsi="Cambria Math"/>
              </w:rPr>
            </m:ctrlPr>
          </m:sSubPr>
          <m:e>
            <m:r>
              <w:rPr>
                <w:rFonts w:ascii="Cambria Math" w:hAnsi="Cambria Math"/>
              </w:rPr>
              <m:t>A</m:t>
            </m:r>
          </m:e>
          <m:sub>
            <m:r>
              <m:rPr>
                <m:sty m:val="p"/>
              </m:rPr>
              <w:rPr>
                <w:rFonts w:ascii="Cambria Math" w:hAnsi="Cambria Math"/>
              </w:rPr>
              <m:t>b</m:t>
            </m:r>
          </m:sub>
        </m:sSub>
      </m:oMath>
      <w:r w:rsidR="00BE0604" w:rsidRPr="006C09CE">
        <w:tab/>
        <w:t>(H.</w:t>
      </w:r>
      <w:r w:rsidR="00BE0604">
        <w:t>15</w:t>
      </w:r>
      <w:r w:rsidR="00BE0604" w:rsidRPr="006C09CE">
        <w:t>)</w:t>
      </w:r>
    </w:p>
    <w:p w14:paraId="1C3315F6" w14:textId="108F1592" w:rsidR="00BE0604" w:rsidRDefault="00BE0604" w:rsidP="00773115">
      <w:pPr>
        <w:pStyle w:val="Text"/>
      </w:pPr>
      <w:r w:rsidRPr="00132C1E">
        <w:t>where</w:t>
      </w:r>
      <w:r w:rsidRPr="006C09CE">
        <w:rPr>
          <w:i/>
        </w:rPr>
        <w:t xml:space="preserve"> </w:t>
      </w:r>
      <m:oMath>
        <m:sSub>
          <m:sSubPr>
            <m:ctrlPr>
              <w:rPr>
                <w:rFonts w:ascii="Cambria Math" w:hAnsi="Cambria Math"/>
                <w:bCs/>
                <w:i/>
              </w:rPr>
            </m:ctrlPr>
          </m:sSubPr>
          <m:e>
            <m:r>
              <w:rPr>
                <w:rFonts w:ascii="Cambria Math" w:hAnsi="Cambria Math"/>
              </w:rPr>
              <m:t>A</m:t>
            </m:r>
          </m:e>
          <m:sub>
            <m:r>
              <m:rPr>
                <m:sty m:val="p"/>
              </m:rPr>
              <w:rPr>
                <w:rFonts w:ascii="Cambria Math" w:hAnsi="Cambria Math"/>
              </w:rPr>
              <m:t>b</m:t>
            </m:r>
          </m:sub>
        </m:sSub>
      </m:oMath>
      <w:r w:rsidRPr="007C4848">
        <w:t xml:space="preserve"> is the unthreaded body area of the anchor</w:t>
      </w:r>
      <w:r w:rsidRPr="002144A0">
        <w:t>.</w:t>
      </w:r>
    </w:p>
    <w:p w14:paraId="6A077204" w14:textId="0C54564E" w:rsidR="00BE0604" w:rsidRDefault="00BE0604" w:rsidP="00724E4E">
      <w:pPr>
        <w:pStyle w:val="Clause"/>
      </w:pPr>
      <w:r w:rsidRPr="00BE0604">
        <w:t xml:space="preserve">The design resistance of anchored headed bars should satisfy </w:t>
      </w:r>
      <w:r w:rsidR="0026060E">
        <w:t>prEN 1992-1-1:2021</w:t>
      </w:r>
      <w:r w:rsidRPr="00BE0604">
        <w:t xml:space="preserve">, </w:t>
      </w:r>
      <w:r w:rsidRPr="00B00B3D">
        <w:rPr>
          <w:bCs/>
        </w:rPr>
        <w:t>11.4.7</w:t>
      </w:r>
      <w:r w:rsidRPr="00BE0604">
        <w:t>.</w:t>
      </w:r>
    </w:p>
    <w:p w14:paraId="77A7F57E" w14:textId="72C6F1F4" w:rsidR="00BE0604" w:rsidRPr="00132C1E" w:rsidRDefault="001A4D2D" w:rsidP="001A4D2D">
      <w:pPr>
        <w:pStyle w:val="FigureImage"/>
      </w:pPr>
      <w:r>
        <w:rPr>
          <w:noProof/>
        </w:rPr>
        <w:drawing>
          <wp:inline distT="0" distB="0" distL="0" distR="0" wp14:anchorId="553D1274" wp14:editId="71AE5BE3">
            <wp:extent cx="4860044" cy="3368045"/>
            <wp:effectExtent l="0" t="0" r="0" b="3810"/>
            <wp:docPr id="46" name="h001.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h001.tiff"/>
                    <pic:cNvPicPr/>
                  </pic:nvPicPr>
                  <pic:blipFill>
                    <a:blip r:link="rId128"/>
                    <a:stretch>
                      <a:fillRect/>
                    </a:stretch>
                  </pic:blipFill>
                  <pic:spPr>
                    <a:xfrm>
                      <a:off x="0" y="0"/>
                      <a:ext cx="4860044" cy="3368045"/>
                    </a:xfrm>
                    <a:prstGeom prst="rect">
                      <a:avLst/>
                    </a:prstGeom>
                  </pic:spPr>
                </pic:pic>
              </a:graphicData>
            </a:graphic>
          </wp:inline>
        </w:drawing>
      </w:r>
    </w:p>
    <w:p w14:paraId="0181D199" w14:textId="77777777" w:rsidR="00BE0604" w:rsidRPr="00D1484A" w:rsidRDefault="00BE0604" w:rsidP="001A4D2D">
      <w:pPr>
        <w:pStyle w:val="KeyTitle"/>
      </w:pPr>
      <w:r w:rsidRPr="00D1484A">
        <w:t>Key</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
        <w:gridCol w:w="2835"/>
        <w:gridCol w:w="425"/>
        <w:gridCol w:w="5245"/>
      </w:tblGrid>
      <w:tr w:rsidR="006107DB" w:rsidRPr="00132C1E" w14:paraId="1435C0E0" w14:textId="6B15AA6B" w:rsidTr="006107DB">
        <w:tc>
          <w:tcPr>
            <w:tcW w:w="392" w:type="dxa"/>
          </w:tcPr>
          <w:p w14:paraId="6C528091" w14:textId="77777777" w:rsidR="006107DB" w:rsidRPr="00FE71E5" w:rsidRDefault="006107DB" w:rsidP="006107DB">
            <w:pPr>
              <w:pStyle w:val="KeyText"/>
              <w:spacing w:before="0"/>
              <w:rPr>
                <w:iCs/>
              </w:rPr>
            </w:pPr>
            <w:r w:rsidRPr="00FE71E5">
              <w:rPr>
                <w:iCs/>
              </w:rPr>
              <w:t>A</w:t>
            </w:r>
          </w:p>
        </w:tc>
        <w:tc>
          <w:tcPr>
            <w:tcW w:w="2835" w:type="dxa"/>
          </w:tcPr>
          <w:p w14:paraId="341B3E67" w14:textId="7E9A632A" w:rsidR="006107DB" w:rsidRPr="00FE71E5" w:rsidRDefault="006107DB" w:rsidP="006107DB">
            <w:pPr>
              <w:pStyle w:val="KeyText"/>
              <w:spacing w:before="0"/>
            </w:pPr>
            <w:r w:rsidRPr="00FE71E5">
              <w:rPr>
                <w:iCs/>
              </w:rPr>
              <w:t>anchor rods</w:t>
            </w:r>
          </w:p>
        </w:tc>
        <w:tc>
          <w:tcPr>
            <w:tcW w:w="425" w:type="dxa"/>
          </w:tcPr>
          <w:p w14:paraId="3C107606" w14:textId="49C84888" w:rsidR="006107DB" w:rsidRPr="00FE71E5" w:rsidRDefault="006107DB" w:rsidP="006107DB">
            <w:pPr>
              <w:pStyle w:val="KeyText"/>
              <w:spacing w:before="0"/>
              <w:rPr>
                <w:iCs/>
              </w:rPr>
            </w:pPr>
            <w:r w:rsidRPr="00FE71E5">
              <w:rPr>
                <w:iCs/>
              </w:rPr>
              <w:t>E</w:t>
            </w:r>
          </w:p>
        </w:tc>
        <w:tc>
          <w:tcPr>
            <w:tcW w:w="5245" w:type="dxa"/>
          </w:tcPr>
          <w:p w14:paraId="3937C634" w14:textId="2393698B" w:rsidR="006107DB" w:rsidRPr="00FE71E5" w:rsidRDefault="006107DB" w:rsidP="006107DB">
            <w:pPr>
              <w:pStyle w:val="KeyText"/>
              <w:spacing w:before="0"/>
              <w:rPr>
                <w:iCs/>
              </w:rPr>
            </w:pPr>
            <w:r w:rsidRPr="00FE71E5">
              <w:rPr>
                <w:iCs/>
              </w:rPr>
              <w:t>shear lug</w:t>
            </w:r>
          </w:p>
        </w:tc>
      </w:tr>
      <w:tr w:rsidR="006107DB" w:rsidRPr="00132C1E" w14:paraId="374FB109" w14:textId="2BBB9222" w:rsidTr="006107DB">
        <w:tc>
          <w:tcPr>
            <w:tcW w:w="392" w:type="dxa"/>
          </w:tcPr>
          <w:p w14:paraId="6D35017A" w14:textId="77777777" w:rsidR="006107DB" w:rsidRPr="00FE71E5" w:rsidRDefault="006107DB" w:rsidP="006107DB">
            <w:pPr>
              <w:pStyle w:val="KeyText"/>
              <w:spacing w:before="0"/>
              <w:rPr>
                <w:iCs/>
              </w:rPr>
            </w:pPr>
            <w:r w:rsidRPr="00FE71E5">
              <w:rPr>
                <w:iCs/>
              </w:rPr>
              <w:t>B</w:t>
            </w:r>
          </w:p>
        </w:tc>
        <w:tc>
          <w:tcPr>
            <w:tcW w:w="2835" w:type="dxa"/>
          </w:tcPr>
          <w:p w14:paraId="258696B0" w14:textId="7DE4C762" w:rsidR="006107DB" w:rsidRPr="00FE71E5" w:rsidRDefault="006107DB" w:rsidP="006107DB">
            <w:pPr>
              <w:pStyle w:val="KeyText"/>
              <w:spacing w:before="0"/>
              <w:rPr>
                <w:iCs/>
              </w:rPr>
            </w:pPr>
            <w:r w:rsidRPr="00FE71E5">
              <w:rPr>
                <w:iCs/>
              </w:rPr>
              <w:t>column</w:t>
            </w:r>
          </w:p>
        </w:tc>
        <w:tc>
          <w:tcPr>
            <w:tcW w:w="425" w:type="dxa"/>
          </w:tcPr>
          <w:p w14:paraId="557CC1A2" w14:textId="6944AEB1" w:rsidR="006107DB" w:rsidRPr="00FE71E5" w:rsidRDefault="006107DB" w:rsidP="006107DB">
            <w:pPr>
              <w:pStyle w:val="KeyText"/>
              <w:spacing w:before="0"/>
              <w:rPr>
                <w:iCs/>
              </w:rPr>
            </w:pPr>
            <w:r w:rsidRPr="00FE71E5">
              <w:rPr>
                <w:iCs/>
              </w:rPr>
              <w:t>F</w:t>
            </w:r>
          </w:p>
        </w:tc>
        <w:tc>
          <w:tcPr>
            <w:tcW w:w="5245" w:type="dxa"/>
          </w:tcPr>
          <w:p w14:paraId="55E1E2A4" w14:textId="0AEEBB28" w:rsidR="006107DB" w:rsidRPr="00FE71E5" w:rsidRDefault="006107DB" w:rsidP="006107DB">
            <w:pPr>
              <w:pStyle w:val="KeyText"/>
              <w:spacing w:before="0"/>
              <w:rPr>
                <w:iCs/>
              </w:rPr>
            </w:pPr>
            <w:r w:rsidRPr="00FE71E5">
              <w:rPr>
                <w:iCs/>
              </w:rPr>
              <w:t>levelling nuts</w:t>
            </w:r>
          </w:p>
        </w:tc>
      </w:tr>
      <w:tr w:rsidR="006107DB" w:rsidRPr="00132C1E" w14:paraId="5680183D" w14:textId="55C08192" w:rsidTr="006107DB">
        <w:tc>
          <w:tcPr>
            <w:tcW w:w="392" w:type="dxa"/>
          </w:tcPr>
          <w:p w14:paraId="07476A9C" w14:textId="77777777" w:rsidR="006107DB" w:rsidRPr="00FE71E5" w:rsidRDefault="006107DB" w:rsidP="006107DB">
            <w:pPr>
              <w:pStyle w:val="KeyText"/>
              <w:spacing w:before="0"/>
              <w:rPr>
                <w:iCs/>
              </w:rPr>
            </w:pPr>
            <w:r w:rsidRPr="00FE71E5">
              <w:rPr>
                <w:iCs/>
              </w:rPr>
              <w:t>C</w:t>
            </w:r>
          </w:p>
        </w:tc>
        <w:tc>
          <w:tcPr>
            <w:tcW w:w="2835" w:type="dxa"/>
          </w:tcPr>
          <w:p w14:paraId="59D188F6" w14:textId="1D69FAB9" w:rsidR="006107DB" w:rsidRPr="00FE71E5" w:rsidRDefault="006107DB" w:rsidP="006107DB">
            <w:pPr>
              <w:pStyle w:val="KeyText"/>
              <w:spacing w:before="0"/>
              <w:rPr>
                <w:iCs/>
              </w:rPr>
            </w:pPr>
            <w:r w:rsidRPr="00FE71E5">
              <w:rPr>
                <w:iCs/>
              </w:rPr>
              <w:t>base plate</w:t>
            </w:r>
          </w:p>
        </w:tc>
        <w:tc>
          <w:tcPr>
            <w:tcW w:w="425" w:type="dxa"/>
          </w:tcPr>
          <w:p w14:paraId="31E02BF7" w14:textId="038EB4DE" w:rsidR="006107DB" w:rsidRPr="00FE71E5" w:rsidRDefault="006107DB" w:rsidP="006107DB">
            <w:pPr>
              <w:pStyle w:val="KeyText"/>
              <w:spacing w:before="0"/>
              <w:rPr>
                <w:iCs/>
              </w:rPr>
            </w:pPr>
            <w:r w:rsidRPr="00FE71E5">
              <w:rPr>
                <w:iCs/>
              </w:rPr>
              <w:t>G</w:t>
            </w:r>
          </w:p>
        </w:tc>
        <w:tc>
          <w:tcPr>
            <w:tcW w:w="5245" w:type="dxa"/>
          </w:tcPr>
          <w:p w14:paraId="5537AFA1" w14:textId="14BD5921" w:rsidR="006107DB" w:rsidRPr="00FE71E5" w:rsidRDefault="006107DB" w:rsidP="006107DB">
            <w:pPr>
              <w:pStyle w:val="KeyText"/>
              <w:spacing w:before="0"/>
              <w:rPr>
                <w:iCs/>
              </w:rPr>
            </w:pPr>
            <w:r w:rsidRPr="00FE71E5">
              <w:rPr>
                <w:iCs/>
              </w:rPr>
              <w:t>concrete footing</w:t>
            </w:r>
          </w:p>
        </w:tc>
      </w:tr>
      <w:tr w:rsidR="006107DB" w:rsidRPr="00132C1E" w14:paraId="21051CC8" w14:textId="54599B6A" w:rsidTr="006107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2" w:type="dxa"/>
            <w:tcBorders>
              <w:top w:val="nil"/>
              <w:left w:val="nil"/>
              <w:bottom w:val="nil"/>
              <w:right w:val="nil"/>
            </w:tcBorders>
          </w:tcPr>
          <w:p w14:paraId="0B2EB1F5" w14:textId="77777777" w:rsidR="006107DB" w:rsidRPr="00FE71E5" w:rsidRDefault="006107DB" w:rsidP="006107DB">
            <w:pPr>
              <w:pStyle w:val="KeyText"/>
              <w:spacing w:before="0"/>
              <w:rPr>
                <w:iCs/>
              </w:rPr>
            </w:pPr>
            <w:r w:rsidRPr="00FE71E5">
              <w:rPr>
                <w:iCs/>
              </w:rPr>
              <w:t>D</w:t>
            </w:r>
          </w:p>
        </w:tc>
        <w:tc>
          <w:tcPr>
            <w:tcW w:w="2835" w:type="dxa"/>
            <w:tcBorders>
              <w:top w:val="nil"/>
              <w:left w:val="nil"/>
              <w:bottom w:val="nil"/>
              <w:right w:val="nil"/>
            </w:tcBorders>
          </w:tcPr>
          <w:p w14:paraId="196DB6A8" w14:textId="4A941C6A" w:rsidR="006107DB" w:rsidRPr="00FE71E5" w:rsidRDefault="006107DB" w:rsidP="006107DB">
            <w:pPr>
              <w:pStyle w:val="KeyText"/>
              <w:spacing w:before="0"/>
              <w:rPr>
                <w:iCs/>
              </w:rPr>
            </w:pPr>
            <w:r w:rsidRPr="00FE71E5">
              <w:rPr>
                <w:iCs/>
              </w:rPr>
              <w:t>grout layer</w:t>
            </w:r>
          </w:p>
        </w:tc>
        <w:tc>
          <w:tcPr>
            <w:tcW w:w="425" w:type="dxa"/>
            <w:tcBorders>
              <w:top w:val="nil"/>
              <w:left w:val="nil"/>
              <w:bottom w:val="nil"/>
              <w:right w:val="nil"/>
            </w:tcBorders>
          </w:tcPr>
          <w:p w14:paraId="217E16D3" w14:textId="3F110E78" w:rsidR="006107DB" w:rsidRPr="00FE71E5" w:rsidRDefault="006107DB" w:rsidP="006107DB">
            <w:pPr>
              <w:pStyle w:val="KeyText"/>
              <w:spacing w:before="0"/>
              <w:rPr>
                <w:iCs/>
              </w:rPr>
            </w:pPr>
            <w:r w:rsidRPr="00FE71E5">
              <w:rPr>
                <w:iCs/>
              </w:rPr>
              <w:t>H</w:t>
            </w:r>
          </w:p>
        </w:tc>
        <w:tc>
          <w:tcPr>
            <w:tcW w:w="5245" w:type="dxa"/>
            <w:tcBorders>
              <w:top w:val="nil"/>
              <w:left w:val="nil"/>
              <w:bottom w:val="nil"/>
              <w:right w:val="nil"/>
            </w:tcBorders>
          </w:tcPr>
          <w:p w14:paraId="0CAC08E1" w14:textId="0C64F660" w:rsidR="006107DB" w:rsidRPr="00FE71E5" w:rsidRDefault="006107DB" w:rsidP="006107DB">
            <w:pPr>
              <w:pStyle w:val="KeyText"/>
              <w:spacing w:before="0"/>
              <w:rPr>
                <w:iCs/>
              </w:rPr>
            </w:pPr>
            <w:r w:rsidRPr="00FE71E5">
              <w:rPr>
                <w:iCs/>
              </w:rPr>
              <w:t>anchoring point</w:t>
            </w:r>
          </w:p>
        </w:tc>
      </w:tr>
    </w:tbl>
    <w:p w14:paraId="5432C198" w14:textId="46B7C4CB" w:rsidR="00BE0604" w:rsidRPr="00BE0604" w:rsidRDefault="00BE0604" w:rsidP="00BE0604">
      <w:pPr>
        <w:pStyle w:val="Figuretitle"/>
      </w:pPr>
      <w:r w:rsidRPr="00BE0604">
        <w:t>Figure H.</w:t>
      </w:r>
      <w:r w:rsidR="00773115">
        <w:t>1</w:t>
      </w:r>
      <w:r w:rsidRPr="00BE0604">
        <w:t> — Schematic representation of exposed column base connection</w:t>
      </w:r>
    </w:p>
    <w:p w14:paraId="3A39B5AB" w14:textId="77777777" w:rsidR="00BE0604" w:rsidRPr="002144A0" w:rsidRDefault="00BE0604" w:rsidP="00BE0604">
      <w:pPr>
        <w:pStyle w:val="a3"/>
      </w:pPr>
      <w:bookmarkStart w:id="11589" w:name="_Toc50150796"/>
      <w:bookmarkStart w:id="11590" w:name="_Toc70887229"/>
      <w:bookmarkStart w:id="11591" w:name="_Toc108342841"/>
      <w:bookmarkStart w:id="11592" w:name="_Toc120543926"/>
      <w:bookmarkStart w:id="11593" w:name="_Toc134198347"/>
      <w:r w:rsidRPr="00D1484A">
        <w:t xml:space="preserve">Required </w:t>
      </w:r>
      <w:r w:rsidRPr="007E6F67">
        <w:t>b</w:t>
      </w:r>
      <w:r w:rsidRPr="00FD17CF">
        <w:t xml:space="preserve">ase plate </w:t>
      </w:r>
      <w:r w:rsidRPr="00E05E29">
        <w:t>t</w:t>
      </w:r>
      <w:r w:rsidRPr="00196951">
        <w:t>hickness</w:t>
      </w:r>
      <w:bookmarkEnd w:id="11589"/>
      <w:bookmarkEnd w:id="11590"/>
      <w:bookmarkEnd w:id="11591"/>
      <w:bookmarkEnd w:id="11592"/>
      <w:bookmarkEnd w:id="11593"/>
      <w:r w:rsidRPr="00196951">
        <w:t xml:space="preserve"> </w:t>
      </w:r>
    </w:p>
    <w:p w14:paraId="52FB259B" w14:textId="5C086904" w:rsidR="00BE0604" w:rsidRPr="00A80F25" w:rsidRDefault="00BE0604" w:rsidP="0080187E">
      <w:pPr>
        <w:pStyle w:val="Clause"/>
        <w:numPr>
          <w:ilvl w:val="0"/>
          <w:numId w:val="624"/>
        </w:numPr>
        <w:rPr>
          <w:rFonts w:eastAsia="Cambria"/>
        </w:rPr>
      </w:pPr>
      <w:r w:rsidRPr="002144A0">
        <w:t xml:space="preserve">The base plate thickness of exposed column base connections should be calculated to limit potential flexural yielding at the bearing and tensile interface of the base plate to the concrete footing </w:t>
      </w:r>
      <w:r w:rsidRPr="00A80F25">
        <w:rPr>
          <w:rFonts w:eastAsia="Cambria"/>
        </w:rPr>
        <w:t>in the seismic design situation</w:t>
      </w:r>
      <w:r w:rsidRPr="00C52095">
        <w:t>.</w:t>
      </w:r>
    </w:p>
    <w:p w14:paraId="07DE85E7" w14:textId="49DBBE10" w:rsidR="00BE0604" w:rsidRPr="002144A0" w:rsidRDefault="00BE0604" w:rsidP="00724E4E">
      <w:pPr>
        <w:pStyle w:val="Clause"/>
      </w:pPr>
      <w:r w:rsidRPr="00B00B3D">
        <w:t>H.4.3(3)</w:t>
      </w:r>
      <w:r w:rsidRPr="00BE0604">
        <w:t xml:space="preserve"> and </w:t>
      </w:r>
      <w:r w:rsidRPr="00B00B3D">
        <w:t>(4)</w:t>
      </w:r>
      <w:r w:rsidRPr="00BE0604">
        <w:t xml:space="preserve"> should be applied, with </w:t>
      </w:r>
      <m:oMath>
        <m:sSub>
          <m:sSubPr>
            <m:ctrlPr>
              <w:rPr>
                <w:rFonts w:ascii="Cambria Math" w:hAnsi="Cambria Math"/>
                <w:i/>
              </w:rPr>
            </m:ctrlPr>
          </m:sSubPr>
          <m:e>
            <m:r>
              <w:rPr>
                <w:rFonts w:ascii="Cambria Math" w:hAnsi="Cambria Math"/>
              </w:rPr>
              <m:t>f</m:t>
            </m:r>
          </m:e>
          <m:sub>
            <m:r>
              <m:rPr>
                <m:sty m:val="p"/>
              </m:rPr>
              <w:rPr>
                <w:rFonts w:ascii="Cambria Math" w:hAnsi="Cambria Math"/>
              </w:rPr>
              <m:t>p</m:t>
            </m:r>
          </m:sub>
        </m:sSub>
      </m:oMath>
      <w:r w:rsidRPr="00BE0604">
        <w:t xml:space="preserve"> replaced by </w:t>
      </w:r>
      <m:oMath>
        <m:sSub>
          <m:sSubPr>
            <m:ctrlPr>
              <w:rPr>
                <w:rFonts w:ascii="Cambria Math" w:hAnsi="Cambria Math"/>
                <w:i/>
              </w:rPr>
            </m:ctrlPr>
          </m:sSubPr>
          <m:e>
            <m:r>
              <w:rPr>
                <w:rFonts w:ascii="Cambria Math" w:hAnsi="Cambria Math"/>
              </w:rPr>
              <m:t>f</m:t>
            </m:r>
          </m:e>
          <m:sub>
            <m:r>
              <m:rPr>
                <m:sty m:val="p"/>
              </m:rPr>
              <w:rPr>
                <w:rFonts w:ascii="Cambria Math" w:hAnsi="Cambria Math"/>
              </w:rPr>
              <m:t>p,max</m:t>
            </m:r>
          </m:sub>
        </m:sSub>
      </m:oMath>
      <w:r w:rsidRPr="00BE0604">
        <w:t xml:space="preserve"> in Formula</w:t>
      </w:r>
      <w:r w:rsidR="006107DB">
        <w:t>e</w:t>
      </w:r>
      <w:r w:rsidRPr="00BE0604">
        <w:t xml:space="preserve"> (H.8) and (H.9)</w:t>
      </w:r>
      <w:r w:rsidRPr="002144A0">
        <w:t>.</w:t>
      </w:r>
    </w:p>
    <w:p w14:paraId="7EC3932E" w14:textId="0E7AEFEF" w:rsidR="00BE0604" w:rsidRDefault="00BE0604" w:rsidP="00724E4E">
      <w:pPr>
        <w:pStyle w:val="Clause"/>
      </w:pPr>
      <w:r w:rsidRPr="004F25D7">
        <w:t>T</w:t>
      </w:r>
      <w:r w:rsidRPr="00C52095">
        <w:t xml:space="preserve">o prevent flexural yielding at the bearing interface with the concrete footing, the required base plate thickness, </w:t>
      </w:r>
      <m:oMath>
        <m:sSub>
          <m:sSubPr>
            <m:ctrlPr>
              <w:rPr>
                <w:rFonts w:ascii="Cambria Math" w:eastAsia="Cambria" w:hAnsi="Cambria Math"/>
                <w:i/>
                <w:lang w:eastAsia="de-DE"/>
              </w:rPr>
            </m:ctrlPr>
          </m:sSubPr>
          <m:e>
            <m:r>
              <w:rPr>
                <w:rFonts w:ascii="Cambria Math" w:hAnsi="Cambria Math"/>
              </w:rPr>
              <m:t>t</m:t>
            </m:r>
            <m:ctrlPr>
              <w:rPr>
                <w:rFonts w:ascii="Cambria Math" w:hAnsi="Cambria Math"/>
                <w:i/>
              </w:rPr>
            </m:ctrlPr>
          </m:e>
          <m:sub>
            <m:r>
              <m:rPr>
                <m:sty m:val="p"/>
              </m:rPr>
              <w:rPr>
                <w:rFonts w:ascii="Cambria Math" w:hAnsi="Cambria Math"/>
              </w:rPr>
              <m:t>p(req)</m:t>
            </m:r>
          </m:sub>
        </m:sSub>
      </m:oMath>
      <w:r w:rsidRPr="00132C1E">
        <w:t xml:space="preserve">, should be calculated </w:t>
      </w:r>
      <w:r w:rsidRPr="00BE0604">
        <w:t>from Formula (H.16).</w:t>
      </w:r>
    </w:p>
    <w:p w14:paraId="6C249D83" w14:textId="06086CFE" w:rsidR="00BE0604" w:rsidRPr="006C09CE" w:rsidRDefault="009B5CEC" w:rsidP="00BE0604">
      <w:pPr>
        <w:pStyle w:val="Formula"/>
        <w:spacing w:before="240"/>
      </w:pPr>
      <m:oMath>
        <m:sSub>
          <m:sSubPr>
            <m:ctrlPr>
              <w:rPr>
                <w:rFonts w:ascii="Cambria Math" w:hAnsi="Cambria Math"/>
              </w:rPr>
            </m:ctrlPr>
          </m:sSubPr>
          <m:e>
            <m:r>
              <w:rPr>
                <w:rFonts w:ascii="Cambria Math" w:hAnsi="Cambria Math"/>
              </w:rPr>
              <m:t>t</m:t>
            </m:r>
          </m:e>
          <m:sub>
            <m:r>
              <m:rPr>
                <m:sty m:val="p"/>
              </m:rPr>
              <w:rPr>
                <w:rFonts w:ascii="Cambria Math" w:hAnsi="Cambria Math"/>
              </w:rPr>
              <m:t>p(req)</m:t>
            </m:r>
          </m:sub>
        </m:sSub>
        <m:r>
          <w:rPr>
            <w:rFonts w:ascii="Cambria Math" w:hAnsi="Cambria Math"/>
          </w:rPr>
          <m:t>≥</m:t>
        </m:r>
        <m:d>
          <m:dPr>
            <m:begChr m:val="{"/>
            <m:endChr m:val=""/>
            <m:ctrlPr>
              <w:rPr>
                <w:rFonts w:ascii="Cambria Math" w:hAnsi="Cambria Math"/>
              </w:rPr>
            </m:ctrlPr>
          </m:dPr>
          <m:e>
            <m:m>
              <m:mPr>
                <m:mcs>
                  <m:mc>
                    <m:mcPr>
                      <m:count m:val="1"/>
                      <m:mcJc m:val="center"/>
                    </m:mcPr>
                  </m:mc>
                </m:mcs>
                <m:ctrlPr>
                  <w:rPr>
                    <w:rFonts w:ascii="Cambria Math" w:hAnsi="Cambria Math"/>
                  </w:rPr>
                </m:ctrlPr>
              </m:mPr>
              <m:mr>
                <m:e>
                  <m:r>
                    <w:rPr>
                      <w:rFonts w:ascii="Cambria Math" w:hAnsi="Cambria Math"/>
                    </w:rPr>
                    <m:t>m</m:t>
                  </m:r>
                  <m:rad>
                    <m:radPr>
                      <m:degHide m:val="1"/>
                      <m:ctrlPr>
                        <w:rPr>
                          <w:rFonts w:ascii="Cambria Math" w:hAnsi="Cambria Math"/>
                        </w:rPr>
                      </m:ctrlPr>
                    </m:radPr>
                    <m:deg/>
                    <m:e>
                      <m:f>
                        <m:fPr>
                          <m:ctrlPr>
                            <w:rPr>
                              <w:rFonts w:ascii="Cambria Math" w:hAnsi="Cambria Math"/>
                            </w:rPr>
                          </m:ctrlPr>
                        </m:fPr>
                        <m:num>
                          <m:sSub>
                            <m:sSubPr>
                              <m:ctrlPr>
                                <w:rPr>
                                  <w:rFonts w:ascii="Cambria Math" w:hAnsi="Cambria Math"/>
                                </w:rPr>
                              </m:ctrlPr>
                            </m:sSubPr>
                            <m:e>
                              <m:r>
                                <w:rPr>
                                  <w:rFonts w:ascii="Cambria Math" w:hAnsi="Cambria Math"/>
                                </w:rPr>
                                <m:t>3f</m:t>
                              </m:r>
                            </m:e>
                            <m:sub>
                              <m:r>
                                <m:rPr>
                                  <m:sty m:val="p"/>
                                </m:rPr>
                                <w:rPr>
                                  <w:rFonts w:ascii="Cambria Math" w:hAnsi="Cambria Math"/>
                                </w:rPr>
                                <m:t>p(max)</m:t>
                              </m:r>
                            </m:sub>
                          </m:sSub>
                        </m:num>
                        <m:den>
                          <m:sSub>
                            <m:sSubPr>
                              <m:ctrlPr>
                                <w:rPr>
                                  <w:rFonts w:ascii="Cambria Math" w:hAnsi="Cambria Math"/>
                                </w:rPr>
                              </m:ctrlPr>
                            </m:sSubPr>
                            <m:e>
                              <m:r>
                                <w:rPr>
                                  <w:rFonts w:ascii="Cambria Math" w:hAnsi="Cambria Math"/>
                                </w:rPr>
                                <m:t>f</m:t>
                              </m:r>
                            </m:e>
                            <m:sub>
                              <m:r>
                                <m:rPr>
                                  <m:sty m:val="p"/>
                                </m:rPr>
                                <w:rPr>
                                  <w:rFonts w:ascii="Cambria Math" w:hAnsi="Cambria Math"/>
                                </w:rPr>
                                <m:t>p,y</m:t>
                              </m:r>
                            </m:sub>
                          </m:sSub>
                        </m:den>
                      </m:f>
                    </m:e>
                  </m:rad>
                  <m:r>
                    <w:rPr>
                      <w:rFonts w:ascii="Cambria Math" w:hAnsi="Cambria Math"/>
                    </w:rPr>
                    <m:t xml:space="preserve">                      </m:t>
                  </m:r>
                  <m:r>
                    <m:rPr>
                      <m:sty m:val="p"/>
                    </m:rPr>
                    <w:rPr>
                      <w:rFonts w:ascii="Cambria Math" w:hAnsi="Cambria Math"/>
                    </w:rPr>
                    <m:t xml:space="preserve"> for</m:t>
                  </m:r>
                  <m:r>
                    <w:rPr>
                      <w:rFonts w:ascii="Cambria Math" w:hAnsi="Cambria Math"/>
                    </w:rPr>
                    <m:t xml:space="preserve"> Y≥m</m:t>
                  </m:r>
                </m:e>
              </m:mr>
              <m:mr>
                <m:e>
                  <m:rad>
                    <m:radPr>
                      <m:degHide m:val="1"/>
                      <m:ctrlPr>
                        <w:rPr>
                          <w:rFonts w:ascii="Cambria Math" w:hAnsi="Cambria Math"/>
                        </w:rPr>
                      </m:ctrlPr>
                    </m:radPr>
                    <m:deg/>
                    <m:e>
                      <m:f>
                        <m:fPr>
                          <m:ctrlPr>
                            <w:rPr>
                              <w:rFonts w:ascii="Cambria Math" w:hAnsi="Cambria Math"/>
                            </w:rPr>
                          </m:ctrlPr>
                        </m:fPr>
                        <m:num>
                          <m:sSub>
                            <m:sSubPr>
                              <m:ctrlPr>
                                <w:rPr>
                                  <w:rFonts w:ascii="Cambria Math" w:hAnsi="Cambria Math"/>
                                </w:rPr>
                              </m:ctrlPr>
                            </m:sSubPr>
                            <m:e>
                              <m:r>
                                <w:rPr>
                                  <w:rFonts w:ascii="Cambria Math" w:hAnsi="Cambria Math"/>
                                </w:rPr>
                                <m:t>6f</m:t>
                              </m:r>
                            </m:e>
                            <m:sub>
                              <m:r>
                                <m:rPr>
                                  <m:sty m:val="p"/>
                                </m:rPr>
                                <w:rPr>
                                  <w:rFonts w:ascii="Cambria Math" w:hAnsi="Cambria Math"/>
                                </w:rPr>
                                <m:t>p(max)</m:t>
                              </m:r>
                            </m:sub>
                          </m:sSub>
                          <m:r>
                            <w:rPr>
                              <w:rFonts w:ascii="Cambria Math" w:hAnsi="Cambria Math"/>
                            </w:rPr>
                            <m:t>Y(m-Y/2)</m:t>
                          </m:r>
                        </m:num>
                        <m:den>
                          <m:sSub>
                            <m:sSubPr>
                              <m:ctrlPr>
                                <w:rPr>
                                  <w:rFonts w:ascii="Cambria Math" w:hAnsi="Cambria Math"/>
                                </w:rPr>
                              </m:ctrlPr>
                            </m:sSubPr>
                            <m:e>
                              <m:r>
                                <w:rPr>
                                  <w:rFonts w:ascii="Cambria Math" w:hAnsi="Cambria Math"/>
                                </w:rPr>
                                <m:t>f</m:t>
                              </m:r>
                            </m:e>
                            <m:sub>
                              <m:r>
                                <m:rPr>
                                  <m:sty m:val="p"/>
                                </m:rPr>
                                <w:rPr>
                                  <w:rFonts w:ascii="Cambria Math" w:hAnsi="Cambria Math"/>
                                </w:rPr>
                                <m:t>p,y</m:t>
                              </m:r>
                            </m:sub>
                          </m:sSub>
                        </m:den>
                      </m:f>
                    </m:e>
                  </m:rad>
                  <m:r>
                    <w:rPr>
                      <w:rFonts w:ascii="Cambria Math" w:hAnsi="Cambria Math"/>
                    </w:rPr>
                    <m:t xml:space="preserve">          </m:t>
                  </m:r>
                  <m:r>
                    <m:rPr>
                      <m:sty m:val="p"/>
                    </m:rPr>
                    <w:rPr>
                      <w:rFonts w:ascii="Cambria Math" w:hAnsi="Cambria Math"/>
                    </w:rPr>
                    <m:t xml:space="preserve"> for</m:t>
                  </m:r>
                  <m:r>
                    <w:rPr>
                      <w:rFonts w:ascii="Cambria Math" w:hAnsi="Cambria Math"/>
                    </w:rPr>
                    <m:t xml:space="preserve"> Y&lt;m</m:t>
                  </m:r>
                </m:e>
              </m:mr>
            </m:m>
          </m:e>
        </m:d>
      </m:oMath>
      <w:r w:rsidR="00BE0604" w:rsidRPr="006C09CE">
        <w:tab/>
        <w:t>(H.</w:t>
      </w:r>
      <w:r w:rsidR="00BE0604">
        <w:t>16</w:t>
      </w:r>
      <w:r w:rsidR="00BE0604" w:rsidRPr="006C09CE">
        <w:t>)</w:t>
      </w:r>
    </w:p>
    <w:p w14:paraId="788D8618" w14:textId="1D53605E" w:rsidR="00BE0604" w:rsidRDefault="00BE0604" w:rsidP="00724E4E">
      <w:pPr>
        <w:pStyle w:val="Clause"/>
      </w:pPr>
      <w:r w:rsidRPr="00132C1E">
        <w:t>T</w:t>
      </w:r>
      <w:r w:rsidRPr="00D1484A">
        <w:rPr>
          <w:rFonts w:cs="Segoe UI"/>
          <w:sz w:val="21"/>
          <w:szCs w:val="21"/>
          <w:shd w:val="clear" w:color="auto" w:fill="FDFCFA"/>
        </w:rPr>
        <w:t>o prevent yielding at the tension interface, t</w:t>
      </w:r>
      <w:r w:rsidRPr="00D1484A">
        <w:t xml:space="preserve">he required base plate thickness, </w:t>
      </w:r>
      <m:oMath>
        <m:sSub>
          <m:sSubPr>
            <m:ctrlPr>
              <w:rPr>
                <w:rFonts w:ascii="Cambria Math" w:eastAsia="Cambria" w:hAnsi="Cambria Math"/>
                <w:i/>
                <w:lang w:eastAsia="de-DE"/>
              </w:rPr>
            </m:ctrlPr>
          </m:sSubPr>
          <m:e>
            <m:r>
              <w:rPr>
                <w:rFonts w:ascii="Cambria Math" w:hAnsi="Cambria Math"/>
              </w:rPr>
              <m:t>t</m:t>
            </m:r>
            <m:ctrlPr>
              <w:rPr>
                <w:rFonts w:ascii="Cambria Math" w:hAnsi="Cambria Math"/>
                <w:i/>
              </w:rPr>
            </m:ctrlPr>
          </m:e>
          <m:sub>
            <m:r>
              <m:rPr>
                <m:sty m:val="p"/>
              </m:rPr>
              <w:rPr>
                <w:rFonts w:ascii="Cambria Math" w:hAnsi="Cambria Math"/>
              </w:rPr>
              <m:t>p(req)</m:t>
            </m:r>
          </m:sub>
        </m:sSub>
      </m:oMath>
      <w:r w:rsidRPr="00132C1E">
        <w:t xml:space="preserve">, should be calculated </w:t>
      </w:r>
      <w:r w:rsidRPr="00D1484A">
        <w:t xml:space="preserve">from </w:t>
      </w:r>
      <w:r w:rsidRPr="00BE0604">
        <w:t>Formula (H.17).</w:t>
      </w:r>
    </w:p>
    <w:p w14:paraId="449F67AB" w14:textId="1C156E4C" w:rsidR="00BE0604" w:rsidRPr="006C09CE" w:rsidRDefault="009B5CEC" w:rsidP="00BE0604">
      <w:pPr>
        <w:pStyle w:val="Formula"/>
        <w:spacing w:before="240"/>
      </w:pPr>
      <m:oMath>
        <m:sSub>
          <m:sSubPr>
            <m:ctrlPr>
              <w:rPr>
                <w:rFonts w:ascii="Cambria Math" w:hAnsi="Cambria Math"/>
              </w:rPr>
            </m:ctrlPr>
          </m:sSubPr>
          <m:e>
            <m:r>
              <w:rPr>
                <w:rFonts w:ascii="Cambria Math" w:hAnsi="Cambria Math"/>
              </w:rPr>
              <m:t>t</m:t>
            </m:r>
          </m:e>
          <m:sub>
            <m:r>
              <m:rPr>
                <m:sty m:val="p"/>
              </m:rPr>
              <w:rPr>
                <w:rFonts w:ascii="Cambria Math" w:hAnsi="Cambria Math"/>
              </w:rPr>
              <m:t>p(req)</m:t>
            </m:r>
          </m:sub>
        </m:sSub>
        <m:r>
          <w:rPr>
            <w:rFonts w:ascii="Cambria Math" w:hAnsi="Cambria Math"/>
          </w:rPr>
          <m:t>≥</m:t>
        </m:r>
        <m:rad>
          <m:radPr>
            <m:degHide m:val="1"/>
            <m:ctrlPr>
              <w:rPr>
                <w:rFonts w:ascii="Cambria Math" w:hAnsi="Cambria Math"/>
              </w:rPr>
            </m:ctrlPr>
          </m:radPr>
          <m:deg/>
          <m:e>
            <m:f>
              <m:fPr>
                <m:ctrlPr>
                  <w:rPr>
                    <w:rFonts w:ascii="Cambria Math" w:hAnsi="Cambria Math"/>
                  </w:rPr>
                </m:ctrlPr>
              </m:fPr>
              <m:num>
                <m:r>
                  <w:rPr>
                    <w:rFonts w:ascii="Cambria Math" w:hAnsi="Cambria Math"/>
                  </w:rPr>
                  <m:t>6</m:t>
                </m:r>
                <m:sSub>
                  <m:sSubPr>
                    <m:ctrlPr>
                      <w:rPr>
                        <w:rFonts w:ascii="Cambria Math" w:hAnsi="Cambria Math"/>
                      </w:rPr>
                    </m:ctrlPr>
                  </m:sSubPr>
                  <m:e>
                    <m:r>
                      <w:rPr>
                        <w:rFonts w:ascii="Cambria Math" w:hAnsi="Cambria Math"/>
                      </w:rPr>
                      <m:t>N</m:t>
                    </m:r>
                  </m:e>
                  <m:sub>
                    <m:r>
                      <m:rPr>
                        <m:sty m:val="p"/>
                      </m:rPr>
                      <w:rPr>
                        <w:rFonts w:ascii="Cambria Math" w:hAnsi="Cambria Math"/>
                      </w:rPr>
                      <m:t>r,Rd</m:t>
                    </m:r>
                  </m:sub>
                </m:sSub>
                <m:r>
                  <w:rPr>
                    <w:rFonts w:ascii="Cambria Math" w:hAnsi="Cambria Math"/>
                  </w:rPr>
                  <m:t>x</m:t>
                </m:r>
              </m:num>
              <m:den>
                <m:sSub>
                  <m:sSubPr>
                    <m:ctrlPr>
                      <w:rPr>
                        <w:rFonts w:ascii="Cambria Math" w:hAnsi="Cambria Math"/>
                      </w:rPr>
                    </m:ctrlPr>
                  </m:sSubPr>
                  <m:e>
                    <m:r>
                      <w:rPr>
                        <w:rFonts w:ascii="Cambria Math" w:hAnsi="Cambria Math"/>
                      </w:rPr>
                      <m:t>B</m:t>
                    </m:r>
                  </m:e>
                  <m:sub>
                    <m:r>
                      <m:rPr>
                        <m:sty m:val="p"/>
                      </m:rPr>
                      <w:rPr>
                        <w:rFonts w:ascii="Cambria Math" w:hAnsi="Cambria Math"/>
                      </w:rPr>
                      <m:t>BP</m:t>
                    </m:r>
                  </m:sub>
                </m:sSub>
                <m:sSub>
                  <m:sSubPr>
                    <m:ctrlPr>
                      <w:rPr>
                        <w:rFonts w:ascii="Cambria Math" w:hAnsi="Cambria Math"/>
                      </w:rPr>
                    </m:ctrlPr>
                  </m:sSubPr>
                  <m:e>
                    <m:r>
                      <w:rPr>
                        <w:rFonts w:ascii="Cambria Math" w:hAnsi="Cambria Math"/>
                      </w:rPr>
                      <m:t>f</m:t>
                    </m:r>
                  </m:e>
                  <m:sub>
                    <m:r>
                      <m:rPr>
                        <m:sty m:val="p"/>
                      </m:rPr>
                      <w:rPr>
                        <w:rFonts w:ascii="Cambria Math" w:hAnsi="Cambria Math"/>
                      </w:rPr>
                      <m:t>p,y</m:t>
                    </m:r>
                  </m:sub>
                </m:sSub>
              </m:den>
            </m:f>
            <m:r>
              <w:rPr>
                <w:rFonts w:ascii="Cambria Math" w:hAnsi="Cambria Math"/>
              </w:rPr>
              <m:t xml:space="preserve"> </m:t>
            </m:r>
          </m:e>
        </m:rad>
      </m:oMath>
      <w:r w:rsidR="00BE0604" w:rsidRPr="006C09CE">
        <w:tab/>
        <w:t>(H.</w:t>
      </w:r>
      <w:r w:rsidR="00BE0604">
        <w:t>17</w:t>
      </w:r>
      <w:r w:rsidR="00BE0604" w:rsidRPr="006C09CE">
        <w:t>)</w:t>
      </w:r>
    </w:p>
    <w:p w14:paraId="4C64A18C" w14:textId="78B8B5E9" w:rsidR="00BE0604" w:rsidRDefault="00675EBA" w:rsidP="00773115">
      <w:pPr>
        <w:pStyle w:val="Text"/>
      </w:pPr>
      <w:r>
        <w:t>where</w:t>
      </w:r>
    </w:p>
    <w:tbl>
      <w:tblPr>
        <w:tblW w:w="0" w:type="auto"/>
        <w:tblInd w:w="346" w:type="dxa"/>
        <w:tblLook w:val="04A0" w:firstRow="1" w:lastRow="0" w:firstColumn="1" w:lastColumn="0" w:noHBand="0" w:noVBand="1"/>
      </w:tblPr>
      <w:tblGrid>
        <w:gridCol w:w="1275"/>
        <w:gridCol w:w="7938"/>
      </w:tblGrid>
      <w:tr w:rsidR="00BE0604" w:rsidRPr="00FF1786" w14:paraId="779D0358" w14:textId="77777777" w:rsidTr="006107DB">
        <w:tc>
          <w:tcPr>
            <w:tcW w:w="1275" w:type="dxa"/>
          </w:tcPr>
          <w:p w14:paraId="4B964569" w14:textId="0B55CE52" w:rsidR="00BE0604" w:rsidRPr="00460668" w:rsidRDefault="009B5CEC" w:rsidP="002061E5">
            <w:pPr>
              <w:spacing w:after="60"/>
              <w:rPr>
                <w:rFonts w:eastAsia="Times New Roman" w:cs="Cambria"/>
                <w:szCs w:val="20"/>
                <w:lang w:eastAsia="fr-FR"/>
              </w:rPr>
            </w:pPr>
            <m:oMathPara>
              <m:oMathParaPr>
                <m:jc m:val="left"/>
              </m:oMathParaPr>
              <m:oMath>
                <m:sSub>
                  <m:sSubPr>
                    <m:ctrlPr>
                      <w:rPr>
                        <w:rFonts w:ascii="Cambria Math" w:hAnsi="Cambria Math"/>
                        <w:i/>
                      </w:rPr>
                    </m:ctrlPr>
                  </m:sSubPr>
                  <m:e>
                    <m:r>
                      <w:rPr>
                        <w:rFonts w:ascii="Cambria Math" w:hAnsi="Cambria Math"/>
                      </w:rPr>
                      <m:t>N</m:t>
                    </m:r>
                  </m:e>
                  <m:sub>
                    <m:r>
                      <m:rPr>
                        <m:sty m:val="p"/>
                      </m:rPr>
                      <w:rPr>
                        <w:rFonts w:ascii="Cambria Math" w:hAnsi="Cambria Math"/>
                      </w:rPr>
                      <m:t>r,Rd</m:t>
                    </m:r>
                  </m:sub>
                </m:sSub>
              </m:oMath>
            </m:oMathPara>
          </w:p>
        </w:tc>
        <w:tc>
          <w:tcPr>
            <w:tcW w:w="7938" w:type="dxa"/>
          </w:tcPr>
          <w:p w14:paraId="5EF1A6E8" w14:textId="201BF433" w:rsidR="00BE0604" w:rsidRPr="00D565B6" w:rsidRDefault="00BE0604" w:rsidP="002061E5">
            <w:pPr>
              <w:pStyle w:val="Listofsymbols"/>
              <w:tabs>
                <w:tab w:val="clear" w:pos="1134"/>
                <w:tab w:val="left" w:pos="2481"/>
              </w:tabs>
              <w:ind w:left="0" w:firstLine="0"/>
              <w:rPr>
                <w:szCs w:val="22"/>
              </w:rPr>
            </w:pPr>
            <w:r w:rsidRPr="00D565B6">
              <w:t>should be calculated using Formula (H.13);</w:t>
            </w:r>
          </w:p>
        </w:tc>
      </w:tr>
      <w:tr w:rsidR="00BE0604" w:rsidRPr="00FF1786" w14:paraId="54AC2F10" w14:textId="77777777" w:rsidTr="006107DB">
        <w:tc>
          <w:tcPr>
            <w:tcW w:w="1275" w:type="dxa"/>
          </w:tcPr>
          <w:p w14:paraId="5D964AD7" w14:textId="5114F03D" w:rsidR="00BE0604" w:rsidRPr="006C09CE" w:rsidRDefault="00BE0604" w:rsidP="002061E5">
            <w:pPr>
              <w:spacing w:after="60"/>
              <w:rPr>
                <w:rFonts w:eastAsia="Times New Roman" w:cs="Cambria"/>
                <w:szCs w:val="20"/>
                <w:lang w:eastAsia="fr-FR"/>
              </w:rPr>
            </w:pPr>
            <w:r w:rsidRPr="00225AFD">
              <w:rPr>
                <w:i/>
                <w:iCs/>
              </w:rPr>
              <w:t>x</w:t>
            </w:r>
          </w:p>
        </w:tc>
        <w:tc>
          <w:tcPr>
            <w:tcW w:w="7938" w:type="dxa"/>
          </w:tcPr>
          <w:p w14:paraId="69C20E51" w14:textId="2AA4E694" w:rsidR="00BE0604" w:rsidRPr="00D565B6" w:rsidRDefault="00D565B6" w:rsidP="002061E5">
            <w:pPr>
              <w:pStyle w:val="Listofsymbols"/>
              <w:tabs>
                <w:tab w:val="clear" w:pos="1134"/>
                <w:tab w:val="left" w:pos="2481"/>
              </w:tabs>
              <w:ind w:left="0" w:firstLine="0"/>
              <w:rPr>
                <w:szCs w:val="22"/>
              </w:rPr>
            </w:pPr>
            <w:r w:rsidRPr="00D565B6">
              <w:t>is the distance shown in Figure H.1c; it should be calculated using Formula (H.18).</w:t>
            </w:r>
          </w:p>
        </w:tc>
      </w:tr>
    </w:tbl>
    <w:p w14:paraId="6454984B" w14:textId="424A68AD" w:rsidR="00D565B6" w:rsidRPr="006C09CE" w:rsidRDefault="00D565B6" w:rsidP="00D565B6">
      <w:pPr>
        <w:pStyle w:val="Formula"/>
        <w:spacing w:before="240"/>
      </w:pPr>
      <m:oMath>
        <m:r>
          <w:rPr>
            <w:rFonts w:ascii="Cambria Math" w:hAnsi="Cambria Math"/>
          </w:rPr>
          <m:t>x=l-</m:t>
        </m:r>
        <m:sSub>
          <m:sSubPr>
            <m:ctrlPr>
              <w:rPr>
                <w:rFonts w:ascii="Cambria Math" w:hAnsi="Cambria Math"/>
              </w:rPr>
            </m:ctrlPr>
          </m:sSubPr>
          <m:e>
            <m:r>
              <w:rPr>
                <w:rFonts w:ascii="Cambria Math" w:hAnsi="Cambria Math"/>
              </w:rPr>
              <m:t>d</m:t>
            </m:r>
          </m:e>
          <m:sub>
            <m:r>
              <m:rPr>
                <m:sty m:val="p"/>
              </m:rPr>
              <w:rPr>
                <w:rFonts w:ascii="Cambria Math" w:hAnsi="Cambria Math"/>
              </w:rPr>
              <m:t>c</m:t>
            </m:r>
          </m:sub>
        </m:sSub>
        <m:r>
          <w:rPr>
            <w:rFonts w:ascii="Cambria Math" w:hAnsi="Cambria Math"/>
          </w:rPr>
          <m:t>/2+</m:t>
        </m:r>
        <m:sSub>
          <m:sSubPr>
            <m:ctrlPr>
              <w:rPr>
                <w:rFonts w:ascii="Cambria Math" w:hAnsi="Cambria Math"/>
              </w:rPr>
            </m:ctrlPr>
          </m:sSubPr>
          <m:e>
            <m:r>
              <w:rPr>
                <w:rFonts w:ascii="Cambria Math" w:hAnsi="Cambria Math"/>
              </w:rPr>
              <m:t>t</m:t>
            </m:r>
          </m:e>
          <m:sub>
            <m:r>
              <m:rPr>
                <m:sty m:val="p"/>
              </m:rPr>
              <w:rPr>
                <w:rFonts w:ascii="Cambria Math" w:hAnsi="Cambria Math"/>
              </w:rPr>
              <m:t>f</m:t>
            </m:r>
          </m:sub>
        </m:sSub>
        <m:r>
          <w:rPr>
            <w:rFonts w:ascii="Cambria Math" w:hAnsi="Cambria Math"/>
          </w:rPr>
          <m:t>/2</m:t>
        </m:r>
      </m:oMath>
      <w:r w:rsidRPr="006C09CE">
        <w:tab/>
        <w:t>(H.</w:t>
      </w:r>
      <w:r>
        <w:t>18</w:t>
      </w:r>
      <w:r w:rsidRPr="006C09CE">
        <w:t>)</w:t>
      </w:r>
    </w:p>
    <w:p w14:paraId="12CEDF1A" w14:textId="77777777" w:rsidR="00D565B6" w:rsidRPr="00132C1E" w:rsidRDefault="00D565B6" w:rsidP="00D565B6">
      <w:pPr>
        <w:pStyle w:val="a3"/>
      </w:pPr>
      <w:bookmarkStart w:id="11594" w:name="_Toc50150797"/>
      <w:bookmarkStart w:id="11595" w:name="_Toc70887230"/>
      <w:bookmarkStart w:id="11596" w:name="_Toc108342842"/>
      <w:bookmarkStart w:id="11597" w:name="_Toc120543927"/>
      <w:bookmarkStart w:id="11598" w:name="_Toc134198348"/>
      <w:r w:rsidRPr="00132C1E">
        <w:rPr>
          <w:rFonts w:eastAsia="Cambria"/>
          <w:bCs/>
          <w:sz w:val="22"/>
          <w:szCs w:val="22"/>
        </w:rPr>
        <w:t>Design of anchorage for tension</w:t>
      </w:r>
      <w:bookmarkEnd w:id="11594"/>
      <w:bookmarkEnd w:id="11595"/>
      <w:bookmarkEnd w:id="11596"/>
      <w:bookmarkEnd w:id="11597"/>
      <w:bookmarkEnd w:id="11598"/>
    </w:p>
    <w:p w14:paraId="25519CBF" w14:textId="761956B7" w:rsidR="00D565B6" w:rsidRPr="00E60A1F" w:rsidRDefault="00D565B6" w:rsidP="0080187E">
      <w:pPr>
        <w:pStyle w:val="Clause"/>
        <w:numPr>
          <w:ilvl w:val="0"/>
          <w:numId w:val="242"/>
        </w:numPr>
      </w:pPr>
      <w:r w:rsidRPr="00E60A1F">
        <w:t xml:space="preserve">The column base concrete elements should be verified against concrete pull out due to the tensile axial load per anchor and concrete crushing due to bearing of the anchor head to the concrete footing as shown in </w:t>
      </w:r>
      <w:r w:rsidRPr="00A47E27">
        <w:rPr>
          <w:color w:val="auto"/>
        </w:rPr>
        <w:t>Figure H.2</w:t>
      </w:r>
      <w:r w:rsidRPr="00E60A1F">
        <w:t>.</w:t>
      </w:r>
    </w:p>
    <w:p w14:paraId="46F71CFC" w14:textId="52B27379" w:rsidR="00D565B6" w:rsidRPr="005C7237" w:rsidRDefault="00D565B6" w:rsidP="0080187E">
      <w:pPr>
        <w:pStyle w:val="Clause"/>
        <w:numPr>
          <w:ilvl w:val="0"/>
          <w:numId w:val="242"/>
        </w:numPr>
        <w:rPr>
          <w:rFonts w:eastAsia="Cambria"/>
        </w:rPr>
      </w:pPr>
      <w:r w:rsidRPr="00B00B3D">
        <w:rPr>
          <w:rFonts w:eastAsia="Cambria"/>
        </w:rPr>
        <w:t>10.8.3.1(6)</w:t>
      </w:r>
      <w:r w:rsidRPr="005C7237">
        <w:t xml:space="preserve">, </w:t>
      </w:r>
      <w:r w:rsidRPr="00B00B3D">
        <w:rPr>
          <w:rFonts w:eastAsia="Cambria"/>
        </w:rPr>
        <w:t>10.11</w:t>
      </w:r>
      <w:r w:rsidRPr="005C7237">
        <w:t xml:space="preserve"> and </w:t>
      </w:r>
      <w:r w:rsidRPr="005C7237">
        <w:rPr>
          <w:rFonts w:eastAsia="Cambria"/>
        </w:rPr>
        <w:t>pr</w:t>
      </w:r>
      <w:r w:rsidR="00C30FF9">
        <w:rPr>
          <w:rFonts w:eastAsia="Cambria"/>
        </w:rPr>
        <w:t>EN 1</w:t>
      </w:r>
      <w:r w:rsidRPr="005C7237">
        <w:rPr>
          <w:rFonts w:eastAsia="Cambria"/>
        </w:rPr>
        <w:t xml:space="preserve">992-1-5:2021, </w:t>
      </w:r>
      <w:r w:rsidRPr="00B00B3D">
        <w:rPr>
          <w:rFonts w:eastAsia="Cambria"/>
        </w:rPr>
        <w:t>9.4.3</w:t>
      </w:r>
      <w:r w:rsidRPr="005C7237">
        <w:t xml:space="preserve"> should be satisfied.</w:t>
      </w:r>
    </w:p>
    <w:p w14:paraId="111FC1F9" w14:textId="27A9585F" w:rsidR="00D565B6" w:rsidRPr="00FD17CF" w:rsidRDefault="00D565B6" w:rsidP="00D565B6">
      <w:pPr>
        <w:pStyle w:val="a3"/>
      </w:pPr>
      <w:bookmarkStart w:id="11599" w:name="_Toc50150798"/>
      <w:bookmarkStart w:id="11600" w:name="_Toc70887231"/>
      <w:bookmarkStart w:id="11601" w:name="_Toc108342843"/>
      <w:bookmarkStart w:id="11602" w:name="_Toc120543928"/>
      <w:bookmarkStart w:id="11603" w:name="_Toc134198349"/>
      <w:r w:rsidRPr="00132C1E">
        <w:t xml:space="preserve">Design </w:t>
      </w:r>
      <w:r w:rsidRPr="00D1484A">
        <w:t xml:space="preserve">of anchorage for </w:t>
      </w:r>
      <w:r w:rsidRPr="007E6F67">
        <w:t>s</w:t>
      </w:r>
      <w:r w:rsidRPr="00FD17CF">
        <w:t>hear</w:t>
      </w:r>
      <w:bookmarkEnd w:id="11599"/>
      <w:bookmarkEnd w:id="11600"/>
      <w:bookmarkEnd w:id="11601"/>
      <w:bookmarkEnd w:id="11602"/>
      <w:bookmarkEnd w:id="11603"/>
    </w:p>
    <w:p w14:paraId="0A611972" w14:textId="07CB344A" w:rsidR="00D565B6" w:rsidRPr="002144A0" w:rsidRDefault="00D565B6" w:rsidP="0080187E">
      <w:pPr>
        <w:pStyle w:val="Clause"/>
        <w:numPr>
          <w:ilvl w:val="0"/>
          <w:numId w:val="625"/>
        </w:numPr>
      </w:pPr>
      <w:r w:rsidRPr="00E05E29">
        <w:t xml:space="preserve">Exposed column base </w:t>
      </w:r>
      <w:r w:rsidRPr="00196951">
        <w:t>connections should transfer shear from column bases into concrete.</w:t>
      </w:r>
    </w:p>
    <w:p w14:paraId="4A19CF6E" w14:textId="19A1AAC4" w:rsidR="00D565B6" w:rsidRPr="004F25D7" w:rsidRDefault="00D565B6" w:rsidP="00724E4E">
      <w:pPr>
        <w:pStyle w:val="Clause"/>
      </w:pPr>
      <w:r w:rsidRPr="002144A0">
        <w:t>The shear transfer in anchors may be achieved through friction, bearing and shear or their combination.</w:t>
      </w:r>
    </w:p>
    <w:p w14:paraId="5B377E75" w14:textId="6A20D74D" w:rsidR="00D565B6" w:rsidRPr="00132C1E" w:rsidRDefault="00D565B6" w:rsidP="00724E4E">
      <w:pPr>
        <w:pStyle w:val="Clause"/>
      </w:pPr>
      <w:r w:rsidRPr="004F25D7">
        <w:t xml:space="preserve">The most unfavourable design compressive loads, </w:t>
      </w:r>
      <w:r w:rsidRPr="00C52095">
        <w:rPr>
          <w:i/>
          <w:iCs/>
        </w:rPr>
        <w:t>N</w:t>
      </w:r>
      <w:r w:rsidRPr="00C52095">
        <w:rPr>
          <w:vertAlign w:val="subscript"/>
        </w:rPr>
        <w:t>Ed</w:t>
      </w:r>
      <w:r w:rsidRPr="00C52095">
        <w:t xml:space="preserve">, </w:t>
      </w:r>
      <w:r w:rsidRPr="007754C9">
        <w:t>consistent with the lateral fo</w:t>
      </w:r>
      <w:r w:rsidRPr="00132C1E">
        <w:t xml:space="preserve">rce </w:t>
      </w:r>
      <w:r w:rsidRPr="00132C1E">
        <w:rPr>
          <w:i/>
          <w:iCs/>
        </w:rPr>
        <w:t>V</w:t>
      </w:r>
      <w:r w:rsidRPr="00132C1E">
        <w:rPr>
          <w:vertAlign w:val="subscript"/>
        </w:rPr>
        <w:t>Ed</w:t>
      </w:r>
      <w:r w:rsidRPr="00132C1E">
        <w:t>, should be considered.</w:t>
      </w:r>
    </w:p>
    <w:p w14:paraId="7AFB43FD" w14:textId="1A7F92C1" w:rsidR="00D565B6" w:rsidRPr="00773115" w:rsidRDefault="00D565B6" w:rsidP="00724E4E">
      <w:pPr>
        <w:pStyle w:val="Clause"/>
      </w:pPr>
      <w:r w:rsidRPr="00132C1E">
        <w:t xml:space="preserve">The shear resistance due to friction should be calculated according to </w:t>
      </w:r>
      <w:r w:rsidR="0026060E">
        <w:t>prEN 1992-1-1:2021</w:t>
      </w:r>
      <w:r w:rsidRPr="00773115">
        <w:t xml:space="preserve">, </w:t>
      </w:r>
      <w:r w:rsidR="00B52555" w:rsidRPr="00773115">
        <w:rPr>
          <w:bCs/>
        </w:rPr>
        <w:t>8.2.6</w:t>
      </w:r>
      <w:r w:rsidR="00055612" w:rsidRPr="00773115">
        <w:rPr>
          <w:bCs/>
        </w:rPr>
        <w:t>.</w:t>
      </w:r>
    </w:p>
    <w:p w14:paraId="146C39EC" w14:textId="2E8D0132" w:rsidR="00D565B6" w:rsidRPr="00132C1E" w:rsidRDefault="00D565B6" w:rsidP="00724E4E">
      <w:pPr>
        <w:pStyle w:val="Clause"/>
      </w:pPr>
      <w:r w:rsidRPr="00132C1E">
        <w:t>Shear forces may be transferred through bearing by single or multiple shear lugs as shown in Figures</w:t>
      </w:r>
      <w:r w:rsidR="006107DB">
        <w:t> </w:t>
      </w:r>
      <w:r w:rsidRPr="00132C1E">
        <w:t>H.1c and H.1d. Partial embedment of the column in the concrete foundation may also be used.</w:t>
      </w:r>
    </w:p>
    <w:p w14:paraId="16F6D3B3" w14:textId="75D24A18" w:rsidR="00D565B6" w:rsidRPr="00132C1E" w:rsidRDefault="00D565B6" w:rsidP="00724E4E">
      <w:pPr>
        <w:pStyle w:val="Clause"/>
      </w:pPr>
      <w:r w:rsidRPr="00132C1E">
        <w:t>Shear lugs may be fillet welded to the base plate and may be designed as a cantilever fixed to the steel base plate.</w:t>
      </w:r>
    </w:p>
    <w:p w14:paraId="16244003" w14:textId="5C2FC7F7" w:rsidR="00D565B6" w:rsidRPr="00132C1E" w:rsidRDefault="00D565B6" w:rsidP="00724E4E">
      <w:pPr>
        <w:pStyle w:val="Clause"/>
      </w:pPr>
      <w:r w:rsidRPr="00132C1E">
        <w:t>When shear lugs are used, grout pockets should be of sufficient size for ease of grout placement. Non</w:t>
      </w:r>
      <w:r w:rsidR="00A80F25">
        <w:t xml:space="preserve"> </w:t>
      </w:r>
      <w:r w:rsidRPr="00132C1E">
        <w:t>shrink grout of flowable consistency should be used.</w:t>
      </w:r>
    </w:p>
    <w:p w14:paraId="4C03AF27" w14:textId="355E3017" w:rsidR="00D565B6" w:rsidRPr="00132C1E" w:rsidRDefault="0031779A" w:rsidP="0031779A">
      <w:pPr>
        <w:pStyle w:val="FigureImage"/>
      </w:pPr>
      <w:r>
        <w:rPr>
          <w:noProof/>
        </w:rPr>
        <w:drawing>
          <wp:inline distT="0" distB="0" distL="0" distR="0" wp14:anchorId="7967BD2A" wp14:editId="6053EB15">
            <wp:extent cx="5399541" cy="2072643"/>
            <wp:effectExtent l="0" t="0" r="0" b="3810"/>
            <wp:docPr id="47" name="h002.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h002.tiff"/>
                    <pic:cNvPicPr/>
                  </pic:nvPicPr>
                  <pic:blipFill>
                    <a:blip r:link="rId129"/>
                    <a:stretch>
                      <a:fillRect/>
                    </a:stretch>
                  </pic:blipFill>
                  <pic:spPr>
                    <a:xfrm>
                      <a:off x="0" y="0"/>
                      <a:ext cx="5399541" cy="2072643"/>
                    </a:xfrm>
                    <a:prstGeom prst="rect">
                      <a:avLst/>
                    </a:prstGeom>
                  </pic:spPr>
                </pic:pic>
              </a:graphicData>
            </a:graphic>
          </wp:inline>
        </w:drawing>
      </w:r>
    </w:p>
    <w:p w14:paraId="2FFC2828" w14:textId="77777777" w:rsidR="00D565B6" w:rsidRPr="00FD17CF" w:rsidRDefault="00D565B6" w:rsidP="0031779A">
      <w:pPr>
        <w:pStyle w:val="KeyTitle"/>
      </w:pPr>
      <w:r w:rsidRPr="007E6F67">
        <w:t>Key</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
        <w:gridCol w:w="5778"/>
      </w:tblGrid>
      <w:tr w:rsidR="00D565B6" w:rsidRPr="008B5241" w14:paraId="2A928FFF" w14:textId="77777777" w:rsidTr="006107DB">
        <w:tc>
          <w:tcPr>
            <w:tcW w:w="392" w:type="dxa"/>
          </w:tcPr>
          <w:p w14:paraId="779D5F51" w14:textId="3F47D2C9" w:rsidR="00D565B6" w:rsidRPr="00FE71E5" w:rsidRDefault="0031779A" w:rsidP="0031779A">
            <w:pPr>
              <w:pStyle w:val="KeyText"/>
              <w:rPr>
                <w:iCs/>
              </w:rPr>
            </w:pPr>
            <w:r w:rsidRPr="00FE71E5">
              <w:rPr>
                <w:iCs/>
              </w:rPr>
              <w:t>A</w:t>
            </w:r>
          </w:p>
        </w:tc>
        <w:tc>
          <w:tcPr>
            <w:tcW w:w="5778" w:type="dxa"/>
          </w:tcPr>
          <w:p w14:paraId="6B5EAFFE" w14:textId="3FD96EA5" w:rsidR="00D565B6" w:rsidRPr="002144A0" w:rsidRDefault="0031779A" w:rsidP="0031779A">
            <w:pPr>
              <w:pStyle w:val="KeyText"/>
            </w:pPr>
            <w:r>
              <w:t>t</w:t>
            </w:r>
            <w:r w:rsidR="00D565B6" w:rsidRPr="002144A0">
              <w:t>ensile strength in concrete along the surface of stress cone</w:t>
            </w:r>
          </w:p>
        </w:tc>
      </w:tr>
    </w:tbl>
    <w:p w14:paraId="53AAF2B1" w14:textId="432F2ABF" w:rsidR="00D565B6" w:rsidRPr="007E6F67" w:rsidRDefault="00D565B6" w:rsidP="00D565B6">
      <w:pPr>
        <w:pStyle w:val="FiguretitleANNEXZ"/>
      </w:pPr>
      <w:r w:rsidRPr="00132C1E">
        <w:t>Figure H.</w:t>
      </w:r>
      <w:r w:rsidR="00773115">
        <w:t>2</w:t>
      </w:r>
      <w:r w:rsidRPr="00132C1E">
        <w:t> — </w:t>
      </w:r>
      <w:r w:rsidRPr="00D1484A">
        <w:rPr>
          <w:noProof/>
        </w:rPr>
        <w:t xml:space="preserve">Concrete </w:t>
      </w:r>
      <w:r w:rsidR="00773115">
        <w:rPr>
          <w:noProof/>
        </w:rPr>
        <w:t>b</w:t>
      </w:r>
      <w:r w:rsidRPr="00D1484A">
        <w:rPr>
          <w:noProof/>
        </w:rPr>
        <w:t>reakout cone</w:t>
      </w:r>
      <w:r w:rsidR="0031779A">
        <w:rPr>
          <w:noProof/>
        </w:rPr>
        <w:t>:</w:t>
      </w:r>
      <w:r w:rsidRPr="00D1484A">
        <w:rPr>
          <w:noProof/>
        </w:rPr>
        <w:t xml:space="preserve"> (a) single anchor; (b) group of anchors</w:t>
      </w:r>
    </w:p>
    <w:p w14:paraId="602D4DF6" w14:textId="77777777" w:rsidR="00D565B6" w:rsidRPr="002144A0" w:rsidRDefault="00D565B6" w:rsidP="00D565B6">
      <w:pPr>
        <w:pStyle w:val="a2"/>
      </w:pPr>
      <w:bookmarkStart w:id="11604" w:name="_Toc50150799"/>
      <w:bookmarkStart w:id="11605" w:name="_Toc70887232"/>
      <w:bookmarkStart w:id="11606" w:name="_Toc108342844"/>
      <w:bookmarkStart w:id="11607" w:name="_Toc134198350"/>
      <w:r w:rsidRPr="00FD17CF">
        <w:t xml:space="preserve">Embedded column </w:t>
      </w:r>
      <w:r w:rsidRPr="00E05E29">
        <w:t>b</w:t>
      </w:r>
      <w:r w:rsidRPr="00196951">
        <w:t xml:space="preserve">ase </w:t>
      </w:r>
      <w:r w:rsidRPr="002144A0">
        <w:t>connections</w:t>
      </w:r>
      <w:bookmarkEnd w:id="11604"/>
      <w:bookmarkEnd w:id="11605"/>
      <w:bookmarkEnd w:id="11606"/>
      <w:bookmarkEnd w:id="11607"/>
    </w:p>
    <w:p w14:paraId="4514B228" w14:textId="77777777" w:rsidR="00D565B6" w:rsidRPr="00C52095" w:rsidRDefault="00D565B6" w:rsidP="00D565B6">
      <w:pPr>
        <w:pStyle w:val="a3"/>
      </w:pPr>
      <w:bookmarkStart w:id="11608" w:name="_Toc50150800"/>
      <w:bookmarkStart w:id="11609" w:name="_Toc70887233"/>
      <w:bookmarkStart w:id="11610" w:name="_Toc108342845"/>
      <w:bookmarkStart w:id="11611" w:name="_Toc120543930"/>
      <w:bookmarkStart w:id="11612" w:name="_Toc134198351"/>
      <w:r w:rsidRPr="004F25D7">
        <w:t>General</w:t>
      </w:r>
      <w:bookmarkEnd w:id="11608"/>
      <w:bookmarkEnd w:id="11609"/>
      <w:bookmarkEnd w:id="11610"/>
      <w:bookmarkEnd w:id="11611"/>
      <w:bookmarkEnd w:id="11612"/>
    </w:p>
    <w:p w14:paraId="46036F90" w14:textId="4F5F5C4F" w:rsidR="00D565B6" w:rsidRPr="00E60A1F" w:rsidRDefault="00D565B6" w:rsidP="0080187E">
      <w:pPr>
        <w:pStyle w:val="Clause"/>
        <w:numPr>
          <w:ilvl w:val="0"/>
          <w:numId w:val="243"/>
        </w:numPr>
      </w:pPr>
      <w:r w:rsidRPr="00C52095">
        <w:t>Embedded column base connections (Figure H.</w:t>
      </w:r>
      <w:r w:rsidRPr="007754C9">
        <w:t>3</w:t>
      </w:r>
      <w:r w:rsidRPr="00132C1E">
        <w:t>) should provide bending resistance by bearing between the column flanges and the surrounding concrete.</w:t>
      </w:r>
    </w:p>
    <w:p w14:paraId="0CDBC8A6" w14:textId="7F1159EA" w:rsidR="00D565B6" w:rsidRPr="004E70C3" w:rsidRDefault="00D565B6" w:rsidP="0080187E">
      <w:pPr>
        <w:pStyle w:val="Clause"/>
        <w:numPr>
          <w:ilvl w:val="0"/>
          <w:numId w:val="243"/>
        </w:numPr>
      </w:pPr>
      <w:r w:rsidRPr="00132C1E">
        <w:t>Embedded column base connections may be treated as a structural steel coupling beam embedded in a composite reinforced concrete shear wall.</w:t>
      </w:r>
    </w:p>
    <w:p w14:paraId="66AD39E8" w14:textId="362E37EB" w:rsidR="00D565B6" w:rsidRDefault="00D565B6" w:rsidP="0080187E">
      <w:pPr>
        <w:pStyle w:val="Clause"/>
        <w:numPr>
          <w:ilvl w:val="0"/>
          <w:numId w:val="243"/>
        </w:numPr>
      </w:pPr>
      <w:r w:rsidRPr="004E70C3">
        <w:t>For I- or H-shape steel columns, embedded column base connections may develop their full bending resistance with respect to the weak axis provided that the concrete bearing resistance is adequate.</w:t>
      </w:r>
    </w:p>
    <w:p w14:paraId="2624034C" w14:textId="0FFD35B6" w:rsidR="00E17037" w:rsidRPr="004E70C3" w:rsidRDefault="00E17037" w:rsidP="0080187E">
      <w:pPr>
        <w:pStyle w:val="Clause"/>
        <w:numPr>
          <w:ilvl w:val="0"/>
          <w:numId w:val="243"/>
        </w:numPr>
      </w:pPr>
      <w:r w:rsidRPr="00F36D4E">
        <w:t xml:space="preserve">The column axial </w:t>
      </w:r>
      <w:r w:rsidR="00F336AE">
        <w:t>force</w:t>
      </w:r>
      <w:r w:rsidRPr="00F36D4E">
        <w:t xml:space="preserve"> may be transferred through both the face bearing plate and the base plate.</w:t>
      </w:r>
    </w:p>
    <w:p w14:paraId="1652CDA4" w14:textId="2A0E7C76" w:rsidR="00D565B6" w:rsidRPr="00132C1E" w:rsidRDefault="0031779A" w:rsidP="0031779A">
      <w:pPr>
        <w:pStyle w:val="FigureImage"/>
        <w:rPr>
          <w:lang w:eastAsia="de-DE"/>
        </w:rPr>
      </w:pPr>
      <w:r>
        <w:rPr>
          <w:noProof/>
          <w:lang w:eastAsia="de-DE"/>
        </w:rPr>
        <w:drawing>
          <wp:inline distT="0" distB="0" distL="0" distR="0" wp14:anchorId="08C97A2F" wp14:editId="7BF2A35A">
            <wp:extent cx="3599694" cy="3611886"/>
            <wp:effectExtent l="0" t="0" r="1270" b="7620"/>
            <wp:docPr id="48" name="h003.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h003.tiff"/>
                    <pic:cNvPicPr/>
                  </pic:nvPicPr>
                  <pic:blipFill>
                    <a:blip r:link="rId130"/>
                    <a:stretch>
                      <a:fillRect/>
                    </a:stretch>
                  </pic:blipFill>
                  <pic:spPr>
                    <a:xfrm>
                      <a:off x="0" y="0"/>
                      <a:ext cx="3599694" cy="3611886"/>
                    </a:xfrm>
                    <a:prstGeom prst="rect">
                      <a:avLst/>
                    </a:prstGeom>
                  </pic:spPr>
                </pic:pic>
              </a:graphicData>
            </a:graphic>
          </wp:inline>
        </w:drawing>
      </w:r>
    </w:p>
    <w:p w14:paraId="01A7D171" w14:textId="77777777" w:rsidR="00D565B6" w:rsidRPr="00D1484A" w:rsidRDefault="00D565B6" w:rsidP="006107DB">
      <w:pPr>
        <w:pStyle w:val="KeyTitle"/>
      </w:pPr>
      <w:r w:rsidRPr="00D1484A">
        <w:t>Key</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
        <w:gridCol w:w="5778"/>
      </w:tblGrid>
      <w:tr w:rsidR="00D565B6" w:rsidRPr="00132C1E" w14:paraId="5D31A66A" w14:textId="77777777" w:rsidTr="006107DB">
        <w:tc>
          <w:tcPr>
            <w:tcW w:w="392" w:type="dxa"/>
          </w:tcPr>
          <w:p w14:paraId="1E1A8CC2" w14:textId="77777777" w:rsidR="00D565B6" w:rsidRPr="00FE71E5" w:rsidRDefault="00D565B6" w:rsidP="006107DB">
            <w:pPr>
              <w:pStyle w:val="KeyText"/>
              <w:spacing w:before="0"/>
              <w:rPr>
                <w:iCs/>
              </w:rPr>
            </w:pPr>
            <w:r w:rsidRPr="00FE71E5">
              <w:rPr>
                <w:iCs/>
              </w:rPr>
              <w:t>A</w:t>
            </w:r>
          </w:p>
        </w:tc>
        <w:tc>
          <w:tcPr>
            <w:tcW w:w="5778" w:type="dxa"/>
          </w:tcPr>
          <w:p w14:paraId="7B96A47F" w14:textId="5778CCA3" w:rsidR="00D565B6" w:rsidRPr="00FE71E5" w:rsidRDefault="006107DB" w:rsidP="006107DB">
            <w:pPr>
              <w:pStyle w:val="KeyText"/>
              <w:spacing w:before="0"/>
            </w:pPr>
            <w:r w:rsidRPr="00FE71E5">
              <w:rPr>
                <w:iCs/>
              </w:rPr>
              <w:t>c</w:t>
            </w:r>
            <w:r w:rsidR="00D565B6" w:rsidRPr="00FE71E5">
              <w:rPr>
                <w:iCs/>
              </w:rPr>
              <w:t>olumn</w:t>
            </w:r>
          </w:p>
        </w:tc>
      </w:tr>
      <w:tr w:rsidR="00D565B6" w:rsidRPr="00132C1E" w14:paraId="0CB99985" w14:textId="77777777" w:rsidTr="006107DB">
        <w:tc>
          <w:tcPr>
            <w:tcW w:w="392" w:type="dxa"/>
          </w:tcPr>
          <w:p w14:paraId="54CA25EB" w14:textId="77777777" w:rsidR="00D565B6" w:rsidRPr="00FE71E5" w:rsidRDefault="00D565B6" w:rsidP="006107DB">
            <w:pPr>
              <w:pStyle w:val="KeyText"/>
              <w:spacing w:before="0"/>
              <w:rPr>
                <w:iCs/>
              </w:rPr>
            </w:pPr>
            <w:r w:rsidRPr="00FE71E5">
              <w:rPr>
                <w:iCs/>
              </w:rPr>
              <w:t>B</w:t>
            </w:r>
          </w:p>
        </w:tc>
        <w:tc>
          <w:tcPr>
            <w:tcW w:w="5778" w:type="dxa"/>
          </w:tcPr>
          <w:p w14:paraId="6A1D9A69" w14:textId="29F2F429" w:rsidR="00D565B6" w:rsidRPr="00FE71E5" w:rsidRDefault="0031779A" w:rsidP="006107DB">
            <w:pPr>
              <w:pStyle w:val="KeyText"/>
              <w:spacing w:before="0"/>
              <w:rPr>
                <w:iCs/>
              </w:rPr>
            </w:pPr>
            <w:r w:rsidRPr="00FE71E5">
              <w:rPr>
                <w:iCs/>
              </w:rPr>
              <w:t>h</w:t>
            </w:r>
            <w:r w:rsidR="00D565B6" w:rsidRPr="00FE71E5">
              <w:rPr>
                <w:iCs/>
              </w:rPr>
              <w:t>orizontal reinforcement</w:t>
            </w:r>
          </w:p>
        </w:tc>
      </w:tr>
      <w:tr w:rsidR="00D565B6" w:rsidRPr="00132C1E" w14:paraId="707F12F7" w14:textId="77777777" w:rsidTr="006107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2" w:type="dxa"/>
            <w:tcBorders>
              <w:top w:val="nil"/>
              <w:left w:val="nil"/>
              <w:bottom w:val="nil"/>
              <w:right w:val="nil"/>
            </w:tcBorders>
          </w:tcPr>
          <w:p w14:paraId="474341F5" w14:textId="77777777" w:rsidR="00D565B6" w:rsidRPr="00FE71E5" w:rsidRDefault="00D565B6" w:rsidP="006107DB">
            <w:pPr>
              <w:pStyle w:val="KeyText"/>
              <w:spacing w:before="0"/>
              <w:rPr>
                <w:iCs/>
              </w:rPr>
            </w:pPr>
            <w:r w:rsidRPr="00FE71E5">
              <w:rPr>
                <w:iCs/>
              </w:rPr>
              <w:t>C</w:t>
            </w:r>
          </w:p>
        </w:tc>
        <w:tc>
          <w:tcPr>
            <w:tcW w:w="5778" w:type="dxa"/>
            <w:tcBorders>
              <w:top w:val="nil"/>
              <w:left w:val="nil"/>
              <w:bottom w:val="nil"/>
              <w:right w:val="nil"/>
            </w:tcBorders>
          </w:tcPr>
          <w:p w14:paraId="7A462825" w14:textId="3474D9E5" w:rsidR="00D565B6" w:rsidRPr="00FE71E5" w:rsidRDefault="0031779A" w:rsidP="006107DB">
            <w:pPr>
              <w:pStyle w:val="KeyText"/>
              <w:spacing w:before="0"/>
              <w:rPr>
                <w:iCs/>
              </w:rPr>
            </w:pPr>
            <w:r w:rsidRPr="00FE71E5">
              <w:rPr>
                <w:iCs/>
              </w:rPr>
              <w:t>l</w:t>
            </w:r>
            <w:r w:rsidR="00D565B6" w:rsidRPr="00FE71E5">
              <w:rPr>
                <w:iCs/>
              </w:rPr>
              <w:t>ine of horizontal reinforcement</w:t>
            </w:r>
          </w:p>
        </w:tc>
      </w:tr>
      <w:tr w:rsidR="00D565B6" w:rsidRPr="00132C1E" w14:paraId="7BE167A6" w14:textId="77777777" w:rsidTr="006107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2" w:type="dxa"/>
            <w:tcBorders>
              <w:top w:val="nil"/>
              <w:left w:val="nil"/>
              <w:bottom w:val="nil"/>
              <w:right w:val="nil"/>
            </w:tcBorders>
          </w:tcPr>
          <w:p w14:paraId="560793ED" w14:textId="77777777" w:rsidR="00D565B6" w:rsidRPr="00FE71E5" w:rsidRDefault="00D565B6" w:rsidP="006107DB">
            <w:pPr>
              <w:pStyle w:val="KeyText"/>
              <w:spacing w:before="0"/>
              <w:rPr>
                <w:iCs/>
              </w:rPr>
            </w:pPr>
            <w:r w:rsidRPr="00FE71E5">
              <w:rPr>
                <w:iCs/>
              </w:rPr>
              <w:t>D</w:t>
            </w:r>
          </w:p>
        </w:tc>
        <w:tc>
          <w:tcPr>
            <w:tcW w:w="5778" w:type="dxa"/>
            <w:tcBorders>
              <w:top w:val="nil"/>
              <w:left w:val="nil"/>
              <w:bottom w:val="nil"/>
              <w:right w:val="nil"/>
            </w:tcBorders>
          </w:tcPr>
          <w:p w14:paraId="7BC2D139" w14:textId="70515F38" w:rsidR="00D565B6" w:rsidRPr="00FE71E5" w:rsidRDefault="0031779A" w:rsidP="006107DB">
            <w:pPr>
              <w:pStyle w:val="KeyText"/>
              <w:spacing w:before="0"/>
              <w:rPr>
                <w:iCs/>
              </w:rPr>
            </w:pPr>
            <w:r w:rsidRPr="00FE71E5">
              <w:rPr>
                <w:iCs/>
              </w:rPr>
              <w:t>f</w:t>
            </w:r>
            <w:r w:rsidR="00D565B6" w:rsidRPr="00FE71E5">
              <w:rPr>
                <w:iCs/>
              </w:rPr>
              <w:t>ace bearing plates</w:t>
            </w:r>
          </w:p>
        </w:tc>
      </w:tr>
      <w:tr w:rsidR="00D565B6" w:rsidRPr="00132C1E" w14:paraId="392D52CE" w14:textId="77777777" w:rsidTr="006107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2" w:type="dxa"/>
            <w:tcBorders>
              <w:top w:val="nil"/>
              <w:left w:val="nil"/>
              <w:bottom w:val="nil"/>
              <w:right w:val="nil"/>
            </w:tcBorders>
          </w:tcPr>
          <w:p w14:paraId="11523388" w14:textId="77777777" w:rsidR="00D565B6" w:rsidRPr="00FE71E5" w:rsidRDefault="00D565B6" w:rsidP="006107DB">
            <w:pPr>
              <w:pStyle w:val="KeyText"/>
              <w:spacing w:before="0"/>
              <w:rPr>
                <w:iCs/>
              </w:rPr>
            </w:pPr>
            <w:r w:rsidRPr="00FE71E5">
              <w:rPr>
                <w:iCs/>
              </w:rPr>
              <w:t>E</w:t>
            </w:r>
          </w:p>
        </w:tc>
        <w:tc>
          <w:tcPr>
            <w:tcW w:w="5778" w:type="dxa"/>
            <w:tcBorders>
              <w:top w:val="nil"/>
              <w:left w:val="nil"/>
              <w:bottom w:val="nil"/>
              <w:right w:val="nil"/>
            </w:tcBorders>
          </w:tcPr>
          <w:p w14:paraId="198FB55C" w14:textId="2C9F216C" w:rsidR="00D565B6" w:rsidRPr="00FE71E5" w:rsidRDefault="0031779A" w:rsidP="006107DB">
            <w:pPr>
              <w:pStyle w:val="KeyText"/>
              <w:spacing w:before="0"/>
              <w:rPr>
                <w:iCs/>
              </w:rPr>
            </w:pPr>
            <w:r w:rsidRPr="00FE71E5">
              <w:rPr>
                <w:iCs/>
              </w:rPr>
              <w:t>c</w:t>
            </w:r>
            <w:r w:rsidR="00D565B6" w:rsidRPr="00FE71E5">
              <w:rPr>
                <w:iCs/>
              </w:rPr>
              <w:t>oncrete footing</w:t>
            </w:r>
          </w:p>
        </w:tc>
      </w:tr>
      <w:tr w:rsidR="00D565B6" w:rsidRPr="00132C1E" w14:paraId="312889AA" w14:textId="77777777" w:rsidTr="006107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2" w:type="dxa"/>
            <w:tcBorders>
              <w:top w:val="nil"/>
              <w:left w:val="nil"/>
              <w:bottom w:val="nil"/>
              <w:right w:val="nil"/>
            </w:tcBorders>
          </w:tcPr>
          <w:p w14:paraId="1ACE6E26" w14:textId="77777777" w:rsidR="00D565B6" w:rsidRPr="00FE71E5" w:rsidRDefault="00D565B6" w:rsidP="006107DB">
            <w:pPr>
              <w:pStyle w:val="KeyText"/>
              <w:spacing w:before="0"/>
              <w:rPr>
                <w:iCs/>
              </w:rPr>
            </w:pPr>
            <w:r w:rsidRPr="00FE71E5">
              <w:rPr>
                <w:iCs/>
              </w:rPr>
              <w:t>F</w:t>
            </w:r>
          </w:p>
        </w:tc>
        <w:tc>
          <w:tcPr>
            <w:tcW w:w="5778" w:type="dxa"/>
            <w:tcBorders>
              <w:top w:val="nil"/>
              <w:left w:val="nil"/>
              <w:bottom w:val="nil"/>
              <w:right w:val="nil"/>
            </w:tcBorders>
          </w:tcPr>
          <w:p w14:paraId="7C645BF4" w14:textId="1B513E1B" w:rsidR="00D565B6" w:rsidRPr="00FE71E5" w:rsidRDefault="0031779A" w:rsidP="006107DB">
            <w:pPr>
              <w:pStyle w:val="KeyText"/>
              <w:spacing w:before="0"/>
              <w:rPr>
                <w:iCs/>
              </w:rPr>
            </w:pPr>
            <w:r w:rsidRPr="00FE71E5">
              <w:rPr>
                <w:iCs/>
              </w:rPr>
              <w:t>s</w:t>
            </w:r>
            <w:r w:rsidR="00D565B6" w:rsidRPr="00FE71E5">
              <w:rPr>
                <w:iCs/>
              </w:rPr>
              <w:t>teel base plate</w:t>
            </w:r>
          </w:p>
        </w:tc>
      </w:tr>
    </w:tbl>
    <w:p w14:paraId="7B36197E" w14:textId="1A4D1BE9" w:rsidR="00D565B6" w:rsidRPr="00A47E27" w:rsidRDefault="00D565B6" w:rsidP="00A47E27">
      <w:pPr>
        <w:pStyle w:val="Figuretitle"/>
      </w:pPr>
      <w:r w:rsidRPr="00A47E27">
        <w:t>Figure H.</w:t>
      </w:r>
      <w:r w:rsidR="00773115">
        <w:t>3</w:t>
      </w:r>
      <w:r w:rsidRPr="00A47E27">
        <w:t> — Typical embedded column base connection detail</w:t>
      </w:r>
    </w:p>
    <w:p w14:paraId="657CF5B3" w14:textId="77777777" w:rsidR="00D565B6" w:rsidRPr="004F25D7" w:rsidRDefault="00D565B6" w:rsidP="00D565B6">
      <w:pPr>
        <w:pStyle w:val="a3"/>
      </w:pPr>
      <w:bookmarkStart w:id="11613" w:name="_Toc50150801"/>
      <w:bookmarkStart w:id="11614" w:name="_Toc70887234"/>
      <w:bookmarkStart w:id="11615" w:name="_Toc108342846"/>
      <w:bookmarkStart w:id="11616" w:name="_Toc120543931"/>
      <w:bookmarkStart w:id="11617" w:name="_Toc134198352"/>
      <w:r w:rsidRPr="00FD17CF">
        <w:t xml:space="preserve">Required shear </w:t>
      </w:r>
      <w:r w:rsidRPr="00E05E29">
        <w:t xml:space="preserve">resistance </w:t>
      </w:r>
      <w:r w:rsidRPr="00196951">
        <w:t xml:space="preserve">at the </w:t>
      </w:r>
      <w:r w:rsidRPr="002144A0">
        <w:t>embedded column base</w:t>
      </w:r>
      <w:bookmarkEnd w:id="11613"/>
      <w:bookmarkEnd w:id="11614"/>
      <w:bookmarkEnd w:id="11615"/>
      <w:bookmarkEnd w:id="11616"/>
      <w:bookmarkEnd w:id="11617"/>
    </w:p>
    <w:p w14:paraId="05EAC8D8" w14:textId="652ED332" w:rsidR="00D565B6" w:rsidRPr="00113806" w:rsidRDefault="00D565B6" w:rsidP="0080187E">
      <w:pPr>
        <w:pStyle w:val="Clause"/>
        <w:numPr>
          <w:ilvl w:val="0"/>
          <w:numId w:val="626"/>
        </w:numPr>
      </w:pPr>
      <w:r w:rsidRPr="00A47E27">
        <w:t>The design shear resistance of the column base should satisfy Formula (H.19).</w:t>
      </w:r>
    </w:p>
    <w:p w14:paraId="61EFB197" w14:textId="225F66B0" w:rsidR="00A47E27" w:rsidRPr="006C09CE" w:rsidRDefault="009B5CEC" w:rsidP="00A47E27">
      <w:pPr>
        <w:pStyle w:val="Formula"/>
        <w:spacing w:before="240"/>
      </w:pPr>
      <m:oMath>
        <m:sSub>
          <m:sSubPr>
            <m:ctrlPr>
              <w:rPr>
                <w:rFonts w:ascii="Cambria Math" w:hAnsi="Cambria Math"/>
              </w:rPr>
            </m:ctrlPr>
          </m:sSubPr>
          <m:e>
            <m:r>
              <w:rPr>
                <w:rFonts w:ascii="Cambria Math" w:hAnsi="Cambria Math"/>
              </w:rPr>
              <m:t>V</m:t>
            </m:r>
          </m:e>
          <m:sub>
            <m:r>
              <m:rPr>
                <m:sty m:val="p"/>
              </m:rPr>
              <w:rPr>
                <w:rFonts w:ascii="Cambria Math" w:hAnsi="Cambria Math"/>
              </w:rPr>
              <m:t>Rd</m:t>
            </m:r>
          </m:sub>
        </m:sSub>
        <m:r>
          <w:rPr>
            <w:rFonts w:ascii="Cambria Math" w:hAnsi="Cambria Math"/>
          </w:rPr>
          <m:t>≥</m:t>
        </m:r>
        <m:func>
          <m:funcPr>
            <m:ctrlPr>
              <w:rPr>
                <w:rFonts w:ascii="Cambria Math" w:hAnsi="Cambria Math"/>
              </w:rPr>
            </m:ctrlPr>
          </m:funcPr>
          <m:fName>
            <m:r>
              <m:rPr>
                <m:sty m:val="p"/>
              </m:rPr>
              <w:rPr>
                <w:rFonts w:ascii="Cambria Math" w:hAnsi="Cambria Math"/>
              </w:rPr>
              <m:t>max</m:t>
            </m:r>
          </m:fName>
          <m:e>
            <m:d>
              <m:dPr>
                <m:begChr m:val="{"/>
                <m:endChr m:val="}"/>
                <m:ctrlPr>
                  <w:rPr>
                    <w:rFonts w:ascii="Cambria Math" w:hAnsi="Cambria Math"/>
                  </w:rPr>
                </m:ctrlPr>
              </m:dPr>
              <m:e>
                <m:sSub>
                  <m:sSubPr>
                    <m:ctrlPr>
                      <w:rPr>
                        <w:rFonts w:ascii="Cambria Math" w:hAnsi="Cambria Math"/>
                      </w:rPr>
                    </m:ctrlPr>
                  </m:sSubPr>
                  <m:e>
                    <m:r>
                      <w:rPr>
                        <w:rFonts w:ascii="Cambria Math" w:hAnsi="Cambria Math"/>
                      </w:rPr>
                      <m:t>V</m:t>
                    </m:r>
                  </m:e>
                  <m:sub>
                    <m:r>
                      <m:rPr>
                        <m:sty m:val="p"/>
                      </m:rPr>
                      <w:rPr>
                        <w:rFonts w:ascii="Cambria Math" w:hAnsi="Cambria Math"/>
                      </w:rPr>
                      <m:t>Ed</m:t>
                    </m:r>
                  </m:sub>
                </m:sSub>
                <m:r>
                  <w:rPr>
                    <w:rFonts w:ascii="Cambria Math" w:hAnsi="Cambria Math"/>
                  </w:rPr>
                  <m:t>,</m:t>
                </m:r>
                <m:f>
                  <m:fPr>
                    <m:ctrlPr>
                      <w:rPr>
                        <w:rFonts w:ascii="Cambria Math" w:hAnsi="Cambria Math"/>
                      </w:rPr>
                    </m:ctrlPr>
                  </m:fPr>
                  <m:num>
                    <m:r>
                      <w:rPr>
                        <w:rFonts w:ascii="Cambria Math" w:hAnsi="Cambria Math"/>
                      </w:rPr>
                      <m:t>2</m:t>
                    </m:r>
                    <m:sSub>
                      <m:sSubPr>
                        <m:ctrlPr>
                          <w:rPr>
                            <w:rFonts w:ascii="Cambria Math" w:hAnsi="Cambria Math"/>
                          </w:rPr>
                        </m:ctrlPr>
                      </m:sSubPr>
                      <m:e>
                        <m:r>
                          <w:rPr>
                            <w:rFonts w:ascii="Cambria Math" w:hAnsi="Cambria Math"/>
                          </w:rPr>
                          <m:t>M</m:t>
                        </m:r>
                      </m:e>
                      <m:sub>
                        <m:r>
                          <m:rPr>
                            <m:sty m:val="p"/>
                          </m:rPr>
                          <w:rPr>
                            <w:rFonts w:ascii="Cambria Math" w:hAnsi="Cambria Math"/>
                          </w:rPr>
                          <m:t>pl</m:t>
                        </m:r>
                      </m:sub>
                    </m:sSub>
                  </m:num>
                  <m:den>
                    <m:r>
                      <w:rPr>
                        <w:rFonts w:ascii="Cambria Math" w:hAnsi="Cambria Math"/>
                      </w:rPr>
                      <m:t>H</m:t>
                    </m:r>
                  </m:den>
                </m:f>
              </m:e>
            </m:d>
          </m:e>
        </m:func>
      </m:oMath>
      <w:r w:rsidR="00A47E27" w:rsidRPr="006C09CE">
        <w:tab/>
        <w:t>(H.</w:t>
      </w:r>
      <w:r w:rsidR="00A47E27">
        <w:t>19</w:t>
      </w:r>
      <w:r w:rsidR="00A47E27" w:rsidRPr="006C09CE">
        <w:t>)</w:t>
      </w:r>
    </w:p>
    <w:p w14:paraId="437CD16F" w14:textId="465ADF39" w:rsidR="00A47E27" w:rsidRDefault="00675EBA" w:rsidP="00773115">
      <w:pPr>
        <w:pStyle w:val="Text"/>
      </w:pPr>
      <w:r>
        <w:t>where</w:t>
      </w:r>
    </w:p>
    <w:tbl>
      <w:tblPr>
        <w:tblW w:w="0" w:type="auto"/>
        <w:tblInd w:w="346" w:type="dxa"/>
        <w:tblLook w:val="04A0" w:firstRow="1" w:lastRow="0" w:firstColumn="1" w:lastColumn="0" w:noHBand="0" w:noVBand="1"/>
      </w:tblPr>
      <w:tblGrid>
        <w:gridCol w:w="1275"/>
        <w:gridCol w:w="7938"/>
      </w:tblGrid>
      <w:tr w:rsidR="00A47E27" w:rsidRPr="00FF1786" w14:paraId="4016EC70" w14:textId="77777777" w:rsidTr="006107DB">
        <w:tc>
          <w:tcPr>
            <w:tcW w:w="1275" w:type="dxa"/>
          </w:tcPr>
          <w:p w14:paraId="267B7887" w14:textId="77F90FEC" w:rsidR="00A47E27" w:rsidRPr="00460668" w:rsidRDefault="009B5CEC" w:rsidP="002061E5">
            <w:pPr>
              <w:spacing w:after="60"/>
              <w:rPr>
                <w:rFonts w:eastAsia="Times New Roman" w:cs="Cambria"/>
                <w:szCs w:val="20"/>
                <w:lang w:eastAsia="fr-FR"/>
              </w:rPr>
            </w:pPr>
            <m:oMathPara>
              <m:oMathParaPr>
                <m:jc m:val="left"/>
              </m:oMathParaPr>
              <m:oMath>
                <m:sSub>
                  <m:sSubPr>
                    <m:ctrlPr>
                      <w:rPr>
                        <w:rFonts w:ascii="Cambria Math" w:hAnsi="Cambria Math"/>
                        <w:i/>
                        <w:iCs/>
                      </w:rPr>
                    </m:ctrlPr>
                  </m:sSubPr>
                  <m:e>
                    <m:r>
                      <w:rPr>
                        <w:rFonts w:ascii="Cambria Math" w:hAnsi="Cambria Math"/>
                      </w:rPr>
                      <m:t>V</m:t>
                    </m:r>
                  </m:e>
                  <m:sub>
                    <m:r>
                      <m:rPr>
                        <m:sty m:val="p"/>
                      </m:rPr>
                      <w:rPr>
                        <w:rFonts w:ascii="Cambria Math" w:hAnsi="Cambria Math"/>
                        <w:vertAlign w:val="subscript"/>
                      </w:rPr>
                      <m:t>Ed</m:t>
                    </m:r>
                  </m:sub>
                </m:sSub>
              </m:oMath>
            </m:oMathPara>
          </w:p>
        </w:tc>
        <w:tc>
          <w:tcPr>
            <w:tcW w:w="7938" w:type="dxa"/>
          </w:tcPr>
          <w:p w14:paraId="69CB876A" w14:textId="0FBD6B97" w:rsidR="00A47E27" w:rsidRPr="00A47E27" w:rsidRDefault="00A47E27" w:rsidP="002061E5">
            <w:pPr>
              <w:pStyle w:val="Listofsymbols"/>
              <w:tabs>
                <w:tab w:val="clear" w:pos="1134"/>
                <w:tab w:val="left" w:pos="2481"/>
              </w:tabs>
              <w:ind w:left="0" w:firstLine="0"/>
              <w:rPr>
                <w:szCs w:val="22"/>
              </w:rPr>
            </w:pPr>
            <w:r w:rsidRPr="00A47E27">
              <w:t>is the shear force for the design of foundation elements according to pr</w:t>
            </w:r>
            <w:r w:rsidR="00C30FF9">
              <w:t>EN 1</w:t>
            </w:r>
            <w:r w:rsidRPr="00A47E27">
              <w:t>998</w:t>
            </w:r>
            <w:r w:rsidR="006107DB">
              <w:noBreakHyphen/>
            </w:r>
            <w:r w:rsidRPr="00A47E27">
              <w:t>5:</w:t>
            </w:r>
            <w:r w:rsidRPr="00773115">
              <w:t xml:space="preserve">2022, </w:t>
            </w:r>
            <w:r w:rsidR="006633B5">
              <w:t xml:space="preserve">Clause </w:t>
            </w:r>
            <w:r w:rsidRPr="00773115">
              <w:t>9;</w:t>
            </w:r>
          </w:p>
        </w:tc>
      </w:tr>
      <w:tr w:rsidR="00A47E27" w:rsidRPr="00FF1786" w14:paraId="3D46BCB5" w14:textId="77777777" w:rsidTr="006107DB">
        <w:tc>
          <w:tcPr>
            <w:tcW w:w="1275" w:type="dxa"/>
          </w:tcPr>
          <w:p w14:paraId="4A7952FD" w14:textId="6331330C" w:rsidR="00A47E27" w:rsidRPr="006C09CE" w:rsidRDefault="009B5CEC" w:rsidP="002061E5">
            <w:pPr>
              <w:spacing w:after="60"/>
              <w:rPr>
                <w:rFonts w:eastAsia="Times New Roman" w:cs="Cambria"/>
                <w:szCs w:val="20"/>
                <w:lang w:eastAsia="fr-FR"/>
              </w:rPr>
            </w:pPr>
            <m:oMathPara>
              <m:oMathParaPr>
                <m:jc m:val="left"/>
              </m:oMathParaPr>
              <m:oMath>
                <m:sSub>
                  <m:sSubPr>
                    <m:ctrlPr>
                      <w:rPr>
                        <w:rFonts w:ascii="Cambria Math" w:hAnsi="Cambria Math"/>
                        <w:i/>
                        <w:iCs/>
                      </w:rPr>
                    </m:ctrlPr>
                  </m:sSubPr>
                  <m:e>
                    <m:r>
                      <w:rPr>
                        <w:rFonts w:ascii="Cambria Math" w:hAnsi="Cambria Math"/>
                      </w:rPr>
                      <m:t>M</m:t>
                    </m:r>
                  </m:e>
                  <m:sub>
                    <m:r>
                      <m:rPr>
                        <m:sty m:val="p"/>
                      </m:rPr>
                      <w:rPr>
                        <w:rFonts w:ascii="Cambria Math" w:hAnsi="Cambria Math"/>
                        <w:vertAlign w:val="subscript"/>
                      </w:rPr>
                      <m:t>pl</m:t>
                    </m:r>
                  </m:sub>
                </m:sSub>
              </m:oMath>
            </m:oMathPara>
          </w:p>
        </w:tc>
        <w:tc>
          <w:tcPr>
            <w:tcW w:w="7938" w:type="dxa"/>
          </w:tcPr>
          <w:p w14:paraId="2B7186A2" w14:textId="5865D565" w:rsidR="00A47E27" w:rsidRPr="00A47E27" w:rsidRDefault="00A47E27" w:rsidP="002061E5">
            <w:pPr>
              <w:pStyle w:val="Listofsymbols"/>
              <w:tabs>
                <w:tab w:val="clear" w:pos="1134"/>
                <w:tab w:val="left" w:pos="2481"/>
              </w:tabs>
              <w:ind w:left="0" w:firstLine="0"/>
              <w:rPr>
                <w:szCs w:val="22"/>
              </w:rPr>
            </w:pPr>
            <w:r w:rsidRPr="00A47E27">
              <w:t>is the bending resistance of the column unreduced by the effects of the axial load, at both ends;</w:t>
            </w:r>
          </w:p>
        </w:tc>
      </w:tr>
      <w:tr w:rsidR="00A47E27" w:rsidRPr="00FF1786" w14:paraId="73EC48A5" w14:textId="77777777" w:rsidTr="006107DB">
        <w:tc>
          <w:tcPr>
            <w:tcW w:w="1275" w:type="dxa"/>
          </w:tcPr>
          <w:p w14:paraId="5426E262" w14:textId="2FF522EB" w:rsidR="00A47E27" w:rsidRPr="00A47E27" w:rsidRDefault="00A47E27" w:rsidP="002061E5">
            <w:pPr>
              <w:spacing w:after="60"/>
              <w:rPr>
                <w:iCs/>
              </w:rPr>
            </w:pPr>
            <m:oMathPara>
              <m:oMathParaPr>
                <m:jc m:val="left"/>
              </m:oMathParaPr>
              <m:oMath>
                <m:r>
                  <w:rPr>
                    <w:rFonts w:ascii="Cambria Math" w:hAnsi="Cambria Math"/>
                  </w:rPr>
                  <m:t>H</m:t>
                </m:r>
              </m:oMath>
            </m:oMathPara>
          </w:p>
        </w:tc>
        <w:tc>
          <w:tcPr>
            <w:tcW w:w="7938" w:type="dxa"/>
          </w:tcPr>
          <w:p w14:paraId="72C7BEB6" w14:textId="2D760040" w:rsidR="00A47E27" w:rsidRPr="00A47E27" w:rsidRDefault="00A47E27" w:rsidP="002061E5">
            <w:pPr>
              <w:pStyle w:val="Listofsymbols"/>
              <w:tabs>
                <w:tab w:val="clear" w:pos="1134"/>
                <w:tab w:val="left" w:pos="2481"/>
              </w:tabs>
              <w:ind w:left="0" w:firstLine="0"/>
            </w:pPr>
            <w:r w:rsidRPr="00A47E27">
              <w:t>is the column clear storey height above the concrete foundation.</w:t>
            </w:r>
          </w:p>
        </w:tc>
      </w:tr>
    </w:tbl>
    <w:p w14:paraId="49B09921" w14:textId="77777777" w:rsidR="00A47E27" w:rsidRPr="00132C1E" w:rsidRDefault="00A47E27" w:rsidP="00A47E27">
      <w:pPr>
        <w:pStyle w:val="a3"/>
      </w:pPr>
      <w:bookmarkStart w:id="11618" w:name="_Toc50150802"/>
      <w:bookmarkStart w:id="11619" w:name="_Toc70887235"/>
      <w:bookmarkStart w:id="11620" w:name="_Toc108342847"/>
      <w:bookmarkStart w:id="11621" w:name="_Toc120543932"/>
      <w:bookmarkStart w:id="11622" w:name="_Toc134198353"/>
      <w:r w:rsidRPr="002144A0">
        <w:t xml:space="preserve">Required </w:t>
      </w:r>
      <w:r w:rsidRPr="004F25D7">
        <w:t>c</w:t>
      </w:r>
      <w:r w:rsidRPr="00C52095">
        <w:t xml:space="preserve">olumn embedment </w:t>
      </w:r>
      <w:r w:rsidRPr="007754C9">
        <w:t>d</w:t>
      </w:r>
      <w:r w:rsidRPr="00132C1E">
        <w:t>epth</w:t>
      </w:r>
      <w:bookmarkEnd w:id="11618"/>
      <w:bookmarkEnd w:id="11619"/>
      <w:bookmarkEnd w:id="11620"/>
      <w:bookmarkEnd w:id="11621"/>
      <w:bookmarkEnd w:id="11622"/>
    </w:p>
    <w:p w14:paraId="16EF761C" w14:textId="5819EFDF" w:rsidR="00A47E27" w:rsidRPr="00113806" w:rsidRDefault="00A47E27" w:rsidP="0080187E">
      <w:pPr>
        <w:pStyle w:val="Clause"/>
        <w:numPr>
          <w:ilvl w:val="0"/>
          <w:numId w:val="627"/>
        </w:numPr>
      </w:pPr>
      <w:r w:rsidRPr="00132C1E">
        <w:t xml:space="preserve">The embedment length, </w:t>
      </w:r>
      <m:oMath>
        <m:sSub>
          <m:sSubPr>
            <m:ctrlPr>
              <w:rPr>
                <w:rFonts w:ascii="Cambria Math" w:hAnsi="Cambria Math"/>
                <w:i/>
                <w:iCs/>
              </w:rPr>
            </m:ctrlPr>
          </m:sSubPr>
          <m:e>
            <m:r>
              <w:rPr>
                <w:rFonts w:ascii="Cambria Math" w:hAnsi="Cambria Math"/>
              </w:rPr>
              <m:t>L</m:t>
            </m:r>
          </m:e>
          <m:sub>
            <m:r>
              <m:rPr>
                <m:sty m:val="p"/>
              </m:rPr>
              <w:rPr>
                <w:rFonts w:ascii="Cambria Math" w:hAnsi="Cambria Math"/>
                <w:vertAlign w:val="subscript"/>
              </w:rPr>
              <m:t>e</m:t>
            </m:r>
          </m:sub>
        </m:sSub>
      </m:oMath>
      <w:r w:rsidRPr="00A47E27">
        <w:t xml:space="preserve">, (Figure H.3) </w:t>
      </w:r>
      <w:r w:rsidRPr="00A80F25">
        <w:rPr>
          <w:color w:val="auto"/>
        </w:rPr>
        <w:t xml:space="preserve">should satisfy </w:t>
      </w:r>
      <w:r w:rsidRPr="00A47E27">
        <w:t>be calculated based on the required shear resistance of the embedded column base connection as given by Formula (H.20) (u</w:t>
      </w:r>
      <w:r w:rsidRPr="002144A0">
        <w:t>nits are N, mm)</w:t>
      </w:r>
      <w:r w:rsidRPr="004F25D7">
        <w:t>.</w:t>
      </w:r>
    </w:p>
    <w:p w14:paraId="4C9DBC11" w14:textId="1FD49367" w:rsidR="00A47E27" w:rsidRPr="006C09CE" w:rsidRDefault="00A47E27" w:rsidP="00A47E27">
      <w:pPr>
        <w:pStyle w:val="Formula"/>
        <w:spacing w:before="240"/>
      </w:pPr>
      <m:oMath>
        <m:r>
          <w:rPr>
            <w:rFonts w:ascii="Cambria Math" w:hAnsi="Cambria Math"/>
          </w:rPr>
          <m:t>0,004</m:t>
        </m:r>
        <m:rad>
          <m:radPr>
            <m:degHide m:val="1"/>
            <m:ctrlPr>
              <w:rPr>
                <w:rFonts w:ascii="Cambria Math" w:hAnsi="Cambria Math"/>
              </w:rPr>
            </m:ctrlPr>
          </m:radPr>
          <m:deg/>
          <m:e>
            <m:sSub>
              <m:sSubPr>
                <m:ctrlPr>
                  <w:rPr>
                    <w:rFonts w:ascii="Cambria Math" w:hAnsi="Cambria Math"/>
                  </w:rPr>
                </m:ctrlPr>
              </m:sSubPr>
              <m:e>
                <m:r>
                  <w:rPr>
                    <w:rFonts w:ascii="Cambria Math" w:hAnsi="Cambria Math"/>
                  </w:rPr>
                  <m:t>f</m:t>
                </m:r>
              </m:e>
              <m:sub>
                <m:r>
                  <m:rPr>
                    <m:sty m:val="p"/>
                  </m:rPr>
                  <w:rPr>
                    <w:rFonts w:ascii="Cambria Math" w:hAnsi="Cambria Math"/>
                  </w:rPr>
                  <m:t>cd</m:t>
                </m:r>
              </m:sub>
            </m:sSub>
          </m:e>
        </m:rad>
        <m:sSup>
          <m:sSupPr>
            <m:ctrlPr>
              <w:rPr>
                <w:rFonts w:ascii="Cambria Math" w:hAnsi="Cambria Math"/>
              </w:rPr>
            </m:ctrlPr>
          </m:sSupPr>
          <m:e>
            <m:d>
              <m:dPr>
                <m:ctrlPr>
                  <w:rPr>
                    <w:rFonts w:ascii="Cambria Math" w:hAnsi="Cambria Math"/>
                  </w:rPr>
                </m:ctrlPr>
              </m:dPr>
              <m:e>
                <m:f>
                  <m:fPr>
                    <m:ctrlPr>
                      <w:rPr>
                        <w:rFonts w:ascii="Cambria Math" w:hAnsi="Cambria Math"/>
                      </w:rPr>
                    </m:ctrlPr>
                  </m:fPr>
                  <m:num>
                    <m:sSub>
                      <m:sSubPr>
                        <m:ctrlPr>
                          <w:rPr>
                            <w:rFonts w:ascii="Cambria Math" w:hAnsi="Cambria Math"/>
                          </w:rPr>
                        </m:ctrlPr>
                      </m:sSubPr>
                      <m:e>
                        <m:r>
                          <w:rPr>
                            <w:rFonts w:ascii="Cambria Math" w:hAnsi="Cambria Math"/>
                          </w:rPr>
                          <m:t>b</m:t>
                        </m:r>
                      </m:e>
                      <m:sub>
                        <m:r>
                          <m:rPr>
                            <m:sty m:val="p"/>
                          </m:rPr>
                          <w:rPr>
                            <w:rFonts w:ascii="Cambria Math" w:hAnsi="Cambria Math"/>
                          </w:rPr>
                          <m:t>w</m:t>
                        </m:r>
                      </m:sub>
                    </m:sSub>
                  </m:num>
                  <m:den>
                    <m:sSub>
                      <m:sSubPr>
                        <m:ctrlPr>
                          <w:rPr>
                            <w:rFonts w:ascii="Cambria Math" w:hAnsi="Cambria Math"/>
                          </w:rPr>
                        </m:ctrlPr>
                      </m:sSubPr>
                      <m:e>
                        <m:r>
                          <w:rPr>
                            <w:rFonts w:ascii="Cambria Math" w:hAnsi="Cambria Math"/>
                          </w:rPr>
                          <m:t>b</m:t>
                        </m:r>
                      </m:e>
                      <m:sub>
                        <m:r>
                          <m:rPr>
                            <m:sty m:val="p"/>
                          </m:rPr>
                          <w:rPr>
                            <w:rFonts w:ascii="Cambria Math" w:hAnsi="Cambria Math"/>
                          </w:rPr>
                          <m:t>f</m:t>
                        </m:r>
                      </m:sub>
                    </m:sSub>
                  </m:den>
                </m:f>
              </m:e>
            </m:d>
          </m:e>
          <m:sup>
            <m:r>
              <w:rPr>
                <w:rFonts w:ascii="Cambria Math" w:hAnsi="Cambria Math"/>
              </w:rPr>
              <m:t>0,66</m:t>
            </m:r>
          </m:sup>
        </m:sSup>
        <m:r>
          <w:rPr>
            <w:rFonts w:ascii="Cambria Math" w:hAnsi="Cambria Math"/>
          </w:rPr>
          <m:t>×0,85×</m:t>
        </m:r>
        <m:sSub>
          <m:sSubPr>
            <m:ctrlPr>
              <w:rPr>
                <w:rFonts w:ascii="Cambria Math" w:hAnsi="Cambria Math"/>
              </w:rPr>
            </m:ctrlPr>
          </m:sSubPr>
          <m:e>
            <m:r>
              <w:rPr>
                <w:rFonts w:ascii="Cambria Math" w:hAnsi="Cambria Math"/>
              </w:rPr>
              <m:t>b</m:t>
            </m:r>
          </m:e>
          <m:sub>
            <m:r>
              <m:rPr>
                <m:sty m:val="p"/>
              </m:rPr>
              <w:rPr>
                <w:rFonts w:ascii="Cambria Math" w:hAnsi="Cambria Math"/>
              </w:rPr>
              <m:t>f</m:t>
            </m:r>
          </m:sub>
        </m:sSub>
        <m:r>
          <w:rPr>
            <w:rFonts w:ascii="Cambria Math" w:hAnsi="Cambria Math"/>
          </w:rPr>
          <m:t>×</m:t>
        </m:r>
        <m:sSub>
          <m:sSubPr>
            <m:ctrlPr>
              <w:rPr>
                <w:rFonts w:ascii="Cambria Math" w:hAnsi="Cambria Math"/>
              </w:rPr>
            </m:ctrlPr>
          </m:sSubPr>
          <m:e>
            <m:r>
              <w:rPr>
                <w:rFonts w:ascii="Cambria Math" w:hAnsi="Cambria Math"/>
              </w:rPr>
              <m:t>L</m:t>
            </m:r>
          </m:e>
          <m:sub>
            <m:r>
              <m:rPr>
                <m:sty m:val="p"/>
              </m:rPr>
              <w:rPr>
                <w:rFonts w:ascii="Cambria Math" w:hAnsi="Cambria Math"/>
              </w:rPr>
              <m:t>e</m:t>
            </m:r>
          </m:sub>
        </m:sSub>
        <m:r>
          <w:rPr>
            <w:rFonts w:ascii="Cambria Math" w:hAnsi="Cambria Math"/>
          </w:rPr>
          <m:t>×</m:t>
        </m:r>
        <m:d>
          <m:dPr>
            <m:begChr m:val="["/>
            <m:endChr m:val="]"/>
            <m:ctrlPr>
              <w:rPr>
                <w:rFonts w:ascii="Cambria Math" w:hAnsi="Cambria Math"/>
              </w:rPr>
            </m:ctrlPr>
          </m:dPr>
          <m:e>
            <m:f>
              <m:fPr>
                <m:ctrlPr>
                  <w:rPr>
                    <w:rFonts w:ascii="Cambria Math" w:hAnsi="Cambria Math"/>
                  </w:rPr>
                </m:ctrlPr>
              </m:fPr>
              <m:num>
                <m:r>
                  <w:rPr>
                    <w:rFonts w:ascii="Cambria Math" w:hAnsi="Cambria Math"/>
                  </w:rPr>
                  <m:t>4,04</m:t>
                </m:r>
              </m:num>
              <m:den>
                <m:r>
                  <w:rPr>
                    <w:rFonts w:ascii="Cambria Math" w:hAnsi="Cambria Math"/>
                  </w:rPr>
                  <m:t>0,88+</m:t>
                </m:r>
                <m:f>
                  <m:fPr>
                    <m:ctrlPr>
                      <w:rPr>
                        <w:rFonts w:ascii="Cambria Math" w:hAnsi="Cambria Math"/>
                      </w:rPr>
                    </m:ctrlPr>
                  </m:fPr>
                  <m:num>
                    <m:r>
                      <w:rPr>
                        <w:rFonts w:ascii="Cambria Math" w:hAnsi="Cambria Math"/>
                      </w:rPr>
                      <m:t>H</m:t>
                    </m:r>
                  </m:num>
                  <m:den>
                    <m:r>
                      <w:rPr>
                        <w:rFonts w:ascii="Cambria Math" w:hAnsi="Cambria Math"/>
                      </w:rPr>
                      <m:t>2</m:t>
                    </m:r>
                    <m:sSub>
                      <m:sSubPr>
                        <m:ctrlPr>
                          <w:rPr>
                            <w:rFonts w:ascii="Cambria Math" w:hAnsi="Cambria Math"/>
                          </w:rPr>
                        </m:ctrlPr>
                      </m:sSubPr>
                      <m:e>
                        <m:r>
                          <w:rPr>
                            <w:rFonts w:ascii="Cambria Math" w:hAnsi="Cambria Math"/>
                          </w:rPr>
                          <m:t>L</m:t>
                        </m:r>
                      </m:e>
                      <m:sub>
                        <m:r>
                          <m:rPr>
                            <m:sty m:val="p"/>
                          </m:rPr>
                          <w:rPr>
                            <w:rFonts w:ascii="Cambria Math" w:hAnsi="Cambria Math"/>
                          </w:rPr>
                          <m:t>e</m:t>
                        </m:r>
                      </m:sub>
                    </m:sSub>
                  </m:den>
                </m:f>
              </m:den>
            </m:f>
          </m:e>
        </m:d>
        <m:r>
          <w:rPr>
            <w:rFonts w:ascii="Cambria Math" w:hAnsi="Cambria Math"/>
          </w:rPr>
          <m:t>≥</m:t>
        </m:r>
        <m:sSub>
          <m:sSubPr>
            <m:ctrlPr>
              <w:rPr>
                <w:rFonts w:ascii="Cambria Math" w:hAnsi="Cambria Math"/>
              </w:rPr>
            </m:ctrlPr>
          </m:sSubPr>
          <m:e>
            <m:r>
              <w:rPr>
                <w:rFonts w:ascii="Cambria Math" w:hAnsi="Cambria Math"/>
              </w:rPr>
              <m:t>V</m:t>
            </m:r>
          </m:e>
          <m:sub>
            <m:r>
              <m:rPr>
                <m:sty m:val="p"/>
              </m:rPr>
              <w:rPr>
                <w:rFonts w:ascii="Cambria Math" w:hAnsi="Cambria Math"/>
              </w:rPr>
              <m:t>Rd</m:t>
            </m:r>
          </m:sub>
        </m:sSub>
      </m:oMath>
      <w:r w:rsidRPr="006C09CE">
        <w:tab/>
        <w:t>(H.</w:t>
      </w:r>
      <w:r>
        <w:t>20</w:t>
      </w:r>
      <w:r w:rsidRPr="006C09CE">
        <w:t>)</w:t>
      </w:r>
    </w:p>
    <w:p w14:paraId="5A44BCA7" w14:textId="5259A770" w:rsidR="00A47E27" w:rsidRDefault="00675EBA" w:rsidP="00773115">
      <w:pPr>
        <w:pStyle w:val="Text"/>
      </w:pPr>
      <w:r>
        <w:t>where</w:t>
      </w:r>
    </w:p>
    <w:tbl>
      <w:tblPr>
        <w:tblW w:w="0" w:type="auto"/>
        <w:tblInd w:w="346" w:type="dxa"/>
        <w:tblLook w:val="04A0" w:firstRow="1" w:lastRow="0" w:firstColumn="1" w:lastColumn="0" w:noHBand="0" w:noVBand="1"/>
      </w:tblPr>
      <w:tblGrid>
        <w:gridCol w:w="1275"/>
        <w:gridCol w:w="7938"/>
      </w:tblGrid>
      <w:tr w:rsidR="00A47E27" w:rsidRPr="00FF1786" w14:paraId="0238527A" w14:textId="77777777" w:rsidTr="006107DB">
        <w:tc>
          <w:tcPr>
            <w:tcW w:w="1275" w:type="dxa"/>
          </w:tcPr>
          <w:p w14:paraId="1A0642C3" w14:textId="4358481E" w:rsidR="00A47E27" w:rsidRPr="00460668" w:rsidRDefault="009B5CEC" w:rsidP="002061E5">
            <w:pPr>
              <w:spacing w:after="60"/>
              <w:rPr>
                <w:rFonts w:eastAsia="Times New Roman" w:cs="Cambria"/>
                <w:szCs w:val="20"/>
                <w:lang w:eastAsia="fr-FR"/>
              </w:rPr>
            </w:pPr>
            <m:oMathPara>
              <m:oMathParaPr>
                <m:jc m:val="left"/>
              </m:oMathParaPr>
              <m:oMath>
                <m:sSub>
                  <m:sSubPr>
                    <m:ctrlPr>
                      <w:rPr>
                        <w:rFonts w:ascii="Cambria Math" w:eastAsia="Cambria" w:hAnsi="Cambria Math"/>
                        <w:i/>
                        <w:sz w:val="20"/>
                        <w:lang w:eastAsia="de-DE"/>
                      </w:rPr>
                    </m:ctrlPr>
                  </m:sSubPr>
                  <m:e>
                    <m:r>
                      <w:rPr>
                        <w:rFonts w:ascii="Cambria Math" w:eastAsia="Cambria" w:hAnsi="Cambria Math"/>
                        <w:sz w:val="20"/>
                        <w:lang w:eastAsia="de-DE"/>
                      </w:rPr>
                      <m:t>b</m:t>
                    </m:r>
                  </m:e>
                  <m:sub>
                    <m:r>
                      <m:rPr>
                        <m:sty m:val="p"/>
                      </m:rPr>
                      <w:rPr>
                        <w:rFonts w:ascii="Cambria Math" w:eastAsia="Cambria" w:hAnsi="Cambria Math"/>
                        <w:sz w:val="20"/>
                        <w:lang w:eastAsia="de-DE"/>
                      </w:rPr>
                      <m:t>f</m:t>
                    </m:r>
                  </m:sub>
                </m:sSub>
              </m:oMath>
            </m:oMathPara>
          </w:p>
        </w:tc>
        <w:tc>
          <w:tcPr>
            <w:tcW w:w="7938" w:type="dxa"/>
          </w:tcPr>
          <w:p w14:paraId="7D3C027C" w14:textId="28D792C8" w:rsidR="00A47E27" w:rsidRPr="00A47E27" w:rsidRDefault="00A47E27" w:rsidP="002061E5">
            <w:pPr>
              <w:pStyle w:val="Listofsymbols"/>
              <w:tabs>
                <w:tab w:val="clear" w:pos="1134"/>
                <w:tab w:val="left" w:pos="2481"/>
              </w:tabs>
              <w:ind w:left="0" w:firstLine="0"/>
              <w:rPr>
                <w:szCs w:val="22"/>
              </w:rPr>
            </w:pPr>
            <w:r w:rsidRPr="00132C1E">
              <w:t>is the column flange width</w:t>
            </w:r>
            <w:r w:rsidRPr="00D1484A">
              <w:t xml:space="preserve"> under bearing;</w:t>
            </w:r>
          </w:p>
        </w:tc>
      </w:tr>
      <w:tr w:rsidR="00A47E27" w:rsidRPr="00FF1786" w14:paraId="20BD9432" w14:textId="77777777" w:rsidTr="006107DB">
        <w:tc>
          <w:tcPr>
            <w:tcW w:w="1275" w:type="dxa"/>
          </w:tcPr>
          <w:p w14:paraId="36B83DA9" w14:textId="1EE31A7F" w:rsidR="00A47E27" w:rsidRPr="00A47E27" w:rsidRDefault="009B5CEC" w:rsidP="002061E5">
            <w:pPr>
              <w:spacing w:after="60"/>
              <w:rPr>
                <w:sz w:val="20"/>
                <w:lang w:eastAsia="de-DE"/>
              </w:rPr>
            </w:pPr>
            <m:oMathPara>
              <m:oMathParaPr>
                <m:jc m:val="left"/>
              </m:oMathParaPr>
              <m:oMath>
                <m:sSub>
                  <m:sSubPr>
                    <m:ctrlPr>
                      <w:rPr>
                        <w:rFonts w:ascii="Cambria Math" w:eastAsia="Cambria" w:hAnsi="Cambria Math"/>
                        <w:i/>
                        <w:sz w:val="20"/>
                        <w:lang w:eastAsia="de-DE"/>
                      </w:rPr>
                    </m:ctrlPr>
                  </m:sSubPr>
                  <m:e>
                    <m:r>
                      <w:rPr>
                        <w:rFonts w:ascii="Cambria Math" w:eastAsia="Cambria" w:hAnsi="Cambria Math"/>
                        <w:sz w:val="20"/>
                        <w:lang w:eastAsia="de-DE"/>
                      </w:rPr>
                      <m:t>b</m:t>
                    </m:r>
                  </m:e>
                  <m:sub>
                    <m:r>
                      <m:rPr>
                        <m:sty m:val="p"/>
                      </m:rPr>
                      <w:rPr>
                        <w:rFonts w:ascii="Cambria Math" w:eastAsia="Cambria" w:hAnsi="Cambria Math"/>
                        <w:sz w:val="20"/>
                        <w:lang w:eastAsia="de-DE"/>
                      </w:rPr>
                      <m:t>w</m:t>
                    </m:r>
                  </m:sub>
                </m:sSub>
              </m:oMath>
            </m:oMathPara>
          </w:p>
        </w:tc>
        <w:tc>
          <w:tcPr>
            <w:tcW w:w="7938" w:type="dxa"/>
          </w:tcPr>
          <w:p w14:paraId="55225256" w14:textId="5AED13D5" w:rsidR="00A47E27" w:rsidRPr="00132C1E" w:rsidRDefault="00A47E27" w:rsidP="002061E5">
            <w:pPr>
              <w:pStyle w:val="Listofsymbols"/>
              <w:tabs>
                <w:tab w:val="clear" w:pos="1134"/>
                <w:tab w:val="left" w:pos="2481"/>
              </w:tabs>
              <w:ind w:left="0" w:firstLine="0"/>
            </w:pPr>
            <w:r w:rsidRPr="00132C1E">
              <w:t>is the width of the concrete foundation</w:t>
            </w:r>
            <w:r w:rsidRPr="00D1484A">
              <w:t>.</w:t>
            </w:r>
          </w:p>
        </w:tc>
      </w:tr>
    </w:tbl>
    <w:p w14:paraId="4DCBB1CC" w14:textId="5B3AE011" w:rsidR="00A47E27" w:rsidRPr="00D1484A" w:rsidRDefault="00A47E27" w:rsidP="00724E4E">
      <w:pPr>
        <w:pStyle w:val="Clause"/>
      </w:pPr>
      <w:r w:rsidRPr="00FD17CF">
        <w:t>T</w:t>
      </w:r>
      <w:r w:rsidRPr="00132C1E">
        <w:t>o guarantee a fixed boundary condition</w:t>
      </w:r>
      <w:r>
        <w:t>,</w:t>
      </w:r>
      <w:r w:rsidRPr="00FD17CF">
        <w:t xml:space="preserve"> </w:t>
      </w:r>
      <w:r>
        <w:t>t</w:t>
      </w:r>
      <w:r w:rsidRPr="00FD17CF">
        <w:t xml:space="preserve">he embedment length, </w:t>
      </w:r>
      <w:r w:rsidRPr="00FD17CF">
        <w:rPr>
          <w:i/>
          <w:iCs/>
        </w:rPr>
        <w:t>L</w:t>
      </w:r>
      <w:r w:rsidRPr="00E05E29">
        <w:rPr>
          <w:vertAlign w:val="subscript"/>
        </w:rPr>
        <w:t>e</w:t>
      </w:r>
      <w:r w:rsidRPr="00196951">
        <w:t>,</w:t>
      </w:r>
      <w:r w:rsidRPr="002144A0">
        <w:t xml:space="preserve"> should not be smaller than 2,0</w:t>
      </w:r>
      <m:oMath>
        <m:sSub>
          <m:sSubPr>
            <m:ctrlPr>
              <w:rPr>
                <w:rFonts w:ascii="Cambria Math" w:hAnsi="Cambria Math"/>
                <w:i/>
              </w:rPr>
            </m:ctrlPr>
          </m:sSubPr>
          <m:e>
            <m:r>
              <w:rPr>
                <w:rFonts w:ascii="Cambria Math" w:hAnsi="Cambria Math"/>
              </w:rPr>
              <m:t>d</m:t>
            </m:r>
          </m:e>
          <m:sub>
            <m:r>
              <m:rPr>
                <m:sty m:val="p"/>
              </m:rPr>
              <w:rPr>
                <w:rFonts w:ascii="Cambria Math" w:hAnsi="Cambria Math"/>
              </w:rPr>
              <m:t>c</m:t>
            </m:r>
          </m:sub>
        </m:sSub>
      </m:oMath>
      <w:r>
        <w:t xml:space="preserve"> where </w:t>
      </w:r>
      <w:r>
        <w:rPr>
          <w:i/>
          <w:iCs/>
        </w:rPr>
        <w:t>d</w:t>
      </w:r>
      <w:r>
        <w:rPr>
          <w:vertAlign w:val="subscript"/>
        </w:rPr>
        <w:t>c</w:t>
      </w:r>
      <w:r>
        <w:t xml:space="preserve"> is defined at Figure H.1.</w:t>
      </w:r>
    </w:p>
    <w:p w14:paraId="1A70AB3D" w14:textId="2932F513" w:rsidR="00A47E27" w:rsidRPr="00D1484A" w:rsidRDefault="00A47E27" w:rsidP="0023283B">
      <w:pPr>
        <w:pStyle w:val="Notetext"/>
      </w:pPr>
      <w:r w:rsidRPr="00D1484A">
        <w:t>NOTE</w:t>
      </w:r>
      <w:r w:rsidRPr="00D1484A">
        <w:tab/>
        <w:t xml:space="preserve">The term </w:t>
      </w:r>
      <m:oMath>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b</m:t>
                        </m:r>
                      </m:e>
                      <m:sub>
                        <m:r>
                          <m:rPr>
                            <m:sty m:val="p"/>
                          </m:rPr>
                          <w:rPr>
                            <w:rFonts w:ascii="Cambria Math" w:hAnsi="Cambria Math"/>
                          </w:rPr>
                          <m:t>w</m:t>
                        </m:r>
                      </m:sub>
                    </m:sSub>
                  </m:num>
                  <m:den>
                    <m:sSub>
                      <m:sSubPr>
                        <m:ctrlPr>
                          <w:rPr>
                            <w:rFonts w:ascii="Cambria Math" w:hAnsi="Cambria Math"/>
                            <w:i/>
                          </w:rPr>
                        </m:ctrlPr>
                      </m:sSubPr>
                      <m:e>
                        <m:r>
                          <w:rPr>
                            <w:rFonts w:ascii="Cambria Math" w:hAnsi="Cambria Math"/>
                          </w:rPr>
                          <m:t>b</m:t>
                        </m:r>
                      </m:e>
                      <m:sub>
                        <m:r>
                          <m:rPr>
                            <m:sty m:val="p"/>
                          </m:rPr>
                          <w:rPr>
                            <w:rFonts w:ascii="Cambria Math" w:hAnsi="Cambria Math"/>
                          </w:rPr>
                          <m:t>f</m:t>
                        </m:r>
                      </m:sub>
                    </m:sSub>
                  </m:den>
                </m:f>
              </m:e>
            </m:d>
          </m:e>
          <m:sup>
            <m:r>
              <w:rPr>
                <w:rFonts w:ascii="Cambria Math" w:hAnsi="Cambria Math"/>
              </w:rPr>
              <m:t>0,66</m:t>
            </m:r>
          </m:sup>
        </m:sSup>
      </m:oMath>
      <w:r w:rsidRPr="00132C1E">
        <w:t xml:space="preserve"> reflect</w:t>
      </w:r>
      <w:r>
        <w:t>s</w:t>
      </w:r>
      <w:r w:rsidRPr="00132C1E">
        <w:t xml:space="preserve"> the effect of confinement, such that a high ratio between the widths of the concrete foundation </w:t>
      </w:r>
      <m:oMath>
        <m:sSub>
          <m:sSubPr>
            <m:ctrlPr>
              <w:rPr>
                <w:rFonts w:ascii="Cambria Math" w:eastAsia="Cambria" w:hAnsi="Cambria Math"/>
                <w:i/>
                <w:lang w:eastAsia="de-DE"/>
              </w:rPr>
            </m:ctrlPr>
          </m:sSubPr>
          <m:e>
            <m:r>
              <w:rPr>
                <w:rFonts w:ascii="Cambria Math" w:eastAsia="Cambria" w:hAnsi="Cambria Math"/>
                <w:lang w:eastAsia="de-DE"/>
              </w:rPr>
              <m:t>b</m:t>
            </m:r>
          </m:e>
          <m:sub>
            <m:r>
              <m:rPr>
                <m:sty m:val="p"/>
              </m:rPr>
              <w:rPr>
                <w:rFonts w:ascii="Cambria Math" w:eastAsia="Cambria" w:hAnsi="Cambria Math"/>
                <w:lang w:eastAsia="de-DE"/>
              </w:rPr>
              <m:t>w</m:t>
            </m:r>
          </m:sub>
        </m:sSub>
      </m:oMath>
      <w:r w:rsidRPr="00132C1E">
        <w:t xml:space="preserve"> to the width of the bearing flange </w:t>
      </w:r>
      <m:oMath>
        <m:sSub>
          <m:sSubPr>
            <m:ctrlPr>
              <w:rPr>
                <w:rFonts w:ascii="Cambria Math" w:eastAsia="Cambria" w:hAnsi="Cambria Math"/>
                <w:i/>
                <w:lang w:eastAsia="de-DE"/>
              </w:rPr>
            </m:ctrlPr>
          </m:sSubPr>
          <m:e>
            <m:r>
              <w:rPr>
                <w:rFonts w:ascii="Cambria Math" w:eastAsia="Cambria" w:hAnsi="Cambria Math"/>
                <w:lang w:eastAsia="de-DE"/>
              </w:rPr>
              <m:t>b</m:t>
            </m:r>
          </m:e>
          <m:sub>
            <m:r>
              <m:rPr>
                <m:sty m:val="p"/>
              </m:rPr>
              <w:rPr>
                <w:rFonts w:ascii="Cambria Math" w:eastAsia="Cambria" w:hAnsi="Cambria Math"/>
                <w:lang w:eastAsia="de-DE"/>
              </w:rPr>
              <m:t>f</m:t>
            </m:r>
          </m:sub>
        </m:sSub>
      </m:oMath>
      <w:r w:rsidRPr="00132C1E">
        <w:t xml:space="preserve"> results in a large bearing </w:t>
      </w:r>
      <w:r w:rsidRPr="00D1484A">
        <w:t>strength.</w:t>
      </w:r>
    </w:p>
    <w:p w14:paraId="6F660B9D" w14:textId="77777777" w:rsidR="00A47E27" w:rsidRPr="002144A0" w:rsidRDefault="00A47E27" w:rsidP="00A47E27">
      <w:pPr>
        <w:pStyle w:val="a3"/>
      </w:pPr>
      <w:bookmarkStart w:id="11623" w:name="_Toc50150803"/>
      <w:bookmarkStart w:id="11624" w:name="_Toc70887236"/>
      <w:bookmarkStart w:id="11625" w:name="_Toc108342848"/>
      <w:bookmarkStart w:id="11626" w:name="_Toc120543933"/>
      <w:bookmarkStart w:id="11627" w:name="_Toc134198354"/>
      <w:r w:rsidRPr="007E6F67">
        <w:t xml:space="preserve">Required </w:t>
      </w:r>
      <w:r w:rsidRPr="00FD17CF">
        <w:t xml:space="preserve">horizontal </w:t>
      </w:r>
      <w:r w:rsidRPr="00E05E29">
        <w:t>f</w:t>
      </w:r>
      <w:r w:rsidRPr="00196951">
        <w:t xml:space="preserve">oundation </w:t>
      </w:r>
      <w:r w:rsidRPr="002144A0">
        <w:t>reinforcement</w:t>
      </w:r>
      <w:bookmarkEnd w:id="11623"/>
      <w:bookmarkEnd w:id="11624"/>
      <w:bookmarkEnd w:id="11625"/>
      <w:bookmarkEnd w:id="11626"/>
      <w:bookmarkEnd w:id="11627"/>
    </w:p>
    <w:p w14:paraId="38D878AD" w14:textId="1DFB7252" w:rsidR="00A47E27" w:rsidRPr="00132C1E" w:rsidRDefault="00A47E27" w:rsidP="0080187E">
      <w:pPr>
        <w:pStyle w:val="Clause"/>
        <w:numPr>
          <w:ilvl w:val="0"/>
          <w:numId w:val="628"/>
        </w:numPr>
      </w:pPr>
      <w:r w:rsidRPr="002144A0">
        <w:t xml:space="preserve">Horizontal reinforcement should be placed in the concrete foundation and over the embedment length, </w:t>
      </w:r>
      <w:r w:rsidRPr="00A80F25">
        <w:rPr>
          <w:i/>
          <w:iCs/>
        </w:rPr>
        <w:t>L</w:t>
      </w:r>
      <w:r w:rsidRPr="00A80F25">
        <w:rPr>
          <w:vertAlign w:val="subscript"/>
        </w:rPr>
        <w:t>e</w:t>
      </w:r>
      <w:r w:rsidRPr="00C52095">
        <w:t xml:space="preserve">, with cross-sectional area sufficient to resist in tension the horizontal force(s) given from </w:t>
      </w:r>
      <w:r w:rsidRPr="0023283B">
        <w:t>Formula (H.20).</w:t>
      </w:r>
    </w:p>
    <w:p w14:paraId="639A5B63" w14:textId="525D8456" w:rsidR="00A47E27" w:rsidRPr="00132C1E" w:rsidRDefault="00A47E27" w:rsidP="00724E4E">
      <w:pPr>
        <w:pStyle w:val="Clause"/>
      </w:pPr>
      <w:r w:rsidRPr="00132C1E">
        <w:t>Two-thirds of the horizontal reinforcement should be placed in the top concrete layer.</w:t>
      </w:r>
    </w:p>
    <w:p w14:paraId="33B0DD4D" w14:textId="77777777" w:rsidR="00A47E27" w:rsidRPr="00132C1E" w:rsidRDefault="00A47E27" w:rsidP="00A47E27">
      <w:pPr>
        <w:pStyle w:val="a3"/>
      </w:pPr>
      <w:bookmarkStart w:id="11628" w:name="_Toc50150804"/>
      <w:bookmarkStart w:id="11629" w:name="_Toc70887237"/>
      <w:bookmarkStart w:id="11630" w:name="_Toc108342849"/>
      <w:bookmarkStart w:id="11631" w:name="_Toc120543934"/>
      <w:bookmarkStart w:id="11632" w:name="_Toc134198355"/>
      <w:r w:rsidRPr="00132C1E">
        <w:t>Minimum face bearing plate thickness</w:t>
      </w:r>
      <w:bookmarkEnd w:id="11628"/>
      <w:bookmarkEnd w:id="11629"/>
      <w:bookmarkEnd w:id="11630"/>
      <w:bookmarkEnd w:id="11631"/>
      <w:bookmarkEnd w:id="11632"/>
    </w:p>
    <w:p w14:paraId="2326A1E0" w14:textId="2DDCAB60" w:rsidR="00A47E27" w:rsidRPr="00E60A1F" w:rsidRDefault="00A47E27" w:rsidP="0080187E">
      <w:pPr>
        <w:pStyle w:val="Clause"/>
        <w:numPr>
          <w:ilvl w:val="0"/>
          <w:numId w:val="244"/>
        </w:numPr>
      </w:pPr>
      <w:r w:rsidRPr="00132C1E">
        <w:t xml:space="preserve">Face bearing plates (Figure H.3) should be placed on both sides of the column at the face of the foundation and near the end of the embedded region. At a minimum, their thickness should comply with </w:t>
      </w:r>
      <w:r w:rsidRPr="00B00B3D">
        <w:t>11.11.2(14)</w:t>
      </w:r>
      <w:r w:rsidRPr="00132C1E">
        <w:t>.</w:t>
      </w:r>
    </w:p>
    <w:p w14:paraId="1C1CCC1E" w14:textId="77777777" w:rsidR="00A47E27" w:rsidRPr="00132C1E" w:rsidRDefault="00A47E27" w:rsidP="00A47E27">
      <w:pPr>
        <w:pStyle w:val="a3"/>
      </w:pPr>
      <w:bookmarkStart w:id="11633" w:name="_Toc50150805"/>
      <w:bookmarkStart w:id="11634" w:name="_Toc70887238"/>
      <w:bookmarkStart w:id="11635" w:name="_Toc108342850"/>
      <w:bookmarkStart w:id="11636" w:name="_Toc120543935"/>
      <w:bookmarkStart w:id="11637" w:name="_Toc134198356"/>
      <w:r w:rsidRPr="00132C1E">
        <w:t>Yielding in the face bearing plates</w:t>
      </w:r>
      <w:bookmarkEnd w:id="11633"/>
      <w:bookmarkEnd w:id="11634"/>
      <w:bookmarkEnd w:id="11635"/>
      <w:bookmarkEnd w:id="11636"/>
      <w:bookmarkEnd w:id="11637"/>
    </w:p>
    <w:p w14:paraId="17CF6827" w14:textId="49F907AB" w:rsidR="00A47E27" w:rsidRPr="00113806" w:rsidRDefault="00A47E27" w:rsidP="0080187E">
      <w:pPr>
        <w:pStyle w:val="Clause"/>
        <w:numPr>
          <w:ilvl w:val="0"/>
          <w:numId w:val="629"/>
        </w:numPr>
      </w:pPr>
      <w:r w:rsidRPr="00132C1E">
        <w:t xml:space="preserve">The column axial load should be distributed from the column to the face bearing plates and then to the foundation in direct bearing. The dimension </w:t>
      </w:r>
      <w:r w:rsidRPr="00A80F25">
        <w:rPr>
          <w:i/>
          <w:iCs/>
        </w:rPr>
        <w:t>l</w:t>
      </w:r>
      <w:r w:rsidRPr="00132C1E">
        <w:t xml:space="preserve"> of the face plate cantilever</w:t>
      </w:r>
      <w:r>
        <w:t>,</w:t>
      </w:r>
      <w:r w:rsidRPr="00132C1E">
        <w:t xml:space="preserve"> </w:t>
      </w:r>
      <w:r>
        <w:t xml:space="preserve">which is the distance from the anchor centreline to the base plate centreline, </w:t>
      </w:r>
      <w:r w:rsidRPr="00132C1E">
        <w:t xml:space="preserve">should </w:t>
      </w:r>
      <w:r w:rsidRPr="0023283B">
        <w:t>satisfy</w:t>
      </w:r>
      <w:r w:rsidR="0023283B" w:rsidRPr="0023283B">
        <w:t xml:space="preserve"> </w:t>
      </w:r>
      <w:r w:rsidRPr="0023283B">
        <w:t>Formula (H.21).</w:t>
      </w:r>
    </w:p>
    <w:p w14:paraId="0627139D" w14:textId="7BCE99B3" w:rsidR="0023283B" w:rsidRDefault="0023283B" w:rsidP="0023283B">
      <w:pPr>
        <w:pStyle w:val="Formula"/>
        <w:spacing w:before="240"/>
      </w:pPr>
      <m:oMath>
        <m:r>
          <w:rPr>
            <w:rFonts w:ascii="Cambria Math" w:hAnsi="Cambria Math"/>
          </w:rPr>
          <m:t>l≥</m:t>
        </m:r>
        <m:func>
          <m:funcPr>
            <m:ctrlPr>
              <w:rPr>
                <w:rFonts w:ascii="Cambria Math" w:hAnsi="Cambria Math"/>
              </w:rPr>
            </m:ctrlPr>
          </m:funcPr>
          <m:fName>
            <m:r>
              <m:rPr>
                <m:sty m:val="p"/>
              </m:rPr>
              <w:rPr>
                <w:rFonts w:ascii="Cambria Math" w:hAnsi="Cambria Math"/>
              </w:rPr>
              <m:t>max</m:t>
            </m:r>
          </m:fName>
          <m:e>
            <m:d>
              <m:dPr>
                <m:begChr m:val="{"/>
                <m:endChr m:val="}"/>
                <m:ctrlPr>
                  <w:rPr>
                    <w:rFonts w:ascii="Cambria Math" w:hAnsi="Cambria Math"/>
                  </w:rPr>
                </m:ctrlPr>
              </m:dPr>
              <m:e>
                <m:f>
                  <m:fPr>
                    <m:ctrlPr>
                      <w:rPr>
                        <w:rFonts w:ascii="Cambria Math" w:hAnsi="Cambria Math"/>
                      </w:rPr>
                    </m:ctrlPr>
                  </m:fPr>
                  <m:num>
                    <m:sSub>
                      <m:sSubPr>
                        <m:ctrlPr>
                          <w:rPr>
                            <w:rFonts w:ascii="Cambria Math" w:hAnsi="Cambria Math"/>
                          </w:rPr>
                        </m:ctrlPr>
                      </m:sSubPr>
                      <m:e>
                        <m:r>
                          <w:rPr>
                            <w:rFonts w:ascii="Cambria Math" w:hAnsi="Cambria Math"/>
                          </w:rPr>
                          <m:t>L</m:t>
                        </m:r>
                      </m:e>
                      <m:sub>
                        <m:r>
                          <m:rPr>
                            <m:sty m:val="p"/>
                          </m:rPr>
                          <w:rPr>
                            <w:rFonts w:ascii="Cambria Math" w:hAnsi="Cambria Math"/>
                          </w:rPr>
                          <m:t>BP</m:t>
                        </m:r>
                      </m:sub>
                    </m:sSub>
                    <m:r>
                      <w:rPr>
                        <w:rFonts w:ascii="Cambria Math" w:hAnsi="Cambria Math"/>
                      </w:rPr>
                      <m:t>-0,95d</m:t>
                    </m:r>
                  </m:num>
                  <m:den>
                    <m:r>
                      <w:rPr>
                        <w:rFonts w:ascii="Cambria Math" w:hAnsi="Cambria Math"/>
                      </w:rPr>
                      <m:t>2</m:t>
                    </m:r>
                  </m:den>
                </m:f>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B</m:t>
                        </m:r>
                      </m:e>
                      <m:sub>
                        <m:r>
                          <m:rPr>
                            <m:sty m:val="p"/>
                          </m:rPr>
                          <w:rPr>
                            <w:rFonts w:ascii="Cambria Math" w:hAnsi="Cambria Math"/>
                          </w:rPr>
                          <m:t>BP</m:t>
                        </m:r>
                      </m:sub>
                    </m:sSub>
                    <m:r>
                      <w:rPr>
                        <w:rFonts w:ascii="Cambria Math" w:hAnsi="Cambria Math"/>
                      </w:rPr>
                      <m:t>-0,8</m:t>
                    </m:r>
                    <m:sSub>
                      <m:sSubPr>
                        <m:ctrlPr>
                          <w:rPr>
                            <w:rFonts w:ascii="Cambria Math" w:hAnsi="Cambria Math"/>
                          </w:rPr>
                        </m:ctrlPr>
                      </m:sSubPr>
                      <m:e>
                        <m:r>
                          <w:rPr>
                            <w:rFonts w:ascii="Cambria Math" w:hAnsi="Cambria Math"/>
                          </w:rPr>
                          <m:t>b</m:t>
                        </m:r>
                      </m:e>
                      <m:sub>
                        <m:r>
                          <m:rPr>
                            <m:sty m:val="p"/>
                          </m:rPr>
                          <w:rPr>
                            <w:rFonts w:ascii="Cambria Math" w:hAnsi="Cambria Math"/>
                          </w:rPr>
                          <m:t>f</m:t>
                        </m:r>
                      </m:sub>
                    </m:sSub>
                  </m:num>
                  <m:den>
                    <m:r>
                      <w:rPr>
                        <w:rFonts w:ascii="Cambria Math" w:hAnsi="Cambria Math"/>
                      </w:rPr>
                      <m:t>2</m:t>
                    </m:r>
                  </m:den>
                </m:f>
                <m:r>
                  <w:rPr>
                    <w:rFonts w:ascii="Cambria Math" w:hAnsi="Cambria Math"/>
                  </w:rPr>
                  <m:t>,</m:t>
                </m:r>
                <m:f>
                  <m:fPr>
                    <m:ctrlPr>
                      <w:rPr>
                        <w:rFonts w:ascii="Cambria Math" w:hAnsi="Cambria Math"/>
                      </w:rPr>
                    </m:ctrlPr>
                  </m:fPr>
                  <m:num>
                    <m:rad>
                      <m:radPr>
                        <m:degHide m:val="1"/>
                        <m:ctrlPr>
                          <w:rPr>
                            <w:rFonts w:ascii="Cambria Math" w:hAnsi="Cambria Math"/>
                          </w:rPr>
                        </m:ctrlPr>
                      </m:radPr>
                      <m:deg/>
                      <m:e>
                        <m:sSub>
                          <m:sSubPr>
                            <m:ctrlPr>
                              <w:rPr>
                                <w:rFonts w:ascii="Cambria Math" w:hAnsi="Cambria Math"/>
                              </w:rPr>
                            </m:ctrlPr>
                          </m:sSubPr>
                          <m:e>
                            <m:r>
                              <w:rPr>
                                <w:rFonts w:ascii="Cambria Math" w:hAnsi="Cambria Math"/>
                              </w:rPr>
                              <m:t>d</m:t>
                            </m:r>
                          </m:e>
                          <m:sub>
                            <m:r>
                              <m:rPr>
                                <m:sty m:val="p"/>
                              </m:rPr>
                              <w:rPr>
                                <w:rFonts w:ascii="Cambria Math" w:hAnsi="Cambria Math"/>
                              </w:rPr>
                              <m:t>c</m:t>
                            </m:r>
                          </m:sub>
                        </m:sSub>
                        <m:sSub>
                          <m:sSubPr>
                            <m:ctrlPr>
                              <w:rPr>
                                <w:rFonts w:ascii="Cambria Math" w:hAnsi="Cambria Math"/>
                              </w:rPr>
                            </m:ctrlPr>
                          </m:sSubPr>
                          <m:e>
                            <m:r>
                              <w:rPr>
                                <w:rFonts w:ascii="Cambria Math" w:hAnsi="Cambria Math"/>
                              </w:rPr>
                              <m:t>b</m:t>
                            </m:r>
                          </m:e>
                          <m:sub>
                            <m:r>
                              <m:rPr>
                                <m:sty m:val="p"/>
                              </m:rPr>
                              <w:rPr>
                                <w:rFonts w:ascii="Cambria Math" w:hAnsi="Cambria Math"/>
                              </w:rPr>
                              <m:t>f</m:t>
                            </m:r>
                          </m:sub>
                        </m:sSub>
                      </m:e>
                    </m:rad>
                  </m:num>
                  <m:den>
                    <m:r>
                      <w:rPr>
                        <w:rFonts w:ascii="Cambria Math" w:hAnsi="Cambria Math"/>
                      </w:rPr>
                      <m:t>4</m:t>
                    </m:r>
                  </m:den>
                </m:f>
              </m:e>
            </m:d>
          </m:e>
        </m:func>
      </m:oMath>
      <w:r w:rsidRPr="006C09CE">
        <w:tab/>
        <w:t>(H.</w:t>
      </w:r>
      <w:r>
        <w:t>21</w:t>
      </w:r>
      <w:r w:rsidRPr="006C09CE">
        <w:t>)</w:t>
      </w:r>
    </w:p>
    <w:p w14:paraId="3FEB586C" w14:textId="1C39624D" w:rsidR="00E17037" w:rsidRPr="00F36D4E" w:rsidRDefault="00E17037" w:rsidP="00F36D4E">
      <w:pPr>
        <w:pStyle w:val="BodyText"/>
        <w:rPr>
          <w:sz w:val="20"/>
        </w:rPr>
      </w:pPr>
      <w:r w:rsidRPr="00E17037">
        <w:rPr>
          <w:sz w:val="20"/>
        </w:rPr>
        <w:t>NOTE</w:t>
      </w:r>
      <w:r w:rsidRPr="00E17037">
        <w:rPr>
          <w:sz w:val="20"/>
        </w:rPr>
        <w:tab/>
        <w:t xml:space="preserve">The face bearing plate refers to the embedded column bases, not the exposed ones, and </w:t>
      </w:r>
      <w:r w:rsidRPr="00E17037">
        <w:rPr>
          <w:i/>
          <w:iCs/>
          <w:sz w:val="20"/>
        </w:rPr>
        <w:t xml:space="preserve">l </w:t>
      </w:r>
      <w:r w:rsidRPr="00E17037">
        <w:rPr>
          <w:sz w:val="20"/>
        </w:rPr>
        <w:t>refers to Figure H.3, key D.</w:t>
      </w:r>
    </w:p>
    <w:p w14:paraId="701AFF90" w14:textId="77777777" w:rsidR="0023283B" w:rsidRPr="00FD17CF" w:rsidRDefault="0023283B" w:rsidP="0023283B">
      <w:pPr>
        <w:pStyle w:val="a3"/>
      </w:pPr>
      <w:bookmarkStart w:id="11638" w:name="_Toc50150806"/>
      <w:bookmarkStart w:id="11639" w:name="_Toc70887239"/>
      <w:bookmarkStart w:id="11640" w:name="_Toc108342851"/>
      <w:bookmarkStart w:id="11641" w:name="_Toc120543936"/>
      <w:bookmarkStart w:id="11642" w:name="_Toc134198357"/>
      <w:r w:rsidRPr="00132C1E">
        <w:t xml:space="preserve">Required </w:t>
      </w:r>
      <w:r w:rsidRPr="00D1484A">
        <w:t xml:space="preserve">transfer </w:t>
      </w:r>
      <w:r w:rsidRPr="007E6F67">
        <w:t>r</w:t>
      </w:r>
      <w:r w:rsidRPr="00FD17CF">
        <w:t>einforcement</w:t>
      </w:r>
      <w:bookmarkEnd w:id="11638"/>
      <w:bookmarkEnd w:id="11639"/>
      <w:bookmarkEnd w:id="11640"/>
      <w:bookmarkEnd w:id="11641"/>
      <w:bookmarkEnd w:id="11642"/>
    </w:p>
    <w:p w14:paraId="56CB3BA3" w14:textId="11DB365E" w:rsidR="0023283B" w:rsidRPr="00113806" w:rsidRDefault="0023283B" w:rsidP="0080187E">
      <w:pPr>
        <w:pStyle w:val="Clause"/>
        <w:numPr>
          <w:ilvl w:val="0"/>
          <w:numId w:val="630"/>
        </w:numPr>
      </w:pPr>
      <w:r w:rsidRPr="00196951">
        <w:t>T</w:t>
      </w:r>
      <w:r w:rsidRPr="002144A0">
        <w:t xml:space="preserve">ransfer reinforcement should be provided at right angles to each embedded flange. The area of transfer reinforcement should be calculated </w:t>
      </w:r>
      <w:r w:rsidRPr="0023283B">
        <w:t>from Formula (H.22).</w:t>
      </w:r>
    </w:p>
    <w:p w14:paraId="1345A7DC" w14:textId="443E61B7" w:rsidR="0023283B" w:rsidRPr="006C09CE" w:rsidRDefault="009B5CEC" w:rsidP="0023283B">
      <w:pPr>
        <w:pStyle w:val="Formula"/>
        <w:spacing w:before="240"/>
      </w:pPr>
      <m:oMath>
        <m:sSub>
          <m:sSubPr>
            <m:ctrlPr>
              <w:rPr>
                <w:rFonts w:ascii="Cambria Math" w:hAnsi="Cambria Math"/>
              </w:rPr>
            </m:ctrlPr>
          </m:sSubPr>
          <m:e>
            <m:r>
              <w:rPr>
                <w:rFonts w:ascii="Cambria Math" w:hAnsi="Cambria Math"/>
              </w:rPr>
              <m:t>A</m:t>
            </m:r>
          </m:e>
          <m:sub>
            <m:r>
              <m:rPr>
                <m:sty m:val="p"/>
              </m:rPr>
              <w:rPr>
                <w:rFonts w:ascii="Cambria Math" w:hAnsi="Cambria Math"/>
              </w:rPr>
              <m:t>tb</m:t>
            </m:r>
          </m:sub>
        </m:sSub>
        <m:r>
          <w:rPr>
            <w:rFonts w:ascii="Cambria Math" w:hAnsi="Cambria Math"/>
          </w:rPr>
          <m:t>≥0,03</m:t>
        </m:r>
        <m:sSub>
          <m:sSubPr>
            <m:ctrlPr>
              <w:rPr>
                <w:rFonts w:ascii="Cambria Math" w:hAnsi="Cambria Math"/>
              </w:rPr>
            </m:ctrlPr>
          </m:sSubPr>
          <m:e>
            <m:r>
              <w:rPr>
                <w:rFonts w:ascii="Cambria Math" w:hAnsi="Cambria Math"/>
              </w:rPr>
              <m:t>f</m:t>
            </m:r>
          </m:e>
          <m:sub>
            <m:r>
              <m:rPr>
                <m:sty m:val="p"/>
              </m:rPr>
              <w:rPr>
                <w:rFonts w:ascii="Cambria Math" w:hAnsi="Cambria Math"/>
              </w:rPr>
              <m:t>cd</m:t>
            </m:r>
          </m:sub>
        </m:sSub>
        <m:sSub>
          <m:sSubPr>
            <m:ctrlPr>
              <w:rPr>
                <w:rFonts w:ascii="Cambria Math" w:hAnsi="Cambria Math"/>
              </w:rPr>
            </m:ctrlPr>
          </m:sSubPr>
          <m:e>
            <m:r>
              <w:rPr>
                <w:rFonts w:ascii="Cambria Math" w:hAnsi="Cambria Math"/>
              </w:rPr>
              <m:t>L</m:t>
            </m:r>
          </m:e>
          <m:sub>
            <m:r>
              <m:rPr>
                <m:sty m:val="p"/>
              </m:rPr>
              <w:rPr>
                <w:rFonts w:ascii="Cambria Math" w:hAnsi="Cambria Math"/>
              </w:rPr>
              <m:t>e</m:t>
            </m:r>
          </m:sub>
        </m:sSub>
        <m:sSub>
          <m:sSubPr>
            <m:ctrlPr>
              <w:rPr>
                <w:rFonts w:ascii="Cambria Math" w:hAnsi="Cambria Math"/>
              </w:rPr>
            </m:ctrlPr>
          </m:sSubPr>
          <m:e>
            <m:r>
              <w:rPr>
                <w:rFonts w:ascii="Cambria Math" w:hAnsi="Cambria Math"/>
              </w:rPr>
              <m:t>b</m:t>
            </m:r>
          </m:e>
          <m:sub>
            <m:r>
              <m:rPr>
                <m:sty m:val="p"/>
              </m:rPr>
              <w:rPr>
                <w:rFonts w:ascii="Cambria Math" w:hAnsi="Cambria Math"/>
              </w:rPr>
              <m:t>f</m:t>
            </m:r>
          </m:sub>
        </m:sSub>
        <m:r>
          <w:rPr>
            <w:rFonts w:ascii="Cambria Math" w:hAnsi="Cambria Math"/>
          </w:rPr>
          <m:t>/</m:t>
        </m:r>
        <m:sSub>
          <m:sSubPr>
            <m:ctrlPr>
              <w:rPr>
                <w:rFonts w:ascii="Cambria Math" w:hAnsi="Cambria Math"/>
              </w:rPr>
            </m:ctrlPr>
          </m:sSubPr>
          <m:e>
            <m:r>
              <w:rPr>
                <w:rFonts w:ascii="Cambria Math" w:hAnsi="Cambria Math"/>
              </w:rPr>
              <m:t>f</m:t>
            </m:r>
          </m:e>
          <m:sub>
            <m:r>
              <m:rPr>
                <m:sty m:val="p"/>
              </m:rPr>
              <w:rPr>
                <w:rFonts w:ascii="Cambria Math" w:hAnsi="Cambria Math"/>
              </w:rPr>
              <m:t>sd</m:t>
            </m:r>
          </m:sub>
        </m:sSub>
      </m:oMath>
      <w:r w:rsidR="0023283B" w:rsidRPr="006C09CE">
        <w:tab/>
        <w:t>(H.</w:t>
      </w:r>
      <w:r w:rsidR="0023283B">
        <w:t>22</w:t>
      </w:r>
      <w:r w:rsidR="0023283B" w:rsidRPr="006C09CE">
        <w:t>)</w:t>
      </w:r>
    </w:p>
    <w:p w14:paraId="7245629C" w14:textId="6C0A7B32" w:rsidR="0023283B" w:rsidRDefault="0023283B" w:rsidP="00773115">
      <w:pPr>
        <w:pStyle w:val="Text"/>
      </w:pPr>
      <w:r w:rsidRPr="00132C1E">
        <w:t>where</w:t>
      </w:r>
      <m:oMath>
        <m:sSub>
          <m:sSubPr>
            <m:ctrlPr>
              <w:rPr>
                <w:rFonts w:ascii="Cambria Math" w:hAnsi="Cambria Math"/>
                <w:i/>
              </w:rPr>
            </m:ctrlPr>
          </m:sSubPr>
          <m:e>
            <m:r>
              <w:rPr>
                <w:rFonts w:ascii="Cambria Math" w:hAnsi="Cambria Math"/>
              </w:rPr>
              <m:t xml:space="preserve"> f</m:t>
            </m:r>
          </m:e>
          <m:sub>
            <m:r>
              <m:rPr>
                <m:sty m:val="p"/>
              </m:rPr>
              <w:rPr>
                <w:rFonts w:ascii="Cambria Math" w:hAnsi="Cambria Math"/>
              </w:rPr>
              <m:t>sd</m:t>
            </m:r>
          </m:sub>
        </m:sSub>
      </m:oMath>
      <w:r w:rsidRPr="00132C1E">
        <w:t xml:space="preserve"> is the</w:t>
      </w:r>
      <w:r w:rsidRPr="00D1484A">
        <w:t xml:space="preserve"> design value of the yield strength of the </w:t>
      </w:r>
      <w:r w:rsidRPr="007E6F67">
        <w:t xml:space="preserve">transfer </w:t>
      </w:r>
      <w:r w:rsidRPr="00FD17CF">
        <w:t>steel reinforcement.</w:t>
      </w:r>
    </w:p>
    <w:p w14:paraId="183C3443" w14:textId="21C16142" w:rsidR="0023283B" w:rsidRPr="00D1484A" w:rsidRDefault="0023283B" w:rsidP="00724E4E">
      <w:pPr>
        <w:pStyle w:val="Clause"/>
      </w:pPr>
      <w:r w:rsidRPr="00196951">
        <w:t xml:space="preserve">The sum of the areas of the transfer reinforcement and of the horizontal one according </w:t>
      </w:r>
      <w:r w:rsidRPr="0023283B">
        <w:t xml:space="preserve">to </w:t>
      </w:r>
      <w:r w:rsidRPr="00B00B3D">
        <w:t>H.5.4</w:t>
      </w:r>
      <w:r w:rsidRPr="0023283B">
        <w:t xml:space="preserve"> </w:t>
      </w:r>
      <w:r w:rsidRPr="002144A0">
        <w:t>should not exceed 0,08</w:t>
      </w:r>
      <m:oMath>
        <m:sSub>
          <m:sSubPr>
            <m:ctrlPr>
              <w:rPr>
                <w:rFonts w:ascii="Cambria Math" w:eastAsia="Cambria" w:hAnsi="Cambria Math"/>
                <w:i/>
                <w:lang w:eastAsia="de-DE"/>
              </w:rPr>
            </m:ctrlPr>
          </m:sSubPr>
          <m:e>
            <m:r>
              <w:rPr>
                <w:rFonts w:ascii="Cambria Math" w:hAnsi="Cambria Math"/>
              </w:rPr>
              <m:t>L</m:t>
            </m:r>
            <m:ctrlPr>
              <w:rPr>
                <w:rFonts w:ascii="Cambria Math" w:hAnsi="Cambria Math"/>
                <w:i/>
              </w:rPr>
            </m:ctrlPr>
          </m:e>
          <m:sub>
            <m:r>
              <m:rPr>
                <m:sty m:val="p"/>
              </m:rPr>
              <w:rPr>
                <w:rFonts w:ascii="Cambria Math" w:hAnsi="Cambria Math"/>
              </w:rPr>
              <m:t>e</m:t>
            </m:r>
          </m:sub>
        </m:sSub>
        <m:sSub>
          <m:sSubPr>
            <m:ctrlPr>
              <w:rPr>
                <w:rFonts w:ascii="Cambria Math" w:eastAsia="Cambria" w:hAnsi="Cambria Math"/>
                <w:i/>
                <w:lang w:eastAsia="de-DE"/>
              </w:rPr>
            </m:ctrlPr>
          </m:sSubPr>
          <m:e>
            <m:r>
              <w:rPr>
                <w:rFonts w:ascii="Cambria Math" w:hAnsi="Cambria Math"/>
              </w:rPr>
              <m:t>b</m:t>
            </m:r>
            <m:ctrlPr>
              <w:rPr>
                <w:rFonts w:ascii="Cambria Math" w:hAnsi="Cambria Math"/>
                <w:i/>
              </w:rPr>
            </m:ctrlPr>
          </m:e>
          <m:sub>
            <m:r>
              <m:rPr>
                <m:sty m:val="p"/>
              </m:rPr>
              <w:rPr>
                <w:rFonts w:ascii="Cambria Math" w:hAnsi="Cambria Math"/>
              </w:rPr>
              <m:t>w</m:t>
            </m:r>
          </m:sub>
        </m:sSub>
      </m:oMath>
      <w:r w:rsidRPr="00132C1E">
        <w:rPr>
          <w:lang w:eastAsia="de-DE"/>
        </w:rPr>
        <w:t>.</w:t>
      </w:r>
    </w:p>
    <w:p w14:paraId="58ADBEBD" w14:textId="77777777" w:rsidR="0023283B" w:rsidRPr="00E05E29" w:rsidRDefault="0023283B" w:rsidP="0023283B">
      <w:pPr>
        <w:pStyle w:val="a3"/>
      </w:pPr>
      <w:bookmarkStart w:id="11643" w:name="_Toc50150807"/>
      <w:bookmarkStart w:id="11644" w:name="_Toc70887240"/>
      <w:bookmarkStart w:id="11645" w:name="_Toc108342852"/>
      <w:bookmarkStart w:id="11646" w:name="_Toc120543937"/>
      <w:bookmarkStart w:id="11647" w:name="_Toc134198358"/>
      <w:r w:rsidRPr="00D1484A">
        <w:t xml:space="preserve">Steel </w:t>
      </w:r>
      <w:r w:rsidRPr="007E6F67">
        <w:t>b</w:t>
      </w:r>
      <w:r w:rsidRPr="00FD17CF">
        <w:t>ase plate</w:t>
      </w:r>
      <w:bookmarkEnd w:id="11643"/>
      <w:bookmarkEnd w:id="11644"/>
      <w:bookmarkEnd w:id="11645"/>
      <w:bookmarkEnd w:id="11646"/>
      <w:bookmarkEnd w:id="11647"/>
    </w:p>
    <w:p w14:paraId="1C7B2EAE" w14:textId="344B54EA" w:rsidR="0023283B" w:rsidRPr="002144A0" w:rsidRDefault="0023283B" w:rsidP="0080187E">
      <w:pPr>
        <w:pStyle w:val="Clause"/>
        <w:numPr>
          <w:ilvl w:val="0"/>
          <w:numId w:val="631"/>
        </w:numPr>
      </w:pPr>
      <w:r w:rsidRPr="00196951">
        <w:t xml:space="preserve">In embedded column base connections, column axial load </w:t>
      </w:r>
      <w:r w:rsidRPr="002144A0">
        <w:t>should be transferred to the foundation through a steel base plate.</w:t>
      </w:r>
    </w:p>
    <w:p w14:paraId="3CBA90C5" w14:textId="490566E7" w:rsidR="0023283B" w:rsidRPr="007754C9" w:rsidRDefault="0023283B" w:rsidP="00724E4E">
      <w:pPr>
        <w:pStyle w:val="Clause"/>
      </w:pPr>
      <w:r w:rsidRPr="002144A0">
        <w:t xml:space="preserve">The steel base plate of the embedded column base connection should be designed to remain elastic under </w:t>
      </w:r>
      <w:r w:rsidRPr="004F25D7">
        <w:t>bending</w:t>
      </w:r>
      <w:r w:rsidRPr="00C52095">
        <w:t xml:space="preserve"> effects.</w:t>
      </w:r>
    </w:p>
    <w:p w14:paraId="5C509AF3" w14:textId="6F499A36" w:rsidR="0023283B" w:rsidRDefault="0023283B" w:rsidP="00724E4E">
      <w:pPr>
        <w:pStyle w:val="Clause"/>
      </w:pPr>
      <w:r w:rsidRPr="00132C1E">
        <w:t xml:space="preserve">The steel base plate axial resistance at yielding, </w:t>
      </w:r>
      <m:oMath>
        <m:sSub>
          <m:sSubPr>
            <m:ctrlPr>
              <w:rPr>
                <w:rFonts w:ascii="Cambria Math" w:eastAsia="Cambria" w:hAnsi="Cambria Math"/>
                <w:i/>
                <w:lang w:eastAsia="de-DE"/>
              </w:rPr>
            </m:ctrlPr>
          </m:sSubPr>
          <m:e>
            <m:r>
              <w:rPr>
                <w:rFonts w:ascii="Cambria Math" w:hAnsi="Cambria Math"/>
              </w:rPr>
              <m:t>N</m:t>
            </m:r>
            <m:ctrlPr>
              <w:rPr>
                <w:rFonts w:ascii="Cambria Math" w:hAnsi="Cambria Math"/>
                <w:i/>
              </w:rPr>
            </m:ctrlPr>
          </m:e>
          <m:sub>
            <m:r>
              <m:rPr>
                <m:sty m:val="p"/>
              </m:rPr>
              <w:rPr>
                <w:rFonts w:ascii="Cambria Math" w:hAnsi="Cambria Math"/>
              </w:rPr>
              <m:t>Rd,plate</m:t>
            </m:r>
          </m:sub>
        </m:sSub>
      </m:oMath>
      <w:r w:rsidRPr="00132C1E">
        <w:t xml:space="preserve"> </w:t>
      </w:r>
      <w:r w:rsidRPr="00D1484A">
        <w:t xml:space="preserve">should be calculated </w:t>
      </w:r>
      <w:r w:rsidRPr="007E6F67">
        <w:t>from</w:t>
      </w:r>
      <w:r w:rsidRPr="00FD17CF">
        <w:t xml:space="preserve"> </w:t>
      </w:r>
      <w:r w:rsidRPr="0023283B">
        <w:t>Formula (H.23).</w:t>
      </w:r>
    </w:p>
    <w:p w14:paraId="0B3B688D" w14:textId="48F2AB0C" w:rsidR="0023283B" w:rsidRPr="006C09CE" w:rsidRDefault="009B5CEC" w:rsidP="0023283B">
      <w:pPr>
        <w:pStyle w:val="Formula"/>
        <w:spacing w:before="240"/>
      </w:pPr>
      <m:oMath>
        <m:sSub>
          <m:sSubPr>
            <m:ctrlPr>
              <w:rPr>
                <w:rFonts w:ascii="Cambria Math" w:hAnsi="Cambria Math"/>
              </w:rPr>
            </m:ctrlPr>
          </m:sSubPr>
          <m:e>
            <m:r>
              <w:rPr>
                <w:rFonts w:ascii="Cambria Math" w:hAnsi="Cambria Math"/>
              </w:rPr>
              <m:t>N</m:t>
            </m:r>
          </m:e>
          <m:sub>
            <m:r>
              <m:rPr>
                <m:sty m:val="p"/>
              </m:rPr>
              <w:rPr>
                <w:rFonts w:ascii="Cambria Math" w:hAnsi="Cambria Math"/>
              </w:rPr>
              <m:t>Rd,plate</m:t>
            </m:r>
          </m:sub>
        </m:sSub>
        <m:r>
          <w:rPr>
            <w:rFonts w:ascii="Cambria Math" w:hAnsi="Cambria Math"/>
          </w:rPr>
          <m:t>=</m:t>
        </m:r>
        <m:r>
          <m:rPr>
            <m:sty m:val="p"/>
          </m:rPr>
          <w:rPr>
            <w:rFonts w:ascii="Cambria Math" w:hAnsi="Cambria Math"/>
          </w:rPr>
          <m:t>max</m:t>
        </m:r>
        <m:r>
          <w:rPr>
            <w:rFonts w:ascii="Cambria Math" w:hAnsi="Cambria Math"/>
          </w:rPr>
          <m:t>⁡{</m:t>
        </m:r>
        <m:sSub>
          <m:sSubPr>
            <m:ctrlPr>
              <w:rPr>
                <w:rFonts w:ascii="Cambria Math" w:hAnsi="Cambria Math"/>
              </w:rPr>
            </m:ctrlPr>
          </m:sSubPr>
          <m:e>
            <m:sSub>
              <m:sSubPr>
                <m:ctrlPr>
                  <w:rPr>
                    <w:rFonts w:ascii="Cambria Math" w:hAnsi="Cambria Math"/>
                  </w:rPr>
                </m:ctrlPr>
              </m:sSubPr>
              <m:e>
                <m:r>
                  <w:rPr>
                    <w:rFonts w:ascii="Cambria Math" w:hAnsi="Cambria Math"/>
                  </w:rPr>
                  <m:t>f</m:t>
                </m:r>
              </m:e>
              <m:sub>
                <m:r>
                  <m:rPr>
                    <m:sty m:val="p"/>
                  </m:rPr>
                  <w:rPr>
                    <w:rFonts w:ascii="Cambria Math" w:hAnsi="Cambria Math"/>
                  </w:rPr>
                  <m:t>yd</m:t>
                </m:r>
              </m:sub>
            </m:sSub>
            <m:r>
              <w:rPr>
                <w:rFonts w:ascii="Cambria Math" w:hAnsi="Cambria Math"/>
              </w:rPr>
              <m:t>A</m:t>
            </m:r>
          </m:e>
          <m:sub>
            <m:r>
              <m:rPr>
                <m:sty m:val="p"/>
              </m:rPr>
              <w:rPr>
                <w:rFonts w:ascii="Cambria Math" w:hAnsi="Cambria Math"/>
              </w:rPr>
              <m:t>b</m:t>
            </m:r>
          </m:sub>
        </m:sSub>
        <m:sSub>
          <m:sSubPr>
            <m:ctrlPr>
              <w:rPr>
                <w:rFonts w:ascii="Cambria Math" w:hAnsi="Cambria Math"/>
              </w:rPr>
            </m:ctrlPr>
          </m:sSubPr>
          <m:e>
            <m:r>
              <w:rPr>
                <w:rFonts w:ascii="Cambria Math" w:hAnsi="Cambria Math"/>
              </w:rPr>
              <m:t>n</m:t>
            </m:r>
          </m:e>
          <m:sub>
            <m:r>
              <m:rPr>
                <m:sty m:val="p"/>
              </m:rPr>
              <w:rPr>
                <w:rFonts w:ascii="Cambria Math" w:hAnsi="Cambria Math"/>
              </w:rPr>
              <m:t>b</m:t>
            </m:r>
          </m:sub>
        </m:sSub>
        <m:r>
          <w:rPr>
            <w:rFonts w:ascii="Cambria Math" w:hAnsi="Cambria Math"/>
          </w:rPr>
          <m:t>,</m:t>
        </m:r>
        <m:sSub>
          <m:sSubPr>
            <m:ctrlPr>
              <w:rPr>
                <w:rFonts w:ascii="Cambria Math" w:hAnsi="Cambria Math"/>
              </w:rPr>
            </m:ctrlPr>
          </m:sSubPr>
          <m:e>
            <m:r>
              <w:rPr>
                <w:rFonts w:ascii="Cambria Math" w:hAnsi="Cambria Math"/>
              </w:rPr>
              <m:t>f</m:t>
            </m:r>
          </m:e>
          <m:sub>
            <m:r>
              <m:rPr>
                <m:sty m:val="p"/>
              </m:rPr>
              <w:rPr>
                <w:rFonts w:ascii="Cambria Math" w:hAnsi="Cambria Math"/>
              </w:rPr>
              <m:t>yp</m:t>
            </m:r>
          </m:sub>
        </m:sSub>
        <m:sSub>
          <m:sSubPr>
            <m:ctrlPr>
              <w:rPr>
                <w:rFonts w:ascii="Cambria Math" w:hAnsi="Cambria Math"/>
              </w:rPr>
            </m:ctrlPr>
          </m:sSubPr>
          <m:e>
            <m:r>
              <w:rPr>
                <w:rFonts w:ascii="Cambria Math" w:hAnsi="Cambria Math"/>
              </w:rPr>
              <m:t>A</m:t>
            </m:r>
          </m:e>
          <m:sub>
            <m:r>
              <m:rPr>
                <m:sty m:val="p"/>
              </m:rPr>
              <w:rPr>
                <w:rFonts w:ascii="Cambria Math" w:hAnsi="Cambria Math"/>
              </w:rPr>
              <m:t>bearing,plate</m:t>
            </m:r>
          </m:sub>
        </m:sSub>
        <m:r>
          <w:rPr>
            <w:rFonts w:ascii="Cambria Math" w:hAnsi="Cambria Math"/>
          </w:rPr>
          <m:t>} ≥</m:t>
        </m:r>
        <m:sSub>
          <m:sSubPr>
            <m:ctrlPr>
              <w:rPr>
                <w:rFonts w:ascii="Cambria Math" w:hAnsi="Cambria Math"/>
              </w:rPr>
            </m:ctrlPr>
          </m:sSubPr>
          <m:e>
            <m:r>
              <w:rPr>
                <w:rFonts w:ascii="Cambria Math" w:hAnsi="Cambria Math"/>
              </w:rPr>
              <m:t>N</m:t>
            </m:r>
          </m:e>
          <m:sub>
            <m:r>
              <m:rPr>
                <m:sty m:val="p"/>
              </m:rPr>
              <w:rPr>
                <w:rFonts w:ascii="Cambria Math" w:hAnsi="Cambria Math"/>
              </w:rPr>
              <m:t>Ed</m:t>
            </m:r>
          </m:sub>
        </m:sSub>
      </m:oMath>
      <w:r w:rsidR="0023283B" w:rsidRPr="006C09CE">
        <w:tab/>
        <w:t>(H.</w:t>
      </w:r>
      <w:r w:rsidR="0023283B">
        <w:t>23</w:t>
      </w:r>
      <w:r w:rsidR="0023283B" w:rsidRPr="006C09CE">
        <w:t>)</w:t>
      </w:r>
    </w:p>
    <w:p w14:paraId="0126A94A" w14:textId="4DC81865" w:rsidR="0023283B" w:rsidRDefault="00675EBA" w:rsidP="00773115">
      <w:pPr>
        <w:pStyle w:val="Text"/>
      </w:pPr>
      <w:r>
        <w:t>where</w:t>
      </w:r>
    </w:p>
    <w:tbl>
      <w:tblPr>
        <w:tblW w:w="0" w:type="auto"/>
        <w:tblInd w:w="346" w:type="dxa"/>
        <w:tblLook w:val="04A0" w:firstRow="1" w:lastRow="0" w:firstColumn="1" w:lastColumn="0" w:noHBand="0" w:noVBand="1"/>
      </w:tblPr>
      <w:tblGrid>
        <w:gridCol w:w="1275"/>
        <w:gridCol w:w="7938"/>
      </w:tblGrid>
      <w:tr w:rsidR="0023283B" w:rsidRPr="00FF1786" w14:paraId="3BF7D0A0" w14:textId="77777777" w:rsidTr="006107DB">
        <w:tc>
          <w:tcPr>
            <w:tcW w:w="1275" w:type="dxa"/>
          </w:tcPr>
          <w:p w14:paraId="43393AF9" w14:textId="3325B2E9" w:rsidR="0023283B" w:rsidRPr="00460668" w:rsidRDefault="009B5CEC" w:rsidP="002061E5">
            <w:pPr>
              <w:spacing w:after="60"/>
              <w:rPr>
                <w:rFonts w:eastAsia="Times New Roman" w:cs="Cambria"/>
                <w:szCs w:val="20"/>
                <w:lang w:eastAsia="fr-FR"/>
              </w:rPr>
            </w:pPr>
            <m:oMathPara>
              <m:oMathParaPr>
                <m:jc m:val="left"/>
              </m:oMathParaPr>
              <m:oMath>
                <m:sSub>
                  <m:sSubPr>
                    <m:ctrlPr>
                      <w:rPr>
                        <w:rFonts w:ascii="Cambria Math" w:eastAsia="Cambria" w:hAnsi="Cambria Math"/>
                        <w:i/>
                        <w:sz w:val="20"/>
                        <w:lang w:eastAsia="de-DE"/>
                      </w:rPr>
                    </m:ctrlPr>
                  </m:sSubPr>
                  <m:e>
                    <m:r>
                      <w:rPr>
                        <w:rFonts w:ascii="Cambria Math" w:eastAsia="Cambria" w:hAnsi="Cambria Math"/>
                        <w:sz w:val="20"/>
                        <w:lang w:eastAsia="de-DE"/>
                      </w:rPr>
                      <m:t>f</m:t>
                    </m:r>
                  </m:e>
                  <m:sub>
                    <m:r>
                      <m:rPr>
                        <m:sty m:val="p"/>
                      </m:rPr>
                      <w:rPr>
                        <w:rFonts w:ascii="Cambria Math" w:eastAsia="Cambria" w:hAnsi="Cambria Math"/>
                        <w:sz w:val="20"/>
                        <w:lang w:eastAsia="de-DE"/>
                      </w:rPr>
                      <m:t>yd</m:t>
                    </m:r>
                  </m:sub>
                </m:sSub>
              </m:oMath>
            </m:oMathPara>
          </w:p>
        </w:tc>
        <w:tc>
          <w:tcPr>
            <w:tcW w:w="7938" w:type="dxa"/>
          </w:tcPr>
          <w:p w14:paraId="05983A0E" w14:textId="5CD32CC7" w:rsidR="0023283B" w:rsidRPr="00A47E27" w:rsidRDefault="0023283B" w:rsidP="002061E5">
            <w:pPr>
              <w:pStyle w:val="Listofsymbols"/>
              <w:tabs>
                <w:tab w:val="clear" w:pos="1134"/>
                <w:tab w:val="left" w:pos="2481"/>
              </w:tabs>
              <w:ind w:left="0" w:firstLine="0"/>
              <w:rPr>
                <w:szCs w:val="22"/>
              </w:rPr>
            </w:pPr>
            <w:r w:rsidRPr="00132C1E">
              <w:t xml:space="preserve">is the </w:t>
            </w:r>
            <w:r w:rsidRPr="00D1484A">
              <w:t>design value of the yield strength of the anchor</w:t>
            </w:r>
            <w:r w:rsidRPr="007E6F67">
              <w:t>s</w:t>
            </w:r>
            <w:r w:rsidRPr="00FD17CF">
              <w:t>;</w:t>
            </w:r>
          </w:p>
        </w:tc>
      </w:tr>
      <w:tr w:rsidR="0023283B" w:rsidRPr="00FF1786" w14:paraId="7322CEB2" w14:textId="77777777" w:rsidTr="006107DB">
        <w:tc>
          <w:tcPr>
            <w:tcW w:w="1275" w:type="dxa"/>
          </w:tcPr>
          <w:p w14:paraId="2D0B640A" w14:textId="27C679F7" w:rsidR="0023283B" w:rsidRPr="00A47E27" w:rsidRDefault="009B5CEC" w:rsidP="002061E5">
            <w:pPr>
              <w:spacing w:after="60"/>
              <w:rPr>
                <w:sz w:val="20"/>
                <w:lang w:eastAsia="de-DE"/>
              </w:rPr>
            </w:pPr>
            <m:oMathPara>
              <m:oMathParaPr>
                <m:jc m:val="left"/>
              </m:oMathParaPr>
              <m:oMath>
                <m:sSub>
                  <m:sSubPr>
                    <m:ctrlPr>
                      <w:rPr>
                        <w:rFonts w:ascii="Cambria Math" w:eastAsia="Cambria" w:hAnsi="Cambria Math"/>
                        <w:i/>
                        <w:sz w:val="20"/>
                        <w:lang w:eastAsia="de-DE"/>
                      </w:rPr>
                    </m:ctrlPr>
                  </m:sSubPr>
                  <m:e>
                    <m:r>
                      <w:rPr>
                        <w:rFonts w:ascii="Cambria Math" w:eastAsia="Cambria" w:hAnsi="Cambria Math"/>
                        <w:sz w:val="20"/>
                        <w:lang w:eastAsia="de-DE"/>
                      </w:rPr>
                      <m:t>n</m:t>
                    </m:r>
                  </m:e>
                  <m:sub>
                    <m:r>
                      <m:rPr>
                        <m:sty m:val="p"/>
                      </m:rPr>
                      <w:rPr>
                        <w:rFonts w:ascii="Cambria Math" w:eastAsia="Cambria" w:hAnsi="Cambria Math"/>
                        <w:sz w:val="20"/>
                        <w:lang w:eastAsia="de-DE"/>
                      </w:rPr>
                      <m:t>b</m:t>
                    </m:r>
                  </m:sub>
                </m:sSub>
              </m:oMath>
            </m:oMathPara>
          </w:p>
        </w:tc>
        <w:tc>
          <w:tcPr>
            <w:tcW w:w="7938" w:type="dxa"/>
          </w:tcPr>
          <w:p w14:paraId="2909AC46" w14:textId="51590202" w:rsidR="0023283B" w:rsidRPr="00132C1E" w:rsidRDefault="0023283B" w:rsidP="002061E5">
            <w:pPr>
              <w:pStyle w:val="Listofsymbols"/>
              <w:tabs>
                <w:tab w:val="clear" w:pos="1134"/>
                <w:tab w:val="left" w:pos="2481"/>
              </w:tabs>
              <w:ind w:left="0" w:firstLine="0"/>
            </w:pPr>
            <w:r w:rsidRPr="00132C1E">
              <w:t>is the total number of the anchors;</w:t>
            </w:r>
          </w:p>
        </w:tc>
      </w:tr>
      <w:tr w:rsidR="0023283B" w:rsidRPr="00FF1786" w14:paraId="6B8C4CB8" w14:textId="77777777" w:rsidTr="006107DB">
        <w:tc>
          <w:tcPr>
            <w:tcW w:w="1275" w:type="dxa"/>
          </w:tcPr>
          <w:p w14:paraId="533FE978" w14:textId="20CEF299" w:rsidR="0023283B" w:rsidRPr="0023283B" w:rsidRDefault="009B5CEC" w:rsidP="002061E5">
            <w:pPr>
              <w:spacing w:after="60"/>
              <w:rPr>
                <w:sz w:val="20"/>
                <w:lang w:eastAsia="de-DE"/>
              </w:rPr>
            </w:pPr>
            <m:oMathPara>
              <m:oMathParaPr>
                <m:jc m:val="left"/>
              </m:oMathParaPr>
              <m:oMath>
                <m:sSub>
                  <m:sSubPr>
                    <m:ctrlPr>
                      <w:rPr>
                        <w:rFonts w:ascii="Cambria Math" w:eastAsia="Cambria" w:hAnsi="Cambria Math"/>
                        <w:i/>
                        <w:sz w:val="20"/>
                        <w:lang w:eastAsia="de-DE"/>
                      </w:rPr>
                    </m:ctrlPr>
                  </m:sSubPr>
                  <m:e>
                    <m:r>
                      <w:rPr>
                        <w:rFonts w:ascii="Cambria Math" w:eastAsia="Cambria" w:hAnsi="Cambria Math"/>
                        <w:sz w:val="20"/>
                        <w:lang w:eastAsia="de-DE"/>
                      </w:rPr>
                      <m:t>A</m:t>
                    </m:r>
                  </m:e>
                  <m:sub>
                    <m:r>
                      <m:rPr>
                        <m:sty m:val="p"/>
                      </m:rPr>
                      <w:rPr>
                        <w:rFonts w:ascii="Cambria Math" w:eastAsia="Cambria" w:hAnsi="Cambria Math"/>
                        <w:sz w:val="20"/>
                        <w:lang w:eastAsia="de-DE"/>
                      </w:rPr>
                      <m:t>b</m:t>
                    </m:r>
                  </m:sub>
                </m:sSub>
              </m:oMath>
            </m:oMathPara>
          </w:p>
        </w:tc>
        <w:tc>
          <w:tcPr>
            <w:tcW w:w="7938" w:type="dxa"/>
          </w:tcPr>
          <w:p w14:paraId="55EC7689" w14:textId="0CE113C0" w:rsidR="0023283B" w:rsidRPr="00132C1E" w:rsidRDefault="0023283B" w:rsidP="002061E5">
            <w:pPr>
              <w:pStyle w:val="Listofsymbols"/>
              <w:tabs>
                <w:tab w:val="clear" w:pos="1134"/>
                <w:tab w:val="left" w:pos="2481"/>
              </w:tabs>
              <w:ind w:left="0" w:firstLine="0"/>
            </w:pPr>
            <w:r w:rsidRPr="00132C1E">
              <w:t>is the area of the anchor;</w:t>
            </w:r>
          </w:p>
        </w:tc>
      </w:tr>
      <w:tr w:rsidR="0023283B" w:rsidRPr="00FF1786" w14:paraId="4E0D8D5A" w14:textId="77777777" w:rsidTr="006107DB">
        <w:tc>
          <w:tcPr>
            <w:tcW w:w="1275" w:type="dxa"/>
          </w:tcPr>
          <w:p w14:paraId="5BD34A1D" w14:textId="3F6F8E78" w:rsidR="0023283B" w:rsidRDefault="009B5CEC" w:rsidP="002061E5">
            <w:pPr>
              <w:spacing w:after="60"/>
              <w:rPr>
                <w:sz w:val="20"/>
                <w:lang w:eastAsia="de-DE"/>
              </w:rPr>
            </w:pPr>
            <m:oMathPara>
              <m:oMath>
                <m:sSub>
                  <m:sSubPr>
                    <m:ctrlPr>
                      <w:rPr>
                        <w:rFonts w:ascii="Cambria Math" w:eastAsia="Cambria" w:hAnsi="Cambria Math"/>
                        <w:i/>
                        <w:sz w:val="20"/>
                        <w:lang w:eastAsia="de-DE"/>
                      </w:rPr>
                    </m:ctrlPr>
                  </m:sSubPr>
                  <m:e>
                    <m:r>
                      <w:rPr>
                        <w:rFonts w:ascii="Cambria Math" w:eastAsia="Cambria" w:hAnsi="Cambria Math"/>
                        <w:sz w:val="20"/>
                        <w:lang w:eastAsia="de-DE"/>
                      </w:rPr>
                      <m:t>A</m:t>
                    </m:r>
                  </m:e>
                  <m:sub>
                    <m:r>
                      <m:rPr>
                        <m:sty m:val="p"/>
                      </m:rPr>
                      <w:rPr>
                        <w:rFonts w:ascii="Cambria Math" w:eastAsia="Cambria" w:hAnsi="Cambria Math"/>
                        <w:sz w:val="20"/>
                        <w:lang w:eastAsia="de-DE"/>
                      </w:rPr>
                      <m:t>bearing,plate</m:t>
                    </m:r>
                  </m:sub>
                </m:sSub>
              </m:oMath>
            </m:oMathPara>
          </w:p>
        </w:tc>
        <w:tc>
          <w:tcPr>
            <w:tcW w:w="7938" w:type="dxa"/>
          </w:tcPr>
          <w:p w14:paraId="53CF2D66" w14:textId="4335D811" w:rsidR="0023283B" w:rsidRPr="00132C1E" w:rsidRDefault="0023283B" w:rsidP="002061E5">
            <w:pPr>
              <w:pStyle w:val="Listofsymbols"/>
              <w:tabs>
                <w:tab w:val="clear" w:pos="1134"/>
                <w:tab w:val="left" w:pos="2481"/>
              </w:tabs>
              <w:ind w:left="0" w:firstLine="0"/>
            </w:pPr>
            <w:r w:rsidRPr="00132C1E">
              <w:t>is the bearing area of the base plate to the concrete footing.</w:t>
            </w:r>
          </w:p>
        </w:tc>
      </w:tr>
    </w:tbl>
    <w:p w14:paraId="36C358D6" w14:textId="75ADF1D7" w:rsidR="0023283B" w:rsidRPr="00FD17CF" w:rsidRDefault="0023283B" w:rsidP="00724E4E">
      <w:pPr>
        <w:pStyle w:val="Clause"/>
      </w:pPr>
      <w:r w:rsidRPr="007E6F67">
        <w:t>The steel base plate width should sustain the maximum bearing resistance of the concrete by assuming a uniform stress distribution from the embedded column flange to the steel ba</w:t>
      </w:r>
      <w:r w:rsidRPr="00FD17CF">
        <w:t>se plate edge.</w:t>
      </w:r>
    </w:p>
    <w:p w14:paraId="6EF5BC6B" w14:textId="363B8662" w:rsidR="00CD3866" w:rsidRDefault="00CD3866"/>
    <w:p w14:paraId="20D78697" w14:textId="5B0C926C" w:rsidR="00CD3866" w:rsidRPr="00D1484A" w:rsidRDefault="00CD3866" w:rsidP="00CD3866">
      <w:pPr>
        <w:pStyle w:val="ANNEX"/>
        <w:tabs>
          <w:tab w:val="clear" w:pos="360"/>
        </w:tabs>
        <w:spacing w:before="0"/>
        <w:rPr>
          <w:lang w:eastAsia="en-US"/>
        </w:rPr>
      </w:pPr>
      <w:bookmarkStart w:id="11648" w:name="_Toc50150808"/>
      <w:bookmarkStart w:id="11649" w:name="_Toc70887241"/>
      <w:bookmarkStart w:id="11650" w:name="_Toc108342853"/>
      <w:r>
        <w:br/>
      </w:r>
      <w:bookmarkStart w:id="11651" w:name="_Toc134198359"/>
      <w:r w:rsidRPr="00CD3866">
        <w:rPr>
          <w:b w:val="0"/>
          <w:bCs/>
        </w:rPr>
        <w:t>(normative)</w:t>
      </w:r>
      <w:r w:rsidRPr="00FB6A3C">
        <w:rPr>
          <w:lang w:eastAsia="en-US"/>
        </w:rPr>
        <w:fldChar w:fldCharType="begin"/>
      </w:r>
      <w:r w:rsidRPr="00132C1E">
        <w:rPr>
          <w:lang w:eastAsia="en-US"/>
        </w:rPr>
        <w:instrText xml:space="preserve">SEQ aaa \h </w:instrText>
      </w:r>
      <w:r w:rsidRPr="00FB6A3C">
        <w:rPr>
          <w:lang w:eastAsia="en-US"/>
        </w:rPr>
        <w:fldChar w:fldCharType="end"/>
      </w:r>
      <w:r w:rsidRPr="00FB6A3C">
        <w:rPr>
          <w:lang w:eastAsia="en-US"/>
        </w:rPr>
        <w:fldChar w:fldCharType="begin"/>
      </w:r>
      <w:r w:rsidRPr="00132C1E">
        <w:rPr>
          <w:lang w:eastAsia="en-US"/>
        </w:rPr>
        <w:instrText xml:space="preserve">SEQ table \r0\h </w:instrText>
      </w:r>
      <w:r w:rsidRPr="00FB6A3C">
        <w:rPr>
          <w:lang w:eastAsia="en-US"/>
        </w:rPr>
        <w:fldChar w:fldCharType="end"/>
      </w:r>
      <w:r w:rsidRPr="00FB6A3C">
        <w:rPr>
          <w:lang w:eastAsia="en-US"/>
        </w:rPr>
        <w:fldChar w:fldCharType="begin"/>
      </w:r>
      <w:r w:rsidRPr="00132C1E">
        <w:rPr>
          <w:lang w:eastAsia="en-US"/>
        </w:rPr>
        <w:instrText xml:space="preserve">SEQ figure \r0\h </w:instrText>
      </w:r>
      <w:r w:rsidRPr="00FB6A3C">
        <w:rPr>
          <w:lang w:eastAsia="en-US"/>
        </w:rPr>
        <w:fldChar w:fldCharType="end"/>
      </w:r>
      <w:r w:rsidRPr="00FB6A3C">
        <w:rPr>
          <w:lang w:eastAsia="en-US"/>
        </w:rPr>
        <w:fldChar w:fldCharType="begin"/>
      </w:r>
      <w:r w:rsidRPr="00132C1E">
        <w:rPr>
          <w:lang w:eastAsia="en-US"/>
        </w:rPr>
        <w:instrText xml:space="preserve"> SEQ Equation_annex \r0\h </w:instrText>
      </w:r>
      <w:r w:rsidRPr="00FB6A3C">
        <w:rPr>
          <w:lang w:eastAsia="en-US"/>
        </w:rPr>
        <w:fldChar w:fldCharType="end"/>
      </w:r>
      <w:r w:rsidRPr="00132C1E">
        <w:br/>
      </w:r>
      <w:r w:rsidRPr="00132C1E">
        <w:br/>
      </w:r>
      <w:r w:rsidRPr="00D1484A">
        <w:t>Design of the slab of steel-concrete composite beams at beam-column joints in moment resisting frames</w:t>
      </w:r>
      <w:bookmarkEnd w:id="11648"/>
      <w:bookmarkEnd w:id="11649"/>
      <w:bookmarkEnd w:id="11650"/>
      <w:bookmarkEnd w:id="11651"/>
    </w:p>
    <w:p w14:paraId="07530D93" w14:textId="709598EE" w:rsidR="00CD3866" w:rsidRPr="007505A6" w:rsidRDefault="00CD3866" w:rsidP="00CD3866">
      <w:pPr>
        <w:pStyle w:val="a2"/>
      </w:pPr>
      <w:bookmarkStart w:id="11652" w:name="_Toc50150809"/>
      <w:bookmarkStart w:id="11653" w:name="_Toc70887242"/>
      <w:bookmarkStart w:id="11654" w:name="_Toc108342854"/>
      <w:bookmarkStart w:id="11655" w:name="_Toc134198360"/>
      <w:r w:rsidRPr="007505A6">
        <w:t xml:space="preserve">Use of this </w:t>
      </w:r>
      <w:r w:rsidR="00773115">
        <w:t>normative a</w:t>
      </w:r>
      <w:r w:rsidRPr="007505A6">
        <w:t>nnex</w:t>
      </w:r>
      <w:bookmarkEnd w:id="11652"/>
      <w:bookmarkEnd w:id="11653"/>
      <w:bookmarkEnd w:id="11654"/>
      <w:bookmarkEnd w:id="11655"/>
    </w:p>
    <w:p w14:paraId="183C7528" w14:textId="736F7279" w:rsidR="00CD3866" w:rsidRPr="007505A6" w:rsidRDefault="00CD3866" w:rsidP="0080187E">
      <w:pPr>
        <w:pStyle w:val="Clause"/>
        <w:numPr>
          <w:ilvl w:val="0"/>
          <w:numId w:val="632"/>
        </w:numPr>
      </w:pPr>
      <w:r w:rsidRPr="007505A6">
        <w:t>This Normative Annex contains additional provisions to</w:t>
      </w:r>
      <w:r w:rsidR="00B00B3D">
        <w:t xml:space="preserve"> Clause</w:t>
      </w:r>
      <w:r w:rsidRPr="007505A6">
        <w:t xml:space="preserve"> </w:t>
      </w:r>
      <w:r w:rsidRPr="00B00B3D">
        <w:t>12</w:t>
      </w:r>
      <w:r w:rsidRPr="007505A6">
        <w:t xml:space="preserve"> for composite buildings.</w:t>
      </w:r>
    </w:p>
    <w:p w14:paraId="62672E36" w14:textId="33716651" w:rsidR="00CD3866" w:rsidRPr="00DE63F6" w:rsidRDefault="00773115" w:rsidP="00CD3866">
      <w:pPr>
        <w:pStyle w:val="a2"/>
        <w:rPr>
          <w:color w:val="000000" w:themeColor="text1"/>
        </w:rPr>
      </w:pPr>
      <w:bookmarkStart w:id="11656" w:name="_Toc108342855"/>
      <w:bookmarkStart w:id="11657" w:name="_Toc134198361"/>
      <w:r>
        <w:rPr>
          <w:color w:val="000000" w:themeColor="text1"/>
          <w:sz w:val="24"/>
          <w:szCs w:val="24"/>
        </w:rPr>
        <w:t>Scope and f</w:t>
      </w:r>
      <w:r w:rsidR="00CD3866" w:rsidRPr="00DE63F6">
        <w:rPr>
          <w:color w:val="000000" w:themeColor="text1"/>
          <w:sz w:val="24"/>
          <w:szCs w:val="24"/>
        </w:rPr>
        <w:t>ield of application</w:t>
      </w:r>
      <w:bookmarkEnd w:id="11656"/>
      <w:bookmarkEnd w:id="11657"/>
    </w:p>
    <w:p w14:paraId="2B64ADAD" w14:textId="329FFDA4" w:rsidR="00CD3866" w:rsidRPr="007505A6" w:rsidRDefault="00CD3866" w:rsidP="0080187E">
      <w:pPr>
        <w:pStyle w:val="Clause"/>
        <w:numPr>
          <w:ilvl w:val="0"/>
          <w:numId w:val="729"/>
        </w:numPr>
      </w:pPr>
      <w:r w:rsidRPr="007505A6">
        <w:t xml:space="preserve">This annex should be used for the design of the slab and of its connection to composite </w:t>
      </w:r>
      <w:r w:rsidR="00274699">
        <w:t>steel-concrete</w:t>
      </w:r>
      <w:r w:rsidRPr="007505A6">
        <w:t xml:space="preserve"> moment resisting </w:t>
      </w:r>
      <w:r w:rsidRPr="00766D01">
        <w:t xml:space="preserve">frames with rigid full-strength beam-to-column composite connections in DC2 </w:t>
      </w:r>
      <w:r w:rsidRPr="007505A6">
        <w:t>and DC3.</w:t>
      </w:r>
    </w:p>
    <w:p w14:paraId="50679A71" w14:textId="77777777" w:rsidR="00CD3866" w:rsidRPr="007505A6" w:rsidRDefault="00CD3866" w:rsidP="00CD3866">
      <w:pPr>
        <w:pStyle w:val="a2"/>
      </w:pPr>
      <w:bookmarkStart w:id="11658" w:name="_Toc451590653"/>
      <w:bookmarkStart w:id="11659" w:name="_Toc451653420"/>
      <w:bookmarkStart w:id="11660" w:name="_Toc50150811"/>
      <w:bookmarkStart w:id="11661" w:name="_Toc70887244"/>
      <w:bookmarkStart w:id="11662" w:name="_Toc108342856"/>
      <w:bookmarkStart w:id="11663" w:name="_Toc134198362"/>
      <w:r w:rsidRPr="007505A6">
        <w:t>Design of joints at exterior columns under negative moment</w:t>
      </w:r>
      <w:bookmarkEnd w:id="11658"/>
      <w:bookmarkEnd w:id="11659"/>
      <w:bookmarkEnd w:id="11660"/>
      <w:bookmarkEnd w:id="11661"/>
      <w:bookmarkEnd w:id="11662"/>
      <w:bookmarkEnd w:id="11663"/>
    </w:p>
    <w:p w14:paraId="319CBDAA" w14:textId="38FA267F" w:rsidR="00CD3866" w:rsidRDefault="00CD3866" w:rsidP="0080187E">
      <w:pPr>
        <w:pStyle w:val="Clause"/>
        <w:numPr>
          <w:ilvl w:val="0"/>
          <w:numId w:val="633"/>
        </w:numPr>
      </w:pPr>
      <w:r w:rsidRPr="007505A6">
        <w:t xml:space="preserve">When there is no façade steel beam and no concrete cantilever edge strip, the moment resistance of exterior joints </w:t>
      </w:r>
      <w:r w:rsidRPr="00CD3866">
        <w:t>(Figure I.1a) should be taken as the plastic moment resistance of the steel beam alone (Figure I.1b).</w:t>
      </w:r>
    </w:p>
    <w:p w14:paraId="6524E9B7" w14:textId="125C2B2A" w:rsidR="00CD3866" w:rsidRPr="007C4848" w:rsidRDefault="00CD3866" w:rsidP="00CD3866">
      <w:pPr>
        <w:pStyle w:val="Notetext"/>
      </w:pPr>
      <w:r w:rsidRPr="00194DB3">
        <w:t>NOTE</w:t>
      </w:r>
      <w:r>
        <w:tab/>
      </w:r>
      <w:r w:rsidRPr="00194DB3">
        <w:t>The composite effect between slab and steel beam cannot be mobilized with the detailing in (1)</w:t>
      </w:r>
      <w:r>
        <w:t>.</w:t>
      </w:r>
    </w:p>
    <w:p w14:paraId="5426EBD8" w14:textId="46935074" w:rsidR="00CD3866" w:rsidRPr="007505A6" w:rsidRDefault="00CD3866" w:rsidP="00724E4E">
      <w:pPr>
        <w:pStyle w:val="Clause"/>
      </w:pPr>
      <w:r w:rsidRPr="00CD3866">
        <w:t xml:space="preserve">When there is a concrete cantilever edge strip but no façade steel beam, </w:t>
      </w:r>
      <w:r w:rsidR="005E0F4B">
        <w:t>pr</w:t>
      </w:r>
      <w:r w:rsidR="00C30FF9">
        <w:t>EN 1</w:t>
      </w:r>
      <w:r w:rsidRPr="00CD3866">
        <w:t xml:space="preserve">994-1-1 should be applied for the calculation of the moment resistance of the joint (Figure I.1c). The reinforcing bars should </w:t>
      </w:r>
      <w:r w:rsidRPr="007505A6">
        <w:t>be adequately anchored in the cantilever edge strip.</w:t>
      </w:r>
    </w:p>
    <w:p w14:paraId="7432998E" w14:textId="39979473" w:rsidR="00CD3866" w:rsidRPr="00132C1E" w:rsidRDefault="00CD3866" w:rsidP="00724E4E">
      <w:pPr>
        <w:pStyle w:val="Clause"/>
      </w:pPr>
      <w:r w:rsidRPr="00132C1E">
        <w:t xml:space="preserve">When there is a façade steel beam rigidly connected to the column, but no concrete cantilever edge strip, the moment resistance of the joint may include the contribution of the slab reinforcements, provided </w:t>
      </w:r>
      <w:r w:rsidRPr="00CD3866">
        <w:t xml:space="preserve">that </w:t>
      </w:r>
      <w:r w:rsidRPr="00B00B3D">
        <w:t>(4)</w:t>
      </w:r>
      <w:r w:rsidRPr="00CD3866">
        <w:t xml:space="preserve"> to </w:t>
      </w:r>
      <w:r w:rsidRPr="00B00B3D">
        <w:t>(7)</w:t>
      </w:r>
      <w:r w:rsidRPr="00CD3866">
        <w:t xml:space="preserve"> are satisfied (Figure I.1d</w:t>
      </w:r>
      <w:r w:rsidRPr="00132C1E">
        <w:t>).</w:t>
      </w:r>
    </w:p>
    <w:p w14:paraId="5439BF7E" w14:textId="0726D008" w:rsidR="00CD3866" w:rsidRPr="00132C1E" w:rsidRDefault="00CD3866" w:rsidP="00724E4E">
      <w:pPr>
        <w:pStyle w:val="Clause"/>
      </w:pPr>
      <w:r w:rsidRPr="00132C1E">
        <w:t>Reinforcing bars of the slab should be anchored to the shear connectors of the façade steel beam.</w:t>
      </w:r>
    </w:p>
    <w:p w14:paraId="4674159F" w14:textId="7707649F" w:rsidR="00CD3866" w:rsidRPr="00132C1E" w:rsidRDefault="00CD3866" w:rsidP="00724E4E">
      <w:pPr>
        <w:pStyle w:val="Clause"/>
      </w:pPr>
      <w:r w:rsidRPr="00132C1E">
        <w:t>The cross-sectional area of reinforcing steel should be such that yielding of the reinforcing steel takes place before failure of the connectors and of the façade beams.</w:t>
      </w:r>
    </w:p>
    <w:p w14:paraId="6E6E4E39" w14:textId="71AC1DEC" w:rsidR="00CD3866" w:rsidRPr="00132C1E" w:rsidRDefault="00CD3866" w:rsidP="00724E4E">
      <w:pPr>
        <w:pStyle w:val="Clause"/>
      </w:pPr>
      <w:r w:rsidRPr="00132C1E">
        <w:t xml:space="preserve">The cross-sectional area of reinforcing steel and the connectors should be placed over a width equal to the effective width </w:t>
      </w:r>
      <w:r w:rsidRPr="00CD3866">
        <w:t xml:space="preserve">defined in </w:t>
      </w:r>
      <w:r w:rsidRPr="00B00B3D">
        <w:t>12.8.6.2.2</w:t>
      </w:r>
      <w:r w:rsidRPr="00CD3866">
        <w:t xml:space="preserve"> and Table 12.7</w:t>
      </w:r>
      <w:r w:rsidRPr="00132C1E">
        <w:t>.</w:t>
      </w:r>
    </w:p>
    <w:p w14:paraId="18BBDC44" w14:textId="7304D1CE" w:rsidR="00CD3866" w:rsidRDefault="00CD3866" w:rsidP="00724E4E">
      <w:pPr>
        <w:pStyle w:val="Clause"/>
      </w:pPr>
      <w:r w:rsidRPr="00132C1E">
        <w:t xml:space="preserve">The connectors should satisfy the condition </w:t>
      </w:r>
      <w:r w:rsidRPr="00CD3866">
        <w:t>in Formula (I.1).</w:t>
      </w:r>
    </w:p>
    <w:p w14:paraId="4032ECDE" w14:textId="2B3E4683" w:rsidR="00CD3866" w:rsidRPr="006C09CE" w:rsidRDefault="00CD3866" w:rsidP="00CD3866">
      <w:pPr>
        <w:pStyle w:val="Formula"/>
        <w:spacing w:before="240"/>
      </w:pPr>
      <m:oMath>
        <m:r>
          <w:rPr>
            <w:rFonts w:ascii="Cambria Math" w:hAnsi="Cambria Math"/>
          </w:rPr>
          <m:t>n</m:t>
        </m:r>
        <m:sSub>
          <m:sSubPr>
            <m:ctrlPr>
              <w:rPr>
                <w:rFonts w:ascii="Cambria Math" w:hAnsi="Cambria Math"/>
              </w:rPr>
            </m:ctrlPr>
          </m:sSubPr>
          <m:e>
            <m:r>
              <w:rPr>
                <w:rFonts w:ascii="Cambria Math" w:hAnsi="Cambria Math"/>
              </w:rPr>
              <m:t>P</m:t>
            </m:r>
          </m:e>
          <m:sub>
            <m:r>
              <m:rPr>
                <m:sty m:val="p"/>
              </m:rPr>
              <w:rPr>
                <w:rFonts w:ascii="Cambria Math" w:hAnsi="Cambria Math"/>
              </w:rPr>
              <m:t>Rd</m:t>
            </m:r>
          </m:sub>
        </m:sSub>
        <m:r>
          <w:rPr>
            <w:rFonts w:ascii="Cambria Math" w:hAnsi="Cambria Math"/>
          </w:rPr>
          <m:t>≥1,1</m:t>
        </m:r>
        <m:sSub>
          <m:sSubPr>
            <m:ctrlPr>
              <w:rPr>
                <w:rFonts w:ascii="Cambria Math" w:hAnsi="Cambria Math"/>
              </w:rPr>
            </m:ctrlPr>
          </m:sSubPr>
          <m:e>
            <m:r>
              <w:rPr>
                <w:rFonts w:ascii="Cambria Math" w:hAnsi="Cambria Math"/>
              </w:rPr>
              <m:t>F</m:t>
            </m:r>
          </m:e>
          <m:sub>
            <m:r>
              <m:rPr>
                <m:sty m:val="p"/>
              </m:rPr>
              <w:rPr>
                <w:rFonts w:ascii="Cambria Math" w:hAnsi="Cambria Math"/>
              </w:rPr>
              <m:t>Rds</m:t>
            </m:r>
          </m:sub>
        </m:sSub>
      </m:oMath>
      <w:r w:rsidRPr="006C09CE">
        <w:tab/>
        <w:t>(</w:t>
      </w:r>
      <w:r>
        <w:t>I</w:t>
      </w:r>
      <w:r w:rsidRPr="006C09CE">
        <w:t>.</w:t>
      </w:r>
      <w:r>
        <w:t>1</w:t>
      </w:r>
      <w:r w:rsidRPr="006C09CE">
        <w:t>)</w:t>
      </w:r>
    </w:p>
    <w:p w14:paraId="7CB5CD99" w14:textId="4F167C1F" w:rsidR="00CD3866" w:rsidRDefault="00675EBA" w:rsidP="009611DD">
      <w:pPr>
        <w:pStyle w:val="Text"/>
      </w:pPr>
      <w:r>
        <w:t>where</w:t>
      </w:r>
    </w:p>
    <w:tbl>
      <w:tblPr>
        <w:tblW w:w="0" w:type="auto"/>
        <w:tblInd w:w="346" w:type="dxa"/>
        <w:tblLook w:val="04A0" w:firstRow="1" w:lastRow="0" w:firstColumn="1" w:lastColumn="0" w:noHBand="0" w:noVBand="1"/>
      </w:tblPr>
      <w:tblGrid>
        <w:gridCol w:w="1275"/>
        <w:gridCol w:w="7938"/>
      </w:tblGrid>
      <w:tr w:rsidR="00CD3866" w:rsidRPr="00FF1786" w14:paraId="123304E9" w14:textId="77777777" w:rsidTr="006107DB">
        <w:tc>
          <w:tcPr>
            <w:tcW w:w="1275" w:type="dxa"/>
          </w:tcPr>
          <w:p w14:paraId="659D5553" w14:textId="6CE08E28" w:rsidR="00CD3866" w:rsidRPr="00460668" w:rsidRDefault="00CD3866" w:rsidP="002061E5">
            <w:pPr>
              <w:spacing w:after="60"/>
              <w:rPr>
                <w:rFonts w:eastAsia="Times New Roman" w:cs="Cambria"/>
                <w:szCs w:val="20"/>
                <w:lang w:eastAsia="fr-FR"/>
              </w:rPr>
            </w:pPr>
            <w:r w:rsidRPr="007E6F67">
              <w:rPr>
                <w:i/>
              </w:rPr>
              <w:t>n</w:t>
            </w:r>
          </w:p>
        </w:tc>
        <w:tc>
          <w:tcPr>
            <w:tcW w:w="7938" w:type="dxa"/>
          </w:tcPr>
          <w:p w14:paraId="5FDF3CF9" w14:textId="6FB293EA" w:rsidR="00CD3866" w:rsidRPr="00A47E27" w:rsidRDefault="00CD3866" w:rsidP="002061E5">
            <w:pPr>
              <w:pStyle w:val="Listofsymbols"/>
              <w:tabs>
                <w:tab w:val="clear" w:pos="1134"/>
                <w:tab w:val="left" w:pos="2481"/>
              </w:tabs>
              <w:ind w:left="0" w:firstLine="0"/>
              <w:rPr>
                <w:szCs w:val="22"/>
              </w:rPr>
            </w:pPr>
            <w:r w:rsidRPr="00FD17CF">
              <w:t>is the number of connectors in the effective width in negative bending;</w:t>
            </w:r>
          </w:p>
        </w:tc>
      </w:tr>
      <w:tr w:rsidR="00CD3866" w:rsidRPr="00FF1786" w14:paraId="155C82A0" w14:textId="77777777" w:rsidTr="006107DB">
        <w:tc>
          <w:tcPr>
            <w:tcW w:w="1275" w:type="dxa"/>
          </w:tcPr>
          <w:p w14:paraId="4A501A10" w14:textId="239C3BD3" w:rsidR="00CD3866" w:rsidRPr="00A47E27" w:rsidRDefault="009B5CEC" w:rsidP="002061E5">
            <w:pPr>
              <w:spacing w:after="60"/>
              <w:rPr>
                <w:sz w:val="20"/>
                <w:lang w:eastAsia="de-DE"/>
              </w:rPr>
            </w:pPr>
            <m:oMathPara>
              <m:oMathParaPr>
                <m:jc m:val="left"/>
              </m:oMathParaPr>
              <m:oMath>
                <m:sSub>
                  <m:sSubPr>
                    <m:ctrlPr>
                      <w:rPr>
                        <w:rFonts w:ascii="Cambria Math" w:hAnsi="Cambria Math"/>
                        <w:i/>
                      </w:rPr>
                    </m:ctrlPr>
                  </m:sSubPr>
                  <m:e>
                    <m:r>
                      <w:rPr>
                        <w:rFonts w:ascii="Cambria Math" w:hAnsi="Cambria Math"/>
                      </w:rPr>
                      <m:t>P</m:t>
                    </m:r>
                  </m:e>
                  <m:sub>
                    <m:r>
                      <m:rPr>
                        <m:sty m:val="p"/>
                      </m:rPr>
                      <w:rPr>
                        <w:rFonts w:ascii="Cambria Math" w:hAnsi="Cambria Math"/>
                        <w:vertAlign w:val="subscript"/>
                      </w:rPr>
                      <m:t>Rd</m:t>
                    </m:r>
                  </m:sub>
                </m:sSub>
              </m:oMath>
            </m:oMathPara>
          </w:p>
        </w:tc>
        <w:tc>
          <w:tcPr>
            <w:tcW w:w="7938" w:type="dxa"/>
          </w:tcPr>
          <w:p w14:paraId="7E04B339" w14:textId="1DD1234C" w:rsidR="00CD3866" w:rsidRPr="00132C1E" w:rsidRDefault="00CD3866" w:rsidP="002061E5">
            <w:pPr>
              <w:pStyle w:val="Listofsymbols"/>
              <w:tabs>
                <w:tab w:val="clear" w:pos="1134"/>
                <w:tab w:val="left" w:pos="2481"/>
              </w:tabs>
              <w:ind w:left="0" w:firstLine="0"/>
            </w:pPr>
            <w:r w:rsidRPr="00D1484A">
              <w:rPr>
                <w:iCs/>
              </w:rPr>
              <w:t>is the</w:t>
            </w:r>
            <w:r w:rsidRPr="00D1484A">
              <w:t xml:space="preserve"> design resistance of </w:t>
            </w:r>
            <w:r w:rsidRPr="007E6F67">
              <w:t>a single</w:t>
            </w:r>
            <w:r w:rsidRPr="00FD17CF">
              <w:t xml:space="preserve"> connector;</w:t>
            </w:r>
          </w:p>
        </w:tc>
      </w:tr>
      <w:tr w:rsidR="00CD3866" w:rsidRPr="00FF1786" w14:paraId="0F7B9DAE" w14:textId="77777777" w:rsidTr="006107DB">
        <w:tc>
          <w:tcPr>
            <w:tcW w:w="1275" w:type="dxa"/>
          </w:tcPr>
          <w:p w14:paraId="190C03C7" w14:textId="5CED8D9D" w:rsidR="00CD3866" w:rsidRPr="0023283B" w:rsidRDefault="009B5CEC" w:rsidP="002061E5">
            <w:pPr>
              <w:spacing w:after="60"/>
              <w:rPr>
                <w:sz w:val="20"/>
                <w:lang w:eastAsia="de-DE"/>
              </w:rPr>
            </w:pPr>
            <m:oMathPara>
              <m:oMathParaPr>
                <m:jc m:val="left"/>
              </m:oMathParaPr>
              <m:oMath>
                <m:sSub>
                  <m:sSubPr>
                    <m:ctrlPr>
                      <w:rPr>
                        <w:rFonts w:ascii="Cambria Math" w:hAnsi="Cambria Math"/>
                        <w:i/>
                      </w:rPr>
                    </m:ctrlPr>
                  </m:sSubPr>
                  <m:e>
                    <m:r>
                      <w:rPr>
                        <w:rFonts w:ascii="Cambria Math" w:hAnsi="Cambria Math"/>
                      </w:rPr>
                      <m:t>F</m:t>
                    </m:r>
                  </m:e>
                  <m:sub>
                    <m:r>
                      <m:rPr>
                        <m:sty m:val="p"/>
                      </m:rPr>
                      <w:rPr>
                        <w:rFonts w:ascii="Cambria Math" w:hAnsi="Cambria Math"/>
                        <w:vertAlign w:val="subscript"/>
                      </w:rPr>
                      <m:t>Rds</m:t>
                    </m:r>
                  </m:sub>
                </m:sSub>
              </m:oMath>
            </m:oMathPara>
          </w:p>
        </w:tc>
        <w:tc>
          <w:tcPr>
            <w:tcW w:w="7938" w:type="dxa"/>
          </w:tcPr>
          <w:p w14:paraId="7CF99FFD" w14:textId="7E8BDCDA" w:rsidR="00CD3866" w:rsidRPr="00132C1E" w:rsidRDefault="00CD3866" w:rsidP="002061E5">
            <w:pPr>
              <w:pStyle w:val="Listofsymbols"/>
              <w:tabs>
                <w:tab w:val="clear" w:pos="1134"/>
                <w:tab w:val="left" w:pos="2481"/>
              </w:tabs>
              <w:ind w:left="0" w:firstLine="0"/>
            </w:pPr>
            <w:r w:rsidRPr="00132C1E">
              <w:t xml:space="preserve">is the design resistance of the longitudinal bars in the effective width: </w:t>
            </w:r>
            <m:oMath>
              <m:sSub>
                <m:sSubPr>
                  <m:ctrlPr>
                    <w:rPr>
                      <w:rFonts w:ascii="Cambria Math" w:hAnsi="Cambria Math"/>
                      <w:i/>
                    </w:rPr>
                  </m:ctrlPr>
                </m:sSubPr>
                <m:e>
                  <m:r>
                    <w:rPr>
                      <w:rFonts w:ascii="Cambria Math" w:hAnsi="Cambria Math"/>
                    </w:rPr>
                    <m:t>F</m:t>
                  </m:r>
                </m:e>
                <m:sub>
                  <m:r>
                    <m:rPr>
                      <m:sty m:val="p"/>
                    </m:rPr>
                    <w:rPr>
                      <w:rFonts w:ascii="Cambria Math" w:hAnsi="Cambria Math"/>
                      <w:vertAlign w:val="subscript"/>
                    </w:rPr>
                    <m:t>Rds</m:t>
                  </m:r>
                </m:sub>
              </m:sSub>
              <m:r>
                <w:rPr>
                  <w:rFonts w:ascii="Cambria Math" w:hAnsi="Cambria Math"/>
                </w:rPr>
                <m:t xml:space="preserve"> = </m:t>
              </m:r>
              <m:sSub>
                <m:sSubPr>
                  <m:ctrlPr>
                    <w:rPr>
                      <w:rFonts w:ascii="Cambria Math" w:hAnsi="Cambria Math"/>
                      <w:i/>
                    </w:rPr>
                  </m:ctrlPr>
                </m:sSubPr>
                <m:e>
                  <m:r>
                    <w:rPr>
                      <w:rFonts w:ascii="Cambria Math" w:hAnsi="Cambria Math"/>
                    </w:rPr>
                    <m:t>A</m:t>
                  </m:r>
                </m:e>
                <m:sub>
                  <m:r>
                    <m:rPr>
                      <m:sty m:val="p"/>
                    </m:rPr>
                    <w:rPr>
                      <w:rFonts w:ascii="Cambria Math" w:hAnsi="Cambria Math"/>
                      <w:vertAlign w:val="subscript"/>
                    </w:rPr>
                    <m:t>s</m:t>
                  </m:r>
                </m:sub>
              </m:sSub>
              <m:r>
                <w:rPr>
                  <w:rFonts w:ascii="Cambria Math" w:hAnsi="Cambria Math"/>
                </w:rPr>
                <m:t xml:space="preserve"> </m:t>
              </m:r>
              <m:sSub>
                <m:sSubPr>
                  <m:ctrlPr>
                    <w:rPr>
                      <w:rFonts w:ascii="Cambria Math" w:hAnsi="Cambria Math"/>
                      <w:i/>
                    </w:rPr>
                  </m:ctrlPr>
                </m:sSubPr>
                <m:e>
                  <m:r>
                    <w:rPr>
                      <w:rFonts w:ascii="Cambria Math" w:hAnsi="Cambria Math"/>
                    </w:rPr>
                    <m:t>f</m:t>
                  </m:r>
                </m:e>
                <m:sub>
                  <m:r>
                    <m:rPr>
                      <m:sty m:val="p"/>
                    </m:rPr>
                    <w:rPr>
                      <w:rFonts w:ascii="Cambria Math" w:hAnsi="Cambria Math"/>
                      <w:vertAlign w:val="subscript"/>
                    </w:rPr>
                    <m:t>yd</m:t>
                  </m:r>
                </m:sub>
              </m:sSub>
            </m:oMath>
            <w:r w:rsidRPr="00132C1E">
              <w:t>;</w:t>
            </w:r>
          </w:p>
        </w:tc>
      </w:tr>
      <w:tr w:rsidR="00CD3866" w:rsidRPr="00FF1786" w14:paraId="149B254A" w14:textId="77777777" w:rsidTr="006107DB">
        <w:tc>
          <w:tcPr>
            <w:tcW w:w="1275" w:type="dxa"/>
          </w:tcPr>
          <w:p w14:paraId="145CDDED" w14:textId="48747D5A" w:rsidR="00CD3866" w:rsidRPr="00CD3866" w:rsidRDefault="009B5CEC" w:rsidP="002061E5">
            <w:pPr>
              <w:spacing w:after="60"/>
              <w:rPr>
                <w:sz w:val="20"/>
                <w:lang w:eastAsia="de-DE"/>
              </w:rPr>
            </w:pPr>
            <m:oMathPara>
              <m:oMathParaPr>
                <m:jc m:val="left"/>
              </m:oMathParaPr>
              <m:oMath>
                <m:sSub>
                  <m:sSubPr>
                    <m:ctrlPr>
                      <w:rPr>
                        <w:rFonts w:ascii="Cambria Math" w:hAnsi="Cambria Math"/>
                        <w:i/>
                      </w:rPr>
                    </m:ctrlPr>
                  </m:sSubPr>
                  <m:e>
                    <m:r>
                      <w:rPr>
                        <w:rFonts w:ascii="Cambria Math" w:hAnsi="Cambria Math"/>
                      </w:rPr>
                      <m:t>f</m:t>
                    </m:r>
                  </m:e>
                  <m:sub>
                    <m:r>
                      <m:rPr>
                        <m:sty m:val="p"/>
                      </m:rPr>
                      <w:rPr>
                        <w:rFonts w:ascii="Cambria Math" w:hAnsi="Cambria Math"/>
                        <w:vertAlign w:val="subscript"/>
                      </w:rPr>
                      <m:t>yd</m:t>
                    </m:r>
                  </m:sub>
                </m:sSub>
              </m:oMath>
            </m:oMathPara>
          </w:p>
        </w:tc>
        <w:tc>
          <w:tcPr>
            <w:tcW w:w="7938" w:type="dxa"/>
          </w:tcPr>
          <w:p w14:paraId="49BA8C0A" w14:textId="7033115F" w:rsidR="00CD3866" w:rsidRPr="00132C1E" w:rsidRDefault="00CD3866" w:rsidP="002061E5">
            <w:pPr>
              <w:pStyle w:val="Listofsymbols"/>
              <w:tabs>
                <w:tab w:val="clear" w:pos="1134"/>
                <w:tab w:val="left" w:pos="2481"/>
              </w:tabs>
              <w:ind w:left="0" w:firstLine="0"/>
            </w:pPr>
            <w:r w:rsidRPr="00D1484A">
              <w:t>is the</w:t>
            </w:r>
            <w:r w:rsidRPr="00D1484A">
              <w:rPr>
                <w:vertAlign w:val="subscript"/>
              </w:rPr>
              <w:t xml:space="preserve"> </w:t>
            </w:r>
            <w:r w:rsidRPr="007E6F67">
              <w:t>design yield stre</w:t>
            </w:r>
            <w:r w:rsidRPr="00FD17CF">
              <w:t>ss of the slab reinforcement.</w:t>
            </w:r>
          </w:p>
        </w:tc>
      </w:tr>
    </w:tbl>
    <w:p w14:paraId="0D657B47" w14:textId="13BD6EB3" w:rsidR="00CD3866" w:rsidRPr="00D1484A" w:rsidRDefault="00CD3866" w:rsidP="00724E4E">
      <w:pPr>
        <w:pStyle w:val="Clause"/>
      </w:pPr>
      <w:r w:rsidRPr="00196951">
        <w:t xml:space="preserve">The </w:t>
      </w:r>
      <w:bookmarkStart w:id="11664" w:name="_Hlk91832184"/>
      <w:r w:rsidRPr="00196951">
        <w:t>façade steel beam</w:t>
      </w:r>
      <w:r>
        <w:t>s</w:t>
      </w:r>
      <w:r w:rsidRPr="00196951">
        <w:t xml:space="preserve"> </w:t>
      </w:r>
      <w:r w:rsidRPr="00766D01">
        <w:t xml:space="preserve">and their joints to the column </w:t>
      </w:r>
      <w:r w:rsidRPr="00196951">
        <w:t>should be verified in bending, sh</w:t>
      </w:r>
      <w:r w:rsidRPr="002144A0">
        <w:t xml:space="preserve">ear and torsion under the horizontal force </w:t>
      </w:r>
      <m:oMath>
        <m:r>
          <w:rPr>
            <w:rFonts w:ascii="Cambria Math" w:hAnsi="Cambria Math"/>
          </w:rPr>
          <m:t>1,1</m:t>
        </m:r>
        <m:sSub>
          <m:sSubPr>
            <m:ctrlPr>
              <w:rPr>
                <w:rFonts w:ascii="Cambria Math" w:hAnsi="Cambria Math"/>
                <w:i/>
              </w:rPr>
            </m:ctrlPr>
          </m:sSubPr>
          <m:e>
            <m:r>
              <w:rPr>
                <w:rFonts w:ascii="Cambria Math" w:hAnsi="Cambria Math"/>
              </w:rPr>
              <m:t>F</m:t>
            </m:r>
          </m:e>
          <m:sub>
            <m:r>
              <m:rPr>
                <m:sty m:val="p"/>
              </m:rPr>
              <w:rPr>
                <w:rFonts w:ascii="Cambria Math" w:hAnsi="Cambria Math"/>
                <w:vertAlign w:val="subscript"/>
              </w:rPr>
              <m:t>Rds</m:t>
            </m:r>
          </m:sub>
        </m:sSub>
      </m:oMath>
      <w:r w:rsidRPr="00132C1E">
        <w:t xml:space="preserve"> applied at the connectors.</w:t>
      </w:r>
    </w:p>
    <w:bookmarkEnd w:id="11664"/>
    <w:p w14:paraId="09371209" w14:textId="43EF090F" w:rsidR="00CD3866" w:rsidRPr="00132C1E" w:rsidRDefault="00436C55" w:rsidP="00436C55">
      <w:pPr>
        <w:pStyle w:val="FigureImage"/>
      </w:pPr>
      <w:r>
        <w:rPr>
          <w:noProof/>
        </w:rPr>
        <w:drawing>
          <wp:inline distT="0" distB="0" distL="0" distR="0" wp14:anchorId="443B670E" wp14:editId="6E729C2E">
            <wp:extent cx="4500379" cy="4977392"/>
            <wp:effectExtent l="0" t="0" r="0" b="0"/>
            <wp:docPr id="49" name="i001.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i001.tiff"/>
                    <pic:cNvPicPr/>
                  </pic:nvPicPr>
                  <pic:blipFill>
                    <a:blip r:link="rId131"/>
                    <a:stretch>
                      <a:fillRect/>
                    </a:stretch>
                  </pic:blipFill>
                  <pic:spPr>
                    <a:xfrm>
                      <a:off x="0" y="0"/>
                      <a:ext cx="4500379" cy="4977392"/>
                    </a:xfrm>
                    <a:prstGeom prst="rect">
                      <a:avLst/>
                    </a:prstGeom>
                  </pic:spPr>
                </pic:pic>
              </a:graphicData>
            </a:graphic>
          </wp:inline>
        </w:drawing>
      </w:r>
    </w:p>
    <w:p w14:paraId="20BBA270" w14:textId="77777777" w:rsidR="00CD3866" w:rsidRPr="00D1484A" w:rsidRDefault="00CD3866" w:rsidP="00436C55">
      <w:pPr>
        <w:pStyle w:val="KeyTitle"/>
      </w:pPr>
      <w:bookmarkStart w:id="11665" w:name="_Toc532351368"/>
      <w:r w:rsidRPr="00D1484A">
        <w:t>Key</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
        <w:gridCol w:w="9297"/>
      </w:tblGrid>
      <w:tr w:rsidR="00CD3866" w:rsidRPr="00132C1E" w14:paraId="4E800924" w14:textId="77777777" w:rsidTr="006107DB">
        <w:tc>
          <w:tcPr>
            <w:tcW w:w="454" w:type="dxa"/>
          </w:tcPr>
          <w:p w14:paraId="7C847731" w14:textId="77777777" w:rsidR="00CD3866" w:rsidRPr="00FE71E5" w:rsidRDefault="00CD3866" w:rsidP="006107DB">
            <w:pPr>
              <w:pStyle w:val="KeyText"/>
              <w:spacing w:before="0"/>
              <w:rPr>
                <w:iCs/>
              </w:rPr>
            </w:pPr>
            <w:r w:rsidRPr="00FE71E5">
              <w:rPr>
                <w:iCs/>
              </w:rPr>
              <w:t>A</w:t>
            </w:r>
          </w:p>
        </w:tc>
        <w:tc>
          <w:tcPr>
            <w:tcW w:w="9297" w:type="dxa"/>
          </w:tcPr>
          <w:p w14:paraId="00DD8D3D" w14:textId="11A6551A" w:rsidR="00CD3866" w:rsidRPr="00FE71E5" w:rsidRDefault="00CD3866" w:rsidP="006107DB">
            <w:pPr>
              <w:pStyle w:val="KeyText"/>
              <w:spacing w:before="0"/>
            </w:pPr>
            <w:r w:rsidRPr="00FE71E5">
              <w:t>main beam</w:t>
            </w:r>
          </w:p>
        </w:tc>
      </w:tr>
      <w:tr w:rsidR="00CD3866" w:rsidRPr="00132C1E" w14:paraId="7DEE5EB7" w14:textId="77777777" w:rsidTr="006107DB">
        <w:tc>
          <w:tcPr>
            <w:tcW w:w="454" w:type="dxa"/>
          </w:tcPr>
          <w:p w14:paraId="20EB9BD3" w14:textId="77777777" w:rsidR="00CD3866" w:rsidRPr="00FE71E5" w:rsidRDefault="00CD3866" w:rsidP="006107DB">
            <w:pPr>
              <w:pStyle w:val="KeyText"/>
              <w:spacing w:before="0"/>
              <w:rPr>
                <w:iCs/>
              </w:rPr>
            </w:pPr>
            <w:r w:rsidRPr="00FE71E5">
              <w:rPr>
                <w:iCs/>
              </w:rPr>
              <w:t>B</w:t>
            </w:r>
          </w:p>
        </w:tc>
        <w:tc>
          <w:tcPr>
            <w:tcW w:w="9297" w:type="dxa"/>
          </w:tcPr>
          <w:p w14:paraId="09C5A241" w14:textId="351B9199" w:rsidR="00CD3866" w:rsidRPr="00FE71E5" w:rsidRDefault="00CD3866" w:rsidP="006107DB">
            <w:pPr>
              <w:pStyle w:val="KeyText"/>
              <w:spacing w:before="0"/>
            </w:pPr>
            <w:r w:rsidRPr="00FE71E5">
              <w:t>slab</w:t>
            </w:r>
          </w:p>
        </w:tc>
      </w:tr>
      <w:tr w:rsidR="00CD3866" w:rsidRPr="00132C1E" w14:paraId="4E8DC02C" w14:textId="77777777" w:rsidTr="006107DB">
        <w:tc>
          <w:tcPr>
            <w:tcW w:w="454" w:type="dxa"/>
          </w:tcPr>
          <w:p w14:paraId="3CB4A125" w14:textId="77777777" w:rsidR="00CD3866" w:rsidRPr="00FE71E5" w:rsidRDefault="00CD3866" w:rsidP="006107DB">
            <w:pPr>
              <w:pStyle w:val="KeyText"/>
              <w:spacing w:before="0"/>
              <w:rPr>
                <w:iCs/>
              </w:rPr>
            </w:pPr>
            <w:r w:rsidRPr="00FE71E5">
              <w:rPr>
                <w:iCs/>
              </w:rPr>
              <w:t>C</w:t>
            </w:r>
          </w:p>
        </w:tc>
        <w:tc>
          <w:tcPr>
            <w:tcW w:w="9297" w:type="dxa"/>
          </w:tcPr>
          <w:p w14:paraId="7896DC48" w14:textId="554F7CDE" w:rsidR="00CD3866" w:rsidRPr="00FE71E5" w:rsidRDefault="00CD3866" w:rsidP="006107DB">
            <w:pPr>
              <w:pStyle w:val="KeyText"/>
              <w:spacing w:before="0"/>
            </w:pPr>
            <w:r w:rsidRPr="00FE71E5">
              <w:t>exterior column</w:t>
            </w:r>
          </w:p>
        </w:tc>
      </w:tr>
      <w:tr w:rsidR="00CD3866" w:rsidRPr="00132C1E" w14:paraId="3FD789BE" w14:textId="77777777" w:rsidTr="006107DB">
        <w:tc>
          <w:tcPr>
            <w:tcW w:w="454" w:type="dxa"/>
          </w:tcPr>
          <w:p w14:paraId="2F12484E" w14:textId="77777777" w:rsidR="00CD3866" w:rsidRPr="00FE71E5" w:rsidRDefault="00CD3866" w:rsidP="006107DB">
            <w:pPr>
              <w:pStyle w:val="KeyText"/>
              <w:spacing w:before="0"/>
              <w:rPr>
                <w:iCs/>
              </w:rPr>
            </w:pPr>
            <w:r w:rsidRPr="00FE71E5">
              <w:rPr>
                <w:iCs/>
              </w:rPr>
              <w:t>D</w:t>
            </w:r>
          </w:p>
        </w:tc>
        <w:tc>
          <w:tcPr>
            <w:tcW w:w="9297" w:type="dxa"/>
          </w:tcPr>
          <w:p w14:paraId="6B6C9686" w14:textId="6576234B" w:rsidR="00CD3866" w:rsidRPr="00FE71E5" w:rsidRDefault="00CD3866" w:rsidP="006107DB">
            <w:pPr>
              <w:pStyle w:val="KeyText"/>
              <w:spacing w:before="0"/>
            </w:pPr>
            <w:r w:rsidRPr="00FE71E5">
              <w:t>façade steel beam</w:t>
            </w:r>
          </w:p>
        </w:tc>
      </w:tr>
      <w:tr w:rsidR="00CD3866" w:rsidRPr="00132C1E" w14:paraId="0451DB2C" w14:textId="77777777" w:rsidTr="006107DB">
        <w:tc>
          <w:tcPr>
            <w:tcW w:w="454" w:type="dxa"/>
          </w:tcPr>
          <w:p w14:paraId="4ACC09A0" w14:textId="77777777" w:rsidR="00CD3866" w:rsidRPr="00FE71E5" w:rsidRDefault="00CD3866" w:rsidP="006107DB">
            <w:pPr>
              <w:pStyle w:val="KeyText"/>
              <w:spacing w:before="0"/>
              <w:rPr>
                <w:iCs/>
              </w:rPr>
            </w:pPr>
            <w:r w:rsidRPr="00FE71E5">
              <w:rPr>
                <w:iCs/>
              </w:rPr>
              <w:t>E</w:t>
            </w:r>
          </w:p>
        </w:tc>
        <w:tc>
          <w:tcPr>
            <w:tcW w:w="9297" w:type="dxa"/>
          </w:tcPr>
          <w:p w14:paraId="109A2388" w14:textId="0034DB80" w:rsidR="00CD3866" w:rsidRPr="00FE71E5" w:rsidRDefault="00CD3866" w:rsidP="006107DB">
            <w:pPr>
              <w:pStyle w:val="KeyText"/>
              <w:spacing w:before="0"/>
            </w:pPr>
            <w:r w:rsidRPr="00FE71E5">
              <w:t>concrete cantilever edge strip</w:t>
            </w:r>
          </w:p>
        </w:tc>
      </w:tr>
    </w:tbl>
    <w:bookmarkEnd w:id="11665"/>
    <w:p w14:paraId="4E793282" w14:textId="3F7A6737" w:rsidR="00CD3866" w:rsidRPr="007E6F67" w:rsidRDefault="00CD3866" w:rsidP="00CD3866">
      <w:pPr>
        <w:pStyle w:val="Figuretitle"/>
      </w:pPr>
      <w:r w:rsidRPr="00132C1E">
        <w:t xml:space="preserve">Figure </w:t>
      </w:r>
      <w:r w:rsidRPr="00D1484A">
        <w:t>I.</w:t>
      </w:r>
      <w:r w:rsidR="009611DD">
        <w:t>1</w:t>
      </w:r>
      <w:r w:rsidRPr="00132C1E">
        <w:t xml:space="preserve"> — Exterior beam-to-column joints under </w:t>
      </w:r>
      <w:r w:rsidRPr="00D1484A">
        <w:t>negative moment</w:t>
      </w:r>
      <w:r w:rsidR="00436C55">
        <w:t>: (a) c</w:t>
      </w:r>
      <w:r w:rsidR="00436C55" w:rsidRPr="00436C55">
        <w:t>omposite joint elevation</w:t>
      </w:r>
      <w:r w:rsidR="00436C55">
        <w:t xml:space="preserve">; (b) </w:t>
      </w:r>
      <w:r w:rsidR="00436C55" w:rsidRPr="00436C55">
        <w:t>no concrete cantilever edge strip – no façade steel beam;</w:t>
      </w:r>
      <w:r w:rsidR="00436C55">
        <w:t xml:space="preserve"> (c) </w:t>
      </w:r>
      <w:r w:rsidR="00436C55" w:rsidRPr="00436C55">
        <w:t>concrete cantilever edge strip – no façade steel beam;</w:t>
      </w:r>
      <w:r w:rsidR="00436C55">
        <w:t xml:space="preserve"> (d) </w:t>
      </w:r>
      <w:r w:rsidR="00436C55" w:rsidRPr="00436C55">
        <w:t>no concrete cantilever edge strip – façade steel beam;</w:t>
      </w:r>
      <w:r w:rsidR="00436C55">
        <w:t xml:space="preserve"> (e) </w:t>
      </w:r>
      <w:r w:rsidR="00436C55" w:rsidRPr="00436C55">
        <w:t>concrete cantilever edge strip – façade steel beam</w:t>
      </w:r>
    </w:p>
    <w:p w14:paraId="1A93855D" w14:textId="2C0C1407" w:rsidR="00CD3866" w:rsidRPr="002144A0" w:rsidRDefault="00CD3866" w:rsidP="00724E4E">
      <w:pPr>
        <w:pStyle w:val="Clause"/>
      </w:pPr>
      <w:r w:rsidRPr="00FD17CF">
        <w:t xml:space="preserve">When there is both a façade steel beam and a concrete cantilever edge strip, the flexural resistance of the joint should include the contributions </w:t>
      </w:r>
      <w:r w:rsidRPr="00CD3866">
        <w:t xml:space="preserve">defined in </w:t>
      </w:r>
      <w:r w:rsidRPr="00B00B3D">
        <w:t>(2)</w:t>
      </w:r>
      <w:r w:rsidRPr="00CD3866">
        <w:t xml:space="preserve"> and </w:t>
      </w:r>
      <w:r w:rsidRPr="00B00B3D">
        <w:t>(3)</w:t>
      </w:r>
      <w:r w:rsidRPr="00CD3866">
        <w:t xml:space="preserve"> (Figure I.1e</w:t>
      </w:r>
      <w:r w:rsidRPr="002144A0">
        <w:t>).</w:t>
      </w:r>
    </w:p>
    <w:p w14:paraId="286FF5FC" w14:textId="6669285B" w:rsidR="00CD3866" w:rsidRPr="00C52095" w:rsidRDefault="00CD3866" w:rsidP="00724E4E">
      <w:pPr>
        <w:pStyle w:val="Clause"/>
      </w:pPr>
      <w:r w:rsidRPr="004F25D7">
        <w:t>The cantilever edge strip should be designed as a reinforced concrete beam supporting horizontal action effects of tension in the slab reinforcement under positive moment and horizontal action effects of compression in the slab und</w:t>
      </w:r>
      <w:r w:rsidRPr="00C52095">
        <w:t>er negative moment.</w:t>
      </w:r>
    </w:p>
    <w:p w14:paraId="6A3C9D09" w14:textId="77777777" w:rsidR="00CD3866" w:rsidRPr="009611DD" w:rsidRDefault="00CD3866" w:rsidP="004C6C69">
      <w:pPr>
        <w:pStyle w:val="Notetext"/>
      </w:pPr>
      <w:r w:rsidRPr="00C52095">
        <w:t>NOTE</w:t>
      </w:r>
      <w:r w:rsidRPr="00C52095">
        <w:tab/>
        <w:t xml:space="preserve">The reinforcement defined for the cantilever edge strip is specific to the edge strip to column joint zone; it is additional to longitudinal and transverse reinforcement designed for the resistance of the cantilever edge strip in shear and bending under horizontal forces defined </w:t>
      </w:r>
      <w:r w:rsidRPr="009611DD">
        <w:t>in (10).</w:t>
      </w:r>
    </w:p>
    <w:p w14:paraId="32614FF7" w14:textId="77777777" w:rsidR="00CD3866" w:rsidRPr="00132C1E" w:rsidRDefault="00CD3866" w:rsidP="00CD3866">
      <w:pPr>
        <w:pStyle w:val="a2"/>
      </w:pPr>
      <w:bookmarkStart w:id="11666" w:name="_Toc50150812"/>
      <w:bookmarkStart w:id="11667" w:name="_Toc70887245"/>
      <w:bookmarkStart w:id="11668" w:name="_Toc108342857"/>
      <w:bookmarkStart w:id="11669" w:name="_Toc134198363"/>
      <w:r w:rsidRPr="00132C1E">
        <w:t>Design of joints at exterior columns under positive moment</w:t>
      </w:r>
      <w:bookmarkEnd w:id="11666"/>
      <w:bookmarkEnd w:id="11667"/>
      <w:bookmarkEnd w:id="11668"/>
      <w:bookmarkEnd w:id="11669"/>
    </w:p>
    <w:p w14:paraId="5A458D92" w14:textId="48ECAA6D" w:rsidR="00CD3866" w:rsidRPr="00132C1E" w:rsidRDefault="00CD3866" w:rsidP="0080187E">
      <w:pPr>
        <w:pStyle w:val="Clause"/>
        <w:numPr>
          <w:ilvl w:val="0"/>
          <w:numId w:val="246"/>
        </w:numPr>
      </w:pPr>
      <w:r w:rsidRPr="00132C1E">
        <w:t>The flexural resistance of exterior joints (</w:t>
      </w:r>
      <w:r w:rsidRPr="007D117B">
        <w:rPr>
          <w:color w:val="auto"/>
        </w:rPr>
        <w:t xml:space="preserve">Figure I.2a) </w:t>
      </w:r>
      <w:r w:rsidRPr="00132C1E">
        <w:t>should not be taken greater than the moment for which reaction forces to the compression in the slab are provided.</w:t>
      </w:r>
    </w:p>
    <w:p w14:paraId="395507E2" w14:textId="463A6614" w:rsidR="00CD3866" w:rsidRPr="00E05E29" w:rsidRDefault="00CD3866" w:rsidP="0080187E">
      <w:pPr>
        <w:pStyle w:val="Clause"/>
        <w:numPr>
          <w:ilvl w:val="0"/>
          <w:numId w:val="246"/>
        </w:numPr>
      </w:pPr>
      <w:r w:rsidRPr="00132C1E">
        <w:t xml:space="preserve">Three reaction forces </w:t>
      </w:r>
      <m:oMath>
        <m:sSub>
          <m:sSubPr>
            <m:ctrlPr>
              <w:rPr>
                <w:rFonts w:ascii="Cambria Math" w:hAnsi="Cambria Math"/>
                <w:i/>
              </w:rPr>
            </m:ctrlPr>
          </m:sSubPr>
          <m:e>
            <m:r>
              <w:rPr>
                <w:rFonts w:ascii="Cambria Math" w:hAnsi="Cambria Math"/>
              </w:rPr>
              <m:t>F</m:t>
            </m:r>
          </m:e>
          <m:sub>
            <m:r>
              <m:rPr>
                <m:sty m:val="p"/>
              </m:rPr>
              <w:rPr>
                <w:rFonts w:ascii="Cambria Math" w:hAnsi="Cambria Math"/>
                <w:vertAlign w:val="subscript"/>
              </w:rPr>
              <m:t>Rdi</m:t>
            </m:r>
          </m:sub>
        </m:sSub>
      </m:oMath>
      <w:r w:rsidRPr="00132C1E">
        <w:t xml:space="preserve"> </w:t>
      </w:r>
      <w:r w:rsidRPr="00766D01">
        <w:t xml:space="preserve">may </w:t>
      </w:r>
      <w:r w:rsidRPr="00132C1E">
        <w:t>be considered</w:t>
      </w:r>
      <w:r w:rsidRPr="00D1484A">
        <w:t xml:space="preserve"> to resist the slab </w:t>
      </w:r>
      <w:r w:rsidRPr="007E6F67">
        <w:t>compression forces at beam end</w:t>
      </w:r>
      <w:r w:rsidRPr="00FD17CF">
        <w:t>, as given in a) to c):</w:t>
      </w:r>
    </w:p>
    <w:p w14:paraId="0E1C4DE2" w14:textId="77777777" w:rsidR="00CD3866" w:rsidRDefault="009B5CEC" w:rsidP="0080187E">
      <w:pPr>
        <w:pStyle w:val="List2"/>
        <w:numPr>
          <w:ilvl w:val="0"/>
          <w:numId w:val="245"/>
        </w:numPr>
        <w:spacing w:before="0" w:after="240" w:line="230" w:lineRule="atLeast"/>
        <w:contextualSpacing w:val="0"/>
      </w:pPr>
      <m:oMath>
        <m:sSub>
          <m:sSubPr>
            <m:ctrlPr>
              <w:rPr>
                <w:rFonts w:ascii="Cambria Math" w:hAnsi="Cambria Math"/>
                <w:i/>
              </w:rPr>
            </m:ctrlPr>
          </m:sSubPr>
          <m:e>
            <m:r>
              <w:rPr>
                <w:rFonts w:ascii="Cambria Math" w:hAnsi="Cambria Math"/>
              </w:rPr>
              <m:t>F</m:t>
            </m:r>
          </m:e>
          <m:sub>
            <m:r>
              <m:rPr>
                <m:sty m:val="p"/>
              </m:rPr>
              <w:rPr>
                <w:rFonts w:ascii="Cambria Math" w:hAnsi="Cambria Math"/>
                <w:vertAlign w:val="subscript"/>
              </w:rPr>
              <m:t>Rd1</m:t>
            </m:r>
          </m:sub>
        </m:sSub>
      </m:oMath>
      <w:r w:rsidR="00CD3866" w:rsidRPr="00132C1E">
        <w:t xml:space="preserve"> on the interior face of the column (</w:t>
      </w:r>
      <w:r w:rsidR="00CD3866" w:rsidRPr="004C6C69">
        <w:t xml:space="preserve">Figure I.2b) </w:t>
      </w:r>
      <w:r w:rsidR="00CD3866" w:rsidRPr="00766D01">
        <w:t xml:space="preserve">if (3) and (4) are satisfied; </w:t>
      </w:r>
      <m:oMath>
        <m:sSub>
          <m:sSubPr>
            <m:ctrlPr>
              <w:rPr>
                <w:rFonts w:ascii="Cambria Math" w:hAnsi="Cambria Math"/>
                <w:i/>
              </w:rPr>
            </m:ctrlPr>
          </m:sSubPr>
          <m:e>
            <m:r>
              <w:rPr>
                <w:rFonts w:ascii="Cambria Math" w:hAnsi="Cambria Math"/>
              </w:rPr>
              <m:t>F</m:t>
            </m:r>
          </m:e>
          <m:sub>
            <m:r>
              <m:rPr>
                <m:sty m:val="p"/>
              </m:rPr>
              <w:rPr>
                <w:rFonts w:ascii="Cambria Math" w:hAnsi="Cambria Math"/>
                <w:vertAlign w:val="subscript"/>
              </w:rPr>
              <m:t>Rd1</m:t>
            </m:r>
          </m:sub>
        </m:sSub>
      </m:oMath>
      <w:r w:rsidR="00CD3866" w:rsidRPr="00FD17CF">
        <w:t xml:space="preserve"> </w:t>
      </w:r>
      <w:r w:rsidR="00CD3866" w:rsidRPr="00E05E29">
        <w:t>should be calculated</w:t>
      </w:r>
      <w:r w:rsidR="00CD3866" w:rsidRPr="00196951">
        <w:t xml:space="preserve"> </w:t>
      </w:r>
      <w:r w:rsidR="00CD3866" w:rsidRPr="004C6C69">
        <w:t>using Formula (I.2)</w:t>
      </w:r>
      <w:r w:rsidR="00CD3866" w:rsidRPr="002144A0">
        <w:t>.</w:t>
      </w:r>
    </w:p>
    <w:p w14:paraId="2EEAD6DF" w14:textId="5AC3DBAB" w:rsidR="004C6C69" w:rsidRPr="006C09CE" w:rsidRDefault="009B5CEC" w:rsidP="004C6C69">
      <w:pPr>
        <w:pStyle w:val="Formula"/>
        <w:spacing w:before="240"/>
      </w:pPr>
      <m:oMath>
        <m:sSub>
          <m:sSubPr>
            <m:ctrlPr>
              <w:rPr>
                <w:rFonts w:ascii="Cambria Math" w:hAnsi="Cambria Math"/>
              </w:rPr>
            </m:ctrlPr>
          </m:sSubPr>
          <m:e>
            <m:r>
              <w:rPr>
                <w:rFonts w:ascii="Cambria Math" w:hAnsi="Cambria Math"/>
              </w:rPr>
              <m:t>F</m:t>
            </m:r>
          </m:e>
          <m:sub>
            <m:r>
              <m:rPr>
                <m:sty m:val="p"/>
              </m:rPr>
              <w:rPr>
                <w:rFonts w:ascii="Cambria Math" w:hAnsi="Cambria Math"/>
              </w:rPr>
              <m:t>Rd1</m:t>
            </m:r>
          </m:sub>
        </m:sSub>
        <m:r>
          <w:rPr>
            <w:rFonts w:ascii="Cambria Math" w:hAnsi="Cambria Math"/>
          </w:rPr>
          <m:t>=</m:t>
        </m:r>
        <m:sSub>
          <m:sSubPr>
            <m:ctrlPr>
              <w:rPr>
                <w:rFonts w:ascii="Cambria Math" w:hAnsi="Cambria Math"/>
              </w:rPr>
            </m:ctrlPr>
          </m:sSubPr>
          <m:e>
            <m:r>
              <w:rPr>
                <w:rFonts w:ascii="Cambria Math" w:hAnsi="Cambria Math"/>
              </w:rPr>
              <m:t>b</m:t>
            </m:r>
          </m:e>
          <m:sub>
            <m:r>
              <m:rPr>
                <m:sty m:val="p"/>
              </m:rPr>
              <w:rPr>
                <w:rFonts w:ascii="Cambria Math" w:hAnsi="Cambria Math"/>
              </w:rPr>
              <m:t>b</m:t>
            </m:r>
          </m:sub>
        </m:sSub>
        <m:sSub>
          <m:sSubPr>
            <m:ctrlPr>
              <w:rPr>
                <w:rFonts w:ascii="Cambria Math" w:hAnsi="Cambria Math"/>
              </w:rPr>
            </m:ctrlPr>
          </m:sSubPr>
          <m:e>
            <m:r>
              <w:rPr>
                <w:rFonts w:ascii="Cambria Math" w:hAnsi="Cambria Math"/>
              </w:rPr>
              <m:t>d</m:t>
            </m:r>
          </m:e>
          <m:sub>
            <m:r>
              <m:rPr>
                <m:sty m:val="p"/>
              </m:rPr>
              <w:rPr>
                <w:rFonts w:ascii="Cambria Math" w:hAnsi="Cambria Math"/>
              </w:rPr>
              <m:t>eff</m:t>
            </m:r>
          </m:sub>
        </m:sSub>
        <m:sSub>
          <m:sSubPr>
            <m:ctrlPr>
              <w:rPr>
                <w:rFonts w:ascii="Cambria Math" w:hAnsi="Cambria Math"/>
              </w:rPr>
            </m:ctrlPr>
          </m:sSubPr>
          <m:e>
            <m:r>
              <w:rPr>
                <w:rFonts w:ascii="Cambria Math" w:hAnsi="Cambria Math"/>
              </w:rPr>
              <m:t>f</m:t>
            </m:r>
          </m:e>
          <m:sub>
            <m:r>
              <m:rPr>
                <m:sty m:val="p"/>
              </m:rPr>
              <w:rPr>
                <w:rFonts w:ascii="Cambria Math" w:hAnsi="Cambria Math"/>
              </w:rPr>
              <m:t>cd</m:t>
            </m:r>
          </m:sub>
        </m:sSub>
      </m:oMath>
      <w:r w:rsidR="004C6C69" w:rsidRPr="006C09CE">
        <w:tab/>
        <w:t>(</w:t>
      </w:r>
      <w:r w:rsidR="004C6C69">
        <w:t>I</w:t>
      </w:r>
      <w:r w:rsidR="004C6C69" w:rsidRPr="006C09CE">
        <w:t>.</w:t>
      </w:r>
      <w:r w:rsidR="004C6C69">
        <w:t>2</w:t>
      </w:r>
      <w:r w:rsidR="004C6C69" w:rsidRPr="006C09CE">
        <w:t>)</w:t>
      </w:r>
    </w:p>
    <w:p w14:paraId="2F8B900B" w14:textId="4AE5D38A" w:rsidR="004C6C69" w:rsidRDefault="009B5CEC" w:rsidP="0080187E">
      <w:pPr>
        <w:pStyle w:val="List2"/>
        <w:numPr>
          <w:ilvl w:val="0"/>
          <w:numId w:val="245"/>
        </w:numPr>
        <w:spacing w:before="0" w:after="240" w:line="230" w:lineRule="atLeast"/>
        <w:contextualSpacing w:val="0"/>
      </w:pPr>
      <m:oMath>
        <m:sSub>
          <m:sSubPr>
            <m:ctrlPr>
              <w:rPr>
                <w:rFonts w:ascii="Cambria Math" w:hAnsi="Cambria Math"/>
                <w:i/>
              </w:rPr>
            </m:ctrlPr>
          </m:sSubPr>
          <m:e>
            <m:r>
              <w:rPr>
                <w:rFonts w:ascii="Cambria Math" w:hAnsi="Cambria Math"/>
              </w:rPr>
              <m:t>F</m:t>
            </m:r>
          </m:e>
          <m:sub>
            <m:r>
              <m:rPr>
                <m:sty m:val="p"/>
              </m:rPr>
              <w:rPr>
                <w:rFonts w:ascii="Cambria Math" w:hAnsi="Cambria Math"/>
                <w:vertAlign w:val="subscript"/>
              </w:rPr>
              <m:t>Rd2</m:t>
            </m:r>
          </m:sub>
        </m:sSub>
      </m:oMath>
      <w:r w:rsidR="004C6C69" w:rsidRPr="00132C1E">
        <w:t xml:space="preserve"> by compression struts</w:t>
      </w:r>
      <w:r w:rsidR="004C6C69" w:rsidRPr="00D1484A">
        <w:rPr>
          <w:noProof/>
        </w:rPr>
        <w:t xml:space="preserve"> on the column </w:t>
      </w:r>
      <w:r w:rsidR="004C6C69" w:rsidRPr="004C6C69">
        <w:rPr>
          <w:noProof/>
        </w:rPr>
        <w:t xml:space="preserve">sides (Figure I.2c) if (5) and (6) are satisfied; </w:t>
      </w:r>
      <w:r w:rsidR="004C6C69" w:rsidRPr="004C6C69">
        <w:rPr>
          <w:i/>
          <w:iCs/>
          <w:noProof/>
        </w:rPr>
        <w:t>F</w:t>
      </w:r>
      <w:r w:rsidR="004C6C69" w:rsidRPr="004C6C69">
        <w:rPr>
          <w:noProof/>
          <w:vertAlign w:val="subscript"/>
        </w:rPr>
        <w:t>Rd2</w:t>
      </w:r>
      <w:r w:rsidR="004C6C69" w:rsidRPr="004C6C69">
        <w:rPr>
          <w:noProof/>
        </w:rPr>
        <w:t xml:space="preserve"> should be calculated using Formula (I.3).</w:t>
      </w:r>
    </w:p>
    <w:p w14:paraId="1821C785" w14:textId="21B85ED9" w:rsidR="004C6C69" w:rsidRPr="006C09CE" w:rsidRDefault="009B5CEC" w:rsidP="004C6C69">
      <w:pPr>
        <w:pStyle w:val="Formula"/>
        <w:spacing w:before="240"/>
      </w:pPr>
      <m:oMath>
        <m:sSub>
          <m:sSubPr>
            <m:ctrlPr>
              <w:rPr>
                <w:rFonts w:ascii="Cambria Math" w:hAnsi="Cambria Math"/>
              </w:rPr>
            </m:ctrlPr>
          </m:sSubPr>
          <m:e>
            <m:r>
              <w:rPr>
                <w:rFonts w:ascii="Cambria Math" w:hAnsi="Cambria Math"/>
              </w:rPr>
              <m:t>F</m:t>
            </m:r>
          </m:e>
          <m:sub>
            <m:r>
              <m:rPr>
                <m:sty m:val="p"/>
              </m:rPr>
              <w:rPr>
                <w:rFonts w:ascii="Cambria Math" w:hAnsi="Cambria Math"/>
              </w:rPr>
              <m:t>Rd2</m:t>
            </m:r>
          </m:sub>
        </m:sSub>
        <m:r>
          <w:rPr>
            <w:rFonts w:ascii="Cambria Math" w:hAnsi="Cambria Math"/>
          </w:rPr>
          <m:t>=2v</m:t>
        </m:r>
        <m:sSub>
          <m:sSubPr>
            <m:ctrlPr>
              <w:rPr>
                <w:rFonts w:ascii="Cambria Math" w:hAnsi="Cambria Math"/>
              </w:rPr>
            </m:ctrlPr>
          </m:sSubPr>
          <m:e>
            <m:r>
              <w:rPr>
                <w:rFonts w:ascii="Cambria Math" w:hAnsi="Cambria Math"/>
              </w:rPr>
              <m:t>h</m:t>
            </m:r>
          </m:e>
          <m:sub>
            <m:r>
              <m:rPr>
                <m:sty m:val="p"/>
              </m:rPr>
              <w:rPr>
                <w:rFonts w:ascii="Cambria Math" w:hAnsi="Cambria Math"/>
              </w:rPr>
              <m:t>c</m:t>
            </m:r>
          </m:sub>
        </m:sSub>
        <m:sSub>
          <m:sSubPr>
            <m:ctrlPr>
              <w:rPr>
                <w:rFonts w:ascii="Cambria Math" w:hAnsi="Cambria Math"/>
              </w:rPr>
            </m:ctrlPr>
          </m:sSubPr>
          <m:e>
            <m:r>
              <w:rPr>
                <w:rFonts w:ascii="Cambria Math" w:hAnsi="Cambria Math"/>
              </w:rPr>
              <m:t>d</m:t>
            </m:r>
          </m:e>
          <m:sub>
            <m:r>
              <m:rPr>
                <m:sty m:val="p"/>
              </m:rPr>
              <w:rPr>
                <w:rFonts w:ascii="Cambria Math" w:hAnsi="Cambria Math"/>
              </w:rPr>
              <m:t>eff</m:t>
            </m:r>
          </m:sub>
        </m:sSub>
        <m:sSub>
          <m:sSubPr>
            <m:ctrlPr>
              <w:rPr>
                <w:rFonts w:ascii="Cambria Math" w:hAnsi="Cambria Math"/>
              </w:rPr>
            </m:ctrlPr>
          </m:sSubPr>
          <m:e>
            <m:r>
              <w:rPr>
                <w:rFonts w:ascii="Cambria Math" w:hAnsi="Cambria Math"/>
              </w:rPr>
              <m:t>f</m:t>
            </m:r>
          </m:e>
          <m:sub>
            <m:r>
              <m:rPr>
                <m:sty m:val="p"/>
              </m:rPr>
              <w:rPr>
                <w:rFonts w:ascii="Cambria Math" w:hAnsi="Cambria Math"/>
              </w:rPr>
              <m:t>cd</m:t>
            </m:r>
          </m:sub>
        </m:sSub>
        <m:func>
          <m:funcPr>
            <m:ctrlPr>
              <w:rPr>
                <w:rFonts w:ascii="Cambria Math" w:hAnsi="Cambria Math"/>
              </w:rPr>
            </m:ctrlPr>
          </m:funcPr>
          <m:fName>
            <m:r>
              <m:rPr>
                <m:sty m:val="p"/>
              </m:rPr>
              <w:rPr>
                <w:rFonts w:ascii="Cambria Math" w:hAnsi="Cambria Math"/>
              </w:rPr>
              <m:t>sin</m:t>
            </m:r>
          </m:fName>
          <m:e>
            <m:d>
              <m:dPr>
                <m:ctrlPr>
                  <w:rPr>
                    <w:rFonts w:ascii="Cambria Math" w:hAnsi="Cambria Math"/>
                  </w:rPr>
                </m:ctrlPr>
              </m:dPr>
              <m:e>
                <m:r>
                  <w:rPr>
                    <w:rFonts w:ascii="Cambria Math" w:hAnsi="Cambria Math"/>
                  </w:rPr>
                  <m:t>θ</m:t>
                </m:r>
              </m:e>
            </m:d>
          </m:e>
        </m:func>
        <m:r>
          <m:rPr>
            <m:sty m:val="p"/>
          </m:rPr>
          <w:rPr>
            <w:rFonts w:ascii="Cambria Math" w:hAnsi="Cambria Math"/>
          </w:rPr>
          <m:t>cos</m:t>
        </m:r>
        <m:r>
          <w:rPr>
            <w:rFonts w:ascii="Cambria Math" w:hAnsi="Cambria Math"/>
          </w:rPr>
          <m:t>⁡(θ)</m:t>
        </m:r>
      </m:oMath>
      <w:r w:rsidR="004C6C69" w:rsidRPr="006C09CE">
        <w:tab/>
        <w:t>(</w:t>
      </w:r>
      <w:r w:rsidR="004C6C69">
        <w:t>I</w:t>
      </w:r>
      <w:r w:rsidR="004C6C69" w:rsidRPr="006C09CE">
        <w:t>.</w:t>
      </w:r>
      <w:r w:rsidR="004C6C69">
        <w:t>3</w:t>
      </w:r>
      <w:r w:rsidR="004C6C69" w:rsidRPr="006C09CE">
        <w:t>)</w:t>
      </w:r>
    </w:p>
    <w:p w14:paraId="0909836D" w14:textId="042001F6" w:rsidR="004C6C69" w:rsidRDefault="009B5CEC" w:rsidP="0080187E">
      <w:pPr>
        <w:pStyle w:val="List2"/>
        <w:numPr>
          <w:ilvl w:val="0"/>
          <w:numId w:val="245"/>
        </w:numPr>
        <w:spacing w:before="0" w:after="240" w:line="230" w:lineRule="atLeast"/>
        <w:contextualSpacing w:val="0"/>
      </w:pPr>
      <m:oMath>
        <m:sSub>
          <m:sSubPr>
            <m:ctrlPr>
              <w:rPr>
                <w:rFonts w:ascii="Cambria Math" w:hAnsi="Cambria Math"/>
                <w:i/>
              </w:rPr>
            </m:ctrlPr>
          </m:sSubPr>
          <m:e>
            <m:r>
              <w:rPr>
                <w:rFonts w:ascii="Cambria Math" w:hAnsi="Cambria Math"/>
              </w:rPr>
              <m:t>F</m:t>
            </m:r>
          </m:e>
          <m:sub>
            <m:r>
              <m:rPr>
                <m:sty m:val="p"/>
              </m:rPr>
              <w:rPr>
                <w:rFonts w:ascii="Cambria Math" w:hAnsi="Cambria Math"/>
                <w:vertAlign w:val="subscript"/>
              </w:rPr>
              <m:t>Rd3</m:t>
            </m:r>
          </m:sub>
        </m:sSub>
      </m:oMath>
      <w:r w:rsidR="004C6C69" w:rsidRPr="00132C1E">
        <w:t xml:space="preserve"> by shear connectors of a façade steel beams rigidly connected to the </w:t>
      </w:r>
      <w:r w:rsidR="004C6C69" w:rsidRPr="004C6C69">
        <w:t>column (Figure I.2d); it should be calculated using Formula (I.4).</w:t>
      </w:r>
    </w:p>
    <w:p w14:paraId="4D039B47" w14:textId="227DAC8F" w:rsidR="004C6C69" w:rsidRPr="006C09CE" w:rsidRDefault="009B5CEC" w:rsidP="004C6C69">
      <w:pPr>
        <w:pStyle w:val="Formula"/>
        <w:spacing w:before="240"/>
      </w:pPr>
      <m:oMath>
        <m:sSub>
          <m:sSubPr>
            <m:ctrlPr>
              <w:rPr>
                <w:rFonts w:ascii="Cambria Math" w:hAnsi="Cambria Math"/>
              </w:rPr>
            </m:ctrlPr>
          </m:sSubPr>
          <m:e>
            <m:r>
              <w:rPr>
                <w:rFonts w:ascii="Cambria Math" w:hAnsi="Cambria Math"/>
              </w:rPr>
              <m:t>F</m:t>
            </m:r>
          </m:e>
          <m:sub>
            <m:r>
              <m:rPr>
                <m:sty m:val="p"/>
              </m:rPr>
              <w:rPr>
                <w:rFonts w:ascii="Cambria Math" w:hAnsi="Cambria Math"/>
              </w:rPr>
              <m:t>Rd3</m:t>
            </m:r>
          </m:sub>
        </m:sSub>
        <m:r>
          <w:rPr>
            <w:rFonts w:ascii="Cambria Math" w:hAnsi="Cambria Math"/>
          </w:rPr>
          <m:t>=n</m:t>
        </m:r>
        <m:sSub>
          <m:sSubPr>
            <m:ctrlPr>
              <w:rPr>
                <w:rFonts w:ascii="Cambria Math" w:hAnsi="Cambria Math"/>
              </w:rPr>
            </m:ctrlPr>
          </m:sSubPr>
          <m:e>
            <m:r>
              <w:rPr>
                <w:rFonts w:ascii="Cambria Math" w:hAnsi="Cambria Math"/>
              </w:rPr>
              <m:t>P</m:t>
            </m:r>
          </m:e>
          <m:sub>
            <m:r>
              <m:rPr>
                <m:sty m:val="p"/>
              </m:rPr>
              <w:rPr>
                <w:rFonts w:ascii="Cambria Math" w:hAnsi="Cambria Math"/>
              </w:rPr>
              <m:t>Rd</m:t>
            </m:r>
          </m:sub>
        </m:sSub>
      </m:oMath>
      <w:r w:rsidR="004C6C69" w:rsidRPr="006C09CE">
        <w:tab/>
        <w:t>(</w:t>
      </w:r>
      <w:r w:rsidR="004C6C69">
        <w:t>I</w:t>
      </w:r>
      <w:r w:rsidR="004C6C69" w:rsidRPr="006C09CE">
        <w:t>.</w:t>
      </w:r>
      <w:r w:rsidR="004C6C69">
        <w:t>4</w:t>
      </w:r>
      <w:r w:rsidR="004C6C69" w:rsidRPr="006C09CE">
        <w:t>)</w:t>
      </w:r>
    </w:p>
    <w:p w14:paraId="5D49708C" w14:textId="407ECA59" w:rsidR="004C6C69" w:rsidRDefault="00675EBA" w:rsidP="009611DD">
      <w:pPr>
        <w:pStyle w:val="Text"/>
      </w:pPr>
      <w:r>
        <w:t>where</w:t>
      </w:r>
    </w:p>
    <w:tbl>
      <w:tblPr>
        <w:tblW w:w="0" w:type="auto"/>
        <w:tblInd w:w="346" w:type="dxa"/>
        <w:tblLook w:val="04A0" w:firstRow="1" w:lastRow="0" w:firstColumn="1" w:lastColumn="0" w:noHBand="0" w:noVBand="1"/>
      </w:tblPr>
      <w:tblGrid>
        <w:gridCol w:w="1275"/>
        <w:gridCol w:w="7938"/>
      </w:tblGrid>
      <w:tr w:rsidR="004C6C69" w:rsidRPr="00FF1786" w14:paraId="047A1537" w14:textId="77777777" w:rsidTr="006107DB">
        <w:tc>
          <w:tcPr>
            <w:tcW w:w="1275" w:type="dxa"/>
          </w:tcPr>
          <w:p w14:paraId="656F9CD3" w14:textId="29812286" w:rsidR="004C6C69" w:rsidRPr="00460668" w:rsidRDefault="009B5CEC" w:rsidP="002061E5">
            <w:pPr>
              <w:spacing w:after="60"/>
              <w:rPr>
                <w:rFonts w:eastAsia="Times New Roman" w:cs="Cambria"/>
                <w:szCs w:val="20"/>
                <w:lang w:eastAsia="fr-FR"/>
              </w:rPr>
            </w:pPr>
            <m:oMathPara>
              <m:oMathParaPr>
                <m:jc m:val="left"/>
              </m:oMathParaPr>
              <m:oMath>
                <m:sSub>
                  <m:sSubPr>
                    <m:ctrlPr>
                      <w:rPr>
                        <w:rFonts w:ascii="Cambria Math" w:hAnsi="Cambria Math"/>
                        <w:i/>
                      </w:rPr>
                    </m:ctrlPr>
                  </m:sSubPr>
                  <m:e>
                    <m:r>
                      <w:rPr>
                        <w:rFonts w:ascii="Cambria Math" w:hAnsi="Cambria Math"/>
                      </w:rPr>
                      <m:t>d</m:t>
                    </m:r>
                  </m:e>
                  <m:sub>
                    <m:r>
                      <m:rPr>
                        <m:sty m:val="p"/>
                      </m:rPr>
                      <w:rPr>
                        <w:rFonts w:ascii="Cambria Math" w:hAnsi="Cambria Math"/>
                        <w:vertAlign w:val="subscript"/>
                      </w:rPr>
                      <m:t>eff</m:t>
                    </m:r>
                  </m:sub>
                </m:sSub>
              </m:oMath>
            </m:oMathPara>
          </w:p>
        </w:tc>
        <w:tc>
          <w:tcPr>
            <w:tcW w:w="7938" w:type="dxa"/>
          </w:tcPr>
          <w:p w14:paraId="05E02F0F" w14:textId="74260A6B" w:rsidR="004C6C69" w:rsidRPr="007D117B" w:rsidRDefault="004C6C69" w:rsidP="002061E5">
            <w:pPr>
              <w:pStyle w:val="Listofsymbols"/>
              <w:tabs>
                <w:tab w:val="clear" w:pos="1134"/>
                <w:tab w:val="left" w:pos="2481"/>
              </w:tabs>
              <w:ind w:left="0" w:firstLine="0"/>
              <w:rPr>
                <w:szCs w:val="22"/>
              </w:rPr>
            </w:pPr>
            <w:r w:rsidRPr="007D117B">
              <w:t xml:space="preserve">is the overall depth of the slab, in case of solid slabs, or the thickness of the slab above the ribs of the profiled sheeting for composite slabs; for partially composite beams, </w:t>
            </w:r>
            <m:oMath>
              <m:sSub>
                <m:sSubPr>
                  <m:ctrlPr>
                    <w:rPr>
                      <w:rFonts w:ascii="Cambria Math" w:hAnsi="Cambria Math"/>
                      <w:i/>
                    </w:rPr>
                  </m:ctrlPr>
                </m:sSubPr>
                <m:e>
                  <m:r>
                    <w:rPr>
                      <w:rFonts w:ascii="Cambria Math" w:hAnsi="Cambria Math"/>
                    </w:rPr>
                    <m:t>d</m:t>
                  </m:r>
                </m:e>
                <m:sub>
                  <m:r>
                    <m:rPr>
                      <m:sty m:val="p"/>
                    </m:rPr>
                    <w:rPr>
                      <w:rFonts w:ascii="Cambria Math" w:hAnsi="Cambria Math"/>
                      <w:vertAlign w:val="subscript"/>
                    </w:rPr>
                    <m:t>eff</m:t>
                  </m:r>
                </m:sub>
              </m:sSub>
            </m:oMath>
            <w:r w:rsidRPr="007D117B">
              <w:t xml:space="preserve"> </w:t>
            </w:r>
            <w:r w:rsidRPr="007D117B">
              <w:rPr>
                <w:szCs w:val="22"/>
              </w:rPr>
              <w:t xml:space="preserve">should </w:t>
            </w:r>
            <w:r w:rsidRPr="007D117B">
              <w:t xml:space="preserve">be multiplied by the degree of composite action </w:t>
            </w:r>
            <m:oMath>
              <m:r>
                <w:rPr>
                  <w:rFonts w:ascii="Cambria Math" w:hAnsi="Cambria Math"/>
                </w:rPr>
                <m:t>η</m:t>
              </m:r>
            </m:oMath>
            <w:r w:rsidRPr="007D117B">
              <w:rPr>
                <w:rFonts w:ascii="Symbol" w:hAnsi="Symbol"/>
                <w:iCs/>
              </w:rPr>
              <w:t></w:t>
            </w:r>
          </w:p>
        </w:tc>
      </w:tr>
      <w:tr w:rsidR="004C6C69" w:rsidRPr="00FF1786" w14:paraId="60576A97" w14:textId="77777777" w:rsidTr="006107DB">
        <w:tc>
          <w:tcPr>
            <w:tcW w:w="1275" w:type="dxa"/>
          </w:tcPr>
          <w:p w14:paraId="5A8C8C63" w14:textId="507315CC" w:rsidR="004C6C69" w:rsidRPr="00A47E27" w:rsidRDefault="009B5CEC" w:rsidP="002061E5">
            <w:pPr>
              <w:spacing w:after="60"/>
              <w:rPr>
                <w:sz w:val="20"/>
                <w:lang w:eastAsia="de-DE"/>
              </w:rPr>
            </w:pPr>
            <m:oMathPara>
              <m:oMathParaPr>
                <m:jc m:val="left"/>
              </m:oMathParaPr>
              <m:oMath>
                <m:sSub>
                  <m:sSubPr>
                    <m:ctrlPr>
                      <w:rPr>
                        <w:rFonts w:ascii="Cambria Math" w:hAnsi="Cambria Math"/>
                        <w:i/>
                      </w:rPr>
                    </m:ctrlPr>
                  </m:sSubPr>
                  <m:e>
                    <m:r>
                      <w:rPr>
                        <w:rFonts w:ascii="Cambria Math" w:hAnsi="Cambria Math"/>
                      </w:rPr>
                      <m:t>b</m:t>
                    </m:r>
                  </m:e>
                  <m:sub>
                    <m:r>
                      <m:rPr>
                        <m:sty m:val="p"/>
                      </m:rPr>
                      <w:rPr>
                        <w:rFonts w:ascii="Cambria Math" w:hAnsi="Cambria Math"/>
                        <w:vertAlign w:val="subscript"/>
                      </w:rPr>
                      <m:t>b</m:t>
                    </m:r>
                  </m:sub>
                </m:sSub>
              </m:oMath>
            </m:oMathPara>
          </w:p>
        </w:tc>
        <w:tc>
          <w:tcPr>
            <w:tcW w:w="7938" w:type="dxa"/>
          </w:tcPr>
          <w:p w14:paraId="5CF28EA6" w14:textId="65118C71" w:rsidR="004C6C69" w:rsidRPr="007D117B" w:rsidRDefault="004C6C69" w:rsidP="002061E5">
            <w:pPr>
              <w:pStyle w:val="Listofsymbols"/>
              <w:tabs>
                <w:tab w:val="clear" w:pos="1134"/>
                <w:tab w:val="left" w:pos="2481"/>
              </w:tabs>
              <w:ind w:left="0" w:firstLine="0"/>
            </w:pPr>
            <w:r w:rsidRPr="007D117B">
              <w:t>is the bearing width of the concrete of the slab on the column (see Figure I.2c);</w:t>
            </w:r>
          </w:p>
        </w:tc>
      </w:tr>
      <w:tr w:rsidR="004C6C69" w:rsidRPr="00FF1786" w14:paraId="45384BE6" w14:textId="77777777" w:rsidTr="006107DB">
        <w:tc>
          <w:tcPr>
            <w:tcW w:w="1275" w:type="dxa"/>
          </w:tcPr>
          <w:p w14:paraId="14A11F77" w14:textId="328B86C1" w:rsidR="004C6C69" w:rsidRPr="0023283B" w:rsidRDefault="009B5CEC" w:rsidP="002061E5">
            <w:pPr>
              <w:spacing w:after="60"/>
              <w:rPr>
                <w:sz w:val="20"/>
                <w:lang w:eastAsia="de-DE"/>
              </w:rPr>
            </w:pPr>
            <m:oMathPara>
              <m:oMathParaPr>
                <m:jc m:val="left"/>
              </m:oMathParaPr>
              <m:oMath>
                <m:sSub>
                  <m:sSubPr>
                    <m:ctrlPr>
                      <w:rPr>
                        <w:rFonts w:ascii="Cambria Math" w:hAnsi="Cambria Math"/>
                        <w:i/>
                      </w:rPr>
                    </m:ctrlPr>
                  </m:sSubPr>
                  <m:e>
                    <m:r>
                      <w:rPr>
                        <w:rFonts w:ascii="Cambria Math" w:hAnsi="Cambria Math"/>
                      </w:rPr>
                      <m:t>h</m:t>
                    </m:r>
                  </m:e>
                  <m:sub>
                    <m:r>
                      <m:rPr>
                        <m:sty m:val="p"/>
                      </m:rPr>
                      <w:rPr>
                        <w:rFonts w:ascii="Cambria Math" w:hAnsi="Cambria Math"/>
                        <w:vertAlign w:val="subscript"/>
                      </w:rPr>
                      <m:t>c</m:t>
                    </m:r>
                  </m:sub>
                </m:sSub>
              </m:oMath>
            </m:oMathPara>
          </w:p>
        </w:tc>
        <w:tc>
          <w:tcPr>
            <w:tcW w:w="7938" w:type="dxa"/>
          </w:tcPr>
          <w:p w14:paraId="0440CE55" w14:textId="06CA6284" w:rsidR="004C6C69" w:rsidRPr="007D117B" w:rsidRDefault="004C6C69" w:rsidP="002061E5">
            <w:pPr>
              <w:pStyle w:val="Listofsymbols"/>
              <w:tabs>
                <w:tab w:val="clear" w:pos="1134"/>
                <w:tab w:val="left" w:pos="2481"/>
              </w:tabs>
              <w:ind w:left="0" w:firstLine="0"/>
            </w:pPr>
            <w:r w:rsidRPr="007D117B">
              <w:t>is the depth of the column steel cross section;</w:t>
            </w:r>
          </w:p>
        </w:tc>
      </w:tr>
      <w:tr w:rsidR="004C6C69" w:rsidRPr="00FF1786" w14:paraId="5C4DE261" w14:textId="77777777" w:rsidTr="006107DB">
        <w:tc>
          <w:tcPr>
            <w:tcW w:w="1275" w:type="dxa"/>
          </w:tcPr>
          <w:p w14:paraId="1BC4992A" w14:textId="75B4C2B4" w:rsidR="004C6C69" w:rsidRPr="00CD3866" w:rsidRDefault="004C6C69" w:rsidP="002061E5">
            <w:pPr>
              <w:spacing w:after="60"/>
              <w:rPr>
                <w:sz w:val="20"/>
                <w:lang w:eastAsia="de-DE"/>
              </w:rPr>
            </w:pPr>
            <w:r w:rsidRPr="00FD17CF">
              <w:rPr>
                <w:i/>
              </w:rPr>
              <w:t>f</w:t>
            </w:r>
            <w:r w:rsidRPr="00E05E29">
              <w:rPr>
                <w:iCs/>
                <w:vertAlign w:val="subscript"/>
              </w:rPr>
              <w:t>cd</w:t>
            </w:r>
          </w:p>
        </w:tc>
        <w:tc>
          <w:tcPr>
            <w:tcW w:w="7938" w:type="dxa"/>
          </w:tcPr>
          <w:p w14:paraId="6034953B" w14:textId="2188E4F2" w:rsidR="004C6C69" w:rsidRPr="007D117B" w:rsidRDefault="007D117B" w:rsidP="002061E5">
            <w:pPr>
              <w:pStyle w:val="Listofsymbols"/>
              <w:tabs>
                <w:tab w:val="clear" w:pos="1134"/>
                <w:tab w:val="left" w:pos="2481"/>
              </w:tabs>
              <w:ind w:left="0" w:firstLine="0"/>
            </w:pPr>
            <w:r w:rsidRPr="007D117B">
              <w:t>is the design value of the concrete compressive strength;</w:t>
            </w:r>
          </w:p>
        </w:tc>
      </w:tr>
      <w:tr w:rsidR="004C6C69" w:rsidRPr="00FF1786" w14:paraId="2EDA6DE4" w14:textId="77777777" w:rsidTr="006107DB">
        <w:tc>
          <w:tcPr>
            <w:tcW w:w="1275" w:type="dxa"/>
          </w:tcPr>
          <w:p w14:paraId="33ACDA17" w14:textId="48CEAAE1" w:rsidR="004C6C69" w:rsidRPr="004C6C69" w:rsidRDefault="004C6C69" w:rsidP="002061E5">
            <w:pPr>
              <w:spacing w:after="60"/>
              <w:rPr>
                <w:i/>
              </w:rPr>
            </w:pPr>
            <m:oMathPara>
              <m:oMathParaPr>
                <m:jc m:val="left"/>
              </m:oMathParaPr>
              <m:oMath>
                <m:r>
                  <w:rPr>
                    <w:rFonts w:ascii="Cambria Math" w:hAnsi="Cambria Math"/>
                  </w:rPr>
                  <m:t>θ</m:t>
                </m:r>
              </m:oMath>
            </m:oMathPara>
          </w:p>
        </w:tc>
        <w:tc>
          <w:tcPr>
            <w:tcW w:w="7938" w:type="dxa"/>
          </w:tcPr>
          <w:p w14:paraId="09377043" w14:textId="5B6EFD5F" w:rsidR="004C6C69" w:rsidRPr="007D117B" w:rsidRDefault="007D117B" w:rsidP="007D117B">
            <w:pPr>
              <w:pStyle w:val="Listofsymbols"/>
              <w:tabs>
                <w:tab w:val="clear" w:pos="1134"/>
                <w:tab w:val="left" w:pos="2481"/>
              </w:tabs>
            </w:pPr>
            <w:r w:rsidRPr="007D117B">
              <w:t>angle of inclination of the compressive struts (Figure I.2c);</w:t>
            </w:r>
          </w:p>
        </w:tc>
      </w:tr>
      <w:tr w:rsidR="004C6C69" w:rsidRPr="00FF1786" w14:paraId="0190D835" w14:textId="77777777" w:rsidTr="006107DB">
        <w:tc>
          <w:tcPr>
            <w:tcW w:w="1275" w:type="dxa"/>
          </w:tcPr>
          <w:p w14:paraId="464E5B79" w14:textId="7ECF700B" w:rsidR="004C6C69" w:rsidRPr="004C6C69" w:rsidRDefault="004C6C69" w:rsidP="002061E5">
            <w:pPr>
              <w:spacing w:after="60"/>
              <w:rPr>
                <w:i/>
              </w:rPr>
            </w:pPr>
            <m:oMathPara>
              <m:oMathParaPr>
                <m:jc m:val="left"/>
              </m:oMathParaPr>
              <m:oMath>
                <m:r>
                  <w:rPr>
                    <w:rFonts w:ascii="Cambria Math" w:hAnsi="Cambria Math"/>
                  </w:rPr>
                  <m:t>v</m:t>
                </m:r>
              </m:oMath>
            </m:oMathPara>
          </w:p>
        </w:tc>
        <w:tc>
          <w:tcPr>
            <w:tcW w:w="7938" w:type="dxa"/>
          </w:tcPr>
          <w:p w14:paraId="471812AA" w14:textId="2B2DB43B" w:rsidR="004C6C69" w:rsidRPr="007D117B" w:rsidRDefault="007D117B" w:rsidP="002061E5">
            <w:pPr>
              <w:pStyle w:val="Listofsymbols"/>
              <w:tabs>
                <w:tab w:val="clear" w:pos="1134"/>
                <w:tab w:val="left" w:pos="2481"/>
              </w:tabs>
              <w:ind w:left="0" w:firstLine="0"/>
            </w:pPr>
            <w:r w:rsidRPr="007D117B">
              <w:t xml:space="preserve">strut resistance factor according to </w:t>
            </w:r>
            <w:r w:rsidR="0026060E">
              <w:t>prEN 1992-1-1:2021</w:t>
            </w:r>
            <w:r w:rsidRPr="007D117B">
              <w:rPr>
                <w:rFonts w:eastAsia="Cambria"/>
                <w:szCs w:val="22"/>
              </w:rPr>
              <w:t xml:space="preserve">, </w:t>
            </w:r>
            <w:r w:rsidRPr="00F36D4E">
              <w:rPr>
                <w:rFonts w:eastAsia="Cambria"/>
                <w:szCs w:val="22"/>
              </w:rPr>
              <w:t>8.5.2</w:t>
            </w:r>
            <w:r w:rsidRPr="007D117B">
              <w:t>;</w:t>
            </w:r>
          </w:p>
        </w:tc>
      </w:tr>
      <w:tr w:rsidR="004C6C69" w:rsidRPr="00FF1786" w14:paraId="6CA7B4D0" w14:textId="77777777" w:rsidTr="006107DB">
        <w:tc>
          <w:tcPr>
            <w:tcW w:w="1275" w:type="dxa"/>
          </w:tcPr>
          <w:p w14:paraId="6EC5947D" w14:textId="4BB7FB6F" w:rsidR="004C6C69" w:rsidRPr="00FD17CF" w:rsidRDefault="004C6C69" w:rsidP="002061E5">
            <w:pPr>
              <w:spacing w:after="60"/>
              <w:rPr>
                <w:i/>
              </w:rPr>
            </w:pPr>
            <w:r w:rsidRPr="005C7237">
              <w:rPr>
                <w:i/>
              </w:rPr>
              <w:t>n</w:t>
            </w:r>
          </w:p>
        </w:tc>
        <w:tc>
          <w:tcPr>
            <w:tcW w:w="7938" w:type="dxa"/>
          </w:tcPr>
          <w:p w14:paraId="2CDE7127" w14:textId="65C57960" w:rsidR="004C6C69" w:rsidRPr="007D117B" w:rsidRDefault="007D117B" w:rsidP="002061E5">
            <w:pPr>
              <w:pStyle w:val="Listofsymbols"/>
              <w:tabs>
                <w:tab w:val="clear" w:pos="1134"/>
                <w:tab w:val="left" w:pos="2481"/>
              </w:tabs>
              <w:ind w:left="0" w:firstLine="0"/>
            </w:pPr>
            <w:r w:rsidRPr="007D117B">
              <w:t>number of shear connectors within the effective width in positive bending.</w:t>
            </w:r>
          </w:p>
        </w:tc>
      </w:tr>
    </w:tbl>
    <w:p w14:paraId="5D5417A0" w14:textId="46D412BC" w:rsidR="007D117B" w:rsidRPr="005C7237" w:rsidRDefault="007D117B" w:rsidP="0080187E">
      <w:pPr>
        <w:pStyle w:val="Clause"/>
        <w:numPr>
          <w:ilvl w:val="0"/>
          <w:numId w:val="246"/>
        </w:numPr>
      </w:pPr>
      <w:r w:rsidRPr="005C7237">
        <w:t xml:space="preserve">For </w:t>
      </w:r>
      <m:oMath>
        <m:sSub>
          <m:sSubPr>
            <m:ctrlPr>
              <w:rPr>
                <w:rFonts w:ascii="Cambria Math" w:hAnsi="Cambria Math"/>
                <w:i/>
              </w:rPr>
            </m:ctrlPr>
          </m:sSubPr>
          <m:e>
            <m:r>
              <w:rPr>
                <w:rFonts w:ascii="Cambria Math" w:hAnsi="Cambria Math"/>
              </w:rPr>
              <m:t>F</m:t>
            </m:r>
          </m:e>
          <m:sub>
            <m:r>
              <m:rPr>
                <m:sty m:val="p"/>
              </m:rPr>
              <w:rPr>
                <w:rFonts w:ascii="Cambria Math" w:hAnsi="Cambria Math"/>
                <w:vertAlign w:val="subscript"/>
              </w:rPr>
              <m:t>Rd1</m:t>
            </m:r>
          </m:sub>
        </m:sSub>
      </m:oMath>
      <w:r w:rsidRPr="005C7237">
        <w:t xml:space="preserve"> the concrete close to the column flange should be confined and the area of confining reinforcement should </w:t>
      </w:r>
      <w:r w:rsidRPr="007D117B">
        <w:rPr>
          <w:color w:val="auto"/>
        </w:rPr>
        <w:t>satisfy Formula (I.5).</w:t>
      </w:r>
    </w:p>
    <w:p w14:paraId="16AC4F2C" w14:textId="57BAB60F" w:rsidR="007D117B" w:rsidRPr="006C09CE" w:rsidRDefault="009B5CEC" w:rsidP="007D117B">
      <w:pPr>
        <w:pStyle w:val="Formula"/>
        <w:spacing w:before="240"/>
      </w:pPr>
      <m:oMath>
        <m:sSub>
          <m:sSubPr>
            <m:ctrlPr>
              <w:rPr>
                <w:rFonts w:ascii="Cambria Math" w:hAnsi="Cambria Math"/>
              </w:rPr>
            </m:ctrlPr>
          </m:sSubPr>
          <m:e>
            <m:r>
              <w:rPr>
                <w:rFonts w:ascii="Cambria Math" w:hAnsi="Cambria Math"/>
              </w:rPr>
              <m:t>A</m:t>
            </m:r>
          </m:e>
          <m:sub>
            <m:r>
              <m:rPr>
                <m:sty m:val="p"/>
              </m:rPr>
              <w:rPr>
                <w:rFonts w:ascii="Cambria Math" w:hAnsi="Cambria Math"/>
              </w:rPr>
              <m:t>T</m:t>
            </m:r>
          </m:sub>
        </m:sSub>
        <m:r>
          <w:rPr>
            <w:rFonts w:ascii="Cambria Math" w:hAnsi="Cambria Math"/>
          </w:rPr>
          <m:t>≥0,25</m:t>
        </m:r>
        <m:sSub>
          <m:sSubPr>
            <m:ctrlPr>
              <w:rPr>
                <w:rFonts w:ascii="Cambria Math" w:hAnsi="Cambria Math"/>
              </w:rPr>
            </m:ctrlPr>
          </m:sSubPr>
          <m:e>
            <m:r>
              <w:rPr>
                <w:rFonts w:ascii="Cambria Math" w:hAnsi="Cambria Math"/>
              </w:rPr>
              <m:t>d</m:t>
            </m:r>
          </m:e>
          <m:sub>
            <m:r>
              <m:rPr>
                <m:sty m:val="p"/>
              </m:rPr>
              <w:rPr>
                <w:rFonts w:ascii="Cambria Math" w:hAnsi="Cambria Math"/>
              </w:rPr>
              <m:t>eff</m:t>
            </m:r>
          </m:sub>
        </m:sSub>
        <m:sSub>
          <m:sSubPr>
            <m:ctrlPr>
              <w:rPr>
                <w:rFonts w:ascii="Cambria Math" w:hAnsi="Cambria Math"/>
              </w:rPr>
            </m:ctrlPr>
          </m:sSubPr>
          <m:e>
            <m:r>
              <w:rPr>
                <w:rFonts w:ascii="Cambria Math" w:hAnsi="Cambria Math"/>
              </w:rPr>
              <m:t>b</m:t>
            </m:r>
          </m:e>
          <m:sub>
            <m:r>
              <m:rPr>
                <m:sty m:val="p"/>
              </m:rPr>
              <w:rPr>
                <w:rFonts w:ascii="Cambria Math" w:hAnsi="Cambria Math"/>
              </w:rPr>
              <m:t>b</m:t>
            </m:r>
          </m:sub>
        </m:sSub>
        <m:f>
          <m:fPr>
            <m:ctrlPr>
              <w:rPr>
                <w:rFonts w:ascii="Cambria Math" w:hAnsi="Cambria Math"/>
              </w:rPr>
            </m:ctrlPr>
          </m:fPr>
          <m:num>
            <m:r>
              <w:rPr>
                <w:rFonts w:ascii="Cambria Math" w:hAnsi="Cambria Math"/>
              </w:rPr>
              <m:t>0,15l-</m:t>
            </m:r>
            <m:sSub>
              <m:sSubPr>
                <m:ctrlPr>
                  <w:rPr>
                    <w:rFonts w:ascii="Cambria Math" w:hAnsi="Cambria Math"/>
                  </w:rPr>
                </m:ctrlPr>
              </m:sSubPr>
              <m:e>
                <m:r>
                  <w:rPr>
                    <w:rFonts w:ascii="Cambria Math" w:hAnsi="Cambria Math"/>
                  </w:rPr>
                  <m:t>b</m:t>
                </m:r>
              </m:e>
              <m:sub>
                <m:r>
                  <m:rPr>
                    <m:sty m:val="p"/>
                  </m:rPr>
                  <w:rPr>
                    <w:rFonts w:ascii="Cambria Math" w:hAnsi="Cambria Math"/>
                  </w:rPr>
                  <m:t>b</m:t>
                </m:r>
              </m:sub>
            </m:sSub>
          </m:num>
          <m:den>
            <m:r>
              <w:rPr>
                <w:rFonts w:ascii="Cambria Math" w:hAnsi="Cambria Math"/>
              </w:rPr>
              <m:t>0,15l</m:t>
            </m:r>
          </m:den>
        </m:f>
        <m:f>
          <m:fPr>
            <m:ctrlPr>
              <w:rPr>
                <w:rFonts w:ascii="Cambria Math" w:hAnsi="Cambria Math"/>
              </w:rPr>
            </m:ctrlPr>
          </m:fPr>
          <m:num>
            <m:sSub>
              <m:sSubPr>
                <m:ctrlPr>
                  <w:rPr>
                    <w:rFonts w:ascii="Cambria Math" w:hAnsi="Cambria Math"/>
                  </w:rPr>
                </m:ctrlPr>
              </m:sSubPr>
              <m:e>
                <m:r>
                  <w:rPr>
                    <w:rFonts w:ascii="Cambria Math" w:hAnsi="Cambria Math"/>
                  </w:rPr>
                  <m:t>f</m:t>
                </m:r>
              </m:e>
              <m:sub>
                <m:r>
                  <m:rPr>
                    <m:sty m:val="p"/>
                  </m:rPr>
                  <w:rPr>
                    <w:rFonts w:ascii="Cambria Math" w:hAnsi="Cambria Math"/>
                  </w:rPr>
                  <m:t>cd</m:t>
                </m:r>
              </m:sub>
            </m:sSub>
          </m:num>
          <m:den>
            <m:sSub>
              <m:sSubPr>
                <m:ctrlPr>
                  <w:rPr>
                    <w:rFonts w:ascii="Cambria Math" w:hAnsi="Cambria Math"/>
                  </w:rPr>
                </m:ctrlPr>
              </m:sSubPr>
              <m:e>
                <m:r>
                  <w:rPr>
                    <w:rFonts w:ascii="Cambria Math" w:hAnsi="Cambria Math"/>
                  </w:rPr>
                  <m:t>f</m:t>
                </m:r>
              </m:e>
              <m:sub>
                <m:r>
                  <m:rPr>
                    <m:sty m:val="p"/>
                  </m:rPr>
                  <w:rPr>
                    <w:rFonts w:ascii="Cambria Math" w:hAnsi="Cambria Math"/>
                  </w:rPr>
                  <m:t>yd,T</m:t>
                </m:r>
              </m:sub>
            </m:sSub>
          </m:den>
        </m:f>
      </m:oMath>
      <w:r w:rsidR="007D117B" w:rsidRPr="006C09CE">
        <w:tab/>
        <w:t>(</w:t>
      </w:r>
      <w:r w:rsidR="007D117B">
        <w:t>I</w:t>
      </w:r>
      <w:r w:rsidR="007D117B" w:rsidRPr="006C09CE">
        <w:t>.</w:t>
      </w:r>
      <w:r w:rsidR="007D117B">
        <w:t>5</w:t>
      </w:r>
      <w:r w:rsidR="007D117B" w:rsidRPr="006C09CE">
        <w:t>)</w:t>
      </w:r>
    </w:p>
    <w:p w14:paraId="6B66135D" w14:textId="4C9EC58F" w:rsidR="007D117B" w:rsidRDefault="00675EBA" w:rsidP="009611DD">
      <w:pPr>
        <w:pStyle w:val="Text"/>
      </w:pPr>
      <w:r>
        <w:t>where</w:t>
      </w:r>
    </w:p>
    <w:tbl>
      <w:tblPr>
        <w:tblW w:w="0" w:type="auto"/>
        <w:tblInd w:w="346" w:type="dxa"/>
        <w:tblLook w:val="04A0" w:firstRow="1" w:lastRow="0" w:firstColumn="1" w:lastColumn="0" w:noHBand="0" w:noVBand="1"/>
      </w:tblPr>
      <w:tblGrid>
        <w:gridCol w:w="1275"/>
        <w:gridCol w:w="7938"/>
      </w:tblGrid>
      <w:tr w:rsidR="007D117B" w:rsidRPr="00FF1786" w14:paraId="7967AC58" w14:textId="77777777" w:rsidTr="002B6C5C">
        <w:tc>
          <w:tcPr>
            <w:tcW w:w="1275" w:type="dxa"/>
          </w:tcPr>
          <w:p w14:paraId="4601C275" w14:textId="51EE0E0A" w:rsidR="007D117B" w:rsidRPr="00460668" w:rsidRDefault="007D117B" w:rsidP="002061E5">
            <w:pPr>
              <w:spacing w:after="60"/>
              <w:rPr>
                <w:rFonts w:eastAsia="Times New Roman" w:cs="Cambria"/>
                <w:szCs w:val="20"/>
                <w:lang w:eastAsia="fr-FR"/>
              </w:rPr>
            </w:pPr>
            <w:r w:rsidRPr="005C7237">
              <w:rPr>
                <w:i/>
                <w:iCs/>
              </w:rPr>
              <w:t>l</w:t>
            </w:r>
          </w:p>
        </w:tc>
        <w:tc>
          <w:tcPr>
            <w:tcW w:w="7938" w:type="dxa"/>
          </w:tcPr>
          <w:p w14:paraId="4C8DDD17" w14:textId="1368052B" w:rsidR="007D117B" w:rsidRPr="007D117B" w:rsidRDefault="007D117B" w:rsidP="002061E5">
            <w:pPr>
              <w:pStyle w:val="Listofsymbols"/>
              <w:tabs>
                <w:tab w:val="clear" w:pos="1134"/>
                <w:tab w:val="left" w:pos="2481"/>
              </w:tabs>
              <w:ind w:left="0" w:firstLine="0"/>
              <w:rPr>
                <w:szCs w:val="22"/>
              </w:rPr>
            </w:pPr>
            <w:r w:rsidRPr="007D117B">
              <w:t xml:space="preserve">is the beam span, as defined in </w:t>
            </w:r>
            <w:r w:rsidR="0026060E">
              <w:t>prEN 1992-1-1:2021</w:t>
            </w:r>
            <w:r w:rsidR="00055612">
              <w:t>, 7.2.3(5);</w:t>
            </w:r>
          </w:p>
        </w:tc>
      </w:tr>
      <w:tr w:rsidR="007D117B" w:rsidRPr="00FF1786" w14:paraId="6D17E41A" w14:textId="77777777" w:rsidTr="002B6C5C">
        <w:tc>
          <w:tcPr>
            <w:tcW w:w="1275" w:type="dxa"/>
          </w:tcPr>
          <w:p w14:paraId="194BA8E0" w14:textId="05BF3D73" w:rsidR="007D117B" w:rsidRPr="00A47E27" w:rsidRDefault="009B5CEC" w:rsidP="002061E5">
            <w:pPr>
              <w:spacing w:after="60"/>
              <w:rPr>
                <w:sz w:val="20"/>
                <w:lang w:eastAsia="de-DE"/>
              </w:rPr>
            </w:pPr>
            <m:oMathPara>
              <m:oMathParaPr>
                <m:jc m:val="left"/>
              </m:oMathParaPr>
              <m:oMath>
                <m:sSub>
                  <m:sSubPr>
                    <m:ctrlPr>
                      <w:rPr>
                        <w:rFonts w:ascii="Cambria Math" w:hAnsi="Cambria Math"/>
                        <w:i/>
                      </w:rPr>
                    </m:ctrlPr>
                  </m:sSubPr>
                  <m:e>
                    <m:r>
                      <w:rPr>
                        <w:rFonts w:ascii="Cambria Math" w:hAnsi="Cambria Math"/>
                      </w:rPr>
                      <m:t>f</m:t>
                    </m:r>
                  </m:e>
                  <m:sub>
                    <m:r>
                      <m:rPr>
                        <m:sty m:val="p"/>
                      </m:rPr>
                      <w:rPr>
                        <w:rFonts w:ascii="Cambria Math" w:hAnsi="Cambria Math"/>
                        <w:vertAlign w:val="subscript"/>
                      </w:rPr>
                      <m:t>yd,T</m:t>
                    </m:r>
                  </m:sub>
                </m:sSub>
              </m:oMath>
            </m:oMathPara>
          </w:p>
        </w:tc>
        <w:tc>
          <w:tcPr>
            <w:tcW w:w="7938" w:type="dxa"/>
          </w:tcPr>
          <w:p w14:paraId="069A6B6D" w14:textId="3DAD5A46" w:rsidR="007D117B" w:rsidRPr="007D117B" w:rsidRDefault="007D117B" w:rsidP="002061E5">
            <w:pPr>
              <w:pStyle w:val="Listofsymbols"/>
              <w:tabs>
                <w:tab w:val="clear" w:pos="1134"/>
                <w:tab w:val="left" w:pos="2481"/>
              </w:tabs>
              <w:ind w:left="0" w:firstLine="0"/>
            </w:pPr>
            <w:r w:rsidRPr="007D117B">
              <w:t>is the</w:t>
            </w:r>
            <w:r w:rsidRPr="007D117B">
              <w:rPr>
                <w:vertAlign w:val="subscript"/>
              </w:rPr>
              <w:t xml:space="preserve"> </w:t>
            </w:r>
            <w:r w:rsidRPr="007D117B">
              <w:t>design yield stress of the transverse reinforcement in the slab.</w:t>
            </w:r>
          </w:p>
        </w:tc>
      </w:tr>
    </w:tbl>
    <w:p w14:paraId="292DA34B" w14:textId="41FCF9A6" w:rsidR="007D117B" w:rsidRDefault="007D117B" w:rsidP="0080187E">
      <w:pPr>
        <w:pStyle w:val="Clause"/>
        <w:numPr>
          <w:ilvl w:val="0"/>
          <w:numId w:val="246"/>
        </w:numPr>
      </w:pPr>
      <w:r w:rsidRPr="00196951">
        <w:t xml:space="preserve">The </w:t>
      </w:r>
      <w:r w:rsidRPr="007D117B">
        <w:rPr>
          <w:color w:val="auto"/>
        </w:rPr>
        <w:t xml:space="preserve">reinforcement in </w:t>
      </w:r>
      <w:r w:rsidRPr="00B00B3D">
        <w:rPr>
          <w:color w:val="auto"/>
        </w:rPr>
        <w:t>(3)</w:t>
      </w:r>
      <w:r w:rsidRPr="007D117B">
        <w:rPr>
          <w:color w:val="auto"/>
        </w:rPr>
        <w:t xml:space="preserve"> should </w:t>
      </w:r>
      <w:r w:rsidRPr="002144A0">
        <w:t xml:space="preserve">be uniformly distributed over a length of the beam equal to </w:t>
      </w:r>
      <m:oMath>
        <m:sSub>
          <m:sSubPr>
            <m:ctrlPr>
              <w:rPr>
                <w:rFonts w:ascii="Cambria Math" w:hAnsi="Cambria Math"/>
                <w:i/>
              </w:rPr>
            </m:ctrlPr>
          </m:sSubPr>
          <m:e>
            <m:r>
              <w:rPr>
                <w:rFonts w:ascii="Cambria Math" w:hAnsi="Cambria Math"/>
              </w:rPr>
              <m:t>b</m:t>
            </m:r>
          </m:e>
          <m:sub>
            <m:r>
              <m:rPr>
                <m:sty m:val="p"/>
              </m:rPr>
              <w:rPr>
                <w:rFonts w:ascii="Cambria Math" w:hAnsi="Cambria Math"/>
                <w:vertAlign w:val="subscript"/>
              </w:rPr>
              <m:t>b</m:t>
            </m:r>
          </m:sub>
        </m:sSub>
      </m:oMath>
      <w:r w:rsidRPr="00132C1E">
        <w:t xml:space="preserve"> and the distance of the first bar to the column flange should not exceed 30 mm. </w:t>
      </w:r>
      <m:oMath>
        <m:sSub>
          <m:sSubPr>
            <m:ctrlPr>
              <w:rPr>
                <w:rFonts w:ascii="Cambria Math" w:hAnsi="Cambria Math"/>
                <w:i/>
              </w:rPr>
            </m:ctrlPr>
          </m:sSubPr>
          <m:e>
            <m:r>
              <w:rPr>
                <w:rFonts w:ascii="Cambria Math" w:hAnsi="Cambria Math"/>
              </w:rPr>
              <m:t>A</m:t>
            </m:r>
          </m:e>
          <m:sub>
            <m:r>
              <m:rPr>
                <m:sty m:val="p"/>
              </m:rPr>
              <w:rPr>
                <w:rFonts w:ascii="Cambria Math" w:hAnsi="Cambria Math"/>
                <w:vertAlign w:val="subscript"/>
              </w:rPr>
              <m:t>T</m:t>
            </m:r>
          </m:sub>
        </m:sSub>
      </m:oMath>
      <w:r w:rsidRPr="00132C1E">
        <w:t xml:space="preserve"> may be partly or totally provided by reinforcing bars placed for other purposes.</w:t>
      </w:r>
    </w:p>
    <w:p w14:paraId="56DE3C07" w14:textId="210224A8" w:rsidR="007D117B" w:rsidRPr="00036571" w:rsidRDefault="007D117B" w:rsidP="0080187E">
      <w:pPr>
        <w:pStyle w:val="Clause"/>
        <w:numPr>
          <w:ilvl w:val="0"/>
          <w:numId w:val="246"/>
        </w:numPr>
      </w:pPr>
      <w:r>
        <w:t xml:space="preserve">For </w:t>
      </w:r>
      <w:r>
        <w:rPr>
          <w:i/>
          <w:iCs/>
        </w:rPr>
        <w:t>F</w:t>
      </w:r>
      <w:r>
        <w:rPr>
          <w:vertAlign w:val="subscript"/>
        </w:rPr>
        <w:t>Rd2</w:t>
      </w:r>
      <w:r>
        <w:t xml:space="preserve">, a reaction to the concrete compression strut of width </w:t>
      </w:r>
      <w:r>
        <w:rPr>
          <w:i/>
          <w:iCs/>
        </w:rPr>
        <w:t>A</w:t>
      </w:r>
      <w:r>
        <w:rPr>
          <w:vertAlign w:val="subscript"/>
        </w:rPr>
        <w:t>T</w:t>
      </w:r>
      <w:r>
        <w:t xml:space="preserve"> should be provided on the sides of the column facing the struts.</w:t>
      </w:r>
    </w:p>
    <w:p w14:paraId="26B1B2D5" w14:textId="77AF3ABA" w:rsidR="007D117B" w:rsidRPr="007D117B" w:rsidRDefault="007D117B" w:rsidP="007D117B">
      <w:pPr>
        <w:pStyle w:val="Notetext"/>
      </w:pPr>
      <w:r w:rsidRPr="007D117B">
        <w:t>N</w:t>
      </w:r>
      <w:r w:rsidR="009611DD">
        <w:t>OTE</w:t>
      </w:r>
      <w:r>
        <w:tab/>
      </w:r>
      <w:r w:rsidRPr="007D117B">
        <w:t>Flanges of the column section as shown at Fig. I.2 or shear connectors on the sides of the column can provide the necessary reactions to the compression struts forces.</w:t>
      </w:r>
    </w:p>
    <w:p w14:paraId="0A266A80" w14:textId="0872446B" w:rsidR="007D117B" w:rsidRPr="002144A0" w:rsidRDefault="007D117B" w:rsidP="0080187E">
      <w:pPr>
        <w:pStyle w:val="Clause"/>
        <w:numPr>
          <w:ilvl w:val="0"/>
          <w:numId w:val="246"/>
        </w:numPr>
      </w:pPr>
      <w:r w:rsidRPr="00FD17CF">
        <w:t xml:space="preserve">For calculating </w:t>
      </w:r>
      <m:oMath>
        <m:sSub>
          <m:sSubPr>
            <m:ctrlPr>
              <w:rPr>
                <w:rFonts w:ascii="Cambria Math" w:hAnsi="Cambria Math"/>
                <w:i/>
              </w:rPr>
            </m:ctrlPr>
          </m:sSubPr>
          <m:e>
            <m:r>
              <w:rPr>
                <w:rFonts w:ascii="Cambria Math" w:hAnsi="Cambria Math"/>
              </w:rPr>
              <m:t>F</m:t>
            </m:r>
          </m:e>
          <m:sub>
            <m:r>
              <m:rPr>
                <m:sty m:val="p"/>
              </m:rPr>
              <w:rPr>
                <w:rFonts w:ascii="Cambria Math" w:hAnsi="Cambria Math"/>
                <w:vertAlign w:val="subscript"/>
              </w:rPr>
              <m:t>Rd2</m:t>
            </m:r>
          </m:sub>
        </m:sSub>
      </m:oMath>
      <w:r w:rsidRPr="00132C1E">
        <w:rPr>
          <w:i/>
          <w:iCs/>
        </w:rPr>
        <w:t>,</w:t>
      </w:r>
      <w:r w:rsidRPr="00D1484A">
        <w:t xml:space="preserve"> the area </w:t>
      </w:r>
      <m:oMath>
        <m:sSub>
          <m:sSubPr>
            <m:ctrlPr>
              <w:rPr>
                <w:rFonts w:ascii="Cambria Math" w:hAnsi="Cambria Math"/>
                <w:i/>
              </w:rPr>
            </m:ctrlPr>
          </m:sSubPr>
          <m:e>
            <m:r>
              <w:rPr>
                <w:rFonts w:ascii="Cambria Math" w:hAnsi="Cambria Math"/>
              </w:rPr>
              <m:t>A</m:t>
            </m:r>
          </m:e>
          <m:sub>
            <m:r>
              <m:rPr>
                <m:sty m:val="p"/>
              </m:rPr>
              <w:rPr>
                <w:rFonts w:ascii="Cambria Math" w:hAnsi="Cambria Math"/>
                <w:vertAlign w:val="subscript"/>
              </w:rPr>
              <m:t>T</m:t>
            </m:r>
          </m:sub>
        </m:sSub>
      </m:oMath>
      <w:r w:rsidRPr="00132C1E">
        <w:t xml:space="preserve"> of tension</w:t>
      </w:r>
      <w:r w:rsidRPr="007D117B">
        <w:rPr>
          <w:color w:val="auto"/>
        </w:rPr>
        <w:t>-ties (see Figure I.2c) should satisfy Formula (I.6).</w:t>
      </w:r>
    </w:p>
    <w:p w14:paraId="3F08CA98" w14:textId="5E97A8B3" w:rsidR="007D117B" w:rsidRPr="006C09CE" w:rsidRDefault="009B5CEC" w:rsidP="007D117B">
      <w:pPr>
        <w:pStyle w:val="Formula"/>
        <w:spacing w:before="240"/>
      </w:pPr>
      <m:oMath>
        <m:sSub>
          <m:sSubPr>
            <m:ctrlPr>
              <w:rPr>
                <w:rFonts w:ascii="Cambria Math" w:hAnsi="Cambria Math"/>
              </w:rPr>
            </m:ctrlPr>
          </m:sSubPr>
          <m:e>
            <m:r>
              <w:rPr>
                <w:rFonts w:ascii="Cambria Math" w:hAnsi="Cambria Math"/>
              </w:rPr>
              <m:t>A</m:t>
            </m:r>
          </m:e>
          <m:sub>
            <m:r>
              <m:rPr>
                <m:sty m:val="p"/>
              </m:rPr>
              <w:rPr>
                <w:rFonts w:ascii="Cambria Math" w:hAnsi="Cambria Math"/>
              </w:rPr>
              <m:t>T</m:t>
            </m:r>
          </m:sub>
        </m:sSub>
        <m:r>
          <w:rPr>
            <w:rFonts w:ascii="Cambria Math" w:hAnsi="Cambria Math"/>
          </w:rPr>
          <m:t>≥0,5</m:t>
        </m:r>
        <m:f>
          <m:fPr>
            <m:ctrlPr>
              <w:rPr>
                <w:rFonts w:ascii="Cambria Math" w:hAnsi="Cambria Math"/>
              </w:rPr>
            </m:ctrlPr>
          </m:fPr>
          <m:num>
            <m:sSub>
              <m:sSubPr>
                <m:ctrlPr>
                  <w:rPr>
                    <w:rFonts w:ascii="Cambria Math" w:hAnsi="Cambria Math"/>
                  </w:rPr>
                </m:ctrlPr>
              </m:sSubPr>
              <m:e>
                <m:r>
                  <w:rPr>
                    <w:rFonts w:ascii="Cambria Math" w:hAnsi="Cambria Math"/>
                  </w:rPr>
                  <m:t>F</m:t>
                </m:r>
              </m:e>
              <m:sub>
                <m:r>
                  <m:rPr>
                    <m:sty m:val="p"/>
                  </m:rPr>
                  <w:rPr>
                    <w:rFonts w:ascii="Cambria Math" w:hAnsi="Cambria Math"/>
                  </w:rPr>
                  <m:t>Rd2</m:t>
                </m:r>
              </m:sub>
            </m:sSub>
          </m:num>
          <m:den>
            <m:sSub>
              <m:sSubPr>
                <m:ctrlPr>
                  <w:rPr>
                    <w:rFonts w:ascii="Cambria Math" w:hAnsi="Cambria Math"/>
                  </w:rPr>
                </m:ctrlPr>
              </m:sSubPr>
              <m:e>
                <m:r>
                  <w:rPr>
                    <w:rFonts w:ascii="Cambria Math" w:hAnsi="Cambria Math"/>
                  </w:rPr>
                  <m:t>f</m:t>
                </m:r>
              </m:e>
              <m:sub>
                <m:r>
                  <m:rPr>
                    <m:sty m:val="p"/>
                  </m:rPr>
                  <w:rPr>
                    <w:rFonts w:ascii="Cambria Math" w:hAnsi="Cambria Math"/>
                  </w:rPr>
                  <m:t>yd,T</m:t>
                </m:r>
              </m:sub>
            </m:sSub>
          </m:den>
        </m:f>
        <m:r>
          <m:rPr>
            <m:sty m:val="p"/>
          </m:rPr>
          <w:rPr>
            <w:rFonts w:ascii="Cambria Math" w:hAnsi="Cambria Math"/>
          </w:rPr>
          <m:t>tan</m:t>
        </m:r>
        <m:r>
          <w:rPr>
            <w:rFonts w:ascii="Cambria Math" w:hAnsi="Cambria Math"/>
          </w:rPr>
          <m:t>⁡(θ)</m:t>
        </m:r>
      </m:oMath>
      <w:r w:rsidR="007D117B" w:rsidRPr="006C09CE">
        <w:tab/>
        <w:t>(</w:t>
      </w:r>
      <w:r w:rsidR="007D117B">
        <w:t>I</w:t>
      </w:r>
      <w:r w:rsidR="007D117B" w:rsidRPr="006C09CE">
        <w:t>.</w:t>
      </w:r>
      <w:r w:rsidR="007D117B">
        <w:t>6</w:t>
      </w:r>
      <w:r w:rsidR="007D117B" w:rsidRPr="006C09CE">
        <w:t>)</w:t>
      </w:r>
    </w:p>
    <w:p w14:paraId="39EEED65" w14:textId="172BDCFF" w:rsidR="001040D5" w:rsidRDefault="001040D5" w:rsidP="002B6C5C">
      <w:pPr>
        <w:pStyle w:val="FigureImage"/>
        <w:keepLines/>
      </w:pPr>
      <w:bookmarkStart w:id="11670" w:name="_Toc532351369"/>
      <w:r>
        <w:rPr>
          <w:noProof/>
        </w:rPr>
        <w:drawing>
          <wp:inline distT="0" distB="0" distL="0" distR="0" wp14:anchorId="08C9D3DE" wp14:editId="245AAC16">
            <wp:extent cx="5940562" cy="3462534"/>
            <wp:effectExtent l="0" t="0" r="3175" b="5080"/>
            <wp:docPr id="50" name="i002.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002.tiff"/>
                    <pic:cNvPicPr/>
                  </pic:nvPicPr>
                  <pic:blipFill>
                    <a:blip r:link="rId132"/>
                    <a:stretch>
                      <a:fillRect/>
                    </a:stretch>
                  </pic:blipFill>
                  <pic:spPr>
                    <a:xfrm>
                      <a:off x="0" y="0"/>
                      <a:ext cx="5940562" cy="3462534"/>
                    </a:xfrm>
                    <a:prstGeom prst="rect">
                      <a:avLst/>
                    </a:prstGeom>
                  </pic:spPr>
                </pic:pic>
              </a:graphicData>
            </a:graphic>
          </wp:inline>
        </w:drawing>
      </w:r>
    </w:p>
    <w:p w14:paraId="56379863" w14:textId="42470746" w:rsidR="001D3D40" w:rsidRPr="00D1484A" w:rsidRDefault="001D3D40" w:rsidP="002B6C5C">
      <w:pPr>
        <w:pStyle w:val="KeyTitle"/>
        <w:keepLines/>
      </w:pPr>
      <w:r w:rsidRPr="00132C1E">
        <w:t>Key</w:t>
      </w:r>
    </w:p>
    <w:tbl>
      <w:tblPr>
        <w:tblStyle w:val="TableGrid"/>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9213"/>
      </w:tblGrid>
      <w:tr w:rsidR="001D3D40" w:rsidRPr="00132C1E" w14:paraId="12DE4B36" w14:textId="77777777" w:rsidTr="002B6C5C">
        <w:tc>
          <w:tcPr>
            <w:tcW w:w="426" w:type="dxa"/>
          </w:tcPr>
          <w:p w14:paraId="3116A8E4" w14:textId="77777777" w:rsidR="001D3D40" w:rsidRPr="00FE71E5" w:rsidRDefault="001D3D40" w:rsidP="002B6C5C">
            <w:pPr>
              <w:pStyle w:val="KeyText"/>
              <w:keepNext/>
              <w:keepLines/>
              <w:spacing w:before="0"/>
              <w:rPr>
                <w:iCs/>
              </w:rPr>
            </w:pPr>
            <w:r w:rsidRPr="00FE71E5">
              <w:rPr>
                <w:iCs/>
              </w:rPr>
              <w:t>A</w:t>
            </w:r>
          </w:p>
        </w:tc>
        <w:tc>
          <w:tcPr>
            <w:tcW w:w="9213" w:type="dxa"/>
          </w:tcPr>
          <w:p w14:paraId="4D5A0E2A" w14:textId="46206B11" w:rsidR="001D3D40" w:rsidRPr="00FE71E5" w:rsidRDefault="001D3D40" w:rsidP="002B6C5C">
            <w:pPr>
              <w:pStyle w:val="KeyText"/>
              <w:keepNext/>
              <w:keepLines/>
              <w:spacing w:before="0"/>
            </w:pPr>
            <w:r w:rsidRPr="00FE71E5">
              <w:t>main beam</w:t>
            </w:r>
          </w:p>
        </w:tc>
      </w:tr>
      <w:tr w:rsidR="001D3D40" w:rsidRPr="00132C1E" w14:paraId="796246AE" w14:textId="77777777" w:rsidTr="002B6C5C">
        <w:tc>
          <w:tcPr>
            <w:tcW w:w="426" w:type="dxa"/>
          </w:tcPr>
          <w:p w14:paraId="74F803F2" w14:textId="77777777" w:rsidR="001D3D40" w:rsidRPr="00FE71E5" w:rsidRDefault="001D3D40" w:rsidP="002B6C5C">
            <w:pPr>
              <w:pStyle w:val="KeyText"/>
              <w:keepNext/>
              <w:keepLines/>
              <w:spacing w:before="0"/>
              <w:rPr>
                <w:iCs/>
              </w:rPr>
            </w:pPr>
            <w:r w:rsidRPr="00FE71E5">
              <w:rPr>
                <w:iCs/>
              </w:rPr>
              <w:t>B</w:t>
            </w:r>
          </w:p>
        </w:tc>
        <w:tc>
          <w:tcPr>
            <w:tcW w:w="9213" w:type="dxa"/>
          </w:tcPr>
          <w:p w14:paraId="69BC56FE" w14:textId="36ED9820" w:rsidR="001D3D40" w:rsidRPr="00FE71E5" w:rsidRDefault="001040D5" w:rsidP="002B6C5C">
            <w:pPr>
              <w:pStyle w:val="KeyText"/>
              <w:keepNext/>
              <w:keepLines/>
              <w:spacing w:before="0"/>
            </w:pPr>
            <w:r w:rsidRPr="00FE71E5">
              <w:t>s</w:t>
            </w:r>
            <w:r w:rsidR="001D3D40" w:rsidRPr="00FE71E5">
              <w:t>lab</w:t>
            </w:r>
          </w:p>
        </w:tc>
      </w:tr>
      <w:tr w:rsidR="001D3D40" w:rsidRPr="00132C1E" w14:paraId="11FB3EA4" w14:textId="77777777" w:rsidTr="002B6C5C">
        <w:tc>
          <w:tcPr>
            <w:tcW w:w="426" w:type="dxa"/>
          </w:tcPr>
          <w:p w14:paraId="4A3E7D71" w14:textId="77777777" w:rsidR="001D3D40" w:rsidRPr="00FE71E5" w:rsidRDefault="001D3D40" w:rsidP="002B6C5C">
            <w:pPr>
              <w:pStyle w:val="KeyText"/>
              <w:keepNext/>
              <w:keepLines/>
              <w:spacing w:before="0"/>
              <w:rPr>
                <w:iCs/>
              </w:rPr>
            </w:pPr>
            <w:r w:rsidRPr="00FE71E5">
              <w:rPr>
                <w:iCs/>
              </w:rPr>
              <w:t>C</w:t>
            </w:r>
          </w:p>
        </w:tc>
        <w:tc>
          <w:tcPr>
            <w:tcW w:w="9213" w:type="dxa"/>
          </w:tcPr>
          <w:p w14:paraId="5A5F382F" w14:textId="77990E9C" w:rsidR="001D3D40" w:rsidRPr="00FE71E5" w:rsidRDefault="001D3D40" w:rsidP="002B6C5C">
            <w:pPr>
              <w:pStyle w:val="KeyText"/>
              <w:keepNext/>
              <w:keepLines/>
              <w:spacing w:before="0"/>
            </w:pPr>
            <w:r w:rsidRPr="00FE71E5">
              <w:t>exterior column</w:t>
            </w:r>
          </w:p>
        </w:tc>
      </w:tr>
      <w:tr w:rsidR="001D3D40" w:rsidRPr="00132C1E" w14:paraId="706570D5" w14:textId="77777777" w:rsidTr="002B6C5C">
        <w:tc>
          <w:tcPr>
            <w:tcW w:w="426" w:type="dxa"/>
          </w:tcPr>
          <w:p w14:paraId="6E9ECBB4" w14:textId="77777777" w:rsidR="001D3D40" w:rsidRPr="00FE71E5" w:rsidRDefault="001D3D40" w:rsidP="002B6C5C">
            <w:pPr>
              <w:pStyle w:val="KeyText"/>
              <w:keepNext/>
              <w:keepLines/>
              <w:spacing w:before="0"/>
              <w:rPr>
                <w:iCs/>
              </w:rPr>
            </w:pPr>
            <w:r w:rsidRPr="00FE71E5">
              <w:rPr>
                <w:iCs/>
              </w:rPr>
              <w:t>D</w:t>
            </w:r>
          </w:p>
        </w:tc>
        <w:tc>
          <w:tcPr>
            <w:tcW w:w="9213" w:type="dxa"/>
          </w:tcPr>
          <w:p w14:paraId="5CF9A616" w14:textId="53F1CD34" w:rsidR="001D3D40" w:rsidRPr="00FE71E5" w:rsidRDefault="001D3D40" w:rsidP="002B6C5C">
            <w:pPr>
              <w:pStyle w:val="KeyText"/>
              <w:keepNext/>
              <w:keepLines/>
              <w:spacing w:before="0"/>
            </w:pPr>
            <w:r w:rsidRPr="00FE71E5">
              <w:t>façade steel beam</w:t>
            </w:r>
          </w:p>
        </w:tc>
      </w:tr>
      <w:tr w:rsidR="001D3D40" w:rsidRPr="00132C1E" w14:paraId="3B4F1E77" w14:textId="77777777" w:rsidTr="002B6C5C">
        <w:tc>
          <w:tcPr>
            <w:tcW w:w="426" w:type="dxa"/>
          </w:tcPr>
          <w:p w14:paraId="7EA68938" w14:textId="77777777" w:rsidR="001D3D40" w:rsidRPr="00FE71E5" w:rsidRDefault="001D3D40" w:rsidP="002B6C5C">
            <w:pPr>
              <w:pStyle w:val="KeyText"/>
              <w:keepNext/>
              <w:keepLines/>
              <w:spacing w:before="0"/>
              <w:rPr>
                <w:iCs/>
              </w:rPr>
            </w:pPr>
            <w:r w:rsidRPr="00FE71E5">
              <w:rPr>
                <w:iCs/>
              </w:rPr>
              <w:t>E</w:t>
            </w:r>
          </w:p>
        </w:tc>
        <w:tc>
          <w:tcPr>
            <w:tcW w:w="9213" w:type="dxa"/>
          </w:tcPr>
          <w:p w14:paraId="55EB34A2" w14:textId="7E5A2BF6" w:rsidR="001D3D40" w:rsidRPr="00FE71E5" w:rsidRDefault="001D3D40" w:rsidP="002B6C5C">
            <w:pPr>
              <w:pStyle w:val="KeyText"/>
              <w:keepNext/>
              <w:keepLines/>
              <w:spacing w:before="0"/>
            </w:pPr>
            <w:r w:rsidRPr="00FE71E5">
              <w:t>concrete cantilever edge strip</w:t>
            </w:r>
          </w:p>
        </w:tc>
      </w:tr>
      <w:tr w:rsidR="001D3D40" w:rsidRPr="008B5241" w14:paraId="52D160CF" w14:textId="77777777" w:rsidTr="002B6C5C">
        <w:tc>
          <w:tcPr>
            <w:tcW w:w="426" w:type="dxa"/>
          </w:tcPr>
          <w:p w14:paraId="65509F7C" w14:textId="77777777" w:rsidR="001D3D40" w:rsidRPr="00FE71E5" w:rsidRDefault="001D3D40" w:rsidP="002B6C5C">
            <w:pPr>
              <w:pStyle w:val="KeyText"/>
              <w:keepNext/>
              <w:keepLines/>
              <w:spacing w:before="0"/>
              <w:rPr>
                <w:iCs/>
              </w:rPr>
            </w:pPr>
            <w:r w:rsidRPr="00FE71E5" w:rsidDel="008D55D4">
              <w:rPr>
                <w:iCs/>
              </w:rPr>
              <w:t>F</w:t>
            </w:r>
          </w:p>
        </w:tc>
        <w:tc>
          <w:tcPr>
            <w:tcW w:w="9213" w:type="dxa"/>
          </w:tcPr>
          <w:p w14:paraId="6103333C" w14:textId="64558808" w:rsidR="001D3D40" w:rsidRPr="00FE71E5" w:rsidRDefault="001D3D40" w:rsidP="002B6C5C">
            <w:pPr>
              <w:pStyle w:val="KeyText"/>
              <w:keepNext/>
              <w:keepLines/>
              <w:spacing w:before="0"/>
            </w:pPr>
            <w:r w:rsidRPr="00FE71E5" w:rsidDel="008D55D4">
              <w:t>additional device fixed to the column for bearing</w:t>
            </w:r>
          </w:p>
        </w:tc>
      </w:tr>
    </w:tbl>
    <w:bookmarkEnd w:id="11670"/>
    <w:p w14:paraId="088A39A1" w14:textId="04B18B53" w:rsidR="001D3D40" w:rsidRPr="001D3D40" w:rsidRDefault="001D3D40" w:rsidP="001D3D40">
      <w:pPr>
        <w:pStyle w:val="Figuretitle"/>
        <w:rPr>
          <w:lang w:val="en-US"/>
        </w:rPr>
      </w:pPr>
      <w:r w:rsidRPr="00132C1E">
        <w:t>Figure I.</w:t>
      </w:r>
      <w:r w:rsidR="009611DD">
        <w:t>2</w:t>
      </w:r>
      <w:r w:rsidRPr="00132C1E">
        <w:t> — Exterior beam-to-column joints under positive moment and possible transfer of slab forces</w:t>
      </w:r>
      <w:r w:rsidR="001040D5">
        <w:t>: (a) c</w:t>
      </w:r>
      <w:r w:rsidR="001040D5" w:rsidRPr="001040D5">
        <w:t>omposite joint elevation</w:t>
      </w:r>
      <w:r w:rsidR="001040D5">
        <w:t xml:space="preserve">; (b) </w:t>
      </w:r>
      <w:r w:rsidR="001040D5" w:rsidRPr="001040D5">
        <w:t>mechanism 1</w:t>
      </w:r>
      <w:r w:rsidR="001040D5">
        <w:t xml:space="preserve"> </w:t>
      </w:r>
      <w:r w:rsidR="001040D5" w:rsidRPr="001040D5">
        <w:t>– slab bearing on column flange (G) or additional device (H);</w:t>
      </w:r>
      <w:r w:rsidR="001040D5">
        <w:t xml:space="preserve"> (c) </w:t>
      </w:r>
      <w:r w:rsidR="001040D5" w:rsidRPr="001040D5">
        <w:t>mechanism 2 – slab extending up to the column outside face or beyond as a concrete cantilever edge is required;</w:t>
      </w:r>
      <w:r w:rsidR="001040D5">
        <w:t xml:space="preserve"> (d) </w:t>
      </w:r>
      <w:r w:rsidR="001040D5" w:rsidRPr="001040D5">
        <w:t>mechanism 3 – façade steel beam rigidly connected to the column is required</w:t>
      </w:r>
    </w:p>
    <w:p w14:paraId="6AC4F31E" w14:textId="05490EE0" w:rsidR="007D117B" w:rsidRDefault="007D117B" w:rsidP="0080187E">
      <w:pPr>
        <w:pStyle w:val="Clause"/>
        <w:numPr>
          <w:ilvl w:val="0"/>
          <w:numId w:val="246"/>
        </w:numPr>
      </w:pPr>
      <w:r w:rsidRPr="00D1484A">
        <w:t xml:space="preserve">The area </w:t>
      </w:r>
      <m:oMath>
        <m:sSub>
          <m:sSubPr>
            <m:ctrlPr>
              <w:rPr>
                <w:rFonts w:ascii="Cambria Math" w:hAnsi="Cambria Math"/>
                <w:i/>
              </w:rPr>
            </m:ctrlPr>
          </m:sSubPr>
          <m:e>
            <m:r>
              <w:rPr>
                <w:rFonts w:ascii="Cambria Math" w:hAnsi="Cambria Math"/>
              </w:rPr>
              <m:t>A</m:t>
            </m:r>
          </m:e>
          <m:sub>
            <m:r>
              <m:rPr>
                <m:sty m:val="p"/>
              </m:rPr>
              <w:rPr>
                <w:rFonts w:ascii="Cambria Math" w:hAnsi="Cambria Math"/>
                <w:vertAlign w:val="subscript"/>
              </w:rPr>
              <m:t>T</m:t>
            </m:r>
          </m:sub>
        </m:sSub>
      </m:oMath>
      <w:r w:rsidRPr="00132C1E">
        <w:t xml:space="preserve"> in </w:t>
      </w:r>
      <w:r w:rsidRPr="00B00B3D">
        <w:rPr>
          <w:color w:val="auto"/>
        </w:rPr>
        <w:t>(5)</w:t>
      </w:r>
      <w:r w:rsidRPr="001D3D40">
        <w:rPr>
          <w:color w:val="auto"/>
        </w:rPr>
        <w:t xml:space="preserve"> should be distributed over a length of beam equal to </w:t>
      </w:r>
      <m:oMath>
        <m:sSub>
          <m:sSubPr>
            <m:ctrlPr>
              <w:rPr>
                <w:rFonts w:ascii="Cambria Math" w:hAnsi="Cambria Math"/>
                <w:i/>
                <w:color w:val="auto"/>
              </w:rPr>
            </m:ctrlPr>
          </m:sSubPr>
          <m:e>
            <m:r>
              <w:rPr>
                <w:rFonts w:ascii="Cambria Math" w:hAnsi="Cambria Math"/>
                <w:color w:val="auto"/>
              </w:rPr>
              <m:t>h</m:t>
            </m:r>
          </m:e>
          <m:sub>
            <m:r>
              <m:rPr>
                <m:sty m:val="p"/>
              </m:rPr>
              <w:rPr>
                <w:rFonts w:ascii="Cambria Math" w:hAnsi="Cambria Math"/>
                <w:color w:val="auto"/>
                <w:vertAlign w:val="subscript"/>
              </w:rPr>
              <m:t>c</m:t>
            </m:r>
          </m:sub>
        </m:sSub>
      </m:oMath>
      <w:r w:rsidRPr="001D3D40">
        <w:rPr>
          <w:color w:val="auto"/>
        </w:rPr>
        <w:t xml:space="preserve"> and the bars should be fully anchored. The length </w:t>
      </w:r>
      <w:r w:rsidRPr="001D3D40">
        <w:rPr>
          <w:i/>
          <w:iCs/>
          <w:color w:val="auto"/>
        </w:rPr>
        <w:t>l</w:t>
      </w:r>
      <w:r w:rsidRPr="001D3D40">
        <w:rPr>
          <w:color w:val="auto"/>
          <w:vertAlign w:val="subscript"/>
        </w:rPr>
        <w:t>t</w:t>
      </w:r>
      <w:r w:rsidRPr="001D3D40">
        <w:rPr>
          <w:color w:val="auto"/>
        </w:rPr>
        <w:t xml:space="preserve"> of the ties should satisfy Formula (I.7)</w:t>
      </w:r>
      <w:r w:rsidRPr="002144A0">
        <w:t>.</w:t>
      </w:r>
    </w:p>
    <w:p w14:paraId="1DCEF569" w14:textId="601A8C9A" w:rsidR="001D3D40" w:rsidRPr="006C09CE" w:rsidRDefault="009B5CEC" w:rsidP="001D3D40">
      <w:pPr>
        <w:pStyle w:val="Formula"/>
        <w:spacing w:before="240"/>
      </w:pPr>
      <m:oMath>
        <m:sSub>
          <m:sSubPr>
            <m:ctrlPr>
              <w:rPr>
                <w:rFonts w:ascii="Cambria Math" w:hAnsi="Cambria Math"/>
              </w:rPr>
            </m:ctrlPr>
          </m:sSubPr>
          <m:e>
            <m:r>
              <w:rPr>
                <w:rFonts w:ascii="Cambria Math" w:hAnsi="Cambria Math"/>
              </w:rPr>
              <m:t>l</m:t>
            </m:r>
          </m:e>
          <m:sub>
            <m:r>
              <m:rPr>
                <m:sty m:val="p"/>
              </m:rPr>
              <w:rPr>
                <w:rFonts w:ascii="Cambria Math" w:hAnsi="Cambria Math"/>
              </w:rPr>
              <m:t>t</m:t>
            </m:r>
          </m:sub>
        </m:sSub>
        <m:r>
          <w:rPr>
            <w:rFonts w:ascii="Cambria Math" w:hAnsi="Cambria Math"/>
          </w:rPr>
          <m:t xml:space="preserve"> ≥</m:t>
        </m:r>
        <m:sSub>
          <m:sSubPr>
            <m:ctrlPr>
              <w:rPr>
                <w:rFonts w:ascii="Cambria Math" w:hAnsi="Cambria Math"/>
              </w:rPr>
            </m:ctrlPr>
          </m:sSubPr>
          <m:e>
            <m:r>
              <w:rPr>
                <w:rFonts w:ascii="Cambria Math" w:hAnsi="Cambria Math"/>
              </w:rPr>
              <m:t>b</m:t>
            </m:r>
          </m:e>
          <m:sub>
            <m:r>
              <m:rPr>
                <m:sty m:val="p"/>
              </m:rPr>
              <w:rPr>
                <w:rFonts w:ascii="Cambria Math" w:hAnsi="Cambria Math"/>
              </w:rPr>
              <m:t>b</m:t>
            </m:r>
          </m:sub>
        </m:sSub>
        <m:r>
          <w:rPr>
            <w:rFonts w:ascii="Cambria Math" w:hAnsi="Cambria Math"/>
          </w:rPr>
          <m:t>+4</m:t>
        </m:r>
        <m:sSub>
          <m:sSubPr>
            <m:ctrlPr>
              <w:rPr>
                <w:rFonts w:ascii="Cambria Math" w:hAnsi="Cambria Math"/>
              </w:rPr>
            </m:ctrlPr>
          </m:sSubPr>
          <m:e>
            <m:r>
              <w:rPr>
                <w:rFonts w:ascii="Cambria Math" w:hAnsi="Cambria Math"/>
              </w:rPr>
              <m:t>h</m:t>
            </m:r>
          </m:e>
          <m:sub>
            <m:r>
              <m:rPr>
                <m:sty m:val="p"/>
              </m:rPr>
              <w:rPr>
                <w:rFonts w:ascii="Cambria Math" w:hAnsi="Cambria Math"/>
              </w:rPr>
              <m:t>c</m:t>
            </m:r>
          </m:sub>
        </m:sSub>
        <m:func>
          <m:funcPr>
            <m:ctrlPr>
              <w:rPr>
                <w:rFonts w:ascii="Cambria Math" w:hAnsi="Cambria Math"/>
              </w:rPr>
            </m:ctrlPr>
          </m:funcPr>
          <m:fName>
            <m:r>
              <m:rPr>
                <m:sty m:val="p"/>
              </m:rPr>
              <w:rPr>
                <w:rFonts w:ascii="Cambria Math" w:hAnsi="Cambria Math"/>
              </w:rPr>
              <m:t>tan</m:t>
            </m:r>
          </m:fName>
          <m:e>
            <m:d>
              <m:dPr>
                <m:ctrlPr>
                  <w:rPr>
                    <w:rFonts w:ascii="Cambria Math" w:hAnsi="Cambria Math"/>
                  </w:rPr>
                </m:ctrlPr>
              </m:dPr>
              <m:e>
                <m:r>
                  <w:rPr>
                    <w:rFonts w:ascii="Cambria Math" w:hAnsi="Cambria Math"/>
                  </w:rPr>
                  <m:t>θ</m:t>
                </m:r>
              </m:e>
            </m:d>
          </m:e>
        </m:func>
        <m:r>
          <w:rPr>
            <w:rFonts w:ascii="Cambria Math" w:hAnsi="Cambria Math"/>
          </w:rPr>
          <m:t>+2</m:t>
        </m:r>
        <m:sSub>
          <m:sSubPr>
            <m:ctrlPr>
              <w:rPr>
                <w:rFonts w:ascii="Cambria Math" w:hAnsi="Cambria Math"/>
              </w:rPr>
            </m:ctrlPr>
          </m:sSubPr>
          <m:e>
            <m:r>
              <w:rPr>
                <w:rFonts w:ascii="Cambria Math" w:hAnsi="Cambria Math"/>
              </w:rPr>
              <m:t>l</m:t>
            </m:r>
          </m:e>
          <m:sub>
            <m:r>
              <m:rPr>
                <m:sty m:val="p"/>
              </m:rPr>
              <w:rPr>
                <w:rFonts w:ascii="Cambria Math" w:hAnsi="Cambria Math"/>
              </w:rPr>
              <m:t>b</m:t>
            </m:r>
          </m:sub>
        </m:sSub>
      </m:oMath>
      <w:r w:rsidR="001D3D40" w:rsidRPr="006C09CE">
        <w:tab/>
        <w:t>(</w:t>
      </w:r>
      <w:r w:rsidR="001D3D40">
        <w:t>I</w:t>
      </w:r>
      <w:r w:rsidR="001D3D40" w:rsidRPr="006C09CE">
        <w:t>.</w:t>
      </w:r>
      <w:r w:rsidR="001D3D40">
        <w:t>7</w:t>
      </w:r>
      <w:r w:rsidR="001D3D40" w:rsidRPr="006C09CE">
        <w:t>)</w:t>
      </w:r>
    </w:p>
    <w:p w14:paraId="27A97C29" w14:textId="189AEBE9" w:rsidR="001D3D40" w:rsidRDefault="001D3D40" w:rsidP="009611DD">
      <w:pPr>
        <w:pStyle w:val="Text"/>
      </w:pPr>
      <w:r w:rsidRPr="00132C1E">
        <w:t>where</w:t>
      </w:r>
      <m:oMath>
        <m:r>
          <w:rPr>
            <w:rFonts w:ascii="Cambria Math" w:hAnsi="Cambria Math"/>
          </w:rPr>
          <m:t xml:space="preserve"> </m:t>
        </m:r>
        <m:sSub>
          <m:sSubPr>
            <m:ctrlPr>
              <w:rPr>
                <w:rFonts w:ascii="Cambria Math" w:hAnsi="Cambria Math"/>
                <w:i/>
              </w:rPr>
            </m:ctrlPr>
          </m:sSubPr>
          <m:e>
            <m:r>
              <w:rPr>
                <w:rFonts w:ascii="Cambria Math" w:hAnsi="Cambria Math"/>
              </w:rPr>
              <m:t>l</m:t>
            </m:r>
          </m:e>
          <m:sub>
            <m:r>
              <m:rPr>
                <m:sty m:val="p"/>
              </m:rPr>
              <w:rPr>
                <w:rFonts w:ascii="Cambria Math" w:hAnsi="Cambria Math"/>
                <w:vertAlign w:val="subscript"/>
              </w:rPr>
              <m:t>b</m:t>
            </m:r>
          </m:sub>
        </m:sSub>
      </m:oMath>
      <w:r w:rsidRPr="00132C1E">
        <w:t xml:space="preserve"> </w:t>
      </w:r>
      <w:r w:rsidRPr="00D1484A">
        <w:t xml:space="preserve">is the anchorage length of these bars in accordance </w:t>
      </w:r>
      <w:r w:rsidRPr="001D3D40">
        <w:t xml:space="preserve">with </w:t>
      </w:r>
      <w:r w:rsidR="0026060E">
        <w:t>prEN 1992-1-1:2021</w:t>
      </w:r>
      <w:r w:rsidR="00055612">
        <w:t>, 11.4.</w:t>
      </w:r>
    </w:p>
    <w:p w14:paraId="72D0DF87" w14:textId="1C37AD6D" w:rsidR="001D3D40" w:rsidRDefault="001D3D40" w:rsidP="0080187E">
      <w:pPr>
        <w:pStyle w:val="Clause"/>
        <w:numPr>
          <w:ilvl w:val="0"/>
          <w:numId w:val="246"/>
        </w:numPr>
      </w:pPr>
      <w:r w:rsidRPr="002144A0">
        <w:t xml:space="preserve">The flexural resistance of the joint should be derived from the sum </w:t>
      </w:r>
      <m:oMath>
        <m:r>
          <w:rPr>
            <w:rFonts w:ascii="Cambria Math" w:hAnsi="Cambria Math"/>
          </w:rPr>
          <m:t>Σ</m:t>
        </m:r>
        <m:sSub>
          <m:sSubPr>
            <m:ctrlPr>
              <w:rPr>
                <w:rFonts w:ascii="Cambria Math" w:hAnsi="Cambria Math"/>
                <w:i/>
              </w:rPr>
            </m:ctrlPr>
          </m:sSubPr>
          <m:e>
            <m:r>
              <w:rPr>
                <w:rFonts w:ascii="Cambria Math" w:hAnsi="Cambria Math"/>
              </w:rPr>
              <m:t>F</m:t>
            </m:r>
          </m:e>
          <m:sub>
            <m:r>
              <m:rPr>
                <m:sty m:val="p"/>
              </m:rPr>
              <w:rPr>
                <w:rFonts w:ascii="Cambria Math" w:hAnsi="Cambria Math"/>
                <w:vertAlign w:val="subscript"/>
              </w:rPr>
              <m:t>Rdi</m:t>
            </m:r>
          </m:sub>
        </m:sSub>
      </m:oMath>
      <w:r w:rsidRPr="00132C1E">
        <w:rPr>
          <w:vertAlign w:val="subscript"/>
        </w:rPr>
        <w:t xml:space="preserve"> </w:t>
      </w:r>
      <w:r w:rsidRPr="00D1484A">
        <w:t xml:space="preserve">of the reaction forces </w:t>
      </w:r>
      <m:oMath>
        <m:sSub>
          <m:sSubPr>
            <m:ctrlPr>
              <w:rPr>
                <w:rFonts w:ascii="Cambria Math" w:hAnsi="Cambria Math"/>
                <w:i/>
              </w:rPr>
            </m:ctrlPr>
          </m:sSubPr>
          <m:e>
            <m:r>
              <w:rPr>
                <w:rFonts w:ascii="Cambria Math" w:hAnsi="Cambria Math"/>
              </w:rPr>
              <m:t>F</m:t>
            </m:r>
          </m:e>
          <m:sub>
            <m:r>
              <m:rPr>
                <m:sty m:val="p"/>
              </m:rPr>
              <w:rPr>
                <w:rFonts w:ascii="Cambria Math" w:hAnsi="Cambria Math"/>
                <w:vertAlign w:val="subscript"/>
              </w:rPr>
              <m:t>Rdi</m:t>
            </m:r>
          </m:sub>
        </m:sSub>
      </m:oMath>
      <w:r w:rsidRPr="00132C1E">
        <w:rPr>
          <w:i/>
          <w:vertAlign w:val="subscript"/>
        </w:rPr>
        <w:t xml:space="preserve"> </w:t>
      </w:r>
      <w:r w:rsidRPr="00D1484A">
        <w:t>effectively available at the node.</w:t>
      </w:r>
    </w:p>
    <w:p w14:paraId="521C2152" w14:textId="1EF0BFC3" w:rsidR="001D3D40" w:rsidRPr="00D1484A" w:rsidRDefault="001D3D40" w:rsidP="0080187E">
      <w:pPr>
        <w:pStyle w:val="Clause"/>
        <w:numPr>
          <w:ilvl w:val="0"/>
          <w:numId w:val="246"/>
        </w:numPr>
      </w:pPr>
      <w:r w:rsidRPr="006A2FF0">
        <w:t xml:space="preserve">The </w:t>
      </w:r>
      <w:r w:rsidRPr="00F0481C">
        <w:t>façade steel beam</w:t>
      </w:r>
      <w:r>
        <w:t>s</w:t>
      </w:r>
      <w:r w:rsidRPr="00F0481C">
        <w:t xml:space="preserve"> and </w:t>
      </w:r>
      <w:r>
        <w:t>their</w:t>
      </w:r>
      <w:r w:rsidRPr="00F0481C">
        <w:t xml:space="preserve"> </w:t>
      </w:r>
      <w:r>
        <w:t>joi</w:t>
      </w:r>
      <w:r w:rsidRPr="00F0481C">
        <w:t>n</w:t>
      </w:r>
      <w:r>
        <w:t>t</w:t>
      </w:r>
      <w:r w:rsidRPr="00F0481C">
        <w:t xml:space="preserve">s to the column should be verified in bending, shear and torsion under the horizontal force </w:t>
      </w:r>
      <w:r w:rsidRPr="00F0481C">
        <w:rPr>
          <w:i/>
          <w:iCs/>
        </w:rPr>
        <w:t>F</w:t>
      </w:r>
      <w:r w:rsidRPr="00F0481C">
        <w:rPr>
          <w:vertAlign w:val="subscript"/>
        </w:rPr>
        <w:t>Rd3</w:t>
      </w:r>
      <w:r w:rsidRPr="00F0481C">
        <w:t xml:space="preserve"> applied at the connectors.</w:t>
      </w:r>
    </w:p>
    <w:p w14:paraId="1C373A8E" w14:textId="14F9565D" w:rsidR="001D3D40" w:rsidRDefault="001D3D40" w:rsidP="0080187E">
      <w:pPr>
        <w:pStyle w:val="Clause"/>
        <w:numPr>
          <w:ilvl w:val="0"/>
          <w:numId w:val="246"/>
        </w:numPr>
      </w:pPr>
      <w:r w:rsidRPr="00FD17CF">
        <w:t xml:space="preserve">To develop the full plastic moment of resistance of </w:t>
      </w:r>
      <w:r w:rsidRPr="00E05E29">
        <w:t>a</w:t>
      </w:r>
      <w:r w:rsidRPr="00196951">
        <w:t xml:space="preserve"> composite bea</w:t>
      </w:r>
      <w:r w:rsidRPr="001D3D40">
        <w:rPr>
          <w:color w:val="auto"/>
        </w:rPr>
        <w:t>m, Formula (I.8) should be satisfied.</w:t>
      </w:r>
    </w:p>
    <w:p w14:paraId="66CB833D" w14:textId="12494752" w:rsidR="001D3D40" w:rsidRPr="006C09CE" w:rsidRDefault="001D3D40" w:rsidP="001D3D40">
      <w:pPr>
        <w:pStyle w:val="Formula"/>
        <w:spacing w:before="240"/>
      </w:pPr>
      <m:oMath>
        <m:r>
          <w:rPr>
            <w:rFonts w:ascii="Cambria Math" w:hAnsi="Cambria Math"/>
          </w:rPr>
          <m:t>Σ</m:t>
        </m:r>
        <m:sSub>
          <m:sSubPr>
            <m:ctrlPr>
              <w:rPr>
                <w:rFonts w:ascii="Cambria Math" w:hAnsi="Cambria Math"/>
              </w:rPr>
            </m:ctrlPr>
          </m:sSubPr>
          <m:e>
            <m:r>
              <w:rPr>
                <w:rFonts w:ascii="Cambria Math" w:hAnsi="Cambria Math"/>
              </w:rPr>
              <m:t>F</m:t>
            </m:r>
          </m:e>
          <m:sub>
            <m:r>
              <m:rPr>
                <m:sty m:val="p"/>
              </m:rPr>
              <w:rPr>
                <w:rFonts w:ascii="Cambria Math" w:hAnsi="Cambria Math"/>
                <w:vertAlign w:val="subscript"/>
              </w:rPr>
              <m:t>Rdi</m:t>
            </m:r>
          </m:sub>
        </m:sSub>
        <m:r>
          <w:rPr>
            <w:rFonts w:ascii="Cambria Math" w:hAnsi="Cambria Math"/>
            <w:vertAlign w:val="subscript"/>
          </w:rPr>
          <m:t>&gt;</m:t>
        </m:r>
        <m:r>
          <w:rPr>
            <w:rFonts w:ascii="Cambria Math" w:hAnsi="Cambria Math"/>
          </w:rPr>
          <m:t>1,1</m:t>
        </m:r>
        <m:sSub>
          <m:sSubPr>
            <m:ctrlPr>
              <w:rPr>
                <w:rFonts w:ascii="Cambria Math" w:hAnsi="Cambria Math"/>
              </w:rPr>
            </m:ctrlPr>
          </m:sSubPr>
          <m:e>
            <m:r>
              <w:rPr>
                <w:rFonts w:ascii="Cambria Math" w:hAnsi="Cambria Math"/>
              </w:rPr>
              <m:t>b</m:t>
            </m:r>
          </m:e>
          <m:sub>
            <m:r>
              <m:rPr>
                <m:sty m:val="p"/>
              </m:rPr>
              <w:rPr>
                <w:rFonts w:ascii="Cambria Math" w:hAnsi="Cambria Math"/>
              </w:rPr>
              <m:t>eff</m:t>
            </m:r>
          </m:sub>
        </m:sSub>
        <m:sSub>
          <m:sSubPr>
            <m:ctrlPr>
              <w:rPr>
                <w:rFonts w:ascii="Cambria Math" w:hAnsi="Cambria Math"/>
              </w:rPr>
            </m:ctrlPr>
          </m:sSubPr>
          <m:e>
            <m:r>
              <w:rPr>
                <w:rFonts w:ascii="Cambria Math" w:hAnsi="Cambria Math"/>
              </w:rPr>
              <m:t>d</m:t>
            </m:r>
          </m:e>
          <m:sub>
            <m:r>
              <m:rPr>
                <m:sty m:val="p"/>
              </m:rPr>
              <w:rPr>
                <w:rFonts w:ascii="Cambria Math" w:hAnsi="Cambria Math"/>
              </w:rPr>
              <m:t>eff</m:t>
            </m:r>
          </m:sub>
        </m:sSub>
        <m:sSub>
          <m:sSubPr>
            <m:ctrlPr>
              <w:rPr>
                <w:rFonts w:ascii="Cambria Math" w:hAnsi="Cambria Math"/>
              </w:rPr>
            </m:ctrlPr>
          </m:sSubPr>
          <m:e>
            <m:r>
              <w:rPr>
                <w:rFonts w:ascii="Cambria Math" w:hAnsi="Cambria Math"/>
              </w:rPr>
              <m:t>f</m:t>
            </m:r>
          </m:e>
          <m:sub>
            <m:r>
              <m:rPr>
                <m:sty m:val="p"/>
              </m:rPr>
              <w:rPr>
                <w:rFonts w:ascii="Cambria Math" w:hAnsi="Cambria Math"/>
              </w:rPr>
              <m:t>cd</m:t>
            </m:r>
          </m:sub>
        </m:sSub>
      </m:oMath>
      <w:r w:rsidRPr="006C09CE">
        <w:tab/>
        <w:t>(</w:t>
      </w:r>
      <w:r>
        <w:t>I</w:t>
      </w:r>
      <w:r w:rsidRPr="006C09CE">
        <w:t>.</w:t>
      </w:r>
      <w:r w:rsidR="006B581F">
        <w:t>8</w:t>
      </w:r>
      <w:r w:rsidRPr="006C09CE">
        <w:t>)</w:t>
      </w:r>
    </w:p>
    <w:p w14:paraId="2876BB84" w14:textId="5D83E206" w:rsidR="001D3D40" w:rsidRPr="009611DD" w:rsidRDefault="001D3D40" w:rsidP="009611DD">
      <w:pPr>
        <w:pStyle w:val="Text"/>
      </w:pPr>
      <w:r w:rsidRPr="009611DD">
        <w:t>where</w:t>
      </w:r>
      <w:r w:rsidR="009611DD">
        <w:t xml:space="preserve"> </w:t>
      </w:r>
      <m:oMath>
        <m:sSub>
          <m:sSubPr>
            <m:ctrlPr>
              <w:rPr>
                <w:rFonts w:ascii="Cambria Math" w:hAnsi="Cambria Math"/>
                <w:i/>
              </w:rPr>
            </m:ctrlPr>
          </m:sSubPr>
          <m:e>
            <m:r>
              <w:rPr>
                <w:rFonts w:ascii="Cambria Math" w:hAnsi="Cambria Math"/>
              </w:rPr>
              <m:t>b</m:t>
            </m:r>
          </m:e>
          <m:sub>
            <m:r>
              <m:rPr>
                <m:sty m:val="p"/>
              </m:rPr>
              <w:rPr>
                <w:rFonts w:ascii="Cambria Math" w:hAnsi="Cambria Math"/>
              </w:rPr>
              <m:t>eff</m:t>
            </m:r>
          </m:sub>
        </m:sSub>
      </m:oMath>
      <w:r w:rsidRPr="009611DD">
        <w:t xml:space="preserve"> is the effective width in positive bending as defined in 12.8.6.2.2 and Table 12.7.</w:t>
      </w:r>
    </w:p>
    <w:p w14:paraId="5D7DA6B7" w14:textId="77777777" w:rsidR="006B581F" w:rsidRPr="002144A0" w:rsidRDefault="006B581F" w:rsidP="006B581F">
      <w:pPr>
        <w:pStyle w:val="a2"/>
      </w:pPr>
      <w:bookmarkStart w:id="11671" w:name="_Toc451590654"/>
      <w:bookmarkStart w:id="11672" w:name="_Toc451653421"/>
      <w:bookmarkStart w:id="11673" w:name="_Toc50150813"/>
      <w:bookmarkStart w:id="11674" w:name="_Toc70887246"/>
      <w:bookmarkStart w:id="11675" w:name="_Toc108342858"/>
      <w:bookmarkStart w:id="11676" w:name="_Toc134198364"/>
      <w:r w:rsidRPr="002144A0">
        <w:t>Interior columns</w:t>
      </w:r>
      <w:bookmarkEnd w:id="11671"/>
      <w:bookmarkEnd w:id="11672"/>
      <w:bookmarkEnd w:id="11673"/>
      <w:bookmarkEnd w:id="11674"/>
      <w:bookmarkEnd w:id="11675"/>
      <w:bookmarkEnd w:id="11676"/>
    </w:p>
    <w:p w14:paraId="38719AB0" w14:textId="1E1C4F64" w:rsidR="006B581F" w:rsidRPr="00E60A1F" w:rsidRDefault="006B581F" w:rsidP="0080187E">
      <w:pPr>
        <w:pStyle w:val="Clause"/>
        <w:numPr>
          <w:ilvl w:val="0"/>
          <w:numId w:val="247"/>
        </w:numPr>
      </w:pPr>
      <w:r w:rsidRPr="00E60A1F">
        <w:t xml:space="preserve">The action effect in the slab due to the bending on opposite sides of interior columns (Figure I.3a) should be calculated as the sum of the tension force </w:t>
      </w:r>
      <m:oMath>
        <m:sSub>
          <m:sSubPr>
            <m:ctrlPr>
              <w:rPr>
                <w:rFonts w:ascii="Cambria Math" w:hAnsi="Cambria Math"/>
              </w:rPr>
            </m:ctrlPr>
          </m:sSubPr>
          <m:e>
            <m:r>
              <w:rPr>
                <w:rFonts w:ascii="Cambria Math" w:hAnsi="Cambria Math"/>
              </w:rPr>
              <m:t>F</m:t>
            </m:r>
          </m:e>
          <m:sub>
            <m:r>
              <m:rPr>
                <m:sty m:val="p"/>
              </m:rPr>
              <w:rPr>
                <w:rFonts w:ascii="Cambria Math" w:hAnsi="Cambria Math"/>
              </w:rPr>
              <m:t>st</m:t>
            </m:r>
          </m:sub>
        </m:sSub>
      </m:oMath>
      <w:r w:rsidRPr="00E60A1F">
        <w:t xml:space="preserve"> in the reinforcing rebars on the negative moment side and of the compression force </w:t>
      </w:r>
      <m:oMath>
        <m:sSub>
          <m:sSubPr>
            <m:ctrlPr>
              <w:rPr>
                <w:rFonts w:ascii="Cambria Math" w:hAnsi="Cambria Math"/>
              </w:rPr>
            </m:ctrlPr>
          </m:sSubPr>
          <m:e>
            <m:r>
              <w:rPr>
                <w:rFonts w:ascii="Cambria Math" w:hAnsi="Cambria Math"/>
              </w:rPr>
              <m:t>F</m:t>
            </m:r>
          </m:e>
          <m:sub>
            <m:r>
              <m:rPr>
                <m:sty m:val="p"/>
              </m:rPr>
              <w:rPr>
                <w:rFonts w:ascii="Cambria Math" w:hAnsi="Cambria Math"/>
              </w:rPr>
              <m:t>sc</m:t>
            </m:r>
          </m:sub>
        </m:sSub>
      </m:oMath>
      <w:r w:rsidRPr="00E60A1F">
        <w:t xml:space="preserve"> in the concrete on the positive moment side using Formula (I.9).</w:t>
      </w:r>
    </w:p>
    <w:p w14:paraId="0A3551FE" w14:textId="65CF30A9" w:rsidR="006B581F" w:rsidRPr="006C09CE" w:rsidRDefault="009B5CEC" w:rsidP="006B581F">
      <w:pPr>
        <w:pStyle w:val="Formula"/>
        <w:spacing w:before="240"/>
      </w:pPr>
      <m:oMath>
        <m:sSub>
          <m:sSubPr>
            <m:ctrlPr>
              <w:rPr>
                <w:rFonts w:ascii="Cambria Math" w:hAnsi="Cambria Math"/>
              </w:rPr>
            </m:ctrlPr>
          </m:sSubPr>
          <m:e>
            <m:r>
              <w:rPr>
                <w:rFonts w:ascii="Cambria Math" w:hAnsi="Cambria Math"/>
              </w:rPr>
              <m:t>F</m:t>
            </m:r>
          </m:e>
          <m:sub>
            <m:r>
              <m:rPr>
                <m:sty m:val="p"/>
              </m:rPr>
              <w:rPr>
                <w:rFonts w:ascii="Cambria Math" w:hAnsi="Cambria Math"/>
              </w:rPr>
              <m:t>st</m:t>
            </m:r>
          </m:sub>
        </m:sSub>
        <m:r>
          <w:rPr>
            <w:rFonts w:ascii="Cambria Math" w:hAnsi="Cambria Math"/>
          </w:rPr>
          <m:t>+</m:t>
        </m:r>
        <m:sSub>
          <m:sSubPr>
            <m:ctrlPr>
              <w:rPr>
                <w:rFonts w:ascii="Cambria Math" w:hAnsi="Cambria Math"/>
              </w:rPr>
            </m:ctrlPr>
          </m:sSubPr>
          <m:e>
            <m:r>
              <w:rPr>
                <w:rFonts w:ascii="Cambria Math" w:hAnsi="Cambria Math"/>
              </w:rPr>
              <m:t>F</m:t>
            </m:r>
          </m:e>
          <m:sub>
            <m:r>
              <m:rPr>
                <m:sty m:val="p"/>
              </m:rPr>
              <w:rPr>
                <w:rFonts w:ascii="Cambria Math" w:hAnsi="Cambria Math"/>
              </w:rPr>
              <m:t>sc</m:t>
            </m:r>
          </m:sub>
        </m:sSub>
        <m:r>
          <w:rPr>
            <w:rFonts w:ascii="Cambria Math" w:hAnsi="Cambria Math"/>
          </w:rPr>
          <m:t>=</m:t>
        </m:r>
        <m:sSub>
          <m:sSubPr>
            <m:ctrlPr>
              <w:rPr>
                <w:rFonts w:ascii="Cambria Math" w:hAnsi="Cambria Math"/>
              </w:rPr>
            </m:ctrlPr>
          </m:sSubPr>
          <m:e>
            <m:r>
              <w:rPr>
                <w:rFonts w:ascii="Cambria Math" w:hAnsi="Cambria Math"/>
              </w:rPr>
              <m:t>A</m:t>
            </m:r>
          </m:e>
          <m:sub>
            <m:r>
              <m:rPr>
                <m:sty m:val="p"/>
              </m:rPr>
              <w:rPr>
                <w:rFonts w:ascii="Cambria Math" w:hAnsi="Cambria Math"/>
              </w:rPr>
              <m:t>s</m:t>
            </m:r>
          </m:sub>
        </m:sSub>
        <m:sSub>
          <m:sSubPr>
            <m:ctrlPr>
              <w:rPr>
                <w:rFonts w:ascii="Cambria Math" w:hAnsi="Cambria Math"/>
              </w:rPr>
            </m:ctrlPr>
          </m:sSubPr>
          <m:e>
            <m:r>
              <w:rPr>
                <w:rFonts w:ascii="Cambria Math" w:hAnsi="Cambria Math"/>
              </w:rPr>
              <m:t>f</m:t>
            </m:r>
          </m:e>
          <m:sub>
            <m:r>
              <m:rPr>
                <m:sty m:val="p"/>
              </m:rPr>
              <w:rPr>
                <w:rFonts w:ascii="Cambria Math" w:hAnsi="Cambria Math"/>
              </w:rPr>
              <m:t>yd</m:t>
            </m:r>
          </m:sub>
        </m:sSub>
        <m:r>
          <w:rPr>
            <w:rFonts w:ascii="Cambria Math" w:hAnsi="Cambria Math"/>
          </w:rPr>
          <m:t>+</m:t>
        </m:r>
        <m:sSub>
          <m:sSubPr>
            <m:ctrlPr>
              <w:rPr>
                <w:rFonts w:ascii="Cambria Math" w:hAnsi="Cambria Math"/>
              </w:rPr>
            </m:ctrlPr>
          </m:sSubPr>
          <m:e>
            <m:r>
              <w:rPr>
                <w:rFonts w:ascii="Cambria Math" w:hAnsi="Cambria Math"/>
              </w:rPr>
              <m:t>b</m:t>
            </m:r>
          </m:e>
          <m:sub>
            <m:r>
              <m:rPr>
                <m:sty m:val="p"/>
              </m:rPr>
              <w:rPr>
                <w:rFonts w:ascii="Cambria Math" w:hAnsi="Cambria Math"/>
              </w:rPr>
              <m:t>eff</m:t>
            </m:r>
          </m:sub>
        </m:sSub>
        <m:sSub>
          <m:sSubPr>
            <m:ctrlPr>
              <w:rPr>
                <w:rFonts w:ascii="Cambria Math" w:hAnsi="Cambria Math"/>
              </w:rPr>
            </m:ctrlPr>
          </m:sSubPr>
          <m:e>
            <m:r>
              <w:rPr>
                <w:rFonts w:ascii="Cambria Math" w:hAnsi="Cambria Math"/>
              </w:rPr>
              <m:t>d</m:t>
            </m:r>
          </m:e>
          <m:sub>
            <m:r>
              <m:rPr>
                <m:sty m:val="p"/>
              </m:rPr>
              <w:rPr>
                <w:rFonts w:ascii="Cambria Math" w:hAnsi="Cambria Math"/>
              </w:rPr>
              <m:t>eff</m:t>
            </m:r>
          </m:sub>
        </m:sSub>
        <m:sSub>
          <m:sSubPr>
            <m:ctrlPr>
              <w:rPr>
                <w:rFonts w:ascii="Cambria Math" w:hAnsi="Cambria Math"/>
              </w:rPr>
            </m:ctrlPr>
          </m:sSubPr>
          <m:e>
            <m:r>
              <w:rPr>
                <w:rFonts w:ascii="Cambria Math" w:hAnsi="Cambria Math"/>
              </w:rPr>
              <m:t>f</m:t>
            </m:r>
          </m:e>
          <m:sub>
            <m:r>
              <m:rPr>
                <m:sty m:val="p"/>
              </m:rPr>
              <w:rPr>
                <w:rFonts w:ascii="Cambria Math" w:hAnsi="Cambria Math"/>
              </w:rPr>
              <m:t>cd</m:t>
            </m:r>
          </m:sub>
        </m:sSub>
      </m:oMath>
      <w:r w:rsidR="006B581F" w:rsidRPr="006C09CE">
        <w:tab/>
        <w:t>(</w:t>
      </w:r>
      <w:r w:rsidR="006B581F">
        <w:t>I</w:t>
      </w:r>
      <w:r w:rsidR="006B581F" w:rsidRPr="006C09CE">
        <w:t>.</w:t>
      </w:r>
      <w:r w:rsidR="006B581F">
        <w:t>9</w:t>
      </w:r>
      <w:r w:rsidR="006B581F" w:rsidRPr="006C09CE">
        <w:t>)</w:t>
      </w:r>
    </w:p>
    <w:p w14:paraId="3A973937" w14:textId="69DD9C8F" w:rsidR="006B581F" w:rsidRDefault="00675EBA" w:rsidP="009611DD">
      <w:pPr>
        <w:pStyle w:val="Text"/>
      </w:pPr>
      <w:r>
        <w:t>where</w:t>
      </w:r>
    </w:p>
    <w:tbl>
      <w:tblPr>
        <w:tblW w:w="0" w:type="auto"/>
        <w:tblInd w:w="346" w:type="dxa"/>
        <w:tblLook w:val="04A0" w:firstRow="1" w:lastRow="0" w:firstColumn="1" w:lastColumn="0" w:noHBand="0" w:noVBand="1"/>
      </w:tblPr>
      <w:tblGrid>
        <w:gridCol w:w="1275"/>
        <w:gridCol w:w="7938"/>
      </w:tblGrid>
      <w:tr w:rsidR="006B581F" w:rsidRPr="00FF1786" w14:paraId="3C269643" w14:textId="77777777" w:rsidTr="002B6C5C">
        <w:tc>
          <w:tcPr>
            <w:tcW w:w="1275" w:type="dxa"/>
          </w:tcPr>
          <w:p w14:paraId="567AD8CF" w14:textId="32E42C30" w:rsidR="006B581F" w:rsidRPr="00460668" w:rsidRDefault="009B5CEC" w:rsidP="002061E5">
            <w:pPr>
              <w:spacing w:after="60"/>
              <w:rPr>
                <w:rFonts w:eastAsia="Times New Roman" w:cs="Cambria"/>
                <w:szCs w:val="20"/>
                <w:lang w:eastAsia="fr-FR"/>
              </w:rPr>
            </w:pPr>
            <m:oMathPara>
              <m:oMathParaPr>
                <m:jc m:val="left"/>
              </m:oMathParaPr>
              <m:oMath>
                <m:sSub>
                  <m:sSubPr>
                    <m:ctrlPr>
                      <w:rPr>
                        <w:rFonts w:ascii="Cambria Math" w:hAnsi="Cambria Math"/>
                        <w:i/>
                      </w:rPr>
                    </m:ctrlPr>
                  </m:sSubPr>
                  <m:e>
                    <m:r>
                      <w:rPr>
                        <w:rFonts w:ascii="Cambria Math" w:hAnsi="Cambria Math"/>
                      </w:rPr>
                      <m:t>A</m:t>
                    </m:r>
                  </m:e>
                  <m:sub>
                    <m:r>
                      <m:rPr>
                        <m:sty m:val="p"/>
                      </m:rPr>
                      <w:rPr>
                        <w:rFonts w:ascii="Cambria Math" w:hAnsi="Cambria Math"/>
                        <w:vertAlign w:val="subscript"/>
                      </w:rPr>
                      <m:t>s</m:t>
                    </m:r>
                  </m:sub>
                </m:sSub>
              </m:oMath>
            </m:oMathPara>
          </w:p>
        </w:tc>
        <w:tc>
          <w:tcPr>
            <w:tcW w:w="7938" w:type="dxa"/>
          </w:tcPr>
          <w:p w14:paraId="41DC5145" w14:textId="463013F5" w:rsidR="006B581F" w:rsidRPr="006B581F" w:rsidRDefault="006B581F" w:rsidP="002061E5">
            <w:pPr>
              <w:pStyle w:val="Listofsymbols"/>
              <w:tabs>
                <w:tab w:val="clear" w:pos="1134"/>
                <w:tab w:val="left" w:pos="2481"/>
              </w:tabs>
              <w:ind w:left="0" w:firstLine="0"/>
              <w:rPr>
                <w:szCs w:val="22"/>
              </w:rPr>
            </w:pPr>
            <w:r w:rsidRPr="006B581F">
              <w:t>is the area of bars in the effective width;</w:t>
            </w:r>
          </w:p>
        </w:tc>
      </w:tr>
      <w:tr w:rsidR="006B581F" w:rsidRPr="00FF1786" w14:paraId="641B9C73" w14:textId="77777777" w:rsidTr="002B6C5C">
        <w:tc>
          <w:tcPr>
            <w:tcW w:w="1275" w:type="dxa"/>
          </w:tcPr>
          <w:p w14:paraId="2F5F6C25" w14:textId="576C104A" w:rsidR="006B581F" w:rsidRPr="00A47E27" w:rsidRDefault="009B5CEC" w:rsidP="002061E5">
            <w:pPr>
              <w:spacing w:after="60"/>
              <w:rPr>
                <w:sz w:val="20"/>
                <w:lang w:eastAsia="de-DE"/>
              </w:rPr>
            </w:pPr>
            <m:oMathPara>
              <m:oMathParaPr>
                <m:jc m:val="left"/>
              </m:oMathParaPr>
              <m:oMath>
                <m:sSub>
                  <m:sSubPr>
                    <m:ctrlPr>
                      <w:rPr>
                        <w:rFonts w:ascii="Cambria Math" w:hAnsi="Cambria Math"/>
                        <w:i/>
                      </w:rPr>
                    </m:ctrlPr>
                  </m:sSubPr>
                  <m:e>
                    <m:r>
                      <w:rPr>
                        <w:rFonts w:ascii="Cambria Math" w:hAnsi="Cambria Math"/>
                      </w:rPr>
                      <m:t>b</m:t>
                    </m:r>
                  </m:e>
                  <m:sub>
                    <m:r>
                      <m:rPr>
                        <m:sty m:val="p"/>
                      </m:rPr>
                      <w:rPr>
                        <w:rFonts w:ascii="Cambria Math" w:hAnsi="Cambria Math"/>
                        <w:vertAlign w:val="subscript"/>
                      </w:rPr>
                      <m:t>eff</m:t>
                    </m:r>
                  </m:sub>
                </m:sSub>
              </m:oMath>
            </m:oMathPara>
          </w:p>
        </w:tc>
        <w:tc>
          <w:tcPr>
            <w:tcW w:w="7938" w:type="dxa"/>
          </w:tcPr>
          <w:p w14:paraId="7AC49F2E" w14:textId="3D1B4A09" w:rsidR="006B581F" w:rsidRPr="006B581F" w:rsidRDefault="006B581F" w:rsidP="002061E5">
            <w:pPr>
              <w:pStyle w:val="Listofsymbols"/>
              <w:tabs>
                <w:tab w:val="clear" w:pos="1134"/>
                <w:tab w:val="left" w:pos="2481"/>
              </w:tabs>
              <w:ind w:left="0" w:firstLine="0"/>
            </w:pPr>
            <w:r w:rsidRPr="006B581F">
              <w:t xml:space="preserve">is the effective width in positive bending </w:t>
            </w:r>
            <w:r w:rsidRPr="009611DD">
              <w:t>given in 12.8.6.2.2 and Table 12.7</w:t>
            </w:r>
            <w:r w:rsidRPr="006B581F">
              <w:t>.</w:t>
            </w:r>
          </w:p>
        </w:tc>
      </w:tr>
    </w:tbl>
    <w:p w14:paraId="350D1D6D" w14:textId="57232969" w:rsidR="006B581F" w:rsidRPr="00A8381A" w:rsidRDefault="006B581F" w:rsidP="0080187E">
      <w:pPr>
        <w:pStyle w:val="Clause"/>
        <w:numPr>
          <w:ilvl w:val="0"/>
          <w:numId w:val="247"/>
        </w:numPr>
      </w:pPr>
      <w:r w:rsidRPr="00A8381A">
        <w:t xml:space="preserve">The reaction forces </w:t>
      </w:r>
      <w:r w:rsidRPr="00A8381A">
        <w:rPr>
          <w:i/>
          <w:iCs/>
        </w:rPr>
        <w:t>F</w:t>
      </w:r>
      <w:r w:rsidRPr="00A8381A">
        <w:rPr>
          <w:vertAlign w:val="subscript"/>
        </w:rPr>
        <w:t>Rd1</w:t>
      </w:r>
      <w:r w:rsidRPr="00A8381A">
        <w:t xml:space="preserve">, </w:t>
      </w:r>
      <w:r w:rsidRPr="00A8381A">
        <w:rPr>
          <w:i/>
          <w:iCs/>
        </w:rPr>
        <w:t>F</w:t>
      </w:r>
      <w:r w:rsidRPr="00A8381A">
        <w:rPr>
          <w:vertAlign w:val="subscript"/>
        </w:rPr>
        <w:t>Rd2</w:t>
      </w:r>
      <w:r w:rsidRPr="00A8381A">
        <w:t xml:space="preserve"> and F</w:t>
      </w:r>
      <w:r w:rsidRPr="00A8381A">
        <w:rPr>
          <w:vertAlign w:val="subscript"/>
        </w:rPr>
        <w:t>Rd3</w:t>
      </w:r>
      <w:r w:rsidRPr="00A8381A">
        <w:t xml:space="preserve"> </w:t>
      </w:r>
      <w:r w:rsidRPr="006B581F">
        <w:rPr>
          <w:color w:val="auto"/>
        </w:rPr>
        <w:t xml:space="preserve">defined in </w:t>
      </w:r>
      <w:r w:rsidRPr="00B00B3D">
        <w:rPr>
          <w:color w:val="auto"/>
        </w:rPr>
        <w:t>I.4(2)</w:t>
      </w:r>
      <w:r w:rsidRPr="006B581F">
        <w:rPr>
          <w:color w:val="auto"/>
        </w:rPr>
        <w:t xml:space="preserve"> may </w:t>
      </w:r>
      <w:r w:rsidRPr="00A8381A">
        <w:t>be used to provide resistance to the slab compression forces on the positive moment side and to the tension force of the slab reinforcement on the negative moment side.</w:t>
      </w:r>
    </w:p>
    <w:p w14:paraId="532EB1B1" w14:textId="769E7AF2" w:rsidR="006B581F" w:rsidRDefault="006B581F" w:rsidP="0080187E">
      <w:pPr>
        <w:pStyle w:val="Clause"/>
        <w:numPr>
          <w:ilvl w:val="0"/>
          <w:numId w:val="247"/>
        </w:numPr>
      </w:pPr>
      <w:r w:rsidRPr="00A8381A">
        <w:t xml:space="preserve">The number of connectors, </w:t>
      </w:r>
      <w:r w:rsidRPr="00A8381A">
        <w:rPr>
          <w:i/>
          <w:iCs/>
        </w:rPr>
        <w:t>n</w:t>
      </w:r>
      <w:r w:rsidRPr="00A8381A">
        <w:t xml:space="preserve">, for calculating </w:t>
      </w:r>
      <w:r w:rsidRPr="00A8381A">
        <w:rPr>
          <w:i/>
          <w:iCs/>
        </w:rPr>
        <w:t>F</w:t>
      </w:r>
      <w:r w:rsidRPr="00A8381A">
        <w:rPr>
          <w:vertAlign w:val="subscript"/>
        </w:rPr>
        <w:t>Rd3</w:t>
      </w:r>
      <w:r w:rsidRPr="00A8381A">
        <w:t xml:space="preserve"> should be taken as the number within the effective width for negative or positive bending, whichever is greater.</w:t>
      </w:r>
    </w:p>
    <w:p w14:paraId="4163BE00" w14:textId="0965FED9" w:rsidR="006B581F" w:rsidRPr="00A8381A" w:rsidRDefault="006B581F" w:rsidP="0080187E">
      <w:pPr>
        <w:pStyle w:val="Clause"/>
        <w:numPr>
          <w:ilvl w:val="0"/>
          <w:numId w:val="247"/>
        </w:numPr>
      </w:pPr>
      <w:r>
        <w:t xml:space="preserve">The </w:t>
      </w:r>
      <w:r w:rsidRPr="00F0481C">
        <w:t>transverse steel beam</w:t>
      </w:r>
      <w:r>
        <w:t>s</w:t>
      </w:r>
      <w:r w:rsidRPr="00F0481C">
        <w:t xml:space="preserve"> and </w:t>
      </w:r>
      <w:r>
        <w:t>their joints</w:t>
      </w:r>
      <w:r w:rsidRPr="00F0481C">
        <w:t xml:space="preserve"> to the column should be verified in bending, shear and torsion under the horizontal force </w:t>
      </w:r>
      <w:r w:rsidRPr="00F0481C">
        <w:rPr>
          <w:i/>
          <w:iCs/>
        </w:rPr>
        <w:t>F</w:t>
      </w:r>
      <w:r w:rsidRPr="00F0481C">
        <w:rPr>
          <w:vertAlign w:val="subscript"/>
        </w:rPr>
        <w:t>Rd3</w:t>
      </w:r>
      <w:r w:rsidRPr="00F0481C">
        <w:t xml:space="preserve"> applied at the connectors.</w:t>
      </w:r>
    </w:p>
    <w:p w14:paraId="2A7CD2A7" w14:textId="6221C7FE" w:rsidR="006B581F" w:rsidRPr="00A8381A" w:rsidRDefault="006B581F" w:rsidP="0080187E">
      <w:pPr>
        <w:pStyle w:val="Clause"/>
        <w:numPr>
          <w:ilvl w:val="0"/>
          <w:numId w:val="247"/>
        </w:numPr>
      </w:pPr>
      <w:r w:rsidRPr="00A8381A">
        <w:t xml:space="preserve">The area </w:t>
      </w:r>
      <w:r w:rsidRPr="00A8381A">
        <w:rPr>
          <w:i/>
          <w:iCs/>
        </w:rPr>
        <w:t>A</w:t>
      </w:r>
      <w:r w:rsidRPr="00A8381A">
        <w:rPr>
          <w:vertAlign w:val="subscript"/>
        </w:rPr>
        <w:t>T</w:t>
      </w:r>
      <w:r w:rsidRPr="00A8381A">
        <w:t xml:space="preserve"> of tension-ties (see Figure I.3c) should comply </w:t>
      </w:r>
      <w:r w:rsidRPr="006B581F">
        <w:rPr>
          <w:color w:val="auto"/>
        </w:rPr>
        <w:t xml:space="preserve">with </w:t>
      </w:r>
      <w:r w:rsidRPr="00B00B3D">
        <w:rPr>
          <w:color w:val="auto"/>
        </w:rPr>
        <w:t>I.4(5)</w:t>
      </w:r>
      <w:r w:rsidRPr="006B581F">
        <w:rPr>
          <w:color w:val="auto"/>
        </w:rPr>
        <w:t xml:space="preserve"> and </w:t>
      </w:r>
      <w:r w:rsidRPr="00B00B3D">
        <w:rPr>
          <w:color w:val="auto"/>
        </w:rPr>
        <w:t>(6)</w:t>
      </w:r>
      <w:r w:rsidRPr="00A8381A">
        <w:t>.</w:t>
      </w:r>
    </w:p>
    <w:p w14:paraId="11AA238B" w14:textId="3370CC9A" w:rsidR="006B581F" w:rsidRDefault="006B581F" w:rsidP="0080187E">
      <w:pPr>
        <w:pStyle w:val="Clause"/>
        <w:numPr>
          <w:ilvl w:val="0"/>
          <w:numId w:val="247"/>
        </w:numPr>
      </w:pPr>
      <w:r w:rsidRPr="00A8381A">
        <w:t>To develop the plastic moment resistance of a composite beam, Formula (I.10) should be verified.</w:t>
      </w:r>
    </w:p>
    <w:p w14:paraId="57F5B6EC" w14:textId="5F22340E" w:rsidR="006B581F" w:rsidRPr="006C09CE" w:rsidRDefault="009B5CEC" w:rsidP="006B581F">
      <w:pPr>
        <w:pStyle w:val="Formula"/>
        <w:spacing w:before="240"/>
      </w:pPr>
      <m:oMath>
        <m:sSub>
          <m:sSubPr>
            <m:ctrlPr>
              <w:rPr>
                <w:rFonts w:ascii="Cambria Math" w:hAnsi="Cambria Math"/>
              </w:rPr>
            </m:ctrlPr>
          </m:sSubPr>
          <m:e>
            <m:r>
              <w:rPr>
                <w:rFonts w:ascii="Cambria Math" w:hAnsi="Cambria Math"/>
              </w:rPr>
              <m:t>ΣF</m:t>
            </m:r>
          </m:e>
          <m:sub>
            <m:r>
              <m:rPr>
                <m:sty m:val="p"/>
              </m:rPr>
              <w:rPr>
                <w:rFonts w:ascii="Cambria Math" w:hAnsi="Cambria Math"/>
              </w:rPr>
              <m:t>Rdi</m:t>
            </m:r>
          </m:sub>
        </m:sSub>
        <m:r>
          <w:rPr>
            <w:rFonts w:ascii="Cambria Math" w:hAnsi="Cambria Math"/>
          </w:rPr>
          <m:t>&gt;1,1</m:t>
        </m:r>
        <m:d>
          <m:dPr>
            <m:ctrlPr>
              <w:rPr>
                <w:rFonts w:ascii="Cambria Math" w:hAnsi="Cambria Math"/>
              </w:rPr>
            </m:ctrlPr>
          </m:dPr>
          <m:e>
            <m:sSub>
              <m:sSubPr>
                <m:ctrlPr>
                  <w:rPr>
                    <w:rFonts w:ascii="Cambria Math" w:hAnsi="Cambria Math"/>
                  </w:rPr>
                </m:ctrlPr>
              </m:sSubPr>
              <m:e>
                <m:r>
                  <w:rPr>
                    <w:rFonts w:ascii="Cambria Math" w:hAnsi="Cambria Math"/>
                  </w:rPr>
                  <m:t>b</m:t>
                </m:r>
              </m:e>
              <m:sub>
                <m:r>
                  <m:rPr>
                    <m:sty m:val="p"/>
                  </m:rPr>
                  <w:rPr>
                    <w:rFonts w:ascii="Cambria Math" w:hAnsi="Cambria Math"/>
                  </w:rPr>
                  <m:t>eff</m:t>
                </m:r>
              </m:sub>
            </m:sSub>
            <m:sSub>
              <m:sSubPr>
                <m:ctrlPr>
                  <w:rPr>
                    <w:rFonts w:ascii="Cambria Math" w:hAnsi="Cambria Math"/>
                  </w:rPr>
                </m:ctrlPr>
              </m:sSubPr>
              <m:e>
                <m:r>
                  <w:rPr>
                    <w:rFonts w:ascii="Cambria Math" w:hAnsi="Cambria Math"/>
                  </w:rPr>
                  <m:t>d</m:t>
                </m:r>
              </m:e>
              <m:sub>
                <m:r>
                  <m:rPr>
                    <m:sty m:val="p"/>
                  </m:rPr>
                  <w:rPr>
                    <w:rFonts w:ascii="Cambria Math" w:hAnsi="Cambria Math"/>
                  </w:rPr>
                  <m:t>eff</m:t>
                </m:r>
              </m:sub>
            </m:sSub>
            <m:sSub>
              <m:sSubPr>
                <m:ctrlPr>
                  <w:rPr>
                    <w:rFonts w:ascii="Cambria Math" w:hAnsi="Cambria Math"/>
                  </w:rPr>
                </m:ctrlPr>
              </m:sSubPr>
              <m:e>
                <m:r>
                  <w:rPr>
                    <w:rFonts w:ascii="Cambria Math" w:hAnsi="Cambria Math"/>
                  </w:rPr>
                  <m:t>f</m:t>
                </m:r>
              </m:e>
              <m:sub>
                <m:r>
                  <m:rPr>
                    <m:sty m:val="p"/>
                  </m:rPr>
                  <w:rPr>
                    <w:rFonts w:ascii="Cambria Math" w:hAnsi="Cambria Math"/>
                  </w:rPr>
                  <m:t>cd</m:t>
                </m:r>
              </m:sub>
            </m:sSub>
            <m:r>
              <w:rPr>
                <w:rFonts w:ascii="Cambria Math" w:hAnsi="Cambria Math"/>
              </w:rPr>
              <m:t>+</m:t>
            </m:r>
            <m:sSub>
              <m:sSubPr>
                <m:ctrlPr>
                  <w:rPr>
                    <w:rFonts w:ascii="Cambria Math" w:hAnsi="Cambria Math"/>
                  </w:rPr>
                </m:ctrlPr>
              </m:sSubPr>
              <m:e>
                <m:r>
                  <w:rPr>
                    <w:rFonts w:ascii="Cambria Math" w:hAnsi="Cambria Math"/>
                  </w:rPr>
                  <m:t>A</m:t>
                </m:r>
              </m:e>
              <m:sub>
                <m:r>
                  <m:rPr>
                    <m:sty m:val="p"/>
                  </m:rPr>
                  <w:rPr>
                    <w:rFonts w:ascii="Cambria Math" w:hAnsi="Cambria Math"/>
                  </w:rPr>
                  <m:t>s</m:t>
                </m:r>
              </m:sub>
            </m:sSub>
            <m:sSub>
              <m:sSubPr>
                <m:ctrlPr>
                  <w:rPr>
                    <w:rFonts w:ascii="Cambria Math" w:hAnsi="Cambria Math"/>
                  </w:rPr>
                </m:ctrlPr>
              </m:sSubPr>
              <m:e>
                <m:r>
                  <w:rPr>
                    <w:rFonts w:ascii="Cambria Math" w:hAnsi="Cambria Math"/>
                  </w:rPr>
                  <m:t>f</m:t>
                </m:r>
              </m:e>
              <m:sub>
                <m:r>
                  <m:rPr>
                    <m:sty m:val="p"/>
                  </m:rPr>
                  <w:rPr>
                    <w:rFonts w:ascii="Cambria Math" w:hAnsi="Cambria Math"/>
                  </w:rPr>
                  <m:t>yd</m:t>
                </m:r>
              </m:sub>
            </m:sSub>
          </m:e>
        </m:d>
      </m:oMath>
      <w:r w:rsidR="006B581F" w:rsidRPr="006C09CE">
        <w:tab/>
        <w:t>(</w:t>
      </w:r>
      <w:r w:rsidR="006B581F">
        <w:t>I</w:t>
      </w:r>
      <w:r w:rsidR="006B581F" w:rsidRPr="006C09CE">
        <w:t>.</w:t>
      </w:r>
      <w:r w:rsidR="006B581F">
        <w:t>10</w:t>
      </w:r>
      <w:r w:rsidR="006B581F" w:rsidRPr="006C09CE">
        <w:t>)</w:t>
      </w:r>
    </w:p>
    <w:p w14:paraId="087756ED" w14:textId="4D0C2AF3" w:rsidR="006B581F" w:rsidRPr="009611DD" w:rsidRDefault="006B581F" w:rsidP="009611DD">
      <w:pPr>
        <w:pStyle w:val="Text"/>
      </w:pPr>
      <w:r w:rsidRPr="009611DD">
        <w:t>where</w:t>
      </w:r>
      <m:oMath>
        <m:sSub>
          <m:sSubPr>
            <m:ctrlPr>
              <w:rPr>
                <w:rFonts w:ascii="Cambria Math" w:hAnsi="Cambria Math"/>
              </w:rPr>
            </m:ctrlPr>
          </m:sSubPr>
          <m:e>
            <m:r>
              <w:rPr>
                <w:rFonts w:ascii="Cambria Math" w:hAnsi="Cambria Math"/>
              </w:rPr>
              <m:t xml:space="preserve"> b</m:t>
            </m:r>
          </m:e>
          <m:sub>
            <m:r>
              <m:rPr>
                <m:sty m:val="p"/>
              </m:rPr>
              <w:rPr>
                <w:rFonts w:ascii="Cambria Math" w:hAnsi="Cambria Math"/>
              </w:rPr>
              <m:t>eff</m:t>
            </m:r>
          </m:sub>
        </m:sSub>
      </m:oMath>
      <w:r w:rsidRPr="009611DD">
        <w:t xml:space="preserve"> is the effective width in positive bending specified in 12.8.6.2.2 and Table 12.7.</w:t>
      </w:r>
    </w:p>
    <w:p w14:paraId="5250138E" w14:textId="4485ED89" w:rsidR="006B581F" w:rsidRDefault="001040D5" w:rsidP="001040D5">
      <w:pPr>
        <w:pStyle w:val="FigureImage"/>
      </w:pPr>
      <w:bookmarkStart w:id="11677" w:name="_Toc532351370"/>
      <w:r>
        <w:rPr>
          <w:noProof/>
        </w:rPr>
        <w:drawing>
          <wp:inline distT="0" distB="0" distL="0" distR="0" wp14:anchorId="60F673B7" wp14:editId="79EEADFD">
            <wp:extent cx="5940562" cy="6592835"/>
            <wp:effectExtent l="0" t="0" r="3175" b="0"/>
            <wp:docPr id="51" name="i003.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i003.tiff"/>
                    <pic:cNvPicPr/>
                  </pic:nvPicPr>
                  <pic:blipFill>
                    <a:blip r:link="rId133"/>
                    <a:stretch>
                      <a:fillRect/>
                    </a:stretch>
                  </pic:blipFill>
                  <pic:spPr>
                    <a:xfrm>
                      <a:off x="0" y="0"/>
                      <a:ext cx="5940562" cy="6592835"/>
                    </a:xfrm>
                    <a:prstGeom prst="rect">
                      <a:avLst/>
                    </a:prstGeom>
                  </pic:spPr>
                </pic:pic>
              </a:graphicData>
            </a:graphic>
          </wp:inline>
        </w:drawing>
      </w:r>
    </w:p>
    <w:p w14:paraId="650AFE3C" w14:textId="77777777" w:rsidR="006B581F" w:rsidRPr="00D1484A" w:rsidRDefault="006B581F" w:rsidP="001040D5">
      <w:pPr>
        <w:pStyle w:val="KeyTitle"/>
      </w:pPr>
      <w:r w:rsidRPr="00132C1E">
        <w:t>Key</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
        <w:gridCol w:w="2889"/>
        <w:gridCol w:w="425"/>
        <w:gridCol w:w="5670"/>
      </w:tblGrid>
      <w:tr w:rsidR="002B6C5C" w:rsidRPr="00132C1E" w14:paraId="5DA6A616" w14:textId="5E4FDF3D" w:rsidTr="002B6C5C">
        <w:tc>
          <w:tcPr>
            <w:tcW w:w="480" w:type="dxa"/>
          </w:tcPr>
          <w:p w14:paraId="056A8061" w14:textId="77777777" w:rsidR="002B6C5C" w:rsidRPr="00FE71E5" w:rsidRDefault="002B6C5C" w:rsidP="002B6C5C">
            <w:pPr>
              <w:pStyle w:val="KeyText"/>
              <w:spacing w:before="0"/>
              <w:rPr>
                <w:iCs/>
              </w:rPr>
            </w:pPr>
            <w:r w:rsidRPr="00FE71E5">
              <w:rPr>
                <w:iCs/>
              </w:rPr>
              <w:t>A</w:t>
            </w:r>
          </w:p>
        </w:tc>
        <w:tc>
          <w:tcPr>
            <w:tcW w:w="2889" w:type="dxa"/>
          </w:tcPr>
          <w:p w14:paraId="61CBAC87" w14:textId="16F2338C" w:rsidR="002B6C5C" w:rsidRPr="00FE71E5" w:rsidRDefault="002B6C5C" w:rsidP="002B6C5C">
            <w:pPr>
              <w:pStyle w:val="KeyText"/>
              <w:spacing w:before="0"/>
            </w:pPr>
            <w:r w:rsidRPr="00FE71E5">
              <w:t>main beam</w:t>
            </w:r>
          </w:p>
        </w:tc>
        <w:tc>
          <w:tcPr>
            <w:tcW w:w="425" w:type="dxa"/>
          </w:tcPr>
          <w:p w14:paraId="7F769347" w14:textId="45ACB237" w:rsidR="002B6C5C" w:rsidRPr="00FE71E5" w:rsidRDefault="002B6C5C" w:rsidP="002B6C5C">
            <w:pPr>
              <w:pStyle w:val="KeyText"/>
              <w:spacing w:before="0"/>
            </w:pPr>
            <w:r w:rsidRPr="00FE71E5">
              <w:rPr>
                <w:iCs/>
              </w:rPr>
              <w:t>E</w:t>
            </w:r>
          </w:p>
        </w:tc>
        <w:tc>
          <w:tcPr>
            <w:tcW w:w="5670" w:type="dxa"/>
          </w:tcPr>
          <w:p w14:paraId="39341741" w14:textId="0D3DCC50" w:rsidR="002B6C5C" w:rsidRPr="00FE71E5" w:rsidRDefault="002B6C5C" w:rsidP="002B6C5C">
            <w:pPr>
              <w:pStyle w:val="KeyText"/>
              <w:spacing w:before="0"/>
            </w:pPr>
            <w:r w:rsidRPr="00FE71E5" w:rsidDel="008D55D4">
              <w:t>additional device fixed to the column for bearing</w:t>
            </w:r>
          </w:p>
        </w:tc>
      </w:tr>
      <w:tr w:rsidR="002B6C5C" w:rsidRPr="00132C1E" w14:paraId="73414965" w14:textId="1E6CE844" w:rsidTr="002B6C5C">
        <w:tc>
          <w:tcPr>
            <w:tcW w:w="480" w:type="dxa"/>
          </w:tcPr>
          <w:p w14:paraId="5D3E7B2C" w14:textId="77777777" w:rsidR="002B6C5C" w:rsidRPr="00FE71E5" w:rsidRDefault="002B6C5C" w:rsidP="002B6C5C">
            <w:pPr>
              <w:pStyle w:val="KeyText"/>
              <w:spacing w:before="0"/>
              <w:rPr>
                <w:iCs/>
              </w:rPr>
            </w:pPr>
            <w:r w:rsidRPr="00FE71E5">
              <w:rPr>
                <w:iCs/>
              </w:rPr>
              <w:t>B</w:t>
            </w:r>
          </w:p>
        </w:tc>
        <w:tc>
          <w:tcPr>
            <w:tcW w:w="2889" w:type="dxa"/>
          </w:tcPr>
          <w:p w14:paraId="41083761" w14:textId="64B039AE" w:rsidR="002B6C5C" w:rsidRPr="00FE71E5" w:rsidRDefault="002B6C5C" w:rsidP="002B6C5C">
            <w:pPr>
              <w:pStyle w:val="KeyText"/>
              <w:spacing w:before="0"/>
            </w:pPr>
            <w:r w:rsidRPr="00FE71E5">
              <w:t>slab</w:t>
            </w:r>
          </w:p>
        </w:tc>
        <w:tc>
          <w:tcPr>
            <w:tcW w:w="425" w:type="dxa"/>
          </w:tcPr>
          <w:p w14:paraId="4125A42D" w14:textId="16D3D4DC" w:rsidR="002B6C5C" w:rsidRPr="00FE71E5" w:rsidRDefault="002B6C5C" w:rsidP="002B6C5C">
            <w:pPr>
              <w:pStyle w:val="KeyText"/>
              <w:spacing w:before="0"/>
            </w:pPr>
            <w:r w:rsidRPr="00FE71E5" w:rsidDel="008D55D4">
              <w:rPr>
                <w:iCs/>
              </w:rPr>
              <w:t>F</w:t>
            </w:r>
          </w:p>
        </w:tc>
        <w:tc>
          <w:tcPr>
            <w:tcW w:w="5670" w:type="dxa"/>
          </w:tcPr>
          <w:p w14:paraId="53172F66" w14:textId="5799AD73" w:rsidR="002B6C5C" w:rsidRPr="00FE71E5" w:rsidRDefault="002B6C5C" w:rsidP="002B6C5C">
            <w:pPr>
              <w:pStyle w:val="KeyText"/>
              <w:spacing w:before="0"/>
            </w:pPr>
            <w:r w:rsidRPr="00FE71E5">
              <w:t>reaction forces</w:t>
            </w:r>
          </w:p>
        </w:tc>
      </w:tr>
      <w:tr w:rsidR="002B6C5C" w:rsidRPr="00132C1E" w14:paraId="142EF9C6" w14:textId="3B824CD3" w:rsidTr="002B6C5C">
        <w:tc>
          <w:tcPr>
            <w:tcW w:w="480" w:type="dxa"/>
          </w:tcPr>
          <w:p w14:paraId="2AA99AA2" w14:textId="77777777" w:rsidR="002B6C5C" w:rsidRPr="00FE71E5" w:rsidRDefault="002B6C5C" w:rsidP="002B6C5C">
            <w:pPr>
              <w:pStyle w:val="KeyText"/>
              <w:spacing w:before="0"/>
              <w:rPr>
                <w:iCs/>
              </w:rPr>
            </w:pPr>
            <w:r w:rsidRPr="00FE71E5">
              <w:rPr>
                <w:iCs/>
              </w:rPr>
              <w:t>C</w:t>
            </w:r>
          </w:p>
        </w:tc>
        <w:tc>
          <w:tcPr>
            <w:tcW w:w="2889" w:type="dxa"/>
          </w:tcPr>
          <w:p w14:paraId="479E04E7" w14:textId="75137E64" w:rsidR="002B6C5C" w:rsidRPr="00FE71E5" w:rsidRDefault="002B6C5C" w:rsidP="002B6C5C">
            <w:pPr>
              <w:pStyle w:val="KeyText"/>
              <w:spacing w:before="0"/>
            </w:pPr>
            <w:r w:rsidRPr="00FE71E5">
              <w:t>interior column</w:t>
            </w:r>
          </w:p>
        </w:tc>
        <w:tc>
          <w:tcPr>
            <w:tcW w:w="425" w:type="dxa"/>
          </w:tcPr>
          <w:p w14:paraId="26783535" w14:textId="3D9FF117" w:rsidR="002B6C5C" w:rsidRPr="00FE71E5" w:rsidRDefault="002B6C5C" w:rsidP="002B6C5C">
            <w:pPr>
              <w:pStyle w:val="KeyText"/>
              <w:spacing w:before="0"/>
            </w:pPr>
            <w:r w:rsidRPr="00FE71E5">
              <w:rPr>
                <w:iCs/>
              </w:rPr>
              <w:t>G</w:t>
            </w:r>
          </w:p>
        </w:tc>
        <w:tc>
          <w:tcPr>
            <w:tcW w:w="5670" w:type="dxa"/>
          </w:tcPr>
          <w:p w14:paraId="10C9FC4B" w14:textId="3BF0D0CE" w:rsidR="002B6C5C" w:rsidRPr="00FE71E5" w:rsidRDefault="002B6C5C" w:rsidP="002B6C5C">
            <w:pPr>
              <w:pStyle w:val="KeyText"/>
              <w:spacing w:before="0"/>
            </w:pPr>
            <w:r w:rsidRPr="00FE71E5">
              <w:t>reaction forces</w:t>
            </w:r>
          </w:p>
        </w:tc>
      </w:tr>
      <w:tr w:rsidR="002B6C5C" w:rsidRPr="00132C1E" w14:paraId="34EBFC4F" w14:textId="2FE08138" w:rsidTr="002B6C5C">
        <w:tc>
          <w:tcPr>
            <w:tcW w:w="480" w:type="dxa"/>
          </w:tcPr>
          <w:p w14:paraId="6930CAF6" w14:textId="77777777" w:rsidR="002B6C5C" w:rsidRPr="00FE71E5" w:rsidRDefault="002B6C5C" w:rsidP="002B6C5C">
            <w:pPr>
              <w:pStyle w:val="KeyText"/>
              <w:spacing w:before="0"/>
              <w:rPr>
                <w:iCs/>
              </w:rPr>
            </w:pPr>
            <w:r w:rsidRPr="00FE71E5">
              <w:rPr>
                <w:iCs/>
              </w:rPr>
              <w:t>D</w:t>
            </w:r>
          </w:p>
        </w:tc>
        <w:tc>
          <w:tcPr>
            <w:tcW w:w="2889" w:type="dxa"/>
          </w:tcPr>
          <w:p w14:paraId="0FE73BC0" w14:textId="07E4B2F3" w:rsidR="002B6C5C" w:rsidRPr="00FE71E5" w:rsidRDefault="002B6C5C" w:rsidP="002B6C5C">
            <w:pPr>
              <w:pStyle w:val="KeyText"/>
              <w:spacing w:before="0"/>
            </w:pPr>
            <w:r w:rsidRPr="00FE71E5">
              <w:t>transverse beam</w:t>
            </w:r>
          </w:p>
        </w:tc>
        <w:tc>
          <w:tcPr>
            <w:tcW w:w="425" w:type="dxa"/>
          </w:tcPr>
          <w:p w14:paraId="0642C665" w14:textId="77777777" w:rsidR="002B6C5C" w:rsidRPr="00FE71E5" w:rsidRDefault="002B6C5C" w:rsidP="002B6C5C">
            <w:pPr>
              <w:pStyle w:val="KeyText"/>
              <w:spacing w:before="0"/>
            </w:pPr>
          </w:p>
        </w:tc>
        <w:tc>
          <w:tcPr>
            <w:tcW w:w="5670" w:type="dxa"/>
          </w:tcPr>
          <w:p w14:paraId="52CA0F1E" w14:textId="77777777" w:rsidR="002B6C5C" w:rsidRPr="00FE71E5" w:rsidRDefault="002B6C5C" w:rsidP="002B6C5C">
            <w:pPr>
              <w:pStyle w:val="KeyText"/>
              <w:spacing w:before="0"/>
            </w:pPr>
          </w:p>
        </w:tc>
      </w:tr>
    </w:tbl>
    <w:p w14:paraId="3D9BC036" w14:textId="6B4248CF" w:rsidR="006B581F" w:rsidRDefault="006B581F" w:rsidP="005D0122">
      <w:pPr>
        <w:pStyle w:val="Figuretitle"/>
      </w:pPr>
      <w:bookmarkStart w:id="11678" w:name="_Toc29724523"/>
      <w:r w:rsidRPr="00132C1E">
        <w:t xml:space="preserve">Figure </w:t>
      </w:r>
      <w:r w:rsidRPr="00D1484A">
        <w:t>I.</w:t>
      </w:r>
      <w:r w:rsidR="009611DD">
        <w:t>3</w:t>
      </w:r>
      <w:r w:rsidRPr="00132C1E">
        <w:t> </w:t>
      </w:r>
      <w:r w:rsidRPr="00D1484A">
        <w:t xml:space="preserve">— Possible transfer of slab forces at an interior beam-to-column joint under </w:t>
      </w:r>
      <w:r w:rsidRPr="007E6F67">
        <w:t xml:space="preserve">negative moment </w:t>
      </w:r>
      <w:r w:rsidRPr="00FD17CF">
        <w:t>on one side and positive moment on the other side</w:t>
      </w:r>
      <w:bookmarkEnd w:id="11677"/>
      <w:bookmarkEnd w:id="11678"/>
      <w:r w:rsidR="001040D5">
        <w:t>: (a) i</w:t>
      </w:r>
      <w:r w:rsidR="001040D5" w:rsidRPr="001040D5">
        <w:t>nterior joint elevation</w:t>
      </w:r>
      <w:r w:rsidR="001040D5">
        <w:t xml:space="preserve">; (b) </w:t>
      </w:r>
      <w:r w:rsidR="001040D5" w:rsidRPr="001040D5">
        <w:t xml:space="preserve">mechanism 1 </w:t>
      </w:r>
      <w:r w:rsidR="001040D5">
        <w:t>–</w:t>
      </w:r>
      <w:r w:rsidR="001040D5" w:rsidRPr="001040D5">
        <w:t xml:space="preserve"> slab bearing on column flange (F) or additional device (G);</w:t>
      </w:r>
      <w:r w:rsidR="001040D5">
        <w:t xml:space="preserve"> (c) mechanism 2; (d) mechanism 3</w:t>
      </w:r>
    </w:p>
    <w:p w14:paraId="27564087" w14:textId="216D7147" w:rsidR="006B581F" w:rsidRPr="007F776E" w:rsidRDefault="006B581F" w:rsidP="005D0122">
      <w:pPr>
        <w:pStyle w:val="Notetext"/>
      </w:pPr>
      <w:r w:rsidRPr="007F776E">
        <w:t>NOTE</w:t>
      </w:r>
      <w:r w:rsidRPr="007F776E">
        <w:tab/>
        <w:t xml:space="preserve">The reaction forces </w:t>
      </w:r>
      <w:r w:rsidRPr="007F776E">
        <w:rPr>
          <w:i/>
          <w:iCs/>
        </w:rPr>
        <w:t>F</w:t>
      </w:r>
      <w:r w:rsidRPr="007F776E">
        <w:rPr>
          <w:vertAlign w:val="subscript"/>
        </w:rPr>
        <w:t>Rd1</w:t>
      </w:r>
      <w:r w:rsidRPr="007F776E">
        <w:t xml:space="preserve">, </w:t>
      </w:r>
      <w:r w:rsidRPr="007F776E">
        <w:rPr>
          <w:i/>
          <w:iCs/>
        </w:rPr>
        <w:t>F</w:t>
      </w:r>
      <w:r w:rsidRPr="007F776E">
        <w:rPr>
          <w:vertAlign w:val="subscript"/>
        </w:rPr>
        <w:t>Rd2</w:t>
      </w:r>
      <w:r w:rsidRPr="007F776E">
        <w:t xml:space="preserve"> or </w:t>
      </w:r>
      <w:r w:rsidRPr="007F776E">
        <w:rPr>
          <w:i/>
          <w:iCs/>
        </w:rPr>
        <w:t>F</w:t>
      </w:r>
      <w:r w:rsidRPr="007F776E">
        <w:rPr>
          <w:vertAlign w:val="subscript"/>
        </w:rPr>
        <w:t>Rd3</w:t>
      </w:r>
      <w:r w:rsidRPr="007F776E">
        <w:t xml:space="preserve"> resist in part the action effects coming from the slab and its rebars on the</w:t>
      </w:r>
      <w:r w:rsidRPr="007F776E">
        <w:rPr>
          <w:i/>
          <w:iCs/>
        </w:rPr>
        <w:t xml:space="preserve"> M</w:t>
      </w:r>
      <w:r w:rsidRPr="007F776E">
        <w:t xml:space="preserve">+ side and in another part to the tension forces in the rebars of the slab on the </w:t>
      </w:r>
      <w:r w:rsidRPr="007F776E">
        <w:rPr>
          <w:i/>
          <w:iCs/>
        </w:rPr>
        <w:t>M</w:t>
      </w:r>
      <w:r w:rsidRPr="007F776E">
        <w:t>- side. These parts are named respectively α</w:t>
      </w:r>
      <w:r w:rsidRPr="007F776E">
        <w:rPr>
          <w:i/>
          <w:iCs/>
        </w:rPr>
        <w:t>F</w:t>
      </w:r>
      <w:r w:rsidRPr="007F776E">
        <w:rPr>
          <w:vertAlign w:val="subscript"/>
        </w:rPr>
        <w:t>Rd1</w:t>
      </w:r>
      <w:r w:rsidRPr="007F776E">
        <w:t xml:space="preserve">, β </w:t>
      </w:r>
      <w:r w:rsidRPr="007F776E">
        <w:rPr>
          <w:i/>
          <w:iCs/>
        </w:rPr>
        <w:t>F</w:t>
      </w:r>
      <w:r w:rsidRPr="007F776E">
        <w:rPr>
          <w:vertAlign w:val="subscript"/>
        </w:rPr>
        <w:t>Rd2</w:t>
      </w:r>
      <w:r w:rsidRPr="007F776E">
        <w:t xml:space="preserve"> and γ </w:t>
      </w:r>
      <w:r w:rsidRPr="007F776E">
        <w:rPr>
          <w:i/>
          <w:iCs/>
        </w:rPr>
        <w:t>F</w:t>
      </w:r>
      <w:r w:rsidRPr="007F776E">
        <w:rPr>
          <w:vertAlign w:val="subscript"/>
        </w:rPr>
        <w:t>Rd3</w:t>
      </w:r>
      <w:r w:rsidRPr="007F776E">
        <w:t xml:space="preserve"> on the </w:t>
      </w:r>
      <w:r w:rsidRPr="007F776E">
        <w:rPr>
          <w:i/>
          <w:iCs/>
        </w:rPr>
        <w:t>M</w:t>
      </w:r>
      <w:r w:rsidRPr="007F776E">
        <w:t xml:space="preserve">+ side and respectively (1-α) </w:t>
      </w:r>
      <w:r w:rsidRPr="007F776E">
        <w:rPr>
          <w:i/>
          <w:iCs/>
        </w:rPr>
        <w:t>F</w:t>
      </w:r>
      <w:r w:rsidRPr="007F776E">
        <w:rPr>
          <w:vertAlign w:val="subscript"/>
        </w:rPr>
        <w:t>Rd1</w:t>
      </w:r>
      <w:r w:rsidRPr="007F776E">
        <w:t xml:space="preserve">, (1-β) </w:t>
      </w:r>
      <w:r w:rsidRPr="007F776E">
        <w:rPr>
          <w:i/>
          <w:iCs/>
        </w:rPr>
        <w:t>F</w:t>
      </w:r>
      <w:r w:rsidRPr="007F776E">
        <w:rPr>
          <w:vertAlign w:val="subscript"/>
        </w:rPr>
        <w:t>Rd2</w:t>
      </w:r>
      <w:r w:rsidRPr="007F776E">
        <w:t xml:space="preserve"> and (1-γ) </w:t>
      </w:r>
      <w:r w:rsidRPr="007F776E">
        <w:rPr>
          <w:i/>
          <w:iCs/>
        </w:rPr>
        <w:t>F</w:t>
      </w:r>
      <w:r w:rsidRPr="007F776E">
        <w:rPr>
          <w:vertAlign w:val="subscript"/>
        </w:rPr>
        <w:t>Rd3</w:t>
      </w:r>
      <w:r w:rsidRPr="007F776E">
        <w:t xml:space="preserve">) on the </w:t>
      </w:r>
      <w:r w:rsidRPr="007F776E">
        <w:rPr>
          <w:i/>
          <w:iCs/>
        </w:rPr>
        <w:t>M</w:t>
      </w:r>
      <w:r w:rsidRPr="007F776E">
        <w:t>- side. α, β and γ being qualitative coefficients</w:t>
      </w:r>
      <w:r w:rsidR="005D0122">
        <w:t>.</w:t>
      </w:r>
    </w:p>
    <w:p w14:paraId="0E54B654" w14:textId="35D65662" w:rsidR="006B581F" w:rsidRDefault="006B581F"/>
    <w:p w14:paraId="49A64B89" w14:textId="2167D008" w:rsidR="00CA71C9" w:rsidRPr="00FD17CF" w:rsidRDefault="00CA71C9" w:rsidP="00CA71C9">
      <w:pPr>
        <w:pStyle w:val="ANNEX"/>
        <w:tabs>
          <w:tab w:val="clear" w:pos="360"/>
        </w:tabs>
        <w:spacing w:before="0"/>
        <w:rPr>
          <w:lang w:eastAsia="en-US"/>
        </w:rPr>
      </w:pPr>
      <w:bookmarkStart w:id="11679" w:name="_Toc50150814"/>
      <w:bookmarkStart w:id="11680" w:name="_Toc70887247"/>
      <w:bookmarkStart w:id="11681" w:name="_Toc108342859"/>
      <w:r>
        <w:br/>
      </w:r>
      <w:bookmarkStart w:id="11682" w:name="_Toc134198365"/>
      <w:r w:rsidRPr="00CA71C9">
        <w:rPr>
          <w:b w:val="0"/>
          <w:bCs/>
        </w:rPr>
        <w:t>(informative)</w:t>
      </w:r>
      <w:r w:rsidRPr="00FB6A3C">
        <w:rPr>
          <w:lang w:eastAsia="en-US"/>
        </w:rPr>
        <w:fldChar w:fldCharType="begin"/>
      </w:r>
      <w:r w:rsidRPr="00132C1E">
        <w:rPr>
          <w:lang w:eastAsia="en-US"/>
        </w:rPr>
        <w:instrText xml:space="preserve">SEQ aaa \h </w:instrText>
      </w:r>
      <w:r w:rsidRPr="00FB6A3C">
        <w:rPr>
          <w:lang w:eastAsia="en-US"/>
        </w:rPr>
        <w:fldChar w:fldCharType="end"/>
      </w:r>
      <w:r w:rsidRPr="00FB6A3C">
        <w:rPr>
          <w:lang w:eastAsia="en-US"/>
        </w:rPr>
        <w:fldChar w:fldCharType="begin"/>
      </w:r>
      <w:r w:rsidRPr="00132C1E">
        <w:rPr>
          <w:lang w:eastAsia="en-US"/>
        </w:rPr>
        <w:instrText xml:space="preserve">SEQ table \r0\h </w:instrText>
      </w:r>
      <w:r w:rsidRPr="00FB6A3C">
        <w:rPr>
          <w:lang w:eastAsia="en-US"/>
        </w:rPr>
        <w:fldChar w:fldCharType="end"/>
      </w:r>
      <w:r w:rsidRPr="00FB6A3C">
        <w:rPr>
          <w:lang w:eastAsia="en-US"/>
        </w:rPr>
        <w:fldChar w:fldCharType="begin"/>
      </w:r>
      <w:r w:rsidRPr="00132C1E">
        <w:rPr>
          <w:lang w:eastAsia="en-US"/>
        </w:rPr>
        <w:instrText xml:space="preserve">SEQ figure \r0\h </w:instrText>
      </w:r>
      <w:r w:rsidRPr="00FB6A3C">
        <w:rPr>
          <w:lang w:eastAsia="en-US"/>
        </w:rPr>
        <w:fldChar w:fldCharType="end"/>
      </w:r>
      <w:r w:rsidRPr="00FB6A3C">
        <w:rPr>
          <w:lang w:eastAsia="en-US"/>
        </w:rPr>
        <w:fldChar w:fldCharType="begin"/>
      </w:r>
      <w:r w:rsidRPr="00132C1E">
        <w:rPr>
          <w:lang w:eastAsia="en-US"/>
        </w:rPr>
        <w:instrText xml:space="preserve"> SEQ Equation_annex \r0\h </w:instrText>
      </w:r>
      <w:r w:rsidRPr="00FB6A3C">
        <w:rPr>
          <w:lang w:eastAsia="en-US"/>
        </w:rPr>
        <w:fldChar w:fldCharType="end"/>
      </w:r>
      <w:r w:rsidRPr="00132C1E">
        <w:br/>
      </w:r>
      <w:r w:rsidRPr="00132C1E">
        <w:br/>
      </w:r>
      <w:r w:rsidRPr="00D1484A">
        <w:t xml:space="preserve">Drift limits for eccentrically loaded </w:t>
      </w:r>
      <w:r w:rsidRPr="007E6F67">
        <w:t>unreinforced masonry piers</w:t>
      </w:r>
      <w:bookmarkEnd w:id="11679"/>
      <w:bookmarkEnd w:id="11680"/>
      <w:bookmarkEnd w:id="11681"/>
      <w:bookmarkEnd w:id="11682"/>
    </w:p>
    <w:p w14:paraId="0BAC91A0" w14:textId="6E7514CC" w:rsidR="00CA71C9" w:rsidRPr="00196951" w:rsidRDefault="00CA71C9" w:rsidP="00CA71C9">
      <w:pPr>
        <w:pStyle w:val="a2"/>
      </w:pPr>
      <w:bookmarkStart w:id="11683" w:name="_Toc50150815"/>
      <w:bookmarkStart w:id="11684" w:name="_Toc70887248"/>
      <w:bookmarkStart w:id="11685" w:name="_Toc108342860"/>
      <w:bookmarkStart w:id="11686" w:name="_Toc134198366"/>
      <w:r w:rsidRPr="00E05E29">
        <w:t xml:space="preserve">Use of this </w:t>
      </w:r>
      <w:r w:rsidR="009611DD">
        <w:t>a</w:t>
      </w:r>
      <w:r w:rsidRPr="00E05E29">
        <w:t>nnex</w:t>
      </w:r>
      <w:bookmarkEnd w:id="11683"/>
      <w:bookmarkEnd w:id="11684"/>
      <w:bookmarkEnd w:id="11685"/>
      <w:bookmarkEnd w:id="11686"/>
    </w:p>
    <w:p w14:paraId="765B6C35" w14:textId="3397811C" w:rsidR="00CA71C9" w:rsidRPr="00C52095" w:rsidRDefault="00CA71C9" w:rsidP="0080187E">
      <w:pPr>
        <w:pStyle w:val="Clause"/>
        <w:numPr>
          <w:ilvl w:val="0"/>
          <w:numId w:val="248"/>
        </w:numPr>
      </w:pPr>
      <w:r w:rsidRPr="002144A0">
        <w:t xml:space="preserve">This Informative Annex provides complementary / supplementary guidance to </w:t>
      </w:r>
      <w:r w:rsidRPr="00B00B3D">
        <w:t>14.9</w:t>
      </w:r>
      <w:r w:rsidRPr="009D04FE">
        <w:t>.</w:t>
      </w:r>
    </w:p>
    <w:p w14:paraId="2C53193A" w14:textId="5640EEEE" w:rsidR="00CA71C9" w:rsidRPr="00132C1E" w:rsidRDefault="00CA71C9" w:rsidP="00CA71C9">
      <w:pPr>
        <w:pStyle w:val="Notetext"/>
        <w:rPr>
          <w:rFonts w:eastAsia="Times New Roman"/>
          <w:color w:val="498205"/>
        </w:rPr>
      </w:pPr>
      <w:r w:rsidRPr="00C52095">
        <w:t>NOTE</w:t>
      </w:r>
      <w:r w:rsidRPr="00132C1E">
        <w:tab/>
        <w:t>National choice on the application of this Informative Annex is given in the National Annex. If the National Annex contains no information on the application of this informative annex, it can be used.</w:t>
      </w:r>
    </w:p>
    <w:p w14:paraId="0AFB962C" w14:textId="07646465" w:rsidR="00CA71C9" w:rsidRPr="00132C1E" w:rsidRDefault="009611DD" w:rsidP="00CA71C9">
      <w:pPr>
        <w:pStyle w:val="a2"/>
        <w:rPr>
          <w:lang w:eastAsia="en-US"/>
        </w:rPr>
      </w:pPr>
      <w:bookmarkStart w:id="11687" w:name="_Toc50150816"/>
      <w:bookmarkStart w:id="11688" w:name="_Toc70887249"/>
      <w:bookmarkStart w:id="11689" w:name="_Toc108342861"/>
      <w:bookmarkStart w:id="11690" w:name="_Toc134198367"/>
      <w:r>
        <w:t>Scope and field of application</w:t>
      </w:r>
      <w:bookmarkEnd w:id="11687"/>
      <w:bookmarkEnd w:id="11688"/>
      <w:bookmarkEnd w:id="11689"/>
      <w:bookmarkEnd w:id="11690"/>
    </w:p>
    <w:p w14:paraId="70BCD020" w14:textId="318F6526" w:rsidR="00CA71C9" w:rsidRPr="00132C1E" w:rsidRDefault="00CA71C9" w:rsidP="0080187E">
      <w:pPr>
        <w:pStyle w:val="Clause"/>
        <w:numPr>
          <w:ilvl w:val="0"/>
          <w:numId w:val="249"/>
        </w:numPr>
      </w:pPr>
      <w:r w:rsidRPr="009338E1">
        <w:t xml:space="preserve">Annex J </w:t>
      </w:r>
      <w:r w:rsidRPr="00132C1E">
        <w:t>may be applied only to unreinforced masonry piers and should not be used for reinforced or confined masonry piers.</w:t>
      </w:r>
    </w:p>
    <w:p w14:paraId="16895A08" w14:textId="320A7B71" w:rsidR="00CA71C9" w:rsidRPr="00132C1E" w:rsidRDefault="00CA71C9" w:rsidP="00CA71C9">
      <w:pPr>
        <w:pStyle w:val="Notetext"/>
      </w:pPr>
      <w:r w:rsidRPr="00132C1E">
        <w:t>NOTE</w:t>
      </w:r>
      <w:r w:rsidRPr="00132C1E">
        <w:tab/>
        <w:t>This informative annex contains a preliminary approach, to be used until more detailed information is available on how axial loads that act with an eccentricity to the central plane of the pier affect the in-plane deformation capacity of the pier.</w:t>
      </w:r>
    </w:p>
    <w:p w14:paraId="2E4FA8DE" w14:textId="6528251D" w:rsidR="00CA71C9" w:rsidRPr="00132C1E" w:rsidRDefault="00CA71C9" w:rsidP="0080187E">
      <w:pPr>
        <w:pStyle w:val="Clause"/>
        <w:numPr>
          <w:ilvl w:val="0"/>
          <w:numId w:val="248"/>
        </w:numPr>
      </w:pPr>
      <w:r w:rsidRPr="00132C1E">
        <w:t>The bearing length</w:t>
      </w:r>
      <w:r w:rsidRPr="009D04FE">
        <w:rPr>
          <w:i/>
          <w:iCs/>
        </w:rPr>
        <w:t xml:space="preserve"> t</w:t>
      </w:r>
      <w:r w:rsidRPr="009F3264">
        <w:rPr>
          <w:vertAlign w:val="subscript"/>
        </w:rPr>
        <w:t>B</w:t>
      </w:r>
      <w:r w:rsidRPr="00132C1E">
        <w:t xml:space="preserve"> should not be smaller than half the thickness of the pier or 100 mm, whichever is smaller.</w:t>
      </w:r>
    </w:p>
    <w:p w14:paraId="410E1CD2" w14:textId="17761818" w:rsidR="00CA71C9" w:rsidRPr="00132C1E" w:rsidRDefault="00CA71C9" w:rsidP="00CA71C9">
      <w:pPr>
        <w:pStyle w:val="Notetext"/>
      </w:pPr>
      <w:r w:rsidRPr="00132C1E">
        <w:t>NOTE</w:t>
      </w:r>
      <w:r w:rsidRPr="00132C1E">
        <w:tab/>
        <w:t xml:space="preserve">The bearing length of slabs or roofs on masonry piers is sometimes less than the pier thickness </w:t>
      </w:r>
      <w:r w:rsidRPr="00132C1E">
        <w:rPr>
          <w:i/>
          <w:iCs/>
        </w:rPr>
        <w:t>t</w:t>
      </w:r>
      <w:r w:rsidRPr="009F3264">
        <w:rPr>
          <w:vertAlign w:val="subscript"/>
        </w:rPr>
        <w:t>p</w:t>
      </w:r>
      <w:r w:rsidRPr="00132C1E">
        <w:t xml:space="preserve">. </w:t>
      </w:r>
      <w:r>
        <w:t>EN</w:t>
      </w:r>
      <w:r w:rsidR="0063506B">
        <w:t> </w:t>
      </w:r>
      <w:r>
        <w:t>199</w:t>
      </w:r>
      <w:r w:rsidRPr="00132C1E">
        <w:t>6-1</w:t>
      </w:r>
      <w:r>
        <w:t>-1</w:t>
      </w:r>
      <w:r w:rsidRPr="00132C1E">
        <w:t xml:space="preserve"> gives information on the effect of such reduced bearing lengths on the strength of masonry elements. Experimental results indicate that not only the strength but also the deformation capacity of unreinforced masonry piers depends on the bearing length of floors or roofs resting on the pier. This Informative Annex gives guidelines on how this effect can be considered in design.</w:t>
      </w:r>
    </w:p>
    <w:p w14:paraId="55748BC4" w14:textId="77777777" w:rsidR="00CA71C9" w:rsidRPr="007505A6" w:rsidRDefault="00CA71C9" w:rsidP="00CA71C9">
      <w:pPr>
        <w:pStyle w:val="a2"/>
        <w:rPr>
          <w:lang w:eastAsia="en-US"/>
        </w:rPr>
      </w:pPr>
      <w:bookmarkStart w:id="11691" w:name="_Toc50150817"/>
      <w:bookmarkStart w:id="11692" w:name="_Toc70887250"/>
      <w:bookmarkStart w:id="11693" w:name="_Toc108342862"/>
      <w:bookmarkStart w:id="11694" w:name="_Toc134198368"/>
      <w:r w:rsidRPr="007505A6">
        <w:t>Verification for in-plane actions</w:t>
      </w:r>
      <w:bookmarkEnd w:id="11691"/>
      <w:bookmarkEnd w:id="11692"/>
      <w:bookmarkEnd w:id="11693"/>
      <w:bookmarkEnd w:id="11694"/>
    </w:p>
    <w:p w14:paraId="7322B21F" w14:textId="71ADD7E5" w:rsidR="00CA71C9" w:rsidRDefault="00CA71C9" w:rsidP="0080187E">
      <w:pPr>
        <w:pStyle w:val="Clause"/>
        <w:numPr>
          <w:ilvl w:val="0"/>
          <w:numId w:val="250"/>
        </w:numPr>
      </w:pPr>
      <w:r w:rsidRPr="007505A6">
        <w:t xml:space="preserve">If a displacement-based verification procedure is applied and if </w:t>
      </w:r>
      <w:r w:rsidRPr="00560D4A">
        <w:rPr>
          <w:i/>
          <w:iCs/>
        </w:rPr>
        <w:t>t</w:t>
      </w:r>
      <w:r w:rsidRPr="00560D4A">
        <w:rPr>
          <w:vertAlign w:val="subscript"/>
        </w:rPr>
        <w:t>B</w:t>
      </w:r>
      <w:r w:rsidRPr="007505A6">
        <w:t xml:space="preserve"> is smaller than 0,75 times the thickness </w:t>
      </w:r>
      <w:r w:rsidRPr="00560D4A">
        <w:rPr>
          <w:i/>
          <w:iCs/>
        </w:rPr>
        <w:t>t</w:t>
      </w:r>
      <w:r w:rsidRPr="00560D4A">
        <w:rPr>
          <w:vertAlign w:val="subscript"/>
        </w:rPr>
        <w:t>p</w:t>
      </w:r>
      <w:r w:rsidRPr="007505A6">
        <w:t xml:space="preserve"> of the pier, the effect of the bearing length on the deformation capacity may be considered. The reduced deformation capacity </w:t>
      </w:r>
      <w:r w:rsidRPr="00560D4A">
        <w:rPr>
          <w:rFonts w:ascii="Symbol" w:hAnsi="Symbol"/>
          <w:i/>
          <w:iCs/>
        </w:rPr>
        <w:t></w:t>
      </w:r>
      <w:r w:rsidRPr="00560D4A">
        <w:rPr>
          <w:vertAlign w:val="subscript"/>
        </w:rPr>
        <w:t>u2,red</w:t>
      </w:r>
      <w:r w:rsidR="009611DD">
        <w:t xml:space="preserve"> </w:t>
      </w:r>
      <w:r w:rsidRPr="007505A6">
        <w:t>may be calculated as given by Formula (J.1).</w:t>
      </w:r>
    </w:p>
    <w:p w14:paraId="406CF0EE" w14:textId="59A5B3A4" w:rsidR="00560D4A" w:rsidRPr="006C09CE" w:rsidRDefault="009B5CEC" w:rsidP="00560D4A">
      <w:pPr>
        <w:pStyle w:val="Formula"/>
        <w:spacing w:before="240"/>
      </w:pPr>
      <m:oMath>
        <m:sSub>
          <m:sSubPr>
            <m:ctrlPr>
              <w:rPr>
                <w:rFonts w:ascii="Cambria Math" w:hAnsi="Cambria Math"/>
              </w:rPr>
            </m:ctrlPr>
          </m:sSubPr>
          <m:e>
            <m:r>
              <w:rPr>
                <w:rFonts w:ascii="Cambria Math" w:hAnsi="Cambria Math"/>
              </w:rPr>
              <m:t>θ</m:t>
            </m:r>
          </m:e>
          <m:sub>
            <m:r>
              <m:rPr>
                <m:sty m:val="p"/>
              </m:rPr>
              <w:rPr>
                <w:rFonts w:ascii="Cambria Math" w:hAnsi="Cambria Math"/>
              </w:rPr>
              <m:t>u2,red</m:t>
            </m:r>
          </m:sub>
        </m:sSub>
        <m:r>
          <w:rPr>
            <w:rFonts w:ascii="Cambria Math" w:hAnsi="Cambria Math"/>
          </w:rPr>
          <m:t>=</m:t>
        </m:r>
        <m:r>
          <m:rPr>
            <m:sty m:val="p"/>
          </m:rPr>
          <w:rPr>
            <w:rFonts w:ascii="Cambria Math" w:hAnsi="Cambria Math"/>
          </w:rPr>
          <m:t>max</m:t>
        </m:r>
        <m:r>
          <w:rPr>
            <w:rFonts w:ascii="Cambria Math" w:hAnsi="Cambria Math"/>
          </w:rPr>
          <m:t>⁡(</m:t>
        </m:r>
        <m:sSub>
          <m:sSubPr>
            <m:ctrlPr>
              <w:rPr>
                <w:rFonts w:ascii="Cambria Math" w:hAnsi="Cambria Math"/>
              </w:rPr>
            </m:ctrlPr>
          </m:sSubPr>
          <m:e>
            <m:r>
              <w:rPr>
                <w:rFonts w:ascii="Cambria Math" w:hAnsi="Cambria Math"/>
              </w:rPr>
              <m:t>θ</m:t>
            </m:r>
          </m:e>
          <m:sub>
            <m:r>
              <m:rPr>
                <m:sty m:val="p"/>
              </m:rPr>
              <w:rPr>
                <w:rFonts w:ascii="Cambria Math" w:hAnsi="Cambria Math"/>
              </w:rPr>
              <m:t>y</m:t>
            </m:r>
          </m:sub>
        </m:sSub>
        <m:r>
          <w:rPr>
            <w:rFonts w:ascii="Cambria Math" w:hAnsi="Cambria Math"/>
          </w:rPr>
          <m:t xml:space="preserve">, </m:t>
        </m:r>
        <m:f>
          <m:fPr>
            <m:ctrlPr>
              <w:rPr>
                <w:rFonts w:ascii="Cambria Math" w:hAnsi="Cambria Math"/>
              </w:rPr>
            </m:ctrlPr>
          </m:fPr>
          <m:num>
            <m:sSub>
              <m:sSubPr>
                <m:ctrlPr>
                  <w:rPr>
                    <w:rFonts w:ascii="Cambria Math" w:hAnsi="Cambria Math"/>
                  </w:rPr>
                </m:ctrlPr>
              </m:sSubPr>
              <m:e>
                <m:r>
                  <w:rPr>
                    <w:rFonts w:ascii="Cambria Math" w:hAnsi="Cambria Math"/>
                  </w:rPr>
                  <m:t>t</m:t>
                </m:r>
              </m:e>
              <m:sub>
                <m:r>
                  <m:rPr>
                    <m:sty m:val="p"/>
                  </m:rPr>
                  <w:rPr>
                    <w:rFonts w:ascii="Cambria Math" w:hAnsi="Cambria Math"/>
                  </w:rPr>
                  <m:t>B</m:t>
                </m:r>
              </m:sub>
            </m:sSub>
          </m:num>
          <m:den>
            <m:sSub>
              <m:sSubPr>
                <m:ctrlPr>
                  <w:rPr>
                    <w:rFonts w:ascii="Cambria Math" w:hAnsi="Cambria Math"/>
                    <w:i/>
                  </w:rPr>
                </m:ctrlPr>
              </m:sSubPr>
              <m:e>
                <m:r>
                  <w:rPr>
                    <w:rFonts w:ascii="Cambria Math" w:hAnsi="Cambria Math"/>
                  </w:rPr>
                  <m:t>t</m:t>
                </m:r>
              </m:e>
              <m:sub>
                <m:r>
                  <w:rPr>
                    <w:rFonts w:ascii="Cambria Math" w:hAnsi="Cambria Math"/>
                  </w:rPr>
                  <m:t>p</m:t>
                </m:r>
              </m:sub>
            </m:sSub>
          </m:den>
        </m:f>
        <m:sSub>
          <m:sSubPr>
            <m:ctrlPr>
              <w:rPr>
                <w:rFonts w:ascii="Cambria Math" w:hAnsi="Cambria Math"/>
              </w:rPr>
            </m:ctrlPr>
          </m:sSubPr>
          <m:e>
            <m:r>
              <w:rPr>
                <w:rFonts w:ascii="Cambria Math" w:hAnsi="Cambria Math"/>
              </w:rPr>
              <m:t>θ</m:t>
            </m:r>
          </m:e>
          <m:sub>
            <m:r>
              <m:rPr>
                <m:sty m:val="p"/>
              </m:rPr>
              <w:rPr>
                <w:rFonts w:ascii="Cambria Math" w:hAnsi="Cambria Math"/>
              </w:rPr>
              <m:t>u2</m:t>
            </m:r>
          </m:sub>
        </m:sSub>
        <m:r>
          <w:rPr>
            <w:rFonts w:ascii="Cambria Math" w:hAnsi="Cambria Math"/>
          </w:rPr>
          <m:t>)</m:t>
        </m:r>
      </m:oMath>
      <w:r w:rsidR="00560D4A" w:rsidRPr="006C09CE">
        <w:tab/>
        <w:t>(</w:t>
      </w:r>
      <w:r w:rsidR="00560D4A">
        <w:t>J</w:t>
      </w:r>
      <w:r w:rsidR="00560D4A" w:rsidRPr="006C09CE">
        <w:t>.</w:t>
      </w:r>
      <w:r w:rsidR="00560D4A">
        <w:t>1</w:t>
      </w:r>
      <w:r w:rsidR="00560D4A" w:rsidRPr="006C09CE">
        <w:t>)</w:t>
      </w:r>
    </w:p>
    <w:p w14:paraId="2E63AF35" w14:textId="78D350FB" w:rsidR="00560D4A" w:rsidRDefault="00560D4A" w:rsidP="009611DD">
      <w:pPr>
        <w:pStyle w:val="Text"/>
      </w:pPr>
      <w:r w:rsidRPr="007505A6">
        <w:t xml:space="preserve">where </w:t>
      </w:r>
      <w:r w:rsidRPr="007505A6">
        <w:rPr>
          <w:rFonts w:ascii="Symbol" w:hAnsi="Symbol"/>
          <w:i/>
          <w:iCs/>
        </w:rPr>
        <w:t></w:t>
      </w:r>
      <w:r w:rsidRPr="00DC5FED">
        <w:rPr>
          <w:vertAlign w:val="subscript"/>
        </w:rPr>
        <w:t>y</w:t>
      </w:r>
      <w:r w:rsidRPr="007505A6">
        <w:t xml:space="preserve"> is the deformation capacity of the pier at the elastic limit</w:t>
      </w:r>
      <w:r w:rsidRPr="007E6F67">
        <w:rPr>
          <w:bCs/>
        </w:rPr>
        <w:t>.</w:t>
      </w:r>
    </w:p>
    <w:p w14:paraId="662A8BAA" w14:textId="24BFD92A" w:rsidR="00CA71C9" w:rsidRPr="007505A6" w:rsidRDefault="00CA71C9" w:rsidP="0080187E">
      <w:pPr>
        <w:pStyle w:val="Clause"/>
        <w:numPr>
          <w:ilvl w:val="0"/>
          <w:numId w:val="250"/>
        </w:numPr>
      </w:pPr>
      <w:r w:rsidRPr="007505A6">
        <w:t xml:space="preserve">If a force-based verification is applied and if all piers with </w:t>
      </w:r>
      <w:r w:rsidRPr="00A8381A">
        <w:rPr>
          <w:i/>
          <w:iCs/>
        </w:rPr>
        <w:t>t</w:t>
      </w:r>
      <w:r w:rsidRPr="00A8381A">
        <w:rPr>
          <w:vertAlign w:val="subscript"/>
        </w:rPr>
        <w:t>B</w:t>
      </w:r>
      <w:r w:rsidRPr="007505A6">
        <w:t> &lt; 0,75 </w:t>
      </w:r>
      <w:r w:rsidRPr="00A8381A">
        <w:rPr>
          <w:i/>
          <w:iCs/>
        </w:rPr>
        <w:t xml:space="preserve">t </w:t>
      </w:r>
      <w:r w:rsidRPr="007505A6">
        <w:t>contribute together 50</w:t>
      </w:r>
      <w:r w:rsidR="002B6C5C">
        <w:t> </w:t>
      </w:r>
      <w:r w:rsidRPr="007505A6">
        <w:t xml:space="preserve">% or more to the storey shear resistance, the </w:t>
      </w:r>
      <w:r w:rsidRPr="00A8381A">
        <w:rPr>
          <w:rFonts w:cstheme="minorHAnsi"/>
          <w:i/>
          <w:iCs/>
          <w:color w:val="000000"/>
          <w:lang w:eastAsia="fr-BE"/>
        </w:rPr>
        <w:t>q</w:t>
      </w:r>
      <w:r w:rsidRPr="00A8381A">
        <w:rPr>
          <w:rFonts w:cstheme="minorHAnsi"/>
          <w:color w:val="000000"/>
          <w:vertAlign w:val="subscript"/>
          <w:lang w:eastAsia="fr-BE"/>
        </w:rPr>
        <w:t>D</w:t>
      </w:r>
      <w:r w:rsidRPr="007505A6">
        <w:t xml:space="preserve"> factor may be reduced by 25</w:t>
      </w:r>
      <w:r w:rsidR="002B6C5C">
        <w:t> </w:t>
      </w:r>
      <w:r w:rsidRPr="007505A6">
        <w:t>%.</w:t>
      </w:r>
    </w:p>
    <w:p w14:paraId="093CF06C" w14:textId="77777777" w:rsidR="00CA71C9" w:rsidRPr="007505A6" w:rsidRDefault="00CA71C9" w:rsidP="00CA71C9">
      <w:pPr>
        <w:rPr>
          <w:bCs/>
        </w:rPr>
      </w:pPr>
      <w:r w:rsidRPr="007505A6">
        <w:br w:type="page"/>
      </w:r>
    </w:p>
    <w:p w14:paraId="01E015C9" w14:textId="02B0DB7B" w:rsidR="00CA71C9" w:rsidRPr="00132C1E" w:rsidRDefault="00560D4A" w:rsidP="00CA71C9">
      <w:pPr>
        <w:pStyle w:val="ANNEX"/>
        <w:tabs>
          <w:tab w:val="clear" w:pos="360"/>
        </w:tabs>
        <w:spacing w:before="0"/>
        <w:rPr>
          <w:lang w:eastAsia="en-US"/>
        </w:rPr>
      </w:pPr>
      <w:bookmarkStart w:id="11695" w:name="_Toc50150818"/>
      <w:bookmarkStart w:id="11696" w:name="_Toc70887251"/>
      <w:bookmarkStart w:id="11697" w:name="_Toc108342863"/>
      <w:r>
        <w:br/>
      </w:r>
      <w:bookmarkStart w:id="11698" w:name="_Toc134198369"/>
      <w:r w:rsidR="00CA71C9" w:rsidRPr="00560D4A">
        <w:rPr>
          <w:b w:val="0"/>
          <w:bCs/>
        </w:rPr>
        <w:t>(informative)</w:t>
      </w:r>
      <w:r w:rsidR="00D4445A">
        <w:rPr>
          <w:b w:val="0"/>
          <w:bCs/>
        </w:rPr>
        <w:br/>
      </w:r>
      <w:r w:rsidR="00CA71C9" w:rsidRPr="00132C1E">
        <w:br/>
      </w:r>
      <w:r w:rsidRPr="00132C1E">
        <w:t>Simplified evaluation of drift demands on infilled frames</w:t>
      </w:r>
      <w:bookmarkEnd w:id="11695"/>
      <w:bookmarkEnd w:id="11696"/>
      <w:bookmarkEnd w:id="11697"/>
      <w:bookmarkEnd w:id="11698"/>
    </w:p>
    <w:p w14:paraId="0CB07C7D" w14:textId="0309D656" w:rsidR="00CA71C9" w:rsidRPr="00132C1E" w:rsidRDefault="00CA71C9" w:rsidP="00CA71C9">
      <w:pPr>
        <w:pStyle w:val="a2"/>
      </w:pPr>
      <w:bookmarkStart w:id="11699" w:name="_Toc50150819"/>
      <w:bookmarkStart w:id="11700" w:name="_Toc70887252"/>
      <w:bookmarkStart w:id="11701" w:name="_Toc108342864"/>
      <w:bookmarkStart w:id="11702" w:name="_Toc134198370"/>
      <w:r w:rsidRPr="00132C1E">
        <w:t xml:space="preserve">Use of this </w:t>
      </w:r>
      <w:r w:rsidR="009611DD">
        <w:t>a</w:t>
      </w:r>
      <w:r w:rsidRPr="00132C1E">
        <w:t>nnex</w:t>
      </w:r>
      <w:bookmarkEnd w:id="11699"/>
      <w:bookmarkEnd w:id="11700"/>
      <w:bookmarkEnd w:id="11701"/>
      <w:bookmarkEnd w:id="11702"/>
    </w:p>
    <w:p w14:paraId="69A4914A" w14:textId="0A3E2C90" w:rsidR="00CA71C9" w:rsidRPr="00560D4A" w:rsidRDefault="00CA71C9" w:rsidP="0080187E">
      <w:pPr>
        <w:pStyle w:val="Clause"/>
        <w:numPr>
          <w:ilvl w:val="0"/>
          <w:numId w:val="251"/>
        </w:numPr>
        <w:rPr>
          <w:rFonts w:eastAsia="Cambria"/>
        </w:rPr>
      </w:pPr>
      <w:r w:rsidRPr="00132C1E">
        <w:t xml:space="preserve">This Informative Annex provides complementary / supplementary guidance to </w:t>
      </w:r>
      <w:r w:rsidRPr="00B00B3D">
        <w:t>7.4.2 (</w:t>
      </w:r>
      <w:r w:rsidRPr="00560D4A">
        <w:rPr>
          <w:rFonts w:eastAsia="Cambria"/>
        </w:rPr>
        <w:t xml:space="preserve">Design of frames with interacting infills) and </w:t>
      </w:r>
      <w:r w:rsidRPr="00B00B3D">
        <w:rPr>
          <w:rFonts w:eastAsia="Cambria"/>
        </w:rPr>
        <w:t>7.4.2.2</w:t>
      </w:r>
      <w:r w:rsidRPr="00560D4A">
        <w:rPr>
          <w:rFonts w:eastAsia="Cambria"/>
        </w:rPr>
        <w:t xml:space="preserve"> (Analysis with a model of the bare frame only)</w:t>
      </w:r>
      <w:r w:rsidRPr="00132C1E">
        <w:t>.</w:t>
      </w:r>
    </w:p>
    <w:p w14:paraId="6966B876" w14:textId="315F834C" w:rsidR="00CA71C9" w:rsidRPr="00132C1E" w:rsidRDefault="00CA71C9" w:rsidP="00560D4A">
      <w:pPr>
        <w:pStyle w:val="Notetext"/>
      </w:pPr>
      <w:r w:rsidRPr="00132C1E">
        <w:t>NOTE</w:t>
      </w:r>
      <w:r w:rsidR="00560D4A">
        <w:tab/>
      </w:r>
      <w:r w:rsidRPr="00132C1E">
        <w:t>National choice on the application of this Informative Annex is given in the National Annex. If the National Annex contains no information on the application of this Informative Annex, it can be used.</w:t>
      </w:r>
    </w:p>
    <w:p w14:paraId="24BF69B3" w14:textId="4D0CFD71" w:rsidR="00CA71C9" w:rsidRPr="00331003" w:rsidRDefault="009611DD" w:rsidP="00CA71C9">
      <w:pPr>
        <w:pStyle w:val="a2"/>
        <w:rPr>
          <w:color w:val="000000" w:themeColor="text1"/>
        </w:rPr>
      </w:pPr>
      <w:bookmarkStart w:id="11703" w:name="_Toc108342865"/>
      <w:bookmarkStart w:id="11704" w:name="_Toc134198371"/>
      <w:r>
        <w:rPr>
          <w:color w:val="000000" w:themeColor="text1"/>
          <w:sz w:val="24"/>
          <w:szCs w:val="24"/>
        </w:rPr>
        <w:t>Scope and f</w:t>
      </w:r>
      <w:r w:rsidR="00CA71C9" w:rsidRPr="00331003">
        <w:rPr>
          <w:color w:val="000000" w:themeColor="text1"/>
          <w:sz w:val="24"/>
          <w:szCs w:val="24"/>
        </w:rPr>
        <w:t>ield of application</w:t>
      </w:r>
      <w:bookmarkEnd w:id="11703"/>
      <w:bookmarkEnd w:id="11704"/>
    </w:p>
    <w:p w14:paraId="5E46C1E8" w14:textId="4EC815B3" w:rsidR="00CA71C9" w:rsidRPr="00132C1E" w:rsidRDefault="00CA71C9" w:rsidP="0080187E">
      <w:pPr>
        <w:pStyle w:val="Clause"/>
        <w:numPr>
          <w:ilvl w:val="0"/>
          <w:numId w:val="252"/>
        </w:numPr>
      </w:pPr>
      <w:r>
        <w:t xml:space="preserve">Annex </w:t>
      </w:r>
      <w:r w:rsidRPr="00B00B3D">
        <w:t>K</w:t>
      </w:r>
      <w:r w:rsidRPr="00132C1E">
        <w:t xml:space="preserve"> is applicable to regular RC structures with int</w:t>
      </w:r>
      <w:r w:rsidRPr="00560D4A">
        <w:rPr>
          <w:color w:val="000000"/>
        </w:rPr>
        <w:t>eracting unreinforced mas</w:t>
      </w:r>
      <w:r w:rsidRPr="00132C1E">
        <w:t>onry infills regularly distributed in elevation.</w:t>
      </w:r>
    </w:p>
    <w:p w14:paraId="5B89BEDE" w14:textId="77777777" w:rsidR="00CA71C9" w:rsidRPr="00132C1E" w:rsidRDefault="00CA71C9" w:rsidP="00560D4A">
      <w:pPr>
        <w:pStyle w:val="Notetext"/>
      </w:pPr>
      <w:r w:rsidRPr="00132C1E">
        <w:t>NOTE</w:t>
      </w:r>
      <w:r w:rsidRPr="00132C1E">
        <w:tab/>
        <w:t xml:space="preserve">The displacements of an infilled frame are smaller than those of a bare frame; the difference between these two displacements increases with the ratio of infill stiffness to bare frame stiffness. </w:t>
      </w:r>
    </w:p>
    <w:p w14:paraId="4E6C1F77" w14:textId="6CF543F9" w:rsidR="00CA71C9" w:rsidRPr="00132C1E" w:rsidRDefault="00CA71C9" w:rsidP="0080187E">
      <w:pPr>
        <w:pStyle w:val="Clause"/>
        <w:numPr>
          <w:ilvl w:val="0"/>
          <w:numId w:val="251"/>
        </w:numPr>
      </w:pPr>
      <w:r>
        <w:t xml:space="preserve">Annex </w:t>
      </w:r>
      <w:r w:rsidRPr="00B00B3D">
        <w:t>K</w:t>
      </w:r>
      <w:r w:rsidRPr="00132C1E">
        <w:t xml:space="preserve"> may be used for the calculation of drift demand in an infilled frame based on the drift calculated on the bare frame.</w:t>
      </w:r>
    </w:p>
    <w:p w14:paraId="250009C0" w14:textId="0F3EFCC4" w:rsidR="00CA71C9" w:rsidRPr="00132C1E" w:rsidRDefault="00CA71C9" w:rsidP="0080187E">
      <w:pPr>
        <w:pStyle w:val="Clause"/>
        <w:numPr>
          <w:ilvl w:val="0"/>
          <w:numId w:val="251"/>
        </w:numPr>
      </w:pPr>
      <w:r>
        <w:t xml:space="preserve">Annex </w:t>
      </w:r>
      <w:r w:rsidRPr="00B00B3D">
        <w:t>K</w:t>
      </w:r>
      <w:r w:rsidRPr="00132C1E">
        <w:t xml:space="preserve"> should be applied for the two principal seismic resistant directions.</w:t>
      </w:r>
    </w:p>
    <w:p w14:paraId="0D82C559" w14:textId="77777777" w:rsidR="00CA71C9" w:rsidRPr="00132C1E" w:rsidRDefault="00CA71C9" w:rsidP="00CA71C9">
      <w:pPr>
        <w:pStyle w:val="a2"/>
      </w:pPr>
      <w:bookmarkStart w:id="11705" w:name="_Toc50150821"/>
      <w:bookmarkStart w:id="11706" w:name="_Toc70887254"/>
      <w:bookmarkStart w:id="11707" w:name="_Toc108342866"/>
      <w:bookmarkStart w:id="11708" w:name="_Toc134198372"/>
      <w:r w:rsidRPr="00132C1E">
        <w:t>Analysis</w:t>
      </w:r>
      <w:bookmarkEnd w:id="11705"/>
      <w:bookmarkEnd w:id="11706"/>
      <w:bookmarkEnd w:id="11707"/>
      <w:bookmarkEnd w:id="11708"/>
    </w:p>
    <w:p w14:paraId="6CD99C74" w14:textId="2410C5AC" w:rsidR="00CA71C9" w:rsidRPr="00132C1E" w:rsidRDefault="00CA71C9" w:rsidP="0080187E">
      <w:pPr>
        <w:pStyle w:val="Clause"/>
        <w:numPr>
          <w:ilvl w:val="0"/>
          <w:numId w:val="253"/>
        </w:numPr>
      </w:pPr>
      <w:r w:rsidRPr="00132C1E">
        <w:t xml:space="preserve">The stiffness </w:t>
      </w:r>
      <w:r w:rsidRPr="00560D4A">
        <w:rPr>
          <w:i/>
        </w:rPr>
        <w:t>K</w:t>
      </w:r>
      <w:r w:rsidRPr="00560D4A">
        <w:rPr>
          <w:iCs/>
          <w:vertAlign w:val="subscript"/>
        </w:rPr>
        <w:t>Inf,i,j</w:t>
      </w:r>
      <w:r w:rsidRPr="00132C1E">
        <w:t xml:space="preserve"> of a masonry infill in bay </w:t>
      </w:r>
      <w:r w:rsidRPr="00560D4A">
        <w:rPr>
          <w:i/>
        </w:rPr>
        <w:t>i</w:t>
      </w:r>
      <w:r w:rsidRPr="00132C1E">
        <w:t xml:space="preserve"> of storey </w:t>
      </w:r>
      <w:r w:rsidRPr="00560D4A">
        <w:rPr>
          <w:i/>
        </w:rPr>
        <w:t>j</w:t>
      </w:r>
      <w:r w:rsidRPr="00132C1E">
        <w:t xml:space="preserve"> may be taken as given by Formula (K.1):</w:t>
      </w:r>
    </w:p>
    <w:p w14:paraId="24392031" w14:textId="4E5E94FA" w:rsidR="00560D4A" w:rsidRPr="006C09CE" w:rsidRDefault="009B5CEC" w:rsidP="00560D4A">
      <w:pPr>
        <w:pStyle w:val="Formula"/>
        <w:spacing w:before="240"/>
      </w:pPr>
      <m:oMath>
        <m:sSub>
          <m:sSubPr>
            <m:ctrlPr>
              <w:rPr>
                <w:rFonts w:ascii="Cambria Math" w:hAnsi="Cambria Math"/>
              </w:rPr>
            </m:ctrlPr>
          </m:sSubPr>
          <m:e>
            <m:r>
              <w:rPr>
                <w:rFonts w:ascii="Cambria Math"/>
              </w:rPr>
              <m:t>K</m:t>
            </m:r>
          </m:e>
          <m:sub>
            <m:r>
              <m:rPr>
                <m:sty m:val="p"/>
              </m:rPr>
              <w:rPr>
                <w:rFonts w:ascii="Cambria Math" w:hAnsi="Cambria Math"/>
              </w:rPr>
              <m:t>Inf,i,j</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V</m:t>
                </m:r>
              </m:e>
              <m:sub>
                <m:r>
                  <m:rPr>
                    <m:sty m:val="p"/>
                  </m:rPr>
                  <w:rPr>
                    <w:rFonts w:ascii="Cambria Math" w:hAnsi="Cambria Math"/>
                  </w:rPr>
                  <m:t>p,Rd,i,j</m:t>
                </m:r>
              </m:sub>
            </m:sSub>
          </m:num>
          <m:den>
            <m:sSub>
              <m:sSubPr>
                <m:ctrlPr>
                  <w:rPr>
                    <w:rFonts w:ascii="Cambria Math" w:hAnsi="Cambria Math"/>
                    <w:i/>
                  </w:rPr>
                </m:ctrlPr>
              </m:sSubPr>
              <m:e>
                <m:r>
                  <w:rPr>
                    <w:rFonts w:ascii="Cambria Math" w:hAnsi="Cambria Math"/>
                  </w:rPr>
                  <m:t>θ</m:t>
                </m:r>
              </m:e>
              <m:sub>
                <m:r>
                  <m:rPr>
                    <m:sty m:val="p"/>
                  </m:rPr>
                  <w:rPr>
                    <w:rFonts w:ascii="Cambria Math" w:hAnsi="Cambria Math"/>
                    <w:vertAlign w:val="subscript"/>
                  </w:rPr>
                  <m:t>p,i,j</m:t>
                </m:r>
              </m:sub>
            </m:sSub>
            <m:sSub>
              <m:sSubPr>
                <m:ctrlPr>
                  <w:rPr>
                    <w:rFonts w:ascii="Cambria Math" w:hAnsi="Cambria Math"/>
                    <w:i/>
                  </w:rPr>
                </m:ctrlPr>
              </m:sSubPr>
              <m:e>
                <m:r>
                  <w:rPr>
                    <w:rFonts w:ascii="Cambria Math" w:hAnsi="Cambria Math"/>
                  </w:rPr>
                  <m:t>h</m:t>
                </m:r>
              </m:e>
              <m:sub>
                <m:r>
                  <w:rPr>
                    <w:rFonts w:ascii="Cambria Math" w:hAnsi="Cambria Math"/>
                  </w:rPr>
                  <m:t>j</m:t>
                </m:r>
              </m:sub>
            </m:sSub>
          </m:den>
        </m:f>
      </m:oMath>
      <w:r w:rsidR="00560D4A" w:rsidRPr="006C09CE">
        <w:tab/>
        <w:t>(</w:t>
      </w:r>
      <w:r w:rsidR="00560D4A">
        <w:t>K</w:t>
      </w:r>
      <w:r w:rsidR="00560D4A" w:rsidRPr="006C09CE">
        <w:t>.</w:t>
      </w:r>
      <w:r w:rsidR="00560D4A">
        <w:t>1</w:t>
      </w:r>
      <w:r w:rsidR="00560D4A" w:rsidRPr="006C09CE">
        <w:t>)</w:t>
      </w:r>
    </w:p>
    <w:p w14:paraId="3E94AD4D" w14:textId="2FEF2B8C" w:rsidR="00560D4A" w:rsidRDefault="00675EBA" w:rsidP="009611DD">
      <w:pPr>
        <w:pStyle w:val="Text"/>
      </w:pPr>
      <w:r>
        <w:t>where</w:t>
      </w:r>
    </w:p>
    <w:tbl>
      <w:tblPr>
        <w:tblW w:w="0" w:type="auto"/>
        <w:tblInd w:w="346" w:type="dxa"/>
        <w:tblLook w:val="04A0" w:firstRow="1" w:lastRow="0" w:firstColumn="1" w:lastColumn="0" w:noHBand="0" w:noVBand="1"/>
      </w:tblPr>
      <w:tblGrid>
        <w:gridCol w:w="1275"/>
        <w:gridCol w:w="7938"/>
      </w:tblGrid>
      <w:tr w:rsidR="00560D4A" w:rsidRPr="00FF1786" w14:paraId="0D758177" w14:textId="77777777" w:rsidTr="002B6C5C">
        <w:tc>
          <w:tcPr>
            <w:tcW w:w="1275" w:type="dxa"/>
          </w:tcPr>
          <w:p w14:paraId="68C930F9" w14:textId="0022172B" w:rsidR="00560D4A" w:rsidRPr="00460668" w:rsidRDefault="00560D4A" w:rsidP="002061E5">
            <w:pPr>
              <w:spacing w:after="60"/>
              <w:rPr>
                <w:rFonts w:eastAsia="Times New Roman" w:cs="Cambria"/>
                <w:szCs w:val="20"/>
                <w:lang w:eastAsia="fr-FR"/>
              </w:rPr>
            </w:pPr>
            <w:r w:rsidRPr="00FD17CF">
              <w:rPr>
                <w:i/>
              </w:rPr>
              <w:t>V</w:t>
            </w:r>
            <w:r w:rsidRPr="00E05E29">
              <w:rPr>
                <w:iCs/>
                <w:vertAlign w:val="subscript"/>
              </w:rPr>
              <w:t>p,Rd,i,j</w:t>
            </w:r>
            <w:r w:rsidRPr="00196951">
              <w:rPr>
                <w:iCs/>
              </w:rPr>
              <w:t xml:space="preserve"> </w:t>
            </w:r>
          </w:p>
        </w:tc>
        <w:tc>
          <w:tcPr>
            <w:tcW w:w="7938" w:type="dxa"/>
          </w:tcPr>
          <w:p w14:paraId="09689DAC" w14:textId="4FB407CC" w:rsidR="00560D4A" w:rsidRPr="006B581F" w:rsidRDefault="00560D4A" w:rsidP="002061E5">
            <w:pPr>
              <w:pStyle w:val="Listofsymbols"/>
              <w:tabs>
                <w:tab w:val="clear" w:pos="1134"/>
                <w:tab w:val="left" w:pos="2481"/>
              </w:tabs>
              <w:ind w:left="0" w:firstLine="0"/>
              <w:rPr>
                <w:szCs w:val="22"/>
              </w:rPr>
            </w:pPr>
            <w:r w:rsidRPr="00132C1E">
              <w:t xml:space="preserve">is the shear strength of the masonry infill from Formula (7.10) </w:t>
            </w:r>
            <w:r w:rsidRPr="009611DD">
              <w:t>in 7.4.3.7;</w:t>
            </w:r>
          </w:p>
        </w:tc>
      </w:tr>
      <w:tr w:rsidR="00560D4A" w:rsidRPr="00FF1786" w14:paraId="1E94B66D" w14:textId="77777777" w:rsidTr="002B6C5C">
        <w:tc>
          <w:tcPr>
            <w:tcW w:w="1275" w:type="dxa"/>
          </w:tcPr>
          <w:p w14:paraId="6FF46B9F" w14:textId="127AC630" w:rsidR="00560D4A" w:rsidRPr="00A47E27" w:rsidRDefault="00560D4A" w:rsidP="002061E5">
            <w:pPr>
              <w:spacing w:after="60"/>
              <w:rPr>
                <w:sz w:val="20"/>
                <w:lang w:eastAsia="de-DE"/>
              </w:rPr>
            </w:pPr>
            <w:r w:rsidRPr="00132C1E">
              <w:rPr>
                <w:i/>
                <w:iCs/>
              </w:rPr>
              <w:t>θ</w:t>
            </w:r>
            <w:r w:rsidRPr="00132C1E">
              <w:rPr>
                <w:vertAlign w:val="subscript"/>
              </w:rPr>
              <w:t>p,i,j</w:t>
            </w:r>
          </w:p>
        </w:tc>
        <w:tc>
          <w:tcPr>
            <w:tcW w:w="7938" w:type="dxa"/>
          </w:tcPr>
          <w:p w14:paraId="0ED1B836" w14:textId="5FB1B7F1" w:rsidR="00560D4A" w:rsidRPr="006B581F" w:rsidRDefault="00560D4A" w:rsidP="002061E5">
            <w:pPr>
              <w:pStyle w:val="Listofsymbols"/>
              <w:tabs>
                <w:tab w:val="clear" w:pos="1134"/>
                <w:tab w:val="left" w:pos="2481"/>
              </w:tabs>
              <w:ind w:left="0" w:firstLine="0"/>
            </w:pPr>
            <w:r w:rsidRPr="00132C1E">
              <w:t>is the drift limit at DL of the masonry infill taken from Table 7.</w:t>
            </w:r>
            <w:r w:rsidR="00C16E02">
              <w:t>1</w:t>
            </w:r>
            <w:r w:rsidRPr="00132C1E">
              <w:t>;</w:t>
            </w:r>
          </w:p>
        </w:tc>
      </w:tr>
      <w:tr w:rsidR="00560D4A" w:rsidRPr="00FF1786" w14:paraId="5A4DE963" w14:textId="77777777" w:rsidTr="002B6C5C">
        <w:tc>
          <w:tcPr>
            <w:tcW w:w="1275" w:type="dxa"/>
          </w:tcPr>
          <w:p w14:paraId="3AF2BE4F" w14:textId="549683EB" w:rsidR="00560D4A" w:rsidRDefault="00560D4A" w:rsidP="002061E5">
            <w:pPr>
              <w:spacing w:after="60"/>
            </w:pPr>
            <w:r w:rsidRPr="00132C1E">
              <w:rPr>
                <w:i/>
              </w:rPr>
              <w:t>h</w:t>
            </w:r>
            <w:r w:rsidRPr="00FE00DD">
              <w:rPr>
                <w:iCs/>
                <w:vertAlign w:val="subscript"/>
              </w:rPr>
              <w:t>j</w:t>
            </w:r>
          </w:p>
        </w:tc>
        <w:tc>
          <w:tcPr>
            <w:tcW w:w="7938" w:type="dxa"/>
          </w:tcPr>
          <w:p w14:paraId="0D7B9D4A" w14:textId="4905E0F8" w:rsidR="00560D4A" w:rsidRPr="009611DD" w:rsidRDefault="00560D4A" w:rsidP="002061E5">
            <w:pPr>
              <w:pStyle w:val="Listofsymbols"/>
              <w:tabs>
                <w:tab w:val="clear" w:pos="1134"/>
                <w:tab w:val="left" w:pos="2481"/>
              </w:tabs>
              <w:ind w:left="0" w:firstLine="0"/>
            </w:pPr>
            <w:r w:rsidRPr="00132C1E">
              <w:t xml:space="preserve">is the height of storey </w:t>
            </w:r>
            <w:r w:rsidRPr="00132C1E">
              <w:rPr>
                <w:i/>
                <w:iCs/>
              </w:rPr>
              <w:t>j</w:t>
            </w:r>
            <w:r w:rsidR="009611DD">
              <w:t>.</w:t>
            </w:r>
          </w:p>
        </w:tc>
      </w:tr>
    </w:tbl>
    <w:p w14:paraId="1FE459FE" w14:textId="66F8B7F5" w:rsidR="009951F2" w:rsidRPr="009951F2" w:rsidRDefault="009951F2" w:rsidP="009951F2">
      <w:pPr>
        <w:pStyle w:val="Notetext"/>
      </w:pPr>
      <w:r w:rsidRPr="009951F2">
        <w:t>NOTE</w:t>
      </w:r>
      <w:r w:rsidRPr="009951F2">
        <w:tab/>
        <w:t>The drift limit at DL corresponds to the peak strength of the masonry infill.</w:t>
      </w:r>
    </w:p>
    <w:p w14:paraId="165D3BAB" w14:textId="019474CC" w:rsidR="009951F2" w:rsidRPr="00132C1E" w:rsidRDefault="009951F2" w:rsidP="0080187E">
      <w:pPr>
        <w:pStyle w:val="Clause"/>
        <w:numPr>
          <w:ilvl w:val="0"/>
          <w:numId w:val="253"/>
        </w:numPr>
      </w:pPr>
      <w:r w:rsidRPr="00132C1E">
        <w:rPr>
          <w:rFonts w:eastAsia="TimesNewRoman"/>
        </w:rPr>
        <w:t xml:space="preserve">In </w:t>
      </w:r>
      <w:r w:rsidRPr="00B00B3D">
        <w:rPr>
          <w:rFonts w:eastAsia="TimesNewRoman"/>
        </w:rPr>
        <w:t>(1)</w:t>
      </w:r>
      <w:r w:rsidRPr="00132C1E">
        <w:rPr>
          <w:rFonts w:eastAsia="TimesNewRoman"/>
        </w:rPr>
        <w:t>, for masonry infill panels made of other materials than those of Table 7.</w:t>
      </w:r>
      <w:r w:rsidR="00C16E02">
        <w:rPr>
          <w:rFonts w:eastAsia="TimesNewRoman"/>
        </w:rPr>
        <w:t>1</w:t>
      </w:r>
      <w:r w:rsidRPr="00132C1E">
        <w:rPr>
          <w:rFonts w:eastAsia="TimesNewRoman"/>
        </w:rPr>
        <w:t xml:space="preserve"> and for masonry panels with openings, respectively </w:t>
      </w:r>
      <w:r w:rsidRPr="00B00B3D">
        <w:rPr>
          <w:rFonts w:eastAsia="TimesNewRoman"/>
        </w:rPr>
        <w:t xml:space="preserve">7.4.3.1(6) </w:t>
      </w:r>
      <w:r w:rsidRPr="00132C1E">
        <w:rPr>
          <w:rFonts w:eastAsia="TimesNewRoman"/>
        </w:rPr>
        <w:t xml:space="preserve">and </w:t>
      </w:r>
      <w:r w:rsidRPr="00B00B3D">
        <w:rPr>
          <w:rFonts w:eastAsia="TimesNewRoman"/>
        </w:rPr>
        <w:t xml:space="preserve">7.4.3.1(7) </w:t>
      </w:r>
      <w:r w:rsidRPr="00132C1E">
        <w:rPr>
          <w:rFonts w:eastAsia="TimesNewRoman"/>
        </w:rPr>
        <w:t>should be applied.</w:t>
      </w:r>
    </w:p>
    <w:p w14:paraId="11C6D329" w14:textId="476774CD" w:rsidR="009951F2" w:rsidRPr="00132C1E" w:rsidRDefault="009951F2" w:rsidP="0080187E">
      <w:pPr>
        <w:pStyle w:val="Clause"/>
        <w:numPr>
          <w:ilvl w:val="0"/>
          <w:numId w:val="253"/>
        </w:numPr>
      </w:pPr>
      <w:r w:rsidRPr="00132C1E">
        <w:t xml:space="preserve">If different types of infills and if infills with openings are present in storey </w:t>
      </w:r>
      <w:r w:rsidRPr="00132C1E">
        <w:rPr>
          <w:i/>
          <w:iCs/>
        </w:rPr>
        <w:t>j</w:t>
      </w:r>
      <w:r w:rsidRPr="00132C1E">
        <w:t xml:space="preserve">, an equivalent drift capacity </w:t>
      </w:r>
      <w:r w:rsidRPr="00132C1E">
        <w:rPr>
          <w:i/>
          <w:iCs/>
        </w:rPr>
        <w:t>θ</w:t>
      </w:r>
      <w:r w:rsidRPr="00132C1E">
        <w:rPr>
          <w:vertAlign w:val="subscript"/>
        </w:rPr>
        <w:t>m,j</w:t>
      </w:r>
      <w:r w:rsidRPr="00132C1E">
        <w:t xml:space="preserve"> for the whole set of bays may be calculated using Formula (K.2) and the stiffness </w:t>
      </w:r>
      <w:r w:rsidRPr="00132C1E">
        <w:rPr>
          <w:i/>
        </w:rPr>
        <w:t>K</w:t>
      </w:r>
      <w:r w:rsidRPr="00132C1E">
        <w:rPr>
          <w:iCs/>
          <w:vertAlign w:val="subscript"/>
        </w:rPr>
        <w:t>Inf,i,j</w:t>
      </w:r>
      <w:r w:rsidRPr="00132C1E">
        <w:t xml:space="preserve"> of a masonry infill in bay </w:t>
      </w:r>
      <w:r w:rsidRPr="00132C1E">
        <w:rPr>
          <w:i/>
        </w:rPr>
        <w:t>i</w:t>
      </w:r>
      <w:r w:rsidRPr="00132C1E">
        <w:t xml:space="preserve"> of storey </w:t>
      </w:r>
      <w:r w:rsidRPr="00132C1E">
        <w:rPr>
          <w:i/>
        </w:rPr>
        <w:t>j</w:t>
      </w:r>
      <w:r w:rsidRPr="00132C1E">
        <w:t xml:space="preserve"> may be taken as given by Formula (K.3).</w:t>
      </w:r>
    </w:p>
    <w:p w14:paraId="0F68C075" w14:textId="662E7EBA" w:rsidR="00560D4A" w:rsidRDefault="00560D4A"/>
    <w:p w14:paraId="6289C947" w14:textId="08735CC9" w:rsidR="00782FDD" w:rsidRPr="006C09CE" w:rsidRDefault="009B5CEC" w:rsidP="00782FDD">
      <w:pPr>
        <w:pStyle w:val="Formula"/>
        <w:spacing w:before="240"/>
      </w:pPr>
      <m:oMath>
        <m:sSub>
          <m:sSubPr>
            <m:ctrlPr>
              <w:rPr>
                <w:rFonts w:ascii="Cambria Math" w:hAnsi="Cambria Math"/>
              </w:rPr>
            </m:ctrlPr>
          </m:sSubPr>
          <m:e>
            <m:r>
              <w:rPr>
                <w:rFonts w:ascii="Cambria Math" w:hAnsi="Cambria Math"/>
              </w:rPr>
              <m:t>θ</m:t>
            </m:r>
          </m:e>
          <m:sub>
            <m:r>
              <w:rPr>
                <w:rFonts w:ascii="Cambria Math"/>
              </w:rPr>
              <m:t>m</m:t>
            </m:r>
            <m:r>
              <m:rPr>
                <m:sty m:val="p"/>
              </m:rPr>
              <w:rPr>
                <w:rFonts w:ascii="Cambria Math" w:hAnsi="Cambria Math"/>
              </w:rPr>
              <m:t>,j</m:t>
            </m:r>
          </m:sub>
        </m:sSub>
        <m:r>
          <w:rPr>
            <w:rFonts w:ascii="Cambria Math" w:hAnsi="Cambria Math"/>
          </w:rPr>
          <m:t>=</m:t>
        </m:r>
        <m:f>
          <m:fPr>
            <m:ctrlPr>
              <w:rPr>
                <w:rFonts w:ascii="Cambria Math" w:hAnsi="Cambria Math"/>
                <w:i/>
              </w:rPr>
            </m:ctrlPr>
          </m:fPr>
          <m:num>
            <m:nary>
              <m:naryPr>
                <m:chr m:val="∑"/>
                <m:limLoc m:val="undOvr"/>
                <m:ctrlPr>
                  <w:rPr>
                    <w:rFonts w:ascii="Cambria Math" w:hAnsi="Cambria Math"/>
                    <w:i/>
                  </w:rPr>
                </m:ctrlPr>
              </m:naryPr>
              <m:sub>
                <m:r>
                  <w:rPr>
                    <w:rFonts w:ascii="Cambria Math" w:hAnsi="Cambria Math"/>
                  </w:rPr>
                  <m:t>i=1</m:t>
                </m:r>
              </m:sub>
              <m:sup>
                <m:r>
                  <w:rPr>
                    <w:rFonts w:ascii="Cambria Math" w:hAnsi="Cambria Math"/>
                  </w:rPr>
                  <m:t xml:space="preserve"> </m:t>
                </m:r>
                <m:sSub>
                  <m:sSubPr>
                    <m:ctrlPr>
                      <w:rPr>
                        <w:rFonts w:ascii="Cambria Math" w:hAnsi="Cambria Math"/>
                        <w:iCs/>
                        <w:vertAlign w:val="subscript"/>
                      </w:rPr>
                    </m:ctrlPr>
                  </m:sSubPr>
                  <m:e>
                    <m:r>
                      <w:rPr>
                        <w:rFonts w:ascii="Cambria Math" w:hAnsi="Cambria Math"/>
                        <w:vertAlign w:val="subscript"/>
                      </w:rPr>
                      <m:t>n</m:t>
                    </m:r>
                  </m:e>
                  <m:sub>
                    <m:r>
                      <m:rPr>
                        <m:sty m:val="p"/>
                      </m:rPr>
                      <w:rPr>
                        <w:rFonts w:ascii="Cambria Math" w:hAnsi="Cambria Math"/>
                        <w:vertAlign w:val="subscript"/>
                      </w:rPr>
                      <m:t>b,j</m:t>
                    </m:r>
                  </m:sub>
                </m:sSub>
              </m:sup>
              <m:e>
                <m:sSub>
                  <m:sSubPr>
                    <m:ctrlPr>
                      <w:rPr>
                        <w:rFonts w:ascii="Cambria Math" w:hAnsi="Cambria Math"/>
                        <w:i/>
                      </w:rPr>
                    </m:ctrlPr>
                  </m:sSubPr>
                  <m:e>
                    <m:r>
                      <w:rPr>
                        <w:rFonts w:ascii="Cambria Math" w:hAnsi="Cambria Math"/>
                      </w:rPr>
                      <m:t>V</m:t>
                    </m:r>
                  </m:e>
                  <m:sub>
                    <m:r>
                      <m:rPr>
                        <m:sty m:val="p"/>
                      </m:rPr>
                      <w:rPr>
                        <w:rFonts w:ascii="Cambria Math" w:hAnsi="Cambria Math"/>
                      </w:rPr>
                      <m:t>p,Rd,i,j</m:t>
                    </m:r>
                  </m:sub>
                </m:sSub>
              </m:e>
            </m:nary>
          </m:num>
          <m:den>
            <m:nary>
              <m:naryPr>
                <m:chr m:val="∑"/>
                <m:limLoc m:val="undOvr"/>
                <m:ctrlPr>
                  <w:rPr>
                    <w:rFonts w:ascii="Cambria Math" w:hAnsi="Cambria Math"/>
                    <w:i/>
                  </w:rPr>
                </m:ctrlPr>
              </m:naryPr>
              <m:sub>
                <m:r>
                  <w:rPr>
                    <w:rFonts w:ascii="Cambria Math" w:hAnsi="Cambria Math"/>
                  </w:rPr>
                  <m:t>i=1</m:t>
                </m:r>
              </m:sub>
              <m:sup>
                <m:r>
                  <w:rPr>
                    <w:rFonts w:ascii="Cambria Math" w:hAnsi="Cambria Math"/>
                  </w:rPr>
                  <m:t xml:space="preserve"> </m:t>
                </m:r>
                <m:sSub>
                  <m:sSubPr>
                    <m:ctrlPr>
                      <w:rPr>
                        <w:rFonts w:ascii="Cambria Math" w:hAnsi="Cambria Math"/>
                        <w:iCs/>
                        <w:vertAlign w:val="subscript"/>
                      </w:rPr>
                    </m:ctrlPr>
                  </m:sSubPr>
                  <m:e>
                    <m:r>
                      <w:rPr>
                        <w:rFonts w:ascii="Cambria Math" w:hAnsi="Cambria Math"/>
                        <w:vertAlign w:val="subscript"/>
                      </w:rPr>
                      <m:t>n</m:t>
                    </m:r>
                  </m:e>
                  <m:sub>
                    <m:r>
                      <m:rPr>
                        <m:sty m:val="p"/>
                      </m:rPr>
                      <w:rPr>
                        <w:rFonts w:ascii="Cambria Math" w:hAnsi="Cambria Math"/>
                        <w:vertAlign w:val="subscript"/>
                      </w:rPr>
                      <m:t>b,j</m:t>
                    </m:r>
                  </m:sub>
                </m:sSub>
              </m:sup>
              <m:e>
                <m:f>
                  <m:fPr>
                    <m:ctrlPr>
                      <w:rPr>
                        <w:rFonts w:ascii="Cambria Math" w:hAnsi="Cambria Math"/>
                        <w:i/>
                      </w:rPr>
                    </m:ctrlPr>
                  </m:fPr>
                  <m:num>
                    <m:sSub>
                      <m:sSubPr>
                        <m:ctrlPr>
                          <w:rPr>
                            <w:rFonts w:ascii="Cambria Math" w:hAnsi="Cambria Math"/>
                            <w:i/>
                          </w:rPr>
                        </m:ctrlPr>
                      </m:sSubPr>
                      <m:e>
                        <m:r>
                          <w:rPr>
                            <w:rFonts w:ascii="Cambria Math" w:hAnsi="Cambria Math"/>
                          </w:rPr>
                          <m:t>V</m:t>
                        </m:r>
                      </m:e>
                      <m:sub>
                        <m:r>
                          <m:rPr>
                            <m:sty m:val="p"/>
                          </m:rPr>
                          <w:rPr>
                            <w:rFonts w:ascii="Cambria Math" w:hAnsi="Cambria Math"/>
                          </w:rPr>
                          <m:t>p,Rd,i,j</m:t>
                        </m:r>
                      </m:sub>
                    </m:sSub>
                  </m:num>
                  <m:den>
                    <m:sSub>
                      <m:sSubPr>
                        <m:ctrlPr>
                          <w:rPr>
                            <w:rFonts w:ascii="Cambria Math" w:hAnsi="Cambria Math"/>
                            <w:i/>
                          </w:rPr>
                        </m:ctrlPr>
                      </m:sSubPr>
                      <m:e>
                        <m:r>
                          <w:rPr>
                            <w:rFonts w:ascii="Cambria Math" w:hAnsi="Cambria Math"/>
                          </w:rPr>
                          <m:t>θ</m:t>
                        </m:r>
                      </m:e>
                      <m:sub>
                        <m:r>
                          <m:rPr>
                            <m:sty m:val="p"/>
                          </m:rPr>
                          <w:rPr>
                            <w:rFonts w:ascii="Cambria Math" w:hAnsi="Cambria Math"/>
                            <w:vertAlign w:val="subscript"/>
                          </w:rPr>
                          <m:t>p,i,j</m:t>
                        </m:r>
                      </m:sub>
                    </m:sSub>
                  </m:den>
                </m:f>
              </m:e>
            </m:nary>
          </m:den>
        </m:f>
      </m:oMath>
      <w:r w:rsidR="00782FDD" w:rsidRPr="006C09CE">
        <w:tab/>
        <w:t>(</w:t>
      </w:r>
      <w:r w:rsidR="00782FDD">
        <w:t>K</w:t>
      </w:r>
      <w:r w:rsidR="00782FDD" w:rsidRPr="006C09CE">
        <w:t>.</w:t>
      </w:r>
      <w:r w:rsidR="002F22E7">
        <w:t>2</w:t>
      </w:r>
      <w:r w:rsidR="00782FDD" w:rsidRPr="006C09CE">
        <w:t>)</w:t>
      </w:r>
    </w:p>
    <w:p w14:paraId="5AFB8690" w14:textId="69977B96" w:rsidR="00782FDD" w:rsidRPr="00782FDD" w:rsidRDefault="00782FDD" w:rsidP="009611DD">
      <w:pPr>
        <w:pStyle w:val="Text"/>
        <w:rPr>
          <w:iCs/>
        </w:rPr>
      </w:pPr>
      <w:r w:rsidRPr="00132C1E">
        <w:t>where</w:t>
      </w:r>
      <w:r w:rsidRPr="00782FDD">
        <w:rPr>
          <w:i/>
        </w:rPr>
        <w:t xml:space="preserve"> </w:t>
      </w:r>
      <w:r w:rsidRPr="00FD17CF">
        <w:rPr>
          <w:i/>
        </w:rPr>
        <w:t>n</w:t>
      </w:r>
      <w:r w:rsidRPr="00730049">
        <w:rPr>
          <w:iCs/>
          <w:vertAlign w:val="subscript"/>
        </w:rPr>
        <w:t>b,j</w:t>
      </w:r>
      <w:r w:rsidRPr="00196951">
        <w:rPr>
          <w:i/>
        </w:rPr>
        <w:t xml:space="preserve"> </w:t>
      </w:r>
      <w:r w:rsidRPr="002144A0">
        <w:t xml:space="preserve">is the number of bays in storey </w:t>
      </w:r>
      <w:r w:rsidRPr="002144A0">
        <w:rPr>
          <w:i/>
        </w:rPr>
        <w:t>j</w:t>
      </w:r>
      <w:r>
        <w:rPr>
          <w:iCs/>
        </w:rPr>
        <w:t>.</w:t>
      </w:r>
    </w:p>
    <w:p w14:paraId="0404AAED" w14:textId="36BCC333" w:rsidR="002F22E7" w:rsidRPr="006C09CE" w:rsidRDefault="009B5CEC" w:rsidP="002F22E7">
      <w:pPr>
        <w:pStyle w:val="Formula"/>
        <w:spacing w:before="240"/>
      </w:pPr>
      <m:oMath>
        <m:sSub>
          <m:sSubPr>
            <m:ctrlPr>
              <w:rPr>
                <w:rFonts w:ascii="Cambria Math" w:hAnsi="Cambria Math"/>
              </w:rPr>
            </m:ctrlPr>
          </m:sSubPr>
          <m:e>
            <m:r>
              <w:rPr>
                <w:rFonts w:ascii="Cambria Math"/>
              </w:rPr>
              <m:t>K</m:t>
            </m:r>
          </m:e>
          <m:sub>
            <m:r>
              <m:rPr>
                <m:sty m:val="p"/>
              </m:rPr>
              <w:rPr>
                <w:rFonts w:ascii="Cambria Math" w:hAnsi="Cambria Math"/>
              </w:rPr>
              <m:t>Inf,i,j</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V</m:t>
                </m:r>
              </m:e>
              <m:sub>
                <m:r>
                  <m:rPr>
                    <m:sty m:val="p"/>
                  </m:rPr>
                  <w:rPr>
                    <w:rFonts w:ascii="Cambria Math" w:hAnsi="Cambria Math"/>
                  </w:rPr>
                  <m:t>p,Rd,i,j</m:t>
                </m:r>
              </m:sub>
            </m:sSub>
          </m:num>
          <m:den>
            <m:sSub>
              <m:sSubPr>
                <m:ctrlPr>
                  <w:rPr>
                    <w:rFonts w:ascii="Cambria Math" w:hAnsi="Cambria Math"/>
                    <w:i/>
                  </w:rPr>
                </m:ctrlPr>
              </m:sSubPr>
              <m:e>
                <m:r>
                  <w:rPr>
                    <w:rFonts w:ascii="Cambria Math" w:hAnsi="Cambria Math"/>
                  </w:rPr>
                  <m:t>θ</m:t>
                </m:r>
              </m:e>
              <m:sub>
                <m:r>
                  <m:rPr>
                    <m:sty m:val="p"/>
                  </m:rPr>
                  <w:rPr>
                    <w:rFonts w:ascii="Cambria Math" w:hAnsi="Cambria Math"/>
                    <w:vertAlign w:val="subscript"/>
                  </w:rPr>
                  <m:t>m,j</m:t>
                </m:r>
              </m:sub>
            </m:sSub>
            <m:sSub>
              <m:sSubPr>
                <m:ctrlPr>
                  <w:rPr>
                    <w:rFonts w:ascii="Cambria Math" w:hAnsi="Cambria Math"/>
                    <w:i/>
                  </w:rPr>
                </m:ctrlPr>
              </m:sSubPr>
              <m:e>
                <m:r>
                  <w:rPr>
                    <w:rFonts w:ascii="Cambria Math" w:hAnsi="Cambria Math"/>
                  </w:rPr>
                  <m:t>h</m:t>
                </m:r>
              </m:e>
              <m:sub>
                <m:r>
                  <w:rPr>
                    <w:rFonts w:ascii="Cambria Math" w:hAnsi="Cambria Math"/>
                  </w:rPr>
                  <m:t>j</m:t>
                </m:r>
              </m:sub>
            </m:sSub>
          </m:den>
        </m:f>
      </m:oMath>
      <w:r w:rsidR="002F22E7" w:rsidRPr="006C09CE">
        <w:tab/>
        <w:t>(</w:t>
      </w:r>
      <w:r w:rsidR="002F22E7">
        <w:t>K</w:t>
      </w:r>
      <w:r w:rsidR="002F22E7" w:rsidRPr="006C09CE">
        <w:t>.</w:t>
      </w:r>
      <w:r w:rsidR="002F22E7">
        <w:t>3</w:t>
      </w:r>
      <w:r w:rsidR="002F22E7" w:rsidRPr="006C09CE">
        <w:t>)</w:t>
      </w:r>
    </w:p>
    <w:p w14:paraId="2FFF360D" w14:textId="001FCE46" w:rsidR="002F22E7" w:rsidRPr="002144A0" w:rsidRDefault="002F22E7" w:rsidP="0080187E">
      <w:pPr>
        <w:pStyle w:val="Clause"/>
        <w:numPr>
          <w:ilvl w:val="0"/>
          <w:numId w:val="253"/>
        </w:numPr>
      </w:pPr>
      <w:r w:rsidRPr="00D1484A">
        <w:t xml:space="preserve">The stiffness </w:t>
      </w:r>
      <w:r w:rsidRPr="007E6F67">
        <w:rPr>
          <w:i/>
        </w:rPr>
        <w:t>K</w:t>
      </w:r>
      <w:r w:rsidRPr="00FD17CF">
        <w:rPr>
          <w:iCs/>
          <w:vertAlign w:val="subscript"/>
        </w:rPr>
        <w:t>Inf,j</w:t>
      </w:r>
      <w:r w:rsidRPr="00FD17CF">
        <w:rPr>
          <w:iCs/>
        </w:rPr>
        <w:t xml:space="preserve"> </w:t>
      </w:r>
      <w:r w:rsidRPr="00FD17CF">
        <w:t xml:space="preserve">due to all infills in storey </w:t>
      </w:r>
      <w:r w:rsidRPr="00E05E29">
        <w:rPr>
          <w:i/>
        </w:rPr>
        <w:t>j</w:t>
      </w:r>
      <w:r w:rsidRPr="00196951">
        <w:t xml:space="preserve"> may be </w:t>
      </w:r>
      <w:r w:rsidRPr="002144A0">
        <w:t>calculated using Formula (K.4).</w:t>
      </w:r>
    </w:p>
    <w:p w14:paraId="2B90EF86" w14:textId="79F3CCDD" w:rsidR="002F22E7" w:rsidRPr="006C09CE" w:rsidRDefault="009B5CEC" w:rsidP="002F22E7">
      <w:pPr>
        <w:pStyle w:val="Formula"/>
        <w:spacing w:before="240"/>
      </w:pPr>
      <m:oMath>
        <m:sSub>
          <m:sSubPr>
            <m:ctrlPr>
              <w:rPr>
                <w:rFonts w:ascii="Cambria Math" w:hAnsi="Cambria Math"/>
              </w:rPr>
            </m:ctrlPr>
          </m:sSubPr>
          <m:e>
            <m:r>
              <w:rPr>
                <w:rFonts w:ascii="Cambria Math"/>
              </w:rPr>
              <m:t>K</m:t>
            </m:r>
          </m:e>
          <m:sub>
            <m:r>
              <m:rPr>
                <m:sty m:val="p"/>
              </m:rPr>
              <w:rPr>
                <w:rFonts w:ascii="Cambria Math" w:hAnsi="Cambria Math"/>
              </w:rPr>
              <m:t>Inf,j</m:t>
            </m:r>
          </m:sub>
        </m:sSub>
        <m:r>
          <w:rPr>
            <w:rFonts w:ascii="Cambria Math" w:hAnsi="Cambria Math"/>
          </w:rPr>
          <m:t>=</m:t>
        </m:r>
        <m:nary>
          <m:naryPr>
            <m:chr m:val="∑"/>
            <m:limLoc m:val="subSup"/>
            <m:ctrlPr>
              <w:rPr>
                <w:rFonts w:ascii="Cambria Math" w:hAnsi="Cambria Math"/>
                <w:i/>
              </w:rPr>
            </m:ctrlPr>
          </m:naryPr>
          <m:sub>
            <m:r>
              <w:rPr>
                <w:rFonts w:ascii="Cambria Math" w:hAnsi="Cambria Math"/>
              </w:rPr>
              <m:t>i=1</m:t>
            </m:r>
          </m:sub>
          <m:sup>
            <m:sSub>
              <m:sSubPr>
                <m:ctrlPr>
                  <w:rPr>
                    <w:rFonts w:ascii="Cambria Math" w:hAnsi="Cambria Math"/>
                    <w:iCs/>
                    <w:vertAlign w:val="subscript"/>
                  </w:rPr>
                </m:ctrlPr>
              </m:sSubPr>
              <m:e>
                <m:r>
                  <w:rPr>
                    <w:rFonts w:ascii="Cambria Math" w:hAnsi="Cambria Math"/>
                    <w:vertAlign w:val="subscript"/>
                  </w:rPr>
                  <m:t>n</m:t>
                </m:r>
              </m:e>
              <m:sub>
                <m:r>
                  <m:rPr>
                    <m:sty m:val="p"/>
                  </m:rPr>
                  <w:rPr>
                    <w:rFonts w:ascii="Cambria Math" w:hAnsi="Cambria Math"/>
                    <w:vertAlign w:val="subscript"/>
                  </w:rPr>
                  <m:t>b,j</m:t>
                </m:r>
              </m:sub>
            </m:sSub>
          </m:sup>
          <m:e>
            <m:sSub>
              <m:sSubPr>
                <m:ctrlPr>
                  <w:rPr>
                    <w:rFonts w:ascii="Cambria Math" w:hAnsi="Cambria Math"/>
                  </w:rPr>
                </m:ctrlPr>
              </m:sSubPr>
              <m:e>
                <m:r>
                  <w:rPr>
                    <w:rFonts w:ascii="Cambria Math"/>
                  </w:rPr>
                  <m:t>K</m:t>
                </m:r>
              </m:e>
              <m:sub>
                <m:r>
                  <m:rPr>
                    <m:sty m:val="p"/>
                  </m:rPr>
                  <w:rPr>
                    <w:rFonts w:ascii="Cambria Math" w:hAnsi="Cambria Math"/>
                  </w:rPr>
                  <m:t>Inf,i,j</m:t>
                </m:r>
              </m:sub>
            </m:sSub>
          </m:e>
        </m:nary>
      </m:oMath>
      <w:r w:rsidR="002F22E7" w:rsidRPr="006C09CE">
        <w:tab/>
        <w:t>(</w:t>
      </w:r>
      <w:r w:rsidR="002F22E7">
        <w:t>K</w:t>
      </w:r>
      <w:r w:rsidR="002F22E7" w:rsidRPr="006C09CE">
        <w:t>.</w:t>
      </w:r>
      <w:r w:rsidR="002F22E7">
        <w:t>4</w:t>
      </w:r>
      <w:r w:rsidR="002F22E7" w:rsidRPr="006C09CE">
        <w:t>)</w:t>
      </w:r>
    </w:p>
    <w:p w14:paraId="5720722F" w14:textId="1AA57BC0" w:rsidR="00112368" w:rsidRPr="002144A0" w:rsidRDefault="00112368" w:rsidP="0080187E">
      <w:pPr>
        <w:pStyle w:val="Clause"/>
        <w:numPr>
          <w:ilvl w:val="0"/>
          <w:numId w:val="253"/>
        </w:numPr>
      </w:pPr>
      <w:r w:rsidRPr="00FD17CF">
        <w:t xml:space="preserve">The stiffness </w:t>
      </w:r>
      <w:r w:rsidRPr="00FD17CF">
        <w:rPr>
          <w:i/>
        </w:rPr>
        <w:t>K</w:t>
      </w:r>
      <w:r w:rsidRPr="00FD17CF">
        <w:rPr>
          <w:iCs/>
          <w:vertAlign w:val="subscript"/>
        </w:rPr>
        <w:t>Fr,j</w:t>
      </w:r>
      <w:r w:rsidRPr="00E05E29">
        <w:rPr>
          <w:iCs/>
        </w:rPr>
        <w:t xml:space="preserve"> </w:t>
      </w:r>
      <w:r w:rsidRPr="00196951">
        <w:t xml:space="preserve">of storey </w:t>
      </w:r>
      <w:r w:rsidRPr="002144A0">
        <w:rPr>
          <w:i/>
        </w:rPr>
        <w:t>j</w:t>
      </w:r>
      <w:r w:rsidRPr="002144A0">
        <w:t xml:space="preserve"> of the bare frame may be calculated using Formula (K.5).</w:t>
      </w:r>
    </w:p>
    <w:p w14:paraId="12C9635F" w14:textId="10ABEFF2" w:rsidR="00112368" w:rsidRPr="006C09CE" w:rsidRDefault="009B5CEC" w:rsidP="00112368">
      <w:pPr>
        <w:pStyle w:val="Formula"/>
        <w:spacing w:before="240"/>
      </w:pPr>
      <m:oMath>
        <m:sSub>
          <m:sSubPr>
            <m:ctrlPr>
              <w:rPr>
                <w:rFonts w:ascii="Cambria Math" w:hAnsi="Cambria Math"/>
              </w:rPr>
            </m:ctrlPr>
          </m:sSubPr>
          <m:e>
            <m:r>
              <w:rPr>
                <w:rFonts w:ascii="Cambria Math"/>
              </w:rPr>
              <m:t>K</m:t>
            </m:r>
          </m:e>
          <m:sub>
            <m:r>
              <m:rPr>
                <m:sty m:val="p"/>
              </m:rPr>
              <w:rPr>
                <w:rFonts w:ascii="Cambria Math" w:hAnsi="Cambria Math"/>
              </w:rPr>
              <m:t>Fr,j</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V</m:t>
                </m:r>
              </m:e>
              <m:sub>
                <m:r>
                  <m:rPr>
                    <m:sty m:val="p"/>
                  </m:rPr>
                  <w:rPr>
                    <w:rFonts w:ascii="Cambria Math" w:hAnsi="Cambria Math"/>
                  </w:rPr>
                  <m:t>tot,j</m:t>
                </m:r>
              </m:sub>
            </m:sSub>
          </m:num>
          <m:den>
            <m:sSub>
              <m:sSubPr>
                <m:ctrlPr>
                  <w:rPr>
                    <w:rFonts w:ascii="Cambria Math" w:hAnsi="Cambria Math"/>
                    <w:i/>
                  </w:rPr>
                </m:ctrlPr>
              </m:sSubPr>
              <m:e>
                <m:r>
                  <w:rPr>
                    <w:rFonts w:ascii="Cambria Math" w:hAnsi="Cambria Math"/>
                  </w:rPr>
                  <m:t>d</m:t>
                </m:r>
              </m:e>
              <m:sub>
                <m:r>
                  <w:rPr>
                    <w:rFonts w:ascii="Cambria Math" w:hAnsi="Cambria Math"/>
                  </w:rPr>
                  <m:t>e,r,j</m:t>
                </m:r>
              </m:sub>
            </m:sSub>
          </m:den>
        </m:f>
      </m:oMath>
      <w:r w:rsidR="00112368" w:rsidRPr="006C09CE">
        <w:tab/>
        <w:t>(</w:t>
      </w:r>
      <w:r w:rsidR="00112368">
        <w:t>K</w:t>
      </w:r>
      <w:r w:rsidR="00112368" w:rsidRPr="006C09CE">
        <w:t>.</w:t>
      </w:r>
      <w:r w:rsidR="00112368">
        <w:t>5</w:t>
      </w:r>
      <w:r w:rsidR="00112368" w:rsidRPr="006C09CE">
        <w:t>)</w:t>
      </w:r>
    </w:p>
    <w:p w14:paraId="52F5F55F" w14:textId="42441BCF" w:rsidR="00112368" w:rsidRDefault="00675EBA" w:rsidP="009611DD">
      <w:pPr>
        <w:pStyle w:val="Text"/>
      </w:pPr>
      <w:r>
        <w:t>where</w:t>
      </w:r>
    </w:p>
    <w:tbl>
      <w:tblPr>
        <w:tblW w:w="0" w:type="auto"/>
        <w:tblInd w:w="346" w:type="dxa"/>
        <w:tblLook w:val="04A0" w:firstRow="1" w:lastRow="0" w:firstColumn="1" w:lastColumn="0" w:noHBand="0" w:noVBand="1"/>
      </w:tblPr>
      <w:tblGrid>
        <w:gridCol w:w="1275"/>
        <w:gridCol w:w="7938"/>
      </w:tblGrid>
      <w:tr w:rsidR="00112368" w:rsidRPr="00FF1786" w14:paraId="49338D79" w14:textId="77777777" w:rsidTr="002B6C5C">
        <w:tc>
          <w:tcPr>
            <w:tcW w:w="1275" w:type="dxa"/>
          </w:tcPr>
          <w:p w14:paraId="40D330C0" w14:textId="5F2E6020" w:rsidR="00112368" w:rsidRPr="00460668" w:rsidRDefault="00112368" w:rsidP="002061E5">
            <w:pPr>
              <w:spacing w:after="60"/>
              <w:rPr>
                <w:rFonts w:eastAsia="Times New Roman" w:cs="Cambria"/>
                <w:szCs w:val="20"/>
                <w:lang w:eastAsia="fr-FR"/>
              </w:rPr>
            </w:pPr>
            <w:r w:rsidRPr="00FD17CF">
              <w:rPr>
                <w:i/>
              </w:rPr>
              <w:t>d</w:t>
            </w:r>
            <w:r w:rsidRPr="00E05E29">
              <w:rPr>
                <w:iCs/>
                <w:vertAlign w:val="subscript"/>
              </w:rPr>
              <w:t>e,r,j</w:t>
            </w:r>
          </w:p>
        </w:tc>
        <w:tc>
          <w:tcPr>
            <w:tcW w:w="7938" w:type="dxa"/>
          </w:tcPr>
          <w:p w14:paraId="01021D88" w14:textId="300F7BF7" w:rsidR="00112368" w:rsidRPr="006B581F" w:rsidRDefault="00112368" w:rsidP="002061E5">
            <w:pPr>
              <w:pStyle w:val="Listofsymbols"/>
              <w:tabs>
                <w:tab w:val="clear" w:pos="1134"/>
                <w:tab w:val="left" w:pos="2481"/>
              </w:tabs>
              <w:ind w:left="0" w:firstLine="0"/>
              <w:rPr>
                <w:szCs w:val="22"/>
              </w:rPr>
            </w:pPr>
            <w:r w:rsidRPr="002144A0">
              <w:t>is the interstorey average elastic drift, calculated as the difference of the average lateral elastic displacements</w:t>
            </w:r>
            <w:r w:rsidRPr="002144A0">
              <w:rPr>
                <w:i/>
              </w:rPr>
              <w:t xml:space="preserve"> d</w:t>
            </w:r>
            <w:r w:rsidRPr="002144A0">
              <w:rPr>
                <w:iCs/>
                <w:vertAlign w:val="subscript"/>
              </w:rPr>
              <w:t>e,j+1</w:t>
            </w:r>
            <w:r w:rsidRPr="002144A0">
              <w:rPr>
                <w:iCs/>
              </w:rPr>
              <w:t xml:space="preserve"> and</w:t>
            </w:r>
            <w:r w:rsidRPr="002144A0">
              <w:t xml:space="preserve"> </w:t>
            </w:r>
            <w:r w:rsidRPr="002144A0">
              <w:rPr>
                <w:i/>
              </w:rPr>
              <w:t>d</w:t>
            </w:r>
            <w:r w:rsidRPr="002144A0">
              <w:rPr>
                <w:iCs/>
                <w:vertAlign w:val="subscript"/>
              </w:rPr>
              <w:t>e,j</w:t>
            </w:r>
            <w:r w:rsidRPr="002144A0">
              <w:rPr>
                <w:iCs/>
              </w:rPr>
              <w:t xml:space="preserve"> </w:t>
            </w:r>
            <w:r w:rsidRPr="002144A0">
              <w:t xml:space="preserve">at the top and bottom of storey </w:t>
            </w:r>
            <w:r w:rsidRPr="004F25D7">
              <w:rPr>
                <w:i/>
              </w:rPr>
              <w:t>j</w:t>
            </w:r>
            <w:r w:rsidRPr="00C52095">
              <w:rPr>
                <w:iCs/>
              </w:rPr>
              <w:t>;</w:t>
            </w:r>
          </w:p>
        </w:tc>
      </w:tr>
      <w:tr w:rsidR="00112368" w:rsidRPr="00FF1786" w14:paraId="003D10D3" w14:textId="77777777" w:rsidTr="002B6C5C">
        <w:tc>
          <w:tcPr>
            <w:tcW w:w="1275" w:type="dxa"/>
          </w:tcPr>
          <w:p w14:paraId="59C73518" w14:textId="5B0E06C3" w:rsidR="00112368" w:rsidRPr="00A47E27" w:rsidRDefault="00112368" w:rsidP="002061E5">
            <w:pPr>
              <w:spacing w:after="60"/>
              <w:rPr>
                <w:sz w:val="20"/>
                <w:lang w:eastAsia="de-DE"/>
              </w:rPr>
            </w:pPr>
            <w:r w:rsidRPr="00C52095">
              <w:rPr>
                <w:i/>
              </w:rPr>
              <w:t>V</w:t>
            </w:r>
            <w:r w:rsidRPr="00C52095">
              <w:rPr>
                <w:vertAlign w:val="subscript"/>
              </w:rPr>
              <w:t>tot,j</w:t>
            </w:r>
          </w:p>
        </w:tc>
        <w:tc>
          <w:tcPr>
            <w:tcW w:w="7938" w:type="dxa"/>
          </w:tcPr>
          <w:p w14:paraId="4A4CD2BA" w14:textId="7AA17625" w:rsidR="00112368" w:rsidRPr="006B581F" w:rsidRDefault="00112368" w:rsidP="002061E5">
            <w:pPr>
              <w:pStyle w:val="Listofsymbols"/>
              <w:tabs>
                <w:tab w:val="clear" w:pos="1134"/>
                <w:tab w:val="left" w:pos="2481"/>
              </w:tabs>
              <w:ind w:left="0" w:firstLine="0"/>
            </w:pPr>
            <w:r w:rsidRPr="007754C9">
              <w:t xml:space="preserve">is the total storey shear at storey </w:t>
            </w:r>
            <w:r w:rsidRPr="007754C9">
              <w:rPr>
                <w:i/>
                <w:iCs/>
              </w:rPr>
              <w:t xml:space="preserve">j </w:t>
            </w:r>
            <w:r w:rsidRPr="00132C1E">
              <w:t>in the seismic design situation.</w:t>
            </w:r>
          </w:p>
        </w:tc>
      </w:tr>
    </w:tbl>
    <w:p w14:paraId="1EE9FDDE" w14:textId="0876AA38" w:rsidR="00112368" w:rsidRPr="002144A0" w:rsidRDefault="00112368" w:rsidP="0080187E">
      <w:pPr>
        <w:pStyle w:val="Clause"/>
        <w:numPr>
          <w:ilvl w:val="0"/>
          <w:numId w:val="253"/>
        </w:numPr>
      </w:pPr>
      <w:r w:rsidRPr="00132C1E">
        <w:rPr>
          <w:rFonts w:eastAsia="MS PGothic"/>
        </w:rPr>
        <w:t>The</w:t>
      </w:r>
      <w:r w:rsidRPr="00132C1E">
        <w:t xml:space="preserve"> stiffness parameter</w:t>
      </w:r>
      <w:r w:rsidRPr="00132C1E">
        <w:rPr>
          <w:rFonts w:eastAsia="MS PGothic"/>
        </w:rPr>
        <w:t xml:space="preserve"> </w:t>
      </w:r>
      <w:r w:rsidRPr="00132C1E">
        <w:rPr>
          <w:rFonts w:eastAsia="MS PGothic"/>
          <w:i/>
          <w:iCs/>
        </w:rPr>
        <w:t>C</w:t>
      </w:r>
      <w:r w:rsidRPr="00484ED1">
        <w:rPr>
          <w:rFonts w:eastAsia="MS PGothic"/>
          <w:vertAlign w:val="subscript"/>
        </w:rPr>
        <w:t>j</w:t>
      </w:r>
      <w:r w:rsidRPr="00132C1E">
        <w:rPr>
          <w:rFonts w:eastAsia="MS PGothic"/>
          <w:i/>
          <w:iCs/>
        </w:rPr>
        <w:t xml:space="preserve"> </w:t>
      </w:r>
      <w:r w:rsidRPr="00132C1E">
        <w:rPr>
          <w:rFonts w:eastAsia="MS PGothic"/>
        </w:rPr>
        <w:t>which character</w:t>
      </w:r>
      <w:r w:rsidR="00E10A24">
        <w:rPr>
          <w:rFonts w:eastAsia="MS PGothic"/>
        </w:rPr>
        <w:t>ize</w:t>
      </w:r>
      <w:r w:rsidRPr="00132C1E">
        <w:rPr>
          <w:rFonts w:eastAsia="MS PGothic"/>
        </w:rPr>
        <w:t xml:space="preserve">s the relative stiffness due to the infills and due to the bare frame at the </w:t>
      </w:r>
      <w:r w:rsidRPr="00132C1E">
        <w:rPr>
          <w:rFonts w:eastAsia="MS PGothic"/>
          <w:i/>
        </w:rPr>
        <w:t>j</w:t>
      </w:r>
      <w:r w:rsidRPr="00484ED1">
        <w:rPr>
          <w:rFonts w:eastAsia="MS PGothic"/>
          <w:iCs/>
        </w:rPr>
        <w:t>-th</w:t>
      </w:r>
      <w:r w:rsidRPr="00132C1E">
        <w:rPr>
          <w:rFonts w:eastAsia="MS PGothic"/>
        </w:rPr>
        <w:t xml:space="preserve"> storey</w:t>
      </w:r>
      <w:r w:rsidRPr="00132C1E">
        <w:t xml:space="preserve"> may calculated using Formula (K.6).</w:t>
      </w:r>
    </w:p>
    <w:p w14:paraId="11BCF3EF" w14:textId="355FDE31" w:rsidR="00112368" w:rsidRPr="006C09CE" w:rsidRDefault="009B5CEC" w:rsidP="00112368">
      <w:pPr>
        <w:pStyle w:val="Formula"/>
        <w:spacing w:before="240"/>
      </w:pPr>
      <m:oMath>
        <m:sSub>
          <m:sSubPr>
            <m:ctrlPr>
              <w:rPr>
                <w:rFonts w:ascii="Cambria Math" w:hAnsi="Cambria Math"/>
              </w:rPr>
            </m:ctrlPr>
          </m:sSubPr>
          <m:e>
            <m:r>
              <w:rPr>
                <w:rFonts w:ascii="Cambria Math"/>
              </w:rPr>
              <m:t>C</m:t>
            </m:r>
          </m:e>
          <m:sub>
            <m:r>
              <m:rPr>
                <m:sty m:val="p"/>
              </m:rPr>
              <w:rPr>
                <w:rFonts w:ascii="Cambria Math" w:hAnsi="Cambria Math"/>
              </w:rPr>
              <m:t>j</m:t>
            </m:r>
          </m:sub>
        </m:sSub>
        <m:r>
          <w:rPr>
            <w:rFonts w:ascii="Cambria Math" w:hAnsi="Cambria Math"/>
          </w:rPr>
          <m:t>=</m:t>
        </m:r>
        <m:sSub>
          <m:sSubPr>
            <m:ctrlPr>
              <w:rPr>
                <w:rFonts w:ascii="Cambria Math" w:hAnsi="Cambria Math"/>
              </w:rPr>
            </m:ctrlPr>
          </m:sSubPr>
          <m:e>
            <m:sSub>
              <m:sSubPr>
                <m:ctrlPr>
                  <w:rPr>
                    <w:rFonts w:ascii="Cambria Math" w:hAnsi="Cambria Math"/>
                  </w:rPr>
                </m:ctrlPr>
              </m:sSubPr>
              <m:e>
                <m:r>
                  <w:rPr>
                    <w:rFonts w:ascii="Cambria Math"/>
                  </w:rPr>
                  <m:t>K</m:t>
                </m:r>
              </m:e>
              <m:sub>
                <m:r>
                  <m:rPr>
                    <m:sty m:val="p"/>
                  </m:rPr>
                  <w:rPr>
                    <w:rFonts w:ascii="Cambria Math" w:hAnsi="Cambria Math"/>
                  </w:rPr>
                  <m:t>Inf,j</m:t>
                </m:r>
              </m:sub>
            </m:sSub>
            <m:r>
              <w:rPr>
                <w:rFonts w:ascii="Cambria Math"/>
              </w:rPr>
              <m:t>/K</m:t>
            </m:r>
          </m:e>
          <m:sub>
            <m:r>
              <m:rPr>
                <m:sty m:val="p"/>
              </m:rPr>
              <w:rPr>
                <w:rFonts w:ascii="Cambria Math" w:hAnsi="Cambria Math"/>
              </w:rPr>
              <m:t>Fr,j</m:t>
            </m:r>
          </m:sub>
        </m:sSub>
      </m:oMath>
      <w:r w:rsidR="00112368" w:rsidRPr="006C09CE">
        <w:tab/>
        <w:t>(</w:t>
      </w:r>
      <w:r w:rsidR="00112368">
        <w:t>K</w:t>
      </w:r>
      <w:r w:rsidR="00112368" w:rsidRPr="006C09CE">
        <w:t>.</w:t>
      </w:r>
      <w:r w:rsidR="00112368">
        <w:t>6</w:t>
      </w:r>
      <w:r w:rsidR="00112368" w:rsidRPr="006C09CE">
        <w:t>)</w:t>
      </w:r>
    </w:p>
    <w:p w14:paraId="1BCE8257" w14:textId="56D27C2A" w:rsidR="00611758" w:rsidRPr="00132C1E" w:rsidRDefault="00611758" w:rsidP="0080187E">
      <w:pPr>
        <w:pStyle w:val="Clause"/>
        <w:numPr>
          <w:ilvl w:val="0"/>
          <w:numId w:val="253"/>
        </w:numPr>
      </w:pPr>
      <w:r w:rsidRPr="00132C1E">
        <w:t xml:space="preserve">The drift at the ground storey of the infilled structure should be taken as equal to the one calculated for the bare structure and </w:t>
      </w:r>
      <w:r w:rsidRPr="00132C1E">
        <w:rPr>
          <w:i/>
        </w:rPr>
        <w:t>C</w:t>
      </w:r>
      <w:r w:rsidRPr="00484ED1">
        <w:rPr>
          <w:iCs/>
          <w:vertAlign w:val="subscript"/>
        </w:rPr>
        <w:t>1</w:t>
      </w:r>
      <w:r w:rsidRPr="00132C1E">
        <w:rPr>
          <w:i/>
        </w:rPr>
        <w:t xml:space="preserve"> </w:t>
      </w:r>
      <w:r w:rsidRPr="00132C1E">
        <w:rPr>
          <w:iCs/>
        </w:rPr>
        <w:t xml:space="preserve">taken </w:t>
      </w:r>
      <w:r w:rsidRPr="00132C1E">
        <w:t>equal to zero.</w:t>
      </w:r>
    </w:p>
    <w:p w14:paraId="5C6B0517" w14:textId="766A67EE" w:rsidR="00611758" w:rsidRPr="00132C1E" w:rsidRDefault="00611758" w:rsidP="0080187E">
      <w:pPr>
        <w:pStyle w:val="Clause"/>
        <w:numPr>
          <w:ilvl w:val="0"/>
          <w:numId w:val="253"/>
        </w:numPr>
      </w:pPr>
      <w:r w:rsidRPr="00132C1E">
        <w:t xml:space="preserve">The interstorey drift </w:t>
      </w:r>
      <w:r w:rsidRPr="00132C1E">
        <w:rPr>
          <w:rFonts w:eastAsia="MS PGothic"/>
          <w:iCs/>
          <w:kern w:val="24"/>
        </w:rPr>
        <w:t xml:space="preserve">demand </w:t>
      </w:r>
      <w:r w:rsidRPr="00132C1E">
        <w:rPr>
          <w:rFonts w:eastAsia="MS PGothic"/>
          <w:i/>
          <w:kern w:val="24"/>
        </w:rPr>
        <w:t>θ</w:t>
      </w:r>
      <w:r w:rsidRPr="00437207">
        <w:rPr>
          <w:rFonts w:eastAsia="MS PGothic"/>
          <w:iCs/>
          <w:kern w:val="24"/>
          <w:vertAlign w:val="subscript"/>
        </w:rPr>
        <w:t>Ed,j</w:t>
      </w:r>
      <w:r w:rsidRPr="00132C1E">
        <w:rPr>
          <w:rFonts w:eastAsia="MS PGothic"/>
          <w:i/>
          <w:kern w:val="24"/>
        </w:rPr>
        <w:t xml:space="preserve"> </w:t>
      </w:r>
      <w:r w:rsidRPr="00132C1E">
        <w:t>at</w:t>
      </w:r>
      <w:r w:rsidRPr="00132C1E">
        <w:rPr>
          <w:rFonts w:eastAsia="MS PGothic"/>
        </w:rPr>
        <w:t xml:space="preserve"> storey </w:t>
      </w:r>
      <w:r w:rsidRPr="00132C1E">
        <w:rPr>
          <w:rFonts w:eastAsia="MS PGothic"/>
          <w:i/>
          <w:iCs/>
        </w:rPr>
        <w:t>j</w:t>
      </w:r>
      <w:r w:rsidRPr="00132C1E">
        <w:rPr>
          <w:rFonts w:eastAsia="MS PGothic"/>
        </w:rPr>
        <w:t xml:space="preserve"> </w:t>
      </w:r>
      <w:r w:rsidRPr="00132C1E">
        <w:t xml:space="preserve">of the infilled frame </w:t>
      </w:r>
      <w:r w:rsidRPr="00132C1E">
        <w:rPr>
          <w:rFonts w:eastAsia="MS PGothic"/>
          <w:kern w:val="24"/>
        </w:rPr>
        <w:t>may be calculated with Formula</w:t>
      </w:r>
      <w:r w:rsidR="002B6C5C">
        <w:rPr>
          <w:rFonts w:eastAsia="MS PGothic"/>
          <w:kern w:val="24"/>
        </w:rPr>
        <w:t> </w:t>
      </w:r>
      <w:r w:rsidRPr="00132C1E">
        <w:rPr>
          <w:rFonts w:eastAsia="MS PGothic"/>
          <w:kern w:val="24"/>
        </w:rPr>
        <w:t>(K.7)</w:t>
      </w:r>
      <w:r w:rsidRPr="00132C1E">
        <w:t xml:space="preserve"> or with Figure K.1 for the case of </w:t>
      </w:r>
      <w:r w:rsidRPr="00132C1E">
        <w:rPr>
          <w:i/>
          <w:iCs/>
        </w:rPr>
        <w:t>θ</w:t>
      </w:r>
      <w:r w:rsidRPr="00437207">
        <w:rPr>
          <w:vertAlign w:val="subscript"/>
        </w:rPr>
        <w:t>mj</w:t>
      </w:r>
      <w:r w:rsidRPr="00132C1E">
        <w:rPr>
          <w:rFonts w:eastAsia="MS PGothic"/>
        </w:rPr>
        <w:t xml:space="preserve"> = 0,003.</w:t>
      </w:r>
    </w:p>
    <w:p w14:paraId="67815777" w14:textId="5632471D" w:rsidR="00611758" w:rsidRPr="006C09CE" w:rsidRDefault="009B5CEC" w:rsidP="00611758">
      <w:pPr>
        <w:pStyle w:val="Formula"/>
        <w:spacing w:before="240"/>
      </w:pPr>
      <m:oMath>
        <m:m>
          <m:mPr>
            <m:mcs>
              <m:mc>
                <m:mcPr>
                  <m:count m:val="1"/>
                  <m:mcJc m:val="center"/>
                </m:mcPr>
              </m:mc>
            </m:mcs>
            <m:ctrlPr>
              <w:rPr>
                <w:rFonts w:ascii="Cambria Math" w:hAnsi="Cambria Math"/>
              </w:rPr>
            </m:ctrlPr>
          </m:mPr>
          <m:mr>
            <m:e>
              <m:sSub>
                <m:sSubPr>
                  <m:ctrlPr>
                    <w:rPr>
                      <w:rFonts w:ascii="Cambria Math" w:eastAsia="MS PGothic" w:hAnsi="Cambria Math"/>
                      <w:szCs w:val="24"/>
                    </w:rPr>
                  </m:ctrlPr>
                </m:sSubPr>
                <m:e>
                  <m:r>
                    <w:rPr>
                      <w:rFonts w:ascii="Cambria Math" w:eastAsia="MS PGothic" w:hAnsi="Cambria Math"/>
                      <w:szCs w:val="24"/>
                    </w:rPr>
                    <m:t>θ</m:t>
                  </m:r>
                </m:e>
                <m:sub>
                  <m:r>
                    <m:rPr>
                      <m:sty m:val="p"/>
                    </m:rPr>
                    <w:rPr>
                      <w:rFonts w:ascii="Cambria Math" w:eastAsia="MS PGothic" w:hAnsi="Cambria Math"/>
                      <w:szCs w:val="24"/>
                    </w:rPr>
                    <m:t>Ed,j</m:t>
                  </m:r>
                </m:sub>
              </m:sSub>
              <m:r>
                <w:rPr>
                  <w:rFonts w:ascii="Cambria Math" w:eastAsia="MS PGothic" w:hAnsi="Cambria Math"/>
                  <w:szCs w:val="24"/>
                </w:rPr>
                <m:t>=</m:t>
              </m:r>
              <m:f>
                <m:fPr>
                  <m:ctrlPr>
                    <w:rPr>
                      <w:rFonts w:ascii="Cambria Math" w:eastAsia="MS PGothic" w:hAnsi="Cambria Math"/>
                      <w:szCs w:val="24"/>
                    </w:rPr>
                  </m:ctrlPr>
                </m:fPr>
                <m:num>
                  <m:sSub>
                    <m:sSubPr>
                      <m:ctrlPr>
                        <w:rPr>
                          <w:rFonts w:ascii="Cambria Math" w:eastAsia="MS PGothic" w:hAnsi="Cambria Math"/>
                          <w:kern w:val="24"/>
                        </w:rPr>
                      </m:ctrlPr>
                    </m:sSubPr>
                    <m:e>
                      <m:r>
                        <w:rPr>
                          <w:rFonts w:ascii="Cambria Math" w:eastAsia="MS PGothic" w:hAnsi="Cambria Math"/>
                          <w:kern w:val="24"/>
                        </w:rPr>
                        <m:t>θ</m:t>
                      </m:r>
                    </m:e>
                    <m:sub>
                      <m:r>
                        <m:rPr>
                          <m:sty m:val="p"/>
                        </m:rPr>
                        <w:rPr>
                          <w:rFonts w:ascii="Cambria Math" w:eastAsia="MS PGothic" w:hAnsi="Cambria Math"/>
                          <w:kern w:val="24"/>
                        </w:rPr>
                        <m:t>m,j</m:t>
                      </m:r>
                    </m:sub>
                  </m:sSub>
                  <m:sSub>
                    <m:sSubPr>
                      <m:ctrlPr>
                        <w:rPr>
                          <w:rFonts w:ascii="Cambria Math" w:eastAsia="MS PGothic" w:hAnsi="Cambria Math"/>
                          <w:szCs w:val="24"/>
                        </w:rPr>
                      </m:ctrlPr>
                    </m:sSubPr>
                    <m:e>
                      <m:r>
                        <w:rPr>
                          <w:rFonts w:ascii="Cambria Math" w:eastAsia="MS PGothic" w:hAnsi="Cambria Math"/>
                          <w:kern w:val="24"/>
                        </w:rPr>
                        <m:t>θ</m:t>
                      </m:r>
                    </m:e>
                    <m:sub>
                      <m:r>
                        <m:rPr>
                          <m:sty m:val="p"/>
                        </m:rPr>
                        <w:rPr>
                          <w:rFonts w:ascii="Cambria Math" w:eastAsia="MS PGothic" w:hAnsi="Cambria Math"/>
                          <w:szCs w:val="24"/>
                        </w:rPr>
                        <m:t>e,j</m:t>
                      </m:r>
                    </m:sub>
                  </m:sSub>
                </m:num>
                <m:den>
                  <m:sSub>
                    <m:sSubPr>
                      <m:ctrlPr>
                        <w:rPr>
                          <w:rFonts w:ascii="Cambria Math" w:eastAsia="MS PGothic" w:hAnsi="Cambria Math"/>
                          <w:kern w:val="24"/>
                        </w:rPr>
                      </m:ctrlPr>
                    </m:sSubPr>
                    <m:e>
                      <m:r>
                        <w:rPr>
                          <w:rFonts w:ascii="Cambria Math" w:eastAsia="MS PGothic" w:hAnsi="Cambria Math"/>
                          <w:kern w:val="24"/>
                        </w:rPr>
                        <m:t>θ</m:t>
                      </m:r>
                    </m:e>
                    <m:sub>
                      <m:r>
                        <m:rPr>
                          <m:sty m:val="p"/>
                        </m:rPr>
                        <w:rPr>
                          <w:rFonts w:ascii="Cambria Math" w:eastAsia="MS PGothic" w:hAnsi="Cambria Math"/>
                          <w:kern w:val="24"/>
                        </w:rPr>
                        <m:t>m,j</m:t>
                      </m:r>
                    </m:sub>
                  </m:sSub>
                  <m:r>
                    <w:rPr>
                      <w:rFonts w:ascii="Cambria Math" w:eastAsia="MS PGothic" w:hAnsi="Cambria Math"/>
                      <w:szCs w:val="24"/>
                    </w:rPr>
                    <m:t>+</m:t>
                  </m:r>
                  <m:sSub>
                    <m:sSubPr>
                      <m:ctrlPr>
                        <w:rPr>
                          <w:rFonts w:ascii="Cambria Math" w:eastAsia="MS PGothic" w:hAnsi="Cambria Math"/>
                          <w:szCs w:val="24"/>
                        </w:rPr>
                      </m:ctrlPr>
                    </m:sSubPr>
                    <m:e>
                      <m:sSub>
                        <m:sSubPr>
                          <m:ctrlPr>
                            <w:rPr>
                              <w:rFonts w:ascii="Cambria Math" w:eastAsia="MS PGothic" w:hAnsi="Cambria Math"/>
                              <w:szCs w:val="24"/>
                            </w:rPr>
                          </m:ctrlPr>
                        </m:sSubPr>
                        <m:e>
                          <m:r>
                            <w:rPr>
                              <w:rFonts w:ascii="Cambria Math" w:eastAsia="MS PGothic" w:hAnsi="Cambria Math"/>
                              <w:kern w:val="24"/>
                            </w:rPr>
                            <m:t>θ</m:t>
                          </m:r>
                        </m:e>
                        <m:sub>
                          <m:r>
                            <m:rPr>
                              <m:sty m:val="p"/>
                            </m:rPr>
                            <w:rPr>
                              <w:rFonts w:ascii="Cambria Math" w:eastAsia="MS PGothic" w:hAnsi="Cambria Math"/>
                              <w:szCs w:val="24"/>
                            </w:rPr>
                            <m:t>C,j</m:t>
                          </m:r>
                        </m:sub>
                      </m:sSub>
                      <m:r>
                        <w:rPr>
                          <w:rFonts w:ascii="Cambria Math" w:eastAsia="MS PGothic" w:hAnsi="Cambria Math"/>
                          <w:szCs w:val="24"/>
                        </w:rPr>
                        <m:t>C</m:t>
                      </m:r>
                    </m:e>
                    <m:sub>
                      <m:r>
                        <m:rPr>
                          <m:sty m:val="p"/>
                        </m:rPr>
                        <w:rPr>
                          <w:rFonts w:ascii="Cambria Math" w:eastAsia="MS PGothic" w:hAnsi="Cambria Math"/>
                          <w:szCs w:val="24"/>
                        </w:rPr>
                        <m:t>j</m:t>
                      </m:r>
                    </m:sub>
                  </m:sSub>
                </m:den>
              </m:f>
              <m:r>
                <m:rPr>
                  <m:sty m:val="p"/>
                </m:rPr>
                <w:rPr>
                  <w:rFonts w:ascii="Cambria Math" w:eastAsia="MS PGothic" w:hAnsi="Cambria Math"/>
                </w:rPr>
                <m:t xml:space="preserve">           if</m:t>
              </m:r>
              <m:r>
                <w:rPr>
                  <w:rFonts w:ascii="Cambria Math" w:eastAsia="MS PGothic" w:hAnsi="Cambria Math"/>
                </w:rPr>
                <m:t xml:space="preserve"> </m:t>
              </m:r>
              <m:r>
                <m:rPr>
                  <m:sty m:val="p"/>
                </m:rPr>
                <w:rPr>
                  <w:rFonts w:ascii="Cambria Math" w:eastAsia="MS PGothic" w:hAnsi="Cambria Math"/>
                </w:rPr>
                <m:t xml:space="preserve">       </m:t>
              </m:r>
              <m:sSub>
                <m:sSubPr>
                  <m:ctrlPr>
                    <w:rPr>
                      <w:rFonts w:ascii="Cambria Math" w:eastAsia="MS PGothic" w:hAnsi="Cambria Math"/>
                    </w:rPr>
                  </m:ctrlPr>
                </m:sSubPr>
                <m:e>
                  <m:r>
                    <w:rPr>
                      <w:rFonts w:ascii="Cambria Math" w:eastAsia="MS PGothic" w:hAnsi="Cambria Math"/>
                      <w:kern w:val="24"/>
                    </w:rPr>
                    <m:t>θ</m:t>
                  </m:r>
                </m:e>
                <m:sub>
                  <m:r>
                    <m:rPr>
                      <m:sty m:val="p"/>
                    </m:rPr>
                    <w:rPr>
                      <w:rFonts w:ascii="Cambria Math" w:eastAsia="MS PGothic" w:hAnsi="Cambria Math"/>
                    </w:rPr>
                    <m:t>e,j</m:t>
                  </m:r>
                </m:sub>
              </m:sSub>
              <m:r>
                <w:rPr>
                  <w:rFonts w:ascii="Cambria Math" w:eastAsia="MS PGothic" w:hAnsi="Cambria Math"/>
                </w:rPr>
                <m:t>≤</m:t>
              </m:r>
              <m:sSub>
                <m:sSubPr>
                  <m:ctrlPr>
                    <w:rPr>
                      <w:rFonts w:ascii="Cambria Math" w:eastAsia="MS PGothic" w:hAnsi="Cambria Math"/>
                      <w:kern w:val="24"/>
                    </w:rPr>
                  </m:ctrlPr>
                </m:sSubPr>
                <m:e>
                  <m:r>
                    <w:rPr>
                      <w:rFonts w:ascii="Cambria Math" w:eastAsia="MS PGothic" w:hAnsi="Cambria Math"/>
                      <w:kern w:val="24"/>
                    </w:rPr>
                    <m:t>θ</m:t>
                  </m:r>
                </m:e>
                <m:sub>
                  <m:r>
                    <m:rPr>
                      <m:sty m:val="p"/>
                    </m:rPr>
                    <w:rPr>
                      <w:rFonts w:ascii="Cambria Math" w:eastAsia="MS PGothic" w:hAnsi="Cambria Math"/>
                      <w:kern w:val="24"/>
                    </w:rPr>
                    <m:t>m,j</m:t>
                  </m:r>
                </m:sub>
              </m:sSub>
              <m:r>
                <w:rPr>
                  <w:rFonts w:ascii="Cambria Math" w:eastAsia="MS PGothic" w:hAnsi="Cambria Math"/>
                </w:rPr>
                <m:t>+</m:t>
              </m:r>
              <m:sSub>
                <m:sSubPr>
                  <m:ctrlPr>
                    <w:rPr>
                      <w:rFonts w:ascii="Cambria Math" w:eastAsia="MS PGothic" w:hAnsi="Cambria Math"/>
                    </w:rPr>
                  </m:ctrlPr>
                </m:sSubPr>
                <m:e>
                  <m:r>
                    <w:rPr>
                      <w:rFonts w:ascii="Cambria Math" w:eastAsia="MS PGothic" w:hAnsi="Cambria Math"/>
                      <w:kern w:val="24"/>
                    </w:rPr>
                    <m:t>θ</m:t>
                  </m:r>
                </m:e>
                <m:sub>
                  <m:r>
                    <m:rPr>
                      <m:sty m:val="p"/>
                    </m:rPr>
                    <w:rPr>
                      <w:rFonts w:ascii="Cambria Math" w:eastAsia="MS PGothic" w:hAnsi="Cambria Math"/>
                    </w:rPr>
                    <m:t>C,j</m:t>
                  </m:r>
                </m:sub>
              </m:sSub>
              <m:sSub>
                <m:sSubPr>
                  <m:ctrlPr>
                    <w:rPr>
                      <w:rFonts w:ascii="Cambria Math" w:eastAsia="MS PGothic" w:hAnsi="Cambria Math"/>
                    </w:rPr>
                  </m:ctrlPr>
                </m:sSubPr>
                <m:e>
                  <m:r>
                    <w:rPr>
                      <w:rFonts w:ascii="Cambria Math" w:eastAsia="MS PGothic" w:hAnsi="Cambria Math"/>
                    </w:rPr>
                    <m:t>C</m:t>
                  </m:r>
                </m:e>
                <m:sub>
                  <m:r>
                    <m:rPr>
                      <m:sty m:val="p"/>
                    </m:rPr>
                    <w:rPr>
                      <w:rFonts w:ascii="Cambria Math" w:eastAsia="MS PGothic" w:hAnsi="Cambria Math"/>
                    </w:rPr>
                    <m:t>j</m:t>
                  </m:r>
                </m:sub>
              </m:sSub>
            </m:e>
          </m:mr>
          <m:mr>
            <m:e>
              <m:sSub>
                <m:sSubPr>
                  <m:ctrlPr>
                    <w:rPr>
                      <w:rFonts w:ascii="Cambria Math" w:eastAsia="MS PGothic" w:hAnsi="Cambria Math"/>
                    </w:rPr>
                  </m:ctrlPr>
                </m:sSubPr>
                <m:e>
                  <m:r>
                    <w:rPr>
                      <w:rFonts w:ascii="Cambria Math" w:eastAsia="MS PGothic" w:hAnsi="Cambria Math"/>
                      <w:szCs w:val="24"/>
                    </w:rPr>
                    <m:t>θ</m:t>
                  </m:r>
                </m:e>
                <m:sub>
                  <m:r>
                    <m:rPr>
                      <m:sty m:val="p"/>
                    </m:rPr>
                    <w:rPr>
                      <w:rFonts w:ascii="Cambria Math" w:eastAsia="MS PGothic" w:hAnsi="Cambria Math"/>
                    </w:rPr>
                    <m:t>Ed,j</m:t>
                  </m:r>
                </m:sub>
              </m:sSub>
              <m:r>
                <w:rPr>
                  <w:rFonts w:ascii="Cambria Math" w:eastAsia="MS PGothic" w:hAnsi="Cambria Math"/>
                </w:rPr>
                <m:t>=</m:t>
              </m:r>
              <m:sSub>
                <m:sSubPr>
                  <m:ctrlPr>
                    <w:rPr>
                      <w:rFonts w:ascii="Cambria Math" w:eastAsia="MS PGothic" w:hAnsi="Cambria Math"/>
                    </w:rPr>
                  </m:ctrlPr>
                </m:sSubPr>
                <m:e>
                  <m:r>
                    <w:rPr>
                      <w:rFonts w:ascii="Cambria Math" w:eastAsia="MS PGothic" w:hAnsi="Cambria Math"/>
                      <w:kern w:val="24"/>
                    </w:rPr>
                    <m:t>θ</m:t>
                  </m:r>
                </m:e>
                <m:sub>
                  <m:r>
                    <m:rPr>
                      <m:sty m:val="p"/>
                    </m:rPr>
                    <w:rPr>
                      <w:rFonts w:ascii="Cambria Math" w:eastAsia="MS PGothic" w:hAnsi="Cambria Math"/>
                    </w:rPr>
                    <m:t>e,j</m:t>
                  </m:r>
                </m:sub>
              </m:sSub>
              <m:r>
                <w:rPr>
                  <w:rFonts w:ascii="Cambria Math" w:eastAsia="MS PGothic" w:hAnsi="Cambria Math"/>
                </w:rPr>
                <m:t>-</m:t>
              </m:r>
              <m:sSub>
                <m:sSubPr>
                  <m:ctrlPr>
                    <w:rPr>
                      <w:rFonts w:ascii="Cambria Math" w:eastAsia="MS PGothic" w:hAnsi="Cambria Math"/>
                    </w:rPr>
                  </m:ctrlPr>
                </m:sSubPr>
                <m:e>
                  <m:r>
                    <w:rPr>
                      <w:rFonts w:ascii="Cambria Math" w:eastAsia="MS PGothic" w:hAnsi="Cambria Math"/>
                      <w:kern w:val="24"/>
                    </w:rPr>
                    <m:t>θ</m:t>
                  </m:r>
                </m:e>
                <m:sub>
                  <m:r>
                    <m:rPr>
                      <m:sty m:val="p"/>
                    </m:rPr>
                    <w:rPr>
                      <w:rFonts w:ascii="Cambria Math" w:eastAsia="MS PGothic" w:hAnsi="Cambria Math"/>
                    </w:rPr>
                    <m:t>C,j</m:t>
                  </m:r>
                </m:sub>
              </m:sSub>
              <m:sSub>
                <m:sSubPr>
                  <m:ctrlPr>
                    <w:rPr>
                      <w:rFonts w:ascii="Cambria Math" w:eastAsia="MS PGothic" w:hAnsi="Cambria Math"/>
                    </w:rPr>
                  </m:ctrlPr>
                </m:sSubPr>
                <m:e>
                  <m:r>
                    <w:rPr>
                      <w:rFonts w:ascii="Cambria Math" w:eastAsia="MS PGothic" w:hAnsi="Cambria Math"/>
                    </w:rPr>
                    <m:t>C</m:t>
                  </m:r>
                </m:e>
                <m:sub>
                  <m:r>
                    <m:rPr>
                      <m:sty m:val="p"/>
                    </m:rPr>
                    <w:rPr>
                      <w:rFonts w:ascii="Cambria Math" w:eastAsia="MS PGothic" w:hAnsi="Cambria Math"/>
                    </w:rPr>
                    <m:t>j</m:t>
                  </m:r>
                </m:sub>
              </m:sSub>
              <m:r>
                <m:rPr>
                  <m:sty m:val="p"/>
                </m:rPr>
                <w:rPr>
                  <w:rFonts w:ascii="Cambria Math" w:eastAsia="MS PGothic" w:hAnsi="Cambria Math"/>
                </w:rPr>
                <m:t xml:space="preserve">       if         </m:t>
              </m:r>
              <m:sSub>
                <m:sSubPr>
                  <m:ctrlPr>
                    <w:rPr>
                      <w:rFonts w:ascii="Cambria Math" w:eastAsia="MS PGothic" w:hAnsi="Cambria Math"/>
                    </w:rPr>
                  </m:ctrlPr>
                </m:sSubPr>
                <m:e>
                  <m:r>
                    <w:rPr>
                      <w:rFonts w:ascii="Cambria Math" w:eastAsia="MS PGothic" w:hAnsi="Cambria Math"/>
                      <w:kern w:val="24"/>
                    </w:rPr>
                    <m:t>θ</m:t>
                  </m:r>
                </m:e>
                <m:sub>
                  <m:r>
                    <m:rPr>
                      <m:sty m:val="p"/>
                    </m:rPr>
                    <w:rPr>
                      <w:rFonts w:ascii="Cambria Math" w:eastAsia="MS PGothic" w:hAnsi="Cambria Math"/>
                    </w:rPr>
                    <m:t>e,j</m:t>
                  </m:r>
                </m:sub>
              </m:sSub>
              <m:r>
                <w:rPr>
                  <w:rFonts w:ascii="Cambria Math" w:eastAsia="MS PGothic" w:hAnsi="Cambria Math"/>
                </w:rPr>
                <m:t>&gt;</m:t>
              </m:r>
              <m:sSub>
                <m:sSubPr>
                  <m:ctrlPr>
                    <w:rPr>
                      <w:rFonts w:ascii="Cambria Math" w:eastAsia="MS PGothic" w:hAnsi="Cambria Math"/>
                      <w:kern w:val="24"/>
                    </w:rPr>
                  </m:ctrlPr>
                </m:sSubPr>
                <m:e>
                  <m:r>
                    <w:rPr>
                      <w:rFonts w:ascii="Cambria Math" w:eastAsia="MS PGothic" w:hAnsi="Cambria Math"/>
                      <w:kern w:val="24"/>
                    </w:rPr>
                    <m:t>θ</m:t>
                  </m:r>
                </m:e>
                <m:sub>
                  <m:r>
                    <m:rPr>
                      <m:sty m:val="p"/>
                    </m:rPr>
                    <w:rPr>
                      <w:rFonts w:ascii="Cambria Math" w:eastAsia="MS PGothic" w:hAnsi="Cambria Math"/>
                      <w:kern w:val="24"/>
                    </w:rPr>
                    <m:t>m,j</m:t>
                  </m:r>
                </m:sub>
              </m:sSub>
              <m:r>
                <w:rPr>
                  <w:rFonts w:ascii="Cambria Math" w:eastAsia="MS PGothic" w:hAnsi="Cambria Math"/>
                </w:rPr>
                <m:t>+</m:t>
              </m:r>
              <m:sSub>
                <m:sSubPr>
                  <m:ctrlPr>
                    <w:rPr>
                      <w:rFonts w:ascii="Cambria Math" w:eastAsia="MS PGothic" w:hAnsi="Cambria Math"/>
                    </w:rPr>
                  </m:ctrlPr>
                </m:sSubPr>
                <m:e>
                  <m:r>
                    <w:rPr>
                      <w:rFonts w:ascii="Cambria Math" w:eastAsia="MS PGothic" w:hAnsi="Cambria Math"/>
                      <w:kern w:val="24"/>
                    </w:rPr>
                    <m:t>θ</m:t>
                  </m:r>
                </m:e>
                <m:sub>
                  <m:r>
                    <m:rPr>
                      <m:sty m:val="p"/>
                    </m:rPr>
                    <w:rPr>
                      <w:rFonts w:ascii="Cambria Math" w:eastAsia="MS PGothic" w:hAnsi="Cambria Math"/>
                    </w:rPr>
                    <m:t>C,j</m:t>
                  </m:r>
                </m:sub>
              </m:sSub>
              <m:sSub>
                <m:sSubPr>
                  <m:ctrlPr>
                    <w:rPr>
                      <w:rFonts w:ascii="Cambria Math" w:eastAsia="MS PGothic" w:hAnsi="Cambria Math"/>
                    </w:rPr>
                  </m:ctrlPr>
                </m:sSubPr>
                <m:e>
                  <m:r>
                    <w:rPr>
                      <w:rFonts w:ascii="Cambria Math" w:eastAsia="MS PGothic" w:hAnsi="Cambria Math"/>
                    </w:rPr>
                    <m:t>C</m:t>
                  </m:r>
                </m:e>
                <m:sub>
                  <m:r>
                    <m:rPr>
                      <m:sty m:val="p"/>
                    </m:rPr>
                    <w:rPr>
                      <w:rFonts w:ascii="Cambria Math" w:eastAsia="MS PGothic" w:hAnsi="Cambria Math"/>
                    </w:rPr>
                    <m:t>j</m:t>
                  </m:r>
                </m:sub>
              </m:sSub>
            </m:e>
          </m:mr>
        </m:m>
      </m:oMath>
      <w:r w:rsidR="00611758" w:rsidRPr="006C09CE">
        <w:tab/>
        <w:t>(</w:t>
      </w:r>
      <w:r w:rsidR="00611758">
        <w:t>K</w:t>
      </w:r>
      <w:r w:rsidR="00611758" w:rsidRPr="006C09CE">
        <w:t>.</w:t>
      </w:r>
      <w:r w:rsidR="00611758">
        <w:t>7</w:t>
      </w:r>
      <w:r w:rsidR="00611758" w:rsidRPr="006C09CE">
        <w:t>)</w:t>
      </w:r>
    </w:p>
    <w:p w14:paraId="5E958619" w14:textId="7135CAAA" w:rsidR="00611758" w:rsidRDefault="00675EBA" w:rsidP="009611DD">
      <w:pPr>
        <w:pStyle w:val="Text"/>
      </w:pPr>
      <w:r>
        <w:t>where</w:t>
      </w:r>
    </w:p>
    <w:tbl>
      <w:tblPr>
        <w:tblW w:w="0" w:type="auto"/>
        <w:tblInd w:w="346" w:type="dxa"/>
        <w:tblLook w:val="04A0" w:firstRow="1" w:lastRow="0" w:firstColumn="1" w:lastColumn="0" w:noHBand="0" w:noVBand="1"/>
      </w:tblPr>
      <w:tblGrid>
        <w:gridCol w:w="1275"/>
        <w:gridCol w:w="7938"/>
      </w:tblGrid>
      <w:tr w:rsidR="00611758" w:rsidRPr="00FF1786" w14:paraId="22283B9E" w14:textId="77777777" w:rsidTr="002B6C5C">
        <w:tc>
          <w:tcPr>
            <w:tcW w:w="1275" w:type="dxa"/>
          </w:tcPr>
          <w:p w14:paraId="29465502" w14:textId="40EEDACD" w:rsidR="00611758" w:rsidRPr="00460668" w:rsidRDefault="00611758" w:rsidP="002061E5">
            <w:pPr>
              <w:spacing w:after="60"/>
              <w:rPr>
                <w:rFonts w:eastAsia="Times New Roman" w:cs="Cambria"/>
                <w:szCs w:val="20"/>
                <w:lang w:eastAsia="fr-FR"/>
              </w:rPr>
            </w:pPr>
            <w:r w:rsidRPr="007E6F67">
              <w:rPr>
                <w:rFonts w:eastAsia="MS PGothic"/>
                <w:i/>
                <w:kern w:val="24"/>
              </w:rPr>
              <w:t>θ</w:t>
            </w:r>
            <w:r w:rsidRPr="00437207">
              <w:rPr>
                <w:rFonts w:eastAsia="MS PGothic"/>
                <w:iCs/>
                <w:kern w:val="24"/>
                <w:vertAlign w:val="subscript"/>
              </w:rPr>
              <w:t>e, j</w:t>
            </w:r>
          </w:p>
        </w:tc>
        <w:tc>
          <w:tcPr>
            <w:tcW w:w="7938" w:type="dxa"/>
          </w:tcPr>
          <w:p w14:paraId="0A380519" w14:textId="0C5192EF" w:rsidR="00611758" w:rsidRPr="006B581F" w:rsidRDefault="00611758" w:rsidP="002061E5">
            <w:pPr>
              <w:pStyle w:val="Listofsymbols"/>
              <w:tabs>
                <w:tab w:val="clear" w:pos="1134"/>
                <w:tab w:val="left" w:pos="2481"/>
              </w:tabs>
              <w:ind w:left="0" w:firstLine="0"/>
              <w:rPr>
                <w:szCs w:val="22"/>
              </w:rPr>
            </w:pPr>
            <w:r w:rsidRPr="00132C1E">
              <w:rPr>
                <w:rFonts w:eastAsia="MS PGothic"/>
              </w:rPr>
              <w:t>is</w:t>
            </w:r>
            <w:r w:rsidRPr="00132C1E">
              <w:rPr>
                <w:rFonts w:eastAsia="MS PGothic"/>
                <w:kern w:val="24"/>
              </w:rPr>
              <w:t xml:space="preserve"> the elastic drift of </w:t>
            </w:r>
            <w:r w:rsidRPr="00132C1E">
              <w:t xml:space="preserve">the </w:t>
            </w:r>
            <w:r w:rsidRPr="00132C1E">
              <w:rPr>
                <w:rFonts w:eastAsia="MS PGothic"/>
                <w:i/>
              </w:rPr>
              <w:t>j-th</w:t>
            </w:r>
            <w:r w:rsidRPr="00132C1E">
              <w:rPr>
                <w:rFonts w:eastAsia="MS PGothic"/>
              </w:rPr>
              <w:t xml:space="preserve"> storey of the bare frame calculated with Formula (K.8);</w:t>
            </w:r>
          </w:p>
        </w:tc>
      </w:tr>
    </w:tbl>
    <w:p w14:paraId="7E8194C0" w14:textId="77D885B2" w:rsidR="00611758" w:rsidRPr="006C09CE" w:rsidRDefault="009B5CEC" w:rsidP="00611758">
      <w:pPr>
        <w:pStyle w:val="Formula"/>
        <w:spacing w:before="240"/>
      </w:pPr>
      <m:oMath>
        <m:sSub>
          <m:sSubPr>
            <m:ctrlPr>
              <w:rPr>
                <w:rFonts w:ascii="Cambria Math" w:eastAsia="MS PGothic" w:hAnsi="Cambria Math"/>
              </w:rPr>
            </m:ctrlPr>
          </m:sSubPr>
          <m:e>
            <m:r>
              <w:rPr>
                <w:rFonts w:ascii="Cambria Math" w:eastAsia="MS PGothic" w:hAnsi="Cambria Math"/>
              </w:rPr>
              <m:t>θ</m:t>
            </m:r>
          </m:e>
          <m:sub>
            <m:r>
              <m:rPr>
                <m:sty m:val="p"/>
              </m:rPr>
              <w:rPr>
                <w:rFonts w:eastAsia="MS PGothic"/>
              </w:rPr>
              <m:t>e,j</m:t>
            </m:r>
          </m:sub>
        </m:sSub>
        <m:r>
          <w:rPr>
            <w:rFonts w:eastAsia="MS PGothic"/>
            <w:vertAlign w:val="subscript"/>
          </w:rPr>
          <m:t xml:space="preserve">= </m:t>
        </m:r>
        <m:f>
          <m:fPr>
            <m:ctrlPr>
              <w:rPr>
                <w:rFonts w:ascii="Cambria Math" w:eastAsia="MS PGothic" w:hAnsi="Cambria Math"/>
                <w:vertAlign w:val="subscript"/>
              </w:rPr>
            </m:ctrlPr>
          </m:fPr>
          <m:num>
            <m:sSub>
              <m:sSubPr>
                <m:ctrlPr>
                  <w:rPr>
                    <w:rFonts w:ascii="Cambria Math" w:hAnsi="Cambria Math"/>
                    <w:vertAlign w:val="subscript"/>
                  </w:rPr>
                </m:ctrlPr>
              </m:sSubPr>
              <m:e>
                <m:r>
                  <w:rPr>
                    <w:rFonts w:ascii="Cambria Math" w:hAnsi="Cambria Math"/>
                    <w:vertAlign w:val="subscript"/>
                  </w:rPr>
                  <m:t>d</m:t>
                </m:r>
              </m:e>
              <m:sub>
                <m:r>
                  <m:rPr>
                    <m:sty m:val="p"/>
                  </m:rPr>
                  <w:rPr>
                    <w:rFonts w:ascii="Cambria Math" w:hAnsi="Cambria Math"/>
                    <w:vertAlign w:val="subscript"/>
                  </w:rPr>
                  <m:t>e,r,j</m:t>
                </m:r>
              </m:sub>
            </m:sSub>
          </m:num>
          <m:den>
            <m:sSub>
              <m:sSubPr>
                <m:ctrlPr>
                  <w:rPr>
                    <w:rFonts w:ascii="Cambria Math" w:eastAsia="MS PGothic" w:hAnsi="Cambria Math"/>
                    <w:vertAlign w:val="subscript"/>
                  </w:rPr>
                </m:ctrlPr>
              </m:sSubPr>
              <m:e>
                <m:r>
                  <w:rPr>
                    <w:rFonts w:ascii="Cambria Math" w:eastAsia="MS PGothic" w:hAnsi="Cambria Math"/>
                  </w:rPr>
                  <m:t>h</m:t>
                </m:r>
              </m:e>
              <m:sub>
                <m:r>
                  <m:rPr>
                    <m:sty m:val="p"/>
                  </m:rPr>
                  <w:rPr>
                    <w:rFonts w:eastAsia="MS PGothic"/>
                    <w:vertAlign w:val="subscript"/>
                  </w:rPr>
                  <m:t>j</m:t>
                </m:r>
              </m:sub>
            </m:sSub>
          </m:den>
        </m:f>
      </m:oMath>
      <w:r w:rsidR="00611758" w:rsidRPr="006C09CE">
        <w:tab/>
        <w:t>(</w:t>
      </w:r>
      <w:r w:rsidR="00611758">
        <w:t>K</w:t>
      </w:r>
      <w:r w:rsidR="00611758" w:rsidRPr="006C09CE">
        <w:t>.</w:t>
      </w:r>
      <w:r w:rsidR="00611758">
        <w:t>8</w:t>
      </w:r>
      <w:r w:rsidR="00611758" w:rsidRPr="006C09CE">
        <w:t>)</w:t>
      </w:r>
    </w:p>
    <w:tbl>
      <w:tblPr>
        <w:tblW w:w="0" w:type="auto"/>
        <w:tblInd w:w="346" w:type="dxa"/>
        <w:tblLook w:val="04A0" w:firstRow="1" w:lastRow="0" w:firstColumn="1" w:lastColumn="0" w:noHBand="0" w:noVBand="1"/>
      </w:tblPr>
      <w:tblGrid>
        <w:gridCol w:w="1275"/>
        <w:gridCol w:w="7938"/>
      </w:tblGrid>
      <w:tr w:rsidR="00611758" w:rsidRPr="00FF1786" w14:paraId="7B020FF9" w14:textId="77777777" w:rsidTr="002B6C5C">
        <w:tc>
          <w:tcPr>
            <w:tcW w:w="1275" w:type="dxa"/>
          </w:tcPr>
          <w:p w14:paraId="7C83E454" w14:textId="7642F534" w:rsidR="00611758" w:rsidRPr="00A47E27" w:rsidRDefault="00611758" w:rsidP="002061E5">
            <w:pPr>
              <w:spacing w:after="60"/>
              <w:rPr>
                <w:sz w:val="20"/>
                <w:lang w:eastAsia="de-DE"/>
              </w:rPr>
            </w:pPr>
            <w:r w:rsidRPr="00D1484A">
              <w:rPr>
                <w:rFonts w:eastAsia="MS PGothic"/>
                <w:i/>
                <w:kern w:val="24"/>
              </w:rPr>
              <w:t>θ</w:t>
            </w:r>
            <w:r w:rsidRPr="00437207">
              <w:rPr>
                <w:rFonts w:eastAsia="MS PGothic"/>
                <w:vertAlign w:val="subscript"/>
              </w:rPr>
              <w:t>m, j</w:t>
            </w:r>
          </w:p>
        </w:tc>
        <w:tc>
          <w:tcPr>
            <w:tcW w:w="7938" w:type="dxa"/>
          </w:tcPr>
          <w:p w14:paraId="6ADB52BD" w14:textId="7E76D718" w:rsidR="00611758" w:rsidRPr="006B581F" w:rsidRDefault="00611758" w:rsidP="002061E5">
            <w:pPr>
              <w:pStyle w:val="Listofsymbols"/>
              <w:tabs>
                <w:tab w:val="clear" w:pos="1134"/>
                <w:tab w:val="left" w:pos="2481"/>
              </w:tabs>
              <w:ind w:left="0" w:firstLine="0"/>
            </w:pPr>
            <w:r w:rsidRPr="00FD17CF">
              <w:rPr>
                <w:rFonts w:eastAsia="MS PGothic"/>
              </w:rPr>
              <w:t>is the equivalent drift capacity calculated with Formula (K.2);</w:t>
            </w:r>
          </w:p>
        </w:tc>
      </w:tr>
      <w:tr w:rsidR="00611758" w:rsidRPr="00FF1786" w14:paraId="3E9B33A3" w14:textId="77777777" w:rsidTr="002B6C5C">
        <w:tc>
          <w:tcPr>
            <w:tcW w:w="1275" w:type="dxa"/>
          </w:tcPr>
          <w:p w14:paraId="270AC446" w14:textId="26EDEA51" w:rsidR="00611758" w:rsidRPr="00C52095" w:rsidRDefault="00611758" w:rsidP="002061E5">
            <w:pPr>
              <w:spacing w:after="60"/>
              <w:rPr>
                <w:i/>
              </w:rPr>
            </w:pPr>
            <w:r w:rsidRPr="00E05E29">
              <w:rPr>
                <w:rFonts w:eastAsia="MS PGothic"/>
                <w:i/>
                <w:kern w:val="24"/>
              </w:rPr>
              <w:t>θ</w:t>
            </w:r>
            <w:r w:rsidRPr="00437207">
              <w:rPr>
                <w:rFonts w:eastAsia="MS PGothic"/>
                <w:vertAlign w:val="subscript"/>
              </w:rPr>
              <w:t>C, j</w:t>
            </w:r>
          </w:p>
        </w:tc>
        <w:tc>
          <w:tcPr>
            <w:tcW w:w="7938" w:type="dxa"/>
          </w:tcPr>
          <w:p w14:paraId="63188460" w14:textId="7732E0BD" w:rsidR="00611758" w:rsidRPr="00611758" w:rsidRDefault="00611758" w:rsidP="002061E5">
            <w:pPr>
              <w:pStyle w:val="Listofsymbols"/>
              <w:tabs>
                <w:tab w:val="clear" w:pos="1134"/>
                <w:tab w:val="left" w:pos="2481"/>
              </w:tabs>
              <w:ind w:left="0" w:firstLine="0"/>
            </w:pPr>
            <w:r w:rsidRPr="00132C1E">
              <w:rPr>
                <w:rFonts w:eastAsia="MS PGothic"/>
              </w:rPr>
              <w:t xml:space="preserve">is equal to 0,4 </w:t>
            </w:r>
            <w:r w:rsidRPr="00132C1E">
              <w:rPr>
                <w:rFonts w:eastAsia="MS PGothic"/>
                <w:i/>
                <w:iCs/>
              </w:rPr>
              <w:t>θ</w:t>
            </w:r>
            <w:r w:rsidRPr="00437207">
              <w:rPr>
                <w:rFonts w:eastAsia="MS PGothic"/>
                <w:vertAlign w:val="subscript"/>
              </w:rPr>
              <w:t>m, j</w:t>
            </w:r>
            <w:r>
              <w:rPr>
                <w:rFonts w:eastAsia="MS PGothic"/>
              </w:rPr>
              <w:t>.</w:t>
            </w:r>
          </w:p>
        </w:tc>
      </w:tr>
    </w:tbl>
    <w:p w14:paraId="42C8D175" w14:textId="0B7557CD" w:rsidR="00611758" w:rsidRPr="007E6F67" w:rsidRDefault="00246C41" w:rsidP="00246C41">
      <w:pPr>
        <w:pStyle w:val="FigureImage"/>
      </w:pPr>
      <w:r>
        <w:rPr>
          <w:noProof/>
        </w:rPr>
        <w:drawing>
          <wp:inline distT="0" distB="0" distL="0" distR="0" wp14:anchorId="2FB609F2" wp14:editId="582EF44B">
            <wp:extent cx="5399541" cy="3906018"/>
            <wp:effectExtent l="0" t="0" r="0" b="0"/>
            <wp:docPr id="52" name="k001.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k001.tiff"/>
                    <pic:cNvPicPr/>
                  </pic:nvPicPr>
                  <pic:blipFill>
                    <a:blip r:link="rId134"/>
                    <a:stretch>
                      <a:fillRect/>
                    </a:stretch>
                  </pic:blipFill>
                  <pic:spPr>
                    <a:xfrm>
                      <a:off x="0" y="0"/>
                      <a:ext cx="5399541" cy="3906018"/>
                    </a:xfrm>
                    <a:prstGeom prst="rect">
                      <a:avLst/>
                    </a:prstGeom>
                  </pic:spPr>
                </pic:pic>
              </a:graphicData>
            </a:graphic>
          </wp:inline>
        </w:drawing>
      </w:r>
    </w:p>
    <w:p w14:paraId="2D1854E4" w14:textId="0607495D" w:rsidR="00611758" w:rsidRPr="00E05E29" w:rsidRDefault="00611758" w:rsidP="00F74EC4">
      <w:pPr>
        <w:pStyle w:val="Figuretitle"/>
        <w:rPr>
          <w:vertAlign w:val="subscript"/>
        </w:rPr>
      </w:pPr>
      <w:bookmarkStart w:id="11709" w:name="_Ref20347500"/>
      <w:bookmarkStart w:id="11710" w:name="_Toc410509296"/>
      <w:bookmarkStart w:id="11711" w:name="_Toc408825811"/>
      <w:bookmarkStart w:id="11712" w:name="_Toc409949492"/>
      <w:r w:rsidRPr="00FD17CF">
        <w:t>Figure</w:t>
      </w:r>
      <w:bookmarkEnd w:id="11709"/>
      <w:r w:rsidRPr="00FD17CF">
        <w:t xml:space="preserve"> K.1</w:t>
      </w:r>
      <w:r w:rsidR="00F74EC4" w:rsidRPr="00132C1E">
        <w:t> </w:t>
      </w:r>
      <w:r w:rsidR="00F74EC4" w:rsidRPr="00D1484A">
        <w:t>— </w:t>
      </w:r>
      <w:r w:rsidRPr="00FD17CF">
        <w:t xml:space="preserve">Definition of the bi-linear curve for different values of </w:t>
      </w:r>
      <w:r w:rsidRPr="00FD17CF">
        <w:rPr>
          <w:i/>
        </w:rPr>
        <w:t>C</w:t>
      </w:r>
      <w:r w:rsidRPr="00437207">
        <w:rPr>
          <w:vertAlign w:val="subscript"/>
        </w:rPr>
        <w:t>j</w:t>
      </w:r>
      <w:bookmarkEnd w:id="11710"/>
    </w:p>
    <w:bookmarkEnd w:id="11711"/>
    <w:bookmarkEnd w:id="11712"/>
    <w:p w14:paraId="72B1C487" w14:textId="635E1D84" w:rsidR="00560D4A" w:rsidRDefault="00560D4A"/>
    <w:p w14:paraId="0547BC84" w14:textId="11D27976" w:rsidR="00F74EC4" w:rsidRPr="00D1484A" w:rsidRDefault="00F74EC4" w:rsidP="00F74EC4">
      <w:pPr>
        <w:pStyle w:val="ANNEX"/>
        <w:tabs>
          <w:tab w:val="clear" w:pos="360"/>
        </w:tabs>
        <w:spacing w:before="0"/>
      </w:pPr>
      <w:bookmarkStart w:id="11713" w:name="_Toc50150822"/>
      <w:bookmarkStart w:id="11714" w:name="_Toc70887255"/>
      <w:bookmarkStart w:id="11715" w:name="_Toc108342867"/>
      <w:bookmarkStart w:id="11716" w:name="_Hlk38784755"/>
      <w:r>
        <w:br/>
      </w:r>
      <w:bookmarkStart w:id="11717" w:name="_Toc134198373"/>
      <w:r w:rsidRPr="00F74EC4">
        <w:rPr>
          <w:b w:val="0"/>
          <w:bCs/>
        </w:rPr>
        <w:t>(normative)</w:t>
      </w:r>
      <w:r w:rsidRPr="00FB6A3C">
        <w:rPr>
          <w:lang w:eastAsia="en-US"/>
        </w:rPr>
        <w:fldChar w:fldCharType="begin"/>
      </w:r>
      <w:r w:rsidRPr="00132C1E">
        <w:rPr>
          <w:lang w:eastAsia="en-US"/>
        </w:rPr>
        <w:instrText xml:space="preserve">SEQ aaa \h </w:instrText>
      </w:r>
      <w:r w:rsidRPr="00FB6A3C">
        <w:rPr>
          <w:lang w:eastAsia="en-US"/>
        </w:rPr>
        <w:fldChar w:fldCharType="end"/>
      </w:r>
      <w:r w:rsidRPr="00FB6A3C">
        <w:rPr>
          <w:lang w:eastAsia="en-US"/>
        </w:rPr>
        <w:fldChar w:fldCharType="begin"/>
      </w:r>
      <w:r w:rsidRPr="00132C1E">
        <w:rPr>
          <w:lang w:eastAsia="en-US"/>
        </w:rPr>
        <w:instrText xml:space="preserve">SEQ table \r0\h </w:instrText>
      </w:r>
      <w:r w:rsidRPr="00FB6A3C">
        <w:rPr>
          <w:lang w:eastAsia="en-US"/>
        </w:rPr>
        <w:fldChar w:fldCharType="end"/>
      </w:r>
      <w:r w:rsidRPr="00FB6A3C">
        <w:rPr>
          <w:lang w:eastAsia="en-US"/>
        </w:rPr>
        <w:fldChar w:fldCharType="begin"/>
      </w:r>
      <w:r w:rsidRPr="00132C1E">
        <w:rPr>
          <w:lang w:eastAsia="en-US"/>
        </w:rPr>
        <w:instrText xml:space="preserve">SEQ figure \r0\h </w:instrText>
      </w:r>
      <w:r w:rsidRPr="00FB6A3C">
        <w:rPr>
          <w:lang w:eastAsia="en-US"/>
        </w:rPr>
        <w:fldChar w:fldCharType="end"/>
      </w:r>
      <w:r w:rsidRPr="00FB6A3C">
        <w:rPr>
          <w:lang w:eastAsia="en-US"/>
        </w:rPr>
        <w:fldChar w:fldCharType="begin"/>
      </w:r>
      <w:r w:rsidRPr="00132C1E">
        <w:rPr>
          <w:lang w:eastAsia="en-US"/>
        </w:rPr>
        <w:instrText xml:space="preserve"> SEQ Equation_annex \r0\h </w:instrText>
      </w:r>
      <w:r w:rsidRPr="00FB6A3C">
        <w:rPr>
          <w:lang w:eastAsia="en-US"/>
        </w:rPr>
        <w:fldChar w:fldCharType="end"/>
      </w:r>
      <w:r w:rsidRPr="00132C1E">
        <w:br/>
      </w:r>
      <w:r w:rsidRPr="00132C1E">
        <w:br/>
        <w:t xml:space="preserve">Load-deformation relationships of dissipative timber components </w:t>
      </w:r>
      <w:r>
        <w:t xml:space="preserve">and resistances of non-dissipative timber components </w:t>
      </w:r>
      <w:r w:rsidRPr="00132C1E">
        <w:t>for non-linear analyses</w:t>
      </w:r>
      <w:bookmarkStart w:id="11718" w:name="_Toc23468275"/>
      <w:bookmarkStart w:id="11719" w:name="_Toc2160663"/>
      <w:bookmarkEnd w:id="11713"/>
      <w:bookmarkEnd w:id="11714"/>
      <w:bookmarkEnd w:id="11715"/>
      <w:bookmarkEnd w:id="11718"/>
      <w:bookmarkEnd w:id="11719"/>
      <w:bookmarkEnd w:id="11717"/>
    </w:p>
    <w:p w14:paraId="2C17BCB7" w14:textId="4C521E01" w:rsidR="00F74EC4" w:rsidRPr="007E6F67" w:rsidRDefault="00F74EC4" w:rsidP="00F74EC4">
      <w:pPr>
        <w:pStyle w:val="a2"/>
      </w:pPr>
      <w:bookmarkStart w:id="11720" w:name="_Toc50150823"/>
      <w:bookmarkStart w:id="11721" w:name="_Toc70887256"/>
      <w:bookmarkStart w:id="11722" w:name="_Toc108342868"/>
      <w:bookmarkStart w:id="11723" w:name="_Toc134198374"/>
      <w:bookmarkEnd w:id="11716"/>
      <w:r w:rsidRPr="00D1484A">
        <w:t xml:space="preserve">Use of this </w:t>
      </w:r>
      <w:r w:rsidR="009611DD">
        <w:t>normative a</w:t>
      </w:r>
      <w:r w:rsidRPr="00D1484A">
        <w:t>nnex</w:t>
      </w:r>
      <w:bookmarkEnd w:id="11720"/>
      <w:bookmarkEnd w:id="11721"/>
      <w:bookmarkEnd w:id="11722"/>
      <w:bookmarkEnd w:id="11723"/>
    </w:p>
    <w:p w14:paraId="25AF8B21" w14:textId="3FDD8044" w:rsidR="00F74EC4" w:rsidRPr="0025095B" w:rsidRDefault="00F74EC4" w:rsidP="0080187E">
      <w:pPr>
        <w:pStyle w:val="Clause"/>
        <w:numPr>
          <w:ilvl w:val="0"/>
          <w:numId w:val="254"/>
        </w:numPr>
      </w:pPr>
      <w:r w:rsidRPr="0025095B">
        <w:rPr>
          <w:rStyle w:val="clauseCar"/>
          <w:rFonts w:eastAsia="MS Mincho" w:cs="Cambria"/>
          <w:bCs w:val="0"/>
          <w:szCs w:val="20"/>
          <w:lang w:eastAsia="fr-FR"/>
        </w:rPr>
        <w:t>This Normative Annex contains additional provisions to 13.5 and 13.6 for timber buildings.</w:t>
      </w:r>
    </w:p>
    <w:p w14:paraId="5A7931E0" w14:textId="41B20149" w:rsidR="00F74EC4" w:rsidRPr="002144A0" w:rsidRDefault="00F74EC4" w:rsidP="00F74EC4">
      <w:pPr>
        <w:pStyle w:val="a2"/>
      </w:pPr>
      <w:bookmarkStart w:id="11724" w:name="_Toc50150824"/>
      <w:bookmarkStart w:id="11725" w:name="_Toc70887257"/>
      <w:bookmarkStart w:id="11726" w:name="_Toc108342869"/>
      <w:bookmarkStart w:id="11727" w:name="_Toc134198375"/>
      <w:r w:rsidRPr="002144A0">
        <w:t>Scope</w:t>
      </w:r>
      <w:bookmarkEnd w:id="11724"/>
      <w:bookmarkEnd w:id="11725"/>
      <w:bookmarkEnd w:id="11726"/>
      <w:r w:rsidR="009611DD">
        <w:t xml:space="preserve"> and field of application</w:t>
      </w:r>
      <w:bookmarkEnd w:id="11727"/>
    </w:p>
    <w:p w14:paraId="767B43C0" w14:textId="3A405A53" w:rsidR="00F74EC4" w:rsidRPr="00132C1E" w:rsidRDefault="00F74EC4" w:rsidP="0080187E">
      <w:pPr>
        <w:pStyle w:val="Clause"/>
        <w:numPr>
          <w:ilvl w:val="0"/>
          <w:numId w:val="255"/>
        </w:numPr>
      </w:pPr>
      <w:r w:rsidRPr="004F25D7">
        <w:t xml:space="preserve">This </w:t>
      </w:r>
      <w:r w:rsidR="009611DD">
        <w:t>a</w:t>
      </w:r>
      <w:r w:rsidRPr="004F25D7">
        <w:t xml:space="preserve">nnex provides rules for the determination of the force-deformation relationships of dissipative </w:t>
      </w:r>
      <w:r w:rsidRPr="00C52095">
        <w:t>timber components</w:t>
      </w:r>
      <w:r w:rsidRPr="009623B7">
        <w:t xml:space="preserve"> </w:t>
      </w:r>
      <w:r w:rsidRPr="00D909D6">
        <w:t>and the resistances of non-dissipative timber components</w:t>
      </w:r>
      <w:r w:rsidRPr="00C52095">
        <w:t xml:space="preserve"> for use in non-linear analysis in accordance with </w:t>
      </w:r>
      <w:r>
        <w:t>pr</w:t>
      </w:r>
      <w:r w:rsidR="00C30FF9">
        <w:t>EN 1</w:t>
      </w:r>
      <w:r>
        <w:t>998-1-1:2022</w:t>
      </w:r>
      <w:r w:rsidRPr="00132C1E">
        <w:t xml:space="preserve">, </w:t>
      </w:r>
      <w:r w:rsidRPr="00B00B3D">
        <w:t>6.7.2</w:t>
      </w:r>
      <w:r w:rsidRPr="00132C1E">
        <w:t xml:space="preserve"> and </w:t>
      </w:r>
      <w:r w:rsidRPr="00B00B3D">
        <w:t>6.7.3</w:t>
      </w:r>
      <w:r w:rsidRPr="00132C1E">
        <w:t>.</w:t>
      </w:r>
    </w:p>
    <w:p w14:paraId="71E313BC" w14:textId="77777777" w:rsidR="00F74EC4" w:rsidRPr="00132C1E" w:rsidRDefault="00F74EC4" w:rsidP="00F74EC4">
      <w:pPr>
        <w:pStyle w:val="a2"/>
      </w:pPr>
      <w:bookmarkStart w:id="11728" w:name="_Toc50150825"/>
      <w:bookmarkStart w:id="11729" w:name="_Toc70887258"/>
      <w:bookmarkStart w:id="11730" w:name="_Toc108342870"/>
      <w:bookmarkStart w:id="11731" w:name="_Toc134198376"/>
      <w:r w:rsidRPr="00132C1E">
        <w:rPr>
          <w:bCs/>
        </w:rPr>
        <w:t>Force-deformation relationships of dissipative timber components for non-linear analysis</w:t>
      </w:r>
      <w:bookmarkEnd w:id="11728"/>
      <w:bookmarkEnd w:id="11729"/>
      <w:bookmarkEnd w:id="11730"/>
      <w:bookmarkEnd w:id="11731"/>
    </w:p>
    <w:p w14:paraId="2F78FE39" w14:textId="7E136D5E" w:rsidR="00F74EC4" w:rsidRPr="003B48B9" w:rsidRDefault="00F74EC4" w:rsidP="0080187E">
      <w:pPr>
        <w:pStyle w:val="Clause"/>
        <w:numPr>
          <w:ilvl w:val="0"/>
          <w:numId w:val="256"/>
        </w:numPr>
      </w:pPr>
      <w:r w:rsidRPr="00132C1E">
        <w:t>Reference to the experimental data provided by the producers should be made for the dissipative zones (connections, 2D- or 3D-</w:t>
      </w:r>
      <w:r w:rsidRPr="00F74EC4">
        <w:rPr>
          <w:color w:val="auto"/>
        </w:rPr>
        <w:t>connectors</w:t>
      </w:r>
      <w:r w:rsidRPr="00132C1E">
        <w:t>, joints or subassemblies) of timber structures.</w:t>
      </w:r>
    </w:p>
    <w:p w14:paraId="4FBD8BFA" w14:textId="422438B6" w:rsidR="00F74EC4" w:rsidRPr="00132C1E" w:rsidRDefault="00246C41" w:rsidP="00246C41">
      <w:pPr>
        <w:pStyle w:val="FigureImage"/>
      </w:pPr>
      <w:r>
        <w:rPr>
          <w:noProof/>
        </w:rPr>
        <w:drawing>
          <wp:inline distT="0" distB="0" distL="0" distR="0" wp14:anchorId="02A08599" wp14:editId="0D3CE558">
            <wp:extent cx="5399541" cy="2595376"/>
            <wp:effectExtent l="0" t="0" r="0" b="0"/>
            <wp:docPr id="54" name="l001.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l001.tiff"/>
                    <pic:cNvPicPr/>
                  </pic:nvPicPr>
                  <pic:blipFill>
                    <a:blip r:link="rId135"/>
                    <a:stretch>
                      <a:fillRect/>
                    </a:stretch>
                  </pic:blipFill>
                  <pic:spPr>
                    <a:xfrm>
                      <a:off x="0" y="0"/>
                      <a:ext cx="5399541" cy="2595376"/>
                    </a:xfrm>
                    <a:prstGeom prst="rect">
                      <a:avLst/>
                    </a:prstGeom>
                  </pic:spPr>
                </pic:pic>
              </a:graphicData>
            </a:graphic>
          </wp:inline>
        </w:drawing>
      </w:r>
    </w:p>
    <w:p w14:paraId="35AFC34C" w14:textId="77777777" w:rsidR="00F74EC4" w:rsidRPr="00D1484A" w:rsidRDefault="00F74EC4" w:rsidP="00246C41">
      <w:pPr>
        <w:pStyle w:val="KeyTitle"/>
      </w:pPr>
      <w:r w:rsidRPr="00D1484A">
        <w:t>Key</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
        <w:gridCol w:w="9292"/>
      </w:tblGrid>
      <w:tr w:rsidR="00F74EC4" w:rsidRPr="00132C1E" w14:paraId="30F3A072" w14:textId="77777777" w:rsidTr="002B6C5C">
        <w:tc>
          <w:tcPr>
            <w:tcW w:w="459" w:type="dxa"/>
          </w:tcPr>
          <w:p w14:paraId="32E40D68" w14:textId="77777777" w:rsidR="00F74EC4" w:rsidRPr="00246C41" w:rsidRDefault="00F74EC4" w:rsidP="002B6C5C">
            <w:pPr>
              <w:pStyle w:val="KeyText"/>
              <w:spacing w:before="0"/>
              <w:rPr>
                <w:i/>
                <w:iCs/>
              </w:rPr>
            </w:pPr>
            <w:r w:rsidRPr="00246C41">
              <w:rPr>
                <w:i/>
                <w:iCs/>
              </w:rPr>
              <w:t>Y</w:t>
            </w:r>
          </w:p>
        </w:tc>
        <w:tc>
          <w:tcPr>
            <w:tcW w:w="9292" w:type="dxa"/>
          </w:tcPr>
          <w:p w14:paraId="71E31D9A" w14:textId="3B12ADD7" w:rsidR="00F74EC4" w:rsidRPr="00196951" w:rsidRDefault="00246C41" w:rsidP="002B6C5C">
            <w:pPr>
              <w:pStyle w:val="KeyText"/>
              <w:spacing w:before="0"/>
              <w:rPr>
                <w:rFonts w:asciiTheme="majorHAnsi" w:hAnsiTheme="majorHAnsi"/>
              </w:rPr>
            </w:pPr>
            <w:r>
              <w:rPr>
                <w:rFonts w:asciiTheme="majorHAnsi" w:hAnsiTheme="majorHAnsi"/>
              </w:rPr>
              <w:t>y</w:t>
            </w:r>
            <w:r w:rsidR="00F74EC4" w:rsidRPr="00E05E29">
              <w:rPr>
                <w:rFonts w:asciiTheme="majorHAnsi" w:hAnsiTheme="majorHAnsi"/>
              </w:rPr>
              <w:t>ielding point</w:t>
            </w:r>
          </w:p>
        </w:tc>
      </w:tr>
      <w:tr w:rsidR="00F74EC4" w:rsidRPr="00132C1E" w14:paraId="6B6B3027" w14:textId="77777777" w:rsidTr="002B6C5C">
        <w:tc>
          <w:tcPr>
            <w:tcW w:w="459" w:type="dxa"/>
          </w:tcPr>
          <w:p w14:paraId="0D5F06DD" w14:textId="77777777" w:rsidR="00F74EC4" w:rsidRPr="00246C41" w:rsidRDefault="00F74EC4" w:rsidP="002B6C5C">
            <w:pPr>
              <w:pStyle w:val="KeyText"/>
              <w:spacing w:before="0"/>
              <w:rPr>
                <w:rFonts w:asciiTheme="majorHAnsi" w:hAnsiTheme="majorHAnsi"/>
                <w:i/>
                <w:iCs/>
              </w:rPr>
            </w:pPr>
            <w:r w:rsidRPr="00246C41">
              <w:rPr>
                <w:rFonts w:asciiTheme="majorHAnsi" w:hAnsiTheme="majorHAnsi"/>
                <w:i/>
                <w:iCs/>
              </w:rPr>
              <w:t>SD</w:t>
            </w:r>
          </w:p>
        </w:tc>
        <w:tc>
          <w:tcPr>
            <w:tcW w:w="9292" w:type="dxa"/>
          </w:tcPr>
          <w:p w14:paraId="119710C6" w14:textId="56A3F50F" w:rsidR="00F74EC4" w:rsidRPr="007E6F67" w:rsidRDefault="00F74EC4" w:rsidP="002B6C5C">
            <w:pPr>
              <w:pStyle w:val="KeyText"/>
              <w:spacing w:before="0"/>
              <w:rPr>
                <w:rFonts w:asciiTheme="majorHAnsi" w:hAnsiTheme="majorHAnsi"/>
              </w:rPr>
            </w:pPr>
            <w:r w:rsidRPr="00D1484A">
              <w:rPr>
                <w:rFonts w:asciiTheme="majorHAnsi" w:hAnsiTheme="majorHAnsi"/>
              </w:rPr>
              <w:t>Significant Damage point</w:t>
            </w:r>
          </w:p>
        </w:tc>
      </w:tr>
      <w:tr w:rsidR="00F74EC4" w:rsidRPr="00132C1E" w14:paraId="40018AA9" w14:textId="77777777" w:rsidTr="002B6C5C">
        <w:tc>
          <w:tcPr>
            <w:tcW w:w="459" w:type="dxa"/>
          </w:tcPr>
          <w:p w14:paraId="0A23392A" w14:textId="77777777" w:rsidR="00F74EC4" w:rsidRPr="00246C41" w:rsidRDefault="00F74EC4" w:rsidP="002B6C5C">
            <w:pPr>
              <w:pStyle w:val="KeyText"/>
              <w:spacing w:before="0"/>
              <w:rPr>
                <w:rFonts w:asciiTheme="majorHAnsi" w:hAnsiTheme="majorHAnsi"/>
                <w:i/>
                <w:iCs/>
              </w:rPr>
            </w:pPr>
            <w:r w:rsidRPr="00246C41">
              <w:rPr>
                <w:rFonts w:asciiTheme="majorHAnsi" w:hAnsiTheme="majorHAnsi"/>
                <w:i/>
                <w:iCs/>
              </w:rPr>
              <w:t>M</w:t>
            </w:r>
          </w:p>
        </w:tc>
        <w:tc>
          <w:tcPr>
            <w:tcW w:w="9292" w:type="dxa"/>
          </w:tcPr>
          <w:p w14:paraId="0454B071" w14:textId="51A22DB3" w:rsidR="00F74EC4" w:rsidRPr="007E6F67" w:rsidRDefault="00246C41" w:rsidP="002B6C5C">
            <w:pPr>
              <w:pStyle w:val="KeyText"/>
              <w:spacing w:before="0"/>
              <w:rPr>
                <w:rFonts w:asciiTheme="majorHAnsi" w:hAnsiTheme="majorHAnsi"/>
              </w:rPr>
            </w:pPr>
            <w:r>
              <w:rPr>
                <w:rFonts w:asciiTheme="majorHAnsi" w:hAnsiTheme="majorHAnsi"/>
              </w:rPr>
              <w:t>m</w:t>
            </w:r>
            <w:r w:rsidR="00F74EC4" w:rsidRPr="00D1484A">
              <w:rPr>
                <w:rFonts w:asciiTheme="majorHAnsi" w:hAnsiTheme="majorHAnsi"/>
              </w:rPr>
              <w:t>aximum load point</w:t>
            </w:r>
          </w:p>
        </w:tc>
      </w:tr>
      <w:tr w:rsidR="00F74EC4" w:rsidRPr="00132C1E" w14:paraId="0FA6AAF3" w14:textId="77777777" w:rsidTr="002B6C5C">
        <w:tc>
          <w:tcPr>
            <w:tcW w:w="459" w:type="dxa"/>
          </w:tcPr>
          <w:p w14:paraId="1631444C" w14:textId="77777777" w:rsidR="00F74EC4" w:rsidRPr="00246C41" w:rsidRDefault="00F74EC4" w:rsidP="002B6C5C">
            <w:pPr>
              <w:pStyle w:val="KeyText"/>
              <w:spacing w:before="0"/>
              <w:rPr>
                <w:rFonts w:asciiTheme="majorHAnsi" w:hAnsiTheme="majorHAnsi"/>
                <w:i/>
                <w:iCs/>
              </w:rPr>
            </w:pPr>
            <w:r w:rsidRPr="00246C41">
              <w:rPr>
                <w:rFonts w:asciiTheme="majorHAnsi" w:hAnsiTheme="majorHAnsi"/>
                <w:i/>
                <w:iCs/>
              </w:rPr>
              <w:t>NC</w:t>
            </w:r>
          </w:p>
        </w:tc>
        <w:tc>
          <w:tcPr>
            <w:tcW w:w="9292" w:type="dxa"/>
          </w:tcPr>
          <w:p w14:paraId="7B15D559" w14:textId="55C00F15" w:rsidR="00F74EC4" w:rsidRPr="007E6F67" w:rsidRDefault="00F74EC4" w:rsidP="002B6C5C">
            <w:pPr>
              <w:pStyle w:val="KeyText"/>
              <w:spacing w:before="0"/>
              <w:rPr>
                <w:rFonts w:asciiTheme="majorHAnsi" w:hAnsiTheme="majorHAnsi"/>
              </w:rPr>
            </w:pPr>
            <w:r w:rsidRPr="00D1484A">
              <w:rPr>
                <w:rFonts w:asciiTheme="majorHAnsi" w:hAnsiTheme="majorHAnsi"/>
              </w:rPr>
              <w:t>Near Collapse point</w:t>
            </w:r>
          </w:p>
        </w:tc>
      </w:tr>
      <w:tr w:rsidR="00F74EC4" w:rsidRPr="00132C1E" w14:paraId="59EEA11A" w14:textId="77777777" w:rsidTr="002B6C5C">
        <w:tc>
          <w:tcPr>
            <w:tcW w:w="459" w:type="dxa"/>
          </w:tcPr>
          <w:p w14:paraId="07F8EA3F" w14:textId="77777777" w:rsidR="00F74EC4" w:rsidRPr="00246C41" w:rsidRDefault="00F74EC4" w:rsidP="002B6C5C">
            <w:pPr>
              <w:pStyle w:val="KeyText"/>
              <w:spacing w:before="0"/>
              <w:rPr>
                <w:rFonts w:asciiTheme="majorHAnsi" w:hAnsiTheme="majorHAnsi"/>
                <w:i/>
                <w:iCs/>
              </w:rPr>
            </w:pPr>
            <w:r w:rsidRPr="00246C41">
              <w:rPr>
                <w:rFonts w:asciiTheme="majorHAnsi" w:hAnsiTheme="majorHAnsi"/>
                <w:i/>
                <w:iCs/>
              </w:rPr>
              <w:t>U</w:t>
            </w:r>
          </w:p>
        </w:tc>
        <w:tc>
          <w:tcPr>
            <w:tcW w:w="9292" w:type="dxa"/>
          </w:tcPr>
          <w:p w14:paraId="733F2EAD" w14:textId="2064EEBB" w:rsidR="00F74EC4" w:rsidRPr="007E6F67" w:rsidRDefault="00246C41" w:rsidP="002B6C5C">
            <w:pPr>
              <w:pStyle w:val="KeyText"/>
              <w:spacing w:before="0"/>
              <w:rPr>
                <w:rFonts w:asciiTheme="majorHAnsi" w:hAnsiTheme="majorHAnsi"/>
              </w:rPr>
            </w:pPr>
            <w:r>
              <w:rPr>
                <w:rFonts w:asciiTheme="majorHAnsi" w:hAnsiTheme="majorHAnsi"/>
              </w:rPr>
              <w:t>u</w:t>
            </w:r>
            <w:r w:rsidR="00F74EC4" w:rsidRPr="00D1484A">
              <w:rPr>
                <w:rFonts w:asciiTheme="majorHAnsi" w:hAnsiTheme="majorHAnsi"/>
              </w:rPr>
              <w:t>ltimate load point</w:t>
            </w:r>
          </w:p>
        </w:tc>
      </w:tr>
    </w:tbl>
    <w:p w14:paraId="32A73ED5" w14:textId="1A6A62DA" w:rsidR="00F74EC4" w:rsidRPr="00FD17CF" w:rsidRDefault="00F74EC4" w:rsidP="00F74EC4">
      <w:pPr>
        <w:pStyle w:val="Figuretitle"/>
      </w:pPr>
      <w:r w:rsidRPr="00132C1E">
        <w:rPr>
          <w:bCs/>
        </w:rPr>
        <w:t xml:space="preserve">Figure </w:t>
      </w:r>
      <w:r w:rsidRPr="00D1484A">
        <w:rPr>
          <w:bCs/>
        </w:rPr>
        <w:t>L.</w:t>
      </w:r>
      <w:r w:rsidR="009611DD">
        <w:rPr>
          <w:bCs/>
        </w:rPr>
        <w:t>1</w:t>
      </w:r>
      <w:r w:rsidRPr="00132C1E">
        <w:rPr>
          <w:bCs/>
        </w:rPr>
        <w:t> </w:t>
      </w:r>
      <w:r w:rsidRPr="00D1484A">
        <w:t>—</w:t>
      </w:r>
      <w:r w:rsidRPr="00D1484A">
        <w:rPr>
          <w:bCs/>
        </w:rPr>
        <w:t> </w:t>
      </w:r>
      <w:r w:rsidRPr="007E6F67">
        <w:t>Derivation of the trilinear (a) and bilinear (b) load-deformation mean curve of dissipative zones in timber structures from the experimental curves according to EN 12512</w:t>
      </w:r>
    </w:p>
    <w:p w14:paraId="552249CB" w14:textId="6E4A7F59" w:rsidR="00F74EC4" w:rsidRPr="002144A0" w:rsidRDefault="00F74EC4" w:rsidP="0080187E">
      <w:pPr>
        <w:pStyle w:val="Clause"/>
        <w:numPr>
          <w:ilvl w:val="0"/>
          <w:numId w:val="256"/>
        </w:numPr>
      </w:pPr>
      <w:r w:rsidRPr="00FD17CF">
        <w:t>A trilinear load-deformation mean curve may be used as an approximation to model the behaviour of dissipative zones in timber structures. It may be obtained from the 1</w:t>
      </w:r>
      <w:r w:rsidRPr="00E05E29">
        <w:rPr>
          <w:vertAlign w:val="superscript"/>
        </w:rPr>
        <w:t>st</w:t>
      </w:r>
      <w:r w:rsidRPr="00196951">
        <w:t xml:space="preserve"> cycle envelope load-deformation curve derived from the cyclic test carried out according to EN 12512 (Figure </w:t>
      </w:r>
      <w:r w:rsidRPr="002144A0">
        <w:t>L.1(a)) as described in a) to f):</w:t>
      </w:r>
    </w:p>
    <w:p w14:paraId="1F75D77A" w14:textId="77777777" w:rsidR="00F74EC4" w:rsidRPr="002144A0" w:rsidRDefault="00F74EC4" w:rsidP="0080187E">
      <w:pPr>
        <w:pStyle w:val="List2"/>
        <w:numPr>
          <w:ilvl w:val="0"/>
          <w:numId w:val="257"/>
        </w:numPr>
        <w:spacing w:before="0" w:after="240" w:line="230" w:lineRule="atLeast"/>
        <w:contextualSpacing w:val="0"/>
      </w:pPr>
      <w:r w:rsidRPr="004F25D7">
        <w:t xml:space="preserve">The first branch should be </w:t>
      </w:r>
      <w:r w:rsidRPr="00C52095">
        <w:t>obtained by connecting the origin with the yield point Y (</w:t>
      </w:r>
      <m:oMath>
        <m:sSub>
          <m:sSubPr>
            <m:ctrlPr>
              <w:rPr>
                <w:rFonts w:ascii="Cambria Math" w:hAnsi="Cambria Math"/>
              </w:rPr>
            </m:ctrlPr>
          </m:sSubPr>
          <m:e>
            <m:r>
              <w:rPr>
                <w:rFonts w:ascii="Cambria Math" w:hAnsi="Cambria Math"/>
              </w:rPr>
              <m:t>k</m:t>
            </m:r>
          </m:e>
          <m:sub>
            <m:r>
              <m:rPr>
                <m:sty m:val="p"/>
              </m:rPr>
              <w:rPr>
                <w:rFonts w:ascii="Cambria Math" w:hAnsi="Cambria Math"/>
              </w:rPr>
              <m:t>mod</m:t>
            </m:r>
          </m:sub>
        </m:sSub>
        <m:r>
          <m:rPr>
            <m:sty m:val="p"/>
          </m:rPr>
          <w:rPr>
            <w:rFonts w:ascii="Cambria Math" w:hAnsi="Cambria Math"/>
          </w:rPr>
          <m:t xml:space="preserve"> </m:t>
        </m:r>
        <m:sSub>
          <m:sSubPr>
            <m:ctrlPr>
              <w:rPr>
                <w:rFonts w:ascii="Cambria Math" w:hAnsi="Cambria Math"/>
              </w:rPr>
            </m:ctrlPr>
          </m:sSubPr>
          <m:e>
            <m:r>
              <w:rPr>
                <w:rFonts w:ascii="Cambria Math" w:hAnsi="Cambria Math"/>
              </w:rPr>
              <m:t>F</m:t>
            </m:r>
          </m:e>
          <m:sub>
            <m:r>
              <m:rPr>
                <m:sty m:val="p"/>
              </m:rPr>
              <w:rPr>
                <w:rFonts w:ascii="Cambria Math" w:hAnsi="Cambria Math"/>
              </w:rPr>
              <m:t>y</m:t>
            </m:r>
          </m:sub>
        </m:sSub>
      </m:oMath>
      <w:r w:rsidRPr="00132C1E">
        <w:t>;</w:t>
      </w:r>
      <w:r w:rsidRPr="00D1484A">
        <w:rPr>
          <w:rFonts w:ascii="Times New Roman" w:hAnsi="Times New Roman"/>
          <w:i/>
          <w:iCs/>
          <w:szCs w:val="24"/>
        </w:rPr>
        <w:t xml:space="preserve"> δ</w:t>
      </w:r>
      <w:r w:rsidRPr="00D1484A">
        <w:rPr>
          <w:vertAlign w:val="subscript"/>
        </w:rPr>
        <w:t>y</w:t>
      </w:r>
      <w:r w:rsidRPr="007E6F67">
        <w:t xml:space="preserve">). The yield deformation </w:t>
      </w:r>
      <w:r w:rsidRPr="00FD17CF">
        <w:rPr>
          <w:rFonts w:ascii="Times New Roman" w:hAnsi="Times New Roman"/>
          <w:i/>
          <w:iCs/>
          <w:szCs w:val="24"/>
        </w:rPr>
        <w:t>δ</w:t>
      </w:r>
      <w:r w:rsidRPr="00FD17CF">
        <w:rPr>
          <w:vertAlign w:val="subscript"/>
        </w:rPr>
        <w:t>y</w:t>
      </w:r>
      <w:r w:rsidRPr="00FD17CF">
        <w:t xml:space="preserve"> and the yield load </w:t>
      </w:r>
      <w:r w:rsidRPr="00E05E29">
        <w:rPr>
          <w:i/>
        </w:rPr>
        <w:t>F</w:t>
      </w:r>
      <w:r w:rsidRPr="00196951">
        <w:rPr>
          <w:vertAlign w:val="subscript"/>
        </w:rPr>
        <w:t>y</w:t>
      </w:r>
      <w:r w:rsidRPr="002144A0">
        <w:t xml:space="preserve"> should be determined according to EN 12512. The slip modulus </w:t>
      </w:r>
      <w:r w:rsidRPr="00265754">
        <w:rPr>
          <w:i/>
        </w:rPr>
        <w:t>K</w:t>
      </w:r>
      <w:r>
        <w:rPr>
          <w:vertAlign w:val="subscript"/>
        </w:rPr>
        <w:t>SLS,v,mean,c</w:t>
      </w:r>
      <w:r w:rsidRPr="002144A0">
        <w:t xml:space="preserve"> should be calculated as given by Formula (L.1).</w:t>
      </w:r>
    </w:p>
    <w:p w14:paraId="38479050" w14:textId="48BBE9F2" w:rsidR="00C31E9B" w:rsidRPr="006C09CE" w:rsidRDefault="009B5CEC" w:rsidP="00C31E9B">
      <w:pPr>
        <w:pStyle w:val="Formula"/>
        <w:spacing w:before="240"/>
      </w:pPr>
      <m:oMath>
        <m:sSub>
          <m:sSubPr>
            <m:ctrlPr>
              <w:rPr>
                <w:rFonts w:ascii="Cambria Math" w:hAnsi="Cambria Math"/>
              </w:rPr>
            </m:ctrlPr>
          </m:sSubPr>
          <m:e>
            <m:r>
              <w:rPr>
                <w:rFonts w:ascii="Cambria Math" w:hAnsi="Cambria Math"/>
              </w:rPr>
              <m:t>K</m:t>
            </m:r>
          </m:e>
          <m:sub>
            <m:r>
              <m:rPr>
                <m:sty m:val="p"/>
              </m:rPr>
              <w:rPr>
                <w:rFonts w:ascii="Cambria Math" w:hAnsi="Cambria Math"/>
                <w:vertAlign w:val="subscript"/>
              </w:rPr>
              <m:t>SLS,v,mean,c</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k</m:t>
                </m:r>
              </m:e>
              <m:sub>
                <m:r>
                  <m:rPr>
                    <m:sty m:val="p"/>
                  </m:rPr>
                  <w:rPr>
                    <w:rFonts w:ascii="Cambria Math" w:hAnsi="Cambria Math"/>
                  </w:rPr>
                  <m:t>mod</m:t>
                </m:r>
              </m:sub>
            </m:sSub>
            <m:r>
              <w:rPr>
                <w:rFonts w:ascii="Cambria Math" w:hAnsi="Cambria Math"/>
              </w:rPr>
              <m:t xml:space="preserve"> </m:t>
            </m:r>
            <m:sSub>
              <m:sSubPr>
                <m:ctrlPr>
                  <w:rPr>
                    <w:rFonts w:ascii="Cambria Math" w:hAnsi="Cambria Math"/>
                  </w:rPr>
                </m:ctrlPr>
              </m:sSubPr>
              <m:e>
                <m:r>
                  <w:rPr>
                    <w:rFonts w:ascii="Cambria Math" w:hAnsi="Cambria Math"/>
                  </w:rPr>
                  <m:t>F</m:t>
                </m:r>
              </m:e>
              <m:sub>
                <m:r>
                  <m:rPr>
                    <m:sty m:val="p"/>
                  </m:rPr>
                  <w:rPr>
                    <w:rFonts w:ascii="Cambria Math" w:hAnsi="Cambria Math"/>
                  </w:rPr>
                  <m:t>y</m:t>
                </m:r>
              </m:sub>
            </m:sSub>
          </m:num>
          <m:den>
            <m:sSub>
              <m:sSubPr>
                <m:ctrlPr>
                  <w:rPr>
                    <w:rFonts w:ascii="Cambria Math" w:hAnsi="Cambria Math"/>
                  </w:rPr>
                </m:ctrlPr>
              </m:sSubPr>
              <m:e>
                <m:r>
                  <w:rPr>
                    <w:rFonts w:ascii="Cambria Math" w:hAnsi="Cambria Math"/>
                    <w:szCs w:val="24"/>
                  </w:rPr>
                  <m:t>δ</m:t>
                </m:r>
              </m:e>
              <m:sub>
                <m:r>
                  <m:rPr>
                    <m:sty m:val="p"/>
                  </m:rPr>
                  <w:rPr>
                    <w:rFonts w:ascii="Cambria Math" w:hAnsi="Cambria Math"/>
                  </w:rPr>
                  <m:t>y</m:t>
                </m:r>
              </m:sub>
            </m:sSub>
          </m:den>
        </m:f>
      </m:oMath>
      <w:r w:rsidR="00C31E9B" w:rsidRPr="006C09CE">
        <w:tab/>
        <w:t>(</w:t>
      </w:r>
      <w:r w:rsidR="00C31E9B">
        <w:t>L</w:t>
      </w:r>
      <w:r w:rsidR="00C31E9B" w:rsidRPr="006C09CE">
        <w:t>.</w:t>
      </w:r>
      <w:r w:rsidR="00C31E9B">
        <w:t>1</w:t>
      </w:r>
      <w:r w:rsidR="00C31E9B" w:rsidRPr="006C09CE">
        <w:t>)</w:t>
      </w:r>
    </w:p>
    <w:p w14:paraId="2C782E79" w14:textId="7F00F715" w:rsidR="00C31E9B" w:rsidRPr="009611DD" w:rsidRDefault="00C31E9B" w:rsidP="002B6C5C">
      <w:pPr>
        <w:pStyle w:val="Text"/>
        <w:ind w:left="360"/>
      </w:pPr>
      <w:r w:rsidRPr="009611DD">
        <w:t>where</w:t>
      </w:r>
      <w:r w:rsidRPr="009611DD">
        <w:rPr>
          <w:i/>
          <w:iCs/>
        </w:rPr>
        <w:t xml:space="preserve"> k</w:t>
      </w:r>
      <w:r w:rsidRPr="009611DD">
        <w:rPr>
          <w:vertAlign w:val="subscript"/>
        </w:rPr>
        <w:t>mod</w:t>
      </w:r>
      <w:r w:rsidRPr="009611DD">
        <w:t xml:space="preserve"> is the modification factor for duration of load and moisture content according to </w:t>
      </w:r>
      <w:r w:rsidR="007F3697" w:rsidRPr="009611DD">
        <w:t>prEN </w:t>
      </w:r>
      <w:r w:rsidR="006067DF">
        <w:t>1995</w:t>
      </w:r>
      <w:r w:rsidR="000E61CC">
        <w:noBreakHyphen/>
      </w:r>
      <w:r w:rsidR="006067DF">
        <w:t>1</w:t>
      </w:r>
      <w:r w:rsidR="000E61CC">
        <w:noBreakHyphen/>
      </w:r>
      <w:r w:rsidR="006067DF">
        <w:t>1:2023</w:t>
      </w:r>
      <w:r w:rsidRPr="009611DD">
        <w:t>, 5.1.3.</w:t>
      </w:r>
    </w:p>
    <w:p w14:paraId="41D63CFB" w14:textId="77777777" w:rsidR="00C31E9B" w:rsidRPr="00D1484A" w:rsidRDefault="00C31E9B" w:rsidP="0080187E">
      <w:pPr>
        <w:pStyle w:val="List2"/>
        <w:numPr>
          <w:ilvl w:val="0"/>
          <w:numId w:val="257"/>
        </w:numPr>
        <w:spacing w:before="0" w:after="240" w:line="230" w:lineRule="atLeast"/>
        <w:contextualSpacing w:val="0"/>
      </w:pPr>
      <w:r w:rsidRPr="00C52095">
        <w:t>The second branch should be obtained by connecting the yield load point Y with the maximum load point M (</w:t>
      </w:r>
      <m:oMath>
        <m:sSub>
          <m:sSubPr>
            <m:ctrlPr>
              <w:rPr>
                <w:rFonts w:ascii="Cambria Math" w:hAnsi="Cambria Math"/>
              </w:rPr>
            </m:ctrlPr>
          </m:sSubPr>
          <m:e>
            <m:r>
              <w:rPr>
                <w:rFonts w:ascii="Cambria Math" w:hAnsi="Cambria Math"/>
              </w:rPr>
              <m:t>k</m:t>
            </m:r>
          </m:e>
          <m:sub>
            <m:r>
              <m:rPr>
                <m:sty m:val="p"/>
              </m:rPr>
              <w:rPr>
                <w:rFonts w:ascii="Cambria Math" w:hAnsi="Cambria Math"/>
              </w:rPr>
              <m:t>mod</m:t>
            </m:r>
          </m:sub>
        </m:sSub>
        <m:r>
          <m:rPr>
            <m:sty m:val="p"/>
          </m:rPr>
          <w:rPr>
            <w:rFonts w:ascii="Cambria Math" w:hAnsi="Cambria Math"/>
          </w:rPr>
          <m:t>∙</m:t>
        </m:r>
        <m:sSub>
          <m:sSubPr>
            <m:ctrlPr>
              <w:rPr>
                <w:rFonts w:ascii="Cambria Math" w:hAnsi="Cambria Math"/>
              </w:rPr>
            </m:ctrlPr>
          </m:sSubPr>
          <m:e>
            <m:r>
              <w:rPr>
                <w:rFonts w:ascii="Cambria Math" w:hAnsi="Cambria Math"/>
              </w:rPr>
              <m:t>F</m:t>
            </m:r>
          </m:e>
          <m:sub>
            <m:r>
              <m:rPr>
                <m:sty m:val="p"/>
              </m:rPr>
              <w:rPr>
                <w:rFonts w:ascii="Cambria Math" w:hAnsi="Cambria Math"/>
              </w:rPr>
              <m:t>max</m:t>
            </m:r>
          </m:sub>
        </m:sSub>
      </m:oMath>
      <w:r w:rsidRPr="00132C1E">
        <w:t>;</w:t>
      </w:r>
      <w:r w:rsidRPr="00D1484A">
        <w:rPr>
          <w:rFonts w:ascii="Times New Roman" w:hAnsi="Times New Roman"/>
          <w:i/>
          <w:iCs/>
          <w:szCs w:val="24"/>
        </w:rPr>
        <w:t xml:space="preserve"> δ</w:t>
      </w:r>
      <w:r w:rsidRPr="00D1484A">
        <w:rPr>
          <w:vertAlign w:val="subscript"/>
        </w:rPr>
        <w:t>Fmax</w:t>
      </w:r>
      <w:r w:rsidRPr="007E6F67">
        <w:t xml:space="preserve">), where </w:t>
      </w:r>
      <m:oMath>
        <m:sSub>
          <m:sSubPr>
            <m:ctrlPr>
              <w:rPr>
                <w:rFonts w:ascii="Cambria Math" w:hAnsi="Cambria Math"/>
              </w:rPr>
            </m:ctrlPr>
          </m:sSubPr>
          <m:e>
            <m:r>
              <w:rPr>
                <w:rFonts w:ascii="Cambria Math" w:hAnsi="Cambria Math"/>
              </w:rPr>
              <m:t>F</m:t>
            </m:r>
          </m:e>
          <m:sub>
            <m:r>
              <m:rPr>
                <m:sty m:val="p"/>
              </m:rPr>
              <w:rPr>
                <w:rFonts w:ascii="Cambria Math" w:hAnsi="Cambria Math"/>
              </w:rPr>
              <m:t>max</m:t>
            </m:r>
          </m:sub>
        </m:sSub>
      </m:oMath>
      <w:r w:rsidRPr="00132C1E">
        <w:t xml:space="preserve"> is the maximum load attained on the 1</w:t>
      </w:r>
      <w:r w:rsidRPr="00D1484A">
        <w:rPr>
          <w:vertAlign w:val="superscript"/>
        </w:rPr>
        <w:t>st</w:t>
      </w:r>
      <w:r w:rsidRPr="00D1484A">
        <w:t xml:space="preserve"> cycle envelope load-deformation curve during the test, and </w:t>
      </w:r>
      <w:r w:rsidRPr="007E6F67">
        <w:rPr>
          <w:rFonts w:ascii="Times New Roman" w:hAnsi="Times New Roman"/>
          <w:i/>
          <w:iCs/>
          <w:szCs w:val="24"/>
        </w:rPr>
        <w:t>δ</w:t>
      </w:r>
      <w:r w:rsidRPr="00FD17CF">
        <w:rPr>
          <w:vertAlign w:val="subscript"/>
        </w:rPr>
        <w:t>Fmax</w:t>
      </w:r>
      <w:r w:rsidRPr="00FD17CF">
        <w:t xml:space="preserve"> is the deformation attained at the maximum load </w:t>
      </w:r>
      <m:oMath>
        <m:sSub>
          <m:sSubPr>
            <m:ctrlPr>
              <w:rPr>
                <w:rFonts w:ascii="Cambria Math" w:hAnsi="Cambria Math"/>
              </w:rPr>
            </m:ctrlPr>
          </m:sSubPr>
          <m:e>
            <m:r>
              <w:rPr>
                <w:rFonts w:ascii="Cambria Math" w:hAnsi="Cambria Math"/>
              </w:rPr>
              <m:t>F</m:t>
            </m:r>
          </m:e>
          <m:sub>
            <m:r>
              <m:rPr>
                <m:sty m:val="p"/>
              </m:rPr>
              <w:rPr>
                <w:rFonts w:ascii="Cambria Math" w:hAnsi="Cambria Math"/>
              </w:rPr>
              <m:t>max</m:t>
            </m:r>
          </m:sub>
        </m:sSub>
      </m:oMath>
      <w:r w:rsidRPr="00132C1E">
        <w:t>.</w:t>
      </w:r>
    </w:p>
    <w:p w14:paraId="52EE529B" w14:textId="77777777" w:rsidR="00C31E9B" w:rsidRPr="00132C1E" w:rsidRDefault="00C31E9B" w:rsidP="0080187E">
      <w:pPr>
        <w:pStyle w:val="List2"/>
        <w:numPr>
          <w:ilvl w:val="0"/>
          <w:numId w:val="257"/>
        </w:numPr>
        <w:spacing w:before="0" w:after="240" w:line="230" w:lineRule="atLeast"/>
        <w:contextualSpacing w:val="0"/>
      </w:pPr>
      <w:r w:rsidRPr="00D1484A">
        <w:t>The third branch should be obtained by connecting the maximum load point M with the ultimate load point U (</w:t>
      </w:r>
      <m:oMath>
        <m:sSub>
          <m:sSubPr>
            <m:ctrlPr>
              <w:rPr>
                <w:rFonts w:ascii="Cambria Math" w:hAnsi="Cambria Math"/>
              </w:rPr>
            </m:ctrlPr>
          </m:sSubPr>
          <m:e>
            <m:r>
              <w:rPr>
                <w:rFonts w:ascii="Cambria Math" w:hAnsi="Cambria Math"/>
              </w:rPr>
              <m:t>k</m:t>
            </m:r>
          </m:e>
          <m:sub>
            <m:r>
              <m:rPr>
                <m:sty m:val="p"/>
              </m:rPr>
              <w:rPr>
                <w:rFonts w:ascii="Cambria Math" w:hAnsi="Cambria Math"/>
              </w:rPr>
              <m:t>mod</m:t>
            </m:r>
          </m:sub>
        </m:sSub>
        <m:r>
          <m:rPr>
            <m:sty m:val="p"/>
          </m:rPr>
          <w:rPr>
            <w:rFonts w:ascii="Cambria Math" w:hAnsi="Cambria Math"/>
          </w:rPr>
          <m:t>∙</m:t>
        </m:r>
        <m:sSub>
          <m:sSubPr>
            <m:ctrlPr>
              <w:rPr>
                <w:rFonts w:ascii="Cambria Math" w:hAnsi="Cambria Math"/>
              </w:rPr>
            </m:ctrlPr>
          </m:sSubPr>
          <m:e>
            <m:r>
              <w:rPr>
                <w:rFonts w:ascii="Cambria Math" w:hAnsi="Cambria Math"/>
              </w:rPr>
              <m:t>F</m:t>
            </m:r>
          </m:e>
          <m:sub>
            <m:r>
              <m:rPr>
                <m:sty m:val="p"/>
              </m:rPr>
              <w:rPr>
                <w:rFonts w:ascii="Cambria Math" w:hAnsi="Cambria Math"/>
              </w:rPr>
              <m:t>u</m:t>
            </m:r>
          </m:sub>
        </m:sSub>
      </m:oMath>
      <w:r w:rsidRPr="00132C1E">
        <w:t>;</w:t>
      </w:r>
      <w:r w:rsidRPr="00D1484A">
        <w:rPr>
          <w:rFonts w:ascii="Times New Roman" w:hAnsi="Times New Roman"/>
          <w:i/>
          <w:iCs/>
          <w:szCs w:val="24"/>
        </w:rPr>
        <w:t xml:space="preserve"> δ</w:t>
      </w:r>
      <w:r w:rsidRPr="00D1484A">
        <w:rPr>
          <w:vertAlign w:val="subscript"/>
        </w:rPr>
        <w:t>u</w:t>
      </w:r>
      <w:r w:rsidRPr="007E6F67">
        <w:t xml:space="preserve">). The ultimate load </w:t>
      </w:r>
      <w:r w:rsidRPr="00FD17CF">
        <w:rPr>
          <w:i/>
        </w:rPr>
        <w:t>F</w:t>
      </w:r>
      <w:r w:rsidRPr="00FD17CF">
        <w:rPr>
          <w:vertAlign w:val="subscript"/>
        </w:rPr>
        <w:t xml:space="preserve">u </w:t>
      </w:r>
      <w:r w:rsidRPr="00FD17CF">
        <w:t>is the load attained on the 1</w:t>
      </w:r>
      <w:r w:rsidRPr="00E05E29">
        <w:rPr>
          <w:vertAlign w:val="superscript"/>
        </w:rPr>
        <w:t>st</w:t>
      </w:r>
      <w:r w:rsidRPr="00196951">
        <w:t xml:space="preserve"> cycle envelope load-deformation curve corresponding to the ultimate deformatio</w:t>
      </w:r>
      <w:r w:rsidRPr="002144A0">
        <w:t xml:space="preserve">n </w:t>
      </w:r>
      <w:r w:rsidRPr="002144A0">
        <w:rPr>
          <w:rFonts w:ascii="Times New Roman" w:hAnsi="Times New Roman"/>
          <w:i/>
          <w:iCs/>
          <w:szCs w:val="24"/>
        </w:rPr>
        <w:t>δ</w:t>
      </w:r>
      <w:r w:rsidRPr="002144A0">
        <w:rPr>
          <w:vertAlign w:val="subscript"/>
        </w:rPr>
        <w:t>u</w:t>
      </w:r>
      <w:r w:rsidRPr="004F25D7">
        <w:t xml:space="preserve">, which is determined according to EN 12512 assuming a limit value of the strength impairment factor </w:t>
      </w:r>
      <w:r w:rsidRPr="00C52095">
        <w:rPr>
          <w:rFonts w:ascii="Times New Roman" w:hAnsi="Times New Roman"/>
          <w:i/>
        </w:rPr>
        <w:t>φ</w:t>
      </w:r>
      <w:r w:rsidRPr="00C52095">
        <w:rPr>
          <w:rFonts w:ascii="Times New Roman" w:hAnsi="Times New Roman"/>
          <w:vertAlign w:val="subscript"/>
        </w:rPr>
        <w:t>imp</w:t>
      </w:r>
      <w:r w:rsidRPr="00C52095">
        <w:t xml:space="preserve"> not greater than 0,30 and a limit value of the strength reduction factor due to </w:t>
      </w:r>
      <w:r w:rsidRPr="007754C9">
        <w:t xml:space="preserve">degradation under cyclic loading </w:t>
      </w:r>
      <w:r w:rsidRPr="00132C1E">
        <w:rPr>
          <w:i/>
        </w:rPr>
        <w:t>k</w:t>
      </w:r>
      <w:r w:rsidRPr="00132C1E">
        <w:rPr>
          <w:vertAlign w:val="subscript"/>
        </w:rPr>
        <w:t>deg</w:t>
      </w:r>
      <w:r w:rsidRPr="00132C1E">
        <w:t xml:space="preserve"> not smaller than 0,80.</w:t>
      </w:r>
    </w:p>
    <w:p w14:paraId="1BE3F3F4" w14:textId="77777777" w:rsidR="00C31E9B" w:rsidRPr="00132C1E" w:rsidRDefault="00C31E9B" w:rsidP="0080187E">
      <w:pPr>
        <w:pStyle w:val="List2"/>
        <w:numPr>
          <w:ilvl w:val="0"/>
          <w:numId w:val="257"/>
        </w:numPr>
        <w:spacing w:before="0" w:after="240" w:line="230" w:lineRule="atLeast"/>
        <w:contextualSpacing w:val="0"/>
      </w:pPr>
      <w:r w:rsidRPr="00132C1E">
        <w:t xml:space="preserve">When the ultimate deformation </w:t>
      </w:r>
      <w:r w:rsidRPr="00132C1E">
        <w:rPr>
          <w:rFonts w:ascii="Times New Roman" w:hAnsi="Times New Roman"/>
          <w:i/>
          <w:iCs/>
          <w:szCs w:val="24"/>
        </w:rPr>
        <w:t>δ</w:t>
      </w:r>
      <w:r w:rsidRPr="00132C1E">
        <w:rPr>
          <w:vertAlign w:val="subscript"/>
        </w:rPr>
        <w:t>u</w:t>
      </w:r>
      <w:r w:rsidRPr="00132C1E">
        <w:t xml:space="preserve"> is smaller than the deformation related to the maximum load </w:t>
      </w:r>
      <w:r w:rsidRPr="00132C1E">
        <w:rPr>
          <w:rFonts w:ascii="Times New Roman" w:hAnsi="Times New Roman"/>
          <w:i/>
          <w:iCs/>
          <w:szCs w:val="24"/>
        </w:rPr>
        <w:t>δ</w:t>
      </w:r>
      <w:r w:rsidRPr="00132C1E">
        <w:rPr>
          <w:vertAlign w:val="subscript"/>
        </w:rPr>
        <w:t>Fmax</w:t>
      </w:r>
      <w:r w:rsidRPr="00132C1E">
        <w:t xml:space="preserve">, a bilinear curve should be used </w:t>
      </w:r>
      <w:r w:rsidRPr="00132C1E">
        <w:rPr>
          <w:color w:val="000000" w:themeColor="text1"/>
        </w:rPr>
        <w:t>(Figure L.1(b))</w:t>
      </w:r>
      <w:r w:rsidRPr="00132C1E">
        <w:t>. The first branch should be defined according to a). The second branch should be obtained by connecting the yield load point Y with the ultimate load point U, which is defined according to c).</w:t>
      </w:r>
    </w:p>
    <w:p w14:paraId="1312A3D9" w14:textId="574C132B" w:rsidR="00C31E9B" w:rsidRPr="001360DB" w:rsidRDefault="00C31E9B" w:rsidP="0080187E">
      <w:pPr>
        <w:pStyle w:val="List2"/>
        <w:numPr>
          <w:ilvl w:val="0"/>
          <w:numId w:val="257"/>
        </w:numPr>
        <w:spacing w:before="0" w:after="240" w:line="230" w:lineRule="atLeast"/>
        <w:contextualSpacing w:val="0"/>
      </w:pPr>
      <w:r w:rsidRPr="001360DB">
        <w:t xml:space="preserve">The SD point should be obtained on the trilinear (or bilinear) curve at the deformation value </w:t>
      </w:r>
      <w:r w:rsidRPr="001360DB">
        <w:rPr>
          <w:rFonts w:ascii="Symbol" w:hAnsi="Symbol"/>
          <w:i/>
        </w:rPr>
        <w:t></w:t>
      </w:r>
      <w:r w:rsidRPr="001360DB">
        <w:rPr>
          <w:vertAlign w:val="subscript"/>
        </w:rPr>
        <w:t>SD</w:t>
      </w:r>
      <w:r w:rsidRPr="001360DB">
        <w:rPr>
          <w:rFonts w:ascii="Times New Roman" w:hAnsi="Times New Roman"/>
          <w:i/>
          <w:iCs/>
          <w:szCs w:val="24"/>
        </w:rPr>
        <w:t xml:space="preserve"> </w:t>
      </w:r>
      <w:r w:rsidRPr="001360DB">
        <w:t>given by Formula (L.2) according to pr</w:t>
      </w:r>
      <w:r w:rsidR="00C30FF9" w:rsidRPr="001360DB">
        <w:t>EN 1</w:t>
      </w:r>
      <w:r w:rsidRPr="001360DB">
        <w:t>998-1-1:2022, 6.7.2(1).</w:t>
      </w:r>
    </w:p>
    <w:p w14:paraId="3DEE41B4" w14:textId="0D6EF98D" w:rsidR="00C31E9B" w:rsidRPr="001360DB" w:rsidRDefault="009B5CEC" w:rsidP="00C31E9B">
      <w:pPr>
        <w:pStyle w:val="Formula"/>
        <w:spacing w:before="240"/>
      </w:pPr>
      <m:oMath>
        <m:sSub>
          <m:sSubPr>
            <m:ctrlPr>
              <w:rPr>
                <w:rFonts w:ascii="Cambria Math" w:hAnsi="Cambria Math"/>
              </w:rPr>
            </m:ctrlPr>
          </m:sSubPr>
          <m:e>
            <m:r>
              <w:rPr>
                <w:rFonts w:ascii="Cambria Math" w:hAnsi="Cambria Math"/>
              </w:rPr>
              <m:t>δ</m:t>
            </m:r>
          </m:e>
          <m:sub>
            <m:r>
              <m:rPr>
                <m:sty m:val="p"/>
              </m:rPr>
              <w:rPr>
                <w:rFonts w:ascii="Cambria Math" w:hAnsi="Cambria Math"/>
              </w:rPr>
              <m:t>SD</m:t>
            </m:r>
          </m:sub>
        </m:sSub>
        <m:r>
          <w:rPr>
            <w:rFonts w:ascii="Cambria Math" w:hAnsi="Cambria Math"/>
          </w:rPr>
          <m:t>=</m:t>
        </m:r>
        <m:f>
          <m:fPr>
            <m:ctrlPr>
              <w:rPr>
                <w:rFonts w:ascii="Cambria Math" w:hAnsi="Cambria Math"/>
              </w:rPr>
            </m:ctrlPr>
          </m:fPr>
          <m:num>
            <m:r>
              <w:rPr>
                <w:rFonts w:ascii="Cambria Math" w:hAnsi="Cambria Math"/>
              </w:rPr>
              <m:t>1</m:t>
            </m:r>
          </m:num>
          <m:den>
            <m:sSub>
              <m:sSubPr>
                <m:ctrlPr>
                  <w:rPr>
                    <w:rFonts w:ascii="Cambria Math" w:hAnsi="Cambria Math"/>
                  </w:rPr>
                </m:ctrlPr>
              </m:sSubPr>
              <m:e>
                <m:r>
                  <w:rPr>
                    <w:rFonts w:ascii="Cambria Math" w:hAnsi="Cambria Math"/>
                  </w:rPr>
                  <m:t>γ</m:t>
                </m:r>
              </m:e>
              <m:sub>
                <m:r>
                  <m:rPr>
                    <m:sty m:val="p"/>
                  </m:rPr>
                  <w:rPr>
                    <w:rFonts w:ascii="Cambria Math" w:hAnsi="Cambria Math"/>
                  </w:rPr>
                  <m:t>Rd</m:t>
                </m:r>
              </m:sub>
            </m:sSub>
          </m:den>
        </m:f>
        <m:d>
          <m:dPr>
            <m:begChr m:val="["/>
            <m:endChr m:val="]"/>
            <m:ctrlPr>
              <w:rPr>
                <w:rFonts w:ascii="Cambria Math" w:hAnsi="Cambria Math"/>
              </w:rPr>
            </m:ctrlPr>
          </m:dPr>
          <m:e>
            <m:sSub>
              <m:sSubPr>
                <m:ctrlPr>
                  <w:rPr>
                    <w:rFonts w:ascii="Cambria Math" w:hAnsi="Cambria Math"/>
                  </w:rPr>
                </m:ctrlPr>
              </m:sSubPr>
              <m:e>
                <m:r>
                  <w:rPr>
                    <w:rFonts w:ascii="Cambria Math" w:hAnsi="Cambria Math"/>
                  </w:rPr>
                  <m:t>δ</m:t>
                </m:r>
              </m:e>
              <m:sub>
                <m:r>
                  <m:rPr>
                    <m:sty m:val="p"/>
                  </m:rPr>
                  <w:rPr>
                    <w:rFonts w:ascii="Cambria Math" w:hAnsi="Cambria Math"/>
                  </w:rPr>
                  <m:t>y</m:t>
                </m:r>
              </m:sub>
            </m:sSub>
            <m:r>
              <w:rPr>
                <w:rFonts w:ascii="Cambria Math" w:hAnsi="Cambria Math"/>
              </w:rPr>
              <m:t xml:space="preserve">+0,5 </m:t>
            </m:r>
            <m:d>
              <m:dPr>
                <m:ctrlPr>
                  <w:rPr>
                    <w:rFonts w:ascii="Cambria Math" w:hAnsi="Cambria Math"/>
                  </w:rPr>
                </m:ctrlPr>
              </m:dPr>
              <m:e>
                <m:sSub>
                  <m:sSubPr>
                    <m:ctrlPr>
                      <w:rPr>
                        <w:rFonts w:ascii="Cambria Math" w:hAnsi="Cambria Math"/>
                      </w:rPr>
                    </m:ctrlPr>
                  </m:sSubPr>
                  <m:e>
                    <m:r>
                      <w:rPr>
                        <w:rFonts w:ascii="Cambria Math" w:hAnsi="Cambria Math"/>
                      </w:rPr>
                      <m:t>δ</m:t>
                    </m:r>
                  </m:e>
                  <m:sub>
                    <m:r>
                      <m:rPr>
                        <m:sty m:val="p"/>
                      </m:rPr>
                      <w:rPr>
                        <w:rFonts w:ascii="Cambria Math" w:hAnsi="Cambria Math"/>
                      </w:rPr>
                      <m:t>u</m:t>
                    </m:r>
                  </m:sub>
                </m:sSub>
                <m:r>
                  <w:rPr>
                    <w:rFonts w:ascii="Cambria Math" w:hAnsi="Cambria Math"/>
                  </w:rPr>
                  <m:t>-</m:t>
                </m:r>
                <m:sSub>
                  <m:sSubPr>
                    <m:ctrlPr>
                      <w:rPr>
                        <w:rFonts w:ascii="Cambria Math" w:hAnsi="Cambria Math"/>
                      </w:rPr>
                    </m:ctrlPr>
                  </m:sSubPr>
                  <m:e>
                    <m:r>
                      <w:rPr>
                        <w:rFonts w:ascii="Cambria Math" w:hAnsi="Cambria Math"/>
                      </w:rPr>
                      <m:t>δ</m:t>
                    </m:r>
                  </m:e>
                  <m:sub>
                    <m:r>
                      <m:rPr>
                        <m:sty m:val="p"/>
                      </m:rPr>
                      <w:rPr>
                        <w:rFonts w:ascii="Cambria Math" w:hAnsi="Cambria Math"/>
                      </w:rPr>
                      <m:t>y</m:t>
                    </m:r>
                  </m:sub>
                </m:sSub>
              </m:e>
            </m:d>
          </m:e>
        </m:d>
      </m:oMath>
      <w:r w:rsidR="00C31E9B" w:rsidRPr="001360DB">
        <w:tab/>
        <w:t>(L.2)</w:t>
      </w:r>
    </w:p>
    <w:p w14:paraId="785B5A59" w14:textId="7C3D4C98" w:rsidR="00C31E9B" w:rsidRPr="001360DB" w:rsidRDefault="00675EBA" w:rsidP="009611DD">
      <w:pPr>
        <w:pStyle w:val="Text"/>
      </w:pPr>
      <w:r w:rsidRPr="001360DB">
        <w:t>where</w:t>
      </w:r>
    </w:p>
    <w:tbl>
      <w:tblPr>
        <w:tblW w:w="0" w:type="auto"/>
        <w:tblInd w:w="346" w:type="dxa"/>
        <w:tblLook w:val="04A0" w:firstRow="1" w:lastRow="0" w:firstColumn="1" w:lastColumn="0" w:noHBand="0" w:noVBand="1"/>
      </w:tblPr>
      <w:tblGrid>
        <w:gridCol w:w="1275"/>
        <w:gridCol w:w="7938"/>
      </w:tblGrid>
      <w:tr w:rsidR="00C31E9B" w:rsidRPr="001360DB" w14:paraId="213FC94A" w14:textId="77777777" w:rsidTr="002B6C5C">
        <w:tc>
          <w:tcPr>
            <w:tcW w:w="1275" w:type="dxa"/>
          </w:tcPr>
          <w:p w14:paraId="63A5FEDE" w14:textId="46B0A2A1" w:rsidR="00C31E9B" w:rsidRPr="001360DB" w:rsidRDefault="00C31E9B" w:rsidP="002061E5">
            <w:pPr>
              <w:spacing w:after="60"/>
              <w:rPr>
                <w:rFonts w:eastAsia="Times New Roman" w:cs="Cambria"/>
                <w:szCs w:val="20"/>
                <w:lang w:eastAsia="fr-FR"/>
              </w:rPr>
            </w:pPr>
            <w:r w:rsidRPr="001360DB">
              <w:rPr>
                <w:rFonts w:ascii="Symbol" w:hAnsi="Symbol"/>
                <w:i/>
              </w:rPr>
              <w:t></w:t>
            </w:r>
            <w:r w:rsidRPr="001360DB">
              <w:rPr>
                <w:vertAlign w:val="subscript"/>
              </w:rPr>
              <w:t>SD</w:t>
            </w:r>
          </w:p>
        </w:tc>
        <w:tc>
          <w:tcPr>
            <w:tcW w:w="7938" w:type="dxa"/>
          </w:tcPr>
          <w:p w14:paraId="722F7246" w14:textId="301A1C12" w:rsidR="00C31E9B" w:rsidRPr="001360DB" w:rsidRDefault="00D03D43" w:rsidP="002061E5">
            <w:pPr>
              <w:pStyle w:val="Listofsymbols"/>
              <w:tabs>
                <w:tab w:val="clear" w:pos="1134"/>
                <w:tab w:val="left" w:pos="2481"/>
              </w:tabs>
              <w:ind w:left="0" w:firstLine="0"/>
              <w:rPr>
                <w:szCs w:val="22"/>
              </w:rPr>
            </w:pPr>
            <w:r w:rsidRPr="001360DB">
              <w:t>is the deformation</w:t>
            </w:r>
            <w:r w:rsidR="001360DB">
              <w:t xml:space="preserve"> resistance</w:t>
            </w:r>
            <w:r w:rsidRPr="001360DB">
              <w:t xml:space="preserve"> at SD limit state;</w:t>
            </w:r>
          </w:p>
        </w:tc>
      </w:tr>
      <w:tr w:rsidR="00C31E9B" w:rsidRPr="001360DB" w14:paraId="10BB436E" w14:textId="77777777" w:rsidTr="002B6C5C">
        <w:tc>
          <w:tcPr>
            <w:tcW w:w="1275" w:type="dxa"/>
          </w:tcPr>
          <w:p w14:paraId="2719D80D" w14:textId="02F6CE20" w:rsidR="00C31E9B" w:rsidRPr="001360DB" w:rsidRDefault="00C31E9B" w:rsidP="002061E5">
            <w:pPr>
              <w:spacing w:after="60"/>
              <w:rPr>
                <w:sz w:val="20"/>
                <w:lang w:eastAsia="de-DE"/>
              </w:rPr>
            </w:pPr>
            <w:r w:rsidRPr="001360DB">
              <w:rPr>
                <w:rFonts w:ascii="Times New Roman" w:hAnsi="Times New Roman"/>
                <w:i/>
                <w:iCs/>
              </w:rPr>
              <w:t>γ</w:t>
            </w:r>
            <w:r w:rsidRPr="001360DB">
              <w:rPr>
                <w:vertAlign w:val="subscript"/>
              </w:rPr>
              <w:t>Rd</w:t>
            </w:r>
          </w:p>
        </w:tc>
        <w:tc>
          <w:tcPr>
            <w:tcW w:w="7938" w:type="dxa"/>
          </w:tcPr>
          <w:p w14:paraId="25823F18" w14:textId="63DE95A1" w:rsidR="00C31E9B" w:rsidRPr="001360DB" w:rsidRDefault="00D03D43" w:rsidP="002061E5">
            <w:pPr>
              <w:pStyle w:val="Listofsymbols"/>
              <w:tabs>
                <w:tab w:val="clear" w:pos="1134"/>
                <w:tab w:val="left" w:pos="2481"/>
              </w:tabs>
              <w:ind w:left="0" w:firstLine="0"/>
            </w:pPr>
            <w:r w:rsidRPr="001360DB">
              <w:t xml:space="preserve">is the partial factor on resistance at SD limit state, calculated according to 6.2.3(3), with the </w:t>
            </w:r>
            <w:r w:rsidR="001360DB" w:rsidRPr="001360DB">
              <w:t>total logarithmic standard deviation of the resistance model</w:t>
            </w:r>
            <w:r w:rsidRPr="001360DB">
              <w:t xml:space="preserve"> given in Table L.1.</w:t>
            </w:r>
          </w:p>
        </w:tc>
      </w:tr>
    </w:tbl>
    <w:p w14:paraId="32E17255" w14:textId="331B26FA" w:rsidR="00D03D43" w:rsidRPr="001360DB" w:rsidRDefault="00D03D43" w:rsidP="0080187E">
      <w:pPr>
        <w:pStyle w:val="List2"/>
        <w:numPr>
          <w:ilvl w:val="0"/>
          <w:numId w:val="257"/>
        </w:numPr>
        <w:spacing w:before="0" w:after="240" w:line="230" w:lineRule="atLeast"/>
        <w:contextualSpacing w:val="0"/>
      </w:pPr>
      <w:r w:rsidRPr="001360DB">
        <w:t>The NC point should be obtained on the trilinear (or bilinear) curve at the deformation</w:t>
      </w:r>
      <w:r w:rsidRPr="001360DB" w:rsidDel="00170533">
        <w:t xml:space="preserve"> </w:t>
      </w:r>
      <w:r w:rsidRPr="001360DB">
        <w:rPr>
          <w:rFonts w:ascii="Times New Roman" w:hAnsi="Times New Roman"/>
          <w:i/>
          <w:iCs/>
          <w:szCs w:val="24"/>
        </w:rPr>
        <w:t>δ</w:t>
      </w:r>
      <w:r w:rsidRPr="001360DB">
        <w:rPr>
          <w:vertAlign w:val="subscript"/>
        </w:rPr>
        <w:t>NC</w:t>
      </w:r>
      <w:r w:rsidRPr="001360DB">
        <w:rPr>
          <w:rFonts w:ascii="Times New Roman" w:hAnsi="Times New Roman"/>
          <w:i/>
          <w:iCs/>
          <w:szCs w:val="24"/>
        </w:rPr>
        <w:t xml:space="preserve"> </w:t>
      </w:r>
      <w:r w:rsidRPr="001360DB">
        <w:t>given by Formula (L.3) according to pr</w:t>
      </w:r>
      <w:r w:rsidR="00C30FF9" w:rsidRPr="001360DB">
        <w:t>EN 1</w:t>
      </w:r>
      <w:r w:rsidRPr="001360DB">
        <w:t>998-1-1:2022, 6.7.3(2).</w:t>
      </w:r>
    </w:p>
    <w:p w14:paraId="5525A53F" w14:textId="0219C7C0" w:rsidR="00D03D43" w:rsidRPr="001360DB" w:rsidRDefault="009B5CEC" w:rsidP="00D03D43">
      <w:pPr>
        <w:pStyle w:val="Formula"/>
        <w:spacing w:before="240"/>
      </w:pPr>
      <m:oMath>
        <m:sSub>
          <m:sSubPr>
            <m:ctrlPr>
              <w:rPr>
                <w:rFonts w:ascii="Cambria Math" w:hAnsi="Cambria Math"/>
              </w:rPr>
            </m:ctrlPr>
          </m:sSubPr>
          <m:e>
            <m:r>
              <w:rPr>
                <w:rFonts w:ascii="Cambria Math" w:hAnsi="Cambria Math"/>
              </w:rPr>
              <m:t>δ</m:t>
            </m:r>
          </m:e>
          <m:sub>
            <m:r>
              <m:rPr>
                <m:sty m:val="p"/>
              </m:rPr>
              <w:rPr>
                <w:rFonts w:ascii="Cambria Math" w:hAnsi="Cambria Math"/>
              </w:rPr>
              <m:t>NC</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δ</m:t>
                </m:r>
              </m:e>
              <m:sub>
                <m:r>
                  <m:rPr>
                    <m:sty m:val="p"/>
                  </m:rPr>
                  <w:rPr>
                    <w:rFonts w:ascii="Cambria Math" w:hAnsi="Cambria Math"/>
                  </w:rPr>
                  <m:t>u</m:t>
                </m:r>
              </m:sub>
            </m:sSub>
          </m:num>
          <m:den>
            <m:sSub>
              <m:sSubPr>
                <m:ctrlPr>
                  <w:rPr>
                    <w:rFonts w:ascii="Cambria Math" w:hAnsi="Cambria Math"/>
                  </w:rPr>
                </m:ctrlPr>
              </m:sSubPr>
              <m:e>
                <m:r>
                  <w:rPr>
                    <w:rFonts w:ascii="Cambria Math" w:hAnsi="Cambria Math"/>
                  </w:rPr>
                  <m:t>γ</m:t>
                </m:r>
              </m:e>
              <m:sub>
                <m:r>
                  <m:rPr>
                    <m:sty m:val="p"/>
                  </m:rPr>
                  <w:rPr>
                    <w:rFonts w:ascii="Cambria Math" w:hAnsi="Cambria Math"/>
                  </w:rPr>
                  <m:t>Rd</m:t>
                </m:r>
              </m:sub>
            </m:sSub>
          </m:den>
        </m:f>
      </m:oMath>
      <w:r w:rsidR="00D03D43" w:rsidRPr="001360DB">
        <w:tab/>
        <w:t>(L.3)</w:t>
      </w:r>
    </w:p>
    <w:p w14:paraId="20414D1D" w14:textId="490B0ABC" w:rsidR="00D03D43" w:rsidRDefault="00675EBA" w:rsidP="00D03D43">
      <w:r w:rsidRPr="001360DB">
        <w:t>where</w:t>
      </w:r>
    </w:p>
    <w:tbl>
      <w:tblPr>
        <w:tblW w:w="0" w:type="auto"/>
        <w:tblInd w:w="346" w:type="dxa"/>
        <w:tblLook w:val="04A0" w:firstRow="1" w:lastRow="0" w:firstColumn="1" w:lastColumn="0" w:noHBand="0" w:noVBand="1"/>
      </w:tblPr>
      <w:tblGrid>
        <w:gridCol w:w="1275"/>
        <w:gridCol w:w="7938"/>
      </w:tblGrid>
      <w:tr w:rsidR="00D03D43" w:rsidRPr="00FF1786" w14:paraId="5D936546" w14:textId="77777777" w:rsidTr="002B6C5C">
        <w:tc>
          <w:tcPr>
            <w:tcW w:w="1275" w:type="dxa"/>
          </w:tcPr>
          <w:p w14:paraId="0438023E" w14:textId="6DB67AF5" w:rsidR="00D03D43" w:rsidRPr="00460668" w:rsidRDefault="00D03D43" w:rsidP="002061E5">
            <w:pPr>
              <w:spacing w:after="60"/>
              <w:rPr>
                <w:rFonts w:eastAsia="Times New Roman" w:cs="Cambria"/>
                <w:szCs w:val="20"/>
                <w:lang w:eastAsia="fr-FR"/>
              </w:rPr>
            </w:pPr>
            <w:r w:rsidRPr="00196951">
              <w:rPr>
                <w:rFonts w:ascii="Symbol" w:hAnsi="Symbol"/>
                <w:i/>
              </w:rPr>
              <w:t></w:t>
            </w:r>
            <w:r w:rsidRPr="002144A0">
              <w:rPr>
                <w:vertAlign w:val="subscript"/>
              </w:rPr>
              <w:t>NC</w:t>
            </w:r>
          </w:p>
        </w:tc>
        <w:tc>
          <w:tcPr>
            <w:tcW w:w="7938" w:type="dxa"/>
          </w:tcPr>
          <w:p w14:paraId="73BABA8B" w14:textId="33DD88D7" w:rsidR="00D03D43" w:rsidRPr="006B581F" w:rsidRDefault="00D03D43" w:rsidP="002061E5">
            <w:pPr>
              <w:pStyle w:val="Listofsymbols"/>
              <w:tabs>
                <w:tab w:val="clear" w:pos="1134"/>
                <w:tab w:val="left" w:pos="2481"/>
              </w:tabs>
              <w:ind w:left="0" w:firstLine="0"/>
              <w:rPr>
                <w:szCs w:val="22"/>
              </w:rPr>
            </w:pPr>
            <w:r w:rsidRPr="002144A0">
              <w:rPr>
                <w:szCs w:val="24"/>
              </w:rPr>
              <w:t>is the deformation</w:t>
            </w:r>
            <w:r w:rsidR="001360DB">
              <w:rPr>
                <w:szCs w:val="24"/>
              </w:rPr>
              <w:t xml:space="preserve"> resistance</w:t>
            </w:r>
            <w:r w:rsidRPr="002144A0">
              <w:rPr>
                <w:szCs w:val="24"/>
              </w:rPr>
              <w:t xml:space="preserve"> at NC limit state</w:t>
            </w:r>
            <w:r w:rsidRPr="002144A0">
              <w:t>;</w:t>
            </w:r>
          </w:p>
        </w:tc>
      </w:tr>
      <w:tr w:rsidR="00D03D43" w:rsidRPr="00FF1786" w14:paraId="1D292165" w14:textId="77777777" w:rsidTr="002B6C5C">
        <w:tc>
          <w:tcPr>
            <w:tcW w:w="1275" w:type="dxa"/>
          </w:tcPr>
          <w:p w14:paraId="7AA11527" w14:textId="63CD796B" w:rsidR="00D03D43" w:rsidRPr="00A47E27" w:rsidRDefault="00D03D43" w:rsidP="002061E5">
            <w:pPr>
              <w:spacing w:after="60"/>
              <w:rPr>
                <w:sz w:val="20"/>
                <w:lang w:eastAsia="de-DE"/>
              </w:rPr>
            </w:pPr>
            <w:r w:rsidRPr="002144A0">
              <w:rPr>
                <w:rFonts w:ascii="Times New Roman" w:hAnsi="Times New Roman"/>
                <w:i/>
                <w:iCs/>
                <w:szCs w:val="24"/>
              </w:rPr>
              <w:t>γ</w:t>
            </w:r>
            <w:r w:rsidRPr="002144A0">
              <w:rPr>
                <w:szCs w:val="24"/>
                <w:vertAlign w:val="subscript"/>
              </w:rPr>
              <w:t>Rd</w:t>
            </w:r>
          </w:p>
        </w:tc>
        <w:tc>
          <w:tcPr>
            <w:tcW w:w="7938" w:type="dxa"/>
          </w:tcPr>
          <w:p w14:paraId="10B57A7F" w14:textId="7991EFF1" w:rsidR="00D03D43" w:rsidRPr="006B581F" w:rsidRDefault="00D03D43" w:rsidP="002061E5">
            <w:pPr>
              <w:pStyle w:val="Listofsymbols"/>
              <w:tabs>
                <w:tab w:val="clear" w:pos="1134"/>
                <w:tab w:val="left" w:pos="2481"/>
              </w:tabs>
              <w:ind w:left="0" w:firstLine="0"/>
            </w:pPr>
            <w:r w:rsidRPr="002144A0">
              <w:rPr>
                <w:szCs w:val="24"/>
              </w:rPr>
              <w:t xml:space="preserve">is the </w:t>
            </w:r>
            <w:r w:rsidRPr="002144A0">
              <w:t>partial factor on resistance at NC limit state</w:t>
            </w:r>
            <w:r w:rsidR="001360DB">
              <w:t>.</w:t>
            </w:r>
          </w:p>
        </w:tc>
      </w:tr>
    </w:tbl>
    <w:p w14:paraId="2E94A7BF" w14:textId="5EE04BAE" w:rsidR="00D03D43" w:rsidRPr="00080D1B" w:rsidRDefault="00D03D43" w:rsidP="00D03D43">
      <w:pPr>
        <w:pStyle w:val="Notetext"/>
      </w:pPr>
      <w:r w:rsidRPr="00080D1B">
        <w:t>NOTE</w:t>
      </w:r>
      <w:r>
        <w:tab/>
      </w:r>
      <w:r w:rsidR="0026060E">
        <w:t xml:space="preserve">prCEN/TS 1998-1-101 </w:t>
      </w:r>
      <w:r w:rsidRPr="00080D1B">
        <w:t xml:space="preserve">can be used to determine </w:t>
      </w:r>
      <w:r>
        <w:t xml:space="preserve">all the aforementioned </w:t>
      </w:r>
      <w:r w:rsidRPr="00080D1B">
        <w:t>mechanical properties according to EN 12512</w:t>
      </w:r>
      <w:r w:rsidR="009611DD">
        <w:t>.</w:t>
      </w:r>
    </w:p>
    <w:p w14:paraId="17F40B5A" w14:textId="74D5DF56" w:rsidR="00D03D43" w:rsidRPr="00265754" w:rsidRDefault="00D03D43" w:rsidP="00D03D43">
      <w:pPr>
        <w:pStyle w:val="Tabletitle"/>
      </w:pPr>
      <w:r w:rsidRPr="00265754">
        <w:t xml:space="preserve">Table </w:t>
      </w:r>
      <w:r w:rsidR="00D97F66">
        <w:t>L</w:t>
      </w:r>
      <w:r w:rsidR="009611DD">
        <w:t>.1</w:t>
      </w:r>
      <w:r w:rsidRPr="00265754">
        <w:t> — </w:t>
      </w:r>
      <w:r w:rsidR="001360DB" w:rsidRPr="001360DB">
        <w:t xml:space="preserve">Total logarithmic standard deviation </w:t>
      </w:r>
      <w:r w:rsidR="001360DB" w:rsidRPr="001360DB">
        <w:rPr>
          <w:rFonts w:ascii="Symbol" w:hAnsi="Symbol"/>
          <w:i/>
          <w:iCs/>
        </w:rPr>
        <w:t></w:t>
      </w:r>
      <w:r w:rsidR="001360DB" w:rsidRPr="001360DB">
        <w:rPr>
          <w:vertAlign w:val="subscript"/>
        </w:rPr>
        <w:t>lnR</w:t>
      </w:r>
      <w:r w:rsidR="001360DB" w:rsidRPr="001360DB">
        <w:t xml:space="preserve"> of the </w:t>
      </w:r>
      <w:r w:rsidR="001360DB">
        <w:br/>
      </w:r>
      <w:r w:rsidR="001360DB" w:rsidRPr="001360DB">
        <w:t xml:space="preserve">resistance model </w:t>
      </w:r>
      <w:r w:rsidRPr="001360DB">
        <w:t xml:space="preserve">for </w:t>
      </w:r>
      <w:r>
        <w:t>dissipative timber members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4"/>
        <w:gridCol w:w="627"/>
      </w:tblGrid>
      <w:tr w:rsidR="001360DB" w:rsidRPr="001360DB" w14:paraId="57153D6A" w14:textId="77777777" w:rsidTr="002061E5">
        <w:trPr>
          <w:jc w:val="center"/>
        </w:trPr>
        <w:tc>
          <w:tcPr>
            <w:tcW w:w="6094" w:type="dxa"/>
            <w:tcBorders>
              <w:top w:val="single" w:sz="4" w:space="0" w:color="auto"/>
            </w:tcBorders>
            <w:shd w:val="clear" w:color="auto" w:fill="auto"/>
            <w:vAlign w:val="center"/>
          </w:tcPr>
          <w:p w14:paraId="086441AF" w14:textId="77777777" w:rsidR="00D03D43" w:rsidRPr="009611DD" w:rsidRDefault="00D03D43" w:rsidP="009611DD">
            <w:pPr>
              <w:pStyle w:val="Tablebody"/>
              <w:rPr>
                <w:b/>
                <w:bCs/>
              </w:rPr>
            </w:pPr>
            <w:r w:rsidRPr="009611DD">
              <w:rPr>
                <w:b/>
                <w:bCs/>
              </w:rPr>
              <w:t>Member type</w:t>
            </w:r>
          </w:p>
        </w:tc>
        <w:tc>
          <w:tcPr>
            <w:tcW w:w="0" w:type="auto"/>
            <w:vAlign w:val="center"/>
          </w:tcPr>
          <w:p w14:paraId="09387CB7" w14:textId="648C70AC" w:rsidR="00D03D43" w:rsidRPr="001360DB" w:rsidRDefault="001360DB" w:rsidP="009611DD">
            <w:pPr>
              <w:pStyle w:val="Tablebody"/>
              <w:jc w:val="center"/>
              <w:rPr>
                <w:b/>
                <w:bCs/>
              </w:rPr>
            </w:pPr>
            <w:r w:rsidRPr="001360DB">
              <w:rPr>
                <w:rFonts w:ascii="Symbol" w:hAnsi="Symbol"/>
                <w:b/>
                <w:bCs/>
                <w:i/>
                <w:iCs/>
              </w:rPr>
              <w:t></w:t>
            </w:r>
            <w:r w:rsidRPr="001360DB">
              <w:rPr>
                <w:b/>
                <w:bCs/>
                <w:vertAlign w:val="subscript"/>
              </w:rPr>
              <w:t>lnR</w:t>
            </w:r>
          </w:p>
        </w:tc>
      </w:tr>
      <w:tr w:rsidR="00D03D43" w:rsidRPr="00930294" w14:paraId="4B527EA1" w14:textId="77777777" w:rsidTr="002061E5">
        <w:trPr>
          <w:jc w:val="center"/>
        </w:trPr>
        <w:tc>
          <w:tcPr>
            <w:tcW w:w="6094" w:type="dxa"/>
            <w:shd w:val="clear" w:color="auto" w:fill="auto"/>
            <w:vAlign w:val="center"/>
          </w:tcPr>
          <w:p w14:paraId="64E1E98A" w14:textId="77777777" w:rsidR="00D03D43" w:rsidRPr="009611DD" w:rsidRDefault="00D03D43" w:rsidP="009611DD">
            <w:pPr>
              <w:pStyle w:val="Tablebody"/>
              <w:rPr>
                <w:rFonts w:asciiTheme="majorHAnsi" w:hAnsiTheme="majorHAnsi"/>
              </w:rPr>
            </w:pPr>
            <w:r w:rsidRPr="009611DD">
              <w:t>Dissipative timber connections which are experimentally characterized according to (1) and (2)</w:t>
            </w:r>
          </w:p>
        </w:tc>
        <w:tc>
          <w:tcPr>
            <w:tcW w:w="0" w:type="auto"/>
            <w:vAlign w:val="center"/>
          </w:tcPr>
          <w:p w14:paraId="49C951C3" w14:textId="0905700E" w:rsidR="00D03D43" w:rsidRPr="00C1294E" w:rsidRDefault="001360DB" w:rsidP="009611DD">
            <w:pPr>
              <w:pStyle w:val="Tablebody"/>
              <w:jc w:val="center"/>
            </w:pPr>
            <w:r>
              <w:t>TBD</w:t>
            </w:r>
          </w:p>
        </w:tc>
      </w:tr>
      <w:tr w:rsidR="00D03D43" w:rsidRPr="00930294" w14:paraId="78C74728" w14:textId="77777777" w:rsidTr="002061E5">
        <w:trPr>
          <w:trHeight w:val="31"/>
          <w:jc w:val="center"/>
        </w:trPr>
        <w:tc>
          <w:tcPr>
            <w:tcW w:w="6094" w:type="dxa"/>
            <w:shd w:val="clear" w:color="auto" w:fill="auto"/>
            <w:vAlign w:val="center"/>
          </w:tcPr>
          <w:p w14:paraId="36D0C9B2" w14:textId="77777777" w:rsidR="00D03D43" w:rsidRPr="009611DD" w:rsidRDefault="00D03D43" w:rsidP="009611DD">
            <w:pPr>
              <w:pStyle w:val="Tablebody"/>
            </w:pPr>
            <w:r w:rsidRPr="009611DD">
              <w:t>Dissipative timber connections which are analytically characterized according to (3)</w:t>
            </w:r>
          </w:p>
        </w:tc>
        <w:tc>
          <w:tcPr>
            <w:tcW w:w="0" w:type="auto"/>
            <w:vAlign w:val="center"/>
          </w:tcPr>
          <w:p w14:paraId="02D67807" w14:textId="044AD49A" w:rsidR="00D03D43" w:rsidRPr="00C1294E" w:rsidRDefault="001360DB" w:rsidP="009611DD">
            <w:pPr>
              <w:pStyle w:val="Tablebody"/>
              <w:jc w:val="center"/>
            </w:pPr>
            <w:r>
              <w:t>TBD</w:t>
            </w:r>
          </w:p>
        </w:tc>
      </w:tr>
    </w:tbl>
    <w:p w14:paraId="1001C698" w14:textId="3F864CEE" w:rsidR="00D03D43" w:rsidRPr="00132C1E" w:rsidRDefault="00D03D43" w:rsidP="0080187E">
      <w:pPr>
        <w:pStyle w:val="Clause"/>
        <w:numPr>
          <w:ilvl w:val="0"/>
          <w:numId w:val="256"/>
        </w:numPr>
      </w:pPr>
      <w:r w:rsidRPr="00132C1E">
        <w:t>If experimental results are not available for the dissipative zones, the trilinear load-deformation mean curve may be determined following a) to h) (Figure L.2):</w:t>
      </w:r>
    </w:p>
    <w:p w14:paraId="2F2C5F68" w14:textId="77777777" w:rsidR="00D03D43" w:rsidRPr="007E6F67" w:rsidRDefault="00D03D43" w:rsidP="0080187E">
      <w:pPr>
        <w:pStyle w:val="List2"/>
        <w:numPr>
          <w:ilvl w:val="0"/>
          <w:numId w:val="258"/>
        </w:numPr>
        <w:spacing w:before="0" w:after="240" w:line="230" w:lineRule="atLeast"/>
        <w:contextualSpacing w:val="0"/>
      </w:pPr>
      <w:r w:rsidRPr="00132C1E">
        <w:t xml:space="preserve">The mean yield strength (Point Y in Figure L.2) of the dissipative connection under seismic loading </w:t>
      </w:r>
      <m:oMath>
        <m:sSub>
          <m:sSubPr>
            <m:ctrlPr>
              <w:rPr>
                <w:rFonts w:ascii="Cambria Math" w:hAnsi="Cambria Math"/>
              </w:rPr>
            </m:ctrlPr>
          </m:sSubPr>
          <m:e>
            <m:r>
              <w:rPr>
                <w:rFonts w:ascii="Cambria Math" w:hAnsi="Cambria Math"/>
              </w:rPr>
              <m:t>F</m:t>
            </m:r>
          </m:e>
          <m:sub>
            <m:r>
              <m:rPr>
                <m:sty m:val="p"/>
              </m:rPr>
              <w:rPr>
                <w:rFonts w:ascii="Cambria Math" w:hAnsi="Cambria Math"/>
              </w:rPr>
              <m:t>Rm,d,Y</m:t>
            </m:r>
          </m:sub>
        </m:sSub>
      </m:oMath>
      <w:r w:rsidRPr="00132C1E">
        <w:t xml:space="preserve"> may be calculated as given by Formula (</w:t>
      </w:r>
      <w:r w:rsidRPr="00D1484A">
        <w:t>L.4).</w:t>
      </w:r>
    </w:p>
    <w:p w14:paraId="43C41E3C" w14:textId="61E8A758" w:rsidR="00D03D43" w:rsidRPr="006C09CE" w:rsidRDefault="009B5CEC" w:rsidP="00D03D43">
      <w:pPr>
        <w:pStyle w:val="Formula"/>
        <w:spacing w:before="240"/>
      </w:pPr>
      <m:oMath>
        <m:sSub>
          <m:sSubPr>
            <m:ctrlPr>
              <w:rPr>
                <w:rFonts w:ascii="Cambria Math" w:hAnsi="Cambria Math"/>
              </w:rPr>
            </m:ctrlPr>
          </m:sSubPr>
          <m:e>
            <m:r>
              <w:rPr>
                <w:rFonts w:ascii="Cambria Math" w:hAnsi="Cambria Math"/>
              </w:rPr>
              <m:t>F</m:t>
            </m:r>
          </m:e>
          <m:sub>
            <m:r>
              <m:rPr>
                <m:sty m:val="p"/>
              </m:rPr>
              <w:rPr>
                <w:rFonts w:ascii="Cambria Math" w:hAnsi="Cambria Math"/>
              </w:rPr>
              <m:t>Rm,d,Y</m:t>
            </m:r>
          </m:sub>
        </m:sSub>
        <m:r>
          <m:rPr>
            <m:sty m:val="p"/>
          </m:rPr>
          <w:rPr>
            <w:rFonts w:ascii="Cambria Math" w:hAnsi="Cambria Math"/>
          </w:rPr>
          <m:t>=</m:t>
        </m:r>
        <m:sSub>
          <m:sSubPr>
            <m:ctrlPr>
              <w:rPr>
                <w:rFonts w:ascii="Cambria Math" w:hAnsi="Cambria Math"/>
              </w:rPr>
            </m:ctrlPr>
          </m:sSubPr>
          <m:e>
            <m:sSub>
              <m:sSubPr>
                <m:ctrlPr>
                  <w:rPr>
                    <w:rFonts w:ascii="Cambria Math" w:hAnsi="Cambria Math"/>
                  </w:rPr>
                </m:ctrlPr>
              </m:sSubPr>
              <m:e>
                <m:r>
                  <w:rPr>
                    <w:rFonts w:ascii="Cambria Math" w:hAnsi="Cambria Math"/>
                  </w:rPr>
                  <m:t>k</m:t>
                </m:r>
              </m:e>
              <m:sub>
                <m:r>
                  <m:rPr>
                    <m:sty m:val="p"/>
                  </m:rPr>
                  <w:rPr>
                    <w:rFonts w:ascii="Cambria Math" w:hAnsi="Cambria Math"/>
                  </w:rPr>
                  <m:t>y</m:t>
                </m:r>
              </m:sub>
            </m:sSub>
            <m:r>
              <w:rPr>
                <w:rFonts w:ascii="Cambria Math" w:hAnsi="Cambria Math"/>
              </w:rPr>
              <m:t xml:space="preserve"> k</m:t>
            </m:r>
          </m:e>
          <m:sub>
            <m:r>
              <m:rPr>
                <m:sty m:val="p"/>
              </m:rPr>
              <w:rPr>
                <w:rFonts w:ascii="Cambria Math" w:hAnsi="Cambria Math"/>
              </w:rPr>
              <m:t>mean</m:t>
            </m:r>
          </m:sub>
        </m:sSub>
        <m:r>
          <m:rPr>
            <m:sty m:val="p"/>
          </m:rPr>
          <w:rPr>
            <w:rFonts w:ascii="Cambria Math" w:hAnsi="Cambria Math"/>
          </w:rPr>
          <m:t xml:space="preserve"> </m:t>
        </m:r>
        <m:sSub>
          <m:sSubPr>
            <m:ctrlPr>
              <w:rPr>
                <w:rFonts w:ascii="Cambria Math" w:hAnsi="Cambria Math"/>
              </w:rPr>
            </m:ctrlPr>
          </m:sSubPr>
          <m:e>
            <m:r>
              <w:rPr>
                <w:rFonts w:ascii="Cambria Math" w:hAnsi="Cambria Math"/>
              </w:rPr>
              <m:t>k</m:t>
            </m:r>
          </m:e>
          <m:sub>
            <m:r>
              <m:rPr>
                <m:sty m:val="p"/>
              </m:rPr>
              <w:rPr>
                <w:rFonts w:ascii="Cambria Math" w:hAnsi="Cambria Math"/>
              </w:rPr>
              <m:t>mod</m:t>
            </m:r>
          </m:sub>
        </m:sSub>
        <m:r>
          <m:rPr>
            <m:sty m:val="p"/>
          </m:rPr>
          <w:rPr>
            <w:rFonts w:ascii="Cambria Math" w:hAnsi="Cambria Math"/>
          </w:rPr>
          <m:t xml:space="preserve"> </m:t>
        </m:r>
        <m:sSub>
          <m:sSubPr>
            <m:ctrlPr>
              <w:rPr>
                <w:rFonts w:ascii="Cambria Math" w:hAnsi="Cambria Math"/>
              </w:rPr>
            </m:ctrlPr>
          </m:sSubPr>
          <m:e>
            <m:r>
              <w:rPr>
                <w:rFonts w:ascii="Cambria Math" w:hAnsi="Cambria Math"/>
              </w:rPr>
              <m:t>F</m:t>
            </m:r>
          </m:e>
          <m:sub>
            <m:r>
              <m:rPr>
                <m:sty m:val="p"/>
              </m:rPr>
              <w:rPr>
                <w:rFonts w:ascii="Cambria Math" w:hAnsi="Cambria Math"/>
              </w:rPr>
              <m:t>Rk,d</m:t>
            </m:r>
          </m:sub>
        </m:sSub>
      </m:oMath>
      <w:r w:rsidR="00D03D43" w:rsidRPr="006C09CE">
        <w:tab/>
        <w:t>(</w:t>
      </w:r>
      <w:r w:rsidR="00D03D43">
        <w:t>L</w:t>
      </w:r>
      <w:r w:rsidR="00D03D43" w:rsidRPr="006C09CE">
        <w:t>.</w:t>
      </w:r>
      <w:r w:rsidR="00D03D43">
        <w:t>4</w:t>
      </w:r>
      <w:r w:rsidR="00D03D43" w:rsidRPr="006C09CE">
        <w:t>)</w:t>
      </w:r>
    </w:p>
    <w:p w14:paraId="55C8CBCC" w14:textId="0790A561" w:rsidR="00D03D43" w:rsidRDefault="00675EBA" w:rsidP="009611DD">
      <w:pPr>
        <w:pStyle w:val="Text"/>
      </w:pPr>
      <w:r>
        <w:t>where</w:t>
      </w:r>
    </w:p>
    <w:tbl>
      <w:tblPr>
        <w:tblW w:w="0" w:type="auto"/>
        <w:tblInd w:w="346" w:type="dxa"/>
        <w:tblLook w:val="04A0" w:firstRow="1" w:lastRow="0" w:firstColumn="1" w:lastColumn="0" w:noHBand="0" w:noVBand="1"/>
      </w:tblPr>
      <w:tblGrid>
        <w:gridCol w:w="1275"/>
        <w:gridCol w:w="7938"/>
      </w:tblGrid>
      <w:tr w:rsidR="00D03D43" w:rsidRPr="00FF1786" w14:paraId="37F07E1B" w14:textId="77777777" w:rsidTr="002B6C5C">
        <w:tc>
          <w:tcPr>
            <w:tcW w:w="1275" w:type="dxa"/>
          </w:tcPr>
          <w:p w14:paraId="133F2F72" w14:textId="6555FD2E" w:rsidR="00D03D43" w:rsidRPr="00460668" w:rsidRDefault="00D03D43" w:rsidP="002061E5">
            <w:pPr>
              <w:spacing w:after="60"/>
              <w:rPr>
                <w:rFonts w:eastAsia="Times New Roman" w:cs="Cambria"/>
                <w:szCs w:val="20"/>
                <w:lang w:eastAsia="fr-FR"/>
              </w:rPr>
            </w:pPr>
            <w:r w:rsidRPr="00196951">
              <w:rPr>
                <w:i/>
                <w:iCs/>
              </w:rPr>
              <w:t>k</w:t>
            </w:r>
            <w:r w:rsidRPr="002144A0">
              <w:rPr>
                <w:vertAlign w:val="subscript"/>
              </w:rPr>
              <w:t>mean</w:t>
            </w:r>
          </w:p>
        </w:tc>
        <w:tc>
          <w:tcPr>
            <w:tcW w:w="7938" w:type="dxa"/>
          </w:tcPr>
          <w:p w14:paraId="7A0BF630" w14:textId="726D4997" w:rsidR="00D03D43" w:rsidRPr="006B581F" w:rsidRDefault="00D03D43" w:rsidP="002061E5">
            <w:pPr>
              <w:pStyle w:val="Listofsymbols"/>
              <w:tabs>
                <w:tab w:val="clear" w:pos="1134"/>
                <w:tab w:val="left" w:pos="2481"/>
              </w:tabs>
              <w:ind w:left="0" w:firstLine="0"/>
              <w:rPr>
                <w:szCs w:val="22"/>
              </w:rPr>
            </w:pPr>
            <w:r w:rsidRPr="00132C1E">
              <w:t>is the ratio between the mean and the characteristic strength in static conditions, from Table L.</w:t>
            </w:r>
            <w:r>
              <w:t>2</w:t>
            </w:r>
            <w:r w:rsidRPr="00132C1E">
              <w:t>;</w:t>
            </w:r>
          </w:p>
        </w:tc>
      </w:tr>
      <w:tr w:rsidR="00D03D43" w:rsidRPr="00FF1786" w14:paraId="5CC9443F" w14:textId="77777777" w:rsidTr="002B6C5C">
        <w:tc>
          <w:tcPr>
            <w:tcW w:w="1275" w:type="dxa"/>
          </w:tcPr>
          <w:p w14:paraId="2022B697" w14:textId="29C3FC18" w:rsidR="00D03D43" w:rsidRPr="00A47E27" w:rsidRDefault="00D03D43" w:rsidP="002061E5">
            <w:pPr>
              <w:spacing w:after="60"/>
              <w:rPr>
                <w:sz w:val="20"/>
                <w:lang w:eastAsia="de-DE"/>
              </w:rPr>
            </w:pPr>
            <w:r w:rsidRPr="00132C1E">
              <w:rPr>
                <w:i/>
                <w:iCs/>
              </w:rPr>
              <w:t>k</w:t>
            </w:r>
            <w:r w:rsidRPr="00132C1E">
              <w:rPr>
                <w:vertAlign w:val="subscript"/>
              </w:rPr>
              <w:t>y</w:t>
            </w:r>
          </w:p>
        </w:tc>
        <w:tc>
          <w:tcPr>
            <w:tcW w:w="7938" w:type="dxa"/>
          </w:tcPr>
          <w:p w14:paraId="6EC37E18" w14:textId="306142DA" w:rsidR="00D03D43" w:rsidRPr="006B581F" w:rsidRDefault="00D03D43" w:rsidP="002061E5">
            <w:pPr>
              <w:pStyle w:val="Listofsymbols"/>
              <w:tabs>
                <w:tab w:val="clear" w:pos="1134"/>
                <w:tab w:val="left" w:pos="2481"/>
              </w:tabs>
              <w:ind w:left="0" w:firstLine="0"/>
            </w:pPr>
            <w:r w:rsidRPr="00132C1E">
              <w:t>is the ratio between the yield strength and the maximum strength, from Table L.</w:t>
            </w:r>
            <w:r>
              <w:t>2</w:t>
            </w:r>
            <w:r w:rsidRPr="00132C1E">
              <w:t>;</w:t>
            </w:r>
          </w:p>
        </w:tc>
      </w:tr>
      <w:tr w:rsidR="00D03D43" w:rsidRPr="00FF1786" w14:paraId="764666F3" w14:textId="77777777" w:rsidTr="002B6C5C">
        <w:tc>
          <w:tcPr>
            <w:tcW w:w="1275" w:type="dxa"/>
          </w:tcPr>
          <w:p w14:paraId="44E2F0F2" w14:textId="18D54724" w:rsidR="00D03D43" w:rsidRPr="00132C1E" w:rsidRDefault="00D03D43" w:rsidP="002061E5">
            <w:pPr>
              <w:spacing w:after="60"/>
              <w:rPr>
                <w:i/>
                <w:iCs/>
              </w:rPr>
            </w:pPr>
            <w:r w:rsidRPr="00132C1E">
              <w:rPr>
                <w:i/>
                <w:iCs/>
              </w:rPr>
              <w:t>F</w:t>
            </w:r>
            <w:r w:rsidRPr="00132C1E">
              <w:rPr>
                <w:vertAlign w:val="subscript"/>
              </w:rPr>
              <w:t>Rk,d</w:t>
            </w:r>
          </w:p>
        </w:tc>
        <w:tc>
          <w:tcPr>
            <w:tcW w:w="7938" w:type="dxa"/>
          </w:tcPr>
          <w:p w14:paraId="51424463" w14:textId="4B7B8DA4" w:rsidR="00D03D43" w:rsidRPr="002144A0" w:rsidRDefault="00D03D43" w:rsidP="002061E5">
            <w:pPr>
              <w:pStyle w:val="Listofsymbols"/>
              <w:tabs>
                <w:tab w:val="clear" w:pos="1134"/>
                <w:tab w:val="left" w:pos="2481"/>
              </w:tabs>
              <w:ind w:left="0" w:firstLine="0"/>
              <w:rPr>
                <w:szCs w:val="24"/>
              </w:rPr>
            </w:pPr>
            <w:r w:rsidRPr="00132C1E">
              <w:t xml:space="preserve">is the characteristic value of the strength of the dissipative connection in static conditions, </w:t>
            </w:r>
            <w:r w:rsidRPr="005C7237">
              <w:t xml:space="preserve">according to </w:t>
            </w:r>
            <w:r w:rsidR="007F3697">
              <w:t>prEN </w:t>
            </w:r>
            <w:r w:rsidR="006067DF">
              <w:t>1995-1-1:2023</w:t>
            </w:r>
            <w:r w:rsidRPr="009611DD">
              <w:rPr>
                <w:rFonts w:asciiTheme="majorHAnsi" w:hAnsiTheme="majorHAnsi"/>
                <w:szCs w:val="22"/>
              </w:rPr>
              <w:t>, 11.3</w:t>
            </w:r>
            <w:r w:rsidRPr="009611DD">
              <w:t>.</w:t>
            </w:r>
          </w:p>
        </w:tc>
      </w:tr>
    </w:tbl>
    <w:p w14:paraId="0EC7F467" w14:textId="7ABE5666" w:rsidR="00D03D43" w:rsidRPr="007E6F67" w:rsidRDefault="00D03D43" w:rsidP="00D4445A">
      <w:pPr>
        <w:pStyle w:val="List2"/>
        <w:numPr>
          <w:ilvl w:val="0"/>
          <w:numId w:val="258"/>
        </w:numPr>
        <w:spacing w:before="120" w:after="240" w:line="230" w:lineRule="atLeast"/>
        <w:contextualSpacing w:val="0"/>
      </w:pPr>
      <w:r w:rsidRPr="005C7237">
        <w:t xml:space="preserve">The yield deformation (Point Y in Figure L.2) of the dissipative connection under seismic loading </w:t>
      </w:r>
      <w:r w:rsidRPr="005C7237">
        <w:rPr>
          <w:rFonts w:ascii="Symbol" w:hAnsi="Symbol"/>
          <w:i/>
        </w:rPr>
        <w:t></w:t>
      </w:r>
      <w:r w:rsidRPr="005C7237">
        <w:rPr>
          <w:vertAlign w:val="subscript"/>
        </w:rPr>
        <w:t>y</w:t>
      </w:r>
      <w:r w:rsidRPr="005C7237">
        <w:t xml:space="preserve"> may be calculated as given by Formula (L.5).</w:t>
      </w:r>
    </w:p>
    <w:p w14:paraId="27F7C925" w14:textId="182B6EDB" w:rsidR="00D03D43" w:rsidRPr="006C09CE" w:rsidRDefault="009B5CEC" w:rsidP="00D03D43">
      <w:pPr>
        <w:pStyle w:val="Formula"/>
        <w:spacing w:before="240"/>
      </w:pPr>
      <m:oMath>
        <m:sSub>
          <m:sSubPr>
            <m:ctrlPr>
              <w:rPr>
                <w:rFonts w:ascii="Cambria Math" w:hAnsi="Cambria Math"/>
              </w:rPr>
            </m:ctrlPr>
          </m:sSubPr>
          <m:e>
            <m:r>
              <w:rPr>
                <w:rFonts w:ascii="Cambria Math" w:hAnsi="Cambria Math"/>
              </w:rPr>
              <m:t>δ</m:t>
            </m:r>
          </m:e>
          <m:sub>
            <m:r>
              <m:rPr>
                <m:sty m:val="p"/>
              </m:rPr>
              <w:rPr>
                <w:rFonts w:ascii="Cambria Math" w:hAnsi="Cambria Math"/>
              </w:rPr>
              <m:t>y</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F</m:t>
                </m:r>
              </m:e>
              <m:sub>
                <m:r>
                  <m:rPr>
                    <m:sty m:val="p"/>
                  </m:rPr>
                  <w:rPr>
                    <w:rFonts w:ascii="Cambria Math" w:hAnsi="Cambria Math"/>
                  </w:rPr>
                  <m:t>Rm,d,Y</m:t>
                </m:r>
              </m:sub>
            </m:sSub>
          </m:num>
          <m:den>
            <m:sSub>
              <m:sSubPr>
                <m:ctrlPr>
                  <w:rPr>
                    <w:rFonts w:ascii="Cambria Math" w:hAnsi="Cambria Math"/>
                  </w:rPr>
                </m:ctrlPr>
              </m:sSubPr>
              <m:e>
                <m:r>
                  <w:rPr>
                    <w:rFonts w:ascii="Cambria Math" w:hAnsi="Cambria Math"/>
                  </w:rPr>
                  <m:t>K</m:t>
                </m:r>
              </m:e>
              <m:sub>
                <m:r>
                  <m:rPr>
                    <m:sty m:val="p"/>
                  </m:rPr>
                  <w:rPr>
                    <w:rFonts w:ascii="Cambria Math" w:hAnsi="Cambria Math"/>
                    <w:vertAlign w:val="subscript"/>
                  </w:rPr>
                  <m:t>SLS,v,mean</m:t>
                </m:r>
              </m:sub>
            </m:sSub>
          </m:den>
        </m:f>
      </m:oMath>
      <w:r w:rsidR="00D03D43" w:rsidRPr="006C09CE">
        <w:tab/>
        <w:t>(</w:t>
      </w:r>
      <w:r w:rsidR="00D03D43">
        <w:t>L</w:t>
      </w:r>
      <w:r w:rsidR="00D03D43" w:rsidRPr="006C09CE">
        <w:t>.</w:t>
      </w:r>
      <w:r w:rsidR="00D03D43">
        <w:t>5</w:t>
      </w:r>
      <w:r w:rsidR="00D03D43" w:rsidRPr="006C09CE">
        <w:t>)</w:t>
      </w:r>
    </w:p>
    <w:p w14:paraId="67EC4CFB" w14:textId="5DF5B63A" w:rsidR="00D03D43" w:rsidRPr="009611DD" w:rsidRDefault="00D03D43" w:rsidP="002B6C5C">
      <w:pPr>
        <w:pStyle w:val="Text"/>
        <w:ind w:left="360"/>
      </w:pPr>
      <w:r w:rsidRPr="009611DD">
        <w:t>where</w:t>
      </w:r>
      <w:r w:rsidRPr="009611DD">
        <w:rPr>
          <w:i/>
          <w:iCs/>
        </w:rPr>
        <w:t xml:space="preserve"> K</w:t>
      </w:r>
      <w:r w:rsidRPr="009611DD">
        <w:rPr>
          <w:vertAlign w:val="subscript"/>
        </w:rPr>
        <w:t>SLS,v,mean</w:t>
      </w:r>
      <w:r w:rsidRPr="009611DD">
        <w:t xml:space="preserve"> is the slip modulus of the dissipative connection under service load, according to </w:t>
      </w:r>
      <w:r w:rsidR="007F3697" w:rsidRPr="009611DD">
        <w:t>prEN </w:t>
      </w:r>
      <w:r w:rsidR="006067DF">
        <w:t>1995-1-1:2023</w:t>
      </w:r>
      <w:r w:rsidRPr="009611DD">
        <w:t>, 11.4.7, Table 11.11a.</w:t>
      </w:r>
    </w:p>
    <w:p w14:paraId="2B33C55A" w14:textId="7ACB1A62" w:rsidR="003A49FD" w:rsidRPr="007E6F67" w:rsidRDefault="003A49FD" w:rsidP="0080187E">
      <w:pPr>
        <w:pStyle w:val="List2"/>
        <w:numPr>
          <w:ilvl w:val="0"/>
          <w:numId w:val="258"/>
        </w:numPr>
        <w:spacing w:before="0" w:after="240" w:line="230" w:lineRule="atLeast"/>
        <w:contextualSpacing w:val="0"/>
      </w:pPr>
      <w:r w:rsidRPr="00C52095">
        <w:t>The ultimate strength at the end of the softening branch (Point U in Figure L</w:t>
      </w:r>
      <w:r w:rsidRPr="007754C9">
        <w:t xml:space="preserve">.2) of the dissipative </w:t>
      </w:r>
      <w:r w:rsidRPr="00132C1E">
        <w:t xml:space="preserve">connection under seismic loading </w:t>
      </w:r>
      <w:r w:rsidRPr="00132C1E">
        <w:rPr>
          <w:i/>
        </w:rPr>
        <w:t>F</w:t>
      </w:r>
      <w:r w:rsidRPr="00132C1E">
        <w:rPr>
          <w:vertAlign w:val="subscript"/>
        </w:rPr>
        <w:t>Rm,d,U</w:t>
      </w:r>
      <w:r w:rsidRPr="00132C1E">
        <w:t xml:space="preserve"> may be calculated using Formula (L.6).</w:t>
      </w:r>
    </w:p>
    <w:p w14:paraId="7C26CB5C" w14:textId="5CD06F16" w:rsidR="003A49FD" w:rsidRPr="006C09CE" w:rsidRDefault="009B5CEC" w:rsidP="003A49FD">
      <w:pPr>
        <w:pStyle w:val="Formula"/>
        <w:spacing w:before="240"/>
      </w:pPr>
      <m:oMath>
        <m:sSub>
          <m:sSubPr>
            <m:ctrlPr>
              <w:rPr>
                <w:rFonts w:ascii="Cambria Math" w:hAnsi="Cambria Math"/>
              </w:rPr>
            </m:ctrlPr>
          </m:sSubPr>
          <m:e>
            <m:r>
              <w:rPr>
                <w:rFonts w:ascii="Cambria Math" w:hAnsi="Cambria Math"/>
              </w:rPr>
              <m:t>F</m:t>
            </m:r>
          </m:e>
          <m:sub>
            <m:r>
              <m:rPr>
                <m:sty m:val="p"/>
              </m:rPr>
              <w:rPr>
                <w:rFonts w:ascii="Cambria Math" w:hAnsi="Cambria Math"/>
              </w:rPr>
              <m:t>Rm,d,U</m:t>
            </m:r>
          </m:sub>
        </m:sSub>
        <m:r>
          <w:rPr>
            <w:rFonts w:ascii="Cambria Math" w:hAnsi="Cambria Math"/>
          </w:rPr>
          <m:t>=</m:t>
        </m:r>
        <m:sSub>
          <m:sSubPr>
            <m:ctrlPr>
              <w:rPr>
                <w:rFonts w:ascii="Cambria Math" w:hAnsi="Cambria Math"/>
              </w:rPr>
            </m:ctrlPr>
          </m:sSubPr>
          <m:e>
            <m:r>
              <w:rPr>
                <w:rFonts w:ascii="Cambria Math" w:hAnsi="Cambria Math"/>
              </w:rPr>
              <m:t>k</m:t>
            </m:r>
          </m:e>
          <m:sub>
            <m:r>
              <m:rPr>
                <m:sty m:val="p"/>
              </m:rPr>
              <w:rPr>
                <w:rFonts w:ascii="Cambria Math" w:hAnsi="Cambria Math"/>
              </w:rPr>
              <m:t>deg</m:t>
            </m:r>
          </m:sub>
        </m:sSub>
        <m:r>
          <w:rPr>
            <w:rFonts w:ascii="Cambria Math" w:hAnsi="Cambria Math"/>
          </w:rPr>
          <m:t xml:space="preserve"> </m:t>
        </m:r>
        <m:sSub>
          <m:sSubPr>
            <m:ctrlPr>
              <w:rPr>
                <w:rFonts w:ascii="Cambria Math" w:hAnsi="Cambria Math"/>
              </w:rPr>
            </m:ctrlPr>
          </m:sSubPr>
          <m:e>
            <m:r>
              <w:rPr>
                <w:rFonts w:ascii="Cambria Math" w:hAnsi="Cambria Math"/>
              </w:rPr>
              <m:t>k</m:t>
            </m:r>
          </m:e>
          <m:sub>
            <m:r>
              <m:rPr>
                <m:sty m:val="p"/>
              </m:rPr>
              <w:rPr>
                <w:rFonts w:ascii="Cambria Math" w:hAnsi="Cambria Math"/>
              </w:rPr>
              <m:t>mean</m:t>
            </m:r>
          </m:sub>
        </m:sSub>
        <m:r>
          <w:rPr>
            <w:rFonts w:ascii="Cambria Math" w:hAnsi="Cambria Math"/>
          </w:rPr>
          <m:t xml:space="preserve"> </m:t>
        </m:r>
        <m:sSub>
          <m:sSubPr>
            <m:ctrlPr>
              <w:rPr>
                <w:rFonts w:ascii="Cambria Math" w:hAnsi="Cambria Math"/>
              </w:rPr>
            </m:ctrlPr>
          </m:sSubPr>
          <m:e>
            <m:r>
              <w:rPr>
                <w:rFonts w:ascii="Cambria Math" w:hAnsi="Cambria Math"/>
              </w:rPr>
              <m:t>k</m:t>
            </m:r>
          </m:e>
          <m:sub>
            <m:r>
              <m:rPr>
                <m:sty m:val="p"/>
              </m:rPr>
              <w:rPr>
                <w:rFonts w:ascii="Cambria Math" w:hAnsi="Cambria Math"/>
              </w:rPr>
              <m:t>mod</m:t>
            </m:r>
          </m:sub>
        </m:sSub>
        <m:r>
          <w:rPr>
            <w:rFonts w:ascii="Cambria Math" w:hAnsi="Cambria Math"/>
          </w:rPr>
          <m:t xml:space="preserve"> </m:t>
        </m:r>
        <m:sSub>
          <m:sSubPr>
            <m:ctrlPr>
              <w:rPr>
                <w:rFonts w:ascii="Cambria Math" w:hAnsi="Cambria Math"/>
              </w:rPr>
            </m:ctrlPr>
          </m:sSubPr>
          <m:e>
            <m:r>
              <w:rPr>
                <w:rFonts w:ascii="Cambria Math" w:hAnsi="Cambria Math"/>
              </w:rPr>
              <m:t>F</m:t>
            </m:r>
          </m:e>
          <m:sub>
            <m:r>
              <m:rPr>
                <m:sty m:val="p"/>
              </m:rPr>
              <w:rPr>
                <w:rFonts w:ascii="Cambria Math" w:hAnsi="Cambria Math"/>
              </w:rPr>
              <m:t>Rk,d</m:t>
            </m:r>
          </m:sub>
        </m:sSub>
      </m:oMath>
      <w:r w:rsidR="003A49FD" w:rsidRPr="006C09CE">
        <w:tab/>
        <w:t>(</w:t>
      </w:r>
      <w:r w:rsidR="003A49FD">
        <w:t>L</w:t>
      </w:r>
      <w:r w:rsidR="003A49FD" w:rsidRPr="006C09CE">
        <w:t>.</w:t>
      </w:r>
      <w:r w:rsidR="003A49FD">
        <w:t>6</w:t>
      </w:r>
      <w:r w:rsidR="003A49FD" w:rsidRPr="006C09CE">
        <w:t>)</w:t>
      </w:r>
    </w:p>
    <w:p w14:paraId="77547511" w14:textId="0D1E3163" w:rsidR="003A49FD" w:rsidRPr="009611DD" w:rsidRDefault="003A49FD" w:rsidP="009611DD">
      <w:pPr>
        <w:pStyle w:val="Text"/>
      </w:pPr>
      <w:r w:rsidRPr="009611DD">
        <w:t>where</w:t>
      </w:r>
      <w:r w:rsidRPr="009611DD">
        <w:rPr>
          <w:i/>
          <w:iCs/>
        </w:rPr>
        <w:t xml:space="preserve"> </w:t>
      </w:r>
      <w:r w:rsidRPr="009611DD">
        <w:rPr>
          <w:i/>
        </w:rPr>
        <w:t>k</w:t>
      </w:r>
      <w:r w:rsidRPr="009611DD">
        <w:rPr>
          <w:vertAlign w:val="subscript"/>
        </w:rPr>
        <w:t>deg</w:t>
      </w:r>
      <w:r w:rsidRPr="009611DD">
        <w:t xml:space="preserve"> is the strength reduction factor due to degradation under cyclic loading defined in 13.3.1(4), for which the value in 13.3.1(2) should be used.</w:t>
      </w:r>
    </w:p>
    <w:p w14:paraId="105FD5EA" w14:textId="2AD6A1E0" w:rsidR="003A49FD" w:rsidRPr="007E6F67" w:rsidRDefault="003A49FD" w:rsidP="0080187E">
      <w:pPr>
        <w:pStyle w:val="List2"/>
        <w:numPr>
          <w:ilvl w:val="0"/>
          <w:numId w:val="258"/>
        </w:numPr>
        <w:spacing w:before="0" w:after="240" w:line="230" w:lineRule="atLeast"/>
        <w:contextualSpacing w:val="0"/>
      </w:pPr>
      <w:r w:rsidRPr="00132C1E">
        <w:t xml:space="preserve">The deformation at the end of the softening branch (Point U in Figure L.2) of the dissipative connection under seismic loading </w:t>
      </w:r>
      <w:r w:rsidRPr="00132C1E">
        <w:rPr>
          <w:rFonts w:ascii="Times New Roman" w:hAnsi="Times New Roman"/>
          <w:i/>
          <w:iCs/>
          <w:szCs w:val="24"/>
        </w:rPr>
        <w:t>δ</w:t>
      </w:r>
      <w:r w:rsidRPr="00132C1E">
        <w:rPr>
          <w:vertAlign w:val="subscript"/>
        </w:rPr>
        <w:t>u</w:t>
      </w:r>
      <w:r w:rsidRPr="00132C1E" w:rsidDel="00360CA9">
        <w:rPr>
          <w:i/>
        </w:rPr>
        <w:t xml:space="preserve"> </w:t>
      </w:r>
      <w:r w:rsidRPr="00132C1E">
        <w:t>may be calculated as given by Formula (L.7</w:t>
      </w:r>
      <w:r w:rsidRPr="005C7237">
        <w:t>).</w:t>
      </w:r>
    </w:p>
    <w:p w14:paraId="479E3E36" w14:textId="794909DC" w:rsidR="003A49FD" w:rsidRPr="006C09CE" w:rsidRDefault="009B5CEC" w:rsidP="003A49FD">
      <w:pPr>
        <w:pStyle w:val="Formula"/>
        <w:spacing w:before="240"/>
      </w:pPr>
      <m:oMath>
        <m:sSub>
          <m:sSubPr>
            <m:ctrlPr>
              <w:rPr>
                <w:rFonts w:ascii="Cambria Math" w:hAnsi="Cambria Math"/>
              </w:rPr>
            </m:ctrlPr>
          </m:sSubPr>
          <m:e>
            <m:r>
              <w:rPr>
                <w:rFonts w:ascii="Cambria Math" w:hAnsi="Cambria Math"/>
              </w:rPr>
              <m:t>δ</m:t>
            </m:r>
          </m:e>
          <m:sub>
            <m:r>
              <m:rPr>
                <m:sty m:val="p"/>
              </m:rPr>
              <w:rPr>
                <w:rFonts w:ascii="Cambria Math" w:hAnsi="Cambria Math"/>
              </w:rPr>
              <m:t>u</m:t>
            </m:r>
          </m:sub>
        </m:sSub>
        <m:r>
          <w:rPr>
            <w:rFonts w:ascii="Cambria Math" w:hAnsi="Cambria Math"/>
          </w:rPr>
          <m:t xml:space="preserve">=μ </m:t>
        </m:r>
        <m:sSub>
          <m:sSubPr>
            <m:ctrlPr>
              <w:rPr>
                <w:rFonts w:ascii="Cambria Math" w:hAnsi="Cambria Math"/>
              </w:rPr>
            </m:ctrlPr>
          </m:sSubPr>
          <m:e>
            <m:r>
              <w:rPr>
                <w:rFonts w:ascii="Cambria Math" w:hAnsi="Cambria Math"/>
              </w:rPr>
              <m:t>δ</m:t>
            </m:r>
          </m:e>
          <m:sub>
            <m:r>
              <m:rPr>
                <m:sty m:val="p"/>
              </m:rPr>
              <w:rPr>
                <w:rFonts w:ascii="Cambria Math" w:hAnsi="Cambria Math"/>
              </w:rPr>
              <m:t>y</m:t>
            </m:r>
          </m:sub>
        </m:sSub>
      </m:oMath>
      <w:r w:rsidR="003A49FD" w:rsidRPr="006C09CE">
        <w:tab/>
        <w:t>(</w:t>
      </w:r>
      <w:r w:rsidR="003A49FD">
        <w:t>L</w:t>
      </w:r>
      <w:r w:rsidR="003A49FD" w:rsidRPr="006C09CE">
        <w:t>.</w:t>
      </w:r>
      <w:r w:rsidR="003A49FD">
        <w:t>7</w:t>
      </w:r>
      <w:r w:rsidR="003A49FD" w:rsidRPr="006C09CE">
        <w:t>)</w:t>
      </w:r>
    </w:p>
    <w:p w14:paraId="1CC56D0B" w14:textId="4BB124CB" w:rsidR="003A49FD" w:rsidRDefault="003A49FD" w:rsidP="009611DD">
      <w:pPr>
        <w:pStyle w:val="Text"/>
      </w:pPr>
      <w:r w:rsidRPr="00132C1E">
        <w:t>where</w:t>
      </w:r>
      <w:r w:rsidRPr="00D03D43">
        <w:rPr>
          <w:i/>
          <w:iCs/>
        </w:rPr>
        <w:t xml:space="preserve"> </w:t>
      </w:r>
      <w:r w:rsidRPr="002144A0">
        <w:rPr>
          <w:i/>
          <w:iCs/>
        </w:rPr>
        <w:t>µ</w:t>
      </w:r>
      <w:r w:rsidR="009611DD">
        <w:t xml:space="preserve"> i</w:t>
      </w:r>
      <w:r w:rsidRPr="002144A0">
        <w:t>s the ductility of the dissipative connection under seismic action, which may be taken from Table 13.3 when capacity designed in DC2 or DC3.</w:t>
      </w:r>
    </w:p>
    <w:p w14:paraId="23725BCE" w14:textId="383708ED" w:rsidR="003A49FD" w:rsidRPr="007E6F67" w:rsidRDefault="003A49FD" w:rsidP="0080187E">
      <w:pPr>
        <w:pStyle w:val="List2"/>
        <w:numPr>
          <w:ilvl w:val="0"/>
          <w:numId w:val="258"/>
        </w:numPr>
        <w:spacing w:before="0" w:after="240" w:line="230" w:lineRule="atLeast"/>
        <w:contextualSpacing w:val="0"/>
      </w:pPr>
      <w:r w:rsidRPr="004F25D7">
        <w:t xml:space="preserve">The maximum strength (Point M in Figure </w:t>
      </w:r>
      <w:r w:rsidRPr="00C52095">
        <w:t xml:space="preserve">L.2) of the dissipative connection </w:t>
      </w:r>
      <w:r w:rsidRPr="007754C9">
        <w:t xml:space="preserve">under seismic loading </w:t>
      </w:r>
      <m:oMath>
        <m:sSub>
          <m:sSubPr>
            <m:ctrlPr>
              <w:rPr>
                <w:rFonts w:ascii="Cambria Math" w:hAnsi="Cambria Math"/>
              </w:rPr>
            </m:ctrlPr>
          </m:sSubPr>
          <m:e>
            <m:r>
              <w:rPr>
                <w:rFonts w:ascii="Cambria Math" w:hAnsi="Cambria Math"/>
              </w:rPr>
              <m:t>F</m:t>
            </m:r>
          </m:e>
          <m:sub>
            <m:r>
              <m:rPr>
                <m:sty m:val="p"/>
              </m:rPr>
              <w:rPr>
                <w:rFonts w:ascii="Cambria Math" w:hAnsi="Cambria Math"/>
              </w:rPr>
              <m:t>Rm,d,M</m:t>
            </m:r>
          </m:sub>
        </m:sSub>
      </m:oMath>
      <w:r w:rsidRPr="00132C1E">
        <w:t xml:space="preserve"> may be calculated from Formula (</w:t>
      </w:r>
      <w:r w:rsidRPr="00D1484A">
        <w:t>L.8).</w:t>
      </w:r>
    </w:p>
    <w:p w14:paraId="7538B5B0" w14:textId="24AD9EE9" w:rsidR="003A49FD" w:rsidRPr="006C09CE" w:rsidRDefault="009B5CEC" w:rsidP="002B6C5C">
      <w:pPr>
        <w:pStyle w:val="Formula"/>
        <w:spacing w:before="240"/>
        <w:ind w:left="720"/>
      </w:pPr>
      <m:oMath>
        <m:sSub>
          <m:sSubPr>
            <m:ctrlPr>
              <w:rPr>
                <w:rFonts w:ascii="Cambria Math" w:hAnsi="Cambria Math"/>
              </w:rPr>
            </m:ctrlPr>
          </m:sSubPr>
          <m:e>
            <m:r>
              <w:rPr>
                <w:rFonts w:ascii="Cambria Math" w:hAnsi="Cambria Math"/>
              </w:rPr>
              <m:t>F</m:t>
            </m:r>
          </m:e>
          <m:sub>
            <m:r>
              <m:rPr>
                <m:sty m:val="p"/>
              </m:rPr>
              <w:rPr>
                <w:rFonts w:ascii="Cambria Math" w:hAnsi="Cambria Math"/>
              </w:rPr>
              <m:t>Rm,d,M</m:t>
            </m:r>
          </m:sub>
        </m:sSub>
        <m:r>
          <w:rPr>
            <w:rFonts w:ascii="Cambria Math" w:hAnsi="Cambria Math"/>
          </w:rPr>
          <m:t>=</m:t>
        </m:r>
        <m:sSub>
          <m:sSubPr>
            <m:ctrlPr>
              <w:rPr>
                <w:rFonts w:ascii="Cambria Math" w:hAnsi="Cambria Math"/>
              </w:rPr>
            </m:ctrlPr>
          </m:sSubPr>
          <m:e>
            <m:r>
              <w:rPr>
                <w:rFonts w:ascii="Cambria Math" w:hAnsi="Cambria Math"/>
              </w:rPr>
              <m:t>k</m:t>
            </m:r>
          </m:e>
          <m:sub>
            <m:r>
              <m:rPr>
                <m:sty m:val="p"/>
              </m:rPr>
              <w:rPr>
                <w:rFonts w:ascii="Cambria Math" w:hAnsi="Cambria Math"/>
              </w:rPr>
              <m:t>mean</m:t>
            </m:r>
          </m:sub>
        </m:sSub>
        <m:r>
          <w:rPr>
            <w:rFonts w:ascii="Cambria Math" w:hAnsi="Cambria Math"/>
          </w:rPr>
          <m:t xml:space="preserve"> </m:t>
        </m:r>
        <m:sSub>
          <m:sSubPr>
            <m:ctrlPr>
              <w:rPr>
                <w:rFonts w:ascii="Cambria Math" w:hAnsi="Cambria Math"/>
              </w:rPr>
            </m:ctrlPr>
          </m:sSubPr>
          <m:e>
            <m:r>
              <w:rPr>
                <w:rFonts w:ascii="Cambria Math" w:hAnsi="Cambria Math"/>
              </w:rPr>
              <m:t>k</m:t>
            </m:r>
          </m:e>
          <m:sub>
            <m:r>
              <m:rPr>
                <m:sty m:val="p"/>
              </m:rPr>
              <w:rPr>
                <w:rFonts w:ascii="Cambria Math" w:hAnsi="Cambria Math"/>
              </w:rPr>
              <m:t>mod</m:t>
            </m:r>
          </m:sub>
        </m:sSub>
        <m:r>
          <w:rPr>
            <w:rFonts w:ascii="Cambria Math" w:hAnsi="Cambria Math"/>
          </w:rPr>
          <m:t xml:space="preserve"> </m:t>
        </m:r>
        <m:sSub>
          <m:sSubPr>
            <m:ctrlPr>
              <w:rPr>
                <w:rFonts w:ascii="Cambria Math" w:hAnsi="Cambria Math"/>
              </w:rPr>
            </m:ctrlPr>
          </m:sSubPr>
          <m:e>
            <m:r>
              <w:rPr>
                <w:rFonts w:ascii="Cambria Math" w:hAnsi="Cambria Math"/>
              </w:rPr>
              <m:t>F</m:t>
            </m:r>
          </m:e>
          <m:sub>
            <m:r>
              <m:rPr>
                <m:sty m:val="p"/>
              </m:rPr>
              <w:rPr>
                <w:rFonts w:ascii="Cambria Math" w:hAnsi="Cambria Math"/>
              </w:rPr>
              <m:t>Rk,d</m:t>
            </m:r>
          </m:sub>
        </m:sSub>
        <m:r>
          <w:rPr>
            <w:rFonts w:ascii="Cambria Math" w:hAnsi="Cambria Math"/>
          </w:rPr>
          <m:t xml:space="preserve"> </m:t>
        </m:r>
      </m:oMath>
      <w:r w:rsidR="003A49FD" w:rsidRPr="006C09CE">
        <w:tab/>
        <w:t>(</w:t>
      </w:r>
      <w:r w:rsidR="003A49FD">
        <w:t>L</w:t>
      </w:r>
      <w:r w:rsidR="003A49FD" w:rsidRPr="006C09CE">
        <w:t>.</w:t>
      </w:r>
      <w:r w:rsidR="003A49FD">
        <w:t>8</w:t>
      </w:r>
      <w:r w:rsidR="003A49FD" w:rsidRPr="006C09CE">
        <w:t>)</w:t>
      </w:r>
    </w:p>
    <w:p w14:paraId="106C6B59" w14:textId="73F8BF60" w:rsidR="003A49FD" w:rsidRPr="007E6F67" w:rsidRDefault="003A49FD" w:rsidP="0080187E">
      <w:pPr>
        <w:pStyle w:val="List2"/>
        <w:numPr>
          <w:ilvl w:val="0"/>
          <w:numId w:val="258"/>
        </w:numPr>
        <w:spacing w:before="0" w:after="240" w:line="230" w:lineRule="atLeast"/>
        <w:contextualSpacing w:val="0"/>
      </w:pPr>
      <w:r w:rsidRPr="00FD17CF">
        <w:t xml:space="preserve">The deformation at the maximum load (Point M in Figure </w:t>
      </w:r>
      <w:r w:rsidRPr="00E05E29">
        <w:t>L</w:t>
      </w:r>
      <w:r w:rsidRPr="00196951">
        <w:t xml:space="preserve">.2) of the dissipative </w:t>
      </w:r>
      <w:r w:rsidRPr="002144A0">
        <w:t xml:space="preserve">connection under seismic loading </w:t>
      </w:r>
      <w:r w:rsidRPr="002144A0">
        <w:rPr>
          <w:rFonts w:ascii="Times New Roman" w:hAnsi="Times New Roman"/>
          <w:i/>
          <w:iCs/>
          <w:szCs w:val="24"/>
        </w:rPr>
        <w:t>δ</w:t>
      </w:r>
      <w:r w:rsidRPr="002144A0">
        <w:rPr>
          <w:vertAlign w:val="subscript"/>
        </w:rPr>
        <w:t>Fmax</w:t>
      </w:r>
      <w:r w:rsidRPr="002144A0">
        <w:rPr>
          <w:rFonts w:ascii="Times New Roman" w:hAnsi="Times New Roman"/>
          <w:i/>
          <w:iCs/>
          <w:szCs w:val="24"/>
        </w:rPr>
        <w:t xml:space="preserve"> </w:t>
      </w:r>
      <w:r w:rsidRPr="004F25D7">
        <w:t xml:space="preserve">may be calculated </w:t>
      </w:r>
      <w:r w:rsidRPr="00C52095">
        <w:t>using Formula (L</w:t>
      </w:r>
      <w:r w:rsidRPr="007754C9">
        <w:t>.9)</w:t>
      </w:r>
      <w:r w:rsidRPr="00132C1E">
        <w:rPr>
          <w:szCs w:val="24"/>
        </w:rPr>
        <w:t>.</w:t>
      </w:r>
    </w:p>
    <w:p w14:paraId="2A5EE104" w14:textId="2ECEC7C5" w:rsidR="003A49FD" w:rsidRPr="006C09CE" w:rsidRDefault="009B5CEC" w:rsidP="002B6C5C">
      <w:pPr>
        <w:pStyle w:val="Formula"/>
        <w:spacing w:before="240"/>
        <w:ind w:left="720"/>
      </w:pPr>
      <m:oMath>
        <m:sSub>
          <m:sSubPr>
            <m:ctrlPr>
              <w:rPr>
                <w:rFonts w:ascii="Cambria Math" w:hAnsi="Cambria Math"/>
              </w:rPr>
            </m:ctrlPr>
          </m:sSubPr>
          <m:e>
            <m:r>
              <w:rPr>
                <w:rFonts w:ascii="Cambria Math" w:hAnsi="Cambria Math"/>
              </w:rPr>
              <m:t>δ</m:t>
            </m:r>
          </m:e>
          <m:sub>
            <m:r>
              <m:rPr>
                <m:sty m:val="p"/>
              </m:rPr>
              <w:rPr>
                <w:rFonts w:ascii="Cambria Math" w:hAnsi="Cambria Math"/>
              </w:rPr>
              <m:t>Fmax</m:t>
            </m:r>
          </m:sub>
        </m:sSub>
        <m:r>
          <w:rPr>
            <w:rFonts w:ascii="Cambria Math" w:hAnsi="Cambria Math"/>
          </w:rPr>
          <m:t>=</m:t>
        </m:r>
        <m:sSub>
          <m:sSubPr>
            <m:ctrlPr>
              <w:rPr>
                <w:rFonts w:ascii="Cambria Math" w:hAnsi="Cambria Math"/>
              </w:rPr>
            </m:ctrlPr>
          </m:sSubPr>
          <m:e>
            <m:r>
              <w:rPr>
                <w:rFonts w:ascii="Cambria Math" w:hAnsi="Cambria Math"/>
              </w:rPr>
              <m:t>δ</m:t>
            </m:r>
          </m:e>
          <m:sub>
            <m:r>
              <m:rPr>
                <m:sty m:val="p"/>
              </m:rPr>
              <w:rPr>
                <w:rFonts w:ascii="Cambria Math" w:hAnsi="Cambria Math"/>
              </w:rPr>
              <m:t>y</m:t>
            </m:r>
          </m:sub>
        </m:sSub>
        <m:r>
          <w:rPr>
            <w:rFonts w:ascii="Cambria Math" w:hAnsi="Cambria Math"/>
          </w:rPr>
          <m:t xml:space="preserve">+0,5 </m:t>
        </m:r>
        <m:d>
          <m:dPr>
            <m:ctrlPr>
              <w:rPr>
                <w:rFonts w:ascii="Cambria Math" w:hAnsi="Cambria Math"/>
              </w:rPr>
            </m:ctrlPr>
          </m:dPr>
          <m:e>
            <m:sSub>
              <m:sSubPr>
                <m:ctrlPr>
                  <w:rPr>
                    <w:rFonts w:ascii="Cambria Math" w:hAnsi="Cambria Math"/>
                  </w:rPr>
                </m:ctrlPr>
              </m:sSubPr>
              <m:e>
                <m:r>
                  <w:rPr>
                    <w:rFonts w:ascii="Cambria Math" w:hAnsi="Cambria Math"/>
                  </w:rPr>
                  <m:t>δ</m:t>
                </m:r>
              </m:e>
              <m:sub>
                <m:r>
                  <m:rPr>
                    <m:sty m:val="p"/>
                  </m:rPr>
                  <w:rPr>
                    <w:rFonts w:ascii="Cambria Math" w:hAnsi="Cambria Math"/>
                  </w:rPr>
                  <m:t>u</m:t>
                </m:r>
              </m:sub>
            </m:sSub>
            <m:r>
              <w:rPr>
                <w:rFonts w:ascii="Cambria Math" w:hAnsi="Cambria Math"/>
              </w:rPr>
              <m:t>-</m:t>
            </m:r>
            <m:sSub>
              <m:sSubPr>
                <m:ctrlPr>
                  <w:rPr>
                    <w:rFonts w:ascii="Cambria Math" w:hAnsi="Cambria Math"/>
                  </w:rPr>
                </m:ctrlPr>
              </m:sSubPr>
              <m:e>
                <m:r>
                  <w:rPr>
                    <w:rFonts w:ascii="Cambria Math" w:hAnsi="Cambria Math"/>
                  </w:rPr>
                  <m:t>δ</m:t>
                </m:r>
              </m:e>
              <m:sub>
                <m:r>
                  <m:rPr>
                    <m:sty m:val="p"/>
                  </m:rPr>
                  <w:rPr>
                    <w:rFonts w:ascii="Cambria Math" w:hAnsi="Cambria Math"/>
                  </w:rPr>
                  <m:t>y</m:t>
                </m:r>
              </m:sub>
            </m:sSub>
          </m:e>
        </m:d>
        <m:r>
          <w:rPr>
            <w:rFonts w:ascii="Cambria Math" w:hAnsi="Cambria Math"/>
          </w:rPr>
          <m:t xml:space="preserve"> </m:t>
        </m:r>
      </m:oMath>
      <w:r w:rsidR="003A49FD" w:rsidRPr="006C09CE">
        <w:tab/>
        <w:t>(</w:t>
      </w:r>
      <w:r w:rsidR="003A49FD">
        <w:t>L</w:t>
      </w:r>
      <w:r w:rsidR="003A49FD" w:rsidRPr="006C09CE">
        <w:t>.</w:t>
      </w:r>
      <w:r w:rsidR="003A49FD">
        <w:t>9</w:t>
      </w:r>
      <w:r w:rsidR="003A49FD" w:rsidRPr="006C09CE">
        <w:t>)</w:t>
      </w:r>
    </w:p>
    <w:p w14:paraId="443859D9" w14:textId="5A5FA867" w:rsidR="003A49FD" w:rsidRPr="002144A0" w:rsidRDefault="009611DD" w:rsidP="0080187E">
      <w:pPr>
        <w:pStyle w:val="List2"/>
        <w:numPr>
          <w:ilvl w:val="0"/>
          <w:numId w:val="258"/>
        </w:numPr>
        <w:spacing w:before="0" w:after="240" w:line="230" w:lineRule="atLeast"/>
        <w:contextualSpacing w:val="0"/>
      </w:pPr>
      <w:r>
        <w:t>T</w:t>
      </w:r>
      <w:r w:rsidR="003A49FD" w:rsidRPr="00FD17CF">
        <w:t>he NC point may be obtained on the trilinear curve at the deformation</w:t>
      </w:r>
      <w:r w:rsidR="003A49FD" w:rsidRPr="00E05E29" w:rsidDel="00170533">
        <w:t xml:space="preserve"> </w:t>
      </w:r>
      <w:r w:rsidR="003A49FD" w:rsidRPr="00196951">
        <w:rPr>
          <w:rFonts w:ascii="Times New Roman" w:hAnsi="Times New Roman"/>
          <w:i/>
          <w:iCs/>
          <w:szCs w:val="24"/>
        </w:rPr>
        <w:t>δ</w:t>
      </w:r>
      <w:r w:rsidR="003A49FD" w:rsidRPr="002144A0">
        <w:rPr>
          <w:vertAlign w:val="subscript"/>
        </w:rPr>
        <w:t>NC</w:t>
      </w:r>
      <w:r w:rsidR="003A49FD" w:rsidRPr="002144A0">
        <w:rPr>
          <w:rFonts w:ascii="Times New Roman" w:hAnsi="Times New Roman"/>
          <w:i/>
          <w:iCs/>
          <w:szCs w:val="24"/>
        </w:rPr>
        <w:t xml:space="preserve"> </w:t>
      </w:r>
      <w:r w:rsidR="003A49FD" w:rsidRPr="002144A0">
        <w:t>given by Formula (L.3).</w:t>
      </w:r>
    </w:p>
    <w:p w14:paraId="40DBB52B" w14:textId="77777777" w:rsidR="003A49FD" w:rsidRPr="007754C9" w:rsidRDefault="003A49FD" w:rsidP="0080187E">
      <w:pPr>
        <w:pStyle w:val="List2"/>
        <w:numPr>
          <w:ilvl w:val="0"/>
          <w:numId w:val="258"/>
        </w:numPr>
        <w:spacing w:before="0" w:after="240" w:line="230" w:lineRule="atLeast"/>
        <w:contextualSpacing w:val="0"/>
      </w:pPr>
      <w:r w:rsidRPr="002144A0">
        <w:t xml:space="preserve">The SD point may be obtained on the trilinear curve at the deformation value </w:t>
      </w:r>
      <w:r w:rsidRPr="002144A0">
        <w:rPr>
          <w:rFonts w:ascii="Symbol" w:hAnsi="Symbol"/>
          <w:i/>
        </w:rPr>
        <w:t></w:t>
      </w:r>
      <w:r w:rsidRPr="002144A0">
        <w:rPr>
          <w:vertAlign w:val="subscript"/>
        </w:rPr>
        <w:t>SD</w:t>
      </w:r>
      <w:r w:rsidRPr="004F25D7">
        <w:rPr>
          <w:rFonts w:ascii="Times New Roman" w:hAnsi="Times New Roman"/>
          <w:i/>
          <w:iCs/>
          <w:szCs w:val="24"/>
        </w:rPr>
        <w:t xml:space="preserve"> </w:t>
      </w:r>
      <w:r w:rsidRPr="00C52095">
        <w:t>given by Formula (L.2).</w:t>
      </w:r>
    </w:p>
    <w:p w14:paraId="7CCEE0BB" w14:textId="05F6C598" w:rsidR="003A49FD" w:rsidRPr="00132C1E" w:rsidRDefault="00246C41" w:rsidP="00246C41">
      <w:pPr>
        <w:pStyle w:val="FigureImage"/>
      </w:pPr>
      <w:r>
        <w:rPr>
          <w:noProof/>
        </w:rPr>
        <w:drawing>
          <wp:inline distT="0" distB="0" distL="0" distR="0" wp14:anchorId="67070DB7" wp14:editId="2F35FB8E">
            <wp:extent cx="2880365" cy="2394208"/>
            <wp:effectExtent l="0" t="0" r="0" b="6350"/>
            <wp:docPr id="55" name="l002.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l002.tiff"/>
                    <pic:cNvPicPr/>
                  </pic:nvPicPr>
                  <pic:blipFill>
                    <a:blip r:link="rId136"/>
                    <a:stretch>
                      <a:fillRect/>
                    </a:stretch>
                  </pic:blipFill>
                  <pic:spPr>
                    <a:xfrm>
                      <a:off x="0" y="0"/>
                      <a:ext cx="2880365" cy="2394208"/>
                    </a:xfrm>
                    <a:prstGeom prst="rect">
                      <a:avLst/>
                    </a:prstGeom>
                  </pic:spPr>
                </pic:pic>
              </a:graphicData>
            </a:graphic>
          </wp:inline>
        </w:drawing>
      </w:r>
    </w:p>
    <w:p w14:paraId="61F1D3FE" w14:textId="77777777" w:rsidR="00246C41" w:rsidRPr="00D1484A" w:rsidRDefault="00246C41" w:rsidP="00246C41">
      <w:pPr>
        <w:pStyle w:val="KeyTitle"/>
      </w:pPr>
      <w:r w:rsidRPr="00D1484A">
        <w:t>Key</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
        <w:gridCol w:w="9292"/>
      </w:tblGrid>
      <w:tr w:rsidR="00246C41" w:rsidRPr="00132C1E" w14:paraId="6527F395" w14:textId="77777777" w:rsidTr="002B6C5C">
        <w:tc>
          <w:tcPr>
            <w:tcW w:w="459" w:type="dxa"/>
          </w:tcPr>
          <w:p w14:paraId="155E9802" w14:textId="77777777" w:rsidR="00246C41" w:rsidRPr="00246C41" w:rsidRDefault="00246C41" w:rsidP="002B6C5C">
            <w:pPr>
              <w:pStyle w:val="KeyText"/>
              <w:spacing w:before="0"/>
              <w:rPr>
                <w:i/>
                <w:iCs/>
              </w:rPr>
            </w:pPr>
            <w:r w:rsidRPr="00246C41">
              <w:rPr>
                <w:i/>
                <w:iCs/>
              </w:rPr>
              <w:t>Y</w:t>
            </w:r>
          </w:p>
        </w:tc>
        <w:tc>
          <w:tcPr>
            <w:tcW w:w="9292" w:type="dxa"/>
          </w:tcPr>
          <w:p w14:paraId="68FA4B4F" w14:textId="77777777" w:rsidR="00246C41" w:rsidRPr="00196951" w:rsidRDefault="00246C41" w:rsidP="002B6C5C">
            <w:pPr>
              <w:pStyle w:val="KeyText"/>
              <w:spacing w:before="0"/>
              <w:rPr>
                <w:rFonts w:asciiTheme="majorHAnsi" w:hAnsiTheme="majorHAnsi"/>
              </w:rPr>
            </w:pPr>
            <w:r>
              <w:rPr>
                <w:rFonts w:asciiTheme="majorHAnsi" w:hAnsiTheme="majorHAnsi"/>
              </w:rPr>
              <w:t>y</w:t>
            </w:r>
            <w:r w:rsidRPr="00E05E29">
              <w:rPr>
                <w:rFonts w:asciiTheme="majorHAnsi" w:hAnsiTheme="majorHAnsi"/>
              </w:rPr>
              <w:t>ielding point</w:t>
            </w:r>
          </w:p>
        </w:tc>
      </w:tr>
      <w:tr w:rsidR="00246C41" w:rsidRPr="00132C1E" w14:paraId="1BEFA43F" w14:textId="77777777" w:rsidTr="002B6C5C">
        <w:tc>
          <w:tcPr>
            <w:tcW w:w="459" w:type="dxa"/>
          </w:tcPr>
          <w:p w14:paraId="48B88BD2" w14:textId="77777777" w:rsidR="00246C41" w:rsidRPr="00246C41" w:rsidRDefault="00246C41" w:rsidP="002B6C5C">
            <w:pPr>
              <w:pStyle w:val="KeyText"/>
              <w:spacing w:before="0"/>
              <w:rPr>
                <w:rFonts w:asciiTheme="majorHAnsi" w:hAnsiTheme="majorHAnsi"/>
                <w:i/>
                <w:iCs/>
              </w:rPr>
            </w:pPr>
            <w:r w:rsidRPr="00246C41">
              <w:rPr>
                <w:rFonts w:asciiTheme="majorHAnsi" w:hAnsiTheme="majorHAnsi"/>
                <w:i/>
                <w:iCs/>
              </w:rPr>
              <w:t>SD</w:t>
            </w:r>
          </w:p>
        </w:tc>
        <w:tc>
          <w:tcPr>
            <w:tcW w:w="9292" w:type="dxa"/>
          </w:tcPr>
          <w:p w14:paraId="6AD8D852" w14:textId="77777777" w:rsidR="00246C41" w:rsidRPr="007E6F67" w:rsidRDefault="00246C41" w:rsidP="002B6C5C">
            <w:pPr>
              <w:pStyle w:val="KeyText"/>
              <w:spacing w:before="0"/>
              <w:rPr>
                <w:rFonts w:asciiTheme="majorHAnsi" w:hAnsiTheme="majorHAnsi"/>
              </w:rPr>
            </w:pPr>
            <w:r w:rsidRPr="00D1484A">
              <w:rPr>
                <w:rFonts w:asciiTheme="majorHAnsi" w:hAnsiTheme="majorHAnsi"/>
              </w:rPr>
              <w:t>Significant Damage point</w:t>
            </w:r>
          </w:p>
        </w:tc>
      </w:tr>
      <w:tr w:rsidR="00246C41" w:rsidRPr="00132C1E" w14:paraId="3CF8E8D8" w14:textId="77777777" w:rsidTr="002B6C5C">
        <w:tc>
          <w:tcPr>
            <w:tcW w:w="459" w:type="dxa"/>
          </w:tcPr>
          <w:p w14:paraId="537CD270" w14:textId="77777777" w:rsidR="00246C41" w:rsidRPr="00246C41" w:rsidRDefault="00246C41" w:rsidP="002B6C5C">
            <w:pPr>
              <w:pStyle w:val="KeyText"/>
              <w:spacing w:before="0"/>
              <w:rPr>
                <w:rFonts w:asciiTheme="majorHAnsi" w:hAnsiTheme="majorHAnsi"/>
                <w:i/>
                <w:iCs/>
              </w:rPr>
            </w:pPr>
            <w:r w:rsidRPr="00246C41">
              <w:rPr>
                <w:rFonts w:asciiTheme="majorHAnsi" w:hAnsiTheme="majorHAnsi"/>
                <w:i/>
                <w:iCs/>
              </w:rPr>
              <w:t>M</w:t>
            </w:r>
          </w:p>
        </w:tc>
        <w:tc>
          <w:tcPr>
            <w:tcW w:w="9292" w:type="dxa"/>
          </w:tcPr>
          <w:p w14:paraId="76A1EC73" w14:textId="77777777" w:rsidR="00246C41" w:rsidRPr="007E6F67" w:rsidRDefault="00246C41" w:rsidP="002B6C5C">
            <w:pPr>
              <w:pStyle w:val="KeyText"/>
              <w:spacing w:before="0"/>
              <w:rPr>
                <w:rFonts w:asciiTheme="majorHAnsi" w:hAnsiTheme="majorHAnsi"/>
              </w:rPr>
            </w:pPr>
            <w:r>
              <w:rPr>
                <w:rFonts w:asciiTheme="majorHAnsi" w:hAnsiTheme="majorHAnsi"/>
              </w:rPr>
              <w:t>m</w:t>
            </w:r>
            <w:r w:rsidRPr="00D1484A">
              <w:rPr>
                <w:rFonts w:asciiTheme="majorHAnsi" w:hAnsiTheme="majorHAnsi"/>
              </w:rPr>
              <w:t>aximum load point</w:t>
            </w:r>
          </w:p>
        </w:tc>
      </w:tr>
      <w:tr w:rsidR="00246C41" w:rsidRPr="00132C1E" w14:paraId="04B64C70" w14:textId="77777777" w:rsidTr="002B6C5C">
        <w:tc>
          <w:tcPr>
            <w:tcW w:w="459" w:type="dxa"/>
          </w:tcPr>
          <w:p w14:paraId="3409840E" w14:textId="77777777" w:rsidR="00246C41" w:rsidRPr="00246C41" w:rsidRDefault="00246C41" w:rsidP="002B6C5C">
            <w:pPr>
              <w:pStyle w:val="KeyText"/>
              <w:spacing w:before="0"/>
              <w:rPr>
                <w:rFonts w:asciiTheme="majorHAnsi" w:hAnsiTheme="majorHAnsi"/>
                <w:i/>
                <w:iCs/>
              </w:rPr>
            </w:pPr>
            <w:r w:rsidRPr="00246C41">
              <w:rPr>
                <w:rFonts w:asciiTheme="majorHAnsi" w:hAnsiTheme="majorHAnsi"/>
                <w:i/>
                <w:iCs/>
              </w:rPr>
              <w:t>NC</w:t>
            </w:r>
          </w:p>
        </w:tc>
        <w:tc>
          <w:tcPr>
            <w:tcW w:w="9292" w:type="dxa"/>
          </w:tcPr>
          <w:p w14:paraId="6C1BE1E7" w14:textId="77777777" w:rsidR="00246C41" w:rsidRPr="007E6F67" w:rsidRDefault="00246C41" w:rsidP="002B6C5C">
            <w:pPr>
              <w:pStyle w:val="KeyText"/>
              <w:spacing w:before="0"/>
              <w:rPr>
                <w:rFonts w:asciiTheme="majorHAnsi" w:hAnsiTheme="majorHAnsi"/>
              </w:rPr>
            </w:pPr>
            <w:r w:rsidRPr="00D1484A">
              <w:rPr>
                <w:rFonts w:asciiTheme="majorHAnsi" w:hAnsiTheme="majorHAnsi"/>
              </w:rPr>
              <w:t>Near Collapse point</w:t>
            </w:r>
          </w:p>
        </w:tc>
      </w:tr>
      <w:tr w:rsidR="00246C41" w:rsidRPr="00132C1E" w14:paraId="5B533D5A" w14:textId="77777777" w:rsidTr="002B6C5C">
        <w:tc>
          <w:tcPr>
            <w:tcW w:w="459" w:type="dxa"/>
          </w:tcPr>
          <w:p w14:paraId="609F1F5B" w14:textId="77777777" w:rsidR="00246C41" w:rsidRPr="00246C41" w:rsidRDefault="00246C41" w:rsidP="002B6C5C">
            <w:pPr>
              <w:pStyle w:val="KeyText"/>
              <w:spacing w:before="0"/>
              <w:rPr>
                <w:rFonts w:asciiTheme="majorHAnsi" w:hAnsiTheme="majorHAnsi"/>
                <w:i/>
                <w:iCs/>
              </w:rPr>
            </w:pPr>
            <w:r w:rsidRPr="00246C41">
              <w:rPr>
                <w:rFonts w:asciiTheme="majorHAnsi" w:hAnsiTheme="majorHAnsi"/>
                <w:i/>
                <w:iCs/>
              </w:rPr>
              <w:t>U</w:t>
            </w:r>
          </w:p>
        </w:tc>
        <w:tc>
          <w:tcPr>
            <w:tcW w:w="9292" w:type="dxa"/>
          </w:tcPr>
          <w:p w14:paraId="5382C883" w14:textId="77777777" w:rsidR="00246C41" w:rsidRPr="007E6F67" w:rsidRDefault="00246C41" w:rsidP="002B6C5C">
            <w:pPr>
              <w:pStyle w:val="KeyText"/>
              <w:spacing w:before="0"/>
              <w:rPr>
                <w:rFonts w:asciiTheme="majorHAnsi" w:hAnsiTheme="majorHAnsi"/>
              </w:rPr>
            </w:pPr>
            <w:r>
              <w:rPr>
                <w:rFonts w:asciiTheme="majorHAnsi" w:hAnsiTheme="majorHAnsi"/>
              </w:rPr>
              <w:t>u</w:t>
            </w:r>
            <w:r w:rsidRPr="00D1484A">
              <w:rPr>
                <w:rFonts w:asciiTheme="majorHAnsi" w:hAnsiTheme="majorHAnsi"/>
              </w:rPr>
              <w:t>ltimate load point</w:t>
            </w:r>
          </w:p>
        </w:tc>
      </w:tr>
    </w:tbl>
    <w:p w14:paraId="111E300B" w14:textId="161942D6" w:rsidR="003A49FD" w:rsidRDefault="003A49FD" w:rsidP="003A49FD">
      <w:pPr>
        <w:pStyle w:val="Figuretitle"/>
      </w:pPr>
      <w:r w:rsidRPr="00132C1E">
        <w:rPr>
          <w:bCs/>
        </w:rPr>
        <w:t xml:space="preserve">Figure </w:t>
      </w:r>
      <w:r w:rsidRPr="00D1484A">
        <w:rPr>
          <w:bCs/>
        </w:rPr>
        <w:t>L.</w:t>
      </w:r>
      <w:r w:rsidR="009611DD">
        <w:rPr>
          <w:bCs/>
        </w:rPr>
        <w:t>2</w:t>
      </w:r>
      <w:r w:rsidRPr="00132C1E">
        <w:rPr>
          <w:bCs/>
        </w:rPr>
        <w:t> </w:t>
      </w:r>
      <w:r w:rsidRPr="00D1484A">
        <w:t>—</w:t>
      </w:r>
      <w:r w:rsidRPr="00D1484A">
        <w:rPr>
          <w:bCs/>
        </w:rPr>
        <w:t> </w:t>
      </w:r>
      <w:r w:rsidRPr="007E6F67">
        <w:t>Trilinear load-deformation mean curve of dissipative zones in timber structures using analytical Formulas</w:t>
      </w:r>
    </w:p>
    <w:p w14:paraId="4E25D383" w14:textId="77777777" w:rsidR="003A49FD" w:rsidRPr="00132C1E" w:rsidRDefault="003A49FD" w:rsidP="002B6C5C">
      <w:pPr>
        <w:pStyle w:val="Tabletitle"/>
        <w:keepLines/>
      </w:pPr>
      <w:r w:rsidRPr="00FD17CF">
        <w:t xml:space="preserve">Table </w:t>
      </w:r>
      <w:r w:rsidRPr="00FD17CF">
        <w:rPr>
          <w:bCs/>
        </w:rPr>
        <w:t>L</w:t>
      </w:r>
      <w:r w:rsidRPr="00E05E29">
        <w:rPr>
          <w:bCs/>
        </w:rPr>
        <w:t>.</w:t>
      </w:r>
      <w:r>
        <w:rPr>
          <w:bCs/>
        </w:rPr>
        <w:t>2</w:t>
      </w:r>
      <w:r w:rsidRPr="00132C1E">
        <w:rPr>
          <w:bCs/>
        </w:rPr>
        <w:t> </w:t>
      </w:r>
      <w:r w:rsidRPr="00D1484A">
        <w:t>—</w:t>
      </w:r>
      <w:r w:rsidRPr="00D1484A">
        <w:rPr>
          <w:bCs/>
        </w:rPr>
        <w:t> </w:t>
      </w:r>
      <w:r w:rsidRPr="00A21B24">
        <w:t xml:space="preserve">Values of the ratio </w:t>
      </w:r>
      <w:r w:rsidRPr="00A21B24">
        <w:rPr>
          <w:i/>
        </w:rPr>
        <w:t>k</w:t>
      </w:r>
      <w:r w:rsidRPr="00A21B24">
        <w:rPr>
          <w:vertAlign w:val="subscript"/>
        </w:rPr>
        <w:t>mean</w:t>
      </w:r>
      <w:r w:rsidRPr="00A21B24">
        <w:t xml:space="preserve"> between the mean and the characteristic strength of dissipative zones in static conditions, and of the ratio </w:t>
      </w:r>
      <w:r w:rsidRPr="00A21B24">
        <w:rPr>
          <w:i/>
        </w:rPr>
        <w:t>k</w:t>
      </w:r>
      <w:r w:rsidRPr="00A21B24">
        <w:rPr>
          <w:vertAlign w:val="subscript"/>
        </w:rPr>
        <w:t>y</w:t>
      </w:r>
      <w:r w:rsidRPr="00A21B24">
        <w:t xml:space="preserve"> between the yield and the maximum strength of dissipative zones</w:t>
      </w:r>
    </w:p>
    <w:tbl>
      <w:tblPr>
        <w:tblStyle w:val="TableGrid"/>
        <w:tblW w:w="0" w:type="auto"/>
        <w:jc w:val="center"/>
        <w:shd w:val="clear" w:color="auto" w:fill="FFFFFF" w:themeFill="background1"/>
        <w:tblLook w:val="04A0" w:firstRow="1" w:lastRow="0" w:firstColumn="1" w:lastColumn="0" w:noHBand="0" w:noVBand="1"/>
      </w:tblPr>
      <w:tblGrid>
        <w:gridCol w:w="7301"/>
        <w:gridCol w:w="851"/>
        <w:gridCol w:w="851"/>
      </w:tblGrid>
      <w:tr w:rsidR="003A49FD" w:rsidRPr="00132C1E" w14:paraId="5D0E3514" w14:textId="77777777" w:rsidTr="002061E5">
        <w:trPr>
          <w:jc w:val="center"/>
        </w:trPr>
        <w:tc>
          <w:tcPr>
            <w:tcW w:w="7301" w:type="dxa"/>
            <w:shd w:val="clear" w:color="auto" w:fill="FFFFFF" w:themeFill="background1"/>
          </w:tcPr>
          <w:p w14:paraId="1C30274D" w14:textId="77777777" w:rsidR="003A49FD" w:rsidRPr="003A49FD" w:rsidRDefault="003A49FD" w:rsidP="002B6C5C">
            <w:pPr>
              <w:keepNext/>
              <w:keepLines/>
              <w:rPr>
                <w:b/>
                <w:sz w:val="20"/>
              </w:rPr>
            </w:pPr>
            <w:r w:rsidRPr="003A49FD">
              <w:rPr>
                <w:b/>
                <w:sz w:val="20"/>
              </w:rPr>
              <w:t>Type of dissipative connection/joint/subassembly</w:t>
            </w:r>
          </w:p>
        </w:tc>
        <w:tc>
          <w:tcPr>
            <w:tcW w:w="851" w:type="dxa"/>
            <w:shd w:val="clear" w:color="auto" w:fill="FFFFFF" w:themeFill="background1"/>
            <w:vAlign w:val="center"/>
          </w:tcPr>
          <w:p w14:paraId="7E607F39" w14:textId="77777777" w:rsidR="003A49FD" w:rsidRPr="00132C1E" w:rsidRDefault="003A49FD" w:rsidP="002B6C5C">
            <w:pPr>
              <w:keepNext/>
              <w:keepLines/>
              <w:jc w:val="center"/>
              <w:rPr>
                <w:b/>
                <w:sz w:val="20"/>
              </w:rPr>
            </w:pPr>
            <w:r w:rsidRPr="00132C1E">
              <w:rPr>
                <w:b/>
                <w:i/>
                <w:sz w:val="20"/>
              </w:rPr>
              <w:t>k</w:t>
            </w:r>
            <w:r w:rsidRPr="00132C1E">
              <w:rPr>
                <w:b/>
                <w:sz w:val="20"/>
                <w:vertAlign w:val="subscript"/>
              </w:rPr>
              <w:t>mean</w:t>
            </w:r>
          </w:p>
        </w:tc>
        <w:tc>
          <w:tcPr>
            <w:tcW w:w="851" w:type="dxa"/>
            <w:shd w:val="clear" w:color="auto" w:fill="FFFFFF" w:themeFill="background1"/>
          </w:tcPr>
          <w:p w14:paraId="56FDAE22" w14:textId="77777777" w:rsidR="003A49FD" w:rsidRPr="00132C1E" w:rsidRDefault="003A49FD" w:rsidP="002B6C5C">
            <w:pPr>
              <w:keepNext/>
              <w:keepLines/>
              <w:jc w:val="center"/>
              <w:rPr>
                <w:b/>
                <w:i/>
                <w:sz w:val="20"/>
              </w:rPr>
            </w:pPr>
            <w:r w:rsidRPr="00132C1E">
              <w:rPr>
                <w:b/>
                <w:i/>
                <w:sz w:val="20"/>
              </w:rPr>
              <w:t>k</w:t>
            </w:r>
            <w:r w:rsidRPr="00132C1E">
              <w:rPr>
                <w:b/>
                <w:sz w:val="20"/>
                <w:vertAlign w:val="subscript"/>
              </w:rPr>
              <w:t>y</w:t>
            </w:r>
          </w:p>
        </w:tc>
      </w:tr>
      <w:tr w:rsidR="003A49FD" w:rsidRPr="00132C1E" w14:paraId="75BF892B" w14:textId="77777777" w:rsidTr="002061E5">
        <w:trPr>
          <w:jc w:val="center"/>
        </w:trPr>
        <w:tc>
          <w:tcPr>
            <w:tcW w:w="7301" w:type="dxa"/>
            <w:shd w:val="clear" w:color="auto" w:fill="FFFFFF" w:themeFill="background1"/>
          </w:tcPr>
          <w:p w14:paraId="05171B3C" w14:textId="77777777" w:rsidR="003A49FD" w:rsidRPr="003A49FD" w:rsidRDefault="003A49FD" w:rsidP="002B6C5C">
            <w:pPr>
              <w:keepNext/>
              <w:keepLines/>
              <w:rPr>
                <w:sz w:val="20"/>
              </w:rPr>
            </w:pPr>
            <w:r w:rsidRPr="003A49FD">
              <w:rPr>
                <w:sz w:val="20"/>
              </w:rPr>
              <w:t>High ductility semi-rigid beam-column joints with expanded tube fasteners and Densified Veneer Wood designed in DC3, Carpentry connections in log structures</w:t>
            </w:r>
          </w:p>
        </w:tc>
        <w:tc>
          <w:tcPr>
            <w:tcW w:w="851" w:type="dxa"/>
            <w:shd w:val="clear" w:color="auto" w:fill="FFFFFF" w:themeFill="background1"/>
            <w:vAlign w:val="center"/>
          </w:tcPr>
          <w:p w14:paraId="627C6D8A" w14:textId="77777777" w:rsidR="003A49FD" w:rsidRPr="00196951" w:rsidRDefault="003A49FD" w:rsidP="002B6C5C">
            <w:pPr>
              <w:keepNext/>
              <w:keepLines/>
              <w:jc w:val="center"/>
              <w:rPr>
                <w:sz w:val="20"/>
              </w:rPr>
            </w:pPr>
            <w:r w:rsidRPr="00E05E29">
              <w:rPr>
                <w:sz w:val="20"/>
              </w:rPr>
              <w:t>1,20</w:t>
            </w:r>
          </w:p>
        </w:tc>
        <w:tc>
          <w:tcPr>
            <w:tcW w:w="851" w:type="dxa"/>
            <w:shd w:val="clear" w:color="auto" w:fill="FFFFFF" w:themeFill="background1"/>
            <w:vAlign w:val="center"/>
          </w:tcPr>
          <w:p w14:paraId="5A832F6F" w14:textId="77777777" w:rsidR="003A49FD" w:rsidRPr="002144A0" w:rsidRDefault="003A49FD" w:rsidP="002B6C5C">
            <w:pPr>
              <w:keepNext/>
              <w:keepLines/>
              <w:jc w:val="center"/>
              <w:rPr>
                <w:sz w:val="20"/>
              </w:rPr>
            </w:pPr>
            <w:r w:rsidRPr="002144A0">
              <w:rPr>
                <w:sz w:val="20"/>
              </w:rPr>
              <w:t>0,90</w:t>
            </w:r>
          </w:p>
        </w:tc>
      </w:tr>
      <w:tr w:rsidR="003A49FD" w:rsidRPr="00132C1E" w14:paraId="08DB9C41" w14:textId="77777777" w:rsidTr="002061E5">
        <w:trPr>
          <w:jc w:val="center"/>
        </w:trPr>
        <w:tc>
          <w:tcPr>
            <w:tcW w:w="7301" w:type="dxa"/>
            <w:shd w:val="clear" w:color="auto" w:fill="FFFFFF" w:themeFill="background1"/>
          </w:tcPr>
          <w:p w14:paraId="4FFE1A46" w14:textId="37C2FC18" w:rsidR="003A49FD" w:rsidRPr="003A49FD" w:rsidRDefault="003A49FD" w:rsidP="002B6C5C">
            <w:pPr>
              <w:keepNext/>
              <w:keepLines/>
              <w:rPr>
                <w:sz w:val="20"/>
              </w:rPr>
            </w:pPr>
            <w:r w:rsidRPr="003A49FD">
              <w:rPr>
                <w:sz w:val="20"/>
              </w:rPr>
              <w:t>Dissipative connections in CLT structures, Dissipative connections in framed wall structures, Shear walls in braced frame structures with carpentry connections and interacting masonry infills, Semi-rigid beam-column joints designed in DC2, Dowel-type dissipative connections in braced frame structures, Base connections of vertical cantilever structures</w:t>
            </w:r>
          </w:p>
        </w:tc>
        <w:tc>
          <w:tcPr>
            <w:tcW w:w="851" w:type="dxa"/>
            <w:shd w:val="clear" w:color="auto" w:fill="FFFFFF" w:themeFill="background1"/>
            <w:vAlign w:val="center"/>
          </w:tcPr>
          <w:p w14:paraId="6242DFBF" w14:textId="77777777" w:rsidR="003A49FD" w:rsidRPr="00132C1E" w:rsidRDefault="003A49FD" w:rsidP="002B6C5C">
            <w:pPr>
              <w:keepNext/>
              <w:keepLines/>
              <w:jc w:val="center"/>
              <w:rPr>
                <w:sz w:val="20"/>
              </w:rPr>
            </w:pPr>
            <w:r w:rsidRPr="00132C1E">
              <w:rPr>
                <w:sz w:val="20"/>
              </w:rPr>
              <w:t>1,35</w:t>
            </w:r>
          </w:p>
        </w:tc>
        <w:tc>
          <w:tcPr>
            <w:tcW w:w="851" w:type="dxa"/>
            <w:shd w:val="clear" w:color="auto" w:fill="FFFFFF" w:themeFill="background1"/>
            <w:vAlign w:val="center"/>
          </w:tcPr>
          <w:p w14:paraId="3A8E86F1" w14:textId="77777777" w:rsidR="003A49FD" w:rsidRPr="00132C1E" w:rsidRDefault="003A49FD" w:rsidP="002B6C5C">
            <w:pPr>
              <w:keepNext/>
              <w:keepLines/>
              <w:jc w:val="center"/>
              <w:rPr>
                <w:sz w:val="20"/>
              </w:rPr>
            </w:pPr>
            <w:r w:rsidRPr="00132C1E">
              <w:rPr>
                <w:sz w:val="20"/>
              </w:rPr>
              <w:t>0,90</w:t>
            </w:r>
          </w:p>
        </w:tc>
      </w:tr>
    </w:tbl>
    <w:p w14:paraId="6C060EC6" w14:textId="77777777" w:rsidR="003A49FD" w:rsidRPr="00A21B24" w:rsidRDefault="003A49FD" w:rsidP="003A49FD">
      <w:pPr>
        <w:pStyle w:val="a2"/>
      </w:pPr>
      <w:bookmarkStart w:id="11732" w:name="_Toc108342871"/>
      <w:bookmarkStart w:id="11733" w:name="_Toc134198377"/>
      <w:r>
        <w:rPr>
          <w:bCs/>
        </w:rPr>
        <w:t xml:space="preserve">Resistances of non-dissipative </w:t>
      </w:r>
      <w:r w:rsidRPr="00A21B24">
        <w:rPr>
          <w:bCs/>
        </w:rPr>
        <w:t>timber components for non-linear analysis</w:t>
      </w:r>
      <w:bookmarkEnd w:id="11732"/>
      <w:bookmarkEnd w:id="11733"/>
    </w:p>
    <w:p w14:paraId="3F71C5BB" w14:textId="767E8FAA" w:rsidR="003A49FD" w:rsidRPr="005C7237" w:rsidRDefault="003A49FD" w:rsidP="0080187E">
      <w:pPr>
        <w:pStyle w:val="Clause"/>
        <w:numPr>
          <w:ilvl w:val="0"/>
          <w:numId w:val="259"/>
        </w:numPr>
      </w:pPr>
      <w:r w:rsidRPr="003B48B9">
        <w:t xml:space="preserve">The design resistance of non-dissipative timber components for the verification to SD according to </w:t>
      </w:r>
      <w:r w:rsidRPr="005C7237">
        <w:t>pr</w:t>
      </w:r>
      <w:r w:rsidR="00C30FF9">
        <w:t>EN 1</w:t>
      </w:r>
      <w:r w:rsidRPr="005C7237">
        <w:t>99</w:t>
      </w:r>
      <w:r w:rsidRPr="003A49FD">
        <w:rPr>
          <w:rFonts w:eastAsia="Cambria"/>
        </w:rPr>
        <w:t xml:space="preserve">8-1-1:2022, </w:t>
      </w:r>
      <w:r w:rsidRPr="00B00B3D">
        <w:rPr>
          <w:rFonts w:eastAsia="Cambria"/>
          <w:color w:val="auto"/>
        </w:rPr>
        <w:t>6.7.2(2)</w:t>
      </w:r>
      <w:r w:rsidRPr="00437BD3">
        <w:rPr>
          <w:rFonts w:eastAsia="Cambria"/>
          <w:color w:val="auto"/>
        </w:rPr>
        <w:t>,</w:t>
      </w:r>
      <w:r w:rsidRPr="005C7237">
        <w:t xml:space="preserve"> should be calculated using Formula L.10.</w:t>
      </w:r>
    </w:p>
    <w:p w14:paraId="1348E926" w14:textId="0B65FC66" w:rsidR="003A49FD" w:rsidRPr="006C09CE" w:rsidRDefault="009B5CEC" w:rsidP="003A49FD">
      <w:pPr>
        <w:pStyle w:val="Formula"/>
        <w:spacing w:before="240"/>
      </w:pPr>
      <m:oMath>
        <m:sSub>
          <m:sSubPr>
            <m:ctrlPr>
              <w:rPr>
                <w:rFonts w:ascii="Cambria Math" w:hAnsi="Cambria Math"/>
              </w:rPr>
            </m:ctrlPr>
          </m:sSubPr>
          <m:e>
            <m:r>
              <w:rPr>
                <w:rFonts w:ascii="Cambria Math" w:hAnsi="Cambria Math"/>
              </w:rPr>
              <m:t>V</m:t>
            </m:r>
          </m:e>
          <m:sub>
            <m:r>
              <m:rPr>
                <m:sty m:val="p"/>
              </m:rPr>
              <w:rPr>
                <w:rFonts w:ascii="Cambria Math" w:hAnsi="Cambria Math"/>
              </w:rPr>
              <m:t>Rd,b</m:t>
            </m:r>
          </m:sub>
        </m:sSub>
        <m:r>
          <w:rPr>
            <w:rFonts w:ascii="Cambria Math" w:hAnsi="Cambria Math"/>
          </w:rPr>
          <m:t>=</m:t>
        </m:r>
        <m:sSub>
          <m:sSubPr>
            <m:ctrlPr>
              <w:rPr>
                <w:rFonts w:ascii="Cambria Math" w:hAnsi="Cambria Math"/>
              </w:rPr>
            </m:ctrlPr>
          </m:sSubPr>
          <m:e>
            <m:r>
              <w:rPr>
                <w:rFonts w:ascii="Cambria Math" w:hAnsi="Cambria Math"/>
              </w:rPr>
              <m:t>k</m:t>
            </m:r>
          </m:e>
          <m:sub>
            <m:r>
              <m:rPr>
                <m:sty m:val="p"/>
              </m:rPr>
              <w:rPr>
                <w:rFonts w:ascii="Cambria Math" w:hAnsi="Cambria Math"/>
              </w:rPr>
              <m:t>mod</m:t>
            </m:r>
          </m:sub>
        </m:sSub>
        <m:sSub>
          <m:sSubPr>
            <m:ctrlPr>
              <w:rPr>
                <w:rFonts w:ascii="Cambria Math" w:hAnsi="Cambria Math"/>
              </w:rPr>
            </m:ctrlPr>
          </m:sSubPr>
          <m:e>
            <m:r>
              <w:rPr>
                <w:rFonts w:ascii="Cambria Math" w:hAnsi="Cambria Math"/>
              </w:rPr>
              <m:t>k</m:t>
            </m:r>
          </m:e>
          <m:sub>
            <m:r>
              <w:rPr>
                <w:rFonts w:ascii="Cambria Math" w:hAnsi="Cambria Math"/>
              </w:rPr>
              <m:t>16</m:t>
            </m:r>
          </m:sub>
        </m:sSub>
        <m:sSub>
          <m:sSubPr>
            <m:ctrlPr>
              <w:rPr>
                <w:rFonts w:ascii="Cambria Math" w:hAnsi="Cambria Math"/>
              </w:rPr>
            </m:ctrlPr>
          </m:sSubPr>
          <m:e>
            <m:r>
              <w:rPr>
                <w:rFonts w:ascii="Cambria Math" w:hAnsi="Cambria Math"/>
              </w:rPr>
              <m:t>V</m:t>
            </m:r>
          </m:e>
          <m:sub>
            <m:r>
              <m:rPr>
                <m:sty m:val="p"/>
              </m:rPr>
              <w:rPr>
                <w:rFonts w:ascii="Cambria Math" w:hAnsi="Cambria Math"/>
              </w:rPr>
              <m:t>Rk,b</m:t>
            </m:r>
          </m:sub>
        </m:sSub>
      </m:oMath>
      <w:r w:rsidR="003A49FD" w:rsidRPr="006C09CE">
        <w:tab/>
        <w:t>(</w:t>
      </w:r>
      <w:r w:rsidR="003A49FD">
        <w:t>L</w:t>
      </w:r>
      <w:r w:rsidR="003A49FD" w:rsidRPr="006C09CE">
        <w:t>.</w:t>
      </w:r>
      <w:r w:rsidR="003A49FD">
        <w:t>10</w:t>
      </w:r>
      <w:r w:rsidR="003A49FD" w:rsidRPr="006C09CE">
        <w:t>)</w:t>
      </w:r>
    </w:p>
    <w:p w14:paraId="6F25112C" w14:textId="5579EA17" w:rsidR="003A49FD" w:rsidRDefault="00675EBA" w:rsidP="009611DD">
      <w:pPr>
        <w:pStyle w:val="Text"/>
      </w:pPr>
      <w:r>
        <w:t>where</w:t>
      </w:r>
    </w:p>
    <w:tbl>
      <w:tblPr>
        <w:tblW w:w="0" w:type="auto"/>
        <w:tblInd w:w="346" w:type="dxa"/>
        <w:tblLook w:val="04A0" w:firstRow="1" w:lastRow="0" w:firstColumn="1" w:lastColumn="0" w:noHBand="0" w:noVBand="1"/>
      </w:tblPr>
      <w:tblGrid>
        <w:gridCol w:w="1275"/>
        <w:gridCol w:w="7938"/>
      </w:tblGrid>
      <w:tr w:rsidR="003A49FD" w:rsidRPr="00FF1786" w14:paraId="7AB94179" w14:textId="77777777" w:rsidTr="002B6C5C">
        <w:tc>
          <w:tcPr>
            <w:tcW w:w="1275" w:type="dxa"/>
          </w:tcPr>
          <w:p w14:paraId="7C10B1ED" w14:textId="4B529A12" w:rsidR="003A49FD" w:rsidRPr="00460668" w:rsidRDefault="003A49FD" w:rsidP="002061E5">
            <w:pPr>
              <w:spacing w:after="60"/>
              <w:rPr>
                <w:rFonts w:eastAsia="Times New Roman" w:cs="Cambria"/>
                <w:szCs w:val="20"/>
                <w:lang w:eastAsia="fr-FR"/>
              </w:rPr>
            </w:pPr>
            <w:r w:rsidRPr="005C7237">
              <w:rPr>
                <w:i/>
                <w:iCs/>
              </w:rPr>
              <w:t>V</w:t>
            </w:r>
            <w:r w:rsidRPr="005C7237">
              <w:rPr>
                <w:vertAlign w:val="subscript"/>
              </w:rPr>
              <w:t>Rd,b</w:t>
            </w:r>
          </w:p>
        </w:tc>
        <w:tc>
          <w:tcPr>
            <w:tcW w:w="7938" w:type="dxa"/>
          </w:tcPr>
          <w:p w14:paraId="2786D57F" w14:textId="34538DC7" w:rsidR="003A49FD" w:rsidRPr="006B581F" w:rsidRDefault="003A49FD" w:rsidP="002061E5">
            <w:pPr>
              <w:pStyle w:val="Listofsymbols"/>
              <w:tabs>
                <w:tab w:val="clear" w:pos="1134"/>
                <w:tab w:val="left" w:pos="2481"/>
              </w:tabs>
              <w:ind w:left="0" w:firstLine="0"/>
              <w:rPr>
                <w:szCs w:val="22"/>
              </w:rPr>
            </w:pPr>
            <w:r w:rsidRPr="005C7237">
              <w:t>is the design value of strength of the non-dissipative component;</w:t>
            </w:r>
          </w:p>
        </w:tc>
      </w:tr>
      <w:tr w:rsidR="003A49FD" w:rsidRPr="00FF1786" w14:paraId="223C562C" w14:textId="77777777" w:rsidTr="002B6C5C">
        <w:tc>
          <w:tcPr>
            <w:tcW w:w="1275" w:type="dxa"/>
          </w:tcPr>
          <w:p w14:paraId="3011C514" w14:textId="4F8B34EC" w:rsidR="003A49FD" w:rsidRPr="00A47E27" w:rsidRDefault="003A49FD" w:rsidP="002061E5">
            <w:pPr>
              <w:spacing w:after="60"/>
              <w:rPr>
                <w:sz w:val="20"/>
                <w:lang w:eastAsia="de-DE"/>
              </w:rPr>
            </w:pPr>
            <w:r w:rsidRPr="005C7237">
              <w:rPr>
                <w:i/>
                <w:iCs/>
              </w:rPr>
              <w:t>V</w:t>
            </w:r>
            <w:r w:rsidRPr="005C7237">
              <w:rPr>
                <w:vertAlign w:val="subscript"/>
              </w:rPr>
              <w:t>Rk,b</w:t>
            </w:r>
          </w:p>
        </w:tc>
        <w:tc>
          <w:tcPr>
            <w:tcW w:w="7938" w:type="dxa"/>
          </w:tcPr>
          <w:p w14:paraId="34C26F80" w14:textId="02826AFA" w:rsidR="003A49FD" w:rsidRPr="009611DD" w:rsidRDefault="003A49FD" w:rsidP="002061E5">
            <w:pPr>
              <w:pStyle w:val="Listofsymbols"/>
              <w:tabs>
                <w:tab w:val="clear" w:pos="1134"/>
                <w:tab w:val="left" w:pos="2481"/>
              </w:tabs>
              <w:ind w:left="0" w:firstLine="0"/>
            </w:pPr>
            <w:r w:rsidRPr="009611DD">
              <w:t xml:space="preserve">is the characteristic value of strength of the non-dissipative component, according to </w:t>
            </w:r>
            <w:r w:rsidR="007F3697" w:rsidRPr="009611DD">
              <w:t>prEN </w:t>
            </w:r>
            <w:r w:rsidR="006067DF">
              <w:t>1995-1-1:2023</w:t>
            </w:r>
            <w:r w:rsidRPr="009611DD">
              <w:t xml:space="preserve">, </w:t>
            </w:r>
            <w:r w:rsidR="000E61CC">
              <w:t xml:space="preserve">Clauses </w:t>
            </w:r>
            <w:r w:rsidRPr="009611DD">
              <w:t>8, 11 and 12;</w:t>
            </w:r>
          </w:p>
        </w:tc>
      </w:tr>
      <w:tr w:rsidR="003A49FD" w:rsidRPr="00FF1786" w14:paraId="21DA5E50" w14:textId="77777777" w:rsidTr="002B6C5C">
        <w:tc>
          <w:tcPr>
            <w:tcW w:w="1275" w:type="dxa"/>
          </w:tcPr>
          <w:p w14:paraId="7FC29332" w14:textId="791A2092" w:rsidR="003A49FD" w:rsidRPr="00132C1E" w:rsidRDefault="003A49FD" w:rsidP="002061E5">
            <w:pPr>
              <w:spacing w:after="60"/>
              <w:rPr>
                <w:i/>
                <w:iCs/>
              </w:rPr>
            </w:pPr>
            <w:r w:rsidRPr="005C7237">
              <w:rPr>
                <w:i/>
              </w:rPr>
              <w:t>k</w:t>
            </w:r>
            <w:r w:rsidRPr="005C7237">
              <w:rPr>
                <w:vertAlign w:val="subscript"/>
              </w:rPr>
              <w:t>mod</w:t>
            </w:r>
          </w:p>
        </w:tc>
        <w:tc>
          <w:tcPr>
            <w:tcW w:w="7938" w:type="dxa"/>
          </w:tcPr>
          <w:p w14:paraId="6695F4BA" w14:textId="1C6F7CD1" w:rsidR="003A49FD" w:rsidRPr="009611DD" w:rsidRDefault="003A49FD" w:rsidP="002061E5">
            <w:pPr>
              <w:pStyle w:val="Listofsymbols"/>
              <w:tabs>
                <w:tab w:val="clear" w:pos="1134"/>
                <w:tab w:val="left" w:pos="2481"/>
              </w:tabs>
              <w:ind w:left="0" w:firstLine="0"/>
              <w:rPr>
                <w:szCs w:val="24"/>
              </w:rPr>
            </w:pPr>
            <w:r w:rsidRPr="009611DD">
              <w:t xml:space="preserve">is the modification factor for duration of load and moisture content according to </w:t>
            </w:r>
            <w:r w:rsidR="007F3697" w:rsidRPr="009611DD">
              <w:t>prEN </w:t>
            </w:r>
            <w:r w:rsidR="006067DF">
              <w:t>1995-1-1:2023</w:t>
            </w:r>
            <w:r w:rsidRPr="009611DD">
              <w:t>, 5.1.3, Table 5.1;</w:t>
            </w:r>
          </w:p>
        </w:tc>
      </w:tr>
      <w:tr w:rsidR="003A49FD" w:rsidRPr="00FF1786" w14:paraId="239CDF37" w14:textId="77777777" w:rsidTr="002B6C5C">
        <w:tc>
          <w:tcPr>
            <w:tcW w:w="1275" w:type="dxa"/>
          </w:tcPr>
          <w:p w14:paraId="0251FBE8" w14:textId="09B98540" w:rsidR="003A49FD" w:rsidRPr="005C7237" w:rsidRDefault="003A49FD" w:rsidP="002061E5">
            <w:pPr>
              <w:spacing w:after="60"/>
              <w:rPr>
                <w:i/>
              </w:rPr>
            </w:pPr>
            <w:r w:rsidRPr="005C7237">
              <w:rPr>
                <w:i/>
              </w:rPr>
              <w:t>k</w:t>
            </w:r>
            <w:r w:rsidRPr="005C7237">
              <w:rPr>
                <w:vertAlign w:val="subscript"/>
              </w:rPr>
              <w:t>16</w:t>
            </w:r>
          </w:p>
        </w:tc>
        <w:tc>
          <w:tcPr>
            <w:tcW w:w="7938" w:type="dxa"/>
          </w:tcPr>
          <w:p w14:paraId="1E399F31" w14:textId="1EC4853B" w:rsidR="003A49FD" w:rsidRPr="00132C1E" w:rsidRDefault="003A49FD" w:rsidP="002061E5">
            <w:pPr>
              <w:pStyle w:val="Listofsymbols"/>
              <w:tabs>
                <w:tab w:val="clear" w:pos="1134"/>
                <w:tab w:val="left" w:pos="2481"/>
              </w:tabs>
              <w:ind w:left="0" w:firstLine="0"/>
            </w:pPr>
            <w:r w:rsidRPr="005C7237">
              <w:t>is the ratio between the 16</w:t>
            </w:r>
            <w:r w:rsidRPr="005C7237">
              <w:rPr>
                <w:vertAlign w:val="superscript"/>
              </w:rPr>
              <w:t>th</w:t>
            </w:r>
            <w:r w:rsidRPr="005C7237">
              <w:t xml:space="preserve"> and the 5</w:t>
            </w:r>
            <w:r w:rsidRPr="005C7237">
              <w:rPr>
                <w:vertAlign w:val="superscript"/>
              </w:rPr>
              <w:t>th</w:t>
            </w:r>
            <w:r w:rsidRPr="005C7237">
              <w:t xml:space="preserve"> percentiles of the resistance distribution, given in Table L.3.</w:t>
            </w:r>
          </w:p>
        </w:tc>
      </w:tr>
    </w:tbl>
    <w:p w14:paraId="38EC1B16" w14:textId="77777777" w:rsidR="003A49FD" w:rsidRPr="00437BD3" w:rsidRDefault="003A49FD" w:rsidP="00437BD3">
      <w:pPr>
        <w:pStyle w:val="Notetext"/>
      </w:pPr>
      <w:r w:rsidRPr="00437BD3">
        <w:t>NOTE</w:t>
      </w:r>
      <w:r w:rsidRPr="00437BD3">
        <w:tab/>
        <w:t>Formula (L.10) corresponds to 6.2.3(3).</w:t>
      </w:r>
    </w:p>
    <w:p w14:paraId="54D7DC1B" w14:textId="548F33AB" w:rsidR="003A49FD" w:rsidRPr="005C7237" w:rsidRDefault="003A49FD" w:rsidP="0080187E">
      <w:pPr>
        <w:pStyle w:val="Clause"/>
        <w:numPr>
          <w:ilvl w:val="0"/>
          <w:numId w:val="259"/>
        </w:numPr>
      </w:pPr>
      <w:r w:rsidRPr="005C7237">
        <w:t>The design resistance of non-dissipative timber components for the verification to NC according to pr</w:t>
      </w:r>
      <w:r w:rsidR="00C30FF9">
        <w:t>EN 1</w:t>
      </w:r>
      <w:r w:rsidRPr="005C7237">
        <w:t>99</w:t>
      </w:r>
      <w:r w:rsidRPr="005C7237">
        <w:rPr>
          <w:rFonts w:eastAsia="Cambria"/>
        </w:rPr>
        <w:t xml:space="preserve">8-1-1:2022, </w:t>
      </w:r>
      <w:r w:rsidRPr="00B00B3D">
        <w:rPr>
          <w:rFonts w:eastAsia="Cambria"/>
        </w:rPr>
        <w:t>6.7.3(3)</w:t>
      </w:r>
      <w:r w:rsidRPr="005C7237">
        <w:rPr>
          <w:rFonts w:eastAsia="Cambria"/>
        </w:rPr>
        <w:t>,</w:t>
      </w:r>
      <w:r w:rsidRPr="005C7237">
        <w:t xml:space="preserve"> may be calculated using Formula L.10.</w:t>
      </w:r>
    </w:p>
    <w:p w14:paraId="7823CBBA" w14:textId="6243AFCE" w:rsidR="003A49FD" w:rsidRPr="002B6C5C" w:rsidRDefault="003A49FD" w:rsidP="00437BD3">
      <w:pPr>
        <w:pStyle w:val="Tabletitle"/>
        <w:rPr>
          <w:szCs w:val="22"/>
        </w:rPr>
      </w:pPr>
      <w:r w:rsidRPr="00437BD3">
        <w:t>Table L.3 — Values of the ratio between the 16</w:t>
      </w:r>
      <w:r w:rsidR="007B4B39" w:rsidRPr="007B4B39">
        <w:rPr>
          <w:vertAlign w:val="superscript"/>
        </w:rPr>
        <w:t>th</w:t>
      </w:r>
      <w:r w:rsidR="007B4B39">
        <w:t xml:space="preserve"> </w:t>
      </w:r>
      <w:r w:rsidRPr="00437BD3">
        <w:t>and the 5</w:t>
      </w:r>
      <w:r w:rsidR="007B4B39" w:rsidRPr="007B4B39">
        <w:rPr>
          <w:vertAlign w:val="superscript"/>
        </w:rPr>
        <w:t>th</w:t>
      </w:r>
      <w:r w:rsidR="007B4B39">
        <w:t xml:space="preserve"> </w:t>
      </w:r>
      <w:r w:rsidRPr="00437BD3">
        <w:t xml:space="preserve">percentile of the strength </w:t>
      </w:r>
      <w:r w:rsidRPr="002B6C5C">
        <w:rPr>
          <w:szCs w:val="22"/>
        </w:rPr>
        <w:t xml:space="preserve">distribution, </w:t>
      </w:r>
      <w:r w:rsidRPr="002B6C5C">
        <w:rPr>
          <w:i/>
          <w:iCs/>
          <w:szCs w:val="22"/>
        </w:rPr>
        <w:t>k</w:t>
      </w:r>
      <w:r w:rsidRPr="002B6C5C">
        <w:rPr>
          <w:szCs w:val="22"/>
          <w:vertAlign w:val="subscript"/>
        </w:rPr>
        <w:t>16</w:t>
      </w:r>
    </w:p>
    <w:tbl>
      <w:tblPr>
        <w:tblStyle w:val="TableGrid"/>
        <w:tblW w:w="0" w:type="auto"/>
        <w:jc w:val="center"/>
        <w:shd w:val="clear" w:color="auto" w:fill="FFFFFF" w:themeFill="background1"/>
        <w:tblLook w:val="04A0" w:firstRow="1" w:lastRow="0" w:firstColumn="1" w:lastColumn="0" w:noHBand="0" w:noVBand="1"/>
      </w:tblPr>
      <w:tblGrid>
        <w:gridCol w:w="7301"/>
        <w:gridCol w:w="851"/>
      </w:tblGrid>
      <w:tr w:rsidR="003A49FD" w:rsidRPr="002B6C5C" w14:paraId="39F223B2" w14:textId="77777777" w:rsidTr="002061E5">
        <w:trPr>
          <w:jc w:val="center"/>
        </w:trPr>
        <w:tc>
          <w:tcPr>
            <w:tcW w:w="7301" w:type="dxa"/>
            <w:shd w:val="clear" w:color="auto" w:fill="FFFFFF" w:themeFill="background1"/>
          </w:tcPr>
          <w:p w14:paraId="104B8932" w14:textId="77777777" w:rsidR="003A49FD" w:rsidRPr="002B6C5C" w:rsidRDefault="003A49FD" w:rsidP="0025095B">
            <w:pPr>
              <w:spacing w:after="60"/>
              <w:rPr>
                <w:b/>
              </w:rPr>
            </w:pPr>
            <w:r w:rsidRPr="002B6C5C">
              <w:rPr>
                <w:b/>
              </w:rPr>
              <w:t>Type of product</w:t>
            </w:r>
          </w:p>
        </w:tc>
        <w:tc>
          <w:tcPr>
            <w:tcW w:w="851" w:type="dxa"/>
            <w:shd w:val="clear" w:color="auto" w:fill="FFFFFF" w:themeFill="background1"/>
            <w:vAlign w:val="center"/>
          </w:tcPr>
          <w:p w14:paraId="3CDB08EC" w14:textId="77777777" w:rsidR="003A49FD" w:rsidRPr="002B6C5C" w:rsidRDefault="003A49FD" w:rsidP="0025095B">
            <w:pPr>
              <w:spacing w:after="60"/>
              <w:jc w:val="center"/>
              <w:rPr>
                <w:b/>
              </w:rPr>
            </w:pPr>
            <w:r w:rsidRPr="002B6C5C">
              <w:rPr>
                <w:b/>
                <w:i/>
              </w:rPr>
              <w:t>k</w:t>
            </w:r>
            <w:r w:rsidRPr="002B6C5C">
              <w:rPr>
                <w:b/>
                <w:vertAlign w:val="subscript"/>
              </w:rPr>
              <w:t>16</w:t>
            </w:r>
          </w:p>
        </w:tc>
      </w:tr>
      <w:tr w:rsidR="003A49FD" w:rsidRPr="002B6C5C" w14:paraId="4020ECA0" w14:textId="77777777" w:rsidTr="002061E5">
        <w:trPr>
          <w:jc w:val="center"/>
        </w:trPr>
        <w:tc>
          <w:tcPr>
            <w:tcW w:w="7301" w:type="dxa"/>
            <w:shd w:val="clear" w:color="auto" w:fill="FFFFFF" w:themeFill="background1"/>
          </w:tcPr>
          <w:p w14:paraId="195034F7" w14:textId="77777777" w:rsidR="003A49FD" w:rsidRPr="002B6C5C" w:rsidRDefault="003A49FD" w:rsidP="0025095B">
            <w:pPr>
              <w:spacing w:after="60"/>
            </w:pPr>
            <w:r w:rsidRPr="002B6C5C">
              <w:t>Solid timber</w:t>
            </w:r>
          </w:p>
        </w:tc>
        <w:tc>
          <w:tcPr>
            <w:tcW w:w="851" w:type="dxa"/>
            <w:shd w:val="clear" w:color="auto" w:fill="FFFFFF" w:themeFill="background1"/>
            <w:vAlign w:val="center"/>
          </w:tcPr>
          <w:p w14:paraId="350C9E47" w14:textId="77777777" w:rsidR="003A49FD" w:rsidRPr="002B6C5C" w:rsidRDefault="003A49FD" w:rsidP="0025095B">
            <w:pPr>
              <w:spacing w:after="60"/>
              <w:jc w:val="center"/>
            </w:pPr>
            <w:r w:rsidRPr="002B6C5C">
              <w:t>1,25</w:t>
            </w:r>
          </w:p>
        </w:tc>
      </w:tr>
      <w:tr w:rsidR="003A49FD" w:rsidRPr="002B6C5C" w14:paraId="0AF3D61A" w14:textId="77777777" w:rsidTr="002061E5">
        <w:trPr>
          <w:jc w:val="center"/>
        </w:trPr>
        <w:tc>
          <w:tcPr>
            <w:tcW w:w="7301" w:type="dxa"/>
            <w:shd w:val="clear" w:color="auto" w:fill="FFFFFF" w:themeFill="background1"/>
          </w:tcPr>
          <w:p w14:paraId="4A228001" w14:textId="77777777" w:rsidR="003A49FD" w:rsidRPr="002B6C5C" w:rsidRDefault="003A49FD" w:rsidP="0025095B">
            <w:pPr>
              <w:spacing w:after="60"/>
            </w:pPr>
            <w:r w:rsidRPr="002B6C5C">
              <w:t>Glulam, CLT</w:t>
            </w:r>
          </w:p>
        </w:tc>
        <w:tc>
          <w:tcPr>
            <w:tcW w:w="851" w:type="dxa"/>
            <w:shd w:val="clear" w:color="auto" w:fill="FFFFFF" w:themeFill="background1"/>
            <w:vAlign w:val="center"/>
          </w:tcPr>
          <w:p w14:paraId="289583F3" w14:textId="77777777" w:rsidR="003A49FD" w:rsidRPr="002B6C5C" w:rsidRDefault="003A49FD" w:rsidP="0025095B">
            <w:pPr>
              <w:spacing w:after="60"/>
              <w:jc w:val="center"/>
            </w:pPr>
            <w:r w:rsidRPr="002B6C5C">
              <w:t>1,15</w:t>
            </w:r>
          </w:p>
        </w:tc>
      </w:tr>
      <w:tr w:rsidR="003A49FD" w:rsidRPr="002B6C5C" w14:paraId="34E0F59A" w14:textId="77777777" w:rsidTr="002061E5">
        <w:trPr>
          <w:jc w:val="center"/>
        </w:trPr>
        <w:tc>
          <w:tcPr>
            <w:tcW w:w="7301" w:type="dxa"/>
            <w:shd w:val="clear" w:color="auto" w:fill="FFFFFF" w:themeFill="background1"/>
          </w:tcPr>
          <w:p w14:paraId="4769483C" w14:textId="77777777" w:rsidR="003A49FD" w:rsidRPr="002B6C5C" w:rsidRDefault="003A49FD" w:rsidP="0025095B">
            <w:pPr>
              <w:spacing w:after="60"/>
            </w:pPr>
            <w:r w:rsidRPr="002B6C5C">
              <w:t>Wood-based panels</w:t>
            </w:r>
          </w:p>
        </w:tc>
        <w:tc>
          <w:tcPr>
            <w:tcW w:w="851" w:type="dxa"/>
            <w:shd w:val="clear" w:color="auto" w:fill="FFFFFF" w:themeFill="background1"/>
            <w:vAlign w:val="center"/>
          </w:tcPr>
          <w:p w14:paraId="2D0506C1" w14:textId="77777777" w:rsidR="003A49FD" w:rsidRPr="002B6C5C" w:rsidRDefault="003A49FD" w:rsidP="0025095B">
            <w:pPr>
              <w:spacing w:after="60"/>
              <w:jc w:val="center"/>
            </w:pPr>
            <w:r w:rsidRPr="002B6C5C">
              <w:t>1,15</w:t>
            </w:r>
          </w:p>
        </w:tc>
      </w:tr>
      <w:tr w:rsidR="003A49FD" w:rsidRPr="002B6C5C" w14:paraId="67D383D3" w14:textId="77777777" w:rsidTr="002061E5">
        <w:trPr>
          <w:jc w:val="center"/>
        </w:trPr>
        <w:tc>
          <w:tcPr>
            <w:tcW w:w="7301" w:type="dxa"/>
            <w:shd w:val="clear" w:color="auto" w:fill="FFFFFF" w:themeFill="background1"/>
          </w:tcPr>
          <w:p w14:paraId="353AE678" w14:textId="77777777" w:rsidR="003A49FD" w:rsidRPr="002B6C5C" w:rsidRDefault="003A49FD" w:rsidP="0025095B">
            <w:pPr>
              <w:spacing w:after="60"/>
            </w:pPr>
            <w:r w:rsidRPr="002B6C5C">
              <w:t>LVL, GLVL</w:t>
            </w:r>
          </w:p>
        </w:tc>
        <w:tc>
          <w:tcPr>
            <w:tcW w:w="851" w:type="dxa"/>
            <w:shd w:val="clear" w:color="auto" w:fill="FFFFFF" w:themeFill="background1"/>
            <w:vAlign w:val="center"/>
          </w:tcPr>
          <w:p w14:paraId="2FA8550C" w14:textId="77777777" w:rsidR="003A49FD" w:rsidRPr="002B6C5C" w:rsidRDefault="003A49FD" w:rsidP="0025095B">
            <w:pPr>
              <w:spacing w:after="60"/>
              <w:jc w:val="center"/>
            </w:pPr>
            <w:r w:rsidRPr="002B6C5C">
              <w:t>1,10</w:t>
            </w:r>
          </w:p>
        </w:tc>
      </w:tr>
      <w:tr w:rsidR="003A49FD" w:rsidRPr="002B6C5C" w14:paraId="5D8D9E78" w14:textId="77777777" w:rsidTr="002061E5">
        <w:trPr>
          <w:jc w:val="center"/>
        </w:trPr>
        <w:tc>
          <w:tcPr>
            <w:tcW w:w="7301" w:type="dxa"/>
            <w:shd w:val="clear" w:color="auto" w:fill="FFFFFF" w:themeFill="background1"/>
          </w:tcPr>
          <w:p w14:paraId="38752705" w14:textId="77777777" w:rsidR="003A49FD" w:rsidRPr="002B6C5C" w:rsidRDefault="003A49FD" w:rsidP="0025095B">
            <w:pPr>
              <w:spacing w:after="60"/>
            </w:pPr>
            <w:r w:rsidRPr="002B6C5C">
              <w:t>Connections with laterally loaded fasteners with side members of wood and wood-based panels</w:t>
            </w:r>
          </w:p>
        </w:tc>
        <w:tc>
          <w:tcPr>
            <w:tcW w:w="851" w:type="dxa"/>
            <w:shd w:val="clear" w:color="auto" w:fill="FFFFFF" w:themeFill="background1"/>
            <w:vAlign w:val="center"/>
          </w:tcPr>
          <w:p w14:paraId="0166BDD7" w14:textId="77777777" w:rsidR="003A49FD" w:rsidRPr="002B6C5C" w:rsidRDefault="003A49FD" w:rsidP="0025095B">
            <w:pPr>
              <w:spacing w:after="60"/>
              <w:jc w:val="center"/>
            </w:pPr>
            <w:r w:rsidRPr="002B6C5C">
              <w:t>1,15</w:t>
            </w:r>
          </w:p>
        </w:tc>
      </w:tr>
      <w:tr w:rsidR="003A49FD" w:rsidRPr="002B6C5C" w14:paraId="6DE5B17C" w14:textId="77777777" w:rsidTr="002061E5">
        <w:trPr>
          <w:jc w:val="center"/>
        </w:trPr>
        <w:tc>
          <w:tcPr>
            <w:tcW w:w="7301" w:type="dxa"/>
            <w:shd w:val="clear" w:color="auto" w:fill="FFFFFF" w:themeFill="background1"/>
          </w:tcPr>
          <w:p w14:paraId="1D0558BC" w14:textId="77777777" w:rsidR="003A49FD" w:rsidRPr="002B6C5C" w:rsidRDefault="003A49FD" w:rsidP="0025095B">
            <w:pPr>
              <w:spacing w:after="60"/>
            </w:pPr>
            <w:r w:rsidRPr="002B6C5C">
              <w:t>Connections with laterally loaded fasteners with side members of steel</w:t>
            </w:r>
          </w:p>
        </w:tc>
        <w:tc>
          <w:tcPr>
            <w:tcW w:w="851" w:type="dxa"/>
            <w:shd w:val="clear" w:color="auto" w:fill="FFFFFF" w:themeFill="background1"/>
            <w:vAlign w:val="center"/>
          </w:tcPr>
          <w:p w14:paraId="7129DBE4" w14:textId="77777777" w:rsidR="003A49FD" w:rsidRPr="002B6C5C" w:rsidRDefault="003A49FD" w:rsidP="0025095B">
            <w:pPr>
              <w:spacing w:after="60"/>
              <w:jc w:val="center"/>
            </w:pPr>
            <w:r w:rsidRPr="002B6C5C">
              <w:t>1,05</w:t>
            </w:r>
          </w:p>
        </w:tc>
      </w:tr>
      <w:tr w:rsidR="003A49FD" w:rsidRPr="002B6C5C" w14:paraId="1FE5B068" w14:textId="77777777" w:rsidTr="002061E5">
        <w:trPr>
          <w:jc w:val="center"/>
        </w:trPr>
        <w:tc>
          <w:tcPr>
            <w:tcW w:w="7301" w:type="dxa"/>
            <w:shd w:val="clear" w:color="auto" w:fill="FFFFFF" w:themeFill="background1"/>
          </w:tcPr>
          <w:p w14:paraId="1FD6E566" w14:textId="77777777" w:rsidR="003A49FD" w:rsidRPr="002B6C5C" w:rsidRDefault="003A49FD" w:rsidP="0025095B">
            <w:pPr>
              <w:spacing w:after="60"/>
            </w:pPr>
            <w:r w:rsidRPr="002B6C5C">
              <w:t xml:space="preserve">Connections with axially loaded fasteners </w:t>
            </w:r>
          </w:p>
        </w:tc>
        <w:tc>
          <w:tcPr>
            <w:tcW w:w="851" w:type="dxa"/>
            <w:shd w:val="clear" w:color="auto" w:fill="FFFFFF" w:themeFill="background1"/>
            <w:vAlign w:val="center"/>
          </w:tcPr>
          <w:p w14:paraId="122B3D91" w14:textId="77777777" w:rsidR="003A49FD" w:rsidRPr="002B6C5C" w:rsidRDefault="003A49FD" w:rsidP="0025095B">
            <w:pPr>
              <w:spacing w:after="60"/>
              <w:jc w:val="center"/>
            </w:pPr>
            <w:r w:rsidRPr="002B6C5C">
              <w:t>1,05</w:t>
            </w:r>
          </w:p>
        </w:tc>
      </w:tr>
    </w:tbl>
    <w:p w14:paraId="49AD3942" w14:textId="77777777" w:rsidR="003A49FD" w:rsidRPr="00D1484A" w:rsidRDefault="003A49FD" w:rsidP="003A49FD">
      <w:pPr>
        <w:rPr>
          <w:rFonts w:eastAsia="TimesNewRoman"/>
        </w:rPr>
      </w:pPr>
    </w:p>
    <w:p w14:paraId="14BFE00B" w14:textId="3A3447BC" w:rsidR="00437BD3" w:rsidRPr="00132C1E" w:rsidRDefault="00437BD3" w:rsidP="00437BD3">
      <w:pPr>
        <w:pStyle w:val="ANNEX"/>
        <w:tabs>
          <w:tab w:val="clear" w:pos="360"/>
        </w:tabs>
        <w:spacing w:before="0" w:after="120"/>
        <w:rPr>
          <w:lang w:eastAsia="en-US"/>
        </w:rPr>
      </w:pPr>
      <w:r>
        <w:br/>
      </w:r>
      <w:bookmarkStart w:id="11734" w:name="_Toc134198378"/>
      <w:r w:rsidRPr="00560D4A">
        <w:rPr>
          <w:b w:val="0"/>
          <w:bCs/>
        </w:rPr>
        <w:t>(informative)</w:t>
      </w:r>
      <w:r w:rsidR="00D4445A">
        <w:rPr>
          <w:b w:val="0"/>
          <w:bCs/>
        </w:rPr>
        <w:br/>
      </w:r>
      <w:r w:rsidRPr="00132C1E">
        <w:br/>
      </w:r>
      <w:r w:rsidRPr="00FD17CF">
        <w:rPr>
          <w:rFonts w:eastAsia="Cambria"/>
          <w:bCs/>
          <w:color w:val="000000" w:themeColor="text1"/>
          <w:sz w:val="28"/>
          <w:szCs w:val="28"/>
        </w:rPr>
        <w:t xml:space="preserve">Material or product properties in </w:t>
      </w:r>
      <w:r w:rsidR="00C30FF9">
        <w:rPr>
          <w:rFonts w:eastAsia="Cambria"/>
          <w:bCs/>
          <w:color w:val="000000" w:themeColor="text1"/>
          <w:sz w:val="28"/>
          <w:szCs w:val="28"/>
        </w:rPr>
        <w:t>EN 1</w:t>
      </w:r>
      <w:r>
        <w:rPr>
          <w:rFonts w:eastAsia="Cambria"/>
          <w:bCs/>
          <w:color w:val="000000" w:themeColor="text1"/>
          <w:sz w:val="28"/>
          <w:szCs w:val="28"/>
        </w:rPr>
        <w:t>99</w:t>
      </w:r>
      <w:r w:rsidRPr="00FD17CF">
        <w:rPr>
          <w:rFonts w:eastAsia="Cambria"/>
          <w:bCs/>
          <w:color w:val="000000" w:themeColor="text1"/>
          <w:sz w:val="28"/>
          <w:szCs w:val="28"/>
        </w:rPr>
        <w:t>8-1-2</w:t>
      </w:r>
      <w:bookmarkEnd w:id="11734"/>
    </w:p>
    <w:p w14:paraId="1255D761" w14:textId="3469CCF4" w:rsidR="00437BD3" w:rsidRPr="002144A0" w:rsidRDefault="007B4B39" w:rsidP="00437BD3">
      <w:pPr>
        <w:pStyle w:val="a2"/>
      </w:pPr>
      <w:bookmarkStart w:id="11735" w:name="_Toc70887260"/>
      <w:bookmarkStart w:id="11736" w:name="_Toc108342873"/>
      <w:bookmarkStart w:id="11737" w:name="_Toc134198379"/>
      <w:r>
        <w:t>U</w:t>
      </w:r>
      <w:r w:rsidR="00437BD3" w:rsidRPr="002144A0">
        <w:t>se of this annex</w:t>
      </w:r>
      <w:bookmarkEnd w:id="11735"/>
      <w:bookmarkEnd w:id="11736"/>
      <w:bookmarkEnd w:id="11737"/>
    </w:p>
    <w:p w14:paraId="02345971" w14:textId="59D1ADF8" w:rsidR="00437BD3" w:rsidRPr="000C3552" w:rsidRDefault="00437BD3" w:rsidP="0080187E">
      <w:pPr>
        <w:pStyle w:val="Clause"/>
        <w:numPr>
          <w:ilvl w:val="0"/>
          <w:numId w:val="260"/>
        </w:numPr>
      </w:pPr>
      <w:r w:rsidRPr="000C3552">
        <w:t xml:space="preserve">This </w:t>
      </w:r>
      <w:r w:rsidRPr="00677EB6">
        <w:t xml:space="preserve">Informative </w:t>
      </w:r>
      <w:r w:rsidRPr="000C3552">
        <w:t xml:space="preserve">Annex contains additional provisions to </w:t>
      </w:r>
      <w:r w:rsidR="00C30FF9">
        <w:t>EN 1</w:t>
      </w:r>
      <w:r>
        <w:t>99</w:t>
      </w:r>
      <w:r w:rsidRPr="000C3552">
        <w:t>8-1-2.</w:t>
      </w:r>
    </w:p>
    <w:p w14:paraId="2D57F62E" w14:textId="1C3BE023" w:rsidR="00437BD3" w:rsidRPr="000C3552" w:rsidRDefault="00437BD3" w:rsidP="00437BD3">
      <w:pPr>
        <w:pStyle w:val="Notetext"/>
      </w:pPr>
      <w:r w:rsidRPr="000C3552">
        <w:t>NOTE</w:t>
      </w:r>
      <w:r>
        <w:tab/>
      </w:r>
      <w:r w:rsidRPr="000C3552">
        <w:t>National choice on the application of this Informative Annex is given in the National Annex. If the National Annex contains no information on the application of this Informative Annex, it can be used.</w:t>
      </w:r>
    </w:p>
    <w:p w14:paraId="228C0A0C" w14:textId="30C2DC80" w:rsidR="00437BD3" w:rsidRPr="00132C1E" w:rsidRDefault="00437BD3" w:rsidP="00437BD3">
      <w:pPr>
        <w:pStyle w:val="a2"/>
      </w:pPr>
      <w:r w:rsidRPr="00132C1E">
        <w:t xml:space="preserve"> </w:t>
      </w:r>
      <w:bookmarkStart w:id="11738" w:name="_Toc70887261"/>
      <w:bookmarkStart w:id="11739" w:name="_Toc108342874"/>
      <w:bookmarkStart w:id="11740" w:name="_Toc134198380"/>
      <w:r w:rsidRPr="00132C1E">
        <w:t>Scope</w:t>
      </w:r>
      <w:bookmarkEnd w:id="11738"/>
      <w:bookmarkEnd w:id="11739"/>
      <w:r w:rsidR="007B4B39">
        <w:t xml:space="preserve"> and field of application</w:t>
      </w:r>
      <w:bookmarkEnd w:id="11740"/>
    </w:p>
    <w:p w14:paraId="716A35D7" w14:textId="52605DDE" w:rsidR="00437BD3" w:rsidRPr="00132C1E" w:rsidRDefault="00437BD3" w:rsidP="0080187E">
      <w:pPr>
        <w:pStyle w:val="Clause"/>
        <w:numPr>
          <w:ilvl w:val="0"/>
          <w:numId w:val="261"/>
        </w:numPr>
      </w:pPr>
      <w:r w:rsidRPr="00132C1E">
        <w:t>Annex</w:t>
      </w:r>
      <w:r>
        <w:t xml:space="preserve"> M</w:t>
      </w:r>
      <w:r w:rsidRPr="00132C1E">
        <w:t xml:space="preserve"> covers guidance for material and product specifications used in </w:t>
      </w:r>
      <w:r w:rsidR="00C30FF9">
        <w:t>EN 1</w:t>
      </w:r>
      <w:r>
        <w:t>99</w:t>
      </w:r>
      <w:r w:rsidRPr="00132C1E">
        <w:t>8-1-2.</w:t>
      </w:r>
    </w:p>
    <w:p w14:paraId="12A05DE3" w14:textId="7BF4086B" w:rsidR="00437BD3" w:rsidRPr="00132C1E" w:rsidRDefault="00437BD3" w:rsidP="0080187E">
      <w:pPr>
        <w:pStyle w:val="Clause"/>
        <w:numPr>
          <w:ilvl w:val="0"/>
          <w:numId w:val="260"/>
        </w:numPr>
      </w:pPr>
      <w:r w:rsidRPr="00132C1E">
        <w:t xml:space="preserve">Table M.1 gives the list of properties of structural elements and antiseismic devices used in </w:t>
      </w:r>
      <w:r w:rsidR="00C30FF9">
        <w:t>EN 1</w:t>
      </w:r>
      <w:r>
        <w:t>99</w:t>
      </w:r>
      <w:r w:rsidRPr="00132C1E">
        <w:t>8</w:t>
      </w:r>
      <w:r w:rsidR="002B6C5C">
        <w:noBreakHyphen/>
      </w:r>
      <w:r w:rsidRPr="00132C1E">
        <w:t>1-2 and the related normative references.</w:t>
      </w:r>
    </w:p>
    <w:p w14:paraId="2D3E8CC8" w14:textId="7A3B4716" w:rsidR="00437BD3" w:rsidRPr="00132C1E" w:rsidRDefault="00437BD3" w:rsidP="00437BD3">
      <w:pPr>
        <w:pStyle w:val="Tabletitle"/>
      </w:pPr>
      <w:r w:rsidRPr="00132C1E">
        <w:t xml:space="preserve">Table M1 </w:t>
      </w:r>
      <w:r w:rsidRPr="00132C1E">
        <w:rPr>
          <w:rFonts w:ascii="Symbol" w:eastAsia="Symbol" w:hAnsi="Symbol" w:cs="Symbol"/>
        </w:rPr>
        <w:t></w:t>
      </w:r>
      <w:r w:rsidRPr="00132C1E">
        <w:t xml:space="preserve"> List of properties used in </w:t>
      </w:r>
      <w:r w:rsidR="00C30FF9">
        <w:t>EN 1</w:t>
      </w:r>
      <w:r>
        <w:t>99</w:t>
      </w:r>
      <w:r w:rsidRPr="00132C1E">
        <w:t>8-1-2 and related normative references</w:t>
      </w:r>
    </w:p>
    <w:tbl>
      <w:tblPr>
        <w:tblStyle w:val="TableGrid"/>
        <w:tblW w:w="9771" w:type="dxa"/>
        <w:tblLayout w:type="fixed"/>
        <w:tblLook w:val="06A0" w:firstRow="1" w:lastRow="0" w:firstColumn="1" w:lastColumn="0" w:noHBand="1" w:noVBand="1"/>
      </w:tblPr>
      <w:tblGrid>
        <w:gridCol w:w="1833"/>
        <w:gridCol w:w="2410"/>
        <w:gridCol w:w="2219"/>
        <w:gridCol w:w="1750"/>
        <w:gridCol w:w="1559"/>
      </w:tblGrid>
      <w:tr w:rsidR="00437BD3" w:rsidRPr="00132C1E" w14:paraId="45A63A2C" w14:textId="77777777" w:rsidTr="002B6C5C">
        <w:trPr>
          <w:tblHeader/>
        </w:trPr>
        <w:tc>
          <w:tcPr>
            <w:tcW w:w="1833" w:type="dxa"/>
            <w:tcBorders>
              <w:top w:val="single" w:sz="8" w:space="0" w:color="auto"/>
              <w:left w:val="single" w:sz="8" w:space="0" w:color="auto"/>
              <w:bottom w:val="single" w:sz="8" w:space="0" w:color="auto"/>
              <w:right w:val="single" w:sz="8" w:space="0" w:color="auto"/>
            </w:tcBorders>
            <w:vAlign w:val="center"/>
          </w:tcPr>
          <w:p w14:paraId="795E11D1" w14:textId="1D5753BD" w:rsidR="00437BD3" w:rsidRPr="00132C1E" w:rsidRDefault="00D4445A" w:rsidP="002B6C5C">
            <w:pPr>
              <w:spacing w:before="40" w:after="40"/>
              <w:jc w:val="center"/>
              <w:rPr>
                <w:b/>
                <w:bCs/>
              </w:rPr>
            </w:pPr>
            <w:r>
              <w:rPr>
                <w:b/>
                <w:bCs/>
              </w:rPr>
              <w:t>Sections</w:t>
            </w:r>
            <w:r w:rsidR="00437BD3" w:rsidRPr="00132C1E">
              <w:rPr>
                <w:b/>
                <w:bCs/>
              </w:rPr>
              <w:t xml:space="preserve"> in this </w:t>
            </w:r>
            <w:r>
              <w:rPr>
                <w:b/>
                <w:bCs/>
              </w:rPr>
              <w:t>document</w:t>
            </w:r>
          </w:p>
        </w:tc>
        <w:tc>
          <w:tcPr>
            <w:tcW w:w="2410" w:type="dxa"/>
            <w:tcBorders>
              <w:top w:val="single" w:sz="8" w:space="0" w:color="auto"/>
              <w:left w:val="single" w:sz="8" w:space="0" w:color="auto"/>
              <w:bottom w:val="single" w:sz="8" w:space="0" w:color="auto"/>
              <w:right w:val="single" w:sz="8" w:space="0" w:color="auto"/>
            </w:tcBorders>
            <w:vAlign w:val="center"/>
          </w:tcPr>
          <w:p w14:paraId="28DE8859" w14:textId="77777777" w:rsidR="00437BD3" w:rsidRPr="00132C1E" w:rsidRDefault="00437BD3" w:rsidP="002B6C5C">
            <w:pPr>
              <w:spacing w:before="40" w:after="40"/>
              <w:jc w:val="center"/>
              <w:rPr>
                <w:b/>
                <w:bCs/>
              </w:rPr>
            </w:pPr>
            <w:r w:rsidRPr="00132C1E">
              <w:rPr>
                <w:b/>
                <w:bCs/>
              </w:rPr>
              <w:t>Property</w:t>
            </w:r>
          </w:p>
        </w:tc>
        <w:tc>
          <w:tcPr>
            <w:tcW w:w="2219" w:type="dxa"/>
            <w:tcBorders>
              <w:top w:val="single" w:sz="8" w:space="0" w:color="auto"/>
              <w:left w:val="single" w:sz="8" w:space="0" w:color="auto"/>
              <w:bottom w:val="single" w:sz="8" w:space="0" w:color="auto"/>
              <w:right w:val="single" w:sz="8" w:space="0" w:color="auto"/>
            </w:tcBorders>
            <w:vAlign w:val="center"/>
          </w:tcPr>
          <w:p w14:paraId="7C2176E6" w14:textId="77777777" w:rsidR="00437BD3" w:rsidRPr="00132C1E" w:rsidRDefault="00437BD3" w:rsidP="002B6C5C">
            <w:pPr>
              <w:spacing w:before="40" w:after="40"/>
              <w:jc w:val="center"/>
              <w:rPr>
                <w:b/>
                <w:bCs/>
              </w:rPr>
            </w:pPr>
            <w:r w:rsidRPr="00132C1E">
              <w:rPr>
                <w:b/>
                <w:bCs/>
              </w:rPr>
              <w:t>Referred standard</w:t>
            </w:r>
          </w:p>
        </w:tc>
        <w:tc>
          <w:tcPr>
            <w:tcW w:w="1750" w:type="dxa"/>
            <w:tcBorders>
              <w:top w:val="single" w:sz="8" w:space="0" w:color="auto"/>
              <w:left w:val="single" w:sz="8" w:space="0" w:color="auto"/>
              <w:bottom w:val="single" w:sz="8" w:space="0" w:color="auto"/>
              <w:right w:val="single" w:sz="8" w:space="0" w:color="auto"/>
            </w:tcBorders>
            <w:vAlign w:val="center"/>
          </w:tcPr>
          <w:p w14:paraId="2ADB5B14" w14:textId="77777777" w:rsidR="00437BD3" w:rsidRPr="00132C1E" w:rsidRDefault="00437BD3" w:rsidP="002B6C5C">
            <w:pPr>
              <w:spacing w:before="40" w:after="40"/>
              <w:jc w:val="center"/>
              <w:rPr>
                <w:b/>
                <w:bCs/>
              </w:rPr>
            </w:pPr>
            <w:r w:rsidRPr="00132C1E">
              <w:rPr>
                <w:b/>
                <w:bCs/>
              </w:rPr>
              <w:t>Symbol in the referred standard</w:t>
            </w:r>
          </w:p>
        </w:tc>
        <w:tc>
          <w:tcPr>
            <w:tcW w:w="1559" w:type="dxa"/>
            <w:tcBorders>
              <w:top w:val="single" w:sz="8" w:space="0" w:color="auto"/>
              <w:left w:val="single" w:sz="8" w:space="0" w:color="auto"/>
              <w:bottom w:val="single" w:sz="8" w:space="0" w:color="auto"/>
              <w:right w:val="single" w:sz="8" w:space="0" w:color="auto"/>
            </w:tcBorders>
            <w:vAlign w:val="center"/>
          </w:tcPr>
          <w:p w14:paraId="3C41DC1E" w14:textId="0D9D092D" w:rsidR="00437BD3" w:rsidRPr="00132C1E" w:rsidRDefault="00437BD3" w:rsidP="002B6C5C">
            <w:pPr>
              <w:spacing w:before="40" w:after="40"/>
              <w:jc w:val="center"/>
              <w:rPr>
                <w:b/>
                <w:bCs/>
              </w:rPr>
            </w:pPr>
            <w:r w:rsidRPr="00132C1E">
              <w:rPr>
                <w:b/>
                <w:bCs/>
              </w:rPr>
              <w:t xml:space="preserve">Symbol in </w:t>
            </w:r>
            <w:r w:rsidR="00C30FF9">
              <w:rPr>
                <w:b/>
                <w:bCs/>
              </w:rPr>
              <w:t>EN 1</w:t>
            </w:r>
            <w:r>
              <w:rPr>
                <w:b/>
                <w:bCs/>
              </w:rPr>
              <w:t>99</w:t>
            </w:r>
            <w:r w:rsidRPr="00132C1E">
              <w:rPr>
                <w:b/>
                <w:bCs/>
              </w:rPr>
              <w:t>8-1-2</w:t>
            </w:r>
          </w:p>
        </w:tc>
      </w:tr>
      <w:tr w:rsidR="00437BD3" w:rsidRPr="00132C1E" w14:paraId="76B1EFEE" w14:textId="77777777" w:rsidTr="00437BD3">
        <w:tc>
          <w:tcPr>
            <w:tcW w:w="1833" w:type="dxa"/>
            <w:tcBorders>
              <w:top w:val="single" w:sz="8" w:space="0" w:color="auto"/>
              <w:left w:val="single" w:sz="8" w:space="0" w:color="auto"/>
              <w:bottom w:val="single" w:sz="8" w:space="0" w:color="auto"/>
              <w:right w:val="single" w:sz="8" w:space="0" w:color="auto"/>
            </w:tcBorders>
            <w:vAlign w:val="center"/>
          </w:tcPr>
          <w:p w14:paraId="15128A92" w14:textId="77777777" w:rsidR="00437BD3" w:rsidRPr="00D1484A" w:rsidRDefault="00437BD3" w:rsidP="002B6C5C">
            <w:pPr>
              <w:spacing w:before="40" w:after="40"/>
              <w:jc w:val="center"/>
              <w:rPr>
                <w:color w:val="000000" w:themeColor="text1"/>
              </w:rPr>
            </w:pPr>
            <w:r w:rsidRPr="00132C1E">
              <w:rPr>
                <w:color w:val="000000" w:themeColor="text1"/>
              </w:rPr>
              <w:t>13.3.1 (2)</w:t>
            </w:r>
          </w:p>
        </w:tc>
        <w:tc>
          <w:tcPr>
            <w:tcW w:w="2410" w:type="dxa"/>
            <w:tcBorders>
              <w:top w:val="single" w:sz="8" w:space="0" w:color="auto"/>
              <w:left w:val="single" w:sz="8" w:space="0" w:color="auto"/>
              <w:bottom w:val="single" w:sz="8" w:space="0" w:color="auto"/>
              <w:right w:val="single" w:sz="8" w:space="0" w:color="auto"/>
            </w:tcBorders>
            <w:vAlign w:val="center"/>
          </w:tcPr>
          <w:p w14:paraId="035ABBB0" w14:textId="22F084F0" w:rsidR="00437BD3" w:rsidRPr="00FD17CF" w:rsidRDefault="00437BD3" w:rsidP="002B6C5C">
            <w:pPr>
              <w:spacing w:before="40" w:after="40"/>
              <w:jc w:val="left"/>
              <w:rPr>
                <w:vertAlign w:val="subscript"/>
              </w:rPr>
            </w:pPr>
            <w:r w:rsidRPr="00D1484A">
              <w:t xml:space="preserve">The strength reduction factor due to degradation under cyclic loading </w:t>
            </w:r>
            <w:r w:rsidRPr="00FD17CF">
              <w:rPr>
                <w:i/>
                <w:iCs/>
              </w:rPr>
              <w:t>k</w:t>
            </w:r>
            <w:r w:rsidRPr="00FD17CF">
              <w:rPr>
                <w:vertAlign w:val="subscript"/>
              </w:rPr>
              <w:t>deg</w:t>
            </w:r>
          </w:p>
        </w:tc>
        <w:tc>
          <w:tcPr>
            <w:tcW w:w="2219" w:type="dxa"/>
            <w:tcBorders>
              <w:top w:val="single" w:sz="8" w:space="0" w:color="auto"/>
              <w:left w:val="single" w:sz="8" w:space="0" w:color="auto"/>
              <w:bottom w:val="single" w:sz="8" w:space="0" w:color="auto"/>
              <w:right w:val="single" w:sz="8" w:space="0" w:color="auto"/>
            </w:tcBorders>
            <w:vAlign w:val="center"/>
          </w:tcPr>
          <w:p w14:paraId="4ADF0EB3" w14:textId="77777777" w:rsidR="00437BD3" w:rsidRPr="00196951" w:rsidRDefault="00437BD3" w:rsidP="002B6C5C">
            <w:pPr>
              <w:spacing w:before="40" w:after="40"/>
              <w:jc w:val="center"/>
              <w:rPr>
                <w:color w:val="000000" w:themeColor="text1"/>
              </w:rPr>
            </w:pPr>
            <w:r w:rsidRPr="00E05E29">
              <w:rPr>
                <w:color w:val="000000" w:themeColor="text1"/>
              </w:rPr>
              <w:t>EN 12512</w:t>
            </w:r>
          </w:p>
          <w:p w14:paraId="6A43D8F8" w14:textId="77777777" w:rsidR="00437BD3" w:rsidRPr="002144A0" w:rsidRDefault="00437BD3" w:rsidP="002B6C5C">
            <w:pPr>
              <w:spacing w:before="40" w:after="40"/>
              <w:jc w:val="center"/>
              <w:rPr>
                <w:color w:val="000000" w:themeColor="text1"/>
              </w:rPr>
            </w:pPr>
            <w:r w:rsidRPr="002144A0">
              <w:rPr>
                <w:color w:val="000000" w:themeColor="text1"/>
              </w:rPr>
              <w:t>(revision is needed)</w:t>
            </w:r>
          </w:p>
          <w:p w14:paraId="47E78A2B" w14:textId="77777777" w:rsidR="00437BD3" w:rsidRPr="002144A0" w:rsidRDefault="00437BD3" w:rsidP="002B6C5C">
            <w:pPr>
              <w:spacing w:before="40" w:after="40"/>
              <w:jc w:val="center"/>
              <w:rPr>
                <w:color w:val="000000" w:themeColor="text1"/>
              </w:rPr>
            </w:pPr>
            <w:r w:rsidRPr="002144A0">
              <w:rPr>
                <w:color w:val="000000" w:themeColor="text1"/>
              </w:rPr>
              <w:t xml:space="preserve"> </w:t>
            </w:r>
          </w:p>
          <w:p w14:paraId="18AC78ED" w14:textId="77777777" w:rsidR="00437BD3" w:rsidRPr="004F25D7" w:rsidRDefault="00437BD3" w:rsidP="002B6C5C">
            <w:pPr>
              <w:spacing w:before="40" w:after="40"/>
              <w:jc w:val="center"/>
              <w:rPr>
                <w:color w:val="000000" w:themeColor="text1"/>
              </w:rPr>
            </w:pPr>
            <w:r w:rsidRPr="002144A0">
              <w:rPr>
                <w:color w:val="000000" w:themeColor="text1"/>
              </w:rPr>
              <w:t xml:space="preserve"> </w:t>
            </w:r>
          </w:p>
          <w:p w14:paraId="2BA7E5C1" w14:textId="77777777" w:rsidR="00437BD3" w:rsidRDefault="00437BD3" w:rsidP="002B6C5C">
            <w:pPr>
              <w:spacing w:before="40" w:after="40"/>
              <w:jc w:val="center"/>
              <w:rPr>
                <w:color w:val="000000" w:themeColor="text1"/>
              </w:rPr>
            </w:pPr>
            <w:r w:rsidRPr="00C52095">
              <w:rPr>
                <w:color w:val="000000" w:themeColor="text1"/>
              </w:rPr>
              <w:t>EN</w:t>
            </w:r>
            <w:r>
              <w:rPr>
                <w:color w:val="000000" w:themeColor="text1"/>
              </w:rPr>
              <w:t xml:space="preserve"> </w:t>
            </w:r>
            <w:r w:rsidRPr="00C52095">
              <w:rPr>
                <w:color w:val="000000" w:themeColor="text1"/>
              </w:rPr>
              <w:t>26891</w:t>
            </w:r>
          </w:p>
          <w:p w14:paraId="6325E5CB" w14:textId="35F35C89" w:rsidR="00437BD3" w:rsidRPr="00C52095" w:rsidRDefault="00437BD3" w:rsidP="002B6C5C">
            <w:pPr>
              <w:spacing w:before="40" w:after="40"/>
              <w:jc w:val="center"/>
              <w:rPr>
                <w:color w:val="000000" w:themeColor="text1"/>
              </w:rPr>
            </w:pPr>
            <w:r w:rsidRPr="007B4B39">
              <w:t>(revision is needed)</w:t>
            </w:r>
          </w:p>
        </w:tc>
        <w:tc>
          <w:tcPr>
            <w:tcW w:w="1750" w:type="dxa"/>
            <w:tcBorders>
              <w:top w:val="single" w:sz="8" w:space="0" w:color="auto"/>
              <w:left w:val="single" w:sz="8" w:space="0" w:color="auto"/>
              <w:bottom w:val="single" w:sz="8" w:space="0" w:color="auto"/>
              <w:right w:val="single" w:sz="8" w:space="0" w:color="auto"/>
            </w:tcBorders>
            <w:vAlign w:val="center"/>
          </w:tcPr>
          <w:p w14:paraId="3FED7DEE" w14:textId="77777777" w:rsidR="00437BD3" w:rsidRPr="007754C9" w:rsidRDefault="00437BD3" w:rsidP="002B6C5C">
            <w:pPr>
              <w:spacing w:before="40" w:after="40"/>
              <w:jc w:val="center"/>
            </w:pPr>
            <w:r w:rsidRPr="00C52095">
              <w:t>-</w:t>
            </w:r>
          </w:p>
        </w:tc>
        <w:tc>
          <w:tcPr>
            <w:tcW w:w="1559" w:type="dxa"/>
            <w:tcBorders>
              <w:top w:val="single" w:sz="8" w:space="0" w:color="auto"/>
              <w:left w:val="single" w:sz="8" w:space="0" w:color="auto"/>
              <w:bottom w:val="single" w:sz="8" w:space="0" w:color="auto"/>
              <w:right w:val="single" w:sz="8" w:space="0" w:color="auto"/>
            </w:tcBorders>
            <w:vAlign w:val="center"/>
          </w:tcPr>
          <w:p w14:paraId="1504DD7E" w14:textId="77777777" w:rsidR="00437BD3" w:rsidRPr="00132C1E" w:rsidRDefault="00437BD3" w:rsidP="002B6C5C">
            <w:pPr>
              <w:spacing w:before="40" w:after="40"/>
              <w:jc w:val="center"/>
              <w:rPr>
                <w:vertAlign w:val="subscript"/>
              </w:rPr>
            </w:pPr>
            <w:r w:rsidRPr="00132C1E">
              <w:rPr>
                <w:i/>
                <w:iCs/>
              </w:rPr>
              <w:t>k</w:t>
            </w:r>
            <w:r w:rsidRPr="00132C1E">
              <w:rPr>
                <w:vertAlign w:val="subscript"/>
              </w:rPr>
              <w:t>deg</w:t>
            </w:r>
          </w:p>
        </w:tc>
      </w:tr>
      <w:tr w:rsidR="00437BD3" w:rsidRPr="00132C1E" w14:paraId="1D5D1866" w14:textId="77777777" w:rsidTr="00437BD3">
        <w:tc>
          <w:tcPr>
            <w:tcW w:w="1833" w:type="dxa"/>
            <w:tcBorders>
              <w:top w:val="single" w:sz="8" w:space="0" w:color="auto"/>
              <w:left w:val="single" w:sz="8" w:space="0" w:color="auto"/>
              <w:bottom w:val="single" w:sz="8" w:space="0" w:color="auto"/>
              <w:right w:val="single" w:sz="8" w:space="0" w:color="auto"/>
            </w:tcBorders>
            <w:vAlign w:val="center"/>
          </w:tcPr>
          <w:p w14:paraId="234E7067" w14:textId="77777777" w:rsidR="00437BD3" w:rsidRPr="00D1484A" w:rsidRDefault="00437BD3" w:rsidP="002B6C5C">
            <w:pPr>
              <w:spacing w:before="40" w:after="40"/>
              <w:jc w:val="center"/>
              <w:rPr>
                <w:color w:val="000000" w:themeColor="text1"/>
              </w:rPr>
            </w:pPr>
            <w:r w:rsidRPr="00132C1E">
              <w:rPr>
                <w:color w:val="000000" w:themeColor="text1"/>
              </w:rPr>
              <w:t>13.3.1 (3)</w:t>
            </w:r>
          </w:p>
        </w:tc>
        <w:tc>
          <w:tcPr>
            <w:tcW w:w="2410" w:type="dxa"/>
            <w:tcBorders>
              <w:top w:val="single" w:sz="8" w:space="0" w:color="auto"/>
              <w:left w:val="single" w:sz="8" w:space="0" w:color="auto"/>
              <w:bottom w:val="single" w:sz="8" w:space="0" w:color="auto"/>
              <w:right w:val="single" w:sz="8" w:space="0" w:color="auto"/>
            </w:tcBorders>
            <w:vAlign w:val="center"/>
          </w:tcPr>
          <w:p w14:paraId="133AEB79" w14:textId="0028BD50" w:rsidR="00437BD3" w:rsidRPr="00E05E29" w:rsidRDefault="00437BD3" w:rsidP="002B6C5C">
            <w:pPr>
              <w:spacing w:before="40" w:after="40"/>
              <w:jc w:val="left"/>
            </w:pPr>
            <w:r w:rsidRPr="00D1484A">
              <w:t xml:space="preserve">The strength impairment factor </w:t>
            </w:r>
            <w:r w:rsidRPr="00FD17CF">
              <w:rPr>
                <w:i/>
                <w:iCs/>
              </w:rPr>
              <w:t>φ</w:t>
            </w:r>
            <w:r w:rsidRPr="00FD17CF">
              <w:rPr>
                <w:vertAlign w:val="subscript"/>
              </w:rPr>
              <w:t>imp</w:t>
            </w:r>
            <w:r w:rsidRPr="00FD17CF">
              <w:t xml:space="preserve"> in a cyclic test</w:t>
            </w:r>
          </w:p>
        </w:tc>
        <w:tc>
          <w:tcPr>
            <w:tcW w:w="2219" w:type="dxa"/>
            <w:tcBorders>
              <w:top w:val="single" w:sz="8" w:space="0" w:color="auto"/>
              <w:left w:val="single" w:sz="8" w:space="0" w:color="auto"/>
              <w:bottom w:val="single" w:sz="8" w:space="0" w:color="auto"/>
              <w:right w:val="single" w:sz="8" w:space="0" w:color="auto"/>
            </w:tcBorders>
            <w:vAlign w:val="center"/>
          </w:tcPr>
          <w:p w14:paraId="56684271" w14:textId="77777777" w:rsidR="00437BD3" w:rsidRPr="002144A0" w:rsidRDefault="00437BD3" w:rsidP="002B6C5C">
            <w:pPr>
              <w:spacing w:before="40" w:after="40"/>
              <w:jc w:val="center"/>
              <w:rPr>
                <w:color w:val="000000" w:themeColor="text1"/>
              </w:rPr>
            </w:pPr>
            <w:r w:rsidRPr="00196951">
              <w:rPr>
                <w:color w:val="000000" w:themeColor="text1"/>
              </w:rPr>
              <w:t>EN 12512</w:t>
            </w:r>
          </w:p>
          <w:p w14:paraId="78C9DFCF" w14:textId="77777777" w:rsidR="00437BD3" w:rsidRPr="002144A0" w:rsidRDefault="00437BD3" w:rsidP="002B6C5C">
            <w:pPr>
              <w:spacing w:before="40" w:after="40"/>
              <w:jc w:val="center"/>
              <w:rPr>
                <w:color w:val="000000" w:themeColor="text1"/>
              </w:rPr>
            </w:pPr>
            <w:r w:rsidRPr="002144A0">
              <w:rPr>
                <w:color w:val="000000" w:themeColor="text1"/>
              </w:rPr>
              <w:t>(revision is needed)</w:t>
            </w:r>
          </w:p>
        </w:tc>
        <w:tc>
          <w:tcPr>
            <w:tcW w:w="1750" w:type="dxa"/>
            <w:tcBorders>
              <w:top w:val="single" w:sz="8" w:space="0" w:color="auto"/>
              <w:left w:val="single" w:sz="8" w:space="0" w:color="auto"/>
              <w:bottom w:val="single" w:sz="8" w:space="0" w:color="auto"/>
              <w:right w:val="single" w:sz="8" w:space="0" w:color="auto"/>
            </w:tcBorders>
            <w:vAlign w:val="center"/>
          </w:tcPr>
          <w:p w14:paraId="739C0494" w14:textId="77777777" w:rsidR="00437BD3" w:rsidRPr="002144A0" w:rsidRDefault="00437BD3" w:rsidP="002B6C5C">
            <w:pPr>
              <w:spacing w:before="40" w:after="40"/>
              <w:jc w:val="center"/>
            </w:pPr>
            <w:r w:rsidRPr="002144A0">
              <w:t>-</w:t>
            </w:r>
          </w:p>
        </w:tc>
        <w:tc>
          <w:tcPr>
            <w:tcW w:w="1559" w:type="dxa"/>
            <w:tcBorders>
              <w:top w:val="single" w:sz="8" w:space="0" w:color="auto"/>
              <w:left w:val="single" w:sz="8" w:space="0" w:color="auto"/>
              <w:bottom w:val="single" w:sz="8" w:space="0" w:color="auto"/>
              <w:right w:val="single" w:sz="8" w:space="0" w:color="auto"/>
            </w:tcBorders>
            <w:vAlign w:val="center"/>
          </w:tcPr>
          <w:p w14:paraId="43688FB0" w14:textId="77777777" w:rsidR="00437BD3" w:rsidRPr="00C52095" w:rsidRDefault="00437BD3" w:rsidP="002B6C5C">
            <w:pPr>
              <w:spacing w:before="40" w:after="40"/>
              <w:jc w:val="center"/>
              <w:rPr>
                <w:vertAlign w:val="subscript"/>
              </w:rPr>
            </w:pPr>
            <w:r w:rsidRPr="002144A0">
              <w:rPr>
                <w:i/>
                <w:iCs/>
              </w:rPr>
              <w:t>φ</w:t>
            </w:r>
            <w:r w:rsidRPr="004F25D7">
              <w:rPr>
                <w:vertAlign w:val="subscript"/>
              </w:rPr>
              <w:t>imp</w:t>
            </w:r>
          </w:p>
        </w:tc>
      </w:tr>
      <w:tr w:rsidR="00437BD3" w:rsidRPr="00132C1E" w14:paraId="4E3313C6" w14:textId="77777777" w:rsidTr="00437BD3">
        <w:tc>
          <w:tcPr>
            <w:tcW w:w="1833" w:type="dxa"/>
            <w:tcBorders>
              <w:top w:val="single" w:sz="8" w:space="0" w:color="auto"/>
              <w:left w:val="single" w:sz="8" w:space="0" w:color="auto"/>
              <w:bottom w:val="single" w:sz="8" w:space="0" w:color="auto"/>
              <w:right w:val="single" w:sz="8" w:space="0" w:color="auto"/>
            </w:tcBorders>
            <w:vAlign w:val="center"/>
          </w:tcPr>
          <w:p w14:paraId="177DC325" w14:textId="77777777" w:rsidR="00437BD3" w:rsidRPr="00D1484A" w:rsidRDefault="00437BD3" w:rsidP="002B6C5C">
            <w:pPr>
              <w:spacing w:before="40" w:after="40"/>
              <w:jc w:val="center"/>
              <w:rPr>
                <w:color w:val="000000" w:themeColor="text1"/>
              </w:rPr>
            </w:pPr>
            <w:r w:rsidRPr="00132C1E">
              <w:rPr>
                <w:color w:val="000000" w:themeColor="text1"/>
              </w:rPr>
              <w:t>Table 13.3</w:t>
            </w:r>
          </w:p>
        </w:tc>
        <w:tc>
          <w:tcPr>
            <w:tcW w:w="2410" w:type="dxa"/>
            <w:tcBorders>
              <w:top w:val="single" w:sz="8" w:space="0" w:color="auto"/>
              <w:left w:val="single" w:sz="8" w:space="0" w:color="auto"/>
              <w:bottom w:val="single" w:sz="8" w:space="0" w:color="auto"/>
              <w:right w:val="single" w:sz="8" w:space="0" w:color="auto"/>
            </w:tcBorders>
            <w:vAlign w:val="center"/>
          </w:tcPr>
          <w:p w14:paraId="6EEA5C55" w14:textId="77777777" w:rsidR="00437BD3" w:rsidRPr="00437BD3" w:rsidRDefault="00437BD3" w:rsidP="002B6C5C">
            <w:pPr>
              <w:spacing w:before="40" w:after="40"/>
              <w:jc w:val="left"/>
              <w:rPr>
                <w:rFonts w:ascii="Calibri Light" w:eastAsia="Calibri Light" w:hAnsi="Calibri Light" w:cs="Calibri Light"/>
                <w:i/>
                <w:iCs/>
              </w:rPr>
            </w:pPr>
            <w:r w:rsidRPr="00437BD3">
              <w:t xml:space="preserve">Minimum required ductility of dissipative zones, </w:t>
            </w:r>
            <w:r w:rsidRPr="00437BD3">
              <w:rPr>
                <w:rFonts w:ascii="Calibri Light" w:eastAsia="Calibri Light" w:hAnsi="Calibri Light" w:cs="Calibri Light"/>
                <w:i/>
                <w:iCs/>
              </w:rPr>
              <w:t>μ.</w:t>
            </w:r>
          </w:p>
        </w:tc>
        <w:tc>
          <w:tcPr>
            <w:tcW w:w="2219" w:type="dxa"/>
            <w:tcBorders>
              <w:top w:val="single" w:sz="8" w:space="0" w:color="auto"/>
              <w:left w:val="single" w:sz="8" w:space="0" w:color="auto"/>
              <w:bottom w:val="single" w:sz="8" w:space="0" w:color="auto"/>
              <w:right w:val="single" w:sz="8" w:space="0" w:color="auto"/>
            </w:tcBorders>
            <w:vAlign w:val="center"/>
          </w:tcPr>
          <w:p w14:paraId="2FE519CC" w14:textId="77777777" w:rsidR="00437BD3" w:rsidRPr="00196951" w:rsidRDefault="00437BD3" w:rsidP="002B6C5C">
            <w:pPr>
              <w:spacing w:before="40" w:after="40"/>
              <w:jc w:val="center"/>
              <w:rPr>
                <w:color w:val="000000" w:themeColor="text1"/>
              </w:rPr>
            </w:pPr>
            <w:r w:rsidRPr="00E05E29">
              <w:rPr>
                <w:color w:val="000000" w:themeColor="text1"/>
              </w:rPr>
              <w:t>EN 12512</w:t>
            </w:r>
          </w:p>
          <w:p w14:paraId="031B76C3" w14:textId="77777777" w:rsidR="00437BD3" w:rsidRPr="002144A0" w:rsidRDefault="00437BD3" w:rsidP="002B6C5C">
            <w:pPr>
              <w:spacing w:before="40" w:after="40"/>
              <w:jc w:val="center"/>
              <w:rPr>
                <w:color w:val="000000" w:themeColor="text1"/>
              </w:rPr>
            </w:pPr>
            <w:r w:rsidRPr="002144A0">
              <w:rPr>
                <w:color w:val="000000" w:themeColor="text1"/>
              </w:rPr>
              <w:t>(revision is needed)</w:t>
            </w:r>
          </w:p>
        </w:tc>
        <w:tc>
          <w:tcPr>
            <w:tcW w:w="1750" w:type="dxa"/>
            <w:tcBorders>
              <w:top w:val="single" w:sz="8" w:space="0" w:color="auto"/>
              <w:left w:val="single" w:sz="8" w:space="0" w:color="auto"/>
              <w:bottom w:val="single" w:sz="8" w:space="0" w:color="auto"/>
              <w:right w:val="single" w:sz="8" w:space="0" w:color="auto"/>
            </w:tcBorders>
            <w:vAlign w:val="center"/>
          </w:tcPr>
          <w:p w14:paraId="4FA7CD89" w14:textId="77777777" w:rsidR="00437BD3" w:rsidRPr="002144A0" w:rsidRDefault="00437BD3" w:rsidP="002B6C5C">
            <w:pPr>
              <w:spacing w:before="40" w:after="40"/>
              <w:jc w:val="center"/>
              <w:rPr>
                <w:i/>
                <w:iCs/>
              </w:rPr>
            </w:pPr>
            <w:r w:rsidRPr="002144A0">
              <w:rPr>
                <w:i/>
                <w:iCs/>
              </w:rPr>
              <w:t>D</w:t>
            </w:r>
          </w:p>
        </w:tc>
        <w:tc>
          <w:tcPr>
            <w:tcW w:w="1559" w:type="dxa"/>
            <w:tcBorders>
              <w:top w:val="single" w:sz="8" w:space="0" w:color="auto"/>
              <w:left w:val="single" w:sz="8" w:space="0" w:color="auto"/>
              <w:bottom w:val="single" w:sz="8" w:space="0" w:color="auto"/>
              <w:right w:val="single" w:sz="8" w:space="0" w:color="auto"/>
            </w:tcBorders>
            <w:vAlign w:val="center"/>
          </w:tcPr>
          <w:p w14:paraId="7384F189" w14:textId="77777777" w:rsidR="00437BD3" w:rsidRPr="004F25D7" w:rsidRDefault="00437BD3" w:rsidP="002B6C5C">
            <w:pPr>
              <w:spacing w:before="40" w:after="40"/>
              <w:jc w:val="center"/>
              <w:rPr>
                <w:rFonts w:ascii="Calibri Light" w:eastAsia="Calibri Light" w:hAnsi="Calibri Light" w:cs="Calibri Light"/>
                <w:i/>
                <w:iCs/>
              </w:rPr>
            </w:pPr>
            <w:r w:rsidRPr="002144A0">
              <w:rPr>
                <w:rFonts w:ascii="Calibri Light" w:eastAsia="Calibri Light" w:hAnsi="Calibri Light" w:cs="Calibri Light"/>
                <w:i/>
                <w:iCs/>
              </w:rPr>
              <w:t>μ</w:t>
            </w:r>
          </w:p>
        </w:tc>
      </w:tr>
      <w:tr w:rsidR="00437BD3" w:rsidRPr="00132C1E" w14:paraId="3851A4FF" w14:textId="77777777" w:rsidTr="00437BD3">
        <w:tc>
          <w:tcPr>
            <w:tcW w:w="1833" w:type="dxa"/>
            <w:tcBorders>
              <w:top w:val="single" w:sz="8" w:space="0" w:color="auto"/>
              <w:left w:val="single" w:sz="8" w:space="0" w:color="auto"/>
              <w:bottom w:val="single" w:sz="8" w:space="0" w:color="auto"/>
              <w:right w:val="single" w:sz="8" w:space="0" w:color="auto"/>
            </w:tcBorders>
            <w:vAlign w:val="center"/>
          </w:tcPr>
          <w:p w14:paraId="188A6847" w14:textId="77777777" w:rsidR="00437BD3" w:rsidRPr="00D1484A" w:rsidRDefault="00437BD3" w:rsidP="002B6C5C">
            <w:pPr>
              <w:spacing w:before="40" w:after="40"/>
              <w:jc w:val="center"/>
              <w:rPr>
                <w:color w:val="000000" w:themeColor="text1"/>
              </w:rPr>
            </w:pPr>
            <w:r w:rsidRPr="00132C1E">
              <w:rPr>
                <w:color w:val="000000" w:themeColor="text1"/>
              </w:rPr>
              <w:t>13.3.2 (5) b</w:t>
            </w:r>
          </w:p>
        </w:tc>
        <w:tc>
          <w:tcPr>
            <w:tcW w:w="2410" w:type="dxa"/>
            <w:tcBorders>
              <w:top w:val="single" w:sz="8" w:space="0" w:color="auto"/>
              <w:left w:val="single" w:sz="8" w:space="0" w:color="auto"/>
              <w:bottom w:val="single" w:sz="8" w:space="0" w:color="auto"/>
              <w:right w:val="single" w:sz="8" w:space="0" w:color="auto"/>
            </w:tcBorders>
            <w:vAlign w:val="center"/>
          </w:tcPr>
          <w:p w14:paraId="10CF1B00" w14:textId="77777777" w:rsidR="00437BD3" w:rsidRPr="00437BD3" w:rsidRDefault="00437BD3" w:rsidP="002B6C5C">
            <w:pPr>
              <w:spacing w:before="40" w:after="40"/>
              <w:jc w:val="left"/>
            </w:pPr>
            <w:r w:rsidRPr="00437BD3">
              <w:t>Low cycle ductility classes of fasteners S2 and S3</w:t>
            </w:r>
          </w:p>
        </w:tc>
        <w:tc>
          <w:tcPr>
            <w:tcW w:w="2219" w:type="dxa"/>
            <w:tcBorders>
              <w:top w:val="single" w:sz="8" w:space="0" w:color="auto"/>
              <w:left w:val="single" w:sz="8" w:space="0" w:color="auto"/>
              <w:bottom w:val="single" w:sz="8" w:space="0" w:color="auto"/>
              <w:right w:val="single" w:sz="8" w:space="0" w:color="auto"/>
            </w:tcBorders>
            <w:vAlign w:val="center"/>
          </w:tcPr>
          <w:p w14:paraId="744B931B" w14:textId="77777777" w:rsidR="00437BD3" w:rsidRPr="00196951" w:rsidRDefault="00437BD3" w:rsidP="002B6C5C">
            <w:pPr>
              <w:spacing w:before="40" w:after="40"/>
              <w:jc w:val="center"/>
              <w:rPr>
                <w:color w:val="000000" w:themeColor="text1"/>
              </w:rPr>
            </w:pPr>
            <w:r w:rsidRPr="00E05E29">
              <w:rPr>
                <w:color w:val="000000" w:themeColor="text1"/>
              </w:rPr>
              <w:t>EN 14592</w:t>
            </w:r>
          </w:p>
        </w:tc>
        <w:tc>
          <w:tcPr>
            <w:tcW w:w="1750" w:type="dxa"/>
            <w:tcBorders>
              <w:top w:val="single" w:sz="8" w:space="0" w:color="auto"/>
              <w:left w:val="single" w:sz="8" w:space="0" w:color="auto"/>
              <w:bottom w:val="single" w:sz="8" w:space="0" w:color="auto"/>
              <w:right w:val="single" w:sz="8" w:space="0" w:color="auto"/>
            </w:tcBorders>
            <w:vAlign w:val="center"/>
          </w:tcPr>
          <w:p w14:paraId="12577749" w14:textId="77777777" w:rsidR="00437BD3" w:rsidRPr="002144A0" w:rsidRDefault="00437BD3" w:rsidP="002B6C5C">
            <w:pPr>
              <w:spacing w:before="40" w:after="40"/>
              <w:jc w:val="center"/>
              <w:rPr>
                <w:color w:val="000000" w:themeColor="text1"/>
              </w:rPr>
            </w:pPr>
            <w:r w:rsidRPr="002144A0">
              <w:rPr>
                <w:color w:val="000000" w:themeColor="text1"/>
              </w:rPr>
              <w:t>Classes S2 and S3</w:t>
            </w:r>
          </w:p>
        </w:tc>
        <w:tc>
          <w:tcPr>
            <w:tcW w:w="1559" w:type="dxa"/>
            <w:tcBorders>
              <w:top w:val="single" w:sz="8" w:space="0" w:color="auto"/>
              <w:left w:val="single" w:sz="8" w:space="0" w:color="auto"/>
              <w:bottom w:val="single" w:sz="8" w:space="0" w:color="auto"/>
              <w:right w:val="single" w:sz="8" w:space="0" w:color="auto"/>
            </w:tcBorders>
            <w:vAlign w:val="center"/>
          </w:tcPr>
          <w:p w14:paraId="4087E464" w14:textId="77777777" w:rsidR="00437BD3" w:rsidRPr="004F25D7" w:rsidRDefault="00437BD3" w:rsidP="002B6C5C">
            <w:pPr>
              <w:spacing w:before="40" w:after="40"/>
              <w:jc w:val="center"/>
              <w:rPr>
                <w:color w:val="000000" w:themeColor="text1"/>
              </w:rPr>
            </w:pPr>
            <w:r w:rsidRPr="002144A0">
              <w:rPr>
                <w:color w:val="000000" w:themeColor="text1"/>
              </w:rPr>
              <w:t>Classes S2 and S3</w:t>
            </w:r>
          </w:p>
        </w:tc>
      </w:tr>
      <w:tr w:rsidR="00437BD3" w:rsidRPr="00132C1E" w14:paraId="741535AD" w14:textId="77777777" w:rsidTr="00437BD3">
        <w:tc>
          <w:tcPr>
            <w:tcW w:w="1833" w:type="dxa"/>
            <w:tcBorders>
              <w:top w:val="single" w:sz="8" w:space="0" w:color="auto"/>
              <w:left w:val="single" w:sz="8" w:space="0" w:color="auto"/>
              <w:bottom w:val="single" w:sz="8" w:space="0" w:color="auto"/>
              <w:right w:val="single" w:sz="8" w:space="0" w:color="auto"/>
            </w:tcBorders>
            <w:vAlign w:val="center"/>
          </w:tcPr>
          <w:p w14:paraId="2F33AE38" w14:textId="77777777" w:rsidR="00437BD3" w:rsidRPr="00D1484A" w:rsidRDefault="00437BD3" w:rsidP="002B6C5C">
            <w:pPr>
              <w:spacing w:before="40" w:after="40"/>
              <w:jc w:val="center"/>
              <w:rPr>
                <w:color w:val="000000" w:themeColor="text1"/>
              </w:rPr>
            </w:pPr>
            <w:r w:rsidRPr="00132C1E">
              <w:rPr>
                <w:color w:val="000000" w:themeColor="text1"/>
              </w:rPr>
              <w:t>13.3.2 (5) d</w:t>
            </w:r>
          </w:p>
        </w:tc>
        <w:tc>
          <w:tcPr>
            <w:tcW w:w="2410" w:type="dxa"/>
            <w:tcBorders>
              <w:top w:val="single" w:sz="8" w:space="0" w:color="auto"/>
              <w:left w:val="single" w:sz="8" w:space="0" w:color="auto"/>
              <w:bottom w:val="single" w:sz="8" w:space="0" w:color="auto"/>
              <w:right w:val="single" w:sz="8" w:space="0" w:color="auto"/>
            </w:tcBorders>
            <w:vAlign w:val="center"/>
          </w:tcPr>
          <w:p w14:paraId="6CAF5D2D" w14:textId="0E98C375" w:rsidR="00437BD3" w:rsidRPr="00437BD3" w:rsidRDefault="00437BD3" w:rsidP="002B6C5C">
            <w:pPr>
              <w:spacing w:before="40" w:after="40"/>
              <w:jc w:val="left"/>
            </w:pPr>
            <w:r w:rsidRPr="00437BD3">
              <w:t>The ratio between the 95</w:t>
            </w:r>
            <w:r w:rsidRPr="00437BD3">
              <w:rPr>
                <w:vertAlign w:val="superscript"/>
              </w:rPr>
              <w:t>th</w:t>
            </w:r>
            <w:r w:rsidRPr="00437BD3">
              <w:t xml:space="preserve"> percentile of the mechanical properties of fasteners and the characteristic values declared by the manufacturer</w:t>
            </w:r>
          </w:p>
        </w:tc>
        <w:tc>
          <w:tcPr>
            <w:tcW w:w="2219" w:type="dxa"/>
            <w:tcBorders>
              <w:top w:val="single" w:sz="8" w:space="0" w:color="auto"/>
              <w:left w:val="single" w:sz="8" w:space="0" w:color="auto"/>
              <w:bottom w:val="single" w:sz="8" w:space="0" w:color="auto"/>
              <w:right w:val="single" w:sz="8" w:space="0" w:color="auto"/>
            </w:tcBorders>
            <w:vAlign w:val="center"/>
          </w:tcPr>
          <w:p w14:paraId="1E968874" w14:textId="77777777" w:rsidR="00437BD3" w:rsidRPr="002144A0" w:rsidRDefault="00437BD3" w:rsidP="002B6C5C">
            <w:pPr>
              <w:spacing w:before="40" w:after="40"/>
              <w:jc w:val="center"/>
              <w:rPr>
                <w:color w:val="000000" w:themeColor="text1"/>
              </w:rPr>
            </w:pPr>
            <w:r w:rsidRPr="002144A0">
              <w:rPr>
                <w:color w:val="000000" w:themeColor="text1"/>
              </w:rPr>
              <w:t>EN 14592</w:t>
            </w:r>
          </w:p>
        </w:tc>
        <w:tc>
          <w:tcPr>
            <w:tcW w:w="1750" w:type="dxa"/>
            <w:tcBorders>
              <w:top w:val="single" w:sz="8" w:space="0" w:color="auto"/>
              <w:left w:val="single" w:sz="8" w:space="0" w:color="auto"/>
              <w:bottom w:val="single" w:sz="8" w:space="0" w:color="auto"/>
              <w:right w:val="single" w:sz="8" w:space="0" w:color="auto"/>
            </w:tcBorders>
            <w:vAlign w:val="center"/>
          </w:tcPr>
          <w:p w14:paraId="0FFD7C6C" w14:textId="77777777" w:rsidR="00437BD3" w:rsidRPr="004F25D7" w:rsidRDefault="00437BD3" w:rsidP="002B6C5C">
            <w:pPr>
              <w:spacing w:before="40" w:after="40"/>
              <w:jc w:val="center"/>
            </w:pPr>
            <w:r w:rsidRPr="002144A0">
              <w:t>-</w:t>
            </w:r>
          </w:p>
        </w:tc>
        <w:tc>
          <w:tcPr>
            <w:tcW w:w="1559" w:type="dxa"/>
            <w:tcBorders>
              <w:top w:val="single" w:sz="8" w:space="0" w:color="auto"/>
              <w:left w:val="single" w:sz="8" w:space="0" w:color="auto"/>
              <w:bottom w:val="single" w:sz="8" w:space="0" w:color="auto"/>
              <w:right w:val="single" w:sz="8" w:space="0" w:color="auto"/>
            </w:tcBorders>
            <w:vAlign w:val="center"/>
          </w:tcPr>
          <w:p w14:paraId="0A9AEA25" w14:textId="77777777" w:rsidR="00437BD3" w:rsidRPr="00C52095" w:rsidRDefault="00437BD3" w:rsidP="002B6C5C">
            <w:pPr>
              <w:spacing w:before="40" w:after="40"/>
              <w:jc w:val="center"/>
              <w:rPr>
                <w:i/>
                <w:iCs/>
                <w:color w:val="000000" w:themeColor="text1"/>
              </w:rPr>
            </w:pPr>
            <w:r w:rsidRPr="00C52095">
              <w:rPr>
                <w:i/>
                <w:iCs/>
                <w:color w:val="000000" w:themeColor="text1"/>
              </w:rPr>
              <w:t>-</w:t>
            </w:r>
          </w:p>
        </w:tc>
      </w:tr>
      <w:tr w:rsidR="00437BD3" w:rsidRPr="00132C1E" w14:paraId="12A88A97" w14:textId="77777777" w:rsidTr="00437BD3">
        <w:tc>
          <w:tcPr>
            <w:tcW w:w="1833" w:type="dxa"/>
            <w:tcBorders>
              <w:top w:val="single" w:sz="8" w:space="0" w:color="auto"/>
              <w:left w:val="single" w:sz="8" w:space="0" w:color="auto"/>
              <w:bottom w:val="single" w:sz="8" w:space="0" w:color="auto"/>
              <w:right w:val="single" w:sz="8" w:space="0" w:color="auto"/>
            </w:tcBorders>
            <w:vAlign w:val="center"/>
          </w:tcPr>
          <w:p w14:paraId="6CB91C70" w14:textId="77777777" w:rsidR="00437BD3" w:rsidRPr="00D1484A" w:rsidRDefault="00437BD3" w:rsidP="002B6C5C">
            <w:pPr>
              <w:spacing w:before="40" w:after="40"/>
              <w:jc w:val="center"/>
              <w:rPr>
                <w:color w:val="000000" w:themeColor="text1"/>
              </w:rPr>
            </w:pPr>
            <w:r w:rsidRPr="00132C1E">
              <w:rPr>
                <w:color w:val="000000" w:themeColor="text1"/>
              </w:rPr>
              <w:t>13.5 (2)</w:t>
            </w:r>
          </w:p>
        </w:tc>
        <w:tc>
          <w:tcPr>
            <w:tcW w:w="2410" w:type="dxa"/>
            <w:tcBorders>
              <w:top w:val="single" w:sz="8" w:space="0" w:color="auto"/>
              <w:left w:val="single" w:sz="8" w:space="0" w:color="auto"/>
              <w:bottom w:val="single" w:sz="8" w:space="0" w:color="auto"/>
              <w:right w:val="single" w:sz="8" w:space="0" w:color="auto"/>
            </w:tcBorders>
            <w:vAlign w:val="center"/>
          </w:tcPr>
          <w:p w14:paraId="1484F8CA" w14:textId="77777777" w:rsidR="00437BD3" w:rsidRPr="00FD17CF" w:rsidRDefault="00437BD3" w:rsidP="002B6C5C">
            <w:pPr>
              <w:spacing w:before="40" w:after="40"/>
              <w:jc w:val="left"/>
              <w:rPr>
                <w:vertAlign w:val="subscript"/>
              </w:rPr>
            </w:pPr>
            <w:r w:rsidRPr="00D1484A">
              <w:t xml:space="preserve">The value of slip modulus of the connections measured in cyclic tests, </w:t>
            </w:r>
            <w:r w:rsidRPr="00D249B9">
              <w:rPr>
                <w:i/>
                <w:iCs/>
              </w:rPr>
              <w:t>K</w:t>
            </w:r>
            <w:r>
              <w:rPr>
                <w:vertAlign w:val="subscript"/>
              </w:rPr>
              <w:t>SLS,v,mean</w:t>
            </w:r>
            <w:r w:rsidRPr="00D249B9">
              <w:rPr>
                <w:vertAlign w:val="subscript"/>
              </w:rPr>
              <w:t>,c</w:t>
            </w:r>
          </w:p>
        </w:tc>
        <w:tc>
          <w:tcPr>
            <w:tcW w:w="2219" w:type="dxa"/>
            <w:tcBorders>
              <w:top w:val="single" w:sz="8" w:space="0" w:color="auto"/>
              <w:left w:val="single" w:sz="8" w:space="0" w:color="auto"/>
              <w:bottom w:val="single" w:sz="8" w:space="0" w:color="auto"/>
              <w:right w:val="single" w:sz="8" w:space="0" w:color="auto"/>
            </w:tcBorders>
            <w:vAlign w:val="center"/>
          </w:tcPr>
          <w:p w14:paraId="4C4919D9" w14:textId="77777777" w:rsidR="00437BD3" w:rsidRPr="00196951" w:rsidRDefault="00437BD3" w:rsidP="002B6C5C">
            <w:pPr>
              <w:spacing w:before="40" w:after="40"/>
              <w:jc w:val="center"/>
              <w:rPr>
                <w:color w:val="000000" w:themeColor="text1"/>
              </w:rPr>
            </w:pPr>
            <w:r w:rsidRPr="00E05E29">
              <w:rPr>
                <w:color w:val="000000" w:themeColor="text1"/>
              </w:rPr>
              <w:t>EN 12512</w:t>
            </w:r>
          </w:p>
          <w:p w14:paraId="2B718A14" w14:textId="77777777" w:rsidR="00437BD3" w:rsidRPr="002144A0" w:rsidRDefault="00437BD3" w:rsidP="002B6C5C">
            <w:pPr>
              <w:spacing w:before="40" w:after="40"/>
              <w:jc w:val="center"/>
              <w:rPr>
                <w:color w:val="000000" w:themeColor="text1"/>
              </w:rPr>
            </w:pPr>
            <w:r w:rsidRPr="002144A0">
              <w:rPr>
                <w:color w:val="000000" w:themeColor="text1"/>
              </w:rPr>
              <w:t>(revision is needed)</w:t>
            </w:r>
          </w:p>
        </w:tc>
        <w:tc>
          <w:tcPr>
            <w:tcW w:w="1750" w:type="dxa"/>
            <w:tcBorders>
              <w:top w:val="single" w:sz="8" w:space="0" w:color="auto"/>
              <w:left w:val="single" w:sz="8" w:space="0" w:color="auto"/>
              <w:bottom w:val="single" w:sz="8" w:space="0" w:color="auto"/>
              <w:right w:val="single" w:sz="8" w:space="0" w:color="auto"/>
            </w:tcBorders>
            <w:vAlign w:val="center"/>
          </w:tcPr>
          <w:p w14:paraId="3DCAD87D" w14:textId="77777777" w:rsidR="00437BD3" w:rsidRPr="002144A0" w:rsidRDefault="00437BD3" w:rsidP="002B6C5C">
            <w:pPr>
              <w:spacing w:before="40" w:after="40"/>
              <w:jc w:val="center"/>
            </w:pPr>
            <w:r w:rsidRPr="002144A0">
              <w:t>-</w:t>
            </w:r>
          </w:p>
        </w:tc>
        <w:tc>
          <w:tcPr>
            <w:tcW w:w="1559" w:type="dxa"/>
            <w:tcBorders>
              <w:top w:val="single" w:sz="8" w:space="0" w:color="auto"/>
              <w:left w:val="single" w:sz="8" w:space="0" w:color="auto"/>
              <w:bottom w:val="single" w:sz="8" w:space="0" w:color="auto"/>
              <w:right w:val="single" w:sz="8" w:space="0" w:color="auto"/>
            </w:tcBorders>
            <w:vAlign w:val="center"/>
          </w:tcPr>
          <w:p w14:paraId="29E0083B" w14:textId="77777777" w:rsidR="00437BD3" w:rsidRPr="00C52095" w:rsidRDefault="00437BD3" w:rsidP="002B6C5C">
            <w:pPr>
              <w:spacing w:before="40" w:after="40"/>
              <w:jc w:val="center"/>
              <w:rPr>
                <w:vertAlign w:val="subscript"/>
              </w:rPr>
            </w:pPr>
            <w:r w:rsidRPr="00D249B9">
              <w:rPr>
                <w:i/>
                <w:iCs/>
              </w:rPr>
              <w:t>K</w:t>
            </w:r>
            <w:r>
              <w:rPr>
                <w:vertAlign w:val="subscript"/>
              </w:rPr>
              <w:t>SLS,v,mean</w:t>
            </w:r>
            <w:r w:rsidRPr="00D249B9">
              <w:rPr>
                <w:vertAlign w:val="subscript"/>
              </w:rPr>
              <w:t>,c</w:t>
            </w:r>
          </w:p>
        </w:tc>
      </w:tr>
      <w:tr w:rsidR="00437BD3" w:rsidRPr="00132C1E" w14:paraId="4BCBA161" w14:textId="77777777" w:rsidTr="00437BD3">
        <w:tc>
          <w:tcPr>
            <w:tcW w:w="1833" w:type="dxa"/>
            <w:tcBorders>
              <w:top w:val="single" w:sz="8" w:space="0" w:color="auto"/>
              <w:left w:val="single" w:sz="8" w:space="0" w:color="auto"/>
              <w:bottom w:val="single" w:sz="8" w:space="0" w:color="auto"/>
              <w:right w:val="single" w:sz="8" w:space="0" w:color="auto"/>
            </w:tcBorders>
            <w:vAlign w:val="center"/>
          </w:tcPr>
          <w:p w14:paraId="66D97D73" w14:textId="77777777" w:rsidR="00437BD3" w:rsidRPr="00D1484A" w:rsidRDefault="00437BD3" w:rsidP="002B6C5C">
            <w:pPr>
              <w:spacing w:before="40" w:after="40"/>
              <w:jc w:val="center"/>
              <w:rPr>
                <w:color w:val="000000" w:themeColor="text1"/>
              </w:rPr>
            </w:pPr>
            <w:r w:rsidRPr="00132C1E">
              <w:rPr>
                <w:color w:val="000000" w:themeColor="text1"/>
              </w:rPr>
              <w:t>Annex L (3) a</w:t>
            </w:r>
          </w:p>
        </w:tc>
        <w:tc>
          <w:tcPr>
            <w:tcW w:w="2410" w:type="dxa"/>
            <w:tcBorders>
              <w:top w:val="single" w:sz="8" w:space="0" w:color="auto"/>
              <w:left w:val="single" w:sz="8" w:space="0" w:color="auto"/>
              <w:bottom w:val="single" w:sz="8" w:space="0" w:color="auto"/>
              <w:right w:val="single" w:sz="8" w:space="0" w:color="auto"/>
            </w:tcBorders>
            <w:vAlign w:val="center"/>
          </w:tcPr>
          <w:p w14:paraId="40AE8044" w14:textId="77777777" w:rsidR="00437BD3" w:rsidRPr="002144A0" w:rsidRDefault="00437BD3" w:rsidP="002B6C5C">
            <w:pPr>
              <w:spacing w:before="40" w:after="40"/>
              <w:jc w:val="left"/>
            </w:pPr>
            <w:r w:rsidRPr="00D1484A">
              <w:t xml:space="preserve">The yield deformation </w:t>
            </w:r>
            <w:r w:rsidRPr="00FD17CF">
              <w:rPr>
                <w:i/>
                <w:iCs/>
              </w:rPr>
              <w:t>δ</w:t>
            </w:r>
            <w:r w:rsidRPr="00FD17CF">
              <w:rPr>
                <w:vertAlign w:val="subscript"/>
              </w:rPr>
              <w:t xml:space="preserve">y </w:t>
            </w:r>
            <w:r w:rsidRPr="00E05E29">
              <w:t>obtained from the 1</w:t>
            </w:r>
            <w:r w:rsidRPr="00196951">
              <w:rPr>
                <w:vertAlign w:val="superscript"/>
              </w:rPr>
              <w:t>st</w:t>
            </w:r>
            <w:r w:rsidRPr="002144A0">
              <w:t xml:space="preserve"> cycle envelope load-deformation curve derived from the cyclic test.</w:t>
            </w:r>
          </w:p>
        </w:tc>
        <w:tc>
          <w:tcPr>
            <w:tcW w:w="2219" w:type="dxa"/>
            <w:tcBorders>
              <w:top w:val="single" w:sz="8" w:space="0" w:color="auto"/>
              <w:left w:val="single" w:sz="8" w:space="0" w:color="auto"/>
              <w:bottom w:val="single" w:sz="8" w:space="0" w:color="auto"/>
              <w:right w:val="single" w:sz="8" w:space="0" w:color="auto"/>
            </w:tcBorders>
            <w:vAlign w:val="center"/>
          </w:tcPr>
          <w:p w14:paraId="017B823B" w14:textId="77777777" w:rsidR="00437BD3" w:rsidRPr="002144A0" w:rsidRDefault="00437BD3" w:rsidP="002B6C5C">
            <w:pPr>
              <w:spacing w:before="40" w:after="40"/>
              <w:jc w:val="center"/>
              <w:rPr>
                <w:color w:val="000000" w:themeColor="text1"/>
              </w:rPr>
            </w:pPr>
            <w:r w:rsidRPr="002144A0">
              <w:rPr>
                <w:color w:val="000000" w:themeColor="text1"/>
              </w:rPr>
              <w:t>EN 12512</w:t>
            </w:r>
          </w:p>
          <w:p w14:paraId="7A3FB685" w14:textId="77777777" w:rsidR="00437BD3" w:rsidRPr="00C52095" w:rsidRDefault="00437BD3" w:rsidP="002B6C5C">
            <w:pPr>
              <w:spacing w:before="40" w:after="40"/>
              <w:jc w:val="center"/>
              <w:rPr>
                <w:color w:val="000000" w:themeColor="text1"/>
              </w:rPr>
            </w:pPr>
            <w:r w:rsidRPr="004F25D7">
              <w:rPr>
                <w:color w:val="000000" w:themeColor="text1"/>
              </w:rPr>
              <w:t>(revision is needed)</w:t>
            </w:r>
          </w:p>
        </w:tc>
        <w:tc>
          <w:tcPr>
            <w:tcW w:w="1750" w:type="dxa"/>
            <w:tcBorders>
              <w:top w:val="single" w:sz="8" w:space="0" w:color="auto"/>
              <w:left w:val="single" w:sz="8" w:space="0" w:color="auto"/>
              <w:bottom w:val="single" w:sz="8" w:space="0" w:color="auto"/>
              <w:right w:val="single" w:sz="8" w:space="0" w:color="auto"/>
            </w:tcBorders>
            <w:vAlign w:val="center"/>
          </w:tcPr>
          <w:p w14:paraId="794A0925" w14:textId="77777777" w:rsidR="00437BD3" w:rsidRPr="00132C1E" w:rsidRDefault="00437BD3" w:rsidP="002B6C5C">
            <w:pPr>
              <w:spacing w:before="40" w:after="40"/>
              <w:jc w:val="center"/>
              <w:rPr>
                <w:vertAlign w:val="subscript"/>
              </w:rPr>
            </w:pPr>
            <w:r w:rsidRPr="00C52095">
              <w:rPr>
                <w:i/>
                <w:iCs/>
              </w:rPr>
              <w:t>V</w:t>
            </w:r>
            <w:r w:rsidRPr="007754C9">
              <w:rPr>
                <w:vertAlign w:val="subscript"/>
              </w:rPr>
              <w:t>y</w:t>
            </w:r>
          </w:p>
        </w:tc>
        <w:tc>
          <w:tcPr>
            <w:tcW w:w="1559" w:type="dxa"/>
            <w:tcBorders>
              <w:top w:val="single" w:sz="8" w:space="0" w:color="auto"/>
              <w:left w:val="single" w:sz="8" w:space="0" w:color="auto"/>
              <w:bottom w:val="single" w:sz="8" w:space="0" w:color="auto"/>
              <w:right w:val="single" w:sz="8" w:space="0" w:color="auto"/>
            </w:tcBorders>
            <w:vAlign w:val="center"/>
          </w:tcPr>
          <w:p w14:paraId="284DCD59" w14:textId="77777777" w:rsidR="00437BD3" w:rsidRPr="00132C1E" w:rsidRDefault="00437BD3" w:rsidP="002B6C5C">
            <w:pPr>
              <w:spacing w:before="40" w:after="40"/>
              <w:jc w:val="center"/>
              <w:rPr>
                <w:vertAlign w:val="subscript"/>
              </w:rPr>
            </w:pPr>
            <w:r w:rsidRPr="00132C1E">
              <w:rPr>
                <w:i/>
                <w:iCs/>
              </w:rPr>
              <w:t>δ</w:t>
            </w:r>
            <w:r w:rsidRPr="00132C1E">
              <w:rPr>
                <w:vertAlign w:val="subscript"/>
              </w:rPr>
              <w:t>y</w:t>
            </w:r>
          </w:p>
        </w:tc>
      </w:tr>
      <w:tr w:rsidR="00437BD3" w:rsidRPr="00132C1E" w14:paraId="0E7B6204" w14:textId="77777777" w:rsidTr="00437BD3">
        <w:tc>
          <w:tcPr>
            <w:tcW w:w="1833" w:type="dxa"/>
            <w:tcBorders>
              <w:top w:val="single" w:sz="8" w:space="0" w:color="auto"/>
              <w:left w:val="single" w:sz="8" w:space="0" w:color="auto"/>
              <w:bottom w:val="single" w:sz="8" w:space="0" w:color="auto"/>
              <w:right w:val="single" w:sz="8" w:space="0" w:color="auto"/>
            </w:tcBorders>
            <w:vAlign w:val="center"/>
          </w:tcPr>
          <w:p w14:paraId="5DFADC1B" w14:textId="77777777" w:rsidR="00437BD3" w:rsidRPr="00D1484A" w:rsidRDefault="00437BD3" w:rsidP="002B6C5C">
            <w:pPr>
              <w:spacing w:before="40" w:after="40"/>
              <w:jc w:val="center"/>
              <w:rPr>
                <w:color w:val="000000" w:themeColor="text1"/>
              </w:rPr>
            </w:pPr>
            <w:r w:rsidRPr="00132C1E">
              <w:rPr>
                <w:color w:val="000000" w:themeColor="text1"/>
              </w:rPr>
              <w:t>Annex L (3) a</w:t>
            </w:r>
          </w:p>
        </w:tc>
        <w:tc>
          <w:tcPr>
            <w:tcW w:w="2410" w:type="dxa"/>
            <w:tcBorders>
              <w:top w:val="single" w:sz="8" w:space="0" w:color="auto"/>
              <w:left w:val="single" w:sz="8" w:space="0" w:color="auto"/>
              <w:bottom w:val="single" w:sz="8" w:space="0" w:color="auto"/>
              <w:right w:val="single" w:sz="8" w:space="0" w:color="auto"/>
            </w:tcBorders>
            <w:vAlign w:val="center"/>
          </w:tcPr>
          <w:p w14:paraId="7BDAD7CA" w14:textId="77777777" w:rsidR="00437BD3" w:rsidRPr="002144A0" w:rsidRDefault="00437BD3" w:rsidP="002B6C5C">
            <w:pPr>
              <w:spacing w:before="40" w:after="40"/>
              <w:jc w:val="left"/>
            </w:pPr>
            <w:r w:rsidRPr="00D1484A">
              <w:t xml:space="preserve">The yield load </w:t>
            </w:r>
            <w:r w:rsidRPr="007E6F67">
              <w:rPr>
                <w:i/>
                <w:iCs/>
              </w:rPr>
              <w:t>F</w:t>
            </w:r>
            <w:r w:rsidRPr="00FD17CF">
              <w:rPr>
                <w:vertAlign w:val="subscript"/>
              </w:rPr>
              <w:t xml:space="preserve">y </w:t>
            </w:r>
            <w:r w:rsidRPr="00E05E29">
              <w:t>obtained from the 1</w:t>
            </w:r>
            <w:r w:rsidRPr="00196951">
              <w:rPr>
                <w:vertAlign w:val="superscript"/>
              </w:rPr>
              <w:t>st</w:t>
            </w:r>
            <w:r w:rsidRPr="002144A0">
              <w:t xml:space="preserve"> cycle envelope load-deformation curve derived from the cyclic test.</w:t>
            </w:r>
          </w:p>
        </w:tc>
        <w:tc>
          <w:tcPr>
            <w:tcW w:w="2219" w:type="dxa"/>
            <w:tcBorders>
              <w:top w:val="single" w:sz="8" w:space="0" w:color="auto"/>
              <w:left w:val="single" w:sz="8" w:space="0" w:color="auto"/>
              <w:bottom w:val="single" w:sz="8" w:space="0" w:color="auto"/>
              <w:right w:val="single" w:sz="8" w:space="0" w:color="auto"/>
            </w:tcBorders>
          </w:tcPr>
          <w:p w14:paraId="15955460" w14:textId="77777777" w:rsidR="00437BD3" w:rsidRPr="002144A0" w:rsidRDefault="00437BD3" w:rsidP="002B6C5C">
            <w:pPr>
              <w:spacing w:before="40" w:after="40"/>
              <w:jc w:val="center"/>
              <w:rPr>
                <w:color w:val="000000" w:themeColor="text1"/>
              </w:rPr>
            </w:pPr>
            <w:r w:rsidRPr="002144A0">
              <w:rPr>
                <w:color w:val="000000" w:themeColor="text1"/>
              </w:rPr>
              <w:t>EN 12512</w:t>
            </w:r>
          </w:p>
          <w:p w14:paraId="1CD2A13F" w14:textId="77777777" w:rsidR="00437BD3" w:rsidRPr="00C52095" w:rsidRDefault="00437BD3" w:rsidP="002B6C5C">
            <w:pPr>
              <w:spacing w:before="40" w:after="40"/>
              <w:jc w:val="center"/>
              <w:rPr>
                <w:color w:val="000000" w:themeColor="text1"/>
              </w:rPr>
            </w:pPr>
            <w:r w:rsidRPr="004F25D7">
              <w:rPr>
                <w:color w:val="000000" w:themeColor="text1"/>
              </w:rPr>
              <w:t>(revision is needed</w:t>
            </w:r>
            <w:r w:rsidRPr="00C52095">
              <w:rPr>
                <w:color w:val="000000" w:themeColor="text1"/>
              </w:rPr>
              <w:t>)</w:t>
            </w:r>
          </w:p>
        </w:tc>
        <w:tc>
          <w:tcPr>
            <w:tcW w:w="1750" w:type="dxa"/>
            <w:tcBorders>
              <w:top w:val="single" w:sz="8" w:space="0" w:color="auto"/>
              <w:left w:val="single" w:sz="8" w:space="0" w:color="auto"/>
              <w:bottom w:val="single" w:sz="8" w:space="0" w:color="auto"/>
              <w:right w:val="single" w:sz="8" w:space="0" w:color="auto"/>
            </w:tcBorders>
            <w:vAlign w:val="center"/>
          </w:tcPr>
          <w:p w14:paraId="5780B478" w14:textId="77777777" w:rsidR="00437BD3" w:rsidRPr="00132C1E" w:rsidRDefault="00437BD3" w:rsidP="002B6C5C">
            <w:pPr>
              <w:spacing w:before="40" w:after="40"/>
              <w:jc w:val="center"/>
              <w:rPr>
                <w:vertAlign w:val="subscript"/>
              </w:rPr>
            </w:pPr>
            <w:r w:rsidRPr="00C52095">
              <w:rPr>
                <w:i/>
                <w:iCs/>
              </w:rPr>
              <w:t>F</w:t>
            </w:r>
            <w:r w:rsidRPr="007754C9">
              <w:rPr>
                <w:vertAlign w:val="subscript"/>
              </w:rPr>
              <w:t>y</w:t>
            </w:r>
          </w:p>
        </w:tc>
        <w:tc>
          <w:tcPr>
            <w:tcW w:w="1559" w:type="dxa"/>
            <w:tcBorders>
              <w:top w:val="single" w:sz="8" w:space="0" w:color="auto"/>
              <w:left w:val="single" w:sz="8" w:space="0" w:color="auto"/>
              <w:bottom w:val="single" w:sz="8" w:space="0" w:color="auto"/>
              <w:right w:val="single" w:sz="8" w:space="0" w:color="auto"/>
            </w:tcBorders>
            <w:vAlign w:val="center"/>
          </w:tcPr>
          <w:p w14:paraId="7F983D7A" w14:textId="77777777" w:rsidR="00437BD3" w:rsidRPr="00132C1E" w:rsidRDefault="00437BD3" w:rsidP="002B6C5C">
            <w:pPr>
              <w:spacing w:before="40" w:after="40"/>
              <w:jc w:val="center"/>
              <w:rPr>
                <w:vertAlign w:val="subscript"/>
              </w:rPr>
            </w:pPr>
            <w:r w:rsidRPr="00132C1E">
              <w:rPr>
                <w:i/>
                <w:iCs/>
              </w:rPr>
              <w:t>F</w:t>
            </w:r>
            <w:r w:rsidRPr="00132C1E">
              <w:rPr>
                <w:vertAlign w:val="subscript"/>
              </w:rPr>
              <w:t>y</w:t>
            </w:r>
          </w:p>
        </w:tc>
      </w:tr>
      <w:tr w:rsidR="00437BD3" w:rsidRPr="00132C1E" w14:paraId="2CB85485" w14:textId="77777777" w:rsidTr="00437BD3">
        <w:tc>
          <w:tcPr>
            <w:tcW w:w="1833" w:type="dxa"/>
            <w:tcBorders>
              <w:top w:val="single" w:sz="8" w:space="0" w:color="auto"/>
              <w:left w:val="single" w:sz="8" w:space="0" w:color="auto"/>
              <w:bottom w:val="single" w:sz="8" w:space="0" w:color="auto"/>
              <w:right w:val="single" w:sz="8" w:space="0" w:color="auto"/>
            </w:tcBorders>
            <w:vAlign w:val="center"/>
          </w:tcPr>
          <w:p w14:paraId="2E6BEE20" w14:textId="77777777" w:rsidR="00437BD3" w:rsidRPr="00D1484A" w:rsidRDefault="00437BD3" w:rsidP="002B6C5C">
            <w:pPr>
              <w:spacing w:before="40" w:after="40"/>
              <w:jc w:val="center"/>
              <w:rPr>
                <w:color w:val="000000" w:themeColor="text1"/>
              </w:rPr>
            </w:pPr>
            <w:r w:rsidRPr="00132C1E">
              <w:rPr>
                <w:color w:val="000000" w:themeColor="text1"/>
              </w:rPr>
              <w:t>Annex L (3) a</w:t>
            </w:r>
          </w:p>
        </w:tc>
        <w:tc>
          <w:tcPr>
            <w:tcW w:w="2410" w:type="dxa"/>
            <w:tcBorders>
              <w:top w:val="single" w:sz="8" w:space="0" w:color="auto"/>
              <w:left w:val="single" w:sz="8" w:space="0" w:color="auto"/>
              <w:bottom w:val="single" w:sz="8" w:space="0" w:color="auto"/>
              <w:right w:val="single" w:sz="8" w:space="0" w:color="auto"/>
            </w:tcBorders>
            <w:vAlign w:val="center"/>
          </w:tcPr>
          <w:p w14:paraId="7D9AFDB7" w14:textId="50BFBB94" w:rsidR="00437BD3" w:rsidRPr="00E05E29" w:rsidRDefault="00437BD3" w:rsidP="002B6C5C">
            <w:pPr>
              <w:spacing w:before="40" w:after="40"/>
              <w:jc w:val="left"/>
            </w:pPr>
            <w:r w:rsidRPr="00D1484A">
              <w:t>The maximum load attained on the 1</w:t>
            </w:r>
            <w:r w:rsidRPr="00FD17CF">
              <w:rPr>
                <w:vertAlign w:val="superscript"/>
              </w:rPr>
              <w:t>st</w:t>
            </w:r>
            <w:r w:rsidRPr="00FD17CF">
              <w:t xml:space="preserve"> cycle envelope load-deformation curve during a cyclic test .</w:t>
            </w:r>
          </w:p>
        </w:tc>
        <w:tc>
          <w:tcPr>
            <w:tcW w:w="2219" w:type="dxa"/>
            <w:tcBorders>
              <w:top w:val="single" w:sz="8" w:space="0" w:color="auto"/>
              <w:left w:val="single" w:sz="8" w:space="0" w:color="auto"/>
              <w:bottom w:val="single" w:sz="8" w:space="0" w:color="auto"/>
              <w:right w:val="single" w:sz="8" w:space="0" w:color="auto"/>
            </w:tcBorders>
          </w:tcPr>
          <w:p w14:paraId="3E04493F" w14:textId="77777777" w:rsidR="00437BD3" w:rsidRPr="002144A0" w:rsidRDefault="00437BD3" w:rsidP="002B6C5C">
            <w:pPr>
              <w:spacing w:before="40" w:after="40"/>
              <w:jc w:val="center"/>
              <w:rPr>
                <w:color w:val="000000" w:themeColor="text1"/>
              </w:rPr>
            </w:pPr>
            <w:r w:rsidRPr="00196951">
              <w:rPr>
                <w:color w:val="000000" w:themeColor="text1"/>
              </w:rPr>
              <w:t>EN 12512</w:t>
            </w:r>
          </w:p>
          <w:p w14:paraId="457AC1CA" w14:textId="77777777" w:rsidR="00437BD3" w:rsidRPr="002144A0" w:rsidRDefault="00437BD3" w:rsidP="002B6C5C">
            <w:pPr>
              <w:spacing w:before="40" w:after="40"/>
              <w:rPr>
                <w:color w:val="000000" w:themeColor="text1"/>
              </w:rPr>
            </w:pPr>
            <w:r w:rsidRPr="002144A0">
              <w:rPr>
                <w:color w:val="000000" w:themeColor="text1"/>
              </w:rPr>
              <w:t>(revision is needed)</w:t>
            </w:r>
          </w:p>
        </w:tc>
        <w:tc>
          <w:tcPr>
            <w:tcW w:w="1750" w:type="dxa"/>
            <w:tcBorders>
              <w:top w:val="single" w:sz="8" w:space="0" w:color="auto"/>
              <w:left w:val="single" w:sz="8" w:space="0" w:color="auto"/>
              <w:bottom w:val="single" w:sz="8" w:space="0" w:color="auto"/>
              <w:right w:val="single" w:sz="8" w:space="0" w:color="auto"/>
            </w:tcBorders>
            <w:vAlign w:val="center"/>
          </w:tcPr>
          <w:p w14:paraId="11693C4D" w14:textId="77777777" w:rsidR="00437BD3" w:rsidRPr="002144A0" w:rsidRDefault="00437BD3" w:rsidP="002B6C5C">
            <w:pPr>
              <w:spacing w:before="40" w:after="40"/>
              <w:jc w:val="center"/>
            </w:pPr>
          </w:p>
        </w:tc>
        <w:tc>
          <w:tcPr>
            <w:tcW w:w="1559" w:type="dxa"/>
            <w:tcBorders>
              <w:top w:val="single" w:sz="8" w:space="0" w:color="auto"/>
              <w:left w:val="single" w:sz="8" w:space="0" w:color="auto"/>
              <w:bottom w:val="single" w:sz="8" w:space="0" w:color="auto"/>
              <w:right w:val="single" w:sz="8" w:space="0" w:color="auto"/>
            </w:tcBorders>
            <w:vAlign w:val="center"/>
          </w:tcPr>
          <w:p w14:paraId="0D3B0841" w14:textId="77777777" w:rsidR="00437BD3" w:rsidRPr="002144A0" w:rsidRDefault="00437BD3" w:rsidP="002B6C5C">
            <w:pPr>
              <w:spacing w:before="40" w:after="40"/>
              <w:jc w:val="center"/>
            </w:pPr>
          </w:p>
        </w:tc>
      </w:tr>
      <w:tr w:rsidR="00437BD3" w:rsidRPr="00132C1E" w14:paraId="1CDE34C4" w14:textId="77777777" w:rsidTr="00437BD3">
        <w:tc>
          <w:tcPr>
            <w:tcW w:w="1833" w:type="dxa"/>
            <w:tcBorders>
              <w:top w:val="single" w:sz="8" w:space="0" w:color="auto"/>
              <w:left w:val="single" w:sz="8" w:space="0" w:color="auto"/>
              <w:bottom w:val="single" w:sz="8" w:space="0" w:color="auto"/>
              <w:right w:val="single" w:sz="8" w:space="0" w:color="auto"/>
            </w:tcBorders>
            <w:vAlign w:val="center"/>
          </w:tcPr>
          <w:p w14:paraId="368F40EB" w14:textId="77777777" w:rsidR="00437BD3" w:rsidRPr="00D1484A" w:rsidRDefault="00437BD3" w:rsidP="002B6C5C">
            <w:pPr>
              <w:spacing w:before="40" w:after="40"/>
              <w:jc w:val="center"/>
              <w:rPr>
                <w:color w:val="000000" w:themeColor="text1"/>
              </w:rPr>
            </w:pPr>
            <w:r w:rsidRPr="00132C1E">
              <w:rPr>
                <w:color w:val="000000" w:themeColor="text1"/>
              </w:rPr>
              <w:t>Annex L (3) a</w:t>
            </w:r>
          </w:p>
        </w:tc>
        <w:tc>
          <w:tcPr>
            <w:tcW w:w="2410" w:type="dxa"/>
            <w:tcBorders>
              <w:top w:val="single" w:sz="8" w:space="0" w:color="auto"/>
              <w:left w:val="single" w:sz="8" w:space="0" w:color="auto"/>
              <w:bottom w:val="single" w:sz="8" w:space="0" w:color="auto"/>
              <w:right w:val="single" w:sz="8" w:space="0" w:color="auto"/>
            </w:tcBorders>
            <w:vAlign w:val="center"/>
          </w:tcPr>
          <w:p w14:paraId="30BA3F9A" w14:textId="668BF986" w:rsidR="00437BD3" w:rsidRPr="00FD17CF" w:rsidRDefault="00437BD3" w:rsidP="002B6C5C">
            <w:pPr>
              <w:spacing w:before="40" w:after="40"/>
              <w:jc w:val="left"/>
            </w:pPr>
            <w:r w:rsidRPr="00D1484A">
              <w:t>The deformation attained at the maximum load.</w:t>
            </w:r>
          </w:p>
        </w:tc>
        <w:tc>
          <w:tcPr>
            <w:tcW w:w="2219" w:type="dxa"/>
            <w:tcBorders>
              <w:top w:val="single" w:sz="8" w:space="0" w:color="auto"/>
              <w:left w:val="single" w:sz="8" w:space="0" w:color="auto"/>
              <w:bottom w:val="single" w:sz="8" w:space="0" w:color="auto"/>
              <w:right w:val="single" w:sz="8" w:space="0" w:color="auto"/>
            </w:tcBorders>
          </w:tcPr>
          <w:p w14:paraId="7426D4AE" w14:textId="77777777" w:rsidR="00437BD3" w:rsidRPr="00196951" w:rsidRDefault="00437BD3" w:rsidP="002B6C5C">
            <w:pPr>
              <w:spacing w:before="40" w:after="40"/>
              <w:jc w:val="center"/>
              <w:rPr>
                <w:color w:val="000000" w:themeColor="text1"/>
              </w:rPr>
            </w:pPr>
            <w:r w:rsidRPr="00E05E29">
              <w:rPr>
                <w:color w:val="000000" w:themeColor="text1"/>
              </w:rPr>
              <w:t>EN 12512</w:t>
            </w:r>
          </w:p>
          <w:p w14:paraId="10B9F9F8" w14:textId="77777777" w:rsidR="00437BD3" w:rsidRPr="002144A0" w:rsidRDefault="00437BD3" w:rsidP="002B6C5C">
            <w:pPr>
              <w:spacing w:before="40" w:after="40"/>
              <w:jc w:val="center"/>
              <w:rPr>
                <w:color w:val="000000" w:themeColor="text1"/>
              </w:rPr>
            </w:pPr>
            <w:r w:rsidRPr="002144A0">
              <w:rPr>
                <w:color w:val="000000" w:themeColor="text1"/>
              </w:rPr>
              <w:t>(revision is needed)</w:t>
            </w:r>
          </w:p>
        </w:tc>
        <w:tc>
          <w:tcPr>
            <w:tcW w:w="1750" w:type="dxa"/>
            <w:tcBorders>
              <w:top w:val="single" w:sz="8" w:space="0" w:color="auto"/>
              <w:left w:val="single" w:sz="8" w:space="0" w:color="auto"/>
              <w:bottom w:val="single" w:sz="8" w:space="0" w:color="auto"/>
              <w:right w:val="single" w:sz="8" w:space="0" w:color="auto"/>
            </w:tcBorders>
            <w:vAlign w:val="center"/>
          </w:tcPr>
          <w:p w14:paraId="49B76228" w14:textId="77777777" w:rsidR="00437BD3" w:rsidRPr="002144A0" w:rsidRDefault="00437BD3" w:rsidP="002B6C5C">
            <w:pPr>
              <w:spacing w:before="40" w:after="40"/>
              <w:jc w:val="center"/>
            </w:pPr>
            <w:r w:rsidRPr="002144A0">
              <w:t>-</w:t>
            </w:r>
          </w:p>
        </w:tc>
        <w:tc>
          <w:tcPr>
            <w:tcW w:w="1559" w:type="dxa"/>
            <w:tcBorders>
              <w:top w:val="single" w:sz="8" w:space="0" w:color="auto"/>
              <w:left w:val="single" w:sz="8" w:space="0" w:color="auto"/>
              <w:bottom w:val="single" w:sz="8" w:space="0" w:color="auto"/>
              <w:right w:val="single" w:sz="8" w:space="0" w:color="auto"/>
            </w:tcBorders>
            <w:vAlign w:val="center"/>
          </w:tcPr>
          <w:p w14:paraId="1B3D61D0" w14:textId="77777777" w:rsidR="00437BD3" w:rsidRPr="00C52095" w:rsidRDefault="00437BD3" w:rsidP="002B6C5C">
            <w:pPr>
              <w:spacing w:before="40" w:after="40"/>
              <w:jc w:val="center"/>
              <w:rPr>
                <w:vertAlign w:val="subscript"/>
              </w:rPr>
            </w:pPr>
            <w:r w:rsidRPr="002144A0">
              <w:rPr>
                <w:i/>
                <w:iCs/>
              </w:rPr>
              <w:t>δ</w:t>
            </w:r>
            <w:r w:rsidRPr="004F25D7">
              <w:rPr>
                <w:vertAlign w:val="subscript"/>
              </w:rPr>
              <w:t>Fmax</w:t>
            </w:r>
          </w:p>
        </w:tc>
      </w:tr>
      <w:tr w:rsidR="00437BD3" w:rsidRPr="00132C1E" w14:paraId="240478DA" w14:textId="77777777" w:rsidTr="00437BD3">
        <w:tc>
          <w:tcPr>
            <w:tcW w:w="1833" w:type="dxa"/>
            <w:tcBorders>
              <w:top w:val="single" w:sz="8" w:space="0" w:color="auto"/>
              <w:left w:val="single" w:sz="8" w:space="0" w:color="auto"/>
              <w:bottom w:val="single" w:sz="8" w:space="0" w:color="auto"/>
              <w:right w:val="single" w:sz="8" w:space="0" w:color="auto"/>
            </w:tcBorders>
            <w:vAlign w:val="center"/>
          </w:tcPr>
          <w:p w14:paraId="139B12A1" w14:textId="77777777" w:rsidR="00437BD3" w:rsidRPr="00D1484A" w:rsidRDefault="00437BD3" w:rsidP="002B6C5C">
            <w:pPr>
              <w:spacing w:before="40" w:after="40"/>
              <w:jc w:val="center"/>
              <w:rPr>
                <w:color w:val="000000" w:themeColor="text1"/>
              </w:rPr>
            </w:pPr>
            <w:r w:rsidRPr="00132C1E">
              <w:rPr>
                <w:color w:val="000000" w:themeColor="text1"/>
              </w:rPr>
              <w:t>Annex L (3) c</w:t>
            </w:r>
          </w:p>
        </w:tc>
        <w:tc>
          <w:tcPr>
            <w:tcW w:w="2410" w:type="dxa"/>
            <w:tcBorders>
              <w:top w:val="single" w:sz="8" w:space="0" w:color="auto"/>
              <w:left w:val="single" w:sz="8" w:space="0" w:color="auto"/>
              <w:bottom w:val="single" w:sz="8" w:space="0" w:color="auto"/>
              <w:right w:val="single" w:sz="8" w:space="0" w:color="auto"/>
            </w:tcBorders>
            <w:vAlign w:val="center"/>
          </w:tcPr>
          <w:p w14:paraId="3F2672A5" w14:textId="77777777" w:rsidR="00437BD3" w:rsidRPr="00196951" w:rsidRDefault="00437BD3" w:rsidP="002B6C5C">
            <w:pPr>
              <w:spacing w:before="40" w:after="40"/>
              <w:jc w:val="left"/>
            </w:pPr>
            <w:r w:rsidRPr="00D1484A">
              <w:t xml:space="preserve">The ultimate deformation </w:t>
            </w:r>
            <w:r w:rsidRPr="00FD17CF">
              <w:rPr>
                <w:i/>
                <w:iCs/>
              </w:rPr>
              <w:t>δ</w:t>
            </w:r>
            <w:r w:rsidRPr="00FD17CF">
              <w:rPr>
                <w:vertAlign w:val="subscript"/>
              </w:rPr>
              <w:t xml:space="preserve">u </w:t>
            </w:r>
            <w:r w:rsidRPr="00E05E29">
              <w:t>derived from the cyclic test.</w:t>
            </w:r>
          </w:p>
        </w:tc>
        <w:tc>
          <w:tcPr>
            <w:tcW w:w="2219" w:type="dxa"/>
            <w:tcBorders>
              <w:top w:val="single" w:sz="8" w:space="0" w:color="auto"/>
              <w:left w:val="single" w:sz="8" w:space="0" w:color="auto"/>
              <w:bottom w:val="single" w:sz="8" w:space="0" w:color="auto"/>
              <w:right w:val="single" w:sz="8" w:space="0" w:color="auto"/>
            </w:tcBorders>
            <w:vAlign w:val="center"/>
          </w:tcPr>
          <w:p w14:paraId="4108FAB5" w14:textId="77777777" w:rsidR="00437BD3" w:rsidRPr="002144A0" w:rsidRDefault="00437BD3" w:rsidP="002B6C5C">
            <w:pPr>
              <w:spacing w:before="40" w:after="40"/>
              <w:jc w:val="center"/>
              <w:rPr>
                <w:color w:val="000000" w:themeColor="text1"/>
              </w:rPr>
            </w:pPr>
            <w:r w:rsidRPr="002144A0">
              <w:rPr>
                <w:color w:val="000000" w:themeColor="text1"/>
              </w:rPr>
              <w:t>EN 12512</w:t>
            </w:r>
          </w:p>
          <w:p w14:paraId="1086D8A2" w14:textId="77777777" w:rsidR="00437BD3" w:rsidRPr="004F25D7" w:rsidRDefault="00437BD3" w:rsidP="002B6C5C">
            <w:pPr>
              <w:spacing w:before="40" w:after="40"/>
              <w:jc w:val="center"/>
              <w:rPr>
                <w:color w:val="000000" w:themeColor="text1"/>
              </w:rPr>
            </w:pPr>
            <w:r w:rsidRPr="002144A0">
              <w:rPr>
                <w:color w:val="000000" w:themeColor="text1"/>
              </w:rPr>
              <w:t>(revision is needed</w:t>
            </w:r>
          </w:p>
        </w:tc>
        <w:tc>
          <w:tcPr>
            <w:tcW w:w="1750" w:type="dxa"/>
            <w:tcBorders>
              <w:top w:val="single" w:sz="8" w:space="0" w:color="auto"/>
              <w:left w:val="single" w:sz="8" w:space="0" w:color="auto"/>
              <w:bottom w:val="single" w:sz="8" w:space="0" w:color="auto"/>
              <w:right w:val="single" w:sz="8" w:space="0" w:color="auto"/>
            </w:tcBorders>
            <w:vAlign w:val="center"/>
          </w:tcPr>
          <w:p w14:paraId="20318164" w14:textId="77777777" w:rsidR="00437BD3" w:rsidRPr="00C52095" w:rsidRDefault="00437BD3" w:rsidP="002B6C5C">
            <w:pPr>
              <w:spacing w:before="40" w:after="40"/>
              <w:jc w:val="center"/>
              <w:rPr>
                <w:vertAlign w:val="subscript"/>
              </w:rPr>
            </w:pPr>
            <w:r w:rsidRPr="00C52095">
              <w:rPr>
                <w:i/>
                <w:iCs/>
              </w:rPr>
              <w:t>V</w:t>
            </w:r>
            <w:r w:rsidRPr="00C52095">
              <w:rPr>
                <w:vertAlign w:val="subscript"/>
              </w:rPr>
              <w:t>u</w:t>
            </w:r>
          </w:p>
        </w:tc>
        <w:tc>
          <w:tcPr>
            <w:tcW w:w="1559" w:type="dxa"/>
            <w:tcBorders>
              <w:top w:val="single" w:sz="8" w:space="0" w:color="auto"/>
              <w:left w:val="single" w:sz="8" w:space="0" w:color="auto"/>
              <w:bottom w:val="single" w:sz="8" w:space="0" w:color="auto"/>
              <w:right w:val="single" w:sz="8" w:space="0" w:color="auto"/>
            </w:tcBorders>
            <w:vAlign w:val="center"/>
          </w:tcPr>
          <w:p w14:paraId="263D9832" w14:textId="77777777" w:rsidR="00437BD3" w:rsidRPr="00132C1E" w:rsidRDefault="00437BD3" w:rsidP="002B6C5C">
            <w:pPr>
              <w:spacing w:before="40" w:after="40"/>
              <w:jc w:val="center"/>
              <w:rPr>
                <w:vertAlign w:val="subscript"/>
              </w:rPr>
            </w:pPr>
            <w:r w:rsidRPr="007754C9">
              <w:rPr>
                <w:i/>
                <w:iCs/>
              </w:rPr>
              <w:t>δ</w:t>
            </w:r>
            <w:r w:rsidRPr="00132C1E">
              <w:rPr>
                <w:vertAlign w:val="subscript"/>
              </w:rPr>
              <w:t>u</w:t>
            </w:r>
          </w:p>
        </w:tc>
      </w:tr>
      <w:tr w:rsidR="00437BD3" w:rsidRPr="00132C1E" w14:paraId="4657731F" w14:textId="77777777" w:rsidTr="00437BD3">
        <w:tc>
          <w:tcPr>
            <w:tcW w:w="1833" w:type="dxa"/>
            <w:tcBorders>
              <w:top w:val="single" w:sz="8" w:space="0" w:color="auto"/>
              <w:left w:val="single" w:sz="8" w:space="0" w:color="auto"/>
              <w:bottom w:val="single" w:sz="8" w:space="0" w:color="auto"/>
              <w:right w:val="single" w:sz="8" w:space="0" w:color="auto"/>
            </w:tcBorders>
            <w:vAlign w:val="center"/>
          </w:tcPr>
          <w:p w14:paraId="5A9D0FFF" w14:textId="77777777" w:rsidR="00437BD3" w:rsidRPr="00D1484A" w:rsidRDefault="00437BD3" w:rsidP="002B6C5C">
            <w:pPr>
              <w:spacing w:before="40" w:after="40"/>
              <w:jc w:val="center"/>
              <w:rPr>
                <w:color w:val="000000" w:themeColor="text1"/>
              </w:rPr>
            </w:pPr>
            <w:r w:rsidRPr="00132C1E">
              <w:rPr>
                <w:color w:val="000000" w:themeColor="text1"/>
              </w:rPr>
              <w:t>Annex L (3) c</w:t>
            </w:r>
          </w:p>
        </w:tc>
        <w:tc>
          <w:tcPr>
            <w:tcW w:w="2410" w:type="dxa"/>
            <w:tcBorders>
              <w:top w:val="single" w:sz="8" w:space="0" w:color="auto"/>
              <w:left w:val="single" w:sz="8" w:space="0" w:color="auto"/>
              <w:bottom w:val="single" w:sz="8" w:space="0" w:color="auto"/>
              <w:right w:val="single" w:sz="8" w:space="0" w:color="auto"/>
            </w:tcBorders>
            <w:vAlign w:val="center"/>
          </w:tcPr>
          <w:p w14:paraId="567B8A71" w14:textId="77777777" w:rsidR="00437BD3" w:rsidRPr="00C52095" w:rsidRDefault="00437BD3" w:rsidP="002B6C5C">
            <w:pPr>
              <w:spacing w:before="40" w:after="40"/>
              <w:jc w:val="left"/>
            </w:pPr>
            <w:r w:rsidRPr="00D1484A">
              <w:t xml:space="preserve">The ultimate load </w:t>
            </w:r>
            <w:r w:rsidRPr="00FD17CF">
              <w:rPr>
                <w:i/>
                <w:iCs/>
              </w:rPr>
              <w:t>F</w:t>
            </w:r>
            <w:r w:rsidRPr="00FD17CF">
              <w:rPr>
                <w:vertAlign w:val="subscript"/>
              </w:rPr>
              <w:t xml:space="preserve">u </w:t>
            </w:r>
            <w:r w:rsidRPr="00FD17CF">
              <w:t>attained on the 1</w:t>
            </w:r>
            <w:r w:rsidRPr="00E05E29">
              <w:rPr>
                <w:vertAlign w:val="superscript"/>
              </w:rPr>
              <w:t>st</w:t>
            </w:r>
            <w:r w:rsidRPr="00196951">
              <w:t xml:space="preserve"> cycle envelope load-deformation curve which is determined according to EN 12512 assuming a limit value of the strength impairment factor </w:t>
            </w:r>
            <w:r w:rsidRPr="002144A0">
              <w:rPr>
                <w:i/>
                <w:iCs/>
              </w:rPr>
              <w:t>φ</w:t>
            </w:r>
            <w:r w:rsidRPr="002144A0">
              <w:rPr>
                <w:vertAlign w:val="subscript"/>
              </w:rPr>
              <w:t>imp</w:t>
            </w:r>
            <w:r w:rsidRPr="002144A0">
              <w:t xml:space="preserve"> not greater than 0,30 and a limit value of the strength reduction factor due to degradation under cyclic loading </w:t>
            </w:r>
            <w:r w:rsidRPr="004F25D7">
              <w:rPr>
                <w:i/>
                <w:iCs/>
              </w:rPr>
              <w:t>k</w:t>
            </w:r>
            <w:r w:rsidRPr="00C52095">
              <w:rPr>
                <w:vertAlign w:val="subscript"/>
              </w:rPr>
              <w:t>deg</w:t>
            </w:r>
            <w:r w:rsidRPr="00C52095">
              <w:t xml:space="preserve"> not lower than 0,80.</w:t>
            </w:r>
          </w:p>
        </w:tc>
        <w:tc>
          <w:tcPr>
            <w:tcW w:w="2219" w:type="dxa"/>
            <w:tcBorders>
              <w:top w:val="single" w:sz="8" w:space="0" w:color="auto"/>
              <w:left w:val="single" w:sz="8" w:space="0" w:color="auto"/>
              <w:bottom w:val="single" w:sz="8" w:space="0" w:color="auto"/>
              <w:right w:val="single" w:sz="8" w:space="0" w:color="auto"/>
            </w:tcBorders>
            <w:vAlign w:val="center"/>
          </w:tcPr>
          <w:p w14:paraId="5C7B04F7" w14:textId="77777777" w:rsidR="00437BD3" w:rsidRPr="00132C1E" w:rsidRDefault="00437BD3" w:rsidP="002B6C5C">
            <w:pPr>
              <w:spacing w:before="40" w:after="40"/>
              <w:jc w:val="center"/>
              <w:rPr>
                <w:color w:val="000000" w:themeColor="text1"/>
              </w:rPr>
            </w:pPr>
            <w:r w:rsidRPr="007754C9">
              <w:rPr>
                <w:color w:val="000000" w:themeColor="text1"/>
              </w:rPr>
              <w:t>EN 12512</w:t>
            </w:r>
          </w:p>
          <w:p w14:paraId="767A517E" w14:textId="77777777" w:rsidR="00437BD3" w:rsidRPr="00132C1E" w:rsidRDefault="00437BD3" w:rsidP="002B6C5C">
            <w:pPr>
              <w:spacing w:before="40" w:after="40"/>
              <w:jc w:val="center"/>
              <w:rPr>
                <w:color w:val="000000" w:themeColor="text1"/>
              </w:rPr>
            </w:pPr>
            <w:r w:rsidRPr="00132C1E">
              <w:rPr>
                <w:color w:val="000000" w:themeColor="text1"/>
              </w:rPr>
              <w:t>(revision is needed</w:t>
            </w:r>
          </w:p>
        </w:tc>
        <w:tc>
          <w:tcPr>
            <w:tcW w:w="1750" w:type="dxa"/>
            <w:tcBorders>
              <w:top w:val="single" w:sz="8" w:space="0" w:color="auto"/>
              <w:left w:val="single" w:sz="8" w:space="0" w:color="auto"/>
              <w:bottom w:val="single" w:sz="8" w:space="0" w:color="auto"/>
              <w:right w:val="single" w:sz="8" w:space="0" w:color="auto"/>
            </w:tcBorders>
            <w:vAlign w:val="center"/>
          </w:tcPr>
          <w:p w14:paraId="4D953FD7" w14:textId="77777777" w:rsidR="00437BD3" w:rsidRPr="00132C1E" w:rsidRDefault="00437BD3" w:rsidP="002B6C5C">
            <w:pPr>
              <w:spacing w:before="40" w:after="40"/>
              <w:jc w:val="center"/>
              <w:rPr>
                <w:vertAlign w:val="subscript"/>
              </w:rPr>
            </w:pPr>
            <w:r w:rsidRPr="00132C1E">
              <w:rPr>
                <w:i/>
                <w:iCs/>
              </w:rPr>
              <w:t>F</w:t>
            </w:r>
            <w:r w:rsidRPr="00132C1E">
              <w:rPr>
                <w:vertAlign w:val="subscript"/>
              </w:rPr>
              <w:t>u</w:t>
            </w:r>
          </w:p>
        </w:tc>
        <w:tc>
          <w:tcPr>
            <w:tcW w:w="1559" w:type="dxa"/>
            <w:tcBorders>
              <w:top w:val="single" w:sz="8" w:space="0" w:color="auto"/>
              <w:left w:val="single" w:sz="8" w:space="0" w:color="auto"/>
              <w:bottom w:val="single" w:sz="8" w:space="0" w:color="auto"/>
              <w:right w:val="single" w:sz="8" w:space="0" w:color="auto"/>
            </w:tcBorders>
            <w:vAlign w:val="center"/>
          </w:tcPr>
          <w:p w14:paraId="71BEF8B0" w14:textId="77777777" w:rsidR="00437BD3" w:rsidRPr="00132C1E" w:rsidRDefault="00437BD3" w:rsidP="002B6C5C">
            <w:pPr>
              <w:spacing w:before="40" w:after="40"/>
              <w:jc w:val="center"/>
              <w:rPr>
                <w:vertAlign w:val="subscript"/>
              </w:rPr>
            </w:pPr>
            <w:r w:rsidRPr="00132C1E">
              <w:rPr>
                <w:i/>
                <w:iCs/>
              </w:rPr>
              <w:t>F</w:t>
            </w:r>
            <w:r w:rsidRPr="00132C1E">
              <w:rPr>
                <w:vertAlign w:val="subscript"/>
              </w:rPr>
              <w:t>u</w:t>
            </w:r>
          </w:p>
        </w:tc>
      </w:tr>
    </w:tbl>
    <w:p w14:paraId="23E8376B" w14:textId="77777777" w:rsidR="00437BD3" w:rsidRPr="00132C1E" w:rsidRDefault="00437BD3" w:rsidP="007B4B39">
      <w:pPr>
        <w:pStyle w:val="Text"/>
      </w:pPr>
    </w:p>
    <w:p w14:paraId="393B97F9" w14:textId="77777777" w:rsidR="00DB201D" w:rsidRPr="00E45EB4" w:rsidRDefault="00DB201D" w:rsidP="003F3B7F">
      <w:pPr>
        <w:pStyle w:val="BiblioTitle"/>
        <w:autoSpaceDE w:val="0"/>
        <w:autoSpaceDN w:val="0"/>
        <w:adjustRightInd w:val="0"/>
        <w:rPr>
          <w:rFonts w:eastAsia="MS Mincho"/>
          <w:szCs w:val="24"/>
          <w:lang w:val="en-US"/>
        </w:rPr>
      </w:pPr>
      <w:bookmarkStart w:id="11741" w:name="_Toc445729988"/>
      <w:bookmarkStart w:id="11742" w:name="_Toc473640210"/>
      <w:bookmarkStart w:id="11743" w:name="_Toc134198381"/>
      <w:bookmarkEnd w:id="11134"/>
      <w:r w:rsidRPr="00E45EB4">
        <w:rPr>
          <w:rFonts w:eastAsia="MS Mincho"/>
          <w:szCs w:val="24"/>
          <w:lang w:val="en-US"/>
        </w:rPr>
        <w:t>Bibliography</w:t>
      </w:r>
      <w:bookmarkEnd w:id="11741"/>
      <w:bookmarkEnd w:id="11742"/>
      <w:bookmarkEnd w:id="11743"/>
    </w:p>
    <w:p w14:paraId="7C8C5550" w14:textId="77777777" w:rsidR="00E37E2C" w:rsidRPr="00220C07" w:rsidRDefault="00E37E2C" w:rsidP="00E37E2C">
      <w:pPr>
        <w:pStyle w:val="BiblioDescription"/>
        <w:autoSpaceDE w:val="0"/>
        <w:autoSpaceDN w:val="0"/>
        <w:adjustRightInd w:val="0"/>
        <w:rPr>
          <w:b/>
          <w:szCs w:val="24"/>
        </w:rPr>
      </w:pPr>
      <w:r w:rsidRPr="00220C07">
        <w:rPr>
          <w:b/>
          <w:szCs w:val="24"/>
        </w:rPr>
        <w:t>References contained in recommendations (i.e. “should” clauses)</w:t>
      </w:r>
    </w:p>
    <w:p w14:paraId="2EB1E2FD" w14:textId="77777777" w:rsidR="00E37E2C" w:rsidRPr="00220C07" w:rsidRDefault="00E37E2C" w:rsidP="00E37E2C">
      <w:pPr>
        <w:pStyle w:val="BiblioDescription"/>
        <w:autoSpaceDE w:val="0"/>
        <w:autoSpaceDN w:val="0"/>
        <w:adjustRightInd w:val="0"/>
        <w:rPr>
          <w:szCs w:val="24"/>
        </w:rPr>
      </w:pPr>
      <w:r w:rsidRPr="00220C07">
        <w:rPr>
          <w:szCs w:val="24"/>
        </w:rPr>
        <w:t>The following documents are referred to in the text in such a way that some or all of their content constitutes highly recommended choices or course of action of this document. Subject to national regulation and/or any relevant contractual provisions, alternative standards could be used/adopted where technically justified. For dated references, only the edition cited applies. For undated references, the latest edition of the referenced document (including any amendments) applies.</w:t>
      </w:r>
    </w:p>
    <w:p w14:paraId="795DC060" w14:textId="629BA86F" w:rsidR="00E37E2C" w:rsidRPr="00220C07" w:rsidRDefault="00E37E2C" w:rsidP="00E37E2C">
      <w:pPr>
        <w:pStyle w:val="BiblioEntry"/>
      </w:pPr>
      <w:r w:rsidRPr="00220C07">
        <w:fldChar w:fldCharType="begin"/>
      </w:r>
      <w:r w:rsidRPr="00220C07">
        <w:instrText>IF "x_+3" "</w:instrText>
      </w:r>
      <w:r w:rsidRPr="00220C07">
        <w:fldChar w:fldCharType="begin"/>
      </w:r>
      <w:r w:rsidRPr="00220C07">
        <w:instrText>IF</w:instrText>
      </w:r>
      <w:r w:rsidRPr="00220C07">
        <w:fldChar w:fldCharType="begin"/>
      </w:r>
      <w:r w:rsidRPr="00220C07">
        <w:instrText>DOCPROPERTY "x_t"</w:instrText>
      </w:r>
      <w:r w:rsidRPr="00220C07">
        <w:fldChar w:fldCharType="separate"/>
      </w:r>
      <w:r>
        <w:instrText>N</w:instrText>
      </w:r>
      <w:r w:rsidRPr="00220C07">
        <w:fldChar w:fldCharType="end"/>
      </w:r>
      <w:r w:rsidRPr="00220C07">
        <w:instrText>&lt;&gt; N "&lt;</w:instrText>
      </w:r>
      <w:r w:rsidRPr="00220C07">
        <w:fldChar w:fldCharType="begin"/>
      </w:r>
      <w:r w:rsidRPr="00220C07">
        <w:instrText>QUOTE "std"</w:instrText>
      </w:r>
      <w:r w:rsidRPr="00220C07">
        <w:fldChar w:fldCharType="separate"/>
      </w:r>
      <w:r w:rsidRPr="00220C07">
        <w:instrText>std</w:instrText>
      </w:r>
      <w:r w:rsidRPr="00220C07">
        <w:fldChar w:fldCharType="end"/>
      </w:r>
      <w:r w:rsidRPr="00220C07">
        <w:instrText>"</w:instrText>
      </w:r>
      <w:r w:rsidRPr="00220C07">
        <w:fldChar w:fldCharType="end"/>
      </w:r>
      <w:r w:rsidRPr="00220C07">
        <w:fldChar w:fldCharType="begin"/>
      </w:r>
      <w:r w:rsidRPr="00220C07">
        <w:instrText>IF</w:instrText>
      </w:r>
      <w:r w:rsidRPr="00220C07">
        <w:fldChar w:fldCharType="begin"/>
      </w:r>
      <w:r w:rsidRPr="00220C07">
        <w:instrText>= AND(</w:instrText>
      </w:r>
      <w:r w:rsidRPr="00220C07">
        <w:fldChar w:fldCharType="begin"/>
      </w:r>
      <w:r w:rsidRPr="00220C07">
        <w:instrText>COMPARE</w:instrText>
      </w:r>
      <w:r w:rsidRPr="00220C07">
        <w:fldChar w:fldCharType="begin"/>
      </w:r>
      <w:r w:rsidRPr="00220C07">
        <w:instrText>DOCPROPERTY "x_t"</w:instrText>
      </w:r>
      <w:r w:rsidRPr="00220C07">
        <w:fldChar w:fldCharType="separate"/>
      </w:r>
      <w:r>
        <w:instrText>N</w:instrText>
      </w:r>
      <w:r w:rsidRPr="00220C07">
        <w:fldChar w:fldCharType="end"/>
      </w:r>
      <w:r w:rsidRPr="00220C07">
        <w:instrText>&lt;&gt; N</w:instrText>
      </w:r>
      <w:r w:rsidRPr="00220C07">
        <w:fldChar w:fldCharType="separate"/>
      </w:r>
      <w:r>
        <w:rPr>
          <w:noProof/>
        </w:rPr>
        <w:instrText>0</w:instrText>
      </w:r>
      <w:r w:rsidRPr="00220C07">
        <w:fldChar w:fldCharType="end"/>
      </w:r>
      <w:r w:rsidRPr="00220C07">
        <w:instrText>,</w:instrText>
      </w:r>
      <w:r w:rsidRPr="00220C07">
        <w:fldChar w:fldCharType="begin"/>
      </w:r>
      <w:r w:rsidRPr="00220C07">
        <w:instrText>COMPARE</w:instrText>
      </w:r>
      <w:r w:rsidRPr="00220C07">
        <w:fldChar w:fldCharType="begin"/>
      </w:r>
      <w:r w:rsidRPr="00220C07">
        <w:instrText>DOCPROPERTY "x_a"</w:instrText>
      </w:r>
      <w:r w:rsidRPr="00220C07">
        <w:fldChar w:fldCharType="separate"/>
      </w:r>
      <w:r>
        <w:instrText>N</w:instrText>
      </w:r>
      <w:r w:rsidRPr="00220C07">
        <w:fldChar w:fldCharType="end"/>
      </w:r>
      <w:r w:rsidRPr="00220C07">
        <w:instrText>&lt;&gt; N</w:instrText>
      </w:r>
      <w:r w:rsidRPr="00220C07">
        <w:fldChar w:fldCharType="separate"/>
      </w:r>
      <w:r>
        <w:rPr>
          <w:noProof/>
        </w:rPr>
        <w:instrText>0</w:instrText>
      </w:r>
      <w:r w:rsidRPr="00220C07">
        <w:fldChar w:fldCharType="end"/>
      </w:r>
      <w:r w:rsidRPr="00220C07">
        <w:instrText>)</w:instrText>
      </w:r>
      <w:r w:rsidRPr="00220C07">
        <w:fldChar w:fldCharType="separate"/>
      </w:r>
      <w:r>
        <w:rPr>
          <w:b/>
          <w:noProof/>
        </w:rPr>
        <w:instrText>!Syntax Error, ,,</w:instrText>
      </w:r>
      <w:r w:rsidRPr="00220C07">
        <w:fldChar w:fldCharType="end"/>
      </w:r>
      <w:r w:rsidRPr="00220C07">
        <w:instrText>= 1 "</w:instrText>
      </w:r>
      <w:r w:rsidRPr="00220C07">
        <w:fldChar w:fldCharType="begin"/>
      </w:r>
      <w:r w:rsidRPr="00220C07">
        <w:instrText>QUOTE ""</w:instrText>
      </w:r>
      <w:r w:rsidRPr="00220C07">
        <w:fldChar w:fldCharType="end"/>
      </w:r>
      <w:r w:rsidRPr="00220C07">
        <w:instrText>"</w:instrText>
      </w:r>
      <w:r w:rsidRPr="00220C07">
        <w:fldChar w:fldCharType="end"/>
      </w:r>
      <w:r w:rsidRPr="00220C07">
        <w:fldChar w:fldCharType="begin"/>
      </w:r>
      <w:r w:rsidRPr="00220C07">
        <w:instrText>IF</w:instrText>
      </w:r>
      <w:r w:rsidRPr="00220C07">
        <w:fldChar w:fldCharType="begin"/>
      </w:r>
      <w:r w:rsidRPr="00220C07">
        <w:instrText>DOCPROPERTY "x_t"</w:instrText>
      </w:r>
      <w:r w:rsidRPr="00220C07">
        <w:fldChar w:fldCharType="separate"/>
      </w:r>
      <w:r>
        <w:instrText>N</w:instrText>
      </w:r>
      <w:r w:rsidRPr="00220C07">
        <w:fldChar w:fldCharType="end"/>
      </w:r>
      <w:r w:rsidRPr="00220C07">
        <w:instrText>&lt;&gt; N "&gt;"</w:instrText>
      </w:r>
      <w:r w:rsidRPr="00220C07">
        <w:fldChar w:fldCharType="end"/>
      </w:r>
      <w:r w:rsidRPr="00220C07">
        <w:instrText>" "</w:instrText>
      </w:r>
      <w:r w:rsidRPr="00220C07">
        <w:fldChar w:fldCharType="begin"/>
      </w:r>
      <w:r w:rsidRPr="00220C07">
        <w:instrText>QUOTE ""</w:instrText>
      </w:r>
      <w:r w:rsidRPr="00220C07">
        <w:fldChar w:fldCharType="end"/>
      </w:r>
      <w:r w:rsidRPr="00220C07">
        <w:instrText>"</w:instrText>
      </w:r>
      <w:r w:rsidRPr="00220C07">
        <w:fldChar w:fldCharType="end"/>
      </w:r>
      <w:r w:rsidRPr="00220C07">
        <w:rPr>
          <w:rStyle w:val="stdpublisher"/>
          <w:shd w:val="clear" w:color="auto" w:fill="auto"/>
        </w:rPr>
        <w:t>prCEN</w:t>
      </w:r>
      <w:r w:rsidRPr="00220C07">
        <w:t>/</w:t>
      </w:r>
      <w:r w:rsidRPr="00220C07">
        <w:rPr>
          <w:rStyle w:val="stddocumentType"/>
          <w:shd w:val="clear" w:color="auto" w:fill="auto"/>
        </w:rPr>
        <w:t>TS</w:t>
      </w:r>
      <w:r w:rsidRPr="00220C07">
        <w:t> </w:t>
      </w:r>
      <w:r w:rsidRPr="00220C07">
        <w:rPr>
          <w:rStyle w:val="stddocNumber"/>
          <w:shd w:val="clear" w:color="auto" w:fill="auto"/>
        </w:rPr>
        <w:t>1998</w:t>
      </w:r>
      <w:r w:rsidRPr="00220C07">
        <w:t>-</w:t>
      </w:r>
      <w:r w:rsidRPr="00220C07">
        <w:rPr>
          <w:rStyle w:val="stddocPartNumber"/>
          <w:shd w:val="clear" w:color="auto" w:fill="auto"/>
        </w:rPr>
        <w:t>1-101</w:t>
      </w:r>
      <w:r w:rsidRPr="00220C07">
        <w:t xml:space="preserve">, </w:t>
      </w:r>
      <w:r w:rsidRPr="00220C07">
        <w:rPr>
          <w:rStyle w:val="stddocTitle"/>
          <w:shd w:val="clear" w:color="auto" w:fill="auto"/>
        </w:rPr>
        <w:t>Eurocode 8 — Part 1-101: Characterisation and qualification of structural components for seismic applications by means of cyclic tests</w:t>
      </w:r>
      <w:r w:rsidRPr="00220C07">
        <w:fldChar w:fldCharType="begin"/>
      </w:r>
      <w:r w:rsidRPr="00220C07">
        <w:instrText>IF "x_-3" "</w:instrText>
      </w:r>
      <w:r w:rsidRPr="00220C07">
        <w:fldChar w:fldCharType="begin"/>
      </w:r>
      <w:r w:rsidRPr="00220C07">
        <w:instrText>IF</w:instrText>
      </w:r>
      <w:r w:rsidRPr="00220C07">
        <w:fldChar w:fldCharType="begin"/>
      </w:r>
      <w:r w:rsidRPr="00220C07">
        <w:instrText>DOCPROPERTY "x_t"</w:instrText>
      </w:r>
      <w:r w:rsidRPr="00220C07">
        <w:fldChar w:fldCharType="separate"/>
      </w:r>
      <w:r>
        <w:instrText>N</w:instrText>
      </w:r>
      <w:r w:rsidRPr="00220C07">
        <w:fldChar w:fldCharType="end"/>
      </w:r>
      <w:r w:rsidRPr="00220C07">
        <w:instrText>&lt;&gt; N "&lt;/</w:instrText>
      </w:r>
      <w:r w:rsidRPr="00220C07">
        <w:fldChar w:fldCharType="begin"/>
      </w:r>
      <w:r w:rsidRPr="00220C07">
        <w:instrText>QUOTE "std"</w:instrText>
      </w:r>
      <w:r w:rsidRPr="00220C07">
        <w:fldChar w:fldCharType="separate"/>
      </w:r>
      <w:r w:rsidRPr="00220C07">
        <w:instrText>std</w:instrText>
      </w:r>
      <w:r w:rsidRPr="00220C07">
        <w:fldChar w:fldCharType="end"/>
      </w:r>
      <w:r w:rsidRPr="00220C07">
        <w:instrText>"</w:instrText>
      </w:r>
      <w:r w:rsidRPr="00220C07">
        <w:fldChar w:fldCharType="end"/>
      </w:r>
      <w:r w:rsidRPr="00220C07">
        <w:fldChar w:fldCharType="begin"/>
      </w:r>
      <w:r w:rsidRPr="00220C07">
        <w:instrText>IF</w:instrText>
      </w:r>
      <w:r w:rsidRPr="00220C07">
        <w:fldChar w:fldCharType="begin"/>
      </w:r>
      <w:r w:rsidRPr="00220C07">
        <w:instrText>DOCPROPERTY "x_t"</w:instrText>
      </w:r>
      <w:r w:rsidRPr="00220C07">
        <w:fldChar w:fldCharType="separate"/>
      </w:r>
      <w:r>
        <w:instrText>N</w:instrText>
      </w:r>
      <w:r w:rsidRPr="00220C07">
        <w:fldChar w:fldCharType="end"/>
      </w:r>
      <w:r w:rsidRPr="00220C07">
        <w:instrText>&lt;&gt; N "&gt;"</w:instrText>
      </w:r>
      <w:r w:rsidRPr="00220C07">
        <w:fldChar w:fldCharType="end"/>
      </w:r>
      <w:r w:rsidRPr="00220C07">
        <w:instrText>" ""</w:instrText>
      </w:r>
      <w:r w:rsidRPr="00220C07">
        <w:fldChar w:fldCharType="end"/>
      </w:r>
    </w:p>
    <w:p w14:paraId="1CAA131F" w14:textId="7246E6F8" w:rsidR="00E37E2C" w:rsidRPr="00220C07" w:rsidRDefault="00E37E2C" w:rsidP="00E37E2C">
      <w:pPr>
        <w:pStyle w:val="BiblioEntry"/>
      </w:pPr>
      <w:r w:rsidRPr="00220C07">
        <w:fldChar w:fldCharType="begin"/>
      </w:r>
      <w:r w:rsidRPr="00220C07">
        <w:instrText>IF "x_+3" "</w:instrText>
      </w:r>
      <w:r w:rsidRPr="00220C07">
        <w:fldChar w:fldCharType="begin"/>
      </w:r>
      <w:r w:rsidRPr="00220C07">
        <w:instrText>IF</w:instrText>
      </w:r>
      <w:r w:rsidRPr="00220C07">
        <w:fldChar w:fldCharType="begin"/>
      </w:r>
      <w:r w:rsidRPr="00220C07">
        <w:instrText>DOCPROPERTY "x_t"</w:instrText>
      </w:r>
      <w:r w:rsidRPr="00220C07">
        <w:fldChar w:fldCharType="separate"/>
      </w:r>
      <w:r>
        <w:instrText>N</w:instrText>
      </w:r>
      <w:r w:rsidRPr="00220C07">
        <w:fldChar w:fldCharType="end"/>
      </w:r>
      <w:r w:rsidRPr="00220C07">
        <w:instrText>&lt;&gt; N "&lt;</w:instrText>
      </w:r>
      <w:r w:rsidRPr="00220C07">
        <w:fldChar w:fldCharType="begin"/>
      </w:r>
      <w:r w:rsidRPr="00220C07">
        <w:instrText>QUOTE "std"</w:instrText>
      </w:r>
      <w:r w:rsidRPr="00220C07">
        <w:fldChar w:fldCharType="separate"/>
      </w:r>
      <w:r w:rsidRPr="00220C07">
        <w:instrText>std</w:instrText>
      </w:r>
      <w:r w:rsidRPr="00220C07">
        <w:fldChar w:fldCharType="end"/>
      </w:r>
      <w:r w:rsidRPr="00220C07">
        <w:instrText>"</w:instrText>
      </w:r>
      <w:r w:rsidRPr="00220C07">
        <w:fldChar w:fldCharType="end"/>
      </w:r>
      <w:r w:rsidRPr="00220C07">
        <w:fldChar w:fldCharType="begin"/>
      </w:r>
      <w:r w:rsidRPr="00220C07">
        <w:instrText>IF</w:instrText>
      </w:r>
      <w:r w:rsidRPr="00220C07">
        <w:fldChar w:fldCharType="begin"/>
      </w:r>
      <w:r w:rsidRPr="00220C07">
        <w:instrText>= AND(</w:instrText>
      </w:r>
      <w:r w:rsidRPr="00220C07">
        <w:fldChar w:fldCharType="begin"/>
      </w:r>
      <w:r w:rsidRPr="00220C07">
        <w:instrText>COMPARE</w:instrText>
      </w:r>
      <w:r w:rsidRPr="00220C07">
        <w:fldChar w:fldCharType="begin"/>
      </w:r>
      <w:r w:rsidRPr="00220C07">
        <w:instrText>DOCPROPERTY "x_t"</w:instrText>
      </w:r>
      <w:r w:rsidRPr="00220C07">
        <w:fldChar w:fldCharType="separate"/>
      </w:r>
      <w:r>
        <w:instrText>N</w:instrText>
      </w:r>
      <w:r w:rsidRPr="00220C07">
        <w:fldChar w:fldCharType="end"/>
      </w:r>
      <w:r w:rsidRPr="00220C07">
        <w:instrText>&lt;&gt; N</w:instrText>
      </w:r>
      <w:r w:rsidRPr="00220C07">
        <w:fldChar w:fldCharType="separate"/>
      </w:r>
      <w:r>
        <w:rPr>
          <w:noProof/>
        </w:rPr>
        <w:instrText>0</w:instrText>
      </w:r>
      <w:r w:rsidRPr="00220C07">
        <w:fldChar w:fldCharType="end"/>
      </w:r>
      <w:r w:rsidRPr="00220C07">
        <w:instrText>,</w:instrText>
      </w:r>
      <w:r w:rsidRPr="00220C07">
        <w:fldChar w:fldCharType="begin"/>
      </w:r>
      <w:r w:rsidRPr="00220C07">
        <w:instrText>COMPARE</w:instrText>
      </w:r>
      <w:r w:rsidRPr="00220C07">
        <w:fldChar w:fldCharType="begin"/>
      </w:r>
      <w:r w:rsidRPr="00220C07">
        <w:instrText>DOCPROPERTY "x_a"</w:instrText>
      </w:r>
      <w:r w:rsidRPr="00220C07">
        <w:fldChar w:fldCharType="separate"/>
      </w:r>
      <w:r>
        <w:instrText>N</w:instrText>
      </w:r>
      <w:r w:rsidRPr="00220C07">
        <w:fldChar w:fldCharType="end"/>
      </w:r>
      <w:r w:rsidRPr="00220C07">
        <w:instrText>&lt;&gt; N</w:instrText>
      </w:r>
      <w:r w:rsidRPr="00220C07">
        <w:fldChar w:fldCharType="separate"/>
      </w:r>
      <w:r>
        <w:rPr>
          <w:noProof/>
        </w:rPr>
        <w:instrText>0</w:instrText>
      </w:r>
      <w:r w:rsidRPr="00220C07">
        <w:fldChar w:fldCharType="end"/>
      </w:r>
      <w:r w:rsidRPr="00220C07">
        <w:instrText>)</w:instrText>
      </w:r>
      <w:r w:rsidRPr="00220C07">
        <w:fldChar w:fldCharType="separate"/>
      </w:r>
      <w:r>
        <w:rPr>
          <w:b/>
          <w:noProof/>
        </w:rPr>
        <w:instrText>!Syntax Error, ,,</w:instrText>
      </w:r>
      <w:r w:rsidRPr="00220C07">
        <w:fldChar w:fldCharType="end"/>
      </w:r>
      <w:r w:rsidRPr="00220C07">
        <w:instrText>= 1 "</w:instrText>
      </w:r>
      <w:r w:rsidRPr="00220C07">
        <w:fldChar w:fldCharType="begin"/>
      </w:r>
      <w:r w:rsidRPr="00220C07">
        <w:instrText>QUOTE ""</w:instrText>
      </w:r>
      <w:r w:rsidRPr="00220C07">
        <w:fldChar w:fldCharType="end"/>
      </w:r>
      <w:r w:rsidRPr="00220C07">
        <w:instrText>"</w:instrText>
      </w:r>
      <w:r w:rsidRPr="00220C07">
        <w:fldChar w:fldCharType="end"/>
      </w:r>
      <w:r w:rsidRPr="00220C07">
        <w:fldChar w:fldCharType="begin"/>
      </w:r>
      <w:r w:rsidRPr="00220C07">
        <w:instrText>IF</w:instrText>
      </w:r>
      <w:r w:rsidRPr="00220C07">
        <w:fldChar w:fldCharType="begin"/>
      </w:r>
      <w:r w:rsidRPr="00220C07">
        <w:instrText>DOCPROPERTY "x_t"</w:instrText>
      </w:r>
      <w:r w:rsidRPr="00220C07">
        <w:fldChar w:fldCharType="separate"/>
      </w:r>
      <w:r>
        <w:instrText>N</w:instrText>
      </w:r>
      <w:r w:rsidRPr="00220C07">
        <w:fldChar w:fldCharType="end"/>
      </w:r>
      <w:r w:rsidRPr="00220C07">
        <w:instrText>&lt;&gt; N "&gt;"</w:instrText>
      </w:r>
      <w:r w:rsidRPr="00220C07">
        <w:fldChar w:fldCharType="end"/>
      </w:r>
      <w:r w:rsidRPr="00220C07">
        <w:instrText>" "</w:instrText>
      </w:r>
      <w:r w:rsidRPr="00220C07">
        <w:fldChar w:fldCharType="begin"/>
      </w:r>
      <w:r w:rsidRPr="00220C07">
        <w:instrText>QUOTE ""</w:instrText>
      </w:r>
      <w:r w:rsidRPr="00220C07">
        <w:fldChar w:fldCharType="end"/>
      </w:r>
      <w:r w:rsidRPr="00220C07">
        <w:instrText>"</w:instrText>
      </w:r>
      <w:r w:rsidRPr="00220C07">
        <w:fldChar w:fldCharType="end"/>
      </w:r>
      <w:r w:rsidRPr="00220C07">
        <w:rPr>
          <w:rStyle w:val="stdpublisher"/>
          <w:shd w:val="clear" w:color="auto" w:fill="auto"/>
        </w:rPr>
        <w:t>CEN</w:t>
      </w:r>
      <w:r w:rsidRPr="00220C07">
        <w:t>/</w:t>
      </w:r>
      <w:r w:rsidRPr="00220C07">
        <w:rPr>
          <w:rStyle w:val="stddocumentType"/>
          <w:shd w:val="clear" w:color="auto" w:fill="auto"/>
        </w:rPr>
        <w:t>TS</w:t>
      </w:r>
      <w:r w:rsidRPr="00220C07">
        <w:t> </w:t>
      </w:r>
      <w:r w:rsidRPr="00220C07">
        <w:rPr>
          <w:rStyle w:val="stddocNumber"/>
          <w:shd w:val="clear" w:color="auto" w:fill="auto"/>
        </w:rPr>
        <w:t>19103</w:t>
      </w:r>
      <w:r w:rsidRPr="00220C07">
        <w:t xml:space="preserve">, </w:t>
      </w:r>
      <w:r w:rsidRPr="00220C07">
        <w:rPr>
          <w:rStyle w:val="stddocTitle"/>
          <w:shd w:val="clear" w:color="auto" w:fill="auto"/>
        </w:rPr>
        <w:t>Eurocode 5 — Design of Timber Structures — Structural design of timber-concrete composite structures — Common rules and rules for buildings</w:t>
      </w:r>
      <w:r w:rsidRPr="00220C07">
        <w:fldChar w:fldCharType="begin"/>
      </w:r>
      <w:r w:rsidRPr="00220C07">
        <w:instrText>IF "x_-3" "</w:instrText>
      </w:r>
      <w:r w:rsidRPr="00220C07">
        <w:fldChar w:fldCharType="begin"/>
      </w:r>
      <w:r w:rsidRPr="00220C07">
        <w:instrText>IF</w:instrText>
      </w:r>
      <w:r w:rsidRPr="00220C07">
        <w:fldChar w:fldCharType="begin"/>
      </w:r>
      <w:r w:rsidRPr="00220C07">
        <w:instrText>DOCPROPERTY "x_t"</w:instrText>
      </w:r>
      <w:r w:rsidRPr="00220C07">
        <w:fldChar w:fldCharType="separate"/>
      </w:r>
      <w:r>
        <w:instrText>N</w:instrText>
      </w:r>
      <w:r w:rsidRPr="00220C07">
        <w:fldChar w:fldCharType="end"/>
      </w:r>
      <w:r w:rsidRPr="00220C07">
        <w:instrText>&lt;&gt; N "&lt;/</w:instrText>
      </w:r>
      <w:r w:rsidRPr="00220C07">
        <w:fldChar w:fldCharType="begin"/>
      </w:r>
      <w:r w:rsidRPr="00220C07">
        <w:instrText>QUOTE "std"</w:instrText>
      </w:r>
      <w:r w:rsidRPr="00220C07">
        <w:fldChar w:fldCharType="separate"/>
      </w:r>
      <w:r w:rsidRPr="00220C07">
        <w:instrText>std</w:instrText>
      </w:r>
      <w:r w:rsidRPr="00220C07">
        <w:fldChar w:fldCharType="end"/>
      </w:r>
      <w:r w:rsidRPr="00220C07">
        <w:instrText>"</w:instrText>
      </w:r>
      <w:r w:rsidRPr="00220C07">
        <w:fldChar w:fldCharType="end"/>
      </w:r>
      <w:r w:rsidRPr="00220C07">
        <w:fldChar w:fldCharType="begin"/>
      </w:r>
      <w:r w:rsidRPr="00220C07">
        <w:instrText>IF</w:instrText>
      </w:r>
      <w:r w:rsidRPr="00220C07">
        <w:fldChar w:fldCharType="begin"/>
      </w:r>
      <w:r w:rsidRPr="00220C07">
        <w:instrText>DOCPROPERTY "x_t"</w:instrText>
      </w:r>
      <w:r w:rsidRPr="00220C07">
        <w:fldChar w:fldCharType="separate"/>
      </w:r>
      <w:r>
        <w:instrText>N</w:instrText>
      </w:r>
      <w:r w:rsidRPr="00220C07">
        <w:fldChar w:fldCharType="end"/>
      </w:r>
      <w:r w:rsidRPr="00220C07">
        <w:instrText>&lt;&gt; N "&gt;"</w:instrText>
      </w:r>
      <w:r w:rsidRPr="00220C07">
        <w:fldChar w:fldCharType="end"/>
      </w:r>
      <w:r w:rsidRPr="00220C07">
        <w:instrText>" ""</w:instrText>
      </w:r>
      <w:r w:rsidRPr="00220C07">
        <w:fldChar w:fldCharType="end"/>
      </w:r>
    </w:p>
    <w:p w14:paraId="43AC43A2" w14:textId="01A19550" w:rsidR="00E37E2C" w:rsidRPr="00220C07" w:rsidRDefault="00E37E2C" w:rsidP="00E37E2C">
      <w:pPr>
        <w:pStyle w:val="BiblioEntry"/>
      </w:pPr>
      <w:r w:rsidRPr="00220C07">
        <w:fldChar w:fldCharType="begin"/>
      </w:r>
      <w:r w:rsidRPr="00220C07">
        <w:instrText>IF "x_+3" "</w:instrText>
      </w:r>
      <w:r w:rsidRPr="00220C07">
        <w:fldChar w:fldCharType="begin"/>
      </w:r>
      <w:r w:rsidRPr="00220C07">
        <w:instrText>IF</w:instrText>
      </w:r>
      <w:r w:rsidRPr="00220C07">
        <w:fldChar w:fldCharType="begin"/>
      </w:r>
      <w:r w:rsidRPr="00220C07">
        <w:instrText>DOCPROPERTY "x_t"</w:instrText>
      </w:r>
      <w:r w:rsidRPr="00220C07">
        <w:fldChar w:fldCharType="separate"/>
      </w:r>
      <w:r>
        <w:instrText>N</w:instrText>
      </w:r>
      <w:r w:rsidRPr="00220C07">
        <w:fldChar w:fldCharType="end"/>
      </w:r>
      <w:r w:rsidRPr="00220C07">
        <w:instrText>&lt;&gt; N "&lt;</w:instrText>
      </w:r>
      <w:r w:rsidRPr="00220C07">
        <w:fldChar w:fldCharType="begin"/>
      </w:r>
      <w:r w:rsidRPr="00220C07">
        <w:instrText>QUOTE "std"</w:instrText>
      </w:r>
      <w:r w:rsidRPr="00220C07">
        <w:fldChar w:fldCharType="separate"/>
      </w:r>
      <w:r w:rsidRPr="00220C07">
        <w:instrText>std</w:instrText>
      </w:r>
      <w:r w:rsidRPr="00220C07">
        <w:fldChar w:fldCharType="end"/>
      </w:r>
      <w:r w:rsidRPr="00220C07">
        <w:instrText>"</w:instrText>
      </w:r>
      <w:r w:rsidRPr="00220C07">
        <w:fldChar w:fldCharType="end"/>
      </w:r>
      <w:r w:rsidRPr="00220C07">
        <w:fldChar w:fldCharType="begin"/>
      </w:r>
      <w:r w:rsidRPr="00220C07">
        <w:instrText>IF</w:instrText>
      </w:r>
      <w:r w:rsidRPr="00220C07">
        <w:fldChar w:fldCharType="begin"/>
      </w:r>
      <w:r w:rsidRPr="00220C07">
        <w:instrText>= AND(</w:instrText>
      </w:r>
      <w:r w:rsidRPr="00220C07">
        <w:fldChar w:fldCharType="begin"/>
      </w:r>
      <w:r w:rsidRPr="00220C07">
        <w:instrText>COMPARE</w:instrText>
      </w:r>
      <w:r w:rsidRPr="00220C07">
        <w:fldChar w:fldCharType="begin"/>
      </w:r>
      <w:r w:rsidRPr="00220C07">
        <w:instrText>DOCPROPERTY "x_t"</w:instrText>
      </w:r>
      <w:r w:rsidRPr="00220C07">
        <w:fldChar w:fldCharType="separate"/>
      </w:r>
      <w:r>
        <w:instrText>N</w:instrText>
      </w:r>
      <w:r w:rsidRPr="00220C07">
        <w:fldChar w:fldCharType="end"/>
      </w:r>
      <w:r w:rsidRPr="00220C07">
        <w:instrText>&lt;&gt; N</w:instrText>
      </w:r>
      <w:r w:rsidRPr="00220C07">
        <w:fldChar w:fldCharType="separate"/>
      </w:r>
      <w:r>
        <w:rPr>
          <w:noProof/>
        </w:rPr>
        <w:instrText>0</w:instrText>
      </w:r>
      <w:r w:rsidRPr="00220C07">
        <w:fldChar w:fldCharType="end"/>
      </w:r>
      <w:r w:rsidRPr="00220C07">
        <w:instrText>,</w:instrText>
      </w:r>
      <w:r w:rsidRPr="00220C07">
        <w:fldChar w:fldCharType="begin"/>
      </w:r>
      <w:r w:rsidRPr="00220C07">
        <w:instrText>COMPARE</w:instrText>
      </w:r>
      <w:r w:rsidRPr="00220C07">
        <w:fldChar w:fldCharType="begin"/>
      </w:r>
      <w:r w:rsidRPr="00220C07">
        <w:instrText>DOCPROPERTY "x_a"</w:instrText>
      </w:r>
      <w:r w:rsidRPr="00220C07">
        <w:fldChar w:fldCharType="separate"/>
      </w:r>
      <w:r>
        <w:instrText>N</w:instrText>
      </w:r>
      <w:r w:rsidRPr="00220C07">
        <w:fldChar w:fldCharType="end"/>
      </w:r>
      <w:r w:rsidRPr="00220C07">
        <w:instrText>&lt;&gt; N</w:instrText>
      </w:r>
      <w:r w:rsidRPr="00220C07">
        <w:fldChar w:fldCharType="separate"/>
      </w:r>
      <w:r>
        <w:rPr>
          <w:noProof/>
        </w:rPr>
        <w:instrText>0</w:instrText>
      </w:r>
      <w:r w:rsidRPr="00220C07">
        <w:fldChar w:fldCharType="end"/>
      </w:r>
      <w:r w:rsidRPr="00220C07">
        <w:instrText>)</w:instrText>
      </w:r>
      <w:r w:rsidRPr="00220C07">
        <w:fldChar w:fldCharType="separate"/>
      </w:r>
      <w:r>
        <w:rPr>
          <w:b/>
          <w:noProof/>
        </w:rPr>
        <w:instrText>!Syntax Error, ,,</w:instrText>
      </w:r>
      <w:r w:rsidRPr="00220C07">
        <w:fldChar w:fldCharType="end"/>
      </w:r>
      <w:r w:rsidRPr="00220C07">
        <w:instrText>= 1 "</w:instrText>
      </w:r>
      <w:r w:rsidRPr="00220C07">
        <w:fldChar w:fldCharType="begin"/>
      </w:r>
      <w:r w:rsidRPr="00220C07">
        <w:instrText>QUOTE ""</w:instrText>
      </w:r>
      <w:r w:rsidRPr="00220C07">
        <w:fldChar w:fldCharType="end"/>
      </w:r>
      <w:r w:rsidRPr="00220C07">
        <w:instrText>"</w:instrText>
      </w:r>
      <w:r w:rsidRPr="00220C07">
        <w:fldChar w:fldCharType="end"/>
      </w:r>
      <w:r w:rsidRPr="00220C07">
        <w:fldChar w:fldCharType="begin"/>
      </w:r>
      <w:r w:rsidRPr="00220C07">
        <w:instrText>IF</w:instrText>
      </w:r>
      <w:r w:rsidRPr="00220C07">
        <w:fldChar w:fldCharType="begin"/>
      </w:r>
      <w:r w:rsidRPr="00220C07">
        <w:instrText>DOCPROPERTY "x_t"</w:instrText>
      </w:r>
      <w:r w:rsidRPr="00220C07">
        <w:fldChar w:fldCharType="separate"/>
      </w:r>
      <w:r>
        <w:instrText>N</w:instrText>
      </w:r>
      <w:r w:rsidRPr="00220C07">
        <w:fldChar w:fldCharType="end"/>
      </w:r>
      <w:r w:rsidRPr="00220C07">
        <w:instrText>&lt;&gt; N "&gt;"</w:instrText>
      </w:r>
      <w:r w:rsidRPr="00220C07">
        <w:fldChar w:fldCharType="end"/>
      </w:r>
      <w:r w:rsidRPr="00220C07">
        <w:instrText>" "</w:instrText>
      </w:r>
      <w:r w:rsidRPr="00220C07">
        <w:fldChar w:fldCharType="begin"/>
      </w:r>
      <w:r w:rsidRPr="00220C07">
        <w:instrText>QUOTE ""</w:instrText>
      </w:r>
      <w:r w:rsidRPr="00220C07">
        <w:fldChar w:fldCharType="end"/>
      </w:r>
      <w:r w:rsidRPr="00220C07">
        <w:instrText>"</w:instrText>
      </w:r>
      <w:r w:rsidRPr="00220C07">
        <w:fldChar w:fldCharType="end"/>
      </w:r>
      <w:r w:rsidRPr="00220C07">
        <w:rPr>
          <w:rStyle w:val="stdpublisher"/>
          <w:shd w:val="clear" w:color="auto" w:fill="auto"/>
        </w:rPr>
        <w:t>EN</w:t>
      </w:r>
      <w:r w:rsidRPr="00220C07">
        <w:t> </w:t>
      </w:r>
      <w:r w:rsidRPr="00220C07">
        <w:rPr>
          <w:rStyle w:val="stddocNumber"/>
          <w:shd w:val="clear" w:color="auto" w:fill="auto"/>
        </w:rPr>
        <w:t>300</w:t>
      </w:r>
      <w:r w:rsidRPr="00220C07">
        <w:t xml:space="preserve">, </w:t>
      </w:r>
      <w:r w:rsidRPr="00220C07">
        <w:rPr>
          <w:rStyle w:val="stddocTitle"/>
          <w:shd w:val="clear" w:color="auto" w:fill="auto"/>
        </w:rPr>
        <w:t>Oriented Strand Boards (OSB) — Definitions, classification and specifications</w:t>
      </w:r>
      <w:r w:rsidRPr="00220C07">
        <w:fldChar w:fldCharType="begin"/>
      </w:r>
      <w:r w:rsidRPr="00220C07">
        <w:instrText>IF "x_-3" "</w:instrText>
      </w:r>
      <w:r w:rsidRPr="00220C07">
        <w:fldChar w:fldCharType="begin"/>
      </w:r>
      <w:r w:rsidRPr="00220C07">
        <w:instrText>IF</w:instrText>
      </w:r>
      <w:r w:rsidRPr="00220C07">
        <w:fldChar w:fldCharType="begin"/>
      </w:r>
      <w:r w:rsidRPr="00220C07">
        <w:instrText>DOCPROPERTY "x_t"</w:instrText>
      </w:r>
      <w:r w:rsidRPr="00220C07">
        <w:fldChar w:fldCharType="separate"/>
      </w:r>
      <w:r>
        <w:instrText>N</w:instrText>
      </w:r>
      <w:r w:rsidRPr="00220C07">
        <w:fldChar w:fldCharType="end"/>
      </w:r>
      <w:r w:rsidRPr="00220C07">
        <w:instrText>&lt;&gt; N "&lt;/</w:instrText>
      </w:r>
      <w:r w:rsidRPr="00220C07">
        <w:fldChar w:fldCharType="begin"/>
      </w:r>
      <w:r w:rsidRPr="00220C07">
        <w:instrText>QUOTE "std"</w:instrText>
      </w:r>
      <w:r w:rsidRPr="00220C07">
        <w:fldChar w:fldCharType="separate"/>
      </w:r>
      <w:r w:rsidRPr="00220C07">
        <w:instrText>std</w:instrText>
      </w:r>
      <w:r w:rsidRPr="00220C07">
        <w:fldChar w:fldCharType="end"/>
      </w:r>
      <w:r w:rsidRPr="00220C07">
        <w:instrText>"</w:instrText>
      </w:r>
      <w:r w:rsidRPr="00220C07">
        <w:fldChar w:fldCharType="end"/>
      </w:r>
      <w:r w:rsidRPr="00220C07">
        <w:fldChar w:fldCharType="begin"/>
      </w:r>
      <w:r w:rsidRPr="00220C07">
        <w:instrText>IF</w:instrText>
      </w:r>
      <w:r w:rsidRPr="00220C07">
        <w:fldChar w:fldCharType="begin"/>
      </w:r>
      <w:r w:rsidRPr="00220C07">
        <w:instrText>DOCPROPERTY "x_t"</w:instrText>
      </w:r>
      <w:r w:rsidRPr="00220C07">
        <w:fldChar w:fldCharType="separate"/>
      </w:r>
      <w:r>
        <w:instrText>N</w:instrText>
      </w:r>
      <w:r w:rsidRPr="00220C07">
        <w:fldChar w:fldCharType="end"/>
      </w:r>
      <w:r w:rsidRPr="00220C07">
        <w:instrText>&lt;&gt; N "&gt;"</w:instrText>
      </w:r>
      <w:r w:rsidRPr="00220C07">
        <w:fldChar w:fldCharType="end"/>
      </w:r>
      <w:r w:rsidRPr="00220C07">
        <w:instrText>" ""</w:instrText>
      </w:r>
      <w:r w:rsidRPr="00220C07">
        <w:fldChar w:fldCharType="end"/>
      </w:r>
    </w:p>
    <w:p w14:paraId="42AB809B" w14:textId="59940727" w:rsidR="00E37E2C" w:rsidRPr="00220C07" w:rsidRDefault="00E37E2C" w:rsidP="00E37E2C">
      <w:pPr>
        <w:pStyle w:val="BiblioEntry"/>
      </w:pPr>
      <w:r w:rsidRPr="00220C07">
        <w:fldChar w:fldCharType="begin"/>
      </w:r>
      <w:r w:rsidRPr="00220C07">
        <w:instrText>IF "x_+3" "</w:instrText>
      </w:r>
      <w:r w:rsidRPr="00220C07">
        <w:fldChar w:fldCharType="begin"/>
      </w:r>
      <w:r w:rsidRPr="00220C07">
        <w:instrText>IF</w:instrText>
      </w:r>
      <w:r w:rsidRPr="00220C07">
        <w:fldChar w:fldCharType="begin"/>
      </w:r>
      <w:r w:rsidRPr="00220C07">
        <w:instrText>DOCPROPERTY "x_t"</w:instrText>
      </w:r>
      <w:r w:rsidRPr="00220C07">
        <w:fldChar w:fldCharType="separate"/>
      </w:r>
      <w:r>
        <w:instrText>N</w:instrText>
      </w:r>
      <w:r w:rsidRPr="00220C07">
        <w:fldChar w:fldCharType="end"/>
      </w:r>
      <w:r w:rsidRPr="00220C07">
        <w:instrText>&lt;&gt; N "&lt;</w:instrText>
      </w:r>
      <w:r w:rsidRPr="00220C07">
        <w:fldChar w:fldCharType="begin"/>
      </w:r>
      <w:r w:rsidRPr="00220C07">
        <w:instrText>QUOTE "std"</w:instrText>
      </w:r>
      <w:r w:rsidRPr="00220C07">
        <w:fldChar w:fldCharType="separate"/>
      </w:r>
      <w:r w:rsidRPr="00220C07">
        <w:instrText>std</w:instrText>
      </w:r>
      <w:r w:rsidRPr="00220C07">
        <w:fldChar w:fldCharType="end"/>
      </w:r>
      <w:r w:rsidRPr="00220C07">
        <w:instrText>"</w:instrText>
      </w:r>
      <w:r w:rsidRPr="00220C07">
        <w:fldChar w:fldCharType="end"/>
      </w:r>
      <w:r w:rsidRPr="00220C07">
        <w:fldChar w:fldCharType="begin"/>
      </w:r>
      <w:r w:rsidRPr="00220C07">
        <w:instrText>IF</w:instrText>
      </w:r>
      <w:r w:rsidRPr="00220C07">
        <w:fldChar w:fldCharType="begin"/>
      </w:r>
      <w:r w:rsidRPr="00220C07">
        <w:instrText>= AND(</w:instrText>
      </w:r>
      <w:r w:rsidRPr="00220C07">
        <w:fldChar w:fldCharType="begin"/>
      </w:r>
      <w:r w:rsidRPr="00220C07">
        <w:instrText>COMPARE</w:instrText>
      </w:r>
      <w:r w:rsidRPr="00220C07">
        <w:fldChar w:fldCharType="begin"/>
      </w:r>
      <w:r w:rsidRPr="00220C07">
        <w:instrText>DOCPROPERTY "x_t"</w:instrText>
      </w:r>
      <w:r w:rsidRPr="00220C07">
        <w:fldChar w:fldCharType="separate"/>
      </w:r>
      <w:r>
        <w:instrText>N</w:instrText>
      </w:r>
      <w:r w:rsidRPr="00220C07">
        <w:fldChar w:fldCharType="end"/>
      </w:r>
      <w:r w:rsidRPr="00220C07">
        <w:instrText>&lt;&gt; N</w:instrText>
      </w:r>
      <w:r w:rsidRPr="00220C07">
        <w:fldChar w:fldCharType="separate"/>
      </w:r>
      <w:r>
        <w:rPr>
          <w:noProof/>
        </w:rPr>
        <w:instrText>0</w:instrText>
      </w:r>
      <w:r w:rsidRPr="00220C07">
        <w:fldChar w:fldCharType="end"/>
      </w:r>
      <w:r w:rsidRPr="00220C07">
        <w:instrText>,</w:instrText>
      </w:r>
      <w:r w:rsidRPr="00220C07">
        <w:fldChar w:fldCharType="begin"/>
      </w:r>
      <w:r w:rsidRPr="00220C07">
        <w:instrText>COMPARE</w:instrText>
      </w:r>
      <w:r w:rsidRPr="00220C07">
        <w:fldChar w:fldCharType="begin"/>
      </w:r>
      <w:r w:rsidRPr="00220C07">
        <w:instrText>DOCPROPERTY "x_a"</w:instrText>
      </w:r>
      <w:r w:rsidRPr="00220C07">
        <w:fldChar w:fldCharType="separate"/>
      </w:r>
      <w:r>
        <w:instrText>N</w:instrText>
      </w:r>
      <w:r w:rsidRPr="00220C07">
        <w:fldChar w:fldCharType="end"/>
      </w:r>
      <w:r w:rsidRPr="00220C07">
        <w:instrText>&lt;&gt; N</w:instrText>
      </w:r>
      <w:r w:rsidRPr="00220C07">
        <w:fldChar w:fldCharType="separate"/>
      </w:r>
      <w:r>
        <w:rPr>
          <w:noProof/>
        </w:rPr>
        <w:instrText>0</w:instrText>
      </w:r>
      <w:r w:rsidRPr="00220C07">
        <w:fldChar w:fldCharType="end"/>
      </w:r>
      <w:r w:rsidRPr="00220C07">
        <w:instrText>)</w:instrText>
      </w:r>
      <w:r w:rsidRPr="00220C07">
        <w:fldChar w:fldCharType="separate"/>
      </w:r>
      <w:r>
        <w:rPr>
          <w:b/>
          <w:noProof/>
        </w:rPr>
        <w:instrText>!Syntax Error, ,,</w:instrText>
      </w:r>
      <w:r w:rsidRPr="00220C07">
        <w:fldChar w:fldCharType="end"/>
      </w:r>
      <w:r w:rsidRPr="00220C07">
        <w:instrText>= 1 "</w:instrText>
      </w:r>
      <w:r w:rsidRPr="00220C07">
        <w:fldChar w:fldCharType="begin"/>
      </w:r>
      <w:r w:rsidRPr="00220C07">
        <w:instrText>QUOTE ""</w:instrText>
      </w:r>
      <w:r w:rsidRPr="00220C07">
        <w:fldChar w:fldCharType="end"/>
      </w:r>
      <w:r w:rsidRPr="00220C07">
        <w:instrText>"</w:instrText>
      </w:r>
      <w:r w:rsidRPr="00220C07">
        <w:fldChar w:fldCharType="end"/>
      </w:r>
      <w:r w:rsidRPr="00220C07">
        <w:fldChar w:fldCharType="begin"/>
      </w:r>
      <w:r w:rsidRPr="00220C07">
        <w:instrText>IF</w:instrText>
      </w:r>
      <w:r w:rsidRPr="00220C07">
        <w:fldChar w:fldCharType="begin"/>
      </w:r>
      <w:r w:rsidRPr="00220C07">
        <w:instrText>DOCPROPERTY "x_t"</w:instrText>
      </w:r>
      <w:r w:rsidRPr="00220C07">
        <w:fldChar w:fldCharType="separate"/>
      </w:r>
      <w:r>
        <w:instrText>N</w:instrText>
      </w:r>
      <w:r w:rsidRPr="00220C07">
        <w:fldChar w:fldCharType="end"/>
      </w:r>
      <w:r w:rsidRPr="00220C07">
        <w:instrText>&lt;&gt; N "&gt;"</w:instrText>
      </w:r>
      <w:r w:rsidRPr="00220C07">
        <w:fldChar w:fldCharType="end"/>
      </w:r>
      <w:r w:rsidRPr="00220C07">
        <w:instrText>" "</w:instrText>
      </w:r>
      <w:r w:rsidRPr="00220C07">
        <w:fldChar w:fldCharType="begin"/>
      </w:r>
      <w:r w:rsidRPr="00220C07">
        <w:instrText>QUOTE ""</w:instrText>
      </w:r>
      <w:r w:rsidRPr="00220C07">
        <w:fldChar w:fldCharType="end"/>
      </w:r>
      <w:r w:rsidRPr="00220C07">
        <w:instrText>"</w:instrText>
      </w:r>
      <w:r w:rsidRPr="00220C07">
        <w:fldChar w:fldCharType="end"/>
      </w:r>
      <w:r w:rsidRPr="00220C07">
        <w:rPr>
          <w:rStyle w:val="stdpublisher"/>
          <w:shd w:val="clear" w:color="auto" w:fill="auto"/>
        </w:rPr>
        <w:t>EN</w:t>
      </w:r>
      <w:r w:rsidRPr="00220C07">
        <w:t> </w:t>
      </w:r>
      <w:r w:rsidRPr="00220C07">
        <w:rPr>
          <w:rStyle w:val="stddocNumber"/>
          <w:shd w:val="clear" w:color="auto" w:fill="auto"/>
        </w:rPr>
        <w:t>312</w:t>
      </w:r>
      <w:r w:rsidRPr="00220C07">
        <w:t xml:space="preserve"> (</w:t>
      </w:r>
      <w:r w:rsidRPr="00220C07">
        <w:rPr>
          <w:rStyle w:val="stddocPartNumber"/>
          <w:shd w:val="clear" w:color="auto" w:fill="auto"/>
        </w:rPr>
        <w:t>all parts</w:t>
      </w:r>
      <w:r w:rsidRPr="00220C07">
        <w:t xml:space="preserve">), </w:t>
      </w:r>
      <w:r w:rsidRPr="00220C07">
        <w:rPr>
          <w:rStyle w:val="stddocTitle"/>
          <w:shd w:val="clear" w:color="auto" w:fill="auto"/>
        </w:rPr>
        <w:t>Particleboards — Specifications</w:t>
      </w:r>
      <w:r w:rsidRPr="00220C07">
        <w:fldChar w:fldCharType="begin"/>
      </w:r>
      <w:r w:rsidRPr="00220C07">
        <w:instrText>IF "x_-3" "</w:instrText>
      </w:r>
      <w:r w:rsidRPr="00220C07">
        <w:fldChar w:fldCharType="begin"/>
      </w:r>
      <w:r w:rsidRPr="00220C07">
        <w:instrText>IF</w:instrText>
      </w:r>
      <w:r w:rsidRPr="00220C07">
        <w:fldChar w:fldCharType="begin"/>
      </w:r>
      <w:r w:rsidRPr="00220C07">
        <w:instrText>DOCPROPERTY "x_t"</w:instrText>
      </w:r>
      <w:r w:rsidRPr="00220C07">
        <w:fldChar w:fldCharType="separate"/>
      </w:r>
      <w:r>
        <w:instrText>N</w:instrText>
      </w:r>
      <w:r w:rsidRPr="00220C07">
        <w:fldChar w:fldCharType="end"/>
      </w:r>
      <w:r w:rsidRPr="00220C07">
        <w:instrText>&lt;&gt; N "&lt;/</w:instrText>
      </w:r>
      <w:r w:rsidRPr="00220C07">
        <w:fldChar w:fldCharType="begin"/>
      </w:r>
      <w:r w:rsidRPr="00220C07">
        <w:instrText>QUOTE "std"</w:instrText>
      </w:r>
      <w:r w:rsidRPr="00220C07">
        <w:fldChar w:fldCharType="separate"/>
      </w:r>
      <w:r w:rsidRPr="00220C07">
        <w:instrText>std</w:instrText>
      </w:r>
      <w:r w:rsidRPr="00220C07">
        <w:fldChar w:fldCharType="end"/>
      </w:r>
      <w:r w:rsidRPr="00220C07">
        <w:instrText>"</w:instrText>
      </w:r>
      <w:r w:rsidRPr="00220C07">
        <w:fldChar w:fldCharType="end"/>
      </w:r>
      <w:r w:rsidRPr="00220C07">
        <w:fldChar w:fldCharType="begin"/>
      </w:r>
      <w:r w:rsidRPr="00220C07">
        <w:instrText>IF</w:instrText>
      </w:r>
      <w:r w:rsidRPr="00220C07">
        <w:fldChar w:fldCharType="begin"/>
      </w:r>
      <w:r w:rsidRPr="00220C07">
        <w:instrText>DOCPROPERTY "x_t"</w:instrText>
      </w:r>
      <w:r w:rsidRPr="00220C07">
        <w:fldChar w:fldCharType="separate"/>
      </w:r>
      <w:r>
        <w:instrText>N</w:instrText>
      </w:r>
      <w:r w:rsidRPr="00220C07">
        <w:fldChar w:fldCharType="end"/>
      </w:r>
      <w:r w:rsidRPr="00220C07">
        <w:instrText>&lt;&gt; N "&gt;"</w:instrText>
      </w:r>
      <w:r w:rsidRPr="00220C07">
        <w:fldChar w:fldCharType="end"/>
      </w:r>
      <w:r w:rsidRPr="00220C07">
        <w:instrText>" ""</w:instrText>
      </w:r>
      <w:r w:rsidRPr="00220C07">
        <w:fldChar w:fldCharType="end"/>
      </w:r>
    </w:p>
    <w:p w14:paraId="4871A395" w14:textId="77B86B23" w:rsidR="00E37E2C" w:rsidRPr="00220C07" w:rsidRDefault="00E37E2C" w:rsidP="00E37E2C">
      <w:pPr>
        <w:pStyle w:val="BiblioEntry"/>
      </w:pPr>
      <w:r w:rsidRPr="00220C07">
        <w:fldChar w:fldCharType="begin"/>
      </w:r>
      <w:r w:rsidRPr="00220C07">
        <w:instrText>IF "x_+3" "</w:instrText>
      </w:r>
      <w:r w:rsidRPr="00220C07">
        <w:fldChar w:fldCharType="begin"/>
      </w:r>
      <w:r w:rsidRPr="00220C07">
        <w:instrText>IF</w:instrText>
      </w:r>
      <w:r w:rsidRPr="00220C07">
        <w:fldChar w:fldCharType="begin"/>
      </w:r>
      <w:r w:rsidRPr="00220C07">
        <w:instrText>DOCPROPERTY "x_t"</w:instrText>
      </w:r>
      <w:r w:rsidRPr="00220C07">
        <w:fldChar w:fldCharType="separate"/>
      </w:r>
      <w:r>
        <w:instrText>N</w:instrText>
      </w:r>
      <w:r w:rsidRPr="00220C07">
        <w:fldChar w:fldCharType="end"/>
      </w:r>
      <w:r w:rsidRPr="00220C07">
        <w:instrText>&lt;&gt; N "&lt;</w:instrText>
      </w:r>
      <w:r w:rsidRPr="00220C07">
        <w:fldChar w:fldCharType="begin"/>
      </w:r>
      <w:r w:rsidRPr="00220C07">
        <w:instrText>QUOTE "std"</w:instrText>
      </w:r>
      <w:r w:rsidRPr="00220C07">
        <w:fldChar w:fldCharType="separate"/>
      </w:r>
      <w:r w:rsidRPr="00220C07">
        <w:instrText>std</w:instrText>
      </w:r>
      <w:r w:rsidRPr="00220C07">
        <w:fldChar w:fldCharType="end"/>
      </w:r>
      <w:r w:rsidRPr="00220C07">
        <w:instrText>"</w:instrText>
      </w:r>
      <w:r w:rsidRPr="00220C07">
        <w:fldChar w:fldCharType="end"/>
      </w:r>
      <w:r w:rsidRPr="00220C07">
        <w:fldChar w:fldCharType="begin"/>
      </w:r>
      <w:r w:rsidRPr="00220C07">
        <w:instrText>IF</w:instrText>
      </w:r>
      <w:r w:rsidRPr="00220C07">
        <w:fldChar w:fldCharType="begin"/>
      </w:r>
      <w:r w:rsidRPr="00220C07">
        <w:instrText>= AND(</w:instrText>
      </w:r>
      <w:r w:rsidRPr="00220C07">
        <w:fldChar w:fldCharType="begin"/>
      </w:r>
      <w:r w:rsidRPr="00220C07">
        <w:instrText>COMPARE</w:instrText>
      </w:r>
      <w:r w:rsidRPr="00220C07">
        <w:fldChar w:fldCharType="begin"/>
      </w:r>
      <w:r w:rsidRPr="00220C07">
        <w:instrText>DOCPROPERTY "x_t"</w:instrText>
      </w:r>
      <w:r w:rsidRPr="00220C07">
        <w:fldChar w:fldCharType="separate"/>
      </w:r>
      <w:r>
        <w:instrText>N</w:instrText>
      </w:r>
      <w:r w:rsidRPr="00220C07">
        <w:fldChar w:fldCharType="end"/>
      </w:r>
      <w:r w:rsidRPr="00220C07">
        <w:instrText>&lt;&gt; N</w:instrText>
      </w:r>
      <w:r w:rsidRPr="00220C07">
        <w:fldChar w:fldCharType="separate"/>
      </w:r>
      <w:r>
        <w:rPr>
          <w:noProof/>
        </w:rPr>
        <w:instrText>0</w:instrText>
      </w:r>
      <w:r w:rsidRPr="00220C07">
        <w:fldChar w:fldCharType="end"/>
      </w:r>
      <w:r w:rsidRPr="00220C07">
        <w:instrText>,</w:instrText>
      </w:r>
      <w:r w:rsidRPr="00220C07">
        <w:fldChar w:fldCharType="begin"/>
      </w:r>
      <w:r w:rsidRPr="00220C07">
        <w:instrText>COMPARE</w:instrText>
      </w:r>
      <w:r w:rsidRPr="00220C07">
        <w:fldChar w:fldCharType="begin"/>
      </w:r>
      <w:r w:rsidRPr="00220C07">
        <w:instrText>DOCPROPERTY "x_a"</w:instrText>
      </w:r>
      <w:r w:rsidRPr="00220C07">
        <w:fldChar w:fldCharType="separate"/>
      </w:r>
      <w:r>
        <w:instrText>N</w:instrText>
      </w:r>
      <w:r w:rsidRPr="00220C07">
        <w:fldChar w:fldCharType="end"/>
      </w:r>
      <w:r w:rsidRPr="00220C07">
        <w:instrText>&lt;&gt; N</w:instrText>
      </w:r>
      <w:r w:rsidRPr="00220C07">
        <w:fldChar w:fldCharType="separate"/>
      </w:r>
      <w:r>
        <w:rPr>
          <w:noProof/>
        </w:rPr>
        <w:instrText>0</w:instrText>
      </w:r>
      <w:r w:rsidRPr="00220C07">
        <w:fldChar w:fldCharType="end"/>
      </w:r>
      <w:r w:rsidRPr="00220C07">
        <w:instrText>)</w:instrText>
      </w:r>
      <w:r w:rsidRPr="00220C07">
        <w:fldChar w:fldCharType="separate"/>
      </w:r>
      <w:r>
        <w:rPr>
          <w:b/>
          <w:noProof/>
        </w:rPr>
        <w:instrText>!Syntax Error, ,,</w:instrText>
      </w:r>
      <w:r w:rsidRPr="00220C07">
        <w:fldChar w:fldCharType="end"/>
      </w:r>
      <w:r w:rsidRPr="00220C07">
        <w:instrText>= 1 "</w:instrText>
      </w:r>
      <w:r w:rsidRPr="00220C07">
        <w:fldChar w:fldCharType="begin"/>
      </w:r>
      <w:r w:rsidRPr="00220C07">
        <w:instrText>QUOTE ""</w:instrText>
      </w:r>
      <w:r w:rsidRPr="00220C07">
        <w:fldChar w:fldCharType="end"/>
      </w:r>
      <w:r w:rsidRPr="00220C07">
        <w:instrText>"</w:instrText>
      </w:r>
      <w:r w:rsidRPr="00220C07">
        <w:fldChar w:fldCharType="end"/>
      </w:r>
      <w:r w:rsidRPr="00220C07">
        <w:fldChar w:fldCharType="begin"/>
      </w:r>
      <w:r w:rsidRPr="00220C07">
        <w:instrText>IF</w:instrText>
      </w:r>
      <w:r w:rsidRPr="00220C07">
        <w:fldChar w:fldCharType="begin"/>
      </w:r>
      <w:r w:rsidRPr="00220C07">
        <w:instrText>DOCPROPERTY "x_t"</w:instrText>
      </w:r>
      <w:r w:rsidRPr="00220C07">
        <w:fldChar w:fldCharType="separate"/>
      </w:r>
      <w:r>
        <w:instrText>N</w:instrText>
      </w:r>
      <w:r w:rsidRPr="00220C07">
        <w:fldChar w:fldCharType="end"/>
      </w:r>
      <w:r w:rsidRPr="00220C07">
        <w:instrText>&lt;&gt; N "&gt;"</w:instrText>
      </w:r>
      <w:r w:rsidRPr="00220C07">
        <w:fldChar w:fldCharType="end"/>
      </w:r>
      <w:r w:rsidRPr="00220C07">
        <w:instrText>" "</w:instrText>
      </w:r>
      <w:r w:rsidRPr="00220C07">
        <w:fldChar w:fldCharType="begin"/>
      </w:r>
      <w:r w:rsidRPr="00220C07">
        <w:instrText>QUOTE ""</w:instrText>
      </w:r>
      <w:r w:rsidRPr="00220C07">
        <w:fldChar w:fldCharType="end"/>
      </w:r>
      <w:r w:rsidRPr="00220C07">
        <w:instrText>"</w:instrText>
      </w:r>
      <w:r w:rsidRPr="00220C07">
        <w:fldChar w:fldCharType="end"/>
      </w:r>
      <w:r w:rsidRPr="00220C07">
        <w:rPr>
          <w:rStyle w:val="stdpublisher"/>
          <w:shd w:val="clear" w:color="auto" w:fill="auto"/>
        </w:rPr>
        <w:t>EN</w:t>
      </w:r>
      <w:r w:rsidRPr="00220C07">
        <w:t> </w:t>
      </w:r>
      <w:r w:rsidRPr="00220C07">
        <w:rPr>
          <w:rStyle w:val="stddocNumber"/>
          <w:shd w:val="clear" w:color="auto" w:fill="auto"/>
        </w:rPr>
        <w:t>622</w:t>
      </w:r>
      <w:r w:rsidRPr="00220C07">
        <w:t xml:space="preserve"> (</w:t>
      </w:r>
      <w:r w:rsidRPr="00220C07">
        <w:rPr>
          <w:rStyle w:val="stddocPartNumber"/>
          <w:shd w:val="clear" w:color="auto" w:fill="auto"/>
        </w:rPr>
        <w:t>all parts</w:t>
      </w:r>
      <w:r w:rsidRPr="00220C07">
        <w:t xml:space="preserve">), </w:t>
      </w:r>
      <w:r w:rsidRPr="00220C07">
        <w:rPr>
          <w:rStyle w:val="stddocTitle"/>
          <w:shd w:val="clear" w:color="auto" w:fill="auto"/>
        </w:rPr>
        <w:t>Fibreboards — Specifications</w:t>
      </w:r>
      <w:r w:rsidRPr="00220C07">
        <w:fldChar w:fldCharType="begin"/>
      </w:r>
      <w:r w:rsidRPr="00220C07">
        <w:instrText>IF "x_-3" "</w:instrText>
      </w:r>
      <w:r w:rsidRPr="00220C07">
        <w:fldChar w:fldCharType="begin"/>
      </w:r>
      <w:r w:rsidRPr="00220C07">
        <w:instrText>IF</w:instrText>
      </w:r>
      <w:r w:rsidRPr="00220C07">
        <w:fldChar w:fldCharType="begin"/>
      </w:r>
      <w:r w:rsidRPr="00220C07">
        <w:instrText>DOCPROPERTY "x_t"</w:instrText>
      </w:r>
      <w:r w:rsidRPr="00220C07">
        <w:fldChar w:fldCharType="separate"/>
      </w:r>
      <w:r>
        <w:instrText>N</w:instrText>
      </w:r>
      <w:r w:rsidRPr="00220C07">
        <w:fldChar w:fldCharType="end"/>
      </w:r>
      <w:r w:rsidRPr="00220C07">
        <w:instrText>&lt;&gt; N "&lt;/</w:instrText>
      </w:r>
      <w:r w:rsidRPr="00220C07">
        <w:fldChar w:fldCharType="begin"/>
      </w:r>
      <w:r w:rsidRPr="00220C07">
        <w:instrText>QUOTE "std"</w:instrText>
      </w:r>
      <w:r w:rsidRPr="00220C07">
        <w:fldChar w:fldCharType="separate"/>
      </w:r>
      <w:r w:rsidRPr="00220C07">
        <w:instrText>std</w:instrText>
      </w:r>
      <w:r w:rsidRPr="00220C07">
        <w:fldChar w:fldCharType="end"/>
      </w:r>
      <w:r w:rsidRPr="00220C07">
        <w:instrText>"</w:instrText>
      </w:r>
      <w:r w:rsidRPr="00220C07">
        <w:fldChar w:fldCharType="end"/>
      </w:r>
      <w:r w:rsidRPr="00220C07">
        <w:fldChar w:fldCharType="begin"/>
      </w:r>
      <w:r w:rsidRPr="00220C07">
        <w:instrText>IF</w:instrText>
      </w:r>
      <w:r w:rsidRPr="00220C07">
        <w:fldChar w:fldCharType="begin"/>
      </w:r>
      <w:r w:rsidRPr="00220C07">
        <w:instrText>DOCPROPERTY "x_t"</w:instrText>
      </w:r>
      <w:r w:rsidRPr="00220C07">
        <w:fldChar w:fldCharType="separate"/>
      </w:r>
      <w:r>
        <w:instrText>N</w:instrText>
      </w:r>
      <w:r w:rsidRPr="00220C07">
        <w:fldChar w:fldCharType="end"/>
      </w:r>
      <w:r w:rsidRPr="00220C07">
        <w:instrText>&lt;&gt; N "&gt;"</w:instrText>
      </w:r>
      <w:r w:rsidRPr="00220C07">
        <w:fldChar w:fldCharType="end"/>
      </w:r>
      <w:r w:rsidRPr="00220C07">
        <w:instrText>" ""</w:instrText>
      </w:r>
      <w:r w:rsidRPr="00220C07">
        <w:fldChar w:fldCharType="end"/>
      </w:r>
    </w:p>
    <w:p w14:paraId="4A9D6CD6" w14:textId="4E8A600D" w:rsidR="00E37E2C" w:rsidRPr="00220C07" w:rsidRDefault="00E37E2C" w:rsidP="00E37E2C">
      <w:pPr>
        <w:pStyle w:val="BiblioEntry"/>
      </w:pPr>
      <w:r w:rsidRPr="00220C07">
        <w:fldChar w:fldCharType="begin"/>
      </w:r>
      <w:r w:rsidRPr="00220C07">
        <w:instrText>IF "x_+3" "</w:instrText>
      </w:r>
      <w:r w:rsidRPr="00220C07">
        <w:fldChar w:fldCharType="begin"/>
      </w:r>
      <w:r w:rsidRPr="00220C07">
        <w:instrText>IF</w:instrText>
      </w:r>
      <w:r w:rsidRPr="00220C07">
        <w:fldChar w:fldCharType="begin"/>
      </w:r>
      <w:r w:rsidRPr="00220C07">
        <w:instrText>DOCPROPERTY "x_t"</w:instrText>
      </w:r>
      <w:r w:rsidRPr="00220C07">
        <w:fldChar w:fldCharType="separate"/>
      </w:r>
      <w:r>
        <w:instrText>N</w:instrText>
      </w:r>
      <w:r w:rsidRPr="00220C07">
        <w:fldChar w:fldCharType="end"/>
      </w:r>
      <w:r w:rsidRPr="00220C07">
        <w:instrText>&lt;&gt; N "&lt;</w:instrText>
      </w:r>
      <w:r w:rsidRPr="00220C07">
        <w:fldChar w:fldCharType="begin"/>
      </w:r>
      <w:r w:rsidRPr="00220C07">
        <w:instrText>QUOTE "std"</w:instrText>
      </w:r>
      <w:r w:rsidRPr="00220C07">
        <w:fldChar w:fldCharType="separate"/>
      </w:r>
      <w:r w:rsidRPr="00220C07">
        <w:instrText>std</w:instrText>
      </w:r>
      <w:r w:rsidRPr="00220C07">
        <w:fldChar w:fldCharType="end"/>
      </w:r>
      <w:r w:rsidRPr="00220C07">
        <w:instrText>"</w:instrText>
      </w:r>
      <w:r w:rsidRPr="00220C07">
        <w:fldChar w:fldCharType="end"/>
      </w:r>
      <w:r w:rsidRPr="00220C07">
        <w:fldChar w:fldCharType="begin"/>
      </w:r>
      <w:r w:rsidRPr="00220C07">
        <w:instrText>IF</w:instrText>
      </w:r>
      <w:r w:rsidRPr="00220C07">
        <w:fldChar w:fldCharType="begin"/>
      </w:r>
      <w:r w:rsidRPr="00220C07">
        <w:instrText>= AND(</w:instrText>
      </w:r>
      <w:r w:rsidRPr="00220C07">
        <w:fldChar w:fldCharType="begin"/>
      </w:r>
      <w:r w:rsidRPr="00220C07">
        <w:instrText>COMPARE</w:instrText>
      </w:r>
      <w:r w:rsidRPr="00220C07">
        <w:fldChar w:fldCharType="begin"/>
      </w:r>
      <w:r w:rsidRPr="00220C07">
        <w:instrText>DOCPROPERTY "x_t"</w:instrText>
      </w:r>
      <w:r w:rsidRPr="00220C07">
        <w:fldChar w:fldCharType="separate"/>
      </w:r>
      <w:r>
        <w:instrText>N</w:instrText>
      </w:r>
      <w:r w:rsidRPr="00220C07">
        <w:fldChar w:fldCharType="end"/>
      </w:r>
      <w:r w:rsidRPr="00220C07">
        <w:instrText>&lt;&gt; N</w:instrText>
      </w:r>
      <w:r w:rsidRPr="00220C07">
        <w:fldChar w:fldCharType="separate"/>
      </w:r>
      <w:r>
        <w:rPr>
          <w:noProof/>
        </w:rPr>
        <w:instrText>0</w:instrText>
      </w:r>
      <w:r w:rsidRPr="00220C07">
        <w:fldChar w:fldCharType="end"/>
      </w:r>
      <w:r w:rsidRPr="00220C07">
        <w:instrText>,</w:instrText>
      </w:r>
      <w:r w:rsidRPr="00220C07">
        <w:fldChar w:fldCharType="begin"/>
      </w:r>
      <w:r w:rsidRPr="00220C07">
        <w:instrText>COMPARE</w:instrText>
      </w:r>
      <w:r w:rsidRPr="00220C07">
        <w:fldChar w:fldCharType="begin"/>
      </w:r>
      <w:r w:rsidRPr="00220C07">
        <w:instrText>DOCPROPERTY "x_a"</w:instrText>
      </w:r>
      <w:r w:rsidRPr="00220C07">
        <w:fldChar w:fldCharType="separate"/>
      </w:r>
      <w:r>
        <w:instrText>N</w:instrText>
      </w:r>
      <w:r w:rsidRPr="00220C07">
        <w:fldChar w:fldCharType="end"/>
      </w:r>
      <w:r w:rsidRPr="00220C07">
        <w:instrText>&lt;&gt; N</w:instrText>
      </w:r>
      <w:r w:rsidRPr="00220C07">
        <w:fldChar w:fldCharType="separate"/>
      </w:r>
      <w:r>
        <w:rPr>
          <w:noProof/>
        </w:rPr>
        <w:instrText>0</w:instrText>
      </w:r>
      <w:r w:rsidRPr="00220C07">
        <w:fldChar w:fldCharType="end"/>
      </w:r>
      <w:r w:rsidRPr="00220C07">
        <w:instrText>)</w:instrText>
      </w:r>
      <w:r w:rsidRPr="00220C07">
        <w:fldChar w:fldCharType="separate"/>
      </w:r>
      <w:r>
        <w:rPr>
          <w:b/>
          <w:noProof/>
        </w:rPr>
        <w:instrText>!Syntax Error, ,,</w:instrText>
      </w:r>
      <w:r w:rsidRPr="00220C07">
        <w:fldChar w:fldCharType="end"/>
      </w:r>
      <w:r w:rsidRPr="00220C07">
        <w:instrText>= 1 "</w:instrText>
      </w:r>
      <w:r w:rsidRPr="00220C07">
        <w:fldChar w:fldCharType="begin"/>
      </w:r>
      <w:r w:rsidRPr="00220C07">
        <w:instrText>QUOTE ""</w:instrText>
      </w:r>
      <w:r w:rsidRPr="00220C07">
        <w:fldChar w:fldCharType="end"/>
      </w:r>
      <w:r w:rsidRPr="00220C07">
        <w:instrText>"</w:instrText>
      </w:r>
      <w:r w:rsidRPr="00220C07">
        <w:fldChar w:fldCharType="end"/>
      </w:r>
      <w:r w:rsidRPr="00220C07">
        <w:fldChar w:fldCharType="begin"/>
      </w:r>
      <w:r w:rsidRPr="00220C07">
        <w:instrText>IF</w:instrText>
      </w:r>
      <w:r w:rsidRPr="00220C07">
        <w:fldChar w:fldCharType="begin"/>
      </w:r>
      <w:r w:rsidRPr="00220C07">
        <w:instrText>DOCPROPERTY "x_t"</w:instrText>
      </w:r>
      <w:r w:rsidRPr="00220C07">
        <w:fldChar w:fldCharType="separate"/>
      </w:r>
      <w:r>
        <w:instrText>N</w:instrText>
      </w:r>
      <w:r w:rsidRPr="00220C07">
        <w:fldChar w:fldCharType="end"/>
      </w:r>
      <w:r w:rsidRPr="00220C07">
        <w:instrText>&lt;&gt; N "&gt;"</w:instrText>
      </w:r>
      <w:r w:rsidRPr="00220C07">
        <w:fldChar w:fldCharType="end"/>
      </w:r>
      <w:r w:rsidRPr="00220C07">
        <w:instrText>" "</w:instrText>
      </w:r>
      <w:r w:rsidRPr="00220C07">
        <w:fldChar w:fldCharType="begin"/>
      </w:r>
      <w:r w:rsidRPr="00220C07">
        <w:instrText>QUOTE ""</w:instrText>
      </w:r>
      <w:r w:rsidRPr="00220C07">
        <w:fldChar w:fldCharType="end"/>
      </w:r>
      <w:r w:rsidRPr="00220C07">
        <w:instrText>"</w:instrText>
      </w:r>
      <w:r w:rsidRPr="00220C07">
        <w:fldChar w:fldCharType="end"/>
      </w:r>
      <w:r w:rsidRPr="00220C07">
        <w:rPr>
          <w:rStyle w:val="stdpublisher"/>
          <w:shd w:val="clear" w:color="auto" w:fill="auto"/>
        </w:rPr>
        <w:t>EN</w:t>
      </w:r>
      <w:r w:rsidRPr="00220C07">
        <w:t> </w:t>
      </w:r>
      <w:r w:rsidRPr="00220C07">
        <w:rPr>
          <w:rStyle w:val="stddocNumber"/>
          <w:shd w:val="clear" w:color="auto" w:fill="auto"/>
        </w:rPr>
        <w:t>636</w:t>
      </w:r>
      <w:r w:rsidRPr="00220C07">
        <w:t xml:space="preserve">, </w:t>
      </w:r>
      <w:r w:rsidRPr="00220C07">
        <w:rPr>
          <w:rStyle w:val="stddocTitle"/>
          <w:shd w:val="clear" w:color="auto" w:fill="auto"/>
        </w:rPr>
        <w:t>Plywood — Specifications</w:t>
      </w:r>
      <w:r w:rsidRPr="00220C07">
        <w:fldChar w:fldCharType="begin"/>
      </w:r>
      <w:r w:rsidRPr="00220C07">
        <w:instrText>IF "x_-3" "</w:instrText>
      </w:r>
      <w:r w:rsidRPr="00220C07">
        <w:fldChar w:fldCharType="begin"/>
      </w:r>
      <w:r w:rsidRPr="00220C07">
        <w:instrText>IF</w:instrText>
      </w:r>
      <w:r w:rsidRPr="00220C07">
        <w:fldChar w:fldCharType="begin"/>
      </w:r>
      <w:r w:rsidRPr="00220C07">
        <w:instrText>DOCPROPERTY "x_t"</w:instrText>
      </w:r>
      <w:r w:rsidRPr="00220C07">
        <w:fldChar w:fldCharType="separate"/>
      </w:r>
      <w:r>
        <w:instrText>N</w:instrText>
      </w:r>
      <w:r w:rsidRPr="00220C07">
        <w:fldChar w:fldCharType="end"/>
      </w:r>
      <w:r w:rsidRPr="00220C07">
        <w:instrText>&lt;&gt; N "&lt;/</w:instrText>
      </w:r>
      <w:r w:rsidRPr="00220C07">
        <w:fldChar w:fldCharType="begin"/>
      </w:r>
      <w:r w:rsidRPr="00220C07">
        <w:instrText>QUOTE "std"</w:instrText>
      </w:r>
      <w:r w:rsidRPr="00220C07">
        <w:fldChar w:fldCharType="separate"/>
      </w:r>
      <w:r w:rsidRPr="00220C07">
        <w:instrText>std</w:instrText>
      </w:r>
      <w:r w:rsidRPr="00220C07">
        <w:fldChar w:fldCharType="end"/>
      </w:r>
      <w:r w:rsidRPr="00220C07">
        <w:instrText>"</w:instrText>
      </w:r>
      <w:r w:rsidRPr="00220C07">
        <w:fldChar w:fldCharType="end"/>
      </w:r>
      <w:r w:rsidRPr="00220C07">
        <w:fldChar w:fldCharType="begin"/>
      </w:r>
      <w:r w:rsidRPr="00220C07">
        <w:instrText>IF</w:instrText>
      </w:r>
      <w:r w:rsidRPr="00220C07">
        <w:fldChar w:fldCharType="begin"/>
      </w:r>
      <w:r w:rsidRPr="00220C07">
        <w:instrText>DOCPROPERTY "x_t"</w:instrText>
      </w:r>
      <w:r w:rsidRPr="00220C07">
        <w:fldChar w:fldCharType="separate"/>
      </w:r>
      <w:r>
        <w:instrText>N</w:instrText>
      </w:r>
      <w:r w:rsidRPr="00220C07">
        <w:fldChar w:fldCharType="end"/>
      </w:r>
      <w:r w:rsidRPr="00220C07">
        <w:instrText>&lt;&gt; N "&gt;"</w:instrText>
      </w:r>
      <w:r w:rsidRPr="00220C07">
        <w:fldChar w:fldCharType="end"/>
      </w:r>
      <w:r w:rsidRPr="00220C07">
        <w:instrText>" ""</w:instrText>
      </w:r>
      <w:r w:rsidRPr="00220C07">
        <w:fldChar w:fldCharType="end"/>
      </w:r>
    </w:p>
    <w:p w14:paraId="14652230" w14:textId="5C6B472E" w:rsidR="00E37E2C" w:rsidRPr="00220C07" w:rsidRDefault="00E37E2C" w:rsidP="00E37E2C">
      <w:pPr>
        <w:pStyle w:val="BiblioEntry"/>
      </w:pPr>
      <w:r w:rsidRPr="00220C07">
        <w:fldChar w:fldCharType="begin"/>
      </w:r>
      <w:r w:rsidRPr="00220C07">
        <w:instrText>IF "x_+3" "</w:instrText>
      </w:r>
      <w:r w:rsidRPr="00220C07">
        <w:fldChar w:fldCharType="begin"/>
      </w:r>
      <w:r w:rsidRPr="00220C07">
        <w:instrText>IF</w:instrText>
      </w:r>
      <w:r w:rsidRPr="00220C07">
        <w:fldChar w:fldCharType="begin"/>
      </w:r>
      <w:r w:rsidRPr="00220C07">
        <w:instrText>DOCPROPERTY "x_t"</w:instrText>
      </w:r>
      <w:r w:rsidRPr="00220C07">
        <w:fldChar w:fldCharType="separate"/>
      </w:r>
      <w:r>
        <w:instrText>N</w:instrText>
      </w:r>
      <w:r w:rsidRPr="00220C07">
        <w:fldChar w:fldCharType="end"/>
      </w:r>
      <w:r w:rsidRPr="00220C07">
        <w:instrText>&lt;&gt; N "&lt;</w:instrText>
      </w:r>
      <w:r w:rsidRPr="00220C07">
        <w:fldChar w:fldCharType="begin"/>
      </w:r>
      <w:r w:rsidRPr="00220C07">
        <w:instrText>QUOTE "std"</w:instrText>
      </w:r>
      <w:r w:rsidRPr="00220C07">
        <w:fldChar w:fldCharType="separate"/>
      </w:r>
      <w:r w:rsidRPr="00220C07">
        <w:instrText>std</w:instrText>
      </w:r>
      <w:r w:rsidRPr="00220C07">
        <w:fldChar w:fldCharType="end"/>
      </w:r>
      <w:r w:rsidRPr="00220C07">
        <w:instrText>"</w:instrText>
      </w:r>
      <w:r w:rsidRPr="00220C07">
        <w:fldChar w:fldCharType="end"/>
      </w:r>
      <w:r w:rsidRPr="00220C07">
        <w:fldChar w:fldCharType="begin"/>
      </w:r>
      <w:r w:rsidRPr="00220C07">
        <w:instrText>IF</w:instrText>
      </w:r>
      <w:r w:rsidRPr="00220C07">
        <w:fldChar w:fldCharType="begin"/>
      </w:r>
      <w:r w:rsidRPr="00220C07">
        <w:instrText>= AND(</w:instrText>
      </w:r>
      <w:r w:rsidRPr="00220C07">
        <w:fldChar w:fldCharType="begin"/>
      </w:r>
      <w:r w:rsidRPr="00220C07">
        <w:instrText>COMPARE</w:instrText>
      </w:r>
      <w:r w:rsidRPr="00220C07">
        <w:fldChar w:fldCharType="begin"/>
      </w:r>
      <w:r w:rsidRPr="00220C07">
        <w:instrText>DOCPROPERTY "x_t"</w:instrText>
      </w:r>
      <w:r w:rsidRPr="00220C07">
        <w:fldChar w:fldCharType="separate"/>
      </w:r>
      <w:r>
        <w:instrText>N</w:instrText>
      </w:r>
      <w:r w:rsidRPr="00220C07">
        <w:fldChar w:fldCharType="end"/>
      </w:r>
      <w:r w:rsidRPr="00220C07">
        <w:instrText>&lt;&gt; N</w:instrText>
      </w:r>
      <w:r w:rsidRPr="00220C07">
        <w:fldChar w:fldCharType="separate"/>
      </w:r>
      <w:r>
        <w:rPr>
          <w:noProof/>
        </w:rPr>
        <w:instrText>0</w:instrText>
      </w:r>
      <w:r w:rsidRPr="00220C07">
        <w:fldChar w:fldCharType="end"/>
      </w:r>
      <w:r w:rsidRPr="00220C07">
        <w:instrText>,</w:instrText>
      </w:r>
      <w:r w:rsidRPr="00220C07">
        <w:fldChar w:fldCharType="begin"/>
      </w:r>
      <w:r w:rsidRPr="00220C07">
        <w:instrText>COMPARE</w:instrText>
      </w:r>
      <w:r w:rsidRPr="00220C07">
        <w:fldChar w:fldCharType="begin"/>
      </w:r>
      <w:r w:rsidRPr="00220C07">
        <w:instrText>DOCPROPERTY "x_a"</w:instrText>
      </w:r>
      <w:r w:rsidRPr="00220C07">
        <w:fldChar w:fldCharType="separate"/>
      </w:r>
      <w:r>
        <w:instrText>N</w:instrText>
      </w:r>
      <w:r w:rsidRPr="00220C07">
        <w:fldChar w:fldCharType="end"/>
      </w:r>
      <w:r w:rsidRPr="00220C07">
        <w:instrText>&lt;&gt; N</w:instrText>
      </w:r>
      <w:r w:rsidRPr="00220C07">
        <w:fldChar w:fldCharType="separate"/>
      </w:r>
      <w:r>
        <w:rPr>
          <w:noProof/>
        </w:rPr>
        <w:instrText>0</w:instrText>
      </w:r>
      <w:r w:rsidRPr="00220C07">
        <w:fldChar w:fldCharType="end"/>
      </w:r>
      <w:r w:rsidRPr="00220C07">
        <w:instrText>)</w:instrText>
      </w:r>
      <w:r w:rsidRPr="00220C07">
        <w:fldChar w:fldCharType="separate"/>
      </w:r>
      <w:r>
        <w:rPr>
          <w:b/>
          <w:noProof/>
        </w:rPr>
        <w:instrText>!Syntax Error, ,,</w:instrText>
      </w:r>
      <w:r w:rsidRPr="00220C07">
        <w:fldChar w:fldCharType="end"/>
      </w:r>
      <w:r w:rsidRPr="00220C07">
        <w:instrText>= 1 "</w:instrText>
      </w:r>
      <w:r w:rsidRPr="00220C07">
        <w:fldChar w:fldCharType="begin"/>
      </w:r>
      <w:r w:rsidRPr="00220C07">
        <w:instrText>QUOTE ""</w:instrText>
      </w:r>
      <w:r w:rsidRPr="00220C07">
        <w:fldChar w:fldCharType="end"/>
      </w:r>
      <w:r w:rsidRPr="00220C07">
        <w:instrText>"</w:instrText>
      </w:r>
      <w:r w:rsidRPr="00220C07">
        <w:fldChar w:fldCharType="end"/>
      </w:r>
      <w:r w:rsidRPr="00220C07">
        <w:fldChar w:fldCharType="begin"/>
      </w:r>
      <w:r w:rsidRPr="00220C07">
        <w:instrText>IF</w:instrText>
      </w:r>
      <w:r w:rsidRPr="00220C07">
        <w:fldChar w:fldCharType="begin"/>
      </w:r>
      <w:r w:rsidRPr="00220C07">
        <w:instrText>DOCPROPERTY "x_t"</w:instrText>
      </w:r>
      <w:r w:rsidRPr="00220C07">
        <w:fldChar w:fldCharType="separate"/>
      </w:r>
      <w:r>
        <w:instrText>N</w:instrText>
      </w:r>
      <w:r w:rsidRPr="00220C07">
        <w:fldChar w:fldCharType="end"/>
      </w:r>
      <w:r w:rsidRPr="00220C07">
        <w:instrText>&lt;&gt; N "&gt;"</w:instrText>
      </w:r>
      <w:r w:rsidRPr="00220C07">
        <w:fldChar w:fldCharType="end"/>
      </w:r>
      <w:r w:rsidRPr="00220C07">
        <w:instrText>" "</w:instrText>
      </w:r>
      <w:r w:rsidRPr="00220C07">
        <w:fldChar w:fldCharType="begin"/>
      </w:r>
      <w:r w:rsidRPr="00220C07">
        <w:instrText>QUOTE ""</w:instrText>
      </w:r>
      <w:r w:rsidRPr="00220C07">
        <w:fldChar w:fldCharType="end"/>
      </w:r>
      <w:r w:rsidRPr="00220C07">
        <w:instrText>"</w:instrText>
      </w:r>
      <w:r w:rsidRPr="00220C07">
        <w:fldChar w:fldCharType="end"/>
      </w:r>
      <w:r w:rsidRPr="00220C07">
        <w:rPr>
          <w:rStyle w:val="stdpublisher"/>
          <w:shd w:val="clear" w:color="auto" w:fill="auto"/>
        </w:rPr>
        <w:t>EN</w:t>
      </w:r>
      <w:r w:rsidRPr="00220C07">
        <w:t> </w:t>
      </w:r>
      <w:r w:rsidRPr="00220C07">
        <w:rPr>
          <w:rStyle w:val="stddocNumber"/>
          <w:shd w:val="clear" w:color="auto" w:fill="auto"/>
        </w:rPr>
        <w:t>1090</w:t>
      </w:r>
      <w:r w:rsidRPr="00220C07">
        <w:noBreakHyphen/>
      </w:r>
      <w:r w:rsidRPr="00220C07">
        <w:rPr>
          <w:rStyle w:val="stddocPartNumber"/>
          <w:shd w:val="clear" w:color="auto" w:fill="auto"/>
        </w:rPr>
        <w:t>2</w:t>
      </w:r>
      <w:r w:rsidRPr="00220C07">
        <w:t xml:space="preserve">, </w:t>
      </w:r>
      <w:r w:rsidRPr="00220C07">
        <w:rPr>
          <w:rStyle w:val="stddocTitle"/>
          <w:shd w:val="clear" w:color="auto" w:fill="auto"/>
        </w:rPr>
        <w:t>Execution of steel structures and aluminium structures — Part 2: Technical requirements for steel structures</w:t>
      </w:r>
      <w:r w:rsidRPr="00220C07">
        <w:fldChar w:fldCharType="begin"/>
      </w:r>
      <w:r w:rsidRPr="00220C07">
        <w:instrText>IF "x_-3" "</w:instrText>
      </w:r>
      <w:r w:rsidRPr="00220C07">
        <w:fldChar w:fldCharType="begin"/>
      </w:r>
      <w:r w:rsidRPr="00220C07">
        <w:instrText>IF</w:instrText>
      </w:r>
      <w:r w:rsidRPr="00220C07">
        <w:fldChar w:fldCharType="begin"/>
      </w:r>
      <w:r w:rsidRPr="00220C07">
        <w:instrText>DOCPROPERTY "x_t"</w:instrText>
      </w:r>
      <w:r w:rsidRPr="00220C07">
        <w:fldChar w:fldCharType="separate"/>
      </w:r>
      <w:r>
        <w:instrText>N</w:instrText>
      </w:r>
      <w:r w:rsidRPr="00220C07">
        <w:fldChar w:fldCharType="end"/>
      </w:r>
      <w:r w:rsidRPr="00220C07">
        <w:instrText>&lt;&gt; N "&lt;/</w:instrText>
      </w:r>
      <w:r w:rsidRPr="00220C07">
        <w:fldChar w:fldCharType="begin"/>
      </w:r>
      <w:r w:rsidRPr="00220C07">
        <w:instrText>QUOTE "std"</w:instrText>
      </w:r>
      <w:r w:rsidRPr="00220C07">
        <w:fldChar w:fldCharType="separate"/>
      </w:r>
      <w:r w:rsidRPr="00220C07">
        <w:instrText>std</w:instrText>
      </w:r>
      <w:r w:rsidRPr="00220C07">
        <w:fldChar w:fldCharType="end"/>
      </w:r>
      <w:r w:rsidRPr="00220C07">
        <w:instrText>"</w:instrText>
      </w:r>
      <w:r w:rsidRPr="00220C07">
        <w:fldChar w:fldCharType="end"/>
      </w:r>
      <w:r w:rsidRPr="00220C07">
        <w:fldChar w:fldCharType="begin"/>
      </w:r>
      <w:r w:rsidRPr="00220C07">
        <w:instrText>IF</w:instrText>
      </w:r>
      <w:r w:rsidRPr="00220C07">
        <w:fldChar w:fldCharType="begin"/>
      </w:r>
      <w:r w:rsidRPr="00220C07">
        <w:instrText>DOCPROPERTY "x_t"</w:instrText>
      </w:r>
      <w:r w:rsidRPr="00220C07">
        <w:fldChar w:fldCharType="separate"/>
      </w:r>
      <w:r>
        <w:instrText>N</w:instrText>
      </w:r>
      <w:r w:rsidRPr="00220C07">
        <w:fldChar w:fldCharType="end"/>
      </w:r>
      <w:r w:rsidRPr="00220C07">
        <w:instrText>&lt;&gt; N "&gt;"</w:instrText>
      </w:r>
      <w:r w:rsidRPr="00220C07">
        <w:fldChar w:fldCharType="end"/>
      </w:r>
      <w:r w:rsidRPr="00220C07">
        <w:instrText>" ""</w:instrText>
      </w:r>
      <w:r w:rsidRPr="00220C07">
        <w:fldChar w:fldCharType="end"/>
      </w:r>
    </w:p>
    <w:p w14:paraId="06DD5A1E" w14:textId="51B78AF2" w:rsidR="00E37E2C" w:rsidRPr="00220C07" w:rsidRDefault="00E37E2C" w:rsidP="00E37E2C">
      <w:pPr>
        <w:pStyle w:val="BiblioEntry"/>
      </w:pPr>
      <w:r w:rsidRPr="00220C07">
        <w:fldChar w:fldCharType="begin"/>
      </w:r>
      <w:r w:rsidRPr="00220C07">
        <w:instrText>IF "x_+3" "</w:instrText>
      </w:r>
      <w:r w:rsidRPr="00220C07">
        <w:fldChar w:fldCharType="begin"/>
      </w:r>
      <w:r w:rsidRPr="00220C07">
        <w:instrText>IF</w:instrText>
      </w:r>
      <w:r w:rsidRPr="00220C07">
        <w:fldChar w:fldCharType="begin"/>
      </w:r>
      <w:r w:rsidRPr="00220C07">
        <w:instrText>DOCPROPERTY "x_t"</w:instrText>
      </w:r>
      <w:r w:rsidRPr="00220C07">
        <w:fldChar w:fldCharType="separate"/>
      </w:r>
      <w:r>
        <w:instrText>N</w:instrText>
      </w:r>
      <w:r w:rsidRPr="00220C07">
        <w:fldChar w:fldCharType="end"/>
      </w:r>
      <w:r w:rsidRPr="00220C07">
        <w:instrText>&lt;&gt; N "&lt;</w:instrText>
      </w:r>
      <w:r w:rsidRPr="00220C07">
        <w:fldChar w:fldCharType="begin"/>
      </w:r>
      <w:r w:rsidRPr="00220C07">
        <w:instrText>QUOTE "std"</w:instrText>
      </w:r>
      <w:r w:rsidRPr="00220C07">
        <w:fldChar w:fldCharType="separate"/>
      </w:r>
      <w:r w:rsidRPr="00220C07">
        <w:instrText>std</w:instrText>
      </w:r>
      <w:r w:rsidRPr="00220C07">
        <w:fldChar w:fldCharType="end"/>
      </w:r>
      <w:r w:rsidRPr="00220C07">
        <w:instrText>"</w:instrText>
      </w:r>
      <w:r w:rsidRPr="00220C07">
        <w:fldChar w:fldCharType="end"/>
      </w:r>
      <w:r w:rsidRPr="00220C07">
        <w:fldChar w:fldCharType="begin"/>
      </w:r>
      <w:r w:rsidRPr="00220C07">
        <w:instrText>IF</w:instrText>
      </w:r>
      <w:r w:rsidRPr="00220C07">
        <w:fldChar w:fldCharType="begin"/>
      </w:r>
      <w:r w:rsidRPr="00220C07">
        <w:instrText>= AND(</w:instrText>
      </w:r>
      <w:r w:rsidRPr="00220C07">
        <w:fldChar w:fldCharType="begin"/>
      </w:r>
      <w:r w:rsidRPr="00220C07">
        <w:instrText>COMPARE</w:instrText>
      </w:r>
      <w:r w:rsidRPr="00220C07">
        <w:fldChar w:fldCharType="begin"/>
      </w:r>
      <w:r w:rsidRPr="00220C07">
        <w:instrText>DOCPROPERTY "x_t"</w:instrText>
      </w:r>
      <w:r w:rsidRPr="00220C07">
        <w:fldChar w:fldCharType="separate"/>
      </w:r>
      <w:r>
        <w:instrText>N</w:instrText>
      </w:r>
      <w:r w:rsidRPr="00220C07">
        <w:fldChar w:fldCharType="end"/>
      </w:r>
      <w:r w:rsidRPr="00220C07">
        <w:instrText>&lt;&gt; N</w:instrText>
      </w:r>
      <w:r w:rsidRPr="00220C07">
        <w:fldChar w:fldCharType="separate"/>
      </w:r>
      <w:r>
        <w:rPr>
          <w:noProof/>
        </w:rPr>
        <w:instrText>0</w:instrText>
      </w:r>
      <w:r w:rsidRPr="00220C07">
        <w:fldChar w:fldCharType="end"/>
      </w:r>
      <w:r w:rsidRPr="00220C07">
        <w:instrText>,</w:instrText>
      </w:r>
      <w:r w:rsidRPr="00220C07">
        <w:fldChar w:fldCharType="begin"/>
      </w:r>
      <w:r w:rsidRPr="00220C07">
        <w:instrText>COMPARE</w:instrText>
      </w:r>
      <w:r w:rsidRPr="00220C07">
        <w:fldChar w:fldCharType="begin"/>
      </w:r>
      <w:r w:rsidRPr="00220C07">
        <w:instrText>DOCPROPERTY "x_a"</w:instrText>
      </w:r>
      <w:r w:rsidRPr="00220C07">
        <w:fldChar w:fldCharType="separate"/>
      </w:r>
      <w:r>
        <w:instrText>N</w:instrText>
      </w:r>
      <w:r w:rsidRPr="00220C07">
        <w:fldChar w:fldCharType="end"/>
      </w:r>
      <w:r w:rsidRPr="00220C07">
        <w:instrText>&lt;&gt; N</w:instrText>
      </w:r>
      <w:r w:rsidRPr="00220C07">
        <w:fldChar w:fldCharType="separate"/>
      </w:r>
      <w:r>
        <w:rPr>
          <w:noProof/>
        </w:rPr>
        <w:instrText>0</w:instrText>
      </w:r>
      <w:r w:rsidRPr="00220C07">
        <w:fldChar w:fldCharType="end"/>
      </w:r>
      <w:r w:rsidRPr="00220C07">
        <w:instrText>)</w:instrText>
      </w:r>
      <w:r w:rsidRPr="00220C07">
        <w:fldChar w:fldCharType="separate"/>
      </w:r>
      <w:r>
        <w:rPr>
          <w:b/>
          <w:noProof/>
        </w:rPr>
        <w:instrText>!Syntax Error, ,,</w:instrText>
      </w:r>
      <w:r w:rsidRPr="00220C07">
        <w:fldChar w:fldCharType="end"/>
      </w:r>
      <w:r w:rsidRPr="00220C07">
        <w:instrText>= 1 "</w:instrText>
      </w:r>
      <w:r w:rsidRPr="00220C07">
        <w:fldChar w:fldCharType="begin"/>
      </w:r>
      <w:r w:rsidRPr="00220C07">
        <w:instrText>QUOTE ""</w:instrText>
      </w:r>
      <w:r w:rsidRPr="00220C07">
        <w:fldChar w:fldCharType="end"/>
      </w:r>
      <w:r w:rsidRPr="00220C07">
        <w:instrText>"</w:instrText>
      </w:r>
      <w:r w:rsidRPr="00220C07">
        <w:fldChar w:fldCharType="end"/>
      </w:r>
      <w:r w:rsidRPr="00220C07">
        <w:fldChar w:fldCharType="begin"/>
      </w:r>
      <w:r w:rsidRPr="00220C07">
        <w:instrText>IF</w:instrText>
      </w:r>
      <w:r w:rsidRPr="00220C07">
        <w:fldChar w:fldCharType="begin"/>
      </w:r>
      <w:r w:rsidRPr="00220C07">
        <w:instrText>DOCPROPERTY "x_t"</w:instrText>
      </w:r>
      <w:r w:rsidRPr="00220C07">
        <w:fldChar w:fldCharType="separate"/>
      </w:r>
      <w:r>
        <w:instrText>N</w:instrText>
      </w:r>
      <w:r w:rsidRPr="00220C07">
        <w:fldChar w:fldCharType="end"/>
      </w:r>
      <w:r w:rsidRPr="00220C07">
        <w:instrText>&lt;&gt; N "&gt;"</w:instrText>
      </w:r>
      <w:r w:rsidRPr="00220C07">
        <w:fldChar w:fldCharType="end"/>
      </w:r>
      <w:r w:rsidRPr="00220C07">
        <w:instrText>" "</w:instrText>
      </w:r>
      <w:r w:rsidRPr="00220C07">
        <w:fldChar w:fldCharType="begin"/>
      </w:r>
      <w:r w:rsidRPr="00220C07">
        <w:instrText>QUOTE ""</w:instrText>
      </w:r>
      <w:r w:rsidRPr="00220C07">
        <w:fldChar w:fldCharType="end"/>
      </w:r>
      <w:r w:rsidRPr="00220C07">
        <w:instrText>"</w:instrText>
      </w:r>
      <w:r w:rsidRPr="00220C07">
        <w:fldChar w:fldCharType="end"/>
      </w:r>
      <w:r w:rsidRPr="00220C07">
        <w:rPr>
          <w:rStyle w:val="stdpublisher"/>
          <w:shd w:val="clear" w:color="auto" w:fill="auto"/>
        </w:rPr>
        <w:t>prEN</w:t>
      </w:r>
      <w:r w:rsidRPr="00220C07">
        <w:t> </w:t>
      </w:r>
      <w:r w:rsidRPr="00220C07">
        <w:rPr>
          <w:rStyle w:val="stddocNumber"/>
          <w:shd w:val="clear" w:color="auto" w:fill="auto"/>
        </w:rPr>
        <w:t>1991</w:t>
      </w:r>
      <w:r w:rsidRPr="00220C07">
        <w:t>-</w:t>
      </w:r>
      <w:r w:rsidRPr="00220C07">
        <w:rPr>
          <w:rStyle w:val="stddocPartNumber"/>
          <w:shd w:val="clear" w:color="auto" w:fill="auto"/>
        </w:rPr>
        <w:t>1-1</w:t>
      </w:r>
      <w:r w:rsidRPr="00220C07">
        <w:t>:</w:t>
      </w:r>
      <w:r w:rsidRPr="00220C07">
        <w:rPr>
          <w:rStyle w:val="stdyear"/>
          <w:shd w:val="clear" w:color="auto" w:fill="auto"/>
        </w:rPr>
        <w:t>2023</w:t>
      </w:r>
      <w:r w:rsidRPr="00220C07">
        <w:t xml:space="preserve">, </w:t>
      </w:r>
      <w:r w:rsidRPr="00220C07">
        <w:rPr>
          <w:rStyle w:val="stddocTitle"/>
          <w:shd w:val="clear" w:color="auto" w:fill="auto"/>
        </w:rPr>
        <w:t>Eurocode 1 — Actions on structures — Part 1-1: Specific weight of materials, self-weight of construction works and imposed loads for buildings</w:t>
      </w:r>
      <w:r w:rsidRPr="00220C07">
        <w:fldChar w:fldCharType="begin"/>
      </w:r>
      <w:r w:rsidRPr="00220C07">
        <w:instrText>IF "x_-3" "</w:instrText>
      </w:r>
      <w:r w:rsidRPr="00220C07">
        <w:fldChar w:fldCharType="begin"/>
      </w:r>
      <w:r w:rsidRPr="00220C07">
        <w:instrText>IF</w:instrText>
      </w:r>
      <w:r w:rsidRPr="00220C07">
        <w:fldChar w:fldCharType="begin"/>
      </w:r>
      <w:r w:rsidRPr="00220C07">
        <w:instrText>DOCPROPERTY "x_t"</w:instrText>
      </w:r>
      <w:r w:rsidRPr="00220C07">
        <w:fldChar w:fldCharType="separate"/>
      </w:r>
      <w:r>
        <w:instrText>N</w:instrText>
      </w:r>
      <w:r w:rsidRPr="00220C07">
        <w:fldChar w:fldCharType="end"/>
      </w:r>
      <w:r w:rsidRPr="00220C07">
        <w:instrText>&lt;&gt; N "&lt;/</w:instrText>
      </w:r>
      <w:r w:rsidRPr="00220C07">
        <w:fldChar w:fldCharType="begin"/>
      </w:r>
      <w:r w:rsidRPr="00220C07">
        <w:instrText>QUOTE "std"</w:instrText>
      </w:r>
      <w:r w:rsidRPr="00220C07">
        <w:fldChar w:fldCharType="separate"/>
      </w:r>
      <w:r w:rsidRPr="00220C07">
        <w:instrText>std</w:instrText>
      </w:r>
      <w:r w:rsidRPr="00220C07">
        <w:fldChar w:fldCharType="end"/>
      </w:r>
      <w:r w:rsidRPr="00220C07">
        <w:instrText>"</w:instrText>
      </w:r>
      <w:r w:rsidRPr="00220C07">
        <w:fldChar w:fldCharType="end"/>
      </w:r>
      <w:r w:rsidRPr="00220C07">
        <w:fldChar w:fldCharType="begin"/>
      </w:r>
      <w:r w:rsidRPr="00220C07">
        <w:instrText>IF</w:instrText>
      </w:r>
      <w:r w:rsidRPr="00220C07">
        <w:fldChar w:fldCharType="begin"/>
      </w:r>
      <w:r w:rsidRPr="00220C07">
        <w:instrText>DOCPROPERTY "x_t"</w:instrText>
      </w:r>
      <w:r w:rsidRPr="00220C07">
        <w:fldChar w:fldCharType="separate"/>
      </w:r>
      <w:r>
        <w:instrText>N</w:instrText>
      </w:r>
      <w:r w:rsidRPr="00220C07">
        <w:fldChar w:fldCharType="end"/>
      </w:r>
      <w:r w:rsidRPr="00220C07">
        <w:instrText>&lt;&gt; N "&gt;"</w:instrText>
      </w:r>
      <w:r w:rsidRPr="00220C07">
        <w:fldChar w:fldCharType="end"/>
      </w:r>
      <w:r w:rsidRPr="00220C07">
        <w:instrText>" ""</w:instrText>
      </w:r>
      <w:r w:rsidRPr="00220C07">
        <w:fldChar w:fldCharType="end"/>
      </w:r>
    </w:p>
    <w:p w14:paraId="74D6D9BB" w14:textId="2EC80319" w:rsidR="00E37E2C" w:rsidRPr="00220C07" w:rsidRDefault="00E37E2C" w:rsidP="00E37E2C">
      <w:pPr>
        <w:pStyle w:val="BiblioEntry"/>
      </w:pPr>
      <w:r w:rsidRPr="00220C07">
        <w:fldChar w:fldCharType="begin"/>
      </w:r>
      <w:r w:rsidRPr="00220C07">
        <w:instrText>IF "x_+3" "</w:instrText>
      </w:r>
      <w:r w:rsidRPr="00220C07">
        <w:fldChar w:fldCharType="begin"/>
      </w:r>
      <w:r w:rsidRPr="00220C07">
        <w:instrText>IF</w:instrText>
      </w:r>
      <w:r w:rsidRPr="00220C07">
        <w:fldChar w:fldCharType="begin"/>
      </w:r>
      <w:r w:rsidRPr="00220C07">
        <w:instrText>DOCPROPERTY "x_t"</w:instrText>
      </w:r>
      <w:r w:rsidRPr="00220C07">
        <w:fldChar w:fldCharType="separate"/>
      </w:r>
      <w:r>
        <w:instrText>N</w:instrText>
      </w:r>
      <w:r w:rsidRPr="00220C07">
        <w:fldChar w:fldCharType="end"/>
      </w:r>
      <w:r w:rsidRPr="00220C07">
        <w:instrText>&lt;&gt; N "&lt;</w:instrText>
      </w:r>
      <w:r w:rsidRPr="00220C07">
        <w:fldChar w:fldCharType="begin"/>
      </w:r>
      <w:r w:rsidRPr="00220C07">
        <w:instrText>QUOTE "std"</w:instrText>
      </w:r>
      <w:r w:rsidRPr="00220C07">
        <w:fldChar w:fldCharType="separate"/>
      </w:r>
      <w:r w:rsidRPr="00220C07">
        <w:instrText>std</w:instrText>
      </w:r>
      <w:r w:rsidRPr="00220C07">
        <w:fldChar w:fldCharType="end"/>
      </w:r>
      <w:r w:rsidRPr="00220C07">
        <w:instrText>"</w:instrText>
      </w:r>
      <w:r w:rsidRPr="00220C07">
        <w:fldChar w:fldCharType="end"/>
      </w:r>
      <w:r w:rsidRPr="00220C07">
        <w:fldChar w:fldCharType="begin"/>
      </w:r>
      <w:r w:rsidRPr="00220C07">
        <w:instrText>IF</w:instrText>
      </w:r>
      <w:r w:rsidRPr="00220C07">
        <w:fldChar w:fldCharType="begin"/>
      </w:r>
      <w:r w:rsidRPr="00220C07">
        <w:instrText>= AND(</w:instrText>
      </w:r>
      <w:r w:rsidRPr="00220C07">
        <w:fldChar w:fldCharType="begin"/>
      </w:r>
      <w:r w:rsidRPr="00220C07">
        <w:instrText>COMPARE</w:instrText>
      </w:r>
      <w:r w:rsidRPr="00220C07">
        <w:fldChar w:fldCharType="begin"/>
      </w:r>
      <w:r w:rsidRPr="00220C07">
        <w:instrText>DOCPROPERTY "x_t"</w:instrText>
      </w:r>
      <w:r w:rsidRPr="00220C07">
        <w:fldChar w:fldCharType="separate"/>
      </w:r>
      <w:r>
        <w:instrText>N</w:instrText>
      </w:r>
      <w:r w:rsidRPr="00220C07">
        <w:fldChar w:fldCharType="end"/>
      </w:r>
      <w:r w:rsidRPr="00220C07">
        <w:instrText>&lt;&gt; N</w:instrText>
      </w:r>
      <w:r w:rsidRPr="00220C07">
        <w:fldChar w:fldCharType="separate"/>
      </w:r>
      <w:r>
        <w:rPr>
          <w:noProof/>
        </w:rPr>
        <w:instrText>0</w:instrText>
      </w:r>
      <w:r w:rsidRPr="00220C07">
        <w:fldChar w:fldCharType="end"/>
      </w:r>
      <w:r w:rsidRPr="00220C07">
        <w:instrText>,</w:instrText>
      </w:r>
      <w:r w:rsidRPr="00220C07">
        <w:fldChar w:fldCharType="begin"/>
      </w:r>
      <w:r w:rsidRPr="00220C07">
        <w:instrText>COMPARE</w:instrText>
      </w:r>
      <w:r w:rsidRPr="00220C07">
        <w:fldChar w:fldCharType="begin"/>
      </w:r>
      <w:r w:rsidRPr="00220C07">
        <w:instrText>DOCPROPERTY "x_a"</w:instrText>
      </w:r>
      <w:r w:rsidRPr="00220C07">
        <w:fldChar w:fldCharType="separate"/>
      </w:r>
      <w:r>
        <w:instrText>N</w:instrText>
      </w:r>
      <w:r w:rsidRPr="00220C07">
        <w:fldChar w:fldCharType="end"/>
      </w:r>
      <w:r w:rsidRPr="00220C07">
        <w:instrText>&lt;&gt; N</w:instrText>
      </w:r>
      <w:r w:rsidRPr="00220C07">
        <w:fldChar w:fldCharType="separate"/>
      </w:r>
      <w:r>
        <w:rPr>
          <w:noProof/>
        </w:rPr>
        <w:instrText>0</w:instrText>
      </w:r>
      <w:r w:rsidRPr="00220C07">
        <w:fldChar w:fldCharType="end"/>
      </w:r>
      <w:r w:rsidRPr="00220C07">
        <w:instrText>)</w:instrText>
      </w:r>
      <w:r w:rsidRPr="00220C07">
        <w:fldChar w:fldCharType="separate"/>
      </w:r>
      <w:r>
        <w:rPr>
          <w:b/>
          <w:noProof/>
        </w:rPr>
        <w:instrText>!Syntax Error, ,,</w:instrText>
      </w:r>
      <w:r w:rsidRPr="00220C07">
        <w:fldChar w:fldCharType="end"/>
      </w:r>
      <w:r w:rsidRPr="00220C07">
        <w:instrText>= 1 "</w:instrText>
      </w:r>
      <w:r w:rsidRPr="00220C07">
        <w:fldChar w:fldCharType="begin"/>
      </w:r>
      <w:r w:rsidRPr="00220C07">
        <w:instrText>QUOTE ""</w:instrText>
      </w:r>
      <w:r w:rsidRPr="00220C07">
        <w:fldChar w:fldCharType="end"/>
      </w:r>
      <w:r w:rsidRPr="00220C07">
        <w:instrText>"</w:instrText>
      </w:r>
      <w:r w:rsidRPr="00220C07">
        <w:fldChar w:fldCharType="end"/>
      </w:r>
      <w:r w:rsidRPr="00220C07">
        <w:fldChar w:fldCharType="begin"/>
      </w:r>
      <w:r w:rsidRPr="00220C07">
        <w:instrText>IF</w:instrText>
      </w:r>
      <w:r w:rsidRPr="00220C07">
        <w:fldChar w:fldCharType="begin"/>
      </w:r>
      <w:r w:rsidRPr="00220C07">
        <w:instrText>DOCPROPERTY "x_t"</w:instrText>
      </w:r>
      <w:r w:rsidRPr="00220C07">
        <w:fldChar w:fldCharType="separate"/>
      </w:r>
      <w:r>
        <w:instrText>N</w:instrText>
      </w:r>
      <w:r w:rsidRPr="00220C07">
        <w:fldChar w:fldCharType="end"/>
      </w:r>
      <w:r w:rsidRPr="00220C07">
        <w:instrText>&lt;&gt; N "&gt;"</w:instrText>
      </w:r>
      <w:r w:rsidRPr="00220C07">
        <w:fldChar w:fldCharType="end"/>
      </w:r>
      <w:r w:rsidRPr="00220C07">
        <w:instrText>" "</w:instrText>
      </w:r>
      <w:r w:rsidRPr="00220C07">
        <w:fldChar w:fldCharType="begin"/>
      </w:r>
      <w:r w:rsidRPr="00220C07">
        <w:instrText>QUOTE ""</w:instrText>
      </w:r>
      <w:r w:rsidRPr="00220C07">
        <w:fldChar w:fldCharType="end"/>
      </w:r>
      <w:r w:rsidRPr="00220C07">
        <w:instrText>"</w:instrText>
      </w:r>
      <w:r w:rsidRPr="00220C07">
        <w:fldChar w:fldCharType="end"/>
      </w:r>
      <w:r w:rsidRPr="00220C07">
        <w:rPr>
          <w:rStyle w:val="stdpublisher"/>
          <w:shd w:val="clear" w:color="auto" w:fill="auto"/>
        </w:rPr>
        <w:t>prEN</w:t>
      </w:r>
      <w:r w:rsidRPr="00220C07">
        <w:t> </w:t>
      </w:r>
      <w:r w:rsidRPr="00220C07">
        <w:rPr>
          <w:rStyle w:val="stddocNumber"/>
          <w:shd w:val="clear" w:color="auto" w:fill="auto"/>
        </w:rPr>
        <w:t>1991</w:t>
      </w:r>
      <w:r w:rsidRPr="00220C07">
        <w:t>-</w:t>
      </w:r>
      <w:r w:rsidRPr="00220C07">
        <w:rPr>
          <w:rStyle w:val="stddocPartNumber"/>
          <w:shd w:val="clear" w:color="auto" w:fill="auto"/>
        </w:rPr>
        <w:t>1-3</w:t>
      </w:r>
      <w:r w:rsidRPr="00220C07">
        <w:t xml:space="preserve">, </w:t>
      </w:r>
      <w:r w:rsidRPr="00220C07">
        <w:rPr>
          <w:rStyle w:val="stddocTitle"/>
          <w:shd w:val="clear" w:color="auto" w:fill="auto"/>
        </w:rPr>
        <w:t>Eurocode 1 — Actions on structures — Part 1-3: Snow loads</w:t>
      </w:r>
      <w:r w:rsidRPr="00220C07">
        <w:fldChar w:fldCharType="begin"/>
      </w:r>
      <w:r w:rsidRPr="00220C07">
        <w:instrText>IF "x_-3" "</w:instrText>
      </w:r>
      <w:r w:rsidRPr="00220C07">
        <w:fldChar w:fldCharType="begin"/>
      </w:r>
      <w:r w:rsidRPr="00220C07">
        <w:instrText>IF</w:instrText>
      </w:r>
      <w:r w:rsidRPr="00220C07">
        <w:fldChar w:fldCharType="begin"/>
      </w:r>
      <w:r w:rsidRPr="00220C07">
        <w:instrText>DOCPROPERTY "x_t"</w:instrText>
      </w:r>
      <w:r w:rsidRPr="00220C07">
        <w:fldChar w:fldCharType="separate"/>
      </w:r>
      <w:r>
        <w:instrText>N</w:instrText>
      </w:r>
      <w:r w:rsidRPr="00220C07">
        <w:fldChar w:fldCharType="end"/>
      </w:r>
      <w:r w:rsidRPr="00220C07">
        <w:instrText>&lt;&gt; N "&lt;/</w:instrText>
      </w:r>
      <w:r w:rsidRPr="00220C07">
        <w:fldChar w:fldCharType="begin"/>
      </w:r>
      <w:r w:rsidRPr="00220C07">
        <w:instrText>QUOTE "std"</w:instrText>
      </w:r>
      <w:r w:rsidRPr="00220C07">
        <w:fldChar w:fldCharType="separate"/>
      </w:r>
      <w:r w:rsidRPr="00220C07">
        <w:instrText>std</w:instrText>
      </w:r>
      <w:r w:rsidRPr="00220C07">
        <w:fldChar w:fldCharType="end"/>
      </w:r>
      <w:r w:rsidRPr="00220C07">
        <w:instrText>"</w:instrText>
      </w:r>
      <w:r w:rsidRPr="00220C07">
        <w:fldChar w:fldCharType="end"/>
      </w:r>
      <w:r w:rsidRPr="00220C07">
        <w:fldChar w:fldCharType="begin"/>
      </w:r>
      <w:r w:rsidRPr="00220C07">
        <w:instrText>IF</w:instrText>
      </w:r>
      <w:r w:rsidRPr="00220C07">
        <w:fldChar w:fldCharType="begin"/>
      </w:r>
      <w:r w:rsidRPr="00220C07">
        <w:instrText>DOCPROPERTY "x_t"</w:instrText>
      </w:r>
      <w:r w:rsidRPr="00220C07">
        <w:fldChar w:fldCharType="separate"/>
      </w:r>
      <w:r>
        <w:instrText>N</w:instrText>
      </w:r>
      <w:r w:rsidRPr="00220C07">
        <w:fldChar w:fldCharType="end"/>
      </w:r>
      <w:r w:rsidRPr="00220C07">
        <w:instrText>&lt;&gt; N "&gt;"</w:instrText>
      </w:r>
      <w:r w:rsidRPr="00220C07">
        <w:fldChar w:fldCharType="end"/>
      </w:r>
      <w:r w:rsidRPr="00220C07">
        <w:instrText>" ""</w:instrText>
      </w:r>
      <w:r w:rsidRPr="00220C07">
        <w:fldChar w:fldCharType="end"/>
      </w:r>
    </w:p>
    <w:p w14:paraId="716BDAE9" w14:textId="7894420A" w:rsidR="00E37E2C" w:rsidRPr="00220C07" w:rsidRDefault="00E37E2C" w:rsidP="00E37E2C">
      <w:pPr>
        <w:pStyle w:val="BiblioEntry"/>
      </w:pPr>
      <w:r w:rsidRPr="00220C07">
        <w:fldChar w:fldCharType="begin"/>
      </w:r>
      <w:r w:rsidRPr="00220C07">
        <w:instrText>IF "x_+3" "</w:instrText>
      </w:r>
      <w:r w:rsidRPr="00220C07">
        <w:fldChar w:fldCharType="begin"/>
      </w:r>
      <w:r w:rsidRPr="00220C07">
        <w:instrText>IF</w:instrText>
      </w:r>
      <w:r w:rsidRPr="00220C07">
        <w:fldChar w:fldCharType="begin"/>
      </w:r>
      <w:r w:rsidRPr="00220C07">
        <w:instrText>DOCPROPERTY "x_t"</w:instrText>
      </w:r>
      <w:r w:rsidRPr="00220C07">
        <w:fldChar w:fldCharType="separate"/>
      </w:r>
      <w:r>
        <w:instrText>N</w:instrText>
      </w:r>
      <w:r w:rsidRPr="00220C07">
        <w:fldChar w:fldCharType="end"/>
      </w:r>
      <w:r w:rsidRPr="00220C07">
        <w:instrText>&lt;&gt; N "&lt;</w:instrText>
      </w:r>
      <w:r w:rsidRPr="00220C07">
        <w:fldChar w:fldCharType="begin"/>
      </w:r>
      <w:r w:rsidRPr="00220C07">
        <w:instrText>QUOTE "std"</w:instrText>
      </w:r>
      <w:r w:rsidRPr="00220C07">
        <w:fldChar w:fldCharType="separate"/>
      </w:r>
      <w:r w:rsidRPr="00220C07">
        <w:instrText>std</w:instrText>
      </w:r>
      <w:r w:rsidRPr="00220C07">
        <w:fldChar w:fldCharType="end"/>
      </w:r>
      <w:r w:rsidRPr="00220C07">
        <w:instrText>"</w:instrText>
      </w:r>
      <w:r w:rsidRPr="00220C07">
        <w:fldChar w:fldCharType="end"/>
      </w:r>
      <w:r w:rsidRPr="00220C07">
        <w:fldChar w:fldCharType="begin"/>
      </w:r>
      <w:r w:rsidRPr="00220C07">
        <w:instrText>IF</w:instrText>
      </w:r>
      <w:r w:rsidRPr="00220C07">
        <w:fldChar w:fldCharType="begin"/>
      </w:r>
      <w:r w:rsidRPr="00220C07">
        <w:instrText>= AND(</w:instrText>
      </w:r>
      <w:r w:rsidRPr="00220C07">
        <w:fldChar w:fldCharType="begin"/>
      </w:r>
      <w:r w:rsidRPr="00220C07">
        <w:instrText>COMPARE</w:instrText>
      </w:r>
      <w:r w:rsidRPr="00220C07">
        <w:fldChar w:fldCharType="begin"/>
      </w:r>
      <w:r w:rsidRPr="00220C07">
        <w:instrText>DOCPROPERTY "x_t"</w:instrText>
      </w:r>
      <w:r w:rsidRPr="00220C07">
        <w:fldChar w:fldCharType="separate"/>
      </w:r>
      <w:r>
        <w:instrText>N</w:instrText>
      </w:r>
      <w:r w:rsidRPr="00220C07">
        <w:fldChar w:fldCharType="end"/>
      </w:r>
      <w:r w:rsidRPr="00220C07">
        <w:instrText>&lt;&gt; N</w:instrText>
      </w:r>
      <w:r w:rsidRPr="00220C07">
        <w:fldChar w:fldCharType="separate"/>
      </w:r>
      <w:r>
        <w:rPr>
          <w:noProof/>
        </w:rPr>
        <w:instrText>0</w:instrText>
      </w:r>
      <w:r w:rsidRPr="00220C07">
        <w:fldChar w:fldCharType="end"/>
      </w:r>
      <w:r w:rsidRPr="00220C07">
        <w:instrText>,</w:instrText>
      </w:r>
      <w:r w:rsidRPr="00220C07">
        <w:fldChar w:fldCharType="begin"/>
      </w:r>
      <w:r w:rsidRPr="00220C07">
        <w:instrText>COMPARE</w:instrText>
      </w:r>
      <w:r w:rsidRPr="00220C07">
        <w:fldChar w:fldCharType="begin"/>
      </w:r>
      <w:r w:rsidRPr="00220C07">
        <w:instrText>DOCPROPERTY "x_a"</w:instrText>
      </w:r>
      <w:r w:rsidRPr="00220C07">
        <w:fldChar w:fldCharType="separate"/>
      </w:r>
      <w:r>
        <w:instrText>N</w:instrText>
      </w:r>
      <w:r w:rsidRPr="00220C07">
        <w:fldChar w:fldCharType="end"/>
      </w:r>
      <w:r w:rsidRPr="00220C07">
        <w:instrText>&lt;&gt; N</w:instrText>
      </w:r>
      <w:r w:rsidRPr="00220C07">
        <w:fldChar w:fldCharType="separate"/>
      </w:r>
      <w:r>
        <w:rPr>
          <w:noProof/>
        </w:rPr>
        <w:instrText>0</w:instrText>
      </w:r>
      <w:r w:rsidRPr="00220C07">
        <w:fldChar w:fldCharType="end"/>
      </w:r>
      <w:r w:rsidRPr="00220C07">
        <w:instrText>)</w:instrText>
      </w:r>
      <w:r w:rsidRPr="00220C07">
        <w:fldChar w:fldCharType="separate"/>
      </w:r>
      <w:r>
        <w:rPr>
          <w:b/>
          <w:noProof/>
        </w:rPr>
        <w:instrText>!Syntax Error, ,,</w:instrText>
      </w:r>
      <w:r w:rsidRPr="00220C07">
        <w:fldChar w:fldCharType="end"/>
      </w:r>
      <w:r w:rsidRPr="00220C07">
        <w:instrText>= 1 "</w:instrText>
      </w:r>
      <w:r w:rsidRPr="00220C07">
        <w:fldChar w:fldCharType="begin"/>
      </w:r>
      <w:r w:rsidRPr="00220C07">
        <w:instrText>QUOTE ""</w:instrText>
      </w:r>
      <w:r w:rsidRPr="00220C07">
        <w:fldChar w:fldCharType="end"/>
      </w:r>
      <w:r w:rsidRPr="00220C07">
        <w:instrText>"</w:instrText>
      </w:r>
      <w:r w:rsidRPr="00220C07">
        <w:fldChar w:fldCharType="end"/>
      </w:r>
      <w:r w:rsidRPr="00220C07">
        <w:fldChar w:fldCharType="begin"/>
      </w:r>
      <w:r w:rsidRPr="00220C07">
        <w:instrText>IF</w:instrText>
      </w:r>
      <w:r w:rsidRPr="00220C07">
        <w:fldChar w:fldCharType="begin"/>
      </w:r>
      <w:r w:rsidRPr="00220C07">
        <w:instrText>DOCPROPERTY "x_t"</w:instrText>
      </w:r>
      <w:r w:rsidRPr="00220C07">
        <w:fldChar w:fldCharType="separate"/>
      </w:r>
      <w:r>
        <w:instrText>N</w:instrText>
      </w:r>
      <w:r w:rsidRPr="00220C07">
        <w:fldChar w:fldCharType="end"/>
      </w:r>
      <w:r w:rsidRPr="00220C07">
        <w:instrText>&lt;&gt; N "&gt;"</w:instrText>
      </w:r>
      <w:r w:rsidRPr="00220C07">
        <w:fldChar w:fldCharType="end"/>
      </w:r>
      <w:r w:rsidRPr="00220C07">
        <w:instrText>" "</w:instrText>
      </w:r>
      <w:r w:rsidRPr="00220C07">
        <w:fldChar w:fldCharType="begin"/>
      </w:r>
      <w:r w:rsidRPr="00220C07">
        <w:instrText>QUOTE ""</w:instrText>
      </w:r>
      <w:r w:rsidRPr="00220C07">
        <w:fldChar w:fldCharType="end"/>
      </w:r>
      <w:r w:rsidRPr="00220C07">
        <w:instrText>"</w:instrText>
      </w:r>
      <w:r w:rsidRPr="00220C07">
        <w:fldChar w:fldCharType="end"/>
      </w:r>
      <w:r w:rsidRPr="00220C07">
        <w:rPr>
          <w:rStyle w:val="stdpublisher"/>
          <w:shd w:val="clear" w:color="auto" w:fill="auto"/>
        </w:rPr>
        <w:t>prEN</w:t>
      </w:r>
      <w:r w:rsidRPr="00220C07">
        <w:t> </w:t>
      </w:r>
      <w:r w:rsidRPr="00220C07">
        <w:rPr>
          <w:rStyle w:val="stddocNumber"/>
          <w:shd w:val="clear" w:color="auto" w:fill="auto"/>
        </w:rPr>
        <w:t>1991</w:t>
      </w:r>
      <w:r w:rsidRPr="00220C07">
        <w:t>-</w:t>
      </w:r>
      <w:r w:rsidRPr="00220C07">
        <w:rPr>
          <w:rStyle w:val="stddocPartNumber"/>
          <w:shd w:val="clear" w:color="auto" w:fill="auto"/>
        </w:rPr>
        <w:t>1-4</w:t>
      </w:r>
      <w:r w:rsidRPr="00220C07">
        <w:t xml:space="preserve">, </w:t>
      </w:r>
      <w:r w:rsidRPr="00220C07">
        <w:rPr>
          <w:rStyle w:val="stddocTitle"/>
          <w:shd w:val="clear" w:color="auto" w:fill="auto"/>
        </w:rPr>
        <w:t>Eurocode 1 — Actions on structures — Part 1-4: Wind actions</w:t>
      </w:r>
      <w:r w:rsidRPr="00220C07">
        <w:fldChar w:fldCharType="begin"/>
      </w:r>
      <w:r w:rsidRPr="00220C07">
        <w:instrText>IF "x_-3" "</w:instrText>
      </w:r>
      <w:r w:rsidRPr="00220C07">
        <w:fldChar w:fldCharType="begin"/>
      </w:r>
      <w:r w:rsidRPr="00220C07">
        <w:instrText>IF</w:instrText>
      </w:r>
      <w:r w:rsidRPr="00220C07">
        <w:fldChar w:fldCharType="begin"/>
      </w:r>
      <w:r w:rsidRPr="00220C07">
        <w:instrText>DOCPROPERTY "x_t"</w:instrText>
      </w:r>
      <w:r w:rsidRPr="00220C07">
        <w:fldChar w:fldCharType="separate"/>
      </w:r>
      <w:r>
        <w:instrText>N</w:instrText>
      </w:r>
      <w:r w:rsidRPr="00220C07">
        <w:fldChar w:fldCharType="end"/>
      </w:r>
      <w:r w:rsidRPr="00220C07">
        <w:instrText>&lt;&gt; N "&lt;/</w:instrText>
      </w:r>
      <w:r w:rsidRPr="00220C07">
        <w:fldChar w:fldCharType="begin"/>
      </w:r>
      <w:r w:rsidRPr="00220C07">
        <w:instrText>QUOTE "std"</w:instrText>
      </w:r>
      <w:r w:rsidRPr="00220C07">
        <w:fldChar w:fldCharType="separate"/>
      </w:r>
      <w:r w:rsidRPr="00220C07">
        <w:instrText>std</w:instrText>
      </w:r>
      <w:r w:rsidRPr="00220C07">
        <w:fldChar w:fldCharType="end"/>
      </w:r>
      <w:r w:rsidRPr="00220C07">
        <w:instrText>"</w:instrText>
      </w:r>
      <w:r w:rsidRPr="00220C07">
        <w:fldChar w:fldCharType="end"/>
      </w:r>
      <w:r w:rsidRPr="00220C07">
        <w:fldChar w:fldCharType="begin"/>
      </w:r>
      <w:r w:rsidRPr="00220C07">
        <w:instrText>IF</w:instrText>
      </w:r>
      <w:r w:rsidRPr="00220C07">
        <w:fldChar w:fldCharType="begin"/>
      </w:r>
      <w:r w:rsidRPr="00220C07">
        <w:instrText>DOCPROPERTY "x_t"</w:instrText>
      </w:r>
      <w:r w:rsidRPr="00220C07">
        <w:fldChar w:fldCharType="separate"/>
      </w:r>
      <w:r>
        <w:instrText>N</w:instrText>
      </w:r>
      <w:r w:rsidRPr="00220C07">
        <w:fldChar w:fldCharType="end"/>
      </w:r>
      <w:r w:rsidRPr="00220C07">
        <w:instrText>&lt;&gt; N "&gt;"</w:instrText>
      </w:r>
      <w:r w:rsidRPr="00220C07">
        <w:fldChar w:fldCharType="end"/>
      </w:r>
      <w:r w:rsidRPr="00220C07">
        <w:instrText>" ""</w:instrText>
      </w:r>
      <w:r w:rsidRPr="00220C07">
        <w:fldChar w:fldCharType="end"/>
      </w:r>
    </w:p>
    <w:p w14:paraId="51B9FFC6" w14:textId="3E42D32F" w:rsidR="00E37E2C" w:rsidRPr="00220C07" w:rsidRDefault="00E37E2C" w:rsidP="00E37E2C">
      <w:pPr>
        <w:pStyle w:val="BiblioEntry"/>
      </w:pPr>
      <w:r w:rsidRPr="00220C07">
        <w:fldChar w:fldCharType="begin"/>
      </w:r>
      <w:r w:rsidRPr="00220C07">
        <w:instrText>IF "x_+3" "</w:instrText>
      </w:r>
      <w:r w:rsidRPr="00220C07">
        <w:fldChar w:fldCharType="begin"/>
      </w:r>
      <w:r w:rsidRPr="00220C07">
        <w:instrText>IF</w:instrText>
      </w:r>
      <w:r w:rsidRPr="00220C07">
        <w:fldChar w:fldCharType="begin"/>
      </w:r>
      <w:r w:rsidRPr="00220C07">
        <w:instrText>DOCPROPERTY "x_t"</w:instrText>
      </w:r>
      <w:r w:rsidRPr="00220C07">
        <w:fldChar w:fldCharType="separate"/>
      </w:r>
      <w:r>
        <w:instrText>N</w:instrText>
      </w:r>
      <w:r w:rsidRPr="00220C07">
        <w:fldChar w:fldCharType="end"/>
      </w:r>
      <w:r w:rsidRPr="00220C07">
        <w:instrText>&lt;&gt; N "&lt;</w:instrText>
      </w:r>
      <w:r w:rsidRPr="00220C07">
        <w:fldChar w:fldCharType="begin"/>
      </w:r>
      <w:r w:rsidRPr="00220C07">
        <w:instrText>QUOTE "std"</w:instrText>
      </w:r>
      <w:r w:rsidRPr="00220C07">
        <w:fldChar w:fldCharType="separate"/>
      </w:r>
      <w:r w:rsidRPr="00220C07">
        <w:instrText>std</w:instrText>
      </w:r>
      <w:r w:rsidRPr="00220C07">
        <w:fldChar w:fldCharType="end"/>
      </w:r>
      <w:r w:rsidRPr="00220C07">
        <w:instrText>"</w:instrText>
      </w:r>
      <w:r w:rsidRPr="00220C07">
        <w:fldChar w:fldCharType="end"/>
      </w:r>
      <w:r w:rsidRPr="00220C07">
        <w:fldChar w:fldCharType="begin"/>
      </w:r>
      <w:r w:rsidRPr="00220C07">
        <w:instrText>IF</w:instrText>
      </w:r>
      <w:r w:rsidRPr="00220C07">
        <w:fldChar w:fldCharType="begin"/>
      </w:r>
      <w:r w:rsidRPr="00220C07">
        <w:instrText>= AND(</w:instrText>
      </w:r>
      <w:r w:rsidRPr="00220C07">
        <w:fldChar w:fldCharType="begin"/>
      </w:r>
      <w:r w:rsidRPr="00220C07">
        <w:instrText>COMPARE</w:instrText>
      </w:r>
      <w:r w:rsidRPr="00220C07">
        <w:fldChar w:fldCharType="begin"/>
      </w:r>
      <w:r w:rsidRPr="00220C07">
        <w:instrText>DOCPROPERTY "x_t"</w:instrText>
      </w:r>
      <w:r w:rsidRPr="00220C07">
        <w:fldChar w:fldCharType="separate"/>
      </w:r>
      <w:r>
        <w:instrText>N</w:instrText>
      </w:r>
      <w:r w:rsidRPr="00220C07">
        <w:fldChar w:fldCharType="end"/>
      </w:r>
      <w:r w:rsidRPr="00220C07">
        <w:instrText>&lt;&gt; N</w:instrText>
      </w:r>
      <w:r w:rsidRPr="00220C07">
        <w:fldChar w:fldCharType="separate"/>
      </w:r>
      <w:r>
        <w:rPr>
          <w:noProof/>
        </w:rPr>
        <w:instrText>0</w:instrText>
      </w:r>
      <w:r w:rsidRPr="00220C07">
        <w:fldChar w:fldCharType="end"/>
      </w:r>
      <w:r w:rsidRPr="00220C07">
        <w:instrText>,</w:instrText>
      </w:r>
      <w:r w:rsidRPr="00220C07">
        <w:fldChar w:fldCharType="begin"/>
      </w:r>
      <w:r w:rsidRPr="00220C07">
        <w:instrText>COMPARE</w:instrText>
      </w:r>
      <w:r w:rsidRPr="00220C07">
        <w:fldChar w:fldCharType="begin"/>
      </w:r>
      <w:r w:rsidRPr="00220C07">
        <w:instrText>DOCPROPERTY "x_a"</w:instrText>
      </w:r>
      <w:r w:rsidRPr="00220C07">
        <w:fldChar w:fldCharType="separate"/>
      </w:r>
      <w:r>
        <w:instrText>N</w:instrText>
      </w:r>
      <w:r w:rsidRPr="00220C07">
        <w:fldChar w:fldCharType="end"/>
      </w:r>
      <w:r w:rsidRPr="00220C07">
        <w:instrText>&lt;&gt; N</w:instrText>
      </w:r>
      <w:r w:rsidRPr="00220C07">
        <w:fldChar w:fldCharType="separate"/>
      </w:r>
      <w:r>
        <w:rPr>
          <w:noProof/>
        </w:rPr>
        <w:instrText>0</w:instrText>
      </w:r>
      <w:r w:rsidRPr="00220C07">
        <w:fldChar w:fldCharType="end"/>
      </w:r>
      <w:r w:rsidRPr="00220C07">
        <w:instrText>)</w:instrText>
      </w:r>
      <w:r w:rsidRPr="00220C07">
        <w:fldChar w:fldCharType="separate"/>
      </w:r>
      <w:r>
        <w:rPr>
          <w:b/>
          <w:noProof/>
        </w:rPr>
        <w:instrText>!Syntax Error, ,,</w:instrText>
      </w:r>
      <w:r w:rsidRPr="00220C07">
        <w:fldChar w:fldCharType="end"/>
      </w:r>
      <w:r w:rsidRPr="00220C07">
        <w:instrText>= 1 "</w:instrText>
      </w:r>
      <w:r w:rsidRPr="00220C07">
        <w:fldChar w:fldCharType="begin"/>
      </w:r>
      <w:r w:rsidRPr="00220C07">
        <w:instrText>QUOTE ""</w:instrText>
      </w:r>
      <w:r w:rsidRPr="00220C07">
        <w:fldChar w:fldCharType="end"/>
      </w:r>
      <w:r w:rsidRPr="00220C07">
        <w:instrText>"</w:instrText>
      </w:r>
      <w:r w:rsidRPr="00220C07">
        <w:fldChar w:fldCharType="end"/>
      </w:r>
      <w:r w:rsidRPr="00220C07">
        <w:fldChar w:fldCharType="begin"/>
      </w:r>
      <w:r w:rsidRPr="00220C07">
        <w:instrText>IF</w:instrText>
      </w:r>
      <w:r w:rsidRPr="00220C07">
        <w:fldChar w:fldCharType="begin"/>
      </w:r>
      <w:r w:rsidRPr="00220C07">
        <w:instrText>DOCPROPERTY "x_t"</w:instrText>
      </w:r>
      <w:r w:rsidRPr="00220C07">
        <w:fldChar w:fldCharType="separate"/>
      </w:r>
      <w:r>
        <w:instrText>N</w:instrText>
      </w:r>
      <w:r w:rsidRPr="00220C07">
        <w:fldChar w:fldCharType="end"/>
      </w:r>
      <w:r w:rsidRPr="00220C07">
        <w:instrText>&lt;&gt; N "&gt;"</w:instrText>
      </w:r>
      <w:r w:rsidRPr="00220C07">
        <w:fldChar w:fldCharType="end"/>
      </w:r>
      <w:r w:rsidRPr="00220C07">
        <w:instrText>" "</w:instrText>
      </w:r>
      <w:r w:rsidRPr="00220C07">
        <w:fldChar w:fldCharType="begin"/>
      </w:r>
      <w:r w:rsidRPr="00220C07">
        <w:instrText>QUOTE ""</w:instrText>
      </w:r>
      <w:r w:rsidRPr="00220C07">
        <w:fldChar w:fldCharType="end"/>
      </w:r>
      <w:r w:rsidRPr="00220C07">
        <w:instrText>"</w:instrText>
      </w:r>
      <w:r w:rsidRPr="00220C07">
        <w:fldChar w:fldCharType="end"/>
      </w:r>
      <w:r w:rsidRPr="00220C07">
        <w:rPr>
          <w:rStyle w:val="stdpublisher"/>
          <w:shd w:val="clear" w:color="auto" w:fill="auto"/>
        </w:rPr>
        <w:t>prEN</w:t>
      </w:r>
      <w:r w:rsidRPr="00220C07">
        <w:t> </w:t>
      </w:r>
      <w:r w:rsidRPr="00220C07">
        <w:rPr>
          <w:rStyle w:val="stddocNumber"/>
          <w:shd w:val="clear" w:color="auto" w:fill="auto"/>
        </w:rPr>
        <w:t>1992</w:t>
      </w:r>
      <w:r w:rsidRPr="00220C07">
        <w:t>-</w:t>
      </w:r>
      <w:r w:rsidRPr="00220C07">
        <w:rPr>
          <w:rStyle w:val="stddocPartNumber"/>
          <w:shd w:val="clear" w:color="auto" w:fill="auto"/>
        </w:rPr>
        <w:t>1-1</w:t>
      </w:r>
      <w:r w:rsidRPr="00220C07">
        <w:t>:</w:t>
      </w:r>
      <w:r w:rsidRPr="00220C07">
        <w:rPr>
          <w:rStyle w:val="stdyear"/>
          <w:shd w:val="clear" w:color="auto" w:fill="auto"/>
        </w:rPr>
        <w:t>2021</w:t>
      </w:r>
      <w:r w:rsidRPr="00220C07">
        <w:t xml:space="preserve">, </w:t>
      </w:r>
      <w:r w:rsidRPr="00220C07">
        <w:rPr>
          <w:rStyle w:val="stddocTitle"/>
          <w:shd w:val="clear" w:color="auto" w:fill="auto"/>
        </w:rPr>
        <w:t>Eurocode 2 — Design of concrete structures — Part 1-1: General rules and rules for buildings, bridges and civil engineering structures</w:t>
      </w:r>
      <w:r w:rsidRPr="00220C07">
        <w:fldChar w:fldCharType="begin"/>
      </w:r>
      <w:r w:rsidRPr="00220C07">
        <w:instrText>IF "x_-3" "</w:instrText>
      </w:r>
      <w:r w:rsidRPr="00220C07">
        <w:fldChar w:fldCharType="begin"/>
      </w:r>
      <w:r w:rsidRPr="00220C07">
        <w:instrText>IF</w:instrText>
      </w:r>
      <w:r w:rsidRPr="00220C07">
        <w:fldChar w:fldCharType="begin"/>
      </w:r>
      <w:r w:rsidRPr="00220C07">
        <w:instrText>DOCPROPERTY "x_t"</w:instrText>
      </w:r>
      <w:r w:rsidRPr="00220C07">
        <w:fldChar w:fldCharType="separate"/>
      </w:r>
      <w:r>
        <w:instrText>N</w:instrText>
      </w:r>
      <w:r w:rsidRPr="00220C07">
        <w:fldChar w:fldCharType="end"/>
      </w:r>
      <w:r w:rsidRPr="00220C07">
        <w:instrText>&lt;&gt; N "&lt;/</w:instrText>
      </w:r>
      <w:r w:rsidRPr="00220C07">
        <w:fldChar w:fldCharType="begin"/>
      </w:r>
      <w:r w:rsidRPr="00220C07">
        <w:instrText>QUOTE "std"</w:instrText>
      </w:r>
      <w:r w:rsidRPr="00220C07">
        <w:fldChar w:fldCharType="separate"/>
      </w:r>
      <w:r w:rsidRPr="00220C07">
        <w:instrText>std</w:instrText>
      </w:r>
      <w:r w:rsidRPr="00220C07">
        <w:fldChar w:fldCharType="end"/>
      </w:r>
      <w:r w:rsidRPr="00220C07">
        <w:instrText>"</w:instrText>
      </w:r>
      <w:r w:rsidRPr="00220C07">
        <w:fldChar w:fldCharType="end"/>
      </w:r>
      <w:r w:rsidRPr="00220C07">
        <w:fldChar w:fldCharType="begin"/>
      </w:r>
      <w:r w:rsidRPr="00220C07">
        <w:instrText>IF</w:instrText>
      </w:r>
      <w:r w:rsidRPr="00220C07">
        <w:fldChar w:fldCharType="begin"/>
      </w:r>
      <w:r w:rsidRPr="00220C07">
        <w:instrText>DOCPROPERTY "x_t"</w:instrText>
      </w:r>
      <w:r w:rsidRPr="00220C07">
        <w:fldChar w:fldCharType="separate"/>
      </w:r>
      <w:r>
        <w:instrText>N</w:instrText>
      </w:r>
      <w:r w:rsidRPr="00220C07">
        <w:fldChar w:fldCharType="end"/>
      </w:r>
      <w:r w:rsidRPr="00220C07">
        <w:instrText>&lt;&gt; N "&gt;"</w:instrText>
      </w:r>
      <w:r w:rsidRPr="00220C07">
        <w:fldChar w:fldCharType="end"/>
      </w:r>
      <w:r w:rsidRPr="00220C07">
        <w:instrText>" ""</w:instrText>
      </w:r>
      <w:r w:rsidRPr="00220C07">
        <w:fldChar w:fldCharType="end"/>
      </w:r>
    </w:p>
    <w:p w14:paraId="679634C1" w14:textId="00903BC0" w:rsidR="00E37E2C" w:rsidRPr="00220C07" w:rsidRDefault="00E37E2C" w:rsidP="00E37E2C">
      <w:pPr>
        <w:pStyle w:val="BiblioEntry"/>
      </w:pPr>
      <w:r w:rsidRPr="00220C07">
        <w:fldChar w:fldCharType="begin"/>
      </w:r>
      <w:r w:rsidRPr="00220C07">
        <w:instrText>IF "x_+3" "</w:instrText>
      </w:r>
      <w:r w:rsidRPr="00220C07">
        <w:fldChar w:fldCharType="begin"/>
      </w:r>
      <w:r w:rsidRPr="00220C07">
        <w:instrText>IF</w:instrText>
      </w:r>
      <w:r w:rsidRPr="00220C07">
        <w:fldChar w:fldCharType="begin"/>
      </w:r>
      <w:r w:rsidRPr="00220C07">
        <w:instrText>DOCPROPERTY "x_t"</w:instrText>
      </w:r>
      <w:r w:rsidRPr="00220C07">
        <w:fldChar w:fldCharType="separate"/>
      </w:r>
      <w:r>
        <w:instrText>N</w:instrText>
      </w:r>
      <w:r w:rsidRPr="00220C07">
        <w:fldChar w:fldCharType="end"/>
      </w:r>
      <w:r w:rsidRPr="00220C07">
        <w:instrText>&lt;&gt; N "&lt;</w:instrText>
      </w:r>
      <w:r w:rsidRPr="00220C07">
        <w:fldChar w:fldCharType="begin"/>
      </w:r>
      <w:r w:rsidRPr="00220C07">
        <w:instrText>QUOTE "std"</w:instrText>
      </w:r>
      <w:r w:rsidRPr="00220C07">
        <w:fldChar w:fldCharType="separate"/>
      </w:r>
      <w:r w:rsidRPr="00220C07">
        <w:instrText>std</w:instrText>
      </w:r>
      <w:r w:rsidRPr="00220C07">
        <w:fldChar w:fldCharType="end"/>
      </w:r>
      <w:r w:rsidRPr="00220C07">
        <w:instrText>"</w:instrText>
      </w:r>
      <w:r w:rsidRPr="00220C07">
        <w:fldChar w:fldCharType="end"/>
      </w:r>
      <w:r w:rsidRPr="00220C07">
        <w:fldChar w:fldCharType="begin"/>
      </w:r>
      <w:r w:rsidRPr="00220C07">
        <w:instrText>IF</w:instrText>
      </w:r>
      <w:r w:rsidRPr="00220C07">
        <w:fldChar w:fldCharType="begin"/>
      </w:r>
      <w:r w:rsidRPr="00220C07">
        <w:instrText>= AND(</w:instrText>
      </w:r>
      <w:r w:rsidRPr="00220C07">
        <w:fldChar w:fldCharType="begin"/>
      </w:r>
      <w:r w:rsidRPr="00220C07">
        <w:instrText>COMPARE</w:instrText>
      </w:r>
      <w:r w:rsidRPr="00220C07">
        <w:fldChar w:fldCharType="begin"/>
      </w:r>
      <w:r w:rsidRPr="00220C07">
        <w:instrText>DOCPROPERTY "x_t"</w:instrText>
      </w:r>
      <w:r w:rsidRPr="00220C07">
        <w:fldChar w:fldCharType="separate"/>
      </w:r>
      <w:r>
        <w:instrText>N</w:instrText>
      </w:r>
      <w:r w:rsidRPr="00220C07">
        <w:fldChar w:fldCharType="end"/>
      </w:r>
      <w:r w:rsidRPr="00220C07">
        <w:instrText>&lt;&gt; N</w:instrText>
      </w:r>
      <w:r w:rsidRPr="00220C07">
        <w:fldChar w:fldCharType="separate"/>
      </w:r>
      <w:r>
        <w:rPr>
          <w:noProof/>
        </w:rPr>
        <w:instrText>0</w:instrText>
      </w:r>
      <w:r w:rsidRPr="00220C07">
        <w:fldChar w:fldCharType="end"/>
      </w:r>
      <w:r w:rsidRPr="00220C07">
        <w:instrText>,</w:instrText>
      </w:r>
      <w:r w:rsidRPr="00220C07">
        <w:fldChar w:fldCharType="begin"/>
      </w:r>
      <w:r w:rsidRPr="00220C07">
        <w:instrText>COMPARE</w:instrText>
      </w:r>
      <w:r w:rsidRPr="00220C07">
        <w:fldChar w:fldCharType="begin"/>
      </w:r>
      <w:r w:rsidRPr="00220C07">
        <w:instrText>DOCPROPERTY "x_a"</w:instrText>
      </w:r>
      <w:r w:rsidRPr="00220C07">
        <w:fldChar w:fldCharType="separate"/>
      </w:r>
      <w:r>
        <w:instrText>N</w:instrText>
      </w:r>
      <w:r w:rsidRPr="00220C07">
        <w:fldChar w:fldCharType="end"/>
      </w:r>
      <w:r w:rsidRPr="00220C07">
        <w:instrText>&lt;&gt; N</w:instrText>
      </w:r>
      <w:r w:rsidRPr="00220C07">
        <w:fldChar w:fldCharType="separate"/>
      </w:r>
      <w:r>
        <w:rPr>
          <w:noProof/>
        </w:rPr>
        <w:instrText>0</w:instrText>
      </w:r>
      <w:r w:rsidRPr="00220C07">
        <w:fldChar w:fldCharType="end"/>
      </w:r>
      <w:r w:rsidRPr="00220C07">
        <w:instrText>)</w:instrText>
      </w:r>
      <w:r w:rsidRPr="00220C07">
        <w:fldChar w:fldCharType="separate"/>
      </w:r>
      <w:r>
        <w:rPr>
          <w:b/>
          <w:noProof/>
        </w:rPr>
        <w:instrText>!Syntax Error, ,,</w:instrText>
      </w:r>
      <w:r w:rsidRPr="00220C07">
        <w:fldChar w:fldCharType="end"/>
      </w:r>
      <w:r w:rsidRPr="00220C07">
        <w:instrText>= 1 "</w:instrText>
      </w:r>
      <w:r w:rsidRPr="00220C07">
        <w:fldChar w:fldCharType="begin"/>
      </w:r>
      <w:r w:rsidRPr="00220C07">
        <w:instrText>QUOTE ""</w:instrText>
      </w:r>
      <w:r w:rsidRPr="00220C07">
        <w:fldChar w:fldCharType="end"/>
      </w:r>
      <w:r w:rsidRPr="00220C07">
        <w:instrText>"</w:instrText>
      </w:r>
      <w:r w:rsidRPr="00220C07">
        <w:fldChar w:fldCharType="end"/>
      </w:r>
      <w:r w:rsidRPr="00220C07">
        <w:fldChar w:fldCharType="begin"/>
      </w:r>
      <w:r w:rsidRPr="00220C07">
        <w:instrText>IF</w:instrText>
      </w:r>
      <w:r w:rsidRPr="00220C07">
        <w:fldChar w:fldCharType="begin"/>
      </w:r>
      <w:r w:rsidRPr="00220C07">
        <w:instrText>DOCPROPERTY "x_t"</w:instrText>
      </w:r>
      <w:r w:rsidRPr="00220C07">
        <w:fldChar w:fldCharType="separate"/>
      </w:r>
      <w:r>
        <w:instrText>N</w:instrText>
      </w:r>
      <w:r w:rsidRPr="00220C07">
        <w:fldChar w:fldCharType="end"/>
      </w:r>
      <w:r w:rsidRPr="00220C07">
        <w:instrText>&lt;&gt; N "&gt;"</w:instrText>
      </w:r>
      <w:r w:rsidRPr="00220C07">
        <w:fldChar w:fldCharType="end"/>
      </w:r>
      <w:r w:rsidRPr="00220C07">
        <w:instrText>" "</w:instrText>
      </w:r>
      <w:r w:rsidRPr="00220C07">
        <w:fldChar w:fldCharType="begin"/>
      </w:r>
      <w:r w:rsidRPr="00220C07">
        <w:instrText>QUOTE ""</w:instrText>
      </w:r>
      <w:r w:rsidRPr="00220C07">
        <w:fldChar w:fldCharType="end"/>
      </w:r>
      <w:r w:rsidRPr="00220C07">
        <w:instrText>"</w:instrText>
      </w:r>
      <w:r w:rsidRPr="00220C07">
        <w:fldChar w:fldCharType="end"/>
      </w:r>
      <w:r w:rsidRPr="00220C07">
        <w:rPr>
          <w:rStyle w:val="stdpublisher"/>
          <w:shd w:val="clear" w:color="auto" w:fill="auto"/>
        </w:rPr>
        <w:t>EN</w:t>
      </w:r>
      <w:r w:rsidRPr="00220C07">
        <w:t> </w:t>
      </w:r>
      <w:r w:rsidRPr="00220C07">
        <w:rPr>
          <w:rStyle w:val="stddocNumber"/>
          <w:shd w:val="clear" w:color="auto" w:fill="auto"/>
        </w:rPr>
        <w:t>1992</w:t>
      </w:r>
      <w:r w:rsidRPr="00220C07">
        <w:noBreakHyphen/>
      </w:r>
      <w:r w:rsidRPr="00220C07">
        <w:rPr>
          <w:rStyle w:val="stddocPartNumber"/>
          <w:shd w:val="clear" w:color="auto" w:fill="auto"/>
        </w:rPr>
        <w:t>4</w:t>
      </w:r>
      <w:r w:rsidRPr="00220C07">
        <w:t>:</w:t>
      </w:r>
      <w:r w:rsidRPr="00220C07">
        <w:rPr>
          <w:rStyle w:val="stdyear"/>
          <w:shd w:val="clear" w:color="auto" w:fill="auto"/>
        </w:rPr>
        <w:t>2018</w:t>
      </w:r>
      <w:r w:rsidRPr="00220C07">
        <w:t xml:space="preserve">, </w:t>
      </w:r>
      <w:r w:rsidRPr="00220C07">
        <w:rPr>
          <w:rStyle w:val="stddocTitle"/>
          <w:shd w:val="clear" w:color="auto" w:fill="auto"/>
        </w:rPr>
        <w:t>Eurocode 2 — Design of concrete structures — Part 4: Design of fastenings for use in concrete</w:t>
      </w:r>
      <w:r w:rsidRPr="00220C07">
        <w:fldChar w:fldCharType="begin"/>
      </w:r>
      <w:r w:rsidRPr="00220C07">
        <w:instrText>IF "x_-3" "</w:instrText>
      </w:r>
      <w:r w:rsidRPr="00220C07">
        <w:fldChar w:fldCharType="begin"/>
      </w:r>
      <w:r w:rsidRPr="00220C07">
        <w:instrText>IF</w:instrText>
      </w:r>
      <w:r w:rsidRPr="00220C07">
        <w:fldChar w:fldCharType="begin"/>
      </w:r>
      <w:r w:rsidRPr="00220C07">
        <w:instrText>DOCPROPERTY "x_t"</w:instrText>
      </w:r>
      <w:r w:rsidRPr="00220C07">
        <w:fldChar w:fldCharType="separate"/>
      </w:r>
      <w:r>
        <w:instrText>N</w:instrText>
      </w:r>
      <w:r w:rsidRPr="00220C07">
        <w:fldChar w:fldCharType="end"/>
      </w:r>
      <w:r w:rsidRPr="00220C07">
        <w:instrText>&lt;&gt; N "&lt;/</w:instrText>
      </w:r>
      <w:r w:rsidRPr="00220C07">
        <w:fldChar w:fldCharType="begin"/>
      </w:r>
      <w:r w:rsidRPr="00220C07">
        <w:instrText>QUOTE "std"</w:instrText>
      </w:r>
      <w:r w:rsidRPr="00220C07">
        <w:fldChar w:fldCharType="separate"/>
      </w:r>
      <w:r w:rsidRPr="00220C07">
        <w:instrText>std</w:instrText>
      </w:r>
      <w:r w:rsidRPr="00220C07">
        <w:fldChar w:fldCharType="end"/>
      </w:r>
      <w:r w:rsidRPr="00220C07">
        <w:instrText>"</w:instrText>
      </w:r>
      <w:r w:rsidRPr="00220C07">
        <w:fldChar w:fldCharType="end"/>
      </w:r>
      <w:r w:rsidRPr="00220C07">
        <w:fldChar w:fldCharType="begin"/>
      </w:r>
      <w:r w:rsidRPr="00220C07">
        <w:instrText>IF</w:instrText>
      </w:r>
      <w:r w:rsidRPr="00220C07">
        <w:fldChar w:fldCharType="begin"/>
      </w:r>
      <w:r w:rsidRPr="00220C07">
        <w:instrText>DOCPROPERTY "x_t"</w:instrText>
      </w:r>
      <w:r w:rsidRPr="00220C07">
        <w:fldChar w:fldCharType="separate"/>
      </w:r>
      <w:r>
        <w:instrText>N</w:instrText>
      </w:r>
      <w:r w:rsidRPr="00220C07">
        <w:fldChar w:fldCharType="end"/>
      </w:r>
      <w:r w:rsidRPr="00220C07">
        <w:instrText>&lt;&gt; N "&gt;"</w:instrText>
      </w:r>
      <w:r w:rsidRPr="00220C07">
        <w:fldChar w:fldCharType="end"/>
      </w:r>
      <w:r w:rsidRPr="00220C07">
        <w:instrText>" ""</w:instrText>
      </w:r>
      <w:r w:rsidRPr="00220C07">
        <w:fldChar w:fldCharType="end"/>
      </w:r>
    </w:p>
    <w:p w14:paraId="0872CA8D" w14:textId="085E7366" w:rsidR="00E37E2C" w:rsidRPr="00220C07" w:rsidRDefault="00E37E2C" w:rsidP="00E37E2C">
      <w:pPr>
        <w:pStyle w:val="BiblioEntry"/>
      </w:pPr>
      <w:r w:rsidRPr="00220C07">
        <w:fldChar w:fldCharType="begin"/>
      </w:r>
      <w:r w:rsidRPr="00220C07">
        <w:instrText>IF "x_+3" "</w:instrText>
      </w:r>
      <w:r w:rsidRPr="00220C07">
        <w:fldChar w:fldCharType="begin"/>
      </w:r>
      <w:r w:rsidRPr="00220C07">
        <w:instrText>IF</w:instrText>
      </w:r>
      <w:r w:rsidRPr="00220C07">
        <w:fldChar w:fldCharType="begin"/>
      </w:r>
      <w:r w:rsidRPr="00220C07">
        <w:instrText>DOCPROPERTY "x_t"</w:instrText>
      </w:r>
      <w:r w:rsidRPr="00220C07">
        <w:fldChar w:fldCharType="separate"/>
      </w:r>
      <w:r>
        <w:instrText>N</w:instrText>
      </w:r>
      <w:r w:rsidRPr="00220C07">
        <w:fldChar w:fldCharType="end"/>
      </w:r>
      <w:r w:rsidRPr="00220C07">
        <w:instrText>&lt;&gt; N "&lt;</w:instrText>
      </w:r>
      <w:r w:rsidRPr="00220C07">
        <w:fldChar w:fldCharType="begin"/>
      </w:r>
      <w:r w:rsidRPr="00220C07">
        <w:instrText>QUOTE "std"</w:instrText>
      </w:r>
      <w:r w:rsidRPr="00220C07">
        <w:fldChar w:fldCharType="separate"/>
      </w:r>
      <w:r w:rsidRPr="00220C07">
        <w:instrText>std</w:instrText>
      </w:r>
      <w:r w:rsidRPr="00220C07">
        <w:fldChar w:fldCharType="end"/>
      </w:r>
      <w:r w:rsidRPr="00220C07">
        <w:instrText>"</w:instrText>
      </w:r>
      <w:r w:rsidRPr="00220C07">
        <w:fldChar w:fldCharType="end"/>
      </w:r>
      <w:r w:rsidRPr="00220C07">
        <w:fldChar w:fldCharType="begin"/>
      </w:r>
      <w:r w:rsidRPr="00220C07">
        <w:instrText>IF</w:instrText>
      </w:r>
      <w:r w:rsidRPr="00220C07">
        <w:fldChar w:fldCharType="begin"/>
      </w:r>
      <w:r w:rsidRPr="00220C07">
        <w:instrText>= AND(</w:instrText>
      </w:r>
      <w:r w:rsidRPr="00220C07">
        <w:fldChar w:fldCharType="begin"/>
      </w:r>
      <w:r w:rsidRPr="00220C07">
        <w:instrText>COMPARE</w:instrText>
      </w:r>
      <w:r w:rsidRPr="00220C07">
        <w:fldChar w:fldCharType="begin"/>
      </w:r>
      <w:r w:rsidRPr="00220C07">
        <w:instrText>DOCPROPERTY "x_t"</w:instrText>
      </w:r>
      <w:r w:rsidRPr="00220C07">
        <w:fldChar w:fldCharType="separate"/>
      </w:r>
      <w:r>
        <w:instrText>N</w:instrText>
      </w:r>
      <w:r w:rsidRPr="00220C07">
        <w:fldChar w:fldCharType="end"/>
      </w:r>
      <w:r w:rsidRPr="00220C07">
        <w:instrText>&lt;&gt; N</w:instrText>
      </w:r>
      <w:r w:rsidRPr="00220C07">
        <w:fldChar w:fldCharType="separate"/>
      </w:r>
      <w:r>
        <w:rPr>
          <w:noProof/>
        </w:rPr>
        <w:instrText>0</w:instrText>
      </w:r>
      <w:r w:rsidRPr="00220C07">
        <w:fldChar w:fldCharType="end"/>
      </w:r>
      <w:r w:rsidRPr="00220C07">
        <w:instrText>,</w:instrText>
      </w:r>
      <w:r w:rsidRPr="00220C07">
        <w:fldChar w:fldCharType="begin"/>
      </w:r>
      <w:r w:rsidRPr="00220C07">
        <w:instrText>COMPARE</w:instrText>
      </w:r>
      <w:r w:rsidRPr="00220C07">
        <w:fldChar w:fldCharType="begin"/>
      </w:r>
      <w:r w:rsidRPr="00220C07">
        <w:instrText>DOCPROPERTY "x_a"</w:instrText>
      </w:r>
      <w:r w:rsidRPr="00220C07">
        <w:fldChar w:fldCharType="separate"/>
      </w:r>
      <w:r>
        <w:instrText>N</w:instrText>
      </w:r>
      <w:r w:rsidRPr="00220C07">
        <w:fldChar w:fldCharType="end"/>
      </w:r>
      <w:r w:rsidRPr="00220C07">
        <w:instrText>&lt;&gt; N</w:instrText>
      </w:r>
      <w:r w:rsidRPr="00220C07">
        <w:fldChar w:fldCharType="separate"/>
      </w:r>
      <w:r>
        <w:rPr>
          <w:noProof/>
        </w:rPr>
        <w:instrText>0</w:instrText>
      </w:r>
      <w:r w:rsidRPr="00220C07">
        <w:fldChar w:fldCharType="end"/>
      </w:r>
      <w:r w:rsidRPr="00220C07">
        <w:instrText>)</w:instrText>
      </w:r>
      <w:r w:rsidRPr="00220C07">
        <w:fldChar w:fldCharType="separate"/>
      </w:r>
      <w:r>
        <w:rPr>
          <w:b/>
          <w:noProof/>
        </w:rPr>
        <w:instrText>!Syntax Error, ,,</w:instrText>
      </w:r>
      <w:r w:rsidRPr="00220C07">
        <w:fldChar w:fldCharType="end"/>
      </w:r>
      <w:r w:rsidRPr="00220C07">
        <w:instrText>= 1 "</w:instrText>
      </w:r>
      <w:r w:rsidRPr="00220C07">
        <w:fldChar w:fldCharType="begin"/>
      </w:r>
      <w:r w:rsidRPr="00220C07">
        <w:instrText>QUOTE ""</w:instrText>
      </w:r>
      <w:r w:rsidRPr="00220C07">
        <w:fldChar w:fldCharType="end"/>
      </w:r>
      <w:r w:rsidRPr="00220C07">
        <w:instrText>"</w:instrText>
      </w:r>
      <w:r w:rsidRPr="00220C07">
        <w:fldChar w:fldCharType="end"/>
      </w:r>
      <w:r w:rsidRPr="00220C07">
        <w:fldChar w:fldCharType="begin"/>
      </w:r>
      <w:r w:rsidRPr="00220C07">
        <w:instrText>IF</w:instrText>
      </w:r>
      <w:r w:rsidRPr="00220C07">
        <w:fldChar w:fldCharType="begin"/>
      </w:r>
      <w:r w:rsidRPr="00220C07">
        <w:instrText>DOCPROPERTY "x_t"</w:instrText>
      </w:r>
      <w:r w:rsidRPr="00220C07">
        <w:fldChar w:fldCharType="separate"/>
      </w:r>
      <w:r>
        <w:instrText>N</w:instrText>
      </w:r>
      <w:r w:rsidRPr="00220C07">
        <w:fldChar w:fldCharType="end"/>
      </w:r>
      <w:r w:rsidRPr="00220C07">
        <w:instrText>&lt;&gt; N "&gt;"</w:instrText>
      </w:r>
      <w:r w:rsidRPr="00220C07">
        <w:fldChar w:fldCharType="end"/>
      </w:r>
      <w:r w:rsidRPr="00220C07">
        <w:instrText>" "</w:instrText>
      </w:r>
      <w:r w:rsidRPr="00220C07">
        <w:fldChar w:fldCharType="begin"/>
      </w:r>
      <w:r w:rsidRPr="00220C07">
        <w:instrText>QUOTE ""</w:instrText>
      </w:r>
      <w:r w:rsidRPr="00220C07">
        <w:fldChar w:fldCharType="end"/>
      </w:r>
      <w:r w:rsidRPr="00220C07">
        <w:instrText>"</w:instrText>
      </w:r>
      <w:r w:rsidRPr="00220C07">
        <w:fldChar w:fldCharType="end"/>
      </w:r>
      <w:r w:rsidRPr="00220C07">
        <w:rPr>
          <w:rStyle w:val="stdpublisher"/>
          <w:shd w:val="clear" w:color="auto" w:fill="auto"/>
        </w:rPr>
        <w:t>EN</w:t>
      </w:r>
      <w:r w:rsidRPr="00220C07">
        <w:t> </w:t>
      </w:r>
      <w:r w:rsidRPr="00220C07">
        <w:rPr>
          <w:rStyle w:val="stddocNumber"/>
          <w:shd w:val="clear" w:color="auto" w:fill="auto"/>
        </w:rPr>
        <w:t>1993</w:t>
      </w:r>
      <w:r w:rsidRPr="00220C07">
        <w:noBreakHyphen/>
      </w:r>
      <w:r w:rsidRPr="00220C07">
        <w:rPr>
          <w:rStyle w:val="stddocPartNumber"/>
          <w:shd w:val="clear" w:color="auto" w:fill="auto"/>
        </w:rPr>
        <w:t>1-1</w:t>
      </w:r>
      <w:r w:rsidRPr="00220C07">
        <w:t>:</w:t>
      </w:r>
      <w:r w:rsidRPr="00220C07">
        <w:rPr>
          <w:rStyle w:val="stdyear"/>
          <w:shd w:val="clear" w:color="auto" w:fill="auto"/>
        </w:rPr>
        <w:t>2022</w:t>
      </w:r>
      <w:r w:rsidRPr="00220C07">
        <w:t xml:space="preserve">, </w:t>
      </w:r>
      <w:r w:rsidRPr="00220C07">
        <w:rPr>
          <w:rStyle w:val="stddocTitle"/>
          <w:shd w:val="clear" w:color="auto" w:fill="auto"/>
        </w:rPr>
        <w:t>Eurocode 3 — Design of steel structures — Part 1-1: General rules and rules for buildings</w:t>
      </w:r>
      <w:r w:rsidRPr="00220C07">
        <w:fldChar w:fldCharType="begin"/>
      </w:r>
      <w:r w:rsidRPr="00220C07">
        <w:instrText>IF "x_-3" "</w:instrText>
      </w:r>
      <w:r w:rsidRPr="00220C07">
        <w:fldChar w:fldCharType="begin"/>
      </w:r>
      <w:r w:rsidRPr="00220C07">
        <w:instrText>IF</w:instrText>
      </w:r>
      <w:r w:rsidRPr="00220C07">
        <w:fldChar w:fldCharType="begin"/>
      </w:r>
      <w:r w:rsidRPr="00220C07">
        <w:instrText>DOCPROPERTY "x_t"</w:instrText>
      </w:r>
      <w:r w:rsidRPr="00220C07">
        <w:fldChar w:fldCharType="separate"/>
      </w:r>
      <w:r>
        <w:instrText>N</w:instrText>
      </w:r>
      <w:r w:rsidRPr="00220C07">
        <w:fldChar w:fldCharType="end"/>
      </w:r>
      <w:r w:rsidRPr="00220C07">
        <w:instrText>&lt;&gt; N "&lt;/</w:instrText>
      </w:r>
      <w:r w:rsidRPr="00220C07">
        <w:fldChar w:fldCharType="begin"/>
      </w:r>
      <w:r w:rsidRPr="00220C07">
        <w:instrText>QUOTE "std"</w:instrText>
      </w:r>
      <w:r w:rsidRPr="00220C07">
        <w:fldChar w:fldCharType="separate"/>
      </w:r>
      <w:r w:rsidRPr="00220C07">
        <w:instrText>std</w:instrText>
      </w:r>
      <w:r w:rsidRPr="00220C07">
        <w:fldChar w:fldCharType="end"/>
      </w:r>
      <w:r w:rsidRPr="00220C07">
        <w:instrText>"</w:instrText>
      </w:r>
      <w:r w:rsidRPr="00220C07">
        <w:fldChar w:fldCharType="end"/>
      </w:r>
      <w:r w:rsidRPr="00220C07">
        <w:fldChar w:fldCharType="begin"/>
      </w:r>
      <w:r w:rsidRPr="00220C07">
        <w:instrText>IF</w:instrText>
      </w:r>
      <w:r w:rsidRPr="00220C07">
        <w:fldChar w:fldCharType="begin"/>
      </w:r>
      <w:r w:rsidRPr="00220C07">
        <w:instrText>DOCPROPERTY "x_t"</w:instrText>
      </w:r>
      <w:r w:rsidRPr="00220C07">
        <w:fldChar w:fldCharType="separate"/>
      </w:r>
      <w:r>
        <w:instrText>N</w:instrText>
      </w:r>
      <w:r w:rsidRPr="00220C07">
        <w:fldChar w:fldCharType="end"/>
      </w:r>
      <w:r w:rsidRPr="00220C07">
        <w:instrText>&lt;&gt; N "&gt;"</w:instrText>
      </w:r>
      <w:r w:rsidRPr="00220C07">
        <w:fldChar w:fldCharType="end"/>
      </w:r>
      <w:r w:rsidRPr="00220C07">
        <w:instrText>" ""</w:instrText>
      </w:r>
      <w:r w:rsidRPr="00220C07">
        <w:fldChar w:fldCharType="end"/>
      </w:r>
    </w:p>
    <w:p w14:paraId="36D12F0E" w14:textId="12C1C7CC" w:rsidR="00E37E2C" w:rsidRPr="00220C07" w:rsidRDefault="00E37E2C" w:rsidP="00E37E2C">
      <w:pPr>
        <w:pStyle w:val="BiblioEntry"/>
      </w:pPr>
      <w:r w:rsidRPr="00220C07">
        <w:fldChar w:fldCharType="begin"/>
      </w:r>
      <w:r w:rsidRPr="00220C07">
        <w:instrText>IF "x_+3" "</w:instrText>
      </w:r>
      <w:r w:rsidRPr="00220C07">
        <w:fldChar w:fldCharType="begin"/>
      </w:r>
      <w:r w:rsidRPr="00220C07">
        <w:instrText>IF</w:instrText>
      </w:r>
      <w:r w:rsidRPr="00220C07">
        <w:fldChar w:fldCharType="begin"/>
      </w:r>
      <w:r w:rsidRPr="00220C07">
        <w:instrText>DOCPROPERTY "x_t"</w:instrText>
      </w:r>
      <w:r w:rsidRPr="00220C07">
        <w:fldChar w:fldCharType="separate"/>
      </w:r>
      <w:r>
        <w:instrText>N</w:instrText>
      </w:r>
      <w:r w:rsidRPr="00220C07">
        <w:fldChar w:fldCharType="end"/>
      </w:r>
      <w:r w:rsidRPr="00220C07">
        <w:instrText>&lt;&gt; N "&lt;</w:instrText>
      </w:r>
      <w:r w:rsidRPr="00220C07">
        <w:fldChar w:fldCharType="begin"/>
      </w:r>
      <w:r w:rsidRPr="00220C07">
        <w:instrText>QUOTE "std"</w:instrText>
      </w:r>
      <w:r w:rsidRPr="00220C07">
        <w:fldChar w:fldCharType="separate"/>
      </w:r>
      <w:r w:rsidRPr="00220C07">
        <w:instrText>std</w:instrText>
      </w:r>
      <w:r w:rsidRPr="00220C07">
        <w:fldChar w:fldCharType="end"/>
      </w:r>
      <w:r w:rsidRPr="00220C07">
        <w:instrText>"</w:instrText>
      </w:r>
      <w:r w:rsidRPr="00220C07">
        <w:fldChar w:fldCharType="end"/>
      </w:r>
      <w:r w:rsidRPr="00220C07">
        <w:fldChar w:fldCharType="begin"/>
      </w:r>
      <w:r w:rsidRPr="00220C07">
        <w:instrText>IF</w:instrText>
      </w:r>
      <w:r w:rsidRPr="00220C07">
        <w:fldChar w:fldCharType="begin"/>
      </w:r>
      <w:r w:rsidRPr="00220C07">
        <w:instrText>= AND(</w:instrText>
      </w:r>
      <w:r w:rsidRPr="00220C07">
        <w:fldChar w:fldCharType="begin"/>
      </w:r>
      <w:r w:rsidRPr="00220C07">
        <w:instrText>COMPARE</w:instrText>
      </w:r>
      <w:r w:rsidRPr="00220C07">
        <w:fldChar w:fldCharType="begin"/>
      </w:r>
      <w:r w:rsidRPr="00220C07">
        <w:instrText>DOCPROPERTY "x_t"</w:instrText>
      </w:r>
      <w:r w:rsidRPr="00220C07">
        <w:fldChar w:fldCharType="separate"/>
      </w:r>
      <w:r>
        <w:instrText>N</w:instrText>
      </w:r>
      <w:r w:rsidRPr="00220C07">
        <w:fldChar w:fldCharType="end"/>
      </w:r>
      <w:r w:rsidRPr="00220C07">
        <w:instrText>&lt;&gt; N</w:instrText>
      </w:r>
      <w:r w:rsidRPr="00220C07">
        <w:fldChar w:fldCharType="separate"/>
      </w:r>
      <w:r>
        <w:rPr>
          <w:noProof/>
        </w:rPr>
        <w:instrText>0</w:instrText>
      </w:r>
      <w:r w:rsidRPr="00220C07">
        <w:fldChar w:fldCharType="end"/>
      </w:r>
      <w:r w:rsidRPr="00220C07">
        <w:instrText>,</w:instrText>
      </w:r>
      <w:r w:rsidRPr="00220C07">
        <w:fldChar w:fldCharType="begin"/>
      </w:r>
      <w:r w:rsidRPr="00220C07">
        <w:instrText>COMPARE</w:instrText>
      </w:r>
      <w:r w:rsidRPr="00220C07">
        <w:fldChar w:fldCharType="begin"/>
      </w:r>
      <w:r w:rsidRPr="00220C07">
        <w:instrText>DOCPROPERTY "x_a"</w:instrText>
      </w:r>
      <w:r w:rsidRPr="00220C07">
        <w:fldChar w:fldCharType="separate"/>
      </w:r>
      <w:r>
        <w:instrText>N</w:instrText>
      </w:r>
      <w:r w:rsidRPr="00220C07">
        <w:fldChar w:fldCharType="end"/>
      </w:r>
      <w:r w:rsidRPr="00220C07">
        <w:instrText>&lt;&gt; N</w:instrText>
      </w:r>
      <w:r w:rsidRPr="00220C07">
        <w:fldChar w:fldCharType="separate"/>
      </w:r>
      <w:r>
        <w:rPr>
          <w:noProof/>
        </w:rPr>
        <w:instrText>0</w:instrText>
      </w:r>
      <w:r w:rsidRPr="00220C07">
        <w:fldChar w:fldCharType="end"/>
      </w:r>
      <w:r w:rsidRPr="00220C07">
        <w:instrText>)</w:instrText>
      </w:r>
      <w:r w:rsidRPr="00220C07">
        <w:fldChar w:fldCharType="separate"/>
      </w:r>
      <w:r>
        <w:rPr>
          <w:b/>
          <w:noProof/>
        </w:rPr>
        <w:instrText>!Syntax Error, ,,</w:instrText>
      </w:r>
      <w:r w:rsidRPr="00220C07">
        <w:fldChar w:fldCharType="end"/>
      </w:r>
      <w:r w:rsidRPr="00220C07">
        <w:instrText>= 1 "</w:instrText>
      </w:r>
      <w:r w:rsidRPr="00220C07">
        <w:fldChar w:fldCharType="begin"/>
      </w:r>
      <w:r w:rsidRPr="00220C07">
        <w:instrText>QUOTE ""</w:instrText>
      </w:r>
      <w:r w:rsidRPr="00220C07">
        <w:fldChar w:fldCharType="end"/>
      </w:r>
      <w:r w:rsidRPr="00220C07">
        <w:instrText>"</w:instrText>
      </w:r>
      <w:r w:rsidRPr="00220C07">
        <w:fldChar w:fldCharType="end"/>
      </w:r>
      <w:r w:rsidRPr="00220C07">
        <w:fldChar w:fldCharType="begin"/>
      </w:r>
      <w:r w:rsidRPr="00220C07">
        <w:instrText>IF</w:instrText>
      </w:r>
      <w:r w:rsidRPr="00220C07">
        <w:fldChar w:fldCharType="begin"/>
      </w:r>
      <w:r w:rsidRPr="00220C07">
        <w:instrText>DOCPROPERTY "x_t"</w:instrText>
      </w:r>
      <w:r w:rsidRPr="00220C07">
        <w:fldChar w:fldCharType="separate"/>
      </w:r>
      <w:r>
        <w:instrText>N</w:instrText>
      </w:r>
      <w:r w:rsidRPr="00220C07">
        <w:fldChar w:fldCharType="end"/>
      </w:r>
      <w:r w:rsidRPr="00220C07">
        <w:instrText>&lt;&gt; N "&gt;"</w:instrText>
      </w:r>
      <w:r w:rsidRPr="00220C07">
        <w:fldChar w:fldCharType="end"/>
      </w:r>
      <w:r w:rsidRPr="00220C07">
        <w:instrText>" "</w:instrText>
      </w:r>
      <w:r w:rsidRPr="00220C07">
        <w:fldChar w:fldCharType="begin"/>
      </w:r>
      <w:r w:rsidRPr="00220C07">
        <w:instrText>QUOTE ""</w:instrText>
      </w:r>
      <w:r w:rsidRPr="00220C07">
        <w:fldChar w:fldCharType="end"/>
      </w:r>
      <w:r w:rsidRPr="00220C07">
        <w:instrText>"</w:instrText>
      </w:r>
      <w:r w:rsidRPr="00220C07">
        <w:fldChar w:fldCharType="end"/>
      </w:r>
      <w:r w:rsidRPr="00220C07">
        <w:rPr>
          <w:rStyle w:val="stdpublisher"/>
          <w:shd w:val="clear" w:color="auto" w:fill="auto"/>
        </w:rPr>
        <w:t>prEN</w:t>
      </w:r>
      <w:r w:rsidRPr="00220C07">
        <w:t> </w:t>
      </w:r>
      <w:r w:rsidRPr="00220C07">
        <w:rPr>
          <w:rStyle w:val="stddocNumber"/>
          <w:shd w:val="clear" w:color="auto" w:fill="auto"/>
        </w:rPr>
        <w:t>1993</w:t>
      </w:r>
      <w:r w:rsidRPr="00220C07">
        <w:t>-</w:t>
      </w:r>
      <w:r w:rsidRPr="00220C07">
        <w:rPr>
          <w:rStyle w:val="stddocPartNumber"/>
          <w:shd w:val="clear" w:color="auto" w:fill="auto"/>
        </w:rPr>
        <w:t>1-3</w:t>
      </w:r>
      <w:r w:rsidRPr="00220C07">
        <w:t>:</w:t>
      </w:r>
      <w:r w:rsidRPr="00220C07">
        <w:rPr>
          <w:rStyle w:val="stdyear"/>
          <w:shd w:val="clear" w:color="auto" w:fill="auto"/>
        </w:rPr>
        <w:t>2022</w:t>
      </w:r>
      <w:r w:rsidRPr="00220C07">
        <w:t xml:space="preserve">, </w:t>
      </w:r>
      <w:r w:rsidRPr="00220C07">
        <w:rPr>
          <w:rStyle w:val="stddocTitle"/>
          <w:shd w:val="clear" w:color="auto" w:fill="auto"/>
        </w:rPr>
        <w:t>Eurocode 3 — Design of steel structures — Part 1-3: Cold-formed members and sheeting</w:t>
      </w:r>
      <w:r w:rsidRPr="00220C07">
        <w:fldChar w:fldCharType="begin"/>
      </w:r>
      <w:r w:rsidRPr="00220C07">
        <w:instrText>IF "x_-3" "</w:instrText>
      </w:r>
      <w:r w:rsidRPr="00220C07">
        <w:fldChar w:fldCharType="begin"/>
      </w:r>
      <w:r w:rsidRPr="00220C07">
        <w:instrText>IF</w:instrText>
      </w:r>
      <w:r w:rsidRPr="00220C07">
        <w:fldChar w:fldCharType="begin"/>
      </w:r>
      <w:r w:rsidRPr="00220C07">
        <w:instrText>DOCPROPERTY "x_t"</w:instrText>
      </w:r>
      <w:r w:rsidRPr="00220C07">
        <w:fldChar w:fldCharType="separate"/>
      </w:r>
      <w:r>
        <w:instrText>N</w:instrText>
      </w:r>
      <w:r w:rsidRPr="00220C07">
        <w:fldChar w:fldCharType="end"/>
      </w:r>
      <w:r w:rsidRPr="00220C07">
        <w:instrText>&lt;&gt; N "&lt;/</w:instrText>
      </w:r>
      <w:r w:rsidRPr="00220C07">
        <w:fldChar w:fldCharType="begin"/>
      </w:r>
      <w:r w:rsidRPr="00220C07">
        <w:instrText>QUOTE "std"</w:instrText>
      </w:r>
      <w:r w:rsidRPr="00220C07">
        <w:fldChar w:fldCharType="separate"/>
      </w:r>
      <w:r w:rsidRPr="00220C07">
        <w:instrText>std</w:instrText>
      </w:r>
      <w:r w:rsidRPr="00220C07">
        <w:fldChar w:fldCharType="end"/>
      </w:r>
      <w:r w:rsidRPr="00220C07">
        <w:instrText>"</w:instrText>
      </w:r>
      <w:r w:rsidRPr="00220C07">
        <w:fldChar w:fldCharType="end"/>
      </w:r>
      <w:r w:rsidRPr="00220C07">
        <w:fldChar w:fldCharType="begin"/>
      </w:r>
      <w:r w:rsidRPr="00220C07">
        <w:instrText>IF</w:instrText>
      </w:r>
      <w:r w:rsidRPr="00220C07">
        <w:fldChar w:fldCharType="begin"/>
      </w:r>
      <w:r w:rsidRPr="00220C07">
        <w:instrText>DOCPROPERTY "x_t"</w:instrText>
      </w:r>
      <w:r w:rsidRPr="00220C07">
        <w:fldChar w:fldCharType="separate"/>
      </w:r>
      <w:r>
        <w:instrText>N</w:instrText>
      </w:r>
      <w:r w:rsidRPr="00220C07">
        <w:fldChar w:fldCharType="end"/>
      </w:r>
      <w:r w:rsidRPr="00220C07">
        <w:instrText>&lt;&gt; N "&gt;"</w:instrText>
      </w:r>
      <w:r w:rsidRPr="00220C07">
        <w:fldChar w:fldCharType="end"/>
      </w:r>
      <w:r w:rsidRPr="00220C07">
        <w:instrText>" ""</w:instrText>
      </w:r>
      <w:r w:rsidRPr="00220C07">
        <w:fldChar w:fldCharType="end"/>
      </w:r>
    </w:p>
    <w:p w14:paraId="12070FE5" w14:textId="77065510" w:rsidR="00E37E2C" w:rsidRPr="00220C07" w:rsidRDefault="00E37E2C" w:rsidP="00E37E2C">
      <w:pPr>
        <w:pStyle w:val="BiblioEntry"/>
      </w:pPr>
      <w:r w:rsidRPr="00220C07">
        <w:fldChar w:fldCharType="begin"/>
      </w:r>
      <w:r w:rsidRPr="00220C07">
        <w:instrText>IF "x_+3" "</w:instrText>
      </w:r>
      <w:r w:rsidRPr="00220C07">
        <w:fldChar w:fldCharType="begin"/>
      </w:r>
      <w:r w:rsidRPr="00220C07">
        <w:instrText>IF</w:instrText>
      </w:r>
      <w:r w:rsidRPr="00220C07">
        <w:fldChar w:fldCharType="begin"/>
      </w:r>
      <w:r w:rsidRPr="00220C07">
        <w:instrText>DOCPROPERTY "x_t"</w:instrText>
      </w:r>
      <w:r w:rsidRPr="00220C07">
        <w:fldChar w:fldCharType="separate"/>
      </w:r>
      <w:r>
        <w:instrText>N</w:instrText>
      </w:r>
      <w:r w:rsidRPr="00220C07">
        <w:fldChar w:fldCharType="end"/>
      </w:r>
      <w:r w:rsidRPr="00220C07">
        <w:instrText>&lt;&gt; N "&lt;</w:instrText>
      </w:r>
      <w:r w:rsidRPr="00220C07">
        <w:fldChar w:fldCharType="begin"/>
      </w:r>
      <w:r w:rsidRPr="00220C07">
        <w:instrText>QUOTE "std"</w:instrText>
      </w:r>
      <w:r w:rsidRPr="00220C07">
        <w:fldChar w:fldCharType="separate"/>
      </w:r>
      <w:r w:rsidRPr="00220C07">
        <w:instrText>std</w:instrText>
      </w:r>
      <w:r w:rsidRPr="00220C07">
        <w:fldChar w:fldCharType="end"/>
      </w:r>
      <w:r w:rsidRPr="00220C07">
        <w:instrText>"</w:instrText>
      </w:r>
      <w:r w:rsidRPr="00220C07">
        <w:fldChar w:fldCharType="end"/>
      </w:r>
      <w:r w:rsidRPr="00220C07">
        <w:fldChar w:fldCharType="begin"/>
      </w:r>
      <w:r w:rsidRPr="00220C07">
        <w:instrText>IF</w:instrText>
      </w:r>
      <w:r w:rsidRPr="00220C07">
        <w:fldChar w:fldCharType="begin"/>
      </w:r>
      <w:r w:rsidRPr="00220C07">
        <w:instrText>= AND(</w:instrText>
      </w:r>
      <w:r w:rsidRPr="00220C07">
        <w:fldChar w:fldCharType="begin"/>
      </w:r>
      <w:r w:rsidRPr="00220C07">
        <w:instrText>COMPARE</w:instrText>
      </w:r>
      <w:r w:rsidRPr="00220C07">
        <w:fldChar w:fldCharType="begin"/>
      </w:r>
      <w:r w:rsidRPr="00220C07">
        <w:instrText>DOCPROPERTY "x_t"</w:instrText>
      </w:r>
      <w:r w:rsidRPr="00220C07">
        <w:fldChar w:fldCharType="separate"/>
      </w:r>
      <w:r>
        <w:instrText>N</w:instrText>
      </w:r>
      <w:r w:rsidRPr="00220C07">
        <w:fldChar w:fldCharType="end"/>
      </w:r>
      <w:r w:rsidRPr="00220C07">
        <w:instrText>&lt;&gt; N</w:instrText>
      </w:r>
      <w:r w:rsidRPr="00220C07">
        <w:fldChar w:fldCharType="separate"/>
      </w:r>
      <w:r>
        <w:rPr>
          <w:noProof/>
        </w:rPr>
        <w:instrText>0</w:instrText>
      </w:r>
      <w:r w:rsidRPr="00220C07">
        <w:fldChar w:fldCharType="end"/>
      </w:r>
      <w:r w:rsidRPr="00220C07">
        <w:instrText>,</w:instrText>
      </w:r>
      <w:r w:rsidRPr="00220C07">
        <w:fldChar w:fldCharType="begin"/>
      </w:r>
      <w:r w:rsidRPr="00220C07">
        <w:instrText>COMPARE</w:instrText>
      </w:r>
      <w:r w:rsidRPr="00220C07">
        <w:fldChar w:fldCharType="begin"/>
      </w:r>
      <w:r w:rsidRPr="00220C07">
        <w:instrText>DOCPROPERTY "x_a"</w:instrText>
      </w:r>
      <w:r w:rsidRPr="00220C07">
        <w:fldChar w:fldCharType="separate"/>
      </w:r>
      <w:r>
        <w:instrText>N</w:instrText>
      </w:r>
      <w:r w:rsidRPr="00220C07">
        <w:fldChar w:fldCharType="end"/>
      </w:r>
      <w:r w:rsidRPr="00220C07">
        <w:instrText>&lt;&gt; N</w:instrText>
      </w:r>
      <w:r w:rsidRPr="00220C07">
        <w:fldChar w:fldCharType="separate"/>
      </w:r>
      <w:r>
        <w:rPr>
          <w:noProof/>
        </w:rPr>
        <w:instrText>0</w:instrText>
      </w:r>
      <w:r w:rsidRPr="00220C07">
        <w:fldChar w:fldCharType="end"/>
      </w:r>
      <w:r w:rsidRPr="00220C07">
        <w:instrText>)</w:instrText>
      </w:r>
      <w:r w:rsidRPr="00220C07">
        <w:fldChar w:fldCharType="separate"/>
      </w:r>
      <w:r>
        <w:rPr>
          <w:b/>
          <w:noProof/>
        </w:rPr>
        <w:instrText>!Syntax Error, ,,</w:instrText>
      </w:r>
      <w:r w:rsidRPr="00220C07">
        <w:fldChar w:fldCharType="end"/>
      </w:r>
      <w:r w:rsidRPr="00220C07">
        <w:instrText>= 1 "</w:instrText>
      </w:r>
      <w:r w:rsidRPr="00220C07">
        <w:fldChar w:fldCharType="begin"/>
      </w:r>
      <w:r w:rsidRPr="00220C07">
        <w:instrText>QUOTE ""</w:instrText>
      </w:r>
      <w:r w:rsidRPr="00220C07">
        <w:fldChar w:fldCharType="end"/>
      </w:r>
      <w:r w:rsidRPr="00220C07">
        <w:instrText>"</w:instrText>
      </w:r>
      <w:r w:rsidRPr="00220C07">
        <w:fldChar w:fldCharType="end"/>
      </w:r>
      <w:r w:rsidRPr="00220C07">
        <w:fldChar w:fldCharType="begin"/>
      </w:r>
      <w:r w:rsidRPr="00220C07">
        <w:instrText>IF</w:instrText>
      </w:r>
      <w:r w:rsidRPr="00220C07">
        <w:fldChar w:fldCharType="begin"/>
      </w:r>
      <w:r w:rsidRPr="00220C07">
        <w:instrText>DOCPROPERTY "x_t"</w:instrText>
      </w:r>
      <w:r w:rsidRPr="00220C07">
        <w:fldChar w:fldCharType="separate"/>
      </w:r>
      <w:r>
        <w:instrText>N</w:instrText>
      </w:r>
      <w:r w:rsidRPr="00220C07">
        <w:fldChar w:fldCharType="end"/>
      </w:r>
      <w:r w:rsidRPr="00220C07">
        <w:instrText>&lt;&gt; N "&gt;"</w:instrText>
      </w:r>
      <w:r w:rsidRPr="00220C07">
        <w:fldChar w:fldCharType="end"/>
      </w:r>
      <w:r w:rsidRPr="00220C07">
        <w:instrText>" "</w:instrText>
      </w:r>
      <w:r w:rsidRPr="00220C07">
        <w:fldChar w:fldCharType="begin"/>
      </w:r>
      <w:r w:rsidRPr="00220C07">
        <w:instrText>QUOTE ""</w:instrText>
      </w:r>
      <w:r w:rsidRPr="00220C07">
        <w:fldChar w:fldCharType="end"/>
      </w:r>
      <w:r w:rsidRPr="00220C07">
        <w:instrText>"</w:instrText>
      </w:r>
      <w:r w:rsidRPr="00220C07">
        <w:fldChar w:fldCharType="end"/>
      </w:r>
      <w:r w:rsidRPr="00220C07">
        <w:rPr>
          <w:rStyle w:val="stdpublisher"/>
          <w:shd w:val="clear" w:color="auto" w:fill="auto"/>
        </w:rPr>
        <w:t>prEN</w:t>
      </w:r>
      <w:r w:rsidRPr="00220C07">
        <w:t> </w:t>
      </w:r>
      <w:r w:rsidRPr="00220C07">
        <w:rPr>
          <w:rStyle w:val="stddocNumber"/>
          <w:shd w:val="clear" w:color="auto" w:fill="auto"/>
        </w:rPr>
        <w:t>1993</w:t>
      </w:r>
      <w:r w:rsidRPr="00220C07">
        <w:t>-</w:t>
      </w:r>
      <w:r w:rsidRPr="00220C07">
        <w:rPr>
          <w:rStyle w:val="stddocPartNumber"/>
          <w:shd w:val="clear" w:color="auto" w:fill="auto"/>
        </w:rPr>
        <w:t>1-5</w:t>
      </w:r>
      <w:r w:rsidRPr="00220C07">
        <w:t>:</w:t>
      </w:r>
      <w:r w:rsidRPr="00220C07">
        <w:rPr>
          <w:rStyle w:val="stdyear"/>
          <w:shd w:val="clear" w:color="auto" w:fill="auto"/>
        </w:rPr>
        <w:t>2022</w:t>
      </w:r>
      <w:r w:rsidRPr="00220C07">
        <w:t xml:space="preserve">, </w:t>
      </w:r>
      <w:r w:rsidRPr="00220C07">
        <w:rPr>
          <w:rStyle w:val="stddocTitle"/>
          <w:shd w:val="clear" w:color="auto" w:fill="auto"/>
        </w:rPr>
        <w:t>Eurocode 3 — Design of steel structures — Part 1-5: Plated structural elements</w:t>
      </w:r>
      <w:r w:rsidRPr="00220C07">
        <w:fldChar w:fldCharType="begin"/>
      </w:r>
      <w:r w:rsidRPr="00220C07">
        <w:instrText>IF "x_-3" "</w:instrText>
      </w:r>
      <w:r w:rsidRPr="00220C07">
        <w:fldChar w:fldCharType="begin"/>
      </w:r>
      <w:r w:rsidRPr="00220C07">
        <w:instrText>IF</w:instrText>
      </w:r>
      <w:r w:rsidRPr="00220C07">
        <w:fldChar w:fldCharType="begin"/>
      </w:r>
      <w:r w:rsidRPr="00220C07">
        <w:instrText>DOCPROPERTY "x_t"</w:instrText>
      </w:r>
      <w:r w:rsidRPr="00220C07">
        <w:fldChar w:fldCharType="separate"/>
      </w:r>
      <w:r>
        <w:instrText>N</w:instrText>
      </w:r>
      <w:r w:rsidRPr="00220C07">
        <w:fldChar w:fldCharType="end"/>
      </w:r>
      <w:r w:rsidRPr="00220C07">
        <w:instrText>&lt;&gt; N "&lt;/</w:instrText>
      </w:r>
      <w:r w:rsidRPr="00220C07">
        <w:fldChar w:fldCharType="begin"/>
      </w:r>
      <w:r w:rsidRPr="00220C07">
        <w:instrText>QUOTE "std"</w:instrText>
      </w:r>
      <w:r w:rsidRPr="00220C07">
        <w:fldChar w:fldCharType="separate"/>
      </w:r>
      <w:r w:rsidRPr="00220C07">
        <w:instrText>std</w:instrText>
      </w:r>
      <w:r w:rsidRPr="00220C07">
        <w:fldChar w:fldCharType="end"/>
      </w:r>
      <w:r w:rsidRPr="00220C07">
        <w:instrText>"</w:instrText>
      </w:r>
      <w:r w:rsidRPr="00220C07">
        <w:fldChar w:fldCharType="end"/>
      </w:r>
      <w:r w:rsidRPr="00220C07">
        <w:fldChar w:fldCharType="begin"/>
      </w:r>
      <w:r w:rsidRPr="00220C07">
        <w:instrText>IF</w:instrText>
      </w:r>
      <w:r w:rsidRPr="00220C07">
        <w:fldChar w:fldCharType="begin"/>
      </w:r>
      <w:r w:rsidRPr="00220C07">
        <w:instrText>DOCPROPERTY "x_t"</w:instrText>
      </w:r>
      <w:r w:rsidRPr="00220C07">
        <w:fldChar w:fldCharType="separate"/>
      </w:r>
      <w:r>
        <w:instrText>N</w:instrText>
      </w:r>
      <w:r w:rsidRPr="00220C07">
        <w:fldChar w:fldCharType="end"/>
      </w:r>
      <w:r w:rsidRPr="00220C07">
        <w:instrText>&lt;&gt; N "&gt;"</w:instrText>
      </w:r>
      <w:r w:rsidRPr="00220C07">
        <w:fldChar w:fldCharType="end"/>
      </w:r>
      <w:r w:rsidRPr="00220C07">
        <w:instrText>" ""</w:instrText>
      </w:r>
      <w:r w:rsidRPr="00220C07">
        <w:fldChar w:fldCharType="end"/>
      </w:r>
    </w:p>
    <w:p w14:paraId="33F97592" w14:textId="521653F3" w:rsidR="00E37E2C" w:rsidRPr="00220C07" w:rsidRDefault="00E37E2C" w:rsidP="00E37E2C">
      <w:pPr>
        <w:pStyle w:val="BiblioEntry"/>
      </w:pPr>
      <w:r w:rsidRPr="00220C07">
        <w:fldChar w:fldCharType="begin"/>
      </w:r>
      <w:r w:rsidRPr="00220C07">
        <w:instrText>IF "x_+3" "</w:instrText>
      </w:r>
      <w:r w:rsidRPr="00220C07">
        <w:fldChar w:fldCharType="begin"/>
      </w:r>
      <w:r w:rsidRPr="00220C07">
        <w:instrText>IF</w:instrText>
      </w:r>
      <w:r w:rsidRPr="00220C07">
        <w:fldChar w:fldCharType="begin"/>
      </w:r>
      <w:r w:rsidRPr="00220C07">
        <w:instrText>DOCPROPERTY "x_t"</w:instrText>
      </w:r>
      <w:r w:rsidRPr="00220C07">
        <w:fldChar w:fldCharType="separate"/>
      </w:r>
      <w:r>
        <w:instrText>N</w:instrText>
      </w:r>
      <w:r w:rsidRPr="00220C07">
        <w:fldChar w:fldCharType="end"/>
      </w:r>
      <w:r w:rsidRPr="00220C07">
        <w:instrText>&lt;&gt; N "&lt;</w:instrText>
      </w:r>
      <w:r w:rsidRPr="00220C07">
        <w:fldChar w:fldCharType="begin"/>
      </w:r>
      <w:r w:rsidRPr="00220C07">
        <w:instrText>QUOTE "std"</w:instrText>
      </w:r>
      <w:r w:rsidRPr="00220C07">
        <w:fldChar w:fldCharType="separate"/>
      </w:r>
      <w:r w:rsidRPr="00220C07">
        <w:instrText>std</w:instrText>
      </w:r>
      <w:r w:rsidRPr="00220C07">
        <w:fldChar w:fldCharType="end"/>
      </w:r>
      <w:r w:rsidRPr="00220C07">
        <w:instrText>"</w:instrText>
      </w:r>
      <w:r w:rsidRPr="00220C07">
        <w:fldChar w:fldCharType="end"/>
      </w:r>
      <w:r w:rsidRPr="00220C07">
        <w:fldChar w:fldCharType="begin"/>
      </w:r>
      <w:r w:rsidRPr="00220C07">
        <w:instrText>IF</w:instrText>
      </w:r>
      <w:r w:rsidRPr="00220C07">
        <w:fldChar w:fldCharType="begin"/>
      </w:r>
      <w:r w:rsidRPr="00220C07">
        <w:instrText>= AND(</w:instrText>
      </w:r>
      <w:r w:rsidRPr="00220C07">
        <w:fldChar w:fldCharType="begin"/>
      </w:r>
      <w:r w:rsidRPr="00220C07">
        <w:instrText>COMPARE</w:instrText>
      </w:r>
      <w:r w:rsidRPr="00220C07">
        <w:fldChar w:fldCharType="begin"/>
      </w:r>
      <w:r w:rsidRPr="00220C07">
        <w:instrText>DOCPROPERTY "x_t"</w:instrText>
      </w:r>
      <w:r w:rsidRPr="00220C07">
        <w:fldChar w:fldCharType="separate"/>
      </w:r>
      <w:r>
        <w:instrText>N</w:instrText>
      </w:r>
      <w:r w:rsidRPr="00220C07">
        <w:fldChar w:fldCharType="end"/>
      </w:r>
      <w:r w:rsidRPr="00220C07">
        <w:instrText>&lt;&gt; N</w:instrText>
      </w:r>
      <w:r w:rsidRPr="00220C07">
        <w:fldChar w:fldCharType="separate"/>
      </w:r>
      <w:r>
        <w:rPr>
          <w:noProof/>
        </w:rPr>
        <w:instrText>0</w:instrText>
      </w:r>
      <w:r w:rsidRPr="00220C07">
        <w:fldChar w:fldCharType="end"/>
      </w:r>
      <w:r w:rsidRPr="00220C07">
        <w:instrText>,</w:instrText>
      </w:r>
      <w:r w:rsidRPr="00220C07">
        <w:fldChar w:fldCharType="begin"/>
      </w:r>
      <w:r w:rsidRPr="00220C07">
        <w:instrText>COMPARE</w:instrText>
      </w:r>
      <w:r w:rsidRPr="00220C07">
        <w:fldChar w:fldCharType="begin"/>
      </w:r>
      <w:r w:rsidRPr="00220C07">
        <w:instrText>DOCPROPERTY "x_a"</w:instrText>
      </w:r>
      <w:r w:rsidRPr="00220C07">
        <w:fldChar w:fldCharType="separate"/>
      </w:r>
      <w:r>
        <w:instrText>N</w:instrText>
      </w:r>
      <w:r w:rsidRPr="00220C07">
        <w:fldChar w:fldCharType="end"/>
      </w:r>
      <w:r w:rsidRPr="00220C07">
        <w:instrText>&lt;&gt; N</w:instrText>
      </w:r>
      <w:r w:rsidRPr="00220C07">
        <w:fldChar w:fldCharType="separate"/>
      </w:r>
      <w:r>
        <w:rPr>
          <w:noProof/>
        </w:rPr>
        <w:instrText>0</w:instrText>
      </w:r>
      <w:r w:rsidRPr="00220C07">
        <w:fldChar w:fldCharType="end"/>
      </w:r>
      <w:r w:rsidRPr="00220C07">
        <w:instrText>)</w:instrText>
      </w:r>
      <w:r w:rsidRPr="00220C07">
        <w:fldChar w:fldCharType="separate"/>
      </w:r>
      <w:r>
        <w:rPr>
          <w:b/>
          <w:noProof/>
        </w:rPr>
        <w:instrText>!Syntax Error, ,,</w:instrText>
      </w:r>
      <w:r w:rsidRPr="00220C07">
        <w:fldChar w:fldCharType="end"/>
      </w:r>
      <w:r w:rsidRPr="00220C07">
        <w:instrText>= 1 "</w:instrText>
      </w:r>
      <w:r w:rsidRPr="00220C07">
        <w:fldChar w:fldCharType="begin"/>
      </w:r>
      <w:r w:rsidRPr="00220C07">
        <w:instrText>QUOTE ""</w:instrText>
      </w:r>
      <w:r w:rsidRPr="00220C07">
        <w:fldChar w:fldCharType="end"/>
      </w:r>
      <w:r w:rsidRPr="00220C07">
        <w:instrText>"</w:instrText>
      </w:r>
      <w:r w:rsidRPr="00220C07">
        <w:fldChar w:fldCharType="end"/>
      </w:r>
      <w:r w:rsidRPr="00220C07">
        <w:fldChar w:fldCharType="begin"/>
      </w:r>
      <w:r w:rsidRPr="00220C07">
        <w:instrText>IF</w:instrText>
      </w:r>
      <w:r w:rsidRPr="00220C07">
        <w:fldChar w:fldCharType="begin"/>
      </w:r>
      <w:r w:rsidRPr="00220C07">
        <w:instrText>DOCPROPERTY "x_t"</w:instrText>
      </w:r>
      <w:r w:rsidRPr="00220C07">
        <w:fldChar w:fldCharType="separate"/>
      </w:r>
      <w:r>
        <w:instrText>N</w:instrText>
      </w:r>
      <w:r w:rsidRPr="00220C07">
        <w:fldChar w:fldCharType="end"/>
      </w:r>
      <w:r w:rsidRPr="00220C07">
        <w:instrText>&lt;&gt; N "&gt;"</w:instrText>
      </w:r>
      <w:r w:rsidRPr="00220C07">
        <w:fldChar w:fldCharType="end"/>
      </w:r>
      <w:r w:rsidRPr="00220C07">
        <w:instrText>" "</w:instrText>
      </w:r>
      <w:r w:rsidRPr="00220C07">
        <w:fldChar w:fldCharType="begin"/>
      </w:r>
      <w:r w:rsidRPr="00220C07">
        <w:instrText>QUOTE ""</w:instrText>
      </w:r>
      <w:r w:rsidRPr="00220C07">
        <w:fldChar w:fldCharType="end"/>
      </w:r>
      <w:r w:rsidRPr="00220C07">
        <w:instrText>"</w:instrText>
      </w:r>
      <w:r w:rsidRPr="00220C07">
        <w:fldChar w:fldCharType="end"/>
      </w:r>
      <w:r w:rsidRPr="00220C07">
        <w:rPr>
          <w:rStyle w:val="stdpublisher"/>
          <w:shd w:val="clear" w:color="auto" w:fill="auto"/>
        </w:rPr>
        <w:t>prEN</w:t>
      </w:r>
      <w:r w:rsidRPr="00220C07">
        <w:t> </w:t>
      </w:r>
      <w:r w:rsidRPr="00220C07">
        <w:rPr>
          <w:rStyle w:val="stddocNumber"/>
          <w:shd w:val="clear" w:color="auto" w:fill="auto"/>
        </w:rPr>
        <w:t>1993</w:t>
      </w:r>
      <w:r w:rsidRPr="00220C07">
        <w:t>-</w:t>
      </w:r>
      <w:r w:rsidRPr="00220C07">
        <w:rPr>
          <w:rStyle w:val="stddocPartNumber"/>
          <w:shd w:val="clear" w:color="auto" w:fill="auto"/>
        </w:rPr>
        <w:t>1-8</w:t>
      </w:r>
      <w:r w:rsidRPr="00220C07">
        <w:t>:</w:t>
      </w:r>
      <w:r w:rsidRPr="00220C07">
        <w:rPr>
          <w:rStyle w:val="stdyear"/>
          <w:shd w:val="clear" w:color="auto" w:fill="auto"/>
        </w:rPr>
        <w:t>2021</w:t>
      </w:r>
      <w:r w:rsidRPr="00220C07">
        <w:t xml:space="preserve">, </w:t>
      </w:r>
      <w:r w:rsidRPr="00220C07">
        <w:rPr>
          <w:rStyle w:val="stddocTitle"/>
          <w:shd w:val="clear" w:color="auto" w:fill="auto"/>
        </w:rPr>
        <w:t>Eurocode 3 — Design of steel structures — Part 1-8: Joints</w:t>
      </w:r>
      <w:r w:rsidRPr="00220C07">
        <w:fldChar w:fldCharType="begin"/>
      </w:r>
      <w:r w:rsidRPr="00220C07">
        <w:instrText>IF "x_-3" "</w:instrText>
      </w:r>
      <w:r w:rsidRPr="00220C07">
        <w:fldChar w:fldCharType="begin"/>
      </w:r>
      <w:r w:rsidRPr="00220C07">
        <w:instrText>IF</w:instrText>
      </w:r>
      <w:r w:rsidRPr="00220C07">
        <w:fldChar w:fldCharType="begin"/>
      </w:r>
      <w:r w:rsidRPr="00220C07">
        <w:instrText>DOCPROPERTY "x_t"</w:instrText>
      </w:r>
      <w:r w:rsidRPr="00220C07">
        <w:fldChar w:fldCharType="separate"/>
      </w:r>
      <w:r>
        <w:instrText>N</w:instrText>
      </w:r>
      <w:r w:rsidRPr="00220C07">
        <w:fldChar w:fldCharType="end"/>
      </w:r>
      <w:r w:rsidRPr="00220C07">
        <w:instrText>&lt;&gt; N "&lt;/</w:instrText>
      </w:r>
      <w:r w:rsidRPr="00220C07">
        <w:fldChar w:fldCharType="begin"/>
      </w:r>
      <w:r w:rsidRPr="00220C07">
        <w:instrText>QUOTE "std"</w:instrText>
      </w:r>
      <w:r w:rsidRPr="00220C07">
        <w:fldChar w:fldCharType="separate"/>
      </w:r>
      <w:r w:rsidRPr="00220C07">
        <w:instrText>std</w:instrText>
      </w:r>
      <w:r w:rsidRPr="00220C07">
        <w:fldChar w:fldCharType="end"/>
      </w:r>
      <w:r w:rsidRPr="00220C07">
        <w:instrText>"</w:instrText>
      </w:r>
      <w:r w:rsidRPr="00220C07">
        <w:fldChar w:fldCharType="end"/>
      </w:r>
      <w:r w:rsidRPr="00220C07">
        <w:fldChar w:fldCharType="begin"/>
      </w:r>
      <w:r w:rsidRPr="00220C07">
        <w:instrText>IF</w:instrText>
      </w:r>
      <w:r w:rsidRPr="00220C07">
        <w:fldChar w:fldCharType="begin"/>
      </w:r>
      <w:r w:rsidRPr="00220C07">
        <w:instrText>DOCPROPERTY "x_t"</w:instrText>
      </w:r>
      <w:r w:rsidRPr="00220C07">
        <w:fldChar w:fldCharType="separate"/>
      </w:r>
      <w:r>
        <w:instrText>N</w:instrText>
      </w:r>
      <w:r w:rsidRPr="00220C07">
        <w:fldChar w:fldCharType="end"/>
      </w:r>
      <w:r w:rsidRPr="00220C07">
        <w:instrText>&lt;&gt; N "&gt;"</w:instrText>
      </w:r>
      <w:r w:rsidRPr="00220C07">
        <w:fldChar w:fldCharType="end"/>
      </w:r>
      <w:r w:rsidRPr="00220C07">
        <w:instrText>" ""</w:instrText>
      </w:r>
      <w:r w:rsidRPr="00220C07">
        <w:fldChar w:fldCharType="end"/>
      </w:r>
    </w:p>
    <w:p w14:paraId="0420306B" w14:textId="23BF4366" w:rsidR="00E37E2C" w:rsidRPr="00220C07" w:rsidRDefault="00E37E2C" w:rsidP="00E37E2C">
      <w:pPr>
        <w:pStyle w:val="BiblioEntry"/>
      </w:pPr>
      <w:r w:rsidRPr="00220C07">
        <w:fldChar w:fldCharType="begin"/>
      </w:r>
      <w:r w:rsidRPr="00220C07">
        <w:instrText>IF "x_+3" "</w:instrText>
      </w:r>
      <w:r w:rsidRPr="00220C07">
        <w:fldChar w:fldCharType="begin"/>
      </w:r>
      <w:r w:rsidRPr="00220C07">
        <w:instrText>IF</w:instrText>
      </w:r>
      <w:r w:rsidRPr="00220C07">
        <w:fldChar w:fldCharType="begin"/>
      </w:r>
      <w:r w:rsidRPr="00220C07">
        <w:instrText>DOCPROPERTY "x_t"</w:instrText>
      </w:r>
      <w:r w:rsidRPr="00220C07">
        <w:fldChar w:fldCharType="separate"/>
      </w:r>
      <w:r>
        <w:instrText>N</w:instrText>
      </w:r>
      <w:r w:rsidRPr="00220C07">
        <w:fldChar w:fldCharType="end"/>
      </w:r>
      <w:r w:rsidRPr="00220C07">
        <w:instrText>&lt;&gt; N "&lt;</w:instrText>
      </w:r>
      <w:r w:rsidRPr="00220C07">
        <w:fldChar w:fldCharType="begin"/>
      </w:r>
      <w:r w:rsidRPr="00220C07">
        <w:instrText>QUOTE "std"</w:instrText>
      </w:r>
      <w:r w:rsidRPr="00220C07">
        <w:fldChar w:fldCharType="separate"/>
      </w:r>
      <w:r w:rsidRPr="00220C07">
        <w:instrText>std</w:instrText>
      </w:r>
      <w:r w:rsidRPr="00220C07">
        <w:fldChar w:fldCharType="end"/>
      </w:r>
      <w:r w:rsidRPr="00220C07">
        <w:instrText>"</w:instrText>
      </w:r>
      <w:r w:rsidRPr="00220C07">
        <w:fldChar w:fldCharType="end"/>
      </w:r>
      <w:r w:rsidRPr="00220C07">
        <w:fldChar w:fldCharType="begin"/>
      </w:r>
      <w:r w:rsidRPr="00220C07">
        <w:instrText>IF</w:instrText>
      </w:r>
      <w:r w:rsidRPr="00220C07">
        <w:fldChar w:fldCharType="begin"/>
      </w:r>
      <w:r w:rsidRPr="00220C07">
        <w:instrText>= AND(</w:instrText>
      </w:r>
      <w:r w:rsidRPr="00220C07">
        <w:fldChar w:fldCharType="begin"/>
      </w:r>
      <w:r w:rsidRPr="00220C07">
        <w:instrText>COMPARE</w:instrText>
      </w:r>
      <w:r w:rsidRPr="00220C07">
        <w:fldChar w:fldCharType="begin"/>
      </w:r>
      <w:r w:rsidRPr="00220C07">
        <w:instrText>DOCPROPERTY "x_t"</w:instrText>
      </w:r>
      <w:r w:rsidRPr="00220C07">
        <w:fldChar w:fldCharType="separate"/>
      </w:r>
      <w:r>
        <w:instrText>N</w:instrText>
      </w:r>
      <w:r w:rsidRPr="00220C07">
        <w:fldChar w:fldCharType="end"/>
      </w:r>
      <w:r w:rsidRPr="00220C07">
        <w:instrText>&lt;&gt; N</w:instrText>
      </w:r>
      <w:r w:rsidRPr="00220C07">
        <w:fldChar w:fldCharType="separate"/>
      </w:r>
      <w:r>
        <w:rPr>
          <w:noProof/>
        </w:rPr>
        <w:instrText>0</w:instrText>
      </w:r>
      <w:r w:rsidRPr="00220C07">
        <w:fldChar w:fldCharType="end"/>
      </w:r>
      <w:r w:rsidRPr="00220C07">
        <w:instrText>,</w:instrText>
      </w:r>
      <w:r w:rsidRPr="00220C07">
        <w:fldChar w:fldCharType="begin"/>
      </w:r>
      <w:r w:rsidRPr="00220C07">
        <w:instrText>COMPARE</w:instrText>
      </w:r>
      <w:r w:rsidRPr="00220C07">
        <w:fldChar w:fldCharType="begin"/>
      </w:r>
      <w:r w:rsidRPr="00220C07">
        <w:instrText>DOCPROPERTY "x_a"</w:instrText>
      </w:r>
      <w:r w:rsidRPr="00220C07">
        <w:fldChar w:fldCharType="separate"/>
      </w:r>
      <w:r>
        <w:instrText>N</w:instrText>
      </w:r>
      <w:r w:rsidRPr="00220C07">
        <w:fldChar w:fldCharType="end"/>
      </w:r>
      <w:r w:rsidRPr="00220C07">
        <w:instrText>&lt;&gt; N</w:instrText>
      </w:r>
      <w:r w:rsidRPr="00220C07">
        <w:fldChar w:fldCharType="separate"/>
      </w:r>
      <w:r>
        <w:rPr>
          <w:noProof/>
        </w:rPr>
        <w:instrText>0</w:instrText>
      </w:r>
      <w:r w:rsidRPr="00220C07">
        <w:fldChar w:fldCharType="end"/>
      </w:r>
      <w:r w:rsidRPr="00220C07">
        <w:instrText>)</w:instrText>
      </w:r>
      <w:r w:rsidRPr="00220C07">
        <w:fldChar w:fldCharType="separate"/>
      </w:r>
      <w:r>
        <w:rPr>
          <w:b/>
          <w:noProof/>
        </w:rPr>
        <w:instrText>!Syntax Error, ,,</w:instrText>
      </w:r>
      <w:r w:rsidRPr="00220C07">
        <w:fldChar w:fldCharType="end"/>
      </w:r>
      <w:r w:rsidRPr="00220C07">
        <w:instrText>= 1 "</w:instrText>
      </w:r>
      <w:r w:rsidRPr="00220C07">
        <w:fldChar w:fldCharType="begin"/>
      </w:r>
      <w:r w:rsidRPr="00220C07">
        <w:instrText>QUOTE ""</w:instrText>
      </w:r>
      <w:r w:rsidRPr="00220C07">
        <w:fldChar w:fldCharType="end"/>
      </w:r>
      <w:r w:rsidRPr="00220C07">
        <w:instrText>"</w:instrText>
      </w:r>
      <w:r w:rsidRPr="00220C07">
        <w:fldChar w:fldCharType="end"/>
      </w:r>
      <w:r w:rsidRPr="00220C07">
        <w:fldChar w:fldCharType="begin"/>
      </w:r>
      <w:r w:rsidRPr="00220C07">
        <w:instrText>IF</w:instrText>
      </w:r>
      <w:r w:rsidRPr="00220C07">
        <w:fldChar w:fldCharType="begin"/>
      </w:r>
      <w:r w:rsidRPr="00220C07">
        <w:instrText>DOCPROPERTY "x_t"</w:instrText>
      </w:r>
      <w:r w:rsidRPr="00220C07">
        <w:fldChar w:fldCharType="separate"/>
      </w:r>
      <w:r>
        <w:instrText>N</w:instrText>
      </w:r>
      <w:r w:rsidRPr="00220C07">
        <w:fldChar w:fldCharType="end"/>
      </w:r>
      <w:r w:rsidRPr="00220C07">
        <w:instrText>&lt;&gt; N "&gt;"</w:instrText>
      </w:r>
      <w:r w:rsidRPr="00220C07">
        <w:fldChar w:fldCharType="end"/>
      </w:r>
      <w:r w:rsidRPr="00220C07">
        <w:instrText>" "</w:instrText>
      </w:r>
      <w:r w:rsidRPr="00220C07">
        <w:fldChar w:fldCharType="begin"/>
      </w:r>
      <w:r w:rsidRPr="00220C07">
        <w:instrText>QUOTE ""</w:instrText>
      </w:r>
      <w:r w:rsidRPr="00220C07">
        <w:fldChar w:fldCharType="end"/>
      </w:r>
      <w:r w:rsidRPr="00220C07">
        <w:instrText>"</w:instrText>
      </w:r>
      <w:r w:rsidRPr="00220C07">
        <w:fldChar w:fldCharType="end"/>
      </w:r>
      <w:r w:rsidRPr="00220C07">
        <w:rPr>
          <w:rStyle w:val="stdpublisher"/>
          <w:shd w:val="clear" w:color="auto" w:fill="auto"/>
        </w:rPr>
        <w:t>prEN</w:t>
      </w:r>
      <w:r w:rsidRPr="00220C07">
        <w:t> </w:t>
      </w:r>
      <w:r w:rsidRPr="00220C07">
        <w:rPr>
          <w:rStyle w:val="stddocNumber"/>
          <w:shd w:val="clear" w:color="auto" w:fill="auto"/>
        </w:rPr>
        <w:t>1993</w:t>
      </w:r>
      <w:r w:rsidRPr="00220C07">
        <w:t>-</w:t>
      </w:r>
      <w:r w:rsidRPr="00220C07">
        <w:rPr>
          <w:rStyle w:val="stddocPartNumber"/>
          <w:shd w:val="clear" w:color="auto" w:fill="auto"/>
        </w:rPr>
        <w:t>1-10</w:t>
      </w:r>
      <w:r w:rsidRPr="00220C07">
        <w:t>:</w:t>
      </w:r>
      <w:r w:rsidRPr="00220C07">
        <w:rPr>
          <w:rStyle w:val="stdyear"/>
          <w:shd w:val="clear" w:color="auto" w:fill="auto"/>
        </w:rPr>
        <w:t>2023</w:t>
      </w:r>
      <w:r w:rsidRPr="00220C07">
        <w:t xml:space="preserve">, </w:t>
      </w:r>
      <w:r w:rsidRPr="00220C07">
        <w:rPr>
          <w:rStyle w:val="stddocTitle"/>
          <w:shd w:val="clear" w:color="auto" w:fill="auto"/>
        </w:rPr>
        <w:t>Eurocode 3 — Design of steel structures — Part 1-10: Material toughness and through-thickness properties</w:t>
      </w:r>
      <w:r w:rsidRPr="00220C07">
        <w:fldChar w:fldCharType="begin"/>
      </w:r>
      <w:r w:rsidRPr="00220C07">
        <w:instrText>IF "x_-3" "</w:instrText>
      </w:r>
      <w:r w:rsidRPr="00220C07">
        <w:fldChar w:fldCharType="begin"/>
      </w:r>
      <w:r w:rsidRPr="00220C07">
        <w:instrText>IF</w:instrText>
      </w:r>
      <w:r w:rsidRPr="00220C07">
        <w:fldChar w:fldCharType="begin"/>
      </w:r>
      <w:r w:rsidRPr="00220C07">
        <w:instrText>DOCPROPERTY "x_t"</w:instrText>
      </w:r>
      <w:r w:rsidRPr="00220C07">
        <w:fldChar w:fldCharType="separate"/>
      </w:r>
      <w:r>
        <w:instrText>N</w:instrText>
      </w:r>
      <w:r w:rsidRPr="00220C07">
        <w:fldChar w:fldCharType="end"/>
      </w:r>
      <w:r w:rsidRPr="00220C07">
        <w:instrText>&lt;&gt; N "&lt;/</w:instrText>
      </w:r>
      <w:r w:rsidRPr="00220C07">
        <w:fldChar w:fldCharType="begin"/>
      </w:r>
      <w:r w:rsidRPr="00220C07">
        <w:instrText>QUOTE "std"</w:instrText>
      </w:r>
      <w:r w:rsidRPr="00220C07">
        <w:fldChar w:fldCharType="separate"/>
      </w:r>
      <w:r w:rsidRPr="00220C07">
        <w:instrText>std</w:instrText>
      </w:r>
      <w:r w:rsidRPr="00220C07">
        <w:fldChar w:fldCharType="end"/>
      </w:r>
      <w:r w:rsidRPr="00220C07">
        <w:instrText>"</w:instrText>
      </w:r>
      <w:r w:rsidRPr="00220C07">
        <w:fldChar w:fldCharType="end"/>
      </w:r>
      <w:r w:rsidRPr="00220C07">
        <w:fldChar w:fldCharType="begin"/>
      </w:r>
      <w:r w:rsidRPr="00220C07">
        <w:instrText>IF</w:instrText>
      </w:r>
      <w:r w:rsidRPr="00220C07">
        <w:fldChar w:fldCharType="begin"/>
      </w:r>
      <w:r w:rsidRPr="00220C07">
        <w:instrText>DOCPROPERTY "x_t"</w:instrText>
      </w:r>
      <w:r w:rsidRPr="00220C07">
        <w:fldChar w:fldCharType="separate"/>
      </w:r>
      <w:r>
        <w:instrText>N</w:instrText>
      </w:r>
      <w:r w:rsidRPr="00220C07">
        <w:fldChar w:fldCharType="end"/>
      </w:r>
      <w:r w:rsidRPr="00220C07">
        <w:instrText>&lt;&gt; N "&gt;"</w:instrText>
      </w:r>
      <w:r w:rsidRPr="00220C07">
        <w:fldChar w:fldCharType="end"/>
      </w:r>
      <w:r w:rsidRPr="00220C07">
        <w:instrText>" ""</w:instrText>
      </w:r>
      <w:r w:rsidRPr="00220C07">
        <w:fldChar w:fldCharType="end"/>
      </w:r>
    </w:p>
    <w:p w14:paraId="61EE2C32" w14:textId="1066B133" w:rsidR="00E37E2C" w:rsidRPr="00220C07" w:rsidRDefault="00E37E2C" w:rsidP="00E37E2C">
      <w:pPr>
        <w:pStyle w:val="BiblioEntry"/>
      </w:pPr>
      <w:r w:rsidRPr="00220C07">
        <w:fldChar w:fldCharType="begin"/>
      </w:r>
      <w:r w:rsidRPr="00220C07">
        <w:instrText>IF "x_+3" "</w:instrText>
      </w:r>
      <w:r w:rsidRPr="00220C07">
        <w:fldChar w:fldCharType="begin"/>
      </w:r>
      <w:r w:rsidRPr="00220C07">
        <w:instrText>IF</w:instrText>
      </w:r>
      <w:r w:rsidRPr="00220C07">
        <w:fldChar w:fldCharType="begin"/>
      </w:r>
      <w:r w:rsidRPr="00220C07">
        <w:instrText>DOCPROPERTY "x_t"</w:instrText>
      </w:r>
      <w:r w:rsidRPr="00220C07">
        <w:fldChar w:fldCharType="separate"/>
      </w:r>
      <w:r>
        <w:instrText>N</w:instrText>
      </w:r>
      <w:r w:rsidRPr="00220C07">
        <w:fldChar w:fldCharType="end"/>
      </w:r>
      <w:r w:rsidRPr="00220C07">
        <w:instrText>&lt;&gt; N "&lt;</w:instrText>
      </w:r>
      <w:r w:rsidRPr="00220C07">
        <w:fldChar w:fldCharType="begin"/>
      </w:r>
      <w:r w:rsidRPr="00220C07">
        <w:instrText>QUOTE "std"</w:instrText>
      </w:r>
      <w:r w:rsidRPr="00220C07">
        <w:fldChar w:fldCharType="separate"/>
      </w:r>
      <w:r w:rsidRPr="00220C07">
        <w:instrText>std</w:instrText>
      </w:r>
      <w:r w:rsidRPr="00220C07">
        <w:fldChar w:fldCharType="end"/>
      </w:r>
      <w:r w:rsidRPr="00220C07">
        <w:instrText>"</w:instrText>
      </w:r>
      <w:r w:rsidRPr="00220C07">
        <w:fldChar w:fldCharType="end"/>
      </w:r>
      <w:r w:rsidRPr="00220C07">
        <w:fldChar w:fldCharType="begin"/>
      </w:r>
      <w:r w:rsidRPr="00220C07">
        <w:instrText>IF</w:instrText>
      </w:r>
      <w:r w:rsidRPr="00220C07">
        <w:fldChar w:fldCharType="begin"/>
      </w:r>
      <w:r w:rsidRPr="00220C07">
        <w:instrText>= AND(</w:instrText>
      </w:r>
      <w:r w:rsidRPr="00220C07">
        <w:fldChar w:fldCharType="begin"/>
      </w:r>
      <w:r w:rsidRPr="00220C07">
        <w:instrText>COMPARE</w:instrText>
      </w:r>
      <w:r w:rsidRPr="00220C07">
        <w:fldChar w:fldCharType="begin"/>
      </w:r>
      <w:r w:rsidRPr="00220C07">
        <w:instrText>DOCPROPERTY "x_t"</w:instrText>
      </w:r>
      <w:r w:rsidRPr="00220C07">
        <w:fldChar w:fldCharType="separate"/>
      </w:r>
      <w:r>
        <w:instrText>N</w:instrText>
      </w:r>
      <w:r w:rsidRPr="00220C07">
        <w:fldChar w:fldCharType="end"/>
      </w:r>
      <w:r w:rsidRPr="00220C07">
        <w:instrText>&lt;&gt; N</w:instrText>
      </w:r>
      <w:r w:rsidRPr="00220C07">
        <w:fldChar w:fldCharType="separate"/>
      </w:r>
      <w:r>
        <w:rPr>
          <w:noProof/>
        </w:rPr>
        <w:instrText>0</w:instrText>
      </w:r>
      <w:r w:rsidRPr="00220C07">
        <w:fldChar w:fldCharType="end"/>
      </w:r>
      <w:r w:rsidRPr="00220C07">
        <w:instrText>,</w:instrText>
      </w:r>
      <w:r w:rsidRPr="00220C07">
        <w:fldChar w:fldCharType="begin"/>
      </w:r>
      <w:r w:rsidRPr="00220C07">
        <w:instrText>COMPARE</w:instrText>
      </w:r>
      <w:r w:rsidRPr="00220C07">
        <w:fldChar w:fldCharType="begin"/>
      </w:r>
      <w:r w:rsidRPr="00220C07">
        <w:instrText>DOCPROPERTY "x_a"</w:instrText>
      </w:r>
      <w:r w:rsidRPr="00220C07">
        <w:fldChar w:fldCharType="separate"/>
      </w:r>
      <w:r>
        <w:instrText>N</w:instrText>
      </w:r>
      <w:r w:rsidRPr="00220C07">
        <w:fldChar w:fldCharType="end"/>
      </w:r>
      <w:r w:rsidRPr="00220C07">
        <w:instrText>&lt;&gt; N</w:instrText>
      </w:r>
      <w:r w:rsidRPr="00220C07">
        <w:fldChar w:fldCharType="separate"/>
      </w:r>
      <w:r>
        <w:rPr>
          <w:noProof/>
        </w:rPr>
        <w:instrText>0</w:instrText>
      </w:r>
      <w:r w:rsidRPr="00220C07">
        <w:fldChar w:fldCharType="end"/>
      </w:r>
      <w:r w:rsidRPr="00220C07">
        <w:instrText>)</w:instrText>
      </w:r>
      <w:r w:rsidRPr="00220C07">
        <w:fldChar w:fldCharType="separate"/>
      </w:r>
      <w:r>
        <w:rPr>
          <w:b/>
          <w:noProof/>
        </w:rPr>
        <w:instrText>!Syntax Error, ,,</w:instrText>
      </w:r>
      <w:r w:rsidRPr="00220C07">
        <w:fldChar w:fldCharType="end"/>
      </w:r>
      <w:r w:rsidRPr="00220C07">
        <w:instrText>= 1 "</w:instrText>
      </w:r>
      <w:r w:rsidRPr="00220C07">
        <w:fldChar w:fldCharType="begin"/>
      </w:r>
      <w:r w:rsidRPr="00220C07">
        <w:instrText>QUOTE ""</w:instrText>
      </w:r>
      <w:r w:rsidRPr="00220C07">
        <w:fldChar w:fldCharType="end"/>
      </w:r>
      <w:r w:rsidRPr="00220C07">
        <w:instrText>"</w:instrText>
      </w:r>
      <w:r w:rsidRPr="00220C07">
        <w:fldChar w:fldCharType="end"/>
      </w:r>
      <w:r w:rsidRPr="00220C07">
        <w:fldChar w:fldCharType="begin"/>
      </w:r>
      <w:r w:rsidRPr="00220C07">
        <w:instrText>IF</w:instrText>
      </w:r>
      <w:r w:rsidRPr="00220C07">
        <w:fldChar w:fldCharType="begin"/>
      </w:r>
      <w:r w:rsidRPr="00220C07">
        <w:instrText>DOCPROPERTY "x_t"</w:instrText>
      </w:r>
      <w:r w:rsidRPr="00220C07">
        <w:fldChar w:fldCharType="separate"/>
      </w:r>
      <w:r>
        <w:instrText>N</w:instrText>
      </w:r>
      <w:r w:rsidRPr="00220C07">
        <w:fldChar w:fldCharType="end"/>
      </w:r>
      <w:r w:rsidRPr="00220C07">
        <w:instrText>&lt;&gt; N "&gt;"</w:instrText>
      </w:r>
      <w:r w:rsidRPr="00220C07">
        <w:fldChar w:fldCharType="end"/>
      </w:r>
      <w:r w:rsidRPr="00220C07">
        <w:instrText>" "</w:instrText>
      </w:r>
      <w:r w:rsidRPr="00220C07">
        <w:fldChar w:fldCharType="begin"/>
      </w:r>
      <w:r w:rsidRPr="00220C07">
        <w:instrText>QUOTE ""</w:instrText>
      </w:r>
      <w:r w:rsidRPr="00220C07">
        <w:fldChar w:fldCharType="end"/>
      </w:r>
      <w:r w:rsidRPr="00220C07">
        <w:instrText>"</w:instrText>
      </w:r>
      <w:r w:rsidRPr="00220C07">
        <w:fldChar w:fldCharType="end"/>
      </w:r>
      <w:r w:rsidRPr="00220C07">
        <w:rPr>
          <w:rStyle w:val="stdpublisher"/>
          <w:shd w:val="clear" w:color="auto" w:fill="auto"/>
        </w:rPr>
        <w:t>prEN</w:t>
      </w:r>
      <w:r w:rsidRPr="00220C07">
        <w:t> </w:t>
      </w:r>
      <w:r w:rsidRPr="00220C07">
        <w:rPr>
          <w:rStyle w:val="stddocNumber"/>
          <w:shd w:val="clear" w:color="auto" w:fill="auto"/>
        </w:rPr>
        <w:t>1993</w:t>
      </w:r>
      <w:r w:rsidRPr="00220C07">
        <w:t>-</w:t>
      </w:r>
      <w:r w:rsidRPr="00220C07">
        <w:rPr>
          <w:rStyle w:val="stddocPartNumber"/>
          <w:shd w:val="clear" w:color="auto" w:fill="auto"/>
        </w:rPr>
        <w:t>1-14</w:t>
      </w:r>
      <w:r w:rsidRPr="00220C07">
        <w:t xml:space="preserve">, </w:t>
      </w:r>
      <w:r w:rsidRPr="00220C07">
        <w:rPr>
          <w:rStyle w:val="stddocTitle"/>
          <w:shd w:val="clear" w:color="auto" w:fill="auto"/>
        </w:rPr>
        <w:t>Eurocode 3 — Design of steel structures — Part 1-14: Design assisted by finite element analysis</w:t>
      </w:r>
      <w:r w:rsidRPr="00220C07">
        <w:fldChar w:fldCharType="begin"/>
      </w:r>
      <w:r w:rsidRPr="00220C07">
        <w:instrText>IF "x_-3" "</w:instrText>
      </w:r>
      <w:r w:rsidRPr="00220C07">
        <w:fldChar w:fldCharType="begin"/>
      </w:r>
      <w:r w:rsidRPr="00220C07">
        <w:instrText>IF</w:instrText>
      </w:r>
      <w:r w:rsidRPr="00220C07">
        <w:fldChar w:fldCharType="begin"/>
      </w:r>
      <w:r w:rsidRPr="00220C07">
        <w:instrText>DOCPROPERTY "x_t"</w:instrText>
      </w:r>
      <w:r w:rsidRPr="00220C07">
        <w:fldChar w:fldCharType="separate"/>
      </w:r>
      <w:r>
        <w:instrText>N</w:instrText>
      </w:r>
      <w:r w:rsidRPr="00220C07">
        <w:fldChar w:fldCharType="end"/>
      </w:r>
      <w:r w:rsidRPr="00220C07">
        <w:instrText>&lt;&gt; N "&lt;/</w:instrText>
      </w:r>
      <w:r w:rsidRPr="00220C07">
        <w:fldChar w:fldCharType="begin"/>
      </w:r>
      <w:r w:rsidRPr="00220C07">
        <w:instrText>QUOTE "std"</w:instrText>
      </w:r>
      <w:r w:rsidRPr="00220C07">
        <w:fldChar w:fldCharType="separate"/>
      </w:r>
      <w:r w:rsidRPr="00220C07">
        <w:instrText>std</w:instrText>
      </w:r>
      <w:r w:rsidRPr="00220C07">
        <w:fldChar w:fldCharType="end"/>
      </w:r>
      <w:r w:rsidRPr="00220C07">
        <w:instrText>"</w:instrText>
      </w:r>
      <w:r w:rsidRPr="00220C07">
        <w:fldChar w:fldCharType="end"/>
      </w:r>
      <w:r w:rsidRPr="00220C07">
        <w:fldChar w:fldCharType="begin"/>
      </w:r>
      <w:r w:rsidRPr="00220C07">
        <w:instrText>IF</w:instrText>
      </w:r>
      <w:r w:rsidRPr="00220C07">
        <w:fldChar w:fldCharType="begin"/>
      </w:r>
      <w:r w:rsidRPr="00220C07">
        <w:instrText>DOCPROPERTY "x_t"</w:instrText>
      </w:r>
      <w:r w:rsidRPr="00220C07">
        <w:fldChar w:fldCharType="separate"/>
      </w:r>
      <w:r>
        <w:instrText>N</w:instrText>
      </w:r>
      <w:r w:rsidRPr="00220C07">
        <w:fldChar w:fldCharType="end"/>
      </w:r>
      <w:r w:rsidRPr="00220C07">
        <w:instrText>&lt;&gt; N "&gt;"</w:instrText>
      </w:r>
      <w:r w:rsidRPr="00220C07">
        <w:fldChar w:fldCharType="end"/>
      </w:r>
      <w:r w:rsidRPr="00220C07">
        <w:instrText>" ""</w:instrText>
      </w:r>
      <w:r w:rsidRPr="00220C07">
        <w:fldChar w:fldCharType="end"/>
      </w:r>
    </w:p>
    <w:p w14:paraId="09226444" w14:textId="1A78ED56" w:rsidR="00E37E2C" w:rsidRPr="00220C07" w:rsidRDefault="00E37E2C" w:rsidP="00E37E2C">
      <w:pPr>
        <w:pStyle w:val="BiblioEntry"/>
      </w:pPr>
      <w:r w:rsidRPr="00220C07">
        <w:fldChar w:fldCharType="begin"/>
      </w:r>
      <w:r w:rsidRPr="00220C07">
        <w:instrText>IF "x_+3" "</w:instrText>
      </w:r>
      <w:r w:rsidRPr="00220C07">
        <w:fldChar w:fldCharType="begin"/>
      </w:r>
      <w:r w:rsidRPr="00220C07">
        <w:instrText>IF</w:instrText>
      </w:r>
      <w:r w:rsidRPr="00220C07">
        <w:fldChar w:fldCharType="begin"/>
      </w:r>
      <w:r w:rsidRPr="00220C07">
        <w:instrText>DOCPROPERTY "x_t"</w:instrText>
      </w:r>
      <w:r w:rsidRPr="00220C07">
        <w:fldChar w:fldCharType="separate"/>
      </w:r>
      <w:r>
        <w:instrText>N</w:instrText>
      </w:r>
      <w:r w:rsidRPr="00220C07">
        <w:fldChar w:fldCharType="end"/>
      </w:r>
      <w:r w:rsidRPr="00220C07">
        <w:instrText>&lt;&gt; N "&lt;</w:instrText>
      </w:r>
      <w:r w:rsidRPr="00220C07">
        <w:fldChar w:fldCharType="begin"/>
      </w:r>
      <w:r w:rsidRPr="00220C07">
        <w:instrText>QUOTE "std"</w:instrText>
      </w:r>
      <w:r w:rsidRPr="00220C07">
        <w:fldChar w:fldCharType="separate"/>
      </w:r>
      <w:r w:rsidRPr="00220C07">
        <w:instrText>std</w:instrText>
      </w:r>
      <w:r w:rsidRPr="00220C07">
        <w:fldChar w:fldCharType="end"/>
      </w:r>
      <w:r w:rsidRPr="00220C07">
        <w:instrText>"</w:instrText>
      </w:r>
      <w:r w:rsidRPr="00220C07">
        <w:fldChar w:fldCharType="end"/>
      </w:r>
      <w:r w:rsidRPr="00220C07">
        <w:fldChar w:fldCharType="begin"/>
      </w:r>
      <w:r w:rsidRPr="00220C07">
        <w:instrText>IF</w:instrText>
      </w:r>
      <w:r w:rsidRPr="00220C07">
        <w:fldChar w:fldCharType="begin"/>
      </w:r>
      <w:r w:rsidRPr="00220C07">
        <w:instrText>= AND(</w:instrText>
      </w:r>
      <w:r w:rsidRPr="00220C07">
        <w:fldChar w:fldCharType="begin"/>
      </w:r>
      <w:r w:rsidRPr="00220C07">
        <w:instrText>COMPARE</w:instrText>
      </w:r>
      <w:r w:rsidRPr="00220C07">
        <w:fldChar w:fldCharType="begin"/>
      </w:r>
      <w:r w:rsidRPr="00220C07">
        <w:instrText>DOCPROPERTY "x_t"</w:instrText>
      </w:r>
      <w:r w:rsidRPr="00220C07">
        <w:fldChar w:fldCharType="separate"/>
      </w:r>
      <w:r>
        <w:instrText>N</w:instrText>
      </w:r>
      <w:r w:rsidRPr="00220C07">
        <w:fldChar w:fldCharType="end"/>
      </w:r>
      <w:r w:rsidRPr="00220C07">
        <w:instrText>&lt;&gt; N</w:instrText>
      </w:r>
      <w:r w:rsidRPr="00220C07">
        <w:fldChar w:fldCharType="separate"/>
      </w:r>
      <w:r>
        <w:rPr>
          <w:noProof/>
        </w:rPr>
        <w:instrText>0</w:instrText>
      </w:r>
      <w:r w:rsidRPr="00220C07">
        <w:fldChar w:fldCharType="end"/>
      </w:r>
      <w:r w:rsidRPr="00220C07">
        <w:instrText>,</w:instrText>
      </w:r>
      <w:r w:rsidRPr="00220C07">
        <w:fldChar w:fldCharType="begin"/>
      </w:r>
      <w:r w:rsidRPr="00220C07">
        <w:instrText>COMPARE</w:instrText>
      </w:r>
      <w:r w:rsidRPr="00220C07">
        <w:fldChar w:fldCharType="begin"/>
      </w:r>
      <w:r w:rsidRPr="00220C07">
        <w:instrText>DOCPROPERTY "x_a"</w:instrText>
      </w:r>
      <w:r w:rsidRPr="00220C07">
        <w:fldChar w:fldCharType="separate"/>
      </w:r>
      <w:r>
        <w:instrText>N</w:instrText>
      </w:r>
      <w:r w:rsidRPr="00220C07">
        <w:fldChar w:fldCharType="end"/>
      </w:r>
      <w:r w:rsidRPr="00220C07">
        <w:instrText>&lt;&gt; N</w:instrText>
      </w:r>
      <w:r w:rsidRPr="00220C07">
        <w:fldChar w:fldCharType="separate"/>
      </w:r>
      <w:r>
        <w:rPr>
          <w:noProof/>
        </w:rPr>
        <w:instrText>0</w:instrText>
      </w:r>
      <w:r w:rsidRPr="00220C07">
        <w:fldChar w:fldCharType="end"/>
      </w:r>
      <w:r w:rsidRPr="00220C07">
        <w:instrText>)</w:instrText>
      </w:r>
      <w:r w:rsidRPr="00220C07">
        <w:fldChar w:fldCharType="separate"/>
      </w:r>
      <w:r>
        <w:rPr>
          <w:b/>
          <w:noProof/>
        </w:rPr>
        <w:instrText>!Syntax Error, ,,</w:instrText>
      </w:r>
      <w:r w:rsidRPr="00220C07">
        <w:fldChar w:fldCharType="end"/>
      </w:r>
      <w:r w:rsidRPr="00220C07">
        <w:instrText>= 1 "</w:instrText>
      </w:r>
      <w:r w:rsidRPr="00220C07">
        <w:fldChar w:fldCharType="begin"/>
      </w:r>
      <w:r w:rsidRPr="00220C07">
        <w:instrText>QUOTE ""</w:instrText>
      </w:r>
      <w:r w:rsidRPr="00220C07">
        <w:fldChar w:fldCharType="end"/>
      </w:r>
      <w:r w:rsidRPr="00220C07">
        <w:instrText>"</w:instrText>
      </w:r>
      <w:r w:rsidRPr="00220C07">
        <w:fldChar w:fldCharType="end"/>
      </w:r>
      <w:r w:rsidRPr="00220C07">
        <w:fldChar w:fldCharType="begin"/>
      </w:r>
      <w:r w:rsidRPr="00220C07">
        <w:instrText>IF</w:instrText>
      </w:r>
      <w:r w:rsidRPr="00220C07">
        <w:fldChar w:fldCharType="begin"/>
      </w:r>
      <w:r w:rsidRPr="00220C07">
        <w:instrText>DOCPROPERTY "x_t"</w:instrText>
      </w:r>
      <w:r w:rsidRPr="00220C07">
        <w:fldChar w:fldCharType="separate"/>
      </w:r>
      <w:r>
        <w:instrText>N</w:instrText>
      </w:r>
      <w:r w:rsidRPr="00220C07">
        <w:fldChar w:fldCharType="end"/>
      </w:r>
      <w:r w:rsidRPr="00220C07">
        <w:instrText>&lt;&gt; N "&gt;"</w:instrText>
      </w:r>
      <w:r w:rsidRPr="00220C07">
        <w:fldChar w:fldCharType="end"/>
      </w:r>
      <w:r w:rsidRPr="00220C07">
        <w:instrText>" "</w:instrText>
      </w:r>
      <w:r w:rsidRPr="00220C07">
        <w:fldChar w:fldCharType="begin"/>
      </w:r>
      <w:r w:rsidRPr="00220C07">
        <w:instrText>QUOTE ""</w:instrText>
      </w:r>
      <w:r w:rsidRPr="00220C07">
        <w:fldChar w:fldCharType="end"/>
      </w:r>
      <w:r w:rsidRPr="00220C07">
        <w:instrText>"</w:instrText>
      </w:r>
      <w:r w:rsidRPr="00220C07">
        <w:fldChar w:fldCharType="end"/>
      </w:r>
      <w:r w:rsidRPr="00220C07">
        <w:rPr>
          <w:rStyle w:val="stdpublisher"/>
          <w:shd w:val="clear" w:color="auto" w:fill="auto"/>
        </w:rPr>
        <w:t>prEN</w:t>
      </w:r>
      <w:r w:rsidRPr="00220C07">
        <w:t> </w:t>
      </w:r>
      <w:r w:rsidRPr="00220C07">
        <w:rPr>
          <w:rStyle w:val="stddocNumber"/>
          <w:shd w:val="clear" w:color="auto" w:fill="auto"/>
        </w:rPr>
        <w:t>1994</w:t>
      </w:r>
      <w:r w:rsidRPr="00220C07">
        <w:t>-</w:t>
      </w:r>
      <w:r w:rsidRPr="00220C07">
        <w:rPr>
          <w:rStyle w:val="stddocPartNumber"/>
          <w:shd w:val="clear" w:color="auto" w:fill="auto"/>
        </w:rPr>
        <w:t>1-1</w:t>
      </w:r>
      <w:r w:rsidRPr="00220C07">
        <w:t>:</w:t>
      </w:r>
      <w:r w:rsidRPr="00220C07">
        <w:rPr>
          <w:rStyle w:val="stdyear"/>
          <w:shd w:val="clear" w:color="auto" w:fill="auto"/>
        </w:rPr>
        <w:t>—</w:t>
      </w:r>
      <w:r w:rsidRPr="00220C07">
        <w:t>,</w:t>
      </w:r>
      <w:r w:rsidRPr="00220C07">
        <w:rPr>
          <w:rStyle w:val="FootnoteReference"/>
        </w:rPr>
        <w:footnoteReference w:id="1"/>
      </w:r>
      <w:r w:rsidRPr="00220C07">
        <w:t xml:space="preserve"> </w:t>
      </w:r>
      <w:r w:rsidRPr="00220C07">
        <w:rPr>
          <w:rStyle w:val="stddocTitle"/>
          <w:i w:val="0"/>
          <w:shd w:val="clear" w:color="auto" w:fill="auto"/>
        </w:rPr>
        <w:t>Eurocode 4 — Design of composite steel and concrete structures — Part 1-1: General rules and rules for buildings</w:t>
      </w:r>
      <w:r w:rsidRPr="00220C07">
        <w:rPr>
          <w:rStyle w:val="stddocTitle"/>
          <w:shd w:val="clear" w:color="auto" w:fill="auto"/>
        </w:rPr>
        <w:t xml:space="preserve"> (under development)</w:t>
      </w:r>
      <w:r w:rsidRPr="00220C07">
        <w:fldChar w:fldCharType="begin"/>
      </w:r>
      <w:r w:rsidRPr="00220C07">
        <w:instrText>IF "x_-3" "</w:instrText>
      </w:r>
      <w:r w:rsidRPr="00220C07">
        <w:fldChar w:fldCharType="begin"/>
      </w:r>
      <w:r w:rsidRPr="00220C07">
        <w:instrText>IF</w:instrText>
      </w:r>
      <w:r w:rsidRPr="00220C07">
        <w:fldChar w:fldCharType="begin"/>
      </w:r>
      <w:r w:rsidRPr="00220C07">
        <w:instrText>DOCPROPERTY "x_t"</w:instrText>
      </w:r>
      <w:r w:rsidRPr="00220C07">
        <w:fldChar w:fldCharType="separate"/>
      </w:r>
      <w:r>
        <w:instrText>N</w:instrText>
      </w:r>
      <w:r w:rsidRPr="00220C07">
        <w:fldChar w:fldCharType="end"/>
      </w:r>
      <w:r w:rsidRPr="00220C07">
        <w:instrText>&lt;&gt; N "&lt;/</w:instrText>
      </w:r>
      <w:r w:rsidRPr="00220C07">
        <w:fldChar w:fldCharType="begin"/>
      </w:r>
      <w:r w:rsidRPr="00220C07">
        <w:instrText>QUOTE "std"</w:instrText>
      </w:r>
      <w:r w:rsidRPr="00220C07">
        <w:fldChar w:fldCharType="separate"/>
      </w:r>
      <w:r w:rsidRPr="00220C07">
        <w:instrText>std</w:instrText>
      </w:r>
      <w:r w:rsidRPr="00220C07">
        <w:fldChar w:fldCharType="end"/>
      </w:r>
      <w:r w:rsidRPr="00220C07">
        <w:instrText>"</w:instrText>
      </w:r>
      <w:r w:rsidRPr="00220C07">
        <w:fldChar w:fldCharType="end"/>
      </w:r>
      <w:r w:rsidRPr="00220C07">
        <w:fldChar w:fldCharType="begin"/>
      </w:r>
      <w:r w:rsidRPr="00220C07">
        <w:instrText>IF</w:instrText>
      </w:r>
      <w:r w:rsidRPr="00220C07">
        <w:fldChar w:fldCharType="begin"/>
      </w:r>
      <w:r w:rsidRPr="00220C07">
        <w:instrText>DOCPROPERTY "x_t"</w:instrText>
      </w:r>
      <w:r w:rsidRPr="00220C07">
        <w:fldChar w:fldCharType="separate"/>
      </w:r>
      <w:r>
        <w:instrText>N</w:instrText>
      </w:r>
      <w:r w:rsidRPr="00220C07">
        <w:fldChar w:fldCharType="end"/>
      </w:r>
      <w:r w:rsidRPr="00220C07">
        <w:instrText>&lt;&gt; N "&gt;"</w:instrText>
      </w:r>
      <w:r w:rsidRPr="00220C07">
        <w:fldChar w:fldCharType="end"/>
      </w:r>
      <w:r w:rsidRPr="00220C07">
        <w:instrText>" ""</w:instrText>
      </w:r>
      <w:r w:rsidRPr="00220C07">
        <w:fldChar w:fldCharType="end"/>
      </w:r>
    </w:p>
    <w:p w14:paraId="076D3FFA" w14:textId="2F5A2B71" w:rsidR="00E37E2C" w:rsidRPr="00220C07" w:rsidRDefault="00E37E2C" w:rsidP="00E37E2C">
      <w:pPr>
        <w:pStyle w:val="BiblioEntry"/>
      </w:pPr>
      <w:r w:rsidRPr="00220C07">
        <w:fldChar w:fldCharType="begin"/>
      </w:r>
      <w:r w:rsidRPr="00220C07">
        <w:instrText>IF "x_+3" "</w:instrText>
      </w:r>
      <w:r w:rsidRPr="00220C07">
        <w:fldChar w:fldCharType="begin"/>
      </w:r>
      <w:r w:rsidRPr="00220C07">
        <w:instrText>IF</w:instrText>
      </w:r>
      <w:r w:rsidRPr="00220C07">
        <w:fldChar w:fldCharType="begin"/>
      </w:r>
      <w:r w:rsidRPr="00220C07">
        <w:instrText>DOCPROPERTY "x_t"</w:instrText>
      </w:r>
      <w:r w:rsidRPr="00220C07">
        <w:fldChar w:fldCharType="separate"/>
      </w:r>
      <w:r>
        <w:instrText>N</w:instrText>
      </w:r>
      <w:r w:rsidRPr="00220C07">
        <w:fldChar w:fldCharType="end"/>
      </w:r>
      <w:r w:rsidRPr="00220C07">
        <w:instrText>&lt;&gt; N "&lt;</w:instrText>
      </w:r>
      <w:r w:rsidRPr="00220C07">
        <w:fldChar w:fldCharType="begin"/>
      </w:r>
      <w:r w:rsidRPr="00220C07">
        <w:instrText>QUOTE "std"</w:instrText>
      </w:r>
      <w:r w:rsidRPr="00220C07">
        <w:fldChar w:fldCharType="separate"/>
      </w:r>
      <w:r w:rsidRPr="00220C07">
        <w:instrText>std</w:instrText>
      </w:r>
      <w:r w:rsidRPr="00220C07">
        <w:fldChar w:fldCharType="end"/>
      </w:r>
      <w:r w:rsidRPr="00220C07">
        <w:instrText>"</w:instrText>
      </w:r>
      <w:r w:rsidRPr="00220C07">
        <w:fldChar w:fldCharType="end"/>
      </w:r>
      <w:r w:rsidRPr="00220C07">
        <w:fldChar w:fldCharType="begin"/>
      </w:r>
      <w:r w:rsidRPr="00220C07">
        <w:instrText>IF</w:instrText>
      </w:r>
      <w:r w:rsidRPr="00220C07">
        <w:fldChar w:fldCharType="begin"/>
      </w:r>
      <w:r w:rsidRPr="00220C07">
        <w:instrText>= AND(</w:instrText>
      </w:r>
      <w:r w:rsidRPr="00220C07">
        <w:fldChar w:fldCharType="begin"/>
      </w:r>
      <w:r w:rsidRPr="00220C07">
        <w:instrText>COMPARE</w:instrText>
      </w:r>
      <w:r w:rsidRPr="00220C07">
        <w:fldChar w:fldCharType="begin"/>
      </w:r>
      <w:r w:rsidRPr="00220C07">
        <w:instrText>DOCPROPERTY "x_t"</w:instrText>
      </w:r>
      <w:r w:rsidRPr="00220C07">
        <w:fldChar w:fldCharType="separate"/>
      </w:r>
      <w:r>
        <w:instrText>N</w:instrText>
      </w:r>
      <w:r w:rsidRPr="00220C07">
        <w:fldChar w:fldCharType="end"/>
      </w:r>
      <w:r w:rsidRPr="00220C07">
        <w:instrText>&lt;&gt; N</w:instrText>
      </w:r>
      <w:r w:rsidRPr="00220C07">
        <w:fldChar w:fldCharType="separate"/>
      </w:r>
      <w:r>
        <w:rPr>
          <w:noProof/>
        </w:rPr>
        <w:instrText>0</w:instrText>
      </w:r>
      <w:r w:rsidRPr="00220C07">
        <w:fldChar w:fldCharType="end"/>
      </w:r>
      <w:r w:rsidRPr="00220C07">
        <w:instrText>,</w:instrText>
      </w:r>
      <w:r w:rsidRPr="00220C07">
        <w:fldChar w:fldCharType="begin"/>
      </w:r>
      <w:r w:rsidRPr="00220C07">
        <w:instrText>COMPARE</w:instrText>
      </w:r>
      <w:r w:rsidRPr="00220C07">
        <w:fldChar w:fldCharType="begin"/>
      </w:r>
      <w:r w:rsidRPr="00220C07">
        <w:instrText>DOCPROPERTY "x_a"</w:instrText>
      </w:r>
      <w:r w:rsidRPr="00220C07">
        <w:fldChar w:fldCharType="separate"/>
      </w:r>
      <w:r>
        <w:instrText>N</w:instrText>
      </w:r>
      <w:r w:rsidRPr="00220C07">
        <w:fldChar w:fldCharType="end"/>
      </w:r>
      <w:r w:rsidRPr="00220C07">
        <w:instrText>&lt;&gt; N</w:instrText>
      </w:r>
      <w:r w:rsidRPr="00220C07">
        <w:fldChar w:fldCharType="separate"/>
      </w:r>
      <w:r>
        <w:rPr>
          <w:noProof/>
        </w:rPr>
        <w:instrText>0</w:instrText>
      </w:r>
      <w:r w:rsidRPr="00220C07">
        <w:fldChar w:fldCharType="end"/>
      </w:r>
      <w:r w:rsidRPr="00220C07">
        <w:instrText>)</w:instrText>
      </w:r>
      <w:r w:rsidRPr="00220C07">
        <w:fldChar w:fldCharType="separate"/>
      </w:r>
      <w:r>
        <w:rPr>
          <w:b/>
          <w:noProof/>
        </w:rPr>
        <w:instrText>!Syntax Error, ,,</w:instrText>
      </w:r>
      <w:r w:rsidRPr="00220C07">
        <w:fldChar w:fldCharType="end"/>
      </w:r>
      <w:r w:rsidRPr="00220C07">
        <w:instrText>= 1 "</w:instrText>
      </w:r>
      <w:r w:rsidRPr="00220C07">
        <w:fldChar w:fldCharType="begin"/>
      </w:r>
      <w:r w:rsidRPr="00220C07">
        <w:instrText>QUOTE ""</w:instrText>
      </w:r>
      <w:r w:rsidRPr="00220C07">
        <w:fldChar w:fldCharType="end"/>
      </w:r>
      <w:r w:rsidRPr="00220C07">
        <w:instrText>"</w:instrText>
      </w:r>
      <w:r w:rsidRPr="00220C07">
        <w:fldChar w:fldCharType="end"/>
      </w:r>
      <w:r w:rsidRPr="00220C07">
        <w:fldChar w:fldCharType="begin"/>
      </w:r>
      <w:r w:rsidRPr="00220C07">
        <w:instrText>IF</w:instrText>
      </w:r>
      <w:r w:rsidRPr="00220C07">
        <w:fldChar w:fldCharType="begin"/>
      </w:r>
      <w:r w:rsidRPr="00220C07">
        <w:instrText>DOCPROPERTY "x_t"</w:instrText>
      </w:r>
      <w:r w:rsidRPr="00220C07">
        <w:fldChar w:fldCharType="separate"/>
      </w:r>
      <w:r>
        <w:instrText>N</w:instrText>
      </w:r>
      <w:r w:rsidRPr="00220C07">
        <w:fldChar w:fldCharType="end"/>
      </w:r>
      <w:r w:rsidRPr="00220C07">
        <w:instrText>&lt;&gt; N "&gt;"</w:instrText>
      </w:r>
      <w:r w:rsidRPr="00220C07">
        <w:fldChar w:fldCharType="end"/>
      </w:r>
      <w:r w:rsidRPr="00220C07">
        <w:instrText>" "</w:instrText>
      </w:r>
      <w:r w:rsidRPr="00220C07">
        <w:fldChar w:fldCharType="begin"/>
      </w:r>
      <w:r w:rsidRPr="00220C07">
        <w:instrText>QUOTE ""</w:instrText>
      </w:r>
      <w:r w:rsidRPr="00220C07">
        <w:fldChar w:fldCharType="end"/>
      </w:r>
      <w:r w:rsidRPr="00220C07">
        <w:instrText>"</w:instrText>
      </w:r>
      <w:r w:rsidRPr="00220C07">
        <w:fldChar w:fldCharType="end"/>
      </w:r>
      <w:r w:rsidRPr="00220C07">
        <w:rPr>
          <w:rStyle w:val="stdpublisher"/>
          <w:shd w:val="clear" w:color="auto" w:fill="auto"/>
        </w:rPr>
        <w:t>prEN</w:t>
      </w:r>
      <w:r w:rsidRPr="00220C07">
        <w:t> </w:t>
      </w:r>
      <w:r w:rsidRPr="00220C07">
        <w:rPr>
          <w:rStyle w:val="stddocNumber"/>
          <w:shd w:val="clear" w:color="auto" w:fill="auto"/>
        </w:rPr>
        <w:t>1995</w:t>
      </w:r>
      <w:r w:rsidRPr="00220C07">
        <w:t>-</w:t>
      </w:r>
      <w:r w:rsidRPr="00220C07">
        <w:rPr>
          <w:rStyle w:val="stddocPartNumber"/>
          <w:shd w:val="clear" w:color="auto" w:fill="auto"/>
        </w:rPr>
        <w:t>3</w:t>
      </w:r>
      <w:r w:rsidRPr="00220C07">
        <w:t xml:space="preserve">, </w:t>
      </w:r>
      <w:r w:rsidRPr="00220C07">
        <w:rPr>
          <w:rStyle w:val="stddocTitle"/>
          <w:shd w:val="clear" w:color="auto" w:fill="auto"/>
        </w:rPr>
        <w:t>Eurocode 5 — Design of timber structures — Part 3: Execution</w:t>
      </w:r>
      <w:r w:rsidRPr="00220C07">
        <w:fldChar w:fldCharType="begin"/>
      </w:r>
      <w:r w:rsidRPr="00220C07">
        <w:instrText>IF "x_-3" "</w:instrText>
      </w:r>
      <w:r w:rsidRPr="00220C07">
        <w:fldChar w:fldCharType="begin"/>
      </w:r>
      <w:r w:rsidRPr="00220C07">
        <w:instrText>IF</w:instrText>
      </w:r>
      <w:r w:rsidRPr="00220C07">
        <w:fldChar w:fldCharType="begin"/>
      </w:r>
      <w:r w:rsidRPr="00220C07">
        <w:instrText>DOCPROPERTY "x_t"</w:instrText>
      </w:r>
      <w:r w:rsidRPr="00220C07">
        <w:fldChar w:fldCharType="separate"/>
      </w:r>
      <w:r>
        <w:instrText>N</w:instrText>
      </w:r>
      <w:r w:rsidRPr="00220C07">
        <w:fldChar w:fldCharType="end"/>
      </w:r>
      <w:r w:rsidRPr="00220C07">
        <w:instrText>&lt;&gt; N "&lt;/</w:instrText>
      </w:r>
      <w:r w:rsidRPr="00220C07">
        <w:fldChar w:fldCharType="begin"/>
      </w:r>
      <w:r w:rsidRPr="00220C07">
        <w:instrText>QUOTE "std"</w:instrText>
      </w:r>
      <w:r w:rsidRPr="00220C07">
        <w:fldChar w:fldCharType="separate"/>
      </w:r>
      <w:r w:rsidRPr="00220C07">
        <w:instrText>std</w:instrText>
      </w:r>
      <w:r w:rsidRPr="00220C07">
        <w:fldChar w:fldCharType="end"/>
      </w:r>
      <w:r w:rsidRPr="00220C07">
        <w:instrText>"</w:instrText>
      </w:r>
      <w:r w:rsidRPr="00220C07">
        <w:fldChar w:fldCharType="end"/>
      </w:r>
      <w:r w:rsidRPr="00220C07">
        <w:fldChar w:fldCharType="begin"/>
      </w:r>
      <w:r w:rsidRPr="00220C07">
        <w:instrText>IF</w:instrText>
      </w:r>
      <w:r w:rsidRPr="00220C07">
        <w:fldChar w:fldCharType="begin"/>
      </w:r>
      <w:r w:rsidRPr="00220C07">
        <w:instrText>DOCPROPERTY "x_t"</w:instrText>
      </w:r>
      <w:r w:rsidRPr="00220C07">
        <w:fldChar w:fldCharType="separate"/>
      </w:r>
      <w:r>
        <w:instrText>N</w:instrText>
      </w:r>
      <w:r w:rsidRPr="00220C07">
        <w:fldChar w:fldCharType="end"/>
      </w:r>
      <w:r w:rsidRPr="00220C07">
        <w:instrText>&lt;&gt; N "&gt;"</w:instrText>
      </w:r>
      <w:r w:rsidRPr="00220C07">
        <w:fldChar w:fldCharType="end"/>
      </w:r>
      <w:r w:rsidRPr="00220C07">
        <w:instrText>" ""</w:instrText>
      </w:r>
      <w:r w:rsidRPr="00220C07">
        <w:fldChar w:fldCharType="end"/>
      </w:r>
    </w:p>
    <w:p w14:paraId="053C00F0" w14:textId="555AF999" w:rsidR="00E37E2C" w:rsidRPr="00220C07" w:rsidRDefault="00E37E2C" w:rsidP="00E37E2C">
      <w:pPr>
        <w:pStyle w:val="BiblioEntry"/>
      </w:pPr>
      <w:r w:rsidRPr="00220C07">
        <w:fldChar w:fldCharType="begin"/>
      </w:r>
      <w:r w:rsidRPr="00220C07">
        <w:instrText>IF "x_+3" "</w:instrText>
      </w:r>
      <w:r w:rsidRPr="00220C07">
        <w:fldChar w:fldCharType="begin"/>
      </w:r>
      <w:r w:rsidRPr="00220C07">
        <w:instrText>IF</w:instrText>
      </w:r>
      <w:r w:rsidRPr="00220C07">
        <w:fldChar w:fldCharType="begin"/>
      </w:r>
      <w:r w:rsidRPr="00220C07">
        <w:instrText>DOCPROPERTY "x_t"</w:instrText>
      </w:r>
      <w:r w:rsidRPr="00220C07">
        <w:fldChar w:fldCharType="separate"/>
      </w:r>
      <w:r>
        <w:instrText>N</w:instrText>
      </w:r>
      <w:r w:rsidRPr="00220C07">
        <w:fldChar w:fldCharType="end"/>
      </w:r>
      <w:r w:rsidRPr="00220C07">
        <w:instrText>&lt;&gt; N "&lt;</w:instrText>
      </w:r>
      <w:r w:rsidRPr="00220C07">
        <w:fldChar w:fldCharType="begin"/>
      </w:r>
      <w:r w:rsidRPr="00220C07">
        <w:instrText>QUOTE "std"</w:instrText>
      </w:r>
      <w:r w:rsidRPr="00220C07">
        <w:fldChar w:fldCharType="separate"/>
      </w:r>
      <w:r w:rsidRPr="00220C07">
        <w:instrText>std</w:instrText>
      </w:r>
      <w:r w:rsidRPr="00220C07">
        <w:fldChar w:fldCharType="end"/>
      </w:r>
      <w:r w:rsidRPr="00220C07">
        <w:instrText>"</w:instrText>
      </w:r>
      <w:r w:rsidRPr="00220C07">
        <w:fldChar w:fldCharType="end"/>
      </w:r>
      <w:r w:rsidRPr="00220C07">
        <w:fldChar w:fldCharType="begin"/>
      </w:r>
      <w:r w:rsidRPr="00220C07">
        <w:instrText>IF</w:instrText>
      </w:r>
      <w:r w:rsidRPr="00220C07">
        <w:fldChar w:fldCharType="begin"/>
      </w:r>
      <w:r w:rsidRPr="00220C07">
        <w:instrText>= AND(</w:instrText>
      </w:r>
      <w:r w:rsidRPr="00220C07">
        <w:fldChar w:fldCharType="begin"/>
      </w:r>
      <w:r w:rsidRPr="00220C07">
        <w:instrText>COMPARE</w:instrText>
      </w:r>
      <w:r w:rsidRPr="00220C07">
        <w:fldChar w:fldCharType="begin"/>
      </w:r>
      <w:r w:rsidRPr="00220C07">
        <w:instrText>DOCPROPERTY "x_t"</w:instrText>
      </w:r>
      <w:r w:rsidRPr="00220C07">
        <w:fldChar w:fldCharType="separate"/>
      </w:r>
      <w:r>
        <w:instrText>N</w:instrText>
      </w:r>
      <w:r w:rsidRPr="00220C07">
        <w:fldChar w:fldCharType="end"/>
      </w:r>
      <w:r w:rsidRPr="00220C07">
        <w:instrText>&lt;&gt; N</w:instrText>
      </w:r>
      <w:r w:rsidRPr="00220C07">
        <w:fldChar w:fldCharType="separate"/>
      </w:r>
      <w:r>
        <w:rPr>
          <w:noProof/>
        </w:rPr>
        <w:instrText>0</w:instrText>
      </w:r>
      <w:r w:rsidRPr="00220C07">
        <w:fldChar w:fldCharType="end"/>
      </w:r>
      <w:r w:rsidRPr="00220C07">
        <w:instrText>,</w:instrText>
      </w:r>
      <w:r w:rsidRPr="00220C07">
        <w:fldChar w:fldCharType="begin"/>
      </w:r>
      <w:r w:rsidRPr="00220C07">
        <w:instrText>COMPARE</w:instrText>
      </w:r>
      <w:r w:rsidRPr="00220C07">
        <w:fldChar w:fldCharType="begin"/>
      </w:r>
      <w:r w:rsidRPr="00220C07">
        <w:instrText>DOCPROPERTY "x_a"</w:instrText>
      </w:r>
      <w:r w:rsidRPr="00220C07">
        <w:fldChar w:fldCharType="separate"/>
      </w:r>
      <w:r>
        <w:instrText>N</w:instrText>
      </w:r>
      <w:r w:rsidRPr="00220C07">
        <w:fldChar w:fldCharType="end"/>
      </w:r>
      <w:r w:rsidRPr="00220C07">
        <w:instrText>&lt;&gt; N</w:instrText>
      </w:r>
      <w:r w:rsidRPr="00220C07">
        <w:fldChar w:fldCharType="separate"/>
      </w:r>
      <w:r>
        <w:rPr>
          <w:noProof/>
        </w:rPr>
        <w:instrText>0</w:instrText>
      </w:r>
      <w:r w:rsidRPr="00220C07">
        <w:fldChar w:fldCharType="end"/>
      </w:r>
      <w:r w:rsidRPr="00220C07">
        <w:instrText>)</w:instrText>
      </w:r>
      <w:r w:rsidRPr="00220C07">
        <w:fldChar w:fldCharType="separate"/>
      </w:r>
      <w:r>
        <w:rPr>
          <w:b/>
          <w:noProof/>
        </w:rPr>
        <w:instrText>!Syntax Error, ,,</w:instrText>
      </w:r>
      <w:r w:rsidRPr="00220C07">
        <w:fldChar w:fldCharType="end"/>
      </w:r>
      <w:r w:rsidRPr="00220C07">
        <w:instrText>= 1 "</w:instrText>
      </w:r>
      <w:r w:rsidRPr="00220C07">
        <w:fldChar w:fldCharType="begin"/>
      </w:r>
      <w:r w:rsidRPr="00220C07">
        <w:instrText>QUOTE ""</w:instrText>
      </w:r>
      <w:r w:rsidRPr="00220C07">
        <w:fldChar w:fldCharType="end"/>
      </w:r>
      <w:r w:rsidRPr="00220C07">
        <w:instrText>"</w:instrText>
      </w:r>
      <w:r w:rsidRPr="00220C07">
        <w:fldChar w:fldCharType="end"/>
      </w:r>
      <w:r w:rsidRPr="00220C07">
        <w:fldChar w:fldCharType="begin"/>
      </w:r>
      <w:r w:rsidRPr="00220C07">
        <w:instrText>IF</w:instrText>
      </w:r>
      <w:r w:rsidRPr="00220C07">
        <w:fldChar w:fldCharType="begin"/>
      </w:r>
      <w:r w:rsidRPr="00220C07">
        <w:instrText>DOCPROPERTY "x_t"</w:instrText>
      </w:r>
      <w:r w:rsidRPr="00220C07">
        <w:fldChar w:fldCharType="separate"/>
      </w:r>
      <w:r>
        <w:instrText>N</w:instrText>
      </w:r>
      <w:r w:rsidRPr="00220C07">
        <w:fldChar w:fldCharType="end"/>
      </w:r>
      <w:r w:rsidRPr="00220C07">
        <w:instrText>&lt;&gt; N "&gt;"</w:instrText>
      </w:r>
      <w:r w:rsidRPr="00220C07">
        <w:fldChar w:fldCharType="end"/>
      </w:r>
      <w:r w:rsidRPr="00220C07">
        <w:instrText>" "</w:instrText>
      </w:r>
      <w:r w:rsidRPr="00220C07">
        <w:fldChar w:fldCharType="begin"/>
      </w:r>
      <w:r w:rsidRPr="00220C07">
        <w:instrText>QUOTE ""</w:instrText>
      </w:r>
      <w:r w:rsidRPr="00220C07">
        <w:fldChar w:fldCharType="end"/>
      </w:r>
      <w:r w:rsidRPr="00220C07">
        <w:instrText>"</w:instrText>
      </w:r>
      <w:r w:rsidRPr="00220C07">
        <w:fldChar w:fldCharType="end"/>
      </w:r>
      <w:r w:rsidRPr="00220C07">
        <w:rPr>
          <w:rStyle w:val="stdpublisher"/>
          <w:shd w:val="clear" w:color="auto" w:fill="auto"/>
        </w:rPr>
        <w:t>EN</w:t>
      </w:r>
      <w:r w:rsidRPr="00220C07">
        <w:t> </w:t>
      </w:r>
      <w:r w:rsidRPr="00220C07">
        <w:rPr>
          <w:rStyle w:val="stddocNumber"/>
          <w:shd w:val="clear" w:color="auto" w:fill="auto"/>
        </w:rPr>
        <w:t>1996</w:t>
      </w:r>
      <w:r w:rsidRPr="00220C07">
        <w:noBreakHyphen/>
      </w:r>
      <w:r w:rsidRPr="00220C07">
        <w:rPr>
          <w:rStyle w:val="stddocPartNumber"/>
          <w:shd w:val="clear" w:color="auto" w:fill="auto"/>
        </w:rPr>
        <w:t>1-1</w:t>
      </w:r>
      <w:r w:rsidRPr="00220C07">
        <w:t>:</w:t>
      </w:r>
      <w:r w:rsidRPr="00220C07">
        <w:rPr>
          <w:rStyle w:val="stdyear"/>
          <w:shd w:val="clear" w:color="auto" w:fill="auto"/>
        </w:rPr>
        <w:t>2022</w:t>
      </w:r>
      <w:r w:rsidRPr="00220C07">
        <w:t xml:space="preserve">, </w:t>
      </w:r>
      <w:r w:rsidRPr="00220C07">
        <w:rPr>
          <w:rStyle w:val="stddocTitle"/>
          <w:shd w:val="clear" w:color="auto" w:fill="auto"/>
        </w:rPr>
        <w:t>Eurocode 6 — Design of masonry structures — Part 1-1: General rules for reinforced and unreinforced masonry</w:t>
      </w:r>
      <w:r w:rsidRPr="00220C07">
        <w:fldChar w:fldCharType="begin"/>
      </w:r>
      <w:r w:rsidRPr="00220C07">
        <w:instrText>IF "x_-3" "</w:instrText>
      </w:r>
      <w:r w:rsidRPr="00220C07">
        <w:fldChar w:fldCharType="begin"/>
      </w:r>
      <w:r w:rsidRPr="00220C07">
        <w:instrText>IF</w:instrText>
      </w:r>
      <w:r w:rsidRPr="00220C07">
        <w:fldChar w:fldCharType="begin"/>
      </w:r>
      <w:r w:rsidRPr="00220C07">
        <w:instrText>DOCPROPERTY "x_t"</w:instrText>
      </w:r>
      <w:r w:rsidRPr="00220C07">
        <w:fldChar w:fldCharType="separate"/>
      </w:r>
      <w:r>
        <w:instrText>N</w:instrText>
      </w:r>
      <w:r w:rsidRPr="00220C07">
        <w:fldChar w:fldCharType="end"/>
      </w:r>
      <w:r w:rsidRPr="00220C07">
        <w:instrText>&lt;&gt; N "&lt;/</w:instrText>
      </w:r>
      <w:r w:rsidRPr="00220C07">
        <w:fldChar w:fldCharType="begin"/>
      </w:r>
      <w:r w:rsidRPr="00220C07">
        <w:instrText>QUOTE "std"</w:instrText>
      </w:r>
      <w:r w:rsidRPr="00220C07">
        <w:fldChar w:fldCharType="separate"/>
      </w:r>
      <w:r w:rsidRPr="00220C07">
        <w:instrText>std</w:instrText>
      </w:r>
      <w:r w:rsidRPr="00220C07">
        <w:fldChar w:fldCharType="end"/>
      </w:r>
      <w:r w:rsidRPr="00220C07">
        <w:instrText>"</w:instrText>
      </w:r>
      <w:r w:rsidRPr="00220C07">
        <w:fldChar w:fldCharType="end"/>
      </w:r>
      <w:r w:rsidRPr="00220C07">
        <w:fldChar w:fldCharType="begin"/>
      </w:r>
      <w:r w:rsidRPr="00220C07">
        <w:instrText>IF</w:instrText>
      </w:r>
      <w:r w:rsidRPr="00220C07">
        <w:fldChar w:fldCharType="begin"/>
      </w:r>
      <w:r w:rsidRPr="00220C07">
        <w:instrText>DOCPROPERTY "x_t"</w:instrText>
      </w:r>
      <w:r w:rsidRPr="00220C07">
        <w:fldChar w:fldCharType="separate"/>
      </w:r>
      <w:r>
        <w:instrText>N</w:instrText>
      </w:r>
      <w:r w:rsidRPr="00220C07">
        <w:fldChar w:fldCharType="end"/>
      </w:r>
      <w:r w:rsidRPr="00220C07">
        <w:instrText>&lt;&gt; N "&gt;"</w:instrText>
      </w:r>
      <w:r w:rsidRPr="00220C07">
        <w:fldChar w:fldCharType="end"/>
      </w:r>
      <w:r w:rsidRPr="00220C07">
        <w:instrText>" ""</w:instrText>
      </w:r>
      <w:r w:rsidRPr="00220C07">
        <w:fldChar w:fldCharType="end"/>
      </w:r>
    </w:p>
    <w:p w14:paraId="69FCA39E" w14:textId="73F0D76C" w:rsidR="00E37E2C" w:rsidRPr="00220C07" w:rsidRDefault="00E37E2C" w:rsidP="00E37E2C">
      <w:pPr>
        <w:pStyle w:val="BiblioEntry"/>
      </w:pPr>
      <w:r w:rsidRPr="00220C07">
        <w:fldChar w:fldCharType="begin"/>
      </w:r>
      <w:r w:rsidRPr="00220C07">
        <w:instrText>IF "x_+3" "</w:instrText>
      </w:r>
      <w:r w:rsidRPr="00220C07">
        <w:fldChar w:fldCharType="begin"/>
      </w:r>
      <w:r w:rsidRPr="00220C07">
        <w:instrText>IF</w:instrText>
      </w:r>
      <w:r w:rsidRPr="00220C07">
        <w:fldChar w:fldCharType="begin"/>
      </w:r>
      <w:r w:rsidRPr="00220C07">
        <w:instrText>DOCPROPERTY "x_t"</w:instrText>
      </w:r>
      <w:r w:rsidRPr="00220C07">
        <w:fldChar w:fldCharType="separate"/>
      </w:r>
      <w:r>
        <w:instrText>N</w:instrText>
      </w:r>
      <w:r w:rsidRPr="00220C07">
        <w:fldChar w:fldCharType="end"/>
      </w:r>
      <w:r w:rsidRPr="00220C07">
        <w:instrText>&lt;&gt; N "&lt;</w:instrText>
      </w:r>
      <w:r w:rsidRPr="00220C07">
        <w:fldChar w:fldCharType="begin"/>
      </w:r>
      <w:r w:rsidRPr="00220C07">
        <w:instrText>QUOTE "std"</w:instrText>
      </w:r>
      <w:r w:rsidRPr="00220C07">
        <w:fldChar w:fldCharType="separate"/>
      </w:r>
      <w:r w:rsidRPr="00220C07">
        <w:instrText>std</w:instrText>
      </w:r>
      <w:r w:rsidRPr="00220C07">
        <w:fldChar w:fldCharType="end"/>
      </w:r>
      <w:r w:rsidRPr="00220C07">
        <w:instrText>"</w:instrText>
      </w:r>
      <w:r w:rsidRPr="00220C07">
        <w:fldChar w:fldCharType="end"/>
      </w:r>
      <w:r w:rsidRPr="00220C07">
        <w:fldChar w:fldCharType="begin"/>
      </w:r>
      <w:r w:rsidRPr="00220C07">
        <w:instrText>IF</w:instrText>
      </w:r>
      <w:r w:rsidRPr="00220C07">
        <w:fldChar w:fldCharType="begin"/>
      </w:r>
      <w:r w:rsidRPr="00220C07">
        <w:instrText>= AND(</w:instrText>
      </w:r>
      <w:r w:rsidRPr="00220C07">
        <w:fldChar w:fldCharType="begin"/>
      </w:r>
      <w:r w:rsidRPr="00220C07">
        <w:instrText>COMPARE</w:instrText>
      </w:r>
      <w:r w:rsidRPr="00220C07">
        <w:fldChar w:fldCharType="begin"/>
      </w:r>
      <w:r w:rsidRPr="00220C07">
        <w:instrText>DOCPROPERTY "x_t"</w:instrText>
      </w:r>
      <w:r w:rsidRPr="00220C07">
        <w:fldChar w:fldCharType="separate"/>
      </w:r>
      <w:r>
        <w:instrText>N</w:instrText>
      </w:r>
      <w:r w:rsidRPr="00220C07">
        <w:fldChar w:fldCharType="end"/>
      </w:r>
      <w:r w:rsidRPr="00220C07">
        <w:instrText>&lt;&gt; N</w:instrText>
      </w:r>
      <w:r w:rsidRPr="00220C07">
        <w:fldChar w:fldCharType="separate"/>
      </w:r>
      <w:r>
        <w:rPr>
          <w:noProof/>
        </w:rPr>
        <w:instrText>0</w:instrText>
      </w:r>
      <w:r w:rsidRPr="00220C07">
        <w:fldChar w:fldCharType="end"/>
      </w:r>
      <w:r w:rsidRPr="00220C07">
        <w:instrText>,</w:instrText>
      </w:r>
      <w:r w:rsidRPr="00220C07">
        <w:fldChar w:fldCharType="begin"/>
      </w:r>
      <w:r w:rsidRPr="00220C07">
        <w:instrText>COMPARE</w:instrText>
      </w:r>
      <w:r w:rsidRPr="00220C07">
        <w:fldChar w:fldCharType="begin"/>
      </w:r>
      <w:r w:rsidRPr="00220C07">
        <w:instrText>DOCPROPERTY "x_a"</w:instrText>
      </w:r>
      <w:r w:rsidRPr="00220C07">
        <w:fldChar w:fldCharType="separate"/>
      </w:r>
      <w:r>
        <w:instrText>N</w:instrText>
      </w:r>
      <w:r w:rsidRPr="00220C07">
        <w:fldChar w:fldCharType="end"/>
      </w:r>
      <w:r w:rsidRPr="00220C07">
        <w:instrText>&lt;&gt; N</w:instrText>
      </w:r>
      <w:r w:rsidRPr="00220C07">
        <w:fldChar w:fldCharType="separate"/>
      </w:r>
      <w:r>
        <w:rPr>
          <w:noProof/>
        </w:rPr>
        <w:instrText>0</w:instrText>
      </w:r>
      <w:r w:rsidRPr="00220C07">
        <w:fldChar w:fldCharType="end"/>
      </w:r>
      <w:r w:rsidRPr="00220C07">
        <w:instrText>)</w:instrText>
      </w:r>
      <w:r w:rsidRPr="00220C07">
        <w:fldChar w:fldCharType="separate"/>
      </w:r>
      <w:r>
        <w:rPr>
          <w:b/>
          <w:noProof/>
        </w:rPr>
        <w:instrText>!Syntax Error, ,,</w:instrText>
      </w:r>
      <w:r w:rsidRPr="00220C07">
        <w:fldChar w:fldCharType="end"/>
      </w:r>
      <w:r w:rsidRPr="00220C07">
        <w:instrText>= 1 "</w:instrText>
      </w:r>
      <w:r w:rsidRPr="00220C07">
        <w:fldChar w:fldCharType="begin"/>
      </w:r>
      <w:r w:rsidRPr="00220C07">
        <w:instrText>QUOTE ""</w:instrText>
      </w:r>
      <w:r w:rsidRPr="00220C07">
        <w:fldChar w:fldCharType="end"/>
      </w:r>
      <w:r w:rsidRPr="00220C07">
        <w:instrText>"</w:instrText>
      </w:r>
      <w:r w:rsidRPr="00220C07">
        <w:fldChar w:fldCharType="end"/>
      </w:r>
      <w:r w:rsidRPr="00220C07">
        <w:fldChar w:fldCharType="begin"/>
      </w:r>
      <w:r w:rsidRPr="00220C07">
        <w:instrText>IF</w:instrText>
      </w:r>
      <w:r w:rsidRPr="00220C07">
        <w:fldChar w:fldCharType="begin"/>
      </w:r>
      <w:r w:rsidRPr="00220C07">
        <w:instrText>DOCPROPERTY "x_t"</w:instrText>
      </w:r>
      <w:r w:rsidRPr="00220C07">
        <w:fldChar w:fldCharType="separate"/>
      </w:r>
      <w:r>
        <w:instrText>N</w:instrText>
      </w:r>
      <w:r w:rsidRPr="00220C07">
        <w:fldChar w:fldCharType="end"/>
      </w:r>
      <w:r w:rsidRPr="00220C07">
        <w:instrText>&lt;&gt; N "&gt;"</w:instrText>
      </w:r>
      <w:r w:rsidRPr="00220C07">
        <w:fldChar w:fldCharType="end"/>
      </w:r>
      <w:r w:rsidRPr="00220C07">
        <w:instrText>" "</w:instrText>
      </w:r>
      <w:r w:rsidRPr="00220C07">
        <w:fldChar w:fldCharType="begin"/>
      </w:r>
      <w:r w:rsidRPr="00220C07">
        <w:instrText>QUOTE ""</w:instrText>
      </w:r>
      <w:r w:rsidRPr="00220C07">
        <w:fldChar w:fldCharType="end"/>
      </w:r>
      <w:r w:rsidRPr="00220C07">
        <w:instrText>"</w:instrText>
      </w:r>
      <w:r w:rsidRPr="00220C07">
        <w:fldChar w:fldCharType="end"/>
      </w:r>
      <w:r w:rsidRPr="00220C07">
        <w:rPr>
          <w:rStyle w:val="stdpublisher"/>
          <w:shd w:val="clear" w:color="auto" w:fill="auto"/>
        </w:rPr>
        <w:t>prEN</w:t>
      </w:r>
      <w:r w:rsidRPr="00220C07">
        <w:t> </w:t>
      </w:r>
      <w:r w:rsidRPr="00220C07">
        <w:rPr>
          <w:rStyle w:val="stddocNumber"/>
          <w:shd w:val="clear" w:color="auto" w:fill="auto"/>
        </w:rPr>
        <w:t>1998</w:t>
      </w:r>
      <w:r w:rsidRPr="00220C07">
        <w:t>-</w:t>
      </w:r>
      <w:r w:rsidRPr="00220C07">
        <w:rPr>
          <w:rStyle w:val="stddocPartNumber"/>
          <w:shd w:val="clear" w:color="auto" w:fill="auto"/>
        </w:rPr>
        <w:t>3</w:t>
      </w:r>
      <w:r w:rsidRPr="00220C07">
        <w:t>:</w:t>
      </w:r>
      <w:r w:rsidRPr="00220C07">
        <w:rPr>
          <w:rStyle w:val="stdyear"/>
          <w:shd w:val="clear" w:color="auto" w:fill="auto"/>
        </w:rPr>
        <w:t>2023</w:t>
      </w:r>
      <w:r w:rsidRPr="00220C07">
        <w:t xml:space="preserve">, </w:t>
      </w:r>
      <w:r w:rsidRPr="00220C07">
        <w:rPr>
          <w:rStyle w:val="stddocTitle"/>
          <w:shd w:val="clear" w:color="auto" w:fill="auto"/>
        </w:rPr>
        <w:t>Eurocode 8 — Design of structures for earthquake resistance — Part 3: Assessment and retrofitting of buildings and bridges</w:t>
      </w:r>
      <w:r w:rsidRPr="00220C07">
        <w:fldChar w:fldCharType="begin"/>
      </w:r>
      <w:r w:rsidRPr="00220C07">
        <w:instrText>IF "x_-3" "</w:instrText>
      </w:r>
      <w:r w:rsidRPr="00220C07">
        <w:fldChar w:fldCharType="begin"/>
      </w:r>
      <w:r w:rsidRPr="00220C07">
        <w:instrText>IF</w:instrText>
      </w:r>
      <w:r w:rsidRPr="00220C07">
        <w:fldChar w:fldCharType="begin"/>
      </w:r>
      <w:r w:rsidRPr="00220C07">
        <w:instrText>DOCPROPERTY "x_t"</w:instrText>
      </w:r>
      <w:r w:rsidRPr="00220C07">
        <w:fldChar w:fldCharType="separate"/>
      </w:r>
      <w:r>
        <w:instrText>N</w:instrText>
      </w:r>
      <w:r w:rsidRPr="00220C07">
        <w:fldChar w:fldCharType="end"/>
      </w:r>
      <w:r w:rsidRPr="00220C07">
        <w:instrText>&lt;&gt; N "&lt;/</w:instrText>
      </w:r>
      <w:r w:rsidRPr="00220C07">
        <w:fldChar w:fldCharType="begin"/>
      </w:r>
      <w:r w:rsidRPr="00220C07">
        <w:instrText>QUOTE "std"</w:instrText>
      </w:r>
      <w:r w:rsidRPr="00220C07">
        <w:fldChar w:fldCharType="separate"/>
      </w:r>
      <w:r w:rsidRPr="00220C07">
        <w:instrText>std</w:instrText>
      </w:r>
      <w:r w:rsidRPr="00220C07">
        <w:fldChar w:fldCharType="end"/>
      </w:r>
      <w:r w:rsidRPr="00220C07">
        <w:instrText>"</w:instrText>
      </w:r>
      <w:r w:rsidRPr="00220C07">
        <w:fldChar w:fldCharType="end"/>
      </w:r>
      <w:r w:rsidRPr="00220C07">
        <w:fldChar w:fldCharType="begin"/>
      </w:r>
      <w:r w:rsidRPr="00220C07">
        <w:instrText>IF</w:instrText>
      </w:r>
      <w:r w:rsidRPr="00220C07">
        <w:fldChar w:fldCharType="begin"/>
      </w:r>
      <w:r w:rsidRPr="00220C07">
        <w:instrText>DOCPROPERTY "x_t"</w:instrText>
      </w:r>
      <w:r w:rsidRPr="00220C07">
        <w:fldChar w:fldCharType="separate"/>
      </w:r>
      <w:r>
        <w:instrText>N</w:instrText>
      </w:r>
      <w:r w:rsidRPr="00220C07">
        <w:fldChar w:fldCharType="end"/>
      </w:r>
      <w:r w:rsidRPr="00220C07">
        <w:instrText>&lt;&gt; N "&gt;"</w:instrText>
      </w:r>
      <w:r w:rsidRPr="00220C07">
        <w:fldChar w:fldCharType="end"/>
      </w:r>
      <w:r w:rsidRPr="00220C07">
        <w:instrText>" ""</w:instrText>
      </w:r>
      <w:r w:rsidRPr="00220C07">
        <w:fldChar w:fldCharType="end"/>
      </w:r>
    </w:p>
    <w:p w14:paraId="1C1DD997" w14:textId="659B77D1" w:rsidR="00E37E2C" w:rsidRPr="00220C07" w:rsidRDefault="00E37E2C" w:rsidP="00E37E2C">
      <w:pPr>
        <w:pStyle w:val="BiblioEntry"/>
      </w:pPr>
      <w:r w:rsidRPr="00220C07">
        <w:fldChar w:fldCharType="begin"/>
      </w:r>
      <w:r w:rsidRPr="00220C07">
        <w:instrText>IF "x_+3" "</w:instrText>
      </w:r>
      <w:r w:rsidRPr="00220C07">
        <w:fldChar w:fldCharType="begin"/>
      </w:r>
      <w:r w:rsidRPr="00220C07">
        <w:instrText>IF</w:instrText>
      </w:r>
      <w:r w:rsidRPr="00220C07">
        <w:fldChar w:fldCharType="begin"/>
      </w:r>
      <w:r w:rsidRPr="00220C07">
        <w:instrText>DOCPROPERTY "x_t"</w:instrText>
      </w:r>
      <w:r w:rsidRPr="00220C07">
        <w:fldChar w:fldCharType="separate"/>
      </w:r>
      <w:r>
        <w:instrText>N</w:instrText>
      </w:r>
      <w:r w:rsidRPr="00220C07">
        <w:fldChar w:fldCharType="end"/>
      </w:r>
      <w:r w:rsidRPr="00220C07">
        <w:instrText>&lt;&gt; N "&lt;</w:instrText>
      </w:r>
      <w:r w:rsidRPr="00220C07">
        <w:fldChar w:fldCharType="begin"/>
      </w:r>
      <w:r w:rsidRPr="00220C07">
        <w:instrText>QUOTE "std"</w:instrText>
      </w:r>
      <w:r w:rsidRPr="00220C07">
        <w:fldChar w:fldCharType="separate"/>
      </w:r>
      <w:r w:rsidRPr="00220C07">
        <w:instrText>std</w:instrText>
      </w:r>
      <w:r w:rsidRPr="00220C07">
        <w:fldChar w:fldCharType="end"/>
      </w:r>
      <w:r w:rsidRPr="00220C07">
        <w:instrText>"</w:instrText>
      </w:r>
      <w:r w:rsidRPr="00220C07">
        <w:fldChar w:fldCharType="end"/>
      </w:r>
      <w:r w:rsidRPr="00220C07">
        <w:fldChar w:fldCharType="begin"/>
      </w:r>
      <w:r w:rsidRPr="00220C07">
        <w:instrText>IF</w:instrText>
      </w:r>
      <w:r w:rsidRPr="00220C07">
        <w:fldChar w:fldCharType="begin"/>
      </w:r>
      <w:r w:rsidRPr="00220C07">
        <w:instrText>= AND(</w:instrText>
      </w:r>
      <w:r w:rsidRPr="00220C07">
        <w:fldChar w:fldCharType="begin"/>
      </w:r>
      <w:r w:rsidRPr="00220C07">
        <w:instrText>COMPARE</w:instrText>
      </w:r>
      <w:r w:rsidRPr="00220C07">
        <w:fldChar w:fldCharType="begin"/>
      </w:r>
      <w:r w:rsidRPr="00220C07">
        <w:instrText>DOCPROPERTY "x_t"</w:instrText>
      </w:r>
      <w:r w:rsidRPr="00220C07">
        <w:fldChar w:fldCharType="separate"/>
      </w:r>
      <w:r>
        <w:instrText>N</w:instrText>
      </w:r>
      <w:r w:rsidRPr="00220C07">
        <w:fldChar w:fldCharType="end"/>
      </w:r>
      <w:r w:rsidRPr="00220C07">
        <w:instrText>&lt;&gt; N</w:instrText>
      </w:r>
      <w:r w:rsidRPr="00220C07">
        <w:fldChar w:fldCharType="separate"/>
      </w:r>
      <w:r>
        <w:rPr>
          <w:noProof/>
        </w:rPr>
        <w:instrText>0</w:instrText>
      </w:r>
      <w:r w:rsidRPr="00220C07">
        <w:fldChar w:fldCharType="end"/>
      </w:r>
      <w:r w:rsidRPr="00220C07">
        <w:instrText>,</w:instrText>
      </w:r>
      <w:r w:rsidRPr="00220C07">
        <w:fldChar w:fldCharType="begin"/>
      </w:r>
      <w:r w:rsidRPr="00220C07">
        <w:instrText>COMPARE</w:instrText>
      </w:r>
      <w:r w:rsidRPr="00220C07">
        <w:fldChar w:fldCharType="begin"/>
      </w:r>
      <w:r w:rsidRPr="00220C07">
        <w:instrText>DOCPROPERTY "x_a"</w:instrText>
      </w:r>
      <w:r w:rsidRPr="00220C07">
        <w:fldChar w:fldCharType="separate"/>
      </w:r>
      <w:r>
        <w:instrText>N</w:instrText>
      </w:r>
      <w:r w:rsidRPr="00220C07">
        <w:fldChar w:fldCharType="end"/>
      </w:r>
      <w:r w:rsidRPr="00220C07">
        <w:instrText>&lt;&gt; N</w:instrText>
      </w:r>
      <w:r w:rsidRPr="00220C07">
        <w:fldChar w:fldCharType="separate"/>
      </w:r>
      <w:r>
        <w:rPr>
          <w:noProof/>
        </w:rPr>
        <w:instrText>0</w:instrText>
      </w:r>
      <w:r w:rsidRPr="00220C07">
        <w:fldChar w:fldCharType="end"/>
      </w:r>
      <w:r w:rsidRPr="00220C07">
        <w:instrText>)</w:instrText>
      </w:r>
      <w:r w:rsidRPr="00220C07">
        <w:fldChar w:fldCharType="separate"/>
      </w:r>
      <w:r>
        <w:rPr>
          <w:b/>
          <w:noProof/>
        </w:rPr>
        <w:instrText>!Syntax Error, ,,</w:instrText>
      </w:r>
      <w:r w:rsidRPr="00220C07">
        <w:fldChar w:fldCharType="end"/>
      </w:r>
      <w:r w:rsidRPr="00220C07">
        <w:instrText>= 1 "</w:instrText>
      </w:r>
      <w:r w:rsidRPr="00220C07">
        <w:fldChar w:fldCharType="begin"/>
      </w:r>
      <w:r w:rsidRPr="00220C07">
        <w:instrText>QUOTE ""</w:instrText>
      </w:r>
      <w:r w:rsidRPr="00220C07">
        <w:fldChar w:fldCharType="end"/>
      </w:r>
      <w:r w:rsidRPr="00220C07">
        <w:instrText>"</w:instrText>
      </w:r>
      <w:r w:rsidRPr="00220C07">
        <w:fldChar w:fldCharType="end"/>
      </w:r>
      <w:r w:rsidRPr="00220C07">
        <w:fldChar w:fldCharType="begin"/>
      </w:r>
      <w:r w:rsidRPr="00220C07">
        <w:instrText>IF</w:instrText>
      </w:r>
      <w:r w:rsidRPr="00220C07">
        <w:fldChar w:fldCharType="begin"/>
      </w:r>
      <w:r w:rsidRPr="00220C07">
        <w:instrText>DOCPROPERTY "x_t"</w:instrText>
      </w:r>
      <w:r w:rsidRPr="00220C07">
        <w:fldChar w:fldCharType="separate"/>
      </w:r>
      <w:r>
        <w:instrText>N</w:instrText>
      </w:r>
      <w:r w:rsidRPr="00220C07">
        <w:fldChar w:fldCharType="end"/>
      </w:r>
      <w:r w:rsidRPr="00220C07">
        <w:instrText>&lt;&gt; N "&gt;"</w:instrText>
      </w:r>
      <w:r w:rsidRPr="00220C07">
        <w:fldChar w:fldCharType="end"/>
      </w:r>
      <w:r w:rsidRPr="00220C07">
        <w:instrText>" "</w:instrText>
      </w:r>
      <w:r w:rsidRPr="00220C07">
        <w:fldChar w:fldCharType="begin"/>
      </w:r>
      <w:r w:rsidRPr="00220C07">
        <w:instrText>QUOTE ""</w:instrText>
      </w:r>
      <w:r w:rsidRPr="00220C07">
        <w:fldChar w:fldCharType="end"/>
      </w:r>
      <w:r w:rsidRPr="00220C07">
        <w:instrText>"</w:instrText>
      </w:r>
      <w:r w:rsidRPr="00220C07">
        <w:fldChar w:fldCharType="end"/>
      </w:r>
      <w:r w:rsidRPr="00220C07">
        <w:rPr>
          <w:rStyle w:val="stdpublisher"/>
          <w:shd w:val="clear" w:color="auto" w:fill="auto"/>
        </w:rPr>
        <w:t>EN</w:t>
      </w:r>
      <w:r w:rsidRPr="00220C07">
        <w:t> </w:t>
      </w:r>
      <w:r w:rsidRPr="00220C07">
        <w:rPr>
          <w:rStyle w:val="stddocNumber"/>
          <w:shd w:val="clear" w:color="auto" w:fill="auto"/>
        </w:rPr>
        <w:t>1999</w:t>
      </w:r>
      <w:r w:rsidRPr="00220C07">
        <w:noBreakHyphen/>
      </w:r>
      <w:r w:rsidRPr="00220C07">
        <w:rPr>
          <w:rStyle w:val="stddocPartNumber"/>
          <w:shd w:val="clear" w:color="auto" w:fill="auto"/>
        </w:rPr>
        <w:t>1-1</w:t>
      </w:r>
      <w:r w:rsidRPr="00220C07">
        <w:t>:</w:t>
      </w:r>
      <w:r w:rsidRPr="00220C07">
        <w:rPr>
          <w:rStyle w:val="stdyear"/>
          <w:shd w:val="clear" w:color="auto" w:fill="auto"/>
        </w:rPr>
        <w:t>2023</w:t>
      </w:r>
      <w:r w:rsidRPr="00220C07">
        <w:t xml:space="preserve">, </w:t>
      </w:r>
      <w:r w:rsidRPr="00220C07">
        <w:rPr>
          <w:rStyle w:val="stddocTitle"/>
          <w:shd w:val="clear" w:color="auto" w:fill="auto"/>
        </w:rPr>
        <w:t>Eurocode 9 — Design of aluminium structures — Part 1-1: General rules</w:t>
      </w:r>
      <w:r w:rsidRPr="00220C07">
        <w:fldChar w:fldCharType="begin"/>
      </w:r>
      <w:r w:rsidRPr="00220C07">
        <w:instrText>IF "x_-3" "</w:instrText>
      </w:r>
      <w:r w:rsidRPr="00220C07">
        <w:fldChar w:fldCharType="begin"/>
      </w:r>
      <w:r w:rsidRPr="00220C07">
        <w:instrText>IF</w:instrText>
      </w:r>
      <w:r w:rsidRPr="00220C07">
        <w:fldChar w:fldCharType="begin"/>
      </w:r>
      <w:r w:rsidRPr="00220C07">
        <w:instrText>DOCPROPERTY "x_t"</w:instrText>
      </w:r>
      <w:r w:rsidRPr="00220C07">
        <w:fldChar w:fldCharType="separate"/>
      </w:r>
      <w:r>
        <w:instrText>N</w:instrText>
      </w:r>
      <w:r w:rsidRPr="00220C07">
        <w:fldChar w:fldCharType="end"/>
      </w:r>
      <w:r w:rsidRPr="00220C07">
        <w:instrText>&lt;&gt; N "&lt;/</w:instrText>
      </w:r>
      <w:r w:rsidRPr="00220C07">
        <w:fldChar w:fldCharType="begin"/>
      </w:r>
      <w:r w:rsidRPr="00220C07">
        <w:instrText>QUOTE "std"</w:instrText>
      </w:r>
      <w:r w:rsidRPr="00220C07">
        <w:fldChar w:fldCharType="separate"/>
      </w:r>
      <w:r w:rsidRPr="00220C07">
        <w:instrText>std</w:instrText>
      </w:r>
      <w:r w:rsidRPr="00220C07">
        <w:fldChar w:fldCharType="end"/>
      </w:r>
      <w:r w:rsidRPr="00220C07">
        <w:instrText>"</w:instrText>
      </w:r>
      <w:r w:rsidRPr="00220C07">
        <w:fldChar w:fldCharType="end"/>
      </w:r>
      <w:r w:rsidRPr="00220C07">
        <w:fldChar w:fldCharType="begin"/>
      </w:r>
      <w:r w:rsidRPr="00220C07">
        <w:instrText>IF</w:instrText>
      </w:r>
      <w:r w:rsidRPr="00220C07">
        <w:fldChar w:fldCharType="begin"/>
      </w:r>
      <w:r w:rsidRPr="00220C07">
        <w:instrText>DOCPROPERTY "x_t"</w:instrText>
      </w:r>
      <w:r w:rsidRPr="00220C07">
        <w:fldChar w:fldCharType="separate"/>
      </w:r>
      <w:r>
        <w:instrText>N</w:instrText>
      </w:r>
      <w:r w:rsidRPr="00220C07">
        <w:fldChar w:fldCharType="end"/>
      </w:r>
      <w:r w:rsidRPr="00220C07">
        <w:instrText>&lt;&gt; N "&gt;"</w:instrText>
      </w:r>
      <w:r w:rsidRPr="00220C07">
        <w:fldChar w:fldCharType="end"/>
      </w:r>
      <w:r w:rsidRPr="00220C07">
        <w:instrText>" ""</w:instrText>
      </w:r>
      <w:r w:rsidRPr="00220C07">
        <w:fldChar w:fldCharType="end"/>
      </w:r>
    </w:p>
    <w:p w14:paraId="40312CA1" w14:textId="333A5C40" w:rsidR="00E37E2C" w:rsidRPr="00220C07" w:rsidRDefault="00E37E2C" w:rsidP="00E37E2C">
      <w:pPr>
        <w:pStyle w:val="BiblioEntry"/>
      </w:pPr>
      <w:r w:rsidRPr="00220C07">
        <w:fldChar w:fldCharType="begin"/>
      </w:r>
      <w:r w:rsidRPr="00220C07">
        <w:instrText>IF "x_+3" "</w:instrText>
      </w:r>
      <w:r w:rsidRPr="00220C07">
        <w:fldChar w:fldCharType="begin"/>
      </w:r>
      <w:r w:rsidRPr="00220C07">
        <w:instrText>IF</w:instrText>
      </w:r>
      <w:r w:rsidRPr="00220C07">
        <w:fldChar w:fldCharType="begin"/>
      </w:r>
      <w:r w:rsidRPr="00220C07">
        <w:instrText>DOCPROPERTY "x_t"</w:instrText>
      </w:r>
      <w:r w:rsidRPr="00220C07">
        <w:fldChar w:fldCharType="separate"/>
      </w:r>
      <w:r>
        <w:instrText>N</w:instrText>
      </w:r>
      <w:r w:rsidRPr="00220C07">
        <w:fldChar w:fldCharType="end"/>
      </w:r>
      <w:r w:rsidRPr="00220C07">
        <w:instrText>&lt;&gt; N "&lt;</w:instrText>
      </w:r>
      <w:r w:rsidRPr="00220C07">
        <w:fldChar w:fldCharType="begin"/>
      </w:r>
      <w:r w:rsidRPr="00220C07">
        <w:instrText>QUOTE "std"</w:instrText>
      </w:r>
      <w:r w:rsidRPr="00220C07">
        <w:fldChar w:fldCharType="separate"/>
      </w:r>
      <w:r w:rsidRPr="00220C07">
        <w:instrText>std</w:instrText>
      </w:r>
      <w:r w:rsidRPr="00220C07">
        <w:fldChar w:fldCharType="end"/>
      </w:r>
      <w:r w:rsidRPr="00220C07">
        <w:instrText>"</w:instrText>
      </w:r>
      <w:r w:rsidRPr="00220C07">
        <w:fldChar w:fldCharType="end"/>
      </w:r>
      <w:r w:rsidRPr="00220C07">
        <w:fldChar w:fldCharType="begin"/>
      </w:r>
      <w:r w:rsidRPr="00220C07">
        <w:instrText>IF</w:instrText>
      </w:r>
      <w:r w:rsidRPr="00220C07">
        <w:fldChar w:fldCharType="begin"/>
      </w:r>
      <w:r w:rsidRPr="00220C07">
        <w:instrText>= AND(</w:instrText>
      </w:r>
      <w:r w:rsidRPr="00220C07">
        <w:fldChar w:fldCharType="begin"/>
      </w:r>
      <w:r w:rsidRPr="00220C07">
        <w:instrText>COMPARE</w:instrText>
      </w:r>
      <w:r w:rsidRPr="00220C07">
        <w:fldChar w:fldCharType="begin"/>
      </w:r>
      <w:r w:rsidRPr="00220C07">
        <w:instrText>DOCPROPERTY "x_t"</w:instrText>
      </w:r>
      <w:r w:rsidRPr="00220C07">
        <w:fldChar w:fldCharType="separate"/>
      </w:r>
      <w:r>
        <w:instrText>N</w:instrText>
      </w:r>
      <w:r w:rsidRPr="00220C07">
        <w:fldChar w:fldCharType="end"/>
      </w:r>
      <w:r w:rsidRPr="00220C07">
        <w:instrText>&lt;&gt; N</w:instrText>
      </w:r>
      <w:r w:rsidRPr="00220C07">
        <w:fldChar w:fldCharType="separate"/>
      </w:r>
      <w:r>
        <w:rPr>
          <w:noProof/>
        </w:rPr>
        <w:instrText>0</w:instrText>
      </w:r>
      <w:r w:rsidRPr="00220C07">
        <w:fldChar w:fldCharType="end"/>
      </w:r>
      <w:r w:rsidRPr="00220C07">
        <w:instrText>,</w:instrText>
      </w:r>
      <w:r w:rsidRPr="00220C07">
        <w:fldChar w:fldCharType="begin"/>
      </w:r>
      <w:r w:rsidRPr="00220C07">
        <w:instrText>COMPARE</w:instrText>
      </w:r>
      <w:r w:rsidRPr="00220C07">
        <w:fldChar w:fldCharType="begin"/>
      </w:r>
      <w:r w:rsidRPr="00220C07">
        <w:instrText>DOCPROPERTY "x_a"</w:instrText>
      </w:r>
      <w:r w:rsidRPr="00220C07">
        <w:fldChar w:fldCharType="separate"/>
      </w:r>
      <w:r>
        <w:instrText>N</w:instrText>
      </w:r>
      <w:r w:rsidRPr="00220C07">
        <w:fldChar w:fldCharType="end"/>
      </w:r>
      <w:r w:rsidRPr="00220C07">
        <w:instrText>&lt;&gt; N</w:instrText>
      </w:r>
      <w:r w:rsidRPr="00220C07">
        <w:fldChar w:fldCharType="separate"/>
      </w:r>
      <w:r>
        <w:rPr>
          <w:noProof/>
        </w:rPr>
        <w:instrText>0</w:instrText>
      </w:r>
      <w:r w:rsidRPr="00220C07">
        <w:fldChar w:fldCharType="end"/>
      </w:r>
      <w:r w:rsidRPr="00220C07">
        <w:instrText>)</w:instrText>
      </w:r>
      <w:r w:rsidRPr="00220C07">
        <w:fldChar w:fldCharType="separate"/>
      </w:r>
      <w:r>
        <w:rPr>
          <w:b/>
          <w:noProof/>
        </w:rPr>
        <w:instrText>!Syntax Error, ,,</w:instrText>
      </w:r>
      <w:r w:rsidRPr="00220C07">
        <w:fldChar w:fldCharType="end"/>
      </w:r>
      <w:r w:rsidRPr="00220C07">
        <w:instrText>= 1 "</w:instrText>
      </w:r>
      <w:r w:rsidRPr="00220C07">
        <w:fldChar w:fldCharType="begin"/>
      </w:r>
      <w:r w:rsidRPr="00220C07">
        <w:instrText>QUOTE ""</w:instrText>
      </w:r>
      <w:r w:rsidRPr="00220C07">
        <w:fldChar w:fldCharType="end"/>
      </w:r>
      <w:r w:rsidRPr="00220C07">
        <w:instrText>"</w:instrText>
      </w:r>
      <w:r w:rsidRPr="00220C07">
        <w:fldChar w:fldCharType="end"/>
      </w:r>
      <w:r w:rsidRPr="00220C07">
        <w:fldChar w:fldCharType="begin"/>
      </w:r>
      <w:r w:rsidRPr="00220C07">
        <w:instrText>IF</w:instrText>
      </w:r>
      <w:r w:rsidRPr="00220C07">
        <w:fldChar w:fldCharType="begin"/>
      </w:r>
      <w:r w:rsidRPr="00220C07">
        <w:instrText>DOCPROPERTY "x_t"</w:instrText>
      </w:r>
      <w:r w:rsidRPr="00220C07">
        <w:fldChar w:fldCharType="separate"/>
      </w:r>
      <w:r>
        <w:instrText>N</w:instrText>
      </w:r>
      <w:r w:rsidRPr="00220C07">
        <w:fldChar w:fldCharType="end"/>
      </w:r>
      <w:r w:rsidRPr="00220C07">
        <w:instrText>&lt;&gt; N "&gt;"</w:instrText>
      </w:r>
      <w:r w:rsidRPr="00220C07">
        <w:fldChar w:fldCharType="end"/>
      </w:r>
      <w:r w:rsidRPr="00220C07">
        <w:instrText>" "</w:instrText>
      </w:r>
      <w:r w:rsidRPr="00220C07">
        <w:fldChar w:fldCharType="begin"/>
      </w:r>
      <w:r w:rsidRPr="00220C07">
        <w:instrText>QUOTE ""</w:instrText>
      </w:r>
      <w:r w:rsidRPr="00220C07">
        <w:fldChar w:fldCharType="end"/>
      </w:r>
      <w:r w:rsidRPr="00220C07">
        <w:instrText>"</w:instrText>
      </w:r>
      <w:r w:rsidRPr="00220C07">
        <w:fldChar w:fldCharType="end"/>
      </w:r>
      <w:r w:rsidRPr="00220C07">
        <w:rPr>
          <w:rStyle w:val="stdpublisher"/>
          <w:shd w:val="clear" w:color="auto" w:fill="auto"/>
        </w:rPr>
        <w:t>EN</w:t>
      </w:r>
      <w:r w:rsidRPr="00220C07">
        <w:t> </w:t>
      </w:r>
      <w:r w:rsidRPr="00220C07">
        <w:rPr>
          <w:rStyle w:val="stddocNumber"/>
          <w:shd w:val="clear" w:color="auto" w:fill="auto"/>
        </w:rPr>
        <w:t>10034</w:t>
      </w:r>
      <w:r w:rsidRPr="00220C07">
        <w:t xml:space="preserve">, </w:t>
      </w:r>
      <w:r w:rsidRPr="00220C07">
        <w:rPr>
          <w:rStyle w:val="stddocTitle"/>
          <w:shd w:val="clear" w:color="auto" w:fill="auto"/>
        </w:rPr>
        <w:t>Structural steel I and H sections — Tolerances on shape and dimensions</w:t>
      </w:r>
      <w:r w:rsidRPr="00220C07">
        <w:fldChar w:fldCharType="begin"/>
      </w:r>
      <w:r w:rsidRPr="00220C07">
        <w:instrText>IF "x_-3" "</w:instrText>
      </w:r>
      <w:r w:rsidRPr="00220C07">
        <w:fldChar w:fldCharType="begin"/>
      </w:r>
      <w:r w:rsidRPr="00220C07">
        <w:instrText>IF</w:instrText>
      </w:r>
      <w:r w:rsidRPr="00220C07">
        <w:fldChar w:fldCharType="begin"/>
      </w:r>
      <w:r w:rsidRPr="00220C07">
        <w:instrText>DOCPROPERTY "x_t"</w:instrText>
      </w:r>
      <w:r w:rsidRPr="00220C07">
        <w:fldChar w:fldCharType="separate"/>
      </w:r>
      <w:r>
        <w:instrText>N</w:instrText>
      </w:r>
      <w:r w:rsidRPr="00220C07">
        <w:fldChar w:fldCharType="end"/>
      </w:r>
      <w:r w:rsidRPr="00220C07">
        <w:instrText>&lt;&gt; N "&lt;/</w:instrText>
      </w:r>
      <w:r w:rsidRPr="00220C07">
        <w:fldChar w:fldCharType="begin"/>
      </w:r>
      <w:r w:rsidRPr="00220C07">
        <w:instrText>QUOTE "std"</w:instrText>
      </w:r>
      <w:r w:rsidRPr="00220C07">
        <w:fldChar w:fldCharType="separate"/>
      </w:r>
      <w:r w:rsidRPr="00220C07">
        <w:instrText>std</w:instrText>
      </w:r>
      <w:r w:rsidRPr="00220C07">
        <w:fldChar w:fldCharType="end"/>
      </w:r>
      <w:r w:rsidRPr="00220C07">
        <w:instrText>"</w:instrText>
      </w:r>
      <w:r w:rsidRPr="00220C07">
        <w:fldChar w:fldCharType="end"/>
      </w:r>
      <w:r w:rsidRPr="00220C07">
        <w:fldChar w:fldCharType="begin"/>
      </w:r>
      <w:r w:rsidRPr="00220C07">
        <w:instrText>IF</w:instrText>
      </w:r>
      <w:r w:rsidRPr="00220C07">
        <w:fldChar w:fldCharType="begin"/>
      </w:r>
      <w:r w:rsidRPr="00220C07">
        <w:instrText>DOCPROPERTY "x_t"</w:instrText>
      </w:r>
      <w:r w:rsidRPr="00220C07">
        <w:fldChar w:fldCharType="separate"/>
      </w:r>
      <w:r>
        <w:instrText>N</w:instrText>
      </w:r>
      <w:r w:rsidRPr="00220C07">
        <w:fldChar w:fldCharType="end"/>
      </w:r>
      <w:r w:rsidRPr="00220C07">
        <w:instrText>&lt;&gt; N "&gt;"</w:instrText>
      </w:r>
      <w:r w:rsidRPr="00220C07">
        <w:fldChar w:fldCharType="end"/>
      </w:r>
      <w:r w:rsidRPr="00220C07">
        <w:instrText>" ""</w:instrText>
      </w:r>
      <w:r w:rsidRPr="00220C07">
        <w:fldChar w:fldCharType="end"/>
      </w:r>
    </w:p>
    <w:p w14:paraId="3989EDDC" w14:textId="72C77409" w:rsidR="00E37E2C" w:rsidRPr="00220C07" w:rsidRDefault="00E37E2C" w:rsidP="00E37E2C">
      <w:pPr>
        <w:pStyle w:val="BiblioEntry"/>
      </w:pPr>
      <w:r w:rsidRPr="00220C07">
        <w:fldChar w:fldCharType="begin"/>
      </w:r>
      <w:r w:rsidRPr="00220C07">
        <w:instrText>IF "x_+3" "</w:instrText>
      </w:r>
      <w:r w:rsidRPr="00220C07">
        <w:fldChar w:fldCharType="begin"/>
      </w:r>
      <w:r w:rsidRPr="00220C07">
        <w:instrText>IF</w:instrText>
      </w:r>
      <w:r w:rsidRPr="00220C07">
        <w:fldChar w:fldCharType="begin"/>
      </w:r>
      <w:r w:rsidRPr="00220C07">
        <w:instrText>DOCPROPERTY "x_t"</w:instrText>
      </w:r>
      <w:r w:rsidRPr="00220C07">
        <w:fldChar w:fldCharType="separate"/>
      </w:r>
      <w:r>
        <w:instrText>N</w:instrText>
      </w:r>
      <w:r w:rsidRPr="00220C07">
        <w:fldChar w:fldCharType="end"/>
      </w:r>
      <w:r w:rsidRPr="00220C07">
        <w:instrText>&lt;&gt; N "&lt;</w:instrText>
      </w:r>
      <w:r w:rsidRPr="00220C07">
        <w:fldChar w:fldCharType="begin"/>
      </w:r>
      <w:r w:rsidRPr="00220C07">
        <w:instrText>QUOTE "std"</w:instrText>
      </w:r>
      <w:r w:rsidRPr="00220C07">
        <w:fldChar w:fldCharType="separate"/>
      </w:r>
      <w:r w:rsidRPr="00220C07">
        <w:instrText>std</w:instrText>
      </w:r>
      <w:r w:rsidRPr="00220C07">
        <w:fldChar w:fldCharType="end"/>
      </w:r>
      <w:r w:rsidRPr="00220C07">
        <w:instrText>"</w:instrText>
      </w:r>
      <w:r w:rsidRPr="00220C07">
        <w:fldChar w:fldCharType="end"/>
      </w:r>
      <w:r w:rsidRPr="00220C07">
        <w:fldChar w:fldCharType="begin"/>
      </w:r>
      <w:r w:rsidRPr="00220C07">
        <w:instrText>IF</w:instrText>
      </w:r>
      <w:r w:rsidRPr="00220C07">
        <w:fldChar w:fldCharType="begin"/>
      </w:r>
      <w:r w:rsidRPr="00220C07">
        <w:instrText>= AND(</w:instrText>
      </w:r>
      <w:r w:rsidRPr="00220C07">
        <w:fldChar w:fldCharType="begin"/>
      </w:r>
      <w:r w:rsidRPr="00220C07">
        <w:instrText>COMPARE</w:instrText>
      </w:r>
      <w:r w:rsidRPr="00220C07">
        <w:fldChar w:fldCharType="begin"/>
      </w:r>
      <w:r w:rsidRPr="00220C07">
        <w:instrText>DOCPROPERTY "x_t"</w:instrText>
      </w:r>
      <w:r w:rsidRPr="00220C07">
        <w:fldChar w:fldCharType="separate"/>
      </w:r>
      <w:r>
        <w:instrText>N</w:instrText>
      </w:r>
      <w:r w:rsidRPr="00220C07">
        <w:fldChar w:fldCharType="end"/>
      </w:r>
      <w:r w:rsidRPr="00220C07">
        <w:instrText>&lt;&gt; N</w:instrText>
      </w:r>
      <w:r w:rsidRPr="00220C07">
        <w:fldChar w:fldCharType="separate"/>
      </w:r>
      <w:r>
        <w:rPr>
          <w:noProof/>
        </w:rPr>
        <w:instrText>0</w:instrText>
      </w:r>
      <w:r w:rsidRPr="00220C07">
        <w:fldChar w:fldCharType="end"/>
      </w:r>
      <w:r w:rsidRPr="00220C07">
        <w:instrText>,</w:instrText>
      </w:r>
      <w:r w:rsidRPr="00220C07">
        <w:fldChar w:fldCharType="begin"/>
      </w:r>
      <w:r w:rsidRPr="00220C07">
        <w:instrText>COMPARE</w:instrText>
      </w:r>
      <w:r w:rsidRPr="00220C07">
        <w:fldChar w:fldCharType="begin"/>
      </w:r>
      <w:r w:rsidRPr="00220C07">
        <w:instrText>DOCPROPERTY "x_a"</w:instrText>
      </w:r>
      <w:r w:rsidRPr="00220C07">
        <w:fldChar w:fldCharType="separate"/>
      </w:r>
      <w:r>
        <w:instrText>N</w:instrText>
      </w:r>
      <w:r w:rsidRPr="00220C07">
        <w:fldChar w:fldCharType="end"/>
      </w:r>
      <w:r w:rsidRPr="00220C07">
        <w:instrText>&lt;&gt; N</w:instrText>
      </w:r>
      <w:r w:rsidRPr="00220C07">
        <w:fldChar w:fldCharType="separate"/>
      </w:r>
      <w:r>
        <w:rPr>
          <w:noProof/>
        </w:rPr>
        <w:instrText>0</w:instrText>
      </w:r>
      <w:r w:rsidRPr="00220C07">
        <w:fldChar w:fldCharType="end"/>
      </w:r>
      <w:r w:rsidRPr="00220C07">
        <w:instrText>)</w:instrText>
      </w:r>
      <w:r w:rsidRPr="00220C07">
        <w:fldChar w:fldCharType="separate"/>
      </w:r>
      <w:r>
        <w:rPr>
          <w:b/>
          <w:noProof/>
        </w:rPr>
        <w:instrText>!Syntax Error, ,,</w:instrText>
      </w:r>
      <w:r w:rsidRPr="00220C07">
        <w:fldChar w:fldCharType="end"/>
      </w:r>
      <w:r w:rsidRPr="00220C07">
        <w:instrText>= 1 "</w:instrText>
      </w:r>
      <w:r w:rsidRPr="00220C07">
        <w:fldChar w:fldCharType="begin"/>
      </w:r>
      <w:r w:rsidRPr="00220C07">
        <w:instrText>QUOTE ""</w:instrText>
      </w:r>
      <w:r w:rsidRPr="00220C07">
        <w:fldChar w:fldCharType="end"/>
      </w:r>
      <w:r w:rsidRPr="00220C07">
        <w:instrText>"</w:instrText>
      </w:r>
      <w:r w:rsidRPr="00220C07">
        <w:fldChar w:fldCharType="end"/>
      </w:r>
      <w:r w:rsidRPr="00220C07">
        <w:fldChar w:fldCharType="begin"/>
      </w:r>
      <w:r w:rsidRPr="00220C07">
        <w:instrText>IF</w:instrText>
      </w:r>
      <w:r w:rsidRPr="00220C07">
        <w:fldChar w:fldCharType="begin"/>
      </w:r>
      <w:r w:rsidRPr="00220C07">
        <w:instrText>DOCPROPERTY "x_t"</w:instrText>
      </w:r>
      <w:r w:rsidRPr="00220C07">
        <w:fldChar w:fldCharType="separate"/>
      </w:r>
      <w:r>
        <w:instrText>N</w:instrText>
      </w:r>
      <w:r w:rsidRPr="00220C07">
        <w:fldChar w:fldCharType="end"/>
      </w:r>
      <w:r w:rsidRPr="00220C07">
        <w:instrText>&lt;&gt; N "&gt;"</w:instrText>
      </w:r>
      <w:r w:rsidRPr="00220C07">
        <w:fldChar w:fldCharType="end"/>
      </w:r>
      <w:r w:rsidRPr="00220C07">
        <w:instrText>" "</w:instrText>
      </w:r>
      <w:r w:rsidRPr="00220C07">
        <w:fldChar w:fldCharType="begin"/>
      </w:r>
      <w:r w:rsidRPr="00220C07">
        <w:instrText>QUOTE ""</w:instrText>
      </w:r>
      <w:r w:rsidRPr="00220C07">
        <w:fldChar w:fldCharType="end"/>
      </w:r>
      <w:r w:rsidRPr="00220C07">
        <w:instrText>"</w:instrText>
      </w:r>
      <w:r w:rsidRPr="00220C07">
        <w:fldChar w:fldCharType="end"/>
      </w:r>
      <w:r w:rsidRPr="00220C07">
        <w:rPr>
          <w:rStyle w:val="stdpublisher"/>
          <w:shd w:val="clear" w:color="auto" w:fill="auto"/>
        </w:rPr>
        <w:t>EN</w:t>
      </w:r>
      <w:r w:rsidRPr="00220C07">
        <w:t> </w:t>
      </w:r>
      <w:r w:rsidRPr="00220C07">
        <w:rPr>
          <w:rStyle w:val="stddocNumber"/>
          <w:shd w:val="clear" w:color="auto" w:fill="auto"/>
        </w:rPr>
        <w:t>13353</w:t>
      </w:r>
      <w:r w:rsidRPr="00220C07">
        <w:t xml:space="preserve">, </w:t>
      </w:r>
      <w:r w:rsidRPr="00220C07">
        <w:rPr>
          <w:rStyle w:val="stddocTitle"/>
          <w:shd w:val="clear" w:color="auto" w:fill="auto"/>
        </w:rPr>
        <w:t>Solid wood panels (SWP) — Requirements</w:t>
      </w:r>
      <w:r w:rsidRPr="00220C07">
        <w:fldChar w:fldCharType="begin"/>
      </w:r>
      <w:r w:rsidRPr="00220C07">
        <w:instrText>IF "x_-3" "</w:instrText>
      </w:r>
      <w:r w:rsidRPr="00220C07">
        <w:fldChar w:fldCharType="begin"/>
      </w:r>
      <w:r w:rsidRPr="00220C07">
        <w:instrText>IF</w:instrText>
      </w:r>
      <w:r w:rsidRPr="00220C07">
        <w:fldChar w:fldCharType="begin"/>
      </w:r>
      <w:r w:rsidRPr="00220C07">
        <w:instrText>DOCPROPERTY "x_t"</w:instrText>
      </w:r>
      <w:r w:rsidRPr="00220C07">
        <w:fldChar w:fldCharType="separate"/>
      </w:r>
      <w:r>
        <w:instrText>N</w:instrText>
      </w:r>
      <w:r w:rsidRPr="00220C07">
        <w:fldChar w:fldCharType="end"/>
      </w:r>
      <w:r w:rsidRPr="00220C07">
        <w:instrText>&lt;&gt; N "&lt;/</w:instrText>
      </w:r>
      <w:r w:rsidRPr="00220C07">
        <w:fldChar w:fldCharType="begin"/>
      </w:r>
      <w:r w:rsidRPr="00220C07">
        <w:instrText>QUOTE "std"</w:instrText>
      </w:r>
      <w:r w:rsidRPr="00220C07">
        <w:fldChar w:fldCharType="separate"/>
      </w:r>
      <w:r w:rsidRPr="00220C07">
        <w:instrText>std</w:instrText>
      </w:r>
      <w:r w:rsidRPr="00220C07">
        <w:fldChar w:fldCharType="end"/>
      </w:r>
      <w:r w:rsidRPr="00220C07">
        <w:instrText>"</w:instrText>
      </w:r>
      <w:r w:rsidRPr="00220C07">
        <w:fldChar w:fldCharType="end"/>
      </w:r>
      <w:r w:rsidRPr="00220C07">
        <w:fldChar w:fldCharType="begin"/>
      </w:r>
      <w:r w:rsidRPr="00220C07">
        <w:instrText>IF</w:instrText>
      </w:r>
      <w:r w:rsidRPr="00220C07">
        <w:fldChar w:fldCharType="begin"/>
      </w:r>
      <w:r w:rsidRPr="00220C07">
        <w:instrText>DOCPROPERTY "x_t"</w:instrText>
      </w:r>
      <w:r w:rsidRPr="00220C07">
        <w:fldChar w:fldCharType="separate"/>
      </w:r>
      <w:r>
        <w:instrText>N</w:instrText>
      </w:r>
      <w:r w:rsidRPr="00220C07">
        <w:fldChar w:fldCharType="end"/>
      </w:r>
      <w:r w:rsidRPr="00220C07">
        <w:instrText>&lt;&gt; N "&gt;"</w:instrText>
      </w:r>
      <w:r w:rsidRPr="00220C07">
        <w:fldChar w:fldCharType="end"/>
      </w:r>
      <w:r w:rsidRPr="00220C07">
        <w:instrText>" ""</w:instrText>
      </w:r>
      <w:r w:rsidRPr="00220C07">
        <w:fldChar w:fldCharType="end"/>
      </w:r>
    </w:p>
    <w:p w14:paraId="7B76F4CC" w14:textId="6FB48EFA" w:rsidR="00E37E2C" w:rsidRPr="00220C07" w:rsidRDefault="00E37E2C" w:rsidP="00E37E2C">
      <w:pPr>
        <w:pStyle w:val="BiblioEntry"/>
      </w:pPr>
      <w:r w:rsidRPr="00220C07">
        <w:fldChar w:fldCharType="begin"/>
      </w:r>
      <w:r w:rsidRPr="00220C07">
        <w:instrText>IF "x_+3" "</w:instrText>
      </w:r>
      <w:r w:rsidRPr="00220C07">
        <w:fldChar w:fldCharType="begin"/>
      </w:r>
      <w:r w:rsidRPr="00220C07">
        <w:instrText>IF</w:instrText>
      </w:r>
      <w:r w:rsidRPr="00220C07">
        <w:fldChar w:fldCharType="begin"/>
      </w:r>
      <w:r w:rsidRPr="00220C07">
        <w:instrText>DOCPROPERTY "x_t"</w:instrText>
      </w:r>
      <w:r w:rsidRPr="00220C07">
        <w:fldChar w:fldCharType="separate"/>
      </w:r>
      <w:r>
        <w:instrText>N</w:instrText>
      </w:r>
      <w:r w:rsidRPr="00220C07">
        <w:fldChar w:fldCharType="end"/>
      </w:r>
      <w:r w:rsidRPr="00220C07">
        <w:instrText>&lt;&gt; N "&lt;</w:instrText>
      </w:r>
      <w:r w:rsidRPr="00220C07">
        <w:fldChar w:fldCharType="begin"/>
      </w:r>
      <w:r w:rsidRPr="00220C07">
        <w:instrText>QUOTE "std"</w:instrText>
      </w:r>
      <w:r w:rsidRPr="00220C07">
        <w:fldChar w:fldCharType="separate"/>
      </w:r>
      <w:r w:rsidRPr="00220C07">
        <w:instrText>std</w:instrText>
      </w:r>
      <w:r w:rsidRPr="00220C07">
        <w:fldChar w:fldCharType="end"/>
      </w:r>
      <w:r w:rsidRPr="00220C07">
        <w:instrText>"</w:instrText>
      </w:r>
      <w:r w:rsidRPr="00220C07">
        <w:fldChar w:fldCharType="end"/>
      </w:r>
      <w:r w:rsidRPr="00220C07">
        <w:fldChar w:fldCharType="begin"/>
      </w:r>
      <w:r w:rsidRPr="00220C07">
        <w:instrText>IF</w:instrText>
      </w:r>
      <w:r w:rsidRPr="00220C07">
        <w:fldChar w:fldCharType="begin"/>
      </w:r>
      <w:r w:rsidRPr="00220C07">
        <w:instrText>= AND(</w:instrText>
      </w:r>
      <w:r w:rsidRPr="00220C07">
        <w:fldChar w:fldCharType="begin"/>
      </w:r>
      <w:r w:rsidRPr="00220C07">
        <w:instrText>COMPARE</w:instrText>
      </w:r>
      <w:r w:rsidRPr="00220C07">
        <w:fldChar w:fldCharType="begin"/>
      </w:r>
      <w:r w:rsidRPr="00220C07">
        <w:instrText>DOCPROPERTY "x_t"</w:instrText>
      </w:r>
      <w:r w:rsidRPr="00220C07">
        <w:fldChar w:fldCharType="separate"/>
      </w:r>
      <w:r>
        <w:instrText>N</w:instrText>
      </w:r>
      <w:r w:rsidRPr="00220C07">
        <w:fldChar w:fldCharType="end"/>
      </w:r>
      <w:r w:rsidRPr="00220C07">
        <w:instrText>&lt;&gt; N</w:instrText>
      </w:r>
      <w:r w:rsidRPr="00220C07">
        <w:fldChar w:fldCharType="separate"/>
      </w:r>
      <w:r>
        <w:rPr>
          <w:noProof/>
        </w:rPr>
        <w:instrText>0</w:instrText>
      </w:r>
      <w:r w:rsidRPr="00220C07">
        <w:fldChar w:fldCharType="end"/>
      </w:r>
      <w:r w:rsidRPr="00220C07">
        <w:instrText>,</w:instrText>
      </w:r>
      <w:r w:rsidRPr="00220C07">
        <w:fldChar w:fldCharType="begin"/>
      </w:r>
      <w:r w:rsidRPr="00220C07">
        <w:instrText>COMPARE</w:instrText>
      </w:r>
      <w:r w:rsidRPr="00220C07">
        <w:fldChar w:fldCharType="begin"/>
      </w:r>
      <w:r w:rsidRPr="00220C07">
        <w:instrText>DOCPROPERTY "x_a"</w:instrText>
      </w:r>
      <w:r w:rsidRPr="00220C07">
        <w:fldChar w:fldCharType="separate"/>
      </w:r>
      <w:r>
        <w:instrText>N</w:instrText>
      </w:r>
      <w:r w:rsidRPr="00220C07">
        <w:fldChar w:fldCharType="end"/>
      </w:r>
      <w:r w:rsidRPr="00220C07">
        <w:instrText>&lt;&gt; N</w:instrText>
      </w:r>
      <w:r w:rsidRPr="00220C07">
        <w:fldChar w:fldCharType="separate"/>
      </w:r>
      <w:r>
        <w:rPr>
          <w:noProof/>
        </w:rPr>
        <w:instrText>0</w:instrText>
      </w:r>
      <w:r w:rsidRPr="00220C07">
        <w:fldChar w:fldCharType="end"/>
      </w:r>
      <w:r w:rsidRPr="00220C07">
        <w:instrText>)</w:instrText>
      </w:r>
      <w:r w:rsidRPr="00220C07">
        <w:fldChar w:fldCharType="separate"/>
      </w:r>
      <w:r>
        <w:rPr>
          <w:b/>
          <w:noProof/>
        </w:rPr>
        <w:instrText>!Syntax Error, ,,</w:instrText>
      </w:r>
      <w:r w:rsidRPr="00220C07">
        <w:fldChar w:fldCharType="end"/>
      </w:r>
      <w:r w:rsidRPr="00220C07">
        <w:instrText>= 1 "</w:instrText>
      </w:r>
      <w:r w:rsidRPr="00220C07">
        <w:fldChar w:fldCharType="begin"/>
      </w:r>
      <w:r w:rsidRPr="00220C07">
        <w:instrText>QUOTE ""</w:instrText>
      </w:r>
      <w:r w:rsidRPr="00220C07">
        <w:fldChar w:fldCharType="end"/>
      </w:r>
      <w:r w:rsidRPr="00220C07">
        <w:instrText>"</w:instrText>
      </w:r>
      <w:r w:rsidRPr="00220C07">
        <w:fldChar w:fldCharType="end"/>
      </w:r>
      <w:r w:rsidRPr="00220C07">
        <w:fldChar w:fldCharType="begin"/>
      </w:r>
      <w:r w:rsidRPr="00220C07">
        <w:instrText>IF</w:instrText>
      </w:r>
      <w:r w:rsidRPr="00220C07">
        <w:fldChar w:fldCharType="begin"/>
      </w:r>
      <w:r w:rsidRPr="00220C07">
        <w:instrText>DOCPROPERTY "x_t"</w:instrText>
      </w:r>
      <w:r w:rsidRPr="00220C07">
        <w:fldChar w:fldCharType="separate"/>
      </w:r>
      <w:r>
        <w:instrText>N</w:instrText>
      </w:r>
      <w:r w:rsidRPr="00220C07">
        <w:fldChar w:fldCharType="end"/>
      </w:r>
      <w:r w:rsidRPr="00220C07">
        <w:instrText>&lt;&gt; N "&gt;"</w:instrText>
      </w:r>
      <w:r w:rsidRPr="00220C07">
        <w:fldChar w:fldCharType="end"/>
      </w:r>
      <w:r w:rsidRPr="00220C07">
        <w:instrText>" "</w:instrText>
      </w:r>
      <w:r w:rsidRPr="00220C07">
        <w:fldChar w:fldCharType="begin"/>
      </w:r>
      <w:r w:rsidRPr="00220C07">
        <w:instrText>QUOTE ""</w:instrText>
      </w:r>
      <w:r w:rsidRPr="00220C07">
        <w:fldChar w:fldCharType="end"/>
      </w:r>
      <w:r w:rsidRPr="00220C07">
        <w:instrText>"</w:instrText>
      </w:r>
      <w:r w:rsidRPr="00220C07">
        <w:fldChar w:fldCharType="end"/>
      </w:r>
      <w:r w:rsidRPr="00220C07">
        <w:rPr>
          <w:rStyle w:val="stdpublisher"/>
          <w:shd w:val="clear" w:color="auto" w:fill="auto"/>
        </w:rPr>
        <w:t>EN</w:t>
      </w:r>
      <w:r w:rsidRPr="00220C07">
        <w:t> </w:t>
      </w:r>
      <w:r w:rsidRPr="00220C07">
        <w:rPr>
          <w:rStyle w:val="stddocNumber"/>
          <w:shd w:val="clear" w:color="auto" w:fill="auto"/>
        </w:rPr>
        <w:t>14279</w:t>
      </w:r>
      <w:r w:rsidRPr="00220C07">
        <w:t xml:space="preserve">, </w:t>
      </w:r>
      <w:r w:rsidRPr="00220C07">
        <w:rPr>
          <w:rStyle w:val="stddocTitle"/>
          <w:shd w:val="clear" w:color="auto" w:fill="auto"/>
        </w:rPr>
        <w:t>Laminated Veneer Lumber (LVL) — Definitions, classification and specifications</w:t>
      </w:r>
      <w:r w:rsidRPr="00220C07">
        <w:fldChar w:fldCharType="begin"/>
      </w:r>
      <w:r w:rsidRPr="00220C07">
        <w:instrText>IF "x_-3" "</w:instrText>
      </w:r>
      <w:r w:rsidRPr="00220C07">
        <w:fldChar w:fldCharType="begin"/>
      </w:r>
      <w:r w:rsidRPr="00220C07">
        <w:instrText>IF</w:instrText>
      </w:r>
      <w:r w:rsidRPr="00220C07">
        <w:fldChar w:fldCharType="begin"/>
      </w:r>
      <w:r w:rsidRPr="00220C07">
        <w:instrText>DOCPROPERTY "x_t"</w:instrText>
      </w:r>
      <w:r w:rsidRPr="00220C07">
        <w:fldChar w:fldCharType="separate"/>
      </w:r>
      <w:r>
        <w:instrText>N</w:instrText>
      </w:r>
      <w:r w:rsidRPr="00220C07">
        <w:fldChar w:fldCharType="end"/>
      </w:r>
      <w:r w:rsidRPr="00220C07">
        <w:instrText>&lt;&gt; N "&lt;/</w:instrText>
      </w:r>
      <w:r w:rsidRPr="00220C07">
        <w:fldChar w:fldCharType="begin"/>
      </w:r>
      <w:r w:rsidRPr="00220C07">
        <w:instrText>QUOTE "std"</w:instrText>
      </w:r>
      <w:r w:rsidRPr="00220C07">
        <w:fldChar w:fldCharType="separate"/>
      </w:r>
      <w:r w:rsidRPr="00220C07">
        <w:instrText>std</w:instrText>
      </w:r>
      <w:r w:rsidRPr="00220C07">
        <w:fldChar w:fldCharType="end"/>
      </w:r>
      <w:r w:rsidRPr="00220C07">
        <w:instrText>"</w:instrText>
      </w:r>
      <w:r w:rsidRPr="00220C07">
        <w:fldChar w:fldCharType="end"/>
      </w:r>
      <w:r w:rsidRPr="00220C07">
        <w:fldChar w:fldCharType="begin"/>
      </w:r>
      <w:r w:rsidRPr="00220C07">
        <w:instrText>IF</w:instrText>
      </w:r>
      <w:r w:rsidRPr="00220C07">
        <w:fldChar w:fldCharType="begin"/>
      </w:r>
      <w:r w:rsidRPr="00220C07">
        <w:instrText>DOCPROPERTY "x_t"</w:instrText>
      </w:r>
      <w:r w:rsidRPr="00220C07">
        <w:fldChar w:fldCharType="separate"/>
      </w:r>
      <w:r>
        <w:instrText>N</w:instrText>
      </w:r>
      <w:r w:rsidRPr="00220C07">
        <w:fldChar w:fldCharType="end"/>
      </w:r>
      <w:r w:rsidRPr="00220C07">
        <w:instrText>&lt;&gt; N "&gt;"</w:instrText>
      </w:r>
      <w:r w:rsidRPr="00220C07">
        <w:fldChar w:fldCharType="end"/>
      </w:r>
      <w:r w:rsidRPr="00220C07">
        <w:instrText>" ""</w:instrText>
      </w:r>
      <w:r w:rsidRPr="00220C07">
        <w:fldChar w:fldCharType="end"/>
      </w:r>
    </w:p>
    <w:p w14:paraId="1D9A3B2F" w14:textId="1EF976B5" w:rsidR="00E37E2C" w:rsidRPr="00220C07" w:rsidRDefault="00E37E2C" w:rsidP="00E37E2C">
      <w:pPr>
        <w:pStyle w:val="BiblioEntry"/>
      </w:pPr>
      <w:r w:rsidRPr="00220C07">
        <w:fldChar w:fldCharType="begin"/>
      </w:r>
      <w:r w:rsidRPr="00220C07">
        <w:instrText>IF "x_+3" "</w:instrText>
      </w:r>
      <w:r w:rsidRPr="00220C07">
        <w:fldChar w:fldCharType="begin"/>
      </w:r>
      <w:r w:rsidRPr="00220C07">
        <w:instrText>IF</w:instrText>
      </w:r>
      <w:r w:rsidRPr="00220C07">
        <w:fldChar w:fldCharType="begin"/>
      </w:r>
      <w:r w:rsidRPr="00220C07">
        <w:instrText>DOCPROPERTY "x_t"</w:instrText>
      </w:r>
      <w:r w:rsidRPr="00220C07">
        <w:fldChar w:fldCharType="separate"/>
      </w:r>
      <w:r>
        <w:instrText>N</w:instrText>
      </w:r>
      <w:r w:rsidRPr="00220C07">
        <w:fldChar w:fldCharType="end"/>
      </w:r>
      <w:r w:rsidRPr="00220C07">
        <w:instrText>&lt;&gt; N "&lt;</w:instrText>
      </w:r>
      <w:r w:rsidRPr="00220C07">
        <w:fldChar w:fldCharType="begin"/>
      </w:r>
      <w:r w:rsidRPr="00220C07">
        <w:instrText>QUOTE "std"</w:instrText>
      </w:r>
      <w:r w:rsidRPr="00220C07">
        <w:fldChar w:fldCharType="separate"/>
      </w:r>
      <w:r w:rsidRPr="00220C07">
        <w:instrText>std</w:instrText>
      </w:r>
      <w:r w:rsidRPr="00220C07">
        <w:fldChar w:fldCharType="end"/>
      </w:r>
      <w:r w:rsidRPr="00220C07">
        <w:instrText>"</w:instrText>
      </w:r>
      <w:r w:rsidRPr="00220C07">
        <w:fldChar w:fldCharType="end"/>
      </w:r>
      <w:r w:rsidRPr="00220C07">
        <w:fldChar w:fldCharType="begin"/>
      </w:r>
      <w:r w:rsidRPr="00220C07">
        <w:instrText>IF</w:instrText>
      </w:r>
      <w:r w:rsidRPr="00220C07">
        <w:fldChar w:fldCharType="begin"/>
      </w:r>
      <w:r w:rsidRPr="00220C07">
        <w:instrText>= AND(</w:instrText>
      </w:r>
      <w:r w:rsidRPr="00220C07">
        <w:fldChar w:fldCharType="begin"/>
      </w:r>
      <w:r w:rsidRPr="00220C07">
        <w:instrText>COMPARE</w:instrText>
      </w:r>
      <w:r w:rsidRPr="00220C07">
        <w:fldChar w:fldCharType="begin"/>
      </w:r>
      <w:r w:rsidRPr="00220C07">
        <w:instrText>DOCPROPERTY "x_t"</w:instrText>
      </w:r>
      <w:r w:rsidRPr="00220C07">
        <w:fldChar w:fldCharType="separate"/>
      </w:r>
      <w:r>
        <w:instrText>N</w:instrText>
      </w:r>
      <w:r w:rsidRPr="00220C07">
        <w:fldChar w:fldCharType="end"/>
      </w:r>
      <w:r w:rsidRPr="00220C07">
        <w:instrText>&lt;&gt; N</w:instrText>
      </w:r>
      <w:r w:rsidRPr="00220C07">
        <w:fldChar w:fldCharType="separate"/>
      </w:r>
      <w:r>
        <w:rPr>
          <w:noProof/>
        </w:rPr>
        <w:instrText>0</w:instrText>
      </w:r>
      <w:r w:rsidRPr="00220C07">
        <w:fldChar w:fldCharType="end"/>
      </w:r>
      <w:r w:rsidRPr="00220C07">
        <w:instrText>,</w:instrText>
      </w:r>
      <w:r w:rsidRPr="00220C07">
        <w:fldChar w:fldCharType="begin"/>
      </w:r>
      <w:r w:rsidRPr="00220C07">
        <w:instrText>COMPARE</w:instrText>
      </w:r>
      <w:r w:rsidRPr="00220C07">
        <w:fldChar w:fldCharType="begin"/>
      </w:r>
      <w:r w:rsidRPr="00220C07">
        <w:instrText>DOCPROPERTY "x_a"</w:instrText>
      </w:r>
      <w:r w:rsidRPr="00220C07">
        <w:fldChar w:fldCharType="separate"/>
      </w:r>
      <w:r>
        <w:instrText>N</w:instrText>
      </w:r>
      <w:r w:rsidRPr="00220C07">
        <w:fldChar w:fldCharType="end"/>
      </w:r>
      <w:r w:rsidRPr="00220C07">
        <w:instrText>&lt;&gt; N</w:instrText>
      </w:r>
      <w:r w:rsidRPr="00220C07">
        <w:fldChar w:fldCharType="separate"/>
      </w:r>
      <w:r>
        <w:rPr>
          <w:noProof/>
        </w:rPr>
        <w:instrText>0</w:instrText>
      </w:r>
      <w:r w:rsidRPr="00220C07">
        <w:fldChar w:fldCharType="end"/>
      </w:r>
      <w:r w:rsidRPr="00220C07">
        <w:instrText>)</w:instrText>
      </w:r>
      <w:r w:rsidRPr="00220C07">
        <w:fldChar w:fldCharType="separate"/>
      </w:r>
      <w:r>
        <w:rPr>
          <w:b/>
          <w:noProof/>
        </w:rPr>
        <w:instrText>!Syntax Error, ,,</w:instrText>
      </w:r>
      <w:r w:rsidRPr="00220C07">
        <w:fldChar w:fldCharType="end"/>
      </w:r>
      <w:r w:rsidRPr="00220C07">
        <w:instrText>= 1 "</w:instrText>
      </w:r>
      <w:r w:rsidRPr="00220C07">
        <w:fldChar w:fldCharType="begin"/>
      </w:r>
      <w:r w:rsidRPr="00220C07">
        <w:instrText>QUOTE ""</w:instrText>
      </w:r>
      <w:r w:rsidRPr="00220C07">
        <w:fldChar w:fldCharType="end"/>
      </w:r>
      <w:r w:rsidRPr="00220C07">
        <w:instrText>"</w:instrText>
      </w:r>
      <w:r w:rsidRPr="00220C07">
        <w:fldChar w:fldCharType="end"/>
      </w:r>
      <w:r w:rsidRPr="00220C07">
        <w:fldChar w:fldCharType="begin"/>
      </w:r>
      <w:r w:rsidRPr="00220C07">
        <w:instrText>IF</w:instrText>
      </w:r>
      <w:r w:rsidRPr="00220C07">
        <w:fldChar w:fldCharType="begin"/>
      </w:r>
      <w:r w:rsidRPr="00220C07">
        <w:instrText>DOCPROPERTY "x_t"</w:instrText>
      </w:r>
      <w:r w:rsidRPr="00220C07">
        <w:fldChar w:fldCharType="separate"/>
      </w:r>
      <w:r>
        <w:instrText>N</w:instrText>
      </w:r>
      <w:r w:rsidRPr="00220C07">
        <w:fldChar w:fldCharType="end"/>
      </w:r>
      <w:r w:rsidRPr="00220C07">
        <w:instrText>&lt;&gt; N "&gt;"</w:instrText>
      </w:r>
      <w:r w:rsidRPr="00220C07">
        <w:fldChar w:fldCharType="end"/>
      </w:r>
      <w:r w:rsidRPr="00220C07">
        <w:instrText>" "</w:instrText>
      </w:r>
      <w:r w:rsidRPr="00220C07">
        <w:fldChar w:fldCharType="begin"/>
      </w:r>
      <w:r w:rsidRPr="00220C07">
        <w:instrText>QUOTE ""</w:instrText>
      </w:r>
      <w:r w:rsidRPr="00220C07">
        <w:fldChar w:fldCharType="end"/>
      </w:r>
      <w:r w:rsidRPr="00220C07">
        <w:instrText>"</w:instrText>
      </w:r>
      <w:r w:rsidRPr="00220C07">
        <w:fldChar w:fldCharType="end"/>
      </w:r>
      <w:r w:rsidRPr="00220C07">
        <w:rPr>
          <w:rStyle w:val="stdpublisher"/>
          <w:shd w:val="clear" w:color="auto" w:fill="auto"/>
        </w:rPr>
        <w:t>EN</w:t>
      </w:r>
      <w:r w:rsidRPr="00220C07">
        <w:t> </w:t>
      </w:r>
      <w:r w:rsidRPr="00220C07">
        <w:rPr>
          <w:rStyle w:val="stddocNumber"/>
          <w:shd w:val="clear" w:color="auto" w:fill="auto"/>
        </w:rPr>
        <w:t>14374</w:t>
      </w:r>
      <w:r w:rsidRPr="00220C07">
        <w:t xml:space="preserve">, </w:t>
      </w:r>
      <w:r w:rsidRPr="00220C07">
        <w:rPr>
          <w:rStyle w:val="stddocTitle"/>
          <w:shd w:val="clear" w:color="auto" w:fill="auto"/>
        </w:rPr>
        <w:t>Timber structures — Structural laminated veneer lumber — Requirements</w:t>
      </w:r>
      <w:r w:rsidRPr="00220C07">
        <w:fldChar w:fldCharType="begin"/>
      </w:r>
      <w:r w:rsidRPr="00220C07">
        <w:instrText>IF "x_-3" "</w:instrText>
      </w:r>
      <w:r w:rsidRPr="00220C07">
        <w:fldChar w:fldCharType="begin"/>
      </w:r>
      <w:r w:rsidRPr="00220C07">
        <w:instrText>IF</w:instrText>
      </w:r>
      <w:r w:rsidRPr="00220C07">
        <w:fldChar w:fldCharType="begin"/>
      </w:r>
      <w:r w:rsidRPr="00220C07">
        <w:instrText>DOCPROPERTY "x_t"</w:instrText>
      </w:r>
      <w:r w:rsidRPr="00220C07">
        <w:fldChar w:fldCharType="separate"/>
      </w:r>
      <w:r>
        <w:instrText>N</w:instrText>
      </w:r>
      <w:r w:rsidRPr="00220C07">
        <w:fldChar w:fldCharType="end"/>
      </w:r>
      <w:r w:rsidRPr="00220C07">
        <w:instrText>&lt;&gt; N "&lt;/</w:instrText>
      </w:r>
      <w:r w:rsidRPr="00220C07">
        <w:fldChar w:fldCharType="begin"/>
      </w:r>
      <w:r w:rsidRPr="00220C07">
        <w:instrText>QUOTE "std"</w:instrText>
      </w:r>
      <w:r w:rsidRPr="00220C07">
        <w:fldChar w:fldCharType="separate"/>
      </w:r>
      <w:r w:rsidRPr="00220C07">
        <w:instrText>std</w:instrText>
      </w:r>
      <w:r w:rsidRPr="00220C07">
        <w:fldChar w:fldCharType="end"/>
      </w:r>
      <w:r w:rsidRPr="00220C07">
        <w:instrText>"</w:instrText>
      </w:r>
      <w:r w:rsidRPr="00220C07">
        <w:fldChar w:fldCharType="end"/>
      </w:r>
      <w:r w:rsidRPr="00220C07">
        <w:fldChar w:fldCharType="begin"/>
      </w:r>
      <w:r w:rsidRPr="00220C07">
        <w:instrText>IF</w:instrText>
      </w:r>
      <w:r w:rsidRPr="00220C07">
        <w:fldChar w:fldCharType="begin"/>
      </w:r>
      <w:r w:rsidRPr="00220C07">
        <w:instrText>DOCPROPERTY "x_t"</w:instrText>
      </w:r>
      <w:r w:rsidRPr="00220C07">
        <w:fldChar w:fldCharType="separate"/>
      </w:r>
      <w:r>
        <w:instrText>N</w:instrText>
      </w:r>
      <w:r w:rsidRPr="00220C07">
        <w:fldChar w:fldCharType="end"/>
      </w:r>
      <w:r w:rsidRPr="00220C07">
        <w:instrText>&lt;&gt; N "&gt;"</w:instrText>
      </w:r>
      <w:r w:rsidRPr="00220C07">
        <w:fldChar w:fldCharType="end"/>
      </w:r>
      <w:r w:rsidRPr="00220C07">
        <w:instrText>" ""</w:instrText>
      </w:r>
      <w:r w:rsidRPr="00220C07">
        <w:fldChar w:fldCharType="end"/>
      </w:r>
    </w:p>
    <w:p w14:paraId="40DD4454" w14:textId="1434CA80" w:rsidR="00E37E2C" w:rsidRPr="00220C07" w:rsidRDefault="00E37E2C" w:rsidP="00E37E2C">
      <w:pPr>
        <w:pStyle w:val="BiblioEntry"/>
      </w:pPr>
      <w:r w:rsidRPr="00220C07">
        <w:fldChar w:fldCharType="begin"/>
      </w:r>
      <w:r w:rsidRPr="00220C07">
        <w:instrText>IF "x_+3" "</w:instrText>
      </w:r>
      <w:r w:rsidRPr="00220C07">
        <w:fldChar w:fldCharType="begin"/>
      </w:r>
      <w:r w:rsidRPr="00220C07">
        <w:instrText>IF</w:instrText>
      </w:r>
      <w:r w:rsidRPr="00220C07">
        <w:fldChar w:fldCharType="begin"/>
      </w:r>
      <w:r w:rsidRPr="00220C07">
        <w:instrText>DOCPROPERTY "x_t"</w:instrText>
      </w:r>
      <w:r w:rsidRPr="00220C07">
        <w:fldChar w:fldCharType="separate"/>
      </w:r>
      <w:r>
        <w:instrText>N</w:instrText>
      </w:r>
      <w:r w:rsidRPr="00220C07">
        <w:fldChar w:fldCharType="end"/>
      </w:r>
      <w:r w:rsidRPr="00220C07">
        <w:instrText>&lt;&gt; N "&lt;</w:instrText>
      </w:r>
      <w:r w:rsidRPr="00220C07">
        <w:fldChar w:fldCharType="begin"/>
      </w:r>
      <w:r w:rsidRPr="00220C07">
        <w:instrText>QUOTE "std"</w:instrText>
      </w:r>
      <w:r w:rsidRPr="00220C07">
        <w:fldChar w:fldCharType="separate"/>
      </w:r>
      <w:r w:rsidRPr="00220C07">
        <w:instrText>std</w:instrText>
      </w:r>
      <w:r w:rsidRPr="00220C07">
        <w:fldChar w:fldCharType="end"/>
      </w:r>
      <w:r w:rsidRPr="00220C07">
        <w:instrText>"</w:instrText>
      </w:r>
      <w:r w:rsidRPr="00220C07">
        <w:fldChar w:fldCharType="end"/>
      </w:r>
      <w:r w:rsidRPr="00220C07">
        <w:fldChar w:fldCharType="begin"/>
      </w:r>
      <w:r w:rsidRPr="00220C07">
        <w:instrText>IF</w:instrText>
      </w:r>
      <w:r w:rsidRPr="00220C07">
        <w:fldChar w:fldCharType="begin"/>
      </w:r>
      <w:r w:rsidRPr="00220C07">
        <w:instrText>= AND(</w:instrText>
      </w:r>
      <w:r w:rsidRPr="00220C07">
        <w:fldChar w:fldCharType="begin"/>
      </w:r>
      <w:r w:rsidRPr="00220C07">
        <w:instrText>COMPARE</w:instrText>
      </w:r>
      <w:r w:rsidRPr="00220C07">
        <w:fldChar w:fldCharType="begin"/>
      </w:r>
      <w:r w:rsidRPr="00220C07">
        <w:instrText>DOCPROPERTY "x_t"</w:instrText>
      </w:r>
      <w:r w:rsidRPr="00220C07">
        <w:fldChar w:fldCharType="separate"/>
      </w:r>
      <w:r>
        <w:instrText>N</w:instrText>
      </w:r>
      <w:r w:rsidRPr="00220C07">
        <w:fldChar w:fldCharType="end"/>
      </w:r>
      <w:r w:rsidRPr="00220C07">
        <w:instrText>&lt;&gt; N</w:instrText>
      </w:r>
      <w:r w:rsidRPr="00220C07">
        <w:fldChar w:fldCharType="separate"/>
      </w:r>
      <w:r>
        <w:rPr>
          <w:noProof/>
        </w:rPr>
        <w:instrText>0</w:instrText>
      </w:r>
      <w:r w:rsidRPr="00220C07">
        <w:fldChar w:fldCharType="end"/>
      </w:r>
      <w:r w:rsidRPr="00220C07">
        <w:instrText>,</w:instrText>
      </w:r>
      <w:r w:rsidRPr="00220C07">
        <w:fldChar w:fldCharType="begin"/>
      </w:r>
      <w:r w:rsidRPr="00220C07">
        <w:instrText>COMPARE</w:instrText>
      </w:r>
      <w:r w:rsidRPr="00220C07">
        <w:fldChar w:fldCharType="begin"/>
      </w:r>
      <w:r w:rsidRPr="00220C07">
        <w:instrText>DOCPROPERTY "x_a"</w:instrText>
      </w:r>
      <w:r w:rsidRPr="00220C07">
        <w:fldChar w:fldCharType="separate"/>
      </w:r>
      <w:r>
        <w:instrText>N</w:instrText>
      </w:r>
      <w:r w:rsidRPr="00220C07">
        <w:fldChar w:fldCharType="end"/>
      </w:r>
      <w:r w:rsidRPr="00220C07">
        <w:instrText>&lt;&gt; N</w:instrText>
      </w:r>
      <w:r w:rsidRPr="00220C07">
        <w:fldChar w:fldCharType="separate"/>
      </w:r>
      <w:r>
        <w:rPr>
          <w:noProof/>
        </w:rPr>
        <w:instrText>0</w:instrText>
      </w:r>
      <w:r w:rsidRPr="00220C07">
        <w:fldChar w:fldCharType="end"/>
      </w:r>
      <w:r w:rsidRPr="00220C07">
        <w:instrText>)</w:instrText>
      </w:r>
      <w:r w:rsidRPr="00220C07">
        <w:fldChar w:fldCharType="separate"/>
      </w:r>
      <w:r>
        <w:rPr>
          <w:b/>
          <w:noProof/>
        </w:rPr>
        <w:instrText>!Syntax Error, ,,</w:instrText>
      </w:r>
      <w:r w:rsidRPr="00220C07">
        <w:fldChar w:fldCharType="end"/>
      </w:r>
      <w:r w:rsidRPr="00220C07">
        <w:instrText>= 1 "</w:instrText>
      </w:r>
      <w:r w:rsidRPr="00220C07">
        <w:fldChar w:fldCharType="begin"/>
      </w:r>
      <w:r w:rsidRPr="00220C07">
        <w:instrText>QUOTE ""</w:instrText>
      </w:r>
      <w:r w:rsidRPr="00220C07">
        <w:fldChar w:fldCharType="end"/>
      </w:r>
      <w:r w:rsidRPr="00220C07">
        <w:instrText>"</w:instrText>
      </w:r>
      <w:r w:rsidRPr="00220C07">
        <w:fldChar w:fldCharType="end"/>
      </w:r>
      <w:r w:rsidRPr="00220C07">
        <w:fldChar w:fldCharType="begin"/>
      </w:r>
      <w:r w:rsidRPr="00220C07">
        <w:instrText>IF</w:instrText>
      </w:r>
      <w:r w:rsidRPr="00220C07">
        <w:fldChar w:fldCharType="begin"/>
      </w:r>
      <w:r w:rsidRPr="00220C07">
        <w:instrText>DOCPROPERTY "x_t"</w:instrText>
      </w:r>
      <w:r w:rsidRPr="00220C07">
        <w:fldChar w:fldCharType="separate"/>
      </w:r>
      <w:r>
        <w:instrText>N</w:instrText>
      </w:r>
      <w:r w:rsidRPr="00220C07">
        <w:fldChar w:fldCharType="end"/>
      </w:r>
      <w:r w:rsidRPr="00220C07">
        <w:instrText>&lt;&gt; N "&gt;"</w:instrText>
      </w:r>
      <w:r w:rsidRPr="00220C07">
        <w:fldChar w:fldCharType="end"/>
      </w:r>
      <w:r w:rsidRPr="00220C07">
        <w:instrText>" "</w:instrText>
      </w:r>
      <w:r w:rsidRPr="00220C07">
        <w:fldChar w:fldCharType="begin"/>
      </w:r>
      <w:r w:rsidRPr="00220C07">
        <w:instrText>QUOTE ""</w:instrText>
      </w:r>
      <w:r w:rsidRPr="00220C07">
        <w:fldChar w:fldCharType="end"/>
      </w:r>
      <w:r w:rsidRPr="00220C07">
        <w:instrText>"</w:instrText>
      </w:r>
      <w:r w:rsidRPr="00220C07">
        <w:fldChar w:fldCharType="end"/>
      </w:r>
      <w:r w:rsidRPr="00220C07">
        <w:rPr>
          <w:rStyle w:val="stdpublisher"/>
          <w:shd w:val="clear" w:color="auto" w:fill="auto"/>
        </w:rPr>
        <w:t>EN</w:t>
      </w:r>
      <w:r w:rsidRPr="00220C07">
        <w:t> </w:t>
      </w:r>
      <w:r w:rsidRPr="00220C07">
        <w:rPr>
          <w:rStyle w:val="stddocNumber"/>
          <w:shd w:val="clear" w:color="auto" w:fill="auto"/>
        </w:rPr>
        <w:t>14592</w:t>
      </w:r>
      <w:r w:rsidRPr="00220C07">
        <w:t>:</w:t>
      </w:r>
      <w:r w:rsidRPr="00220C07">
        <w:rPr>
          <w:rStyle w:val="stdyear"/>
          <w:shd w:val="clear" w:color="auto" w:fill="auto"/>
        </w:rPr>
        <w:t>2022</w:t>
      </w:r>
      <w:r w:rsidRPr="00220C07">
        <w:t xml:space="preserve">, </w:t>
      </w:r>
      <w:r w:rsidRPr="00220C07">
        <w:rPr>
          <w:rStyle w:val="stddocTitle"/>
          <w:shd w:val="clear" w:color="auto" w:fill="auto"/>
        </w:rPr>
        <w:t>Timber structures — Dowel type fasteners — Requirements</w:t>
      </w:r>
      <w:r w:rsidRPr="00220C07">
        <w:fldChar w:fldCharType="begin"/>
      </w:r>
      <w:r w:rsidRPr="00220C07">
        <w:instrText>IF "x_-3" "</w:instrText>
      </w:r>
      <w:r w:rsidRPr="00220C07">
        <w:fldChar w:fldCharType="begin"/>
      </w:r>
      <w:r w:rsidRPr="00220C07">
        <w:instrText>IF</w:instrText>
      </w:r>
      <w:r w:rsidRPr="00220C07">
        <w:fldChar w:fldCharType="begin"/>
      </w:r>
      <w:r w:rsidRPr="00220C07">
        <w:instrText>DOCPROPERTY "x_t"</w:instrText>
      </w:r>
      <w:r w:rsidRPr="00220C07">
        <w:fldChar w:fldCharType="separate"/>
      </w:r>
      <w:r>
        <w:instrText>N</w:instrText>
      </w:r>
      <w:r w:rsidRPr="00220C07">
        <w:fldChar w:fldCharType="end"/>
      </w:r>
      <w:r w:rsidRPr="00220C07">
        <w:instrText>&lt;&gt; N "&lt;/</w:instrText>
      </w:r>
      <w:r w:rsidRPr="00220C07">
        <w:fldChar w:fldCharType="begin"/>
      </w:r>
      <w:r w:rsidRPr="00220C07">
        <w:instrText>QUOTE "std"</w:instrText>
      </w:r>
      <w:r w:rsidRPr="00220C07">
        <w:fldChar w:fldCharType="separate"/>
      </w:r>
      <w:r w:rsidRPr="00220C07">
        <w:instrText>std</w:instrText>
      </w:r>
      <w:r w:rsidRPr="00220C07">
        <w:fldChar w:fldCharType="end"/>
      </w:r>
      <w:r w:rsidRPr="00220C07">
        <w:instrText>"</w:instrText>
      </w:r>
      <w:r w:rsidRPr="00220C07">
        <w:fldChar w:fldCharType="end"/>
      </w:r>
      <w:r w:rsidRPr="00220C07">
        <w:fldChar w:fldCharType="begin"/>
      </w:r>
      <w:r w:rsidRPr="00220C07">
        <w:instrText>IF</w:instrText>
      </w:r>
      <w:r w:rsidRPr="00220C07">
        <w:fldChar w:fldCharType="begin"/>
      </w:r>
      <w:r w:rsidRPr="00220C07">
        <w:instrText>DOCPROPERTY "x_t"</w:instrText>
      </w:r>
      <w:r w:rsidRPr="00220C07">
        <w:fldChar w:fldCharType="separate"/>
      </w:r>
      <w:r>
        <w:instrText>N</w:instrText>
      </w:r>
      <w:r w:rsidRPr="00220C07">
        <w:fldChar w:fldCharType="end"/>
      </w:r>
      <w:r w:rsidRPr="00220C07">
        <w:instrText>&lt;&gt; N "&gt;"</w:instrText>
      </w:r>
      <w:r w:rsidRPr="00220C07">
        <w:fldChar w:fldCharType="end"/>
      </w:r>
      <w:r w:rsidRPr="00220C07">
        <w:instrText>" ""</w:instrText>
      </w:r>
      <w:r w:rsidRPr="00220C07">
        <w:fldChar w:fldCharType="end"/>
      </w:r>
    </w:p>
    <w:p w14:paraId="03932495" w14:textId="04EF4703" w:rsidR="00E37E2C" w:rsidRPr="00220C07" w:rsidRDefault="00E37E2C" w:rsidP="00E37E2C">
      <w:pPr>
        <w:pStyle w:val="BiblioEntry"/>
      </w:pPr>
      <w:r w:rsidRPr="00220C07">
        <w:fldChar w:fldCharType="begin"/>
      </w:r>
      <w:r w:rsidRPr="00220C07">
        <w:instrText>IF "x_+3" "</w:instrText>
      </w:r>
      <w:r w:rsidRPr="00220C07">
        <w:fldChar w:fldCharType="begin"/>
      </w:r>
      <w:r w:rsidRPr="00220C07">
        <w:instrText>IF</w:instrText>
      </w:r>
      <w:r w:rsidRPr="00220C07">
        <w:fldChar w:fldCharType="begin"/>
      </w:r>
      <w:r w:rsidRPr="00220C07">
        <w:instrText>DOCPROPERTY "x_t"</w:instrText>
      </w:r>
      <w:r w:rsidRPr="00220C07">
        <w:fldChar w:fldCharType="separate"/>
      </w:r>
      <w:r>
        <w:instrText>N</w:instrText>
      </w:r>
      <w:r w:rsidRPr="00220C07">
        <w:fldChar w:fldCharType="end"/>
      </w:r>
      <w:r w:rsidRPr="00220C07">
        <w:instrText>&lt;&gt; N "&lt;</w:instrText>
      </w:r>
      <w:r w:rsidRPr="00220C07">
        <w:fldChar w:fldCharType="begin"/>
      </w:r>
      <w:r w:rsidRPr="00220C07">
        <w:instrText>QUOTE "std"</w:instrText>
      </w:r>
      <w:r w:rsidRPr="00220C07">
        <w:fldChar w:fldCharType="separate"/>
      </w:r>
      <w:r w:rsidRPr="00220C07">
        <w:instrText>std</w:instrText>
      </w:r>
      <w:r w:rsidRPr="00220C07">
        <w:fldChar w:fldCharType="end"/>
      </w:r>
      <w:r w:rsidRPr="00220C07">
        <w:instrText>"</w:instrText>
      </w:r>
      <w:r w:rsidRPr="00220C07">
        <w:fldChar w:fldCharType="end"/>
      </w:r>
      <w:r w:rsidRPr="00220C07">
        <w:fldChar w:fldCharType="begin"/>
      </w:r>
      <w:r w:rsidRPr="00220C07">
        <w:instrText>IF</w:instrText>
      </w:r>
      <w:r w:rsidRPr="00220C07">
        <w:fldChar w:fldCharType="begin"/>
      </w:r>
      <w:r w:rsidRPr="00220C07">
        <w:instrText>= AND(</w:instrText>
      </w:r>
      <w:r w:rsidRPr="00220C07">
        <w:fldChar w:fldCharType="begin"/>
      </w:r>
      <w:r w:rsidRPr="00220C07">
        <w:instrText>COMPARE</w:instrText>
      </w:r>
      <w:r w:rsidRPr="00220C07">
        <w:fldChar w:fldCharType="begin"/>
      </w:r>
      <w:r w:rsidRPr="00220C07">
        <w:instrText>DOCPROPERTY "x_t"</w:instrText>
      </w:r>
      <w:r w:rsidRPr="00220C07">
        <w:fldChar w:fldCharType="separate"/>
      </w:r>
      <w:r>
        <w:instrText>N</w:instrText>
      </w:r>
      <w:r w:rsidRPr="00220C07">
        <w:fldChar w:fldCharType="end"/>
      </w:r>
      <w:r w:rsidRPr="00220C07">
        <w:instrText>&lt;&gt; N</w:instrText>
      </w:r>
      <w:r w:rsidRPr="00220C07">
        <w:fldChar w:fldCharType="separate"/>
      </w:r>
      <w:r>
        <w:rPr>
          <w:noProof/>
        </w:rPr>
        <w:instrText>0</w:instrText>
      </w:r>
      <w:r w:rsidRPr="00220C07">
        <w:fldChar w:fldCharType="end"/>
      </w:r>
      <w:r w:rsidRPr="00220C07">
        <w:instrText>,</w:instrText>
      </w:r>
      <w:r w:rsidRPr="00220C07">
        <w:fldChar w:fldCharType="begin"/>
      </w:r>
      <w:r w:rsidRPr="00220C07">
        <w:instrText>COMPARE</w:instrText>
      </w:r>
      <w:r w:rsidRPr="00220C07">
        <w:fldChar w:fldCharType="begin"/>
      </w:r>
      <w:r w:rsidRPr="00220C07">
        <w:instrText>DOCPROPERTY "x_a"</w:instrText>
      </w:r>
      <w:r w:rsidRPr="00220C07">
        <w:fldChar w:fldCharType="separate"/>
      </w:r>
      <w:r>
        <w:instrText>N</w:instrText>
      </w:r>
      <w:r w:rsidRPr="00220C07">
        <w:fldChar w:fldCharType="end"/>
      </w:r>
      <w:r w:rsidRPr="00220C07">
        <w:instrText>&lt;&gt; N</w:instrText>
      </w:r>
      <w:r w:rsidRPr="00220C07">
        <w:fldChar w:fldCharType="separate"/>
      </w:r>
      <w:r>
        <w:rPr>
          <w:noProof/>
        </w:rPr>
        <w:instrText>0</w:instrText>
      </w:r>
      <w:r w:rsidRPr="00220C07">
        <w:fldChar w:fldCharType="end"/>
      </w:r>
      <w:r w:rsidRPr="00220C07">
        <w:instrText>)</w:instrText>
      </w:r>
      <w:r w:rsidRPr="00220C07">
        <w:fldChar w:fldCharType="separate"/>
      </w:r>
      <w:r>
        <w:rPr>
          <w:b/>
          <w:noProof/>
        </w:rPr>
        <w:instrText>!Syntax Error, ,,</w:instrText>
      </w:r>
      <w:r w:rsidRPr="00220C07">
        <w:fldChar w:fldCharType="end"/>
      </w:r>
      <w:r w:rsidRPr="00220C07">
        <w:instrText>= 1 "</w:instrText>
      </w:r>
      <w:r w:rsidRPr="00220C07">
        <w:fldChar w:fldCharType="begin"/>
      </w:r>
      <w:r w:rsidRPr="00220C07">
        <w:instrText>QUOTE ""</w:instrText>
      </w:r>
      <w:r w:rsidRPr="00220C07">
        <w:fldChar w:fldCharType="end"/>
      </w:r>
      <w:r w:rsidRPr="00220C07">
        <w:instrText>"</w:instrText>
      </w:r>
      <w:r w:rsidRPr="00220C07">
        <w:fldChar w:fldCharType="end"/>
      </w:r>
      <w:r w:rsidRPr="00220C07">
        <w:fldChar w:fldCharType="begin"/>
      </w:r>
      <w:r w:rsidRPr="00220C07">
        <w:instrText>IF</w:instrText>
      </w:r>
      <w:r w:rsidRPr="00220C07">
        <w:fldChar w:fldCharType="begin"/>
      </w:r>
      <w:r w:rsidRPr="00220C07">
        <w:instrText>DOCPROPERTY "x_t"</w:instrText>
      </w:r>
      <w:r w:rsidRPr="00220C07">
        <w:fldChar w:fldCharType="separate"/>
      </w:r>
      <w:r>
        <w:instrText>N</w:instrText>
      </w:r>
      <w:r w:rsidRPr="00220C07">
        <w:fldChar w:fldCharType="end"/>
      </w:r>
      <w:r w:rsidRPr="00220C07">
        <w:instrText>&lt;&gt; N "&gt;"</w:instrText>
      </w:r>
      <w:r w:rsidRPr="00220C07">
        <w:fldChar w:fldCharType="end"/>
      </w:r>
      <w:r w:rsidRPr="00220C07">
        <w:instrText>" "</w:instrText>
      </w:r>
      <w:r w:rsidRPr="00220C07">
        <w:fldChar w:fldCharType="begin"/>
      </w:r>
      <w:r w:rsidRPr="00220C07">
        <w:instrText>QUOTE ""</w:instrText>
      </w:r>
      <w:r w:rsidRPr="00220C07">
        <w:fldChar w:fldCharType="end"/>
      </w:r>
      <w:r w:rsidRPr="00220C07">
        <w:instrText>"</w:instrText>
      </w:r>
      <w:r w:rsidRPr="00220C07">
        <w:fldChar w:fldCharType="end"/>
      </w:r>
      <w:r w:rsidRPr="00220C07">
        <w:rPr>
          <w:rStyle w:val="stdpublisher"/>
          <w:shd w:val="clear" w:color="auto" w:fill="auto"/>
        </w:rPr>
        <w:t>EN</w:t>
      </w:r>
      <w:r w:rsidRPr="00220C07">
        <w:t> </w:t>
      </w:r>
      <w:r w:rsidRPr="00220C07">
        <w:rPr>
          <w:rStyle w:val="stddocNumber"/>
          <w:shd w:val="clear" w:color="auto" w:fill="auto"/>
        </w:rPr>
        <w:t>15129</w:t>
      </w:r>
      <w:r w:rsidRPr="00220C07">
        <w:t xml:space="preserve">, </w:t>
      </w:r>
      <w:r w:rsidRPr="00220C07">
        <w:rPr>
          <w:rStyle w:val="stddocTitle"/>
          <w:shd w:val="clear" w:color="auto" w:fill="auto"/>
        </w:rPr>
        <w:t>Anti-seismic devices</w:t>
      </w:r>
      <w:r w:rsidRPr="00220C07">
        <w:fldChar w:fldCharType="begin"/>
      </w:r>
      <w:r w:rsidRPr="00220C07">
        <w:instrText>IF "x_-3" "</w:instrText>
      </w:r>
      <w:r w:rsidRPr="00220C07">
        <w:fldChar w:fldCharType="begin"/>
      </w:r>
      <w:r w:rsidRPr="00220C07">
        <w:instrText>IF</w:instrText>
      </w:r>
      <w:r w:rsidRPr="00220C07">
        <w:fldChar w:fldCharType="begin"/>
      </w:r>
      <w:r w:rsidRPr="00220C07">
        <w:instrText>DOCPROPERTY "x_t"</w:instrText>
      </w:r>
      <w:r w:rsidRPr="00220C07">
        <w:fldChar w:fldCharType="separate"/>
      </w:r>
      <w:r>
        <w:instrText>N</w:instrText>
      </w:r>
      <w:r w:rsidRPr="00220C07">
        <w:fldChar w:fldCharType="end"/>
      </w:r>
      <w:r w:rsidRPr="00220C07">
        <w:instrText>&lt;&gt; N "&lt;/</w:instrText>
      </w:r>
      <w:r w:rsidRPr="00220C07">
        <w:fldChar w:fldCharType="begin"/>
      </w:r>
      <w:r w:rsidRPr="00220C07">
        <w:instrText>QUOTE "std"</w:instrText>
      </w:r>
      <w:r w:rsidRPr="00220C07">
        <w:fldChar w:fldCharType="separate"/>
      </w:r>
      <w:r w:rsidRPr="00220C07">
        <w:instrText>std</w:instrText>
      </w:r>
      <w:r w:rsidRPr="00220C07">
        <w:fldChar w:fldCharType="end"/>
      </w:r>
      <w:r w:rsidRPr="00220C07">
        <w:instrText>"</w:instrText>
      </w:r>
      <w:r w:rsidRPr="00220C07">
        <w:fldChar w:fldCharType="end"/>
      </w:r>
      <w:r w:rsidRPr="00220C07">
        <w:fldChar w:fldCharType="begin"/>
      </w:r>
      <w:r w:rsidRPr="00220C07">
        <w:instrText>IF</w:instrText>
      </w:r>
      <w:r w:rsidRPr="00220C07">
        <w:fldChar w:fldCharType="begin"/>
      </w:r>
      <w:r w:rsidRPr="00220C07">
        <w:instrText>DOCPROPERTY "x_t"</w:instrText>
      </w:r>
      <w:r w:rsidRPr="00220C07">
        <w:fldChar w:fldCharType="separate"/>
      </w:r>
      <w:r>
        <w:instrText>N</w:instrText>
      </w:r>
      <w:r w:rsidRPr="00220C07">
        <w:fldChar w:fldCharType="end"/>
      </w:r>
      <w:r w:rsidRPr="00220C07">
        <w:instrText>&lt;&gt; N "&gt;"</w:instrText>
      </w:r>
      <w:r w:rsidRPr="00220C07">
        <w:fldChar w:fldCharType="end"/>
      </w:r>
      <w:r w:rsidRPr="00220C07">
        <w:instrText>" ""</w:instrText>
      </w:r>
      <w:r w:rsidRPr="00220C07">
        <w:fldChar w:fldCharType="end"/>
      </w:r>
    </w:p>
    <w:p w14:paraId="3EEF2858" w14:textId="2B71D3CF" w:rsidR="00E37E2C" w:rsidRPr="00220C07" w:rsidRDefault="00E37E2C" w:rsidP="00E37E2C">
      <w:pPr>
        <w:pStyle w:val="BiblioEntry"/>
      </w:pPr>
      <w:r w:rsidRPr="00220C07">
        <w:fldChar w:fldCharType="begin"/>
      </w:r>
      <w:r w:rsidRPr="00220C07">
        <w:instrText>IF "x_+3" "</w:instrText>
      </w:r>
      <w:r w:rsidRPr="00220C07">
        <w:fldChar w:fldCharType="begin"/>
      </w:r>
      <w:r w:rsidRPr="00220C07">
        <w:instrText>IF</w:instrText>
      </w:r>
      <w:r w:rsidRPr="00220C07">
        <w:fldChar w:fldCharType="begin"/>
      </w:r>
      <w:r w:rsidRPr="00220C07">
        <w:instrText>DOCPROPERTY "x_t"</w:instrText>
      </w:r>
      <w:r w:rsidRPr="00220C07">
        <w:fldChar w:fldCharType="separate"/>
      </w:r>
      <w:r>
        <w:instrText>N</w:instrText>
      </w:r>
      <w:r w:rsidRPr="00220C07">
        <w:fldChar w:fldCharType="end"/>
      </w:r>
      <w:r w:rsidRPr="00220C07">
        <w:instrText>&lt;&gt; N "&lt;</w:instrText>
      </w:r>
      <w:r w:rsidRPr="00220C07">
        <w:fldChar w:fldCharType="begin"/>
      </w:r>
      <w:r w:rsidRPr="00220C07">
        <w:instrText>QUOTE "std"</w:instrText>
      </w:r>
      <w:r w:rsidRPr="00220C07">
        <w:fldChar w:fldCharType="separate"/>
      </w:r>
      <w:r w:rsidRPr="00220C07">
        <w:instrText>std</w:instrText>
      </w:r>
      <w:r w:rsidRPr="00220C07">
        <w:fldChar w:fldCharType="end"/>
      </w:r>
      <w:r w:rsidRPr="00220C07">
        <w:instrText>"</w:instrText>
      </w:r>
      <w:r w:rsidRPr="00220C07">
        <w:fldChar w:fldCharType="end"/>
      </w:r>
      <w:r w:rsidRPr="00220C07">
        <w:fldChar w:fldCharType="begin"/>
      </w:r>
      <w:r w:rsidRPr="00220C07">
        <w:instrText>IF</w:instrText>
      </w:r>
      <w:r w:rsidRPr="00220C07">
        <w:fldChar w:fldCharType="begin"/>
      </w:r>
      <w:r w:rsidRPr="00220C07">
        <w:instrText>= AND(</w:instrText>
      </w:r>
      <w:r w:rsidRPr="00220C07">
        <w:fldChar w:fldCharType="begin"/>
      </w:r>
      <w:r w:rsidRPr="00220C07">
        <w:instrText>COMPARE</w:instrText>
      </w:r>
      <w:r w:rsidRPr="00220C07">
        <w:fldChar w:fldCharType="begin"/>
      </w:r>
      <w:r w:rsidRPr="00220C07">
        <w:instrText>DOCPROPERTY "x_t"</w:instrText>
      </w:r>
      <w:r w:rsidRPr="00220C07">
        <w:fldChar w:fldCharType="separate"/>
      </w:r>
      <w:r>
        <w:instrText>N</w:instrText>
      </w:r>
      <w:r w:rsidRPr="00220C07">
        <w:fldChar w:fldCharType="end"/>
      </w:r>
      <w:r w:rsidRPr="00220C07">
        <w:instrText>&lt;&gt; N</w:instrText>
      </w:r>
      <w:r w:rsidRPr="00220C07">
        <w:fldChar w:fldCharType="separate"/>
      </w:r>
      <w:r>
        <w:rPr>
          <w:noProof/>
        </w:rPr>
        <w:instrText>0</w:instrText>
      </w:r>
      <w:r w:rsidRPr="00220C07">
        <w:fldChar w:fldCharType="end"/>
      </w:r>
      <w:r w:rsidRPr="00220C07">
        <w:instrText>,</w:instrText>
      </w:r>
      <w:r w:rsidRPr="00220C07">
        <w:fldChar w:fldCharType="begin"/>
      </w:r>
      <w:r w:rsidRPr="00220C07">
        <w:instrText>COMPARE</w:instrText>
      </w:r>
      <w:r w:rsidRPr="00220C07">
        <w:fldChar w:fldCharType="begin"/>
      </w:r>
      <w:r w:rsidRPr="00220C07">
        <w:instrText>DOCPROPERTY "x_a"</w:instrText>
      </w:r>
      <w:r w:rsidRPr="00220C07">
        <w:fldChar w:fldCharType="separate"/>
      </w:r>
      <w:r>
        <w:instrText>N</w:instrText>
      </w:r>
      <w:r w:rsidRPr="00220C07">
        <w:fldChar w:fldCharType="end"/>
      </w:r>
      <w:r w:rsidRPr="00220C07">
        <w:instrText>&lt;&gt; N</w:instrText>
      </w:r>
      <w:r w:rsidRPr="00220C07">
        <w:fldChar w:fldCharType="separate"/>
      </w:r>
      <w:r>
        <w:rPr>
          <w:noProof/>
        </w:rPr>
        <w:instrText>0</w:instrText>
      </w:r>
      <w:r w:rsidRPr="00220C07">
        <w:fldChar w:fldCharType="end"/>
      </w:r>
      <w:r w:rsidRPr="00220C07">
        <w:instrText>)</w:instrText>
      </w:r>
      <w:r w:rsidRPr="00220C07">
        <w:fldChar w:fldCharType="separate"/>
      </w:r>
      <w:r>
        <w:rPr>
          <w:b/>
          <w:noProof/>
        </w:rPr>
        <w:instrText>!Syntax Error, ,,</w:instrText>
      </w:r>
      <w:r w:rsidRPr="00220C07">
        <w:fldChar w:fldCharType="end"/>
      </w:r>
      <w:r w:rsidRPr="00220C07">
        <w:instrText>= 1 "</w:instrText>
      </w:r>
      <w:r w:rsidRPr="00220C07">
        <w:fldChar w:fldCharType="begin"/>
      </w:r>
      <w:r w:rsidRPr="00220C07">
        <w:instrText>QUOTE ""</w:instrText>
      </w:r>
      <w:r w:rsidRPr="00220C07">
        <w:fldChar w:fldCharType="end"/>
      </w:r>
      <w:r w:rsidRPr="00220C07">
        <w:instrText>"</w:instrText>
      </w:r>
      <w:r w:rsidRPr="00220C07">
        <w:fldChar w:fldCharType="end"/>
      </w:r>
      <w:r w:rsidRPr="00220C07">
        <w:fldChar w:fldCharType="begin"/>
      </w:r>
      <w:r w:rsidRPr="00220C07">
        <w:instrText>IF</w:instrText>
      </w:r>
      <w:r w:rsidRPr="00220C07">
        <w:fldChar w:fldCharType="begin"/>
      </w:r>
      <w:r w:rsidRPr="00220C07">
        <w:instrText>DOCPROPERTY "x_t"</w:instrText>
      </w:r>
      <w:r w:rsidRPr="00220C07">
        <w:fldChar w:fldCharType="separate"/>
      </w:r>
      <w:r>
        <w:instrText>N</w:instrText>
      </w:r>
      <w:r w:rsidRPr="00220C07">
        <w:fldChar w:fldCharType="end"/>
      </w:r>
      <w:r w:rsidRPr="00220C07">
        <w:instrText>&lt;&gt; N "&gt;"</w:instrText>
      </w:r>
      <w:r w:rsidRPr="00220C07">
        <w:fldChar w:fldCharType="end"/>
      </w:r>
      <w:r w:rsidRPr="00220C07">
        <w:instrText>" "</w:instrText>
      </w:r>
      <w:r w:rsidRPr="00220C07">
        <w:fldChar w:fldCharType="begin"/>
      </w:r>
      <w:r w:rsidRPr="00220C07">
        <w:instrText>QUOTE ""</w:instrText>
      </w:r>
      <w:r w:rsidRPr="00220C07">
        <w:fldChar w:fldCharType="end"/>
      </w:r>
      <w:r w:rsidRPr="00220C07">
        <w:instrText>"</w:instrText>
      </w:r>
      <w:r w:rsidRPr="00220C07">
        <w:fldChar w:fldCharType="end"/>
      </w:r>
      <w:r w:rsidRPr="00220C07">
        <w:rPr>
          <w:rStyle w:val="stdpublisher"/>
          <w:shd w:val="clear" w:color="auto" w:fill="auto"/>
        </w:rPr>
        <w:t>EN</w:t>
      </w:r>
      <w:r w:rsidRPr="00220C07">
        <w:t> </w:t>
      </w:r>
      <w:r w:rsidRPr="00220C07">
        <w:rPr>
          <w:rStyle w:val="stddocNumber"/>
          <w:shd w:val="clear" w:color="auto" w:fill="auto"/>
        </w:rPr>
        <w:t>15283</w:t>
      </w:r>
      <w:r w:rsidRPr="00220C07">
        <w:noBreakHyphen/>
      </w:r>
      <w:r w:rsidRPr="00220C07">
        <w:rPr>
          <w:rStyle w:val="stddocPartNumber"/>
          <w:shd w:val="clear" w:color="auto" w:fill="auto"/>
        </w:rPr>
        <w:t>2</w:t>
      </w:r>
      <w:r w:rsidRPr="00220C07">
        <w:t xml:space="preserve">, </w:t>
      </w:r>
      <w:r w:rsidRPr="00220C07">
        <w:rPr>
          <w:rStyle w:val="stddocTitle"/>
          <w:shd w:val="clear" w:color="auto" w:fill="auto"/>
        </w:rPr>
        <w:t>Gypsum boards with fibrous reinforcement — Definitions, requirements and test methods — Part 2: Gypsum fibre boards</w:t>
      </w:r>
      <w:r w:rsidRPr="00220C07">
        <w:fldChar w:fldCharType="begin"/>
      </w:r>
      <w:r w:rsidRPr="00220C07">
        <w:instrText>IF "x_-3" "</w:instrText>
      </w:r>
      <w:r w:rsidRPr="00220C07">
        <w:fldChar w:fldCharType="begin"/>
      </w:r>
      <w:r w:rsidRPr="00220C07">
        <w:instrText>IF</w:instrText>
      </w:r>
      <w:r w:rsidRPr="00220C07">
        <w:fldChar w:fldCharType="begin"/>
      </w:r>
      <w:r w:rsidRPr="00220C07">
        <w:instrText>DOCPROPERTY "x_t"</w:instrText>
      </w:r>
      <w:r w:rsidRPr="00220C07">
        <w:fldChar w:fldCharType="separate"/>
      </w:r>
      <w:r>
        <w:instrText>N</w:instrText>
      </w:r>
      <w:r w:rsidRPr="00220C07">
        <w:fldChar w:fldCharType="end"/>
      </w:r>
      <w:r w:rsidRPr="00220C07">
        <w:instrText>&lt;&gt; N "&lt;/</w:instrText>
      </w:r>
      <w:r w:rsidRPr="00220C07">
        <w:fldChar w:fldCharType="begin"/>
      </w:r>
      <w:r w:rsidRPr="00220C07">
        <w:instrText>QUOTE "std"</w:instrText>
      </w:r>
      <w:r w:rsidRPr="00220C07">
        <w:fldChar w:fldCharType="separate"/>
      </w:r>
      <w:r w:rsidRPr="00220C07">
        <w:instrText>std</w:instrText>
      </w:r>
      <w:r w:rsidRPr="00220C07">
        <w:fldChar w:fldCharType="end"/>
      </w:r>
      <w:r w:rsidRPr="00220C07">
        <w:instrText>"</w:instrText>
      </w:r>
      <w:r w:rsidRPr="00220C07">
        <w:fldChar w:fldCharType="end"/>
      </w:r>
      <w:r w:rsidRPr="00220C07">
        <w:fldChar w:fldCharType="begin"/>
      </w:r>
      <w:r w:rsidRPr="00220C07">
        <w:instrText>IF</w:instrText>
      </w:r>
      <w:r w:rsidRPr="00220C07">
        <w:fldChar w:fldCharType="begin"/>
      </w:r>
      <w:r w:rsidRPr="00220C07">
        <w:instrText>DOCPROPERTY "x_t"</w:instrText>
      </w:r>
      <w:r w:rsidRPr="00220C07">
        <w:fldChar w:fldCharType="separate"/>
      </w:r>
      <w:r>
        <w:instrText>N</w:instrText>
      </w:r>
      <w:r w:rsidRPr="00220C07">
        <w:fldChar w:fldCharType="end"/>
      </w:r>
      <w:r w:rsidRPr="00220C07">
        <w:instrText>&lt;&gt; N "&gt;"</w:instrText>
      </w:r>
      <w:r w:rsidRPr="00220C07">
        <w:fldChar w:fldCharType="end"/>
      </w:r>
      <w:r w:rsidRPr="00220C07">
        <w:instrText>" ""</w:instrText>
      </w:r>
      <w:r w:rsidRPr="00220C07">
        <w:fldChar w:fldCharType="end"/>
      </w:r>
    </w:p>
    <w:p w14:paraId="77EB84FE" w14:textId="46FA7381" w:rsidR="00E37E2C" w:rsidRPr="00220C07" w:rsidRDefault="00E37E2C" w:rsidP="00E37E2C">
      <w:pPr>
        <w:pStyle w:val="BiblioEntry"/>
      </w:pPr>
      <w:r w:rsidRPr="00220C07">
        <w:fldChar w:fldCharType="begin"/>
      </w:r>
      <w:r w:rsidRPr="00220C07">
        <w:instrText>IF "x_+3" "</w:instrText>
      </w:r>
      <w:r w:rsidRPr="00220C07">
        <w:fldChar w:fldCharType="begin"/>
      </w:r>
      <w:r w:rsidRPr="00220C07">
        <w:instrText>IF</w:instrText>
      </w:r>
      <w:r w:rsidRPr="00220C07">
        <w:fldChar w:fldCharType="begin"/>
      </w:r>
      <w:r w:rsidRPr="00220C07">
        <w:instrText>DOCPROPERTY "x_t"</w:instrText>
      </w:r>
      <w:r w:rsidRPr="00220C07">
        <w:fldChar w:fldCharType="separate"/>
      </w:r>
      <w:r>
        <w:instrText>N</w:instrText>
      </w:r>
      <w:r w:rsidRPr="00220C07">
        <w:fldChar w:fldCharType="end"/>
      </w:r>
      <w:r w:rsidRPr="00220C07">
        <w:instrText>&lt;&gt; N "&lt;</w:instrText>
      </w:r>
      <w:r w:rsidRPr="00220C07">
        <w:fldChar w:fldCharType="begin"/>
      </w:r>
      <w:r w:rsidRPr="00220C07">
        <w:instrText>QUOTE "std"</w:instrText>
      </w:r>
      <w:r w:rsidRPr="00220C07">
        <w:fldChar w:fldCharType="separate"/>
      </w:r>
      <w:r w:rsidRPr="00220C07">
        <w:instrText>std</w:instrText>
      </w:r>
      <w:r w:rsidRPr="00220C07">
        <w:fldChar w:fldCharType="end"/>
      </w:r>
      <w:r w:rsidRPr="00220C07">
        <w:instrText>"</w:instrText>
      </w:r>
      <w:r w:rsidRPr="00220C07">
        <w:fldChar w:fldCharType="end"/>
      </w:r>
      <w:r w:rsidRPr="00220C07">
        <w:fldChar w:fldCharType="begin"/>
      </w:r>
      <w:r w:rsidRPr="00220C07">
        <w:instrText>IF</w:instrText>
      </w:r>
      <w:r w:rsidRPr="00220C07">
        <w:fldChar w:fldCharType="begin"/>
      </w:r>
      <w:r w:rsidRPr="00220C07">
        <w:instrText>= AND(</w:instrText>
      </w:r>
      <w:r w:rsidRPr="00220C07">
        <w:fldChar w:fldCharType="begin"/>
      </w:r>
      <w:r w:rsidRPr="00220C07">
        <w:instrText>COMPARE</w:instrText>
      </w:r>
      <w:r w:rsidRPr="00220C07">
        <w:fldChar w:fldCharType="begin"/>
      </w:r>
      <w:r w:rsidRPr="00220C07">
        <w:instrText>DOCPROPERTY "x_t"</w:instrText>
      </w:r>
      <w:r w:rsidRPr="00220C07">
        <w:fldChar w:fldCharType="separate"/>
      </w:r>
      <w:r>
        <w:instrText>N</w:instrText>
      </w:r>
      <w:r w:rsidRPr="00220C07">
        <w:fldChar w:fldCharType="end"/>
      </w:r>
      <w:r w:rsidRPr="00220C07">
        <w:instrText>&lt;&gt; N</w:instrText>
      </w:r>
      <w:r w:rsidRPr="00220C07">
        <w:fldChar w:fldCharType="separate"/>
      </w:r>
      <w:r>
        <w:rPr>
          <w:noProof/>
        </w:rPr>
        <w:instrText>0</w:instrText>
      </w:r>
      <w:r w:rsidRPr="00220C07">
        <w:fldChar w:fldCharType="end"/>
      </w:r>
      <w:r w:rsidRPr="00220C07">
        <w:instrText>,</w:instrText>
      </w:r>
      <w:r w:rsidRPr="00220C07">
        <w:fldChar w:fldCharType="begin"/>
      </w:r>
      <w:r w:rsidRPr="00220C07">
        <w:instrText>COMPARE</w:instrText>
      </w:r>
      <w:r w:rsidRPr="00220C07">
        <w:fldChar w:fldCharType="begin"/>
      </w:r>
      <w:r w:rsidRPr="00220C07">
        <w:instrText>DOCPROPERTY "x_a"</w:instrText>
      </w:r>
      <w:r w:rsidRPr="00220C07">
        <w:fldChar w:fldCharType="separate"/>
      </w:r>
      <w:r>
        <w:instrText>N</w:instrText>
      </w:r>
      <w:r w:rsidRPr="00220C07">
        <w:fldChar w:fldCharType="end"/>
      </w:r>
      <w:r w:rsidRPr="00220C07">
        <w:instrText>&lt;&gt; N</w:instrText>
      </w:r>
      <w:r w:rsidRPr="00220C07">
        <w:fldChar w:fldCharType="separate"/>
      </w:r>
      <w:r>
        <w:rPr>
          <w:noProof/>
        </w:rPr>
        <w:instrText>0</w:instrText>
      </w:r>
      <w:r w:rsidRPr="00220C07">
        <w:fldChar w:fldCharType="end"/>
      </w:r>
      <w:r w:rsidRPr="00220C07">
        <w:instrText>)</w:instrText>
      </w:r>
      <w:r w:rsidRPr="00220C07">
        <w:fldChar w:fldCharType="separate"/>
      </w:r>
      <w:r>
        <w:rPr>
          <w:b/>
          <w:noProof/>
        </w:rPr>
        <w:instrText>!Syntax Error, ,,</w:instrText>
      </w:r>
      <w:r w:rsidRPr="00220C07">
        <w:fldChar w:fldCharType="end"/>
      </w:r>
      <w:r w:rsidRPr="00220C07">
        <w:instrText>= 1 "</w:instrText>
      </w:r>
      <w:r w:rsidRPr="00220C07">
        <w:fldChar w:fldCharType="begin"/>
      </w:r>
      <w:r w:rsidRPr="00220C07">
        <w:instrText>QUOTE ""</w:instrText>
      </w:r>
      <w:r w:rsidRPr="00220C07">
        <w:fldChar w:fldCharType="end"/>
      </w:r>
      <w:r w:rsidRPr="00220C07">
        <w:instrText>"</w:instrText>
      </w:r>
      <w:r w:rsidRPr="00220C07">
        <w:fldChar w:fldCharType="end"/>
      </w:r>
      <w:r w:rsidRPr="00220C07">
        <w:fldChar w:fldCharType="begin"/>
      </w:r>
      <w:r w:rsidRPr="00220C07">
        <w:instrText>IF</w:instrText>
      </w:r>
      <w:r w:rsidRPr="00220C07">
        <w:fldChar w:fldCharType="begin"/>
      </w:r>
      <w:r w:rsidRPr="00220C07">
        <w:instrText>DOCPROPERTY "x_t"</w:instrText>
      </w:r>
      <w:r w:rsidRPr="00220C07">
        <w:fldChar w:fldCharType="separate"/>
      </w:r>
      <w:r>
        <w:instrText>N</w:instrText>
      </w:r>
      <w:r w:rsidRPr="00220C07">
        <w:fldChar w:fldCharType="end"/>
      </w:r>
      <w:r w:rsidRPr="00220C07">
        <w:instrText>&lt;&gt; N "&gt;"</w:instrText>
      </w:r>
      <w:r w:rsidRPr="00220C07">
        <w:fldChar w:fldCharType="end"/>
      </w:r>
      <w:r w:rsidRPr="00220C07">
        <w:instrText>" "</w:instrText>
      </w:r>
      <w:r w:rsidRPr="00220C07">
        <w:fldChar w:fldCharType="begin"/>
      </w:r>
      <w:r w:rsidRPr="00220C07">
        <w:instrText>QUOTE ""</w:instrText>
      </w:r>
      <w:r w:rsidRPr="00220C07">
        <w:fldChar w:fldCharType="end"/>
      </w:r>
      <w:r w:rsidRPr="00220C07">
        <w:instrText>"</w:instrText>
      </w:r>
      <w:r w:rsidRPr="00220C07">
        <w:fldChar w:fldCharType="end"/>
      </w:r>
      <w:r w:rsidRPr="00220C07">
        <w:rPr>
          <w:rStyle w:val="stdpublisher"/>
          <w:shd w:val="clear" w:color="auto" w:fill="auto"/>
        </w:rPr>
        <w:t>EN</w:t>
      </w:r>
      <w:r w:rsidRPr="00220C07">
        <w:t> </w:t>
      </w:r>
      <w:r w:rsidRPr="00220C07">
        <w:rPr>
          <w:rStyle w:val="stddocNumber"/>
          <w:shd w:val="clear" w:color="auto" w:fill="auto"/>
        </w:rPr>
        <w:t>20898</w:t>
      </w:r>
      <w:r w:rsidRPr="00220C07">
        <w:noBreakHyphen/>
      </w:r>
      <w:r w:rsidRPr="00220C07">
        <w:rPr>
          <w:rStyle w:val="stddocPartNumber"/>
          <w:shd w:val="clear" w:color="auto" w:fill="auto"/>
        </w:rPr>
        <w:t>2</w:t>
      </w:r>
      <w:r w:rsidRPr="00220C07">
        <w:t xml:space="preserve">, </w:t>
      </w:r>
      <w:r w:rsidRPr="00220C07">
        <w:rPr>
          <w:rStyle w:val="stddocTitle"/>
          <w:shd w:val="clear" w:color="auto" w:fill="auto"/>
        </w:rPr>
        <w:t>Mechanical properties of fasteners — Part 2: Nuts with specified proof load values — Coarse thread (ISO 898-2)</w:t>
      </w:r>
      <w:r w:rsidRPr="00220C07">
        <w:fldChar w:fldCharType="begin"/>
      </w:r>
      <w:r w:rsidRPr="00220C07">
        <w:instrText>IF "x_-3" "</w:instrText>
      </w:r>
      <w:r w:rsidRPr="00220C07">
        <w:fldChar w:fldCharType="begin"/>
      </w:r>
      <w:r w:rsidRPr="00220C07">
        <w:instrText>IF</w:instrText>
      </w:r>
      <w:r w:rsidRPr="00220C07">
        <w:fldChar w:fldCharType="begin"/>
      </w:r>
      <w:r w:rsidRPr="00220C07">
        <w:instrText>DOCPROPERTY "x_t"</w:instrText>
      </w:r>
      <w:r w:rsidRPr="00220C07">
        <w:fldChar w:fldCharType="separate"/>
      </w:r>
      <w:r>
        <w:instrText>N</w:instrText>
      </w:r>
      <w:r w:rsidRPr="00220C07">
        <w:fldChar w:fldCharType="end"/>
      </w:r>
      <w:r w:rsidRPr="00220C07">
        <w:instrText>&lt;&gt; N "&lt;/</w:instrText>
      </w:r>
      <w:r w:rsidRPr="00220C07">
        <w:fldChar w:fldCharType="begin"/>
      </w:r>
      <w:r w:rsidRPr="00220C07">
        <w:instrText>QUOTE "std"</w:instrText>
      </w:r>
      <w:r w:rsidRPr="00220C07">
        <w:fldChar w:fldCharType="separate"/>
      </w:r>
      <w:r w:rsidRPr="00220C07">
        <w:instrText>std</w:instrText>
      </w:r>
      <w:r w:rsidRPr="00220C07">
        <w:fldChar w:fldCharType="end"/>
      </w:r>
      <w:r w:rsidRPr="00220C07">
        <w:instrText>"</w:instrText>
      </w:r>
      <w:r w:rsidRPr="00220C07">
        <w:fldChar w:fldCharType="end"/>
      </w:r>
      <w:r w:rsidRPr="00220C07">
        <w:fldChar w:fldCharType="begin"/>
      </w:r>
      <w:r w:rsidRPr="00220C07">
        <w:instrText>IF</w:instrText>
      </w:r>
      <w:r w:rsidRPr="00220C07">
        <w:fldChar w:fldCharType="begin"/>
      </w:r>
      <w:r w:rsidRPr="00220C07">
        <w:instrText>DOCPROPERTY "x_t"</w:instrText>
      </w:r>
      <w:r w:rsidRPr="00220C07">
        <w:fldChar w:fldCharType="separate"/>
      </w:r>
      <w:r>
        <w:instrText>N</w:instrText>
      </w:r>
      <w:r w:rsidRPr="00220C07">
        <w:fldChar w:fldCharType="end"/>
      </w:r>
      <w:r w:rsidRPr="00220C07">
        <w:instrText>&lt;&gt; N "&gt;"</w:instrText>
      </w:r>
      <w:r w:rsidRPr="00220C07">
        <w:fldChar w:fldCharType="end"/>
      </w:r>
      <w:r w:rsidRPr="00220C07">
        <w:instrText>" ""</w:instrText>
      </w:r>
      <w:r w:rsidRPr="00220C07">
        <w:fldChar w:fldCharType="end"/>
      </w:r>
    </w:p>
    <w:p w14:paraId="2159F9FD" w14:textId="4C7D2B4F" w:rsidR="00E37E2C" w:rsidRPr="00220C07" w:rsidRDefault="00E37E2C" w:rsidP="00E37E2C">
      <w:pPr>
        <w:pStyle w:val="BiblioEntry"/>
      </w:pPr>
      <w:r w:rsidRPr="00220C07">
        <w:fldChar w:fldCharType="begin"/>
      </w:r>
      <w:r w:rsidRPr="00220C07">
        <w:instrText>IF "x_+3" "</w:instrText>
      </w:r>
      <w:r w:rsidRPr="00220C07">
        <w:fldChar w:fldCharType="begin"/>
      </w:r>
      <w:r w:rsidRPr="00220C07">
        <w:instrText>IF</w:instrText>
      </w:r>
      <w:r w:rsidRPr="00220C07">
        <w:fldChar w:fldCharType="begin"/>
      </w:r>
      <w:r w:rsidRPr="00220C07">
        <w:instrText>DOCPROPERTY "x_t"</w:instrText>
      </w:r>
      <w:r w:rsidRPr="00220C07">
        <w:fldChar w:fldCharType="separate"/>
      </w:r>
      <w:r>
        <w:instrText>N</w:instrText>
      </w:r>
      <w:r w:rsidRPr="00220C07">
        <w:fldChar w:fldCharType="end"/>
      </w:r>
      <w:r w:rsidRPr="00220C07">
        <w:instrText>&lt;&gt; N "&lt;</w:instrText>
      </w:r>
      <w:r w:rsidRPr="00220C07">
        <w:fldChar w:fldCharType="begin"/>
      </w:r>
      <w:r w:rsidRPr="00220C07">
        <w:instrText>QUOTE "std"</w:instrText>
      </w:r>
      <w:r w:rsidRPr="00220C07">
        <w:fldChar w:fldCharType="separate"/>
      </w:r>
      <w:r w:rsidRPr="00220C07">
        <w:instrText>std</w:instrText>
      </w:r>
      <w:r w:rsidRPr="00220C07">
        <w:fldChar w:fldCharType="end"/>
      </w:r>
      <w:r w:rsidRPr="00220C07">
        <w:instrText>"</w:instrText>
      </w:r>
      <w:r w:rsidRPr="00220C07">
        <w:fldChar w:fldCharType="end"/>
      </w:r>
      <w:r w:rsidRPr="00220C07">
        <w:fldChar w:fldCharType="begin"/>
      </w:r>
      <w:r w:rsidRPr="00220C07">
        <w:instrText>IF</w:instrText>
      </w:r>
      <w:r w:rsidRPr="00220C07">
        <w:fldChar w:fldCharType="begin"/>
      </w:r>
      <w:r w:rsidRPr="00220C07">
        <w:instrText>= AND(</w:instrText>
      </w:r>
      <w:r w:rsidRPr="00220C07">
        <w:fldChar w:fldCharType="begin"/>
      </w:r>
      <w:r w:rsidRPr="00220C07">
        <w:instrText>COMPARE</w:instrText>
      </w:r>
      <w:r w:rsidRPr="00220C07">
        <w:fldChar w:fldCharType="begin"/>
      </w:r>
      <w:r w:rsidRPr="00220C07">
        <w:instrText>DOCPROPERTY "x_t"</w:instrText>
      </w:r>
      <w:r w:rsidRPr="00220C07">
        <w:fldChar w:fldCharType="separate"/>
      </w:r>
      <w:r>
        <w:instrText>N</w:instrText>
      </w:r>
      <w:r w:rsidRPr="00220C07">
        <w:fldChar w:fldCharType="end"/>
      </w:r>
      <w:r w:rsidRPr="00220C07">
        <w:instrText>&lt;&gt; N</w:instrText>
      </w:r>
      <w:r w:rsidRPr="00220C07">
        <w:fldChar w:fldCharType="separate"/>
      </w:r>
      <w:r>
        <w:rPr>
          <w:noProof/>
        </w:rPr>
        <w:instrText>0</w:instrText>
      </w:r>
      <w:r w:rsidRPr="00220C07">
        <w:fldChar w:fldCharType="end"/>
      </w:r>
      <w:r w:rsidRPr="00220C07">
        <w:instrText>,</w:instrText>
      </w:r>
      <w:r w:rsidRPr="00220C07">
        <w:fldChar w:fldCharType="begin"/>
      </w:r>
      <w:r w:rsidRPr="00220C07">
        <w:instrText>COMPARE</w:instrText>
      </w:r>
      <w:r w:rsidRPr="00220C07">
        <w:fldChar w:fldCharType="begin"/>
      </w:r>
      <w:r w:rsidRPr="00220C07">
        <w:instrText>DOCPROPERTY "x_a"</w:instrText>
      </w:r>
      <w:r w:rsidRPr="00220C07">
        <w:fldChar w:fldCharType="separate"/>
      </w:r>
      <w:r>
        <w:instrText>N</w:instrText>
      </w:r>
      <w:r w:rsidRPr="00220C07">
        <w:fldChar w:fldCharType="end"/>
      </w:r>
      <w:r w:rsidRPr="00220C07">
        <w:instrText>&lt;&gt; N</w:instrText>
      </w:r>
      <w:r w:rsidRPr="00220C07">
        <w:fldChar w:fldCharType="separate"/>
      </w:r>
      <w:r>
        <w:rPr>
          <w:noProof/>
        </w:rPr>
        <w:instrText>0</w:instrText>
      </w:r>
      <w:r w:rsidRPr="00220C07">
        <w:fldChar w:fldCharType="end"/>
      </w:r>
      <w:r w:rsidRPr="00220C07">
        <w:instrText>)</w:instrText>
      </w:r>
      <w:r w:rsidRPr="00220C07">
        <w:fldChar w:fldCharType="separate"/>
      </w:r>
      <w:r>
        <w:rPr>
          <w:b/>
          <w:noProof/>
        </w:rPr>
        <w:instrText>!Syntax Error, ,,</w:instrText>
      </w:r>
      <w:r w:rsidRPr="00220C07">
        <w:fldChar w:fldCharType="end"/>
      </w:r>
      <w:r w:rsidRPr="00220C07">
        <w:instrText>= 1 "</w:instrText>
      </w:r>
      <w:r w:rsidRPr="00220C07">
        <w:fldChar w:fldCharType="begin"/>
      </w:r>
      <w:r w:rsidRPr="00220C07">
        <w:instrText>QUOTE ""</w:instrText>
      </w:r>
      <w:r w:rsidRPr="00220C07">
        <w:fldChar w:fldCharType="end"/>
      </w:r>
      <w:r w:rsidRPr="00220C07">
        <w:instrText>"</w:instrText>
      </w:r>
      <w:r w:rsidRPr="00220C07">
        <w:fldChar w:fldCharType="end"/>
      </w:r>
      <w:r w:rsidRPr="00220C07">
        <w:fldChar w:fldCharType="begin"/>
      </w:r>
      <w:r w:rsidRPr="00220C07">
        <w:instrText>IF</w:instrText>
      </w:r>
      <w:r w:rsidRPr="00220C07">
        <w:fldChar w:fldCharType="begin"/>
      </w:r>
      <w:r w:rsidRPr="00220C07">
        <w:instrText>DOCPROPERTY "x_t"</w:instrText>
      </w:r>
      <w:r w:rsidRPr="00220C07">
        <w:fldChar w:fldCharType="separate"/>
      </w:r>
      <w:r>
        <w:instrText>N</w:instrText>
      </w:r>
      <w:r w:rsidRPr="00220C07">
        <w:fldChar w:fldCharType="end"/>
      </w:r>
      <w:r w:rsidRPr="00220C07">
        <w:instrText>&lt;&gt; N "&gt;"</w:instrText>
      </w:r>
      <w:r w:rsidRPr="00220C07">
        <w:fldChar w:fldCharType="end"/>
      </w:r>
      <w:r w:rsidRPr="00220C07">
        <w:instrText>" "</w:instrText>
      </w:r>
      <w:r w:rsidRPr="00220C07">
        <w:fldChar w:fldCharType="begin"/>
      </w:r>
      <w:r w:rsidRPr="00220C07">
        <w:instrText>QUOTE ""</w:instrText>
      </w:r>
      <w:r w:rsidRPr="00220C07">
        <w:fldChar w:fldCharType="end"/>
      </w:r>
      <w:r w:rsidRPr="00220C07">
        <w:instrText>"</w:instrText>
      </w:r>
      <w:r w:rsidRPr="00220C07">
        <w:fldChar w:fldCharType="end"/>
      </w:r>
      <w:r w:rsidRPr="00220C07">
        <w:rPr>
          <w:rStyle w:val="stdpublisher"/>
          <w:shd w:val="clear" w:color="auto" w:fill="auto"/>
        </w:rPr>
        <w:t>EN</w:t>
      </w:r>
      <w:r w:rsidRPr="00220C07">
        <w:t> </w:t>
      </w:r>
      <w:r w:rsidRPr="00220C07">
        <w:rPr>
          <w:rStyle w:val="stddocNumber"/>
          <w:shd w:val="clear" w:color="auto" w:fill="auto"/>
        </w:rPr>
        <w:t>61061</w:t>
      </w:r>
      <w:r w:rsidRPr="00220C07">
        <w:noBreakHyphen/>
      </w:r>
      <w:r w:rsidRPr="00220C07">
        <w:rPr>
          <w:rStyle w:val="stddocPartNumber"/>
          <w:shd w:val="clear" w:color="auto" w:fill="auto"/>
        </w:rPr>
        <w:t>3-1</w:t>
      </w:r>
      <w:r w:rsidRPr="00220C07">
        <w:t xml:space="preserve">, </w:t>
      </w:r>
      <w:r w:rsidRPr="00220C07">
        <w:rPr>
          <w:rStyle w:val="stddocTitle"/>
          <w:shd w:val="clear" w:color="auto" w:fill="auto"/>
        </w:rPr>
        <w:t>Non-impregnated densified laminated wood for electrical purposes — Part 3: Specifications for individual materials — Sheet 1: Sheets produced from beech veneer (IEC 61061-3-1)</w:t>
      </w:r>
      <w:r w:rsidRPr="00220C07">
        <w:fldChar w:fldCharType="begin"/>
      </w:r>
      <w:r w:rsidRPr="00220C07">
        <w:instrText>IF "x_-3" "</w:instrText>
      </w:r>
      <w:r w:rsidRPr="00220C07">
        <w:fldChar w:fldCharType="begin"/>
      </w:r>
      <w:r w:rsidRPr="00220C07">
        <w:instrText>IF</w:instrText>
      </w:r>
      <w:r w:rsidRPr="00220C07">
        <w:fldChar w:fldCharType="begin"/>
      </w:r>
      <w:r w:rsidRPr="00220C07">
        <w:instrText>DOCPROPERTY "x_t"</w:instrText>
      </w:r>
      <w:r w:rsidRPr="00220C07">
        <w:fldChar w:fldCharType="separate"/>
      </w:r>
      <w:r>
        <w:instrText>N</w:instrText>
      </w:r>
      <w:r w:rsidRPr="00220C07">
        <w:fldChar w:fldCharType="end"/>
      </w:r>
      <w:r w:rsidRPr="00220C07">
        <w:instrText>&lt;&gt; N "&lt;/</w:instrText>
      </w:r>
      <w:r w:rsidRPr="00220C07">
        <w:fldChar w:fldCharType="begin"/>
      </w:r>
      <w:r w:rsidRPr="00220C07">
        <w:instrText>QUOTE "std"</w:instrText>
      </w:r>
      <w:r w:rsidRPr="00220C07">
        <w:fldChar w:fldCharType="separate"/>
      </w:r>
      <w:r w:rsidRPr="00220C07">
        <w:instrText>std</w:instrText>
      </w:r>
      <w:r w:rsidRPr="00220C07">
        <w:fldChar w:fldCharType="end"/>
      </w:r>
      <w:r w:rsidRPr="00220C07">
        <w:instrText>"</w:instrText>
      </w:r>
      <w:r w:rsidRPr="00220C07">
        <w:fldChar w:fldCharType="end"/>
      </w:r>
      <w:r w:rsidRPr="00220C07">
        <w:fldChar w:fldCharType="begin"/>
      </w:r>
      <w:r w:rsidRPr="00220C07">
        <w:instrText>IF</w:instrText>
      </w:r>
      <w:r w:rsidRPr="00220C07">
        <w:fldChar w:fldCharType="begin"/>
      </w:r>
      <w:r w:rsidRPr="00220C07">
        <w:instrText>DOCPROPERTY "x_t"</w:instrText>
      </w:r>
      <w:r w:rsidRPr="00220C07">
        <w:fldChar w:fldCharType="separate"/>
      </w:r>
      <w:r>
        <w:instrText>N</w:instrText>
      </w:r>
      <w:r w:rsidRPr="00220C07">
        <w:fldChar w:fldCharType="end"/>
      </w:r>
      <w:r w:rsidRPr="00220C07">
        <w:instrText>&lt;&gt; N "&gt;"</w:instrText>
      </w:r>
      <w:r w:rsidRPr="00220C07">
        <w:fldChar w:fldCharType="end"/>
      </w:r>
      <w:r w:rsidRPr="00220C07">
        <w:instrText>" ""</w:instrText>
      </w:r>
      <w:r w:rsidRPr="00220C07">
        <w:fldChar w:fldCharType="end"/>
      </w:r>
    </w:p>
    <w:p w14:paraId="13D8202D" w14:textId="3939309F" w:rsidR="00E37E2C" w:rsidRPr="00220C07" w:rsidRDefault="00E37E2C" w:rsidP="00E37E2C">
      <w:pPr>
        <w:pStyle w:val="BiblioEntry"/>
      </w:pPr>
      <w:r w:rsidRPr="00220C07">
        <w:fldChar w:fldCharType="begin"/>
      </w:r>
      <w:r w:rsidRPr="00220C07">
        <w:instrText>IF "x_+3" "</w:instrText>
      </w:r>
      <w:r w:rsidRPr="00220C07">
        <w:fldChar w:fldCharType="begin"/>
      </w:r>
      <w:r w:rsidRPr="00220C07">
        <w:instrText>IF</w:instrText>
      </w:r>
      <w:r w:rsidRPr="00220C07">
        <w:fldChar w:fldCharType="begin"/>
      </w:r>
      <w:r w:rsidRPr="00220C07">
        <w:instrText>DOCPROPERTY "x_t"</w:instrText>
      </w:r>
      <w:r w:rsidRPr="00220C07">
        <w:fldChar w:fldCharType="separate"/>
      </w:r>
      <w:r>
        <w:instrText>N</w:instrText>
      </w:r>
      <w:r w:rsidRPr="00220C07">
        <w:fldChar w:fldCharType="end"/>
      </w:r>
      <w:r w:rsidRPr="00220C07">
        <w:instrText>&lt;&gt; N "&lt;</w:instrText>
      </w:r>
      <w:r w:rsidRPr="00220C07">
        <w:fldChar w:fldCharType="begin"/>
      </w:r>
      <w:r w:rsidRPr="00220C07">
        <w:instrText>QUOTE "std"</w:instrText>
      </w:r>
      <w:r w:rsidRPr="00220C07">
        <w:fldChar w:fldCharType="separate"/>
      </w:r>
      <w:r w:rsidRPr="00220C07">
        <w:instrText>std</w:instrText>
      </w:r>
      <w:r w:rsidRPr="00220C07">
        <w:fldChar w:fldCharType="end"/>
      </w:r>
      <w:r w:rsidRPr="00220C07">
        <w:instrText>"</w:instrText>
      </w:r>
      <w:r w:rsidRPr="00220C07">
        <w:fldChar w:fldCharType="end"/>
      </w:r>
      <w:r w:rsidRPr="00220C07">
        <w:fldChar w:fldCharType="begin"/>
      </w:r>
      <w:r w:rsidRPr="00220C07">
        <w:instrText>IF</w:instrText>
      </w:r>
      <w:r w:rsidRPr="00220C07">
        <w:fldChar w:fldCharType="begin"/>
      </w:r>
      <w:r w:rsidRPr="00220C07">
        <w:instrText>= AND(</w:instrText>
      </w:r>
      <w:r w:rsidRPr="00220C07">
        <w:fldChar w:fldCharType="begin"/>
      </w:r>
      <w:r w:rsidRPr="00220C07">
        <w:instrText>COMPARE</w:instrText>
      </w:r>
      <w:r w:rsidRPr="00220C07">
        <w:fldChar w:fldCharType="begin"/>
      </w:r>
      <w:r w:rsidRPr="00220C07">
        <w:instrText>DOCPROPERTY "x_t"</w:instrText>
      </w:r>
      <w:r w:rsidRPr="00220C07">
        <w:fldChar w:fldCharType="separate"/>
      </w:r>
      <w:r>
        <w:instrText>N</w:instrText>
      </w:r>
      <w:r w:rsidRPr="00220C07">
        <w:fldChar w:fldCharType="end"/>
      </w:r>
      <w:r w:rsidRPr="00220C07">
        <w:instrText>&lt;&gt; N</w:instrText>
      </w:r>
      <w:r w:rsidRPr="00220C07">
        <w:fldChar w:fldCharType="separate"/>
      </w:r>
      <w:r>
        <w:rPr>
          <w:noProof/>
        </w:rPr>
        <w:instrText>0</w:instrText>
      </w:r>
      <w:r w:rsidRPr="00220C07">
        <w:fldChar w:fldCharType="end"/>
      </w:r>
      <w:r w:rsidRPr="00220C07">
        <w:instrText>,</w:instrText>
      </w:r>
      <w:r w:rsidRPr="00220C07">
        <w:fldChar w:fldCharType="begin"/>
      </w:r>
      <w:r w:rsidRPr="00220C07">
        <w:instrText>COMPARE</w:instrText>
      </w:r>
      <w:r w:rsidRPr="00220C07">
        <w:fldChar w:fldCharType="begin"/>
      </w:r>
      <w:r w:rsidRPr="00220C07">
        <w:instrText>DOCPROPERTY "x_a"</w:instrText>
      </w:r>
      <w:r w:rsidRPr="00220C07">
        <w:fldChar w:fldCharType="separate"/>
      </w:r>
      <w:r>
        <w:instrText>N</w:instrText>
      </w:r>
      <w:r w:rsidRPr="00220C07">
        <w:fldChar w:fldCharType="end"/>
      </w:r>
      <w:r w:rsidRPr="00220C07">
        <w:instrText>&lt;&gt; N</w:instrText>
      </w:r>
      <w:r w:rsidRPr="00220C07">
        <w:fldChar w:fldCharType="separate"/>
      </w:r>
      <w:r>
        <w:rPr>
          <w:noProof/>
        </w:rPr>
        <w:instrText>0</w:instrText>
      </w:r>
      <w:r w:rsidRPr="00220C07">
        <w:fldChar w:fldCharType="end"/>
      </w:r>
      <w:r w:rsidRPr="00220C07">
        <w:instrText>)</w:instrText>
      </w:r>
      <w:r w:rsidRPr="00220C07">
        <w:fldChar w:fldCharType="separate"/>
      </w:r>
      <w:r>
        <w:rPr>
          <w:b/>
          <w:noProof/>
        </w:rPr>
        <w:instrText>!Syntax Error, ,,</w:instrText>
      </w:r>
      <w:r w:rsidRPr="00220C07">
        <w:fldChar w:fldCharType="end"/>
      </w:r>
      <w:r w:rsidRPr="00220C07">
        <w:instrText>= 1 "</w:instrText>
      </w:r>
      <w:r w:rsidRPr="00220C07">
        <w:fldChar w:fldCharType="begin"/>
      </w:r>
      <w:r w:rsidRPr="00220C07">
        <w:instrText>QUOTE ""</w:instrText>
      </w:r>
      <w:r w:rsidRPr="00220C07">
        <w:fldChar w:fldCharType="end"/>
      </w:r>
      <w:r w:rsidRPr="00220C07">
        <w:instrText>"</w:instrText>
      </w:r>
      <w:r w:rsidRPr="00220C07">
        <w:fldChar w:fldCharType="end"/>
      </w:r>
      <w:r w:rsidRPr="00220C07">
        <w:fldChar w:fldCharType="begin"/>
      </w:r>
      <w:r w:rsidRPr="00220C07">
        <w:instrText>IF</w:instrText>
      </w:r>
      <w:r w:rsidRPr="00220C07">
        <w:fldChar w:fldCharType="begin"/>
      </w:r>
      <w:r w:rsidRPr="00220C07">
        <w:instrText>DOCPROPERTY "x_t"</w:instrText>
      </w:r>
      <w:r w:rsidRPr="00220C07">
        <w:fldChar w:fldCharType="separate"/>
      </w:r>
      <w:r>
        <w:instrText>N</w:instrText>
      </w:r>
      <w:r w:rsidRPr="00220C07">
        <w:fldChar w:fldCharType="end"/>
      </w:r>
      <w:r w:rsidRPr="00220C07">
        <w:instrText>&lt;&gt; N "&gt;"</w:instrText>
      </w:r>
      <w:r w:rsidRPr="00220C07">
        <w:fldChar w:fldCharType="end"/>
      </w:r>
      <w:r w:rsidRPr="00220C07">
        <w:instrText>" "</w:instrText>
      </w:r>
      <w:r w:rsidRPr="00220C07">
        <w:fldChar w:fldCharType="begin"/>
      </w:r>
      <w:r w:rsidRPr="00220C07">
        <w:instrText>QUOTE ""</w:instrText>
      </w:r>
      <w:r w:rsidRPr="00220C07">
        <w:fldChar w:fldCharType="end"/>
      </w:r>
      <w:r w:rsidRPr="00220C07">
        <w:instrText>"</w:instrText>
      </w:r>
      <w:r w:rsidRPr="00220C07">
        <w:fldChar w:fldCharType="end"/>
      </w:r>
      <w:r w:rsidRPr="00220C07">
        <w:rPr>
          <w:rStyle w:val="stdpublisher"/>
          <w:shd w:val="clear" w:color="auto" w:fill="auto"/>
        </w:rPr>
        <w:t>EN ISO</w:t>
      </w:r>
      <w:r w:rsidRPr="00220C07">
        <w:t> </w:t>
      </w:r>
      <w:r w:rsidRPr="00220C07">
        <w:rPr>
          <w:rStyle w:val="stddocNumber"/>
          <w:shd w:val="clear" w:color="auto" w:fill="auto"/>
        </w:rPr>
        <w:t>898</w:t>
      </w:r>
      <w:r w:rsidRPr="00220C07">
        <w:noBreakHyphen/>
      </w:r>
      <w:r w:rsidRPr="00220C07">
        <w:rPr>
          <w:rStyle w:val="stddocPartNumber"/>
          <w:shd w:val="clear" w:color="auto" w:fill="auto"/>
        </w:rPr>
        <w:t>1</w:t>
      </w:r>
      <w:r w:rsidRPr="00220C07">
        <w:t xml:space="preserve">, </w:t>
      </w:r>
      <w:r w:rsidRPr="00220C07">
        <w:rPr>
          <w:rStyle w:val="stddocTitle"/>
          <w:shd w:val="clear" w:color="auto" w:fill="auto"/>
        </w:rPr>
        <w:t>Mechanical properties of fasteners made of carbon steel and alloy steel — Part 1: Bolts, screws and studs with specified property classes — Coarse thread and fine pitch thread (ISO 989-1)</w:t>
      </w:r>
      <w:r w:rsidRPr="00220C07">
        <w:fldChar w:fldCharType="begin"/>
      </w:r>
      <w:r w:rsidRPr="00220C07">
        <w:instrText>IF "x_-3" "</w:instrText>
      </w:r>
      <w:r w:rsidRPr="00220C07">
        <w:fldChar w:fldCharType="begin"/>
      </w:r>
      <w:r w:rsidRPr="00220C07">
        <w:instrText>IF</w:instrText>
      </w:r>
      <w:r w:rsidRPr="00220C07">
        <w:fldChar w:fldCharType="begin"/>
      </w:r>
      <w:r w:rsidRPr="00220C07">
        <w:instrText>DOCPROPERTY "x_t"</w:instrText>
      </w:r>
      <w:r w:rsidRPr="00220C07">
        <w:fldChar w:fldCharType="separate"/>
      </w:r>
      <w:r>
        <w:instrText>N</w:instrText>
      </w:r>
      <w:r w:rsidRPr="00220C07">
        <w:fldChar w:fldCharType="end"/>
      </w:r>
      <w:r w:rsidRPr="00220C07">
        <w:instrText>&lt;&gt; N "&lt;/</w:instrText>
      </w:r>
      <w:r w:rsidRPr="00220C07">
        <w:fldChar w:fldCharType="begin"/>
      </w:r>
      <w:r w:rsidRPr="00220C07">
        <w:instrText>QUOTE "std"</w:instrText>
      </w:r>
      <w:r w:rsidRPr="00220C07">
        <w:fldChar w:fldCharType="separate"/>
      </w:r>
      <w:r w:rsidRPr="00220C07">
        <w:instrText>std</w:instrText>
      </w:r>
      <w:r w:rsidRPr="00220C07">
        <w:fldChar w:fldCharType="end"/>
      </w:r>
      <w:r w:rsidRPr="00220C07">
        <w:instrText>"</w:instrText>
      </w:r>
      <w:r w:rsidRPr="00220C07">
        <w:fldChar w:fldCharType="end"/>
      </w:r>
      <w:r w:rsidRPr="00220C07">
        <w:fldChar w:fldCharType="begin"/>
      </w:r>
      <w:r w:rsidRPr="00220C07">
        <w:instrText>IF</w:instrText>
      </w:r>
      <w:r w:rsidRPr="00220C07">
        <w:fldChar w:fldCharType="begin"/>
      </w:r>
      <w:r w:rsidRPr="00220C07">
        <w:instrText>DOCPROPERTY "x_t"</w:instrText>
      </w:r>
      <w:r w:rsidRPr="00220C07">
        <w:fldChar w:fldCharType="separate"/>
      </w:r>
      <w:r>
        <w:instrText>N</w:instrText>
      </w:r>
      <w:r w:rsidRPr="00220C07">
        <w:fldChar w:fldCharType="end"/>
      </w:r>
      <w:r w:rsidRPr="00220C07">
        <w:instrText>&lt;&gt; N "&gt;"</w:instrText>
      </w:r>
      <w:r w:rsidRPr="00220C07">
        <w:fldChar w:fldCharType="end"/>
      </w:r>
      <w:r w:rsidRPr="00220C07">
        <w:instrText>" ""</w:instrText>
      </w:r>
      <w:r w:rsidRPr="00220C07">
        <w:fldChar w:fldCharType="end"/>
      </w:r>
    </w:p>
    <w:p w14:paraId="655719D7" w14:textId="78D4F426" w:rsidR="00E37E2C" w:rsidRPr="00220C07" w:rsidRDefault="00E37E2C" w:rsidP="00E37E2C">
      <w:pPr>
        <w:pStyle w:val="BiblioEntry"/>
      </w:pPr>
      <w:r w:rsidRPr="00220C07">
        <w:fldChar w:fldCharType="begin"/>
      </w:r>
      <w:r w:rsidRPr="00220C07">
        <w:instrText>IF "x_+3" "</w:instrText>
      </w:r>
      <w:r w:rsidRPr="00220C07">
        <w:fldChar w:fldCharType="begin"/>
      </w:r>
      <w:r w:rsidRPr="00220C07">
        <w:instrText>IF</w:instrText>
      </w:r>
      <w:r w:rsidRPr="00220C07">
        <w:fldChar w:fldCharType="begin"/>
      </w:r>
      <w:r w:rsidRPr="00220C07">
        <w:instrText>DOCPROPERTY "x_t"</w:instrText>
      </w:r>
      <w:r w:rsidRPr="00220C07">
        <w:fldChar w:fldCharType="separate"/>
      </w:r>
      <w:r>
        <w:instrText>N</w:instrText>
      </w:r>
      <w:r w:rsidRPr="00220C07">
        <w:fldChar w:fldCharType="end"/>
      </w:r>
      <w:r w:rsidRPr="00220C07">
        <w:instrText>&lt;&gt; N "&lt;</w:instrText>
      </w:r>
      <w:r w:rsidRPr="00220C07">
        <w:fldChar w:fldCharType="begin"/>
      </w:r>
      <w:r w:rsidRPr="00220C07">
        <w:instrText>QUOTE "std"</w:instrText>
      </w:r>
      <w:r w:rsidRPr="00220C07">
        <w:fldChar w:fldCharType="separate"/>
      </w:r>
      <w:r w:rsidRPr="00220C07">
        <w:instrText>std</w:instrText>
      </w:r>
      <w:r w:rsidRPr="00220C07">
        <w:fldChar w:fldCharType="end"/>
      </w:r>
      <w:r w:rsidRPr="00220C07">
        <w:instrText>"</w:instrText>
      </w:r>
      <w:r w:rsidRPr="00220C07">
        <w:fldChar w:fldCharType="end"/>
      </w:r>
      <w:r w:rsidRPr="00220C07">
        <w:fldChar w:fldCharType="begin"/>
      </w:r>
      <w:r w:rsidRPr="00220C07">
        <w:instrText>IF</w:instrText>
      </w:r>
      <w:r w:rsidRPr="00220C07">
        <w:fldChar w:fldCharType="begin"/>
      </w:r>
      <w:r w:rsidRPr="00220C07">
        <w:instrText>= AND(</w:instrText>
      </w:r>
      <w:r w:rsidRPr="00220C07">
        <w:fldChar w:fldCharType="begin"/>
      </w:r>
      <w:r w:rsidRPr="00220C07">
        <w:instrText>COMPARE</w:instrText>
      </w:r>
      <w:r w:rsidRPr="00220C07">
        <w:fldChar w:fldCharType="begin"/>
      </w:r>
      <w:r w:rsidRPr="00220C07">
        <w:instrText>DOCPROPERTY "x_t"</w:instrText>
      </w:r>
      <w:r w:rsidRPr="00220C07">
        <w:fldChar w:fldCharType="separate"/>
      </w:r>
      <w:r>
        <w:instrText>N</w:instrText>
      </w:r>
      <w:r w:rsidRPr="00220C07">
        <w:fldChar w:fldCharType="end"/>
      </w:r>
      <w:r w:rsidRPr="00220C07">
        <w:instrText>&lt;&gt; N</w:instrText>
      </w:r>
      <w:r w:rsidRPr="00220C07">
        <w:fldChar w:fldCharType="separate"/>
      </w:r>
      <w:r>
        <w:rPr>
          <w:noProof/>
        </w:rPr>
        <w:instrText>0</w:instrText>
      </w:r>
      <w:r w:rsidRPr="00220C07">
        <w:fldChar w:fldCharType="end"/>
      </w:r>
      <w:r w:rsidRPr="00220C07">
        <w:instrText>,</w:instrText>
      </w:r>
      <w:r w:rsidRPr="00220C07">
        <w:fldChar w:fldCharType="begin"/>
      </w:r>
      <w:r w:rsidRPr="00220C07">
        <w:instrText>COMPARE</w:instrText>
      </w:r>
      <w:r w:rsidRPr="00220C07">
        <w:fldChar w:fldCharType="begin"/>
      </w:r>
      <w:r w:rsidRPr="00220C07">
        <w:instrText>DOCPROPERTY "x_a"</w:instrText>
      </w:r>
      <w:r w:rsidRPr="00220C07">
        <w:fldChar w:fldCharType="separate"/>
      </w:r>
      <w:r>
        <w:instrText>N</w:instrText>
      </w:r>
      <w:r w:rsidRPr="00220C07">
        <w:fldChar w:fldCharType="end"/>
      </w:r>
      <w:r w:rsidRPr="00220C07">
        <w:instrText>&lt;&gt; N</w:instrText>
      </w:r>
      <w:r w:rsidRPr="00220C07">
        <w:fldChar w:fldCharType="separate"/>
      </w:r>
      <w:r>
        <w:rPr>
          <w:noProof/>
        </w:rPr>
        <w:instrText>0</w:instrText>
      </w:r>
      <w:r w:rsidRPr="00220C07">
        <w:fldChar w:fldCharType="end"/>
      </w:r>
      <w:r w:rsidRPr="00220C07">
        <w:instrText>)</w:instrText>
      </w:r>
      <w:r w:rsidRPr="00220C07">
        <w:fldChar w:fldCharType="separate"/>
      </w:r>
      <w:r>
        <w:rPr>
          <w:b/>
          <w:noProof/>
        </w:rPr>
        <w:instrText>!Syntax Error, ,,</w:instrText>
      </w:r>
      <w:r w:rsidRPr="00220C07">
        <w:fldChar w:fldCharType="end"/>
      </w:r>
      <w:r w:rsidRPr="00220C07">
        <w:instrText>= 1 "</w:instrText>
      </w:r>
      <w:r w:rsidRPr="00220C07">
        <w:fldChar w:fldCharType="begin"/>
      </w:r>
      <w:r w:rsidRPr="00220C07">
        <w:instrText>QUOTE ""</w:instrText>
      </w:r>
      <w:r w:rsidRPr="00220C07">
        <w:fldChar w:fldCharType="end"/>
      </w:r>
      <w:r w:rsidRPr="00220C07">
        <w:instrText>"</w:instrText>
      </w:r>
      <w:r w:rsidRPr="00220C07">
        <w:fldChar w:fldCharType="end"/>
      </w:r>
      <w:r w:rsidRPr="00220C07">
        <w:fldChar w:fldCharType="begin"/>
      </w:r>
      <w:r w:rsidRPr="00220C07">
        <w:instrText>IF</w:instrText>
      </w:r>
      <w:r w:rsidRPr="00220C07">
        <w:fldChar w:fldCharType="begin"/>
      </w:r>
      <w:r w:rsidRPr="00220C07">
        <w:instrText>DOCPROPERTY "x_t"</w:instrText>
      </w:r>
      <w:r w:rsidRPr="00220C07">
        <w:fldChar w:fldCharType="separate"/>
      </w:r>
      <w:r>
        <w:instrText>N</w:instrText>
      </w:r>
      <w:r w:rsidRPr="00220C07">
        <w:fldChar w:fldCharType="end"/>
      </w:r>
      <w:r w:rsidRPr="00220C07">
        <w:instrText>&lt;&gt; N "&gt;"</w:instrText>
      </w:r>
      <w:r w:rsidRPr="00220C07">
        <w:fldChar w:fldCharType="end"/>
      </w:r>
      <w:r w:rsidRPr="00220C07">
        <w:instrText>" "</w:instrText>
      </w:r>
      <w:r w:rsidRPr="00220C07">
        <w:fldChar w:fldCharType="begin"/>
      </w:r>
      <w:r w:rsidRPr="00220C07">
        <w:instrText>QUOTE ""</w:instrText>
      </w:r>
      <w:r w:rsidRPr="00220C07">
        <w:fldChar w:fldCharType="end"/>
      </w:r>
      <w:r w:rsidRPr="00220C07">
        <w:instrText>"</w:instrText>
      </w:r>
      <w:r w:rsidRPr="00220C07">
        <w:fldChar w:fldCharType="end"/>
      </w:r>
      <w:r w:rsidRPr="00220C07">
        <w:rPr>
          <w:rStyle w:val="stdpublisher"/>
          <w:shd w:val="clear" w:color="auto" w:fill="auto"/>
        </w:rPr>
        <w:t>EN ISO</w:t>
      </w:r>
      <w:r w:rsidRPr="00220C07">
        <w:t> </w:t>
      </w:r>
      <w:r w:rsidRPr="00220C07">
        <w:rPr>
          <w:rStyle w:val="stddocNumber"/>
          <w:shd w:val="clear" w:color="auto" w:fill="auto"/>
        </w:rPr>
        <w:t>3506</w:t>
      </w:r>
      <w:r w:rsidRPr="00220C07">
        <w:noBreakHyphen/>
      </w:r>
      <w:r w:rsidRPr="00220C07">
        <w:rPr>
          <w:rStyle w:val="stddocPartNumber"/>
          <w:shd w:val="clear" w:color="auto" w:fill="auto"/>
        </w:rPr>
        <w:t>1</w:t>
      </w:r>
      <w:r w:rsidRPr="00220C07">
        <w:t xml:space="preserve">, </w:t>
      </w:r>
      <w:r w:rsidRPr="00220C07">
        <w:rPr>
          <w:rStyle w:val="stddocTitle"/>
          <w:shd w:val="clear" w:color="auto" w:fill="auto"/>
        </w:rPr>
        <w:t>Fasteners — Mechanical properties of corrosion-resistant stainless steel fasteners — Part 1: Bolts, screws and studs with specified grades and property classes (ISO 3506-1)</w:t>
      </w:r>
      <w:r w:rsidRPr="00220C07">
        <w:fldChar w:fldCharType="begin"/>
      </w:r>
      <w:r w:rsidRPr="00220C07">
        <w:instrText>IF "x_-3" "</w:instrText>
      </w:r>
      <w:r w:rsidRPr="00220C07">
        <w:fldChar w:fldCharType="begin"/>
      </w:r>
      <w:r w:rsidRPr="00220C07">
        <w:instrText>IF</w:instrText>
      </w:r>
      <w:r w:rsidRPr="00220C07">
        <w:fldChar w:fldCharType="begin"/>
      </w:r>
      <w:r w:rsidRPr="00220C07">
        <w:instrText>DOCPROPERTY "x_t"</w:instrText>
      </w:r>
      <w:r w:rsidRPr="00220C07">
        <w:fldChar w:fldCharType="separate"/>
      </w:r>
      <w:r>
        <w:instrText>N</w:instrText>
      </w:r>
      <w:r w:rsidRPr="00220C07">
        <w:fldChar w:fldCharType="end"/>
      </w:r>
      <w:r w:rsidRPr="00220C07">
        <w:instrText>&lt;&gt; N "&lt;/</w:instrText>
      </w:r>
      <w:r w:rsidRPr="00220C07">
        <w:fldChar w:fldCharType="begin"/>
      </w:r>
      <w:r w:rsidRPr="00220C07">
        <w:instrText>QUOTE "std"</w:instrText>
      </w:r>
      <w:r w:rsidRPr="00220C07">
        <w:fldChar w:fldCharType="separate"/>
      </w:r>
      <w:r w:rsidRPr="00220C07">
        <w:instrText>std</w:instrText>
      </w:r>
      <w:r w:rsidRPr="00220C07">
        <w:fldChar w:fldCharType="end"/>
      </w:r>
      <w:r w:rsidRPr="00220C07">
        <w:instrText>"</w:instrText>
      </w:r>
      <w:r w:rsidRPr="00220C07">
        <w:fldChar w:fldCharType="end"/>
      </w:r>
      <w:r w:rsidRPr="00220C07">
        <w:fldChar w:fldCharType="begin"/>
      </w:r>
      <w:r w:rsidRPr="00220C07">
        <w:instrText>IF</w:instrText>
      </w:r>
      <w:r w:rsidRPr="00220C07">
        <w:fldChar w:fldCharType="begin"/>
      </w:r>
      <w:r w:rsidRPr="00220C07">
        <w:instrText>DOCPROPERTY "x_t"</w:instrText>
      </w:r>
      <w:r w:rsidRPr="00220C07">
        <w:fldChar w:fldCharType="separate"/>
      </w:r>
      <w:r>
        <w:instrText>N</w:instrText>
      </w:r>
      <w:r w:rsidRPr="00220C07">
        <w:fldChar w:fldCharType="end"/>
      </w:r>
      <w:r w:rsidRPr="00220C07">
        <w:instrText>&lt;&gt; N "&gt;"</w:instrText>
      </w:r>
      <w:r w:rsidRPr="00220C07">
        <w:fldChar w:fldCharType="end"/>
      </w:r>
      <w:r w:rsidRPr="00220C07">
        <w:instrText>" ""</w:instrText>
      </w:r>
      <w:r w:rsidRPr="00220C07">
        <w:fldChar w:fldCharType="end"/>
      </w:r>
    </w:p>
    <w:p w14:paraId="59872F7C" w14:textId="41C04C31" w:rsidR="00E37E2C" w:rsidRPr="00220C07" w:rsidRDefault="00E37E2C" w:rsidP="00E37E2C">
      <w:pPr>
        <w:pStyle w:val="BiblioEntry"/>
      </w:pPr>
      <w:r w:rsidRPr="00220C07">
        <w:fldChar w:fldCharType="begin"/>
      </w:r>
      <w:r w:rsidRPr="00220C07">
        <w:instrText>IF "x_+3" "</w:instrText>
      </w:r>
      <w:r w:rsidRPr="00220C07">
        <w:fldChar w:fldCharType="begin"/>
      </w:r>
      <w:r w:rsidRPr="00220C07">
        <w:instrText>IF</w:instrText>
      </w:r>
      <w:r w:rsidRPr="00220C07">
        <w:fldChar w:fldCharType="begin"/>
      </w:r>
      <w:r w:rsidRPr="00220C07">
        <w:instrText>DOCPROPERTY "x_t"</w:instrText>
      </w:r>
      <w:r w:rsidRPr="00220C07">
        <w:fldChar w:fldCharType="separate"/>
      </w:r>
      <w:r>
        <w:instrText>N</w:instrText>
      </w:r>
      <w:r w:rsidRPr="00220C07">
        <w:fldChar w:fldCharType="end"/>
      </w:r>
      <w:r w:rsidRPr="00220C07">
        <w:instrText>&lt;&gt; N "&lt;</w:instrText>
      </w:r>
      <w:r w:rsidRPr="00220C07">
        <w:fldChar w:fldCharType="begin"/>
      </w:r>
      <w:r w:rsidRPr="00220C07">
        <w:instrText>QUOTE "std"</w:instrText>
      </w:r>
      <w:r w:rsidRPr="00220C07">
        <w:fldChar w:fldCharType="separate"/>
      </w:r>
      <w:r w:rsidRPr="00220C07">
        <w:instrText>std</w:instrText>
      </w:r>
      <w:r w:rsidRPr="00220C07">
        <w:fldChar w:fldCharType="end"/>
      </w:r>
      <w:r w:rsidRPr="00220C07">
        <w:instrText>"</w:instrText>
      </w:r>
      <w:r w:rsidRPr="00220C07">
        <w:fldChar w:fldCharType="end"/>
      </w:r>
      <w:r w:rsidRPr="00220C07">
        <w:fldChar w:fldCharType="begin"/>
      </w:r>
      <w:r w:rsidRPr="00220C07">
        <w:instrText>IF</w:instrText>
      </w:r>
      <w:r w:rsidRPr="00220C07">
        <w:fldChar w:fldCharType="begin"/>
      </w:r>
      <w:r w:rsidRPr="00220C07">
        <w:instrText>= AND(</w:instrText>
      </w:r>
      <w:r w:rsidRPr="00220C07">
        <w:fldChar w:fldCharType="begin"/>
      </w:r>
      <w:r w:rsidRPr="00220C07">
        <w:instrText>COMPARE</w:instrText>
      </w:r>
      <w:r w:rsidRPr="00220C07">
        <w:fldChar w:fldCharType="begin"/>
      </w:r>
      <w:r w:rsidRPr="00220C07">
        <w:instrText>DOCPROPERTY "x_t"</w:instrText>
      </w:r>
      <w:r w:rsidRPr="00220C07">
        <w:fldChar w:fldCharType="separate"/>
      </w:r>
      <w:r>
        <w:instrText>N</w:instrText>
      </w:r>
      <w:r w:rsidRPr="00220C07">
        <w:fldChar w:fldCharType="end"/>
      </w:r>
      <w:r w:rsidRPr="00220C07">
        <w:instrText>&lt;&gt; N</w:instrText>
      </w:r>
      <w:r w:rsidRPr="00220C07">
        <w:fldChar w:fldCharType="separate"/>
      </w:r>
      <w:r>
        <w:rPr>
          <w:noProof/>
        </w:rPr>
        <w:instrText>0</w:instrText>
      </w:r>
      <w:r w:rsidRPr="00220C07">
        <w:fldChar w:fldCharType="end"/>
      </w:r>
      <w:r w:rsidRPr="00220C07">
        <w:instrText>,</w:instrText>
      </w:r>
      <w:r w:rsidRPr="00220C07">
        <w:fldChar w:fldCharType="begin"/>
      </w:r>
      <w:r w:rsidRPr="00220C07">
        <w:instrText>COMPARE</w:instrText>
      </w:r>
      <w:r w:rsidRPr="00220C07">
        <w:fldChar w:fldCharType="begin"/>
      </w:r>
      <w:r w:rsidRPr="00220C07">
        <w:instrText>DOCPROPERTY "x_a"</w:instrText>
      </w:r>
      <w:r w:rsidRPr="00220C07">
        <w:fldChar w:fldCharType="separate"/>
      </w:r>
      <w:r>
        <w:instrText>N</w:instrText>
      </w:r>
      <w:r w:rsidRPr="00220C07">
        <w:fldChar w:fldCharType="end"/>
      </w:r>
      <w:r w:rsidRPr="00220C07">
        <w:instrText>&lt;&gt; N</w:instrText>
      </w:r>
      <w:r w:rsidRPr="00220C07">
        <w:fldChar w:fldCharType="separate"/>
      </w:r>
      <w:r>
        <w:rPr>
          <w:noProof/>
        </w:rPr>
        <w:instrText>0</w:instrText>
      </w:r>
      <w:r w:rsidRPr="00220C07">
        <w:fldChar w:fldCharType="end"/>
      </w:r>
      <w:r w:rsidRPr="00220C07">
        <w:instrText>)</w:instrText>
      </w:r>
      <w:r w:rsidRPr="00220C07">
        <w:fldChar w:fldCharType="separate"/>
      </w:r>
      <w:r>
        <w:rPr>
          <w:b/>
          <w:noProof/>
        </w:rPr>
        <w:instrText>!Syntax Error, ,,</w:instrText>
      </w:r>
      <w:r w:rsidRPr="00220C07">
        <w:fldChar w:fldCharType="end"/>
      </w:r>
      <w:r w:rsidRPr="00220C07">
        <w:instrText>= 1 "</w:instrText>
      </w:r>
      <w:r w:rsidRPr="00220C07">
        <w:fldChar w:fldCharType="begin"/>
      </w:r>
      <w:r w:rsidRPr="00220C07">
        <w:instrText>QUOTE ""</w:instrText>
      </w:r>
      <w:r w:rsidRPr="00220C07">
        <w:fldChar w:fldCharType="end"/>
      </w:r>
      <w:r w:rsidRPr="00220C07">
        <w:instrText>"</w:instrText>
      </w:r>
      <w:r w:rsidRPr="00220C07">
        <w:fldChar w:fldCharType="end"/>
      </w:r>
      <w:r w:rsidRPr="00220C07">
        <w:fldChar w:fldCharType="begin"/>
      </w:r>
      <w:r w:rsidRPr="00220C07">
        <w:instrText>IF</w:instrText>
      </w:r>
      <w:r w:rsidRPr="00220C07">
        <w:fldChar w:fldCharType="begin"/>
      </w:r>
      <w:r w:rsidRPr="00220C07">
        <w:instrText>DOCPROPERTY "x_t"</w:instrText>
      </w:r>
      <w:r w:rsidRPr="00220C07">
        <w:fldChar w:fldCharType="separate"/>
      </w:r>
      <w:r>
        <w:instrText>N</w:instrText>
      </w:r>
      <w:r w:rsidRPr="00220C07">
        <w:fldChar w:fldCharType="end"/>
      </w:r>
      <w:r w:rsidRPr="00220C07">
        <w:instrText>&lt;&gt; N "&gt;"</w:instrText>
      </w:r>
      <w:r w:rsidRPr="00220C07">
        <w:fldChar w:fldCharType="end"/>
      </w:r>
      <w:r w:rsidRPr="00220C07">
        <w:instrText>" "</w:instrText>
      </w:r>
      <w:r w:rsidRPr="00220C07">
        <w:fldChar w:fldCharType="begin"/>
      </w:r>
      <w:r w:rsidRPr="00220C07">
        <w:instrText>QUOTE ""</w:instrText>
      </w:r>
      <w:r w:rsidRPr="00220C07">
        <w:fldChar w:fldCharType="end"/>
      </w:r>
      <w:r w:rsidRPr="00220C07">
        <w:instrText>"</w:instrText>
      </w:r>
      <w:r w:rsidRPr="00220C07">
        <w:fldChar w:fldCharType="end"/>
      </w:r>
      <w:r w:rsidRPr="00220C07">
        <w:rPr>
          <w:rStyle w:val="stdpublisher"/>
          <w:shd w:val="clear" w:color="auto" w:fill="auto"/>
        </w:rPr>
        <w:t>EN ISO</w:t>
      </w:r>
      <w:r w:rsidRPr="00220C07">
        <w:t> </w:t>
      </w:r>
      <w:r w:rsidRPr="00220C07">
        <w:rPr>
          <w:rStyle w:val="stddocNumber"/>
          <w:shd w:val="clear" w:color="auto" w:fill="auto"/>
        </w:rPr>
        <w:t>3506</w:t>
      </w:r>
      <w:r w:rsidRPr="00220C07">
        <w:noBreakHyphen/>
      </w:r>
      <w:r w:rsidRPr="00220C07">
        <w:rPr>
          <w:rStyle w:val="stddocPartNumber"/>
          <w:shd w:val="clear" w:color="auto" w:fill="auto"/>
        </w:rPr>
        <w:t>2</w:t>
      </w:r>
      <w:r w:rsidRPr="00220C07">
        <w:t xml:space="preserve">, </w:t>
      </w:r>
      <w:r w:rsidRPr="00220C07">
        <w:rPr>
          <w:rStyle w:val="stddocTitle"/>
          <w:shd w:val="clear" w:color="auto" w:fill="auto"/>
        </w:rPr>
        <w:t>Fasteners — Mechanical properties of corrosion-resistant stainless steel fasteners — Part 2: Nuts with specified grades and property classes</w:t>
      </w:r>
      <w:r w:rsidRPr="00220C07">
        <w:fldChar w:fldCharType="begin"/>
      </w:r>
      <w:r w:rsidRPr="00220C07">
        <w:instrText>IF "x_-3" "</w:instrText>
      </w:r>
      <w:r w:rsidRPr="00220C07">
        <w:fldChar w:fldCharType="begin"/>
      </w:r>
      <w:r w:rsidRPr="00220C07">
        <w:instrText>IF</w:instrText>
      </w:r>
      <w:r w:rsidRPr="00220C07">
        <w:fldChar w:fldCharType="begin"/>
      </w:r>
      <w:r w:rsidRPr="00220C07">
        <w:instrText>DOCPROPERTY "x_t"</w:instrText>
      </w:r>
      <w:r w:rsidRPr="00220C07">
        <w:fldChar w:fldCharType="separate"/>
      </w:r>
      <w:r>
        <w:instrText>N</w:instrText>
      </w:r>
      <w:r w:rsidRPr="00220C07">
        <w:fldChar w:fldCharType="end"/>
      </w:r>
      <w:r w:rsidRPr="00220C07">
        <w:instrText>&lt;&gt; N "&lt;/</w:instrText>
      </w:r>
      <w:r w:rsidRPr="00220C07">
        <w:fldChar w:fldCharType="begin"/>
      </w:r>
      <w:r w:rsidRPr="00220C07">
        <w:instrText>QUOTE "std"</w:instrText>
      </w:r>
      <w:r w:rsidRPr="00220C07">
        <w:fldChar w:fldCharType="separate"/>
      </w:r>
      <w:r w:rsidRPr="00220C07">
        <w:instrText>std</w:instrText>
      </w:r>
      <w:r w:rsidRPr="00220C07">
        <w:fldChar w:fldCharType="end"/>
      </w:r>
      <w:r w:rsidRPr="00220C07">
        <w:instrText>"</w:instrText>
      </w:r>
      <w:r w:rsidRPr="00220C07">
        <w:fldChar w:fldCharType="end"/>
      </w:r>
      <w:r w:rsidRPr="00220C07">
        <w:fldChar w:fldCharType="begin"/>
      </w:r>
      <w:r w:rsidRPr="00220C07">
        <w:instrText>IF</w:instrText>
      </w:r>
      <w:r w:rsidRPr="00220C07">
        <w:fldChar w:fldCharType="begin"/>
      </w:r>
      <w:r w:rsidRPr="00220C07">
        <w:instrText>DOCPROPERTY "x_t"</w:instrText>
      </w:r>
      <w:r w:rsidRPr="00220C07">
        <w:fldChar w:fldCharType="separate"/>
      </w:r>
      <w:r>
        <w:instrText>N</w:instrText>
      </w:r>
      <w:r w:rsidRPr="00220C07">
        <w:fldChar w:fldCharType="end"/>
      </w:r>
      <w:r w:rsidRPr="00220C07">
        <w:instrText>&lt;&gt; N "&gt;"</w:instrText>
      </w:r>
      <w:r w:rsidRPr="00220C07">
        <w:fldChar w:fldCharType="end"/>
      </w:r>
      <w:r w:rsidRPr="00220C07">
        <w:instrText>" ""</w:instrText>
      </w:r>
      <w:r w:rsidRPr="00220C07">
        <w:fldChar w:fldCharType="end"/>
      </w:r>
    </w:p>
    <w:p w14:paraId="323594D8" w14:textId="5B428127" w:rsidR="00E37E2C" w:rsidRPr="00220C07" w:rsidRDefault="00E37E2C" w:rsidP="00E37E2C">
      <w:pPr>
        <w:pStyle w:val="BiblioEntry"/>
      </w:pPr>
      <w:r w:rsidRPr="00220C07">
        <w:fldChar w:fldCharType="begin"/>
      </w:r>
      <w:r w:rsidRPr="00220C07">
        <w:instrText>IF "x_+3" "</w:instrText>
      </w:r>
      <w:r w:rsidRPr="00220C07">
        <w:fldChar w:fldCharType="begin"/>
      </w:r>
      <w:r w:rsidRPr="00220C07">
        <w:instrText>IF</w:instrText>
      </w:r>
      <w:r w:rsidRPr="00220C07">
        <w:fldChar w:fldCharType="begin"/>
      </w:r>
      <w:r w:rsidRPr="00220C07">
        <w:instrText>DOCPROPERTY "x_t"</w:instrText>
      </w:r>
      <w:r w:rsidRPr="00220C07">
        <w:fldChar w:fldCharType="separate"/>
      </w:r>
      <w:r>
        <w:instrText>N</w:instrText>
      </w:r>
      <w:r w:rsidRPr="00220C07">
        <w:fldChar w:fldCharType="end"/>
      </w:r>
      <w:r w:rsidRPr="00220C07">
        <w:instrText>&lt;&gt; N "&lt;</w:instrText>
      </w:r>
      <w:r w:rsidRPr="00220C07">
        <w:fldChar w:fldCharType="begin"/>
      </w:r>
      <w:r w:rsidRPr="00220C07">
        <w:instrText>QUOTE "std"</w:instrText>
      </w:r>
      <w:r w:rsidRPr="00220C07">
        <w:fldChar w:fldCharType="separate"/>
      </w:r>
      <w:r w:rsidRPr="00220C07">
        <w:instrText>std</w:instrText>
      </w:r>
      <w:r w:rsidRPr="00220C07">
        <w:fldChar w:fldCharType="end"/>
      </w:r>
      <w:r w:rsidRPr="00220C07">
        <w:instrText>"</w:instrText>
      </w:r>
      <w:r w:rsidRPr="00220C07">
        <w:fldChar w:fldCharType="end"/>
      </w:r>
      <w:r w:rsidRPr="00220C07">
        <w:fldChar w:fldCharType="begin"/>
      </w:r>
      <w:r w:rsidRPr="00220C07">
        <w:instrText>IF</w:instrText>
      </w:r>
      <w:r w:rsidRPr="00220C07">
        <w:fldChar w:fldCharType="begin"/>
      </w:r>
      <w:r w:rsidRPr="00220C07">
        <w:instrText>= AND(</w:instrText>
      </w:r>
      <w:r w:rsidRPr="00220C07">
        <w:fldChar w:fldCharType="begin"/>
      </w:r>
      <w:r w:rsidRPr="00220C07">
        <w:instrText>COMPARE</w:instrText>
      </w:r>
      <w:r w:rsidRPr="00220C07">
        <w:fldChar w:fldCharType="begin"/>
      </w:r>
      <w:r w:rsidRPr="00220C07">
        <w:instrText>DOCPROPERTY "x_t"</w:instrText>
      </w:r>
      <w:r w:rsidRPr="00220C07">
        <w:fldChar w:fldCharType="separate"/>
      </w:r>
      <w:r>
        <w:instrText>N</w:instrText>
      </w:r>
      <w:r w:rsidRPr="00220C07">
        <w:fldChar w:fldCharType="end"/>
      </w:r>
      <w:r w:rsidRPr="00220C07">
        <w:instrText>&lt;&gt; N</w:instrText>
      </w:r>
      <w:r w:rsidRPr="00220C07">
        <w:fldChar w:fldCharType="separate"/>
      </w:r>
      <w:r>
        <w:rPr>
          <w:noProof/>
        </w:rPr>
        <w:instrText>0</w:instrText>
      </w:r>
      <w:r w:rsidRPr="00220C07">
        <w:fldChar w:fldCharType="end"/>
      </w:r>
      <w:r w:rsidRPr="00220C07">
        <w:instrText>,</w:instrText>
      </w:r>
      <w:r w:rsidRPr="00220C07">
        <w:fldChar w:fldCharType="begin"/>
      </w:r>
      <w:r w:rsidRPr="00220C07">
        <w:instrText>COMPARE</w:instrText>
      </w:r>
      <w:r w:rsidRPr="00220C07">
        <w:fldChar w:fldCharType="begin"/>
      </w:r>
      <w:r w:rsidRPr="00220C07">
        <w:instrText>DOCPROPERTY "x_a"</w:instrText>
      </w:r>
      <w:r w:rsidRPr="00220C07">
        <w:fldChar w:fldCharType="separate"/>
      </w:r>
      <w:r>
        <w:instrText>N</w:instrText>
      </w:r>
      <w:r w:rsidRPr="00220C07">
        <w:fldChar w:fldCharType="end"/>
      </w:r>
      <w:r w:rsidRPr="00220C07">
        <w:instrText>&lt;&gt; N</w:instrText>
      </w:r>
      <w:r w:rsidRPr="00220C07">
        <w:fldChar w:fldCharType="separate"/>
      </w:r>
      <w:r>
        <w:rPr>
          <w:noProof/>
        </w:rPr>
        <w:instrText>0</w:instrText>
      </w:r>
      <w:r w:rsidRPr="00220C07">
        <w:fldChar w:fldCharType="end"/>
      </w:r>
      <w:r w:rsidRPr="00220C07">
        <w:instrText>)</w:instrText>
      </w:r>
      <w:r w:rsidRPr="00220C07">
        <w:fldChar w:fldCharType="separate"/>
      </w:r>
      <w:r>
        <w:rPr>
          <w:b/>
          <w:noProof/>
        </w:rPr>
        <w:instrText>!Syntax Error, ,,</w:instrText>
      </w:r>
      <w:r w:rsidRPr="00220C07">
        <w:fldChar w:fldCharType="end"/>
      </w:r>
      <w:r w:rsidRPr="00220C07">
        <w:instrText>= 1 "</w:instrText>
      </w:r>
      <w:r w:rsidRPr="00220C07">
        <w:fldChar w:fldCharType="begin"/>
      </w:r>
      <w:r w:rsidRPr="00220C07">
        <w:instrText>QUOTE ""</w:instrText>
      </w:r>
      <w:r w:rsidRPr="00220C07">
        <w:fldChar w:fldCharType="end"/>
      </w:r>
      <w:r w:rsidRPr="00220C07">
        <w:instrText>"</w:instrText>
      </w:r>
      <w:r w:rsidRPr="00220C07">
        <w:fldChar w:fldCharType="end"/>
      </w:r>
      <w:r w:rsidRPr="00220C07">
        <w:fldChar w:fldCharType="begin"/>
      </w:r>
      <w:r w:rsidRPr="00220C07">
        <w:instrText>IF</w:instrText>
      </w:r>
      <w:r w:rsidRPr="00220C07">
        <w:fldChar w:fldCharType="begin"/>
      </w:r>
      <w:r w:rsidRPr="00220C07">
        <w:instrText>DOCPROPERTY "x_t"</w:instrText>
      </w:r>
      <w:r w:rsidRPr="00220C07">
        <w:fldChar w:fldCharType="separate"/>
      </w:r>
      <w:r>
        <w:instrText>N</w:instrText>
      </w:r>
      <w:r w:rsidRPr="00220C07">
        <w:fldChar w:fldCharType="end"/>
      </w:r>
      <w:r w:rsidRPr="00220C07">
        <w:instrText>&lt;&gt; N "&gt;"</w:instrText>
      </w:r>
      <w:r w:rsidRPr="00220C07">
        <w:fldChar w:fldCharType="end"/>
      </w:r>
      <w:r w:rsidRPr="00220C07">
        <w:instrText>" "</w:instrText>
      </w:r>
      <w:r w:rsidRPr="00220C07">
        <w:fldChar w:fldCharType="begin"/>
      </w:r>
      <w:r w:rsidRPr="00220C07">
        <w:instrText>QUOTE ""</w:instrText>
      </w:r>
      <w:r w:rsidRPr="00220C07">
        <w:fldChar w:fldCharType="end"/>
      </w:r>
      <w:r w:rsidRPr="00220C07">
        <w:instrText>"</w:instrText>
      </w:r>
      <w:r w:rsidRPr="00220C07">
        <w:fldChar w:fldCharType="end"/>
      </w:r>
      <w:r w:rsidRPr="00220C07">
        <w:rPr>
          <w:rStyle w:val="stdpublisher"/>
          <w:shd w:val="clear" w:color="auto" w:fill="auto"/>
        </w:rPr>
        <w:t>ISO</w:t>
      </w:r>
      <w:r w:rsidRPr="00220C07">
        <w:t> </w:t>
      </w:r>
      <w:r w:rsidRPr="00220C07">
        <w:rPr>
          <w:rStyle w:val="stddocNumber"/>
          <w:shd w:val="clear" w:color="auto" w:fill="auto"/>
        </w:rPr>
        <w:t>6892</w:t>
      </w:r>
      <w:r w:rsidRPr="00220C07">
        <w:noBreakHyphen/>
      </w:r>
      <w:r w:rsidRPr="00220C07">
        <w:rPr>
          <w:rStyle w:val="stddocPartNumber"/>
          <w:shd w:val="clear" w:color="auto" w:fill="auto"/>
        </w:rPr>
        <w:t>1</w:t>
      </w:r>
      <w:r w:rsidRPr="00220C07">
        <w:t xml:space="preserve">, </w:t>
      </w:r>
      <w:r w:rsidRPr="00220C07">
        <w:rPr>
          <w:rStyle w:val="stddocTitle"/>
          <w:shd w:val="clear" w:color="auto" w:fill="auto"/>
        </w:rPr>
        <w:t>Metallic materials — Tensile testing — Part 1: Method of test at room temperature</w:t>
      </w:r>
      <w:r w:rsidRPr="00220C07">
        <w:fldChar w:fldCharType="begin"/>
      </w:r>
      <w:r w:rsidRPr="00220C07">
        <w:instrText>IF "x_-3" "</w:instrText>
      </w:r>
      <w:r w:rsidRPr="00220C07">
        <w:fldChar w:fldCharType="begin"/>
      </w:r>
      <w:r w:rsidRPr="00220C07">
        <w:instrText>IF</w:instrText>
      </w:r>
      <w:r w:rsidRPr="00220C07">
        <w:fldChar w:fldCharType="begin"/>
      </w:r>
      <w:r w:rsidRPr="00220C07">
        <w:instrText>DOCPROPERTY "x_t"</w:instrText>
      </w:r>
      <w:r w:rsidRPr="00220C07">
        <w:fldChar w:fldCharType="separate"/>
      </w:r>
      <w:r>
        <w:instrText>N</w:instrText>
      </w:r>
      <w:r w:rsidRPr="00220C07">
        <w:fldChar w:fldCharType="end"/>
      </w:r>
      <w:r w:rsidRPr="00220C07">
        <w:instrText>&lt;&gt; N "&lt;/</w:instrText>
      </w:r>
      <w:r w:rsidRPr="00220C07">
        <w:fldChar w:fldCharType="begin"/>
      </w:r>
      <w:r w:rsidRPr="00220C07">
        <w:instrText>QUOTE "std"</w:instrText>
      </w:r>
      <w:r w:rsidRPr="00220C07">
        <w:fldChar w:fldCharType="separate"/>
      </w:r>
      <w:r w:rsidRPr="00220C07">
        <w:instrText>std</w:instrText>
      </w:r>
      <w:r w:rsidRPr="00220C07">
        <w:fldChar w:fldCharType="end"/>
      </w:r>
      <w:r w:rsidRPr="00220C07">
        <w:instrText>"</w:instrText>
      </w:r>
      <w:r w:rsidRPr="00220C07">
        <w:fldChar w:fldCharType="end"/>
      </w:r>
      <w:r w:rsidRPr="00220C07">
        <w:fldChar w:fldCharType="begin"/>
      </w:r>
      <w:r w:rsidRPr="00220C07">
        <w:instrText>IF</w:instrText>
      </w:r>
      <w:r w:rsidRPr="00220C07">
        <w:fldChar w:fldCharType="begin"/>
      </w:r>
      <w:r w:rsidRPr="00220C07">
        <w:instrText>DOCPROPERTY "x_t"</w:instrText>
      </w:r>
      <w:r w:rsidRPr="00220C07">
        <w:fldChar w:fldCharType="separate"/>
      </w:r>
      <w:r>
        <w:instrText>N</w:instrText>
      </w:r>
      <w:r w:rsidRPr="00220C07">
        <w:fldChar w:fldCharType="end"/>
      </w:r>
      <w:r w:rsidRPr="00220C07">
        <w:instrText>&lt;&gt; N "&gt;"</w:instrText>
      </w:r>
      <w:r w:rsidRPr="00220C07">
        <w:fldChar w:fldCharType="end"/>
      </w:r>
      <w:r w:rsidRPr="00220C07">
        <w:instrText>" ""</w:instrText>
      </w:r>
      <w:r w:rsidRPr="00220C07">
        <w:fldChar w:fldCharType="end"/>
      </w:r>
    </w:p>
    <w:p w14:paraId="4C9BF26B" w14:textId="77777777" w:rsidR="00E37E2C" w:rsidRPr="00220C07" w:rsidRDefault="00E37E2C" w:rsidP="00E37E2C">
      <w:pPr>
        <w:pStyle w:val="BiblioDescription"/>
        <w:keepNext/>
        <w:keepLines/>
        <w:autoSpaceDE w:val="0"/>
        <w:autoSpaceDN w:val="0"/>
        <w:adjustRightInd w:val="0"/>
        <w:rPr>
          <w:b/>
          <w:szCs w:val="24"/>
        </w:rPr>
      </w:pPr>
      <w:r w:rsidRPr="00220C07">
        <w:rPr>
          <w:b/>
          <w:szCs w:val="24"/>
        </w:rPr>
        <w:t>References contained in permissions (i.e. “may” clauses)</w:t>
      </w:r>
    </w:p>
    <w:p w14:paraId="15AFC572" w14:textId="77777777" w:rsidR="00E37E2C" w:rsidRPr="00220C07" w:rsidRDefault="00E37E2C" w:rsidP="00E37E2C">
      <w:pPr>
        <w:pStyle w:val="BiblioDescription"/>
        <w:keepNext/>
        <w:keepLines/>
        <w:autoSpaceDE w:val="0"/>
        <w:autoSpaceDN w:val="0"/>
        <w:adjustRightInd w:val="0"/>
        <w:rPr>
          <w:szCs w:val="24"/>
        </w:rPr>
      </w:pPr>
      <w:r w:rsidRPr="00220C07">
        <w:rPr>
          <w:szCs w:val="24"/>
        </w:rPr>
        <w:t>The following documents are referred to in the text in such a way that some or all of their content expresses a course of action permissible within the limits of the Eurocodes. For dated references, only the edition cited applies. For undated references, the latest edition of the referenced document (including any amendments) applies.</w:t>
      </w:r>
    </w:p>
    <w:p w14:paraId="13366056" w14:textId="77777777" w:rsidR="00E37E2C" w:rsidRPr="00220C07" w:rsidRDefault="00E37E2C" w:rsidP="00E37E2C">
      <w:pPr>
        <w:pStyle w:val="BiblioDescription"/>
        <w:autoSpaceDE w:val="0"/>
        <w:autoSpaceDN w:val="0"/>
        <w:adjustRightInd w:val="0"/>
        <w:rPr>
          <w:szCs w:val="24"/>
        </w:rPr>
      </w:pPr>
      <w:r w:rsidRPr="00220C07">
        <w:rPr>
          <w:szCs w:val="24"/>
        </w:rPr>
        <w:t>None</w:t>
      </w:r>
    </w:p>
    <w:p w14:paraId="281A8661" w14:textId="77777777" w:rsidR="00E37E2C" w:rsidRPr="00220C07" w:rsidRDefault="00E37E2C" w:rsidP="00E37E2C">
      <w:pPr>
        <w:pStyle w:val="BiblioDescription"/>
        <w:autoSpaceDE w:val="0"/>
        <w:autoSpaceDN w:val="0"/>
        <w:adjustRightInd w:val="0"/>
        <w:rPr>
          <w:b/>
          <w:szCs w:val="24"/>
        </w:rPr>
      </w:pPr>
      <w:r w:rsidRPr="00220C07">
        <w:rPr>
          <w:b/>
          <w:szCs w:val="24"/>
        </w:rPr>
        <w:t>References contained in possibilities (i.e. “can” clauses) and notes</w:t>
      </w:r>
    </w:p>
    <w:p w14:paraId="1CA2077D" w14:textId="77777777" w:rsidR="00E37E2C" w:rsidRPr="00220C07" w:rsidRDefault="00E37E2C" w:rsidP="00E37E2C">
      <w:pPr>
        <w:pStyle w:val="BiblioDescription"/>
        <w:autoSpaceDE w:val="0"/>
        <w:autoSpaceDN w:val="0"/>
        <w:adjustRightInd w:val="0"/>
        <w:rPr>
          <w:szCs w:val="24"/>
        </w:rPr>
      </w:pPr>
      <w:r w:rsidRPr="00220C07">
        <w:rPr>
          <w:szCs w:val="24"/>
        </w:rPr>
        <w:t>The following documents are cited informatively in the document, for example in “can” clauses and in notes.</w:t>
      </w:r>
    </w:p>
    <w:p w14:paraId="0F060E7F" w14:textId="490ADAE7" w:rsidR="00E37E2C" w:rsidRPr="00220C07" w:rsidRDefault="00E37E2C" w:rsidP="00E37E2C">
      <w:pPr>
        <w:pStyle w:val="BiblioEntry"/>
      </w:pPr>
      <w:r w:rsidRPr="00220C07">
        <w:fldChar w:fldCharType="begin"/>
      </w:r>
      <w:r w:rsidRPr="00220C07">
        <w:instrText>IF "x_+3" "</w:instrText>
      </w:r>
      <w:r w:rsidRPr="00220C07">
        <w:fldChar w:fldCharType="begin"/>
      </w:r>
      <w:r w:rsidRPr="00220C07">
        <w:instrText>IF</w:instrText>
      </w:r>
      <w:r w:rsidRPr="00220C07">
        <w:fldChar w:fldCharType="begin"/>
      </w:r>
      <w:r w:rsidRPr="00220C07">
        <w:instrText>DOCPROPERTY "x_t"</w:instrText>
      </w:r>
      <w:r w:rsidRPr="00220C07">
        <w:fldChar w:fldCharType="separate"/>
      </w:r>
      <w:r>
        <w:instrText>N</w:instrText>
      </w:r>
      <w:r w:rsidRPr="00220C07">
        <w:fldChar w:fldCharType="end"/>
      </w:r>
      <w:r w:rsidRPr="00220C07">
        <w:instrText>&lt;&gt; N "&lt;</w:instrText>
      </w:r>
      <w:r w:rsidRPr="00220C07">
        <w:fldChar w:fldCharType="begin"/>
      </w:r>
      <w:r w:rsidRPr="00220C07">
        <w:instrText>QUOTE "std"</w:instrText>
      </w:r>
      <w:r w:rsidRPr="00220C07">
        <w:fldChar w:fldCharType="separate"/>
      </w:r>
      <w:r w:rsidRPr="00220C07">
        <w:instrText>std</w:instrText>
      </w:r>
      <w:r w:rsidRPr="00220C07">
        <w:fldChar w:fldCharType="end"/>
      </w:r>
      <w:r w:rsidRPr="00220C07">
        <w:instrText>"</w:instrText>
      </w:r>
      <w:r w:rsidRPr="00220C07">
        <w:fldChar w:fldCharType="end"/>
      </w:r>
      <w:r w:rsidRPr="00220C07">
        <w:fldChar w:fldCharType="begin"/>
      </w:r>
      <w:r w:rsidRPr="00220C07">
        <w:instrText>IF</w:instrText>
      </w:r>
      <w:r w:rsidRPr="00220C07">
        <w:fldChar w:fldCharType="begin"/>
      </w:r>
      <w:r w:rsidRPr="00220C07">
        <w:instrText>= AND(</w:instrText>
      </w:r>
      <w:r w:rsidRPr="00220C07">
        <w:fldChar w:fldCharType="begin"/>
      </w:r>
      <w:r w:rsidRPr="00220C07">
        <w:instrText>COMPARE</w:instrText>
      </w:r>
      <w:r w:rsidRPr="00220C07">
        <w:fldChar w:fldCharType="begin"/>
      </w:r>
      <w:r w:rsidRPr="00220C07">
        <w:instrText>DOCPROPERTY "x_t"</w:instrText>
      </w:r>
      <w:r w:rsidRPr="00220C07">
        <w:fldChar w:fldCharType="separate"/>
      </w:r>
      <w:r>
        <w:instrText>N</w:instrText>
      </w:r>
      <w:r w:rsidRPr="00220C07">
        <w:fldChar w:fldCharType="end"/>
      </w:r>
      <w:r w:rsidRPr="00220C07">
        <w:instrText>&lt;&gt; N</w:instrText>
      </w:r>
      <w:r w:rsidRPr="00220C07">
        <w:fldChar w:fldCharType="separate"/>
      </w:r>
      <w:r>
        <w:rPr>
          <w:noProof/>
        </w:rPr>
        <w:instrText>0</w:instrText>
      </w:r>
      <w:r w:rsidRPr="00220C07">
        <w:fldChar w:fldCharType="end"/>
      </w:r>
      <w:r w:rsidRPr="00220C07">
        <w:instrText>,</w:instrText>
      </w:r>
      <w:r w:rsidRPr="00220C07">
        <w:fldChar w:fldCharType="begin"/>
      </w:r>
      <w:r w:rsidRPr="00220C07">
        <w:instrText>COMPARE</w:instrText>
      </w:r>
      <w:r w:rsidRPr="00220C07">
        <w:fldChar w:fldCharType="begin"/>
      </w:r>
      <w:r w:rsidRPr="00220C07">
        <w:instrText>DOCPROPERTY "x_a"</w:instrText>
      </w:r>
      <w:r w:rsidRPr="00220C07">
        <w:fldChar w:fldCharType="separate"/>
      </w:r>
      <w:r>
        <w:instrText>N</w:instrText>
      </w:r>
      <w:r w:rsidRPr="00220C07">
        <w:fldChar w:fldCharType="end"/>
      </w:r>
      <w:r w:rsidRPr="00220C07">
        <w:instrText>&lt;&gt; N</w:instrText>
      </w:r>
      <w:r w:rsidRPr="00220C07">
        <w:fldChar w:fldCharType="separate"/>
      </w:r>
      <w:r>
        <w:rPr>
          <w:noProof/>
        </w:rPr>
        <w:instrText>0</w:instrText>
      </w:r>
      <w:r w:rsidRPr="00220C07">
        <w:fldChar w:fldCharType="end"/>
      </w:r>
      <w:r w:rsidRPr="00220C07">
        <w:instrText>)</w:instrText>
      </w:r>
      <w:r w:rsidRPr="00220C07">
        <w:fldChar w:fldCharType="separate"/>
      </w:r>
      <w:r>
        <w:rPr>
          <w:b/>
          <w:noProof/>
        </w:rPr>
        <w:instrText>!Syntax Error, ,,</w:instrText>
      </w:r>
      <w:r w:rsidRPr="00220C07">
        <w:fldChar w:fldCharType="end"/>
      </w:r>
      <w:r w:rsidRPr="00220C07">
        <w:instrText>= 1 "</w:instrText>
      </w:r>
      <w:r w:rsidRPr="00220C07">
        <w:fldChar w:fldCharType="begin"/>
      </w:r>
      <w:r w:rsidRPr="00220C07">
        <w:instrText>QUOTE ""</w:instrText>
      </w:r>
      <w:r w:rsidRPr="00220C07">
        <w:fldChar w:fldCharType="end"/>
      </w:r>
      <w:r w:rsidRPr="00220C07">
        <w:instrText>"</w:instrText>
      </w:r>
      <w:r w:rsidRPr="00220C07">
        <w:fldChar w:fldCharType="end"/>
      </w:r>
      <w:r w:rsidRPr="00220C07">
        <w:fldChar w:fldCharType="begin"/>
      </w:r>
      <w:r w:rsidRPr="00220C07">
        <w:instrText>IF</w:instrText>
      </w:r>
      <w:r w:rsidRPr="00220C07">
        <w:fldChar w:fldCharType="begin"/>
      </w:r>
      <w:r w:rsidRPr="00220C07">
        <w:instrText>DOCPROPERTY "x_t"</w:instrText>
      </w:r>
      <w:r w:rsidRPr="00220C07">
        <w:fldChar w:fldCharType="separate"/>
      </w:r>
      <w:r>
        <w:instrText>N</w:instrText>
      </w:r>
      <w:r w:rsidRPr="00220C07">
        <w:fldChar w:fldCharType="end"/>
      </w:r>
      <w:r w:rsidRPr="00220C07">
        <w:instrText>&lt;&gt; N "&gt;"</w:instrText>
      </w:r>
      <w:r w:rsidRPr="00220C07">
        <w:fldChar w:fldCharType="end"/>
      </w:r>
      <w:r w:rsidRPr="00220C07">
        <w:instrText>" "</w:instrText>
      </w:r>
      <w:r w:rsidRPr="00220C07">
        <w:fldChar w:fldCharType="begin"/>
      </w:r>
      <w:r w:rsidRPr="00220C07">
        <w:instrText>QUOTE ""</w:instrText>
      </w:r>
      <w:r w:rsidRPr="00220C07">
        <w:fldChar w:fldCharType="end"/>
      </w:r>
      <w:r w:rsidRPr="00220C07">
        <w:instrText>"</w:instrText>
      </w:r>
      <w:r w:rsidRPr="00220C07">
        <w:fldChar w:fldCharType="end"/>
      </w:r>
      <w:r w:rsidRPr="00220C07">
        <w:rPr>
          <w:rStyle w:val="stdpublisher"/>
          <w:shd w:val="clear" w:color="auto" w:fill="auto"/>
        </w:rPr>
        <w:t>EN ISO</w:t>
      </w:r>
      <w:r w:rsidRPr="00220C07">
        <w:t> </w:t>
      </w:r>
      <w:r w:rsidRPr="00220C07">
        <w:rPr>
          <w:rStyle w:val="stddocNumber"/>
          <w:shd w:val="clear" w:color="auto" w:fill="auto"/>
        </w:rPr>
        <w:t>1478</w:t>
      </w:r>
      <w:r w:rsidRPr="00220C07">
        <w:t xml:space="preserve">, </w:t>
      </w:r>
      <w:r w:rsidRPr="00220C07">
        <w:rPr>
          <w:rStyle w:val="stddocTitle"/>
          <w:shd w:val="clear" w:color="auto" w:fill="auto"/>
        </w:rPr>
        <w:t>Tapping screws thread</w:t>
      </w:r>
      <w:r w:rsidRPr="00220C07">
        <w:fldChar w:fldCharType="begin"/>
      </w:r>
      <w:r w:rsidRPr="00220C07">
        <w:instrText>IF "x_-3" "</w:instrText>
      </w:r>
      <w:r w:rsidRPr="00220C07">
        <w:fldChar w:fldCharType="begin"/>
      </w:r>
      <w:r w:rsidRPr="00220C07">
        <w:instrText>IF</w:instrText>
      </w:r>
      <w:r w:rsidRPr="00220C07">
        <w:fldChar w:fldCharType="begin"/>
      </w:r>
      <w:r w:rsidRPr="00220C07">
        <w:instrText>DOCPROPERTY "x_t"</w:instrText>
      </w:r>
      <w:r w:rsidRPr="00220C07">
        <w:fldChar w:fldCharType="separate"/>
      </w:r>
      <w:r>
        <w:instrText>N</w:instrText>
      </w:r>
      <w:r w:rsidRPr="00220C07">
        <w:fldChar w:fldCharType="end"/>
      </w:r>
      <w:r w:rsidRPr="00220C07">
        <w:instrText>&lt;&gt; N "&lt;/</w:instrText>
      </w:r>
      <w:r w:rsidRPr="00220C07">
        <w:fldChar w:fldCharType="begin"/>
      </w:r>
      <w:r w:rsidRPr="00220C07">
        <w:instrText>QUOTE "std"</w:instrText>
      </w:r>
      <w:r w:rsidRPr="00220C07">
        <w:fldChar w:fldCharType="separate"/>
      </w:r>
      <w:r w:rsidRPr="00220C07">
        <w:instrText>std</w:instrText>
      </w:r>
      <w:r w:rsidRPr="00220C07">
        <w:fldChar w:fldCharType="end"/>
      </w:r>
      <w:r w:rsidRPr="00220C07">
        <w:instrText>"</w:instrText>
      </w:r>
      <w:r w:rsidRPr="00220C07">
        <w:fldChar w:fldCharType="end"/>
      </w:r>
      <w:r w:rsidRPr="00220C07">
        <w:fldChar w:fldCharType="begin"/>
      </w:r>
      <w:r w:rsidRPr="00220C07">
        <w:instrText>IF</w:instrText>
      </w:r>
      <w:r w:rsidRPr="00220C07">
        <w:fldChar w:fldCharType="begin"/>
      </w:r>
      <w:r w:rsidRPr="00220C07">
        <w:instrText>DOCPROPERTY "x_t"</w:instrText>
      </w:r>
      <w:r w:rsidRPr="00220C07">
        <w:fldChar w:fldCharType="separate"/>
      </w:r>
      <w:r>
        <w:instrText>N</w:instrText>
      </w:r>
      <w:r w:rsidRPr="00220C07">
        <w:fldChar w:fldCharType="end"/>
      </w:r>
      <w:r w:rsidRPr="00220C07">
        <w:instrText>&lt;&gt; N "&gt;"</w:instrText>
      </w:r>
      <w:r w:rsidRPr="00220C07">
        <w:fldChar w:fldCharType="end"/>
      </w:r>
      <w:r w:rsidRPr="00220C07">
        <w:instrText>" ""</w:instrText>
      </w:r>
      <w:r w:rsidRPr="00220C07">
        <w:fldChar w:fldCharType="end"/>
      </w:r>
    </w:p>
    <w:p w14:paraId="7666C792" w14:textId="14FAB712" w:rsidR="00E37E2C" w:rsidRPr="00220C07" w:rsidRDefault="00E37E2C" w:rsidP="00E37E2C">
      <w:pPr>
        <w:pStyle w:val="BiblioEntry"/>
      </w:pPr>
      <w:r w:rsidRPr="00220C07">
        <w:fldChar w:fldCharType="begin"/>
      </w:r>
      <w:r w:rsidRPr="00220C07">
        <w:instrText>IF "x_+3" "</w:instrText>
      </w:r>
      <w:r w:rsidRPr="00220C07">
        <w:fldChar w:fldCharType="begin"/>
      </w:r>
      <w:r w:rsidRPr="00220C07">
        <w:instrText>IF</w:instrText>
      </w:r>
      <w:r w:rsidRPr="00220C07">
        <w:fldChar w:fldCharType="begin"/>
      </w:r>
      <w:r w:rsidRPr="00220C07">
        <w:instrText>DOCPROPERTY "x_t"</w:instrText>
      </w:r>
      <w:r w:rsidRPr="00220C07">
        <w:fldChar w:fldCharType="separate"/>
      </w:r>
      <w:r>
        <w:instrText>N</w:instrText>
      </w:r>
      <w:r w:rsidRPr="00220C07">
        <w:fldChar w:fldCharType="end"/>
      </w:r>
      <w:r w:rsidRPr="00220C07">
        <w:instrText>&lt;&gt; N "&lt;</w:instrText>
      </w:r>
      <w:r w:rsidRPr="00220C07">
        <w:fldChar w:fldCharType="begin"/>
      </w:r>
      <w:r w:rsidRPr="00220C07">
        <w:instrText>QUOTE "std"</w:instrText>
      </w:r>
      <w:r w:rsidRPr="00220C07">
        <w:fldChar w:fldCharType="separate"/>
      </w:r>
      <w:r w:rsidRPr="00220C07">
        <w:instrText>std</w:instrText>
      </w:r>
      <w:r w:rsidRPr="00220C07">
        <w:fldChar w:fldCharType="end"/>
      </w:r>
      <w:r w:rsidRPr="00220C07">
        <w:instrText>"</w:instrText>
      </w:r>
      <w:r w:rsidRPr="00220C07">
        <w:fldChar w:fldCharType="end"/>
      </w:r>
      <w:r w:rsidRPr="00220C07">
        <w:fldChar w:fldCharType="begin"/>
      </w:r>
      <w:r w:rsidRPr="00220C07">
        <w:instrText>IF</w:instrText>
      </w:r>
      <w:r w:rsidRPr="00220C07">
        <w:fldChar w:fldCharType="begin"/>
      </w:r>
      <w:r w:rsidRPr="00220C07">
        <w:instrText>= AND(</w:instrText>
      </w:r>
      <w:r w:rsidRPr="00220C07">
        <w:fldChar w:fldCharType="begin"/>
      </w:r>
      <w:r w:rsidRPr="00220C07">
        <w:instrText>COMPARE</w:instrText>
      </w:r>
      <w:r w:rsidRPr="00220C07">
        <w:fldChar w:fldCharType="begin"/>
      </w:r>
      <w:r w:rsidRPr="00220C07">
        <w:instrText>DOCPROPERTY "x_t"</w:instrText>
      </w:r>
      <w:r w:rsidRPr="00220C07">
        <w:fldChar w:fldCharType="separate"/>
      </w:r>
      <w:r>
        <w:instrText>N</w:instrText>
      </w:r>
      <w:r w:rsidRPr="00220C07">
        <w:fldChar w:fldCharType="end"/>
      </w:r>
      <w:r w:rsidRPr="00220C07">
        <w:instrText>&lt;&gt; N</w:instrText>
      </w:r>
      <w:r w:rsidRPr="00220C07">
        <w:fldChar w:fldCharType="separate"/>
      </w:r>
      <w:r>
        <w:rPr>
          <w:noProof/>
        </w:rPr>
        <w:instrText>0</w:instrText>
      </w:r>
      <w:r w:rsidRPr="00220C07">
        <w:fldChar w:fldCharType="end"/>
      </w:r>
      <w:r w:rsidRPr="00220C07">
        <w:instrText>,</w:instrText>
      </w:r>
      <w:r w:rsidRPr="00220C07">
        <w:fldChar w:fldCharType="begin"/>
      </w:r>
      <w:r w:rsidRPr="00220C07">
        <w:instrText>COMPARE</w:instrText>
      </w:r>
      <w:r w:rsidRPr="00220C07">
        <w:fldChar w:fldCharType="begin"/>
      </w:r>
      <w:r w:rsidRPr="00220C07">
        <w:instrText>DOCPROPERTY "x_a"</w:instrText>
      </w:r>
      <w:r w:rsidRPr="00220C07">
        <w:fldChar w:fldCharType="separate"/>
      </w:r>
      <w:r>
        <w:instrText>N</w:instrText>
      </w:r>
      <w:r w:rsidRPr="00220C07">
        <w:fldChar w:fldCharType="end"/>
      </w:r>
      <w:r w:rsidRPr="00220C07">
        <w:instrText>&lt;&gt; N</w:instrText>
      </w:r>
      <w:r w:rsidRPr="00220C07">
        <w:fldChar w:fldCharType="separate"/>
      </w:r>
      <w:r>
        <w:rPr>
          <w:noProof/>
        </w:rPr>
        <w:instrText>0</w:instrText>
      </w:r>
      <w:r w:rsidRPr="00220C07">
        <w:fldChar w:fldCharType="end"/>
      </w:r>
      <w:r w:rsidRPr="00220C07">
        <w:instrText>)</w:instrText>
      </w:r>
      <w:r w:rsidRPr="00220C07">
        <w:fldChar w:fldCharType="separate"/>
      </w:r>
      <w:r>
        <w:rPr>
          <w:b/>
          <w:noProof/>
        </w:rPr>
        <w:instrText>!Syntax Error, ,,</w:instrText>
      </w:r>
      <w:r w:rsidRPr="00220C07">
        <w:fldChar w:fldCharType="end"/>
      </w:r>
      <w:r w:rsidRPr="00220C07">
        <w:instrText>= 1 "</w:instrText>
      </w:r>
      <w:r w:rsidRPr="00220C07">
        <w:fldChar w:fldCharType="begin"/>
      </w:r>
      <w:r w:rsidRPr="00220C07">
        <w:instrText>QUOTE ""</w:instrText>
      </w:r>
      <w:r w:rsidRPr="00220C07">
        <w:fldChar w:fldCharType="end"/>
      </w:r>
      <w:r w:rsidRPr="00220C07">
        <w:instrText>"</w:instrText>
      </w:r>
      <w:r w:rsidRPr="00220C07">
        <w:fldChar w:fldCharType="end"/>
      </w:r>
      <w:r w:rsidRPr="00220C07">
        <w:fldChar w:fldCharType="begin"/>
      </w:r>
      <w:r w:rsidRPr="00220C07">
        <w:instrText>IF</w:instrText>
      </w:r>
      <w:r w:rsidRPr="00220C07">
        <w:fldChar w:fldCharType="begin"/>
      </w:r>
      <w:r w:rsidRPr="00220C07">
        <w:instrText>DOCPROPERTY "x_t"</w:instrText>
      </w:r>
      <w:r w:rsidRPr="00220C07">
        <w:fldChar w:fldCharType="separate"/>
      </w:r>
      <w:r>
        <w:instrText>N</w:instrText>
      </w:r>
      <w:r w:rsidRPr="00220C07">
        <w:fldChar w:fldCharType="end"/>
      </w:r>
      <w:r w:rsidRPr="00220C07">
        <w:instrText>&lt;&gt; N "&gt;"</w:instrText>
      </w:r>
      <w:r w:rsidRPr="00220C07">
        <w:fldChar w:fldCharType="end"/>
      </w:r>
      <w:r w:rsidRPr="00220C07">
        <w:instrText>" "</w:instrText>
      </w:r>
      <w:r w:rsidRPr="00220C07">
        <w:fldChar w:fldCharType="begin"/>
      </w:r>
      <w:r w:rsidRPr="00220C07">
        <w:instrText>QUOTE ""</w:instrText>
      </w:r>
      <w:r w:rsidRPr="00220C07">
        <w:fldChar w:fldCharType="end"/>
      </w:r>
      <w:r w:rsidRPr="00220C07">
        <w:instrText>"</w:instrText>
      </w:r>
      <w:r w:rsidRPr="00220C07">
        <w:fldChar w:fldCharType="end"/>
      </w:r>
      <w:r w:rsidRPr="00220C07">
        <w:rPr>
          <w:rStyle w:val="stdpublisher"/>
          <w:shd w:val="clear" w:color="auto" w:fill="auto"/>
        </w:rPr>
        <w:t>EN ISO</w:t>
      </w:r>
      <w:r w:rsidRPr="00220C07">
        <w:t> </w:t>
      </w:r>
      <w:r w:rsidRPr="00220C07">
        <w:rPr>
          <w:rStyle w:val="stddocNumber"/>
          <w:shd w:val="clear" w:color="auto" w:fill="auto"/>
        </w:rPr>
        <w:t>1479</w:t>
      </w:r>
      <w:r w:rsidRPr="00220C07">
        <w:t xml:space="preserve">, </w:t>
      </w:r>
      <w:r w:rsidRPr="00220C07">
        <w:rPr>
          <w:rStyle w:val="stddocTitle"/>
          <w:shd w:val="clear" w:color="auto" w:fill="auto"/>
        </w:rPr>
        <w:t>Hexagon head tapping screws</w:t>
      </w:r>
      <w:r w:rsidRPr="00220C07">
        <w:fldChar w:fldCharType="begin"/>
      </w:r>
      <w:r w:rsidRPr="00220C07">
        <w:instrText>IF "x_-3" "</w:instrText>
      </w:r>
      <w:r w:rsidRPr="00220C07">
        <w:fldChar w:fldCharType="begin"/>
      </w:r>
      <w:r w:rsidRPr="00220C07">
        <w:instrText>IF</w:instrText>
      </w:r>
      <w:r w:rsidRPr="00220C07">
        <w:fldChar w:fldCharType="begin"/>
      </w:r>
      <w:r w:rsidRPr="00220C07">
        <w:instrText>DOCPROPERTY "x_t"</w:instrText>
      </w:r>
      <w:r w:rsidRPr="00220C07">
        <w:fldChar w:fldCharType="separate"/>
      </w:r>
      <w:r>
        <w:instrText>N</w:instrText>
      </w:r>
      <w:r w:rsidRPr="00220C07">
        <w:fldChar w:fldCharType="end"/>
      </w:r>
      <w:r w:rsidRPr="00220C07">
        <w:instrText>&lt;&gt; N "&lt;/</w:instrText>
      </w:r>
      <w:r w:rsidRPr="00220C07">
        <w:fldChar w:fldCharType="begin"/>
      </w:r>
      <w:r w:rsidRPr="00220C07">
        <w:instrText>QUOTE "std"</w:instrText>
      </w:r>
      <w:r w:rsidRPr="00220C07">
        <w:fldChar w:fldCharType="separate"/>
      </w:r>
      <w:r w:rsidRPr="00220C07">
        <w:instrText>std</w:instrText>
      </w:r>
      <w:r w:rsidRPr="00220C07">
        <w:fldChar w:fldCharType="end"/>
      </w:r>
      <w:r w:rsidRPr="00220C07">
        <w:instrText>"</w:instrText>
      </w:r>
      <w:r w:rsidRPr="00220C07">
        <w:fldChar w:fldCharType="end"/>
      </w:r>
      <w:r w:rsidRPr="00220C07">
        <w:fldChar w:fldCharType="begin"/>
      </w:r>
      <w:r w:rsidRPr="00220C07">
        <w:instrText>IF</w:instrText>
      </w:r>
      <w:r w:rsidRPr="00220C07">
        <w:fldChar w:fldCharType="begin"/>
      </w:r>
      <w:r w:rsidRPr="00220C07">
        <w:instrText>DOCPROPERTY "x_t"</w:instrText>
      </w:r>
      <w:r w:rsidRPr="00220C07">
        <w:fldChar w:fldCharType="separate"/>
      </w:r>
      <w:r>
        <w:instrText>N</w:instrText>
      </w:r>
      <w:r w:rsidRPr="00220C07">
        <w:fldChar w:fldCharType="end"/>
      </w:r>
      <w:r w:rsidRPr="00220C07">
        <w:instrText>&lt;&gt; N "&gt;"</w:instrText>
      </w:r>
      <w:r w:rsidRPr="00220C07">
        <w:fldChar w:fldCharType="end"/>
      </w:r>
      <w:r w:rsidRPr="00220C07">
        <w:instrText>" ""</w:instrText>
      </w:r>
      <w:r w:rsidRPr="00220C07">
        <w:fldChar w:fldCharType="end"/>
      </w:r>
    </w:p>
    <w:p w14:paraId="60031709" w14:textId="5C173683" w:rsidR="00E37E2C" w:rsidRPr="00220C07" w:rsidRDefault="00E37E2C" w:rsidP="00E37E2C">
      <w:pPr>
        <w:pStyle w:val="BiblioEntry"/>
      </w:pPr>
      <w:r w:rsidRPr="00220C07">
        <w:fldChar w:fldCharType="begin"/>
      </w:r>
      <w:r w:rsidRPr="00220C07">
        <w:instrText>IF "x_+3" "</w:instrText>
      </w:r>
      <w:r w:rsidRPr="00220C07">
        <w:fldChar w:fldCharType="begin"/>
      </w:r>
      <w:r w:rsidRPr="00220C07">
        <w:instrText>IF</w:instrText>
      </w:r>
      <w:r w:rsidRPr="00220C07">
        <w:fldChar w:fldCharType="begin"/>
      </w:r>
      <w:r w:rsidRPr="00220C07">
        <w:instrText>DOCPROPERTY "x_t"</w:instrText>
      </w:r>
      <w:r w:rsidRPr="00220C07">
        <w:fldChar w:fldCharType="separate"/>
      </w:r>
      <w:r>
        <w:instrText>N</w:instrText>
      </w:r>
      <w:r w:rsidRPr="00220C07">
        <w:fldChar w:fldCharType="end"/>
      </w:r>
      <w:r w:rsidRPr="00220C07">
        <w:instrText>&lt;&gt; N "&lt;</w:instrText>
      </w:r>
      <w:r w:rsidRPr="00220C07">
        <w:fldChar w:fldCharType="begin"/>
      </w:r>
      <w:r w:rsidRPr="00220C07">
        <w:instrText>QUOTE "std"</w:instrText>
      </w:r>
      <w:r w:rsidRPr="00220C07">
        <w:fldChar w:fldCharType="separate"/>
      </w:r>
      <w:r w:rsidRPr="00220C07">
        <w:instrText>std</w:instrText>
      </w:r>
      <w:r w:rsidRPr="00220C07">
        <w:fldChar w:fldCharType="end"/>
      </w:r>
      <w:r w:rsidRPr="00220C07">
        <w:instrText>"</w:instrText>
      </w:r>
      <w:r w:rsidRPr="00220C07">
        <w:fldChar w:fldCharType="end"/>
      </w:r>
      <w:r w:rsidRPr="00220C07">
        <w:fldChar w:fldCharType="begin"/>
      </w:r>
      <w:r w:rsidRPr="00220C07">
        <w:instrText>IF</w:instrText>
      </w:r>
      <w:r w:rsidRPr="00220C07">
        <w:fldChar w:fldCharType="begin"/>
      </w:r>
      <w:r w:rsidRPr="00220C07">
        <w:instrText>= AND(</w:instrText>
      </w:r>
      <w:r w:rsidRPr="00220C07">
        <w:fldChar w:fldCharType="begin"/>
      </w:r>
      <w:r w:rsidRPr="00220C07">
        <w:instrText>COMPARE</w:instrText>
      </w:r>
      <w:r w:rsidRPr="00220C07">
        <w:fldChar w:fldCharType="begin"/>
      </w:r>
      <w:r w:rsidRPr="00220C07">
        <w:instrText>DOCPROPERTY "x_t"</w:instrText>
      </w:r>
      <w:r w:rsidRPr="00220C07">
        <w:fldChar w:fldCharType="separate"/>
      </w:r>
      <w:r>
        <w:instrText>N</w:instrText>
      </w:r>
      <w:r w:rsidRPr="00220C07">
        <w:fldChar w:fldCharType="end"/>
      </w:r>
      <w:r w:rsidRPr="00220C07">
        <w:instrText>&lt;&gt; N</w:instrText>
      </w:r>
      <w:r w:rsidRPr="00220C07">
        <w:fldChar w:fldCharType="separate"/>
      </w:r>
      <w:r>
        <w:rPr>
          <w:noProof/>
        </w:rPr>
        <w:instrText>0</w:instrText>
      </w:r>
      <w:r w:rsidRPr="00220C07">
        <w:fldChar w:fldCharType="end"/>
      </w:r>
      <w:r w:rsidRPr="00220C07">
        <w:instrText>,</w:instrText>
      </w:r>
      <w:r w:rsidRPr="00220C07">
        <w:fldChar w:fldCharType="begin"/>
      </w:r>
      <w:r w:rsidRPr="00220C07">
        <w:instrText>COMPARE</w:instrText>
      </w:r>
      <w:r w:rsidRPr="00220C07">
        <w:fldChar w:fldCharType="begin"/>
      </w:r>
      <w:r w:rsidRPr="00220C07">
        <w:instrText>DOCPROPERTY "x_a"</w:instrText>
      </w:r>
      <w:r w:rsidRPr="00220C07">
        <w:fldChar w:fldCharType="separate"/>
      </w:r>
      <w:r>
        <w:instrText>N</w:instrText>
      </w:r>
      <w:r w:rsidRPr="00220C07">
        <w:fldChar w:fldCharType="end"/>
      </w:r>
      <w:r w:rsidRPr="00220C07">
        <w:instrText>&lt;&gt; N</w:instrText>
      </w:r>
      <w:r w:rsidRPr="00220C07">
        <w:fldChar w:fldCharType="separate"/>
      </w:r>
      <w:r>
        <w:rPr>
          <w:noProof/>
        </w:rPr>
        <w:instrText>0</w:instrText>
      </w:r>
      <w:r w:rsidRPr="00220C07">
        <w:fldChar w:fldCharType="end"/>
      </w:r>
      <w:r w:rsidRPr="00220C07">
        <w:instrText>)</w:instrText>
      </w:r>
      <w:r w:rsidRPr="00220C07">
        <w:fldChar w:fldCharType="separate"/>
      </w:r>
      <w:r>
        <w:rPr>
          <w:b/>
          <w:noProof/>
        </w:rPr>
        <w:instrText>!Syntax Error, ,,</w:instrText>
      </w:r>
      <w:r w:rsidRPr="00220C07">
        <w:fldChar w:fldCharType="end"/>
      </w:r>
      <w:r w:rsidRPr="00220C07">
        <w:instrText>= 1 "</w:instrText>
      </w:r>
      <w:r w:rsidRPr="00220C07">
        <w:fldChar w:fldCharType="begin"/>
      </w:r>
      <w:r w:rsidRPr="00220C07">
        <w:instrText>QUOTE ""</w:instrText>
      </w:r>
      <w:r w:rsidRPr="00220C07">
        <w:fldChar w:fldCharType="end"/>
      </w:r>
      <w:r w:rsidRPr="00220C07">
        <w:instrText>"</w:instrText>
      </w:r>
      <w:r w:rsidRPr="00220C07">
        <w:fldChar w:fldCharType="end"/>
      </w:r>
      <w:r w:rsidRPr="00220C07">
        <w:fldChar w:fldCharType="begin"/>
      </w:r>
      <w:r w:rsidRPr="00220C07">
        <w:instrText>IF</w:instrText>
      </w:r>
      <w:r w:rsidRPr="00220C07">
        <w:fldChar w:fldCharType="begin"/>
      </w:r>
      <w:r w:rsidRPr="00220C07">
        <w:instrText>DOCPROPERTY "x_t"</w:instrText>
      </w:r>
      <w:r w:rsidRPr="00220C07">
        <w:fldChar w:fldCharType="separate"/>
      </w:r>
      <w:r>
        <w:instrText>N</w:instrText>
      </w:r>
      <w:r w:rsidRPr="00220C07">
        <w:fldChar w:fldCharType="end"/>
      </w:r>
      <w:r w:rsidRPr="00220C07">
        <w:instrText>&lt;&gt; N "&gt;"</w:instrText>
      </w:r>
      <w:r w:rsidRPr="00220C07">
        <w:fldChar w:fldCharType="end"/>
      </w:r>
      <w:r w:rsidRPr="00220C07">
        <w:instrText>" "</w:instrText>
      </w:r>
      <w:r w:rsidRPr="00220C07">
        <w:fldChar w:fldCharType="begin"/>
      </w:r>
      <w:r w:rsidRPr="00220C07">
        <w:instrText>QUOTE ""</w:instrText>
      </w:r>
      <w:r w:rsidRPr="00220C07">
        <w:fldChar w:fldCharType="end"/>
      </w:r>
      <w:r w:rsidRPr="00220C07">
        <w:instrText>"</w:instrText>
      </w:r>
      <w:r w:rsidRPr="00220C07">
        <w:fldChar w:fldCharType="end"/>
      </w:r>
      <w:r w:rsidRPr="00220C07">
        <w:rPr>
          <w:rStyle w:val="stdpublisher"/>
          <w:shd w:val="clear" w:color="auto" w:fill="auto"/>
        </w:rPr>
        <w:t>EN ISO</w:t>
      </w:r>
      <w:r w:rsidRPr="00220C07">
        <w:t> </w:t>
      </w:r>
      <w:r w:rsidRPr="00220C07">
        <w:rPr>
          <w:rStyle w:val="stddocNumber"/>
          <w:shd w:val="clear" w:color="auto" w:fill="auto"/>
        </w:rPr>
        <w:t>2702</w:t>
      </w:r>
      <w:r w:rsidRPr="00220C07">
        <w:t xml:space="preserve">, </w:t>
      </w:r>
      <w:r w:rsidRPr="00220C07">
        <w:rPr>
          <w:rStyle w:val="stddocTitle"/>
          <w:shd w:val="clear" w:color="auto" w:fill="auto"/>
        </w:rPr>
        <w:t>Fasteners — Heat-treated tapping screws — Mechanical and physical properties</w:t>
      </w:r>
      <w:r w:rsidRPr="00220C07">
        <w:fldChar w:fldCharType="begin"/>
      </w:r>
      <w:r w:rsidRPr="00220C07">
        <w:instrText>IF "x_-3" "</w:instrText>
      </w:r>
      <w:r w:rsidRPr="00220C07">
        <w:fldChar w:fldCharType="begin"/>
      </w:r>
      <w:r w:rsidRPr="00220C07">
        <w:instrText>IF</w:instrText>
      </w:r>
      <w:r w:rsidRPr="00220C07">
        <w:fldChar w:fldCharType="begin"/>
      </w:r>
      <w:r w:rsidRPr="00220C07">
        <w:instrText>DOCPROPERTY "x_t"</w:instrText>
      </w:r>
      <w:r w:rsidRPr="00220C07">
        <w:fldChar w:fldCharType="separate"/>
      </w:r>
      <w:r>
        <w:instrText>N</w:instrText>
      </w:r>
      <w:r w:rsidRPr="00220C07">
        <w:fldChar w:fldCharType="end"/>
      </w:r>
      <w:r w:rsidRPr="00220C07">
        <w:instrText>&lt;&gt; N "&lt;/</w:instrText>
      </w:r>
      <w:r w:rsidRPr="00220C07">
        <w:fldChar w:fldCharType="begin"/>
      </w:r>
      <w:r w:rsidRPr="00220C07">
        <w:instrText>QUOTE "std"</w:instrText>
      </w:r>
      <w:r w:rsidRPr="00220C07">
        <w:fldChar w:fldCharType="separate"/>
      </w:r>
      <w:r w:rsidRPr="00220C07">
        <w:instrText>std</w:instrText>
      </w:r>
      <w:r w:rsidRPr="00220C07">
        <w:fldChar w:fldCharType="end"/>
      </w:r>
      <w:r w:rsidRPr="00220C07">
        <w:instrText>"</w:instrText>
      </w:r>
      <w:r w:rsidRPr="00220C07">
        <w:fldChar w:fldCharType="end"/>
      </w:r>
      <w:r w:rsidRPr="00220C07">
        <w:fldChar w:fldCharType="begin"/>
      </w:r>
      <w:r w:rsidRPr="00220C07">
        <w:instrText>IF</w:instrText>
      </w:r>
      <w:r w:rsidRPr="00220C07">
        <w:fldChar w:fldCharType="begin"/>
      </w:r>
      <w:r w:rsidRPr="00220C07">
        <w:instrText>DOCPROPERTY "x_t"</w:instrText>
      </w:r>
      <w:r w:rsidRPr="00220C07">
        <w:fldChar w:fldCharType="separate"/>
      </w:r>
      <w:r>
        <w:instrText>N</w:instrText>
      </w:r>
      <w:r w:rsidRPr="00220C07">
        <w:fldChar w:fldCharType="end"/>
      </w:r>
      <w:r w:rsidRPr="00220C07">
        <w:instrText>&lt;&gt; N "&gt;"</w:instrText>
      </w:r>
      <w:r w:rsidRPr="00220C07">
        <w:fldChar w:fldCharType="end"/>
      </w:r>
      <w:r w:rsidRPr="00220C07">
        <w:instrText>" ""</w:instrText>
      </w:r>
      <w:r w:rsidRPr="00220C07">
        <w:fldChar w:fldCharType="end"/>
      </w:r>
    </w:p>
    <w:p w14:paraId="71979CCB" w14:textId="0DE32DDA" w:rsidR="00E37E2C" w:rsidRPr="00220C07" w:rsidRDefault="00E37E2C" w:rsidP="00E37E2C">
      <w:pPr>
        <w:pStyle w:val="BiblioEntry"/>
      </w:pPr>
      <w:r w:rsidRPr="00220C07">
        <w:fldChar w:fldCharType="begin"/>
      </w:r>
      <w:r w:rsidRPr="00220C07">
        <w:instrText>IF "x_+3" "</w:instrText>
      </w:r>
      <w:r w:rsidRPr="00220C07">
        <w:fldChar w:fldCharType="begin"/>
      </w:r>
      <w:r w:rsidRPr="00220C07">
        <w:instrText>IF</w:instrText>
      </w:r>
      <w:r w:rsidRPr="00220C07">
        <w:fldChar w:fldCharType="begin"/>
      </w:r>
      <w:r w:rsidRPr="00220C07">
        <w:instrText>DOCPROPERTY "x_t"</w:instrText>
      </w:r>
      <w:r w:rsidRPr="00220C07">
        <w:fldChar w:fldCharType="separate"/>
      </w:r>
      <w:r>
        <w:instrText>N</w:instrText>
      </w:r>
      <w:r w:rsidRPr="00220C07">
        <w:fldChar w:fldCharType="end"/>
      </w:r>
      <w:r w:rsidRPr="00220C07">
        <w:instrText>&lt;&gt; N "&lt;</w:instrText>
      </w:r>
      <w:r w:rsidRPr="00220C07">
        <w:fldChar w:fldCharType="begin"/>
      </w:r>
      <w:r w:rsidRPr="00220C07">
        <w:instrText>QUOTE "std"</w:instrText>
      </w:r>
      <w:r w:rsidRPr="00220C07">
        <w:fldChar w:fldCharType="separate"/>
      </w:r>
      <w:r w:rsidRPr="00220C07">
        <w:instrText>std</w:instrText>
      </w:r>
      <w:r w:rsidRPr="00220C07">
        <w:fldChar w:fldCharType="end"/>
      </w:r>
      <w:r w:rsidRPr="00220C07">
        <w:instrText>"</w:instrText>
      </w:r>
      <w:r w:rsidRPr="00220C07">
        <w:fldChar w:fldCharType="end"/>
      </w:r>
      <w:r w:rsidRPr="00220C07">
        <w:fldChar w:fldCharType="begin"/>
      </w:r>
      <w:r w:rsidRPr="00220C07">
        <w:instrText>IF</w:instrText>
      </w:r>
      <w:r w:rsidRPr="00220C07">
        <w:fldChar w:fldCharType="begin"/>
      </w:r>
      <w:r w:rsidRPr="00220C07">
        <w:instrText>= AND(</w:instrText>
      </w:r>
      <w:r w:rsidRPr="00220C07">
        <w:fldChar w:fldCharType="begin"/>
      </w:r>
      <w:r w:rsidRPr="00220C07">
        <w:instrText>COMPARE</w:instrText>
      </w:r>
      <w:r w:rsidRPr="00220C07">
        <w:fldChar w:fldCharType="begin"/>
      </w:r>
      <w:r w:rsidRPr="00220C07">
        <w:instrText>DOCPROPERTY "x_t"</w:instrText>
      </w:r>
      <w:r w:rsidRPr="00220C07">
        <w:fldChar w:fldCharType="separate"/>
      </w:r>
      <w:r>
        <w:instrText>N</w:instrText>
      </w:r>
      <w:r w:rsidRPr="00220C07">
        <w:fldChar w:fldCharType="end"/>
      </w:r>
      <w:r w:rsidRPr="00220C07">
        <w:instrText>&lt;&gt; N</w:instrText>
      </w:r>
      <w:r w:rsidRPr="00220C07">
        <w:fldChar w:fldCharType="separate"/>
      </w:r>
      <w:r>
        <w:rPr>
          <w:noProof/>
        </w:rPr>
        <w:instrText>0</w:instrText>
      </w:r>
      <w:r w:rsidRPr="00220C07">
        <w:fldChar w:fldCharType="end"/>
      </w:r>
      <w:r w:rsidRPr="00220C07">
        <w:instrText>,</w:instrText>
      </w:r>
      <w:r w:rsidRPr="00220C07">
        <w:fldChar w:fldCharType="begin"/>
      </w:r>
      <w:r w:rsidRPr="00220C07">
        <w:instrText>COMPARE</w:instrText>
      </w:r>
      <w:r w:rsidRPr="00220C07">
        <w:fldChar w:fldCharType="begin"/>
      </w:r>
      <w:r w:rsidRPr="00220C07">
        <w:instrText>DOCPROPERTY "x_a"</w:instrText>
      </w:r>
      <w:r w:rsidRPr="00220C07">
        <w:fldChar w:fldCharType="separate"/>
      </w:r>
      <w:r>
        <w:instrText>N</w:instrText>
      </w:r>
      <w:r w:rsidRPr="00220C07">
        <w:fldChar w:fldCharType="end"/>
      </w:r>
      <w:r w:rsidRPr="00220C07">
        <w:instrText>&lt;&gt; N</w:instrText>
      </w:r>
      <w:r w:rsidRPr="00220C07">
        <w:fldChar w:fldCharType="separate"/>
      </w:r>
      <w:r>
        <w:rPr>
          <w:noProof/>
        </w:rPr>
        <w:instrText>0</w:instrText>
      </w:r>
      <w:r w:rsidRPr="00220C07">
        <w:fldChar w:fldCharType="end"/>
      </w:r>
      <w:r w:rsidRPr="00220C07">
        <w:instrText>)</w:instrText>
      </w:r>
      <w:r w:rsidRPr="00220C07">
        <w:fldChar w:fldCharType="separate"/>
      </w:r>
      <w:r>
        <w:rPr>
          <w:b/>
          <w:noProof/>
        </w:rPr>
        <w:instrText>!Syntax Error, ,,</w:instrText>
      </w:r>
      <w:r w:rsidRPr="00220C07">
        <w:fldChar w:fldCharType="end"/>
      </w:r>
      <w:r w:rsidRPr="00220C07">
        <w:instrText>= 1 "</w:instrText>
      </w:r>
      <w:r w:rsidRPr="00220C07">
        <w:fldChar w:fldCharType="begin"/>
      </w:r>
      <w:r w:rsidRPr="00220C07">
        <w:instrText>QUOTE ""</w:instrText>
      </w:r>
      <w:r w:rsidRPr="00220C07">
        <w:fldChar w:fldCharType="end"/>
      </w:r>
      <w:r w:rsidRPr="00220C07">
        <w:instrText>"</w:instrText>
      </w:r>
      <w:r w:rsidRPr="00220C07">
        <w:fldChar w:fldCharType="end"/>
      </w:r>
      <w:r w:rsidRPr="00220C07">
        <w:fldChar w:fldCharType="begin"/>
      </w:r>
      <w:r w:rsidRPr="00220C07">
        <w:instrText>IF</w:instrText>
      </w:r>
      <w:r w:rsidRPr="00220C07">
        <w:fldChar w:fldCharType="begin"/>
      </w:r>
      <w:r w:rsidRPr="00220C07">
        <w:instrText>DOCPROPERTY "x_t"</w:instrText>
      </w:r>
      <w:r w:rsidRPr="00220C07">
        <w:fldChar w:fldCharType="separate"/>
      </w:r>
      <w:r>
        <w:instrText>N</w:instrText>
      </w:r>
      <w:r w:rsidRPr="00220C07">
        <w:fldChar w:fldCharType="end"/>
      </w:r>
      <w:r w:rsidRPr="00220C07">
        <w:instrText>&lt;&gt; N "&gt;"</w:instrText>
      </w:r>
      <w:r w:rsidRPr="00220C07">
        <w:fldChar w:fldCharType="end"/>
      </w:r>
      <w:r w:rsidRPr="00220C07">
        <w:instrText>" "</w:instrText>
      </w:r>
      <w:r w:rsidRPr="00220C07">
        <w:fldChar w:fldCharType="begin"/>
      </w:r>
      <w:r w:rsidRPr="00220C07">
        <w:instrText>QUOTE ""</w:instrText>
      </w:r>
      <w:r w:rsidRPr="00220C07">
        <w:fldChar w:fldCharType="end"/>
      </w:r>
      <w:r w:rsidRPr="00220C07">
        <w:instrText>"</w:instrText>
      </w:r>
      <w:r w:rsidRPr="00220C07">
        <w:fldChar w:fldCharType="end"/>
      </w:r>
      <w:r w:rsidRPr="00220C07">
        <w:rPr>
          <w:rStyle w:val="stdpublisher"/>
          <w:shd w:val="clear" w:color="auto" w:fill="auto"/>
        </w:rPr>
        <w:t>EN ISO</w:t>
      </w:r>
      <w:r w:rsidRPr="00220C07">
        <w:t> </w:t>
      </w:r>
      <w:r w:rsidRPr="00220C07">
        <w:rPr>
          <w:rStyle w:val="stddocNumber"/>
          <w:shd w:val="clear" w:color="auto" w:fill="auto"/>
        </w:rPr>
        <w:t>7049</w:t>
      </w:r>
      <w:r w:rsidRPr="00220C07">
        <w:t xml:space="preserve">, </w:t>
      </w:r>
      <w:r w:rsidRPr="00220C07">
        <w:rPr>
          <w:rStyle w:val="stddocTitle"/>
          <w:shd w:val="clear" w:color="auto" w:fill="auto"/>
        </w:rPr>
        <w:t>Cross recessed pan head tapping screws</w:t>
      </w:r>
      <w:r w:rsidRPr="00220C07">
        <w:fldChar w:fldCharType="begin"/>
      </w:r>
      <w:r w:rsidRPr="00220C07">
        <w:instrText>IF "x_-3" "</w:instrText>
      </w:r>
      <w:r w:rsidRPr="00220C07">
        <w:fldChar w:fldCharType="begin"/>
      </w:r>
      <w:r w:rsidRPr="00220C07">
        <w:instrText>IF</w:instrText>
      </w:r>
      <w:r w:rsidRPr="00220C07">
        <w:fldChar w:fldCharType="begin"/>
      </w:r>
      <w:r w:rsidRPr="00220C07">
        <w:instrText>DOCPROPERTY "x_t"</w:instrText>
      </w:r>
      <w:r w:rsidRPr="00220C07">
        <w:fldChar w:fldCharType="separate"/>
      </w:r>
      <w:r>
        <w:instrText>N</w:instrText>
      </w:r>
      <w:r w:rsidRPr="00220C07">
        <w:fldChar w:fldCharType="end"/>
      </w:r>
      <w:r w:rsidRPr="00220C07">
        <w:instrText>&lt;&gt; N "&lt;/</w:instrText>
      </w:r>
      <w:r w:rsidRPr="00220C07">
        <w:fldChar w:fldCharType="begin"/>
      </w:r>
      <w:r w:rsidRPr="00220C07">
        <w:instrText>QUOTE "std"</w:instrText>
      </w:r>
      <w:r w:rsidRPr="00220C07">
        <w:fldChar w:fldCharType="separate"/>
      </w:r>
      <w:r w:rsidRPr="00220C07">
        <w:instrText>std</w:instrText>
      </w:r>
      <w:r w:rsidRPr="00220C07">
        <w:fldChar w:fldCharType="end"/>
      </w:r>
      <w:r w:rsidRPr="00220C07">
        <w:instrText>"</w:instrText>
      </w:r>
      <w:r w:rsidRPr="00220C07">
        <w:fldChar w:fldCharType="end"/>
      </w:r>
      <w:r w:rsidRPr="00220C07">
        <w:fldChar w:fldCharType="begin"/>
      </w:r>
      <w:r w:rsidRPr="00220C07">
        <w:instrText>IF</w:instrText>
      </w:r>
      <w:r w:rsidRPr="00220C07">
        <w:fldChar w:fldCharType="begin"/>
      </w:r>
      <w:r w:rsidRPr="00220C07">
        <w:instrText>DOCPROPERTY "x_t"</w:instrText>
      </w:r>
      <w:r w:rsidRPr="00220C07">
        <w:fldChar w:fldCharType="separate"/>
      </w:r>
      <w:r>
        <w:instrText>N</w:instrText>
      </w:r>
      <w:r w:rsidRPr="00220C07">
        <w:fldChar w:fldCharType="end"/>
      </w:r>
      <w:r w:rsidRPr="00220C07">
        <w:instrText>&lt;&gt; N "&gt;"</w:instrText>
      </w:r>
      <w:r w:rsidRPr="00220C07">
        <w:fldChar w:fldCharType="end"/>
      </w:r>
      <w:r w:rsidRPr="00220C07">
        <w:instrText>" ""</w:instrText>
      </w:r>
      <w:r w:rsidRPr="00220C07">
        <w:fldChar w:fldCharType="end"/>
      </w:r>
    </w:p>
    <w:p w14:paraId="6067007F" w14:textId="6B88BFA7" w:rsidR="00E37E2C" w:rsidRPr="00220C07" w:rsidRDefault="00E37E2C" w:rsidP="00E37E2C">
      <w:pPr>
        <w:pStyle w:val="BiblioEntry"/>
      </w:pPr>
      <w:r w:rsidRPr="00220C07">
        <w:fldChar w:fldCharType="begin"/>
      </w:r>
      <w:r w:rsidRPr="00220C07">
        <w:instrText>IF "x_+3" "</w:instrText>
      </w:r>
      <w:r w:rsidRPr="00220C07">
        <w:fldChar w:fldCharType="begin"/>
      </w:r>
      <w:r w:rsidRPr="00220C07">
        <w:instrText>IF</w:instrText>
      </w:r>
      <w:r w:rsidRPr="00220C07">
        <w:fldChar w:fldCharType="begin"/>
      </w:r>
      <w:r w:rsidRPr="00220C07">
        <w:instrText>DOCPROPERTY "x_t"</w:instrText>
      </w:r>
      <w:r w:rsidRPr="00220C07">
        <w:fldChar w:fldCharType="separate"/>
      </w:r>
      <w:r>
        <w:instrText>N</w:instrText>
      </w:r>
      <w:r w:rsidRPr="00220C07">
        <w:fldChar w:fldCharType="end"/>
      </w:r>
      <w:r w:rsidRPr="00220C07">
        <w:instrText>&lt;&gt; N "&lt;</w:instrText>
      </w:r>
      <w:r w:rsidRPr="00220C07">
        <w:fldChar w:fldCharType="begin"/>
      </w:r>
      <w:r w:rsidRPr="00220C07">
        <w:instrText>QUOTE "std"</w:instrText>
      </w:r>
      <w:r w:rsidRPr="00220C07">
        <w:fldChar w:fldCharType="separate"/>
      </w:r>
      <w:r w:rsidRPr="00220C07">
        <w:instrText>std</w:instrText>
      </w:r>
      <w:r w:rsidRPr="00220C07">
        <w:fldChar w:fldCharType="end"/>
      </w:r>
      <w:r w:rsidRPr="00220C07">
        <w:instrText>"</w:instrText>
      </w:r>
      <w:r w:rsidRPr="00220C07">
        <w:fldChar w:fldCharType="end"/>
      </w:r>
      <w:r w:rsidRPr="00220C07">
        <w:fldChar w:fldCharType="begin"/>
      </w:r>
      <w:r w:rsidRPr="00220C07">
        <w:instrText>IF</w:instrText>
      </w:r>
      <w:r w:rsidRPr="00220C07">
        <w:fldChar w:fldCharType="begin"/>
      </w:r>
      <w:r w:rsidRPr="00220C07">
        <w:instrText>= AND(</w:instrText>
      </w:r>
      <w:r w:rsidRPr="00220C07">
        <w:fldChar w:fldCharType="begin"/>
      </w:r>
      <w:r w:rsidRPr="00220C07">
        <w:instrText>COMPARE</w:instrText>
      </w:r>
      <w:r w:rsidRPr="00220C07">
        <w:fldChar w:fldCharType="begin"/>
      </w:r>
      <w:r w:rsidRPr="00220C07">
        <w:instrText>DOCPROPERTY "x_t"</w:instrText>
      </w:r>
      <w:r w:rsidRPr="00220C07">
        <w:fldChar w:fldCharType="separate"/>
      </w:r>
      <w:r>
        <w:instrText>N</w:instrText>
      </w:r>
      <w:r w:rsidRPr="00220C07">
        <w:fldChar w:fldCharType="end"/>
      </w:r>
      <w:r w:rsidRPr="00220C07">
        <w:instrText>&lt;&gt; N</w:instrText>
      </w:r>
      <w:r w:rsidRPr="00220C07">
        <w:fldChar w:fldCharType="separate"/>
      </w:r>
      <w:r>
        <w:rPr>
          <w:noProof/>
        </w:rPr>
        <w:instrText>0</w:instrText>
      </w:r>
      <w:r w:rsidRPr="00220C07">
        <w:fldChar w:fldCharType="end"/>
      </w:r>
      <w:r w:rsidRPr="00220C07">
        <w:instrText>,</w:instrText>
      </w:r>
      <w:r w:rsidRPr="00220C07">
        <w:fldChar w:fldCharType="begin"/>
      </w:r>
      <w:r w:rsidRPr="00220C07">
        <w:instrText>COMPARE</w:instrText>
      </w:r>
      <w:r w:rsidRPr="00220C07">
        <w:fldChar w:fldCharType="begin"/>
      </w:r>
      <w:r w:rsidRPr="00220C07">
        <w:instrText>DOCPROPERTY "x_a"</w:instrText>
      </w:r>
      <w:r w:rsidRPr="00220C07">
        <w:fldChar w:fldCharType="separate"/>
      </w:r>
      <w:r>
        <w:instrText>N</w:instrText>
      </w:r>
      <w:r w:rsidRPr="00220C07">
        <w:fldChar w:fldCharType="end"/>
      </w:r>
      <w:r w:rsidRPr="00220C07">
        <w:instrText>&lt;&gt; N</w:instrText>
      </w:r>
      <w:r w:rsidRPr="00220C07">
        <w:fldChar w:fldCharType="separate"/>
      </w:r>
      <w:r>
        <w:rPr>
          <w:noProof/>
        </w:rPr>
        <w:instrText>0</w:instrText>
      </w:r>
      <w:r w:rsidRPr="00220C07">
        <w:fldChar w:fldCharType="end"/>
      </w:r>
      <w:r w:rsidRPr="00220C07">
        <w:instrText>)</w:instrText>
      </w:r>
      <w:r w:rsidRPr="00220C07">
        <w:fldChar w:fldCharType="separate"/>
      </w:r>
      <w:r>
        <w:rPr>
          <w:b/>
          <w:noProof/>
        </w:rPr>
        <w:instrText>!Syntax Error, ,,</w:instrText>
      </w:r>
      <w:r w:rsidRPr="00220C07">
        <w:fldChar w:fldCharType="end"/>
      </w:r>
      <w:r w:rsidRPr="00220C07">
        <w:instrText>= 1 "</w:instrText>
      </w:r>
      <w:r w:rsidRPr="00220C07">
        <w:fldChar w:fldCharType="begin"/>
      </w:r>
      <w:r w:rsidRPr="00220C07">
        <w:instrText>QUOTE ""</w:instrText>
      </w:r>
      <w:r w:rsidRPr="00220C07">
        <w:fldChar w:fldCharType="end"/>
      </w:r>
      <w:r w:rsidRPr="00220C07">
        <w:instrText>"</w:instrText>
      </w:r>
      <w:r w:rsidRPr="00220C07">
        <w:fldChar w:fldCharType="end"/>
      </w:r>
      <w:r w:rsidRPr="00220C07">
        <w:fldChar w:fldCharType="begin"/>
      </w:r>
      <w:r w:rsidRPr="00220C07">
        <w:instrText>IF</w:instrText>
      </w:r>
      <w:r w:rsidRPr="00220C07">
        <w:fldChar w:fldCharType="begin"/>
      </w:r>
      <w:r w:rsidRPr="00220C07">
        <w:instrText>DOCPROPERTY "x_t"</w:instrText>
      </w:r>
      <w:r w:rsidRPr="00220C07">
        <w:fldChar w:fldCharType="separate"/>
      </w:r>
      <w:r>
        <w:instrText>N</w:instrText>
      </w:r>
      <w:r w:rsidRPr="00220C07">
        <w:fldChar w:fldCharType="end"/>
      </w:r>
      <w:r w:rsidRPr="00220C07">
        <w:instrText>&lt;&gt; N "&gt;"</w:instrText>
      </w:r>
      <w:r w:rsidRPr="00220C07">
        <w:fldChar w:fldCharType="end"/>
      </w:r>
      <w:r w:rsidRPr="00220C07">
        <w:instrText>" "</w:instrText>
      </w:r>
      <w:r w:rsidRPr="00220C07">
        <w:fldChar w:fldCharType="begin"/>
      </w:r>
      <w:r w:rsidRPr="00220C07">
        <w:instrText>QUOTE ""</w:instrText>
      </w:r>
      <w:r w:rsidRPr="00220C07">
        <w:fldChar w:fldCharType="end"/>
      </w:r>
      <w:r w:rsidRPr="00220C07">
        <w:instrText>"</w:instrText>
      </w:r>
      <w:r w:rsidRPr="00220C07">
        <w:fldChar w:fldCharType="end"/>
      </w:r>
      <w:r w:rsidRPr="00220C07">
        <w:rPr>
          <w:rStyle w:val="stdpublisher"/>
          <w:shd w:val="clear" w:color="auto" w:fill="auto"/>
        </w:rPr>
        <w:t>ISO</w:t>
      </w:r>
      <w:r w:rsidRPr="00220C07">
        <w:t> </w:t>
      </w:r>
      <w:r w:rsidRPr="00220C07">
        <w:rPr>
          <w:rStyle w:val="stddocNumber"/>
          <w:shd w:val="clear" w:color="auto" w:fill="auto"/>
        </w:rPr>
        <w:t>20987</w:t>
      </w:r>
      <w:r w:rsidRPr="00220C07">
        <w:t xml:space="preserve">, </w:t>
      </w:r>
      <w:r w:rsidRPr="00220C07">
        <w:rPr>
          <w:rStyle w:val="stddocTitle"/>
          <w:shd w:val="clear" w:color="auto" w:fill="auto"/>
        </w:rPr>
        <w:t>Simplified design for mechanical connections between precast concrete structural elements in buildings</w:t>
      </w:r>
      <w:r w:rsidRPr="00220C07">
        <w:fldChar w:fldCharType="begin"/>
      </w:r>
      <w:r w:rsidRPr="00220C07">
        <w:instrText>IF "x_-3" "</w:instrText>
      </w:r>
      <w:r w:rsidRPr="00220C07">
        <w:fldChar w:fldCharType="begin"/>
      </w:r>
      <w:r w:rsidRPr="00220C07">
        <w:instrText>IF</w:instrText>
      </w:r>
      <w:r w:rsidRPr="00220C07">
        <w:fldChar w:fldCharType="begin"/>
      </w:r>
      <w:r w:rsidRPr="00220C07">
        <w:instrText>DOCPROPERTY "x_t"</w:instrText>
      </w:r>
      <w:r w:rsidRPr="00220C07">
        <w:fldChar w:fldCharType="separate"/>
      </w:r>
      <w:r>
        <w:instrText>N</w:instrText>
      </w:r>
      <w:r w:rsidRPr="00220C07">
        <w:fldChar w:fldCharType="end"/>
      </w:r>
      <w:r w:rsidRPr="00220C07">
        <w:instrText>&lt;&gt; N "&lt;/</w:instrText>
      </w:r>
      <w:r w:rsidRPr="00220C07">
        <w:fldChar w:fldCharType="begin"/>
      </w:r>
      <w:r w:rsidRPr="00220C07">
        <w:instrText>QUOTE "std"</w:instrText>
      </w:r>
      <w:r w:rsidRPr="00220C07">
        <w:fldChar w:fldCharType="separate"/>
      </w:r>
      <w:r w:rsidRPr="00220C07">
        <w:instrText>std</w:instrText>
      </w:r>
      <w:r w:rsidRPr="00220C07">
        <w:fldChar w:fldCharType="end"/>
      </w:r>
      <w:r w:rsidRPr="00220C07">
        <w:instrText>"</w:instrText>
      </w:r>
      <w:r w:rsidRPr="00220C07">
        <w:fldChar w:fldCharType="end"/>
      </w:r>
      <w:r w:rsidRPr="00220C07">
        <w:fldChar w:fldCharType="begin"/>
      </w:r>
      <w:r w:rsidRPr="00220C07">
        <w:instrText>IF</w:instrText>
      </w:r>
      <w:r w:rsidRPr="00220C07">
        <w:fldChar w:fldCharType="begin"/>
      </w:r>
      <w:r w:rsidRPr="00220C07">
        <w:instrText>DOCPROPERTY "x_t"</w:instrText>
      </w:r>
      <w:r w:rsidRPr="00220C07">
        <w:fldChar w:fldCharType="separate"/>
      </w:r>
      <w:r>
        <w:instrText>N</w:instrText>
      </w:r>
      <w:r w:rsidRPr="00220C07">
        <w:fldChar w:fldCharType="end"/>
      </w:r>
      <w:r w:rsidRPr="00220C07">
        <w:instrText>&lt;&gt; N "&gt;"</w:instrText>
      </w:r>
      <w:r w:rsidRPr="00220C07">
        <w:fldChar w:fldCharType="end"/>
      </w:r>
      <w:r w:rsidRPr="00220C07">
        <w:instrText>" ""</w:instrText>
      </w:r>
      <w:r w:rsidRPr="00220C07">
        <w:fldChar w:fldCharType="end"/>
      </w:r>
    </w:p>
    <w:p w14:paraId="3AC91B0F" w14:textId="264CD8BF" w:rsidR="000A0B30" w:rsidRDefault="00E37E2C" w:rsidP="000A0B30">
      <w:pPr>
        <w:pStyle w:val="BiblioEntry"/>
      </w:pPr>
      <w:r w:rsidRPr="00220C07">
        <w:fldChar w:fldCharType="begin"/>
      </w:r>
      <w:r w:rsidRPr="00220C07">
        <w:instrText>IF "x_+3" "</w:instrText>
      </w:r>
      <w:r w:rsidRPr="00220C07">
        <w:fldChar w:fldCharType="begin"/>
      </w:r>
      <w:r w:rsidRPr="00220C07">
        <w:instrText>IF</w:instrText>
      </w:r>
      <w:r w:rsidRPr="00220C07">
        <w:fldChar w:fldCharType="begin"/>
      </w:r>
      <w:r w:rsidRPr="00220C07">
        <w:instrText>DOCPROPERTY "x_t"</w:instrText>
      </w:r>
      <w:r w:rsidRPr="00220C07">
        <w:fldChar w:fldCharType="separate"/>
      </w:r>
      <w:r>
        <w:instrText>N</w:instrText>
      </w:r>
      <w:r w:rsidRPr="00220C07">
        <w:fldChar w:fldCharType="end"/>
      </w:r>
      <w:r w:rsidRPr="00220C07">
        <w:instrText>&lt;&gt; N "&lt;</w:instrText>
      </w:r>
      <w:r w:rsidRPr="00220C07">
        <w:fldChar w:fldCharType="begin"/>
      </w:r>
      <w:r w:rsidRPr="00220C07">
        <w:instrText>QUOTE "std"</w:instrText>
      </w:r>
      <w:r w:rsidRPr="00220C07">
        <w:fldChar w:fldCharType="separate"/>
      </w:r>
      <w:r w:rsidRPr="00220C07">
        <w:instrText>std</w:instrText>
      </w:r>
      <w:r w:rsidRPr="00220C07">
        <w:fldChar w:fldCharType="end"/>
      </w:r>
      <w:r w:rsidRPr="00220C07">
        <w:instrText>"</w:instrText>
      </w:r>
      <w:r w:rsidRPr="00220C07">
        <w:fldChar w:fldCharType="end"/>
      </w:r>
      <w:r w:rsidRPr="00220C07">
        <w:fldChar w:fldCharType="begin"/>
      </w:r>
      <w:r w:rsidRPr="00220C07">
        <w:instrText>IF</w:instrText>
      </w:r>
      <w:r w:rsidRPr="00220C07">
        <w:fldChar w:fldCharType="begin"/>
      </w:r>
      <w:r w:rsidRPr="00220C07">
        <w:instrText>= AND(</w:instrText>
      </w:r>
      <w:r w:rsidRPr="00220C07">
        <w:fldChar w:fldCharType="begin"/>
      </w:r>
      <w:r w:rsidRPr="00220C07">
        <w:instrText>COMPARE</w:instrText>
      </w:r>
      <w:r w:rsidRPr="00220C07">
        <w:fldChar w:fldCharType="begin"/>
      </w:r>
      <w:r w:rsidRPr="00220C07">
        <w:instrText>DOCPROPERTY "x_t"</w:instrText>
      </w:r>
      <w:r w:rsidRPr="00220C07">
        <w:fldChar w:fldCharType="separate"/>
      </w:r>
      <w:r>
        <w:instrText>N</w:instrText>
      </w:r>
      <w:r w:rsidRPr="00220C07">
        <w:fldChar w:fldCharType="end"/>
      </w:r>
      <w:r w:rsidRPr="00220C07">
        <w:instrText>&lt;&gt; N</w:instrText>
      </w:r>
      <w:r w:rsidRPr="00220C07">
        <w:fldChar w:fldCharType="separate"/>
      </w:r>
      <w:r>
        <w:rPr>
          <w:noProof/>
        </w:rPr>
        <w:instrText>0</w:instrText>
      </w:r>
      <w:r w:rsidRPr="00220C07">
        <w:fldChar w:fldCharType="end"/>
      </w:r>
      <w:r w:rsidRPr="00220C07">
        <w:instrText>,</w:instrText>
      </w:r>
      <w:r w:rsidRPr="00220C07">
        <w:fldChar w:fldCharType="begin"/>
      </w:r>
      <w:r w:rsidRPr="00220C07">
        <w:instrText>COMPARE</w:instrText>
      </w:r>
      <w:r w:rsidRPr="00220C07">
        <w:fldChar w:fldCharType="begin"/>
      </w:r>
      <w:r w:rsidRPr="00220C07">
        <w:instrText>DOCPROPERTY "x_a"</w:instrText>
      </w:r>
      <w:r w:rsidRPr="00220C07">
        <w:fldChar w:fldCharType="separate"/>
      </w:r>
      <w:r>
        <w:instrText>N</w:instrText>
      </w:r>
      <w:r w:rsidRPr="00220C07">
        <w:fldChar w:fldCharType="end"/>
      </w:r>
      <w:r w:rsidRPr="00220C07">
        <w:instrText>&lt;&gt; N</w:instrText>
      </w:r>
      <w:r w:rsidRPr="00220C07">
        <w:fldChar w:fldCharType="separate"/>
      </w:r>
      <w:r>
        <w:rPr>
          <w:noProof/>
        </w:rPr>
        <w:instrText>0</w:instrText>
      </w:r>
      <w:r w:rsidRPr="00220C07">
        <w:fldChar w:fldCharType="end"/>
      </w:r>
      <w:r w:rsidRPr="00220C07">
        <w:instrText>)</w:instrText>
      </w:r>
      <w:r w:rsidRPr="00220C07">
        <w:fldChar w:fldCharType="separate"/>
      </w:r>
      <w:r>
        <w:rPr>
          <w:b/>
          <w:noProof/>
        </w:rPr>
        <w:instrText>!Syntax Error, ,,</w:instrText>
      </w:r>
      <w:r w:rsidRPr="00220C07">
        <w:fldChar w:fldCharType="end"/>
      </w:r>
      <w:r w:rsidRPr="00220C07">
        <w:instrText>= 1 "</w:instrText>
      </w:r>
      <w:r w:rsidRPr="00220C07">
        <w:fldChar w:fldCharType="begin"/>
      </w:r>
      <w:r w:rsidRPr="00220C07">
        <w:instrText>QUOTE ""</w:instrText>
      </w:r>
      <w:r w:rsidRPr="00220C07">
        <w:fldChar w:fldCharType="end"/>
      </w:r>
      <w:r w:rsidRPr="00220C07">
        <w:instrText>"</w:instrText>
      </w:r>
      <w:r w:rsidRPr="00220C07">
        <w:fldChar w:fldCharType="end"/>
      </w:r>
      <w:r w:rsidRPr="00220C07">
        <w:fldChar w:fldCharType="begin"/>
      </w:r>
      <w:r w:rsidRPr="00220C07">
        <w:instrText>IF</w:instrText>
      </w:r>
      <w:r w:rsidRPr="00220C07">
        <w:fldChar w:fldCharType="begin"/>
      </w:r>
      <w:r w:rsidRPr="00220C07">
        <w:instrText>DOCPROPERTY "x_t"</w:instrText>
      </w:r>
      <w:r w:rsidRPr="00220C07">
        <w:fldChar w:fldCharType="separate"/>
      </w:r>
      <w:r>
        <w:instrText>N</w:instrText>
      </w:r>
      <w:r w:rsidRPr="00220C07">
        <w:fldChar w:fldCharType="end"/>
      </w:r>
      <w:r w:rsidRPr="00220C07">
        <w:instrText>&lt;&gt; N "&gt;"</w:instrText>
      </w:r>
      <w:r w:rsidRPr="00220C07">
        <w:fldChar w:fldCharType="end"/>
      </w:r>
      <w:r w:rsidRPr="00220C07">
        <w:instrText>" "</w:instrText>
      </w:r>
      <w:r w:rsidRPr="00220C07">
        <w:fldChar w:fldCharType="begin"/>
      </w:r>
      <w:r w:rsidRPr="00220C07">
        <w:instrText>QUOTE ""</w:instrText>
      </w:r>
      <w:r w:rsidRPr="00220C07">
        <w:fldChar w:fldCharType="end"/>
      </w:r>
      <w:r w:rsidRPr="00220C07">
        <w:instrText>"</w:instrText>
      </w:r>
      <w:r w:rsidRPr="00220C07">
        <w:fldChar w:fldCharType="end"/>
      </w:r>
      <w:r w:rsidRPr="00220C07">
        <w:rPr>
          <w:rStyle w:val="stdpublisher"/>
          <w:shd w:val="clear" w:color="auto" w:fill="auto"/>
        </w:rPr>
        <w:t>ISO</w:t>
      </w:r>
      <w:r w:rsidRPr="00220C07">
        <w:t> </w:t>
      </w:r>
      <w:r w:rsidRPr="00220C07">
        <w:rPr>
          <w:rStyle w:val="stddocNumber"/>
          <w:shd w:val="clear" w:color="auto" w:fill="auto"/>
        </w:rPr>
        <w:t>22502</w:t>
      </w:r>
      <w:r w:rsidRPr="00220C07">
        <w:t xml:space="preserve">, </w:t>
      </w:r>
      <w:r w:rsidRPr="00220C07">
        <w:rPr>
          <w:rStyle w:val="stddocTitle"/>
          <w:shd w:val="clear" w:color="auto" w:fill="auto"/>
        </w:rPr>
        <w:t>Simplified design of connections of concrete claddings to concrete structures</w:t>
      </w:r>
      <w:r w:rsidRPr="00220C07">
        <w:fldChar w:fldCharType="begin"/>
      </w:r>
      <w:r w:rsidRPr="00220C07">
        <w:instrText>IF "x_-3" "</w:instrText>
      </w:r>
      <w:r w:rsidRPr="00220C07">
        <w:fldChar w:fldCharType="begin"/>
      </w:r>
      <w:r w:rsidRPr="00220C07">
        <w:instrText>IF</w:instrText>
      </w:r>
      <w:r w:rsidRPr="00220C07">
        <w:fldChar w:fldCharType="begin"/>
      </w:r>
      <w:r w:rsidRPr="00220C07">
        <w:instrText>DOCPROPERTY "x_t"</w:instrText>
      </w:r>
      <w:r w:rsidRPr="00220C07">
        <w:fldChar w:fldCharType="separate"/>
      </w:r>
      <w:r>
        <w:instrText>N</w:instrText>
      </w:r>
      <w:r w:rsidRPr="00220C07">
        <w:fldChar w:fldCharType="end"/>
      </w:r>
      <w:r w:rsidRPr="00220C07">
        <w:instrText>&lt;&gt; N "&lt;/</w:instrText>
      </w:r>
      <w:r w:rsidRPr="00220C07">
        <w:fldChar w:fldCharType="begin"/>
      </w:r>
      <w:r w:rsidRPr="00220C07">
        <w:instrText>QUOTE "std"</w:instrText>
      </w:r>
      <w:r w:rsidRPr="00220C07">
        <w:fldChar w:fldCharType="separate"/>
      </w:r>
      <w:r w:rsidRPr="00220C07">
        <w:instrText>std</w:instrText>
      </w:r>
      <w:r w:rsidRPr="00220C07">
        <w:fldChar w:fldCharType="end"/>
      </w:r>
      <w:r w:rsidRPr="00220C07">
        <w:instrText>"</w:instrText>
      </w:r>
      <w:r w:rsidRPr="00220C07">
        <w:fldChar w:fldCharType="end"/>
      </w:r>
      <w:r w:rsidRPr="00220C07">
        <w:fldChar w:fldCharType="begin"/>
      </w:r>
      <w:r w:rsidRPr="00220C07">
        <w:instrText>IF</w:instrText>
      </w:r>
      <w:r w:rsidRPr="00220C07">
        <w:fldChar w:fldCharType="begin"/>
      </w:r>
      <w:r w:rsidRPr="00220C07">
        <w:instrText>DOCPROPERTY "x_t"</w:instrText>
      </w:r>
      <w:r w:rsidRPr="00220C07">
        <w:fldChar w:fldCharType="separate"/>
      </w:r>
      <w:r>
        <w:instrText>N</w:instrText>
      </w:r>
      <w:r w:rsidRPr="00220C07">
        <w:fldChar w:fldCharType="end"/>
      </w:r>
      <w:r w:rsidRPr="00220C07">
        <w:instrText>&lt;&gt; N "&gt;"</w:instrText>
      </w:r>
      <w:r w:rsidR="009B5CEC">
        <w:fldChar w:fldCharType="separate"/>
      </w:r>
      <w:r w:rsidRPr="00220C07">
        <w:fldChar w:fldCharType="end"/>
      </w:r>
      <w:r w:rsidRPr="00220C07">
        <w:instrText>" ""</w:instrText>
      </w:r>
      <w:r w:rsidRPr="00220C07">
        <w:fldChar w:fldCharType="end"/>
      </w:r>
    </w:p>
    <w:sectPr w:rsidR="000A0B30" w:rsidSect="005A503B">
      <w:headerReference w:type="even" r:id="rId137"/>
      <w:headerReference w:type="default" r:id="rId138"/>
      <w:footerReference w:type="even" r:id="rId139"/>
      <w:footerReference w:type="default" r:id="rId140"/>
      <w:pgSz w:w="11906" w:h="16838"/>
      <w:pgMar w:top="1644" w:right="737" w:bottom="1418" w:left="851" w:header="709" w:footer="284" w:gutter="5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0679D" w14:textId="77777777" w:rsidR="00D4445A" w:rsidRDefault="00D4445A">
      <w:pPr>
        <w:spacing w:after="0" w:line="240" w:lineRule="auto"/>
      </w:pPr>
      <w:r>
        <w:separator/>
      </w:r>
    </w:p>
  </w:endnote>
  <w:endnote w:type="continuationSeparator" w:id="0">
    <w:p w14:paraId="39233AD2" w14:textId="77777777" w:rsidR="00D4445A" w:rsidRDefault="00D444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ymbolMT">
    <w:altName w:val="PMingLiU"/>
    <w:panose1 w:val="00000000000000000000"/>
    <w:charset w:val="88"/>
    <w:family w:val="auto"/>
    <w:notTrueType/>
    <w:pitch w:val="default"/>
    <w:sig w:usb0="00000001" w:usb1="08080000" w:usb2="00000010" w:usb3="00000000" w:csb0="00100000" w:csb1="00000000"/>
  </w:font>
  <w:font w:name="TimesNewRoman">
    <w:altName w:val="Yu Gothic UI"/>
    <w:panose1 w:val="00000000000000000000"/>
    <w:charset w:val="00"/>
    <w:family w:val="roman"/>
    <w:notTrueType/>
    <w:pitch w:val="default"/>
    <w:sig w:usb0="00000003" w:usb1="00000000" w:usb2="00000000" w:usb3="00000000" w:csb0="00000001" w:csb1="00000000"/>
  </w:font>
  <w:font w:name="Cambria,Italic">
    <w:altName w:val="MS Gothic"/>
    <w:panose1 w:val="00000000000000000000"/>
    <w:charset w:val="00"/>
    <w:family w:val="swiss"/>
    <w:notTrueType/>
    <w:pitch w:val="default"/>
    <w:sig w:usb0="00000003" w:usb1="00000000" w:usb2="00000000" w:usb3="00000000" w:csb0="00000001"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ÃÍœ˛">
    <w:altName w:val="Calibri"/>
    <w:panose1 w:val="00000000000000000000"/>
    <w:charset w:val="4D"/>
    <w:family w:val="auto"/>
    <w:notTrueType/>
    <w:pitch w:val="default"/>
    <w:sig w:usb0="00000003" w:usb1="00000000" w:usb2="00000000" w:usb3="00000000" w:csb0="00000001" w:csb1="00000000"/>
  </w:font>
  <w:font w:name="CIDFont+F4">
    <w:altName w:val="MS Gothic"/>
    <w:panose1 w:val="00000000000000000000"/>
    <w:charset w:val="80"/>
    <w:family w:val="auto"/>
    <w:notTrueType/>
    <w:pitch w:val="default"/>
    <w:sig w:usb0="00000000" w:usb1="08070000" w:usb2="00000010" w:usb3="00000000" w:csb0="00020000" w:csb1="00000000"/>
  </w:font>
  <w:font w:name="Cambria,Bold">
    <w:altName w:val="MS Mincho"/>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AODJCD+TimesNewRoman,Italic">
    <w:altName w:val="Cambria"/>
    <w:panose1 w:val="00000000000000000000"/>
    <w:charset w:val="00"/>
    <w:family w:val="roman"/>
    <w:notTrueType/>
    <w:pitch w:val="default"/>
    <w:sig w:usb0="00000003" w:usb1="00000000" w:usb2="00000000" w:usb3="00000000" w:csb0="00000001" w:csb1="00000000"/>
  </w:font>
  <w:font w:name="AOAJGP+TimesNewRoman,Bold">
    <w:altName w:val="Cambria"/>
    <w:panose1 w:val="00000000000000000000"/>
    <w:charset w:val="00"/>
    <w:family w:val="roman"/>
    <w:notTrueType/>
    <w:pitch w:val="default"/>
    <w:sig w:usb0="00000003" w:usb1="00000000" w:usb2="00000000" w:usb3="00000000" w:csb0="00000001" w:csb1="00000000"/>
  </w:font>
  <w:font w:name="AOAOEB+TimesNewRoman">
    <w:altName w:val="Cambria"/>
    <w:panose1 w:val="00000000000000000000"/>
    <w:charset w:val="00"/>
    <w:family w:val="roman"/>
    <w:notTrueType/>
    <w:pitch w:val="default"/>
    <w:sig w:usb0="00000003" w:usb1="00000000" w:usb2="00000000" w:usb3="00000000" w:csb0="00000001" w:csb1="00000000"/>
  </w:font>
  <w:font w:name="Cambria-Italic">
    <w:altName w:val="MS Mincho"/>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CIDFont+F2">
    <w:altName w:val="Malgun Gothic Semilight"/>
    <w:panose1 w:val="00000000000000000000"/>
    <w:charset w:val="80"/>
    <w:family w:val="auto"/>
    <w:notTrueType/>
    <w:pitch w:val="default"/>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1DDC3" w14:textId="77777777" w:rsidR="00D4445A" w:rsidRPr="00AA03D8" w:rsidRDefault="00D4445A" w:rsidP="00D86695">
    <w:pPr>
      <w:pStyle w:val="Footer"/>
      <w:spacing w:before="283" w:after="283"/>
    </w:pPr>
    <w:r w:rsidRPr="00AA03D8">
      <w:fldChar w:fldCharType="begin"/>
    </w:r>
    <w:r w:rsidRPr="00AA03D8">
      <w:instrText xml:space="preserve"> PAGE  \* MERGEFORMAT </w:instrText>
    </w:r>
    <w:r w:rsidRPr="00AA03D8">
      <w:fldChar w:fldCharType="separate"/>
    </w:r>
    <w:r>
      <w:rPr>
        <w:noProof/>
      </w:rPr>
      <w:t>2</w:t>
    </w:r>
    <w:r w:rsidRPr="00AA03D8">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DA3FF" w14:textId="77777777" w:rsidR="00D4445A" w:rsidRPr="00D80F98" w:rsidRDefault="00D4445A" w:rsidP="00D86695">
    <w:pPr>
      <w:spacing w:after="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E5C78" w14:textId="77777777" w:rsidR="00D4445A" w:rsidRPr="00EA3695" w:rsidRDefault="00D4445A">
    <w:pPr>
      <w:pStyle w:val="Footer"/>
      <w:rPr>
        <w:b/>
        <w:szCs w:val="23"/>
      </w:rPr>
    </w:pPr>
    <w:r w:rsidRPr="00EA3695">
      <w:rPr>
        <w:b/>
        <w:szCs w:val="23"/>
      </w:rPr>
      <w:fldChar w:fldCharType="begin"/>
    </w:r>
    <w:r w:rsidRPr="00EA3695">
      <w:rPr>
        <w:b/>
        <w:szCs w:val="23"/>
      </w:rPr>
      <w:instrText xml:space="preserve"> PAGE   \* MERGEFORMAT </w:instrText>
    </w:r>
    <w:r w:rsidRPr="00EA3695">
      <w:rPr>
        <w:b/>
        <w:szCs w:val="23"/>
      </w:rPr>
      <w:fldChar w:fldCharType="separate"/>
    </w:r>
    <w:r>
      <w:rPr>
        <w:b/>
        <w:noProof/>
        <w:szCs w:val="23"/>
      </w:rPr>
      <w:t>2</w:t>
    </w:r>
    <w:r w:rsidRPr="00EA3695">
      <w:rPr>
        <w:b/>
        <w:noProof/>
        <w:szCs w:val="23"/>
      </w:rPr>
      <w:fldChar w:fldCharType="end"/>
    </w:r>
  </w:p>
  <w:p w14:paraId="586E37D7" w14:textId="77777777" w:rsidR="00D4445A" w:rsidRDefault="00D4445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CF305" w14:textId="2BC6AAB8" w:rsidR="00D4445A" w:rsidRPr="00862BDF" w:rsidRDefault="00D4445A" w:rsidP="00862BDF">
    <w:pPr>
      <w:pStyle w:val="Footer"/>
      <w:spacing w:before="283" w:after="283"/>
      <w:rPr>
        <w:b/>
        <w:szCs w:val="23"/>
      </w:rPr>
    </w:pPr>
    <w:r w:rsidRPr="00EA3695">
      <w:rPr>
        <w:b/>
        <w:szCs w:val="23"/>
      </w:rPr>
      <w:fldChar w:fldCharType="begin"/>
    </w:r>
    <w:r w:rsidRPr="00EA3695">
      <w:rPr>
        <w:b/>
        <w:szCs w:val="23"/>
      </w:rPr>
      <w:instrText xml:space="preserve"> PAGE  \* MERGEFORMAT </w:instrText>
    </w:r>
    <w:r w:rsidRPr="00EA3695">
      <w:rPr>
        <w:b/>
        <w:szCs w:val="23"/>
      </w:rPr>
      <w:fldChar w:fldCharType="separate"/>
    </w:r>
    <w:r>
      <w:rPr>
        <w:b/>
        <w:noProof/>
        <w:szCs w:val="23"/>
      </w:rPr>
      <w:t>8</w:t>
    </w:r>
    <w:r w:rsidRPr="00EA3695">
      <w:rPr>
        <w:b/>
        <w:szCs w:val="23"/>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28273" w14:textId="6E9380F2" w:rsidR="00D4445A" w:rsidRPr="00862BDF" w:rsidRDefault="00D4445A" w:rsidP="00862BDF">
    <w:pPr>
      <w:pStyle w:val="Footer"/>
      <w:spacing w:before="283" w:after="283"/>
      <w:jc w:val="right"/>
      <w:rPr>
        <w:b/>
        <w:szCs w:val="23"/>
      </w:rPr>
    </w:pPr>
    <w:r w:rsidRPr="00EA3695">
      <w:rPr>
        <w:b/>
        <w:szCs w:val="23"/>
      </w:rPr>
      <w:fldChar w:fldCharType="begin"/>
    </w:r>
    <w:r w:rsidRPr="00EA3695">
      <w:rPr>
        <w:b/>
        <w:szCs w:val="23"/>
      </w:rPr>
      <w:instrText xml:space="preserve"> PAGE  \* MERGEFORMAT </w:instrText>
    </w:r>
    <w:r w:rsidRPr="00EA3695">
      <w:rPr>
        <w:b/>
        <w:szCs w:val="23"/>
      </w:rPr>
      <w:fldChar w:fldCharType="separate"/>
    </w:r>
    <w:r>
      <w:rPr>
        <w:b/>
        <w:noProof/>
        <w:szCs w:val="23"/>
      </w:rPr>
      <w:t>7</w:t>
    </w:r>
    <w:r w:rsidRPr="00EA3695">
      <w:rPr>
        <w:b/>
        <w:szCs w:val="23"/>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02983" w14:textId="77777777" w:rsidR="00D4445A" w:rsidRDefault="00D4445A">
      <w:pPr>
        <w:spacing w:after="0" w:line="240" w:lineRule="auto"/>
      </w:pPr>
      <w:r>
        <w:separator/>
      </w:r>
    </w:p>
  </w:footnote>
  <w:footnote w:type="continuationSeparator" w:id="0">
    <w:p w14:paraId="4E31B02A" w14:textId="77777777" w:rsidR="00D4445A" w:rsidRDefault="00D4445A">
      <w:pPr>
        <w:spacing w:after="0" w:line="240" w:lineRule="auto"/>
      </w:pPr>
      <w:r>
        <w:continuationSeparator/>
      </w:r>
    </w:p>
  </w:footnote>
  <w:footnote w:id="1">
    <w:p w14:paraId="6CB009A1" w14:textId="77777777" w:rsidR="00D4445A" w:rsidRPr="00220C07" w:rsidRDefault="00D4445A" w:rsidP="00E37E2C">
      <w:pPr>
        <w:pStyle w:val="FootnoteText"/>
      </w:pPr>
      <w:r w:rsidRPr="00220C07">
        <w:rPr>
          <w:rStyle w:val="FootnoteReference"/>
        </w:rPr>
        <w:footnoteRef/>
      </w:r>
      <w:r w:rsidRPr="00220C07">
        <w:t xml:space="preserve"> </w:t>
      </w:r>
      <w:r w:rsidRPr="00220C07">
        <w:rPr>
          <w:lang w:val="en-US"/>
        </w:rPr>
        <w:t xml:space="preserve">Under preparation.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79611" w14:textId="480A2223" w:rsidR="00D4445A" w:rsidRPr="00BD6CDB" w:rsidRDefault="00D4445A" w:rsidP="00D86695">
    <w:pPr>
      <w:spacing w:after="680"/>
    </w:pPr>
    <w:r>
      <w:fldChar w:fldCharType="begin"/>
    </w:r>
    <w:r>
      <w:instrText xml:space="preserve"> REF LibEnteteCEN </w:instrText>
    </w:r>
    <w:r>
      <w:fldChar w:fldCharType="separate"/>
    </w:r>
    <w:r w:rsidR="000720CB">
      <w:rPr>
        <w:b/>
        <w:bCs/>
        <w:lang w:val="en-US"/>
      </w:rPr>
      <w:t>Error! Reference source not found.</w:t>
    </w:r>
    <w:r>
      <w:rPr>
        <w:b/>
        <w:bCs/>
        <w:lang w:val="en-U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32A50" w14:textId="6833A54C" w:rsidR="00D4445A" w:rsidRPr="000267B8" w:rsidRDefault="00D4445A" w:rsidP="00B732D2">
    <w:pPr>
      <w:spacing w:after="680"/>
      <w:rPr>
        <w:b/>
        <w:szCs w:val="23"/>
        <w:lang w:val="it-IT"/>
      </w:rPr>
    </w:pPr>
    <w:r w:rsidRPr="000267B8">
      <w:rPr>
        <w:b/>
        <w:noProof/>
        <w:szCs w:val="23"/>
        <w:lang w:val="it-IT"/>
      </w:rPr>
      <w:t>prEN </w:t>
    </w:r>
    <w:r>
      <w:rPr>
        <w:b/>
        <w:noProof/>
        <w:szCs w:val="23"/>
        <w:lang w:val="it-IT"/>
      </w:rPr>
      <w:t>1998-1-2</w:t>
    </w:r>
    <w:r w:rsidRPr="000267B8">
      <w:rPr>
        <w:b/>
        <w:noProof/>
        <w:szCs w:val="23"/>
        <w:lang w:val="it-IT"/>
      </w:rPr>
      <w:t>:</w:t>
    </w:r>
    <w:r>
      <w:rPr>
        <w:b/>
        <w:noProof/>
        <w:szCs w:val="23"/>
        <w:lang w:val="it-IT"/>
      </w:rPr>
      <w:t>2023</w:t>
    </w:r>
    <w:r w:rsidRPr="000267B8">
      <w:rPr>
        <w:b/>
        <w:noProof/>
        <w:szCs w:val="23"/>
        <w:lang w:val="it-IT"/>
      </w:rPr>
      <w:t> (E)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0EE06" w14:textId="17C616ED" w:rsidR="00D4445A" w:rsidRPr="00C21349" w:rsidRDefault="00D4445A" w:rsidP="00D86695">
    <w:pPr>
      <w:rPr>
        <w:b/>
        <w:szCs w:val="23"/>
      </w:rPr>
    </w:pPr>
    <w:r w:rsidRPr="00C21349">
      <w:rPr>
        <w:b/>
        <w:szCs w:val="23"/>
      </w:rPr>
      <w:t>prEN</w:t>
    </w:r>
    <w:r>
      <w:rPr>
        <w:b/>
        <w:szCs w:val="23"/>
      </w:rPr>
      <w:t> 1998-1-2</w:t>
    </w:r>
    <w:r w:rsidRPr="00C21349">
      <w:rPr>
        <w:b/>
        <w:szCs w:val="23"/>
      </w:rPr>
      <w:t>:</w:t>
    </w:r>
    <w:r>
      <w:rPr>
        <w:b/>
        <w:szCs w:val="23"/>
      </w:rPr>
      <w:t>2023</w:t>
    </w:r>
    <w:r w:rsidRPr="00C21349">
      <w:rPr>
        <w:b/>
        <w:szCs w:val="23"/>
      </w:rPr>
      <w:t xml:space="preserve"> (E)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C8851" w14:textId="7F901068" w:rsidR="00D4445A" w:rsidRPr="00862BDF" w:rsidRDefault="00D4445A" w:rsidP="00862BDF">
    <w:pPr>
      <w:spacing w:after="680"/>
      <w:jc w:val="right"/>
      <w:rPr>
        <w:b/>
        <w:szCs w:val="23"/>
        <w:lang w:val="it-IT"/>
      </w:rPr>
    </w:pPr>
    <w:r w:rsidRPr="000267B8">
      <w:rPr>
        <w:b/>
        <w:noProof/>
        <w:szCs w:val="23"/>
        <w:lang w:val="it-IT"/>
      </w:rPr>
      <w:t>prEN 1998</w:t>
    </w:r>
    <w:r>
      <w:rPr>
        <w:b/>
        <w:noProof/>
        <w:szCs w:val="23"/>
        <w:lang w:val="it-IT"/>
      </w:rPr>
      <w:t>-1-2</w:t>
    </w:r>
    <w:r w:rsidRPr="000267B8">
      <w:rPr>
        <w:b/>
        <w:noProof/>
        <w:szCs w:val="23"/>
        <w:lang w:val="it-IT"/>
      </w:rPr>
      <w:t>:202</w:t>
    </w:r>
    <w:r>
      <w:rPr>
        <w:b/>
        <w:noProof/>
        <w:szCs w:val="23"/>
        <w:lang w:val="it-IT"/>
      </w:rPr>
      <w:t>3</w:t>
    </w:r>
    <w:r w:rsidRPr="000267B8">
      <w:rPr>
        <w:b/>
        <w:noProof/>
        <w:szCs w:val="23"/>
        <w:lang w:val="it-IT"/>
      </w:rPr>
      <w:t> (E)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09A6D2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45CD1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20EFA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910203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02E1DC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BD60B4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71C2B5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4F0A81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1C671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2941708"/>
    <w:lvl w:ilvl="0">
      <w:start w:val="1"/>
      <w:numFmt w:val="bullet"/>
      <w:pStyle w:val="ListBullet"/>
      <w:lvlText w:val=""/>
      <w:lvlJc w:val="left"/>
      <w:pPr>
        <w:tabs>
          <w:tab w:val="num" w:pos="360"/>
        </w:tabs>
        <w:ind w:left="360" w:hanging="360"/>
      </w:pPr>
      <w:rPr>
        <w:rFonts w:ascii="Symbol" w:hAnsi="Symbol" w:hint="default"/>
        <w:color w:val="auto"/>
      </w:rPr>
    </w:lvl>
  </w:abstractNum>
  <w:abstractNum w:abstractNumId="10" w15:restartNumberingAfterBreak="0">
    <w:nsid w:val="005F7539"/>
    <w:multiLevelType w:val="hybridMultilevel"/>
    <w:tmpl w:val="C86A2D9E"/>
    <w:lvl w:ilvl="0" w:tplc="FFFFFFFF">
      <w:start w:val="1"/>
      <w:numFmt w:val="lowerLetter"/>
      <w:lvlText w:val="%1)"/>
      <w:lvlJc w:val="left"/>
      <w:pPr>
        <w:ind w:left="360" w:hanging="360"/>
      </w:pPr>
      <w:rPr>
        <w:b w:val="0"/>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00D34524"/>
    <w:multiLevelType w:val="hybridMultilevel"/>
    <w:tmpl w:val="C86A2D9E"/>
    <w:lvl w:ilvl="0" w:tplc="FFFFFFFF">
      <w:start w:val="1"/>
      <w:numFmt w:val="lowerLetter"/>
      <w:lvlText w:val="%1)"/>
      <w:lvlJc w:val="left"/>
      <w:pPr>
        <w:ind w:left="360" w:hanging="360"/>
      </w:pPr>
      <w:rPr>
        <w:b w:val="0"/>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026A51BA"/>
    <w:multiLevelType w:val="hybridMultilevel"/>
    <w:tmpl w:val="3BC46294"/>
    <w:lvl w:ilvl="0" w:tplc="08160017">
      <w:start w:val="1"/>
      <w:numFmt w:val="lowerLetter"/>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3" w15:restartNumberingAfterBreak="0">
    <w:nsid w:val="02A931E6"/>
    <w:multiLevelType w:val="hybridMultilevel"/>
    <w:tmpl w:val="FA1474AC"/>
    <w:lvl w:ilvl="0" w:tplc="08160017">
      <w:start w:val="1"/>
      <w:numFmt w:val="lowerLetter"/>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4" w15:restartNumberingAfterBreak="0">
    <w:nsid w:val="02C32887"/>
    <w:multiLevelType w:val="hybridMultilevel"/>
    <w:tmpl w:val="D48A5B88"/>
    <w:lvl w:ilvl="0" w:tplc="08160017">
      <w:start w:val="1"/>
      <w:numFmt w:val="lowerLetter"/>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5" w15:restartNumberingAfterBreak="0">
    <w:nsid w:val="02E362AD"/>
    <w:multiLevelType w:val="hybridMultilevel"/>
    <w:tmpl w:val="C5840108"/>
    <w:lvl w:ilvl="0" w:tplc="08160017">
      <w:start w:val="1"/>
      <w:numFmt w:val="lowerLetter"/>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6" w15:restartNumberingAfterBreak="0">
    <w:nsid w:val="03BC600D"/>
    <w:multiLevelType w:val="hybridMultilevel"/>
    <w:tmpl w:val="C86A2D9E"/>
    <w:lvl w:ilvl="0" w:tplc="FFFFFFFF">
      <w:start w:val="1"/>
      <w:numFmt w:val="lowerLetter"/>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044864DA"/>
    <w:multiLevelType w:val="hybridMultilevel"/>
    <w:tmpl w:val="252099E6"/>
    <w:lvl w:ilvl="0" w:tplc="8E90B034">
      <w:start w:val="1"/>
      <w:numFmt w:val="decimal"/>
      <w:lvlText w:val="%1)"/>
      <w:lvlJc w:val="left"/>
      <w:pPr>
        <w:ind w:left="814" w:hanging="360"/>
      </w:pPr>
      <w:rPr>
        <w:rFonts w:ascii="Cambria" w:eastAsia="MS Mincho" w:hAnsi="Cambria" w:cs="Cambria"/>
      </w:rPr>
    </w:lvl>
    <w:lvl w:ilvl="1" w:tplc="FFFFFFFF" w:tentative="1">
      <w:start w:val="1"/>
      <w:numFmt w:val="bullet"/>
      <w:lvlText w:val="o"/>
      <w:lvlJc w:val="left"/>
      <w:pPr>
        <w:ind w:left="1534" w:hanging="360"/>
      </w:pPr>
      <w:rPr>
        <w:rFonts w:ascii="Courier New" w:hAnsi="Courier New" w:cs="Courier New" w:hint="default"/>
      </w:rPr>
    </w:lvl>
    <w:lvl w:ilvl="2" w:tplc="FFFFFFFF" w:tentative="1">
      <w:start w:val="1"/>
      <w:numFmt w:val="bullet"/>
      <w:lvlText w:val=""/>
      <w:lvlJc w:val="left"/>
      <w:pPr>
        <w:ind w:left="2254" w:hanging="360"/>
      </w:pPr>
      <w:rPr>
        <w:rFonts w:ascii="Wingdings" w:hAnsi="Wingdings" w:hint="default"/>
      </w:rPr>
    </w:lvl>
    <w:lvl w:ilvl="3" w:tplc="FFFFFFFF" w:tentative="1">
      <w:start w:val="1"/>
      <w:numFmt w:val="bullet"/>
      <w:lvlText w:val=""/>
      <w:lvlJc w:val="left"/>
      <w:pPr>
        <w:ind w:left="2974" w:hanging="360"/>
      </w:pPr>
      <w:rPr>
        <w:rFonts w:ascii="Symbol" w:hAnsi="Symbol" w:hint="default"/>
      </w:rPr>
    </w:lvl>
    <w:lvl w:ilvl="4" w:tplc="FFFFFFFF" w:tentative="1">
      <w:start w:val="1"/>
      <w:numFmt w:val="bullet"/>
      <w:lvlText w:val="o"/>
      <w:lvlJc w:val="left"/>
      <w:pPr>
        <w:ind w:left="3694" w:hanging="360"/>
      </w:pPr>
      <w:rPr>
        <w:rFonts w:ascii="Courier New" w:hAnsi="Courier New" w:cs="Courier New" w:hint="default"/>
      </w:rPr>
    </w:lvl>
    <w:lvl w:ilvl="5" w:tplc="FFFFFFFF" w:tentative="1">
      <w:start w:val="1"/>
      <w:numFmt w:val="bullet"/>
      <w:lvlText w:val=""/>
      <w:lvlJc w:val="left"/>
      <w:pPr>
        <w:ind w:left="4414" w:hanging="360"/>
      </w:pPr>
      <w:rPr>
        <w:rFonts w:ascii="Wingdings" w:hAnsi="Wingdings" w:hint="default"/>
      </w:rPr>
    </w:lvl>
    <w:lvl w:ilvl="6" w:tplc="FFFFFFFF" w:tentative="1">
      <w:start w:val="1"/>
      <w:numFmt w:val="bullet"/>
      <w:lvlText w:val=""/>
      <w:lvlJc w:val="left"/>
      <w:pPr>
        <w:ind w:left="5134" w:hanging="360"/>
      </w:pPr>
      <w:rPr>
        <w:rFonts w:ascii="Symbol" w:hAnsi="Symbol" w:hint="default"/>
      </w:rPr>
    </w:lvl>
    <w:lvl w:ilvl="7" w:tplc="FFFFFFFF" w:tentative="1">
      <w:start w:val="1"/>
      <w:numFmt w:val="bullet"/>
      <w:lvlText w:val="o"/>
      <w:lvlJc w:val="left"/>
      <w:pPr>
        <w:ind w:left="5854" w:hanging="360"/>
      </w:pPr>
      <w:rPr>
        <w:rFonts w:ascii="Courier New" w:hAnsi="Courier New" w:cs="Courier New" w:hint="default"/>
      </w:rPr>
    </w:lvl>
    <w:lvl w:ilvl="8" w:tplc="FFFFFFFF" w:tentative="1">
      <w:start w:val="1"/>
      <w:numFmt w:val="bullet"/>
      <w:lvlText w:val=""/>
      <w:lvlJc w:val="left"/>
      <w:pPr>
        <w:ind w:left="6574" w:hanging="360"/>
      </w:pPr>
      <w:rPr>
        <w:rFonts w:ascii="Wingdings" w:hAnsi="Wingdings" w:hint="default"/>
      </w:rPr>
    </w:lvl>
  </w:abstractNum>
  <w:abstractNum w:abstractNumId="18" w15:restartNumberingAfterBreak="0">
    <w:nsid w:val="04624AC1"/>
    <w:multiLevelType w:val="hybridMultilevel"/>
    <w:tmpl w:val="86004006"/>
    <w:lvl w:ilvl="0" w:tplc="FFFFFFFF">
      <w:start w:val="1"/>
      <w:numFmt w:val="lowerLetter"/>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9" w15:restartNumberingAfterBreak="0">
    <w:nsid w:val="04F607DC"/>
    <w:multiLevelType w:val="hybridMultilevel"/>
    <w:tmpl w:val="60A640A4"/>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0" w15:restartNumberingAfterBreak="0">
    <w:nsid w:val="05A81C62"/>
    <w:multiLevelType w:val="hybridMultilevel"/>
    <w:tmpl w:val="C86A2D9E"/>
    <w:lvl w:ilvl="0" w:tplc="FFFFFFFF">
      <w:start w:val="1"/>
      <w:numFmt w:val="lowerLetter"/>
      <w:lvlText w:val="%1)"/>
      <w:lvlJc w:val="left"/>
      <w:pPr>
        <w:ind w:left="360" w:hanging="360"/>
      </w:pPr>
      <w:rPr>
        <w:b w:val="0"/>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15:restartNumberingAfterBreak="0">
    <w:nsid w:val="060B13C1"/>
    <w:multiLevelType w:val="hybridMultilevel"/>
    <w:tmpl w:val="86004006"/>
    <w:lvl w:ilvl="0" w:tplc="FFFFFFFF">
      <w:start w:val="1"/>
      <w:numFmt w:val="lowerLetter"/>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22" w15:restartNumberingAfterBreak="0">
    <w:nsid w:val="08A55008"/>
    <w:multiLevelType w:val="multilevel"/>
    <w:tmpl w:val="52482982"/>
    <w:lvl w:ilvl="0">
      <w:start w:val="1"/>
      <w:numFmt w:val="upperLetter"/>
      <w:pStyle w:val="ANNEX"/>
      <w:suff w:val="nothing"/>
      <w:lvlText w:val="Annex %1"/>
      <w:lvlJc w:val="left"/>
      <w:pPr>
        <w:ind w:left="4611" w:hanging="499"/>
      </w:pPr>
      <w:rPr>
        <w:rFonts w:ascii="Cambria" w:hAnsi="Cambria" w:hint="default"/>
        <w:b/>
        <w:i w:val="0"/>
        <w:sz w:val="30"/>
      </w:rPr>
    </w:lvl>
    <w:lvl w:ilvl="1">
      <w:start w:val="1"/>
      <w:numFmt w:val="decimal"/>
      <w:pStyle w:val="a2"/>
      <w:lvlText w:val="%1.%2"/>
      <w:lvlJc w:val="left"/>
      <w:pPr>
        <w:ind w:left="499" w:hanging="499"/>
      </w:pPr>
      <w:rPr>
        <w:rFonts w:hint="default"/>
        <w:b/>
        <w:i w:val="0"/>
      </w:rPr>
    </w:lvl>
    <w:lvl w:ilvl="2">
      <w:start w:val="1"/>
      <w:numFmt w:val="decimal"/>
      <w:pStyle w:val="a3"/>
      <w:lvlText w:val="%1.%2.%3"/>
      <w:lvlJc w:val="left"/>
      <w:pPr>
        <w:ind w:left="641" w:hanging="641"/>
      </w:pPr>
      <w:rPr>
        <w:rFonts w:hint="default"/>
        <w:b/>
        <w:i w:val="0"/>
      </w:rPr>
    </w:lvl>
    <w:lvl w:ilvl="3">
      <w:start w:val="1"/>
      <w:numFmt w:val="decimal"/>
      <w:pStyle w:val="a4"/>
      <w:lvlText w:val="%1.%2.%3.%4"/>
      <w:lvlJc w:val="left"/>
      <w:pPr>
        <w:ind w:left="879" w:hanging="879"/>
      </w:pPr>
      <w:rPr>
        <w:rFonts w:hint="default"/>
        <w:b/>
        <w:i w:val="0"/>
      </w:rPr>
    </w:lvl>
    <w:lvl w:ilvl="4">
      <w:start w:val="1"/>
      <w:numFmt w:val="decimal"/>
      <w:pStyle w:val="a5"/>
      <w:lvlText w:val="%1.%2.%3.%4.%5"/>
      <w:lvlJc w:val="left"/>
      <w:pPr>
        <w:ind w:left="1140" w:hanging="1140"/>
      </w:pPr>
      <w:rPr>
        <w:rFonts w:hint="default"/>
        <w:b/>
        <w:i w:val="0"/>
      </w:rPr>
    </w:lvl>
    <w:lvl w:ilvl="5">
      <w:start w:val="1"/>
      <w:numFmt w:val="decimal"/>
      <w:pStyle w:val="a6"/>
      <w:lvlText w:val="%1.%2.%3.%4.%5.%6"/>
      <w:lvlJc w:val="left"/>
      <w:pPr>
        <w:ind w:left="1361" w:hanging="1361"/>
      </w:pPr>
      <w:rPr>
        <w:rFonts w:hint="default"/>
        <w:b/>
        <w:i w:val="0"/>
      </w:rPr>
    </w:lvl>
    <w:lvl w:ilvl="6">
      <w:start w:val="1"/>
      <w:numFmt w:val="lowerRoman"/>
      <w:lvlText w:val="(%7)"/>
      <w:lvlJc w:val="left"/>
      <w:pPr>
        <w:ind w:left="1531" w:hanging="1531"/>
      </w:pPr>
      <w:rPr>
        <w:rFonts w:hint="default"/>
      </w:rPr>
    </w:lvl>
    <w:lvl w:ilvl="7">
      <w:start w:val="1"/>
      <w:numFmt w:val="lowerLetter"/>
      <w:lvlText w:val="(%8)"/>
      <w:lvlJc w:val="left"/>
      <w:pPr>
        <w:ind w:left="1644" w:hanging="1644"/>
      </w:pPr>
      <w:rPr>
        <w:rFonts w:hint="default"/>
      </w:rPr>
    </w:lvl>
    <w:lvl w:ilvl="8">
      <w:start w:val="1"/>
      <w:numFmt w:val="lowerRoman"/>
      <w:lvlText w:val="(%9)"/>
      <w:lvlJc w:val="left"/>
      <w:pPr>
        <w:ind w:left="1758" w:hanging="1758"/>
      </w:pPr>
      <w:rPr>
        <w:rFonts w:hint="default"/>
      </w:rPr>
    </w:lvl>
  </w:abstractNum>
  <w:abstractNum w:abstractNumId="23" w15:restartNumberingAfterBreak="0">
    <w:nsid w:val="08C64E3C"/>
    <w:multiLevelType w:val="hybridMultilevel"/>
    <w:tmpl w:val="13D2AED6"/>
    <w:lvl w:ilvl="0" w:tplc="08160017">
      <w:start w:val="1"/>
      <w:numFmt w:val="lowerLetter"/>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24" w15:restartNumberingAfterBreak="0">
    <w:nsid w:val="098C03F8"/>
    <w:multiLevelType w:val="hybridMultilevel"/>
    <w:tmpl w:val="9098797C"/>
    <w:styleLink w:val="Estilo11"/>
    <w:lvl w:ilvl="0" w:tplc="193C56F6">
      <w:start w:val="1"/>
      <w:numFmt w:val="decimal"/>
      <w:suff w:val="nothing"/>
      <w:lvlText w:val="(%1)"/>
      <w:lvlJc w:val="left"/>
      <w:pPr>
        <w:ind w:left="0" w:firstLine="0"/>
      </w:pPr>
      <w:rPr>
        <w:rFonts w:ascii="Cambria" w:hAnsi="Cambria" w:hint="default"/>
        <w:sz w:val="22"/>
        <w:szCs w:val="24"/>
      </w:rPr>
    </w:lvl>
    <w:lvl w:ilvl="1" w:tplc="ABA68564">
      <w:start w:val="1"/>
      <w:numFmt w:val="bullet"/>
      <w:lvlText w:val="•"/>
      <w:lvlJc w:val="left"/>
      <w:pPr>
        <w:ind w:left="1349" w:hanging="427"/>
      </w:pPr>
      <w:rPr>
        <w:rFonts w:hint="default"/>
      </w:rPr>
    </w:lvl>
    <w:lvl w:ilvl="2" w:tplc="ABAC65CE">
      <w:start w:val="1"/>
      <w:numFmt w:val="bullet"/>
      <w:lvlText w:val="•"/>
      <w:lvlJc w:val="left"/>
      <w:pPr>
        <w:ind w:left="2169" w:hanging="427"/>
      </w:pPr>
      <w:rPr>
        <w:rFonts w:hint="default"/>
      </w:rPr>
    </w:lvl>
    <w:lvl w:ilvl="3" w:tplc="1012F160">
      <w:start w:val="1"/>
      <w:numFmt w:val="bullet"/>
      <w:lvlText w:val="•"/>
      <w:lvlJc w:val="left"/>
      <w:pPr>
        <w:ind w:left="2988" w:hanging="427"/>
      </w:pPr>
      <w:rPr>
        <w:rFonts w:hint="default"/>
      </w:rPr>
    </w:lvl>
    <w:lvl w:ilvl="4" w:tplc="AB9CFD02">
      <w:start w:val="1"/>
      <w:numFmt w:val="bullet"/>
      <w:lvlText w:val="•"/>
      <w:lvlJc w:val="left"/>
      <w:pPr>
        <w:ind w:left="3808" w:hanging="427"/>
      </w:pPr>
      <w:rPr>
        <w:rFonts w:hint="default"/>
      </w:rPr>
    </w:lvl>
    <w:lvl w:ilvl="5" w:tplc="04300682">
      <w:start w:val="1"/>
      <w:numFmt w:val="bullet"/>
      <w:lvlText w:val="•"/>
      <w:lvlJc w:val="left"/>
      <w:pPr>
        <w:ind w:left="4627" w:hanging="427"/>
      </w:pPr>
      <w:rPr>
        <w:rFonts w:hint="default"/>
      </w:rPr>
    </w:lvl>
    <w:lvl w:ilvl="6" w:tplc="253A839A">
      <w:start w:val="1"/>
      <w:numFmt w:val="bullet"/>
      <w:lvlText w:val="•"/>
      <w:lvlJc w:val="left"/>
      <w:pPr>
        <w:ind w:left="5447" w:hanging="427"/>
      </w:pPr>
      <w:rPr>
        <w:rFonts w:hint="default"/>
      </w:rPr>
    </w:lvl>
    <w:lvl w:ilvl="7" w:tplc="4A30A09C">
      <w:start w:val="1"/>
      <w:numFmt w:val="bullet"/>
      <w:lvlText w:val="•"/>
      <w:lvlJc w:val="left"/>
      <w:pPr>
        <w:ind w:left="6266" w:hanging="427"/>
      </w:pPr>
      <w:rPr>
        <w:rFonts w:hint="default"/>
      </w:rPr>
    </w:lvl>
    <w:lvl w:ilvl="8" w:tplc="EAC41BAC">
      <w:start w:val="1"/>
      <w:numFmt w:val="bullet"/>
      <w:lvlText w:val="•"/>
      <w:lvlJc w:val="left"/>
      <w:pPr>
        <w:ind w:left="7086" w:hanging="427"/>
      </w:pPr>
      <w:rPr>
        <w:rFonts w:hint="default"/>
      </w:rPr>
    </w:lvl>
  </w:abstractNum>
  <w:abstractNum w:abstractNumId="25" w15:restartNumberingAfterBreak="0">
    <w:nsid w:val="09B1061D"/>
    <w:multiLevelType w:val="hybridMultilevel"/>
    <w:tmpl w:val="C86A2D9E"/>
    <w:lvl w:ilvl="0" w:tplc="FFFFFFFF">
      <w:start w:val="1"/>
      <w:numFmt w:val="lowerLetter"/>
      <w:lvlText w:val="%1)"/>
      <w:lvlJc w:val="left"/>
      <w:pPr>
        <w:ind w:left="360" w:hanging="360"/>
      </w:pPr>
      <w:rPr>
        <w:b w:val="0"/>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6" w15:restartNumberingAfterBreak="0">
    <w:nsid w:val="0AD96927"/>
    <w:multiLevelType w:val="hybridMultilevel"/>
    <w:tmpl w:val="45D427BE"/>
    <w:lvl w:ilvl="0" w:tplc="ED325874">
      <w:start w:val="1"/>
      <w:numFmt w:val="lowerLetter"/>
      <w:pStyle w:val="ListNumb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0B9E5485"/>
    <w:multiLevelType w:val="hybridMultilevel"/>
    <w:tmpl w:val="C86A2D9E"/>
    <w:lvl w:ilvl="0" w:tplc="FFFFFFFF">
      <w:start w:val="1"/>
      <w:numFmt w:val="lowerLetter"/>
      <w:lvlText w:val="%1)"/>
      <w:lvlJc w:val="left"/>
      <w:pPr>
        <w:ind w:left="360" w:hanging="360"/>
      </w:pPr>
      <w:rPr>
        <w:b w:val="0"/>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8" w15:restartNumberingAfterBreak="0">
    <w:nsid w:val="0CAD09ED"/>
    <w:multiLevelType w:val="hybridMultilevel"/>
    <w:tmpl w:val="EF1458FE"/>
    <w:lvl w:ilvl="0" w:tplc="08160017">
      <w:start w:val="1"/>
      <w:numFmt w:val="lowerLetter"/>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29" w15:restartNumberingAfterBreak="0">
    <w:nsid w:val="0ED95F42"/>
    <w:multiLevelType w:val="hybridMultilevel"/>
    <w:tmpl w:val="C86A2D9E"/>
    <w:lvl w:ilvl="0" w:tplc="FFFFFFFF">
      <w:start w:val="1"/>
      <w:numFmt w:val="lowerLetter"/>
      <w:lvlText w:val="%1)"/>
      <w:lvlJc w:val="left"/>
      <w:pPr>
        <w:ind w:left="360" w:hanging="360"/>
      </w:pPr>
      <w:rPr>
        <w:b w:val="0"/>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0" w15:restartNumberingAfterBreak="0">
    <w:nsid w:val="0EE75A2E"/>
    <w:multiLevelType w:val="hybridMultilevel"/>
    <w:tmpl w:val="C86A2D9E"/>
    <w:lvl w:ilvl="0" w:tplc="FFFFFFFF">
      <w:start w:val="1"/>
      <w:numFmt w:val="lowerLetter"/>
      <w:lvlText w:val="%1)"/>
      <w:lvlJc w:val="left"/>
      <w:pPr>
        <w:ind w:left="360" w:hanging="360"/>
      </w:pPr>
      <w:rPr>
        <w:b w:val="0"/>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1" w15:restartNumberingAfterBreak="0">
    <w:nsid w:val="0F28144F"/>
    <w:multiLevelType w:val="hybridMultilevel"/>
    <w:tmpl w:val="77B612D8"/>
    <w:lvl w:ilvl="0" w:tplc="08160017">
      <w:start w:val="1"/>
      <w:numFmt w:val="lowerLetter"/>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32" w15:restartNumberingAfterBreak="0">
    <w:nsid w:val="0FE4602D"/>
    <w:multiLevelType w:val="multilevel"/>
    <w:tmpl w:val="2F763E28"/>
    <w:lvl w:ilvl="0">
      <w:start w:val="8"/>
      <w:numFmt w:val="decimal"/>
      <w:lvlText w:val="E.%1."/>
      <w:lvlJc w:val="left"/>
      <w:pPr>
        <w:tabs>
          <w:tab w:val="num" w:pos="432"/>
        </w:tabs>
        <w:ind w:left="397" w:hanging="397"/>
      </w:pPr>
      <w:rPr>
        <w:rFonts w:hint="default"/>
        <w:b/>
        <w:i w:val="0"/>
      </w:rPr>
    </w:lvl>
    <w:lvl w:ilvl="1">
      <w:start w:val="1"/>
      <w:numFmt w:val="decimal"/>
      <w:lvlText w:val="E.%1.%2."/>
      <w:lvlJc w:val="left"/>
      <w:pPr>
        <w:tabs>
          <w:tab w:val="num" w:pos="595"/>
        </w:tabs>
        <w:ind w:left="397" w:hanging="397"/>
      </w:pPr>
      <w:rPr>
        <w:rFonts w:hint="default"/>
        <w:b/>
        <w:i w:val="0"/>
      </w:rPr>
    </w:lvl>
    <w:lvl w:ilvl="2">
      <w:start w:val="1"/>
      <w:numFmt w:val="decimal"/>
      <w:lvlText w:val="E.%1.%2.%3."/>
      <w:lvlJc w:val="left"/>
      <w:pPr>
        <w:tabs>
          <w:tab w:val="num" w:pos="1713"/>
        </w:tabs>
        <w:ind w:left="538" w:hanging="397"/>
      </w:pPr>
      <w:rPr>
        <w:rFonts w:hint="default"/>
        <w:b/>
        <w:i w:val="0"/>
      </w:rPr>
    </w:lvl>
    <w:lvl w:ilvl="3">
      <w:start w:val="1"/>
      <w:numFmt w:val="decimal"/>
      <w:lvlText w:val="%1.%2.%3.%4"/>
      <w:lvlJc w:val="left"/>
      <w:pPr>
        <w:tabs>
          <w:tab w:val="num" w:pos="1080"/>
        </w:tabs>
        <w:ind w:left="941" w:hanging="941"/>
      </w:pPr>
      <w:rPr>
        <w:rFonts w:hint="default"/>
        <w:b/>
        <w:i w:val="0"/>
      </w:rPr>
    </w:lvl>
    <w:lvl w:ilvl="4">
      <w:start w:val="1"/>
      <w:numFmt w:val="decimal"/>
      <w:lvlText w:val="%1.%2.%3.%4.%5"/>
      <w:lvlJc w:val="left"/>
      <w:pPr>
        <w:tabs>
          <w:tab w:val="num" w:pos="1191"/>
        </w:tabs>
        <w:ind w:left="1077" w:hanging="1077"/>
      </w:pPr>
      <w:rPr>
        <w:rFonts w:hint="default"/>
        <w:b/>
        <w:i w:val="0"/>
      </w:rPr>
    </w:lvl>
    <w:lvl w:ilvl="5">
      <w:start w:val="1"/>
      <w:numFmt w:val="decimal"/>
      <w:lvlText w:val="%1.%2.%3.%4.%5.%6"/>
      <w:lvlJc w:val="left"/>
      <w:pPr>
        <w:tabs>
          <w:tab w:val="num" w:pos="1332"/>
        </w:tabs>
        <w:ind w:left="1191" w:hanging="1191"/>
      </w:pPr>
      <w:rPr>
        <w:rFonts w:hint="default"/>
        <w:b/>
        <w:i w:val="0"/>
      </w:rPr>
    </w:lvl>
    <w:lvl w:ilvl="6">
      <w:start w:val="1"/>
      <w:numFmt w:val="decimal"/>
      <w:lvlText w:val="%1.%2.%3.%4.%5.%6.%7"/>
      <w:lvlJc w:val="left"/>
      <w:pPr>
        <w:tabs>
          <w:tab w:val="num" w:pos="1440"/>
        </w:tabs>
        <w:ind w:left="1304" w:hanging="1304"/>
      </w:pPr>
      <w:rPr>
        <w:rFonts w:hint="default"/>
      </w:rPr>
    </w:lvl>
    <w:lvl w:ilvl="7">
      <w:start w:val="1"/>
      <w:numFmt w:val="decimal"/>
      <w:lvlText w:val="%1.%2.%3.%4.%5.%6.%7.%8"/>
      <w:lvlJc w:val="left"/>
      <w:pPr>
        <w:tabs>
          <w:tab w:val="num" w:pos="1588"/>
        </w:tabs>
        <w:ind w:left="1418" w:hanging="1418"/>
      </w:pPr>
      <w:rPr>
        <w:rFonts w:hint="default"/>
      </w:rPr>
    </w:lvl>
    <w:lvl w:ilvl="8">
      <w:start w:val="1"/>
      <w:numFmt w:val="decimal"/>
      <w:lvlText w:val="%1.%2.%3.%4.%5.%6.%7.%8.%9"/>
      <w:lvlJc w:val="left"/>
      <w:pPr>
        <w:tabs>
          <w:tab w:val="num" w:pos="1701"/>
        </w:tabs>
        <w:ind w:left="1531" w:hanging="1531"/>
      </w:pPr>
      <w:rPr>
        <w:rFonts w:hint="default"/>
      </w:rPr>
    </w:lvl>
  </w:abstractNum>
  <w:abstractNum w:abstractNumId="33" w15:restartNumberingAfterBreak="0">
    <w:nsid w:val="0FE60F93"/>
    <w:multiLevelType w:val="hybridMultilevel"/>
    <w:tmpl w:val="C86A2D9E"/>
    <w:lvl w:ilvl="0" w:tplc="FFFFFFFF">
      <w:start w:val="1"/>
      <w:numFmt w:val="lowerLetter"/>
      <w:lvlText w:val="%1)"/>
      <w:lvlJc w:val="left"/>
      <w:pPr>
        <w:ind w:left="360" w:hanging="360"/>
      </w:pPr>
      <w:rPr>
        <w:b w:val="0"/>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4" w15:restartNumberingAfterBreak="0">
    <w:nsid w:val="102A4B81"/>
    <w:multiLevelType w:val="hybridMultilevel"/>
    <w:tmpl w:val="93DABD0C"/>
    <w:lvl w:ilvl="0" w:tplc="08160017">
      <w:start w:val="1"/>
      <w:numFmt w:val="lowerLetter"/>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35" w15:restartNumberingAfterBreak="0">
    <w:nsid w:val="134C09A0"/>
    <w:multiLevelType w:val="hybridMultilevel"/>
    <w:tmpl w:val="BF549940"/>
    <w:lvl w:ilvl="0" w:tplc="08160017">
      <w:start w:val="1"/>
      <w:numFmt w:val="lowerLetter"/>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36" w15:restartNumberingAfterBreak="0">
    <w:nsid w:val="140A7093"/>
    <w:multiLevelType w:val="hybridMultilevel"/>
    <w:tmpl w:val="48A453EA"/>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7" w15:restartNumberingAfterBreak="0">
    <w:nsid w:val="14732AED"/>
    <w:multiLevelType w:val="hybridMultilevel"/>
    <w:tmpl w:val="C86A2D9E"/>
    <w:lvl w:ilvl="0" w:tplc="FFFFFFFF">
      <w:start w:val="1"/>
      <w:numFmt w:val="lowerLetter"/>
      <w:lvlText w:val="%1)"/>
      <w:lvlJc w:val="left"/>
      <w:pPr>
        <w:ind w:left="360" w:hanging="360"/>
      </w:pPr>
      <w:rPr>
        <w:b w:val="0"/>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8" w15:restartNumberingAfterBreak="0">
    <w:nsid w:val="15B62E77"/>
    <w:multiLevelType w:val="hybridMultilevel"/>
    <w:tmpl w:val="9C424074"/>
    <w:lvl w:ilvl="0" w:tplc="FFFFFFFF">
      <w:start w:val="1"/>
      <w:numFmt w:val="lowerLetter"/>
      <w:lvlText w:val="%1)"/>
      <w:lvlJc w:val="left"/>
      <w:pPr>
        <w:ind w:left="360" w:hanging="360"/>
      </w:pPr>
      <w:rPr>
        <w:rFonts w:hint="default"/>
        <w:b w:val="0"/>
        <w:vertAlign w:val="baseline"/>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9" w15:restartNumberingAfterBreak="0">
    <w:nsid w:val="15F33E99"/>
    <w:multiLevelType w:val="hybridMultilevel"/>
    <w:tmpl w:val="7D7A4E30"/>
    <w:lvl w:ilvl="0" w:tplc="08160017">
      <w:start w:val="1"/>
      <w:numFmt w:val="lowerLetter"/>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40" w15:restartNumberingAfterBreak="0">
    <w:nsid w:val="15F47309"/>
    <w:multiLevelType w:val="hybridMultilevel"/>
    <w:tmpl w:val="48A453EA"/>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1" w15:restartNumberingAfterBreak="0">
    <w:nsid w:val="15F8097A"/>
    <w:multiLevelType w:val="hybridMultilevel"/>
    <w:tmpl w:val="C86A2D9E"/>
    <w:lvl w:ilvl="0" w:tplc="FFFFFFFF">
      <w:start w:val="1"/>
      <w:numFmt w:val="lowerLetter"/>
      <w:lvlText w:val="%1)"/>
      <w:lvlJc w:val="left"/>
      <w:pPr>
        <w:ind w:left="360" w:hanging="360"/>
      </w:pPr>
      <w:rPr>
        <w:b w:val="0"/>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2" w15:restartNumberingAfterBreak="0">
    <w:nsid w:val="16DD5FEE"/>
    <w:multiLevelType w:val="hybridMultilevel"/>
    <w:tmpl w:val="DE9A38E0"/>
    <w:lvl w:ilvl="0" w:tplc="08160017">
      <w:start w:val="1"/>
      <w:numFmt w:val="lowerLetter"/>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43" w15:restartNumberingAfterBreak="0">
    <w:nsid w:val="19311A57"/>
    <w:multiLevelType w:val="hybridMultilevel"/>
    <w:tmpl w:val="48A453EA"/>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4" w15:restartNumberingAfterBreak="0">
    <w:nsid w:val="1959207B"/>
    <w:multiLevelType w:val="hybridMultilevel"/>
    <w:tmpl w:val="48A453E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1AC700A0"/>
    <w:multiLevelType w:val="hybridMultilevel"/>
    <w:tmpl w:val="5FACD0C4"/>
    <w:lvl w:ilvl="0" w:tplc="08160017">
      <w:start w:val="1"/>
      <w:numFmt w:val="lowerLetter"/>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46" w15:restartNumberingAfterBreak="0">
    <w:nsid w:val="1ADE6CFA"/>
    <w:multiLevelType w:val="hybridMultilevel"/>
    <w:tmpl w:val="48A453EA"/>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7" w15:restartNumberingAfterBreak="0">
    <w:nsid w:val="1C03678A"/>
    <w:multiLevelType w:val="hybridMultilevel"/>
    <w:tmpl w:val="A78AE94E"/>
    <w:lvl w:ilvl="0" w:tplc="08160017">
      <w:start w:val="1"/>
      <w:numFmt w:val="lowerLetter"/>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48" w15:restartNumberingAfterBreak="0">
    <w:nsid w:val="1C2C0468"/>
    <w:multiLevelType w:val="hybridMultilevel"/>
    <w:tmpl w:val="531E066C"/>
    <w:lvl w:ilvl="0" w:tplc="08160017">
      <w:start w:val="1"/>
      <w:numFmt w:val="lowerLetter"/>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49" w15:restartNumberingAfterBreak="0">
    <w:nsid w:val="1C301AC9"/>
    <w:multiLevelType w:val="hybridMultilevel"/>
    <w:tmpl w:val="C86A2D9E"/>
    <w:lvl w:ilvl="0" w:tplc="FFFFFFFF">
      <w:start w:val="1"/>
      <w:numFmt w:val="lowerLetter"/>
      <w:lvlText w:val="%1)"/>
      <w:lvlJc w:val="left"/>
      <w:pPr>
        <w:ind w:left="360" w:hanging="360"/>
      </w:pPr>
      <w:rPr>
        <w:b w:val="0"/>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0" w15:restartNumberingAfterBreak="0">
    <w:nsid w:val="1C755D0A"/>
    <w:multiLevelType w:val="hybridMultilevel"/>
    <w:tmpl w:val="C86A2D9E"/>
    <w:lvl w:ilvl="0" w:tplc="FFFFFFFF">
      <w:start w:val="1"/>
      <w:numFmt w:val="lowerLetter"/>
      <w:lvlText w:val="%1)"/>
      <w:lvlJc w:val="left"/>
      <w:pPr>
        <w:ind w:left="360" w:hanging="360"/>
      </w:pPr>
      <w:rPr>
        <w:b w:val="0"/>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1" w15:restartNumberingAfterBreak="0">
    <w:nsid w:val="1CA2242C"/>
    <w:multiLevelType w:val="hybridMultilevel"/>
    <w:tmpl w:val="5130188A"/>
    <w:lvl w:ilvl="0" w:tplc="41408CCC">
      <w:start w:val="1"/>
      <w:numFmt w:val="decimal"/>
      <w:pStyle w:val="MTDisplayEquation"/>
      <w:suff w:val="nothing"/>
      <w:lvlText w:val="(%1)"/>
      <w:lvlJc w:val="left"/>
      <w:pPr>
        <w:ind w:left="0" w:firstLine="0"/>
      </w:pPr>
      <w:rPr>
        <w:b w:val="0"/>
        <w:i w:val="0"/>
        <w:noProof w:val="0"/>
        <w:sz w:val="22"/>
        <w:szCs w:val="24"/>
      </w:rPr>
    </w:lvl>
    <w:lvl w:ilvl="1" w:tplc="E51E4EAA">
      <w:start w:val="1"/>
      <w:numFmt w:val="bullet"/>
      <w:lvlText w:val="•"/>
      <w:lvlJc w:val="left"/>
      <w:pPr>
        <w:ind w:left="1349" w:hanging="427"/>
      </w:pPr>
      <w:rPr>
        <w:rFonts w:hint="default"/>
      </w:rPr>
    </w:lvl>
    <w:lvl w:ilvl="2" w:tplc="4DEA7666">
      <w:start w:val="1"/>
      <w:numFmt w:val="bullet"/>
      <w:lvlText w:val="•"/>
      <w:lvlJc w:val="left"/>
      <w:pPr>
        <w:ind w:left="2169" w:hanging="427"/>
      </w:pPr>
      <w:rPr>
        <w:rFonts w:hint="default"/>
      </w:rPr>
    </w:lvl>
    <w:lvl w:ilvl="3" w:tplc="8654E3BA">
      <w:start w:val="1"/>
      <w:numFmt w:val="bullet"/>
      <w:lvlText w:val="•"/>
      <w:lvlJc w:val="left"/>
      <w:pPr>
        <w:ind w:left="2988" w:hanging="427"/>
      </w:pPr>
      <w:rPr>
        <w:rFonts w:hint="default"/>
      </w:rPr>
    </w:lvl>
    <w:lvl w:ilvl="4" w:tplc="D99CEF6A">
      <w:start w:val="1"/>
      <w:numFmt w:val="bullet"/>
      <w:lvlText w:val="•"/>
      <w:lvlJc w:val="left"/>
      <w:pPr>
        <w:ind w:left="3808" w:hanging="427"/>
      </w:pPr>
      <w:rPr>
        <w:rFonts w:hint="default"/>
      </w:rPr>
    </w:lvl>
    <w:lvl w:ilvl="5" w:tplc="628291B4">
      <w:start w:val="1"/>
      <w:numFmt w:val="bullet"/>
      <w:lvlText w:val="•"/>
      <w:lvlJc w:val="left"/>
      <w:pPr>
        <w:ind w:left="4627" w:hanging="427"/>
      </w:pPr>
      <w:rPr>
        <w:rFonts w:hint="default"/>
      </w:rPr>
    </w:lvl>
    <w:lvl w:ilvl="6" w:tplc="0B1471AA">
      <w:start w:val="1"/>
      <w:numFmt w:val="bullet"/>
      <w:lvlText w:val="•"/>
      <w:lvlJc w:val="left"/>
      <w:pPr>
        <w:ind w:left="5447" w:hanging="427"/>
      </w:pPr>
      <w:rPr>
        <w:rFonts w:hint="default"/>
      </w:rPr>
    </w:lvl>
    <w:lvl w:ilvl="7" w:tplc="F64C8A58">
      <w:start w:val="1"/>
      <w:numFmt w:val="bullet"/>
      <w:lvlText w:val="•"/>
      <w:lvlJc w:val="left"/>
      <w:pPr>
        <w:ind w:left="6266" w:hanging="427"/>
      </w:pPr>
      <w:rPr>
        <w:rFonts w:hint="default"/>
      </w:rPr>
    </w:lvl>
    <w:lvl w:ilvl="8" w:tplc="E1F4C7A2">
      <w:start w:val="1"/>
      <w:numFmt w:val="bullet"/>
      <w:lvlText w:val="•"/>
      <w:lvlJc w:val="left"/>
      <w:pPr>
        <w:ind w:left="7086" w:hanging="427"/>
      </w:pPr>
      <w:rPr>
        <w:rFonts w:hint="default"/>
      </w:rPr>
    </w:lvl>
  </w:abstractNum>
  <w:abstractNum w:abstractNumId="52" w15:restartNumberingAfterBreak="0">
    <w:nsid w:val="1D2D10CF"/>
    <w:multiLevelType w:val="hybridMultilevel"/>
    <w:tmpl w:val="48A453EA"/>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3" w15:restartNumberingAfterBreak="0">
    <w:nsid w:val="1D916EDF"/>
    <w:multiLevelType w:val="hybridMultilevel"/>
    <w:tmpl w:val="C86A2D9E"/>
    <w:lvl w:ilvl="0" w:tplc="FFFFFFFF">
      <w:start w:val="1"/>
      <w:numFmt w:val="lowerLetter"/>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1EB95065"/>
    <w:multiLevelType w:val="hybridMultilevel"/>
    <w:tmpl w:val="11F40F28"/>
    <w:lvl w:ilvl="0" w:tplc="08160017">
      <w:start w:val="1"/>
      <w:numFmt w:val="lowerLetter"/>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55" w15:restartNumberingAfterBreak="0">
    <w:nsid w:val="1FB2212D"/>
    <w:multiLevelType w:val="hybridMultilevel"/>
    <w:tmpl w:val="07DA7350"/>
    <w:lvl w:ilvl="0" w:tplc="08160017">
      <w:start w:val="1"/>
      <w:numFmt w:val="lowerLetter"/>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56" w15:restartNumberingAfterBreak="0">
    <w:nsid w:val="20132365"/>
    <w:multiLevelType w:val="hybridMultilevel"/>
    <w:tmpl w:val="45A2AEF8"/>
    <w:lvl w:ilvl="0" w:tplc="08160017">
      <w:start w:val="1"/>
      <w:numFmt w:val="lowerLetter"/>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57" w15:restartNumberingAfterBreak="0">
    <w:nsid w:val="20E40E38"/>
    <w:multiLevelType w:val="hybridMultilevel"/>
    <w:tmpl w:val="410A6694"/>
    <w:lvl w:ilvl="0" w:tplc="08160017">
      <w:start w:val="1"/>
      <w:numFmt w:val="lowerLetter"/>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58" w15:restartNumberingAfterBreak="0">
    <w:nsid w:val="24410CC7"/>
    <w:multiLevelType w:val="hybridMultilevel"/>
    <w:tmpl w:val="BFC6BD2A"/>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9" w15:restartNumberingAfterBreak="0">
    <w:nsid w:val="248B1945"/>
    <w:multiLevelType w:val="hybridMultilevel"/>
    <w:tmpl w:val="C86A2D9E"/>
    <w:lvl w:ilvl="0" w:tplc="FFFFFFFF">
      <w:start w:val="1"/>
      <w:numFmt w:val="lowerLetter"/>
      <w:lvlText w:val="%1)"/>
      <w:lvlJc w:val="left"/>
      <w:pPr>
        <w:ind w:left="360" w:hanging="360"/>
      </w:pPr>
      <w:rPr>
        <w:b w:val="0"/>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0" w15:restartNumberingAfterBreak="0">
    <w:nsid w:val="24D243D6"/>
    <w:multiLevelType w:val="hybridMultilevel"/>
    <w:tmpl w:val="BF3AA0F8"/>
    <w:lvl w:ilvl="0" w:tplc="F0046C0E">
      <w:start w:val="1"/>
      <w:numFmt w:val="decimal"/>
      <w:lvlText w:val="%1)"/>
      <w:lvlJc w:val="right"/>
      <w:pPr>
        <w:ind w:left="1134" w:hanging="360"/>
      </w:pPr>
      <w:rPr>
        <w:rFonts w:ascii="Cambria" w:eastAsia="Calibri" w:hAnsi="Cambria" w:cs="Times New Roman"/>
      </w:rPr>
    </w:lvl>
    <w:lvl w:ilvl="1" w:tplc="034A9E4A">
      <w:start w:val="1"/>
      <w:numFmt w:val="lowerLetter"/>
      <w:lvlText w:val="%2."/>
      <w:lvlJc w:val="left"/>
      <w:pPr>
        <w:ind w:left="1854" w:hanging="360"/>
      </w:pPr>
    </w:lvl>
    <w:lvl w:ilvl="2" w:tplc="19AE9D92">
      <w:start w:val="1"/>
      <w:numFmt w:val="lowerRoman"/>
      <w:lvlText w:val="%3."/>
      <w:lvlJc w:val="right"/>
      <w:pPr>
        <w:ind w:left="2574" w:hanging="180"/>
      </w:pPr>
    </w:lvl>
    <w:lvl w:ilvl="3" w:tplc="5BAEAFB8">
      <w:start w:val="1"/>
      <w:numFmt w:val="decimal"/>
      <w:lvlText w:val="%4."/>
      <w:lvlJc w:val="left"/>
      <w:pPr>
        <w:ind w:left="3294" w:hanging="360"/>
      </w:pPr>
    </w:lvl>
    <w:lvl w:ilvl="4" w:tplc="92820432">
      <w:start w:val="1"/>
      <w:numFmt w:val="lowerLetter"/>
      <w:lvlText w:val="%5."/>
      <w:lvlJc w:val="left"/>
      <w:pPr>
        <w:ind w:left="4014" w:hanging="360"/>
      </w:pPr>
    </w:lvl>
    <w:lvl w:ilvl="5" w:tplc="3B3E1BF0">
      <w:start w:val="1"/>
      <w:numFmt w:val="lowerRoman"/>
      <w:lvlText w:val="%6."/>
      <w:lvlJc w:val="right"/>
      <w:pPr>
        <w:ind w:left="4734" w:hanging="180"/>
      </w:pPr>
    </w:lvl>
    <w:lvl w:ilvl="6" w:tplc="265CED0A">
      <w:start w:val="1"/>
      <w:numFmt w:val="decimal"/>
      <w:lvlText w:val="%7."/>
      <w:lvlJc w:val="left"/>
      <w:pPr>
        <w:ind w:left="5454" w:hanging="360"/>
      </w:pPr>
    </w:lvl>
    <w:lvl w:ilvl="7" w:tplc="286C04C0">
      <w:start w:val="1"/>
      <w:numFmt w:val="lowerLetter"/>
      <w:lvlText w:val="%8."/>
      <w:lvlJc w:val="left"/>
      <w:pPr>
        <w:ind w:left="6174" w:hanging="360"/>
      </w:pPr>
    </w:lvl>
    <w:lvl w:ilvl="8" w:tplc="7C24CFB6">
      <w:start w:val="1"/>
      <w:numFmt w:val="lowerRoman"/>
      <w:lvlText w:val="%9."/>
      <w:lvlJc w:val="right"/>
      <w:pPr>
        <w:ind w:left="6894" w:hanging="180"/>
      </w:pPr>
    </w:lvl>
  </w:abstractNum>
  <w:abstractNum w:abstractNumId="61" w15:restartNumberingAfterBreak="0">
    <w:nsid w:val="26001AB8"/>
    <w:multiLevelType w:val="hybridMultilevel"/>
    <w:tmpl w:val="C86A2D9E"/>
    <w:lvl w:ilvl="0" w:tplc="FFFFFFFF">
      <w:start w:val="1"/>
      <w:numFmt w:val="lowerLetter"/>
      <w:lvlText w:val="%1)"/>
      <w:lvlJc w:val="left"/>
      <w:pPr>
        <w:ind w:left="360" w:hanging="360"/>
      </w:pPr>
      <w:rPr>
        <w:b w:val="0"/>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2" w15:restartNumberingAfterBreak="0">
    <w:nsid w:val="26124B1D"/>
    <w:multiLevelType w:val="hybridMultilevel"/>
    <w:tmpl w:val="DC96F066"/>
    <w:lvl w:ilvl="0" w:tplc="08160017">
      <w:start w:val="1"/>
      <w:numFmt w:val="lowerLetter"/>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63" w15:restartNumberingAfterBreak="0">
    <w:nsid w:val="265D6811"/>
    <w:multiLevelType w:val="hybridMultilevel"/>
    <w:tmpl w:val="4336D018"/>
    <w:lvl w:ilvl="0" w:tplc="08160017">
      <w:start w:val="1"/>
      <w:numFmt w:val="lowerLetter"/>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64" w15:restartNumberingAfterBreak="0">
    <w:nsid w:val="27133DFB"/>
    <w:multiLevelType w:val="hybridMultilevel"/>
    <w:tmpl w:val="0FCAFB58"/>
    <w:lvl w:ilvl="0" w:tplc="08160017">
      <w:start w:val="1"/>
      <w:numFmt w:val="lowerLetter"/>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65" w15:restartNumberingAfterBreak="0">
    <w:nsid w:val="278C50E7"/>
    <w:multiLevelType w:val="hybridMultilevel"/>
    <w:tmpl w:val="E206C328"/>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6" w15:restartNumberingAfterBreak="0">
    <w:nsid w:val="289D3A75"/>
    <w:multiLevelType w:val="hybridMultilevel"/>
    <w:tmpl w:val="BCF80C16"/>
    <w:lvl w:ilvl="0" w:tplc="08160017">
      <w:start w:val="1"/>
      <w:numFmt w:val="lowerLetter"/>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67" w15:restartNumberingAfterBreak="0">
    <w:nsid w:val="28A74997"/>
    <w:multiLevelType w:val="hybridMultilevel"/>
    <w:tmpl w:val="C86A2D9E"/>
    <w:lvl w:ilvl="0" w:tplc="FFFFFFFF">
      <w:start w:val="1"/>
      <w:numFmt w:val="lowerLetter"/>
      <w:lvlText w:val="%1)"/>
      <w:lvlJc w:val="left"/>
      <w:pPr>
        <w:ind w:left="360" w:hanging="360"/>
      </w:pPr>
      <w:rPr>
        <w:b w:val="0"/>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8" w15:restartNumberingAfterBreak="0">
    <w:nsid w:val="298639A8"/>
    <w:multiLevelType w:val="hybridMultilevel"/>
    <w:tmpl w:val="B656957C"/>
    <w:lvl w:ilvl="0" w:tplc="23DE7DC2">
      <w:start w:val="1"/>
      <w:numFmt w:val="upperRoman"/>
      <w:pStyle w:val="ListNumber4"/>
      <w:lvlText w:val="%1."/>
      <w:lvlJc w:val="right"/>
      <w:pPr>
        <w:ind w:left="1209" w:hanging="360"/>
      </w:pPr>
    </w:lvl>
    <w:lvl w:ilvl="1" w:tplc="08090019" w:tentative="1">
      <w:start w:val="1"/>
      <w:numFmt w:val="lowerLetter"/>
      <w:lvlText w:val="%2."/>
      <w:lvlJc w:val="left"/>
      <w:pPr>
        <w:ind w:left="1929" w:hanging="360"/>
      </w:pPr>
    </w:lvl>
    <w:lvl w:ilvl="2" w:tplc="0809001B" w:tentative="1">
      <w:start w:val="1"/>
      <w:numFmt w:val="lowerRoman"/>
      <w:lvlText w:val="%3."/>
      <w:lvlJc w:val="right"/>
      <w:pPr>
        <w:ind w:left="2649" w:hanging="180"/>
      </w:pPr>
    </w:lvl>
    <w:lvl w:ilvl="3" w:tplc="0809000F" w:tentative="1">
      <w:start w:val="1"/>
      <w:numFmt w:val="decimal"/>
      <w:lvlText w:val="%4."/>
      <w:lvlJc w:val="left"/>
      <w:pPr>
        <w:ind w:left="3369" w:hanging="360"/>
      </w:pPr>
    </w:lvl>
    <w:lvl w:ilvl="4" w:tplc="08090019" w:tentative="1">
      <w:start w:val="1"/>
      <w:numFmt w:val="lowerLetter"/>
      <w:lvlText w:val="%5."/>
      <w:lvlJc w:val="left"/>
      <w:pPr>
        <w:ind w:left="4089" w:hanging="360"/>
      </w:pPr>
    </w:lvl>
    <w:lvl w:ilvl="5" w:tplc="0809001B" w:tentative="1">
      <w:start w:val="1"/>
      <w:numFmt w:val="lowerRoman"/>
      <w:lvlText w:val="%6."/>
      <w:lvlJc w:val="right"/>
      <w:pPr>
        <w:ind w:left="4809" w:hanging="180"/>
      </w:pPr>
    </w:lvl>
    <w:lvl w:ilvl="6" w:tplc="0809000F" w:tentative="1">
      <w:start w:val="1"/>
      <w:numFmt w:val="decimal"/>
      <w:lvlText w:val="%7."/>
      <w:lvlJc w:val="left"/>
      <w:pPr>
        <w:ind w:left="5529" w:hanging="360"/>
      </w:pPr>
    </w:lvl>
    <w:lvl w:ilvl="7" w:tplc="08090019" w:tentative="1">
      <w:start w:val="1"/>
      <w:numFmt w:val="lowerLetter"/>
      <w:lvlText w:val="%8."/>
      <w:lvlJc w:val="left"/>
      <w:pPr>
        <w:ind w:left="6249" w:hanging="360"/>
      </w:pPr>
    </w:lvl>
    <w:lvl w:ilvl="8" w:tplc="0809001B" w:tentative="1">
      <w:start w:val="1"/>
      <w:numFmt w:val="lowerRoman"/>
      <w:lvlText w:val="%9."/>
      <w:lvlJc w:val="right"/>
      <w:pPr>
        <w:ind w:left="6969" w:hanging="180"/>
      </w:pPr>
    </w:lvl>
  </w:abstractNum>
  <w:abstractNum w:abstractNumId="69" w15:restartNumberingAfterBreak="0">
    <w:nsid w:val="29E20BF2"/>
    <w:multiLevelType w:val="hybridMultilevel"/>
    <w:tmpl w:val="924E5EF8"/>
    <w:lvl w:ilvl="0" w:tplc="E0F6FD52">
      <w:start w:val="1"/>
      <w:numFmt w:val="lowerLetter"/>
      <w:lvlText w:val="%1)"/>
      <w:lvlJc w:val="left"/>
      <w:pPr>
        <w:ind w:left="400" w:hanging="400"/>
      </w:pPr>
      <w:rPr>
        <w:rFonts w:hint="default"/>
      </w:rPr>
    </w:lvl>
    <w:lvl w:ilvl="1" w:tplc="DC5E9484">
      <w:start w:val="1"/>
      <w:numFmt w:val="decimal"/>
      <w:lvlText w:val="%2)"/>
      <w:lvlJc w:val="left"/>
      <w:pPr>
        <w:ind w:left="800" w:hanging="400"/>
      </w:pPr>
      <w:rPr>
        <w:rFonts w:hint="default"/>
      </w:rPr>
    </w:lvl>
    <w:lvl w:ilvl="2" w:tplc="168098FA">
      <w:start w:val="1"/>
      <w:numFmt w:val="lowerRoman"/>
      <w:lvlText w:val="%3)"/>
      <w:lvlJc w:val="left"/>
      <w:pPr>
        <w:ind w:left="1200" w:hanging="400"/>
      </w:pPr>
      <w:rPr>
        <w:rFonts w:hint="default"/>
      </w:rPr>
    </w:lvl>
    <w:lvl w:ilvl="3" w:tplc="136ED3AE">
      <w:start w:val="1"/>
      <w:numFmt w:val="upperRoman"/>
      <w:lvlText w:val="%4)"/>
      <w:lvlJc w:val="left"/>
      <w:pPr>
        <w:ind w:left="1600" w:hanging="400"/>
      </w:pPr>
      <w:rPr>
        <w:rFonts w:hint="default"/>
      </w:rPr>
    </w:lvl>
    <w:lvl w:ilvl="4" w:tplc="72443DDC">
      <w:start w:val="1"/>
      <w:numFmt w:val="none"/>
      <w:suff w:val="nothing"/>
      <w:lvlText w:val=" "/>
      <w:lvlJc w:val="left"/>
      <w:pPr>
        <w:ind w:left="0" w:firstLine="0"/>
      </w:pPr>
      <w:rPr>
        <w:rFonts w:hint="default"/>
      </w:rPr>
    </w:lvl>
    <w:lvl w:ilvl="5" w:tplc="A02A0E98">
      <w:start w:val="1"/>
      <w:numFmt w:val="none"/>
      <w:suff w:val="nothing"/>
      <w:lvlText w:val=" "/>
      <w:lvlJc w:val="left"/>
      <w:pPr>
        <w:ind w:left="0" w:firstLine="0"/>
      </w:pPr>
      <w:rPr>
        <w:rFonts w:hint="default"/>
      </w:rPr>
    </w:lvl>
    <w:lvl w:ilvl="6" w:tplc="1DDCFADA">
      <w:start w:val="1"/>
      <w:numFmt w:val="lowerRoman"/>
      <w:lvlText w:val="(%7)"/>
      <w:lvlJc w:val="left"/>
      <w:pPr>
        <w:ind w:left="4320" w:firstLine="0"/>
      </w:pPr>
      <w:rPr>
        <w:rFonts w:hint="default"/>
      </w:rPr>
    </w:lvl>
    <w:lvl w:ilvl="7" w:tplc="10D64172">
      <w:start w:val="1"/>
      <w:numFmt w:val="lowerLetter"/>
      <w:lvlText w:val="(%8)"/>
      <w:lvlJc w:val="left"/>
      <w:pPr>
        <w:ind w:left="5040" w:firstLine="0"/>
      </w:pPr>
      <w:rPr>
        <w:rFonts w:hint="default"/>
      </w:rPr>
    </w:lvl>
    <w:lvl w:ilvl="8" w:tplc="156C2724">
      <w:start w:val="1"/>
      <w:numFmt w:val="lowerRoman"/>
      <w:lvlText w:val="(%9)"/>
      <w:lvlJc w:val="left"/>
      <w:pPr>
        <w:ind w:left="5760" w:firstLine="0"/>
      </w:pPr>
      <w:rPr>
        <w:rFonts w:hint="default"/>
      </w:rPr>
    </w:lvl>
  </w:abstractNum>
  <w:abstractNum w:abstractNumId="70" w15:restartNumberingAfterBreak="0">
    <w:nsid w:val="2A2C1BE8"/>
    <w:multiLevelType w:val="hybridMultilevel"/>
    <w:tmpl w:val="96689B28"/>
    <w:lvl w:ilvl="0" w:tplc="08160017">
      <w:start w:val="1"/>
      <w:numFmt w:val="lowerLetter"/>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71" w15:restartNumberingAfterBreak="0">
    <w:nsid w:val="2A58283B"/>
    <w:multiLevelType w:val="hybridMultilevel"/>
    <w:tmpl w:val="2BE8DA18"/>
    <w:lvl w:ilvl="0" w:tplc="08160017">
      <w:start w:val="1"/>
      <w:numFmt w:val="lowerLetter"/>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72" w15:restartNumberingAfterBreak="0">
    <w:nsid w:val="2BFD3689"/>
    <w:multiLevelType w:val="hybridMultilevel"/>
    <w:tmpl w:val="508C63E2"/>
    <w:lvl w:ilvl="0" w:tplc="30EE7252">
      <w:start w:val="1"/>
      <w:numFmt w:val="lowerRoman"/>
      <w:pStyle w:val="ListNumber3"/>
      <w:lvlText w:val="%1."/>
      <w:lvlJc w:val="right"/>
      <w:pPr>
        <w:ind w:left="926" w:hanging="360"/>
      </w:pPr>
    </w:lvl>
    <w:lvl w:ilvl="1" w:tplc="08090019" w:tentative="1">
      <w:start w:val="1"/>
      <w:numFmt w:val="lowerLetter"/>
      <w:lvlText w:val="%2."/>
      <w:lvlJc w:val="left"/>
      <w:pPr>
        <w:ind w:left="1646" w:hanging="360"/>
      </w:pPr>
    </w:lvl>
    <w:lvl w:ilvl="2" w:tplc="0809001B" w:tentative="1">
      <w:start w:val="1"/>
      <w:numFmt w:val="lowerRoman"/>
      <w:lvlText w:val="%3."/>
      <w:lvlJc w:val="right"/>
      <w:pPr>
        <w:ind w:left="2366" w:hanging="180"/>
      </w:pPr>
    </w:lvl>
    <w:lvl w:ilvl="3" w:tplc="0809000F" w:tentative="1">
      <w:start w:val="1"/>
      <w:numFmt w:val="decimal"/>
      <w:lvlText w:val="%4."/>
      <w:lvlJc w:val="left"/>
      <w:pPr>
        <w:ind w:left="3086" w:hanging="360"/>
      </w:pPr>
    </w:lvl>
    <w:lvl w:ilvl="4" w:tplc="08090019" w:tentative="1">
      <w:start w:val="1"/>
      <w:numFmt w:val="lowerLetter"/>
      <w:lvlText w:val="%5."/>
      <w:lvlJc w:val="left"/>
      <w:pPr>
        <w:ind w:left="3806" w:hanging="360"/>
      </w:pPr>
    </w:lvl>
    <w:lvl w:ilvl="5" w:tplc="0809001B" w:tentative="1">
      <w:start w:val="1"/>
      <w:numFmt w:val="lowerRoman"/>
      <w:lvlText w:val="%6."/>
      <w:lvlJc w:val="right"/>
      <w:pPr>
        <w:ind w:left="4526" w:hanging="180"/>
      </w:pPr>
    </w:lvl>
    <w:lvl w:ilvl="6" w:tplc="0809000F" w:tentative="1">
      <w:start w:val="1"/>
      <w:numFmt w:val="decimal"/>
      <w:lvlText w:val="%7."/>
      <w:lvlJc w:val="left"/>
      <w:pPr>
        <w:ind w:left="5246" w:hanging="360"/>
      </w:pPr>
    </w:lvl>
    <w:lvl w:ilvl="7" w:tplc="08090019" w:tentative="1">
      <w:start w:val="1"/>
      <w:numFmt w:val="lowerLetter"/>
      <w:lvlText w:val="%8."/>
      <w:lvlJc w:val="left"/>
      <w:pPr>
        <w:ind w:left="5966" w:hanging="360"/>
      </w:pPr>
    </w:lvl>
    <w:lvl w:ilvl="8" w:tplc="0809001B" w:tentative="1">
      <w:start w:val="1"/>
      <w:numFmt w:val="lowerRoman"/>
      <w:lvlText w:val="%9."/>
      <w:lvlJc w:val="right"/>
      <w:pPr>
        <w:ind w:left="6686" w:hanging="180"/>
      </w:pPr>
    </w:lvl>
  </w:abstractNum>
  <w:abstractNum w:abstractNumId="73" w15:restartNumberingAfterBreak="0">
    <w:nsid w:val="2CFA3D0D"/>
    <w:multiLevelType w:val="hybridMultilevel"/>
    <w:tmpl w:val="C86A2D9E"/>
    <w:lvl w:ilvl="0" w:tplc="FFFFFFFF">
      <w:start w:val="1"/>
      <w:numFmt w:val="lowerLetter"/>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4" w15:restartNumberingAfterBreak="0">
    <w:nsid w:val="2D3C0911"/>
    <w:multiLevelType w:val="hybridMultilevel"/>
    <w:tmpl w:val="C86A2D9E"/>
    <w:lvl w:ilvl="0" w:tplc="FFFFFFFF">
      <w:start w:val="1"/>
      <w:numFmt w:val="lowerLetter"/>
      <w:lvlText w:val="%1)"/>
      <w:lvlJc w:val="left"/>
      <w:pPr>
        <w:ind w:left="360" w:hanging="360"/>
      </w:pPr>
      <w:rPr>
        <w:b w:val="0"/>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5" w15:restartNumberingAfterBreak="0">
    <w:nsid w:val="2D7053F1"/>
    <w:multiLevelType w:val="hybridMultilevel"/>
    <w:tmpl w:val="C86A2D9E"/>
    <w:lvl w:ilvl="0" w:tplc="FFFFFFFF">
      <w:start w:val="1"/>
      <w:numFmt w:val="lowerLetter"/>
      <w:lvlText w:val="%1)"/>
      <w:lvlJc w:val="left"/>
      <w:pPr>
        <w:ind w:left="360" w:hanging="360"/>
      </w:pPr>
      <w:rPr>
        <w:b w:val="0"/>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6" w15:restartNumberingAfterBreak="0">
    <w:nsid w:val="2DA66F75"/>
    <w:multiLevelType w:val="hybridMultilevel"/>
    <w:tmpl w:val="C86A2D9E"/>
    <w:lvl w:ilvl="0" w:tplc="FFFFFFFF">
      <w:start w:val="1"/>
      <w:numFmt w:val="lowerLetter"/>
      <w:lvlText w:val="%1)"/>
      <w:lvlJc w:val="left"/>
      <w:pPr>
        <w:ind w:left="360" w:hanging="360"/>
      </w:pPr>
      <w:rPr>
        <w:b w:val="0"/>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7" w15:restartNumberingAfterBreak="0">
    <w:nsid w:val="2DE736BE"/>
    <w:multiLevelType w:val="hybridMultilevel"/>
    <w:tmpl w:val="C86A2D9E"/>
    <w:lvl w:ilvl="0" w:tplc="FFFFFFFF">
      <w:start w:val="1"/>
      <w:numFmt w:val="lowerLetter"/>
      <w:lvlText w:val="%1)"/>
      <w:lvlJc w:val="left"/>
      <w:pPr>
        <w:ind w:left="360" w:hanging="360"/>
      </w:pPr>
      <w:rPr>
        <w:b w:val="0"/>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8" w15:restartNumberingAfterBreak="0">
    <w:nsid w:val="2E0B0ECE"/>
    <w:multiLevelType w:val="hybridMultilevel"/>
    <w:tmpl w:val="73E0D8B0"/>
    <w:lvl w:ilvl="0" w:tplc="08160017">
      <w:start w:val="1"/>
      <w:numFmt w:val="lowerLetter"/>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79" w15:restartNumberingAfterBreak="0">
    <w:nsid w:val="2F8427C3"/>
    <w:multiLevelType w:val="hybridMultilevel"/>
    <w:tmpl w:val="7BEC88CA"/>
    <w:lvl w:ilvl="0" w:tplc="1D9AE2A4">
      <w:start w:val="1"/>
      <w:numFmt w:val="decimal"/>
      <w:pStyle w:val="Clause"/>
      <w:lvlText w:val="(%1)"/>
      <w:lvlJc w:val="left"/>
      <w:pPr>
        <w:ind w:left="0" w:firstLine="0"/>
      </w:pPr>
      <w:rPr>
        <w:rFonts w:ascii="Cambria" w:hAnsi="Cambria" w:hint="default"/>
        <w:b w:val="0"/>
        <w:bCs/>
        <w:strike w:val="0"/>
        <w:color w:val="000000" w:themeColor="text1"/>
        <w:sz w:val="22"/>
        <w:szCs w:val="22"/>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0" w15:restartNumberingAfterBreak="0">
    <w:nsid w:val="310414C3"/>
    <w:multiLevelType w:val="hybridMultilevel"/>
    <w:tmpl w:val="2A8A5960"/>
    <w:lvl w:ilvl="0" w:tplc="1EAE3AF6">
      <w:start w:val="1"/>
      <w:numFmt w:val="decimal"/>
      <w:pStyle w:val="ListNumber2"/>
      <w:lvlText w:val="%1)"/>
      <w:lvlJc w:val="left"/>
      <w:pPr>
        <w:ind w:left="643" w:hanging="360"/>
      </w:p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81" w15:restartNumberingAfterBreak="0">
    <w:nsid w:val="314F69FB"/>
    <w:multiLevelType w:val="hybridMultilevel"/>
    <w:tmpl w:val="289C3568"/>
    <w:lvl w:ilvl="0" w:tplc="08160017">
      <w:start w:val="1"/>
      <w:numFmt w:val="lowerLetter"/>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82" w15:restartNumberingAfterBreak="0">
    <w:nsid w:val="3155368D"/>
    <w:multiLevelType w:val="hybridMultilevel"/>
    <w:tmpl w:val="DF543428"/>
    <w:lvl w:ilvl="0" w:tplc="08160017">
      <w:start w:val="1"/>
      <w:numFmt w:val="lowerLetter"/>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83" w15:restartNumberingAfterBreak="0">
    <w:nsid w:val="33AC7EB8"/>
    <w:multiLevelType w:val="multilevel"/>
    <w:tmpl w:val="C6FEB278"/>
    <w:lvl w:ilvl="0">
      <w:start w:val="1"/>
      <w:numFmt w:val="decimal"/>
      <w:pStyle w:val="Heading1"/>
      <w:lvlText w:val="%1"/>
      <w:lvlJc w:val="left"/>
      <w:pPr>
        <w:tabs>
          <w:tab w:val="num" w:pos="432"/>
        </w:tabs>
        <w:ind w:left="403" w:hanging="403"/>
      </w:pPr>
      <w:rPr>
        <w:rFonts w:hint="default"/>
        <w:b/>
        <w:i w:val="0"/>
      </w:rPr>
    </w:lvl>
    <w:lvl w:ilvl="1">
      <w:start w:val="1"/>
      <w:numFmt w:val="decimal"/>
      <w:pStyle w:val="Heading2"/>
      <w:lvlText w:val="%1.%2"/>
      <w:lvlJc w:val="left"/>
      <w:pPr>
        <w:tabs>
          <w:tab w:val="num" w:pos="4896"/>
        </w:tabs>
        <w:ind w:left="5075" w:hanging="539"/>
      </w:pPr>
      <w:rPr>
        <w:rFonts w:hint="default"/>
        <w:b/>
        <w:i w:val="0"/>
      </w:rPr>
    </w:lvl>
    <w:lvl w:ilvl="2">
      <w:start w:val="1"/>
      <w:numFmt w:val="decimal"/>
      <w:pStyle w:val="Heading3"/>
      <w:lvlText w:val="%1.%2.%3"/>
      <w:lvlJc w:val="left"/>
      <w:pPr>
        <w:tabs>
          <w:tab w:val="num" w:pos="720"/>
        </w:tabs>
        <w:ind w:left="658" w:hanging="658"/>
      </w:pPr>
      <w:rPr>
        <w:rFonts w:hint="default"/>
        <w:b/>
        <w:i w:val="0"/>
      </w:rPr>
    </w:lvl>
    <w:lvl w:ilvl="3">
      <w:start w:val="1"/>
      <w:numFmt w:val="decimal"/>
      <w:pStyle w:val="Heading4"/>
      <w:lvlText w:val="%1.%2.%3.%4"/>
      <w:lvlJc w:val="left"/>
      <w:pPr>
        <w:tabs>
          <w:tab w:val="num" w:pos="1080"/>
        </w:tabs>
        <w:ind w:left="941" w:hanging="941"/>
      </w:pPr>
      <w:rPr>
        <w:rFonts w:hint="default"/>
        <w:b/>
        <w:i w:val="0"/>
      </w:rPr>
    </w:lvl>
    <w:lvl w:ilvl="4">
      <w:start w:val="1"/>
      <w:numFmt w:val="decimal"/>
      <w:pStyle w:val="Heading5"/>
      <w:lvlText w:val="%1.%2.%3.%4.%5"/>
      <w:lvlJc w:val="left"/>
      <w:pPr>
        <w:tabs>
          <w:tab w:val="num" w:pos="1080"/>
        </w:tabs>
        <w:ind w:left="1077" w:hanging="1077"/>
      </w:pPr>
      <w:rPr>
        <w:rFonts w:hint="default"/>
        <w:b/>
        <w:i w:val="0"/>
      </w:rPr>
    </w:lvl>
    <w:lvl w:ilvl="5">
      <w:start w:val="1"/>
      <w:numFmt w:val="decimal"/>
      <w:pStyle w:val="Heading6"/>
      <w:lvlText w:val="%1.%2.%3.%4.%5.%6"/>
      <w:lvlJc w:val="left"/>
      <w:pPr>
        <w:tabs>
          <w:tab w:val="num" w:pos="1440"/>
        </w:tabs>
        <w:ind w:left="1191" w:hanging="1191"/>
      </w:pPr>
      <w:rPr>
        <w:rFonts w:hint="default"/>
        <w:b/>
        <w:i w:val="0"/>
      </w:rPr>
    </w:lvl>
    <w:lvl w:ilvl="6">
      <w:start w:val="1"/>
      <w:numFmt w:val="decimal"/>
      <w:pStyle w:val="Heading7"/>
      <w:lvlText w:val="%1.%2.%3.%4.%5.%6.%7"/>
      <w:lvlJc w:val="left"/>
      <w:pPr>
        <w:tabs>
          <w:tab w:val="num" w:pos="1440"/>
        </w:tabs>
        <w:ind w:left="1304" w:hanging="1304"/>
      </w:pPr>
      <w:rPr>
        <w:rFonts w:hint="default"/>
      </w:rPr>
    </w:lvl>
    <w:lvl w:ilvl="7">
      <w:start w:val="1"/>
      <w:numFmt w:val="decimal"/>
      <w:pStyle w:val="Heading8"/>
      <w:lvlText w:val="%1.%2.%3.%4.%5.%6.%7.%8"/>
      <w:lvlJc w:val="left"/>
      <w:pPr>
        <w:tabs>
          <w:tab w:val="num" w:pos="1800"/>
        </w:tabs>
        <w:ind w:left="1418" w:hanging="1418"/>
      </w:pPr>
      <w:rPr>
        <w:rFonts w:hint="default"/>
      </w:rPr>
    </w:lvl>
    <w:lvl w:ilvl="8">
      <w:start w:val="1"/>
      <w:numFmt w:val="decimal"/>
      <w:pStyle w:val="Heading9"/>
      <w:lvlText w:val="%1.%2.%3.%4.%5.%6.%7.%8.%9"/>
      <w:lvlJc w:val="left"/>
      <w:pPr>
        <w:tabs>
          <w:tab w:val="num" w:pos="1800"/>
        </w:tabs>
        <w:ind w:left="1531" w:hanging="1531"/>
      </w:pPr>
      <w:rPr>
        <w:rFonts w:hint="default"/>
      </w:rPr>
    </w:lvl>
  </w:abstractNum>
  <w:abstractNum w:abstractNumId="84" w15:restartNumberingAfterBreak="0">
    <w:nsid w:val="34863FF0"/>
    <w:multiLevelType w:val="hybridMultilevel"/>
    <w:tmpl w:val="48A453EA"/>
    <w:lvl w:ilvl="0" w:tplc="08160017">
      <w:start w:val="1"/>
      <w:numFmt w:val="lowerLetter"/>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85" w15:restartNumberingAfterBreak="0">
    <w:nsid w:val="366B5340"/>
    <w:multiLevelType w:val="hybridMultilevel"/>
    <w:tmpl w:val="C86A2D9E"/>
    <w:lvl w:ilvl="0" w:tplc="FFFFFFFF">
      <w:start w:val="1"/>
      <w:numFmt w:val="lowerLetter"/>
      <w:lvlText w:val="%1)"/>
      <w:lvlJc w:val="left"/>
      <w:pPr>
        <w:ind w:left="360" w:hanging="360"/>
      </w:pPr>
      <w:rPr>
        <w:b w:val="0"/>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6" w15:restartNumberingAfterBreak="0">
    <w:nsid w:val="37520C68"/>
    <w:multiLevelType w:val="hybridMultilevel"/>
    <w:tmpl w:val="48A453EA"/>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7" w15:restartNumberingAfterBreak="0">
    <w:nsid w:val="3866687D"/>
    <w:multiLevelType w:val="hybridMultilevel"/>
    <w:tmpl w:val="8AECE3D0"/>
    <w:lvl w:ilvl="0" w:tplc="CD68A71E">
      <w:start w:val="1"/>
      <w:numFmt w:val="bullet"/>
      <w:lvlText w:val=""/>
      <w:lvlJc w:val="left"/>
      <w:pPr>
        <w:ind w:left="720" w:hanging="360"/>
      </w:pPr>
      <w:rPr>
        <w:rFonts w:ascii="Symbol" w:hAnsi="Symbol" w:hint="default"/>
      </w:rPr>
    </w:lvl>
    <w:lvl w:ilvl="1" w:tplc="CD68A71E">
      <w:start w:val="1"/>
      <w:numFmt w:val="bullet"/>
      <w:lvlText w:val=""/>
      <w:lvlJc w:val="left"/>
      <w:pPr>
        <w:ind w:left="72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8" w15:restartNumberingAfterBreak="0">
    <w:nsid w:val="387D4433"/>
    <w:multiLevelType w:val="hybridMultilevel"/>
    <w:tmpl w:val="A614FD4C"/>
    <w:lvl w:ilvl="0" w:tplc="EF3C7EC6">
      <w:start w:val="1"/>
      <w:numFmt w:val="decimal"/>
      <w:lvlText w:val="%1)"/>
      <w:lvlJc w:val="right"/>
      <w:pPr>
        <w:ind w:left="854" w:hanging="400"/>
      </w:pPr>
      <w:rPr>
        <w:rFonts w:ascii="Cambria" w:eastAsia="Calibri" w:hAnsi="Cambria" w:cs="Times New Roman"/>
      </w:rPr>
    </w:lvl>
    <w:lvl w:ilvl="1" w:tplc="5790884C">
      <w:start w:val="1"/>
      <w:numFmt w:val="bullet"/>
      <w:lvlText w:val="—"/>
      <w:lvlJc w:val="left"/>
      <w:pPr>
        <w:ind w:left="1254" w:hanging="400"/>
      </w:pPr>
      <w:rPr>
        <w:rFonts w:ascii="Cambria" w:hAnsi="Cambria"/>
      </w:rPr>
    </w:lvl>
    <w:lvl w:ilvl="2" w:tplc="3A4240EC">
      <w:start w:val="1"/>
      <w:numFmt w:val="bullet"/>
      <w:lvlText w:val="—"/>
      <w:lvlJc w:val="left"/>
      <w:pPr>
        <w:ind w:left="1654" w:hanging="400"/>
      </w:pPr>
      <w:rPr>
        <w:rFonts w:ascii="Cambria" w:hAnsi="Cambria"/>
      </w:rPr>
    </w:lvl>
    <w:lvl w:ilvl="3" w:tplc="FB5449C8">
      <w:start w:val="1"/>
      <w:numFmt w:val="bullet"/>
      <w:lvlText w:val="—"/>
      <w:lvlJc w:val="left"/>
      <w:pPr>
        <w:ind w:left="2054" w:hanging="400"/>
      </w:pPr>
      <w:rPr>
        <w:rFonts w:ascii="Cambria" w:hAnsi="Cambria"/>
      </w:rPr>
    </w:lvl>
    <w:lvl w:ilvl="4" w:tplc="F2E61322">
      <w:start w:val="1"/>
      <w:numFmt w:val="bullet"/>
      <w:lvlText w:val=" "/>
      <w:lvlJc w:val="left"/>
      <w:pPr>
        <w:ind w:left="454" w:firstLine="0"/>
      </w:pPr>
    </w:lvl>
    <w:lvl w:ilvl="5" w:tplc="75F828A0">
      <w:start w:val="1"/>
      <w:numFmt w:val="bullet"/>
      <w:lvlText w:val=" "/>
      <w:lvlJc w:val="left"/>
      <w:pPr>
        <w:ind w:left="454" w:firstLine="0"/>
      </w:pPr>
    </w:lvl>
    <w:lvl w:ilvl="6" w:tplc="F0BCEDCC">
      <w:start w:val="1"/>
      <w:numFmt w:val="none"/>
      <w:suff w:val="nothing"/>
      <w:lvlText w:val=""/>
      <w:lvlJc w:val="left"/>
      <w:pPr>
        <w:ind w:left="454" w:firstLine="0"/>
      </w:pPr>
    </w:lvl>
    <w:lvl w:ilvl="7" w:tplc="3BF0C4C4">
      <w:start w:val="1"/>
      <w:numFmt w:val="none"/>
      <w:suff w:val="nothing"/>
      <w:lvlText w:val=""/>
      <w:lvlJc w:val="left"/>
      <w:pPr>
        <w:ind w:left="454" w:firstLine="0"/>
      </w:pPr>
    </w:lvl>
    <w:lvl w:ilvl="8" w:tplc="26D0862A">
      <w:start w:val="1"/>
      <w:numFmt w:val="none"/>
      <w:suff w:val="nothing"/>
      <w:lvlText w:val=""/>
      <w:lvlJc w:val="left"/>
      <w:pPr>
        <w:ind w:left="454" w:firstLine="0"/>
      </w:pPr>
    </w:lvl>
  </w:abstractNum>
  <w:abstractNum w:abstractNumId="89" w15:restartNumberingAfterBreak="0">
    <w:nsid w:val="3B0A26E6"/>
    <w:multiLevelType w:val="hybridMultilevel"/>
    <w:tmpl w:val="07327E22"/>
    <w:lvl w:ilvl="0" w:tplc="08160017">
      <w:start w:val="1"/>
      <w:numFmt w:val="lowerLetter"/>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90" w15:restartNumberingAfterBreak="0">
    <w:nsid w:val="3BA7330B"/>
    <w:multiLevelType w:val="hybridMultilevel"/>
    <w:tmpl w:val="C86A2D9E"/>
    <w:lvl w:ilvl="0" w:tplc="FFFFFFFF">
      <w:start w:val="1"/>
      <w:numFmt w:val="lowerLetter"/>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1" w15:restartNumberingAfterBreak="0">
    <w:nsid w:val="3D510254"/>
    <w:multiLevelType w:val="hybridMultilevel"/>
    <w:tmpl w:val="EC5293AE"/>
    <w:lvl w:ilvl="0" w:tplc="08160017">
      <w:start w:val="1"/>
      <w:numFmt w:val="lowerLetter"/>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92" w15:restartNumberingAfterBreak="0">
    <w:nsid w:val="40A24336"/>
    <w:multiLevelType w:val="hybridMultilevel"/>
    <w:tmpl w:val="4D7030D8"/>
    <w:lvl w:ilvl="0" w:tplc="08160017">
      <w:start w:val="1"/>
      <w:numFmt w:val="lowerLetter"/>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93" w15:restartNumberingAfterBreak="0">
    <w:nsid w:val="42CA05C3"/>
    <w:multiLevelType w:val="multilevel"/>
    <w:tmpl w:val="F0021BF6"/>
    <w:lvl w:ilvl="0">
      <w:start w:val="1"/>
      <w:numFmt w:val="upperLetter"/>
      <w:pStyle w:val="ANNEXZ"/>
      <w:suff w:val="nothing"/>
      <w:lvlText w:val="Annex Z%1"/>
      <w:lvlJc w:val="left"/>
      <w:rPr>
        <w:rFonts w:ascii="Cambria" w:hAnsi="Cambria" w:cs="Times New Roman" w:hint="default"/>
        <w:b/>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za2"/>
      <w:lvlText w:val="Z%1.%2"/>
      <w:lvlJc w:val="left"/>
      <w:rPr>
        <w:rFonts w:ascii="Cambria" w:hAnsi="Cambria" w:cs="Times New Roman" w:hint="default"/>
        <w:b/>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za3"/>
      <w:lvlText w:val="Z%1.%2.%3"/>
      <w:lvlJc w:val="left"/>
      <w:rPr>
        <w:rFonts w:ascii="Cambria" w:hAnsi="Cambria" w:cs="Times New Roman" w:hint="default"/>
        <w:b/>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za4"/>
      <w:lvlText w:val="Z%1.%2.%3.%4"/>
      <w:lvlJc w:val="left"/>
      <w:rPr>
        <w:rFonts w:ascii="Cambria" w:hAnsi="Cambria"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za5"/>
      <w:lvlText w:val="Z%1.%2.%3.%4.%5"/>
      <w:lvlJc w:val="left"/>
      <w:rPr>
        <w:rFonts w:ascii="Cambria" w:hAnsi="Cambria"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za6"/>
      <w:lvlText w:val="Z%1.%2.%3.%4.%5.%6"/>
      <w:lvlJc w:val="left"/>
      <w:rPr>
        <w:rFonts w:ascii="Cambria" w:hAnsi="Cambria"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lvlRestart w:val="1"/>
      <w:suff w:val="space"/>
      <w:lvlText w:val="Figure %1.%7 —"/>
      <w:lvlJc w:val="left"/>
      <w:pPr>
        <w:ind w:left="0" w:firstLine="0"/>
      </w:pPr>
      <w:rPr>
        <w:rFonts w:cs="Times New Roman" w:hint="default"/>
      </w:rPr>
    </w:lvl>
    <w:lvl w:ilvl="7">
      <w:start w:val="1"/>
      <w:numFmt w:val="decimal"/>
      <w:lvlRestart w:val="1"/>
      <w:suff w:val="space"/>
      <w:lvlText w:val="Table %1.%8 —"/>
      <w:lvlJc w:val="left"/>
      <w:pPr>
        <w:ind w:left="0" w:firstLine="0"/>
      </w:pPr>
      <w:rPr>
        <w:rFonts w:cs="Times New Roman" w:hint="default"/>
      </w:rPr>
    </w:lvl>
    <w:lvl w:ilvl="8">
      <w:start w:val="1"/>
      <w:numFmt w:val="lowerRoman"/>
      <w:lvlText w:val="(%9)"/>
      <w:lvlJc w:val="left"/>
      <w:pPr>
        <w:tabs>
          <w:tab w:val="num" w:pos="6120"/>
        </w:tabs>
        <w:ind w:left="0" w:firstLine="0"/>
      </w:pPr>
      <w:rPr>
        <w:rFonts w:cs="Times New Roman" w:hint="default"/>
      </w:rPr>
    </w:lvl>
  </w:abstractNum>
  <w:abstractNum w:abstractNumId="94" w15:restartNumberingAfterBreak="0">
    <w:nsid w:val="4380357C"/>
    <w:multiLevelType w:val="hybridMultilevel"/>
    <w:tmpl w:val="43440DD2"/>
    <w:lvl w:ilvl="0" w:tplc="08160017">
      <w:start w:val="1"/>
      <w:numFmt w:val="lowerLetter"/>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95" w15:restartNumberingAfterBreak="0">
    <w:nsid w:val="43BA00E2"/>
    <w:multiLevelType w:val="hybridMultilevel"/>
    <w:tmpl w:val="0FBE52B4"/>
    <w:lvl w:ilvl="0" w:tplc="08160017">
      <w:start w:val="1"/>
      <w:numFmt w:val="lowerLetter"/>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96" w15:restartNumberingAfterBreak="0">
    <w:nsid w:val="442869EC"/>
    <w:multiLevelType w:val="hybridMultilevel"/>
    <w:tmpl w:val="ABBCF3FA"/>
    <w:lvl w:ilvl="0" w:tplc="08160017">
      <w:start w:val="1"/>
      <w:numFmt w:val="lowerLetter"/>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97" w15:restartNumberingAfterBreak="0">
    <w:nsid w:val="44A53015"/>
    <w:multiLevelType w:val="hybridMultilevel"/>
    <w:tmpl w:val="48A453EA"/>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8" w15:restartNumberingAfterBreak="0">
    <w:nsid w:val="44B21407"/>
    <w:multiLevelType w:val="hybridMultilevel"/>
    <w:tmpl w:val="FD5651BA"/>
    <w:lvl w:ilvl="0" w:tplc="08160017">
      <w:start w:val="1"/>
      <w:numFmt w:val="lowerLetter"/>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99" w15:restartNumberingAfterBreak="0">
    <w:nsid w:val="457131D1"/>
    <w:multiLevelType w:val="hybridMultilevel"/>
    <w:tmpl w:val="C86A2D9E"/>
    <w:lvl w:ilvl="0" w:tplc="FFFFFFFF">
      <w:start w:val="1"/>
      <w:numFmt w:val="lowerLetter"/>
      <w:lvlText w:val="%1)"/>
      <w:lvlJc w:val="left"/>
      <w:pPr>
        <w:ind w:left="360" w:hanging="360"/>
      </w:pPr>
      <w:rPr>
        <w:b w:val="0"/>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0" w15:restartNumberingAfterBreak="0">
    <w:nsid w:val="45830340"/>
    <w:multiLevelType w:val="hybridMultilevel"/>
    <w:tmpl w:val="A95A7ADC"/>
    <w:lvl w:ilvl="0" w:tplc="08160017">
      <w:start w:val="1"/>
      <w:numFmt w:val="lowerLetter"/>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01" w15:restartNumberingAfterBreak="0">
    <w:nsid w:val="45B56FB9"/>
    <w:multiLevelType w:val="hybridMultilevel"/>
    <w:tmpl w:val="B4FCDCAA"/>
    <w:lvl w:ilvl="0" w:tplc="08160017">
      <w:start w:val="1"/>
      <w:numFmt w:val="lowerLetter"/>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02" w15:restartNumberingAfterBreak="0">
    <w:nsid w:val="46200D7D"/>
    <w:multiLevelType w:val="hybridMultilevel"/>
    <w:tmpl w:val="86004006"/>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3" w15:restartNumberingAfterBreak="0">
    <w:nsid w:val="4635270E"/>
    <w:multiLevelType w:val="hybridMultilevel"/>
    <w:tmpl w:val="1DC8DB32"/>
    <w:lvl w:ilvl="0" w:tplc="08160017">
      <w:start w:val="1"/>
      <w:numFmt w:val="lowerLetter"/>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04" w15:restartNumberingAfterBreak="0">
    <w:nsid w:val="468B7943"/>
    <w:multiLevelType w:val="hybridMultilevel"/>
    <w:tmpl w:val="9FF64AB0"/>
    <w:lvl w:ilvl="0" w:tplc="08160017">
      <w:start w:val="1"/>
      <w:numFmt w:val="lowerLetter"/>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05" w15:restartNumberingAfterBreak="0">
    <w:nsid w:val="46EE6588"/>
    <w:multiLevelType w:val="hybridMultilevel"/>
    <w:tmpl w:val="A316188C"/>
    <w:lvl w:ilvl="0" w:tplc="08160017">
      <w:start w:val="1"/>
      <w:numFmt w:val="lowerLetter"/>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06" w15:restartNumberingAfterBreak="0">
    <w:nsid w:val="475B223B"/>
    <w:multiLevelType w:val="hybridMultilevel"/>
    <w:tmpl w:val="C86A2D9E"/>
    <w:lvl w:ilvl="0" w:tplc="FFFFFFFF">
      <w:start w:val="1"/>
      <w:numFmt w:val="lowerLetter"/>
      <w:lvlText w:val="%1)"/>
      <w:lvlJc w:val="left"/>
      <w:pPr>
        <w:ind w:left="360" w:hanging="360"/>
      </w:pPr>
      <w:rPr>
        <w:b w:val="0"/>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7" w15:restartNumberingAfterBreak="0">
    <w:nsid w:val="49417931"/>
    <w:multiLevelType w:val="hybridMultilevel"/>
    <w:tmpl w:val="C86A2D9E"/>
    <w:lvl w:ilvl="0" w:tplc="7A6E49A4">
      <w:start w:val="1"/>
      <w:numFmt w:val="lowerLetter"/>
      <w:lvlText w:val="%1)"/>
      <w:lvlJc w:val="left"/>
      <w:pPr>
        <w:ind w:left="360" w:hanging="360"/>
      </w:pPr>
      <w:rPr>
        <w:b w:val="0"/>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8" w15:restartNumberingAfterBreak="0">
    <w:nsid w:val="4A600D7B"/>
    <w:multiLevelType w:val="hybridMultilevel"/>
    <w:tmpl w:val="48A453E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9" w15:restartNumberingAfterBreak="0">
    <w:nsid w:val="4B5409BC"/>
    <w:multiLevelType w:val="hybridMultilevel"/>
    <w:tmpl w:val="48A453EA"/>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0" w15:restartNumberingAfterBreak="0">
    <w:nsid w:val="4B6B11BB"/>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1" w15:restartNumberingAfterBreak="0">
    <w:nsid w:val="4BC91D12"/>
    <w:multiLevelType w:val="hybridMultilevel"/>
    <w:tmpl w:val="D7A2F89A"/>
    <w:lvl w:ilvl="0" w:tplc="08160017">
      <w:start w:val="1"/>
      <w:numFmt w:val="lowerLetter"/>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12" w15:restartNumberingAfterBreak="0">
    <w:nsid w:val="4CF80F89"/>
    <w:multiLevelType w:val="hybridMultilevel"/>
    <w:tmpl w:val="C86A2D9E"/>
    <w:lvl w:ilvl="0" w:tplc="FFFFFFFF">
      <w:start w:val="1"/>
      <w:numFmt w:val="lowerLetter"/>
      <w:lvlText w:val="%1)"/>
      <w:lvlJc w:val="left"/>
      <w:pPr>
        <w:ind w:left="360" w:hanging="360"/>
      </w:pPr>
      <w:rPr>
        <w:b w:val="0"/>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3" w15:restartNumberingAfterBreak="0">
    <w:nsid w:val="4F1172FC"/>
    <w:multiLevelType w:val="hybridMultilevel"/>
    <w:tmpl w:val="48A453EA"/>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4" w15:restartNumberingAfterBreak="0">
    <w:nsid w:val="50E471A9"/>
    <w:multiLevelType w:val="hybridMultilevel"/>
    <w:tmpl w:val="86004006"/>
    <w:lvl w:ilvl="0" w:tplc="FFFFFFFF">
      <w:start w:val="1"/>
      <w:numFmt w:val="lowerLetter"/>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15" w15:restartNumberingAfterBreak="0">
    <w:nsid w:val="51323622"/>
    <w:multiLevelType w:val="hybridMultilevel"/>
    <w:tmpl w:val="C86A2D9E"/>
    <w:lvl w:ilvl="0" w:tplc="FFFFFFFF">
      <w:start w:val="1"/>
      <w:numFmt w:val="lowerLetter"/>
      <w:lvlText w:val="%1)"/>
      <w:lvlJc w:val="left"/>
      <w:pPr>
        <w:ind w:left="360" w:hanging="360"/>
      </w:pPr>
      <w:rPr>
        <w:b w:val="0"/>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6" w15:restartNumberingAfterBreak="0">
    <w:nsid w:val="517C5998"/>
    <w:multiLevelType w:val="hybridMultilevel"/>
    <w:tmpl w:val="E85CB19C"/>
    <w:lvl w:ilvl="0" w:tplc="08160017">
      <w:start w:val="1"/>
      <w:numFmt w:val="lowerLetter"/>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17" w15:restartNumberingAfterBreak="0">
    <w:nsid w:val="52067618"/>
    <w:multiLevelType w:val="hybridMultilevel"/>
    <w:tmpl w:val="8744AD16"/>
    <w:lvl w:ilvl="0" w:tplc="08160017">
      <w:start w:val="1"/>
      <w:numFmt w:val="lowerLetter"/>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18" w15:restartNumberingAfterBreak="0">
    <w:nsid w:val="522E7B3C"/>
    <w:multiLevelType w:val="hybridMultilevel"/>
    <w:tmpl w:val="868E8888"/>
    <w:lvl w:ilvl="0" w:tplc="FFFFFFFF">
      <w:start w:val="1"/>
      <w:numFmt w:val="lowerRoman"/>
      <w:lvlText w:val="%1)"/>
      <w:lvlJc w:val="right"/>
      <w:pPr>
        <w:ind w:left="1120" w:hanging="400"/>
      </w:pPr>
    </w:lvl>
    <w:lvl w:ilvl="1" w:tplc="FFFFFFFF">
      <w:start w:val="1"/>
      <w:numFmt w:val="bullet"/>
      <w:lvlText w:val="—"/>
      <w:lvlJc w:val="left"/>
      <w:pPr>
        <w:ind w:left="1520" w:hanging="400"/>
      </w:pPr>
      <w:rPr>
        <w:rFonts w:ascii="Cambria" w:hAnsi="Cambria"/>
      </w:rPr>
    </w:lvl>
    <w:lvl w:ilvl="2" w:tplc="FFFFFFFF">
      <w:start w:val="1"/>
      <w:numFmt w:val="bullet"/>
      <w:lvlText w:val="—"/>
      <w:lvlJc w:val="left"/>
      <w:pPr>
        <w:ind w:left="1920" w:hanging="400"/>
      </w:pPr>
      <w:rPr>
        <w:rFonts w:ascii="Cambria" w:hAnsi="Cambria"/>
      </w:rPr>
    </w:lvl>
    <w:lvl w:ilvl="3" w:tplc="FFFFFFFF">
      <w:start w:val="1"/>
      <w:numFmt w:val="bullet"/>
      <w:lvlText w:val="—"/>
      <w:lvlJc w:val="left"/>
      <w:pPr>
        <w:ind w:left="2320" w:hanging="400"/>
      </w:pPr>
      <w:rPr>
        <w:rFonts w:ascii="Cambria" w:hAnsi="Cambria"/>
      </w:rPr>
    </w:lvl>
    <w:lvl w:ilvl="4" w:tplc="FFFFFFFF">
      <w:start w:val="1"/>
      <w:numFmt w:val="bullet"/>
      <w:lvlText w:val=" "/>
      <w:lvlJc w:val="left"/>
      <w:pPr>
        <w:ind w:left="720" w:firstLine="0"/>
      </w:pPr>
    </w:lvl>
    <w:lvl w:ilvl="5" w:tplc="FFFFFFFF">
      <w:start w:val="1"/>
      <w:numFmt w:val="bullet"/>
      <w:lvlText w:val=" "/>
      <w:lvlJc w:val="left"/>
      <w:pPr>
        <w:ind w:left="720" w:firstLine="0"/>
      </w:pPr>
    </w:lvl>
    <w:lvl w:ilvl="6" w:tplc="FFFFFFFF">
      <w:start w:val="1"/>
      <w:numFmt w:val="none"/>
      <w:suff w:val="nothing"/>
      <w:lvlText w:val=""/>
      <w:lvlJc w:val="left"/>
      <w:pPr>
        <w:ind w:left="720" w:firstLine="0"/>
      </w:pPr>
    </w:lvl>
    <w:lvl w:ilvl="7" w:tplc="FFFFFFFF">
      <w:start w:val="1"/>
      <w:numFmt w:val="none"/>
      <w:suff w:val="nothing"/>
      <w:lvlText w:val=""/>
      <w:lvlJc w:val="left"/>
      <w:pPr>
        <w:ind w:left="720" w:firstLine="0"/>
      </w:pPr>
    </w:lvl>
    <w:lvl w:ilvl="8" w:tplc="FFFFFFFF">
      <w:start w:val="1"/>
      <w:numFmt w:val="none"/>
      <w:suff w:val="nothing"/>
      <w:lvlText w:val=""/>
      <w:lvlJc w:val="left"/>
      <w:pPr>
        <w:ind w:left="720" w:firstLine="0"/>
      </w:pPr>
    </w:lvl>
  </w:abstractNum>
  <w:abstractNum w:abstractNumId="119" w15:restartNumberingAfterBreak="0">
    <w:nsid w:val="523A36D2"/>
    <w:multiLevelType w:val="hybridMultilevel"/>
    <w:tmpl w:val="48A453EA"/>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0" w15:restartNumberingAfterBreak="0">
    <w:nsid w:val="52624F29"/>
    <w:multiLevelType w:val="hybridMultilevel"/>
    <w:tmpl w:val="28548748"/>
    <w:lvl w:ilvl="0" w:tplc="08160017">
      <w:start w:val="1"/>
      <w:numFmt w:val="lowerLetter"/>
      <w:lvlText w:val="%1)"/>
      <w:lvlJc w:val="left"/>
      <w:pPr>
        <w:ind w:left="360" w:hanging="360"/>
      </w:pPr>
    </w:lvl>
    <w:lvl w:ilvl="1" w:tplc="08160019">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21" w15:restartNumberingAfterBreak="0">
    <w:nsid w:val="52B47C54"/>
    <w:multiLevelType w:val="hybridMultilevel"/>
    <w:tmpl w:val="48A453EA"/>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2" w15:restartNumberingAfterBreak="0">
    <w:nsid w:val="531107F3"/>
    <w:multiLevelType w:val="hybridMultilevel"/>
    <w:tmpl w:val="3E70ADD6"/>
    <w:lvl w:ilvl="0" w:tplc="08160017">
      <w:start w:val="1"/>
      <w:numFmt w:val="lowerLetter"/>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23" w15:restartNumberingAfterBreak="0">
    <w:nsid w:val="53BC1F72"/>
    <w:multiLevelType w:val="hybridMultilevel"/>
    <w:tmpl w:val="1DB87604"/>
    <w:lvl w:ilvl="0" w:tplc="08160017">
      <w:start w:val="1"/>
      <w:numFmt w:val="lowerLetter"/>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24" w15:restartNumberingAfterBreak="0">
    <w:nsid w:val="53F367C5"/>
    <w:multiLevelType w:val="hybridMultilevel"/>
    <w:tmpl w:val="C86A2D9E"/>
    <w:lvl w:ilvl="0" w:tplc="FFFFFFFF">
      <w:start w:val="1"/>
      <w:numFmt w:val="lowerLetter"/>
      <w:lvlText w:val="%1)"/>
      <w:lvlJc w:val="left"/>
      <w:pPr>
        <w:ind w:left="360" w:hanging="360"/>
      </w:pPr>
      <w:rPr>
        <w:b w:val="0"/>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5" w15:restartNumberingAfterBreak="0">
    <w:nsid w:val="53F64BBB"/>
    <w:multiLevelType w:val="hybridMultilevel"/>
    <w:tmpl w:val="3572AB86"/>
    <w:lvl w:ilvl="0" w:tplc="08160017">
      <w:start w:val="1"/>
      <w:numFmt w:val="lowerLetter"/>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26" w15:restartNumberingAfterBreak="0">
    <w:nsid w:val="53F81B67"/>
    <w:multiLevelType w:val="hybridMultilevel"/>
    <w:tmpl w:val="C8A2A42C"/>
    <w:lvl w:ilvl="0" w:tplc="08160017">
      <w:start w:val="1"/>
      <w:numFmt w:val="lowerLetter"/>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27" w15:restartNumberingAfterBreak="0">
    <w:nsid w:val="54480F68"/>
    <w:multiLevelType w:val="hybridMultilevel"/>
    <w:tmpl w:val="C86A2D9E"/>
    <w:lvl w:ilvl="0" w:tplc="FFFFFFFF">
      <w:start w:val="1"/>
      <w:numFmt w:val="lowerLetter"/>
      <w:lvlText w:val="%1)"/>
      <w:lvlJc w:val="left"/>
      <w:pPr>
        <w:ind w:left="360" w:hanging="360"/>
      </w:pPr>
      <w:rPr>
        <w:b w:val="0"/>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8" w15:restartNumberingAfterBreak="0">
    <w:nsid w:val="546E4854"/>
    <w:multiLevelType w:val="hybridMultilevel"/>
    <w:tmpl w:val="1A5EC948"/>
    <w:lvl w:ilvl="0" w:tplc="08160017">
      <w:start w:val="1"/>
      <w:numFmt w:val="lowerLetter"/>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29" w15:restartNumberingAfterBreak="0">
    <w:nsid w:val="55810A0B"/>
    <w:multiLevelType w:val="hybridMultilevel"/>
    <w:tmpl w:val="48A453EA"/>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0" w15:restartNumberingAfterBreak="0">
    <w:nsid w:val="55A26176"/>
    <w:multiLevelType w:val="hybridMultilevel"/>
    <w:tmpl w:val="8084ED08"/>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31" w15:restartNumberingAfterBreak="0">
    <w:nsid w:val="56553CC9"/>
    <w:multiLevelType w:val="hybridMultilevel"/>
    <w:tmpl w:val="08003A86"/>
    <w:lvl w:ilvl="0" w:tplc="08090011">
      <w:start w:val="1"/>
      <w:numFmt w:val="decimal"/>
      <w:lvlText w:val="%1)"/>
      <w:lvlJc w:val="left"/>
      <w:pPr>
        <w:ind w:left="720" w:hanging="360"/>
      </w:p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32" w15:restartNumberingAfterBreak="0">
    <w:nsid w:val="58B427D8"/>
    <w:multiLevelType w:val="multilevel"/>
    <w:tmpl w:val="8FF0667E"/>
    <w:lvl w:ilvl="0">
      <w:start w:val="1"/>
      <w:numFmt w:val="upperLetter"/>
      <w:pStyle w:val="ANNEXZZ"/>
      <w:suff w:val="nothing"/>
      <w:lvlText w:val="Annex ZZ%1"/>
      <w:lvlJc w:val="left"/>
      <w:pPr>
        <w:ind w:left="0" w:firstLine="0"/>
      </w:pPr>
      <w:rPr>
        <w:rFonts w:ascii="Cambria" w:hAnsi="Cambria" w:cs="Times New Roman" w:hint="default"/>
        <w:b/>
        <w:bCs w:val="0"/>
        <w:i w:val="0"/>
        <w:iCs w:val="0"/>
        <w:caps w:val="0"/>
        <w:strike w:val="0"/>
        <w:dstrike w:val="0"/>
        <w:outline w:val="0"/>
        <w:shadow w:val="0"/>
        <w:emboss w:val="0"/>
        <w:imprint w:val="0"/>
        <w:vanish w:val="0"/>
        <w:spacing w:val="0"/>
        <w:kern w:val="0"/>
        <w:position w:val="0"/>
        <w:sz w:val="28"/>
        <w:u w:val="none"/>
        <w:effect w:val="none"/>
        <w:vertAlign w:val="baseline"/>
        <w:em w:val="none"/>
      </w:rPr>
    </w:lvl>
    <w:lvl w:ilvl="1">
      <w:start w:val="1"/>
      <w:numFmt w:val="decimal"/>
      <w:pStyle w:val="zza2"/>
      <w:lvlText w:val="ZZ%1.%2"/>
      <w:lvlJc w:val="left"/>
      <w:pPr>
        <w:tabs>
          <w:tab w:val="num" w:pos="0"/>
        </w:tabs>
        <w:ind w:left="0" w:firstLine="0"/>
      </w:pPr>
      <w:rPr>
        <w:rFonts w:ascii="Cambria" w:hAnsi="Cambria" w:cs="Times New Roman" w:hint="default"/>
        <w:b/>
        <w:bCs w:val="0"/>
        <w:i w:val="0"/>
        <w:iCs w:val="0"/>
        <w:caps w:val="0"/>
        <w:smallCaps w:val="0"/>
        <w:strike w:val="0"/>
        <w:dstrike w:val="0"/>
        <w:outline w:val="0"/>
        <w:shadow w:val="0"/>
        <w:emboss w:val="0"/>
        <w:imprint w:val="0"/>
        <w:vanish w:val="0"/>
        <w:spacing w:val="0"/>
        <w:kern w:val="0"/>
        <w:position w:val="0"/>
        <w:sz w:val="24"/>
        <w:u w:val="none"/>
        <w:effect w:val="none"/>
        <w:vertAlign w:val="baseline"/>
        <w:em w:val="none"/>
      </w:rPr>
    </w:lvl>
    <w:lvl w:ilvl="2">
      <w:start w:val="1"/>
      <w:numFmt w:val="decimal"/>
      <w:pStyle w:val="zza3"/>
      <w:lvlText w:val="ZZ%1.%2.%3"/>
      <w:lvlJc w:val="left"/>
      <w:pPr>
        <w:tabs>
          <w:tab w:val="num" w:pos="794"/>
        </w:tabs>
        <w:ind w:left="0" w:firstLine="0"/>
      </w:pPr>
      <w:rPr>
        <w:rFonts w:ascii="Cambria" w:hAnsi="Cambria" w:cs="Times New Roman" w:hint="default"/>
        <w:b/>
        <w:bCs w:val="0"/>
        <w:i w:val="0"/>
        <w:iCs w:val="0"/>
        <w:caps w:val="0"/>
        <w:smallCaps w:val="0"/>
        <w:strike w:val="0"/>
        <w:dstrike w:val="0"/>
        <w:outline w:val="0"/>
        <w:shadow w:val="0"/>
        <w:emboss w:val="0"/>
        <w:imprint w:val="0"/>
        <w:vanish w:val="0"/>
        <w:spacing w:val="0"/>
        <w:kern w:val="0"/>
        <w:position w:val="0"/>
        <w:sz w:val="22"/>
        <w:u w:val="none"/>
        <w:effect w:val="none"/>
        <w:vertAlign w:val="baseline"/>
        <w:em w:val="none"/>
      </w:rPr>
    </w:lvl>
    <w:lvl w:ilvl="3">
      <w:start w:val="1"/>
      <w:numFmt w:val="decimal"/>
      <w:lvlText w:val="Z%1.%2.%3.%4"/>
      <w:lvlJc w:val="left"/>
      <w:pPr>
        <w:tabs>
          <w:tab w:val="num" w:pos="1080"/>
        </w:tabs>
        <w:ind w:left="0" w:firstLine="0"/>
      </w:pPr>
      <w:rPr>
        <w:rFonts w:ascii="Arial" w:hAnsi="Arial" w:cs="Times New Roman" w:hint="default"/>
        <w:b/>
        <w:i w:val="0"/>
      </w:rPr>
    </w:lvl>
    <w:lvl w:ilvl="4">
      <w:start w:val="1"/>
      <w:numFmt w:val="decimal"/>
      <w:lvlText w:val="Z%1.%2.%3.%4.%5"/>
      <w:lvlJc w:val="left"/>
      <w:pPr>
        <w:tabs>
          <w:tab w:val="num" w:pos="1080"/>
        </w:tabs>
        <w:ind w:left="0" w:firstLine="0"/>
      </w:pPr>
      <w:rPr>
        <w:rFonts w:cs="Times New Roman"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5">
      <w:start w:val="1"/>
      <w:numFmt w:val="decimal"/>
      <w:lvlText w:val="Z%1.%2.%3.%4.%5.%6"/>
      <w:lvlJc w:val="left"/>
      <w:pPr>
        <w:tabs>
          <w:tab w:val="num" w:pos="1440"/>
        </w:tabs>
        <w:ind w:left="0" w:firstLine="0"/>
      </w:pPr>
      <w:rPr>
        <w:rFonts w:cs="Times New Roman"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6">
      <w:start w:val="1"/>
      <w:numFmt w:val="decimal"/>
      <w:lvlRestart w:val="1"/>
      <w:suff w:val="space"/>
      <w:lvlText w:val="Figure %1.%7 —"/>
      <w:lvlJc w:val="left"/>
      <w:pPr>
        <w:ind w:left="0" w:firstLine="0"/>
      </w:pPr>
      <w:rPr>
        <w:rFonts w:cs="Times New Roman" w:hint="default"/>
      </w:rPr>
    </w:lvl>
    <w:lvl w:ilvl="7">
      <w:start w:val="1"/>
      <w:numFmt w:val="decimal"/>
      <w:lvlRestart w:val="1"/>
      <w:suff w:val="space"/>
      <w:lvlText w:val="Table %1.%8 —"/>
      <w:lvlJc w:val="left"/>
      <w:pPr>
        <w:ind w:left="0" w:firstLine="0"/>
      </w:pPr>
      <w:rPr>
        <w:rFonts w:cs="Times New Roman" w:hint="default"/>
      </w:rPr>
    </w:lvl>
    <w:lvl w:ilvl="8">
      <w:start w:val="1"/>
      <w:numFmt w:val="lowerRoman"/>
      <w:lvlText w:val="(%9)"/>
      <w:lvlJc w:val="left"/>
      <w:pPr>
        <w:tabs>
          <w:tab w:val="num" w:pos="6120"/>
        </w:tabs>
        <w:ind w:left="0" w:firstLine="0"/>
      </w:pPr>
      <w:rPr>
        <w:rFonts w:cs="Times New Roman" w:hint="default"/>
      </w:rPr>
    </w:lvl>
  </w:abstractNum>
  <w:abstractNum w:abstractNumId="133" w15:restartNumberingAfterBreak="0">
    <w:nsid w:val="598161B5"/>
    <w:multiLevelType w:val="hybridMultilevel"/>
    <w:tmpl w:val="335255C4"/>
    <w:lvl w:ilvl="0" w:tplc="08160017">
      <w:start w:val="1"/>
      <w:numFmt w:val="lowerLetter"/>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34" w15:restartNumberingAfterBreak="0">
    <w:nsid w:val="59816F3C"/>
    <w:multiLevelType w:val="hybridMultilevel"/>
    <w:tmpl w:val="50DC5742"/>
    <w:lvl w:ilvl="0" w:tplc="08160017">
      <w:start w:val="1"/>
      <w:numFmt w:val="lowerLetter"/>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35" w15:restartNumberingAfterBreak="0">
    <w:nsid w:val="5B1B5F6B"/>
    <w:multiLevelType w:val="hybridMultilevel"/>
    <w:tmpl w:val="C164946C"/>
    <w:lvl w:ilvl="0" w:tplc="08160017">
      <w:start w:val="1"/>
      <w:numFmt w:val="lowerLetter"/>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36" w15:restartNumberingAfterBreak="0">
    <w:nsid w:val="5BC9045C"/>
    <w:multiLevelType w:val="hybridMultilevel"/>
    <w:tmpl w:val="C86A2D9E"/>
    <w:lvl w:ilvl="0" w:tplc="FFFFFFFF">
      <w:start w:val="1"/>
      <w:numFmt w:val="lowerLetter"/>
      <w:lvlText w:val="%1)"/>
      <w:lvlJc w:val="left"/>
      <w:pPr>
        <w:ind w:left="360" w:hanging="360"/>
      </w:pPr>
      <w:rPr>
        <w:b w:val="0"/>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7" w15:restartNumberingAfterBreak="0">
    <w:nsid w:val="5C480C29"/>
    <w:multiLevelType w:val="hybridMultilevel"/>
    <w:tmpl w:val="7818A5E4"/>
    <w:lvl w:ilvl="0" w:tplc="08160017">
      <w:start w:val="1"/>
      <w:numFmt w:val="lowerLetter"/>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38" w15:restartNumberingAfterBreak="0">
    <w:nsid w:val="5F447139"/>
    <w:multiLevelType w:val="hybridMultilevel"/>
    <w:tmpl w:val="CDD2A0E2"/>
    <w:lvl w:ilvl="0" w:tplc="08160017">
      <w:start w:val="1"/>
      <w:numFmt w:val="lowerLetter"/>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39" w15:restartNumberingAfterBreak="0">
    <w:nsid w:val="602C5326"/>
    <w:multiLevelType w:val="hybridMultilevel"/>
    <w:tmpl w:val="C86A2D9E"/>
    <w:lvl w:ilvl="0" w:tplc="FFFFFFFF">
      <w:start w:val="1"/>
      <w:numFmt w:val="lowerLetter"/>
      <w:lvlText w:val="%1)"/>
      <w:lvlJc w:val="left"/>
      <w:pPr>
        <w:ind w:left="360" w:hanging="360"/>
      </w:pPr>
      <w:rPr>
        <w:b w:val="0"/>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0" w15:restartNumberingAfterBreak="0">
    <w:nsid w:val="60E91D64"/>
    <w:multiLevelType w:val="hybridMultilevel"/>
    <w:tmpl w:val="6C403AB2"/>
    <w:lvl w:ilvl="0" w:tplc="08160017">
      <w:start w:val="1"/>
      <w:numFmt w:val="lowerLetter"/>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41" w15:restartNumberingAfterBreak="0">
    <w:nsid w:val="614D0161"/>
    <w:multiLevelType w:val="hybridMultilevel"/>
    <w:tmpl w:val="13D07B5A"/>
    <w:lvl w:ilvl="0" w:tplc="08160017">
      <w:start w:val="1"/>
      <w:numFmt w:val="lowerLetter"/>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42" w15:restartNumberingAfterBreak="0">
    <w:nsid w:val="61F0061E"/>
    <w:multiLevelType w:val="hybridMultilevel"/>
    <w:tmpl w:val="9932A122"/>
    <w:lvl w:ilvl="0" w:tplc="08160017">
      <w:start w:val="1"/>
      <w:numFmt w:val="lowerLetter"/>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43" w15:restartNumberingAfterBreak="0">
    <w:nsid w:val="62082028"/>
    <w:multiLevelType w:val="hybridMultilevel"/>
    <w:tmpl w:val="A4FA8B88"/>
    <w:lvl w:ilvl="0" w:tplc="08160017">
      <w:start w:val="1"/>
      <w:numFmt w:val="lowerLetter"/>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44" w15:restartNumberingAfterBreak="0">
    <w:nsid w:val="62552D7B"/>
    <w:multiLevelType w:val="hybridMultilevel"/>
    <w:tmpl w:val="016A7C92"/>
    <w:lvl w:ilvl="0" w:tplc="08160017">
      <w:start w:val="1"/>
      <w:numFmt w:val="lowerLetter"/>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45" w15:restartNumberingAfterBreak="0">
    <w:nsid w:val="62DD0BB0"/>
    <w:multiLevelType w:val="hybridMultilevel"/>
    <w:tmpl w:val="86004006"/>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46" w15:restartNumberingAfterBreak="0">
    <w:nsid w:val="63306C6B"/>
    <w:multiLevelType w:val="hybridMultilevel"/>
    <w:tmpl w:val="26D03E70"/>
    <w:lvl w:ilvl="0" w:tplc="08160017">
      <w:start w:val="1"/>
      <w:numFmt w:val="lowerLetter"/>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47" w15:restartNumberingAfterBreak="0">
    <w:nsid w:val="634345BF"/>
    <w:multiLevelType w:val="hybridMultilevel"/>
    <w:tmpl w:val="86004006"/>
    <w:lvl w:ilvl="0" w:tplc="FFFFFFFF">
      <w:start w:val="1"/>
      <w:numFmt w:val="lowerLetter"/>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48" w15:restartNumberingAfterBreak="0">
    <w:nsid w:val="657225E3"/>
    <w:multiLevelType w:val="hybridMultilevel"/>
    <w:tmpl w:val="46E8C67E"/>
    <w:lvl w:ilvl="0" w:tplc="08160017">
      <w:start w:val="1"/>
      <w:numFmt w:val="lowerLetter"/>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49" w15:restartNumberingAfterBreak="0">
    <w:nsid w:val="66656D2F"/>
    <w:multiLevelType w:val="hybridMultilevel"/>
    <w:tmpl w:val="C86A2D9E"/>
    <w:lvl w:ilvl="0" w:tplc="FFFFFFFF">
      <w:start w:val="1"/>
      <w:numFmt w:val="lowerLetter"/>
      <w:lvlText w:val="%1)"/>
      <w:lvlJc w:val="left"/>
      <w:pPr>
        <w:ind w:left="360" w:hanging="360"/>
      </w:pPr>
      <w:rPr>
        <w:b w:val="0"/>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0" w15:restartNumberingAfterBreak="0">
    <w:nsid w:val="66A35B0D"/>
    <w:multiLevelType w:val="hybridMultilevel"/>
    <w:tmpl w:val="48A453EA"/>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1" w15:restartNumberingAfterBreak="0">
    <w:nsid w:val="67462894"/>
    <w:multiLevelType w:val="hybridMultilevel"/>
    <w:tmpl w:val="D4602882"/>
    <w:lvl w:ilvl="0" w:tplc="08160017">
      <w:start w:val="1"/>
      <w:numFmt w:val="lowerLetter"/>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52" w15:restartNumberingAfterBreak="0">
    <w:nsid w:val="67E63AB1"/>
    <w:multiLevelType w:val="hybridMultilevel"/>
    <w:tmpl w:val="E7A40A2C"/>
    <w:lvl w:ilvl="0" w:tplc="08160017">
      <w:start w:val="1"/>
      <w:numFmt w:val="lowerLetter"/>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53" w15:restartNumberingAfterBreak="0">
    <w:nsid w:val="67F579DC"/>
    <w:multiLevelType w:val="hybridMultilevel"/>
    <w:tmpl w:val="5A3E6A1E"/>
    <w:lvl w:ilvl="0" w:tplc="08160017">
      <w:start w:val="1"/>
      <w:numFmt w:val="lowerLetter"/>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54" w15:restartNumberingAfterBreak="0">
    <w:nsid w:val="680850F6"/>
    <w:multiLevelType w:val="hybridMultilevel"/>
    <w:tmpl w:val="7214DA22"/>
    <w:lvl w:ilvl="0" w:tplc="08160017">
      <w:start w:val="1"/>
      <w:numFmt w:val="lowerLetter"/>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55" w15:restartNumberingAfterBreak="0">
    <w:nsid w:val="684A2895"/>
    <w:multiLevelType w:val="hybridMultilevel"/>
    <w:tmpl w:val="0C2AF8B0"/>
    <w:lvl w:ilvl="0" w:tplc="08160017">
      <w:start w:val="1"/>
      <w:numFmt w:val="lowerLetter"/>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56" w15:restartNumberingAfterBreak="0">
    <w:nsid w:val="69842D67"/>
    <w:multiLevelType w:val="hybridMultilevel"/>
    <w:tmpl w:val="48A453EA"/>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7" w15:restartNumberingAfterBreak="0">
    <w:nsid w:val="69CF6756"/>
    <w:multiLevelType w:val="hybridMultilevel"/>
    <w:tmpl w:val="2FD20C98"/>
    <w:lvl w:ilvl="0" w:tplc="08160017">
      <w:start w:val="1"/>
      <w:numFmt w:val="lowerLetter"/>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58" w15:restartNumberingAfterBreak="0">
    <w:nsid w:val="6A1D2BF7"/>
    <w:multiLevelType w:val="hybridMultilevel"/>
    <w:tmpl w:val="DDC2042E"/>
    <w:lvl w:ilvl="0" w:tplc="CF488C76">
      <w:start w:val="1"/>
      <w:numFmt w:val="decimal"/>
      <w:pStyle w:val="clause0"/>
      <w:suff w:val="nothing"/>
      <w:lvlText w:val="(%1)"/>
      <w:lvlJc w:val="left"/>
      <w:pPr>
        <w:ind w:left="0" w:firstLine="0"/>
      </w:pPr>
      <w:rPr>
        <w:rFonts w:ascii="Cambria Math" w:hAnsi="Cambria Math" w:hint="default"/>
        <w:sz w:val="22"/>
        <w:szCs w:val="24"/>
      </w:rPr>
    </w:lvl>
    <w:lvl w:ilvl="1" w:tplc="FFFFFFFF">
      <w:start w:val="1"/>
      <w:numFmt w:val="bullet"/>
      <w:lvlText w:val="•"/>
      <w:lvlJc w:val="left"/>
      <w:pPr>
        <w:ind w:left="1349" w:hanging="427"/>
      </w:pPr>
      <w:rPr>
        <w:rFonts w:hint="default"/>
      </w:rPr>
    </w:lvl>
    <w:lvl w:ilvl="2" w:tplc="FFFFFFFF">
      <w:start w:val="1"/>
      <w:numFmt w:val="bullet"/>
      <w:lvlText w:val="•"/>
      <w:lvlJc w:val="left"/>
      <w:pPr>
        <w:ind w:left="2169" w:hanging="427"/>
      </w:pPr>
      <w:rPr>
        <w:rFonts w:hint="default"/>
      </w:rPr>
    </w:lvl>
    <w:lvl w:ilvl="3" w:tplc="FFFFFFFF">
      <w:start w:val="1"/>
      <w:numFmt w:val="bullet"/>
      <w:lvlText w:val="•"/>
      <w:lvlJc w:val="left"/>
      <w:pPr>
        <w:ind w:left="2988" w:hanging="427"/>
      </w:pPr>
      <w:rPr>
        <w:rFonts w:hint="default"/>
      </w:rPr>
    </w:lvl>
    <w:lvl w:ilvl="4" w:tplc="FFFFFFFF">
      <w:start w:val="1"/>
      <w:numFmt w:val="bullet"/>
      <w:lvlText w:val="•"/>
      <w:lvlJc w:val="left"/>
      <w:pPr>
        <w:ind w:left="3808" w:hanging="427"/>
      </w:pPr>
      <w:rPr>
        <w:rFonts w:hint="default"/>
      </w:rPr>
    </w:lvl>
    <w:lvl w:ilvl="5" w:tplc="FFFFFFFF">
      <w:start w:val="1"/>
      <w:numFmt w:val="bullet"/>
      <w:lvlText w:val="•"/>
      <w:lvlJc w:val="left"/>
      <w:pPr>
        <w:ind w:left="4627" w:hanging="427"/>
      </w:pPr>
      <w:rPr>
        <w:rFonts w:hint="default"/>
      </w:rPr>
    </w:lvl>
    <w:lvl w:ilvl="6" w:tplc="FFFFFFFF">
      <w:start w:val="1"/>
      <w:numFmt w:val="bullet"/>
      <w:lvlText w:val="•"/>
      <w:lvlJc w:val="left"/>
      <w:pPr>
        <w:ind w:left="5447" w:hanging="427"/>
      </w:pPr>
      <w:rPr>
        <w:rFonts w:hint="default"/>
      </w:rPr>
    </w:lvl>
    <w:lvl w:ilvl="7" w:tplc="FFFFFFFF">
      <w:start w:val="1"/>
      <w:numFmt w:val="bullet"/>
      <w:lvlText w:val="•"/>
      <w:lvlJc w:val="left"/>
      <w:pPr>
        <w:ind w:left="6266" w:hanging="427"/>
      </w:pPr>
      <w:rPr>
        <w:rFonts w:hint="default"/>
      </w:rPr>
    </w:lvl>
    <w:lvl w:ilvl="8" w:tplc="FFFFFFFF">
      <w:start w:val="1"/>
      <w:numFmt w:val="bullet"/>
      <w:lvlText w:val="•"/>
      <w:lvlJc w:val="left"/>
      <w:pPr>
        <w:ind w:left="7086" w:hanging="427"/>
      </w:pPr>
      <w:rPr>
        <w:rFonts w:hint="default"/>
      </w:rPr>
    </w:lvl>
  </w:abstractNum>
  <w:abstractNum w:abstractNumId="159" w15:restartNumberingAfterBreak="0">
    <w:nsid w:val="6AB43E18"/>
    <w:multiLevelType w:val="hybridMultilevel"/>
    <w:tmpl w:val="AB08F440"/>
    <w:lvl w:ilvl="0" w:tplc="08160017">
      <w:start w:val="1"/>
      <w:numFmt w:val="lowerLetter"/>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60" w15:restartNumberingAfterBreak="0">
    <w:nsid w:val="6BAC7781"/>
    <w:multiLevelType w:val="hybridMultilevel"/>
    <w:tmpl w:val="C86A2D9E"/>
    <w:lvl w:ilvl="0" w:tplc="FFFFFFFF">
      <w:start w:val="1"/>
      <w:numFmt w:val="lowerLetter"/>
      <w:lvlText w:val="%1)"/>
      <w:lvlJc w:val="left"/>
      <w:pPr>
        <w:ind w:left="360" w:hanging="360"/>
      </w:pPr>
      <w:rPr>
        <w:b w:val="0"/>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1" w15:restartNumberingAfterBreak="0">
    <w:nsid w:val="6D1876A2"/>
    <w:multiLevelType w:val="hybridMultilevel"/>
    <w:tmpl w:val="5126AFE4"/>
    <w:lvl w:ilvl="0" w:tplc="08160017">
      <w:start w:val="1"/>
      <w:numFmt w:val="lowerLetter"/>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62" w15:restartNumberingAfterBreak="0">
    <w:nsid w:val="6D330CAF"/>
    <w:multiLevelType w:val="hybridMultilevel"/>
    <w:tmpl w:val="8F46D882"/>
    <w:lvl w:ilvl="0" w:tplc="08160017">
      <w:start w:val="1"/>
      <w:numFmt w:val="lowerLetter"/>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63" w15:restartNumberingAfterBreak="0">
    <w:nsid w:val="6D4D6B85"/>
    <w:multiLevelType w:val="hybridMultilevel"/>
    <w:tmpl w:val="48A453EA"/>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4" w15:restartNumberingAfterBreak="0">
    <w:nsid w:val="6D5769ED"/>
    <w:multiLevelType w:val="hybridMultilevel"/>
    <w:tmpl w:val="E07E01E0"/>
    <w:lvl w:ilvl="0" w:tplc="08160017">
      <w:start w:val="1"/>
      <w:numFmt w:val="lowerLetter"/>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65" w15:restartNumberingAfterBreak="0">
    <w:nsid w:val="6D61640B"/>
    <w:multiLevelType w:val="hybridMultilevel"/>
    <w:tmpl w:val="820A5254"/>
    <w:lvl w:ilvl="0" w:tplc="08160017">
      <w:start w:val="1"/>
      <w:numFmt w:val="lowerLetter"/>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66" w15:restartNumberingAfterBreak="0">
    <w:nsid w:val="6F0F6FCE"/>
    <w:multiLevelType w:val="hybridMultilevel"/>
    <w:tmpl w:val="16AE94B2"/>
    <w:lvl w:ilvl="0" w:tplc="08160017">
      <w:start w:val="1"/>
      <w:numFmt w:val="lowerLetter"/>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67" w15:restartNumberingAfterBreak="0">
    <w:nsid w:val="6F833CC1"/>
    <w:multiLevelType w:val="hybridMultilevel"/>
    <w:tmpl w:val="BDC6FE14"/>
    <w:lvl w:ilvl="0" w:tplc="F15285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6FDD34E6"/>
    <w:multiLevelType w:val="hybridMultilevel"/>
    <w:tmpl w:val="86004006"/>
    <w:lvl w:ilvl="0" w:tplc="FFFFFFFF">
      <w:start w:val="1"/>
      <w:numFmt w:val="lowerLetter"/>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69" w15:restartNumberingAfterBreak="0">
    <w:nsid w:val="706777ED"/>
    <w:multiLevelType w:val="hybridMultilevel"/>
    <w:tmpl w:val="03F42974"/>
    <w:lvl w:ilvl="0" w:tplc="08160017">
      <w:start w:val="1"/>
      <w:numFmt w:val="lowerLetter"/>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70" w15:restartNumberingAfterBreak="0">
    <w:nsid w:val="7099626A"/>
    <w:multiLevelType w:val="hybridMultilevel"/>
    <w:tmpl w:val="A34E9A58"/>
    <w:lvl w:ilvl="0" w:tplc="08160017">
      <w:start w:val="1"/>
      <w:numFmt w:val="lowerLetter"/>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71" w15:restartNumberingAfterBreak="0">
    <w:nsid w:val="719D60D1"/>
    <w:multiLevelType w:val="hybridMultilevel"/>
    <w:tmpl w:val="C86A2D9E"/>
    <w:lvl w:ilvl="0" w:tplc="FFFFFFFF">
      <w:start w:val="1"/>
      <w:numFmt w:val="lowerLetter"/>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2" w15:restartNumberingAfterBreak="0">
    <w:nsid w:val="723F2B8F"/>
    <w:multiLevelType w:val="hybridMultilevel"/>
    <w:tmpl w:val="48A453EA"/>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3" w15:restartNumberingAfterBreak="0">
    <w:nsid w:val="72880A28"/>
    <w:multiLevelType w:val="hybridMultilevel"/>
    <w:tmpl w:val="250A65AA"/>
    <w:lvl w:ilvl="0" w:tplc="9E187BB4">
      <w:start w:val="1"/>
      <w:numFmt w:val="lowerLetter"/>
      <w:lvlText w:val="%1)"/>
      <w:lvlJc w:val="left"/>
      <w:pPr>
        <w:ind w:left="400" w:hanging="40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D8A02002">
      <w:start w:val="1"/>
      <w:numFmt w:val="decimal"/>
      <w:lvlText w:val="%2)"/>
      <w:lvlJc w:val="left"/>
      <w:pPr>
        <w:ind w:left="800" w:hanging="400"/>
      </w:pPr>
      <w:rPr>
        <w:rFonts w:hint="default"/>
      </w:rPr>
    </w:lvl>
    <w:lvl w:ilvl="2" w:tplc="45D6919E">
      <w:start w:val="1"/>
      <w:numFmt w:val="lowerRoman"/>
      <w:lvlText w:val="%3)"/>
      <w:lvlJc w:val="left"/>
      <w:pPr>
        <w:ind w:left="1200" w:hanging="400"/>
      </w:pPr>
      <w:rPr>
        <w:rFonts w:hint="default"/>
      </w:rPr>
    </w:lvl>
    <w:lvl w:ilvl="3" w:tplc="E8C44C1A">
      <w:start w:val="1"/>
      <w:numFmt w:val="upperRoman"/>
      <w:lvlText w:val="%4)"/>
      <w:lvlJc w:val="left"/>
      <w:pPr>
        <w:ind w:left="1600" w:hanging="400"/>
      </w:pPr>
      <w:rPr>
        <w:rFonts w:hint="default"/>
      </w:rPr>
    </w:lvl>
    <w:lvl w:ilvl="4" w:tplc="E3AE079E">
      <w:start w:val="1"/>
      <w:numFmt w:val="none"/>
      <w:suff w:val="nothing"/>
      <w:lvlText w:val=" "/>
      <w:lvlJc w:val="left"/>
      <w:pPr>
        <w:ind w:left="0" w:firstLine="0"/>
      </w:pPr>
      <w:rPr>
        <w:rFonts w:hint="default"/>
      </w:rPr>
    </w:lvl>
    <w:lvl w:ilvl="5" w:tplc="8A36B90A">
      <w:start w:val="1"/>
      <w:numFmt w:val="none"/>
      <w:suff w:val="nothing"/>
      <w:lvlText w:val=" "/>
      <w:lvlJc w:val="left"/>
      <w:pPr>
        <w:ind w:left="0" w:firstLine="0"/>
      </w:pPr>
      <w:rPr>
        <w:rFonts w:hint="default"/>
      </w:rPr>
    </w:lvl>
    <w:lvl w:ilvl="6" w:tplc="2C90DCBA">
      <w:start w:val="1"/>
      <w:numFmt w:val="lowerRoman"/>
      <w:lvlText w:val="(%7)"/>
      <w:lvlJc w:val="left"/>
      <w:pPr>
        <w:ind w:left="4320" w:firstLine="0"/>
      </w:pPr>
      <w:rPr>
        <w:rFonts w:hint="default"/>
      </w:rPr>
    </w:lvl>
    <w:lvl w:ilvl="7" w:tplc="7E48FF2E">
      <w:start w:val="1"/>
      <w:numFmt w:val="lowerLetter"/>
      <w:lvlText w:val="(%8)"/>
      <w:lvlJc w:val="left"/>
      <w:pPr>
        <w:ind w:left="5040" w:firstLine="0"/>
      </w:pPr>
      <w:rPr>
        <w:rFonts w:hint="default"/>
      </w:rPr>
    </w:lvl>
    <w:lvl w:ilvl="8" w:tplc="1A6E6B36">
      <w:start w:val="1"/>
      <w:numFmt w:val="lowerRoman"/>
      <w:lvlText w:val="(%9)"/>
      <w:lvlJc w:val="left"/>
      <w:pPr>
        <w:ind w:left="5760" w:firstLine="0"/>
      </w:pPr>
      <w:rPr>
        <w:rFonts w:hint="default"/>
      </w:rPr>
    </w:lvl>
  </w:abstractNum>
  <w:abstractNum w:abstractNumId="174" w15:restartNumberingAfterBreak="0">
    <w:nsid w:val="729B68D5"/>
    <w:multiLevelType w:val="hybridMultilevel"/>
    <w:tmpl w:val="C86A2D9E"/>
    <w:lvl w:ilvl="0" w:tplc="FFFFFFFF">
      <w:start w:val="1"/>
      <w:numFmt w:val="lowerLetter"/>
      <w:lvlText w:val="%1)"/>
      <w:lvlJc w:val="left"/>
      <w:pPr>
        <w:ind w:left="360" w:hanging="360"/>
      </w:pPr>
      <w:rPr>
        <w:b w:val="0"/>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5" w15:restartNumberingAfterBreak="0">
    <w:nsid w:val="7309681D"/>
    <w:multiLevelType w:val="hybridMultilevel"/>
    <w:tmpl w:val="E75E9EE2"/>
    <w:lvl w:ilvl="0" w:tplc="08160017">
      <w:start w:val="1"/>
      <w:numFmt w:val="lowerLetter"/>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76" w15:restartNumberingAfterBreak="0">
    <w:nsid w:val="73F72985"/>
    <w:multiLevelType w:val="hybridMultilevel"/>
    <w:tmpl w:val="15C0C0FC"/>
    <w:lvl w:ilvl="0" w:tplc="08160017">
      <w:start w:val="1"/>
      <w:numFmt w:val="lowerLetter"/>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77" w15:restartNumberingAfterBreak="0">
    <w:nsid w:val="74146DF4"/>
    <w:multiLevelType w:val="hybridMultilevel"/>
    <w:tmpl w:val="C86A2D9E"/>
    <w:lvl w:ilvl="0" w:tplc="FFFFFFFF">
      <w:start w:val="1"/>
      <w:numFmt w:val="lowerLetter"/>
      <w:lvlText w:val="%1)"/>
      <w:lvlJc w:val="left"/>
      <w:pPr>
        <w:ind w:left="360" w:hanging="360"/>
      </w:pPr>
      <w:rPr>
        <w:b w:val="0"/>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8" w15:restartNumberingAfterBreak="0">
    <w:nsid w:val="756F01E3"/>
    <w:multiLevelType w:val="hybridMultilevel"/>
    <w:tmpl w:val="48A453EA"/>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9" w15:restartNumberingAfterBreak="0">
    <w:nsid w:val="76D21AAD"/>
    <w:multiLevelType w:val="hybridMultilevel"/>
    <w:tmpl w:val="3540373E"/>
    <w:lvl w:ilvl="0" w:tplc="08160017">
      <w:start w:val="1"/>
      <w:numFmt w:val="lowerLetter"/>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80" w15:restartNumberingAfterBreak="0">
    <w:nsid w:val="776B1B11"/>
    <w:multiLevelType w:val="hybridMultilevel"/>
    <w:tmpl w:val="2A24F95A"/>
    <w:lvl w:ilvl="0" w:tplc="33D6E58E">
      <w:start w:val="1"/>
      <w:numFmt w:val="decimal"/>
      <w:lvlText w:val="(%1)"/>
      <w:lvlJc w:val="left"/>
      <w:pPr>
        <w:tabs>
          <w:tab w:val="num" w:pos="0"/>
        </w:tabs>
        <w:ind w:left="0" w:firstLine="0"/>
      </w:pPr>
      <w:rPr>
        <w:rFonts w:asciiTheme="majorHAnsi" w:hAnsiTheme="majorHAnsi" w:cs="Times New Roman" w:hint="default"/>
        <w:b w:val="0"/>
        <w:bCs w:val="0"/>
        <w:i w:val="0"/>
        <w:iCs w:val="0"/>
        <w:caps w:val="0"/>
        <w:smallCaps w:val="0"/>
        <w:strike w:val="0"/>
        <w:dstrike w:val="0"/>
        <w:vanish w:val="0"/>
        <w:color w:val="000000" w:themeColor="text1"/>
        <w:spacing w:val="0"/>
        <w:kern w:val="0"/>
        <w:position w:val="0"/>
        <w:sz w:val="22"/>
        <w:szCs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81" w15:restartNumberingAfterBreak="0">
    <w:nsid w:val="785518AA"/>
    <w:multiLevelType w:val="hybridMultilevel"/>
    <w:tmpl w:val="C86A2D9E"/>
    <w:lvl w:ilvl="0" w:tplc="FFFFFFFF">
      <w:start w:val="1"/>
      <w:numFmt w:val="lowerLetter"/>
      <w:lvlText w:val="%1)"/>
      <w:lvlJc w:val="left"/>
      <w:pPr>
        <w:ind w:left="360" w:hanging="360"/>
      </w:pPr>
      <w:rPr>
        <w:b w:val="0"/>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2" w15:restartNumberingAfterBreak="0">
    <w:nsid w:val="788151B5"/>
    <w:multiLevelType w:val="hybridMultilevel"/>
    <w:tmpl w:val="BC82414A"/>
    <w:lvl w:ilvl="0" w:tplc="08160017">
      <w:start w:val="1"/>
      <w:numFmt w:val="lowerLetter"/>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83" w15:restartNumberingAfterBreak="0">
    <w:nsid w:val="788562BE"/>
    <w:multiLevelType w:val="hybridMultilevel"/>
    <w:tmpl w:val="DD5CC146"/>
    <w:lvl w:ilvl="0" w:tplc="08160017">
      <w:start w:val="1"/>
      <w:numFmt w:val="lowerLetter"/>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84" w15:restartNumberingAfterBreak="0">
    <w:nsid w:val="791C7B6F"/>
    <w:multiLevelType w:val="hybridMultilevel"/>
    <w:tmpl w:val="58AE88E6"/>
    <w:lvl w:ilvl="0" w:tplc="08160017">
      <w:start w:val="1"/>
      <w:numFmt w:val="lowerLetter"/>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85" w15:restartNumberingAfterBreak="0">
    <w:nsid w:val="791E36E2"/>
    <w:multiLevelType w:val="hybridMultilevel"/>
    <w:tmpl w:val="C86A2D9E"/>
    <w:lvl w:ilvl="0" w:tplc="FFFFFFFF">
      <w:start w:val="1"/>
      <w:numFmt w:val="lowerLetter"/>
      <w:lvlText w:val="%1)"/>
      <w:lvlJc w:val="left"/>
      <w:pPr>
        <w:ind w:left="360" w:hanging="360"/>
      </w:pPr>
      <w:rPr>
        <w:b w:val="0"/>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6" w15:restartNumberingAfterBreak="0">
    <w:nsid w:val="793F48EC"/>
    <w:multiLevelType w:val="hybridMultilevel"/>
    <w:tmpl w:val="86004006"/>
    <w:lvl w:ilvl="0" w:tplc="FFFFFFFF">
      <w:start w:val="1"/>
      <w:numFmt w:val="lowerLetter"/>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87" w15:restartNumberingAfterBreak="0">
    <w:nsid w:val="795866F4"/>
    <w:multiLevelType w:val="hybridMultilevel"/>
    <w:tmpl w:val="48A453EA"/>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8" w15:restartNumberingAfterBreak="0">
    <w:nsid w:val="798C4898"/>
    <w:multiLevelType w:val="hybridMultilevel"/>
    <w:tmpl w:val="579A2B0C"/>
    <w:lvl w:ilvl="0" w:tplc="08160017">
      <w:start w:val="1"/>
      <w:numFmt w:val="lowerLetter"/>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89" w15:restartNumberingAfterBreak="0">
    <w:nsid w:val="79BE3128"/>
    <w:multiLevelType w:val="hybridMultilevel"/>
    <w:tmpl w:val="360CB8AE"/>
    <w:lvl w:ilvl="0" w:tplc="08160017">
      <w:start w:val="1"/>
      <w:numFmt w:val="lowerLetter"/>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90" w15:restartNumberingAfterBreak="0">
    <w:nsid w:val="79E4709D"/>
    <w:multiLevelType w:val="hybridMultilevel"/>
    <w:tmpl w:val="C86A2D9E"/>
    <w:lvl w:ilvl="0" w:tplc="FFFFFFFF">
      <w:start w:val="1"/>
      <w:numFmt w:val="lowerLetter"/>
      <w:lvlText w:val="%1)"/>
      <w:lvlJc w:val="left"/>
      <w:pPr>
        <w:ind w:left="360" w:hanging="360"/>
      </w:pPr>
      <w:rPr>
        <w:b w:val="0"/>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1" w15:restartNumberingAfterBreak="0">
    <w:nsid w:val="7A056042"/>
    <w:multiLevelType w:val="hybridMultilevel"/>
    <w:tmpl w:val="86004006"/>
    <w:lvl w:ilvl="0" w:tplc="FFFFFFFF">
      <w:start w:val="1"/>
      <w:numFmt w:val="lowerLetter"/>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92" w15:restartNumberingAfterBreak="0">
    <w:nsid w:val="7B3A424A"/>
    <w:multiLevelType w:val="hybridMultilevel"/>
    <w:tmpl w:val="967219D0"/>
    <w:lvl w:ilvl="0" w:tplc="08160017">
      <w:start w:val="1"/>
      <w:numFmt w:val="lowerLetter"/>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93" w15:restartNumberingAfterBreak="0">
    <w:nsid w:val="7B565DCC"/>
    <w:multiLevelType w:val="hybridMultilevel"/>
    <w:tmpl w:val="48A453EA"/>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4" w15:restartNumberingAfterBreak="0">
    <w:nsid w:val="7C2E51ED"/>
    <w:multiLevelType w:val="hybridMultilevel"/>
    <w:tmpl w:val="720E0724"/>
    <w:lvl w:ilvl="0" w:tplc="08160017">
      <w:start w:val="1"/>
      <w:numFmt w:val="lowerLetter"/>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95" w15:restartNumberingAfterBreak="0">
    <w:nsid w:val="7CFA450F"/>
    <w:multiLevelType w:val="hybridMultilevel"/>
    <w:tmpl w:val="C86A2D9E"/>
    <w:lvl w:ilvl="0" w:tplc="FFFFFFFF">
      <w:start w:val="1"/>
      <w:numFmt w:val="lowerLetter"/>
      <w:lvlText w:val="%1)"/>
      <w:lvlJc w:val="left"/>
      <w:pPr>
        <w:ind w:left="360" w:hanging="360"/>
      </w:pPr>
      <w:rPr>
        <w:b w:val="0"/>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6" w15:restartNumberingAfterBreak="0">
    <w:nsid w:val="7E044464"/>
    <w:multiLevelType w:val="hybridMultilevel"/>
    <w:tmpl w:val="6E1481D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7" w15:restartNumberingAfterBreak="0">
    <w:nsid w:val="7ED9254E"/>
    <w:multiLevelType w:val="hybridMultilevel"/>
    <w:tmpl w:val="C86A2D9E"/>
    <w:lvl w:ilvl="0" w:tplc="FFFFFFFF">
      <w:start w:val="1"/>
      <w:numFmt w:val="lowerLetter"/>
      <w:lvlText w:val="%1)"/>
      <w:lvlJc w:val="left"/>
      <w:pPr>
        <w:ind w:left="360" w:hanging="360"/>
      </w:pPr>
      <w:rPr>
        <w:b w:val="0"/>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1198348399">
    <w:abstractNumId w:val="83"/>
  </w:num>
  <w:num w:numId="2" w16cid:durableId="81148000">
    <w:abstractNumId w:val="22"/>
  </w:num>
  <w:num w:numId="3" w16cid:durableId="171382067">
    <w:abstractNumId w:val="9"/>
  </w:num>
  <w:num w:numId="4" w16cid:durableId="1423379821">
    <w:abstractNumId w:val="7"/>
  </w:num>
  <w:num w:numId="5" w16cid:durableId="1063991875">
    <w:abstractNumId w:val="6"/>
  </w:num>
  <w:num w:numId="6" w16cid:durableId="464280387">
    <w:abstractNumId w:val="5"/>
  </w:num>
  <w:num w:numId="7" w16cid:durableId="1655721359">
    <w:abstractNumId w:val="4"/>
  </w:num>
  <w:num w:numId="8" w16cid:durableId="291983222">
    <w:abstractNumId w:val="0"/>
  </w:num>
  <w:num w:numId="9" w16cid:durableId="1530341025">
    <w:abstractNumId w:val="26"/>
  </w:num>
  <w:num w:numId="10" w16cid:durableId="1167400893">
    <w:abstractNumId w:val="80"/>
  </w:num>
  <w:num w:numId="11" w16cid:durableId="750859085">
    <w:abstractNumId w:val="72"/>
  </w:num>
  <w:num w:numId="12" w16cid:durableId="1215971474">
    <w:abstractNumId w:val="68"/>
  </w:num>
  <w:num w:numId="13" w16cid:durableId="1810778547">
    <w:abstractNumId w:val="93"/>
  </w:num>
  <w:num w:numId="14" w16cid:durableId="698240943">
    <w:abstractNumId w:val="79"/>
    <w:lvlOverride w:ilvl="0">
      <w:startOverride w:val="1"/>
    </w:lvlOverride>
  </w:num>
  <w:num w:numId="15" w16cid:durableId="1679504609">
    <w:abstractNumId w:val="79"/>
    <w:lvlOverride w:ilvl="0">
      <w:startOverride w:val="1"/>
    </w:lvlOverride>
  </w:num>
  <w:num w:numId="16" w16cid:durableId="1499661931">
    <w:abstractNumId w:val="79"/>
    <w:lvlOverride w:ilvl="0">
      <w:startOverride w:val="1"/>
    </w:lvlOverride>
  </w:num>
  <w:num w:numId="17" w16cid:durableId="1017389578">
    <w:abstractNumId w:val="79"/>
    <w:lvlOverride w:ilvl="0">
      <w:startOverride w:val="1"/>
    </w:lvlOverride>
  </w:num>
  <w:num w:numId="18" w16cid:durableId="1398284911">
    <w:abstractNumId w:val="79"/>
    <w:lvlOverride w:ilvl="0">
      <w:startOverride w:val="1"/>
    </w:lvlOverride>
  </w:num>
  <w:num w:numId="19" w16cid:durableId="1175417193">
    <w:abstractNumId w:val="79"/>
    <w:lvlOverride w:ilvl="0">
      <w:startOverride w:val="1"/>
    </w:lvlOverride>
  </w:num>
  <w:num w:numId="20" w16cid:durableId="2123837944">
    <w:abstractNumId w:val="79"/>
    <w:lvlOverride w:ilvl="0">
      <w:startOverride w:val="1"/>
    </w:lvlOverride>
  </w:num>
  <w:num w:numId="21" w16cid:durableId="1577518120">
    <w:abstractNumId w:val="79"/>
    <w:lvlOverride w:ilvl="0">
      <w:startOverride w:val="1"/>
    </w:lvlOverride>
  </w:num>
  <w:num w:numId="22" w16cid:durableId="886182456">
    <w:abstractNumId w:val="79"/>
    <w:lvlOverride w:ilvl="0">
      <w:startOverride w:val="1"/>
    </w:lvlOverride>
  </w:num>
  <w:num w:numId="23" w16cid:durableId="1761179046">
    <w:abstractNumId w:val="79"/>
    <w:lvlOverride w:ilvl="0">
      <w:startOverride w:val="1"/>
    </w:lvlOverride>
  </w:num>
  <w:num w:numId="24" w16cid:durableId="1749031571">
    <w:abstractNumId w:val="79"/>
    <w:lvlOverride w:ilvl="0">
      <w:startOverride w:val="1"/>
    </w:lvlOverride>
  </w:num>
  <w:num w:numId="25" w16cid:durableId="382026737">
    <w:abstractNumId w:val="79"/>
    <w:lvlOverride w:ilvl="0">
      <w:startOverride w:val="1"/>
    </w:lvlOverride>
  </w:num>
  <w:num w:numId="26" w16cid:durableId="940723322">
    <w:abstractNumId w:val="79"/>
    <w:lvlOverride w:ilvl="0">
      <w:startOverride w:val="1"/>
    </w:lvlOverride>
  </w:num>
  <w:num w:numId="27" w16cid:durableId="1830293088">
    <w:abstractNumId w:val="79"/>
    <w:lvlOverride w:ilvl="0">
      <w:startOverride w:val="1"/>
    </w:lvlOverride>
  </w:num>
  <w:num w:numId="28" w16cid:durableId="1923293235">
    <w:abstractNumId w:val="38"/>
  </w:num>
  <w:num w:numId="29" w16cid:durableId="396364598">
    <w:abstractNumId w:val="79"/>
    <w:lvlOverride w:ilvl="0">
      <w:startOverride w:val="1"/>
    </w:lvlOverride>
  </w:num>
  <w:num w:numId="30" w16cid:durableId="2072385323">
    <w:abstractNumId w:val="79"/>
    <w:lvlOverride w:ilvl="0">
      <w:startOverride w:val="1"/>
    </w:lvlOverride>
  </w:num>
  <w:num w:numId="31" w16cid:durableId="416026897">
    <w:abstractNumId w:val="79"/>
    <w:lvlOverride w:ilvl="0">
      <w:startOverride w:val="1"/>
    </w:lvlOverride>
  </w:num>
  <w:num w:numId="32" w16cid:durableId="424376601">
    <w:abstractNumId w:val="79"/>
    <w:lvlOverride w:ilvl="0">
      <w:startOverride w:val="1"/>
    </w:lvlOverride>
  </w:num>
  <w:num w:numId="33" w16cid:durableId="1613055970">
    <w:abstractNumId w:val="79"/>
    <w:lvlOverride w:ilvl="0">
      <w:startOverride w:val="1"/>
    </w:lvlOverride>
  </w:num>
  <w:num w:numId="34" w16cid:durableId="576743540">
    <w:abstractNumId w:val="79"/>
    <w:lvlOverride w:ilvl="0">
      <w:startOverride w:val="1"/>
    </w:lvlOverride>
  </w:num>
  <w:num w:numId="35" w16cid:durableId="2133211347">
    <w:abstractNumId w:val="79"/>
    <w:lvlOverride w:ilvl="0">
      <w:startOverride w:val="1"/>
    </w:lvlOverride>
  </w:num>
  <w:num w:numId="36" w16cid:durableId="1130513418">
    <w:abstractNumId w:val="79"/>
    <w:lvlOverride w:ilvl="0">
      <w:startOverride w:val="1"/>
    </w:lvlOverride>
  </w:num>
  <w:num w:numId="37" w16cid:durableId="407381874">
    <w:abstractNumId w:val="79"/>
    <w:lvlOverride w:ilvl="0">
      <w:startOverride w:val="1"/>
    </w:lvlOverride>
  </w:num>
  <w:num w:numId="38" w16cid:durableId="1441297023">
    <w:abstractNumId w:val="79"/>
    <w:lvlOverride w:ilvl="0">
      <w:startOverride w:val="1"/>
    </w:lvlOverride>
  </w:num>
  <w:num w:numId="39" w16cid:durableId="1455977082">
    <w:abstractNumId w:val="84"/>
  </w:num>
  <w:num w:numId="40" w16cid:durableId="582573683">
    <w:abstractNumId w:val="43"/>
  </w:num>
  <w:num w:numId="41" w16cid:durableId="1576431965">
    <w:abstractNumId w:val="79"/>
    <w:lvlOverride w:ilvl="0">
      <w:startOverride w:val="1"/>
    </w:lvlOverride>
  </w:num>
  <w:num w:numId="42" w16cid:durableId="1772050146">
    <w:abstractNumId w:val="79"/>
    <w:lvlOverride w:ilvl="0">
      <w:startOverride w:val="1"/>
    </w:lvlOverride>
  </w:num>
  <w:num w:numId="43" w16cid:durableId="1585726896">
    <w:abstractNumId w:val="79"/>
    <w:lvlOverride w:ilvl="0">
      <w:startOverride w:val="1"/>
    </w:lvlOverride>
  </w:num>
  <w:num w:numId="44" w16cid:durableId="910232494">
    <w:abstractNumId w:val="44"/>
  </w:num>
  <w:num w:numId="45" w16cid:durableId="761727260">
    <w:abstractNumId w:val="79"/>
    <w:lvlOverride w:ilvl="0">
      <w:startOverride w:val="1"/>
    </w:lvlOverride>
  </w:num>
  <w:num w:numId="46" w16cid:durableId="1748650875">
    <w:abstractNumId w:val="79"/>
    <w:lvlOverride w:ilvl="0">
      <w:startOverride w:val="1"/>
    </w:lvlOverride>
  </w:num>
  <w:num w:numId="47" w16cid:durableId="281693135">
    <w:abstractNumId w:val="79"/>
    <w:lvlOverride w:ilvl="0">
      <w:startOverride w:val="1"/>
    </w:lvlOverride>
  </w:num>
  <w:num w:numId="48" w16cid:durableId="992221876">
    <w:abstractNumId w:val="79"/>
    <w:lvlOverride w:ilvl="0">
      <w:startOverride w:val="1"/>
    </w:lvlOverride>
  </w:num>
  <w:num w:numId="49" w16cid:durableId="384185083">
    <w:abstractNumId w:val="79"/>
    <w:lvlOverride w:ilvl="0">
      <w:startOverride w:val="1"/>
    </w:lvlOverride>
  </w:num>
  <w:num w:numId="50" w16cid:durableId="1083180579">
    <w:abstractNumId w:val="79"/>
    <w:lvlOverride w:ilvl="0">
      <w:startOverride w:val="1"/>
    </w:lvlOverride>
  </w:num>
  <w:num w:numId="51" w16cid:durableId="936524859">
    <w:abstractNumId w:val="79"/>
    <w:lvlOverride w:ilvl="0">
      <w:startOverride w:val="1"/>
    </w:lvlOverride>
  </w:num>
  <w:num w:numId="52" w16cid:durableId="1041905504">
    <w:abstractNumId w:val="79"/>
    <w:lvlOverride w:ilvl="0">
      <w:startOverride w:val="1"/>
    </w:lvlOverride>
  </w:num>
  <w:num w:numId="53" w16cid:durableId="234904391">
    <w:abstractNumId w:val="79"/>
    <w:lvlOverride w:ilvl="0">
      <w:startOverride w:val="1"/>
    </w:lvlOverride>
  </w:num>
  <w:num w:numId="54" w16cid:durableId="2017615654">
    <w:abstractNumId w:val="46"/>
  </w:num>
  <w:num w:numId="55" w16cid:durableId="1036391288">
    <w:abstractNumId w:val="86"/>
  </w:num>
  <w:num w:numId="56" w16cid:durableId="556480240">
    <w:abstractNumId w:val="79"/>
    <w:lvlOverride w:ilvl="0">
      <w:startOverride w:val="1"/>
    </w:lvlOverride>
  </w:num>
  <w:num w:numId="57" w16cid:durableId="1811172048">
    <w:abstractNumId w:val="79"/>
    <w:lvlOverride w:ilvl="0">
      <w:startOverride w:val="1"/>
    </w:lvlOverride>
  </w:num>
  <w:num w:numId="58" w16cid:durableId="1362055132">
    <w:abstractNumId w:val="187"/>
  </w:num>
  <w:num w:numId="59" w16cid:durableId="1931769499">
    <w:abstractNumId w:val="163"/>
  </w:num>
  <w:num w:numId="60" w16cid:durableId="951329718">
    <w:abstractNumId w:val="97"/>
  </w:num>
  <w:num w:numId="61" w16cid:durableId="1839342871">
    <w:abstractNumId w:val="193"/>
  </w:num>
  <w:num w:numId="62" w16cid:durableId="454519452">
    <w:abstractNumId w:val="178"/>
  </w:num>
  <w:num w:numId="63" w16cid:durableId="910506996">
    <w:abstractNumId w:val="36"/>
  </w:num>
  <w:num w:numId="64" w16cid:durableId="286661827">
    <w:abstractNumId w:val="79"/>
    <w:lvlOverride w:ilvl="0">
      <w:startOverride w:val="1"/>
    </w:lvlOverride>
  </w:num>
  <w:num w:numId="65" w16cid:durableId="743719736">
    <w:abstractNumId w:val="79"/>
    <w:lvlOverride w:ilvl="0">
      <w:startOverride w:val="1"/>
    </w:lvlOverride>
  </w:num>
  <w:num w:numId="66" w16cid:durableId="141313608">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430853421">
    <w:abstractNumId w:val="156"/>
  </w:num>
  <w:num w:numId="68" w16cid:durableId="2015450655">
    <w:abstractNumId w:val="79"/>
    <w:lvlOverride w:ilvl="0">
      <w:startOverride w:val="1"/>
    </w:lvlOverride>
  </w:num>
  <w:num w:numId="69" w16cid:durableId="917521196">
    <w:abstractNumId w:val="79"/>
    <w:lvlOverride w:ilvl="0">
      <w:startOverride w:val="1"/>
    </w:lvlOverride>
  </w:num>
  <w:num w:numId="70" w16cid:durableId="1486160435">
    <w:abstractNumId w:val="79"/>
    <w:lvlOverride w:ilvl="0">
      <w:startOverride w:val="1"/>
    </w:lvlOverride>
  </w:num>
  <w:num w:numId="71" w16cid:durableId="645206157">
    <w:abstractNumId w:val="79"/>
    <w:lvlOverride w:ilvl="0">
      <w:startOverride w:val="1"/>
    </w:lvlOverride>
  </w:num>
  <w:num w:numId="72" w16cid:durableId="852233092">
    <w:abstractNumId w:val="79"/>
    <w:lvlOverride w:ilvl="0">
      <w:startOverride w:val="1"/>
    </w:lvlOverride>
  </w:num>
  <w:num w:numId="73" w16cid:durableId="1880363249">
    <w:abstractNumId w:val="79"/>
    <w:lvlOverride w:ilvl="0">
      <w:startOverride w:val="1"/>
    </w:lvlOverride>
  </w:num>
  <w:num w:numId="74" w16cid:durableId="1615404326">
    <w:abstractNumId w:val="79"/>
    <w:lvlOverride w:ilvl="0">
      <w:startOverride w:val="1"/>
    </w:lvlOverride>
  </w:num>
  <w:num w:numId="75" w16cid:durableId="2119255278">
    <w:abstractNumId w:val="79"/>
    <w:lvlOverride w:ilvl="0">
      <w:startOverride w:val="1"/>
    </w:lvlOverride>
  </w:num>
  <w:num w:numId="76" w16cid:durableId="914437718">
    <w:abstractNumId w:val="121"/>
  </w:num>
  <w:num w:numId="77" w16cid:durableId="293104920">
    <w:abstractNumId w:val="79"/>
    <w:lvlOverride w:ilvl="0">
      <w:startOverride w:val="1"/>
    </w:lvlOverride>
  </w:num>
  <w:num w:numId="78" w16cid:durableId="1061900645">
    <w:abstractNumId w:val="109"/>
  </w:num>
  <w:num w:numId="79" w16cid:durableId="2130079757">
    <w:abstractNumId w:val="79"/>
    <w:lvlOverride w:ilvl="0">
      <w:startOverride w:val="1"/>
    </w:lvlOverride>
  </w:num>
  <w:num w:numId="80" w16cid:durableId="30040276">
    <w:abstractNumId w:val="79"/>
    <w:lvlOverride w:ilvl="0">
      <w:startOverride w:val="1"/>
    </w:lvlOverride>
  </w:num>
  <w:num w:numId="81" w16cid:durableId="1923830846">
    <w:abstractNumId w:val="79"/>
    <w:lvlOverride w:ilvl="0">
      <w:startOverride w:val="1"/>
    </w:lvlOverride>
  </w:num>
  <w:num w:numId="82" w16cid:durableId="719863629">
    <w:abstractNumId w:val="79"/>
    <w:lvlOverride w:ilvl="0">
      <w:startOverride w:val="1"/>
    </w:lvlOverride>
  </w:num>
  <w:num w:numId="83" w16cid:durableId="1318262798">
    <w:abstractNumId w:val="79"/>
    <w:lvlOverride w:ilvl="0">
      <w:startOverride w:val="1"/>
    </w:lvlOverride>
  </w:num>
  <w:num w:numId="84" w16cid:durableId="1202670238">
    <w:abstractNumId w:val="79"/>
    <w:lvlOverride w:ilvl="0">
      <w:startOverride w:val="1"/>
    </w:lvlOverride>
  </w:num>
  <w:num w:numId="85" w16cid:durableId="1766345587">
    <w:abstractNumId w:val="79"/>
    <w:lvlOverride w:ilvl="0">
      <w:startOverride w:val="1"/>
    </w:lvlOverride>
  </w:num>
  <w:num w:numId="86" w16cid:durableId="1600596803">
    <w:abstractNumId w:val="79"/>
    <w:lvlOverride w:ilvl="0">
      <w:startOverride w:val="1"/>
    </w:lvlOverride>
  </w:num>
  <w:num w:numId="87" w16cid:durableId="2132244902">
    <w:abstractNumId w:val="79"/>
    <w:lvlOverride w:ilvl="0">
      <w:startOverride w:val="1"/>
    </w:lvlOverride>
  </w:num>
  <w:num w:numId="88" w16cid:durableId="1162430851">
    <w:abstractNumId w:val="79"/>
    <w:lvlOverride w:ilvl="0">
      <w:startOverride w:val="1"/>
    </w:lvlOverride>
  </w:num>
  <w:num w:numId="89" w16cid:durableId="1412702613">
    <w:abstractNumId w:val="79"/>
    <w:lvlOverride w:ilvl="0">
      <w:startOverride w:val="1"/>
    </w:lvlOverride>
  </w:num>
  <w:num w:numId="90" w16cid:durableId="1340424160">
    <w:abstractNumId w:val="79"/>
    <w:lvlOverride w:ilvl="0">
      <w:startOverride w:val="1"/>
    </w:lvlOverride>
  </w:num>
  <w:num w:numId="91" w16cid:durableId="443430330">
    <w:abstractNumId w:val="79"/>
    <w:lvlOverride w:ilvl="0">
      <w:startOverride w:val="1"/>
    </w:lvlOverride>
  </w:num>
  <w:num w:numId="92" w16cid:durableId="1036736257">
    <w:abstractNumId w:val="79"/>
    <w:lvlOverride w:ilvl="0">
      <w:startOverride w:val="1"/>
    </w:lvlOverride>
  </w:num>
  <w:num w:numId="93" w16cid:durableId="761687563">
    <w:abstractNumId w:val="79"/>
    <w:lvlOverride w:ilvl="0">
      <w:startOverride w:val="1"/>
    </w:lvlOverride>
  </w:num>
  <w:num w:numId="94" w16cid:durableId="828909327">
    <w:abstractNumId w:val="79"/>
    <w:lvlOverride w:ilvl="0">
      <w:startOverride w:val="1"/>
    </w:lvlOverride>
  </w:num>
  <w:num w:numId="95" w16cid:durableId="1432117233">
    <w:abstractNumId w:val="180"/>
  </w:num>
  <w:num w:numId="96" w16cid:durableId="1736077692">
    <w:abstractNumId w:val="79"/>
    <w:lvlOverride w:ilvl="0">
      <w:startOverride w:val="1"/>
    </w:lvlOverride>
  </w:num>
  <w:num w:numId="97" w16cid:durableId="5257806">
    <w:abstractNumId w:val="79"/>
    <w:lvlOverride w:ilvl="0">
      <w:startOverride w:val="1"/>
    </w:lvlOverride>
  </w:num>
  <w:num w:numId="98" w16cid:durableId="125851562">
    <w:abstractNumId w:val="79"/>
    <w:lvlOverride w:ilvl="0">
      <w:startOverride w:val="1"/>
    </w:lvlOverride>
  </w:num>
  <w:num w:numId="99" w16cid:durableId="368341485">
    <w:abstractNumId w:val="52"/>
  </w:num>
  <w:num w:numId="100" w16cid:durableId="1137063999">
    <w:abstractNumId w:val="79"/>
    <w:lvlOverride w:ilvl="0">
      <w:startOverride w:val="1"/>
    </w:lvlOverride>
  </w:num>
  <w:num w:numId="101" w16cid:durableId="2130392738">
    <w:abstractNumId w:val="79"/>
    <w:lvlOverride w:ilvl="0">
      <w:startOverride w:val="1"/>
    </w:lvlOverride>
  </w:num>
  <w:num w:numId="102" w16cid:durableId="124742844">
    <w:abstractNumId w:val="129"/>
  </w:num>
  <w:num w:numId="103" w16cid:durableId="2089109872">
    <w:abstractNumId w:val="113"/>
  </w:num>
  <w:num w:numId="104" w16cid:durableId="1772117105">
    <w:abstractNumId w:val="40"/>
  </w:num>
  <w:num w:numId="105" w16cid:durableId="171646422">
    <w:abstractNumId w:val="119"/>
  </w:num>
  <w:num w:numId="106" w16cid:durableId="1668946966">
    <w:abstractNumId w:val="108"/>
  </w:num>
  <w:num w:numId="107" w16cid:durableId="1844861115">
    <w:abstractNumId w:val="150"/>
  </w:num>
  <w:num w:numId="108" w16cid:durableId="869027345">
    <w:abstractNumId w:val="107"/>
  </w:num>
  <w:num w:numId="109" w16cid:durableId="1986660952">
    <w:abstractNumId w:val="106"/>
  </w:num>
  <w:num w:numId="110" w16cid:durableId="26955458">
    <w:abstractNumId w:val="90"/>
  </w:num>
  <w:num w:numId="111" w16cid:durableId="691759411">
    <w:abstractNumId w:val="24"/>
  </w:num>
  <w:num w:numId="112" w16cid:durableId="938491971">
    <w:abstractNumId w:val="49"/>
  </w:num>
  <w:num w:numId="113" w16cid:durableId="490751426">
    <w:abstractNumId w:val="174"/>
  </w:num>
  <w:num w:numId="114" w16cid:durableId="2041276825">
    <w:abstractNumId w:val="20"/>
  </w:num>
  <w:num w:numId="115" w16cid:durableId="398213729">
    <w:abstractNumId w:val="25"/>
  </w:num>
  <w:num w:numId="116" w16cid:durableId="1391225222">
    <w:abstractNumId w:val="53"/>
  </w:num>
  <w:num w:numId="117" w16cid:durableId="1498380985">
    <w:abstractNumId w:val="177"/>
  </w:num>
  <w:num w:numId="118" w16cid:durableId="588542771">
    <w:abstractNumId w:val="131"/>
  </w:num>
  <w:num w:numId="119" w16cid:durableId="357118889">
    <w:abstractNumId w:val="197"/>
  </w:num>
  <w:num w:numId="120" w16cid:durableId="1702363762">
    <w:abstractNumId w:val="85"/>
  </w:num>
  <w:num w:numId="121" w16cid:durableId="851065202">
    <w:abstractNumId w:val="74"/>
  </w:num>
  <w:num w:numId="122" w16cid:durableId="805969986">
    <w:abstractNumId w:val="190"/>
  </w:num>
  <w:num w:numId="123" w16cid:durableId="593708800">
    <w:abstractNumId w:val="10"/>
  </w:num>
  <w:num w:numId="124" w16cid:durableId="1810587434">
    <w:abstractNumId w:val="60"/>
  </w:num>
  <w:num w:numId="125" w16cid:durableId="1255162056">
    <w:abstractNumId w:val="185"/>
  </w:num>
  <w:num w:numId="126" w16cid:durableId="1952937613">
    <w:abstractNumId w:val="115"/>
  </w:num>
  <w:num w:numId="127" w16cid:durableId="409499358">
    <w:abstractNumId w:val="149"/>
  </w:num>
  <w:num w:numId="128" w16cid:durableId="171574429">
    <w:abstractNumId w:val="136"/>
  </w:num>
  <w:num w:numId="129" w16cid:durableId="1359968474">
    <w:abstractNumId w:val="50"/>
  </w:num>
  <w:num w:numId="130" w16cid:durableId="390469236">
    <w:abstractNumId w:val="59"/>
  </w:num>
  <w:num w:numId="131" w16cid:durableId="898327990">
    <w:abstractNumId w:val="30"/>
  </w:num>
  <w:num w:numId="132" w16cid:durableId="1406800349">
    <w:abstractNumId w:val="61"/>
  </w:num>
  <w:num w:numId="133" w16cid:durableId="1355811677">
    <w:abstractNumId w:val="139"/>
  </w:num>
  <w:num w:numId="134" w16cid:durableId="861095449">
    <w:abstractNumId w:val="41"/>
  </w:num>
  <w:num w:numId="135" w16cid:durableId="738289064">
    <w:abstractNumId w:val="37"/>
  </w:num>
  <w:num w:numId="136" w16cid:durableId="74321169">
    <w:abstractNumId w:val="127"/>
  </w:num>
  <w:num w:numId="137" w16cid:durableId="665745752">
    <w:abstractNumId w:val="77"/>
  </w:num>
  <w:num w:numId="138" w16cid:durableId="187184716">
    <w:abstractNumId w:val="195"/>
  </w:num>
  <w:num w:numId="139" w16cid:durableId="1567687917">
    <w:abstractNumId w:val="16"/>
  </w:num>
  <w:num w:numId="140" w16cid:durableId="1611934153">
    <w:abstractNumId w:val="99"/>
  </w:num>
  <w:num w:numId="141" w16cid:durableId="22830311">
    <w:abstractNumId w:val="171"/>
  </w:num>
  <w:num w:numId="142" w16cid:durableId="1785423975">
    <w:abstractNumId w:val="160"/>
  </w:num>
  <w:num w:numId="143" w16cid:durableId="163709345">
    <w:abstractNumId w:val="11"/>
  </w:num>
  <w:num w:numId="144" w16cid:durableId="1855416079">
    <w:abstractNumId w:val="181"/>
  </w:num>
  <w:num w:numId="145" w16cid:durableId="1790394645">
    <w:abstractNumId w:val="29"/>
  </w:num>
  <w:num w:numId="146" w16cid:durableId="1094548198">
    <w:abstractNumId w:val="33"/>
  </w:num>
  <w:num w:numId="147" w16cid:durableId="64954756">
    <w:abstractNumId w:val="76"/>
  </w:num>
  <w:num w:numId="148" w16cid:durableId="86930610">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16cid:durableId="454178355">
    <w:abstractNumId w:val="124"/>
  </w:num>
  <w:num w:numId="150" w16cid:durableId="1619798949">
    <w:abstractNumId w:val="27"/>
  </w:num>
  <w:num w:numId="151" w16cid:durableId="1751777907">
    <w:abstractNumId w:val="67"/>
  </w:num>
  <w:num w:numId="152" w16cid:durableId="1545210622">
    <w:abstractNumId w:val="112"/>
  </w:num>
  <w:num w:numId="153" w16cid:durableId="427700301">
    <w:abstractNumId w:val="75"/>
  </w:num>
  <w:num w:numId="154" w16cid:durableId="1930652462">
    <w:abstractNumId w:val="73"/>
  </w:num>
  <w:num w:numId="155" w16cid:durableId="838468572">
    <w:abstractNumId w:val="118"/>
  </w:num>
  <w:num w:numId="156" w16cid:durableId="1287737314">
    <w:abstractNumId w:val="79"/>
    <w:lvlOverride w:ilvl="0">
      <w:startOverride w:val="1"/>
    </w:lvlOverride>
  </w:num>
  <w:num w:numId="157" w16cid:durableId="438188574">
    <w:abstractNumId w:val="79"/>
    <w:lvlOverride w:ilvl="0">
      <w:startOverride w:val="1"/>
    </w:lvlOverride>
  </w:num>
  <w:num w:numId="158" w16cid:durableId="808787775">
    <w:abstractNumId w:val="79"/>
    <w:lvlOverride w:ilvl="0">
      <w:startOverride w:val="1"/>
    </w:lvlOverride>
  </w:num>
  <w:num w:numId="159" w16cid:durableId="274407128">
    <w:abstractNumId w:val="79"/>
    <w:lvlOverride w:ilvl="0">
      <w:startOverride w:val="1"/>
    </w:lvlOverride>
  </w:num>
  <w:num w:numId="160" w16cid:durableId="20447604">
    <w:abstractNumId w:val="79"/>
    <w:lvlOverride w:ilvl="0">
      <w:startOverride w:val="1"/>
    </w:lvlOverride>
  </w:num>
  <w:num w:numId="161" w16cid:durableId="917789581">
    <w:abstractNumId w:val="79"/>
    <w:lvlOverride w:ilvl="0">
      <w:startOverride w:val="1"/>
    </w:lvlOverride>
  </w:num>
  <w:num w:numId="162" w16cid:durableId="1492868176">
    <w:abstractNumId w:val="79"/>
    <w:lvlOverride w:ilvl="0">
      <w:startOverride w:val="1"/>
    </w:lvlOverride>
  </w:num>
  <w:num w:numId="163" w16cid:durableId="1710182297">
    <w:abstractNumId w:val="79"/>
    <w:lvlOverride w:ilvl="0">
      <w:startOverride w:val="1"/>
    </w:lvlOverride>
  </w:num>
  <w:num w:numId="164" w16cid:durableId="1035931733">
    <w:abstractNumId w:val="79"/>
    <w:lvlOverride w:ilvl="0">
      <w:startOverride w:val="1"/>
    </w:lvlOverride>
  </w:num>
  <w:num w:numId="165" w16cid:durableId="1496264866">
    <w:abstractNumId w:val="79"/>
    <w:lvlOverride w:ilvl="0">
      <w:startOverride w:val="1"/>
    </w:lvlOverride>
  </w:num>
  <w:num w:numId="166" w16cid:durableId="1616253364">
    <w:abstractNumId w:val="79"/>
    <w:lvlOverride w:ilvl="0">
      <w:startOverride w:val="1"/>
    </w:lvlOverride>
  </w:num>
  <w:num w:numId="167" w16cid:durableId="1512987900">
    <w:abstractNumId w:val="79"/>
    <w:lvlOverride w:ilvl="0">
      <w:startOverride w:val="1"/>
    </w:lvlOverride>
  </w:num>
  <w:num w:numId="168" w16cid:durableId="244415338">
    <w:abstractNumId w:val="79"/>
    <w:lvlOverride w:ilvl="0">
      <w:startOverride w:val="1"/>
    </w:lvlOverride>
  </w:num>
  <w:num w:numId="169" w16cid:durableId="376586390">
    <w:abstractNumId w:val="79"/>
    <w:lvlOverride w:ilvl="0">
      <w:startOverride w:val="1"/>
    </w:lvlOverride>
  </w:num>
  <w:num w:numId="170" w16cid:durableId="521088720">
    <w:abstractNumId w:val="79"/>
    <w:lvlOverride w:ilvl="0">
      <w:startOverride w:val="1"/>
    </w:lvlOverride>
  </w:num>
  <w:num w:numId="171" w16cid:durableId="1561863194">
    <w:abstractNumId w:val="79"/>
    <w:lvlOverride w:ilvl="0">
      <w:startOverride w:val="1"/>
    </w:lvlOverride>
  </w:num>
  <w:num w:numId="172" w16cid:durableId="1095634791">
    <w:abstractNumId w:val="79"/>
    <w:lvlOverride w:ilvl="0">
      <w:startOverride w:val="1"/>
    </w:lvlOverride>
  </w:num>
  <w:num w:numId="173" w16cid:durableId="1805926858">
    <w:abstractNumId w:val="79"/>
    <w:lvlOverride w:ilvl="0">
      <w:startOverride w:val="1"/>
    </w:lvlOverride>
  </w:num>
  <w:num w:numId="174" w16cid:durableId="1335567787">
    <w:abstractNumId w:val="79"/>
    <w:lvlOverride w:ilvl="0">
      <w:startOverride w:val="1"/>
    </w:lvlOverride>
  </w:num>
  <w:num w:numId="175" w16cid:durableId="1189878741">
    <w:abstractNumId w:val="79"/>
    <w:lvlOverride w:ilvl="0">
      <w:startOverride w:val="1"/>
    </w:lvlOverride>
  </w:num>
  <w:num w:numId="176" w16cid:durableId="1080055021">
    <w:abstractNumId w:val="79"/>
    <w:lvlOverride w:ilvl="0">
      <w:startOverride w:val="1"/>
    </w:lvlOverride>
  </w:num>
  <w:num w:numId="177" w16cid:durableId="1370491949">
    <w:abstractNumId w:val="79"/>
    <w:lvlOverride w:ilvl="0">
      <w:startOverride w:val="1"/>
    </w:lvlOverride>
  </w:num>
  <w:num w:numId="178" w16cid:durableId="883716288">
    <w:abstractNumId w:val="79"/>
    <w:lvlOverride w:ilvl="0">
      <w:startOverride w:val="1"/>
    </w:lvlOverride>
  </w:num>
  <w:num w:numId="179" w16cid:durableId="1120224317">
    <w:abstractNumId w:val="79"/>
    <w:lvlOverride w:ilvl="0">
      <w:startOverride w:val="1"/>
    </w:lvlOverride>
  </w:num>
  <w:num w:numId="180" w16cid:durableId="1069156840">
    <w:abstractNumId w:val="79"/>
    <w:lvlOverride w:ilvl="0">
      <w:startOverride w:val="1"/>
    </w:lvlOverride>
  </w:num>
  <w:num w:numId="181" w16cid:durableId="606695337">
    <w:abstractNumId w:val="79"/>
    <w:lvlOverride w:ilvl="0">
      <w:startOverride w:val="1"/>
    </w:lvlOverride>
  </w:num>
  <w:num w:numId="182" w16cid:durableId="227151844">
    <w:abstractNumId w:val="79"/>
    <w:lvlOverride w:ilvl="0">
      <w:startOverride w:val="1"/>
    </w:lvlOverride>
  </w:num>
  <w:num w:numId="183" w16cid:durableId="260989813">
    <w:abstractNumId w:val="79"/>
    <w:lvlOverride w:ilvl="0">
      <w:startOverride w:val="1"/>
    </w:lvlOverride>
  </w:num>
  <w:num w:numId="184" w16cid:durableId="2097438216">
    <w:abstractNumId w:val="79"/>
    <w:lvlOverride w:ilvl="0">
      <w:startOverride w:val="1"/>
    </w:lvlOverride>
  </w:num>
  <w:num w:numId="185" w16cid:durableId="956838164">
    <w:abstractNumId w:val="79"/>
    <w:lvlOverride w:ilvl="0">
      <w:startOverride w:val="1"/>
    </w:lvlOverride>
  </w:num>
  <w:num w:numId="186" w16cid:durableId="1640378233">
    <w:abstractNumId w:val="79"/>
    <w:lvlOverride w:ilvl="0">
      <w:startOverride w:val="1"/>
    </w:lvlOverride>
  </w:num>
  <w:num w:numId="187" w16cid:durableId="676926930">
    <w:abstractNumId w:val="79"/>
    <w:lvlOverride w:ilvl="0">
      <w:startOverride w:val="1"/>
    </w:lvlOverride>
  </w:num>
  <w:num w:numId="188" w16cid:durableId="1508592054">
    <w:abstractNumId w:val="79"/>
    <w:lvlOverride w:ilvl="0">
      <w:startOverride w:val="1"/>
    </w:lvlOverride>
  </w:num>
  <w:num w:numId="189" w16cid:durableId="1391686020">
    <w:abstractNumId w:val="79"/>
    <w:lvlOverride w:ilvl="0">
      <w:startOverride w:val="1"/>
    </w:lvlOverride>
  </w:num>
  <w:num w:numId="190" w16cid:durableId="388919482">
    <w:abstractNumId w:val="79"/>
    <w:lvlOverride w:ilvl="0">
      <w:startOverride w:val="1"/>
    </w:lvlOverride>
  </w:num>
  <w:num w:numId="191" w16cid:durableId="241767854">
    <w:abstractNumId w:val="79"/>
    <w:lvlOverride w:ilvl="0">
      <w:startOverride w:val="1"/>
    </w:lvlOverride>
  </w:num>
  <w:num w:numId="192" w16cid:durableId="139423971">
    <w:abstractNumId w:val="79"/>
    <w:lvlOverride w:ilvl="0">
      <w:startOverride w:val="1"/>
    </w:lvlOverride>
  </w:num>
  <w:num w:numId="193" w16cid:durableId="379019417">
    <w:abstractNumId w:val="79"/>
    <w:lvlOverride w:ilvl="0">
      <w:startOverride w:val="1"/>
    </w:lvlOverride>
  </w:num>
  <w:num w:numId="194" w16cid:durableId="2146578645">
    <w:abstractNumId w:val="79"/>
    <w:lvlOverride w:ilvl="0">
      <w:startOverride w:val="1"/>
    </w:lvlOverride>
  </w:num>
  <w:num w:numId="195" w16cid:durableId="811408201">
    <w:abstractNumId w:val="79"/>
    <w:lvlOverride w:ilvl="0">
      <w:startOverride w:val="1"/>
    </w:lvlOverride>
  </w:num>
  <w:num w:numId="196" w16cid:durableId="1410730161">
    <w:abstractNumId w:val="79"/>
    <w:lvlOverride w:ilvl="0">
      <w:startOverride w:val="1"/>
    </w:lvlOverride>
  </w:num>
  <w:num w:numId="197" w16cid:durableId="274337834">
    <w:abstractNumId w:val="79"/>
    <w:lvlOverride w:ilvl="0">
      <w:startOverride w:val="1"/>
    </w:lvlOverride>
  </w:num>
  <w:num w:numId="198" w16cid:durableId="2058118016">
    <w:abstractNumId w:val="87"/>
  </w:num>
  <w:num w:numId="199" w16cid:durableId="1052074516">
    <w:abstractNumId w:val="79"/>
    <w:lvlOverride w:ilvl="0">
      <w:startOverride w:val="1"/>
    </w:lvlOverride>
  </w:num>
  <w:num w:numId="200" w16cid:durableId="750586701">
    <w:abstractNumId w:val="79"/>
    <w:lvlOverride w:ilvl="0">
      <w:startOverride w:val="1"/>
    </w:lvlOverride>
  </w:num>
  <w:num w:numId="201" w16cid:durableId="862402903">
    <w:abstractNumId w:val="79"/>
    <w:lvlOverride w:ilvl="0">
      <w:startOverride w:val="1"/>
    </w:lvlOverride>
  </w:num>
  <w:num w:numId="202" w16cid:durableId="820777124">
    <w:abstractNumId w:val="79"/>
    <w:lvlOverride w:ilvl="0">
      <w:startOverride w:val="1"/>
    </w:lvlOverride>
  </w:num>
  <w:num w:numId="203" w16cid:durableId="702903838">
    <w:abstractNumId w:val="79"/>
    <w:lvlOverride w:ilvl="0">
      <w:startOverride w:val="1"/>
    </w:lvlOverride>
  </w:num>
  <w:num w:numId="204" w16cid:durableId="1434941042">
    <w:abstractNumId w:val="173"/>
  </w:num>
  <w:num w:numId="205" w16cid:durableId="1091004696">
    <w:abstractNumId w:val="1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16cid:durableId="861043915">
    <w:abstractNumId w:val="17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16cid:durableId="975262488">
    <w:abstractNumId w:val="18"/>
  </w:num>
  <w:num w:numId="208" w16cid:durableId="1534883502">
    <w:abstractNumId w:val="21"/>
  </w:num>
  <w:num w:numId="209" w16cid:durableId="1742095475">
    <w:abstractNumId w:val="186"/>
  </w:num>
  <w:num w:numId="210" w16cid:durableId="430467597">
    <w:abstractNumId w:val="168"/>
  </w:num>
  <w:num w:numId="211" w16cid:durableId="686098441">
    <w:abstractNumId w:val="79"/>
    <w:lvlOverride w:ilvl="0">
      <w:startOverride w:val="1"/>
    </w:lvlOverride>
  </w:num>
  <w:num w:numId="212" w16cid:durableId="271475674">
    <w:abstractNumId w:val="51"/>
  </w:num>
  <w:num w:numId="213" w16cid:durableId="378281419">
    <w:abstractNumId w:val="79"/>
    <w:lvlOverride w:ilvl="0">
      <w:startOverride w:val="1"/>
    </w:lvlOverride>
  </w:num>
  <w:num w:numId="214" w16cid:durableId="933435240">
    <w:abstractNumId w:val="79"/>
    <w:lvlOverride w:ilvl="0">
      <w:startOverride w:val="1"/>
    </w:lvlOverride>
  </w:num>
  <w:num w:numId="215" w16cid:durableId="325746443">
    <w:abstractNumId w:val="79"/>
    <w:lvlOverride w:ilvl="0">
      <w:startOverride w:val="1"/>
    </w:lvlOverride>
  </w:num>
  <w:num w:numId="216" w16cid:durableId="1691645083">
    <w:abstractNumId w:val="147"/>
  </w:num>
  <w:num w:numId="217" w16cid:durableId="349142356">
    <w:abstractNumId w:val="79"/>
    <w:lvlOverride w:ilvl="0">
      <w:startOverride w:val="1"/>
    </w:lvlOverride>
  </w:num>
  <w:num w:numId="218" w16cid:durableId="218826513">
    <w:abstractNumId w:val="79"/>
    <w:lvlOverride w:ilvl="0">
      <w:startOverride w:val="1"/>
    </w:lvlOverride>
  </w:num>
  <w:num w:numId="219" w16cid:durableId="1477605861">
    <w:abstractNumId w:val="79"/>
    <w:lvlOverride w:ilvl="0">
      <w:startOverride w:val="1"/>
    </w:lvlOverride>
  </w:num>
  <w:num w:numId="220" w16cid:durableId="1066605059">
    <w:abstractNumId w:val="79"/>
    <w:lvlOverride w:ilvl="0">
      <w:startOverride w:val="1"/>
    </w:lvlOverride>
  </w:num>
  <w:num w:numId="221" w16cid:durableId="246378874">
    <w:abstractNumId w:val="79"/>
    <w:lvlOverride w:ilvl="0">
      <w:startOverride w:val="1"/>
    </w:lvlOverride>
  </w:num>
  <w:num w:numId="222" w16cid:durableId="2077897802">
    <w:abstractNumId w:val="79"/>
    <w:lvlOverride w:ilvl="0">
      <w:startOverride w:val="1"/>
    </w:lvlOverride>
  </w:num>
  <w:num w:numId="223" w16cid:durableId="596211758">
    <w:abstractNumId w:val="102"/>
  </w:num>
  <w:num w:numId="224" w16cid:durableId="1404645318">
    <w:abstractNumId w:val="191"/>
  </w:num>
  <w:num w:numId="225" w16cid:durableId="842822405">
    <w:abstractNumId w:val="79"/>
    <w:lvlOverride w:ilvl="0">
      <w:startOverride w:val="1"/>
    </w:lvlOverride>
  </w:num>
  <w:num w:numId="226" w16cid:durableId="1752198860">
    <w:abstractNumId w:val="79"/>
    <w:lvlOverride w:ilvl="0">
      <w:startOverride w:val="1"/>
    </w:lvlOverride>
  </w:num>
  <w:num w:numId="227" w16cid:durableId="175267254">
    <w:abstractNumId w:val="32"/>
  </w:num>
  <w:num w:numId="228" w16cid:durableId="1614943539">
    <w:abstractNumId w:val="79"/>
    <w:lvlOverride w:ilvl="0">
      <w:startOverride w:val="1"/>
    </w:lvlOverride>
  </w:num>
  <w:num w:numId="229" w16cid:durableId="1286500636">
    <w:abstractNumId w:val="79"/>
    <w:lvlOverride w:ilvl="0">
      <w:startOverride w:val="1"/>
    </w:lvlOverride>
  </w:num>
  <w:num w:numId="230" w16cid:durableId="572665579">
    <w:abstractNumId w:val="79"/>
    <w:lvlOverride w:ilvl="0">
      <w:startOverride w:val="1"/>
    </w:lvlOverride>
  </w:num>
  <w:num w:numId="231" w16cid:durableId="252670381">
    <w:abstractNumId w:val="79"/>
    <w:lvlOverride w:ilvl="0">
      <w:startOverride w:val="1"/>
    </w:lvlOverride>
  </w:num>
  <w:num w:numId="232" w16cid:durableId="1786919296">
    <w:abstractNumId w:val="79"/>
    <w:lvlOverride w:ilvl="0">
      <w:startOverride w:val="1"/>
    </w:lvlOverride>
  </w:num>
  <w:num w:numId="233" w16cid:durableId="1514760292">
    <w:abstractNumId w:val="79"/>
    <w:lvlOverride w:ilvl="0">
      <w:startOverride w:val="1"/>
    </w:lvlOverride>
  </w:num>
  <w:num w:numId="234" w16cid:durableId="1207913575">
    <w:abstractNumId w:val="79"/>
    <w:lvlOverride w:ilvl="0">
      <w:startOverride w:val="1"/>
    </w:lvlOverride>
  </w:num>
  <w:num w:numId="235" w16cid:durableId="1455443121">
    <w:abstractNumId w:val="79"/>
    <w:lvlOverride w:ilvl="0">
      <w:startOverride w:val="1"/>
    </w:lvlOverride>
  </w:num>
  <w:num w:numId="236" w16cid:durableId="808404627">
    <w:abstractNumId w:val="158"/>
  </w:num>
  <w:num w:numId="237" w16cid:durableId="179320264">
    <w:abstractNumId w:val="79"/>
    <w:lvlOverride w:ilvl="0">
      <w:startOverride w:val="1"/>
    </w:lvlOverride>
  </w:num>
  <w:num w:numId="238" w16cid:durableId="1189759816">
    <w:abstractNumId w:val="79"/>
    <w:lvlOverride w:ilvl="0">
      <w:startOverride w:val="1"/>
    </w:lvlOverride>
  </w:num>
  <w:num w:numId="239" w16cid:durableId="1381436008">
    <w:abstractNumId w:val="79"/>
    <w:lvlOverride w:ilvl="0">
      <w:startOverride w:val="1"/>
    </w:lvlOverride>
  </w:num>
  <w:num w:numId="240" w16cid:durableId="451215711">
    <w:abstractNumId w:val="79"/>
    <w:lvlOverride w:ilvl="0">
      <w:startOverride w:val="1"/>
    </w:lvlOverride>
  </w:num>
  <w:num w:numId="241" w16cid:durableId="2043440051">
    <w:abstractNumId w:val="79"/>
    <w:lvlOverride w:ilvl="0">
      <w:startOverride w:val="1"/>
    </w:lvlOverride>
  </w:num>
  <w:num w:numId="242" w16cid:durableId="330525633">
    <w:abstractNumId w:val="79"/>
    <w:lvlOverride w:ilvl="0">
      <w:startOverride w:val="1"/>
    </w:lvlOverride>
  </w:num>
  <w:num w:numId="243" w16cid:durableId="824735723">
    <w:abstractNumId w:val="79"/>
    <w:lvlOverride w:ilvl="0">
      <w:startOverride w:val="1"/>
    </w:lvlOverride>
  </w:num>
  <w:num w:numId="244" w16cid:durableId="2075733551">
    <w:abstractNumId w:val="79"/>
    <w:lvlOverride w:ilvl="0">
      <w:startOverride w:val="1"/>
    </w:lvlOverride>
  </w:num>
  <w:num w:numId="245" w16cid:durableId="172113383">
    <w:abstractNumId w:val="172"/>
  </w:num>
  <w:num w:numId="246" w16cid:durableId="1490369113">
    <w:abstractNumId w:val="79"/>
    <w:lvlOverride w:ilvl="0">
      <w:startOverride w:val="1"/>
    </w:lvlOverride>
  </w:num>
  <w:num w:numId="247" w16cid:durableId="309988897">
    <w:abstractNumId w:val="79"/>
    <w:lvlOverride w:ilvl="0">
      <w:startOverride w:val="1"/>
    </w:lvlOverride>
  </w:num>
  <w:num w:numId="248" w16cid:durableId="1916936577">
    <w:abstractNumId w:val="79"/>
    <w:lvlOverride w:ilvl="0">
      <w:startOverride w:val="1"/>
    </w:lvlOverride>
  </w:num>
  <w:num w:numId="249" w16cid:durableId="1846438411">
    <w:abstractNumId w:val="79"/>
    <w:lvlOverride w:ilvl="0">
      <w:startOverride w:val="1"/>
    </w:lvlOverride>
  </w:num>
  <w:num w:numId="250" w16cid:durableId="600381089">
    <w:abstractNumId w:val="79"/>
    <w:lvlOverride w:ilvl="0">
      <w:startOverride w:val="1"/>
    </w:lvlOverride>
  </w:num>
  <w:num w:numId="251" w16cid:durableId="2109420975">
    <w:abstractNumId w:val="79"/>
    <w:lvlOverride w:ilvl="0">
      <w:startOverride w:val="1"/>
    </w:lvlOverride>
  </w:num>
  <w:num w:numId="252" w16cid:durableId="1030569870">
    <w:abstractNumId w:val="79"/>
    <w:lvlOverride w:ilvl="0">
      <w:startOverride w:val="1"/>
    </w:lvlOverride>
  </w:num>
  <w:num w:numId="253" w16cid:durableId="539636129">
    <w:abstractNumId w:val="79"/>
    <w:lvlOverride w:ilvl="0">
      <w:startOverride w:val="1"/>
    </w:lvlOverride>
  </w:num>
  <w:num w:numId="254" w16cid:durableId="2100981327">
    <w:abstractNumId w:val="79"/>
    <w:lvlOverride w:ilvl="0">
      <w:startOverride w:val="1"/>
    </w:lvlOverride>
  </w:num>
  <w:num w:numId="255" w16cid:durableId="888801110">
    <w:abstractNumId w:val="79"/>
    <w:lvlOverride w:ilvl="0">
      <w:startOverride w:val="1"/>
    </w:lvlOverride>
  </w:num>
  <w:num w:numId="256" w16cid:durableId="95103860">
    <w:abstractNumId w:val="79"/>
    <w:lvlOverride w:ilvl="0">
      <w:startOverride w:val="1"/>
    </w:lvlOverride>
  </w:num>
  <w:num w:numId="257" w16cid:durableId="894125986">
    <w:abstractNumId w:val="114"/>
  </w:num>
  <w:num w:numId="258" w16cid:durableId="1536457115">
    <w:abstractNumId w:val="145"/>
  </w:num>
  <w:num w:numId="259" w16cid:durableId="476845743">
    <w:abstractNumId w:val="79"/>
    <w:lvlOverride w:ilvl="0">
      <w:startOverride w:val="1"/>
    </w:lvlOverride>
  </w:num>
  <w:num w:numId="260" w16cid:durableId="1866017047">
    <w:abstractNumId w:val="79"/>
    <w:lvlOverride w:ilvl="0">
      <w:startOverride w:val="1"/>
    </w:lvlOverride>
  </w:num>
  <w:num w:numId="261" w16cid:durableId="343213790">
    <w:abstractNumId w:val="79"/>
    <w:lvlOverride w:ilvl="0">
      <w:startOverride w:val="1"/>
    </w:lvlOverride>
  </w:num>
  <w:num w:numId="262" w16cid:durableId="1337806855">
    <w:abstractNumId w:val="79"/>
    <w:lvlOverride w:ilvl="0">
      <w:startOverride w:val="1"/>
    </w:lvlOverride>
  </w:num>
  <w:num w:numId="263" w16cid:durableId="526257471">
    <w:abstractNumId w:val="79"/>
    <w:lvlOverride w:ilvl="0">
      <w:startOverride w:val="1"/>
    </w:lvlOverride>
  </w:num>
  <w:num w:numId="264" w16cid:durableId="2069450188">
    <w:abstractNumId w:val="79"/>
    <w:lvlOverride w:ilvl="0">
      <w:startOverride w:val="1"/>
    </w:lvlOverride>
  </w:num>
  <w:num w:numId="265" w16cid:durableId="944535573">
    <w:abstractNumId w:val="79"/>
    <w:lvlOverride w:ilvl="0">
      <w:startOverride w:val="1"/>
    </w:lvlOverride>
  </w:num>
  <w:num w:numId="266" w16cid:durableId="237176997">
    <w:abstractNumId w:val="79"/>
    <w:lvlOverride w:ilvl="0">
      <w:startOverride w:val="1"/>
    </w:lvlOverride>
  </w:num>
  <w:num w:numId="267" w16cid:durableId="955601019">
    <w:abstractNumId w:val="79"/>
    <w:lvlOverride w:ilvl="0">
      <w:startOverride w:val="1"/>
    </w:lvlOverride>
  </w:num>
  <w:num w:numId="268" w16cid:durableId="2027245155">
    <w:abstractNumId w:val="79"/>
    <w:lvlOverride w:ilvl="0">
      <w:startOverride w:val="1"/>
    </w:lvlOverride>
  </w:num>
  <w:num w:numId="269" w16cid:durableId="1273905521">
    <w:abstractNumId w:val="79"/>
    <w:lvlOverride w:ilvl="0">
      <w:startOverride w:val="1"/>
    </w:lvlOverride>
  </w:num>
  <w:num w:numId="270" w16cid:durableId="100033027">
    <w:abstractNumId w:val="79"/>
    <w:lvlOverride w:ilvl="0">
      <w:startOverride w:val="1"/>
    </w:lvlOverride>
  </w:num>
  <w:num w:numId="271" w16cid:durableId="181281094">
    <w:abstractNumId w:val="79"/>
    <w:lvlOverride w:ilvl="0">
      <w:startOverride w:val="1"/>
    </w:lvlOverride>
  </w:num>
  <w:num w:numId="272" w16cid:durableId="2097356032">
    <w:abstractNumId w:val="79"/>
    <w:lvlOverride w:ilvl="0">
      <w:startOverride w:val="1"/>
    </w:lvlOverride>
  </w:num>
  <w:num w:numId="273" w16cid:durableId="218057279">
    <w:abstractNumId w:val="79"/>
    <w:lvlOverride w:ilvl="0">
      <w:startOverride w:val="1"/>
    </w:lvlOverride>
  </w:num>
  <w:num w:numId="274" w16cid:durableId="1884052373">
    <w:abstractNumId w:val="79"/>
    <w:lvlOverride w:ilvl="0">
      <w:startOverride w:val="1"/>
    </w:lvlOverride>
  </w:num>
  <w:num w:numId="275" w16cid:durableId="1355229840">
    <w:abstractNumId w:val="79"/>
    <w:lvlOverride w:ilvl="0">
      <w:startOverride w:val="1"/>
    </w:lvlOverride>
  </w:num>
  <w:num w:numId="276" w16cid:durableId="2078942440">
    <w:abstractNumId w:val="79"/>
    <w:lvlOverride w:ilvl="0">
      <w:startOverride w:val="1"/>
    </w:lvlOverride>
  </w:num>
  <w:num w:numId="277" w16cid:durableId="638461628">
    <w:abstractNumId w:val="79"/>
    <w:lvlOverride w:ilvl="0">
      <w:startOverride w:val="1"/>
    </w:lvlOverride>
  </w:num>
  <w:num w:numId="278" w16cid:durableId="211843166">
    <w:abstractNumId w:val="79"/>
    <w:lvlOverride w:ilvl="0">
      <w:startOverride w:val="1"/>
    </w:lvlOverride>
  </w:num>
  <w:num w:numId="279" w16cid:durableId="26221625">
    <w:abstractNumId w:val="79"/>
    <w:lvlOverride w:ilvl="0">
      <w:startOverride w:val="1"/>
    </w:lvlOverride>
  </w:num>
  <w:num w:numId="280" w16cid:durableId="1706521648">
    <w:abstractNumId w:val="79"/>
    <w:lvlOverride w:ilvl="0">
      <w:startOverride w:val="1"/>
    </w:lvlOverride>
  </w:num>
  <w:num w:numId="281" w16cid:durableId="1348562892">
    <w:abstractNumId w:val="79"/>
    <w:lvlOverride w:ilvl="0">
      <w:startOverride w:val="1"/>
    </w:lvlOverride>
  </w:num>
  <w:num w:numId="282" w16cid:durableId="1073502548">
    <w:abstractNumId w:val="79"/>
    <w:lvlOverride w:ilvl="0">
      <w:startOverride w:val="1"/>
    </w:lvlOverride>
  </w:num>
  <w:num w:numId="283" w16cid:durableId="1690327191">
    <w:abstractNumId w:val="79"/>
    <w:lvlOverride w:ilvl="0">
      <w:startOverride w:val="1"/>
    </w:lvlOverride>
  </w:num>
  <w:num w:numId="284" w16cid:durableId="1884555462">
    <w:abstractNumId w:val="79"/>
    <w:lvlOverride w:ilvl="0">
      <w:startOverride w:val="1"/>
    </w:lvlOverride>
  </w:num>
  <w:num w:numId="285" w16cid:durableId="398552515">
    <w:abstractNumId w:val="79"/>
    <w:lvlOverride w:ilvl="0">
      <w:startOverride w:val="1"/>
    </w:lvlOverride>
  </w:num>
  <w:num w:numId="286" w16cid:durableId="121272071">
    <w:abstractNumId w:val="79"/>
    <w:lvlOverride w:ilvl="0">
      <w:startOverride w:val="1"/>
    </w:lvlOverride>
  </w:num>
  <w:num w:numId="287" w16cid:durableId="2047098869">
    <w:abstractNumId w:val="79"/>
    <w:lvlOverride w:ilvl="0">
      <w:startOverride w:val="1"/>
    </w:lvlOverride>
  </w:num>
  <w:num w:numId="288" w16cid:durableId="1069889712">
    <w:abstractNumId w:val="79"/>
    <w:lvlOverride w:ilvl="0">
      <w:startOverride w:val="1"/>
    </w:lvlOverride>
  </w:num>
  <w:num w:numId="289" w16cid:durableId="2099397863">
    <w:abstractNumId w:val="79"/>
    <w:lvlOverride w:ilvl="0">
      <w:startOverride w:val="1"/>
    </w:lvlOverride>
  </w:num>
  <w:num w:numId="290" w16cid:durableId="1910848501">
    <w:abstractNumId w:val="79"/>
    <w:lvlOverride w:ilvl="0">
      <w:startOverride w:val="1"/>
    </w:lvlOverride>
  </w:num>
  <w:num w:numId="291" w16cid:durableId="1685548630">
    <w:abstractNumId w:val="79"/>
    <w:lvlOverride w:ilvl="0">
      <w:startOverride w:val="1"/>
    </w:lvlOverride>
  </w:num>
  <w:num w:numId="292" w16cid:durableId="181477770">
    <w:abstractNumId w:val="79"/>
    <w:lvlOverride w:ilvl="0">
      <w:startOverride w:val="1"/>
    </w:lvlOverride>
  </w:num>
  <w:num w:numId="293" w16cid:durableId="14700519">
    <w:abstractNumId w:val="79"/>
    <w:lvlOverride w:ilvl="0">
      <w:startOverride w:val="1"/>
    </w:lvlOverride>
  </w:num>
  <w:num w:numId="294" w16cid:durableId="1943758347">
    <w:abstractNumId w:val="79"/>
    <w:lvlOverride w:ilvl="0">
      <w:startOverride w:val="1"/>
    </w:lvlOverride>
  </w:num>
  <w:num w:numId="295" w16cid:durableId="1365671238">
    <w:abstractNumId w:val="79"/>
    <w:lvlOverride w:ilvl="0">
      <w:startOverride w:val="1"/>
    </w:lvlOverride>
  </w:num>
  <w:num w:numId="296" w16cid:durableId="913704123">
    <w:abstractNumId w:val="79"/>
    <w:lvlOverride w:ilvl="0">
      <w:startOverride w:val="1"/>
    </w:lvlOverride>
  </w:num>
  <w:num w:numId="297" w16cid:durableId="2016179470">
    <w:abstractNumId w:val="79"/>
    <w:lvlOverride w:ilvl="0">
      <w:startOverride w:val="1"/>
    </w:lvlOverride>
  </w:num>
  <w:num w:numId="298" w16cid:durableId="1459953729">
    <w:abstractNumId w:val="79"/>
    <w:lvlOverride w:ilvl="0">
      <w:startOverride w:val="1"/>
    </w:lvlOverride>
  </w:num>
  <w:num w:numId="299" w16cid:durableId="1761289422">
    <w:abstractNumId w:val="79"/>
    <w:lvlOverride w:ilvl="0">
      <w:startOverride w:val="1"/>
    </w:lvlOverride>
  </w:num>
  <w:num w:numId="300" w16cid:durableId="1707291471">
    <w:abstractNumId w:val="79"/>
    <w:lvlOverride w:ilvl="0">
      <w:startOverride w:val="1"/>
    </w:lvlOverride>
  </w:num>
  <w:num w:numId="301" w16cid:durableId="556356772">
    <w:abstractNumId w:val="79"/>
    <w:lvlOverride w:ilvl="0">
      <w:startOverride w:val="1"/>
    </w:lvlOverride>
  </w:num>
  <w:num w:numId="302" w16cid:durableId="292176207">
    <w:abstractNumId w:val="79"/>
    <w:lvlOverride w:ilvl="0">
      <w:startOverride w:val="1"/>
    </w:lvlOverride>
  </w:num>
  <w:num w:numId="303" w16cid:durableId="1000963695">
    <w:abstractNumId w:val="79"/>
    <w:lvlOverride w:ilvl="0">
      <w:startOverride w:val="1"/>
    </w:lvlOverride>
  </w:num>
  <w:num w:numId="304" w16cid:durableId="1293250956">
    <w:abstractNumId w:val="79"/>
    <w:lvlOverride w:ilvl="0">
      <w:startOverride w:val="1"/>
    </w:lvlOverride>
  </w:num>
  <w:num w:numId="305" w16cid:durableId="958419244">
    <w:abstractNumId w:val="79"/>
    <w:lvlOverride w:ilvl="0">
      <w:startOverride w:val="1"/>
    </w:lvlOverride>
  </w:num>
  <w:num w:numId="306" w16cid:durableId="1437218006">
    <w:abstractNumId w:val="79"/>
    <w:lvlOverride w:ilvl="0">
      <w:startOverride w:val="1"/>
    </w:lvlOverride>
  </w:num>
  <w:num w:numId="307" w16cid:durableId="748042854">
    <w:abstractNumId w:val="79"/>
    <w:lvlOverride w:ilvl="0">
      <w:startOverride w:val="1"/>
    </w:lvlOverride>
  </w:num>
  <w:num w:numId="308" w16cid:durableId="2074547778">
    <w:abstractNumId w:val="79"/>
    <w:lvlOverride w:ilvl="0">
      <w:startOverride w:val="1"/>
    </w:lvlOverride>
  </w:num>
  <w:num w:numId="309" w16cid:durableId="1255628453">
    <w:abstractNumId w:val="79"/>
    <w:lvlOverride w:ilvl="0">
      <w:startOverride w:val="1"/>
    </w:lvlOverride>
  </w:num>
  <w:num w:numId="310" w16cid:durableId="864367718">
    <w:abstractNumId w:val="79"/>
    <w:lvlOverride w:ilvl="0">
      <w:startOverride w:val="1"/>
    </w:lvlOverride>
  </w:num>
  <w:num w:numId="311" w16cid:durableId="787742963">
    <w:abstractNumId w:val="79"/>
    <w:lvlOverride w:ilvl="0">
      <w:startOverride w:val="1"/>
    </w:lvlOverride>
  </w:num>
  <w:num w:numId="312" w16cid:durableId="1389496175">
    <w:abstractNumId w:val="79"/>
    <w:lvlOverride w:ilvl="0">
      <w:startOverride w:val="1"/>
    </w:lvlOverride>
  </w:num>
  <w:num w:numId="313" w16cid:durableId="464545086">
    <w:abstractNumId w:val="79"/>
    <w:lvlOverride w:ilvl="0">
      <w:startOverride w:val="1"/>
    </w:lvlOverride>
  </w:num>
  <w:num w:numId="314" w16cid:durableId="1693727288">
    <w:abstractNumId w:val="79"/>
    <w:lvlOverride w:ilvl="0">
      <w:startOverride w:val="1"/>
    </w:lvlOverride>
  </w:num>
  <w:num w:numId="315" w16cid:durableId="1940914341">
    <w:abstractNumId w:val="79"/>
    <w:lvlOverride w:ilvl="0">
      <w:startOverride w:val="1"/>
    </w:lvlOverride>
  </w:num>
  <w:num w:numId="316" w16cid:durableId="1534920928">
    <w:abstractNumId w:val="79"/>
    <w:lvlOverride w:ilvl="0">
      <w:startOverride w:val="1"/>
    </w:lvlOverride>
  </w:num>
  <w:num w:numId="317" w16cid:durableId="311953175">
    <w:abstractNumId w:val="79"/>
    <w:lvlOverride w:ilvl="0">
      <w:startOverride w:val="1"/>
    </w:lvlOverride>
  </w:num>
  <w:num w:numId="318" w16cid:durableId="1526750204">
    <w:abstractNumId w:val="79"/>
    <w:lvlOverride w:ilvl="0">
      <w:startOverride w:val="1"/>
    </w:lvlOverride>
  </w:num>
  <w:num w:numId="319" w16cid:durableId="1754811044">
    <w:abstractNumId w:val="79"/>
    <w:lvlOverride w:ilvl="0">
      <w:startOverride w:val="1"/>
    </w:lvlOverride>
  </w:num>
  <w:num w:numId="320" w16cid:durableId="1879853618">
    <w:abstractNumId w:val="79"/>
    <w:lvlOverride w:ilvl="0">
      <w:startOverride w:val="1"/>
    </w:lvlOverride>
  </w:num>
  <w:num w:numId="321" w16cid:durableId="1321546229">
    <w:abstractNumId w:val="79"/>
    <w:lvlOverride w:ilvl="0">
      <w:startOverride w:val="1"/>
    </w:lvlOverride>
  </w:num>
  <w:num w:numId="322" w16cid:durableId="769160848">
    <w:abstractNumId w:val="79"/>
    <w:lvlOverride w:ilvl="0">
      <w:startOverride w:val="1"/>
    </w:lvlOverride>
  </w:num>
  <w:num w:numId="323" w16cid:durableId="33241169">
    <w:abstractNumId w:val="79"/>
    <w:lvlOverride w:ilvl="0">
      <w:startOverride w:val="1"/>
    </w:lvlOverride>
  </w:num>
  <w:num w:numId="324" w16cid:durableId="1356346317">
    <w:abstractNumId w:val="79"/>
    <w:lvlOverride w:ilvl="0">
      <w:startOverride w:val="1"/>
    </w:lvlOverride>
  </w:num>
  <w:num w:numId="325" w16cid:durableId="141193174">
    <w:abstractNumId w:val="79"/>
    <w:lvlOverride w:ilvl="0">
      <w:startOverride w:val="1"/>
    </w:lvlOverride>
  </w:num>
  <w:num w:numId="326" w16cid:durableId="1251349908">
    <w:abstractNumId w:val="79"/>
    <w:lvlOverride w:ilvl="0">
      <w:startOverride w:val="1"/>
    </w:lvlOverride>
  </w:num>
  <w:num w:numId="327" w16cid:durableId="65302347">
    <w:abstractNumId w:val="79"/>
    <w:lvlOverride w:ilvl="0">
      <w:startOverride w:val="1"/>
    </w:lvlOverride>
  </w:num>
  <w:num w:numId="328" w16cid:durableId="1899122650">
    <w:abstractNumId w:val="79"/>
    <w:lvlOverride w:ilvl="0">
      <w:startOverride w:val="1"/>
    </w:lvlOverride>
  </w:num>
  <w:num w:numId="329" w16cid:durableId="1827285463">
    <w:abstractNumId w:val="79"/>
    <w:lvlOverride w:ilvl="0">
      <w:startOverride w:val="1"/>
    </w:lvlOverride>
  </w:num>
  <w:num w:numId="330" w16cid:durableId="1160465601">
    <w:abstractNumId w:val="79"/>
    <w:lvlOverride w:ilvl="0">
      <w:startOverride w:val="1"/>
    </w:lvlOverride>
  </w:num>
  <w:num w:numId="331" w16cid:durableId="2046634280">
    <w:abstractNumId w:val="79"/>
    <w:lvlOverride w:ilvl="0">
      <w:startOverride w:val="1"/>
    </w:lvlOverride>
  </w:num>
  <w:num w:numId="332" w16cid:durableId="2101565548">
    <w:abstractNumId w:val="79"/>
    <w:lvlOverride w:ilvl="0">
      <w:startOverride w:val="1"/>
    </w:lvlOverride>
  </w:num>
  <w:num w:numId="333" w16cid:durableId="1119757027">
    <w:abstractNumId w:val="79"/>
    <w:lvlOverride w:ilvl="0">
      <w:startOverride w:val="1"/>
    </w:lvlOverride>
  </w:num>
  <w:num w:numId="334" w16cid:durableId="259262404">
    <w:abstractNumId w:val="79"/>
    <w:lvlOverride w:ilvl="0">
      <w:startOverride w:val="1"/>
    </w:lvlOverride>
  </w:num>
  <w:num w:numId="335" w16cid:durableId="1191263288">
    <w:abstractNumId w:val="79"/>
    <w:lvlOverride w:ilvl="0">
      <w:startOverride w:val="1"/>
    </w:lvlOverride>
  </w:num>
  <w:num w:numId="336" w16cid:durableId="836308951">
    <w:abstractNumId w:val="79"/>
    <w:lvlOverride w:ilvl="0">
      <w:startOverride w:val="1"/>
    </w:lvlOverride>
  </w:num>
  <w:num w:numId="337" w16cid:durableId="1882745748">
    <w:abstractNumId w:val="79"/>
    <w:lvlOverride w:ilvl="0">
      <w:startOverride w:val="1"/>
    </w:lvlOverride>
  </w:num>
  <w:num w:numId="338" w16cid:durableId="1376156423">
    <w:abstractNumId w:val="79"/>
    <w:lvlOverride w:ilvl="0">
      <w:startOverride w:val="1"/>
    </w:lvlOverride>
  </w:num>
  <w:num w:numId="339" w16cid:durableId="1983263812">
    <w:abstractNumId w:val="79"/>
    <w:lvlOverride w:ilvl="0">
      <w:startOverride w:val="1"/>
    </w:lvlOverride>
  </w:num>
  <w:num w:numId="340" w16cid:durableId="446890584">
    <w:abstractNumId w:val="79"/>
    <w:lvlOverride w:ilvl="0">
      <w:startOverride w:val="1"/>
    </w:lvlOverride>
  </w:num>
  <w:num w:numId="341" w16cid:durableId="238368354">
    <w:abstractNumId w:val="79"/>
    <w:lvlOverride w:ilvl="0">
      <w:startOverride w:val="1"/>
    </w:lvlOverride>
  </w:num>
  <w:num w:numId="342" w16cid:durableId="1208951426">
    <w:abstractNumId w:val="79"/>
    <w:lvlOverride w:ilvl="0">
      <w:startOverride w:val="1"/>
    </w:lvlOverride>
  </w:num>
  <w:num w:numId="343" w16cid:durableId="318315043">
    <w:abstractNumId w:val="79"/>
    <w:lvlOverride w:ilvl="0">
      <w:startOverride w:val="1"/>
    </w:lvlOverride>
  </w:num>
  <w:num w:numId="344" w16cid:durableId="684020066">
    <w:abstractNumId w:val="79"/>
    <w:lvlOverride w:ilvl="0">
      <w:startOverride w:val="1"/>
    </w:lvlOverride>
  </w:num>
  <w:num w:numId="345" w16cid:durableId="1337466382">
    <w:abstractNumId w:val="79"/>
    <w:lvlOverride w:ilvl="0">
      <w:startOverride w:val="1"/>
    </w:lvlOverride>
  </w:num>
  <w:num w:numId="346" w16cid:durableId="1206062194">
    <w:abstractNumId w:val="79"/>
    <w:lvlOverride w:ilvl="0">
      <w:startOverride w:val="1"/>
    </w:lvlOverride>
  </w:num>
  <w:num w:numId="347" w16cid:durableId="545143193">
    <w:abstractNumId w:val="79"/>
    <w:lvlOverride w:ilvl="0">
      <w:startOverride w:val="1"/>
    </w:lvlOverride>
  </w:num>
  <w:num w:numId="348" w16cid:durableId="943805956">
    <w:abstractNumId w:val="79"/>
    <w:lvlOverride w:ilvl="0">
      <w:startOverride w:val="1"/>
    </w:lvlOverride>
  </w:num>
  <w:num w:numId="349" w16cid:durableId="921448005">
    <w:abstractNumId w:val="79"/>
    <w:lvlOverride w:ilvl="0">
      <w:startOverride w:val="1"/>
    </w:lvlOverride>
  </w:num>
  <w:num w:numId="350" w16cid:durableId="2030714560">
    <w:abstractNumId w:val="79"/>
    <w:lvlOverride w:ilvl="0">
      <w:startOverride w:val="1"/>
    </w:lvlOverride>
  </w:num>
  <w:num w:numId="351" w16cid:durableId="1800150108">
    <w:abstractNumId w:val="79"/>
    <w:lvlOverride w:ilvl="0">
      <w:startOverride w:val="1"/>
    </w:lvlOverride>
  </w:num>
  <w:num w:numId="352" w16cid:durableId="1380782077">
    <w:abstractNumId w:val="79"/>
    <w:lvlOverride w:ilvl="0">
      <w:startOverride w:val="1"/>
    </w:lvlOverride>
  </w:num>
  <w:num w:numId="353" w16cid:durableId="1438594965">
    <w:abstractNumId w:val="79"/>
    <w:lvlOverride w:ilvl="0">
      <w:startOverride w:val="1"/>
    </w:lvlOverride>
  </w:num>
  <w:num w:numId="354" w16cid:durableId="2115513824">
    <w:abstractNumId w:val="79"/>
    <w:lvlOverride w:ilvl="0">
      <w:startOverride w:val="1"/>
    </w:lvlOverride>
  </w:num>
  <w:num w:numId="355" w16cid:durableId="468285251">
    <w:abstractNumId w:val="79"/>
    <w:lvlOverride w:ilvl="0">
      <w:startOverride w:val="1"/>
    </w:lvlOverride>
  </w:num>
  <w:num w:numId="356" w16cid:durableId="2059208851">
    <w:abstractNumId w:val="79"/>
    <w:lvlOverride w:ilvl="0">
      <w:startOverride w:val="1"/>
    </w:lvlOverride>
  </w:num>
  <w:num w:numId="357" w16cid:durableId="750539139">
    <w:abstractNumId w:val="79"/>
    <w:lvlOverride w:ilvl="0">
      <w:startOverride w:val="1"/>
    </w:lvlOverride>
  </w:num>
  <w:num w:numId="358" w16cid:durableId="2109541605">
    <w:abstractNumId w:val="79"/>
    <w:lvlOverride w:ilvl="0">
      <w:startOverride w:val="1"/>
    </w:lvlOverride>
  </w:num>
  <w:num w:numId="359" w16cid:durableId="542906831">
    <w:abstractNumId w:val="79"/>
    <w:lvlOverride w:ilvl="0">
      <w:startOverride w:val="1"/>
    </w:lvlOverride>
  </w:num>
  <w:num w:numId="360" w16cid:durableId="1618024700">
    <w:abstractNumId w:val="79"/>
    <w:lvlOverride w:ilvl="0">
      <w:startOverride w:val="1"/>
    </w:lvlOverride>
  </w:num>
  <w:num w:numId="361" w16cid:durableId="1954749074">
    <w:abstractNumId w:val="79"/>
    <w:lvlOverride w:ilvl="0">
      <w:startOverride w:val="1"/>
    </w:lvlOverride>
  </w:num>
  <w:num w:numId="362" w16cid:durableId="237522935">
    <w:abstractNumId w:val="79"/>
    <w:lvlOverride w:ilvl="0">
      <w:startOverride w:val="1"/>
    </w:lvlOverride>
  </w:num>
  <w:num w:numId="363" w16cid:durableId="1378048730">
    <w:abstractNumId w:val="79"/>
    <w:lvlOverride w:ilvl="0">
      <w:startOverride w:val="1"/>
    </w:lvlOverride>
  </w:num>
  <w:num w:numId="364" w16cid:durableId="535388118">
    <w:abstractNumId w:val="79"/>
    <w:lvlOverride w:ilvl="0">
      <w:startOverride w:val="1"/>
    </w:lvlOverride>
  </w:num>
  <w:num w:numId="365" w16cid:durableId="1022122977">
    <w:abstractNumId w:val="79"/>
    <w:lvlOverride w:ilvl="0">
      <w:startOverride w:val="1"/>
    </w:lvlOverride>
  </w:num>
  <w:num w:numId="366" w16cid:durableId="71897557">
    <w:abstractNumId w:val="79"/>
    <w:lvlOverride w:ilvl="0">
      <w:startOverride w:val="1"/>
    </w:lvlOverride>
  </w:num>
  <w:num w:numId="367" w16cid:durableId="596212167">
    <w:abstractNumId w:val="79"/>
    <w:lvlOverride w:ilvl="0">
      <w:startOverride w:val="1"/>
    </w:lvlOverride>
  </w:num>
  <w:num w:numId="368" w16cid:durableId="494959951">
    <w:abstractNumId w:val="79"/>
    <w:lvlOverride w:ilvl="0">
      <w:startOverride w:val="1"/>
    </w:lvlOverride>
  </w:num>
  <w:num w:numId="369" w16cid:durableId="1130827715">
    <w:abstractNumId w:val="79"/>
    <w:lvlOverride w:ilvl="0">
      <w:startOverride w:val="1"/>
    </w:lvlOverride>
  </w:num>
  <w:num w:numId="370" w16cid:durableId="1161314565">
    <w:abstractNumId w:val="79"/>
    <w:lvlOverride w:ilvl="0">
      <w:startOverride w:val="1"/>
    </w:lvlOverride>
  </w:num>
  <w:num w:numId="371" w16cid:durableId="1975139275">
    <w:abstractNumId w:val="79"/>
    <w:lvlOverride w:ilvl="0">
      <w:startOverride w:val="1"/>
    </w:lvlOverride>
  </w:num>
  <w:num w:numId="372" w16cid:durableId="1424492969">
    <w:abstractNumId w:val="79"/>
    <w:lvlOverride w:ilvl="0">
      <w:startOverride w:val="1"/>
    </w:lvlOverride>
  </w:num>
  <w:num w:numId="373" w16cid:durableId="1755319247">
    <w:abstractNumId w:val="79"/>
    <w:lvlOverride w:ilvl="0">
      <w:startOverride w:val="1"/>
    </w:lvlOverride>
  </w:num>
  <w:num w:numId="374" w16cid:durableId="1110515814">
    <w:abstractNumId w:val="79"/>
    <w:lvlOverride w:ilvl="0">
      <w:startOverride w:val="1"/>
    </w:lvlOverride>
  </w:num>
  <w:num w:numId="375" w16cid:durableId="260456004">
    <w:abstractNumId w:val="79"/>
    <w:lvlOverride w:ilvl="0">
      <w:startOverride w:val="1"/>
    </w:lvlOverride>
  </w:num>
  <w:num w:numId="376" w16cid:durableId="1083914606">
    <w:abstractNumId w:val="79"/>
    <w:lvlOverride w:ilvl="0">
      <w:startOverride w:val="1"/>
    </w:lvlOverride>
  </w:num>
  <w:num w:numId="377" w16cid:durableId="1539734756">
    <w:abstractNumId w:val="79"/>
    <w:lvlOverride w:ilvl="0">
      <w:startOverride w:val="1"/>
    </w:lvlOverride>
  </w:num>
  <w:num w:numId="378" w16cid:durableId="1929776955">
    <w:abstractNumId w:val="79"/>
    <w:lvlOverride w:ilvl="0">
      <w:startOverride w:val="1"/>
    </w:lvlOverride>
  </w:num>
  <w:num w:numId="379" w16cid:durableId="1992637531">
    <w:abstractNumId w:val="79"/>
    <w:lvlOverride w:ilvl="0">
      <w:startOverride w:val="1"/>
    </w:lvlOverride>
  </w:num>
  <w:num w:numId="380" w16cid:durableId="982807487">
    <w:abstractNumId w:val="79"/>
    <w:lvlOverride w:ilvl="0">
      <w:startOverride w:val="1"/>
    </w:lvlOverride>
  </w:num>
  <w:num w:numId="381" w16cid:durableId="1367676843">
    <w:abstractNumId w:val="79"/>
    <w:lvlOverride w:ilvl="0">
      <w:startOverride w:val="1"/>
    </w:lvlOverride>
  </w:num>
  <w:num w:numId="382" w16cid:durableId="1274170247">
    <w:abstractNumId w:val="79"/>
    <w:lvlOverride w:ilvl="0">
      <w:startOverride w:val="1"/>
    </w:lvlOverride>
  </w:num>
  <w:num w:numId="383" w16cid:durableId="2110469323">
    <w:abstractNumId w:val="79"/>
    <w:lvlOverride w:ilvl="0">
      <w:startOverride w:val="1"/>
    </w:lvlOverride>
  </w:num>
  <w:num w:numId="384" w16cid:durableId="20277786">
    <w:abstractNumId w:val="79"/>
    <w:lvlOverride w:ilvl="0">
      <w:startOverride w:val="1"/>
    </w:lvlOverride>
  </w:num>
  <w:num w:numId="385" w16cid:durableId="374544096">
    <w:abstractNumId w:val="79"/>
    <w:lvlOverride w:ilvl="0">
      <w:startOverride w:val="1"/>
    </w:lvlOverride>
  </w:num>
  <w:num w:numId="386" w16cid:durableId="1893808385">
    <w:abstractNumId w:val="79"/>
    <w:lvlOverride w:ilvl="0">
      <w:startOverride w:val="1"/>
    </w:lvlOverride>
  </w:num>
  <w:num w:numId="387" w16cid:durableId="148793705">
    <w:abstractNumId w:val="79"/>
    <w:lvlOverride w:ilvl="0">
      <w:startOverride w:val="1"/>
    </w:lvlOverride>
  </w:num>
  <w:num w:numId="388" w16cid:durableId="1299920470">
    <w:abstractNumId w:val="79"/>
    <w:lvlOverride w:ilvl="0">
      <w:startOverride w:val="1"/>
    </w:lvlOverride>
  </w:num>
  <w:num w:numId="389" w16cid:durableId="1692342061">
    <w:abstractNumId w:val="79"/>
    <w:lvlOverride w:ilvl="0">
      <w:startOverride w:val="1"/>
    </w:lvlOverride>
  </w:num>
  <w:num w:numId="390" w16cid:durableId="1638948737">
    <w:abstractNumId w:val="79"/>
    <w:lvlOverride w:ilvl="0">
      <w:startOverride w:val="1"/>
    </w:lvlOverride>
  </w:num>
  <w:num w:numId="391" w16cid:durableId="1707487911">
    <w:abstractNumId w:val="79"/>
    <w:lvlOverride w:ilvl="0">
      <w:startOverride w:val="1"/>
    </w:lvlOverride>
  </w:num>
  <w:num w:numId="392" w16cid:durableId="1361004267">
    <w:abstractNumId w:val="79"/>
    <w:lvlOverride w:ilvl="0">
      <w:startOverride w:val="1"/>
    </w:lvlOverride>
  </w:num>
  <w:num w:numId="393" w16cid:durableId="597904359">
    <w:abstractNumId w:val="79"/>
    <w:lvlOverride w:ilvl="0">
      <w:startOverride w:val="1"/>
    </w:lvlOverride>
  </w:num>
  <w:num w:numId="394" w16cid:durableId="1422067527">
    <w:abstractNumId w:val="79"/>
    <w:lvlOverride w:ilvl="0">
      <w:startOverride w:val="1"/>
    </w:lvlOverride>
  </w:num>
  <w:num w:numId="395" w16cid:durableId="960381466">
    <w:abstractNumId w:val="79"/>
    <w:lvlOverride w:ilvl="0">
      <w:startOverride w:val="1"/>
    </w:lvlOverride>
  </w:num>
  <w:num w:numId="396" w16cid:durableId="1730105983">
    <w:abstractNumId w:val="79"/>
    <w:lvlOverride w:ilvl="0">
      <w:startOverride w:val="1"/>
    </w:lvlOverride>
  </w:num>
  <w:num w:numId="397" w16cid:durableId="2134594564">
    <w:abstractNumId w:val="79"/>
    <w:lvlOverride w:ilvl="0">
      <w:startOverride w:val="1"/>
    </w:lvlOverride>
  </w:num>
  <w:num w:numId="398" w16cid:durableId="1305237048">
    <w:abstractNumId w:val="79"/>
    <w:lvlOverride w:ilvl="0">
      <w:startOverride w:val="1"/>
    </w:lvlOverride>
  </w:num>
  <w:num w:numId="399" w16cid:durableId="174880984">
    <w:abstractNumId w:val="79"/>
    <w:lvlOverride w:ilvl="0">
      <w:startOverride w:val="1"/>
    </w:lvlOverride>
  </w:num>
  <w:num w:numId="400" w16cid:durableId="1484858522">
    <w:abstractNumId w:val="79"/>
    <w:lvlOverride w:ilvl="0">
      <w:startOverride w:val="1"/>
    </w:lvlOverride>
  </w:num>
  <w:num w:numId="401" w16cid:durableId="454834468">
    <w:abstractNumId w:val="79"/>
    <w:lvlOverride w:ilvl="0">
      <w:startOverride w:val="1"/>
    </w:lvlOverride>
  </w:num>
  <w:num w:numId="402" w16cid:durableId="2102407590">
    <w:abstractNumId w:val="79"/>
    <w:lvlOverride w:ilvl="0">
      <w:startOverride w:val="1"/>
    </w:lvlOverride>
  </w:num>
  <w:num w:numId="403" w16cid:durableId="1915316559">
    <w:abstractNumId w:val="79"/>
    <w:lvlOverride w:ilvl="0">
      <w:startOverride w:val="1"/>
    </w:lvlOverride>
  </w:num>
  <w:num w:numId="404" w16cid:durableId="2110657200">
    <w:abstractNumId w:val="79"/>
    <w:lvlOverride w:ilvl="0">
      <w:startOverride w:val="1"/>
    </w:lvlOverride>
  </w:num>
  <w:num w:numId="405" w16cid:durableId="767429927">
    <w:abstractNumId w:val="79"/>
    <w:lvlOverride w:ilvl="0">
      <w:startOverride w:val="1"/>
    </w:lvlOverride>
  </w:num>
  <w:num w:numId="406" w16cid:durableId="1418597273">
    <w:abstractNumId w:val="79"/>
    <w:lvlOverride w:ilvl="0">
      <w:startOverride w:val="1"/>
    </w:lvlOverride>
  </w:num>
  <w:num w:numId="407" w16cid:durableId="184486290">
    <w:abstractNumId w:val="79"/>
    <w:lvlOverride w:ilvl="0">
      <w:startOverride w:val="1"/>
    </w:lvlOverride>
  </w:num>
  <w:num w:numId="408" w16cid:durableId="577640459">
    <w:abstractNumId w:val="79"/>
    <w:lvlOverride w:ilvl="0">
      <w:startOverride w:val="1"/>
    </w:lvlOverride>
  </w:num>
  <w:num w:numId="409" w16cid:durableId="929699825">
    <w:abstractNumId w:val="79"/>
    <w:lvlOverride w:ilvl="0">
      <w:startOverride w:val="1"/>
    </w:lvlOverride>
  </w:num>
  <w:num w:numId="410" w16cid:durableId="320155250">
    <w:abstractNumId w:val="79"/>
    <w:lvlOverride w:ilvl="0">
      <w:startOverride w:val="1"/>
    </w:lvlOverride>
  </w:num>
  <w:num w:numId="411" w16cid:durableId="1651982519">
    <w:abstractNumId w:val="79"/>
    <w:lvlOverride w:ilvl="0">
      <w:startOverride w:val="1"/>
    </w:lvlOverride>
  </w:num>
  <w:num w:numId="412" w16cid:durableId="2111927789">
    <w:abstractNumId w:val="79"/>
    <w:lvlOverride w:ilvl="0">
      <w:startOverride w:val="1"/>
    </w:lvlOverride>
  </w:num>
  <w:num w:numId="413" w16cid:durableId="834300711">
    <w:abstractNumId w:val="79"/>
    <w:lvlOverride w:ilvl="0">
      <w:startOverride w:val="1"/>
    </w:lvlOverride>
  </w:num>
  <w:num w:numId="414" w16cid:durableId="1957590639">
    <w:abstractNumId w:val="79"/>
    <w:lvlOverride w:ilvl="0">
      <w:startOverride w:val="1"/>
    </w:lvlOverride>
  </w:num>
  <w:num w:numId="415" w16cid:durableId="951211031">
    <w:abstractNumId w:val="79"/>
    <w:lvlOverride w:ilvl="0">
      <w:startOverride w:val="1"/>
    </w:lvlOverride>
  </w:num>
  <w:num w:numId="416" w16cid:durableId="556629968">
    <w:abstractNumId w:val="79"/>
    <w:lvlOverride w:ilvl="0">
      <w:startOverride w:val="1"/>
    </w:lvlOverride>
  </w:num>
  <w:num w:numId="417" w16cid:durableId="1094129795">
    <w:abstractNumId w:val="79"/>
    <w:lvlOverride w:ilvl="0">
      <w:startOverride w:val="1"/>
    </w:lvlOverride>
  </w:num>
  <w:num w:numId="418" w16cid:durableId="1116750082">
    <w:abstractNumId w:val="79"/>
    <w:lvlOverride w:ilvl="0">
      <w:startOverride w:val="1"/>
    </w:lvlOverride>
  </w:num>
  <w:num w:numId="419" w16cid:durableId="175845351">
    <w:abstractNumId w:val="79"/>
    <w:lvlOverride w:ilvl="0">
      <w:startOverride w:val="1"/>
    </w:lvlOverride>
  </w:num>
  <w:num w:numId="420" w16cid:durableId="1189175800">
    <w:abstractNumId w:val="79"/>
    <w:lvlOverride w:ilvl="0">
      <w:startOverride w:val="1"/>
    </w:lvlOverride>
  </w:num>
  <w:num w:numId="421" w16cid:durableId="565263719">
    <w:abstractNumId w:val="79"/>
    <w:lvlOverride w:ilvl="0">
      <w:startOverride w:val="1"/>
    </w:lvlOverride>
  </w:num>
  <w:num w:numId="422" w16cid:durableId="868642176">
    <w:abstractNumId w:val="79"/>
    <w:lvlOverride w:ilvl="0">
      <w:startOverride w:val="1"/>
    </w:lvlOverride>
  </w:num>
  <w:num w:numId="423" w16cid:durableId="797183422">
    <w:abstractNumId w:val="79"/>
    <w:lvlOverride w:ilvl="0">
      <w:startOverride w:val="1"/>
    </w:lvlOverride>
  </w:num>
  <w:num w:numId="424" w16cid:durableId="642933850">
    <w:abstractNumId w:val="79"/>
    <w:lvlOverride w:ilvl="0">
      <w:startOverride w:val="1"/>
    </w:lvlOverride>
  </w:num>
  <w:num w:numId="425" w16cid:durableId="969481077">
    <w:abstractNumId w:val="79"/>
    <w:lvlOverride w:ilvl="0">
      <w:startOverride w:val="1"/>
    </w:lvlOverride>
  </w:num>
  <w:num w:numId="426" w16cid:durableId="1194998712">
    <w:abstractNumId w:val="79"/>
    <w:lvlOverride w:ilvl="0">
      <w:startOverride w:val="1"/>
    </w:lvlOverride>
  </w:num>
  <w:num w:numId="427" w16cid:durableId="1514687519">
    <w:abstractNumId w:val="79"/>
    <w:lvlOverride w:ilvl="0">
      <w:startOverride w:val="1"/>
    </w:lvlOverride>
  </w:num>
  <w:num w:numId="428" w16cid:durableId="1225143762">
    <w:abstractNumId w:val="79"/>
    <w:lvlOverride w:ilvl="0">
      <w:startOverride w:val="1"/>
    </w:lvlOverride>
  </w:num>
  <w:num w:numId="429" w16cid:durableId="847644456">
    <w:abstractNumId w:val="79"/>
    <w:lvlOverride w:ilvl="0">
      <w:startOverride w:val="1"/>
    </w:lvlOverride>
  </w:num>
  <w:num w:numId="430" w16cid:durableId="190654765">
    <w:abstractNumId w:val="79"/>
    <w:lvlOverride w:ilvl="0">
      <w:startOverride w:val="1"/>
    </w:lvlOverride>
  </w:num>
  <w:num w:numId="431" w16cid:durableId="140273944">
    <w:abstractNumId w:val="79"/>
    <w:lvlOverride w:ilvl="0">
      <w:startOverride w:val="1"/>
    </w:lvlOverride>
  </w:num>
  <w:num w:numId="432" w16cid:durableId="1318801699">
    <w:abstractNumId w:val="79"/>
    <w:lvlOverride w:ilvl="0">
      <w:startOverride w:val="1"/>
    </w:lvlOverride>
  </w:num>
  <w:num w:numId="433" w16cid:durableId="1481538601">
    <w:abstractNumId w:val="79"/>
    <w:lvlOverride w:ilvl="0">
      <w:startOverride w:val="1"/>
    </w:lvlOverride>
  </w:num>
  <w:num w:numId="434" w16cid:durableId="1286695304">
    <w:abstractNumId w:val="79"/>
    <w:lvlOverride w:ilvl="0">
      <w:startOverride w:val="1"/>
    </w:lvlOverride>
  </w:num>
  <w:num w:numId="435" w16cid:durableId="902643093">
    <w:abstractNumId w:val="79"/>
    <w:lvlOverride w:ilvl="0">
      <w:startOverride w:val="1"/>
    </w:lvlOverride>
  </w:num>
  <w:num w:numId="436" w16cid:durableId="125857974">
    <w:abstractNumId w:val="79"/>
    <w:lvlOverride w:ilvl="0">
      <w:startOverride w:val="1"/>
    </w:lvlOverride>
  </w:num>
  <w:num w:numId="437" w16cid:durableId="20859120">
    <w:abstractNumId w:val="79"/>
    <w:lvlOverride w:ilvl="0">
      <w:startOverride w:val="1"/>
    </w:lvlOverride>
  </w:num>
  <w:num w:numId="438" w16cid:durableId="700589558">
    <w:abstractNumId w:val="79"/>
    <w:lvlOverride w:ilvl="0">
      <w:startOverride w:val="1"/>
    </w:lvlOverride>
  </w:num>
  <w:num w:numId="439" w16cid:durableId="793135257">
    <w:abstractNumId w:val="79"/>
    <w:lvlOverride w:ilvl="0">
      <w:startOverride w:val="1"/>
    </w:lvlOverride>
  </w:num>
  <w:num w:numId="440" w16cid:durableId="1294482612">
    <w:abstractNumId w:val="79"/>
    <w:lvlOverride w:ilvl="0">
      <w:startOverride w:val="1"/>
    </w:lvlOverride>
  </w:num>
  <w:num w:numId="441" w16cid:durableId="959801455">
    <w:abstractNumId w:val="79"/>
    <w:lvlOverride w:ilvl="0">
      <w:startOverride w:val="1"/>
    </w:lvlOverride>
  </w:num>
  <w:num w:numId="442" w16cid:durableId="281763852">
    <w:abstractNumId w:val="79"/>
    <w:lvlOverride w:ilvl="0">
      <w:startOverride w:val="1"/>
    </w:lvlOverride>
  </w:num>
  <w:num w:numId="443" w16cid:durableId="6947892">
    <w:abstractNumId w:val="79"/>
    <w:lvlOverride w:ilvl="0">
      <w:startOverride w:val="1"/>
    </w:lvlOverride>
  </w:num>
  <w:num w:numId="444" w16cid:durableId="1125923455">
    <w:abstractNumId w:val="79"/>
    <w:lvlOverride w:ilvl="0">
      <w:startOverride w:val="1"/>
    </w:lvlOverride>
  </w:num>
  <w:num w:numId="445" w16cid:durableId="79841445">
    <w:abstractNumId w:val="79"/>
    <w:lvlOverride w:ilvl="0">
      <w:startOverride w:val="1"/>
    </w:lvlOverride>
  </w:num>
  <w:num w:numId="446" w16cid:durableId="193232049">
    <w:abstractNumId w:val="79"/>
    <w:lvlOverride w:ilvl="0">
      <w:startOverride w:val="1"/>
    </w:lvlOverride>
  </w:num>
  <w:num w:numId="447" w16cid:durableId="1091123497">
    <w:abstractNumId w:val="79"/>
    <w:lvlOverride w:ilvl="0">
      <w:startOverride w:val="1"/>
    </w:lvlOverride>
  </w:num>
  <w:num w:numId="448" w16cid:durableId="1583678571">
    <w:abstractNumId w:val="79"/>
    <w:lvlOverride w:ilvl="0">
      <w:startOverride w:val="1"/>
    </w:lvlOverride>
  </w:num>
  <w:num w:numId="449" w16cid:durableId="720328900">
    <w:abstractNumId w:val="79"/>
    <w:lvlOverride w:ilvl="0">
      <w:startOverride w:val="1"/>
    </w:lvlOverride>
  </w:num>
  <w:num w:numId="450" w16cid:durableId="596135824">
    <w:abstractNumId w:val="79"/>
    <w:lvlOverride w:ilvl="0">
      <w:startOverride w:val="1"/>
    </w:lvlOverride>
  </w:num>
  <w:num w:numId="451" w16cid:durableId="1582831939">
    <w:abstractNumId w:val="79"/>
    <w:lvlOverride w:ilvl="0">
      <w:startOverride w:val="1"/>
    </w:lvlOverride>
  </w:num>
  <w:num w:numId="452" w16cid:durableId="1473060600">
    <w:abstractNumId w:val="79"/>
    <w:lvlOverride w:ilvl="0">
      <w:startOverride w:val="1"/>
    </w:lvlOverride>
  </w:num>
  <w:num w:numId="453" w16cid:durableId="427390900">
    <w:abstractNumId w:val="79"/>
    <w:lvlOverride w:ilvl="0">
      <w:startOverride w:val="1"/>
    </w:lvlOverride>
  </w:num>
  <w:num w:numId="454" w16cid:durableId="304549252">
    <w:abstractNumId w:val="79"/>
    <w:lvlOverride w:ilvl="0">
      <w:startOverride w:val="1"/>
    </w:lvlOverride>
  </w:num>
  <w:num w:numId="455" w16cid:durableId="1065496178">
    <w:abstractNumId w:val="79"/>
    <w:lvlOverride w:ilvl="0">
      <w:startOverride w:val="1"/>
    </w:lvlOverride>
  </w:num>
  <w:num w:numId="456" w16cid:durableId="1161114905">
    <w:abstractNumId w:val="79"/>
    <w:lvlOverride w:ilvl="0">
      <w:startOverride w:val="1"/>
    </w:lvlOverride>
  </w:num>
  <w:num w:numId="457" w16cid:durableId="1134370251">
    <w:abstractNumId w:val="79"/>
    <w:lvlOverride w:ilvl="0">
      <w:startOverride w:val="1"/>
    </w:lvlOverride>
  </w:num>
  <w:num w:numId="458" w16cid:durableId="278874108">
    <w:abstractNumId w:val="79"/>
    <w:lvlOverride w:ilvl="0">
      <w:startOverride w:val="1"/>
    </w:lvlOverride>
  </w:num>
  <w:num w:numId="459" w16cid:durableId="747072210">
    <w:abstractNumId w:val="79"/>
    <w:lvlOverride w:ilvl="0">
      <w:startOverride w:val="1"/>
    </w:lvlOverride>
  </w:num>
  <w:num w:numId="460" w16cid:durableId="1824008312">
    <w:abstractNumId w:val="79"/>
    <w:lvlOverride w:ilvl="0">
      <w:startOverride w:val="1"/>
    </w:lvlOverride>
  </w:num>
  <w:num w:numId="461" w16cid:durableId="2111122113">
    <w:abstractNumId w:val="79"/>
    <w:lvlOverride w:ilvl="0">
      <w:startOverride w:val="1"/>
    </w:lvlOverride>
  </w:num>
  <w:num w:numId="462" w16cid:durableId="789010018">
    <w:abstractNumId w:val="79"/>
    <w:lvlOverride w:ilvl="0">
      <w:startOverride w:val="1"/>
    </w:lvlOverride>
  </w:num>
  <w:num w:numId="463" w16cid:durableId="1867793696">
    <w:abstractNumId w:val="79"/>
    <w:lvlOverride w:ilvl="0">
      <w:startOverride w:val="1"/>
    </w:lvlOverride>
  </w:num>
  <w:num w:numId="464" w16cid:durableId="1830360347">
    <w:abstractNumId w:val="79"/>
    <w:lvlOverride w:ilvl="0">
      <w:startOverride w:val="1"/>
    </w:lvlOverride>
  </w:num>
  <w:num w:numId="465" w16cid:durableId="334846126">
    <w:abstractNumId w:val="79"/>
    <w:lvlOverride w:ilvl="0">
      <w:startOverride w:val="1"/>
    </w:lvlOverride>
  </w:num>
  <w:num w:numId="466" w16cid:durableId="1148134700">
    <w:abstractNumId w:val="79"/>
    <w:lvlOverride w:ilvl="0">
      <w:startOverride w:val="1"/>
    </w:lvlOverride>
  </w:num>
  <w:num w:numId="467" w16cid:durableId="1032070913">
    <w:abstractNumId w:val="79"/>
    <w:lvlOverride w:ilvl="0">
      <w:startOverride w:val="1"/>
    </w:lvlOverride>
  </w:num>
  <w:num w:numId="468" w16cid:durableId="214658821">
    <w:abstractNumId w:val="79"/>
    <w:lvlOverride w:ilvl="0">
      <w:startOverride w:val="1"/>
    </w:lvlOverride>
  </w:num>
  <w:num w:numId="469" w16cid:durableId="1519202038">
    <w:abstractNumId w:val="79"/>
    <w:lvlOverride w:ilvl="0">
      <w:startOverride w:val="1"/>
    </w:lvlOverride>
  </w:num>
  <w:num w:numId="470" w16cid:durableId="771120975">
    <w:abstractNumId w:val="79"/>
    <w:lvlOverride w:ilvl="0">
      <w:startOverride w:val="1"/>
    </w:lvlOverride>
  </w:num>
  <w:num w:numId="471" w16cid:durableId="1266763666">
    <w:abstractNumId w:val="79"/>
    <w:lvlOverride w:ilvl="0">
      <w:startOverride w:val="1"/>
    </w:lvlOverride>
  </w:num>
  <w:num w:numId="472" w16cid:durableId="1126657799">
    <w:abstractNumId w:val="79"/>
    <w:lvlOverride w:ilvl="0">
      <w:startOverride w:val="1"/>
    </w:lvlOverride>
  </w:num>
  <w:num w:numId="473" w16cid:durableId="1473060843">
    <w:abstractNumId w:val="79"/>
    <w:lvlOverride w:ilvl="0">
      <w:startOverride w:val="1"/>
    </w:lvlOverride>
  </w:num>
  <w:num w:numId="474" w16cid:durableId="1200246479">
    <w:abstractNumId w:val="79"/>
    <w:lvlOverride w:ilvl="0">
      <w:startOverride w:val="1"/>
    </w:lvlOverride>
  </w:num>
  <w:num w:numId="475" w16cid:durableId="1964191650">
    <w:abstractNumId w:val="79"/>
    <w:lvlOverride w:ilvl="0">
      <w:startOverride w:val="1"/>
    </w:lvlOverride>
  </w:num>
  <w:num w:numId="476" w16cid:durableId="633098393">
    <w:abstractNumId w:val="79"/>
    <w:lvlOverride w:ilvl="0">
      <w:startOverride w:val="1"/>
    </w:lvlOverride>
  </w:num>
  <w:num w:numId="477" w16cid:durableId="1263801233">
    <w:abstractNumId w:val="79"/>
    <w:lvlOverride w:ilvl="0">
      <w:startOverride w:val="1"/>
    </w:lvlOverride>
  </w:num>
  <w:num w:numId="478" w16cid:durableId="1225917979">
    <w:abstractNumId w:val="79"/>
    <w:lvlOverride w:ilvl="0">
      <w:startOverride w:val="1"/>
    </w:lvlOverride>
  </w:num>
  <w:num w:numId="479" w16cid:durableId="775441054">
    <w:abstractNumId w:val="79"/>
    <w:lvlOverride w:ilvl="0">
      <w:startOverride w:val="1"/>
    </w:lvlOverride>
  </w:num>
  <w:num w:numId="480" w16cid:durableId="1362512594">
    <w:abstractNumId w:val="79"/>
    <w:lvlOverride w:ilvl="0">
      <w:startOverride w:val="1"/>
    </w:lvlOverride>
  </w:num>
  <w:num w:numId="481" w16cid:durableId="56057568">
    <w:abstractNumId w:val="79"/>
    <w:lvlOverride w:ilvl="0">
      <w:startOverride w:val="1"/>
    </w:lvlOverride>
  </w:num>
  <w:num w:numId="482" w16cid:durableId="1531839632">
    <w:abstractNumId w:val="79"/>
    <w:lvlOverride w:ilvl="0">
      <w:startOverride w:val="1"/>
    </w:lvlOverride>
  </w:num>
  <w:num w:numId="483" w16cid:durableId="1758165379">
    <w:abstractNumId w:val="79"/>
    <w:lvlOverride w:ilvl="0">
      <w:startOverride w:val="1"/>
    </w:lvlOverride>
  </w:num>
  <w:num w:numId="484" w16cid:durableId="173418842">
    <w:abstractNumId w:val="79"/>
    <w:lvlOverride w:ilvl="0">
      <w:startOverride w:val="1"/>
    </w:lvlOverride>
  </w:num>
  <w:num w:numId="485" w16cid:durableId="792602794">
    <w:abstractNumId w:val="79"/>
    <w:lvlOverride w:ilvl="0">
      <w:startOverride w:val="1"/>
    </w:lvlOverride>
  </w:num>
  <w:num w:numId="486" w16cid:durableId="1370909455">
    <w:abstractNumId w:val="79"/>
    <w:lvlOverride w:ilvl="0">
      <w:startOverride w:val="1"/>
    </w:lvlOverride>
  </w:num>
  <w:num w:numId="487" w16cid:durableId="378632671">
    <w:abstractNumId w:val="79"/>
    <w:lvlOverride w:ilvl="0">
      <w:startOverride w:val="1"/>
    </w:lvlOverride>
  </w:num>
  <w:num w:numId="488" w16cid:durableId="1372463262">
    <w:abstractNumId w:val="79"/>
    <w:lvlOverride w:ilvl="0">
      <w:startOverride w:val="1"/>
    </w:lvlOverride>
  </w:num>
  <w:num w:numId="489" w16cid:durableId="922035878">
    <w:abstractNumId w:val="79"/>
    <w:lvlOverride w:ilvl="0">
      <w:startOverride w:val="1"/>
    </w:lvlOverride>
  </w:num>
  <w:num w:numId="490" w16cid:durableId="838615610">
    <w:abstractNumId w:val="79"/>
    <w:lvlOverride w:ilvl="0">
      <w:startOverride w:val="1"/>
    </w:lvlOverride>
  </w:num>
  <w:num w:numId="491" w16cid:durableId="34084310">
    <w:abstractNumId w:val="79"/>
    <w:lvlOverride w:ilvl="0">
      <w:startOverride w:val="1"/>
    </w:lvlOverride>
  </w:num>
  <w:num w:numId="492" w16cid:durableId="1382511387">
    <w:abstractNumId w:val="79"/>
    <w:lvlOverride w:ilvl="0">
      <w:startOverride w:val="1"/>
    </w:lvlOverride>
  </w:num>
  <w:num w:numId="493" w16cid:durableId="1349138667">
    <w:abstractNumId w:val="79"/>
    <w:lvlOverride w:ilvl="0">
      <w:startOverride w:val="1"/>
    </w:lvlOverride>
  </w:num>
  <w:num w:numId="494" w16cid:durableId="97484294">
    <w:abstractNumId w:val="79"/>
    <w:lvlOverride w:ilvl="0">
      <w:startOverride w:val="1"/>
    </w:lvlOverride>
  </w:num>
  <w:num w:numId="495" w16cid:durableId="379474183">
    <w:abstractNumId w:val="79"/>
    <w:lvlOverride w:ilvl="0">
      <w:startOverride w:val="1"/>
    </w:lvlOverride>
  </w:num>
  <w:num w:numId="496" w16cid:durableId="1971979139">
    <w:abstractNumId w:val="79"/>
    <w:lvlOverride w:ilvl="0">
      <w:startOverride w:val="1"/>
    </w:lvlOverride>
  </w:num>
  <w:num w:numId="497" w16cid:durableId="494272667">
    <w:abstractNumId w:val="79"/>
    <w:lvlOverride w:ilvl="0">
      <w:startOverride w:val="1"/>
    </w:lvlOverride>
  </w:num>
  <w:num w:numId="498" w16cid:durableId="1584685659">
    <w:abstractNumId w:val="79"/>
    <w:lvlOverride w:ilvl="0">
      <w:startOverride w:val="1"/>
    </w:lvlOverride>
  </w:num>
  <w:num w:numId="499" w16cid:durableId="1687098459">
    <w:abstractNumId w:val="79"/>
    <w:lvlOverride w:ilvl="0">
      <w:startOverride w:val="1"/>
    </w:lvlOverride>
  </w:num>
  <w:num w:numId="500" w16cid:durableId="1277522340">
    <w:abstractNumId w:val="79"/>
    <w:lvlOverride w:ilvl="0">
      <w:startOverride w:val="1"/>
    </w:lvlOverride>
  </w:num>
  <w:num w:numId="501" w16cid:durableId="1990088622">
    <w:abstractNumId w:val="79"/>
    <w:lvlOverride w:ilvl="0">
      <w:startOverride w:val="1"/>
    </w:lvlOverride>
  </w:num>
  <w:num w:numId="502" w16cid:durableId="1427340065">
    <w:abstractNumId w:val="79"/>
    <w:lvlOverride w:ilvl="0">
      <w:startOverride w:val="1"/>
    </w:lvlOverride>
  </w:num>
  <w:num w:numId="503" w16cid:durableId="889847945">
    <w:abstractNumId w:val="79"/>
    <w:lvlOverride w:ilvl="0">
      <w:startOverride w:val="1"/>
    </w:lvlOverride>
  </w:num>
  <w:num w:numId="504" w16cid:durableId="1331371683">
    <w:abstractNumId w:val="79"/>
    <w:lvlOverride w:ilvl="0">
      <w:startOverride w:val="1"/>
    </w:lvlOverride>
  </w:num>
  <w:num w:numId="505" w16cid:durableId="301158156">
    <w:abstractNumId w:val="79"/>
    <w:lvlOverride w:ilvl="0">
      <w:startOverride w:val="1"/>
    </w:lvlOverride>
  </w:num>
  <w:num w:numId="506" w16cid:durableId="118493615">
    <w:abstractNumId w:val="79"/>
    <w:lvlOverride w:ilvl="0">
      <w:startOverride w:val="1"/>
    </w:lvlOverride>
  </w:num>
  <w:num w:numId="507" w16cid:durableId="528034965">
    <w:abstractNumId w:val="79"/>
    <w:lvlOverride w:ilvl="0">
      <w:startOverride w:val="1"/>
    </w:lvlOverride>
  </w:num>
  <w:num w:numId="508" w16cid:durableId="194850674">
    <w:abstractNumId w:val="79"/>
    <w:lvlOverride w:ilvl="0">
      <w:startOverride w:val="1"/>
    </w:lvlOverride>
  </w:num>
  <w:num w:numId="509" w16cid:durableId="1172068599">
    <w:abstractNumId w:val="79"/>
    <w:lvlOverride w:ilvl="0">
      <w:startOverride w:val="1"/>
    </w:lvlOverride>
  </w:num>
  <w:num w:numId="510" w16cid:durableId="1962613308">
    <w:abstractNumId w:val="79"/>
    <w:lvlOverride w:ilvl="0">
      <w:startOverride w:val="1"/>
    </w:lvlOverride>
  </w:num>
  <w:num w:numId="511" w16cid:durableId="1851145099">
    <w:abstractNumId w:val="79"/>
    <w:lvlOverride w:ilvl="0">
      <w:startOverride w:val="1"/>
    </w:lvlOverride>
  </w:num>
  <w:num w:numId="512" w16cid:durableId="808322227">
    <w:abstractNumId w:val="79"/>
    <w:lvlOverride w:ilvl="0">
      <w:startOverride w:val="1"/>
    </w:lvlOverride>
  </w:num>
  <w:num w:numId="513" w16cid:durableId="937177398">
    <w:abstractNumId w:val="79"/>
    <w:lvlOverride w:ilvl="0">
      <w:startOverride w:val="1"/>
    </w:lvlOverride>
  </w:num>
  <w:num w:numId="514" w16cid:durableId="1110318685">
    <w:abstractNumId w:val="79"/>
    <w:lvlOverride w:ilvl="0">
      <w:startOverride w:val="1"/>
    </w:lvlOverride>
  </w:num>
  <w:num w:numId="515" w16cid:durableId="1590385459">
    <w:abstractNumId w:val="79"/>
    <w:lvlOverride w:ilvl="0">
      <w:startOverride w:val="1"/>
    </w:lvlOverride>
  </w:num>
  <w:num w:numId="516" w16cid:durableId="2006587993">
    <w:abstractNumId w:val="79"/>
    <w:lvlOverride w:ilvl="0">
      <w:startOverride w:val="1"/>
    </w:lvlOverride>
  </w:num>
  <w:num w:numId="517" w16cid:durableId="1018235877">
    <w:abstractNumId w:val="79"/>
    <w:lvlOverride w:ilvl="0">
      <w:startOverride w:val="1"/>
    </w:lvlOverride>
  </w:num>
  <w:num w:numId="518" w16cid:durableId="1883244362">
    <w:abstractNumId w:val="79"/>
    <w:lvlOverride w:ilvl="0">
      <w:startOverride w:val="1"/>
    </w:lvlOverride>
  </w:num>
  <w:num w:numId="519" w16cid:durableId="591671514">
    <w:abstractNumId w:val="79"/>
    <w:lvlOverride w:ilvl="0">
      <w:startOverride w:val="1"/>
    </w:lvlOverride>
  </w:num>
  <w:num w:numId="520" w16cid:durableId="778446920">
    <w:abstractNumId w:val="79"/>
    <w:lvlOverride w:ilvl="0">
      <w:startOverride w:val="1"/>
    </w:lvlOverride>
  </w:num>
  <w:num w:numId="521" w16cid:durableId="1288514279">
    <w:abstractNumId w:val="79"/>
    <w:lvlOverride w:ilvl="0">
      <w:startOverride w:val="1"/>
    </w:lvlOverride>
  </w:num>
  <w:num w:numId="522" w16cid:durableId="1871259014">
    <w:abstractNumId w:val="79"/>
    <w:lvlOverride w:ilvl="0">
      <w:startOverride w:val="1"/>
    </w:lvlOverride>
  </w:num>
  <w:num w:numId="523" w16cid:durableId="738672929">
    <w:abstractNumId w:val="79"/>
  </w:num>
  <w:num w:numId="524" w16cid:durableId="1815373093">
    <w:abstractNumId w:val="79"/>
    <w:lvlOverride w:ilvl="0">
      <w:startOverride w:val="1"/>
    </w:lvlOverride>
  </w:num>
  <w:num w:numId="525" w16cid:durableId="747730675">
    <w:abstractNumId w:val="79"/>
    <w:lvlOverride w:ilvl="0">
      <w:startOverride w:val="1"/>
    </w:lvlOverride>
  </w:num>
  <w:num w:numId="526" w16cid:durableId="1215049108">
    <w:abstractNumId w:val="79"/>
    <w:lvlOverride w:ilvl="0">
      <w:startOverride w:val="1"/>
    </w:lvlOverride>
  </w:num>
  <w:num w:numId="527" w16cid:durableId="389426139">
    <w:abstractNumId w:val="79"/>
    <w:lvlOverride w:ilvl="0">
      <w:startOverride w:val="1"/>
    </w:lvlOverride>
  </w:num>
  <w:num w:numId="528" w16cid:durableId="477649000">
    <w:abstractNumId w:val="79"/>
    <w:lvlOverride w:ilvl="0">
      <w:startOverride w:val="1"/>
    </w:lvlOverride>
  </w:num>
  <w:num w:numId="529" w16cid:durableId="378209847">
    <w:abstractNumId w:val="79"/>
    <w:lvlOverride w:ilvl="0">
      <w:startOverride w:val="1"/>
    </w:lvlOverride>
  </w:num>
  <w:num w:numId="530" w16cid:durableId="1460492737">
    <w:abstractNumId w:val="79"/>
    <w:lvlOverride w:ilvl="0">
      <w:startOverride w:val="1"/>
    </w:lvlOverride>
  </w:num>
  <w:num w:numId="531" w16cid:durableId="1719932110">
    <w:abstractNumId w:val="79"/>
    <w:lvlOverride w:ilvl="0">
      <w:startOverride w:val="1"/>
    </w:lvlOverride>
  </w:num>
  <w:num w:numId="532" w16cid:durableId="146939432">
    <w:abstractNumId w:val="79"/>
    <w:lvlOverride w:ilvl="0">
      <w:startOverride w:val="1"/>
    </w:lvlOverride>
  </w:num>
  <w:num w:numId="533" w16cid:durableId="306865472">
    <w:abstractNumId w:val="79"/>
    <w:lvlOverride w:ilvl="0">
      <w:startOverride w:val="1"/>
    </w:lvlOverride>
  </w:num>
  <w:num w:numId="534" w16cid:durableId="590627648">
    <w:abstractNumId w:val="79"/>
    <w:lvlOverride w:ilvl="0">
      <w:startOverride w:val="1"/>
    </w:lvlOverride>
  </w:num>
  <w:num w:numId="535" w16cid:durableId="916015381">
    <w:abstractNumId w:val="79"/>
    <w:lvlOverride w:ilvl="0">
      <w:startOverride w:val="1"/>
    </w:lvlOverride>
  </w:num>
  <w:num w:numId="536" w16cid:durableId="65536601">
    <w:abstractNumId w:val="79"/>
    <w:lvlOverride w:ilvl="0">
      <w:startOverride w:val="1"/>
    </w:lvlOverride>
  </w:num>
  <w:num w:numId="537" w16cid:durableId="1738278627">
    <w:abstractNumId w:val="79"/>
    <w:lvlOverride w:ilvl="0">
      <w:startOverride w:val="1"/>
    </w:lvlOverride>
  </w:num>
  <w:num w:numId="538" w16cid:durableId="1232235239">
    <w:abstractNumId w:val="79"/>
    <w:lvlOverride w:ilvl="0">
      <w:startOverride w:val="1"/>
    </w:lvlOverride>
  </w:num>
  <w:num w:numId="539" w16cid:durableId="545991300">
    <w:abstractNumId w:val="79"/>
    <w:lvlOverride w:ilvl="0">
      <w:startOverride w:val="1"/>
    </w:lvlOverride>
  </w:num>
  <w:num w:numId="540" w16cid:durableId="1124881741">
    <w:abstractNumId w:val="79"/>
    <w:lvlOverride w:ilvl="0">
      <w:startOverride w:val="1"/>
    </w:lvlOverride>
  </w:num>
  <w:num w:numId="541" w16cid:durableId="1275088848">
    <w:abstractNumId w:val="79"/>
    <w:lvlOverride w:ilvl="0">
      <w:startOverride w:val="1"/>
    </w:lvlOverride>
  </w:num>
  <w:num w:numId="542" w16cid:durableId="1076977240">
    <w:abstractNumId w:val="79"/>
    <w:lvlOverride w:ilvl="0">
      <w:startOverride w:val="1"/>
    </w:lvlOverride>
  </w:num>
  <w:num w:numId="543" w16cid:durableId="525487712">
    <w:abstractNumId w:val="79"/>
    <w:lvlOverride w:ilvl="0">
      <w:startOverride w:val="1"/>
    </w:lvlOverride>
  </w:num>
  <w:num w:numId="544" w16cid:durableId="1494028915">
    <w:abstractNumId w:val="79"/>
    <w:lvlOverride w:ilvl="0">
      <w:startOverride w:val="1"/>
    </w:lvlOverride>
  </w:num>
  <w:num w:numId="545" w16cid:durableId="625429401">
    <w:abstractNumId w:val="79"/>
    <w:lvlOverride w:ilvl="0">
      <w:startOverride w:val="1"/>
    </w:lvlOverride>
  </w:num>
  <w:num w:numId="546" w16cid:durableId="1697924525">
    <w:abstractNumId w:val="79"/>
    <w:lvlOverride w:ilvl="0">
      <w:startOverride w:val="1"/>
    </w:lvlOverride>
  </w:num>
  <w:num w:numId="547" w16cid:durableId="777219150">
    <w:abstractNumId w:val="79"/>
    <w:lvlOverride w:ilvl="0">
      <w:startOverride w:val="1"/>
    </w:lvlOverride>
  </w:num>
  <w:num w:numId="548" w16cid:durableId="1148283441">
    <w:abstractNumId w:val="79"/>
    <w:lvlOverride w:ilvl="0">
      <w:startOverride w:val="1"/>
    </w:lvlOverride>
  </w:num>
  <w:num w:numId="549" w16cid:durableId="481118247">
    <w:abstractNumId w:val="79"/>
    <w:lvlOverride w:ilvl="0">
      <w:startOverride w:val="1"/>
    </w:lvlOverride>
  </w:num>
  <w:num w:numId="550" w16cid:durableId="1493176765">
    <w:abstractNumId w:val="79"/>
    <w:lvlOverride w:ilvl="0">
      <w:startOverride w:val="1"/>
    </w:lvlOverride>
  </w:num>
  <w:num w:numId="551" w16cid:durableId="1804998329">
    <w:abstractNumId w:val="79"/>
    <w:lvlOverride w:ilvl="0">
      <w:startOverride w:val="1"/>
    </w:lvlOverride>
  </w:num>
  <w:num w:numId="552" w16cid:durableId="2090812559">
    <w:abstractNumId w:val="79"/>
    <w:lvlOverride w:ilvl="0">
      <w:startOverride w:val="1"/>
    </w:lvlOverride>
  </w:num>
  <w:num w:numId="553" w16cid:durableId="1114137409">
    <w:abstractNumId w:val="79"/>
    <w:lvlOverride w:ilvl="0">
      <w:startOverride w:val="1"/>
    </w:lvlOverride>
  </w:num>
  <w:num w:numId="554" w16cid:durableId="548956180">
    <w:abstractNumId w:val="79"/>
    <w:lvlOverride w:ilvl="0">
      <w:startOverride w:val="1"/>
    </w:lvlOverride>
  </w:num>
  <w:num w:numId="555" w16cid:durableId="832843901">
    <w:abstractNumId w:val="79"/>
    <w:lvlOverride w:ilvl="0">
      <w:startOverride w:val="1"/>
    </w:lvlOverride>
  </w:num>
  <w:num w:numId="556" w16cid:durableId="1726104915">
    <w:abstractNumId w:val="79"/>
    <w:lvlOverride w:ilvl="0">
      <w:startOverride w:val="1"/>
    </w:lvlOverride>
  </w:num>
  <w:num w:numId="557" w16cid:durableId="961493094">
    <w:abstractNumId w:val="79"/>
    <w:lvlOverride w:ilvl="0">
      <w:startOverride w:val="1"/>
    </w:lvlOverride>
  </w:num>
  <w:num w:numId="558" w16cid:durableId="601495149">
    <w:abstractNumId w:val="79"/>
    <w:lvlOverride w:ilvl="0">
      <w:startOverride w:val="1"/>
    </w:lvlOverride>
  </w:num>
  <w:num w:numId="559" w16cid:durableId="1702245819">
    <w:abstractNumId w:val="79"/>
    <w:lvlOverride w:ilvl="0">
      <w:startOverride w:val="1"/>
    </w:lvlOverride>
  </w:num>
  <w:num w:numId="560" w16cid:durableId="260726974">
    <w:abstractNumId w:val="79"/>
    <w:lvlOverride w:ilvl="0">
      <w:startOverride w:val="1"/>
    </w:lvlOverride>
  </w:num>
  <w:num w:numId="561" w16cid:durableId="1821267231">
    <w:abstractNumId w:val="79"/>
    <w:lvlOverride w:ilvl="0">
      <w:startOverride w:val="1"/>
    </w:lvlOverride>
  </w:num>
  <w:num w:numId="562" w16cid:durableId="474301893">
    <w:abstractNumId w:val="79"/>
    <w:lvlOverride w:ilvl="0">
      <w:startOverride w:val="1"/>
    </w:lvlOverride>
  </w:num>
  <w:num w:numId="563" w16cid:durableId="1506551377">
    <w:abstractNumId w:val="79"/>
    <w:lvlOverride w:ilvl="0">
      <w:startOverride w:val="1"/>
    </w:lvlOverride>
  </w:num>
  <w:num w:numId="564" w16cid:durableId="1136218401">
    <w:abstractNumId w:val="79"/>
    <w:lvlOverride w:ilvl="0">
      <w:startOverride w:val="1"/>
    </w:lvlOverride>
  </w:num>
  <w:num w:numId="565" w16cid:durableId="1055540813">
    <w:abstractNumId w:val="79"/>
    <w:lvlOverride w:ilvl="0">
      <w:startOverride w:val="1"/>
    </w:lvlOverride>
  </w:num>
  <w:num w:numId="566" w16cid:durableId="936979467">
    <w:abstractNumId w:val="79"/>
    <w:lvlOverride w:ilvl="0">
      <w:startOverride w:val="1"/>
    </w:lvlOverride>
  </w:num>
  <w:num w:numId="567" w16cid:durableId="1797750524">
    <w:abstractNumId w:val="79"/>
    <w:lvlOverride w:ilvl="0">
      <w:startOverride w:val="1"/>
    </w:lvlOverride>
  </w:num>
  <w:num w:numId="568" w16cid:durableId="732508260">
    <w:abstractNumId w:val="79"/>
    <w:lvlOverride w:ilvl="0">
      <w:startOverride w:val="1"/>
    </w:lvlOverride>
  </w:num>
  <w:num w:numId="569" w16cid:durableId="637493543">
    <w:abstractNumId w:val="79"/>
    <w:lvlOverride w:ilvl="0">
      <w:startOverride w:val="1"/>
    </w:lvlOverride>
  </w:num>
  <w:num w:numId="570" w16cid:durableId="841704271">
    <w:abstractNumId w:val="79"/>
    <w:lvlOverride w:ilvl="0">
      <w:startOverride w:val="1"/>
    </w:lvlOverride>
  </w:num>
  <w:num w:numId="571" w16cid:durableId="1459253194">
    <w:abstractNumId w:val="79"/>
    <w:lvlOverride w:ilvl="0">
      <w:startOverride w:val="1"/>
    </w:lvlOverride>
  </w:num>
  <w:num w:numId="572" w16cid:durableId="261185447">
    <w:abstractNumId w:val="79"/>
    <w:lvlOverride w:ilvl="0">
      <w:startOverride w:val="1"/>
    </w:lvlOverride>
  </w:num>
  <w:num w:numId="573" w16cid:durableId="1596740919">
    <w:abstractNumId w:val="79"/>
    <w:lvlOverride w:ilvl="0">
      <w:startOverride w:val="1"/>
    </w:lvlOverride>
  </w:num>
  <w:num w:numId="574" w16cid:durableId="1948808070">
    <w:abstractNumId w:val="79"/>
    <w:lvlOverride w:ilvl="0">
      <w:startOverride w:val="1"/>
    </w:lvlOverride>
  </w:num>
  <w:num w:numId="575" w16cid:durableId="1718120574">
    <w:abstractNumId w:val="79"/>
    <w:lvlOverride w:ilvl="0">
      <w:startOverride w:val="1"/>
    </w:lvlOverride>
  </w:num>
  <w:num w:numId="576" w16cid:durableId="1411853447">
    <w:abstractNumId w:val="79"/>
    <w:lvlOverride w:ilvl="0">
      <w:startOverride w:val="1"/>
    </w:lvlOverride>
  </w:num>
  <w:num w:numId="577" w16cid:durableId="1003167479">
    <w:abstractNumId w:val="79"/>
    <w:lvlOverride w:ilvl="0">
      <w:startOverride w:val="1"/>
    </w:lvlOverride>
  </w:num>
  <w:num w:numId="578" w16cid:durableId="1498424133">
    <w:abstractNumId w:val="79"/>
    <w:lvlOverride w:ilvl="0">
      <w:startOverride w:val="1"/>
    </w:lvlOverride>
  </w:num>
  <w:num w:numId="579" w16cid:durableId="1231694994">
    <w:abstractNumId w:val="79"/>
    <w:lvlOverride w:ilvl="0">
      <w:startOverride w:val="1"/>
    </w:lvlOverride>
  </w:num>
  <w:num w:numId="580" w16cid:durableId="1951086112">
    <w:abstractNumId w:val="79"/>
    <w:lvlOverride w:ilvl="0">
      <w:startOverride w:val="1"/>
    </w:lvlOverride>
  </w:num>
  <w:num w:numId="581" w16cid:durableId="536281553">
    <w:abstractNumId w:val="79"/>
    <w:lvlOverride w:ilvl="0">
      <w:startOverride w:val="1"/>
    </w:lvlOverride>
  </w:num>
  <w:num w:numId="582" w16cid:durableId="114906121">
    <w:abstractNumId w:val="79"/>
    <w:lvlOverride w:ilvl="0">
      <w:startOverride w:val="1"/>
    </w:lvlOverride>
  </w:num>
  <w:num w:numId="583" w16cid:durableId="1759138664">
    <w:abstractNumId w:val="79"/>
    <w:lvlOverride w:ilvl="0">
      <w:startOverride w:val="1"/>
    </w:lvlOverride>
  </w:num>
  <w:num w:numId="584" w16cid:durableId="1248464069">
    <w:abstractNumId w:val="79"/>
    <w:lvlOverride w:ilvl="0">
      <w:startOverride w:val="1"/>
    </w:lvlOverride>
  </w:num>
  <w:num w:numId="585" w16cid:durableId="1813671483">
    <w:abstractNumId w:val="79"/>
    <w:lvlOverride w:ilvl="0">
      <w:startOverride w:val="1"/>
    </w:lvlOverride>
  </w:num>
  <w:num w:numId="586" w16cid:durableId="1316765610">
    <w:abstractNumId w:val="79"/>
    <w:lvlOverride w:ilvl="0">
      <w:startOverride w:val="1"/>
    </w:lvlOverride>
  </w:num>
  <w:num w:numId="587" w16cid:durableId="1529833464">
    <w:abstractNumId w:val="79"/>
    <w:lvlOverride w:ilvl="0">
      <w:startOverride w:val="1"/>
    </w:lvlOverride>
  </w:num>
  <w:num w:numId="588" w16cid:durableId="1695644559">
    <w:abstractNumId w:val="79"/>
    <w:lvlOverride w:ilvl="0">
      <w:startOverride w:val="1"/>
    </w:lvlOverride>
  </w:num>
  <w:num w:numId="589" w16cid:durableId="2024475615">
    <w:abstractNumId w:val="79"/>
    <w:lvlOverride w:ilvl="0">
      <w:startOverride w:val="1"/>
    </w:lvlOverride>
  </w:num>
  <w:num w:numId="590" w16cid:durableId="66460110">
    <w:abstractNumId w:val="79"/>
    <w:lvlOverride w:ilvl="0">
      <w:startOverride w:val="1"/>
    </w:lvlOverride>
  </w:num>
  <w:num w:numId="591" w16cid:durableId="670791018">
    <w:abstractNumId w:val="79"/>
    <w:lvlOverride w:ilvl="0">
      <w:startOverride w:val="1"/>
    </w:lvlOverride>
  </w:num>
  <w:num w:numId="592" w16cid:durableId="1381129405">
    <w:abstractNumId w:val="79"/>
    <w:lvlOverride w:ilvl="0">
      <w:startOverride w:val="1"/>
    </w:lvlOverride>
  </w:num>
  <w:num w:numId="593" w16cid:durableId="1349912021">
    <w:abstractNumId w:val="79"/>
    <w:lvlOverride w:ilvl="0">
      <w:startOverride w:val="1"/>
    </w:lvlOverride>
  </w:num>
  <w:num w:numId="594" w16cid:durableId="57748662">
    <w:abstractNumId w:val="79"/>
    <w:lvlOverride w:ilvl="0">
      <w:startOverride w:val="1"/>
    </w:lvlOverride>
  </w:num>
  <w:num w:numId="595" w16cid:durableId="114754699">
    <w:abstractNumId w:val="79"/>
    <w:lvlOverride w:ilvl="0">
      <w:startOverride w:val="1"/>
    </w:lvlOverride>
  </w:num>
  <w:num w:numId="596" w16cid:durableId="1566338148">
    <w:abstractNumId w:val="79"/>
    <w:lvlOverride w:ilvl="0">
      <w:startOverride w:val="1"/>
    </w:lvlOverride>
  </w:num>
  <w:num w:numId="597" w16cid:durableId="1597862066">
    <w:abstractNumId w:val="79"/>
    <w:lvlOverride w:ilvl="0">
      <w:startOverride w:val="1"/>
    </w:lvlOverride>
  </w:num>
  <w:num w:numId="598" w16cid:durableId="2098942467">
    <w:abstractNumId w:val="79"/>
    <w:lvlOverride w:ilvl="0">
      <w:startOverride w:val="1"/>
    </w:lvlOverride>
  </w:num>
  <w:num w:numId="599" w16cid:durableId="1834878140">
    <w:abstractNumId w:val="79"/>
    <w:lvlOverride w:ilvl="0">
      <w:startOverride w:val="1"/>
    </w:lvlOverride>
  </w:num>
  <w:num w:numId="600" w16cid:durableId="792940115">
    <w:abstractNumId w:val="79"/>
    <w:lvlOverride w:ilvl="0">
      <w:startOverride w:val="1"/>
    </w:lvlOverride>
  </w:num>
  <w:num w:numId="601" w16cid:durableId="83847095">
    <w:abstractNumId w:val="79"/>
    <w:lvlOverride w:ilvl="0">
      <w:startOverride w:val="1"/>
    </w:lvlOverride>
  </w:num>
  <w:num w:numId="602" w16cid:durableId="1035352057">
    <w:abstractNumId w:val="79"/>
    <w:lvlOverride w:ilvl="0">
      <w:startOverride w:val="1"/>
    </w:lvlOverride>
  </w:num>
  <w:num w:numId="603" w16cid:durableId="588388921">
    <w:abstractNumId w:val="79"/>
    <w:lvlOverride w:ilvl="0">
      <w:startOverride w:val="1"/>
    </w:lvlOverride>
  </w:num>
  <w:num w:numId="604" w16cid:durableId="657684909">
    <w:abstractNumId w:val="79"/>
    <w:lvlOverride w:ilvl="0">
      <w:startOverride w:val="1"/>
    </w:lvlOverride>
  </w:num>
  <w:num w:numId="605" w16cid:durableId="1195264516">
    <w:abstractNumId w:val="79"/>
    <w:lvlOverride w:ilvl="0">
      <w:startOverride w:val="1"/>
    </w:lvlOverride>
  </w:num>
  <w:num w:numId="606" w16cid:durableId="245968431">
    <w:abstractNumId w:val="79"/>
    <w:lvlOverride w:ilvl="0">
      <w:startOverride w:val="1"/>
    </w:lvlOverride>
  </w:num>
  <w:num w:numId="607" w16cid:durableId="1402488387">
    <w:abstractNumId w:val="79"/>
    <w:lvlOverride w:ilvl="0">
      <w:startOverride w:val="1"/>
    </w:lvlOverride>
  </w:num>
  <w:num w:numId="608" w16cid:durableId="1187720294">
    <w:abstractNumId w:val="79"/>
    <w:lvlOverride w:ilvl="0">
      <w:startOverride w:val="1"/>
    </w:lvlOverride>
  </w:num>
  <w:num w:numId="609" w16cid:durableId="606549065">
    <w:abstractNumId w:val="79"/>
    <w:lvlOverride w:ilvl="0">
      <w:startOverride w:val="1"/>
    </w:lvlOverride>
  </w:num>
  <w:num w:numId="610" w16cid:durableId="1280530514">
    <w:abstractNumId w:val="79"/>
    <w:lvlOverride w:ilvl="0">
      <w:startOverride w:val="1"/>
    </w:lvlOverride>
  </w:num>
  <w:num w:numId="611" w16cid:durableId="2078236727">
    <w:abstractNumId w:val="79"/>
    <w:lvlOverride w:ilvl="0">
      <w:startOverride w:val="1"/>
    </w:lvlOverride>
  </w:num>
  <w:num w:numId="612" w16cid:durableId="104617284">
    <w:abstractNumId w:val="79"/>
    <w:lvlOverride w:ilvl="0">
      <w:startOverride w:val="1"/>
    </w:lvlOverride>
  </w:num>
  <w:num w:numId="613" w16cid:durableId="1941838290">
    <w:abstractNumId w:val="79"/>
    <w:lvlOverride w:ilvl="0">
      <w:startOverride w:val="1"/>
    </w:lvlOverride>
  </w:num>
  <w:num w:numId="614" w16cid:durableId="1744335892">
    <w:abstractNumId w:val="79"/>
    <w:lvlOverride w:ilvl="0">
      <w:startOverride w:val="1"/>
    </w:lvlOverride>
  </w:num>
  <w:num w:numId="615" w16cid:durableId="902257656">
    <w:abstractNumId w:val="79"/>
    <w:lvlOverride w:ilvl="0">
      <w:startOverride w:val="1"/>
    </w:lvlOverride>
  </w:num>
  <w:num w:numId="616" w16cid:durableId="1666132884">
    <w:abstractNumId w:val="79"/>
    <w:lvlOverride w:ilvl="0">
      <w:startOverride w:val="1"/>
    </w:lvlOverride>
  </w:num>
  <w:num w:numId="617" w16cid:durableId="1522235857">
    <w:abstractNumId w:val="79"/>
    <w:lvlOverride w:ilvl="0">
      <w:startOverride w:val="1"/>
    </w:lvlOverride>
  </w:num>
  <w:num w:numId="618" w16cid:durableId="600533861">
    <w:abstractNumId w:val="79"/>
    <w:lvlOverride w:ilvl="0">
      <w:startOverride w:val="1"/>
    </w:lvlOverride>
  </w:num>
  <w:num w:numId="619" w16cid:durableId="658339701">
    <w:abstractNumId w:val="79"/>
    <w:lvlOverride w:ilvl="0">
      <w:startOverride w:val="1"/>
    </w:lvlOverride>
  </w:num>
  <w:num w:numId="620" w16cid:durableId="896167127">
    <w:abstractNumId w:val="79"/>
    <w:lvlOverride w:ilvl="0">
      <w:startOverride w:val="1"/>
    </w:lvlOverride>
  </w:num>
  <w:num w:numId="621" w16cid:durableId="1993871906">
    <w:abstractNumId w:val="79"/>
    <w:lvlOverride w:ilvl="0">
      <w:startOverride w:val="1"/>
    </w:lvlOverride>
  </w:num>
  <w:num w:numId="622" w16cid:durableId="403915860">
    <w:abstractNumId w:val="79"/>
    <w:lvlOverride w:ilvl="0">
      <w:startOverride w:val="1"/>
    </w:lvlOverride>
  </w:num>
  <w:num w:numId="623" w16cid:durableId="1979921631">
    <w:abstractNumId w:val="79"/>
    <w:lvlOverride w:ilvl="0">
      <w:startOverride w:val="1"/>
    </w:lvlOverride>
  </w:num>
  <w:num w:numId="624" w16cid:durableId="142428558">
    <w:abstractNumId w:val="79"/>
    <w:lvlOverride w:ilvl="0">
      <w:startOverride w:val="1"/>
    </w:lvlOverride>
  </w:num>
  <w:num w:numId="625" w16cid:durableId="1699549530">
    <w:abstractNumId w:val="79"/>
    <w:lvlOverride w:ilvl="0">
      <w:startOverride w:val="1"/>
    </w:lvlOverride>
  </w:num>
  <w:num w:numId="626" w16cid:durableId="523831934">
    <w:abstractNumId w:val="79"/>
    <w:lvlOverride w:ilvl="0">
      <w:startOverride w:val="1"/>
    </w:lvlOverride>
  </w:num>
  <w:num w:numId="627" w16cid:durableId="442110394">
    <w:abstractNumId w:val="79"/>
    <w:lvlOverride w:ilvl="0">
      <w:startOverride w:val="1"/>
    </w:lvlOverride>
  </w:num>
  <w:num w:numId="628" w16cid:durableId="1229420047">
    <w:abstractNumId w:val="79"/>
    <w:lvlOverride w:ilvl="0">
      <w:startOverride w:val="1"/>
    </w:lvlOverride>
  </w:num>
  <w:num w:numId="629" w16cid:durableId="1323584984">
    <w:abstractNumId w:val="79"/>
    <w:lvlOverride w:ilvl="0">
      <w:startOverride w:val="1"/>
    </w:lvlOverride>
  </w:num>
  <w:num w:numId="630" w16cid:durableId="674458929">
    <w:abstractNumId w:val="79"/>
    <w:lvlOverride w:ilvl="0">
      <w:startOverride w:val="1"/>
    </w:lvlOverride>
  </w:num>
  <w:num w:numId="631" w16cid:durableId="1753743778">
    <w:abstractNumId w:val="79"/>
    <w:lvlOverride w:ilvl="0">
      <w:startOverride w:val="1"/>
    </w:lvlOverride>
  </w:num>
  <w:num w:numId="632" w16cid:durableId="1382091731">
    <w:abstractNumId w:val="79"/>
    <w:lvlOverride w:ilvl="0">
      <w:startOverride w:val="1"/>
    </w:lvlOverride>
  </w:num>
  <w:num w:numId="633" w16cid:durableId="1440416269">
    <w:abstractNumId w:val="79"/>
    <w:lvlOverride w:ilvl="0">
      <w:startOverride w:val="1"/>
    </w:lvlOverride>
  </w:num>
  <w:num w:numId="634" w16cid:durableId="1902061764">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5" w16cid:durableId="1706061914">
    <w:abstractNumId w:val="79"/>
    <w:lvlOverride w:ilvl="0">
      <w:startOverride w:val="1"/>
    </w:lvlOverride>
  </w:num>
  <w:num w:numId="636" w16cid:durableId="1204638734">
    <w:abstractNumId w:val="79"/>
    <w:lvlOverride w:ilvl="0">
      <w:startOverride w:val="1"/>
    </w:lvlOverride>
  </w:num>
  <w:num w:numId="637" w16cid:durableId="712189517">
    <w:abstractNumId w:val="79"/>
    <w:lvlOverride w:ilvl="0">
      <w:startOverride w:val="1"/>
    </w:lvlOverride>
  </w:num>
  <w:num w:numId="638" w16cid:durableId="1249197582">
    <w:abstractNumId w:val="17"/>
  </w:num>
  <w:num w:numId="639" w16cid:durableId="1990162543">
    <w:abstractNumId w:val="79"/>
    <w:lvlOverride w:ilvl="0">
      <w:startOverride w:val="1"/>
    </w:lvlOverride>
  </w:num>
  <w:num w:numId="640" w16cid:durableId="1110247557">
    <w:abstractNumId w:val="55"/>
  </w:num>
  <w:num w:numId="641" w16cid:durableId="1074620092">
    <w:abstractNumId w:val="92"/>
  </w:num>
  <w:num w:numId="642" w16cid:durableId="1924297053">
    <w:abstractNumId w:val="183"/>
  </w:num>
  <w:num w:numId="643" w16cid:durableId="1158038836">
    <w:abstractNumId w:val="123"/>
  </w:num>
  <w:num w:numId="644" w16cid:durableId="940720751">
    <w:abstractNumId w:val="105"/>
  </w:num>
  <w:num w:numId="645" w16cid:durableId="535045393">
    <w:abstractNumId w:val="192"/>
  </w:num>
  <w:num w:numId="646" w16cid:durableId="2008821192">
    <w:abstractNumId w:val="96"/>
  </w:num>
  <w:num w:numId="647" w16cid:durableId="1900899179">
    <w:abstractNumId w:val="189"/>
  </w:num>
  <w:num w:numId="648" w16cid:durableId="564685838">
    <w:abstractNumId w:val="70"/>
  </w:num>
  <w:num w:numId="649" w16cid:durableId="394134468">
    <w:abstractNumId w:val="89"/>
  </w:num>
  <w:num w:numId="650" w16cid:durableId="2145350765">
    <w:abstractNumId w:val="64"/>
  </w:num>
  <w:num w:numId="651" w16cid:durableId="629361624">
    <w:abstractNumId w:val="57"/>
  </w:num>
  <w:num w:numId="652" w16cid:durableId="1092748397">
    <w:abstractNumId w:val="34"/>
  </w:num>
  <w:num w:numId="653" w16cid:durableId="1343438254">
    <w:abstractNumId w:val="19"/>
  </w:num>
  <w:num w:numId="654" w16cid:durableId="139544556">
    <w:abstractNumId w:val="166"/>
  </w:num>
  <w:num w:numId="655" w16cid:durableId="1189373159">
    <w:abstractNumId w:val="82"/>
  </w:num>
  <w:num w:numId="656" w16cid:durableId="1632635799">
    <w:abstractNumId w:val="79"/>
    <w:lvlOverride w:ilvl="0">
      <w:startOverride w:val="1"/>
    </w:lvlOverride>
  </w:num>
  <w:num w:numId="657" w16cid:durableId="1232160827">
    <w:abstractNumId w:val="48"/>
  </w:num>
  <w:num w:numId="658" w16cid:durableId="234512550">
    <w:abstractNumId w:val="39"/>
  </w:num>
  <w:num w:numId="659" w16cid:durableId="1795362292">
    <w:abstractNumId w:val="45"/>
  </w:num>
  <w:num w:numId="660" w16cid:durableId="1482304631">
    <w:abstractNumId w:val="101"/>
  </w:num>
  <w:num w:numId="661" w16cid:durableId="468477450">
    <w:abstractNumId w:val="153"/>
  </w:num>
  <w:num w:numId="662" w16cid:durableId="1395280939">
    <w:abstractNumId w:val="15"/>
  </w:num>
  <w:num w:numId="663" w16cid:durableId="621499858">
    <w:abstractNumId w:val="125"/>
  </w:num>
  <w:num w:numId="664" w16cid:durableId="712509779">
    <w:abstractNumId w:val="154"/>
  </w:num>
  <w:num w:numId="665" w16cid:durableId="1974292294">
    <w:abstractNumId w:val="56"/>
  </w:num>
  <w:num w:numId="666" w16cid:durableId="985814436">
    <w:abstractNumId w:val="151"/>
  </w:num>
  <w:num w:numId="667" w16cid:durableId="751511332">
    <w:abstractNumId w:val="164"/>
  </w:num>
  <w:num w:numId="668" w16cid:durableId="365838971">
    <w:abstractNumId w:val="142"/>
  </w:num>
  <w:num w:numId="669" w16cid:durableId="195772989">
    <w:abstractNumId w:val="104"/>
  </w:num>
  <w:num w:numId="670" w16cid:durableId="616374493">
    <w:abstractNumId w:val="155"/>
  </w:num>
  <w:num w:numId="671" w16cid:durableId="930889839">
    <w:abstractNumId w:val="81"/>
  </w:num>
  <w:num w:numId="672" w16cid:durableId="11883389">
    <w:abstractNumId w:val="100"/>
  </w:num>
  <w:num w:numId="673" w16cid:durableId="667251455">
    <w:abstractNumId w:val="71"/>
  </w:num>
  <w:num w:numId="674" w16cid:durableId="279845250">
    <w:abstractNumId w:val="94"/>
  </w:num>
  <w:num w:numId="675" w16cid:durableId="439953409">
    <w:abstractNumId w:val="161"/>
  </w:num>
  <w:num w:numId="676" w16cid:durableId="1229149301">
    <w:abstractNumId w:val="184"/>
  </w:num>
  <w:num w:numId="677" w16cid:durableId="213082483">
    <w:abstractNumId w:val="144"/>
  </w:num>
  <w:num w:numId="678" w16cid:durableId="1292788275">
    <w:abstractNumId w:val="146"/>
  </w:num>
  <w:num w:numId="679" w16cid:durableId="1648195387">
    <w:abstractNumId w:val="66"/>
  </w:num>
  <w:num w:numId="680" w16cid:durableId="773133262">
    <w:abstractNumId w:val="134"/>
  </w:num>
  <w:num w:numId="681" w16cid:durableId="1658264640">
    <w:abstractNumId w:val="128"/>
  </w:num>
  <w:num w:numId="682" w16cid:durableId="402339562">
    <w:abstractNumId w:val="54"/>
  </w:num>
  <w:num w:numId="683" w16cid:durableId="860751319">
    <w:abstractNumId w:val="165"/>
  </w:num>
  <w:num w:numId="684" w16cid:durableId="537595135">
    <w:abstractNumId w:val="14"/>
  </w:num>
  <w:num w:numId="685" w16cid:durableId="1790122411">
    <w:abstractNumId w:val="63"/>
  </w:num>
  <w:num w:numId="686" w16cid:durableId="989094750">
    <w:abstractNumId w:val="117"/>
  </w:num>
  <w:num w:numId="687" w16cid:durableId="1293488064">
    <w:abstractNumId w:val="111"/>
  </w:num>
  <w:num w:numId="688" w16cid:durableId="1364208569">
    <w:abstractNumId w:val="176"/>
  </w:num>
  <w:num w:numId="689" w16cid:durableId="380903768">
    <w:abstractNumId w:val="152"/>
  </w:num>
  <w:num w:numId="690" w16cid:durableId="3292387">
    <w:abstractNumId w:val="188"/>
  </w:num>
  <w:num w:numId="691" w16cid:durableId="2105569098">
    <w:abstractNumId w:val="175"/>
  </w:num>
  <w:num w:numId="692" w16cid:durableId="1819689246">
    <w:abstractNumId w:val="28"/>
  </w:num>
  <w:num w:numId="693" w16cid:durableId="1024593488">
    <w:abstractNumId w:val="103"/>
  </w:num>
  <w:num w:numId="694" w16cid:durableId="332221892">
    <w:abstractNumId w:val="169"/>
  </w:num>
  <w:num w:numId="695" w16cid:durableId="1311445664">
    <w:abstractNumId w:val="126"/>
  </w:num>
  <w:num w:numId="696" w16cid:durableId="2139227145">
    <w:abstractNumId w:val="58"/>
  </w:num>
  <w:num w:numId="697" w16cid:durableId="545726698">
    <w:abstractNumId w:val="35"/>
  </w:num>
  <w:num w:numId="698" w16cid:durableId="1033338333">
    <w:abstractNumId w:val="98"/>
  </w:num>
  <w:num w:numId="699" w16cid:durableId="901674101">
    <w:abstractNumId w:val="95"/>
  </w:num>
  <w:num w:numId="700" w16cid:durableId="577862837">
    <w:abstractNumId w:val="148"/>
  </w:num>
  <w:num w:numId="701" w16cid:durableId="2139488862">
    <w:abstractNumId w:val="62"/>
  </w:num>
  <w:num w:numId="702" w16cid:durableId="38940943">
    <w:abstractNumId w:val="122"/>
  </w:num>
  <w:num w:numId="703" w16cid:durableId="1869293268">
    <w:abstractNumId w:val="140"/>
  </w:num>
  <w:num w:numId="704" w16cid:durableId="510148343">
    <w:abstractNumId w:val="162"/>
  </w:num>
  <w:num w:numId="705" w16cid:durableId="217398449">
    <w:abstractNumId w:val="13"/>
  </w:num>
  <w:num w:numId="706" w16cid:durableId="85855924">
    <w:abstractNumId w:val="157"/>
  </w:num>
  <w:num w:numId="707" w16cid:durableId="265966418">
    <w:abstractNumId w:val="179"/>
  </w:num>
  <w:num w:numId="708" w16cid:durableId="714548467">
    <w:abstractNumId w:val="42"/>
  </w:num>
  <w:num w:numId="709" w16cid:durableId="1593928770">
    <w:abstractNumId w:val="78"/>
  </w:num>
  <w:num w:numId="710" w16cid:durableId="747965129">
    <w:abstractNumId w:val="23"/>
  </w:num>
  <w:num w:numId="711" w16cid:durableId="412746307">
    <w:abstractNumId w:val="194"/>
  </w:num>
  <w:num w:numId="712" w16cid:durableId="7955083">
    <w:abstractNumId w:val="31"/>
  </w:num>
  <w:num w:numId="713" w16cid:durableId="355542384">
    <w:abstractNumId w:val="138"/>
  </w:num>
  <w:num w:numId="714" w16cid:durableId="1894581105">
    <w:abstractNumId w:val="143"/>
  </w:num>
  <w:num w:numId="715" w16cid:durableId="600260194">
    <w:abstractNumId w:val="170"/>
  </w:num>
  <w:num w:numId="716" w16cid:durableId="2006980644">
    <w:abstractNumId w:val="116"/>
  </w:num>
  <w:num w:numId="717" w16cid:durableId="2144083049">
    <w:abstractNumId w:val="133"/>
  </w:num>
  <w:num w:numId="718" w16cid:durableId="162401392">
    <w:abstractNumId w:val="12"/>
  </w:num>
  <w:num w:numId="719" w16cid:durableId="797138897">
    <w:abstractNumId w:val="47"/>
  </w:num>
  <w:num w:numId="720" w16cid:durableId="1839996550">
    <w:abstractNumId w:val="91"/>
  </w:num>
  <w:num w:numId="721" w16cid:durableId="2070687684">
    <w:abstractNumId w:val="120"/>
  </w:num>
  <w:num w:numId="722" w16cid:durableId="514464579">
    <w:abstractNumId w:val="130"/>
  </w:num>
  <w:num w:numId="723" w16cid:durableId="649208281">
    <w:abstractNumId w:val="137"/>
  </w:num>
  <w:num w:numId="724" w16cid:durableId="1470394777">
    <w:abstractNumId w:val="141"/>
  </w:num>
  <w:num w:numId="725" w16cid:durableId="778767158">
    <w:abstractNumId w:val="135"/>
  </w:num>
  <w:num w:numId="726" w16cid:durableId="128057752">
    <w:abstractNumId w:val="182"/>
  </w:num>
  <w:num w:numId="727" w16cid:durableId="773987053">
    <w:abstractNumId w:val="159"/>
  </w:num>
  <w:num w:numId="728" w16cid:durableId="1269116630">
    <w:abstractNumId w:val="65"/>
  </w:num>
  <w:num w:numId="729" w16cid:durableId="1744910603">
    <w:abstractNumId w:val="79"/>
    <w:lvlOverride w:ilvl="0">
      <w:startOverride w:val="1"/>
    </w:lvlOverride>
  </w:num>
  <w:num w:numId="730" w16cid:durableId="750393184">
    <w:abstractNumId w:val="8"/>
  </w:num>
  <w:num w:numId="731" w16cid:durableId="1165901260">
    <w:abstractNumId w:val="3"/>
  </w:num>
  <w:num w:numId="732" w16cid:durableId="1389258470">
    <w:abstractNumId w:val="2"/>
  </w:num>
  <w:num w:numId="733" w16cid:durableId="857616735">
    <w:abstractNumId w:val="1"/>
  </w:num>
  <w:num w:numId="734" w16cid:durableId="1036271802">
    <w:abstractNumId w:val="110"/>
  </w:num>
  <w:num w:numId="735" w16cid:durableId="588584848">
    <w:abstractNumId w:val="132"/>
  </w:num>
  <w:num w:numId="736" w16cid:durableId="826942597">
    <w:abstractNumId w:val="167"/>
  </w:num>
  <w:numIdMacAtCleanup w:val="7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PT" w:vendorID="64" w:dllVersion="4096" w:nlCheck="1" w:checkStyle="0"/>
  <w:activeWritingStyle w:appName="MSWord" w:lang="en-GB" w:vendorID="64" w:dllVersion="0" w:nlCheck="1" w:checkStyle="0"/>
  <w:activeWritingStyle w:appName="MSWord" w:lang="fr-FR" w:vendorID="64" w:dllVersion="0" w:nlCheck="1" w:checkStyle="0"/>
  <w:activeWritingStyle w:appName="MSWord" w:lang="de-DE" w:vendorID="64" w:dllVersion="0" w:nlCheck="1" w:checkStyle="0"/>
  <w:activeWritingStyle w:appName="MSWord" w:lang="en-US" w:vendorID="64" w:dllVersion="0" w:nlCheck="1" w:checkStyle="0"/>
  <w:activeWritingStyle w:appName="MSWord" w:lang="it-IT" w:vendorID="64" w:dllVersion="0" w:nlCheck="1" w:checkStyle="0"/>
  <w:activeWritingStyle w:appName="MSWord" w:lang="fr-BE" w:vendorID="64" w:dllVersion="0" w:nlCheck="1" w:checkStyle="0"/>
  <w:activeWritingStyle w:appName="MSWord" w:lang="pt-PT" w:vendorID="64" w:dllVersion="0" w:nlCheck="1" w:checkStyle="0"/>
  <w:activeWritingStyle w:appName="MSWord" w:lang="en-GB" w:vendorID="64" w:dllVersion="4096" w:nlCheck="1" w:checkStyle="0"/>
  <w:activeWritingStyle w:appName="MSWord" w:lang="fr-BE"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de-DE" w:vendorID="64" w:dllVersion="4096" w:nlCheck="1" w:checkStyle="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454"/>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01D"/>
    <w:rsid w:val="00001E51"/>
    <w:rsid w:val="00002B55"/>
    <w:rsid w:val="00003CF0"/>
    <w:rsid w:val="0000442A"/>
    <w:rsid w:val="000044CC"/>
    <w:rsid w:val="00005FB5"/>
    <w:rsid w:val="00010C78"/>
    <w:rsid w:val="000110F2"/>
    <w:rsid w:val="000133D1"/>
    <w:rsid w:val="00013695"/>
    <w:rsid w:val="00015ABC"/>
    <w:rsid w:val="0001682B"/>
    <w:rsid w:val="0002113B"/>
    <w:rsid w:val="0002158D"/>
    <w:rsid w:val="00021C79"/>
    <w:rsid w:val="000221C9"/>
    <w:rsid w:val="00022693"/>
    <w:rsid w:val="00022E18"/>
    <w:rsid w:val="000231A4"/>
    <w:rsid w:val="00023CAE"/>
    <w:rsid w:val="0002635A"/>
    <w:rsid w:val="000267B8"/>
    <w:rsid w:val="000276D4"/>
    <w:rsid w:val="00027ED0"/>
    <w:rsid w:val="0003043B"/>
    <w:rsid w:val="00030BB9"/>
    <w:rsid w:val="0003133F"/>
    <w:rsid w:val="00031900"/>
    <w:rsid w:val="0003243F"/>
    <w:rsid w:val="00032B05"/>
    <w:rsid w:val="000335F7"/>
    <w:rsid w:val="000345C6"/>
    <w:rsid w:val="00034E17"/>
    <w:rsid w:val="0003584B"/>
    <w:rsid w:val="00035ECF"/>
    <w:rsid w:val="00036212"/>
    <w:rsid w:val="000371D1"/>
    <w:rsid w:val="00041355"/>
    <w:rsid w:val="00041373"/>
    <w:rsid w:val="00041B5B"/>
    <w:rsid w:val="00042497"/>
    <w:rsid w:val="0004330F"/>
    <w:rsid w:val="00046230"/>
    <w:rsid w:val="00046B26"/>
    <w:rsid w:val="0004746D"/>
    <w:rsid w:val="00047513"/>
    <w:rsid w:val="0004784A"/>
    <w:rsid w:val="000506A6"/>
    <w:rsid w:val="00050C0A"/>
    <w:rsid w:val="00051C8C"/>
    <w:rsid w:val="00052DC5"/>
    <w:rsid w:val="00053CB8"/>
    <w:rsid w:val="00053DDC"/>
    <w:rsid w:val="00054A4A"/>
    <w:rsid w:val="00054BF6"/>
    <w:rsid w:val="00054D2B"/>
    <w:rsid w:val="00055102"/>
    <w:rsid w:val="000552AC"/>
    <w:rsid w:val="00055612"/>
    <w:rsid w:val="000607AF"/>
    <w:rsid w:val="0006085A"/>
    <w:rsid w:val="00060CEC"/>
    <w:rsid w:val="0006479E"/>
    <w:rsid w:val="00065222"/>
    <w:rsid w:val="00071D6D"/>
    <w:rsid w:val="000720CB"/>
    <w:rsid w:val="0007285B"/>
    <w:rsid w:val="00072A39"/>
    <w:rsid w:val="00077D8D"/>
    <w:rsid w:val="00077EC5"/>
    <w:rsid w:val="000810CD"/>
    <w:rsid w:val="000814B8"/>
    <w:rsid w:val="000825F8"/>
    <w:rsid w:val="0008334F"/>
    <w:rsid w:val="00083681"/>
    <w:rsid w:val="0008639C"/>
    <w:rsid w:val="0008795B"/>
    <w:rsid w:val="00090043"/>
    <w:rsid w:val="00090087"/>
    <w:rsid w:val="00091606"/>
    <w:rsid w:val="00091900"/>
    <w:rsid w:val="000921A9"/>
    <w:rsid w:val="0009253C"/>
    <w:rsid w:val="000925D0"/>
    <w:rsid w:val="000925DD"/>
    <w:rsid w:val="00092E1B"/>
    <w:rsid w:val="000944F6"/>
    <w:rsid w:val="00095ED2"/>
    <w:rsid w:val="00095F8E"/>
    <w:rsid w:val="00096597"/>
    <w:rsid w:val="00096DC0"/>
    <w:rsid w:val="00097370"/>
    <w:rsid w:val="000979C0"/>
    <w:rsid w:val="00097B2A"/>
    <w:rsid w:val="000A0223"/>
    <w:rsid w:val="000A0855"/>
    <w:rsid w:val="000A0B30"/>
    <w:rsid w:val="000A167E"/>
    <w:rsid w:val="000A1CA0"/>
    <w:rsid w:val="000A1E49"/>
    <w:rsid w:val="000A24C4"/>
    <w:rsid w:val="000A2FBE"/>
    <w:rsid w:val="000A4303"/>
    <w:rsid w:val="000A524A"/>
    <w:rsid w:val="000A6B65"/>
    <w:rsid w:val="000A7682"/>
    <w:rsid w:val="000B008F"/>
    <w:rsid w:val="000B07C2"/>
    <w:rsid w:val="000B0881"/>
    <w:rsid w:val="000B1F04"/>
    <w:rsid w:val="000B25A7"/>
    <w:rsid w:val="000B3EA0"/>
    <w:rsid w:val="000B46D9"/>
    <w:rsid w:val="000B4D05"/>
    <w:rsid w:val="000B5399"/>
    <w:rsid w:val="000B564C"/>
    <w:rsid w:val="000B58ED"/>
    <w:rsid w:val="000B5BF8"/>
    <w:rsid w:val="000B6D44"/>
    <w:rsid w:val="000B6FC3"/>
    <w:rsid w:val="000B703D"/>
    <w:rsid w:val="000C0220"/>
    <w:rsid w:val="000C070C"/>
    <w:rsid w:val="000C1D30"/>
    <w:rsid w:val="000C3926"/>
    <w:rsid w:val="000C4D6A"/>
    <w:rsid w:val="000C4FD3"/>
    <w:rsid w:val="000C5DA0"/>
    <w:rsid w:val="000C5DCB"/>
    <w:rsid w:val="000C6039"/>
    <w:rsid w:val="000C79B4"/>
    <w:rsid w:val="000D1EA6"/>
    <w:rsid w:val="000D3250"/>
    <w:rsid w:val="000D573F"/>
    <w:rsid w:val="000D7B28"/>
    <w:rsid w:val="000D7CD1"/>
    <w:rsid w:val="000E017D"/>
    <w:rsid w:val="000E1981"/>
    <w:rsid w:val="000E2F7D"/>
    <w:rsid w:val="000E317F"/>
    <w:rsid w:val="000E437E"/>
    <w:rsid w:val="000E4EFD"/>
    <w:rsid w:val="000E53E0"/>
    <w:rsid w:val="000E5DDC"/>
    <w:rsid w:val="000E61CC"/>
    <w:rsid w:val="000F0753"/>
    <w:rsid w:val="000F08BA"/>
    <w:rsid w:val="000F119F"/>
    <w:rsid w:val="000F2390"/>
    <w:rsid w:val="000F243F"/>
    <w:rsid w:val="000F2AFF"/>
    <w:rsid w:val="000F36EB"/>
    <w:rsid w:val="000F376A"/>
    <w:rsid w:val="000F480D"/>
    <w:rsid w:val="000F7BD6"/>
    <w:rsid w:val="00100A23"/>
    <w:rsid w:val="00100B9F"/>
    <w:rsid w:val="00101846"/>
    <w:rsid w:val="001023AB"/>
    <w:rsid w:val="001040D5"/>
    <w:rsid w:val="0010418B"/>
    <w:rsid w:val="00104944"/>
    <w:rsid w:val="0010531B"/>
    <w:rsid w:val="0010656E"/>
    <w:rsid w:val="00107550"/>
    <w:rsid w:val="00110F1A"/>
    <w:rsid w:val="00111A63"/>
    <w:rsid w:val="00112368"/>
    <w:rsid w:val="00112950"/>
    <w:rsid w:val="00112B9F"/>
    <w:rsid w:val="00115A6F"/>
    <w:rsid w:val="00115E40"/>
    <w:rsid w:val="00116385"/>
    <w:rsid w:val="0011658E"/>
    <w:rsid w:val="00116DD8"/>
    <w:rsid w:val="00116E48"/>
    <w:rsid w:val="0011732E"/>
    <w:rsid w:val="00117507"/>
    <w:rsid w:val="00117CFE"/>
    <w:rsid w:val="00120006"/>
    <w:rsid w:val="00120B62"/>
    <w:rsid w:val="001229FA"/>
    <w:rsid w:val="001230F9"/>
    <w:rsid w:val="0012362D"/>
    <w:rsid w:val="00123676"/>
    <w:rsid w:val="00123DA4"/>
    <w:rsid w:val="001246D8"/>
    <w:rsid w:val="001252FB"/>
    <w:rsid w:val="00125EC0"/>
    <w:rsid w:val="00131215"/>
    <w:rsid w:val="001352DF"/>
    <w:rsid w:val="001355E9"/>
    <w:rsid w:val="001360DB"/>
    <w:rsid w:val="00136C5D"/>
    <w:rsid w:val="00137ADA"/>
    <w:rsid w:val="00137B41"/>
    <w:rsid w:val="00140817"/>
    <w:rsid w:val="001428EE"/>
    <w:rsid w:val="00142AA3"/>
    <w:rsid w:val="001430D9"/>
    <w:rsid w:val="00143594"/>
    <w:rsid w:val="001444F5"/>
    <w:rsid w:val="001458D6"/>
    <w:rsid w:val="00146231"/>
    <w:rsid w:val="001470F6"/>
    <w:rsid w:val="0014760E"/>
    <w:rsid w:val="001477B9"/>
    <w:rsid w:val="00147A4A"/>
    <w:rsid w:val="00147CB8"/>
    <w:rsid w:val="00150391"/>
    <w:rsid w:val="00155F8D"/>
    <w:rsid w:val="00156B28"/>
    <w:rsid w:val="00157A37"/>
    <w:rsid w:val="00157C62"/>
    <w:rsid w:val="00160120"/>
    <w:rsid w:val="00161629"/>
    <w:rsid w:val="001624E0"/>
    <w:rsid w:val="00164504"/>
    <w:rsid w:val="001665C2"/>
    <w:rsid w:val="00166CB3"/>
    <w:rsid w:val="00167AAB"/>
    <w:rsid w:val="00170D45"/>
    <w:rsid w:val="00170EF2"/>
    <w:rsid w:val="00171579"/>
    <w:rsid w:val="00172416"/>
    <w:rsid w:val="00172AE2"/>
    <w:rsid w:val="00174E67"/>
    <w:rsid w:val="001758BE"/>
    <w:rsid w:val="0017591A"/>
    <w:rsid w:val="00180CA8"/>
    <w:rsid w:val="00183272"/>
    <w:rsid w:val="0018450F"/>
    <w:rsid w:val="001858FD"/>
    <w:rsid w:val="00185E38"/>
    <w:rsid w:val="0018639C"/>
    <w:rsid w:val="001868CB"/>
    <w:rsid w:val="00187404"/>
    <w:rsid w:val="00187BF5"/>
    <w:rsid w:val="001903EF"/>
    <w:rsid w:val="00190943"/>
    <w:rsid w:val="0019095F"/>
    <w:rsid w:val="00190977"/>
    <w:rsid w:val="00190DAA"/>
    <w:rsid w:val="001955E8"/>
    <w:rsid w:val="001A0995"/>
    <w:rsid w:val="001A1A66"/>
    <w:rsid w:val="001A2180"/>
    <w:rsid w:val="001A2B8E"/>
    <w:rsid w:val="001A3C3C"/>
    <w:rsid w:val="001A416D"/>
    <w:rsid w:val="001A4D2D"/>
    <w:rsid w:val="001A56B8"/>
    <w:rsid w:val="001A579D"/>
    <w:rsid w:val="001A5C62"/>
    <w:rsid w:val="001A73ED"/>
    <w:rsid w:val="001B2649"/>
    <w:rsid w:val="001B2671"/>
    <w:rsid w:val="001B296E"/>
    <w:rsid w:val="001B4F6E"/>
    <w:rsid w:val="001B5058"/>
    <w:rsid w:val="001B674B"/>
    <w:rsid w:val="001B7DBE"/>
    <w:rsid w:val="001C0836"/>
    <w:rsid w:val="001C0C37"/>
    <w:rsid w:val="001C173D"/>
    <w:rsid w:val="001C5446"/>
    <w:rsid w:val="001C6520"/>
    <w:rsid w:val="001C774B"/>
    <w:rsid w:val="001D0D5E"/>
    <w:rsid w:val="001D2000"/>
    <w:rsid w:val="001D22B2"/>
    <w:rsid w:val="001D32A5"/>
    <w:rsid w:val="001D3649"/>
    <w:rsid w:val="001D39B0"/>
    <w:rsid w:val="001D3D40"/>
    <w:rsid w:val="001D3EE5"/>
    <w:rsid w:val="001D4786"/>
    <w:rsid w:val="001D6246"/>
    <w:rsid w:val="001D7FAE"/>
    <w:rsid w:val="001E29BE"/>
    <w:rsid w:val="001E2D66"/>
    <w:rsid w:val="001E30B9"/>
    <w:rsid w:val="001E7BC3"/>
    <w:rsid w:val="001F03EF"/>
    <w:rsid w:val="001F07BC"/>
    <w:rsid w:val="001F1B20"/>
    <w:rsid w:val="001F2439"/>
    <w:rsid w:val="001F2886"/>
    <w:rsid w:val="001F314B"/>
    <w:rsid w:val="001F34E5"/>
    <w:rsid w:val="001F3A44"/>
    <w:rsid w:val="001F4316"/>
    <w:rsid w:val="001F5833"/>
    <w:rsid w:val="001F7CA7"/>
    <w:rsid w:val="00200AB8"/>
    <w:rsid w:val="00201573"/>
    <w:rsid w:val="00201903"/>
    <w:rsid w:val="00201CCD"/>
    <w:rsid w:val="00202228"/>
    <w:rsid w:val="00203AA9"/>
    <w:rsid w:val="002044A0"/>
    <w:rsid w:val="00205B72"/>
    <w:rsid w:val="00205E81"/>
    <w:rsid w:val="002061E5"/>
    <w:rsid w:val="00206D22"/>
    <w:rsid w:val="00210FF7"/>
    <w:rsid w:val="00212735"/>
    <w:rsid w:val="0021299D"/>
    <w:rsid w:val="00213BB8"/>
    <w:rsid w:val="002149D6"/>
    <w:rsid w:val="00216266"/>
    <w:rsid w:val="00216C8D"/>
    <w:rsid w:val="0021709E"/>
    <w:rsid w:val="00217497"/>
    <w:rsid w:val="00220136"/>
    <w:rsid w:val="00220D8E"/>
    <w:rsid w:val="00224404"/>
    <w:rsid w:val="002246B7"/>
    <w:rsid w:val="00225ACD"/>
    <w:rsid w:val="00225B21"/>
    <w:rsid w:val="00225F21"/>
    <w:rsid w:val="002262C7"/>
    <w:rsid w:val="00227E58"/>
    <w:rsid w:val="002300E9"/>
    <w:rsid w:val="0023077C"/>
    <w:rsid w:val="002310B1"/>
    <w:rsid w:val="00231217"/>
    <w:rsid w:val="00231FA2"/>
    <w:rsid w:val="0023204E"/>
    <w:rsid w:val="0023283B"/>
    <w:rsid w:val="00233D9C"/>
    <w:rsid w:val="002354BA"/>
    <w:rsid w:val="00240A28"/>
    <w:rsid w:val="00241318"/>
    <w:rsid w:val="00242045"/>
    <w:rsid w:val="00242E8C"/>
    <w:rsid w:val="002438D8"/>
    <w:rsid w:val="0024568E"/>
    <w:rsid w:val="00245AB8"/>
    <w:rsid w:val="00246974"/>
    <w:rsid w:val="00246C41"/>
    <w:rsid w:val="0025039C"/>
    <w:rsid w:val="0025095B"/>
    <w:rsid w:val="00251288"/>
    <w:rsid w:val="002555ED"/>
    <w:rsid w:val="00260441"/>
    <w:rsid w:val="0026060E"/>
    <w:rsid w:val="002623DD"/>
    <w:rsid w:val="002630C0"/>
    <w:rsid w:val="0026332D"/>
    <w:rsid w:val="00265677"/>
    <w:rsid w:val="002659B8"/>
    <w:rsid w:val="0026680F"/>
    <w:rsid w:val="00266819"/>
    <w:rsid w:val="002675C1"/>
    <w:rsid w:val="00270438"/>
    <w:rsid w:val="002706C0"/>
    <w:rsid w:val="002713D5"/>
    <w:rsid w:val="00274699"/>
    <w:rsid w:val="002747C2"/>
    <w:rsid w:val="00275260"/>
    <w:rsid w:val="002762D8"/>
    <w:rsid w:val="0027791E"/>
    <w:rsid w:val="002812AF"/>
    <w:rsid w:val="002813CF"/>
    <w:rsid w:val="0028141B"/>
    <w:rsid w:val="00282C2D"/>
    <w:rsid w:val="00282D23"/>
    <w:rsid w:val="002833D2"/>
    <w:rsid w:val="00283785"/>
    <w:rsid w:val="00285B0E"/>
    <w:rsid w:val="00287483"/>
    <w:rsid w:val="00290111"/>
    <w:rsid w:val="002908D9"/>
    <w:rsid w:val="00290913"/>
    <w:rsid w:val="00292569"/>
    <w:rsid w:val="00292E46"/>
    <w:rsid w:val="00293439"/>
    <w:rsid w:val="00293B07"/>
    <w:rsid w:val="00296F13"/>
    <w:rsid w:val="00297E1F"/>
    <w:rsid w:val="002A179A"/>
    <w:rsid w:val="002A19CA"/>
    <w:rsid w:val="002A3B99"/>
    <w:rsid w:val="002A3F81"/>
    <w:rsid w:val="002A4100"/>
    <w:rsid w:val="002A4B41"/>
    <w:rsid w:val="002A748A"/>
    <w:rsid w:val="002B0BB3"/>
    <w:rsid w:val="002B2916"/>
    <w:rsid w:val="002B4125"/>
    <w:rsid w:val="002B4B77"/>
    <w:rsid w:val="002B6C5C"/>
    <w:rsid w:val="002B7099"/>
    <w:rsid w:val="002B75DE"/>
    <w:rsid w:val="002C1549"/>
    <w:rsid w:val="002C30CC"/>
    <w:rsid w:val="002C4B3E"/>
    <w:rsid w:val="002C536C"/>
    <w:rsid w:val="002C7FE7"/>
    <w:rsid w:val="002D0393"/>
    <w:rsid w:val="002D0B58"/>
    <w:rsid w:val="002D111D"/>
    <w:rsid w:val="002D1280"/>
    <w:rsid w:val="002D1F8A"/>
    <w:rsid w:val="002D3D40"/>
    <w:rsid w:val="002D70B8"/>
    <w:rsid w:val="002E02B8"/>
    <w:rsid w:val="002E0F79"/>
    <w:rsid w:val="002E36C4"/>
    <w:rsid w:val="002E3AAB"/>
    <w:rsid w:val="002E3D5F"/>
    <w:rsid w:val="002E506F"/>
    <w:rsid w:val="002E7ABA"/>
    <w:rsid w:val="002F1754"/>
    <w:rsid w:val="002F22E7"/>
    <w:rsid w:val="002F2685"/>
    <w:rsid w:val="002F274D"/>
    <w:rsid w:val="002F3486"/>
    <w:rsid w:val="002F46E7"/>
    <w:rsid w:val="002F47A4"/>
    <w:rsid w:val="002F53A9"/>
    <w:rsid w:val="002F6349"/>
    <w:rsid w:val="0030179B"/>
    <w:rsid w:val="00301F0F"/>
    <w:rsid w:val="00301F2A"/>
    <w:rsid w:val="00302482"/>
    <w:rsid w:val="00303F71"/>
    <w:rsid w:val="0030441B"/>
    <w:rsid w:val="00304EF7"/>
    <w:rsid w:val="003053C8"/>
    <w:rsid w:val="00306EF1"/>
    <w:rsid w:val="003072C6"/>
    <w:rsid w:val="00311756"/>
    <w:rsid w:val="00312B77"/>
    <w:rsid w:val="00313557"/>
    <w:rsid w:val="00317675"/>
    <w:rsid w:val="0031779A"/>
    <w:rsid w:val="00322512"/>
    <w:rsid w:val="00322AEC"/>
    <w:rsid w:val="003246AC"/>
    <w:rsid w:val="00324DFD"/>
    <w:rsid w:val="0032554F"/>
    <w:rsid w:val="00325C0E"/>
    <w:rsid w:val="00325DC7"/>
    <w:rsid w:val="0032603B"/>
    <w:rsid w:val="00330374"/>
    <w:rsid w:val="0033057E"/>
    <w:rsid w:val="003326DE"/>
    <w:rsid w:val="003329F2"/>
    <w:rsid w:val="00332DCD"/>
    <w:rsid w:val="00332EAE"/>
    <w:rsid w:val="00334ED2"/>
    <w:rsid w:val="003357C1"/>
    <w:rsid w:val="00341EA8"/>
    <w:rsid w:val="00342C02"/>
    <w:rsid w:val="0034402C"/>
    <w:rsid w:val="00345284"/>
    <w:rsid w:val="00345C22"/>
    <w:rsid w:val="003471FE"/>
    <w:rsid w:val="003504DA"/>
    <w:rsid w:val="003521C0"/>
    <w:rsid w:val="00352B40"/>
    <w:rsid w:val="00353D73"/>
    <w:rsid w:val="00354793"/>
    <w:rsid w:val="003548AB"/>
    <w:rsid w:val="00354F2E"/>
    <w:rsid w:val="00355365"/>
    <w:rsid w:val="00357B79"/>
    <w:rsid w:val="003601EF"/>
    <w:rsid w:val="00360DF0"/>
    <w:rsid w:val="00360E74"/>
    <w:rsid w:val="00362EE7"/>
    <w:rsid w:val="0036743C"/>
    <w:rsid w:val="00367949"/>
    <w:rsid w:val="00370641"/>
    <w:rsid w:val="00370A0C"/>
    <w:rsid w:val="00370DE8"/>
    <w:rsid w:val="00370F3D"/>
    <w:rsid w:val="0037218C"/>
    <w:rsid w:val="0037313A"/>
    <w:rsid w:val="00375320"/>
    <w:rsid w:val="00375FF0"/>
    <w:rsid w:val="00380557"/>
    <w:rsid w:val="003824C6"/>
    <w:rsid w:val="003828D4"/>
    <w:rsid w:val="00382A70"/>
    <w:rsid w:val="003831AB"/>
    <w:rsid w:val="00385566"/>
    <w:rsid w:val="00385CF8"/>
    <w:rsid w:val="00386529"/>
    <w:rsid w:val="0039040A"/>
    <w:rsid w:val="003904E9"/>
    <w:rsid w:val="00391C02"/>
    <w:rsid w:val="00391C4E"/>
    <w:rsid w:val="00392457"/>
    <w:rsid w:val="00392AC7"/>
    <w:rsid w:val="00393186"/>
    <w:rsid w:val="003932D6"/>
    <w:rsid w:val="00394985"/>
    <w:rsid w:val="00394A54"/>
    <w:rsid w:val="00395D13"/>
    <w:rsid w:val="00397C1B"/>
    <w:rsid w:val="003A15AE"/>
    <w:rsid w:val="003A1794"/>
    <w:rsid w:val="003A1DC8"/>
    <w:rsid w:val="003A1FB5"/>
    <w:rsid w:val="003A406A"/>
    <w:rsid w:val="003A443F"/>
    <w:rsid w:val="003A49FD"/>
    <w:rsid w:val="003B0C2D"/>
    <w:rsid w:val="003B2259"/>
    <w:rsid w:val="003B3DD3"/>
    <w:rsid w:val="003B421B"/>
    <w:rsid w:val="003B4697"/>
    <w:rsid w:val="003B59D7"/>
    <w:rsid w:val="003B7BBE"/>
    <w:rsid w:val="003C0179"/>
    <w:rsid w:val="003C0E06"/>
    <w:rsid w:val="003C131A"/>
    <w:rsid w:val="003C14BD"/>
    <w:rsid w:val="003C19CB"/>
    <w:rsid w:val="003C44FD"/>
    <w:rsid w:val="003C4E21"/>
    <w:rsid w:val="003D08E6"/>
    <w:rsid w:val="003D0B8E"/>
    <w:rsid w:val="003D0D28"/>
    <w:rsid w:val="003D159A"/>
    <w:rsid w:val="003D263C"/>
    <w:rsid w:val="003D2AA8"/>
    <w:rsid w:val="003D38CF"/>
    <w:rsid w:val="003D3BDC"/>
    <w:rsid w:val="003D5F0F"/>
    <w:rsid w:val="003D60D7"/>
    <w:rsid w:val="003D6C04"/>
    <w:rsid w:val="003E0383"/>
    <w:rsid w:val="003E05D6"/>
    <w:rsid w:val="003E05D7"/>
    <w:rsid w:val="003E146C"/>
    <w:rsid w:val="003E1F22"/>
    <w:rsid w:val="003E2D3E"/>
    <w:rsid w:val="003E2FDF"/>
    <w:rsid w:val="003E3362"/>
    <w:rsid w:val="003E407B"/>
    <w:rsid w:val="003E51EA"/>
    <w:rsid w:val="003E56F3"/>
    <w:rsid w:val="003E60C8"/>
    <w:rsid w:val="003E6254"/>
    <w:rsid w:val="003E637A"/>
    <w:rsid w:val="003F083A"/>
    <w:rsid w:val="003F0E0A"/>
    <w:rsid w:val="003F2F7A"/>
    <w:rsid w:val="003F3B7F"/>
    <w:rsid w:val="003F4937"/>
    <w:rsid w:val="003F4C5A"/>
    <w:rsid w:val="003F64D9"/>
    <w:rsid w:val="003F747D"/>
    <w:rsid w:val="003F756F"/>
    <w:rsid w:val="004023BF"/>
    <w:rsid w:val="00402424"/>
    <w:rsid w:val="00402990"/>
    <w:rsid w:val="004030A7"/>
    <w:rsid w:val="00404259"/>
    <w:rsid w:val="00405316"/>
    <w:rsid w:val="004057E8"/>
    <w:rsid w:val="00406B83"/>
    <w:rsid w:val="00411EA8"/>
    <w:rsid w:val="0041229C"/>
    <w:rsid w:val="004124BC"/>
    <w:rsid w:val="00412EB8"/>
    <w:rsid w:val="004135A7"/>
    <w:rsid w:val="0041403A"/>
    <w:rsid w:val="00414133"/>
    <w:rsid w:val="004151D9"/>
    <w:rsid w:val="00415B69"/>
    <w:rsid w:val="00415F3A"/>
    <w:rsid w:val="00416ACE"/>
    <w:rsid w:val="0041724F"/>
    <w:rsid w:val="0041758C"/>
    <w:rsid w:val="004178C1"/>
    <w:rsid w:val="00417BEF"/>
    <w:rsid w:val="00417F28"/>
    <w:rsid w:val="004205DE"/>
    <w:rsid w:val="00422F5E"/>
    <w:rsid w:val="004274B8"/>
    <w:rsid w:val="0042770B"/>
    <w:rsid w:val="0043232B"/>
    <w:rsid w:val="004327F1"/>
    <w:rsid w:val="0043298B"/>
    <w:rsid w:val="004356AB"/>
    <w:rsid w:val="00435E5D"/>
    <w:rsid w:val="0043637E"/>
    <w:rsid w:val="00436C55"/>
    <w:rsid w:val="00437BD3"/>
    <w:rsid w:val="00440437"/>
    <w:rsid w:val="004421AF"/>
    <w:rsid w:val="004457B8"/>
    <w:rsid w:val="00445DEA"/>
    <w:rsid w:val="0044750F"/>
    <w:rsid w:val="004478CA"/>
    <w:rsid w:val="0045006D"/>
    <w:rsid w:val="00450C7D"/>
    <w:rsid w:val="00452BEE"/>
    <w:rsid w:val="004534AF"/>
    <w:rsid w:val="00453567"/>
    <w:rsid w:val="004538AA"/>
    <w:rsid w:val="00454A90"/>
    <w:rsid w:val="00454C78"/>
    <w:rsid w:val="004550EE"/>
    <w:rsid w:val="0045573F"/>
    <w:rsid w:val="00460668"/>
    <w:rsid w:val="00460A67"/>
    <w:rsid w:val="00461573"/>
    <w:rsid w:val="00461994"/>
    <w:rsid w:val="00461D28"/>
    <w:rsid w:val="004627D7"/>
    <w:rsid w:val="00462967"/>
    <w:rsid w:val="0046410D"/>
    <w:rsid w:val="00464B4C"/>
    <w:rsid w:val="0046685B"/>
    <w:rsid w:val="0046704A"/>
    <w:rsid w:val="00467B04"/>
    <w:rsid w:val="00467D9F"/>
    <w:rsid w:val="00471BA3"/>
    <w:rsid w:val="004722E0"/>
    <w:rsid w:val="00474FCF"/>
    <w:rsid w:val="00475CD5"/>
    <w:rsid w:val="00475D51"/>
    <w:rsid w:val="00481078"/>
    <w:rsid w:val="00481083"/>
    <w:rsid w:val="004812D0"/>
    <w:rsid w:val="00483700"/>
    <w:rsid w:val="004840E5"/>
    <w:rsid w:val="00484D1D"/>
    <w:rsid w:val="00484F5E"/>
    <w:rsid w:val="00485617"/>
    <w:rsid w:val="004859CB"/>
    <w:rsid w:val="004870C2"/>
    <w:rsid w:val="00490278"/>
    <w:rsid w:val="004909DB"/>
    <w:rsid w:val="00490B17"/>
    <w:rsid w:val="00490CDB"/>
    <w:rsid w:val="00493272"/>
    <w:rsid w:val="004939FF"/>
    <w:rsid w:val="004940BC"/>
    <w:rsid w:val="00494492"/>
    <w:rsid w:val="0049475C"/>
    <w:rsid w:val="004950D3"/>
    <w:rsid w:val="0049617D"/>
    <w:rsid w:val="00496559"/>
    <w:rsid w:val="004A16DC"/>
    <w:rsid w:val="004A18CA"/>
    <w:rsid w:val="004A212D"/>
    <w:rsid w:val="004A2C9B"/>
    <w:rsid w:val="004A3AE0"/>
    <w:rsid w:val="004A4224"/>
    <w:rsid w:val="004A62FC"/>
    <w:rsid w:val="004A6CEF"/>
    <w:rsid w:val="004A7104"/>
    <w:rsid w:val="004A76DE"/>
    <w:rsid w:val="004B11D7"/>
    <w:rsid w:val="004B3A00"/>
    <w:rsid w:val="004B4E74"/>
    <w:rsid w:val="004B502C"/>
    <w:rsid w:val="004B598D"/>
    <w:rsid w:val="004B5FED"/>
    <w:rsid w:val="004B629E"/>
    <w:rsid w:val="004B67E2"/>
    <w:rsid w:val="004C15AC"/>
    <w:rsid w:val="004C1E7F"/>
    <w:rsid w:val="004C377F"/>
    <w:rsid w:val="004C3C2F"/>
    <w:rsid w:val="004C5974"/>
    <w:rsid w:val="004C5CB6"/>
    <w:rsid w:val="004C6C69"/>
    <w:rsid w:val="004C76BA"/>
    <w:rsid w:val="004C79D0"/>
    <w:rsid w:val="004C7F69"/>
    <w:rsid w:val="004D01C0"/>
    <w:rsid w:val="004D2A4D"/>
    <w:rsid w:val="004D4FF0"/>
    <w:rsid w:val="004D668E"/>
    <w:rsid w:val="004D729F"/>
    <w:rsid w:val="004D753D"/>
    <w:rsid w:val="004D7C1F"/>
    <w:rsid w:val="004E0893"/>
    <w:rsid w:val="004E0AE9"/>
    <w:rsid w:val="004E2247"/>
    <w:rsid w:val="004E385C"/>
    <w:rsid w:val="004E3DEB"/>
    <w:rsid w:val="004E5146"/>
    <w:rsid w:val="004E79F4"/>
    <w:rsid w:val="004F0C21"/>
    <w:rsid w:val="004F0FA6"/>
    <w:rsid w:val="004F2B29"/>
    <w:rsid w:val="004F3056"/>
    <w:rsid w:val="004F38F6"/>
    <w:rsid w:val="004F44C3"/>
    <w:rsid w:val="004F679B"/>
    <w:rsid w:val="004F6B4A"/>
    <w:rsid w:val="004F6C06"/>
    <w:rsid w:val="004F74EA"/>
    <w:rsid w:val="004F7E5B"/>
    <w:rsid w:val="005007CF"/>
    <w:rsid w:val="00501F4E"/>
    <w:rsid w:val="00502341"/>
    <w:rsid w:val="0050505B"/>
    <w:rsid w:val="005052A4"/>
    <w:rsid w:val="005053D5"/>
    <w:rsid w:val="005059E8"/>
    <w:rsid w:val="00506759"/>
    <w:rsid w:val="00506E35"/>
    <w:rsid w:val="0050785E"/>
    <w:rsid w:val="00511809"/>
    <w:rsid w:val="00512357"/>
    <w:rsid w:val="0051343C"/>
    <w:rsid w:val="0051371C"/>
    <w:rsid w:val="00514068"/>
    <w:rsid w:val="0051416F"/>
    <w:rsid w:val="00515DAA"/>
    <w:rsid w:val="00516474"/>
    <w:rsid w:val="00517786"/>
    <w:rsid w:val="0051785B"/>
    <w:rsid w:val="00521562"/>
    <w:rsid w:val="00521ECC"/>
    <w:rsid w:val="005236A9"/>
    <w:rsid w:val="00523AC3"/>
    <w:rsid w:val="005255B0"/>
    <w:rsid w:val="005271E7"/>
    <w:rsid w:val="005271FE"/>
    <w:rsid w:val="00527FD1"/>
    <w:rsid w:val="00530FC1"/>
    <w:rsid w:val="00532BD7"/>
    <w:rsid w:val="00532EBF"/>
    <w:rsid w:val="005401D3"/>
    <w:rsid w:val="00541FE1"/>
    <w:rsid w:val="005428B3"/>
    <w:rsid w:val="005439C2"/>
    <w:rsid w:val="00543F20"/>
    <w:rsid w:val="005447C2"/>
    <w:rsid w:val="0054634A"/>
    <w:rsid w:val="005464B0"/>
    <w:rsid w:val="005509D5"/>
    <w:rsid w:val="00550AA1"/>
    <w:rsid w:val="00555E6D"/>
    <w:rsid w:val="00556527"/>
    <w:rsid w:val="005574FF"/>
    <w:rsid w:val="00557CEC"/>
    <w:rsid w:val="00557E8C"/>
    <w:rsid w:val="00560140"/>
    <w:rsid w:val="00560D4A"/>
    <w:rsid w:val="00561E39"/>
    <w:rsid w:val="005620BF"/>
    <w:rsid w:val="00564818"/>
    <w:rsid w:val="00565FAA"/>
    <w:rsid w:val="005662B1"/>
    <w:rsid w:val="005679B6"/>
    <w:rsid w:val="00567AFE"/>
    <w:rsid w:val="00571819"/>
    <w:rsid w:val="00571E24"/>
    <w:rsid w:val="0057334F"/>
    <w:rsid w:val="00574995"/>
    <w:rsid w:val="00580DA3"/>
    <w:rsid w:val="00581685"/>
    <w:rsid w:val="00581BAF"/>
    <w:rsid w:val="00582D06"/>
    <w:rsid w:val="00583DED"/>
    <w:rsid w:val="00584B52"/>
    <w:rsid w:val="00584FD6"/>
    <w:rsid w:val="00587F46"/>
    <w:rsid w:val="00590499"/>
    <w:rsid w:val="00590F79"/>
    <w:rsid w:val="00592E90"/>
    <w:rsid w:val="005930D5"/>
    <w:rsid w:val="00593F9B"/>
    <w:rsid w:val="0059438B"/>
    <w:rsid w:val="00594A66"/>
    <w:rsid w:val="00594F9E"/>
    <w:rsid w:val="00595918"/>
    <w:rsid w:val="0059721F"/>
    <w:rsid w:val="005A0DAF"/>
    <w:rsid w:val="005A1673"/>
    <w:rsid w:val="005A1AFC"/>
    <w:rsid w:val="005A3DAB"/>
    <w:rsid w:val="005A503B"/>
    <w:rsid w:val="005A576E"/>
    <w:rsid w:val="005A7B01"/>
    <w:rsid w:val="005B0173"/>
    <w:rsid w:val="005B0BF0"/>
    <w:rsid w:val="005B0CDD"/>
    <w:rsid w:val="005B3D3E"/>
    <w:rsid w:val="005B5CC5"/>
    <w:rsid w:val="005B69A1"/>
    <w:rsid w:val="005B6BC4"/>
    <w:rsid w:val="005B7077"/>
    <w:rsid w:val="005B7D13"/>
    <w:rsid w:val="005C0485"/>
    <w:rsid w:val="005C0585"/>
    <w:rsid w:val="005C0A73"/>
    <w:rsid w:val="005C0D57"/>
    <w:rsid w:val="005C2F01"/>
    <w:rsid w:val="005C359B"/>
    <w:rsid w:val="005C549A"/>
    <w:rsid w:val="005C5C6B"/>
    <w:rsid w:val="005C79D5"/>
    <w:rsid w:val="005C7E1C"/>
    <w:rsid w:val="005D0122"/>
    <w:rsid w:val="005D5B39"/>
    <w:rsid w:val="005D5B72"/>
    <w:rsid w:val="005D7014"/>
    <w:rsid w:val="005D7697"/>
    <w:rsid w:val="005D7FC6"/>
    <w:rsid w:val="005E0F4B"/>
    <w:rsid w:val="005E1300"/>
    <w:rsid w:val="005E2827"/>
    <w:rsid w:val="005E5477"/>
    <w:rsid w:val="005E59D9"/>
    <w:rsid w:val="005E5B6B"/>
    <w:rsid w:val="005E667A"/>
    <w:rsid w:val="005E7B7C"/>
    <w:rsid w:val="005F133E"/>
    <w:rsid w:val="005F13DC"/>
    <w:rsid w:val="005F222B"/>
    <w:rsid w:val="005F2D37"/>
    <w:rsid w:val="005F35D9"/>
    <w:rsid w:val="005F4051"/>
    <w:rsid w:val="005F40EA"/>
    <w:rsid w:val="005F5130"/>
    <w:rsid w:val="005F54E9"/>
    <w:rsid w:val="00600298"/>
    <w:rsid w:val="006004CB"/>
    <w:rsid w:val="00601010"/>
    <w:rsid w:val="00601D24"/>
    <w:rsid w:val="006029E3"/>
    <w:rsid w:val="0060596D"/>
    <w:rsid w:val="00605C13"/>
    <w:rsid w:val="006060C4"/>
    <w:rsid w:val="006067DF"/>
    <w:rsid w:val="00606988"/>
    <w:rsid w:val="00606A80"/>
    <w:rsid w:val="006073C9"/>
    <w:rsid w:val="006077BA"/>
    <w:rsid w:val="00607928"/>
    <w:rsid w:val="006079F2"/>
    <w:rsid w:val="00610506"/>
    <w:rsid w:val="006107DB"/>
    <w:rsid w:val="0061081A"/>
    <w:rsid w:val="00611758"/>
    <w:rsid w:val="00613130"/>
    <w:rsid w:val="00613856"/>
    <w:rsid w:val="006213A5"/>
    <w:rsid w:val="00621408"/>
    <w:rsid w:val="00621866"/>
    <w:rsid w:val="006224E0"/>
    <w:rsid w:val="00623578"/>
    <w:rsid w:val="00624054"/>
    <w:rsid w:val="0062443F"/>
    <w:rsid w:val="00624AD0"/>
    <w:rsid w:val="006250EE"/>
    <w:rsid w:val="00632C64"/>
    <w:rsid w:val="006332CE"/>
    <w:rsid w:val="00634FD1"/>
    <w:rsid w:val="0063506B"/>
    <w:rsid w:val="00636B6B"/>
    <w:rsid w:val="00637562"/>
    <w:rsid w:val="00637DA5"/>
    <w:rsid w:val="00637DB8"/>
    <w:rsid w:val="00640F6A"/>
    <w:rsid w:val="00640F81"/>
    <w:rsid w:val="00641618"/>
    <w:rsid w:val="00641E28"/>
    <w:rsid w:val="00642581"/>
    <w:rsid w:val="006428C1"/>
    <w:rsid w:val="00643377"/>
    <w:rsid w:val="00643E44"/>
    <w:rsid w:val="006447BF"/>
    <w:rsid w:val="00644FF1"/>
    <w:rsid w:val="006455AE"/>
    <w:rsid w:val="00646639"/>
    <w:rsid w:val="00646E89"/>
    <w:rsid w:val="006501DF"/>
    <w:rsid w:val="0065264B"/>
    <w:rsid w:val="00652E7B"/>
    <w:rsid w:val="00652F09"/>
    <w:rsid w:val="006546BA"/>
    <w:rsid w:val="00654E70"/>
    <w:rsid w:val="006550E5"/>
    <w:rsid w:val="00657A18"/>
    <w:rsid w:val="006616CA"/>
    <w:rsid w:val="00661F30"/>
    <w:rsid w:val="006633B5"/>
    <w:rsid w:val="006638FA"/>
    <w:rsid w:val="006652D5"/>
    <w:rsid w:val="0066655A"/>
    <w:rsid w:val="006667AC"/>
    <w:rsid w:val="00666B6E"/>
    <w:rsid w:val="00670BD8"/>
    <w:rsid w:val="0067170B"/>
    <w:rsid w:val="00671B38"/>
    <w:rsid w:val="00671B53"/>
    <w:rsid w:val="006722A5"/>
    <w:rsid w:val="00672D10"/>
    <w:rsid w:val="0067403A"/>
    <w:rsid w:val="00675EBA"/>
    <w:rsid w:val="006764B7"/>
    <w:rsid w:val="00676A7F"/>
    <w:rsid w:val="00676DD3"/>
    <w:rsid w:val="00680A34"/>
    <w:rsid w:val="00680DD8"/>
    <w:rsid w:val="00680EF7"/>
    <w:rsid w:val="006814AF"/>
    <w:rsid w:val="00682900"/>
    <w:rsid w:val="00682A29"/>
    <w:rsid w:val="00682B0F"/>
    <w:rsid w:val="006848EF"/>
    <w:rsid w:val="00684F9A"/>
    <w:rsid w:val="00684FDE"/>
    <w:rsid w:val="00687A8D"/>
    <w:rsid w:val="00691F56"/>
    <w:rsid w:val="00694890"/>
    <w:rsid w:val="00695080"/>
    <w:rsid w:val="0069601C"/>
    <w:rsid w:val="006960B0"/>
    <w:rsid w:val="006A10EC"/>
    <w:rsid w:val="006A11A7"/>
    <w:rsid w:val="006A1CF6"/>
    <w:rsid w:val="006A20B9"/>
    <w:rsid w:val="006A2FD6"/>
    <w:rsid w:val="006A57D9"/>
    <w:rsid w:val="006A65F2"/>
    <w:rsid w:val="006A6845"/>
    <w:rsid w:val="006A7526"/>
    <w:rsid w:val="006B0624"/>
    <w:rsid w:val="006B1EAC"/>
    <w:rsid w:val="006B37D7"/>
    <w:rsid w:val="006B4FD6"/>
    <w:rsid w:val="006B51BF"/>
    <w:rsid w:val="006B581F"/>
    <w:rsid w:val="006B5983"/>
    <w:rsid w:val="006B70B2"/>
    <w:rsid w:val="006C09AB"/>
    <w:rsid w:val="006C09CE"/>
    <w:rsid w:val="006C0E00"/>
    <w:rsid w:val="006C2740"/>
    <w:rsid w:val="006C4CAC"/>
    <w:rsid w:val="006C5673"/>
    <w:rsid w:val="006C59F0"/>
    <w:rsid w:val="006C5EA3"/>
    <w:rsid w:val="006C66D7"/>
    <w:rsid w:val="006C6A44"/>
    <w:rsid w:val="006D12E1"/>
    <w:rsid w:val="006D1E42"/>
    <w:rsid w:val="006D2BD4"/>
    <w:rsid w:val="006D3D3B"/>
    <w:rsid w:val="006D4A69"/>
    <w:rsid w:val="006D5136"/>
    <w:rsid w:val="006D62C5"/>
    <w:rsid w:val="006D6B7E"/>
    <w:rsid w:val="006D721F"/>
    <w:rsid w:val="006D7AA1"/>
    <w:rsid w:val="006D7C0C"/>
    <w:rsid w:val="006D7D88"/>
    <w:rsid w:val="006E0044"/>
    <w:rsid w:val="006E008B"/>
    <w:rsid w:val="006E129C"/>
    <w:rsid w:val="006E18B9"/>
    <w:rsid w:val="006E23FA"/>
    <w:rsid w:val="006E3CA9"/>
    <w:rsid w:val="006E3F06"/>
    <w:rsid w:val="006E3FD9"/>
    <w:rsid w:val="006E493E"/>
    <w:rsid w:val="006E5507"/>
    <w:rsid w:val="006E5CDE"/>
    <w:rsid w:val="006E6431"/>
    <w:rsid w:val="006E6E71"/>
    <w:rsid w:val="006E7E95"/>
    <w:rsid w:val="006F0CD9"/>
    <w:rsid w:val="006F17A0"/>
    <w:rsid w:val="006F3A9D"/>
    <w:rsid w:val="006F4A32"/>
    <w:rsid w:val="006F50D2"/>
    <w:rsid w:val="006F5766"/>
    <w:rsid w:val="006F70AE"/>
    <w:rsid w:val="006F7D01"/>
    <w:rsid w:val="006F7EAC"/>
    <w:rsid w:val="007001DE"/>
    <w:rsid w:val="007008A4"/>
    <w:rsid w:val="0070141C"/>
    <w:rsid w:val="007017DD"/>
    <w:rsid w:val="00702CAC"/>
    <w:rsid w:val="00703482"/>
    <w:rsid w:val="007036BE"/>
    <w:rsid w:val="00705320"/>
    <w:rsid w:val="007054D7"/>
    <w:rsid w:val="00706660"/>
    <w:rsid w:val="00706752"/>
    <w:rsid w:val="00706FBE"/>
    <w:rsid w:val="00707403"/>
    <w:rsid w:val="00707547"/>
    <w:rsid w:val="007078C7"/>
    <w:rsid w:val="00711731"/>
    <w:rsid w:val="00712C87"/>
    <w:rsid w:val="00714ED1"/>
    <w:rsid w:val="00715BCB"/>
    <w:rsid w:val="0071667C"/>
    <w:rsid w:val="00717089"/>
    <w:rsid w:val="0072022E"/>
    <w:rsid w:val="00720943"/>
    <w:rsid w:val="0072177C"/>
    <w:rsid w:val="007248CF"/>
    <w:rsid w:val="00724AE9"/>
    <w:rsid w:val="00724CBB"/>
    <w:rsid w:val="00724E4E"/>
    <w:rsid w:val="007252F6"/>
    <w:rsid w:val="00725308"/>
    <w:rsid w:val="00725425"/>
    <w:rsid w:val="00726D50"/>
    <w:rsid w:val="00727066"/>
    <w:rsid w:val="00727AF8"/>
    <w:rsid w:val="00727FC2"/>
    <w:rsid w:val="0073229C"/>
    <w:rsid w:val="007336A5"/>
    <w:rsid w:val="00733944"/>
    <w:rsid w:val="00736D6A"/>
    <w:rsid w:val="007370AD"/>
    <w:rsid w:val="00737529"/>
    <w:rsid w:val="00737DCF"/>
    <w:rsid w:val="00737FAA"/>
    <w:rsid w:val="00740AA3"/>
    <w:rsid w:val="0074175F"/>
    <w:rsid w:val="00741AF4"/>
    <w:rsid w:val="007425C2"/>
    <w:rsid w:val="007445FD"/>
    <w:rsid w:val="0074498A"/>
    <w:rsid w:val="00745C4C"/>
    <w:rsid w:val="00745CAF"/>
    <w:rsid w:val="007460F7"/>
    <w:rsid w:val="00746528"/>
    <w:rsid w:val="00746E5C"/>
    <w:rsid w:val="00747E0D"/>
    <w:rsid w:val="0075055D"/>
    <w:rsid w:val="00750B45"/>
    <w:rsid w:val="00752C3B"/>
    <w:rsid w:val="00753F60"/>
    <w:rsid w:val="00753F7D"/>
    <w:rsid w:val="00754FE5"/>
    <w:rsid w:val="00755A8E"/>
    <w:rsid w:val="00761FD6"/>
    <w:rsid w:val="00763938"/>
    <w:rsid w:val="0076413A"/>
    <w:rsid w:val="0076459A"/>
    <w:rsid w:val="007665B3"/>
    <w:rsid w:val="007670A9"/>
    <w:rsid w:val="00767450"/>
    <w:rsid w:val="007707FF"/>
    <w:rsid w:val="00770DD1"/>
    <w:rsid w:val="0077136A"/>
    <w:rsid w:val="007728CF"/>
    <w:rsid w:val="007728DD"/>
    <w:rsid w:val="00773100"/>
    <w:rsid w:val="00773115"/>
    <w:rsid w:val="00774597"/>
    <w:rsid w:val="00775D85"/>
    <w:rsid w:val="007775AA"/>
    <w:rsid w:val="0078003E"/>
    <w:rsid w:val="007801E9"/>
    <w:rsid w:val="00780AD5"/>
    <w:rsid w:val="007816C8"/>
    <w:rsid w:val="00781812"/>
    <w:rsid w:val="0078214D"/>
    <w:rsid w:val="00782FDD"/>
    <w:rsid w:val="007834F1"/>
    <w:rsid w:val="00783503"/>
    <w:rsid w:val="00783F90"/>
    <w:rsid w:val="00783FDB"/>
    <w:rsid w:val="00784E84"/>
    <w:rsid w:val="0078524E"/>
    <w:rsid w:val="007864F5"/>
    <w:rsid w:val="0078708F"/>
    <w:rsid w:val="0079043C"/>
    <w:rsid w:val="007929AA"/>
    <w:rsid w:val="00792ADA"/>
    <w:rsid w:val="00796059"/>
    <w:rsid w:val="00796495"/>
    <w:rsid w:val="00797193"/>
    <w:rsid w:val="00797CCA"/>
    <w:rsid w:val="007A1C81"/>
    <w:rsid w:val="007A2C60"/>
    <w:rsid w:val="007A2E3A"/>
    <w:rsid w:val="007A32FD"/>
    <w:rsid w:val="007A40DC"/>
    <w:rsid w:val="007A430E"/>
    <w:rsid w:val="007A5173"/>
    <w:rsid w:val="007A5353"/>
    <w:rsid w:val="007A58FD"/>
    <w:rsid w:val="007A62E5"/>
    <w:rsid w:val="007B0576"/>
    <w:rsid w:val="007B10D8"/>
    <w:rsid w:val="007B1E0E"/>
    <w:rsid w:val="007B2722"/>
    <w:rsid w:val="007B2F7B"/>
    <w:rsid w:val="007B3EE9"/>
    <w:rsid w:val="007B4778"/>
    <w:rsid w:val="007B4B39"/>
    <w:rsid w:val="007B4C44"/>
    <w:rsid w:val="007B611D"/>
    <w:rsid w:val="007B6DA6"/>
    <w:rsid w:val="007B70CF"/>
    <w:rsid w:val="007C016E"/>
    <w:rsid w:val="007C36A5"/>
    <w:rsid w:val="007C4171"/>
    <w:rsid w:val="007C63B2"/>
    <w:rsid w:val="007D07A7"/>
    <w:rsid w:val="007D0970"/>
    <w:rsid w:val="007D0AC4"/>
    <w:rsid w:val="007D117B"/>
    <w:rsid w:val="007D3D07"/>
    <w:rsid w:val="007D656F"/>
    <w:rsid w:val="007D7260"/>
    <w:rsid w:val="007D73FD"/>
    <w:rsid w:val="007D7E6D"/>
    <w:rsid w:val="007E0ACA"/>
    <w:rsid w:val="007E1060"/>
    <w:rsid w:val="007E2EF8"/>
    <w:rsid w:val="007E3D37"/>
    <w:rsid w:val="007E46ED"/>
    <w:rsid w:val="007E4989"/>
    <w:rsid w:val="007E5C9E"/>
    <w:rsid w:val="007E7B9E"/>
    <w:rsid w:val="007F25FD"/>
    <w:rsid w:val="007F2A89"/>
    <w:rsid w:val="007F3515"/>
    <w:rsid w:val="007F3697"/>
    <w:rsid w:val="007F4715"/>
    <w:rsid w:val="007F5A1E"/>
    <w:rsid w:val="007F5C1F"/>
    <w:rsid w:val="007F6C70"/>
    <w:rsid w:val="007F72FD"/>
    <w:rsid w:val="007F74E6"/>
    <w:rsid w:val="0080187E"/>
    <w:rsid w:val="00801BE0"/>
    <w:rsid w:val="00803D5C"/>
    <w:rsid w:val="00803ECF"/>
    <w:rsid w:val="008044EA"/>
    <w:rsid w:val="008055BF"/>
    <w:rsid w:val="00806620"/>
    <w:rsid w:val="00806F65"/>
    <w:rsid w:val="008100F9"/>
    <w:rsid w:val="008108FE"/>
    <w:rsid w:val="008111A2"/>
    <w:rsid w:val="00812C16"/>
    <w:rsid w:val="0081326B"/>
    <w:rsid w:val="00813B05"/>
    <w:rsid w:val="008150CA"/>
    <w:rsid w:val="00815EB6"/>
    <w:rsid w:val="00816967"/>
    <w:rsid w:val="008205AE"/>
    <w:rsid w:val="008210CC"/>
    <w:rsid w:val="008217FC"/>
    <w:rsid w:val="00821B21"/>
    <w:rsid w:val="00821DD0"/>
    <w:rsid w:val="008226E7"/>
    <w:rsid w:val="00822824"/>
    <w:rsid w:val="00823A42"/>
    <w:rsid w:val="0082559F"/>
    <w:rsid w:val="008273B8"/>
    <w:rsid w:val="00831DDD"/>
    <w:rsid w:val="00833644"/>
    <w:rsid w:val="00834F14"/>
    <w:rsid w:val="00835C82"/>
    <w:rsid w:val="00836114"/>
    <w:rsid w:val="00837A31"/>
    <w:rsid w:val="00837A44"/>
    <w:rsid w:val="00837ABE"/>
    <w:rsid w:val="0084007D"/>
    <w:rsid w:val="008403BB"/>
    <w:rsid w:val="0084133B"/>
    <w:rsid w:val="0084348D"/>
    <w:rsid w:val="00843B7E"/>
    <w:rsid w:val="008449B1"/>
    <w:rsid w:val="00846380"/>
    <w:rsid w:val="008472B0"/>
    <w:rsid w:val="008474A3"/>
    <w:rsid w:val="00847D80"/>
    <w:rsid w:val="008507A2"/>
    <w:rsid w:val="00850CB9"/>
    <w:rsid w:val="008536EC"/>
    <w:rsid w:val="00854331"/>
    <w:rsid w:val="00854DEF"/>
    <w:rsid w:val="00855135"/>
    <w:rsid w:val="00856328"/>
    <w:rsid w:val="00856891"/>
    <w:rsid w:val="00857455"/>
    <w:rsid w:val="00860C13"/>
    <w:rsid w:val="00860E03"/>
    <w:rsid w:val="00861563"/>
    <w:rsid w:val="008618F2"/>
    <w:rsid w:val="00861941"/>
    <w:rsid w:val="00862BDF"/>
    <w:rsid w:val="00865441"/>
    <w:rsid w:val="008656B0"/>
    <w:rsid w:val="00866134"/>
    <w:rsid w:val="00867476"/>
    <w:rsid w:val="00867F5F"/>
    <w:rsid w:val="00870291"/>
    <w:rsid w:val="00870D59"/>
    <w:rsid w:val="00870E5F"/>
    <w:rsid w:val="00874EEF"/>
    <w:rsid w:val="00874F74"/>
    <w:rsid w:val="0087595C"/>
    <w:rsid w:val="00876D5D"/>
    <w:rsid w:val="008779A5"/>
    <w:rsid w:val="00880237"/>
    <w:rsid w:val="00880775"/>
    <w:rsid w:val="008814E1"/>
    <w:rsid w:val="00881E88"/>
    <w:rsid w:val="0088213E"/>
    <w:rsid w:val="0088232B"/>
    <w:rsid w:val="0088322E"/>
    <w:rsid w:val="00884B98"/>
    <w:rsid w:val="008854A6"/>
    <w:rsid w:val="0088612C"/>
    <w:rsid w:val="008874C5"/>
    <w:rsid w:val="00887D0C"/>
    <w:rsid w:val="00887F44"/>
    <w:rsid w:val="008908EA"/>
    <w:rsid w:val="0089142D"/>
    <w:rsid w:val="008945A0"/>
    <w:rsid w:val="00895E34"/>
    <w:rsid w:val="00896EA6"/>
    <w:rsid w:val="00897A35"/>
    <w:rsid w:val="008A04A3"/>
    <w:rsid w:val="008A05F3"/>
    <w:rsid w:val="008A133F"/>
    <w:rsid w:val="008A19D8"/>
    <w:rsid w:val="008A301B"/>
    <w:rsid w:val="008A3140"/>
    <w:rsid w:val="008A3675"/>
    <w:rsid w:val="008A3DCB"/>
    <w:rsid w:val="008A6ACC"/>
    <w:rsid w:val="008A79EA"/>
    <w:rsid w:val="008B03E1"/>
    <w:rsid w:val="008B0669"/>
    <w:rsid w:val="008B08A1"/>
    <w:rsid w:val="008B1725"/>
    <w:rsid w:val="008B2605"/>
    <w:rsid w:val="008B2C21"/>
    <w:rsid w:val="008B5BFB"/>
    <w:rsid w:val="008B6ED4"/>
    <w:rsid w:val="008B7F47"/>
    <w:rsid w:val="008C0726"/>
    <w:rsid w:val="008C200F"/>
    <w:rsid w:val="008C2587"/>
    <w:rsid w:val="008C45AF"/>
    <w:rsid w:val="008C4771"/>
    <w:rsid w:val="008C50F4"/>
    <w:rsid w:val="008C6A03"/>
    <w:rsid w:val="008C6AAA"/>
    <w:rsid w:val="008C7FB7"/>
    <w:rsid w:val="008D0947"/>
    <w:rsid w:val="008D15EA"/>
    <w:rsid w:val="008D1E9D"/>
    <w:rsid w:val="008D1FE6"/>
    <w:rsid w:val="008D34BD"/>
    <w:rsid w:val="008D3E7F"/>
    <w:rsid w:val="008D4A90"/>
    <w:rsid w:val="008D50FF"/>
    <w:rsid w:val="008D5E59"/>
    <w:rsid w:val="008D6D68"/>
    <w:rsid w:val="008E1DD7"/>
    <w:rsid w:val="008E2564"/>
    <w:rsid w:val="008E2D3A"/>
    <w:rsid w:val="008E34F7"/>
    <w:rsid w:val="008E4658"/>
    <w:rsid w:val="008E556B"/>
    <w:rsid w:val="008E56C8"/>
    <w:rsid w:val="008E5718"/>
    <w:rsid w:val="008E6AFF"/>
    <w:rsid w:val="008F0686"/>
    <w:rsid w:val="008F5BE7"/>
    <w:rsid w:val="008F6522"/>
    <w:rsid w:val="008F68A4"/>
    <w:rsid w:val="008F7B69"/>
    <w:rsid w:val="00900545"/>
    <w:rsid w:val="00902E5B"/>
    <w:rsid w:val="00905534"/>
    <w:rsid w:val="00907BE4"/>
    <w:rsid w:val="00907C8A"/>
    <w:rsid w:val="00910AA8"/>
    <w:rsid w:val="00911E2E"/>
    <w:rsid w:val="00911E8F"/>
    <w:rsid w:val="00911F16"/>
    <w:rsid w:val="009120C4"/>
    <w:rsid w:val="00914E58"/>
    <w:rsid w:val="00915265"/>
    <w:rsid w:val="0091595D"/>
    <w:rsid w:val="00916B9F"/>
    <w:rsid w:val="00917703"/>
    <w:rsid w:val="00922D9B"/>
    <w:rsid w:val="009238CA"/>
    <w:rsid w:val="0092459A"/>
    <w:rsid w:val="0092559A"/>
    <w:rsid w:val="009261F3"/>
    <w:rsid w:val="00930852"/>
    <w:rsid w:val="00930ED6"/>
    <w:rsid w:val="00931328"/>
    <w:rsid w:val="009315C6"/>
    <w:rsid w:val="00931C02"/>
    <w:rsid w:val="009324B1"/>
    <w:rsid w:val="00932F0D"/>
    <w:rsid w:val="00933AA3"/>
    <w:rsid w:val="00934A1C"/>
    <w:rsid w:val="00934D22"/>
    <w:rsid w:val="00936737"/>
    <w:rsid w:val="00943565"/>
    <w:rsid w:val="00943AE8"/>
    <w:rsid w:val="00943D40"/>
    <w:rsid w:val="00945A15"/>
    <w:rsid w:val="00946E27"/>
    <w:rsid w:val="0095269B"/>
    <w:rsid w:val="00954C43"/>
    <w:rsid w:val="00955F22"/>
    <w:rsid w:val="0095708D"/>
    <w:rsid w:val="00957BE8"/>
    <w:rsid w:val="009611DD"/>
    <w:rsid w:val="009640B8"/>
    <w:rsid w:val="0096731C"/>
    <w:rsid w:val="00970BE7"/>
    <w:rsid w:val="009715ED"/>
    <w:rsid w:val="00971E73"/>
    <w:rsid w:val="00971EA0"/>
    <w:rsid w:val="0097246D"/>
    <w:rsid w:val="009742A2"/>
    <w:rsid w:val="00974A37"/>
    <w:rsid w:val="00975E6B"/>
    <w:rsid w:val="009762DF"/>
    <w:rsid w:val="00976580"/>
    <w:rsid w:val="009773A0"/>
    <w:rsid w:val="00977C48"/>
    <w:rsid w:val="009800A9"/>
    <w:rsid w:val="00980B41"/>
    <w:rsid w:val="009817FD"/>
    <w:rsid w:val="009845F1"/>
    <w:rsid w:val="0098520B"/>
    <w:rsid w:val="0098779F"/>
    <w:rsid w:val="00987D13"/>
    <w:rsid w:val="00990299"/>
    <w:rsid w:val="00991181"/>
    <w:rsid w:val="00991204"/>
    <w:rsid w:val="00991897"/>
    <w:rsid w:val="00993D16"/>
    <w:rsid w:val="00994EF7"/>
    <w:rsid w:val="009951F2"/>
    <w:rsid w:val="00996161"/>
    <w:rsid w:val="009965C7"/>
    <w:rsid w:val="00996677"/>
    <w:rsid w:val="00996956"/>
    <w:rsid w:val="009A1208"/>
    <w:rsid w:val="009A13ED"/>
    <w:rsid w:val="009A198D"/>
    <w:rsid w:val="009A2522"/>
    <w:rsid w:val="009A3AE4"/>
    <w:rsid w:val="009A3B02"/>
    <w:rsid w:val="009A5DA1"/>
    <w:rsid w:val="009A6E7D"/>
    <w:rsid w:val="009A7A6C"/>
    <w:rsid w:val="009A7B0F"/>
    <w:rsid w:val="009B04B3"/>
    <w:rsid w:val="009B14C8"/>
    <w:rsid w:val="009B2651"/>
    <w:rsid w:val="009B38C4"/>
    <w:rsid w:val="009B45B4"/>
    <w:rsid w:val="009B52D7"/>
    <w:rsid w:val="009B5CEC"/>
    <w:rsid w:val="009B633B"/>
    <w:rsid w:val="009B76DC"/>
    <w:rsid w:val="009B7CF7"/>
    <w:rsid w:val="009B7D63"/>
    <w:rsid w:val="009B7FB1"/>
    <w:rsid w:val="009C0C5B"/>
    <w:rsid w:val="009C2A06"/>
    <w:rsid w:val="009C69A2"/>
    <w:rsid w:val="009C768A"/>
    <w:rsid w:val="009C7E1A"/>
    <w:rsid w:val="009D0087"/>
    <w:rsid w:val="009D074D"/>
    <w:rsid w:val="009D07B8"/>
    <w:rsid w:val="009D12CA"/>
    <w:rsid w:val="009D3BE2"/>
    <w:rsid w:val="009D40CF"/>
    <w:rsid w:val="009D4703"/>
    <w:rsid w:val="009D7A24"/>
    <w:rsid w:val="009E01B7"/>
    <w:rsid w:val="009E0487"/>
    <w:rsid w:val="009E1375"/>
    <w:rsid w:val="009E2288"/>
    <w:rsid w:val="009E2DA7"/>
    <w:rsid w:val="009E3679"/>
    <w:rsid w:val="009E37E4"/>
    <w:rsid w:val="009E4165"/>
    <w:rsid w:val="009E4248"/>
    <w:rsid w:val="009E5729"/>
    <w:rsid w:val="009E6511"/>
    <w:rsid w:val="009E660F"/>
    <w:rsid w:val="009F17BD"/>
    <w:rsid w:val="009F195D"/>
    <w:rsid w:val="009F1B90"/>
    <w:rsid w:val="009F33A1"/>
    <w:rsid w:val="009F3708"/>
    <w:rsid w:val="009F4145"/>
    <w:rsid w:val="009F48B6"/>
    <w:rsid w:val="009F5344"/>
    <w:rsid w:val="009F7F7A"/>
    <w:rsid w:val="00A027C6"/>
    <w:rsid w:val="00A02928"/>
    <w:rsid w:val="00A02D12"/>
    <w:rsid w:val="00A0325E"/>
    <w:rsid w:val="00A03CC5"/>
    <w:rsid w:val="00A048B3"/>
    <w:rsid w:val="00A05832"/>
    <w:rsid w:val="00A05A9E"/>
    <w:rsid w:val="00A07353"/>
    <w:rsid w:val="00A07881"/>
    <w:rsid w:val="00A07FA8"/>
    <w:rsid w:val="00A118B1"/>
    <w:rsid w:val="00A12BFF"/>
    <w:rsid w:val="00A138AA"/>
    <w:rsid w:val="00A145F0"/>
    <w:rsid w:val="00A15994"/>
    <w:rsid w:val="00A16B1A"/>
    <w:rsid w:val="00A1745C"/>
    <w:rsid w:val="00A17CD1"/>
    <w:rsid w:val="00A17FFA"/>
    <w:rsid w:val="00A2065B"/>
    <w:rsid w:val="00A21EE9"/>
    <w:rsid w:val="00A22080"/>
    <w:rsid w:val="00A22403"/>
    <w:rsid w:val="00A22FF0"/>
    <w:rsid w:val="00A2360B"/>
    <w:rsid w:val="00A25167"/>
    <w:rsid w:val="00A25973"/>
    <w:rsid w:val="00A25AC8"/>
    <w:rsid w:val="00A27055"/>
    <w:rsid w:val="00A2776D"/>
    <w:rsid w:val="00A30651"/>
    <w:rsid w:val="00A30EF3"/>
    <w:rsid w:val="00A3348D"/>
    <w:rsid w:val="00A3398D"/>
    <w:rsid w:val="00A34F9A"/>
    <w:rsid w:val="00A354DA"/>
    <w:rsid w:val="00A40CC3"/>
    <w:rsid w:val="00A4152F"/>
    <w:rsid w:val="00A4178A"/>
    <w:rsid w:val="00A41C92"/>
    <w:rsid w:val="00A43B0B"/>
    <w:rsid w:val="00A44263"/>
    <w:rsid w:val="00A443B5"/>
    <w:rsid w:val="00A44F67"/>
    <w:rsid w:val="00A45AE4"/>
    <w:rsid w:val="00A47E27"/>
    <w:rsid w:val="00A5181B"/>
    <w:rsid w:val="00A51C76"/>
    <w:rsid w:val="00A51CCF"/>
    <w:rsid w:val="00A53290"/>
    <w:rsid w:val="00A53B8D"/>
    <w:rsid w:val="00A5424C"/>
    <w:rsid w:val="00A547E1"/>
    <w:rsid w:val="00A550F9"/>
    <w:rsid w:val="00A5578A"/>
    <w:rsid w:val="00A57667"/>
    <w:rsid w:val="00A60332"/>
    <w:rsid w:val="00A6072F"/>
    <w:rsid w:val="00A60A64"/>
    <w:rsid w:val="00A6214C"/>
    <w:rsid w:val="00A628DD"/>
    <w:rsid w:val="00A6303C"/>
    <w:rsid w:val="00A630A6"/>
    <w:rsid w:val="00A64585"/>
    <w:rsid w:val="00A65E5E"/>
    <w:rsid w:val="00A66BA8"/>
    <w:rsid w:val="00A66F82"/>
    <w:rsid w:val="00A670FA"/>
    <w:rsid w:val="00A71688"/>
    <w:rsid w:val="00A73568"/>
    <w:rsid w:val="00A747AD"/>
    <w:rsid w:val="00A74CDD"/>
    <w:rsid w:val="00A75541"/>
    <w:rsid w:val="00A76494"/>
    <w:rsid w:val="00A76925"/>
    <w:rsid w:val="00A7790A"/>
    <w:rsid w:val="00A80F25"/>
    <w:rsid w:val="00A8143E"/>
    <w:rsid w:val="00A815F9"/>
    <w:rsid w:val="00A8285E"/>
    <w:rsid w:val="00A838D5"/>
    <w:rsid w:val="00A84ED2"/>
    <w:rsid w:val="00A85511"/>
    <w:rsid w:val="00A85970"/>
    <w:rsid w:val="00A85990"/>
    <w:rsid w:val="00A87189"/>
    <w:rsid w:val="00A9238C"/>
    <w:rsid w:val="00A93E91"/>
    <w:rsid w:val="00A94717"/>
    <w:rsid w:val="00A94958"/>
    <w:rsid w:val="00A94A6E"/>
    <w:rsid w:val="00A94FC7"/>
    <w:rsid w:val="00A956D7"/>
    <w:rsid w:val="00A9731A"/>
    <w:rsid w:val="00A9798F"/>
    <w:rsid w:val="00A97DF3"/>
    <w:rsid w:val="00A97ECF"/>
    <w:rsid w:val="00AA0EDF"/>
    <w:rsid w:val="00AA0FCE"/>
    <w:rsid w:val="00AA412E"/>
    <w:rsid w:val="00AA47AC"/>
    <w:rsid w:val="00AA584E"/>
    <w:rsid w:val="00AA7606"/>
    <w:rsid w:val="00AA7DAF"/>
    <w:rsid w:val="00AB2868"/>
    <w:rsid w:val="00AB2F20"/>
    <w:rsid w:val="00AB452F"/>
    <w:rsid w:val="00AB5DFB"/>
    <w:rsid w:val="00AB5FE8"/>
    <w:rsid w:val="00AC005B"/>
    <w:rsid w:val="00AC086C"/>
    <w:rsid w:val="00AC09EB"/>
    <w:rsid w:val="00AC10A2"/>
    <w:rsid w:val="00AC1EFB"/>
    <w:rsid w:val="00AC24E5"/>
    <w:rsid w:val="00AC38C7"/>
    <w:rsid w:val="00AC42BA"/>
    <w:rsid w:val="00AC5D98"/>
    <w:rsid w:val="00AC6BDD"/>
    <w:rsid w:val="00AD28A7"/>
    <w:rsid w:val="00AD2DC3"/>
    <w:rsid w:val="00AD332A"/>
    <w:rsid w:val="00AD3FC6"/>
    <w:rsid w:val="00AD4263"/>
    <w:rsid w:val="00AD455F"/>
    <w:rsid w:val="00AD53BF"/>
    <w:rsid w:val="00AD62F3"/>
    <w:rsid w:val="00AE173D"/>
    <w:rsid w:val="00AE23F5"/>
    <w:rsid w:val="00AE3C00"/>
    <w:rsid w:val="00AE4703"/>
    <w:rsid w:val="00AE4AFA"/>
    <w:rsid w:val="00AE6391"/>
    <w:rsid w:val="00AE6A87"/>
    <w:rsid w:val="00AE6D7B"/>
    <w:rsid w:val="00AF23CF"/>
    <w:rsid w:val="00AF3B7D"/>
    <w:rsid w:val="00AF3C32"/>
    <w:rsid w:val="00AF41BB"/>
    <w:rsid w:val="00AF4398"/>
    <w:rsid w:val="00AF4B31"/>
    <w:rsid w:val="00AF6235"/>
    <w:rsid w:val="00AF7261"/>
    <w:rsid w:val="00B00B3D"/>
    <w:rsid w:val="00B00DFE"/>
    <w:rsid w:val="00B03E87"/>
    <w:rsid w:val="00B04178"/>
    <w:rsid w:val="00B0428D"/>
    <w:rsid w:val="00B0444E"/>
    <w:rsid w:val="00B04CA3"/>
    <w:rsid w:val="00B05A2A"/>
    <w:rsid w:val="00B07013"/>
    <w:rsid w:val="00B078BF"/>
    <w:rsid w:val="00B10F39"/>
    <w:rsid w:val="00B11557"/>
    <w:rsid w:val="00B1167D"/>
    <w:rsid w:val="00B13613"/>
    <w:rsid w:val="00B137B9"/>
    <w:rsid w:val="00B1418A"/>
    <w:rsid w:val="00B15D2E"/>
    <w:rsid w:val="00B15DDF"/>
    <w:rsid w:val="00B15F96"/>
    <w:rsid w:val="00B16737"/>
    <w:rsid w:val="00B16B2C"/>
    <w:rsid w:val="00B16E0A"/>
    <w:rsid w:val="00B172B2"/>
    <w:rsid w:val="00B21B23"/>
    <w:rsid w:val="00B21E68"/>
    <w:rsid w:val="00B22965"/>
    <w:rsid w:val="00B22F8C"/>
    <w:rsid w:val="00B25B54"/>
    <w:rsid w:val="00B272E6"/>
    <w:rsid w:val="00B27340"/>
    <w:rsid w:val="00B27C08"/>
    <w:rsid w:val="00B342A8"/>
    <w:rsid w:val="00B3572F"/>
    <w:rsid w:val="00B36988"/>
    <w:rsid w:val="00B405F9"/>
    <w:rsid w:val="00B40634"/>
    <w:rsid w:val="00B42CDE"/>
    <w:rsid w:val="00B432BB"/>
    <w:rsid w:val="00B44610"/>
    <w:rsid w:val="00B45100"/>
    <w:rsid w:val="00B5084D"/>
    <w:rsid w:val="00B520E6"/>
    <w:rsid w:val="00B52555"/>
    <w:rsid w:val="00B53DEA"/>
    <w:rsid w:val="00B56FFF"/>
    <w:rsid w:val="00B5771C"/>
    <w:rsid w:val="00B57C2C"/>
    <w:rsid w:val="00B60634"/>
    <w:rsid w:val="00B60724"/>
    <w:rsid w:val="00B62298"/>
    <w:rsid w:val="00B65945"/>
    <w:rsid w:val="00B65EDC"/>
    <w:rsid w:val="00B66179"/>
    <w:rsid w:val="00B66228"/>
    <w:rsid w:val="00B66E29"/>
    <w:rsid w:val="00B67F4F"/>
    <w:rsid w:val="00B707B4"/>
    <w:rsid w:val="00B70F82"/>
    <w:rsid w:val="00B718A0"/>
    <w:rsid w:val="00B72C42"/>
    <w:rsid w:val="00B732D2"/>
    <w:rsid w:val="00B80F46"/>
    <w:rsid w:val="00B817DA"/>
    <w:rsid w:val="00B822CB"/>
    <w:rsid w:val="00B82B3E"/>
    <w:rsid w:val="00B851C4"/>
    <w:rsid w:val="00B85EAF"/>
    <w:rsid w:val="00B90773"/>
    <w:rsid w:val="00B920B7"/>
    <w:rsid w:val="00B94CA3"/>
    <w:rsid w:val="00B94E1F"/>
    <w:rsid w:val="00B9625D"/>
    <w:rsid w:val="00B96624"/>
    <w:rsid w:val="00B9765C"/>
    <w:rsid w:val="00B97C24"/>
    <w:rsid w:val="00BA2C46"/>
    <w:rsid w:val="00BA64D4"/>
    <w:rsid w:val="00BA6A1E"/>
    <w:rsid w:val="00BA6BD3"/>
    <w:rsid w:val="00BA78E6"/>
    <w:rsid w:val="00BA7AEE"/>
    <w:rsid w:val="00BA7B71"/>
    <w:rsid w:val="00BB01C9"/>
    <w:rsid w:val="00BB1209"/>
    <w:rsid w:val="00BB229E"/>
    <w:rsid w:val="00BB367D"/>
    <w:rsid w:val="00BB3A09"/>
    <w:rsid w:val="00BB50CB"/>
    <w:rsid w:val="00BB587D"/>
    <w:rsid w:val="00BB5A69"/>
    <w:rsid w:val="00BB7214"/>
    <w:rsid w:val="00BB75E3"/>
    <w:rsid w:val="00BC0070"/>
    <w:rsid w:val="00BC007B"/>
    <w:rsid w:val="00BC35AF"/>
    <w:rsid w:val="00BC3829"/>
    <w:rsid w:val="00BC3A0E"/>
    <w:rsid w:val="00BC44E4"/>
    <w:rsid w:val="00BC4A10"/>
    <w:rsid w:val="00BC4E0B"/>
    <w:rsid w:val="00BC4EAD"/>
    <w:rsid w:val="00BC6605"/>
    <w:rsid w:val="00BC669C"/>
    <w:rsid w:val="00BC6739"/>
    <w:rsid w:val="00BD13FE"/>
    <w:rsid w:val="00BD3F09"/>
    <w:rsid w:val="00BD4356"/>
    <w:rsid w:val="00BD4B5B"/>
    <w:rsid w:val="00BD5184"/>
    <w:rsid w:val="00BD628C"/>
    <w:rsid w:val="00BD649A"/>
    <w:rsid w:val="00BD6A80"/>
    <w:rsid w:val="00BE04E1"/>
    <w:rsid w:val="00BE0604"/>
    <w:rsid w:val="00BE1801"/>
    <w:rsid w:val="00BE326E"/>
    <w:rsid w:val="00BE3FCB"/>
    <w:rsid w:val="00BE520A"/>
    <w:rsid w:val="00BE5247"/>
    <w:rsid w:val="00BE52FF"/>
    <w:rsid w:val="00BE55BD"/>
    <w:rsid w:val="00BE5618"/>
    <w:rsid w:val="00BE56A7"/>
    <w:rsid w:val="00BE7F52"/>
    <w:rsid w:val="00BF02C0"/>
    <w:rsid w:val="00BF0CC8"/>
    <w:rsid w:val="00BF19B2"/>
    <w:rsid w:val="00BF1D5A"/>
    <w:rsid w:val="00BF23B9"/>
    <w:rsid w:val="00BF28F2"/>
    <w:rsid w:val="00BF2B89"/>
    <w:rsid w:val="00BF3149"/>
    <w:rsid w:val="00BF3C1A"/>
    <w:rsid w:val="00BF7E76"/>
    <w:rsid w:val="00C01C59"/>
    <w:rsid w:val="00C035AF"/>
    <w:rsid w:val="00C05EC0"/>
    <w:rsid w:val="00C108CB"/>
    <w:rsid w:val="00C14C71"/>
    <w:rsid w:val="00C14D4E"/>
    <w:rsid w:val="00C15609"/>
    <w:rsid w:val="00C160E7"/>
    <w:rsid w:val="00C16180"/>
    <w:rsid w:val="00C164CF"/>
    <w:rsid w:val="00C16E02"/>
    <w:rsid w:val="00C20A28"/>
    <w:rsid w:val="00C21349"/>
    <w:rsid w:val="00C22534"/>
    <w:rsid w:val="00C22D95"/>
    <w:rsid w:val="00C2354A"/>
    <w:rsid w:val="00C264A3"/>
    <w:rsid w:val="00C30FC6"/>
    <w:rsid w:val="00C30FF9"/>
    <w:rsid w:val="00C31E9B"/>
    <w:rsid w:val="00C331C6"/>
    <w:rsid w:val="00C33E62"/>
    <w:rsid w:val="00C37144"/>
    <w:rsid w:val="00C45E27"/>
    <w:rsid w:val="00C46ABE"/>
    <w:rsid w:val="00C46F3D"/>
    <w:rsid w:val="00C473EF"/>
    <w:rsid w:val="00C47F98"/>
    <w:rsid w:val="00C52067"/>
    <w:rsid w:val="00C52B4F"/>
    <w:rsid w:val="00C5401F"/>
    <w:rsid w:val="00C55302"/>
    <w:rsid w:val="00C55817"/>
    <w:rsid w:val="00C559AE"/>
    <w:rsid w:val="00C566EA"/>
    <w:rsid w:val="00C56C45"/>
    <w:rsid w:val="00C57A10"/>
    <w:rsid w:val="00C57BBE"/>
    <w:rsid w:val="00C606A0"/>
    <w:rsid w:val="00C6162E"/>
    <w:rsid w:val="00C616CE"/>
    <w:rsid w:val="00C63822"/>
    <w:rsid w:val="00C639E5"/>
    <w:rsid w:val="00C66239"/>
    <w:rsid w:val="00C6673D"/>
    <w:rsid w:val="00C673F5"/>
    <w:rsid w:val="00C7001D"/>
    <w:rsid w:val="00C70DBB"/>
    <w:rsid w:val="00C71292"/>
    <w:rsid w:val="00C72C21"/>
    <w:rsid w:val="00C72E3C"/>
    <w:rsid w:val="00C73A16"/>
    <w:rsid w:val="00C7425A"/>
    <w:rsid w:val="00C762ED"/>
    <w:rsid w:val="00C77087"/>
    <w:rsid w:val="00C818C0"/>
    <w:rsid w:val="00C82785"/>
    <w:rsid w:val="00C8388E"/>
    <w:rsid w:val="00C83903"/>
    <w:rsid w:val="00C87208"/>
    <w:rsid w:val="00C87CA3"/>
    <w:rsid w:val="00C92B6A"/>
    <w:rsid w:val="00C93549"/>
    <w:rsid w:val="00C93CFF"/>
    <w:rsid w:val="00C94022"/>
    <w:rsid w:val="00C9555A"/>
    <w:rsid w:val="00C97EDE"/>
    <w:rsid w:val="00CA5D91"/>
    <w:rsid w:val="00CA5DC9"/>
    <w:rsid w:val="00CA63A9"/>
    <w:rsid w:val="00CA71C9"/>
    <w:rsid w:val="00CA7429"/>
    <w:rsid w:val="00CA74B8"/>
    <w:rsid w:val="00CB04BC"/>
    <w:rsid w:val="00CB0FA8"/>
    <w:rsid w:val="00CB3786"/>
    <w:rsid w:val="00CB3836"/>
    <w:rsid w:val="00CB4024"/>
    <w:rsid w:val="00CB415D"/>
    <w:rsid w:val="00CB5EC7"/>
    <w:rsid w:val="00CB6D42"/>
    <w:rsid w:val="00CB6D5F"/>
    <w:rsid w:val="00CB777E"/>
    <w:rsid w:val="00CC0F28"/>
    <w:rsid w:val="00CC1EEE"/>
    <w:rsid w:val="00CC3066"/>
    <w:rsid w:val="00CC31FD"/>
    <w:rsid w:val="00CC32EF"/>
    <w:rsid w:val="00CC4897"/>
    <w:rsid w:val="00CC4DDE"/>
    <w:rsid w:val="00CC5A73"/>
    <w:rsid w:val="00CC7EC9"/>
    <w:rsid w:val="00CC7ED4"/>
    <w:rsid w:val="00CD0DCB"/>
    <w:rsid w:val="00CD1AE9"/>
    <w:rsid w:val="00CD3866"/>
    <w:rsid w:val="00CD43D1"/>
    <w:rsid w:val="00CD4610"/>
    <w:rsid w:val="00CD6C05"/>
    <w:rsid w:val="00CD6F55"/>
    <w:rsid w:val="00CD7122"/>
    <w:rsid w:val="00CE67E5"/>
    <w:rsid w:val="00CF06C7"/>
    <w:rsid w:val="00CF2DF1"/>
    <w:rsid w:val="00CF33EC"/>
    <w:rsid w:val="00CF3768"/>
    <w:rsid w:val="00CF5B0C"/>
    <w:rsid w:val="00CF71C9"/>
    <w:rsid w:val="00CF7A23"/>
    <w:rsid w:val="00D00A4E"/>
    <w:rsid w:val="00D019F7"/>
    <w:rsid w:val="00D021BB"/>
    <w:rsid w:val="00D035DA"/>
    <w:rsid w:val="00D0372E"/>
    <w:rsid w:val="00D03D43"/>
    <w:rsid w:val="00D03F9A"/>
    <w:rsid w:val="00D04D89"/>
    <w:rsid w:val="00D05E39"/>
    <w:rsid w:val="00D05F34"/>
    <w:rsid w:val="00D075B5"/>
    <w:rsid w:val="00D078FE"/>
    <w:rsid w:val="00D11185"/>
    <w:rsid w:val="00D11385"/>
    <w:rsid w:val="00D12838"/>
    <w:rsid w:val="00D1289D"/>
    <w:rsid w:val="00D13291"/>
    <w:rsid w:val="00D133AD"/>
    <w:rsid w:val="00D139C5"/>
    <w:rsid w:val="00D14108"/>
    <w:rsid w:val="00D14697"/>
    <w:rsid w:val="00D15282"/>
    <w:rsid w:val="00D16D3D"/>
    <w:rsid w:val="00D16E34"/>
    <w:rsid w:val="00D17976"/>
    <w:rsid w:val="00D17984"/>
    <w:rsid w:val="00D17B06"/>
    <w:rsid w:val="00D20C81"/>
    <w:rsid w:val="00D212C2"/>
    <w:rsid w:val="00D21C7C"/>
    <w:rsid w:val="00D23836"/>
    <w:rsid w:val="00D23B00"/>
    <w:rsid w:val="00D24F61"/>
    <w:rsid w:val="00D25318"/>
    <w:rsid w:val="00D269F9"/>
    <w:rsid w:val="00D273A2"/>
    <w:rsid w:val="00D27E76"/>
    <w:rsid w:val="00D30AFD"/>
    <w:rsid w:val="00D326DE"/>
    <w:rsid w:val="00D361B1"/>
    <w:rsid w:val="00D40B0D"/>
    <w:rsid w:val="00D41C49"/>
    <w:rsid w:val="00D4445A"/>
    <w:rsid w:val="00D44F99"/>
    <w:rsid w:val="00D45E18"/>
    <w:rsid w:val="00D46D60"/>
    <w:rsid w:val="00D46D6D"/>
    <w:rsid w:val="00D476DC"/>
    <w:rsid w:val="00D51712"/>
    <w:rsid w:val="00D519BC"/>
    <w:rsid w:val="00D53D5D"/>
    <w:rsid w:val="00D54994"/>
    <w:rsid w:val="00D565B6"/>
    <w:rsid w:val="00D57053"/>
    <w:rsid w:val="00D57703"/>
    <w:rsid w:val="00D6013D"/>
    <w:rsid w:val="00D65EA3"/>
    <w:rsid w:val="00D66380"/>
    <w:rsid w:val="00D67068"/>
    <w:rsid w:val="00D67A7F"/>
    <w:rsid w:val="00D706FA"/>
    <w:rsid w:val="00D734BC"/>
    <w:rsid w:val="00D736B6"/>
    <w:rsid w:val="00D74450"/>
    <w:rsid w:val="00D74E12"/>
    <w:rsid w:val="00D74EBB"/>
    <w:rsid w:val="00D74F83"/>
    <w:rsid w:val="00D75383"/>
    <w:rsid w:val="00D75C38"/>
    <w:rsid w:val="00D76A9F"/>
    <w:rsid w:val="00D80252"/>
    <w:rsid w:val="00D812B6"/>
    <w:rsid w:val="00D824DC"/>
    <w:rsid w:val="00D84AD0"/>
    <w:rsid w:val="00D85D92"/>
    <w:rsid w:val="00D86695"/>
    <w:rsid w:val="00D870A9"/>
    <w:rsid w:val="00D87995"/>
    <w:rsid w:val="00D87EA7"/>
    <w:rsid w:val="00D90EF6"/>
    <w:rsid w:val="00D93278"/>
    <w:rsid w:val="00D93DA8"/>
    <w:rsid w:val="00D9423A"/>
    <w:rsid w:val="00D94A05"/>
    <w:rsid w:val="00D9682E"/>
    <w:rsid w:val="00D96935"/>
    <w:rsid w:val="00D96FC6"/>
    <w:rsid w:val="00D97D6B"/>
    <w:rsid w:val="00D97F66"/>
    <w:rsid w:val="00DA142B"/>
    <w:rsid w:val="00DA374F"/>
    <w:rsid w:val="00DA40E5"/>
    <w:rsid w:val="00DA4850"/>
    <w:rsid w:val="00DA4A3E"/>
    <w:rsid w:val="00DA4E76"/>
    <w:rsid w:val="00DA6D28"/>
    <w:rsid w:val="00DB201D"/>
    <w:rsid w:val="00DB241B"/>
    <w:rsid w:val="00DB2A2D"/>
    <w:rsid w:val="00DB2E06"/>
    <w:rsid w:val="00DB3C3B"/>
    <w:rsid w:val="00DB4C61"/>
    <w:rsid w:val="00DC236D"/>
    <w:rsid w:val="00DC3325"/>
    <w:rsid w:val="00DC49D1"/>
    <w:rsid w:val="00DC515F"/>
    <w:rsid w:val="00DC5B5B"/>
    <w:rsid w:val="00DC693A"/>
    <w:rsid w:val="00DC701F"/>
    <w:rsid w:val="00DC7146"/>
    <w:rsid w:val="00DC7344"/>
    <w:rsid w:val="00DC7EB3"/>
    <w:rsid w:val="00DD03F8"/>
    <w:rsid w:val="00DD0423"/>
    <w:rsid w:val="00DD0A44"/>
    <w:rsid w:val="00DD2F5F"/>
    <w:rsid w:val="00DD34F7"/>
    <w:rsid w:val="00DE0A2F"/>
    <w:rsid w:val="00DE1132"/>
    <w:rsid w:val="00DE1C53"/>
    <w:rsid w:val="00DE1D8E"/>
    <w:rsid w:val="00DE565A"/>
    <w:rsid w:val="00DE5BD7"/>
    <w:rsid w:val="00DE6ABF"/>
    <w:rsid w:val="00DE6D5E"/>
    <w:rsid w:val="00DE7DBF"/>
    <w:rsid w:val="00DF0AAA"/>
    <w:rsid w:val="00DF108A"/>
    <w:rsid w:val="00DF3AF1"/>
    <w:rsid w:val="00E00559"/>
    <w:rsid w:val="00E01A87"/>
    <w:rsid w:val="00E0234E"/>
    <w:rsid w:val="00E029AA"/>
    <w:rsid w:val="00E02FC0"/>
    <w:rsid w:val="00E03272"/>
    <w:rsid w:val="00E04405"/>
    <w:rsid w:val="00E05FFB"/>
    <w:rsid w:val="00E0700E"/>
    <w:rsid w:val="00E07C72"/>
    <w:rsid w:val="00E10A24"/>
    <w:rsid w:val="00E110CE"/>
    <w:rsid w:val="00E16406"/>
    <w:rsid w:val="00E17037"/>
    <w:rsid w:val="00E1784B"/>
    <w:rsid w:val="00E204C1"/>
    <w:rsid w:val="00E20FA2"/>
    <w:rsid w:val="00E21912"/>
    <w:rsid w:val="00E21BDE"/>
    <w:rsid w:val="00E221EE"/>
    <w:rsid w:val="00E26080"/>
    <w:rsid w:val="00E2667F"/>
    <w:rsid w:val="00E26F12"/>
    <w:rsid w:val="00E276D6"/>
    <w:rsid w:val="00E30FC0"/>
    <w:rsid w:val="00E3113B"/>
    <w:rsid w:val="00E31AF1"/>
    <w:rsid w:val="00E31F4C"/>
    <w:rsid w:val="00E32A94"/>
    <w:rsid w:val="00E3339F"/>
    <w:rsid w:val="00E340C7"/>
    <w:rsid w:val="00E340E1"/>
    <w:rsid w:val="00E35492"/>
    <w:rsid w:val="00E35898"/>
    <w:rsid w:val="00E36131"/>
    <w:rsid w:val="00E36ED7"/>
    <w:rsid w:val="00E377EB"/>
    <w:rsid w:val="00E37E2C"/>
    <w:rsid w:val="00E4008F"/>
    <w:rsid w:val="00E40C58"/>
    <w:rsid w:val="00E415AE"/>
    <w:rsid w:val="00E4279C"/>
    <w:rsid w:val="00E4444B"/>
    <w:rsid w:val="00E452AE"/>
    <w:rsid w:val="00E45352"/>
    <w:rsid w:val="00E456F9"/>
    <w:rsid w:val="00E45EB4"/>
    <w:rsid w:val="00E51117"/>
    <w:rsid w:val="00E51323"/>
    <w:rsid w:val="00E5185E"/>
    <w:rsid w:val="00E521C2"/>
    <w:rsid w:val="00E524A6"/>
    <w:rsid w:val="00E539E4"/>
    <w:rsid w:val="00E5415A"/>
    <w:rsid w:val="00E541D3"/>
    <w:rsid w:val="00E55634"/>
    <w:rsid w:val="00E57E15"/>
    <w:rsid w:val="00E61662"/>
    <w:rsid w:val="00E6211C"/>
    <w:rsid w:val="00E62224"/>
    <w:rsid w:val="00E6312A"/>
    <w:rsid w:val="00E67759"/>
    <w:rsid w:val="00E717F1"/>
    <w:rsid w:val="00E71FEC"/>
    <w:rsid w:val="00E72448"/>
    <w:rsid w:val="00E7259E"/>
    <w:rsid w:val="00E74636"/>
    <w:rsid w:val="00E748C0"/>
    <w:rsid w:val="00E75DED"/>
    <w:rsid w:val="00E76401"/>
    <w:rsid w:val="00E7665A"/>
    <w:rsid w:val="00E76763"/>
    <w:rsid w:val="00E80767"/>
    <w:rsid w:val="00E81E4E"/>
    <w:rsid w:val="00E832F3"/>
    <w:rsid w:val="00E8550D"/>
    <w:rsid w:val="00E857BB"/>
    <w:rsid w:val="00E85A7D"/>
    <w:rsid w:val="00E90E97"/>
    <w:rsid w:val="00E915D0"/>
    <w:rsid w:val="00E91A53"/>
    <w:rsid w:val="00E91A91"/>
    <w:rsid w:val="00E9212A"/>
    <w:rsid w:val="00E92774"/>
    <w:rsid w:val="00E94225"/>
    <w:rsid w:val="00E94384"/>
    <w:rsid w:val="00E95331"/>
    <w:rsid w:val="00E96373"/>
    <w:rsid w:val="00E96AA6"/>
    <w:rsid w:val="00E979DE"/>
    <w:rsid w:val="00EA16B6"/>
    <w:rsid w:val="00EA170F"/>
    <w:rsid w:val="00EA24B8"/>
    <w:rsid w:val="00EA3695"/>
    <w:rsid w:val="00EA399C"/>
    <w:rsid w:val="00EA459E"/>
    <w:rsid w:val="00EA47AC"/>
    <w:rsid w:val="00EA5F83"/>
    <w:rsid w:val="00EA6040"/>
    <w:rsid w:val="00EA6293"/>
    <w:rsid w:val="00EB1CD6"/>
    <w:rsid w:val="00EB2163"/>
    <w:rsid w:val="00EB270B"/>
    <w:rsid w:val="00EB30A2"/>
    <w:rsid w:val="00EB3894"/>
    <w:rsid w:val="00EB5261"/>
    <w:rsid w:val="00EB63FC"/>
    <w:rsid w:val="00EC034B"/>
    <w:rsid w:val="00EC342E"/>
    <w:rsid w:val="00EC39C1"/>
    <w:rsid w:val="00EC3E68"/>
    <w:rsid w:val="00EC453D"/>
    <w:rsid w:val="00EC71E4"/>
    <w:rsid w:val="00ED5D26"/>
    <w:rsid w:val="00ED73DB"/>
    <w:rsid w:val="00ED7FF8"/>
    <w:rsid w:val="00EE0A5D"/>
    <w:rsid w:val="00EE1763"/>
    <w:rsid w:val="00EE18C5"/>
    <w:rsid w:val="00EE1907"/>
    <w:rsid w:val="00EE42E7"/>
    <w:rsid w:val="00EE4B1A"/>
    <w:rsid w:val="00EE4F80"/>
    <w:rsid w:val="00EE54F4"/>
    <w:rsid w:val="00EE5A9E"/>
    <w:rsid w:val="00EF2A31"/>
    <w:rsid w:val="00EF3C98"/>
    <w:rsid w:val="00EF4A7B"/>
    <w:rsid w:val="00EF6BE2"/>
    <w:rsid w:val="00EF7F11"/>
    <w:rsid w:val="00F00240"/>
    <w:rsid w:val="00F008E2"/>
    <w:rsid w:val="00F02441"/>
    <w:rsid w:val="00F02B45"/>
    <w:rsid w:val="00F04850"/>
    <w:rsid w:val="00F066C8"/>
    <w:rsid w:val="00F06AA9"/>
    <w:rsid w:val="00F06F6A"/>
    <w:rsid w:val="00F110BC"/>
    <w:rsid w:val="00F1269D"/>
    <w:rsid w:val="00F1684D"/>
    <w:rsid w:val="00F16BE9"/>
    <w:rsid w:val="00F17E17"/>
    <w:rsid w:val="00F206A9"/>
    <w:rsid w:val="00F20990"/>
    <w:rsid w:val="00F20ED2"/>
    <w:rsid w:val="00F225DC"/>
    <w:rsid w:val="00F22772"/>
    <w:rsid w:val="00F227F3"/>
    <w:rsid w:val="00F22E70"/>
    <w:rsid w:val="00F23127"/>
    <w:rsid w:val="00F2368E"/>
    <w:rsid w:val="00F23837"/>
    <w:rsid w:val="00F239F6"/>
    <w:rsid w:val="00F23A29"/>
    <w:rsid w:val="00F24502"/>
    <w:rsid w:val="00F24A81"/>
    <w:rsid w:val="00F2552D"/>
    <w:rsid w:val="00F26457"/>
    <w:rsid w:val="00F266D8"/>
    <w:rsid w:val="00F271A2"/>
    <w:rsid w:val="00F32CC0"/>
    <w:rsid w:val="00F336AE"/>
    <w:rsid w:val="00F357DA"/>
    <w:rsid w:val="00F367EA"/>
    <w:rsid w:val="00F36D4E"/>
    <w:rsid w:val="00F37072"/>
    <w:rsid w:val="00F41042"/>
    <w:rsid w:val="00F41E63"/>
    <w:rsid w:val="00F4390E"/>
    <w:rsid w:val="00F439C8"/>
    <w:rsid w:val="00F43D4E"/>
    <w:rsid w:val="00F444A2"/>
    <w:rsid w:val="00F448B7"/>
    <w:rsid w:val="00F44CB0"/>
    <w:rsid w:val="00F461DD"/>
    <w:rsid w:val="00F475F2"/>
    <w:rsid w:val="00F476C3"/>
    <w:rsid w:val="00F4793F"/>
    <w:rsid w:val="00F508AE"/>
    <w:rsid w:val="00F5139A"/>
    <w:rsid w:val="00F5251E"/>
    <w:rsid w:val="00F5294D"/>
    <w:rsid w:val="00F5318C"/>
    <w:rsid w:val="00F53805"/>
    <w:rsid w:val="00F54EC1"/>
    <w:rsid w:val="00F55A51"/>
    <w:rsid w:val="00F55C45"/>
    <w:rsid w:val="00F570D8"/>
    <w:rsid w:val="00F57659"/>
    <w:rsid w:val="00F57B11"/>
    <w:rsid w:val="00F60818"/>
    <w:rsid w:val="00F609C5"/>
    <w:rsid w:val="00F63AAB"/>
    <w:rsid w:val="00F63FBD"/>
    <w:rsid w:val="00F64C2F"/>
    <w:rsid w:val="00F64EFE"/>
    <w:rsid w:val="00F65D84"/>
    <w:rsid w:val="00F66B6C"/>
    <w:rsid w:val="00F66FA7"/>
    <w:rsid w:val="00F71625"/>
    <w:rsid w:val="00F71C82"/>
    <w:rsid w:val="00F72B3A"/>
    <w:rsid w:val="00F72C36"/>
    <w:rsid w:val="00F744F1"/>
    <w:rsid w:val="00F74EC4"/>
    <w:rsid w:val="00F768D2"/>
    <w:rsid w:val="00F76B2E"/>
    <w:rsid w:val="00F77FF6"/>
    <w:rsid w:val="00F801CE"/>
    <w:rsid w:val="00F80EC8"/>
    <w:rsid w:val="00F81F1B"/>
    <w:rsid w:val="00F82F36"/>
    <w:rsid w:val="00F83C7F"/>
    <w:rsid w:val="00F84BE1"/>
    <w:rsid w:val="00F87025"/>
    <w:rsid w:val="00F8724D"/>
    <w:rsid w:val="00F8799C"/>
    <w:rsid w:val="00F9046C"/>
    <w:rsid w:val="00F91FFF"/>
    <w:rsid w:val="00F93317"/>
    <w:rsid w:val="00F94741"/>
    <w:rsid w:val="00F959C4"/>
    <w:rsid w:val="00F96A37"/>
    <w:rsid w:val="00F975D7"/>
    <w:rsid w:val="00F97996"/>
    <w:rsid w:val="00FA1AB3"/>
    <w:rsid w:val="00FA23E3"/>
    <w:rsid w:val="00FA3E2C"/>
    <w:rsid w:val="00FA4842"/>
    <w:rsid w:val="00FA4E14"/>
    <w:rsid w:val="00FA6A7A"/>
    <w:rsid w:val="00FA7C8E"/>
    <w:rsid w:val="00FB153A"/>
    <w:rsid w:val="00FB297C"/>
    <w:rsid w:val="00FB2AC6"/>
    <w:rsid w:val="00FB38A5"/>
    <w:rsid w:val="00FB57AA"/>
    <w:rsid w:val="00FB5B3D"/>
    <w:rsid w:val="00FB7A82"/>
    <w:rsid w:val="00FC236C"/>
    <w:rsid w:val="00FC527B"/>
    <w:rsid w:val="00FC770F"/>
    <w:rsid w:val="00FC7D77"/>
    <w:rsid w:val="00FD0550"/>
    <w:rsid w:val="00FD06AA"/>
    <w:rsid w:val="00FD09CB"/>
    <w:rsid w:val="00FD0A25"/>
    <w:rsid w:val="00FD0E83"/>
    <w:rsid w:val="00FD0FD5"/>
    <w:rsid w:val="00FD0FFB"/>
    <w:rsid w:val="00FD12CF"/>
    <w:rsid w:val="00FD12D8"/>
    <w:rsid w:val="00FD2AE7"/>
    <w:rsid w:val="00FD36B0"/>
    <w:rsid w:val="00FD4EB5"/>
    <w:rsid w:val="00FD4FC3"/>
    <w:rsid w:val="00FD5560"/>
    <w:rsid w:val="00FD5CC7"/>
    <w:rsid w:val="00FD6761"/>
    <w:rsid w:val="00FD7574"/>
    <w:rsid w:val="00FE00B3"/>
    <w:rsid w:val="00FE02F1"/>
    <w:rsid w:val="00FE0D09"/>
    <w:rsid w:val="00FE117F"/>
    <w:rsid w:val="00FE3214"/>
    <w:rsid w:val="00FE71E5"/>
    <w:rsid w:val="00FE79D8"/>
    <w:rsid w:val="00FF1786"/>
    <w:rsid w:val="00FF22F6"/>
    <w:rsid w:val="00FF29E4"/>
    <w:rsid w:val="00FF5451"/>
    <w:rsid w:val="00FF6A9B"/>
    <w:rsid w:val="00FF6E0E"/>
    <w:rsid w:val="0260890D"/>
    <w:rsid w:val="161CC4DC"/>
    <w:rsid w:val="5874D5DC"/>
    <w:rsid w:val="60A9ABEE"/>
    <w:rsid w:val="6AA034C4"/>
    <w:rsid w:val="6C2DA5DA"/>
    <w:rsid w:val="73B99CC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64772D"/>
  <w15:docId w15:val="{BCDE96A1-C376-4565-8CB8-628497C5D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uiPriority="31" w:qFormat="1"/>
    <w:lsdException w:name="Intense Reference" w:semiHidden="1" w:uiPriority="32" w:unhideWhenUsed="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95918"/>
    <w:pPr>
      <w:spacing w:before="60" w:after="120" w:line="210" w:lineRule="atLeast"/>
      <w:jc w:val="both"/>
    </w:pPr>
    <w:rPr>
      <w:rFonts w:ascii="Cambria" w:hAnsi="Cambria"/>
      <w:sz w:val="22"/>
      <w:szCs w:val="22"/>
      <w:lang w:eastAsia="en-US"/>
    </w:rPr>
  </w:style>
  <w:style w:type="paragraph" w:styleId="Heading1">
    <w:name w:val="heading 1"/>
    <w:aliases w:val="ChapterTitle 1,heading 1"/>
    <w:basedOn w:val="BodyText"/>
    <w:next w:val="BodyText"/>
    <w:link w:val="Heading1Char"/>
    <w:uiPriority w:val="9"/>
    <w:qFormat/>
    <w:rsid w:val="00DB201D"/>
    <w:pPr>
      <w:keepNext/>
      <w:numPr>
        <w:numId w:val="1"/>
      </w:numPr>
      <w:suppressAutoHyphens/>
      <w:spacing w:before="270" w:after="240" w:line="270" w:lineRule="exact"/>
      <w:outlineLvl w:val="0"/>
    </w:pPr>
    <w:rPr>
      <w:b/>
      <w:sz w:val="26"/>
    </w:rPr>
  </w:style>
  <w:style w:type="paragraph" w:styleId="Heading2">
    <w:name w:val="heading 2"/>
    <w:aliases w:val="ChapterTitle 2"/>
    <w:basedOn w:val="Heading1"/>
    <w:next w:val="BodyText"/>
    <w:link w:val="Heading2Char"/>
    <w:uiPriority w:val="9"/>
    <w:qFormat/>
    <w:rsid w:val="00974A37"/>
    <w:pPr>
      <w:numPr>
        <w:ilvl w:val="1"/>
      </w:numPr>
      <w:tabs>
        <w:tab w:val="clear" w:pos="4896"/>
      </w:tabs>
      <w:spacing w:before="240" w:line="250" w:lineRule="exact"/>
      <w:ind w:left="539"/>
      <w:outlineLvl w:val="1"/>
    </w:pPr>
    <w:rPr>
      <w:sz w:val="24"/>
    </w:rPr>
  </w:style>
  <w:style w:type="paragraph" w:styleId="Heading3">
    <w:name w:val="heading 3"/>
    <w:aliases w:val="ChapterTitle 3"/>
    <w:basedOn w:val="Heading1"/>
    <w:next w:val="BodyText"/>
    <w:link w:val="Heading3Char"/>
    <w:uiPriority w:val="9"/>
    <w:qFormat/>
    <w:rsid w:val="006F3A9D"/>
    <w:pPr>
      <w:numPr>
        <w:ilvl w:val="2"/>
      </w:numPr>
      <w:spacing w:before="240" w:line="230" w:lineRule="exact"/>
      <w:outlineLvl w:val="2"/>
    </w:pPr>
    <w:rPr>
      <w:sz w:val="22"/>
    </w:rPr>
  </w:style>
  <w:style w:type="paragraph" w:styleId="Heading4">
    <w:name w:val="heading 4"/>
    <w:aliases w:val="ChapterTitle 4"/>
    <w:basedOn w:val="Heading3"/>
    <w:next w:val="BodyText"/>
    <w:link w:val="Heading4Char"/>
    <w:uiPriority w:val="9"/>
    <w:qFormat/>
    <w:rsid w:val="006F3A9D"/>
    <w:pPr>
      <w:numPr>
        <w:ilvl w:val="3"/>
      </w:numPr>
      <w:tabs>
        <w:tab w:val="clear" w:pos="1080"/>
      </w:tabs>
      <w:outlineLvl w:val="3"/>
    </w:pPr>
  </w:style>
  <w:style w:type="paragraph" w:styleId="Heading5">
    <w:name w:val="heading 5"/>
    <w:aliases w:val="ChapterTitle 5"/>
    <w:basedOn w:val="Heading4"/>
    <w:next w:val="BodyText"/>
    <w:link w:val="Heading5Char"/>
    <w:uiPriority w:val="9"/>
    <w:qFormat/>
    <w:rsid w:val="006F3A9D"/>
    <w:pPr>
      <w:numPr>
        <w:ilvl w:val="4"/>
      </w:numPr>
      <w:outlineLvl w:val="4"/>
    </w:pPr>
  </w:style>
  <w:style w:type="paragraph" w:styleId="Heading6">
    <w:name w:val="heading 6"/>
    <w:basedOn w:val="Heading5"/>
    <w:next w:val="BodyText"/>
    <w:link w:val="Heading6Char"/>
    <w:uiPriority w:val="9"/>
    <w:qFormat/>
    <w:rsid w:val="006F3A9D"/>
    <w:pPr>
      <w:numPr>
        <w:ilvl w:val="5"/>
      </w:numPr>
      <w:tabs>
        <w:tab w:val="clear" w:pos="1440"/>
      </w:tabs>
      <w:outlineLvl w:val="5"/>
    </w:pPr>
  </w:style>
  <w:style w:type="paragraph" w:styleId="Heading7">
    <w:name w:val="heading 7"/>
    <w:basedOn w:val="Heading6"/>
    <w:next w:val="Normal"/>
    <w:link w:val="Heading7Char"/>
    <w:uiPriority w:val="9"/>
    <w:qFormat/>
    <w:rsid w:val="00DB201D"/>
    <w:pPr>
      <w:numPr>
        <w:ilvl w:val="6"/>
      </w:numPr>
      <w:tabs>
        <w:tab w:val="clear" w:pos="1440"/>
      </w:tabs>
      <w:outlineLvl w:val="6"/>
    </w:pPr>
  </w:style>
  <w:style w:type="paragraph" w:styleId="Heading8">
    <w:name w:val="heading 8"/>
    <w:basedOn w:val="Heading6"/>
    <w:next w:val="Normal"/>
    <w:link w:val="Heading8Char"/>
    <w:uiPriority w:val="9"/>
    <w:qFormat/>
    <w:rsid w:val="00DB201D"/>
    <w:pPr>
      <w:numPr>
        <w:ilvl w:val="7"/>
      </w:numPr>
      <w:tabs>
        <w:tab w:val="clear" w:pos="1800"/>
      </w:tabs>
      <w:outlineLvl w:val="7"/>
    </w:pPr>
  </w:style>
  <w:style w:type="paragraph" w:styleId="Heading9">
    <w:name w:val="heading 9"/>
    <w:basedOn w:val="Heading6"/>
    <w:next w:val="Normal"/>
    <w:link w:val="Heading9Char"/>
    <w:uiPriority w:val="9"/>
    <w:qFormat/>
    <w:rsid w:val="00DB201D"/>
    <w:pPr>
      <w:numPr>
        <w:ilvl w:val="8"/>
      </w:numPr>
      <w:tabs>
        <w:tab w:val="clear" w:pos="1800"/>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6F3A9D"/>
    <w:rPr>
      <w:rFonts w:eastAsia="MS Mincho" w:cs="Cambria"/>
      <w:szCs w:val="20"/>
      <w:lang w:eastAsia="fr-FR"/>
    </w:rPr>
  </w:style>
  <w:style w:type="character" w:customStyle="1" w:styleId="BodyTextChar">
    <w:name w:val="Body Text Char"/>
    <w:basedOn w:val="DefaultParagraphFont"/>
    <w:link w:val="BodyText"/>
    <w:uiPriority w:val="99"/>
    <w:rsid w:val="00DD2F5F"/>
    <w:rPr>
      <w:rFonts w:ascii="Cambria" w:eastAsia="MS Mincho" w:hAnsi="Cambria" w:cs="Cambria"/>
      <w:sz w:val="22"/>
      <w:lang w:eastAsia="fr-FR"/>
    </w:rPr>
  </w:style>
  <w:style w:type="character" w:customStyle="1" w:styleId="Heading1Char">
    <w:name w:val="Heading 1 Char"/>
    <w:aliases w:val="ChapterTitle 1 Char,heading 1 Char"/>
    <w:basedOn w:val="DefaultParagraphFont"/>
    <w:link w:val="Heading1"/>
    <w:uiPriority w:val="9"/>
    <w:rsid w:val="00212735"/>
    <w:rPr>
      <w:rFonts w:ascii="Cambria" w:eastAsia="MS Mincho" w:hAnsi="Cambria" w:cs="Cambria"/>
      <w:b/>
      <w:sz w:val="26"/>
      <w:lang w:eastAsia="fr-FR"/>
    </w:rPr>
  </w:style>
  <w:style w:type="character" w:customStyle="1" w:styleId="Heading2Char">
    <w:name w:val="Heading 2 Char"/>
    <w:aliases w:val="ChapterTitle 2 Char"/>
    <w:basedOn w:val="DefaultParagraphFont"/>
    <w:link w:val="Heading2"/>
    <w:uiPriority w:val="9"/>
    <w:rsid w:val="00974A37"/>
    <w:rPr>
      <w:rFonts w:ascii="Cambria" w:eastAsia="MS Mincho" w:hAnsi="Cambria" w:cs="Cambria"/>
      <w:b/>
      <w:sz w:val="24"/>
      <w:lang w:eastAsia="fr-FR"/>
    </w:rPr>
  </w:style>
  <w:style w:type="character" w:customStyle="1" w:styleId="Heading3Char">
    <w:name w:val="Heading 3 Char"/>
    <w:aliases w:val="ChapterTitle 3 Char"/>
    <w:basedOn w:val="DefaultParagraphFont"/>
    <w:link w:val="Heading3"/>
    <w:uiPriority w:val="9"/>
    <w:rsid w:val="006F3A9D"/>
    <w:rPr>
      <w:rFonts w:ascii="Cambria" w:eastAsia="MS Mincho" w:hAnsi="Cambria" w:cs="Cambria"/>
      <w:b/>
      <w:sz w:val="22"/>
      <w:lang w:eastAsia="fr-FR"/>
    </w:rPr>
  </w:style>
  <w:style w:type="character" w:customStyle="1" w:styleId="Heading4Char">
    <w:name w:val="Heading 4 Char"/>
    <w:aliases w:val="ChapterTitle 4 Char"/>
    <w:basedOn w:val="DefaultParagraphFont"/>
    <w:link w:val="Heading4"/>
    <w:uiPriority w:val="9"/>
    <w:rsid w:val="006F3A9D"/>
    <w:rPr>
      <w:rFonts w:ascii="Cambria" w:eastAsia="MS Mincho" w:hAnsi="Cambria" w:cs="Cambria"/>
      <w:b/>
      <w:sz w:val="22"/>
      <w:lang w:eastAsia="fr-FR"/>
    </w:rPr>
  </w:style>
  <w:style w:type="character" w:customStyle="1" w:styleId="Heading5Char">
    <w:name w:val="Heading 5 Char"/>
    <w:aliases w:val="ChapterTitle 5 Char"/>
    <w:basedOn w:val="DefaultParagraphFont"/>
    <w:link w:val="Heading5"/>
    <w:uiPriority w:val="9"/>
    <w:rsid w:val="006F3A9D"/>
    <w:rPr>
      <w:rFonts w:ascii="Cambria" w:eastAsia="MS Mincho" w:hAnsi="Cambria" w:cs="Cambria"/>
      <w:b/>
      <w:sz w:val="22"/>
      <w:lang w:eastAsia="fr-FR"/>
    </w:rPr>
  </w:style>
  <w:style w:type="character" w:customStyle="1" w:styleId="Heading6Char">
    <w:name w:val="Heading 6 Char"/>
    <w:basedOn w:val="DefaultParagraphFont"/>
    <w:link w:val="Heading6"/>
    <w:uiPriority w:val="9"/>
    <w:rsid w:val="006F3A9D"/>
    <w:rPr>
      <w:rFonts w:ascii="Cambria" w:eastAsia="MS Mincho" w:hAnsi="Cambria" w:cs="Cambria"/>
      <w:b/>
      <w:sz w:val="22"/>
      <w:lang w:eastAsia="fr-FR"/>
    </w:rPr>
  </w:style>
  <w:style w:type="character" w:customStyle="1" w:styleId="Heading7Char">
    <w:name w:val="Heading 7 Char"/>
    <w:basedOn w:val="DefaultParagraphFont"/>
    <w:link w:val="Heading7"/>
    <w:uiPriority w:val="9"/>
    <w:rsid w:val="00DB201D"/>
    <w:rPr>
      <w:rFonts w:ascii="Cambria" w:eastAsia="MS Mincho" w:hAnsi="Cambria" w:cs="Cambria"/>
      <w:b/>
      <w:sz w:val="22"/>
      <w:lang w:eastAsia="fr-FR"/>
    </w:rPr>
  </w:style>
  <w:style w:type="character" w:customStyle="1" w:styleId="Heading8Char">
    <w:name w:val="Heading 8 Char"/>
    <w:basedOn w:val="DefaultParagraphFont"/>
    <w:link w:val="Heading8"/>
    <w:uiPriority w:val="9"/>
    <w:rsid w:val="00DB201D"/>
    <w:rPr>
      <w:rFonts w:ascii="Cambria" w:eastAsia="MS Mincho" w:hAnsi="Cambria" w:cs="Cambria"/>
      <w:b/>
      <w:sz w:val="22"/>
      <w:lang w:eastAsia="fr-FR"/>
    </w:rPr>
  </w:style>
  <w:style w:type="character" w:customStyle="1" w:styleId="Heading9Char">
    <w:name w:val="Heading 9 Char"/>
    <w:basedOn w:val="DefaultParagraphFont"/>
    <w:link w:val="Heading9"/>
    <w:uiPriority w:val="9"/>
    <w:rsid w:val="00DB201D"/>
    <w:rPr>
      <w:rFonts w:ascii="Cambria" w:eastAsia="MS Mincho" w:hAnsi="Cambria" w:cs="Cambria"/>
      <w:b/>
      <w:sz w:val="22"/>
      <w:lang w:eastAsia="fr-FR"/>
    </w:rPr>
  </w:style>
  <w:style w:type="paragraph" w:customStyle="1" w:styleId="a2">
    <w:name w:val="a2"/>
    <w:basedOn w:val="Heading2"/>
    <w:next w:val="BodyText"/>
    <w:qFormat/>
    <w:rsid w:val="00DB201D"/>
    <w:pPr>
      <w:numPr>
        <w:numId w:val="2"/>
      </w:numPr>
      <w:spacing w:before="270" w:line="270" w:lineRule="exact"/>
    </w:pPr>
    <w:rPr>
      <w:sz w:val="26"/>
    </w:rPr>
  </w:style>
  <w:style w:type="paragraph" w:customStyle="1" w:styleId="a3">
    <w:name w:val="a3"/>
    <w:basedOn w:val="Heading3"/>
    <w:next w:val="BodyText"/>
    <w:rsid w:val="00DB201D"/>
    <w:pPr>
      <w:numPr>
        <w:numId w:val="2"/>
      </w:numPr>
      <w:spacing w:line="250" w:lineRule="exact"/>
    </w:pPr>
    <w:rPr>
      <w:sz w:val="24"/>
    </w:rPr>
  </w:style>
  <w:style w:type="paragraph" w:customStyle="1" w:styleId="a4">
    <w:name w:val="a4"/>
    <w:basedOn w:val="Heading4"/>
    <w:next w:val="BodyText"/>
    <w:rsid w:val="000D7CD1"/>
    <w:pPr>
      <w:numPr>
        <w:numId w:val="2"/>
      </w:numPr>
      <w:tabs>
        <w:tab w:val="left" w:pos="880"/>
        <w:tab w:val="num" w:pos="1080"/>
      </w:tabs>
      <w:suppressAutoHyphens w:val="0"/>
      <w:spacing w:before="0" w:line="240" w:lineRule="atLeast"/>
      <w:ind w:left="0" w:firstLine="0"/>
      <w:outlineLvl w:val="0"/>
    </w:pPr>
  </w:style>
  <w:style w:type="paragraph" w:customStyle="1" w:styleId="a5">
    <w:name w:val="a5"/>
    <w:basedOn w:val="Heading5"/>
    <w:next w:val="BodyText"/>
    <w:rsid w:val="000D7CD1"/>
    <w:pPr>
      <w:numPr>
        <w:numId w:val="2"/>
      </w:numPr>
      <w:tabs>
        <w:tab w:val="num" w:pos="1080"/>
        <w:tab w:val="left" w:pos="1140"/>
        <w:tab w:val="left" w:pos="1360"/>
      </w:tabs>
      <w:suppressAutoHyphens w:val="0"/>
      <w:spacing w:before="0" w:line="240" w:lineRule="atLeast"/>
      <w:ind w:left="0" w:firstLine="0"/>
      <w:outlineLvl w:val="0"/>
    </w:pPr>
  </w:style>
  <w:style w:type="paragraph" w:customStyle="1" w:styleId="a6">
    <w:name w:val="a6"/>
    <w:basedOn w:val="Heading6"/>
    <w:next w:val="BodyText"/>
    <w:rsid w:val="000D7CD1"/>
    <w:pPr>
      <w:numPr>
        <w:numId w:val="2"/>
      </w:numPr>
      <w:tabs>
        <w:tab w:val="left" w:pos="1140"/>
        <w:tab w:val="left" w:pos="1360"/>
        <w:tab w:val="num" w:pos="1440"/>
      </w:tabs>
      <w:suppressAutoHyphens w:val="0"/>
      <w:spacing w:before="0" w:line="240" w:lineRule="atLeast"/>
      <w:ind w:left="0" w:firstLine="0"/>
      <w:outlineLvl w:val="0"/>
    </w:pPr>
  </w:style>
  <w:style w:type="paragraph" w:customStyle="1" w:styleId="ANNEX">
    <w:name w:val="ANNEX"/>
    <w:basedOn w:val="BodyText"/>
    <w:next w:val="BodyText"/>
    <w:qFormat/>
    <w:rsid w:val="00E1784B"/>
    <w:pPr>
      <w:keepNext/>
      <w:pageBreakBefore/>
      <w:numPr>
        <w:numId w:val="2"/>
      </w:numPr>
      <w:tabs>
        <w:tab w:val="num" w:pos="360"/>
      </w:tabs>
      <w:spacing w:after="760" w:line="310" w:lineRule="exact"/>
      <w:ind w:left="0" w:firstLine="0"/>
      <w:jc w:val="center"/>
      <w:outlineLvl w:val="0"/>
    </w:pPr>
    <w:rPr>
      <w:b/>
      <w:sz w:val="30"/>
    </w:rPr>
  </w:style>
  <w:style w:type="paragraph" w:customStyle="1" w:styleId="Definition">
    <w:name w:val="Definition"/>
    <w:basedOn w:val="BodyText"/>
    <w:rsid w:val="00DB201D"/>
    <w:pPr>
      <w:spacing w:after="240" w:line="230" w:lineRule="atLeast"/>
    </w:pPr>
  </w:style>
  <w:style w:type="paragraph" w:customStyle="1" w:styleId="FigureText">
    <w:name w:val="Figure Text"/>
    <w:basedOn w:val="BodyText"/>
    <w:rsid w:val="00643377"/>
    <w:pPr>
      <w:spacing w:after="240" w:line="240" w:lineRule="atLeast"/>
    </w:pPr>
  </w:style>
  <w:style w:type="paragraph" w:styleId="BodyTextIndent">
    <w:name w:val="Body Text Indent"/>
    <w:basedOn w:val="BodyText"/>
    <w:link w:val="BodyTextIndentChar"/>
    <w:uiPriority w:val="99"/>
    <w:rsid w:val="00643377"/>
    <w:pPr>
      <w:ind w:left="283"/>
    </w:pPr>
  </w:style>
  <w:style w:type="character" w:customStyle="1" w:styleId="BodyTextIndentChar">
    <w:name w:val="Body Text Indent Char"/>
    <w:basedOn w:val="DefaultParagraphFont"/>
    <w:link w:val="BodyTextIndent"/>
    <w:uiPriority w:val="99"/>
    <w:rsid w:val="00DD2F5F"/>
    <w:rPr>
      <w:rFonts w:ascii="Cambria" w:eastAsia="MS Mincho" w:hAnsi="Cambria" w:cs="Cambria"/>
      <w:sz w:val="22"/>
      <w:lang w:eastAsia="fr-FR"/>
    </w:rPr>
  </w:style>
  <w:style w:type="paragraph" w:customStyle="1" w:styleId="Figuretitle">
    <w:name w:val="Figure title"/>
    <w:basedOn w:val="BodyText"/>
    <w:next w:val="BodyText"/>
    <w:qFormat/>
    <w:rsid w:val="00907BE4"/>
    <w:pPr>
      <w:suppressAutoHyphens/>
      <w:spacing w:before="220" w:after="220" w:line="230" w:lineRule="atLeast"/>
      <w:jc w:val="center"/>
    </w:pPr>
    <w:rPr>
      <w:b/>
    </w:rPr>
  </w:style>
  <w:style w:type="paragraph" w:customStyle="1" w:styleId="Note">
    <w:name w:val="Note"/>
    <w:basedOn w:val="BodyText"/>
    <w:next w:val="BodyText"/>
    <w:qFormat/>
    <w:rsid w:val="00DB201D"/>
    <w:pPr>
      <w:tabs>
        <w:tab w:val="left" w:pos="960"/>
      </w:tabs>
      <w:spacing w:after="240"/>
    </w:pPr>
    <w:rPr>
      <w:sz w:val="20"/>
    </w:rPr>
  </w:style>
  <w:style w:type="paragraph" w:styleId="Footer">
    <w:name w:val="footer"/>
    <w:basedOn w:val="Normal"/>
    <w:link w:val="FooterChar"/>
    <w:uiPriority w:val="99"/>
    <w:rsid w:val="00DB201D"/>
    <w:pPr>
      <w:tabs>
        <w:tab w:val="right" w:pos="9752"/>
      </w:tabs>
      <w:spacing w:after="0" w:line="220" w:lineRule="exact"/>
    </w:pPr>
    <w:rPr>
      <w:rFonts w:eastAsia="MS Mincho" w:cs="Cambria"/>
      <w:szCs w:val="20"/>
      <w:lang w:eastAsia="fr-FR"/>
    </w:rPr>
  </w:style>
  <w:style w:type="character" w:customStyle="1" w:styleId="FooterChar">
    <w:name w:val="Footer Char"/>
    <w:basedOn w:val="DefaultParagraphFont"/>
    <w:link w:val="Footer"/>
    <w:uiPriority w:val="99"/>
    <w:rsid w:val="00DB201D"/>
    <w:rPr>
      <w:rFonts w:ascii="Cambria" w:eastAsia="MS Mincho" w:hAnsi="Cambria" w:cs="Cambria"/>
      <w:sz w:val="22"/>
      <w:lang w:eastAsia="fr-FR"/>
    </w:rPr>
  </w:style>
  <w:style w:type="paragraph" w:customStyle="1" w:styleId="RefNorm">
    <w:name w:val="RefNorm"/>
    <w:basedOn w:val="BodyText"/>
    <w:rsid w:val="00643E44"/>
    <w:pPr>
      <w:spacing w:after="240" w:line="230" w:lineRule="atLeast"/>
    </w:pPr>
  </w:style>
  <w:style w:type="paragraph" w:customStyle="1" w:styleId="Tabletitle">
    <w:name w:val="Table title"/>
    <w:basedOn w:val="BodyText"/>
    <w:next w:val="Tableheader"/>
    <w:link w:val="TabletitleChar"/>
    <w:qFormat/>
    <w:rsid w:val="005C0585"/>
    <w:pPr>
      <w:keepNext/>
      <w:suppressAutoHyphens/>
      <w:autoSpaceDE w:val="0"/>
      <w:autoSpaceDN w:val="0"/>
      <w:adjustRightInd w:val="0"/>
      <w:spacing w:before="240" w:line="210" w:lineRule="exact"/>
      <w:jc w:val="center"/>
    </w:pPr>
    <w:rPr>
      <w:b/>
      <w:szCs w:val="24"/>
    </w:rPr>
  </w:style>
  <w:style w:type="paragraph" w:customStyle="1" w:styleId="Tableheader">
    <w:name w:val="Table header"/>
    <w:basedOn w:val="Tablebody"/>
    <w:rsid w:val="00FB57AA"/>
    <w:rPr>
      <w:b/>
    </w:rPr>
  </w:style>
  <w:style w:type="paragraph" w:customStyle="1" w:styleId="Tablebody">
    <w:name w:val="Table body"/>
    <w:basedOn w:val="BodyText"/>
    <w:link w:val="TablebodyChar"/>
    <w:rsid w:val="0000442A"/>
    <w:pPr>
      <w:spacing w:after="60"/>
    </w:pPr>
    <w:rPr>
      <w:rFonts w:eastAsia="Times New Roman"/>
    </w:rPr>
  </w:style>
  <w:style w:type="character" w:customStyle="1" w:styleId="TablebodyChar">
    <w:name w:val="Table body Char"/>
    <w:link w:val="Tablebody"/>
    <w:locked/>
    <w:rsid w:val="00943AE8"/>
    <w:rPr>
      <w:rFonts w:ascii="Cambria" w:eastAsia="Times New Roman" w:hAnsi="Cambria" w:cs="Cambria"/>
      <w:sz w:val="22"/>
      <w:lang w:eastAsia="fr-FR"/>
    </w:rPr>
  </w:style>
  <w:style w:type="character" w:customStyle="1" w:styleId="TabletitleChar">
    <w:name w:val="Table title Char"/>
    <w:link w:val="Tabletitle"/>
    <w:locked/>
    <w:rsid w:val="005C0585"/>
    <w:rPr>
      <w:rFonts w:ascii="Cambria" w:eastAsia="MS Mincho" w:hAnsi="Cambria" w:cs="Cambria"/>
      <w:b/>
      <w:sz w:val="22"/>
      <w:szCs w:val="24"/>
      <w:lang w:eastAsia="fr-FR"/>
    </w:rPr>
  </w:style>
  <w:style w:type="paragraph" w:customStyle="1" w:styleId="Terms">
    <w:name w:val="Term(s)"/>
    <w:basedOn w:val="Normal"/>
    <w:next w:val="Definition"/>
    <w:rsid w:val="00DB201D"/>
    <w:pPr>
      <w:keepNext/>
      <w:suppressAutoHyphens/>
      <w:spacing w:after="0" w:line="230" w:lineRule="atLeast"/>
    </w:pPr>
    <w:rPr>
      <w:rFonts w:eastAsia="MS Mincho" w:cs="Cambria"/>
      <w:b/>
      <w:szCs w:val="20"/>
      <w:lang w:eastAsia="fr-FR"/>
    </w:rPr>
  </w:style>
  <w:style w:type="paragraph" w:customStyle="1" w:styleId="TermNum">
    <w:name w:val="TermNum"/>
    <w:basedOn w:val="Normal"/>
    <w:next w:val="Terms"/>
    <w:rsid w:val="00DB201D"/>
    <w:pPr>
      <w:keepNext/>
      <w:spacing w:after="0" w:line="230" w:lineRule="atLeast"/>
    </w:pPr>
    <w:rPr>
      <w:rFonts w:eastAsia="MS Mincho" w:cs="Cambria"/>
      <w:b/>
      <w:szCs w:val="20"/>
      <w:lang w:eastAsia="fr-FR"/>
    </w:rPr>
  </w:style>
  <w:style w:type="paragraph" w:styleId="TOC1">
    <w:name w:val="toc 1"/>
    <w:basedOn w:val="Normal"/>
    <w:next w:val="Normal"/>
    <w:uiPriority w:val="39"/>
    <w:rsid w:val="00DB201D"/>
    <w:pPr>
      <w:tabs>
        <w:tab w:val="left" w:pos="720"/>
        <w:tab w:val="right" w:leader="dot" w:pos="9752"/>
      </w:tabs>
      <w:suppressAutoHyphens/>
      <w:spacing w:before="120" w:after="0" w:line="230" w:lineRule="atLeast"/>
      <w:ind w:left="720" w:right="500" w:hanging="720"/>
    </w:pPr>
    <w:rPr>
      <w:rFonts w:eastAsia="MS Mincho" w:cs="Cambria"/>
      <w:b/>
      <w:szCs w:val="20"/>
      <w:lang w:eastAsia="fr-FR"/>
    </w:rPr>
  </w:style>
  <w:style w:type="paragraph" w:styleId="TOC2">
    <w:name w:val="toc 2"/>
    <w:basedOn w:val="TOC1"/>
    <w:next w:val="Normal"/>
    <w:uiPriority w:val="39"/>
    <w:rsid w:val="00DB201D"/>
    <w:pPr>
      <w:spacing w:before="0"/>
    </w:pPr>
  </w:style>
  <w:style w:type="paragraph" w:styleId="TOC3">
    <w:name w:val="toc 3"/>
    <w:basedOn w:val="TOC2"/>
    <w:next w:val="Normal"/>
    <w:uiPriority w:val="39"/>
    <w:rsid w:val="00DB201D"/>
  </w:style>
  <w:style w:type="paragraph" w:styleId="TOC9">
    <w:name w:val="toc 9"/>
    <w:basedOn w:val="TOC1"/>
    <w:next w:val="Normal"/>
    <w:uiPriority w:val="39"/>
    <w:rsid w:val="00DB201D"/>
    <w:pPr>
      <w:tabs>
        <w:tab w:val="clear" w:pos="720"/>
      </w:tabs>
      <w:ind w:left="0" w:firstLine="0"/>
    </w:pPr>
  </w:style>
  <w:style w:type="paragraph" w:customStyle="1" w:styleId="zzContents">
    <w:name w:val="zzContents"/>
    <w:basedOn w:val="Normal"/>
    <w:next w:val="TOC1"/>
    <w:rsid w:val="00DB201D"/>
    <w:pPr>
      <w:keepNext/>
      <w:pageBreakBefore/>
      <w:suppressAutoHyphens/>
      <w:spacing w:before="960" w:after="310" w:line="310" w:lineRule="exact"/>
    </w:pPr>
    <w:rPr>
      <w:rFonts w:eastAsia="MS Mincho" w:cs="Cambria"/>
      <w:b/>
      <w:sz w:val="30"/>
      <w:szCs w:val="20"/>
      <w:lang w:eastAsia="fr-FR"/>
    </w:rPr>
  </w:style>
  <w:style w:type="paragraph" w:customStyle="1" w:styleId="zzCover">
    <w:name w:val="zzCover"/>
    <w:basedOn w:val="Normal"/>
    <w:rsid w:val="00DB201D"/>
    <w:pPr>
      <w:spacing w:after="220" w:line="230" w:lineRule="atLeast"/>
      <w:jc w:val="right"/>
    </w:pPr>
    <w:rPr>
      <w:rFonts w:eastAsia="MS Mincho" w:cs="Cambria"/>
      <w:b/>
      <w:color w:val="000000"/>
      <w:sz w:val="26"/>
      <w:szCs w:val="20"/>
      <w:lang w:eastAsia="fr-FR"/>
    </w:rPr>
  </w:style>
  <w:style w:type="table" w:styleId="TableGrid">
    <w:name w:val="Table Grid"/>
    <w:basedOn w:val="TableNormal"/>
    <w:uiPriority w:val="39"/>
    <w:rsid w:val="00DB201D"/>
    <w:rPr>
      <w:rFonts w:ascii="Cambria" w:eastAsia="Cambria" w:hAnsi="Cambria" w:cs="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ewordText">
    <w:name w:val="Foreword Text"/>
    <w:basedOn w:val="BodyText"/>
    <w:rsid w:val="00DB201D"/>
    <w:pPr>
      <w:spacing w:after="240" w:line="240" w:lineRule="atLeast"/>
    </w:pPr>
    <w:rPr>
      <w:sz w:val="23"/>
      <w:szCs w:val="23"/>
    </w:rPr>
  </w:style>
  <w:style w:type="paragraph" w:customStyle="1" w:styleId="ForewordTitle">
    <w:name w:val="Foreword Title"/>
    <w:basedOn w:val="BodyText"/>
    <w:rsid w:val="00DB201D"/>
    <w:pPr>
      <w:keepNext/>
      <w:pageBreakBefore/>
      <w:suppressAutoHyphens/>
      <w:spacing w:before="310" w:after="310" w:line="310" w:lineRule="atLeast"/>
      <w:outlineLvl w:val="0"/>
    </w:pPr>
    <w:rPr>
      <w:rFonts w:eastAsia="Times New Roman"/>
      <w:b/>
      <w:sz w:val="28"/>
    </w:rPr>
  </w:style>
  <w:style w:type="paragraph" w:customStyle="1" w:styleId="IntroTitle">
    <w:name w:val="Intro Title"/>
    <w:basedOn w:val="BodyText"/>
    <w:rsid w:val="00DB201D"/>
    <w:pPr>
      <w:keepNext/>
      <w:pageBreakBefore/>
      <w:suppressAutoHyphens/>
      <w:spacing w:before="310" w:after="310" w:line="310" w:lineRule="atLeast"/>
      <w:outlineLvl w:val="0"/>
    </w:pPr>
    <w:rPr>
      <w:rFonts w:eastAsia="Times New Roman"/>
      <w:b/>
      <w:sz w:val="28"/>
    </w:rPr>
  </w:style>
  <w:style w:type="paragraph" w:customStyle="1" w:styleId="BiblioEntry">
    <w:name w:val="Biblio Entry"/>
    <w:basedOn w:val="BodyText"/>
    <w:link w:val="BiblioEntryChar"/>
    <w:rsid w:val="00907BE4"/>
    <w:pPr>
      <w:autoSpaceDE w:val="0"/>
      <w:autoSpaceDN w:val="0"/>
      <w:adjustRightInd w:val="0"/>
      <w:spacing w:after="240" w:line="240" w:lineRule="atLeast"/>
    </w:pPr>
    <w:rPr>
      <w:szCs w:val="24"/>
    </w:rPr>
  </w:style>
  <w:style w:type="paragraph" w:customStyle="1" w:styleId="KeyTitle">
    <w:name w:val="Key Title"/>
    <w:basedOn w:val="BodyText"/>
    <w:next w:val="KeyText"/>
    <w:rsid w:val="00BB1209"/>
    <w:pPr>
      <w:keepNext/>
      <w:tabs>
        <w:tab w:val="left" w:pos="346"/>
      </w:tabs>
      <w:spacing w:after="60" w:line="220" w:lineRule="atLeast"/>
      <w:ind w:left="346" w:hanging="346"/>
    </w:pPr>
    <w:rPr>
      <w:rFonts w:eastAsia="Times New Roman"/>
      <w:b/>
      <w:sz w:val="18"/>
    </w:rPr>
  </w:style>
  <w:style w:type="paragraph" w:customStyle="1" w:styleId="KeyText">
    <w:name w:val="Key Text"/>
    <w:basedOn w:val="BodyText"/>
    <w:rsid w:val="00DB201D"/>
    <w:pPr>
      <w:tabs>
        <w:tab w:val="left" w:pos="346"/>
      </w:tabs>
      <w:spacing w:after="60" w:line="220" w:lineRule="atLeast"/>
      <w:ind w:left="346" w:hanging="346"/>
    </w:pPr>
    <w:rPr>
      <w:sz w:val="20"/>
    </w:rPr>
  </w:style>
  <w:style w:type="paragraph" w:customStyle="1" w:styleId="FigureImage">
    <w:name w:val="Figure Image"/>
    <w:basedOn w:val="Normal"/>
    <w:rsid w:val="00DB201D"/>
    <w:pPr>
      <w:keepNext/>
      <w:spacing w:before="240" w:line="240" w:lineRule="atLeast"/>
      <w:jc w:val="center"/>
    </w:pPr>
    <w:rPr>
      <w:rFonts w:eastAsia="Times New Roman"/>
    </w:rPr>
  </w:style>
  <w:style w:type="paragraph" w:customStyle="1" w:styleId="BiblioTitle">
    <w:name w:val="Biblio Title"/>
    <w:basedOn w:val="BodyText"/>
    <w:next w:val="BiblioEntry"/>
    <w:rsid w:val="00DB201D"/>
    <w:pPr>
      <w:pageBreakBefore/>
      <w:spacing w:after="760" w:line="280" w:lineRule="atLeast"/>
      <w:jc w:val="center"/>
      <w:outlineLvl w:val="0"/>
    </w:pPr>
    <w:rPr>
      <w:rFonts w:eastAsia="Times New Roman"/>
      <w:b/>
      <w:sz w:val="28"/>
    </w:rPr>
  </w:style>
  <w:style w:type="paragraph" w:customStyle="1" w:styleId="Figurenote">
    <w:name w:val="Figure note"/>
    <w:basedOn w:val="BodyText"/>
    <w:rsid w:val="00DB201D"/>
    <w:pPr>
      <w:tabs>
        <w:tab w:val="left" w:pos="965"/>
      </w:tabs>
      <w:spacing w:after="240" w:line="220" w:lineRule="atLeast"/>
    </w:pPr>
    <w:rPr>
      <w:rFonts w:eastAsia="Times New Roman"/>
      <w:sz w:val="20"/>
    </w:rPr>
  </w:style>
  <w:style w:type="paragraph" w:customStyle="1" w:styleId="Dimension100">
    <w:name w:val="Dimension_100"/>
    <w:basedOn w:val="BodyText"/>
    <w:rsid w:val="00DB201D"/>
    <w:pPr>
      <w:spacing w:after="60" w:line="220" w:lineRule="atLeast"/>
      <w:jc w:val="right"/>
    </w:pPr>
    <w:rPr>
      <w:rFonts w:eastAsia="Times New Roman"/>
      <w:sz w:val="20"/>
    </w:rPr>
  </w:style>
  <w:style w:type="paragraph" w:styleId="BodyTextIndent2">
    <w:name w:val="Body Text Indent 2"/>
    <w:basedOn w:val="BodyText"/>
    <w:link w:val="BodyTextIndent2Char"/>
    <w:uiPriority w:val="99"/>
    <w:semiHidden/>
    <w:unhideWhenUsed/>
    <w:rsid w:val="00643377"/>
    <w:pPr>
      <w:spacing w:line="480" w:lineRule="auto"/>
      <w:ind w:left="283"/>
    </w:pPr>
  </w:style>
  <w:style w:type="character" w:customStyle="1" w:styleId="BodyTextIndent2Char">
    <w:name w:val="Body Text Indent 2 Char"/>
    <w:basedOn w:val="DefaultParagraphFont"/>
    <w:link w:val="BodyTextIndent2"/>
    <w:uiPriority w:val="99"/>
    <w:semiHidden/>
    <w:rsid w:val="00643377"/>
    <w:rPr>
      <w:rFonts w:ascii="Cambria" w:eastAsia="MS Mincho" w:hAnsi="Cambria" w:cs="Cambria"/>
      <w:sz w:val="22"/>
      <w:lang w:eastAsia="fr-FR"/>
    </w:rPr>
  </w:style>
  <w:style w:type="paragraph" w:customStyle="1" w:styleId="Tablefooternote">
    <w:name w:val="Table footer note"/>
    <w:basedOn w:val="BodyText"/>
    <w:qFormat/>
    <w:rsid w:val="00F63AAB"/>
    <w:pPr>
      <w:tabs>
        <w:tab w:val="left" w:pos="346"/>
      </w:tabs>
      <w:spacing w:after="60" w:line="200" w:lineRule="atLeast"/>
    </w:pPr>
    <w:rPr>
      <w:sz w:val="20"/>
    </w:rPr>
  </w:style>
  <w:style w:type="paragraph" w:customStyle="1" w:styleId="Tablefooter">
    <w:name w:val="Table footer"/>
    <w:basedOn w:val="BodyText"/>
    <w:rsid w:val="00F63AAB"/>
    <w:pPr>
      <w:tabs>
        <w:tab w:val="left" w:pos="346"/>
      </w:tabs>
      <w:spacing w:after="60" w:line="200" w:lineRule="atLeast"/>
    </w:pPr>
    <w:rPr>
      <w:sz w:val="20"/>
    </w:rPr>
  </w:style>
  <w:style w:type="paragraph" w:customStyle="1" w:styleId="Formula">
    <w:name w:val="Formula"/>
    <w:basedOn w:val="BodyText"/>
    <w:next w:val="BodyText"/>
    <w:rsid w:val="00BB1209"/>
    <w:pPr>
      <w:tabs>
        <w:tab w:val="right" w:pos="9749"/>
      </w:tabs>
      <w:spacing w:after="220" w:line="240" w:lineRule="atLeast"/>
      <w:ind w:left="403"/>
    </w:pPr>
  </w:style>
  <w:style w:type="paragraph" w:styleId="BodyTextIndent3">
    <w:name w:val="Body Text Indent 3"/>
    <w:basedOn w:val="BodyText"/>
    <w:link w:val="BodyTextIndent3Char"/>
    <w:uiPriority w:val="99"/>
    <w:semiHidden/>
    <w:unhideWhenUsed/>
    <w:rsid w:val="00643377"/>
    <w:pPr>
      <w:ind w:left="283"/>
    </w:pPr>
    <w:rPr>
      <w:szCs w:val="16"/>
    </w:rPr>
  </w:style>
  <w:style w:type="character" w:customStyle="1" w:styleId="BodyTextIndent3Char">
    <w:name w:val="Body Text Indent 3 Char"/>
    <w:basedOn w:val="DefaultParagraphFont"/>
    <w:link w:val="BodyTextIndent3"/>
    <w:uiPriority w:val="99"/>
    <w:semiHidden/>
    <w:rsid w:val="00643377"/>
    <w:rPr>
      <w:rFonts w:ascii="Cambria" w:eastAsia="MS Mincho" w:hAnsi="Cambria" w:cs="Cambria"/>
      <w:sz w:val="22"/>
      <w:szCs w:val="16"/>
      <w:lang w:eastAsia="fr-FR"/>
    </w:rPr>
  </w:style>
  <w:style w:type="paragraph" w:customStyle="1" w:styleId="Dimension75">
    <w:name w:val="Dimension_75"/>
    <w:basedOn w:val="Dimension100"/>
    <w:rsid w:val="00643377"/>
    <w:pPr>
      <w:keepNext/>
      <w:spacing w:before="0"/>
      <w:ind w:right="1253"/>
    </w:pPr>
    <w:rPr>
      <w:rFonts w:eastAsia="Calibri" w:cs="Times New Roman"/>
      <w:szCs w:val="22"/>
      <w:lang w:val="fr-FR" w:eastAsia="en-US"/>
    </w:rPr>
  </w:style>
  <w:style w:type="paragraph" w:customStyle="1" w:styleId="p2">
    <w:name w:val="p2"/>
    <w:basedOn w:val="BodyText"/>
    <w:next w:val="BodyText"/>
    <w:rsid w:val="004F2B29"/>
    <w:pPr>
      <w:tabs>
        <w:tab w:val="left" w:pos="562"/>
      </w:tabs>
      <w:spacing w:after="240" w:line="240" w:lineRule="atLeast"/>
    </w:pPr>
  </w:style>
  <w:style w:type="paragraph" w:customStyle="1" w:styleId="p3">
    <w:name w:val="p3"/>
    <w:basedOn w:val="BodyText"/>
    <w:next w:val="BodyText"/>
    <w:rsid w:val="004F2B29"/>
    <w:pPr>
      <w:tabs>
        <w:tab w:val="left" w:pos="720"/>
      </w:tabs>
      <w:spacing w:after="240" w:line="240" w:lineRule="atLeast"/>
    </w:pPr>
  </w:style>
  <w:style w:type="paragraph" w:customStyle="1" w:styleId="p4">
    <w:name w:val="p4"/>
    <w:basedOn w:val="BodyText"/>
    <w:next w:val="BodyText"/>
    <w:rsid w:val="004F2B29"/>
    <w:pPr>
      <w:tabs>
        <w:tab w:val="left" w:pos="1094"/>
      </w:tabs>
      <w:spacing w:after="240" w:line="240" w:lineRule="atLeast"/>
    </w:pPr>
  </w:style>
  <w:style w:type="paragraph" w:customStyle="1" w:styleId="p5">
    <w:name w:val="p5"/>
    <w:basedOn w:val="BodyText"/>
    <w:next w:val="BodyText"/>
    <w:rsid w:val="004F2B29"/>
    <w:pPr>
      <w:tabs>
        <w:tab w:val="left" w:pos="1094"/>
      </w:tabs>
      <w:spacing w:after="240" w:line="240" w:lineRule="atLeast"/>
    </w:pPr>
  </w:style>
  <w:style w:type="paragraph" w:customStyle="1" w:styleId="p6">
    <w:name w:val="p6"/>
    <w:basedOn w:val="BodyText"/>
    <w:next w:val="BodyText"/>
    <w:rsid w:val="004F2B29"/>
    <w:pPr>
      <w:tabs>
        <w:tab w:val="left" w:pos="1440"/>
      </w:tabs>
      <w:spacing w:after="240" w:line="240" w:lineRule="atLeast"/>
    </w:pPr>
  </w:style>
  <w:style w:type="paragraph" w:customStyle="1" w:styleId="Example">
    <w:name w:val="Example"/>
    <w:basedOn w:val="BodyText"/>
    <w:next w:val="BodyText"/>
    <w:rsid w:val="006F3A9D"/>
    <w:pPr>
      <w:tabs>
        <w:tab w:val="left" w:pos="1354"/>
      </w:tabs>
      <w:spacing w:after="240" w:line="220" w:lineRule="atLeast"/>
    </w:pPr>
    <w:rPr>
      <w:sz w:val="20"/>
    </w:rPr>
  </w:style>
  <w:style w:type="paragraph" w:customStyle="1" w:styleId="Tablebody-">
    <w:name w:val="Table body (-)"/>
    <w:basedOn w:val="Tablebody"/>
    <w:rsid w:val="00643377"/>
    <w:pPr>
      <w:jc w:val="left"/>
    </w:pPr>
    <w:rPr>
      <w:rFonts w:eastAsia="Calibri" w:cs="Times New Roman"/>
      <w:sz w:val="20"/>
      <w:szCs w:val="22"/>
      <w:lang w:eastAsia="en-US"/>
    </w:rPr>
  </w:style>
  <w:style w:type="paragraph" w:customStyle="1" w:styleId="Tablebody--">
    <w:name w:val="Table body (--)"/>
    <w:basedOn w:val="Tablebody"/>
    <w:rsid w:val="00643377"/>
    <w:pPr>
      <w:jc w:val="left"/>
    </w:pPr>
    <w:rPr>
      <w:rFonts w:eastAsia="Calibri" w:cs="Times New Roman"/>
      <w:sz w:val="18"/>
      <w:szCs w:val="22"/>
      <w:lang w:eastAsia="en-US"/>
    </w:rPr>
  </w:style>
  <w:style w:type="paragraph" w:customStyle="1" w:styleId="Tableheader-">
    <w:name w:val="Table header (-)"/>
    <w:basedOn w:val="Tablebody-"/>
    <w:rsid w:val="00643377"/>
  </w:style>
  <w:style w:type="paragraph" w:styleId="FootnoteText">
    <w:name w:val="footnote text"/>
    <w:basedOn w:val="Normal"/>
    <w:link w:val="FootnoteTextChar"/>
    <w:uiPriority w:val="99"/>
    <w:rsid w:val="00171579"/>
    <w:pPr>
      <w:spacing w:after="0" w:line="240" w:lineRule="auto"/>
    </w:pPr>
    <w:rPr>
      <w:sz w:val="20"/>
      <w:szCs w:val="20"/>
    </w:rPr>
  </w:style>
  <w:style w:type="character" w:customStyle="1" w:styleId="FootnoteTextChar">
    <w:name w:val="Footnote Text Char"/>
    <w:basedOn w:val="DefaultParagraphFont"/>
    <w:link w:val="FootnoteText"/>
    <w:uiPriority w:val="99"/>
    <w:rsid w:val="00DD2F5F"/>
    <w:rPr>
      <w:rFonts w:ascii="Cambria" w:hAnsi="Cambria"/>
      <w:lang w:eastAsia="en-US"/>
    </w:rPr>
  </w:style>
  <w:style w:type="character" w:styleId="FootnoteReference">
    <w:name w:val="footnote reference"/>
    <w:basedOn w:val="DefaultParagraphFont"/>
    <w:uiPriority w:val="99"/>
    <w:rsid w:val="00EA399C"/>
    <w:rPr>
      <w:vertAlign w:val="superscript"/>
    </w:rPr>
  </w:style>
  <w:style w:type="paragraph" w:styleId="TOAHeading">
    <w:name w:val="toa heading"/>
    <w:basedOn w:val="Normal"/>
    <w:next w:val="Normal"/>
    <w:uiPriority w:val="99"/>
    <w:semiHidden/>
    <w:rsid w:val="00943AE8"/>
    <w:pPr>
      <w:spacing w:before="120"/>
    </w:pPr>
    <w:rPr>
      <w:rFonts w:asciiTheme="majorHAnsi" w:eastAsiaTheme="majorEastAsia" w:hAnsiTheme="majorHAnsi" w:cstheme="majorBidi"/>
      <w:b/>
      <w:bCs/>
      <w:sz w:val="24"/>
      <w:szCs w:val="24"/>
    </w:rPr>
  </w:style>
  <w:style w:type="paragraph" w:styleId="Signature">
    <w:name w:val="Signature"/>
    <w:basedOn w:val="Normal"/>
    <w:link w:val="SignatureChar"/>
    <w:uiPriority w:val="99"/>
    <w:unhideWhenUsed/>
    <w:rsid w:val="00643377"/>
    <w:pPr>
      <w:spacing w:after="0" w:line="240" w:lineRule="auto"/>
      <w:ind w:left="4252"/>
    </w:pPr>
  </w:style>
  <w:style w:type="character" w:customStyle="1" w:styleId="SignatureChar">
    <w:name w:val="Signature Char"/>
    <w:basedOn w:val="DefaultParagraphFont"/>
    <w:link w:val="Signature"/>
    <w:uiPriority w:val="99"/>
    <w:rsid w:val="00643377"/>
    <w:rPr>
      <w:sz w:val="22"/>
      <w:szCs w:val="22"/>
      <w:lang w:eastAsia="en-US"/>
    </w:rPr>
  </w:style>
  <w:style w:type="paragraph" w:styleId="ListBullet">
    <w:name w:val="List Bullet"/>
    <w:basedOn w:val="BodyText"/>
    <w:uiPriority w:val="99"/>
    <w:rsid w:val="00943AE8"/>
    <w:pPr>
      <w:numPr>
        <w:numId w:val="3"/>
      </w:numPr>
      <w:spacing w:after="240"/>
    </w:pPr>
  </w:style>
  <w:style w:type="paragraph" w:styleId="ListBullet2">
    <w:name w:val="List Bullet 2"/>
    <w:basedOn w:val="BodyText"/>
    <w:uiPriority w:val="99"/>
    <w:rsid w:val="00F63FBD"/>
    <w:pPr>
      <w:numPr>
        <w:numId w:val="4"/>
      </w:numPr>
      <w:spacing w:after="240"/>
      <w:ind w:left="641" w:hanging="357"/>
      <w:contextualSpacing/>
    </w:pPr>
  </w:style>
  <w:style w:type="paragraph" w:customStyle="1" w:styleId="Tableheader--">
    <w:name w:val="Table header (--)"/>
    <w:basedOn w:val="Tablebody--"/>
    <w:rsid w:val="00643377"/>
  </w:style>
  <w:style w:type="paragraph" w:customStyle="1" w:styleId="Code">
    <w:name w:val="Code"/>
    <w:basedOn w:val="Normal"/>
    <w:rsid w:val="006213A5"/>
    <w:pPr>
      <w:spacing w:after="0" w:line="240" w:lineRule="atLeast"/>
    </w:pPr>
    <w:rPr>
      <w:rFonts w:ascii="Courier New" w:hAnsi="Courier New"/>
    </w:rPr>
  </w:style>
  <w:style w:type="paragraph" w:customStyle="1" w:styleId="BodyTextCenter">
    <w:name w:val="Body Text_Center"/>
    <w:basedOn w:val="BodyText"/>
    <w:rsid w:val="006213A5"/>
    <w:pPr>
      <w:spacing w:after="240" w:line="240" w:lineRule="atLeast"/>
      <w:jc w:val="center"/>
    </w:pPr>
  </w:style>
  <w:style w:type="paragraph" w:customStyle="1" w:styleId="BiblioDescription">
    <w:name w:val="Biblio Description"/>
    <w:basedOn w:val="BodyText"/>
    <w:next w:val="BiblioEntry"/>
    <w:rsid w:val="006213A5"/>
    <w:pPr>
      <w:spacing w:after="240" w:line="240" w:lineRule="atLeast"/>
    </w:pPr>
  </w:style>
  <w:style w:type="character" w:styleId="Hyperlink">
    <w:name w:val="Hyperlink"/>
    <w:basedOn w:val="DefaultParagraphFont"/>
    <w:uiPriority w:val="99"/>
    <w:unhideWhenUsed/>
    <w:rsid w:val="00A53290"/>
    <w:rPr>
      <w:color w:val="0000FF" w:themeColor="hyperlink"/>
      <w:u w:val="single"/>
    </w:rPr>
  </w:style>
  <w:style w:type="paragraph" w:styleId="ListBullet3">
    <w:name w:val="List Bullet 3"/>
    <w:basedOn w:val="BodyText"/>
    <w:uiPriority w:val="99"/>
    <w:rsid w:val="00F63FBD"/>
    <w:pPr>
      <w:numPr>
        <w:numId w:val="5"/>
      </w:numPr>
      <w:spacing w:after="240"/>
      <w:ind w:left="924" w:hanging="357"/>
      <w:contextualSpacing/>
    </w:pPr>
  </w:style>
  <w:style w:type="paragraph" w:styleId="ListBullet4">
    <w:name w:val="List Bullet 4"/>
    <w:basedOn w:val="BodyText"/>
    <w:uiPriority w:val="99"/>
    <w:rsid w:val="00F63FBD"/>
    <w:pPr>
      <w:numPr>
        <w:numId w:val="6"/>
      </w:numPr>
      <w:spacing w:after="240"/>
      <w:ind w:left="1208" w:hanging="357"/>
      <w:contextualSpacing/>
    </w:pPr>
  </w:style>
  <w:style w:type="paragraph" w:styleId="ListBullet5">
    <w:name w:val="List Bullet 5"/>
    <w:basedOn w:val="BodyText"/>
    <w:uiPriority w:val="99"/>
    <w:rsid w:val="00F63FBD"/>
    <w:pPr>
      <w:numPr>
        <w:numId w:val="7"/>
      </w:numPr>
      <w:spacing w:after="240"/>
      <w:ind w:left="1491" w:hanging="357"/>
      <w:contextualSpacing/>
    </w:pPr>
  </w:style>
  <w:style w:type="paragraph" w:customStyle="1" w:styleId="ANNEXZ">
    <w:name w:val="ANNEXZ"/>
    <w:basedOn w:val="Normal"/>
    <w:rsid w:val="00642581"/>
    <w:pPr>
      <w:keepNext/>
      <w:pageBreakBefore/>
      <w:numPr>
        <w:numId w:val="13"/>
      </w:numPr>
      <w:autoSpaceDE w:val="0"/>
      <w:autoSpaceDN w:val="0"/>
      <w:adjustRightInd w:val="0"/>
      <w:spacing w:before="0" w:after="760" w:line="310" w:lineRule="exact"/>
      <w:jc w:val="center"/>
      <w:outlineLvl w:val="0"/>
    </w:pPr>
    <w:rPr>
      <w:b/>
      <w:sz w:val="28"/>
      <w:szCs w:val="24"/>
    </w:rPr>
  </w:style>
  <w:style w:type="paragraph" w:customStyle="1" w:styleId="Notice">
    <w:name w:val="Notice"/>
    <w:basedOn w:val="BodyText"/>
    <w:rsid w:val="00FB57AA"/>
    <w:pPr>
      <w:spacing w:after="240" w:line="240" w:lineRule="atLeast"/>
    </w:pPr>
  </w:style>
  <w:style w:type="paragraph" w:styleId="PlainText">
    <w:name w:val="Plain Text"/>
    <w:basedOn w:val="Normal"/>
    <w:link w:val="PlainTextChar"/>
    <w:uiPriority w:val="99"/>
    <w:semiHidden/>
    <w:unhideWhenUsed/>
    <w:rsid w:val="002310B1"/>
    <w:pPr>
      <w:spacing w:after="0" w:line="240" w:lineRule="auto"/>
    </w:pPr>
    <w:rPr>
      <w:rFonts w:ascii="Consolas" w:hAnsi="Consolas"/>
      <w:color w:val="FF0000"/>
      <w:sz w:val="21"/>
      <w:szCs w:val="21"/>
    </w:rPr>
  </w:style>
  <w:style w:type="paragraph" w:customStyle="1" w:styleId="za2">
    <w:name w:val="za2"/>
    <w:basedOn w:val="Normal"/>
    <w:next w:val="BodyText"/>
    <w:link w:val="za2Char"/>
    <w:rsid w:val="00642581"/>
    <w:pPr>
      <w:keepNext/>
      <w:numPr>
        <w:ilvl w:val="1"/>
        <w:numId w:val="13"/>
      </w:numPr>
      <w:tabs>
        <w:tab w:val="left" w:pos="499"/>
        <w:tab w:val="left" w:pos="720"/>
      </w:tabs>
      <w:spacing w:before="270" w:after="240" w:line="270" w:lineRule="exact"/>
      <w:jc w:val="left"/>
      <w:outlineLvl w:val="0"/>
    </w:pPr>
    <w:rPr>
      <w:b/>
      <w:sz w:val="26"/>
    </w:rPr>
  </w:style>
  <w:style w:type="character" w:customStyle="1" w:styleId="za2Char">
    <w:name w:val="za2 Char"/>
    <w:basedOn w:val="DefaultParagraphFont"/>
    <w:link w:val="za2"/>
    <w:rsid w:val="006E3CA9"/>
    <w:rPr>
      <w:rFonts w:ascii="Cambria" w:hAnsi="Cambria"/>
      <w:b/>
      <w:sz w:val="26"/>
      <w:szCs w:val="22"/>
      <w:lang w:eastAsia="en-US"/>
    </w:rPr>
  </w:style>
  <w:style w:type="paragraph" w:customStyle="1" w:styleId="za3">
    <w:name w:val="za3"/>
    <w:basedOn w:val="Normal"/>
    <w:link w:val="za3Char"/>
    <w:rsid w:val="00642581"/>
    <w:pPr>
      <w:keepNext/>
      <w:numPr>
        <w:ilvl w:val="2"/>
        <w:numId w:val="13"/>
      </w:numPr>
      <w:tabs>
        <w:tab w:val="left" w:pos="851"/>
      </w:tabs>
      <w:spacing w:before="0" w:after="240" w:line="250" w:lineRule="exact"/>
      <w:jc w:val="left"/>
      <w:outlineLvl w:val="0"/>
    </w:pPr>
    <w:rPr>
      <w:b/>
      <w:sz w:val="24"/>
    </w:rPr>
  </w:style>
  <w:style w:type="character" w:customStyle="1" w:styleId="za3Char">
    <w:name w:val="za3 Char"/>
    <w:basedOn w:val="Heading2Char"/>
    <w:link w:val="za3"/>
    <w:rsid w:val="00B03E87"/>
    <w:rPr>
      <w:rFonts w:ascii="Cambria" w:eastAsia="MS Mincho" w:hAnsi="Cambria" w:cs="Cambria"/>
      <w:b/>
      <w:sz w:val="24"/>
      <w:szCs w:val="22"/>
      <w:lang w:eastAsia="en-US"/>
    </w:rPr>
  </w:style>
  <w:style w:type="paragraph" w:customStyle="1" w:styleId="za4">
    <w:name w:val="za4"/>
    <w:basedOn w:val="Normal"/>
    <w:link w:val="za4Char"/>
    <w:rsid w:val="00642581"/>
    <w:pPr>
      <w:keepNext/>
      <w:numPr>
        <w:ilvl w:val="3"/>
        <w:numId w:val="13"/>
      </w:numPr>
      <w:tabs>
        <w:tab w:val="left" w:pos="992"/>
      </w:tabs>
      <w:spacing w:before="0" w:after="240" w:line="240" w:lineRule="atLeast"/>
      <w:jc w:val="left"/>
      <w:outlineLvl w:val="0"/>
    </w:pPr>
    <w:rPr>
      <w:b/>
    </w:rPr>
  </w:style>
  <w:style w:type="character" w:customStyle="1" w:styleId="za4Char">
    <w:name w:val="za4 Char"/>
    <w:basedOn w:val="BodyTextChar"/>
    <w:link w:val="za4"/>
    <w:rsid w:val="00A670FA"/>
    <w:rPr>
      <w:rFonts w:ascii="Cambria" w:eastAsia="MS Mincho" w:hAnsi="Cambria" w:cs="Cambria"/>
      <w:b/>
      <w:sz w:val="22"/>
      <w:szCs w:val="22"/>
      <w:lang w:eastAsia="en-US"/>
    </w:rPr>
  </w:style>
  <w:style w:type="paragraph" w:customStyle="1" w:styleId="za5">
    <w:name w:val="za5"/>
    <w:basedOn w:val="Normal"/>
    <w:rsid w:val="00642581"/>
    <w:pPr>
      <w:keepNext/>
      <w:numPr>
        <w:ilvl w:val="4"/>
        <w:numId w:val="13"/>
      </w:numPr>
      <w:tabs>
        <w:tab w:val="left" w:pos="1106"/>
      </w:tabs>
      <w:spacing w:before="0" w:after="240" w:line="240" w:lineRule="atLeast"/>
      <w:jc w:val="left"/>
      <w:outlineLvl w:val="0"/>
    </w:pPr>
    <w:rPr>
      <w:b/>
    </w:rPr>
  </w:style>
  <w:style w:type="paragraph" w:customStyle="1" w:styleId="za6">
    <w:name w:val="za6"/>
    <w:basedOn w:val="Normal"/>
    <w:next w:val="BodyText"/>
    <w:rsid w:val="00642581"/>
    <w:pPr>
      <w:keepNext/>
      <w:numPr>
        <w:ilvl w:val="5"/>
        <w:numId w:val="13"/>
      </w:numPr>
      <w:tabs>
        <w:tab w:val="left" w:pos="1219"/>
      </w:tabs>
      <w:spacing w:before="0" w:after="240" w:line="240" w:lineRule="atLeast"/>
      <w:jc w:val="left"/>
      <w:outlineLvl w:val="0"/>
    </w:pPr>
    <w:rPr>
      <w:b/>
    </w:rPr>
  </w:style>
  <w:style w:type="paragraph" w:styleId="BalloonText">
    <w:name w:val="Balloon Text"/>
    <w:basedOn w:val="ForewordText"/>
    <w:link w:val="BalloonTextChar"/>
    <w:uiPriority w:val="99"/>
    <w:semiHidden/>
    <w:rsid w:val="00643E44"/>
    <w:pPr>
      <w:autoSpaceDE w:val="0"/>
      <w:autoSpaceDN w:val="0"/>
      <w:adjustRightInd w:val="0"/>
      <w:spacing w:after="200"/>
    </w:pPr>
    <w:rPr>
      <w:color w:val="FF0000"/>
      <w:sz w:val="22"/>
      <w:szCs w:val="22"/>
    </w:rPr>
  </w:style>
  <w:style w:type="character" w:customStyle="1" w:styleId="BalloonTextChar">
    <w:name w:val="Balloon Text Char"/>
    <w:basedOn w:val="DefaultParagraphFont"/>
    <w:link w:val="BalloonText"/>
    <w:uiPriority w:val="99"/>
    <w:semiHidden/>
    <w:rsid w:val="00DD2F5F"/>
    <w:rPr>
      <w:rFonts w:ascii="Cambria" w:eastAsia="MS Mincho" w:hAnsi="Cambria" w:cs="Cambria"/>
      <w:color w:val="FF0000"/>
      <w:sz w:val="22"/>
      <w:szCs w:val="22"/>
      <w:lang w:eastAsia="fr-FR"/>
    </w:rPr>
  </w:style>
  <w:style w:type="paragraph" w:styleId="Bibliography">
    <w:name w:val="Bibliography"/>
    <w:basedOn w:val="Normal"/>
    <w:next w:val="Normal"/>
    <w:uiPriority w:val="37"/>
    <w:semiHidden/>
    <w:rsid w:val="00643E44"/>
    <w:rPr>
      <w:color w:val="FF0000"/>
    </w:rPr>
  </w:style>
  <w:style w:type="character" w:styleId="SubtleReference">
    <w:name w:val="Subtle Reference"/>
    <w:basedOn w:val="DefaultParagraphFont"/>
    <w:uiPriority w:val="31"/>
    <w:semiHidden/>
    <w:qFormat/>
    <w:rsid w:val="00643E44"/>
    <w:rPr>
      <w:smallCaps/>
      <w:color w:val="C0504D" w:themeColor="accent2"/>
      <w:u w:val="single"/>
    </w:rPr>
  </w:style>
  <w:style w:type="paragraph" w:styleId="BodyText2">
    <w:name w:val="Body Text 2"/>
    <w:basedOn w:val="Normal"/>
    <w:link w:val="BodyText2Char"/>
    <w:uiPriority w:val="99"/>
    <w:semiHidden/>
    <w:unhideWhenUsed/>
    <w:rsid w:val="00643E44"/>
    <w:pPr>
      <w:spacing w:line="480" w:lineRule="auto"/>
    </w:pPr>
    <w:rPr>
      <w:color w:val="FF0000"/>
    </w:rPr>
  </w:style>
  <w:style w:type="character" w:customStyle="1" w:styleId="BodyText2Char">
    <w:name w:val="Body Text 2 Char"/>
    <w:basedOn w:val="DefaultParagraphFont"/>
    <w:link w:val="BodyText2"/>
    <w:uiPriority w:val="99"/>
    <w:semiHidden/>
    <w:rsid w:val="00643E44"/>
    <w:rPr>
      <w:color w:val="FF0000"/>
      <w:sz w:val="22"/>
      <w:szCs w:val="22"/>
      <w:lang w:eastAsia="en-US"/>
    </w:rPr>
  </w:style>
  <w:style w:type="paragraph" w:styleId="BodyText3">
    <w:name w:val="Body Text 3"/>
    <w:basedOn w:val="Normal"/>
    <w:link w:val="BodyText3Char"/>
    <w:uiPriority w:val="99"/>
    <w:semiHidden/>
    <w:unhideWhenUsed/>
    <w:rsid w:val="00643E44"/>
    <w:rPr>
      <w:color w:val="FF0000"/>
      <w:sz w:val="16"/>
      <w:szCs w:val="16"/>
    </w:rPr>
  </w:style>
  <w:style w:type="character" w:customStyle="1" w:styleId="BodyText3Char">
    <w:name w:val="Body Text 3 Char"/>
    <w:basedOn w:val="DefaultParagraphFont"/>
    <w:link w:val="BodyText3"/>
    <w:uiPriority w:val="99"/>
    <w:semiHidden/>
    <w:rsid w:val="00643E44"/>
    <w:rPr>
      <w:color w:val="FF0000"/>
      <w:sz w:val="16"/>
      <w:szCs w:val="16"/>
      <w:lang w:eastAsia="en-US"/>
    </w:rPr>
  </w:style>
  <w:style w:type="paragraph" w:styleId="BodyTextFirstIndent">
    <w:name w:val="Body Text First Indent"/>
    <w:basedOn w:val="BodyText"/>
    <w:link w:val="BodyTextFirstIndentChar"/>
    <w:uiPriority w:val="99"/>
    <w:semiHidden/>
    <w:unhideWhenUsed/>
    <w:rsid w:val="00643E44"/>
    <w:pPr>
      <w:spacing w:before="0" w:after="200" w:line="276" w:lineRule="auto"/>
      <w:ind w:firstLine="360"/>
      <w:jc w:val="left"/>
    </w:pPr>
    <w:rPr>
      <w:rFonts w:ascii="Calibri" w:eastAsia="Calibri" w:hAnsi="Calibri" w:cs="Times New Roman"/>
      <w:color w:val="FF0000"/>
      <w:szCs w:val="22"/>
      <w:lang w:eastAsia="en-US"/>
    </w:rPr>
  </w:style>
  <w:style w:type="character" w:customStyle="1" w:styleId="BodyTextFirstIndentChar">
    <w:name w:val="Body Text First Indent Char"/>
    <w:basedOn w:val="BodyTextChar"/>
    <w:link w:val="BodyTextFirstIndent"/>
    <w:uiPriority w:val="99"/>
    <w:semiHidden/>
    <w:rsid w:val="00643E44"/>
    <w:rPr>
      <w:rFonts w:ascii="Cambria" w:eastAsia="MS Mincho" w:hAnsi="Cambria" w:cs="Cambria"/>
      <w:color w:val="FF0000"/>
      <w:sz w:val="22"/>
      <w:szCs w:val="22"/>
      <w:lang w:eastAsia="en-US"/>
    </w:rPr>
  </w:style>
  <w:style w:type="paragraph" w:styleId="BodyTextFirstIndent2">
    <w:name w:val="Body Text First Indent 2"/>
    <w:basedOn w:val="BodyTextIndent"/>
    <w:link w:val="BodyTextFirstIndent2Char"/>
    <w:uiPriority w:val="99"/>
    <w:semiHidden/>
    <w:unhideWhenUsed/>
    <w:rsid w:val="00643E44"/>
    <w:pPr>
      <w:spacing w:before="0" w:after="200" w:line="276" w:lineRule="auto"/>
      <w:ind w:left="360" w:firstLine="360"/>
      <w:jc w:val="left"/>
    </w:pPr>
    <w:rPr>
      <w:rFonts w:ascii="Calibri" w:eastAsia="Calibri" w:hAnsi="Calibri" w:cs="Times New Roman"/>
      <w:color w:val="FF0000"/>
      <w:szCs w:val="22"/>
      <w:lang w:eastAsia="en-US"/>
    </w:rPr>
  </w:style>
  <w:style w:type="character" w:customStyle="1" w:styleId="BodyTextFirstIndent2Char">
    <w:name w:val="Body Text First Indent 2 Char"/>
    <w:basedOn w:val="BodyTextIndentChar"/>
    <w:link w:val="BodyTextFirstIndent2"/>
    <w:uiPriority w:val="99"/>
    <w:semiHidden/>
    <w:rsid w:val="00643E44"/>
    <w:rPr>
      <w:rFonts w:ascii="Cambria" w:eastAsia="MS Mincho" w:hAnsi="Cambria" w:cs="Cambria"/>
      <w:color w:val="FF0000"/>
      <w:sz w:val="22"/>
      <w:szCs w:val="22"/>
      <w:lang w:eastAsia="en-US"/>
    </w:rPr>
  </w:style>
  <w:style w:type="character" w:customStyle="1" w:styleId="PlainTextChar">
    <w:name w:val="Plain Text Char"/>
    <w:basedOn w:val="DefaultParagraphFont"/>
    <w:link w:val="PlainText"/>
    <w:uiPriority w:val="99"/>
    <w:semiHidden/>
    <w:rsid w:val="002310B1"/>
    <w:rPr>
      <w:rFonts w:ascii="Consolas" w:hAnsi="Consolas"/>
      <w:color w:val="FF0000"/>
      <w:sz w:val="21"/>
      <w:szCs w:val="21"/>
      <w:lang w:eastAsia="en-US"/>
    </w:rPr>
  </w:style>
  <w:style w:type="paragraph" w:styleId="Header">
    <w:name w:val="header"/>
    <w:basedOn w:val="Normal"/>
    <w:link w:val="HeaderChar"/>
    <w:uiPriority w:val="99"/>
    <w:unhideWhenUsed/>
    <w:rsid w:val="00FB7A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2F5F"/>
    <w:rPr>
      <w:rFonts w:ascii="Cambria" w:hAnsi="Cambria"/>
      <w:sz w:val="22"/>
      <w:szCs w:val="22"/>
      <w:lang w:eastAsia="en-US"/>
    </w:rPr>
  </w:style>
  <w:style w:type="paragraph" w:styleId="ListNumber">
    <w:name w:val="List Number"/>
    <w:basedOn w:val="BodyText"/>
    <w:uiPriority w:val="99"/>
    <w:qFormat/>
    <w:rsid w:val="00726D50"/>
    <w:pPr>
      <w:numPr>
        <w:numId w:val="9"/>
      </w:numPr>
      <w:contextualSpacing/>
    </w:pPr>
  </w:style>
  <w:style w:type="paragraph" w:styleId="ListContinue">
    <w:name w:val="List Continue"/>
    <w:basedOn w:val="Normal"/>
    <w:uiPriority w:val="99"/>
    <w:unhideWhenUsed/>
    <w:qFormat/>
    <w:rsid w:val="00E76401"/>
    <w:pPr>
      <w:ind w:left="283"/>
      <w:contextualSpacing/>
    </w:pPr>
  </w:style>
  <w:style w:type="paragraph" w:styleId="ListContinue2">
    <w:name w:val="List Continue 2"/>
    <w:basedOn w:val="Normal"/>
    <w:uiPriority w:val="99"/>
    <w:unhideWhenUsed/>
    <w:rsid w:val="000B07C2"/>
    <w:pPr>
      <w:ind w:left="566"/>
      <w:contextualSpacing/>
    </w:pPr>
  </w:style>
  <w:style w:type="paragraph" w:styleId="ListContinue3">
    <w:name w:val="List Continue 3"/>
    <w:basedOn w:val="Normal"/>
    <w:uiPriority w:val="99"/>
    <w:unhideWhenUsed/>
    <w:rsid w:val="000B07C2"/>
    <w:pPr>
      <w:ind w:left="849"/>
      <w:contextualSpacing/>
    </w:pPr>
  </w:style>
  <w:style w:type="paragraph" w:styleId="ListContinue4">
    <w:name w:val="List Continue 4"/>
    <w:basedOn w:val="Normal"/>
    <w:uiPriority w:val="99"/>
    <w:unhideWhenUsed/>
    <w:rsid w:val="000B07C2"/>
    <w:pPr>
      <w:ind w:left="1132"/>
      <w:contextualSpacing/>
    </w:pPr>
  </w:style>
  <w:style w:type="paragraph" w:styleId="ListContinue5">
    <w:name w:val="List Continue 5"/>
    <w:basedOn w:val="Normal"/>
    <w:uiPriority w:val="99"/>
    <w:semiHidden/>
    <w:unhideWhenUsed/>
    <w:rsid w:val="000B07C2"/>
    <w:pPr>
      <w:ind w:left="1415"/>
      <w:contextualSpacing/>
    </w:pPr>
  </w:style>
  <w:style w:type="paragraph" w:styleId="ListNumber2">
    <w:name w:val="List Number 2"/>
    <w:basedOn w:val="BodyText"/>
    <w:uiPriority w:val="99"/>
    <w:rsid w:val="00726D50"/>
    <w:pPr>
      <w:numPr>
        <w:numId w:val="10"/>
      </w:numPr>
      <w:contextualSpacing/>
    </w:pPr>
  </w:style>
  <w:style w:type="paragraph" w:styleId="ListNumber3">
    <w:name w:val="List Number 3"/>
    <w:basedOn w:val="BodyText"/>
    <w:uiPriority w:val="99"/>
    <w:rsid w:val="00726D50"/>
    <w:pPr>
      <w:numPr>
        <w:numId w:val="11"/>
      </w:numPr>
      <w:contextualSpacing/>
    </w:pPr>
  </w:style>
  <w:style w:type="paragraph" w:styleId="ListNumber4">
    <w:name w:val="List Number 4"/>
    <w:basedOn w:val="BodyText"/>
    <w:uiPriority w:val="99"/>
    <w:rsid w:val="00726D50"/>
    <w:pPr>
      <w:numPr>
        <w:numId w:val="12"/>
      </w:numPr>
      <w:contextualSpacing/>
    </w:pPr>
  </w:style>
  <w:style w:type="paragraph" w:styleId="ListNumber5">
    <w:name w:val="List Number 5"/>
    <w:basedOn w:val="BodyText"/>
    <w:uiPriority w:val="99"/>
    <w:rsid w:val="00726D50"/>
    <w:pPr>
      <w:numPr>
        <w:numId w:val="8"/>
      </w:numPr>
      <w:contextualSpacing/>
    </w:pPr>
  </w:style>
  <w:style w:type="character" w:customStyle="1" w:styleId="NOTEZchn">
    <w:name w:val="NOTE Zchn"/>
    <w:link w:val="NOTE0"/>
    <w:semiHidden/>
    <w:locked/>
    <w:rsid w:val="00DD2F5F"/>
    <w:rPr>
      <w:rFonts w:ascii="Arial" w:eastAsia="Times New Roman" w:hAnsi="Arial" w:cs="Arial"/>
      <w:spacing w:val="8"/>
      <w:sz w:val="16"/>
      <w:szCs w:val="16"/>
      <w:lang w:eastAsia="zh-CN"/>
    </w:rPr>
  </w:style>
  <w:style w:type="paragraph" w:customStyle="1" w:styleId="NOTE0">
    <w:name w:val="NOTE"/>
    <w:basedOn w:val="Normal"/>
    <w:next w:val="Normal"/>
    <w:link w:val="NOTEZchn"/>
    <w:semiHidden/>
    <w:qFormat/>
    <w:rsid w:val="00E541D3"/>
    <w:pPr>
      <w:snapToGrid w:val="0"/>
      <w:spacing w:before="100" w:after="100" w:line="240" w:lineRule="auto"/>
    </w:pPr>
    <w:rPr>
      <w:rFonts w:ascii="Arial" w:eastAsia="Times New Roman" w:hAnsi="Arial" w:cs="Arial"/>
      <w:spacing w:val="8"/>
      <w:sz w:val="16"/>
      <w:szCs w:val="16"/>
      <w:lang w:eastAsia="zh-CN"/>
    </w:rPr>
  </w:style>
  <w:style w:type="character" w:styleId="FollowedHyperlink">
    <w:name w:val="FollowedHyperlink"/>
    <w:basedOn w:val="DefaultParagraphFont"/>
    <w:uiPriority w:val="99"/>
    <w:unhideWhenUsed/>
    <w:rsid w:val="00394985"/>
    <w:rPr>
      <w:color w:val="800080" w:themeColor="followedHyperlink"/>
      <w:u w:val="single"/>
    </w:rPr>
  </w:style>
  <w:style w:type="paragraph" w:customStyle="1" w:styleId="Foreword">
    <w:name w:val="Foreword"/>
    <w:basedOn w:val="Normal"/>
    <w:next w:val="Normal"/>
    <w:rsid w:val="00550AA1"/>
    <w:pPr>
      <w:spacing w:before="0" w:after="240" w:line="230" w:lineRule="atLeast"/>
    </w:pPr>
    <w:rPr>
      <w:rFonts w:eastAsia="MS Mincho" w:cs="Cambria"/>
      <w:color w:val="0000FF"/>
      <w:szCs w:val="20"/>
      <w:lang w:eastAsia="fr-FR"/>
    </w:rPr>
  </w:style>
  <w:style w:type="paragraph" w:styleId="ListParagraph">
    <w:name w:val="List Paragraph"/>
    <w:aliases w:val="Listings,table"/>
    <w:basedOn w:val="Normal"/>
    <w:link w:val="ListParagraphChar"/>
    <w:uiPriority w:val="34"/>
    <w:qFormat/>
    <w:rsid w:val="00FE02F1"/>
    <w:pPr>
      <w:spacing w:before="0" w:after="240" w:line="230" w:lineRule="atLeast"/>
      <w:ind w:left="720"/>
      <w:contextualSpacing/>
    </w:pPr>
    <w:rPr>
      <w:rFonts w:eastAsia="MS Mincho" w:cs="Cambria"/>
      <w:szCs w:val="20"/>
      <w:lang w:eastAsia="fr-FR"/>
    </w:rPr>
  </w:style>
  <w:style w:type="paragraph" w:customStyle="1" w:styleId="Clause">
    <w:name w:val="Clause"/>
    <w:basedOn w:val="BodyText"/>
    <w:link w:val="ClauseChar"/>
    <w:qFormat/>
    <w:rsid w:val="000B3EA0"/>
    <w:pPr>
      <w:numPr>
        <w:numId w:val="523"/>
      </w:numPr>
      <w:autoSpaceDE w:val="0"/>
      <w:autoSpaceDN w:val="0"/>
      <w:adjustRightInd w:val="0"/>
      <w:spacing w:before="240" w:after="240" w:line="230" w:lineRule="atLeast"/>
    </w:pPr>
    <w:rPr>
      <w:color w:val="000000" w:themeColor="text1"/>
    </w:rPr>
  </w:style>
  <w:style w:type="paragraph" w:customStyle="1" w:styleId="Listofsymbols">
    <w:name w:val="List of symbols"/>
    <w:basedOn w:val="Normal"/>
    <w:qFormat/>
    <w:rsid w:val="00887F44"/>
    <w:pPr>
      <w:tabs>
        <w:tab w:val="left" w:pos="1134"/>
      </w:tabs>
      <w:ind w:left="1134" w:hanging="1134"/>
    </w:pPr>
    <w:rPr>
      <w:rFonts w:eastAsia="MS Mincho" w:cs="Cambria"/>
      <w:szCs w:val="20"/>
      <w:lang w:eastAsia="fr-FR"/>
    </w:rPr>
  </w:style>
  <w:style w:type="character" w:customStyle="1" w:styleId="ClauseChar">
    <w:name w:val="Clause Char"/>
    <w:basedOn w:val="BodyTextChar"/>
    <w:link w:val="Clause"/>
    <w:rsid w:val="000B3EA0"/>
    <w:rPr>
      <w:rFonts w:ascii="Cambria" w:eastAsia="MS Mincho" w:hAnsi="Cambria" w:cs="Cambria"/>
      <w:color w:val="000000" w:themeColor="text1"/>
      <w:sz w:val="22"/>
      <w:lang w:eastAsia="fr-FR"/>
    </w:rPr>
  </w:style>
  <w:style w:type="paragraph" w:customStyle="1" w:styleId="Text">
    <w:name w:val="Text"/>
    <w:basedOn w:val="BodyText"/>
    <w:link w:val="TextChar"/>
    <w:qFormat/>
    <w:rsid w:val="00590499"/>
  </w:style>
  <w:style w:type="character" w:styleId="PlaceholderText">
    <w:name w:val="Placeholder Text"/>
    <w:basedOn w:val="DefaultParagraphFont"/>
    <w:uiPriority w:val="99"/>
    <w:semiHidden/>
    <w:rsid w:val="00512357"/>
    <w:rPr>
      <w:color w:val="808080"/>
    </w:rPr>
  </w:style>
  <w:style w:type="character" w:customStyle="1" w:styleId="TextChar">
    <w:name w:val="Text Char"/>
    <w:basedOn w:val="BodyTextChar"/>
    <w:link w:val="Text"/>
    <w:rsid w:val="00590499"/>
    <w:rPr>
      <w:rFonts w:ascii="Cambria" w:eastAsia="MS Mincho" w:hAnsi="Cambria" w:cs="Cambria"/>
      <w:sz w:val="22"/>
      <w:lang w:eastAsia="fr-FR"/>
    </w:rPr>
  </w:style>
  <w:style w:type="paragraph" w:customStyle="1" w:styleId="Notetext">
    <w:name w:val="Note text"/>
    <w:basedOn w:val="BodyText"/>
    <w:link w:val="NotetextChar"/>
    <w:qFormat/>
    <w:rsid w:val="00557E8C"/>
    <w:pPr>
      <w:autoSpaceDE w:val="0"/>
      <w:autoSpaceDN w:val="0"/>
      <w:adjustRightInd w:val="0"/>
    </w:pPr>
    <w:rPr>
      <w:sz w:val="20"/>
    </w:rPr>
  </w:style>
  <w:style w:type="paragraph" w:customStyle="1" w:styleId="note1">
    <w:name w:val="note"/>
    <w:basedOn w:val="Normal"/>
    <w:autoRedefine/>
    <w:uiPriority w:val="1"/>
    <w:qFormat/>
    <w:rsid w:val="002D111D"/>
    <w:pPr>
      <w:widowControl w:val="0"/>
      <w:spacing w:before="120" w:after="240" w:line="240" w:lineRule="auto"/>
    </w:pPr>
    <w:rPr>
      <w:color w:val="000000" w:themeColor="text1"/>
      <w:spacing w:val="-1"/>
      <w:sz w:val="20"/>
    </w:rPr>
  </w:style>
  <w:style w:type="character" w:customStyle="1" w:styleId="NotetextChar">
    <w:name w:val="Note text Char"/>
    <w:basedOn w:val="BodyTextChar"/>
    <w:link w:val="Notetext"/>
    <w:rsid w:val="00557E8C"/>
    <w:rPr>
      <w:rFonts w:ascii="Cambria" w:eastAsia="MS Mincho" w:hAnsi="Cambria" w:cs="Cambria"/>
      <w:sz w:val="22"/>
      <w:lang w:eastAsia="fr-FR"/>
    </w:rPr>
  </w:style>
  <w:style w:type="paragraph" w:customStyle="1" w:styleId="clause0">
    <w:name w:val="clause"/>
    <w:basedOn w:val="BodyText"/>
    <w:link w:val="clauseCar1"/>
    <w:autoRedefine/>
    <w:uiPriority w:val="1"/>
    <w:qFormat/>
    <w:rsid w:val="00F36D4E"/>
    <w:pPr>
      <w:numPr>
        <w:numId w:val="236"/>
      </w:numPr>
      <w:spacing w:before="240" w:after="240" w:line="230" w:lineRule="atLeast"/>
    </w:pPr>
    <w:rPr>
      <w:rFonts w:eastAsia="Times New Roman" w:cs="Times New Roman"/>
      <w:szCs w:val="22"/>
      <w:lang w:eastAsia="en-US"/>
    </w:rPr>
  </w:style>
  <w:style w:type="character" w:customStyle="1" w:styleId="clauseCar1">
    <w:name w:val="clause Car1"/>
    <w:link w:val="clause0"/>
    <w:uiPriority w:val="1"/>
    <w:rsid w:val="00F36D4E"/>
    <w:rPr>
      <w:rFonts w:ascii="Cambria" w:eastAsia="Times New Roman" w:hAnsi="Cambria"/>
      <w:sz w:val="22"/>
      <w:szCs w:val="22"/>
      <w:lang w:eastAsia="en-US"/>
    </w:rPr>
  </w:style>
  <w:style w:type="paragraph" w:styleId="List2">
    <w:name w:val="List 2"/>
    <w:aliases w:val="Liste a)"/>
    <w:basedOn w:val="Normal"/>
    <w:uiPriority w:val="99"/>
    <w:unhideWhenUsed/>
    <w:qFormat/>
    <w:rsid w:val="00DD0A44"/>
    <w:pPr>
      <w:ind w:left="566" w:hanging="283"/>
      <w:contextualSpacing/>
    </w:pPr>
  </w:style>
  <w:style w:type="character" w:customStyle="1" w:styleId="normaltextrunscxw140570217">
    <w:name w:val="normaltextrun scxw140570217"/>
    <w:basedOn w:val="DefaultParagraphFont"/>
    <w:rsid w:val="00C05EC0"/>
  </w:style>
  <w:style w:type="paragraph" w:customStyle="1" w:styleId="Equation">
    <w:name w:val="Equation"/>
    <w:basedOn w:val="BodyText"/>
    <w:next w:val="BodyText"/>
    <w:qFormat/>
    <w:rsid w:val="00BB01C9"/>
    <w:pPr>
      <w:framePr w:wrap="around" w:vAnchor="text" w:hAnchor="text" w:y="1"/>
      <w:tabs>
        <w:tab w:val="left" w:pos="4536"/>
        <w:tab w:val="left" w:pos="9072"/>
      </w:tabs>
      <w:spacing w:before="120" w:after="0" w:line="240" w:lineRule="auto"/>
    </w:pPr>
    <w:rPr>
      <w:rFonts w:asciiTheme="majorHAnsi" w:eastAsiaTheme="minorEastAsia" w:hAnsiTheme="majorHAnsi" w:cs="Times New Roman"/>
      <w:bCs/>
      <w:noProof/>
      <w:szCs w:val="22"/>
      <w:lang w:eastAsia="en-US"/>
    </w:rPr>
  </w:style>
  <w:style w:type="paragraph" w:styleId="TOC4">
    <w:name w:val="toc 4"/>
    <w:basedOn w:val="Normal"/>
    <w:next w:val="Normal"/>
    <w:autoRedefine/>
    <w:uiPriority w:val="39"/>
    <w:unhideWhenUsed/>
    <w:rsid w:val="005930D5"/>
    <w:pPr>
      <w:spacing w:before="0" w:after="100" w:line="259" w:lineRule="auto"/>
      <w:ind w:left="660"/>
      <w:jc w:val="left"/>
    </w:pPr>
    <w:rPr>
      <w:rFonts w:asciiTheme="minorHAnsi" w:eastAsiaTheme="minorEastAsia" w:hAnsiTheme="minorHAnsi" w:cstheme="minorBidi"/>
      <w:lang w:val="en-US"/>
    </w:rPr>
  </w:style>
  <w:style w:type="paragraph" w:styleId="TOC5">
    <w:name w:val="toc 5"/>
    <w:basedOn w:val="Normal"/>
    <w:next w:val="Normal"/>
    <w:autoRedefine/>
    <w:uiPriority w:val="39"/>
    <w:unhideWhenUsed/>
    <w:rsid w:val="005930D5"/>
    <w:pPr>
      <w:spacing w:before="0" w:after="100" w:line="259" w:lineRule="auto"/>
      <w:ind w:left="880"/>
      <w:jc w:val="left"/>
    </w:pPr>
    <w:rPr>
      <w:rFonts w:asciiTheme="minorHAnsi" w:eastAsiaTheme="minorEastAsia" w:hAnsiTheme="minorHAnsi" w:cstheme="minorBidi"/>
      <w:lang w:val="en-US"/>
    </w:rPr>
  </w:style>
  <w:style w:type="paragraph" w:styleId="TOC6">
    <w:name w:val="toc 6"/>
    <w:basedOn w:val="Normal"/>
    <w:next w:val="Normal"/>
    <w:autoRedefine/>
    <w:uiPriority w:val="39"/>
    <w:unhideWhenUsed/>
    <w:rsid w:val="005930D5"/>
    <w:pPr>
      <w:spacing w:before="0" w:after="100" w:line="259" w:lineRule="auto"/>
      <w:ind w:left="1100"/>
      <w:jc w:val="left"/>
    </w:pPr>
    <w:rPr>
      <w:rFonts w:asciiTheme="minorHAnsi" w:eastAsiaTheme="minorEastAsia" w:hAnsiTheme="minorHAnsi" w:cstheme="minorBidi"/>
      <w:lang w:val="en-US"/>
    </w:rPr>
  </w:style>
  <w:style w:type="paragraph" w:styleId="TOC7">
    <w:name w:val="toc 7"/>
    <w:basedOn w:val="Normal"/>
    <w:next w:val="Normal"/>
    <w:autoRedefine/>
    <w:uiPriority w:val="39"/>
    <w:unhideWhenUsed/>
    <w:rsid w:val="005930D5"/>
    <w:pPr>
      <w:spacing w:before="0" w:after="100" w:line="259" w:lineRule="auto"/>
      <w:ind w:left="1320"/>
      <w:jc w:val="left"/>
    </w:pPr>
    <w:rPr>
      <w:rFonts w:asciiTheme="minorHAnsi" w:eastAsiaTheme="minorEastAsia" w:hAnsiTheme="minorHAnsi" w:cstheme="minorBidi"/>
      <w:lang w:val="en-US"/>
    </w:rPr>
  </w:style>
  <w:style w:type="paragraph" w:styleId="TOC8">
    <w:name w:val="toc 8"/>
    <w:basedOn w:val="Normal"/>
    <w:next w:val="Normal"/>
    <w:autoRedefine/>
    <w:uiPriority w:val="39"/>
    <w:unhideWhenUsed/>
    <w:rsid w:val="005930D5"/>
    <w:pPr>
      <w:spacing w:before="0" w:after="100" w:line="259" w:lineRule="auto"/>
      <w:ind w:left="1540"/>
      <w:jc w:val="left"/>
    </w:pPr>
    <w:rPr>
      <w:rFonts w:asciiTheme="minorHAnsi" w:eastAsiaTheme="minorEastAsia" w:hAnsiTheme="minorHAnsi" w:cstheme="minorBidi"/>
      <w:lang w:val="en-US"/>
    </w:rPr>
  </w:style>
  <w:style w:type="character" w:styleId="UnresolvedMention">
    <w:name w:val="Unresolved Mention"/>
    <w:basedOn w:val="DefaultParagraphFont"/>
    <w:uiPriority w:val="99"/>
    <w:semiHidden/>
    <w:unhideWhenUsed/>
    <w:rsid w:val="005930D5"/>
    <w:rPr>
      <w:color w:val="605E5C"/>
      <w:shd w:val="clear" w:color="auto" w:fill="E1DFDD"/>
    </w:rPr>
  </w:style>
  <w:style w:type="character" w:styleId="CommentReference">
    <w:name w:val="annotation reference"/>
    <w:uiPriority w:val="99"/>
    <w:rsid w:val="00CC7EC9"/>
    <w:rPr>
      <w:noProof w:val="0"/>
      <w:sz w:val="18"/>
      <w:lang w:val="fr-FR"/>
    </w:rPr>
  </w:style>
  <w:style w:type="paragraph" w:customStyle="1" w:styleId="zzCopyright">
    <w:name w:val="zzCopyright"/>
    <w:basedOn w:val="Normal"/>
    <w:next w:val="Normal"/>
    <w:rsid w:val="007A2E3A"/>
    <w:pPr>
      <w:pBdr>
        <w:top w:val="single" w:sz="4" w:space="1" w:color="0000FF"/>
        <w:left w:val="single" w:sz="4" w:space="4" w:color="0000FF"/>
        <w:bottom w:val="single" w:sz="4" w:space="1" w:color="0000FF"/>
        <w:right w:val="single" w:sz="4" w:space="4" w:color="0000FF"/>
      </w:pBdr>
      <w:tabs>
        <w:tab w:val="left" w:pos="514"/>
        <w:tab w:val="left" w:pos="9623"/>
      </w:tabs>
      <w:spacing w:before="0" w:after="240" w:line="230" w:lineRule="atLeast"/>
      <w:ind w:left="284" w:right="284"/>
    </w:pPr>
    <w:rPr>
      <w:rFonts w:eastAsia="MS Mincho" w:cs="Cambria"/>
      <w:color w:val="0000FF"/>
      <w:szCs w:val="20"/>
      <w:lang w:eastAsia="fr-FR"/>
    </w:rPr>
  </w:style>
  <w:style w:type="paragraph" w:styleId="CommentText">
    <w:name w:val="annotation text"/>
    <w:basedOn w:val="Normal"/>
    <w:link w:val="CommentTextChar"/>
    <w:uiPriority w:val="99"/>
    <w:unhideWhenUsed/>
    <w:rsid w:val="00F1684D"/>
    <w:pPr>
      <w:spacing w:line="240" w:lineRule="auto"/>
    </w:pPr>
    <w:rPr>
      <w:sz w:val="20"/>
      <w:szCs w:val="20"/>
    </w:rPr>
  </w:style>
  <w:style w:type="character" w:customStyle="1" w:styleId="CommentTextChar">
    <w:name w:val="Comment Text Char"/>
    <w:basedOn w:val="DefaultParagraphFont"/>
    <w:link w:val="CommentText"/>
    <w:uiPriority w:val="99"/>
    <w:rsid w:val="00F1684D"/>
    <w:rPr>
      <w:rFonts w:ascii="Cambria" w:hAnsi="Cambria"/>
      <w:lang w:eastAsia="en-US"/>
    </w:rPr>
  </w:style>
  <w:style w:type="paragraph" w:styleId="CommentSubject">
    <w:name w:val="annotation subject"/>
    <w:basedOn w:val="CommentText"/>
    <w:next w:val="CommentText"/>
    <w:link w:val="CommentSubjectChar"/>
    <w:uiPriority w:val="99"/>
    <w:semiHidden/>
    <w:unhideWhenUsed/>
    <w:rsid w:val="00F1684D"/>
    <w:rPr>
      <w:b/>
      <w:bCs/>
    </w:rPr>
  </w:style>
  <w:style w:type="character" w:customStyle="1" w:styleId="CommentSubjectChar">
    <w:name w:val="Comment Subject Char"/>
    <w:basedOn w:val="CommentTextChar"/>
    <w:link w:val="CommentSubject"/>
    <w:uiPriority w:val="99"/>
    <w:semiHidden/>
    <w:rsid w:val="00F1684D"/>
    <w:rPr>
      <w:rFonts w:ascii="Cambria" w:hAnsi="Cambria"/>
      <w:b/>
      <w:bCs/>
      <w:lang w:eastAsia="en-US"/>
    </w:rPr>
  </w:style>
  <w:style w:type="character" w:customStyle="1" w:styleId="stddocPartNumber">
    <w:name w:val="std_docPartNumber"/>
    <w:rsid w:val="00F71625"/>
    <w:rPr>
      <w:rFonts w:ascii="Cambria" w:hAnsi="Cambria"/>
      <w:bdr w:val="none" w:sz="0" w:space="0" w:color="auto"/>
      <w:shd w:val="clear" w:color="auto" w:fill="EAF1DD"/>
    </w:rPr>
  </w:style>
  <w:style w:type="paragraph" w:styleId="Revision">
    <w:name w:val="Revision"/>
    <w:hidden/>
    <w:uiPriority w:val="99"/>
    <w:semiHidden/>
    <w:rsid w:val="002630C0"/>
    <w:rPr>
      <w:rFonts w:ascii="Cambria" w:hAnsi="Cambria"/>
      <w:sz w:val="22"/>
      <w:szCs w:val="22"/>
      <w:lang w:eastAsia="en-US"/>
    </w:rPr>
  </w:style>
  <w:style w:type="paragraph" w:customStyle="1" w:styleId="Biblographysub-heading">
    <w:name w:val="Biblography sub-heading"/>
    <w:basedOn w:val="Normal"/>
    <w:link w:val="Biblographysub-headingChar"/>
    <w:qFormat/>
    <w:rsid w:val="00865441"/>
    <w:pPr>
      <w:spacing w:before="0" w:after="240" w:line="230" w:lineRule="atLeast"/>
    </w:pPr>
    <w:rPr>
      <w:rFonts w:eastAsia="MS Mincho" w:cs="Cambria"/>
      <w:b/>
      <w:sz w:val="24"/>
      <w:szCs w:val="20"/>
      <w:lang w:val="fr-FR" w:eastAsia="fr-FR"/>
    </w:rPr>
  </w:style>
  <w:style w:type="character" w:customStyle="1" w:styleId="Biblographysub-headingChar">
    <w:name w:val="Biblography sub-heading Char"/>
    <w:basedOn w:val="DefaultParagraphFont"/>
    <w:link w:val="Biblographysub-heading"/>
    <w:rsid w:val="00865441"/>
    <w:rPr>
      <w:rFonts w:ascii="Cambria" w:eastAsia="MS Mincho" w:hAnsi="Cambria" w:cs="Cambria"/>
      <w:b/>
      <w:sz w:val="24"/>
      <w:lang w:val="fr-FR" w:eastAsia="fr-FR"/>
    </w:rPr>
  </w:style>
  <w:style w:type="paragraph" w:customStyle="1" w:styleId="List1">
    <w:name w:val="List1"/>
    <w:basedOn w:val="Normal"/>
    <w:autoRedefine/>
    <w:rsid w:val="00117CFE"/>
    <w:pPr>
      <w:spacing w:before="120" w:after="240" w:line="230" w:lineRule="atLeast"/>
      <w:ind w:left="709" w:hanging="709"/>
    </w:pPr>
    <w:rPr>
      <w:rFonts w:asciiTheme="majorHAnsi" w:eastAsia="Times New Roman" w:hAnsiTheme="majorHAnsi"/>
      <w:color w:val="000000"/>
    </w:rPr>
  </w:style>
  <w:style w:type="paragraph" w:customStyle="1" w:styleId="listCharChar">
    <w:name w:val="list Char Char"/>
    <w:basedOn w:val="Normal"/>
    <w:rsid w:val="00117CFE"/>
    <w:pPr>
      <w:spacing w:before="120" w:after="0" w:line="240" w:lineRule="auto"/>
      <w:ind w:left="720" w:hanging="720"/>
    </w:pPr>
    <w:rPr>
      <w:rFonts w:ascii="Times New Roman" w:eastAsia="Times New Roman" w:hAnsi="Times New Roman"/>
      <w:iCs/>
      <w:sz w:val="24"/>
      <w:szCs w:val="20"/>
    </w:rPr>
  </w:style>
  <w:style w:type="paragraph" w:customStyle="1" w:styleId="zzLn5">
    <w:name w:val="zzLn5"/>
    <w:basedOn w:val="Normal"/>
    <w:next w:val="Normal"/>
    <w:rsid w:val="00332EAE"/>
    <w:pPr>
      <w:spacing w:before="0" w:after="240" w:line="230" w:lineRule="atLeast"/>
      <w:ind w:left="400"/>
      <w:jc w:val="left"/>
    </w:pPr>
    <w:rPr>
      <w:rFonts w:eastAsia="MS Mincho" w:cs="Cambria"/>
      <w:szCs w:val="20"/>
      <w:lang w:eastAsia="fr-FR"/>
    </w:rPr>
  </w:style>
  <w:style w:type="paragraph" w:customStyle="1" w:styleId="zzLn6">
    <w:name w:val="zzLn6"/>
    <w:basedOn w:val="Normal"/>
    <w:next w:val="Normal"/>
    <w:rsid w:val="00332EAE"/>
    <w:pPr>
      <w:spacing w:before="0" w:after="240" w:line="230" w:lineRule="atLeast"/>
      <w:ind w:left="400"/>
      <w:jc w:val="left"/>
    </w:pPr>
    <w:rPr>
      <w:rFonts w:eastAsia="MS Mincho" w:cs="Cambria"/>
      <w:szCs w:val="20"/>
      <w:lang w:eastAsia="fr-FR"/>
    </w:rPr>
  </w:style>
  <w:style w:type="paragraph" w:customStyle="1" w:styleId="tabela">
    <w:name w:val="tabela"/>
    <w:basedOn w:val="Normal"/>
    <w:next w:val="Normal"/>
    <w:rsid w:val="00F97996"/>
    <w:pPr>
      <w:spacing w:before="120" w:after="0" w:line="320" w:lineRule="exact"/>
      <w:jc w:val="center"/>
    </w:pPr>
    <w:rPr>
      <w:rFonts w:ascii="Arial" w:eastAsia="Times New Roman" w:hAnsi="Arial"/>
      <w:szCs w:val="20"/>
    </w:rPr>
  </w:style>
  <w:style w:type="paragraph" w:customStyle="1" w:styleId="Tables">
    <w:name w:val="Tables"/>
    <w:basedOn w:val="Normal"/>
    <w:qFormat/>
    <w:rsid w:val="00112950"/>
    <w:pPr>
      <w:spacing w:before="120" w:line="240" w:lineRule="auto"/>
      <w:jc w:val="center"/>
    </w:pPr>
    <w:rPr>
      <w:rFonts w:ascii="Times New Roman" w:hAnsi="Times New Roman"/>
      <w:sz w:val="16"/>
      <w:szCs w:val="24"/>
    </w:rPr>
  </w:style>
  <w:style w:type="paragraph" w:customStyle="1" w:styleId="ASEquationSavvas">
    <w:name w:val="AS Equation Savvas"/>
    <w:basedOn w:val="Normal"/>
    <w:next w:val="Normal"/>
    <w:link w:val="ASEquationSavvasChar"/>
    <w:autoRedefine/>
    <w:qFormat/>
    <w:rsid w:val="00E35898"/>
    <w:pPr>
      <w:tabs>
        <w:tab w:val="center" w:pos="4253"/>
        <w:tab w:val="right" w:pos="9049"/>
        <w:tab w:val="right" w:pos="10206"/>
      </w:tabs>
      <w:autoSpaceDE w:val="0"/>
      <w:autoSpaceDN w:val="0"/>
      <w:adjustRightInd w:val="0"/>
      <w:spacing w:before="240" w:after="240" w:line="360" w:lineRule="auto"/>
    </w:pPr>
    <w:rPr>
      <w:rFonts w:ascii="Cambria Math" w:eastAsia="Times New Roman" w:hAnsi="Cambria Math"/>
      <w:i/>
      <w:iCs/>
      <w:noProof/>
      <w:sz w:val="24"/>
      <w:szCs w:val="20"/>
      <w:lang w:eastAsia="ko-KR"/>
    </w:rPr>
  </w:style>
  <w:style w:type="character" w:customStyle="1" w:styleId="ASEquationSavvasChar">
    <w:name w:val="AS Equation Savvas Char"/>
    <w:basedOn w:val="DefaultParagraphFont"/>
    <w:link w:val="ASEquationSavvas"/>
    <w:rsid w:val="00E35898"/>
    <w:rPr>
      <w:rFonts w:ascii="Cambria Math" w:eastAsia="Times New Roman" w:hAnsi="Cambria Math"/>
      <w:i/>
      <w:iCs/>
      <w:noProof/>
      <w:sz w:val="24"/>
      <w:lang w:eastAsia="ko-KR"/>
    </w:rPr>
  </w:style>
  <w:style w:type="character" w:customStyle="1" w:styleId="clauseChar0">
    <w:name w:val="clause Char"/>
    <w:uiPriority w:val="1"/>
    <w:rsid w:val="004F7E5B"/>
    <w:rPr>
      <w:rFonts w:eastAsia="Times New Roman" w:cs="Times New Roman"/>
      <w:bCs/>
      <w:sz w:val="22"/>
      <w:lang w:val="en-GB" w:eastAsia="en-US"/>
    </w:rPr>
  </w:style>
  <w:style w:type="character" w:customStyle="1" w:styleId="clauseCarattere">
    <w:name w:val="clause Carattere"/>
    <w:uiPriority w:val="99"/>
    <w:rsid w:val="002D111D"/>
    <w:rPr>
      <w:rFonts w:ascii="Times New Roman" w:eastAsia="Times New Roman" w:hAnsi="Times New Roman" w:cs="Times New Roman"/>
      <w:bCs/>
      <w:sz w:val="24"/>
      <w:lang w:val="en-GB" w:eastAsia="en-US"/>
    </w:rPr>
  </w:style>
  <w:style w:type="character" w:customStyle="1" w:styleId="clauseCar">
    <w:name w:val="clause Car"/>
    <w:uiPriority w:val="1"/>
    <w:rsid w:val="008C50F4"/>
    <w:rPr>
      <w:rFonts w:eastAsia="Times New Roman" w:cs="Times New Roman"/>
      <w:bCs/>
      <w:color w:val="000000" w:themeColor="text1"/>
      <w:sz w:val="22"/>
      <w:szCs w:val="24"/>
      <w:lang w:val="en-GB" w:eastAsia="en-US"/>
    </w:rPr>
  </w:style>
  <w:style w:type="character" w:customStyle="1" w:styleId="ListParagraphChar">
    <w:name w:val="List Paragraph Char"/>
    <w:aliases w:val="Listings Char,table Char"/>
    <w:link w:val="ListParagraph"/>
    <w:uiPriority w:val="34"/>
    <w:rsid w:val="00CC5A73"/>
    <w:rPr>
      <w:rFonts w:ascii="Cambria" w:eastAsia="MS Mincho" w:hAnsi="Cambria" w:cs="Cambria"/>
      <w:sz w:val="22"/>
      <w:lang w:eastAsia="fr-FR"/>
    </w:rPr>
  </w:style>
  <w:style w:type="paragraph" w:customStyle="1" w:styleId="zzLc5">
    <w:name w:val="zzLc5"/>
    <w:basedOn w:val="Normal"/>
    <w:next w:val="Normal"/>
    <w:rsid w:val="004F44C3"/>
    <w:pPr>
      <w:spacing w:before="0" w:after="240" w:line="230" w:lineRule="atLeast"/>
      <w:jc w:val="left"/>
    </w:pPr>
    <w:rPr>
      <w:rFonts w:eastAsia="MS Mincho" w:cs="Cambria"/>
      <w:szCs w:val="20"/>
      <w:lang w:eastAsia="fr-FR"/>
    </w:rPr>
  </w:style>
  <w:style w:type="paragraph" w:customStyle="1" w:styleId="zzLc6">
    <w:name w:val="zzLc6"/>
    <w:basedOn w:val="Normal"/>
    <w:next w:val="Normal"/>
    <w:rsid w:val="004F44C3"/>
    <w:pPr>
      <w:spacing w:before="0" w:after="240" w:line="230" w:lineRule="atLeast"/>
      <w:jc w:val="left"/>
    </w:pPr>
    <w:rPr>
      <w:rFonts w:eastAsia="MS Mincho" w:cs="Cambria"/>
      <w:szCs w:val="20"/>
      <w:lang w:eastAsia="fr-FR"/>
    </w:rPr>
  </w:style>
  <w:style w:type="paragraph" w:customStyle="1" w:styleId="ISOChange">
    <w:name w:val="ISO_Change"/>
    <w:basedOn w:val="Normal"/>
    <w:qFormat/>
    <w:rsid w:val="00594A66"/>
    <w:pPr>
      <w:spacing w:before="210" w:after="0" w:line="210" w:lineRule="exact"/>
      <w:jc w:val="left"/>
    </w:pPr>
    <w:rPr>
      <w:rFonts w:ascii="Arial" w:eastAsia="Times New Roman" w:hAnsi="Arial"/>
      <w:sz w:val="18"/>
      <w:szCs w:val="20"/>
    </w:rPr>
  </w:style>
  <w:style w:type="paragraph" w:customStyle="1" w:styleId="ISOSecretObservations">
    <w:name w:val="ISO_Secret_Observations"/>
    <w:basedOn w:val="Normal"/>
    <w:qFormat/>
    <w:rsid w:val="00C2354A"/>
    <w:pPr>
      <w:spacing w:before="210" w:after="0" w:line="210" w:lineRule="exact"/>
      <w:jc w:val="left"/>
    </w:pPr>
    <w:rPr>
      <w:rFonts w:ascii="Arial" w:eastAsia="Times New Roman" w:hAnsi="Arial"/>
      <w:sz w:val="18"/>
      <w:szCs w:val="20"/>
    </w:rPr>
  </w:style>
  <w:style w:type="numbering" w:customStyle="1" w:styleId="Estilo11">
    <w:name w:val="Estilo11"/>
    <w:uiPriority w:val="99"/>
    <w:rsid w:val="00DC701F"/>
    <w:pPr>
      <w:numPr>
        <w:numId w:val="111"/>
      </w:numPr>
    </w:pPr>
  </w:style>
  <w:style w:type="paragraph" w:customStyle="1" w:styleId="Legend">
    <w:name w:val="Legend"/>
    <w:basedOn w:val="Normal"/>
    <w:qFormat/>
    <w:rsid w:val="004030A7"/>
    <w:pPr>
      <w:spacing w:before="120" w:line="240" w:lineRule="auto"/>
      <w:jc w:val="left"/>
    </w:pPr>
    <w:rPr>
      <w:rFonts w:ascii="Times New Roman" w:hAnsi="Times New Roman"/>
      <w:sz w:val="16"/>
      <w:szCs w:val="24"/>
    </w:rPr>
  </w:style>
  <w:style w:type="paragraph" w:styleId="List">
    <w:name w:val="List"/>
    <w:basedOn w:val="Normal"/>
    <w:uiPriority w:val="99"/>
    <w:semiHidden/>
    <w:unhideWhenUsed/>
    <w:rsid w:val="00881E88"/>
    <w:pPr>
      <w:ind w:left="283" w:hanging="283"/>
      <w:contextualSpacing/>
    </w:pPr>
  </w:style>
  <w:style w:type="paragraph" w:customStyle="1" w:styleId="FiguretitleANNEXZ">
    <w:name w:val="Figure title ANNEXZ"/>
    <w:next w:val="Normal"/>
    <w:qFormat/>
    <w:rsid w:val="00A57667"/>
    <w:pPr>
      <w:spacing w:before="220" w:after="220" w:line="230" w:lineRule="atLeast"/>
      <w:jc w:val="center"/>
    </w:pPr>
    <w:rPr>
      <w:rFonts w:ascii="Cambria" w:eastAsia="MS Mincho" w:hAnsi="Cambria" w:cs="Cambria"/>
      <w:b/>
      <w:sz w:val="22"/>
      <w:lang w:eastAsia="fr-FR"/>
    </w:rPr>
  </w:style>
  <w:style w:type="character" w:customStyle="1" w:styleId="object">
    <w:name w:val="object"/>
    <w:basedOn w:val="DefaultParagraphFont"/>
    <w:rsid w:val="005A1AFC"/>
  </w:style>
  <w:style w:type="paragraph" w:styleId="Caption">
    <w:name w:val="caption"/>
    <w:aliases w:val="Caption.Tabella,Tabella,Caption.Tabella1,Caption.Tabella2,Caption.Tabella21,Caption.Tabella3,Caption;Tabella"/>
    <w:basedOn w:val="Normal"/>
    <w:next w:val="Normal"/>
    <w:link w:val="CaptionChar"/>
    <w:uiPriority w:val="35"/>
    <w:qFormat/>
    <w:rsid w:val="007B4C44"/>
    <w:pPr>
      <w:spacing w:before="120" w:line="230" w:lineRule="atLeast"/>
    </w:pPr>
    <w:rPr>
      <w:rFonts w:eastAsia="MS Mincho" w:cs="Cambria"/>
      <w:b/>
      <w:szCs w:val="20"/>
      <w:lang w:eastAsia="fr-FR"/>
    </w:rPr>
  </w:style>
  <w:style w:type="character" w:customStyle="1" w:styleId="CaptionChar">
    <w:name w:val="Caption Char"/>
    <w:aliases w:val="Caption.Tabella Char,Tabella Char,Caption.Tabella1 Char,Caption.Tabella2 Char,Caption.Tabella21 Char,Caption.Tabella3 Char,Caption.Tabella Char1"/>
    <w:link w:val="Caption"/>
    <w:rsid w:val="007B4C44"/>
    <w:rPr>
      <w:rFonts w:ascii="Cambria" w:eastAsia="MS Mincho" w:hAnsi="Cambria" w:cs="Cambria"/>
      <w:b/>
      <w:sz w:val="22"/>
      <w:lang w:eastAsia="fr-FR"/>
    </w:rPr>
  </w:style>
  <w:style w:type="paragraph" w:customStyle="1" w:styleId="MTDisplayEquation">
    <w:name w:val="MTDisplayEquation"/>
    <w:basedOn w:val="clause0"/>
    <w:link w:val="MTDisplayEquationChar"/>
    <w:rsid w:val="00C46ABE"/>
    <w:pPr>
      <w:numPr>
        <w:numId w:val="212"/>
      </w:numPr>
      <w:tabs>
        <w:tab w:val="center" w:pos="5400"/>
      </w:tabs>
    </w:pPr>
    <w:rPr>
      <w:color w:val="000000" w:themeColor="text1"/>
      <w:szCs w:val="24"/>
    </w:rPr>
  </w:style>
  <w:style w:type="character" w:customStyle="1" w:styleId="MTDisplayEquationChar">
    <w:name w:val="MTDisplayEquation Char"/>
    <w:basedOn w:val="clauseCar"/>
    <w:link w:val="MTDisplayEquation"/>
    <w:rsid w:val="00C46ABE"/>
    <w:rPr>
      <w:rFonts w:ascii="Cambria" w:eastAsia="Times New Roman" w:hAnsi="Cambria" w:cs="Times New Roman"/>
      <w:bCs w:val="0"/>
      <w:color w:val="000000" w:themeColor="text1"/>
      <w:sz w:val="22"/>
      <w:szCs w:val="24"/>
      <w:lang w:val="en-GB" w:eastAsia="en-US"/>
    </w:rPr>
  </w:style>
  <w:style w:type="table" w:customStyle="1" w:styleId="TableFormula">
    <w:name w:val="Table_Formula"/>
    <w:basedOn w:val="TableNormal"/>
    <w:uiPriority w:val="99"/>
    <w:locked/>
    <w:rsid w:val="007D117B"/>
    <w:pPr>
      <w:spacing w:after="220"/>
    </w:pPr>
    <w:rPr>
      <w:rFonts w:ascii="Cambria" w:eastAsia="Cambria" w:hAnsi="Cambria" w:cs="Cambria"/>
      <w:lang w:val="de-DE" w:eastAsia="de-DE"/>
    </w:rPr>
    <w:tblPr>
      <w:tblInd w:w="403" w:type="dxa"/>
      <w:tblCellMar>
        <w:left w:w="403" w:type="dxa"/>
        <w:right w:w="0" w:type="dxa"/>
      </w:tblCellMar>
    </w:tblPr>
  </w:style>
  <w:style w:type="paragraph" w:styleId="NoSpacing">
    <w:name w:val="No Spacing"/>
    <w:uiPriority w:val="1"/>
    <w:qFormat/>
    <w:rsid w:val="00E37E2C"/>
    <w:rPr>
      <w:rFonts w:asciiTheme="minorHAnsi" w:eastAsiaTheme="minorHAnsi" w:hAnsiTheme="minorHAnsi" w:cstheme="minorBidi"/>
      <w:sz w:val="22"/>
      <w:szCs w:val="22"/>
      <w:lang w:eastAsia="en-US"/>
    </w:rPr>
  </w:style>
  <w:style w:type="paragraph" w:styleId="HTMLPreformatted">
    <w:name w:val="HTML Preformatted"/>
    <w:basedOn w:val="Normal"/>
    <w:link w:val="HTMLPreformattedChar"/>
    <w:uiPriority w:val="99"/>
    <w:semiHidden/>
    <w:unhideWhenUsed/>
    <w:rsid w:val="00E37E2C"/>
    <w:pPr>
      <w:spacing w:before="0" w:after="0" w:line="240" w:lineRule="auto"/>
    </w:pPr>
    <w:rPr>
      <w:rFonts w:ascii="Consolas" w:eastAsia="MS Mincho" w:hAnsi="Consolas"/>
      <w:sz w:val="20"/>
      <w:szCs w:val="20"/>
      <w:lang w:eastAsia="ja-JP"/>
    </w:rPr>
  </w:style>
  <w:style w:type="character" w:customStyle="1" w:styleId="HTMLPreformattedChar">
    <w:name w:val="HTML Preformatted Char"/>
    <w:basedOn w:val="DefaultParagraphFont"/>
    <w:link w:val="HTMLPreformatted"/>
    <w:uiPriority w:val="99"/>
    <w:semiHidden/>
    <w:rsid w:val="00E37E2C"/>
    <w:rPr>
      <w:rFonts w:ascii="Consolas" w:eastAsia="MS Mincho" w:hAnsi="Consolas"/>
      <w:lang w:eastAsia="ja-JP"/>
    </w:rPr>
  </w:style>
  <w:style w:type="character" w:customStyle="1" w:styleId="BiblioEntryChar">
    <w:name w:val="Biblio Entry Char"/>
    <w:basedOn w:val="BodyTextChar"/>
    <w:link w:val="BiblioEntry"/>
    <w:rsid w:val="00E37E2C"/>
    <w:rPr>
      <w:rFonts w:ascii="Cambria" w:eastAsia="MS Mincho" w:hAnsi="Cambria" w:cs="Cambria"/>
      <w:sz w:val="22"/>
      <w:szCs w:val="24"/>
      <w:lang w:eastAsia="fr-FR"/>
    </w:rPr>
  </w:style>
  <w:style w:type="paragraph" w:styleId="BlockText">
    <w:name w:val="Block Text"/>
    <w:basedOn w:val="Normal"/>
    <w:uiPriority w:val="99"/>
    <w:semiHidden/>
    <w:unhideWhenUsed/>
    <w:rsid w:val="00E37E2C"/>
    <w:pPr>
      <w:pBdr>
        <w:top w:val="single" w:sz="2" w:space="10" w:color="4F81BD" w:themeColor="accent1"/>
        <w:left w:val="single" w:sz="2" w:space="10" w:color="4F81BD" w:themeColor="accent1"/>
        <w:bottom w:val="single" w:sz="2" w:space="10" w:color="4F81BD" w:themeColor="accent1"/>
        <w:right w:val="single" w:sz="2" w:space="10" w:color="4F81BD" w:themeColor="accent1"/>
      </w:pBdr>
      <w:spacing w:before="0" w:after="240" w:line="240" w:lineRule="atLeast"/>
      <w:ind w:left="1152" w:right="1152"/>
    </w:pPr>
    <w:rPr>
      <w:rFonts w:eastAsiaTheme="minorEastAsia"/>
      <w:i/>
      <w:iCs/>
      <w:color w:val="4F81BD" w:themeColor="accent1"/>
      <w:szCs w:val="20"/>
      <w:lang w:eastAsia="ja-JP"/>
    </w:rPr>
  </w:style>
  <w:style w:type="paragraph" w:styleId="Closing">
    <w:name w:val="Closing"/>
    <w:basedOn w:val="Normal"/>
    <w:link w:val="ClosingChar"/>
    <w:uiPriority w:val="99"/>
    <w:semiHidden/>
    <w:unhideWhenUsed/>
    <w:rsid w:val="00E37E2C"/>
    <w:pPr>
      <w:spacing w:before="0" w:after="0" w:line="240" w:lineRule="auto"/>
      <w:ind w:left="4252"/>
    </w:pPr>
    <w:rPr>
      <w:rFonts w:eastAsia="MS Mincho"/>
      <w:szCs w:val="20"/>
      <w:lang w:eastAsia="ja-JP"/>
    </w:rPr>
  </w:style>
  <w:style w:type="character" w:customStyle="1" w:styleId="ClosingChar">
    <w:name w:val="Closing Char"/>
    <w:basedOn w:val="DefaultParagraphFont"/>
    <w:link w:val="Closing"/>
    <w:uiPriority w:val="99"/>
    <w:semiHidden/>
    <w:rsid w:val="00E37E2C"/>
    <w:rPr>
      <w:rFonts w:ascii="Cambria" w:eastAsia="MS Mincho" w:hAnsi="Cambria"/>
      <w:sz w:val="22"/>
      <w:lang w:eastAsia="ja-JP"/>
    </w:rPr>
  </w:style>
  <w:style w:type="paragraph" w:styleId="Date">
    <w:name w:val="Date"/>
    <w:basedOn w:val="Normal"/>
    <w:next w:val="Normal"/>
    <w:link w:val="DateChar"/>
    <w:uiPriority w:val="99"/>
    <w:semiHidden/>
    <w:unhideWhenUsed/>
    <w:rsid w:val="00E37E2C"/>
    <w:pPr>
      <w:spacing w:before="0" w:after="240" w:line="240" w:lineRule="atLeast"/>
    </w:pPr>
    <w:rPr>
      <w:rFonts w:eastAsia="MS Mincho"/>
      <w:szCs w:val="20"/>
      <w:lang w:eastAsia="ja-JP"/>
    </w:rPr>
  </w:style>
  <w:style w:type="character" w:customStyle="1" w:styleId="DateChar">
    <w:name w:val="Date Char"/>
    <w:basedOn w:val="DefaultParagraphFont"/>
    <w:link w:val="Date"/>
    <w:uiPriority w:val="99"/>
    <w:semiHidden/>
    <w:rsid w:val="00E37E2C"/>
    <w:rPr>
      <w:rFonts w:ascii="Cambria" w:eastAsia="MS Mincho" w:hAnsi="Cambria"/>
      <w:sz w:val="22"/>
      <w:lang w:eastAsia="ja-JP"/>
    </w:rPr>
  </w:style>
  <w:style w:type="paragraph" w:styleId="DocumentMap">
    <w:name w:val="Document Map"/>
    <w:basedOn w:val="Normal"/>
    <w:link w:val="DocumentMapChar"/>
    <w:uiPriority w:val="99"/>
    <w:semiHidden/>
    <w:unhideWhenUsed/>
    <w:rsid w:val="00E37E2C"/>
    <w:pPr>
      <w:spacing w:before="0" w:after="0" w:line="240" w:lineRule="auto"/>
    </w:pPr>
    <w:rPr>
      <w:rFonts w:ascii="Segoe UI" w:eastAsia="MS Mincho" w:hAnsi="Segoe UI" w:cs="Segoe UI"/>
      <w:sz w:val="16"/>
      <w:szCs w:val="16"/>
      <w:lang w:eastAsia="ja-JP"/>
    </w:rPr>
  </w:style>
  <w:style w:type="character" w:customStyle="1" w:styleId="DocumentMapChar">
    <w:name w:val="Document Map Char"/>
    <w:basedOn w:val="DefaultParagraphFont"/>
    <w:link w:val="DocumentMap"/>
    <w:uiPriority w:val="99"/>
    <w:semiHidden/>
    <w:rsid w:val="00E37E2C"/>
    <w:rPr>
      <w:rFonts w:ascii="Segoe UI" w:eastAsia="MS Mincho" w:hAnsi="Segoe UI" w:cs="Segoe UI"/>
      <w:sz w:val="16"/>
      <w:szCs w:val="16"/>
      <w:lang w:eastAsia="ja-JP"/>
    </w:rPr>
  </w:style>
  <w:style w:type="paragraph" w:styleId="E-mailSignature">
    <w:name w:val="E-mail Signature"/>
    <w:basedOn w:val="Normal"/>
    <w:link w:val="E-mailSignatureChar"/>
    <w:uiPriority w:val="99"/>
    <w:semiHidden/>
    <w:unhideWhenUsed/>
    <w:rsid w:val="00E37E2C"/>
    <w:pPr>
      <w:spacing w:before="0" w:after="0" w:line="240" w:lineRule="auto"/>
    </w:pPr>
    <w:rPr>
      <w:rFonts w:eastAsia="MS Mincho"/>
      <w:szCs w:val="20"/>
      <w:lang w:eastAsia="ja-JP"/>
    </w:rPr>
  </w:style>
  <w:style w:type="character" w:customStyle="1" w:styleId="E-mailSignatureChar">
    <w:name w:val="E-mail Signature Char"/>
    <w:basedOn w:val="DefaultParagraphFont"/>
    <w:link w:val="E-mailSignature"/>
    <w:uiPriority w:val="99"/>
    <w:semiHidden/>
    <w:rsid w:val="00E37E2C"/>
    <w:rPr>
      <w:rFonts w:ascii="Cambria" w:eastAsia="MS Mincho" w:hAnsi="Cambria"/>
      <w:sz w:val="22"/>
      <w:lang w:eastAsia="ja-JP"/>
    </w:rPr>
  </w:style>
  <w:style w:type="paragraph" w:styleId="EndnoteText">
    <w:name w:val="endnote text"/>
    <w:basedOn w:val="Normal"/>
    <w:link w:val="EndnoteTextChar"/>
    <w:uiPriority w:val="99"/>
    <w:semiHidden/>
    <w:unhideWhenUsed/>
    <w:rsid w:val="00E37E2C"/>
    <w:pPr>
      <w:spacing w:before="0" w:after="0" w:line="240" w:lineRule="auto"/>
    </w:pPr>
    <w:rPr>
      <w:rFonts w:eastAsia="MS Mincho"/>
      <w:sz w:val="20"/>
      <w:szCs w:val="20"/>
      <w:lang w:eastAsia="ja-JP"/>
    </w:rPr>
  </w:style>
  <w:style w:type="character" w:customStyle="1" w:styleId="EndnoteTextChar">
    <w:name w:val="Endnote Text Char"/>
    <w:basedOn w:val="DefaultParagraphFont"/>
    <w:link w:val="EndnoteText"/>
    <w:uiPriority w:val="99"/>
    <w:semiHidden/>
    <w:rsid w:val="00E37E2C"/>
    <w:rPr>
      <w:rFonts w:ascii="Cambria" w:eastAsia="MS Mincho" w:hAnsi="Cambria"/>
      <w:lang w:eastAsia="ja-JP"/>
    </w:rPr>
  </w:style>
  <w:style w:type="paragraph" w:styleId="EnvelopeAddress">
    <w:name w:val="envelope address"/>
    <w:basedOn w:val="Normal"/>
    <w:uiPriority w:val="99"/>
    <w:semiHidden/>
    <w:unhideWhenUsed/>
    <w:rsid w:val="00E37E2C"/>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lang w:eastAsia="ja-JP"/>
    </w:rPr>
  </w:style>
  <w:style w:type="paragraph" w:styleId="EnvelopeReturn">
    <w:name w:val="envelope return"/>
    <w:basedOn w:val="Normal"/>
    <w:uiPriority w:val="99"/>
    <w:semiHidden/>
    <w:unhideWhenUsed/>
    <w:rsid w:val="00E37E2C"/>
    <w:pPr>
      <w:spacing w:before="0" w:after="0" w:line="240" w:lineRule="auto"/>
    </w:pPr>
    <w:rPr>
      <w:rFonts w:asciiTheme="majorHAnsi" w:eastAsiaTheme="majorEastAsia" w:hAnsiTheme="majorHAnsi" w:cstheme="majorBidi"/>
      <w:sz w:val="20"/>
      <w:szCs w:val="20"/>
      <w:lang w:eastAsia="ja-JP"/>
    </w:rPr>
  </w:style>
  <w:style w:type="paragraph" w:styleId="HTMLAddress">
    <w:name w:val="HTML Address"/>
    <w:basedOn w:val="Normal"/>
    <w:link w:val="HTMLAddressChar"/>
    <w:uiPriority w:val="99"/>
    <w:semiHidden/>
    <w:unhideWhenUsed/>
    <w:rsid w:val="00E37E2C"/>
    <w:pPr>
      <w:spacing w:before="0" w:after="0" w:line="240" w:lineRule="auto"/>
    </w:pPr>
    <w:rPr>
      <w:rFonts w:eastAsia="MS Mincho"/>
      <w:i/>
      <w:iCs/>
      <w:szCs w:val="20"/>
      <w:lang w:eastAsia="ja-JP"/>
    </w:rPr>
  </w:style>
  <w:style w:type="character" w:customStyle="1" w:styleId="HTMLAddressChar">
    <w:name w:val="HTML Address Char"/>
    <w:basedOn w:val="DefaultParagraphFont"/>
    <w:link w:val="HTMLAddress"/>
    <w:uiPriority w:val="99"/>
    <w:semiHidden/>
    <w:rsid w:val="00E37E2C"/>
    <w:rPr>
      <w:rFonts w:ascii="Cambria" w:eastAsia="MS Mincho" w:hAnsi="Cambria"/>
      <w:i/>
      <w:iCs/>
      <w:sz w:val="22"/>
      <w:lang w:eastAsia="ja-JP"/>
    </w:rPr>
  </w:style>
  <w:style w:type="paragraph" w:styleId="Index1">
    <w:name w:val="index 1"/>
    <w:basedOn w:val="Normal"/>
    <w:next w:val="Normal"/>
    <w:autoRedefine/>
    <w:uiPriority w:val="99"/>
    <w:semiHidden/>
    <w:unhideWhenUsed/>
    <w:rsid w:val="00E37E2C"/>
    <w:pPr>
      <w:spacing w:before="0" w:after="0" w:line="240" w:lineRule="auto"/>
      <w:ind w:left="220" w:hanging="220"/>
    </w:pPr>
    <w:rPr>
      <w:rFonts w:eastAsia="MS Mincho"/>
      <w:szCs w:val="20"/>
      <w:lang w:eastAsia="ja-JP"/>
    </w:rPr>
  </w:style>
  <w:style w:type="paragraph" w:styleId="Index2">
    <w:name w:val="index 2"/>
    <w:basedOn w:val="Normal"/>
    <w:next w:val="Normal"/>
    <w:autoRedefine/>
    <w:uiPriority w:val="99"/>
    <w:semiHidden/>
    <w:unhideWhenUsed/>
    <w:rsid w:val="00E37E2C"/>
    <w:pPr>
      <w:spacing w:before="0" w:after="0" w:line="240" w:lineRule="auto"/>
      <w:ind w:left="440" w:hanging="220"/>
    </w:pPr>
    <w:rPr>
      <w:rFonts w:eastAsia="MS Mincho"/>
      <w:szCs w:val="20"/>
      <w:lang w:eastAsia="ja-JP"/>
    </w:rPr>
  </w:style>
  <w:style w:type="paragraph" w:styleId="Index3">
    <w:name w:val="index 3"/>
    <w:basedOn w:val="Normal"/>
    <w:next w:val="Normal"/>
    <w:autoRedefine/>
    <w:uiPriority w:val="99"/>
    <w:semiHidden/>
    <w:unhideWhenUsed/>
    <w:rsid w:val="00E37E2C"/>
    <w:pPr>
      <w:spacing w:before="0" w:after="0" w:line="240" w:lineRule="auto"/>
      <w:ind w:left="660" w:hanging="220"/>
    </w:pPr>
    <w:rPr>
      <w:rFonts w:eastAsia="MS Mincho"/>
      <w:szCs w:val="20"/>
      <w:lang w:eastAsia="ja-JP"/>
    </w:rPr>
  </w:style>
  <w:style w:type="paragraph" w:styleId="Index4">
    <w:name w:val="index 4"/>
    <w:basedOn w:val="Normal"/>
    <w:next w:val="Normal"/>
    <w:autoRedefine/>
    <w:uiPriority w:val="99"/>
    <w:semiHidden/>
    <w:unhideWhenUsed/>
    <w:rsid w:val="00E37E2C"/>
    <w:pPr>
      <w:spacing w:before="0" w:after="0" w:line="240" w:lineRule="auto"/>
      <w:ind w:left="880" w:hanging="220"/>
    </w:pPr>
    <w:rPr>
      <w:rFonts w:eastAsia="MS Mincho"/>
      <w:szCs w:val="20"/>
      <w:lang w:eastAsia="ja-JP"/>
    </w:rPr>
  </w:style>
  <w:style w:type="paragraph" w:styleId="Index5">
    <w:name w:val="index 5"/>
    <w:basedOn w:val="Normal"/>
    <w:next w:val="Normal"/>
    <w:autoRedefine/>
    <w:uiPriority w:val="99"/>
    <w:semiHidden/>
    <w:unhideWhenUsed/>
    <w:rsid w:val="00E37E2C"/>
    <w:pPr>
      <w:spacing w:before="0" w:after="0" w:line="240" w:lineRule="auto"/>
      <w:ind w:left="1100" w:hanging="220"/>
    </w:pPr>
    <w:rPr>
      <w:rFonts w:eastAsia="MS Mincho"/>
      <w:szCs w:val="20"/>
      <w:lang w:eastAsia="ja-JP"/>
    </w:rPr>
  </w:style>
  <w:style w:type="paragraph" w:styleId="Index6">
    <w:name w:val="index 6"/>
    <w:basedOn w:val="Normal"/>
    <w:next w:val="Normal"/>
    <w:autoRedefine/>
    <w:uiPriority w:val="99"/>
    <w:semiHidden/>
    <w:unhideWhenUsed/>
    <w:rsid w:val="00E37E2C"/>
    <w:pPr>
      <w:spacing w:before="0" w:after="0" w:line="240" w:lineRule="auto"/>
      <w:ind w:left="1320" w:hanging="220"/>
    </w:pPr>
    <w:rPr>
      <w:rFonts w:eastAsia="MS Mincho"/>
      <w:szCs w:val="20"/>
      <w:lang w:eastAsia="ja-JP"/>
    </w:rPr>
  </w:style>
  <w:style w:type="paragraph" w:styleId="Index7">
    <w:name w:val="index 7"/>
    <w:basedOn w:val="Normal"/>
    <w:next w:val="Normal"/>
    <w:autoRedefine/>
    <w:uiPriority w:val="99"/>
    <w:semiHidden/>
    <w:unhideWhenUsed/>
    <w:rsid w:val="00E37E2C"/>
    <w:pPr>
      <w:spacing w:before="0" w:after="0" w:line="240" w:lineRule="auto"/>
      <w:ind w:left="1540" w:hanging="220"/>
    </w:pPr>
    <w:rPr>
      <w:rFonts w:eastAsia="MS Mincho"/>
      <w:szCs w:val="20"/>
      <w:lang w:eastAsia="ja-JP"/>
    </w:rPr>
  </w:style>
  <w:style w:type="paragraph" w:styleId="Index8">
    <w:name w:val="index 8"/>
    <w:basedOn w:val="Normal"/>
    <w:next w:val="Normal"/>
    <w:autoRedefine/>
    <w:uiPriority w:val="99"/>
    <w:semiHidden/>
    <w:unhideWhenUsed/>
    <w:rsid w:val="00E37E2C"/>
    <w:pPr>
      <w:spacing w:before="0" w:after="0" w:line="240" w:lineRule="auto"/>
      <w:ind w:left="1760" w:hanging="220"/>
    </w:pPr>
    <w:rPr>
      <w:rFonts w:eastAsia="MS Mincho"/>
      <w:szCs w:val="20"/>
      <w:lang w:eastAsia="ja-JP"/>
    </w:rPr>
  </w:style>
  <w:style w:type="paragraph" w:styleId="Index9">
    <w:name w:val="index 9"/>
    <w:basedOn w:val="Normal"/>
    <w:next w:val="Normal"/>
    <w:autoRedefine/>
    <w:uiPriority w:val="99"/>
    <w:semiHidden/>
    <w:unhideWhenUsed/>
    <w:rsid w:val="00E37E2C"/>
    <w:pPr>
      <w:spacing w:before="0" w:after="0" w:line="240" w:lineRule="auto"/>
      <w:ind w:left="1980" w:hanging="220"/>
    </w:pPr>
    <w:rPr>
      <w:rFonts w:eastAsia="MS Mincho"/>
      <w:szCs w:val="20"/>
      <w:lang w:eastAsia="ja-JP"/>
    </w:rPr>
  </w:style>
  <w:style w:type="paragraph" w:styleId="IndexHeading">
    <w:name w:val="index heading"/>
    <w:basedOn w:val="Normal"/>
    <w:next w:val="Index1"/>
    <w:uiPriority w:val="99"/>
    <w:semiHidden/>
    <w:unhideWhenUsed/>
    <w:rsid w:val="00E37E2C"/>
    <w:pPr>
      <w:spacing w:before="0" w:after="240" w:line="240" w:lineRule="atLeast"/>
    </w:pPr>
    <w:rPr>
      <w:rFonts w:asciiTheme="majorHAnsi" w:eastAsiaTheme="majorEastAsia" w:hAnsiTheme="majorHAnsi" w:cstheme="majorBidi"/>
      <w:b/>
      <w:bCs/>
      <w:szCs w:val="20"/>
      <w:lang w:eastAsia="ja-JP"/>
    </w:rPr>
  </w:style>
  <w:style w:type="paragraph" w:styleId="IntenseQuote">
    <w:name w:val="Intense Quote"/>
    <w:basedOn w:val="Normal"/>
    <w:next w:val="Normal"/>
    <w:link w:val="IntenseQuoteChar"/>
    <w:uiPriority w:val="30"/>
    <w:qFormat/>
    <w:rsid w:val="00E37E2C"/>
    <w:pPr>
      <w:pBdr>
        <w:top w:val="single" w:sz="4" w:space="10" w:color="4F81BD" w:themeColor="accent1"/>
        <w:bottom w:val="single" w:sz="4" w:space="10" w:color="4F81BD" w:themeColor="accent1"/>
      </w:pBdr>
      <w:spacing w:before="360" w:after="360" w:line="240" w:lineRule="atLeast"/>
      <w:ind w:left="864" w:right="864"/>
      <w:jc w:val="center"/>
    </w:pPr>
    <w:rPr>
      <w:rFonts w:eastAsia="MS Mincho"/>
      <w:i/>
      <w:iCs/>
      <w:color w:val="4F81BD" w:themeColor="accent1"/>
      <w:szCs w:val="20"/>
      <w:lang w:eastAsia="ja-JP"/>
    </w:rPr>
  </w:style>
  <w:style w:type="character" w:customStyle="1" w:styleId="IntenseQuoteChar">
    <w:name w:val="Intense Quote Char"/>
    <w:basedOn w:val="DefaultParagraphFont"/>
    <w:link w:val="IntenseQuote"/>
    <w:uiPriority w:val="30"/>
    <w:rsid w:val="00E37E2C"/>
    <w:rPr>
      <w:rFonts w:ascii="Cambria" w:eastAsia="MS Mincho" w:hAnsi="Cambria"/>
      <w:i/>
      <w:iCs/>
      <w:color w:val="4F81BD" w:themeColor="accent1"/>
      <w:sz w:val="22"/>
      <w:lang w:eastAsia="ja-JP"/>
    </w:rPr>
  </w:style>
  <w:style w:type="paragraph" w:styleId="List3">
    <w:name w:val="List 3"/>
    <w:basedOn w:val="Normal"/>
    <w:uiPriority w:val="99"/>
    <w:semiHidden/>
    <w:unhideWhenUsed/>
    <w:rsid w:val="00E37E2C"/>
    <w:pPr>
      <w:spacing w:before="0" w:after="240" w:line="240" w:lineRule="atLeast"/>
      <w:ind w:left="849" w:hanging="283"/>
      <w:contextualSpacing/>
    </w:pPr>
    <w:rPr>
      <w:rFonts w:eastAsia="MS Mincho"/>
      <w:szCs w:val="20"/>
      <w:lang w:eastAsia="ja-JP"/>
    </w:rPr>
  </w:style>
  <w:style w:type="paragraph" w:styleId="List4">
    <w:name w:val="List 4"/>
    <w:basedOn w:val="Normal"/>
    <w:uiPriority w:val="99"/>
    <w:semiHidden/>
    <w:unhideWhenUsed/>
    <w:rsid w:val="00E37E2C"/>
    <w:pPr>
      <w:spacing w:before="0" w:after="240" w:line="240" w:lineRule="atLeast"/>
      <w:ind w:left="1132" w:hanging="283"/>
      <w:contextualSpacing/>
    </w:pPr>
    <w:rPr>
      <w:rFonts w:eastAsia="MS Mincho"/>
      <w:szCs w:val="20"/>
      <w:lang w:eastAsia="ja-JP"/>
    </w:rPr>
  </w:style>
  <w:style w:type="paragraph" w:styleId="List5">
    <w:name w:val="List 5"/>
    <w:basedOn w:val="Normal"/>
    <w:uiPriority w:val="99"/>
    <w:semiHidden/>
    <w:unhideWhenUsed/>
    <w:rsid w:val="00E37E2C"/>
    <w:pPr>
      <w:spacing w:before="0" w:after="240" w:line="240" w:lineRule="atLeast"/>
      <w:ind w:left="1415" w:hanging="283"/>
      <w:contextualSpacing/>
    </w:pPr>
    <w:rPr>
      <w:rFonts w:eastAsia="MS Mincho"/>
      <w:szCs w:val="20"/>
      <w:lang w:eastAsia="ja-JP"/>
    </w:rPr>
  </w:style>
  <w:style w:type="paragraph" w:styleId="MacroText">
    <w:name w:val="macro"/>
    <w:link w:val="MacroTextChar"/>
    <w:uiPriority w:val="99"/>
    <w:semiHidden/>
    <w:unhideWhenUsed/>
    <w:rsid w:val="00E37E2C"/>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eastAsiaTheme="minorHAnsi" w:hAnsi="Consolas" w:cstheme="minorBidi"/>
      <w:lang w:eastAsia="en-US"/>
    </w:rPr>
  </w:style>
  <w:style w:type="character" w:customStyle="1" w:styleId="MacroTextChar">
    <w:name w:val="Macro Text Char"/>
    <w:basedOn w:val="DefaultParagraphFont"/>
    <w:link w:val="MacroText"/>
    <w:uiPriority w:val="99"/>
    <w:semiHidden/>
    <w:rsid w:val="00E37E2C"/>
    <w:rPr>
      <w:rFonts w:ascii="Consolas" w:eastAsiaTheme="minorHAnsi" w:hAnsi="Consolas" w:cstheme="minorBidi"/>
      <w:lang w:eastAsia="en-US"/>
    </w:rPr>
  </w:style>
  <w:style w:type="paragraph" w:styleId="MessageHeader">
    <w:name w:val="Message Header"/>
    <w:basedOn w:val="Normal"/>
    <w:link w:val="MessageHeaderChar"/>
    <w:uiPriority w:val="99"/>
    <w:semiHidden/>
    <w:unhideWhenUsed/>
    <w:rsid w:val="00E37E2C"/>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134" w:hanging="1134"/>
    </w:pPr>
    <w:rPr>
      <w:rFonts w:asciiTheme="majorHAnsi" w:eastAsiaTheme="majorEastAsia" w:hAnsiTheme="majorHAnsi" w:cstheme="majorBidi"/>
      <w:sz w:val="24"/>
      <w:szCs w:val="24"/>
      <w:lang w:eastAsia="ja-JP"/>
    </w:rPr>
  </w:style>
  <w:style w:type="character" w:customStyle="1" w:styleId="MessageHeaderChar">
    <w:name w:val="Message Header Char"/>
    <w:basedOn w:val="DefaultParagraphFont"/>
    <w:link w:val="MessageHeader"/>
    <w:uiPriority w:val="99"/>
    <w:semiHidden/>
    <w:rsid w:val="00E37E2C"/>
    <w:rPr>
      <w:rFonts w:asciiTheme="majorHAnsi" w:eastAsiaTheme="majorEastAsia" w:hAnsiTheme="majorHAnsi" w:cstheme="majorBidi"/>
      <w:sz w:val="24"/>
      <w:szCs w:val="24"/>
      <w:shd w:val="pct20" w:color="auto" w:fill="auto"/>
      <w:lang w:eastAsia="ja-JP"/>
    </w:rPr>
  </w:style>
  <w:style w:type="paragraph" w:styleId="NormalWeb">
    <w:name w:val="Normal (Web)"/>
    <w:basedOn w:val="Normal"/>
    <w:uiPriority w:val="99"/>
    <w:semiHidden/>
    <w:unhideWhenUsed/>
    <w:rsid w:val="00E37E2C"/>
    <w:pPr>
      <w:spacing w:before="0" w:after="240" w:line="240" w:lineRule="atLeast"/>
    </w:pPr>
    <w:rPr>
      <w:rFonts w:ascii="Times New Roman" w:eastAsia="MS Mincho" w:hAnsi="Times New Roman"/>
      <w:sz w:val="24"/>
      <w:szCs w:val="24"/>
      <w:lang w:eastAsia="ja-JP"/>
    </w:rPr>
  </w:style>
  <w:style w:type="paragraph" w:styleId="NormalIndent">
    <w:name w:val="Normal Indent"/>
    <w:basedOn w:val="Normal"/>
    <w:uiPriority w:val="99"/>
    <w:semiHidden/>
    <w:unhideWhenUsed/>
    <w:rsid w:val="00E37E2C"/>
    <w:pPr>
      <w:spacing w:before="0" w:after="240" w:line="240" w:lineRule="atLeast"/>
      <w:ind w:left="720"/>
    </w:pPr>
    <w:rPr>
      <w:rFonts w:eastAsia="MS Mincho"/>
      <w:szCs w:val="20"/>
      <w:lang w:eastAsia="ja-JP"/>
    </w:rPr>
  </w:style>
  <w:style w:type="paragraph" w:styleId="NoteHeading">
    <w:name w:val="Note Heading"/>
    <w:basedOn w:val="Normal"/>
    <w:next w:val="Normal"/>
    <w:link w:val="NoteHeadingChar"/>
    <w:uiPriority w:val="99"/>
    <w:semiHidden/>
    <w:unhideWhenUsed/>
    <w:rsid w:val="00E37E2C"/>
    <w:pPr>
      <w:spacing w:before="0" w:after="0" w:line="240" w:lineRule="auto"/>
    </w:pPr>
    <w:rPr>
      <w:rFonts w:eastAsia="MS Mincho"/>
      <w:szCs w:val="20"/>
      <w:lang w:eastAsia="ja-JP"/>
    </w:rPr>
  </w:style>
  <w:style w:type="character" w:customStyle="1" w:styleId="NoteHeadingChar">
    <w:name w:val="Note Heading Char"/>
    <w:basedOn w:val="DefaultParagraphFont"/>
    <w:link w:val="NoteHeading"/>
    <w:uiPriority w:val="99"/>
    <w:semiHidden/>
    <w:rsid w:val="00E37E2C"/>
    <w:rPr>
      <w:rFonts w:ascii="Cambria" w:eastAsia="MS Mincho" w:hAnsi="Cambria"/>
      <w:sz w:val="22"/>
      <w:lang w:eastAsia="ja-JP"/>
    </w:rPr>
  </w:style>
  <w:style w:type="paragraph" w:styleId="Quote">
    <w:name w:val="Quote"/>
    <w:basedOn w:val="Normal"/>
    <w:next w:val="Normal"/>
    <w:link w:val="QuoteChar"/>
    <w:uiPriority w:val="29"/>
    <w:qFormat/>
    <w:rsid w:val="00E37E2C"/>
    <w:pPr>
      <w:spacing w:before="200" w:after="160" w:line="240" w:lineRule="atLeast"/>
      <w:ind w:left="864" w:right="864"/>
      <w:jc w:val="center"/>
    </w:pPr>
    <w:rPr>
      <w:rFonts w:eastAsia="MS Mincho"/>
      <w:i/>
      <w:iCs/>
      <w:color w:val="404040" w:themeColor="text1" w:themeTint="BF"/>
      <w:szCs w:val="20"/>
      <w:lang w:eastAsia="ja-JP"/>
    </w:rPr>
  </w:style>
  <w:style w:type="character" w:customStyle="1" w:styleId="QuoteChar">
    <w:name w:val="Quote Char"/>
    <w:basedOn w:val="DefaultParagraphFont"/>
    <w:link w:val="Quote"/>
    <w:uiPriority w:val="29"/>
    <w:rsid w:val="00E37E2C"/>
    <w:rPr>
      <w:rFonts w:ascii="Cambria" w:eastAsia="MS Mincho" w:hAnsi="Cambria"/>
      <w:i/>
      <w:iCs/>
      <w:color w:val="404040" w:themeColor="text1" w:themeTint="BF"/>
      <w:sz w:val="22"/>
      <w:lang w:eastAsia="ja-JP"/>
    </w:rPr>
  </w:style>
  <w:style w:type="paragraph" w:styleId="Salutation">
    <w:name w:val="Salutation"/>
    <w:basedOn w:val="Normal"/>
    <w:next w:val="Normal"/>
    <w:link w:val="SalutationChar"/>
    <w:uiPriority w:val="99"/>
    <w:semiHidden/>
    <w:unhideWhenUsed/>
    <w:rsid w:val="00E37E2C"/>
    <w:pPr>
      <w:spacing w:before="0" w:after="240" w:line="240" w:lineRule="atLeast"/>
    </w:pPr>
    <w:rPr>
      <w:rFonts w:eastAsia="MS Mincho"/>
      <w:szCs w:val="20"/>
      <w:lang w:eastAsia="ja-JP"/>
    </w:rPr>
  </w:style>
  <w:style w:type="character" w:customStyle="1" w:styleId="SalutationChar">
    <w:name w:val="Salutation Char"/>
    <w:basedOn w:val="DefaultParagraphFont"/>
    <w:link w:val="Salutation"/>
    <w:uiPriority w:val="99"/>
    <w:semiHidden/>
    <w:rsid w:val="00E37E2C"/>
    <w:rPr>
      <w:rFonts w:ascii="Cambria" w:eastAsia="MS Mincho" w:hAnsi="Cambria"/>
      <w:sz w:val="22"/>
      <w:lang w:eastAsia="ja-JP"/>
    </w:rPr>
  </w:style>
  <w:style w:type="paragraph" w:styleId="Subtitle">
    <w:name w:val="Subtitle"/>
    <w:basedOn w:val="Normal"/>
    <w:next w:val="Normal"/>
    <w:link w:val="SubtitleChar"/>
    <w:uiPriority w:val="11"/>
    <w:qFormat/>
    <w:rsid w:val="00E37E2C"/>
    <w:pPr>
      <w:numPr>
        <w:ilvl w:val="1"/>
      </w:numPr>
      <w:spacing w:before="0" w:after="160" w:line="240" w:lineRule="atLeast"/>
    </w:pPr>
    <w:rPr>
      <w:rFonts w:eastAsiaTheme="minorEastAsia"/>
      <w:color w:val="5A5A5A" w:themeColor="text1" w:themeTint="A5"/>
      <w:spacing w:val="15"/>
      <w:szCs w:val="20"/>
      <w:lang w:eastAsia="ja-JP"/>
    </w:rPr>
  </w:style>
  <w:style w:type="character" w:customStyle="1" w:styleId="SubtitleChar">
    <w:name w:val="Subtitle Char"/>
    <w:basedOn w:val="DefaultParagraphFont"/>
    <w:link w:val="Subtitle"/>
    <w:uiPriority w:val="11"/>
    <w:rsid w:val="00E37E2C"/>
    <w:rPr>
      <w:rFonts w:ascii="Cambria" w:eastAsiaTheme="minorEastAsia" w:hAnsi="Cambria"/>
      <w:color w:val="5A5A5A" w:themeColor="text1" w:themeTint="A5"/>
      <w:spacing w:val="15"/>
      <w:sz w:val="22"/>
      <w:lang w:eastAsia="ja-JP"/>
    </w:rPr>
  </w:style>
  <w:style w:type="paragraph" w:styleId="TableofAuthorities">
    <w:name w:val="table of authorities"/>
    <w:basedOn w:val="Normal"/>
    <w:next w:val="Normal"/>
    <w:uiPriority w:val="99"/>
    <w:semiHidden/>
    <w:unhideWhenUsed/>
    <w:rsid w:val="00E37E2C"/>
    <w:pPr>
      <w:spacing w:before="0" w:after="0" w:line="240" w:lineRule="atLeast"/>
      <w:ind w:left="220" w:hanging="220"/>
    </w:pPr>
    <w:rPr>
      <w:rFonts w:eastAsia="MS Mincho"/>
      <w:szCs w:val="20"/>
      <w:lang w:eastAsia="ja-JP"/>
    </w:rPr>
  </w:style>
  <w:style w:type="paragraph" w:styleId="TableofFigures">
    <w:name w:val="table of figures"/>
    <w:basedOn w:val="Normal"/>
    <w:next w:val="Normal"/>
    <w:uiPriority w:val="99"/>
    <w:semiHidden/>
    <w:unhideWhenUsed/>
    <w:rsid w:val="00E37E2C"/>
    <w:pPr>
      <w:spacing w:before="0" w:after="0" w:line="240" w:lineRule="atLeast"/>
    </w:pPr>
    <w:rPr>
      <w:rFonts w:eastAsia="MS Mincho"/>
      <w:szCs w:val="20"/>
      <w:lang w:eastAsia="ja-JP"/>
    </w:rPr>
  </w:style>
  <w:style w:type="paragraph" w:styleId="Title">
    <w:name w:val="Title"/>
    <w:basedOn w:val="Normal"/>
    <w:next w:val="Normal"/>
    <w:link w:val="TitleChar"/>
    <w:uiPriority w:val="10"/>
    <w:qFormat/>
    <w:rsid w:val="00E37E2C"/>
    <w:pPr>
      <w:spacing w:before="0" w:after="0" w:line="240" w:lineRule="auto"/>
      <w:contextualSpacing/>
    </w:pPr>
    <w:rPr>
      <w:rFonts w:asciiTheme="majorHAnsi" w:eastAsiaTheme="majorEastAsia" w:hAnsiTheme="majorHAnsi" w:cstheme="majorBidi"/>
      <w:spacing w:val="-10"/>
      <w:kern w:val="28"/>
      <w:sz w:val="56"/>
      <w:szCs w:val="56"/>
      <w:lang w:eastAsia="ja-JP"/>
    </w:rPr>
  </w:style>
  <w:style w:type="character" w:customStyle="1" w:styleId="TitleChar">
    <w:name w:val="Title Char"/>
    <w:basedOn w:val="DefaultParagraphFont"/>
    <w:link w:val="Title"/>
    <w:uiPriority w:val="10"/>
    <w:rsid w:val="00E37E2C"/>
    <w:rPr>
      <w:rFonts w:asciiTheme="majorHAnsi" w:eastAsiaTheme="majorEastAsia" w:hAnsiTheme="majorHAnsi" w:cstheme="majorBidi"/>
      <w:spacing w:val="-10"/>
      <w:kern w:val="28"/>
      <w:sz w:val="56"/>
      <w:szCs w:val="56"/>
      <w:lang w:eastAsia="ja-JP"/>
    </w:rPr>
  </w:style>
  <w:style w:type="paragraph" w:styleId="TOCHeading">
    <w:name w:val="TOC Heading"/>
    <w:basedOn w:val="Heading1"/>
    <w:next w:val="Normal"/>
    <w:uiPriority w:val="39"/>
    <w:semiHidden/>
    <w:unhideWhenUsed/>
    <w:qFormat/>
    <w:rsid w:val="00E37E2C"/>
    <w:pPr>
      <w:numPr>
        <w:numId w:val="0"/>
      </w:numPr>
      <w:tabs>
        <w:tab w:val="left" w:pos="400"/>
        <w:tab w:val="left" w:pos="560"/>
      </w:tabs>
      <w:spacing w:before="240"/>
      <w:jc w:val="left"/>
      <w:outlineLvl w:val="9"/>
    </w:pPr>
    <w:rPr>
      <w:rFonts w:cs="Times New Roman"/>
      <w:b w:val="0"/>
      <w:bCs/>
      <w:sz w:val="32"/>
      <w:szCs w:val="32"/>
      <w:lang w:eastAsia="ja-JP"/>
    </w:rPr>
  </w:style>
  <w:style w:type="character" w:customStyle="1" w:styleId="aubase">
    <w:name w:val="au_base"/>
    <w:rsid w:val="00E37E2C"/>
    <w:rPr>
      <w:rFonts w:ascii="Cambria" w:hAnsi="Cambria"/>
    </w:rPr>
  </w:style>
  <w:style w:type="character" w:customStyle="1" w:styleId="bibbase">
    <w:name w:val="bib_base"/>
    <w:rsid w:val="00E37E2C"/>
    <w:rPr>
      <w:rFonts w:ascii="Cambria" w:hAnsi="Cambria"/>
    </w:rPr>
  </w:style>
  <w:style w:type="character" w:customStyle="1" w:styleId="citebase">
    <w:name w:val="cite_base"/>
    <w:rsid w:val="00E37E2C"/>
    <w:rPr>
      <w:rFonts w:ascii="Cambria" w:hAnsi="Cambria"/>
    </w:rPr>
  </w:style>
  <w:style w:type="character" w:customStyle="1" w:styleId="stdbase">
    <w:name w:val="std_base"/>
    <w:rsid w:val="00E37E2C"/>
    <w:rPr>
      <w:rFonts w:ascii="Cambria" w:hAnsi="Cambria"/>
    </w:rPr>
  </w:style>
  <w:style w:type="character" w:customStyle="1" w:styleId="aucollab">
    <w:name w:val="au_collab"/>
    <w:rsid w:val="00E37E2C"/>
    <w:rPr>
      <w:rFonts w:ascii="Cambria" w:hAnsi="Cambria"/>
      <w:bdr w:val="none" w:sz="0" w:space="0" w:color="auto"/>
      <w:shd w:val="clear" w:color="auto" w:fill="C0C0C0"/>
    </w:rPr>
  </w:style>
  <w:style w:type="character" w:customStyle="1" w:styleId="audeg">
    <w:name w:val="au_deg"/>
    <w:rsid w:val="00E37E2C"/>
    <w:rPr>
      <w:rFonts w:ascii="Cambria" w:hAnsi="Cambria"/>
      <w:sz w:val="22"/>
      <w:bdr w:val="none" w:sz="0" w:space="0" w:color="auto"/>
      <w:shd w:val="clear" w:color="auto" w:fill="FFFF00"/>
    </w:rPr>
  </w:style>
  <w:style w:type="character" w:customStyle="1" w:styleId="aufname">
    <w:name w:val="au_fname"/>
    <w:rsid w:val="00E37E2C"/>
    <w:rPr>
      <w:rFonts w:ascii="Cambria" w:hAnsi="Cambria"/>
      <w:sz w:val="22"/>
      <w:bdr w:val="none" w:sz="0" w:space="0" w:color="auto"/>
      <w:shd w:val="clear" w:color="auto" w:fill="FFFFCC"/>
    </w:rPr>
  </w:style>
  <w:style w:type="character" w:customStyle="1" w:styleId="aumember">
    <w:name w:val="au_member"/>
    <w:rsid w:val="00E37E2C"/>
    <w:rPr>
      <w:rFonts w:ascii="Cambria" w:hAnsi="Cambria"/>
      <w:sz w:val="22"/>
      <w:bdr w:val="none" w:sz="0" w:space="0" w:color="auto"/>
      <w:shd w:val="clear" w:color="auto" w:fill="FF99CC"/>
    </w:rPr>
  </w:style>
  <w:style w:type="character" w:customStyle="1" w:styleId="auprefix">
    <w:name w:val="au_prefix"/>
    <w:rsid w:val="00E37E2C"/>
    <w:rPr>
      <w:rFonts w:ascii="Cambria" w:hAnsi="Cambria"/>
      <w:sz w:val="22"/>
      <w:bdr w:val="none" w:sz="0" w:space="0" w:color="auto"/>
      <w:shd w:val="clear" w:color="auto" w:fill="FFCC99"/>
    </w:rPr>
  </w:style>
  <w:style w:type="character" w:customStyle="1" w:styleId="aurole">
    <w:name w:val="au_role"/>
    <w:rsid w:val="00E37E2C"/>
    <w:rPr>
      <w:rFonts w:ascii="Cambria" w:hAnsi="Cambria"/>
      <w:sz w:val="22"/>
      <w:bdr w:val="none" w:sz="0" w:space="0" w:color="auto"/>
      <w:shd w:val="clear" w:color="auto" w:fill="808000"/>
    </w:rPr>
  </w:style>
  <w:style w:type="character" w:customStyle="1" w:styleId="ausuffix">
    <w:name w:val="au_suffix"/>
    <w:rsid w:val="00E37E2C"/>
    <w:rPr>
      <w:rFonts w:ascii="Cambria" w:hAnsi="Cambria"/>
      <w:sz w:val="22"/>
      <w:bdr w:val="none" w:sz="0" w:space="0" w:color="auto"/>
      <w:shd w:val="clear" w:color="auto" w:fill="FF00FF"/>
    </w:rPr>
  </w:style>
  <w:style w:type="character" w:customStyle="1" w:styleId="ausurname">
    <w:name w:val="au_surname"/>
    <w:rsid w:val="00E37E2C"/>
    <w:rPr>
      <w:rFonts w:ascii="Cambria" w:hAnsi="Cambria"/>
      <w:sz w:val="22"/>
      <w:bdr w:val="none" w:sz="0" w:space="0" w:color="auto"/>
      <w:shd w:val="clear" w:color="auto" w:fill="CCFF99"/>
    </w:rPr>
  </w:style>
  <w:style w:type="character" w:customStyle="1" w:styleId="bibalt-year">
    <w:name w:val="bib_alt-year"/>
    <w:rsid w:val="00E37E2C"/>
    <w:rPr>
      <w:rFonts w:ascii="Cambria" w:hAnsi="Cambria"/>
      <w:szCs w:val="24"/>
      <w:bdr w:val="none" w:sz="0" w:space="0" w:color="auto"/>
      <w:shd w:val="clear" w:color="auto" w:fill="CC99FF"/>
    </w:rPr>
  </w:style>
  <w:style w:type="character" w:customStyle="1" w:styleId="bibarticle">
    <w:name w:val="bib_article"/>
    <w:rsid w:val="00E37E2C"/>
    <w:rPr>
      <w:rFonts w:ascii="Cambria" w:hAnsi="Cambria"/>
      <w:bdr w:val="none" w:sz="0" w:space="0" w:color="auto"/>
      <w:shd w:val="clear" w:color="auto" w:fill="CCFFFF"/>
    </w:rPr>
  </w:style>
  <w:style w:type="character" w:customStyle="1" w:styleId="bibbook">
    <w:name w:val="bib_book"/>
    <w:rsid w:val="00E37E2C"/>
    <w:rPr>
      <w:rFonts w:ascii="Cambria" w:hAnsi="Cambria"/>
      <w:bdr w:val="none" w:sz="0" w:space="0" w:color="auto"/>
      <w:shd w:val="clear" w:color="auto" w:fill="99CCFF"/>
    </w:rPr>
  </w:style>
  <w:style w:type="character" w:customStyle="1" w:styleId="bibchapterno">
    <w:name w:val="bib_chapterno"/>
    <w:rsid w:val="00E37E2C"/>
    <w:rPr>
      <w:rFonts w:ascii="Cambria" w:hAnsi="Cambria"/>
      <w:bdr w:val="none" w:sz="0" w:space="0" w:color="auto"/>
      <w:shd w:val="clear" w:color="auto" w:fill="D9D9D9"/>
    </w:rPr>
  </w:style>
  <w:style w:type="character" w:customStyle="1" w:styleId="bibchaptertitle">
    <w:name w:val="bib_chaptertitle"/>
    <w:rsid w:val="00E37E2C"/>
    <w:rPr>
      <w:rFonts w:ascii="Cambria" w:hAnsi="Cambria"/>
      <w:bdr w:val="none" w:sz="0" w:space="0" w:color="auto"/>
      <w:shd w:val="clear" w:color="auto" w:fill="FF9D5B"/>
    </w:rPr>
  </w:style>
  <w:style w:type="character" w:customStyle="1" w:styleId="bibcomment">
    <w:name w:val="bib_comment"/>
    <w:basedOn w:val="bibbase"/>
    <w:rsid w:val="00E37E2C"/>
    <w:rPr>
      <w:rFonts w:ascii="Cambria" w:hAnsi="Cambria"/>
    </w:rPr>
  </w:style>
  <w:style w:type="character" w:customStyle="1" w:styleId="bibdeg">
    <w:name w:val="bib_deg"/>
    <w:basedOn w:val="bibbase"/>
    <w:rsid w:val="00E37E2C"/>
    <w:rPr>
      <w:rFonts w:ascii="Cambria" w:hAnsi="Cambria"/>
    </w:rPr>
  </w:style>
  <w:style w:type="character" w:customStyle="1" w:styleId="bibdoi">
    <w:name w:val="bib_doi"/>
    <w:rsid w:val="00E37E2C"/>
    <w:rPr>
      <w:rFonts w:ascii="Cambria" w:hAnsi="Cambria"/>
      <w:bdr w:val="none" w:sz="0" w:space="0" w:color="auto"/>
      <w:shd w:val="clear" w:color="auto" w:fill="CCFFCC"/>
    </w:rPr>
  </w:style>
  <w:style w:type="character" w:customStyle="1" w:styleId="bibed-etal">
    <w:name w:val="bib_ed-etal"/>
    <w:rsid w:val="00E37E2C"/>
    <w:rPr>
      <w:rFonts w:ascii="Cambria" w:hAnsi="Cambria"/>
      <w:bdr w:val="none" w:sz="0" w:space="0" w:color="auto"/>
      <w:shd w:val="clear" w:color="auto" w:fill="00F4EE"/>
    </w:rPr>
  </w:style>
  <w:style w:type="character" w:customStyle="1" w:styleId="bibed-fname">
    <w:name w:val="bib_ed-fname"/>
    <w:rsid w:val="00E37E2C"/>
    <w:rPr>
      <w:rFonts w:ascii="Cambria" w:hAnsi="Cambria"/>
      <w:bdr w:val="none" w:sz="0" w:space="0" w:color="auto"/>
      <w:shd w:val="clear" w:color="auto" w:fill="FFFFB7"/>
    </w:rPr>
  </w:style>
  <w:style w:type="character" w:customStyle="1" w:styleId="bibeditionno">
    <w:name w:val="bib_editionno"/>
    <w:rsid w:val="00E37E2C"/>
    <w:rPr>
      <w:rFonts w:ascii="Cambria" w:hAnsi="Cambria"/>
      <w:bdr w:val="none" w:sz="0" w:space="0" w:color="auto"/>
      <w:shd w:val="clear" w:color="auto" w:fill="FFCC00"/>
    </w:rPr>
  </w:style>
  <w:style w:type="character" w:customStyle="1" w:styleId="bibed-organization">
    <w:name w:val="bib_ed-organization"/>
    <w:rsid w:val="00E37E2C"/>
    <w:rPr>
      <w:rFonts w:ascii="Cambria" w:hAnsi="Cambria"/>
      <w:bdr w:val="none" w:sz="0" w:space="0" w:color="auto"/>
      <w:shd w:val="clear" w:color="auto" w:fill="FCAAC3"/>
    </w:rPr>
  </w:style>
  <w:style w:type="character" w:customStyle="1" w:styleId="bibed-suffix">
    <w:name w:val="bib_ed-suffix"/>
    <w:rsid w:val="00E37E2C"/>
    <w:rPr>
      <w:rFonts w:ascii="Cambria" w:hAnsi="Cambria"/>
      <w:bdr w:val="none" w:sz="0" w:space="0" w:color="auto"/>
      <w:shd w:val="clear" w:color="auto" w:fill="CCFFCC"/>
    </w:rPr>
  </w:style>
  <w:style w:type="character" w:customStyle="1" w:styleId="bibed-surname">
    <w:name w:val="bib_ed-surname"/>
    <w:rsid w:val="00E37E2C"/>
    <w:rPr>
      <w:rFonts w:ascii="Cambria" w:hAnsi="Cambria"/>
      <w:bdr w:val="none" w:sz="0" w:space="0" w:color="auto"/>
      <w:shd w:val="clear" w:color="auto" w:fill="FFFF00"/>
    </w:rPr>
  </w:style>
  <w:style w:type="character" w:customStyle="1" w:styleId="bibetal">
    <w:name w:val="bib_etal"/>
    <w:rsid w:val="00E37E2C"/>
    <w:rPr>
      <w:rFonts w:ascii="Cambria" w:hAnsi="Cambria"/>
      <w:bdr w:val="none" w:sz="0" w:space="0" w:color="auto"/>
      <w:shd w:val="clear" w:color="auto" w:fill="CCFF99"/>
    </w:rPr>
  </w:style>
  <w:style w:type="character" w:customStyle="1" w:styleId="bibextlink">
    <w:name w:val="bib_extlink"/>
    <w:rsid w:val="00E37E2C"/>
    <w:rPr>
      <w:rFonts w:ascii="Cambria" w:hAnsi="Cambria"/>
      <w:bdr w:val="none" w:sz="0" w:space="0" w:color="auto"/>
      <w:shd w:val="clear" w:color="auto" w:fill="6CCE9D"/>
    </w:rPr>
  </w:style>
  <w:style w:type="character" w:customStyle="1" w:styleId="bibfname">
    <w:name w:val="bib_fname"/>
    <w:rsid w:val="00E37E2C"/>
    <w:rPr>
      <w:rFonts w:ascii="Cambria" w:hAnsi="Cambria"/>
      <w:bdr w:val="none" w:sz="0" w:space="0" w:color="auto"/>
      <w:shd w:val="clear" w:color="auto" w:fill="FFFFCC"/>
    </w:rPr>
  </w:style>
  <w:style w:type="character" w:customStyle="1" w:styleId="bibfpage">
    <w:name w:val="bib_fpage"/>
    <w:rsid w:val="00E37E2C"/>
    <w:rPr>
      <w:rFonts w:ascii="Cambria" w:hAnsi="Cambria"/>
      <w:bdr w:val="none" w:sz="0" w:space="0" w:color="auto"/>
      <w:shd w:val="clear" w:color="auto" w:fill="E6E6E6"/>
    </w:rPr>
  </w:style>
  <w:style w:type="character" w:customStyle="1" w:styleId="bibinstitution">
    <w:name w:val="bib_institution"/>
    <w:rsid w:val="00E37E2C"/>
    <w:rPr>
      <w:rFonts w:ascii="Cambria" w:hAnsi="Cambria"/>
      <w:bdr w:val="none" w:sz="0" w:space="0" w:color="auto"/>
      <w:shd w:val="clear" w:color="auto" w:fill="CCFFCC"/>
    </w:rPr>
  </w:style>
  <w:style w:type="character" w:customStyle="1" w:styleId="bibisbn">
    <w:name w:val="bib_isbn"/>
    <w:rsid w:val="00E37E2C"/>
    <w:rPr>
      <w:rFonts w:ascii="Cambria" w:hAnsi="Cambria"/>
      <w:shd w:val="clear" w:color="auto" w:fill="D9D9D9"/>
    </w:rPr>
  </w:style>
  <w:style w:type="character" w:customStyle="1" w:styleId="bibissue">
    <w:name w:val="bib_issue"/>
    <w:rsid w:val="00E37E2C"/>
    <w:rPr>
      <w:rFonts w:ascii="Cambria" w:hAnsi="Cambria"/>
      <w:bdr w:val="none" w:sz="0" w:space="0" w:color="auto"/>
      <w:shd w:val="clear" w:color="auto" w:fill="FFFFAB"/>
    </w:rPr>
  </w:style>
  <w:style w:type="character" w:customStyle="1" w:styleId="bibjournal">
    <w:name w:val="bib_journal"/>
    <w:rsid w:val="00E37E2C"/>
    <w:rPr>
      <w:rFonts w:ascii="Cambria" w:hAnsi="Cambria"/>
      <w:bdr w:val="none" w:sz="0" w:space="0" w:color="auto"/>
      <w:shd w:val="clear" w:color="auto" w:fill="F9DECF"/>
    </w:rPr>
  </w:style>
  <w:style w:type="character" w:customStyle="1" w:styleId="biblocation">
    <w:name w:val="bib_location"/>
    <w:rsid w:val="00E37E2C"/>
    <w:rPr>
      <w:rFonts w:ascii="Cambria" w:hAnsi="Cambria"/>
      <w:bdr w:val="none" w:sz="0" w:space="0" w:color="auto"/>
      <w:shd w:val="clear" w:color="auto" w:fill="FFCCCC"/>
    </w:rPr>
  </w:style>
  <w:style w:type="character" w:customStyle="1" w:styleId="biblpage">
    <w:name w:val="bib_lpage"/>
    <w:rsid w:val="00E37E2C"/>
    <w:rPr>
      <w:rFonts w:ascii="Cambria" w:hAnsi="Cambria"/>
      <w:bdr w:val="none" w:sz="0" w:space="0" w:color="auto"/>
      <w:shd w:val="clear" w:color="auto" w:fill="D9D9D9"/>
    </w:rPr>
  </w:style>
  <w:style w:type="character" w:customStyle="1" w:styleId="bibmedline">
    <w:name w:val="bib_medline"/>
    <w:basedOn w:val="bibbase"/>
    <w:rsid w:val="00E37E2C"/>
    <w:rPr>
      <w:rFonts w:ascii="Cambria" w:hAnsi="Cambria"/>
    </w:rPr>
  </w:style>
  <w:style w:type="character" w:customStyle="1" w:styleId="bibnumber">
    <w:name w:val="bib_number"/>
    <w:rsid w:val="00E37E2C"/>
    <w:rPr>
      <w:rFonts w:ascii="Cambria" w:hAnsi="Cambria"/>
      <w:bdr w:val="none" w:sz="0" w:space="0" w:color="auto"/>
      <w:shd w:val="clear" w:color="auto" w:fill="CCCCFF"/>
    </w:rPr>
  </w:style>
  <w:style w:type="character" w:customStyle="1" w:styleId="biborganization">
    <w:name w:val="bib_organization"/>
    <w:rsid w:val="00E37E2C"/>
    <w:rPr>
      <w:rFonts w:ascii="Cambria" w:hAnsi="Cambria"/>
      <w:bdr w:val="none" w:sz="0" w:space="0" w:color="auto"/>
      <w:shd w:val="clear" w:color="auto" w:fill="CCFF99"/>
    </w:rPr>
  </w:style>
  <w:style w:type="character" w:customStyle="1" w:styleId="bibpagecount">
    <w:name w:val="bib_pagecount"/>
    <w:rsid w:val="00E37E2C"/>
    <w:rPr>
      <w:rFonts w:ascii="Cambria" w:hAnsi="Cambria"/>
      <w:bdr w:val="none" w:sz="0" w:space="0" w:color="auto"/>
      <w:shd w:val="clear" w:color="auto" w:fill="00FF00"/>
    </w:rPr>
  </w:style>
  <w:style w:type="character" w:customStyle="1" w:styleId="bibpatent">
    <w:name w:val="bib_patent"/>
    <w:rsid w:val="00E37E2C"/>
    <w:rPr>
      <w:rFonts w:ascii="Cambria" w:hAnsi="Cambria"/>
      <w:bdr w:val="none" w:sz="0" w:space="0" w:color="auto"/>
      <w:shd w:val="clear" w:color="auto" w:fill="66FFCC"/>
    </w:rPr>
  </w:style>
  <w:style w:type="character" w:customStyle="1" w:styleId="bibpublisher">
    <w:name w:val="bib_publisher"/>
    <w:rsid w:val="00E37E2C"/>
    <w:rPr>
      <w:rFonts w:ascii="Cambria" w:hAnsi="Cambria"/>
      <w:bdr w:val="none" w:sz="0" w:space="0" w:color="auto"/>
      <w:shd w:val="clear" w:color="auto" w:fill="FF99CC"/>
    </w:rPr>
  </w:style>
  <w:style w:type="character" w:customStyle="1" w:styleId="bibreportnum">
    <w:name w:val="bib_reportnum"/>
    <w:rsid w:val="00E37E2C"/>
    <w:rPr>
      <w:rFonts w:ascii="Cambria" w:hAnsi="Cambria"/>
      <w:bdr w:val="none" w:sz="0" w:space="0" w:color="auto"/>
      <w:shd w:val="clear" w:color="auto" w:fill="CCCCFF"/>
    </w:rPr>
  </w:style>
  <w:style w:type="character" w:customStyle="1" w:styleId="bibschool">
    <w:name w:val="bib_school"/>
    <w:rsid w:val="00E37E2C"/>
    <w:rPr>
      <w:rFonts w:ascii="Cambria" w:hAnsi="Cambria"/>
      <w:bdr w:val="none" w:sz="0" w:space="0" w:color="auto"/>
      <w:shd w:val="clear" w:color="auto" w:fill="FFCC66"/>
    </w:rPr>
  </w:style>
  <w:style w:type="character" w:customStyle="1" w:styleId="bibseries">
    <w:name w:val="bib_series"/>
    <w:rsid w:val="00E37E2C"/>
    <w:rPr>
      <w:rFonts w:ascii="Cambria" w:hAnsi="Cambria"/>
      <w:shd w:val="clear" w:color="auto" w:fill="FFCC99"/>
    </w:rPr>
  </w:style>
  <w:style w:type="character" w:customStyle="1" w:styleId="bibseriesno">
    <w:name w:val="bib_seriesno"/>
    <w:rsid w:val="00E37E2C"/>
    <w:rPr>
      <w:rFonts w:ascii="Cambria" w:hAnsi="Cambria"/>
      <w:shd w:val="clear" w:color="auto" w:fill="FFFF99"/>
    </w:rPr>
  </w:style>
  <w:style w:type="character" w:customStyle="1" w:styleId="bibsuffix">
    <w:name w:val="bib_suffix"/>
    <w:basedOn w:val="bibbase"/>
    <w:rsid w:val="00E37E2C"/>
    <w:rPr>
      <w:rFonts w:ascii="Cambria" w:hAnsi="Cambria"/>
    </w:rPr>
  </w:style>
  <w:style w:type="character" w:customStyle="1" w:styleId="bibsuppl">
    <w:name w:val="bib_suppl"/>
    <w:rsid w:val="00E37E2C"/>
    <w:rPr>
      <w:rFonts w:ascii="Cambria" w:hAnsi="Cambria"/>
      <w:bdr w:val="none" w:sz="0" w:space="0" w:color="auto"/>
      <w:shd w:val="clear" w:color="auto" w:fill="FFCC66"/>
    </w:rPr>
  </w:style>
  <w:style w:type="character" w:customStyle="1" w:styleId="bibsurname">
    <w:name w:val="bib_surname"/>
    <w:rsid w:val="00E37E2C"/>
    <w:rPr>
      <w:rFonts w:ascii="Cambria" w:hAnsi="Cambria"/>
      <w:bdr w:val="none" w:sz="0" w:space="0" w:color="auto"/>
      <w:shd w:val="clear" w:color="auto" w:fill="CCFF99"/>
    </w:rPr>
  </w:style>
  <w:style w:type="character" w:customStyle="1" w:styleId="bibtrans">
    <w:name w:val="bib_trans"/>
    <w:rsid w:val="00E37E2C"/>
    <w:rPr>
      <w:rFonts w:ascii="Cambria" w:hAnsi="Cambria"/>
      <w:shd w:val="clear" w:color="auto" w:fill="99CC00"/>
    </w:rPr>
  </w:style>
  <w:style w:type="character" w:customStyle="1" w:styleId="bibunpubl">
    <w:name w:val="bib_unpubl"/>
    <w:basedOn w:val="bibbase"/>
    <w:rsid w:val="00E37E2C"/>
    <w:rPr>
      <w:rFonts w:ascii="Cambria" w:hAnsi="Cambria"/>
    </w:rPr>
  </w:style>
  <w:style w:type="character" w:customStyle="1" w:styleId="biburl">
    <w:name w:val="bib_url"/>
    <w:rsid w:val="00E37E2C"/>
    <w:rPr>
      <w:rFonts w:ascii="Cambria" w:hAnsi="Cambria"/>
      <w:bdr w:val="none" w:sz="0" w:space="0" w:color="auto"/>
      <w:shd w:val="clear" w:color="auto" w:fill="CCFF66"/>
    </w:rPr>
  </w:style>
  <w:style w:type="character" w:customStyle="1" w:styleId="bibvolume">
    <w:name w:val="bib_volume"/>
    <w:rsid w:val="00E37E2C"/>
    <w:rPr>
      <w:rFonts w:ascii="Cambria" w:hAnsi="Cambria"/>
      <w:bdr w:val="none" w:sz="0" w:space="0" w:color="auto"/>
      <w:shd w:val="clear" w:color="auto" w:fill="CCECFF"/>
    </w:rPr>
  </w:style>
  <w:style w:type="character" w:customStyle="1" w:styleId="bibyear">
    <w:name w:val="bib_year"/>
    <w:rsid w:val="00E37E2C"/>
    <w:rPr>
      <w:rFonts w:ascii="Cambria" w:hAnsi="Cambria"/>
      <w:bdr w:val="none" w:sz="0" w:space="0" w:color="auto"/>
      <w:shd w:val="clear" w:color="auto" w:fill="FFCCFF"/>
    </w:rPr>
  </w:style>
  <w:style w:type="character" w:customStyle="1" w:styleId="citeapp">
    <w:name w:val="cite_app"/>
    <w:rsid w:val="00E37E2C"/>
    <w:rPr>
      <w:rFonts w:ascii="Cambria" w:hAnsi="Cambria"/>
      <w:bdr w:val="none" w:sz="0" w:space="0" w:color="auto"/>
      <w:shd w:val="clear" w:color="auto" w:fill="CCFF33"/>
    </w:rPr>
  </w:style>
  <w:style w:type="character" w:customStyle="1" w:styleId="citebib">
    <w:name w:val="cite_bib"/>
    <w:rsid w:val="00E37E2C"/>
    <w:rPr>
      <w:rFonts w:ascii="Cambria" w:hAnsi="Cambria"/>
      <w:bdr w:val="none" w:sz="0" w:space="0" w:color="auto"/>
      <w:shd w:val="clear" w:color="auto" w:fill="CCFFFF"/>
    </w:rPr>
  </w:style>
  <w:style w:type="character" w:customStyle="1" w:styleId="citebox">
    <w:name w:val="cite_box"/>
    <w:basedOn w:val="citebase"/>
    <w:rsid w:val="00E37E2C"/>
    <w:rPr>
      <w:rFonts w:ascii="Cambria" w:hAnsi="Cambria"/>
    </w:rPr>
  </w:style>
  <w:style w:type="character" w:customStyle="1" w:styleId="citeen">
    <w:name w:val="cite_en"/>
    <w:rsid w:val="00E37E2C"/>
    <w:rPr>
      <w:rFonts w:ascii="Cambria" w:hAnsi="Cambria"/>
      <w:bdr w:val="none" w:sz="0" w:space="0" w:color="auto"/>
      <w:shd w:val="clear" w:color="auto" w:fill="FFFF99"/>
      <w:vertAlign w:val="superscript"/>
    </w:rPr>
  </w:style>
  <w:style w:type="character" w:customStyle="1" w:styleId="citeeq">
    <w:name w:val="cite_eq"/>
    <w:rsid w:val="00E37E2C"/>
    <w:rPr>
      <w:rFonts w:ascii="Cambria" w:hAnsi="Cambria"/>
      <w:bdr w:val="none" w:sz="0" w:space="0" w:color="auto"/>
      <w:shd w:val="clear" w:color="auto" w:fill="FFAE37"/>
    </w:rPr>
  </w:style>
  <w:style w:type="character" w:customStyle="1" w:styleId="citefig">
    <w:name w:val="cite_fig"/>
    <w:rsid w:val="00E37E2C"/>
    <w:rPr>
      <w:rFonts w:ascii="Cambria" w:hAnsi="Cambria"/>
      <w:color w:val="auto"/>
      <w:bdr w:val="none" w:sz="0" w:space="0" w:color="auto"/>
      <w:shd w:val="clear" w:color="auto" w:fill="CCFFCC"/>
    </w:rPr>
  </w:style>
  <w:style w:type="character" w:customStyle="1" w:styleId="citefn">
    <w:name w:val="cite_fn"/>
    <w:rsid w:val="00E37E2C"/>
    <w:rPr>
      <w:rFonts w:ascii="Cambria" w:hAnsi="Cambria"/>
      <w:color w:val="auto"/>
      <w:sz w:val="22"/>
      <w:bdr w:val="none" w:sz="0" w:space="0" w:color="auto"/>
      <w:shd w:val="clear" w:color="auto" w:fill="FF99CC"/>
      <w:vertAlign w:val="baseline"/>
    </w:rPr>
  </w:style>
  <w:style w:type="character" w:customStyle="1" w:styleId="citesec">
    <w:name w:val="cite_sec"/>
    <w:rsid w:val="00E37E2C"/>
    <w:rPr>
      <w:rFonts w:ascii="Cambria" w:hAnsi="Cambria"/>
      <w:bdr w:val="none" w:sz="0" w:space="0" w:color="auto"/>
      <w:shd w:val="clear" w:color="auto" w:fill="FFCCCC"/>
    </w:rPr>
  </w:style>
  <w:style w:type="character" w:customStyle="1" w:styleId="citetbl">
    <w:name w:val="cite_tbl"/>
    <w:rsid w:val="00E37E2C"/>
    <w:rPr>
      <w:rFonts w:ascii="Cambria" w:hAnsi="Cambria"/>
      <w:color w:val="auto"/>
      <w:bdr w:val="none" w:sz="0" w:space="0" w:color="auto"/>
      <w:shd w:val="clear" w:color="auto" w:fill="FF9999"/>
    </w:rPr>
  </w:style>
  <w:style w:type="character" w:customStyle="1" w:styleId="citetfn">
    <w:name w:val="cite_tfn"/>
    <w:rsid w:val="00E37E2C"/>
    <w:rPr>
      <w:rFonts w:ascii="Cambria" w:hAnsi="Cambria"/>
      <w:bdr w:val="none" w:sz="0" w:space="0" w:color="auto"/>
      <w:shd w:val="clear" w:color="auto" w:fill="FBBA79"/>
    </w:rPr>
  </w:style>
  <w:style w:type="character" w:customStyle="1" w:styleId="stddocNumber">
    <w:name w:val="std_docNumber"/>
    <w:rsid w:val="00E37E2C"/>
    <w:rPr>
      <w:rFonts w:ascii="Cambria" w:hAnsi="Cambria"/>
      <w:bdr w:val="none" w:sz="0" w:space="0" w:color="auto"/>
      <w:shd w:val="clear" w:color="auto" w:fill="F2DBDB"/>
    </w:rPr>
  </w:style>
  <w:style w:type="character" w:customStyle="1" w:styleId="stddocTitle">
    <w:name w:val="std_docTitle"/>
    <w:rsid w:val="00E37E2C"/>
    <w:rPr>
      <w:rFonts w:ascii="Cambria" w:hAnsi="Cambria"/>
      <w:i/>
      <w:bdr w:val="none" w:sz="0" w:space="0" w:color="auto"/>
      <w:shd w:val="clear" w:color="auto" w:fill="FDE9D9"/>
    </w:rPr>
  </w:style>
  <w:style w:type="character" w:customStyle="1" w:styleId="stddocumentType">
    <w:name w:val="std_documentType"/>
    <w:rsid w:val="00E37E2C"/>
    <w:rPr>
      <w:rFonts w:ascii="Cambria" w:hAnsi="Cambria"/>
      <w:bdr w:val="none" w:sz="0" w:space="0" w:color="auto"/>
      <w:shd w:val="clear" w:color="auto" w:fill="7DE1DF"/>
    </w:rPr>
  </w:style>
  <w:style w:type="character" w:customStyle="1" w:styleId="stdfootnote">
    <w:name w:val="std_footnote"/>
    <w:rsid w:val="00E37E2C"/>
    <w:rPr>
      <w:rFonts w:ascii="Cambria" w:hAnsi="Cambria"/>
      <w:bdr w:val="none" w:sz="0" w:space="0" w:color="auto"/>
      <w:shd w:val="clear" w:color="auto" w:fill="F2F2F2"/>
    </w:rPr>
  </w:style>
  <w:style w:type="character" w:customStyle="1" w:styleId="stdpublisher">
    <w:name w:val="std_publisher"/>
    <w:rsid w:val="00E37E2C"/>
    <w:rPr>
      <w:rFonts w:ascii="Cambria" w:hAnsi="Cambria"/>
      <w:bdr w:val="none" w:sz="0" w:space="0" w:color="auto"/>
      <w:shd w:val="clear" w:color="auto" w:fill="C6D9F1"/>
    </w:rPr>
  </w:style>
  <w:style w:type="character" w:customStyle="1" w:styleId="stdsection">
    <w:name w:val="std_section"/>
    <w:rsid w:val="00E37E2C"/>
    <w:rPr>
      <w:rFonts w:ascii="Cambria" w:hAnsi="Cambria"/>
      <w:bdr w:val="none" w:sz="0" w:space="0" w:color="auto"/>
      <w:shd w:val="clear" w:color="auto" w:fill="E5DFEC"/>
    </w:rPr>
  </w:style>
  <w:style w:type="character" w:customStyle="1" w:styleId="stdsuppl">
    <w:name w:val="std_suppl"/>
    <w:rsid w:val="00E37E2C"/>
    <w:rPr>
      <w:rFonts w:ascii="Cambria" w:hAnsi="Cambria"/>
      <w:bdr w:val="none" w:sz="0" w:space="0" w:color="auto"/>
      <w:shd w:val="clear" w:color="auto" w:fill="F6FBB5"/>
    </w:rPr>
  </w:style>
  <w:style w:type="character" w:customStyle="1" w:styleId="stdyear">
    <w:name w:val="std_year"/>
    <w:rsid w:val="00E37E2C"/>
    <w:rPr>
      <w:rFonts w:ascii="Cambria" w:hAnsi="Cambria"/>
      <w:bdr w:val="none" w:sz="0" w:space="0" w:color="auto"/>
      <w:shd w:val="clear" w:color="auto" w:fill="DAEEF3"/>
    </w:rPr>
  </w:style>
  <w:style w:type="paragraph" w:customStyle="1" w:styleId="BaseHeading">
    <w:name w:val="Base_Heading"/>
    <w:qFormat/>
    <w:rsid w:val="00E37E2C"/>
    <w:pPr>
      <w:spacing w:after="240" w:line="240" w:lineRule="atLeast"/>
      <w:outlineLvl w:val="0"/>
    </w:pPr>
    <w:rPr>
      <w:rFonts w:ascii="Cambria" w:hAnsi="Cambria"/>
      <w:sz w:val="22"/>
      <w:szCs w:val="22"/>
      <w:lang w:eastAsia="en-US"/>
    </w:rPr>
  </w:style>
  <w:style w:type="paragraph" w:customStyle="1" w:styleId="BaseText">
    <w:name w:val="Base_Text"/>
    <w:qFormat/>
    <w:rsid w:val="00E37E2C"/>
    <w:pPr>
      <w:spacing w:after="240" w:line="240" w:lineRule="atLeast"/>
      <w:jc w:val="both"/>
    </w:pPr>
    <w:rPr>
      <w:rFonts w:ascii="Cambria" w:hAnsi="Cambria"/>
      <w:sz w:val="22"/>
      <w:szCs w:val="22"/>
      <w:lang w:eastAsia="en-US"/>
    </w:rPr>
  </w:style>
  <w:style w:type="paragraph" w:customStyle="1" w:styleId="BodyText-">
    <w:name w:val="Body Text (-)"/>
    <w:basedOn w:val="BaseText"/>
    <w:rsid w:val="00E37E2C"/>
    <w:pPr>
      <w:spacing w:line="220" w:lineRule="atLeast"/>
    </w:pPr>
    <w:rPr>
      <w:sz w:val="20"/>
      <w:lang w:val="de-DE"/>
    </w:rPr>
  </w:style>
  <w:style w:type="paragraph" w:customStyle="1" w:styleId="BodyTextindent1">
    <w:name w:val="Body Text indent 1"/>
    <w:basedOn w:val="BaseText"/>
    <w:rsid w:val="00E37E2C"/>
    <w:pPr>
      <w:ind w:left="403"/>
    </w:pPr>
  </w:style>
  <w:style w:type="paragraph" w:customStyle="1" w:styleId="BodyTextindent1-">
    <w:name w:val="Body Text indent 1 (-)"/>
    <w:basedOn w:val="BodyTextindent1"/>
    <w:rsid w:val="00E37E2C"/>
    <w:pPr>
      <w:spacing w:line="220" w:lineRule="atLeast"/>
    </w:pPr>
    <w:rPr>
      <w:sz w:val="20"/>
      <w:lang w:val="de-DE"/>
    </w:rPr>
  </w:style>
  <w:style w:type="paragraph" w:customStyle="1" w:styleId="BodyTextIndent21">
    <w:name w:val="Body Text Indent 21"/>
    <w:basedOn w:val="Normal"/>
    <w:rsid w:val="00E37E2C"/>
    <w:pPr>
      <w:spacing w:before="0" w:after="240" w:line="240" w:lineRule="atLeast"/>
      <w:ind w:left="805"/>
    </w:pPr>
    <w:rPr>
      <w:rFonts w:eastAsia="MS Mincho"/>
      <w:szCs w:val="20"/>
      <w:lang w:eastAsia="ja-JP"/>
    </w:rPr>
  </w:style>
  <w:style w:type="paragraph" w:customStyle="1" w:styleId="BodyTextindent2-">
    <w:name w:val="Body Text indent 2 (-)"/>
    <w:basedOn w:val="BodyTextIndent21"/>
    <w:rsid w:val="00E37E2C"/>
    <w:pPr>
      <w:spacing w:line="220" w:lineRule="atLeast"/>
    </w:pPr>
    <w:rPr>
      <w:sz w:val="20"/>
      <w:lang w:val="de-DE"/>
    </w:rPr>
  </w:style>
  <w:style w:type="paragraph" w:customStyle="1" w:styleId="BodyTextIndent31">
    <w:name w:val="Body Text Indent 31"/>
    <w:basedOn w:val="BodyTextIndent21"/>
    <w:rsid w:val="00E37E2C"/>
    <w:pPr>
      <w:ind w:left="1202"/>
    </w:pPr>
  </w:style>
  <w:style w:type="paragraph" w:customStyle="1" w:styleId="BodyTextindent3-">
    <w:name w:val="Body Text indent 3 (-)"/>
    <w:basedOn w:val="BodyTextIndent31"/>
    <w:rsid w:val="00E37E2C"/>
    <w:pPr>
      <w:spacing w:line="220" w:lineRule="atLeast"/>
    </w:pPr>
    <w:rPr>
      <w:sz w:val="20"/>
      <w:lang w:val="de-DE"/>
    </w:rPr>
  </w:style>
  <w:style w:type="paragraph" w:customStyle="1" w:styleId="BodyTextindent4">
    <w:name w:val="Body Text indent 4"/>
    <w:basedOn w:val="BodyTextIndent31"/>
    <w:rsid w:val="00E37E2C"/>
    <w:pPr>
      <w:ind w:left="1605"/>
    </w:pPr>
  </w:style>
  <w:style w:type="paragraph" w:customStyle="1" w:styleId="BodyTextindent4-">
    <w:name w:val="Body Text indent 4 (-)"/>
    <w:basedOn w:val="BodyTextindent4"/>
    <w:rsid w:val="00E37E2C"/>
    <w:pPr>
      <w:spacing w:line="220" w:lineRule="atLeast"/>
    </w:pPr>
    <w:rPr>
      <w:sz w:val="20"/>
      <w:lang w:val="de-DE"/>
    </w:rPr>
  </w:style>
  <w:style w:type="paragraph" w:customStyle="1" w:styleId="Code-">
    <w:name w:val="Code (-)"/>
    <w:basedOn w:val="Code"/>
    <w:rsid w:val="00E37E2C"/>
    <w:pPr>
      <w:spacing w:before="0" w:line="220" w:lineRule="atLeast"/>
      <w:jc w:val="left"/>
    </w:pPr>
    <w:rPr>
      <w:sz w:val="18"/>
    </w:rPr>
  </w:style>
  <w:style w:type="paragraph" w:customStyle="1" w:styleId="Code--">
    <w:name w:val="Code (--)"/>
    <w:basedOn w:val="Code"/>
    <w:rsid w:val="00E37E2C"/>
    <w:pPr>
      <w:spacing w:before="0" w:line="200" w:lineRule="atLeast"/>
      <w:jc w:val="left"/>
    </w:pPr>
    <w:rPr>
      <w:sz w:val="16"/>
    </w:rPr>
  </w:style>
  <w:style w:type="paragraph" w:customStyle="1" w:styleId="CoverTitleA1">
    <w:name w:val="Cover Title_A1"/>
    <w:basedOn w:val="BaseHeading"/>
    <w:rsid w:val="00E37E2C"/>
    <w:pPr>
      <w:spacing w:line="360" w:lineRule="exact"/>
      <w:outlineLvl w:val="9"/>
    </w:pPr>
    <w:rPr>
      <w:b/>
      <w:sz w:val="32"/>
    </w:rPr>
  </w:style>
  <w:style w:type="paragraph" w:customStyle="1" w:styleId="CoverTitleA2">
    <w:name w:val="Cover Title_A2"/>
    <w:basedOn w:val="CoverTitleA1"/>
    <w:rsid w:val="00E37E2C"/>
  </w:style>
  <w:style w:type="paragraph" w:customStyle="1" w:styleId="CoverTitleA3">
    <w:name w:val="Cover Title_A3"/>
    <w:basedOn w:val="CoverTitleA1"/>
    <w:rsid w:val="00E37E2C"/>
    <w:rPr>
      <w:b w:val="0"/>
    </w:rPr>
  </w:style>
  <w:style w:type="paragraph" w:customStyle="1" w:styleId="CoverTitleB">
    <w:name w:val="Cover Title_B"/>
    <w:basedOn w:val="BaseHeading"/>
    <w:rsid w:val="00E37E2C"/>
    <w:pPr>
      <w:outlineLvl w:val="9"/>
    </w:pPr>
    <w:rPr>
      <w:i/>
      <w:lang w:val="fr-FR"/>
    </w:rPr>
  </w:style>
  <w:style w:type="paragraph" w:customStyle="1" w:styleId="Dimension50">
    <w:name w:val="Dimension_50"/>
    <w:basedOn w:val="Dimension100"/>
    <w:rsid w:val="00E37E2C"/>
    <w:pPr>
      <w:keepNext/>
      <w:spacing w:before="0"/>
      <w:ind w:right="2432"/>
    </w:pPr>
    <w:rPr>
      <w:rFonts w:eastAsia="Calibri" w:cs="Times New Roman"/>
      <w:szCs w:val="22"/>
      <w:lang w:val="fr-FR" w:eastAsia="en-US"/>
    </w:rPr>
  </w:style>
  <w:style w:type="paragraph" w:customStyle="1" w:styleId="dl">
    <w:name w:val="dl"/>
    <w:basedOn w:val="BaseText"/>
    <w:rsid w:val="00E37E2C"/>
    <w:pPr>
      <w:ind w:left="806" w:hanging="403"/>
    </w:pPr>
  </w:style>
  <w:style w:type="paragraph" w:customStyle="1" w:styleId="Examplecontinued">
    <w:name w:val="Example continued"/>
    <w:basedOn w:val="Example"/>
    <w:rsid w:val="00E37E2C"/>
    <w:pPr>
      <w:spacing w:before="0"/>
    </w:pPr>
    <w:rPr>
      <w:rFonts w:eastAsia="Calibri" w:cs="Times New Roman"/>
      <w:szCs w:val="22"/>
      <w:lang w:eastAsia="en-US"/>
    </w:rPr>
  </w:style>
  <w:style w:type="paragraph" w:customStyle="1" w:styleId="Exampleindent">
    <w:name w:val="Example indent"/>
    <w:basedOn w:val="Example"/>
    <w:rsid w:val="00E37E2C"/>
    <w:pPr>
      <w:tabs>
        <w:tab w:val="clear" w:pos="1354"/>
        <w:tab w:val="left" w:pos="1757"/>
      </w:tabs>
      <w:spacing w:before="0"/>
      <w:ind w:left="403"/>
    </w:pPr>
    <w:rPr>
      <w:rFonts w:eastAsia="Calibri" w:cs="Times New Roman"/>
      <w:szCs w:val="22"/>
      <w:lang w:eastAsia="en-US"/>
    </w:rPr>
  </w:style>
  <w:style w:type="paragraph" w:customStyle="1" w:styleId="Exampleindentcontinued">
    <w:name w:val="Example indent continued"/>
    <w:basedOn w:val="Exampleindent"/>
    <w:rsid w:val="00E37E2C"/>
  </w:style>
  <w:style w:type="paragraph" w:customStyle="1" w:styleId="Figureexample">
    <w:name w:val="Figure example"/>
    <w:basedOn w:val="Example"/>
    <w:rsid w:val="00E37E2C"/>
    <w:pPr>
      <w:spacing w:before="0"/>
    </w:pPr>
    <w:rPr>
      <w:rFonts w:eastAsia="Calibri" w:cs="Times New Roman"/>
      <w:szCs w:val="22"/>
      <w:lang w:eastAsia="en-US"/>
    </w:rPr>
  </w:style>
  <w:style w:type="paragraph" w:customStyle="1" w:styleId="FigureGraphic">
    <w:name w:val="Figure Graphic"/>
    <w:basedOn w:val="BaseText"/>
    <w:rsid w:val="00E37E2C"/>
    <w:pPr>
      <w:spacing w:before="240" w:after="120"/>
      <w:jc w:val="center"/>
    </w:pPr>
  </w:style>
  <w:style w:type="paragraph" w:customStyle="1" w:styleId="Figuresubtitle">
    <w:name w:val="Figure subtitle"/>
    <w:basedOn w:val="BaseText"/>
    <w:rsid w:val="00E37E2C"/>
    <w:pPr>
      <w:spacing w:before="120" w:after="120"/>
      <w:jc w:val="center"/>
    </w:pPr>
    <w:rPr>
      <w:b/>
    </w:rPr>
  </w:style>
  <w:style w:type="paragraph" w:customStyle="1" w:styleId="ListContinue1">
    <w:name w:val="List Continue 1"/>
    <w:basedOn w:val="BaseText"/>
    <w:rsid w:val="00E37E2C"/>
    <w:pPr>
      <w:ind w:left="403" w:hanging="403"/>
    </w:pPr>
    <w:rPr>
      <w:lang w:val="fr-FR"/>
    </w:rPr>
  </w:style>
  <w:style w:type="paragraph" w:customStyle="1" w:styleId="ListContinue1-">
    <w:name w:val="List Continue 1 (-)"/>
    <w:basedOn w:val="ListContinue1"/>
    <w:rsid w:val="00E37E2C"/>
    <w:pPr>
      <w:spacing w:line="210" w:lineRule="atLeast"/>
    </w:pPr>
    <w:rPr>
      <w:sz w:val="20"/>
    </w:rPr>
  </w:style>
  <w:style w:type="paragraph" w:customStyle="1" w:styleId="ListContinue2-">
    <w:name w:val="List Continue 2 (-)"/>
    <w:basedOn w:val="ListContinue2"/>
    <w:rsid w:val="00E37E2C"/>
    <w:pPr>
      <w:tabs>
        <w:tab w:val="left" w:pos="800"/>
      </w:tabs>
      <w:spacing w:before="0" w:after="240" w:line="240" w:lineRule="atLeast"/>
      <w:ind w:left="806" w:hanging="403"/>
      <w:contextualSpacing w:val="0"/>
    </w:pPr>
    <w:rPr>
      <w:sz w:val="20"/>
      <w:lang w:val="fr-FR"/>
    </w:rPr>
  </w:style>
  <w:style w:type="paragraph" w:customStyle="1" w:styleId="ListContinue3-">
    <w:name w:val="List Continue 3 (-)"/>
    <w:basedOn w:val="ListContinue1-"/>
    <w:rsid w:val="00E37E2C"/>
    <w:pPr>
      <w:ind w:left="1209"/>
    </w:pPr>
  </w:style>
  <w:style w:type="paragraph" w:customStyle="1" w:styleId="ListContinue4-">
    <w:name w:val="List Continue 4 (-)"/>
    <w:basedOn w:val="ListContinue1-"/>
    <w:rsid w:val="00E37E2C"/>
    <w:pPr>
      <w:ind w:left="1598"/>
    </w:pPr>
  </w:style>
  <w:style w:type="paragraph" w:customStyle="1" w:styleId="ListNumber1">
    <w:name w:val="List Number 1"/>
    <w:basedOn w:val="BaseText"/>
    <w:rsid w:val="00E37E2C"/>
    <w:pPr>
      <w:tabs>
        <w:tab w:val="left" w:pos="403"/>
      </w:tabs>
      <w:ind w:left="403" w:hanging="403"/>
    </w:pPr>
    <w:rPr>
      <w:lang w:val="fr-FR"/>
    </w:rPr>
  </w:style>
  <w:style w:type="paragraph" w:customStyle="1" w:styleId="ListNumber1-">
    <w:name w:val="List Number 1 (-)"/>
    <w:basedOn w:val="ListNumber1"/>
    <w:rsid w:val="00E37E2C"/>
    <w:pPr>
      <w:spacing w:line="210" w:lineRule="atLeast"/>
    </w:pPr>
    <w:rPr>
      <w:sz w:val="20"/>
    </w:rPr>
  </w:style>
  <w:style w:type="paragraph" w:customStyle="1" w:styleId="ListNumber2-">
    <w:name w:val="List Number 2 (-)"/>
    <w:basedOn w:val="ListNumber1-"/>
    <w:qFormat/>
    <w:rsid w:val="00E37E2C"/>
    <w:pPr>
      <w:ind w:left="806"/>
    </w:pPr>
  </w:style>
  <w:style w:type="paragraph" w:customStyle="1" w:styleId="ListNumber3-">
    <w:name w:val="List Number 3 (-)"/>
    <w:basedOn w:val="ListNumber1-"/>
    <w:rsid w:val="00E37E2C"/>
    <w:pPr>
      <w:ind w:left="1209"/>
    </w:pPr>
  </w:style>
  <w:style w:type="paragraph" w:customStyle="1" w:styleId="ListNumber4-">
    <w:name w:val="List Number 4 (-)"/>
    <w:basedOn w:val="ListNumber1-"/>
    <w:rsid w:val="00E37E2C"/>
    <w:pPr>
      <w:ind w:left="1598"/>
    </w:pPr>
  </w:style>
  <w:style w:type="paragraph" w:customStyle="1" w:styleId="Tablebody0">
    <w:name w:val="Table body (+)"/>
    <w:basedOn w:val="Tablebody"/>
    <w:rsid w:val="00E37E2C"/>
    <w:pPr>
      <w:spacing w:line="230" w:lineRule="atLeast"/>
      <w:jc w:val="left"/>
    </w:pPr>
    <w:rPr>
      <w:rFonts w:eastAsia="Calibri" w:cs="Times New Roman"/>
      <w:sz w:val="24"/>
      <w:szCs w:val="22"/>
      <w:lang w:eastAsia="en-US"/>
    </w:rPr>
  </w:style>
  <w:style w:type="paragraph" w:customStyle="1" w:styleId="Tableheader0">
    <w:name w:val="Table header (+)"/>
    <w:basedOn w:val="Tablebody0"/>
    <w:rsid w:val="00E37E2C"/>
  </w:style>
  <w:style w:type="paragraph" w:customStyle="1" w:styleId="Notecontinued">
    <w:name w:val="Note continued"/>
    <w:basedOn w:val="Note"/>
    <w:rsid w:val="00E37E2C"/>
    <w:pPr>
      <w:tabs>
        <w:tab w:val="clear" w:pos="960"/>
        <w:tab w:val="left" w:pos="965"/>
      </w:tabs>
      <w:spacing w:before="0" w:line="220" w:lineRule="atLeast"/>
    </w:pPr>
    <w:rPr>
      <w:rFonts w:eastAsia="Calibri" w:cs="Times New Roman"/>
      <w:szCs w:val="22"/>
      <w:lang w:eastAsia="en-US"/>
    </w:rPr>
  </w:style>
  <w:style w:type="paragraph" w:customStyle="1" w:styleId="Noteindent">
    <w:name w:val="Note indent"/>
    <w:basedOn w:val="Note"/>
    <w:rsid w:val="00E37E2C"/>
    <w:pPr>
      <w:tabs>
        <w:tab w:val="clear" w:pos="960"/>
        <w:tab w:val="left" w:pos="1368"/>
      </w:tabs>
      <w:spacing w:before="0" w:line="220" w:lineRule="atLeast"/>
      <w:ind w:left="403"/>
    </w:pPr>
    <w:rPr>
      <w:rFonts w:eastAsia="Calibri" w:cs="Times New Roman"/>
      <w:szCs w:val="22"/>
      <w:lang w:eastAsia="en-US"/>
    </w:rPr>
  </w:style>
  <w:style w:type="paragraph" w:customStyle="1" w:styleId="Noteindentcontinued">
    <w:name w:val="Note indent continued"/>
    <w:basedOn w:val="Noteindent"/>
    <w:qFormat/>
    <w:rsid w:val="00E37E2C"/>
  </w:style>
  <w:style w:type="paragraph" w:customStyle="1" w:styleId="MainTitle1">
    <w:name w:val="Main Title 1"/>
    <w:basedOn w:val="CoverTitleA1"/>
    <w:rsid w:val="00E37E2C"/>
    <w:pPr>
      <w:spacing w:before="400"/>
    </w:pPr>
  </w:style>
  <w:style w:type="paragraph" w:customStyle="1" w:styleId="MainTitle2">
    <w:name w:val="Main Title 2"/>
    <w:basedOn w:val="CoverTitleA2"/>
    <w:rsid w:val="00E37E2C"/>
    <w:pPr>
      <w:outlineLvl w:val="1"/>
    </w:pPr>
  </w:style>
  <w:style w:type="paragraph" w:customStyle="1" w:styleId="MainTitle3">
    <w:name w:val="Main Title 3"/>
    <w:basedOn w:val="CoverTitleA3"/>
    <w:rsid w:val="00E37E2C"/>
    <w:pPr>
      <w:outlineLvl w:val="2"/>
    </w:pPr>
  </w:style>
  <w:style w:type="paragraph" w:customStyle="1" w:styleId="TableGraphic">
    <w:name w:val="Table Graphic"/>
    <w:basedOn w:val="FigureGraphic"/>
    <w:rsid w:val="00E37E2C"/>
  </w:style>
  <w:style w:type="character" w:customStyle="1" w:styleId="Courier">
    <w:name w:val="Courier"/>
    <w:rsid w:val="00E37E2C"/>
    <w:rPr>
      <w:rFonts w:ascii="Courier New" w:hAnsi="Courier New"/>
    </w:rPr>
  </w:style>
  <w:style w:type="paragraph" w:customStyle="1" w:styleId="ListNumber5-">
    <w:name w:val="List Number 5 (-)"/>
    <w:basedOn w:val="ListNumber1-"/>
    <w:qFormat/>
    <w:rsid w:val="00E37E2C"/>
    <w:pPr>
      <w:ind w:left="1821"/>
    </w:pPr>
  </w:style>
  <w:style w:type="paragraph" w:customStyle="1" w:styleId="ListContinue5-">
    <w:name w:val="List Continue 5 (-)"/>
    <w:basedOn w:val="ListContinue5"/>
    <w:qFormat/>
    <w:rsid w:val="00E37E2C"/>
    <w:pPr>
      <w:spacing w:before="0" w:line="240" w:lineRule="atLeast"/>
      <w:ind w:left="1821" w:hanging="403"/>
    </w:pPr>
    <w:rPr>
      <w:rFonts w:eastAsia="MS Mincho"/>
      <w:sz w:val="20"/>
      <w:szCs w:val="20"/>
      <w:lang w:val="fr-FR" w:eastAsia="ja-JP"/>
    </w:rPr>
  </w:style>
  <w:style w:type="paragraph" w:customStyle="1" w:styleId="BiblioText">
    <w:name w:val="Biblio Text"/>
    <w:basedOn w:val="BaseText"/>
    <w:qFormat/>
    <w:rsid w:val="00E37E2C"/>
  </w:style>
  <w:style w:type="paragraph" w:customStyle="1" w:styleId="Figuredescription">
    <w:name w:val="Figure description"/>
    <w:basedOn w:val="Figuretitle"/>
    <w:rsid w:val="00E37E2C"/>
    <w:pPr>
      <w:shd w:val="pct10" w:color="auto" w:fill="auto"/>
      <w:spacing w:before="240" w:after="360" w:line="240" w:lineRule="atLeast"/>
    </w:pPr>
    <w:rPr>
      <w:rFonts w:eastAsia="Calibri" w:cs="Times New Roman"/>
      <w:szCs w:val="24"/>
      <w:lang w:eastAsia="en-US"/>
    </w:rPr>
  </w:style>
  <w:style w:type="paragraph" w:customStyle="1" w:styleId="Formuladescription">
    <w:name w:val="Formula description"/>
    <w:basedOn w:val="Formula"/>
    <w:rsid w:val="00E37E2C"/>
    <w:pPr>
      <w:shd w:val="pct10" w:color="auto" w:fill="auto"/>
      <w:spacing w:before="0"/>
      <w:jc w:val="left"/>
    </w:pPr>
    <w:rPr>
      <w:rFonts w:eastAsia="Calibri" w:cs="Times New Roman"/>
      <w:szCs w:val="24"/>
      <w:lang w:eastAsia="en-US"/>
    </w:rPr>
  </w:style>
  <w:style w:type="paragraph" w:customStyle="1" w:styleId="Tabledescription">
    <w:name w:val="Table description"/>
    <w:basedOn w:val="Tabletitle"/>
    <w:rsid w:val="00E37E2C"/>
    <w:pPr>
      <w:shd w:val="pct10" w:color="auto" w:fill="auto"/>
      <w:autoSpaceDE/>
      <w:autoSpaceDN/>
      <w:adjustRightInd/>
      <w:spacing w:before="120" w:line="240" w:lineRule="atLeast"/>
    </w:pPr>
    <w:rPr>
      <w:rFonts w:eastAsia="Calibri" w:cs="Times New Roman"/>
      <w:lang w:eastAsia="en-US"/>
    </w:rPr>
  </w:style>
  <w:style w:type="paragraph" w:customStyle="1" w:styleId="Box-begin">
    <w:name w:val="Box-begin"/>
    <w:basedOn w:val="BaseText"/>
    <w:rsid w:val="00E37E2C"/>
    <w:pPr>
      <w:shd w:val="clear" w:color="auto" w:fill="D9D9D9"/>
      <w:jc w:val="left"/>
    </w:pPr>
    <w:rPr>
      <w:szCs w:val="24"/>
    </w:rPr>
  </w:style>
  <w:style w:type="paragraph" w:customStyle="1" w:styleId="Box-end">
    <w:name w:val="Box-end"/>
    <w:basedOn w:val="BaseText"/>
    <w:rsid w:val="00E37E2C"/>
    <w:pPr>
      <w:shd w:val="clear" w:color="auto" w:fill="D9D9D9"/>
      <w:jc w:val="left"/>
    </w:pPr>
    <w:rPr>
      <w:szCs w:val="24"/>
    </w:rPr>
  </w:style>
  <w:style w:type="paragraph" w:customStyle="1" w:styleId="Box-title">
    <w:name w:val="Box-title"/>
    <w:basedOn w:val="BaseHeading"/>
    <w:rsid w:val="00E37E2C"/>
    <w:pPr>
      <w:shd w:val="clear" w:color="auto" w:fill="E6E6E6"/>
    </w:pPr>
    <w:rPr>
      <w:b/>
      <w:sz w:val="26"/>
      <w:szCs w:val="24"/>
    </w:rPr>
  </w:style>
  <w:style w:type="character" w:customStyle="1" w:styleId="CodeCharacter">
    <w:name w:val="CodeCharacter"/>
    <w:uiPriority w:val="1"/>
    <w:rsid w:val="00E37E2C"/>
    <w:rPr>
      <w:rFonts w:ascii="Courier New" w:hAnsi="Courier New"/>
      <w:sz w:val="20"/>
      <w:bdr w:val="none" w:sz="0" w:space="0" w:color="auto"/>
      <w:shd w:val="clear" w:color="auto" w:fill="auto"/>
    </w:rPr>
  </w:style>
  <w:style w:type="character" w:customStyle="1" w:styleId="CodeCharacter-">
    <w:name w:val="CodeCharacter (-)"/>
    <w:uiPriority w:val="1"/>
    <w:rsid w:val="00E37E2C"/>
    <w:rPr>
      <w:rFonts w:ascii="Courier New" w:hAnsi="Courier New"/>
      <w:sz w:val="18"/>
      <w:bdr w:val="none" w:sz="0" w:space="0" w:color="auto"/>
      <w:shd w:val="clear" w:color="auto" w:fill="auto"/>
    </w:rPr>
  </w:style>
  <w:style w:type="character" w:customStyle="1" w:styleId="CodeCharacter--">
    <w:name w:val="CodeCharacter (--)"/>
    <w:uiPriority w:val="1"/>
    <w:rsid w:val="00E37E2C"/>
    <w:rPr>
      <w:rFonts w:ascii="Courier New" w:hAnsi="Courier New"/>
      <w:sz w:val="16"/>
      <w:bdr w:val="none" w:sz="0" w:space="0" w:color="auto"/>
      <w:shd w:val="clear" w:color="auto" w:fill="auto"/>
    </w:rPr>
  </w:style>
  <w:style w:type="paragraph" w:customStyle="1" w:styleId="EndorsementTitle">
    <w:name w:val="Endorsement Title"/>
    <w:basedOn w:val="BaseHeading"/>
    <w:rsid w:val="00E37E2C"/>
    <w:pPr>
      <w:keepNext/>
      <w:suppressAutoHyphens/>
      <w:spacing w:before="310" w:after="310" w:line="310" w:lineRule="atLeast"/>
      <w:jc w:val="center"/>
    </w:pPr>
    <w:rPr>
      <w:b/>
      <w:sz w:val="28"/>
    </w:rPr>
  </w:style>
  <w:style w:type="paragraph" w:customStyle="1" w:styleId="FigureTextCenter">
    <w:name w:val="Figure Text_Center"/>
    <w:basedOn w:val="BaseText"/>
    <w:rsid w:val="00E37E2C"/>
    <w:pPr>
      <w:jc w:val="center"/>
    </w:pPr>
  </w:style>
  <w:style w:type="paragraph" w:customStyle="1" w:styleId="FigureTextRight">
    <w:name w:val="Figure Text_Right"/>
    <w:basedOn w:val="BaseText"/>
    <w:rsid w:val="00E37E2C"/>
    <w:pPr>
      <w:jc w:val="right"/>
    </w:pPr>
  </w:style>
  <w:style w:type="paragraph" w:customStyle="1" w:styleId="IndexHead">
    <w:name w:val="Index Head"/>
    <w:basedOn w:val="BaseHeading"/>
    <w:rsid w:val="00E37E2C"/>
    <w:pPr>
      <w:spacing w:before="270" w:line="270" w:lineRule="exact"/>
    </w:pPr>
    <w:rPr>
      <w:b/>
      <w:sz w:val="26"/>
      <w:szCs w:val="28"/>
    </w:rPr>
  </w:style>
  <w:style w:type="paragraph" w:customStyle="1" w:styleId="RefNormOthers">
    <w:name w:val="RefNorm Others"/>
    <w:basedOn w:val="RefNorm"/>
    <w:link w:val="RefNormOthersChar"/>
    <w:qFormat/>
    <w:rsid w:val="00E37E2C"/>
    <w:pPr>
      <w:spacing w:before="0" w:line="240" w:lineRule="atLeast"/>
    </w:pPr>
    <w:rPr>
      <w:rFonts w:eastAsia="Calibri" w:cs="Times New Roman"/>
      <w:szCs w:val="22"/>
      <w:lang w:eastAsia="en-US"/>
    </w:rPr>
  </w:style>
  <w:style w:type="character" w:customStyle="1" w:styleId="RefNormOthersChar">
    <w:name w:val="RefNorm Others Char"/>
    <w:link w:val="RefNormOthers"/>
    <w:rsid w:val="00E37E2C"/>
    <w:rPr>
      <w:rFonts w:ascii="Cambria" w:hAnsi="Cambria"/>
      <w:sz w:val="22"/>
      <w:szCs w:val="22"/>
      <w:lang w:eastAsia="en-US"/>
    </w:rPr>
  </w:style>
  <w:style w:type="paragraph" w:customStyle="1" w:styleId="Tablefooter-">
    <w:name w:val="Table footer (-)"/>
    <w:basedOn w:val="BaseText"/>
    <w:rsid w:val="00E37E2C"/>
    <w:pPr>
      <w:tabs>
        <w:tab w:val="left" w:pos="346"/>
      </w:tabs>
      <w:spacing w:before="60" w:after="60" w:line="200" w:lineRule="atLeast"/>
    </w:pPr>
    <w:rPr>
      <w:sz w:val="18"/>
    </w:rPr>
  </w:style>
  <w:style w:type="character" w:customStyle="1" w:styleId="XMLattribute">
    <w:name w:val="XML attribute"/>
    <w:rsid w:val="00E37E2C"/>
    <w:rPr>
      <w:rFonts w:ascii="Courier New" w:hAnsi="Courier New" w:cs="Courier New"/>
      <w:color w:val="FF0000"/>
      <w:sz w:val="16"/>
      <w:szCs w:val="16"/>
    </w:rPr>
  </w:style>
  <w:style w:type="character" w:customStyle="1" w:styleId="XMLelement">
    <w:name w:val="XML element"/>
    <w:rsid w:val="00E37E2C"/>
    <w:rPr>
      <w:rFonts w:ascii="Courier New" w:hAnsi="Courier New" w:cs="Courier New"/>
      <w:color w:val="800000"/>
      <w:sz w:val="16"/>
      <w:szCs w:val="16"/>
    </w:rPr>
  </w:style>
  <w:style w:type="character" w:customStyle="1" w:styleId="XMLtagbracket">
    <w:name w:val="XMLtag bracket"/>
    <w:uiPriority w:val="1"/>
    <w:qFormat/>
    <w:rsid w:val="00E37E2C"/>
    <w:rPr>
      <w:rFonts w:ascii="Courier New" w:hAnsi="Courier New"/>
      <w:color w:val="0000FF"/>
      <w:sz w:val="16"/>
    </w:rPr>
  </w:style>
  <w:style w:type="paragraph" w:customStyle="1" w:styleId="Tablefootercontinued">
    <w:name w:val="Table footer continued"/>
    <w:basedOn w:val="Tablefooter"/>
    <w:qFormat/>
    <w:rsid w:val="00E37E2C"/>
    <w:rPr>
      <w:rFonts w:eastAsia="Calibri" w:cs="Times New Roman"/>
      <w:szCs w:val="22"/>
      <w:lang w:eastAsia="en-US"/>
    </w:rPr>
  </w:style>
  <w:style w:type="paragraph" w:customStyle="1" w:styleId="Tablefootertext">
    <w:name w:val="Table footer text"/>
    <w:basedOn w:val="Tablefooter"/>
    <w:qFormat/>
    <w:rsid w:val="00E37E2C"/>
    <w:rPr>
      <w:rFonts w:eastAsia="Calibri" w:cs="Times New Roman"/>
      <w:szCs w:val="22"/>
      <w:lang w:eastAsia="en-US"/>
    </w:rPr>
  </w:style>
  <w:style w:type="character" w:customStyle="1" w:styleId="CCMCvariable">
    <w:name w:val="CCMCvariable"/>
    <w:rsid w:val="00E37E2C"/>
    <w:rPr>
      <w:rFonts w:ascii="Cambria" w:hAnsi="Cambria"/>
    </w:rPr>
  </w:style>
  <w:style w:type="character" w:customStyle="1" w:styleId="CCMCvariableitalic">
    <w:name w:val="CCMCvariable_italic"/>
    <w:uiPriority w:val="1"/>
    <w:rsid w:val="00E37E2C"/>
    <w:rPr>
      <w:rFonts w:ascii="Cambria" w:hAnsi="Cambria"/>
      <w:i/>
    </w:rPr>
  </w:style>
  <w:style w:type="character" w:customStyle="1" w:styleId="CCMCvariableitalicsubscript">
    <w:name w:val="CCMCvariable_italic_subscript"/>
    <w:uiPriority w:val="1"/>
    <w:rsid w:val="00E37E2C"/>
    <w:rPr>
      <w:rFonts w:ascii="Cambria" w:hAnsi="Cambria"/>
      <w:i/>
      <w:vertAlign w:val="subscript"/>
    </w:rPr>
  </w:style>
  <w:style w:type="character" w:customStyle="1" w:styleId="CCMCvariableitalicsuperscript">
    <w:name w:val="CCMCvariable_italic_superscript"/>
    <w:uiPriority w:val="1"/>
    <w:rsid w:val="00E37E2C"/>
    <w:rPr>
      <w:rFonts w:ascii="Cambria" w:hAnsi="Cambria"/>
      <w:i/>
      <w:vertAlign w:val="superscript"/>
    </w:rPr>
  </w:style>
  <w:style w:type="character" w:customStyle="1" w:styleId="CCMCvariablesubscript">
    <w:name w:val="CCMCvariable_subscript"/>
    <w:uiPriority w:val="1"/>
    <w:rsid w:val="00E37E2C"/>
    <w:rPr>
      <w:rFonts w:ascii="Cambria" w:hAnsi="Cambria"/>
      <w:vertAlign w:val="subscript"/>
    </w:rPr>
  </w:style>
  <w:style w:type="character" w:customStyle="1" w:styleId="CCMCvariablesuperscript">
    <w:name w:val="CCMCvariable_superscript"/>
    <w:uiPriority w:val="1"/>
    <w:rsid w:val="00E37E2C"/>
    <w:rPr>
      <w:rFonts w:ascii="Cambria" w:hAnsi="Cambria"/>
      <w:vertAlign w:val="superscript"/>
    </w:rPr>
  </w:style>
  <w:style w:type="paragraph" w:customStyle="1" w:styleId="Exampleindent2">
    <w:name w:val="Example indent 2"/>
    <w:basedOn w:val="Example"/>
    <w:rsid w:val="00E37E2C"/>
    <w:pPr>
      <w:tabs>
        <w:tab w:val="clear" w:pos="1354"/>
        <w:tab w:val="left" w:pos="2160"/>
      </w:tabs>
      <w:spacing w:before="0"/>
      <w:ind w:left="805"/>
    </w:pPr>
    <w:rPr>
      <w:rFonts w:eastAsia="Calibri" w:cs="Times New Roman"/>
      <w:szCs w:val="22"/>
      <w:lang w:eastAsia="en-US"/>
    </w:rPr>
  </w:style>
  <w:style w:type="paragraph" w:customStyle="1" w:styleId="Exampleindent2continued">
    <w:name w:val="Example indent 2 continued"/>
    <w:basedOn w:val="Examplecontinued"/>
    <w:rsid w:val="00E37E2C"/>
    <w:pPr>
      <w:tabs>
        <w:tab w:val="clear" w:pos="1354"/>
        <w:tab w:val="left" w:pos="2160"/>
      </w:tabs>
      <w:ind w:left="805"/>
    </w:pPr>
  </w:style>
  <w:style w:type="paragraph" w:customStyle="1" w:styleId="Noteindent2">
    <w:name w:val="Note indent 2"/>
    <w:basedOn w:val="Note"/>
    <w:rsid w:val="00E37E2C"/>
    <w:pPr>
      <w:tabs>
        <w:tab w:val="clear" w:pos="960"/>
        <w:tab w:val="left" w:pos="2160"/>
      </w:tabs>
      <w:spacing w:before="0" w:line="220" w:lineRule="atLeast"/>
      <w:ind w:left="805"/>
    </w:pPr>
    <w:rPr>
      <w:rFonts w:eastAsia="Calibri" w:cs="Times New Roman"/>
      <w:szCs w:val="22"/>
      <w:lang w:eastAsia="en-US"/>
    </w:rPr>
  </w:style>
  <w:style w:type="paragraph" w:customStyle="1" w:styleId="Noteindent2continued">
    <w:name w:val="Note indent 2 continued"/>
    <w:basedOn w:val="Notecontinued"/>
    <w:rsid w:val="00E37E2C"/>
    <w:pPr>
      <w:tabs>
        <w:tab w:val="clear" w:pos="965"/>
        <w:tab w:val="left" w:pos="2160"/>
      </w:tabs>
      <w:ind w:left="805"/>
    </w:pPr>
  </w:style>
  <w:style w:type="paragraph" w:customStyle="1" w:styleId="Tablefootnote">
    <w:name w:val="Table footnote"/>
    <w:basedOn w:val="Normal"/>
    <w:rsid w:val="00E37E2C"/>
    <w:pPr>
      <w:tabs>
        <w:tab w:val="left" w:pos="340"/>
      </w:tabs>
      <w:spacing w:after="60" w:line="190" w:lineRule="atLeast"/>
    </w:pPr>
    <w:rPr>
      <w:rFonts w:eastAsia="MS Mincho"/>
      <w:sz w:val="18"/>
      <w:szCs w:val="20"/>
      <w:lang w:eastAsia="ja-JP"/>
    </w:rPr>
  </w:style>
  <w:style w:type="paragraph" w:customStyle="1" w:styleId="ANNEXZZ">
    <w:name w:val="ANNEXZZ"/>
    <w:basedOn w:val="BaseHeading"/>
    <w:rsid w:val="00E37E2C"/>
    <w:pPr>
      <w:keepNext/>
      <w:pageBreakBefore/>
      <w:numPr>
        <w:numId w:val="735"/>
      </w:numPr>
      <w:spacing w:after="760" w:line="310" w:lineRule="exact"/>
      <w:jc w:val="center"/>
    </w:pPr>
    <w:rPr>
      <w:b/>
      <w:sz w:val="28"/>
    </w:rPr>
  </w:style>
  <w:style w:type="paragraph" w:customStyle="1" w:styleId="zza2">
    <w:name w:val="zza2"/>
    <w:basedOn w:val="BaseHeading"/>
    <w:rsid w:val="00E37E2C"/>
    <w:pPr>
      <w:numPr>
        <w:ilvl w:val="1"/>
        <w:numId w:val="735"/>
      </w:numPr>
      <w:spacing w:before="270" w:line="270" w:lineRule="exact"/>
      <w:outlineLvl w:val="1"/>
    </w:pPr>
    <w:rPr>
      <w:b/>
      <w:sz w:val="24"/>
    </w:rPr>
  </w:style>
  <w:style w:type="paragraph" w:customStyle="1" w:styleId="zza3">
    <w:name w:val="zza3"/>
    <w:basedOn w:val="BaseHeading"/>
    <w:rsid w:val="00E37E2C"/>
    <w:pPr>
      <w:numPr>
        <w:ilvl w:val="2"/>
        <w:numId w:val="735"/>
      </w:numPr>
      <w:spacing w:line="250" w:lineRule="exact"/>
      <w:outlineLvl w:val="2"/>
    </w:pPr>
    <w:rPr>
      <w:b/>
    </w:rPr>
  </w:style>
  <w:style w:type="paragraph" w:customStyle="1" w:styleId="Term-admt">
    <w:name w:val="Term-admt"/>
    <w:basedOn w:val="Normal"/>
    <w:link w:val="Term-admtChar"/>
    <w:qFormat/>
    <w:rsid w:val="00E37E2C"/>
    <w:pPr>
      <w:keepNext/>
      <w:suppressAutoHyphens/>
      <w:spacing w:before="0" w:after="0" w:line="240" w:lineRule="atLeast"/>
      <w:jc w:val="left"/>
    </w:pPr>
  </w:style>
  <w:style w:type="character" w:customStyle="1" w:styleId="Term-admtChar">
    <w:name w:val="Term-admt Char"/>
    <w:link w:val="Term-admt"/>
    <w:rsid w:val="00E37E2C"/>
    <w:rPr>
      <w:rFonts w:ascii="Cambria" w:hAnsi="Cambria"/>
      <w:sz w:val="22"/>
      <w:szCs w:val="22"/>
      <w:lang w:eastAsia="en-US"/>
    </w:rPr>
  </w:style>
  <w:style w:type="paragraph" w:customStyle="1" w:styleId="dlnoindent">
    <w:name w:val="dl_no indent"/>
    <w:basedOn w:val="BaseText"/>
    <w:rsid w:val="00E37E2C"/>
    <w:pPr>
      <w:ind w:left="403" w:hanging="403"/>
    </w:pPr>
  </w:style>
  <w:style w:type="character" w:customStyle="1" w:styleId="citesection">
    <w:name w:val="cite_section"/>
    <w:rsid w:val="00E37E2C"/>
    <w:rPr>
      <w:rFonts w:ascii="Cambria" w:hAnsi="Cambria"/>
      <w:bdr w:val="none" w:sz="0" w:space="0" w:color="auto"/>
      <w:shd w:val="clear" w:color="auto" w:fill="FF7C80"/>
    </w:rPr>
  </w:style>
  <w:style w:type="paragraph" w:customStyle="1" w:styleId="Heading1Unnumbered">
    <w:name w:val="Heading 1 Unnumbered"/>
    <w:basedOn w:val="Heading1"/>
    <w:next w:val="BodyText"/>
    <w:qFormat/>
    <w:rsid w:val="00E37E2C"/>
    <w:pPr>
      <w:numPr>
        <w:numId w:val="0"/>
      </w:numPr>
      <w:shd w:val="pct15" w:color="auto" w:fill="auto"/>
      <w:tabs>
        <w:tab w:val="left" w:pos="400"/>
        <w:tab w:val="left" w:pos="560"/>
      </w:tabs>
      <w:jc w:val="center"/>
    </w:pPr>
    <w:rPr>
      <w:lang w:eastAsia="ja-JP"/>
    </w:rPr>
  </w:style>
  <w:style w:type="paragraph" w:customStyle="1" w:styleId="BodyTextRight">
    <w:name w:val="Body Text_Right"/>
    <w:basedOn w:val="BaseText"/>
    <w:next w:val="BodyText"/>
    <w:qFormat/>
    <w:rsid w:val="00E37E2C"/>
    <w:pPr>
      <w:autoSpaceDE w:val="0"/>
      <w:autoSpaceDN w:val="0"/>
      <w:adjustRightInd w:val="0"/>
      <w:jc w:val="right"/>
    </w:pPr>
    <w:rPr>
      <w:rFonts w:eastAsia="Times New Roman"/>
      <w:szCs w:val="24"/>
    </w:rPr>
  </w:style>
  <w:style w:type="paragraph" w:customStyle="1" w:styleId="AdmittedTerm">
    <w:name w:val="Admitted Term"/>
    <w:basedOn w:val="BaseText"/>
    <w:next w:val="Definition"/>
    <w:qFormat/>
    <w:rsid w:val="00E37E2C"/>
    <w:pPr>
      <w:spacing w:after="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2647595">
      <w:bodyDiv w:val="1"/>
      <w:marLeft w:val="0"/>
      <w:marRight w:val="0"/>
      <w:marTop w:val="0"/>
      <w:marBottom w:val="0"/>
      <w:divBdr>
        <w:top w:val="none" w:sz="0" w:space="0" w:color="auto"/>
        <w:left w:val="none" w:sz="0" w:space="0" w:color="auto"/>
        <w:bottom w:val="none" w:sz="0" w:space="0" w:color="auto"/>
        <w:right w:val="none" w:sz="0" w:space="0" w:color="auto"/>
      </w:divBdr>
    </w:div>
    <w:div w:id="1692797087">
      <w:bodyDiv w:val="1"/>
      <w:marLeft w:val="0"/>
      <w:marRight w:val="0"/>
      <w:marTop w:val="0"/>
      <w:marBottom w:val="0"/>
      <w:divBdr>
        <w:top w:val="none" w:sz="0" w:space="0" w:color="auto"/>
        <w:left w:val="none" w:sz="0" w:space="0" w:color="auto"/>
        <w:bottom w:val="none" w:sz="0" w:space="0" w:color="auto"/>
        <w:right w:val="none" w:sz="0" w:space="0" w:color="auto"/>
      </w:divBdr>
    </w:div>
    <w:div w:id="2013988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41_e_dr/f002.tiff" TargetMode="External"/><Relationship Id="rId21" Type="http://schemas.openxmlformats.org/officeDocument/2006/relationships/image" Target="41_e_dr/0006.tiff" TargetMode="External"/><Relationship Id="rId42" Type="http://schemas.openxmlformats.org/officeDocument/2006/relationships/image" Target="41_e_dr/0027.tiff" TargetMode="External"/><Relationship Id="rId63" Type="http://schemas.openxmlformats.org/officeDocument/2006/relationships/image" Target="41_e_dr/tbl_13_1_04.tiff" TargetMode="External"/><Relationship Id="rId84" Type="http://schemas.openxmlformats.org/officeDocument/2006/relationships/image" Target="41_e_dr/0059.tiff" TargetMode="External"/><Relationship Id="rId138" Type="http://schemas.openxmlformats.org/officeDocument/2006/relationships/header" Target="header4.xml"/><Relationship Id="rId107" Type="http://schemas.openxmlformats.org/officeDocument/2006/relationships/image" Target="41_e_dr/e021.tiff" TargetMode="External"/><Relationship Id="rId11" Type="http://schemas.openxmlformats.org/officeDocument/2006/relationships/header" Target="header1.xml"/><Relationship Id="rId32" Type="http://schemas.openxmlformats.org/officeDocument/2006/relationships/image" Target="41_e_dr/0017.tiff" TargetMode="External"/><Relationship Id="rId37" Type="http://schemas.openxmlformats.org/officeDocument/2006/relationships/image" Target="41_e_dr/0022.tiff" TargetMode="External"/><Relationship Id="rId53" Type="http://schemas.openxmlformats.org/officeDocument/2006/relationships/image" Target="41_e_dr/0038.tiff" TargetMode="External"/><Relationship Id="rId58" Type="http://schemas.openxmlformats.org/officeDocument/2006/relationships/image" Target="41_e_dr/0043.tiff" TargetMode="External"/><Relationship Id="rId74" Type="http://schemas.openxmlformats.org/officeDocument/2006/relationships/image" Target="41_e_dr/0049.tiff" TargetMode="External"/><Relationship Id="rId79" Type="http://schemas.openxmlformats.org/officeDocument/2006/relationships/image" Target="41_e_dr/0054.tiff" TargetMode="External"/><Relationship Id="rId102" Type="http://schemas.openxmlformats.org/officeDocument/2006/relationships/image" Target="41_e_dr/e016.tiff" TargetMode="External"/><Relationship Id="rId123" Type="http://schemas.openxmlformats.org/officeDocument/2006/relationships/image" Target="41_e_dr/g004.tiff" TargetMode="External"/><Relationship Id="rId128" Type="http://schemas.openxmlformats.org/officeDocument/2006/relationships/image" Target="41_e_dr/h001.tiff" TargetMode="External"/><Relationship Id="rId5" Type="http://schemas.openxmlformats.org/officeDocument/2006/relationships/numbering" Target="numbering.xml"/><Relationship Id="rId90" Type="http://schemas.openxmlformats.org/officeDocument/2006/relationships/image" Target="41_e_dr/e004.tiff" TargetMode="External"/><Relationship Id="rId95" Type="http://schemas.openxmlformats.org/officeDocument/2006/relationships/image" Target="41_e_dr/e009.tiff" TargetMode="External"/><Relationship Id="rId22" Type="http://schemas.openxmlformats.org/officeDocument/2006/relationships/image" Target="41_e_dr/0007.tiff" TargetMode="External"/><Relationship Id="rId27" Type="http://schemas.openxmlformats.org/officeDocument/2006/relationships/image" Target="41_e_dr/0012.tiff" TargetMode="External"/><Relationship Id="rId43" Type="http://schemas.openxmlformats.org/officeDocument/2006/relationships/image" Target="41_e_dr/0028.tiff" TargetMode="External"/><Relationship Id="rId48" Type="http://schemas.openxmlformats.org/officeDocument/2006/relationships/image" Target="41_e_dr/0033.tiff" TargetMode="External"/><Relationship Id="rId64" Type="http://schemas.openxmlformats.org/officeDocument/2006/relationships/image" Target="41_e_dr/tbl_13_1_05.tiff" TargetMode="External"/><Relationship Id="rId69" Type="http://schemas.openxmlformats.org/officeDocument/2006/relationships/image" Target="41_e_dr/tbl_13_1_10.tiff" TargetMode="External"/><Relationship Id="rId113" Type="http://schemas.openxmlformats.org/officeDocument/2006/relationships/image" Target="41_e_dr/e027.tiff" TargetMode="External"/><Relationship Id="rId118" Type="http://schemas.openxmlformats.org/officeDocument/2006/relationships/image" Target="41_e_dr/f003.tiff" TargetMode="External"/><Relationship Id="rId134" Type="http://schemas.openxmlformats.org/officeDocument/2006/relationships/image" Target="41_e_dr/k001.tiff" TargetMode="External"/><Relationship Id="rId139" Type="http://schemas.openxmlformats.org/officeDocument/2006/relationships/footer" Target="footer4.xml"/><Relationship Id="rId80" Type="http://schemas.openxmlformats.org/officeDocument/2006/relationships/image" Target="41_e_dr/0055.tiff" TargetMode="External"/><Relationship Id="rId85" Type="http://schemas.openxmlformats.org/officeDocument/2006/relationships/image" Target="41_e_dr/0060.tiff" TargetMode="External"/><Relationship Id="rId12" Type="http://schemas.openxmlformats.org/officeDocument/2006/relationships/footer" Target="footer1.xml"/><Relationship Id="rId17" Type="http://schemas.openxmlformats.org/officeDocument/2006/relationships/image" Target="41_e_dr/0002.tiff" TargetMode="External"/><Relationship Id="rId33" Type="http://schemas.openxmlformats.org/officeDocument/2006/relationships/image" Target="41_e_dr/0018.tiff" TargetMode="External"/><Relationship Id="rId38" Type="http://schemas.openxmlformats.org/officeDocument/2006/relationships/image" Target="41_e_dr/0023.tiff" TargetMode="External"/><Relationship Id="rId59" Type="http://schemas.openxmlformats.org/officeDocument/2006/relationships/image" Target="41_e_dr/0044.tiff" TargetMode="External"/><Relationship Id="rId103" Type="http://schemas.openxmlformats.org/officeDocument/2006/relationships/image" Target="41_e_dr/e017.tiff" TargetMode="External"/><Relationship Id="rId108" Type="http://schemas.openxmlformats.org/officeDocument/2006/relationships/image" Target="41_e_dr/e022.tiff" TargetMode="External"/><Relationship Id="rId124" Type="http://schemas.openxmlformats.org/officeDocument/2006/relationships/image" Target="41_e_dr/g005.tiff" TargetMode="External"/><Relationship Id="rId129" Type="http://schemas.openxmlformats.org/officeDocument/2006/relationships/image" Target="41_e_dr/h002.tiff" TargetMode="External"/><Relationship Id="rId54" Type="http://schemas.openxmlformats.org/officeDocument/2006/relationships/image" Target="41_e_dr/0039.tiff" TargetMode="External"/><Relationship Id="rId70" Type="http://schemas.openxmlformats.org/officeDocument/2006/relationships/image" Target="41_e_dr/0045.tiff" TargetMode="External"/><Relationship Id="rId75" Type="http://schemas.openxmlformats.org/officeDocument/2006/relationships/image" Target="41_e_dr/0050.tiff" TargetMode="External"/><Relationship Id="rId91" Type="http://schemas.openxmlformats.org/officeDocument/2006/relationships/image" Target="41_e_dr/e005.tiff" TargetMode="External"/><Relationship Id="rId96" Type="http://schemas.openxmlformats.org/officeDocument/2006/relationships/image" Target="41_e_dr/e010.tiff" TargetMode="External"/><Relationship Id="rId14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image" Target="41_e_dr/0008.tiff" TargetMode="External"/><Relationship Id="rId28" Type="http://schemas.openxmlformats.org/officeDocument/2006/relationships/image" Target="41_e_dr/0013.tiff" TargetMode="External"/><Relationship Id="rId49" Type="http://schemas.openxmlformats.org/officeDocument/2006/relationships/image" Target="41_e_dr/0034.tiff" TargetMode="External"/><Relationship Id="rId114" Type="http://schemas.openxmlformats.org/officeDocument/2006/relationships/image" Target="41_e_dr/e028.tiff" TargetMode="External"/><Relationship Id="rId119" Type="http://schemas.openxmlformats.org/officeDocument/2006/relationships/image" Target="41_e_dr/f004.tiff" TargetMode="External"/><Relationship Id="rId44" Type="http://schemas.openxmlformats.org/officeDocument/2006/relationships/image" Target="41_e_dr/0029.tiff" TargetMode="External"/><Relationship Id="rId60" Type="http://schemas.openxmlformats.org/officeDocument/2006/relationships/image" Target="41_e_dr/tbl_13_1_01.tiff" TargetMode="External"/><Relationship Id="rId65" Type="http://schemas.openxmlformats.org/officeDocument/2006/relationships/image" Target="41_e_dr/tbl_13_1_06.tiff" TargetMode="External"/><Relationship Id="rId81" Type="http://schemas.openxmlformats.org/officeDocument/2006/relationships/image" Target="41_e_dr/0056.tiff" TargetMode="External"/><Relationship Id="rId86" Type="http://schemas.openxmlformats.org/officeDocument/2006/relationships/image" Target="41_e_dr/b001.tiff" TargetMode="External"/><Relationship Id="rId130" Type="http://schemas.openxmlformats.org/officeDocument/2006/relationships/image" Target="41_e_dr/h003.tiff" TargetMode="External"/><Relationship Id="rId135" Type="http://schemas.openxmlformats.org/officeDocument/2006/relationships/image" Target="41_e_dr/l001.tiff" TargetMode="External"/><Relationship Id="rId13" Type="http://schemas.openxmlformats.org/officeDocument/2006/relationships/footer" Target="footer2.xml"/><Relationship Id="rId18" Type="http://schemas.openxmlformats.org/officeDocument/2006/relationships/image" Target="41_e_dr/0003.tiff" TargetMode="External"/><Relationship Id="rId39" Type="http://schemas.openxmlformats.org/officeDocument/2006/relationships/image" Target="41_e_dr/0024.tiff" TargetMode="External"/><Relationship Id="rId109" Type="http://schemas.openxmlformats.org/officeDocument/2006/relationships/image" Target="41_e_dr/e023.tiff" TargetMode="External"/><Relationship Id="rId34" Type="http://schemas.openxmlformats.org/officeDocument/2006/relationships/image" Target="41_e_dr/0019.tiff" TargetMode="External"/><Relationship Id="rId50" Type="http://schemas.openxmlformats.org/officeDocument/2006/relationships/image" Target="41_e_dr/0035.tiff" TargetMode="External"/><Relationship Id="rId55" Type="http://schemas.openxmlformats.org/officeDocument/2006/relationships/image" Target="41_e_dr/0040.tiff" TargetMode="External"/><Relationship Id="rId76" Type="http://schemas.openxmlformats.org/officeDocument/2006/relationships/image" Target="41_e_dr/0051.tiff" TargetMode="External"/><Relationship Id="rId97" Type="http://schemas.openxmlformats.org/officeDocument/2006/relationships/image" Target="41_e_dr/e011.tiff" TargetMode="External"/><Relationship Id="rId104" Type="http://schemas.openxmlformats.org/officeDocument/2006/relationships/image" Target="41_e_dr/e018.tiff" TargetMode="External"/><Relationship Id="rId120" Type="http://schemas.openxmlformats.org/officeDocument/2006/relationships/image" Target="41_e_dr/g001.tiff" TargetMode="External"/><Relationship Id="rId125" Type="http://schemas.openxmlformats.org/officeDocument/2006/relationships/image" Target="41_e_dr/g006.tiff" TargetMode="External"/><Relationship Id="rId141"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image" Target="41_e_dr/0046.tiff" TargetMode="External"/><Relationship Id="rId92" Type="http://schemas.openxmlformats.org/officeDocument/2006/relationships/image" Target="41_e_dr/e006.tiff" TargetMode="External"/><Relationship Id="rId2" Type="http://schemas.openxmlformats.org/officeDocument/2006/relationships/customXml" Target="../customXml/item2.xml"/><Relationship Id="rId29" Type="http://schemas.openxmlformats.org/officeDocument/2006/relationships/image" Target="41_e_dr/0014.tiff" TargetMode="External"/><Relationship Id="rId24" Type="http://schemas.openxmlformats.org/officeDocument/2006/relationships/image" Target="41_e_dr/0009.tiff" TargetMode="External"/><Relationship Id="rId40" Type="http://schemas.openxmlformats.org/officeDocument/2006/relationships/image" Target="41_e_dr/0025.tiff" TargetMode="External"/><Relationship Id="rId45" Type="http://schemas.openxmlformats.org/officeDocument/2006/relationships/image" Target="41_e_dr/0030.tiff" TargetMode="External"/><Relationship Id="rId66" Type="http://schemas.openxmlformats.org/officeDocument/2006/relationships/image" Target="41_e_dr/tbl_13_1_07.tiff" TargetMode="External"/><Relationship Id="rId87" Type="http://schemas.openxmlformats.org/officeDocument/2006/relationships/image" Target="41_e_dr/e001.tiff" TargetMode="External"/><Relationship Id="rId110" Type="http://schemas.openxmlformats.org/officeDocument/2006/relationships/image" Target="41_e_dr/e024.tiff" TargetMode="External"/><Relationship Id="rId115" Type="http://schemas.openxmlformats.org/officeDocument/2006/relationships/image" Target="41_e_dr/e029.tiff" TargetMode="External"/><Relationship Id="rId131" Type="http://schemas.openxmlformats.org/officeDocument/2006/relationships/image" Target="41_e_dr/i001.tiff" TargetMode="External"/><Relationship Id="rId136" Type="http://schemas.openxmlformats.org/officeDocument/2006/relationships/image" Target="41_e_dr/l002.tiff" TargetMode="External"/><Relationship Id="rId61" Type="http://schemas.openxmlformats.org/officeDocument/2006/relationships/image" Target="41_e_dr/tbl_13_1_02.tiff" TargetMode="External"/><Relationship Id="rId82" Type="http://schemas.openxmlformats.org/officeDocument/2006/relationships/image" Target="41_e_dr/0057.tiff" TargetMode="External"/><Relationship Id="rId19" Type="http://schemas.openxmlformats.org/officeDocument/2006/relationships/image" Target="41_e_dr/0004.tiff" TargetMode="External"/><Relationship Id="rId14" Type="http://schemas.openxmlformats.org/officeDocument/2006/relationships/header" Target="header2.xml"/><Relationship Id="rId30" Type="http://schemas.openxmlformats.org/officeDocument/2006/relationships/image" Target="41_e_dr/0015.tiff" TargetMode="External"/><Relationship Id="rId35" Type="http://schemas.openxmlformats.org/officeDocument/2006/relationships/image" Target="41_e_dr/0020.tiff" TargetMode="External"/><Relationship Id="rId56" Type="http://schemas.openxmlformats.org/officeDocument/2006/relationships/image" Target="41_e_dr/0041.tiff" TargetMode="External"/><Relationship Id="rId77" Type="http://schemas.openxmlformats.org/officeDocument/2006/relationships/image" Target="41_e_dr/0052.tiff" TargetMode="External"/><Relationship Id="rId100" Type="http://schemas.openxmlformats.org/officeDocument/2006/relationships/image" Target="41_e_dr/e014.tiff" TargetMode="External"/><Relationship Id="rId105" Type="http://schemas.openxmlformats.org/officeDocument/2006/relationships/image" Target="41_e_dr/e019.tiff" TargetMode="External"/><Relationship Id="rId126" Type="http://schemas.openxmlformats.org/officeDocument/2006/relationships/image" Target="41_e_dr/g007.tiff" TargetMode="External"/><Relationship Id="rId8" Type="http://schemas.openxmlformats.org/officeDocument/2006/relationships/webSettings" Target="webSettings.xml"/><Relationship Id="rId51" Type="http://schemas.openxmlformats.org/officeDocument/2006/relationships/image" Target="41_e_dr/0036.tiff" TargetMode="External"/><Relationship Id="rId72" Type="http://schemas.openxmlformats.org/officeDocument/2006/relationships/image" Target="41_e_dr/0047.tiff" TargetMode="External"/><Relationship Id="rId93" Type="http://schemas.openxmlformats.org/officeDocument/2006/relationships/image" Target="41_e_dr/e007.tiff" TargetMode="External"/><Relationship Id="rId98" Type="http://schemas.openxmlformats.org/officeDocument/2006/relationships/image" Target="41_e_dr/e012.tiff" TargetMode="External"/><Relationship Id="rId121" Type="http://schemas.openxmlformats.org/officeDocument/2006/relationships/image" Target="41_e_dr/g002.tiff" TargetMode="External"/><Relationship Id="rId142" Type="http://schemas.openxmlformats.org/officeDocument/2006/relationships/theme" Target="theme/theme1.xml"/><Relationship Id="rId3" Type="http://schemas.openxmlformats.org/officeDocument/2006/relationships/customXml" Target="../customXml/item3.xml"/><Relationship Id="rId25" Type="http://schemas.openxmlformats.org/officeDocument/2006/relationships/image" Target="41_e_dr/0010.tiff" TargetMode="External"/><Relationship Id="rId46" Type="http://schemas.openxmlformats.org/officeDocument/2006/relationships/image" Target="41_e_dr/0031.tiff" TargetMode="External"/><Relationship Id="rId67" Type="http://schemas.openxmlformats.org/officeDocument/2006/relationships/image" Target="41_e_dr/tbl_13_1_08.tiff" TargetMode="External"/><Relationship Id="rId116" Type="http://schemas.openxmlformats.org/officeDocument/2006/relationships/image" Target="41_e_dr/f001.tiff" TargetMode="External"/><Relationship Id="rId137" Type="http://schemas.openxmlformats.org/officeDocument/2006/relationships/header" Target="header3.xml"/><Relationship Id="rId20" Type="http://schemas.openxmlformats.org/officeDocument/2006/relationships/image" Target="41_e_dr/0005.tiff" TargetMode="External"/><Relationship Id="rId41" Type="http://schemas.openxmlformats.org/officeDocument/2006/relationships/image" Target="41_e_dr/0026.tiff" TargetMode="External"/><Relationship Id="rId62" Type="http://schemas.openxmlformats.org/officeDocument/2006/relationships/image" Target="41_e_dr/tbl_13_1_03.tiff" TargetMode="External"/><Relationship Id="rId83" Type="http://schemas.openxmlformats.org/officeDocument/2006/relationships/image" Target="41_e_dr/0058.tiff" TargetMode="External"/><Relationship Id="rId88" Type="http://schemas.openxmlformats.org/officeDocument/2006/relationships/image" Target="41_e_dr/e002.tiff" TargetMode="External"/><Relationship Id="rId111" Type="http://schemas.openxmlformats.org/officeDocument/2006/relationships/image" Target="41_e_dr/e025.tiff" TargetMode="External"/><Relationship Id="rId132" Type="http://schemas.openxmlformats.org/officeDocument/2006/relationships/image" Target="41_e_dr/i002.tiff" TargetMode="External"/><Relationship Id="rId15" Type="http://schemas.openxmlformats.org/officeDocument/2006/relationships/footer" Target="footer3.xml"/><Relationship Id="rId36" Type="http://schemas.openxmlformats.org/officeDocument/2006/relationships/image" Target="41_e_dr/0021.tiff" TargetMode="External"/><Relationship Id="rId57" Type="http://schemas.openxmlformats.org/officeDocument/2006/relationships/image" Target="41_e_dr/0042.tiff" TargetMode="External"/><Relationship Id="rId106" Type="http://schemas.openxmlformats.org/officeDocument/2006/relationships/image" Target="41_e_dr/e020.tiff" TargetMode="External"/><Relationship Id="rId127" Type="http://schemas.openxmlformats.org/officeDocument/2006/relationships/image" Target="41_e_dr/g008.tiff" TargetMode="External"/><Relationship Id="rId10" Type="http://schemas.openxmlformats.org/officeDocument/2006/relationships/endnotes" Target="endnotes.xml"/><Relationship Id="rId31" Type="http://schemas.openxmlformats.org/officeDocument/2006/relationships/image" Target="41_e_dr/0016.tiff" TargetMode="External"/><Relationship Id="rId52" Type="http://schemas.openxmlformats.org/officeDocument/2006/relationships/image" Target="41_e_dr/0037.tiff" TargetMode="External"/><Relationship Id="rId73" Type="http://schemas.openxmlformats.org/officeDocument/2006/relationships/image" Target="41_e_dr/0048.tiff" TargetMode="External"/><Relationship Id="rId78" Type="http://schemas.openxmlformats.org/officeDocument/2006/relationships/image" Target="41_e_dr/0053.tiff" TargetMode="External"/><Relationship Id="rId94" Type="http://schemas.openxmlformats.org/officeDocument/2006/relationships/image" Target="41_e_dr/e008.tiff" TargetMode="External"/><Relationship Id="rId99" Type="http://schemas.openxmlformats.org/officeDocument/2006/relationships/image" Target="41_e_dr/e013.tiff" TargetMode="External"/><Relationship Id="rId101" Type="http://schemas.openxmlformats.org/officeDocument/2006/relationships/image" Target="41_e_dr/e015.tiff" TargetMode="External"/><Relationship Id="rId122" Type="http://schemas.openxmlformats.org/officeDocument/2006/relationships/image" Target="41_e_dr/g003.tiff" TargetMode="Externa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image" Target="41_e_dr/0011.tiff" TargetMode="External"/><Relationship Id="rId47" Type="http://schemas.openxmlformats.org/officeDocument/2006/relationships/image" Target="41_e_dr/0032.tiff" TargetMode="External"/><Relationship Id="rId68" Type="http://schemas.openxmlformats.org/officeDocument/2006/relationships/image" Target="41_e_dr/tbl_13_1_09.tiff" TargetMode="External"/><Relationship Id="rId89" Type="http://schemas.openxmlformats.org/officeDocument/2006/relationships/image" Target="41_e_dr/e003.tiff" TargetMode="External"/><Relationship Id="rId112" Type="http://schemas.openxmlformats.org/officeDocument/2006/relationships/image" Target="41_e_dr/e026.tiff" TargetMode="External"/><Relationship Id="rId133" Type="http://schemas.openxmlformats.org/officeDocument/2006/relationships/image" Target="41_e_dr/i003.tiff" TargetMode="External"/><Relationship Id="rId16" Type="http://schemas.openxmlformats.org/officeDocument/2006/relationships/image" Target="41_e_dr/0001.tif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B9E0E132FB6E941BF7D42D4873E45DF" ma:contentTypeVersion="8" ma:contentTypeDescription="Crée un document." ma:contentTypeScope="" ma:versionID="5779fdd7c7c9bb3bd9cf186c7dfcc1d6">
  <xsd:schema xmlns:xsd="http://www.w3.org/2001/XMLSchema" xmlns:xs="http://www.w3.org/2001/XMLSchema" xmlns:p="http://schemas.microsoft.com/office/2006/metadata/properties" xmlns:ns2="7b64a348-4375-40f0-86cc-95433db356ca" targetNamespace="http://schemas.microsoft.com/office/2006/metadata/properties" ma:root="true" ma:fieldsID="3b0f59af5bd944bb219b22b6183ab99d" ns2:_="">
    <xsd:import namespace="7b64a348-4375-40f0-86cc-95433db356c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64a348-4375-40f0-86cc-95433db356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34F81E-9FF6-48D3-A94C-69C90767955D}">
  <ds:schemaRefs>
    <ds:schemaRef ds:uri="http://schemas.microsoft.com/sharepoint/v3/contenttype/forms"/>
  </ds:schemaRefs>
</ds:datastoreItem>
</file>

<file path=customXml/itemProps2.xml><?xml version="1.0" encoding="utf-8"?>
<ds:datastoreItem xmlns:ds="http://schemas.openxmlformats.org/officeDocument/2006/customXml" ds:itemID="{62B04C65-EA47-4C12-B8B8-8A5CE694912B}">
  <ds:schemaRef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7b64a348-4375-40f0-86cc-95433db356ca"/>
    <ds:schemaRef ds:uri="http://www.w3.org/XML/1998/namespace"/>
    <ds:schemaRef ds:uri="http://purl.org/dc/dcmitype/"/>
  </ds:schemaRefs>
</ds:datastoreItem>
</file>

<file path=customXml/itemProps3.xml><?xml version="1.0" encoding="utf-8"?>
<ds:datastoreItem xmlns:ds="http://schemas.openxmlformats.org/officeDocument/2006/customXml" ds:itemID="{A1EE517E-2302-4736-A4B1-9B4D03601F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64a348-4375-40f0-86cc-95433db356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71FD1D-82AF-4B4A-BA23-858BECFA7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318</Pages>
  <Words>124452</Words>
  <Characters>709379</Characters>
  <Application>Microsoft Office Word</Application>
  <DocSecurity>4</DocSecurity>
  <Lines>5911</Lines>
  <Paragraphs>1664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CENCENELEC</Company>
  <LinksUpToDate>false</LinksUpToDate>
  <CharactersWithSpaces>832167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Elysia Booth</dc:creator>
  <cp:lastModifiedBy>Anna Dionysiou</cp:lastModifiedBy>
  <cp:revision>2</cp:revision>
  <cp:lastPrinted>2023-05-05T16:19:00Z</cp:lastPrinted>
  <dcterms:created xsi:type="dcterms:W3CDTF">2023-09-12T12:21:00Z</dcterms:created>
  <dcterms:modified xsi:type="dcterms:W3CDTF">2023-09-12T12:21:00Z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ContentTypeId">
    <vt:lpwstr>0x010100FB9E0E132FB6E941BF7D42D4873E45DF</vt:lpwstr>
  </property>
  <property fmtid="{D5CDD505-2E9C-101B-9397-08002B2CF9AE}" pid="7" name="MSIP_Label_4dda24af-ac8f-4a9d-9d98-ed58ba2c887a_Enabled">
    <vt:lpwstr>true</vt:lpwstr>
  </property>
  <property fmtid="{D5CDD505-2E9C-101B-9397-08002B2CF9AE}" pid="8" name="MSIP_Label_4dda24af-ac8f-4a9d-9d98-ed58ba2c887a_SetDate">
    <vt:lpwstr>2023-02-01T16:14:01Z</vt:lpwstr>
  </property>
  <property fmtid="{D5CDD505-2E9C-101B-9397-08002B2CF9AE}" pid="9" name="MSIP_Label_4dda24af-ac8f-4a9d-9d98-ed58ba2c887a_Method">
    <vt:lpwstr>Privileged</vt:lpwstr>
  </property>
  <property fmtid="{D5CDD505-2E9C-101B-9397-08002B2CF9AE}" pid="10" name="MSIP_Label_4dda24af-ac8f-4a9d-9d98-ed58ba2c887a_Name">
    <vt:lpwstr>Restricted - Un-Marked</vt:lpwstr>
  </property>
  <property fmtid="{D5CDD505-2E9C-101B-9397-08002B2CF9AE}" pid="11" name="MSIP_Label_4dda24af-ac8f-4a9d-9d98-ed58ba2c887a_SiteId">
    <vt:lpwstr>54946ffc-68d3-4955-ac70-dca726d445b4</vt:lpwstr>
  </property>
  <property fmtid="{D5CDD505-2E9C-101B-9397-08002B2CF9AE}" pid="12" name="MSIP_Label_4dda24af-ac8f-4a9d-9d98-ed58ba2c887a_ActionId">
    <vt:lpwstr>925d03a0-85e4-4ccd-a36a-53266ba60760</vt:lpwstr>
  </property>
  <property fmtid="{D5CDD505-2E9C-101B-9397-08002B2CF9AE}" pid="13" name="MSIP_Label_4dda24af-ac8f-4a9d-9d98-ed58ba2c887a_ContentBits">
    <vt:lpwstr>0</vt:lpwstr>
  </property>
</Properties>
</file>